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B4882" w14:textId="1522DD9E" w:rsidR="000F438C" w:rsidRDefault="002D504B" w:rsidP="00194D88">
      <w:pPr>
        <w:spacing w:after="0" w:line="360" w:lineRule="auto"/>
        <w:jc w:val="center"/>
        <w:rPr>
          <w:rFonts w:ascii="Arial" w:hAnsi="Arial" w:cs="Arial"/>
          <w:b/>
          <w:bCs/>
          <w:sz w:val="24"/>
          <w:szCs w:val="24"/>
        </w:rPr>
      </w:pPr>
      <w:r>
        <w:rPr>
          <w:rFonts w:ascii="Arial" w:hAnsi="Arial" w:cs="Arial"/>
          <w:b/>
          <w:bCs/>
          <w:sz w:val="24"/>
          <w:szCs w:val="24"/>
        </w:rPr>
        <w:t xml:space="preserve">     </w:t>
      </w:r>
      <w:r w:rsidR="000F438C" w:rsidRPr="00194D88">
        <w:rPr>
          <w:rFonts w:ascii="Arial" w:hAnsi="Arial" w:cs="Arial"/>
          <w:b/>
          <w:bCs/>
          <w:sz w:val="24"/>
          <w:szCs w:val="24"/>
        </w:rPr>
        <w:t>REPUBLIC OF SOUTH AFRICA</w:t>
      </w:r>
    </w:p>
    <w:p w14:paraId="7BB7B277" w14:textId="7A213B94" w:rsidR="00EA0492" w:rsidRPr="00194D88" w:rsidRDefault="00EA0492" w:rsidP="00194D88">
      <w:pPr>
        <w:spacing w:after="0" w:line="360" w:lineRule="auto"/>
        <w:jc w:val="center"/>
        <w:rPr>
          <w:rFonts w:ascii="Arial" w:hAnsi="Arial" w:cs="Arial"/>
          <w:b/>
          <w:bCs/>
          <w:sz w:val="24"/>
          <w:szCs w:val="24"/>
        </w:rPr>
      </w:pPr>
      <w:r w:rsidRPr="00C37D72">
        <w:rPr>
          <w:rFonts w:ascii="Arial" w:hAnsi="Arial" w:cs="Arial"/>
          <w:b/>
          <w:noProof/>
          <w:sz w:val="28"/>
          <w:szCs w:val="28"/>
          <w:lang w:eastAsia="en-ZA"/>
        </w:rPr>
        <w:drawing>
          <wp:inline distT="0" distB="0" distL="0" distR="0" wp14:anchorId="67F79480" wp14:editId="2008D688">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65097BCA" w14:textId="77777777" w:rsidR="000F438C" w:rsidRPr="00194D88" w:rsidRDefault="000F438C" w:rsidP="00194D88">
      <w:pPr>
        <w:spacing w:after="0" w:line="360" w:lineRule="auto"/>
        <w:jc w:val="center"/>
        <w:rPr>
          <w:rFonts w:ascii="Arial" w:hAnsi="Arial" w:cs="Arial"/>
          <w:b/>
          <w:bCs/>
          <w:sz w:val="24"/>
          <w:szCs w:val="24"/>
        </w:rPr>
      </w:pPr>
      <w:r w:rsidRPr="00194D88">
        <w:rPr>
          <w:rFonts w:ascii="Arial" w:hAnsi="Arial" w:cs="Arial"/>
          <w:b/>
          <w:bCs/>
          <w:sz w:val="24"/>
          <w:szCs w:val="24"/>
        </w:rPr>
        <w:t>IN THE HIGH COURT OF SOUTH AFRICA</w:t>
      </w:r>
    </w:p>
    <w:p w14:paraId="37DEE90C" w14:textId="77777777" w:rsidR="007254A0" w:rsidRPr="00194D88" w:rsidRDefault="007254A0" w:rsidP="00194D88">
      <w:pPr>
        <w:spacing w:after="0" w:line="360" w:lineRule="auto"/>
        <w:jc w:val="center"/>
        <w:rPr>
          <w:rFonts w:ascii="Arial" w:hAnsi="Arial" w:cs="Arial"/>
          <w:b/>
          <w:bCs/>
          <w:sz w:val="24"/>
          <w:szCs w:val="24"/>
        </w:rPr>
      </w:pPr>
      <w:r w:rsidRPr="00194D88">
        <w:rPr>
          <w:rFonts w:ascii="Arial" w:hAnsi="Arial" w:cs="Arial"/>
          <w:b/>
          <w:bCs/>
          <w:sz w:val="24"/>
          <w:szCs w:val="24"/>
        </w:rPr>
        <w:t>(GAUTENG DIVISION, JOHANNESBURG)</w:t>
      </w:r>
    </w:p>
    <w:p w14:paraId="7D9F4414" w14:textId="78A57EE0" w:rsidR="00194D88" w:rsidRDefault="00194D88" w:rsidP="00194D88">
      <w:pPr>
        <w:spacing w:after="0" w:line="360" w:lineRule="auto"/>
        <w:jc w:val="both"/>
        <w:rPr>
          <w:rFonts w:ascii="Arial" w:hAnsi="Arial" w:cs="Arial"/>
          <w:sz w:val="24"/>
          <w:szCs w:val="24"/>
        </w:rPr>
      </w:pPr>
      <w:r>
        <w:rPr>
          <w:rFonts w:ascii="Arial" w:hAnsi="Arial" w:cs="Arial"/>
          <w:sz w:val="24"/>
          <w:szCs w:val="24"/>
        </w:rPr>
        <w:t xml:space="preserve"> </w:t>
      </w:r>
    </w:p>
    <w:p w14:paraId="6203A17C" w14:textId="00016020" w:rsidR="00F13F65" w:rsidRPr="00194D88" w:rsidRDefault="00EA0492" w:rsidP="00194D88">
      <w:pPr>
        <w:spacing w:after="0" w:line="360" w:lineRule="auto"/>
        <w:jc w:val="right"/>
        <w:rPr>
          <w:rFonts w:ascii="Arial" w:hAnsi="Arial" w:cs="Arial"/>
          <w:b/>
          <w:bCs/>
          <w:sz w:val="24"/>
          <w:szCs w:val="24"/>
        </w:rPr>
      </w:pPr>
      <w:r w:rsidRPr="00EA0492">
        <w:rPr>
          <w:rFonts w:ascii="Arial" w:eastAsiaTheme="minorHAnsi" w:hAnsi="Arial" w:cs="Arial"/>
          <w:noProof/>
          <w:sz w:val="24"/>
          <w:szCs w:val="24"/>
          <w:lang w:eastAsia="en-ZA"/>
        </w:rPr>
        <mc:AlternateContent>
          <mc:Choice Requires="wps">
            <w:drawing>
              <wp:anchor distT="0" distB="0" distL="114300" distR="114300" simplePos="0" relativeHeight="251659264" behindDoc="0" locked="0" layoutInCell="1" allowOverlap="1" wp14:anchorId="7E3BAD41" wp14:editId="001DC6C6">
                <wp:simplePos x="0" y="0"/>
                <wp:positionH relativeFrom="margin">
                  <wp:posOffset>-203200</wp:posOffset>
                </wp:positionH>
                <wp:positionV relativeFrom="paragraph">
                  <wp:posOffset>128905</wp:posOffset>
                </wp:positionV>
                <wp:extent cx="3634740" cy="920750"/>
                <wp:effectExtent l="0" t="0" r="228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20750"/>
                        </a:xfrm>
                        <a:prstGeom prst="rect">
                          <a:avLst/>
                        </a:prstGeom>
                        <a:solidFill>
                          <a:srgbClr val="FFFFFF"/>
                        </a:solidFill>
                        <a:ln w="9525">
                          <a:solidFill>
                            <a:srgbClr val="000000"/>
                          </a:solidFill>
                          <a:miter lim="800000"/>
                          <a:headEnd/>
                          <a:tailEnd/>
                        </a:ln>
                      </wps:spPr>
                      <wps:txbx>
                        <w:txbxContent>
                          <w:p w14:paraId="4C3A5B91" w14:textId="73F60D67" w:rsidR="00EA0492" w:rsidRDefault="00B257D7" w:rsidP="00B257D7">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EA0492">
                              <w:rPr>
                                <w:rFonts w:ascii="Century Gothic" w:hAnsi="Century Gothic"/>
                                <w:sz w:val="20"/>
                                <w:szCs w:val="20"/>
                              </w:rPr>
                              <w:t>REPORTABLE: 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EA0492">
                                  <w:rPr>
                                    <w:rFonts w:ascii="MS Gothic" w:eastAsia="MS Gothic" w:hAnsi="MS Gothic" w:hint="eastAsia"/>
                                    <w:sz w:val="20"/>
                                    <w:szCs w:val="20"/>
                                  </w:rPr>
                                  <w:t>☐</w:t>
                                </w:r>
                              </w:sdtContent>
                            </w:sdt>
                            <w:r w:rsidR="00EA0492">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EA0492">
                                  <w:rPr>
                                    <w:rFonts w:ascii="MS Gothic" w:eastAsia="MS Gothic" w:hAnsi="MS Gothic" w:hint="eastAsia"/>
                                    <w:sz w:val="20"/>
                                    <w:szCs w:val="20"/>
                                  </w:rPr>
                                  <w:t>☒</w:t>
                                </w:r>
                              </w:sdtContent>
                            </w:sdt>
                          </w:p>
                          <w:p w14:paraId="75D7ADA1" w14:textId="1C9AA699" w:rsidR="00EA0492" w:rsidRDefault="00B257D7" w:rsidP="00B257D7">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EA0492">
                              <w:rPr>
                                <w:rFonts w:ascii="Century Gothic" w:hAnsi="Century Gothic"/>
                                <w:sz w:val="20"/>
                                <w:szCs w:val="20"/>
                              </w:rPr>
                              <w:t>OF INTEREST TO OTHER JUDGES: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A0492">
                                  <w:rPr>
                                    <w:rFonts w:ascii="MS Gothic" w:eastAsia="MS Gothic" w:hAnsi="MS Gothic" w:hint="eastAsia"/>
                                    <w:sz w:val="20"/>
                                    <w:szCs w:val="20"/>
                                  </w:rPr>
                                  <w:t>☐</w:t>
                                </w:r>
                              </w:sdtContent>
                            </w:sdt>
                            <w:r w:rsidR="00EA0492">
                              <w:rPr>
                                <w:rFonts w:ascii="Century Gothic" w:hAnsi="Century Gothic"/>
                                <w:sz w:val="20"/>
                                <w:szCs w:val="20"/>
                              </w:rPr>
                              <w:t xml:space="preserve"> / No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A0492">
                                  <w:rPr>
                                    <w:rFonts w:ascii="MS Gothic" w:eastAsia="MS Gothic" w:hAnsi="MS Gothic" w:hint="eastAsia"/>
                                    <w:sz w:val="20"/>
                                    <w:szCs w:val="20"/>
                                  </w:rPr>
                                  <w:t>☒</w:t>
                                </w:r>
                              </w:sdtContent>
                            </w:sdt>
                          </w:p>
                          <w:p w14:paraId="6E2CDF2A" w14:textId="094E5189" w:rsidR="00EA0492" w:rsidRDefault="00B257D7" w:rsidP="00B257D7">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EA0492">
                              <w:rPr>
                                <w:rFonts w:ascii="Century Gothic" w:hAnsi="Century Gothic"/>
                                <w:sz w:val="20"/>
                                <w:szCs w:val="20"/>
                              </w:rPr>
                              <w:t xml:space="preserve">REVISED: 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CD571A">
                                  <w:rPr>
                                    <w:rFonts w:ascii="MS Gothic" w:eastAsia="MS Gothic" w:hAnsi="MS Gothic" w:hint="eastAsia"/>
                                    <w:sz w:val="20"/>
                                    <w:szCs w:val="20"/>
                                  </w:rPr>
                                  <w:t>☐</w:t>
                                </w:r>
                              </w:sdtContent>
                            </w:sdt>
                            <w:r w:rsidR="00EA0492">
                              <w:rPr>
                                <w:rFonts w:ascii="Century Gothic" w:hAnsi="Century Gothic"/>
                                <w:sz w:val="20"/>
                                <w:szCs w:val="20"/>
                              </w:rPr>
                              <w:t xml:space="preserve"> / No </w:t>
                            </w:r>
                            <w:sdt>
                              <w:sdtPr>
                                <w:rPr>
                                  <w:rFonts w:ascii="Century Gothic" w:hAnsi="Century Gothic"/>
                                  <w:sz w:val="20"/>
                                  <w:szCs w:val="20"/>
                                </w:rPr>
                                <w:id w:val="-1323342986"/>
                                <w14:checkbox>
                                  <w14:checked w14:val="0"/>
                                  <w14:checkedState w14:val="2612" w14:font="MS Gothic"/>
                                  <w14:uncheckedState w14:val="2610" w14:font="MS Gothic"/>
                                </w14:checkbox>
                              </w:sdtPr>
                              <w:sdtContent>
                                <w:r w:rsidR="00EA0492">
                                  <w:rPr>
                                    <w:rFonts w:ascii="MS Gothic" w:eastAsia="MS Gothic" w:hAnsi="MS Gothic" w:hint="eastAsia"/>
                                    <w:sz w:val="20"/>
                                    <w:szCs w:val="20"/>
                                  </w:rPr>
                                  <w:t>☐</w:t>
                                </w:r>
                              </w:sdtContent>
                            </w:sdt>
                          </w:p>
                          <w:p w14:paraId="4A7A3AD4" w14:textId="77777777" w:rsidR="00EA0492" w:rsidRDefault="00EA0492" w:rsidP="00EA0492">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94B48AC" w14:textId="0F018DD3" w:rsidR="00EA0492" w:rsidRDefault="00EA0492" w:rsidP="00EA0492">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EC03E7BB4DEA401C8A0A27834F6776F5"/>
                                </w:placeholder>
                                <w:date w:fullDate="2024-06-03T00:00:00Z">
                                  <w:dateFormat w:val="dd MMMM yyyy"/>
                                  <w:lid w:val="en-ZA"/>
                                  <w:storeMappedDataAs w:val="dateTime"/>
                                  <w:calendar w:val="gregorian"/>
                                </w:date>
                              </w:sdtPr>
                              <w:sdtContent>
                                <w:r>
                                  <w:rPr>
                                    <w:rFonts w:ascii="Century Gothic" w:hAnsi="Century Gothic"/>
                                    <w:sz w:val="20"/>
                                    <w:szCs w:val="20"/>
                                  </w:rPr>
                                  <w:t>03 June 2024</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A3B4CA4925C44157AB58FED905736E9A"/>
                                </w:placeholder>
                              </w:sdtPr>
                              <w:sdtContent>
                                <w:r>
                                  <w:rPr>
                                    <w:rFonts w:ascii="Century Gothic" w:hAnsi="Century Gothic"/>
                                    <w:sz w:val="20"/>
                                    <w:szCs w:val="20"/>
                                  </w:rPr>
                                  <w:t>KT Mathopo AJ</w:t>
                                </w:r>
                              </w:sdtContent>
                            </w:sdt>
                          </w:p>
                          <w:p w14:paraId="782FBC8E" w14:textId="77777777" w:rsidR="00EA0492" w:rsidRDefault="00EA0492" w:rsidP="00EA0492">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BAD41" id="_x0000_t202" coordsize="21600,21600" o:spt="202" path="m,l,21600r21600,l21600,xe">
                <v:stroke joinstyle="miter"/>
                <v:path gradientshapeok="t" o:connecttype="rect"/>
              </v:shapetype>
              <v:shape id="Text Box 2" o:spid="_x0000_s1026" type="#_x0000_t202" style="position:absolute;left:0;text-align:left;margin-left:-16pt;margin-top:10.15pt;width:286.2pt;height: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">
                <v:textbox>
                  <w:txbxContent>
                    <w:p w14:paraId="4C3A5B91" w14:textId="73F60D67" w:rsidR="00EA0492" w:rsidRDefault="00B257D7" w:rsidP="00B257D7">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EA0492">
                        <w:rPr>
                          <w:rFonts w:ascii="Century Gothic" w:hAnsi="Century Gothic"/>
                          <w:sz w:val="20"/>
                          <w:szCs w:val="20"/>
                        </w:rPr>
                        <w:t>REPORTABLE: 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EA0492">
                            <w:rPr>
                              <w:rFonts w:ascii="MS Gothic" w:eastAsia="MS Gothic" w:hAnsi="MS Gothic" w:hint="eastAsia"/>
                              <w:sz w:val="20"/>
                              <w:szCs w:val="20"/>
                            </w:rPr>
                            <w:t>☐</w:t>
                          </w:r>
                        </w:sdtContent>
                      </w:sdt>
                      <w:r w:rsidR="00EA0492">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EA0492">
                            <w:rPr>
                              <w:rFonts w:ascii="MS Gothic" w:eastAsia="MS Gothic" w:hAnsi="MS Gothic" w:hint="eastAsia"/>
                              <w:sz w:val="20"/>
                              <w:szCs w:val="20"/>
                            </w:rPr>
                            <w:t>☒</w:t>
                          </w:r>
                        </w:sdtContent>
                      </w:sdt>
                    </w:p>
                    <w:p w14:paraId="75D7ADA1" w14:textId="1C9AA699" w:rsidR="00EA0492" w:rsidRDefault="00B257D7" w:rsidP="00B257D7">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EA0492">
                        <w:rPr>
                          <w:rFonts w:ascii="Century Gothic" w:hAnsi="Century Gothic"/>
                          <w:sz w:val="20"/>
                          <w:szCs w:val="20"/>
                        </w:rPr>
                        <w:t>OF INTEREST TO OTHER JUDGES: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A0492">
                            <w:rPr>
                              <w:rFonts w:ascii="MS Gothic" w:eastAsia="MS Gothic" w:hAnsi="MS Gothic" w:hint="eastAsia"/>
                              <w:sz w:val="20"/>
                              <w:szCs w:val="20"/>
                            </w:rPr>
                            <w:t>☐</w:t>
                          </w:r>
                        </w:sdtContent>
                      </w:sdt>
                      <w:r w:rsidR="00EA0492">
                        <w:rPr>
                          <w:rFonts w:ascii="Century Gothic" w:hAnsi="Century Gothic"/>
                          <w:sz w:val="20"/>
                          <w:szCs w:val="20"/>
                        </w:rPr>
                        <w:t xml:space="preserve"> / No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A0492">
                            <w:rPr>
                              <w:rFonts w:ascii="MS Gothic" w:eastAsia="MS Gothic" w:hAnsi="MS Gothic" w:hint="eastAsia"/>
                              <w:sz w:val="20"/>
                              <w:szCs w:val="20"/>
                            </w:rPr>
                            <w:t>☒</w:t>
                          </w:r>
                        </w:sdtContent>
                      </w:sdt>
                    </w:p>
                    <w:p w14:paraId="6E2CDF2A" w14:textId="094E5189" w:rsidR="00EA0492" w:rsidRDefault="00B257D7" w:rsidP="00B257D7">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EA0492">
                        <w:rPr>
                          <w:rFonts w:ascii="Century Gothic" w:hAnsi="Century Gothic"/>
                          <w:sz w:val="20"/>
                          <w:szCs w:val="20"/>
                        </w:rPr>
                        <w:t xml:space="preserve">REVISED: 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CD571A">
                            <w:rPr>
                              <w:rFonts w:ascii="MS Gothic" w:eastAsia="MS Gothic" w:hAnsi="MS Gothic" w:hint="eastAsia"/>
                              <w:sz w:val="20"/>
                              <w:szCs w:val="20"/>
                            </w:rPr>
                            <w:t>☐</w:t>
                          </w:r>
                        </w:sdtContent>
                      </w:sdt>
                      <w:r w:rsidR="00EA0492">
                        <w:rPr>
                          <w:rFonts w:ascii="Century Gothic" w:hAnsi="Century Gothic"/>
                          <w:sz w:val="20"/>
                          <w:szCs w:val="20"/>
                        </w:rPr>
                        <w:t xml:space="preserve"> / No </w:t>
                      </w:r>
                      <w:sdt>
                        <w:sdtPr>
                          <w:rPr>
                            <w:rFonts w:ascii="Century Gothic" w:hAnsi="Century Gothic"/>
                            <w:sz w:val="20"/>
                            <w:szCs w:val="20"/>
                          </w:rPr>
                          <w:id w:val="-1323342986"/>
                          <w14:checkbox>
                            <w14:checked w14:val="0"/>
                            <w14:checkedState w14:val="2612" w14:font="MS Gothic"/>
                            <w14:uncheckedState w14:val="2610" w14:font="MS Gothic"/>
                          </w14:checkbox>
                        </w:sdtPr>
                        <w:sdtContent>
                          <w:r w:rsidR="00EA0492">
                            <w:rPr>
                              <w:rFonts w:ascii="MS Gothic" w:eastAsia="MS Gothic" w:hAnsi="MS Gothic" w:hint="eastAsia"/>
                              <w:sz w:val="20"/>
                              <w:szCs w:val="20"/>
                            </w:rPr>
                            <w:t>☐</w:t>
                          </w:r>
                        </w:sdtContent>
                      </w:sdt>
                    </w:p>
                    <w:p w14:paraId="4A7A3AD4" w14:textId="77777777" w:rsidR="00EA0492" w:rsidRDefault="00EA0492" w:rsidP="00EA0492">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94B48AC" w14:textId="0F018DD3" w:rsidR="00EA0492" w:rsidRDefault="00EA0492" w:rsidP="00EA0492">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EC03E7BB4DEA401C8A0A27834F6776F5"/>
                          </w:placeholder>
                          <w:date w:fullDate="2024-06-03T00:00:00Z">
                            <w:dateFormat w:val="dd MMMM yyyy"/>
                            <w:lid w:val="en-ZA"/>
                            <w:storeMappedDataAs w:val="dateTime"/>
                            <w:calendar w:val="gregorian"/>
                          </w:date>
                        </w:sdtPr>
                        <w:sdtContent>
                          <w:r>
                            <w:rPr>
                              <w:rFonts w:ascii="Century Gothic" w:hAnsi="Century Gothic"/>
                              <w:sz w:val="20"/>
                              <w:szCs w:val="20"/>
                            </w:rPr>
                            <w:t>03 June 2024</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A3B4CA4925C44157AB58FED905736E9A"/>
                          </w:placeholder>
                        </w:sdtPr>
                        <w:sdtContent>
                          <w:r>
                            <w:rPr>
                              <w:rFonts w:ascii="Century Gothic" w:hAnsi="Century Gothic"/>
                              <w:sz w:val="20"/>
                              <w:szCs w:val="20"/>
                            </w:rPr>
                            <w:t>KT Mathopo AJ</w:t>
                          </w:r>
                        </w:sdtContent>
                      </w:sdt>
                    </w:p>
                    <w:p w14:paraId="782FBC8E" w14:textId="77777777" w:rsidR="00EA0492" w:rsidRDefault="00EA0492" w:rsidP="00EA0492">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7254A0" w:rsidRPr="00194D88">
        <w:rPr>
          <w:rFonts w:ascii="Arial" w:hAnsi="Arial" w:cs="Arial"/>
          <w:b/>
          <w:bCs/>
          <w:sz w:val="24"/>
          <w:szCs w:val="24"/>
        </w:rPr>
        <w:t>C</w:t>
      </w:r>
      <w:r w:rsidR="00921F2F" w:rsidRPr="00194D88">
        <w:rPr>
          <w:rFonts w:ascii="Arial" w:hAnsi="Arial" w:cs="Arial"/>
          <w:b/>
          <w:bCs/>
          <w:sz w:val="24"/>
          <w:szCs w:val="24"/>
        </w:rPr>
        <w:t xml:space="preserve">ASE NO. </w:t>
      </w:r>
      <w:r w:rsidR="00BF5C20">
        <w:rPr>
          <w:rFonts w:ascii="Arial" w:hAnsi="Arial" w:cs="Arial"/>
          <w:b/>
          <w:bCs/>
          <w:sz w:val="24"/>
          <w:szCs w:val="24"/>
        </w:rPr>
        <w:t>1005/2021</w:t>
      </w:r>
    </w:p>
    <w:p w14:paraId="6CE758EB" w14:textId="49C4B1EE" w:rsidR="007254A0" w:rsidRPr="00194D88" w:rsidRDefault="007254A0" w:rsidP="00194D88">
      <w:pPr>
        <w:spacing w:after="0" w:line="360" w:lineRule="auto"/>
        <w:jc w:val="both"/>
        <w:rPr>
          <w:rFonts w:ascii="Arial" w:hAnsi="Arial" w:cs="Arial"/>
          <w:b/>
          <w:bCs/>
          <w:sz w:val="24"/>
          <w:szCs w:val="24"/>
        </w:rPr>
      </w:pPr>
    </w:p>
    <w:p w14:paraId="43C83089" w14:textId="00DBBA1E" w:rsidR="00EA0492" w:rsidRDefault="00EA0492" w:rsidP="00194D88">
      <w:pPr>
        <w:spacing w:after="0" w:line="360" w:lineRule="auto"/>
        <w:jc w:val="both"/>
        <w:rPr>
          <w:rFonts w:ascii="Arial" w:hAnsi="Arial" w:cs="Arial"/>
          <w:b/>
          <w:bCs/>
          <w:sz w:val="24"/>
          <w:szCs w:val="24"/>
        </w:rPr>
      </w:pPr>
    </w:p>
    <w:p w14:paraId="3D062DD4" w14:textId="77777777" w:rsidR="00EA0492" w:rsidRDefault="00EA0492" w:rsidP="00194D88">
      <w:pPr>
        <w:spacing w:after="0" w:line="360" w:lineRule="auto"/>
        <w:jc w:val="both"/>
        <w:rPr>
          <w:rFonts w:ascii="Arial" w:hAnsi="Arial" w:cs="Arial"/>
          <w:b/>
          <w:bCs/>
          <w:sz w:val="24"/>
          <w:szCs w:val="24"/>
        </w:rPr>
      </w:pPr>
    </w:p>
    <w:p w14:paraId="44714C30" w14:textId="77777777" w:rsidR="00EA0492" w:rsidRDefault="00EA0492" w:rsidP="00194D88">
      <w:pPr>
        <w:spacing w:after="0" w:line="360" w:lineRule="auto"/>
        <w:jc w:val="both"/>
        <w:rPr>
          <w:rFonts w:ascii="Arial" w:hAnsi="Arial" w:cs="Arial"/>
          <w:b/>
          <w:bCs/>
          <w:sz w:val="24"/>
          <w:szCs w:val="24"/>
        </w:rPr>
      </w:pPr>
    </w:p>
    <w:p w14:paraId="024B2CCE" w14:textId="4FD14BC5" w:rsidR="00217AD4" w:rsidRDefault="00EA0492" w:rsidP="00194D88">
      <w:pPr>
        <w:spacing w:after="0" w:line="360" w:lineRule="auto"/>
        <w:jc w:val="both"/>
        <w:rPr>
          <w:rFonts w:ascii="Arial" w:hAnsi="Arial" w:cs="Arial"/>
          <w:b/>
          <w:bCs/>
          <w:sz w:val="24"/>
          <w:szCs w:val="24"/>
        </w:rPr>
      </w:pPr>
      <w:r>
        <w:rPr>
          <w:rFonts w:ascii="Arial" w:hAnsi="Arial" w:cs="Arial"/>
          <w:b/>
          <w:bCs/>
          <w:sz w:val="24"/>
          <w:szCs w:val="24"/>
        </w:rPr>
        <w:t xml:space="preserve"> </w:t>
      </w:r>
      <w:r w:rsidR="007254A0" w:rsidRPr="00194D88">
        <w:rPr>
          <w:rFonts w:ascii="Arial" w:hAnsi="Arial" w:cs="Arial"/>
          <w:b/>
          <w:bCs/>
          <w:sz w:val="24"/>
          <w:szCs w:val="24"/>
        </w:rPr>
        <w:t>In the matter between:</w:t>
      </w:r>
    </w:p>
    <w:p w14:paraId="19029103" w14:textId="77777777" w:rsidR="00194D88" w:rsidRPr="00194D88" w:rsidRDefault="00194D88" w:rsidP="00194D88">
      <w:pPr>
        <w:spacing w:after="0" w:line="360" w:lineRule="auto"/>
        <w:jc w:val="both"/>
        <w:rPr>
          <w:rFonts w:ascii="Arial" w:hAnsi="Arial" w:cs="Arial"/>
          <w:b/>
          <w:bCs/>
          <w:sz w:val="24"/>
          <w:szCs w:val="24"/>
        </w:rPr>
      </w:pPr>
    </w:p>
    <w:tbl>
      <w:tblPr>
        <w:tblW w:w="0" w:type="auto"/>
        <w:tblLook w:val="04A0" w:firstRow="1" w:lastRow="0" w:firstColumn="1" w:lastColumn="0" w:noHBand="0" w:noVBand="1"/>
      </w:tblPr>
      <w:tblGrid>
        <w:gridCol w:w="6318"/>
        <w:gridCol w:w="2352"/>
      </w:tblGrid>
      <w:tr w:rsidR="00BF5C20" w:rsidRPr="00BF5C20" w14:paraId="7BB38C1D" w14:textId="77777777" w:rsidTr="00BF5C20">
        <w:trPr>
          <w:trHeight w:val="523"/>
        </w:trPr>
        <w:tc>
          <w:tcPr>
            <w:tcW w:w="6318" w:type="dxa"/>
            <w:hideMark/>
          </w:tcPr>
          <w:p w14:paraId="6EC65E5C" w14:textId="77777777" w:rsidR="00BF5C20" w:rsidRPr="00BF5C20" w:rsidRDefault="00BF5C20" w:rsidP="00BF5C20">
            <w:pPr>
              <w:spacing w:after="0" w:line="360" w:lineRule="auto"/>
              <w:rPr>
                <w:rFonts w:ascii="Arial" w:hAnsi="Arial" w:cs="Arial"/>
                <w:b/>
                <w:bCs/>
                <w:sz w:val="24"/>
                <w:szCs w:val="24"/>
                <w:lang w:val="en-US"/>
              </w:rPr>
            </w:pPr>
            <w:r w:rsidRPr="00BF5C20">
              <w:rPr>
                <w:rFonts w:ascii="Arial" w:hAnsi="Arial" w:cs="Arial"/>
                <w:b/>
                <w:bCs/>
                <w:sz w:val="24"/>
                <w:szCs w:val="24"/>
                <w:lang w:val="en-US"/>
              </w:rPr>
              <w:t xml:space="preserve">GAOSITWE BUTHOLEZWE MANCHU </w:t>
            </w:r>
          </w:p>
        </w:tc>
        <w:tc>
          <w:tcPr>
            <w:tcW w:w="2352" w:type="dxa"/>
            <w:hideMark/>
          </w:tcPr>
          <w:p w14:paraId="4B1EE7E8" w14:textId="54E4BD92" w:rsidR="00BF5C20" w:rsidRPr="00BF5C20" w:rsidRDefault="004F349C" w:rsidP="00BF5C20">
            <w:pPr>
              <w:spacing w:after="0" w:line="360" w:lineRule="auto"/>
              <w:jc w:val="right"/>
              <w:rPr>
                <w:rFonts w:ascii="Arial" w:hAnsi="Arial" w:cs="Arial"/>
                <w:b/>
                <w:bCs/>
                <w:sz w:val="24"/>
                <w:szCs w:val="24"/>
                <w:lang w:val="en-US"/>
              </w:rPr>
            </w:pPr>
            <w:r>
              <w:rPr>
                <w:rFonts w:ascii="Arial" w:hAnsi="Arial" w:cs="Arial"/>
                <w:b/>
                <w:bCs/>
                <w:sz w:val="24"/>
                <w:szCs w:val="24"/>
                <w:lang w:val="en-US"/>
              </w:rPr>
              <w:t>Plaintiff</w:t>
            </w:r>
          </w:p>
        </w:tc>
      </w:tr>
      <w:tr w:rsidR="00BF5C20" w:rsidRPr="00BF5C20" w14:paraId="004E6910" w14:textId="77777777" w:rsidTr="00BF5C20">
        <w:tc>
          <w:tcPr>
            <w:tcW w:w="6318" w:type="dxa"/>
          </w:tcPr>
          <w:p w14:paraId="321336C3" w14:textId="77777777" w:rsidR="00BF5C20" w:rsidRPr="00BF5C20" w:rsidRDefault="00BF5C20" w:rsidP="00BF5C20">
            <w:pPr>
              <w:spacing w:after="0" w:line="360" w:lineRule="auto"/>
              <w:rPr>
                <w:rFonts w:ascii="Arial" w:hAnsi="Arial" w:cs="Arial"/>
                <w:b/>
                <w:bCs/>
                <w:sz w:val="24"/>
                <w:szCs w:val="24"/>
                <w:lang w:val="en-US"/>
              </w:rPr>
            </w:pPr>
          </w:p>
        </w:tc>
        <w:tc>
          <w:tcPr>
            <w:tcW w:w="2352" w:type="dxa"/>
          </w:tcPr>
          <w:p w14:paraId="2628A4FE" w14:textId="77777777" w:rsidR="00BF5C20" w:rsidRPr="00BF5C20" w:rsidRDefault="00BF5C20" w:rsidP="00BF5C20">
            <w:pPr>
              <w:spacing w:after="0" w:line="360" w:lineRule="auto"/>
              <w:jc w:val="right"/>
              <w:rPr>
                <w:rFonts w:ascii="Arial" w:hAnsi="Arial" w:cs="Arial"/>
                <w:b/>
                <w:bCs/>
                <w:sz w:val="24"/>
                <w:szCs w:val="24"/>
                <w:lang w:val="en-US"/>
              </w:rPr>
            </w:pPr>
          </w:p>
        </w:tc>
      </w:tr>
      <w:tr w:rsidR="00BF5C20" w:rsidRPr="00BF5C20" w14:paraId="595F5F93" w14:textId="77777777" w:rsidTr="00BF5C20">
        <w:tc>
          <w:tcPr>
            <w:tcW w:w="6318" w:type="dxa"/>
            <w:hideMark/>
          </w:tcPr>
          <w:p w14:paraId="5B21348C" w14:textId="77777777" w:rsidR="00BF5C20" w:rsidRPr="00BF5C20" w:rsidRDefault="00BF5C20" w:rsidP="00BF5C20">
            <w:pPr>
              <w:spacing w:after="0" w:line="360" w:lineRule="auto"/>
              <w:rPr>
                <w:rFonts w:ascii="Arial" w:hAnsi="Arial" w:cs="Arial"/>
                <w:b/>
                <w:bCs/>
                <w:sz w:val="24"/>
                <w:szCs w:val="24"/>
                <w:lang w:val="en-US"/>
              </w:rPr>
            </w:pPr>
            <w:r w:rsidRPr="00BF5C20">
              <w:rPr>
                <w:rFonts w:ascii="Arial" w:hAnsi="Arial" w:cs="Arial"/>
                <w:b/>
                <w:bCs/>
                <w:sz w:val="24"/>
                <w:szCs w:val="24"/>
                <w:lang w:val="en-US"/>
              </w:rPr>
              <w:t>and</w:t>
            </w:r>
          </w:p>
        </w:tc>
        <w:tc>
          <w:tcPr>
            <w:tcW w:w="2352" w:type="dxa"/>
          </w:tcPr>
          <w:p w14:paraId="23E9BF5F" w14:textId="77777777" w:rsidR="00BF5C20" w:rsidRPr="00BF5C20" w:rsidRDefault="00BF5C20" w:rsidP="00BF5C20">
            <w:pPr>
              <w:spacing w:after="0" w:line="360" w:lineRule="auto"/>
              <w:jc w:val="right"/>
              <w:rPr>
                <w:rFonts w:ascii="Arial" w:hAnsi="Arial" w:cs="Arial"/>
                <w:b/>
                <w:bCs/>
                <w:sz w:val="24"/>
                <w:szCs w:val="24"/>
                <w:lang w:val="en-US"/>
              </w:rPr>
            </w:pPr>
          </w:p>
        </w:tc>
      </w:tr>
      <w:tr w:rsidR="00BF5C20" w:rsidRPr="00BF5C20" w14:paraId="7A7B249A" w14:textId="77777777" w:rsidTr="00BF5C20">
        <w:tc>
          <w:tcPr>
            <w:tcW w:w="6318" w:type="dxa"/>
          </w:tcPr>
          <w:p w14:paraId="3AE26FDB" w14:textId="77777777" w:rsidR="00BF5C20" w:rsidRPr="00BF5C20" w:rsidRDefault="00BF5C20" w:rsidP="00BF5C20">
            <w:pPr>
              <w:spacing w:after="0" w:line="360" w:lineRule="auto"/>
              <w:rPr>
                <w:rFonts w:ascii="Arial" w:hAnsi="Arial" w:cs="Arial"/>
                <w:b/>
                <w:bCs/>
                <w:sz w:val="24"/>
                <w:szCs w:val="24"/>
                <w:lang w:val="en-US"/>
              </w:rPr>
            </w:pPr>
          </w:p>
        </w:tc>
        <w:tc>
          <w:tcPr>
            <w:tcW w:w="2352" w:type="dxa"/>
          </w:tcPr>
          <w:p w14:paraId="1BE9FC27" w14:textId="77777777" w:rsidR="00BF5C20" w:rsidRPr="00BF5C20" w:rsidRDefault="00BF5C20" w:rsidP="00BF5C20">
            <w:pPr>
              <w:spacing w:after="0" w:line="360" w:lineRule="auto"/>
              <w:jc w:val="right"/>
              <w:rPr>
                <w:rFonts w:ascii="Arial" w:hAnsi="Arial" w:cs="Arial"/>
                <w:b/>
                <w:bCs/>
                <w:sz w:val="24"/>
                <w:szCs w:val="24"/>
                <w:lang w:val="en-US"/>
              </w:rPr>
            </w:pPr>
          </w:p>
        </w:tc>
      </w:tr>
      <w:tr w:rsidR="00BF5C20" w:rsidRPr="00BF5C20" w14:paraId="4D6DF422" w14:textId="77777777" w:rsidTr="00BF5C20">
        <w:tc>
          <w:tcPr>
            <w:tcW w:w="6318" w:type="dxa"/>
            <w:hideMark/>
          </w:tcPr>
          <w:p w14:paraId="6138303D" w14:textId="77777777" w:rsidR="00BF5C20" w:rsidRPr="00BF5C20" w:rsidRDefault="00BF5C20" w:rsidP="00BF5C20">
            <w:pPr>
              <w:spacing w:after="0" w:line="360" w:lineRule="auto"/>
              <w:rPr>
                <w:rFonts w:ascii="Arial" w:hAnsi="Arial" w:cs="Arial"/>
                <w:b/>
                <w:bCs/>
                <w:sz w:val="24"/>
                <w:szCs w:val="24"/>
                <w:lang w:val="en-US"/>
              </w:rPr>
            </w:pPr>
            <w:r w:rsidRPr="00BF5C20">
              <w:rPr>
                <w:rFonts w:ascii="Arial" w:hAnsi="Arial" w:cs="Arial"/>
                <w:b/>
                <w:bCs/>
                <w:sz w:val="24"/>
                <w:szCs w:val="24"/>
                <w:lang w:val="en-US"/>
              </w:rPr>
              <w:t>THE MINISTER OF POLICE</w:t>
            </w:r>
            <w:r w:rsidRPr="00BF5C20">
              <w:rPr>
                <w:rFonts w:ascii="Arial" w:hAnsi="Arial" w:cs="Arial"/>
                <w:b/>
                <w:bCs/>
                <w:sz w:val="24"/>
                <w:szCs w:val="24"/>
                <w:lang w:val="en-US"/>
              </w:rPr>
              <w:fldChar w:fldCharType="begin"/>
            </w:r>
            <w:r w:rsidRPr="00BF5C20">
              <w:rPr>
                <w:rFonts w:ascii="Arial" w:hAnsi="Arial" w:cs="Arial"/>
                <w:b/>
                <w:bCs/>
                <w:sz w:val="24"/>
                <w:szCs w:val="24"/>
              </w:rPr>
              <w:fldChar w:fldCharType="end"/>
            </w:r>
          </w:p>
        </w:tc>
        <w:tc>
          <w:tcPr>
            <w:tcW w:w="2352" w:type="dxa"/>
          </w:tcPr>
          <w:p w14:paraId="439F7D96" w14:textId="54F8283F" w:rsidR="00BF5C20" w:rsidRPr="00BF5C20" w:rsidRDefault="00BF5C20" w:rsidP="00BF5C20">
            <w:pPr>
              <w:spacing w:after="0" w:line="360" w:lineRule="auto"/>
              <w:jc w:val="right"/>
              <w:rPr>
                <w:rFonts w:ascii="Arial" w:hAnsi="Arial" w:cs="Arial"/>
                <w:b/>
                <w:bCs/>
                <w:sz w:val="24"/>
                <w:szCs w:val="24"/>
                <w:lang w:val="en-US"/>
              </w:rPr>
            </w:pPr>
            <w:r w:rsidRPr="00BF5C20">
              <w:rPr>
                <w:rFonts w:ascii="Arial" w:hAnsi="Arial" w:cs="Arial"/>
                <w:b/>
                <w:bCs/>
                <w:sz w:val="24"/>
                <w:szCs w:val="24"/>
                <w:lang w:val="en-US"/>
              </w:rPr>
              <w:t xml:space="preserve">First </w:t>
            </w:r>
            <w:r w:rsidR="004F349C">
              <w:rPr>
                <w:rFonts w:ascii="Arial" w:hAnsi="Arial" w:cs="Arial"/>
                <w:b/>
                <w:bCs/>
                <w:sz w:val="24"/>
                <w:szCs w:val="24"/>
                <w:lang w:val="en-US"/>
              </w:rPr>
              <w:t>Defendant</w:t>
            </w:r>
          </w:p>
          <w:p w14:paraId="58A1ACC5" w14:textId="77777777" w:rsidR="00BF5C20" w:rsidRPr="00BF5C20" w:rsidRDefault="00BF5C20" w:rsidP="00BF5C20">
            <w:pPr>
              <w:spacing w:after="0" w:line="360" w:lineRule="auto"/>
              <w:jc w:val="right"/>
              <w:rPr>
                <w:rFonts w:ascii="Arial" w:hAnsi="Arial" w:cs="Arial"/>
                <w:b/>
                <w:bCs/>
                <w:sz w:val="24"/>
                <w:szCs w:val="24"/>
                <w:lang w:val="en-US"/>
              </w:rPr>
            </w:pPr>
          </w:p>
        </w:tc>
      </w:tr>
      <w:tr w:rsidR="00BF5C20" w:rsidRPr="00BF5C20" w14:paraId="76A0E65F" w14:textId="77777777" w:rsidTr="00BF5C20">
        <w:tc>
          <w:tcPr>
            <w:tcW w:w="6318" w:type="dxa"/>
            <w:hideMark/>
          </w:tcPr>
          <w:p w14:paraId="0E3B8BC7" w14:textId="77777777" w:rsidR="00BF5C20" w:rsidRPr="00BF5C20" w:rsidRDefault="00BF5C20" w:rsidP="00BF5C20">
            <w:pPr>
              <w:spacing w:after="0" w:line="360" w:lineRule="auto"/>
              <w:rPr>
                <w:rFonts w:ascii="Arial" w:hAnsi="Arial" w:cs="Arial"/>
                <w:b/>
                <w:bCs/>
                <w:sz w:val="24"/>
                <w:szCs w:val="24"/>
                <w:lang w:val="en-US"/>
              </w:rPr>
            </w:pPr>
            <w:r w:rsidRPr="00BF5C20">
              <w:rPr>
                <w:rFonts w:ascii="Arial" w:hAnsi="Arial" w:cs="Arial"/>
                <w:b/>
                <w:bCs/>
                <w:sz w:val="24"/>
                <w:szCs w:val="24"/>
                <w:lang w:val="en-US"/>
              </w:rPr>
              <w:t xml:space="preserve">THE MINISTER OF JUSTICE AND CORRECTIONAL SERVICES </w:t>
            </w:r>
          </w:p>
        </w:tc>
        <w:tc>
          <w:tcPr>
            <w:tcW w:w="2352" w:type="dxa"/>
          </w:tcPr>
          <w:p w14:paraId="1D6E1974" w14:textId="068E7062" w:rsidR="00BF5C20" w:rsidRPr="00BF5C20" w:rsidRDefault="00BF5C20" w:rsidP="00BF5C20">
            <w:pPr>
              <w:spacing w:after="0" w:line="360" w:lineRule="auto"/>
              <w:jc w:val="right"/>
              <w:rPr>
                <w:rFonts w:ascii="Arial" w:hAnsi="Arial" w:cs="Arial"/>
                <w:b/>
                <w:bCs/>
                <w:sz w:val="24"/>
                <w:szCs w:val="24"/>
                <w:lang w:val="en-US"/>
              </w:rPr>
            </w:pPr>
            <w:r w:rsidRPr="00BF5C20">
              <w:rPr>
                <w:rFonts w:ascii="Arial" w:hAnsi="Arial" w:cs="Arial"/>
                <w:b/>
                <w:bCs/>
                <w:sz w:val="24"/>
                <w:szCs w:val="24"/>
                <w:lang w:val="en-US"/>
              </w:rPr>
              <w:t xml:space="preserve">Second </w:t>
            </w:r>
            <w:r w:rsidR="004F349C">
              <w:rPr>
                <w:rFonts w:ascii="Arial" w:hAnsi="Arial" w:cs="Arial"/>
                <w:b/>
                <w:bCs/>
                <w:sz w:val="24"/>
                <w:szCs w:val="24"/>
                <w:lang w:val="en-US"/>
              </w:rPr>
              <w:t>Defendant</w:t>
            </w:r>
          </w:p>
          <w:p w14:paraId="23D3278C" w14:textId="77777777" w:rsidR="00BF5C20" w:rsidRPr="00BF5C20" w:rsidRDefault="00BF5C20" w:rsidP="00BF5C20">
            <w:pPr>
              <w:spacing w:after="0" w:line="360" w:lineRule="auto"/>
              <w:jc w:val="right"/>
              <w:rPr>
                <w:rFonts w:ascii="Arial" w:hAnsi="Arial" w:cs="Arial"/>
                <w:b/>
                <w:bCs/>
                <w:sz w:val="24"/>
                <w:szCs w:val="24"/>
                <w:lang w:val="en-US"/>
              </w:rPr>
            </w:pPr>
          </w:p>
        </w:tc>
      </w:tr>
      <w:tr w:rsidR="00BF5C20" w:rsidRPr="00BF5C20" w14:paraId="38DD2D90" w14:textId="77777777" w:rsidTr="00BF5C20">
        <w:tc>
          <w:tcPr>
            <w:tcW w:w="6318" w:type="dxa"/>
            <w:hideMark/>
          </w:tcPr>
          <w:p w14:paraId="15B2B36A" w14:textId="77777777" w:rsidR="00BF5C20" w:rsidRPr="00BF5C20" w:rsidRDefault="00BF5C20" w:rsidP="00BF5C20">
            <w:pPr>
              <w:spacing w:after="0" w:line="360" w:lineRule="auto"/>
              <w:rPr>
                <w:rFonts w:ascii="Arial" w:hAnsi="Arial" w:cs="Arial"/>
                <w:b/>
                <w:bCs/>
                <w:sz w:val="24"/>
                <w:szCs w:val="24"/>
                <w:lang w:val="en-US"/>
              </w:rPr>
            </w:pPr>
            <w:r w:rsidRPr="00BF5C20">
              <w:rPr>
                <w:rFonts w:ascii="Arial" w:hAnsi="Arial" w:cs="Arial"/>
                <w:b/>
                <w:bCs/>
                <w:sz w:val="24"/>
                <w:szCs w:val="24"/>
                <w:lang w:val="en-US"/>
              </w:rPr>
              <w:t xml:space="preserve">GAUTENG PROVINCIAL COMMISSIONER OF THE SOUTH AFRICAN POLICE SERVICES </w:t>
            </w:r>
          </w:p>
        </w:tc>
        <w:tc>
          <w:tcPr>
            <w:tcW w:w="2352" w:type="dxa"/>
            <w:hideMark/>
          </w:tcPr>
          <w:p w14:paraId="0399A860" w14:textId="6306FA43" w:rsidR="00BF5C20" w:rsidRPr="00BF5C20" w:rsidRDefault="00BF5C20" w:rsidP="00BF5C20">
            <w:pPr>
              <w:spacing w:after="0" w:line="360" w:lineRule="auto"/>
              <w:jc w:val="right"/>
              <w:rPr>
                <w:rFonts w:ascii="Arial" w:hAnsi="Arial" w:cs="Arial"/>
                <w:b/>
                <w:bCs/>
                <w:sz w:val="24"/>
                <w:szCs w:val="24"/>
                <w:lang w:val="en-US"/>
              </w:rPr>
            </w:pPr>
            <w:r w:rsidRPr="00BF5C20">
              <w:rPr>
                <w:rFonts w:ascii="Arial" w:hAnsi="Arial" w:cs="Arial"/>
                <w:b/>
                <w:bCs/>
                <w:sz w:val="24"/>
                <w:szCs w:val="24"/>
                <w:lang w:val="en-US"/>
              </w:rPr>
              <w:t xml:space="preserve">Third </w:t>
            </w:r>
            <w:r w:rsidR="004F349C">
              <w:rPr>
                <w:rFonts w:ascii="Arial" w:hAnsi="Arial" w:cs="Arial"/>
                <w:b/>
                <w:bCs/>
                <w:sz w:val="24"/>
                <w:szCs w:val="24"/>
                <w:lang w:val="en-US"/>
              </w:rPr>
              <w:t>Defendant</w:t>
            </w:r>
          </w:p>
        </w:tc>
      </w:tr>
      <w:tr w:rsidR="00BF5C20" w:rsidRPr="00BF5C20" w14:paraId="0BE6BC86" w14:textId="77777777" w:rsidTr="00BF5C20">
        <w:tc>
          <w:tcPr>
            <w:tcW w:w="6318" w:type="dxa"/>
          </w:tcPr>
          <w:p w14:paraId="1829BA1E" w14:textId="77777777" w:rsidR="00BF5C20" w:rsidRPr="00BF5C20" w:rsidRDefault="00BF5C20" w:rsidP="00BF5C20">
            <w:pPr>
              <w:spacing w:after="0" w:line="360" w:lineRule="auto"/>
              <w:rPr>
                <w:rFonts w:ascii="Arial" w:hAnsi="Arial" w:cs="Arial"/>
                <w:b/>
                <w:bCs/>
                <w:sz w:val="24"/>
                <w:szCs w:val="24"/>
                <w:lang w:val="en-US"/>
              </w:rPr>
            </w:pPr>
          </w:p>
        </w:tc>
        <w:tc>
          <w:tcPr>
            <w:tcW w:w="2352" w:type="dxa"/>
          </w:tcPr>
          <w:p w14:paraId="13D5CB58" w14:textId="77777777" w:rsidR="00BF5C20" w:rsidRPr="00BF5C20" w:rsidRDefault="00BF5C20" w:rsidP="00BF5C20">
            <w:pPr>
              <w:spacing w:after="0" w:line="360" w:lineRule="auto"/>
              <w:jc w:val="right"/>
              <w:rPr>
                <w:rFonts w:ascii="Arial" w:hAnsi="Arial" w:cs="Arial"/>
                <w:b/>
                <w:bCs/>
                <w:sz w:val="24"/>
                <w:szCs w:val="24"/>
                <w:lang w:val="en-US"/>
              </w:rPr>
            </w:pPr>
          </w:p>
        </w:tc>
      </w:tr>
      <w:tr w:rsidR="00BF5C20" w:rsidRPr="00BF5C20" w14:paraId="5CDF902D" w14:textId="77777777" w:rsidTr="00BF5C20">
        <w:tc>
          <w:tcPr>
            <w:tcW w:w="6318" w:type="dxa"/>
            <w:hideMark/>
          </w:tcPr>
          <w:p w14:paraId="2DDB1415" w14:textId="77777777" w:rsidR="00BF5C20" w:rsidRPr="00BF5C20" w:rsidRDefault="00BF5C20" w:rsidP="00BF5C20">
            <w:pPr>
              <w:spacing w:after="0" w:line="360" w:lineRule="auto"/>
              <w:rPr>
                <w:rFonts w:ascii="Arial" w:hAnsi="Arial" w:cs="Arial"/>
                <w:b/>
                <w:bCs/>
                <w:sz w:val="24"/>
                <w:szCs w:val="24"/>
                <w:lang w:val="en-US"/>
              </w:rPr>
            </w:pPr>
            <w:r w:rsidRPr="00BF5C20">
              <w:rPr>
                <w:rFonts w:ascii="Arial" w:hAnsi="Arial" w:cs="Arial"/>
                <w:b/>
                <w:bCs/>
                <w:sz w:val="24"/>
                <w:szCs w:val="24"/>
                <w:lang w:val="en-US"/>
              </w:rPr>
              <w:t xml:space="preserve">THE NATIONAL DIRECTOR OF PUBLIC PROSECUTIONS / THE NATIONAL PROSECUTING AUTHORITY </w:t>
            </w:r>
          </w:p>
        </w:tc>
        <w:tc>
          <w:tcPr>
            <w:tcW w:w="2352" w:type="dxa"/>
          </w:tcPr>
          <w:p w14:paraId="489E3455" w14:textId="4A959757" w:rsidR="00BF5C20" w:rsidRPr="00BF5C20" w:rsidRDefault="00BF5C20" w:rsidP="00BF5C20">
            <w:pPr>
              <w:spacing w:after="0" w:line="360" w:lineRule="auto"/>
              <w:jc w:val="right"/>
              <w:rPr>
                <w:rFonts w:ascii="Arial" w:hAnsi="Arial" w:cs="Arial"/>
                <w:b/>
                <w:bCs/>
                <w:sz w:val="24"/>
                <w:szCs w:val="24"/>
                <w:lang w:val="en-US"/>
              </w:rPr>
            </w:pPr>
            <w:r w:rsidRPr="00BF5C20">
              <w:rPr>
                <w:rFonts w:ascii="Arial" w:hAnsi="Arial" w:cs="Arial"/>
                <w:b/>
                <w:bCs/>
                <w:sz w:val="24"/>
                <w:szCs w:val="24"/>
                <w:lang w:val="en-US"/>
              </w:rPr>
              <w:t xml:space="preserve">Fourth </w:t>
            </w:r>
            <w:r w:rsidR="004F349C">
              <w:rPr>
                <w:rFonts w:ascii="Arial" w:hAnsi="Arial" w:cs="Arial"/>
                <w:b/>
                <w:bCs/>
                <w:sz w:val="24"/>
                <w:szCs w:val="24"/>
                <w:lang w:val="en-US"/>
              </w:rPr>
              <w:t>Defendant</w:t>
            </w:r>
          </w:p>
          <w:p w14:paraId="784A7E63" w14:textId="77777777" w:rsidR="00BF5C20" w:rsidRPr="00BF5C20" w:rsidRDefault="00BF5C20" w:rsidP="00BF5C20">
            <w:pPr>
              <w:spacing w:after="0" w:line="360" w:lineRule="auto"/>
              <w:jc w:val="right"/>
              <w:rPr>
                <w:rFonts w:ascii="Arial" w:hAnsi="Arial" w:cs="Arial"/>
                <w:b/>
                <w:bCs/>
                <w:sz w:val="24"/>
                <w:szCs w:val="24"/>
                <w:lang w:val="en-US"/>
              </w:rPr>
            </w:pPr>
          </w:p>
        </w:tc>
      </w:tr>
    </w:tbl>
    <w:p w14:paraId="017C84E2" w14:textId="77777777" w:rsidR="00AC0861" w:rsidRPr="00194D88" w:rsidRDefault="00AC0861" w:rsidP="00194D88">
      <w:pPr>
        <w:spacing w:after="0" w:line="360" w:lineRule="auto"/>
        <w:jc w:val="both"/>
        <w:rPr>
          <w:rFonts w:ascii="Arial" w:hAnsi="Arial" w:cs="Arial"/>
          <w:b/>
          <w:bCs/>
          <w:sz w:val="24"/>
          <w:szCs w:val="24"/>
        </w:rPr>
      </w:pPr>
    </w:p>
    <w:p w14:paraId="127C0DD9" w14:textId="77777777" w:rsidR="007847F8" w:rsidRDefault="007847F8" w:rsidP="00194D88">
      <w:pPr>
        <w:spacing w:after="0" w:line="360" w:lineRule="auto"/>
        <w:jc w:val="center"/>
        <w:rPr>
          <w:rFonts w:ascii="Arial" w:hAnsi="Arial" w:cs="Arial"/>
          <w:b/>
          <w:bCs/>
          <w:sz w:val="24"/>
          <w:szCs w:val="24"/>
        </w:rPr>
      </w:pPr>
    </w:p>
    <w:p w14:paraId="7D31313B" w14:textId="2F0F7193" w:rsidR="007847F8" w:rsidRDefault="007847F8" w:rsidP="007D69C7">
      <w:pPr>
        <w:spacing w:after="0" w:line="360" w:lineRule="auto"/>
        <w:rPr>
          <w:rFonts w:ascii="Arial" w:hAnsi="Arial" w:cs="Arial"/>
          <w:b/>
          <w:bCs/>
          <w:sz w:val="24"/>
          <w:szCs w:val="24"/>
        </w:rPr>
      </w:pPr>
    </w:p>
    <w:p w14:paraId="49F1A85C" w14:textId="6070C1C7" w:rsidR="0051672E" w:rsidRPr="0051672E" w:rsidRDefault="0051672E" w:rsidP="00194D88">
      <w:pPr>
        <w:spacing w:after="0" w:line="360" w:lineRule="auto"/>
        <w:jc w:val="center"/>
        <w:rPr>
          <w:rFonts w:ascii="Arial" w:hAnsi="Arial" w:cs="Arial"/>
          <w:b/>
          <w:bCs/>
          <w:sz w:val="24"/>
          <w:szCs w:val="24"/>
          <w:u w:val="single"/>
        </w:rPr>
      </w:pPr>
      <w:r>
        <w:rPr>
          <w:rFonts w:ascii="Arial" w:hAnsi="Arial" w:cs="Arial"/>
          <w:b/>
          <w:bCs/>
          <w:sz w:val="24"/>
          <w:szCs w:val="24"/>
          <w:u w:val="single"/>
        </w:rPr>
        <w:lastRenderedPageBreak/>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2102723F" w14:textId="3C2BF3B5" w:rsidR="00726E90" w:rsidRDefault="00921F2F" w:rsidP="00194D88">
      <w:pPr>
        <w:spacing w:after="0" w:line="360" w:lineRule="auto"/>
        <w:jc w:val="center"/>
        <w:rPr>
          <w:rFonts w:ascii="Arial" w:hAnsi="Arial" w:cs="Arial"/>
          <w:b/>
          <w:bCs/>
          <w:sz w:val="24"/>
          <w:szCs w:val="24"/>
        </w:rPr>
      </w:pPr>
      <w:r w:rsidRPr="00194D88">
        <w:rPr>
          <w:rFonts w:ascii="Arial" w:hAnsi="Arial" w:cs="Arial"/>
          <w:b/>
          <w:bCs/>
          <w:sz w:val="24"/>
          <w:szCs w:val="24"/>
        </w:rPr>
        <w:t xml:space="preserve"> JUDGMENT</w:t>
      </w:r>
    </w:p>
    <w:p w14:paraId="452A6E82" w14:textId="6CCD0BDF" w:rsidR="0051672E" w:rsidRPr="0051672E" w:rsidRDefault="0051672E" w:rsidP="00194D88">
      <w:pPr>
        <w:spacing w:after="0" w:line="360" w:lineRule="auto"/>
        <w:jc w:val="center"/>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5E5B1CD" w14:textId="77777777" w:rsidR="0011733E" w:rsidRPr="00194D88" w:rsidRDefault="0011733E" w:rsidP="00194D88">
      <w:pPr>
        <w:spacing w:after="0" w:line="360" w:lineRule="auto"/>
        <w:jc w:val="both"/>
        <w:rPr>
          <w:rFonts w:ascii="Arial" w:hAnsi="Arial" w:cs="Arial"/>
          <w:b/>
          <w:bCs/>
          <w:sz w:val="24"/>
          <w:szCs w:val="24"/>
        </w:rPr>
      </w:pPr>
    </w:p>
    <w:p w14:paraId="07E305CB" w14:textId="5E8C78C8" w:rsidR="00921F2F" w:rsidRPr="0051672E" w:rsidRDefault="00BF5C20" w:rsidP="00194D88">
      <w:pPr>
        <w:spacing w:after="0" w:line="360" w:lineRule="auto"/>
        <w:jc w:val="both"/>
        <w:rPr>
          <w:rFonts w:ascii="Arial" w:hAnsi="Arial" w:cs="Arial"/>
          <w:b/>
          <w:bCs/>
          <w:sz w:val="24"/>
          <w:szCs w:val="24"/>
          <w:u w:val="single"/>
        </w:rPr>
      </w:pPr>
      <w:r w:rsidRPr="0051672E">
        <w:rPr>
          <w:rFonts w:ascii="Arial" w:hAnsi="Arial" w:cs="Arial"/>
          <w:b/>
          <w:bCs/>
          <w:sz w:val="24"/>
          <w:szCs w:val="24"/>
          <w:u w:val="single"/>
        </w:rPr>
        <w:t>KT MATHOPO</w:t>
      </w:r>
      <w:r w:rsidR="008C5027" w:rsidRPr="0051672E">
        <w:rPr>
          <w:rFonts w:ascii="Arial" w:hAnsi="Arial" w:cs="Arial"/>
          <w:b/>
          <w:bCs/>
          <w:sz w:val="24"/>
          <w:szCs w:val="24"/>
          <w:u w:val="single"/>
        </w:rPr>
        <w:t xml:space="preserve"> </w:t>
      </w:r>
      <w:r w:rsidR="00921F2F" w:rsidRPr="0051672E">
        <w:rPr>
          <w:rFonts w:ascii="Arial" w:hAnsi="Arial" w:cs="Arial"/>
          <w:b/>
          <w:bCs/>
          <w:sz w:val="24"/>
          <w:szCs w:val="24"/>
          <w:u w:val="single"/>
        </w:rPr>
        <w:t>AJ</w:t>
      </w:r>
      <w:r w:rsidR="0051672E">
        <w:rPr>
          <w:rFonts w:ascii="Arial" w:hAnsi="Arial" w:cs="Arial"/>
          <w:b/>
          <w:bCs/>
          <w:sz w:val="24"/>
          <w:szCs w:val="24"/>
          <w:u w:val="single"/>
        </w:rPr>
        <w:t>:</w:t>
      </w:r>
    </w:p>
    <w:p w14:paraId="2B61DF71" w14:textId="77777777" w:rsidR="00194D88" w:rsidRPr="00194D88" w:rsidRDefault="00194D88" w:rsidP="00194D88">
      <w:pPr>
        <w:spacing w:after="0" w:line="360" w:lineRule="auto"/>
        <w:jc w:val="both"/>
        <w:rPr>
          <w:rFonts w:ascii="Arial" w:hAnsi="Arial" w:cs="Arial"/>
          <w:b/>
          <w:bCs/>
          <w:sz w:val="24"/>
          <w:szCs w:val="24"/>
        </w:rPr>
      </w:pPr>
    </w:p>
    <w:p w14:paraId="64C5A959" w14:textId="3CC1482A" w:rsidR="00921F2F" w:rsidRPr="0051672E" w:rsidRDefault="007D69C7" w:rsidP="00194D88">
      <w:pPr>
        <w:spacing w:after="0" w:line="360" w:lineRule="auto"/>
        <w:jc w:val="both"/>
        <w:rPr>
          <w:rFonts w:ascii="Arial" w:hAnsi="Arial" w:cs="Arial"/>
          <w:b/>
          <w:bCs/>
          <w:sz w:val="24"/>
          <w:szCs w:val="24"/>
          <w:u w:val="single"/>
        </w:rPr>
      </w:pPr>
      <w:r>
        <w:rPr>
          <w:rFonts w:ascii="Arial" w:hAnsi="Arial" w:cs="Arial"/>
          <w:b/>
          <w:bCs/>
          <w:sz w:val="24"/>
          <w:szCs w:val="24"/>
          <w:u w:val="single"/>
        </w:rPr>
        <w:t>INTRODUCTION</w:t>
      </w:r>
    </w:p>
    <w:p w14:paraId="7F6E9068" w14:textId="77777777" w:rsidR="0010119E" w:rsidRDefault="0010119E" w:rsidP="00194D88">
      <w:pPr>
        <w:spacing w:after="360" w:line="360" w:lineRule="auto"/>
        <w:jc w:val="both"/>
        <w:rPr>
          <w:rFonts w:ascii="Arial" w:hAnsi="Arial" w:cs="Arial"/>
          <w:sz w:val="24"/>
          <w:szCs w:val="24"/>
        </w:rPr>
      </w:pPr>
    </w:p>
    <w:p w14:paraId="479AAAE6" w14:textId="6EA349AD" w:rsidR="00644BB6"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44BB6" w:rsidRPr="00B257D7">
        <w:rPr>
          <w:rFonts w:ascii="Arial" w:hAnsi="Arial" w:cs="Arial"/>
          <w:sz w:val="24"/>
          <w:szCs w:val="24"/>
        </w:rPr>
        <w:t>This is an action in which t</w:t>
      </w:r>
      <w:r w:rsidR="0010119E" w:rsidRPr="00B257D7">
        <w:rPr>
          <w:rFonts w:ascii="Arial" w:hAnsi="Arial" w:cs="Arial"/>
          <w:sz w:val="24"/>
          <w:szCs w:val="24"/>
        </w:rPr>
        <w:t xml:space="preserve">he </w:t>
      </w:r>
      <w:r w:rsidR="004F349C" w:rsidRPr="00B257D7">
        <w:rPr>
          <w:rFonts w:ascii="Arial" w:hAnsi="Arial" w:cs="Arial"/>
          <w:sz w:val="24"/>
          <w:szCs w:val="24"/>
        </w:rPr>
        <w:t>plaintiff</w:t>
      </w:r>
      <w:r w:rsidR="0010119E" w:rsidRPr="00B257D7">
        <w:rPr>
          <w:rFonts w:ascii="Arial" w:hAnsi="Arial" w:cs="Arial"/>
          <w:sz w:val="24"/>
          <w:szCs w:val="24"/>
        </w:rPr>
        <w:t xml:space="preserve"> issued summons in this court </w:t>
      </w:r>
      <w:r w:rsidR="00644BB6" w:rsidRPr="00B257D7">
        <w:rPr>
          <w:rFonts w:ascii="Arial" w:hAnsi="Arial" w:cs="Arial"/>
          <w:sz w:val="24"/>
          <w:szCs w:val="24"/>
        </w:rPr>
        <w:t xml:space="preserve">for </w:t>
      </w:r>
      <w:r w:rsidR="0010119E" w:rsidRPr="00B257D7">
        <w:rPr>
          <w:rFonts w:ascii="Arial" w:hAnsi="Arial" w:cs="Arial"/>
          <w:sz w:val="24"/>
          <w:szCs w:val="24"/>
        </w:rPr>
        <w:t>damages for</w:t>
      </w:r>
      <w:r w:rsidR="007E0284" w:rsidRPr="00B257D7">
        <w:rPr>
          <w:rFonts w:ascii="Arial" w:hAnsi="Arial" w:cs="Arial"/>
          <w:sz w:val="24"/>
          <w:szCs w:val="24"/>
        </w:rPr>
        <w:t xml:space="preserve"> </w:t>
      </w:r>
      <w:r w:rsidR="0010119E" w:rsidRPr="00B257D7">
        <w:rPr>
          <w:rFonts w:ascii="Arial" w:hAnsi="Arial" w:cs="Arial"/>
          <w:sz w:val="24"/>
          <w:szCs w:val="24"/>
        </w:rPr>
        <w:t>unlawful arrest</w:t>
      </w:r>
      <w:r w:rsidR="008004DD" w:rsidRPr="00B257D7">
        <w:rPr>
          <w:rFonts w:ascii="Arial" w:hAnsi="Arial" w:cs="Arial"/>
          <w:sz w:val="24"/>
          <w:szCs w:val="24"/>
        </w:rPr>
        <w:t xml:space="preserve"> </w:t>
      </w:r>
      <w:r w:rsidR="00644BB6" w:rsidRPr="00B257D7">
        <w:rPr>
          <w:rFonts w:ascii="Arial" w:hAnsi="Arial" w:cs="Arial"/>
          <w:sz w:val="24"/>
          <w:szCs w:val="24"/>
        </w:rPr>
        <w:t>(Claim A)</w:t>
      </w:r>
      <w:r w:rsidR="0010119E" w:rsidRPr="00B257D7">
        <w:rPr>
          <w:rFonts w:ascii="Arial" w:hAnsi="Arial" w:cs="Arial"/>
          <w:sz w:val="24"/>
          <w:szCs w:val="24"/>
        </w:rPr>
        <w:t>, unlawful detention</w:t>
      </w:r>
      <w:r w:rsidR="00644BB6" w:rsidRPr="00B257D7">
        <w:rPr>
          <w:rFonts w:ascii="Arial" w:hAnsi="Arial" w:cs="Arial"/>
          <w:sz w:val="24"/>
          <w:szCs w:val="24"/>
        </w:rPr>
        <w:t>(Claim B)</w:t>
      </w:r>
      <w:r w:rsidR="0010119E" w:rsidRPr="00B257D7">
        <w:rPr>
          <w:rFonts w:ascii="Arial" w:hAnsi="Arial" w:cs="Arial"/>
          <w:sz w:val="24"/>
          <w:szCs w:val="24"/>
        </w:rPr>
        <w:t xml:space="preserve">, malicious </w:t>
      </w:r>
      <w:r w:rsidR="006E3F90" w:rsidRPr="00B257D7">
        <w:rPr>
          <w:rFonts w:ascii="Arial" w:hAnsi="Arial" w:cs="Arial"/>
          <w:sz w:val="24"/>
          <w:szCs w:val="24"/>
        </w:rPr>
        <w:t>prosecution</w:t>
      </w:r>
      <w:r w:rsidR="00644BB6" w:rsidRPr="00B257D7">
        <w:rPr>
          <w:rFonts w:ascii="Arial" w:hAnsi="Arial" w:cs="Arial"/>
          <w:sz w:val="24"/>
          <w:szCs w:val="24"/>
        </w:rPr>
        <w:t>(Claim C)</w:t>
      </w:r>
      <w:r w:rsidR="006E3F90" w:rsidRPr="00B257D7">
        <w:rPr>
          <w:rFonts w:ascii="Arial" w:hAnsi="Arial" w:cs="Arial"/>
          <w:sz w:val="24"/>
          <w:szCs w:val="24"/>
        </w:rPr>
        <w:t xml:space="preserve"> and a loss of earnings</w:t>
      </w:r>
      <w:r w:rsidR="00644BB6" w:rsidRPr="00B257D7">
        <w:rPr>
          <w:rFonts w:ascii="Arial" w:hAnsi="Arial" w:cs="Arial"/>
          <w:sz w:val="24"/>
          <w:szCs w:val="24"/>
        </w:rPr>
        <w:t>(Claim D)</w:t>
      </w:r>
      <w:r w:rsidR="006E3F90" w:rsidRPr="00B257D7">
        <w:rPr>
          <w:rFonts w:ascii="Arial" w:hAnsi="Arial" w:cs="Arial"/>
          <w:sz w:val="24"/>
          <w:szCs w:val="24"/>
        </w:rPr>
        <w:t>. Summons were served on the 20</w:t>
      </w:r>
      <w:r w:rsidR="006E3F90" w:rsidRPr="00B257D7">
        <w:rPr>
          <w:rFonts w:ascii="Arial" w:hAnsi="Arial" w:cs="Arial"/>
          <w:sz w:val="24"/>
          <w:szCs w:val="24"/>
          <w:vertAlign w:val="superscript"/>
        </w:rPr>
        <w:t>th</w:t>
      </w:r>
      <w:r w:rsidR="006E3F90" w:rsidRPr="00B257D7">
        <w:rPr>
          <w:rFonts w:ascii="Arial" w:hAnsi="Arial" w:cs="Arial"/>
          <w:sz w:val="24"/>
          <w:szCs w:val="24"/>
        </w:rPr>
        <w:t xml:space="preserve"> of January 2021.</w:t>
      </w:r>
      <w:r w:rsidR="00644BB6" w:rsidRPr="00B257D7">
        <w:rPr>
          <w:rFonts w:ascii="Arial" w:hAnsi="Arial" w:cs="Arial"/>
          <w:sz w:val="24"/>
          <w:szCs w:val="24"/>
        </w:rPr>
        <w:t xml:space="preserve"> </w:t>
      </w:r>
    </w:p>
    <w:p w14:paraId="3DE52B24" w14:textId="77777777" w:rsidR="00644BB6" w:rsidRDefault="00644BB6" w:rsidP="00644BB6">
      <w:pPr>
        <w:pStyle w:val="ListParagraph"/>
        <w:spacing w:after="360" w:line="360" w:lineRule="auto"/>
        <w:jc w:val="both"/>
        <w:rPr>
          <w:rFonts w:ascii="Arial" w:hAnsi="Arial" w:cs="Arial"/>
          <w:sz w:val="24"/>
          <w:szCs w:val="24"/>
        </w:rPr>
      </w:pPr>
    </w:p>
    <w:p w14:paraId="093B318D" w14:textId="31727918" w:rsidR="00741FF8"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644BB6" w:rsidRPr="00B257D7">
        <w:rPr>
          <w:rFonts w:ascii="Arial" w:hAnsi="Arial" w:cs="Arial"/>
          <w:sz w:val="24"/>
          <w:szCs w:val="24"/>
        </w:rPr>
        <w:t xml:space="preserve">The action was instituted against the Minster of Police (“first </w:t>
      </w:r>
      <w:r w:rsidR="004F349C" w:rsidRPr="00B257D7">
        <w:rPr>
          <w:rFonts w:ascii="Arial" w:hAnsi="Arial" w:cs="Arial"/>
          <w:sz w:val="24"/>
          <w:szCs w:val="24"/>
        </w:rPr>
        <w:t>defendant</w:t>
      </w:r>
      <w:r w:rsidR="00644BB6" w:rsidRPr="00B257D7">
        <w:rPr>
          <w:rFonts w:ascii="Arial" w:hAnsi="Arial" w:cs="Arial"/>
          <w:sz w:val="24"/>
          <w:szCs w:val="24"/>
        </w:rPr>
        <w:t xml:space="preserve">”), Minister of Justice and Correctional Services (“second </w:t>
      </w:r>
      <w:r w:rsidR="004F349C" w:rsidRPr="00B257D7">
        <w:rPr>
          <w:rFonts w:ascii="Arial" w:hAnsi="Arial" w:cs="Arial"/>
          <w:sz w:val="24"/>
          <w:szCs w:val="24"/>
        </w:rPr>
        <w:t>defendant</w:t>
      </w:r>
      <w:r w:rsidR="00644BB6" w:rsidRPr="00B257D7">
        <w:rPr>
          <w:rFonts w:ascii="Arial" w:hAnsi="Arial" w:cs="Arial"/>
          <w:sz w:val="24"/>
          <w:szCs w:val="24"/>
        </w:rPr>
        <w:t xml:space="preserve">”), Gauteng Provincial commissioner of the South African Police Services (“third </w:t>
      </w:r>
      <w:r w:rsidR="004F349C" w:rsidRPr="00B257D7">
        <w:rPr>
          <w:rFonts w:ascii="Arial" w:hAnsi="Arial" w:cs="Arial"/>
          <w:sz w:val="24"/>
          <w:szCs w:val="24"/>
        </w:rPr>
        <w:t>defendant</w:t>
      </w:r>
      <w:r w:rsidR="00644BB6" w:rsidRPr="00B257D7">
        <w:rPr>
          <w:rFonts w:ascii="Arial" w:hAnsi="Arial" w:cs="Arial"/>
          <w:sz w:val="24"/>
          <w:szCs w:val="24"/>
        </w:rPr>
        <w:t xml:space="preserve">”) and the National Director of Public Prosecutions or National Prosecuting Authority  (“fourth </w:t>
      </w:r>
      <w:r w:rsidR="004F349C" w:rsidRPr="00B257D7">
        <w:rPr>
          <w:rFonts w:ascii="Arial" w:hAnsi="Arial" w:cs="Arial"/>
          <w:sz w:val="24"/>
          <w:szCs w:val="24"/>
        </w:rPr>
        <w:t>defendant</w:t>
      </w:r>
      <w:r w:rsidR="00644BB6" w:rsidRPr="00B257D7">
        <w:rPr>
          <w:rFonts w:ascii="Arial" w:hAnsi="Arial" w:cs="Arial"/>
          <w:sz w:val="24"/>
          <w:szCs w:val="24"/>
        </w:rPr>
        <w:t xml:space="preserve">”). The </w:t>
      </w:r>
      <w:r w:rsidR="004F349C" w:rsidRPr="00B257D7">
        <w:rPr>
          <w:rFonts w:ascii="Arial" w:hAnsi="Arial" w:cs="Arial"/>
          <w:sz w:val="24"/>
          <w:szCs w:val="24"/>
        </w:rPr>
        <w:t>Plaintiff</w:t>
      </w:r>
      <w:r w:rsidR="00644BB6" w:rsidRPr="00B257D7">
        <w:rPr>
          <w:rFonts w:ascii="Arial" w:hAnsi="Arial" w:cs="Arial"/>
          <w:sz w:val="24"/>
          <w:szCs w:val="24"/>
        </w:rPr>
        <w:t xml:space="preserve"> seeks that all the </w:t>
      </w:r>
      <w:r w:rsidR="004F349C" w:rsidRPr="00B257D7">
        <w:rPr>
          <w:rFonts w:ascii="Arial" w:hAnsi="Arial" w:cs="Arial"/>
          <w:sz w:val="24"/>
          <w:szCs w:val="24"/>
        </w:rPr>
        <w:t>Defendant</w:t>
      </w:r>
      <w:r w:rsidR="008F49F5" w:rsidRPr="00B257D7">
        <w:rPr>
          <w:rFonts w:ascii="Arial" w:hAnsi="Arial" w:cs="Arial"/>
          <w:sz w:val="24"/>
          <w:szCs w:val="24"/>
        </w:rPr>
        <w:t>s</w:t>
      </w:r>
      <w:r w:rsidR="00644BB6" w:rsidRPr="00B257D7">
        <w:rPr>
          <w:rFonts w:ascii="Arial" w:hAnsi="Arial" w:cs="Arial"/>
          <w:sz w:val="24"/>
          <w:szCs w:val="24"/>
        </w:rPr>
        <w:t xml:space="preserve"> be jointly and severally liable for all claims.</w:t>
      </w:r>
    </w:p>
    <w:p w14:paraId="0180DD3C" w14:textId="77777777" w:rsidR="005666F3" w:rsidRPr="0051672E" w:rsidRDefault="005666F3" w:rsidP="0051672E">
      <w:pPr>
        <w:rPr>
          <w:rFonts w:ascii="Arial" w:hAnsi="Arial" w:cs="Arial"/>
          <w:sz w:val="24"/>
          <w:szCs w:val="24"/>
        </w:rPr>
      </w:pPr>
    </w:p>
    <w:p w14:paraId="6850DED1" w14:textId="1FB2ADE1" w:rsidR="005666F3" w:rsidRPr="0051672E" w:rsidRDefault="005666F3" w:rsidP="007D69C7">
      <w:pPr>
        <w:spacing w:after="360" w:line="360" w:lineRule="auto"/>
        <w:jc w:val="both"/>
        <w:rPr>
          <w:rFonts w:ascii="Arial" w:hAnsi="Arial" w:cs="Arial"/>
          <w:b/>
          <w:bCs/>
          <w:sz w:val="24"/>
          <w:szCs w:val="24"/>
          <w:u w:val="single"/>
        </w:rPr>
      </w:pPr>
      <w:r w:rsidRPr="0051672E">
        <w:rPr>
          <w:rFonts w:ascii="Arial" w:hAnsi="Arial" w:cs="Arial"/>
          <w:b/>
          <w:bCs/>
          <w:sz w:val="24"/>
          <w:szCs w:val="24"/>
          <w:u w:val="single"/>
        </w:rPr>
        <w:t xml:space="preserve">BACKGROUND </w:t>
      </w:r>
    </w:p>
    <w:p w14:paraId="3404EB67" w14:textId="77777777" w:rsidR="005666F3" w:rsidRPr="005666F3" w:rsidRDefault="005666F3" w:rsidP="005666F3">
      <w:pPr>
        <w:pStyle w:val="ListParagraph"/>
        <w:rPr>
          <w:rFonts w:ascii="Arial" w:hAnsi="Arial" w:cs="Arial"/>
          <w:sz w:val="24"/>
          <w:szCs w:val="24"/>
        </w:rPr>
      </w:pPr>
    </w:p>
    <w:p w14:paraId="201D11A1" w14:textId="627DD369" w:rsidR="008264AB"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863167" w:rsidRPr="00B257D7">
        <w:rPr>
          <w:rFonts w:ascii="Arial" w:hAnsi="Arial" w:cs="Arial"/>
          <w:sz w:val="24"/>
          <w:szCs w:val="24"/>
        </w:rPr>
        <w:t>O</w:t>
      </w:r>
      <w:r w:rsidR="005666F3" w:rsidRPr="00B257D7">
        <w:rPr>
          <w:rFonts w:ascii="Arial" w:hAnsi="Arial" w:cs="Arial"/>
          <w:sz w:val="24"/>
          <w:szCs w:val="24"/>
        </w:rPr>
        <w:t>n</w:t>
      </w:r>
      <w:r w:rsidR="00863167" w:rsidRPr="00B257D7">
        <w:rPr>
          <w:rFonts w:ascii="Arial" w:hAnsi="Arial" w:cs="Arial"/>
          <w:sz w:val="24"/>
          <w:szCs w:val="24"/>
        </w:rPr>
        <w:t xml:space="preserve"> the </w:t>
      </w:r>
      <w:r w:rsidR="005666F3" w:rsidRPr="00B257D7">
        <w:rPr>
          <w:rFonts w:ascii="Arial" w:hAnsi="Arial" w:cs="Arial"/>
          <w:sz w:val="24"/>
          <w:szCs w:val="24"/>
        </w:rPr>
        <w:t>10</w:t>
      </w:r>
      <w:r w:rsidR="009E2FC5" w:rsidRPr="00B257D7">
        <w:rPr>
          <w:rFonts w:ascii="Arial" w:hAnsi="Arial" w:cs="Arial"/>
          <w:sz w:val="24"/>
          <w:szCs w:val="24"/>
          <w:vertAlign w:val="superscript"/>
        </w:rPr>
        <w:t>th</w:t>
      </w:r>
      <w:r w:rsidR="009E2FC5" w:rsidRPr="00B257D7">
        <w:rPr>
          <w:rFonts w:ascii="Arial" w:hAnsi="Arial" w:cs="Arial"/>
          <w:sz w:val="24"/>
          <w:szCs w:val="24"/>
        </w:rPr>
        <w:t xml:space="preserve"> of</w:t>
      </w:r>
      <w:r w:rsidR="005666F3" w:rsidRPr="00B257D7">
        <w:rPr>
          <w:rFonts w:ascii="Arial" w:hAnsi="Arial" w:cs="Arial"/>
          <w:sz w:val="24"/>
          <w:szCs w:val="24"/>
        </w:rPr>
        <w:t xml:space="preserve"> September 2014, the </w:t>
      </w:r>
      <w:r w:rsidR="00826C36" w:rsidRPr="00B257D7">
        <w:rPr>
          <w:rFonts w:ascii="Arial" w:hAnsi="Arial" w:cs="Arial"/>
          <w:sz w:val="24"/>
          <w:szCs w:val="24"/>
        </w:rPr>
        <w:t>p</w:t>
      </w:r>
      <w:r w:rsidR="004F349C" w:rsidRPr="00B257D7">
        <w:rPr>
          <w:rFonts w:ascii="Arial" w:hAnsi="Arial" w:cs="Arial"/>
          <w:sz w:val="24"/>
          <w:szCs w:val="24"/>
        </w:rPr>
        <w:t>laintiff</w:t>
      </w:r>
      <w:r w:rsidR="005666F3" w:rsidRPr="00B257D7">
        <w:rPr>
          <w:rFonts w:ascii="Arial" w:hAnsi="Arial" w:cs="Arial"/>
          <w:sz w:val="24"/>
          <w:szCs w:val="24"/>
        </w:rPr>
        <w:t xml:space="preserve"> claim</w:t>
      </w:r>
      <w:r w:rsidR="009E2FC5" w:rsidRPr="00B257D7">
        <w:rPr>
          <w:rFonts w:ascii="Arial" w:hAnsi="Arial" w:cs="Arial"/>
          <w:sz w:val="24"/>
          <w:szCs w:val="24"/>
        </w:rPr>
        <w:t>ed</w:t>
      </w:r>
      <w:r w:rsidR="005666F3" w:rsidRPr="00B257D7">
        <w:rPr>
          <w:rFonts w:ascii="Arial" w:hAnsi="Arial" w:cs="Arial"/>
          <w:sz w:val="24"/>
          <w:szCs w:val="24"/>
        </w:rPr>
        <w:t xml:space="preserve"> that he was arrested by members of the South African Police Service(“SAPS”) </w:t>
      </w:r>
      <w:r w:rsidR="00695C1F" w:rsidRPr="00B257D7">
        <w:rPr>
          <w:rFonts w:ascii="Arial" w:hAnsi="Arial" w:cs="Arial"/>
          <w:sz w:val="24"/>
          <w:szCs w:val="24"/>
        </w:rPr>
        <w:t xml:space="preserve">near </w:t>
      </w:r>
      <w:r w:rsidR="00D426B5" w:rsidRPr="00B257D7">
        <w:rPr>
          <w:rFonts w:ascii="Arial" w:hAnsi="Arial" w:cs="Arial"/>
          <w:sz w:val="24"/>
          <w:szCs w:val="24"/>
        </w:rPr>
        <w:t>B</w:t>
      </w:r>
      <w:r w:rsidR="00695C1F" w:rsidRPr="00B257D7">
        <w:rPr>
          <w:rFonts w:ascii="Arial" w:hAnsi="Arial" w:cs="Arial"/>
          <w:sz w:val="24"/>
          <w:szCs w:val="24"/>
        </w:rPr>
        <w:t>loubosrand</w:t>
      </w:r>
      <w:r w:rsidR="005666F3" w:rsidRPr="00B257D7">
        <w:rPr>
          <w:rFonts w:ascii="Arial" w:hAnsi="Arial" w:cs="Arial"/>
          <w:sz w:val="24"/>
          <w:szCs w:val="24"/>
        </w:rPr>
        <w:t xml:space="preserve"> on suspicion of committing robbery with aggravating ci</w:t>
      </w:r>
      <w:r w:rsidR="00863167" w:rsidRPr="00B257D7">
        <w:rPr>
          <w:rFonts w:ascii="Arial" w:hAnsi="Arial" w:cs="Arial"/>
          <w:sz w:val="24"/>
          <w:szCs w:val="24"/>
        </w:rPr>
        <w:t xml:space="preserve">rcumstances. </w:t>
      </w:r>
      <w:r w:rsidR="000473AF" w:rsidRPr="00B257D7">
        <w:rPr>
          <w:rFonts w:ascii="Arial" w:hAnsi="Arial" w:cs="Arial"/>
          <w:sz w:val="24"/>
          <w:szCs w:val="24"/>
        </w:rPr>
        <w:t>He was taken to Dougl</w:t>
      </w:r>
      <w:r w:rsidR="00F013A3" w:rsidRPr="00B257D7">
        <w:rPr>
          <w:rFonts w:ascii="Arial" w:hAnsi="Arial" w:cs="Arial"/>
          <w:sz w:val="24"/>
          <w:szCs w:val="24"/>
        </w:rPr>
        <w:t>a</w:t>
      </w:r>
      <w:r w:rsidR="000473AF" w:rsidRPr="00B257D7">
        <w:rPr>
          <w:rFonts w:ascii="Arial" w:hAnsi="Arial" w:cs="Arial"/>
          <w:sz w:val="24"/>
          <w:szCs w:val="24"/>
        </w:rPr>
        <w:t>sdale police station where he was formally charge</w:t>
      </w:r>
      <w:r w:rsidR="00CF6A58" w:rsidRPr="00B257D7">
        <w:rPr>
          <w:rFonts w:ascii="Arial" w:hAnsi="Arial" w:cs="Arial"/>
          <w:sz w:val="24"/>
          <w:szCs w:val="24"/>
        </w:rPr>
        <w:t>d</w:t>
      </w:r>
      <w:r w:rsidR="000473AF" w:rsidRPr="00B257D7">
        <w:rPr>
          <w:rFonts w:ascii="Arial" w:hAnsi="Arial" w:cs="Arial"/>
          <w:sz w:val="24"/>
          <w:szCs w:val="24"/>
        </w:rPr>
        <w:t xml:space="preserve"> </w:t>
      </w:r>
      <w:r w:rsidR="000C4A08" w:rsidRPr="00B257D7">
        <w:rPr>
          <w:rFonts w:ascii="Arial" w:hAnsi="Arial" w:cs="Arial"/>
          <w:sz w:val="24"/>
          <w:szCs w:val="24"/>
        </w:rPr>
        <w:t>and detained.</w:t>
      </w:r>
      <w:r w:rsidR="00A91783" w:rsidRPr="00B257D7">
        <w:rPr>
          <w:rFonts w:ascii="Arial" w:hAnsi="Arial" w:cs="Arial"/>
          <w:sz w:val="24"/>
          <w:szCs w:val="24"/>
        </w:rPr>
        <w:t xml:space="preserve"> The </w:t>
      </w:r>
      <w:r w:rsidR="004F349C" w:rsidRPr="00B257D7">
        <w:rPr>
          <w:rFonts w:ascii="Arial" w:hAnsi="Arial" w:cs="Arial"/>
          <w:sz w:val="24"/>
          <w:szCs w:val="24"/>
        </w:rPr>
        <w:t>plaintiff</w:t>
      </w:r>
      <w:r w:rsidR="00A91783" w:rsidRPr="00B257D7">
        <w:rPr>
          <w:rFonts w:ascii="Arial" w:hAnsi="Arial" w:cs="Arial"/>
          <w:sz w:val="24"/>
          <w:szCs w:val="24"/>
        </w:rPr>
        <w:t xml:space="preserve"> was charged with </w:t>
      </w:r>
      <w:r w:rsidR="0033668E" w:rsidRPr="00B257D7">
        <w:rPr>
          <w:rFonts w:ascii="Arial" w:hAnsi="Arial" w:cs="Arial"/>
          <w:sz w:val="24"/>
          <w:szCs w:val="24"/>
        </w:rPr>
        <w:t>5</w:t>
      </w:r>
      <w:r w:rsidR="00A91783" w:rsidRPr="00B257D7">
        <w:rPr>
          <w:rFonts w:ascii="Arial" w:hAnsi="Arial" w:cs="Arial"/>
          <w:sz w:val="24"/>
          <w:szCs w:val="24"/>
        </w:rPr>
        <w:t xml:space="preserve"> counts, </w:t>
      </w:r>
      <w:r w:rsidR="00C41721" w:rsidRPr="00B257D7">
        <w:rPr>
          <w:rFonts w:ascii="Arial" w:hAnsi="Arial" w:cs="Arial"/>
          <w:sz w:val="24"/>
          <w:szCs w:val="24"/>
        </w:rPr>
        <w:t>the most relevant being</w:t>
      </w:r>
      <w:r w:rsidR="00D2370F" w:rsidRPr="00B257D7">
        <w:rPr>
          <w:rFonts w:ascii="Arial" w:hAnsi="Arial" w:cs="Arial"/>
          <w:sz w:val="24"/>
          <w:szCs w:val="24"/>
        </w:rPr>
        <w:t xml:space="preserve"> count 4 </w:t>
      </w:r>
      <w:r w:rsidR="005B36D4" w:rsidRPr="00B257D7">
        <w:rPr>
          <w:rFonts w:ascii="Arial" w:hAnsi="Arial" w:cs="Arial"/>
          <w:sz w:val="24"/>
          <w:szCs w:val="24"/>
        </w:rPr>
        <w:t>in that he was accused of being</w:t>
      </w:r>
      <w:r w:rsidR="00C41721" w:rsidRPr="00B257D7">
        <w:rPr>
          <w:rFonts w:ascii="Arial" w:hAnsi="Arial" w:cs="Arial"/>
          <w:sz w:val="24"/>
          <w:szCs w:val="24"/>
        </w:rPr>
        <w:t xml:space="preserve"> </w:t>
      </w:r>
      <w:r w:rsidR="00473ECB" w:rsidRPr="00B257D7">
        <w:rPr>
          <w:rFonts w:ascii="Arial" w:hAnsi="Arial" w:cs="Arial"/>
          <w:sz w:val="24"/>
          <w:szCs w:val="24"/>
        </w:rPr>
        <w:t>guilty</w:t>
      </w:r>
      <w:r w:rsidR="00C41721" w:rsidRPr="00B257D7">
        <w:rPr>
          <w:rFonts w:ascii="Arial" w:hAnsi="Arial" w:cs="Arial"/>
          <w:sz w:val="24"/>
          <w:szCs w:val="24"/>
        </w:rPr>
        <w:t xml:space="preserve"> of the crime of robbery with </w:t>
      </w:r>
      <w:r w:rsidR="00473ECB" w:rsidRPr="00B257D7">
        <w:rPr>
          <w:rFonts w:ascii="Arial" w:hAnsi="Arial" w:cs="Arial"/>
          <w:sz w:val="24"/>
          <w:szCs w:val="24"/>
        </w:rPr>
        <w:t>aggravating</w:t>
      </w:r>
      <w:r w:rsidR="00C41721" w:rsidRPr="00B257D7">
        <w:rPr>
          <w:rFonts w:ascii="Arial" w:hAnsi="Arial" w:cs="Arial"/>
          <w:sz w:val="24"/>
          <w:szCs w:val="24"/>
        </w:rPr>
        <w:t xml:space="preserve"> </w:t>
      </w:r>
      <w:r w:rsidR="00473ECB" w:rsidRPr="00B257D7">
        <w:rPr>
          <w:rFonts w:ascii="Arial" w:hAnsi="Arial" w:cs="Arial"/>
          <w:sz w:val="24"/>
          <w:szCs w:val="24"/>
        </w:rPr>
        <w:t>circumstances</w:t>
      </w:r>
      <w:r w:rsidR="005B36D4" w:rsidRPr="00B257D7">
        <w:rPr>
          <w:rFonts w:ascii="Arial" w:hAnsi="Arial" w:cs="Arial"/>
          <w:sz w:val="24"/>
          <w:szCs w:val="24"/>
        </w:rPr>
        <w:t xml:space="preserve"> </w:t>
      </w:r>
      <w:r w:rsidR="00D412DA" w:rsidRPr="00B257D7">
        <w:rPr>
          <w:rFonts w:ascii="Arial" w:hAnsi="Arial" w:cs="Arial"/>
          <w:sz w:val="24"/>
          <w:szCs w:val="24"/>
        </w:rPr>
        <w:t>as contemplated in Sections 51(2), 5</w:t>
      </w:r>
      <w:r w:rsidR="009C5EB2" w:rsidRPr="00B257D7">
        <w:rPr>
          <w:rFonts w:ascii="Arial" w:hAnsi="Arial" w:cs="Arial"/>
          <w:sz w:val="24"/>
          <w:szCs w:val="24"/>
        </w:rPr>
        <w:t>2</w:t>
      </w:r>
      <w:r w:rsidR="00D412DA" w:rsidRPr="00B257D7">
        <w:rPr>
          <w:rFonts w:ascii="Arial" w:hAnsi="Arial" w:cs="Arial"/>
          <w:sz w:val="24"/>
          <w:szCs w:val="24"/>
        </w:rPr>
        <w:t xml:space="preserve">(2), 52A and 52B of the </w:t>
      </w:r>
      <w:r w:rsidR="00DE0332" w:rsidRPr="00B257D7">
        <w:rPr>
          <w:rFonts w:ascii="Arial" w:hAnsi="Arial" w:cs="Arial"/>
          <w:sz w:val="24"/>
          <w:szCs w:val="24"/>
        </w:rPr>
        <w:lastRenderedPageBreak/>
        <w:t>Criminal</w:t>
      </w:r>
      <w:r w:rsidR="00D412DA" w:rsidRPr="00B257D7">
        <w:rPr>
          <w:rFonts w:ascii="Arial" w:hAnsi="Arial" w:cs="Arial"/>
          <w:sz w:val="24"/>
          <w:szCs w:val="24"/>
        </w:rPr>
        <w:t xml:space="preserve"> Law </w:t>
      </w:r>
      <w:r w:rsidR="00DE0332" w:rsidRPr="00B257D7">
        <w:rPr>
          <w:rFonts w:ascii="Arial" w:hAnsi="Arial" w:cs="Arial"/>
          <w:sz w:val="24"/>
          <w:szCs w:val="24"/>
        </w:rPr>
        <w:t>Amendment</w:t>
      </w:r>
      <w:r w:rsidR="00D412DA" w:rsidRPr="00B257D7">
        <w:rPr>
          <w:rFonts w:ascii="Arial" w:hAnsi="Arial" w:cs="Arial"/>
          <w:sz w:val="24"/>
          <w:szCs w:val="24"/>
        </w:rPr>
        <w:t xml:space="preserve"> Act, </w:t>
      </w:r>
      <w:r w:rsidR="007B7C5A" w:rsidRPr="00B257D7">
        <w:rPr>
          <w:rFonts w:ascii="Arial" w:hAnsi="Arial" w:cs="Arial"/>
          <w:sz w:val="24"/>
          <w:szCs w:val="24"/>
        </w:rPr>
        <w:t>105 of 1997</w:t>
      </w:r>
      <w:r w:rsidR="00FF58FD" w:rsidRPr="00B257D7">
        <w:rPr>
          <w:rFonts w:ascii="Arial" w:hAnsi="Arial" w:cs="Arial"/>
          <w:sz w:val="24"/>
          <w:szCs w:val="24"/>
        </w:rPr>
        <w:t xml:space="preserve">, in that he unlawfully and </w:t>
      </w:r>
      <w:r w:rsidR="009E6093" w:rsidRPr="00B257D7">
        <w:rPr>
          <w:rFonts w:ascii="Arial" w:hAnsi="Arial" w:cs="Arial"/>
          <w:sz w:val="24"/>
          <w:szCs w:val="24"/>
        </w:rPr>
        <w:t>intentionally</w:t>
      </w:r>
      <w:r w:rsidR="00FF58FD" w:rsidRPr="00B257D7">
        <w:rPr>
          <w:rFonts w:ascii="Arial" w:hAnsi="Arial" w:cs="Arial"/>
          <w:sz w:val="24"/>
          <w:szCs w:val="24"/>
        </w:rPr>
        <w:t xml:space="preserve"> assaulted the </w:t>
      </w:r>
      <w:r w:rsidR="008264AB" w:rsidRPr="00B257D7">
        <w:rPr>
          <w:rFonts w:ascii="Arial" w:hAnsi="Arial" w:cs="Arial"/>
          <w:sz w:val="24"/>
          <w:szCs w:val="24"/>
        </w:rPr>
        <w:t>complainant</w:t>
      </w:r>
      <w:r w:rsidR="00FF58FD" w:rsidRPr="00B257D7">
        <w:rPr>
          <w:rFonts w:ascii="Arial" w:hAnsi="Arial" w:cs="Arial"/>
          <w:sz w:val="24"/>
          <w:szCs w:val="24"/>
        </w:rPr>
        <w:t xml:space="preserve"> and then with force take </w:t>
      </w:r>
      <w:r w:rsidR="009E6093" w:rsidRPr="00B257D7">
        <w:rPr>
          <w:rFonts w:ascii="Arial" w:hAnsi="Arial" w:cs="Arial"/>
          <w:sz w:val="24"/>
          <w:szCs w:val="24"/>
        </w:rPr>
        <w:t xml:space="preserve">items in her </w:t>
      </w:r>
      <w:r w:rsidR="008264AB" w:rsidRPr="00B257D7">
        <w:rPr>
          <w:rFonts w:ascii="Arial" w:hAnsi="Arial" w:cs="Arial"/>
          <w:sz w:val="24"/>
          <w:szCs w:val="24"/>
        </w:rPr>
        <w:t>possession</w:t>
      </w:r>
      <w:r w:rsidR="00D95919" w:rsidRPr="00B257D7">
        <w:rPr>
          <w:rFonts w:ascii="Arial" w:hAnsi="Arial" w:cs="Arial"/>
          <w:sz w:val="24"/>
          <w:szCs w:val="24"/>
        </w:rPr>
        <w:t xml:space="preserve"> utilizing a knife. </w:t>
      </w:r>
    </w:p>
    <w:p w14:paraId="6C7C861A" w14:textId="77777777" w:rsidR="0023253C" w:rsidRDefault="0023253C" w:rsidP="0023253C">
      <w:pPr>
        <w:pStyle w:val="ListParagraph"/>
        <w:spacing w:after="360" w:line="360" w:lineRule="auto"/>
        <w:jc w:val="both"/>
        <w:rPr>
          <w:rFonts w:ascii="Arial" w:hAnsi="Arial" w:cs="Arial"/>
          <w:sz w:val="24"/>
          <w:szCs w:val="24"/>
        </w:rPr>
      </w:pPr>
    </w:p>
    <w:p w14:paraId="0771F9B6" w14:textId="4A7069A6" w:rsidR="005B36D4"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625E6B" w:rsidRPr="00B257D7">
        <w:rPr>
          <w:rFonts w:ascii="Arial" w:hAnsi="Arial" w:cs="Arial"/>
          <w:sz w:val="24"/>
          <w:szCs w:val="24"/>
        </w:rPr>
        <w:t xml:space="preserve">Following </w:t>
      </w:r>
      <w:r w:rsidR="00C05B1B" w:rsidRPr="00B257D7">
        <w:rPr>
          <w:rFonts w:ascii="Arial" w:hAnsi="Arial" w:cs="Arial"/>
          <w:sz w:val="24"/>
          <w:szCs w:val="24"/>
        </w:rPr>
        <w:t>a</w:t>
      </w:r>
      <w:r w:rsidR="00625E6B" w:rsidRPr="00B257D7">
        <w:rPr>
          <w:rFonts w:ascii="Arial" w:hAnsi="Arial" w:cs="Arial"/>
          <w:sz w:val="24"/>
          <w:szCs w:val="24"/>
        </w:rPr>
        <w:t xml:space="preserve"> discharge of the remaining counts, t</w:t>
      </w:r>
      <w:r w:rsidR="00E1560E" w:rsidRPr="00B257D7">
        <w:rPr>
          <w:rFonts w:ascii="Arial" w:hAnsi="Arial" w:cs="Arial"/>
          <w:sz w:val="24"/>
          <w:szCs w:val="24"/>
        </w:rPr>
        <w:t xml:space="preserve">he </w:t>
      </w:r>
      <w:r w:rsidR="004F349C" w:rsidRPr="00B257D7">
        <w:rPr>
          <w:rFonts w:ascii="Arial" w:hAnsi="Arial" w:cs="Arial"/>
          <w:sz w:val="24"/>
          <w:szCs w:val="24"/>
        </w:rPr>
        <w:t>plaintiff</w:t>
      </w:r>
      <w:r w:rsidR="00E1560E" w:rsidRPr="00B257D7">
        <w:rPr>
          <w:rFonts w:ascii="Arial" w:hAnsi="Arial" w:cs="Arial"/>
          <w:sz w:val="24"/>
          <w:szCs w:val="24"/>
        </w:rPr>
        <w:t xml:space="preserve"> was convicted o</w:t>
      </w:r>
      <w:r w:rsidR="00E25118" w:rsidRPr="00B257D7">
        <w:rPr>
          <w:rFonts w:ascii="Arial" w:hAnsi="Arial" w:cs="Arial"/>
          <w:sz w:val="24"/>
          <w:szCs w:val="24"/>
        </w:rPr>
        <w:t xml:space="preserve">n count 4, </w:t>
      </w:r>
      <w:r w:rsidR="00990EC8" w:rsidRPr="00B257D7">
        <w:rPr>
          <w:rFonts w:ascii="Arial" w:hAnsi="Arial" w:cs="Arial"/>
          <w:sz w:val="24"/>
          <w:szCs w:val="24"/>
        </w:rPr>
        <w:t xml:space="preserve">sentenced to 10 years imprisonment and declared unfit to possess a firearm. </w:t>
      </w:r>
    </w:p>
    <w:p w14:paraId="53BAE004" w14:textId="77777777" w:rsidR="00990EC8" w:rsidRPr="00990EC8" w:rsidRDefault="00990EC8" w:rsidP="00990EC8">
      <w:pPr>
        <w:pStyle w:val="ListParagraph"/>
        <w:rPr>
          <w:rFonts w:ascii="Arial" w:hAnsi="Arial" w:cs="Arial"/>
          <w:sz w:val="24"/>
          <w:szCs w:val="24"/>
        </w:rPr>
      </w:pPr>
    </w:p>
    <w:p w14:paraId="11887DCC" w14:textId="49AE0F4C" w:rsidR="00E940BC" w:rsidRPr="00B257D7" w:rsidRDefault="00B257D7" w:rsidP="00B257D7">
      <w:pPr>
        <w:spacing w:after="360" w:line="360" w:lineRule="auto"/>
        <w:ind w:left="720" w:hanging="720"/>
        <w:jc w:val="both"/>
        <w:rPr>
          <w:rFonts w:ascii="Arial" w:hAnsi="Arial" w:cs="Arial"/>
          <w:sz w:val="24"/>
          <w:szCs w:val="24"/>
        </w:rPr>
      </w:pPr>
      <w:r w:rsidRPr="00C05B1B">
        <w:rPr>
          <w:rFonts w:ascii="Arial" w:hAnsi="Arial" w:cs="Arial"/>
          <w:sz w:val="24"/>
          <w:szCs w:val="24"/>
        </w:rPr>
        <w:t>[5.]</w:t>
      </w:r>
      <w:r w:rsidRPr="00C05B1B">
        <w:rPr>
          <w:rFonts w:ascii="Arial" w:hAnsi="Arial" w:cs="Arial"/>
          <w:sz w:val="24"/>
          <w:szCs w:val="24"/>
        </w:rPr>
        <w:tab/>
      </w:r>
      <w:r w:rsidR="005F2D16" w:rsidRPr="00B257D7">
        <w:rPr>
          <w:rFonts w:ascii="Arial" w:hAnsi="Arial" w:cs="Arial"/>
          <w:sz w:val="24"/>
          <w:szCs w:val="24"/>
        </w:rPr>
        <w:t xml:space="preserve">The </w:t>
      </w:r>
      <w:r w:rsidR="00826C36" w:rsidRPr="00B257D7">
        <w:rPr>
          <w:rFonts w:ascii="Arial" w:hAnsi="Arial" w:cs="Arial"/>
          <w:sz w:val="24"/>
          <w:szCs w:val="24"/>
        </w:rPr>
        <w:t>p</w:t>
      </w:r>
      <w:r w:rsidR="004F349C" w:rsidRPr="00B257D7">
        <w:rPr>
          <w:rFonts w:ascii="Arial" w:hAnsi="Arial" w:cs="Arial"/>
          <w:sz w:val="24"/>
          <w:szCs w:val="24"/>
        </w:rPr>
        <w:t>laintiff</w:t>
      </w:r>
      <w:r w:rsidR="005F2D16" w:rsidRPr="00B257D7">
        <w:rPr>
          <w:rFonts w:ascii="Arial" w:hAnsi="Arial" w:cs="Arial"/>
          <w:sz w:val="24"/>
          <w:szCs w:val="24"/>
        </w:rPr>
        <w:t xml:space="preserve"> appealed his conviction and sentence, which was set aside on </w:t>
      </w:r>
      <w:r w:rsidR="004A09AD" w:rsidRPr="00B257D7">
        <w:rPr>
          <w:rFonts w:ascii="Arial" w:hAnsi="Arial" w:cs="Arial"/>
          <w:sz w:val="24"/>
          <w:szCs w:val="24"/>
        </w:rPr>
        <w:t xml:space="preserve">29 January 2019, </w:t>
      </w:r>
      <w:r w:rsidR="006B2943" w:rsidRPr="00B257D7">
        <w:rPr>
          <w:rFonts w:ascii="Arial" w:hAnsi="Arial" w:cs="Arial"/>
          <w:sz w:val="24"/>
          <w:szCs w:val="24"/>
        </w:rPr>
        <w:t xml:space="preserve">whereupon he was released from </w:t>
      </w:r>
      <w:r w:rsidR="00E940BC" w:rsidRPr="00B257D7">
        <w:rPr>
          <w:rFonts w:ascii="Arial" w:hAnsi="Arial" w:cs="Arial"/>
          <w:sz w:val="24"/>
          <w:szCs w:val="24"/>
        </w:rPr>
        <w:t xml:space="preserve">imprisonment on the same date. </w:t>
      </w:r>
    </w:p>
    <w:p w14:paraId="71689221" w14:textId="18DF9512" w:rsidR="00990EC8" w:rsidRPr="0051672E" w:rsidRDefault="004F349C" w:rsidP="007D69C7">
      <w:pPr>
        <w:spacing w:after="360" w:line="360" w:lineRule="auto"/>
        <w:jc w:val="both"/>
        <w:rPr>
          <w:rFonts w:ascii="Arial" w:hAnsi="Arial" w:cs="Arial"/>
          <w:b/>
          <w:bCs/>
          <w:sz w:val="24"/>
          <w:szCs w:val="24"/>
          <w:u w:val="single"/>
        </w:rPr>
      </w:pPr>
      <w:r w:rsidRPr="0051672E">
        <w:rPr>
          <w:rFonts w:ascii="Arial" w:hAnsi="Arial" w:cs="Arial"/>
          <w:b/>
          <w:bCs/>
          <w:sz w:val="24"/>
          <w:szCs w:val="24"/>
          <w:u w:val="single"/>
        </w:rPr>
        <w:t>PLAINTIFF</w:t>
      </w:r>
      <w:r w:rsidR="00FA15EB" w:rsidRPr="0051672E">
        <w:rPr>
          <w:rFonts w:ascii="Arial" w:hAnsi="Arial" w:cs="Arial"/>
          <w:b/>
          <w:bCs/>
          <w:sz w:val="24"/>
          <w:szCs w:val="24"/>
          <w:u w:val="single"/>
        </w:rPr>
        <w:t>’S CLAIMS</w:t>
      </w:r>
    </w:p>
    <w:p w14:paraId="571CD288" w14:textId="3D1BE737" w:rsidR="00F84B12"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F84B12" w:rsidRPr="00B257D7">
        <w:rPr>
          <w:rFonts w:ascii="Arial" w:hAnsi="Arial" w:cs="Arial"/>
          <w:sz w:val="24"/>
          <w:szCs w:val="24"/>
        </w:rPr>
        <w:t xml:space="preserve">The </w:t>
      </w:r>
      <w:r w:rsidR="00826C36" w:rsidRPr="00B257D7">
        <w:rPr>
          <w:rFonts w:ascii="Arial" w:hAnsi="Arial" w:cs="Arial"/>
          <w:sz w:val="24"/>
          <w:szCs w:val="24"/>
        </w:rPr>
        <w:t>p</w:t>
      </w:r>
      <w:r w:rsidR="004F349C" w:rsidRPr="00B257D7">
        <w:rPr>
          <w:rFonts w:ascii="Arial" w:hAnsi="Arial" w:cs="Arial"/>
          <w:sz w:val="24"/>
          <w:szCs w:val="24"/>
        </w:rPr>
        <w:t>laintiff</w:t>
      </w:r>
      <w:r w:rsidR="009E2FC5" w:rsidRPr="00B257D7">
        <w:rPr>
          <w:rFonts w:ascii="Arial" w:hAnsi="Arial" w:cs="Arial"/>
          <w:sz w:val="24"/>
          <w:szCs w:val="24"/>
        </w:rPr>
        <w:t>'s</w:t>
      </w:r>
      <w:r w:rsidR="00F84B12" w:rsidRPr="00B257D7">
        <w:rPr>
          <w:rFonts w:ascii="Arial" w:hAnsi="Arial" w:cs="Arial"/>
          <w:sz w:val="24"/>
          <w:szCs w:val="24"/>
        </w:rPr>
        <w:t xml:space="preserve"> action is comprised of the following </w:t>
      </w:r>
      <w:r w:rsidR="007A1B17" w:rsidRPr="00B257D7">
        <w:rPr>
          <w:rFonts w:ascii="Arial" w:hAnsi="Arial" w:cs="Arial"/>
          <w:sz w:val="24"/>
          <w:szCs w:val="24"/>
        </w:rPr>
        <w:t>salient allegations and claims</w:t>
      </w:r>
      <w:r w:rsidR="009013DB" w:rsidRPr="00B257D7">
        <w:rPr>
          <w:rFonts w:ascii="Arial" w:hAnsi="Arial" w:cs="Arial"/>
          <w:sz w:val="24"/>
          <w:szCs w:val="24"/>
        </w:rPr>
        <w:t>.</w:t>
      </w:r>
    </w:p>
    <w:p w14:paraId="4B05A2F6" w14:textId="77777777" w:rsidR="008004DD" w:rsidRPr="009616CF" w:rsidRDefault="008004DD" w:rsidP="008004DD">
      <w:pPr>
        <w:pStyle w:val="ListParagraph"/>
        <w:spacing w:after="360" w:line="360" w:lineRule="auto"/>
        <w:jc w:val="both"/>
        <w:rPr>
          <w:rFonts w:ascii="Arial" w:hAnsi="Arial" w:cs="Arial"/>
          <w:sz w:val="24"/>
          <w:szCs w:val="24"/>
        </w:rPr>
      </w:pPr>
    </w:p>
    <w:p w14:paraId="02A11497" w14:textId="7F6B97A3" w:rsidR="001879E3" w:rsidRPr="00B257D7" w:rsidRDefault="00B257D7" w:rsidP="00B257D7">
      <w:pPr>
        <w:spacing w:after="360" w:line="360" w:lineRule="auto"/>
        <w:ind w:left="720" w:hanging="720"/>
        <w:jc w:val="both"/>
        <w:rPr>
          <w:rFonts w:ascii="Arial" w:hAnsi="Arial" w:cs="Arial"/>
          <w:sz w:val="24"/>
          <w:szCs w:val="24"/>
        </w:rPr>
      </w:pPr>
      <w:r w:rsidRPr="007D69C7">
        <w:rPr>
          <w:rFonts w:ascii="Arial" w:hAnsi="Arial" w:cs="Arial"/>
          <w:sz w:val="24"/>
          <w:szCs w:val="24"/>
        </w:rPr>
        <w:t>[7.]</w:t>
      </w:r>
      <w:r w:rsidRPr="007D69C7">
        <w:rPr>
          <w:rFonts w:ascii="Arial" w:hAnsi="Arial" w:cs="Arial"/>
          <w:sz w:val="24"/>
          <w:szCs w:val="24"/>
        </w:rPr>
        <w:tab/>
      </w:r>
      <w:r w:rsidR="009616CF" w:rsidRPr="00B257D7">
        <w:rPr>
          <w:rFonts w:ascii="Arial" w:hAnsi="Arial" w:cs="Arial"/>
          <w:sz w:val="24"/>
          <w:szCs w:val="24"/>
        </w:rPr>
        <w:t xml:space="preserve">Claim A: On </w:t>
      </w:r>
      <w:r w:rsidR="009B455D" w:rsidRPr="00B257D7">
        <w:rPr>
          <w:rFonts w:ascii="Arial" w:hAnsi="Arial" w:cs="Arial"/>
          <w:sz w:val="24"/>
          <w:szCs w:val="24"/>
        </w:rPr>
        <w:t xml:space="preserve">10 September 2014, </w:t>
      </w:r>
      <w:r w:rsidR="0004633C" w:rsidRPr="00B257D7">
        <w:rPr>
          <w:rFonts w:ascii="Arial" w:hAnsi="Arial" w:cs="Arial"/>
          <w:sz w:val="24"/>
          <w:szCs w:val="24"/>
        </w:rPr>
        <w:t xml:space="preserve">the </w:t>
      </w:r>
      <w:r w:rsidR="00826C36" w:rsidRPr="00B257D7">
        <w:rPr>
          <w:rFonts w:ascii="Arial" w:hAnsi="Arial" w:cs="Arial"/>
          <w:sz w:val="24"/>
          <w:szCs w:val="24"/>
        </w:rPr>
        <w:t>p</w:t>
      </w:r>
      <w:r w:rsidR="004F349C" w:rsidRPr="00B257D7">
        <w:rPr>
          <w:rFonts w:ascii="Arial" w:hAnsi="Arial" w:cs="Arial"/>
          <w:sz w:val="24"/>
          <w:szCs w:val="24"/>
        </w:rPr>
        <w:t>laintiff</w:t>
      </w:r>
      <w:r w:rsidR="0004633C" w:rsidRPr="00B257D7">
        <w:rPr>
          <w:rFonts w:ascii="Arial" w:hAnsi="Arial" w:cs="Arial"/>
          <w:sz w:val="24"/>
          <w:szCs w:val="24"/>
        </w:rPr>
        <w:t xml:space="preserve"> was unlawfully and wrongfully arrested</w:t>
      </w:r>
      <w:r w:rsidR="004A6E9E" w:rsidRPr="00B257D7">
        <w:rPr>
          <w:rFonts w:ascii="Arial" w:hAnsi="Arial" w:cs="Arial"/>
          <w:sz w:val="24"/>
          <w:szCs w:val="24"/>
        </w:rPr>
        <w:t xml:space="preserve"> without a warrant of arrest and/or without reasonable cause or grounds. </w:t>
      </w:r>
    </w:p>
    <w:p w14:paraId="24E86616" w14:textId="77777777" w:rsidR="001879E3" w:rsidRDefault="001879E3" w:rsidP="001879E3">
      <w:pPr>
        <w:pStyle w:val="ListParagraph"/>
        <w:spacing w:after="360" w:line="360" w:lineRule="auto"/>
        <w:jc w:val="both"/>
        <w:rPr>
          <w:rFonts w:ascii="Arial" w:hAnsi="Arial" w:cs="Arial"/>
          <w:sz w:val="24"/>
          <w:szCs w:val="24"/>
        </w:rPr>
      </w:pPr>
    </w:p>
    <w:p w14:paraId="772EACE6" w14:textId="61731150" w:rsidR="008E5B62"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8E5B62" w:rsidRPr="00B257D7">
        <w:rPr>
          <w:rFonts w:ascii="Arial" w:hAnsi="Arial" w:cs="Arial"/>
          <w:sz w:val="24"/>
          <w:szCs w:val="24"/>
        </w:rPr>
        <w:t xml:space="preserve">Claim B: the </w:t>
      </w:r>
      <w:r w:rsidR="00826C36" w:rsidRPr="00B257D7">
        <w:rPr>
          <w:rFonts w:ascii="Arial" w:hAnsi="Arial" w:cs="Arial"/>
          <w:sz w:val="24"/>
          <w:szCs w:val="24"/>
        </w:rPr>
        <w:t>p</w:t>
      </w:r>
      <w:r w:rsidR="004F349C" w:rsidRPr="00B257D7">
        <w:rPr>
          <w:rFonts w:ascii="Arial" w:hAnsi="Arial" w:cs="Arial"/>
          <w:sz w:val="24"/>
          <w:szCs w:val="24"/>
        </w:rPr>
        <w:t>laintiff</w:t>
      </w:r>
      <w:r w:rsidR="008E5B62" w:rsidRPr="00B257D7">
        <w:rPr>
          <w:rFonts w:ascii="Arial" w:hAnsi="Arial" w:cs="Arial"/>
          <w:sz w:val="24"/>
          <w:szCs w:val="24"/>
        </w:rPr>
        <w:t xml:space="preserve"> was</w:t>
      </w:r>
      <w:r w:rsidR="002029FD" w:rsidRPr="00B257D7">
        <w:rPr>
          <w:rFonts w:ascii="Arial" w:hAnsi="Arial" w:cs="Arial"/>
          <w:sz w:val="24"/>
          <w:szCs w:val="24"/>
        </w:rPr>
        <w:t xml:space="preserve"> unlawfully</w:t>
      </w:r>
      <w:r w:rsidR="008E5B62" w:rsidRPr="00B257D7">
        <w:rPr>
          <w:rFonts w:ascii="Arial" w:hAnsi="Arial" w:cs="Arial"/>
          <w:sz w:val="24"/>
          <w:szCs w:val="24"/>
        </w:rPr>
        <w:t xml:space="preserve"> detained at the </w:t>
      </w:r>
      <w:r w:rsidR="002029FD" w:rsidRPr="00B257D7">
        <w:rPr>
          <w:rFonts w:ascii="Arial" w:hAnsi="Arial" w:cs="Arial"/>
          <w:sz w:val="24"/>
          <w:szCs w:val="24"/>
        </w:rPr>
        <w:t>D</w:t>
      </w:r>
      <w:r w:rsidR="008E5B62" w:rsidRPr="00B257D7">
        <w:rPr>
          <w:rFonts w:ascii="Arial" w:hAnsi="Arial" w:cs="Arial"/>
          <w:sz w:val="24"/>
          <w:szCs w:val="24"/>
        </w:rPr>
        <w:t>ouglas</w:t>
      </w:r>
      <w:r w:rsidR="000F4CD9" w:rsidRPr="00B257D7">
        <w:rPr>
          <w:rFonts w:ascii="Arial" w:hAnsi="Arial" w:cs="Arial"/>
          <w:sz w:val="24"/>
          <w:szCs w:val="24"/>
        </w:rPr>
        <w:t xml:space="preserve">dale police station from 10 to 12 September 2014, thereafter at </w:t>
      </w:r>
      <w:r w:rsidR="002029FD" w:rsidRPr="00B257D7">
        <w:rPr>
          <w:rFonts w:ascii="Arial" w:hAnsi="Arial" w:cs="Arial"/>
          <w:sz w:val="24"/>
          <w:szCs w:val="24"/>
        </w:rPr>
        <w:t>Johannesburg</w:t>
      </w:r>
      <w:r w:rsidR="000F4CD9" w:rsidRPr="00B257D7">
        <w:rPr>
          <w:rFonts w:ascii="Arial" w:hAnsi="Arial" w:cs="Arial"/>
          <w:sz w:val="24"/>
          <w:szCs w:val="24"/>
        </w:rPr>
        <w:t xml:space="preserve"> prison from 12 September 2014 to 12 </w:t>
      </w:r>
      <w:r w:rsidR="002029FD" w:rsidRPr="00B257D7">
        <w:rPr>
          <w:rFonts w:ascii="Arial" w:hAnsi="Arial" w:cs="Arial"/>
          <w:sz w:val="24"/>
          <w:szCs w:val="24"/>
        </w:rPr>
        <w:t>January</w:t>
      </w:r>
      <w:r w:rsidR="000F4CD9" w:rsidRPr="00B257D7">
        <w:rPr>
          <w:rFonts w:ascii="Arial" w:hAnsi="Arial" w:cs="Arial"/>
          <w:sz w:val="24"/>
          <w:szCs w:val="24"/>
        </w:rPr>
        <w:t xml:space="preserve"> 20</w:t>
      </w:r>
      <w:r w:rsidR="002029FD" w:rsidRPr="00B257D7">
        <w:rPr>
          <w:rFonts w:ascii="Arial" w:hAnsi="Arial" w:cs="Arial"/>
          <w:sz w:val="24"/>
          <w:szCs w:val="24"/>
        </w:rPr>
        <w:t xml:space="preserve">19. </w:t>
      </w:r>
      <w:r w:rsidR="00727033" w:rsidRPr="00B257D7">
        <w:rPr>
          <w:rFonts w:ascii="Arial" w:hAnsi="Arial" w:cs="Arial"/>
          <w:sz w:val="24"/>
          <w:szCs w:val="24"/>
        </w:rPr>
        <w:t xml:space="preserve">The total period of detention </w:t>
      </w:r>
      <w:r w:rsidR="009E2FC5" w:rsidRPr="00B257D7">
        <w:rPr>
          <w:rFonts w:ascii="Arial" w:hAnsi="Arial" w:cs="Arial"/>
          <w:sz w:val="24"/>
          <w:szCs w:val="24"/>
        </w:rPr>
        <w:t>is</w:t>
      </w:r>
      <w:r w:rsidR="00727033" w:rsidRPr="00B257D7">
        <w:rPr>
          <w:rFonts w:ascii="Arial" w:hAnsi="Arial" w:cs="Arial"/>
          <w:sz w:val="24"/>
          <w:szCs w:val="24"/>
        </w:rPr>
        <w:t xml:space="preserve"> 1602 days. </w:t>
      </w:r>
    </w:p>
    <w:p w14:paraId="54EB42DF" w14:textId="77777777" w:rsidR="001879E3" w:rsidRDefault="001879E3" w:rsidP="001879E3">
      <w:pPr>
        <w:pStyle w:val="ListParagraph"/>
        <w:spacing w:after="360" w:line="360" w:lineRule="auto"/>
        <w:jc w:val="both"/>
        <w:rPr>
          <w:rFonts w:ascii="Arial" w:hAnsi="Arial" w:cs="Arial"/>
          <w:sz w:val="24"/>
          <w:szCs w:val="24"/>
        </w:rPr>
      </w:pPr>
    </w:p>
    <w:p w14:paraId="15047F01" w14:textId="2535396B" w:rsidR="00E940BC"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963283" w:rsidRPr="00B257D7">
        <w:rPr>
          <w:rFonts w:ascii="Arial" w:hAnsi="Arial" w:cs="Arial"/>
          <w:sz w:val="24"/>
          <w:szCs w:val="24"/>
        </w:rPr>
        <w:t xml:space="preserve">Claim C: </w:t>
      </w:r>
      <w:r w:rsidR="0038070E" w:rsidRPr="00B257D7">
        <w:rPr>
          <w:rFonts w:ascii="Arial" w:hAnsi="Arial" w:cs="Arial"/>
          <w:sz w:val="24"/>
          <w:szCs w:val="24"/>
        </w:rPr>
        <w:t>T</w:t>
      </w:r>
      <w:r w:rsidR="00B901DB" w:rsidRPr="00B257D7">
        <w:rPr>
          <w:rFonts w:ascii="Arial" w:hAnsi="Arial" w:cs="Arial"/>
          <w:sz w:val="24"/>
          <w:szCs w:val="24"/>
        </w:rPr>
        <w:t xml:space="preserve">he criminal proceedings against the </w:t>
      </w:r>
      <w:r w:rsidR="00826C36" w:rsidRPr="00B257D7">
        <w:rPr>
          <w:rFonts w:ascii="Arial" w:hAnsi="Arial" w:cs="Arial"/>
          <w:sz w:val="24"/>
          <w:szCs w:val="24"/>
        </w:rPr>
        <w:t>p</w:t>
      </w:r>
      <w:r w:rsidR="004F349C" w:rsidRPr="00B257D7">
        <w:rPr>
          <w:rFonts w:ascii="Arial" w:hAnsi="Arial" w:cs="Arial"/>
          <w:sz w:val="24"/>
          <w:szCs w:val="24"/>
        </w:rPr>
        <w:t>laintiff</w:t>
      </w:r>
      <w:r w:rsidR="00B901DB" w:rsidRPr="00B257D7">
        <w:rPr>
          <w:rFonts w:ascii="Arial" w:hAnsi="Arial" w:cs="Arial"/>
          <w:sz w:val="24"/>
          <w:szCs w:val="24"/>
        </w:rPr>
        <w:t xml:space="preserve">, in respect of count 4, </w:t>
      </w:r>
      <w:r w:rsidR="00A24CC8" w:rsidRPr="00B257D7">
        <w:rPr>
          <w:rFonts w:ascii="Arial" w:hAnsi="Arial" w:cs="Arial"/>
          <w:sz w:val="24"/>
          <w:szCs w:val="24"/>
        </w:rPr>
        <w:t xml:space="preserve">were malicious </w:t>
      </w:r>
      <w:r w:rsidR="0063736C" w:rsidRPr="00B257D7">
        <w:rPr>
          <w:rFonts w:ascii="Arial" w:hAnsi="Arial" w:cs="Arial"/>
          <w:sz w:val="24"/>
          <w:szCs w:val="24"/>
        </w:rPr>
        <w:t xml:space="preserve">as the </w:t>
      </w:r>
      <w:r w:rsidR="001D1D35" w:rsidRPr="00B257D7">
        <w:rPr>
          <w:rFonts w:ascii="Arial" w:hAnsi="Arial" w:cs="Arial"/>
          <w:sz w:val="24"/>
          <w:szCs w:val="24"/>
        </w:rPr>
        <w:t xml:space="preserve">second </w:t>
      </w:r>
      <w:r w:rsidR="004F349C" w:rsidRPr="00B257D7">
        <w:rPr>
          <w:rFonts w:ascii="Arial" w:hAnsi="Arial" w:cs="Arial"/>
          <w:sz w:val="24"/>
          <w:szCs w:val="24"/>
        </w:rPr>
        <w:t>defendant</w:t>
      </w:r>
      <w:r w:rsidR="001D1D35" w:rsidRPr="00B257D7">
        <w:rPr>
          <w:rFonts w:ascii="Arial" w:hAnsi="Arial" w:cs="Arial"/>
          <w:sz w:val="24"/>
          <w:szCs w:val="24"/>
        </w:rPr>
        <w:t xml:space="preserve"> had no reasonable grounds</w:t>
      </w:r>
      <w:r w:rsidR="005A19EB" w:rsidRPr="00B257D7">
        <w:rPr>
          <w:rFonts w:ascii="Arial" w:hAnsi="Arial" w:cs="Arial"/>
          <w:sz w:val="24"/>
          <w:szCs w:val="24"/>
        </w:rPr>
        <w:t xml:space="preserve"> or cause </w:t>
      </w:r>
      <w:r w:rsidR="005A19EB" w:rsidRPr="00B257D7">
        <w:rPr>
          <w:rFonts w:ascii="Arial" w:hAnsi="Arial" w:cs="Arial"/>
          <w:sz w:val="24"/>
          <w:szCs w:val="24"/>
        </w:rPr>
        <w:lastRenderedPageBreak/>
        <w:t xml:space="preserve">to </w:t>
      </w:r>
      <w:r w:rsidR="008B0AA1" w:rsidRPr="00B257D7">
        <w:rPr>
          <w:rFonts w:ascii="Arial" w:hAnsi="Arial" w:cs="Arial"/>
          <w:sz w:val="24"/>
          <w:szCs w:val="24"/>
        </w:rPr>
        <w:t xml:space="preserve">believe </w:t>
      </w:r>
      <w:r w:rsidR="008B3C4B" w:rsidRPr="00B257D7">
        <w:rPr>
          <w:rFonts w:ascii="Arial" w:hAnsi="Arial" w:cs="Arial"/>
          <w:sz w:val="24"/>
          <w:szCs w:val="24"/>
        </w:rPr>
        <w:t xml:space="preserve">that the </w:t>
      </w:r>
      <w:r w:rsidR="00826C36" w:rsidRPr="00B257D7">
        <w:rPr>
          <w:rFonts w:ascii="Arial" w:hAnsi="Arial" w:cs="Arial"/>
          <w:sz w:val="24"/>
          <w:szCs w:val="24"/>
        </w:rPr>
        <w:t>p</w:t>
      </w:r>
      <w:r w:rsidR="004F349C" w:rsidRPr="00B257D7">
        <w:rPr>
          <w:rFonts w:ascii="Arial" w:hAnsi="Arial" w:cs="Arial"/>
          <w:sz w:val="24"/>
          <w:szCs w:val="24"/>
        </w:rPr>
        <w:t>laintiff</w:t>
      </w:r>
      <w:r w:rsidR="008B3C4B" w:rsidRPr="00B257D7">
        <w:rPr>
          <w:rFonts w:ascii="Arial" w:hAnsi="Arial" w:cs="Arial"/>
          <w:sz w:val="24"/>
          <w:szCs w:val="24"/>
        </w:rPr>
        <w:t xml:space="preserve"> committed the offence or that </w:t>
      </w:r>
      <w:r w:rsidR="008B0AA1" w:rsidRPr="00B257D7">
        <w:rPr>
          <w:rFonts w:ascii="Arial" w:hAnsi="Arial" w:cs="Arial"/>
          <w:sz w:val="24"/>
          <w:szCs w:val="24"/>
        </w:rPr>
        <w:t>there were pros</w:t>
      </w:r>
      <w:r w:rsidR="009E2FC5" w:rsidRPr="00B257D7">
        <w:rPr>
          <w:rFonts w:ascii="Arial" w:hAnsi="Arial" w:cs="Arial"/>
          <w:sz w:val="24"/>
          <w:szCs w:val="24"/>
        </w:rPr>
        <w:t>p</w:t>
      </w:r>
      <w:r w:rsidR="008B0AA1" w:rsidRPr="00B257D7">
        <w:rPr>
          <w:rFonts w:ascii="Arial" w:hAnsi="Arial" w:cs="Arial"/>
          <w:sz w:val="24"/>
          <w:szCs w:val="24"/>
        </w:rPr>
        <w:t>ects of a successful pro</w:t>
      </w:r>
      <w:r w:rsidR="008B3C4B" w:rsidRPr="00B257D7">
        <w:rPr>
          <w:rFonts w:ascii="Arial" w:hAnsi="Arial" w:cs="Arial"/>
          <w:sz w:val="24"/>
          <w:szCs w:val="24"/>
        </w:rPr>
        <w:t>secution</w:t>
      </w:r>
      <w:r w:rsidR="00247F63" w:rsidRPr="00B257D7">
        <w:rPr>
          <w:rFonts w:ascii="Arial" w:hAnsi="Arial" w:cs="Arial"/>
          <w:sz w:val="24"/>
          <w:szCs w:val="24"/>
        </w:rPr>
        <w:t>. Accordingly</w:t>
      </w:r>
      <w:r w:rsidR="009E2FC5" w:rsidRPr="00B257D7">
        <w:rPr>
          <w:rFonts w:ascii="Arial" w:hAnsi="Arial" w:cs="Arial"/>
          <w:sz w:val="24"/>
          <w:szCs w:val="24"/>
        </w:rPr>
        <w:t>,</w:t>
      </w:r>
      <w:r w:rsidR="00247F63" w:rsidRPr="00B257D7">
        <w:rPr>
          <w:rFonts w:ascii="Arial" w:hAnsi="Arial" w:cs="Arial"/>
          <w:sz w:val="24"/>
          <w:szCs w:val="24"/>
        </w:rPr>
        <w:t xml:space="preserve"> their conduct amount</w:t>
      </w:r>
      <w:r w:rsidR="009E2FC5" w:rsidRPr="00B257D7">
        <w:rPr>
          <w:rFonts w:ascii="Arial" w:hAnsi="Arial" w:cs="Arial"/>
          <w:sz w:val="24"/>
          <w:szCs w:val="24"/>
        </w:rPr>
        <w:t>s</w:t>
      </w:r>
      <w:r w:rsidR="00247F63" w:rsidRPr="00B257D7">
        <w:rPr>
          <w:rFonts w:ascii="Arial" w:hAnsi="Arial" w:cs="Arial"/>
          <w:sz w:val="24"/>
          <w:szCs w:val="24"/>
        </w:rPr>
        <w:t xml:space="preserve"> to malice. </w:t>
      </w:r>
    </w:p>
    <w:p w14:paraId="7C6FFC81" w14:textId="77777777" w:rsidR="00225FCD" w:rsidRDefault="00225FCD" w:rsidP="00225FCD">
      <w:pPr>
        <w:pStyle w:val="ListParagraph"/>
        <w:spacing w:after="360" w:line="360" w:lineRule="auto"/>
        <w:jc w:val="both"/>
        <w:rPr>
          <w:rFonts w:ascii="Arial" w:hAnsi="Arial" w:cs="Arial"/>
          <w:sz w:val="24"/>
          <w:szCs w:val="24"/>
        </w:rPr>
      </w:pPr>
    </w:p>
    <w:p w14:paraId="40C10C7D" w14:textId="33B1DC8B" w:rsidR="00247F63"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47F63" w:rsidRPr="00B257D7">
        <w:rPr>
          <w:rFonts w:ascii="Arial" w:hAnsi="Arial" w:cs="Arial"/>
          <w:sz w:val="24"/>
          <w:szCs w:val="24"/>
        </w:rPr>
        <w:t xml:space="preserve">Claim D: </w:t>
      </w:r>
      <w:r w:rsidR="00225FCD" w:rsidRPr="00B257D7">
        <w:rPr>
          <w:rFonts w:ascii="Arial" w:hAnsi="Arial" w:cs="Arial"/>
          <w:sz w:val="24"/>
          <w:szCs w:val="24"/>
        </w:rPr>
        <w:t>the loss of earning</w:t>
      </w:r>
      <w:r w:rsidR="009E2FC5" w:rsidRPr="00B257D7">
        <w:rPr>
          <w:rFonts w:ascii="Arial" w:hAnsi="Arial" w:cs="Arial"/>
          <w:sz w:val="24"/>
          <w:szCs w:val="24"/>
        </w:rPr>
        <w:t>s</w:t>
      </w:r>
      <w:r w:rsidR="00225FCD" w:rsidRPr="00B257D7">
        <w:rPr>
          <w:rFonts w:ascii="Arial" w:hAnsi="Arial" w:cs="Arial"/>
          <w:sz w:val="24"/>
          <w:szCs w:val="24"/>
        </w:rPr>
        <w:t xml:space="preserve"> as a result of the unlawful depravation. </w:t>
      </w:r>
    </w:p>
    <w:p w14:paraId="536A51D7" w14:textId="77777777" w:rsidR="00D31ACB" w:rsidRPr="00D31ACB" w:rsidRDefault="00D31ACB" w:rsidP="00D31ACB">
      <w:pPr>
        <w:pStyle w:val="ListParagraph"/>
        <w:rPr>
          <w:rFonts w:ascii="Arial" w:hAnsi="Arial" w:cs="Arial"/>
          <w:sz w:val="24"/>
          <w:szCs w:val="24"/>
        </w:rPr>
      </w:pPr>
    </w:p>
    <w:p w14:paraId="59E4F6B2" w14:textId="14B0819E" w:rsidR="007D69C7"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D47A4" w:rsidRPr="00B257D7">
        <w:rPr>
          <w:rFonts w:ascii="Arial" w:hAnsi="Arial" w:cs="Arial"/>
          <w:sz w:val="24"/>
          <w:szCs w:val="24"/>
        </w:rPr>
        <w:t xml:space="preserve">The </w:t>
      </w:r>
      <w:r w:rsidR="00826C36" w:rsidRPr="00B257D7">
        <w:rPr>
          <w:rFonts w:ascii="Arial" w:hAnsi="Arial" w:cs="Arial"/>
          <w:sz w:val="24"/>
          <w:szCs w:val="24"/>
        </w:rPr>
        <w:t>p</w:t>
      </w:r>
      <w:r w:rsidR="004F349C" w:rsidRPr="00B257D7">
        <w:rPr>
          <w:rFonts w:ascii="Arial" w:hAnsi="Arial" w:cs="Arial"/>
          <w:sz w:val="24"/>
          <w:szCs w:val="24"/>
        </w:rPr>
        <w:t>laintiff</w:t>
      </w:r>
      <w:r w:rsidR="005D47A4" w:rsidRPr="00B257D7">
        <w:rPr>
          <w:rFonts w:ascii="Arial" w:hAnsi="Arial" w:cs="Arial"/>
          <w:sz w:val="24"/>
          <w:szCs w:val="24"/>
        </w:rPr>
        <w:t xml:space="preserve"> further averred that proper notice of the proceedings was served on the </w:t>
      </w:r>
      <w:r w:rsidR="004F349C" w:rsidRPr="00B257D7">
        <w:rPr>
          <w:rFonts w:ascii="Arial" w:hAnsi="Arial" w:cs="Arial"/>
          <w:sz w:val="24"/>
          <w:szCs w:val="24"/>
        </w:rPr>
        <w:t>defendant</w:t>
      </w:r>
      <w:r w:rsidR="005D47A4" w:rsidRPr="00B257D7">
        <w:rPr>
          <w:rFonts w:ascii="Arial" w:hAnsi="Arial" w:cs="Arial"/>
          <w:sz w:val="24"/>
          <w:szCs w:val="24"/>
        </w:rPr>
        <w:t>s in term of sect</w:t>
      </w:r>
      <w:r w:rsidR="009E2FC5" w:rsidRPr="00B257D7">
        <w:rPr>
          <w:rFonts w:ascii="Arial" w:hAnsi="Arial" w:cs="Arial"/>
          <w:sz w:val="24"/>
          <w:szCs w:val="24"/>
        </w:rPr>
        <w:t>io</w:t>
      </w:r>
      <w:r w:rsidR="005D47A4" w:rsidRPr="00B257D7">
        <w:rPr>
          <w:rFonts w:ascii="Arial" w:hAnsi="Arial" w:cs="Arial"/>
          <w:sz w:val="24"/>
          <w:szCs w:val="24"/>
        </w:rPr>
        <w:t>n 3(1) of the Institution of Legal Proceedings Against Certain Organs of State, Act 40 2002</w:t>
      </w:r>
      <w:r w:rsidR="008E3F63" w:rsidRPr="00B257D7">
        <w:rPr>
          <w:rFonts w:ascii="Arial" w:hAnsi="Arial" w:cs="Arial"/>
          <w:sz w:val="24"/>
          <w:szCs w:val="24"/>
        </w:rPr>
        <w:t xml:space="preserve"> (“</w:t>
      </w:r>
      <w:r w:rsidR="001C3F2F" w:rsidRPr="00B257D7">
        <w:rPr>
          <w:rFonts w:ascii="Arial" w:hAnsi="Arial" w:cs="Arial"/>
          <w:sz w:val="24"/>
          <w:szCs w:val="24"/>
        </w:rPr>
        <w:t>Institution of Legal Proceedings Act”)</w:t>
      </w:r>
      <w:r w:rsidR="005D47A4" w:rsidRPr="00B257D7">
        <w:rPr>
          <w:rFonts w:ascii="Arial" w:hAnsi="Arial" w:cs="Arial"/>
          <w:sz w:val="24"/>
          <w:szCs w:val="24"/>
        </w:rPr>
        <w:t>.</w:t>
      </w:r>
    </w:p>
    <w:p w14:paraId="44C40D7F" w14:textId="77777777" w:rsidR="009E2FC5" w:rsidRPr="009E2FC5" w:rsidRDefault="009E2FC5" w:rsidP="009E2FC5">
      <w:pPr>
        <w:pStyle w:val="ListParagraph"/>
        <w:rPr>
          <w:rFonts w:ascii="Arial" w:hAnsi="Arial" w:cs="Arial"/>
          <w:sz w:val="24"/>
          <w:szCs w:val="24"/>
        </w:rPr>
      </w:pPr>
    </w:p>
    <w:p w14:paraId="303A39B1" w14:textId="77777777" w:rsidR="009E2FC5" w:rsidRPr="009E2FC5" w:rsidRDefault="009E2FC5" w:rsidP="009E2FC5">
      <w:pPr>
        <w:spacing w:after="360" w:line="360" w:lineRule="auto"/>
        <w:jc w:val="both"/>
        <w:rPr>
          <w:rFonts w:ascii="Arial" w:hAnsi="Arial" w:cs="Arial"/>
          <w:sz w:val="24"/>
          <w:szCs w:val="24"/>
        </w:rPr>
      </w:pPr>
    </w:p>
    <w:p w14:paraId="0F1B46C1" w14:textId="49D05F4D" w:rsidR="000C4A08" w:rsidRPr="0051672E" w:rsidRDefault="004F349C" w:rsidP="007D69C7">
      <w:pPr>
        <w:spacing w:after="360" w:line="360" w:lineRule="auto"/>
        <w:jc w:val="both"/>
        <w:rPr>
          <w:rFonts w:ascii="Arial" w:hAnsi="Arial" w:cs="Arial"/>
          <w:b/>
          <w:bCs/>
          <w:sz w:val="24"/>
          <w:szCs w:val="24"/>
          <w:u w:val="single"/>
        </w:rPr>
      </w:pPr>
      <w:r w:rsidRPr="0051672E">
        <w:rPr>
          <w:rFonts w:ascii="Arial" w:hAnsi="Arial" w:cs="Arial"/>
          <w:b/>
          <w:bCs/>
          <w:sz w:val="24"/>
          <w:szCs w:val="24"/>
          <w:u w:val="single"/>
        </w:rPr>
        <w:t>DEFENDANT</w:t>
      </w:r>
      <w:r w:rsidR="00D31ACB" w:rsidRPr="0051672E">
        <w:rPr>
          <w:rFonts w:ascii="Arial" w:hAnsi="Arial" w:cs="Arial"/>
          <w:b/>
          <w:bCs/>
          <w:sz w:val="24"/>
          <w:szCs w:val="24"/>
          <w:u w:val="single"/>
        </w:rPr>
        <w:t>S SPECIAL PLEA’S</w:t>
      </w:r>
    </w:p>
    <w:p w14:paraId="249644D8" w14:textId="191FE972" w:rsidR="00863167"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B7F87" w:rsidRPr="00B257D7">
        <w:rPr>
          <w:rFonts w:ascii="Arial" w:hAnsi="Arial" w:cs="Arial"/>
          <w:sz w:val="24"/>
          <w:szCs w:val="24"/>
        </w:rPr>
        <w:t xml:space="preserve">The </w:t>
      </w:r>
      <w:r w:rsidR="00826C36" w:rsidRPr="00B257D7">
        <w:rPr>
          <w:rFonts w:ascii="Arial" w:hAnsi="Arial" w:cs="Arial"/>
          <w:sz w:val="24"/>
          <w:szCs w:val="24"/>
        </w:rPr>
        <w:t>d</w:t>
      </w:r>
      <w:r w:rsidR="004F349C" w:rsidRPr="00B257D7">
        <w:rPr>
          <w:rFonts w:ascii="Arial" w:hAnsi="Arial" w:cs="Arial"/>
          <w:sz w:val="24"/>
          <w:szCs w:val="24"/>
        </w:rPr>
        <w:t>efendant</w:t>
      </w:r>
      <w:r w:rsidR="000B7F87" w:rsidRPr="00B257D7">
        <w:rPr>
          <w:rFonts w:ascii="Arial" w:hAnsi="Arial" w:cs="Arial"/>
          <w:sz w:val="24"/>
          <w:szCs w:val="24"/>
        </w:rPr>
        <w:t>s</w:t>
      </w:r>
      <w:r w:rsidR="003D3179" w:rsidRPr="00B257D7">
        <w:rPr>
          <w:rFonts w:ascii="Arial" w:hAnsi="Arial" w:cs="Arial"/>
          <w:sz w:val="24"/>
          <w:szCs w:val="24"/>
        </w:rPr>
        <w:t>, well advised,</w:t>
      </w:r>
      <w:r w:rsidR="004155EC" w:rsidRPr="00B257D7">
        <w:rPr>
          <w:rFonts w:ascii="Arial" w:hAnsi="Arial" w:cs="Arial"/>
          <w:sz w:val="24"/>
          <w:szCs w:val="24"/>
        </w:rPr>
        <w:t xml:space="preserve"> abandoned </w:t>
      </w:r>
      <w:r w:rsidR="003D3179" w:rsidRPr="00B257D7">
        <w:rPr>
          <w:rFonts w:ascii="Arial" w:hAnsi="Arial" w:cs="Arial"/>
          <w:sz w:val="24"/>
          <w:szCs w:val="24"/>
        </w:rPr>
        <w:t>their</w:t>
      </w:r>
      <w:r w:rsidR="00F706B2" w:rsidRPr="00B257D7">
        <w:rPr>
          <w:rFonts w:ascii="Arial" w:hAnsi="Arial" w:cs="Arial"/>
          <w:sz w:val="24"/>
          <w:szCs w:val="24"/>
        </w:rPr>
        <w:t xml:space="preserve"> first and fourth</w:t>
      </w:r>
      <w:r w:rsidR="004155EC" w:rsidRPr="00B257D7">
        <w:rPr>
          <w:rFonts w:ascii="Arial" w:hAnsi="Arial" w:cs="Arial"/>
          <w:sz w:val="24"/>
          <w:szCs w:val="24"/>
        </w:rPr>
        <w:t xml:space="preserve"> special pleas</w:t>
      </w:r>
      <w:r w:rsidR="00F81812" w:rsidRPr="00B257D7">
        <w:rPr>
          <w:rFonts w:ascii="Arial" w:hAnsi="Arial" w:cs="Arial"/>
          <w:sz w:val="24"/>
          <w:szCs w:val="24"/>
        </w:rPr>
        <w:t>’</w:t>
      </w:r>
      <w:r w:rsidR="004155EC" w:rsidRPr="00B257D7">
        <w:rPr>
          <w:rFonts w:ascii="Arial" w:hAnsi="Arial" w:cs="Arial"/>
          <w:sz w:val="24"/>
          <w:szCs w:val="24"/>
        </w:rPr>
        <w:t xml:space="preserve"> </w:t>
      </w:r>
      <w:r w:rsidR="000B7F87" w:rsidRPr="00B257D7">
        <w:rPr>
          <w:rFonts w:ascii="Arial" w:hAnsi="Arial" w:cs="Arial"/>
          <w:sz w:val="24"/>
          <w:szCs w:val="24"/>
        </w:rPr>
        <w:t xml:space="preserve"> </w:t>
      </w:r>
      <w:r w:rsidR="00401D3D" w:rsidRPr="00B257D7">
        <w:rPr>
          <w:rFonts w:ascii="Arial" w:hAnsi="Arial" w:cs="Arial"/>
          <w:sz w:val="24"/>
          <w:szCs w:val="24"/>
        </w:rPr>
        <w:t xml:space="preserve">concerning the </w:t>
      </w:r>
      <w:r w:rsidR="00F81812" w:rsidRPr="00B257D7">
        <w:rPr>
          <w:rFonts w:ascii="Arial" w:hAnsi="Arial" w:cs="Arial"/>
          <w:sz w:val="24"/>
          <w:szCs w:val="24"/>
        </w:rPr>
        <w:t>S</w:t>
      </w:r>
      <w:r w:rsidR="005C17B0" w:rsidRPr="00B257D7">
        <w:rPr>
          <w:rFonts w:ascii="Arial" w:hAnsi="Arial" w:cs="Arial"/>
          <w:sz w:val="24"/>
          <w:szCs w:val="24"/>
        </w:rPr>
        <w:t xml:space="preserve">tate </w:t>
      </w:r>
      <w:r w:rsidR="00F81812" w:rsidRPr="00B257D7">
        <w:rPr>
          <w:rFonts w:ascii="Arial" w:hAnsi="Arial" w:cs="Arial"/>
          <w:sz w:val="24"/>
          <w:szCs w:val="24"/>
        </w:rPr>
        <w:t>L</w:t>
      </w:r>
      <w:r w:rsidR="005C17B0" w:rsidRPr="00B257D7">
        <w:rPr>
          <w:rFonts w:ascii="Arial" w:hAnsi="Arial" w:cs="Arial"/>
          <w:sz w:val="24"/>
          <w:szCs w:val="24"/>
        </w:rPr>
        <w:t xml:space="preserve">iability </w:t>
      </w:r>
      <w:r w:rsidR="00F81812" w:rsidRPr="00B257D7">
        <w:rPr>
          <w:rFonts w:ascii="Arial" w:hAnsi="Arial" w:cs="Arial"/>
          <w:sz w:val="24"/>
          <w:szCs w:val="24"/>
        </w:rPr>
        <w:t>A</w:t>
      </w:r>
      <w:r w:rsidR="000B7F87" w:rsidRPr="00B257D7">
        <w:rPr>
          <w:rFonts w:ascii="Arial" w:hAnsi="Arial" w:cs="Arial"/>
          <w:sz w:val="24"/>
          <w:szCs w:val="24"/>
        </w:rPr>
        <w:t xml:space="preserve">ct 20 of 1957 </w:t>
      </w:r>
      <w:r w:rsidR="00F706B2" w:rsidRPr="00B257D7">
        <w:rPr>
          <w:rFonts w:ascii="Arial" w:hAnsi="Arial" w:cs="Arial"/>
          <w:sz w:val="24"/>
          <w:szCs w:val="24"/>
        </w:rPr>
        <w:t>and</w:t>
      </w:r>
      <w:r w:rsidR="00B93ABF" w:rsidRPr="00B257D7">
        <w:rPr>
          <w:rFonts w:ascii="Arial" w:hAnsi="Arial" w:cs="Arial"/>
          <w:sz w:val="24"/>
          <w:szCs w:val="24"/>
        </w:rPr>
        <w:t xml:space="preserve"> the </w:t>
      </w:r>
      <w:r w:rsidR="00826C36" w:rsidRPr="00B257D7">
        <w:rPr>
          <w:rFonts w:ascii="Arial" w:hAnsi="Arial" w:cs="Arial"/>
          <w:sz w:val="24"/>
          <w:szCs w:val="24"/>
        </w:rPr>
        <w:t>p</w:t>
      </w:r>
      <w:r w:rsidR="004F349C" w:rsidRPr="00B257D7">
        <w:rPr>
          <w:rFonts w:ascii="Arial" w:hAnsi="Arial" w:cs="Arial"/>
          <w:sz w:val="24"/>
          <w:szCs w:val="24"/>
        </w:rPr>
        <w:t>laintiff</w:t>
      </w:r>
      <w:r w:rsidR="00B93ABF" w:rsidRPr="00B257D7">
        <w:rPr>
          <w:rFonts w:ascii="Arial" w:hAnsi="Arial" w:cs="Arial"/>
          <w:sz w:val="24"/>
          <w:szCs w:val="24"/>
        </w:rPr>
        <w:t>’s lack of</w:t>
      </w:r>
      <w:r w:rsidR="00F706B2" w:rsidRPr="00B257D7">
        <w:rPr>
          <w:rFonts w:ascii="Arial" w:hAnsi="Arial" w:cs="Arial"/>
          <w:sz w:val="24"/>
          <w:szCs w:val="24"/>
        </w:rPr>
        <w:t xml:space="preserve"> </w:t>
      </w:r>
      <w:r w:rsidR="00F706B2" w:rsidRPr="00B257D7">
        <w:rPr>
          <w:rFonts w:ascii="Arial" w:hAnsi="Arial" w:cs="Arial"/>
          <w:i/>
          <w:iCs/>
          <w:sz w:val="24"/>
          <w:szCs w:val="24"/>
        </w:rPr>
        <w:t xml:space="preserve">locus standi </w:t>
      </w:r>
      <w:r w:rsidR="00B93ABF" w:rsidRPr="00B257D7">
        <w:rPr>
          <w:rFonts w:ascii="Arial" w:hAnsi="Arial" w:cs="Arial"/>
          <w:sz w:val="24"/>
          <w:szCs w:val="24"/>
        </w:rPr>
        <w:t xml:space="preserve">as he was alleged to be an illegal immigrant with a </w:t>
      </w:r>
      <w:r w:rsidR="003D3179" w:rsidRPr="00B257D7">
        <w:rPr>
          <w:rFonts w:ascii="Arial" w:hAnsi="Arial" w:cs="Arial"/>
          <w:sz w:val="24"/>
          <w:szCs w:val="24"/>
        </w:rPr>
        <w:t>fraudulent</w:t>
      </w:r>
      <w:r w:rsidR="00B93ABF" w:rsidRPr="00B257D7">
        <w:rPr>
          <w:rFonts w:ascii="Arial" w:hAnsi="Arial" w:cs="Arial"/>
          <w:sz w:val="24"/>
          <w:szCs w:val="24"/>
        </w:rPr>
        <w:t xml:space="preserve"> asylum seeker permit. </w:t>
      </w:r>
    </w:p>
    <w:p w14:paraId="7704D0C1" w14:textId="77777777" w:rsidR="00BB3AC9" w:rsidRDefault="00BB3AC9" w:rsidP="00BB3AC9">
      <w:pPr>
        <w:pStyle w:val="ListParagraph"/>
        <w:spacing w:after="360" w:line="360" w:lineRule="auto"/>
        <w:jc w:val="both"/>
        <w:rPr>
          <w:rFonts w:ascii="Arial" w:hAnsi="Arial" w:cs="Arial"/>
          <w:sz w:val="24"/>
          <w:szCs w:val="24"/>
        </w:rPr>
      </w:pPr>
    </w:p>
    <w:p w14:paraId="7470433E" w14:textId="450077F4" w:rsidR="00644BB6"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B0FAA" w:rsidRPr="00B257D7">
        <w:rPr>
          <w:rFonts w:ascii="Arial" w:hAnsi="Arial" w:cs="Arial"/>
          <w:sz w:val="24"/>
          <w:szCs w:val="24"/>
        </w:rPr>
        <w:t xml:space="preserve">The second special plea – </w:t>
      </w:r>
      <w:r w:rsidR="00074151" w:rsidRPr="00B257D7">
        <w:rPr>
          <w:rFonts w:ascii="Arial" w:hAnsi="Arial" w:cs="Arial"/>
          <w:sz w:val="24"/>
          <w:szCs w:val="24"/>
        </w:rPr>
        <w:t xml:space="preserve">the </w:t>
      </w:r>
      <w:r w:rsidR="00826C36" w:rsidRPr="00B257D7">
        <w:rPr>
          <w:rFonts w:ascii="Arial" w:hAnsi="Arial" w:cs="Arial"/>
          <w:sz w:val="24"/>
          <w:szCs w:val="24"/>
        </w:rPr>
        <w:t>p</w:t>
      </w:r>
      <w:r w:rsidR="004F349C" w:rsidRPr="00B257D7">
        <w:rPr>
          <w:rFonts w:ascii="Arial" w:hAnsi="Arial" w:cs="Arial"/>
          <w:sz w:val="24"/>
          <w:szCs w:val="24"/>
        </w:rPr>
        <w:t>laintiff</w:t>
      </w:r>
      <w:r w:rsidR="00074151" w:rsidRPr="00B257D7">
        <w:rPr>
          <w:rFonts w:ascii="Arial" w:hAnsi="Arial" w:cs="Arial"/>
          <w:sz w:val="24"/>
          <w:szCs w:val="24"/>
        </w:rPr>
        <w:t xml:space="preserve">’s failure to comply with the requirements of </w:t>
      </w:r>
      <w:r w:rsidR="00DD5D0A" w:rsidRPr="00B257D7">
        <w:rPr>
          <w:rFonts w:ascii="Arial" w:hAnsi="Arial" w:cs="Arial"/>
          <w:sz w:val="24"/>
          <w:szCs w:val="24"/>
        </w:rPr>
        <w:t xml:space="preserve">section 3 of </w:t>
      </w:r>
      <w:r w:rsidR="00074151" w:rsidRPr="00B257D7">
        <w:rPr>
          <w:rFonts w:ascii="Arial" w:hAnsi="Arial" w:cs="Arial"/>
          <w:sz w:val="24"/>
          <w:szCs w:val="24"/>
        </w:rPr>
        <w:t>the Institution of Legal Proceedings Act</w:t>
      </w:r>
      <w:r w:rsidR="006601E4" w:rsidRPr="00B257D7">
        <w:rPr>
          <w:rFonts w:ascii="Arial" w:hAnsi="Arial" w:cs="Arial"/>
          <w:sz w:val="24"/>
          <w:szCs w:val="24"/>
        </w:rPr>
        <w:t xml:space="preserve">. </w:t>
      </w:r>
      <w:r w:rsidR="00074151" w:rsidRPr="00B257D7">
        <w:rPr>
          <w:rFonts w:ascii="Arial" w:hAnsi="Arial" w:cs="Arial"/>
          <w:sz w:val="24"/>
          <w:szCs w:val="24"/>
        </w:rPr>
        <w:t xml:space="preserve">Specifically, the </w:t>
      </w:r>
      <w:r w:rsidR="004F349C" w:rsidRPr="00B257D7">
        <w:rPr>
          <w:rFonts w:ascii="Arial" w:hAnsi="Arial" w:cs="Arial"/>
          <w:sz w:val="24"/>
          <w:szCs w:val="24"/>
        </w:rPr>
        <w:t>plaintiff</w:t>
      </w:r>
      <w:r w:rsidR="00074151" w:rsidRPr="00B257D7">
        <w:rPr>
          <w:rFonts w:ascii="Arial" w:hAnsi="Arial" w:cs="Arial"/>
          <w:sz w:val="24"/>
          <w:szCs w:val="24"/>
        </w:rPr>
        <w:t xml:space="preserve"> neglected to provide proper notice to</w:t>
      </w:r>
      <w:r w:rsidR="007066F4" w:rsidRPr="00B257D7">
        <w:rPr>
          <w:rFonts w:ascii="Arial" w:hAnsi="Arial" w:cs="Arial"/>
          <w:sz w:val="24"/>
          <w:szCs w:val="24"/>
        </w:rPr>
        <w:t xml:space="preserve"> </w:t>
      </w:r>
      <w:r w:rsidR="006054F5" w:rsidRPr="00B257D7">
        <w:rPr>
          <w:rFonts w:ascii="Arial" w:hAnsi="Arial" w:cs="Arial"/>
          <w:sz w:val="24"/>
          <w:szCs w:val="24"/>
        </w:rPr>
        <w:t xml:space="preserve">the </w:t>
      </w:r>
      <w:r w:rsidR="004F349C" w:rsidRPr="00B257D7">
        <w:rPr>
          <w:rFonts w:ascii="Arial" w:hAnsi="Arial" w:cs="Arial"/>
          <w:sz w:val="24"/>
          <w:szCs w:val="24"/>
        </w:rPr>
        <w:t>defendant</w:t>
      </w:r>
      <w:r w:rsidR="00583D51" w:rsidRPr="00B257D7">
        <w:rPr>
          <w:rFonts w:ascii="Arial" w:hAnsi="Arial" w:cs="Arial"/>
          <w:sz w:val="24"/>
          <w:szCs w:val="24"/>
        </w:rPr>
        <w:t>s</w:t>
      </w:r>
      <w:r w:rsidR="006054F5" w:rsidRPr="00B257D7">
        <w:rPr>
          <w:rFonts w:ascii="Arial" w:hAnsi="Arial" w:cs="Arial"/>
          <w:sz w:val="24"/>
          <w:szCs w:val="24"/>
        </w:rPr>
        <w:t xml:space="preserve"> </w:t>
      </w:r>
      <w:r w:rsidR="00074151" w:rsidRPr="00B257D7">
        <w:rPr>
          <w:rFonts w:ascii="Arial" w:hAnsi="Arial" w:cs="Arial"/>
          <w:sz w:val="24"/>
          <w:szCs w:val="24"/>
        </w:rPr>
        <w:t xml:space="preserve">within 6 months from the date on which the debt </w:t>
      </w:r>
      <w:r w:rsidR="00583D51" w:rsidRPr="00B257D7">
        <w:rPr>
          <w:rFonts w:ascii="Arial" w:hAnsi="Arial" w:cs="Arial"/>
          <w:sz w:val="24"/>
          <w:szCs w:val="24"/>
        </w:rPr>
        <w:t>he</w:t>
      </w:r>
      <w:r w:rsidR="00074151" w:rsidRPr="00B257D7">
        <w:rPr>
          <w:rFonts w:ascii="Arial" w:hAnsi="Arial" w:cs="Arial"/>
          <w:sz w:val="24"/>
          <w:szCs w:val="24"/>
        </w:rPr>
        <w:t xml:space="preserve"> s</w:t>
      </w:r>
      <w:r w:rsidR="00583D51" w:rsidRPr="00B257D7">
        <w:rPr>
          <w:rFonts w:ascii="Arial" w:hAnsi="Arial" w:cs="Arial"/>
          <w:sz w:val="24"/>
          <w:szCs w:val="24"/>
        </w:rPr>
        <w:t>ought</w:t>
      </w:r>
      <w:r w:rsidR="00074151" w:rsidRPr="00B257D7">
        <w:rPr>
          <w:rFonts w:ascii="Arial" w:hAnsi="Arial" w:cs="Arial"/>
          <w:sz w:val="24"/>
          <w:szCs w:val="24"/>
        </w:rPr>
        <w:t xml:space="preserve"> to recover became due.</w:t>
      </w:r>
    </w:p>
    <w:p w14:paraId="4C99F57C" w14:textId="77777777" w:rsidR="00462232" w:rsidRDefault="00462232" w:rsidP="00462232">
      <w:pPr>
        <w:pStyle w:val="ListParagraph"/>
        <w:spacing w:after="360" w:line="360" w:lineRule="auto"/>
        <w:jc w:val="both"/>
        <w:rPr>
          <w:rFonts w:ascii="Arial" w:hAnsi="Arial" w:cs="Arial"/>
          <w:sz w:val="24"/>
          <w:szCs w:val="24"/>
        </w:rPr>
      </w:pPr>
    </w:p>
    <w:p w14:paraId="4D6F0756" w14:textId="132DCD5E" w:rsidR="008907BF" w:rsidRPr="00B257D7" w:rsidRDefault="00B257D7" w:rsidP="00B257D7">
      <w:pPr>
        <w:tabs>
          <w:tab w:val="left" w:pos="630"/>
        </w:tabs>
        <w:spacing w:after="36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8907BF" w:rsidRPr="00B257D7">
        <w:rPr>
          <w:rFonts w:ascii="Arial" w:hAnsi="Arial" w:cs="Arial"/>
          <w:sz w:val="24"/>
          <w:szCs w:val="24"/>
        </w:rPr>
        <w:t>The third special plea</w:t>
      </w:r>
      <w:r w:rsidR="00F23E67" w:rsidRPr="00B257D7">
        <w:rPr>
          <w:rFonts w:ascii="Arial" w:hAnsi="Arial" w:cs="Arial"/>
          <w:sz w:val="24"/>
          <w:szCs w:val="24"/>
        </w:rPr>
        <w:t xml:space="preserve"> –</w:t>
      </w:r>
      <w:r w:rsidR="004057CA" w:rsidRPr="00B257D7">
        <w:rPr>
          <w:rFonts w:ascii="Arial" w:hAnsi="Arial" w:cs="Arial"/>
          <w:sz w:val="24"/>
          <w:szCs w:val="24"/>
        </w:rPr>
        <w:t xml:space="preserve"> the unlawful arrest and </w:t>
      </w:r>
      <w:r w:rsidR="007879A2" w:rsidRPr="00B257D7">
        <w:rPr>
          <w:rFonts w:ascii="Arial" w:hAnsi="Arial" w:cs="Arial"/>
          <w:sz w:val="24"/>
          <w:szCs w:val="24"/>
        </w:rPr>
        <w:t>detention</w:t>
      </w:r>
      <w:r w:rsidR="004057CA" w:rsidRPr="00B257D7">
        <w:rPr>
          <w:rFonts w:ascii="Arial" w:hAnsi="Arial" w:cs="Arial"/>
          <w:sz w:val="24"/>
          <w:szCs w:val="24"/>
        </w:rPr>
        <w:t xml:space="preserve"> claims prescribed in terms of sect</w:t>
      </w:r>
      <w:r w:rsidR="00583D51" w:rsidRPr="00B257D7">
        <w:rPr>
          <w:rFonts w:ascii="Arial" w:hAnsi="Arial" w:cs="Arial"/>
          <w:sz w:val="24"/>
          <w:szCs w:val="24"/>
        </w:rPr>
        <w:t>io</w:t>
      </w:r>
      <w:r w:rsidR="004057CA" w:rsidRPr="00B257D7">
        <w:rPr>
          <w:rFonts w:ascii="Arial" w:hAnsi="Arial" w:cs="Arial"/>
          <w:sz w:val="24"/>
          <w:szCs w:val="24"/>
        </w:rPr>
        <w:t xml:space="preserve">n </w:t>
      </w:r>
      <w:r w:rsidR="007879A2" w:rsidRPr="00B257D7">
        <w:rPr>
          <w:rFonts w:ascii="Arial" w:hAnsi="Arial" w:cs="Arial"/>
          <w:sz w:val="24"/>
          <w:szCs w:val="24"/>
        </w:rPr>
        <w:t xml:space="preserve">11(d) read with section 12 of </w:t>
      </w:r>
      <w:r w:rsidR="00F23E67" w:rsidRPr="00B257D7">
        <w:rPr>
          <w:rFonts w:ascii="Arial" w:hAnsi="Arial" w:cs="Arial"/>
          <w:sz w:val="24"/>
          <w:szCs w:val="24"/>
        </w:rPr>
        <w:t xml:space="preserve"> </w:t>
      </w:r>
      <w:r w:rsidR="007879A2" w:rsidRPr="00B257D7">
        <w:rPr>
          <w:rFonts w:ascii="Arial" w:hAnsi="Arial" w:cs="Arial"/>
          <w:sz w:val="24"/>
          <w:szCs w:val="24"/>
        </w:rPr>
        <w:t>Prescription Act 68 of 1969</w:t>
      </w:r>
      <w:r w:rsidR="00F83643" w:rsidRPr="00B257D7">
        <w:rPr>
          <w:rFonts w:ascii="Arial" w:hAnsi="Arial" w:cs="Arial"/>
          <w:sz w:val="24"/>
          <w:szCs w:val="24"/>
        </w:rPr>
        <w:t xml:space="preserve"> </w:t>
      </w:r>
      <w:r w:rsidR="00B55205" w:rsidRPr="00B257D7">
        <w:rPr>
          <w:rFonts w:ascii="Arial" w:hAnsi="Arial" w:cs="Arial"/>
          <w:sz w:val="24"/>
          <w:szCs w:val="24"/>
        </w:rPr>
        <w:t>(“Prescription Act”)</w:t>
      </w:r>
      <w:r w:rsidR="007879A2" w:rsidRPr="00B257D7">
        <w:rPr>
          <w:rFonts w:ascii="Arial" w:hAnsi="Arial" w:cs="Arial"/>
          <w:sz w:val="24"/>
          <w:szCs w:val="24"/>
        </w:rPr>
        <w:t xml:space="preserve">. </w:t>
      </w:r>
      <w:r w:rsidR="00EB3960" w:rsidRPr="00B257D7">
        <w:rPr>
          <w:rFonts w:ascii="Arial" w:hAnsi="Arial" w:cs="Arial"/>
          <w:sz w:val="24"/>
          <w:szCs w:val="24"/>
        </w:rPr>
        <w:t xml:space="preserve">The </w:t>
      </w:r>
      <w:r w:rsidR="00B55205" w:rsidRPr="00B257D7">
        <w:rPr>
          <w:rFonts w:ascii="Arial" w:hAnsi="Arial" w:cs="Arial"/>
          <w:sz w:val="24"/>
          <w:szCs w:val="24"/>
        </w:rPr>
        <w:t>p</w:t>
      </w:r>
      <w:r w:rsidR="004F349C" w:rsidRPr="00B257D7">
        <w:rPr>
          <w:rFonts w:ascii="Arial" w:hAnsi="Arial" w:cs="Arial"/>
          <w:sz w:val="24"/>
          <w:szCs w:val="24"/>
        </w:rPr>
        <w:t>laintiff</w:t>
      </w:r>
      <w:r w:rsidR="00EB3960" w:rsidRPr="00B257D7">
        <w:rPr>
          <w:rFonts w:ascii="Arial" w:hAnsi="Arial" w:cs="Arial"/>
          <w:sz w:val="24"/>
          <w:szCs w:val="24"/>
        </w:rPr>
        <w:t>'s unlawful arrest claim</w:t>
      </w:r>
      <w:r w:rsidR="004057CA" w:rsidRPr="00B257D7">
        <w:rPr>
          <w:rFonts w:ascii="Arial" w:hAnsi="Arial" w:cs="Arial"/>
          <w:sz w:val="24"/>
          <w:szCs w:val="24"/>
        </w:rPr>
        <w:t xml:space="preserve"> arose on 10 September </w:t>
      </w:r>
      <w:r w:rsidR="004057CA" w:rsidRPr="00B257D7">
        <w:rPr>
          <w:rFonts w:ascii="Arial" w:hAnsi="Arial" w:cs="Arial"/>
          <w:sz w:val="24"/>
          <w:szCs w:val="24"/>
        </w:rPr>
        <w:lastRenderedPageBreak/>
        <w:t>2014</w:t>
      </w:r>
      <w:r w:rsidR="007879A2" w:rsidRPr="00B257D7">
        <w:rPr>
          <w:rFonts w:ascii="Arial" w:hAnsi="Arial" w:cs="Arial"/>
          <w:sz w:val="24"/>
          <w:szCs w:val="24"/>
        </w:rPr>
        <w:t>, thus prescribed on 09 September 2017</w:t>
      </w:r>
      <w:r w:rsidR="007642ED" w:rsidRPr="00B257D7">
        <w:rPr>
          <w:rFonts w:ascii="Arial" w:hAnsi="Arial" w:cs="Arial"/>
          <w:sz w:val="24"/>
          <w:szCs w:val="24"/>
        </w:rPr>
        <w:t xml:space="preserve"> and the unlawful detention claim older than three years prior to </w:t>
      </w:r>
      <w:r w:rsidR="004C34B3" w:rsidRPr="00B257D7">
        <w:rPr>
          <w:rFonts w:ascii="Arial" w:hAnsi="Arial" w:cs="Arial"/>
          <w:sz w:val="24"/>
          <w:szCs w:val="24"/>
        </w:rPr>
        <w:t xml:space="preserve">service of summons </w:t>
      </w:r>
      <w:r w:rsidR="00054906" w:rsidRPr="00B257D7">
        <w:rPr>
          <w:rFonts w:ascii="Arial" w:hAnsi="Arial" w:cs="Arial"/>
          <w:sz w:val="24"/>
          <w:szCs w:val="24"/>
        </w:rPr>
        <w:t>had</w:t>
      </w:r>
      <w:r w:rsidR="00C94299" w:rsidRPr="00B257D7">
        <w:rPr>
          <w:rFonts w:ascii="Arial" w:hAnsi="Arial" w:cs="Arial"/>
          <w:sz w:val="24"/>
          <w:szCs w:val="24"/>
        </w:rPr>
        <w:t xml:space="preserve"> become</w:t>
      </w:r>
      <w:r w:rsidR="00054906" w:rsidRPr="00B257D7">
        <w:rPr>
          <w:rFonts w:ascii="Arial" w:hAnsi="Arial" w:cs="Arial"/>
          <w:sz w:val="24"/>
          <w:szCs w:val="24"/>
        </w:rPr>
        <w:t xml:space="preserve"> </w:t>
      </w:r>
      <w:r w:rsidR="00C94299" w:rsidRPr="00B257D7">
        <w:rPr>
          <w:rFonts w:ascii="Arial" w:hAnsi="Arial" w:cs="Arial"/>
          <w:sz w:val="24"/>
          <w:szCs w:val="24"/>
        </w:rPr>
        <w:t>prescribed.</w:t>
      </w:r>
    </w:p>
    <w:p w14:paraId="4431E831" w14:textId="77777777" w:rsidR="00462232" w:rsidRPr="00462232" w:rsidRDefault="00462232" w:rsidP="00462232">
      <w:pPr>
        <w:pStyle w:val="ListParagraph"/>
        <w:rPr>
          <w:rFonts w:ascii="Arial" w:hAnsi="Arial" w:cs="Arial"/>
          <w:sz w:val="24"/>
          <w:szCs w:val="24"/>
        </w:rPr>
      </w:pPr>
    </w:p>
    <w:p w14:paraId="38237AFC" w14:textId="77777777" w:rsidR="00462232" w:rsidRPr="008907BF" w:rsidRDefault="00462232" w:rsidP="00462232">
      <w:pPr>
        <w:pStyle w:val="ListParagraph"/>
        <w:spacing w:after="360" w:line="360" w:lineRule="auto"/>
        <w:jc w:val="both"/>
        <w:rPr>
          <w:rFonts w:ascii="Arial" w:hAnsi="Arial" w:cs="Arial"/>
          <w:sz w:val="24"/>
          <w:szCs w:val="24"/>
        </w:rPr>
      </w:pPr>
    </w:p>
    <w:p w14:paraId="6A33BA7A" w14:textId="1491796A" w:rsidR="00CD6A1F"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94299" w:rsidRPr="00B257D7">
        <w:rPr>
          <w:rFonts w:ascii="Arial" w:hAnsi="Arial" w:cs="Arial"/>
          <w:sz w:val="24"/>
          <w:szCs w:val="24"/>
        </w:rPr>
        <w:t>In replication,</w:t>
      </w:r>
      <w:r w:rsidR="00E82F2B" w:rsidRPr="00B257D7">
        <w:rPr>
          <w:rFonts w:ascii="Arial" w:hAnsi="Arial" w:cs="Arial"/>
          <w:sz w:val="24"/>
          <w:szCs w:val="24"/>
        </w:rPr>
        <w:t xml:space="preserve"> the </w:t>
      </w:r>
      <w:r w:rsidR="00F83643" w:rsidRPr="00B257D7">
        <w:rPr>
          <w:rFonts w:ascii="Arial" w:hAnsi="Arial" w:cs="Arial"/>
          <w:sz w:val="24"/>
          <w:szCs w:val="24"/>
        </w:rPr>
        <w:t>p</w:t>
      </w:r>
      <w:r w:rsidR="004F349C" w:rsidRPr="00B257D7">
        <w:rPr>
          <w:rFonts w:ascii="Arial" w:hAnsi="Arial" w:cs="Arial"/>
          <w:sz w:val="24"/>
          <w:szCs w:val="24"/>
        </w:rPr>
        <w:t>laintiff</w:t>
      </w:r>
      <w:r w:rsidR="00E82F2B" w:rsidRPr="00B257D7">
        <w:rPr>
          <w:rFonts w:ascii="Arial" w:hAnsi="Arial" w:cs="Arial"/>
          <w:sz w:val="24"/>
          <w:szCs w:val="24"/>
        </w:rPr>
        <w:t xml:space="preserve"> claims that the arrest and detention w</w:t>
      </w:r>
      <w:r w:rsidR="00583D51" w:rsidRPr="00B257D7">
        <w:rPr>
          <w:rFonts w:ascii="Arial" w:hAnsi="Arial" w:cs="Arial"/>
          <w:sz w:val="24"/>
          <w:szCs w:val="24"/>
        </w:rPr>
        <w:t>ere</w:t>
      </w:r>
      <w:r w:rsidR="00E82F2B" w:rsidRPr="00B257D7">
        <w:rPr>
          <w:rFonts w:ascii="Arial" w:hAnsi="Arial" w:cs="Arial"/>
          <w:sz w:val="24"/>
          <w:szCs w:val="24"/>
        </w:rPr>
        <w:t xml:space="preserve"> continuous, therefore</w:t>
      </w:r>
      <w:r w:rsidR="00102A18" w:rsidRPr="00B257D7">
        <w:rPr>
          <w:rFonts w:ascii="Arial" w:hAnsi="Arial" w:cs="Arial"/>
          <w:sz w:val="24"/>
          <w:szCs w:val="24"/>
        </w:rPr>
        <w:t xml:space="preserve"> the unlawful arrest and detention claim arose on </w:t>
      </w:r>
      <w:r w:rsidR="001C3645" w:rsidRPr="00B257D7">
        <w:rPr>
          <w:rFonts w:ascii="Arial" w:hAnsi="Arial" w:cs="Arial"/>
          <w:sz w:val="24"/>
          <w:szCs w:val="24"/>
        </w:rPr>
        <w:t>3</w:t>
      </w:r>
      <w:r w:rsidR="00102A18" w:rsidRPr="00B257D7">
        <w:rPr>
          <w:rFonts w:ascii="Arial" w:hAnsi="Arial" w:cs="Arial"/>
          <w:sz w:val="24"/>
          <w:szCs w:val="24"/>
        </w:rPr>
        <w:t xml:space="preserve">0 </w:t>
      </w:r>
      <w:r w:rsidR="001C3645" w:rsidRPr="00B257D7">
        <w:rPr>
          <w:rFonts w:ascii="Arial" w:hAnsi="Arial" w:cs="Arial"/>
          <w:sz w:val="24"/>
          <w:szCs w:val="24"/>
        </w:rPr>
        <w:t>January</w:t>
      </w:r>
      <w:r w:rsidR="00102A18" w:rsidRPr="00B257D7">
        <w:rPr>
          <w:rFonts w:ascii="Arial" w:hAnsi="Arial" w:cs="Arial"/>
          <w:sz w:val="24"/>
          <w:szCs w:val="24"/>
        </w:rPr>
        <w:t xml:space="preserve"> 2019</w:t>
      </w:r>
      <w:r w:rsidR="00FB34B2" w:rsidRPr="00B257D7">
        <w:rPr>
          <w:rFonts w:ascii="Arial" w:hAnsi="Arial" w:cs="Arial"/>
          <w:sz w:val="24"/>
          <w:szCs w:val="24"/>
        </w:rPr>
        <w:t xml:space="preserve"> whereafter he served his </w:t>
      </w:r>
      <w:r w:rsidR="00C52EF4" w:rsidRPr="00B257D7">
        <w:rPr>
          <w:rFonts w:ascii="Arial" w:hAnsi="Arial" w:cs="Arial"/>
          <w:sz w:val="24"/>
          <w:szCs w:val="24"/>
        </w:rPr>
        <w:t>demand</w:t>
      </w:r>
      <w:r w:rsidR="00FB34B2" w:rsidRPr="00B257D7">
        <w:rPr>
          <w:rFonts w:ascii="Arial" w:hAnsi="Arial" w:cs="Arial"/>
          <w:sz w:val="24"/>
          <w:szCs w:val="24"/>
        </w:rPr>
        <w:t xml:space="preserve"> in terms of sect</w:t>
      </w:r>
      <w:r w:rsidR="00F83643" w:rsidRPr="00B257D7">
        <w:rPr>
          <w:rFonts w:ascii="Arial" w:hAnsi="Arial" w:cs="Arial"/>
          <w:sz w:val="24"/>
          <w:szCs w:val="24"/>
        </w:rPr>
        <w:t>io</w:t>
      </w:r>
      <w:r w:rsidR="00FB34B2" w:rsidRPr="00B257D7">
        <w:rPr>
          <w:rFonts w:ascii="Arial" w:hAnsi="Arial" w:cs="Arial"/>
          <w:sz w:val="24"/>
          <w:szCs w:val="24"/>
        </w:rPr>
        <w:t xml:space="preserve">n 3 of the Institution of Legal Proceedings Act on 20 June 2019. Concerning </w:t>
      </w:r>
      <w:r w:rsidR="00B66999" w:rsidRPr="00B257D7">
        <w:rPr>
          <w:rFonts w:ascii="Arial" w:hAnsi="Arial" w:cs="Arial"/>
          <w:sz w:val="24"/>
          <w:szCs w:val="24"/>
        </w:rPr>
        <w:t xml:space="preserve">the issue of prescription, the </w:t>
      </w:r>
      <w:r w:rsidR="00C52EF4" w:rsidRPr="00B257D7">
        <w:rPr>
          <w:rFonts w:ascii="Arial" w:hAnsi="Arial" w:cs="Arial"/>
          <w:sz w:val="24"/>
          <w:szCs w:val="24"/>
        </w:rPr>
        <w:t>p</w:t>
      </w:r>
      <w:r w:rsidR="004F349C" w:rsidRPr="00B257D7">
        <w:rPr>
          <w:rFonts w:ascii="Arial" w:hAnsi="Arial" w:cs="Arial"/>
          <w:sz w:val="24"/>
          <w:szCs w:val="24"/>
        </w:rPr>
        <w:t>laintiff</w:t>
      </w:r>
      <w:r w:rsidR="00B66999" w:rsidRPr="00B257D7">
        <w:rPr>
          <w:rFonts w:ascii="Arial" w:hAnsi="Arial" w:cs="Arial"/>
          <w:sz w:val="24"/>
          <w:szCs w:val="24"/>
        </w:rPr>
        <w:t xml:space="preserve">, amongst </w:t>
      </w:r>
      <w:r w:rsidR="0061014D" w:rsidRPr="00B257D7">
        <w:rPr>
          <w:rFonts w:ascii="Arial" w:hAnsi="Arial" w:cs="Arial"/>
          <w:sz w:val="24"/>
          <w:szCs w:val="24"/>
        </w:rPr>
        <w:t>the claims being continuous,</w:t>
      </w:r>
      <w:r w:rsidR="00B66999" w:rsidRPr="00B257D7">
        <w:rPr>
          <w:rFonts w:ascii="Arial" w:hAnsi="Arial" w:cs="Arial"/>
          <w:sz w:val="24"/>
          <w:szCs w:val="24"/>
        </w:rPr>
        <w:t xml:space="preserve"> further pleaded</w:t>
      </w:r>
      <w:r w:rsidR="00C52EF4" w:rsidRPr="00B257D7">
        <w:rPr>
          <w:rFonts w:ascii="Arial" w:hAnsi="Arial" w:cs="Arial"/>
          <w:sz w:val="24"/>
          <w:szCs w:val="24"/>
        </w:rPr>
        <w:t xml:space="preserve">, invoking section 12(3) of the Prescription Act </w:t>
      </w:r>
      <w:r w:rsidR="00B66999" w:rsidRPr="00B257D7">
        <w:rPr>
          <w:rFonts w:ascii="Arial" w:hAnsi="Arial" w:cs="Arial"/>
          <w:sz w:val="24"/>
          <w:szCs w:val="24"/>
        </w:rPr>
        <w:t>that</w:t>
      </w:r>
      <w:r w:rsidR="0061014D" w:rsidRPr="00B257D7">
        <w:rPr>
          <w:rFonts w:ascii="Arial" w:hAnsi="Arial" w:cs="Arial"/>
          <w:sz w:val="24"/>
          <w:szCs w:val="24"/>
        </w:rPr>
        <w:t xml:space="preserve"> </w:t>
      </w:r>
      <w:r w:rsidR="007459B1" w:rsidRPr="00B257D7">
        <w:rPr>
          <w:rFonts w:ascii="Arial" w:hAnsi="Arial" w:cs="Arial"/>
          <w:sz w:val="24"/>
          <w:szCs w:val="24"/>
        </w:rPr>
        <w:t xml:space="preserve">he had no knowledge of </w:t>
      </w:r>
      <w:r w:rsidR="00995C24" w:rsidRPr="00B257D7">
        <w:rPr>
          <w:rFonts w:ascii="Arial" w:hAnsi="Arial" w:cs="Arial"/>
          <w:sz w:val="24"/>
          <w:szCs w:val="24"/>
        </w:rPr>
        <w:t xml:space="preserve">the right to </w:t>
      </w:r>
      <w:r w:rsidR="007459B1" w:rsidRPr="00B257D7">
        <w:rPr>
          <w:rFonts w:ascii="Arial" w:hAnsi="Arial" w:cs="Arial"/>
          <w:sz w:val="24"/>
          <w:szCs w:val="24"/>
        </w:rPr>
        <w:t xml:space="preserve">claim against the </w:t>
      </w:r>
      <w:r w:rsidR="00C52EF4" w:rsidRPr="00B257D7">
        <w:rPr>
          <w:rFonts w:ascii="Arial" w:hAnsi="Arial" w:cs="Arial"/>
          <w:sz w:val="24"/>
          <w:szCs w:val="24"/>
        </w:rPr>
        <w:t>d</w:t>
      </w:r>
      <w:r w:rsidR="004F349C" w:rsidRPr="00B257D7">
        <w:rPr>
          <w:rFonts w:ascii="Arial" w:hAnsi="Arial" w:cs="Arial"/>
          <w:sz w:val="24"/>
          <w:szCs w:val="24"/>
        </w:rPr>
        <w:t>efendant</w:t>
      </w:r>
      <w:r w:rsidR="00995C24" w:rsidRPr="00B257D7">
        <w:rPr>
          <w:rFonts w:ascii="Arial" w:hAnsi="Arial" w:cs="Arial"/>
          <w:sz w:val="24"/>
          <w:szCs w:val="24"/>
        </w:rPr>
        <w:t xml:space="preserve">s and only became aware of </w:t>
      </w:r>
      <w:r w:rsidR="00175654" w:rsidRPr="00B257D7">
        <w:rPr>
          <w:rFonts w:ascii="Arial" w:hAnsi="Arial" w:cs="Arial"/>
          <w:sz w:val="24"/>
          <w:szCs w:val="24"/>
        </w:rPr>
        <w:t>the d</w:t>
      </w:r>
      <w:r w:rsidR="004F349C" w:rsidRPr="00B257D7">
        <w:rPr>
          <w:rFonts w:ascii="Arial" w:hAnsi="Arial" w:cs="Arial"/>
          <w:sz w:val="24"/>
          <w:szCs w:val="24"/>
        </w:rPr>
        <w:t>efendant</w:t>
      </w:r>
      <w:r w:rsidR="00995C24" w:rsidRPr="00B257D7">
        <w:rPr>
          <w:rFonts w:ascii="Arial" w:hAnsi="Arial" w:cs="Arial"/>
          <w:sz w:val="24"/>
          <w:szCs w:val="24"/>
        </w:rPr>
        <w:t>s and the facts giving rise to the debt following consultation with his attorney of record</w:t>
      </w:r>
      <w:r w:rsidR="001B6316" w:rsidRPr="00B257D7">
        <w:rPr>
          <w:rFonts w:ascii="Arial" w:hAnsi="Arial" w:cs="Arial"/>
          <w:sz w:val="24"/>
          <w:szCs w:val="24"/>
        </w:rPr>
        <w:t>, in 2019</w:t>
      </w:r>
      <w:r w:rsidR="00CD6A1F" w:rsidRPr="00B257D7">
        <w:rPr>
          <w:rFonts w:ascii="Arial" w:hAnsi="Arial" w:cs="Arial"/>
          <w:sz w:val="24"/>
          <w:szCs w:val="24"/>
        </w:rPr>
        <w:t>.</w:t>
      </w:r>
    </w:p>
    <w:p w14:paraId="505354D1" w14:textId="59EA6CAE" w:rsidR="003A5445" w:rsidRPr="0051672E" w:rsidRDefault="008812E0" w:rsidP="007D69C7">
      <w:pPr>
        <w:spacing w:after="360" w:line="360" w:lineRule="auto"/>
        <w:jc w:val="both"/>
        <w:rPr>
          <w:rFonts w:ascii="Arial" w:hAnsi="Arial" w:cs="Arial"/>
          <w:b/>
          <w:bCs/>
          <w:sz w:val="24"/>
          <w:szCs w:val="24"/>
          <w:u w:val="single"/>
        </w:rPr>
      </w:pPr>
      <w:r w:rsidRPr="0051672E">
        <w:rPr>
          <w:rFonts w:ascii="Arial" w:hAnsi="Arial" w:cs="Arial"/>
          <w:b/>
          <w:bCs/>
          <w:sz w:val="24"/>
          <w:szCs w:val="24"/>
          <w:u w:val="single"/>
        </w:rPr>
        <w:t>PROCEEDINGS</w:t>
      </w:r>
    </w:p>
    <w:p w14:paraId="42F73939" w14:textId="77777777" w:rsidR="003A5445" w:rsidRPr="003A5445" w:rsidRDefault="003A5445" w:rsidP="003A5445">
      <w:pPr>
        <w:pStyle w:val="ListParagraph"/>
        <w:spacing w:after="360" w:line="360" w:lineRule="auto"/>
        <w:jc w:val="both"/>
        <w:rPr>
          <w:rFonts w:ascii="Arial" w:hAnsi="Arial" w:cs="Arial"/>
          <w:sz w:val="24"/>
          <w:szCs w:val="24"/>
        </w:rPr>
      </w:pPr>
    </w:p>
    <w:p w14:paraId="43B0FFC7" w14:textId="2FE2D84D" w:rsidR="003A5445" w:rsidRPr="00B257D7" w:rsidRDefault="00B257D7" w:rsidP="00B257D7">
      <w:pPr>
        <w:spacing w:after="360" w:line="360" w:lineRule="auto"/>
        <w:ind w:left="720" w:hanging="720"/>
        <w:jc w:val="both"/>
        <w:rPr>
          <w:rFonts w:ascii="Arial" w:hAnsi="Arial" w:cs="Arial"/>
          <w:sz w:val="24"/>
          <w:szCs w:val="24"/>
        </w:rPr>
      </w:pPr>
      <w:r w:rsidRPr="00741FF8">
        <w:rPr>
          <w:rFonts w:ascii="Arial" w:hAnsi="Arial" w:cs="Arial"/>
          <w:sz w:val="24"/>
          <w:szCs w:val="24"/>
        </w:rPr>
        <w:t>[16.]</w:t>
      </w:r>
      <w:r w:rsidRPr="00741FF8">
        <w:rPr>
          <w:rFonts w:ascii="Arial" w:hAnsi="Arial" w:cs="Arial"/>
          <w:sz w:val="24"/>
          <w:szCs w:val="24"/>
        </w:rPr>
        <w:tab/>
      </w:r>
      <w:r w:rsidR="003A5445" w:rsidRPr="00B257D7">
        <w:rPr>
          <w:rFonts w:ascii="Arial" w:hAnsi="Arial" w:cs="Arial"/>
          <w:sz w:val="24"/>
          <w:szCs w:val="24"/>
        </w:rPr>
        <w:t>At the hearing, the parties initially sought to proceed by way of a stated case in terms of</w:t>
      </w:r>
      <w:r w:rsidR="003A5445" w:rsidRPr="00741FF8">
        <w:t xml:space="preserve"> </w:t>
      </w:r>
      <w:r w:rsidR="003A5445" w:rsidRPr="00B257D7">
        <w:rPr>
          <w:rFonts w:ascii="Arial" w:hAnsi="Arial" w:cs="Arial"/>
          <w:sz w:val="24"/>
          <w:szCs w:val="24"/>
        </w:rPr>
        <w:t>Uniform Court Rule 33(1) and (2), however, the parties failed to meet each other and an application was made and granted in terms of Rule 33(4), for the</w:t>
      </w:r>
      <w:r w:rsidR="00065451" w:rsidRPr="00B257D7">
        <w:rPr>
          <w:rFonts w:ascii="Arial" w:hAnsi="Arial" w:cs="Arial"/>
          <w:sz w:val="24"/>
          <w:szCs w:val="24"/>
        </w:rPr>
        <w:t xml:space="preserve"> two remaining</w:t>
      </w:r>
      <w:r w:rsidR="003A5445" w:rsidRPr="00B257D7">
        <w:rPr>
          <w:rFonts w:ascii="Arial" w:hAnsi="Arial" w:cs="Arial"/>
          <w:sz w:val="24"/>
          <w:szCs w:val="24"/>
        </w:rPr>
        <w:t xml:space="preserve"> special pleas to be</w:t>
      </w:r>
      <w:r w:rsidR="000B2634" w:rsidRPr="00B257D7">
        <w:rPr>
          <w:rFonts w:ascii="Arial" w:hAnsi="Arial" w:cs="Arial"/>
          <w:sz w:val="24"/>
          <w:szCs w:val="24"/>
        </w:rPr>
        <w:t xml:space="preserve"> separated and</w:t>
      </w:r>
      <w:r w:rsidR="003A5445" w:rsidRPr="00B257D7">
        <w:rPr>
          <w:rFonts w:ascii="Arial" w:hAnsi="Arial" w:cs="Arial"/>
          <w:sz w:val="24"/>
          <w:szCs w:val="24"/>
        </w:rPr>
        <w:t xml:space="preserve"> solely adjudicated.  </w:t>
      </w:r>
    </w:p>
    <w:p w14:paraId="620FBADC" w14:textId="77777777" w:rsidR="00065451" w:rsidRDefault="00065451" w:rsidP="00065451">
      <w:pPr>
        <w:pStyle w:val="ListParagraph"/>
        <w:spacing w:after="360" w:line="360" w:lineRule="auto"/>
        <w:jc w:val="both"/>
        <w:rPr>
          <w:rFonts w:ascii="Arial" w:hAnsi="Arial" w:cs="Arial"/>
          <w:sz w:val="24"/>
          <w:szCs w:val="24"/>
        </w:rPr>
      </w:pPr>
    </w:p>
    <w:p w14:paraId="77DE0DBA" w14:textId="1461C510" w:rsidR="00CD6A1F"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65451" w:rsidRPr="00B257D7">
        <w:rPr>
          <w:rFonts w:ascii="Arial" w:hAnsi="Arial" w:cs="Arial"/>
          <w:sz w:val="24"/>
          <w:szCs w:val="24"/>
        </w:rPr>
        <w:t>T</w:t>
      </w:r>
      <w:r w:rsidR="00CD6A1F" w:rsidRPr="00B257D7">
        <w:rPr>
          <w:rFonts w:ascii="Arial" w:hAnsi="Arial" w:cs="Arial"/>
          <w:sz w:val="24"/>
          <w:szCs w:val="24"/>
        </w:rPr>
        <w:t>he parties</w:t>
      </w:r>
      <w:r w:rsidR="00932D53" w:rsidRPr="00B257D7">
        <w:rPr>
          <w:rFonts w:ascii="Arial" w:hAnsi="Arial" w:cs="Arial"/>
          <w:sz w:val="24"/>
          <w:szCs w:val="24"/>
        </w:rPr>
        <w:t xml:space="preserve"> further</w:t>
      </w:r>
      <w:r w:rsidR="00CD6A1F" w:rsidRPr="00B257D7">
        <w:rPr>
          <w:rFonts w:ascii="Arial" w:hAnsi="Arial" w:cs="Arial"/>
          <w:sz w:val="24"/>
          <w:szCs w:val="24"/>
        </w:rPr>
        <w:t xml:space="preserve"> agreed that the following was common cause: the date of arrest</w:t>
      </w:r>
      <w:r w:rsidR="002A0745" w:rsidRPr="00B257D7">
        <w:rPr>
          <w:rFonts w:ascii="Arial" w:hAnsi="Arial" w:cs="Arial"/>
          <w:sz w:val="24"/>
          <w:szCs w:val="24"/>
        </w:rPr>
        <w:t xml:space="preserve"> </w:t>
      </w:r>
      <w:r w:rsidR="007B7A7C" w:rsidRPr="00B257D7">
        <w:rPr>
          <w:rFonts w:ascii="Arial" w:hAnsi="Arial" w:cs="Arial"/>
          <w:sz w:val="24"/>
          <w:szCs w:val="24"/>
        </w:rPr>
        <w:t>–</w:t>
      </w:r>
      <w:r w:rsidR="002A0745" w:rsidRPr="00B257D7">
        <w:rPr>
          <w:rFonts w:ascii="Arial" w:hAnsi="Arial" w:cs="Arial"/>
          <w:sz w:val="24"/>
          <w:szCs w:val="24"/>
        </w:rPr>
        <w:t xml:space="preserve"> </w:t>
      </w:r>
      <w:r w:rsidR="007B7A7C" w:rsidRPr="00B257D7">
        <w:rPr>
          <w:rFonts w:ascii="Arial" w:hAnsi="Arial" w:cs="Arial"/>
          <w:sz w:val="24"/>
          <w:szCs w:val="24"/>
        </w:rPr>
        <w:t>10 September 2014</w:t>
      </w:r>
      <w:r w:rsidR="00CD6A1F" w:rsidRPr="00B257D7">
        <w:rPr>
          <w:rFonts w:ascii="Arial" w:hAnsi="Arial" w:cs="Arial"/>
          <w:sz w:val="24"/>
          <w:szCs w:val="24"/>
        </w:rPr>
        <w:t xml:space="preserve">; the </w:t>
      </w:r>
      <w:r w:rsidR="00932D53" w:rsidRPr="00B257D7">
        <w:rPr>
          <w:rFonts w:ascii="Arial" w:hAnsi="Arial" w:cs="Arial"/>
          <w:sz w:val="24"/>
          <w:szCs w:val="24"/>
        </w:rPr>
        <w:t>p</w:t>
      </w:r>
      <w:r w:rsidR="004F349C" w:rsidRPr="00B257D7">
        <w:rPr>
          <w:rFonts w:ascii="Arial" w:hAnsi="Arial" w:cs="Arial"/>
          <w:sz w:val="24"/>
          <w:szCs w:val="24"/>
        </w:rPr>
        <w:t>laintiff</w:t>
      </w:r>
      <w:r w:rsidR="00CD6A1F" w:rsidRPr="00B257D7">
        <w:rPr>
          <w:rFonts w:ascii="Arial" w:hAnsi="Arial" w:cs="Arial"/>
          <w:sz w:val="24"/>
          <w:szCs w:val="24"/>
        </w:rPr>
        <w:t xml:space="preserve"> was never granted bail and was released from detention on 29 January 2019; the secti</w:t>
      </w:r>
      <w:r w:rsidR="000329B4" w:rsidRPr="00B257D7">
        <w:rPr>
          <w:rFonts w:ascii="Arial" w:hAnsi="Arial" w:cs="Arial"/>
          <w:sz w:val="24"/>
          <w:szCs w:val="24"/>
        </w:rPr>
        <w:t>o</w:t>
      </w:r>
      <w:r w:rsidR="00CD6A1F" w:rsidRPr="00B257D7">
        <w:rPr>
          <w:rFonts w:ascii="Arial" w:hAnsi="Arial" w:cs="Arial"/>
          <w:sz w:val="24"/>
          <w:szCs w:val="24"/>
        </w:rPr>
        <w:t xml:space="preserve">n 3 letter of demand in terms of Institution of Legal Proceedings Act was served on 20 June 2019 and summons was served on all </w:t>
      </w:r>
      <w:r w:rsidR="004F349C" w:rsidRPr="00B257D7">
        <w:rPr>
          <w:rFonts w:ascii="Arial" w:hAnsi="Arial" w:cs="Arial"/>
          <w:sz w:val="24"/>
          <w:szCs w:val="24"/>
        </w:rPr>
        <w:t>defendant</w:t>
      </w:r>
      <w:r w:rsidR="00CD6A1F" w:rsidRPr="00B257D7">
        <w:rPr>
          <w:rFonts w:ascii="Arial" w:hAnsi="Arial" w:cs="Arial"/>
          <w:sz w:val="24"/>
          <w:szCs w:val="24"/>
        </w:rPr>
        <w:t>s on the 20</w:t>
      </w:r>
      <w:r w:rsidR="00CD6A1F" w:rsidRPr="00B257D7">
        <w:rPr>
          <w:rFonts w:ascii="Arial" w:hAnsi="Arial" w:cs="Arial"/>
          <w:sz w:val="24"/>
          <w:szCs w:val="24"/>
          <w:vertAlign w:val="superscript"/>
        </w:rPr>
        <w:t>th</w:t>
      </w:r>
      <w:r w:rsidR="00CD6A1F" w:rsidRPr="00B257D7">
        <w:rPr>
          <w:rFonts w:ascii="Arial" w:hAnsi="Arial" w:cs="Arial"/>
          <w:sz w:val="24"/>
          <w:szCs w:val="24"/>
        </w:rPr>
        <w:t xml:space="preserve"> of January 20</w:t>
      </w:r>
      <w:r w:rsidR="00932D53" w:rsidRPr="00B257D7">
        <w:rPr>
          <w:rFonts w:ascii="Arial" w:hAnsi="Arial" w:cs="Arial"/>
          <w:sz w:val="24"/>
          <w:szCs w:val="24"/>
        </w:rPr>
        <w:t>21</w:t>
      </w:r>
      <w:r w:rsidR="00CD6A1F" w:rsidRPr="00B257D7">
        <w:rPr>
          <w:rFonts w:ascii="Arial" w:hAnsi="Arial" w:cs="Arial"/>
          <w:sz w:val="24"/>
          <w:szCs w:val="24"/>
        </w:rPr>
        <w:t xml:space="preserve">. </w:t>
      </w:r>
    </w:p>
    <w:p w14:paraId="346CE896" w14:textId="77777777" w:rsidR="00501338" w:rsidRDefault="00501338" w:rsidP="00501338">
      <w:pPr>
        <w:pStyle w:val="ListParagraph"/>
        <w:spacing w:after="360" w:line="360" w:lineRule="auto"/>
        <w:jc w:val="both"/>
        <w:rPr>
          <w:rFonts w:ascii="Arial" w:hAnsi="Arial" w:cs="Arial"/>
          <w:sz w:val="24"/>
          <w:szCs w:val="24"/>
        </w:rPr>
      </w:pPr>
    </w:p>
    <w:p w14:paraId="6943DD0A" w14:textId="238FDD37" w:rsidR="00501338" w:rsidRPr="00B257D7" w:rsidRDefault="00B257D7" w:rsidP="00B257D7">
      <w:pPr>
        <w:spacing w:after="360" w:line="360" w:lineRule="auto"/>
        <w:ind w:left="720" w:hanging="720"/>
        <w:jc w:val="both"/>
        <w:rPr>
          <w:rFonts w:ascii="Arial" w:hAnsi="Arial" w:cs="Arial"/>
          <w:sz w:val="24"/>
          <w:szCs w:val="24"/>
        </w:rPr>
      </w:pPr>
      <w:r w:rsidRPr="007D69C7">
        <w:rPr>
          <w:rFonts w:ascii="Arial" w:hAnsi="Arial" w:cs="Arial"/>
          <w:sz w:val="24"/>
          <w:szCs w:val="24"/>
        </w:rPr>
        <w:lastRenderedPageBreak/>
        <w:t>[18.]</w:t>
      </w:r>
      <w:r w:rsidRPr="007D69C7">
        <w:rPr>
          <w:rFonts w:ascii="Arial" w:hAnsi="Arial" w:cs="Arial"/>
          <w:sz w:val="24"/>
          <w:szCs w:val="24"/>
        </w:rPr>
        <w:tab/>
      </w:r>
      <w:r w:rsidR="00BF7A5F" w:rsidRPr="00B257D7">
        <w:rPr>
          <w:rFonts w:ascii="Arial" w:hAnsi="Arial" w:cs="Arial"/>
          <w:sz w:val="24"/>
          <w:szCs w:val="24"/>
        </w:rPr>
        <w:t xml:space="preserve">The </w:t>
      </w:r>
      <w:r w:rsidR="00932D53" w:rsidRPr="00B257D7">
        <w:rPr>
          <w:rFonts w:ascii="Arial" w:hAnsi="Arial" w:cs="Arial"/>
          <w:sz w:val="24"/>
          <w:szCs w:val="24"/>
        </w:rPr>
        <w:t>p</w:t>
      </w:r>
      <w:r w:rsidR="004F349C" w:rsidRPr="00B257D7">
        <w:rPr>
          <w:rFonts w:ascii="Arial" w:hAnsi="Arial" w:cs="Arial"/>
          <w:sz w:val="24"/>
          <w:szCs w:val="24"/>
        </w:rPr>
        <w:t>laintiff</w:t>
      </w:r>
      <w:r w:rsidR="00BF7A5F" w:rsidRPr="00B257D7">
        <w:rPr>
          <w:rFonts w:ascii="Arial" w:hAnsi="Arial" w:cs="Arial"/>
          <w:sz w:val="24"/>
          <w:szCs w:val="24"/>
        </w:rPr>
        <w:t xml:space="preserve"> </w:t>
      </w:r>
      <w:r w:rsidR="00E74220" w:rsidRPr="00B257D7">
        <w:rPr>
          <w:rFonts w:ascii="Arial" w:hAnsi="Arial" w:cs="Arial"/>
          <w:sz w:val="24"/>
          <w:szCs w:val="24"/>
        </w:rPr>
        <w:t xml:space="preserve">testified </w:t>
      </w:r>
      <w:r w:rsidR="00EB23EC" w:rsidRPr="00B257D7">
        <w:rPr>
          <w:rFonts w:ascii="Arial" w:hAnsi="Arial" w:cs="Arial"/>
          <w:sz w:val="24"/>
          <w:szCs w:val="24"/>
        </w:rPr>
        <w:t>in respect of the special plea</w:t>
      </w:r>
      <w:r w:rsidR="0076416D" w:rsidRPr="00B257D7">
        <w:rPr>
          <w:rFonts w:ascii="Arial" w:hAnsi="Arial" w:cs="Arial"/>
          <w:sz w:val="24"/>
          <w:szCs w:val="24"/>
        </w:rPr>
        <w:t xml:space="preserve">s </w:t>
      </w:r>
      <w:r w:rsidR="00E74220" w:rsidRPr="00B257D7">
        <w:rPr>
          <w:rFonts w:ascii="Arial" w:hAnsi="Arial" w:cs="Arial"/>
          <w:sz w:val="24"/>
          <w:szCs w:val="24"/>
        </w:rPr>
        <w:t xml:space="preserve">and </w:t>
      </w:r>
      <w:r w:rsidR="00EB23EC" w:rsidRPr="00B257D7">
        <w:rPr>
          <w:rFonts w:ascii="Arial" w:hAnsi="Arial" w:cs="Arial"/>
          <w:sz w:val="24"/>
          <w:szCs w:val="24"/>
        </w:rPr>
        <w:t>confirmed his arrest</w:t>
      </w:r>
      <w:r w:rsidR="00CE4E5F" w:rsidRPr="00B257D7">
        <w:rPr>
          <w:rFonts w:ascii="Arial" w:hAnsi="Arial" w:cs="Arial"/>
          <w:sz w:val="24"/>
          <w:szCs w:val="24"/>
        </w:rPr>
        <w:t xml:space="preserve">, </w:t>
      </w:r>
      <w:r w:rsidR="000242FA" w:rsidRPr="00B257D7">
        <w:rPr>
          <w:rFonts w:ascii="Arial" w:hAnsi="Arial" w:cs="Arial"/>
          <w:sz w:val="24"/>
          <w:szCs w:val="24"/>
        </w:rPr>
        <w:t>including its details,</w:t>
      </w:r>
      <w:r w:rsidR="0076416D" w:rsidRPr="00B257D7">
        <w:rPr>
          <w:rFonts w:ascii="Arial" w:hAnsi="Arial" w:cs="Arial"/>
          <w:sz w:val="24"/>
          <w:szCs w:val="24"/>
        </w:rPr>
        <w:t xml:space="preserve"> and </w:t>
      </w:r>
      <w:r w:rsidR="000242FA" w:rsidRPr="00B257D7">
        <w:rPr>
          <w:rFonts w:ascii="Arial" w:hAnsi="Arial" w:cs="Arial"/>
          <w:sz w:val="24"/>
          <w:szCs w:val="24"/>
        </w:rPr>
        <w:t xml:space="preserve">the </w:t>
      </w:r>
      <w:r w:rsidR="0076416D" w:rsidRPr="00B257D7">
        <w:rPr>
          <w:rFonts w:ascii="Arial" w:hAnsi="Arial" w:cs="Arial"/>
          <w:sz w:val="24"/>
          <w:szCs w:val="24"/>
        </w:rPr>
        <w:t>date of release</w:t>
      </w:r>
      <w:r w:rsidR="00EA0749" w:rsidRPr="00B257D7">
        <w:rPr>
          <w:rFonts w:ascii="Arial" w:hAnsi="Arial" w:cs="Arial"/>
          <w:sz w:val="24"/>
          <w:szCs w:val="24"/>
        </w:rPr>
        <w:t xml:space="preserve"> aforementioned.</w:t>
      </w:r>
      <w:r w:rsidR="00704919" w:rsidRPr="00B257D7">
        <w:rPr>
          <w:rFonts w:ascii="Arial" w:hAnsi="Arial" w:cs="Arial"/>
          <w:sz w:val="24"/>
          <w:szCs w:val="24"/>
        </w:rPr>
        <w:t xml:space="preserve"> During his detention</w:t>
      </w:r>
      <w:r w:rsidR="007C16D8" w:rsidRPr="00B257D7">
        <w:rPr>
          <w:rFonts w:ascii="Arial" w:hAnsi="Arial" w:cs="Arial"/>
          <w:sz w:val="24"/>
          <w:szCs w:val="24"/>
        </w:rPr>
        <w:t xml:space="preserve"> </w:t>
      </w:r>
      <w:r w:rsidR="00704919" w:rsidRPr="00B257D7">
        <w:rPr>
          <w:rFonts w:ascii="Arial" w:hAnsi="Arial" w:cs="Arial"/>
          <w:sz w:val="24"/>
          <w:szCs w:val="24"/>
        </w:rPr>
        <w:t xml:space="preserve">he was legally represented </w:t>
      </w:r>
      <w:r w:rsidR="002050C1" w:rsidRPr="00B257D7">
        <w:rPr>
          <w:rFonts w:ascii="Arial" w:hAnsi="Arial" w:cs="Arial"/>
          <w:sz w:val="24"/>
          <w:szCs w:val="24"/>
        </w:rPr>
        <w:t>from his second appearance at the</w:t>
      </w:r>
      <w:r w:rsidR="00704919" w:rsidRPr="00B257D7">
        <w:rPr>
          <w:rFonts w:ascii="Arial" w:hAnsi="Arial" w:cs="Arial"/>
          <w:sz w:val="24"/>
          <w:szCs w:val="24"/>
        </w:rPr>
        <w:t xml:space="preserve"> criminal trial and appea</w:t>
      </w:r>
      <w:r w:rsidR="00CF37B7" w:rsidRPr="00B257D7">
        <w:rPr>
          <w:rFonts w:ascii="Arial" w:hAnsi="Arial" w:cs="Arial"/>
          <w:sz w:val="24"/>
          <w:szCs w:val="24"/>
        </w:rPr>
        <w:t>l</w:t>
      </w:r>
      <w:r w:rsidR="008A4AD3" w:rsidRPr="00B257D7">
        <w:rPr>
          <w:rFonts w:ascii="Arial" w:hAnsi="Arial" w:cs="Arial"/>
          <w:sz w:val="24"/>
          <w:szCs w:val="24"/>
        </w:rPr>
        <w:t xml:space="preserve">, </w:t>
      </w:r>
      <w:r w:rsidR="00CF37B7" w:rsidRPr="00B257D7">
        <w:rPr>
          <w:rFonts w:ascii="Arial" w:hAnsi="Arial" w:cs="Arial"/>
          <w:sz w:val="24"/>
          <w:szCs w:val="24"/>
        </w:rPr>
        <w:t xml:space="preserve"> with the mandate, in his own words, to get him out of prison and custody. </w:t>
      </w:r>
      <w:r w:rsidR="00E4053A" w:rsidRPr="00B257D7">
        <w:rPr>
          <w:rFonts w:ascii="Arial" w:hAnsi="Arial" w:cs="Arial"/>
          <w:sz w:val="24"/>
          <w:szCs w:val="24"/>
        </w:rPr>
        <w:t>He never discussed</w:t>
      </w:r>
      <w:r w:rsidR="00634BEE" w:rsidRPr="00B257D7">
        <w:rPr>
          <w:rFonts w:ascii="Arial" w:hAnsi="Arial" w:cs="Arial"/>
          <w:sz w:val="24"/>
          <w:szCs w:val="24"/>
        </w:rPr>
        <w:t xml:space="preserve"> the institution of a civil claim against the </w:t>
      </w:r>
      <w:r w:rsidR="004F349C" w:rsidRPr="00B257D7">
        <w:rPr>
          <w:rFonts w:ascii="Arial" w:hAnsi="Arial" w:cs="Arial"/>
          <w:sz w:val="24"/>
          <w:szCs w:val="24"/>
        </w:rPr>
        <w:t>Defendant</w:t>
      </w:r>
      <w:r w:rsidR="00634BEE" w:rsidRPr="00B257D7">
        <w:rPr>
          <w:rFonts w:ascii="Arial" w:hAnsi="Arial" w:cs="Arial"/>
          <w:sz w:val="24"/>
          <w:szCs w:val="24"/>
        </w:rPr>
        <w:t>s</w:t>
      </w:r>
      <w:r w:rsidR="00E4053A" w:rsidRPr="00B257D7">
        <w:rPr>
          <w:rFonts w:ascii="Arial" w:hAnsi="Arial" w:cs="Arial"/>
          <w:sz w:val="24"/>
          <w:szCs w:val="24"/>
        </w:rPr>
        <w:t xml:space="preserve"> with his legal representatives at the tim</w:t>
      </w:r>
      <w:r w:rsidR="00634BEE" w:rsidRPr="00B257D7">
        <w:rPr>
          <w:rFonts w:ascii="Arial" w:hAnsi="Arial" w:cs="Arial"/>
          <w:sz w:val="24"/>
          <w:szCs w:val="24"/>
        </w:rPr>
        <w:t xml:space="preserve">e. </w:t>
      </w:r>
      <w:r w:rsidR="00EA0749" w:rsidRPr="00B257D7">
        <w:rPr>
          <w:rFonts w:ascii="Arial" w:hAnsi="Arial" w:cs="Arial"/>
          <w:sz w:val="24"/>
          <w:szCs w:val="24"/>
        </w:rPr>
        <w:t>Following his release</w:t>
      </w:r>
      <w:r w:rsidR="00634BEE" w:rsidRPr="00B257D7">
        <w:rPr>
          <w:rFonts w:ascii="Arial" w:hAnsi="Arial" w:cs="Arial"/>
          <w:sz w:val="24"/>
          <w:szCs w:val="24"/>
        </w:rPr>
        <w:t>,  around February 2019,</w:t>
      </w:r>
      <w:r w:rsidR="00EA0749" w:rsidRPr="00B257D7">
        <w:rPr>
          <w:rFonts w:ascii="Arial" w:hAnsi="Arial" w:cs="Arial"/>
          <w:sz w:val="24"/>
          <w:szCs w:val="24"/>
        </w:rPr>
        <w:t xml:space="preserve"> he was advised by </w:t>
      </w:r>
      <w:r w:rsidR="00AC4271" w:rsidRPr="00B257D7">
        <w:rPr>
          <w:rFonts w:ascii="Arial" w:hAnsi="Arial" w:cs="Arial"/>
          <w:sz w:val="24"/>
          <w:szCs w:val="24"/>
        </w:rPr>
        <w:t>his friend</w:t>
      </w:r>
      <w:r w:rsidR="00634BEE" w:rsidRPr="00B257D7">
        <w:rPr>
          <w:rFonts w:ascii="Arial" w:hAnsi="Arial" w:cs="Arial"/>
          <w:sz w:val="24"/>
          <w:szCs w:val="24"/>
        </w:rPr>
        <w:t>’</w:t>
      </w:r>
      <w:r w:rsidR="00AC4271" w:rsidRPr="00B257D7">
        <w:rPr>
          <w:rFonts w:ascii="Arial" w:hAnsi="Arial" w:cs="Arial"/>
          <w:sz w:val="24"/>
          <w:szCs w:val="24"/>
        </w:rPr>
        <w:t xml:space="preserve">s </w:t>
      </w:r>
      <w:r w:rsidR="007C16D8" w:rsidRPr="00B257D7">
        <w:rPr>
          <w:rFonts w:ascii="Arial" w:hAnsi="Arial" w:cs="Arial"/>
          <w:sz w:val="24"/>
          <w:szCs w:val="24"/>
        </w:rPr>
        <w:t>girlfriend</w:t>
      </w:r>
      <w:r w:rsidR="00AC4271" w:rsidRPr="00B257D7">
        <w:rPr>
          <w:rFonts w:ascii="Arial" w:hAnsi="Arial" w:cs="Arial"/>
          <w:sz w:val="24"/>
          <w:szCs w:val="24"/>
        </w:rPr>
        <w:t xml:space="preserve"> to seek legal assistance for a civil claim. </w:t>
      </w:r>
      <w:r w:rsidR="00634BEE" w:rsidRPr="00B257D7">
        <w:rPr>
          <w:rFonts w:ascii="Arial" w:hAnsi="Arial" w:cs="Arial"/>
          <w:sz w:val="24"/>
          <w:szCs w:val="24"/>
        </w:rPr>
        <w:t>H</w:t>
      </w:r>
      <w:r w:rsidR="00601B74" w:rsidRPr="00B257D7">
        <w:rPr>
          <w:rFonts w:ascii="Arial" w:hAnsi="Arial" w:cs="Arial"/>
          <w:sz w:val="24"/>
          <w:szCs w:val="24"/>
        </w:rPr>
        <w:t>e</w:t>
      </w:r>
      <w:r w:rsidR="00634BEE" w:rsidRPr="00B257D7">
        <w:rPr>
          <w:rFonts w:ascii="Arial" w:hAnsi="Arial" w:cs="Arial"/>
          <w:sz w:val="24"/>
          <w:szCs w:val="24"/>
        </w:rPr>
        <w:t xml:space="preserve"> thereafter</w:t>
      </w:r>
      <w:r w:rsidR="00601B74" w:rsidRPr="00B257D7">
        <w:rPr>
          <w:rFonts w:ascii="Arial" w:hAnsi="Arial" w:cs="Arial"/>
          <w:sz w:val="24"/>
          <w:szCs w:val="24"/>
        </w:rPr>
        <w:t xml:space="preserve"> consulted with his atto</w:t>
      </w:r>
      <w:r w:rsidR="00A1701E" w:rsidRPr="00B257D7">
        <w:rPr>
          <w:rFonts w:ascii="Arial" w:hAnsi="Arial" w:cs="Arial"/>
          <w:sz w:val="24"/>
          <w:szCs w:val="24"/>
        </w:rPr>
        <w:t xml:space="preserve">rney </w:t>
      </w:r>
      <w:r w:rsidR="00634BEE" w:rsidRPr="00B257D7">
        <w:rPr>
          <w:rFonts w:ascii="Arial" w:hAnsi="Arial" w:cs="Arial"/>
          <w:sz w:val="24"/>
          <w:szCs w:val="24"/>
        </w:rPr>
        <w:t>and</w:t>
      </w:r>
      <w:r w:rsidR="00A91AD4" w:rsidRPr="00B257D7">
        <w:rPr>
          <w:rFonts w:ascii="Arial" w:hAnsi="Arial" w:cs="Arial"/>
          <w:sz w:val="24"/>
          <w:szCs w:val="24"/>
        </w:rPr>
        <w:t xml:space="preserve"> </w:t>
      </w:r>
      <w:r w:rsidR="00A1701E" w:rsidRPr="00B257D7">
        <w:rPr>
          <w:rFonts w:ascii="Arial" w:hAnsi="Arial" w:cs="Arial"/>
          <w:sz w:val="24"/>
          <w:szCs w:val="24"/>
        </w:rPr>
        <w:t xml:space="preserve">gained knowledge of his right to sue. </w:t>
      </w:r>
    </w:p>
    <w:p w14:paraId="3A707BEC" w14:textId="13EB44F9" w:rsidR="00644BB6" w:rsidRPr="007D69C7" w:rsidRDefault="00EF5E8D" w:rsidP="007D69C7">
      <w:pPr>
        <w:spacing w:after="360" w:line="360" w:lineRule="auto"/>
        <w:jc w:val="both"/>
        <w:rPr>
          <w:rFonts w:ascii="Arial" w:hAnsi="Arial" w:cs="Arial"/>
          <w:b/>
          <w:bCs/>
          <w:sz w:val="24"/>
          <w:szCs w:val="24"/>
          <w:u w:val="single"/>
        </w:rPr>
      </w:pPr>
      <w:r w:rsidRPr="0051672E">
        <w:rPr>
          <w:rFonts w:ascii="Arial" w:hAnsi="Arial" w:cs="Arial"/>
          <w:b/>
          <w:bCs/>
          <w:sz w:val="24"/>
          <w:szCs w:val="24"/>
          <w:u w:val="single"/>
        </w:rPr>
        <w:t>STATUTORY FRAMEWORK</w:t>
      </w:r>
    </w:p>
    <w:p w14:paraId="0876CD1D" w14:textId="6042707B" w:rsidR="00097CE5"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126441" w:rsidRPr="00B257D7">
        <w:rPr>
          <w:rFonts w:ascii="Arial" w:hAnsi="Arial" w:cs="Arial"/>
          <w:sz w:val="24"/>
          <w:szCs w:val="24"/>
        </w:rPr>
        <w:t xml:space="preserve">The debts that are the basis of the </w:t>
      </w:r>
      <w:r w:rsidR="004F349C" w:rsidRPr="00B257D7">
        <w:rPr>
          <w:rFonts w:ascii="Arial" w:hAnsi="Arial" w:cs="Arial"/>
          <w:sz w:val="24"/>
          <w:szCs w:val="24"/>
        </w:rPr>
        <w:t>plaintiff</w:t>
      </w:r>
      <w:r w:rsidR="00126441" w:rsidRPr="00B257D7">
        <w:rPr>
          <w:rFonts w:ascii="Arial" w:hAnsi="Arial" w:cs="Arial"/>
          <w:sz w:val="24"/>
          <w:szCs w:val="24"/>
        </w:rPr>
        <w:t>'s claims each qualify as "debts" within the scope defined</w:t>
      </w:r>
      <w:r w:rsidR="00E60AE1" w:rsidRPr="00B257D7">
        <w:rPr>
          <w:rFonts w:ascii="Arial" w:hAnsi="Arial" w:cs="Arial"/>
          <w:sz w:val="24"/>
          <w:szCs w:val="24"/>
        </w:rPr>
        <w:t xml:space="preserve"> in section 1(1)(iii)</w:t>
      </w:r>
      <w:r w:rsidR="00126441" w:rsidRPr="00B257D7">
        <w:rPr>
          <w:rFonts w:ascii="Arial" w:hAnsi="Arial" w:cs="Arial"/>
          <w:sz w:val="24"/>
          <w:szCs w:val="24"/>
        </w:rPr>
        <w:t xml:space="preserve"> by the Institution of Legal Proceedings Act</w:t>
      </w:r>
      <w:r w:rsidR="00097CE5" w:rsidRPr="00B257D7">
        <w:rPr>
          <w:rFonts w:ascii="Arial" w:hAnsi="Arial" w:cs="Arial"/>
          <w:sz w:val="24"/>
          <w:szCs w:val="24"/>
        </w:rPr>
        <w:t>.</w:t>
      </w:r>
    </w:p>
    <w:p w14:paraId="153DBC92" w14:textId="77777777" w:rsidR="00097CE5" w:rsidRDefault="00097CE5" w:rsidP="00097CE5">
      <w:pPr>
        <w:pStyle w:val="ListParagraph"/>
        <w:spacing w:after="360" w:line="360" w:lineRule="auto"/>
        <w:jc w:val="both"/>
        <w:rPr>
          <w:rFonts w:ascii="Arial" w:hAnsi="Arial" w:cs="Arial"/>
          <w:sz w:val="24"/>
          <w:szCs w:val="24"/>
        </w:rPr>
      </w:pPr>
    </w:p>
    <w:p w14:paraId="43435FF8" w14:textId="28F8EAF4" w:rsidR="00097CE5" w:rsidRPr="00B257D7" w:rsidRDefault="00B257D7" w:rsidP="00B257D7">
      <w:pPr>
        <w:spacing w:after="360" w:line="360" w:lineRule="auto"/>
        <w:ind w:left="720" w:hanging="720"/>
        <w:jc w:val="both"/>
        <w:rPr>
          <w:rFonts w:ascii="Arial" w:hAnsi="Arial" w:cs="Arial"/>
          <w:sz w:val="24"/>
          <w:szCs w:val="24"/>
        </w:rPr>
      </w:pPr>
      <w:r w:rsidRPr="00097CE5">
        <w:rPr>
          <w:rFonts w:ascii="Arial" w:hAnsi="Arial" w:cs="Arial"/>
          <w:sz w:val="24"/>
          <w:szCs w:val="24"/>
        </w:rPr>
        <w:t>[20.]</w:t>
      </w:r>
      <w:r w:rsidRPr="00097CE5">
        <w:rPr>
          <w:rFonts w:ascii="Arial" w:hAnsi="Arial" w:cs="Arial"/>
          <w:sz w:val="24"/>
          <w:szCs w:val="24"/>
        </w:rPr>
        <w:tab/>
      </w:r>
      <w:r w:rsidR="00097CE5" w:rsidRPr="00B257D7">
        <w:rPr>
          <w:rFonts w:ascii="Arial" w:hAnsi="Arial" w:cs="Arial"/>
          <w:color w:val="242121"/>
          <w:sz w:val="24"/>
          <w:szCs w:val="24"/>
          <w:lang w:val="en-GB"/>
        </w:rPr>
        <w:t>To the extent relevant, s 3 of the Institution of Legal Proceedings Act provides as follows:</w:t>
      </w:r>
    </w:p>
    <w:p w14:paraId="20CE2259" w14:textId="6D58D8BF" w:rsidR="00FC006A" w:rsidRPr="00F829AC" w:rsidRDefault="00F829AC" w:rsidP="00F67D06">
      <w:pPr>
        <w:pStyle w:val="NormalWeb"/>
        <w:shd w:val="clear" w:color="auto" w:fill="FFFFFF"/>
        <w:spacing w:before="144" w:beforeAutospacing="0" w:after="0" w:afterAutospacing="0" w:line="360" w:lineRule="atLeast"/>
        <w:ind w:left="1418" w:hanging="428"/>
        <w:rPr>
          <w:rFonts w:ascii="Arial" w:hAnsi="Arial" w:cs="Arial"/>
          <w:i/>
          <w:iCs/>
          <w:color w:val="242121"/>
        </w:rPr>
      </w:pPr>
      <w:r>
        <w:rPr>
          <w:rFonts w:ascii="Arial" w:hAnsi="Arial" w:cs="Arial"/>
          <w:i/>
          <w:iCs/>
          <w:color w:val="242121"/>
        </w:rPr>
        <w:t>‘</w:t>
      </w:r>
      <w:r w:rsidR="00FC006A" w:rsidRPr="00F829AC">
        <w:rPr>
          <w:rFonts w:ascii="Arial" w:hAnsi="Arial" w:cs="Arial"/>
          <w:i/>
          <w:iCs/>
          <w:color w:val="242121"/>
        </w:rPr>
        <w:t>‘</w:t>
      </w:r>
      <w:r w:rsidR="00FC006A" w:rsidRPr="00F829AC">
        <w:rPr>
          <w:rFonts w:ascii="Arial" w:hAnsi="Arial" w:cs="Arial"/>
          <w:i/>
          <w:iCs/>
          <w:color w:val="242121"/>
          <w:lang w:val="en-GB"/>
        </w:rPr>
        <w:t>(1) No legal proceedings for the recovery of a debt may be instituted against an organ of state unless –</w:t>
      </w:r>
    </w:p>
    <w:p w14:paraId="1F08611D" w14:textId="38E043EC" w:rsidR="00FC006A" w:rsidRPr="00F829AC" w:rsidRDefault="00FC006A" w:rsidP="001358B8">
      <w:pPr>
        <w:pStyle w:val="NormalWeb"/>
        <w:shd w:val="clear" w:color="auto" w:fill="FFFFFF"/>
        <w:spacing w:before="144" w:beforeAutospacing="0" w:after="0" w:afterAutospacing="0" w:line="360" w:lineRule="atLeast"/>
        <w:ind w:left="2070" w:hanging="810"/>
        <w:rPr>
          <w:rFonts w:ascii="Arial" w:hAnsi="Arial" w:cs="Arial"/>
          <w:i/>
          <w:iCs/>
          <w:color w:val="242121"/>
        </w:rPr>
      </w:pPr>
      <w:r w:rsidRPr="00F829AC">
        <w:rPr>
          <w:rFonts w:ascii="Arial" w:hAnsi="Arial" w:cs="Arial"/>
          <w:i/>
          <w:iCs/>
          <w:color w:val="242121"/>
          <w:lang w:val="en-GB"/>
        </w:rPr>
        <w:t>(a)  </w:t>
      </w:r>
      <w:r w:rsidR="001358B8">
        <w:rPr>
          <w:rFonts w:ascii="Arial" w:hAnsi="Arial" w:cs="Arial"/>
          <w:i/>
          <w:iCs/>
          <w:color w:val="242121"/>
          <w:lang w:val="en-GB"/>
        </w:rPr>
        <w:tab/>
      </w:r>
      <w:r w:rsidRPr="00F829AC">
        <w:rPr>
          <w:rFonts w:ascii="Arial" w:hAnsi="Arial" w:cs="Arial"/>
          <w:i/>
          <w:iCs/>
          <w:color w:val="242121"/>
          <w:lang w:val="en-GB"/>
        </w:rPr>
        <w:t>the creditor has given the organ of state in question notice in writing of his or her or its intentions to institute the legal proceedings in question; or</w:t>
      </w:r>
    </w:p>
    <w:p w14:paraId="1F825287" w14:textId="0E9A96E5" w:rsidR="00FC006A" w:rsidRPr="00F829AC" w:rsidRDefault="00FC006A" w:rsidP="001358B8">
      <w:pPr>
        <w:pStyle w:val="NormalWeb"/>
        <w:shd w:val="clear" w:color="auto" w:fill="FFFFFF"/>
        <w:spacing w:before="144" w:beforeAutospacing="0" w:after="0" w:afterAutospacing="0" w:line="360" w:lineRule="atLeast"/>
        <w:ind w:left="2070" w:hanging="810"/>
        <w:rPr>
          <w:rFonts w:ascii="Arial" w:hAnsi="Arial" w:cs="Arial"/>
          <w:i/>
          <w:iCs/>
          <w:color w:val="242121"/>
        </w:rPr>
      </w:pPr>
      <w:r w:rsidRPr="00F829AC">
        <w:rPr>
          <w:rFonts w:ascii="Arial" w:hAnsi="Arial" w:cs="Arial"/>
          <w:i/>
          <w:iCs/>
          <w:color w:val="242121"/>
          <w:lang w:val="en-GB"/>
        </w:rPr>
        <w:t>(b)  </w:t>
      </w:r>
      <w:r w:rsidR="001358B8">
        <w:rPr>
          <w:rFonts w:ascii="Arial" w:hAnsi="Arial" w:cs="Arial"/>
          <w:i/>
          <w:iCs/>
          <w:color w:val="242121"/>
          <w:lang w:val="en-GB"/>
        </w:rPr>
        <w:tab/>
      </w:r>
      <w:r w:rsidRPr="00F829AC">
        <w:rPr>
          <w:rFonts w:ascii="Arial" w:hAnsi="Arial" w:cs="Arial"/>
          <w:i/>
          <w:iCs/>
          <w:color w:val="242121"/>
          <w:lang w:val="en-GB"/>
        </w:rPr>
        <w:t>the organ of state in question has consented in writing to the institution of that legal proceeding(s) –</w:t>
      </w:r>
    </w:p>
    <w:p w14:paraId="65A4D956" w14:textId="77777777" w:rsidR="00FC006A" w:rsidRPr="00F829AC" w:rsidRDefault="00FC006A" w:rsidP="00FC006A">
      <w:pPr>
        <w:pStyle w:val="NormalWeb"/>
        <w:shd w:val="clear" w:color="auto" w:fill="FFFFFF"/>
        <w:spacing w:before="144" w:beforeAutospacing="0" w:after="0" w:afterAutospacing="0" w:line="360" w:lineRule="atLeast"/>
        <w:ind w:left="2126"/>
        <w:rPr>
          <w:rFonts w:ascii="Arial" w:hAnsi="Arial" w:cs="Arial"/>
          <w:i/>
          <w:iCs/>
          <w:color w:val="242121"/>
        </w:rPr>
      </w:pPr>
      <w:r w:rsidRPr="00F829AC">
        <w:rPr>
          <w:rFonts w:ascii="Arial" w:hAnsi="Arial" w:cs="Arial"/>
          <w:i/>
          <w:iCs/>
          <w:color w:val="242121"/>
          <w:lang w:val="en-GB"/>
        </w:rPr>
        <w:t>(i) Without notice; or</w:t>
      </w:r>
    </w:p>
    <w:p w14:paraId="00329F59" w14:textId="77777777" w:rsidR="00FC006A" w:rsidRPr="00F829AC" w:rsidRDefault="00FC006A" w:rsidP="00FC006A">
      <w:pPr>
        <w:pStyle w:val="NormalWeb"/>
        <w:shd w:val="clear" w:color="auto" w:fill="FFFFFF"/>
        <w:spacing w:before="144" w:beforeAutospacing="0" w:after="0" w:afterAutospacing="0" w:line="360" w:lineRule="atLeast"/>
        <w:ind w:left="2126"/>
        <w:rPr>
          <w:rFonts w:ascii="Arial" w:hAnsi="Arial" w:cs="Arial"/>
          <w:i/>
          <w:iCs/>
          <w:color w:val="242121"/>
        </w:rPr>
      </w:pPr>
      <w:r w:rsidRPr="00F829AC">
        <w:rPr>
          <w:rFonts w:ascii="Arial" w:hAnsi="Arial" w:cs="Arial"/>
          <w:i/>
          <w:iCs/>
          <w:color w:val="242121"/>
          <w:lang w:val="en-GB"/>
        </w:rPr>
        <w:t>(ii) upon receipt of a notice which does not comply with all the requirements set out in ss (2).</w:t>
      </w:r>
    </w:p>
    <w:p w14:paraId="3117CA69" w14:textId="77777777" w:rsidR="00FC006A" w:rsidRPr="00F829AC" w:rsidRDefault="00FC006A" w:rsidP="001358B8">
      <w:pPr>
        <w:pStyle w:val="NormalWeb"/>
        <w:shd w:val="clear" w:color="auto" w:fill="FFFFFF"/>
        <w:spacing w:before="144" w:beforeAutospacing="0" w:after="0" w:afterAutospacing="0" w:line="360" w:lineRule="atLeast"/>
        <w:ind w:left="1440" w:hanging="360"/>
        <w:rPr>
          <w:rFonts w:ascii="Arial" w:hAnsi="Arial" w:cs="Arial"/>
          <w:i/>
          <w:iCs/>
          <w:color w:val="242121"/>
          <w:lang w:val="en-GB"/>
        </w:rPr>
      </w:pPr>
      <w:r w:rsidRPr="00F829AC">
        <w:rPr>
          <w:rFonts w:ascii="Arial" w:hAnsi="Arial" w:cs="Arial"/>
          <w:i/>
          <w:iCs/>
          <w:color w:val="242121"/>
          <w:lang w:val="en-GB"/>
        </w:rPr>
        <w:t>(2) A notice must –</w:t>
      </w:r>
    </w:p>
    <w:p w14:paraId="78BCF702" w14:textId="76BA509A" w:rsidR="00FC006A" w:rsidRPr="00F829AC" w:rsidRDefault="00FC006A" w:rsidP="001358B8">
      <w:pPr>
        <w:pStyle w:val="NormalWeb"/>
        <w:shd w:val="clear" w:color="auto" w:fill="FFFFFF"/>
        <w:spacing w:before="144" w:beforeAutospacing="0" w:after="0" w:afterAutospacing="0" w:line="360" w:lineRule="atLeast"/>
        <w:ind w:left="2070" w:hanging="810"/>
        <w:rPr>
          <w:rFonts w:ascii="Arial" w:hAnsi="Arial" w:cs="Arial"/>
          <w:i/>
          <w:iCs/>
          <w:color w:val="242121"/>
        </w:rPr>
      </w:pPr>
      <w:r w:rsidRPr="00F829AC">
        <w:rPr>
          <w:rFonts w:ascii="Arial" w:hAnsi="Arial" w:cs="Arial"/>
          <w:i/>
          <w:iCs/>
          <w:color w:val="242121"/>
          <w:lang w:val="en-GB"/>
        </w:rPr>
        <w:lastRenderedPageBreak/>
        <w:t xml:space="preserve">(a) </w:t>
      </w:r>
      <w:r w:rsidR="001358B8">
        <w:rPr>
          <w:rFonts w:ascii="Arial" w:hAnsi="Arial" w:cs="Arial"/>
          <w:i/>
          <w:iCs/>
          <w:color w:val="242121"/>
          <w:lang w:val="en-GB"/>
        </w:rPr>
        <w:tab/>
      </w:r>
      <w:r w:rsidRPr="00F829AC">
        <w:rPr>
          <w:rFonts w:ascii="Arial" w:hAnsi="Arial" w:cs="Arial"/>
          <w:i/>
          <w:iCs/>
          <w:color w:val="242121"/>
          <w:lang w:val="en-GB"/>
        </w:rPr>
        <w:t>within six months from the date on which the debt became due, be served on the organ of state in accordance with s 4(1); and</w:t>
      </w:r>
    </w:p>
    <w:p w14:paraId="045D004A" w14:textId="64B31C0E" w:rsidR="00FC006A" w:rsidRPr="00F829AC" w:rsidRDefault="00FC006A" w:rsidP="001358B8">
      <w:pPr>
        <w:pStyle w:val="NormalWeb"/>
        <w:shd w:val="clear" w:color="auto" w:fill="FFFFFF"/>
        <w:spacing w:before="144" w:beforeAutospacing="0" w:after="0" w:afterAutospacing="0" w:line="360" w:lineRule="atLeast"/>
        <w:ind w:left="2070" w:hanging="810"/>
        <w:rPr>
          <w:rFonts w:ascii="Arial" w:hAnsi="Arial" w:cs="Arial"/>
          <w:i/>
          <w:iCs/>
          <w:color w:val="242121"/>
        </w:rPr>
      </w:pPr>
      <w:r w:rsidRPr="00F829AC">
        <w:rPr>
          <w:rFonts w:ascii="Arial" w:hAnsi="Arial" w:cs="Arial"/>
          <w:i/>
          <w:iCs/>
          <w:color w:val="242121"/>
          <w:lang w:val="en-GB"/>
        </w:rPr>
        <w:t>b)</w:t>
      </w:r>
      <w:r w:rsidR="001358B8">
        <w:rPr>
          <w:rFonts w:ascii="Arial" w:hAnsi="Arial" w:cs="Arial"/>
          <w:i/>
          <w:iCs/>
          <w:color w:val="242121"/>
          <w:lang w:val="en-GB"/>
        </w:rPr>
        <w:tab/>
      </w:r>
      <w:r w:rsidRPr="00F829AC">
        <w:rPr>
          <w:rFonts w:ascii="Arial" w:hAnsi="Arial" w:cs="Arial"/>
          <w:i/>
          <w:iCs/>
          <w:color w:val="242121"/>
          <w:lang w:val="en-GB"/>
        </w:rPr>
        <w:t xml:space="preserve"> briefly set out –</w:t>
      </w:r>
    </w:p>
    <w:p w14:paraId="7EE0D465" w14:textId="77777777" w:rsidR="00FC006A" w:rsidRPr="00F829AC" w:rsidRDefault="00FC006A" w:rsidP="00FC006A">
      <w:pPr>
        <w:pStyle w:val="NormalWeb"/>
        <w:shd w:val="clear" w:color="auto" w:fill="FFFFFF"/>
        <w:spacing w:before="144" w:beforeAutospacing="0" w:after="0" w:afterAutospacing="0" w:line="360" w:lineRule="atLeast"/>
        <w:ind w:left="2126"/>
        <w:rPr>
          <w:rFonts w:ascii="Arial" w:hAnsi="Arial" w:cs="Arial"/>
          <w:i/>
          <w:iCs/>
          <w:color w:val="242121"/>
        </w:rPr>
      </w:pPr>
      <w:r w:rsidRPr="00F829AC">
        <w:rPr>
          <w:rFonts w:ascii="Arial" w:hAnsi="Arial" w:cs="Arial"/>
          <w:i/>
          <w:iCs/>
          <w:color w:val="242121"/>
          <w:lang w:val="en-GB"/>
        </w:rPr>
        <w:t>(i) the facts giving rise to the debt; and</w:t>
      </w:r>
    </w:p>
    <w:p w14:paraId="12412BC4" w14:textId="77777777" w:rsidR="00FC006A" w:rsidRPr="00F829AC" w:rsidRDefault="00FC006A" w:rsidP="00FC006A">
      <w:pPr>
        <w:pStyle w:val="NormalWeb"/>
        <w:shd w:val="clear" w:color="auto" w:fill="FFFFFF"/>
        <w:spacing w:before="144" w:beforeAutospacing="0" w:after="0" w:afterAutospacing="0" w:line="360" w:lineRule="atLeast"/>
        <w:ind w:left="2126"/>
        <w:rPr>
          <w:rFonts w:ascii="Arial" w:hAnsi="Arial" w:cs="Arial"/>
          <w:i/>
          <w:iCs/>
          <w:color w:val="242121"/>
          <w:lang w:val="en-GB"/>
        </w:rPr>
      </w:pPr>
      <w:r w:rsidRPr="00F829AC">
        <w:rPr>
          <w:rFonts w:ascii="Arial" w:hAnsi="Arial" w:cs="Arial"/>
          <w:i/>
          <w:iCs/>
          <w:color w:val="242121"/>
          <w:lang w:val="en-GB"/>
        </w:rPr>
        <w:t>(ii) such particulars of such debt as are within the knowledge of the creditor.</w:t>
      </w:r>
    </w:p>
    <w:p w14:paraId="6938C874" w14:textId="77777777" w:rsidR="00FC006A" w:rsidRPr="00F829AC" w:rsidRDefault="00FC006A" w:rsidP="00FC006A">
      <w:pPr>
        <w:pStyle w:val="NormalWeb"/>
        <w:shd w:val="clear" w:color="auto" w:fill="FFFFFF"/>
        <w:spacing w:before="144" w:beforeAutospacing="0" w:after="567" w:afterAutospacing="0" w:line="360" w:lineRule="atLeast"/>
        <w:ind w:left="851"/>
        <w:rPr>
          <w:rFonts w:ascii="Verdana" w:hAnsi="Verdana"/>
          <w:i/>
          <w:iCs/>
          <w:color w:val="242121"/>
          <w:sz w:val="27"/>
          <w:szCs w:val="27"/>
        </w:rPr>
      </w:pPr>
      <w:r w:rsidRPr="00F829AC">
        <w:rPr>
          <w:rFonts w:ascii="Arial" w:hAnsi="Arial" w:cs="Arial"/>
          <w:i/>
          <w:iCs/>
          <w:color w:val="000000"/>
        </w:rPr>
        <w:t>(3)     For purposes of subsection (2)(a)-</w:t>
      </w:r>
    </w:p>
    <w:p w14:paraId="426F0A91" w14:textId="77777777" w:rsidR="00FC006A" w:rsidRPr="00F829AC" w:rsidRDefault="00FC006A" w:rsidP="001358B8">
      <w:pPr>
        <w:pStyle w:val="NormalWeb"/>
        <w:shd w:val="clear" w:color="auto" w:fill="FFFFFF"/>
        <w:spacing w:before="144" w:beforeAutospacing="0" w:after="567" w:afterAutospacing="0" w:line="360" w:lineRule="atLeast"/>
        <w:ind w:left="2070" w:hanging="810"/>
        <w:rPr>
          <w:rFonts w:ascii="Verdana" w:hAnsi="Verdana"/>
          <w:i/>
          <w:iCs/>
          <w:color w:val="242121"/>
          <w:sz w:val="27"/>
          <w:szCs w:val="27"/>
        </w:rPr>
      </w:pPr>
      <w:r w:rsidRPr="00F829AC">
        <w:rPr>
          <w:rFonts w:ascii="Arial" w:hAnsi="Arial" w:cs="Arial"/>
          <w:i/>
          <w:iCs/>
          <w:color w:val="000000"/>
        </w:rPr>
        <w:t>(a)        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p>
    <w:p w14:paraId="38F54341" w14:textId="77777777" w:rsidR="00FC006A" w:rsidRPr="00F829AC" w:rsidRDefault="00FC006A" w:rsidP="001358B8">
      <w:pPr>
        <w:pStyle w:val="NormalWeb"/>
        <w:shd w:val="clear" w:color="auto" w:fill="FFFFFF"/>
        <w:spacing w:before="144" w:beforeAutospacing="0" w:after="567" w:afterAutospacing="0" w:line="360" w:lineRule="atLeast"/>
        <w:ind w:left="2070" w:hanging="810"/>
        <w:rPr>
          <w:rFonts w:ascii="Verdana" w:hAnsi="Verdana"/>
          <w:i/>
          <w:iCs/>
          <w:color w:val="242121"/>
          <w:sz w:val="27"/>
          <w:szCs w:val="27"/>
        </w:rPr>
      </w:pPr>
      <w:r w:rsidRPr="00F829AC">
        <w:rPr>
          <w:rFonts w:ascii="Arial" w:hAnsi="Arial" w:cs="Arial"/>
          <w:i/>
          <w:iCs/>
          <w:color w:val="000000"/>
        </w:rPr>
        <w:t>(b)        a debt referred to in section 2(2)(a), must be regarded as having become due on the fixed date.</w:t>
      </w:r>
    </w:p>
    <w:p w14:paraId="558F7ADB" w14:textId="7E243667" w:rsidR="00D42D6D" w:rsidRPr="008A4AD3" w:rsidRDefault="00FC006A" w:rsidP="008A4AD3">
      <w:pPr>
        <w:pStyle w:val="NormalWeb"/>
        <w:shd w:val="clear" w:color="auto" w:fill="FFFFFF"/>
        <w:spacing w:before="144" w:beforeAutospacing="0" w:after="567" w:afterAutospacing="0" w:line="360" w:lineRule="atLeast"/>
        <w:ind w:left="1440" w:hanging="900"/>
        <w:rPr>
          <w:rFonts w:ascii="Arial" w:hAnsi="Arial" w:cs="Arial"/>
          <w:i/>
          <w:iCs/>
        </w:rPr>
      </w:pPr>
      <w:r w:rsidRPr="00F829AC">
        <w:rPr>
          <w:rFonts w:ascii="Arial" w:hAnsi="Arial" w:cs="Arial"/>
          <w:i/>
          <w:iCs/>
          <w:color w:val="000000"/>
        </w:rPr>
        <w:t>(4)     (a) If an organ of state relies on a creditor's failure to serve a notice in terms of subsection (2) (a), the creditor may apply to a court having jurisdiction for condonation of such failure.</w:t>
      </w:r>
      <w:r w:rsidR="00F829AC">
        <w:rPr>
          <w:rFonts w:ascii="Arial" w:hAnsi="Arial" w:cs="Arial"/>
          <w:i/>
          <w:iCs/>
          <w:color w:val="000000"/>
        </w:rPr>
        <w:t>’’</w:t>
      </w:r>
    </w:p>
    <w:p w14:paraId="2C93A3F1" w14:textId="693B8F04" w:rsidR="008E5740"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E5740" w:rsidRPr="00B257D7">
        <w:rPr>
          <w:rFonts w:ascii="Arial" w:hAnsi="Arial" w:cs="Arial"/>
          <w:sz w:val="24"/>
          <w:szCs w:val="24"/>
        </w:rPr>
        <w:t xml:space="preserve">Section 11(d) of the </w:t>
      </w:r>
      <w:r w:rsidR="009F19EC" w:rsidRPr="00B257D7">
        <w:rPr>
          <w:rFonts w:ascii="Arial" w:hAnsi="Arial" w:cs="Arial"/>
          <w:sz w:val="24"/>
          <w:szCs w:val="24"/>
        </w:rPr>
        <w:t>Prescription Act provides that</w:t>
      </w:r>
      <w:r w:rsidR="00F33264" w:rsidRPr="00B257D7">
        <w:rPr>
          <w:rFonts w:ascii="Arial" w:hAnsi="Arial" w:cs="Arial"/>
          <w:sz w:val="24"/>
          <w:szCs w:val="24"/>
        </w:rPr>
        <w:t xml:space="preserve"> the period of prescription shall</w:t>
      </w:r>
      <w:r w:rsidR="00D04AC6" w:rsidRPr="00B257D7">
        <w:rPr>
          <w:rFonts w:ascii="Arial" w:hAnsi="Arial" w:cs="Arial"/>
          <w:sz w:val="24"/>
          <w:szCs w:val="24"/>
        </w:rPr>
        <w:t xml:space="preserve"> be</w:t>
      </w:r>
      <w:r w:rsidR="00F33264" w:rsidRPr="00B257D7">
        <w:rPr>
          <w:rFonts w:ascii="Arial" w:hAnsi="Arial" w:cs="Arial"/>
          <w:sz w:val="24"/>
          <w:szCs w:val="24"/>
        </w:rPr>
        <w:t xml:space="preserve">: </w:t>
      </w:r>
    </w:p>
    <w:p w14:paraId="75AA7FD9" w14:textId="77777777" w:rsidR="00F33264" w:rsidRPr="00F33264" w:rsidRDefault="00F33264" w:rsidP="00F33264">
      <w:pPr>
        <w:pStyle w:val="ListParagraph"/>
        <w:rPr>
          <w:rFonts w:ascii="Arial" w:hAnsi="Arial" w:cs="Arial"/>
          <w:sz w:val="24"/>
          <w:szCs w:val="24"/>
        </w:rPr>
      </w:pPr>
    </w:p>
    <w:p w14:paraId="1EEFEED7" w14:textId="0EF32C5E" w:rsidR="00F33264" w:rsidRPr="00FC006A" w:rsidRDefault="00F33264" w:rsidP="00FC006A">
      <w:pPr>
        <w:spacing w:after="360" w:line="360" w:lineRule="auto"/>
        <w:ind w:left="720"/>
        <w:jc w:val="both"/>
        <w:rPr>
          <w:rFonts w:ascii="Arial" w:hAnsi="Arial" w:cs="Arial"/>
          <w:i/>
          <w:iCs/>
          <w:sz w:val="24"/>
          <w:szCs w:val="24"/>
        </w:rPr>
      </w:pPr>
      <w:r w:rsidRPr="00FC006A">
        <w:rPr>
          <w:rFonts w:ascii="Arial" w:hAnsi="Arial" w:cs="Arial"/>
          <w:i/>
          <w:iCs/>
          <w:sz w:val="24"/>
          <w:szCs w:val="24"/>
        </w:rPr>
        <w:t>“save where an Act of Parliament provides otherwise, three years in respect of any other debt.”</w:t>
      </w:r>
    </w:p>
    <w:p w14:paraId="37052733" w14:textId="77777777" w:rsidR="008E5740" w:rsidRPr="008E5740" w:rsidRDefault="008E5740" w:rsidP="008E5740">
      <w:pPr>
        <w:pStyle w:val="ListParagraph"/>
        <w:rPr>
          <w:rFonts w:ascii="Arial" w:hAnsi="Arial" w:cs="Arial"/>
          <w:sz w:val="24"/>
          <w:szCs w:val="24"/>
        </w:rPr>
      </w:pPr>
    </w:p>
    <w:p w14:paraId="1A6A87BC" w14:textId="17F9D5B5" w:rsidR="00EF5E8D" w:rsidRPr="00B257D7" w:rsidRDefault="00B257D7" w:rsidP="00B257D7">
      <w:pPr>
        <w:spacing w:after="360" w:line="360" w:lineRule="auto"/>
        <w:ind w:left="720" w:hanging="720"/>
        <w:jc w:val="both"/>
        <w:rPr>
          <w:rFonts w:ascii="Arial" w:hAnsi="Arial" w:cs="Arial"/>
          <w:sz w:val="24"/>
          <w:szCs w:val="24"/>
        </w:rPr>
      </w:pPr>
      <w:r w:rsidRPr="0025593B">
        <w:rPr>
          <w:rFonts w:ascii="Arial" w:hAnsi="Arial" w:cs="Arial"/>
          <w:sz w:val="24"/>
          <w:szCs w:val="24"/>
        </w:rPr>
        <w:t>[22.]</w:t>
      </w:r>
      <w:r w:rsidRPr="0025593B">
        <w:rPr>
          <w:rFonts w:ascii="Arial" w:hAnsi="Arial" w:cs="Arial"/>
          <w:sz w:val="24"/>
          <w:szCs w:val="24"/>
        </w:rPr>
        <w:tab/>
      </w:r>
      <w:r w:rsidR="00EF5E8D" w:rsidRPr="00B257D7">
        <w:rPr>
          <w:rFonts w:ascii="Arial" w:hAnsi="Arial" w:cs="Arial"/>
          <w:sz w:val="24"/>
          <w:szCs w:val="24"/>
        </w:rPr>
        <w:t>Section 12 of the Prescription Act</w:t>
      </w:r>
      <w:r w:rsidR="00A60656" w:rsidRPr="00B257D7">
        <w:rPr>
          <w:rFonts w:ascii="Arial" w:hAnsi="Arial" w:cs="Arial"/>
          <w:sz w:val="24"/>
          <w:szCs w:val="24"/>
        </w:rPr>
        <w:t xml:space="preserve"> </w:t>
      </w:r>
      <w:r w:rsidR="00EC6195" w:rsidRPr="00B257D7">
        <w:rPr>
          <w:rFonts w:ascii="Arial" w:hAnsi="Arial" w:cs="Arial"/>
          <w:sz w:val="24"/>
          <w:szCs w:val="24"/>
        </w:rPr>
        <w:t>provides as follows</w:t>
      </w:r>
      <w:r w:rsidR="00EF5E8D" w:rsidRPr="00B257D7">
        <w:rPr>
          <w:rFonts w:ascii="Arial" w:hAnsi="Arial" w:cs="Arial"/>
          <w:sz w:val="24"/>
          <w:szCs w:val="24"/>
        </w:rPr>
        <w:t>:</w:t>
      </w:r>
    </w:p>
    <w:p w14:paraId="0921BCA0" w14:textId="7482B501" w:rsidR="00F829AC" w:rsidRPr="00E04ABA" w:rsidRDefault="00F829AC" w:rsidP="00D04AC6">
      <w:pPr>
        <w:spacing w:after="360" w:line="360" w:lineRule="auto"/>
        <w:ind w:left="1440" w:hanging="720"/>
        <w:jc w:val="both"/>
        <w:rPr>
          <w:rFonts w:ascii="Arial" w:hAnsi="Arial" w:cs="Arial"/>
          <w:b/>
          <w:bCs/>
          <w:i/>
          <w:iCs/>
          <w:sz w:val="24"/>
          <w:szCs w:val="24"/>
        </w:rPr>
      </w:pPr>
      <w:r w:rsidRPr="00E04ABA">
        <w:rPr>
          <w:rFonts w:ascii="Arial" w:hAnsi="Arial" w:cs="Arial"/>
          <w:i/>
          <w:iCs/>
          <w:sz w:val="24"/>
          <w:szCs w:val="24"/>
        </w:rPr>
        <w:lastRenderedPageBreak/>
        <w:t>“</w:t>
      </w:r>
      <w:r w:rsidRPr="00E04ABA">
        <w:rPr>
          <w:rFonts w:ascii="Arial" w:hAnsi="Arial" w:cs="Arial"/>
          <w:b/>
          <w:bCs/>
          <w:i/>
          <w:iCs/>
          <w:sz w:val="24"/>
          <w:szCs w:val="24"/>
        </w:rPr>
        <w:t>12      When prescription begins to run</w:t>
      </w:r>
    </w:p>
    <w:p w14:paraId="41C08B5B" w14:textId="0DFBD187" w:rsidR="00F829AC" w:rsidRPr="00F829AC" w:rsidRDefault="00F829AC" w:rsidP="00D04AC6">
      <w:pPr>
        <w:spacing w:after="360" w:line="360" w:lineRule="auto"/>
        <w:ind w:left="1440" w:hanging="720"/>
        <w:jc w:val="both"/>
        <w:rPr>
          <w:rFonts w:ascii="Arial" w:hAnsi="Arial" w:cs="Arial"/>
          <w:i/>
          <w:iCs/>
          <w:sz w:val="24"/>
          <w:szCs w:val="24"/>
        </w:rPr>
      </w:pPr>
      <w:r w:rsidRPr="00F829AC">
        <w:rPr>
          <w:rFonts w:ascii="Arial" w:hAnsi="Arial" w:cs="Arial"/>
          <w:i/>
          <w:iCs/>
          <w:sz w:val="24"/>
          <w:szCs w:val="24"/>
        </w:rPr>
        <w:t xml:space="preserve">(1)    </w:t>
      </w:r>
      <w:r w:rsidR="00D04AC6">
        <w:rPr>
          <w:rFonts w:ascii="Arial" w:hAnsi="Arial" w:cs="Arial"/>
          <w:i/>
          <w:iCs/>
          <w:sz w:val="24"/>
          <w:szCs w:val="24"/>
        </w:rPr>
        <w:tab/>
      </w:r>
      <w:r w:rsidRPr="00F829AC">
        <w:rPr>
          <w:rFonts w:ascii="Arial" w:hAnsi="Arial" w:cs="Arial"/>
          <w:i/>
          <w:iCs/>
          <w:sz w:val="24"/>
          <w:szCs w:val="24"/>
        </w:rPr>
        <w:t>Subject to the provisions of subsections (2), (3) and (4), prescription shall commence to run as soon as the debt is due.</w:t>
      </w:r>
    </w:p>
    <w:p w14:paraId="12AF07E4" w14:textId="77777777" w:rsidR="00F829AC" w:rsidRPr="00F829AC" w:rsidRDefault="00F829AC" w:rsidP="00F829AC">
      <w:pPr>
        <w:spacing w:after="360" w:line="360" w:lineRule="auto"/>
        <w:ind w:left="1440" w:hanging="720"/>
        <w:jc w:val="both"/>
        <w:rPr>
          <w:rFonts w:ascii="Arial" w:hAnsi="Arial" w:cs="Arial"/>
          <w:i/>
          <w:iCs/>
          <w:sz w:val="24"/>
          <w:szCs w:val="24"/>
        </w:rPr>
      </w:pPr>
      <w:r w:rsidRPr="00F829AC">
        <w:rPr>
          <w:rFonts w:ascii="Arial" w:hAnsi="Arial" w:cs="Arial"/>
          <w:i/>
          <w:iCs/>
          <w:sz w:val="24"/>
          <w:szCs w:val="24"/>
        </w:rPr>
        <w:t>(2)     If the debtor wilfully prevents the creditor from coming to know of the existence of the debt, prescription shall not commence to run until the creditor becomes aware of the existence of the debt.</w:t>
      </w:r>
    </w:p>
    <w:p w14:paraId="5FCE6388" w14:textId="77777777" w:rsidR="00F829AC" w:rsidRPr="00F829AC" w:rsidRDefault="00F829AC" w:rsidP="00F829AC">
      <w:pPr>
        <w:spacing w:after="360" w:line="360" w:lineRule="auto"/>
        <w:ind w:left="1440" w:hanging="720"/>
        <w:jc w:val="both"/>
        <w:rPr>
          <w:rFonts w:ascii="Arial" w:hAnsi="Arial" w:cs="Arial"/>
          <w:i/>
          <w:iCs/>
          <w:sz w:val="24"/>
          <w:szCs w:val="24"/>
        </w:rPr>
      </w:pPr>
      <w:r w:rsidRPr="00F829AC">
        <w:rPr>
          <w:rFonts w:ascii="Arial" w:hAnsi="Arial" w:cs="Arial"/>
          <w:i/>
          <w:iCs/>
          <w:sz w:val="24"/>
          <w:szCs w:val="24"/>
        </w:rPr>
        <w:t>(3)      A debt shall not be deemed to be due until the creditor has knowledge of the identity of the debtor and of the facts from which the debt arises: Provided that a creditor shall be deemed to have such knowledge if he could have acquired it by exercising reasonable care.”</w:t>
      </w:r>
    </w:p>
    <w:p w14:paraId="34CF035A" w14:textId="58A5A243" w:rsidR="00EC5507" w:rsidRPr="0051672E" w:rsidRDefault="008433E7" w:rsidP="007D69C7">
      <w:pPr>
        <w:spacing w:after="360" w:line="360" w:lineRule="auto"/>
        <w:jc w:val="both"/>
        <w:rPr>
          <w:rFonts w:ascii="Arial" w:hAnsi="Arial" w:cs="Arial"/>
          <w:b/>
          <w:bCs/>
          <w:caps/>
          <w:sz w:val="24"/>
          <w:szCs w:val="24"/>
          <w:u w:val="single"/>
        </w:rPr>
      </w:pPr>
      <w:r w:rsidRPr="0051672E">
        <w:rPr>
          <w:rFonts w:ascii="Arial" w:hAnsi="Arial" w:cs="Arial"/>
          <w:b/>
          <w:bCs/>
          <w:caps/>
          <w:sz w:val="24"/>
          <w:szCs w:val="24"/>
          <w:u w:val="single"/>
        </w:rPr>
        <w:t xml:space="preserve">When </w:t>
      </w:r>
      <w:r w:rsidR="00A33D70" w:rsidRPr="0051672E">
        <w:rPr>
          <w:rFonts w:ascii="Arial" w:hAnsi="Arial" w:cs="Arial"/>
          <w:b/>
          <w:bCs/>
          <w:caps/>
          <w:sz w:val="24"/>
          <w:szCs w:val="24"/>
          <w:u w:val="single"/>
        </w:rPr>
        <w:t>DOES</w:t>
      </w:r>
      <w:r w:rsidRPr="0051672E">
        <w:rPr>
          <w:rFonts w:ascii="Arial" w:hAnsi="Arial" w:cs="Arial"/>
          <w:b/>
          <w:bCs/>
          <w:caps/>
          <w:sz w:val="24"/>
          <w:szCs w:val="24"/>
          <w:u w:val="single"/>
        </w:rPr>
        <w:t xml:space="preserve"> prescription begin to run for the unlawful arrest and detention</w:t>
      </w:r>
    </w:p>
    <w:p w14:paraId="45E74546" w14:textId="7956555F" w:rsidR="00630453" w:rsidRPr="00630453" w:rsidRDefault="00630453" w:rsidP="00610A25">
      <w:pPr>
        <w:pStyle w:val="ListParagraph"/>
        <w:spacing w:after="360" w:line="360" w:lineRule="auto"/>
        <w:jc w:val="both"/>
        <w:rPr>
          <w:rFonts w:ascii="Arial" w:hAnsi="Arial" w:cs="Arial"/>
          <w:b/>
          <w:bCs/>
          <w:sz w:val="24"/>
          <w:szCs w:val="24"/>
          <w:u w:val="single"/>
        </w:rPr>
      </w:pPr>
    </w:p>
    <w:p w14:paraId="4EDFBA15" w14:textId="31C4951E" w:rsidR="00B520B6" w:rsidRPr="00B257D7" w:rsidRDefault="00B257D7" w:rsidP="00B257D7">
      <w:pPr>
        <w:spacing w:after="360" w:line="360" w:lineRule="auto"/>
        <w:ind w:left="1440" w:hanging="720"/>
        <w:jc w:val="both"/>
        <w:rPr>
          <w:rFonts w:ascii="Arial" w:hAnsi="Arial" w:cs="Arial"/>
          <w:b/>
          <w:bCs/>
          <w:sz w:val="24"/>
          <w:szCs w:val="24"/>
          <w:u w:val="single"/>
        </w:rPr>
      </w:pPr>
      <w:r w:rsidRPr="0039448A">
        <w:rPr>
          <w:rFonts w:ascii="Arial" w:hAnsi="Arial" w:cs="Arial"/>
          <w:bCs/>
          <w:sz w:val="24"/>
          <w:szCs w:val="24"/>
        </w:rPr>
        <w:t>i.</w:t>
      </w:r>
      <w:r w:rsidRPr="0039448A">
        <w:rPr>
          <w:rFonts w:ascii="Arial" w:hAnsi="Arial" w:cs="Arial"/>
          <w:bCs/>
          <w:sz w:val="24"/>
          <w:szCs w:val="24"/>
        </w:rPr>
        <w:tab/>
      </w:r>
      <w:r w:rsidR="00630453" w:rsidRPr="00B257D7">
        <w:rPr>
          <w:rFonts w:ascii="Arial" w:hAnsi="Arial" w:cs="Arial"/>
          <w:sz w:val="24"/>
          <w:szCs w:val="24"/>
          <w:u w:val="single"/>
        </w:rPr>
        <w:t xml:space="preserve"> </w:t>
      </w:r>
      <w:r w:rsidR="0039448A" w:rsidRPr="00B257D7">
        <w:rPr>
          <w:rFonts w:ascii="Arial" w:hAnsi="Arial" w:cs="Arial"/>
          <w:sz w:val="24"/>
          <w:szCs w:val="24"/>
          <w:u w:val="single"/>
        </w:rPr>
        <w:t>Continuous wrong</w:t>
      </w:r>
    </w:p>
    <w:p w14:paraId="23D13DA4" w14:textId="77777777" w:rsidR="00CB5008" w:rsidRPr="00EC5507" w:rsidRDefault="00CB5008" w:rsidP="00CB5008">
      <w:pPr>
        <w:pStyle w:val="ListParagraph"/>
        <w:spacing w:after="360" w:line="360" w:lineRule="auto"/>
        <w:ind w:left="360"/>
        <w:jc w:val="both"/>
        <w:rPr>
          <w:rFonts w:ascii="Arial" w:hAnsi="Arial" w:cs="Arial"/>
          <w:sz w:val="24"/>
          <w:szCs w:val="24"/>
        </w:rPr>
      </w:pPr>
    </w:p>
    <w:p w14:paraId="54D17CD3" w14:textId="517BB5CF" w:rsidR="00E94993"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B5741" w:rsidRPr="00B257D7">
        <w:rPr>
          <w:rFonts w:ascii="Arial" w:hAnsi="Arial" w:cs="Arial"/>
          <w:sz w:val="24"/>
          <w:szCs w:val="24"/>
        </w:rPr>
        <w:t>For purposes of these proceedings, the court is</w:t>
      </w:r>
      <w:r w:rsidR="00BF3F9E" w:rsidRPr="00B257D7">
        <w:rPr>
          <w:rFonts w:ascii="Arial" w:hAnsi="Arial" w:cs="Arial"/>
          <w:sz w:val="24"/>
          <w:szCs w:val="24"/>
        </w:rPr>
        <w:t xml:space="preserve"> only </w:t>
      </w:r>
      <w:r w:rsidR="00CB5741" w:rsidRPr="00B257D7">
        <w:rPr>
          <w:rFonts w:ascii="Arial" w:hAnsi="Arial" w:cs="Arial"/>
          <w:sz w:val="24"/>
          <w:szCs w:val="24"/>
        </w:rPr>
        <w:t xml:space="preserve">called upon to determine when </w:t>
      </w:r>
      <w:r w:rsidR="008A4AD3" w:rsidRPr="00B257D7">
        <w:rPr>
          <w:rFonts w:ascii="Arial" w:hAnsi="Arial" w:cs="Arial"/>
          <w:sz w:val="24"/>
          <w:szCs w:val="24"/>
        </w:rPr>
        <w:t xml:space="preserve">the </w:t>
      </w:r>
      <w:r w:rsidR="00CB5741" w:rsidRPr="00B257D7">
        <w:rPr>
          <w:rFonts w:ascii="Arial" w:hAnsi="Arial" w:cs="Arial"/>
          <w:sz w:val="24"/>
          <w:szCs w:val="24"/>
        </w:rPr>
        <w:t xml:space="preserve">prescription began to run for the claims </w:t>
      </w:r>
      <w:r w:rsidR="005C4442" w:rsidRPr="00B257D7">
        <w:rPr>
          <w:rFonts w:ascii="Arial" w:hAnsi="Arial" w:cs="Arial"/>
          <w:sz w:val="24"/>
          <w:szCs w:val="24"/>
        </w:rPr>
        <w:t xml:space="preserve">of </w:t>
      </w:r>
      <w:r w:rsidR="00E43E5A" w:rsidRPr="00B257D7">
        <w:rPr>
          <w:rFonts w:ascii="Arial" w:hAnsi="Arial" w:cs="Arial"/>
          <w:sz w:val="24"/>
          <w:szCs w:val="24"/>
        </w:rPr>
        <w:t>unlawful arrest</w:t>
      </w:r>
      <w:r w:rsidR="005C4442" w:rsidRPr="00B257D7">
        <w:rPr>
          <w:rFonts w:ascii="Arial" w:hAnsi="Arial" w:cs="Arial"/>
          <w:sz w:val="24"/>
          <w:szCs w:val="24"/>
        </w:rPr>
        <w:t xml:space="preserve"> and</w:t>
      </w:r>
      <w:r w:rsidR="00E43E5A" w:rsidRPr="00B257D7">
        <w:rPr>
          <w:rFonts w:ascii="Arial" w:hAnsi="Arial" w:cs="Arial"/>
          <w:sz w:val="24"/>
          <w:szCs w:val="24"/>
        </w:rPr>
        <w:t xml:space="preserve"> unlawful </w:t>
      </w:r>
      <w:r w:rsidR="002C2EDB" w:rsidRPr="00B257D7">
        <w:rPr>
          <w:rFonts w:ascii="Arial" w:hAnsi="Arial" w:cs="Arial"/>
          <w:sz w:val="24"/>
          <w:szCs w:val="24"/>
        </w:rPr>
        <w:t>dentition</w:t>
      </w:r>
      <w:r w:rsidR="005C4442" w:rsidRPr="00B257D7">
        <w:rPr>
          <w:rFonts w:ascii="Arial" w:hAnsi="Arial" w:cs="Arial"/>
          <w:sz w:val="24"/>
          <w:szCs w:val="24"/>
        </w:rPr>
        <w:t>.</w:t>
      </w:r>
    </w:p>
    <w:p w14:paraId="17449A7B" w14:textId="77777777" w:rsidR="00267723" w:rsidRDefault="00267723" w:rsidP="00267723">
      <w:pPr>
        <w:pStyle w:val="ListParagraph"/>
        <w:spacing w:after="360" w:line="360" w:lineRule="auto"/>
        <w:jc w:val="both"/>
        <w:rPr>
          <w:rFonts w:ascii="Arial" w:hAnsi="Arial" w:cs="Arial"/>
          <w:sz w:val="24"/>
          <w:szCs w:val="24"/>
        </w:rPr>
      </w:pPr>
    </w:p>
    <w:p w14:paraId="65F17C0E" w14:textId="35C500EF" w:rsidR="000239E4"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54CA8" w:rsidRPr="00B257D7">
        <w:rPr>
          <w:rFonts w:ascii="Arial" w:hAnsi="Arial" w:cs="Arial"/>
          <w:sz w:val="24"/>
          <w:szCs w:val="24"/>
        </w:rPr>
        <w:t xml:space="preserve">The </w:t>
      </w:r>
      <w:r w:rsidR="00267723" w:rsidRPr="00B257D7">
        <w:rPr>
          <w:rFonts w:ascii="Arial" w:hAnsi="Arial" w:cs="Arial"/>
          <w:sz w:val="24"/>
          <w:szCs w:val="24"/>
        </w:rPr>
        <w:t>p</w:t>
      </w:r>
      <w:r w:rsidR="004F349C" w:rsidRPr="00B257D7">
        <w:rPr>
          <w:rFonts w:ascii="Arial" w:hAnsi="Arial" w:cs="Arial"/>
          <w:sz w:val="24"/>
          <w:szCs w:val="24"/>
        </w:rPr>
        <w:t>laintiff</w:t>
      </w:r>
      <w:r w:rsidR="00154CA8" w:rsidRPr="00B257D7">
        <w:rPr>
          <w:rFonts w:ascii="Arial" w:hAnsi="Arial" w:cs="Arial"/>
          <w:sz w:val="24"/>
          <w:szCs w:val="24"/>
        </w:rPr>
        <w:t xml:space="preserve"> pleaded multiple causes of action, each giving rise to a different debt</w:t>
      </w:r>
      <w:r w:rsidR="00703204" w:rsidRPr="00B257D7">
        <w:rPr>
          <w:rFonts w:ascii="Arial" w:hAnsi="Arial" w:cs="Arial"/>
          <w:sz w:val="24"/>
          <w:szCs w:val="24"/>
        </w:rPr>
        <w:t>.</w:t>
      </w:r>
    </w:p>
    <w:p w14:paraId="45F071B8" w14:textId="77777777" w:rsidR="00EC5507" w:rsidRDefault="00EC5507" w:rsidP="00EC5507">
      <w:pPr>
        <w:pStyle w:val="ListParagraph"/>
        <w:spacing w:after="360" w:line="360" w:lineRule="auto"/>
        <w:ind w:hanging="720"/>
        <w:jc w:val="both"/>
        <w:rPr>
          <w:rFonts w:ascii="Arial" w:hAnsi="Arial" w:cs="Arial"/>
          <w:sz w:val="24"/>
          <w:szCs w:val="24"/>
        </w:rPr>
      </w:pPr>
    </w:p>
    <w:p w14:paraId="64DF4DFD" w14:textId="52FED728" w:rsidR="0097506B"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BF3F9E" w:rsidRPr="00B257D7">
        <w:rPr>
          <w:rFonts w:ascii="Arial" w:hAnsi="Arial" w:cs="Arial"/>
          <w:sz w:val="24"/>
          <w:szCs w:val="24"/>
        </w:rPr>
        <w:t xml:space="preserve">It is the </w:t>
      </w:r>
      <w:r w:rsidR="004F349C" w:rsidRPr="00B257D7">
        <w:rPr>
          <w:rFonts w:ascii="Arial" w:hAnsi="Arial" w:cs="Arial"/>
          <w:sz w:val="24"/>
          <w:szCs w:val="24"/>
        </w:rPr>
        <w:t>plaintiff</w:t>
      </w:r>
      <w:r w:rsidR="006F2455" w:rsidRPr="00B257D7">
        <w:rPr>
          <w:rFonts w:ascii="Arial" w:hAnsi="Arial" w:cs="Arial"/>
          <w:sz w:val="24"/>
          <w:szCs w:val="24"/>
        </w:rPr>
        <w:t>'</w:t>
      </w:r>
      <w:r w:rsidR="00BF3F9E" w:rsidRPr="00B257D7">
        <w:rPr>
          <w:rFonts w:ascii="Arial" w:hAnsi="Arial" w:cs="Arial"/>
          <w:sz w:val="24"/>
          <w:szCs w:val="24"/>
        </w:rPr>
        <w:t xml:space="preserve">s case that prescription began to run </w:t>
      </w:r>
      <w:r w:rsidR="006A34B5" w:rsidRPr="00B257D7">
        <w:rPr>
          <w:rFonts w:ascii="Arial" w:hAnsi="Arial" w:cs="Arial"/>
          <w:sz w:val="24"/>
          <w:szCs w:val="24"/>
        </w:rPr>
        <w:t>after</w:t>
      </w:r>
      <w:r w:rsidR="00525F8F" w:rsidRPr="00B257D7">
        <w:rPr>
          <w:rFonts w:ascii="Arial" w:hAnsi="Arial" w:cs="Arial"/>
          <w:sz w:val="24"/>
          <w:szCs w:val="24"/>
        </w:rPr>
        <w:t xml:space="preserve"> his conviction and sentence were set aside on 29 January 2019. </w:t>
      </w:r>
      <w:r w:rsidR="00C652AA" w:rsidRPr="00B257D7">
        <w:rPr>
          <w:rFonts w:ascii="Arial" w:hAnsi="Arial" w:cs="Arial"/>
          <w:sz w:val="24"/>
          <w:szCs w:val="24"/>
        </w:rPr>
        <w:t xml:space="preserve">In replication to the special plea, the </w:t>
      </w:r>
      <w:r w:rsidR="00930165" w:rsidRPr="00B257D7">
        <w:rPr>
          <w:rFonts w:ascii="Arial" w:hAnsi="Arial" w:cs="Arial"/>
          <w:sz w:val="24"/>
          <w:szCs w:val="24"/>
        </w:rPr>
        <w:t>p</w:t>
      </w:r>
      <w:r w:rsidR="004F349C" w:rsidRPr="00B257D7">
        <w:rPr>
          <w:rFonts w:ascii="Arial" w:hAnsi="Arial" w:cs="Arial"/>
          <w:sz w:val="24"/>
          <w:szCs w:val="24"/>
        </w:rPr>
        <w:t>laintiff</w:t>
      </w:r>
      <w:r w:rsidR="00C652AA" w:rsidRPr="00B257D7">
        <w:rPr>
          <w:rFonts w:ascii="Arial" w:hAnsi="Arial" w:cs="Arial"/>
          <w:sz w:val="24"/>
          <w:szCs w:val="24"/>
        </w:rPr>
        <w:t xml:space="preserve"> stated that</w:t>
      </w:r>
      <w:r w:rsidR="0097506B" w:rsidRPr="00B257D7">
        <w:rPr>
          <w:rFonts w:ascii="Arial" w:hAnsi="Arial" w:cs="Arial"/>
          <w:sz w:val="24"/>
          <w:szCs w:val="24"/>
        </w:rPr>
        <w:t>:</w:t>
      </w:r>
    </w:p>
    <w:p w14:paraId="65BFC9EF" w14:textId="77777777" w:rsidR="0097506B" w:rsidRPr="0097506B" w:rsidRDefault="0097506B" w:rsidP="0097506B">
      <w:pPr>
        <w:pStyle w:val="ListParagraph"/>
        <w:rPr>
          <w:rFonts w:ascii="Arial" w:hAnsi="Arial" w:cs="Arial"/>
          <w:sz w:val="24"/>
          <w:szCs w:val="24"/>
        </w:rPr>
      </w:pPr>
    </w:p>
    <w:p w14:paraId="264DA194" w14:textId="7DFEA596" w:rsidR="00BF3F9E" w:rsidRPr="00B257D7" w:rsidRDefault="00B257D7" w:rsidP="00B257D7">
      <w:pPr>
        <w:spacing w:after="360" w:line="360" w:lineRule="auto"/>
        <w:ind w:left="1440" w:hanging="720"/>
        <w:jc w:val="both"/>
        <w:rPr>
          <w:rFonts w:ascii="Arial" w:hAnsi="Arial" w:cs="Arial"/>
          <w:sz w:val="24"/>
          <w:szCs w:val="24"/>
        </w:rPr>
      </w:pPr>
      <w:r>
        <w:rPr>
          <w:rFonts w:ascii="Arial" w:hAnsi="Arial" w:cs="Arial"/>
          <w:sz w:val="24"/>
          <w:szCs w:val="24"/>
        </w:rPr>
        <w:t xml:space="preserve">[25.1.] </w:t>
      </w:r>
      <w:r w:rsidR="0097506B" w:rsidRPr="00B257D7">
        <w:rPr>
          <w:rFonts w:ascii="Arial" w:hAnsi="Arial" w:cs="Arial"/>
          <w:sz w:val="24"/>
          <w:szCs w:val="24"/>
        </w:rPr>
        <w:t>His</w:t>
      </w:r>
      <w:r w:rsidR="00C652AA" w:rsidRPr="00B257D7">
        <w:rPr>
          <w:rFonts w:ascii="Arial" w:hAnsi="Arial" w:cs="Arial"/>
          <w:sz w:val="24"/>
          <w:szCs w:val="24"/>
        </w:rPr>
        <w:t xml:space="preserve"> arrest was at all times linked to his detention which was</w:t>
      </w:r>
      <w:r w:rsidR="0097506B" w:rsidRPr="00B257D7">
        <w:rPr>
          <w:rFonts w:ascii="Arial" w:hAnsi="Arial" w:cs="Arial"/>
          <w:sz w:val="24"/>
          <w:szCs w:val="24"/>
        </w:rPr>
        <w:t xml:space="preserve"> continuous</w:t>
      </w:r>
      <w:r w:rsidR="008A7D0E" w:rsidRPr="00B257D7">
        <w:rPr>
          <w:rFonts w:ascii="Arial" w:hAnsi="Arial" w:cs="Arial"/>
          <w:sz w:val="24"/>
          <w:szCs w:val="24"/>
        </w:rPr>
        <w:t xml:space="preserve">; and </w:t>
      </w:r>
    </w:p>
    <w:p w14:paraId="7A7CF77B" w14:textId="77777777" w:rsidR="005E111C" w:rsidRDefault="005E111C" w:rsidP="005E111C">
      <w:pPr>
        <w:pStyle w:val="ListParagraph"/>
        <w:spacing w:after="360" w:line="360" w:lineRule="auto"/>
        <w:ind w:left="1440"/>
        <w:jc w:val="both"/>
        <w:rPr>
          <w:rFonts w:ascii="Arial" w:hAnsi="Arial" w:cs="Arial"/>
          <w:sz w:val="24"/>
          <w:szCs w:val="24"/>
        </w:rPr>
      </w:pPr>
    </w:p>
    <w:p w14:paraId="61D5F426" w14:textId="70B0AEE7" w:rsidR="00B03FA7" w:rsidRPr="00B257D7" w:rsidRDefault="00B257D7" w:rsidP="00B257D7">
      <w:pPr>
        <w:spacing w:after="360" w:line="360" w:lineRule="auto"/>
        <w:ind w:left="1440" w:hanging="720"/>
        <w:jc w:val="both"/>
        <w:rPr>
          <w:rFonts w:ascii="Arial" w:hAnsi="Arial" w:cs="Arial"/>
          <w:sz w:val="24"/>
          <w:szCs w:val="24"/>
        </w:rPr>
      </w:pPr>
      <w:r>
        <w:rPr>
          <w:rFonts w:ascii="Arial" w:hAnsi="Arial" w:cs="Arial"/>
          <w:sz w:val="24"/>
          <w:szCs w:val="24"/>
        </w:rPr>
        <w:t xml:space="preserve">[25.2.] </w:t>
      </w:r>
      <w:r w:rsidR="00C24CCC" w:rsidRPr="00B257D7">
        <w:rPr>
          <w:rFonts w:ascii="Arial" w:hAnsi="Arial" w:cs="Arial"/>
          <w:sz w:val="24"/>
          <w:szCs w:val="24"/>
        </w:rPr>
        <w:t>The arrest and detention amounted to depr</w:t>
      </w:r>
      <w:r w:rsidR="006F2455" w:rsidRPr="00B257D7">
        <w:rPr>
          <w:rFonts w:ascii="Arial" w:hAnsi="Arial" w:cs="Arial"/>
          <w:sz w:val="24"/>
          <w:szCs w:val="24"/>
        </w:rPr>
        <w:t>i</w:t>
      </w:r>
      <w:r w:rsidR="00C24CCC" w:rsidRPr="00B257D7">
        <w:rPr>
          <w:rFonts w:ascii="Arial" w:hAnsi="Arial" w:cs="Arial"/>
          <w:sz w:val="24"/>
          <w:szCs w:val="24"/>
        </w:rPr>
        <w:t>vation of liberty and personality interest which constituted a continuous wrong until his release;</w:t>
      </w:r>
    </w:p>
    <w:p w14:paraId="6E884502" w14:textId="77777777" w:rsidR="00B03FA7" w:rsidRPr="00B03FA7" w:rsidRDefault="00B03FA7" w:rsidP="00B03FA7">
      <w:pPr>
        <w:pStyle w:val="ListParagraph"/>
        <w:spacing w:after="360" w:line="360" w:lineRule="auto"/>
        <w:ind w:left="1440"/>
        <w:jc w:val="both"/>
        <w:rPr>
          <w:rFonts w:ascii="Arial" w:hAnsi="Arial" w:cs="Arial"/>
          <w:sz w:val="24"/>
          <w:szCs w:val="24"/>
        </w:rPr>
      </w:pPr>
    </w:p>
    <w:p w14:paraId="68042DD8" w14:textId="61B07A94" w:rsidR="00B03FA7" w:rsidRPr="00B257D7" w:rsidRDefault="00B257D7" w:rsidP="00B257D7">
      <w:pPr>
        <w:spacing w:after="360" w:line="360" w:lineRule="auto"/>
        <w:ind w:left="720" w:hanging="720"/>
        <w:jc w:val="both"/>
        <w:rPr>
          <w:rFonts w:ascii="Arial" w:hAnsi="Arial" w:cs="Arial"/>
          <w:sz w:val="24"/>
          <w:szCs w:val="24"/>
        </w:rPr>
      </w:pPr>
      <w:r w:rsidRPr="00B03FA7">
        <w:rPr>
          <w:rFonts w:ascii="Arial" w:hAnsi="Arial" w:cs="Arial"/>
          <w:sz w:val="24"/>
          <w:szCs w:val="24"/>
        </w:rPr>
        <w:t>[26.]</w:t>
      </w:r>
      <w:r w:rsidRPr="00B03FA7">
        <w:rPr>
          <w:rFonts w:ascii="Arial" w:hAnsi="Arial" w:cs="Arial"/>
          <w:sz w:val="24"/>
          <w:szCs w:val="24"/>
        </w:rPr>
        <w:tab/>
      </w:r>
      <w:r w:rsidR="00B03FA7" w:rsidRPr="00B257D7">
        <w:rPr>
          <w:rFonts w:ascii="Arial" w:hAnsi="Arial" w:cs="Arial"/>
          <w:sz w:val="24"/>
          <w:szCs w:val="24"/>
        </w:rPr>
        <w:t xml:space="preserve">The </w:t>
      </w:r>
      <w:r w:rsidR="004F349C" w:rsidRPr="00B257D7">
        <w:rPr>
          <w:rFonts w:ascii="Arial" w:hAnsi="Arial" w:cs="Arial"/>
          <w:sz w:val="24"/>
          <w:szCs w:val="24"/>
        </w:rPr>
        <w:t>plaintiff</w:t>
      </w:r>
      <w:r w:rsidR="00B03FA7" w:rsidRPr="00B257D7">
        <w:rPr>
          <w:rFonts w:ascii="Arial" w:hAnsi="Arial" w:cs="Arial"/>
          <w:sz w:val="24"/>
          <w:szCs w:val="24"/>
        </w:rPr>
        <w:t xml:space="preserve">'s argument </w:t>
      </w:r>
      <w:r w:rsidR="00DE7680" w:rsidRPr="00B257D7">
        <w:rPr>
          <w:rFonts w:ascii="Arial" w:hAnsi="Arial" w:cs="Arial"/>
          <w:sz w:val="24"/>
          <w:szCs w:val="24"/>
        </w:rPr>
        <w:t>appears</w:t>
      </w:r>
      <w:r w:rsidR="00B03FA7" w:rsidRPr="00B257D7">
        <w:rPr>
          <w:rFonts w:ascii="Arial" w:hAnsi="Arial" w:cs="Arial"/>
          <w:sz w:val="24"/>
          <w:szCs w:val="24"/>
        </w:rPr>
        <w:t xml:space="preserve"> to be that their claim for unlawful arrest and subsequent detention should be considered as a continuous transaction, not complete until the outcome of their criminal prosecution, which resulted in the</w:t>
      </w:r>
      <w:r w:rsidR="00351DD6" w:rsidRPr="00B257D7">
        <w:rPr>
          <w:rFonts w:ascii="Arial" w:hAnsi="Arial" w:cs="Arial"/>
          <w:sz w:val="24"/>
          <w:szCs w:val="24"/>
        </w:rPr>
        <w:t xml:space="preserve"> setting aside of his conviction and sentence.</w:t>
      </w:r>
      <w:r w:rsidR="002E1C06" w:rsidRPr="00B257D7">
        <w:rPr>
          <w:rFonts w:ascii="Arial" w:hAnsi="Arial" w:cs="Arial"/>
          <w:sz w:val="24"/>
          <w:szCs w:val="24"/>
        </w:rPr>
        <w:t xml:space="preserve"> The contention is that his</w:t>
      </w:r>
      <w:r w:rsidR="00B03FA7" w:rsidRPr="00B257D7">
        <w:rPr>
          <w:rFonts w:ascii="Arial" w:hAnsi="Arial" w:cs="Arial"/>
          <w:sz w:val="24"/>
          <w:szCs w:val="24"/>
        </w:rPr>
        <w:t xml:space="preserve"> arrest and detention, though separate legal processes, are interconnected and should be viewed as part of a single ongoing wrong.</w:t>
      </w:r>
    </w:p>
    <w:p w14:paraId="035FA1B9" w14:textId="77777777" w:rsidR="00B03FA7" w:rsidRPr="00B03FA7" w:rsidRDefault="00B03FA7" w:rsidP="002E1C06">
      <w:pPr>
        <w:pStyle w:val="ListParagraph"/>
        <w:spacing w:after="360" w:line="360" w:lineRule="auto"/>
        <w:jc w:val="both"/>
        <w:rPr>
          <w:rFonts w:ascii="Arial" w:hAnsi="Arial" w:cs="Arial"/>
          <w:sz w:val="24"/>
          <w:szCs w:val="24"/>
        </w:rPr>
      </w:pPr>
    </w:p>
    <w:p w14:paraId="06CBD90D" w14:textId="248BE7A8" w:rsidR="00B03FA7" w:rsidRPr="00B257D7" w:rsidRDefault="00B257D7" w:rsidP="00B257D7">
      <w:pPr>
        <w:spacing w:after="360" w:line="360" w:lineRule="auto"/>
        <w:ind w:left="720" w:hanging="720"/>
        <w:jc w:val="both"/>
        <w:rPr>
          <w:rFonts w:ascii="Arial" w:hAnsi="Arial" w:cs="Arial"/>
          <w:sz w:val="24"/>
          <w:szCs w:val="24"/>
        </w:rPr>
      </w:pPr>
      <w:r w:rsidRPr="00B03FA7">
        <w:rPr>
          <w:rFonts w:ascii="Arial" w:hAnsi="Arial" w:cs="Arial"/>
          <w:sz w:val="24"/>
          <w:szCs w:val="24"/>
        </w:rPr>
        <w:t>[27.]</w:t>
      </w:r>
      <w:r w:rsidRPr="00B03FA7">
        <w:rPr>
          <w:rFonts w:ascii="Arial" w:hAnsi="Arial" w:cs="Arial"/>
          <w:sz w:val="24"/>
          <w:szCs w:val="24"/>
        </w:rPr>
        <w:tab/>
      </w:r>
      <w:r w:rsidR="00B03FA7" w:rsidRPr="00B257D7">
        <w:rPr>
          <w:rFonts w:ascii="Arial" w:hAnsi="Arial" w:cs="Arial"/>
          <w:sz w:val="24"/>
          <w:szCs w:val="24"/>
        </w:rPr>
        <w:t xml:space="preserve">However, </w:t>
      </w:r>
      <w:r w:rsidR="00BE1413" w:rsidRPr="00B257D7">
        <w:rPr>
          <w:rFonts w:ascii="Arial" w:hAnsi="Arial" w:cs="Arial"/>
          <w:sz w:val="24"/>
          <w:szCs w:val="24"/>
        </w:rPr>
        <w:t xml:space="preserve">this position is </w:t>
      </w:r>
      <w:r w:rsidR="00A2176A" w:rsidRPr="00B257D7">
        <w:rPr>
          <w:rFonts w:ascii="Arial" w:hAnsi="Arial" w:cs="Arial"/>
          <w:sz w:val="24"/>
          <w:szCs w:val="24"/>
        </w:rPr>
        <w:t xml:space="preserve">in </w:t>
      </w:r>
      <w:r w:rsidR="003C4C4D" w:rsidRPr="00B257D7">
        <w:rPr>
          <w:rFonts w:ascii="Arial" w:hAnsi="Arial" w:cs="Arial"/>
          <w:sz w:val="24"/>
          <w:szCs w:val="24"/>
        </w:rPr>
        <w:t>contrast</w:t>
      </w:r>
      <w:r w:rsidR="00BE1413" w:rsidRPr="00B257D7">
        <w:rPr>
          <w:rFonts w:ascii="Arial" w:hAnsi="Arial" w:cs="Arial"/>
          <w:sz w:val="24"/>
          <w:szCs w:val="24"/>
        </w:rPr>
        <w:t xml:space="preserve"> to the established principles that</w:t>
      </w:r>
      <w:r w:rsidR="003902C9" w:rsidRPr="00B257D7">
        <w:rPr>
          <w:rFonts w:ascii="Arial" w:hAnsi="Arial" w:cs="Arial"/>
          <w:sz w:val="24"/>
          <w:szCs w:val="24"/>
        </w:rPr>
        <w:t xml:space="preserve"> there is</w:t>
      </w:r>
      <w:r w:rsidR="00B03FA7" w:rsidRPr="00B257D7">
        <w:rPr>
          <w:rFonts w:ascii="Arial" w:hAnsi="Arial" w:cs="Arial"/>
          <w:sz w:val="24"/>
          <w:szCs w:val="24"/>
        </w:rPr>
        <w:t xml:space="preserve"> </w:t>
      </w:r>
      <w:r w:rsidR="003902C9" w:rsidRPr="00B257D7">
        <w:rPr>
          <w:rFonts w:ascii="Arial" w:hAnsi="Arial" w:cs="Arial"/>
          <w:sz w:val="24"/>
          <w:szCs w:val="24"/>
        </w:rPr>
        <w:t>a</w:t>
      </w:r>
      <w:r w:rsidR="00B03FA7" w:rsidRPr="00B257D7">
        <w:rPr>
          <w:rFonts w:ascii="Arial" w:hAnsi="Arial" w:cs="Arial"/>
          <w:sz w:val="24"/>
          <w:szCs w:val="24"/>
        </w:rPr>
        <w:t xml:space="preserve"> distinction between a single completed wrongful act and a continuous wrong in the course of being committed. While a single wrongful act may give rise to a single debt, a continuous wrong is seen as generating a series of debts arising moment by moment as long as the wrongful conduct persists.</w:t>
      </w:r>
      <w:r w:rsidR="00C9276E">
        <w:rPr>
          <w:rStyle w:val="FootnoteReference"/>
          <w:rFonts w:ascii="Arial" w:hAnsi="Arial"/>
          <w:sz w:val="24"/>
          <w:szCs w:val="24"/>
        </w:rPr>
        <w:footnoteReference w:id="1"/>
      </w:r>
    </w:p>
    <w:p w14:paraId="55528CF5" w14:textId="77777777" w:rsidR="00B03FA7" w:rsidRPr="00B03FA7" w:rsidRDefault="00B03FA7" w:rsidP="003902C9">
      <w:pPr>
        <w:pStyle w:val="ListParagraph"/>
        <w:spacing w:after="360" w:line="360" w:lineRule="auto"/>
        <w:jc w:val="both"/>
        <w:rPr>
          <w:rFonts w:ascii="Arial" w:hAnsi="Arial" w:cs="Arial"/>
          <w:sz w:val="24"/>
          <w:szCs w:val="24"/>
        </w:rPr>
      </w:pPr>
    </w:p>
    <w:p w14:paraId="5AF6668C" w14:textId="4404DCD3" w:rsidR="00B03FA7" w:rsidRPr="00B257D7" w:rsidRDefault="00B257D7" w:rsidP="00B257D7">
      <w:pPr>
        <w:spacing w:after="360" w:line="360" w:lineRule="auto"/>
        <w:ind w:left="720" w:hanging="720"/>
        <w:jc w:val="both"/>
        <w:rPr>
          <w:rFonts w:ascii="Arial" w:hAnsi="Arial" w:cs="Arial"/>
          <w:sz w:val="24"/>
          <w:szCs w:val="24"/>
        </w:rPr>
      </w:pPr>
      <w:r w:rsidRPr="00967516">
        <w:rPr>
          <w:rFonts w:ascii="Arial" w:hAnsi="Arial" w:cs="Arial"/>
          <w:sz w:val="24"/>
          <w:szCs w:val="24"/>
        </w:rPr>
        <w:lastRenderedPageBreak/>
        <w:t>[28.]</w:t>
      </w:r>
      <w:r w:rsidRPr="00967516">
        <w:rPr>
          <w:rFonts w:ascii="Arial" w:hAnsi="Arial" w:cs="Arial"/>
          <w:sz w:val="24"/>
          <w:szCs w:val="24"/>
        </w:rPr>
        <w:tab/>
      </w:r>
      <w:r w:rsidR="00B03FA7" w:rsidRPr="00B257D7">
        <w:rPr>
          <w:rFonts w:ascii="Arial" w:hAnsi="Arial" w:cs="Arial"/>
          <w:sz w:val="24"/>
          <w:szCs w:val="24"/>
        </w:rPr>
        <w:t>In this context, the court</w:t>
      </w:r>
      <w:r w:rsidR="00593FBD" w:rsidRPr="00B257D7">
        <w:rPr>
          <w:rFonts w:ascii="Arial" w:hAnsi="Arial" w:cs="Arial"/>
          <w:sz w:val="24"/>
          <w:szCs w:val="24"/>
        </w:rPr>
        <w:t>s</w:t>
      </w:r>
      <w:r w:rsidR="00B03FA7" w:rsidRPr="00B257D7">
        <w:rPr>
          <w:rFonts w:ascii="Arial" w:hAnsi="Arial" w:cs="Arial"/>
          <w:sz w:val="24"/>
          <w:szCs w:val="24"/>
        </w:rPr>
        <w:t xml:space="preserve"> indicate that an unlawful arrest is not inherently a continuing wrong, nor is it necessarily linked to any subsequent unlawful detention. </w:t>
      </w:r>
      <w:r w:rsidR="00862DCC" w:rsidRPr="00B257D7">
        <w:rPr>
          <w:rFonts w:ascii="Arial" w:hAnsi="Arial" w:cs="Arial"/>
          <w:sz w:val="24"/>
          <w:szCs w:val="24"/>
        </w:rPr>
        <w:t xml:space="preserve">Arrest and detention represent </w:t>
      </w:r>
      <w:r w:rsidR="006F2455" w:rsidRPr="00B257D7">
        <w:rPr>
          <w:rFonts w:ascii="Arial" w:hAnsi="Arial" w:cs="Arial"/>
          <w:sz w:val="24"/>
          <w:szCs w:val="24"/>
        </w:rPr>
        <w:t>a</w:t>
      </w:r>
      <w:r w:rsidR="00862DCC" w:rsidRPr="00B257D7">
        <w:rPr>
          <w:rFonts w:ascii="Arial" w:hAnsi="Arial" w:cs="Arial"/>
          <w:sz w:val="24"/>
          <w:szCs w:val="24"/>
        </w:rPr>
        <w:t xml:space="preserve"> separate and distinct legal process. While both involve the deprivation of an individual's liberty, this shared outcome does not merge them into a single legal p</w:t>
      </w:r>
      <w:r w:rsidR="00967516" w:rsidRPr="00B257D7">
        <w:rPr>
          <w:rFonts w:ascii="Arial" w:hAnsi="Arial" w:cs="Arial"/>
          <w:sz w:val="24"/>
          <w:szCs w:val="24"/>
        </w:rPr>
        <w:t xml:space="preserve">rocess. </w:t>
      </w:r>
      <w:r w:rsidR="00967516">
        <w:rPr>
          <w:rStyle w:val="FootnoteReference"/>
          <w:rFonts w:ascii="Arial" w:hAnsi="Arial"/>
          <w:sz w:val="24"/>
          <w:szCs w:val="24"/>
        </w:rPr>
        <w:footnoteReference w:id="2"/>
      </w:r>
      <w:r w:rsidR="00967516" w:rsidRPr="00B257D7">
        <w:rPr>
          <w:rFonts w:ascii="Arial" w:hAnsi="Arial" w:cs="Arial"/>
          <w:sz w:val="24"/>
          <w:szCs w:val="24"/>
        </w:rPr>
        <w:t xml:space="preserve"> </w:t>
      </w:r>
      <w:r w:rsidR="00B03FA7" w:rsidRPr="00B257D7">
        <w:rPr>
          <w:rFonts w:ascii="Arial" w:hAnsi="Arial" w:cs="Arial"/>
          <w:sz w:val="24"/>
          <w:szCs w:val="24"/>
        </w:rPr>
        <w:t xml:space="preserve">Each may be considered </w:t>
      </w:r>
      <w:r w:rsidR="006F2455" w:rsidRPr="00B257D7">
        <w:rPr>
          <w:rFonts w:ascii="Arial" w:hAnsi="Arial" w:cs="Arial"/>
          <w:sz w:val="24"/>
          <w:szCs w:val="24"/>
        </w:rPr>
        <w:t xml:space="preserve">a </w:t>
      </w:r>
      <w:r w:rsidR="00B03FA7" w:rsidRPr="00B257D7">
        <w:rPr>
          <w:rFonts w:ascii="Arial" w:hAnsi="Arial" w:cs="Arial"/>
          <w:sz w:val="24"/>
          <w:szCs w:val="24"/>
        </w:rPr>
        <w:t xml:space="preserve">distinct cause of action, with </w:t>
      </w:r>
      <w:r w:rsidR="00077828" w:rsidRPr="00B257D7">
        <w:rPr>
          <w:rFonts w:ascii="Arial" w:hAnsi="Arial" w:cs="Arial"/>
          <w:sz w:val="24"/>
          <w:szCs w:val="24"/>
        </w:rPr>
        <w:t>its</w:t>
      </w:r>
      <w:r w:rsidR="00B03FA7" w:rsidRPr="00B257D7">
        <w:rPr>
          <w:rFonts w:ascii="Arial" w:hAnsi="Arial" w:cs="Arial"/>
          <w:sz w:val="24"/>
          <w:szCs w:val="24"/>
        </w:rPr>
        <w:t xml:space="preserve"> own legal implications and limitations.</w:t>
      </w:r>
      <w:r w:rsidR="00010B1B" w:rsidRPr="00010B1B">
        <w:t xml:space="preserve"> </w:t>
      </w:r>
      <w:r w:rsidR="00DA0C96" w:rsidRPr="00B257D7">
        <w:rPr>
          <w:rFonts w:ascii="Arial" w:hAnsi="Arial" w:cs="Arial"/>
          <w:sz w:val="24"/>
          <w:szCs w:val="24"/>
        </w:rPr>
        <w:t>Thu</w:t>
      </w:r>
      <w:r w:rsidR="00010B1B" w:rsidRPr="00B257D7">
        <w:rPr>
          <w:rFonts w:ascii="Arial" w:hAnsi="Arial" w:cs="Arial"/>
          <w:sz w:val="24"/>
          <w:szCs w:val="24"/>
        </w:rPr>
        <w:t>s</w:t>
      </w:r>
      <w:r w:rsidR="00DA0C96" w:rsidRPr="00B257D7">
        <w:rPr>
          <w:rFonts w:ascii="Arial" w:hAnsi="Arial" w:cs="Arial"/>
          <w:sz w:val="24"/>
          <w:szCs w:val="24"/>
        </w:rPr>
        <w:t>,</w:t>
      </w:r>
      <w:r w:rsidR="00010B1B" w:rsidRPr="00B257D7">
        <w:rPr>
          <w:rFonts w:ascii="Arial" w:hAnsi="Arial" w:cs="Arial"/>
          <w:sz w:val="24"/>
          <w:szCs w:val="24"/>
        </w:rPr>
        <w:t xml:space="preserve"> in a case of </w:t>
      </w:r>
      <w:r w:rsidR="009D4948" w:rsidRPr="00B257D7">
        <w:rPr>
          <w:rFonts w:ascii="Arial" w:hAnsi="Arial" w:cs="Arial"/>
          <w:sz w:val="24"/>
          <w:szCs w:val="24"/>
        </w:rPr>
        <w:t>unlawful</w:t>
      </w:r>
      <w:r w:rsidR="00010B1B" w:rsidRPr="00B257D7">
        <w:rPr>
          <w:rFonts w:ascii="Arial" w:hAnsi="Arial" w:cs="Arial"/>
          <w:sz w:val="24"/>
          <w:szCs w:val="24"/>
        </w:rPr>
        <w:t xml:space="preserve"> arrest and detention, the debt arises from the moment of his arrest and each day in detention constitutes a new debt as long as the wrongful conduct endures</w:t>
      </w:r>
      <w:r w:rsidR="002511E1" w:rsidRPr="00B257D7">
        <w:rPr>
          <w:rFonts w:ascii="Arial" w:hAnsi="Arial" w:cs="Arial"/>
          <w:sz w:val="24"/>
          <w:szCs w:val="24"/>
        </w:rPr>
        <w:t>.</w:t>
      </w:r>
      <w:r w:rsidR="002E1104">
        <w:rPr>
          <w:rStyle w:val="FootnoteReference"/>
          <w:rFonts w:ascii="Arial" w:hAnsi="Arial"/>
          <w:sz w:val="24"/>
          <w:szCs w:val="24"/>
        </w:rPr>
        <w:footnoteReference w:id="3"/>
      </w:r>
    </w:p>
    <w:p w14:paraId="39C8F701" w14:textId="77777777" w:rsidR="00B03FA7" w:rsidRPr="00B03FA7" w:rsidRDefault="00B03FA7" w:rsidP="002E1104">
      <w:pPr>
        <w:pStyle w:val="ListParagraph"/>
        <w:spacing w:after="360" w:line="360" w:lineRule="auto"/>
        <w:jc w:val="both"/>
        <w:rPr>
          <w:rFonts w:ascii="Arial" w:hAnsi="Arial" w:cs="Arial"/>
          <w:sz w:val="24"/>
          <w:szCs w:val="24"/>
        </w:rPr>
      </w:pPr>
    </w:p>
    <w:p w14:paraId="55FA517D" w14:textId="515E2210" w:rsidR="00B03FA7"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0D3393" w:rsidRPr="00B257D7">
        <w:rPr>
          <w:rFonts w:ascii="Arial" w:hAnsi="Arial" w:cs="Arial"/>
          <w:sz w:val="24"/>
          <w:szCs w:val="24"/>
        </w:rPr>
        <w:t xml:space="preserve">This reinforces that </w:t>
      </w:r>
      <w:r w:rsidR="00B03FA7" w:rsidRPr="00B257D7">
        <w:rPr>
          <w:rFonts w:ascii="Arial" w:hAnsi="Arial" w:cs="Arial"/>
          <w:sz w:val="24"/>
          <w:szCs w:val="24"/>
        </w:rPr>
        <w:t xml:space="preserve">the </w:t>
      </w:r>
      <w:r w:rsidR="004F349C" w:rsidRPr="00B257D7">
        <w:rPr>
          <w:rFonts w:ascii="Arial" w:hAnsi="Arial" w:cs="Arial"/>
          <w:sz w:val="24"/>
          <w:szCs w:val="24"/>
        </w:rPr>
        <w:t>plaintiff</w:t>
      </w:r>
      <w:r w:rsidR="00B03FA7" w:rsidRPr="00B257D7">
        <w:rPr>
          <w:rFonts w:ascii="Arial" w:hAnsi="Arial" w:cs="Arial"/>
          <w:sz w:val="24"/>
          <w:szCs w:val="24"/>
        </w:rPr>
        <w:t xml:space="preserve">'s claim should be </w:t>
      </w:r>
      <w:r w:rsidR="000D3393" w:rsidRPr="00B257D7">
        <w:rPr>
          <w:rFonts w:ascii="Arial" w:hAnsi="Arial" w:cs="Arial"/>
          <w:sz w:val="24"/>
          <w:szCs w:val="24"/>
        </w:rPr>
        <w:t>analysed</w:t>
      </w:r>
      <w:r w:rsidR="00B03FA7" w:rsidRPr="00B257D7">
        <w:rPr>
          <w:rFonts w:ascii="Arial" w:hAnsi="Arial" w:cs="Arial"/>
          <w:sz w:val="24"/>
          <w:szCs w:val="24"/>
        </w:rPr>
        <w:t xml:space="preserve"> as based on </w:t>
      </w:r>
      <w:r w:rsidR="000D3393" w:rsidRPr="00B257D7">
        <w:rPr>
          <w:rFonts w:ascii="Arial" w:hAnsi="Arial" w:cs="Arial"/>
          <w:sz w:val="24"/>
          <w:szCs w:val="24"/>
        </w:rPr>
        <w:t>separate</w:t>
      </w:r>
      <w:r w:rsidR="00B03FA7" w:rsidRPr="00B257D7">
        <w:rPr>
          <w:rFonts w:ascii="Arial" w:hAnsi="Arial" w:cs="Arial"/>
          <w:sz w:val="24"/>
          <w:szCs w:val="24"/>
        </w:rPr>
        <w:t xml:space="preserve"> causes of action, rather than as a single continuous transaction</w:t>
      </w:r>
      <w:r w:rsidR="000D3393" w:rsidRPr="00B257D7">
        <w:rPr>
          <w:rFonts w:ascii="Arial" w:hAnsi="Arial" w:cs="Arial"/>
          <w:sz w:val="24"/>
          <w:szCs w:val="24"/>
        </w:rPr>
        <w:t>.</w:t>
      </w:r>
    </w:p>
    <w:p w14:paraId="7C11BCD2" w14:textId="77777777" w:rsidR="000D3393" w:rsidRPr="000D3393" w:rsidRDefault="000D3393" w:rsidP="000D3393">
      <w:pPr>
        <w:pStyle w:val="ListParagraph"/>
        <w:rPr>
          <w:rFonts w:ascii="Arial" w:hAnsi="Arial" w:cs="Arial"/>
          <w:sz w:val="24"/>
          <w:szCs w:val="24"/>
        </w:rPr>
      </w:pPr>
    </w:p>
    <w:p w14:paraId="44928C6B" w14:textId="7FD55E84" w:rsidR="000D6D7F" w:rsidRPr="00B257D7" w:rsidRDefault="00B257D7" w:rsidP="00B257D7">
      <w:pPr>
        <w:spacing w:after="360" w:line="360" w:lineRule="auto"/>
        <w:ind w:left="720" w:hanging="720"/>
        <w:jc w:val="both"/>
        <w:rPr>
          <w:rFonts w:ascii="Arial" w:hAnsi="Arial" w:cs="Arial"/>
          <w:sz w:val="24"/>
          <w:szCs w:val="24"/>
        </w:rPr>
      </w:pPr>
      <w:r w:rsidRPr="00943FED">
        <w:rPr>
          <w:rFonts w:ascii="Arial" w:hAnsi="Arial" w:cs="Arial"/>
          <w:sz w:val="24"/>
          <w:szCs w:val="24"/>
        </w:rPr>
        <w:t>[30.]</w:t>
      </w:r>
      <w:r w:rsidRPr="00943FED">
        <w:rPr>
          <w:rFonts w:ascii="Arial" w:hAnsi="Arial" w:cs="Arial"/>
          <w:sz w:val="24"/>
          <w:szCs w:val="24"/>
        </w:rPr>
        <w:tab/>
      </w:r>
      <w:r w:rsidR="00311F64" w:rsidRPr="00B257D7">
        <w:rPr>
          <w:rFonts w:ascii="Arial" w:hAnsi="Arial" w:cs="Arial"/>
          <w:sz w:val="24"/>
          <w:szCs w:val="24"/>
        </w:rPr>
        <w:t xml:space="preserve">The position would be </w:t>
      </w:r>
      <w:r w:rsidR="00695B8C" w:rsidRPr="00B257D7">
        <w:rPr>
          <w:rFonts w:ascii="Arial" w:hAnsi="Arial" w:cs="Arial"/>
          <w:sz w:val="24"/>
          <w:szCs w:val="24"/>
        </w:rPr>
        <w:t>different</w:t>
      </w:r>
      <w:r w:rsidR="00311F64" w:rsidRPr="00B257D7">
        <w:rPr>
          <w:rFonts w:ascii="Arial" w:hAnsi="Arial" w:cs="Arial"/>
          <w:sz w:val="24"/>
          <w:szCs w:val="24"/>
        </w:rPr>
        <w:t xml:space="preserve"> had the </w:t>
      </w:r>
      <w:r w:rsidR="004F349C" w:rsidRPr="00B257D7">
        <w:rPr>
          <w:rFonts w:ascii="Arial" w:hAnsi="Arial" w:cs="Arial"/>
          <w:sz w:val="24"/>
          <w:szCs w:val="24"/>
        </w:rPr>
        <w:t>Plaintiff</w:t>
      </w:r>
      <w:r w:rsidR="00311F64" w:rsidRPr="00B257D7">
        <w:rPr>
          <w:rFonts w:ascii="Arial" w:hAnsi="Arial" w:cs="Arial"/>
          <w:sz w:val="24"/>
          <w:szCs w:val="24"/>
        </w:rPr>
        <w:t xml:space="preserve"> pleaded </w:t>
      </w:r>
      <w:r w:rsidR="00416E90" w:rsidRPr="00B257D7">
        <w:rPr>
          <w:rFonts w:ascii="Arial" w:hAnsi="Arial" w:cs="Arial"/>
          <w:sz w:val="24"/>
          <w:szCs w:val="24"/>
        </w:rPr>
        <w:t>malicious arrest</w:t>
      </w:r>
      <w:r w:rsidR="003C0F47" w:rsidRPr="00B257D7">
        <w:rPr>
          <w:rFonts w:ascii="Arial" w:hAnsi="Arial" w:cs="Arial"/>
          <w:sz w:val="24"/>
          <w:szCs w:val="24"/>
        </w:rPr>
        <w:t xml:space="preserve"> </w:t>
      </w:r>
      <w:r w:rsidR="00130D58" w:rsidRPr="00B257D7">
        <w:rPr>
          <w:rFonts w:ascii="Arial" w:hAnsi="Arial" w:cs="Arial"/>
          <w:sz w:val="24"/>
          <w:szCs w:val="24"/>
        </w:rPr>
        <w:t>or</w:t>
      </w:r>
      <w:r w:rsidR="008F1456" w:rsidRPr="00B257D7">
        <w:rPr>
          <w:rFonts w:ascii="Arial" w:hAnsi="Arial" w:cs="Arial"/>
          <w:sz w:val="24"/>
          <w:szCs w:val="24"/>
        </w:rPr>
        <w:t xml:space="preserve"> </w:t>
      </w:r>
      <w:r w:rsidR="00130D58" w:rsidRPr="00B257D7">
        <w:rPr>
          <w:rFonts w:ascii="Arial" w:hAnsi="Arial" w:cs="Arial"/>
          <w:sz w:val="24"/>
          <w:szCs w:val="24"/>
        </w:rPr>
        <w:t>dep</w:t>
      </w:r>
      <w:r w:rsidR="00F75ED0" w:rsidRPr="00B257D7">
        <w:rPr>
          <w:rFonts w:ascii="Arial" w:hAnsi="Arial" w:cs="Arial"/>
          <w:sz w:val="24"/>
          <w:szCs w:val="24"/>
        </w:rPr>
        <w:t xml:space="preserve">ravation of liberty </w:t>
      </w:r>
      <w:r w:rsidR="003C0F47" w:rsidRPr="00B257D7">
        <w:rPr>
          <w:rFonts w:ascii="Arial" w:hAnsi="Arial" w:cs="Arial"/>
          <w:sz w:val="24"/>
          <w:szCs w:val="24"/>
        </w:rPr>
        <w:t>which differs</w:t>
      </w:r>
      <w:r w:rsidR="00130D58" w:rsidRPr="00B257D7">
        <w:rPr>
          <w:rFonts w:ascii="Arial" w:hAnsi="Arial" w:cs="Arial"/>
          <w:sz w:val="24"/>
          <w:szCs w:val="24"/>
        </w:rPr>
        <w:t xml:space="preserve"> from unlawful arrest or depravation</w:t>
      </w:r>
      <w:r w:rsidR="001C2AEB" w:rsidRPr="00B257D7">
        <w:rPr>
          <w:rFonts w:ascii="Arial" w:hAnsi="Arial" w:cs="Arial"/>
          <w:sz w:val="24"/>
          <w:szCs w:val="24"/>
        </w:rPr>
        <w:t xml:space="preserve">. </w:t>
      </w:r>
      <w:r w:rsidR="003519CA" w:rsidRPr="00B257D7">
        <w:rPr>
          <w:rFonts w:ascii="Arial" w:hAnsi="Arial" w:cs="Arial"/>
          <w:sz w:val="24"/>
          <w:szCs w:val="24"/>
        </w:rPr>
        <w:t>In instances of</w:t>
      </w:r>
      <w:r w:rsidR="001C2AEB" w:rsidRPr="00B257D7">
        <w:rPr>
          <w:rFonts w:ascii="Arial" w:hAnsi="Arial" w:cs="Arial"/>
          <w:sz w:val="24"/>
          <w:szCs w:val="24"/>
        </w:rPr>
        <w:t xml:space="preserve"> </w:t>
      </w:r>
      <w:r w:rsidR="003B4F77" w:rsidRPr="00B257D7">
        <w:rPr>
          <w:rFonts w:ascii="Arial" w:hAnsi="Arial" w:cs="Arial"/>
          <w:sz w:val="24"/>
          <w:szCs w:val="24"/>
        </w:rPr>
        <w:t>unlawful</w:t>
      </w:r>
      <w:r w:rsidR="001C2AEB" w:rsidRPr="00B257D7">
        <w:rPr>
          <w:rFonts w:ascii="Arial" w:hAnsi="Arial" w:cs="Arial"/>
          <w:sz w:val="24"/>
          <w:szCs w:val="24"/>
        </w:rPr>
        <w:t xml:space="preserve"> arrest or depravation</w:t>
      </w:r>
      <w:r w:rsidR="00964780" w:rsidRPr="00B257D7">
        <w:rPr>
          <w:rFonts w:ascii="Arial" w:hAnsi="Arial" w:cs="Arial"/>
          <w:sz w:val="24"/>
          <w:szCs w:val="24"/>
        </w:rPr>
        <w:t>,</w:t>
      </w:r>
      <w:r w:rsidR="001C2AEB" w:rsidRPr="00B257D7">
        <w:rPr>
          <w:rFonts w:ascii="Arial" w:hAnsi="Arial" w:cs="Arial"/>
          <w:sz w:val="24"/>
          <w:szCs w:val="24"/>
        </w:rPr>
        <w:t xml:space="preserve"> </w:t>
      </w:r>
      <w:r w:rsidR="003519CA" w:rsidRPr="00B257D7">
        <w:rPr>
          <w:rFonts w:ascii="Arial" w:hAnsi="Arial" w:cs="Arial"/>
          <w:sz w:val="24"/>
          <w:szCs w:val="24"/>
        </w:rPr>
        <w:t>t</w:t>
      </w:r>
      <w:r w:rsidR="00DE1D7A" w:rsidRPr="00B257D7">
        <w:rPr>
          <w:rFonts w:ascii="Arial" w:hAnsi="Arial" w:cs="Arial"/>
          <w:sz w:val="24"/>
          <w:szCs w:val="24"/>
        </w:rPr>
        <w:t xml:space="preserve">he </w:t>
      </w:r>
      <w:r w:rsidR="004F349C" w:rsidRPr="00B257D7">
        <w:rPr>
          <w:rFonts w:ascii="Arial" w:hAnsi="Arial" w:cs="Arial"/>
          <w:sz w:val="24"/>
          <w:szCs w:val="24"/>
        </w:rPr>
        <w:t>defendant</w:t>
      </w:r>
      <w:r w:rsidR="00DE1D7A" w:rsidRPr="00B257D7">
        <w:rPr>
          <w:rFonts w:ascii="Arial" w:hAnsi="Arial" w:cs="Arial"/>
          <w:sz w:val="24"/>
          <w:szCs w:val="24"/>
        </w:rPr>
        <w:t xml:space="preserve"> or someone acting on their behalf unjustifiably causes the </w:t>
      </w:r>
      <w:r w:rsidR="00461066" w:rsidRPr="00B257D7">
        <w:rPr>
          <w:rFonts w:ascii="Arial" w:hAnsi="Arial" w:cs="Arial"/>
          <w:sz w:val="24"/>
          <w:szCs w:val="24"/>
        </w:rPr>
        <w:t>deprivation;</w:t>
      </w:r>
      <w:r w:rsidR="00DE1D7A" w:rsidRPr="00B257D7">
        <w:rPr>
          <w:rFonts w:ascii="Arial" w:hAnsi="Arial" w:cs="Arial"/>
          <w:sz w:val="24"/>
          <w:szCs w:val="24"/>
        </w:rPr>
        <w:t xml:space="preserve"> malicious deprivation of liberty occurs under the </w:t>
      </w:r>
      <w:r w:rsidR="00461066" w:rsidRPr="00B257D7">
        <w:rPr>
          <w:rFonts w:ascii="Arial" w:hAnsi="Arial" w:cs="Arial"/>
          <w:sz w:val="24"/>
          <w:szCs w:val="24"/>
        </w:rPr>
        <w:t>pretence</w:t>
      </w:r>
      <w:r w:rsidR="00DE1D7A" w:rsidRPr="00B257D7">
        <w:rPr>
          <w:rFonts w:ascii="Arial" w:hAnsi="Arial" w:cs="Arial"/>
          <w:sz w:val="24"/>
          <w:szCs w:val="24"/>
        </w:rPr>
        <w:t xml:space="preserve"> of a legitimate judicial process</w:t>
      </w:r>
      <w:r w:rsidR="00BA267C" w:rsidRPr="00B257D7">
        <w:rPr>
          <w:rFonts w:ascii="Arial" w:hAnsi="Arial" w:cs="Arial"/>
          <w:sz w:val="24"/>
          <w:szCs w:val="24"/>
        </w:rPr>
        <w:t xml:space="preserve"> where an abuse of state </w:t>
      </w:r>
      <w:r w:rsidR="00CC0EA5" w:rsidRPr="00B257D7">
        <w:rPr>
          <w:rFonts w:ascii="Arial" w:hAnsi="Arial" w:cs="Arial"/>
          <w:sz w:val="24"/>
          <w:szCs w:val="24"/>
        </w:rPr>
        <w:t xml:space="preserve">legal mechanisms to deprive a </w:t>
      </w:r>
      <w:r w:rsidR="004F349C" w:rsidRPr="00B257D7">
        <w:rPr>
          <w:rFonts w:ascii="Arial" w:hAnsi="Arial" w:cs="Arial"/>
          <w:sz w:val="24"/>
          <w:szCs w:val="24"/>
        </w:rPr>
        <w:t>plaintiff</w:t>
      </w:r>
      <w:r w:rsidR="00CC0EA5" w:rsidRPr="00B257D7">
        <w:rPr>
          <w:rFonts w:ascii="Arial" w:hAnsi="Arial" w:cs="Arial"/>
          <w:sz w:val="24"/>
          <w:szCs w:val="24"/>
        </w:rPr>
        <w:t xml:space="preserve"> of their liberty. </w:t>
      </w:r>
      <w:r w:rsidR="00136DE5" w:rsidRPr="00B257D7">
        <w:rPr>
          <w:rFonts w:ascii="Arial" w:hAnsi="Arial" w:cs="Arial"/>
          <w:sz w:val="24"/>
          <w:szCs w:val="24"/>
        </w:rPr>
        <w:t>Therefore malicious depravation</w:t>
      </w:r>
      <w:r w:rsidR="006F5A10" w:rsidRPr="00B257D7">
        <w:rPr>
          <w:rFonts w:ascii="Arial" w:hAnsi="Arial" w:cs="Arial"/>
          <w:sz w:val="24"/>
          <w:szCs w:val="24"/>
        </w:rPr>
        <w:t xml:space="preserve"> is</w:t>
      </w:r>
      <w:r w:rsidR="007609C7" w:rsidRPr="00B257D7">
        <w:rPr>
          <w:rFonts w:ascii="Arial" w:hAnsi="Arial" w:cs="Arial"/>
          <w:sz w:val="24"/>
          <w:szCs w:val="24"/>
        </w:rPr>
        <w:t xml:space="preserve"> </w:t>
      </w:r>
      <w:r w:rsidR="00607255" w:rsidRPr="00B257D7">
        <w:rPr>
          <w:rFonts w:ascii="Arial" w:hAnsi="Arial" w:cs="Arial"/>
          <w:sz w:val="24"/>
          <w:szCs w:val="24"/>
        </w:rPr>
        <w:t xml:space="preserve">executed, not by the </w:t>
      </w:r>
      <w:r w:rsidR="004F349C" w:rsidRPr="00B257D7">
        <w:rPr>
          <w:rFonts w:ascii="Arial" w:hAnsi="Arial" w:cs="Arial"/>
          <w:sz w:val="24"/>
          <w:szCs w:val="24"/>
        </w:rPr>
        <w:t>defendant</w:t>
      </w:r>
      <w:r w:rsidR="006F5A10" w:rsidRPr="00B257D7">
        <w:rPr>
          <w:rFonts w:ascii="Arial" w:hAnsi="Arial" w:cs="Arial"/>
          <w:sz w:val="24"/>
          <w:szCs w:val="24"/>
        </w:rPr>
        <w:t>,</w:t>
      </w:r>
      <w:r w:rsidR="00607255" w:rsidRPr="00B257D7">
        <w:rPr>
          <w:rFonts w:ascii="Arial" w:hAnsi="Arial" w:cs="Arial"/>
          <w:sz w:val="24"/>
          <w:szCs w:val="24"/>
        </w:rPr>
        <w:t xml:space="preserve"> but </w:t>
      </w:r>
      <w:r w:rsidR="006E670C" w:rsidRPr="00B257D7">
        <w:rPr>
          <w:rFonts w:ascii="Arial" w:hAnsi="Arial" w:cs="Arial"/>
          <w:sz w:val="24"/>
          <w:szCs w:val="24"/>
        </w:rPr>
        <w:t>through the mechanisms of</w:t>
      </w:r>
      <w:r w:rsidR="007609C7" w:rsidRPr="00B257D7">
        <w:rPr>
          <w:rFonts w:ascii="Arial" w:hAnsi="Arial" w:cs="Arial"/>
          <w:sz w:val="24"/>
          <w:szCs w:val="24"/>
        </w:rPr>
        <w:t xml:space="preserve"> the state through a valid judicial process</w:t>
      </w:r>
      <w:r w:rsidR="00461066" w:rsidRPr="00B257D7">
        <w:rPr>
          <w:rFonts w:ascii="Arial" w:hAnsi="Arial" w:cs="Arial"/>
          <w:sz w:val="24"/>
          <w:szCs w:val="24"/>
        </w:rPr>
        <w:t>.</w:t>
      </w:r>
      <w:r w:rsidR="00167355" w:rsidRPr="00B257D7">
        <w:rPr>
          <w:rFonts w:ascii="Arial" w:hAnsi="Arial" w:cs="Arial"/>
          <w:sz w:val="24"/>
          <w:szCs w:val="24"/>
        </w:rPr>
        <w:t xml:space="preserve"> Similar to</w:t>
      </w:r>
      <w:r w:rsidR="00964780" w:rsidRPr="00B257D7">
        <w:rPr>
          <w:rFonts w:ascii="Arial" w:hAnsi="Arial" w:cs="Arial"/>
          <w:sz w:val="24"/>
          <w:szCs w:val="24"/>
        </w:rPr>
        <w:t xml:space="preserve"> malicious </w:t>
      </w:r>
      <w:r w:rsidR="00513F4B" w:rsidRPr="00B257D7">
        <w:rPr>
          <w:rFonts w:ascii="Arial" w:hAnsi="Arial" w:cs="Arial"/>
          <w:sz w:val="24"/>
          <w:szCs w:val="24"/>
        </w:rPr>
        <w:t>prosecution</w:t>
      </w:r>
      <w:r w:rsidR="006C1589" w:rsidRPr="00B257D7">
        <w:rPr>
          <w:rFonts w:ascii="Arial" w:hAnsi="Arial" w:cs="Arial"/>
          <w:sz w:val="24"/>
          <w:szCs w:val="24"/>
        </w:rPr>
        <w:t xml:space="preserve">, </w:t>
      </w:r>
      <w:r w:rsidR="00DE37B9" w:rsidRPr="00B257D7">
        <w:rPr>
          <w:rFonts w:ascii="Arial" w:hAnsi="Arial" w:cs="Arial"/>
          <w:sz w:val="24"/>
          <w:szCs w:val="24"/>
        </w:rPr>
        <w:t xml:space="preserve">The </w:t>
      </w:r>
      <w:r w:rsidR="004F349C" w:rsidRPr="00B257D7">
        <w:rPr>
          <w:rFonts w:ascii="Arial" w:hAnsi="Arial" w:cs="Arial"/>
          <w:sz w:val="24"/>
          <w:szCs w:val="24"/>
        </w:rPr>
        <w:t>plaintiff</w:t>
      </w:r>
      <w:r w:rsidR="00DE37B9" w:rsidRPr="00B257D7">
        <w:rPr>
          <w:rFonts w:ascii="Arial" w:hAnsi="Arial" w:cs="Arial"/>
          <w:sz w:val="24"/>
          <w:szCs w:val="24"/>
        </w:rPr>
        <w:t xml:space="preserve"> would have to</w:t>
      </w:r>
      <w:r w:rsidR="00787C7F" w:rsidRPr="00B257D7">
        <w:rPr>
          <w:rFonts w:ascii="Arial" w:hAnsi="Arial" w:cs="Arial"/>
          <w:sz w:val="24"/>
          <w:szCs w:val="24"/>
        </w:rPr>
        <w:t xml:space="preserve"> allege and</w:t>
      </w:r>
      <w:r w:rsidR="00DE37B9" w:rsidRPr="00B257D7">
        <w:rPr>
          <w:rFonts w:ascii="Arial" w:hAnsi="Arial" w:cs="Arial"/>
          <w:sz w:val="24"/>
          <w:szCs w:val="24"/>
        </w:rPr>
        <w:t xml:space="preserve"> prove that the </w:t>
      </w:r>
      <w:r w:rsidR="004F349C" w:rsidRPr="00B257D7">
        <w:rPr>
          <w:rFonts w:ascii="Arial" w:hAnsi="Arial" w:cs="Arial"/>
          <w:sz w:val="24"/>
          <w:szCs w:val="24"/>
        </w:rPr>
        <w:t>defendant</w:t>
      </w:r>
      <w:r w:rsidR="00DE37B9" w:rsidRPr="00B257D7">
        <w:rPr>
          <w:rFonts w:ascii="Arial" w:hAnsi="Arial" w:cs="Arial"/>
          <w:sz w:val="24"/>
          <w:szCs w:val="24"/>
        </w:rPr>
        <w:t xml:space="preserve"> initiated this deprivation without reasonable</w:t>
      </w:r>
      <w:r w:rsidR="00EA3E1C" w:rsidRPr="00B257D7">
        <w:rPr>
          <w:rFonts w:ascii="Arial" w:hAnsi="Arial" w:cs="Arial"/>
          <w:sz w:val="24"/>
          <w:szCs w:val="24"/>
        </w:rPr>
        <w:t xml:space="preserve"> and probable</w:t>
      </w:r>
      <w:r w:rsidR="00DE37B9" w:rsidRPr="00B257D7">
        <w:rPr>
          <w:rFonts w:ascii="Arial" w:hAnsi="Arial" w:cs="Arial"/>
          <w:sz w:val="24"/>
          <w:szCs w:val="24"/>
        </w:rPr>
        <w:t xml:space="preserve"> cause and with malicious intent. If the deprivation leads to a criminal prosecution, the </w:t>
      </w:r>
      <w:r w:rsidR="004F349C" w:rsidRPr="00B257D7">
        <w:rPr>
          <w:rFonts w:ascii="Arial" w:hAnsi="Arial" w:cs="Arial"/>
          <w:sz w:val="24"/>
          <w:szCs w:val="24"/>
        </w:rPr>
        <w:t>plaintiff</w:t>
      </w:r>
      <w:r w:rsidR="00DE37B9" w:rsidRPr="00B257D7">
        <w:rPr>
          <w:rFonts w:ascii="Arial" w:hAnsi="Arial" w:cs="Arial"/>
          <w:sz w:val="24"/>
          <w:szCs w:val="24"/>
        </w:rPr>
        <w:t xml:space="preserve"> must also show that the prosecution failed to succeed in their claim.</w:t>
      </w:r>
      <w:r w:rsidR="00A254F6" w:rsidRPr="00B257D7">
        <w:rPr>
          <w:rStyle w:val="FootnoteReference"/>
          <w:rFonts w:ascii="Arial" w:hAnsi="Arial"/>
          <w:sz w:val="24"/>
          <w:szCs w:val="24"/>
        </w:rPr>
        <w:t xml:space="preserve"> </w:t>
      </w:r>
      <w:r w:rsidR="00A254F6">
        <w:rPr>
          <w:rStyle w:val="FootnoteReference"/>
          <w:rFonts w:ascii="Arial" w:hAnsi="Arial"/>
          <w:sz w:val="24"/>
          <w:szCs w:val="24"/>
        </w:rPr>
        <w:footnoteReference w:id="4"/>
      </w:r>
    </w:p>
    <w:p w14:paraId="4521AC5A" w14:textId="77777777" w:rsidR="000D6D7F" w:rsidRPr="000D6D7F" w:rsidRDefault="000D6D7F" w:rsidP="000D6D7F">
      <w:pPr>
        <w:pStyle w:val="ListParagraph"/>
        <w:rPr>
          <w:rFonts w:ascii="Arial" w:hAnsi="Arial" w:cs="Arial"/>
          <w:sz w:val="24"/>
          <w:szCs w:val="24"/>
        </w:rPr>
      </w:pPr>
    </w:p>
    <w:p w14:paraId="7704FC4D" w14:textId="4590CED9" w:rsidR="000D6D7F"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0D6D7F" w:rsidRPr="00B257D7">
        <w:rPr>
          <w:rFonts w:ascii="Arial" w:hAnsi="Arial" w:cs="Arial"/>
          <w:sz w:val="24"/>
          <w:szCs w:val="24"/>
        </w:rPr>
        <w:t xml:space="preserve">For the arrest and detention of the </w:t>
      </w:r>
      <w:r w:rsidR="007C634C" w:rsidRPr="00B257D7">
        <w:rPr>
          <w:rFonts w:ascii="Arial" w:hAnsi="Arial" w:cs="Arial"/>
          <w:sz w:val="24"/>
          <w:szCs w:val="24"/>
        </w:rPr>
        <w:t>p</w:t>
      </w:r>
      <w:r w:rsidR="004F349C" w:rsidRPr="00B257D7">
        <w:rPr>
          <w:rFonts w:ascii="Arial" w:hAnsi="Arial" w:cs="Arial"/>
          <w:sz w:val="24"/>
          <w:szCs w:val="24"/>
        </w:rPr>
        <w:t>laintiff</w:t>
      </w:r>
      <w:r w:rsidR="000D6D7F" w:rsidRPr="00B257D7">
        <w:rPr>
          <w:rFonts w:ascii="Arial" w:hAnsi="Arial" w:cs="Arial"/>
          <w:sz w:val="24"/>
          <w:szCs w:val="24"/>
        </w:rPr>
        <w:t xml:space="preserve"> to be considered a continuous transaction, </w:t>
      </w:r>
      <w:r w:rsidR="009F182B" w:rsidRPr="00B257D7">
        <w:rPr>
          <w:rFonts w:ascii="Arial" w:hAnsi="Arial" w:cs="Arial"/>
          <w:i/>
          <w:iCs/>
          <w:sz w:val="24"/>
          <w:szCs w:val="24"/>
        </w:rPr>
        <w:t>viz</w:t>
      </w:r>
      <w:r w:rsidR="000D6D7F" w:rsidRPr="00B257D7">
        <w:rPr>
          <w:rFonts w:ascii="Arial" w:hAnsi="Arial" w:cs="Arial"/>
          <w:sz w:val="24"/>
          <w:szCs w:val="24"/>
        </w:rPr>
        <w:t>, a continuous wrong from the arrest to the conclusion of criminal proceedings, the</w:t>
      </w:r>
      <w:r w:rsidR="000D7618" w:rsidRPr="00B257D7">
        <w:rPr>
          <w:rFonts w:ascii="Arial" w:hAnsi="Arial" w:cs="Arial"/>
          <w:sz w:val="24"/>
          <w:szCs w:val="24"/>
        </w:rPr>
        <w:t xml:space="preserve"> p</w:t>
      </w:r>
      <w:r w:rsidR="004F349C" w:rsidRPr="00B257D7">
        <w:rPr>
          <w:rFonts w:ascii="Arial" w:hAnsi="Arial" w:cs="Arial"/>
          <w:sz w:val="24"/>
          <w:szCs w:val="24"/>
        </w:rPr>
        <w:t>laintiff</w:t>
      </w:r>
      <w:r w:rsidR="000D6D7F" w:rsidRPr="00B257D7">
        <w:rPr>
          <w:rFonts w:ascii="Arial" w:hAnsi="Arial" w:cs="Arial"/>
          <w:sz w:val="24"/>
          <w:szCs w:val="24"/>
        </w:rPr>
        <w:t xml:space="preserve"> would have needed to allege or plead the elements necessary for malice and lack of reasonable and probable cause. However, the </w:t>
      </w:r>
      <w:r w:rsidR="000D7618" w:rsidRPr="00B257D7">
        <w:rPr>
          <w:rFonts w:ascii="Arial" w:hAnsi="Arial" w:cs="Arial"/>
          <w:sz w:val="24"/>
          <w:szCs w:val="24"/>
        </w:rPr>
        <w:t>p</w:t>
      </w:r>
      <w:r w:rsidR="004F349C" w:rsidRPr="00B257D7">
        <w:rPr>
          <w:rFonts w:ascii="Arial" w:hAnsi="Arial" w:cs="Arial"/>
          <w:sz w:val="24"/>
          <w:szCs w:val="24"/>
        </w:rPr>
        <w:t>laintiff</w:t>
      </w:r>
      <w:r w:rsidR="000D6D7F" w:rsidRPr="00B257D7">
        <w:rPr>
          <w:rFonts w:ascii="Arial" w:hAnsi="Arial" w:cs="Arial"/>
          <w:sz w:val="24"/>
          <w:szCs w:val="24"/>
        </w:rPr>
        <w:t xml:space="preserve"> presented his case for unlawful arrest and detention separately and distinctly, without any allegations of malice or animus </w:t>
      </w:r>
      <w:r w:rsidR="000D6D7F" w:rsidRPr="00B257D7">
        <w:rPr>
          <w:rFonts w:ascii="Arial" w:hAnsi="Arial" w:cs="Arial"/>
          <w:i/>
          <w:iCs/>
          <w:sz w:val="24"/>
          <w:szCs w:val="24"/>
        </w:rPr>
        <w:t>iniuriandi</w:t>
      </w:r>
      <w:r w:rsidR="000D6D7F" w:rsidRPr="00B257D7">
        <w:rPr>
          <w:rFonts w:ascii="Arial" w:hAnsi="Arial" w:cs="Arial"/>
          <w:sz w:val="24"/>
          <w:szCs w:val="24"/>
        </w:rPr>
        <w:t>, unlike his claim for malicious prosecution where he specifically pleaded the relevant elements.</w:t>
      </w:r>
    </w:p>
    <w:p w14:paraId="36F3B808" w14:textId="77777777" w:rsidR="00943FED" w:rsidRPr="00943FED" w:rsidRDefault="00943FED" w:rsidP="00943FED">
      <w:pPr>
        <w:pStyle w:val="ListParagraph"/>
        <w:rPr>
          <w:rFonts w:ascii="Arial" w:hAnsi="Arial" w:cs="Arial"/>
          <w:sz w:val="24"/>
          <w:szCs w:val="24"/>
        </w:rPr>
      </w:pPr>
    </w:p>
    <w:p w14:paraId="34B24AFE" w14:textId="6F3011D7" w:rsidR="00943FED"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943FED" w:rsidRPr="00B257D7">
        <w:rPr>
          <w:rFonts w:ascii="Arial" w:hAnsi="Arial" w:cs="Arial"/>
          <w:sz w:val="24"/>
          <w:szCs w:val="24"/>
        </w:rPr>
        <w:t>Therefore, the</w:t>
      </w:r>
      <w:r w:rsidR="00A0276C" w:rsidRPr="00B257D7">
        <w:rPr>
          <w:rFonts w:ascii="Arial" w:hAnsi="Arial" w:cs="Arial"/>
          <w:sz w:val="24"/>
          <w:szCs w:val="24"/>
        </w:rPr>
        <w:t xml:space="preserve"> </w:t>
      </w:r>
      <w:r w:rsidR="004F349C" w:rsidRPr="00B257D7">
        <w:rPr>
          <w:rFonts w:ascii="Arial" w:hAnsi="Arial" w:cs="Arial"/>
          <w:sz w:val="24"/>
          <w:szCs w:val="24"/>
        </w:rPr>
        <w:t>Plaintiff</w:t>
      </w:r>
      <w:r w:rsidR="00DB390C" w:rsidRPr="00B257D7">
        <w:rPr>
          <w:rFonts w:ascii="Arial" w:hAnsi="Arial" w:cs="Arial"/>
          <w:sz w:val="24"/>
          <w:szCs w:val="24"/>
        </w:rPr>
        <w:t>’s</w:t>
      </w:r>
      <w:r w:rsidR="00943FED" w:rsidRPr="00B257D7">
        <w:rPr>
          <w:rFonts w:ascii="Arial" w:hAnsi="Arial" w:cs="Arial"/>
          <w:sz w:val="24"/>
          <w:szCs w:val="24"/>
        </w:rPr>
        <w:t xml:space="preserve"> claims for unlawful arrest and detention do not constitute a </w:t>
      </w:r>
      <w:r w:rsidR="00A0276C" w:rsidRPr="00B257D7">
        <w:rPr>
          <w:rFonts w:ascii="Arial" w:hAnsi="Arial" w:cs="Arial"/>
          <w:sz w:val="24"/>
          <w:szCs w:val="24"/>
        </w:rPr>
        <w:t>continuous</w:t>
      </w:r>
      <w:r w:rsidR="00943FED" w:rsidRPr="00B257D7">
        <w:rPr>
          <w:rFonts w:ascii="Arial" w:hAnsi="Arial" w:cs="Arial"/>
          <w:sz w:val="24"/>
          <w:szCs w:val="24"/>
        </w:rPr>
        <w:t xml:space="preserve"> wrong. </w:t>
      </w:r>
    </w:p>
    <w:p w14:paraId="59DB7869" w14:textId="77777777" w:rsidR="007D69C7" w:rsidRPr="007D69C7" w:rsidRDefault="007D69C7" w:rsidP="007D69C7">
      <w:pPr>
        <w:pStyle w:val="ListParagraph"/>
        <w:rPr>
          <w:rFonts w:ascii="Arial" w:hAnsi="Arial" w:cs="Arial"/>
          <w:sz w:val="24"/>
          <w:szCs w:val="24"/>
        </w:rPr>
      </w:pPr>
    </w:p>
    <w:p w14:paraId="7D3AF525" w14:textId="77777777" w:rsidR="007D69C7" w:rsidRPr="000D6D7F" w:rsidRDefault="007D69C7" w:rsidP="007D69C7">
      <w:pPr>
        <w:pStyle w:val="ListParagraph"/>
        <w:spacing w:after="360" w:line="360" w:lineRule="auto"/>
        <w:jc w:val="both"/>
        <w:rPr>
          <w:rFonts w:ascii="Arial" w:hAnsi="Arial" w:cs="Arial"/>
          <w:sz w:val="24"/>
          <w:szCs w:val="24"/>
        </w:rPr>
      </w:pPr>
    </w:p>
    <w:p w14:paraId="678B586A" w14:textId="77777777" w:rsidR="000D6D7F" w:rsidRDefault="000D6D7F" w:rsidP="000D6D7F">
      <w:pPr>
        <w:pStyle w:val="ListParagraph"/>
        <w:spacing w:after="360" w:line="360" w:lineRule="auto"/>
        <w:jc w:val="both"/>
        <w:rPr>
          <w:rFonts w:ascii="Arial" w:hAnsi="Arial" w:cs="Arial"/>
          <w:sz w:val="24"/>
          <w:szCs w:val="24"/>
        </w:rPr>
      </w:pPr>
    </w:p>
    <w:p w14:paraId="6774F829" w14:textId="27B48F57" w:rsidR="00B520B6" w:rsidRDefault="0039448A" w:rsidP="00B520B6">
      <w:pPr>
        <w:pStyle w:val="ListParagraph"/>
        <w:rPr>
          <w:rFonts w:ascii="Arial" w:hAnsi="Arial" w:cs="Arial"/>
          <w:sz w:val="24"/>
          <w:szCs w:val="24"/>
          <w:u w:val="single"/>
        </w:rPr>
      </w:pPr>
      <w:r>
        <w:rPr>
          <w:rFonts w:ascii="Arial" w:hAnsi="Arial" w:cs="Arial"/>
          <w:sz w:val="24"/>
          <w:szCs w:val="24"/>
        </w:rPr>
        <w:t xml:space="preserve">ii. </w:t>
      </w:r>
      <w:r w:rsidRPr="0039448A">
        <w:rPr>
          <w:rFonts w:ascii="Arial" w:hAnsi="Arial" w:cs="Arial"/>
          <w:sz w:val="24"/>
          <w:szCs w:val="24"/>
          <w:u w:val="single"/>
        </w:rPr>
        <w:t>Section 12(3) of the Prescription Act</w:t>
      </w:r>
    </w:p>
    <w:p w14:paraId="710864B6" w14:textId="77777777" w:rsidR="0039448A" w:rsidRPr="00B520B6" w:rsidRDefault="0039448A" w:rsidP="00B520B6">
      <w:pPr>
        <w:pStyle w:val="ListParagraph"/>
        <w:rPr>
          <w:rFonts w:ascii="Arial" w:hAnsi="Arial" w:cs="Arial"/>
          <w:sz w:val="24"/>
          <w:szCs w:val="24"/>
        </w:rPr>
      </w:pPr>
    </w:p>
    <w:p w14:paraId="5238446E" w14:textId="13463FFE" w:rsidR="00E45478"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45478" w:rsidRPr="00B257D7">
        <w:rPr>
          <w:rFonts w:ascii="Arial" w:hAnsi="Arial" w:cs="Arial"/>
          <w:sz w:val="24"/>
          <w:szCs w:val="24"/>
        </w:rPr>
        <w:t xml:space="preserve">The </w:t>
      </w:r>
      <w:r w:rsidR="000D7618" w:rsidRPr="00B257D7">
        <w:rPr>
          <w:rFonts w:ascii="Arial" w:hAnsi="Arial" w:cs="Arial"/>
          <w:sz w:val="24"/>
          <w:szCs w:val="24"/>
        </w:rPr>
        <w:t>p</w:t>
      </w:r>
      <w:r w:rsidR="004F349C" w:rsidRPr="00B257D7">
        <w:rPr>
          <w:rFonts w:ascii="Arial" w:hAnsi="Arial" w:cs="Arial"/>
          <w:sz w:val="24"/>
          <w:szCs w:val="24"/>
        </w:rPr>
        <w:t>laintiff</w:t>
      </w:r>
      <w:r w:rsidR="00E45478" w:rsidRPr="00B257D7">
        <w:rPr>
          <w:rFonts w:ascii="Arial" w:hAnsi="Arial" w:cs="Arial"/>
          <w:sz w:val="24"/>
          <w:szCs w:val="24"/>
        </w:rPr>
        <w:t xml:space="preserve"> further relied upon the provisions of </w:t>
      </w:r>
      <w:bookmarkStart w:id="0" w:name="_Hlk167288702"/>
      <w:r w:rsidR="009D0793" w:rsidRPr="00B257D7">
        <w:rPr>
          <w:rFonts w:ascii="Arial" w:hAnsi="Arial" w:cs="Arial"/>
          <w:sz w:val="24"/>
          <w:szCs w:val="24"/>
        </w:rPr>
        <w:t>sect</w:t>
      </w:r>
      <w:r w:rsidR="0039448A" w:rsidRPr="00B257D7">
        <w:rPr>
          <w:rFonts w:ascii="Arial" w:hAnsi="Arial" w:cs="Arial"/>
          <w:sz w:val="24"/>
          <w:szCs w:val="24"/>
        </w:rPr>
        <w:t>io</w:t>
      </w:r>
      <w:r w:rsidR="009D0793" w:rsidRPr="00B257D7">
        <w:rPr>
          <w:rFonts w:ascii="Arial" w:hAnsi="Arial" w:cs="Arial"/>
          <w:sz w:val="24"/>
          <w:szCs w:val="24"/>
        </w:rPr>
        <w:t>n 12(3) of the Prescription Act</w:t>
      </w:r>
      <w:bookmarkEnd w:id="0"/>
      <w:r w:rsidR="009D0793" w:rsidRPr="00B257D7">
        <w:rPr>
          <w:rFonts w:ascii="Arial" w:hAnsi="Arial" w:cs="Arial"/>
          <w:sz w:val="24"/>
          <w:szCs w:val="24"/>
        </w:rPr>
        <w:t xml:space="preserve"> </w:t>
      </w:r>
      <w:r w:rsidR="008A7D0E" w:rsidRPr="00B257D7">
        <w:rPr>
          <w:rFonts w:ascii="Arial" w:hAnsi="Arial" w:cs="Arial"/>
          <w:sz w:val="24"/>
          <w:szCs w:val="24"/>
        </w:rPr>
        <w:t>alleging</w:t>
      </w:r>
      <w:r w:rsidR="009D0793" w:rsidRPr="00B257D7">
        <w:rPr>
          <w:rFonts w:ascii="Arial" w:hAnsi="Arial" w:cs="Arial"/>
          <w:sz w:val="24"/>
          <w:szCs w:val="24"/>
        </w:rPr>
        <w:t xml:space="preserve"> that during the period of his arrest and detention he </w:t>
      </w:r>
      <w:r w:rsidR="001B406E" w:rsidRPr="00B257D7">
        <w:rPr>
          <w:rFonts w:ascii="Arial" w:hAnsi="Arial" w:cs="Arial"/>
          <w:sz w:val="24"/>
          <w:szCs w:val="24"/>
        </w:rPr>
        <w:t>was not aware</w:t>
      </w:r>
      <w:r w:rsidR="00E86789" w:rsidRPr="00B257D7">
        <w:rPr>
          <w:rFonts w:ascii="Arial" w:hAnsi="Arial" w:cs="Arial"/>
          <w:sz w:val="24"/>
          <w:szCs w:val="24"/>
        </w:rPr>
        <w:t xml:space="preserve"> or in a position to establish whether he had a cause of action</w:t>
      </w:r>
      <w:r w:rsidR="00C8150F" w:rsidRPr="00B257D7">
        <w:rPr>
          <w:rFonts w:ascii="Arial" w:hAnsi="Arial" w:cs="Arial"/>
          <w:sz w:val="24"/>
          <w:szCs w:val="24"/>
        </w:rPr>
        <w:t xml:space="preserve">, further, </w:t>
      </w:r>
      <w:r w:rsidR="00E86789" w:rsidRPr="00B257D7">
        <w:rPr>
          <w:rFonts w:ascii="Arial" w:hAnsi="Arial" w:cs="Arial"/>
          <w:sz w:val="24"/>
          <w:szCs w:val="24"/>
        </w:rPr>
        <w:t xml:space="preserve">that </w:t>
      </w:r>
      <w:r w:rsidR="009D0793" w:rsidRPr="00B257D7">
        <w:rPr>
          <w:rFonts w:ascii="Arial" w:hAnsi="Arial" w:cs="Arial"/>
          <w:sz w:val="24"/>
          <w:szCs w:val="24"/>
        </w:rPr>
        <w:t xml:space="preserve">had no knowledge that he had a right of claim against the </w:t>
      </w:r>
      <w:r w:rsidR="000263A8" w:rsidRPr="00B257D7">
        <w:rPr>
          <w:rFonts w:ascii="Arial" w:hAnsi="Arial" w:cs="Arial"/>
          <w:sz w:val="24"/>
          <w:szCs w:val="24"/>
        </w:rPr>
        <w:t>defendants</w:t>
      </w:r>
      <w:r w:rsidR="0018061E" w:rsidRPr="00B257D7">
        <w:rPr>
          <w:rFonts w:ascii="Arial" w:hAnsi="Arial" w:cs="Arial"/>
          <w:sz w:val="24"/>
          <w:szCs w:val="24"/>
        </w:rPr>
        <w:t>.</w:t>
      </w:r>
      <w:r w:rsidR="00266FAD">
        <w:rPr>
          <w:rStyle w:val="FootnoteReference"/>
          <w:rFonts w:ascii="Arial" w:hAnsi="Arial"/>
          <w:sz w:val="24"/>
          <w:szCs w:val="24"/>
        </w:rPr>
        <w:footnoteReference w:id="5"/>
      </w:r>
      <w:r w:rsidR="0018061E" w:rsidRPr="00B257D7">
        <w:rPr>
          <w:rFonts w:ascii="Arial" w:hAnsi="Arial" w:cs="Arial"/>
          <w:sz w:val="24"/>
          <w:szCs w:val="24"/>
        </w:rPr>
        <w:t xml:space="preserve"> His awareness or knowledge of the claim only came after he consulted with his attorney in 2019</w:t>
      </w:r>
      <w:r w:rsidR="009370DC" w:rsidRPr="00B257D7">
        <w:rPr>
          <w:rFonts w:ascii="Arial" w:hAnsi="Arial" w:cs="Arial"/>
          <w:sz w:val="24"/>
          <w:szCs w:val="24"/>
        </w:rPr>
        <w:t xml:space="preserve"> </w:t>
      </w:r>
      <w:r w:rsidR="009D0793" w:rsidRPr="00B257D7">
        <w:rPr>
          <w:rFonts w:ascii="Arial" w:hAnsi="Arial" w:cs="Arial"/>
          <w:sz w:val="24"/>
          <w:szCs w:val="24"/>
        </w:rPr>
        <w:t xml:space="preserve">and only became aware thereof, following </w:t>
      </w:r>
      <w:r w:rsidR="001C49A7" w:rsidRPr="00B257D7">
        <w:rPr>
          <w:rFonts w:ascii="Arial" w:hAnsi="Arial" w:cs="Arial"/>
          <w:sz w:val="24"/>
          <w:szCs w:val="24"/>
        </w:rPr>
        <w:t>“…</w:t>
      </w:r>
      <w:r w:rsidR="009D0793" w:rsidRPr="00B257D7">
        <w:rPr>
          <w:rFonts w:ascii="Arial" w:hAnsi="Arial" w:cs="Arial"/>
          <w:i/>
          <w:iCs/>
          <w:sz w:val="24"/>
          <w:szCs w:val="24"/>
        </w:rPr>
        <w:t xml:space="preserve">consultation with his attorney of record </w:t>
      </w:r>
      <w:r w:rsidR="001C49A7" w:rsidRPr="00B257D7">
        <w:rPr>
          <w:rFonts w:ascii="Arial" w:hAnsi="Arial" w:cs="Arial"/>
          <w:i/>
          <w:iCs/>
          <w:sz w:val="24"/>
          <w:szCs w:val="24"/>
        </w:rPr>
        <w:t>on the</w:t>
      </w:r>
      <w:r w:rsidR="009D0793" w:rsidRPr="00B257D7">
        <w:rPr>
          <w:rFonts w:ascii="Arial" w:hAnsi="Arial" w:cs="Arial"/>
          <w:i/>
          <w:iCs/>
          <w:sz w:val="24"/>
          <w:szCs w:val="24"/>
        </w:rPr>
        <w:t xml:space="preserve"> </w:t>
      </w:r>
      <w:r w:rsidR="009305F9" w:rsidRPr="00B257D7">
        <w:rPr>
          <w:rFonts w:ascii="Arial" w:hAnsi="Arial" w:cs="Arial"/>
          <w:i/>
          <w:iCs/>
          <w:sz w:val="24"/>
          <w:szCs w:val="24"/>
        </w:rPr>
        <w:t>2019</w:t>
      </w:r>
      <w:r w:rsidR="001C49A7" w:rsidRPr="00B257D7">
        <w:rPr>
          <w:rFonts w:ascii="Arial" w:hAnsi="Arial" w:cs="Arial"/>
          <w:sz w:val="24"/>
          <w:szCs w:val="24"/>
        </w:rPr>
        <w:t>”</w:t>
      </w:r>
      <w:r w:rsidR="00224298" w:rsidRPr="00B257D7">
        <w:rPr>
          <w:rFonts w:ascii="Arial" w:hAnsi="Arial" w:cs="Arial"/>
          <w:sz w:val="24"/>
          <w:szCs w:val="24"/>
        </w:rPr>
        <w:t>.</w:t>
      </w:r>
      <w:r w:rsidR="001C49A7">
        <w:rPr>
          <w:rStyle w:val="FootnoteReference"/>
          <w:rFonts w:ascii="Arial" w:hAnsi="Arial"/>
          <w:sz w:val="24"/>
          <w:szCs w:val="24"/>
        </w:rPr>
        <w:footnoteReference w:id="6"/>
      </w:r>
      <w:r w:rsidR="00224298" w:rsidRPr="00B257D7">
        <w:rPr>
          <w:rFonts w:ascii="Arial" w:hAnsi="Arial" w:cs="Arial"/>
          <w:sz w:val="24"/>
          <w:szCs w:val="24"/>
        </w:rPr>
        <w:t xml:space="preserve"> </w:t>
      </w:r>
    </w:p>
    <w:p w14:paraId="782B7796" w14:textId="77777777" w:rsidR="00150337" w:rsidRDefault="00150337" w:rsidP="00150337">
      <w:pPr>
        <w:pStyle w:val="ListParagraph"/>
        <w:spacing w:after="360" w:line="360" w:lineRule="auto"/>
        <w:jc w:val="both"/>
        <w:rPr>
          <w:rFonts w:ascii="Arial" w:hAnsi="Arial" w:cs="Arial"/>
          <w:sz w:val="24"/>
          <w:szCs w:val="24"/>
        </w:rPr>
      </w:pPr>
    </w:p>
    <w:p w14:paraId="0C45957F" w14:textId="381C00CB" w:rsidR="00FC0AB1"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03FAD" w:rsidRPr="00B257D7">
        <w:rPr>
          <w:rFonts w:ascii="Arial" w:hAnsi="Arial" w:cs="Arial"/>
          <w:sz w:val="24"/>
          <w:szCs w:val="24"/>
        </w:rPr>
        <w:t>Prescription</w:t>
      </w:r>
      <w:r w:rsidR="004E1E09" w:rsidRPr="00B257D7">
        <w:rPr>
          <w:rFonts w:ascii="Arial" w:hAnsi="Arial" w:cs="Arial"/>
          <w:sz w:val="24"/>
          <w:szCs w:val="24"/>
        </w:rPr>
        <w:t>,</w:t>
      </w:r>
      <w:r w:rsidR="006B7328" w:rsidRPr="00B257D7">
        <w:rPr>
          <w:rFonts w:ascii="Arial" w:hAnsi="Arial" w:cs="Arial"/>
          <w:sz w:val="24"/>
          <w:szCs w:val="24"/>
        </w:rPr>
        <w:t xml:space="preserve"> </w:t>
      </w:r>
      <w:r w:rsidR="00E07C07" w:rsidRPr="00B257D7">
        <w:rPr>
          <w:rFonts w:ascii="Arial" w:hAnsi="Arial" w:cs="Arial"/>
          <w:sz w:val="24"/>
          <w:szCs w:val="24"/>
        </w:rPr>
        <w:t xml:space="preserve">subject </w:t>
      </w:r>
      <w:r w:rsidR="00F6131C" w:rsidRPr="00B257D7">
        <w:rPr>
          <w:rFonts w:ascii="Arial" w:hAnsi="Arial" w:cs="Arial"/>
          <w:sz w:val="24"/>
          <w:szCs w:val="24"/>
        </w:rPr>
        <w:t xml:space="preserve">to statutory </w:t>
      </w:r>
      <w:r w:rsidR="00D116E6" w:rsidRPr="00B257D7">
        <w:rPr>
          <w:rFonts w:ascii="Arial" w:hAnsi="Arial" w:cs="Arial"/>
          <w:sz w:val="24"/>
          <w:szCs w:val="24"/>
        </w:rPr>
        <w:t>limitations</w:t>
      </w:r>
      <w:r w:rsidR="004E1E09" w:rsidRPr="00B257D7">
        <w:rPr>
          <w:rFonts w:ascii="Arial" w:hAnsi="Arial" w:cs="Arial"/>
          <w:sz w:val="24"/>
          <w:szCs w:val="24"/>
        </w:rPr>
        <w:t>, commences running as soon as the debt is due</w:t>
      </w:r>
      <w:r w:rsidR="00AD3574" w:rsidRPr="00B257D7">
        <w:rPr>
          <w:rFonts w:ascii="Arial" w:hAnsi="Arial" w:cs="Arial"/>
          <w:sz w:val="24"/>
          <w:szCs w:val="24"/>
        </w:rPr>
        <w:t xml:space="preserve"> or immediately claimable</w:t>
      </w:r>
      <w:r w:rsidR="006F35E9" w:rsidRPr="00B257D7">
        <w:rPr>
          <w:rFonts w:ascii="Arial" w:hAnsi="Arial" w:cs="Arial"/>
          <w:sz w:val="24"/>
          <w:szCs w:val="24"/>
        </w:rPr>
        <w:t>.</w:t>
      </w:r>
      <w:r w:rsidR="006F35E9">
        <w:rPr>
          <w:rStyle w:val="FootnoteReference"/>
          <w:rFonts w:ascii="Arial" w:hAnsi="Arial"/>
          <w:sz w:val="24"/>
          <w:szCs w:val="24"/>
        </w:rPr>
        <w:footnoteReference w:id="7"/>
      </w:r>
      <w:r w:rsidR="001A092F" w:rsidRPr="00B257D7">
        <w:rPr>
          <w:rFonts w:ascii="Arial" w:hAnsi="Arial" w:cs="Arial"/>
          <w:sz w:val="24"/>
          <w:szCs w:val="24"/>
        </w:rPr>
        <w:t xml:space="preserve"> </w:t>
      </w:r>
      <w:r w:rsidR="000A584C" w:rsidRPr="00B257D7">
        <w:rPr>
          <w:rFonts w:ascii="Arial" w:hAnsi="Arial" w:cs="Arial"/>
          <w:sz w:val="24"/>
          <w:szCs w:val="24"/>
        </w:rPr>
        <w:t xml:space="preserve">This occurs when </w:t>
      </w:r>
      <w:r w:rsidR="00F4005E" w:rsidRPr="00B257D7">
        <w:rPr>
          <w:rFonts w:ascii="Arial" w:hAnsi="Arial" w:cs="Arial"/>
          <w:sz w:val="24"/>
          <w:szCs w:val="24"/>
        </w:rPr>
        <w:t>all the necessary facts that a creditor must prove to succeed in their claim against a debtor are established, or in simpler terms, when everything has occurred that would allow the creditor to take legal action and pursue their claim</w:t>
      </w:r>
      <w:r w:rsidR="009B3571" w:rsidRPr="00B257D7">
        <w:rPr>
          <w:rFonts w:ascii="Arial" w:hAnsi="Arial" w:cs="Arial"/>
          <w:sz w:val="24"/>
          <w:szCs w:val="24"/>
        </w:rPr>
        <w:t>.</w:t>
      </w:r>
      <w:r w:rsidR="006E2635">
        <w:rPr>
          <w:rStyle w:val="FootnoteReference"/>
          <w:rFonts w:ascii="Arial" w:hAnsi="Arial"/>
          <w:sz w:val="24"/>
          <w:szCs w:val="24"/>
        </w:rPr>
        <w:footnoteReference w:id="8"/>
      </w:r>
      <w:r w:rsidR="00390745" w:rsidRPr="00B257D7">
        <w:rPr>
          <w:rFonts w:ascii="Arial" w:hAnsi="Arial" w:cs="Arial"/>
          <w:sz w:val="24"/>
          <w:szCs w:val="24"/>
        </w:rPr>
        <w:t xml:space="preserve"> In a delictual claim, as in this instance, the </w:t>
      </w:r>
      <w:r w:rsidR="00B2681E" w:rsidRPr="00B257D7">
        <w:rPr>
          <w:rFonts w:ascii="Arial" w:hAnsi="Arial" w:cs="Arial"/>
          <w:sz w:val="24"/>
          <w:szCs w:val="24"/>
        </w:rPr>
        <w:t>requirements of ‘fault’ and ‘unlawfulness’ are not factual components of a cause of action; rather, they are legal conclusions that should be deduced from the facts that have been determined</w:t>
      </w:r>
      <w:r w:rsidR="00E93588" w:rsidRPr="00B257D7">
        <w:rPr>
          <w:rFonts w:ascii="Arial" w:hAnsi="Arial" w:cs="Arial"/>
          <w:sz w:val="24"/>
          <w:szCs w:val="24"/>
        </w:rPr>
        <w:t>.</w:t>
      </w:r>
      <w:r w:rsidR="00E93588">
        <w:rPr>
          <w:rStyle w:val="FootnoteReference"/>
          <w:rFonts w:ascii="Arial" w:hAnsi="Arial"/>
          <w:sz w:val="24"/>
          <w:szCs w:val="24"/>
        </w:rPr>
        <w:footnoteReference w:id="9"/>
      </w:r>
    </w:p>
    <w:p w14:paraId="56D0892E" w14:textId="77777777" w:rsidR="00C11C7B" w:rsidRPr="00C11C7B" w:rsidRDefault="00C11C7B" w:rsidP="00C11C7B">
      <w:pPr>
        <w:pStyle w:val="ListParagraph"/>
        <w:rPr>
          <w:rFonts w:ascii="Arial" w:hAnsi="Arial" w:cs="Arial"/>
          <w:sz w:val="24"/>
          <w:szCs w:val="24"/>
        </w:rPr>
      </w:pPr>
    </w:p>
    <w:p w14:paraId="0F915E04" w14:textId="2C5A7B2E" w:rsidR="00C11C7B"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0308D8" w:rsidRPr="00B257D7">
        <w:rPr>
          <w:rFonts w:ascii="Arial" w:hAnsi="Arial" w:cs="Arial"/>
          <w:sz w:val="24"/>
          <w:szCs w:val="24"/>
        </w:rPr>
        <w:t>More specifically, in instances of unlawful arrest and detention</w:t>
      </w:r>
      <w:r w:rsidR="00B74511" w:rsidRPr="00B257D7">
        <w:rPr>
          <w:rFonts w:ascii="Arial" w:hAnsi="Arial" w:cs="Arial"/>
          <w:sz w:val="24"/>
          <w:szCs w:val="24"/>
        </w:rPr>
        <w:t xml:space="preserve">, the minimum necessary facts needed to succeed in such claims include that the </w:t>
      </w:r>
      <w:r w:rsidR="004F349C" w:rsidRPr="00B257D7">
        <w:rPr>
          <w:rFonts w:ascii="Arial" w:hAnsi="Arial" w:cs="Arial"/>
          <w:sz w:val="24"/>
          <w:szCs w:val="24"/>
        </w:rPr>
        <w:t>defendant</w:t>
      </w:r>
      <w:r w:rsidR="00B74511" w:rsidRPr="00B257D7">
        <w:rPr>
          <w:rFonts w:ascii="Arial" w:hAnsi="Arial" w:cs="Arial"/>
          <w:sz w:val="24"/>
          <w:szCs w:val="24"/>
        </w:rPr>
        <w:t xml:space="preserve"> or their agent deprived the </w:t>
      </w:r>
      <w:r w:rsidR="001220EE" w:rsidRPr="00B257D7">
        <w:rPr>
          <w:rFonts w:ascii="Arial" w:hAnsi="Arial" w:cs="Arial"/>
          <w:sz w:val="24"/>
          <w:szCs w:val="24"/>
        </w:rPr>
        <w:t>p</w:t>
      </w:r>
      <w:r w:rsidR="004F349C" w:rsidRPr="00B257D7">
        <w:rPr>
          <w:rFonts w:ascii="Arial" w:hAnsi="Arial" w:cs="Arial"/>
          <w:sz w:val="24"/>
          <w:szCs w:val="24"/>
        </w:rPr>
        <w:t>laintiff</w:t>
      </w:r>
      <w:r w:rsidR="00B74511" w:rsidRPr="00B257D7">
        <w:rPr>
          <w:rFonts w:ascii="Arial" w:hAnsi="Arial" w:cs="Arial"/>
          <w:sz w:val="24"/>
          <w:szCs w:val="24"/>
        </w:rPr>
        <w:t xml:space="preserve"> of </w:t>
      </w:r>
      <w:r w:rsidR="00EB7A46" w:rsidRPr="00B257D7">
        <w:rPr>
          <w:rFonts w:ascii="Arial" w:hAnsi="Arial" w:cs="Arial"/>
          <w:sz w:val="24"/>
          <w:szCs w:val="24"/>
        </w:rPr>
        <w:t>their liberty, which is prima facie wrongful.</w:t>
      </w:r>
      <w:r w:rsidR="00006311">
        <w:rPr>
          <w:rStyle w:val="FootnoteReference"/>
          <w:rFonts w:ascii="Arial" w:hAnsi="Arial"/>
          <w:sz w:val="24"/>
          <w:szCs w:val="24"/>
        </w:rPr>
        <w:footnoteReference w:id="10"/>
      </w:r>
    </w:p>
    <w:p w14:paraId="0F7924F5" w14:textId="77777777" w:rsidR="007E742D" w:rsidRDefault="007E742D" w:rsidP="007E742D">
      <w:pPr>
        <w:pStyle w:val="ListParagraph"/>
        <w:spacing w:after="360" w:line="360" w:lineRule="auto"/>
        <w:jc w:val="both"/>
        <w:rPr>
          <w:rFonts w:ascii="Arial" w:hAnsi="Arial" w:cs="Arial"/>
          <w:sz w:val="24"/>
          <w:szCs w:val="24"/>
        </w:rPr>
      </w:pPr>
    </w:p>
    <w:p w14:paraId="7681C5FE" w14:textId="27497C5F" w:rsidR="00A55318" w:rsidRPr="00B257D7" w:rsidRDefault="00B257D7" w:rsidP="00B257D7">
      <w:pPr>
        <w:spacing w:after="360" w:line="360" w:lineRule="auto"/>
        <w:ind w:left="720" w:hanging="720"/>
        <w:jc w:val="both"/>
        <w:rPr>
          <w:rFonts w:ascii="Arial" w:hAnsi="Arial" w:cs="Arial"/>
          <w:sz w:val="24"/>
          <w:szCs w:val="24"/>
        </w:rPr>
      </w:pPr>
      <w:r w:rsidRPr="001220EE">
        <w:rPr>
          <w:rFonts w:ascii="Arial" w:hAnsi="Arial" w:cs="Arial"/>
          <w:sz w:val="24"/>
          <w:szCs w:val="24"/>
        </w:rPr>
        <w:t>[36.]</w:t>
      </w:r>
      <w:r w:rsidRPr="001220EE">
        <w:rPr>
          <w:rFonts w:ascii="Arial" w:hAnsi="Arial" w:cs="Arial"/>
          <w:sz w:val="24"/>
          <w:szCs w:val="24"/>
        </w:rPr>
        <w:tab/>
      </w:r>
      <w:r w:rsidR="005C2A53" w:rsidRPr="00B257D7">
        <w:rPr>
          <w:rFonts w:ascii="Arial" w:hAnsi="Arial" w:cs="Arial"/>
          <w:sz w:val="24"/>
          <w:szCs w:val="24"/>
        </w:rPr>
        <w:t xml:space="preserve">It is trite that a party invoking the defence of prescription bears the </w:t>
      </w:r>
      <w:r w:rsidR="00717698" w:rsidRPr="00B257D7">
        <w:rPr>
          <w:rFonts w:ascii="Arial" w:hAnsi="Arial" w:cs="Arial"/>
          <w:sz w:val="24"/>
          <w:szCs w:val="24"/>
        </w:rPr>
        <w:t>onus</w:t>
      </w:r>
      <w:r w:rsidR="005C2A53" w:rsidRPr="00B257D7">
        <w:rPr>
          <w:rFonts w:ascii="Arial" w:hAnsi="Arial" w:cs="Arial"/>
          <w:sz w:val="24"/>
          <w:szCs w:val="24"/>
        </w:rPr>
        <w:t xml:space="preserve"> to </w:t>
      </w:r>
      <w:r w:rsidR="00607A84" w:rsidRPr="00B257D7">
        <w:rPr>
          <w:rFonts w:ascii="Arial" w:hAnsi="Arial" w:cs="Arial"/>
          <w:sz w:val="24"/>
          <w:szCs w:val="24"/>
        </w:rPr>
        <w:t>prove and establish such defence.</w:t>
      </w:r>
      <w:r w:rsidR="00033EA3" w:rsidRPr="00B257D7">
        <w:rPr>
          <w:rFonts w:ascii="Arial" w:hAnsi="Arial" w:cs="Arial"/>
          <w:sz w:val="24"/>
          <w:szCs w:val="24"/>
        </w:rPr>
        <w:t xml:space="preserve"> If a </w:t>
      </w:r>
      <w:r w:rsidR="004F349C" w:rsidRPr="00B257D7">
        <w:rPr>
          <w:rFonts w:ascii="Arial" w:hAnsi="Arial" w:cs="Arial"/>
          <w:sz w:val="24"/>
          <w:szCs w:val="24"/>
        </w:rPr>
        <w:t>defendant</w:t>
      </w:r>
      <w:r w:rsidR="00033EA3" w:rsidRPr="00B257D7">
        <w:rPr>
          <w:rFonts w:ascii="Arial" w:hAnsi="Arial" w:cs="Arial"/>
          <w:sz w:val="24"/>
          <w:szCs w:val="24"/>
        </w:rPr>
        <w:t xml:space="preserve"> claims that a debt has </w:t>
      </w:r>
      <w:r w:rsidR="006F2455" w:rsidRPr="00B257D7">
        <w:rPr>
          <w:rFonts w:ascii="Arial" w:hAnsi="Arial" w:cs="Arial"/>
          <w:sz w:val="24"/>
          <w:szCs w:val="24"/>
        </w:rPr>
        <w:t xml:space="preserve">been </w:t>
      </w:r>
      <w:r w:rsidR="00033EA3" w:rsidRPr="00B257D7">
        <w:rPr>
          <w:rFonts w:ascii="Arial" w:hAnsi="Arial" w:cs="Arial"/>
          <w:sz w:val="24"/>
          <w:szCs w:val="24"/>
        </w:rPr>
        <w:t xml:space="preserve">prescribed, </w:t>
      </w:r>
      <w:r w:rsidR="009F046C" w:rsidRPr="00B257D7">
        <w:rPr>
          <w:rFonts w:ascii="Arial" w:hAnsi="Arial" w:cs="Arial"/>
          <w:sz w:val="24"/>
          <w:szCs w:val="24"/>
        </w:rPr>
        <w:t xml:space="preserve">it bears the evidentiary burden to </w:t>
      </w:r>
      <w:r w:rsidR="00920041" w:rsidRPr="00B257D7">
        <w:rPr>
          <w:rFonts w:ascii="Arial" w:hAnsi="Arial" w:cs="Arial"/>
          <w:sz w:val="24"/>
          <w:szCs w:val="24"/>
        </w:rPr>
        <w:t>prove the</w:t>
      </w:r>
      <w:r w:rsidR="00033EA3" w:rsidRPr="00B257D7">
        <w:rPr>
          <w:rFonts w:ascii="Arial" w:hAnsi="Arial" w:cs="Arial"/>
          <w:sz w:val="24"/>
          <w:szCs w:val="24"/>
        </w:rPr>
        <w:t xml:space="preserve"> plea. This includes establishing the date when the </w:t>
      </w:r>
      <w:r w:rsidR="004F349C" w:rsidRPr="00B257D7">
        <w:rPr>
          <w:rFonts w:ascii="Arial" w:hAnsi="Arial" w:cs="Arial"/>
          <w:sz w:val="24"/>
          <w:szCs w:val="24"/>
        </w:rPr>
        <w:t>plaintiff</w:t>
      </w:r>
      <w:r w:rsidR="00033EA3" w:rsidRPr="00B257D7">
        <w:rPr>
          <w:rFonts w:ascii="Arial" w:hAnsi="Arial" w:cs="Arial"/>
          <w:sz w:val="24"/>
          <w:szCs w:val="24"/>
        </w:rPr>
        <w:t xml:space="preserve"> became aware of the debt (whether </w:t>
      </w:r>
      <w:r w:rsidR="00033EA3" w:rsidRPr="00B257D7">
        <w:rPr>
          <w:rFonts w:ascii="Arial" w:hAnsi="Arial" w:cs="Arial"/>
          <w:sz w:val="24"/>
          <w:szCs w:val="24"/>
        </w:rPr>
        <w:lastRenderedPageBreak/>
        <w:t xml:space="preserve">through actual knowledge or constructive knowledge). Only if the </w:t>
      </w:r>
      <w:r w:rsidR="004F349C" w:rsidRPr="00B257D7">
        <w:rPr>
          <w:rFonts w:ascii="Arial" w:hAnsi="Arial" w:cs="Arial"/>
          <w:sz w:val="24"/>
          <w:szCs w:val="24"/>
        </w:rPr>
        <w:t>defendant</w:t>
      </w:r>
      <w:r w:rsidR="00033EA3" w:rsidRPr="00B257D7">
        <w:rPr>
          <w:rFonts w:ascii="Arial" w:hAnsi="Arial" w:cs="Arial"/>
          <w:sz w:val="24"/>
          <w:szCs w:val="24"/>
        </w:rPr>
        <w:t xml:space="preserve"> has made a prima facie case does the burden shift to the </w:t>
      </w:r>
      <w:r w:rsidR="004F349C" w:rsidRPr="00B257D7">
        <w:rPr>
          <w:rFonts w:ascii="Arial" w:hAnsi="Arial" w:cs="Arial"/>
          <w:sz w:val="24"/>
          <w:szCs w:val="24"/>
        </w:rPr>
        <w:t>plaintiff</w:t>
      </w:r>
      <w:r w:rsidR="00884A34" w:rsidRPr="00B257D7">
        <w:rPr>
          <w:rFonts w:ascii="Arial" w:hAnsi="Arial" w:cs="Arial"/>
          <w:sz w:val="24"/>
          <w:szCs w:val="24"/>
        </w:rPr>
        <w:t>.</w:t>
      </w:r>
      <w:r w:rsidR="00884A34" w:rsidRPr="001220EE">
        <w:rPr>
          <w:rStyle w:val="FootnoteReference"/>
          <w:rFonts w:ascii="Arial" w:hAnsi="Arial"/>
          <w:sz w:val="24"/>
          <w:szCs w:val="24"/>
        </w:rPr>
        <w:footnoteReference w:id="11"/>
      </w:r>
    </w:p>
    <w:p w14:paraId="67FB2260" w14:textId="77777777" w:rsidR="00DB6C61" w:rsidRPr="00DB6C61" w:rsidRDefault="00DB6C61" w:rsidP="00DB6C61">
      <w:pPr>
        <w:pStyle w:val="ListParagraph"/>
        <w:rPr>
          <w:rFonts w:ascii="Arial" w:hAnsi="Arial" w:cs="Arial"/>
          <w:sz w:val="24"/>
          <w:szCs w:val="24"/>
        </w:rPr>
      </w:pPr>
    </w:p>
    <w:p w14:paraId="72F51FEB" w14:textId="1D4AF9DC" w:rsidR="00E17990" w:rsidRPr="00B257D7" w:rsidRDefault="00B257D7" w:rsidP="00B257D7">
      <w:pPr>
        <w:spacing w:after="360" w:line="360" w:lineRule="auto"/>
        <w:ind w:left="720" w:hanging="720"/>
        <w:jc w:val="both"/>
        <w:rPr>
          <w:rFonts w:ascii="Arial" w:hAnsi="Arial" w:cs="Arial"/>
          <w:sz w:val="24"/>
          <w:szCs w:val="24"/>
        </w:rPr>
      </w:pPr>
      <w:r w:rsidRPr="00853F99">
        <w:rPr>
          <w:rFonts w:ascii="Arial" w:hAnsi="Arial" w:cs="Arial"/>
          <w:sz w:val="24"/>
          <w:szCs w:val="24"/>
        </w:rPr>
        <w:t>[37.]</w:t>
      </w:r>
      <w:r w:rsidRPr="00853F99">
        <w:rPr>
          <w:rFonts w:ascii="Arial" w:hAnsi="Arial" w:cs="Arial"/>
          <w:sz w:val="24"/>
          <w:szCs w:val="24"/>
        </w:rPr>
        <w:tab/>
      </w:r>
      <w:r w:rsidR="007E742D" w:rsidRPr="00B257D7">
        <w:rPr>
          <w:rFonts w:ascii="Arial" w:hAnsi="Arial" w:cs="Arial"/>
          <w:sz w:val="24"/>
          <w:szCs w:val="24"/>
        </w:rPr>
        <w:t xml:space="preserve">For a debt to become due and for the prescription period to begin according to section 12(3) of the Prescription Act, it is necessary for the creditor to be aware of both the identity of the debtor and the underlying </w:t>
      </w:r>
      <w:r w:rsidR="00066BE1" w:rsidRPr="00B257D7">
        <w:rPr>
          <w:rFonts w:ascii="Arial" w:hAnsi="Arial" w:cs="Arial"/>
          <w:sz w:val="24"/>
          <w:szCs w:val="24"/>
        </w:rPr>
        <w:t>facts</w:t>
      </w:r>
      <w:r w:rsidR="007E742D" w:rsidRPr="00B257D7">
        <w:rPr>
          <w:rFonts w:ascii="Arial" w:hAnsi="Arial" w:cs="Arial"/>
          <w:sz w:val="24"/>
          <w:szCs w:val="24"/>
        </w:rPr>
        <w:t xml:space="preserve"> </w:t>
      </w:r>
      <w:r w:rsidR="00066BE1" w:rsidRPr="00B257D7">
        <w:rPr>
          <w:rFonts w:ascii="Arial" w:hAnsi="Arial" w:cs="Arial"/>
          <w:sz w:val="24"/>
          <w:szCs w:val="24"/>
        </w:rPr>
        <w:t>from which the debt arises</w:t>
      </w:r>
      <w:r w:rsidR="007E742D" w:rsidRPr="00B257D7">
        <w:rPr>
          <w:rFonts w:ascii="Arial" w:hAnsi="Arial" w:cs="Arial"/>
          <w:sz w:val="24"/>
          <w:szCs w:val="24"/>
        </w:rPr>
        <w:t>.</w:t>
      </w:r>
    </w:p>
    <w:p w14:paraId="40D66B70" w14:textId="77777777" w:rsidR="00E17990" w:rsidRPr="00E17990" w:rsidRDefault="00E17990" w:rsidP="00E17990">
      <w:pPr>
        <w:pStyle w:val="ListParagraph"/>
        <w:rPr>
          <w:rFonts w:ascii="Arial" w:hAnsi="Arial" w:cs="Arial"/>
          <w:sz w:val="24"/>
          <w:szCs w:val="24"/>
        </w:rPr>
      </w:pPr>
    </w:p>
    <w:p w14:paraId="22875665" w14:textId="4F33248B" w:rsidR="007E742D"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7E742D" w:rsidRPr="00B257D7">
        <w:rPr>
          <w:rFonts w:ascii="Arial" w:hAnsi="Arial" w:cs="Arial"/>
          <w:sz w:val="24"/>
          <w:szCs w:val="24"/>
        </w:rPr>
        <w:t>Notably, section 12(3) does not mandate that the creditor must be cognizant of the debtor's actions being wrongful and legally actionable before the debt can be considered due or before prescription can commence. This distinction is crucial as it pertains to legal interpretations</w:t>
      </w:r>
      <w:r w:rsidR="001F6D7A" w:rsidRPr="00B257D7">
        <w:rPr>
          <w:rFonts w:ascii="Arial" w:hAnsi="Arial" w:cs="Arial"/>
          <w:sz w:val="24"/>
          <w:szCs w:val="24"/>
        </w:rPr>
        <w:t xml:space="preserve"> or conclusions</w:t>
      </w:r>
      <w:r w:rsidR="007E742D" w:rsidRPr="00B257D7">
        <w:rPr>
          <w:rFonts w:ascii="Arial" w:hAnsi="Arial" w:cs="Arial"/>
          <w:sz w:val="24"/>
          <w:szCs w:val="24"/>
        </w:rPr>
        <w:t xml:space="preserve"> rather than factual awareness</w:t>
      </w:r>
      <w:r w:rsidR="00CB20F3">
        <w:rPr>
          <w:rStyle w:val="FootnoteReference"/>
          <w:rFonts w:ascii="Arial" w:hAnsi="Arial"/>
          <w:sz w:val="24"/>
          <w:szCs w:val="24"/>
        </w:rPr>
        <w:footnoteReference w:id="12"/>
      </w:r>
      <w:r w:rsidR="007E742D" w:rsidRPr="00B257D7">
        <w:rPr>
          <w:rFonts w:ascii="Arial" w:hAnsi="Arial" w:cs="Arial"/>
          <w:sz w:val="24"/>
          <w:szCs w:val="24"/>
        </w:rPr>
        <w:t>.</w:t>
      </w:r>
      <w:r w:rsidR="00D7440D" w:rsidRPr="00B257D7">
        <w:rPr>
          <w:rFonts w:ascii="Arial" w:hAnsi="Arial" w:cs="Arial"/>
          <w:sz w:val="24"/>
          <w:szCs w:val="24"/>
        </w:rPr>
        <w:t xml:space="preserve"> On this issue, Justice Zondo noted in </w:t>
      </w:r>
      <w:r w:rsidR="00DA6581" w:rsidRPr="00B257D7">
        <w:rPr>
          <w:rFonts w:ascii="Arial" w:hAnsi="Arial" w:cs="Arial"/>
          <w:b/>
          <w:bCs/>
          <w:i/>
          <w:iCs/>
          <w:sz w:val="24"/>
          <w:szCs w:val="24"/>
        </w:rPr>
        <w:t>Mtokonya v Minister of Police</w:t>
      </w:r>
      <w:r w:rsidR="00DA6581">
        <w:rPr>
          <w:rStyle w:val="FootnoteReference"/>
          <w:rFonts w:ascii="Arial" w:hAnsi="Arial"/>
          <w:sz w:val="24"/>
          <w:szCs w:val="24"/>
        </w:rPr>
        <w:footnoteReference w:id="13"/>
      </w:r>
      <w:r w:rsidR="00DA6581" w:rsidRPr="00B257D7">
        <w:rPr>
          <w:rFonts w:ascii="Arial" w:hAnsi="Arial" w:cs="Arial"/>
          <w:sz w:val="24"/>
          <w:szCs w:val="24"/>
        </w:rPr>
        <w:t>(</w:t>
      </w:r>
      <w:r w:rsidR="00DA6581" w:rsidRPr="00B257D7">
        <w:rPr>
          <w:rFonts w:ascii="Arial" w:hAnsi="Arial" w:cs="Arial"/>
          <w:b/>
          <w:bCs/>
          <w:sz w:val="24"/>
          <w:szCs w:val="24"/>
        </w:rPr>
        <w:t>Mtokonya</w:t>
      </w:r>
      <w:r w:rsidR="00DA6581" w:rsidRPr="00B257D7">
        <w:rPr>
          <w:rFonts w:ascii="Arial" w:hAnsi="Arial" w:cs="Arial"/>
          <w:sz w:val="24"/>
          <w:szCs w:val="24"/>
        </w:rPr>
        <w:t>)</w:t>
      </w:r>
      <w:r w:rsidR="005F7C7F" w:rsidRPr="00B257D7">
        <w:rPr>
          <w:rFonts w:ascii="Arial" w:hAnsi="Arial" w:cs="Arial"/>
          <w:sz w:val="24"/>
          <w:szCs w:val="24"/>
        </w:rPr>
        <w:t xml:space="preserve"> that :</w:t>
      </w:r>
    </w:p>
    <w:p w14:paraId="2DCC8F32" w14:textId="77777777" w:rsidR="005F7C7F" w:rsidRPr="005F7C7F" w:rsidRDefault="005F7C7F" w:rsidP="005F7C7F">
      <w:pPr>
        <w:pStyle w:val="ListParagraph"/>
        <w:rPr>
          <w:rFonts w:ascii="Arial" w:hAnsi="Arial" w:cs="Arial"/>
          <w:sz w:val="24"/>
          <w:szCs w:val="24"/>
        </w:rPr>
      </w:pPr>
    </w:p>
    <w:p w14:paraId="25A7B4B7" w14:textId="2B8FB15D" w:rsidR="005F7C7F" w:rsidRPr="00502C33" w:rsidRDefault="00502C33" w:rsidP="00502C33">
      <w:pPr>
        <w:pStyle w:val="ListParagraph"/>
        <w:spacing w:after="360" w:line="360" w:lineRule="auto"/>
        <w:jc w:val="both"/>
        <w:rPr>
          <w:rFonts w:ascii="Arial" w:hAnsi="Arial" w:cs="Arial"/>
          <w:i/>
          <w:iCs/>
          <w:sz w:val="24"/>
          <w:szCs w:val="24"/>
        </w:rPr>
      </w:pPr>
      <w:r>
        <w:rPr>
          <w:rFonts w:ascii="Arial" w:hAnsi="Arial" w:cs="Arial"/>
          <w:i/>
          <w:iCs/>
          <w:sz w:val="24"/>
          <w:szCs w:val="24"/>
        </w:rPr>
        <w:t>“</w:t>
      </w:r>
      <w:r w:rsidR="00A511FD" w:rsidRPr="00502C33">
        <w:rPr>
          <w:rFonts w:ascii="Arial" w:hAnsi="Arial" w:cs="Arial"/>
          <w:i/>
          <w:iCs/>
          <w:sz w:val="24"/>
          <w:szCs w:val="24"/>
        </w:rPr>
        <w:t>[36] Section 12(3) does not require the creditor to have knowledge of any right to sue the debtor nor does it require him or her to have knowledge of legal conclusions that may be drawn from “the facts from which the debt arises”.  Case law is to the effect that the facts from which the debt arises are the facts which a creditor would need to prove in order to establish the liability of the debtor.</w:t>
      </w:r>
      <w:r>
        <w:rPr>
          <w:rFonts w:ascii="Arial" w:hAnsi="Arial" w:cs="Arial"/>
          <w:i/>
          <w:iCs/>
          <w:sz w:val="24"/>
          <w:szCs w:val="24"/>
        </w:rPr>
        <w:t>”</w:t>
      </w:r>
    </w:p>
    <w:p w14:paraId="74E25F3B" w14:textId="77777777" w:rsidR="00A511FD" w:rsidRPr="00A511FD" w:rsidRDefault="00A511FD" w:rsidP="00A511FD">
      <w:pPr>
        <w:pStyle w:val="ListParagraph"/>
        <w:rPr>
          <w:rFonts w:ascii="Arial" w:hAnsi="Arial" w:cs="Arial"/>
          <w:sz w:val="24"/>
          <w:szCs w:val="24"/>
        </w:rPr>
      </w:pPr>
    </w:p>
    <w:p w14:paraId="6F18616A" w14:textId="3BB31E09" w:rsidR="00DB75E4" w:rsidRPr="00B257D7" w:rsidRDefault="00B257D7" w:rsidP="00B257D7">
      <w:pPr>
        <w:spacing w:after="360" w:line="360" w:lineRule="auto"/>
        <w:ind w:left="720" w:hanging="720"/>
        <w:jc w:val="both"/>
        <w:rPr>
          <w:rFonts w:ascii="Arial" w:hAnsi="Arial" w:cs="Arial"/>
          <w:sz w:val="24"/>
          <w:szCs w:val="24"/>
        </w:rPr>
      </w:pPr>
      <w:r w:rsidRPr="00F047B7">
        <w:rPr>
          <w:rFonts w:ascii="Arial" w:hAnsi="Arial" w:cs="Arial"/>
          <w:sz w:val="24"/>
          <w:szCs w:val="24"/>
        </w:rPr>
        <w:t>[39.]</w:t>
      </w:r>
      <w:r w:rsidRPr="00F047B7">
        <w:rPr>
          <w:rFonts w:ascii="Arial" w:hAnsi="Arial" w:cs="Arial"/>
          <w:sz w:val="24"/>
          <w:szCs w:val="24"/>
        </w:rPr>
        <w:tab/>
      </w:r>
      <w:r w:rsidR="0046446C" w:rsidRPr="00B257D7">
        <w:rPr>
          <w:rFonts w:ascii="Arial" w:hAnsi="Arial" w:cs="Arial"/>
          <w:sz w:val="24"/>
          <w:szCs w:val="24"/>
        </w:rPr>
        <w:t>in</w:t>
      </w:r>
      <w:r w:rsidR="0046446C" w:rsidRPr="00B257D7">
        <w:rPr>
          <w:rFonts w:ascii="Arial" w:hAnsi="Arial" w:cs="Arial"/>
          <w:i/>
          <w:iCs/>
          <w:sz w:val="24"/>
          <w:szCs w:val="24"/>
        </w:rPr>
        <w:t xml:space="preserve"> </w:t>
      </w:r>
      <w:r w:rsidR="00F047B7" w:rsidRPr="00B257D7">
        <w:rPr>
          <w:rFonts w:ascii="Arial" w:hAnsi="Arial" w:cs="Arial"/>
          <w:b/>
          <w:bCs/>
          <w:i/>
          <w:iCs/>
          <w:sz w:val="24"/>
          <w:szCs w:val="24"/>
        </w:rPr>
        <w:t>MEC for Health, Western Cape v M C</w:t>
      </w:r>
      <w:r w:rsidR="00F047B7">
        <w:rPr>
          <w:rStyle w:val="FootnoteReference"/>
          <w:rFonts w:ascii="Arial" w:hAnsi="Arial"/>
          <w:sz w:val="24"/>
          <w:szCs w:val="24"/>
        </w:rPr>
        <w:footnoteReference w:id="14"/>
      </w:r>
      <w:r w:rsidR="0046446C" w:rsidRPr="00B257D7">
        <w:rPr>
          <w:rFonts w:ascii="Arial" w:hAnsi="Arial" w:cs="Arial"/>
          <w:sz w:val="24"/>
          <w:szCs w:val="24"/>
        </w:rPr>
        <w:t xml:space="preserve">, the Supreme Court of Appeal </w:t>
      </w:r>
      <w:r w:rsidR="002D6CC8" w:rsidRPr="00B257D7">
        <w:rPr>
          <w:rFonts w:ascii="Arial" w:hAnsi="Arial" w:cs="Arial"/>
          <w:sz w:val="24"/>
          <w:szCs w:val="24"/>
        </w:rPr>
        <w:t>outlined how</w:t>
      </w:r>
      <w:r w:rsidR="002E3E20" w:rsidRPr="00B257D7">
        <w:rPr>
          <w:rFonts w:ascii="Arial" w:hAnsi="Arial" w:cs="Arial"/>
          <w:sz w:val="24"/>
          <w:szCs w:val="24"/>
        </w:rPr>
        <w:t xml:space="preserve"> knowledge should be applied</w:t>
      </w:r>
      <w:r w:rsidR="002D6CC8" w:rsidRPr="00B257D7">
        <w:rPr>
          <w:rFonts w:ascii="Arial" w:hAnsi="Arial" w:cs="Arial"/>
          <w:sz w:val="24"/>
          <w:szCs w:val="24"/>
        </w:rPr>
        <w:t xml:space="preserve"> as follows:</w:t>
      </w:r>
    </w:p>
    <w:p w14:paraId="57860B45" w14:textId="77777777" w:rsidR="00DB75E4" w:rsidRDefault="00DB75E4" w:rsidP="002D6CC8">
      <w:pPr>
        <w:pStyle w:val="ListParagraph"/>
        <w:spacing w:after="360" w:line="360" w:lineRule="auto"/>
        <w:jc w:val="both"/>
        <w:rPr>
          <w:rFonts w:ascii="Arial" w:hAnsi="Arial" w:cs="Arial"/>
          <w:sz w:val="24"/>
          <w:szCs w:val="24"/>
        </w:rPr>
      </w:pPr>
    </w:p>
    <w:p w14:paraId="39A914E4" w14:textId="609D6C5F" w:rsidR="005911D3" w:rsidRPr="00A651DF" w:rsidRDefault="002D6CC8" w:rsidP="002D6CC8">
      <w:pPr>
        <w:pStyle w:val="ListParagraph"/>
        <w:spacing w:after="360" w:line="360" w:lineRule="auto"/>
        <w:jc w:val="both"/>
        <w:rPr>
          <w:rFonts w:ascii="Arial" w:hAnsi="Arial" w:cs="Arial"/>
          <w:i/>
          <w:iCs/>
          <w:sz w:val="24"/>
          <w:szCs w:val="24"/>
        </w:rPr>
      </w:pPr>
      <w:r w:rsidRPr="00A651DF">
        <w:rPr>
          <w:rFonts w:ascii="Arial" w:hAnsi="Arial" w:cs="Arial"/>
          <w:i/>
          <w:iCs/>
          <w:sz w:val="24"/>
          <w:szCs w:val="24"/>
        </w:rPr>
        <w:t>“</w:t>
      </w:r>
      <w:r w:rsidR="005911D3" w:rsidRPr="00A651DF">
        <w:rPr>
          <w:rFonts w:ascii="Arial" w:hAnsi="Arial" w:cs="Arial"/>
          <w:i/>
          <w:iCs/>
          <w:sz w:val="24"/>
          <w:szCs w:val="24"/>
        </w:rPr>
        <w:t xml:space="preserve">[8] Once the facts from which a debt arose (primary facts) have been determined, the enquiry turns to the </w:t>
      </w:r>
      <w:r w:rsidR="004F349C">
        <w:rPr>
          <w:rFonts w:ascii="Arial" w:hAnsi="Arial" w:cs="Arial"/>
          <w:i/>
          <w:iCs/>
          <w:sz w:val="24"/>
          <w:szCs w:val="24"/>
        </w:rPr>
        <w:t>plaintiff</w:t>
      </w:r>
      <w:r w:rsidR="005911D3" w:rsidRPr="00A651DF">
        <w:rPr>
          <w:rFonts w:ascii="Arial" w:hAnsi="Arial" w:cs="Arial"/>
          <w:i/>
          <w:iCs/>
          <w:sz w:val="24"/>
          <w:szCs w:val="24"/>
        </w:rPr>
        <w:t xml:space="preserve">’s knowledge of the primary facts. Section 12(3) therefore brings into play a further set of facts. They inform the determination of when the </w:t>
      </w:r>
      <w:r w:rsidR="004F349C">
        <w:rPr>
          <w:rFonts w:ascii="Arial" w:hAnsi="Arial" w:cs="Arial"/>
          <w:i/>
          <w:iCs/>
          <w:sz w:val="24"/>
          <w:szCs w:val="24"/>
        </w:rPr>
        <w:t>plaintiff</w:t>
      </w:r>
      <w:r w:rsidR="005911D3" w:rsidRPr="00A651DF">
        <w:rPr>
          <w:rFonts w:ascii="Arial" w:hAnsi="Arial" w:cs="Arial"/>
          <w:i/>
          <w:iCs/>
          <w:sz w:val="24"/>
          <w:szCs w:val="24"/>
        </w:rPr>
        <w:t xml:space="preserve"> had actual knowledge of the primary facts or objectively should reasonably have had knowledge thereof. Although there may </w:t>
      </w:r>
      <w:r w:rsidR="005911D3" w:rsidRPr="00A651DF">
        <w:rPr>
          <w:rFonts w:ascii="Arial" w:hAnsi="Arial" w:cs="Arial"/>
          <w:i/>
          <w:iCs/>
          <w:sz w:val="24"/>
          <w:szCs w:val="24"/>
        </w:rPr>
        <w:lastRenderedPageBreak/>
        <w:t>be some overlapping of facts, it is important to bear in mind that these are distinct enquiries.</w:t>
      </w:r>
      <w:r w:rsidRPr="00A651DF">
        <w:rPr>
          <w:rFonts w:ascii="Arial" w:hAnsi="Arial" w:cs="Arial"/>
          <w:i/>
          <w:iCs/>
          <w:sz w:val="24"/>
          <w:szCs w:val="24"/>
        </w:rPr>
        <w:t>”</w:t>
      </w:r>
    </w:p>
    <w:p w14:paraId="67BE445B" w14:textId="77777777" w:rsidR="0061163B" w:rsidRPr="0061163B" w:rsidRDefault="0061163B" w:rsidP="003C74CA">
      <w:pPr>
        <w:pStyle w:val="ListParagraph"/>
        <w:spacing w:after="360" w:line="360" w:lineRule="auto"/>
        <w:jc w:val="both"/>
        <w:rPr>
          <w:rFonts w:ascii="Arial" w:hAnsi="Arial" w:cs="Arial"/>
          <w:sz w:val="24"/>
          <w:szCs w:val="24"/>
        </w:rPr>
      </w:pPr>
    </w:p>
    <w:p w14:paraId="5B1AB0D8" w14:textId="01625CF7" w:rsidR="00880FD9"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61163B" w:rsidRPr="00B257D7">
        <w:rPr>
          <w:rFonts w:ascii="Arial" w:hAnsi="Arial" w:cs="Arial"/>
          <w:sz w:val="24"/>
          <w:szCs w:val="24"/>
        </w:rPr>
        <w:t>In the context of section 12(3), actual knowledge refers to the creditor's subjective awareness, while</w:t>
      </w:r>
      <w:r w:rsidR="00BC367E" w:rsidRPr="00B257D7">
        <w:rPr>
          <w:rFonts w:ascii="Arial" w:hAnsi="Arial" w:cs="Arial"/>
          <w:sz w:val="24"/>
          <w:szCs w:val="24"/>
        </w:rPr>
        <w:t xml:space="preserve"> </w:t>
      </w:r>
      <w:r w:rsidR="00505E01" w:rsidRPr="00B257D7">
        <w:rPr>
          <w:rFonts w:ascii="Arial" w:hAnsi="Arial" w:cs="Arial"/>
          <w:sz w:val="24"/>
          <w:szCs w:val="24"/>
        </w:rPr>
        <w:t>with</w:t>
      </w:r>
      <w:r w:rsidR="00BC367E" w:rsidRPr="00B257D7">
        <w:rPr>
          <w:rFonts w:ascii="Arial" w:hAnsi="Arial" w:cs="Arial"/>
          <w:sz w:val="24"/>
          <w:szCs w:val="24"/>
        </w:rPr>
        <w:t xml:space="preserve"> respect </w:t>
      </w:r>
      <w:r w:rsidR="00505E01" w:rsidRPr="00B257D7">
        <w:rPr>
          <w:rFonts w:ascii="Arial" w:hAnsi="Arial" w:cs="Arial"/>
          <w:sz w:val="24"/>
          <w:szCs w:val="24"/>
        </w:rPr>
        <w:t>to</w:t>
      </w:r>
      <w:r w:rsidR="00BC367E" w:rsidRPr="00B257D7">
        <w:rPr>
          <w:rFonts w:ascii="Arial" w:hAnsi="Arial" w:cs="Arial"/>
          <w:sz w:val="24"/>
          <w:szCs w:val="24"/>
        </w:rPr>
        <w:t xml:space="preserve"> the</w:t>
      </w:r>
      <w:r w:rsidR="0061163B" w:rsidRPr="00B257D7">
        <w:rPr>
          <w:rFonts w:ascii="Arial" w:hAnsi="Arial" w:cs="Arial"/>
          <w:sz w:val="24"/>
          <w:szCs w:val="24"/>
        </w:rPr>
        <w:t xml:space="preserve"> deemed </w:t>
      </w:r>
      <w:r w:rsidR="00880FD9" w:rsidRPr="00B257D7">
        <w:rPr>
          <w:rFonts w:ascii="Arial" w:hAnsi="Arial" w:cs="Arial"/>
          <w:sz w:val="24"/>
          <w:szCs w:val="24"/>
        </w:rPr>
        <w:t>knowledge, the constitutional court</w:t>
      </w:r>
      <w:r w:rsidR="007621D2" w:rsidRPr="00B257D7">
        <w:rPr>
          <w:rFonts w:ascii="Arial" w:hAnsi="Arial" w:cs="Arial"/>
          <w:sz w:val="24"/>
          <w:szCs w:val="24"/>
        </w:rPr>
        <w:t xml:space="preserve"> in</w:t>
      </w:r>
      <w:r w:rsidR="007621D2" w:rsidRPr="007621D2">
        <w:t xml:space="preserve"> </w:t>
      </w:r>
      <w:r w:rsidR="007621D2" w:rsidRPr="00B257D7">
        <w:rPr>
          <w:rFonts w:ascii="Arial" w:hAnsi="Arial" w:cs="Arial"/>
          <w:b/>
          <w:bCs/>
          <w:i/>
          <w:iCs/>
          <w:sz w:val="24"/>
          <w:szCs w:val="24"/>
        </w:rPr>
        <w:t>Le Roux and Another v Johannes G Coetzee and Seuns and Another</w:t>
      </w:r>
      <w:r w:rsidR="007621D2">
        <w:rPr>
          <w:rStyle w:val="FootnoteReference"/>
          <w:rFonts w:ascii="Arial" w:hAnsi="Arial"/>
          <w:sz w:val="24"/>
          <w:szCs w:val="24"/>
        </w:rPr>
        <w:footnoteReference w:id="15"/>
      </w:r>
      <w:r w:rsidR="007621D2" w:rsidRPr="00B257D7">
        <w:rPr>
          <w:rFonts w:ascii="Arial" w:hAnsi="Arial" w:cs="Arial"/>
          <w:sz w:val="24"/>
          <w:szCs w:val="24"/>
        </w:rPr>
        <w:t xml:space="preserve"> </w:t>
      </w:r>
      <w:r w:rsidR="00880FD9" w:rsidRPr="00B257D7">
        <w:rPr>
          <w:rFonts w:ascii="Arial" w:hAnsi="Arial" w:cs="Arial"/>
          <w:sz w:val="24"/>
          <w:szCs w:val="24"/>
        </w:rPr>
        <w:t>held that:</w:t>
      </w:r>
    </w:p>
    <w:p w14:paraId="4E28BE35" w14:textId="77777777" w:rsidR="003C74CA" w:rsidRDefault="003C74CA" w:rsidP="003C74CA">
      <w:pPr>
        <w:pStyle w:val="ListParagraph"/>
        <w:spacing w:after="360" w:line="360" w:lineRule="auto"/>
        <w:jc w:val="both"/>
        <w:rPr>
          <w:rFonts w:ascii="Arial" w:hAnsi="Arial" w:cs="Arial"/>
          <w:sz w:val="24"/>
          <w:szCs w:val="24"/>
        </w:rPr>
      </w:pPr>
    </w:p>
    <w:p w14:paraId="754ACFC3" w14:textId="31093151" w:rsidR="007621D2" w:rsidRPr="007621D2" w:rsidRDefault="007621D2" w:rsidP="007621D2">
      <w:pPr>
        <w:pStyle w:val="ListParagraph"/>
        <w:spacing w:after="360" w:line="360" w:lineRule="auto"/>
        <w:ind w:left="1620" w:hanging="810"/>
        <w:jc w:val="both"/>
        <w:rPr>
          <w:rFonts w:ascii="Arial" w:hAnsi="Arial" w:cs="Arial"/>
          <w:i/>
          <w:iCs/>
          <w:sz w:val="24"/>
          <w:szCs w:val="24"/>
        </w:rPr>
      </w:pPr>
      <w:r w:rsidRPr="007621D2">
        <w:rPr>
          <w:rFonts w:ascii="Arial" w:hAnsi="Arial" w:cs="Arial"/>
          <w:i/>
          <w:iCs/>
          <w:sz w:val="24"/>
          <w:szCs w:val="24"/>
        </w:rPr>
        <w:t>“[175]  For purposes of section 12(3), a creditor’s knowledge includes knowledge which he may reasonably be expected to have acquired.  In the absence of justification, knowledge of non-material facts may therefore be sufficient to lead the court to conclude that the creditor had constructive knowledge as envisaged in the proviso to sub-section (3).  A creditor will be deemed to have had knowledge of the identified facts at the time when a reasonable person in the position of the creditor would have deduced the material facts from which the debt arose, or if it was reasonable for a person in the position of the creditor to have made such enquiries relevant to ascertaining the material facts.[136]</w:t>
      </w:r>
    </w:p>
    <w:p w14:paraId="6A3704F9" w14:textId="77777777" w:rsidR="007621D2" w:rsidRPr="007621D2" w:rsidRDefault="007621D2" w:rsidP="007621D2">
      <w:pPr>
        <w:pStyle w:val="ListParagraph"/>
        <w:spacing w:after="360" w:line="360" w:lineRule="auto"/>
        <w:ind w:left="1620" w:hanging="810"/>
        <w:jc w:val="both"/>
        <w:rPr>
          <w:rFonts w:ascii="Arial" w:hAnsi="Arial" w:cs="Arial"/>
          <w:i/>
          <w:iCs/>
          <w:sz w:val="24"/>
          <w:szCs w:val="24"/>
        </w:rPr>
      </w:pPr>
    </w:p>
    <w:p w14:paraId="31383223" w14:textId="04779018" w:rsidR="00BA7F3F" w:rsidRDefault="007621D2" w:rsidP="007D69C7">
      <w:pPr>
        <w:pStyle w:val="ListParagraph"/>
        <w:spacing w:after="360" w:line="360" w:lineRule="auto"/>
        <w:ind w:left="1620" w:hanging="810"/>
        <w:jc w:val="both"/>
        <w:rPr>
          <w:rFonts w:ascii="Arial" w:hAnsi="Arial" w:cs="Arial"/>
          <w:i/>
          <w:iCs/>
          <w:sz w:val="24"/>
          <w:szCs w:val="24"/>
        </w:rPr>
      </w:pPr>
      <w:r w:rsidRPr="007621D2">
        <w:rPr>
          <w:rFonts w:ascii="Arial" w:hAnsi="Arial" w:cs="Arial"/>
          <w:i/>
          <w:iCs/>
          <w:sz w:val="24"/>
          <w:szCs w:val="24"/>
        </w:rPr>
        <w:t>[176]     Accordingly, while the test for reasonable care for purposes of section 12(3) is objective, what is reasonable is measured against the standard of a reasonable person with the characteristics of the creditor.  It is crucial to emphasise that, by reason of the nature of the enquiry envisaged in section 12(3), the enquiry is fact-specific.  In other words, what is reasonable must be determined in the context of the factual circumstances of each case.  Consequently, it serves very little purpose to seek guidance in the decisions of other cases.”</w:t>
      </w:r>
    </w:p>
    <w:p w14:paraId="11D70315" w14:textId="77777777" w:rsidR="007D69C7" w:rsidRPr="007D69C7" w:rsidRDefault="007D69C7" w:rsidP="007D69C7">
      <w:pPr>
        <w:spacing w:after="360" w:line="360" w:lineRule="auto"/>
        <w:jc w:val="both"/>
        <w:rPr>
          <w:rFonts w:ascii="Arial" w:hAnsi="Arial" w:cs="Arial"/>
          <w:i/>
          <w:iCs/>
          <w:sz w:val="24"/>
          <w:szCs w:val="24"/>
        </w:rPr>
      </w:pPr>
    </w:p>
    <w:p w14:paraId="16CAB31C" w14:textId="611B6D21" w:rsidR="00ED7FEA" w:rsidRPr="00B257D7" w:rsidRDefault="00B257D7" w:rsidP="00B257D7">
      <w:pPr>
        <w:spacing w:after="360" w:line="360" w:lineRule="auto"/>
        <w:ind w:left="720" w:hanging="720"/>
        <w:jc w:val="both"/>
        <w:rPr>
          <w:rFonts w:ascii="Arial" w:hAnsi="Arial" w:cs="Arial"/>
          <w:sz w:val="24"/>
          <w:szCs w:val="24"/>
        </w:rPr>
      </w:pPr>
      <w:r w:rsidRPr="00ED7FEA">
        <w:rPr>
          <w:rFonts w:ascii="Arial" w:hAnsi="Arial" w:cs="Arial"/>
          <w:sz w:val="24"/>
          <w:szCs w:val="24"/>
        </w:rPr>
        <w:lastRenderedPageBreak/>
        <w:t>[41.]</w:t>
      </w:r>
      <w:r w:rsidRPr="00ED7FEA">
        <w:rPr>
          <w:rFonts w:ascii="Arial" w:hAnsi="Arial" w:cs="Arial"/>
          <w:sz w:val="24"/>
          <w:szCs w:val="24"/>
        </w:rPr>
        <w:tab/>
      </w:r>
      <w:r w:rsidR="00ED7FEA" w:rsidRPr="00B257D7">
        <w:rPr>
          <w:rFonts w:ascii="Arial" w:hAnsi="Arial" w:cs="Arial"/>
          <w:sz w:val="24"/>
          <w:szCs w:val="24"/>
        </w:rPr>
        <w:t xml:space="preserve">In </w:t>
      </w:r>
      <w:bookmarkStart w:id="3" w:name="_Hlk167295021"/>
      <w:r w:rsidR="00ED7FEA" w:rsidRPr="00B257D7">
        <w:rPr>
          <w:rFonts w:ascii="Arial" w:hAnsi="Arial" w:cs="Arial"/>
          <w:b/>
          <w:bCs/>
          <w:i/>
          <w:iCs/>
          <w:sz w:val="24"/>
          <w:szCs w:val="24"/>
        </w:rPr>
        <w:t>Drennan Maud &amp; Partners v Pennington Town Board</w:t>
      </w:r>
      <w:r w:rsidR="00ED7FEA" w:rsidRPr="00B257D7">
        <w:rPr>
          <w:rFonts w:ascii="Arial" w:hAnsi="Arial" w:cs="Arial"/>
          <w:b/>
          <w:bCs/>
          <w:sz w:val="24"/>
          <w:szCs w:val="24"/>
        </w:rPr>
        <w:t xml:space="preserve"> </w:t>
      </w:r>
      <w:bookmarkEnd w:id="3"/>
      <w:r w:rsidR="00ED7FEA" w:rsidRPr="00B257D7">
        <w:rPr>
          <w:rFonts w:ascii="Arial" w:hAnsi="Arial" w:cs="Arial"/>
          <w:sz w:val="24"/>
          <w:szCs w:val="24"/>
        </w:rPr>
        <w:t xml:space="preserve"> Olivier JA stated</w:t>
      </w:r>
      <w:r w:rsidR="00B5244D">
        <w:rPr>
          <w:rStyle w:val="FootnoteReference"/>
          <w:rFonts w:ascii="Arial" w:hAnsi="Arial"/>
          <w:sz w:val="24"/>
          <w:szCs w:val="24"/>
        </w:rPr>
        <w:footnoteReference w:id="16"/>
      </w:r>
      <w:r w:rsidR="00ED7FEA" w:rsidRPr="00B257D7">
        <w:rPr>
          <w:rFonts w:ascii="Arial" w:hAnsi="Arial" w:cs="Arial"/>
          <w:sz w:val="24"/>
          <w:szCs w:val="24"/>
        </w:rPr>
        <w:t>:</w:t>
      </w:r>
    </w:p>
    <w:p w14:paraId="7945EDFE" w14:textId="77777777" w:rsidR="00ED7FEA" w:rsidRPr="00ED7FEA" w:rsidRDefault="00ED7FEA" w:rsidP="00ED7FEA">
      <w:pPr>
        <w:pStyle w:val="ListParagraph"/>
        <w:spacing w:after="360" w:line="360" w:lineRule="auto"/>
        <w:jc w:val="both"/>
        <w:rPr>
          <w:rFonts w:ascii="Arial" w:hAnsi="Arial" w:cs="Arial"/>
          <w:sz w:val="24"/>
          <w:szCs w:val="24"/>
        </w:rPr>
      </w:pPr>
    </w:p>
    <w:p w14:paraId="4004910C" w14:textId="18B4C89F" w:rsidR="00AB7E8B" w:rsidRDefault="00ED7FEA" w:rsidP="00EB5DA9">
      <w:pPr>
        <w:pStyle w:val="ListParagraph"/>
        <w:spacing w:after="360" w:line="360" w:lineRule="auto"/>
        <w:jc w:val="both"/>
        <w:rPr>
          <w:rFonts w:ascii="Arial" w:hAnsi="Arial" w:cs="Arial"/>
          <w:i/>
          <w:iCs/>
          <w:sz w:val="24"/>
          <w:szCs w:val="24"/>
        </w:rPr>
      </w:pPr>
      <w:r w:rsidRPr="00BA7F3F">
        <w:rPr>
          <w:rFonts w:ascii="Arial" w:hAnsi="Arial" w:cs="Arial"/>
          <w:i/>
          <w:iCs/>
          <w:sz w:val="24"/>
          <w:szCs w:val="24"/>
        </w:rPr>
        <w:t>“Section 12 (3) of the [Prescription] Act provides that a creditor shall be deemed to have the required knowledge ‘if he could have acquired it by exercising reasonable care’.  In my view, the requirement ‘exercising reasonable care’ requires diligence not only in the ascertainment of the facts underlying the debt, but also in relation to the evaluation and significance of those facts.  This means that the creditor is deemed to have the requisite knowledge if a reasonable person in his position would have deduced the identity of the debtor and the facts from which the debt arises</w:t>
      </w:r>
      <w:r w:rsidR="00BA7F3F" w:rsidRPr="00BA7F3F">
        <w:rPr>
          <w:rFonts w:ascii="Arial" w:hAnsi="Arial" w:cs="Arial"/>
          <w:i/>
          <w:iCs/>
          <w:sz w:val="24"/>
          <w:szCs w:val="24"/>
        </w:rPr>
        <w:t>”</w:t>
      </w:r>
      <w:r w:rsidR="00B5244D" w:rsidRPr="00BA7F3F">
        <w:rPr>
          <w:rStyle w:val="FootnoteReference"/>
          <w:rFonts w:ascii="Arial" w:hAnsi="Arial"/>
          <w:i/>
          <w:iCs/>
          <w:sz w:val="24"/>
          <w:szCs w:val="24"/>
        </w:rPr>
        <w:footnoteReference w:id="17"/>
      </w:r>
    </w:p>
    <w:p w14:paraId="097E6B92" w14:textId="77777777" w:rsidR="005A558C" w:rsidRDefault="005A558C" w:rsidP="005A558C">
      <w:pPr>
        <w:pStyle w:val="ListParagraph"/>
        <w:spacing w:after="360" w:line="360" w:lineRule="auto"/>
        <w:jc w:val="both"/>
        <w:rPr>
          <w:rFonts w:ascii="Arial" w:hAnsi="Arial" w:cs="Arial"/>
          <w:sz w:val="24"/>
          <w:szCs w:val="24"/>
        </w:rPr>
      </w:pPr>
    </w:p>
    <w:p w14:paraId="37975565" w14:textId="331EB582" w:rsidR="00E72A18"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9467A1" w:rsidRPr="00B257D7">
        <w:rPr>
          <w:rFonts w:ascii="Arial" w:hAnsi="Arial" w:cs="Arial"/>
          <w:sz w:val="24"/>
          <w:szCs w:val="24"/>
        </w:rPr>
        <w:t xml:space="preserve">In matters of unlawful arrest and detention, the relevant material facts to be considered from a creditor's pleaded claim </w:t>
      </w:r>
      <w:r w:rsidR="0035683D" w:rsidRPr="00B257D7">
        <w:rPr>
          <w:rFonts w:ascii="Arial" w:hAnsi="Arial" w:cs="Arial"/>
          <w:sz w:val="24"/>
          <w:szCs w:val="24"/>
        </w:rPr>
        <w:t>include</w:t>
      </w:r>
      <w:r w:rsidR="009467A1" w:rsidRPr="00B257D7">
        <w:rPr>
          <w:rFonts w:ascii="Arial" w:hAnsi="Arial" w:cs="Arial"/>
          <w:sz w:val="24"/>
          <w:szCs w:val="24"/>
        </w:rPr>
        <w:t xml:space="preserve"> the acts or omissions that pertain to wrongfulness</w:t>
      </w:r>
      <w:r w:rsidR="005D5962" w:rsidRPr="00B257D7">
        <w:rPr>
          <w:rFonts w:ascii="Arial" w:hAnsi="Arial" w:cs="Arial"/>
          <w:sz w:val="24"/>
          <w:szCs w:val="24"/>
        </w:rPr>
        <w:t xml:space="preserve"> or unlawfulness</w:t>
      </w:r>
      <w:r w:rsidR="009467A1" w:rsidRPr="00B257D7">
        <w:rPr>
          <w:rFonts w:ascii="Arial" w:hAnsi="Arial" w:cs="Arial"/>
          <w:sz w:val="24"/>
          <w:szCs w:val="24"/>
        </w:rPr>
        <w:t xml:space="preserve">. It is not necessary for the creditor to know that these material facts legally support a conclusion of wrongfulness or unlawfulness; it is enough to </w:t>
      </w:r>
      <w:r w:rsidR="000D5D95" w:rsidRPr="00B257D7">
        <w:rPr>
          <w:rFonts w:ascii="Arial" w:hAnsi="Arial" w:cs="Arial"/>
          <w:sz w:val="24"/>
          <w:szCs w:val="24"/>
        </w:rPr>
        <w:t>have actual or deemed objective</w:t>
      </w:r>
      <w:r w:rsidR="009467A1" w:rsidRPr="00B257D7">
        <w:rPr>
          <w:rFonts w:ascii="Arial" w:hAnsi="Arial" w:cs="Arial"/>
          <w:sz w:val="24"/>
          <w:szCs w:val="24"/>
        </w:rPr>
        <w:t xml:space="preserve"> </w:t>
      </w:r>
      <w:r w:rsidR="000D5D95" w:rsidRPr="00B257D7">
        <w:rPr>
          <w:rFonts w:ascii="Arial" w:hAnsi="Arial" w:cs="Arial"/>
          <w:sz w:val="24"/>
          <w:szCs w:val="24"/>
        </w:rPr>
        <w:t>awareness</w:t>
      </w:r>
      <w:r w:rsidR="009467A1" w:rsidRPr="00B257D7">
        <w:rPr>
          <w:rFonts w:ascii="Arial" w:hAnsi="Arial" w:cs="Arial"/>
          <w:sz w:val="24"/>
          <w:szCs w:val="24"/>
        </w:rPr>
        <w:t xml:space="preserve"> of facts that could be characterized as wrongful or unlawful. The legal consequences must be derived from these facts. Therefore, the prescription period is not delayed until the creditor fully </w:t>
      </w:r>
      <w:r w:rsidR="006319E9" w:rsidRPr="00B257D7">
        <w:rPr>
          <w:rFonts w:ascii="Arial" w:hAnsi="Arial" w:cs="Arial"/>
          <w:sz w:val="24"/>
          <w:szCs w:val="24"/>
        </w:rPr>
        <w:t>appreciates</w:t>
      </w:r>
      <w:r w:rsidR="009467A1" w:rsidRPr="00B257D7">
        <w:rPr>
          <w:rFonts w:ascii="Arial" w:hAnsi="Arial" w:cs="Arial"/>
          <w:sz w:val="24"/>
          <w:szCs w:val="24"/>
        </w:rPr>
        <w:t xml:space="preserve"> the extent of their rights</w:t>
      </w:r>
      <w:r w:rsidR="0052710B">
        <w:rPr>
          <w:rStyle w:val="FootnoteReference"/>
          <w:rFonts w:ascii="Arial" w:hAnsi="Arial"/>
          <w:sz w:val="24"/>
          <w:szCs w:val="24"/>
        </w:rPr>
        <w:footnoteReference w:id="18"/>
      </w:r>
      <w:r w:rsidR="009467A1" w:rsidRPr="00B257D7">
        <w:rPr>
          <w:rFonts w:ascii="Arial" w:hAnsi="Arial" w:cs="Arial"/>
          <w:sz w:val="24"/>
          <w:szCs w:val="24"/>
        </w:rPr>
        <w:t xml:space="preserve">. To hold otherwise would undermine the purpose of the Prescription Act, which aims to protect </w:t>
      </w:r>
      <w:r w:rsidR="0052710B" w:rsidRPr="00B257D7">
        <w:rPr>
          <w:rFonts w:ascii="Arial" w:hAnsi="Arial" w:cs="Arial"/>
          <w:sz w:val="24"/>
          <w:szCs w:val="24"/>
        </w:rPr>
        <w:t>litigants</w:t>
      </w:r>
      <w:r w:rsidR="009467A1" w:rsidRPr="00B257D7">
        <w:rPr>
          <w:rFonts w:ascii="Arial" w:hAnsi="Arial" w:cs="Arial"/>
          <w:sz w:val="24"/>
          <w:szCs w:val="24"/>
        </w:rPr>
        <w:t xml:space="preserve"> from delays caused by litigants who do not enforce their rights promptly.</w:t>
      </w:r>
      <w:r w:rsidR="0052710B" w:rsidRPr="00B257D7">
        <w:rPr>
          <w:rStyle w:val="FootnoteReference"/>
          <w:rFonts w:ascii="Arial" w:hAnsi="Arial"/>
          <w:sz w:val="24"/>
          <w:szCs w:val="24"/>
        </w:rPr>
        <w:t xml:space="preserve"> </w:t>
      </w:r>
      <w:r w:rsidR="0052710B">
        <w:rPr>
          <w:rStyle w:val="FootnoteReference"/>
          <w:rFonts w:ascii="Arial" w:hAnsi="Arial"/>
          <w:sz w:val="24"/>
          <w:szCs w:val="24"/>
        </w:rPr>
        <w:footnoteReference w:id="19"/>
      </w:r>
      <w:r w:rsidR="00A168F1" w:rsidRPr="00B257D7">
        <w:rPr>
          <w:rFonts w:ascii="Arial" w:hAnsi="Arial" w:cs="Arial"/>
          <w:sz w:val="24"/>
          <w:szCs w:val="24"/>
        </w:rPr>
        <w:t xml:space="preserve">  </w:t>
      </w:r>
    </w:p>
    <w:p w14:paraId="4CDBC47B" w14:textId="39018254" w:rsidR="00766306" w:rsidRPr="00A33D70" w:rsidRDefault="00A33D70" w:rsidP="007D69C7">
      <w:pPr>
        <w:spacing w:after="360" w:line="360" w:lineRule="auto"/>
        <w:jc w:val="both"/>
        <w:rPr>
          <w:rFonts w:ascii="Arial" w:hAnsi="Arial" w:cs="Arial"/>
          <w:b/>
          <w:bCs/>
          <w:sz w:val="24"/>
          <w:szCs w:val="24"/>
          <w:u w:val="single"/>
        </w:rPr>
      </w:pPr>
      <w:r>
        <w:rPr>
          <w:rFonts w:ascii="Arial" w:hAnsi="Arial" w:cs="Arial"/>
          <w:b/>
          <w:bCs/>
          <w:sz w:val="24"/>
          <w:szCs w:val="24"/>
          <w:u w:val="single"/>
        </w:rPr>
        <w:t>DISCUSSION</w:t>
      </w:r>
    </w:p>
    <w:p w14:paraId="5A01B326" w14:textId="00FB49BC" w:rsidR="006F063D"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193EEC" w:rsidRPr="00B257D7">
        <w:rPr>
          <w:rFonts w:ascii="Arial" w:hAnsi="Arial" w:cs="Arial"/>
          <w:sz w:val="24"/>
          <w:szCs w:val="24"/>
        </w:rPr>
        <w:t xml:space="preserve">As previously mentioned in this judgment, the </w:t>
      </w:r>
      <w:r w:rsidR="004F349C" w:rsidRPr="00B257D7">
        <w:rPr>
          <w:rFonts w:ascii="Arial" w:hAnsi="Arial" w:cs="Arial"/>
          <w:sz w:val="24"/>
          <w:szCs w:val="24"/>
        </w:rPr>
        <w:t>plaintiff</w:t>
      </w:r>
      <w:r w:rsidR="00193EEC" w:rsidRPr="00B257D7">
        <w:rPr>
          <w:rFonts w:ascii="Arial" w:hAnsi="Arial" w:cs="Arial"/>
          <w:sz w:val="24"/>
          <w:szCs w:val="24"/>
        </w:rPr>
        <w:t xml:space="preserve">’s claims do not constitute a continuous wrong that would delay the start of the prescription period until the conclusion of his criminal proceedings. Therefore, prima facie, the </w:t>
      </w:r>
      <w:r w:rsidR="004F349C" w:rsidRPr="00B257D7">
        <w:rPr>
          <w:rFonts w:ascii="Arial" w:hAnsi="Arial" w:cs="Arial"/>
          <w:sz w:val="24"/>
          <w:szCs w:val="24"/>
        </w:rPr>
        <w:t>plaintiff</w:t>
      </w:r>
      <w:r w:rsidR="00193EEC" w:rsidRPr="00B257D7">
        <w:rPr>
          <w:rFonts w:ascii="Arial" w:hAnsi="Arial" w:cs="Arial"/>
          <w:sz w:val="24"/>
          <w:szCs w:val="24"/>
        </w:rPr>
        <w:t xml:space="preserve">’s claim for unlawful arrest began when </w:t>
      </w:r>
      <w:r w:rsidR="005D6747" w:rsidRPr="00B257D7">
        <w:rPr>
          <w:rFonts w:ascii="Arial" w:hAnsi="Arial" w:cs="Arial"/>
          <w:sz w:val="24"/>
          <w:szCs w:val="24"/>
        </w:rPr>
        <w:t xml:space="preserve">immediately after </w:t>
      </w:r>
      <w:r w:rsidR="00193EEC" w:rsidRPr="00B257D7">
        <w:rPr>
          <w:rFonts w:ascii="Arial" w:hAnsi="Arial" w:cs="Arial"/>
          <w:sz w:val="24"/>
          <w:szCs w:val="24"/>
        </w:rPr>
        <w:t xml:space="preserve">he was arrested and deprived of his liberty on 10 September 2014 by members of the SAPS. </w:t>
      </w:r>
      <w:r w:rsidR="00193EEC" w:rsidRPr="00B257D7">
        <w:rPr>
          <w:rFonts w:ascii="Arial" w:hAnsi="Arial" w:cs="Arial"/>
          <w:sz w:val="24"/>
          <w:szCs w:val="24"/>
        </w:rPr>
        <w:lastRenderedPageBreak/>
        <w:t xml:space="preserve">Regarding his detention, </w:t>
      </w:r>
      <w:r w:rsidR="00505E01" w:rsidRPr="00B257D7">
        <w:rPr>
          <w:rFonts w:ascii="Arial" w:hAnsi="Arial" w:cs="Arial"/>
          <w:sz w:val="24"/>
          <w:szCs w:val="24"/>
        </w:rPr>
        <w:t xml:space="preserve">the </w:t>
      </w:r>
      <w:r w:rsidR="00193EEC" w:rsidRPr="00B257D7">
        <w:rPr>
          <w:rFonts w:ascii="Arial" w:hAnsi="Arial" w:cs="Arial"/>
          <w:sz w:val="24"/>
          <w:szCs w:val="24"/>
        </w:rPr>
        <w:t>prescription began to run each day of his detention, as each day constituted a new</w:t>
      </w:r>
      <w:r w:rsidR="00042288" w:rsidRPr="00B257D7">
        <w:rPr>
          <w:rFonts w:ascii="Arial" w:hAnsi="Arial" w:cs="Arial"/>
          <w:sz w:val="24"/>
          <w:szCs w:val="24"/>
        </w:rPr>
        <w:t xml:space="preserve"> and separate </w:t>
      </w:r>
      <w:r w:rsidR="00193EEC" w:rsidRPr="00B257D7">
        <w:rPr>
          <w:rFonts w:ascii="Arial" w:hAnsi="Arial" w:cs="Arial"/>
          <w:sz w:val="24"/>
          <w:szCs w:val="24"/>
        </w:rPr>
        <w:t>debt as long as the wrongful conduct continued.</w:t>
      </w:r>
    </w:p>
    <w:p w14:paraId="35EDB79B" w14:textId="77777777" w:rsidR="0090207A" w:rsidRPr="0090207A" w:rsidRDefault="0090207A" w:rsidP="0090207A">
      <w:pPr>
        <w:pStyle w:val="ListParagraph"/>
        <w:spacing w:after="360" w:line="360" w:lineRule="auto"/>
        <w:jc w:val="both"/>
        <w:rPr>
          <w:rFonts w:ascii="Arial" w:hAnsi="Arial" w:cs="Arial"/>
          <w:sz w:val="24"/>
          <w:szCs w:val="24"/>
        </w:rPr>
      </w:pPr>
    </w:p>
    <w:p w14:paraId="2670CB87" w14:textId="69C13FFC" w:rsidR="006F063D"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F063D" w:rsidRPr="00B257D7">
        <w:rPr>
          <w:rFonts w:ascii="Arial" w:hAnsi="Arial" w:cs="Arial"/>
          <w:sz w:val="24"/>
          <w:szCs w:val="24"/>
        </w:rPr>
        <w:t>In his replication</w:t>
      </w:r>
      <w:r w:rsidR="00927AD4" w:rsidRPr="00B257D7">
        <w:rPr>
          <w:rFonts w:ascii="Arial" w:hAnsi="Arial" w:cs="Arial"/>
          <w:sz w:val="24"/>
          <w:szCs w:val="24"/>
        </w:rPr>
        <w:t xml:space="preserve"> and constrained to his described claim, </w:t>
      </w:r>
      <w:r w:rsidR="006F063D" w:rsidRPr="00B257D7">
        <w:rPr>
          <w:rFonts w:ascii="Arial" w:hAnsi="Arial" w:cs="Arial"/>
          <w:sz w:val="24"/>
          <w:szCs w:val="24"/>
        </w:rPr>
        <w:t xml:space="preserve"> the </w:t>
      </w:r>
      <w:r w:rsidR="005F5EB2" w:rsidRPr="00B257D7">
        <w:rPr>
          <w:rFonts w:ascii="Arial" w:hAnsi="Arial" w:cs="Arial"/>
          <w:sz w:val="24"/>
          <w:szCs w:val="24"/>
        </w:rPr>
        <w:t>p</w:t>
      </w:r>
      <w:r w:rsidR="004F349C" w:rsidRPr="00B257D7">
        <w:rPr>
          <w:rFonts w:ascii="Arial" w:hAnsi="Arial" w:cs="Arial"/>
          <w:sz w:val="24"/>
          <w:szCs w:val="24"/>
        </w:rPr>
        <w:t>laintiff</w:t>
      </w:r>
      <w:r w:rsidR="00861619" w:rsidRPr="00B257D7">
        <w:rPr>
          <w:rFonts w:ascii="Arial" w:hAnsi="Arial" w:cs="Arial"/>
          <w:sz w:val="24"/>
          <w:szCs w:val="24"/>
        </w:rPr>
        <w:t xml:space="preserve"> invoked section 12(3) of the Prescription Act to assert </w:t>
      </w:r>
      <w:r w:rsidR="006F063D" w:rsidRPr="00B257D7">
        <w:rPr>
          <w:rFonts w:ascii="Arial" w:hAnsi="Arial" w:cs="Arial"/>
          <w:sz w:val="24"/>
          <w:szCs w:val="24"/>
        </w:rPr>
        <w:t xml:space="preserve">that he did not know he had a right to claim against the </w:t>
      </w:r>
      <w:r w:rsidR="004F349C" w:rsidRPr="00B257D7">
        <w:rPr>
          <w:rFonts w:ascii="Arial" w:hAnsi="Arial" w:cs="Arial"/>
          <w:sz w:val="24"/>
          <w:szCs w:val="24"/>
        </w:rPr>
        <w:t>defendant</w:t>
      </w:r>
      <w:r w:rsidR="006F063D" w:rsidRPr="00B257D7">
        <w:rPr>
          <w:rFonts w:ascii="Arial" w:hAnsi="Arial" w:cs="Arial"/>
          <w:sz w:val="24"/>
          <w:szCs w:val="24"/>
        </w:rPr>
        <w:t xml:space="preserve">. He further </w:t>
      </w:r>
      <w:r w:rsidR="00131C1A" w:rsidRPr="00B257D7">
        <w:rPr>
          <w:rFonts w:ascii="Arial" w:hAnsi="Arial" w:cs="Arial"/>
          <w:sz w:val="24"/>
          <w:szCs w:val="24"/>
        </w:rPr>
        <w:t>asserted</w:t>
      </w:r>
      <w:r w:rsidR="006F063D" w:rsidRPr="00B257D7">
        <w:rPr>
          <w:rFonts w:ascii="Arial" w:hAnsi="Arial" w:cs="Arial"/>
          <w:sz w:val="24"/>
          <w:szCs w:val="24"/>
        </w:rPr>
        <w:t xml:space="preserve"> that due to his detention, he was not aware, nor in a position to determine, whether he had a cause of action. According to his </w:t>
      </w:r>
      <w:r w:rsidR="006D2FF8" w:rsidRPr="00B257D7">
        <w:rPr>
          <w:rFonts w:ascii="Arial" w:hAnsi="Arial" w:cs="Arial"/>
          <w:sz w:val="24"/>
          <w:szCs w:val="24"/>
        </w:rPr>
        <w:t>version</w:t>
      </w:r>
      <w:r w:rsidR="006F063D" w:rsidRPr="00B257D7">
        <w:rPr>
          <w:rFonts w:ascii="Arial" w:hAnsi="Arial" w:cs="Arial"/>
          <w:sz w:val="24"/>
          <w:szCs w:val="24"/>
        </w:rPr>
        <w:t>, he only became aware of such a right or cause of action after consulting with his attorney, following a friend's girlfriend's advice to seek legal assistance, after his conviction and sentence were set aside in 2019.</w:t>
      </w:r>
      <w:r w:rsidR="00131C1A" w:rsidRPr="00B257D7">
        <w:rPr>
          <w:rFonts w:ascii="Arial" w:hAnsi="Arial" w:cs="Arial"/>
          <w:sz w:val="24"/>
          <w:szCs w:val="24"/>
        </w:rPr>
        <w:t xml:space="preserve"> </w:t>
      </w:r>
    </w:p>
    <w:p w14:paraId="51FCABEA" w14:textId="77777777" w:rsidR="00E72E6B" w:rsidRDefault="00E72E6B" w:rsidP="00E72E6B">
      <w:pPr>
        <w:pStyle w:val="ListParagraph"/>
        <w:spacing w:after="360" w:line="360" w:lineRule="auto"/>
        <w:jc w:val="both"/>
        <w:rPr>
          <w:rFonts w:ascii="Arial" w:hAnsi="Arial" w:cs="Arial"/>
          <w:sz w:val="24"/>
          <w:szCs w:val="24"/>
        </w:rPr>
      </w:pPr>
    </w:p>
    <w:p w14:paraId="445A195D" w14:textId="04679FA3" w:rsidR="00BF3DC8" w:rsidRPr="00B257D7" w:rsidRDefault="00B257D7" w:rsidP="00B257D7">
      <w:pPr>
        <w:spacing w:after="360" w:line="360" w:lineRule="auto"/>
        <w:ind w:left="720" w:hanging="720"/>
        <w:jc w:val="both"/>
        <w:rPr>
          <w:rFonts w:ascii="Arial" w:hAnsi="Arial" w:cs="Arial"/>
          <w:sz w:val="24"/>
          <w:szCs w:val="24"/>
        </w:rPr>
      </w:pPr>
      <w:r w:rsidRPr="009804AB">
        <w:rPr>
          <w:rFonts w:ascii="Arial" w:hAnsi="Arial" w:cs="Arial"/>
          <w:sz w:val="24"/>
          <w:szCs w:val="24"/>
        </w:rPr>
        <w:t>[45.]</w:t>
      </w:r>
      <w:r w:rsidRPr="009804AB">
        <w:rPr>
          <w:rFonts w:ascii="Arial" w:hAnsi="Arial" w:cs="Arial"/>
          <w:sz w:val="24"/>
          <w:szCs w:val="24"/>
        </w:rPr>
        <w:tab/>
      </w:r>
      <w:r w:rsidR="00D66722" w:rsidRPr="00B257D7">
        <w:rPr>
          <w:rFonts w:ascii="Arial" w:hAnsi="Arial" w:cs="Arial"/>
          <w:sz w:val="24"/>
          <w:szCs w:val="24"/>
        </w:rPr>
        <w:t xml:space="preserve">In determining whether the </w:t>
      </w:r>
      <w:r w:rsidR="004F349C" w:rsidRPr="00B257D7">
        <w:rPr>
          <w:rFonts w:ascii="Arial" w:hAnsi="Arial" w:cs="Arial"/>
          <w:sz w:val="24"/>
          <w:szCs w:val="24"/>
        </w:rPr>
        <w:t>defendant</w:t>
      </w:r>
      <w:r w:rsidR="00D66722" w:rsidRPr="00B257D7">
        <w:rPr>
          <w:rFonts w:ascii="Arial" w:hAnsi="Arial" w:cs="Arial"/>
          <w:sz w:val="24"/>
          <w:szCs w:val="24"/>
        </w:rPr>
        <w:t xml:space="preserve">s have met their burden of proof, it is acknowledged that they face difficulties when the facts are exclusively within the </w:t>
      </w:r>
      <w:r w:rsidR="004F349C" w:rsidRPr="00B257D7">
        <w:rPr>
          <w:rFonts w:ascii="Arial" w:hAnsi="Arial" w:cs="Arial"/>
          <w:sz w:val="24"/>
          <w:szCs w:val="24"/>
        </w:rPr>
        <w:t>plaintiff</w:t>
      </w:r>
      <w:r w:rsidR="00D66722" w:rsidRPr="00B257D7">
        <w:rPr>
          <w:rFonts w:ascii="Arial" w:hAnsi="Arial" w:cs="Arial"/>
          <w:sz w:val="24"/>
          <w:szCs w:val="24"/>
        </w:rPr>
        <w:t xml:space="preserve">'s knowledge. In such cases, </w:t>
      </w:r>
      <w:r w:rsidR="00C81BB0" w:rsidRPr="00B257D7">
        <w:rPr>
          <w:rFonts w:ascii="Arial" w:hAnsi="Arial" w:cs="Arial"/>
          <w:sz w:val="24"/>
          <w:szCs w:val="24"/>
        </w:rPr>
        <w:t xml:space="preserve">although the </w:t>
      </w:r>
      <w:r w:rsidR="004F349C" w:rsidRPr="00B257D7">
        <w:rPr>
          <w:rFonts w:ascii="Arial" w:hAnsi="Arial" w:cs="Arial"/>
          <w:sz w:val="24"/>
          <w:szCs w:val="24"/>
        </w:rPr>
        <w:t>defendant</w:t>
      </w:r>
      <w:r w:rsidR="00C81BB0" w:rsidRPr="00B257D7">
        <w:rPr>
          <w:rFonts w:ascii="Arial" w:hAnsi="Arial" w:cs="Arial"/>
          <w:sz w:val="24"/>
          <w:szCs w:val="24"/>
        </w:rPr>
        <w:t>s</w:t>
      </w:r>
      <w:r w:rsidR="000A3EEC" w:rsidRPr="00B257D7">
        <w:rPr>
          <w:rFonts w:ascii="Arial" w:hAnsi="Arial" w:cs="Arial"/>
          <w:sz w:val="24"/>
          <w:szCs w:val="24"/>
        </w:rPr>
        <w:t>'</w:t>
      </w:r>
      <w:r w:rsidR="00C81BB0" w:rsidRPr="00B257D7">
        <w:rPr>
          <w:rFonts w:ascii="Arial" w:hAnsi="Arial" w:cs="Arial"/>
          <w:sz w:val="24"/>
          <w:szCs w:val="24"/>
        </w:rPr>
        <w:t xml:space="preserve"> burden does not shift</w:t>
      </w:r>
      <w:r w:rsidR="00C81BB0">
        <w:rPr>
          <w:rStyle w:val="FootnoteReference"/>
          <w:rFonts w:ascii="Arial" w:hAnsi="Arial"/>
          <w:sz w:val="24"/>
          <w:szCs w:val="24"/>
        </w:rPr>
        <w:footnoteReference w:id="20"/>
      </w:r>
      <w:r w:rsidR="00C81BB0" w:rsidRPr="00B257D7">
        <w:rPr>
          <w:rFonts w:ascii="Arial" w:hAnsi="Arial" w:cs="Arial"/>
          <w:sz w:val="24"/>
          <w:szCs w:val="24"/>
        </w:rPr>
        <w:t xml:space="preserve">, </w:t>
      </w:r>
      <w:r w:rsidR="00D66722" w:rsidRPr="00B257D7">
        <w:rPr>
          <w:rFonts w:ascii="Arial" w:hAnsi="Arial" w:cs="Arial"/>
          <w:sz w:val="24"/>
          <w:szCs w:val="24"/>
        </w:rPr>
        <w:t>less evidence is required to establish a prima facie case than would typically be necessary in other circumstances.</w:t>
      </w:r>
      <w:r w:rsidR="00C81BB0" w:rsidRPr="00B257D7">
        <w:rPr>
          <w:rStyle w:val="FootnoteReference"/>
          <w:rFonts w:ascii="Arial" w:hAnsi="Arial"/>
          <w:sz w:val="24"/>
          <w:szCs w:val="24"/>
        </w:rPr>
        <w:t xml:space="preserve"> </w:t>
      </w:r>
      <w:r w:rsidR="00C81BB0">
        <w:rPr>
          <w:rStyle w:val="FootnoteReference"/>
          <w:rFonts w:ascii="Arial" w:hAnsi="Arial"/>
          <w:sz w:val="24"/>
          <w:szCs w:val="24"/>
        </w:rPr>
        <w:footnoteReference w:id="21"/>
      </w:r>
    </w:p>
    <w:p w14:paraId="7ECE1DCC" w14:textId="77777777" w:rsidR="00BF3DC8" w:rsidRDefault="00BF3DC8" w:rsidP="00BF3DC8">
      <w:pPr>
        <w:pStyle w:val="ListParagraph"/>
        <w:spacing w:after="360" w:line="360" w:lineRule="auto"/>
        <w:jc w:val="both"/>
        <w:rPr>
          <w:rFonts w:ascii="Arial" w:hAnsi="Arial" w:cs="Arial"/>
          <w:sz w:val="24"/>
          <w:szCs w:val="24"/>
        </w:rPr>
      </w:pPr>
    </w:p>
    <w:p w14:paraId="1F1EC0C4" w14:textId="48889C92" w:rsidR="00BF35BC" w:rsidRPr="00B257D7" w:rsidRDefault="00B257D7" w:rsidP="00B257D7">
      <w:pPr>
        <w:spacing w:after="360" w:line="360" w:lineRule="auto"/>
        <w:ind w:left="720" w:hanging="720"/>
        <w:jc w:val="both"/>
        <w:rPr>
          <w:rFonts w:ascii="Arial" w:hAnsi="Arial" w:cs="Arial"/>
          <w:sz w:val="24"/>
          <w:szCs w:val="24"/>
        </w:rPr>
      </w:pPr>
      <w:r w:rsidRPr="00BF35BC">
        <w:rPr>
          <w:rFonts w:ascii="Arial" w:hAnsi="Arial" w:cs="Arial"/>
          <w:sz w:val="24"/>
          <w:szCs w:val="24"/>
        </w:rPr>
        <w:t>[46.]</w:t>
      </w:r>
      <w:r w:rsidRPr="00BF35BC">
        <w:rPr>
          <w:rFonts w:ascii="Arial" w:hAnsi="Arial" w:cs="Arial"/>
          <w:sz w:val="24"/>
          <w:szCs w:val="24"/>
        </w:rPr>
        <w:tab/>
      </w:r>
      <w:r w:rsidR="00BF35BC" w:rsidRPr="00B257D7">
        <w:rPr>
          <w:rFonts w:ascii="Arial" w:hAnsi="Arial" w:cs="Arial"/>
          <w:sz w:val="24"/>
          <w:szCs w:val="24"/>
        </w:rPr>
        <w:t xml:space="preserve">The </w:t>
      </w:r>
      <w:r w:rsidR="005F5EB2" w:rsidRPr="00B257D7">
        <w:rPr>
          <w:rFonts w:ascii="Arial" w:hAnsi="Arial" w:cs="Arial"/>
          <w:sz w:val="24"/>
          <w:szCs w:val="24"/>
        </w:rPr>
        <w:t>pl</w:t>
      </w:r>
      <w:r w:rsidR="004F349C" w:rsidRPr="00B257D7">
        <w:rPr>
          <w:rFonts w:ascii="Arial" w:hAnsi="Arial" w:cs="Arial"/>
          <w:sz w:val="24"/>
          <w:szCs w:val="24"/>
        </w:rPr>
        <w:t>aintiff</w:t>
      </w:r>
      <w:r w:rsidR="00BF35BC" w:rsidRPr="00B257D7">
        <w:rPr>
          <w:rFonts w:ascii="Arial" w:hAnsi="Arial" w:cs="Arial"/>
          <w:sz w:val="24"/>
          <w:szCs w:val="24"/>
        </w:rPr>
        <w:t xml:space="preserve"> states that he was first legally represented from his second court appearance. He had legal representation throughout the criminal trial and his detention, with the primary mandate</w:t>
      </w:r>
      <w:r w:rsidR="00205C67" w:rsidRPr="00B257D7">
        <w:rPr>
          <w:rFonts w:ascii="Arial" w:hAnsi="Arial" w:cs="Arial"/>
          <w:sz w:val="24"/>
          <w:szCs w:val="24"/>
        </w:rPr>
        <w:t xml:space="preserve"> on his version </w:t>
      </w:r>
      <w:r w:rsidR="000A3EEC" w:rsidRPr="00B257D7">
        <w:rPr>
          <w:rFonts w:ascii="Arial" w:hAnsi="Arial" w:cs="Arial"/>
          <w:sz w:val="24"/>
          <w:szCs w:val="24"/>
        </w:rPr>
        <w:t>being</w:t>
      </w:r>
      <w:r w:rsidR="00BF35BC" w:rsidRPr="00B257D7">
        <w:rPr>
          <w:rFonts w:ascii="Arial" w:hAnsi="Arial" w:cs="Arial"/>
          <w:sz w:val="24"/>
          <w:szCs w:val="24"/>
        </w:rPr>
        <w:t xml:space="preserve"> to secure his release from prison. He was also represented by Legal Aid South Africa during his appeal.</w:t>
      </w:r>
    </w:p>
    <w:p w14:paraId="79D5EAA7" w14:textId="77777777" w:rsidR="00BF35BC" w:rsidRPr="00BF35BC" w:rsidRDefault="00BF35BC" w:rsidP="00205C67">
      <w:pPr>
        <w:pStyle w:val="ListParagraph"/>
        <w:spacing w:after="360" w:line="360" w:lineRule="auto"/>
        <w:jc w:val="both"/>
        <w:rPr>
          <w:rFonts w:ascii="Arial" w:hAnsi="Arial" w:cs="Arial"/>
          <w:sz w:val="24"/>
          <w:szCs w:val="24"/>
        </w:rPr>
      </w:pPr>
    </w:p>
    <w:p w14:paraId="072D5EBC" w14:textId="5F2D32E4" w:rsidR="00BF35BC" w:rsidRPr="00B257D7" w:rsidRDefault="00B257D7" w:rsidP="00B257D7">
      <w:pPr>
        <w:spacing w:after="360" w:line="360" w:lineRule="auto"/>
        <w:ind w:left="720" w:hanging="720"/>
        <w:jc w:val="both"/>
        <w:rPr>
          <w:rFonts w:ascii="Arial" w:hAnsi="Arial" w:cs="Arial"/>
          <w:sz w:val="24"/>
          <w:szCs w:val="24"/>
        </w:rPr>
      </w:pPr>
      <w:r w:rsidRPr="003C5FC3">
        <w:rPr>
          <w:rFonts w:ascii="Arial" w:hAnsi="Arial" w:cs="Arial"/>
          <w:sz w:val="24"/>
          <w:szCs w:val="24"/>
        </w:rPr>
        <w:t>[47.]</w:t>
      </w:r>
      <w:r w:rsidRPr="003C5FC3">
        <w:rPr>
          <w:rFonts w:ascii="Arial" w:hAnsi="Arial" w:cs="Arial"/>
          <w:sz w:val="24"/>
          <w:szCs w:val="24"/>
        </w:rPr>
        <w:tab/>
      </w:r>
      <w:r w:rsidR="00BF35BC" w:rsidRPr="00B257D7">
        <w:rPr>
          <w:rFonts w:ascii="Arial" w:hAnsi="Arial" w:cs="Arial"/>
          <w:sz w:val="24"/>
          <w:szCs w:val="24"/>
        </w:rPr>
        <w:t xml:space="preserve">The </w:t>
      </w:r>
      <w:r w:rsidR="004C6BF0" w:rsidRPr="00B257D7">
        <w:rPr>
          <w:rFonts w:ascii="Arial" w:hAnsi="Arial" w:cs="Arial"/>
          <w:sz w:val="24"/>
          <w:szCs w:val="24"/>
        </w:rPr>
        <w:t>p</w:t>
      </w:r>
      <w:r w:rsidR="004F349C" w:rsidRPr="00B257D7">
        <w:rPr>
          <w:rFonts w:ascii="Arial" w:hAnsi="Arial" w:cs="Arial"/>
          <w:sz w:val="24"/>
          <w:szCs w:val="24"/>
        </w:rPr>
        <w:t>laintiff</w:t>
      </w:r>
      <w:r w:rsidR="00BF35BC" w:rsidRPr="00B257D7">
        <w:rPr>
          <w:rFonts w:ascii="Arial" w:hAnsi="Arial" w:cs="Arial"/>
          <w:sz w:val="24"/>
          <w:szCs w:val="24"/>
        </w:rPr>
        <w:t>'s incarceration did not prevent him from instructing an attorney to investigate or initiate a civil claim. He does not claim that he was denied access to legal representation or hindered by any superior force as outlined in section 13(1)(a) of the Prescription Act.</w:t>
      </w:r>
      <w:r w:rsidR="00100B83" w:rsidRPr="00B257D7">
        <w:rPr>
          <w:rStyle w:val="FootnoteReference"/>
          <w:rFonts w:ascii="Arial" w:hAnsi="Arial"/>
          <w:sz w:val="24"/>
          <w:szCs w:val="24"/>
        </w:rPr>
        <w:t xml:space="preserve"> </w:t>
      </w:r>
      <w:r w:rsidR="00100B83">
        <w:rPr>
          <w:rStyle w:val="FootnoteReference"/>
          <w:rFonts w:ascii="Arial" w:hAnsi="Arial"/>
          <w:sz w:val="24"/>
          <w:szCs w:val="24"/>
        </w:rPr>
        <w:footnoteReference w:id="22"/>
      </w:r>
    </w:p>
    <w:p w14:paraId="734B219F" w14:textId="77777777" w:rsidR="003C5FC3" w:rsidRPr="003C5FC3" w:rsidRDefault="003C5FC3" w:rsidP="003C5FC3">
      <w:pPr>
        <w:pStyle w:val="ListParagraph"/>
        <w:rPr>
          <w:rFonts w:ascii="Arial" w:hAnsi="Arial" w:cs="Arial"/>
          <w:sz w:val="24"/>
          <w:szCs w:val="24"/>
        </w:rPr>
      </w:pPr>
    </w:p>
    <w:p w14:paraId="0416A1D5" w14:textId="77777777" w:rsidR="003C5FC3" w:rsidRDefault="003C5FC3" w:rsidP="003C5FC3">
      <w:pPr>
        <w:pStyle w:val="ListParagraph"/>
        <w:spacing w:after="360" w:line="360" w:lineRule="auto"/>
        <w:jc w:val="both"/>
        <w:rPr>
          <w:rFonts w:ascii="Arial" w:hAnsi="Arial" w:cs="Arial"/>
          <w:sz w:val="24"/>
          <w:szCs w:val="24"/>
        </w:rPr>
      </w:pPr>
    </w:p>
    <w:p w14:paraId="7360509B" w14:textId="1529C135" w:rsidR="009A708D"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lastRenderedPageBreak/>
        <w:t>[48.]</w:t>
      </w:r>
      <w:r>
        <w:rPr>
          <w:rFonts w:ascii="Arial" w:hAnsi="Arial" w:cs="Arial"/>
          <w:sz w:val="24"/>
          <w:szCs w:val="24"/>
        </w:rPr>
        <w:tab/>
      </w:r>
      <w:r w:rsidR="007B0761" w:rsidRPr="00B257D7">
        <w:rPr>
          <w:rFonts w:ascii="Arial" w:hAnsi="Arial" w:cs="Arial"/>
          <w:sz w:val="24"/>
          <w:szCs w:val="24"/>
        </w:rPr>
        <w:t xml:space="preserve">At most, the </w:t>
      </w:r>
      <w:r w:rsidR="004F349C" w:rsidRPr="00B257D7">
        <w:rPr>
          <w:rFonts w:ascii="Arial" w:hAnsi="Arial" w:cs="Arial"/>
          <w:sz w:val="24"/>
          <w:szCs w:val="24"/>
        </w:rPr>
        <w:t>Plaintiff</w:t>
      </w:r>
      <w:r w:rsidR="007B0761" w:rsidRPr="00B257D7">
        <w:rPr>
          <w:rFonts w:ascii="Arial" w:hAnsi="Arial" w:cs="Arial"/>
          <w:sz w:val="24"/>
          <w:szCs w:val="24"/>
        </w:rPr>
        <w:t xml:space="preserve"> was unaware that he had a legal remedy against the </w:t>
      </w:r>
      <w:r w:rsidR="004F349C" w:rsidRPr="00B257D7">
        <w:rPr>
          <w:rFonts w:ascii="Arial" w:hAnsi="Arial" w:cs="Arial"/>
          <w:sz w:val="24"/>
          <w:szCs w:val="24"/>
        </w:rPr>
        <w:t>defendant</w:t>
      </w:r>
      <w:r w:rsidR="007B0761" w:rsidRPr="00B257D7">
        <w:rPr>
          <w:rFonts w:ascii="Arial" w:hAnsi="Arial" w:cs="Arial"/>
          <w:sz w:val="24"/>
          <w:szCs w:val="24"/>
        </w:rPr>
        <w:t xml:space="preserve">s throughout his arrest and detention. However, his lack of knowledge regarding the right to claim, the cause of action, or the </w:t>
      </w:r>
      <w:r w:rsidR="00F77471" w:rsidRPr="00B257D7">
        <w:rPr>
          <w:rFonts w:ascii="Arial" w:hAnsi="Arial" w:cs="Arial"/>
          <w:sz w:val="24"/>
          <w:szCs w:val="24"/>
        </w:rPr>
        <w:t>appreciation</w:t>
      </w:r>
      <w:r w:rsidR="007B0761" w:rsidRPr="00B257D7">
        <w:rPr>
          <w:rFonts w:ascii="Arial" w:hAnsi="Arial" w:cs="Arial"/>
          <w:sz w:val="24"/>
          <w:szCs w:val="24"/>
        </w:rPr>
        <w:t xml:space="preserve"> of wrongfulness constitutes a legal conclusion, not the material facts required to support</w:t>
      </w:r>
      <w:r w:rsidR="00B81893" w:rsidRPr="00B257D7">
        <w:rPr>
          <w:rFonts w:ascii="Arial" w:hAnsi="Arial" w:cs="Arial"/>
          <w:sz w:val="24"/>
          <w:szCs w:val="24"/>
        </w:rPr>
        <w:t xml:space="preserve"> it. </w:t>
      </w:r>
    </w:p>
    <w:p w14:paraId="282CED74" w14:textId="77777777" w:rsidR="00F77471" w:rsidRPr="00F77471" w:rsidRDefault="00F77471" w:rsidP="00F77471">
      <w:pPr>
        <w:pStyle w:val="ListParagraph"/>
        <w:spacing w:after="360" w:line="360" w:lineRule="auto"/>
        <w:jc w:val="both"/>
        <w:rPr>
          <w:rFonts w:ascii="Arial" w:hAnsi="Arial" w:cs="Arial"/>
          <w:sz w:val="24"/>
          <w:szCs w:val="24"/>
        </w:rPr>
      </w:pPr>
    </w:p>
    <w:p w14:paraId="335793BD" w14:textId="7353799E" w:rsidR="00246565"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246565" w:rsidRPr="00B257D7">
        <w:rPr>
          <w:rFonts w:ascii="Arial" w:hAnsi="Arial" w:cs="Arial"/>
          <w:sz w:val="24"/>
          <w:szCs w:val="24"/>
        </w:rPr>
        <w:t xml:space="preserve"> </w:t>
      </w:r>
      <w:r w:rsidR="007A0B62" w:rsidRPr="00B257D7">
        <w:rPr>
          <w:rFonts w:ascii="Arial" w:hAnsi="Arial" w:cs="Arial"/>
          <w:sz w:val="24"/>
          <w:szCs w:val="24"/>
        </w:rPr>
        <w:t xml:space="preserve">In respect of his actual knowledge, the </w:t>
      </w:r>
      <w:r w:rsidR="00D92ED7" w:rsidRPr="00B257D7">
        <w:rPr>
          <w:rFonts w:ascii="Arial" w:hAnsi="Arial" w:cs="Arial"/>
          <w:sz w:val="24"/>
          <w:szCs w:val="24"/>
        </w:rPr>
        <w:t>p</w:t>
      </w:r>
      <w:r w:rsidR="004F349C" w:rsidRPr="00B257D7">
        <w:rPr>
          <w:rFonts w:ascii="Arial" w:hAnsi="Arial" w:cs="Arial"/>
          <w:sz w:val="24"/>
          <w:szCs w:val="24"/>
        </w:rPr>
        <w:t>laintiff</w:t>
      </w:r>
      <w:r w:rsidR="007A0B62" w:rsidRPr="00B257D7">
        <w:rPr>
          <w:rFonts w:ascii="Arial" w:hAnsi="Arial" w:cs="Arial"/>
          <w:sz w:val="24"/>
          <w:szCs w:val="24"/>
        </w:rPr>
        <w:t xml:space="preserve"> averred that he had no knowledge of who the </w:t>
      </w:r>
      <w:r w:rsidR="004F349C" w:rsidRPr="00B257D7">
        <w:rPr>
          <w:rFonts w:ascii="Arial" w:hAnsi="Arial" w:cs="Arial"/>
          <w:sz w:val="24"/>
          <w:szCs w:val="24"/>
        </w:rPr>
        <w:t>defendant</w:t>
      </w:r>
      <w:r w:rsidR="007A0B62" w:rsidRPr="00B257D7">
        <w:rPr>
          <w:rFonts w:ascii="Arial" w:hAnsi="Arial" w:cs="Arial"/>
          <w:sz w:val="24"/>
          <w:szCs w:val="24"/>
        </w:rPr>
        <w:t>s would be</w:t>
      </w:r>
      <w:r w:rsidR="00691314" w:rsidRPr="00B257D7">
        <w:rPr>
          <w:rFonts w:ascii="Arial" w:hAnsi="Arial" w:cs="Arial"/>
          <w:sz w:val="24"/>
          <w:szCs w:val="24"/>
        </w:rPr>
        <w:t xml:space="preserve">. </w:t>
      </w:r>
      <w:r w:rsidR="00EE3A63" w:rsidRPr="00B257D7">
        <w:rPr>
          <w:rFonts w:ascii="Arial" w:hAnsi="Arial" w:cs="Arial"/>
          <w:sz w:val="24"/>
          <w:szCs w:val="24"/>
        </w:rPr>
        <w:t>Objectively</w:t>
      </w:r>
      <w:r w:rsidR="00691314" w:rsidRPr="00B257D7">
        <w:rPr>
          <w:rFonts w:ascii="Arial" w:hAnsi="Arial" w:cs="Arial"/>
          <w:sz w:val="24"/>
          <w:szCs w:val="24"/>
        </w:rPr>
        <w:t xml:space="preserve">, </w:t>
      </w:r>
      <w:r w:rsidR="009428F4" w:rsidRPr="00B257D7">
        <w:rPr>
          <w:rFonts w:ascii="Arial" w:hAnsi="Arial" w:cs="Arial"/>
          <w:sz w:val="24"/>
          <w:szCs w:val="24"/>
        </w:rPr>
        <w:t xml:space="preserve">a reasonable person in the </w:t>
      </w:r>
      <w:r w:rsidR="00D92ED7" w:rsidRPr="00B257D7">
        <w:rPr>
          <w:rFonts w:ascii="Arial" w:hAnsi="Arial" w:cs="Arial"/>
          <w:sz w:val="24"/>
          <w:szCs w:val="24"/>
        </w:rPr>
        <w:t>p</w:t>
      </w:r>
      <w:r w:rsidR="004F349C" w:rsidRPr="00B257D7">
        <w:rPr>
          <w:rFonts w:ascii="Arial" w:hAnsi="Arial" w:cs="Arial"/>
          <w:sz w:val="24"/>
          <w:szCs w:val="24"/>
        </w:rPr>
        <w:t>laintiff</w:t>
      </w:r>
      <w:r w:rsidR="009428F4" w:rsidRPr="00B257D7">
        <w:rPr>
          <w:rFonts w:ascii="Arial" w:hAnsi="Arial" w:cs="Arial"/>
          <w:sz w:val="24"/>
          <w:szCs w:val="24"/>
        </w:rPr>
        <w:t xml:space="preserve"> </w:t>
      </w:r>
      <w:r w:rsidR="00EE3A63" w:rsidRPr="00B257D7">
        <w:rPr>
          <w:rFonts w:ascii="Arial" w:hAnsi="Arial" w:cs="Arial"/>
          <w:sz w:val="24"/>
          <w:szCs w:val="24"/>
        </w:rPr>
        <w:t>position</w:t>
      </w:r>
      <w:r w:rsidR="009428F4" w:rsidRPr="00B257D7">
        <w:rPr>
          <w:rFonts w:ascii="Arial" w:hAnsi="Arial" w:cs="Arial"/>
          <w:sz w:val="24"/>
          <w:szCs w:val="24"/>
        </w:rPr>
        <w:t xml:space="preserve"> would have deemed knowledge of the identity of </w:t>
      </w:r>
      <w:r w:rsidR="009029AF" w:rsidRPr="00B257D7">
        <w:rPr>
          <w:rFonts w:ascii="Arial" w:hAnsi="Arial" w:cs="Arial"/>
          <w:sz w:val="24"/>
          <w:szCs w:val="24"/>
        </w:rPr>
        <w:t xml:space="preserve">debtors as police officials and </w:t>
      </w:r>
      <w:r w:rsidR="00EE3A63" w:rsidRPr="00B257D7">
        <w:rPr>
          <w:rFonts w:ascii="Arial" w:hAnsi="Arial" w:cs="Arial"/>
          <w:sz w:val="24"/>
          <w:szCs w:val="24"/>
        </w:rPr>
        <w:t>the facts</w:t>
      </w:r>
      <w:r w:rsidR="00996AB7" w:rsidRPr="00B257D7">
        <w:rPr>
          <w:rFonts w:ascii="Arial" w:hAnsi="Arial" w:cs="Arial"/>
          <w:sz w:val="24"/>
          <w:szCs w:val="24"/>
        </w:rPr>
        <w:t xml:space="preserve">, including the </w:t>
      </w:r>
      <w:r w:rsidR="00102EA8" w:rsidRPr="00B257D7">
        <w:rPr>
          <w:rFonts w:ascii="Arial" w:hAnsi="Arial" w:cs="Arial"/>
          <w:sz w:val="24"/>
          <w:szCs w:val="24"/>
        </w:rPr>
        <w:t>acts and/or omissions</w:t>
      </w:r>
      <w:r w:rsidR="00EE3A63" w:rsidRPr="00B257D7">
        <w:rPr>
          <w:rFonts w:ascii="Arial" w:hAnsi="Arial" w:cs="Arial"/>
          <w:sz w:val="24"/>
          <w:szCs w:val="24"/>
        </w:rPr>
        <w:t xml:space="preserve"> </w:t>
      </w:r>
      <w:r w:rsidR="00966812" w:rsidRPr="00B257D7">
        <w:rPr>
          <w:rFonts w:ascii="Arial" w:hAnsi="Arial" w:cs="Arial"/>
          <w:sz w:val="24"/>
          <w:szCs w:val="24"/>
        </w:rPr>
        <w:t>from which the debt</w:t>
      </w:r>
      <w:r w:rsidR="00102EA8" w:rsidRPr="00B257D7">
        <w:rPr>
          <w:rFonts w:ascii="Arial" w:hAnsi="Arial" w:cs="Arial"/>
          <w:sz w:val="24"/>
          <w:szCs w:val="24"/>
        </w:rPr>
        <w:t>s</w:t>
      </w:r>
      <w:r w:rsidR="00966812" w:rsidRPr="00B257D7">
        <w:rPr>
          <w:rFonts w:ascii="Arial" w:hAnsi="Arial" w:cs="Arial"/>
          <w:sz w:val="24"/>
          <w:szCs w:val="24"/>
        </w:rPr>
        <w:t xml:space="preserve"> arose</w:t>
      </w:r>
      <w:r w:rsidR="000766AC" w:rsidRPr="00B257D7">
        <w:rPr>
          <w:rFonts w:ascii="Arial" w:hAnsi="Arial" w:cs="Arial"/>
          <w:sz w:val="24"/>
          <w:szCs w:val="24"/>
        </w:rPr>
        <w:t xml:space="preserve">. There is no evidence that he could not have acquired </w:t>
      </w:r>
      <w:r w:rsidR="009A708D" w:rsidRPr="00B257D7">
        <w:rPr>
          <w:rFonts w:ascii="Arial" w:hAnsi="Arial" w:cs="Arial"/>
          <w:sz w:val="24"/>
          <w:szCs w:val="24"/>
        </w:rPr>
        <w:t xml:space="preserve">such </w:t>
      </w:r>
      <w:r w:rsidR="000766AC" w:rsidRPr="00B257D7">
        <w:rPr>
          <w:rFonts w:ascii="Arial" w:hAnsi="Arial" w:cs="Arial"/>
          <w:sz w:val="24"/>
          <w:szCs w:val="24"/>
        </w:rPr>
        <w:t xml:space="preserve">knowledge by </w:t>
      </w:r>
      <w:r w:rsidR="009A708D" w:rsidRPr="00B257D7">
        <w:rPr>
          <w:rFonts w:ascii="Arial" w:hAnsi="Arial" w:cs="Arial"/>
          <w:sz w:val="24"/>
          <w:szCs w:val="24"/>
        </w:rPr>
        <w:t xml:space="preserve">exercising reasonable care. </w:t>
      </w:r>
    </w:p>
    <w:p w14:paraId="0AD8BFDC" w14:textId="77777777" w:rsidR="004F189A" w:rsidRPr="004F189A" w:rsidRDefault="004F189A" w:rsidP="004F189A">
      <w:pPr>
        <w:pStyle w:val="ListParagraph"/>
        <w:rPr>
          <w:rFonts w:ascii="Arial" w:hAnsi="Arial" w:cs="Arial"/>
          <w:sz w:val="24"/>
          <w:szCs w:val="24"/>
        </w:rPr>
      </w:pPr>
    </w:p>
    <w:p w14:paraId="5B28CF29" w14:textId="770DE380" w:rsidR="00133174" w:rsidRPr="00B257D7" w:rsidRDefault="00B257D7" w:rsidP="00B257D7">
      <w:pPr>
        <w:spacing w:after="360" w:line="360" w:lineRule="auto"/>
        <w:ind w:left="720" w:hanging="720"/>
        <w:jc w:val="both"/>
        <w:rPr>
          <w:rFonts w:ascii="Arial" w:hAnsi="Arial" w:cs="Arial"/>
          <w:sz w:val="24"/>
          <w:szCs w:val="24"/>
        </w:rPr>
      </w:pPr>
      <w:r w:rsidRPr="00133174">
        <w:rPr>
          <w:rFonts w:ascii="Arial" w:hAnsi="Arial" w:cs="Arial"/>
          <w:sz w:val="24"/>
          <w:szCs w:val="24"/>
        </w:rPr>
        <w:t>[50.]</w:t>
      </w:r>
      <w:r w:rsidRPr="00133174">
        <w:rPr>
          <w:rFonts w:ascii="Arial" w:hAnsi="Arial" w:cs="Arial"/>
          <w:sz w:val="24"/>
          <w:szCs w:val="24"/>
        </w:rPr>
        <w:tab/>
      </w:r>
      <w:r w:rsidR="00133174" w:rsidRPr="00B257D7">
        <w:rPr>
          <w:rFonts w:ascii="Arial" w:hAnsi="Arial" w:cs="Arial"/>
          <w:sz w:val="24"/>
          <w:szCs w:val="24"/>
        </w:rPr>
        <w:t>For the aforementioned reasons, I am satisfied that the plaintiff knew the identity of the defendants and the facts from which the debt arose on 10 September 2014, regarding the arrest and each day of his continued detention.</w:t>
      </w:r>
    </w:p>
    <w:p w14:paraId="47A042F8" w14:textId="77777777" w:rsidR="00133174" w:rsidRPr="00133174" w:rsidRDefault="00133174" w:rsidP="00133174">
      <w:pPr>
        <w:pStyle w:val="ListParagraph"/>
        <w:spacing w:after="360" w:line="360" w:lineRule="auto"/>
        <w:jc w:val="both"/>
        <w:rPr>
          <w:rFonts w:ascii="Arial" w:hAnsi="Arial" w:cs="Arial"/>
          <w:sz w:val="24"/>
          <w:szCs w:val="24"/>
        </w:rPr>
      </w:pPr>
    </w:p>
    <w:p w14:paraId="6A35ED39" w14:textId="7C558410" w:rsidR="00133174" w:rsidRPr="00B257D7" w:rsidRDefault="00B257D7" w:rsidP="00B257D7">
      <w:pPr>
        <w:spacing w:after="360" w:line="360" w:lineRule="auto"/>
        <w:ind w:left="720" w:hanging="720"/>
        <w:jc w:val="both"/>
        <w:rPr>
          <w:rFonts w:ascii="Arial" w:hAnsi="Arial" w:cs="Arial"/>
          <w:sz w:val="24"/>
          <w:szCs w:val="24"/>
        </w:rPr>
      </w:pPr>
      <w:r w:rsidRPr="00133174">
        <w:rPr>
          <w:rFonts w:ascii="Arial" w:hAnsi="Arial" w:cs="Arial"/>
          <w:sz w:val="24"/>
          <w:szCs w:val="24"/>
        </w:rPr>
        <w:t>[51.]</w:t>
      </w:r>
      <w:r w:rsidRPr="00133174">
        <w:rPr>
          <w:rFonts w:ascii="Arial" w:hAnsi="Arial" w:cs="Arial"/>
          <w:sz w:val="24"/>
          <w:szCs w:val="24"/>
        </w:rPr>
        <w:tab/>
      </w:r>
      <w:r w:rsidR="00133174" w:rsidRPr="00B257D7">
        <w:rPr>
          <w:rFonts w:ascii="Arial" w:hAnsi="Arial" w:cs="Arial"/>
          <w:sz w:val="24"/>
          <w:szCs w:val="24"/>
        </w:rPr>
        <w:t>Therefore, following the civilian method of calculation</w:t>
      </w:r>
      <w:r w:rsidR="00F17945">
        <w:rPr>
          <w:rStyle w:val="FootnoteReference"/>
          <w:rFonts w:ascii="Arial" w:hAnsi="Arial"/>
          <w:sz w:val="24"/>
          <w:szCs w:val="24"/>
        </w:rPr>
        <w:footnoteReference w:id="23"/>
      </w:r>
      <w:r w:rsidR="00133174" w:rsidRPr="00B257D7">
        <w:rPr>
          <w:rFonts w:ascii="Arial" w:hAnsi="Arial" w:cs="Arial"/>
          <w:sz w:val="24"/>
          <w:szCs w:val="24"/>
        </w:rPr>
        <w:t xml:space="preserve">, the summons needed to be served by midnight on 09 September 2017 to interrupt the running of </w:t>
      </w:r>
      <w:r w:rsidR="000A3EEC" w:rsidRPr="00B257D7">
        <w:rPr>
          <w:rFonts w:ascii="Arial" w:hAnsi="Arial" w:cs="Arial"/>
          <w:sz w:val="24"/>
          <w:szCs w:val="24"/>
        </w:rPr>
        <w:t xml:space="preserve">the </w:t>
      </w:r>
      <w:r w:rsidR="00133174" w:rsidRPr="00B257D7">
        <w:rPr>
          <w:rFonts w:ascii="Arial" w:hAnsi="Arial" w:cs="Arial"/>
          <w:sz w:val="24"/>
          <w:szCs w:val="24"/>
        </w:rPr>
        <w:t>prescription for the unlawful arrest claim. Since the summons were served on 20 January 2021, the debt was extinguished by prescription.</w:t>
      </w:r>
    </w:p>
    <w:p w14:paraId="31DA8856" w14:textId="77777777" w:rsidR="00133174" w:rsidRPr="00133174" w:rsidRDefault="00133174" w:rsidP="002C4319">
      <w:pPr>
        <w:pStyle w:val="ListParagraph"/>
        <w:spacing w:after="360" w:line="360" w:lineRule="auto"/>
        <w:jc w:val="both"/>
        <w:rPr>
          <w:rFonts w:ascii="Arial" w:hAnsi="Arial" w:cs="Arial"/>
          <w:sz w:val="24"/>
          <w:szCs w:val="24"/>
        </w:rPr>
      </w:pPr>
    </w:p>
    <w:p w14:paraId="0E314722" w14:textId="5B35CFAA" w:rsidR="00133174"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133174" w:rsidRPr="00B257D7">
        <w:rPr>
          <w:rFonts w:ascii="Arial" w:hAnsi="Arial" w:cs="Arial"/>
          <w:sz w:val="24"/>
          <w:szCs w:val="24"/>
        </w:rPr>
        <w:t xml:space="preserve">Consequently, </w:t>
      </w:r>
      <w:r w:rsidR="002C4319" w:rsidRPr="00B257D7">
        <w:rPr>
          <w:rFonts w:ascii="Arial" w:hAnsi="Arial" w:cs="Arial"/>
          <w:sz w:val="24"/>
          <w:szCs w:val="24"/>
        </w:rPr>
        <w:t xml:space="preserve">I find that </w:t>
      </w:r>
      <w:r w:rsidR="00133174" w:rsidRPr="00B257D7">
        <w:rPr>
          <w:rFonts w:ascii="Arial" w:hAnsi="Arial" w:cs="Arial"/>
          <w:sz w:val="24"/>
          <w:szCs w:val="24"/>
        </w:rPr>
        <w:t>Claim A has been extinguished by prescription, and the defendants' special plea regarding this claim is upheld.</w:t>
      </w:r>
    </w:p>
    <w:p w14:paraId="15C66DED" w14:textId="77777777" w:rsidR="002C4319" w:rsidRPr="002C4319" w:rsidRDefault="002C4319" w:rsidP="002C4319">
      <w:pPr>
        <w:pStyle w:val="ListParagraph"/>
        <w:rPr>
          <w:rFonts w:ascii="Arial" w:hAnsi="Arial" w:cs="Arial"/>
          <w:sz w:val="24"/>
          <w:szCs w:val="24"/>
        </w:rPr>
      </w:pPr>
    </w:p>
    <w:p w14:paraId="3125E4C7" w14:textId="77777777" w:rsidR="002C4319" w:rsidRPr="002C4319" w:rsidRDefault="002C4319" w:rsidP="002C4319">
      <w:pPr>
        <w:pStyle w:val="ListParagraph"/>
        <w:spacing w:after="360" w:line="360" w:lineRule="auto"/>
        <w:jc w:val="both"/>
        <w:rPr>
          <w:rFonts w:ascii="Arial" w:hAnsi="Arial" w:cs="Arial"/>
          <w:sz w:val="24"/>
          <w:szCs w:val="24"/>
        </w:rPr>
      </w:pPr>
    </w:p>
    <w:p w14:paraId="1382A225" w14:textId="5FE19201" w:rsidR="00133174" w:rsidRPr="00B257D7" w:rsidRDefault="00B257D7" w:rsidP="00B257D7">
      <w:pPr>
        <w:spacing w:after="360" w:line="360" w:lineRule="auto"/>
        <w:ind w:left="720" w:hanging="720"/>
        <w:jc w:val="both"/>
        <w:rPr>
          <w:rFonts w:ascii="Arial" w:hAnsi="Arial" w:cs="Arial"/>
          <w:sz w:val="24"/>
          <w:szCs w:val="24"/>
        </w:rPr>
      </w:pPr>
      <w:r w:rsidRPr="00133174">
        <w:rPr>
          <w:rFonts w:ascii="Arial" w:hAnsi="Arial" w:cs="Arial"/>
          <w:sz w:val="24"/>
          <w:szCs w:val="24"/>
        </w:rPr>
        <w:t>[53.]</w:t>
      </w:r>
      <w:r w:rsidRPr="00133174">
        <w:rPr>
          <w:rFonts w:ascii="Arial" w:hAnsi="Arial" w:cs="Arial"/>
          <w:sz w:val="24"/>
          <w:szCs w:val="24"/>
        </w:rPr>
        <w:tab/>
      </w:r>
      <w:r w:rsidR="00133174" w:rsidRPr="00B257D7">
        <w:rPr>
          <w:rFonts w:ascii="Arial" w:hAnsi="Arial" w:cs="Arial"/>
          <w:sz w:val="24"/>
          <w:szCs w:val="24"/>
        </w:rPr>
        <w:t>The plaintiff's claim for unlawful detention arose on 10 September 2014, as he was detained from his arrest until his release on 29 January 2019.</w:t>
      </w:r>
    </w:p>
    <w:p w14:paraId="1593212A" w14:textId="77777777" w:rsidR="00133174" w:rsidRPr="00133174" w:rsidRDefault="00133174" w:rsidP="00AD1484">
      <w:pPr>
        <w:pStyle w:val="ListParagraph"/>
        <w:spacing w:after="360" w:line="360" w:lineRule="auto"/>
        <w:jc w:val="both"/>
        <w:rPr>
          <w:rFonts w:ascii="Arial" w:hAnsi="Arial" w:cs="Arial"/>
          <w:sz w:val="24"/>
          <w:szCs w:val="24"/>
        </w:rPr>
      </w:pPr>
    </w:p>
    <w:p w14:paraId="486BF2D1" w14:textId="71E7DE24" w:rsidR="00133174" w:rsidRPr="00B257D7" w:rsidRDefault="00B257D7" w:rsidP="00B257D7">
      <w:pPr>
        <w:spacing w:after="360" w:line="360" w:lineRule="auto"/>
        <w:ind w:left="720" w:hanging="720"/>
        <w:jc w:val="both"/>
        <w:rPr>
          <w:rFonts w:ascii="Arial" w:hAnsi="Arial" w:cs="Arial"/>
          <w:sz w:val="24"/>
          <w:szCs w:val="24"/>
        </w:rPr>
      </w:pPr>
      <w:r w:rsidRPr="00133174">
        <w:rPr>
          <w:rFonts w:ascii="Arial" w:hAnsi="Arial" w:cs="Arial"/>
          <w:sz w:val="24"/>
          <w:szCs w:val="24"/>
        </w:rPr>
        <w:t>[54.]</w:t>
      </w:r>
      <w:r w:rsidRPr="00133174">
        <w:rPr>
          <w:rFonts w:ascii="Arial" w:hAnsi="Arial" w:cs="Arial"/>
          <w:sz w:val="24"/>
          <w:szCs w:val="24"/>
        </w:rPr>
        <w:tab/>
      </w:r>
      <w:r w:rsidR="00133174" w:rsidRPr="00B257D7">
        <w:rPr>
          <w:rFonts w:ascii="Arial" w:hAnsi="Arial" w:cs="Arial"/>
          <w:sz w:val="24"/>
          <w:szCs w:val="24"/>
        </w:rPr>
        <w:t xml:space="preserve">Since each day of detention constitutes a new and separate debt for the purposes of section 11(d) of the Prescription Act, the unlawful detention prior to 21 January 2018, three years before the service of summons on 20 January </w:t>
      </w:r>
      <w:r w:rsidR="00133174" w:rsidRPr="00B257D7">
        <w:rPr>
          <w:rFonts w:ascii="Arial" w:hAnsi="Arial" w:cs="Arial"/>
          <w:sz w:val="24"/>
          <w:szCs w:val="24"/>
        </w:rPr>
        <w:lastRenderedPageBreak/>
        <w:t xml:space="preserve">2021, is extinguished by prescription. However, the plaintiff's claim for unlawful detention from 21 January 2018 onwards has not </w:t>
      </w:r>
      <w:r w:rsidR="000A3EEC" w:rsidRPr="00B257D7">
        <w:rPr>
          <w:rFonts w:ascii="Arial" w:hAnsi="Arial" w:cs="Arial"/>
          <w:sz w:val="24"/>
          <w:szCs w:val="24"/>
        </w:rPr>
        <w:t xml:space="preserve">been </w:t>
      </w:r>
      <w:r w:rsidR="00133174" w:rsidRPr="00B257D7">
        <w:rPr>
          <w:rFonts w:ascii="Arial" w:hAnsi="Arial" w:cs="Arial"/>
          <w:sz w:val="24"/>
          <w:szCs w:val="24"/>
        </w:rPr>
        <w:t>prescribed.</w:t>
      </w:r>
    </w:p>
    <w:p w14:paraId="704F1C5B" w14:textId="77777777" w:rsidR="00133174" w:rsidRPr="00133174" w:rsidRDefault="00133174" w:rsidP="00AD1484">
      <w:pPr>
        <w:pStyle w:val="ListParagraph"/>
        <w:spacing w:after="360" w:line="360" w:lineRule="auto"/>
        <w:jc w:val="both"/>
        <w:rPr>
          <w:rFonts w:ascii="Arial" w:hAnsi="Arial" w:cs="Arial"/>
          <w:sz w:val="24"/>
          <w:szCs w:val="24"/>
        </w:rPr>
      </w:pPr>
    </w:p>
    <w:p w14:paraId="5620A4C9" w14:textId="4CABECA6" w:rsidR="00F0782D" w:rsidRPr="00B257D7" w:rsidRDefault="00B257D7" w:rsidP="00B257D7">
      <w:pPr>
        <w:spacing w:after="360" w:line="360" w:lineRule="auto"/>
        <w:ind w:left="720" w:hanging="720"/>
        <w:jc w:val="both"/>
        <w:rPr>
          <w:rFonts w:ascii="Arial" w:hAnsi="Arial" w:cs="Arial"/>
          <w:sz w:val="24"/>
          <w:szCs w:val="24"/>
        </w:rPr>
      </w:pPr>
      <w:r w:rsidRPr="00D16209">
        <w:rPr>
          <w:rFonts w:ascii="Arial" w:hAnsi="Arial" w:cs="Arial"/>
          <w:sz w:val="24"/>
          <w:szCs w:val="24"/>
        </w:rPr>
        <w:t>[55.]</w:t>
      </w:r>
      <w:r w:rsidRPr="00D16209">
        <w:rPr>
          <w:rFonts w:ascii="Arial" w:hAnsi="Arial" w:cs="Arial"/>
          <w:sz w:val="24"/>
          <w:szCs w:val="24"/>
        </w:rPr>
        <w:tab/>
      </w:r>
      <w:r w:rsidR="002267B1" w:rsidRPr="00B257D7">
        <w:rPr>
          <w:rFonts w:ascii="Arial" w:hAnsi="Arial" w:cs="Arial"/>
          <w:sz w:val="24"/>
          <w:szCs w:val="24"/>
        </w:rPr>
        <w:t>I therefore find that t</w:t>
      </w:r>
      <w:r w:rsidR="00133174" w:rsidRPr="00B257D7">
        <w:rPr>
          <w:rFonts w:ascii="Arial" w:hAnsi="Arial" w:cs="Arial"/>
          <w:sz w:val="24"/>
          <w:szCs w:val="24"/>
        </w:rPr>
        <w:t>he defendants' special plea regarding the</w:t>
      </w:r>
      <w:r w:rsidR="004D47CD" w:rsidRPr="00B257D7">
        <w:rPr>
          <w:rFonts w:ascii="Arial" w:hAnsi="Arial" w:cs="Arial"/>
          <w:sz w:val="24"/>
          <w:szCs w:val="24"/>
        </w:rPr>
        <w:t xml:space="preserve"> prescription of the</w:t>
      </w:r>
      <w:r w:rsidR="00133174" w:rsidRPr="00B257D7">
        <w:rPr>
          <w:rFonts w:ascii="Arial" w:hAnsi="Arial" w:cs="Arial"/>
          <w:sz w:val="24"/>
          <w:szCs w:val="24"/>
        </w:rPr>
        <w:t xml:space="preserve"> plaintiff’s unlawful detention </w:t>
      </w:r>
      <w:r w:rsidR="000A3EEC" w:rsidRPr="00B257D7">
        <w:rPr>
          <w:rFonts w:ascii="Arial" w:hAnsi="Arial" w:cs="Arial"/>
          <w:sz w:val="24"/>
          <w:szCs w:val="24"/>
        </w:rPr>
        <w:t>before</w:t>
      </w:r>
      <w:r w:rsidR="00133174" w:rsidRPr="00B257D7">
        <w:rPr>
          <w:rFonts w:ascii="Arial" w:hAnsi="Arial" w:cs="Arial"/>
          <w:sz w:val="24"/>
          <w:szCs w:val="24"/>
        </w:rPr>
        <w:t xml:space="preserve"> 21 January 2018 is upheld.</w:t>
      </w:r>
    </w:p>
    <w:p w14:paraId="1673663C" w14:textId="77777777" w:rsidR="00F0782D" w:rsidRDefault="00F0782D" w:rsidP="00D16209">
      <w:pPr>
        <w:pStyle w:val="ListParagraph"/>
        <w:spacing w:after="360" w:line="360" w:lineRule="auto"/>
        <w:jc w:val="both"/>
        <w:rPr>
          <w:rFonts w:ascii="Arial" w:hAnsi="Arial" w:cs="Arial"/>
          <w:sz w:val="24"/>
          <w:szCs w:val="24"/>
        </w:rPr>
      </w:pPr>
    </w:p>
    <w:p w14:paraId="306AB4D9" w14:textId="77777777" w:rsidR="000003D7" w:rsidRPr="000003D7" w:rsidRDefault="000003D7" w:rsidP="000003D7">
      <w:pPr>
        <w:pStyle w:val="ListParagraph"/>
        <w:rPr>
          <w:rFonts w:ascii="Arial" w:hAnsi="Arial" w:cs="Arial"/>
          <w:sz w:val="24"/>
          <w:szCs w:val="24"/>
        </w:rPr>
      </w:pPr>
    </w:p>
    <w:p w14:paraId="1F8FE07E" w14:textId="4288CB84" w:rsidR="00C25536" w:rsidRPr="00307742" w:rsidRDefault="000003D7" w:rsidP="00C25536">
      <w:pPr>
        <w:spacing w:after="360" w:line="360" w:lineRule="auto"/>
        <w:jc w:val="both"/>
        <w:rPr>
          <w:rFonts w:ascii="Arial" w:hAnsi="Arial" w:cs="Arial"/>
          <w:b/>
          <w:bCs/>
          <w:sz w:val="24"/>
          <w:szCs w:val="24"/>
          <w:u w:val="single"/>
        </w:rPr>
      </w:pPr>
      <w:r w:rsidRPr="007D69C7">
        <w:rPr>
          <w:rFonts w:ascii="Arial" w:hAnsi="Arial" w:cs="Arial"/>
          <w:b/>
          <w:bCs/>
          <w:sz w:val="24"/>
          <w:szCs w:val="24"/>
          <w:u w:val="single"/>
        </w:rPr>
        <w:t>COMPLIANCE WITH SECTION 3 OF THE</w:t>
      </w:r>
      <w:r w:rsidRPr="007D69C7">
        <w:rPr>
          <w:rFonts w:ascii="Arial" w:hAnsi="Arial" w:cs="Arial"/>
          <w:b/>
          <w:bCs/>
          <w:caps/>
          <w:sz w:val="24"/>
          <w:szCs w:val="24"/>
          <w:u w:val="single"/>
        </w:rPr>
        <w:t xml:space="preserve"> Institution of Legal Proceedings Act</w:t>
      </w:r>
    </w:p>
    <w:p w14:paraId="664BBF88" w14:textId="10EA5746" w:rsidR="0009469E" w:rsidRPr="00B257D7" w:rsidRDefault="00B257D7" w:rsidP="00B257D7">
      <w:pPr>
        <w:spacing w:after="360" w:line="360" w:lineRule="auto"/>
        <w:ind w:left="720" w:hanging="720"/>
        <w:jc w:val="both"/>
        <w:rPr>
          <w:rFonts w:ascii="Arial" w:hAnsi="Arial" w:cs="Arial"/>
          <w:sz w:val="24"/>
          <w:szCs w:val="24"/>
        </w:rPr>
      </w:pPr>
      <w:r w:rsidRPr="00D42D6D">
        <w:rPr>
          <w:rFonts w:ascii="Arial" w:hAnsi="Arial" w:cs="Arial"/>
          <w:sz w:val="24"/>
          <w:szCs w:val="24"/>
        </w:rPr>
        <w:t>[56.]</w:t>
      </w:r>
      <w:r w:rsidRPr="00D42D6D">
        <w:rPr>
          <w:rFonts w:ascii="Arial" w:hAnsi="Arial" w:cs="Arial"/>
          <w:sz w:val="24"/>
          <w:szCs w:val="24"/>
        </w:rPr>
        <w:tab/>
      </w:r>
      <w:r w:rsidR="001B2428" w:rsidRPr="00B257D7">
        <w:rPr>
          <w:rFonts w:ascii="Arial" w:hAnsi="Arial" w:cs="Arial"/>
          <w:sz w:val="24"/>
          <w:szCs w:val="24"/>
        </w:rPr>
        <w:t>The primary purpose of a section 3(1) notice under the Institution of Legal Proceedings Act is expediency, enabling the relevant organ of state to conduct thorough investigations into the claim. This process allows the organ of state to decide whether to settle the claim or contest the proposed legal action.</w:t>
      </w:r>
      <w:r w:rsidR="0009469E">
        <w:rPr>
          <w:rStyle w:val="FootnoteReference"/>
          <w:rFonts w:ascii="Arial" w:hAnsi="Arial"/>
          <w:sz w:val="24"/>
          <w:szCs w:val="24"/>
        </w:rPr>
        <w:footnoteReference w:id="24"/>
      </w:r>
    </w:p>
    <w:p w14:paraId="1DEDA461" w14:textId="77777777" w:rsidR="0009469E" w:rsidRDefault="0009469E" w:rsidP="001065D8">
      <w:pPr>
        <w:pStyle w:val="ListParagraph"/>
        <w:spacing w:after="360" w:line="360" w:lineRule="auto"/>
        <w:jc w:val="both"/>
        <w:rPr>
          <w:rFonts w:ascii="Arial" w:hAnsi="Arial" w:cs="Arial"/>
          <w:sz w:val="24"/>
          <w:szCs w:val="24"/>
        </w:rPr>
      </w:pPr>
    </w:p>
    <w:p w14:paraId="76A99AE3" w14:textId="61F59FCF" w:rsidR="000C3762" w:rsidRPr="00B257D7" w:rsidRDefault="00B257D7" w:rsidP="00B257D7">
      <w:pPr>
        <w:spacing w:after="360" w:line="360" w:lineRule="auto"/>
        <w:ind w:left="720" w:hanging="720"/>
        <w:jc w:val="both"/>
        <w:rPr>
          <w:rFonts w:ascii="Arial" w:hAnsi="Arial" w:cs="Arial"/>
          <w:sz w:val="24"/>
          <w:szCs w:val="24"/>
        </w:rPr>
      </w:pPr>
      <w:r w:rsidRPr="000C3762">
        <w:rPr>
          <w:rFonts w:ascii="Arial" w:hAnsi="Arial" w:cs="Arial"/>
          <w:sz w:val="24"/>
          <w:szCs w:val="24"/>
        </w:rPr>
        <w:t>[57.]</w:t>
      </w:r>
      <w:r w:rsidRPr="000C3762">
        <w:rPr>
          <w:rFonts w:ascii="Arial" w:hAnsi="Arial" w:cs="Arial"/>
          <w:sz w:val="24"/>
          <w:szCs w:val="24"/>
        </w:rPr>
        <w:tab/>
      </w:r>
      <w:r w:rsidR="000C3762" w:rsidRPr="00B257D7">
        <w:rPr>
          <w:rFonts w:ascii="Arial" w:hAnsi="Arial" w:cs="Arial"/>
          <w:sz w:val="24"/>
          <w:szCs w:val="24"/>
        </w:rPr>
        <w:t>The plaintiff’s notice was served on 20 June 2019. He is required to serve such notice within six months from the date on which the debt became due. The notice was not served within six months from the date when the debt for the unlawful arrest became due, which was on 10 September 2014.</w:t>
      </w:r>
    </w:p>
    <w:p w14:paraId="63A7FEC2" w14:textId="77777777" w:rsidR="000C3762" w:rsidRPr="000C3762" w:rsidRDefault="000C3762" w:rsidP="000C3762">
      <w:pPr>
        <w:pStyle w:val="ListParagraph"/>
        <w:spacing w:after="360" w:line="360" w:lineRule="auto"/>
        <w:jc w:val="both"/>
        <w:rPr>
          <w:rFonts w:ascii="Arial" w:hAnsi="Arial" w:cs="Arial"/>
          <w:sz w:val="24"/>
          <w:szCs w:val="24"/>
        </w:rPr>
      </w:pPr>
    </w:p>
    <w:p w14:paraId="3EE541E7" w14:textId="3C9F8CF9" w:rsidR="000C3762" w:rsidRPr="00B257D7" w:rsidRDefault="00B257D7" w:rsidP="00B257D7">
      <w:pPr>
        <w:spacing w:after="360" w:line="360" w:lineRule="auto"/>
        <w:ind w:left="720" w:hanging="720"/>
        <w:jc w:val="both"/>
        <w:rPr>
          <w:rFonts w:ascii="Arial" w:hAnsi="Arial" w:cs="Arial"/>
          <w:sz w:val="24"/>
          <w:szCs w:val="24"/>
        </w:rPr>
      </w:pPr>
      <w:r w:rsidRPr="000C3762">
        <w:rPr>
          <w:rFonts w:ascii="Arial" w:hAnsi="Arial" w:cs="Arial"/>
          <w:sz w:val="24"/>
          <w:szCs w:val="24"/>
        </w:rPr>
        <w:t>[58.]</w:t>
      </w:r>
      <w:r w:rsidRPr="000C3762">
        <w:rPr>
          <w:rFonts w:ascii="Arial" w:hAnsi="Arial" w:cs="Arial"/>
          <w:sz w:val="24"/>
          <w:szCs w:val="24"/>
        </w:rPr>
        <w:tab/>
      </w:r>
      <w:r w:rsidR="000C3762" w:rsidRPr="00B257D7">
        <w:rPr>
          <w:rFonts w:ascii="Arial" w:hAnsi="Arial" w:cs="Arial"/>
          <w:sz w:val="24"/>
          <w:szCs w:val="24"/>
        </w:rPr>
        <w:t>Regarding the claim of unlawful detention, the notice needed to be served within six months from when each day's debt became due</w:t>
      </w:r>
      <w:r w:rsidR="00F73E65" w:rsidRPr="00B257D7">
        <w:rPr>
          <w:rFonts w:ascii="Arial" w:hAnsi="Arial" w:cs="Arial"/>
          <w:sz w:val="24"/>
          <w:szCs w:val="24"/>
        </w:rPr>
        <w:t xml:space="preserve"> or in other words, each day of detention</w:t>
      </w:r>
      <w:r w:rsidR="000C3762" w:rsidRPr="00B257D7">
        <w:rPr>
          <w:rFonts w:ascii="Arial" w:hAnsi="Arial" w:cs="Arial"/>
          <w:sz w:val="24"/>
          <w:szCs w:val="24"/>
        </w:rPr>
        <w:t xml:space="preserve">. Since the plaintiff served his notice on 20 June 2019, he has only complied with section 3(2) for debts arising six months prior to that date, from 20 December 2018 to </w:t>
      </w:r>
      <w:r w:rsidR="00FE1836" w:rsidRPr="00B257D7">
        <w:rPr>
          <w:rFonts w:ascii="Arial" w:hAnsi="Arial" w:cs="Arial"/>
          <w:sz w:val="24"/>
          <w:szCs w:val="24"/>
        </w:rPr>
        <w:t xml:space="preserve">the date of his release on </w:t>
      </w:r>
      <w:r w:rsidR="00A96516" w:rsidRPr="00B257D7">
        <w:rPr>
          <w:rFonts w:ascii="Arial" w:hAnsi="Arial" w:cs="Arial"/>
          <w:sz w:val="24"/>
          <w:szCs w:val="24"/>
        </w:rPr>
        <w:t xml:space="preserve">29 </w:t>
      </w:r>
      <w:r w:rsidR="000C3762" w:rsidRPr="00B257D7">
        <w:rPr>
          <w:rFonts w:ascii="Arial" w:hAnsi="Arial" w:cs="Arial"/>
          <w:sz w:val="24"/>
          <w:szCs w:val="24"/>
        </w:rPr>
        <w:t>January 2019.</w:t>
      </w:r>
    </w:p>
    <w:p w14:paraId="7C1E0432" w14:textId="77777777" w:rsidR="000C3762" w:rsidRPr="000C3762" w:rsidRDefault="000C3762" w:rsidP="000C3762">
      <w:pPr>
        <w:pStyle w:val="ListParagraph"/>
        <w:spacing w:after="360" w:line="360" w:lineRule="auto"/>
        <w:jc w:val="both"/>
        <w:rPr>
          <w:rFonts w:ascii="Arial" w:hAnsi="Arial" w:cs="Arial"/>
          <w:sz w:val="24"/>
          <w:szCs w:val="24"/>
        </w:rPr>
      </w:pPr>
    </w:p>
    <w:p w14:paraId="371348B5" w14:textId="2FDF6166" w:rsidR="000C3762"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[59.]</w:t>
      </w:r>
      <w:r>
        <w:rPr>
          <w:rFonts w:ascii="Arial" w:hAnsi="Arial" w:cs="Arial"/>
          <w:sz w:val="24"/>
          <w:szCs w:val="24"/>
        </w:rPr>
        <w:tab/>
      </w:r>
      <w:r w:rsidR="000C3762" w:rsidRPr="00B257D7">
        <w:rPr>
          <w:rFonts w:ascii="Arial" w:hAnsi="Arial" w:cs="Arial"/>
          <w:sz w:val="24"/>
          <w:szCs w:val="24"/>
        </w:rPr>
        <w:t>In terms of section 3(4)(b)(i) of the Prescription Act, the plaintiff is barred from applying for condonation for debts that have been extinguished by prescription, which includes the claim for unlawful arrest and the unlawful detention claim prior to 21 January 2018.</w:t>
      </w:r>
    </w:p>
    <w:p w14:paraId="79D909D6" w14:textId="77777777" w:rsidR="000C3762" w:rsidRPr="000C3762" w:rsidRDefault="000C3762" w:rsidP="000C3762">
      <w:pPr>
        <w:pStyle w:val="ListParagraph"/>
        <w:rPr>
          <w:rFonts w:ascii="Arial" w:hAnsi="Arial" w:cs="Arial"/>
          <w:sz w:val="24"/>
          <w:szCs w:val="24"/>
        </w:rPr>
      </w:pPr>
    </w:p>
    <w:p w14:paraId="4DF8B7E8" w14:textId="022F5205" w:rsidR="00600A47" w:rsidRPr="00307742" w:rsidRDefault="00F32E54" w:rsidP="00307742">
      <w:pPr>
        <w:pStyle w:val="ListParagraph"/>
        <w:spacing w:after="360" w:line="360" w:lineRule="auto"/>
        <w:jc w:val="both"/>
        <w:rPr>
          <w:rFonts w:ascii="Arial" w:hAnsi="Arial" w:cs="Arial"/>
          <w:sz w:val="24"/>
          <w:szCs w:val="24"/>
        </w:rPr>
      </w:pPr>
      <w:r>
        <w:rPr>
          <w:rFonts w:ascii="Arial" w:hAnsi="Arial" w:cs="Arial"/>
          <w:sz w:val="24"/>
          <w:szCs w:val="24"/>
        </w:rPr>
        <w:lastRenderedPageBreak/>
        <w:t xml:space="preserve"> </w:t>
      </w:r>
    </w:p>
    <w:p w14:paraId="4B423421" w14:textId="5CD4273C" w:rsidR="008E6570" w:rsidRPr="00B257D7" w:rsidRDefault="00B257D7" w:rsidP="00B257D7">
      <w:pPr>
        <w:spacing w:after="360" w:line="360" w:lineRule="auto"/>
        <w:ind w:left="720" w:hanging="720"/>
        <w:jc w:val="both"/>
        <w:rPr>
          <w:rFonts w:ascii="Arial" w:hAnsi="Arial" w:cs="Arial"/>
          <w:sz w:val="24"/>
          <w:szCs w:val="24"/>
        </w:rPr>
      </w:pPr>
      <w:r w:rsidRPr="008E6570">
        <w:rPr>
          <w:rFonts w:ascii="Arial" w:hAnsi="Arial" w:cs="Arial"/>
          <w:sz w:val="24"/>
          <w:szCs w:val="24"/>
        </w:rPr>
        <w:t>[60.]</w:t>
      </w:r>
      <w:r w:rsidRPr="008E6570">
        <w:rPr>
          <w:rFonts w:ascii="Arial" w:hAnsi="Arial" w:cs="Arial"/>
          <w:sz w:val="24"/>
          <w:szCs w:val="24"/>
        </w:rPr>
        <w:tab/>
      </w:r>
      <w:r w:rsidR="008E6570" w:rsidRPr="00B257D7">
        <w:rPr>
          <w:rFonts w:ascii="Arial" w:hAnsi="Arial" w:cs="Arial"/>
          <w:sz w:val="24"/>
          <w:szCs w:val="24"/>
        </w:rPr>
        <w:t>The effect of the plaintiff's non-compliance with the Institution of Legal Proceedings Act and the debts extinguished by prescription is that, without any application for condonation, he only has a valid claim for unlawful detention from 20 December 2018 to 29 January 2019.</w:t>
      </w:r>
    </w:p>
    <w:p w14:paraId="45D6BBF7" w14:textId="77777777" w:rsidR="008E6570" w:rsidRPr="008E6570" w:rsidRDefault="008E6570" w:rsidP="008E6570">
      <w:pPr>
        <w:pStyle w:val="ListParagraph"/>
        <w:spacing w:after="360" w:line="360" w:lineRule="auto"/>
        <w:jc w:val="both"/>
        <w:rPr>
          <w:rFonts w:ascii="Arial" w:hAnsi="Arial" w:cs="Arial"/>
          <w:sz w:val="24"/>
          <w:szCs w:val="24"/>
        </w:rPr>
      </w:pPr>
    </w:p>
    <w:p w14:paraId="59F5D4BC" w14:textId="609C8808" w:rsidR="008E6570" w:rsidRPr="00B257D7" w:rsidRDefault="00B257D7" w:rsidP="00B257D7">
      <w:pPr>
        <w:spacing w:after="360" w:line="360" w:lineRule="auto"/>
        <w:ind w:left="720" w:hanging="720"/>
        <w:jc w:val="both"/>
        <w:rPr>
          <w:rFonts w:ascii="Arial" w:hAnsi="Arial" w:cs="Arial"/>
          <w:sz w:val="24"/>
          <w:szCs w:val="24"/>
        </w:rPr>
      </w:pPr>
      <w:r w:rsidRPr="008E6570">
        <w:rPr>
          <w:rFonts w:ascii="Arial" w:hAnsi="Arial" w:cs="Arial"/>
          <w:sz w:val="24"/>
          <w:szCs w:val="24"/>
        </w:rPr>
        <w:t>[61.]</w:t>
      </w:r>
      <w:r w:rsidRPr="008E6570">
        <w:rPr>
          <w:rFonts w:ascii="Arial" w:hAnsi="Arial" w:cs="Arial"/>
          <w:sz w:val="24"/>
          <w:szCs w:val="24"/>
        </w:rPr>
        <w:tab/>
      </w:r>
      <w:r w:rsidR="008E6570" w:rsidRPr="00B257D7">
        <w:rPr>
          <w:rFonts w:ascii="Arial" w:hAnsi="Arial" w:cs="Arial"/>
          <w:sz w:val="24"/>
          <w:szCs w:val="24"/>
        </w:rPr>
        <w:t xml:space="preserve">The plaintiff’s counsel argued that if the court finds that the claims for unlawful arrest and detention constituted a continuous wrong, making the </w:t>
      </w:r>
      <w:r w:rsidR="009B060D" w:rsidRPr="00B257D7">
        <w:rPr>
          <w:rFonts w:ascii="Arial" w:hAnsi="Arial" w:cs="Arial"/>
          <w:sz w:val="24"/>
          <w:szCs w:val="24"/>
        </w:rPr>
        <w:t>debts</w:t>
      </w:r>
      <w:r w:rsidR="008E6570" w:rsidRPr="00B257D7">
        <w:rPr>
          <w:rFonts w:ascii="Arial" w:hAnsi="Arial" w:cs="Arial"/>
          <w:sz w:val="24"/>
          <w:szCs w:val="24"/>
        </w:rPr>
        <w:t xml:space="preserve"> arise only on the date of his release on 29 January 2019, then the notice under section 3 was timely as it was served on 20 June 2019. Furthermore, it was argued that if the court finds differently, it is empowered to condone the late service under section 3(4)</w:t>
      </w:r>
      <w:r w:rsidR="00A2064F" w:rsidRPr="00B257D7">
        <w:rPr>
          <w:rFonts w:ascii="Arial" w:hAnsi="Arial" w:cs="Arial"/>
          <w:sz w:val="24"/>
          <w:szCs w:val="24"/>
        </w:rPr>
        <w:t xml:space="preserve"> of the Institution of Legal Proceedings Act</w:t>
      </w:r>
      <w:r w:rsidR="008E6570" w:rsidRPr="00B257D7">
        <w:rPr>
          <w:rFonts w:ascii="Arial" w:hAnsi="Arial" w:cs="Arial"/>
          <w:sz w:val="24"/>
          <w:szCs w:val="24"/>
        </w:rPr>
        <w:t>, which would only apply to the portion of the debt not extinguished by prescription, from 21 January 2018 to 29 January 2019.</w:t>
      </w:r>
    </w:p>
    <w:p w14:paraId="46EF209D" w14:textId="77777777" w:rsidR="008E6570" w:rsidRPr="008E6570" w:rsidRDefault="008E6570" w:rsidP="008E6570">
      <w:pPr>
        <w:pStyle w:val="ListParagraph"/>
        <w:spacing w:after="360" w:line="360" w:lineRule="auto"/>
        <w:jc w:val="both"/>
        <w:rPr>
          <w:rFonts w:ascii="Arial" w:hAnsi="Arial" w:cs="Arial"/>
          <w:sz w:val="24"/>
          <w:szCs w:val="24"/>
        </w:rPr>
      </w:pPr>
    </w:p>
    <w:p w14:paraId="5EC30B96" w14:textId="6C3526E2" w:rsidR="008E6570" w:rsidRPr="00B257D7" w:rsidRDefault="00B257D7" w:rsidP="00B257D7">
      <w:pPr>
        <w:spacing w:after="360" w:line="360" w:lineRule="auto"/>
        <w:ind w:left="720" w:hanging="720"/>
        <w:jc w:val="both"/>
        <w:rPr>
          <w:rFonts w:ascii="Arial" w:hAnsi="Arial" w:cs="Arial"/>
          <w:sz w:val="24"/>
          <w:szCs w:val="24"/>
        </w:rPr>
      </w:pPr>
      <w:r w:rsidRPr="008E6570">
        <w:rPr>
          <w:rFonts w:ascii="Arial" w:hAnsi="Arial" w:cs="Arial"/>
          <w:sz w:val="24"/>
          <w:szCs w:val="24"/>
        </w:rPr>
        <w:t>[62.]</w:t>
      </w:r>
      <w:r w:rsidRPr="008E6570">
        <w:rPr>
          <w:rFonts w:ascii="Arial" w:hAnsi="Arial" w:cs="Arial"/>
          <w:sz w:val="24"/>
          <w:szCs w:val="24"/>
        </w:rPr>
        <w:tab/>
      </w:r>
      <w:r w:rsidR="008E6570" w:rsidRPr="00B257D7">
        <w:rPr>
          <w:rFonts w:ascii="Arial" w:hAnsi="Arial" w:cs="Arial"/>
          <w:sz w:val="24"/>
          <w:szCs w:val="24"/>
        </w:rPr>
        <w:t xml:space="preserve">Section 3(4) </w:t>
      </w:r>
      <w:r w:rsidR="00A2064F" w:rsidRPr="00B257D7">
        <w:rPr>
          <w:rFonts w:ascii="Arial" w:hAnsi="Arial" w:cs="Arial"/>
          <w:sz w:val="24"/>
          <w:szCs w:val="24"/>
        </w:rPr>
        <w:t xml:space="preserve"> of the Institution of Legal Proceedings Act</w:t>
      </w:r>
      <w:r w:rsidR="00A61324" w:rsidRPr="00B257D7">
        <w:rPr>
          <w:rFonts w:ascii="Arial" w:hAnsi="Arial" w:cs="Arial"/>
          <w:sz w:val="24"/>
          <w:szCs w:val="24"/>
        </w:rPr>
        <w:t xml:space="preserve"> </w:t>
      </w:r>
      <w:r w:rsidR="008E6570" w:rsidRPr="00B257D7">
        <w:rPr>
          <w:rFonts w:ascii="Arial" w:hAnsi="Arial" w:cs="Arial"/>
          <w:sz w:val="24"/>
          <w:szCs w:val="24"/>
        </w:rPr>
        <w:t>states that where an organ of state relies on a creditor's failure to serve notice in accordance with section 3(2)(a), the creditor may apply to a court having jurisdiction for condonation of such failure.</w:t>
      </w:r>
    </w:p>
    <w:p w14:paraId="7BA0708D" w14:textId="77777777" w:rsidR="008E6570" w:rsidRPr="008E6570" w:rsidRDefault="008E6570" w:rsidP="008E6570">
      <w:pPr>
        <w:pStyle w:val="ListParagraph"/>
        <w:spacing w:after="360" w:line="360" w:lineRule="auto"/>
        <w:jc w:val="both"/>
        <w:rPr>
          <w:rFonts w:ascii="Arial" w:hAnsi="Arial" w:cs="Arial"/>
          <w:sz w:val="24"/>
          <w:szCs w:val="24"/>
        </w:rPr>
      </w:pPr>
    </w:p>
    <w:p w14:paraId="550AC31D" w14:textId="73A418B4" w:rsidR="008E6570" w:rsidRPr="00B257D7" w:rsidRDefault="00B257D7" w:rsidP="00B257D7">
      <w:pPr>
        <w:spacing w:after="360" w:line="360" w:lineRule="auto"/>
        <w:ind w:left="720" w:hanging="720"/>
        <w:jc w:val="both"/>
        <w:rPr>
          <w:rFonts w:ascii="Arial" w:hAnsi="Arial" w:cs="Arial"/>
          <w:sz w:val="24"/>
          <w:szCs w:val="24"/>
        </w:rPr>
      </w:pPr>
      <w:r w:rsidRPr="008E6570">
        <w:rPr>
          <w:rFonts w:ascii="Arial" w:hAnsi="Arial" w:cs="Arial"/>
          <w:sz w:val="24"/>
          <w:szCs w:val="24"/>
        </w:rPr>
        <w:t>[63.]</w:t>
      </w:r>
      <w:r w:rsidRPr="008E6570">
        <w:rPr>
          <w:rFonts w:ascii="Arial" w:hAnsi="Arial" w:cs="Arial"/>
          <w:sz w:val="24"/>
          <w:szCs w:val="24"/>
        </w:rPr>
        <w:tab/>
      </w:r>
      <w:r w:rsidR="008E6570" w:rsidRPr="00B257D7">
        <w:rPr>
          <w:rFonts w:ascii="Arial" w:hAnsi="Arial" w:cs="Arial"/>
          <w:sz w:val="24"/>
          <w:szCs w:val="24"/>
        </w:rPr>
        <w:t>Compliance with the provisions of section 3(2) of the Institution of Legal Proceedings Act is statutory, and applying to a court for condonation requires a formal application supported by an affidavit. Section 3(4) specifies that the court must be satisfied that the three requirements under section 3(4) are met before it can exercise discretion to condone.</w:t>
      </w:r>
      <w:r w:rsidR="00574E56" w:rsidRPr="00574E56">
        <w:rPr>
          <w:vertAlign w:val="superscript"/>
        </w:rPr>
        <w:footnoteReference w:id="25"/>
      </w:r>
    </w:p>
    <w:p w14:paraId="18EC0CF9" w14:textId="77777777" w:rsidR="008E6570" w:rsidRPr="008E6570" w:rsidRDefault="008E6570" w:rsidP="008E6570">
      <w:pPr>
        <w:pStyle w:val="ListParagraph"/>
        <w:spacing w:after="360" w:line="360" w:lineRule="auto"/>
        <w:jc w:val="both"/>
        <w:rPr>
          <w:rFonts w:ascii="Arial" w:hAnsi="Arial" w:cs="Arial"/>
          <w:sz w:val="24"/>
          <w:szCs w:val="24"/>
        </w:rPr>
      </w:pPr>
    </w:p>
    <w:p w14:paraId="32BA7357" w14:textId="5BA2BDE5" w:rsidR="008E6570" w:rsidRPr="00B257D7" w:rsidRDefault="00B257D7" w:rsidP="00B257D7">
      <w:pPr>
        <w:spacing w:after="360" w:line="360" w:lineRule="auto"/>
        <w:ind w:left="720" w:hanging="720"/>
        <w:jc w:val="both"/>
        <w:rPr>
          <w:rFonts w:ascii="Arial" w:hAnsi="Arial" w:cs="Arial"/>
          <w:sz w:val="24"/>
          <w:szCs w:val="24"/>
        </w:rPr>
      </w:pPr>
      <w:r w:rsidRPr="008E6570">
        <w:rPr>
          <w:rFonts w:ascii="Arial" w:hAnsi="Arial" w:cs="Arial"/>
          <w:sz w:val="24"/>
          <w:szCs w:val="24"/>
        </w:rPr>
        <w:t>[64.]</w:t>
      </w:r>
      <w:r w:rsidRPr="008E6570">
        <w:rPr>
          <w:rFonts w:ascii="Arial" w:hAnsi="Arial" w:cs="Arial"/>
          <w:sz w:val="24"/>
          <w:szCs w:val="24"/>
        </w:rPr>
        <w:tab/>
      </w:r>
      <w:r w:rsidR="008E6570" w:rsidRPr="00B257D7">
        <w:rPr>
          <w:rFonts w:ascii="Arial" w:hAnsi="Arial" w:cs="Arial"/>
          <w:sz w:val="24"/>
          <w:szCs w:val="24"/>
        </w:rPr>
        <w:t>A party must apply for condonation as soon as it realizes that such non-compliance needs to be addressed. This realization may occur when the notice is served, when objections are received</w:t>
      </w:r>
      <w:r w:rsidR="00C74381" w:rsidRPr="00C74381">
        <w:rPr>
          <w:vertAlign w:val="superscript"/>
        </w:rPr>
        <w:footnoteReference w:id="26"/>
      </w:r>
      <w:r w:rsidR="008E6570" w:rsidRPr="00B257D7">
        <w:rPr>
          <w:rFonts w:ascii="Arial" w:hAnsi="Arial" w:cs="Arial"/>
          <w:sz w:val="24"/>
          <w:szCs w:val="24"/>
        </w:rPr>
        <w:t xml:space="preserve">, or later when a defendant’s special </w:t>
      </w:r>
      <w:r w:rsidR="008E6570" w:rsidRPr="00B257D7">
        <w:rPr>
          <w:rFonts w:ascii="Arial" w:hAnsi="Arial" w:cs="Arial"/>
          <w:sz w:val="24"/>
          <w:szCs w:val="24"/>
        </w:rPr>
        <w:lastRenderedPageBreak/>
        <w:t xml:space="preserve">plea is filed, at which point a prudent </w:t>
      </w:r>
      <w:r w:rsidR="00EE65F3" w:rsidRPr="00B257D7">
        <w:rPr>
          <w:rFonts w:ascii="Arial" w:hAnsi="Arial" w:cs="Arial"/>
          <w:sz w:val="24"/>
          <w:szCs w:val="24"/>
        </w:rPr>
        <w:t>litigant</w:t>
      </w:r>
      <w:r w:rsidR="008E6570" w:rsidRPr="00B257D7">
        <w:rPr>
          <w:rFonts w:ascii="Arial" w:hAnsi="Arial" w:cs="Arial"/>
          <w:sz w:val="24"/>
          <w:szCs w:val="24"/>
        </w:rPr>
        <w:t xml:space="preserve"> would promptly apply for condonation to avoid accusations of unreasonable delays</w:t>
      </w:r>
      <w:r w:rsidR="00EE65F3" w:rsidRPr="00EE65F3">
        <w:rPr>
          <w:vertAlign w:val="superscript"/>
        </w:rPr>
        <w:footnoteReference w:id="27"/>
      </w:r>
      <w:r w:rsidR="008E6570" w:rsidRPr="00B257D7">
        <w:rPr>
          <w:rFonts w:ascii="Arial" w:hAnsi="Arial" w:cs="Arial"/>
          <w:sz w:val="24"/>
          <w:szCs w:val="24"/>
        </w:rPr>
        <w:t>.</w:t>
      </w:r>
    </w:p>
    <w:p w14:paraId="35E7A400" w14:textId="77777777" w:rsidR="008E6570" w:rsidRPr="008E6570" w:rsidRDefault="008E6570" w:rsidP="008E6570">
      <w:pPr>
        <w:pStyle w:val="ListParagraph"/>
        <w:spacing w:after="360" w:line="360" w:lineRule="auto"/>
        <w:jc w:val="both"/>
        <w:rPr>
          <w:rFonts w:ascii="Arial" w:hAnsi="Arial" w:cs="Arial"/>
          <w:sz w:val="24"/>
          <w:szCs w:val="24"/>
        </w:rPr>
      </w:pPr>
    </w:p>
    <w:p w14:paraId="128B7436" w14:textId="1DD8C04A" w:rsidR="008E6570" w:rsidRPr="00B257D7" w:rsidRDefault="00B257D7" w:rsidP="00B257D7">
      <w:pPr>
        <w:spacing w:after="360" w:line="360" w:lineRule="auto"/>
        <w:ind w:left="720" w:hanging="720"/>
        <w:jc w:val="both"/>
        <w:rPr>
          <w:rFonts w:ascii="Arial" w:hAnsi="Arial" w:cs="Arial"/>
          <w:sz w:val="24"/>
          <w:szCs w:val="24"/>
        </w:rPr>
      </w:pPr>
      <w:r w:rsidRPr="008E6570">
        <w:rPr>
          <w:rFonts w:ascii="Arial" w:hAnsi="Arial" w:cs="Arial"/>
          <w:sz w:val="24"/>
          <w:szCs w:val="24"/>
        </w:rPr>
        <w:t>[65.]</w:t>
      </w:r>
      <w:r w:rsidRPr="008E6570">
        <w:rPr>
          <w:rFonts w:ascii="Arial" w:hAnsi="Arial" w:cs="Arial"/>
          <w:sz w:val="24"/>
          <w:szCs w:val="24"/>
        </w:rPr>
        <w:tab/>
      </w:r>
      <w:r w:rsidR="008E6570" w:rsidRPr="00B257D7">
        <w:rPr>
          <w:rFonts w:ascii="Arial" w:hAnsi="Arial" w:cs="Arial"/>
          <w:sz w:val="24"/>
          <w:szCs w:val="24"/>
        </w:rPr>
        <w:t>In cases involving statutory time frames, non-compliance is a jurisdictional issue that must be resolved before the court can consider the dispute. If statutory provisions are not followed, the court lacks jurisdiction unless condonation is granted, making an application for condonation mandatory unless otherwise specified. Without such an application, the court cannot assist a party</w:t>
      </w:r>
      <w:r w:rsidR="00E647D4" w:rsidRPr="00B257D7">
        <w:rPr>
          <w:rFonts w:ascii="Arial" w:hAnsi="Arial" w:cs="Arial"/>
          <w:sz w:val="24"/>
          <w:szCs w:val="24"/>
        </w:rPr>
        <w:t>.</w:t>
      </w:r>
      <w:r w:rsidR="00E647D4" w:rsidRPr="00E647D4">
        <w:rPr>
          <w:vertAlign w:val="superscript"/>
        </w:rPr>
        <w:footnoteReference w:id="28"/>
      </w:r>
    </w:p>
    <w:p w14:paraId="0AF5F7CA" w14:textId="77777777" w:rsidR="008E6570" w:rsidRPr="008E6570" w:rsidRDefault="008E6570" w:rsidP="008E6570">
      <w:pPr>
        <w:pStyle w:val="ListParagraph"/>
        <w:spacing w:after="360" w:line="360" w:lineRule="auto"/>
        <w:jc w:val="both"/>
        <w:rPr>
          <w:rFonts w:ascii="Arial" w:hAnsi="Arial" w:cs="Arial"/>
          <w:sz w:val="24"/>
          <w:szCs w:val="24"/>
        </w:rPr>
      </w:pPr>
    </w:p>
    <w:p w14:paraId="192FAE64" w14:textId="0D3876D1" w:rsidR="008E6570" w:rsidRPr="00B257D7" w:rsidRDefault="00B257D7" w:rsidP="00B257D7">
      <w:pPr>
        <w:spacing w:after="360" w:line="360" w:lineRule="auto"/>
        <w:ind w:left="720" w:hanging="720"/>
        <w:jc w:val="both"/>
        <w:rPr>
          <w:rFonts w:ascii="Arial" w:hAnsi="Arial" w:cs="Arial"/>
          <w:sz w:val="24"/>
          <w:szCs w:val="24"/>
        </w:rPr>
      </w:pPr>
      <w:r w:rsidRPr="006F4BE6">
        <w:rPr>
          <w:rFonts w:ascii="Arial" w:hAnsi="Arial" w:cs="Arial"/>
          <w:sz w:val="24"/>
          <w:szCs w:val="24"/>
        </w:rPr>
        <w:t>[66.]</w:t>
      </w:r>
      <w:r w:rsidRPr="006F4BE6">
        <w:rPr>
          <w:rFonts w:ascii="Arial" w:hAnsi="Arial" w:cs="Arial"/>
          <w:sz w:val="24"/>
          <w:szCs w:val="24"/>
        </w:rPr>
        <w:tab/>
      </w:r>
      <w:r w:rsidR="006F4BE6" w:rsidRPr="00B257D7">
        <w:rPr>
          <w:rFonts w:ascii="Arial" w:hAnsi="Arial" w:cs="Arial"/>
          <w:sz w:val="24"/>
          <w:szCs w:val="24"/>
        </w:rPr>
        <w:t>Since the defendants' plea was served around 20 April 2021, the plaintiff has failed to apply for condonation under section 3(4) of the Institution of Legal Proceedings</w:t>
      </w:r>
      <w:r w:rsidR="00B9045C" w:rsidRPr="00B257D7">
        <w:rPr>
          <w:rFonts w:ascii="Arial" w:hAnsi="Arial" w:cs="Arial"/>
          <w:sz w:val="24"/>
          <w:szCs w:val="24"/>
        </w:rPr>
        <w:t xml:space="preserve"> </w:t>
      </w:r>
      <w:r w:rsidR="006F4BE6" w:rsidRPr="00B257D7">
        <w:rPr>
          <w:rFonts w:ascii="Arial" w:hAnsi="Arial" w:cs="Arial"/>
          <w:sz w:val="24"/>
          <w:szCs w:val="24"/>
        </w:rPr>
        <w:t xml:space="preserve">Act, and no such </w:t>
      </w:r>
      <w:r w:rsidR="003270A1" w:rsidRPr="00B257D7">
        <w:rPr>
          <w:rFonts w:ascii="Arial" w:hAnsi="Arial" w:cs="Arial"/>
          <w:sz w:val="24"/>
          <w:szCs w:val="24"/>
        </w:rPr>
        <w:t xml:space="preserve">formal </w:t>
      </w:r>
      <w:r w:rsidR="006F4BE6" w:rsidRPr="00B257D7">
        <w:rPr>
          <w:rFonts w:ascii="Arial" w:hAnsi="Arial" w:cs="Arial"/>
          <w:sz w:val="24"/>
          <w:szCs w:val="24"/>
        </w:rPr>
        <w:t>application is before this court. The request for condonation is therefore made from the bar, without any satisfactory explanation of good cause or assurance that the defendants would not be unreasonably prejudiced.</w:t>
      </w:r>
      <w:r w:rsidR="00813504" w:rsidRPr="00B257D7">
        <w:rPr>
          <w:rFonts w:ascii="Arial" w:hAnsi="Arial" w:cs="Arial"/>
          <w:sz w:val="24"/>
          <w:szCs w:val="24"/>
        </w:rPr>
        <w:t xml:space="preserve"> </w:t>
      </w:r>
    </w:p>
    <w:p w14:paraId="5541FA09" w14:textId="77777777" w:rsidR="008E6570" w:rsidRPr="008E6570" w:rsidRDefault="008E6570" w:rsidP="008E6570">
      <w:pPr>
        <w:pStyle w:val="ListParagraph"/>
        <w:spacing w:after="360" w:line="360" w:lineRule="auto"/>
        <w:jc w:val="both"/>
        <w:rPr>
          <w:rFonts w:ascii="Arial" w:hAnsi="Arial" w:cs="Arial"/>
          <w:sz w:val="24"/>
          <w:szCs w:val="24"/>
        </w:rPr>
      </w:pPr>
    </w:p>
    <w:p w14:paraId="5F21FE97" w14:textId="3C6B057A" w:rsidR="008E6570" w:rsidRPr="00B257D7" w:rsidRDefault="00B257D7" w:rsidP="00B257D7">
      <w:pPr>
        <w:spacing w:after="360" w:line="360" w:lineRule="auto"/>
        <w:ind w:left="720" w:hanging="720"/>
        <w:jc w:val="both"/>
        <w:rPr>
          <w:rFonts w:ascii="Arial" w:hAnsi="Arial" w:cs="Arial"/>
          <w:sz w:val="24"/>
          <w:szCs w:val="24"/>
        </w:rPr>
      </w:pPr>
      <w:r w:rsidRPr="008E6570">
        <w:rPr>
          <w:rFonts w:ascii="Arial" w:hAnsi="Arial" w:cs="Arial"/>
          <w:sz w:val="24"/>
          <w:szCs w:val="24"/>
        </w:rPr>
        <w:t>[67.]</w:t>
      </w:r>
      <w:r w:rsidRPr="008E6570">
        <w:rPr>
          <w:rFonts w:ascii="Arial" w:hAnsi="Arial" w:cs="Arial"/>
          <w:sz w:val="24"/>
          <w:szCs w:val="24"/>
        </w:rPr>
        <w:tab/>
      </w:r>
      <w:r w:rsidR="008E6570" w:rsidRPr="00B257D7">
        <w:rPr>
          <w:rFonts w:ascii="Arial" w:hAnsi="Arial" w:cs="Arial"/>
          <w:sz w:val="24"/>
          <w:szCs w:val="24"/>
        </w:rPr>
        <w:t xml:space="preserve">Therefore, in light of the above, it is found that, having failed to apply for condonation under the provisions of the Institution of Legal Proceedings Act, this court is neither invited </w:t>
      </w:r>
      <w:r w:rsidR="00C30936" w:rsidRPr="00B257D7">
        <w:rPr>
          <w:rFonts w:ascii="Arial" w:hAnsi="Arial" w:cs="Arial"/>
          <w:sz w:val="24"/>
          <w:szCs w:val="24"/>
        </w:rPr>
        <w:t>to be satisfied</w:t>
      </w:r>
      <w:r w:rsidR="000659F0">
        <w:rPr>
          <w:rStyle w:val="FootnoteReference"/>
          <w:rFonts w:ascii="Arial" w:hAnsi="Arial"/>
          <w:sz w:val="24"/>
          <w:szCs w:val="24"/>
        </w:rPr>
        <w:footnoteReference w:id="29"/>
      </w:r>
      <w:r w:rsidR="00C30936" w:rsidRPr="00B257D7">
        <w:rPr>
          <w:rFonts w:ascii="Arial" w:hAnsi="Arial" w:cs="Arial"/>
          <w:sz w:val="24"/>
          <w:szCs w:val="24"/>
        </w:rPr>
        <w:t xml:space="preserve"> </w:t>
      </w:r>
      <w:r w:rsidR="00307742" w:rsidRPr="00B257D7">
        <w:rPr>
          <w:rFonts w:ascii="Arial" w:hAnsi="Arial" w:cs="Arial"/>
          <w:sz w:val="24"/>
          <w:szCs w:val="24"/>
        </w:rPr>
        <w:t>n</w:t>
      </w:r>
      <w:r w:rsidR="000659F0" w:rsidRPr="00B257D7">
        <w:rPr>
          <w:rFonts w:ascii="Arial" w:hAnsi="Arial" w:cs="Arial"/>
          <w:sz w:val="24"/>
          <w:szCs w:val="24"/>
        </w:rPr>
        <w:t>or</w:t>
      </w:r>
      <w:r w:rsidR="008E6570" w:rsidRPr="00B257D7">
        <w:rPr>
          <w:rFonts w:ascii="Arial" w:hAnsi="Arial" w:cs="Arial"/>
          <w:sz w:val="24"/>
          <w:szCs w:val="24"/>
        </w:rPr>
        <w:t xml:space="preserve"> able to exercise its discretion to condone the non-compliance.</w:t>
      </w:r>
    </w:p>
    <w:p w14:paraId="3630C019" w14:textId="77777777" w:rsidR="008E6570" w:rsidRPr="008E6570" w:rsidRDefault="008E6570" w:rsidP="008E6570">
      <w:pPr>
        <w:pStyle w:val="ListParagraph"/>
        <w:spacing w:after="360" w:line="360" w:lineRule="auto"/>
        <w:jc w:val="both"/>
        <w:rPr>
          <w:rFonts w:ascii="Arial" w:hAnsi="Arial" w:cs="Arial"/>
          <w:sz w:val="24"/>
          <w:szCs w:val="24"/>
        </w:rPr>
      </w:pPr>
    </w:p>
    <w:p w14:paraId="7823AFB7" w14:textId="0ADBD1B6" w:rsidR="00BD4CAC"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8E6570" w:rsidRPr="00B257D7">
        <w:rPr>
          <w:rFonts w:ascii="Arial" w:hAnsi="Arial" w:cs="Arial"/>
          <w:sz w:val="24"/>
          <w:szCs w:val="24"/>
        </w:rPr>
        <w:t>The special plea regarding non-compliance with the Institution of Legal Proceedings Act concerning the unlawful arrest and unlawful detention (for debts prior to 20 December 2018) is upheld.</w:t>
      </w:r>
    </w:p>
    <w:p w14:paraId="391AE997" w14:textId="77777777" w:rsidR="00307742" w:rsidRPr="00307742" w:rsidRDefault="00307742" w:rsidP="00307742">
      <w:pPr>
        <w:pStyle w:val="ListParagraph"/>
        <w:rPr>
          <w:rFonts w:ascii="Arial" w:hAnsi="Arial" w:cs="Arial"/>
          <w:sz w:val="24"/>
          <w:szCs w:val="24"/>
        </w:rPr>
      </w:pPr>
    </w:p>
    <w:p w14:paraId="35DB4CB7" w14:textId="77777777" w:rsidR="00307742" w:rsidRPr="007D69C7" w:rsidRDefault="00307742" w:rsidP="00307742">
      <w:pPr>
        <w:pStyle w:val="ListParagraph"/>
        <w:spacing w:after="360" w:line="360" w:lineRule="auto"/>
        <w:jc w:val="both"/>
        <w:rPr>
          <w:rFonts w:ascii="Arial" w:hAnsi="Arial" w:cs="Arial"/>
          <w:sz w:val="24"/>
          <w:szCs w:val="24"/>
        </w:rPr>
      </w:pPr>
    </w:p>
    <w:p w14:paraId="5CDF288E" w14:textId="77777777" w:rsidR="00BD4CAC" w:rsidRPr="00674745" w:rsidRDefault="00BD4CAC" w:rsidP="000402CF">
      <w:pPr>
        <w:pStyle w:val="ListParagraph"/>
        <w:rPr>
          <w:rFonts w:ascii="Arial" w:hAnsi="Arial" w:cs="Arial"/>
          <w:b/>
          <w:bCs/>
          <w:sz w:val="24"/>
          <w:szCs w:val="24"/>
        </w:rPr>
      </w:pPr>
    </w:p>
    <w:p w14:paraId="7979B323" w14:textId="0F46FCFE" w:rsidR="00B022EB" w:rsidRPr="007D69C7" w:rsidRDefault="00257DFC" w:rsidP="007D69C7">
      <w:pPr>
        <w:spacing w:after="360" w:line="360" w:lineRule="auto"/>
        <w:jc w:val="both"/>
        <w:rPr>
          <w:rFonts w:ascii="Arial" w:hAnsi="Arial" w:cs="Arial"/>
          <w:b/>
          <w:bCs/>
          <w:sz w:val="24"/>
          <w:szCs w:val="24"/>
          <w:u w:val="single"/>
        </w:rPr>
      </w:pPr>
      <w:r w:rsidRPr="007D69C7">
        <w:rPr>
          <w:rFonts w:ascii="Arial" w:hAnsi="Arial" w:cs="Arial"/>
          <w:b/>
          <w:bCs/>
          <w:sz w:val="24"/>
          <w:szCs w:val="24"/>
          <w:u w:val="single"/>
        </w:rPr>
        <w:lastRenderedPageBreak/>
        <w:t>COSTS</w:t>
      </w:r>
    </w:p>
    <w:p w14:paraId="6901A4D9" w14:textId="77777777" w:rsidR="00B022EB" w:rsidRDefault="00B022EB" w:rsidP="00DE5BCC">
      <w:pPr>
        <w:pStyle w:val="ListParagraph"/>
        <w:spacing w:after="360" w:line="360" w:lineRule="auto"/>
        <w:jc w:val="both"/>
        <w:rPr>
          <w:rFonts w:ascii="Arial" w:hAnsi="Arial" w:cs="Arial"/>
          <w:sz w:val="24"/>
          <w:szCs w:val="24"/>
        </w:rPr>
      </w:pPr>
    </w:p>
    <w:p w14:paraId="2F9F5627" w14:textId="3732031D" w:rsidR="0069554F" w:rsidRPr="00B257D7" w:rsidRDefault="00B257D7" w:rsidP="00B257D7">
      <w:pPr>
        <w:spacing w:after="360" w:line="360" w:lineRule="auto"/>
        <w:ind w:left="720" w:hanging="720"/>
        <w:jc w:val="both"/>
        <w:rPr>
          <w:rFonts w:ascii="Arial" w:hAnsi="Arial" w:cs="Arial"/>
          <w:sz w:val="24"/>
          <w:szCs w:val="24"/>
        </w:rPr>
      </w:pPr>
      <w:r>
        <w:rPr>
          <w:rFonts w:ascii="Arial" w:hAnsi="Arial" w:cs="Arial"/>
          <w:sz w:val="24"/>
          <w:szCs w:val="24"/>
        </w:rPr>
        <w:t>[69.]</w:t>
      </w:r>
      <w:r>
        <w:rPr>
          <w:rFonts w:ascii="Arial" w:hAnsi="Arial" w:cs="Arial"/>
          <w:sz w:val="24"/>
          <w:szCs w:val="24"/>
        </w:rPr>
        <w:tab/>
      </w:r>
      <w:r w:rsidR="0082498A" w:rsidRPr="00B257D7">
        <w:rPr>
          <w:rFonts w:ascii="Arial" w:hAnsi="Arial" w:cs="Arial"/>
          <w:sz w:val="24"/>
          <w:szCs w:val="24"/>
        </w:rPr>
        <w:t>The plaintiff had ample opportunity to reconsider his approach once the special plea was raised but failed to take the necessary remedial steps to apply for condonation under section 3(4) of the Institution of Legal Proceedings Act, as he should have. Therefore, given that the defendants have been successful in prosecuting their special pleas</w:t>
      </w:r>
      <w:r w:rsidR="008F2450" w:rsidRPr="00B257D7">
        <w:rPr>
          <w:rFonts w:ascii="Arial" w:hAnsi="Arial" w:cs="Arial"/>
          <w:sz w:val="24"/>
          <w:szCs w:val="24"/>
        </w:rPr>
        <w:t>, i</w:t>
      </w:r>
      <w:r w:rsidR="0082498A" w:rsidRPr="00B257D7">
        <w:rPr>
          <w:rFonts w:ascii="Arial" w:hAnsi="Arial" w:cs="Arial"/>
          <w:sz w:val="24"/>
          <w:szCs w:val="24"/>
        </w:rPr>
        <w:t>t is well-established that the general rule regarding costs is that the successful party is entitled to them. Consequently, there is no reason why the defendants in this matter should not be awarded costs.</w:t>
      </w:r>
    </w:p>
    <w:p w14:paraId="45092A18" w14:textId="77777777" w:rsidR="007539F8" w:rsidRPr="007539F8" w:rsidRDefault="007539F8" w:rsidP="007539F8">
      <w:pPr>
        <w:pStyle w:val="ListParagraph"/>
        <w:spacing w:after="360" w:line="360" w:lineRule="auto"/>
        <w:jc w:val="both"/>
        <w:rPr>
          <w:rFonts w:ascii="Arial" w:hAnsi="Arial" w:cs="Arial"/>
          <w:sz w:val="24"/>
          <w:szCs w:val="24"/>
        </w:rPr>
      </w:pPr>
    </w:p>
    <w:p w14:paraId="675C9020" w14:textId="552A513A" w:rsidR="0069554F" w:rsidRPr="007D69C7" w:rsidRDefault="0069554F" w:rsidP="007D69C7">
      <w:pPr>
        <w:spacing w:after="360" w:line="360" w:lineRule="auto"/>
        <w:jc w:val="both"/>
        <w:rPr>
          <w:rFonts w:ascii="Arial" w:hAnsi="Arial" w:cs="Arial"/>
          <w:b/>
          <w:bCs/>
          <w:sz w:val="24"/>
          <w:szCs w:val="24"/>
          <w:u w:val="single"/>
        </w:rPr>
      </w:pPr>
      <w:r w:rsidRPr="007D69C7">
        <w:rPr>
          <w:rFonts w:ascii="Arial" w:hAnsi="Arial" w:cs="Arial"/>
          <w:b/>
          <w:bCs/>
          <w:sz w:val="24"/>
          <w:szCs w:val="24"/>
          <w:u w:val="single"/>
        </w:rPr>
        <w:t>ORDER</w:t>
      </w:r>
    </w:p>
    <w:p w14:paraId="7F39936F" w14:textId="77777777" w:rsidR="007847F8" w:rsidRPr="004C27F0" w:rsidRDefault="007847F8" w:rsidP="0069554F">
      <w:pPr>
        <w:pStyle w:val="ListParagraph"/>
        <w:spacing w:after="360" w:line="360" w:lineRule="auto"/>
        <w:jc w:val="both"/>
        <w:rPr>
          <w:rFonts w:ascii="Arial" w:hAnsi="Arial" w:cs="Arial"/>
          <w:b/>
          <w:bCs/>
          <w:sz w:val="24"/>
          <w:szCs w:val="24"/>
        </w:rPr>
      </w:pPr>
    </w:p>
    <w:p w14:paraId="291FFD58" w14:textId="1107086A" w:rsidR="00CC276D" w:rsidRPr="00B257D7" w:rsidRDefault="00B257D7" w:rsidP="00B257D7">
      <w:pPr>
        <w:spacing w:after="360" w:line="360" w:lineRule="auto"/>
        <w:ind w:left="720" w:hanging="720"/>
        <w:jc w:val="both"/>
        <w:rPr>
          <w:rFonts w:ascii="Arial" w:hAnsi="Arial" w:cs="Arial"/>
          <w:sz w:val="24"/>
          <w:szCs w:val="24"/>
        </w:rPr>
      </w:pPr>
      <w:r w:rsidRPr="004C27F0">
        <w:rPr>
          <w:rFonts w:ascii="Arial" w:hAnsi="Arial" w:cs="Arial"/>
          <w:sz w:val="24"/>
          <w:szCs w:val="24"/>
        </w:rPr>
        <w:t>[70.]</w:t>
      </w:r>
      <w:r w:rsidRPr="004C27F0">
        <w:rPr>
          <w:rFonts w:ascii="Arial" w:hAnsi="Arial" w:cs="Arial"/>
          <w:sz w:val="24"/>
          <w:szCs w:val="24"/>
        </w:rPr>
        <w:tab/>
      </w:r>
      <w:r w:rsidR="00CC276D" w:rsidRPr="00B257D7">
        <w:rPr>
          <w:rFonts w:ascii="Arial" w:hAnsi="Arial" w:cs="Arial"/>
          <w:sz w:val="24"/>
          <w:szCs w:val="24"/>
        </w:rPr>
        <w:t xml:space="preserve">In the </w:t>
      </w:r>
      <w:r w:rsidR="00B5145D" w:rsidRPr="00B257D7">
        <w:rPr>
          <w:rFonts w:ascii="Arial" w:hAnsi="Arial" w:cs="Arial"/>
          <w:sz w:val="24"/>
          <w:szCs w:val="24"/>
        </w:rPr>
        <w:t>result,</w:t>
      </w:r>
      <w:r w:rsidR="00CC276D" w:rsidRPr="00B257D7">
        <w:rPr>
          <w:rFonts w:ascii="Arial" w:hAnsi="Arial" w:cs="Arial"/>
          <w:sz w:val="24"/>
          <w:szCs w:val="24"/>
        </w:rPr>
        <w:t xml:space="preserve"> I make the following order:</w:t>
      </w:r>
    </w:p>
    <w:p w14:paraId="4B46E997" w14:textId="77777777" w:rsidR="00CC276D" w:rsidRPr="00CC276D" w:rsidRDefault="00CC276D" w:rsidP="00CC276D">
      <w:pPr>
        <w:pStyle w:val="ListParagraph"/>
        <w:spacing w:after="360" w:line="360" w:lineRule="auto"/>
        <w:jc w:val="both"/>
        <w:rPr>
          <w:rFonts w:ascii="Arial" w:hAnsi="Arial" w:cs="Arial"/>
          <w:sz w:val="24"/>
          <w:szCs w:val="24"/>
        </w:rPr>
      </w:pPr>
    </w:p>
    <w:p w14:paraId="7A7C30C6" w14:textId="1350CDAE" w:rsidR="00CC276D" w:rsidRPr="00B257D7" w:rsidRDefault="00B257D7" w:rsidP="00B257D7">
      <w:pPr>
        <w:spacing w:after="360" w:line="360" w:lineRule="auto"/>
        <w:ind w:left="1440" w:hanging="720"/>
        <w:jc w:val="both"/>
        <w:rPr>
          <w:rFonts w:ascii="Arial" w:hAnsi="Arial" w:cs="Arial"/>
          <w:sz w:val="24"/>
          <w:szCs w:val="24"/>
        </w:rPr>
      </w:pPr>
      <w:r w:rsidRPr="00CC276D">
        <w:rPr>
          <w:rFonts w:ascii="Arial" w:hAnsi="Arial" w:cs="Arial"/>
          <w:b/>
          <w:bCs/>
          <w:sz w:val="24"/>
          <w:szCs w:val="24"/>
        </w:rPr>
        <w:t>1.</w:t>
      </w:r>
      <w:r w:rsidRPr="00CC276D">
        <w:rPr>
          <w:rFonts w:ascii="Arial" w:hAnsi="Arial" w:cs="Arial"/>
          <w:b/>
          <w:bCs/>
          <w:sz w:val="24"/>
          <w:szCs w:val="24"/>
        </w:rPr>
        <w:tab/>
      </w:r>
      <w:r w:rsidR="00CC276D" w:rsidRPr="00B257D7">
        <w:rPr>
          <w:rFonts w:ascii="Arial" w:hAnsi="Arial" w:cs="Arial"/>
          <w:sz w:val="24"/>
          <w:szCs w:val="24"/>
        </w:rPr>
        <w:t xml:space="preserve">The </w:t>
      </w:r>
      <w:r w:rsidR="004F349C" w:rsidRPr="00B257D7">
        <w:rPr>
          <w:rFonts w:ascii="Arial" w:hAnsi="Arial" w:cs="Arial"/>
          <w:sz w:val="24"/>
          <w:szCs w:val="24"/>
        </w:rPr>
        <w:t>defendant</w:t>
      </w:r>
      <w:r w:rsidR="0069554F" w:rsidRPr="00B257D7">
        <w:rPr>
          <w:rFonts w:ascii="Arial" w:hAnsi="Arial" w:cs="Arial"/>
          <w:sz w:val="24"/>
          <w:szCs w:val="24"/>
        </w:rPr>
        <w:t>s</w:t>
      </w:r>
      <w:r w:rsidR="00B5145D" w:rsidRPr="00B257D7">
        <w:rPr>
          <w:rFonts w:ascii="Arial" w:hAnsi="Arial" w:cs="Arial"/>
          <w:sz w:val="24"/>
          <w:szCs w:val="24"/>
        </w:rPr>
        <w:t>'</w:t>
      </w:r>
      <w:r w:rsidR="0069554F" w:rsidRPr="00B257D7">
        <w:rPr>
          <w:rFonts w:ascii="Arial" w:hAnsi="Arial" w:cs="Arial"/>
          <w:sz w:val="24"/>
          <w:szCs w:val="24"/>
        </w:rPr>
        <w:t xml:space="preserve"> </w:t>
      </w:r>
      <w:r w:rsidR="00CC276D" w:rsidRPr="00B257D7">
        <w:rPr>
          <w:rFonts w:ascii="Arial" w:hAnsi="Arial" w:cs="Arial"/>
          <w:sz w:val="24"/>
          <w:szCs w:val="24"/>
        </w:rPr>
        <w:t xml:space="preserve">special plea of prescription </w:t>
      </w:r>
      <w:r w:rsidR="006E0D9C" w:rsidRPr="00B257D7">
        <w:rPr>
          <w:rFonts w:ascii="Arial" w:hAnsi="Arial" w:cs="Arial"/>
          <w:sz w:val="24"/>
          <w:szCs w:val="24"/>
        </w:rPr>
        <w:t>concerning</w:t>
      </w:r>
      <w:r w:rsidR="00CC276D" w:rsidRPr="00B257D7">
        <w:rPr>
          <w:rFonts w:ascii="Arial" w:hAnsi="Arial" w:cs="Arial"/>
          <w:sz w:val="24"/>
          <w:szCs w:val="24"/>
        </w:rPr>
        <w:t xml:space="preserve"> Claim A is upheld.</w:t>
      </w:r>
    </w:p>
    <w:p w14:paraId="096823DA" w14:textId="77777777" w:rsidR="00CC276D" w:rsidRPr="00CC276D" w:rsidRDefault="00CC276D" w:rsidP="004C27F0">
      <w:pPr>
        <w:pStyle w:val="ListParagraph"/>
        <w:spacing w:after="360" w:line="360" w:lineRule="auto"/>
        <w:ind w:left="1440" w:hanging="720"/>
        <w:jc w:val="both"/>
        <w:rPr>
          <w:rFonts w:ascii="Arial" w:hAnsi="Arial" w:cs="Arial"/>
          <w:sz w:val="24"/>
          <w:szCs w:val="24"/>
        </w:rPr>
      </w:pPr>
    </w:p>
    <w:p w14:paraId="7B3428D9" w14:textId="31FFAC5A" w:rsidR="00CC276D" w:rsidRPr="00B257D7" w:rsidRDefault="00B257D7" w:rsidP="00B257D7">
      <w:pPr>
        <w:spacing w:after="360" w:line="360" w:lineRule="auto"/>
        <w:ind w:left="1440" w:hanging="720"/>
        <w:jc w:val="both"/>
        <w:rPr>
          <w:rFonts w:ascii="Arial" w:hAnsi="Arial" w:cs="Arial"/>
          <w:sz w:val="24"/>
          <w:szCs w:val="24"/>
        </w:rPr>
      </w:pPr>
      <w:r w:rsidRPr="00CC276D">
        <w:rPr>
          <w:rFonts w:ascii="Arial" w:hAnsi="Arial" w:cs="Arial"/>
          <w:b/>
          <w:bCs/>
          <w:sz w:val="24"/>
          <w:szCs w:val="24"/>
        </w:rPr>
        <w:t>2.</w:t>
      </w:r>
      <w:r w:rsidRPr="00CC276D">
        <w:rPr>
          <w:rFonts w:ascii="Arial" w:hAnsi="Arial" w:cs="Arial"/>
          <w:b/>
          <w:bCs/>
          <w:sz w:val="24"/>
          <w:szCs w:val="24"/>
        </w:rPr>
        <w:tab/>
      </w:r>
      <w:r w:rsidR="00CC276D" w:rsidRPr="00B257D7">
        <w:rPr>
          <w:rFonts w:ascii="Arial" w:hAnsi="Arial" w:cs="Arial"/>
          <w:sz w:val="24"/>
          <w:szCs w:val="24"/>
        </w:rPr>
        <w:t xml:space="preserve">The </w:t>
      </w:r>
      <w:r w:rsidR="00FB734A" w:rsidRPr="00B257D7">
        <w:rPr>
          <w:rFonts w:ascii="Arial" w:hAnsi="Arial" w:cs="Arial"/>
          <w:sz w:val="24"/>
          <w:szCs w:val="24"/>
        </w:rPr>
        <w:t>defendants</w:t>
      </w:r>
      <w:r w:rsidR="00B5145D" w:rsidRPr="00B257D7">
        <w:rPr>
          <w:rFonts w:ascii="Arial" w:hAnsi="Arial" w:cs="Arial"/>
          <w:sz w:val="24"/>
          <w:szCs w:val="24"/>
        </w:rPr>
        <w:t>'</w:t>
      </w:r>
      <w:r w:rsidR="00FB734A" w:rsidRPr="00B257D7">
        <w:rPr>
          <w:rFonts w:ascii="Arial" w:hAnsi="Arial" w:cs="Arial"/>
          <w:sz w:val="24"/>
          <w:szCs w:val="24"/>
        </w:rPr>
        <w:t xml:space="preserve"> </w:t>
      </w:r>
      <w:r w:rsidR="00CC276D" w:rsidRPr="00B257D7">
        <w:rPr>
          <w:rFonts w:ascii="Arial" w:hAnsi="Arial" w:cs="Arial"/>
          <w:sz w:val="24"/>
          <w:szCs w:val="24"/>
        </w:rPr>
        <w:t xml:space="preserve">special plea of prescription to Claim B is upheld </w:t>
      </w:r>
      <w:r w:rsidR="005B7561" w:rsidRPr="00B257D7">
        <w:rPr>
          <w:rFonts w:ascii="Arial" w:hAnsi="Arial" w:cs="Arial"/>
          <w:sz w:val="24"/>
          <w:szCs w:val="24"/>
        </w:rPr>
        <w:t>concerning</w:t>
      </w:r>
      <w:r w:rsidR="00CC276D" w:rsidRPr="00B257D7">
        <w:rPr>
          <w:rFonts w:ascii="Arial" w:hAnsi="Arial" w:cs="Arial"/>
          <w:sz w:val="24"/>
          <w:szCs w:val="24"/>
        </w:rPr>
        <w:t xml:space="preserve"> the </w:t>
      </w:r>
      <w:r w:rsidR="004F349C" w:rsidRPr="00B257D7">
        <w:rPr>
          <w:rFonts w:ascii="Arial" w:hAnsi="Arial" w:cs="Arial"/>
          <w:sz w:val="24"/>
          <w:szCs w:val="24"/>
        </w:rPr>
        <w:t>plaintiff</w:t>
      </w:r>
      <w:r w:rsidR="00CC276D" w:rsidRPr="00B257D7">
        <w:rPr>
          <w:rFonts w:ascii="Arial" w:hAnsi="Arial" w:cs="Arial"/>
          <w:sz w:val="24"/>
          <w:szCs w:val="24"/>
        </w:rPr>
        <w:t xml:space="preserve">’s detention </w:t>
      </w:r>
      <w:r w:rsidR="00BE599F" w:rsidRPr="00B257D7">
        <w:rPr>
          <w:rFonts w:ascii="Arial" w:hAnsi="Arial" w:cs="Arial"/>
          <w:sz w:val="24"/>
          <w:szCs w:val="24"/>
        </w:rPr>
        <w:t>prior to 21 January 2018</w:t>
      </w:r>
      <w:r w:rsidR="000D69A9" w:rsidRPr="00B257D7">
        <w:rPr>
          <w:rFonts w:ascii="Arial" w:hAnsi="Arial" w:cs="Arial"/>
          <w:sz w:val="24"/>
          <w:szCs w:val="24"/>
        </w:rPr>
        <w:t>.</w:t>
      </w:r>
    </w:p>
    <w:p w14:paraId="1B10180D" w14:textId="77777777" w:rsidR="00CC276D" w:rsidRPr="00CC276D" w:rsidRDefault="00CC276D" w:rsidP="004C27F0">
      <w:pPr>
        <w:pStyle w:val="ListParagraph"/>
        <w:spacing w:after="360" w:line="360" w:lineRule="auto"/>
        <w:ind w:left="1440" w:hanging="720"/>
        <w:jc w:val="both"/>
        <w:rPr>
          <w:rFonts w:ascii="Arial" w:hAnsi="Arial" w:cs="Arial"/>
          <w:sz w:val="24"/>
          <w:szCs w:val="24"/>
        </w:rPr>
      </w:pPr>
    </w:p>
    <w:p w14:paraId="1DA839EA" w14:textId="4B4F41DC" w:rsidR="00BB5C12" w:rsidRPr="00B257D7" w:rsidRDefault="00B257D7" w:rsidP="00B257D7">
      <w:pPr>
        <w:spacing w:after="360" w:line="360" w:lineRule="auto"/>
        <w:ind w:left="1440" w:hanging="720"/>
        <w:jc w:val="both"/>
        <w:rPr>
          <w:rFonts w:ascii="Arial" w:hAnsi="Arial" w:cs="Arial"/>
          <w:sz w:val="24"/>
          <w:szCs w:val="24"/>
        </w:rPr>
      </w:pPr>
      <w:r w:rsidRPr="00BB5C12">
        <w:rPr>
          <w:rFonts w:ascii="Arial" w:hAnsi="Arial" w:cs="Arial"/>
          <w:b/>
          <w:bCs/>
          <w:sz w:val="24"/>
          <w:szCs w:val="24"/>
        </w:rPr>
        <w:t>3.</w:t>
      </w:r>
      <w:r w:rsidRPr="00BB5C12">
        <w:rPr>
          <w:rFonts w:ascii="Arial" w:hAnsi="Arial" w:cs="Arial"/>
          <w:b/>
          <w:bCs/>
          <w:sz w:val="24"/>
          <w:szCs w:val="24"/>
        </w:rPr>
        <w:tab/>
      </w:r>
      <w:r w:rsidR="00CC276D" w:rsidRPr="00B257D7">
        <w:rPr>
          <w:rFonts w:ascii="Arial" w:hAnsi="Arial" w:cs="Arial"/>
          <w:sz w:val="24"/>
          <w:szCs w:val="24"/>
        </w:rPr>
        <w:t xml:space="preserve">The </w:t>
      </w:r>
      <w:r w:rsidR="004F349C" w:rsidRPr="00B257D7">
        <w:rPr>
          <w:rFonts w:ascii="Arial" w:hAnsi="Arial" w:cs="Arial"/>
          <w:sz w:val="24"/>
          <w:szCs w:val="24"/>
        </w:rPr>
        <w:t>Defendant</w:t>
      </w:r>
      <w:r w:rsidR="000D69A9" w:rsidRPr="00B257D7">
        <w:rPr>
          <w:rFonts w:ascii="Arial" w:hAnsi="Arial" w:cs="Arial"/>
          <w:sz w:val="24"/>
          <w:szCs w:val="24"/>
        </w:rPr>
        <w:t xml:space="preserve">s’ </w:t>
      </w:r>
      <w:r w:rsidR="00CC276D" w:rsidRPr="00B257D7">
        <w:rPr>
          <w:rFonts w:ascii="Arial" w:hAnsi="Arial" w:cs="Arial"/>
          <w:sz w:val="24"/>
          <w:szCs w:val="24"/>
        </w:rPr>
        <w:t xml:space="preserve">special plea regarding the </w:t>
      </w:r>
      <w:r w:rsidR="004F349C" w:rsidRPr="00B257D7">
        <w:rPr>
          <w:rFonts w:ascii="Arial" w:hAnsi="Arial" w:cs="Arial"/>
          <w:sz w:val="24"/>
          <w:szCs w:val="24"/>
        </w:rPr>
        <w:t>plaintiff</w:t>
      </w:r>
      <w:r w:rsidR="00CC276D" w:rsidRPr="00B257D7">
        <w:rPr>
          <w:rFonts w:ascii="Arial" w:hAnsi="Arial" w:cs="Arial"/>
          <w:sz w:val="24"/>
          <w:szCs w:val="24"/>
        </w:rPr>
        <w:t>’s non-compliance with s</w:t>
      </w:r>
      <w:r w:rsidR="00820CB4" w:rsidRPr="00B257D7">
        <w:rPr>
          <w:rFonts w:ascii="Arial" w:hAnsi="Arial" w:cs="Arial"/>
          <w:sz w:val="24"/>
          <w:szCs w:val="24"/>
        </w:rPr>
        <w:t>ection</w:t>
      </w:r>
      <w:r w:rsidR="00CC276D" w:rsidRPr="00B257D7">
        <w:rPr>
          <w:rFonts w:ascii="Arial" w:hAnsi="Arial" w:cs="Arial"/>
          <w:sz w:val="24"/>
          <w:szCs w:val="24"/>
        </w:rPr>
        <w:t xml:space="preserve"> 3 of the Institution of Legal Proceedings against Certain Organs of State Act 40 of 2002</w:t>
      </w:r>
      <w:r w:rsidR="005A7477" w:rsidRPr="00B257D7">
        <w:rPr>
          <w:rFonts w:ascii="Arial" w:hAnsi="Arial" w:cs="Arial"/>
          <w:sz w:val="24"/>
          <w:szCs w:val="24"/>
        </w:rPr>
        <w:t>, in respect of claim</w:t>
      </w:r>
      <w:r w:rsidR="00BB5C12" w:rsidRPr="00B257D7">
        <w:rPr>
          <w:rFonts w:ascii="Arial" w:hAnsi="Arial" w:cs="Arial"/>
          <w:sz w:val="24"/>
          <w:szCs w:val="24"/>
        </w:rPr>
        <w:t>s</w:t>
      </w:r>
      <w:r w:rsidR="005A7477" w:rsidRPr="00B257D7">
        <w:rPr>
          <w:rFonts w:ascii="Arial" w:hAnsi="Arial" w:cs="Arial"/>
          <w:sz w:val="24"/>
          <w:szCs w:val="24"/>
        </w:rPr>
        <w:t xml:space="preserve"> A</w:t>
      </w:r>
      <w:r w:rsidR="00EB21C1" w:rsidRPr="00B257D7">
        <w:rPr>
          <w:rFonts w:ascii="Arial" w:hAnsi="Arial" w:cs="Arial"/>
          <w:sz w:val="24"/>
          <w:szCs w:val="24"/>
        </w:rPr>
        <w:t xml:space="preserve"> </w:t>
      </w:r>
      <w:r w:rsidR="007E33E8" w:rsidRPr="00B257D7">
        <w:rPr>
          <w:rFonts w:ascii="Arial" w:hAnsi="Arial" w:cs="Arial"/>
          <w:sz w:val="24"/>
          <w:szCs w:val="24"/>
        </w:rPr>
        <w:t>and claim</w:t>
      </w:r>
      <w:r w:rsidR="00EB21C1" w:rsidRPr="00B257D7">
        <w:rPr>
          <w:rFonts w:ascii="Arial" w:hAnsi="Arial" w:cs="Arial"/>
          <w:sz w:val="24"/>
          <w:szCs w:val="24"/>
        </w:rPr>
        <w:t xml:space="preserve"> B</w:t>
      </w:r>
      <w:r w:rsidR="007E33E8" w:rsidRPr="00B257D7">
        <w:rPr>
          <w:rFonts w:ascii="Arial" w:hAnsi="Arial" w:cs="Arial"/>
          <w:sz w:val="24"/>
          <w:szCs w:val="24"/>
        </w:rPr>
        <w:t xml:space="preserve">, for debts prior to 20 December 2020, is upheld. </w:t>
      </w:r>
    </w:p>
    <w:p w14:paraId="2ED1D78E" w14:textId="77777777" w:rsidR="00674745" w:rsidRPr="00674745" w:rsidRDefault="00674745" w:rsidP="004C27F0">
      <w:pPr>
        <w:pStyle w:val="ListParagraph"/>
        <w:ind w:left="1440" w:hanging="720"/>
        <w:rPr>
          <w:rFonts w:ascii="Arial" w:hAnsi="Arial" w:cs="Arial"/>
          <w:sz w:val="24"/>
          <w:szCs w:val="24"/>
        </w:rPr>
      </w:pPr>
    </w:p>
    <w:p w14:paraId="4C4FDCAE" w14:textId="77777777" w:rsidR="00674745" w:rsidRPr="00EB21C1" w:rsidRDefault="00674745" w:rsidP="004C27F0">
      <w:pPr>
        <w:pStyle w:val="ListParagraph"/>
        <w:spacing w:after="360" w:line="360" w:lineRule="auto"/>
        <w:ind w:left="1440" w:hanging="720"/>
        <w:jc w:val="both"/>
        <w:rPr>
          <w:rFonts w:ascii="Arial" w:hAnsi="Arial" w:cs="Arial"/>
          <w:sz w:val="24"/>
          <w:szCs w:val="24"/>
        </w:rPr>
      </w:pPr>
    </w:p>
    <w:p w14:paraId="7C287D68" w14:textId="55058C23" w:rsidR="007539F8" w:rsidRPr="00B257D7" w:rsidRDefault="00B257D7" w:rsidP="00B257D7">
      <w:pPr>
        <w:spacing w:after="360" w:line="360" w:lineRule="auto"/>
        <w:ind w:left="1440" w:hanging="720"/>
        <w:jc w:val="both"/>
        <w:rPr>
          <w:rFonts w:ascii="Arial" w:hAnsi="Arial" w:cs="Arial"/>
          <w:sz w:val="24"/>
          <w:szCs w:val="24"/>
        </w:rPr>
      </w:pPr>
      <w:r w:rsidRPr="007539F8">
        <w:rPr>
          <w:rFonts w:ascii="Arial" w:hAnsi="Arial" w:cs="Arial"/>
          <w:b/>
          <w:bCs/>
          <w:sz w:val="24"/>
          <w:szCs w:val="24"/>
        </w:rPr>
        <w:t>4.</w:t>
      </w:r>
      <w:r w:rsidRPr="007539F8">
        <w:rPr>
          <w:rFonts w:ascii="Arial" w:hAnsi="Arial" w:cs="Arial"/>
          <w:b/>
          <w:bCs/>
          <w:sz w:val="24"/>
          <w:szCs w:val="24"/>
        </w:rPr>
        <w:tab/>
      </w:r>
      <w:r w:rsidR="00674745" w:rsidRPr="00B257D7">
        <w:rPr>
          <w:rFonts w:ascii="Arial" w:hAnsi="Arial" w:cs="Arial"/>
          <w:sz w:val="24"/>
          <w:szCs w:val="24"/>
        </w:rPr>
        <w:t>T</w:t>
      </w:r>
      <w:r w:rsidR="00685616" w:rsidRPr="00B257D7">
        <w:rPr>
          <w:rFonts w:ascii="Arial" w:hAnsi="Arial" w:cs="Arial"/>
          <w:sz w:val="24"/>
          <w:szCs w:val="24"/>
        </w:rPr>
        <w:t xml:space="preserve">he </w:t>
      </w:r>
      <w:r w:rsidR="004F349C" w:rsidRPr="00B257D7">
        <w:rPr>
          <w:rFonts w:ascii="Arial" w:hAnsi="Arial" w:cs="Arial"/>
          <w:sz w:val="24"/>
          <w:szCs w:val="24"/>
        </w:rPr>
        <w:t>plaintiff</w:t>
      </w:r>
      <w:r w:rsidR="00685616" w:rsidRPr="00B257D7">
        <w:rPr>
          <w:rFonts w:ascii="Arial" w:hAnsi="Arial" w:cs="Arial"/>
          <w:sz w:val="24"/>
          <w:szCs w:val="24"/>
        </w:rPr>
        <w:t xml:space="preserve"> is to pay the costs on a party and party scale. </w:t>
      </w:r>
    </w:p>
    <w:p w14:paraId="2A476DF7" w14:textId="4C5D16C6" w:rsidR="00CC276D" w:rsidRPr="00CC276D" w:rsidRDefault="00CC276D" w:rsidP="00CC276D">
      <w:pPr>
        <w:pStyle w:val="ListParagraph"/>
        <w:spacing w:after="360" w:line="360" w:lineRule="auto"/>
        <w:jc w:val="both"/>
        <w:rPr>
          <w:rFonts w:ascii="Arial" w:hAnsi="Arial" w:cs="Arial"/>
          <w:sz w:val="24"/>
          <w:szCs w:val="24"/>
        </w:rPr>
      </w:pPr>
    </w:p>
    <w:p w14:paraId="35CEE830" w14:textId="5BFF8B88" w:rsidR="007539F8" w:rsidRDefault="007539F8" w:rsidP="007539F8">
      <w:pPr>
        <w:pStyle w:val="ListParagraph"/>
        <w:spacing w:after="360" w:line="360" w:lineRule="auto"/>
        <w:ind w:left="2160"/>
        <w:jc w:val="both"/>
        <w:rPr>
          <w:rFonts w:ascii="Arial" w:hAnsi="Arial" w:cs="Arial"/>
          <w:sz w:val="24"/>
          <w:szCs w:val="24"/>
          <w:u w:val="single"/>
        </w:rPr>
      </w:pPr>
    </w:p>
    <w:p w14:paraId="22B6ED3A" w14:textId="77777777" w:rsidR="00003315" w:rsidRDefault="00003315" w:rsidP="007539F8">
      <w:pPr>
        <w:pStyle w:val="ListParagraph"/>
        <w:spacing w:after="360" w:line="360" w:lineRule="auto"/>
        <w:ind w:left="2160"/>
        <w:jc w:val="both"/>
        <w:rPr>
          <w:rFonts w:ascii="Arial" w:hAnsi="Arial" w:cs="Arial"/>
          <w:sz w:val="24"/>
          <w:szCs w:val="24"/>
          <w:u w:val="single"/>
        </w:rPr>
      </w:pPr>
    </w:p>
    <w:p w14:paraId="42E4B82D" w14:textId="77777777" w:rsidR="00003315" w:rsidRDefault="00003315" w:rsidP="007539F8">
      <w:pPr>
        <w:pStyle w:val="ListParagraph"/>
        <w:spacing w:after="360" w:line="360" w:lineRule="auto"/>
        <w:ind w:left="2160"/>
        <w:jc w:val="both"/>
        <w:rPr>
          <w:rFonts w:ascii="Arial" w:hAnsi="Arial" w:cs="Arial"/>
          <w:sz w:val="24"/>
          <w:szCs w:val="24"/>
          <w:u w:val="single"/>
        </w:rPr>
      </w:pPr>
    </w:p>
    <w:p w14:paraId="00E72D5E" w14:textId="77777777" w:rsidR="00003315" w:rsidRPr="007539F8" w:rsidRDefault="00003315" w:rsidP="007539F8">
      <w:pPr>
        <w:pStyle w:val="ListParagraph"/>
        <w:spacing w:after="360" w:line="360" w:lineRule="auto"/>
        <w:ind w:left="2160"/>
        <w:jc w:val="both"/>
        <w:rPr>
          <w:rFonts w:ascii="Arial" w:hAnsi="Arial" w:cs="Arial"/>
          <w:sz w:val="24"/>
          <w:szCs w:val="24"/>
          <w:u w:val="single"/>
        </w:rPr>
      </w:pPr>
    </w:p>
    <w:p w14:paraId="68F1C7F1" w14:textId="20AAD3C9" w:rsidR="00CC276D" w:rsidRPr="007539F8" w:rsidRDefault="007539F8" w:rsidP="00CC276D">
      <w:pPr>
        <w:pStyle w:val="ListParagraph"/>
        <w:spacing w:after="360" w:line="360" w:lineRule="auto"/>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F98DF73" w14:textId="77777777" w:rsidR="007539F8" w:rsidRDefault="007539F8" w:rsidP="007539F8">
      <w:pPr>
        <w:pStyle w:val="ListParagraph"/>
        <w:spacing w:after="360" w:line="360" w:lineRule="auto"/>
        <w:jc w:val="both"/>
        <w:rPr>
          <w:rFonts w:ascii="Arial" w:hAnsi="Arial" w:cs="Arial"/>
          <w:sz w:val="24"/>
          <w:szCs w:val="24"/>
        </w:rPr>
      </w:pPr>
      <w:r>
        <w:rPr>
          <w:rFonts w:ascii="Arial" w:hAnsi="Arial" w:cs="Arial"/>
          <w:sz w:val="24"/>
          <w:szCs w:val="24"/>
        </w:rPr>
        <w:t>KT MATHOPO</w:t>
      </w:r>
      <w:r w:rsidRPr="00CC276D">
        <w:rPr>
          <w:rFonts w:ascii="Arial" w:hAnsi="Arial" w:cs="Arial"/>
          <w:sz w:val="24"/>
          <w:szCs w:val="24"/>
        </w:rPr>
        <w:t>, AJ</w:t>
      </w:r>
    </w:p>
    <w:p w14:paraId="26C14C52" w14:textId="77777777" w:rsidR="007539F8" w:rsidRDefault="007539F8" w:rsidP="007539F8">
      <w:pPr>
        <w:pStyle w:val="ListParagraph"/>
        <w:spacing w:after="360" w:line="360" w:lineRule="auto"/>
        <w:jc w:val="both"/>
        <w:rPr>
          <w:rFonts w:ascii="Arial" w:hAnsi="Arial" w:cs="Arial"/>
          <w:sz w:val="24"/>
          <w:szCs w:val="24"/>
        </w:rPr>
      </w:pPr>
      <w:r>
        <w:rPr>
          <w:rFonts w:ascii="Arial" w:hAnsi="Arial" w:cs="Arial"/>
          <w:sz w:val="24"/>
          <w:szCs w:val="24"/>
        </w:rPr>
        <w:t>ACTING JUDGE OF THE HIGH COURT OF SOUTH AFRICA</w:t>
      </w:r>
    </w:p>
    <w:p w14:paraId="60999DE9" w14:textId="77777777" w:rsidR="007539F8" w:rsidRPr="00CC276D" w:rsidRDefault="007539F8" w:rsidP="007539F8">
      <w:pPr>
        <w:pStyle w:val="ListParagraph"/>
        <w:spacing w:after="360" w:line="360" w:lineRule="auto"/>
        <w:jc w:val="both"/>
        <w:rPr>
          <w:rFonts w:ascii="Arial" w:hAnsi="Arial" w:cs="Arial"/>
          <w:sz w:val="24"/>
          <w:szCs w:val="24"/>
        </w:rPr>
      </w:pPr>
      <w:r>
        <w:rPr>
          <w:rFonts w:ascii="Arial" w:hAnsi="Arial" w:cs="Arial"/>
          <w:sz w:val="24"/>
          <w:szCs w:val="24"/>
        </w:rPr>
        <w:t>GAUTENG DIVISION, JOHANNESBURG</w:t>
      </w:r>
    </w:p>
    <w:p w14:paraId="7D69E68A" w14:textId="6DA86F6E" w:rsidR="00CC276D" w:rsidRPr="007847F8" w:rsidRDefault="00CC276D" w:rsidP="007847F8">
      <w:pPr>
        <w:pStyle w:val="ListParagraph"/>
        <w:spacing w:after="360" w:line="360" w:lineRule="auto"/>
        <w:jc w:val="both"/>
        <w:rPr>
          <w:rFonts w:ascii="Arial" w:hAnsi="Arial" w:cs="Arial"/>
          <w:sz w:val="24"/>
          <w:szCs w:val="24"/>
        </w:rPr>
      </w:pPr>
    </w:p>
    <w:p w14:paraId="62BE3BE2" w14:textId="77777777" w:rsidR="00CC276D" w:rsidRPr="00CC276D" w:rsidRDefault="00CC276D" w:rsidP="00CC276D">
      <w:pPr>
        <w:pStyle w:val="ListParagraph"/>
        <w:spacing w:after="360" w:line="360" w:lineRule="auto"/>
        <w:jc w:val="both"/>
        <w:rPr>
          <w:rFonts w:ascii="Arial" w:hAnsi="Arial" w:cs="Arial"/>
          <w:sz w:val="24"/>
          <w:szCs w:val="24"/>
        </w:rPr>
      </w:pPr>
    </w:p>
    <w:p w14:paraId="370C41C4" w14:textId="77777777" w:rsidR="00CC276D" w:rsidRPr="007D69C7" w:rsidRDefault="00CC276D" w:rsidP="00CC276D">
      <w:pPr>
        <w:pStyle w:val="ListParagraph"/>
        <w:spacing w:after="360" w:line="360" w:lineRule="auto"/>
        <w:jc w:val="both"/>
        <w:rPr>
          <w:rFonts w:ascii="Arial" w:hAnsi="Arial" w:cs="Arial"/>
          <w:b/>
          <w:bCs/>
          <w:sz w:val="24"/>
          <w:szCs w:val="24"/>
          <w:u w:val="single"/>
        </w:rPr>
      </w:pPr>
      <w:r w:rsidRPr="007D69C7">
        <w:rPr>
          <w:rFonts w:ascii="Arial" w:hAnsi="Arial" w:cs="Arial"/>
          <w:b/>
          <w:bCs/>
          <w:sz w:val="24"/>
          <w:szCs w:val="24"/>
          <w:u w:val="single"/>
        </w:rPr>
        <w:t>APPEARANCES:</w:t>
      </w:r>
    </w:p>
    <w:p w14:paraId="6C43CEEC" w14:textId="77777777" w:rsidR="00CC276D" w:rsidRPr="00CC276D" w:rsidRDefault="00CC276D" w:rsidP="00CC276D">
      <w:pPr>
        <w:pStyle w:val="ListParagraph"/>
        <w:spacing w:after="360" w:line="360" w:lineRule="auto"/>
        <w:jc w:val="both"/>
        <w:rPr>
          <w:rFonts w:ascii="Arial" w:hAnsi="Arial" w:cs="Arial"/>
          <w:sz w:val="24"/>
          <w:szCs w:val="24"/>
        </w:rPr>
      </w:pPr>
    </w:p>
    <w:p w14:paraId="006621F5" w14:textId="59D9A2E4" w:rsidR="00CC276D" w:rsidRPr="00FD4A85" w:rsidRDefault="00CC276D" w:rsidP="00CC276D">
      <w:pPr>
        <w:pStyle w:val="ListParagraph"/>
        <w:spacing w:after="360" w:line="360" w:lineRule="auto"/>
        <w:jc w:val="both"/>
        <w:rPr>
          <w:rFonts w:ascii="Arial" w:hAnsi="Arial" w:cs="Arial"/>
          <w:sz w:val="24"/>
          <w:szCs w:val="24"/>
        </w:rPr>
      </w:pPr>
      <w:r w:rsidRPr="00FD4A85">
        <w:rPr>
          <w:rFonts w:ascii="Arial" w:hAnsi="Arial" w:cs="Arial"/>
          <w:sz w:val="24"/>
          <w:szCs w:val="24"/>
        </w:rPr>
        <w:t xml:space="preserve">On behalf of the </w:t>
      </w:r>
      <w:r w:rsidR="004F349C" w:rsidRPr="00FD4A85">
        <w:rPr>
          <w:rFonts w:ascii="Arial" w:hAnsi="Arial" w:cs="Arial"/>
          <w:sz w:val="24"/>
          <w:szCs w:val="24"/>
        </w:rPr>
        <w:t>plaintiff</w:t>
      </w:r>
      <w:r w:rsidRPr="00FD4A85">
        <w:rPr>
          <w:rFonts w:ascii="Arial" w:hAnsi="Arial" w:cs="Arial"/>
          <w:sz w:val="24"/>
          <w:szCs w:val="24"/>
        </w:rPr>
        <w:t xml:space="preserve">:                              </w:t>
      </w:r>
      <w:r w:rsidR="00E50D78" w:rsidRPr="00FD4A85">
        <w:rPr>
          <w:rFonts w:ascii="Arial" w:hAnsi="Arial" w:cs="Arial"/>
          <w:sz w:val="24"/>
          <w:szCs w:val="24"/>
        </w:rPr>
        <w:t>J</w:t>
      </w:r>
      <w:r w:rsidR="00971718">
        <w:rPr>
          <w:rFonts w:ascii="Arial" w:hAnsi="Arial" w:cs="Arial"/>
          <w:sz w:val="24"/>
          <w:szCs w:val="24"/>
        </w:rPr>
        <w:t>MV</w:t>
      </w:r>
      <w:r w:rsidR="0014661E" w:rsidRPr="00FD4A85">
        <w:rPr>
          <w:rFonts w:ascii="Arial" w:hAnsi="Arial" w:cs="Arial"/>
          <w:sz w:val="24"/>
          <w:szCs w:val="24"/>
        </w:rPr>
        <w:t xml:space="preserve"> Malema</w:t>
      </w:r>
      <w:r w:rsidR="005541E8">
        <w:rPr>
          <w:rFonts w:ascii="Arial" w:hAnsi="Arial" w:cs="Arial"/>
          <w:sz w:val="24"/>
          <w:szCs w:val="24"/>
        </w:rPr>
        <w:t xml:space="preserve"> and </w:t>
      </w:r>
      <w:r w:rsidR="00001AB7">
        <w:rPr>
          <w:rFonts w:ascii="Arial" w:hAnsi="Arial" w:cs="Arial"/>
          <w:sz w:val="24"/>
          <w:szCs w:val="24"/>
        </w:rPr>
        <w:t>L Mashilane</w:t>
      </w:r>
    </w:p>
    <w:p w14:paraId="69316EF8" w14:textId="77777777" w:rsidR="00CC276D" w:rsidRPr="00FD4A85" w:rsidRDefault="00CC276D" w:rsidP="00CC276D">
      <w:pPr>
        <w:pStyle w:val="ListParagraph"/>
        <w:spacing w:after="360" w:line="360" w:lineRule="auto"/>
        <w:jc w:val="both"/>
        <w:rPr>
          <w:rFonts w:ascii="Arial" w:hAnsi="Arial" w:cs="Arial"/>
          <w:sz w:val="24"/>
          <w:szCs w:val="24"/>
        </w:rPr>
      </w:pPr>
    </w:p>
    <w:p w14:paraId="287B1E6D" w14:textId="2F428B7B" w:rsidR="00CC276D" w:rsidRPr="00FD4A85" w:rsidRDefault="00CC276D" w:rsidP="00CC276D">
      <w:pPr>
        <w:pStyle w:val="ListParagraph"/>
        <w:spacing w:after="360" w:line="360" w:lineRule="auto"/>
        <w:jc w:val="both"/>
        <w:rPr>
          <w:rFonts w:ascii="Arial" w:hAnsi="Arial" w:cs="Arial"/>
          <w:sz w:val="24"/>
          <w:szCs w:val="24"/>
        </w:rPr>
      </w:pPr>
      <w:r w:rsidRPr="00FD4A85">
        <w:rPr>
          <w:rFonts w:ascii="Arial" w:hAnsi="Arial" w:cs="Arial"/>
          <w:sz w:val="24"/>
          <w:szCs w:val="24"/>
        </w:rPr>
        <w:t xml:space="preserve">Instructed by:                                              </w:t>
      </w:r>
      <w:r w:rsidR="005541E8">
        <w:rPr>
          <w:rFonts w:ascii="Arial" w:hAnsi="Arial" w:cs="Arial"/>
          <w:sz w:val="24"/>
          <w:szCs w:val="24"/>
        </w:rPr>
        <w:t xml:space="preserve"> </w:t>
      </w:r>
      <w:r w:rsidR="006202C3" w:rsidRPr="00FD4A85">
        <w:rPr>
          <w:rFonts w:ascii="Arial" w:hAnsi="Arial" w:cs="Arial"/>
          <w:sz w:val="24"/>
          <w:szCs w:val="24"/>
        </w:rPr>
        <w:t>TJP Attorneys</w:t>
      </w:r>
    </w:p>
    <w:p w14:paraId="164B06E7" w14:textId="77777777" w:rsidR="00CC276D" w:rsidRPr="00FD4A85" w:rsidRDefault="00CC276D" w:rsidP="00CC276D">
      <w:pPr>
        <w:pStyle w:val="ListParagraph"/>
        <w:spacing w:after="360" w:line="360" w:lineRule="auto"/>
        <w:jc w:val="both"/>
        <w:rPr>
          <w:rFonts w:ascii="Arial" w:hAnsi="Arial" w:cs="Arial"/>
          <w:sz w:val="24"/>
          <w:szCs w:val="24"/>
        </w:rPr>
      </w:pPr>
    </w:p>
    <w:p w14:paraId="62CFD305" w14:textId="77777777" w:rsidR="00CC276D" w:rsidRPr="00FD4A85" w:rsidRDefault="00CC276D" w:rsidP="00CC276D">
      <w:pPr>
        <w:pStyle w:val="ListParagraph"/>
        <w:spacing w:after="360" w:line="360" w:lineRule="auto"/>
        <w:jc w:val="both"/>
        <w:rPr>
          <w:rFonts w:ascii="Arial" w:hAnsi="Arial" w:cs="Arial"/>
          <w:sz w:val="24"/>
          <w:szCs w:val="24"/>
        </w:rPr>
      </w:pPr>
    </w:p>
    <w:p w14:paraId="59DF5F73" w14:textId="77777777" w:rsidR="00CC276D" w:rsidRPr="00FD4A85" w:rsidRDefault="00CC276D" w:rsidP="00CC276D">
      <w:pPr>
        <w:pStyle w:val="ListParagraph"/>
        <w:spacing w:after="360" w:line="360" w:lineRule="auto"/>
        <w:jc w:val="both"/>
        <w:rPr>
          <w:rFonts w:ascii="Arial" w:hAnsi="Arial" w:cs="Arial"/>
          <w:sz w:val="24"/>
          <w:szCs w:val="24"/>
        </w:rPr>
      </w:pPr>
      <w:r w:rsidRPr="00FD4A85">
        <w:rPr>
          <w:rFonts w:ascii="Arial" w:hAnsi="Arial" w:cs="Arial"/>
          <w:sz w:val="24"/>
          <w:szCs w:val="24"/>
        </w:rPr>
        <w:t>Bloemfontein</w:t>
      </w:r>
    </w:p>
    <w:p w14:paraId="695DA98C" w14:textId="77777777" w:rsidR="00CC276D" w:rsidRPr="00FD4A85" w:rsidRDefault="00CC276D" w:rsidP="00CC276D">
      <w:pPr>
        <w:pStyle w:val="ListParagraph"/>
        <w:spacing w:after="360" w:line="360" w:lineRule="auto"/>
        <w:jc w:val="both"/>
        <w:rPr>
          <w:rFonts w:ascii="Arial" w:hAnsi="Arial" w:cs="Arial"/>
          <w:sz w:val="24"/>
          <w:szCs w:val="24"/>
        </w:rPr>
      </w:pPr>
    </w:p>
    <w:p w14:paraId="493E59D8" w14:textId="2AB00510" w:rsidR="00CC276D" w:rsidRPr="00FD4A85" w:rsidRDefault="00CC276D" w:rsidP="00CC276D">
      <w:pPr>
        <w:pStyle w:val="ListParagraph"/>
        <w:spacing w:after="360" w:line="360" w:lineRule="auto"/>
        <w:jc w:val="both"/>
        <w:rPr>
          <w:rFonts w:ascii="Arial" w:hAnsi="Arial" w:cs="Arial"/>
          <w:sz w:val="24"/>
          <w:szCs w:val="24"/>
        </w:rPr>
      </w:pPr>
      <w:r w:rsidRPr="00FD4A85">
        <w:rPr>
          <w:rFonts w:ascii="Arial" w:hAnsi="Arial" w:cs="Arial"/>
          <w:sz w:val="24"/>
          <w:szCs w:val="24"/>
        </w:rPr>
        <w:t xml:space="preserve">On behalf of the </w:t>
      </w:r>
      <w:r w:rsidR="004F349C" w:rsidRPr="00FD4A85">
        <w:rPr>
          <w:rFonts w:ascii="Arial" w:hAnsi="Arial" w:cs="Arial"/>
          <w:sz w:val="24"/>
          <w:szCs w:val="24"/>
        </w:rPr>
        <w:t>defendant</w:t>
      </w:r>
      <w:r w:rsidRPr="00FD4A85">
        <w:rPr>
          <w:rFonts w:ascii="Arial" w:hAnsi="Arial" w:cs="Arial"/>
          <w:sz w:val="24"/>
          <w:szCs w:val="24"/>
        </w:rPr>
        <w:t xml:space="preserve">:                         Adv. </w:t>
      </w:r>
      <w:r w:rsidR="00E13035" w:rsidRPr="00FD4A85">
        <w:rPr>
          <w:rFonts w:ascii="Arial" w:hAnsi="Arial" w:cs="Arial"/>
          <w:sz w:val="24"/>
          <w:szCs w:val="24"/>
        </w:rPr>
        <w:t xml:space="preserve">R </w:t>
      </w:r>
      <w:r w:rsidR="00C53EFE" w:rsidRPr="00FD4A85">
        <w:rPr>
          <w:rFonts w:ascii="Arial" w:hAnsi="Arial" w:cs="Arial"/>
          <w:sz w:val="24"/>
          <w:szCs w:val="24"/>
        </w:rPr>
        <w:t xml:space="preserve">Rathidili </w:t>
      </w:r>
      <w:r w:rsidR="00047634">
        <w:rPr>
          <w:rFonts w:ascii="Arial" w:hAnsi="Arial" w:cs="Arial"/>
          <w:sz w:val="24"/>
          <w:szCs w:val="24"/>
        </w:rPr>
        <w:t>SC and N Badat</w:t>
      </w:r>
    </w:p>
    <w:p w14:paraId="78098237" w14:textId="77777777" w:rsidR="00CC276D" w:rsidRPr="00FD4A85" w:rsidRDefault="00CC276D" w:rsidP="00CC276D">
      <w:pPr>
        <w:pStyle w:val="ListParagraph"/>
        <w:spacing w:after="360" w:line="360" w:lineRule="auto"/>
        <w:jc w:val="both"/>
        <w:rPr>
          <w:rFonts w:ascii="Arial" w:hAnsi="Arial" w:cs="Arial"/>
          <w:sz w:val="24"/>
          <w:szCs w:val="24"/>
        </w:rPr>
      </w:pPr>
    </w:p>
    <w:p w14:paraId="1FD57483" w14:textId="33883DA4" w:rsidR="00CC276D" w:rsidRPr="00FD4A85" w:rsidRDefault="00CC276D" w:rsidP="00CC276D">
      <w:pPr>
        <w:pStyle w:val="ListParagraph"/>
        <w:spacing w:after="360" w:line="360" w:lineRule="auto"/>
        <w:jc w:val="both"/>
        <w:rPr>
          <w:rFonts w:ascii="Arial" w:hAnsi="Arial" w:cs="Arial"/>
          <w:sz w:val="24"/>
          <w:szCs w:val="24"/>
        </w:rPr>
      </w:pPr>
      <w:r w:rsidRPr="00FD4A85">
        <w:rPr>
          <w:rFonts w:ascii="Arial" w:hAnsi="Arial" w:cs="Arial"/>
          <w:sz w:val="24"/>
          <w:szCs w:val="24"/>
        </w:rPr>
        <w:t xml:space="preserve">Instructed by:                                              </w:t>
      </w:r>
      <w:r w:rsidR="005F0342" w:rsidRPr="00FD4A85">
        <w:rPr>
          <w:rFonts w:ascii="Arial" w:hAnsi="Arial" w:cs="Arial"/>
          <w:sz w:val="24"/>
          <w:szCs w:val="24"/>
        </w:rPr>
        <w:t>State Attorney, Johannesburg</w:t>
      </w:r>
    </w:p>
    <w:p w14:paraId="1B147F9C" w14:textId="77777777" w:rsidR="002B0A97" w:rsidRPr="00FD4A85" w:rsidRDefault="002B0A97" w:rsidP="00CC276D">
      <w:pPr>
        <w:pStyle w:val="ListParagraph"/>
        <w:spacing w:after="360" w:line="360" w:lineRule="auto"/>
        <w:jc w:val="both"/>
        <w:rPr>
          <w:rFonts w:ascii="Arial" w:hAnsi="Arial" w:cs="Arial"/>
          <w:sz w:val="24"/>
          <w:szCs w:val="24"/>
        </w:rPr>
      </w:pPr>
    </w:p>
    <w:p w14:paraId="797BED67" w14:textId="720670FF" w:rsidR="002B0A97" w:rsidRPr="00FD4A85" w:rsidRDefault="002B0A97" w:rsidP="00CC276D">
      <w:pPr>
        <w:pStyle w:val="ListParagraph"/>
        <w:spacing w:after="360" w:line="360" w:lineRule="auto"/>
        <w:jc w:val="both"/>
        <w:rPr>
          <w:rFonts w:ascii="Arial" w:hAnsi="Arial" w:cs="Arial"/>
          <w:sz w:val="24"/>
          <w:szCs w:val="24"/>
        </w:rPr>
      </w:pPr>
      <w:r w:rsidRPr="00FD4A85">
        <w:rPr>
          <w:rFonts w:ascii="Arial" w:hAnsi="Arial" w:cs="Arial"/>
          <w:sz w:val="24"/>
          <w:szCs w:val="24"/>
        </w:rPr>
        <w:t xml:space="preserve">Date </w:t>
      </w:r>
      <w:r w:rsidR="007A55B0" w:rsidRPr="00FD4A85">
        <w:rPr>
          <w:rFonts w:ascii="Arial" w:hAnsi="Arial" w:cs="Arial"/>
          <w:sz w:val="24"/>
          <w:szCs w:val="24"/>
        </w:rPr>
        <w:t>of hearing</w:t>
      </w:r>
      <w:r w:rsidR="0014661E" w:rsidRPr="00FD4A85">
        <w:rPr>
          <w:rFonts w:ascii="Arial" w:hAnsi="Arial" w:cs="Arial"/>
          <w:sz w:val="24"/>
          <w:szCs w:val="24"/>
        </w:rPr>
        <w:t>: 06 March 2024</w:t>
      </w:r>
    </w:p>
    <w:p w14:paraId="0947317A" w14:textId="532A09AE" w:rsidR="007A55B0" w:rsidRPr="00FE6089" w:rsidRDefault="007A55B0" w:rsidP="00CC276D">
      <w:pPr>
        <w:pStyle w:val="ListParagraph"/>
        <w:spacing w:after="360" w:line="360" w:lineRule="auto"/>
        <w:jc w:val="both"/>
        <w:rPr>
          <w:rFonts w:ascii="Arial" w:hAnsi="Arial" w:cs="Arial"/>
          <w:sz w:val="24"/>
          <w:szCs w:val="24"/>
        </w:rPr>
      </w:pPr>
      <w:r w:rsidRPr="00FE6089">
        <w:rPr>
          <w:rFonts w:ascii="Arial" w:hAnsi="Arial" w:cs="Arial"/>
          <w:sz w:val="24"/>
          <w:szCs w:val="24"/>
        </w:rPr>
        <w:t>Date of judgment</w:t>
      </w:r>
      <w:r w:rsidR="0014661E" w:rsidRPr="00FE6089">
        <w:rPr>
          <w:rFonts w:ascii="Arial" w:hAnsi="Arial" w:cs="Arial"/>
          <w:sz w:val="24"/>
          <w:szCs w:val="24"/>
        </w:rPr>
        <w:t>:</w:t>
      </w:r>
      <w:r w:rsidR="00FE6089" w:rsidRPr="00FE6089">
        <w:rPr>
          <w:rFonts w:ascii="Arial" w:hAnsi="Arial" w:cs="Arial"/>
          <w:sz w:val="24"/>
          <w:szCs w:val="24"/>
        </w:rPr>
        <w:t xml:space="preserve"> 03</w:t>
      </w:r>
      <w:r w:rsidR="00FE6089">
        <w:rPr>
          <w:rFonts w:ascii="Arial" w:hAnsi="Arial" w:cs="Arial"/>
          <w:sz w:val="24"/>
          <w:szCs w:val="24"/>
        </w:rPr>
        <w:t xml:space="preserve"> </w:t>
      </w:r>
      <w:r w:rsidR="00FD4A85" w:rsidRPr="00FE6089">
        <w:rPr>
          <w:rFonts w:ascii="Arial" w:hAnsi="Arial" w:cs="Arial"/>
          <w:sz w:val="24"/>
          <w:szCs w:val="24"/>
        </w:rPr>
        <w:t>June 2024</w:t>
      </w:r>
    </w:p>
    <w:p w14:paraId="1B0F6FC8" w14:textId="77777777" w:rsidR="00FD4A85" w:rsidRDefault="00FD4A85" w:rsidP="00CC276D">
      <w:pPr>
        <w:pStyle w:val="ListParagraph"/>
        <w:spacing w:after="360" w:line="360" w:lineRule="auto"/>
        <w:jc w:val="both"/>
        <w:rPr>
          <w:rFonts w:ascii="Arial" w:hAnsi="Arial" w:cs="Arial"/>
          <w:sz w:val="24"/>
          <w:szCs w:val="24"/>
          <w:highlight w:val="yellow"/>
        </w:rPr>
      </w:pPr>
    </w:p>
    <w:p w14:paraId="44650A70" w14:textId="77777777" w:rsidR="00FD4A85" w:rsidRPr="00685616" w:rsidRDefault="00FD4A85" w:rsidP="00CC276D">
      <w:pPr>
        <w:pStyle w:val="ListParagraph"/>
        <w:spacing w:after="360" w:line="360" w:lineRule="auto"/>
        <w:jc w:val="both"/>
        <w:rPr>
          <w:rFonts w:ascii="Arial" w:hAnsi="Arial" w:cs="Arial"/>
          <w:sz w:val="24"/>
          <w:szCs w:val="24"/>
          <w:highlight w:val="yellow"/>
        </w:rPr>
      </w:pPr>
    </w:p>
    <w:p w14:paraId="4B984CCC" w14:textId="77777777" w:rsidR="006E3F90" w:rsidRDefault="006E3F90" w:rsidP="00194D88">
      <w:pPr>
        <w:spacing w:after="0" w:line="360" w:lineRule="auto"/>
        <w:jc w:val="both"/>
        <w:rPr>
          <w:rFonts w:ascii="Arial" w:hAnsi="Arial" w:cs="Arial"/>
          <w:b/>
          <w:sz w:val="24"/>
          <w:szCs w:val="24"/>
        </w:rPr>
      </w:pPr>
    </w:p>
    <w:p w14:paraId="3282BD05" w14:textId="77777777" w:rsidR="008E3FE3" w:rsidRPr="00194D88" w:rsidRDefault="008E3FE3" w:rsidP="00194D88">
      <w:pPr>
        <w:spacing w:after="0" w:line="360" w:lineRule="auto"/>
        <w:jc w:val="both"/>
        <w:rPr>
          <w:rFonts w:ascii="Arial" w:hAnsi="Arial" w:cs="Arial"/>
          <w:i/>
          <w:iCs/>
          <w:sz w:val="24"/>
          <w:szCs w:val="24"/>
        </w:rPr>
      </w:pPr>
    </w:p>
    <w:sectPr w:rsidR="008E3FE3" w:rsidRPr="00194D8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2C27B" w14:textId="77777777" w:rsidR="002E4F53" w:rsidRDefault="002E4F53" w:rsidP="00DC4F1E">
      <w:pPr>
        <w:spacing w:after="0" w:line="240" w:lineRule="auto"/>
      </w:pPr>
      <w:r>
        <w:separator/>
      </w:r>
    </w:p>
  </w:endnote>
  <w:endnote w:type="continuationSeparator" w:id="0">
    <w:p w14:paraId="2056E2C6" w14:textId="77777777" w:rsidR="002E4F53" w:rsidRDefault="002E4F53" w:rsidP="00DC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AB5F0" w14:textId="77777777" w:rsidR="002E4F53" w:rsidRDefault="002E4F53" w:rsidP="00DC4F1E">
      <w:pPr>
        <w:spacing w:after="0" w:line="240" w:lineRule="auto"/>
      </w:pPr>
      <w:r>
        <w:separator/>
      </w:r>
    </w:p>
  </w:footnote>
  <w:footnote w:type="continuationSeparator" w:id="0">
    <w:p w14:paraId="50A75C5F" w14:textId="77777777" w:rsidR="002E4F53" w:rsidRDefault="002E4F53" w:rsidP="00DC4F1E">
      <w:pPr>
        <w:spacing w:after="0" w:line="240" w:lineRule="auto"/>
      </w:pPr>
      <w:r>
        <w:continuationSeparator/>
      </w:r>
    </w:p>
  </w:footnote>
  <w:footnote w:id="1">
    <w:p w14:paraId="7F443118" w14:textId="336F1404" w:rsidR="00C9276E" w:rsidRPr="00C9276E" w:rsidRDefault="00C9276E">
      <w:pPr>
        <w:pStyle w:val="FootnoteText"/>
        <w:rPr>
          <w:lang w:val="en-US"/>
        </w:rPr>
      </w:pPr>
      <w:r>
        <w:rPr>
          <w:rStyle w:val="FootnoteReference"/>
        </w:rPr>
        <w:footnoteRef/>
      </w:r>
      <w:r>
        <w:t xml:space="preserve"> </w:t>
      </w:r>
      <w:r w:rsidRPr="00C9276E">
        <w:t>Barnett v Minister of Land Affairs 2007 (6) SA 313 (W)</w:t>
      </w:r>
      <w:r>
        <w:t xml:space="preserve"> at </w:t>
      </w:r>
      <w:r w:rsidR="00CE40B3">
        <w:t>para 20 and 21</w:t>
      </w:r>
    </w:p>
  </w:footnote>
  <w:footnote w:id="2">
    <w:p w14:paraId="767B2269" w14:textId="08F6DF63" w:rsidR="00967516" w:rsidRPr="00967516" w:rsidRDefault="00967516">
      <w:pPr>
        <w:pStyle w:val="FootnoteText"/>
        <w:rPr>
          <w:lang w:val="en-US"/>
        </w:rPr>
      </w:pPr>
      <w:r>
        <w:rPr>
          <w:rStyle w:val="FootnoteReference"/>
        </w:rPr>
        <w:footnoteRef/>
      </w:r>
      <w:r>
        <w:t xml:space="preserve"> </w:t>
      </w:r>
      <w:r w:rsidRPr="00967516">
        <w:t>Raduvha v Minister of Safety and Security and Another (CCT151/15) [2016] ZACC 24; 2016 (10) BCLR 1326 (CC); 2016 (2) SACR 540 (CC) (11 August 2016)</w:t>
      </w:r>
    </w:p>
  </w:footnote>
  <w:footnote w:id="3">
    <w:p w14:paraId="66AD9815" w14:textId="6D1BC3C6" w:rsidR="002E1104" w:rsidRPr="002E1104" w:rsidRDefault="002E1104">
      <w:pPr>
        <w:pStyle w:val="FootnoteText"/>
        <w:rPr>
          <w:lang w:val="en-US"/>
        </w:rPr>
      </w:pPr>
      <w:r>
        <w:rPr>
          <w:rStyle w:val="FootnoteReference"/>
        </w:rPr>
        <w:footnoteRef/>
      </w:r>
      <w:r>
        <w:t xml:space="preserve"> </w:t>
      </w:r>
      <w:r w:rsidRPr="002E1104">
        <w:t>Lombo v African National Congress 2002 (5) SA 668 (SCA) at para [26] and Minister of Police v Yekiso 2019 (2) SA 281 (WCC) at para [19].</w:t>
      </w:r>
    </w:p>
  </w:footnote>
  <w:footnote w:id="4">
    <w:p w14:paraId="4BC64A6F" w14:textId="77777777" w:rsidR="00A254F6" w:rsidRPr="006E670C" w:rsidRDefault="00A254F6" w:rsidP="00A254F6">
      <w:pPr>
        <w:pStyle w:val="FootnoteText"/>
        <w:rPr>
          <w:lang w:val="en-US"/>
        </w:rPr>
      </w:pPr>
      <w:r>
        <w:rPr>
          <w:rStyle w:val="FootnoteReference"/>
        </w:rPr>
        <w:footnoteRef/>
      </w:r>
      <w:r>
        <w:t xml:space="preserve"> </w:t>
      </w:r>
      <w:r w:rsidRPr="006E670C">
        <w:t>Neethling and Potgieter Law of Delict 8 ed (2020) at 398-399.</w:t>
      </w:r>
    </w:p>
  </w:footnote>
  <w:footnote w:id="5">
    <w:p w14:paraId="77DC6785" w14:textId="18F2CD76" w:rsidR="00266FAD" w:rsidRPr="001B539D" w:rsidRDefault="00266FAD">
      <w:pPr>
        <w:pStyle w:val="FootnoteText"/>
        <w:rPr>
          <w:lang w:val="en-US"/>
        </w:rPr>
      </w:pPr>
      <w:r>
        <w:rPr>
          <w:rStyle w:val="FootnoteReference"/>
        </w:rPr>
        <w:footnoteRef/>
      </w:r>
      <w:r>
        <w:t xml:space="preserve"> </w:t>
      </w:r>
      <w:r w:rsidR="001C49A7">
        <w:rPr>
          <w:lang w:val="en-US"/>
        </w:rPr>
        <w:t>001-6</w:t>
      </w:r>
      <w:r w:rsidR="001C49A7" w:rsidRPr="001B539D">
        <w:rPr>
          <w:lang w:val="en-US"/>
        </w:rPr>
        <w:t xml:space="preserve">4 – </w:t>
      </w:r>
      <w:r w:rsidR="00C223F7" w:rsidRPr="001B539D">
        <w:rPr>
          <w:lang w:val="en-US"/>
        </w:rPr>
        <w:t>R</w:t>
      </w:r>
      <w:r w:rsidR="001C49A7" w:rsidRPr="001B539D">
        <w:rPr>
          <w:lang w:val="en-US"/>
        </w:rPr>
        <w:t>eplication at para 6.4.2</w:t>
      </w:r>
    </w:p>
  </w:footnote>
  <w:footnote w:id="6">
    <w:p w14:paraId="34104FC2" w14:textId="5AAB6F03" w:rsidR="001C49A7" w:rsidRPr="001C49A7" w:rsidRDefault="001C49A7">
      <w:pPr>
        <w:pStyle w:val="FootnoteText"/>
        <w:rPr>
          <w:lang w:val="en-US"/>
        </w:rPr>
      </w:pPr>
      <w:r w:rsidRPr="001B539D">
        <w:rPr>
          <w:rStyle w:val="FootnoteReference"/>
        </w:rPr>
        <w:footnoteRef/>
      </w:r>
      <w:r w:rsidRPr="001B539D">
        <w:t xml:space="preserve"> 001-64 – </w:t>
      </w:r>
      <w:r w:rsidR="00C223F7" w:rsidRPr="001B539D">
        <w:t>R</w:t>
      </w:r>
      <w:r w:rsidRPr="001B539D">
        <w:t>eplication at para 6.4.2</w:t>
      </w:r>
    </w:p>
  </w:footnote>
  <w:footnote w:id="7">
    <w:p w14:paraId="549ED3DE" w14:textId="39D44E5F" w:rsidR="006F35E9" w:rsidRPr="006F35E9" w:rsidRDefault="006F35E9">
      <w:pPr>
        <w:pStyle w:val="FootnoteText"/>
        <w:rPr>
          <w:lang w:val="en-US"/>
        </w:rPr>
      </w:pPr>
      <w:r>
        <w:rPr>
          <w:rStyle w:val="FootnoteReference"/>
        </w:rPr>
        <w:footnoteRef/>
      </w:r>
      <w:r>
        <w:t xml:space="preserve"> </w:t>
      </w:r>
      <w:r>
        <w:rPr>
          <w:lang w:val="en-US"/>
        </w:rPr>
        <w:t xml:space="preserve">Section 12(1) Prescription Act </w:t>
      </w:r>
      <w:r w:rsidR="00E07B32">
        <w:rPr>
          <w:lang w:val="en-US"/>
        </w:rPr>
        <w:t>No 68 of 1969</w:t>
      </w:r>
    </w:p>
  </w:footnote>
  <w:footnote w:id="8">
    <w:p w14:paraId="459FD312" w14:textId="489B99D7" w:rsidR="006E2635" w:rsidRPr="006E2635" w:rsidRDefault="006E2635">
      <w:pPr>
        <w:pStyle w:val="FootnoteText"/>
        <w:rPr>
          <w:lang w:val="en-US"/>
        </w:rPr>
      </w:pPr>
      <w:r>
        <w:rPr>
          <w:rStyle w:val="FootnoteReference"/>
        </w:rPr>
        <w:footnoteRef/>
      </w:r>
      <w:r>
        <w:t xml:space="preserve"> </w:t>
      </w:r>
      <w:r w:rsidRPr="006E2635">
        <w:t>Truter and Another v Deysel [2006] ZASCA 16; 2006 (4) SA 168 (SCA) at paras [1</w:t>
      </w:r>
      <w:r w:rsidR="00E82772">
        <w:t>5</w:t>
      </w:r>
      <w:r w:rsidRPr="006E2635">
        <w:t>] to [19]</w:t>
      </w:r>
    </w:p>
  </w:footnote>
  <w:footnote w:id="9">
    <w:p w14:paraId="0C94DABC" w14:textId="5D2C9B4D" w:rsidR="00E93588" w:rsidRPr="00E93588" w:rsidRDefault="00E93588">
      <w:pPr>
        <w:pStyle w:val="FootnoteText"/>
        <w:rPr>
          <w:lang w:val="en-US"/>
        </w:rPr>
      </w:pPr>
      <w:r>
        <w:rPr>
          <w:rStyle w:val="FootnoteReference"/>
        </w:rPr>
        <w:footnoteRef/>
      </w:r>
      <w:r>
        <w:t xml:space="preserve"> </w:t>
      </w:r>
      <w:r w:rsidR="00452749" w:rsidRPr="00452749">
        <w:rPr>
          <w:i/>
          <w:iCs/>
          <w:lang w:val="en-US"/>
        </w:rPr>
        <w:t>ibid</w:t>
      </w:r>
      <w:r>
        <w:rPr>
          <w:lang w:val="en-US"/>
        </w:rPr>
        <w:t xml:space="preserve"> at [16]</w:t>
      </w:r>
    </w:p>
  </w:footnote>
  <w:footnote w:id="10">
    <w:p w14:paraId="4D5121C5" w14:textId="2C835E91" w:rsidR="00006311" w:rsidRPr="00006311" w:rsidRDefault="00006311">
      <w:pPr>
        <w:pStyle w:val="FootnoteText"/>
        <w:rPr>
          <w:lang w:val="en-US"/>
        </w:rPr>
      </w:pPr>
      <w:r>
        <w:rPr>
          <w:rStyle w:val="FootnoteReference"/>
        </w:rPr>
        <w:footnoteRef/>
      </w:r>
      <w:r>
        <w:t xml:space="preserve"> </w:t>
      </w:r>
      <w:r w:rsidRPr="00006311">
        <w:t>Zealand v Minister of Justice and Constitutional Development</w:t>
      </w:r>
      <w:r>
        <w:t xml:space="preserve"> </w:t>
      </w:r>
      <w:r w:rsidR="00200267" w:rsidRPr="00200267">
        <w:t>2008 (4) SA 458 (CC)</w:t>
      </w:r>
      <w:r w:rsidR="00200267">
        <w:t xml:space="preserve"> at para 25</w:t>
      </w:r>
      <w:r w:rsidR="001E3124">
        <w:t xml:space="preserve">; </w:t>
      </w:r>
      <w:r w:rsidR="00B23DEF" w:rsidRPr="00B23DEF">
        <w:t xml:space="preserve">Minister of Finance and Others v Gore NO (230/06) [2006] ZASCA 98; [2007] 1 All SA 309 (SCA); 2007 (1) SA 111 (SCA) at para </w:t>
      </w:r>
      <w:r w:rsidR="004A0844">
        <w:t>17</w:t>
      </w:r>
    </w:p>
  </w:footnote>
  <w:footnote w:id="11">
    <w:p w14:paraId="02A6C804" w14:textId="0C5E7D00" w:rsidR="00884A34" w:rsidRPr="00884A34" w:rsidRDefault="00884A34">
      <w:pPr>
        <w:pStyle w:val="FootnoteText"/>
        <w:rPr>
          <w:lang w:val="en-US"/>
        </w:rPr>
      </w:pPr>
      <w:r>
        <w:rPr>
          <w:rStyle w:val="FootnoteReference"/>
        </w:rPr>
        <w:footnoteRef/>
      </w:r>
      <w:r>
        <w:t xml:space="preserve"> </w:t>
      </w:r>
      <w:bookmarkStart w:id="1" w:name="_Hlk167708808"/>
      <w:r w:rsidRPr="00884A34">
        <w:t>Gericke v Sack 1978 (1) SA 821 (A) at 825</w:t>
      </w:r>
      <w:r w:rsidR="00C11C7B">
        <w:t>H</w:t>
      </w:r>
      <w:bookmarkEnd w:id="1"/>
      <w:r w:rsidR="00C11C7B">
        <w:t xml:space="preserve">; </w:t>
      </w:r>
      <w:r w:rsidRPr="00884A34">
        <w:t>Macleod</w:t>
      </w:r>
      <w:r w:rsidR="00C13CC2">
        <w:t xml:space="preserve"> </w:t>
      </w:r>
      <w:r w:rsidRPr="00884A34">
        <w:t>v Kweyiya [2013] ZASCA 28; 2013 (6) SA 1 (SCA) para 10</w:t>
      </w:r>
    </w:p>
  </w:footnote>
  <w:footnote w:id="12">
    <w:p w14:paraId="296D26DC" w14:textId="5DCA7126" w:rsidR="00CB20F3" w:rsidRPr="00CB20F3" w:rsidRDefault="00CB20F3">
      <w:pPr>
        <w:pStyle w:val="FootnoteText"/>
        <w:rPr>
          <w:lang w:val="en-US"/>
        </w:rPr>
      </w:pPr>
      <w:r>
        <w:rPr>
          <w:rStyle w:val="FootnoteReference"/>
        </w:rPr>
        <w:footnoteRef/>
      </w:r>
      <w:r>
        <w:t xml:space="preserve"> </w:t>
      </w:r>
      <w:r w:rsidRPr="00CB20F3">
        <w:t>Links v Member of the Executive Council, Department of Health, Northern Cape Province 2016 (4) SA 414 (CC)</w:t>
      </w:r>
      <w:r>
        <w:t xml:space="preserve"> at </w:t>
      </w:r>
      <w:r w:rsidR="00D574D1">
        <w:t>para</w:t>
      </w:r>
      <w:r w:rsidR="00FA2D14">
        <w:t xml:space="preserve"> 47</w:t>
      </w:r>
    </w:p>
  </w:footnote>
  <w:footnote w:id="13">
    <w:p w14:paraId="0D21B43A" w14:textId="134EB6DC" w:rsidR="00DA6581" w:rsidRPr="00DA6581" w:rsidRDefault="00DA6581">
      <w:pPr>
        <w:pStyle w:val="FootnoteText"/>
        <w:rPr>
          <w:lang w:val="en-US"/>
        </w:rPr>
      </w:pPr>
      <w:r>
        <w:rPr>
          <w:rStyle w:val="FootnoteReference"/>
        </w:rPr>
        <w:footnoteRef/>
      </w:r>
      <w:r>
        <w:t xml:space="preserve"> </w:t>
      </w:r>
      <w:r w:rsidR="00D04A3D" w:rsidRPr="00D04A3D">
        <w:t xml:space="preserve"> 2018 (5) SA 22 (CC)</w:t>
      </w:r>
      <w:r w:rsidR="00502C33">
        <w:t xml:space="preserve"> at [36] and [6</w:t>
      </w:r>
      <w:r w:rsidR="00F95B2C">
        <w:t>2</w:t>
      </w:r>
      <w:r w:rsidR="00502C33">
        <w:t>]</w:t>
      </w:r>
      <w:r w:rsidR="00F95B2C">
        <w:t xml:space="preserve"> to [63</w:t>
      </w:r>
      <w:r w:rsidR="00CB78ED">
        <w:t>]</w:t>
      </w:r>
    </w:p>
  </w:footnote>
  <w:footnote w:id="14">
    <w:p w14:paraId="79250571" w14:textId="18C4D1A0" w:rsidR="00F047B7" w:rsidRPr="00F047B7" w:rsidRDefault="00F047B7">
      <w:pPr>
        <w:pStyle w:val="FootnoteText"/>
        <w:rPr>
          <w:lang w:val="en-US"/>
        </w:rPr>
      </w:pPr>
      <w:r>
        <w:rPr>
          <w:rStyle w:val="FootnoteReference"/>
        </w:rPr>
        <w:footnoteRef/>
      </w:r>
      <w:r>
        <w:t xml:space="preserve"> </w:t>
      </w:r>
      <w:r w:rsidRPr="00F047B7">
        <w:t>MEC for Health, Western Cape v M C (1087/2019) [2020] ZASCA 165 (10 December 2020)</w:t>
      </w:r>
    </w:p>
  </w:footnote>
  <w:footnote w:id="15">
    <w:p w14:paraId="65751D2D" w14:textId="77777777" w:rsidR="007621D2" w:rsidRPr="0061163B" w:rsidRDefault="007621D2" w:rsidP="007621D2">
      <w:pPr>
        <w:pStyle w:val="FootnoteText"/>
        <w:rPr>
          <w:lang w:val="en-US"/>
        </w:rPr>
      </w:pPr>
      <w:r>
        <w:rPr>
          <w:rStyle w:val="FootnoteReference"/>
        </w:rPr>
        <w:footnoteRef/>
      </w:r>
      <w:r>
        <w:t xml:space="preserve"> </w:t>
      </w:r>
      <w:bookmarkStart w:id="2" w:name="_Hlk167295916"/>
      <w:r w:rsidRPr="00EB2B68">
        <w:t xml:space="preserve">Le Roux and Another v Johannes G Coetzee and Seuns and Another  </w:t>
      </w:r>
      <w:bookmarkEnd w:id="2"/>
      <w:r w:rsidRPr="00EB2B68">
        <w:t xml:space="preserve">2024 (4) BCLR 522 (CC) </w:t>
      </w:r>
      <w:r>
        <w:t xml:space="preserve">at para 40; </w:t>
      </w:r>
      <w:r w:rsidRPr="006A2F89">
        <w:t>Brand v Williams 1988 (3) SA 908 (C)</w:t>
      </w:r>
      <w:r>
        <w:t xml:space="preserve"> at 916</w:t>
      </w:r>
    </w:p>
  </w:footnote>
  <w:footnote w:id="16">
    <w:p w14:paraId="548DAC0D" w14:textId="6E7B1F92" w:rsidR="00B5244D" w:rsidRPr="00B5244D" w:rsidRDefault="00B5244D">
      <w:pPr>
        <w:pStyle w:val="FootnoteText"/>
        <w:rPr>
          <w:lang w:val="en-US"/>
        </w:rPr>
      </w:pPr>
      <w:r>
        <w:rPr>
          <w:rStyle w:val="FootnoteReference"/>
        </w:rPr>
        <w:footnoteRef/>
      </w:r>
      <w:r>
        <w:t xml:space="preserve"> </w:t>
      </w:r>
      <w:r w:rsidRPr="00B5244D">
        <w:t>Drennan Maud &amp; Partners v Pennington Town Board 1998 (3) SA 200 (SCA) at 209F-G</w:t>
      </w:r>
    </w:p>
  </w:footnote>
  <w:footnote w:id="17">
    <w:p w14:paraId="654C832B" w14:textId="192C4B68" w:rsidR="00B5244D" w:rsidRPr="00B5244D" w:rsidRDefault="00B5244D">
      <w:pPr>
        <w:pStyle w:val="FootnoteText"/>
        <w:rPr>
          <w:lang w:val="en-US"/>
        </w:rPr>
      </w:pPr>
      <w:r>
        <w:rPr>
          <w:rStyle w:val="FootnoteReference"/>
        </w:rPr>
        <w:footnoteRef/>
      </w:r>
      <w:r>
        <w:t xml:space="preserve"> </w:t>
      </w:r>
      <w:r w:rsidRPr="0090207A">
        <w:rPr>
          <w:i/>
          <w:iCs/>
          <w:lang w:val="en-US"/>
        </w:rPr>
        <w:t>Ibid</w:t>
      </w:r>
      <w:r>
        <w:rPr>
          <w:lang w:val="en-US"/>
        </w:rPr>
        <w:t xml:space="preserve"> at 209F-G</w:t>
      </w:r>
    </w:p>
  </w:footnote>
  <w:footnote w:id="18">
    <w:p w14:paraId="1D6FE0B6" w14:textId="467C640A" w:rsidR="0052710B" w:rsidRPr="0052710B" w:rsidRDefault="0052710B">
      <w:pPr>
        <w:pStyle w:val="FootnoteText"/>
        <w:rPr>
          <w:lang w:val="en-US"/>
        </w:rPr>
      </w:pPr>
      <w:r>
        <w:rPr>
          <w:rStyle w:val="FootnoteReference"/>
        </w:rPr>
        <w:footnoteRef/>
      </w:r>
      <w:r>
        <w:t xml:space="preserve"> </w:t>
      </w:r>
      <w:r w:rsidR="00EB5DA9">
        <w:rPr>
          <w:lang w:val="en-US"/>
        </w:rPr>
        <w:t xml:space="preserve">Le Roux </w:t>
      </w:r>
      <w:r w:rsidR="00937593">
        <w:rPr>
          <w:lang w:val="en-US"/>
        </w:rPr>
        <w:t>(supra)</w:t>
      </w:r>
      <w:r w:rsidR="00EB5DA9">
        <w:rPr>
          <w:lang w:val="en-US"/>
        </w:rPr>
        <w:t xml:space="preserve"> n1</w:t>
      </w:r>
      <w:r w:rsidR="00937593">
        <w:rPr>
          <w:lang w:val="en-US"/>
        </w:rPr>
        <w:t>5</w:t>
      </w:r>
      <w:r w:rsidR="00EB5DA9">
        <w:rPr>
          <w:lang w:val="en-US"/>
        </w:rPr>
        <w:t xml:space="preserve"> at 170 - 171</w:t>
      </w:r>
    </w:p>
  </w:footnote>
  <w:footnote w:id="19">
    <w:p w14:paraId="602DD1FE" w14:textId="0380CE4B" w:rsidR="0052710B" w:rsidRPr="00A21F57" w:rsidRDefault="0052710B" w:rsidP="0052710B">
      <w:pPr>
        <w:pStyle w:val="FootnoteText"/>
        <w:rPr>
          <w:lang w:val="en-US"/>
        </w:rPr>
      </w:pPr>
      <w:r>
        <w:rPr>
          <w:rStyle w:val="FootnoteReference"/>
        </w:rPr>
        <w:footnoteRef/>
      </w:r>
      <w:r>
        <w:t xml:space="preserve"> </w:t>
      </w:r>
      <w:r w:rsidRPr="003060F5">
        <w:t xml:space="preserve">Minister of Finance and Others v Gore </w:t>
      </w:r>
      <w:r w:rsidR="0090207A">
        <w:t>(supra) n10 at para 16</w:t>
      </w:r>
    </w:p>
  </w:footnote>
  <w:footnote w:id="20">
    <w:p w14:paraId="0CBF9B7D" w14:textId="57FD8E2E" w:rsidR="00C81BB0" w:rsidRPr="00C81BB0" w:rsidRDefault="00C81BB0">
      <w:pPr>
        <w:pStyle w:val="FootnoteText"/>
        <w:rPr>
          <w:lang w:val="en-US"/>
        </w:rPr>
      </w:pPr>
      <w:r>
        <w:rPr>
          <w:rStyle w:val="FootnoteReference"/>
        </w:rPr>
        <w:footnoteRef/>
      </w:r>
      <w:r>
        <w:t xml:space="preserve"> </w:t>
      </w:r>
      <w:r w:rsidR="00BD4818" w:rsidRPr="00BD4818">
        <w:t>Macleod</w:t>
      </w:r>
      <w:r w:rsidR="004F7CED">
        <w:t>(supra</w:t>
      </w:r>
      <w:r w:rsidR="00BD4818" w:rsidRPr="00BD4818">
        <w:t>)</w:t>
      </w:r>
      <w:r w:rsidR="004F7CED">
        <w:t xml:space="preserve"> n1</w:t>
      </w:r>
      <w:r w:rsidR="00704FE0">
        <w:t>1</w:t>
      </w:r>
      <w:r w:rsidR="00BD4818">
        <w:t xml:space="preserve"> at para 10</w:t>
      </w:r>
    </w:p>
  </w:footnote>
  <w:footnote w:id="21">
    <w:p w14:paraId="15C31535" w14:textId="2CEBDB6D" w:rsidR="00C81BB0" w:rsidRPr="00480D88" w:rsidRDefault="00C81BB0" w:rsidP="00C81BB0">
      <w:pPr>
        <w:pStyle w:val="FootnoteText"/>
        <w:rPr>
          <w:lang w:val="en-US"/>
        </w:rPr>
      </w:pPr>
      <w:r>
        <w:rPr>
          <w:rStyle w:val="FootnoteReference"/>
        </w:rPr>
        <w:footnoteRef/>
      </w:r>
      <w:r>
        <w:t xml:space="preserve"> </w:t>
      </w:r>
      <w:r w:rsidRPr="00480D88">
        <w:t xml:space="preserve">Gericke </w:t>
      </w:r>
      <w:r w:rsidR="004E0F31">
        <w:t>(supra) n1</w:t>
      </w:r>
      <w:r w:rsidR="00704FE0">
        <w:t xml:space="preserve">1 </w:t>
      </w:r>
      <w:r w:rsidR="004E0F31">
        <w:t xml:space="preserve">at </w:t>
      </w:r>
      <w:r w:rsidRPr="0009654C">
        <w:t xml:space="preserve"> 827 E – G.</w:t>
      </w:r>
    </w:p>
  </w:footnote>
  <w:footnote w:id="22">
    <w:p w14:paraId="73B16FD4" w14:textId="77777777" w:rsidR="00100B83" w:rsidRPr="00BF3DC8" w:rsidRDefault="00100B83" w:rsidP="00100B83">
      <w:pPr>
        <w:pStyle w:val="FootnoteText"/>
        <w:rPr>
          <w:lang w:val="en-US"/>
        </w:rPr>
      </w:pPr>
      <w:r>
        <w:rPr>
          <w:rStyle w:val="FootnoteReference"/>
        </w:rPr>
        <w:footnoteRef/>
      </w:r>
      <w:r>
        <w:t xml:space="preserve"> </w:t>
      </w:r>
      <w:r w:rsidRPr="00BF3DC8">
        <w:t>Skom v Minister of Police and Others (285 &amp; 284/2014) [2014] ZAECBHC 6 (27 May 2014)</w:t>
      </w:r>
      <w:r>
        <w:t xml:space="preserve"> at para 7</w:t>
      </w:r>
    </w:p>
  </w:footnote>
  <w:footnote w:id="23">
    <w:p w14:paraId="3E33BB87" w14:textId="77777777" w:rsidR="00F17945" w:rsidRPr="00DD766E" w:rsidRDefault="00F17945" w:rsidP="00F17945">
      <w:pPr>
        <w:pStyle w:val="FootnoteText"/>
        <w:rPr>
          <w:lang w:val="en-US"/>
        </w:rPr>
      </w:pPr>
      <w:r>
        <w:rPr>
          <w:rStyle w:val="FootnoteReference"/>
        </w:rPr>
        <w:footnoteRef/>
      </w:r>
      <w:r>
        <w:t xml:space="preserve"> </w:t>
      </w:r>
      <w:r w:rsidRPr="00DD766E">
        <w:t>Kleynhans v Yorkshire Insurance 1957 (3) SA 544 (A)</w:t>
      </w:r>
    </w:p>
  </w:footnote>
  <w:footnote w:id="24">
    <w:p w14:paraId="02FF9F60" w14:textId="77777777" w:rsidR="0009469E" w:rsidRPr="005D451C" w:rsidRDefault="0009469E" w:rsidP="0009469E">
      <w:pPr>
        <w:pStyle w:val="FootnoteText"/>
        <w:rPr>
          <w:lang w:val="en-US"/>
        </w:rPr>
      </w:pPr>
      <w:r>
        <w:rPr>
          <w:rStyle w:val="FootnoteReference"/>
        </w:rPr>
        <w:footnoteRef/>
      </w:r>
      <w:r>
        <w:t xml:space="preserve"> </w:t>
      </w:r>
      <w:r w:rsidRPr="00A4341E">
        <w:t>Mohlomi v Minister of Defence (CCT41/95) [1996] ZACC 20; 1996 (12) BCLR 1559; 1997 (1) SA 124</w:t>
      </w:r>
      <w:r>
        <w:t xml:space="preserve"> at para 9 ; reaffirmed in </w:t>
      </w:r>
      <w:r w:rsidRPr="005D451C">
        <w:t>Minister of Agriculture and Land Affairs v C J Rance (Pty) Ltd (293/09) [2010] ZASCA 27; 2010 (4) SA 109 (SCA)</w:t>
      </w:r>
      <w:r>
        <w:t xml:space="preserve"> at para 13</w:t>
      </w:r>
    </w:p>
  </w:footnote>
  <w:footnote w:id="25">
    <w:p w14:paraId="337183A2" w14:textId="231FBAB7" w:rsidR="00574E56" w:rsidRPr="00576EFB" w:rsidRDefault="00574E56" w:rsidP="00574E56">
      <w:pPr>
        <w:pStyle w:val="FootnoteText"/>
        <w:rPr>
          <w:lang w:val="en-US"/>
        </w:rPr>
      </w:pPr>
      <w:r>
        <w:rPr>
          <w:rStyle w:val="FootnoteReference"/>
        </w:rPr>
        <w:footnoteRef/>
      </w:r>
      <w:r>
        <w:t xml:space="preserve"> </w:t>
      </w:r>
      <w:r w:rsidRPr="00AC5C5C">
        <w:t xml:space="preserve">Minister of Agriculture and Land Affairs v C J Rance (Pty) Ltd </w:t>
      </w:r>
      <w:r w:rsidR="00680AC1">
        <w:t>(supra) n24</w:t>
      </w:r>
      <w:r>
        <w:t xml:space="preserve"> at para 11</w:t>
      </w:r>
    </w:p>
  </w:footnote>
  <w:footnote w:id="26">
    <w:p w14:paraId="79F4E27D" w14:textId="77777777" w:rsidR="00C74381" w:rsidRPr="00DD3109" w:rsidRDefault="00C74381" w:rsidP="00C74381">
      <w:pPr>
        <w:pStyle w:val="FootnoteText"/>
        <w:rPr>
          <w:lang w:val="en-US"/>
        </w:rPr>
      </w:pPr>
      <w:r>
        <w:rPr>
          <w:rStyle w:val="FootnoteReference"/>
        </w:rPr>
        <w:footnoteRef/>
      </w:r>
      <w:r>
        <w:t xml:space="preserve"> </w:t>
      </w:r>
      <w:r w:rsidRPr="00DB1E2C">
        <w:t>Madinda v Minister of Safety and Security, Republic of South Africa (153/07) [2008] ZASCA 34; [2008] 3 All SA 143 (SCA); 2008 (4) SA 312 (SCA) (28 March 2008)</w:t>
      </w:r>
    </w:p>
  </w:footnote>
  <w:footnote w:id="27">
    <w:p w14:paraId="4E267C68" w14:textId="77777777" w:rsidR="00EE65F3" w:rsidRPr="00ED2B13" w:rsidRDefault="00EE65F3" w:rsidP="00EE65F3">
      <w:pPr>
        <w:pStyle w:val="FootnoteText"/>
        <w:rPr>
          <w:lang w:val="en-US"/>
        </w:rPr>
      </w:pPr>
      <w:r>
        <w:rPr>
          <w:rStyle w:val="FootnoteReference"/>
        </w:rPr>
        <w:footnoteRef/>
      </w:r>
      <w:r>
        <w:t xml:space="preserve"> </w:t>
      </w:r>
      <w:r w:rsidRPr="00ED2B13">
        <w:t>Minister of Public Works v Roux Property Fund (Pty) Ltd</w:t>
      </w:r>
      <w:r w:rsidRPr="00CA2812">
        <w:t xml:space="preserve"> 779/2019) [2020] ZASCA 119 (1 October 2020)</w:t>
      </w:r>
      <w:r>
        <w:t xml:space="preserve"> at para 29</w:t>
      </w:r>
    </w:p>
  </w:footnote>
  <w:footnote w:id="28">
    <w:p w14:paraId="2D784DCF" w14:textId="77777777" w:rsidR="00E647D4" w:rsidRPr="00D9757B" w:rsidRDefault="00E647D4" w:rsidP="00E647D4">
      <w:pPr>
        <w:pStyle w:val="FootnoteText"/>
        <w:rPr>
          <w:lang w:val="en-US"/>
        </w:rPr>
      </w:pPr>
      <w:r>
        <w:rPr>
          <w:rStyle w:val="FootnoteReference"/>
        </w:rPr>
        <w:footnoteRef/>
      </w:r>
      <w:r>
        <w:t xml:space="preserve">Ellerine Holdings Ltd v Commission for Conciliation, Mediation and Arbitration and others </w:t>
      </w:r>
      <w:r w:rsidRPr="00E11705">
        <w:t>(2002) 23 ILJ 1282 (LC) at para 13</w:t>
      </w:r>
      <w:r>
        <w:t xml:space="preserve">; </w:t>
      </w:r>
      <w:r w:rsidRPr="003C31CA">
        <w:t>South African Transport And Allied Workers Union (SATAWU) and Another v Tokiso Dispute Settlement and Others (JA 117/13) [2015] ZALAC 12; [2015] 8 BLLR 818 (LAC); (2015) 36 ILJ 1841 (LAC) (5 May 2015)</w:t>
      </w:r>
      <w:r>
        <w:t xml:space="preserve"> at para 19;</w:t>
      </w:r>
      <w:r w:rsidRPr="00740021">
        <w:t xml:space="preserve"> Chauke and Others v Minister of Police and Others (15017/2017) [2022] ZAGPJHC 609 (29 August 2022)</w:t>
      </w:r>
    </w:p>
  </w:footnote>
  <w:footnote w:id="29">
    <w:p w14:paraId="4C52605B" w14:textId="014EB634" w:rsidR="000659F0" w:rsidRPr="000659F0" w:rsidRDefault="000659F0">
      <w:pPr>
        <w:pStyle w:val="FootnoteText"/>
        <w:rPr>
          <w:lang w:val="en-US"/>
        </w:rPr>
      </w:pPr>
      <w:r>
        <w:rPr>
          <w:rStyle w:val="FootnoteReference"/>
        </w:rPr>
        <w:footnoteRef/>
      </w:r>
      <w:r>
        <w:t xml:space="preserve"> </w:t>
      </w:r>
      <w:r w:rsidRPr="000659F0">
        <w:t xml:space="preserve">Madinda v Minister of Safety and Security </w:t>
      </w:r>
      <w:r w:rsidR="00B9045C">
        <w:t xml:space="preserve">(supra) n26at para </w:t>
      </w:r>
      <w:r w:rsidRPr="000659F0">
        <w:t xml:space="preserv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345283"/>
      <w:docPartObj>
        <w:docPartGallery w:val="Page Numbers (Top of Page)"/>
        <w:docPartUnique/>
      </w:docPartObj>
    </w:sdtPr>
    <w:sdtEndPr>
      <w:rPr>
        <w:noProof/>
      </w:rPr>
    </w:sdtEndPr>
    <w:sdtContent>
      <w:p w14:paraId="514DFF42" w14:textId="30DC3AF0" w:rsidR="00EC60DE" w:rsidRDefault="00EC60DE">
        <w:pPr>
          <w:pStyle w:val="Header"/>
          <w:jc w:val="center"/>
        </w:pPr>
        <w:r>
          <w:fldChar w:fldCharType="begin"/>
        </w:r>
        <w:r>
          <w:instrText xml:space="preserve"> PAGE   \* MERGEFORMAT </w:instrText>
        </w:r>
        <w:r>
          <w:fldChar w:fldCharType="separate"/>
        </w:r>
        <w:r w:rsidR="005E350A">
          <w:rPr>
            <w:noProof/>
          </w:rPr>
          <w:t>20</w:t>
        </w:r>
        <w:r>
          <w:rPr>
            <w:noProof/>
          </w:rPr>
          <w:fldChar w:fldCharType="end"/>
        </w:r>
      </w:p>
    </w:sdtContent>
  </w:sdt>
  <w:p w14:paraId="52916E93" w14:textId="77777777" w:rsidR="007879A2" w:rsidRDefault="00787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D182A"/>
    <w:multiLevelType w:val="hybridMultilevel"/>
    <w:tmpl w:val="8592A716"/>
    <w:lvl w:ilvl="0" w:tplc="F4340BB8">
      <w:start w:val="1"/>
      <w:numFmt w:val="lowerLetter"/>
      <w:lvlText w:val="(%1)"/>
      <w:lvlJc w:val="left"/>
      <w:pPr>
        <w:ind w:left="2243" w:hanging="825"/>
      </w:pPr>
      <w:rPr>
        <w:rFonts w:ascii="Arial" w:hAnsi="Arial" w:cs="Arial" w:hint="default"/>
        <w:color w:val="000000"/>
        <w:sz w:val="24"/>
      </w:rPr>
    </w:lvl>
    <w:lvl w:ilvl="1" w:tplc="A61A9D0E">
      <w:start w:val="1"/>
      <w:numFmt w:val="decimal"/>
      <w:lvlText w:val="(%2)"/>
      <w:lvlJc w:val="left"/>
      <w:pPr>
        <w:ind w:left="2843" w:hanging="705"/>
      </w:pPr>
      <w:rPr>
        <w:rFonts w:hint="default"/>
      </w:r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1CDB2506"/>
    <w:multiLevelType w:val="hybridMultilevel"/>
    <w:tmpl w:val="B1C09924"/>
    <w:lvl w:ilvl="0" w:tplc="AC48BB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FD26B5"/>
    <w:multiLevelType w:val="multilevel"/>
    <w:tmpl w:val="FB02160A"/>
    <w:lvl w:ilvl="0">
      <w:start w:val="1"/>
      <w:numFmt w:val="decimal"/>
      <w:lvlText w:val="[%1.]"/>
      <w:lvlJc w:val="left"/>
      <w:pPr>
        <w:ind w:left="720" w:hanging="72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4E75A6"/>
    <w:multiLevelType w:val="hybridMultilevel"/>
    <w:tmpl w:val="FFFFFFFF"/>
    <w:lvl w:ilvl="0" w:tplc="592091E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42B25AAE"/>
    <w:multiLevelType w:val="multilevel"/>
    <w:tmpl w:val="31E230CE"/>
    <w:lvl w:ilvl="0">
      <w:start w:val="1"/>
      <w:numFmt w:val="decimal"/>
      <w:lvlText w:val="[%1]"/>
      <w:lvlJc w:val="left"/>
      <w:pPr>
        <w:ind w:left="360" w:hanging="360"/>
      </w:pPr>
      <w:rPr>
        <w:rFonts w:hint="default"/>
      </w:rPr>
    </w:lvl>
    <w:lvl w:ilvl="1">
      <w:start w:val="1"/>
      <w:numFmt w:val="none"/>
      <w:isLgl/>
      <w:lvlText w:val="[25.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DD3649"/>
    <w:multiLevelType w:val="hybridMultilevel"/>
    <w:tmpl w:val="9B30FF3A"/>
    <w:lvl w:ilvl="0" w:tplc="D83E68B8">
      <w:start w:val="1"/>
      <w:numFmt w:val="lowerLetter"/>
      <w:lvlText w:val="(%1)"/>
      <w:lvlJc w:val="left"/>
      <w:pPr>
        <w:ind w:left="1778" w:hanging="360"/>
      </w:pPr>
      <w:rPr>
        <w:rFonts w:hint="default"/>
      </w:rPr>
    </w:lvl>
    <w:lvl w:ilvl="1" w:tplc="DBA86E5C">
      <w:start w:val="1"/>
      <w:numFmt w:val="lowerRoman"/>
      <w:lvlText w:val="(%2)"/>
      <w:lvlJc w:val="left"/>
      <w:pPr>
        <w:ind w:left="2858" w:hanging="720"/>
      </w:pPr>
      <w:rPr>
        <w:rFonts w:hint="default"/>
      </w:r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7" w15:restartNumberingAfterBreak="0">
    <w:nsid w:val="5BE1147B"/>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E11799"/>
    <w:multiLevelType w:val="hybridMultilevel"/>
    <w:tmpl w:val="7EB8DBBC"/>
    <w:lvl w:ilvl="0" w:tplc="A884654C">
      <w:start w:val="1"/>
      <w:numFmt w:val="upperRoman"/>
      <w:lvlText w:val="%1."/>
      <w:lvlJc w:val="left"/>
      <w:pPr>
        <w:ind w:left="1080" w:hanging="720"/>
      </w:pPr>
      <w:rPr>
        <w:rFonts w:hint="default"/>
      </w:rPr>
    </w:lvl>
    <w:lvl w:ilvl="1" w:tplc="7A269828">
      <w:start w:val="1"/>
      <w:numFmt w:val="decimal"/>
      <w:lvlText w:val="%2."/>
      <w:lvlJc w:val="left"/>
      <w:pPr>
        <w:ind w:left="2535" w:hanging="1455"/>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D6488E"/>
    <w:multiLevelType w:val="hybridMultilevel"/>
    <w:tmpl w:val="76562142"/>
    <w:lvl w:ilvl="0" w:tplc="6BECDD40">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6F646FB"/>
    <w:multiLevelType w:val="multilevel"/>
    <w:tmpl w:val="52B0BA5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A9021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8D2DB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2B059F"/>
    <w:multiLevelType w:val="hybridMultilevel"/>
    <w:tmpl w:val="25CC5856"/>
    <w:lvl w:ilvl="0" w:tplc="60701B80">
      <w:start w:val="1"/>
      <w:numFmt w:val="lowerLetter"/>
      <w:lvlText w:val="(%1)"/>
      <w:lvlJc w:val="left"/>
      <w:pPr>
        <w:ind w:left="1838" w:hanging="420"/>
      </w:pPr>
      <w:rPr>
        <w:rFonts w:hint="default"/>
      </w:rPr>
    </w:lvl>
    <w:lvl w:ilvl="1" w:tplc="60B8F2BC">
      <w:start w:val="1"/>
      <w:numFmt w:val="lowerRoman"/>
      <w:lvlText w:val="(%2)"/>
      <w:lvlJc w:val="left"/>
      <w:pPr>
        <w:ind w:left="2858" w:hanging="720"/>
      </w:pPr>
      <w:rPr>
        <w:rFonts w:hint="default"/>
      </w:r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15:restartNumberingAfterBreak="0">
    <w:nsid w:val="79E34C35"/>
    <w:multiLevelType w:val="hybridMultilevel"/>
    <w:tmpl w:val="FFFFFFFF"/>
    <w:lvl w:ilvl="0" w:tplc="02026418">
      <w:start w:val="1"/>
      <w:numFmt w:val="decimal"/>
      <w:lvlText w:val="%1."/>
      <w:lvlJc w:val="left"/>
      <w:pPr>
        <w:ind w:left="720" w:hanging="360"/>
      </w:pPr>
      <w:rPr>
        <w:rFonts w:cs="Times New Roman" w:hint="default"/>
        <w:sz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16cid:durableId="801964213">
    <w:abstractNumId w:val="14"/>
  </w:num>
  <w:num w:numId="2" w16cid:durableId="1025211938">
    <w:abstractNumId w:val="4"/>
  </w:num>
  <w:num w:numId="3" w16cid:durableId="1519001992">
    <w:abstractNumId w:val="11"/>
  </w:num>
  <w:num w:numId="4" w16cid:durableId="1006441080">
    <w:abstractNumId w:val="7"/>
  </w:num>
  <w:num w:numId="5" w16cid:durableId="1631013994">
    <w:abstractNumId w:val="5"/>
  </w:num>
  <w:num w:numId="6" w16cid:durableId="1081761004">
    <w:abstractNumId w:val="12"/>
  </w:num>
  <w:num w:numId="7" w16cid:durableId="1715077284">
    <w:abstractNumId w:val="3"/>
  </w:num>
  <w:num w:numId="8" w16cid:durableId="1915972584">
    <w:abstractNumId w:val="13"/>
  </w:num>
  <w:num w:numId="9" w16cid:durableId="545145175">
    <w:abstractNumId w:val="6"/>
  </w:num>
  <w:num w:numId="10" w16cid:durableId="573053721">
    <w:abstractNumId w:val="0"/>
  </w:num>
  <w:num w:numId="11" w16cid:durableId="1377925015">
    <w:abstractNumId w:val="2"/>
  </w:num>
  <w:num w:numId="12" w16cid:durableId="1214924644">
    <w:abstractNumId w:val="8"/>
  </w:num>
  <w:num w:numId="13" w16cid:durableId="457725577">
    <w:abstractNumId w:val="10"/>
  </w:num>
  <w:num w:numId="14" w16cid:durableId="1607468389">
    <w:abstractNumId w:val="9"/>
  </w:num>
  <w:num w:numId="15" w16cid:durableId="236012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wNra0NDI2MTUwtDRW0lEKTi0uzszPAymwrAUAIdTD+iwAAAA="/>
  </w:docVars>
  <w:rsids>
    <w:rsidRoot w:val="007254A0"/>
    <w:rsid w:val="000003D7"/>
    <w:rsid w:val="00001AB7"/>
    <w:rsid w:val="000020D4"/>
    <w:rsid w:val="00003315"/>
    <w:rsid w:val="00003BAE"/>
    <w:rsid w:val="00006311"/>
    <w:rsid w:val="000063B3"/>
    <w:rsid w:val="00010B1B"/>
    <w:rsid w:val="00011462"/>
    <w:rsid w:val="00011EF9"/>
    <w:rsid w:val="00012465"/>
    <w:rsid w:val="000128D4"/>
    <w:rsid w:val="000137EA"/>
    <w:rsid w:val="00013F32"/>
    <w:rsid w:val="00014E8B"/>
    <w:rsid w:val="00015019"/>
    <w:rsid w:val="00016B77"/>
    <w:rsid w:val="00016C57"/>
    <w:rsid w:val="000178D2"/>
    <w:rsid w:val="0002148C"/>
    <w:rsid w:val="00021BF4"/>
    <w:rsid w:val="000239E4"/>
    <w:rsid w:val="00023CF5"/>
    <w:rsid w:val="000242FA"/>
    <w:rsid w:val="0002463E"/>
    <w:rsid w:val="000263A8"/>
    <w:rsid w:val="000308D8"/>
    <w:rsid w:val="00030B3B"/>
    <w:rsid w:val="000329B4"/>
    <w:rsid w:val="00032E6C"/>
    <w:rsid w:val="00033EA3"/>
    <w:rsid w:val="00034E68"/>
    <w:rsid w:val="000358DE"/>
    <w:rsid w:val="00036270"/>
    <w:rsid w:val="00037243"/>
    <w:rsid w:val="000402CF"/>
    <w:rsid w:val="0004116C"/>
    <w:rsid w:val="00042288"/>
    <w:rsid w:val="000422CC"/>
    <w:rsid w:val="00042CF0"/>
    <w:rsid w:val="00043FC4"/>
    <w:rsid w:val="00045F48"/>
    <w:rsid w:val="0004633C"/>
    <w:rsid w:val="000473AF"/>
    <w:rsid w:val="00047634"/>
    <w:rsid w:val="0005149C"/>
    <w:rsid w:val="00052752"/>
    <w:rsid w:val="00053EDE"/>
    <w:rsid w:val="000540C6"/>
    <w:rsid w:val="00054906"/>
    <w:rsid w:val="000566A0"/>
    <w:rsid w:val="000614EE"/>
    <w:rsid w:val="00061D0E"/>
    <w:rsid w:val="00062B3F"/>
    <w:rsid w:val="00065451"/>
    <w:rsid w:val="00065535"/>
    <w:rsid w:val="00065968"/>
    <w:rsid w:val="000659F0"/>
    <w:rsid w:val="000662C2"/>
    <w:rsid w:val="00066BE1"/>
    <w:rsid w:val="000703D8"/>
    <w:rsid w:val="000704B0"/>
    <w:rsid w:val="0007177C"/>
    <w:rsid w:val="00073796"/>
    <w:rsid w:val="00074151"/>
    <w:rsid w:val="000766AC"/>
    <w:rsid w:val="00076CBB"/>
    <w:rsid w:val="00077828"/>
    <w:rsid w:val="00081538"/>
    <w:rsid w:val="00082989"/>
    <w:rsid w:val="00085635"/>
    <w:rsid w:val="00085932"/>
    <w:rsid w:val="00085A14"/>
    <w:rsid w:val="000863CF"/>
    <w:rsid w:val="00086676"/>
    <w:rsid w:val="000868B1"/>
    <w:rsid w:val="00090804"/>
    <w:rsid w:val="000930BB"/>
    <w:rsid w:val="00094310"/>
    <w:rsid w:val="0009469E"/>
    <w:rsid w:val="00094F97"/>
    <w:rsid w:val="0009654C"/>
    <w:rsid w:val="00097CE5"/>
    <w:rsid w:val="00097FA2"/>
    <w:rsid w:val="000A0895"/>
    <w:rsid w:val="000A1A37"/>
    <w:rsid w:val="000A1A79"/>
    <w:rsid w:val="000A1B63"/>
    <w:rsid w:val="000A3521"/>
    <w:rsid w:val="000A3D23"/>
    <w:rsid w:val="000A3EEC"/>
    <w:rsid w:val="000A584C"/>
    <w:rsid w:val="000A6221"/>
    <w:rsid w:val="000B0FAA"/>
    <w:rsid w:val="000B1933"/>
    <w:rsid w:val="000B1A87"/>
    <w:rsid w:val="000B2634"/>
    <w:rsid w:val="000B58FC"/>
    <w:rsid w:val="000B6ECF"/>
    <w:rsid w:val="000B7F87"/>
    <w:rsid w:val="000C11A4"/>
    <w:rsid w:val="000C1BD7"/>
    <w:rsid w:val="000C21C5"/>
    <w:rsid w:val="000C2B8D"/>
    <w:rsid w:val="000C2FD6"/>
    <w:rsid w:val="000C330F"/>
    <w:rsid w:val="000C3762"/>
    <w:rsid w:val="000C47DE"/>
    <w:rsid w:val="000C4A08"/>
    <w:rsid w:val="000C5198"/>
    <w:rsid w:val="000C5350"/>
    <w:rsid w:val="000D0888"/>
    <w:rsid w:val="000D15F3"/>
    <w:rsid w:val="000D17AD"/>
    <w:rsid w:val="000D19FF"/>
    <w:rsid w:val="000D3393"/>
    <w:rsid w:val="000D34E9"/>
    <w:rsid w:val="000D3DF0"/>
    <w:rsid w:val="000D3FF1"/>
    <w:rsid w:val="000D521F"/>
    <w:rsid w:val="000D569D"/>
    <w:rsid w:val="000D5D95"/>
    <w:rsid w:val="000D5EF6"/>
    <w:rsid w:val="000D68A8"/>
    <w:rsid w:val="000D69A9"/>
    <w:rsid w:val="000D6D7F"/>
    <w:rsid w:val="000D6E74"/>
    <w:rsid w:val="000D6EF4"/>
    <w:rsid w:val="000D7618"/>
    <w:rsid w:val="000E1462"/>
    <w:rsid w:val="000E1934"/>
    <w:rsid w:val="000E3FC5"/>
    <w:rsid w:val="000E44A8"/>
    <w:rsid w:val="000E59AD"/>
    <w:rsid w:val="000E6775"/>
    <w:rsid w:val="000E67AB"/>
    <w:rsid w:val="000E708F"/>
    <w:rsid w:val="000E7BD0"/>
    <w:rsid w:val="000F140C"/>
    <w:rsid w:val="000F25A1"/>
    <w:rsid w:val="000F3A9A"/>
    <w:rsid w:val="000F438C"/>
    <w:rsid w:val="000F4691"/>
    <w:rsid w:val="000F4997"/>
    <w:rsid w:val="000F4CD9"/>
    <w:rsid w:val="000F4EBB"/>
    <w:rsid w:val="000F51FA"/>
    <w:rsid w:val="000F5C7C"/>
    <w:rsid w:val="000F5E31"/>
    <w:rsid w:val="000F625D"/>
    <w:rsid w:val="000F75E9"/>
    <w:rsid w:val="000F7F11"/>
    <w:rsid w:val="00100508"/>
    <w:rsid w:val="00100B83"/>
    <w:rsid w:val="00100E74"/>
    <w:rsid w:val="0010119E"/>
    <w:rsid w:val="00101EDA"/>
    <w:rsid w:val="00102127"/>
    <w:rsid w:val="00102A18"/>
    <w:rsid w:val="00102EA8"/>
    <w:rsid w:val="00105670"/>
    <w:rsid w:val="0010647D"/>
    <w:rsid w:val="001065D8"/>
    <w:rsid w:val="00113531"/>
    <w:rsid w:val="00115E08"/>
    <w:rsid w:val="001164B5"/>
    <w:rsid w:val="00116A65"/>
    <w:rsid w:val="001172F1"/>
    <w:rsid w:val="0011733E"/>
    <w:rsid w:val="00117856"/>
    <w:rsid w:val="001178F0"/>
    <w:rsid w:val="001220EE"/>
    <w:rsid w:val="00122E83"/>
    <w:rsid w:val="00123018"/>
    <w:rsid w:val="00123858"/>
    <w:rsid w:val="001238F9"/>
    <w:rsid w:val="001252D1"/>
    <w:rsid w:val="00126441"/>
    <w:rsid w:val="00130D58"/>
    <w:rsid w:val="00131C1A"/>
    <w:rsid w:val="00133174"/>
    <w:rsid w:val="001341E4"/>
    <w:rsid w:val="001347C5"/>
    <w:rsid w:val="001352CE"/>
    <w:rsid w:val="001358B8"/>
    <w:rsid w:val="00136DE5"/>
    <w:rsid w:val="001372DB"/>
    <w:rsid w:val="0014305B"/>
    <w:rsid w:val="001445D6"/>
    <w:rsid w:val="001454E8"/>
    <w:rsid w:val="0014574A"/>
    <w:rsid w:val="00145F69"/>
    <w:rsid w:val="001460D6"/>
    <w:rsid w:val="0014661E"/>
    <w:rsid w:val="0014726C"/>
    <w:rsid w:val="00150337"/>
    <w:rsid w:val="00151C1F"/>
    <w:rsid w:val="001533D9"/>
    <w:rsid w:val="001546CF"/>
    <w:rsid w:val="00154CA8"/>
    <w:rsid w:val="001620BE"/>
    <w:rsid w:val="001626F9"/>
    <w:rsid w:val="001634D6"/>
    <w:rsid w:val="0016471B"/>
    <w:rsid w:val="0016493E"/>
    <w:rsid w:val="00167355"/>
    <w:rsid w:val="00172190"/>
    <w:rsid w:val="00174157"/>
    <w:rsid w:val="00174B67"/>
    <w:rsid w:val="00175654"/>
    <w:rsid w:val="00175F1C"/>
    <w:rsid w:val="00177EF5"/>
    <w:rsid w:val="0018061E"/>
    <w:rsid w:val="00180D13"/>
    <w:rsid w:val="001831BF"/>
    <w:rsid w:val="00184032"/>
    <w:rsid w:val="00184E4D"/>
    <w:rsid w:val="00186B60"/>
    <w:rsid w:val="001879E3"/>
    <w:rsid w:val="00190E60"/>
    <w:rsid w:val="00192846"/>
    <w:rsid w:val="0019316F"/>
    <w:rsid w:val="00193EEC"/>
    <w:rsid w:val="00193F58"/>
    <w:rsid w:val="001944FA"/>
    <w:rsid w:val="00194D88"/>
    <w:rsid w:val="00195C44"/>
    <w:rsid w:val="00196E2E"/>
    <w:rsid w:val="00197140"/>
    <w:rsid w:val="001979B0"/>
    <w:rsid w:val="001A0133"/>
    <w:rsid w:val="001A0148"/>
    <w:rsid w:val="001A092F"/>
    <w:rsid w:val="001A3201"/>
    <w:rsid w:val="001A3593"/>
    <w:rsid w:val="001A4420"/>
    <w:rsid w:val="001A51C6"/>
    <w:rsid w:val="001A5DB6"/>
    <w:rsid w:val="001A7267"/>
    <w:rsid w:val="001A7499"/>
    <w:rsid w:val="001B2428"/>
    <w:rsid w:val="001B3190"/>
    <w:rsid w:val="001B406E"/>
    <w:rsid w:val="001B539D"/>
    <w:rsid w:val="001B5ECC"/>
    <w:rsid w:val="001B6316"/>
    <w:rsid w:val="001C04E9"/>
    <w:rsid w:val="001C140B"/>
    <w:rsid w:val="001C2773"/>
    <w:rsid w:val="001C2AEB"/>
    <w:rsid w:val="001C3645"/>
    <w:rsid w:val="001C3F2F"/>
    <w:rsid w:val="001C49A7"/>
    <w:rsid w:val="001C66A4"/>
    <w:rsid w:val="001C674A"/>
    <w:rsid w:val="001C7466"/>
    <w:rsid w:val="001C7A32"/>
    <w:rsid w:val="001D040F"/>
    <w:rsid w:val="001D1D35"/>
    <w:rsid w:val="001D322E"/>
    <w:rsid w:val="001D3A4A"/>
    <w:rsid w:val="001E153F"/>
    <w:rsid w:val="001E2D7C"/>
    <w:rsid w:val="001E3124"/>
    <w:rsid w:val="001E457D"/>
    <w:rsid w:val="001F11AE"/>
    <w:rsid w:val="001F2BCD"/>
    <w:rsid w:val="001F3F4B"/>
    <w:rsid w:val="001F4025"/>
    <w:rsid w:val="001F543D"/>
    <w:rsid w:val="001F5E10"/>
    <w:rsid w:val="001F6D7A"/>
    <w:rsid w:val="00200267"/>
    <w:rsid w:val="00200EF1"/>
    <w:rsid w:val="002029FD"/>
    <w:rsid w:val="00203621"/>
    <w:rsid w:val="0020480C"/>
    <w:rsid w:val="002050C1"/>
    <w:rsid w:val="00205C67"/>
    <w:rsid w:val="00206585"/>
    <w:rsid w:val="002074A2"/>
    <w:rsid w:val="00207929"/>
    <w:rsid w:val="00210FD6"/>
    <w:rsid w:val="00212B26"/>
    <w:rsid w:val="002132FA"/>
    <w:rsid w:val="0021349A"/>
    <w:rsid w:val="002156D4"/>
    <w:rsid w:val="002163BE"/>
    <w:rsid w:val="0021760E"/>
    <w:rsid w:val="00217AD4"/>
    <w:rsid w:val="00217F96"/>
    <w:rsid w:val="00222898"/>
    <w:rsid w:val="00224298"/>
    <w:rsid w:val="00225FCD"/>
    <w:rsid w:val="002267B1"/>
    <w:rsid w:val="00230197"/>
    <w:rsid w:val="0023025D"/>
    <w:rsid w:val="00230B1F"/>
    <w:rsid w:val="0023253C"/>
    <w:rsid w:val="00232903"/>
    <w:rsid w:val="00232C1F"/>
    <w:rsid w:val="0023392B"/>
    <w:rsid w:val="002354E4"/>
    <w:rsid w:val="00240154"/>
    <w:rsid w:val="00240DFF"/>
    <w:rsid w:val="002410FF"/>
    <w:rsid w:val="00244E52"/>
    <w:rsid w:val="00245892"/>
    <w:rsid w:val="00246565"/>
    <w:rsid w:val="002468C7"/>
    <w:rsid w:val="00247F63"/>
    <w:rsid w:val="002505B3"/>
    <w:rsid w:val="002507B2"/>
    <w:rsid w:val="0025086B"/>
    <w:rsid w:val="002511E1"/>
    <w:rsid w:val="002521AC"/>
    <w:rsid w:val="0025593B"/>
    <w:rsid w:val="00256FE1"/>
    <w:rsid w:val="00257DFC"/>
    <w:rsid w:val="00262EE9"/>
    <w:rsid w:val="00263CC7"/>
    <w:rsid w:val="002641D7"/>
    <w:rsid w:val="002655D6"/>
    <w:rsid w:val="00266E95"/>
    <w:rsid w:val="00266FAD"/>
    <w:rsid w:val="00267723"/>
    <w:rsid w:val="00273A92"/>
    <w:rsid w:val="00273CFD"/>
    <w:rsid w:val="0027641B"/>
    <w:rsid w:val="00276FB4"/>
    <w:rsid w:val="002770C0"/>
    <w:rsid w:val="0028090F"/>
    <w:rsid w:val="00280C1D"/>
    <w:rsid w:val="002825AA"/>
    <w:rsid w:val="002829C0"/>
    <w:rsid w:val="0028534B"/>
    <w:rsid w:val="00290157"/>
    <w:rsid w:val="00290223"/>
    <w:rsid w:val="00292595"/>
    <w:rsid w:val="0029366B"/>
    <w:rsid w:val="00293DAA"/>
    <w:rsid w:val="002946F5"/>
    <w:rsid w:val="002953F8"/>
    <w:rsid w:val="002A05DA"/>
    <w:rsid w:val="002A0745"/>
    <w:rsid w:val="002A0788"/>
    <w:rsid w:val="002A0C60"/>
    <w:rsid w:val="002A11E0"/>
    <w:rsid w:val="002A198D"/>
    <w:rsid w:val="002A24B8"/>
    <w:rsid w:val="002A4B5C"/>
    <w:rsid w:val="002A5DF5"/>
    <w:rsid w:val="002B0A97"/>
    <w:rsid w:val="002B1E52"/>
    <w:rsid w:val="002B2571"/>
    <w:rsid w:val="002B25AF"/>
    <w:rsid w:val="002B3AEC"/>
    <w:rsid w:val="002B5980"/>
    <w:rsid w:val="002B7D15"/>
    <w:rsid w:val="002C02F8"/>
    <w:rsid w:val="002C1972"/>
    <w:rsid w:val="002C2352"/>
    <w:rsid w:val="002C2EDB"/>
    <w:rsid w:val="002C3810"/>
    <w:rsid w:val="002C4319"/>
    <w:rsid w:val="002C49B7"/>
    <w:rsid w:val="002C6E9A"/>
    <w:rsid w:val="002C7355"/>
    <w:rsid w:val="002D45B3"/>
    <w:rsid w:val="002D504B"/>
    <w:rsid w:val="002D53FD"/>
    <w:rsid w:val="002D5CDB"/>
    <w:rsid w:val="002D6CC8"/>
    <w:rsid w:val="002E1104"/>
    <w:rsid w:val="002E1C06"/>
    <w:rsid w:val="002E2D7C"/>
    <w:rsid w:val="002E3E20"/>
    <w:rsid w:val="002E4F53"/>
    <w:rsid w:val="002F06A1"/>
    <w:rsid w:val="002F1B36"/>
    <w:rsid w:val="002F5C7A"/>
    <w:rsid w:val="003028BD"/>
    <w:rsid w:val="00303D84"/>
    <w:rsid w:val="003057E9"/>
    <w:rsid w:val="00305BE1"/>
    <w:rsid w:val="003060F5"/>
    <w:rsid w:val="00307742"/>
    <w:rsid w:val="00307908"/>
    <w:rsid w:val="0030799D"/>
    <w:rsid w:val="00311AA2"/>
    <w:rsid w:val="00311F64"/>
    <w:rsid w:val="00312C7E"/>
    <w:rsid w:val="00313134"/>
    <w:rsid w:val="0031400C"/>
    <w:rsid w:val="00314B81"/>
    <w:rsid w:val="0031631D"/>
    <w:rsid w:val="00317466"/>
    <w:rsid w:val="00322D8D"/>
    <w:rsid w:val="0032438C"/>
    <w:rsid w:val="0032489D"/>
    <w:rsid w:val="003270A1"/>
    <w:rsid w:val="003274BB"/>
    <w:rsid w:val="003329A9"/>
    <w:rsid w:val="00334B2C"/>
    <w:rsid w:val="00335631"/>
    <w:rsid w:val="0033668E"/>
    <w:rsid w:val="00336DA2"/>
    <w:rsid w:val="00341A31"/>
    <w:rsid w:val="00342850"/>
    <w:rsid w:val="0034421C"/>
    <w:rsid w:val="003472A3"/>
    <w:rsid w:val="00347C10"/>
    <w:rsid w:val="00350A0C"/>
    <w:rsid w:val="003519CA"/>
    <w:rsid w:val="00351DD6"/>
    <w:rsid w:val="00352BDA"/>
    <w:rsid w:val="00353A28"/>
    <w:rsid w:val="003560C0"/>
    <w:rsid w:val="0035683D"/>
    <w:rsid w:val="003619A0"/>
    <w:rsid w:val="00362B5E"/>
    <w:rsid w:val="00364C6C"/>
    <w:rsid w:val="00367264"/>
    <w:rsid w:val="00371068"/>
    <w:rsid w:val="0037355E"/>
    <w:rsid w:val="003740FE"/>
    <w:rsid w:val="00377CFB"/>
    <w:rsid w:val="003800A2"/>
    <w:rsid w:val="0038070E"/>
    <w:rsid w:val="00380E87"/>
    <w:rsid w:val="003811AA"/>
    <w:rsid w:val="00384F0B"/>
    <w:rsid w:val="00385476"/>
    <w:rsid w:val="00386376"/>
    <w:rsid w:val="0039010A"/>
    <w:rsid w:val="003902C9"/>
    <w:rsid w:val="00390552"/>
    <w:rsid w:val="00390745"/>
    <w:rsid w:val="0039448A"/>
    <w:rsid w:val="003A0BDE"/>
    <w:rsid w:val="003A3297"/>
    <w:rsid w:val="003A459B"/>
    <w:rsid w:val="003A5445"/>
    <w:rsid w:val="003A5B46"/>
    <w:rsid w:val="003A5CFC"/>
    <w:rsid w:val="003A70B0"/>
    <w:rsid w:val="003B0299"/>
    <w:rsid w:val="003B1A37"/>
    <w:rsid w:val="003B2828"/>
    <w:rsid w:val="003B3FF6"/>
    <w:rsid w:val="003B4F6D"/>
    <w:rsid w:val="003B4F77"/>
    <w:rsid w:val="003B66BC"/>
    <w:rsid w:val="003B6F44"/>
    <w:rsid w:val="003C0F47"/>
    <w:rsid w:val="003C15FE"/>
    <w:rsid w:val="003C31CA"/>
    <w:rsid w:val="003C4C4D"/>
    <w:rsid w:val="003C5C59"/>
    <w:rsid w:val="003C5FC3"/>
    <w:rsid w:val="003C63E8"/>
    <w:rsid w:val="003C6555"/>
    <w:rsid w:val="003C74CA"/>
    <w:rsid w:val="003D0867"/>
    <w:rsid w:val="003D08F8"/>
    <w:rsid w:val="003D11D8"/>
    <w:rsid w:val="003D3179"/>
    <w:rsid w:val="003D4EFA"/>
    <w:rsid w:val="003D50E6"/>
    <w:rsid w:val="003D66F3"/>
    <w:rsid w:val="003D7CA7"/>
    <w:rsid w:val="003E339F"/>
    <w:rsid w:val="003E3C4B"/>
    <w:rsid w:val="003E4508"/>
    <w:rsid w:val="003E4C9F"/>
    <w:rsid w:val="003E5F8B"/>
    <w:rsid w:val="003E73E1"/>
    <w:rsid w:val="003F726E"/>
    <w:rsid w:val="00400021"/>
    <w:rsid w:val="0040086F"/>
    <w:rsid w:val="0040097B"/>
    <w:rsid w:val="00400DE1"/>
    <w:rsid w:val="0040121E"/>
    <w:rsid w:val="00401B5F"/>
    <w:rsid w:val="00401D3D"/>
    <w:rsid w:val="0040290B"/>
    <w:rsid w:val="00403FD8"/>
    <w:rsid w:val="00404F42"/>
    <w:rsid w:val="004056B3"/>
    <w:rsid w:val="004057CA"/>
    <w:rsid w:val="00406217"/>
    <w:rsid w:val="004125FC"/>
    <w:rsid w:val="0041492D"/>
    <w:rsid w:val="004155EC"/>
    <w:rsid w:val="00416E90"/>
    <w:rsid w:val="00422194"/>
    <w:rsid w:val="00422ADD"/>
    <w:rsid w:val="00427899"/>
    <w:rsid w:val="0042797C"/>
    <w:rsid w:val="004307E6"/>
    <w:rsid w:val="004327C2"/>
    <w:rsid w:val="00440F9F"/>
    <w:rsid w:val="0044121F"/>
    <w:rsid w:val="0044384E"/>
    <w:rsid w:val="004446B8"/>
    <w:rsid w:val="0044576F"/>
    <w:rsid w:val="0044677E"/>
    <w:rsid w:val="004516B1"/>
    <w:rsid w:val="00451D13"/>
    <w:rsid w:val="00452749"/>
    <w:rsid w:val="00452863"/>
    <w:rsid w:val="0045333C"/>
    <w:rsid w:val="00453A89"/>
    <w:rsid w:val="00455DFB"/>
    <w:rsid w:val="00457C4B"/>
    <w:rsid w:val="004603BE"/>
    <w:rsid w:val="00461066"/>
    <w:rsid w:val="00461BDE"/>
    <w:rsid w:val="00462232"/>
    <w:rsid w:val="0046237E"/>
    <w:rsid w:val="0046446C"/>
    <w:rsid w:val="00467BE5"/>
    <w:rsid w:val="004707F8"/>
    <w:rsid w:val="004712A6"/>
    <w:rsid w:val="00471D32"/>
    <w:rsid w:val="00471E8E"/>
    <w:rsid w:val="004733B6"/>
    <w:rsid w:val="004738F4"/>
    <w:rsid w:val="00473ECB"/>
    <w:rsid w:val="00477B7D"/>
    <w:rsid w:val="004805C9"/>
    <w:rsid w:val="0048086A"/>
    <w:rsid w:val="00480D88"/>
    <w:rsid w:val="004839A8"/>
    <w:rsid w:val="00484FF2"/>
    <w:rsid w:val="00490D82"/>
    <w:rsid w:val="00491BA3"/>
    <w:rsid w:val="004948ED"/>
    <w:rsid w:val="004974D2"/>
    <w:rsid w:val="004977DD"/>
    <w:rsid w:val="004A0030"/>
    <w:rsid w:val="004A0050"/>
    <w:rsid w:val="004A0458"/>
    <w:rsid w:val="004A0844"/>
    <w:rsid w:val="004A09AD"/>
    <w:rsid w:val="004A09FB"/>
    <w:rsid w:val="004A2758"/>
    <w:rsid w:val="004A28BB"/>
    <w:rsid w:val="004A2A88"/>
    <w:rsid w:val="004A6E9E"/>
    <w:rsid w:val="004A799E"/>
    <w:rsid w:val="004B44F0"/>
    <w:rsid w:val="004B4B60"/>
    <w:rsid w:val="004B65B7"/>
    <w:rsid w:val="004C27F0"/>
    <w:rsid w:val="004C34B3"/>
    <w:rsid w:val="004C6BF0"/>
    <w:rsid w:val="004D0C86"/>
    <w:rsid w:val="004D12B2"/>
    <w:rsid w:val="004D4391"/>
    <w:rsid w:val="004D47CD"/>
    <w:rsid w:val="004D5796"/>
    <w:rsid w:val="004D58C3"/>
    <w:rsid w:val="004D5D1C"/>
    <w:rsid w:val="004D6E2E"/>
    <w:rsid w:val="004E0F31"/>
    <w:rsid w:val="004E1763"/>
    <w:rsid w:val="004E1E09"/>
    <w:rsid w:val="004E2898"/>
    <w:rsid w:val="004E3880"/>
    <w:rsid w:val="004E479B"/>
    <w:rsid w:val="004E4F33"/>
    <w:rsid w:val="004E6DE1"/>
    <w:rsid w:val="004F0D7A"/>
    <w:rsid w:val="004F189A"/>
    <w:rsid w:val="004F253A"/>
    <w:rsid w:val="004F349C"/>
    <w:rsid w:val="004F48A0"/>
    <w:rsid w:val="004F4BC5"/>
    <w:rsid w:val="004F678C"/>
    <w:rsid w:val="004F6B21"/>
    <w:rsid w:val="004F7CED"/>
    <w:rsid w:val="00501338"/>
    <w:rsid w:val="005017C9"/>
    <w:rsid w:val="00502C33"/>
    <w:rsid w:val="005049D0"/>
    <w:rsid w:val="00505ADB"/>
    <w:rsid w:val="00505E01"/>
    <w:rsid w:val="005071CB"/>
    <w:rsid w:val="00507B37"/>
    <w:rsid w:val="00512993"/>
    <w:rsid w:val="00512A8F"/>
    <w:rsid w:val="00513F4B"/>
    <w:rsid w:val="00514E53"/>
    <w:rsid w:val="0051672E"/>
    <w:rsid w:val="00516ED6"/>
    <w:rsid w:val="00521437"/>
    <w:rsid w:val="00523DC4"/>
    <w:rsid w:val="00524D08"/>
    <w:rsid w:val="00525023"/>
    <w:rsid w:val="00525F8F"/>
    <w:rsid w:val="005267E3"/>
    <w:rsid w:val="0052710B"/>
    <w:rsid w:val="0053078D"/>
    <w:rsid w:val="005332FF"/>
    <w:rsid w:val="00534FE0"/>
    <w:rsid w:val="0054119B"/>
    <w:rsid w:val="0054228B"/>
    <w:rsid w:val="00543311"/>
    <w:rsid w:val="005444B1"/>
    <w:rsid w:val="005461F5"/>
    <w:rsid w:val="0055140F"/>
    <w:rsid w:val="00551B36"/>
    <w:rsid w:val="005541E8"/>
    <w:rsid w:val="005553F9"/>
    <w:rsid w:val="005567AC"/>
    <w:rsid w:val="00564D0A"/>
    <w:rsid w:val="005656FE"/>
    <w:rsid w:val="005666F3"/>
    <w:rsid w:val="00566B2F"/>
    <w:rsid w:val="00566B36"/>
    <w:rsid w:val="00566FCB"/>
    <w:rsid w:val="00567670"/>
    <w:rsid w:val="005728F7"/>
    <w:rsid w:val="00574E56"/>
    <w:rsid w:val="00576EFB"/>
    <w:rsid w:val="00583AAA"/>
    <w:rsid w:val="00583D51"/>
    <w:rsid w:val="00584472"/>
    <w:rsid w:val="005856DF"/>
    <w:rsid w:val="00585CF2"/>
    <w:rsid w:val="005876C7"/>
    <w:rsid w:val="005911D3"/>
    <w:rsid w:val="00591457"/>
    <w:rsid w:val="00591B42"/>
    <w:rsid w:val="00592213"/>
    <w:rsid w:val="00593FBD"/>
    <w:rsid w:val="005A0844"/>
    <w:rsid w:val="005A095E"/>
    <w:rsid w:val="005A19EB"/>
    <w:rsid w:val="005A2390"/>
    <w:rsid w:val="005A35CF"/>
    <w:rsid w:val="005A4ACB"/>
    <w:rsid w:val="005A4EC6"/>
    <w:rsid w:val="005A558C"/>
    <w:rsid w:val="005A71E3"/>
    <w:rsid w:val="005A7477"/>
    <w:rsid w:val="005A7B7B"/>
    <w:rsid w:val="005B1E63"/>
    <w:rsid w:val="005B1F36"/>
    <w:rsid w:val="005B36D4"/>
    <w:rsid w:val="005B4FED"/>
    <w:rsid w:val="005B6191"/>
    <w:rsid w:val="005B7561"/>
    <w:rsid w:val="005C06BA"/>
    <w:rsid w:val="005C17B0"/>
    <w:rsid w:val="005C28C8"/>
    <w:rsid w:val="005C2A53"/>
    <w:rsid w:val="005C329E"/>
    <w:rsid w:val="005C4442"/>
    <w:rsid w:val="005C4539"/>
    <w:rsid w:val="005C4674"/>
    <w:rsid w:val="005C5344"/>
    <w:rsid w:val="005C649C"/>
    <w:rsid w:val="005C7756"/>
    <w:rsid w:val="005C7A02"/>
    <w:rsid w:val="005D0539"/>
    <w:rsid w:val="005D166B"/>
    <w:rsid w:val="005D20DD"/>
    <w:rsid w:val="005D2931"/>
    <w:rsid w:val="005D2972"/>
    <w:rsid w:val="005D3F13"/>
    <w:rsid w:val="005D451C"/>
    <w:rsid w:val="005D47A4"/>
    <w:rsid w:val="005D5283"/>
    <w:rsid w:val="005D5962"/>
    <w:rsid w:val="005D6747"/>
    <w:rsid w:val="005E111C"/>
    <w:rsid w:val="005E350A"/>
    <w:rsid w:val="005E50C1"/>
    <w:rsid w:val="005E6D2C"/>
    <w:rsid w:val="005F0342"/>
    <w:rsid w:val="005F1543"/>
    <w:rsid w:val="005F21A8"/>
    <w:rsid w:val="005F2D16"/>
    <w:rsid w:val="005F5EB2"/>
    <w:rsid w:val="005F6C79"/>
    <w:rsid w:val="005F6D98"/>
    <w:rsid w:val="005F76C5"/>
    <w:rsid w:val="005F7C7F"/>
    <w:rsid w:val="00600A47"/>
    <w:rsid w:val="0060106C"/>
    <w:rsid w:val="00601B74"/>
    <w:rsid w:val="0060202A"/>
    <w:rsid w:val="00603241"/>
    <w:rsid w:val="00603A24"/>
    <w:rsid w:val="006054F5"/>
    <w:rsid w:val="00605607"/>
    <w:rsid w:val="00606753"/>
    <w:rsid w:val="00607255"/>
    <w:rsid w:val="00607A84"/>
    <w:rsid w:val="0061014D"/>
    <w:rsid w:val="0061022C"/>
    <w:rsid w:val="00610A25"/>
    <w:rsid w:val="0061163B"/>
    <w:rsid w:val="006126D3"/>
    <w:rsid w:val="00612BA1"/>
    <w:rsid w:val="00612E52"/>
    <w:rsid w:val="006131F7"/>
    <w:rsid w:val="00615833"/>
    <w:rsid w:val="006202C3"/>
    <w:rsid w:val="00622B1B"/>
    <w:rsid w:val="00624716"/>
    <w:rsid w:val="00625E6B"/>
    <w:rsid w:val="00627153"/>
    <w:rsid w:val="006276A4"/>
    <w:rsid w:val="006300B4"/>
    <w:rsid w:val="00630453"/>
    <w:rsid w:val="0063147B"/>
    <w:rsid w:val="006319E9"/>
    <w:rsid w:val="00632252"/>
    <w:rsid w:val="00634BEE"/>
    <w:rsid w:val="0063736C"/>
    <w:rsid w:val="0064036F"/>
    <w:rsid w:val="0064295D"/>
    <w:rsid w:val="00644BB6"/>
    <w:rsid w:val="00644FEE"/>
    <w:rsid w:val="00645F6A"/>
    <w:rsid w:val="00651152"/>
    <w:rsid w:val="0065125B"/>
    <w:rsid w:val="00652CE2"/>
    <w:rsid w:val="00652D4E"/>
    <w:rsid w:val="00653AEC"/>
    <w:rsid w:val="00654EB2"/>
    <w:rsid w:val="006562E6"/>
    <w:rsid w:val="0065659B"/>
    <w:rsid w:val="006601E4"/>
    <w:rsid w:val="00660973"/>
    <w:rsid w:val="00661407"/>
    <w:rsid w:val="00661A86"/>
    <w:rsid w:val="00662124"/>
    <w:rsid w:val="00663F48"/>
    <w:rsid w:val="00664A55"/>
    <w:rsid w:val="00667042"/>
    <w:rsid w:val="00671D59"/>
    <w:rsid w:val="006738A2"/>
    <w:rsid w:val="006745EB"/>
    <w:rsid w:val="00674745"/>
    <w:rsid w:val="00674C2E"/>
    <w:rsid w:val="00675474"/>
    <w:rsid w:val="006770EA"/>
    <w:rsid w:val="00677260"/>
    <w:rsid w:val="00680AC1"/>
    <w:rsid w:val="00682892"/>
    <w:rsid w:val="00682B42"/>
    <w:rsid w:val="00684983"/>
    <w:rsid w:val="006850D6"/>
    <w:rsid w:val="006850F2"/>
    <w:rsid w:val="00685616"/>
    <w:rsid w:val="00685618"/>
    <w:rsid w:val="00687A25"/>
    <w:rsid w:val="00691314"/>
    <w:rsid w:val="0069384F"/>
    <w:rsid w:val="00695102"/>
    <w:rsid w:val="00695518"/>
    <w:rsid w:val="0069554F"/>
    <w:rsid w:val="006955B9"/>
    <w:rsid w:val="00695B8C"/>
    <w:rsid w:val="00695C1F"/>
    <w:rsid w:val="0069628F"/>
    <w:rsid w:val="006A0CBC"/>
    <w:rsid w:val="006A2F89"/>
    <w:rsid w:val="006A34B5"/>
    <w:rsid w:val="006A3D0A"/>
    <w:rsid w:val="006A7BBA"/>
    <w:rsid w:val="006B1B97"/>
    <w:rsid w:val="006B2943"/>
    <w:rsid w:val="006B49AB"/>
    <w:rsid w:val="006B69B0"/>
    <w:rsid w:val="006B7328"/>
    <w:rsid w:val="006C1000"/>
    <w:rsid w:val="006C1589"/>
    <w:rsid w:val="006C346D"/>
    <w:rsid w:val="006C6C82"/>
    <w:rsid w:val="006D2FF8"/>
    <w:rsid w:val="006D368B"/>
    <w:rsid w:val="006D440F"/>
    <w:rsid w:val="006D5817"/>
    <w:rsid w:val="006D6C1B"/>
    <w:rsid w:val="006D6C7B"/>
    <w:rsid w:val="006E0D9C"/>
    <w:rsid w:val="006E1AD3"/>
    <w:rsid w:val="006E2635"/>
    <w:rsid w:val="006E3348"/>
    <w:rsid w:val="006E3F90"/>
    <w:rsid w:val="006E670C"/>
    <w:rsid w:val="006E79EE"/>
    <w:rsid w:val="006F063D"/>
    <w:rsid w:val="006F2455"/>
    <w:rsid w:val="006F35E9"/>
    <w:rsid w:val="006F4290"/>
    <w:rsid w:val="006F4BE6"/>
    <w:rsid w:val="006F5A10"/>
    <w:rsid w:val="006F681D"/>
    <w:rsid w:val="00702F85"/>
    <w:rsid w:val="00703204"/>
    <w:rsid w:val="00703A3D"/>
    <w:rsid w:val="00704919"/>
    <w:rsid w:val="00704FE0"/>
    <w:rsid w:val="00705707"/>
    <w:rsid w:val="007066F4"/>
    <w:rsid w:val="00706B90"/>
    <w:rsid w:val="00706FF3"/>
    <w:rsid w:val="0071004C"/>
    <w:rsid w:val="00711A0B"/>
    <w:rsid w:val="00711CDF"/>
    <w:rsid w:val="00712FE2"/>
    <w:rsid w:val="00713341"/>
    <w:rsid w:val="00713CC4"/>
    <w:rsid w:val="00716902"/>
    <w:rsid w:val="00717698"/>
    <w:rsid w:val="007211A2"/>
    <w:rsid w:val="00721801"/>
    <w:rsid w:val="00723ED0"/>
    <w:rsid w:val="007254A0"/>
    <w:rsid w:val="00726E90"/>
    <w:rsid w:val="00727033"/>
    <w:rsid w:val="00730392"/>
    <w:rsid w:val="0073080D"/>
    <w:rsid w:val="00730FCE"/>
    <w:rsid w:val="00731383"/>
    <w:rsid w:val="00731C2E"/>
    <w:rsid w:val="007331AF"/>
    <w:rsid w:val="0073341D"/>
    <w:rsid w:val="00733A68"/>
    <w:rsid w:val="007362B4"/>
    <w:rsid w:val="007363C1"/>
    <w:rsid w:val="00740021"/>
    <w:rsid w:val="00740B6F"/>
    <w:rsid w:val="00741FD7"/>
    <w:rsid w:val="00741FF8"/>
    <w:rsid w:val="007459B1"/>
    <w:rsid w:val="00745AA8"/>
    <w:rsid w:val="00745B0B"/>
    <w:rsid w:val="00751A6C"/>
    <w:rsid w:val="0075345E"/>
    <w:rsid w:val="007539F8"/>
    <w:rsid w:val="007549DD"/>
    <w:rsid w:val="00757058"/>
    <w:rsid w:val="007609C7"/>
    <w:rsid w:val="007621D2"/>
    <w:rsid w:val="00763610"/>
    <w:rsid w:val="0076411B"/>
    <w:rsid w:val="0076416D"/>
    <w:rsid w:val="007642ED"/>
    <w:rsid w:val="00766306"/>
    <w:rsid w:val="007677FF"/>
    <w:rsid w:val="007738B6"/>
    <w:rsid w:val="00774B62"/>
    <w:rsid w:val="0077551E"/>
    <w:rsid w:val="00776B15"/>
    <w:rsid w:val="00776DBE"/>
    <w:rsid w:val="007801DB"/>
    <w:rsid w:val="007815BD"/>
    <w:rsid w:val="007845C0"/>
    <w:rsid w:val="007847F8"/>
    <w:rsid w:val="007860ED"/>
    <w:rsid w:val="007879A2"/>
    <w:rsid w:val="00787C7F"/>
    <w:rsid w:val="007913A3"/>
    <w:rsid w:val="00791D19"/>
    <w:rsid w:val="00796189"/>
    <w:rsid w:val="00796A37"/>
    <w:rsid w:val="00797F6B"/>
    <w:rsid w:val="007A0366"/>
    <w:rsid w:val="007A0B62"/>
    <w:rsid w:val="007A0FAD"/>
    <w:rsid w:val="007A1B17"/>
    <w:rsid w:val="007A29AB"/>
    <w:rsid w:val="007A55B0"/>
    <w:rsid w:val="007A7B5E"/>
    <w:rsid w:val="007B0761"/>
    <w:rsid w:val="007B093D"/>
    <w:rsid w:val="007B270B"/>
    <w:rsid w:val="007B3307"/>
    <w:rsid w:val="007B3A05"/>
    <w:rsid w:val="007B5448"/>
    <w:rsid w:val="007B5F83"/>
    <w:rsid w:val="007B7A7C"/>
    <w:rsid w:val="007B7C5A"/>
    <w:rsid w:val="007C16D8"/>
    <w:rsid w:val="007C1846"/>
    <w:rsid w:val="007C196F"/>
    <w:rsid w:val="007C22B1"/>
    <w:rsid w:val="007C260F"/>
    <w:rsid w:val="007C634C"/>
    <w:rsid w:val="007C6DA0"/>
    <w:rsid w:val="007D0C23"/>
    <w:rsid w:val="007D122F"/>
    <w:rsid w:val="007D1572"/>
    <w:rsid w:val="007D49BE"/>
    <w:rsid w:val="007D5CFC"/>
    <w:rsid w:val="007D63E6"/>
    <w:rsid w:val="007D69C7"/>
    <w:rsid w:val="007D7C06"/>
    <w:rsid w:val="007E0284"/>
    <w:rsid w:val="007E0F78"/>
    <w:rsid w:val="007E1D3A"/>
    <w:rsid w:val="007E2720"/>
    <w:rsid w:val="007E33E8"/>
    <w:rsid w:val="007E399E"/>
    <w:rsid w:val="007E742D"/>
    <w:rsid w:val="007E7DEE"/>
    <w:rsid w:val="007F1233"/>
    <w:rsid w:val="007F54BC"/>
    <w:rsid w:val="007F5DD7"/>
    <w:rsid w:val="007F6923"/>
    <w:rsid w:val="007F6B7B"/>
    <w:rsid w:val="007F7C26"/>
    <w:rsid w:val="008004DD"/>
    <w:rsid w:val="00800FF5"/>
    <w:rsid w:val="008012E2"/>
    <w:rsid w:val="008019B7"/>
    <w:rsid w:val="00801FD3"/>
    <w:rsid w:val="00803098"/>
    <w:rsid w:val="00803288"/>
    <w:rsid w:val="00806438"/>
    <w:rsid w:val="008065FC"/>
    <w:rsid w:val="00807543"/>
    <w:rsid w:val="0080764F"/>
    <w:rsid w:val="0080765F"/>
    <w:rsid w:val="00811874"/>
    <w:rsid w:val="00811C14"/>
    <w:rsid w:val="00811EAC"/>
    <w:rsid w:val="00813504"/>
    <w:rsid w:val="0081384B"/>
    <w:rsid w:val="00814A43"/>
    <w:rsid w:val="00817B55"/>
    <w:rsid w:val="00817CF0"/>
    <w:rsid w:val="00820CB4"/>
    <w:rsid w:val="00822A04"/>
    <w:rsid w:val="00823F7F"/>
    <w:rsid w:val="0082498A"/>
    <w:rsid w:val="008251DD"/>
    <w:rsid w:val="00826091"/>
    <w:rsid w:val="008264AB"/>
    <w:rsid w:val="00826C36"/>
    <w:rsid w:val="00827151"/>
    <w:rsid w:val="00832F76"/>
    <w:rsid w:val="00837365"/>
    <w:rsid w:val="0084053B"/>
    <w:rsid w:val="0084085D"/>
    <w:rsid w:val="00842C28"/>
    <w:rsid w:val="00842F63"/>
    <w:rsid w:val="0084335F"/>
    <w:rsid w:val="008433E7"/>
    <w:rsid w:val="008447D2"/>
    <w:rsid w:val="00844D69"/>
    <w:rsid w:val="00845124"/>
    <w:rsid w:val="00846901"/>
    <w:rsid w:val="008476C3"/>
    <w:rsid w:val="00847FCD"/>
    <w:rsid w:val="00853F99"/>
    <w:rsid w:val="00854234"/>
    <w:rsid w:val="00854401"/>
    <w:rsid w:val="008604D8"/>
    <w:rsid w:val="00861619"/>
    <w:rsid w:val="008616FA"/>
    <w:rsid w:val="00861860"/>
    <w:rsid w:val="00861E19"/>
    <w:rsid w:val="00862BD8"/>
    <w:rsid w:val="00862DCC"/>
    <w:rsid w:val="00863167"/>
    <w:rsid w:val="008640FC"/>
    <w:rsid w:val="00866E7E"/>
    <w:rsid w:val="00870013"/>
    <w:rsid w:val="0087111C"/>
    <w:rsid w:val="00872A5E"/>
    <w:rsid w:val="00875B2D"/>
    <w:rsid w:val="00880955"/>
    <w:rsid w:val="00880C2C"/>
    <w:rsid w:val="00880FD9"/>
    <w:rsid w:val="008812E0"/>
    <w:rsid w:val="008827BB"/>
    <w:rsid w:val="00884A34"/>
    <w:rsid w:val="0088561F"/>
    <w:rsid w:val="0088799C"/>
    <w:rsid w:val="008907BF"/>
    <w:rsid w:val="00890F55"/>
    <w:rsid w:val="008911F8"/>
    <w:rsid w:val="00891EE0"/>
    <w:rsid w:val="0089253B"/>
    <w:rsid w:val="00892940"/>
    <w:rsid w:val="00893503"/>
    <w:rsid w:val="008940F9"/>
    <w:rsid w:val="008942BE"/>
    <w:rsid w:val="00895182"/>
    <w:rsid w:val="008A1BD0"/>
    <w:rsid w:val="008A1D2C"/>
    <w:rsid w:val="008A3EA4"/>
    <w:rsid w:val="008A4AD3"/>
    <w:rsid w:val="008A5BCC"/>
    <w:rsid w:val="008A7D0E"/>
    <w:rsid w:val="008B0AA1"/>
    <w:rsid w:val="008B1279"/>
    <w:rsid w:val="008B25C0"/>
    <w:rsid w:val="008B2D6C"/>
    <w:rsid w:val="008B3C4B"/>
    <w:rsid w:val="008B54D6"/>
    <w:rsid w:val="008B7128"/>
    <w:rsid w:val="008C0DD4"/>
    <w:rsid w:val="008C1AC8"/>
    <w:rsid w:val="008C40C6"/>
    <w:rsid w:val="008C5027"/>
    <w:rsid w:val="008C5BB9"/>
    <w:rsid w:val="008C729D"/>
    <w:rsid w:val="008D0969"/>
    <w:rsid w:val="008D2619"/>
    <w:rsid w:val="008D3FE1"/>
    <w:rsid w:val="008D5A55"/>
    <w:rsid w:val="008D61E3"/>
    <w:rsid w:val="008E04AC"/>
    <w:rsid w:val="008E0C38"/>
    <w:rsid w:val="008E2157"/>
    <w:rsid w:val="008E377F"/>
    <w:rsid w:val="008E3F63"/>
    <w:rsid w:val="008E3FE3"/>
    <w:rsid w:val="008E5740"/>
    <w:rsid w:val="008E5B62"/>
    <w:rsid w:val="008E6570"/>
    <w:rsid w:val="008E6B57"/>
    <w:rsid w:val="008F007E"/>
    <w:rsid w:val="008F0C89"/>
    <w:rsid w:val="008F0C93"/>
    <w:rsid w:val="008F1456"/>
    <w:rsid w:val="008F2450"/>
    <w:rsid w:val="008F4441"/>
    <w:rsid w:val="008F49F5"/>
    <w:rsid w:val="008F51FE"/>
    <w:rsid w:val="008F571B"/>
    <w:rsid w:val="009013DB"/>
    <w:rsid w:val="00901EEA"/>
    <w:rsid w:val="0090207A"/>
    <w:rsid w:val="009029AF"/>
    <w:rsid w:val="00903FAD"/>
    <w:rsid w:val="00904007"/>
    <w:rsid w:val="0090423F"/>
    <w:rsid w:val="0090527C"/>
    <w:rsid w:val="009062FD"/>
    <w:rsid w:val="0090645A"/>
    <w:rsid w:val="009066D9"/>
    <w:rsid w:val="00906E92"/>
    <w:rsid w:val="00910262"/>
    <w:rsid w:val="0091036E"/>
    <w:rsid w:val="00911B73"/>
    <w:rsid w:val="00911FF4"/>
    <w:rsid w:val="00912123"/>
    <w:rsid w:val="00912961"/>
    <w:rsid w:val="00912A18"/>
    <w:rsid w:val="00914BEC"/>
    <w:rsid w:val="0091531B"/>
    <w:rsid w:val="0091634E"/>
    <w:rsid w:val="009168E1"/>
    <w:rsid w:val="00917643"/>
    <w:rsid w:val="00920041"/>
    <w:rsid w:val="00921F2F"/>
    <w:rsid w:val="009246EF"/>
    <w:rsid w:val="00926DDF"/>
    <w:rsid w:val="00927AD4"/>
    <w:rsid w:val="00930165"/>
    <w:rsid w:val="009305F9"/>
    <w:rsid w:val="00932D53"/>
    <w:rsid w:val="00933D8F"/>
    <w:rsid w:val="00934DA5"/>
    <w:rsid w:val="0093681A"/>
    <w:rsid w:val="00936B7F"/>
    <w:rsid w:val="009370DC"/>
    <w:rsid w:val="00937593"/>
    <w:rsid w:val="0093761D"/>
    <w:rsid w:val="00940463"/>
    <w:rsid w:val="009428F4"/>
    <w:rsid w:val="00943FED"/>
    <w:rsid w:val="009446B0"/>
    <w:rsid w:val="00945277"/>
    <w:rsid w:val="00945A80"/>
    <w:rsid w:val="009467A1"/>
    <w:rsid w:val="00946CFD"/>
    <w:rsid w:val="009476D3"/>
    <w:rsid w:val="00950361"/>
    <w:rsid w:val="00952568"/>
    <w:rsid w:val="00954CE2"/>
    <w:rsid w:val="00956D02"/>
    <w:rsid w:val="009616CF"/>
    <w:rsid w:val="00963283"/>
    <w:rsid w:val="00963351"/>
    <w:rsid w:val="00963A0A"/>
    <w:rsid w:val="00963D93"/>
    <w:rsid w:val="00963E41"/>
    <w:rsid w:val="00964263"/>
    <w:rsid w:val="00964780"/>
    <w:rsid w:val="00966812"/>
    <w:rsid w:val="00966CFB"/>
    <w:rsid w:val="00967516"/>
    <w:rsid w:val="00967C6A"/>
    <w:rsid w:val="00967D54"/>
    <w:rsid w:val="00967FF2"/>
    <w:rsid w:val="0097122C"/>
    <w:rsid w:val="00971718"/>
    <w:rsid w:val="00974702"/>
    <w:rsid w:val="00974F35"/>
    <w:rsid w:val="0097506B"/>
    <w:rsid w:val="0098029B"/>
    <w:rsid w:val="009804AB"/>
    <w:rsid w:val="00980ADC"/>
    <w:rsid w:val="009810F5"/>
    <w:rsid w:val="00984BE9"/>
    <w:rsid w:val="00985276"/>
    <w:rsid w:val="0098667B"/>
    <w:rsid w:val="00990EC8"/>
    <w:rsid w:val="009953BC"/>
    <w:rsid w:val="00995C24"/>
    <w:rsid w:val="00996AB7"/>
    <w:rsid w:val="00997BAF"/>
    <w:rsid w:val="009A02BD"/>
    <w:rsid w:val="009A1AEE"/>
    <w:rsid w:val="009A386F"/>
    <w:rsid w:val="009A38ED"/>
    <w:rsid w:val="009A6479"/>
    <w:rsid w:val="009A699C"/>
    <w:rsid w:val="009A708D"/>
    <w:rsid w:val="009A7E64"/>
    <w:rsid w:val="009B060D"/>
    <w:rsid w:val="009B3571"/>
    <w:rsid w:val="009B38BA"/>
    <w:rsid w:val="009B455D"/>
    <w:rsid w:val="009B5992"/>
    <w:rsid w:val="009B790C"/>
    <w:rsid w:val="009C28CC"/>
    <w:rsid w:val="009C45A7"/>
    <w:rsid w:val="009C5EB2"/>
    <w:rsid w:val="009D071F"/>
    <w:rsid w:val="009D0793"/>
    <w:rsid w:val="009D1D39"/>
    <w:rsid w:val="009D2341"/>
    <w:rsid w:val="009D4948"/>
    <w:rsid w:val="009D4E1D"/>
    <w:rsid w:val="009D58EB"/>
    <w:rsid w:val="009D5AC2"/>
    <w:rsid w:val="009D61C2"/>
    <w:rsid w:val="009D65FE"/>
    <w:rsid w:val="009D7A73"/>
    <w:rsid w:val="009E0435"/>
    <w:rsid w:val="009E0686"/>
    <w:rsid w:val="009E2FC5"/>
    <w:rsid w:val="009E31E5"/>
    <w:rsid w:val="009E47C3"/>
    <w:rsid w:val="009E5175"/>
    <w:rsid w:val="009E6093"/>
    <w:rsid w:val="009E6181"/>
    <w:rsid w:val="009F046C"/>
    <w:rsid w:val="009F169A"/>
    <w:rsid w:val="009F182B"/>
    <w:rsid w:val="009F19EC"/>
    <w:rsid w:val="009F4D0A"/>
    <w:rsid w:val="009F4FE4"/>
    <w:rsid w:val="009F534E"/>
    <w:rsid w:val="009F609C"/>
    <w:rsid w:val="009F7CAD"/>
    <w:rsid w:val="00A010DE"/>
    <w:rsid w:val="00A0276C"/>
    <w:rsid w:val="00A02F05"/>
    <w:rsid w:val="00A05452"/>
    <w:rsid w:val="00A0726E"/>
    <w:rsid w:val="00A14B72"/>
    <w:rsid w:val="00A168F1"/>
    <w:rsid w:val="00A1701E"/>
    <w:rsid w:val="00A2064F"/>
    <w:rsid w:val="00A2176A"/>
    <w:rsid w:val="00A21F57"/>
    <w:rsid w:val="00A24432"/>
    <w:rsid w:val="00A24CC8"/>
    <w:rsid w:val="00A24E07"/>
    <w:rsid w:val="00A24E25"/>
    <w:rsid w:val="00A254F6"/>
    <w:rsid w:val="00A31401"/>
    <w:rsid w:val="00A31F8A"/>
    <w:rsid w:val="00A33C59"/>
    <w:rsid w:val="00A33D70"/>
    <w:rsid w:val="00A41C33"/>
    <w:rsid w:val="00A4210A"/>
    <w:rsid w:val="00A4341E"/>
    <w:rsid w:val="00A434E8"/>
    <w:rsid w:val="00A442FF"/>
    <w:rsid w:val="00A4485C"/>
    <w:rsid w:val="00A46457"/>
    <w:rsid w:val="00A469CF"/>
    <w:rsid w:val="00A511FD"/>
    <w:rsid w:val="00A51404"/>
    <w:rsid w:val="00A5359F"/>
    <w:rsid w:val="00A53910"/>
    <w:rsid w:val="00A53CB9"/>
    <w:rsid w:val="00A55318"/>
    <w:rsid w:val="00A60656"/>
    <w:rsid w:val="00A61324"/>
    <w:rsid w:val="00A61743"/>
    <w:rsid w:val="00A651DF"/>
    <w:rsid w:val="00A6539F"/>
    <w:rsid w:val="00A65458"/>
    <w:rsid w:val="00A65A60"/>
    <w:rsid w:val="00A6665C"/>
    <w:rsid w:val="00A6697D"/>
    <w:rsid w:val="00A713E3"/>
    <w:rsid w:val="00A74D93"/>
    <w:rsid w:val="00A76342"/>
    <w:rsid w:val="00A76A29"/>
    <w:rsid w:val="00A76DEC"/>
    <w:rsid w:val="00A85F8D"/>
    <w:rsid w:val="00A91783"/>
    <w:rsid w:val="00A91AD4"/>
    <w:rsid w:val="00A92B9D"/>
    <w:rsid w:val="00A94BA8"/>
    <w:rsid w:val="00A96516"/>
    <w:rsid w:val="00AA4D83"/>
    <w:rsid w:val="00AA4E8E"/>
    <w:rsid w:val="00AA6FB4"/>
    <w:rsid w:val="00AB021D"/>
    <w:rsid w:val="00AB6F55"/>
    <w:rsid w:val="00AB7E8B"/>
    <w:rsid w:val="00AC0861"/>
    <w:rsid w:val="00AC209D"/>
    <w:rsid w:val="00AC4271"/>
    <w:rsid w:val="00AC50D3"/>
    <w:rsid w:val="00AC5C5C"/>
    <w:rsid w:val="00AC6AEC"/>
    <w:rsid w:val="00AD06D2"/>
    <w:rsid w:val="00AD0E87"/>
    <w:rsid w:val="00AD0F14"/>
    <w:rsid w:val="00AD1484"/>
    <w:rsid w:val="00AD15FE"/>
    <w:rsid w:val="00AD1CBF"/>
    <w:rsid w:val="00AD3574"/>
    <w:rsid w:val="00AD3A45"/>
    <w:rsid w:val="00AD539B"/>
    <w:rsid w:val="00AE091A"/>
    <w:rsid w:val="00AE23E3"/>
    <w:rsid w:val="00AE4A60"/>
    <w:rsid w:val="00AE65B5"/>
    <w:rsid w:val="00AE66C0"/>
    <w:rsid w:val="00AE6EE6"/>
    <w:rsid w:val="00AF0CFA"/>
    <w:rsid w:val="00AF1B47"/>
    <w:rsid w:val="00AF2554"/>
    <w:rsid w:val="00AF2DF0"/>
    <w:rsid w:val="00AF56E4"/>
    <w:rsid w:val="00AF644A"/>
    <w:rsid w:val="00AF78C9"/>
    <w:rsid w:val="00B022EB"/>
    <w:rsid w:val="00B0333D"/>
    <w:rsid w:val="00B03FA7"/>
    <w:rsid w:val="00B055A1"/>
    <w:rsid w:val="00B06490"/>
    <w:rsid w:val="00B06525"/>
    <w:rsid w:val="00B13E35"/>
    <w:rsid w:val="00B14E78"/>
    <w:rsid w:val="00B15C0D"/>
    <w:rsid w:val="00B1640A"/>
    <w:rsid w:val="00B16AA2"/>
    <w:rsid w:val="00B17CE7"/>
    <w:rsid w:val="00B2070B"/>
    <w:rsid w:val="00B211B0"/>
    <w:rsid w:val="00B22279"/>
    <w:rsid w:val="00B2297B"/>
    <w:rsid w:val="00B22DFF"/>
    <w:rsid w:val="00B23119"/>
    <w:rsid w:val="00B23DEF"/>
    <w:rsid w:val="00B257D7"/>
    <w:rsid w:val="00B2681E"/>
    <w:rsid w:val="00B26B52"/>
    <w:rsid w:val="00B271FA"/>
    <w:rsid w:val="00B2797D"/>
    <w:rsid w:val="00B3000B"/>
    <w:rsid w:val="00B31B8F"/>
    <w:rsid w:val="00B33276"/>
    <w:rsid w:val="00B34992"/>
    <w:rsid w:val="00B40ADD"/>
    <w:rsid w:val="00B41FA7"/>
    <w:rsid w:val="00B42BDB"/>
    <w:rsid w:val="00B5145D"/>
    <w:rsid w:val="00B520B6"/>
    <w:rsid w:val="00B523F6"/>
    <w:rsid w:val="00B5244D"/>
    <w:rsid w:val="00B55205"/>
    <w:rsid w:val="00B56309"/>
    <w:rsid w:val="00B6279F"/>
    <w:rsid w:val="00B65FA2"/>
    <w:rsid w:val="00B66999"/>
    <w:rsid w:val="00B66EA6"/>
    <w:rsid w:val="00B71A93"/>
    <w:rsid w:val="00B73BDB"/>
    <w:rsid w:val="00B74511"/>
    <w:rsid w:val="00B756C1"/>
    <w:rsid w:val="00B75DEA"/>
    <w:rsid w:val="00B7689E"/>
    <w:rsid w:val="00B81893"/>
    <w:rsid w:val="00B82037"/>
    <w:rsid w:val="00B82A2F"/>
    <w:rsid w:val="00B901DB"/>
    <w:rsid w:val="00B9045C"/>
    <w:rsid w:val="00B92622"/>
    <w:rsid w:val="00B93ABF"/>
    <w:rsid w:val="00B94B48"/>
    <w:rsid w:val="00B94CF1"/>
    <w:rsid w:val="00B960FD"/>
    <w:rsid w:val="00B96116"/>
    <w:rsid w:val="00B97048"/>
    <w:rsid w:val="00B97EC8"/>
    <w:rsid w:val="00BA028A"/>
    <w:rsid w:val="00BA0C2B"/>
    <w:rsid w:val="00BA1047"/>
    <w:rsid w:val="00BA267C"/>
    <w:rsid w:val="00BA27B9"/>
    <w:rsid w:val="00BA5BA3"/>
    <w:rsid w:val="00BA613D"/>
    <w:rsid w:val="00BA6F71"/>
    <w:rsid w:val="00BA7D52"/>
    <w:rsid w:val="00BA7F3F"/>
    <w:rsid w:val="00BB076E"/>
    <w:rsid w:val="00BB15C8"/>
    <w:rsid w:val="00BB351A"/>
    <w:rsid w:val="00BB3AC9"/>
    <w:rsid w:val="00BB445A"/>
    <w:rsid w:val="00BB4EB3"/>
    <w:rsid w:val="00BB570E"/>
    <w:rsid w:val="00BB5C12"/>
    <w:rsid w:val="00BB6233"/>
    <w:rsid w:val="00BB6E92"/>
    <w:rsid w:val="00BB7324"/>
    <w:rsid w:val="00BC0522"/>
    <w:rsid w:val="00BC18A1"/>
    <w:rsid w:val="00BC367E"/>
    <w:rsid w:val="00BC5DB3"/>
    <w:rsid w:val="00BC6121"/>
    <w:rsid w:val="00BD183F"/>
    <w:rsid w:val="00BD2DDF"/>
    <w:rsid w:val="00BD3D26"/>
    <w:rsid w:val="00BD4818"/>
    <w:rsid w:val="00BD4932"/>
    <w:rsid w:val="00BD4CAC"/>
    <w:rsid w:val="00BD534E"/>
    <w:rsid w:val="00BD6B0D"/>
    <w:rsid w:val="00BE0629"/>
    <w:rsid w:val="00BE1413"/>
    <w:rsid w:val="00BE2DC0"/>
    <w:rsid w:val="00BE599F"/>
    <w:rsid w:val="00BE5EB0"/>
    <w:rsid w:val="00BE6A6D"/>
    <w:rsid w:val="00BF35BC"/>
    <w:rsid w:val="00BF3DC8"/>
    <w:rsid w:val="00BF3F9E"/>
    <w:rsid w:val="00BF43D9"/>
    <w:rsid w:val="00BF5C20"/>
    <w:rsid w:val="00BF70D9"/>
    <w:rsid w:val="00BF7A5F"/>
    <w:rsid w:val="00C00118"/>
    <w:rsid w:val="00C02D0C"/>
    <w:rsid w:val="00C0511E"/>
    <w:rsid w:val="00C05B1B"/>
    <w:rsid w:val="00C0723E"/>
    <w:rsid w:val="00C07338"/>
    <w:rsid w:val="00C107E7"/>
    <w:rsid w:val="00C11986"/>
    <w:rsid w:val="00C11C7B"/>
    <w:rsid w:val="00C11E6A"/>
    <w:rsid w:val="00C1214A"/>
    <w:rsid w:val="00C12ED1"/>
    <w:rsid w:val="00C13CC2"/>
    <w:rsid w:val="00C16397"/>
    <w:rsid w:val="00C16B6D"/>
    <w:rsid w:val="00C1727E"/>
    <w:rsid w:val="00C1733C"/>
    <w:rsid w:val="00C20E11"/>
    <w:rsid w:val="00C21DB3"/>
    <w:rsid w:val="00C223F7"/>
    <w:rsid w:val="00C22A52"/>
    <w:rsid w:val="00C2322C"/>
    <w:rsid w:val="00C23700"/>
    <w:rsid w:val="00C24CAC"/>
    <w:rsid w:val="00C24CCC"/>
    <w:rsid w:val="00C25536"/>
    <w:rsid w:val="00C27431"/>
    <w:rsid w:val="00C30936"/>
    <w:rsid w:val="00C32C0A"/>
    <w:rsid w:val="00C36A0C"/>
    <w:rsid w:val="00C37E50"/>
    <w:rsid w:val="00C40F28"/>
    <w:rsid w:val="00C41721"/>
    <w:rsid w:val="00C41E95"/>
    <w:rsid w:val="00C41F45"/>
    <w:rsid w:val="00C42255"/>
    <w:rsid w:val="00C4313D"/>
    <w:rsid w:val="00C43568"/>
    <w:rsid w:val="00C43981"/>
    <w:rsid w:val="00C50E9E"/>
    <w:rsid w:val="00C52EF4"/>
    <w:rsid w:val="00C53EFE"/>
    <w:rsid w:val="00C543F3"/>
    <w:rsid w:val="00C5521B"/>
    <w:rsid w:val="00C57E21"/>
    <w:rsid w:val="00C60122"/>
    <w:rsid w:val="00C6305E"/>
    <w:rsid w:val="00C644DF"/>
    <w:rsid w:val="00C646CC"/>
    <w:rsid w:val="00C652AA"/>
    <w:rsid w:val="00C655D4"/>
    <w:rsid w:val="00C71F95"/>
    <w:rsid w:val="00C728C0"/>
    <w:rsid w:val="00C74381"/>
    <w:rsid w:val="00C7559F"/>
    <w:rsid w:val="00C75C18"/>
    <w:rsid w:val="00C8150F"/>
    <w:rsid w:val="00C81BB0"/>
    <w:rsid w:val="00C82000"/>
    <w:rsid w:val="00C835BE"/>
    <w:rsid w:val="00C83C1E"/>
    <w:rsid w:val="00C840F5"/>
    <w:rsid w:val="00C843B2"/>
    <w:rsid w:val="00C85274"/>
    <w:rsid w:val="00C852E8"/>
    <w:rsid w:val="00C8558F"/>
    <w:rsid w:val="00C86425"/>
    <w:rsid w:val="00C90A16"/>
    <w:rsid w:val="00C91A0E"/>
    <w:rsid w:val="00C9276E"/>
    <w:rsid w:val="00C94299"/>
    <w:rsid w:val="00C94A82"/>
    <w:rsid w:val="00C95964"/>
    <w:rsid w:val="00C95E75"/>
    <w:rsid w:val="00C971B4"/>
    <w:rsid w:val="00C97210"/>
    <w:rsid w:val="00CA11CF"/>
    <w:rsid w:val="00CA2812"/>
    <w:rsid w:val="00CA361A"/>
    <w:rsid w:val="00CA455C"/>
    <w:rsid w:val="00CA48E2"/>
    <w:rsid w:val="00CA7487"/>
    <w:rsid w:val="00CB09EC"/>
    <w:rsid w:val="00CB10B1"/>
    <w:rsid w:val="00CB11A9"/>
    <w:rsid w:val="00CB19E1"/>
    <w:rsid w:val="00CB1AC2"/>
    <w:rsid w:val="00CB20F3"/>
    <w:rsid w:val="00CB2653"/>
    <w:rsid w:val="00CB40E0"/>
    <w:rsid w:val="00CB5008"/>
    <w:rsid w:val="00CB5741"/>
    <w:rsid w:val="00CB5E87"/>
    <w:rsid w:val="00CB721A"/>
    <w:rsid w:val="00CB78ED"/>
    <w:rsid w:val="00CC0EA5"/>
    <w:rsid w:val="00CC2307"/>
    <w:rsid w:val="00CC276D"/>
    <w:rsid w:val="00CC428B"/>
    <w:rsid w:val="00CC51B9"/>
    <w:rsid w:val="00CC5D36"/>
    <w:rsid w:val="00CC7566"/>
    <w:rsid w:val="00CD1448"/>
    <w:rsid w:val="00CD217A"/>
    <w:rsid w:val="00CD3B3D"/>
    <w:rsid w:val="00CD571A"/>
    <w:rsid w:val="00CD608A"/>
    <w:rsid w:val="00CD677E"/>
    <w:rsid w:val="00CD6A1F"/>
    <w:rsid w:val="00CE3E7B"/>
    <w:rsid w:val="00CE40B3"/>
    <w:rsid w:val="00CE4E5F"/>
    <w:rsid w:val="00CE52FD"/>
    <w:rsid w:val="00CE65E1"/>
    <w:rsid w:val="00CE74E2"/>
    <w:rsid w:val="00CF37B7"/>
    <w:rsid w:val="00CF519F"/>
    <w:rsid w:val="00CF6A58"/>
    <w:rsid w:val="00CF6C7D"/>
    <w:rsid w:val="00D0332A"/>
    <w:rsid w:val="00D039A1"/>
    <w:rsid w:val="00D03B24"/>
    <w:rsid w:val="00D04136"/>
    <w:rsid w:val="00D04A3D"/>
    <w:rsid w:val="00D04AC6"/>
    <w:rsid w:val="00D05C81"/>
    <w:rsid w:val="00D066D9"/>
    <w:rsid w:val="00D06908"/>
    <w:rsid w:val="00D07A05"/>
    <w:rsid w:val="00D116E6"/>
    <w:rsid w:val="00D129C3"/>
    <w:rsid w:val="00D135B5"/>
    <w:rsid w:val="00D160E3"/>
    <w:rsid w:val="00D16209"/>
    <w:rsid w:val="00D17C14"/>
    <w:rsid w:val="00D20478"/>
    <w:rsid w:val="00D206B0"/>
    <w:rsid w:val="00D2370F"/>
    <w:rsid w:val="00D23732"/>
    <w:rsid w:val="00D25B6D"/>
    <w:rsid w:val="00D25DFC"/>
    <w:rsid w:val="00D306B8"/>
    <w:rsid w:val="00D31ACB"/>
    <w:rsid w:val="00D32A9D"/>
    <w:rsid w:val="00D412DA"/>
    <w:rsid w:val="00D415B7"/>
    <w:rsid w:val="00D41D3E"/>
    <w:rsid w:val="00D426B5"/>
    <w:rsid w:val="00D42D6D"/>
    <w:rsid w:val="00D44DC2"/>
    <w:rsid w:val="00D45136"/>
    <w:rsid w:val="00D46123"/>
    <w:rsid w:val="00D466ED"/>
    <w:rsid w:val="00D52F97"/>
    <w:rsid w:val="00D55003"/>
    <w:rsid w:val="00D564E8"/>
    <w:rsid w:val="00D5659A"/>
    <w:rsid w:val="00D56BC3"/>
    <w:rsid w:val="00D5723C"/>
    <w:rsid w:val="00D574D1"/>
    <w:rsid w:val="00D57CA5"/>
    <w:rsid w:val="00D6136B"/>
    <w:rsid w:val="00D61BAC"/>
    <w:rsid w:val="00D63D17"/>
    <w:rsid w:val="00D65CE1"/>
    <w:rsid w:val="00D66722"/>
    <w:rsid w:val="00D67374"/>
    <w:rsid w:val="00D704C9"/>
    <w:rsid w:val="00D71CC1"/>
    <w:rsid w:val="00D72574"/>
    <w:rsid w:val="00D7440D"/>
    <w:rsid w:val="00D745DB"/>
    <w:rsid w:val="00D75C8A"/>
    <w:rsid w:val="00D77E2E"/>
    <w:rsid w:val="00D80130"/>
    <w:rsid w:val="00D82A26"/>
    <w:rsid w:val="00D82D1A"/>
    <w:rsid w:val="00D8369D"/>
    <w:rsid w:val="00D83933"/>
    <w:rsid w:val="00D85DF5"/>
    <w:rsid w:val="00D8695B"/>
    <w:rsid w:val="00D90CD9"/>
    <w:rsid w:val="00D91928"/>
    <w:rsid w:val="00D92ED7"/>
    <w:rsid w:val="00D95919"/>
    <w:rsid w:val="00D9757B"/>
    <w:rsid w:val="00DA0C96"/>
    <w:rsid w:val="00DA5306"/>
    <w:rsid w:val="00DA6581"/>
    <w:rsid w:val="00DB076F"/>
    <w:rsid w:val="00DB08EB"/>
    <w:rsid w:val="00DB1E2C"/>
    <w:rsid w:val="00DB23B8"/>
    <w:rsid w:val="00DB2C71"/>
    <w:rsid w:val="00DB390C"/>
    <w:rsid w:val="00DB6C61"/>
    <w:rsid w:val="00DB750D"/>
    <w:rsid w:val="00DB75E4"/>
    <w:rsid w:val="00DC4F1E"/>
    <w:rsid w:val="00DC55E8"/>
    <w:rsid w:val="00DC568B"/>
    <w:rsid w:val="00DC58F7"/>
    <w:rsid w:val="00DC5E78"/>
    <w:rsid w:val="00DC7A65"/>
    <w:rsid w:val="00DD1D1D"/>
    <w:rsid w:val="00DD26B2"/>
    <w:rsid w:val="00DD3109"/>
    <w:rsid w:val="00DD3AA4"/>
    <w:rsid w:val="00DD5D0A"/>
    <w:rsid w:val="00DD6B10"/>
    <w:rsid w:val="00DD6DA8"/>
    <w:rsid w:val="00DD766E"/>
    <w:rsid w:val="00DD7E62"/>
    <w:rsid w:val="00DE0332"/>
    <w:rsid w:val="00DE1D7A"/>
    <w:rsid w:val="00DE37B9"/>
    <w:rsid w:val="00DE3E00"/>
    <w:rsid w:val="00DE5BCC"/>
    <w:rsid w:val="00DE7680"/>
    <w:rsid w:val="00DF3457"/>
    <w:rsid w:val="00DF4187"/>
    <w:rsid w:val="00E040B8"/>
    <w:rsid w:val="00E0441D"/>
    <w:rsid w:val="00E04ABA"/>
    <w:rsid w:val="00E0557E"/>
    <w:rsid w:val="00E05FEB"/>
    <w:rsid w:val="00E06073"/>
    <w:rsid w:val="00E07B32"/>
    <w:rsid w:val="00E07C07"/>
    <w:rsid w:val="00E07D51"/>
    <w:rsid w:val="00E110E6"/>
    <w:rsid w:val="00E11705"/>
    <w:rsid w:val="00E13035"/>
    <w:rsid w:val="00E155E6"/>
    <w:rsid w:val="00E1560E"/>
    <w:rsid w:val="00E16D93"/>
    <w:rsid w:val="00E17521"/>
    <w:rsid w:val="00E17990"/>
    <w:rsid w:val="00E17DAE"/>
    <w:rsid w:val="00E230DC"/>
    <w:rsid w:val="00E2444B"/>
    <w:rsid w:val="00E25118"/>
    <w:rsid w:val="00E25BC6"/>
    <w:rsid w:val="00E26330"/>
    <w:rsid w:val="00E27891"/>
    <w:rsid w:val="00E27D5E"/>
    <w:rsid w:val="00E305CC"/>
    <w:rsid w:val="00E31BD0"/>
    <w:rsid w:val="00E4053A"/>
    <w:rsid w:val="00E406AD"/>
    <w:rsid w:val="00E4303B"/>
    <w:rsid w:val="00E433D5"/>
    <w:rsid w:val="00E43E5A"/>
    <w:rsid w:val="00E43E6B"/>
    <w:rsid w:val="00E45478"/>
    <w:rsid w:val="00E474D7"/>
    <w:rsid w:val="00E50D78"/>
    <w:rsid w:val="00E53694"/>
    <w:rsid w:val="00E53C24"/>
    <w:rsid w:val="00E54A07"/>
    <w:rsid w:val="00E560E7"/>
    <w:rsid w:val="00E60356"/>
    <w:rsid w:val="00E607D1"/>
    <w:rsid w:val="00E609F2"/>
    <w:rsid w:val="00E60AE1"/>
    <w:rsid w:val="00E62362"/>
    <w:rsid w:val="00E646F1"/>
    <w:rsid w:val="00E647D4"/>
    <w:rsid w:val="00E64F4E"/>
    <w:rsid w:val="00E65A6B"/>
    <w:rsid w:val="00E667F1"/>
    <w:rsid w:val="00E66E6A"/>
    <w:rsid w:val="00E67034"/>
    <w:rsid w:val="00E714D7"/>
    <w:rsid w:val="00E7166C"/>
    <w:rsid w:val="00E71D52"/>
    <w:rsid w:val="00E72A18"/>
    <w:rsid w:val="00E72E6B"/>
    <w:rsid w:val="00E74220"/>
    <w:rsid w:val="00E756AF"/>
    <w:rsid w:val="00E77C73"/>
    <w:rsid w:val="00E8026A"/>
    <w:rsid w:val="00E80EF6"/>
    <w:rsid w:val="00E82447"/>
    <w:rsid w:val="00E82772"/>
    <w:rsid w:val="00E82F2B"/>
    <w:rsid w:val="00E855DC"/>
    <w:rsid w:val="00E86789"/>
    <w:rsid w:val="00E93588"/>
    <w:rsid w:val="00E940BC"/>
    <w:rsid w:val="00E94764"/>
    <w:rsid w:val="00E94993"/>
    <w:rsid w:val="00E94BD4"/>
    <w:rsid w:val="00E96201"/>
    <w:rsid w:val="00E96C69"/>
    <w:rsid w:val="00EA0492"/>
    <w:rsid w:val="00EA0749"/>
    <w:rsid w:val="00EA0F7E"/>
    <w:rsid w:val="00EA1433"/>
    <w:rsid w:val="00EA3485"/>
    <w:rsid w:val="00EA3E1C"/>
    <w:rsid w:val="00EA6728"/>
    <w:rsid w:val="00EB0A61"/>
    <w:rsid w:val="00EB21C1"/>
    <w:rsid w:val="00EB23EC"/>
    <w:rsid w:val="00EB2B68"/>
    <w:rsid w:val="00EB2D2B"/>
    <w:rsid w:val="00EB3960"/>
    <w:rsid w:val="00EB3B9C"/>
    <w:rsid w:val="00EB5DA9"/>
    <w:rsid w:val="00EB7090"/>
    <w:rsid w:val="00EB7A46"/>
    <w:rsid w:val="00EC0483"/>
    <w:rsid w:val="00EC0929"/>
    <w:rsid w:val="00EC0FA9"/>
    <w:rsid w:val="00EC23D1"/>
    <w:rsid w:val="00EC4E65"/>
    <w:rsid w:val="00EC5507"/>
    <w:rsid w:val="00EC60DE"/>
    <w:rsid w:val="00EC6195"/>
    <w:rsid w:val="00EC687C"/>
    <w:rsid w:val="00ED2B13"/>
    <w:rsid w:val="00ED60B1"/>
    <w:rsid w:val="00ED78D6"/>
    <w:rsid w:val="00ED7FEA"/>
    <w:rsid w:val="00EE0F9D"/>
    <w:rsid w:val="00EE1128"/>
    <w:rsid w:val="00EE3A63"/>
    <w:rsid w:val="00EE3CC6"/>
    <w:rsid w:val="00EE4AF3"/>
    <w:rsid w:val="00EE5501"/>
    <w:rsid w:val="00EE5CDC"/>
    <w:rsid w:val="00EE5D92"/>
    <w:rsid w:val="00EE5E31"/>
    <w:rsid w:val="00EE60EC"/>
    <w:rsid w:val="00EE62A7"/>
    <w:rsid w:val="00EE65F3"/>
    <w:rsid w:val="00EE6EDD"/>
    <w:rsid w:val="00EF1867"/>
    <w:rsid w:val="00EF1C88"/>
    <w:rsid w:val="00EF3361"/>
    <w:rsid w:val="00EF36B7"/>
    <w:rsid w:val="00EF5E8D"/>
    <w:rsid w:val="00EF695F"/>
    <w:rsid w:val="00F013A3"/>
    <w:rsid w:val="00F018B9"/>
    <w:rsid w:val="00F01966"/>
    <w:rsid w:val="00F02E3F"/>
    <w:rsid w:val="00F02E9A"/>
    <w:rsid w:val="00F04294"/>
    <w:rsid w:val="00F047B7"/>
    <w:rsid w:val="00F0754A"/>
    <w:rsid w:val="00F0782D"/>
    <w:rsid w:val="00F07913"/>
    <w:rsid w:val="00F10045"/>
    <w:rsid w:val="00F10514"/>
    <w:rsid w:val="00F1156C"/>
    <w:rsid w:val="00F11DBD"/>
    <w:rsid w:val="00F13A6E"/>
    <w:rsid w:val="00F13D48"/>
    <w:rsid w:val="00F13F65"/>
    <w:rsid w:val="00F146EC"/>
    <w:rsid w:val="00F14BFE"/>
    <w:rsid w:val="00F15B93"/>
    <w:rsid w:val="00F15B96"/>
    <w:rsid w:val="00F15E88"/>
    <w:rsid w:val="00F1625B"/>
    <w:rsid w:val="00F16526"/>
    <w:rsid w:val="00F17945"/>
    <w:rsid w:val="00F22900"/>
    <w:rsid w:val="00F23E67"/>
    <w:rsid w:val="00F255CA"/>
    <w:rsid w:val="00F26B3A"/>
    <w:rsid w:val="00F26DDE"/>
    <w:rsid w:val="00F32A74"/>
    <w:rsid w:val="00F32E54"/>
    <w:rsid w:val="00F33264"/>
    <w:rsid w:val="00F33B5B"/>
    <w:rsid w:val="00F35C76"/>
    <w:rsid w:val="00F4005E"/>
    <w:rsid w:val="00F40630"/>
    <w:rsid w:val="00F40655"/>
    <w:rsid w:val="00F510F8"/>
    <w:rsid w:val="00F53A26"/>
    <w:rsid w:val="00F53BE1"/>
    <w:rsid w:val="00F54D6D"/>
    <w:rsid w:val="00F554A5"/>
    <w:rsid w:val="00F55B13"/>
    <w:rsid w:val="00F573E6"/>
    <w:rsid w:val="00F6131C"/>
    <w:rsid w:val="00F61D75"/>
    <w:rsid w:val="00F6220F"/>
    <w:rsid w:val="00F63983"/>
    <w:rsid w:val="00F63CDC"/>
    <w:rsid w:val="00F63D8D"/>
    <w:rsid w:val="00F64100"/>
    <w:rsid w:val="00F66DD3"/>
    <w:rsid w:val="00F67B56"/>
    <w:rsid w:val="00F67D06"/>
    <w:rsid w:val="00F706B2"/>
    <w:rsid w:val="00F70B7D"/>
    <w:rsid w:val="00F73E65"/>
    <w:rsid w:val="00F7485F"/>
    <w:rsid w:val="00F74D01"/>
    <w:rsid w:val="00F75A5E"/>
    <w:rsid w:val="00F75ED0"/>
    <w:rsid w:val="00F75FAF"/>
    <w:rsid w:val="00F77471"/>
    <w:rsid w:val="00F77972"/>
    <w:rsid w:val="00F81812"/>
    <w:rsid w:val="00F81C07"/>
    <w:rsid w:val="00F829AC"/>
    <w:rsid w:val="00F82FB1"/>
    <w:rsid w:val="00F83643"/>
    <w:rsid w:val="00F84B12"/>
    <w:rsid w:val="00F8647E"/>
    <w:rsid w:val="00F86484"/>
    <w:rsid w:val="00F912C8"/>
    <w:rsid w:val="00F92A4F"/>
    <w:rsid w:val="00F94D06"/>
    <w:rsid w:val="00F95036"/>
    <w:rsid w:val="00F959AE"/>
    <w:rsid w:val="00F95B2C"/>
    <w:rsid w:val="00F96FA2"/>
    <w:rsid w:val="00FA15EB"/>
    <w:rsid w:val="00FA1CF6"/>
    <w:rsid w:val="00FA26E2"/>
    <w:rsid w:val="00FA2D14"/>
    <w:rsid w:val="00FA3206"/>
    <w:rsid w:val="00FA570B"/>
    <w:rsid w:val="00FA6A26"/>
    <w:rsid w:val="00FB1F5E"/>
    <w:rsid w:val="00FB3183"/>
    <w:rsid w:val="00FB34B2"/>
    <w:rsid w:val="00FB5797"/>
    <w:rsid w:val="00FB64C2"/>
    <w:rsid w:val="00FB734A"/>
    <w:rsid w:val="00FC006A"/>
    <w:rsid w:val="00FC0AB1"/>
    <w:rsid w:val="00FC5C8E"/>
    <w:rsid w:val="00FC6187"/>
    <w:rsid w:val="00FC72B2"/>
    <w:rsid w:val="00FC7339"/>
    <w:rsid w:val="00FC748E"/>
    <w:rsid w:val="00FD208E"/>
    <w:rsid w:val="00FD4A85"/>
    <w:rsid w:val="00FD7543"/>
    <w:rsid w:val="00FE1836"/>
    <w:rsid w:val="00FE1C72"/>
    <w:rsid w:val="00FE2A3F"/>
    <w:rsid w:val="00FE3A7B"/>
    <w:rsid w:val="00FE6089"/>
    <w:rsid w:val="00FE6CB6"/>
    <w:rsid w:val="00FE72D4"/>
    <w:rsid w:val="00FF0864"/>
    <w:rsid w:val="00FF0BA4"/>
    <w:rsid w:val="00FF10C6"/>
    <w:rsid w:val="00FF2244"/>
    <w:rsid w:val="00FF26C0"/>
    <w:rsid w:val="00FF3323"/>
    <w:rsid w:val="00FF346A"/>
    <w:rsid w:val="00FF4033"/>
    <w:rsid w:val="00FF58FD"/>
    <w:rsid w:val="00FF5ED0"/>
    <w:rsid w:val="00FF6E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9D321"/>
  <w14:defaultImageDpi w14:val="96"/>
  <w15:docId w15:val="{134E74EA-26B8-4376-AA53-68D96026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90"/>
    <w:pPr>
      <w:ind w:left="720"/>
      <w:contextualSpacing/>
    </w:pPr>
  </w:style>
  <w:style w:type="paragraph" w:styleId="FootnoteText">
    <w:name w:val="footnote text"/>
    <w:basedOn w:val="Normal"/>
    <w:link w:val="FootnoteTextChar"/>
    <w:uiPriority w:val="99"/>
    <w:semiHidden/>
    <w:unhideWhenUsed/>
    <w:rsid w:val="00DC4F1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C4F1E"/>
    <w:rPr>
      <w:rFonts w:cs="Times New Roman"/>
      <w:sz w:val="20"/>
      <w:szCs w:val="20"/>
    </w:rPr>
  </w:style>
  <w:style w:type="character" w:styleId="FootnoteReference">
    <w:name w:val="footnote reference"/>
    <w:basedOn w:val="DefaultParagraphFont"/>
    <w:uiPriority w:val="99"/>
    <w:semiHidden/>
    <w:unhideWhenUsed/>
    <w:rsid w:val="00DC4F1E"/>
    <w:rPr>
      <w:rFonts w:cs="Times New Roman"/>
      <w:vertAlign w:val="superscript"/>
    </w:rPr>
  </w:style>
  <w:style w:type="paragraph" w:styleId="Header">
    <w:name w:val="header"/>
    <w:basedOn w:val="Normal"/>
    <w:link w:val="HeaderChar"/>
    <w:uiPriority w:val="99"/>
    <w:unhideWhenUsed/>
    <w:rsid w:val="0002463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2463E"/>
    <w:rPr>
      <w:rFonts w:cs="Times New Roman"/>
    </w:rPr>
  </w:style>
  <w:style w:type="paragraph" w:styleId="Footer">
    <w:name w:val="footer"/>
    <w:basedOn w:val="Normal"/>
    <w:link w:val="FooterChar"/>
    <w:uiPriority w:val="99"/>
    <w:unhideWhenUsed/>
    <w:rsid w:val="000246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2463E"/>
    <w:rPr>
      <w:rFonts w:cs="Times New Roman"/>
    </w:rPr>
  </w:style>
  <w:style w:type="paragraph" w:styleId="NormalWeb">
    <w:name w:val="Normal (Web)"/>
    <w:basedOn w:val="Normal"/>
    <w:uiPriority w:val="99"/>
    <w:unhideWhenUsed/>
    <w:rsid w:val="00097CE5"/>
    <w:pPr>
      <w:spacing w:before="100" w:beforeAutospacing="1" w:after="100" w:afterAutospacing="1" w:line="240" w:lineRule="auto"/>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669783">
      <w:bodyDiv w:val="1"/>
      <w:marLeft w:val="0"/>
      <w:marRight w:val="0"/>
      <w:marTop w:val="0"/>
      <w:marBottom w:val="0"/>
      <w:divBdr>
        <w:top w:val="none" w:sz="0" w:space="0" w:color="auto"/>
        <w:left w:val="none" w:sz="0" w:space="0" w:color="auto"/>
        <w:bottom w:val="none" w:sz="0" w:space="0" w:color="auto"/>
        <w:right w:val="none" w:sz="0" w:space="0" w:color="auto"/>
      </w:divBdr>
    </w:div>
    <w:div w:id="1584992028">
      <w:bodyDiv w:val="1"/>
      <w:marLeft w:val="0"/>
      <w:marRight w:val="0"/>
      <w:marTop w:val="0"/>
      <w:marBottom w:val="0"/>
      <w:divBdr>
        <w:top w:val="none" w:sz="0" w:space="0" w:color="auto"/>
        <w:left w:val="none" w:sz="0" w:space="0" w:color="auto"/>
        <w:bottom w:val="none" w:sz="0" w:space="0" w:color="auto"/>
        <w:right w:val="none" w:sz="0" w:space="0" w:color="auto"/>
      </w:divBdr>
    </w:div>
    <w:div w:id="17534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C03E7BB4DEA401C8A0A27834F6776F5"/>
        <w:category>
          <w:name w:val="General"/>
          <w:gallery w:val="placeholder"/>
        </w:category>
        <w:types>
          <w:type w:val="bbPlcHdr"/>
        </w:types>
        <w:behaviors>
          <w:behavior w:val="content"/>
        </w:behaviors>
        <w:guid w:val="{DCE876CE-255E-458D-9909-6950A004E009}"/>
      </w:docPartPr>
      <w:docPartBody>
        <w:p w:rsidR="00CB7B17" w:rsidRDefault="00CB7B17" w:rsidP="00CB7B17">
          <w:pPr>
            <w:pStyle w:val="EC03E7BB4DEA401C8A0A27834F6776F5"/>
          </w:pPr>
          <w:r w:rsidRPr="00284A2F">
            <w:rPr>
              <w:rStyle w:val="PlaceholderText"/>
            </w:rPr>
            <w:t>Click or tap to enter a date.</w:t>
          </w:r>
        </w:p>
      </w:docPartBody>
    </w:docPart>
    <w:docPart>
      <w:docPartPr>
        <w:name w:val="A3B4CA4925C44157AB58FED905736E9A"/>
        <w:category>
          <w:name w:val="General"/>
          <w:gallery w:val="placeholder"/>
        </w:category>
        <w:types>
          <w:type w:val="bbPlcHdr"/>
        </w:types>
        <w:behaviors>
          <w:behavior w:val="content"/>
        </w:behaviors>
        <w:guid w:val="{64AFFFC7-707F-4A55-BE41-9505E8207804}"/>
      </w:docPartPr>
      <w:docPartBody>
        <w:p w:rsidR="00CB7B17" w:rsidRDefault="00CB7B17" w:rsidP="00CB7B17">
          <w:pPr>
            <w:pStyle w:val="A3B4CA4925C44157AB58FED905736E9A"/>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17"/>
    <w:rsid w:val="00325B6C"/>
    <w:rsid w:val="00524D08"/>
    <w:rsid w:val="006409C9"/>
    <w:rsid w:val="0097122C"/>
    <w:rsid w:val="00CB7B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ZA" w:eastAsia="en-Z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B17"/>
    <w:rPr>
      <w:color w:val="808080"/>
    </w:rPr>
  </w:style>
  <w:style w:type="paragraph" w:customStyle="1" w:styleId="EC03E7BB4DEA401C8A0A27834F6776F5">
    <w:name w:val="EC03E7BB4DEA401C8A0A27834F6776F5"/>
    <w:rsid w:val="00CB7B17"/>
  </w:style>
  <w:style w:type="paragraph" w:customStyle="1" w:styleId="A3B4CA4925C44157AB58FED905736E9A">
    <w:name w:val="A3B4CA4925C44157AB58FED905736E9A"/>
    <w:rsid w:val="00CB7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D14A4079E0E54C9BE464135731BF7B" ma:contentTypeVersion="9" ma:contentTypeDescription="Create a new document." ma:contentTypeScope="" ma:versionID="a573277a71cbde5c4313c5a20a1c440e">
  <xsd:schema xmlns:xsd="http://www.w3.org/2001/XMLSchema" xmlns:xs="http://www.w3.org/2001/XMLSchema" xmlns:p="http://schemas.microsoft.com/office/2006/metadata/properties" xmlns:ns3="3121e5c4-c710-4ea0-984e-5856282c6ef3" xmlns:ns4="083b89ff-5901-4cfb-b15d-920a51985227" targetNamespace="http://schemas.microsoft.com/office/2006/metadata/properties" ma:root="true" ma:fieldsID="64379836a0c1a27e0345ed8b8934f67c" ns3:_="" ns4:_="">
    <xsd:import namespace="3121e5c4-c710-4ea0-984e-5856282c6ef3"/>
    <xsd:import namespace="083b89ff-5901-4cfb-b15d-920a519852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e5c4-c710-4ea0-984e-5856282c6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3b89ff-5901-4cfb-b15d-920a519852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0FFDA-7E3A-400D-BC87-E40110BA8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376BE9-12DA-4D4F-94BD-7DD6844B3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e5c4-c710-4ea0-984e-5856282c6ef3"/>
    <ds:schemaRef ds:uri="083b89ff-5901-4cfb-b15d-920a51985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B7C6A-5D2E-4AC5-8146-A8DD8F7BC954}">
  <ds:schemaRefs>
    <ds:schemaRef ds:uri="http://schemas.microsoft.com/sharepoint/v3/contenttype/forms"/>
  </ds:schemaRefs>
</ds:datastoreItem>
</file>

<file path=customXml/itemProps4.xml><?xml version="1.0" encoding="utf-8"?>
<ds:datastoreItem xmlns:ds="http://schemas.openxmlformats.org/officeDocument/2006/customXml" ds:itemID="{5848EB74-DA41-4CFF-BA31-A4DCC3DE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sathish sarshan  mohan</cp:lastModifiedBy>
  <cp:revision>3</cp:revision>
  <cp:lastPrinted>2024-06-03T13:55:00Z</cp:lastPrinted>
  <dcterms:created xsi:type="dcterms:W3CDTF">2024-06-05T06:59:00Z</dcterms:created>
  <dcterms:modified xsi:type="dcterms:W3CDTF">2024-06-06T11:19:00Z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0x01010003D14A4079E0E54C9BE464135731BF7B</vt:lpwstr>
  </property>
  <property fmtid="{D5CDD505-2E9C-101B-9397-08002B2CF9AE}" pid="3" name="GrammarlyDocumentId">
    <vt:lpwstr>739797c110c4609187dca838f3e0ff74adc3ac63bd4f03453d003e5032755cb2</vt:lpwstr>
  </property>
</Properties>
</file>