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981421" w14:textId="2BF547F9" w:rsidR="006C43D7" w:rsidRPr="008E2A22" w:rsidRDefault="00AD3D5D" w:rsidP="006F0330">
      <w:pPr>
        <w:spacing w:after="120" w:line="360" w:lineRule="auto"/>
        <w:jc w:val="center"/>
        <w:rPr>
          <w:rFonts w:cs="Arial"/>
          <w:b/>
          <w:bCs/>
          <w:sz w:val="21"/>
          <w:szCs w:val="21"/>
        </w:rPr>
      </w:pPr>
      <w:r w:rsidRPr="008E2A22">
        <w:rPr>
          <w:rFonts w:cs="Arial"/>
          <w:b/>
          <w:bCs/>
          <w:sz w:val="21"/>
          <w:szCs w:val="21"/>
        </w:rPr>
        <w:t xml:space="preserve"> </w:t>
      </w:r>
      <w:r w:rsidR="006C43D7" w:rsidRPr="008E2A22">
        <w:rPr>
          <w:rFonts w:cs="Arial"/>
          <w:b/>
          <w:bCs/>
          <w:noProof/>
          <w:sz w:val="21"/>
          <w:szCs w:val="21"/>
          <w:lang w:eastAsia="en-ZA"/>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8E2A22" w:rsidRDefault="006C43D7" w:rsidP="00C74E97">
      <w:pPr>
        <w:spacing w:line="360" w:lineRule="auto"/>
        <w:jc w:val="center"/>
        <w:rPr>
          <w:rFonts w:cs="Arial"/>
          <w:b/>
          <w:sz w:val="21"/>
          <w:szCs w:val="21"/>
        </w:rPr>
      </w:pPr>
      <w:r w:rsidRPr="008E2A22">
        <w:rPr>
          <w:rFonts w:cs="Arial"/>
          <w:b/>
          <w:sz w:val="21"/>
          <w:szCs w:val="21"/>
        </w:rPr>
        <w:t xml:space="preserve">IN THE HIGH COURT OF SOUTH AFRICA, </w:t>
      </w:r>
    </w:p>
    <w:p w14:paraId="566C4D1B" w14:textId="77777777" w:rsidR="006C43D7" w:rsidRPr="008E2A22" w:rsidRDefault="006C43D7" w:rsidP="00C74E97">
      <w:pPr>
        <w:spacing w:line="360" w:lineRule="auto"/>
        <w:jc w:val="center"/>
        <w:rPr>
          <w:rFonts w:cs="Arial"/>
          <w:b/>
          <w:sz w:val="21"/>
          <w:szCs w:val="21"/>
        </w:rPr>
      </w:pPr>
      <w:r w:rsidRPr="008E2A22">
        <w:rPr>
          <w:rFonts w:cs="Arial"/>
          <w:b/>
          <w:sz w:val="21"/>
          <w:szCs w:val="21"/>
        </w:rPr>
        <w:t>GAUTENG DIVISION, JOHANNESBURG</w:t>
      </w:r>
    </w:p>
    <w:p w14:paraId="13D6E83E" w14:textId="77777777" w:rsidR="006C43D7" w:rsidRPr="008E2A22" w:rsidRDefault="006C43D7" w:rsidP="00C74E97">
      <w:pPr>
        <w:spacing w:line="360" w:lineRule="auto"/>
        <w:jc w:val="both"/>
        <w:rPr>
          <w:rFonts w:cs="Arial"/>
          <w:b/>
          <w:sz w:val="21"/>
          <w:szCs w:val="21"/>
        </w:rPr>
      </w:pPr>
    </w:p>
    <w:p w14:paraId="0AF8DD38" w14:textId="12F2D791" w:rsidR="006C43D7" w:rsidRPr="008E2A22" w:rsidRDefault="00F913C7" w:rsidP="00C74E97">
      <w:pPr>
        <w:spacing w:line="360" w:lineRule="auto"/>
        <w:jc w:val="right"/>
        <w:rPr>
          <w:rFonts w:cs="Arial"/>
          <w:b/>
          <w:sz w:val="21"/>
          <w:szCs w:val="21"/>
        </w:rPr>
      </w:pPr>
      <w:r w:rsidRPr="008E2A22">
        <w:rPr>
          <w:rFonts w:cs="Arial"/>
          <w:b/>
          <w:sz w:val="21"/>
          <w:szCs w:val="21"/>
        </w:rPr>
        <w:t xml:space="preserve">CASE NO: </w:t>
      </w:r>
      <w:r w:rsidR="00AF3E40">
        <w:rPr>
          <w:noProof/>
          <w:sz w:val="21"/>
          <w:szCs w:val="21"/>
          <w:lang w:eastAsia="en-ZA"/>
        </w:rPr>
        <mc:AlternateContent>
          <mc:Choice Requires="wps">
            <w:drawing>
              <wp:anchor distT="0" distB="0" distL="114300" distR="114300" simplePos="0" relativeHeight="251659264" behindDoc="0" locked="0" layoutInCell="1" allowOverlap="1" wp14:anchorId="2491E7FC" wp14:editId="117D675B">
                <wp:simplePos x="0" y="0"/>
                <wp:positionH relativeFrom="margin">
                  <wp:align>left</wp:align>
                </wp:positionH>
                <wp:positionV relativeFrom="paragraph">
                  <wp:posOffset>49530</wp:posOffset>
                </wp:positionV>
                <wp:extent cx="3314700" cy="1592580"/>
                <wp:effectExtent l="0" t="0" r="0" b="7620"/>
                <wp:wrapNone/>
                <wp:docPr id="93978004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580"/>
                        </a:xfrm>
                        <a:prstGeom prst="rect">
                          <a:avLst/>
                        </a:prstGeom>
                        <a:solidFill>
                          <a:srgbClr val="FFFFFF"/>
                        </a:solidFill>
                        <a:ln w="9525">
                          <a:solidFill>
                            <a:srgbClr val="000000"/>
                          </a:solidFill>
                          <a:miter lim="800000"/>
                          <a:headEnd/>
                          <a:tailEnd/>
                        </a:ln>
                      </wps:spPr>
                      <wps:txbx>
                        <w:txbxContent>
                          <w:p w14:paraId="0EA4B470" w14:textId="77777777" w:rsidR="00893C08" w:rsidRPr="008E2A22" w:rsidRDefault="00893C08" w:rsidP="006C43D7">
                            <w:pPr>
                              <w:jc w:val="center"/>
                              <w:rPr>
                                <w:rFonts w:ascii="Century Gothic" w:hAnsi="Century Gothic"/>
                                <w:b/>
                                <w:sz w:val="19"/>
                                <w:szCs w:val="19"/>
                              </w:rPr>
                            </w:pPr>
                          </w:p>
                          <w:p w14:paraId="01FDAE28" w14:textId="46FABCFA" w:rsidR="00893C08" w:rsidRPr="008E2A22" w:rsidRDefault="00D20A1A" w:rsidP="00D20A1A">
                            <w:pPr>
                              <w:tabs>
                                <w:tab w:val="left" w:pos="900"/>
                              </w:tabs>
                              <w:ind w:left="900" w:hanging="720"/>
                              <w:rPr>
                                <w:rFonts w:ascii="Century Gothic" w:hAnsi="Century Gothic"/>
                                <w:sz w:val="19"/>
                                <w:szCs w:val="19"/>
                              </w:rPr>
                            </w:pPr>
                            <w:r w:rsidRPr="008E2A22">
                              <w:rPr>
                                <w:rFonts w:ascii="Century Gothic" w:hAnsi="Century Gothic"/>
                                <w:sz w:val="19"/>
                                <w:szCs w:val="19"/>
                              </w:rPr>
                              <w:t>(1)</w:t>
                            </w:r>
                            <w:r w:rsidRPr="008E2A22">
                              <w:rPr>
                                <w:rFonts w:ascii="Century Gothic" w:hAnsi="Century Gothic"/>
                                <w:sz w:val="19"/>
                                <w:szCs w:val="19"/>
                              </w:rPr>
                              <w:tab/>
                            </w:r>
                            <w:r w:rsidR="00893C08" w:rsidRPr="008E2A22">
                              <w:rPr>
                                <w:rFonts w:ascii="Century Gothic" w:hAnsi="Century Gothic"/>
                                <w:sz w:val="19"/>
                                <w:szCs w:val="19"/>
                              </w:rPr>
                              <w:t xml:space="preserve">REPORTABLE: </w:t>
                            </w:r>
                            <w:r w:rsidR="004F5D23" w:rsidRPr="008E2A22">
                              <w:rPr>
                                <w:rFonts w:ascii="Century Gothic" w:hAnsi="Century Gothic"/>
                                <w:sz w:val="19"/>
                                <w:szCs w:val="19"/>
                              </w:rPr>
                              <w:t>NO</w:t>
                            </w:r>
                          </w:p>
                          <w:p w14:paraId="3A4C7296" w14:textId="4A47FE7C" w:rsidR="00893C08" w:rsidRPr="008E2A22" w:rsidRDefault="00D20A1A" w:rsidP="00D20A1A">
                            <w:pPr>
                              <w:tabs>
                                <w:tab w:val="left" w:pos="900"/>
                              </w:tabs>
                              <w:ind w:left="900" w:hanging="720"/>
                              <w:rPr>
                                <w:rFonts w:ascii="Century Gothic" w:hAnsi="Century Gothic"/>
                                <w:sz w:val="19"/>
                                <w:szCs w:val="19"/>
                              </w:rPr>
                            </w:pPr>
                            <w:r w:rsidRPr="008E2A22">
                              <w:rPr>
                                <w:rFonts w:ascii="Century Gothic" w:hAnsi="Century Gothic"/>
                                <w:sz w:val="19"/>
                                <w:szCs w:val="19"/>
                              </w:rPr>
                              <w:t>(2)</w:t>
                            </w:r>
                            <w:r w:rsidRPr="008E2A22">
                              <w:rPr>
                                <w:rFonts w:ascii="Century Gothic" w:hAnsi="Century Gothic"/>
                                <w:sz w:val="19"/>
                                <w:szCs w:val="19"/>
                              </w:rPr>
                              <w:tab/>
                            </w:r>
                            <w:r w:rsidR="00893C08" w:rsidRPr="008E2A22">
                              <w:rPr>
                                <w:rFonts w:ascii="Century Gothic" w:hAnsi="Century Gothic"/>
                                <w:sz w:val="19"/>
                                <w:szCs w:val="19"/>
                              </w:rPr>
                              <w:t xml:space="preserve">OF INTEREST TO OTHER JUDGES: </w:t>
                            </w:r>
                            <w:r w:rsidR="00F913C7" w:rsidRPr="008E2A22">
                              <w:rPr>
                                <w:rFonts w:ascii="Century Gothic" w:hAnsi="Century Gothic"/>
                                <w:sz w:val="19"/>
                                <w:szCs w:val="19"/>
                              </w:rPr>
                              <w:t>NO</w:t>
                            </w:r>
                          </w:p>
                          <w:p w14:paraId="1545E4B8" w14:textId="74255A93" w:rsidR="00CA0F98" w:rsidRPr="008E2A22" w:rsidRDefault="00CA0F98" w:rsidP="004479C3">
                            <w:pPr>
                              <w:rPr>
                                <w:rFonts w:ascii="Century Gothic" w:hAnsi="Century Gothic"/>
                                <w:sz w:val="19"/>
                                <w:szCs w:val="19"/>
                              </w:rPr>
                            </w:pPr>
                          </w:p>
                          <w:p w14:paraId="21D4A71B" w14:textId="5B58BFC8" w:rsidR="00893C08" w:rsidRPr="008E2A22" w:rsidRDefault="00893C08" w:rsidP="001D3CC2">
                            <w:pPr>
                              <w:ind w:left="180"/>
                              <w:rPr>
                                <w:rFonts w:ascii="Century Gothic" w:hAnsi="Century Gothic"/>
                                <w:sz w:val="19"/>
                                <w:szCs w:val="19"/>
                              </w:rPr>
                            </w:pPr>
                          </w:p>
                          <w:p w14:paraId="761B7CA4" w14:textId="77777777" w:rsidR="00893C08" w:rsidRPr="008E2A22" w:rsidRDefault="00893C08" w:rsidP="006C43D7">
                            <w:pPr>
                              <w:rPr>
                                <w:rFonts w:ascii="Century Gothic" w:hAnsi="Century Gothic"/>
                                <w:b/>
                                <w:sz w:val="17"/>
                                <w:szCs w:val="17"/>
                              </w:rPr>
                            </w:pPr>
                          </w:p>
                          <w:p w14:paraId="0EC4BA5C" w14:textId="61945B0D" w:rsidR="00893C08" w:rsidRPr="008E2A22" w:rsidRDefault="00893C08" w:rsidP="001D3CC2">
                            <w:pPr>
                              <w:keepNext/>
                              <w:tabs>
                                <w:tab w:val="right" w:pos="0"/>
                              </w:tabs>
                              <w:contextualSpacing/>
                              <w:jc w:val="center"/>
                              <w:rPr>
                                <w:rFonts w:cs="Arial"/>
                                <w:sz w:val="31"/>
                                <w:szCs w:val="31"/>
                              </w:rPr>
                            </w:pPr>
                            <w:r w:rsidRPr="008E2A22">
                              <w:rPr>
                                <w:rFonts w:ascii="Century Gothic" w:hAnsi="Century Gothic"/>
                                <w:b/>
                                <w:sz w:val="17"/>
                                <w:szCs w:val="17"/>
                              </w:rPr>
                              <w:t xml:space="preserve">                        </w:t>
                            </w:r>
                            <w:r w:rsidRPr="008E2A22">
                              <w:rPr>
                                <w:rFonts w:ascii="Century Gothic" w:hAnsi="Century Gothic"/>
                                <w:b/>
                                <w:sz w:val="31"/>
                                <w:szCs w:val="31"/>
                              </w:rPr>
                              <w:t xml:space="preserve">  </w:t>
                            </w:r>
                          </w:p>
                          <w:p w14:paraId="11AD3C7B" w14:textId="4114C951" w:rsidR="00893C08" w:rsidRPr="008E2A22" w:rsidRDefault="00893C08" w:rsidP="001D3CC2">
                            <w:pPr>
                              <w:rPr>
                                <w:rFonts w:ascii="Century Gothic" w:hAnsi="Century Gothic"/>
                                <w:sz w:val="17"/>
                                <w:szCs w:val="17"/>
                              </w:rPr>
                            </w:pPr>
                            <w:r w:rsidRPr="008E2A22">
                              <w:rPr>
                                <w:rFonts w:ascii="Century Gothic" w:hAnsi="Century Gothic"/>
                                <w:b/>
                                <w:sz w:val="17"/>
                                <w:szCs w:val="17"/>
                              </w:rPr>
                              <w:t xml:space="preserve">       </w:t>
                            </w:r>
                            <w:r w:rsidRPr="008E2A22">
                              <w:rPr>
                                <w:rFonts w:ascii="Century Gothic" w:hAnsi="Century Gothic"/>
                                <w:sz w:val="17"/>
                                <w:szCs w:val="17"/>
                              </w:rPr>
                              <w:t xml:space="preserve">            DATE</w:t>
                            </w:r>
                            <w:r w:rsidRPr="008E2A22">
                              <w:rPr>
                                <w:rFonts w:ascii="Century Gothic" w:hAnsi="Century Gothic"/>
                                <w:sz w:val="17"/>
                                <w:szCs w:val="17"/>
                              </w:rPr>
                              <w:tab/>
                            </w:r>
                            <w:r w:rsidRPr="008E2A22">
                              <w:rPr>
                                <w:rFonts w:ascii="Century Gothic" w:hAnsi="Century Gothic"/>
                                <w:sz w:val="17"/>
                                <w:szCs w:val="17"/>
                              </w:rPr>
                              <w:tab/>
                            </w:r>
                            <w:r w:rsidRPr="008E2A22">
                              <w:rPr>
                                <w:rFonts w:ascii="Century Gothic" w:hAnsi="Century Gothic"/>
                                <w:sz w:val="17"/>
                                <w:szCs w:val="17"/>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1E7FC" id="_x0000_t202" coordsize="21600,21600" o:spt="202" path="m,l,21600r21600,l21600,xe">
                <v:stroke joinstyle="miter"/>
                <v:path gradientshapeok="t" o:connecttype="rect"/>
              </v:shapetype>
              <v:shape id="Text Box 1"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">
                <v:textbox>
                  <w:txbxContent>
                    <w:p w14:paraId="0EA4B470" w14:textId="77777777" w:rsidR="00893C08" w:rsidRPr="008E2A22" w:rsidRDefault="00893C08" w:rsidP="006C43D7">
                      <w:pPr>
                        <w:jc w:val="center"/>
                        <w:rPr>
                          <w:rFonts w:ascii="Century Gothic" w:hAnsi="Century Gothic"/>
                          <w:b/>
                          <w:sz w:val="19"/>
                          <w:szCs w:val="19"/>
                        </w:rPr>
                      </w:pPr>
                    </w:p>
                    <w:p w14:paraId="01FDAE28" w14:textId="46FABCFA" w:rsidR="00893C08" w:rsidRPr="008E2A22" w:rsidRDefault="00D20A1A" w:rsidP="00D20A1A">
                      <w:pPr>
                        <w:tabs>
                          <w:tab w:val="left" w:pos="900"/>
                        </w:tabs>
                        <w:ind w:left="900" w:hanging="720"/>
                        <w:rPr>
                          <w:rFonts w:ascii="Century Gothic" w:hAnsi="Century Gothic"/>
                          <w:sz w:val="19"/>
                          <w:szCs w:val="19"/>
                        </w:rPr>
                      </w:pPr>
                      <w:r w:rsidRPr="008E2A22">
                        <w:rPr>
                          <w:rFonts w:ascii="Century Gothic" w:hAnsi="Century Gothic"/>
                          <w:sz w:val="19"/>
                          <w:szCs w:val="19"/>
                        </w:rPr>
                        <w:t>(1)</w:t>
                      </w:r>
                      <w:r w:rsidRPr="008E2A22">
                        <w:rPr>
                          <w:rFonts w:ascii="Century Gothic" w:hAnsi="Century Gothic"/>
                          <w:sz w:val="19"/>
                          <w:szCs w:val="19"/>
                        </w:rPr>
                        <w:tab/>
                      </w:r>
                      <w:r w:rsidR="00893C08" w:rsidRPr="008E2A22">
                        <w:rPr>
                          <w:rFonts w:ascii="Century Gothic" w:hAnsi="Century Gothic"/>
                          <w:sz w:val="19"/>
                          <w:szCs w:val="19"/>
                        </w:rPr>
                        <w:t xml:space="preserve">REPORTABLE: </w:t>
                      </w:r>
                      <w:r w:rsidR="004F5D23" w:rsidRPr="008E2A22">
                        <w:rPr>
                          <w:rFonts w:ascii="Century Gothic" w:hAnsi="Century Gothic"/>
                          <w:sz w:val="19"/>
                          <w:szCs w:val="19"/>
                        </w:rPr>
                        <w:t>NO</w:t>
                      </w:r>
                    </w:p>
                    <w:p w14:paraId="3A4C7296" w14:textId="4A47FE7C" w:rsidR="00893C08" w:rsidRPr="008E2A22" w:rsidRDefault="00D20A1A" w:rsidP="00D20A1A">
                      <w:pPr>
                        <w:tabs>
                          <w:tab w:val="left" w:pos="900"/>
                        </w:tabs>
                        <w:ind w:left="900" w:hanging="720"/>
                        <w:rPr>
                          <w:rFonts w:ascii="Century Gothic" w:hAnsi="Century Gothic"/>
                          <w:sz w:val="19"/>
                          <w:szCs w:val="19"/>
                        </w:rPr>
                      </w:pPr>
                      <w:r w:rsidRPr="008E2A22">
                        <w:rPr>
                          <w:rFonts w:ascii="Century Gothic" w:hAnsi="Century Gothic"/>
                          <w:sz w:val="19"/>
                          <w:szCs w:val="19"/>
                        </w:rPr>
                        <w:t>(2)</w:t>
                      </w:r>
                      <w:r w:rsidRPr="008E2A22">
                        <w:rPr>
                          <w:rFonts w:ascii="Century Gothic" w:hAnsi="Century Gothic"/>
                          <w:sz w:val="19"/>
                          <w:szCs w:val="19"/>
                        </w:rPr>
                        <w:tab/>
                      </w:r>
                      <w:r w:rsidR="00893C08" w:rsidRPr="008E2A22">
                        <w:rPr>
                          <w:rFonts w:ascii="Century Gothic" w:hAnsi="Century Gothic"/>
                          <w:sz w:val="19"/>
                          <w:szCs w:val="19"/>
                        </w:rPr>
                        <w:t xml:space="preserve">OF INTEREST TO OTHER JUDGES: </w:t>
                      </w:r>
                      <w:r w:rsidR="00F913C7" w:rsidRPr="008E2A22">
                        <w:rPr>
                          <w:rFonts w:ascii="Century Gothic" w:hAnsi="Century Gothic"/>
                          <w:sz w:val="19"/>
                          <w:szCs w:val="19"/>
                        </w:rPr>
                        <w:t>NO</w:t>
                      </w:r>
                    </w:p>
                    <w:p w14:paraId="1545E4B8" w14:textId="74255A93" w:rsidR="00CA0F98" w:rsidRPr="008E2A22" w:rsidRDefault="00CA0F98" w:rsidP="004479C3">
                      <w:pPr>
                        <w:rPr>
                          <w:rFonts w:ascii="Century Gothic" w:hAnsi="Century Gothic"/>
                          <w:sz w:val="19"/>
                          <w:szCs w:val="19"/>
                        </w:rPr>
                      </w:pPr>
                    </w:p>
                    <w:p w14:paraId="21D4A71B" w14:textId="5B58BFC8" w:rsidR="00893C08" w:rsidRPr="008E2A22" w:rsidRDefault="00893C08" w:rsidP="001D3CC2">
                      <w:pPr>
                        <w:ind w:left="180"/>
                        <w:rPr>
                          <w:rFonts w:ascii="Century Gothic" w:hAnsi="Century Gothic"/>
                          <w:sz w:val="19"/>
                          <w:szCs w:val="19"/>
                        </w:rPr>
                      </w:pPr>
                    </w:p>
                    <w:p w14:paraId="761B7CA4" w14:textId="77777777" w:rsidR="00893C08" w:rsidRPr="008E2A22" w:rsidRDefault="00893C08" w:rsidP="006C43D7">
                      <w:pPr>
                        <w:rPr>
                          <w:rFonts w:ascii="Century Gothic" w:hAnsi="Century Gothic"/>
                          <w:b/>
                          <w:sz w:val="17"/>
                          <w:szCs w:val="17"/>
                        </w:rPr>
                      </w:pPr>
                    </w:p>
                    <w:p w14:paraId="0EC4BA5C" w14:textId="61945B0D" w:rsidR="00893C08" w:rsidRPr="008E2A22" w:rsidRDefault="00893C08" w:rsidP="001D3CC2">
                      <w:pPr>
                        <w:keepNext/>
                        <w:tabs>
                          <w:tab w:val="right" w:pos="0"/>
                        </w:tabs>
                        <w:contextualSpacing/>
                        <w:jc w:val="center"/>
                        <w:rPr>
                          <w:rFonts w:cs="Arial"/>
                          <w:sz w:val="31"/>
                          <w:szCs w:val="31"/>
                        </w:rPr>
                      </w:pPr>
                      <w:r w:rsidRPr="008E2A22">
                        <w:rPr>
                          <w:rFonts w:ascii="Century Gothic" w:hAnsi="Century Gothic"/>
                          <w:b/>
                          <w:sz w:val="17"/>
                          <w:szCs w:val="17"/>
                        </w:rPr>
                        <w:t xml:space="preserve">                        </w:t>
                      </w:r>
                      <w:r w:rsidRPr="008E2A22">
                        <w:rPr>
                          <w:rFonts w:ascii="Century Gothic" w:hAnsi="Century Gothic"/>
                          <w:b/>
                          <w:sz w:val="31"/>
                          <w:szCs w:val="31"/>
                        </w:rPr>
                        <w:t xml:space="preserve">  </w:t>
                      </w:r>
                    </w:p>
                    <w:p w14:paraId="11AD3C7B" w14:textId="4114C951" w:rsidR="00893C08" w:rsidRPr="008E2A22" w:rsidRDefault="00893C08" w:rsidP="001D3CC2">
                      <w:pPr>
                        <w:rPr>
                          <w:rFonts w:ascii="Century Gothic" w:hAnsi="Century Gothic"/>
                          <w:sz w:val="17"/>
                          <w:szCs w:val="17"/>
                        </w:rPr>
                      </w:pPr>
                      <w:r w:rsidRPr="008E2A22">
                        <w:rPr>
                          <w:rFonts w:ascii="Century Gothic" w:hAnsi="Century Gothic"/>
                          <w:b/>
                          <w:sz w:val="17"/>
                          <w:szCs w:val="17"/>
                        </w:rPr>
                        <w:t xml:space="preserve">       </w:t>
                      </w:r>
                      <w:r w:rsidRPr="008E2A22">
                        <w:rPr>
                          <w:rFonts w:ascii="Century Gothic" w:hAnsi="Century Gothic"/>
                          <w:sz w:val="17"/>
                          <w:szCs w:val="17"/>
                        </w:rPr>
                        <w:t xml:space="preserve">            DATE</w:t>
                      </w:r>
                      <w:r w:rsidRPr="008E2A22">
                        <w:rPr>
                          <w:rFonts w:ascii="Century Gothic" w:hAnsi="Century Gothic"/>
                          <w:sz w:val="17"/>
                          <w:szCs w:val="17"/>
                        </w:rPr>
                        <w:tab/>
                      </w:r>
                      <w:r w:rsidRPr="008E2A22">
                        <w:rPr>
                          <w:rFonts w:ascii="Century Gothic" w:hAnsi="Century Gothic"/>
                          <w:sz w:val="17"/>
                          <w:szCs w:val="17"/>
                        </w:rPr>
                        <w:tab/>
                      </w:r>
                      <w:r w:rsidRPr="008E2A22">
                        <w:rPr>
                          <w:rFonts w:ascii="Century Gothic" w:hAnsi="Century Gothic"/>
                          <w:sz w:val="17"/>
                          <w:szCs w:val="17"/>
                        </w:rPr>
                        <w:tab/>
                        <w:t xml:space="preserve">        SIGNATURE</w:t>
                      </w:r>
                    </w:p>
                  </w:txbxContent>
                </v:textbox>
                <w10:wrap anchorx="margin"/>
              </v:shape>
            </w:pict>
          </mc:Fallback>
        </mc:AlternateContent>
      </w:r>
      <w:r w:rsidR="00236E47" w:rsidRPr="008E2A22">
        <w:rPr>
          <w:rFonts w:cs="Arial"/>
          <w:b/>
          <w:sz w:val="21"/>
          <w:szCs w:val="21"/>
        </w:rPr>
        <w:t>202</w:t>
      </w:r>
      <w:r w:rsidR="008A32BD" w:rsidRPr="008E2A22">
        <w:rPr>
          <w:rFonts w:cs="Arial"/>
          <w:b/>
          <w:sz w:val="21"/>
          <w:szCs w:val="21"/>
        </w:rPr>
        <w:t>2</w:t>
      </w:r>
      <w:r w:rsidR="00515FD8" w:rsidRPr="008E2A22">
        <w:rPr>
          <w:rFonts w:cs="Arial"/>
          <w:b/>
          <w:sz w:val="21"/>
          <w:szCs w:val="21"/>
        </w:rPr>
        <w:t xml:space="preserve"> - </w:t>
      </w:r>
      <w:r w:rsidR="00D743C0">
        <w:rPr>
          <w:rFonts w:cs="Arial"/>
          <w:b/>
          <w:sz w:val="21"/>
          <w:szCs w:val="21"/>
        </w:rPr>
        <w:t>049732</w:t>
      </w:r>
    </w:p>
    <w:p w14:paraId="084B5ECD" w14:textId="77777777" w:rsidR="006C43D7" w:rsidRPr="008E2A22" w:rsidRDefault="006C43D7" w:rsidP="00C74E97">
      <w:pPr>
        <w:spacing w:line="360" w:lineRule="auto"/>
        <w:jc w:val="both"/>
        <w:rPr>
          <w:rFonts w:cs="Arial"/>
          <w:sz w:val="21"/>
          <w:szCs w:val="21"/>
        </w:rPr>
      </w:pPr>
    </w:p>
    <w:p w14:paraId="4E808D74" w14:textId="77777777" w:rsidR="006C43D7" w:rsidRPr="008E2A22" w:rsidRDefault="006C43D7" w:rsidP="00C74E97">
      <w:pPr>
        <w:spacing w:line="360" w:lineRule="auto"/>
        <w:jc w:val="both"/>
        <w:rPr>
          <w:rFonts w:cs="Arial"/>
          <w:sz w:val="21"/>
          <w:szCs w:val="21"/>
        </w:rPr>
      </w:pPr>
    </w:p>
    <w:p w14:paraId="34BF70B6" w14:textId="77777777" w:rsidR="006C43D7" w:rsidRPr="008E2A22" w:rsidRDefault="006C43D7" w:rsidP="00C74E97">
      <w:pPr>
        <w:spacing w:line="360" w:lineRule="auto"/>
        <w:jc w:val="both"/>
        <w:rPr>
          <w:rFonts w:cs="Arial"/>
          <w:sz w:val="21"/>
          <w:szCs w:val="21"/>
        </w:rPr>
      </w:pPr>
    </w:p>
    <w:p w14:paraId="2F53BA3A" w14:textId="7CE26CA8" w:rsidR="006C43D7" w:rsidRPr="008E2A22" w:rsidRDefault="00C56E55" w:rsidP="00C74E97">
      <w:pPr>
        <w:spacing w:line="360" w:lineRule="auto"/>
        <w:jc w:val="both"/>
        <w:rPr>
          <w:rFonts w:cs="Arial"/>
          <w:sz w:val="21"/>
          <w:szCs w:val="21"/>
        </w:rPr>
      </w:pPr>
      <w:r w:rsidRPr="008E2A22">
        <w:rPr>
          <w:rFonts w:cs="Arial"/>
          <w:sz w:val="21"/>
          <w:szCs w:val="21"/>
        </w:rPr>
        <w:t xml:space="preserve">                        </w:t>
      </w:r>
    </w:p>
    <w:p w14:paraId="3A1C212E" w14:textId="77777777" w:rsidR="006C43D7" w:rsidRPr="008E2A22" w:rsidRDefault="006C43D7" w:rsidP="00C74E97">
      <w:pPr>
        <w:spacing w:line="360" w:lineRule="auto"/>
        <w:jc w:val="both"/>
        <w:rPr>
          <w:rFonts w:cs="Arial"/>
          <w:sz w:val="21"/>
          <w:szCs w:val="21"/>
        </w:rPr>
      </w:pPr>
    </w:p>
    <w:p w14:paraId="04919B1B" w14:textId="77777777" w:rsidR="001D3CC2" w:rsidRPr="008E2A22" w:rsidRDefault="001D3CC2" w:rsidP="00C74E97">
      <w:pPr>
        <w:spacing w:line="360" w:lineRule="auto"/>
        <w:jc w:val="both"/>
        <w:rPr>
          <w:rFonts w:cs="Arial"/>
          <w:sz w:val="21"/>
          <w:szCs w:val="21"/>
        </w:rPr>
      </w:pPr>
    </w:p>
    <w:p w14:paraId="045D3852" w14:textId="77777777" w:rsidR="00E57446" w:rsidRPr="008E2A22" w:rsidRDefault="00E57446" w:rsidP="00C74E97">
      <w:pPr>
        <w:spacing w:line="360" w:lineRule="auto"/>
        <w:jc w:val="both"/>
        <w:rPr>
          <w:rFonts w:cs="Arial"/>
          <w:sz w:val="21"/>
          <w:szCs w:val="21"/>
        </w:rPr>
      </w:pPr>
    </w:p>
    <w:p w14:paraId="2804C32A" w14:textId="6C8D50AF" w:rsidR="00E57446" w:rsidRPr="008E2A22" w:rsidRDefault="00E57446" w:rsidP="00C74E97">
      <w:pPr>
        <w:spacing w:line="360" w:lineRule="auto"/>
        <w:jc w:val="both"/>
        <w:rPr>
          <w:rFonts w:cs="Arial"/>
          <w:sz w:val="21"/>
          <w:szCs w:val="21"/>
        </w:rPr>
      </w:pPr>
      <w:r w:rsidRPr="008E2A22">
        <w:rPr>
          <w:rFonts w:cs="Arial"/>
          <w:sz w:val="21"/>
          <w:szCs w:val="21"/>
        </w:rPr>
        <w:t>In the application by</w:t>
      </w:r>
    </w:p>
    <w:p w14:paraId="4521E045" w14:textId="77777777" w:rsidR="00D33A54" w:rsidRPr="008E2A22" w:rsidRDefault="00D33A54" w:rsidP="00C74E97">
      <w:pPr>
        <w:spacing w:line="360" w:lineRule="auto"/>
        <w:jc w:val="both"/>
        <w:rPr>
          <w:rFonts w:cs="Arial"/>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3"/>
        <w:gridCol w:w="2318"/>
      </w:tblGrid>
      <w:tr w:rsidR="00E57446" w:rsidRPr="008E2A22" w14:paraId="4CBFF906" w14:textId="77777777" w:rsidTr="00430142">
        <w:tc>
          <w:tcPr>
            <w:tcW w:w="6223" w:type="dxa"/>
          </w:tcPr>
          <w:p w14:paraId="07466740" w14:textId="407A6771" w:rsidR="00E57446" w:rsidRPr="008E2A22" w:rsidRDefault="00D743C0" w:rsidP="00E37B97">
            <w:pPr>
              <w:tabs>
                <w:tab w:val="right" w:pos="9070"/>
              </w:tabs>
              <w:rPr>
                <w:rFonts w:cs="Arial"/>
                <w:b/>
                <w:sz w:val="21"/>
                <w:szCs w:val="21"/>
              </w:rPr>
            </w:pPr>
            <w:r>
              <w:rPr>
                <w:rFonts w:cs="Arial"/>
                <w:b/>
                <w:sz w:val="21"/>
                <w:szCs w:val="21"/>
              </w:rPr>
              <w:t>SATIN ROCK (PTY) LTD</w:t>
            </w:r>
          </w:p>
        </w:tc>
        <w:tc>
          <w:tcPr>
            <w:tcW w:w="2318" w:type="dxa"/>
          </w:tcPr>
          <w:p w14:paraId="32F3C456" w14:textId="6F4933AD" w:rsidR="00E57446" w:rsidRPr="008E2A22" w:rsidRDefault="00D743C0" w:rsidP="00E37B97">
            <w:pPr>
              <w:rPr>
                <w:rFonts w:cs="Arial"/>
                <w:sz w:val="21"/>
                <w:szCs w:val="21"/>
              </w:rPr>
            </w:pPr>
            <w:r>
              <w:rPr>
                <w:rFonts w:cs="Arial"/>
                <w:sz w:val="21"/>
                <w:szCs w:val="21"/>
              </w:rPr>
              <w:t xml:space="preserve">First </w:t>
            </w:r>
            <w:r w:rsidR="003031A1" w:rsidRPr="008E2A22">
              <w:rPr>
                <w:rFonts w:cs="Arial"/>
                <w:sz w:val="21"/>
                <w:szCs w:val="21"/>
              </w:rPr>
              <w:t>Applicant</w:t>
            </w:r>
          </w:p>
        </w:tc>
      </w:tr>
      <w:tr w:rsidR="00E57446" w:rsidRPr="008E2A22" w14:paraId="582D8E94" w14:textId="77777777" w:rsidTr="00430142">
        <w:tc>
          <w:tcPr>
            <w:tcW w:w="6223" w:type="dxa"/>
          </w:tcPr>
          <w:p w14:paraId="02EB2173" w14:textId="10DF7F9E" w:rsidR="00E57446" w:rsidRPr="008E2A22" w:rsidRDefault="00D743C0" w:rsidP="00E37B97">
            <w:pPr>
              <w:tabs>
                <w:tab w:val="right" w:pos="9026"/>
              </w:tabs>
              <w:rPr>
                <w:rFonts w:cs="Arial"/>
                <w:b/>
                <w:bCs/>
                <w:sz w:val="21"/>
                <w:szCs w:val="21"/>
              </w:rPr>
            </w:pPr>
            <w:r>
              <w:rPr>
                <w:rFonts w:cs="Arial"/>
                <w:b/>
                <w:bCs/>
                <w:sz w:val="21"/>
                <w:szCs w:val="21"/>
              </w:rPr>
              <w:t>R</w:t>
            </w:r>
            <w:r w:rsidR="00FC6D12">
              <w:rPr>
                <w:rFonts w:cs="Arial"/>
                <w:b/>
                <w:bCs/>
                <w:sz w:val="21"/>
                <w:szCs w:val="21"/>
              </w:rPr>
              <w:t>.</w:t>
            </w:r>
            <w:r>
              <w:rPr>
                <w:rFonts w:cs="Arial"/>
                <w:b/>
                <w:bCs/>
                <w:sz w:val="21"/>
                <w:szCs w:val="21"/>
              </w:rPr>
              <w:t>L</w:t>
            </w:r>
            <w:r w:rsidR="00FC6D12">
              <w:rPr>
                <w:rFonts w:cs="Arial"/>
                <w:b/>
                <w:bCs/>
                <w:sz w:val="21"/>
                <w:szCs w:val="21"/>
              </w:rPr>
              <w:t>.</w:t>
            </w:r>
            <w:r>
              <w:rPr>
                <w:rFonts w:cs="Arial"/>
                <w:b/>
                <w:bCs/>
                <w:sz w:val="21"/>
                <w:szCs w:val="21"/>
              </w:rPr>
              <w:t xml:space="preserve"> DEVELOPMENT &amp; CONSTRUCTION</w:t>
            </w:r>
          </w:p>
          <w:p w14:paraId="7BC13697" w14:textId="13F5AAC0" w:rsidR="00E37B97" w:rsidRPr="008E2A22" w:rsidRDefault="00E37B97" w:rsidP="00E37B97">
            <w:pPr>
              <w:tabs>
                <w:tab w:val="right" w:pos="9026"/>
              </w:tabs>
              <w:rPr>
                <w:rFonts w:cs="Arial"/>
                <w:b/>
                <w:bCs/>
                <w:sz w:val="21"/>
                <w:szCs w:val="21"/>
              </w:rPr>
            </w:pPr>
          </w:p>
        </w:tc>
        <w:tc>
          <w:tcPr>
            <w:tcW w:w="2318" w:type="dxa"/>
          </w:tcPr>
          <w:p w14:paraId="3E582FC6" w14:textId="0B38FB08" w:rsidR="00E57446" w:rsidRPr="008E2A22" w:rsidRDefault="00D743C0" w:rsidP="00E37B97">
            <w:pPr>
              <w:rPr>
                <w:rFonts w:cs="Arial"/>
                <w:sz w:val="21"/>
                <w:szCs w:val="21"/>
              </w:rPr>
            </w:pPr>
            <w:r>
              <w:rPr>
                <w:rFonts w:cs="Arial"/>
                <w:sz w:val="21"/>
                <w:szCs w:val="21"/>
              </w:rPr>
              <w:t>Second Applicant</w:t>
            </w:r>
          </w:p>
        </w:tc>
      </w:tr>
      <w:tr w:rsidR="000F00EF" w:rsidRPr="008E2A22" w14:paraId="72126C43" w14:textId="77777777" w:rsidTr="00430142">
        <w:tc>
          <w:tcPr>
            <w:tcW w:w="6223" w:type="dxa"/>
          </w:tcPr>
          <w:p w14:paraId="6AB7A96B" w14:textId="2881C7C6" w:rsidR="00E37B97" w:rsidRDefault="003244CA" w:rsidP="00E37B97">
            <w:pPr>
              <w:tabs>
                <w:tab w:val="right" w:pos="9070"/>
              </w:tabs>
              <w:rPr>
                <w:rFonts w:cs="Arial"/>
                <w:b/>
                <w:bCs/>
                <w:sz w:val="21"/>
                <w:szCs w:val="21"/>
              </w:rPr>
            </w:pPr>
            <w:r>
              <w:rPr>
                <w:rFonts w:cs="Arial"/>
                <w:b/>
                <w:bCs/>
                <w:sz w:val="21"/>
                <w:szCs w:val="21"/>
              </w:rPr>
              <w:t>A</w:t>
            </w:r>
            <w:r w:rsidR="00E676E7">
              <w:rPr>
                <w:rFonts w:cs="Arial"/>
                <w:b/>
                <w:bCs/>
                <w:sz w:val="21"/>
                <w:szCs w:val="21"/>
              </w:rPr>
              <w:t>nd</w:t>
            </w:r>
          </w:p>
          <w:p w14:paraId="35C8FDE9" w14:textId="1B512C1D" w:rsidR="00D743C0" w:rsidRPr="008E2A22" w:rsidRDefault="00D743C0" w:rsidP="00E37B97">
            <w:pPr>
              <w:tabs>
                <w:tab w:val="right" w:pos="9070"/>
              </w:tabs>
              <w:rPr>
                <w:rFonts w:cs="Arial"/>
                <w:b/>
                <w:bCs/>
                <w:sz w:val="21"/>
                <w:szCs w:val="21"/>
              </w:rPr>
            </w:pPr>
          </w:p>
        </w:tc>
        <w:tc>
          <w:tcPr>
            <w:tcW w:w="2318" w:type="dxa"/>
          </w:tcPr>
          <w:p w14:paraId="7AC1A636" w14:textId="14160458" w:rsidR="000F00EF" w:rsidRPr="008E2A22" w:rsidRDefault="000F00EF" w:rsidP="00E37B97">
            <w:pPr>
              <w:rPr>
                <w:rFonts w:cs="Arial"/>
                <w:sz w:val="21"/>
                <w:szCs w:val="21"/>
              </w:rPr>
            </w:pPr>
          </w:p>
        </w:tc>
      </w:tr>
      <w:tr w:rsidR="00D743C0" w:rsidRPr="008E2A22" w14:paraId="7D1AC55D" w14:textId="77777777" w:rsidTr="00430142">
        <w:tc>
          <w:tcPr>
            <w:tcW w:w="6223" w:type="dxa"/>
          </w:tcPr>
          <w:p w14:paraId="0DBB61BA" w14:textId="78BA4DE6" w:rsidR="00D743C0" w:rsidRPr="008E2A22" w:rsidRDefault="00E676E7" w:rsidP="00E37B97">
            <w:pPr>
              <w:tabs>
                <w:tab w:val="right" w:pos="9070"/>
              </w:tabs>
              <w:rPr>
                <w:rFonts w:cs="Arial"/>
                <w:b/>
                <w:bCs/>
                <w:sz w:val="21"/>
                <w:szCs w:val="21"/>
              </w:rPr>
            </w:pPr>
            <w:r>
              <w:rPr>
                <w:rFonts w:cs="Arial"/>
                <w:b/>
                <w:bCs/>
                <w:sz w:val="21"/>
                <w:szCs w:val="21"/>
              </w:rPr>
              <w:t>TEICHMAN, MARK HERBERT</w:t>
            </w:r>
          </w:p>
        </w:tc>
        <w:tc>
          <w:tcPr>
            <w:tcW w:w="2318" w:type="dxa"/>
          </w:tcPr>
          <w:p w14:paraId="68A0D510" w14:textId="616922B2" w:rsidR="00D743C0" w:rsidRPr="008E2A22" w:rsidRDefault="00E676E7" w:rsidP="00E37B97">
            <w:pPr>
              <w:rPr>
                <w:rFonts w:cs="Arial"/>
                <w:sz w:val="21"/>
                <w:szCs w:val="21"/>
              </w:rPr>
            </w:pPr>
            <w:r>
              <w:rPr>
                <w:rFonts w:cs="Arial"/>
                <w:sz w:val="21"/>
                <w:szCs w:val="21"/>
              </w:rPr>
              <w:t>Respondent</w:t>
            </w:r>
          </w:p>
        </w:tc>
      </w:tr>
      <w:tr w:rsidR="000F00EF" w:rsidRPr="008E2A22" w14:paraId="5E2E11F1" w14:textId="77777777" w:rsidTr="00430142">
        <w:tc>
          <w:tcPr>
            <w:tcW w:w="6223" w:type="dxa"/>
          </w:tcPr>
          <w:p w14:paraId="5911C2F7" w14:textId="77777777" w:rsidR="00E37B97" w:rsidRPr="008E2A22" w:rsidRDefault="00E37B97" w:rsidP="00E37B97">
            <w:pPr>
              <w:tabs>
                <w:tab w:val="right" w:pos="9070"/>
              </w:tabs>
              <w:rPr>
                <w:rFonts w:cs="Arial"/>
                <w:b/>
                <w:bCs/>
                <w:sz w:val="21"/>
                <w:szCs w:val="21"/>
              </w:rPr>
            </w:pPr>
          </w:p>
          <w:p w14:paraId="3F07C8A3" w14:textId="77777777" w:rsidR="008A32BD" w:rsidRPr="008E2A22" w:rsidRDefault="008A32BD" w:rsidP="00E37B97">
            <w:pPr>
              <w:tabs>
                <w:tab w:val="right" w:pos="9070"/>
              </w:tabs>
              <w:rPr>
                <w:rFonts w:cs="Arial"/>
                <w:i/>
                <w:iCs/>
                <w:sz w:val="21"/>
                <w:szCs w:val="21"/>
              </w:rPr>
            </w:pPr>
            <w:r w:rsidRPr="008E2A22">
              <w:rPr>
                <w:rFonts w:cs="Arial"/>
                <w:i/>
                <w:iCs/>
                <w:sz w:val="21"/>
                <w:szCs w:val="21"/>
              </w:rPr>
              <w:t>In re</w:t>
            </w:r>
          </w:p>
          <w:p w14:paraId="3E1783E7" w14:textId="02B975B6" w:rsidR="008A32BD" w:rsidRPr="008E2A22" w:rsidRDefault="008A32BD" w:rsidP="00E37B97">
            <w:pPr>
              <w:tabs>
                <w:tab w:val="right" w:pos="9070"/>
              </w:tabs>
              <w:rPr>
                <w:rFonts w:cs="Arial"/>
                <w:b/>
                <w:bCs/>
                <w:sz w:val="21"/>
                <w:szCs w:val="21"/>
              </w:rPr>
            </w:pPr>
          </w:p>
        </w:tc>
        <w:tc>
          <w:tcPr>
            <w:tcW w:w="2318" w:type="dxa"/>
          </w:tcPr>
          <w:p w14:paraId="272C00F9" w14:textId="569B34C1" w:rsidR="00430142" w:rsidRPr="008E2A22" w:rsidRDefault="00430142" w:rsidP="00E37B97">
            <w:pPr>
              <w:rPr>
                <w:rFonts w:cs="Arial"/>
                <w:sz w:val="21"/>
                <w:szCs w:val="21"/>
              </w:rPr>
            </w:pPr>
          </w:p>
        </w:tc>
      </w:tr>
      <w:tr w:rsidR="00430142" w:rsidRPr="008E2A22" w14:paraId="3EB57834" w14:textId="77777777" w:rsidTr="00430142">
        <w:tc>
          <w:tcPr>
            <w:tcW w:w="6223" w:type="dxa"/>
          </w:tcPr>
          <w:p w14:paraId="12D66C38" w14:textId="57FE8038" w:rsidR="00E37B97" w:rsidRPr="008E2A22" w:rsidRDefault="00E676E7" w:rsidP="00415439">
            <w:pPr>
              <w:tabs>
                <w:tab w:val="center" w:pos="3003"/>
              </w:tabs>
              <w:rPr>
                <w:rFonts w:cs="Arial"/>
                <w:b/>
                <w:snapToGrid w:val="0"/>
                <w:spacing w:val="-3"/>
                <w:sz w:val="21"/>
                <w:szCs w:val="21"/>
              </w:rPr>
            </w:pPr>
            <w:r>
              <w:rPr>
                <w:rFonts w:cs="Arial"/>
                <w:b/>
                <w:bCs/>
                <w:sz w:val="21"/>
                <w:szCs w:val="21"/>
              </w:rPr>
              <w:t>TEICHMAN, MARK HERBERT</w:t>
            </w:r>
          </w:p>
        </w:tc>
        <w:tc>
          <w:tcPr>
            <w:tcW w:w="2318" w:type="dxa"/>
          </w:tcPr>
          <w:p w14:paraId="47024FA0" w14:textId="67D8BD5B" w:rsidR="00E37B97" w:rsidRPr="008E2A22" w:rsidRDefault="00E676E7" w:rsidP="002709AE">
            <w:pPr>
              <w:rPr>
                <w:rFonts w:cs="Arial"/>
                <w:sz w:val="21"/>
                <w:szCs w:val="21"/>
              </w:rPr>
            </w:pPr>
            <w:r>
              <w:rPr>
                <w:rFonts w:cs="Arial"/>
                <w:sz w:val="21"/>
                <w:szCs w:val="21"/>
              </w:rPr>
              <w:t>Applicant</w:t>
            </w:r>
          </w:p>
        </w:tc>
      </w:tr>
      <w:tr w:rsidR="00430142" w:rsidRPr="008E2A22" w14:paraId="2EAC63E5" w14:textId="77777777" w:rsidTr="00430142">
        <w:tc>
          <w:tcPr>
            <w:tcW w:w="6223" w:type="dxa"/>
          </w:tcPr>
          <w:p w14:paraId="7066D08D" w14:textId="77777777" w:rsidR="00430142" w:rsidRPr="008E2A22" w:rsidRDefault="00430142" w:rsidP="00E37B97">
            <w:pPr>
              <w:tabs>
                <w:tab w:val="right" w:pos="9070"/>
              </w:tabs>
              <w:rPr>
                <w:rFonts w:cs="Arial"/>
                <w:b/>
                <w:snapToGrid w:val="0"/>
                <w:spacing w:val="-3"/>
                <w:sz w:val="21"/>
                <w:szCs w:val="21"/>
                <w:lang w:val="en-GB"/>
              </w:rPr>
            </w:pPr>
          </w:p>
          <w:p w14:paraId="33E12A85" w14:textId="58854931" w:rsidR="00D33A54" w:rsidRPr="008E2A22" w:rsidRDefault="00D33A54" w:rsidP="00E37B97">
            <w:pPr>
              <w:tabs>
                <w:tab w:val="right" w:pos="9070"/>
              </w:tabs>
              <w:rPr>
                <w:rFonts w:cs="Arial"/>
                <w:b/>
                <w:snapToGrid w:val="0"/>
                <w:spacing w:val="-3"/>
                <w:sz w:val="21"/>
                <w:szCs w:val="21"/>
                <w:lang w:val="en-GB"/>
              </w:rPr>
            </w:pPr>
            <w:r w:rsidRPr="008E2A22">
              <w:rPr>
                <w:rFonts w:cs="Arial"/>
                <w:b/>
                <w:snapToGrid w:val="0"/>
                <w:spacing w:val="-3"/>
                <w:sz w:val="21"/>
                <w:szCs w:val="21"/>
                <w:lang w:val="en-GB"/>
              </w:rPr>
              <w:t>and</w:t>
            </w:r>
          </w:p>
          <w:p w14:paraId="63062862" w14:textId="607070E1" w:rsidR="00D33A54" w:rsidRPr="008E2A22" w:rsidRDefault="00D33A54" w:rsidP="00E37B97">
            <w:pPr>
              <w:tabs>
                <w:tab w:val="right" w:pos="9070"/>
              </w:tabs>
              <w:rPr>
                <w:rFonts w:cs="Arial"/>
                <w:b/>
                <w:snapToGrid w:val="0"/>
                <w:spacing w:val="-3"/>
                <w:sz w:val="21"/>
                <w:szCs w:val="21"/>
                <w:lang w:val="en-GB"/>
              </w:rPr>
            </w:pPr>
          </w:p>
        </w:tc>
        <w:tc>
          <w:tcPr>
            <w:tcW w:w="2318" w:type="dxa"/>
          </w:tcPr>
          <w:p w14:paraId="7E481722" w14:textId="790058BA" w:rsidR="00430142" w:rsidRPr="008E2A22" w:rsidRDefault="00430142" w:rsidP="00E37B97">
            <w:pPr>
              <w:rPr>
                <w:rFonts w:cs="Arial"/>
                <w:sz w:val="21"/>
                <w:szCs w:val="21"/>
              </w:rPr>
            </w:pPr>
          </w:p>
        </w:tc>
      </w:tr>
      <w:tr w:rsidR="00415439" w:rsidRPr="008E2A22" w14:paraId="2567635F" w14:textId="77777777" w:rsidTr="00430142">
        <w:tc>
          <w:tcPr>
            <w:tcW w:w="6223" w:type="dxa"/>
          </w:tcPr>
          <w:p w14:paraId="154308FD" w14:textId="4C9AB1AE" w:rsidR="00415439" w:rsidRPr="008E2A22" w:rsidRDefault="00E676E7" w:rsidP="00E37B97">
            <w:pPr>
              <w:tabs>
                <w:tab w:val="right" w:pos="9070"/>
              </w:tabs>
              <w:rPr>
                <w:rFonts w:cs="Arial"/>
                <w:b/>
                <w:snapToGrid w:val="0"/>
                <w:spacing w:val="-3"/>
                <w:sz w:val="21"/>
                <w:szCs w:val="21"/>
                <w:lang w:val="en-GB"/>
              </w:rPr>
            </w:pPr>
            <w:r>
              <w:rPr>
                <w:rFonts w:cs="Arial"/>
                <w:b/>
                <w:snapToGrid w:val="0"/>
                <w:spacing w:val="-3"/>
                <w:sz w:val="21"/>
                <w:szCs w:val="21"/>
                <w:lang w:val="en-GB"/>
              </w:rPr>
              <w:t>SATIN ROCK (PTY) LTD</w:t>
            </w:r>
          </w:p>
        </w:tc>
        <w:tc>
          <w:tcPr>
            <w:tcW w:w="2318" w:type="dxa"/>
          </w:tcPr>
          <w:p w14:paraId="47BC7F2B" w14:textId="5DE7616F" w:rsidR="00415439" w:rsidRPr="008E2A22" w:rsidRDefault="00E676E7" w:rsidP="00E37B97">
            <w:pPr>
              <w:rPr>
                <w:rFonts w:cs="Arial"/>
                <w:sz w:val="21"/>
                <w:szCs w:val="21"/>
              </w:rPr>
            </w:pPr>
            <w:r>
              <w:rPr>
                <w:rFonts w:cs="Arial"/>
                <w:sz w:val="21"/>
                <w:szCs w:val="21"/>
              </w:rPr>
              <w:t>First Respondent</w:t>
            </w:r>
          </w:p>
        </w:tc>
      </w:tr>
      <w:tr w:rsidR="00E676E7" w:rsidRPr="008E2A22" w14:paraId="3BA8CAAA" w14:textId="77777777" w:rsidTr="00430142">
        <w:tc>
          <w:tcPr>
            <w:tcW w:w="6223" w:type="dxa"/>
          </w:tcPr>
          <w:p w14:paraId="42595034" w14:textId="19F23F49" w:rsidR="00E676E7" w:rsidRPr="008E2A22" w:rsidRDefault="00E676E7" w:rsidP="00E37B97">
            <w:pPr>
              <w:tabs>
                <w:tab w:val="right" w:pos="9070"/>
              </w:tabs>
              <w:rPr>
                <w:rFonts w:cs="Arial"/>
                <w:b/>
                <w:snapToGrid w:val="0"/>
                <w:spacing w:val="-3"/>
                <w:sz w:val="21"/>
                <w:szCs w:val="21"/>
                <w:lang w:val="en-GB"/>
              </w:rPr>
            </w:pPr>
            <w:r>
              <w:rPr>
                <w:rFonts w:cs="Arial"/>
                <w:b/>
                <w:snapToGrid w:val="0"/>
                <w:spacing w:val="-3"/>
                <w:sz w:val="21"/>
                <w:szCs w:val="21"/>
                <w:lang w:val="en-GB"/>
              </w:rPr>
              <w:t>LEISHER, LORNA MARY</w:t>
            </w:r>
          </w:p>
        </w:tc>
        <w:tc>
          <w:tcPr>
            <w:tcW w:w="2318" w:type="dxa"/>
          </w:tcPr>
          <w:p w14:paraId="7766BE8B" w14:textId="51DF4614" w:rsidR="00E676E7" w:rsidRDefault="00E676E7" w:rsidP="00E37B97">
            <w:pPr>
              <w:rPr>
                <w:rFonts w:cs="Arial"/>
                <w:sz w:val="21"/>
                <w:szCs w:val="21"/>
              </w:rPr>
            </w:pPr>
            <w:r>
              <w:rPr>
                <w:rFonts w:cs="Arial"/>
                <w:sz w:val="21"/>
                <w:szCs w:val="21"/>
              </w:rPr>
              <w:t>Second Respondent</w:t>
            </w:r>
          </w:p>
        </w:tc>
      </w:tr>
      <w:tr w:rsidR="00E676E7" w:rsidRPr="008E2A22" w14:paraId="77749261" w14:textId="77777777" w:rsidTr="00430142">
        <w:tc>
          <w:tcPr>
            <w:tcW w:w="6223" w:type="dxa"/>
          </w:tcPr>
          <w:p w14:paraId="2C3F7EC9" w14:textId="5CC859BB" w:rsidR="00E676E7" w:rsidRPr="008E2A22" w:rsidRDefault="00E676E7" w:rsidP="00E37B97">
            <w:pPr>
              <w:tabs>
                <w:tab w:val="right" w:pos="9070"/>
              </w:tabs>
              <w:rPr>
                <w:rFonts w:cs="Arial"/>
                <w:b/>
                <w:snapToGrid w:val="0"/>
                <w:spacing w:val="-3"/>
                <w:sz w:val="21"/>
                <w:szCs w:val="21"/>
                <w:lang w:val="en-GB"/>
              </w:rPr>
            </w:pPr>
            <w:r>
              <w:rPr>
                <w:rFonts w:cs="Arial"/>
                <w:b/>
                <w:snapToGrid w:val="0"/>
                <w:spacing w:val="-3"/>
                <w:sz w:val="21"/>
                <w:szCs w:val="21"/>
                <w:lang w:val="en-GB"/>
              </w:rPr>
              <w:t>LEISHER, ANTHONY RAYMOND</w:t>
            </w:r>
          </w:p>
        </w:tc>
        <w:tc>
          <w:tcPr>
            <w:tcW w:w="2318" w:type="dxa"/>
          </w:tcPr>
          <w:p w14:paraId="1AEFAAB5" w14:textId="528E12EE" w:rsidR="00E676E7" w:rsidRDefault="00E676E7" w:rsidP="00E37B97">
            <w:pPr>
              <w:rPr>
                <w:rFonts w:cs="Arial"/>
                <w:sz w:val="21"/>
                <w:szCs w:val="21"/>
              </w:rPr>
            </w:pPr>
            <w:r>
              <w:rPr>
                <w:rFonts w:cs="Arial"/>
                <w:sz w:val="21"/>
                <w:szCs w:val="21"/>
              </w:rPr>
              <w:t>Third Respondent</w:t>
            </w:r>
          </w:p>
        </w:tc>
      </w:tr>
      <w:tr w:rsidR="00E676E7" w:rsidRPr="008E2A22" w14:paraId="39978C61" w14:textId="77777777" w:rsidTr="00430142">
        <w:tc>
          <w:tcPr>
            <w:tcW w:w="6223" w:type="dxa"/>
          </w:tcPr>
          <w:p w14:paraId="127A5F34" w14:textId="5FE2CE89" w:rsidR="00E676E7" w:rsidRPr="008E2A22" w:rsidRDefault="00E676E7" w:rsidP="00E37B97">
            <w:pPr>
              <w:tabs>
                <w:tab w:val="right" w:pos="9070"/>
              </w:tabs>
              <w:rPr>
                <w:rFonts w:cs="Arial"/>
                <w:b/>
                <w:snapToGrid w:val="0"/>
                <w:spacing w:val="-3"/>
                <w:sz w:val="21"/>
                <w:szCs w:val="21"/>
                <w:lang w:val="en-GB"/>
              </w:rPr>
            </w:pPr>
            <w:r>
              <w:rPr>
                <w:rFonts w:cs="Arial"/>
                <w:b/>
                <w:snapToGrid w:val="0"/>
                <w:spacing w:val="-3"/>
                <w:sz w:val="21"/>
                <w:szCs w:val="21"/>
                <w:lang w:val="en-GB"/>
              </w:rPr>
              <w:t>R</w:t>
            </w:r>
            <w:r w:rsidR="00FC6D12">
              <w:rPr>
                <w:rFonts w:cs="Arial"/>
                <w:b/>
                <w:snapToGrid w:val="0"/>
                <w:spacing w:val="-3"/>
                <w:sz w:val="21"/>
                <w:szCs w:val="21"/>
                <w:lang w:val="en-GB"/>
              </w:rPr>
              <w:t>.</w:t>
            </w:r>
            <w:r>
              <w:rPr>
                <w:rFonts w:cs="Arial"/>
                <w:b/>
                <w:snapToGrid w:val="0"/>
                <w:spacing w:val="-3"/>
                <w:sz w:val="21"/>
                <w:szCs w:val="21"/>
                <w:lang w:val="en-GB"/>
              </w:rPr>
              <w:t>L</w:t>
            </w:r>
            <w:r w:rsidR="00FC6D12">
              <w:rPr>
                <w:rFonts w:cs="Arial"/>
                <w:b/>
                <w:snapToGrid w:val="0"/>
                <w:spacing w:val="-3"/>
                <w:sz w:val="21"/>
                <w:szCs w:val="21"/>
                <w:lang w:val="en-GB"/>
              </w:rPr>
              <w:t>.</w:t>
            </w:r>
            <w:r>
              <w:rPr>
                <w:rFonts w:cs="Arial"/>
                <w:b/>
                <w:snapToGrid w:val="0"/>
                <w:spacing w:val="-3"/>
                <w:sz w:val="21"/>
                <w:szCs w:val="21"/>
                <w:lang w:val="en-GB"/>
              </w:rPr>
              <w:t xml:space="preserve"> DEVELOPMENT &amp; CONSTRUCTION</w:t>
            </w:r>
          </w:p>
        </w:tc>
        <w:tc>
          <w:tcPr>
            <w:tcW w:w="2318" w:type="dxa"/>
          </w:tcPr>
          <w:p w14:paraId="7BA30F86" w14:textId="5062DE75" w:rsidR="00E676E7" w:rsidRDefault="00E676E7" w:rsidP="00E37B97">
            <w:pPr>
              <w:rPr>
                <w:rFonts w:cs="Arial"/>
                <w:sz w:val="21"/>
                <w:szCs w:val="21"/>
              </w:rPr>
            </w:pPr>
            <w:r>
              <w:rPr>
                <w:rFonts w:cs="Arial"/>
                <w:sz w:val="21"/>
                <w:szCs w:val="21"/>
              </w:rPr>
              <w:t>Fourth Respondent</w:t>
            </w:r>
          </w:p>
        </w:tc>
      </w:tr>
    </w:tbl>
    <w:p w14:paraId="2E9E9900" w14:textId="77777777" w:rsidR="0023405C" w:rsidRPr="008E2A22" w:rsidRDefault="0023405C" w:rsidP="00C74E97">
      <w:pPr>
        <w:pBdr>
          <w:bottom w:val="single" w:sz="4" w:space="1" w:color="auto"/>
        </w:pBdr>
        <w:spacing w:line="360" w:lineRule="auto"/>
        <w:jc w:val="both"/>
        <w:rPr>
          <w:rFonts w:cs="Arial"/>
          <w:sz w:val="21"/>
          <w:szCs w:val="21"/>
        </w:rPr>
      </w:pPr>
    </w:p>
    <w:p w14:paraId="67781CE9" w14:textId="77777777" w:rsidR="0023405C" w:rsidRPr="008E2A22" w:rsidRDefault="0023405C" w:rsidP="00C74E97">
      <w:pPr>
        <w:pBdr>
          <w:bottom w:val="single" w:sz="4" w:space="1" w:color="auto"/>
        </w:pBdr>
        <w:spacing w:line="360" w:lineRule="auto"/>
        <w:jc w:val="both"/>
        <w:rPr>
          <w:rFonts w:cs="Arial"/>
          <w:sz w:val="21"/>
          <w:szCs w:val="21"/>
        </w:rPr>
      </w:pPr>
    </w:p>
    <w:p w14:paraId="58DE5549" w14:textId="77777777" w:rsidR="006C43D7" w:rsidRPr="008E2A22" w:rsidRDefault="006C43D7" w:rsidP="00C74E97">
      <w:pPr>
        <w:spacing w:line="360" w:lineRule="auto"/>
        <w:jc w:val="both"/>
        <w:rPr>
          <w:rFonts w:cs="Arial"/>
          <w:sz w:val="21"/>
          <w:szCs w:val="21"/>
        </w:rPr>
      </w:pPr>
    </w:p>
    <w:p w14:paraId="647AB70C" w14:textId="77777777" w:rsidR="006C43D7" w:rsidRPr="008E2A22" w:rsidRDefault="006C43D7" w:rsidP="00C74E97">
      <w:pPr>
        <w:keepNext/>
        <w:spacing w:line="360" w:lineRule="auto"/>
        <w:jc w:val="center"/>
        <w:outlineLvl w:val="1"/>
        <w:rPr>
          <w:rFonts w:cs="Arial"/>
          <w:b/>
          <w:bCs/>
          <w:sz w:val="21"/>
          <w:szCs w:val="21"/>
        </w:rPr>
      </w:pPr>
      <w:r w:rsidRPr="008E2A22">
        <w:rPr>
          <w:rFonts w:cs="Arial"/>
          <w:b/>
          <w:bCs/>
          <w:sz w:val="21"/>
          <w:szCs w:val="21"/>
        </w:rPr>
        <w:t>JUDGMENT</w:t>
      </w:r>
    </w:p>
    <w:p w14:paraId="52CD25EB" w14:textId="77777777" w:rsidR="006C43D7" w:rsidRPr="008E2A22" w:rsidRDefault="006C43D7" w:rsidP="00C74E97">
      <w:pPr>
        <w:pBdr>
          <w:bottom w:val="single" w:sz="4" w:space="1" w:color="auto"/>
        </w:pBdr>
        <w:spacing w:line="360" w:lineRule="auto"/>
        <w:jc w:val="both"/>
        <w:rPr>
          <w:rFonts w:cs="Arial"/>
          <w:sz w:val="21"/>
          <w:szCs w:val="21"/>
        </w:rPr>
      </w:pPr>
    </w:p>
    <w:p w14:paraId="2FFFE5A8" w14:textId="77777777" w:rsidR="0040197A" w:rsidRPr="008E2A22" w:rsidRDefault="0040197A" w:rsidP="00C74E97">
      <w:pPr>
        <w:spacing w:after="480" w:line="360" w:lineRule="auto"/>
        <w:jc w:val="both"/>
        <w:rPr>
          <w:rFonts w:cs="Arial"/>
          <w:b/>
          <w:sz w:val="21"/>
          <w:szCs w:val="21"/>
        </w:rPr>
      </w:pPr>
    </w:p>
    <w:p w14:paraId="5BD82EFE" w14:textId="147D8FBC" w:rsidR="00BE6AB8" w:rsidRPr="008E2A22" w:rsidRDefault="00C676F3" w:rsidP="00C74E97">
      <w:pPr>
        <w:spacing w:after="480" w:line="360" w:lineRule="auto"/>
        <w:jc w:val="both"/>
        <w:rPr>
          <w:rFonts w:cs="Arial"/>
          <w:b/>
          <w:sz w:val="21"/>
          <w:szCs w:val="21"/>
        </w:rPr>
      </w:pPr>
      <w:r w:rsidRPr="008E2A22">
        <w:rPr>
          <w:rFonts w:cs="Arial"/>
          <w:b/>
          <w:sz w:val="21"/>
          <w:szCs w:val="21"/>
        </w:rPr>
        <w:lastRenderedPageBreak/>
        <w:t>MOORCROFT</w:t>
      </w:r>
      <w:r w:rsidR="006C43D7" w:rsidRPr="008E2A22">
        <w:rPr>
          <w:rFonts w:cs="Arial"/>
          <w:b/>
          <w:sz w:val="21"/>
          <w:szCs w:val="21"/>
        </w:rPr>
        <w:t xml:space="preserve"> AJ:</w:t>
      </w:r>
    </w:p>
    <w:p w14:paraId="5B9302F1" w14:textId="576D4E4A" w:rsidR="001F361F" w:rsidRPr="008E2A22" w:rsidRDefault="00C460A0" w:rsidP="00FE60F7">
      <w:pPr>
        <w:keepNext/>
        <w:spacing w:after="480" w:line="360" w:lineRule="auto"/>
        <w:jc w:val="both"/>
        <w:rPr>
          <w:rFonts w:cs="Arial"/>
          <w:bCs/>
          <w:i/>
          <w:iCs/>
          <w:sz w:val="21"/>
          <w:szCs w:val="21"/>
          <w:u w:val="single"/>
        </w:rPr>
      </w:pPr>
      <w:r w:rsidRPr="008E2A22">
        <w:rPr>
          <w:rFonts w:cs="Arial"/>
          <w:bCs/>
          <w:i/>
          <w:iCs/>
          <w:sz w:val="21"/>
          <w:szCs w:val="21"/>
          <w:u w:val="single"/>
        </w:rPr>
        <w:t>Summary</w:t>
      </w:r>
    </w:p>
    <w:p w14:paraId="2830538E" w14:textId="1745E654" w:rsidR="007D5032" w:rsidRDefault="007D5032" w:rsidP="00FE60F7">
      <w:pPr>
        <w:keepNext/>
        <w:spacing w:after="480" w:line="360" w:lineRule="auto"/>
        <w:jc w:val="both"/>
        <w:rPr>
          <w:rFonts w:cs="Arial"/>
          <w:bCs/>
          <w:i/>
          <w:iCs/>
          <w:sz w:val="21"/>
          <w:szCs w:val="21"/>
        </w:rPr>
      </w:pPr>
      <w:r>
        <w:rPr>
          <w:rFonts w:cs="Arial"/>
          <w:bCs/>
          <w:i/>
          <w:iCs/>
          <w:sz w:val="21"/>
          <w:szCs w:val="21"/>
        </w:rPr>
        <w:t xml:space="preserve">Leave to appeal </w:t>
      </w:r>
      <w:r w:rsidR="00212AFB">
        <w:rPr>
          <w:rFonts w:cs="Arial"/>
          <w:bCs/>
          <w:i/>
          <w:iCs/>
          <w:sz w:val="21"/>
          <w:szCs w:val="21"/>
        </w:rPr>
        <w:t>– appeal lies against decision and against reasons for the decision</w:t>
      </w:r>
    </w:p>
    <w:p w14:paraId="5ABA4249" w14:textId="5F465089" w:rsidR="00D33A54" w:rsidRDefault="00E676E7" w:rsidP="00FE60F7">
      <w:pPr>
        <w:keepNext/>
        <w:spacing w:after="480" w:line="360" w:lineRule="auto"/>
        <w:jc w:val="both"/>
        <w:rPr>
          <w:rFonts w:cs="Arial"/>
          <w:bCs/>
          <w:i/>
          <w:iCs/>
          <w:sz w:val="21"/>
          <w:szCs w:val="21"/>
        </w:rPr>
      </w:pPr>
      <w:r>
        <w:rPr>
          <w:rFonts w:cs="Arial"/>
          <w:bCs/>
          <w:i/>
          <w:iCs/>
          <w:sz w:val="21"/>
          <w:szCs w:val="21"/>
        </w:rPr>
        <w:t xml:space="preserve">Rescission of judgment </w:t>
      </w:r>
      <w:r w:rsidR="00FE60F7">
        <w:rPr>
          <w:rFonts w:cs="Arial"/>
          <w:bCs/>
          <w:i/>
          <w:iCs/>
          <w:sz w:val="21"/>
          <w:szCs w:val="21"/>
        </w:rPr>
        <w:t>–</w:t>
      </w:r>
      <w:r>
        <w:rPr>
          <w:rFonts w:cs="Arial"/>
          <w:bCs/>
          <w:i/>
          <w:iCs/>
          <w:sz w:val="21"/>
          <w:szCs w:val="21"/>
        </w:rPr>
        <w:t xml:space="preserve"> </w:t>
      </w:r>
      <w:r w:rsidR="00FE60F7">
        <w:rPr>
          <w:rFonts w:cs="Arial"/>
          <w:bCs/>
          <w:i/>
          <w:iCs/>
          <w:sz w:val="21"/>
          <w:szCs w:val="21"/>
        </w:rPr>
        <w:t>common law - good cause – requirements of a reasonable explanation and a bona fide defence</w:t>
      </w:r>
      <w:r w:rsidR="00CA591E">
        <w:rPr>
          <w:rFonts w:cs="Arial"/>
          <w:bCs/>
          <w:i/>
          <w:iCs/>
          <w:sz w:val="21"/>
          <w:szCs w:val="21"/>
        </w:rPr>
        <w:t xml:space="preserve"> – Court has a wide discretion</w:t>
      </w:r>
    </w:p>
    <w:p w14:paraId="18AFD427" w14:textId="05981D93" w:rsidR="00BE6AB8" w:rsidRPr="008E2A22" w:rsidRDefault="00212AFB" w:rsidP="00FE60F7">
      <w:pPr>
        <w:keepNext/>
        <w:spacing w:after="480" w:line="360" w:lineRule="auto"/>
        <w:jc w:val="both"/>
        <w:rPr>
          <w:rFonts w:cs="Arial"/>
          <w:bCs/>
          <w:sz w:val="21"/>
          <w:szCs w:val="21"/>
          <w:u w:val="single"/>
        </w:rPr>
      </w:pPr>
      <w:r>
        <w:rPr>
          <w:rFonts w:cs="Arial"/>
          <w:bCs/>
          <w:sz w:val="21"/>
          <w:szCs w:val="21"/>
          <w:u w:val="single"/>
        </w:rPr>
        <w:t>O</w:t>
      </w:r>
      <w:r w:rsidR="00BE6AB8" w:rsidRPr="008E2A22">
        <w:rPr>
          <w:rFonts w:cs="Arial"/>
          <w:bCs/>
          <w:sz w:val="21"/>
          <w:szCs w:val="21"/>
          <w:u w:val="single"/>
        </w:rPr>
        <w:t>rder</w:t>
      </w:r>
    </w:p>
    <w:p w14:paraId="63515C87" w14:textId="7E7ADB9C" w:rsidR="004E3D0E" w:rsidRPr="008E2A22" w:rsidRDefault="00D20A1A" w:rsidP="00D20A1A">
      <w:pPr>
        <w:tabs>
          <w:tab w:val="left" w:pos="567"/>
        </w:tabs>
        <w:spacing w:after="480" w:line="360" w:lineRule="auto"/>
        <w:jc w:val="both"/>
        <w:rPr>
          <w:rFonts w:cs="Arial"/>
          <w:i/>
          <w:iCs/>
          <w:sz w:val="21"/>
          <w:szCs w:val="21"/>
        </w:rPr>
      </w:pPr>
      <w:r w:rsidRPr="008E2A22">
        <w:rPr>
          <w:rFonts w:cs="Arial"/>
          <w:iCs/>
          <w:sz w:val="21"/>
          <w:szCs w:val="21"/>
        </w:rPr>
        <w:t>[1]</w:t>
      </w:r>
      <w:r w:rsidRPr="008E2A22">
        <w:rPr>
          <w:rFonts w:cs="Arial"/>
          <w:iCs/>
          <w:sz w:val="21"/>
          <w:szCs w:val="21"/>
        </w:rPr>
        <w:tab/>
      </w:r>
      <w:r w:rsidR="003B4100" w:rsidRPr="008E2A22">
        <w:rPr>
          <w:rFonts w:cs="Arial"/>
          <w:bCs/>
          <w:sz w:val="21"/>
          <w:szCs w:val="21"/>
        </w:rPr>
        <w:t xml:space="preserve">In this </w:t>
      </w:r>
      <w:r w:rsidR="00B56906" w:rsidRPr="008E2A22">
        <w:rPr>
          <w:rFonts w:cs="Arial"/>
          <w:bCs/>
          <w:sz w:val="21"/>
          <w:szCs w:val="21"/>
        </w:rPr>
        <w:t xml:space="preserve">matter </w:t>
      </w:r>
      <w:r w:rsidR="00C460A0" w:rsidRPr="008E2A22">
        <w:rPr>
          <w:rFonts w:cs="Arial"/>
          <w:bCs/>
          <w:sz w:val="21"/>
          <w:szCs w:val="21"/>
        </w:rPr>
        <w:t>I ma</w:t>
      </w:r>
      <w:r w:rsidR="000976D2" w:rsidRPr="008E2A22">
        <w:rPr>
          <w:rFonts w:cs="Arial"/>
          <w:bCs/>
          <w:sz w:val="21"/>
          <w:szCs w:val="21"/>
        </w:rPr>
        <w:t>k</w:t>
      </w:r>
      <w:r w:rsidR="00DC6EF8" w:rsidRPr="008E2A22">
        <w:rPr>
          <w:rFonts w:cs="Arial"/>
          <w:bCs/>
          <w:sz w:val="21"/>
          <w:szCs w:val="21"/>
        </w:rPr>
        <w:t>e</w:t>
      </w:r>
      <w:r w:rsidR="00C460A0" w:rsidRPr="008E2A22">
        <w:rPr>
          <w:rFonts w:cs="Arial"/>
          <w:bCs/>
          <w:sz w:val="21"/>
          <w:szCs w:val="21"/>
        </w:rPr>
        <w:t xml:space="preserve"> the following order</w:t>
      </w:r>
      <w:r w:rsidR="000976D2" w:rsidRPr="008E2A22">
        <w:rPr>
          <w:rFonts w:cs="Arial"/>
          <w:bCs/>
          <w:sz w:val="21"/>
          <w:szCs w:val="21"/>
        </w:rPr>
        <w:t>:</w:t>
      </w:r>
    </w:p>
    <w:p w14:paraId="17968712" w14:textId="22A3BC48" w:rsidR="003244CA" w:rsidRPr="00D20A1A" w:rsidRDefault="00D20A1A" w:rsidP="00D20A1A">
      <w:pPr>
        <w:spacing w:after="480" w:line="360" w:lineRule="auto"/>
        <w:ind w:left="720" w:hanging="360"/>
        <w:jc w:val="both"/>
        <w:rPr>
          <w:rFonts w:cs="Arial"/>
          <w:i/>
          <w:iCs/>
          <w:sz w:val="21"/>
          <w:szCs w:val="21"/>
        </w:rPr>
      </w:pPr>
      <w:r>
        <w:rPr>
          <w:rFonts w:cs="Arial"/>
          <w:i/>
          <w:iCs/>
          <w:sz w:val="21"/>
          <w:szCs w:val="21"/>
        </w:rPr>
        <w:t>1.</w:t>
      </w:r>
      <w:r>
        <w:rPr>
          <w:rFonts w:cs="Arial"/>
          <w:i/>
          <w:iCs/>
          <w:sz w:val="21"/>
          <w:szCs w:val="21"/>
        </w:rPr>
        <w:tab/>
      </w:r>
      <w:r w:rsidR="003244CA" w:rsidRPr="00D20A1A">
        <w:rPr>
          <w:rFonts w:cs="Arial"/>
          <w:i/>
          <w:iCs/>
          <w:sz w:val="21"/>
          <w:szCs w:val="21"/>
        </w:rPr>
        <w:t xml:space="preserve">The application for leave to appeal is </w:t>
      </w:r>
      <w:proofErr w:type="gramStart"/>
      <w:r w:rsidR="003244CA" w:rsidRPr="00D20A1A">
        <w:rPr>
          <w:rFonts w:cs="Arial"/>
          <w:i/>
          <w:iCs/>
          <w:sz w:val="21"/>
          <w:szCs w:val="21"/>
        </w:rPr>
        <w:t>dismissed;</w:t>
      </w:r>
      <w:proofErr w:type="gramEnd"/>
    </w:p>
    <w:p w14:paraId="115774C9" w14:textId="38CCE08C" w:rsidR="0040197A" w:rsidRPr="00D20A1A" w:rsidRDefault="00D20A1A" w:rsidP="00D20A1A">
      <w:pPr>
        <w:spacing w:after="480" w:line="360" w:lineRule="auto"/>
        <w:ind w:left="720" w:hanging="360"/>
        <w:jc w:val="both"/>
        <w:rPr>
          <w:rFonts w:cs="Arial"/>
          <w:i/>
          <w:iCs/>
          <w:sz w:val="21"/>
          <w:szCs w:val="21"/>
        </w:rPr>
      </w:pPr>
      <w:r>
        <w:rPr>
          <w:rFonts w:cs="Arial"/>
          <w:i/>
          <w:iCs/>
          <w:sz w:val="21"/>
          <w:szCs w:val="21"/>
        </w:rPr>
        <w:t>2.</w:t>
      </w:r>
      <w:r>
        <w:rPr>
          <w:rFonts w:cs="Arial"/>
          <w:i/>
          <w:iCs/>
          <w:sz w:val="21"/>
          <w:szCs w:val="21"/>
        </w:rPr>
        <w:tab/>
      </w:r>
      <w:r w:rsidR="003244CA" w:rsidRPr="00D20A1A">
        <w:rPr>
          <w:rFonts w:cs="Arial"/>
          <w:i/>
          <w:iCs/>
          <w:sz w:val="21"/>
          <w:szCs w:val="21"/>
        </w:rPr>
        <w:t>The applicants are ordered to pay the costs of the application.</w:t>
      </w:r>
    </w:p>
    <w:p w14:paraId="0258D413" w14:textId="076CCA05" w:rsidR="003244CA" w:rsidRPr="003244CA" w:rsidRDefault="003244CA" w:rsidP="003244CA">
      <w:pPr>
        <w:spacing w:after="480" w:line="360" w:lineRule="auto"/>
        <w:jc w:val="both"/>
        <w:rPr>
          <w:rFonts w:cs="Arial"/>
          <w:i/>
          <w:iCs/>
          <w:sz w:val="21"/>
          <w:szCs w:val="21"/>
        </w:rPr>
      </w:pPr>
    </w:p>
    <w:p w14:paraId="08540072" w14:textId="7B2F1BFB" w:rsidR="00C9310B" w:rsidRPr="00D20A1A" w:rsidRDefault="00D20A1A" w:rsidP="00D20A1A">
      <w:pPr>
        <w:widowControl w:val="0"/>
        <w:tabs>
          <w:tab w:val="left" w:pos="567"/>
        </w:tabs>
        <w:spacing w:before="480" w:after="480" w:line="360" w:lineRule="auto"/>
        <w:jc w:val="both"/>
        <w:rPr>
          <w:rFonts w:cs="Arial"/>
          <w:bCs/>
          <w:sz w:val="21"/>
          <w:szCs w:val="21"/>
          <w:u w:val="single"/>
        </w:rPr>
      </w:pPr>
      <w:r w:rsidRPr="008E2A22">
        <w:rPr>
          <w:rFonts w:cs="Arial"/>
          <w:bCs/>
          <w:sz w:val="21"/>
          <w:szCs w:val="21"/>
        </w:rPr>
        <w:t>[2]</w:t>
      </w:r>
      <w:r w:rsidRPr="008E2A22">
        <w:rPr>
          <w:rFonts w:cs="Arial"/>
          <w:bCs/>
          <w:sz w:val="21"/>
          <w:szCs w:val="21"/>
        </w:rPr>
        <w:tab/>
      </w:r>
      <w:r w:rsidR="004A5AF5" w:rsidRPr="00D20A1A">
        <w:rPr>
          <w:rFonts w:cs="Arial"/>
          <w:bCs/>
          <w:sz w:val="21"/>
          <w:szCs w:val="21"/>
        </w:rPr>
        <w:t xml:space="preserve">The </w:t>
      </w:r>
      <w:r w:rsidR="00573FF9" w:rsidRPr="00D20A1A">
        <w:rPr>
          <w:rFonts w:cs="Arial"/>
          <w:bCs/>
          <w:sz w:val="21"/>
          <w:szCs w:val="21"/>
        </w:rPr>
        <w:t xml:space="preserve">reasons for the order </w:t>
      </w:r>
      <w:r w:rsidR="00A63709" w:rsidRPr="00D20A1A">
        <w:rPr>
          <w:rFonts w:cs="Arial"/>
          <w:bCs/>
          <w:sz w:val="21"/>
          <w:szCs w:val="21"/>
        </w:rPr>
        <w:t>follow</w:t>
      </w:r>
      <w:r w:rsidR="00573FF9" w:rsidRPr="00D20A1A">
        <w:rPr>
          <w:rFonts w:cs="Arial"/>
          <w:bCs/>
          <w:sz w:val="21"/>
          <w:szCs w:val="21"/>
        </w:rPr>
        <w:t xml:space="preserve"> below.</w:t>
      </w:r>
    </w:p>
    <w:p w14:paraId="2162512F" w14:textId="10D8EE55" w:rsidR="003B4618" w:rsidRPr="003B4618" w:rsidRDefault="00D20A1A" w:rsidP="00D20A1A">
      <w:pPr>
        <w:widowControl w:val="0"/>
        <w:tabs>
          <w:tab w:val="left" w:pos="567"/>
        </w:tabs>
        <w:spacing w:before="480" w:after="480" w:line="360" w:lineRule="auto"/>
        <w:jc w:val="both"/>
        <w:rPr>
          <w:rStyle w:val="FootnoteReference"/>
          <w:rFonts w:cs="Arial"/>
          <w:bCs/>
          <w:sz w:val="21"/>
          <w:szCs w:val="21"/>
          <w:vertAlign w:val="baseline"/>
        </w:rPr>
      </w:pPr>
      <w:r w:rsidRPr="003B4618">
        <w:rPr>
          <w:rStyle w:val="FootnoteReference"/>
          <w:rFonts w:cs="Arial"/>
          <w:bCs/>
          <w:sz w:val="21"/>
          <w:szCs w:val="21"/>
          <w:vertAlign w:val="baseline"/>
        </w:rPr>
        <w:t>[3]</w:t>
      </w:r>
      <w:r w:rsidRPr="003B4618">
        <w:rPr>
          <w:rStyle w:val="FootnoteReference"/>
          <w:rFonts w:cs="Arial"/>
          <w:bCs/>
          <w:sz w:val="21"/>
          <w:szCs w:val="21"/>
          <w:vertAlign w:val="baseline"/>
        </w:rPr>
        <w:tab/>
      </w:r>
      <w:r w:rsidR="00EE5548">
        <w:rPr>
          <w:rFonts w:cs="Arial"/>
          <w:bCs/>
          <w:sz w:val="21"/>
          <w:szCs w:val="21"/>
        </w:rPr>
        <w:t xml:space="preserve">This is an application for leave to appeal </w:t>
      </w:r>
      <w:r w:rsidR="00AC2D09">
        <w:rPr>
          <w:rFonts w:cs="Arial"/>
          <w:bCs/>
          <w:sz w:val="21"/>
          <w:szCs w:val="21"/>
        </w:rPr>
        <w:t>to the Full Court</w:t>
      </w:r>
      <w:r w:rsidR="00AC2D09">
        <w:rPr>
          <w:rStyle w:val="FootnoteReference"/>
          <w:rFonts w:cs="Arial"/>
          <w:bCs/>
          <w:sz w:val="21"/>
          <w:szCs w:val="21"/>
        </w:rPr>
        <w:footnoteReference w:id="1"/>
      </w:r>
      <w:r w:rsidR="00AC2D09">
        <w:rPr>
          <w:rFonts w:cs="Arial"/>
          <w:bCs/>
          <w:sz w:val="21"/>
          <w:szCs w:val="21"/>
        </w:rPr>
        <w:t xml:space="preserve"> of the Gauteng Division, Johannesburg, </w:t>
      </w:r>
      <w:r w:rsidR="00EE5548">
        <w:rPr>
          <w:rFonts w:cs="Arial"/>
          <w:bCs/>
          <w:sz w:val="21"/>
          <w:szCs w:val="21"/>
        </w:rPr>
        <w:t>against the dismissal</w:t>
      </w:r>
      <w:r w:rsidR="007C6AB6">
        <w:rPr>
          <w:rStyle w:val="FootnoteReference"/>
          <w:rFonts w:cs="Arial"/>
          <w:bCs/>
          <w:sz w:val="21"/>
          <w:szCs w:val="21"/>
        </w:rPr>
        <w:footnoteReference w:id="2"/>
      </w:r>
      <w:r w:rsidR="00EE5548">
        <w:rPr>
          <w:rFonts w:cs="Arial"/>
          <w:bCs/>
          <w:sz w:val="21"/>
          <w:szCs w:val="21"/>
        </w:rPr>
        <w:t xml:space="preserve"> of an application for the rescission</w:t>
      </w:r>
      <w:r w:rsidR="00AC2D09">
        <w:rPr>
          <w:rStyle w:val="FootnoteReference"/>
          <w:rFonts w:cs="Arial"/>
          <w:bCs/>
          <w:sz w:val="21"/>
          <w:szCs w:val="21"/>
        </w:rPr>
        <w:footnoteReference w:id="3"/>
      </w:r>
      <w:r w:rsidR="00EE5548">
        <w:rPr>
          <w:rFonts w:cs="Arial"/>
          <w:bCs/>
          <w:sz w:val="21"/>
          <w:szCs w:val="21"/>
        </w:rPr>
        <w:t xml:space="preserve"> of a default judgement granted in this Court.</w:t>
      </w:r>
      <w:r w:rsidR="003E3515">
        <w:rPr>
          <w:rFonts w:cs="Arial"/>
          <w:bCs/>
          <w:sz w:val="21"/>
          <w:szCs w:val="21"/>
        </w:rPr>
        <w:t xml:space="preserve"> The applicants seek leave to appeal against paragraphs 1 and 3 of the judgement granted on 5 March 2024.</w:t>
      </w:r>
    </w:p>
    <w:p w14:paraId="6AE3A2AE" w14:textId="7E11EDB3" w:rsidR="003B4618" w:rsidRDefault="00D20A1A" w:rsidP="00D20A1A">
      <w:pPr>
        <w:widowControl w:val="0"/>
        <w:tabs>
          <w:tab w:val="left" w:pos="567"/>
        </w:tabs>
        <w:spacing w:before="480" w:after="480" w:line="360" w:lineRule="auto"/>
        <w:jc w:val="both"/>
        <w:rPr>
          <w:rFonts w:cs="Arial"/>
          <w:bCs/>
          <w:sz w:val="21"/>
          <w:szCs w:val="21"/>
        </w:rPr>
      </w:pPr>
      <w:r>
        <w:rPr>
          <w:rFonts w:cs="Arial"/>
          <w:bCs/>
          <w:sz w:val="21"/>
          <w:szCs w:val="21"/>
        </w:rPr>
        <w:t>[4]</w:t>
      </w:r>
      <w:r>
        <w:rPr>
          <w:rFonts w:cs="Arial"/>
          <w:bCs/>
          <w:sz w:val="21"/>
          <w:szCs w:val="21"/>
        </w:rPr>
        <w:tab/>
      </w:r>
      <w:r w:rsidR="00EE5548">
        <w:rPr>
          <w:rFonts w:cs="Arial"/>
          <w:bCs/>
          <w:sz w:val="21"/>
          <w:szCs w:val="21"/>
        </w:rPr>
        <w:t>In deciding an application for rescission a Court exercises a wide discretion.</w:t>
      </w:r>
      <w:r w:rsidR="00EE5548">
        <w:rPr>
          <w:rStyle w:val="FootnoteReference"/>
          <w:rFonts w:cs="Arial"/>
          <w:bCs/>
          <w:sz w:val="21"/>
          <w:szCs w:val="21"/>
        </w:rPr>
        <w:footnoteReference w:id="4"/>
      </w:r>
      <w:r w:rsidR="003B4618">
        <w:rPr>
          <w:rFonts w:cs="Arial"/>
          <w:bCs/>
          <w:sz w:val="21"/>
          <w:szCs w:val="21"/>
        </w:rPr>
        <w:t xml:space="preserve"> </w:t>
      </w:r>
      <w:r w:rsidR="00CA591E">
        <w:rPr>
          <w:rFonts w:cs="Arial"/>
          <w:bCs/>
          <w:sz w:val="21"/>
          <w:szCs w:val="21"/>
        </w:rPr>
        <w:t>A</w:t>
      </w:r>
      <w:r w:rsidR="003B4618">
        <w:rPr>
          <w:rFonts w:cs="Arial"/>
          <w:bCs/>
          <w:sz w:val="21"/>
          <w:szCs w:val="21"/>
        </w:rPr>
        <w:t xml:space="preserve"> court of appeal will not readily interfere with the discretionary decision of the court below because the </w:t>
      </w:r>
      <w:r w:rsidR="003244CA">
        <w:rPr>
          <w:rFonts w:cs="Arial"/>
          <w:bCs/>
          <w:sz w:val="21"/>
          <w:szCs w:val="21"/>
        </w:rPr>
        <w:t>-</w:t>
      </w:r>
    </w:p>
    <w:p w14:paraId="4115BD17" w14:textId="30EFDA30" w:rsidR="007D5032" w:rsidRPr="003B4618" w:rsidRDefault="003B4618" w:rsidP="003B4618">
      <w:pPr>
        <w:widowControl w:val="0"/>
        <w:spacing w:before="480" w:after="480" w:line="360" w:lineRule="auto"/>
        <w:ind w:left="720"/>
        <w:jc w:val="both"/>
        <w:rPr>
          <w:rFonts w:cs="Arial"/>
          <w:bCs/>
          <w:i/>
          <w:iCs/>
          <w:sz w:val="21"/>
          <w:szCs w:val="21"/>
        </w:rPr>
      </w:pPr>
      <w:r w:rsidRPr="003B4618">
        <w:rPr>
          <w:rFonts w:cs="Arial"/>
          <w:bCs/>
          <w:i/>
          <w:iCs/>
          <w:sz w:val="21"/>
          <w:szCs w:val="21"/>
        </w:rPr>
        <w:lastRenderedPageBreak/>
        <w:t>“</w:t>
      </w:r>
      <w:proofErr w:type="gramStart"/>
      <w:r w:rsidRPr="003B4618">
        <w:rPr>
          <w:rFonts w:cs="Arial"/>
          <w:bCs/>
          <w:i/>
          <w:iCs/>
          <w:sz w:val="21"/>
          <w:szCs w:val="21"/>
        </w:rPr>
        <w:t>power</w:t>
      </w:r>
      <w:proofErr w:type="gramEnd"/>
      <w:r w:rsidRPr="003B4618">
        <w:rPr>
          <w:rFonts w:cs="Arial"/>
          <w:bCs/>
          <w:i/>
          <w:iCs/>
          <w:sz w:val="21"/>
          <w:szCs w:val="21"/>
        </w:rPr>
        <w:t xml:space="preserve"> of interference on appeal is limited to cases of the vitiation by misdirection or irregularity</w:t>
      </w:r>
      <w:r w:rsidR="007C6AB6">
        <w:rPr>
          <w:rFonts w:cs="Arial"/>
          <w:bCs/>
          <w:i/>
          <w:iCs/>
          <w:sz w:val="21"/>
          <w:szCs w:val="21"/>
        </w:rPr>
        <w:t>, or the absence of grounds on which a court, acting reasonably, could have made the order in question. The Court of appeal cannot interfere merely on the ground that it would itself have made a different order.”</w:t>
      </w:r>
      <w:r w:rsidR="007C6AB6">
        <w:rPr>
          <w:rStyle w:val="FootnoteReference"/>
          <w:rFonts w:cs="Arial"/>
          <w:bCs/>
          <w:i/>
          <w:iCs/>
          <w:sz w:val="21"/>
          <w:szCs w:val="21"/>
        </w:rPr>
        <w:footnoteReference w:id="5"/>
      </w:r>
    </w:p>
    <w:p w14:paraId="6DF68ED1" w14:textId="59BBF698" w:rsidR="003244CA" w:rsidRDefault="00D20A1A" w:rsidP="00D20A1A">
      <w:pPr>
        <w:keepNext/>
        <w:widowControl w:val="0"/>
        <w:tabs>
          <w:tab w:val="left" w:pos="567"/>
        </w:tabs>
        <w:spacing w:before="480" w:after="480" w:line="480" w:lineRule="auto"/>
        <w:jc w:val="both"/>
        <w:rPr>
          <w:rFonts w:cs="Arial"/>
          <w:bCs/>
          <w:szCs w:val="22"/>
        </w:rPr>
      </w:pPr>
      <w:bookmarkStart w:id="0" w:name="_Hlk146086241"/>
      <w:r>
        <w:rPr>
          <w:rFonts w:cs="Arial"/>
          <w:bCs/>
          <w:szCs w:val="22"/>
        </w:rPr>
        <w:t>[5]</w:t>
      </w:r>
      <w:r>
        <w:rPr>
          <w:rFonts w:cs="Arial"/>
          <w:bCs/>
          <w:szCs w:val="22"/>
        </w:rPr>
        <w:tab/>
      </w:r>
      <w:r w:rsidR="004516D0">
        <w:rPr>
          <w:rFonts w:cs="Arial"/>
          <w:bCs/>
          <w:szCs w:val="22"/>
        </w:rPr>
        <w:t xml:space="preserve">In </w:t>
      </w:r>
      <w:r w:rsidR="003244CA">
        <w:rPr>
          <w:rFonts w:cs="Arial"/>
          <w:bCs/>
          <w:szCs w:val="22"/>
        </w:rPr>
        <w:t>the judgement I dealt with the requirement of good cause</w:t>
      </w:r>
      <w:r w:rsidR="00AC2D09">
        <w:rPr>
          <w:rStyle w:val="FootnoteReference"/>
          <w:rFonts w:cs="Arial"/>
          <w:bCs/>
          <w:szCs w:val="22"/>
        </w:rPr>
        <w:footnoteReference w:id="6"/>
      </w:r>
      <w:r w:rsidR="003244CA">
        <w:rPr>
          <w:rFonts w:cs="Arial"/>
          <w:bCs/>
          <w:szCs w:val="22"/>
        </w:rPr>
        <w:t xml:space="preserve"> in the context of the common law and rule 31 of the uniform rules in paragraphs 4 to 6, with the requirement of a reasonable explanation for the default in paragraphs 7 to 14, and with the requirement of a bone fide defence in paragraphs 15 to 27. In the application for leave to appeal the applicants did not rely on rule 42 (1) (a)</w:t>
      </w:r>
      <w:r w:rsidR="003244CA">
        <w:rPr>
          <w:rStyle w:val="FootnoteReference"/>
          <w:rFonts w:cs="Arial"/>
          <w:bCs/>
          <w:szCs w:val="22"/>
        </w:rPr>
        <w:footnoteReference w:id="7"/>
      </w:r>
      <w:r w:rsidR="00AC2D09">
        <w:rPr>
          <w:rFonts w:cs="Arial"/>
          <w:bCs/>
          <w:szCs w:val="22"/>
        </w:rPr>
        <w:t xml:space="preserve"> but relies only on the common law.</w:t>
      </w:r>
      <w:r w:rsidR="00AC2D09">
        <w:rPr>
          <w:rStyle w:val="FootnoteReference"/>
          <w:rFonts w:cs="Arial"/>
          <w:bCs/>
          <w:szCs w:val="22"/>
        </w:rPr>
        <w:footnoteReference w:id="8"/>
      </w:r>
    </w:p>
    <w:p w14:paraId="7AB798C7" w14:textId="5B9E0F40" w:rsidR="003244CA" w:rsidRDefault="00D20A1A" w:rsidP="00D20A1A">
      <w:pPr>
        <w:keepNext/>
        <w:widowControl w:val="0"/>
        <w:tabs>
          <w:tab w:val="left" w:pos="567"/>
        </w:tabs>
        <w:spacing w:before="480" w:after="480" w:line="480" w:lineRule="auto"/>
        <w:jc w:val="both"/>
        <w:rPr>
          <w:rFonts w:cs="Arial"/>
          <w:bCs/>
          <w:szCs w:val="22"/>
        </w:rPr>
      </w:pPr>
      <w:r>
        <w:rPr>
          <w:rFonts w:cs="Arial"/>
          <w:bCs/>
          <w:szCs w:val="22"/>
        </w:rPr>
        <w:t>[6]</w:t>
      </w:r>
      <w:r>
        <w:rPr>
          <w:rFonts w:cs="Arial"/>
          <w:bCs/>
          <w:szCs w:val="22"/>
        </w:rPr>
        <w:tab/>
      </w:r>
      <w:r w:rsidR="003244CA">
        <w:rPr>
          <w:rFonts w:cs="Arial"/>
          <w:bCs/>
          <w:szCs w:val="22"/>
        </w:rPr>
        <w:t xml:space="preserve">The applicants and the other respondents in the main application referred to as the Leishers gave notice of their intention to oppose the </w:t>
      </w:r>
      <w:r w:rsidR="00CA591E">
        <w:rPr>
          <w:rFonts w:cs="Arial"/>
          <w:bCs/>
          <w:szCs w:val="22"/>
        </w:rPr>
        <w:t xml:space="preserve">main </w:t>
      </w:r>
      <w:r w:rsidR="003244CA">
        <w:rPr>
          <w:rFonts w:cs="Arial"/>
          <w:bCs/>
          <w:szCs w:val="22"/>
        </w:rPr>
        <w:t>application but they never filed answering affidavits. Without prejudice settlement negotiations to place but when the matter did not become settled it was set down on the unopposed role for 22 February 2023. The matter was then removed from the role</w:t>
      </w:r>
      <w:r w:rsidR="00720189">
        <w:rPr>
          <w:rFonts w:cs="Arial"/>
          <w:bCs/>
          <w:szCs w:val="22"/>
        </w:rPr>
        <w:t xml:space="preserve"> and on 21 February 2023 the applicants were advised that the new date would be sought and that no further delay would be tolerated. On 2 March 2023 the applicants advised that unless proposals made by them were </w:t>
      </w:r>
      <w:proofErr w:type="gramStart"/>
      <w:r w:rsidR="00720189">
        <w:rPr>
          <w:rFonts w:cs="Arial"/>
          <w:bCs/>
          <w:szCs w:val="22"/>
        </w:rPr>
        <w:t>accepted</w:t>
      </w:r>
      <w:proofErr w:type="gramEnd"/>
      <w:r w:rsidR="00720189">
        <w:rPr>
          <w:rFonts w:cs="Arial"/>
          <w:bCs/>
          <w:szCs w:val="22"/>
        </w:rPr>
        <w:t xml:space="preserve"> they would proceed in court. They did not file opposing affidavits as intimated in</w:t>
      </w:r>
      <w:r w:rsidR="004516D0">
        <w:rPr>
          <w:rFonts w:cs="Arial"/>
          <w:bCs/>
          <w:szCs w:val="22"/>
        </w:rPr>
        <w:t xml:space="preserve"> the</w:t>
      </w:r>
      <w:r w:rsidR="00720189">
        <w:rPr>
          <w:rFonts w:cs="Arial"/>
          <w:bCs/>
          <w:szCs w:val="22"/>
        </w:rPr>
        <w:t xml:space="preserve"> correspondence on 2 March 2023.</w:t>
      </w:r>
    </w:p>
    <w:p w14:paraId="01F260E1" w14:textId="08AFCED2" w:rsidR="00720189" w:rsidRDefault="00D20A1A" w:rsidP="00D20A1A">
      <w:pPr>
        <w:keepNext/>
        <w:widowControl w:val="0"/>
        <w:tabs>
          <w:tab w:val="left" w:pos="567"/>
        </w:tabs>
        <w:spacing w:before="480" w:after="480" w:line="480" w:lineRule="auto"/>
        <w:jc w:val="both"/>
        <w:rPr>
          <w:rFonts w:cs="Arial"/>
          <w:bCs/>
          <w:szCs w:val="22"/>
        </w:rPr>
      </w:pPr>
      <w:r>
        <w:rPr>
          <w:rFonts w:cs="Arial"/>
          <w:bCs/>
          <w:szCs w:val="22"/>
        </w:rPr>
        <w:t>[7]</w:t>
      </w:r>
      <w:r>
        <w:rPr>
          <w:rFonts w:cs="Arial"/>
          <w:bCs/>
          <w:szCs w:val="22"/>
        </w:rPr>
        <w:tab/>
      </w:r>
      <w:r w:rsidR="00720189">
        <w:rPr>
          <w:rFonts w:cs="Arial"/>
          <w:bCs/>
          <w:szCs w:val="22"/>
        </w:rPr>
        <w:t>The matter was set down for 10 May 2023 and a notice of set down was served by email. The set down was uploaded to CaseLines. The set down was confirmed in an email message on 27 April 2023 and this message apparently found its way into the junk mail folder of the attorney</w:t>
      </w:r>
      <w:r w:rsidR="00CA591E">
        <w:rPr>
          <w:rFonts w:cs="Arial"/>
          <w:bCs/>
          <w:szCs w:val="22"/>
        </w:rPr>
        <w:t xml:space="preserve"> dealing with the matter</w:t>
      </w:r>
      <w:r w:rsidR="00720189">
        <w:rPr>
          <w:rFonts w:cs="Arial"/>
          <w:bCs/>
          <w:szCs w:val="22"/>
        </w:rPr>
        <w:t xml:space="preserve">. The attorney was in hospital from 28 April 2023 onwards but during the period of her absence the CaseLines system was </w:t>
      </w:r>
      <w:r w:rsidR="00720189">
        <w:rPr>
          <w:rFonts w:cs="Arial"/>
          <w:bCs/>
          <w:szCs w:val="22"/>
        </w:rPr>
        <w:lastRenderedPageBreak/>
        <w:t>accessed</w:t>
      </w:r>
      <w:r w:rsidR="00721A26">
        <w:rPr>
          <w:rFonts w:cs="Arial"/>
          <w:bCs/>
          <w:szCs w:val="22"/>
        </w:rPr>
        <w:t xml:space="preserve"> in</w:t>
      </w:r>
      <w:r w:rsidR="00720189">
        <w:rPr>
          <w:rFonts w:cs="Arial"/>
          <w:bCs/>
          <w:szCs w:val="22"/>
        </w:rPr>
        <w:t xml:space="preserve"> by the applicants</w:t>
      </w:r>
      <w:r w:rsidR="00CA591E">
        <w:rPr>
          <w:rFonts w:cs="Arial"/>
          <w:bCs/>
          <w:szCs w:val="22"/>
        </w:rPr>
        <w:t>’</w:t>
      </w:r>
      <w:r w:rsidR="00720189">
        <w:rPr>
          <w:rFonts w:cs="Arial"/>
          <w:bCs/>
          <w:szCs w:val="22"/>
        </w:rPr>
        <w:t xml:space="preserve"> attorneys.</w:t>
      </w:r>
    </w:p>
    <w:p w14:paraId="0AD59BDE" w14:textId="2A83430B" w:rsidR="00720189" w:rsidRDefault="00D20A1A" w:rsidP="00D20A1A">
      <w:pPr>
        <w:keepNext/>
        <w:widowControl w:val="0"/>
        <w:tabs>
          <w:tab w:val="left" w:pos="567"/>
        </w:tabs>
        <w:spacing w:before="480" w:after="480" w:line="480" w:lineRule="auto"/>
        <w:jc w:val="both"/>
        <w:rPr>
          <w:rFonts w:cs="Arial"/>
          <w:bCs/>
          <w:szCs w:val="22"/>
        </w:rPr>
      </w:pPr>
      <w:r>
        <w:rPr>
          <w:rFonts w:cs="Arial"/>
          <w:bCs/>
          <w:szCs w:val="22"/>
        </w:rPr>
        <w:t>[8]</w:t>
      </w:r>
      <w:r>
        <w:rPr>
          <w:rFonts w:cs="Arial"/>
          <w:bCs/>
          <w:szCs w:val="22"/>
        </w:rPr>
        <w:tab/>
      </w:r>
      <w:r w:rsidR="00720189">
        <w:rPr>
          <w:rFonts w:cs="Arial"/>
          <w:bCs/>
          <w:szCs w:val="22"/>
        </w:rPr>
        <w:t>No affidavit evidence was placed before the court dealing with the fact that the CaseLines system was accessed by the attorneys for the applicants.</w:t>
      </w:r>
      <w:r w:rsidR="00720189">
        <w:rPr>
          <w:rStyle w:val="FootnoteReference"/>
          <w:rFonts w:cs="Arial"/>
          <w:bCs/>
          <w:szCs w:val="22"/>
        </w:rPr>
        <w:footnoteReference w:id="9"/>
      </w:r>
      <w:r w:rsidR="00720189">
        <w:rPr>
          <w:rFonts w:cs="Arial"/>
          <w:bCs/>
          <w:szCs w:val="22"/>
        </w:rPr>
        <w:t xml:space="preserve"> I concluded that the applicants for rescission had failed to give a reasonable explanation.</w:t>
      </w:r>
      <w:r w:rsidR="00D04B28">
        <w:rPr>
          <w:rFonts w:cs="Arial"/>
          <w:bCs/>
          <w:szCs w:val="22"/>
        </w:rPr>
        <w:t xml:space="preserve"> I therefore concluded that</w:t>
      </w:r>
      <w:r w:rsidR="00187FD1">
        <w:rPr>
          <w:rFonts w:cs="Arial"/>
          <w:bCs/>
          <w:szCs w:val="22"/>
        </w:rPr>
        <w:t xml:space="preserve"> the application for rescission could not be sustained as there was no reasonable explanation for the default.</w:t>
      </w:r>
      <w:r w:rsidR="00D04B28">
        <w:rPr>
          <w:rFonts w:cs="Arial"/>
          <w:bCs/>
          <w:szCs w:val="22"/>
        </w:rPr>
        <w:t xml:space="preserve"> </w:t>
      </w:r>
    </w:p>
    <w:p w14:paraId="1504414A" w14:textId="1E2C74A3" w:rsidR="00187FD1" w:rsidRDefault="00D20A1A" w:rsidP="00D20A1A">
      <w:pPr>
        <w:keepNext/>
        <w:widowControl w:val="0"/>
        <w:tabs>
          <w:tab w:val="left" w:pos="567"/>
        </w:tabs>
        <w:spacing w:before="480" w:after="480" w:line="480" w:lineRule="auto"/>
        <w:jc w:val="both"/>
        <w:rPr>
          <w:rFonts w:cs="Arial"/>
          <w:bCs/>
          <w:szCs w:val="22"/>
        </w:rPr>
      </w:pPr>
      <w:r>
        <w:rPr>
          <w:rFonts w:cs="Arial"/>
          <w:bCs/>
          <w:szCs w:val="22"/>
        </w:rPr>
        <w:t>[9]</w:t>
      </w:r>
      <w:r>
        <w:rPr>
          <w:rFonts w:cs="Arial"/>
          <w:bCs/>
          <w:szCs w:val="22"/>
        </w:rPr>
        <w:tab/>
      </w:r>
      <w:r w:rsidR="00D04B28">
        <w:rPr>
          <w:rFonts w:cs="Arial"/>
          <w:bCs/>
          <w:szCs w:val="22"/>
        </w:rPr>
        <w:t xml:space="preserve">With reference to the merits of the claim it was explained that a loan amount of R4 million was paid into the bank account of the first applicant. </w:t>
      </w:r>
      <w:r w:rsidR="00CA591E">
        <w:rPr>
          <w:rFonts w:cs="Arial"/>
          <w:bCs/>
          <w:szCs w:val="22"/>
        </w:rPr>
        <w:t xml:space="preserve">It was, according to the applicants, a loan made to the </w:t>
      </w:r>
      <w:proofErr w:type="spellStart"/>
      <w:r w:rsidR="00CA591E">
        <w:rPr>
          <w:rFonts w:cs="Arial"/>
          <w:bCs/>
          <w:szCs w:val="22"/>
        </w:rPr>
        <w:t>Leishers</w:t>
      </w:r>
      <w:proofErr w:type="spellEnd"/>
      <w:r w:rsidR="00CA591E">
        <w:rPr>
          <w:rStyle w:val="FootnoteReference"/>
          <w:rFonts w:cs="Arial"/>
          <w:bCs/>
          <w:szCs w:val="22"/>
        </w:rPr>
        <w:footnoteReference w:id="10"/>
      </w:r>
      <w:r w:rsidR="00CA591E">
        <w:rPr>
          <w:rFonts w:cs="Arial"/>
          <w:bCs/>
          <w:szCs w:val="22"/>
        </w:rPr>
        <w:t xml:space="preserve"> and not to the first applicant.</w:t>
      </w:r>
    </w:p>
    <w:p w14:paraId="03CFB2CA" w14:textId="168C447F" w:rsidR="00720189" w:rsidRPr="00187FD1" w:rsidRDefault="00D20A1A" w:rsidP="00D20A1A">
      <w:pPr>
        <w:keepNext/>
        <w:widowControl w:val="0"/>
        <w:tabs>
          <w:tab w:val="left" w:pos="567"/>
        </w:tabs>
        <w:spacing w:before="480" w:after="480" w:line="480" w:lineRule="auto"/>
        <w:jc w:val="both"/>
        <w:rPr>
          <w:rFonts w:cs="Arial"/>
          <w:bCs/>
          <w:szCs w:val="22"/>
        </w:rPr>
      </w:pPr>
      <w:r w:rsidRPr="00187FD1">
        <w:rPr>
          <w:rFonts w:cs="Arial"/>
          <w:bCs/>
          <w:szCs w:val="22"/>
        </w:rPr>
        <w:t>[10]</w:t>
      </w:r>
      <w:r w:rsidRPr="00187FD1">
        <w:rPr>
          <w:rFonts w:cs="Arial"/>
          <w:bCs/>
          <w:szCs w:val="22"/>
        </w:rPr>
        <w:tab/>
      </w:r>
      <w:r w:rsidR="00CA591E">
        <w:rPr>
          <w:rFonts w:cs="Arial"/>
          <w:bCs/>
          <w:szCs w:val="22"/>
        </w:rPr>
        <w:t>M</w:t>
      </w:r>
      <w:r w:rsidR="00D04B28" w:rsidRPr="00187FD1">
        <w:rPr>
          <w:rFonts w:cs="Arial"/>
          <w:bCs/>
          <w:szCs w:val="22"/>
        </w:rPr>
        <w:t xml:space="preserve">r and Mrs Leisher signed and acknowledgement of indebtedness on 8 October 2020 and they signed collectively of the second applicant and on behalf of the second applicant. </w:t>
      </w:r>
      <w:r w:rsidR="00720189" w:rsidRPr="00187FD1">
        <w:rPr>
          <w:rFonts w:cs="Arial"/>
          <w:bCs/>
          <w:szCs w:val="22"/>
        </w:rPr>
        <w:t xml:space="preserve">The applicants </w:t>
      </w:r>
      <w:r w:rsidR="00CA591E">
        <w:rPr>
          <w:rFonts w:cs="Arial"/>
          <w:bCs/>
          <w:szCs w:val="22"/>
        </w:rPr>
        <w:t xml:space="preserve">subsequently </w:t>
      </w:r>
      <w:r w:rsidR="00720189" w:rsidRPr="00187FD1">
        <w:rPr>
          <w:rFonts w:cs="Arial"/>
          <w:bCs/>
          <w:szCs w:val="22"/>
        </w:rPr>
        <w:t>adopted the view that the second applicant does not exist. I dealt with this averment in paragraphs 19 to 23 of the judgement</w:t>
      </w:r>
      <w:r w:rsidR="00721A26" w:rsidRPr="00187FD1">
        <w:rPr>
          <w:rFonts w:cs="Arial"/>
          <w:bCs/>
          <w:szCs w:val="22"/>
        </w:rPr>
        <w:t>. The applicants also stated that interest was only payable from the date on which the loan was to be repaid in full, and that in other words the loan would be an interest-free loan provided it was paid on due date. I dealt with this defence in paragraph 26 of the judgement</w:t>
      </w:r>
      <w:r w:rsidR="003E3515" w:rsidRPr="00187FD1">
        <w:rPr>
          <w:rFonts w:cs="Arial"/>
          <w:bCs/>
          <w:szCs w:val="22"/>
        </w:rPr>
        <w:t>.</w:t>
      </w:r>
    </w:p>
    <w:p w14:paraId="6EF36D79" w14:textId="3E9FE11F" w:rsidR="007D5032" w:rsidRPr="003244CA" w:rsidRDefault="00D20A1A" w:rsidP="00D20A1A">
      <w:pPr>
        <w:keepNext/>
        <w:widowControl w:val="0"/>
        <w:tabs>
          <w:tab w:val="left" w:pos="567"/>
        </w:tabs>
        <w:spacing w:before="480" w:after="480" w:line="480" w:lineRule="auto"/>
        <w:jc w:val="both"/>
        <w:rPr>
          <w:rFonts w:cs="Arial"/>
          <w:bCs/>
          <w:szCs w:val="22"/>
        </w:rPr>
      </w:pPr>
      <w:r w:rsidRPr="003244CA">
        <w:rPr>
          <w:rFonts w:cs="Arial"/>
          <w:bCs/>
          <w:szCs w:val="22"/>
        </w:rPr>
        <w:t>[11]</w:t>
      </w:r>
      <w:r w:rsidRPr="003244CA">
        <w:rPr>
          <w:rFonts w:cs="Arial"/>
          <w:bCs/>
          <w:szCs w:val="22"/>
        </w:rPr>
        <w:tab/>
      </w:r>
      <w:r w:rsidR="00212AFB" w:rsidRPr="003244CA">
        <w:rPr>
          <w:rFonts w:cs="Arial"/>
          <w:bCs/>
          <w:szCs w:val="22"/>
        </w:rPr>
        <w:t>An appeal lies against the decision</w:t>
      </w:r>
      <w:r w:rsidR="00212AFB">
        <w:rPr>
          <w:rStyle w:val="FootnoteReference"/>
          <w:rFonts w:cs="Arial"/>
          <w:bCs/>
          <w:szCs w:val="22"/>
        </w:rPr>
        <w:footnoteReference w:id="11"/>
      </w:r>
      <w:r w:rsidR="00212AFB" w:rsidRPr="003244CA">
        <w:rPr>
          <w:rFonts w:cs="Arial"/>
          <w:bCs/>
          <w:szCs w:val="22"/>
        </w:rPr>
        <w:t xml:space="preserve"> of the court and not against the reason for the decision.</w:t>
      </w:r>
      <w:r w:rsidR="00852735">
        <w:rPr>
          <w:rStyle w:val="FootnoteReference"/>
          <w:rFonts w:cs="Arial"/>
          <w:bCs/>
          <w:szCs w:val="22"/>
        </w:rPr>
        <w:footnoteReference w:id="12"/>
      </w:r>
      <w:r w:rsidR="003244CA" w:rsidRPr="003244CA">
        <w:rPr>
          <w:rFonts w:cs="Arial"/>
          <w:bCs/>
          <w:szCs w:val="22"/>
        </w:rPr>
        <w:t xml:space="preserve"> </w:t>
      </w:r>
      <w:r w:rsidR="007D5032" w:rsidRPr="003244CA">
        <w:rPr>
          <w:rFonts w:eastAsia="Calibri" w:cs="Arial"/>
          <w:szCs w:val="22"/>
        </w:rPr>
        <w:t xml:space="preserve">Section 17(1)(a)(i) and (ii) of the Superior Courts Act provides that leave to appeal may only be given where the judge or judges concerned are of the opinion that the appeal would have a reasonable prospect of success or there is some other </w:t>
      </w:r>
      <w:r w:rsidR="007D5032" w:rsidRPr="003244CA">
        <w:rPr>
          <w:rFonts w:eastAsia="Calibri" w:cs="Arial"/>
          <w:szCs w:val="22"/>
        </w:rPr>
        <w:lastRenderedPageBreak/>
        <w:t>compelling reason why the appeal should be heard, including conflicting judgments on the matter under consideration.</w:t>
      </w:r>
      <w:r w:rsidR="007D5032">
        <w:rPr>
          <w:rStyle w:val="FootnoteReference"/>
          <w:rFonts w:cs="Arial"/>
          <w:bCs/>
          <w:szCs w:val="22"/>
        </w:rPr>
        <w:footnoteReference w:id="13"/>
      </w:r>
      <w:r w:rsidR="007D5032" w:rsidRPr="003244CA">
        <w:rPr>
          <w:rFonts w:cs="Arial"/>
          <w:szCs w:val="22"/>
        </w:rPr>
        <w:t xml:space="preserve"> Once such an opinion is formed leave may not be refused. Importantly, a Judge hearing an application for leave to appeal is not called upon to decide if his or her decision was right or wrong. </w:t>
      </w:r>
    </w:p>
    <w:p w14:paraId="3C38C35E" w14:textId="6F522D47" w:rsidR="007D5032" w:rsidRPr="00637554" w:rsidRDefault="00D20A1A" w:rsidP="00D20A1A">
      <w:pPr>
        <w:widowControl w:val="0"/>
        <w:tabs>
          <w:tab w:val="left" w:pos="567"/>
        </w:tabs>
        <w:spacing w:before="480" w:after="480" w:line="360" w:lineRule="auto"/>
        <w:jc w:val="both"/>
        <w:rPr>
          <w:rFonts w:cs="Arial"/>
          <w:bCs/>
          <w:szCs w:val="22"/>
        </w:rPr>
      </w:pPr>
      <w:r w:rsidRPr="00637554">
        <w:rPr>
          <w:rFonts w:cs="Arial"/>
          <w:bCs/>
          <w:szCs w:val="22"/>
        </w:rPr>
        <w:t>[12]</w:t>
      </w:r>
      <w:r w:rsidRPr="00637554">
        <w:rPr>
          <w:rFonts w:cs="Arial"/>
          <w:bCs/>
          <w:szCs w:val="22"/>
        </w:rPr>
        <w:tab/>
      </w:r>
      <w:r w:rsidR="007D5032" w:rsidRPr="00637554">
        <w:rPr>
          <w:rFonts w:cs="Arial"/>
          <w:bCs/>
          <w:szCs w:val="22"/>
        </w:rPr>
        <w:t xml:space="preserve">In </w:t>
      </w:r>
      <w:proofErr w:type="spellStart"/>
      <w:r w:rsidR="007D5032" w:rsidRPr="00637554">
        <w:rPr>
          <w:rStyle w:val="searchhit"/>
          <w:rFonts w:cs="Arial"/>
          <w:i/>
          <w:iCs/>
          <w:color w:val="000000"/>
          <w:szCs w:val="22"/>
          <w:bdr w:val="none" w:sz="0" w:space="0" w:color="auto" w:frame="1"/>
          <w:shd w:val="clear" w:color="auto" w:fill="F9F9F9"/>
        </w:rPr>
        <w:t>Ramakatsa</w:t>
      </w:r>
      <w:proofErr w:type="spellEnd"/>
      <w:r w:rsidR="007D5032" w:rsidRPr="00637554">
        <w:rPr>
          <w:rFonts w:cs="Arial"/>
          <w:i/>
          <w:iCs/>
          <w:color w:val="000000"/>
          <w:szCs w:val="22"/>
          <w:shd w:val="clear" w:color="auto" w:fill="F9F9F9"/>
        </w:rPr>
        <w:t> and others v African National Congress and another</w:t>
      </w:r>
      <w:r w:rsidR="007D5032" w:rsidRPr="00637554">
        <w:rPr>
          <w:rStyle w:val="FootnoteReference"/>
          <w:rFonts w:cs="Arial"/>
          <w:bCs/>
          <w:i/>
          <w:iCs/>
          <w:szCs w:val="22"/>
        </w:rPr>
        <w:t xml:space="preserve"> </w:t>
      </w:r>
      <w:r w:rsidR="007D5032" w:rsidRPr="00637554">
        <w:rPr>
          <w:rStyle w:val="FootnoteReference"/>
          <w:rFonts w:cs="Arial"/>
          <w:bCs/>
          <w:i/>
          <w:iCs/>
          <w:szCs w:val="22"/>
        </w:rPr>
        <w:footnoteReference w:id="14"/>
      </w:r>
      <w:r w:rsidR="007D5032" w:rsidRPr="00637554">
        <w:rPr>
          <w:rFonts w:cs="Arial"/>
          <w:bCs/>
          <w:i/>
          <w:iCs/>
          <w:szCs w:val="22"/>
        </w:rPr>
        <w:t xml:space="preserve"> </w:t>
      </w:r>
      <w:r w:rsidR="007D5032" w:rsidRPr="00637554">
        <w:rPr>
          <w:rFonts w:cs="Arial"/>
          <w:bCs/>
          <w:szCs w:val="22"/>
        </w:rPr>
        <w:t xml:space="preserve"> Dlodlo JA placed the authorities in perspective. He said:</w:t>
      </w:r>
    </w:p>
    <w:bookmarkEnd w:id="0"/>
    <w:p w14:paraId="68ABCD34" w14:textId="5D4B07C0" w:rsidR="007D5032" w:rsidRPr="00637554" w:rsidRDefault="007D5032" w:rsidP="007D5032">
      <w:pPr>
        <w:widowControl w:val="0"/>
        <w:spacing w:before="480" w:after="480" w:line="360" w:lineRule="auto"/>
        <w:ind w:left="1440"/>
        <w:jc w:val="both"/>
        <w:rPr>
          <w:rFonts w:cs="Arial"/>
          <w:bCs/>
          <w:szCs w:val="22"/>
          <w:u w:val="single"/>
        </w:rPr>
      </w:pPr>
      <w:r w:rsidRPr="00637554">
        <w:rPr>
          <w:rFonts w:cs="Arial"/>
          <w:bCs/>
          <w:i/>
          <w:iCs/>
          <w:szCs w:val="22"/>
        </w:rPr>
        <w:t>“[</w:t>
      </w:r>
      <w:proofErr w:type="gramStart"/>
      <w:r w:rsidRPr="00637554">
        <w:rPr>
          <w:rFonts w:cs="Arial"/>
          <w:bCs/>
          <w:i/>
          <w:iCs/>
          <w:szCs w:val="22"/>
        </w:rPr>
        <w:t xml:space="preserve">10] </w:t>
      </w:r>
      <w:r w:rsidRPr="00637554">
        <w:rPr>
          <w:rFonts w:cs="Arial"/>
          <w:i/>
          <w:iCs/>
          <w:szCs w:val="22"/>
        </w:rPr>
        <w:t>..</w:t>
      </w:r>
      <w:proofErr w:type="gramEnd"/>
      <w:r w:rsidRPr="00637554">
        <w:rPr>
          <w:rFonts w:cs="Arial"/>
          <w:bCs/>
          <w:i/>
          <w:iCs/>
          <w:szCs w:val="22"/>
        </w:rPr>
        <w:t xml:space="preserve"> </w:t>
      </w:r>
      <w:r w:rsidRPr="00637554">
        <w:rPr>
          <w:rFonts w:cs="Arial"/>
          <w:i/>
          <w:iCs/>
          <w:szCs w:val="22"/>
        </w:rPr>
        <w:t>I am mindful of the decisions at high court level debating whether</w:t>
      </w:r>
      <w:r w:rsidR="00852735">
        <w:rPr>
          <w:rFonts w:cs="Arial"/>
          <w:i/>
          <w:iCs/>
          <w:szCs w:val="22"/>
        </w:rPr>
        <w:t>’s house</w:t>
      </w:r>
      <w:r w:rsidRPr="00637554">
        <w:rPr>
          <w:rFonts w:cs="Arial"/>
          <w:i/>
          <w:iCs/>
          <w:szCs w:val="22"/>
        </w:rPr>
        <w:t xml:space="preserve"> the use of the word ‘would’ as opposed to ‘could’ possibly means that the threshold for granting the appeal has been raised. If a reasonable prospect of success is established, leave to appeal should be granted. Similarly, if there are some other compelling reasons why the appeal should be heard, leave to appeal should be granted. The test of reasonable prospects of success postulates a dispassionate decision based on the facts and the law that a court of appeal could reasonably arrive at a conclusion different to that of the trial court. In other words, the appellants in this matter need to convince this Court on proper grounds that they have prospects of success on appeal. Those prospects of success must not be remote, but there must exist a reasonable chance of succeeding. A sound rational basis for the conclusion that there are prospects of success must be shown to exist.</w:t>
      </w:r>
      <w:r w:rsidRPr="00637554">
        <w:rPr>
          <w:rFonts w:cs="Arial"/>
          <w:bCs/>
          <w:i/>
          <w:iCs/>
          <w:szCs w:val="22"/>
        </w:rPr>
        <w:t>”</w:t>
      </w:r>
    </w:p>
    <w:p w14:paraId="3E81BF4E" w14:textId="03A70FF8" w:rsidR="007D5032" w:rsidRDefault="00D20A1A" w:rsidP="00D20A1A">
      <w:pPr>
        <w:widowControl w:val="0"/>
        <w:tabs>
          <w:tab w:val="left" w:pos="567"/>
        </w:tabs>
        <w:spacing w:before="480" w:after="480" w:line="360" w:lineRule="auto"/>
        <w:jc w:val="both"/>
        <w:rPr>
          <w:rFonts w:cs="Arial"/>
          <w:bCs/>
          <w:sz w:val="21"/>
          <w:szCs w:val="21"/>
        </w:rPr>
      </w:pPr>
      <w:r>
        <w:rPr>
          <w:rFonts w:cs="Arial"/>
          <w:bCs/>
          <w:sz w:val="21"/>
          <w:szCs w:val="21"/>
        </w:rPr>
        <w:t>[13]</w:t>
      </w:r>
      <w:r>
        <w:rPr>
          <w:rFonts w:cs="Arial"/>
          <w:bCs/>
          <w:sz w:val="21"/>
          <w:szCs w:val="21"/>
        </w:rPr>
        <w:tab/>
      </w:r>
      <w:r w:rsidR="00CA591E">
        <w:rPr>
          <w:rFonts w:cs="Arial"/>
          <w:bCs/>
          <w:sz w:val="21"/>
          <w:szCs w:val="21"/>
        </w:rPr>
        <w:t>I conclude that there are no reasonable prospects of success on appeal.</w:t>
      </w:r>
    </w:p>
    <w:p w14:paraId="6F591508" w14:textId="0AFF6A8B" w:rsidR="00615ED4" w:rsidRPr="008E2A22" w:rsidRDefault="00D20A1A" w:rsidP="00D20A1A">
      <w:pPr>
        <w:keepNext/>
        <w:widowControl w:val="0"/>
        <w:tabs>
          <w:tab w:val="left" w:pos="567"/>
        </w:tabs>
        <w:spacing w:before="480" w:after="480" w:line="360" w:lineRule="auto"/>
        <w:jc w:val="both"/>
        <w:rPr>
          <w:rFonts w:cs="Arial"/>
          <w:bCs/>
          <w:sz w:val="21"/>
          <w:szCs w:val="21"/>
        </w:rPr>
      </w:pPr>
      <w:r w:rsidRPr="008E2A22">
        <w:rPr>
          <w:rFonts w:cs="Arial"/>
          <w:bCs/>
          <w:sz w:val="21"/>
          <w:szCs w:val="21"/>
        </w:rPr>
        <w:lastRenderedPageBreak/>
        <w:t>[14]</w:t>
      </w:r>
      <w:r w:rsidRPr="008E2A22">
        <w:rPr>
          <w:rFonts w:cs="Arial"/>
          <w:bCs/>
          <w:sz w:val="21"/>
          <w:szCs w:val="21"/>
        </w:rPr>
        <w:tab/>
      </w:r>
      <w:r w:rsidR="00B664E5" w:rsidRPr="008E2A22">
        <w:rPr>
          <w:rFonts w:cs="Arial"/>
          <w:bCs/>
          <w:sz w:val="21"/>
          <w:szCs w:val="21"/>
        </w:rPr>
        <w:t>I therefore make the order in paragraph 1 above.</w:t>
      </w:r>
    </w:p>
    <w:p w14:paraId="53CD27EE" w14:textId="0B3A7FA3" w:rsidR="00AE287F" w:rsidRPr="008E2A22" w:rsidRDefault="00A649E6" w:rsidP="003A1D18">
      <w:pPr>
        <w:widowControl w:val="0"/>
        <w:tabs>
          <w:tab w:val="right" w:pos="0"/>
        </w:tabs>
        <w:spacing w:line="360" w:lineRule="auto"/>
        <w:contextualSpacing/>
        <w:jc w:val="right"/>
        <w:rPr>
          <w:rFonts w:cs="Arial"/>
          <w:b/>
          <w:sz w:val="21"/>
          <w:szCs w:val="21"/>
        </w:rPr>
      </w:pPr>
      <w:r w:rsidRPr="008E2A22">
        <w:rPr>
          <w:rFonts w:cs="Arial"/>
          <w:b/>
          <w:sz w:val="21"/>
          <w:szCs w:val="21"/>
        </w:rPr>
        <w:t>______________</w:t>
      </w:r>
    </w:p>
    <w:p w14:paraId="0CCB9BFE" w14:textId="7ABE564D" w:rsidR="006C43D7" w:rsidRPr="008E2A22" w:rsidRDefault="00C676F3" w:rsidP="003A1D18">
      <w:pPr>
        <w:widowControl w:val="0"/>
        <w:tabs>
          <w:tab w:val="right" w:pos="0"/>
        </w:tabs>
        <w:spacing w:line="360" w:lineRule="auto"/>
        <w:contextualSpacing/>
        <w:jc w:val="right"/>
        <w:rPr>
          <w:rFonts w:cs="Arial"/>
          <w:b/>
          <w:sz w:val="21"/>
          <w:szCs w:val="21"/>
        </w:rPr>
      </w:pPr>
      <w:r w:rsidRPr="008E2A22">
        <w:rPr>
          <w:rFonts w:cs="Arial"/>
          <w:b/>
          <w:sz w:val="21"/>
          <w:szCs w:val="21"/>
        </w:rPr>
        <w:t>J MOORCROFT</w:t>
      </w:r>
    </w:p>
    <w:p w14:paraId="7A2C1059" w14:textId="77777777" w:rsidR="006C43D7" w:rsidRPr="008E2A22" w:rsidRDefault="006C43D7" w:rsidP="003A1D18">
      <w:pPr>
        <w:widowControl w:val="0"/>
        <w:tabs>
          <w:tab w:val="right" w:pos="0"/>
        </w:tabs>
        <w:spacing w:line="360" w:lineRule="auto"/>
        <w:contextualSpacing/>
        <w:jc w:val="right"/>
        <w:rPr>
          <w:rFonts w:cs="Arial"/>
          <w:b/>
          <w:sz w:val="21"/>
          <w:szCs w:val="21"/>
        </w:rPr>
      </w:pPr>
      <w:r w:rsidRPr="008E2A22">
        <w:rPr>
          <w:rFonts w:cs="Arial"/>
          <w:b/>
          <w:sz w:val="21"/>
          <w:szCs w:val="21"/>
        </w:rPr>
        <w:t>ACTING JUDGE OF THE HIGH COURT OF SOUTH AFRICA</w:t>
      </w:r>
    </w:p>
    <w:p w14:paraId="077C2590" w14:textId="7452355B" w:rsidR="006C43D7" w:rsidRPr="008E2A22" w:rsidRDefault="006C43D7" w:rsidP="003A1D18">
      <w:pPr>
        <w:widowControl w:val="0"/>
        <w:tabs>
          <w:tab w:val="right" w:pos="0"/>
          <w:tab w:val="left" w:pos="4253"/>
        </w:tabs>
        <w:spacing w:line="360" w:lineRule="auto"/>
        <w:contextualSpacing/>
        <w:jc w:val="right"/>
        <w:rPr>
          <w:rFonts w:cs="Arial"/>
          <w:b/>
          <w:sz w:val="21"/>
          <w:szCs w:val="21"/>
        </w:rPr>
      </w:pPr>
      <w:r w:rsidRPr="008E2A22">
        <w:rPr>
          <w:rFonts w:cs="Arial"/>
          <w:b/>
          <w:sz w:val="21"/>
          <w:szCs w:val="21"/>
        </w:rPr>
        <w:t>GAUTENG DIVISION</w:t>
      </w:r>
    </w:p>
    <w:p w14:paraId="40B9C946" w14:textId="77777777" w:rsidR="006C43D7" w:rsidRPr="008E2A22" w:rsidRDefault="006C43D7" w:rsidP="0005282E">
      <w:pPr>
        <w:widowControl w:val="0"/>
        <w:tabs>
          <w:tab w:val="right" w:pos="0"/>
          <w:tab w:val="left" w:pos="4253"/>
        </w:tabs>
        <w:spacing w:line="360" w:lineRule="auto"/>
        <w:contextualSpacing/>
        <w:jc w:val="right"/>
        <w:rPr>
          <w:rFonts w:cs="Arial"/>
          <w:b/>
          <w:sz w:val="21"/>
          <w:szCs w:val="21"/>
        </w:rPr>
      </w:pPr>
      <w:r w:rsidRPr="008E2A22">
        <w:rPr>
          <w:rFonts w:cs="Arial"/>
          <w:b/>
          <w:sz w:val="21"/>
          <w:szCs w:val="21"/>
        </w:rPr>
        <w:t>JOHANNESBURG</w:t>
      </w:r>
    </w:p>
    <w:p w14:paraId="326B529B" w14:textId="77777777" w:rsidR="006C43D7" w:rsidRPr="008E2A22" w:rsidRDefault="006C43D7" w:rsidP="003A1D18">
      <w:pPr>
        <w:widowControl w:val="0"/>
        <w:tabs>
          <w:tab w:val="right" w:pos="0"/>
          <w:tab w:val="left" w:pos="4253"/>
        </w:tabs>
        <w:spacing w:line="360" w:lineRule="auto"/>
        <w:contextualSpacing/>
        <w:jc w:val="center"/>
        <w:rPr>
          <w:rFonts w:cs="Arial"/>
          <w:b/>
          <w:sz w:val="21"/>
          <w:szCs w:val="21"/>
        </w:rPr>
      </w:pPr>
    </w:p>
    <w:p w14:paraId="5A4CC56C" w14:textId="051C4E22" w:rsidR="006C43D7" w:rsidRPr="008E2A22" w:rsidRDefault="006C43D7" w:rsidP="003A1D18">
      <w:pPr>
        <w:widowControl w:val="0"/>
        <w:spacing w:after="200" w:line="480" w:lineRule="auto"/>
        <w:contextualSpacing/>
        <w:jc w:val="right"/>
        <w:rPr>
          <w:rFonts w:cs="Arial"/>
          <w:b/>
          <w:i/>
          <w:iCs/>
          <w:sz w:val="21"/>
          <w:szCs w:val="21"/>
        </w:rPr>
      </w:pPr>
      <w:r w:rsidRPr="008E2A22">
        <w:rPr>
          <w:rFonts w:cs="Arial"/>
          <w:b/>
          <w:i/>
          <w:iCs/>
          <w:sz w:val="21"/>
          <w:szCs w:val="21"/>
        </w:rPr>
        <w:t>Electronically submitted</w:t>
      </w:r>
    </w:p>
    <w:p w14:paraId="482DDF6E" w14:textId="6F6F7D1D" w:rsidR="006C43D7" w:rsidRPr="008E2A22" w:rsidRDefault="006C43D7" w:rsidP="00A84915">
      <w:pPr>
        <w:widowControl w:val="0"/>
        <w:spacing w:after="200" w:line="360" w:lineRule="auto"/>
        <w:contextualSpacing/>
        <w:jc w:val="both"/>
        <w:rPr>
          <w:rFonts w:eastAsia="Arial Unicode MS" w:cs="Arial"/>
          <w:b/>
          <w:sz w:val="21"/>
          <w:szCs w:val="21"/>
        </w:rPr>
      </w:pPr>
      <w:r w:rsidRPr="008E2A22">
        <w:rPr>
          <w:rFonts w:eastAsia="Arial Unicode MS" w:cs="Arial"/>
          <w:bCs/>
          <w:sz w:val="21"/>
          <w:szCs w:val="21"/>
        </w:rPr>
        <w:t>Delivered: This judgement was prepared and authored by the Acting Judge whose name is reflected and is handed down electronically by circulation to the Parties / their legal representatives by email and by uploading it to the electronic file of this matter on CaseLines. The date of the judgment is deemed to be</w:t>
      </w:r>
      <w:r w:rsidR="00C460A0" w:rsidRPr="008E2A22">
        <w:rPr>
          <w:rFonts w:eastAsia="Arial Unicode MS" w:cs="Arial"/>
          <w:b/>
          <w:sz w:val="21"/>
          <w:szCs w:val="21"/>
        </w:rPr>
        <w:t xml:space="preserve"> </w:t>
      </w:r>
      <w:r w:rsidR="0005282E" w:rsidRPr="008E2A22">
        <w:rPr>
          <w:rFonts w:eastAsia="Arial Unicode MS" w:cs="Arial"/>
          <w:b/>
          <w:sz w:val="21"/>
          <w:szCs w:val="21"/>
        </w:rPr>
        <w:t xml:space="preserve"> </w:t>
      </w:r>
      <w:r w:rsidR="003E3515">
        <w:rPr>
          <w:rFonts w:eastAsia="Arial Unicode MS" w:cs="Arial"/>
          <w:b/>
          <w:sz w:val="21"/>
          <w:szCs w:val="21"/>
        </w:rPr>
        <w:t>5 JUNE</w:t>
      </w:r>
      <w:r w:rsidR="00D743C0">
        <w:rPr>
          <w:rFonts w:eastAsia="Arial Unicode MS" w:cs="Arial"/>
          <w:b/>
          <w:sz w:val="21"/>
          <w:szCs w:val="21"/>
        </w:rPr>
        <w:t xml:space="preserve"> 2024</w:t>
      </w:r>
    </w:p>
    <w:p w14:paraId="74CD3952" w14:textId="77777777" w:rsidR="00A84915" w:rsidRDefault="00A84915" w:rsidP="00A84915">
      <w:pPr>
        <w:widowControl w:val="0"/>
        <w:spacing w:after="200" w:line="360" w:lineRule="auto"/>
        <w:contextualSpacing/>
        <w:jc w:val="both"/>
        <w:rPr>
          <w:rFonts w:cs="Arial"/>
          <w:b/>
          <w:sz w:val="21"/>
          <w:szCs w:val="21"/>
        </w:rPr>
      </w:pPr>
    </w:p>
    <w:p w14:paraId="7C27E047" w14:textId="77777777" w:rsidR="001F14E4" w:rsidRDefault="001F14E4" w:rsidP="00A84915">
      <w:pPr>
        <w:widowControl w:val="0"/>
        <w:spacing w:after="200" w:line="360" w:lineRule="auto"/>
        <w:contextualSpacing/>
        <w:jc w:val="both"/>
        <w:rPr>
          <w:rFonts w:cs="Arial"/>
          <w:b/>
          <w:sz w:val="21"/>
          <w:szCs w:val="21"/>
        </w:rPr>
      </w:pPr>
    </w:p>
    <w:p w14:paraId="7F9ECB7B" w14:textId="77777777" w:rsidR="001F14E4" w:rsidRPr="008E2A22" w:rsidRDefault="001F14E4" w:rsidP="00A84915">
      <w:pPr>
        <w:widowControl w:val="0"/>
        <w:spacing w:after="200" w:line="360" w:lineRule="auto"/>
        <w:contextualSpacing/>
        <w:jc w:val="both"/>
        <w:rPr>
          <w:rFonts w:cs="Arial"/>
          <w:b/>
          <w:sz w:val="21"/>
          <w:szCs w:val="21"/>
        </w:rPr>
      </w:pPr>
    </w:p>
    <w:tbl>
      <w:tblPr>
        <w:tblStyle w:val="TableGrid"/>
        <w:tblW w:w="861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935"/>
      </w:tblGrid>
      <w:tr w:rsidR="009D35B5" w:rsidRPr="008E2A22" w14:paraId="493AF0D7" w14:textId="77777777" w:rsidTr="00615F6B">
        <w:tc>
          <w:tcPr>
            <w:tcW w:w="4678" w:type="dxa"/>
          </w:tcPr>
          <w:p w14:paraId="6A05541A" w14:textId="0945A8DE" w:rsidR="009D35B5" w:rsidRPr="008E2A22" w:rsidRDefault="009D35B5" w:rsidP="00A25AB4">
            <w:pPr>
              <w:tabs>
                <w:tab w:val="right" w:pos="0"/>
                <w:tab w:val="left" w:pos="4253"/>
              </w:tabs>
              <w:spacing w:before="120" w:after="120"/>
              <w:rPr>
                <w:rFonts w:cs="Arial"/>
                <w:sz w:val="21"/>
                <w:szCs w:val="21"/>
              </w:rPr>
            </w:pPr>
            <w:r w:rsidRPr="008E2A22">
              <w:rPr>
                <w:rFonts w:cs="Arial"/>
                <w:sz w:val="21"/>
                <w:szCs w:val="21"/>
              </w:rPr>
              <w:t xml:space="preserve">COUNSEL FOR </w:t>
            </w:r>
            <w:r w:rsidR="00404A52" w:rsidRPr="008E2A22">
              <w:rPr>
                <w:rFonts w:cs="Arial"/>
                <w:sz w:val="21"/>
                <w:szCs w:val="21"/>
              </w:rPr>
              <w:t xml:space="preserve">THE </w:t>
            </w:r>
            <w:r w:rsidR="000976D2" w:rsidRPr="008E2A22">
              <w:rPr>
                <w:rFonts w:cs="Arial"/>
                <w:sz w:val="21"/>
                <w:szCs w:val="21"/>
              </w:rPr>
              <w:t xml:space="preserve"> </w:t>
            </w:r>
            <w:r w:rsidR="00404A52" w:rsidRPr="008E2A22">
              <w:rPr>
                <w:rFonts w:cs="Arial"/>
                <w:sz w:val="21"/>
                <w:szCs w:val="21"/>
              </w:rPr>
              <w:t>APPLICANT</w:t>
            </w:r>
            <w:r w:rsidR="00AF2CD5">
              <w:rPr>
                <w:rFonts w:cs="Arial"/>
                <w:sz w:val="21"/>
                <w:szCs w:val="21"/>
              </w:rPr>
              <w:t>S</w:t>
            </w:r>
          </w:p>
        </w:tc>
        <w:tc>
          <w:tcPr>
            <w:tcW w:w="3935" w:type="dxa"/>
          </w:tcPr>
          <w:p w14:paraId="57AAFF28" w14:textId="3006941C" w:rsidR="003E3515" w:rsidRDefault="003E3515" w:rsidP="00D65571">
            <w:pPr>
              <w:tabs>
                <w:tab w:val="right" w:pos="0"/>
                <w:tab w:val="left" w:pos="567"/>
                <w:tab w:val="right" w:pos="2727"/>
                <w:tab w:val="left" w:pos="4253"/>
              </w:tabs>
              <w:spacing w:before="120" w:after="120"/>
              <w:jc w:val="right"/>
              <w:rPr>
                <w:rFonts w:cs="Arial"/>
                <w:sz w:val="21"/>
                <w:szCs w:val="21"/>
              </w:rPr>
            </w:pPr>
            <w:r>
              <w:rPr>
                <w:rFonts w:cs="Arial"/>
                <w:sz w:val="21"/>
                <w:szCs w:val="21"/>
              </w:rPr>
              <w:t>S P PINCUS SC</w:t>
            </w:r>
          </w:p>
          <w:p w14:paraId="69785AA9" w14:textId="616E1867" w:rsidR="000976D2" w:rsidRPr="008E2A22" w:rsidRDefault="00AF2CD5" w:rsidP="00D65571">
            <w:pPr>
              <w:tabs>
                <w:tab w:val="right" w:pos="0"/>
                <w:tab w:val="left" w:pos="567"/>
                <w:tab w:val="right" w:pos="2727"/>
                <w:tab w:val="left" w:pos="4253"/>
              </w:tabs>
              <w:spacing w:before="120" w:after="120"/>
              <w:jc w:val="right"/>
              <w:rPr>
                <w:rFonts w:cs="Arial"/>
                <w:sz w:val="21"/>
                <w:szCs w:val="21"/>
              </w:rPr>
            </w:pPr>
            <w:r>
              <w:rPr>
                <w:rFonts w:cs="Arial"/>
                <w:sz w:val="21"/>
                <w:szCs w:val="21"/>
              </w:rPr>
              <w:t>D POOL</w:t>
            </w:r>
          </w:p>
        </w:tc>
      </w:tr>
      <w:tr w:rsidR="009D35B5" w:rsidRPr="008E2A22" w14:paraId="183C176D" w14:textId="77777777" w:rsidTr="00615F6B">
        <w:tc>
          <w:tcPr>
            <w:tcW w:w="4678" w:type="dxa"/>
          </w:tcPr>
          <w:p w14:paraId="75365413" w14:textId="481747BC" w:rsidR="009D35B5" w:rsidRPr="008E2A22" w:rsidRDefault="009D35B5" w:rsidP="00A25AB4">
            <w:pPr>
              <w:tabs>
                <w:tab w:val="right" w:pos="0"/>
                <w:tab w:val="left" w:pos="4253"/>
              </w:tabs>
              <w:spacing w:before="120" w:after="120"/>
              <w:rPr>
                <w:rFonts w:cs="Arial"/>
                <w:sz w:val="21"/>
                <w:szCs w:val="21"/>
              </w:rPr>
            </w:pPr>
            <w:r w:rsidRPr="008E2A22">
              <w:rPr>
                <w:rFonts w:cs="Arial"/>
                <w:sz w:val="21"/>
                <w:szCs w:val="21"/>
              </w:rPr>
              <w:t>INSTRUCTED BY:</w:t>
            </w:r>
          </w:p>
        </w:tc>
        <w:tc>
          <w:tcPr>
            <w:tcW w:w="3935" w:type="dxa"/>
          </w:tcPr>
          <w:p w14:paraId="4044534A" w14:textId="3607DBA9" w:rsidR="00E10D04" w:rsidRPr="008E2A22" w:rsidRDefault="00AF2CD5" w:rsidP="00A25AB4">
            <w:pPr>
              <w:tabs>
                <w:tab w:val="right" w:pos="0"/>
                <w:tab w:val="left" w:pos="4253"/>
              </w:tabs>
              <w:spacing w:before="120" w:after="120"/>
              <w:jc w:val="right"/>
              <w:rPr>
                <w:rFonts w:cs="Arial"/>
                <w:sz w:val="21"/>
                <w:szCs w:val="21"/>
              </w:rPr>
            </w:pPr>
            <w:r>
              <w:rPr>
                <w:rFonts w:cs="Arial"/>
                <w:sz w:val="21"/>
                <w:szCs w:val="21"/>
              </w:rPr>
              <w:t>HOWARD S WOOLF</w:t>
            </w:r>
          </w:p>
        </w:tc>
      </w:tr>
      <w:tr w:rsidR="009D35B5" w:rsidRPr="008E2A22" w14:paraId="6E2BF966" w14:textId="77777777" w:rsidTr="00615F6B">
        <w:tc>
          <w:tcPr>
            <w:tcW w:w="4678" w:type="dxa"/>
          </w:tcPr>
          <w:p w14:paraId="545B6665" w14:textId="0296EFA1" w:rsidR="009D35B5" w:rsidRPr="008E2A22" w:rsidRDefault="009D35B5" w:rsidP="00A25AB4">
            <w:pPr>
              <w:tabs>
                <w:tab w:val="right" w:pos="0"/>
                <w:tab w:val="left" w:pos="4253"/>
              </w:tabs>
              <w:spacing w:before="120" w:after="120"/>
              <w:rPr>
                <w:rFonts w:cs="Arial"/>
                <w:sz w:val="21"/>
                <w:szCs w:val="21"/>
              </w:rPr>
            </w:pPr>
            <w:r w:rsidRPr="008E2A22">
              <w:rPr>
                <w:rFonts w:cs="Arial"/>
                <w:sz w:val="21"/>
                <w:szCs w:val="21"/>
              </w:rPr>
              <w:t xml:space="preserve">COUNSEL FOR </w:t>
            </w:r>
            <w:r w:rsidR="00027D19" w:rsidRPr="008E2A22">
              <w:rPr>
                <w:rFonts w:cs="Arial"/>
                <w:sz w:val="21"/>
                <w:szCs w:val="21"/>
              </w:rPr>
              <w:t>RESPONDENT</w:t>
            </w:r>
          </w:p>
        </w:tc>
        <w:tc>
          <w:tcPr>
            <w:tcW w:w="3935" w:type="dxa"/>
          </w:tcPr>
          <w:p w14:paraId="51741A90" w14:textId="524FC4FD" w:rsidR="001966E8" w:rsidRPr="008E2A22" w:rsidRDefault="00AF2CD5" w:rsidP="00D65571">
            <w:pPr>
              <w:tabs>
                <w:tab w:val="right" w:pos="0"/>
                <w:tab w:val="left" w:pos="4253"/>
              </w:tabs>
              <w:spacing w:before="120" w:after="120"/>
              <w:jc w:val="right"/>
              <w:rPr>
                <w:rFonts w:cs="Arial"/>
                <w:sz w:val="21"/>
                <w:szCs w:val="21"/>
              </w:rPr>
            </w:pPr>
            <w:r>
              <w:rPr>
                <w:rFonts w:cs="Arial"/>
                <w:sz w:val="21"/>
                <w:szCs w:val="21"/>
              </w:rPr>
              <w:t>C VAN DER MERWE</w:t>
            </w:r>
          </w:p>
        </w:tc>
      </w:tr>
      <w:tr w:rsidR="009D35B5" w:rsidRPr="008E2A22" w14:paraId="1EC4105A" w14:textId="77777777" w:rsidTr="00615F6B">
        <w:tc>
          <w:tcPr>
            <w:tcW w:w="4678" w:type="dxa"/>
          </w:tcPr>
          <w:p w14:paraId="184EC2ED" w14:textId="2882CB8E" w:rsidR="009D35B5" w:rsidRPr="008E2A22" w:rsidRDefault="009D35B5" w:rsidP="00A25AB4">
            <w:pPr>
              <w:tabs>
                <w:tab w:val="right" w:pos="0"/>
                <w:tab w:val="left" w:pos="4253"/>
              </w:tabs>
              <w:spacing w:before="120" w:after="120"/>
              <w:rPr>
                <w:rFonts w:cs="Arial"/>
                <w:sz w:val="21"/>
                <w:szCs w:val="21"/>
              </w:rPr>
            </w:pPr>
            <w:r w:rsidRPr="008E2A22">
              <w:rPr>
                <w:rFonts w:cs="Arial"/>
                <w:sz w:val="21"/>
                <w:szCs w:val="21"/>
              </w:rPr>
              <w:t>INSTRUCTED B</w:t>
            </w:r>
            <w:r w:rsidR="008B0321">
              <w:rPr>
                <w:rFonts w:cs="Arial"/>
                <w:sz w:val="21"/>
                <w:szCs w:val="21"/>
              </w:rPr>
              <w:t>Y</w:t>
            </w:r>
          </w:p>
        </w:tc>
        <w:tc>
          <w:tcPr>
            <w:tcW w:w="3935" w:type="dxa"/>
          </w:tcPr>
          <w:p w14:paraId="2098BE2A" w14:textId="15FE8C92" w:rsidR="009D35B5" w:rsidRPr="008E2A22" w:rsidRDefault="00AF2CD5" w:rsidP="00A25AB4">
            <w:pPr>
              <w:tabs>
                <w:tab w:val="right" w:pos="0"/>
                <w:tab w:val="left" w:pos="4253"/>
              </w:tabs>
              <w:spacing w:before="120" w:after="120"/>
              <w:jc w:val="right"/>
              <w:rPr>
                <w:rFonts w:cs="Arial"/>
                <w:sz w:val="21"/>
                <w:szCs w:val="21"/>
              </w:rPr>
            </w:pPr>
            <w:r>
              <w:rPr>
                <w:rFonts w:cs="Arial"/>
                <w:sz w:val="21"/>
                <w:szCs w:val="21"/>
              </w:rPr>
              <w:t>KAVEER GUINESS INC</w:t>
            </w:r>
          </w:p>
        </w:tc>
      </w:tr>
      <w:tr w:rsidR="009D35B5" w:rsidRPr="008E2A22" w14:paraId="2A3FE2B1" w14:textId="77777777" w:rsidTr="00615F6B">
        <w:tc>
          <w:tcPr>
            <w:tcW w:w="4678" w:type="dxa"/>
          </w:tcPr>
          <w:p w14:paraId="0767D0FE" w14:textId="61925A22" w:rsidR="009D35B5" w:rsidRPr="008E2A22" w:rsidRDefault="009D35B5" w:rsidP="00A25AB4">
            <w:pPr>
              <w:tabs>
                <w:tab w:val="right" w:pos="0"/>
                <w:tab w:val="left" w:pos="4253"/>
              </w:tabs>
              <w:spacing w:before="120" w:after="120"/>
              <w:rPr>
                <w:rFonts w:cs="Arial"/>
                <w:sz w:val="21"/>
                <w:szCs w:val="21"/>
              </w:rPr>
            </w:pPr>
            <w:r w:rsidRPr="008E2A22">
              <w:rPr>
                <w:rFonts w:cs="Arial"/>
                <w:sz w:val="21"/>
                <w:szCs w:val="21"/>
              </w:rPr>
              <w:t xml:space="preserve">DATE </w:t>
            </w:r>
            <w:r w:rsidR="00E57446" w:rsidRPr="008E2A22">
              <w:rPr>
                <w:rFonts w:cs="Arial"/>
                <w:sz w:val="21"/>
                <w:szCs w:val="21"/>
              </w:rPr>
              <w:t>OF ARGUMENT</w:t>
            </w:r>
            <w:r w:rsidRPr="008E2A22">
              <w:rPr>
                <w:rFonts w:cs="Arial"/>
                <w:sz w:val="21"/>
                <w:szCs w:val="21"/>
              </w:rPr>
              <w:t>:</w:t>
            </w:r>
          </w:p>
        </w:tc>
        <w:tc>
          <w:tcPr>
            <w:tcW w:w="3935" w:type="dxa"/>
          </w:tcPr>
          <w:p w14:paraId="34C95147" w14:textId="269ABC8C" w:rsidR="009D35B5" w:rsidRPr="008E2A22" w:rsidRDefault="007657A0" w:rsidP="00A25AB4">
            <w:pPr>
              <w:tabs>
                <w:tab w:val="right" w:pos="0"/>
                <w:tab w:val="left" w:pos="4253"/>
              </w:tabs>
              <w:spacing w:before="120" w:after="120"/>
              <w:jc w:val="right"/>
              <w:rPr>
                <w:rFonts w:cs="Arial"/>
                <w:sz w:val="21"/>
                <w:szCs w:val="21"/>
              </w:rPr>
            </w:pPr>
            <w:r>
              <w:rPr>
                <w:rFonts w:cs="Arial"/>
                <w:sz w:val="21"/>
                <w:szCs w:val="21"/>
              </w:rPr>
              <w:t>23 MAY</w:t>
            </w:r>
            <w:r w:rsidR="00D33A54" w:rsidRPr="008E2A22">
              <w:rPr>
                <w:rFonts w:cs="Arial"/>
                <w:sz w:val="21"/>
                <w:szCs w:val="21"/>
              </w:rPr>
              <w:t xml:space="preserve"> 2024</w:t>
            </w:r>
          </w:p>
        </w:tc>
      </w:tr>
      <w:tr w:rsidR="00A25AB4" w:rsidRPr="008E2A22" w14:paraId="5ECDFF3A" w14:textId="77777777" w:rsidTr="00615F6B">
        <w:tc>
          <w:tcPr>
            <w:tcW w:w="4678" w:type="dxa"/>
          </w:tcPr>
          <w:p w14:paraId="1DF2AE9E" w14:textId="1FC539A4" w:rsidR="00A25AB4" w:rsidRPr="008E2A22" w:rsidRDefault="00A25AB4" w:rsidP="00A25AB4">
            <w:pPr>
              <w:tabs>
                <w:tab w:val="right" w:pos="0"/>
                <w:tab w:val="left" w:pos="4253"/>
              </w:tabs>
              <w:spacing w:before="120" w:after="120"/>
              <w:rPr>
                <w:rFonts w:cs="Arial"/>
                <w:sz w:val="21"/>
                <w:szCs w:val="21"/>
              </w:rPr>
            </w:pPr>
            <w:r w:rsidRPr="008E2A22">
              <w:rPr>
                <w:rFonts w:cs="Arial"/>
                <w:sz w:val="21"/>
                <w:szCs w:val="21"/>
              </w:rPr>
              <w:t>DATE OF JUDGMENT:</w:t>
            </w:r>
          </w:p>
        </w:tc>
        <w:tc>
          <w:tcPr>
            <w:tcW w:w="3935" w:type="dxa"/>
          </w:tcPr>
          <w:p w14:paraId="02219E99" w14:textId="3E123907" w:rsidR="00A25AB4" w:rsidRPr="008E2A22" w:rsidRDefault="003E3515" w:rsidP="00A25AB4">
            <w:pPr>
              <w:tabs>
                <w:tab w:val="right" w:pos="0"/>
                <w:tab w:val="left" w:pos="4253"/>
              </w:tabs>
              <w:spacing w:before="120" w:after="120"/>
              <w:jc w:val="right"/>
              <w:rPr>
                <w:rFonts w:cs="Arial"/>
                <w:sz w:val="21"/>
                <w:szCs w:val="21"/>
              </w:rPr>
            </w:pPr>
            <w:r>
              <w:rPr>
                <w:rFonts w:cs="Arial"/>
                <w:sz w:val="21"/>
                <w:szCs w:val="21"/>
              </w:rPr>
              <w:t>5 JUNE</w:t>
            </w:r>
            <w:r w:rsidR="00B664E5" w:rsidRPr="008E2A22">
              <w:rPr>
                <w:rFonts w:cs="Arial"/>
                <w:sz w:val="21"/>
                <w:szCs w:val="21"/>
              </w:rPr>
              <w:t xml:space="preserve"> </w:t>
            </w:r>
            <w:r w:rsidR="00D33A54" w:rsidRPr="008E2A22">
              <w:rPr>
                <w:rFonts w:cs="Arial"/>
                <w:sz w:val="21"/>
                <w:szCs w:val="21"/>
              </w:rPr>
              <w:t>2024</w:t>
            </w:r>
          </w:p>
        </w:tc>
      </w:tr>
    </w:tbl>
    <w:p w14:paraId="1BD8F4EB" w14:textId="491B3C8F" w:rsidR="00A402F6" w:rsidRPr="008E2A22" w:rsidRDefault="00A402F6" w:rsidP="008E2A22">
      <w:pPr>
        <w:widowControl w:val="0"/>
        <w:spacing w:before="480" w:after="480" w:line="360" w:lineRule="auto"/>
        <w:jc w:val="both"/>
        <w:rPr>
          <w:rFonts w:cs="Arial"/>
          <w:sz w:val="21"/>
          <w:szCs w:val="21"/>
        </w:rPr>
      </w:pPr>
    </w:p>
    <w:sectPr w:rsidR="00A402F6" w:rsidRPr="008E2A22" w:rsidSect="00865C8D">
      <w:headerReference w:type="default" r:id="rId9"/>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2DDAB2" w14:textId="77777777" w:rsidR="0044236C" w:rsidRPr="008E2A22" w:rsidRDefault="0044236C">
      <w:pPr>
        <w:rPr>
          <w:sz w:val="21"/>
          <w:szCs w:val="21"/>
        </w:rPr>
      </w:pPr>
      <w:r w:rsidRPr="008E2A22">
        <w:rPr>
          <w:sz w:val="21"/>
          <w:szCs w:val="21"/>
        </w:rPr>
        <w:separator/>
      </w:r>
    </w:p>
  </w:endnote>
  <w:endnote w:type="continuationSeparator" w:id="0">
    <w:p w14:paraId="0500FFA1" w14:textId="77777777" w:rsidR="0044236C" w:rsidRPr="008E2A22" w:rsidRDefault="0044236C">
      <w:pPr>
        <w:rPr>
          <w:sz w:val="21"/>
          <w:szCs w:val="21"/>
        </w:rPr>
      </w:pPr>
      <w:r w:rsidRPr="008E2A22">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21002A87" w:usb1="090F0000" w:usb2="00000010"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0DFE3D" w14:textId="77777777" w:rsidR="0044236C" w:rsidRPr="008E2A22" w:rsidRDefault="0044236C">
      <w:pPr>
        <w:rPr>
          <w:sz w:val="21"/>
          <w:szCs w:val="21"/>
        </w:rPr>
      </w:pPr>
      <w:r w:rsidRPr="008E2A22">
        <w:rPr>
          <w:sz w:val="21"/>
          <w:szCs w:val="21"/>
        </w:rPr>
        <w:separator/>
      </w:r>
    </w:p>
  </w:footnote>
  <w:footnote w:type="continuationSeparator" w:id="0">
    <w:p w14:paraId="6B55274B" w14:textId="77777777" w:rsidR="0044236C" w:rsidRPr="008E2A22" w:rsidRDefault="0044236C">
      <w:pPr>
        <w:rPr>
          <w:sz w:val="21"/>
          <w:szCs w:val="21"/>
        </w:rPr>
      </w:pPr>
      <w:r w:rsidRPr="008E2A22">
        <w:rPr>
          <w:sz w:val="21"/>
          <w:szCs w:val="21"/>
        </w:rPr>
        <w:continuationSeparator/>
      </w:r>
    </w:p>
  </w:footnote>
  <w:footnote w:id="1">
    <w:p w14:paraId="3EF177BF" w14:textId="2DFDB747" w:rsidR="00AC2D09" w:rsidRPr="00AC2D09" w:rsidRDefault="00AC2D09">
      <w:pPr>
        <w:pStyle w:val="FootnoteText"/>
        <w:rPr>
          <w:lang w:val="en-GB"/>
        </w:rPr>
      </w:pPr>
      <w:r>
        <w:rPr>
          <w:rStyle w:val="FootnoteReference"/>
        </w:rPr>
        <w:footnoteRef/>
      </w:r>
      <w:r>
        <w:t xml:space="preserve"> </w:t>
      </w:r>
      <w:r>
        <w:rPr>
          <w:lang w:val="en-GB"/>
        </w:rPr>
        <w:tab/>
        <w:t>Section 17 (6) (a) of the Superior Courts Act 10 of 2013.</w:t>
      </w:r>
    </w:p>
  </w:footnote>
  <w:footnote w:id="2">
    <w:p w14:paraId="24F4422A" w14:textId="393F864D" w:rsidR="007C6AB6" w:rsidRPr="007C6AB6" w:rsidRDefault="007C6AB6">
      <w:pPr>
        <w:pStyle w:val="FootnoteText"/>
        <w:rPr>
          <w:lang w:val="en-GB"/>
        </w:rPr>
      </w:pPr>
      <w:r>
        <w:rPr>
          <w:rStyle w:val="FootnoteReference"/>
        </w:rPr>
        <w:footnoteRef/>
      </w:r>
      <w:r>
        <w:t xml:space="preserve"> </w:t>
      </w:r>
      <w:r>
        <w:rPr>
          <w:lang w:val="en-GB"/>
        </w:rPr>
        <w:tab/>
      </w:r>
      <w:r w:rsidRPr="007C6AB6">
        <w:rPr>
          <w:i/>
          <w:iCs/>
          <w:lang w:val="en-GB"/>
        </w:rPr>
        <w:t>Satin Rock (Pty) Ltd and Another v Teichman</w:t>
      </w:r>
      <w:r>
        <w:rPr>
          <w:lang w:val="en-GB"/>
        </w:rPr>
        <w:t xml:space="preserve"> [2024] ZAGPJHC 224, 2024 JDR 0990 (GJ).</w:t>
      </w:r>
    </w:p>
  </w:footnote>
  <w:footnote w:id="3">
    <w:p w14:paraId="6434F467" w14:textId="183FBEB1" w:rsidR="00AC2D09" w:rsidRPr="00AC2D09" w:rsidRDefault="00AC2D09">
      <w:pPr>
        <w:pStyle w:val="FootnoteText"/>
        <w:rPr>
          <w:lang w:val="en-GB"/>
        </w:rPr>
      </w:pPr>
      <w:r>
        <w:rPr>
          <w:rStyle w:val="FootnoteReference"/>
        </w:rPr>
        <w:footnoteRef/>
      </w:r>
      <w:r>
        <w:t xml:space="preserve"> </w:t>
      </w:r>
      <w:r>
        <w:rPr>
          <w:lang w:val="en-GB"/>
        </w:rPr>
        <w:tab/>
        <w:t xml:space="preserve">It is not disputed that the refusal of a rescission application is appealable. See </w:t>
      </w:r>
      <w:r w:rsidRPr="00AC2D09">
        <w:rPr>
          <w:i/>
          <w:iCs/>
          <w:lang w:val="en-GB"/>
        </w:rPr>
        <w:t>Pitelli v Everton Gardens Projects CC</w:t>
      </w:r>
      <w:r>
        <w:rPr>
          <w:lang w:val="en-GB"/>
        </w:rPr>
        <w:t xml:space="preserve"> 2010 (5) SA 171 (SCA) paras 26 and 27.</w:t>
      </w:r>
    </w:p>
  </w:footnote>
  <w:footnote w:id="4">
    <w:p w14:paraId="540AA81D" w14:textId="2EDF7A89" w:rsidR="00EE5548" w:rsidRPr="00EE5548" w:rsidRDefault="00EE5548">
      <w:pPr>
        <w:pStyle w:val="FootnoteText"/>
        <w:rPr>
          <w:lang w:val="en-GB"/>
        </w:rPr>
      </w:pPr>
      <w:r>
        <w:rPr>
          <w:rStyle w:val="FootnoteReference"/>
        </w:rPr>
        <w:footnoteRef/>
      </w:r>
      <w:r>
        <w:t xml:space="preserve"> </w:t>
      </w:r>
      <w:r>
        <w:rPr>
          <w:lang w:val="en-GB"/>
        </w:rPr>
        <w:tab/>
      </w:r>
      <w:r w:rsidRPr="00EE5548">
        <w:rPr>
          <w:i/>
          <w:iCs/>
          <w:lang w:val="en-GB"/>
        </w:rPr>
        <w:t>RFS Catering Supplies v Bernard Bigara Enterprises CC</w:t>
      </w:r>
      <w:r>
        <w:rPr>
          <w:lang w:val="en-GB"/>
        </w:rPr>
        <w:t xml:space="preserve"> 2002 (1) SA 896 (C) 903D; </w:t>
      </w:r>
      <w:r w:rsidRPr="003B4618">
        <w:rPr>
          <w:i/>
          <w:iCs/>
          <w:lang w:val="en-GB"/>
        </w:rPr>
        <w:t>Brangus Ranching (Pty) Ltd v Plaaskem (Pty) Ltd</w:t>
      </w:r>
      <w:r>
        <w:rPr>
          <w:lang w:val="en-GB"/>
        </w:rPr>
        <w:t xml:space="preserve"> 2011 (3) SA 477 (KZP)</w:t>
      </w:r>
      <w:r w:rsidR="003B4618">
        <w:rPr>
          <w:lang w:val="en-GB"/>
        </w:rPr>
        <w:t xml:space="preserve"> paras 19, 28 and 30.</w:t>
      </w:r>
    </w:p>
  </w:footnote>
  <w:footnote w:id="5">
    <w:p w14:paraId="7C924404" w14:textId="64ECCAAB" w:rsidR="007C6AB6" w:rsidRPr="007C6AB6" w:rsidRDefault="007C6AB6">
      <w:pPr>
        <w:pStyle w:val="FootnoteText"/>
        <w:rPr>
          <w:lang w:val="en-GB"/>
        </w:rPr>
      </w:pPr>
      <w:r>
        <w:rPr>
          <w:rStyle w:val="FootnoteReference"/>
        </w:rPr>
        <w:footnoteRef/>
      </w:r>
      <w:r>
        <w:t xml:space="preserve"> </w:t>
      </w:r>
      <w:r>
        <w:rPr>
          <w:lang w:val="en-GB"/>
        </w:rPr>
        <w:tab/>
      </w:r>
      <w:r w:rsidRPr="00721A26">
        <w:rPr>
          <w:i/>
          <w:iCs/>
          <w:lang w:val="en-GB"/>
        </w:rPr>
        <w:t>Attorney-General, Eastern Cape v Blom and Others</w:t>
      </w:r>
      <w:r>
        <w:rPr>
          <w:lang w:val="en-GB"/>
        </w:rPr>
        <w:t xml:space="preserve"> 1988 (4) SA 645 (A) 670D-F.</w:t>
      </w:r>
    </w:p>
  </w:footnote>
  <w:footnote w:id="6">
    <w:p w14:paraId="4E7FF68A" w14:textId="68933C0B" w:rsidR="00AC2D09" w:rsidRPr="00AC2D09" w:rsidRDefault="00AC2D09">
      <w:pPr>
        <w:pStyle w:val="FootnoteText"/>
        <w:rPr>
          <w:lang w:val="en-GB"/>
        </w:rPr>
      </w:pPr>
      <w:r>
        <w:rPr>
          <w:rStyle w:val="FootnoteReference"/>
        </w:rPr>
        <w:footnoteRef/>
      </w:r>
      <w:r>
        <w:t xml:space="preserve"> </w:t>
      </w:r>
      <w:r>
        <w:rPr>
          <w:lang w:val="en-GB"/>
        </w:rPr>
        <w:tab/>
        <w:t xml:space="preserve">See </w:t>
      </w:r>
      <w:r w:rsidRPr="00AC2D09">
        <w:rPr>
          <w:i/>
          <w:iCs/>
          <w:lang w:val="en-GB"/>
        </w:rPr>
        <w:t>Government of the Republic of Zimbabwe v Fick and Others</w:t>
      </w:r>
      <w:r>
        <w:rPr>
          <w:lang w:val="en-GB"/>
        </w:rPr>
        <w:t xml:space="preserve"> </w:t>
      </w:r>
      <w:r w:rsidR="004516D0">
        <w:rPr>
          <w:lang w:val="en-GB"/>
        </w:rPr>
        <w:t>2013 (5) SA 325 (CC) paras 85 to 89.</w:t>
      </w:r>
    </w:p>
  </w:footnote>
  <w:footnote w:id="7">
    <w:p w14:paraId="0454484F" w14:textId="513E528D" w:rsidR="003244CA" w:rsidRPr="003244CA" w:rsidRDefault="003244CA">
      <w:pPr>
        <w:pStyle w:val="FootnoteText"/>
        <w:rPr>
          <w:lang w:val="en-GB"/>
        </w:rPr>
      </w:pPr>
      <w:r>
        <w:rPr>
          <w:rStyle w:val="FootnoteReference"/>
        </w:rPr>
        <w:footnoteRef/>
      </w:r>
      <w:r>
        <w:t xml:space="preserve"> </w:t>
      </w:r>
      <w:r>
        <w:rPr>
          <w:lang w:val="en-GB"/>
        </w:rPr>
        <w:tab/>
        <w:t>dealt with in the judgement in paragraph 28.</w:t>
      </w:r>
    </w:p>
  </w:footnote>
  <w:footnote w:id="8">
    <w:p w14:paraId="135D9F7D" w14:textId="01DC5F6D" w:rsidR="00AC2D09" w:rsidRPr="00AC2D09" w:rsidRDefault="00AC2D09">
      <w:pPr>
        <w:pStyle w:val="FootnoteText"/>
        <w:rPr>
          <w:lang w:val="en-GB"/>
        </w:rPr>
      </w:pPr>
      <w:r>
        <w:rPr>
          <w:rStyle w:val="FootnoteReference"/>
        </w:rPr>
        <w:footnoteRef/>
      </w:r>
      <w:r>
        <w:t xml:space="preserve"> </w:t>
      </w:r>
      <w:r>
        <w:rPr>
          <w:lang w:val="en-GB"/>
        </w:rPr>
        <w:tab/>
        <w:t>Applicants’ heads of argument para 5.2.</w:t>
      </w:r>
    </w:p>
  </w:footnote>
  <w:footnote w:id="9">
    <w:p w14:paraId="209C17B4" w14:textId="79DD7E75" w:rsidR="00720189" w:rsidRPr="00720189" w:rsidRDefault="00720189">
      <w:pPr>
        <w:pStyle w:val="FootnoteText"/>
        <w:rPr>
          <w:lang w:val="en-GB"/>
        </w:rPr>
      </w:pPr>
      <w:r>
        <w:rPr>
          <w:rStyle w:val="FootnoteReference"/>
        </w:rPr>
        <w:footnoteRef/>
      </w:r>
      <w:r>
        <w:t xml:space="preserve"> </w:t>
      </w:r>
      <w:r>
        <w:rPr>
          <w:lang w:val="en-GB"/>
        </w:rPr>
        <w:tab/>
        <w:t>Judgement para 12.</w:t>
      </w:r>
      <w:r w:rsidR="00721A26">
        <w:rPr>
          <w:lang w:val="en-GB"/>
        </w:rPr>
        <w:t xml:space="preserve"> See also </w:t>
      </w:r>
      <w:r w:rsidR="00721A26" w:rsidRPr="00721A26">
        <w:rPr>
          <w:i/>
          <w:iCs/>
          <w:lang w:val="en-GB"/>
        </w:rPr>
        <w:t>Wightman trading as JW Construction v Headfour (Pty)</w:t>
      </w:r>
      <w:r w:rsidR="00721A26">
        <w:rPr>
          <w:i/>
          <w:iCs/>
          <w:lang w:val="en-GB"/>
        </w:rPr>
        <w:t xml:space="preserve"> L</w:t>
      </w:r>
      <w:r w:rsidR="00721A26" w:rsidRPr="00721A26">
        <w:rPr>
          <w:i/>
          <w:iCs/>
          <w:lang w:val="en-GB"/>
        </w:rPr>
        <w:t>td and Another</w:t>
      </w:r>
      <w:r w:rsidR="00721A26">
        <w:rPr>
          <w:lang w:val="en-GB"/>
        </w:rPr>
        <w:t xml:space="preserve"> 2008 (3) SA 371 (SCA) paragraphs 13 and 19.</w:t>
      </w:r>
    </w:p>
  </w:footnote>
  <w:footnote w:id="10">
    <w:p w14:paraId="55A1975C" w14:textId="6AB7391F" w:rsidR="00CA591E" w:rsidRDefault="00CA591E">
      <w:pPr>
        <w:pStyle w:val="FootnoteText"/>
      </w:pPr>
      <w:r>
        <w:rPr>
          <w:rStyle w:val="FootnoteReference"/>
        </w:rPr>
        <w:footnoteRef/>
      </w:r>
      <w:r>
        <w:t xml:space="preserve"> </w:t>
      </w:r>
      <w:r>
        <w:tab/>
      </w:r>
      <w:r w:rsidRPr="00187FD1">
        <w:rPr>
          <w:rFonts w:cs="Arial"/>
          <w:bCs/>
          <w:szCs w:val="22"/>
        </w:rPr>
        <w:t>The two directors of the first applicant</w:t>
      </w:r>
      <w:r>
        <w:rPr>
          <w:rFonts w:cs="Arial"/>
          <w:bCs/>
          <w:szCs w:val="22"/>
        </w:rPr>
        <w:t>.</w:t>
      </w:r>
    </w:p>
  </w:footnote>
  <w:footnote w:id="11">
    <w:p w14:paraId="78D80109" w14:textId="74F77AEA" w:rsidR="00212AFB" w:rsidRPr="00212AFB" w:rsidRDefault="00212AFB">
      <w:pPr>
        <w:pStyle w:val="FootnoteText"/>
        <w:rPr>
          <w:lang w:val="en-GB"/>
        </w:rPr>
      </w:pPr>
      <w:r>
        <w:rPr>
          <w:rStyle w:val="FootnoteReference"/>
        </w:rPr>
        <w:footnoteRef/>
      </w:r>
      <w:r>
        <w:t xml:space="preserve"> </w:t>
      </w:r>
      <w:r>
        <w:rPr>
          <w:lang w:val="en-GB"/>
        </w:rPr>
        <w:tab/>
        <w:t>Section 16 (1) (a) of the Superior Courts Act 10 of 2013</w:t>
      </w:r>
      <w:r w:rsidR="00852735">
        <w:rPr>
          <w:lang w:val="en-GB"/>
        </w:rPr>
        <w:t>.</w:t>
      </w:r>
    </w:p>
  </w:footnote>
  <w:footnote w:id="12">
    <w:p w14:paraId="0D23F012" w14:textId="553351C0" w:rsidR="00852735" w:rsidRPr="00212AFB" w:rsidRDefault="00852735" w:rsidP="00852735">
      <w:pPr>
        <w:pStyle w:val="FootnoteText"/>
        <w:rPr>
          <w:lang w:val="en-GB"/>
        </w:rPr>
      </w:pPr>
      <w:r>
        <w:rPr>
          <w:rStyle w:val="FootnoteReference"/>
        </w:rPr>
        <w:footnoteRef/>
      </w:r>
      <w:r>
        <w:t xml:space="preserve"> </w:t>
      </w:r>
      <w:r>
        <w:rPr>
          <w:lang w:val="en-GB"/>
        </w:rPr>
        <w:tab/>
      </w:r>
      <w:r w:rsidRPr="00212AFB">
        <w:rPr>
          <w:i/>
          <w:iCs/>
          <w:lang w:val="en-GB"/>
        </w:rPr>
        <w:t>Medox v Commissioner, South African Revenue Service</w:t>
      </w:r>
      <w:r>
        <w:rPr>
          <w:lang w:val="en-GB"/>
        </w:rPr>
        <w:t xml:space="preserve"> 2015 (6) SA 310 (SCA) para 10 and Tecmed Africa (Pty) Ltd v Minister of Health and Another [2012] All SA 149 (SCA) para 17.</w:t>
      </w:r>
    </w:p>
  </w:footnote>
  <w:footnote w:id="13">
    <w:p w14:paraId="21EC3EDA" w14:textId="77777777" w:rsidR="007D5032" w:rsidRDefault="007D5032" w:rsidP="007D5032">
      <w:pPr>
        <w:pStyle w:val="FootnoteText"/>
      </w:pPr>
      <w:r>
        <w:rPr>
          <w:rStyle w:val="FootnoteReference"/>
        </w:rPr>
        <w:footnoteRef/>
      </w:r>
      <w:r>
        <w:t xml:space="preserve"> </w:t>
      </w:r>
      <w:r>
        <w:tab/>
        <w:t>See</w:t>
      </w:r>
      <w:r w:rsidRPr="005368FD">
        <w:rPr>
          <w:rFonts w:eastAsia="Calibri"/>
          <w:i/>
          <w:iCs/>
        </w:rPr>
        <w:t xml:space="preserve"> </w:t>
      </w:r>
      <w:r w:rsidRPr="00E21A09">
        <w:rPr>
          <w:rFonts w:eastAsia="Calibri"/>
          <w:i/>
          <w:iCs/>
        </w:rPr>
        <w:t>S v Smith</w:t>
      </w:r>
      <w:r w:rsidRPr="00E21A09">
        <w:rPr>
          <w:rFonts w:eastAsia="Calibri" w:cs="Arial"/>
          <w:color w:val="000000"/>
        </w:rPr>
        <w:t xml:space="preserve"> 2012 (1) SACR 567 (SCA) </w:t>
      </w:r>
      <w:r>
        <w:rPr>
          <w:rFonts w:eastAsia="Calibri" w:cs="Arial"/>
          <w:color w:val="000000"/>
        </w:rPr>
        <w:t>para</w:t>
      </w:r>
      <w:r w:rsidRPr="00E21A09">
        <w:rPr>
          <w:rFonts w:eastAsia="Calibri" w:cs="Arial"/>
          <w:color w:val="000000"/>
        </w:rPr>
        <w:t xml:space="preserve"> 7</w:t>
      </w:r>
      <w:r>
        <w:rPr>
          <w:rFonts w:eastAsia="Calibri" w:cs="Arial"/>
          <w:color w:val="000000"/>
        </w:rPr>
        <w:t xml:space="preserve">; </w:t>
      </w:r>
      <w:r w:rsidRPr="00054474">
        <w:rPr>
          <w:rFonts w:eastAsia="Calibri"/>
          <w:i/>
          <w:iCs/>
        </w:rPr>
        <w:t xml:space="preserve">Mont Chevaux Trust </w:t>
      </w:r>
      <w:r>
        <w:rPr>
          <w:rFonts w:cs="Arial"/>
          <w:i/>
          <w:iCs/>
        </w:rPr>
        <w:t xml:space="preserve">(IT 2012/28) </w:t>
      </w:r>
      <w:r w:rsidRPr="00054474">
        <w:rPr>
          <w:rFonts w:eastAsia="Calibri"/>
          <w:i/>
          <w:iCs/>
        </w:rPr>
        <w:t xml:space="preserve">v </w:t>
      </w:r>
      <w:r>
        <w:rPr>
          <w:rFonts w:eastAsia="Calibri"/>
          <w:i/>
          <w:iCs/>
        </w:rPr>
        <w:t xml:space="preserve">Tina </w:t>
      </w:r>
      <w:r w:rsidRPr="00054474">
        <w:rPr>
          <w:rFonts w:eastAsia="Calibri"/>
          <w:i/>
          <w:iCs/>
        </w:rPr>
        <w:t>Goosen</w:t>
      </w:r>
      <w:r w:rsidRPr="00054474">
        <w:rPr>
          <w:rFonts w:eastAsia="Calibri" w:cs="Arial"/>
          <w:color w:val="000000"/>
        </w:rPr>
        <w:t xml:space="preserve"> 2014 JDR 2325 (LCC)</w:t>
      </w:r>
      <w:r>
        <w:rPr>
          <w:rFonts w:cs="Arial"/>
        </w:rPr>
        <w:t xml:space="preserve">, </w:t>
      </w:r>
      <w:r w:rsidRPr="00054474">
        <w:rPr>
          <w:rFonts w:cs="Arial"/>
        </w:rPr>
        <w:t xml:space="preserve">[2014] ZALCC 20 </w:t>
      </w:r>
      <w:r>
        <w:rPr>
          <w:rFonts w:cs="Arial"/>
        </w:rPr>
        <w:t>para</w:t>
      </w:r>
      <w:r w:rsidRPr="00054474">
        <w:rPr>
          <w:rFonts w:cs="Arial"/>
        </w:rPr>
        <w:t xml:space="preserve"> 6</w:t>
      </w:r>
      <w:r>
        <w:rPr>
          <w:rFonts w:cs="Arial"/>
        </w:rPr>
        <w:t xml:space="preserve">; </w:t>
      </w:r>
      <w:r w:rsidRPr="00B83232">
        <w:rPr>
          <w:rFonts w:eastAsia="Calibri" w:cs="Arial"/>
          <w:i/>
          <w:iCs/>
        </w:rPr>
        <w:t>S v Notshokovu</w:t>
      </w:r>
      <w:r w:rsidRPr="00B83232">
        <w:rPr>
          <w:rFonts w:cs="Arial"/>
        </w:rPr>
        <w:t xml:space="preserve"> 2016 JDR 1647 (SCA),</w:t>
      </w:r>
      <w:r w:rsidRPr="00B83232">
        <w:rPr>
          <w:rFonts w:eastAsia="Calibri" w:cs="Arial"/>
          <w:color w:val="000000"/>
        </w:rPr>
        <w:t xml:space="preserve"> [2016] ZASCA 112 </w:t>
      </w:r>
      <w:r>
        <w:rPr>
          <w:rFonts w:eastAsia="Calibri" w:cs="Arial"/>
          <w:color w:val="000000"/>
        </w:rPr>
        <w:t>para</w:t>
      </w:r>
      <w:r w:rsidRPr="00B83232">
        <w:rPr>
          <w:rFonts w:eastAsia="Calibri" w:cs="Arial"/>
          <w:color w:val="000000"/>
        </w:rPr>
        <w:t xml:space="preserve"> 2</w:t>
      </w:r>
      <w:r>
        <w:rPr>
          <w:rFonts w:eastAsia="Calibri" w:cs="Arial"/>
          <w:color w:val="000000"/>
        </w:rPr>
        <w:t>;</w:t>
      </w:r>
      <w:r w:rsidRPr="005368FD">
        <w:rPr>
          <w:i/>
          <w:iCs/>
          <w:lang w:eastAsia="en-ZA"/>
        </w:rPr>
        <w:t xml:space="preserve"> </w:t>
      </w:r>
      <w:r w:rsidRPr="008A2504">
        <w:rPr>
          <w:i/>
          <w:iCs/>
          <w:lang w:eastAsia="en-ZA"/>
        </w:rPr>
        <w:t>Member of the Executive Council</w:t>
      </w:r>
      <w:r>
        <w:rPr>
          <w:i/>
          <w:iCs/>
          <w:lang w:eastAsia="en-ZA"/>
        </w:rPr>
        <w:t xml:space="preserve"> </w:t>
      </w:r>
      <w:r w:rsidRPr="008A2504">
        <w:rPr>
          <w:i/>
          <w:iCs/>
          <w:lang w:eastAsia="en-ZA"/>
        </w:rPr>
        <w:t>for</w:t>
      </w:r>
      <w:r>
        <w:rPr>
          <w:i/>
          <w:iCs/>
          <w:lang w:eastAsia="en-ZA"/>
        </w:rPr>
        <w:t xml:space="preserve"> </w:t>
      </w:r>
      <w:r w:rsidRPr="008A2504">
        <w:rPr>
          <w:i/>
          <w:iCs/>
          <w:lang w:eastAsia="en-ZA"/>
        </w:rPr>
        <w:t>Health,</w:t>
      </w:r>
      <w:r>
        <w:rPr>
          <w:i/>
          <w:iCs/>
          <w:lang w:eastAsia="en-ZA"/>
        </w:rPr>
        <w:t xml:space="preserve"> </w:t>
      </w:r>
      <w:r w:rsidRPr="008A2504">
        <w:rPr>
          <w:i/>
          <w:iCs/>
          <w:lang w:eastAsia="en-ZA"/>
        </w:rPr>
        <w:t>Eastern</w:t>
      </w:r>
      <w:r>
        <w:rPr>
          <w:i/>
          <w:iCs/>
          <w:lang w:eastAsia="en-ZA"/>
        </w:rPr>
        <w:t xml:space="preserve"> </w:t>
      </w:r>
      <w:r w:rsidRPr="008A2504">
        <w:rPr>
          <w:i/>
          <w:iCs/>
          <w:lang w:eastAsia="en-ZA"/>
        </w:rPr>
        <w:t>Cape</w:t>
      </w:r>
      <w:r>
        <w:rPr>
          <w:i/>
          <w:iCs/>
          <w:lang w:eastAsia="en-ZA"/>
        </w:rPr>
        <w:t xml:space="preserve"> </w:t>
      </w:r>
      <w:r w:rsidRPr="008A2504">
        <w:rPr>
          <w:i/>
          <w:iCs/>
          <w:lang w:eastAsia="en-ZA"/>
        </w:rPr>
        <w:t>v</w:t>
      </w:r>
      <w:r>
        <w:rPr>
          <w:i/>
          <w:iCs/>
          <w:lang w:eastAsia="en-ZA"/>
        </w:rPr>
        <w:t xml:space="preserve"> </w:t>
      </w:r>
      <w:r w:rsidRPr="008A2504">
        <w:rPr>
          <w:i/>
          <w:iCs/>
          <w:lang w:eastAsia="en-ZA"/>
        </w:rPr>
        <w:t>Mkhitha</w:t>
      </w:r>
      <w:r>
        <w:rPr>
          <w:i/>
          <w:iCs/>
          <w:lang w:eastAsia="en-ZA"/>
        </w:rPr>
        <w:t xml:space="preserve"> </w:t>
      </w:r>
      <w:r w:rsidRPr="008A2504">
        <w:rPr>
          <w:i/>
          <w:iCs/>
          <w:lang w:eastAsia="en-ZA"/>
        </w:rPr>
        <w:t>and</w:t>
      </w:r>
      <w:r>
        <w:rPr>
          <w:i/>
          <w:iCs/>
          <w:lang w:eastAsia="en-ZA"/>
        </w:rPr>
        <w:t xml:space="preserve"> </w:t>
      </w:r>
      <w:r w:rsidRPr="008A2504">
        <w:rPr>
          <w:i/>
          <w:iCs/>
          <w:lang w:eastAsia="en-ZA"/>
        </w:rPr>
        <w:t>another</w:t>
      </w:r>
      <w:r w:rsidRPr="008A2504">
        <w:rPr>
          <w:lang w:eastAsia="en-ZA"/>
        </w:rPr>
        <w:t xml:space="preserve"> [2016] JOL 36940 (SCA)</w:t>
      </w:r>
      <w:r>
        <w:rPr>
          <w:lang w:eastAsia="en-ZA"/>
        </w:rPr>
        <w:t xml:space="preserve"> para 16;</w:t>
      </w:r>
      <w:r w:rsidRPr="005368FD">
        <w:rPr>
          <w:rFonts w:eastAsia="Calibri" w:cs="Arial"/>
          <w:i/>
          <w:iCs/>
          <w:color w:val="000000"/>
        </w:rPr>
        <w:t xml:space="preserve"> </w:t>
      </w:r>
      <w:r w:rsidRPr="00B83232">
        <w:rPr>
          <w:rFonts w:eastAsia="Calibri" w:cs="Arial"/>
          <w:i/>
          <w:iCs/>
          <w:color w:val="000000"/>
        </w:rPr>
        <w:t xml:space="preserve">The Acting National Director of Public Prosecution v Democratic Alliance </w:t>
      </w:r>
      <w:r w:rsidRPr="00B83232">
        <w:rPr>
          <w:rFonts w:eastAsia="Calibri" w:cs="Arial"/>
          <w:color w:val="000000"/>
        </w:rPr>
        <w:t xml:space="preserve">[2016] ZAGPPHC 489, </w:t>
      </w:r>
      <w:r w:rsidRPr="00B83232">
        <w:rPr>
          <w:rFonts w:eastAsia="Calibri" w:cs="Arial"/>
        </w:rPr>
        <w:t xml:space="preserve">JOL 36123 (GP) </w:t>
      </w:r>
      <w:r>
        <w:rPr>
          <w:rFonts w:eastAsia="Calibri" w:cs="Arial"/>
          <w:color w:val="000000"/>
        </w:rPr>
        <w:t>para</w:t>
      </w:r>
      <w:r w:rsidRPr="00B83232">
        <w:rPr>
          <w:rFonts w:eastAsia="Calibri" w:cs="Arial"/>
          <w:color w:val="000000"/>
        </w:rPr>
        <w:t xml:space="preserve"> 25; </w:t>
      </w:r>
      <w:r w:rsidRPr="00B83232">
        <w:rPr>
          <w:rFonts w:eastAsia="Calibri" w:cs="Arial"/>
          <w:i/>
          <w:iCs/>
          <w:color w:val="000000"/>
        </w:rPr>
        <w:t xml:space="preserve">South African Breweries (Pty) Ltd v Commissioner of the South African Revenue Services </w:t>
      </w:r>
      <w:r w:rsidRPr="00B83232">
        <w:rPr>
          <w:rFonts w:eastAsia="Calibri" w:cs="Arial"/>
          <w:color w:val="000000"/>
        </w:rPr>
        <w:t xml:space="preserve">[2017] ZAGPPHC 340 </w:t>
      </w:r>
      <w:r>
        <w:rPr>
          <w:rFonts w:eastAsia="Calibri" w:cs="Arial"/>
          <w:color w:val="000000"/>
        </w:rPr>
        <w:t>para</w:t>
      </w:r>
      <w:r w:rsidRPr="00B83232">
        <w:rPr>
          <w:rFonts w:eastAsia="Calibri" w:cs="Arial"/>
          <w:color w:val="000000"/>
        </w:rPr>
        <w:t xml:space="preserve"> 5</w:t>
      </w:r>
      <w:r w:rsidRPr="00B83232">
        <w:rPr>
          <w:rFonts w:eastAsia="Calibri" w:cs="Arial"/>
        </w:rPr>
        <w:t xml:space="preserve">; </w:t>
      </w:r>
      <w:r w:rsidRPr="00B83232">
        <w:rPr>
          <w:rFonts w:eastAsia="Calibri" w:cs="Arial"/>
          <w:i/>
          <w:iCs/>
        </w:rPr>
        <w:t>Lakaje N.O v MEC: Department of Health</w:t>
      </w:r>
      <w:r w:rsidRPr="00B83232">
        <w:rPr>
          <w:rFonts w:eastAsia="Calibri" w:cs="Arial"/>
        </w:rPr>
        <w:t xml:space="preserve"> [2019] JOL 45564 (FB) </w:t>
      </w:r>
      <w:r>
        <w:rPr>
          <w:rFonts w:eastAsia="Calibri" w:cs="Arial"/>
          <w:color w:val="000000"/>
        </w:rPr>
        <w:t>para</w:t>
      </w:r>
      <w:r w:rsidRPr="00B83232">
        <w:rPr>
          <w:rFonts w:eastAsia="Calibri" w:cs="Arial"/>
          <w:color w:val="000000"/>
        </w:rPr>
        <w:t xml:space="preserve"> 5;</w:t>
      </w:r>
      <w:r w:rsidRPr="00B83232">
        <w:rPr>
          <w:rFonts w:eastAsia="Calibri" w:cs="Arial"/>
          <w:i/>
          <w:iCs/>
          <w:color w:val="000000"/>
        </w:rPr>
        <w:t xml:space="preserve"> Nwafor v Minister of Home Affairs </w:t>
      </w:r>
      <w:r w:rsidRPr="00B83232">
        <w:rPr>
          <w:rFonts w:eastAsia="Calibri" w:cs="Arial"/>
          <w:color w:val="000000"/>
        </w:rPr>
        <w:t>[2021] JOL 50310 (SCA),</w:t>
      </w:r>
      <w:r w:rsidRPr="00B83232">
        <w:rPr>
          <w:rFonts w:cs="Arial"/>
          <w:color w:val="000000"/>
          <w:shd w:val="clear" w:color="auto" w:fill="FFFFFF"/>
        </w:rPr>
        <w:t xml:space="preserve"> 2021 JDR 0948 (SCA)</w:t>
      </w:r>
      <w:r w:rsidRPr="00B83232">
        <w:rPr>
          <w:rFonts w:eastAsia="Calibri" w:cs="Arial"/>
          <w:color w:val="000000"/>
        </w:rPr>
        <w:t xml:space="preserve"> paras 25 and 26</w:t>
      </w:r>
      <w:r>
        <w:rPr>
          <w:rFonts w:eastAsia="Calibri" w:cs="Arial"/>
          <w:color w:val="000000"/>
        </w:rPr>
        <w:t xml:space="preserve">; </w:t>
      </w:r>
      <w:r w:rsidRPr="00EA5B3C">
        <w:rPr>
          <w:rFonts w:eastAsia="Calibri"/>
          <w:i/>
          <w:iCs/>
        </w:rPr>
        <w:t>KwaZulu-Natal Law Society v Sharma</w:t>
      </w:r>
      <w:r w:rsidRPr="00E21A09">
        <w:rPr>
          <w:rFonts w:eastAsia="Calibri" w:cs="Arial"/>
          <w:color w:val="000000"/>
        </w:rPr>
        <w:t xml:space="preserve"> [2017] JOL 37724 (KZP) </w:t>
      </w:r>
      <w:r>
        <w:rPr>
          <w:rFonts w:eastAsia="Calibri" w:cs="Arial"/>
          <w:color w:val="000000"/>
        </w:rPr>
        <w:t>para</w:t>
      </w:r>
      <w:r w:rsidRPr="00E21A09">
        <w:rPr>
          <w:rFonts w:eastAsia="Calibri" w:cs="Arial"/>
          <w:color w:val="000000"/>
        </w:rPr>
        <w:t xml:space="preserve"> 29</w:t>
      </w:r>
      <w:r>
        <w:rPr>
          <w:rFonts w:eastAsia="Calibri" w:cs="Arial"/>
          <w:color w:val="000000"/>
        </w:rPr>
        <w:t xml:space="preserve">; </w:t>
      </w:r>
      <w:r w:rsidRPr="00B83232">
        <w:rPr>
          <w:i/>
          <w:iCs/>
        </w:rPr>
        <w:t>Shinga v The State and another (Society of Advocates (Pietermaritzburg Bar) intervening as Amicus Curiae); S v O'Connell and others</w:t>
      </w:r>
      <w:r>
        <w:t xml:space="preserve"> 2007 (2) SACR 28 (CC);</w:t>
      </w:r>
      <w:r>
        <w:rPr>
          <w:rFonts w:eastAsia="Calibri" w:cs="Arial"/>
          <w:color w:val="000000"/>
        </w:rPr>
        <w:t xml:space="preserve"> </w:t>
      </w:r>
      <w:r w:rsidRPr="00B83232">
        <w:rPr>
          <w:i/>
          <w:iCs/>
        </w:rPr>
        <w:t>Lephoi v Ramakarane</w:t>
      </w:r>
      <w:r>
        <w:t xml:space="preserve">  [2023] JOL 59548 (FB) para 4; </w:t>
      </w:r>
      <w:r w:rsidRPr="009A3ABB">
        <w:rPr>
          <w:rFonts w:cs="Arial"/>
          <w:i/>
          <w:iCs/>
        </w:rPr>
        <w:t>Mphahlele v Scheepers NO</w:t>
      </w:r>
      <w:r w:rsidRPr="009A3ABB">
        <w:rPr>
          <w:rFonts w:cs="Arial"/>
        </w:rPr>
        <w:t xml:space="preserve"> 2023 JDR 2899 (GP)</w:t>
      </w:r>
      <w:r>
        <w:t xml:space="preserve">, and </w:t>
      </w:r>
      <w:r w:rsidRPr="00B83232">
        <w:rPr>
          <w:rFonts w:eastAsia="Calibri" w:cs="Arial"/>
        </w:rPr>
        <w:t xml:space="preserve">Van Loggerenberg </w:t>
      </w:r>
      <w:r w:rsidRPr="00B83232">
        <w:rPr>
          <w:rFonts w:eastAsia="Calibri" w:cs="Arial"/>
          <w:i/>
          <w:iCs/>
        </w:rPr>
        <w:t>Erasmus: Superior Court Practice</w:t>
      </w:r>
      <w:r w:rsidRPr="00B83232">
        <w:rPr>
          <w:rFonts w:eastAsia="Calibri" w:cs="Arial"/>
        </w:rPr>
        <w:t xml:space="preserve"> A2-55</w:t>
      </w:r>
      <w:r>
        <w:rPr>
          <w:rFonts w:eastAsia="Calibri" w:cs="Arial"/>
        </w:rPr>
        <w:t>.</w:t>
      </w:r>
    </w:p>
  </w:footnote>
  <w:footnote w:id="14">
    <w:p w14:paraId="0542C760" w14:textId="77777777" w:rsidR="007D5032" w:rsidRPr="009A3ABB" w:rsidRDefault="007D5032" w:rsidP="007D5032">
      <w:pPr>
        <w:pStyle w:val="FootnoteText"/>
        <w:rPr>
          <w:rFonts w:cs="Arial"/>
        </w:rPr>
      </w:pPr>
      <w:r w:rsidRPr="009A3ABB">
        <w:rPr>
          <w:rStyle w:val="FootnoteReference"/>
          <w:rFonts w:cs="Arial"/>
        </w:rPr>
        <w:footnoteRef/>
      </w:r>
      <w:r w:rsidRPr="009A3ABB">
        <w:rPr>
          <w:rFonts w:cs="Arial"/>
        </w:rPr>
        <w:t xml:space="preserve"> </w:t>
      </w:r>
      <w:r w:rsidRPr="009A3ABB">
        <w:rPr>
          <w:rFonts w:cs="Arial"/>
        </w:rPr>
        <w:tab/>
      </w:r>
      <w:r w:rsidRPr="009A3ABB">
        <w:rPr>
          <w:rStyle w:val="searchhit"/>
          <w:rFonts w:cs="Arial"/>
          <w:i/>
          <w:iCs/>
          <w:color w:val="000000"/>
          <w:bdr w:val="none" w:sz="0" w:space="0" w:color="auto" w:frame="1"/>
          <w:shd w:val="clear" w:color="auto" w:fill="F9F9F9"/>
        </w:rPr>
        <w:t>Ramakatsa</w:t>
      </w:r>
      <w:r w:rsidRPr="009A3ABB">
        <w:rPr>
          <w:rFonts w:cs="Arial"/>
          <w:i/>
          <w:iCs/>
          <w:color w:val="000000"/>
          <w:shd w:val="clear" w:color="auto" w:fill="F9F9F9"/>
        </w:rPr>
        <w:t> and others v African National Congress and another</w:t>
      </w:r>
      <w:r w:rsidRPr="009A3ABB">
        <w:rPr>
          <w:rFonts w:cs="Arial"/>
          <w:color w:val="000000"/>
          <w:shd w:val="clear" w:color="auto" w:fill="F9F9F9"/>
        </w:rPr>
        <w:t xml:space="preserve"> [2021] JOL 49993 (SCA), also reported as </w:t>
      </w:r>
      <w:r w:rsidRPr="009A3ABB">
        <w:rPr>
          <w:rFonts w:cs="Arial"/>
          <w:i/>
          <w:iCs/>
        </w:rPr>
        <w:t>Ramakatsa v ANC</w:t>
      </w:r>
      <w:r w:rsidRPr="009A3ABB">
        <w:rPr>
          <w:rFonts w:cs="Arial"/>
        </w:rPr>
        <w:t xml:space="preserve"> 2021 ZASCA 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68A9B" w14:textId="6C87C360" w:rsidR="00893C08" w:rsidRPr="008E2A22" w:rsidRDefault="00893C08" w:rsidP="004B21D9">
    <w:pPr>
      <w:tabs>
        <w:tab w:val="center" w:pos="4153"/>
        <w:tab w:val="right" w:pos="8306"/>
      </w:tabs>
      <w:spacing w:line="276" w:lineRule="auto"/>
      <w:rPr>
        <w:rFonts w:cs="Arial"/>
        <w:sz w:val="19"/>
        <w:szCs w:val="19"/>
        <w:lang w:val="en-GB"/>
      </w:rPr>
    </w:pPr>
    <w:r w:rsidRPr="008E2A22">
      <w:rPr>
        <w:rFonts w:cs="Arial"/>
        <w:sz w:val="19"/>
        <w:szCs w:val="19"/>
        <w:lang w:val="en-GB"/>
      </w:rPr>
      <w:fldChar w:fldCharType="begin"/>
    </w:r>
    <w:r w:rsidRPr="008E2A22">
      <w:rPr>
        <w:rFonts w:cs="Arial"/>
        <w:sz w:val="19"/>
        <w:szCs w:val="19"/>
        <w:lang w:val="en-GB"/>
      </w:rPr>
      <w:instrText xml:space="preserve"> PAGE </w:instrText>
    </w:r>
    <w:r w:rsidRPr="008E2A22">
      <w:rPr>
        <w:rFonts w:cs="Arial"/>
        <w:sz w:val="19"/>
        <w:szCs w:val="19"/>
        <w:lang w:val="en-GB"/>
      </w:rPr>
      <w:fldChar w:fldCharType="separate"/>
    </w:r>
    <w:r w:rsidR="00620C49">
      <w:rPr>
        <w:rFonts w:cs="Arial"/>
        <w:noProof/>
        <w:sz w:val="19"/>
        <w:szCs w:val="19"/>
        <w:lang w:val="en-GB"/>
      </w:rPr>
      <w:t>2</w:t>
    </w:r>
    <w:r w:rsidRPr="008E2A22">
      <w:rPr>
        <w:rFonts w:cs="Arial"/>
        <w:sz w:val="19"/>
        <w:szCs w:val="19"/>
        <w:lang w:val="en-GB"/>
      </w:rPr>
      <w:fldChar w:fldCharType="end"/>
    </w:r>
  </w:p>
  <w:p w14:paraId="08C008E5" w14:textId="77777777" w:rsidR="00893C08" w:rsidRPr="008E2A22" w:rsidRDefault="00893C08" w:rsidP="006C43D7">
    <w:pPr>
      <w:tabs>
        <w:tab w:val="center" w:pos="4153"/>
        <w:tab w:val="right" w:pos="8306"/>
      </w:tabs>
      <w:spacing w:line="276" w:lineRule="auto"/>
      <w:jc w:val="right"/>
      <w:rPr>
        <w:rFonts w:cs="Arial"/>
        <w:sz w:val="21"/>
        <w:szCs w:val="21"/>
        <w:lang w:val="en-US"/>
      </w:rPr>
    </w:pPr>
  </w:p>
  <w:p w14:paraId="4A21EF97" w14:textId="77777777" w:rsidR="00893C08" w:rsidRPr="008E2A22" w:rsidRDefault="00893C08" w:rsidP="006C43D7">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A0D50CD"/>
    <w:multiLevelType w:val="hybridMultilevel"/>
    <w:tmpl w:val="9DC047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395632B"/>
    <w:multiLevelType w:val="multilevel"/>
    <w:tmpl w:val="18D4C7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4576F93"/>
    <w:multiLevelType w:val="hybridMultilevel"/>
    <w:tmpl w:val="64068F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5DE0EE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DD7D02"/>
    <w:multiLevelType w:val="multilevel"/>
    <w:tmpl w:val="DF0C55CC"/>
    <w:lvl w:ilvl="0">
      <w:start w:val="1"/>
      <w:numFmt w:val="decimal"/>
      <w:pStyle w:val="AFUaffidavitnumbering"/>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7" w15:restartNumberingAfterBreak="0">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126397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32E953CA"/>
    <w:multiLevelType w:val="hybridMultilevel"/>
    <w:tmpl w:val="DA80D96A"/>
    <w:lvl w:ilvl="0" w:tplc="57BA0A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12" w15:restartNumberingAfterBreak="0">
    <w:nsid w:val="3F8F0C59"/>
    <w:multiLevelType w:val="hybridMultilevel"/>
    <w:tmpl w:val="FCCCA750"/>
    <w:lvl w:ilvl="0" w:tplc="F6887E70">
      <w:start w:val="1"/>
      <w:numFmt w:val="decimal"/>
      <w:lvlText w:val="%1."/>
      <w:lvlJc w:val="left"/>
      <w:pPr>
        <w:ind w:left="1650" w:hanging="564"/>
      </w:pPr>
      <w:rPr>
        <w:rFonts w:hint="default"/>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13" w15:restartNumberingAfterBreak="0">
    <w:nsid w:val="439C0D19"/>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9950EA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6C248F"/>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9" w15:restartNumberingAfterBreak="0">
    <w:nsid w:val="77EE27A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7825785">
    <w:abstractNumId w:val="7"/>
  </w:num>
  <w:num w:numId="2" w16cid:durableId="960257968">
    <w:abstractNumId w:val="2"/>
  </w:num>
  <w:num w:numId="3" w16cid:durableId="996148433">
    <w:abstractNumId w:val="18"/>
  </w:num>
  <w:num w:numId="4" w16cid:durableId="1937862514">
    <w:abstractNumId w:val="9"/>
  </w:num>
  <w:num w:numId="5" w16cid:durableId="1991056887">
    <w:abstractNumId w:val="17"/>
  </w:num>
  <w:num w:numId="6" w16cid:durableId="1284189249">
    <w:abstractNumId w:val="14"/>
  </w:num>
  <w:num w:numId="7" w16cid:durableId="401950280">
    <w:abstractNumId w:val="0"/>
  </w:num>
  <w:num w:numId="8" w16cid:durableId="8068539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2874445">
    <w:abstractNumId w:val="12"/>
  </w:num>
  <w:num w:numId="10" w16cid:durableId="947851960">
    <w:abstractNumId w:val="3"/>
  </w:num>
  <w:num w:numId="11" w16cid:durableId="1947887851">
    <w:abstractNumId w:val="19"/>
  </w:num>
  <w:num w:numId="12" w16cid:durableId="1973710083">
    <w:abstractNumId w:val="6"/>
    <w:lvlOverride w:ilvl="0">
      <w:lvl w:ilvl="0">
        <w:start w:val="1"/>
        <w:numFmt w:val="decimal"/>
        <w:pStyle w:val="AFUaffidavitnumbering"/>
        <w:lvlText w:val="%1"/>
        <w:lvlJc w:val="left"/>
        <w:pPr>
          <w:tabs>
            <w:tab w:val="num" w:pos="567"/>
          </w:tabs>
          <w:ind w:left="567" w:hanging="567"/>
        </w:pPr>
        <w:rPr>
          <w:rFonts w:hint="default"/>
        </w:rPr>
      </w:lvl>
    </w:lvlOverride>
    <w:lvlOverride w:ilvl="1">
      <w:lvl w:ilvl="1">
        <w:start w:val="1"/>
        <w:numFmt w:val="decimal"/>
        <w:lvlText w:val="%1.%2"/>
        <w:lvlJc w:val="left"/>
        <w:pPr>
          <w:tabs>
            <w:tab w:val="num" w:pos="1418"/>
          </w:tabs>
          <w:ind w:left="1418" w:hanging="851"/>
        </w:pPr>
        <w:rPr>
          <w:rFonts w:hint="default"/>
        </w:rPr>
      </w:lvl>
    </w:lvlOverride>
    <w:lvlOverride w:ilvl="2">
      <w:lvl w:ilvl="2">
        <w:start w:val="1"/>
        <w:numFmt w:val="decimal"/>
        <w:lvlText w:val="%1.%2.%3"/>
        <w:lvlJc w:val="left"/>
        <w:pPr>
          <w:tabs>
            <w:tab w:val="num" w:pos="2268"/>
          </w:tabs>
          <w:ind w:left="2268" w:hanging="850"/>
        </w:pPr>
        <w:rPr>
          <w:rFonts w:hint="default"/>
          <w:b w:val="0"/>
        </w:rPr>
      </w:lvl>
    </w:lvlOverride>
    <w:lvlOverride w:ilvl="3">
      <w:lvl w:ilvl="3">
        <w:start w:val="1"/>
        <w:numFmt w:val="decimal"/>
        <w:lvlText w:val="%1.%2.%3.%4"/>
        <w:lvlJc w:val="left"/>
        <w:pPr>
          <w:tabs>
            <w:tab w:val="num" w:pos="141"/>
          </w:tabs>
          <w:ind w:left="2409" w:hanging="567"/>
        </w:pPr>
        <w:rPr>
          <w:rFonts w:hint="default"/>
          <w:b w:val="0"/>
        </w:rPr>
      </w:lvl>
    </w:lvlOverride>
    <w:lvlOverride w:ilvl="4">
      <w:lvl w:ilvl="4">
        <w:start w:val="1"/>
        <w:numFmt w:val="decimal"/>
        <w:lvlText w:val="%1.%2.%3.%4.%5."/>
        <w:lvlJc w:val="left"/>
        <w:pPr>
          <w:tabs>
            <w:tab w:val="num" w:pos="0"/>
          </w:tabs>
          <w:ind w:left="2835" w:hanging="567"/>
        </w:pPr>
        <w:rPr>
          <w:rFonts w:hint="default"/>
        </w:rPr>
      </w:lvl>
    </w:lvlOverride>
    <w:lvlOverride w:ilvl="5">
      <w:lvl w:ilvl="5">
        <w:start w:val="1"/>
        <w:numFmt w:val="decimal"/>
        <w:lvlText w:val="%1.%2.%3.%4.%5.%6."/>
        <w:lvlJc w:val="left"/>
        <w:pPr>
          <w:tabs>
            <w:tab w:val="num" w:pos="0"/>
          </w:tabs>
          <w:ind w:left="3402" w:hanging="567"/>
        </w:pPr>
        <w:rPr>
          <w:rFonts w:hint="default"/>
        </w:rPr>
      </w:lvl>
    </w:lvlOverride>
    <w:lvlOverride w:ilvl="6">
      <w:lvl w:ilvl="6">
        <w:start w:val="1"/>
        <w:numFmt w:val="decimal"/>
        <w:lvlText w:val="%1.%2.%3.%4.%5.%6.%7."/>
        <w:lvlJc w:val="left"/>
        <w:pPr>
          <w:tabs>
            <w:tab w:val="num" w:pos="0"/>
          </w:tabs>
          <w:ind w:left="3969" w:hanging="567"/>
        </w:pPr>
        <w:rPr>
          <w:rFonts w:hint="default"/>
        </w:rPr>
      </w:lvl>
    </w:lvlOverride>
    <w:lvlOverride w:ilvl="7">
      <w:lvl w:ilvl="7">
        <w:start w:val="1"/>
        <w:numFmt w:val="decimal"/>
        <w:lvlText w:val="%1.%2.%3.%4.%5.%6.%7.%8."/>
        <w:lvlJc w:val="left"/>
        <w:pPr>
          <w:tabs>
            <w:tab w:val="num" w:pos="0"/>
          </w:tabs>
          <w:ind w:left="4536" w:hanging="567"/>
        </w:pPr>
        <w:rPr>
          <w:rFonts w:hint="default"/>
        </w:rPr>
      </w:lvl>
    </w:lvlOverride>
    <w:lvlOverride w:ilvl="8">
      <w:lvl w:ilvl="8">
        <w:start w:val="1"/>
        <w:numFmt w:val="decimal"/>
        <w:lvlText w:val="%1.%2.%3.%4.%5.%6.%7.%8.%9."/>
        <w:lvlJc w:val="left"/>
        <w:pPr>
          <w:tabs>
            <w:tab w:val="num" w:pos="0"/>
          </w:tabs>
          <w:ind w:left="5103" w:hanging="567"/>
        </w:pPr>
        <w:rPr>
          <w:rFonts w:hint="default"/>
        </w:rPr>
      </w:lvl>
    </w:lvlOverride>
  </w:num>
  <w:num w:numId="13" w16cid:durableId="1101491763">
    <w:abstractNumId w:val="15"/>
  </w:num>
  <w:num w:numId="14" w16cid:durableId="1857501913">
    <w:abstractNumId w:val="13"/>
  </w:num>
  <w:num w:numId="15" w16cid:durableId="393771664">
    <w:abstractNumId w:val="5"/>
  </w:num>
  <w:num w:numId="16" w16cid:durableId="2072117935">
    <w:abstractNumId w:val="8"/>
  </w:num>
  <w:num w:numId="17" w16cid:durableId="934627352">
    <w:abstractNumId w:val="4"/>
  </w:num>
  <w:num w:numId="18" w16cid:durableId="851456904">
    <w:abstractNumId w:val="1"/>
  </w:num>
  <w:num w:numId="19" w16cid:durableId="1379013535">
    <w:abstractNumId w:val="10"/>
  </w:num>
  <w:num w:numId="20" w16cid:durableId="14683592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I0NTS3sDAyMzI2tTBQ0lEKTi0uzszPAykwrAUAaXH1tSwAAAA="/>
    <w:docVar w:name="dgnword-docGUID" w:val="{CBFC6266-FD50-4E02-A4EF-BE3379369869}"/>
    <w:docVar w:name="dgnword-eventsink" w:val="1915537305232"/>
  </w:docVars>
  <w:rsids>
    <w:rsidRoot w:val="00C676F3"/>
    <w:rsid w:val="000004A3"/>
    <w:rsid w:val="0000059C"/>
    <w:rsid w:val="00000AFE"/>
    <w:rsid w:val="00001138"/>
    <w:rsid w:val="000019D2"/>
    <w:rsid w:val="00001BAE"/>
    <w:rsid w:val="00005CDD"/>
    <w:rsid w:val="00006113"/>
    <w:rsid w:val="0001111B"/>
    <w:rsid w:val="0001140A"/>
    <w:rsid w:val="00011522"/>
    <w:rsid w:val="00013B7F"/>
    <w:rsid w:val="00013F00"/>
    <w:rsid w:val="0001593E"/>
    <w:rsid w:val="00015D74"/>
    <w:rsid w:val="00022ACD"/>
    <w:rsid w:val="00024A29"/>
    <w:rsid w:val="00025815"/>
    <w:rsid w:val="000262B3"/>
    <w:rsid w:val="000264AE"/>
    <w:rsid w:val="00026D9A"/>
    <w:rsid w:val="00027D19"/>
    <w:rsid w:val="00030A89"/>
    <w:rsid w:val="000319AA"/>
    <w:rsid w:val="000325E2"/>
    <w:rsid w:val="00036508"/>
    <w:rsid w:val="00040CD3"/>
    <w:rsid w:val="000426C0"/>
    <w:rsid w:val="00042D0E"/>
    <w:rsid w:val="0004506F"/>
    <w:rsid w:val="0004508D"/>
    <w:rsid w:val="00047F26"/>
    <w:rsid w:val="00050086"/>
    <w:rsid w:val="000504F1"/>
    <w:rsid w:val="00051A2B"/>
    <w:rsid w:val="0005282E"/>
    <w:rsid w:val="000528B3"/>
    <w:rsid w:val="000550EB"/>
    <w:rsid w:val="000554B8"/>
    <w:rsid w:val="0005636C"/>
    <w:rsid w:val="00060AF8"/>
    <w:rsid w:val="00063F7B"/>
    <w:rsid w:val="00066971"/>
    <w:rsid w:val="00072105"/>
    <w:rsid w:val="000737E1"/>
    <w:rsid w:val="00073E30"/>
    <w:rsid w:val="00077D11"/>
    <w:rsid w:val="00081716"/>
    <w:rsid w:val="00082115"/>
    <w:rsid w:val="00082EDC"/>
    <w:rsid w:val="000833BB"/>
    <w:rsid w:val="000835BE"/>
    <w:rsid w:val="00085288"/>
    <w:rsid w:val="000872F2"/>
    <w:rsid w:val="00087AE6"/>
    <w:rsid w:val="000906B5"/>
    <w:rsid w:val="00090F50"/>
    <w:rsid w:val="00090FFC"/>
    <w:rsid w:val="00092591"/>
    <w:rsid w:val="00093237"/>
    <w:rsid w:val="0009429D"/>
    <w:rsid w:val="0009488C"/>
    <w:rsid w:val="0009540B"/>
    <w:rsid w:val="000956E5"/>
    <w:rsid w:val="00096A67"/>
    <w:rsid w:val="000976D2"/>
    <w:rsid w:val="00097968"/>
    <w:rsid w:val="000A6AD8"/>
    <w:rsid w:val="000B0116"/>
    <w:rsid w:val="000B0A70"/>
    <w:rsid w:val="000B21DA"/>
    <w:rsid w:val="000B39D7"/>
    <w:rsid w:val="000C7A3D"/>
    <w:rsid w:val="000C7E41"/>
    <w:rsid w:val="000D01E0"/>
    <w:rsid w:val="000D21E7"/>
    <w:rsid w:val="000D2265"/>
    <w:rsid w:val="000D415C"/>
    <w:rsid w:val="000D4E84"/>
    <w:rsid w:val="000D53F5"/>
    <w:rsid w:val="000D5760"/>
    <w:rsid w:val="000D71C5"/>
    <w:rsid w:val="000D7D6A"/>
    <w:rsid w:val="000E1EC8"/>
    <w:rsid w:val="000E3EE8"/>
    <w:rsid w:val="000E4985"/>
    <w:rsid w:val="000E5343"/>
    <w:rsid w:val="000F00EF"/>
    <w:rsid w:val="000F430D"/>
    <w:rsid w:val="000F59F8"/>
    <w:rsid w:val="000F7813"/>
    <w:rsid w:val="00101890"/>
    <w:rsid w:val="001025B5"/>
    <w:rsid w:val="00104142"/>
    <w:rsid w:val="00105F97"/>
    <w:rsid w:val="00107D26"/>
    <w:rsid w:val="00107D90"/>
    <w:rsid w:val="001114D8"/>
    <w:rsid w:val="001142D1"/>
    <w:rsid w:val="00120C79"/>
    <w:rsid w:val="00120FB1"/>
    <w:rsid w:val="00130253"/>
    <w:rsid w:val="00130C4A"/>
    <w:rsid w:val="00133E81"/>
    <w:rsid w:val="001342B3"/>
    <w:rsid w:val="00135D9E"/>
    <w:rsid w:val="00140454"/>
    <w:rsid w:val="00140CED"/>
    <w:rsid w:val="00141AD1"/>
    <w:rsid w:val="0014628D"/>
    <w:rsid w:val="00147FF5"/>
    <w:rsid w:val="00151DA9"/>
    <w:rsid w:val="00152899"/>
    <w:rsid w:val="00154961"/>
    <w:rsid w:val="00155A21"/>
    <w:rsid w:val="00161057"/>
    <w:rsid w:val="0016589D"/>
    <w:rsid w:val="001671C1"/>
    <w:rsid w:val="00171182"/>
    <w:rsid w:val="0017124B"/>
    <w:rsid w:val="00171D7F"/>
    <w:rsid w:val="00172763"/>
    <w:rsid w:val="00172DDF"/>
    <w:rsid w:val="00175DDD"/>
    <w:rsid w:val="001802F8"/>
    <w:rsid w:val="00180CB6"/>
    <w:rsid w:val="001838CC"/>
    <w:rsid w:val="00183EB6"/>
    <w:rsid w:val="00185ACF"/>
    <w:rsid w:val="00187FD1"/>
    <w:rsid w:val="00190579"/>
    <w:rsid w:val="00190F4E"/>
    <w:rsid w:val="001916C4"/>
    <w:rsid w:val="0019236B"/>
    <w:rsid w:val="001923E3"/>
    <w:rsid w:val="00192613"/>
    <w:rsid w:val="00192F78"/>
    <w:rsid w:val="00193DDD"/>
    <w:rsid w:val="00195810"/>
    <w:rsid w:val="001966E8"/>
    <w:rsid w:val="00196E14"/>
    <w:rsid w:val="001A2608"/>
    <w:rsid w:val="001A4017"/>
    <w:rsid w:val="001A5145"/>
    <w:rsid w:val="001A522A"/>
    <w:rsid w:val="001A7904"/>
    <w:rsid w:val="001B1550"/>
    <w:rsid w:val="001B1D39"/>
    <w:rsid w:val="001B35C2"/>
    <w:rsid w:val="001B4217"/>
    <w:rsid w:val="001B47D8"/>
    <w:rsid w:val="001B4812"/>
    <w:rsid w:val="001B4893"/>
    <w:rsid w:val="001B5D3E"/>
    <w:rsid w:val="001B5E58"/>
    <w:rsid w:val="001B606B"/>
    <w:rsid w:val="001B678D"/>
    <w:rsid w:val="001B7889"/>
    <w:rsid w:val="001C0755"/>
    <w:rsid w:val="001C2371"/>
    <w:rsid w:val="001C33E6"/>
    <w:rsid w:val="001C608F"/>
    <w:rsid w:val="001C7048"/>
    <w:rsid w:val="001D3CC2"/>
    <w:rsid w:val="001E0529"/>
    <w:rsid w:val="001E2EED"/>
    <w:rsid w:val="001E44D1"/>
    <w:rsid w:val="001E4691"/>
    <w:rsid w:val="001E4701"/>
    <w:rsid w:val="001E518E"/>
    <w:rsid w:val="001F07CA"/>
    <w:rsid w:val="001F09D1"/>
    <w:rsid w:val="001F0A29"/>
    <w:rsid w:val="001F0CE5"/>
    <w:rsid w:val="001F14E4"/>
    <w:rsid w:val="001F361F"/>
    <w:rsid w:val="001F3DBD"/>
    <w:rsid w:val="001F648A"/>
    <w:rsid w:val="001F6F43"/>
    <w:rsid w:val="00200B96"/>
    <w:rsid w:val="00201620"/>
    <w:rsid w:val="00203DA2"/>
    <w:rsid w:val="0020474A"/>
    <w:rsid w:val="00205392"/>
    <w:rsid w:val="0020575F"/>
    <w:rsid w:val="00205E72"/>
    <w:rsid w:val="00206919"/>
    <w:rsid w:val="002104BF"/>
    <w:rsid w:val="002108B6"/>
    <w:rsid w:val="00211F49"/>
    <w:rsid w:val="00212AFB"/>
    <w:rsid w:val="00213738"/>
    <w:rsid w:val="002139A7"/>
    <w:rsid w:val="00214877"/>
    <w:rsid w:val="00215824"/>
    <w:rsid w:val="00216BC8"/>
    <w:rsid w:val="002175BA"/>
    <w:rsid w:val="002200DC"/>
    <w:rsid w:val="0022218D"/>
    <w:rsid w:val="00226926"/>
    <w:rsid w:val="002302E3"/>
    <w:rsid w:val="00232528"/>
    <w:rsid w:val="0023405C"/>
    <w:rsid w:val="00235D20"/>
    <w:rsid w:val="00236E47"/>
    <w:rsid w:val="0023711D"/>
    <w:rsid w:val="00237806"/>
    <w:rsid w:val="00237FF9"/>
    <w:rsid w:val="0024012B"/>
    <w:rsid w:val="00243D2F"/>
    <w:rsid w:val="00244FB9"/>
    <w:rsid w:val="00250164"/>
    <w:rsid w:val="00251668"/>
    <w:rsid w:val="002535F0"/>
    <w:rsid w:val="00253F38"/>
    <w:rsid w:val="00253F72"/>
    <w:rsid w:val="00260B0A"/>
    <w:rsid w:val="002625C5"/>
    <w:rsid w:val="00262819"/>
    <w:rsid w:val="00263A96"/>
    <w:rsid w:val="00270557"/>
    <w:rsid w:val="002709AE"/>
    <w:rsid w:val="00272B77"/>
    <w:rsid w:val="0027600C"/>
    <w:rsid w:val="00277491"/>
    <w:rsid w:val="00283664"/>
    <w:rsid w:val="00285040"/>
    <w:rsid w:val="00285062"/>
    <w:rsid w:val="0029196F"/>
    <w:rsid w:val="00292E3E"/>
    <w:rsid w:val="0029369B"/>
    <w:rsid w:val="00293C02"/>
    <w:rsid w:val="0029605B"/>
    <w:rsid w:val="002963B9"/>
    <w:rsid w:val="00296DAF"/>
    <w:rsid w:val="002976B8"/>
    <w:rsid w:val="002A030C"/>
    <w:rsid w:val="002A4B7B"/>
    <w:rsid w:val="002B0355"/>
    <w:rsid w:val="002B05EA"/>
    <w:rsid w:val="002B12D6"/>
    <w:rsid w:val="002B1F55"/>
    <w:rsid w:val="002B528D"/>
    <w:rsid w:val="002C15AC"/>
    <w:rsid w:val="002C2E80"/>
    <w:rsid w:val="002C4687"/>
    <w:rsid w:val="002C48E7"/>
    <w:rsid w:val="002D2842"/>
    <w:rsid w:val="002D47B3"/>
    <w:rsid w:val="002E0E37"/>
    <w:rsid w:val="002E2648"/>
    <w:rsid w:val="002E3586"/>
    <w:rsid w:val="002E5B57"/>
    <w:rsid w:val="002E612C"/>
    <w:rsid w:val="002E6CD7"/>
    <w:rsid w:val="002F1C4D"/>
    <w:rsid w:val="002F2881"/>
    <w:rsid w:val="002F41F8"/>
    <w:rsid w:val="002F4A5D"/>
    <w:rsid w:val="002F508A"/>
    <w:rsid w:val="002F72D3"/>
    <w:rsid w:val="002F774A"/>
    <w:rsid w:val="00302290"/>
    <w:rsid w:val="003023F9"/>
    <w:rsid w:val="00302C31"/>
    <w:rsid w:val="003031A1"/>
    <w:rsid w:val="00303919"/>
    <w:rsid w:val="003047C2"/>
    <w:rsid w:val="0030653F"/>
    <w:rsid w:val="003069D8"/>
    <w:rsid w:val="00306B41"/>
    <w:rsid w:val="003102C8"/>
    <w:rsid w:val="0031117B"/>
    <w:rsid w:val="00312EBC"/>
    <w:rsid w:val="00313056"/>
    <w:rsid w:val="00316740"/>
    <w:rsid w:val="00321DF8"/>
    <w:rsid w:val="00323058"/>
    <w:rsid w:val="003244CA"/>
    <w:rsid w:val="00324EDF"/>
    <w:rsid w:val="003312BF"/>
    <w:rsid w:val="003313A2"/>
    <w:rsid w:val="00337135"/>
    <w:rsid w:val="0034147B"/>
    <w:rsid w:val="00342E02"/>
    <w:rsid w:val="003448B1"/>
    <w:rsid w:val="003463D6"/>
    <w:rsid w:val="00346D31"/>
    <w:rsid w:val="00346DE6"/>
    <w:rsid w:val="00347E19"/>
    <w:rsid w:val="003505AC"/>
    <w:rsid w:val="0035170A"/>
    <w:rsid w:val="003541F6"/>
    <w:rsid w:val="00354395"/>
    <w:rsid w:val="003543C5"/>
    <w:rsid w:val="00354EF2"/>
    <w:rsid w:val="00355BEB"/>
    <w:rsid w:val="00357081"/>
    <w:rsid w:val="00357D35"/>
    <w:rsid w:val="0036253D"/>
    <w:rsid w:val="00363FCD"/>
    <w:rsid w:val="00364C43"/>
    <w:rsid w:val="00364E6A"/>
    <w:rsid w:val="00364E80"/>
    <w:rsid w:val="00366E5C"/>
    <w:rsid w:val="003676CF"/>
    <w:rsid w:val="00367720"/>
    <w:rsid w:val="00367778"/>
    <w:rsid w:val="0037029D"/>
    <w:rsid w:val="00371332"/>
    <w:rsid w:val="00372A48"/>
    <w:rsid w:val="00373181"/>
    <w:rsid w:val="00375E93"/>
    <w:rsid w:val="003761BD"/>
    <w:rsid w:val="00377123"/>
    <w:rsid w:val="00377CD6"/>
    <w:rsid w:val="00380919"/>
    <w:rsid w:val="00381213"/>
    <w:rsid w:val="003832F7"/>
    <w:rsid w:val="00383EAF"/>
    <w:rsid w:val="003840EC"/>
    <w:rsid w:val="00385DBA"/>
    <w:rsid w:val="00386938"/>
    <w:rsid w:val="0038715A"/>
    <w:rsid w:val="00390C3F"/>
    <w:rsid w:val="00393127"/>
    <w:rsid w:val="003940DD"/>
    <w:rsid w:val="00394A1A"/>
    <w:rsid w:val="00395873"/>
    <w:rsid w:val="003959D1"/>
    <w:rsid w:val="003A1D18"/>
    <w:rsid w:val="003A62CC"/>
    <w:rsid w:val="003A649B"/>
    <w:rsid w:val="003A76B5"/>
    <w:rsid w:val="003A7864"/>
    <w:rsid w:val="003A7CA2"/>
    <w:rsid w:val="003B0559"/>
    <w:rsid w:val="003B0845"/>
    <w:rsid w:val="003B0C56"/>
    <w:rsid w:val="003B11F4"/>
    <w:rsid w:val="003B1882"/>
    <w:rsid w:val="003B4100"/>
    <w:rsid w:val="003B4618"/>
    <w:rsid w:val="003B6C02"/>
    <w:rsid w:val="003B75AD"/>
    <w:rsid w:val="003C067B"/>
    <w:rsid w:val="003C0ED8"/>
    <w:rsid w:val="003C1488"/>
    <w:rsid w:val="003C1A16"/>
    <w:rsid w:val="003C1E91"/>
    <w:rsid w:val="003C5536"/>
    <w:rsid w:val="003C7FCC"/>
    <w:rsid w:val="003D1202"/>
    <w:rsid w:val="003D19C3"/>
    <w:rsid w:val="003D36F9"/>
    <w:rsid w:val="003D77F1"/>
    <w:rsid w:val="003D7970"/>
    <w:rsid w:val="003E0159"/>
    <w:rsid w:val="003E3515"/>
    <w:rsid w:val="003E449A"/>
    <w:rsid w:val="003E4A33"/>
    <w:rsid w:val="003E54E1"/>
    <w:rsid w:val="003E724B"/>
    <w:rsid w:val="003E7A60"/>
    <w:rsid w:val="003F1F49"/>
    <w:rsid w:val="003F23F0"/>
    <w:rsid w:val="003F44F4"/>
    <w:rsid w:val="003F4801"/>
    <w:rsid w:val="003F7448"/>
    <w:rsid w:val="0040197A"/>
    <w:rsid w:val="00404A52"/>
    <w:rsid w:val="00407B85"/>
    <w:rsid w:val="00407F28"/>
    <w:rsid w:val="00410BA9"/>
    <w:rsid w:val="0041100A"/>
    <w:rsid w:val="004131C5"/>
    <w:rsid w:val="0041363D"/>
    <w:rsid w:val="00413D9B"/>
    <w:rsid w:val="00415439"/>
    <w:rsid w:val="00416332"/>
    <w:rsid w:val="0042161A"/>
    <w:rsid w:val="0042423E"/>
    <w:rsid w:val="00424BA6"/>
    <w:rsid w:val="004274E7"/>
    <w:rsid w:val="00430142"/>
    <w:rsid w:val="00430B04"/>
    <w:rsid w:val="00431ABD"/>
    <w:rsid w:val="004339E6"/>
    <w:rsid w:val="00434796"/>
    <w:rsid w:val="0043683A"/>
    <w:rsid w:val="00437EB1"/>
    <w:rsid w:val="00441422"/>
    <w:rsid w:val="0044236C"/>
    <w:rsid w:val="00444ED6"/>
    <w:rsid w:val="00445DCB"/>
    <w:rsid w:val="00447235"/>
    <w:rsid w:val="004479C3"/>
    <w:rsid w:val="0045044C"/>
    <w:rsid w:val="004516D0"/>
    <w:rsid w:val="00460495"/>
    <w:rsid w:val="00460EEA"/>
    <w:rsid w:val="004630B6"/>
    <w:rsid w:val="00463106"/>
    <w:rsid w:val="004642E4"/>
    <w:rsid w:val="00466A30"/>
    <w:rsid w:val="00467F5B"/>
    <w:rsid w:val="00472F97"/>
    <w:rsid w:val="00474607"/>
    <w:rsid w:val="00474910"/>
    <w:rsid w:val="004749AF"/>
    <w:rsid w:val="00475410"/>
    <w:rsid w:val="00475E80"/>
    <w:rsid w:val="004774FF"/>
    <w:rsid w:val="0048285C"/>
    <w:rsid w:val="00483F21"/>
    <w:rsid w:val="00484116"/>
    <w:rsid w:val="00484163"/>
    <w:rsid w:val="004841A8"/>
    <w:rsid w:val="0048424E"/>
    <w:rsid w:val="00484F8A"/>
    <w:rsid w:val="00486F42"/>
    <w:rsid w:val="00487D14"/>
    <w:rsid w:val="0049021A"/>
    <w:rsid w:val="0049165E"/>
    <w:rsid w:val="004923A9"/>
    <w:rsid w:val="00494337"/>
    <w:rsid w:val="00495F7C"/>
    <w:rsid w:val="004976D5"/>
    <w:rsid w:val="004A081A"/>
    <w:rsid w:val="004A10CD"/>
    <w:rsid w:val="004A11D9"/>
    <w:rsid w:val="004A1E3F"/>
    <w:rsid w:val="004A2C7E"/>
    <w:rsid w:val="004A5056"/>
    <w:rsid w:val="004A5AF5"/>
    <w:rsid w:val="004A6625"/>
    <w:rsid w:val="004A69D6"/>
    <w:rsid w:val="004A70AB"/>
    <w:rsid w:val="004A7DFE"/>
    <w:rsid w:val="004B085D"/>
    <w:rsid w:val="004B0DBA"/>
    <w:rsid w:val="004B21D9"/>
    <w:rsid w:val="004B255A"/>
    <w:rsid w:val="004B3A47"/>
    <w:rsid w:val="004B3CA9"/>
    <w:rsid w:val="004C0CE3"/>
    <w:rsid w:val="004C368B"/>
    <w:rsid w:val="004C5238"/>
    <w:rsid w:val="004C52BD"/>
    <w:rsid w:val="004D1A31"/>
    <w:rsid w:val="004D1A91"/>
    <w:rsid w:val="004D2123"/>
    <w:rsid w:val="004D262A"/>
    <w:rsid w:val="004D2C6F"/>
    <w:rsid w:val="004D2E01"/>
    <w:rsid w:val="004D3237"/>
    <w:rsid w:val="004D3FD6"/>
    <w:rsid w:val="004D4E89"/>
    <w:rsid w:val="004D635C"/>
    <w:rsid w:val="004E0F3F"/>
    <w:rsid w:val="004E1191"/>
    <w:rsid w:val="004E1349"/>
    <w:rsid w:val="004E1AF1"/>
    <w:rsid w:val="004E3305"/>
    <w:rsid w:val="004E3D0E"/>
    <w:rsid w:val="004E568C"/>
    <w:rsid w:val="004E5AD8"/>
    <w:rsid w:val="004E61DE"/>
    <w:rsid w:val="004F0806"/>
    <w:rsid w:val="004F12D8"/>
    <w:rsid w:val="004F2189"/>
    <w:rsid w:val="004F22A6"/>
    <w:rsid w:val="004F4A37"/>
    <w:rsid w:val="004F5D23"/>
    <w:rsid w:val="00504B53"/>
    <w:rsid w:val="00505FF7"/>
    <w:rsid w:val="0051015D"/>
    <w:rsid w:val="0051292D"/>
    <w:rsid w:val="00514426"/>
    <w:rsid w:val="0051442D"/>
    <w:rsid w:val="00515FD8"/>
    <w:rsid w:val="0051622D"/>
    <w:rsid w:val="00517A09"/>
    <w:rsid w:val="005207B2"/>
    <w:rsid w:val="005219EB"/>
    <w:rsid w:val="005262C2"/>
    <w:rsid w:val="005263F0"/>
    <w:rsid w:val="0052705A"/>
    <w:rsid w:val="005272E3"/>
    <w:rsid w:val="00532E26"/>
    <w:rsid w:val="00533CD6"/>
    <w:rsid w:val="00537126"/>
    <w:rsid w:val="00537A72"/>
    <w:rsid w:val="005405F8"/>
    <w:rsid w:val="00542EAE"/>
    <w:rsid w:val="00546878"/>
    <w:rsid w:val="005509BE"/>
    <w:rsid w:val="00560E18"/>
    <w:rsid w:val="005615BB"/>
    <w:rsid w:val="005621E7"/>
    <w:rsid w:val="00562B7E"/>
    <w:rsid w:val="00563355"/>
    <w:rsid w:val="00571E81"/>
    <w:rsid w:val="00573FF9"/>
    <w:rsid w:val="005743CA"/>
    <w:rsid w:val="005755B7"/>
    <w:rsid w:val="00576B16"/>
    <w:rsid w:val="00577427"/>
    <w:rsid w:val="005808E5"/>
    <w:rsid w:val="005875A9"/>
    <w:rsid w:val="00593C34"/>
    <w:rsid w:val="005949BC"/>
    <w:rsid w:val="005971D5"/>
    <w:rsid w:val="005A0847"/>
    <w:rsid w:val="005A313A"/>
    <w:rsid w:val="005A35EB"/>
    <w:rsid w:val="005A5582"/>
    <w:rsid w:val="005A680F"/>
    <w:rsid w:val="005A70F0"/>
    <w:rsid w:val="005A747A"/>
    <w:rsid w:val="005B07CB"/>
    <w:rsid w:val="005B2B27"/>
    <w:rsid w:val="005B2FF9"/>
    <w:rsid w:val="005B380D"/>
    <w:rsid w:val="005B3F1C"/>
    <w:rsid w:val="005B696E"/>
    <w:rsid w:val="005B6D81"/>
    <w:rsid w:val="005B7767"/>
    <w:rsid w:val="005B7DD3"/>
    <w:rsid w:val="005C11DA"/>
    <w:rsid w:val="005C1E41"/>
    <w:rsid w:val="005C7FC2"/>
    <w:rsid w:val="005D1F92"/>
    <w:rsid w:val="005D2137"/>
    <w:rsid w:val="005D2408"/>
    <w:rsid w:val="005D32A9"/>
    <w:rsid w:val="005D6122"/>
    <w:rsid w:val="005D6E80"/>
    <w:rsid w:val="005E02FB"/>
    <w:rsid w:val="005E03B3"/>
    <w:rsid w:val="005E0B20"/>
    <w:rsid w:val="005E2936"/>
    <w:rsid w:val="005E2F7B"/>
    <w:rsid w:val="005E3C94"/>
    <w:rsid w:val="005E5C01"/>
    <w:rsid w:val="005E6A9D"/>
    <w:rsid w:val="005E7118"/>
    <w:rsid w:val="005E7B14"/>
    <w:rsid w:val="005E7E9F"/>
    <w:rsid w:val="005F1CDA"/>
    <w:rsid w:val="005F35C5"/>
    <w:rsid w:val="005F37A4"/>
    <w:rsid w:val="005F561B"/>
    <w:rsid w:val="005F7E15"/>
    <w:rsid w:val="00601270"/>
    <w:rsid w:val="00602403"/>
    <w:rsid w:val="006041A4"/>
    <w:rsid w:val="00610873"/>
    <w:rsid w:val="006109EC"/>
    <w:rsid w:val="00610F53"/>
    <w:rsid w:val="00611D8A"/>
    <w:rsid w:val="006122AB"/>
    <w:rsid w:val="0061430D"/>
    <w:rsid w:val="006150CE"/>
    <w:rsid w:val="00615ED4"/>
    <w:rsid w:val="00615F6B"/>
    <w:rsid w:val="006165F4"/>
    <w:rsid w:val="00620C49"/>
    <w:rsid w:val="006245EC"/>
    <w:rsid w:val="00626ABB"/>
    <w:rsid w:val="006309D5"/>
    <w:rsid w:val="006376C5"/>
    <w:rsid w:val="006407E9"/>
    <w:rsid w:val="00641F4F"/>
    <w:rsid w:val="00642664"/>
    <w:rsid w:val="00644BBE"/>
    <w:rsid w:val="006466DA"/>
    <w:rsid w:val="00646711"/>
    <w:rsid w:val="006479F9"/>
    <w:rsid w:val="00647DDD"/>
    <w:rsid w:val="00653BA4"/>
    <w:rsid w:val="00656E2E"/>
    <w:rsid w:val="00657478"/>
    <w:rsid w:val="00657EDA"/>
    <w:rsid w:val="00657F9A"/>
    <w:rsid w:val="006609A2"/>
    <w:rsid w:val="00660C84"/>
    <w:rsid w:val="0066132D"/>
    <w:rsid w:val="0066194B"/>
    <w:rsid w:val="00661FC4"/>
    <w:rsid w:val="006630E1"/>
    <w:rsid w:val="00666D4D"/>
    <w:rsid w:val="00672205"/>
    <w:rsid w:val="00672E95"/>
    <w:rsid w:val="0067508C"/>
    <w:rsid w:val="006762B3"/>
    <w:rsid w:val="00677059"/>
    <w:rsid w:val="00680072"/>
    <w:rsid w:val="006801BE"/>
    <w:rsid w:val="00680421"/>
    <w:rsid w:val="0068069C"/>
    <w:rsid w:val="00681B06"/>
    <w:rsid w:val="006858DA"/>
    <w:rsid w:val="00686C3F"/>
    <w:rsid w:val="006902F1"/>
    <w:rsid w:val="006918E9"/>
    <w:rsid w:val="00692A13"/>
    <w:rsid w:val="006951CE"/>
    <w:rsid w:val="00695B2C"/>
    <w:rsid w:val="006A1F2C"/>
    <w:rsid w:val="006A3B6B"/>
    <w:rsid w:val="006A438B"/>
    <w:rsid w:val="006A4F20"/>
    <w:rsid w:val="006A5A46"/>
    <w:rsid w:val="006A6039"/>
    <w:rsid w:val="006B1E87"/>
    <w:rsid w:val="006B514A"/>
    <w:rsid w:val="006C1EA3"/>
    <w:rsid w:val="006C1EDF"/>
    <w:rsid w:val="006C2AB0"/>
    <w:rsid w:val="006C2B5F"/>
    <w:rsid w:val="006C31B7"/>
    <w:rsid w:val="006C3CE1"/>
    <w:rsid w:val="006C4213"/>
    <w:rsid w:val="006C43D7"/>
    <w:rsid w:val="006C49F6"/>
    <w:rsid w:val="006C53ED"/>
    <w:rsid w:val="006C5694"/>
    <w:rsid w:val="006D11AD"/>
    <w:rsid w:val="006D193A"/>
    <w:rsid w:val="006D23FB"/>
    <w:rsid w:val="006D25DD"/>
    <w:rsid w:val="006D29AA"/>
    <w:rsid w:val="006D3D1D"/>
    <w:rsid w:val="006D4128"/>
    <w:rsid w:val="006D4C1B"/>
    <w:rsid w:val="006D5E45"/>
    <w:rsid w:val="006D5E57"/>
    <w:rsid w:val="006E0B4D"/>
    <w:rsid w:val="006E2083"/>
    <w:rsid w:val="006E2725"/>
    <w:rsid w:val="006E3064"/>
    <w:rsid w:val="006E405E"/>
    <w:rsid w:val="006E68E6"/>
    <w:rsid w:val="006E73D0"/>
    <w:rsid w:val="006F0330"/>
    <w:rsid w:val="006F042A"/>
    <w:rsid w:val="006F0C74"/>
    <w:rsid w:val="006F1875"/>
    <w:rsid w:val="006F2187"/>
    <w:rsid w:val="006F25E5"/>
    <w:rsid w:val="006F2FCE"/>
    <w:rsid w:val="006F36B9"/>
    <w:rsid w:val="006F415C"/>
    <w:rsid w:val="006F489F"/>
    <w:rsid w:val="00700C86"/>
    <w:rsid w:val="00703C49"/>
    <w:rsid w:val="0070560F"/>
    <w:rsid w:val="007112CA"/>
    <w:rsid w:val="00714728"/>
    <w:rsid w:val="00720189"/>
    <w:rsid w:val="007202BD"/>
    <w:rsid w:val="007205BF"/>
    <w:rsid w:val="00721A26"/>
    <w:rsid w:val="00721AE9"/>
    <w:rsid w:val="007237D1"/>
    <w:rsid w:val="007241D4"/>
    <w:rsid w:val="00724D82"/>
    <w:rsid w:val="00730BF2"/>
    <w:rsid w:val="00732A6F"/>
    <w:rsid w:val="007351A5"/>
    <w:rsid w:val="0074214D"/>
    <w:rsid w:val="00742764"/>
    <w:rsid w:val="00745456"/>
    <w:rsid w:val="00746E92"/>
    <w:rsid w:val="00750950"/>
    <w:rsid w:val="00751452"/>
    <w:rsid w:val="0075156A"/>
    <w:rsid w:val="00751D8C"/>
    <w:rsid w:val="00751F90"/>
    <w:rsid w:val="00752EF6"/>
    <w:rsid w:val="00754BDD"/>
    <w:rsid w:val="007619C5"/>
    <w:rsid w:val="00761B26"/>
    <w:rsid w:val="00761C35"/>
    <w:rsid w:val="00762178"/>
    <w:rsid w:val="007657A0"/>
    <w:rsid w:val="00765F62"/>
    <w:rsid w:val="00766026"/>
    <w:rsid w:val="00772025"/>
    <w:rsid w:val="007726C0"/>
    <w:rsid w:val="007744FD"/>
    <w:rsid w:val="00775AB7"/>
    <w:rsid w:val="00776B34"/>
    <w:rsid w:val="00781088"/>
    <w:rsid w:val="00781AA0"/>
    <w:rsid w:val="00781CF7"/>
    <w:rsid w:val="00781D24"/>
    <w:rsid w:val="00782DE8"/>
    <w:rsid w:val="00786D45"/>
    <w:rsid w:val="00787202"/>
    <w:rsid w:val="00790F52"/>
    <w:rsid w:val="00792E10"/>
    <w:rsid w:val="0079383D"/>
    <w:rsid w:val="007A006B"/>
    <w:rsid w:val="007A1D60"/>
    <w:rsid w:val="007A34D1"/>
    <w:rsid w:val="007A5BDB"/>
    <w:rsid w:val="007A7102"/>
    <w:rsid w:val="007B165A"/>
    <w:rsid w:val="007B2DAD"/>
    <w:rsid w:val="007B2DF7"/>
    <w:rsid w:val="007B7246"/>
    <w:rsid w:val="007B78C2"/>
    <w:rsid w:val="007C23FF"/>
    <w:rsid w:val="007C25B0"/>
    <w:rsid w:val="007C416B"/>
    <w:rsid w:val="007C4CB7"/>
    <w:rsid w:val="007C5008"/>
    <w:rsid w:val="007C6046"/>
    <w:rsid w:val="007C658B"/>
    <w:rsid w:val="007C6AB6"/>
    <w:rsid w:val="007D1E79"/>
    <w:rsid w:val="007D27CF"/>
    <w:rsid w:val="007D4DAF"/>
    <w:rsid w:val="007D5032"/>
    <w:rsid w:val="007D50AA"/>
    <w:rsid w:val="007E1175"/>
    <w:rsid w:val="007E220A"/>
    <w:rsid w:val="007E468A"/>
    <w:rsid w:val="007E54E5"/>
    <w:rsid w:val="007E58FC"/>
    <w:rsid w:val="007E7463"/>
    <w:rsid w:val="007F07D4"/>
    <w:rsid w:val="007F1517"/>
    <w:rsid w:val="007F207F"/>
    <w:rsid w:val="007F5B91"/>
    <w:rsid w:val="007F7DAA"/>
    <w:rsid w:val="00800BE5"/>
    <w:rsid w:val="008019A7"/>
    <w:rsid w:val="00803CEC"/>
    <w:rsid w:val="008040B5"/>
    <w:rsid w:val="00804B15"/>
    <w:rsid w:val="008076A4"/>
    <w:rsid w:val="00807DC2"/>
    <w:rsid w:val="0081003E"/>
    <w:rsid w:val="00810CA3"/>
    <w:rsid w:val="008112DE"/>
    <w:rsid w:val="00811776"/>
    <w:rsid w:val="008200A7"/>
    <w:rsid w:val="00822050"/>
    <w:rsid w:val="008304EC"/>
    <w:rsid w:val="00830952"/>
    <w:rsid w:val="00830F84"/>
    <w:rsid w:val="008318FA"/>
    <w:rsid w:val="00832522"/>
    <w:rsid w:val="00833453"/>
    <w:rsid w:val="0084184E"/>
    <w:rsid w:val="00841B33"/>
    <w:rsid w:val="00841C01"/>
    <w:rsid w:val="00843EFD"/>
    <w:rsid w:val="008441CC"/>
    <w:rsid w:val="008442F2"/>
    <w:rsid w:val="008443A9"/>
    <w:rsid w:val="0084599C"/>
    <w:rsid w:val="008469B3"/>
    <w:rsid w:val="00847539"/>
    <w:rsid w:val="00852735"/>
    <w:rsid w:val="008535CA"/>
    <w:rsid w:val="00856FA8"/>
    <w:rsid w:val="00856FF2"/>
    <w:rsid w:val="008578F4"/>
    <w:rsid w:val="00860576"/>
    <w:rsid w:val="00861120"/>
    <w:rsid w:val="00865C8D"/>
    <w:rsid w:val="0086688C"/>
    <w:rsid w:val="008674AA"/>
    <w:rsid w:val="008675CC"/>
    <w:rsid w:val="0087609B"/>
    <w:rsid w:val="00880850"/>
    <w:rsid w:val="0088094C"/>
    <w:rsid w:val="00881004"/>
    <w:rsid w:val="00882C40"/>
    <w:rsid w:val="00885973"/>
    <w:rsid w:val="0089145D"/>
    <w:rsid w:val="008919D3"/>
    <w:rsid w:val="00891DC8"/>
    <w:rsid w:val="00891F55"/>
    <w:rsid w:val="00892908"/>
    <w:rsid w:val="00892941"/>
    <w:rsid w:val="00893C08"/>
    <w:rsid w:val="008942FC"/>
    <w:rsid w:val="0089562F"/>
    <w:rsid w:val="008957BF"/>
    <w:rsid w:val="00895BE0"/>
    <w:rsid w:val="0089629F"/>
    <w:rsid w:val="008A082A"/>
    <w:rsid w:val="008A32BD"/>
    <w:rsid w:val="008A389B"/>
    <w:rsid w:val="008A4DF4"/>
    <w:rsid w:val="008B0321"/>
    <w:rsid w:val="008B0950"/>
    <w:rsid w:val="008B1DA9"/>
    <w:rsid w:val="008B23D4"/>
    <w:rsid w:val="008B2EE6"/>
    <w:rsid w:val="008B571D"/>
    <w:rsid w:val="008B6162"/>
    <w:rsid w:val="008C3710"/>
    <w:rsid w:val="008C3EBC"/>
    <w:rsid w:val="008C4AE0"/>
    <w:rsid w:val="008C57F6"/>
    <w:rsid w:val="008C68A7"/>
    <w:rsid w:val="008C7019"/>
    <w:rsid w:val="008D25BA"/>
    <w:rsid w:val="008D2A7F"/>
    <w:rsid w:val="008D33A3"/>
    <w:rsid w:val="008D4715"/>
    <w:rsid w:val="008D5B23"/>
    <w:rsid w:val="008D6F1D"/>
    <w:rsid w:val="008E03A3"/>
    <w:rsid w:val="008E1B11"/>
    <w:rsid w:val="008E2A22"/>
    <w:rsid w:val="008E2ACD"/>
    <w:rsid w:val="008E2D8C"/>
    <w:rsid w:val="008E53BA"/>
    <w:rsid w:val="008E5728"/>
    <w:rsid w:val="008E7E5E"/>
    <w:rsid w:val="008E7F87"/>
    <w:rsid w:val="008E7FB3"/>
    <w:rsid w:val="008F0CC7"/>
    <w:rsid w:val="008F11CF"/>
    <w:rsid w:val="008F14EA"/>
    <w:rsid w:val="008F189C"/>
    <w:rsid w:val="008F1FE1"/>
    <w:rsid w:val="008F32FF"/>
    <w:rsid w:val="008F4486"/>
    <w:rsid w:val="008F4FC6"/>
    <w:rsid w:val="008F6436"/>
    <w:rsid w:val="008F72CD"/>
    <w:rsid w:val="009015D3"/>
    <w:rsid w:val="00902179"/>
    <w:rsid w:val="00903877"/>
    <w:rsid w:val="0090677E"/>
    <w:rsid w:val="00913A4A"/>
    <w:rsid w:val="00914A6E"/>
    <w:rsid w:val="0091544C"/>
    <w:rsid w:val="00921D03"/>
    <w:rsid w:val="00921DE6"/>
    <w:rsid w:val="00925CD2"/>
    <w:rsid w:val="00932559"/>
    <w:rsid w:val="00933065"/>
    <w:rsid w:val="00933569"/>
    <w:rsid w:val="009365B1"/>
    <w:rsid w:val="0093799C"/>
    <w:rsid w:val="009422A1"/>
    <w:rsid w:val="00943484"/>
    <w:rsid w:val="00944804"/>
    <w:rsid w:val="009449FB"/>
    <w:rsid w:val="0094634F"/>
    <w:rsid w:val="009473D8"/>
    <w:rsid w:val="00947F51"/>
    <w:rsid w:val="00954386"/>
    <w:rsid w:val="009564B5"/>
    <w:rsid w:val="00957513"/>
    <w:rsid w:val="00960ADF"/>
    <w:rsid w:val="009623DA"/>
    <w:rsid w:val="00963A0C"/>
    <w:rsid w:val="009661A4"/>
    <w:rsid w:val="009661B5"/>
    <w:rsid w:val="009725C0"/>
    <w:rsid w:val="009727D8"/>
    <w:rsid w:val="009729BD"/>
    <w:rsid w:val="009729D5"/>
    <w:rsid w:val="00974A92"/>
    <w:rsid w:val="00974C91"/>
    <w:rsid w:val="00975270"/>
    <w:rsid w:val="00975BA1"/>
    <w:rsid w:val="00976F39"/>
    <w:rsid w:val="009809DD"/>
    <w:rsid w:val="009835E3"/>
    <w:rsid w:val="009837A6"/>
    <w:rsid w:val="009839B9"/>
    <w:rsid w:val="00983C64"/>
    <w:rsid w:val="009869F2"/>
    <w:rsid w:val="00987CDB"/>
    <w:rsid w:val="009915BE"/>
    <w:rsid w:val="009A087C"/>
    <w:rsid w:val="009A2613"/>
    <w:rsid w:val="009A2726"/>
    <w:rsid w:val="009A30E0"/>
    <w:rsid w:val="009A3619"/>
    <w:rsid w:val="009A57B9"/>
    <w:rsid w:val="009A66D0"/>
    <w:rsid w:val="009A739F"/>
    <w:rsid w:val="009B08AF"/>
    <w:rsid w:val="009B0AC9"/>
    <w:rsid w:val="009B10F4"/>
    <w:rsid w:val="009B3DFC"/>
    <w:rsid w:val="009B53BC"/>
    <w:rsid w:val="009B793E"/>
    <w:rsid w:val="009C1EA6"/>
    <w:rsid w:val="009C37B9"/>
    <w:rsid w:val="009C38E7"/>
    <w:rsid w:val="009D31FA"/>
    <w:rsid w:val="009D32BD"/>
    <w:rsid w:val="009D33F1"/>
    <w:rsid w:val="009D35B5"/>
    <w:rsid w:val="009D3771"/>
    <w:rsid w:val="009D37BD"/>
    <w:rsid w:val="009D4486"/>
    <w:rsid w:val="009D7128"/>
    <w:rsid w:val="009D7613"/>
    <w:rsid w:val="009E21DE"/>
    <w:rsid w:val="009E3DBC"/>
    <w:rsid w:val="009E6174"/>
    <w:rsid w:val="009F1DC7"/>
    <w:rsid w:val="009F211E"/>
    <w:rsid w:val="009F2572"/>
    <w:rsid w:val="009F294E"/>
    <w:rsid w:val="009F30F1"/>
    <w:rsid w:val="009F37C7"/>
    <w:rsid w:val="009F50AB"/>
    <w:rsid w:val="00A005F6"/>
    <w:rsid w:val="00A03986"/>
    <w:rsid w:val="00A0424F"/>
    <w:rsid w:val="00A051FB"/>
    <w:rsid w:val="00A0659C"/>
    <w:rsid w:val="00A07164"/>
    <w:rsid w:val="00A10039"/>
    <w:rsid w:val="00A100BA"/>
    <w:rsid w:val="00A103FF"/>
    <w:rsid w:val="00A121B5"/>
    <w:rsid w:val="00A16C6E"/>
    <w:rsid w:val="00A17DB2"/>
    <w:rsid w:val="00A21DEA"/>
    <w:rsid w:val="00A22A14"/>
    <w:rsid w:val="00A23A49"/>
    <w:rsid w:val="00A25AB4"/>
    <w:rsid w:val="00A26214"/>
    <w:rsid w:val="00A26566"/>
    <w:rsid w:val="00A27A51"/>
    <w:rsid w:val="00A31837"/>
    <w:rsid w:val="00A31D70"/>
    <w:rsid w:val="00A33018"/>
    <w:rsid w:val="00A3310D"/>
    <w:rsid w:val="00A3484C"/>
    <w:rsid w:val="00A351B3"/>
    <w:rsid w:val="00A35CE6"/>
    <w:rsid w:val="00A37BA4"/>
    <w:rsid w:val="00A402F6"/>
    <w:rsid w:val="00A406B4"/>
    <w:rsid w:val="00A42167"/>
    <w:rsid w:val="00A429D5"/>
    <w:rsid w:val="00A434B9"/>
    <w:rsid w:val="00A43739"/>
    <w:rsid w:val="00A444DD"/>
    <w:rsid w:val="00A47150"/>
    <w:rsid w:val="00A471EF"/>
    <w:rsid w:val="00A47466"/>
    <w:rsid w:val="00A47815"/>
    <w:rsid w:val="00A47A18"/>
    <w:rsid w:val="00A47A3D"/>
    <w:rsid w:val="00A47CD6"/>
    <w:rsid w:val="00A5359C"/>
    <w:rsid w:val="00A539CB"/>
    <w:rsid w:val="00A57DA7"/>
    <w:rsid w:val="00A60542"/>
    <w:rsid w:val="00A60EED"/>
    <w:rsid w:val="00A63709"/>
    <w:rsid w:val="00A643AB"/>
    <w:rsid w:val="00A649E6"/>
    <w:rsid w:val="00A660AF"/>
    <w:rsid w:val="00A7021C"/>
    <w:rsid w:val="00A70814"/>
    <w:rsid w:val="00A70A95"/>
    <w:rsid w:val="00A70BDA"/>
    <w:rsid w:val="00A712D3"/>
    <w:rsid w:val="00A73E2C"/>
    <w:rsid w:val="00A740B6"/>
    <w:rsid w:val="00A7621E"/>
    <w:rsid w:val="00A76BE4"/>
    <w:rsid w:val="00A817D5"/>
    <w:rsid w:val="00A841B2"/>
    <w:rsid w:val="00A84915"/>
    <w:rsid w:val="00A84F01"/>
    <w:rsid w:val="00A9029A"/>
    <w:rsid w:val="00A91332"/>
    <w:rsid w:val="00A93351"/>
    <w:rsid w:val="00A95538"/>
    <w:rsid w:val="00AA0013"/>
    <w:rsid w:val="00AA26FF"/>
    <w:rsid w:val="00AA43EC"/>
    <w:rsid w:val="00AA4C92"/>
    <w:rsid w:val="00AA4E77"/>
    <w:rsid w:val="00AA6E8C"/>
    <w:rsid w:val="00AA6F19"/>
    <w:rsid w:val="00AA75E6"/>
    <w:rsid w:val="00AA79A8"/>
    <w:rsid w:val="00AA7A76"/>
    <w:rsid w:val="00AA7C2E"/>
    <w:rsid w:val="00AB0286"/>
    <w:rsid w:val="00AB0DD9"/>
    <w:rsid w:val="00AB404E"/>
    <w:rsid w:val="00AB4C6D"/>
    <w:rsid w:val="00AB53F2"/>
    <w:rsid w:val="00AB55F7"/>
    <w:rsid w:val="00AB6E29"/>
    <w:rsid w:val="00AB7162"/>
    <w:rsid w:val="00AC022F"/>
    <w:rsid w:val="00AC114D"/>
    <w:rsid w:val="00AC2995"/>
    <w:rsid w:val="00AC2D09"/>
    <w:rsid w:val="00AC2F6A"/>
    <w:rsid w:val="00AC38A4"/>
    <w:rsid w:val="00AC4165"/>
    <w:rsid w:val="00AC53A8"/>
    <w:rsid w:val="00AC556A"/>
    <w:rsid w:val="00AC76EA"/>
    <w:rsid w:val="00AC7FB7"/>
    <w:rsid w:val="00AD0007"/>
    <w:rsid w:val="00AD12F6"/>
    <w:rsid w:val="00AD23B3"/>
    <w:rsid w:val="00AD23BF"/>
    <w:rsid w:val="00AD25B6"/>
    <w:rsid w:val="00AD2631"/>
    <w:rsid w:val="00AD2C31"/>
    <w:rsid w:val="00AD3D5D"/>
    <w:rsid w:val="00AD4080"/>
    <w:rsid w:val="00AD40E8"/>
    <w:rsid w:val="00AD5A05"/>
    <w:rsid w:val="00AD662C"/>
    <w:rsid w:val="00AE1220"/>
    <w:rsid w:val="00AE1A6C"/>
    <w:rsid w:val="00AE287F"/>
    <w:rsid w:val="00AE39F3"/>
    <w:rsid w:val="00AE4006"/>
    <w:rsid w:val="00AE4875"/>
    <w:rsid w:val="00AE5118"/>
    <w:rsid w:val="00AE63BD"/>
    <w:rsid w:val="00AF0B2B"/>
    <w:rsid w:val="00AF20DB"/>
    <w:rsid w:val="00AF2914"/>
    <w:rsid w:val="00AF2CD5"/>
    <w:rsid w:val="00AF345A"/>
    <w:rsid w:val="00AF363F"/>
    <w:rsid w:val="00AF3E40"/>
    <w:rsid w:val="00AF3E4F"/>
    <w:rsid w:val="00AF71E5"/>
    <w:rsid w:val="00B00DA5"/>
    <w:rsid w:val="00B0321E"/>
    <w:rsid w:val="00B0366D"/>
    <w:rsid w:val="00B071FF"/>
    <w:rsid w:val="00B110BC"/>
    <w:rsid w:val="00B11505"/>
    <w:rsid w:val="00B1182B"/>
    <w:rsid w:val="00B11DC2"/>
    <w:rsid w:val="00B13CEE"/>
    <w:rsid w:val="00B15142"/>
    <w:rsid w:val="00B16F69"/>
    <w:rsid w:val="00B1789D"/>
    <w:rsid w:val="00B207DD"/>
    <w:rsid w:val="00B20DD8"/>
    <w:rsid w:val="00B21CA9"/>
    <w:rsid w:val="00B223FE"/>
    <w:rsid w:val="00B3161A"/>
    <w:rsid w:val="00B3208F"/>
    <w:rsid w:val="00B3260E"/>
    <w:rsid w:val="00B36F2F"/>
    <w:rsid w:val="00B413BD"/>
    <w:rsid w:val="00B42807"/>
    <w:rsid w:val="00B428A6"/>
    <w:rsid w:val="00B43340"/>
    <w:rsid w:val="00B4461C"/>
    <w:rsid w:val="00B46D68"/>
    <w:rsid w:val="00B53913"/>
    <w:rsid w:val="00B53F29"/>
    <w:rsid w:val="00B554D4"/>
    <w:rsid w:val="00B5572D"/>
    <w:rsid w:val="00B55F3A"/>
    <w:rsid w:val="00B56906"/>
    <w:rsid w:val="00B569F1"/>
    <w:rsid w:val="00B6007E"/>
    <w:rsid w:val="00B61484"/>
    <w:rsid w:val="00B6179E"/>
    <w:rsid w:val="00B62B08"/>
    <w:rsid w:val="00B664E5"/>
    <w:rsid w:val="00B71116"/>
    <w:rsid w:val="00B71CB5"/>
    <w:rsid w:val="00B71F16"/>
    <w:rsid w:val="00B72922"/>
    <w:rsid w:val="00B72A13"/>
    <w:rsid w:val="00B72ADA"/>
    <w:rsid w:val="00B7473A"/>
    <w:rsid w:val="00B74A39"/>
    <w:rsid w:val="00B75819"/>
    <w:rsid w:val="00B75CDA"/>
    <w:rsid w:val="00B76FD7"/>
    <w:rsid w:val="00B81526"/>
    <w:rsid w:val="00B819E4"/>
    <w:rsid w:val="00B84042"/>
    <w:rsid w:val="00B84DD5"/>
    <w:rsid w:val="00B903CC"/>
    <w:rsid w:val="00B9165A"/>
    <w:rsid w:val="00B91F7E"/>
    <w:rsid w:val="00B924B4"/>
    <w:rsid w:val="00B9487E"/>
    <w:rsid w:val="00B95910"/>
    <w:rsid w:val="00B9692A"/>
    <w:rsid w:val="00BA0848"/>
    <w:rsid w:val="00BA29E7"/>
    <w:rsid w:val="00BA33AF"/>
    <w:rsid w:val="00BA3A4C"/>
    <w:rsid w:val="00BA61FA"/>
    <w:rsid w:val="00BA67FC"/>
    <w:rsid w:val="00BB0F20"/>
    <w:rsid w:val="00BB17D2"/>
    <w:rsid w:val="00BB1DC5"/>
    <w:rsid w:val="00BB2328"/>
    <w:rsid w:val="00BB3264"/>
    <w:rsid w:val="00BB50D7"/>
    <w:rsid w:val="00BB7F08"/>
    <w:rsid w:val="00BC0623"/>
    <w:rsid w:val="00BC35CD"/>
    <w:rsid w:val="00BC3C54"/>
    <w:rsid w:val="00BC415B"/>
    <w:rsid w:val="00BC5B96"/>
    <w:rsid w:val="00BD2C66"/>
    <w:rsid w:val="00BD2CDE"/>
    <w:rsid w:val="00BD3D16"/>
    <w:rsid w:val="00BD41CF"/>
    <w:rsid w:val="00BD75F3"/>
    <w:rsid w:val="00BE0164"/>
    <w:rsid w:val="00BE12BD"/>
    <w:rsid w:val="00BE2ED7"/>
    <w:rsid w:val="00BE3498"/>
    <w:rsid w:val="00BE5A3E"/>
    <w:rsid w:val="00BE6AB8"/>
    <w:rsid w:val="00BF040B"/>
    <w:rsid w:val="00BF086D"/>
    <w:rsid w:val="00BF1C99"/>
    <w:rsid w:val="00BF2167"/>
    <w:rsid w:val="00BF43BC"/>
    <w:rsid w:val="00BF4DDA"/>
    <w:rsid w:val="00BF55C7"/>
    <w:rsid w:val="00BF7ED8"/>
    <w:rsid w:val="00C00A14"/>
    <w:rsid w:val="00C0222C"/>
    <w:rsid w:val="00C04139"/>
    <w:rsid w:val="00C0476F"/>
    <w:rsid w:val="00C0572E"/>
    <w:rsid w:val="00C1108E"/>
    <w:rsid w:val="00C128C6"/>
    <w:rsid w:val="00C14A51"/>
    <w:rsid w:val="00C14B1A"/>
    <w:rsid w:val="00C15C65"/>
    <w:rsid w:val="00C163C1"/>
    <w:rsid w:val="00C16519"/>
    <w:rsid w:val="00C16C1D"/>
    <w:rsid w:val="00C17853"/>
    <w:rsid w:val="00C17EE4"/>
    <w:rsid w:val="00C21656"/>
    <w:rsid w:val="00C21B3D"/>
    <w:rsid w:val="00C24267"/>
    <w:rsid w:val="00C243E6"/>
    <w:rsid w:val="00C24875"/>
    <w:rsid w:val="00C26FA6"/>
    <w:rsid w:val="00C2742C"/>
    <w:rsid w:val="00C2788D"/>
    <w:rsid w:val="00C31D37"/>
    <w:rsid w:val="00C33398"/>
    <w:rsid w:val="00C34388"/>
    <w:rsid w:val="00C34C5B"/>
    <w:rsid w:val="00C361F6"/>
    <w:rsid w:val="00C3669A"/>
    <w:rsid w:val="00C371D5"/>
    <w:rsid w:val="00C423E3"/>
    <w:rsid w:val="00C428AB"/>
    <w:rsid w:val="00C44BAC"/>
    <w:rsid w:val="00C45626"/>
    <w:rsid w:val="00C458AF"/>
    <w:rsid w:val="00C460A0"/>
    <w:rsid w:val="00C46244"/>
    <w:rsid w:val="00C4720D"/>
    <w:rsid w:val="00C47768"/>
    <w:rsid w:val="00C50068"/>
    <w:rsid w:val="00C50180"/>
    <w:rsid w:val="00C50F69"/>
    <w:rsid w:val="00C51C4B"/>
    <w:rsid w:val="00C51EE9"/>
    <w:rsid w:val="00C539A5"/>
    <w:rsid w:val="00C53DFA"/>
    <w:rsid w:val="00C549F4"/>
    <w:rsid w:val="00C555FE"/>
    <w:rsid w:val="00C56E55"/>
    <w:rsid w:val="00C60DD4"/>
    <w:rsid w:val="00C60F27"/>
    <w:rsid w:val="00C610F2"/>
    <w:rsid w:val="00C61B5E"/>
    <w:rsid w:val="00C676F3"/>
    <w:rsid w:val="00C71AB8"/>
    <w:rsid w:val="00C73E8B"/>
    <w:rsid w:val="00C74E97"/>
    <w:rsid w:val="00C75909"/>
    <w:rsid w:val="00C767D5"/>
    <w:rsid w:val="00C76EB2"/>
    <w:rsid w:val="00C77219"/>
    <w:rsid w:val="00C77EFD"/>
    <w:rsid w:val="00C809AF"/>
    <w:rsid w:val="00C81A10"/>
    <w:rsid w:val="00C81F39"/>
    <w:rsid w:val="00C829DF"/>
    <w:rsid w:val="00C82F5A"/>
    <w:rsid w:val="00C84021"/>
    <w:rsid w:val="00C85B7F"/>
    <w:rsid w:val="00C86AEA"/>
    <w:rsid w:val="00C875AE"/>
    <w:rsid w:val="00C90B1C"/>
    <w:rsid w:val="00C90CE6"/>
    <w:rsid w:val="00C93030"/>
    <w:rsid w:val="00C9310B"/>
    <w:rsid w:val="00C937FB"/>
    <w:rsid w:val="00CA0F98"/>
    <w:rsid w:val="00CA2964"/>
    <w:rsid w:val="00CA591E"/>
    <w:rsid w:val="00CA696D"/>
    <w:rsid w:val="00CA6B5A"/>
    <w:rsid w:val="00CB1536"/>
    <w:rsid w:val="00CB3907"/>
    <w:rsid w:val="00CB3B51"/>
    <w:rsid w:val="00CB46F0"/>
    <w:rsid w:val="00CB5B24"/>
    <w:rsid w:val="00CB6167"/>
    <w:rsid w:val="00CC0C54"/>
    <w:rsid w:val="00CC1016"/>
    <w:rsid w:val="00CC32A0"/>
    <w:rsid w:val="00CC3829"/>
    <w:rsid w:val="00CC564C"/>
    <w:rsid w:val="00CC585C"/>
    <w:rsid w:val="00CD0D1D"/>
    <w:rsid w:val="00CD1673"/>
    <w:rsid w:val="00CD1721"/>
    <w:rsid w:val="00CD25F1"/>
    <w:rsid w:val="00CD4DDC"/>
    <w:rsid w:val="00CD6592"/>
    <w:rsid w:val="00CD7F5E"/>
    <w:rsid w:val="00CE0808"/>
    <w:rsid w:val="00CE2A6C"/>
    <w:rsid w:val="00CE2E22"/>
    <w:rsid w:val="00CE35B4"/>
    <w:rsid w:val="00CE6301"/>
    <w:rsid w:val="00CF06D4"/>
    <w:rsid w:val="00CF1D94"/>
    <w:rsid w:val="00CF2008"/>
    <w:rsid w:val="00CF2496"/>
    <w:rsid w:val="00CF3649"/>
    <w:rsid w:val="00CF4188"/>
    <w:rsid w:val="00CF4E9E"/>
    <w:rsid w:val="00CF52CE"/>
    <w:rsid w:val="00CF7848"/>
    <w:rsid w:val="00D00B84"/>
    <w:rsid w:val="00D04B28"/>
    <w:rsid w:val="00D058FC"/>
    <w:rsid w:val="00D06213"/>
    <w:rsid w:val="00D073D1"/>
    <w:rsid w:val="00D10010"/>
    <w:rsid w:val="00D11510"/>
    <w:rsid w:val="00D116EE"/>
    <w:rsid w:val="00D12BB7"/>
    <w:rsid w:val="00D159D4"/>
    <w:rsid w:val="00D15C79"/>
    <w:rsid w:val="00D1641A"/>
    <w:rsid w:val="00D20A1A"/>
    <w:rsid w:val="00D20E16"/>
    <w:rsid w:val="00D21601"/>
    <w:rsid w:val="00D2164A"/>
    <w:rsid w:val="00D21AA7"/>
    <w:rsid w:val="00D22F1C"/>
    <w:rsid w:val="00D23D75"/>
    <w:rsid w:val="00D256F0"/>
    <w:rsid w:val="00D26D4B"/>
    <w:rsid w:val="00D31882"/>
    <w:rsid w:val="00D31BAB"/>
    <w:rsid w:val="00D31D27"/>
    <w:rsid w:val="00D32109"/>
    <w:rsid w:val="00D330B3"/>
    <w:rsid w:val="00D333D0"/>
    <w:rsid w:val="00D336A4"/>
    <w:rsid w:val="00D33A54"/>
    <w:rsid w:val="00D34AFB"/>
    <w:rsid w:val="00D352EE"/>
    <w:rsid w:val="00D35A03"/>
    <w:rsid w:val="00D3725D"/>
    <w:rsid w:val="00D37377"/>
    <w:rsid w:val="00D41830"/>
    <w:rsid w:val="00D42B27"/>
    <w:rsid w:val="00D45B8C"/>
    <w:rsid w:val="00D56058"/>
    <w:rsid w:val="00D567E0"/>
    <w:rsid w:val="00D56A09"/>
    <w:rsid w:val="00D57976"/>
    <w:rsid w:val="00D61F2D"/>
    <w:rsid w:val="00D630DE"/>
    <w:rsid w:val="00D6371A"/>
    <w:rsid w:val="00D63DBC"/>
    <w:rsid w:val="00D645C6"/>
    <w:rsid w:val="00D6548A"/>
    <w:rsid w:val="00D65571"/>
    <w:rsid w:val="00D65905"/>
    <w:rsid w:val="00D65A71"/>
    <w:rsid w:val="00D66C66"/>
    <w:rsid w:val="00D67355"/>
    <w:rsid w:val="00D712C3"/>
    <w:rsid w:val="00D71B03"/>
    <w:rsid w:val="00D7327A"/>
    <w:rsid w:val="00D743C0"/>
    <w:rsid w:val="00D74EC8"/>
    <w:rsid w:val="00D76F23"/>
    <w:rsid w:val="00D81AC9"/>
    <w:rsid w:val="00D858CC"/>
    <w:rsid w:val="00D9086C"/>
    <w:rsid w:val="00D91172"/>
    <w:rsid w:val="00D922E1"/>
    <w:rsid w:val="00D92C84"/>
    <w:rsid w:val="00D93AAA"/>
    <w:rsid w:val="00D93ECC"/>
    <w:rsid w:val="00D94745"/>
    <w:rsid w:val="00D94921"/>
    <w:rsid w:val="00D95DFF"/>
    <w:rsid w:val="00D963D5"/>
    <w:rsid w:val="00D96C96"/>
    <w:rsid w:val="00DA2201"/>
    <w:rsid w:val="00DA41B2"/>
    <w:rsid w:val="00DA5D06"/>
    <w:rsid w:val="00DA62C4"/>
    <w:rsid w:val="00DA6C28"/>
    <w:rsid w:val="00DA7B20"/>
    <w:rsid w:val="00DB049D"/>
    <w:rsid w:val="00DB473D"/>
    <w:rsid w:val="00DB5727"/>
    <w:rsid w:val="00DB68CC"/>
    <w:rsid w:val="00DC2E38"/>
    <w:rsid w:val="00DC2FBF"/>
    <w:rsid w:val="00DC52BC"/>
    <w:rsid w:val="00DC60C2"/>
    <w:rsid w:val="00DC621D"/>
    <w:rsid w:val="00DC6A98"/>
    <w:rsid w:val="00DC6EF8"/>
    <w:rsid w:val="00DC7245"/>
    <w:rsid w:val="00DC7309"/>
    <w:rsid w:val="00DC730A"/>
    <w:rsid w:val="00DC7A0C"/>
    <w:rsid w:val="00DD12FC"/>
    <w:rsid w:val="00DD1ED6"/>
    <w:rsid w:val="00DD2B0D"/>
    <w:rsid w:val="00DD43F6"/>
    <w:rsid w:val="00DE130A"/>
    <w:rsid w:val="00DE1F21"/>
    <w:rsid w:val="00DE3369"/>
    <w:rsid w:val="00DE33DB"/>
    <w:rsid w:val="00DE38B2"/>
    <w:rsid w:val="00DF2C9A"/>
    <w:rsid w:val="00DF32E5"/>
    <w:rsid w:val="00DF5291"/>
    <w:rsid w:val="00DF6AC1"/>
    <w:rsid w:val="00E010C4"/>
    <w:rsid w:val="00E03EBC"/>
    <w:rsid w:val="00E05572"/>
    <w:rsid w:val="00E06927"/>
    <w:rsid w:val="00E06AB6"/>
    <w:rsid w:val="00E10D04"/>
    <w:rsid w:val="00E1217F"/>
    <w:rsid w:val="00E15106"/>
    <w:rsid w:val="00E16292"/>
    <w:rsid w:val="00E166FD"/>
    <w:rsid w:val="00E17143"/>
    <w:rsid w:val="00E20294"/>
    <w:rsid w:val="00E221E9"/>
    <w:rsid w:val="00E25706"/>
    <w:rsid w:val="00E25F47"/>
    <w:rsid w:val="00E264BB"/>
    <w:rsid w:val="00E267F5"/>
    <w:rsid w:val="00E276DF"/>
    <w:rsid w:val="00E27A89"/>
    <w:rsid w:val="00E30596"/>
    <w:rsid w:val="00E31FF9"/>
    <w:rsid w:val="00E33434"/>
    <w:rsid w:val="00E33B23"/>
    <w:rsid w:val="00E37B1B"/>
    <w:rsid w:val="00E37B97"/>
    <w:rsid w:val="00E417B9"/>
    <w:rsid w:val="00E41B67"/>
    <w:rsid w:val="00E43C23"/>
    <w:rsid w:val="00E4477A"/>
    <w:rsid w:val="00E45160"/>
    <w:rsid w:val="00E45E6A"/>
    <w:rsid w:val="00E50A42"/>
    <w:rsid w:val="00E52F6E"/>
    <w:rsid w:val="00E53930"/>
    <w:rsid w:val="00E54FA5"/>
    <w:rsid w:val="00E559AB"/>
    <w:rsid w:val="00E56D64"/>
    <w:rsid w:val="00E57446"/>
    <w:rsid w:val="00E61081"/>
    <w:rsid w:val="00E61788"/>
    <w:rsid w:val="00E65B18"/>
    <w:rsid w:val="00E65B9D"/>
    <w:rsid w:val="00E66F5D"/>
    <w:rsid w:val="00E676E7"/>
    <w:rsid w:val="00E704E0"/>
    <w:rsid w:val="00E71CE6"/>
    <w:rsid w:val="00E71E16"/>
    <w:rsid w:val="00E728C6"/>
    <w:rsid w:val="00E73E65"/>
    <w:rsid w:val="00E75732"/>
    <w:rsid w:val="00E76641"/>
    <w:rsid w:val="00E77AC7"/>
    <w:rsid w:val="00E83DA2"/>
    <w:rsid w:val="00E851E8"/>
    <w:rsid w:val="00E856E9"/>
    <w:rsid w:val="00E862E7"/>
    <w:rsid w:val="00E86395"/>
    <w:rsid w:val="00E86DF2"/>
    <w:rsid w:val="00E879EC"/>
    <w:rsid w:val="00E92E60"/>
    <w:rsid w:val="00E949F8"/>
    <w:rsid w:val="00E94A64"/>
    <w:rsid w:val="00E9538B"/>
    <w:rsid w:val="00E95703"/>
    <w:rsid w:val="00E95707"/>
    <w:rsid w:val="00E95C5F"/>
    <w:rsid w:val="00E964C2"/>
    <w:rsid w:val="00EA0297"/>
    <w:rsid w:val="00EA116B"/>
    <w:rsid w:val="00EA2C29"/>
    <w:rsid w:val="00EA3F05"/>
    <w:rsid w:val="00EA5E85"/>
    <w:rsid w:val="00EB0B07"/>
    <w:rsid w:val="00EB0C6A"/>
    <w:rsid w:val="00EB144E"/>
    <w:rsid w:val="00EB1B82"/>
    <w:rsid w:val="00EB2F49"/>
    <w:rsid w:val="00EB462A"/>
    <w:rsid w:val="00EB545A"/>
    <w:rsid w:val="00EB635D"/>
    <w:rsid w:val="00EB6554"/>
    <w:rsid w:val="00EB6AA6"/>
    <w:rsid w:val="00EC00AF"/>
    <w:rsid w:val="00EC0354"/>
    <w:rsid w:val="00EC5A70"/>
    <w:rsid w:val="00EC5B97"/>
    <w:rsid w:val="00EC692F"/>
    <w:rsid w:val="00EC6BED"/>
    <w:rsid w:val="00EC70BC"/>
    <w:rsid w:val="00ED018E"/>
    <w:rsid w:val="00ED044F"/>
    <w:rsid w:val="00ED07AD"/>
    <w:rsid w:val="00ED281C"/>
    <w:rsid w:val="00ED2A04"/>
    <w:rsid w:val="00ED370F"/>
    <w:rsid w:val="00ED3804"/>
    <w:rsid w:val="00ED39D5"/>
    <w:rsid w:val="00ED3B36"/>
    <w:rsid w:val="00ED46B4"/>
    <w:rsid w:val="00EE21F2"/>
    <w:rsid w:val="00EE50EE"/>
    <w:rsid w:val="00EE5548"/>
    <w:rsid w:val="00EE55F9"/>
    <w:rsid w:val="00EE62A5"/>
    <w:rsid w:val="00EE63DE"/>
    <w:rsid w:val="00EE64F9"/>
    <w:rsid w:val="00EF00EA"/>
    <w:rsid w:val="00EF0CBA"/>
    <w:rsid w:val="00EF34E1"/>
    <w:rsid w:val="00EF3688"/>
    <w:rsid w:val="00EF36A0"/>
    <w:rsid w:val="00EF524C"/>
    <w:rsid w:val="00EF6CC3"/>
    <w:rsid w:val="00F00D0F"/>
    <w:rsid w:val="00F0109E"/>
    <w:rsid w:val="00F03A0B"/>
    <w:rsid w:val="00F11454"/>
    <w:rsid w:val="00F12E5A"/>
    <w:rsid w:val="00F2125A"/>
    <w:rsid w:val="00F21B1A"/>
    <w:rsid w:val="00F221FC"/>
    <w:rsid w:val="00F23C89"/>
    <w:rsid w:val="00F24025"/>
    <w:rsid w:val="00F322F5"/>
    <w:rsid w:val="00F35033"/>
    <w:rsid w:val="00F35CAE"/>
    <w:rsid w:val="00F36EE7"/>
    <w:rsid w:val="00F4192F"/>
    <w:rsid w:val="00F41B64"/>
    <w:rsid w:val="00F41D9D"/>
    <w:rsid w:val="00F44250"/>
    <w:rsid w:val="00F4468A"/>
    <w:rsid w:val="00F47653"/>
    <w:rsid w:val="00F47EFB"/>
    <w:rsid w:val="00F505CE"/>
    <w:rsid w:val="00F5169E"/>
    <w:rsid w:val="00F51C0B"/>
    <w:rsid w:val="00F52115"/>
    <w:rsid w:val="00F57AFC"/>
    <w:rsid w:val="00F619FE"/>
    <w:rsid w:val="00F627E4"/>
    <w:rsid w:val="00F6494D"/>
    <w:rsid w:val="00F65A5D"/>
    <w:rsid w:val="00F65DBD"/>
    <w:rsid w:val="00F669B9"/>
    <w:rsid w:val="00F67D80"/>
    <w:rsid w:val="00F773E6"/>
    <w:rsid w:val="00F7797F"/>
    <w:rsid w:val="00F77DEE"/>
    <w:rsid w:val="00F80A07"/>
    <w:rsid w:val="00F80C1E"/>
    <w:rsid w:val="00F80CEE"/>
    <w:rsid w:val="00F81639"/>
    <w:rsid w:val="00F81C18"/>
    <w:rsid w:val="00F81F36"/>
    <w:rsid w:val="00F83E85"/>
    <w:rsid w:val="00F8493C"/>
    <w:rsid w:val="00F85468"/>
    <w:rsid w:val="00F86A45"/>
    <w:rsid w:val="00F86BC7"/>
    <w:rsid w:val="00F907D4"/>
    <w:rsid w:val="00F913C7"/>
    <w:rsid w:val="00F9202F"/>
    <w:rsid w:val="00F92AA4"/>
    <w:rsid w:val="00F967E1"/>
    <w:rsid w:val="00FA2519"/>
    <w:rsid w:val="00FA625E"/>
    <w:rsid w:val="00FA6B1E"/>
    <w:rsid w:val="00FA72B9"/>
    <w:rsid w:val="00FB4165"/>
    <w:rsid w:val="00FB48E1"/>
    <w:rsid w:val="00FB59A0"/>
    <w:rsid w:val="00FC1484"/>
    <w:rsid w:val="00FC1792"/>
    <w:rsid w:val="00FC1944"/>
    <w:rsid w:val="00FC42BD"/>
    <w:rsid w:val="00FC6D12"/>
    <w:rsid w:val="00FD2E9B"/>
    <w:rsid w:val="00FD378D"/>
    <w:rsid w:val="00FD41A2"/>
    <w:rsid w:val="00FE065B"/>
    <w:rsid w:val="00FE06D8"/>
    <w:rsid w:val="00FE17D2"/>
    <w:rsid w:val="00FE2BF0"/>
    <w:rsid w:val="00FE43C6"/>
    <w:rsid w:val="00FE60F7"/>
    <w:rsid w:val="00FE7835"/>
    <w:rsid w:val="00FF5A86"/>
    <w:rsid w:val="00FF6D2A"/>
    <w:rsid w:val="00FF7F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57696"/>
  <w15:docId w15:val="{54B553D7-EB98-4712-864F-7CF43B73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9869F2"/>
    <w:pPr>
      <w:ind w:left="340" w:hanging="340"/>
      <w:jc w:val="both"/>
    </w:pPr>
    <w:rPr>
      <w:sz w:val="20"/>
      <w:szCs w:val="20"/>
    </w:rPr>
  </w:style>
  <w:style w:type="character" w:customStyle="1" w:styleId="FootnoteTextChar">
    <w:name w:val="Footnote Text Char"/>
    <w:basedOn w:val="DefaultParagraphFont"/>
    <w:link w:val="FootnoteText"/>
    <w:uiPriority w:val="99"/>
    <w:rsid w:val="009869F2"/>
    <w:rPr>
      <w:rFonts w:ascii="Arial" w:hAnsi="Arial"/>
      <w:lang w:eastAsia="en-US"/>
    </w:rPr>
  </w:style>
  <w:style w:type="character" w:styleId="FootnoteReference">
    <w:name w:val="footnote reference"/>
    <w:basedOn w:val="DefaultParagraphFont"/>
    <w:uiPriority w:val="99"/>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semiHidden/>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iPriority w:val="99"/>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59"/>
    <w:rsid w:val="00210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30A89"/>
    <w:rPr>
      <w:sz w:val="20"/>
      <w:szCs w:val="20"/>
    </w:rPr>
  </w:style>
  <w:style w:type="character" w:customStyle="1" w:styleId="EndnoteTextChar">
    <w:name w:val="Endnote Text Char"/>
    <w:basedOn w:val="DefaultParagraphFont"/>
    <w:link w:val="EndnoteText"/>
    <w:uiPriority w:val="99"/>
    <w:semiHidden/>
    <w:rsid w:val="00030A89"/>
    <w:rPr>
      <w:rFonts w:ascii="Arial" w:hAnsi="Arial"/>
      <w:lang w:eastAsia="en-US"/>
    </w:rPr>
  </w:style>
  <w:style w:type="character" w:styleId="EndnoteReference">
    <w:name w:val="endnote reference"/>
    <w:basedOn w:val="DefaultParagraphFont"/>
    <w:uiPriority w:val="99"/>
    <w:semiHidden/>
    <w:unhideWhenUsed/>
    <w:rsid w:val="00030A89"/>
    <w:rPr>
      <w:vertAlign w:val="superscript"/>
    </w:rPr>
  </w:style>
  <w:style w:type="character" w:customStyle="1" w:styleId="footnoteanchor">
    <w:name w:val="footnoteanchor"/>
    <w:basedOn w:val="DefaultParagraphFont"/>
    <w:rsid w:val="00BF7ED8"/>
  </w:style>
  <w:style w:type="character" w:customStyle="1" w:styleId="AFUBodytextCharChar">
    <w:name w:val="AFU Body text Char Char"/>
    <w:basedOn w:val="DefaultParagraphFont"/>
    <w:link w:val="AFUBodytext"/>
    <w:locked/>
    <w:rsid w:val="007A1D60"/>
    <w:rPr>
      <w:rFonts w:ascii="Arial" w:hAnsi="Arial" w:cs="Arial"/>
      <w:sz w:val="22"/>
      <w:szCs w:val="22"/>
      <w:lang w:eastAsia="en-GB"/>
    </w:rPr>
  </w:style>
  <w:style w:type="paragraph" w:customStyle="1" w:styleId="AFUBodytext">
    <w:name w:val="AFU Body text"/>
    <w:basedOn w:val="Normal"/>
    <w:link w:val="AFUBodytextCharChar"/>
    <w:rsid w:val="007A1D60"/>
    <w:pPr>
      <w:spacing w:before="120" w:after="120" w:line="480" w:lineRule="auto"/>
      <w:jc w:val="both"/>
    </w:pPr>
    <w:rPr>
      <w:rFonts w:cs="Arial"/>
      <w:szCs w:val="22"/>
      <w:lang w:eastAsia="en-GB"/>
    </w:rPr>
  </w:style>
  <w:style w:type="paragraph" w:customStyle="1" w:styleId="AFUaffidavitnumbering">
    <w:name w:val="AFU affidavit numbering"/>
    <w:basedOn w:val="Normal"/>
    <w:link w:val="AFUaffidavitnumberingCharChar"/>
    <w:uiPriority w:val="99"/>
    <w:qFormat/>
    <w:rsid w:val="00E61081"/>
    <w:pPr>
      <w:numPr>
        <w:numId w:val="12"/>
      </w:numPr>
      <w:spacing w:before="240" w:after="240" w:line="480" w:lineRule="auto"/>
      <w:jc w:val="both"/>
    </w:pPr>
    <w:rPr>
      <w:rFonts w:eastAsia="Calibri"/>
      <w:szCs w:val="22"/>
    </w:rPr>
  </w:style>
  <w:style w:type="character" w:customStyle="1" w:styleId="AFUaffidavitnumberingCharChar">
    <w:name w:val="AFU affidavit numbering Char Char"/>
    <w:basedOn w:val="DefaultParagraphFont"/>
    <w:link w:val="AFUaffidavitnumbering"/>
    <w:uiPriority w:val="99"/>
    <w:rsid w:val="00E61081"/>
    <w:rPr>
      <w:rFonts w:ascii="Arial" w:eastAsia="Calibri" w:hAnsi="Arial"/>
      <w:sz w:val="22"/>
      <w:szCs w:val="22"/>
      <w:lang w:eastAsia="en-US"/>
    </w:rPr>
  </w:style>
  <w:style w:type="paragraph" w:customStyle="1" w:styleId="Default">
    <w:name w:val="Default"/>
    <w:rsid w:val="00A434B9"/>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B20DD8"/>
  </w:style>
  <w:style w:type="character" w:customStyle="1" w:styleId="searchhit">
    <w:name w:val="searchhit"/>
    <w:basedOn w:val="DefaultParagraphFont"/>
    <w:rsid w:val="007D5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163209253">
      <w:bodyDiv w:val="1"/>
      <w:marLeft w:val="0"/>
      <w:marRight w:val="0"/>
      <w:marTop w:val="0"/>
      <w:marBottom w:val="0"/>
      <w:divBdr>
        <w:top w:val="none" w:sz="0" w:space="0" w:color="auto"/>
        <w:left w:val="none" w:sz="0" w:space="0" w:color="auto"/>
        <w:bottom w:val="none" w:sz="0" w:space="0" w:color="auto"/>
        <w:right w:val="none" w:sz="0" w:space="0" w:color="auto"/>
      </w:divBdr>
      <w:divsChild>
        <w:div w:id="559486776">
          <w:marLeft w:val="0"/>
          <w:marRight w:val="0"/>
          <w:marTop w:val="120"/>
          <w:marBottom w:val="0"/>
          <w:divBdr>
            <w:top w:val="none" w:sz="0" w:space="0" w:color="auto"/>
            <w:left w:val="none" w:sz="0" w:space="0" w:color="auto"/>
            <w:bottom w:val="none" w:sz="0" w:space="0" w:color="auto"/>
            <w:right w:val="none" w:sz="0" w:space="0" w:color="auto"/>
          </w:divBdr>
        </w:div>
        <w:div w:id="1238244361">
          <w:marLeft w:val="0"/>
          <w:marRight w:val="0"/>
          <w:marTop w:val="240"/>
          <w:marBottom w:val="0"/>
          <w:divBdr>
            <w:top w:val="none" w:sz="0" w:space="0" w:color="auto"/>
            <w:left w:val="none" w:sz="0" w:space="0" w:color="auto"/>
            <w:bottom w:val="none" w:sz="0" w:space="0" w:color="auto"/>
            <w:right w:val="none" w:sz="0" w:space="0" w:color="auto"/>
          </w:divBdr>
        </w:div>
        <w:div w:id="1412848520">
          <w:marLeft w:val="567"/>
          <w:marRight w:val="567"/>
          <w:marTop w:val="20"/>
          <w:marBottom w:val="20"/>
          <w:divBdr>
            <w:top w:val="none" w:sz="0" w:space="0" w:color="auto"/>
            <w:left w:val="none" w:sz="0" w:space="0" w:color="auto"/>
            <w:bottom w:val="none" w:sz="0" w:space="0" w:color="auto"/>
            <w:right w:val="none" w:sz="0" w:space="0" w:color="auto"/>
          </w:divBdr>
        </w:div>
      </w:divsChild>
    </w:div>
    <w:div w:id="302393966">
      <w:bodyDiv w:val="1"/>
      <w:marLeft w:val="0"/>
      <w:marRight w:val="0"/>
      <w:marTop w:val="0"/>
      <w:marBottom w:val="0"/>
      <w:divBdr>
        <w:top w:val="none" w:sz="0" w:space="0" w:color="auto"/>
        <w:left w:val="none" w:sz="0" w:space="0" w:color="auto"/>
        <w:bottom w:val="none" w:sz="0" w:space="0" w:color="auto"/>
        <w:right w:val="none" w:sz="0" w:space="0" w:color="auto"/>
      </w:divBdr>
      <w:divsChild>
        <w:div w:id="315837348">
          <w:marLeft w:val="0"/>
          <w:marRight w:val="0"/>
          <w:marTop w:val="180"/>
          <w:marBottom w:val="60"/>
          <w:divBdr>
            <w:top w:val="single" w:sz="8" w:space="1" w:color="808080"/>
            <w:left w:val="none" w:sz="0" w:space="0" w:color="auto"/>
            <w:bottom w:val="none" w:sz="0" w:space="0" w:color="auto"/>
            <w:right w:val="none" w:sz="0" w:space="0" w:color="auto"/>
          </w:divBdr>
        </w:div>
        <w:div w:id="1121724181">
          <w:marLeft w:val="1134"/>
          <w:marRight w:val="0"/>
          <w:marTop w:val="60"/>
          <w:marBottom w:val="0"/>
          <w:divBdr>
            <w:top w:val="none" w:sz="0" w:space="0" w:color="auto"/>
            <w:left w:val="none" w:sz="0" w:space="0" w:color="auto"/>
            <w:bottom w:val="none" w:sz="0" w:space="0" w:color="auto"/>
            <w:right w:val="none" w:sz="0" w:space="0" w:color="auto"/>
          </w:divBdr>
        </w:div>
        <w:div w:id="1205827785">
          <w:marLeft w:val="0"/>
          <w:marRight w:val="0"/>
          <w:marTop w:val="120"/>
          <w:marBottom w:val="0"/>
          <w:divBdr>
            <w:top w:val="none" w:sz="0" w:space="0" w:color="auto"/>
            <w:left w:val="none" w:sz="0" w:space="0" w:color="auto"/>
            <w:bottom w:val="none" w:sz="0" w:space="0" w:color="auto"/>
            <w:right w:val="none" w:sz="0" w:space="0" w:color="auto"/>
          </w:divBdr>
        </w:div>
        <w:div w:id="1577285130">
          <w:marLeft w:val="0"/>
          <w:marRight w:val="0"/>
          <w:marTop w:val="120"/>
          <w:marBottom w:val="0"/>
          <w:divBdr>
            <w:top w:val="none" w:sz="0" w:space="0" w:color="auto"/>
            <w:left w:val="none" w:sz="0" w:space="0" w:color="auto"/>
            <w:bottom w:val="none" w:sz="0" w:space="0" w:color="auto"/>
            <w:right w:val="none" w:sz="0" w:space="0" w:color="auto"/>
          </w:divBdr>
        </w:div>
        <w:div w:id="1627590018">
          <w:marLeft w:val="0"/>
          <w:marRight w:val="0"/>
          <w:marTop w:val="120"/>
          <w:marBottom w:val="0"/>
          <w:divBdr>
            <w:top w:val="none" w:sz="0" w:space="0" w:color="auto"/>
            <w:left w:val="none" w:sz="0" w:space="0" w:color="auto"/>
            <w:bottom w:val="none" w:sz="0" w:space="0" w:color="auto"/>
            <w:right w:val="none" w:sz="0" w:space="0" w:color="auto"/>
          </w:divBdr>
        </w:div>
        <w:div w:id="1653682268">
          <w:marLeft w:val="1134"/>
          <w:marRight w:val="0"/>
          <w:marTop w:val="60"/>
          <w:marBottom w:val="0"/>
          <w:divBdr>
            <w:top w:val="none" w:sz="0" w:space="0" w:color="auto"/>
            <w:left w:val="none" w:sz="0" w:space="0" w:color="auto"/>
            <w:bottom w:val="none" w:sz="0" w:space="0" w:color="auto"/>
            <w:right w:val="none" w:sz="0" w:space="0" w:color="auto"/>
          </w:divBdr>
        </w:div>
        <w:div w:id="1819493354">
          <w:marLeft w:val="0"/>
          <w:marRight w:val="0"/>
          <w:marTop w:val="180"/>
          <w:marBottom w:val="60"/>
          <w:divBdr>
            <w:top w:val="single" w:sz="8" w:space="1" w:color="808080"/>
            <w:left w:val="none" w:sz="0" w:space="0" w:color="auto"/>
            <w:bottom w:val="none" w:sz="0" w:space="0" w:color="auto"/>
            <w:right w:val="none" w:sz="0" w:space="0" w:color="auto"/>
          </w:divBdr>
        </w:div>
        <w:div w:id="1977877299">
          <w:marLeft w:val="1134"/>
          <w:marRight w:val="0"/>
          <w:marTop w:val="60"/>
          <w:marBottom w:val="0"/>
          <w:divBdr>
            <w:top w:val="none" w:sz="0" w:space="0" w:color="auto"/>
            <w:left w:val="none" w:sz="0" w:space="0" w:color="auto"/>
            <w:bottom w:val="none" w:sz="0" w:space="0" w:color="auto"/>
            <w:right w:val="none" w:sz="0" w:space="0" w:color="auto"/>
          </w:divBdr>
        </w:div>
        <w:div w:id="2013219642">
          <w:marLeft w:val="0"/>
          <w:marRight w:val="0"/>
          <w:marTop w:val="120"/>
          <w:marBottom w:val="0"/>
          <w:divBdr>
            <w:top w:val="none" w:sz="0" w:space="0" w:color="auto"/>
            <w:left w:val="none" w:sz="0" w:space="0" w:color="auto"/>
            <w:bottom w:val="none" w:sz="0" w:space="0" w:color="auto"/>
            <w:right w:val="none" w:sz="0" w:space="0" w:color="auto"/>
          </w:divBdr>
        </w:div>
        <w:div w:id="2123844857">
          <w:marLeft w:val="0"/>
          <w:marRight w:val="0"/>
          <w:marTop w:val="120"/>
          <w:marBottom w:val="0"/>
          <w:divBdr>
            <w:top w:val="none" w:sz="0" w:space="0" w:color="auto"/>
            <w:left w:val="none" w:sz="0" w:space="0" w:color="auto"/>
            <w:bottom w:val="none" w:sz="0" w:space="0" w:color="auto"/>
            <w:right w:val="none" w:sz="0" w:space="0" w:color="auto"/>
          </w:divBdr>
        </w:div>
      </w:divsChild>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352655753">
      <w:bodyDiv w:val="1"/>
      <w:marLeft w:val="0"/>
      <w:marRight w:val="0"/>
      <w:marTop w:val="0"/>
      <w:marBottom w:val="0"/>
      <w:divBdr>
        <w:top w:val="none" w:sz="0" w:space="0" w:color="auto"/>
        <w:left w:val="none" w:sz="0" w:space="0" w:color="auto"/>
        <w:bottom w:val="none" w:sz="0" w:space="0" w:color="auto"/>
        <w:right w:val="none" w:sz="0" w:space="0" w:color="auto"/>
      </w:divBdr>
      <w:divsChild>
        <w:div w:id="543565086">
          <w:marLeft w:val="0"/>
          <w:marRight w:val="0"/>
          <w:marTop w:val="60"/>
          <w:marBottom w:val="0"/>
          <w:divBdr>
            <w:top w:val="none" w:sz="0" w:space="0" w:color="auto"/>
            <w:left w:val="none" w:sz="0" w:space="0" w:color="auto"/>
            <w:bottom w:val="none" w:sz="0" w:space="0" w:color="auto"/>
            <w:right w:val="none" w:sz="0" w:space="0" w:color="auto"/>
          </w:divBdr>
        </w:div>
        <w:div w:id="795026512">
          <w:marLeft w:val="0"/>
          <w:marRight w:val="0"/>
          <w:marTop w:val="120"/>
          <w:marBottom w:val="0"/>
          <w:divBdr>
            <w:top w:val="none" w:sz="0" w:space="0" w:color="auto"/>
            <w:left w:val="none" w:sz="0" w:space="0" w:color="auto"/>
            <w:bottom w:val="none" w:sz="0" w:space="0" w:color="auto"/>
            <w:right w:val="none" w:sz="0" w:space="0" w:color="auto"/>
          </w:divBdr>
        </w:div>
      </w:divsChild>
    </w:div>
    <w:div w:id="538202760">
      <w:bodyDiv w:val="1"/>
      <w:marLeft w:val="0"/>
      <w:marRight w:val="0"/>
      <w:marTop w:val="0"/>
      <w:marBottom w:val="0"/>
      <w:divBdr>
        <w:top w:val="none" w:sz="0" w:space="0" w:color="auto"/>
        <w:left w:val="none" w:sz="0" w:space="0" w:color="auto"/>
        <w:bottom w:val="none" w:sz="0" w:space="0" w:color="auto"/>
        <w:right w:val="none" w:sz="0" w:space="0" w:color="auto"/>
      </w:divBdr>
    </w:div>
    <w:div w:id="552427858">
      <w:bodyDiv w:val="1"/>
      <w:marLeft w:val="0"/>
      <w:marRight w:val="0"/>
      <w:marTop w:val="0"/>
      <w:marBottom w:val="0"/>
      <w:divBdr>
        <w:top w:val="none" w:sz="0" w:space="0" w:color="auto"/>
        <w:left w:val="none" w:sz="0" w:space="0" w:color="auto"/>
        <w:bottom w:val="none" w:sz="0" w:space="0" w:color="auto"/>
        <w:right w:val="none" w:sz="0" w:space="0" w:color="auto"/>
      </w:divBdr>
    </w:div>
    <w:div w:id="570697089">
      <w:bodyDiv w:val="1"/>
      <w:marLeft w:val="0"/>
      <w:marRight w:val="0"/>
      <w:marTop w:val="0"/>
      <w:marBottom w:val="0"/>
      <w:divBdr>
        <w:top w:val="none" w:sz="0" w:space="0" w:color="auto"/>
        <w:left w:val="none" w:sz="0" w:space="0" w:color="auto"/>
        <w:bottom w:val="none" w:sz="0" w:space="0" w:color="auto"/>
        <w:right w:val="none" w:sz="0" w:space="0" w:color="auto"/>
      </w:divBdr>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150560590">
      <w:bodyDiv w:val="1"/>
      <w:marLeft w:val="0"/>
      <w:marRight w:val="0"/>
      <w:marTop w:val="0"/>
      <w:marBottom w:val="0"/>
      <w:divBdr>
        <w:top w:val="none" w:sz="0" w:space="0" w:color="auto"/>
        <w:left w:val="none" w:sz="0" w:space="0" w:color="auto"/>
        <w:bottom w:val="none" w:sz="0" w:space="0" w:color="auto"/>
        <w:right w:val="none" w:sz="0" w:space="0" w:color="auto"/>
      </w:divBdr>
    </w:div>
    <w:div w:id="1170483299">
      <w:bodyDiv w:val="1"/>
      <w:marLeft w:val="0"/>
      <w:marRight w:val="0"/>
      <w:marTop w:val="0"/>
      <w:marBottom w:val="0"/>
      <w:divBdr>
        <w:top w:val="none" w:sz="0" w:space="0" w:color="auto"/>
        <w:left w:val="none" w:sz="0" w:space="0" w:color="auto"/>
        <w:bottom w:val="none" w:sz="0" w:space="0" w:color="auto"/>
        <w:right w:val="none" w:sz="0" w:space="0" w:color="auto"/>
      </w:divBdr>
    </w:div>
    <w:div w:id="1174035608">
      <w:bodyDiv w:val="1"/>
      <w:marLeft w:val="0"/>
      <w:marRight w:val="0"/>
      <w:marTop w:val="0"/>
      <w:marBottom w:val="0"/>
      <w:divBdr>
        <w:top w:val="none" w:sz="0" w:space="0" w:color="auto"/>
        <w:left w:val="none" w:sz="0" w:space="0" w:color="auto"/>
        <w:bottom w:val="none" w:sz="0" w:space="0" w:color="auto"/>
        <w:right w:val="none" w:sz="0" w:space="0" w:color="auto"/>
      </w:divBdr>
    </w:div>
    <w:div w:id="1197696140">
      <w:bodyDiv w:val="1"/>
      <w:marLeft w:val="0"/>
      <w:marRight w:val="0"/>
      <w:marTop w:val="0"/>
      <w:marBottom w:val="0"/>
      <w:divBdr>
        <w:top w:val="none" w:sz="0" w:space="0" w:color="auto"/>
        <w:left w:val="none" w:sz="0" w:space="0" w:color="auto"/>
        <w:bottom w:val="none" w:sz="0" w:space="0" w:color="auto"/>
        <w:right w:val="none" w:sz="0" w:space="0" w:color="auto"/>
      </w:divBdr>
      <w:divsChild>
        <w:div w:id="1878808815">
          <w:marLeft w:val="675"/>
          <w:marRight w:val="0"/>
          <w:marTop w:val="0"/>
          <w:marBottom w:val="0"/>
          <w:divBdr>
            <w:top w:val="none" w:sz="0" w:space="0" w:color="auto"/>
            <w:left w:val="none" w:sz="0" w:space="0" w:color="auto"/>
            <w:bottom w:val="none" w:sz="0" w:space="0" w:color="auto"/>
            <w:right w:val="none" w:sz="0" w:space="0" w:color="auto"/>
          </w:divBdr>
        </w:div>
        <w:div w:id="1892958996">
          <w:marLeft w:val="675"/>
          <w:marRight w:val="0"/>
          <w:marTop w:val="0"/>
          <w:marBottom w:val="0"/>
          <w:divBdr>
            <w:top w:val="none" w:sz="0" w:space="0" w:color="auto"/>
            <w:left w:val="none" w:sz="0" w:space="0" w:color="auto"/>
            <w:bottom w:val="none" w:sz="0" w:space="0" w:color="auto"/>
            <w:right w:val="none" w:sz="0" w:space="0" w:color="auto"/>
          </w:divBdr>
        </w:div>
        <w:div w:id="1937789993">
          <w:marLeft w:val="675"/>
          <w:marRight w:val="0"/>
          <w:marTop w:val="0"/>
          <w:marBottom w:val="0"/>
          <w:divBdr>
            <w:top w:val="none" w:sz="0" w:space="0" w:color="auto"/>
            <w:left w:val="none" w:sz="0" w:space="0" w:color="auto"/>
            <w:bottom w:val="none" w:sz="0" w:space="0" w:color="auto"/>
            <w:right w:val="none" w:sz="0" w:space="0" w:color="auto"/>
          </w:divBdr>
        </w:div>
      </w:divsChild>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670987435">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796942867">
      <w:bodyDiv w:val="1"/>
      <w:marLeft w:val="0"/>
      <w:marRight w:val="0"/>
      <w:marTop w:val="0"/>
      <w:marBottom w:val="0"/>
      <w:divBdr>
        <w:top w:val="none" w:sz="0" w:space="0" w:color="auto"/>
        <w:left w:val="none" w:sz="0" w:space="0" w:color="auto"/>
        <w:bottom w:val="none" w:sz="0" w:space="0" w:color="auto"/>
        <w:right w:val="none" w:sz="0" w:space="0" w:color="auto"/>
      </w:divBdr>
      <w:divsChild>
        <w:div w:id="180821449">
          <w:marLeft w:val="0"/>
          <w:marRight w:val="0"/>
          <w:marTop w:val="120"/>
          <w:marBottom w:val="0"/>
          <w:divBdr>
            <w:top w:val="none" w:sz="0" w:space="0" w:color="auto"/>
            <w:left w:val="none" w:sz="0" w:space="0" w:color="auto"/>
            <w:bottom w:val="none" w:sz="0" w:space="0" w:color="auto"/>
            <w:right w:val="none" w:sz="0" w:space="0" w:color="auto"/>
          </w:divBdr>
        </w:div>
        <w:div w:id="1104307864">
          <w:marLeft w:val="0"/>
          <w:marRight w:val="0"/>
          <w:marTop w:val="60"/>
          <w:marBottom w:val="0"/>
          <w:divBdr>
            <w:top w:val="none" w:sz="0" w:space="0" w:color="auto"/>
            <w:left w:val="none" w:sz="0" w:space="0" w:color="auto"/>
            <w:bottom w:val="none" w:sz="0" w:space="0" w:color="auto"/>
            <w:right w:val="none" w:sz="0" w:space="0" w:color="auto"/>
          </w:divBdr>
        </w:div>
      </w:divsChild>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415E4-C110-4CFC-B0D8-FFC210BBF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Acting.dotx</Template>
  <TotalTime>11</TotalTime>
  <Pages>6</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
  <dc:creator>JR TYPING SERVICES</dc:creator>
  <cp:keywords>JOHAN MOORCROFT</cp:keywords>
  <dc:description/>
  <cp:lastModifiedBy>sathish sarshan  mohan</cp:lastModifiedBy>
  <cp:revision>4</cp:revision>
  <cp:lastPrinted>2024-06-04T11:29:00Z</cp:lastPrinted>
  <dcterms:created xsi:type="dcterms:W3CDTF">2024-06-06T12:56:00Z</dcterms:created>
  <dcterms:modified xsi:type="dcterms:W3CDTF">2024-06-06T18:56:00Z</dcterms:modified>
</cp:coreProperties>
</file>