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3F27DB" w14:textId="42C9FD12" w:rsidR="00830927" w:rsidRDefault="009E0D34" w:rsidP="009E0D34">
      <w:pPr>
        <w:rPr>
          <w:b/>
        </w:rPr>
      </w:pPr>
      <w:r>
        <w:rPr>
          <w:noProof/>
        </w:rPr>
        <w:drawing>
          <wp:inline distT="0" distB="0" distL="0" distR="0" wp14:anchorId="598DF902" wp14:editId="2CD8CC2B">
            <wp:extent cx="4286250" cy="466725"/>
            <wp:effectExtent l="0" t="0" r="0" b="9525"/>
            <wp:docPr id="14891438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0778B883" w14:textId="4285E215" w:rsidR="004B5128" w:rsidRDefault="004B5128" w:rsidP="004B5128">
      <w:pPr>
        <w:jc w:val="center"/>
        <w:rPr>
          <w:b/>
        </w:rPr>
      </w:pPr>
      <w:r>
        <w:rPr>
          <w:b/>
        </w:rPr>
        <w:t>IN THE HIGH COURT OF SOUTH AFRICA</w:t>
      </w:r>
    </w:p>
    <w:p w14:paraId="4FF2AD5D" w14:textId="33EAFBC7" w:rsidR="008130CA" w:rsidRDefault="008130CA" w:rsidP="004B5128">
      <w:pPr>
        <w:jc w:val="center"/>
        <w:rPr>
          <w:b/>
        </w:rPr>
      </w:pPr>
      <w:r w:rsidRPr="008130CA">
        <w:rPr>
          <w:noProof/>
          <w:lang w:val="en-ZA"/>
        </w:rPr>
        <w:drawing>
          <wp:inline distT="0" distB="0" distL="0" distR="0" wp14:anchorId="58C9BDE9" wp14:editId="4E876B76">
            <wp:extent cx="1438275" cy="1438275"/>
            <wp:effectExtent l="0" t="0" r="9525" b="952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14:paraId="3D4B1CBB" w14:textId="77777777" w:rsidR="004B5128" w:rsidRDefault="004B5128" w:rsidP="004B5128">
      <w:pPr>
        <w:jc w:val="center"/>
        <w:rPr>
          <w:b/>
        </w:rPr>
      </w:pPr>
    </w:p>
    <w:p w14:paraId="059A130B" w14:textId="77777777" w:rsidR="004B5128" w:rsidRDefault="004B5128" w:rsidP="004B5128">
      <w:pPr>
        <w:jc w:val="center"/>
        <w:rPr>
          <w:b/>
        </w:rPr>
      </w:pPr>
      <w:r>
        <w:rPr>
          <w:b/>
        </w:rPr>
        <w:t>GAUTENG LOCAL DIVISION, JOHANNESBURG</w:t>
      </w:r>
    </w:p>
    <w:p w14:paraId="65E118BA" w14:textId="77777777" w:rsidR="004B5128" w:rsidRDefault="004B5128" w:rsidP="00897CC0">
      <w:pPr>
        <w:rPr>
          <w:b/>
        </w:rPr>
      </w:pPr>
    </w:p>
    <w:p w14:paraId="077E8A24" w14:textId="18D8706B" w:rsidR="004B5128" w:rsidRDefault="004B5128" w:rsidP="004B5128">
      <w:pPr>
        <w:jc w:val="right"/>
        <w:rPr>
          <w:b/>
        </w:rPr>
      </w:pPr>
      <w:r>
        <w:rPr>
          <w:b/>
        </w:rPr>
        <w:t xml:space="preserve">CASE NO: </w:t>
      </w:r>
      <w:r w:rsidR="00F950DF">
        <w:rPr>
          <w:b/>
        </w:rPr>
        <w:t>2022-003687</w:t>
      </w:r>
    </w:p>
    <w:p w14:paraId="4B19AB0C" w14:textId="6157ED7C" w:rsidR="008130CA" w:rsidRDefault="008130CA" w:rsidP="004B5128">
      <w:pPr>
        <w:jc w:val="right"/>
        <w:rPr>
          <w:b/>
        </w:rPr>
      </w:pPr>
      <w:r w:rsidRPr="008130CA">
        <w:rPr>
          <w:rFonts w:ascii="Times New Roman" w:eastAsia="Calibri" w:hAnsi="Times New Roman"/>
          <w:noProof/>
          <w:szCs w:val="24"/>
          <w:lang w:val="en-ZA"/>
        </w:rPr>
        <mc:AlternateContent>
          <mc:Choice Requires="wps">
            <w:drawing>
              <wp:anchor distT="0" distB="0" distL="114300" distR="114300" simplePos="0" relativeHeight="251659264" behindDoc="0" locked="0" layoutInCell="1" allowOverlap="1" wp14:anchorId="6679DA3C" wp14:editId="053E9839">
                <wp:simplePos x="0" y="0"/>
                <wp:positionH relativeFrom="column">
                  <wp:posOffset>-76200</wp:posOffset>
                </wp:positionH>
                <wp:positionV relativeFrom="paragraph">
                  <wp:posOffset>50165</wp:posOffset>
                </wp:positionV>
                <wp:extent cx="3314700" cy="1371600"/>
                <wp:effectExtent l="0" t="0" r="19050" b="1905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5EB51A77" w14:textId="77777777" w:rsidR="008130CA" w:rsidRDefault="008130CA" w:rsidP="008130CA">
                            <w:pPr>
                              <w:jc w:val="center"/>
                              <w:rPr>
                                <w:rFonts w:ascii="Century Gothic" w:hAnsi="Century Gothic"/>
                                <w:b/>
                                <w:sz w:val="20"/>
                                <w:szCs w:val="20"/>
                              </w:rPr>
                            </w:pPr>
                          </w:p>
                          <w:p w14:paraId="64C527E3" w14:textId="77777777" w:rsidR="008130CA" w:rsidRDefault="008130CA" w:rsidP="008130CA">
                            <w:pPr>
                              <w:numPr>
                                <w:ilvl w:val="0"/>
                                <w:numId w:val="12"/>
                              </w:numPr>
                              <w:jc w:val="left"/>
                              <w:rPr>
                                <w:rFonts w:ascii="Century Gothic" w:hAnsi="Century Gothic"/>
                                <w:sz w:val="20"/>
                                <w:szCs w:val="20"/>
                              </w:rPr>
                            </w:pPr>
                            <w:r>
                              <w:rPr>
                                <w:rFonts w:ascii="Century Gothic" w:hAnsi="Century Gothic"/>
                                <w:sz w:val="20"/>
                                <w:szCs w:val="20"/>
                              </w:rPr>
                              <w:t>REPORTABLE: YES / NO</w:t>
                            </w:r>
                          </w:p>
                          <w:p w14:paraId="7A981570" w14:textId="77777777" w:rsidR="008130CA" w:rsidRDefault="008130CA" w:rsidP="008130CA">
                            <w:pPr>
                              <w:numPr>
                                <w:ilvl w:val="0"/>
                                <w:numId w:val="12"/>
                              </w:numPr>
                              <w:jc w:val="left"/>
                              <w:rPr>
                                <w:rFonts w:ascii="Century Gothic" w:hAnsi="Century Gothic"/>
                                <w:sz w:val="20"/>
                                <w:szCs w:val="20"/>
                              </w:rPr>
                            </w:pPr>
                            <w:r>
                              <w:rPr>
                                <w:rFonts w:ascii="Century Gothic" w:hAnsi="Century Gothic"/>
                                <w:sz w:val="20"/>
                                <w:szCs w:val="20"/>
                              </w:rPr>
                              <w:t>OF INTEREST TO OTHER JUDGES: YES/NO</w:t>
                            </w:r>
                          </w:p>
                          <w:p w14:paraId="377B720F" w14:textId="77777777" w:rsidR="008130CA" w:rsidRDefault="008130CA" w:rsidP="008130CA">
                            <w:pPr>
                              <w:numPr>
                                <w:ilvl w:val="0"/>
                                <w:numId w:val="12"/>
                              </w:numPr>
                              <w:jc w:val="left"/>
                              <w:rPr>
                                <w:rFonts w:ascii="Century Gothic" w:hAnsi="Century Gothic"/>
                                <w:sz w:val="20"/>
                                <w:szCs w:val="20"/>
                              </w:rPr>
                            </w:pPr>
                            <w:r>
                              <w:rPr>
                                <w:rFonts w:ascii="Century Gothic" w:hAnsi="Century Gothic"/>
                                <w:sz w:val="20"/>
                                <w:szCs w:val="20"/>
                              </w:rPr>
                              <w:t xml:space="preserve">REVISED. </w:t>
                            </w:r>
                          </w:p>
                          <w:p w14:paraId="15D37368" w14:textId="77777777" w:rsidR="008130CA" w:rsidRDefault="008130CA" w:rsidP="008130CA">
                            <w:pPr>
                              <w:rPr>
                                <w:rFonts w:ascii="Century Gothic" w:hAnsi="Century Gothic"/>
                                <w:b/>
                                <w:sz w:val="18"/>
                                <w:szCs w:val="18"/>
                              </w:rPr>
                            </w:pPr>
                          </w:p>
                          <w:p w14:paraId="6BFF1AF8" w14:textId="77777777" w:rsidR="008130CA" w:rsidRDefault="008130CA" w:rsidP="008130CA">
                            <w:pP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t>………………………...</w:t>
                            </w:r>
                          </w:p>
                          <w:p w14:paraId="34BA9328" w14:textId="77777777" w:rsidR="008130CA" w:rsidRDefault="008130CA" w:rsidP="008130CA">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9DA3C" id="_x0000_t202" coordsize="21600,21600" o:spt="202" path="m,l,21600r21600,l21600,xe">
                <v:stroke joinstyle="miter"/>
                <v:path gradientshapeok="t" o:connecttype="rect"/>
              </v:shapetype>
              <v:shape id="Text Box 1" o:spid="_x0000_s1026" type="#_x0000_t202" style="position:absolute;left:0;text-align:left;margin-left:-6pt;margin-top:3.95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39bpQ98AAAAJAQAADwAAAGRycy9kb3ducmV2LnhtbEyPwU7DMBBE70j8g7VIXFDr&#10;JIW2CdlUCAlEb1AQXN1km0TY62C7afh7zAmOoxnNvCk3k9FiJOd7ywjpPAFBXNum5xbh7fVhtgbh&#10;g+JGacuE8E0eNtX5WamKxp74hcZdaEUsYV8ohC6EoZDS1x0Z5ed2II7ewTqjQpSulY1Tp1hutMyS&#10;ZCmN6jkudGqg+47qz93RIKyvn8YPv108v9fLg87D1Wp8/HKIlxfT3S2IQFP4C8MvfkSHKjLt7ZEb&#10;LzTCLM3il4CwykFE/yZNot4jZNkiB1mV8v+D6gcAAP//AwBQSwECLQAUAAYACAAAACEAtoM4kv4A&#10;AADhAQAAEwAAAAAAAAAAAAAAAAAAAAAAW0NvbnRlbnRfVHlwZXNdLnhtbFBLAQItABQABgAIAAAA&#10;IQA4/SH/1gAAAJQBAAALAAAAAAAAAAAAAAAAAC8BAABfcmVscy8ucmVsc1BLAQItABQABgAIAAAA&#10;IQAAGbdrFQIAACwEAAAOAAAAAAAAAAAAAAAAAC4CAABkcnMvZTJvRG9jLnhtbFBLAQItABQABgAI&#10;AAAAIQDf1ulD3wAAAAkBAAAPAAAAAAAAAAAAAAAAAG8EAABkcnMvZG93bnJldi54bWxQSwUGAAAA&#10;AAQABADzAAAAewUAAAAA&#10;">
                <v:textbox>
                  <w:txbxContent>
                    <w:p w14:paraId="5EB51A77" w14:textId="77777777" w:rsidR="008130CA" w:rsidRDefault="008130CA" w:rsidP="008130CA">
                      <w:pPr>
                        <w:jc w:val="center"/>
                        <w:rPr>
                          <w:rFonts w:ascii="Century Gothic" w:hAnsi="Century Gothic"/>
                          <w:b/>
                          <w:sz w:val="20"/>
                          <w:szCs w:val="20"/>
                        </w:rPr>
                      </w:pPr>
                    </w:p>
                    <w:p w14:paraId="64C527E3" w14:textId="77777777" w:rsidR="008130CA" w:rsidRDefault="008130CA" w:rsidP="008130CA">
                      <w:pPr>
                        <w:numPr>
                          <w:ilvl w:val="0"/>
                          <w:numId w:val="12"/>
                        </w:numPr>
                        <w:jc w:val="left"/>
                        <w:rPr>
                          <w:rFonts w:ascii="Century Gothic" w:hAnsi="Century Gothic"/>
                          <w:sz w:val="20"/>
                          <w:szCs w:val="20"/>
                        </w:rPr>
                      </w:pPr>
                      <w:r>
                        <w:rPr>
                          <w:rFonts w:ascii="Century Gothic" w:hAnsi="Century Gothic"/>
                          <w:sz w:val="20"/>
                          <w:szCs w:val="20"/>
                        </w:rPr>
                        <w:t>REPORTABLE: YES / NO</w:t>
                      </w:r>
                    </w:p>
                    <w:p w14:paraId="7A981570" w14:textId="77777777" w:rsidR="008130CA" w:rsidRDefault="008130CA" w:rsidP="008130CA">
                      <w:pPr>
                        <w:numPr>
                          <w:ilvl w:val="0"/>
                          <w:numId w:val="12"/>
                        </w:numPr>
                        <w:jc w:val="left"/>
                        <w:rPr>
                          <w:rFonts w:ascii="Century Gothic" w:hAnsi="Century Gothic"/>
                          <w:sz w:val="20"/>
                          <w:szCs w:val="20"/>
                        </w:rPr>
                      </w:pPr>
                      <w:r>
                        <w:rPr>
                          <w:rFonts w:ascii="Century Gothic" w:hAnsi="Century Gothic"/>
                          <w:sz w:val="20"/>
                          <w:szCs w:val="20"/>
                        </w:rPr>
                        <w:t>OF INTEREST TO OTHER JUDGES: YES/NO</w:t>
                      </w:r>
                    </w:p>
                    <w:p w14:paraId="377B720F" w14:textId="77777777" w:rsidR="008130CA" w:rsidRDefault="008130CA" w:rsidP="008130CA">
                      <w:pPr>
                        <w:numPr>
                          <w:ilvl w:val="0"/>
                          <w:numId w:val="12"/>
                        </w:numPr>
                        <w:jc w:val="left"/>
                        <w:rPr>
                          <w:rFonts w:ascii="Century Gothic" w:hAnsi="Century Gothic"/>
                          <w:sz w:val="20"/>
                          <w:szCs w:val="20"/>
                        </w:rPr>
                      </w:pPr>
                      <w:r>
                        <w:rPr>
                          <w:rFonts w:ascii="Century Gothic" w:hAnsi="Century Gothic"/>
                          <w:sz w:val="20"/>
                          <w:szCs w:val="20"/>
                        </w:rPr>
                        <w:t xml:space="preserve">REVISED. </w:t>
                      </w:r>
                    </w:p>
                    <w:p w14:paraId="15D37368" w14:textId="77777777" w:rsidR="008130CA" w:rsidRDefault="008130CA" w:rsidP="008130CA">
                      <w:pPr>
                        <w:rPr>
                          <w:rFonts w:ascii="Century Gothic" w:hAnsi="Century Gothic"/>
                          <w:b/>
                          <w:sz w:val="18"/>
                          <w:szCs w:val="18"/>
                        </w:rPr>
                      </w:pPr>
                    </w:p>
                    <w:p w14:paraId="6BFF1AF8" w14:textId="77777777" w:rsidR="008130CA" w:rsidRDefault="008130CA" w:rsidP="008130CA">
                      <w:pP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t>………………………...</w:t>
                      </w:r>
                    </w:p>
                    <w:p w14:paraId="34BA9328" w14:textId="77777777" w:rsidR="008130CA" w:rsidRDefault="008130CA" w:rsidP="008130CA">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v:shape>
            </w:pict>
          </mc:Fallback>
        </mc:AlternateContent>
      </w:r>
    </w:p>
    <w:p w14:paraId="46736C26" w14:textId="77777777" w:rsidR="008130CA" w:rsidRDefault="008130CA" w:rsidP="004B5128">
      <w:pPr>
        <w:jc w:val="right"/>
        <w:rPr>
          <w:b/>
        </w:rPr>
      </w:pPr>
    </w:p>
    <w:p w14:paraId="3C326336" w14:textId="4366FF2B" w:rsidR="008130CA" w:rsidRDefault="008130CA" w:rsidP="008130CA">
      <w:pPr>
        <w:jc w:val="left"/>
        <w:rPr>
          <w:b/>
        </w:rPr>
      </w:pPr>
    </w:p>
    <w:p w14:paraId="66641587" w14:textId="77777777" w:rsidR="00B91CD4" w:rsidRDefault="00B91CD4" w:rsidP="004B5128">
      <w:pPr>
        <w:jc w:val="right"/>
        <w:rPr>
          <w:b/>
        </w:rPr>
      </w:pPr>
    </w:p>
    <w:p w14:paraId="57A9F270" w14:textId="3C8662C9" w:rsidR="003C2813" w:rsidRDefault="003C2813" w:rsidP="008130CA">
      <w:pPr>
        <w:rPr>
          <w:b/>
        </w:rPr>
      </w:pPr>
    </w:p>
    <w:p w14:paraId="2DC6949F" w14:textId="77777777" w:rsidR="004B5128" w:rsidRDefault="004B5128" w:rsidP="004B5128">
      <w:pPr>
        <w:jc w:val="right"/>
        <w:rPr>
          <w:b/>
        </w:rPr>
      </w:pPr>
    </w:p>
    <w:p w14:paraId="36405AC0" w14:textId="77777777" w:rsidR="004B5128" w:rsidRDefault="004B5128" w:rsidP="004B5128">
      <w:pPr>
        <w:pStyle w:val="Parties"/>
      </w:pPr>
      <w:r>
        <w:t>In the matter between:</w:t>
      </w:r>
    </w:p>
    <w:p w14:paraId="5DE63A0F" w14:textId="77777777" w:rsidR="004B5128" w:rsidRDefault="004B5128" w:rsidP="004B5128">
      <w:pPr>
        <w:pStyle w:val="Parties"/>
      </w:pPr>
    </w:p>
    <w:p w14:paraId="644E4822" w14:textId="77777777" w:rsidR="004B5128" w:rsidRDefault="004B5128" w:rsidP="004B5128">
      <w:pPr>
        <w:pStyle w:val="Parties"/>
      </w:pPr>
    </w:p>
    <w:p w14:paraId="50863B0B" w14:textId="565EDB83" w:rsidR="004B5128" w:rsidRDefault="005150BC" w:rsidP="005150BC">
      <w:pPr>
        <w:pStyle w:val="Parties"/>
        <w:rPr>
          <w:bCs/>
        </w:rPr>
      </w:pPr>
      <w:r>
        <w:rPr>
          <w:bCs/>
        </w:rPr>
        <w:t>In the matter between:</w:t>
      </w:r>
    </w:p>
    <w:p w14:paraId="040D3E61" w14:textId="77777777" w:rsidR="005150BC" w:rsidRDefault="005150BC" w:rsidP="005150BC">
      <w:pPr>
        <w:pStyle w:val="Parties"/>
        <w:rPr>
          <w:bCs/>
        </w:rPr>
      </w:pPr>
    </w:p>
    <w:p w14:paraId="4B40B3D6" w14:textId="3783B36D" w:rsidR="00F950DF" w:rsidRDefault="00F950DF" w:rsidP="00F950DF">
      <w:pPr>
        <w:pStyle w:val="Parties"/>
        <w:jc w:val="left"/>
        <w:rPr>
          <w:b/>
        </w:rPr>
      </w:pPr>
      <w:r>
        <w:rPr>
          <w:b/>
        </w:rPr>
        <w:t xml:space="preserve">ANELE KWABABA                                                                     </w:t>
      </w:r>
      <w:r>
        <w:rPr>
          <w:bCs/>
        </w:rPr>
        <w:t>First Applicant</w:t>
      </w:r>
      <w:r>
        <w:rPr>
          <w:b/>
        </w:rPr>
        <w:t xml:space="preserve">    </w:t>
      </w:r>
    </w:p>
    <w:p w14:paraId="0A27E860" w14:textId="77777777" w:rsidR="00F950DF" w:rsidRDefault="00F950DF" w:rsidP="00F950DF">
      <w:pPr>
        <w:pStyle w:val="Parties"/>
        <w:jc w:val="left"/>
        <w:rPr>
          <w:b/>
        </w:rPr>
      </w:pPr>
    </w:p>
    <w:p w14:paraId="64217515" w14:textId="77777777" w:rsidR="00F950DF" w:rsidRDefault="00F950DF" w:rsidP="00F950DF">
      <w:pPr>
        <w:pStyle w:val="Parties"/>
        <w:jc w:val="left"/>
        <w:rPr>
          <w:b/>
        </w:rPr>
      </w:pPr>
      <w:r>
        <w:rPr>
          <w:b/>
        </w:rPr>
        <w:t>ALL OTHER OCCUPIERS OF UNIT 30 DOOR A3-06</w:t>
      </w:r>
    </w:p>
    <w:p w14:paraId="0A87DB94" w14:textId="7AD12ABE" w:rsidR="00F950DF" w:rsidRDefault="00F950DF" w:rsidP="00F950DF">
      <w:pPr>
        <w:pStyle w:val="Parties"/>
        <w:jc w:val="left"/>
        <w:rPr>
          <w:b/>
        </w:rPr>
      </w:pPr>
      <w:r>
        <w:rPr>
          <w:b/>
        </w:rPr>
        <w:t xml:space="preserve">HILL OF GOOD HOPE, </w:t>
      </w:r>
      <w:r w:rsidR="00FB2F49">
        <w:rPr>
          <w:b/>
        </w:rPr>
        <w:t>[...]</w:t>
      </w:r>
      <w:r>
        <w:rPr>
          <w:b/>
        </w:rPr>
        <w:t xml:space="preserve"> </w:t>
      </w:r>
      <w:r w:rsidR="00FB2F49">
        <w:rPr>
          <w:b/>
        </w:rPr>
        <w:t>L[...]</w:t>
      </w:r>
      <w:r>
        <w:rPr>
          <w:b/>
        </w:rPr>
        <w:t xml:space="preserve"> ROAD</w:t>
      </w:r>
    </w:p>
    <w:p w14:paraId="3779A8A2" w14:textId="78AB63C1" w:rsidR="005150BC" w:rsidRPr="00F950DF" w:rsidRDefault="00F950DF" w:rsidP="00F950DF">
      <w:pPr>
        <w:pStyle w:val="Parties"/>
        <w:jc w:val="left"/>
        <w:rPr>
          <w:bCs/>
        </w:rPr>
      </w:pPr>
      <w:r>
        <w:rPr>
          <w:b/>
        </w:rPr>
        <w:t xml:space="preserve">ERAND GARDENS EXT 106, MIDRAND                              </w:t>
      </w:r>
      <w:r>
        <w:rPr>
          <w:bCs/>
        </w:rPr>
        <w:t>Second Applicant</w:t>
      </w:r>
      <w:r>
        <w:rPr>
          <w:b/>
        </w:rPr>
        <w:t xml:space="preserve">            </w:t>
      </w:r>
    </w:p>
    <w:p w14:paraId="0CF0C501" w14:textId="77777777" w:rsidR="005150BC" w:rsidRDefault="005150BC" w:rsidP="005150BC">
      <w:pPr>
        <w:pStyle w:val="Parties"/>
        <w:jc w:val="left"/>
        <w:rPr>
          <w:bCs/>
        </w:rPr>
      </w:pPr>
    </w:p>
    <w:p w14:paraId="3DBD1DF1" w14:textId="02A5D344" w:rsidR="005150BC" w:rsidRDefault="005150BC" w:rsidP="005150BC">
      <w:pPr>
        <w:pStyle w:val="Parties"/>
        <w:jc w:val="left"/>
        <w:rPr>
          <w:bCs/>
        </w:rPr>
      </w:pPr>
      <w:r>
        <w:rPr>
          <w:bCs/>
        </w:rPr>
        <w:t>and</w:t>
      </w:r>
    </w:p>
    <w:p w14:paraId="0FFD77C6" w14:textId="77777777" w:rsidR="005150BC" w:rsidRDefault="005150BC" w:rsidP="005150BC">
      <w:pPr>
        <w:pStyle w:val="Parties"/>
        <w:jc w:val="left"/>
        <w:rPr>
          <w:bCs/>
        </w:rPr>
      </w:pPr>
    </w:p>
    <w:p w14:paraId="3DE965AE" w14:textId="73E75587" w:rsidR="005150BC" w:rsidRDefault="00F950DF" w:rsidP="00F950DF">
      <w:pPr>
        <w:pStyle w:val="Parties"/>
        <w:jc w:val="left"/>
        <w:rPr>
          <w:bCs/>
        </w:rPr>
      </w:pPr>
      <w:r>
        <w:rPr>
          <w:b/>
        </w:rPr>
        <w:t xml:space="preserve">YANDISA INVESTMENT PROPERTIES (PTY) LTD             </w:t>
      </w:r>
      <w:r>
        <w:rPr>
          <w:bCs/>
        </w:rPr>
        <w:t>First Respondent</w:t>
      </w:r>
    </w:p>
    <w:p w14:paraId="08605CEE" w14:textId="77777777" w:rsidR="00F950DF" w:rsidRDefault="00F950DF" w:rsidP="00F950DF">
      <w:pPr>
        <w:pStyle w:val="Parties"/>
        <w:jc w:val="left"/>
        <w:rPr>
          <w:bCs/>
        </w:rPr>
      </w:pPr>
    </w:p>
    <w:p w14:paraId="047E155D" w14:textId="5A5E0784" w:rsidR="00F950DF" w:rsidRDefault="00F950DF" w:rsidP="00F950DF">
      <w:pPr>
        <w:pStyle w:val="Parties"/>
        <w:jc w:val="left"/>
        <w:rPr>
          <w:b/>
        </w:rPr>
      </w:pPr>
      <w:r>
        <w:rPr>
          <w:b/>
        </w:rPr>
        <w:t>THE CITY OF JOHANNESBURG</w:t>
      </w:r>
    </w:p>
    <w:p w14:paraId="686B3C93" w14:textId="20F59CD8" w:rsidR="00F950DF" w:rsidRDefault="00F950DF" w:rsidP="00F950DF">
      <w:pPr>
        <w:pStyle w:val="Parties"/>
        <w:jc w:val="left"/>
        <w:rPr>
          <w:bCs/>
        </w:rPr>
      </w:pPr>
      <w:r>
        <w:rPr>
          <w:b/>
        </w:rPr>
        <w:t xml:space="preserve">METRO MUNICIPALITY                                                    </w:t>
      </w:r>
      <w:r>
        <w:rPr>
          <w:bCs/>
        </w:rPr>
        <w:t>Second Respondent</w:t>
      </w:r>
    </w:p>
    <w:p w14:paraId="727D7BA2" w14:textId="77777777" w:rsidR="00F950DF" w:rsidRDefault="00F950DF" w:rsidP="00F950DF">
      <w:pPr>
        <w:pStyle w:val="Parties"/>
        <w:jc w:val="left"/>
        <w:rPr>
          <w:bCs/>
        </w:rPr>
      </w:pPr>
    </w:p>
    <w:p w14:paraId="4D2D8C32" w14:textId="6C60C949" w:rsidR="00F950DF" w:rsidRDefault="00F950DF" w:rsidP="00F950DF">
      <w:pPr>
        <w:pStyle w:val="Parties"/>
        <w:jc w:val="left"/>
        <w:rPr>
          <w:b/>
        </w:rPr>
      </w:pPr>
      <w:r>
        <w:rPr>
          <w:b/>
        </w:rPr>
        <w:t>THE SHERIFF OF THE HIGH COURT</w:t>
      </w:r>
    </w:p>
    <w:p w14:paraId="03846FE4" w14:textId="625EB705" w:rsidR="00F950DF" w:rsidRPr="00F950DF" w:rsidRDefault="00F950DF" w:rsidP="00F950DF">
      <w:pPr>
        <w:pStyle w:val="Parties"/>
        <w:jc w:val="left"/>
        <w:rPr>
          <w:bCs/>
        </w:rPr>
      </w:pPr>
      <w:r>
        <w:rPr>
          <w:b/>
        </w:rPr>
        <w:t xml:space="preserve">(HALFWAY HOUSE </w:t>
      </w:r>
      <w:proofErr w:type="gramStart"/>
      <w:r>
        <w:rPr>
          <w:b/>
        </w:rPr>
        <w:t xml:space="preserve">ALEXANDRA)   </w:t>
      </w:r>
      <w:proofErr w:type="gramEnd"/>
      <w:r>
        <w:rPr>
          <w:b/>
        </w:rPr>
        <w:t xml:space="preserve">                                   </w:t>
      </w:r>
      <w:r>
        <w:rPr>
          <w:bCs/>
        </w:rPr>
        <w:t>Third Respondent</w:t>
      </w:r>
    </w:p>
    <w:p w14:paraId="64AED457" w14:textId="77777777" w:rsidR="004B5128" w:rsidRDefault="004B5128" w:rsidP="004B5128">
      <w:pPr>
        <w:pStyle w:val="Parties"/>
      </w:pPr>
    </w:p>
    <w:p w14:paraId="2214FBFA" w14:textId="35499451" w:rsidR="00B91CD4" w:rsidRDefault="00B91CD4" w:rsidP="004B5128">
      <w:pPr>
        <w:pStyle w:val="Parties"/>
        <w:rPr>
          <w:b/>
        </w:rPr>
      </w:pPr>
      <w:r w:rsidRPr="00B91CD4">
        <w:rPr>
          <w:b/>
        </w:rPr>
        <w:t>Coram</w:t>
      </w:r>
      <w:r w:rsidR="003C2813" w:rsidRPr="003C2813">
        <w:rPr>
          <w:b/>
        </w:rPr>
        <w:t>:</w:t>
      </w:r>
      <w:r w:rsidR="008130CA">
        <w:rPr>
          <w:b/>
        </w:rPr>
        <w:t xml:space="preserve"> </w:t>
      </w:r>
      <w:proofErr w:type="spellStart"/>
      <w:r>
        <w:rPr>
          <w:b/>
        </w:rPr>
        <w:t>Maenetje</w:t>
      </w:r>
      <w:proofErr w:type="spellEnd"/>
      <w:r>
        <w:rPr>
          <w:b/>
        </w:rPr>
        <w:t xml:space="preserve"> AJ</w:t>
      </w:r>
    </w:p>
    <w:p w14:paraId="710DE16B" w14:textId="77777777" w:rsidR="00F950DF" w:rsidRDefault="00F950DF" w:rsidP="008130CA">
      <w:pPr>
        <w:pStyle w:val="Parties"/>
        <w:rPr>
          <w:b/>
        </w:rPr>
      </w:pPr>
    </w:p>
    <w:p w14:paraId="3C8DCC98" w14:textId="618FCB69" w:rsidR="00F950DF" w:rsidRPr="00BF1E0D" w:rsidRDefault="00F950DF" w:rsidP="00F950DF">
      <w:pPr>
        <w:pStyle w:val="Parties"/>
        <w:rPr>
          <w:bCs/>
          <w:sz w:val="22"/>
          <w:szCs w:val="22"/>
        </w:rPr>
      </w:pPr>
      <w:r w:rsidRPr="00BF1E0D">
        <w:rPr>
          <w:bCs/>
          <w:sz w:val="22"/>
          <w:szCs w:val="22"/>
        </w:rPr>
        <w:t>This judgment was handed down electronically by circulation to the parties’ legal representatives by email</w:t>
      </w:r>
      <w:r>
        <w:rPr>
          <w:bCs/>
          <w:sz w:val="22"/>
          <w:szCs w:val="22"/>
        </w:rPr>
        <w:t xml:space="preserve"> and uploading on </w:t>
      </w:r>
      <w:proofErr w:type="spellStart"/>
      <w:r>
        <w:rPr>
          <w:bCs/>
          <w:sz w:val="22"/>
          <w:szCs w:val="22"/>
        </w:rPr>
        <w:t>Caselines</w:t>
      </w:r>
      <w:proofErr w:type="spellEnd"/>
      <w:r w:rsidRPr="00BF1E0D">
        <w:rPr>
          <w:bCs/>
          <w:sz w:val="22"/>
          <w:szCs w:val="22"/>
        </w:rPr>
        <w:t>. The date and time for hand-down is deemed to be 10h00 on </w:t>
      </w:r>
      <w:r>
        <w:rPr>
          <w:bCs/>
          <w:sz w:val="22"/>
          <w:szCs w:val="22"/>
        </w:rPr>
        <w:t>6 June 2024.</w:t>
      </w:r>
    </w:p>
    <w:p w14:paraId="134BB14E" w14:textId="17995992" w:rsidR="003C2813" w:rsidRDefault="003C2813" w:rsidP="008130CA">
      <w:pPr>
        <w:pStyle w:val="Parties"/>
      </w:pPr>
      <w:r w:rsidRPr="003C2813">
        <w:rPr>
          <w:b/>
        </w:rPr>
        <w:t xml:space="preserve"> </w:t>
      </w:r>
      <w:r w:rsidR="00EC2D02">
        <w:t>______________________________________________________________</w:t>
      </w:r>
    </w:p>
    <w:p w14:paraId="59DDC87D" w14:textId="77777777" w:rsidR="00EC2D02" w:rsidRDefault="00EC2D02" w:rsidP="00EC2D02">
      <w:pPr>
        <w:pStyle w:val="1"/>
        <w:numPr>
          <w:ilvl w:val="0"/>
          <w:numId w:val="0"/>
        </w:numPr>
        <w:spacing w:before="0" w:line="240" w:lineRule="auto"/>
        <w:jc w:val="center"/>
        <w:rPr>
          <w:b/>
          <w:bCs/>
        </w:rPr>
      </w:pPr>
    </w:p>
    <w:p w14:paraId="2C61445E" w14:textId="77777777" w:rsidR="00EC2D02" w:rsidRDefault="00EC2D02" w:rsidP="00EC2D02">
      <w:pPr>
        <w:pStyle w:val="1"/>
        <w:numPr>
          <w:ilvl w:val="0"/>
          <w:numId w:val="0"/>
        </w:numPr>
        <w:spacing w:before="0" w:line="240" w:lineRule="auto"/>
        <w:jc w:val="center"/>
        <w:rPr>
          <w:b/>
          <w:bCs/>
        </w:rPr>
      </w:pPr>
      <w:r>
        <w:rPr>
          <w:b/>
          <w:bCs/>
        </w:rPr>
        <w:t>JUDGMENT</w:t>
      </w:r>
    </w:p>
    <w:p w14:paraId="2A88A5A3" w14:textId="77777777" w:rsidR="00EC2D02" w:rsidRPr="00EC2D02" w:rsidRDefault="00EC2D02" w:rsidP="00EC2D02">
      <w:pPr>
        <w:pStyle w:val="1"/>
        <w:numPr>
          <w:ilvl w:val="0"/>
          <w:numId w:val="0"/>
        </w:numPr>
        <w:spacing w:before="0" w:line="240" w:lineRule="auto"/>
        <w:jc w:val="left"/>
      </w:pPr>
      <w:r>
        <w:t>______________________________________________________________</w:t>
      </w:r>
    </w:p>
    <w:p w14:paraId="57472FBC" w14:textId="77777777" w:rsidR="0089491C" w:rsidRDefault="0089491C" w:rsidP="003C2813">
      <w:pPr>
        <w:pStyle w:val="1"/>
        <w:numPr>
          <w:ilvl w:val="0"/>
          <w:numId w:val="0"/>
        </w:numPr>
        <w:spacing w:before="120" w:line="240" w:lineRule="auto"/>
        <w:rPr>
          <w:b/>
          <w:bCs/>
        </w:rPr>
      </w:pPr>
    </w:p>
    <w:p w14:paraId="6C1EEA23" w14:textId="62CBB92C" w:rsidR="008130CA" w:rsidRDefault="008130CA" w:rsidP="003C2813">
      <w:pPr>
        <w:pStyle w:val="1"/>
        <w:numPr>
          <w:ilvl w:val="0"/>
          <w:numId w:val="0"/>
        </w:numPr>
        <w:spacing w:before="120" w:line="240" w:lineRule="auto"/>
        <w:rPr>
          <w:b/>
          <w:bCs/>
          <w:u w:val="single"/>
        </w:rPr>
      </w:pPr>
      <w:proofErr w:type="spellStart"/>
      <w:r w:rsidRPr="008130CA">
        <w:rPr>
          <w:b/>
          <w:bCs/>
          <w:u w:val="single"/>
        </w:rPr>
        <w:t>Ma</w:t>
      </w:r>
      <w:r w:rsidR="00783170">
        <w:rPr>
          <w:b/>
          <w:bCs/>
          <w:u w:val="single"/>
        </w:rPr>
        <w:t>enetje</w:t>
      </w:r>
      <w:proofErr w:type="spellEnd"/>
      <w:r w:rsidR="00783170">
        <w:rPr>
          <w:b/>
          <w:bCs/>
          <w:u w:val="single"/>
        </w:rPr>
        <w:t xml:space="preserve"> A</w:t>
      </w:r>
      <w:r w:rsidRPr="008130CA">
        <w:rPr>
          <w:b/>
          <w:bCs/>
          <w:u w:val="single"/>
        </w:rPr>
        <w:t>J:</w:t>
      </w:r>
    </w:p>
    <w:p w14:paraId="2BAE5E4D" w14:textId="77777777" w:rsidR="00376D39" w:rsidRDefault="00376D39" w:rsidP="003C2813">
      <w:pPr>
        <w:pStyle w:val="1"/>
        <w:numPr>
          <w:ilvl w:val="0"/>
          <w:numId w:val="0"/>
        </w:numPr>
        <w:spacing w:before="120" w:line="240" w:lineRule="auto"/>
        <w:rPr>
          <w:b/>
          <w:bCs/>
          <w:u w:val="single"/>
        </w:rPr>
      </w:pPr>
    </w:p>
    <w:p w14:paraId="368CD5D6" w14:textId="73C95B88" w:rsidR="00376D39" w:rsidRPr="00376D39" w:rsidRDefault="00376D39" w:rsidP="003C2813">
      <w:pPr>
        <w:pStyle w:val="1"/>
        <w:numPr>
          <w:ilvl w:val="0"/>
          <w:numId w:val="0"/>
        </w:numPr>
        <w:spacing w:before="120" w:line="240" w:lineRule="auto"/>
        <w:rPr>
          <w:u w:val="single"/>
        </w:rPr>
      </w:pPr>
      <w:r w:rsidRPr="00376D39">
        <w:rPr>
          <w:u w:val="single"/>
        </w:rPr>
        <w:t>Introduction</w:t>
      </w:r>
    </w:p>
    <w:p w14:paraId="7D41BC64" w14:textId="5DE54708" w:rsidR="00E6269C" w:rsidRDefault="00B47B16" w:rsidP="00E6269C">
      <w:pPr>
        <w:pStyle w:val="1"/>
        <w:numPr>
          <w:ilvl w:val="0"/>
          <w:numId w:val="0"/>
        </w:numPr>
        <w:ind w:left="567" w:hanging="567"/>
      </w:pPr>
      <w:r>
        <w:t>[1]</w:t>
      </w:r>
      <w:r w:rsidR="0046785E">
        <w:tab/>
      </w:r>
      <w:r w:rsidR="00E6269C">
        <w:t>On 19 March 2014 this Court, per Van Aswegen AJ, granted an order against the applicants as follows:</w:t>
      </w:r>
    </w:p>
    <w:p w14:paraId="7D6181B6" w14:textId="52C58178" w:rsidR="00E6269C" w:rsidRDefault="00E6269C" w:rsidP="00E6269C">
      <w:pPr>
        <w:pStyle w:val="1"/>
        <w:numPr>
          <w:ilvl w:val="0"/>
          <w:numId w:val="0"/>
        </w:numPr>
        <w:spacing w:before="120" w:after="120" w:line="240" w:lineRule="exact"/>
        <w:ind w:left="2160" w:hanging="720"/>
      </w:pPr>
      <w:r>
        <w:t>“1.</w:t>
      </w:r>
      <w:r>
        <w:tab/>
        <w:t xml:space="preserve">The First to the Second Respondents and all those occupying through and/or under them in occupation of the property located at Unit 30 Door A3-06 Hill of Good Hope, </w:t>
      </w:r>
      <w:r w:rsidR="00FB2F49">
        <w:t>[...]</w:t>
      </w:r>
      <w:r>
        <w:t xml:space="preserve"> </w:t>
      </w:r>
      <w:r w:rsidR="00FB2F49">
        <w:t>L[...]</w:t>
      </w:r>
      <w:r>
        <w:t xml:space="preserve"> Road, Erand Gardens Extension 106, Midrand are hereby evicted from the property.</w:t>
      </w:r>
    </w:p>
    <w:p w14:paraId="638BC5A8" w14:textId="4AD9E610" w:rsidR="00E6269C" w:rsidRDefault="00E6269C" w:rsidP="00E6269C">
      <w:pPr>
        <w:pStyle w:val="1"/>
        <w:numPr>
          <w:ilvl w:val="0"/>
          <w:numId w:val="0"/>
        </w:numPr>
        <w:spacing w:before="120" w:after="120" w:line="240" w:lineRule="exact"/>
        <w:ind w:left="2160" w:hanging="720"/>
      </w:pPr>
      <w:r>
        <w:t>2.</w:t>
      </w:r>
      <w:r>
        <w:tab/>
        <w:t xml:space="preserve">The First to the Second Respondents are ordered to vacate the </w:t>
      </w:r>
      <w:proofErr w:type="gramStart"/>
      <w:r>
        <w:t>above mentioned</w:t>
      </w:r>
      <w:proofErr w:type="gramEnd"/>
      <w:r>
        <w:t xml:space="preserve"> property on or before 1 May 2024.</w:t>
      </w:r>
    </w:p>
    <w:p w14:paraId="6F04A753" w14:textId="02563F45" w:rsidR="00E6269C" w:rsidRDefault="00E6269C" w:rsidP="00E6269C">
      <w:pPr>
        <w:pStyle w:val="1"/>
        <w:numPr>
          <w:ilvl w:val="0"/>
          <w:numId w:val="0"/>
        </w:numPr>
        <w:spacing w:before="120" w:after="120" w:line="240" w:lineRule="exact"/>
        <w:ind w:left="2160" w:hanging="720"/>
      </w:pPr>
      <w:r>
        <w:t>3.</w:t>
      </w:r>
      <w:r>
        <w:tab/>
      </w:r>
      <w:proofErr w:type="gramStart"/>
      <w:r>
        <w:t>In the event that</w:t>
      </w:r>
      <w:proofErr w:type="gramEnd"/>
      <w:r>
        <w:t>, the First and Second Respondents fail to vacate the property on or before 1 May 2024, the Sheriff and/or his Deputy is authorised and directed, from 2 May 2024, to evict the Respondents from the property.</w:t>
      </w:r>
    </w:p>
    <w:p w14:paraId="7135AD17" w14:textId="47311EC3" w:rsidR="00E6269C" w:rsidRDefault="00E6269C" w:rsidP="00E6269C">
      <w:pPr>
        <w:pStyle w:val="1"/>
        <w:numPr>
          <w:ilvl w:val="0"/>
          <w:numId w:val="0"/>
        </w:numPr>
        <w:spacing w:before="120" w:after="120" w:line="240" w:lineRule="exact"/>
        <w:ind w:left="2160" w:hanging="720"/>
      </w:pPr>
      <w:r>
        <w:t>4.</w:t>
      </w:r>
      <w:r>
        <w:tab/>
        <w:t>The First Respondent is hereby directed to pay the costs of this application, such costs to include the costs of the application in terms of Section 4(2) of the Prevention of Illegal Eviction from and Unlawful Occupation of Land Act 19 of 1998.”</w:t>
      </w:r>
    </w:p>
    <w:p w14:paraId="14EB8D5B" w14:textId="2B9A93E2" w:rsidR="00E6269C" w:rsidRDefault="00F950DF" w:rsidP="00E6269C">
      <w:pPr>
        <w:pStyle w:val="1"/>
        <w:numPr>
          <w:ilvl w:val="0"/>
          <w:numId w:val="0"/>
        </w:numPr>
        <w:ind w:left="567" w:hanging="567"/>
      </w:pPr>
      <w:r>
        <w:t>[2]</w:t>
      </w:r>
      <w:r w:rsidR="00E6269C">
        <w:tab/>
        <w:t>There are no written reasons or written judgment for the order granted.</w:t>
      </w:r>
    </w:p>
    <w:p w14:paraId="71341E46" w14:textId="5F7309F5" w:rsidR="00D36FD7" w:rsidRDefault="00D36FD7" w:rsidP="00E6269C">
      <w:pPr>
        <w:pStyle w:val="1"/>
        <w:numPr>
          <w:ilvl w:val="0"/>
          <w:numId w:val="0"/>
        </w:numPr>
        <w:ind w:left="567" w:hanging="567"/>
      </w:pPr>
      <w:r>
        <w:t>[3]</w:t>
      </w:r>
      <w:r>
        <w:tab/>
        <w:t>The applicants have brought an application for the rescission of the above order.  They seek an interim interdict on an urgent basis restraining the enforcement of the above order pending the final determination of the rescission application.</w:t>
      </w:r>
    </w:p>
    <w:p w14:paraId="39B87809" w14:textId="576202AD" w:rsidR="00F950DF" w:rsidRDefault="00F950DF" w:rsidP="00783170">
      <w:pPr>
        <w:pStyle w:val="1"/>
        <w:numPr>
          <w:ilvl w:val="0"/>
          <w:numId w:val="0"/>
        </w:numPr>
        <w:ind w:left="567" w:hanging="567"/>
        <w:rPr>
          <w:lang w:val="en-ZA"/>
        </w:rPr>
      </w:pPr>
      <w:r>
        <w:t>[</w:t>
      </w:r>
      <w:r w:rsidR="00D36FD7">
        <w:t>4</w:t>
      </w:r>
      <w:r>
        <w:t>]</w:t>
      </w:r>
      <w:r w:rsidR="00454378">
        <w:rPr>
          <w:lang w:val="en-ZA"/>
        </w:rPr>
        <w:t xml:space="preserve"> </w:t>
      </w:r>
      <w:r w:rsidR="00E6269C">
        <w:rPr>
          <w:lang w:val="en-ZA"/>
        </w:rPr>
        <w:tab/>
        <w:t xml:space="preserve">It is common cause that the applicants were not </w:t>
      </w:r>
      <w:r w:rsidR="00D51E89">
        <w:rPr>
          <w:lang w:val="en-ZA"/>
        </w:rPr>
        <w:t xml:space="preserve">present in court nor </w:t>
      </w:r>
      <w:r w:rsidR="00E6269C">
        <w:rPr>
          <w:lang w:val="en-ZA"/>
        </w:rPr>
        <w:t xml:space="preserve">represented </w:t>
      </w:r>
      <w:r w:rsidR="00D51E89">
        <w:rPr>
          <w:lang w:val="en-ZA"/>
        </w:rPr>
        <w:t xml:space="preserve">by their legal representatives in court </w:t>
      </w:r>
      <w:r w:rsidR="00E6269C">
        <w:rPr>
          <w:lang w:val="en-ZA"/>
        </w:rPr>
        <w:t xml:space="preserve">when the matter was </w:t>
      </w:r>
      <w:r w:rsidR="00E6269C">
        <w:rPr>
          <w:lang w:val="en-ZA"/>
        </w:rPr>
        <w:lastRenderedPageBreak/>
        <w:t xml:space="preserve">heard before Van Aswegen </w:t>
      </w:r>
      <w:r w:rsidR="00D51E89">
        <w:rPr>
          <w:lang w:val="en-ZA"/>
        </w:rPr>
        <w:t>A</w:t>
      </w:r>
      <w:r w:rsidR="00E6269C">
        <w:rPr>
          <w:lang w:val="en-ZA"/>
        </w:rPr>
        <w:t xml:space="preserve">J and the order granted on 19 March 2024.  They had filed affidavits.  </w:t>
      </w:r>
    </w:p>
    <w:p w14:paraId="4DF4BEFD" w14:textId="77777777" w:rsidR="00C460C0" w:rsidRDefault="00E6269C" w:rsidP="00783170">
      <w:pPr>
        <w:pStyle w:val="1"/>
        <w:numPr>
          <w:ilvl w:val="0"/>
          <w:numId w:val="0"/>
        </w:numPr>
        <w:ind w:left="567" w:hanging="567"/>
        <w:rPr>
          <w:lang w:val="en-ZA"/>
        </w:rPr>
      </w:pPr>
      <w:r>
        <w:rPr>
          <w:lang w:val="en-ZA"/>
        </w:rPr>
        <w:t>[</w:t>
      </w:r>
      <w:r w:rsidR="00D36FD7">
        <w:rPr>
          <w:lang w:val="en-ZA"/>
        </w:rPr>
        <w:t>5</w:t>
      </w:r>
      <w:r>
        <w:rPr>
          <w:lang w:val="en-ZA"/>
        </w:rPr>
        <w:t>]</w:t>
      </w:r>
      <w:r>
        <w:rPr>
          <w:lang w:val="en-ZA"/>
        </w:rPr>
        <w:tab/>
        <w:t>The applicants provide a reasonable explanation for their failure</w:t>
      </w:r>
      <w:r w:rsidR="00C460C0">
        <w:rPr>
          <w:lang w:val="en-ZA"/>
        </w:rPr>
        <w:t xml:space="preserve"> and</w:t>
      </w:r>
      <w:r>
        <w:rPr>
          <w:lang w:val="en-ZA"/>
        </w:rPr>
        <w:t xml:space="preserve"> </w:t>
      </w:r>
      <w:r w:rsidR="00C460C0">
        <w:rPr>
          <w:lang w:val="en-ZA"/>
        </w:rPr>
        <w:t xml:space="preserve">that of </w:t>
      </w:r>
      <w:r>
        <w:rPr>
          <w:lang w:val="en-ZA"/>
        </w:rPr>
        <w:t>their legal representatives</w:t>
      </w:r>
      <w:r w:rsidR="00C460C0">
        <w:rPr>
          <w:lang w:val="en-ZA"/>
        </w:rPr>
        <w:t xml:space="preserve"> </w:t>
      </w:r>
      <w:r>
        <w:rPr>
          <w:lang w:val="en-ZA"/>
        </w:rPr>
        <w:t xml:space="preserve">to attend court on 19 March 2024.  </w:t>
      </w:r>
    </w:p>
    <w:p w14:paraId="78CA867F" w14:textId="2524B522" w:rsidR="00E6269C" w:rsidRDefault="00C460C0" w:rsidP="00783170">
      <w:pPr>
        <w:pStyle w:val="1"/>
        <w:numPr>
          <w:ilvl w:val="0"/>
          <w:numId w:val="0"/>
        </w:numPr>
        <w:ind w:left="567" w:hanging="567"/>
        <w:rPr>
          <w:lang w:val="en-ZA"/>
        </w:rPr>
      </w:pPr>
      <w:r>
        <w:rPr>
          <w:lang w:val="en-ZA"/>
        </w:rPr>
        <w:t>[6]</w:t>
      </w:r>
      <w:r>
        <w:rPr>
          <w:lang w:val="en-ZA"/>
        </w:rPr>
        <w:tab/>
      </w:r>
      <w:r w:rsidR="00D36FD7">
        <w:rPr>
          <w:lang w:val="en-ZA"/>
        </w:rPr>
        <w:t xml:space="preserve">The matter has a rather long history.  The history relevant to the order being granted in the absence of the applicants and their legal representatives is straightforward.  The first respondent applied for an opposed motion date in December 2023 for the hearing of </w:t>
      </w:r>
      <w:r>
        <w:rPr>
          <w:lang w:val="en-ZA"/>
        </w:rPr>
        <w:t xml:space="preserve">its </w:t>
      </w:r>
      <w:r w:rsidR="00D36FD7">
        <w:rPr>
          <w:lang w:val="en-ZA"/>
        </w:rPr>
        <w:t>eviction application</w:t>
      </w:r>
      <w:r>
        <w:rPr>
          <w:lang w:val="en-ZA"/>
        </w:rPr>
        <w:t xml:space="preserve"> against the applicants</w:t>
      </w:r>
      <w:r w:rsidR="00D36FD7">
        <w:rPr>
          <w:lang w:val="en-ZA"/>
        </w:rPr>
        <w:t xml:space="preserve">.  The application was enrolled on the opposed motion roll for 18 March 2024.  The opposed motion roll for Van Aswegen AJ for that week was published.  The eviction matter by the first respondent was allocated for hearing on 22 March 2024.  The applicants and their legal representatives prepared to argue the case on 22 March 2024 as per Van Aswegen AJ’s allocation.  Unbeknown to the applicants and their legal representatives the matter was called and argued on 19 March 2024 in their absence.  They were not notified of the change of allocation for hearing from 22 March 2024 to 19 March 2024. But the first respondent’s legal representatives were fully aware that the application was opposed.  They had the details of the applicants’ legal representatives but did not contact them to notify them of the change </w:t>
      </w:r>
      <w:r w:rsidR="00425AB9">
        <w:rPr>
          <w:lang w:val="en-ZA"/>
        </w:rPr>
        <w:t xml:space="preserve">when the matter was called on 19 March 2024 for hearing. </w:t>
      </w:r>
    </w:p>
    <w:p w14:paraId="24B3934D" w14:textId="1E572FCA" w:rsidR="00D36FD7" w:rsidRDefault="00D36FD7" w:rsidP="00783170">
      <w:pPr>
        <w:pStyle w:val="1"/>
        <w:numPr>
          <w:ilvl w:val="0"/>
          <w:numId w:val="0"/>
        </w:numPr>
        <w:ind w:left="567" w:hanging="567"/>
        <w:rPr>
          <w:lang w:val="en-ZA"/>
        </w:rPr>
      </w:pPr>
      <w:r>
        <w:rPr>
          <w:lang w:val="en-ZA"/>
        </w:rPr>
        <w:t>[</w:t>
      </w:r>
      <w:r w:rsidR="00521AD9">
        <w:rPr>
          <w:lang w:val="en-ZA"/>
        </w:rPr>
        <w:t>7</w:t>
      </w:r>
      <w:r>
        <w:rPr>
          <w:lang w:val="en-ZA"/>
        </w:rPr>
        <w:t>]</w:t>
      </w:r>
      <w:r>
        <w:rPr>
          <w:lang w:val="en-ZA"/>
        </w:rPr>
        <w:tab/>
        <w:t xml:space="preserve">It is common cause that the applicants have not yet been evicted in terms of the court order by Van Aswegen AJ.  Their eviction may take place at </w:t>
      </w:r>
      <w:r>
        <w:rPr>
          <w:lang w:val="en-ZA"/>
        </w:rPr>
        <w:lastRenderedPageBreak/>
        <w:t xml:space="preserve">any time </w:t>
      </w:r>
      <w:r w:rsidR="00521AD9">
        <w:rPr>
          <w:lang w:val="en-ZA"/>
        </w:rPr>
        <w:t xml:space="preserve">if no interim </w:t>
      </w:r>
      <w:r>
        <w:rPr>
          <w:lang w:val="en-ZA"/>
        </w:rPr>
        <w:t xml:space="preserve">interdict </w:t>
      </w:r>
      <w:r w:rsidR="00521AD9">
        <w:rPr>
          <w:lang w:val="en-ZA"/>
        </w:rPr>
        <w:t xml:space="preserve">is granted restraining </w:t>
      </w:r>
      <w:r>
        <w:rPr>
          <w:lang w:val="en-ZA"/>
        </w:rPr>
        <w:t xml:space="preserve">their eviction pending the </w:t>
      </w:r>
      <w:proofErr w:type="gramStart"/>
      <w:r>
        <w:rPr>
          <w:lang w:val="en-ZA"/>
        </w:rPr>
        <w:t>final outcome</w:t>
      </w:r>
      <w:proofErr w:type="gramEnd"/>
      <w:r>
        <w:rPr>
          <w:lang w:val="en-ZA"/>
        </w:rPr>
        <w:t xml:space="preserve"> of their rescission application.  </w:t>
      </w:r>
    </w:p>
    <w:p w14:paraId="6284B9FA" w14:textId="3F355977" w:rsidR="00740B98" w:rsidRDefault="00740B98" w:rsidP="00783170">
      <w:pPr>
        <w:pStyle w:val="1"/>
        <w:numPr>
          <w:ilvl w:val="0"/>
          <w:numId w:val="0"/>
        </w:numPr>
        <w:ind w:left="567" w:hanging="567"/>
        <w:rPr>
          <w:lang w:val="en-ZA"/>
        </w:rPr>
      </w:pPr>
      <w:r>
        <w:rPr>
          <w:lang w:val="en-ZA"/>
        </w:rPr>
        <w:t>[</w:t>
      </w:r>
      <w:r w:rsidR="00BD2188">
        <w:rPr>
          <w:lang w:val="en-ZA"/>
        </w:rPr>
        <w:t>8</w:t>
      </w:r>
      <w:r>
        <w:rPr>
          <w:lang w:val="en-ZA"/>
        </w:rPr>
        <w:t>]</w:t>
      </w:r>
      <w:r>
        <w:rPr>
          <w:lang w:val="en-ZA"/>
        </w:rPr>
        <w:tab/>
        <w:t xml:space="preserve">Two issues arise, </w:t>
      </w:r>
      <w:r w:rsidR="00BD2188">
        <w:rPr>
          <w:lang w:val="en-ZA"/>
        </w:rPr>
        <w:t>namely</w:t>
      </w:r>
      <w:r>
        <w:rPr>
          <w:lang w:val="en-ZA"/>
        </w:rPr>
        <w:t>, whether the matter warrants a hearing in the urgent court, and whether the applicants have made out a case for the interim interdict that they seek.</w:t>
      </w:r>
    </w:p>
    <w:p w14:paraId="3E587223" w14:textId="45D1502C" w:rsidR="00740B98" w:rsidRDefault="00740B98" w:rsidP="00783170">
      <w:pPr>
        <w:pStyle w:val="1"/>
        <w:numPr>
          <w:ilvl w:val="0"/>
          <w:numId w:val="0"/>
        </w:numPr>
        <w:ind w:left="567" w:hanging="567"/>
        <w:rPr>
          <w:lang w:val="en-ZA"/>
        </w:rPr>
      </w:pPr>
      <w:r>
        <w:rPr>
          <w:lang w:val="en-ZA"/>
        </w:rPr>
        <w:t>[</w:t>
      </w:r>
      <w:r w:rsidR="009D5E0E">
        <w:rPr>
          <w:lang w:val="en-ZA"/>
        </w:rPr>
        <w:t>9</w:t>
      </w:r>
      <w:r>
        <w:rPr>
          <w:lang w:val="en-ZA"/>
        </w:rPr>
        <w:t>]</w:t>
      </w:r>
      <w:r>
        <w:rPr>
          <w:lang w:val="en-ZA"/>
        </w:rPr>
        <w:tab/>
        <w:t>I deal with the issue of urgency first.</w:t>
      </w:r>
    </w:p>
    <w:p w14:paraId="5F8C5A0E" w14:textId="0095396C" w:rsidR="00740B98" w:rsidRPr="00740B98" w:rsidRDefault="00740B98" w:rsidP="00783170">
      <w:pPr>
        <w:pStyle w:val="1"/>
        <w:numPr>
          <w:ilvl w:val="0"/>
          <w:numId w:val="0"/>
        </w:numPr>
        <w:ind w:left="567" w:hanging="567"/>
        <w:rPr>
          <w:u w:val="single"/>
          <w:lang w:val="en-ZA"/>
        </w:rPr>
      </w:pPr>
      <w:r w:rsidRPr="00740B98">
        <w:rPr>
          <w:u w:val="single"/>
          <w:lang w:val="en-ZA"/>
        </w:rPr>
        <w:t>Urgency</w:t>
      </w:r>
    </w:p>
    <w:p w14:paraId="5FB19012" w14:textId="10C47E73" w:rsidR="00740B98" w:rsidRDefault="00740B98" w:rsidP="00783170">
      <w:pPr>
        <w:pStyle w:val="1"/>
        <w:numPr>
          <w:ilvl w:val="0"/>
          <w:numId w:val="0"/>
        </w:numPr>
        <w:ind w:left="567" w:hanging="567"/>
        <w:rPr>
          <w:lang w:val="en-ZA"/>
        </w:rPr>
      </w:pPr>
      <w:r>
        <w:rPr>
          <w:lang w:val="en-ZA"/>
        </w:rPr>
        <w:t>[</w:t>
      </w:r>
      <w:r w:rsidR="009D5E0E">
        <w:rPr>
          <w:lang w:val="en-ZA"/>
        </w:rPr>
        <w:t>10</w:t>
      </w:r>
      <w:r>
        <w:rPr>
          <w:lang w:val="en-ZA"/>
        </w:rPr>
        <w:t>]</w:t>
      </w:r>
      <w:r w:rsidR="00CB1F63">
        <w:rPr>
          <w:lang w:val="en-ZA"/>
        </w:rPr>
        <w:tab/>
        <w:t xml:space="preserve">The applicants address the issue of urgency in their founding affidavit.  </w:t>
      </w:r>
      <w:r w:rsidR="00631378">
        <w:rPr>
          <w:lang w:val="en-ZA"/>
        </w:rPr>
        <w:t>They say the first and third respondents seek to evict them imminently notwithstanding the</w:t>
      </w:r>
      <w:r w:rsidR="00BD2188">
        <w:rPr>
          <w:lang w:val="en-ZA"/>
        </w:rPr>
        <w:t>ir pending</w:t>
      </w:r>
      <w:r w:rsidR="00631378">
        <w:rPr>
          <w:lang w:val="en-ZA"/>
        </w:rPr>
        <w:t xml:space="preserve"> application for rescission.  The first respondent has delivered a letter to the applicants’ attorneys conveying this.</w:t>
      </w:r>
      <w:r w:rsidR="00C05BA0">
        <w:rPr>
          <w:lang w:val="en-ZA"/>
        </w:rPr>
        <w:t xml:space="preserve">  </w:t>
      </w:r>
      <w:r w:rsidR="00BD2188">
        <w:rPr>
          <w:lang w:val="en-ZA"/>
        </w:rPr>
        <w:t xml:space="preserve">The letter is dated 14 May 2024 and concludes by saying that the respondents will proceed to arrange the eviction of all occupiers.  </w:t>
      </w:r>
      <w:r w:rsidR="00C05BA0">
        <w:rPr>
          <w:lang w:val="en-ZA"/>
        </w:rPr>
        <w:t>The applicants say they have no remedy except the interim interdict.  This is correct because they cannot appeal the order of Van Aswegen AJ since it can be reconsidered by this Court in a rescission application.</w:t>
      </w:r>
      <w:r w:rsidR="00C05BA0">
        <w:rPr>
          <w:rStyle w:val="FootnoteReference"/>
        </w:rPr>
        <w:footnoteReference w:id="1"/>
      </w:r>
      <w:r w:rsidR="00631378">
        <w:rPr>
          <w:lang w:val="en-ZA"/>
        </w:rPr>
        <w:t xml:space="preserve">    </w:t>
      </w:r>
    </w:p>
    <w:p w14:paraId="683FBF81" w14:textId="6A8AC760" w:rsidR="003C3C03" w:rsidRDefault="003C3C03" w:rsidP="00783170">
      <w:pPr>
        <w:pStyle w:val="1"/>
        <w:numPr>
          <w:ilvl w:val="0"/>
          <w:numId w:val="0"/>
        </w:numPr>
        <w:ind w:left="567" w:hanging="567"/>
        <w:rPr>
          <w:lang w:val="en-ZA"/>
        </w:rPr>
      </w:pPr>
      <w:r>
        <w:rPr>
          <w:lang w:val="en-ZA"/>
        </w:rPr>
        <w:t>[1</w:t>
      </w:r>
      <w:r w:rsidR="00B64171">
        <w:rPr>
          <w:lang w:val="en-ZA"/>
        </w:rPr>
        <w:t>1</w:t>
      </w:r>
      <w:r>
        <w:rPr>
          <w:lang w:val="en-ZA"/>
        </w:rPr>
        <w:t>]</w:t>
      </w:r>
      <w:r>
        <w:rPr>
          <w:lang w:val="en-ZA"/>
        </w:rPr>
        <w:tab/>
        <w:t xml:space="preserve">The respondents contend </w:t>
      </w:r>
      <w:r w:rsidR="009D5E0E">
        <w:rPr>
          <w:lang w:val="en-ZA"/>
        </w:rPr>
        <w:t xml:space="preserve">at paragraph 31 of </w:t>
      </w:r>
      <w:r>
        <w:rPr>
          <w:lang w:val="en-ZA"/>
        </w:rPr>
        <w:t>their answering affidavit that urgency is self-created.  But their contention is rather incoherent.  They say:</w:t>
      </w:r>
    </w:p>
    <w:p w14:paraId="325DDB1F" w14:textId="0286761C" w:rsidR="003C3C03" w:rsidRDefault="003C3C03" w:rsidP="00783170">
      <w:pPr>
        <w:pStyle w:val="1"/>
        <w:numPr>
          <w:ilvl w:val="0"/>
          <w:numId w:val="0"/>
        </w:numPr>
        <w:ind w:left="567" w:hanging="567"/>
        <w:rPr>
          <w:lang w:val="en-ZA"/>
        </w:rPr>
      </w:pPr>
      <w:r>
        <w:rPr>
          <w:lang w:val="en-ZA"/>
        </w:rPr>
        <w:lastRenderedPageBreak/>
        <w:tab/>
      </w:r>
      <w:r>
        <w:rPr>
          <w:lang w:val="en-ZA"/>
        </w:rPr>
        <w:tab/>
      </w:r>
      <w:r>
        <w:rPr>
          <w:lang w:val="en-ZA"/>
        </w:rPr>
        <w:tab/>
        <w:t>“Contents hereof are denied.</w:t>
      </w:r>
    </w:p>
    <w:p w14:paraId="3A7685D2" w14:textId="18B77D73" w:rsidR="003C3C03" w:rsidRDefault="003C3C03" w:rsidP="009D5E0E">
      <w:pPr>
        <w:pStyle w:val="1"/>
        <w:numPr>
          <w:ilvl w:val="0"/>
          <w:numId w:val="0"/>
        </w:numPr>
        <w:spacing w:before="120" w:after="120" w:line="240" w:lineRule="exact"/>
        <w:ind w:left="1593"/>
        <w:rPr>
          <w:lang w:val="en-ZA"/>
        </w:rPr>
      </w:pPr>
      <w:r>
        <w:rPr>
          <w:lang w:val="en-ZA"/>
        </w:rPr>
        <w:t>I deny that there is any urgency in this application, if any it is self-created and designed seeing that the eviction will continue as bringing the eviction application on its own does not block stop and or suspend the execution of a validly obtained court order the urgency is self-created.”</w:t>
      </w:r>
    </w:p>
    <w:p w14:paraId="651DE9A4" w14:textId="155777D3" w:rsidR="003C3C03" w:rsidRDefault="003C3C03" w:rsidP="00783170">
      <w:pPr>
        <w:pStyle w:val="1"/>
        <w:numPr>
          <w:ilvl w:val="0"/>
          <w:numId w:val="0"/>
        </w:numPr>
        <w:ind w:left="567" w:hanging="567"/>
        <w:rPr>
          <w:lang w:val="en-ZA"/>
        </w:rPr>
      </w:pPr>
      <w:r>
        <w:rPr>
          <w:lang w:val="en-ZA"/>
        </w:rPr>
        <w:t>[1</w:t>
      </w:r>
      <w:r w:rsidR="00B64171">
        <w:rPr>
          <w:lang w:val="en-ZA"/>
        </w:rPr>
        <w:t>2</w:t>
      </w:r>
      <w:r>
        <w:rPr>
          <w:lang w:val="en-ZA"/>
        </w:rPr>
        <w:t>]</w:t>
      </w:r>
      <w:r>
        <w:rPr>
          <w:lang w:val="en-ZA"/>
        </w:rPr>
        <w:tab/>
      </w:r>
      <w:r w:rsidR="009D680F">
        <w:rPr>
          <w:lang w:val="en-ZA"/>
        </w:rPr>
        <w:t>In</w:t>
      </w:r>
      <w:r w:rsidR="00A96709">
        <w:rPr>
          <w:lang w:val="en-ZA"/>
        </w:rPr>
        <w:t xml:space="preserve">terpreted in context, </w:t>
      </w:r>
      <w:r w:rsidR="009D680F">
        <w:rPr>
          <w:lang w:val="en-ZA"/>
        </w:rPr>
        <w:t xml:space="preserve">the contention by the respondents quoted above </w:t>
      </w:r>
      <w:r w:rsidR="00A96709">
        <w:rPr>
          <w:lang w:val="en-ZA"/>
        </w:rPr>
        <w:t xml:space="preserve">seems to </w:t>
      </w:r>
      <w:r w:rsidR="009D680F">
        <w:rPr>
          <w:lang w:val="en-ZA"/>
        </w:rPr>
        <w:t>make the case for the applicants.  I understand the respondents to say that the eviction will go ahead despite the application for rescission of the order of Van Aswegen AJ</w:t>
      </w:r>
      <w:r w:rsidR="00A96709">
        <w:rPr>
          <w:lang w:val="en-ZA"/>
        </w:rPr>
        <w:t xml:space="preserve"> because a rescission application does not, on its own, stop the execution of the eviction order</w:t>
      </w:r>
      <w:r w:rsidR="009D680F">
        <w:rPr>
          <w:lang w:val="en-ZA"/>
        </w:rPr>
        <w:t xml:space="preserve">.  That is precisely the contention for the </w:t>
      </w:r>
      <w:r w:rsidR="00107B03">
        <w:rPr>
          <w:lang w:val="en-ZA"/>
        </w:rPr>
        <w:t>applicants</w:t>
      </w:r>
      <w:r w:rsidR="009D680F">
        <w:rPr>
          <w:lang w:val="en-ZA"/>
        </w:rPr>
        <w:t xml:space="preserve">.  They have no other remedy to stop the eviction pending the outcome of the rescission application other than </w:t>
      </w:r>
      <w:r w:rsidR="00BA0FC6">
        <w:rPr>
          <w:lang w:val="en-ZA"/>
        </w:rPr>
        <w:t xml:space="preserve">by </w:t>
      </w:r>
      <w:r w:rsidR="009D680F">
        <w:rPr>
          <w:lang w:val="en-ZA"/>
        </w:rPr>
        <w:t>an interim interdict.</w:t>
      </w:r>
      <w:r w:rsidR="00107B03">
        <w:rPr>
          <w:lang w:val="en-ZA"/>
        </w:rPr>
        <w:t xml:space="preserve">  If they do not get interim relief – assuming a case is made out for it – the rescission application will become academic.  </w:t>
      </w:r>
    </w:p>
    <w:p w14:paraId="62374B1C" w14:textId="09A9CF23" w:rsidR="00107B03" w:rsidRPr="00107B03" w:rsidRDefault="00107B03" w:rsidP="00783170">
      <w:pPr>
        <w:pStyle w:val="1"/>
        <w:numPr>
          <w:ilvl w:val="0"/>
          <w:numId w:val="0"/>
        </w:numPr>
        <w:ind w:left="567" w:hanging="567"/>
        <w:rPr>
          <w:u w:val="single"/>
          <w:lang w:val="en-ZA"/>
        </w:rPr>
      </w:pPr>
      <w:r w:rsidRPr="00107B03">
        <w:rPr>
          <w:u w:val="single"/>
          <w:lang w:val="en-ZA"/>
        </w:rPr>
        <w:t>The merits</w:t>
      </w:r>
    </w:p>
    <w:p w14:paraId="5BFE8406" w14:textId="6B7237CB" w:rsidR="009D680F" w:rsidRDefault="00107B03" w:rsidP="00783170">
      <w:pPr>
        <w:pStyle w:val="1"/>
        <w:numPr>
          <w:ilvl w:val="0"/>
          <w:numId w:val="0"/>
        </w:numPr>
        <w:ind w:left="567" w:hanging="567"/>
        <w:rPr>
          <w:lang w:val="en-ZA"/>
        </w:rPr>
      </w:pPr>
      <w:r>
        <w:rPr>
          <w:lang w:val="en-ZA"/>
        </w:rPr>
        <w:t>[1</w:t>
      </w:r>
      <w:r w:rsidR="000F47CB">
        <w:rPr>
          <w:lang w:val="en-ZA"/>
        </w:rPr>
        <w:t>3</w:t>
      </w:r>
      <w:r>
        <w:rPr>
          <w:lang w:val="en-ZA"/>
        </w:rPr>
        <w:t>]</w:t>
      </w:r>
      <w:r>
        <w:rPr>
          <w:lang w:val="en-ZA"/>
        </w:rPr>
        <w:tab/>
        <w:t xml:space="preserve">The respondents effectively argue that the case for rescission is hopeless because Van Aswegen AJ did not grant the order in the applicants’ absence.  They say this is so because the applicants had filed answering affidavits which Van Aswegen AJ considered.  They say that where a party has filed </w:t>
      </w:r>
      <w:proofErr w:type="gramStart"/>
      <w:r>
        <w:rPr>
          <w:lang w:val="en-ZA"/>
        </w:rPr>
        <w:t>affidavits</w:t>
      </w:r>
      <w:proofErr w:type="gramEnd"/>
      <w:r>
        <w:rPr>
          <w:lang w:val="en-ZA"/>
        </w:rPr>
        <w:t xml:space="preserve"> but an order is granted in their absence and that of their legal representatives, in our law that is not an order granted in the absence of a party.  They rely on two judgments.  First, the SCA judgment in </w:t>
      </w:r>
      <w:proofErr w:type="spellStart"/>
      <w:r>
        <w:rPr>
          <w:i/>
          <w:iCs w:val="0"/>
          <w:lang w:val="en-ZA"/>
        </w:rPr>
        <w:t>Pitelli</w:t>
      </w:r>
      <w:proofErr w:type="spellEnd"/>
      <w:r>
        <w:rPr>
          <w:i/>
          <w:iCs w:val="0"/>
          <w:lang w:val="en-ZA"/>
        </w:rPr>
        <w:t>.</w:t>
      </w:r>
      <w:r>
        <w:rPr>
          <w:rStyle w:val="FootnoteReference"/>
          <w:i/>
          <w:iCs w:val="0"/>
        </w:rPr>
        <w:footnoteReference w:id="2"/>
      </w:r>
      <w:r>
        <w:rPr>
          <w:i/>
          <w:iCs w:val="0"/>
          <w:lang w:val="en-ZA"/>
        </w:rPr>
        <w:t xml:space="preserve"> </w:t>
      </w:r>
      <w:r>
        <w:rPr>
          <w:lang w:val="en-ZA"/>
        </w:rPr>
        <w:t xml:space="preserve">Second, the judgment of the Limpopo High Court in </w:t>
      </w:r>
      <w:r>
        <w:rPr>
          <w:i/>
          <w:iCs w:val="0"/>
          <w:lang w:val="en-ZA"/>
        </w:rPr>
        <w:t xml:space="preserve">Rainbow </w:t>
      </w:r>
      <w:r>
        <w:rPr>
          <w:i/>
          <w:iCs w:val="0"/>
          <w:lang w:val="en-ZA"/>
        </w:rPr>
        <w:lastRenderedPageBreak/>
        <w:t>Farms (Pty) Ltd</w:t>
      </w:r>
      <w:r>
        <w:rPr>
          <w:lang w:val="en-ZA"/>
        </w:rPr>
        <w:t>.</w:t>
      </w:r>
      <w:r>
        <w:rPr>
          <w:rStyle w:val="FootnoteReference"/>
        </w:rPr>
        <w:footnoteReference w:id="3"/>
      </w:r>
      <w:r>
        <w:rPr>
          <w:lang w:val="en-ZA"/>
        </w:rPr>
        <w:t xml:space="preserve">  None of these judgments supports the respondents’ contention.</w:t>
      </w:r>
      <w:r w:rsidR="00DB6580">
        <w:rPr>
          <w:lang w:val="en-ZA"/>
        </w:rPr>
        <w:t xml:space="preserve">  Where both the applicants and their legal representatives were absent when the order was granted on 19 March 2024, the order was granted in their absence.  It would be different </w:t>
      </w:r>
      <w:r w:rsidR="000D74CD">
        <w:rPr>
          <w:lang w:val="en-ZA"/>
        </w:rPr>
        <w:t xml:space="preserve">if the applicants’ legal </w:t>
      </w:r>
      <w:r w:rsidR="00DB6580">
        <w:rPr>
          <w:lang w:val="en-ZA"/>
        </w:rPr>
        <w:t xml:space="preserve">representatives </w:t>
      </w:r>
      <w:r w:rsidR="000D74CD">
        <w:rPr>
          <w:lang w:val="en-ZA"/>
        </w:rPr>
        <w:t xml:space="preserve">had been </w:t>
      </w:r>
      <w:r w:rsidR="00DB6580">
        <w:rPr>
          <w:lang w:val="en-ZA"/>
        </w:rPr>
        <w:t>present at court when the order was granted.</w:t>
      </w:r>
      <w:r w:rsidR="00DB6580">
        <w:rPr>
          <w:rStyle w:val="FootnoteReference"/>
        </w:rPr>
        <w:footnoteReference w:id="4"/>
      </w:r>
    </w:p>
    <w:p w14:paraId="3B6CE5C0" w14:textId="19A40C3A" w:rsidR="007C3D33" w:rsidRDefault="00264CEE" w:rsidP="007C3D33">
      <w:pPr>
        <w:pStyle w:val="1"/>
        <w:numPr>
          <w:ilvl w:val="0"/>
          <w:numId w:val="0"/>
        </w:numPr>
        <w:ind w:left="567" w:hanging="567"/>
        <w:rPr>
          <w:lang w:val="en-ZA"/>
        </w:rPr>
      </w:pPr>
      <w:r>
        <w:rPr>
          <w:lang w:val="en-ZA"/>
        </w:rPr>
        <w:t>[1</w:t>
      </w:r>
      <w:r w:rsidR="006A4565">
        <w:rPr>
          <w:lang w:val="en-ZA"/>
        </w:rPr>
        <w:t>4</w:t>
      </w:r>
      <w:r>
        <w:rPr>
          <w:lang w:val="en-ZA"/>
        </w:rPr>
        <w:t>]</w:t>
      </w:r>
      <w:r>
        <w:rPr>
          <w:lang w:val="en-ZA"/>
        </w:rPr>
        <w:tab/>
      </w:r>
      <w:r w:rsidR="00261F9C">
        <w:rPr>
          <w:lang w:val="en-ZA"/>
        </w:rPr>
        <w:t xml:space="preserve">Is there a prima facie case for rescission?  </w:t>
      </w:r>
    </w:p>
    <w:p w14:paraId="594D1A65" w14:textId="77A0CCBA" w:rsidR="006A4565" w:rsidRPr="006A4565" w:rsidRDefault="007C3D33" w:rsidP="007C3D33">
      <w:pPr>
        <w:pStyle w:val="1"/>
        <w:numPr>
          <w:ilvl w:val="0"/>
          <w:numId w:val="0"/>
        </w:numPr>
        <w:ind w:left="567" w:hanging="567"/>
        <w:rPr>
          <w:iCs w:val="0"/>
          <w:lang w:val="en-ZA"/>
        </w:rPr>
      </w:pPr>
      <w:r>
        <w:rPr>
          <w:lang w:val="en-ZA"/>
        </w:rPr>
        <w:t>[1</w:t>
      </w:r>
      <w:r w:rsidR="006A4565">
        <w:rPr>
          <w:lang w:val="en-ZA"/>
        </w:rPr>
        <w:t>5</w:t>
      </w:r>
      <w:r>
        <w:rPr>
          <w:lang w:val="en-ZA"/>
        </w:rPr>
        <w:t>]</w:t>
      </w:r>
      <w:r>
        <w:rPr>
          <w:lang w:val="en-ZA"/>
        </w:rPr>
        <w:tab/>
      </w:r>
      <w:r w:rsidR="00261F9C">
        <w:rPr>
          <w:lang w:val="en-ZA"/>
        </w:rPr>
        <w:t xml:space="preserve">The applicants raise </w:t>
      </w:r>
      <w:proofErr w:type="gramStart"/>
      <w:r w:rsidR="00261F9C">
        <w:rPr>
          <w:lang w:val="en-ZA"/>
        </w:rPr>
        <w:t>a number of</w:t>
      </w:r>
      <w:proofErr w:type="gramEnd"/>
      <w:r w:rsidR="00261F9C">
        <w:rPr>
          <w:lang w:val="en-ZA"/>
        </w:rPr>
        <w:t xml:space="preserve"> defences to the rescission application.  </w:t>
      </w:r>
      <w:r w:rsidR="006A4565">
        <w:rPr>
          <w:lang w:val="en-ZA"/>
        </w:rPr>
        <w:t xml:space="preserve">But a </w:t>
      </w:r>
      <w:r w:rsidR="00261F9C">
        <w:rPr>
          <w:lang w:val="en-ZA"/>
        </w:rPr>
        <w:t xml:space="preserve">key contention </w:t>
      </w:r>
      <w:r w:rsidR="006A4565">
        <w:rPr>
          <w:lang w:val="en-ZA"/>
        </w:rPr>
        <w:t xml:space="preserve">by the respondents is not properly answered.  It is </w:t>
      </w:r>
      <w:r w:rsidR="00261F9C">
        <w:rPr>
          <w:lang w:val="en-ZA"/>
        </w:rPr>
        <w:t>that</w:t>
      </w:r>
      <w:r w:rsidR="006A4565">
        <w:rPr>
          <w:lang w:val="en-ZA"/>
        </w:rPr>
        <w:t>,</w:t>
      </w:r>
      <w:r w:rsidR="00261F9C">
        <w:rPr>
          <w:lang w:val="en-ZA"/>
        </w:rPr>
        <w:t xml:space="preserve"> in the absence of the applicants the Court granting the order could not properly have considered their personal circumstances to determine whether eviction was just and equitable.  This consideration also relates to </w:t>
      </w:r>
      <w:r w:rsidR="006A4565">
        <w:rPr>
          <w:lang w:val="en-ZA"/>
        </w:rPr>
        <w:t xml:space="preserve">the date </w:t>
      </w:r>
      <w:r w:rsidR="00261F9C">
        <w:rPr>
          <w:lang w:val="en-ZA"/>
        </w:rPr>
        <w:t xml:space="preserve">when the order for eviction, if granted, was to </w:t>
      </w:r>
      <w:r w:rsidR="006A4565">
        <w:rPr>
          <w:lang w:val="en-ZA"/>
        </w:rPr>
        <w:t>be implemented</w:t>
      </w:r>
      <w:r w:rsidR="00261F9C">
        <w:rPr>
          <w:lang w:val="en-ZA"/>
        </w:rPr>
        <w:t>.</w:t>
      </w:r>
      <w:r w:rsidR="006A4565">
        <w:rPr>
          <w:lang w:val="en-ZA"/>
        </w:rPr>
        <w:t xml:space="preserve">  Both these inquiries are mandatory.</w:t>
      </w:r>
      <w:r w:rsidR="00261F9C">
        <w:rPr>
          <w:lang w:val="en-ZA"/>
        </w:rPr>
        <w:t xml:space="preserve">  </w:t>
      </w:r>
      <w:r w:rsidR="006A4565">
        <w:rPr>
          <w:lang w:val="en-ZA"/>
        </w:rPr>
        <w:t xml:space="preserve">The SCA made this clear in </w:t>
      </w:r>
      <w:r w:rsidR="006A4565" w:rsidRPr="007C3D33">
        <w:rPr>
          <w:bCs/>
          <w:i/>
          <w:lang w:val="en-US"/>
        </w:rPr>
        <w:t>Changing Tides 74 (Pty) Ltd</w:t>
      </w:r>
      <w:r w:rsidR="006A4565">
        <w:rPr>
          <w:bCs/>
          <w:i/>
          <w:lang w:val="en-US"/>
        </w:rPr>
        <w:t xml:space="preserve"> </w:t>
      </w:r>
      <w:r w:rsidR="006A4565">
        <w:rPr>
          <w:bCs/>
          <w:iCs w:val="0"/>
          <w:lang w:val="en-US"/>
        </w:rPr>
        <w:t>at paragraph 25,</w:t>
      </w:r>
      <w:r w:rsidR="00D138CC">
        <w:rPr>
          <w:rStyle w:val="FootnoteReference"/>
          <w:bCs/>
          <w:iCs w:val="0"/>
        </w:rPr>
        <w:footnoteReference w:id="5"/>
      </w:r>
      <w:r w:rsidR="006A4565">
        <w:rPr>
          <w:bCs/>
          <w:iCs w:val="0"/>
          <w:lang w:val="en-US"/>
        </w:rPr>
        <w:t xml:space="preserve"> as follows:</w:t>
      </w:r>
    </w:p>
    <w:p w14:paraId="675FA109" w14:textId="70F951FC" w:rsidR="007C3D33" w:rsidRPr="007C3D33" w:rsidRDefault="007C3D33" w:rsidP="007C3D33">
      <w:pPr>
        <w:pStyle w:val="1"/>
        <w:numPr>
          <w:ilvl w:val="0"/>
          <w:numId w:val="0"/>
        </w:numPr>
        <w:spacing w:before="120" w:after="120" w:line="240" w:lineRule="exact"/>
        <w:ind w:left="1440"/>
        <w:rPr>
          <w:lang w:val="en-US"/>
        </w:rPr>
      </w:pPr>
      <w:r w:rsidRPr="007C3D33">
        <w:rPr>
          <w:lang w:val="en-ZA"/>
        </w:rPr>
        <w:t>“</w:t>
      </w:r>
      <w:r w:rsidRPr="007C3D33">
        <w:rPr>
          <w:lang w:val="en-US"/>
        </w:rPr>
        <w:t xml:space="preserve">Reverting then to the relationship between sections 4(7) and (8), the position can be </w:t>
      </w:r>
      <w:proofErr w:type="spellStart"/>
      <w:r w:rsidRPr="007C3D33">
        <w:rPr>
          <w:lang w:val="en-US"/>
        </w:rPr>
        <w:t>summarised</w:t>
      </w:r>
      <w:proofErr w:type="spellEnd"/>
      <w:r w:rsidRPr="007C3D33">
        <w:rPr>
          <w:lang w:val="en-US"/>
        </w:rPr>
        <w:t xml:space="preserve"> as follows.  </w:t>
      </w:r>
      <w:r w:rsidRPr="00745085">
        <w:rPr>
          <w:u w:val="single"/>
          <w:lang w:val="en-US"/>
        </w:rPr>
        <w:t>A court</w:t>
      </w:r>
      <w:r w:rsidRPr="007C3D33">
        <w:rPr>
          <w:lang w:val="en-US"/>
        </w:rPr>
        <w:t xml:space="preserve"> hearing an application for eviction at the instance of a private person or body, owing no obligations to provide housing or achieve the gradual </w:t>
      </w:r>
      <w:proofErr w:type="spellStart"/>
      <w:r w:rsidRPr="007C3D33">
        <w:rPr>
          <w:lang w:val="en-US"/>
        </w:rPr>
        <w:t>realisation</w:t>
      </w:r>
      <w:proofErr w:type="spellEnd"/>
      <w:r w:rsidRPr="007C3D33">
        <w:rPr>
          <w:lang w:val="en-US"/>
        </w:rPr>
        <w:t xml:space="preserve"> of the right of access to housing in terms of section 26(1) of the Constitution, </w:t>
      </w:r>
      <w:r w:rsidRPr="00745085">
        <w:rPr>
          <w:u w:val="single"/>
          <w:lang w:val="en-US"/>
        </w:rPr>
        <w:t>is faced with two separate enquiries</w:t>
      </w:r>
      <w:r w:rsidRPr="007C3D33">
        <w:rPr>
          <w:lang w:val="en-US"/>
        </w:rPr>
        <w:t xml:space="preserve">. </w:t>
      </w:r>
      <w:r w:rsidRPr="00745085">
        <w:rPr>
          <w:u w:val="single"/>
          <w:lang w:val="en-US"/>
        </w:rPr>
        <w:t>First, it must decide whether it is just and equitable to grant an eviction order having regard to all relevant factors</w:t>
      </w:r>
      <w:r w:rsidRPr="007C3D33">
        <w:rPr>
          <w:lang w:val="en-US"/>
        </w:rPr>
        <w:t xml:space="preserve">. Under section 4(7) those factors include the availability of alternative land or accommodation. The weight to be attached to that factor must be assessed in the light of the property owner’s protected rights under section 25 of the Constitution, and on the footing that a limitation of those rights in </w:t>
      </w:r>
      <w:proofErr w:type="spellStart"/>
      <w:r w:rsidRPr="007C3D33">
        <w:rPr>
          <w:lang w:val="en-US"/>
        </w:rPr>
        <w:t>favour</w:t>
      </w:r>
      <w:proofErr w:type="spellEnd"/>
      <w:r w:rsidRPr="007C3D33">
        <w:rPr>
          <w:lang w:val="en-US"/>
        </w:rPr>
        <w:t xml:space="preserve"> of the occupiers will ordinarily be limited in duration. </w:t>
      </w:r>
      <w:r w:rsidRPr="00745085">
        <w:rPr>
          <w:u w:val="single"/>
          <w:lang w:val="en-US"/>
        </w:rPr>
        <w:t xml:space="preserve">Once the court decides that there is no </w:t>
      </w:r>
      <w:proofErr w:type="spellStart"/>
      <w:r w:rsidRPr="00745085">
        <w:rPr>
          <w:u w:val="single"/>
          <w:lang w:val="en-US"/>
        </w:rPr>
        <w:lastRenderedPageBreak/>
        <w:t>defence</w:t>
      </w:r>
      <w:proofErr w:type="spellEnd"/>
      <w:r w:rsidRPr="00745085">
        <w:rPr>
          <w:u w:val="single"/>
          <w:lang w:val="en-US"/>
        </w:rPr>
        <w:t xml:space="preserve"> to the claim for eviction and that it would be just and equitable to grant an eviction order it is obliged to grant that order. Before doing so, however, it must consider what justice and equity demands in relation to the date of implementation of that</w:t>
      </w:r>
      <w:r w:rsidRPr="007C3D33">
        <w:rPr>
          <w:lang w:val="en-US"/>
        </w:rPr>
        <w:t xml:space="preserve"> </w:t>
      </w:r>
      <w:r w:rsidRPr="00745085">
        <w:rPr>
          <w:u w:val="single"/>
          <w:lang w:val="en-US"/>
        </w:rPr>
        <w:t>order and it must consider what conditions must be attached to that order</w:t>
      </w:r>
      <w:r w:rsidRPr="007C3D33">
        <w:rPr>
          <w:lang w:val="en-US"/>
        </w:rPr>
        <w:t xml:space="preserve">. In that second enquiry it must consider the impact of an eviction order on the occupiers and whether they may be rendered homeless thereby or need emergency assistance to relocate elsewhere. </w:t>
      </w:r>
      <w:r w:rsidRPr="007C3D33">
        <w:rPr>
          <w:u w:val="single"/>
          <w:lang w:val="en-US"/>
        </w:rPr>
        <w:t xml:space="preserve">The order that it grants </w:t>
      </w:r>
      <w:proofErr w:type="gramStart"/>
      <w:r w:rsidRPr="007C3D33">
        <w:rPr>
          <w:u w:val="single"/>
          <w:lang w:val="en-US"/>
        </w:rPr>
        <w:t>as a result of</w:t>
      </w:r>
      <w:proofErr w:type="gramEnd"/>
      <w:r w:rsidRPr="007C3D33">
        <w:rPr>
          <w:u w:val="single"/>
          <w:lang w:val="en-US"/>
        </w:rPr>
        <w:t xml:space="preserve"> these two discrete enquiries is a single order. Accordingly, it cannot be granted until both enquiries have been undertaken and the conclusion reached that the grant of an eviction order, effective from a specified date, is just and equitable. Nor can the enquiry be concluded until the court is satisfied that it is in possession of all the information necessary to make both findings based on justice and equity</w:t>
      </w:r>
      <w:r w:rsidRPr="007C3D33">
        <w:rPr>
          <w:lang w:val="en-US"/>
        </w:rPr>
        <w:t>.”  (Emphasis added)</w:t>
      </w:r>
    </w:p>
    <w:p w14:paraId="7F872A6B" w14:textId="2966B884" w:rsidR="00264CEE" w:rsidRDefault="007C3D33" w:rsidP="00783170">
      <w:pPr>
        <w:pStyle w:val="1"/>
        <w:numPr>
          <w:ilvl w:val="0"/>
          <w:numId w:val="0"/>
        </w:numPr>
        <w:ind w:left="567" w:hanging="567"/>
        <w:rPr>
          <w:lang w:val="en-ZA"/>
        </w:rPr>
      </w:pPr>
      <w:r>
        <w:rPr>
          <w:lang w:val="en-ZA"/>
        </w:rPr>
        <w:t>[1</w:t>
      </w:r>
      <w:r w:rsidR="00E17EE6">
        <w:rPr>
          <w:lang w:val="en-ZA"/>
        </w:rPr>
        <w:t>6</w:t>
      </w:r>
      <w:r>
        <w:rPr>
          <w:lang w:val="en-ZA"/>
        </w:rPr>
        <w:t>]</w:t>
      </w:r>
      <w:r>
        <w:rPr>
          <w:lang w:val="en-ZA"/>
        </w:rPr>
        <w:tab/>
      </w:r>
      <w:r w:rsidR="00261F9C">
        <w:rPr>
          <w:lang w:val="en-ZA"/>
        </w:rPr>
        <w:t>The</w:t>
      </w:r>
      <w:r>
        <w:rPr>
          <w:lang w:val="en-ZA"/>
        </w:rPr>
        <w:t xml:space="preserve"> respondents</w:t>
      </w:r>
      <w:r w:rsidR="00261F9C">
        <w:rPr>
          <w:lang w:val="en-ZA"/>
        </w:rPr>
        <w:t xml:space="preserve"> contend that the Court granting the order on 19 March 2024 was obliged by law to consider their personal circumstances </w:t>
      </w:r>
      <w:proofErr w:type="gramStart"/>
      <w:r w:rsidR="00261F9C">
        <w:rPr>
          <w:lang w:val="en-ZA"/>
        </w:rPr>
        <w:t>in order to</w:t>
      </w:r>
      <w:proofErr w:type="gramEnd"/>
      <w:r w:rsidR="00261F9C">
        <w:rPr>
          <w:lang w:val="en-ZA"/>
        </w:rPr>
        <w:t xml:space="preserve"> determine whether eviction was just and equitable, and the date on which the eviction order would take effect</w:t>
      </w:r>
      <w:r w:rsidR="00E17EE6">
        <w:rPr>
          <w:lang w:val="en-ZA"/>
        </w:rPr>
        <w:t xml:space="preserve"> would be just and equitable</w:t>
      </w:r>
      <w:r w:rsidR="00261F9C">
        <w:rPr>
          <w:lang w:val="en-ZA"/>
        </w:rPr>
        <w:t xml:space="preserve">.  </w:t>
      </w:r>
      <w:r w:rsidR="009621E4">
        <w:rPr>
          <w:lang w:val="en-ZA"/>
        </w:rPr>
        <w:t xml:space="preserve">They referred to the Constitutional Court judgment in </w:t>
      </w:r>
      <w:r w:rsidR="009621E4" w:rsidRPr="009621E4">
        <w:rPr>
          <w:i/>
          <w:iCs w:val="0"/>
          <w:lang w:val="en-ZA"/>
        </w:rPr>
        <w:t>Occupiers of Erven 87 and 88 Berea</w:t>
      </w:r>
      <w:r w:rsidR="009621E4">
        <w:rPr>
          <w:rStyle w:val="FootnoteReference"/>
        </w:rPr>
        <w:footnoteReference w:id="6"/>
      </w:r>
      <w:r w:rsidR="005E59EE">
        <w:rPr>
          <w:i/>
          <w:iCs w:val="0"/>
          <w:lang w:val="en-ZA"/>
        </w:rPr>
        <w:t xml:space="preserve"> </w:t>
      </w:r>
      <w:r w:rsidR="00E17EE6">
        <w:rPr>
          <w:lang w:val="en-ZA"/>
        </w:rPr>
        <w:t>and submitted that the inquiry to be conducted by the court is an active one.  The court cannot simply rely on what the parties say.  T</w:t>
      </w:r>
      <w:r w:rsidR="005E59EE">
        <w:rPr>
          <w:lang w:val="en-ZA"/>
        </w:rPr>
        <w:t xml:space="preserve">he </w:t>
      </w:r>
      <w:r w:rsidR="00E17EE6">
        <w:rPr>
          <w:lang w:val="en-ZA"/>
        </w:rPr>
        <w:t xml:space="preserve">Constitutional </w:t>
      </w:r>
      <w:r w:rsidR="005E59EE">
        <w:rPr>
          <w:lang w:val="en-ZA"/>
        </w:rPr>
        <w:t xml:space="preserve">Court said </w:t>
      </w:r>
      <w:r w:rsidR="00751B04">
        <w:rPr>
          <w:lang w:val="en-ZA"/>
        </w:rPr>
        <w:t xml:space="preserve">the following </w:t>
      </w:r>
      <w:r w:rsidR="00E17EE6">
        <w:rPr>
          <w:lang w:val="en-ZA"/>
        </w:rPr>
        <w:t xml:space="preserve">in this regard </w:t>
      </w:r>
      <w:r w:rsidR="005E59EE">
        <w:rPr>
          <w:lang w:val="en-ZA"/>
        </w:rPr>
        <w:t xml:space="preserve">at paragraph </w:t>
      </w:r>
      <w:r w:rsidR="00751B04">
        <w:rPr>
          <w:lang w:val="en-ZA"/>
        </w:rPr>
        <w:t>54:</w:t>
      </w:r>
    </w:p>
    <w:p w14:paraId="7B63B976" w14:textId="07E16650" w:rsidR="00751B04" w:rsidRPr="005E59EE" w:rsidRDefault="00751B04" w:rsidP="00751B04">
      <w:pPr>
        <w:pStyle w:val="1"/>
        <w:numPr>
          <w:ilvl w:val="0"/>
          <w:numId w:val="0"/>
        </w:numPr>
        <w:spacing w:before="120" w:after="120" w:line="240" w:lineRule="exact"/>
        <w:ind w:left="1440"/>
        <w:rPr>
          <w:lang w:val="en-ZA"/>
        </w:rPr>
      </w:pPr>
      <w:r>
        <w:rPr>
          <w:lang w:val="en-ZA"/>
        </w:rPr>
        <w:t>“</w:t>
      </w:r>
      <w:r w:rsidRPr="00751B04">
        <w:rPr>
          <w:lang w:val="en-ZA"/>
        </w:rPr>
        <w:t xml:space="preserve">Although the Court was faced with a purported agreement this did not absolve it of its duties under PIE.  The application of PIE is mandatory, and courts are enjoined to be “of the opinion that it is just and equitable” to order an eviction.  </w:t>
      </w:r>
      <w:proofErr w:type="gramStart"/>
      <w:r w:rsidRPr="00751B04">
        <w:rPr>
          <w:lang w:val="en-ZA"/>
        </w:rPr>
        <w:t>It is clear that the</w:t>
      </w:r>
      <w:proofErr w:type="gramEnd"/>
      <w:r w:rsidRPr="00751B04">
        <w:rPr>
          <w:lang w:val="en-ZA"/>
        </w:rPr>
        <w:t xml:space="preserve"> opinion to be formed is that of the courts, not the respective parties.  Accordingly, a court is not absolved from actively engaging with the relevant circumstances where the parties purport to consent.  PIE enjoins courts to balance the interests of the parties before it and to ensure that if it is to order an eviction, it would be just and equitable to do so.  Without having regard to all relevant circumstances including, but not limited to, a purported agreement, the court will not have satisfied the duties placed upon it by PIE.  These duties arise even in circumstances where parties on both sides are </w:t>
      </w:r>
      <w:proofErr w:type="gramStart"/>
      <w:r w:rsidRPr="00751B04">
        <w:rPr>
          <w:lang w:val="en-ZA"/>
        </w:rPr>
        <w:t>represented</w:t>
      </w:r>
      <w:proofErr w:type="gramEnd"/>
      <w:r w:rsidRPr="00751B04">
        <w:rPr>
          <w:lang w:val="en-ZA"/>
        </w:rPr>
        <w:t xml:space="preserve"> and a comprehensive agreement is placed before the court.  In that event, it may well be that the court is able to form the requisite </w:t>
      </w:r>
      <w:r w:rsidRPr="00751B04">
        <w:rPr>
          <w:lang w:val="en-ZA"/>
        </w:rPr>
        <w:lastRenderedPageBreak/>
        <w:t>opinion from perusing the agreement and the affidavits before it and, where necessary, engaging the legal representatives to clarify any remaining issues.</w:t>
      </w:r>
      <w:r>
        <w:rPr>
          <w:lang w:val="en-ZA"/>
        </w:rPr>
        <w:t>”</w:t>
      </w:r>
    </w:p>
    <w:p w14:paraId="688ACE12" w14:textId="77777777" w:rsidR="007938C4" w:rsidRDefault="00751B04" w:rsidP="007F41BC">
      <w:pPr>
        <w:pStyle w:val="1"/>
        <w:numPr>
          <w:ilvl w:val="0"/>
          <w:numId w:val="0"/>
        </w:numPr>
        <w:ind w:left="567" w:hanging="567"/>
        <w:rPr>
          <w:lang w:val="en-ZA"/>
        </w:rPr>
      </w:pPr>
      <w:r>
        <w:rPr>
          <w:lang w:val="en-ZA"/>
        </w:rPr>
        <w:t>[1</w:t>
      </w:r>
      <w:r w:rsidR="007F41BC">
        <w:rPr>
          <w:lang w:val="en-ZA"/>
        </w:rPr>
        <w:t>7</w:t>
      </w:r>
      <w:r>
        <w:rPr>
          <w:lang w:val="en-ZA"/>
        </w:rPr>
        <w:t>]</w:t>
      </w:r>
      <w:r w:rsidR="007F41BC">
        <w:rPr>
          <w:lang w:val="en-ZA"/>
        </w:rPr>
        <w:tab/>
        <w:t xml:space="preserve">The respondents submit that the duty to actively engage in the obligatory inquiry was acute where the applicants were not in court and were not represented in court by their legal representatives.  </w:t>
      </w:r>
      <w:r w:rsidR="007C3D33">
        <w:rPr>
          <w:lang w:val="en-ZA"/>
        </w:rPr>
        <w:t>The</w:t>
      </w:r>
      <w:r w:rsidR="007F41BC">
        <w:rPr>
          <w:lang w:val="en-ZA"/>
        </w:rPr>
        <w:t>y</w:t>
      </w:r>
      <w:r w:rsidR="007C3D33">
        <w:rPr>
          <w:lang w:val="en-ZA"/>
        </w:rPr>
        <w:t xml:space="preserve"> contend that on 19 March 2024 the Court failed to conduct this obligatory</w:t>
      </w:r>
      <w:r w:rsidR="009D1112">
        <w:rPr>
          <w:lang w:val="en-ZA"/>
        </w:rPr>
        <w:t xml:space="preserve"> active engagement with all the circumstances</w:t>
      </w:r>
      <w:r w:rsidR="007C3D33">
        <w:rPr>
          <w:lang w:val="en-ZA"/>
        </w:rPr>
        <w:t xml:space="preserve">.  It </w:t>
      </w:r>
      <w:r w:rsidR="00481F70">
        <w:rPr>
          <w:lang w:val="en-ZA"/>
        </w:rPr>
        <w:t xml:space="preserve">appears to have </w:t>
      </w:r>
      <w:r w:rsidR="007C3D33">
        <w:rPr>
          <w:lang w:val="en-ZA"/>
        </w:rPr>
        <w:t>simply granted the order because it accepted the respondents’ contentions in the absence of the applicants.  The respondents</w:t>
      </w:r>
      <w:r w:rsidR="00481F70">
        <w:rPr>
          <w:lang w:val="en-ZA"/>
        </w:rPr>
        <w:t>’</w:t>
      </w:r>
      <w:r w:rsidR="007C3D33">
        <w:rPr>
          <w:lang w:val="en-ZA"/>
        </w:rPr>
        <w:t xml:space="preserve"> counsel contested this submission.  He s</w:t>
      </w:r>
      <w:r w:rsidR="00481F70">
        <w:rPr>
          <w:lang w:val="en-ZA"/>
        </w:rPr>
        <w:t>ubmitted that</w:t>
      </w:r>
      <w:r w:rsidR="007C3D33">
        <w:rPr>
          <w:lang w:val="en-ZA"/>
        </w:rPr>
        <w:t xml:space="preserve"> this Court must accept that because </w:t>
      </w:r>
      <w:r w:rsidR="00481F70">
        <w:rPr>
          <w:lang w:val="en-ZA"/>
        </w:rPr>
        <w:t xml:space="preserve">on 19 March 2024 </w:t>
      </w:r>
      <w:r w:rsidR="007C3D33">
        <w:rPr>
          <w:lang w:val="en-ZA"/>
        </w:rPr>
        <w:t xml:space="preserve">the Court had all the affidavits, including those </w:t>
      </w:r>
      <w:r w:rsidR="00481F70">
        <w:rPr>
          <w:lang w:val="en-ZA"/>
        </w:rPr>
        <w:t xml:space="preserve">filed by </w:t>
      </w:r>
      <w:r w:rsidR="007C3D33">
        <w:rPr>
          <w:lang w:val="en-ZA"/>
        </w:rPr>
        <w:t xml:space="preserve">the applicants, it </w:t>
      </w:r>
      <w:r w:rsidR="007938C4">
        <w:rPr>
          <w:lang w:val="en-ZA"/>
        </w:rPr>
        <w:t xml:space="preserve">could only grant the order if it had </w:t>
      </w:r>
      <w:r w:rsidR="007C3D33">
        <w:rPr>
          <w:lang w:val="en-ZA"/>
        </w:rPr>
        <w:t xml:space="preserve">considered the applicants’ personal circumstances and conducted the requisite enquiry.  </w:t>
      </w:r>
    </w:p>
    <w:p w14:paraId="1235DD7D" w14:textId="09E3E36C" w:rsidR="00107B03" w:rsidRDefault="007938C4" w:rsidP="007F41BC">
      <w:pPr>
        <w:pStyle w:val="1"/>
        <w:numPr>
          <w:ilvl w:val="0"/>
          <w:numId w:val="0"/>
        </w:numPr>
        <w:ind w:left="567" w:hanging="567"/>
        <w:rPr>
          <w:lang w:val="en-ZA"/>
        </w:rPr>
      </w:pPr>
      <w:r>
        <w:rPr>
          <w:lang w:val="en-ZA"/>
        </w:rPr>
        <w:t>[</w:t>
      </w:r>
      <w:r w:rsidR="00D65F49">
        <w:rPr>
          <w:lang w:val="en-ZA"/>
        </w:rPr>
        <w:t>18</w:t>
      </w:r>
      <w:r>
        <w:rPr>
          <w:lang w:val="en-ZA"/>
        </w:rPr>
        <w:t>]</w:t>
      </w:r>
      <w:r>
        <w:rPr>
          <w:lang w:val="en-ZA"/>
        </w:rPr>
        <w:tab/>
      </w:r>
      <w:r w:rsidR="007C3D33">
        <w:rPr>
          <w:lang w:val="en-ZA"/>
        </w:rPr>
        <w:t xml:space="preserve">The difficulty </w:t>
      </w:r>
      <w:r>
        <w:rPr>
          <w:lang w:val="en-ZA"/>
        </w:rPr>
        <w:t xml:space="preserve">for the respondents </w:t>
      </w:r>
      <w:r w:rsidR="007C3D33">
        <w:rPr>
          <w:lang w:val="en-ZA"/>
        </w:rPr>
        <w:t xml:space="preserve">is that in the absence of written reasons </w:t>
      </w:r>
      <w:r w:rsidR="00241393">
        <w:rPr>
          <w:lang w:val="en-ZA"/>
        </w:rPr>
        <w:t xml:space="preserve">for the order </w:t>
      </w:r>
      <w:r w:rsidR="007C3D33">
        <w:rPr>
          <w:lang w:val="en-ZA"/>
        </w:rPr>
        <w:t xml:space="preserve">or judgment explaining the basis for the order granted on 19 March 2024, there is no </w:t>
      </w:r>
      <w:r w:rsidR="00241393">
        <w:rPr>
          <w:lang w:val="en-ZA"/>
        </w:rPr>
        <w:t xml:space="preserve">plausible </w:t>
      </w:r>
      <w:r w:rsidR="007C3D33">
        <w:rPr>
          <w:lang w:val="en-ZA"/>
        </w:rPr>
        <w:t xml:space="preserve">basis </w:t>
      </w:r>
      <w:r w:rsidR="00241393">
        <w:rPr>
          <w:lang w:val="en-ZA"/>
        </w:rPr>
        <w:t>up</w:t>
      </w:r>
      <w:r w:rsidR="007C3D33">
        <w:rPr>
          <w:lang w:val="en-ZA"/>
        </w:rPr>
        <w:t>on which I c</w:t>
      </w:r>
      <w:r w:rsidR="00241393">
        <w:rPr>
          <w:lang w:val="en-ZA"/>
        </w:rPr>
        <w:t>an</w:t>
      </w:r>
      <w:r w:rsidR="007C3D33">
        <w:rPr>
          <w:lang w:val="en-ZA"/>
        </w:rPr>
        <w:t xml:space="preserve"> dismiss the applicants’ contentions and accept the submissions made for the </w:t>
      </w:r>
      <w:r w:rsidR="00241393">
        <w:rPr>
          <w:lang w:val="en-ZA"/>
        </w:rPr>
        <w:t>respondents</w:t>
      </w:r>
      <w:r w:rsidR="007C3D33">
        <w:rPr>
          <w:lang w:val="en-ZA"/>
        </w:rPr>
        <w:t xml:space="preserve">.  </w:t>
      </w:r>
      <w:r w:rsidR="00543679">
        <w:rPr>
          <w:lang w:val="en-ZA"/>
        </w:rPr>
        <w:t xml:space="preserve">At a prima facie level, I am compelled to accept the </w:t>
      </w:r>
      <w:r w:rsidR="00241393">
        <w:rPr>
          <w:lang w:val="en-ZA"/>
        </w:rPr>
        <w:t>applicants</w:t>
      </w:r>
      <w:r w:rsidR="00543679">
        <w:rPr>
          <w:lang w:val="en-ZA"/>
        </w:rPr>
        <w:t>’ submissions on these matters.</w:t>
      </w:r>
    </w:p>
    <w:p w14:paraId="07F06526" w14:textId="0AB2BD51" w:rsidR="002303DF" w:rsidRDefault="00543679" w:rsidP="00783170">
      <w:pPr>
        <w:pStyle w:val="1"/>
        <w:numPr>
          <w:ilvl w:val="0"/>
          <w:numId w:val="0"/>
        </w:numPr>
        <w:ind w:left="567" w:hanging="567"/>
        <w:rPr>
          <w:lang w:val="en-ZA"/>
        </w:rPr>
      </w:pPr>
      <w:r>
        <w:rPr>
          <w:lang w:val="en-ZA"/>
        </w:rPr>
        <w:t>[1</w:t>
      </w:r>
      <w:r w:rsidR="00BB03D0">
        <w:rPr>
          <w:lang w:val="en-ZA"/>
        </w:rPr>
        <w:t>9</w:t>
      </w:r>
      <w:r>
        <w:rPr>
          <w:lang w:val="en-ZA"/>
        </w:rPr>
        <w:t>]</w:t>
      </w:r>
      <w:r>
        <w:rPr>
          <w:lang w:val="en-ZA"/>
        </w:rPr>
        <w:tab/>
      </w:r>
      <w:r w:rsidR="002303DF">
        <w:rPr>
          <w:lang w:val="en-ZA"/>
        </w:rPr>
        <w:t xml:space="preserve">In the circumstances, the requirements for an interim interdict are met.  The applicants have </w:t>
      </w:r>
      <w:proofErr w:type="gramStart"/>
      <w:r w:rsidR="002303DF">
        <w:rPr>
          <w:lang w:val="en-ZA"/>
        </w:rPr>
        <w:t>a prima facie</w:t>
      </w:r>
      <w:proofErr w:type="gramEnd"/>
      <w:r w:rsidR="002303DF">
        <w:rPr>
          <w:lang w:val="en-ZA"/>
        </w:rPr>
        <w:t xml:space="preserve"> right to be evicted </w:t>
      </w:r>
      <w:r w:rsidR="00241393">
        <w:rPr>
          <w:lang w:val="en-ZA"/>
        </w:rPr>
        <w:t xml:space="preserve">only </w:t>
      </w:r>
      <w:r w:rsidR="002303DF">
        <w:rPr>
          <w:lang w:val="en-ZA"/>
        </w:rPr>
        <w:t xml:space="preserve">in accordance with the requirements of PIE to the extent that it applies.  The Court evicting them </w:t>
      </w:r>
      <w:proofErr w:type="gramStart"/>
      <w:r w:rsidR="002303DF">
        <w:rPr>
          <w:lang w:val="en-ZA"/>
        </w:rPr>
        <w:t>has to</w:t>
      </w:r>
      <w:proofErr w:type="gramEnd"/>
      <w:r w:rsidR="002303DF">
        <w:rPr>
          <w:lang w:val="en-ZA"/>
        </w:rPr>
        <w:t xml:space="preserve"> properly conduct the inquiry and make the </w:t>
      </w:r>
      <w:r w:rsidR="002303DF">
        <w:rPr>
          <w:lang w:val="en-ZA"/>
        </w:rPr>
        <w:lastRenderedPageBreak/>
        <w:t xml:space="preserve">determinations that the SCA and the Constitutional Court say are obligatory.  The applicants have made out a prima facie case that the Court granting the order on 19 March 2024 may have failed in its duties.  The Court hearing the rescission application may conduct a more in-depth inquiry in this regard.  The applicants have no alternative remedy to stop their imminent eviction other than by way of the interim interdict that they seek.  The balance of convenience favours them.  They stand to suffer more prejudice if the eviction is carried </w:t>
      </w:r>
      <w:proofErr w:type="gramStart"/>
      <w:r w:rsidR="002303DF">
        <w:rPr>
          <w:lang w:val="en-ZA"/>
        </w:rPr>
        <w:t>out</w:t>
      </w:r>
      <w:proofErr w:type="gramEnd"/>
      <w:r w:rsidR="002303DF">
        <w:rPr>
          <w:lang w:val="en-ZA"/>
        </w:rPr>
        <w:t xml:space="preserve"> but their rescission application succeeds.  It will be an entirely empty victory.  </w:t>
      </w:r>
    </w:p>
    <w:p w14:paraId="33323379" w14:textId="1A77ED7A" w:rsidR="000E2DEC" w:rsidRDefault="002303DF" w:rsidP="00783170">
      <w:pPr>
        <w:pStyle w:val="1"/>
        <w:numPr>
          <w:ilvl w:val="0"/>
          <w:numId w:val="0"/>
        </w:numPr>
        <w:ind w:left="567" w:hanging="567"/>
        <w:rPr>
          <w:lang w:val="en-ZA"/>
        </w:rPr>
      </w:pPr>
      <w:r>
        <w:rPr>
          <w:lang w:val="en-ZA"/>
        </w:rPr>
        <w:t>[</w:t>
      </w:r>
      <w:r w:rsidR="00BB03D0">
        <w:rPr>
          <w:lang w:val="en-ZA"/>
        </w:rPr>
        <w:t>20</w:t>
      </w:r>
      <w:r>
        <w:rPr>
          <w:lang w:val="en-ZA"/>
        </w:rPr>
        <w:t>]</w:t>
      </w:r>
      <w:r>
        <w:rPr>
          <w:lang w:val="en-ZA"/>
        </w:rPr>
        <w:tab/>
      </w:r>
      <w:r w:rsidR="000E2DEC">
        <w:rPr>
          <w:lang w:val="en-ZA"/>
        </w:rPr>
        <w:t xml:space="preserve">I conclude that the applicants have made out a proper case for the interim interdict that they seek or </w:t>
      </w:r>
      <w:r w:rsidR="00BB03D0">
        <w:rPr>
          <w:lang w:val="en-ZA"/>
        </w:rPr>
        <w:t xml:space="preserve">for </w:t>
      </w:r>
      <w:r w:rsidR="000E2DEC">
        <w:rPr>
          <w:lang w:val="en-ZA"/>
        </w:rPr>
        <w:t>the suspension of the execution of the eviction order in terms of Rule 45A of the Uniform Rules of Court.</w:t>
      </w:r>
    </w:p>
    <w:p w14:paraId="5805C6BB" w14:textId="6BE92806" w:rsidR="000E2DEC" w:rsidRDefault="000E2DEC" w:rsidP="00783170">
      <w:pPr>
        <w:pStyle w:val="1"/>
        <w:numPr>
          <w:ilvl w:val="0"/>
          <w:numId w:val="0"/>
        </w:numPr>
        <w:ind w:left="567" w:hanging="567"/>
        <w:rPr>
          <w:lang w:val="en-ZA"/>
        </w:rPr>
      </w:pPr>
      <w:r>
        <w:rPr>
          <w:lang w:val="en-ZA"/>
        </w:rPr>
        <w:t>[</w:t>
      </w:r>
      <w:r w:rsidR="00BB03D0">
        <w:rPr>
          <w:lang w:val="en-ZA"/>
        </w:rPr>
        <w:t>21</w:t>
      </w:r>
      <w:r>
        <w:rPr>
          <w:lang w:val="en-ZA"/>
        </w:rPr>
        <w:t>]</w:t>
      </w:r>
      <w:r>
        <w:rPr>
          <w:lang w:val="en-ZA"/>
        </w:rPr>
        <w:tab/>
        <w:t>In the circumstances, I grant the following order:</w:t>
      </w:r>
    </w:p>
    <w:p w14:paraId="5516981A" w14:textId="77777777" w:rsidR="00144C02" w:rsidRDefault="00144C02" w:rsidP="00144C02">
      <w:pPr>
        <w:pStyle w:val="1"/>
        <w:numPr>
          <w:ilvl w:val="0"/>
          <w:numId w:val="0"/>
        </w:numPr>
        <w:ind w:left="567" w:hanging="567"/>
        <w:rPr>
          <w:lang w:val="en-US"/>
        </w:rPr>
      </w:pPr>
      <w:r>
        <w:rPr>
          <w:lang w:val="en-ZA"/>
        </w:rPr>
        <w:t>(1)</w:t>
      </w:r>
      <w:r>
        <w:rPr>
          <w:lang w:val="en-ZA"/>
        </w:rPr>
        <w:tab/>
      </w:r>
      <w:r>
        <w:rPr>
          <w:lang w:val="en-US"/>
        </w:rPr>
        <w:t>The matter is heard as one of urgency, non-compliance with the prescribed forms, manner of service and time frames are condoned in accordance with the provisions of Rule 6(12) of the Uniform Rules of Court.</w:t>
      </w:r>
    </w:p>
    <w:p w14:paraId="00330AE1" w14:textId="2FF886DC" w:rsidR="00144C02" w:rsidRDefault="00144C02" w:rsidP="00783170">
      <w:pPr>
        <w:pStyle w:val="1"/>
        <w:numPr>
          <w:ilvl w:val="0"/>
          <w:numId w:val="0"/>
        </w:numPr>
        <w:ind w:left="567" w:hanging="567"/>
        <w:rPr>
          <w:lang w:val="en-ZA"/>
        </w:rPr>
      </w:pPr>
      <w:r>
        <w:rPr>
          <w:lang w:val="en-ZA"/>
        </w:rPr>
        <w:t>(2)</w:t>
      </w:r>
      <w:r>
        <w:rPr>
          <w:lang w:val="en-ZA"/>
        </w:rPr>
        <w:tab/>
        <w:t>The first and third respondents</w:t>
      </w:r>
      <w:r w:rsidR="00897CC0">
        <w:rPr>
          <w:lang w:val="en-ZA"/>
        </w:rPr>
        <w:t>, or anyone acting on their behalf,</w:t>
      </w:r>
      <w:r>
        <w:rPr>
          <w:lang w:val="en-ZA"/>
        </w:rPr>
        <w:t xml:space="preserve"> are interdicted and restrained from proceeding with the execution of the order of this Court that was granted on </w:t>
      </w:r>
      <w:r w:rsidR="00897CC0">
        <w:rPr>
          <w:lang w:val="en-ZA"/>
        </w:rPr>
        <w:t xml:space="preserve">or about </w:t>
      </w:r>
      <w:r>
        <w:rPr>
          <w:lang w:val="en-ZA"/>
        </w:rPr>
        <w:t>19 March 2024, per Van Aswegen AJ, under case number 003687/2022</w:t>
      </w:r>
      <w:r w:rsidR="00897CC0">
        <w:rPr>
          <w:lang w:val="en-ZA"/>
        </w:rPr>
        <w:t>,</w:t>
      </w:r>
      <w:r>
        <w:rPr>
          <w:lang w:val="en-ZA"/>
        </w:rPr>
        <w:t xml:space="preserve"> pending the final </w:t>
      </w:r>
      <w:r>
        <w:rPr>
          <w:lang w:val="en-ZA"/>
        </w:rPr>
        <w:lastRenderedPageBreak/>
        <w:t>determination of the rescission application brought by the applicants to set aside the aforesaid order.</w:t>
      </w:r>
    </w:p>
    <w:p w14:paraId="46CE28C3" w14:textId="109A4507" w:rsidR="007B01F1" w:rsidRDefault="00897CC0" w:rsidP="00897CC0">
      <w:pPr>
        <w:pStyle w:val="1"/>
        <w:numPr>
          <w:ilvl w:val="0"/>
          <w:numId w:val="0"/>
        </w:numPr>
        <w:ind w:left="567" w:hanging="567"/>
        <w:rPr>
          <w:lang w:val="en-ZA"/>
        </w:rPr>
      </w:pPr>
      <w:r>
        <w:rPr>
          <w:lang w:val="en-ZA"/>
        </w:rPr>
        <w:t>(3)</w:t>
      </w:r>
      <w:r>
        <w:rPr>
          <w:lang w:val="en-ZA"/>
        </w:rPr>
        <w:tab/>
        <w:t>The first and third respondents are ordered to pay the applicants’ costs of this application.</w:t>
      </w:r>
    </w:p>
    <w:p w14:paraId="10936D35" w14:textId="0956D299" w:rsidR="00454378" w:rsidRDefault="00454378" w:rsidP="00454378">
      <w:pPr>
        <w:tabs>
          <w:tab w:val="right" w:pos="0"/>
        </w:tabs>
        <w:spacing w:line="480" w:lineRule="auto"/>
        <w:rPr>
          <w:lang w:val="en-ZA"/>
        </w:rPr>
      </w:pPr>
    </w:p>
    <w:p w14:paraId="02D13A70" w14:textId="77777777" w:rsidR="00454378" w:rsidRDefault="00454378" w:rsidP="00454378">
      <w:pPr>
        <w:tabs>
          <w:tab w:val="right" w:pos="0"/>
        </w:tabs>
        <w:spacing w:line="360" w:lineRule="auto"/>
        <w:rPr>
          <w:lang w:val="en-ZA"/>
        </w:rPr>
      </w:pPr>
      <w:r>
        <w:rPr>
          <w:lang w:val="en-ZA"/>
        </w:rPr>
        <w:tab/>
      </w:r>
      <w:r>
        <w:rPr>
          <w:lang w:val="en-ZA"/>
        </w:rPr>
        <w:tab/>
      </w:r>
      <w:r>
        <w:rPr>
          <w:lang w:val="en-ZA"/>
        </w:rPr>
        <w:tab/>
      </w:r>
      <w:r>
        <w:rPr>
          <w:lang w:val="en-ZA"/>
        </w:rPr>
        <w:tab/>
        <w:t>________________________________________</w:t>
      </w:r>
    </w:p>
    <w:p w14:paraId="2FBB864C" w14:textId="77F3FF16" w:rsidR="00454378" w:rsidRDefault="00454378" w:rsidP="00454378">
      <w:pPr>
        <w:tabs>
          <w:tab w:val="right" w:pos="0"/>
        </w:tabs>
        <w:rPr>
          <w:b/>
          <w:lang w:val="en-ZA"/>
        </w:rPr>
      </w:pPr>
      <w:r>
        <w:rPr>
          <w:lang w:val="en-ZA"/>
        </w:rPr>
        <w:tab/>
      </w:r>
      <w:r>
        <w:rPr>
          <w:lang w:val="en-ZA"/>
        </w:rPr>
        <w:tab/>
      </w:r>
      <w:r>
        <w:rPr>
          <w:lang w:val="en-ZA"/>
        </w:rPr>
        <w:tab/>
      </w:r>
      <w:r>
        <w:rPr>
          <w:lang w:val="en-ZA"/>
        </w:rPr>
        <w:tab/>
      </w:r>
      <w:r>
        <w:rPr>
          <w:lang w:val="en-ZA"/>
        </w:rPr>
        <w:tab/>
      </w:r>
      <w:r>
        <w:rPr>
          <w:lang w:val="en-ZA"/>
        </w:rPr>
        <w:tab/>
        <w:t xml:space="preserve">   </w:t>
      </w:r>
      <w:r w:rsidR="00783170">
        <w:rPr>
          <w:b/>
          <w:lang w:val="en-ZA"/>
        </w:rPr>
        <w:t>NH MAENETJE</w:t>
      </w:r>
    </w:p>
    <w:p w14:paraId="481BE083" w14:textId="5F0923B9" w:rsidR="00454378" w:rsidRDefault="00454378" w:rsidP="00454378">
      <w:pPr>
        <w:tabs>
          <w:tab w:val="right" w:pos="0"/>
        </w:tabs>
        <w:rPr>
          <w:b/>
          <w:lang w:val="en-ZA"/>
        </w:rPr>
      </w:pPr>
      <w:r>
        <w:rPr>
          <w:b/>
          <w:lang w:val="en-ZA"/>
        </w:rPr>
        <w:tab/>
      </w:r>
      <w:r>
        <w:rPr>
          <w:b/>
          <w:lang w:val="en-ZA"/>
        </w:rPr>
        <w:tab/>
      </w:r>
      <w:r>
        <w:rPr>
          <w:b/>
          <w:lang w:val="en-ZA"/>
        </w:rPr>
        <w:tab/>
      </w:r>
      <w:r>
        <w:rPr>
          <w:b/>
          <w:lang w:val="en-ZA"/>
        </w:rPr>
        <w:tab/>
      </w:r>
      <w:r>
        <w:rPr>
          <w:b/>
          <w:lang w:val="en-ZA"/>
        </w:rPr>
        <w:tab/>
        <w:t xml:space="preserve">   </w:t>
      </w:r>
      <w:proofErr w:type="gramStart"/>
      <w:r w:rsidR="00783170">
        <w:rPr>
          <w:b/>
          <w:lang w:val="en-ZA"/>
        </w:rPr>
        <w:t xml:space="preserve">ACTING </w:t>
      </w:r>
      <w:r>
        <w:rPr>
          <w:b/>
          <w:lang w:val="en-ZA"/>
        </w:rPr>
        <w:t xml:space="preserve"> JUDGE</w:t>
      </w:r>
      <w:proofErr w:type="gramEnd"/>
      <w:r>
        <w:rPr>
          <w:b/>
          <w:lang w:val="en-ZA"/>
        </w:rPr>
        <w:t xml:space="preserve"> OF THE HIGH COURT</w:t>
      </w:r>
    </w:p>
    <w:p w14:paraId="238CB3CC" w14:textId="208CCCF5" w:rsidR="00127F56" w:rsidRDefault="00454378" w:rsidP="00127F56">
      <w:pPr>
        <w:tabs>
          <w:tab w:val="right" w:pos="0"/>
        </w:tabs>
        <w:rPr>
          <w:b/>
          <w:lang w:val="en-ZA"/>
        </w:rPr>
      </w:pPr>
      <w:r>
        <w:rPr>
          <w:b/>
          <w:lang w:val="en-ZA"/>
        </w:rPr>
        <w:tab/>
      </w:r>
      <w:r>
        <w:rPr>
          <w:b/>
          <w:lang w:val="en-ZA"/>
        </w:rPr>
        <w:tab/>
      </w:r>
      <w:r>
        <w:rPr>
          <w:b/>
          <w:lang w:val="en-ZA"/>
        </w:rPr>
        <w:tab/>
      </w:r>
      <w:r>
        <w:rPr>
          <w:b/>
          <w:lang w:val="en-ZA"/>
        </w:rPr>
        <w:tab/>
        <w:t>GAUTENG LOCAL DIVISION, JOHANNESBURG</w:t>
      </w:r>
    </w:p>
    <w:p w14:paraId="67DA55E0" w14:textId="77777777" w:rsidR="00127F56" w:rsidRDefault="00127F56" w:rsidP="00127F56">
      <w:pPr>
        <w:tabs>
          <w:tab w:val="right" w:pos="0"/>
        </w:tabs>
        <w:rPr>
          <w:b/>
          <w:lang w:val="en-ZA"/>
        </w:rPr>
      </w:pPr>
    </w:p>
    <w:p w14:paraId="3E1D5821" w14:textId="77777777" w:rsidR="00127F56" w:rsidRDefault="00127F56" w:rsidP="00127F56">
      <w:pPr>
        <w:tabs>
          <w:tab w:val="right" w:pos="0"/>
        </w:tabs>
        <w:rPr>
          <w:b/>
          <w:lang w:val="en-ZA"/>
        </w:rPr>
      </w:pPr>
    </w:p>
    <w:p w14:paraId="06CAB718" w14:textId="723D1299" w:rsidR="00127F56" w:rsidRDefault="00127F56" w:rsidP="00127F56">
      <w:pPr>
        <w:tabs>
          <w:tab w:val="right" w:pos="0"/>
        </w:tabs>
        <w:rPr>
          <w:lang w:val="en-ZA"/>
        </w:rPr>
      </w:pPr>
      <w:r>
        <w:rPr>
          <w:lang w:val="en-ZA"/>
        </w:rPr>
        <w:t>Date of hearing</w:t>
      </w:r>
      <w:r>
        <w:rPr>
          <w:lang w:val="en-ZA"/>
        </w:rPr>
        <w:tab/>
      </w:r>
      <w:r>
        <w:rPr>
          <w:lang w:val="en-ZA"/>
        </w:rPr>
        <w:tab/>
      </w:r>
      <w:r>
        <w:rPr>
          <w:lang w:val="en-ZA"/>
        </w:rPr>
        <w:tab/>
        <w:t>:</w:t>
      </w:r>
      <w:r>
        <w:rPr>
          <w:lang w:val="en-ZA"/>
        </w:rPr>
        <w:tab/>
      </w:r>
      <w:r w:rsidR="00897CC0">
        <w:rPr>
          <w:lang w:val="en-ZA"/>
        </w:rPr>
        <w:t>05 June 2024</w:t>
      </w:r>
    </w:p>
    <w:p w14:paraId="29DEC3AD" w14:textId="77777777" w:rsidR="00127F56" w:rsidRDefault="00127F56" w:rsidP="00127F56">
      <w:pPr>
        <w:tabs>
          <w:tab w:val="right" w:pos="0"/>
        </w:tabs>
        <w:rPr>
          <w:lang w:val="en-ZA"/>
        </w:rPr>
      </w:pPr>
    </w:p>
    <w:p w14:paraId="150C68FC" w14:textId="0E64FB40" w:rsidR="003C2813" w:rsidRDefault="00127F56" w:rsidP="00897CC0">
      <w:pPr>
        <w:tabs>
          <w:tab w:val="right" w:pos="0"/>
        </w:tabs>
        <w:rPr>
          <w:lang w:val="en-ZA"/>
        </w:rPr>
      </w:pPr>
      <w:r>
        <w:rPr>
          <w:lang w:val="en-ZA"/>
        </w:rPr>
        <w:t>Date of judgment</w:t>
      </w:r>
      <w:r>
        <w:rPr>
          <w:lang w:val="en-ZA"/>
        </w:rPr>
        <w:tab/>
      </w:r>
      <w:r>
        <w:rPr>
          <w:lang w:val="en-ZA"/>
        </w:rPr>
        <w:tab/>
      </w:r>
      <w:r>
        <w:rPr>
          <w:lang w:val="en-ZA"/>
        </w:rPr>
        <w:tab/>
        <w:t>:</w:t>
      </w:r>
      <w:r>
        <w:rPr>
          <w:lang w:val="en-ZA"/>
        </w:rPr>
        <w:tab/>
      </w:r>
      <w:r w:rsidR="00897CC0">
        <w:rPr>
          <w:lang w:val="en-ZA"/>
        </w:rPr>
        <w:t>06 June 2024</w:t>
      </w:r>
    </w:p>
    <w:p w14:paraId="5F784394" w14:textId="77777777" w:rsidR="00AD3860" w:rsidRDefault="00AD3860" w:rsidP="00897CC0">
      <w:pPr>
        <w:tabs>
          <w:tab w:val="right" w:pos="0"/>
        </w:tabs>
        <w:rPr>
          <w:lang w:val="en-ZA"/>
        </w:rPr>
      </w:pPr>
    </w:p>
    <w:p w14:paraId="6882D2AE" w14:textId="77777777" w:rsidR="00AD3860" w:rsidRDefault="00AD3860" w:rsidP="00897CC0">
      <w:pPr>
        <w:tabs>
          <w:tab w:val="right" w:pos="0"/>
        </w:tabs>
        <w:rPr>
          <w:lang w:val="en-ZA"/>
        </w:rPr>
      </w:pPr>
    </w:p>
    <w:p w14:paraId="267AAF95" w14:textId="2752BD7C" w:rsidR="00AD3860" w:rsidRDefault="00AD3860" w:rsidP="00897CC0">
      <w:pPr>
        <w:tabs>
          <w:tab w:val="right" w:pos="0"/>
        </w:tabs>
        <w:rPr>
          <w:lang w:val="en-ZA"/>
        </w:rPr>
      </w:pPr>
      <w:r>
        <w:rPr>
          <w:lang w:val="en-ZA"/>
        </w:rPr>
        <w:t>For the applicants:</w:t>
      </w:r>
      <w:r>
        <w:rPr>
          <w:lang w:val="en-ZA"/>
        </w:rPr>
        <w:tab/>
      </w:r>
      <w:r>
        <w:rPr>
          <w:lang w:val="en-ZA"/>
        </w:rPr>
        <w:tab/>
      </w:r>
      <w:r>
        <w:rPr>
          <w:lang w:val="en-ZA"/>
        </w:rPr>
        <w:tab/>
      </w:r>
      <w:r>
        <w:rPr>
          <w:lang w:val="en-ZA"/>
        </w:rPr>
        <w:tab/>
        <w:t xml:space="preserve">I </w:t>
      </w:r>
      <w:proofErr w:type="spellStart"/>
      <w:r>
        <w:rPr>
          <w:lang w:val="en-ZA"/>
        </w:rPr>
        <w:t>Mureriwa</w:t>
      </w:r>
      <w:proofErr w:type="spellEnd"/>
    </w:p>
    <w:p w14:paraId="13F5249D" w14:textId="77777777" w:rsidR="00AD3860" w:rsidRDefault="00AD3860" w:rsidP="00897CC0">
      <w:pPr>
        <w:tabs>
          <w:tab w:val="right" w:pos="0"/>
        </w:tabs>
        <w:rPr>
          <w:lang w:val="en-ZA"/>
        </w:rPr>
      </w:pPr>
    </w:p>
    <w:p w14:paraId="59775A55" w14:textId="213639E0" w:rsidR="00AD3860" w:rsidRDefault="00AD3860" w:rsidP="00897CC0">
      <w:pPr>
        <w:tabs>
          <w:tab w:val="right" w:pos="0"/>
        </w:tabs>
        <w:rPr>
          <w:lang w:val="en-ZA"/>
        </w:rPr>
      </w:pPr>
      <w:r>
        <w:rPr>
          <w:lang w:val="en-ZA"/>
        </w:rPr>
        <w:t>Instructed by CMS Attorneys</w:t>
      </w:r>
    </w:p>
    <w:p w14:paraId="1BF0B12F" w14:textId="77777777" w:rsidR="00AD3860" w:rsidRDefault="00AD3860" w:rsidP="00897CC0">
      <w:pPr>
        <w:tabs>
          <w:tab w:val="right" w:pos="0"/>
        </w:tabs>
        <w:rPr>
          <w:lang w:val="en-ZA"/>
        </w:rPr>
      </w:pPr>
    </w:p>
    <w:p w14:paraId="11BF6B2C" w14:textId="77777777" w:rsidR="00AD3860" w:rsidRDefault="00AD3860" w:rsidP="00897CC0">
      <w:pPr>
        <w:tabs>
          <w:tab w:val="right" w:pos="0"/>
        </w:tabs>
        <w:rPr>
          <w:lang w:val="en-ZA"/>
        </w:rPr>
      </w:pPr>
    </w:p>
    <w:p w14:paraId="66DCE7E5" w14:textId="6B15598E" w:rsidR="00AD3860" w:rsidRDefault="00AD3860" w:rsidP="00897CC0">
      <w:pPr>
        <w:tabs>
          <w:tab w:val="right" w:pos="0"/>
        </w:tabs>
        <w:rPr>
          <w:lang w:val="en-ZA"/>
        </w:rPr>
      </w:pPr>
      <w:r>
        <w:rPr>
          <w:lang w:val="en-ZA"/>
        </w:rPr>
        <w:t>For the 1</w:t>
      </w:r>
      <w:r w:rsidRPr="00AD3860">
        <w:rPr>
          <w:vertAlign w:val="superscript"/>
          <w:lang w:val="en-ZA"/>
        </w:rPr>
        <w:t>st</w:t>
      </w:r>
      <w:r>
        <w:rPr>
          <w:lang w:val="en-ZA"/>
        </w:rPr>
        <w:t xml:space="preserve"> respondent:</w:t>
      </w:r>
      <w:r>
        <w:rPr>
          <w:lang w:val="en-ZA"/>
        </w:rPr>
        <w:tab/>
      </w:r>
      <w:r>
        <w:rPr>
          <w:lang w:val="en-ZA"/>
        </w:rPr>
        <w:tab/>
      </w:r>
      <w:r>
        <w:rPr>
          <w:lang w:val="en-ZA"/>
        </w:rPr>
        <w:tab/>
        <w:t>L Mhlanga</w:t>
      </w:r>
    </w:p>
    <w:p w14:paraId="4A44C745" w14:textId="77777777" w:rsidR="00AD3860" w:rsidRDefault="00AD3860" w:rsidP="00897CC0">
      <w:pPr>
        <w:tabs>
          <w:tab w:val="right" w:pos="0"/>
        </w:tabs>
        <w:rPr>
          <w:lang w:val="en-ZA"/>
        </w:rPr>
      </w:pPr>
    </w:p>
    <w:p w14:paraId="71657EF2" w14:textId="6D5A6179" w:rsidR="00AD3860" w:rsidRPr="004B5128" w:rsidRDefault="00AD3860" w:rsidP="00897CC0">
      <w:pPr>
        <w:tabs>
          <w:tab w:val="right" w:pos="0"/>
        </w:tabs>
      </w:pPr>
      <w:r>
        <w:rPr>
          <w:lang w:val="en-ZA"/>
        </w:rPr>
        <w:t>Instructed by Precious Muleya Inc</w:t>
      </w:r>
    </w:p>
    <w:sectPr w:rsidR="00AD3860" w:rsidRPr="004B5128" w:rsidSect="000A0FB2">
      <w:headerReference w:type="even" r:id="rId11"/>
      <w:headerReference w:type="default" r:id="rId12"/>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86D71A" w14:textId="77777777" w:rsidR="007B5DBC" w:rsidRDefault="007B5DBC" w:rsidP="000A0FB2">
      <w:r>
        <w:separator/>
      </w:r>
    </w:p>
  </w:endnote>
  <w:endnote w:type="continuationSeparator" w:id="0">
    <w:p w14:paraId="0F01D826" w14:textId="77777777" w:rsidR="007B5DBC" w:rsidRDefault="007B5DBC" w:rsidP="000A0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Microsoft Sans Serif"/>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5A866C" w14:textId="77777777" w:rsidR="007B5DBC" w:rsidRDefault="007B5DBC" w:rsidP="000A0FB2">
      <w:r>
        <w:separator/>
      </w:r>
    </w:p>
  </w:footnote>
  <w:footnote w:type="continuationSeparator" w:id="0">
    <w:p w14:paraId="71E8289E" w14:textId="77777777" w:rsidR="007B5DBC" w:rsidRDefault="007B5DBC" w:rsidP="000A0FB2">
      <w:r>
        <w:continuationSeparator/>
      </w:r>
    </w:p>
  </w:footnote>
  <w:footnote w:id="1">
    <w:p w14:paraId="56B14559" w14:textId="22035204" w:rsidR="00C05BA0" w:rsidRPr="003C3C03" w:rsidRDefault="00C05BA0">
      <w:pPr>
        <w:pStyle w:val="FootnoteText"/>
        <w:rPr>
          <w:lang w:val="en-US"/>
        </w:rPr>
      </w:pPr>
      <w:r>
        <w:rPr>
          <w:rStyle w:val="FootnoteReference"/>
        </w:rPr>
        <w:footnoteRef/>
      </w:r>
      <w:r>
        <w:t xml:space="preserve"> </w:t>
      </w:r>
      <w:proofErr w:type="spellStart"/>
      <w:r w:rsidR="003C3C03">
        <w:rPr>
          <w:i/>
          <w:iCs/>
          <w:lang w:val="en-US"/>
        </w:rPr>
        <w:t>Pitelli</w:t>
      </w:r>
      <w:proofErr w:type="spellEnd"/>
      <w:r w:rsidR="003C3C03">
        <w:rPr>
          <w:i/>
          <w:iCs/>
          <w:lang w:val="en-US"/>
        </w:rPr>
        <w:t xml:space="preserve"> v Everton Gardens Project CC </w:t>
      </w:r>
      <w:r w:rsidR="003C3C03">
        <w:rPr>
          <w:lang w:val="en-US"/>
        </w:rPr>
        <w:t>2010 (5) SA 171 (SCA) para 25.</w:t>
      </w:r>
    </w:p>
  </w:footnote>
  <w:footnote w:id="2">
    <w:p w14:paraId="6771BE4E" w14:textId="43285602" w:rsidR="00107B03" w:rsidRPr="00107B03" w:rsidRDefault="00107B03">
      <w:pPr>
        <w:pStyle w:val="FootnoteText"/>
        <w:rPr>
          <w:lang w:val="en-US"/>
        </w:rPr>
      </w:pPr>
      <w:r>
        <w:rPr>
          <w:rStyle w:val="FootnoteReference"/>
        </w:rPr>
        <w:footnoteRef/>
      </w:r>
      <w:r>
        <w:t xml:space="preserve"> </w:t>
      </w:r>
      <w:r>
        <w:rPr>
          <w:i/>
          <w:iCs/>
          <w:lang w:val="en-US"/>
        </w:rPr>
        <w:t xml:space="preserve">Pitelli v Everton Gardens Projects CC </w:t>
      </w:r>
      <w:r>
        <w:rPr>
          <w:lang w:val="en-US"/>
        </w:rPr>
        <w:t>2010 (5) 171 (SCA).  They rely on paragraph 22 of this judgment.</w:t>
      </w:r>
    </w:p>
  </w:footnote>
  <w:footnote w:id="3">
    <w:p w14:paraId="3F8601A8" w14:textId="46AB047B" w:rsidR="00107B03" w:rsidRPr="00107B03" w:rsidRDefault="00107B03">
      <w:pPr>
        <w:pStyle w:val="FootnoteText"/>
        <w:rPr>
          <w:lang w:val="en-US"/>
        </w:rPr>
      </w:pPr>
      <w:r>
        <w:rPr>
          <w:rStyle w:val="FootnoteReference"/>
        </w:rPr>
        <w:footnoteRef/>
      </w:r>
      <w:r>
        <w:t xml:space="preserve"> </w:t>
      </w:r>
      <w:r>
        <w:rPr>
          <w:i/>
          <w:iCs/>
          <w:lang w:val="en-US"/>
        </w:rPr>
        <w:t xml:space="preserve">Rainbow Farms (Pty) Ltd v Crockery Gladstone </w:t>
      </w:r>
      <w:r>
        <w:rPr>
          <w:lang w:val="en-US"/>
        </w:rPr>
        <w:t xml:space="preserve">(HCA15/2017) [2017] ZALMPPHC 35 (7 November 2017).  They rely on paragraph 17 of this judgment.  </w:t>
      </w:r>
    </w:p>
  </w:footnote>
  <w:footnote w:id="4">
    <w:p w14:paraId="54E42524" w14:textId="0F9BD74B" w:rsidR="00DB6580" w:rsidRPr="00DB6580" w:rsidRDefault="00DB6580" w:rsidP="00DB6580">
      <w:pPr>
        <w:pStyle w:val="FootnoteText"/>
      </w:pPr>
      <w:r>
        <w:rPr>
          <w:rStyle w:val="FootnoteReference"/>
        </w:rPr>
        <w:footnoteRef/>
      </w:r>
      <w:r>
        <w:t xml:space="preserve"> </w:t>
      </w:r>
      <w:r w:rsidRPr="00DB6580">
        <w:rPr>
          <w:i/>
          <w:iCs/>
        </w:rPr>
        <w:t>De Allende v Dr E Baraldi t/a Embassy Drive Medical Centre</w:t>
      </w:r>
      <w:r>
        <w:t xml:space="preserve"> [1999] JOL 5434 (T).</w:t>
      </w:r>
    </w:p>
  </w:footnote>
  <w:footnote w:id="5">
    <w:p w14:paraId="6EDAE751" w14:textId="5312A9A2" w:rsidR="00D138CC" w:rsidRPr="00D138CC" w:rsidRDefault="00D138CC">
      <w:pPr>
        <w:pStyle w:val="FootnoteText"/>
        <w:rPr>
          <w:lang w:val="en-US"/>
        </w:rPr>
      </w:pPr>
      <w:r>
        <w:rPr>
          <w:rStyle w:val="FootnoteReference"/>
        </w:rPr>
        <w:footnoteRef/>
      </w:r>
      <w:r>
        <w:t xml:space="preserve"> </w:t>
      </w:r>
      <w:r w:rsidRPr="00D138CC">
        <w:rPr>
          <w:bCs/>
          <w:i/>
          <w:lang w:val="en-US"/>
        </w:rPr>
        <w:t>City of Johannesburg v Changing Tides 74 (Pty) Ltd and others (Socio-Economic Rights Institute of South Africa</w:t>
      </w:r>
      <w:r w:rsidRPr="00D138CC">
        <w:rPr>
          <w:bCs/>
          <w:lang w:val="en-US"/>
        </w:rPr>
        <w:t xml:space="preserve"> </w:t>
      </w:r>
      <w:r w:rsidRPr="00D138CC">
        <w:rPr>
          <w:bCs/>
          <w:i/>
          <w:lang w:val="en-US"/>
        </w:rPr>
        <w:t>as</w:t>
      </w:r>
      <w:r w:rsidRPr="00D138CC">
        <w:rPr>
          <w:bCs/>
          <w:lang w:val="en-US"/>
        </w:rPr>
        <w:t xml:space="preserve"> </w:t>
      </w:r>
      <w:r w:rsidRPr="00D138CC">
        <w:rPr>
          <w:bCs/>
          <w:i/>
          <w:lang w:val="en-US"/>
        </w:rPr>
        <w:t>amicus curiae</w:t>
      </w:r>
      <w:r w:rsidRPr="00D138CC">
        <w:rPr>
          <w:bCs/>
          <w:lang w:val="en-US"/>
        </w:rPr>
        <w:t>)</w:t>
      </w:r>
      <w:r w:rsidRPr="00D138CC">
        <w:rPr>
          <w:rFonts w:ascii="MS Gothic" w:eastAsia="MS Gothic" w:hAnsi="MS Gothic" w:cs="MS Gothic" w:hint="eastAsia"/>
          <w:bCs/>
          <w:lang w:val="en-US"/>
        </w:rPr>
        <w:t> </w:t>
      </w:r>
      <w:r w:rsidRPr="00D138CC">
        <w:rPr>
          <w:bCs/>
          <w:lang w:val="en-US"/>
        </w:rPr>
        <w:t>[2013] 1 All SA 8 (SCA)</w:t>
      </w:r>
      <w:r>
        <w:rPr>
          <w:bCs/>
          <w:lang w:val="en-US"/>
        </w:rPr>
        <w:t>.</w:t>
      </w:r>
    </w:p>
  </w:footnote>
  <w:footnote w:id="6">
    <w:p w14:paraId="6F85A661" w14:textId="2962DE57" w:rsidR="009621E4" w:rsidRPr="009621E4" w:rsidRDefault="009621E4">
      <w:pPr>
        <w:pStyle w:val="FootnoteText"/>
        <w:rPr>
          <w:lang w:val="en-US"/>
        </w:rPr>
      </w:pPr>
      <w:r>
        <w:rPr>
          <w:rStyle w:val="FootnoteReference"/>
        </w:rPr>
        <w:footnoteRef/>
      </w:r>
      <w:r>
        <w:t xml:space="preserve"> </w:t>
      </w:r>
      <w:r w:rsidR="005E59EE" w:rsidRPr="005E59EE">
        <w:rPr>
          <w:i/>
          <w:iCs/>
        </w:rPr>
        <w:t>Occupiers of Erven 87 and 88 Berea v De Wet N.O. and Another</w:t>
      </w:r>
      <w:r w:rsidR="005E59EE" w:rsidRPr="005E59EE">
        <w:t xml:space="preserve"> 2017 (5) SA 346 (CC)</w:t>
      </w:r>
      <w:r w:rsidR="005E59E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467404045"/>
      <w:docPartObj>
        <w:docPartGallery w:val="Page Numbers (Top of Page)"/>
        <w:docPartUnique/>
      </w:docPartObj>
    </w:sdtPr>
    <w:sdtContent>
      <w:p w14:paraId="5D54064D" w14:textId="77777777" w:rsidR="000A0FB2" w:rsidRDefault="000A0FB2" w:rsidP="002D40C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829062" w14:textId="77777777" w:rsidR="000A0FB2" w:rsidRDefault="000A0FB2" w:rsidP="000A0FB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40187410"/>
      <w:docPartObj>
        <w:docPartGallery w:val="Page Numbers (Top of Page)"/>
        <w:docPartUnique/>
      </w:docPartObj>
    </w:sdtPr>
    <w:sdtContent>
      <w:p w14:paraId="5FF5BD56" w14:textId="482917DB" w:rsidR="000A0FB2" w:rsidRDefault="000A0FB2" w:rsidP="002D40C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20163">
          <w:rPr>
            <w:rStyle w:val="PageNumber"/>
            <w:noProof/>
          </w:rPr>
          <w:t>10</w:t>
        </w:r>
        <w:r>
          <w:rPr>
            <w:rStyle w:val="PageNumber"/>
          </w:rPr>
          <w:fldChar w:fldCharType="end"/>
        </w:r>
      </w:p>
    </w:sdtContent>
  </w:sdt>
  <w:p w14:paraId="716D80AE" w14:textId="77777777" w:rsidR="000A0FB2" w:rsidRDefault="000A0FB2" w:rsidP="000A0FB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1" w15:restartNumberingAfterBreak="0">
    <w:nsid w:val="2EC32EAB"/>
    <w:multiLevelType w:val="multilevel"/>
    <w:tmpl w:val="5BCAB68C"/>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361"/>
        </w:tabs>
        <w:ind w:left="1361" w:hanging="794"/>
      </w:pPr>
      <w:rPr>
        <w:rFonts w:hint="default"/>
        <w:b w:val="0"/>
        <w:i w:val="0"/>
      </w:rPr>
    </w:lvl>
    <w:lvl w:ilvl="2">
      <w:start w:val="1"/>
      <w:numFmt w:val="decimal"/>
      <w:pStyle w:val="3"/>
      <w:lvlText w:val="%1.%2.%3"/>
      <w:lvlJc w:val="left"/>
      <w:pPr>
        <w:tabs>
          <w:tab w:val="num" w:pos="2155"/>
        </w:tabs>
        <w:ind w:left="2155" w:hanging="794"/>
      </w:pPr>
      <w:rPr>
        <w:rFonts w:hint="default"/>
        <w:b w:val="0"/>
        <w:i w:val="0"/>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b w:val="0"/>
        <w:i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40565AA8"/>
    <w:multiLevelType w:val="multilevel"/>
    <w:tmpl w:val="4F5288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7A776E11"/>
    <w:multiLevelType w:val="hybridMultilevel"/>
    <w:tmpl w:val="A844D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8515988">
    <w:abstractNumId w:val="1"/>
  </w:num>
  <w:num w:numId="2" w16cid:durableId="701323882">
    <w:abstractNumId w:val="1"/>
  </w:num>
  <w:num w:numId="3" w16cid:durableId="2053070277">
    <w:abstractNumId w:val="1"/>
  </w:num>
  <w:num w:numId="4" w16cid:durableId="1112942149">
    <w:abstractNumId w:val="1"/>
  </w:num>
  <w:num w:numId="5" w16cid:durableId="1329167890">
    <w:abstractNumId w:val="1"/>
  </w:num>
  <w:num w:numId="6" w16cid:durableId="1146315135">
    <w:abstractNumId w:val="1"/>
  </w:num>
  <w:num w:numId="7" w16cid:durableId="1011374221">
    <w:abstractNumId w:val="1"/>
  </w:num>
  <w:num w:numId="8" w16cid:durableId="1353805688">
    <w:abstractNumId w:val="1"/>
  </w:num>
  <w:num w:numId="9" w16cid:durableId="716005835">
    <w:abstractNumId w:val="1"/>
  </w:num>
  <w:num w:numId="10" w16cid:durableId="1438256540">
    <w:abstractNumId w:val="1"/>
  </w:num>
  <w:num w:numId="11" w16cid:durableId="303705747">
    <w:abstractNumId w:val="2"/>
  </w:num>
  <w:num w:numId="12" w16cid:durableId="17218574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7722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zI0NTY2NzQ2MTQ3NzRV0lEKTi0uzszPAykwrAUAzV/DCywAAAA="/>
  </w:docVars>
  <w:rsids>
    <w:rsidRoot w:val="003C2813"/>
    <w:rsid w:val="0000418B"/>
    <w:rsid w:val="000144C1"/>
    <w:rsid w:val="00073A2E"/>
    <w:rsid w:val="0008350A"/>
    <w:rsid w:val="00090C61"/>
    <w:rsid w:val="00094352"/>
    <w:rsid w:val="000A0FB2"/>
    <w:rsid w:val="000C477D"/>
    <w:rsid w:val="000D74CD"/>
    <w:rsid w:val="000E2DEC"/>
    <w:rsid w:val="000F2AC2"/>
    <w:rsid w:val="000F47CB"/>
    <w:rsid w:val="001036E9"/>
    <w:rsid w:val="00107B03"/>
    <w:rsid w:val="0011674E"/>
    <w:rsid w:val="00117C84"/>
    <w:rsid w:val="001200B5"/>
    <w:rsid w:val="00120163"/>
    <w:rsid w:val="00127F56"/>
    <w:rsid w:val="00144C02"/>
    <w:rsid w:val="0015313D"/>
    <w:rsid w:val="001549DE"/>
    <w:rsid w:val="00173291"/>
    <w:rsid w:val="0018444C"/>
    <w:rsid w:val="001A4366"/>
    <w:rsid w:val="001B1EB9"/>
    <w:rsid w:val="001B3169"/>
    <w:rsid w:val="00205D90"/>
    <w:rsid w:val="002071F8"/>
    <w:rsid w:val="002303DF"/>
    <w:rsid w:val="00241393"/>
    <w:rsid w:val="00245802"/>
    <w:rsid w:val="00260438"/>
    <w:rsid w:val="00261F9C"/>
    <w:rsid w:val="00264CEE"/>
    <w:rsid w:val="002C4B33"/>
    <w:rsid w:val="002E4C17"/>
    <w:rsid w:val="002E4F8B"/>
    <w:rsid w:val="00343141"/>
    <w:rsid w:val="00351186"/>
    <w:rsid w:val="00355E4A"/>
    <w:rsid w:val="00376D39"/>
    <w:rsid w:val="0039574C"/>
    <w:rsid w:val="003C2813"/>
    <w:rsid w:val="003C3C03"/>
    <w:rsid w:val="003F4045"/>
    <w:rsid w:val="00410D89"/>
    <w:rsid w:val="00412798"/>
    <w:rsid w:val="00422ADE"/>
    <w:rsid w:val="00425AB9"/>
    <w:rsid w:val="00454378"/>
    <w:rsid w:val="0046785E"/>
    <w:rsid w:val="00481F70"/>
    <w:rsid w:val="004A4166"/>
    <w:rsid w:val="004B5128"/>
    <w:rsid w:val="004E534B"/>
    <w:rsid w:val="005150BC"/>
    <w:rsid w:val="00521AD9"/>
    <w:rsid w:val="00532AF9"/>
    <w:rsid w:val="00543679"/>
    <w:rsid w:val="0055462A"/>
    <w:rsid w:val="00583B69"/>
    <w:rsid w:val="00596B18"/>
    <w:rsid w:val="005B618C"/>
    <w:rsid w:val="005E59EE"/>
    <w:rsid w:val="005E6CAB"/>
    <w:rsid w:val="0061220B"/>
    <w:rsid w:val="00631378"/>
    <w:rsid w:val="00646B80"/>
    <w:rsid w:val="006650F2"/>
    <w:rsid w:val="00694235"/>
    <w:rsid w:val="006A2FC2"/>
    <w:rsid w:val="006A4565"/>
    <w:rsid w:val="006B5674"/>
    <w:rsid w:val="006D14FE"/>
    <w:rsid w:val="006E5DA2"/>
    <w:rsid w:val="006F4693"/>
    <w:rsid w:val="00740B98"/>
    <w:rsid w:val="00744F03"/>
    <w:rsid w:val="00745085"/>
    <w:rsid w:val="00751B04"/>
    <w:rsid w:val="00761D30"/>
    <w:rsid w:val="00783170"/>
    <w:rsid w:val="007938C4"/>
    <w:rsid w:val="007B01F1"/>
    <w:rsid w:val="007B5DBC"/>
    <w:rsid w:val="007C1648"/>
    <w:rsid w:val="007C3D33"/>
    <w:rsid w:val="007C6BE3"/>
    <w:rsid w:val="007D08C3"/>
    <w:rsid w:val="007D41E6"/>
    <w:rsid w:val="007F41BC"/>
    <w:rsid w:val="00801640"/>
    <w:rsid w:val="008130CA"/>
    <w:rsid w:val="00830927"/>
    <w:rsid w:val="00866FFA"/>
    <w:rsid w:val="008677A9"/>
    <w:rsid w:val="00871A1C"/>
    <w:rsid w:val="0087353E"/>
    <w:rsid w:val="008831E0"/>
    <w:rsid w:val="0089491C"/>
    <w:rsid w:val="00897CC0"/>
    <w:rsid w:val="008C6330"/>
    <w:rsid w:val="00914B43"/>
    <w:rsid w:val="0091799E"/>
    <w:rsid w:val="00943DBE"/>
    <w:rsid w:val="0095267D"/>
    <w:rsid w:val="009621E4"/>
    <w:rsid w:val="00971FFD"/>
    <w:rsid w:val="00980CD4"/>
    <w:rsid w:val="00981332"/>
    <w:rsid w:val="009838D7"/>
    <w:rsid w:val="009A04E5"/>
    <w:rsid w:val="009A2B71"/>
    <w:rsid w:val="009C3430"/>
    <w:rsid w:val="009D1112"/>
    <w:rsid w:val="009D5E0E"/>
    <w:rsid w:val="009D680F"/>
    <w:rsid w:val="009E0D34"/>
    <w:rsid w:val="00A10847"/>
    <w:rsid w:val="00A154BC"/>
    <w:rsid w:val="00A154C6"/>
    <w:rsid w:val="00A24BB7"/>
    <w:rsid w:val="00A37077"/>
    <w:rsid w:val="00A65C3C"/>
    <w:rsid w:val="00A96709"/>
    <w:rsid w:val="00AD3860"/>
    <w:rsid w:val="00B13E1A"/>
    <w:rsid w:val="00B30FCB"/>
    <w:rsid w:val="00B47B16"/>
    <w:rsid w:val="00B5481B"/>
    <w:rsid w:val="00B55985"/>
    <w:rsid w:val="00B61915"/>
    <w:rsid w:val="00B6307E"/>
    <w:rsid w:val="00B64171"/>
    <w:rsid w:val="00B8016A"/>
    <w:rsid w:val="00B91CD4"/>
    <w:rsid w:val="00BA0FC6"/>
    <w:rsid w:val="00BB03D0"/>
    <w:rsid w:val="00BD2188"/>
    <w:rsid w:val="00BF3D72"/>
    <w:rsid w:val="00C05BA0"/>
    <w:rsid w:val="00C15AB1"/>
    <w:rsid w:val="00C2283E"/>
    <w:rsid w:val="00C460C0"/>
    <w:rsid w:val="00C46E11"/>
    <w:rsid w:val="00C57099"/>
    <w:rsid w:val="00C67403"/>
    <w:rsid w:val="00CB1F63"/>
    <w:rsid w:val="00CB629B"/>
    <w:rsid w:val="00CC624C"/>
    <w:rsid w:val="00CE7CA3"/>
    <w:rsid w:val="00D138CC"/>
    <w:rsid w:val="00D36FD7"/>
    <w:rsid w:val="00D51E89"/>
    <w:rsid w:val="00D65F49"/>
    <w:rsid w:val="00D842EA"/>
    <w:rsid w:val="00D97023"/>
    <w:rsid w:val="00DB6580"/>
    <w:rsid w:val="00DC3E9E"/>
    <w:rsid w:val="00DC4921"/>
    <w:rsid w:val="00DC694B"/>
    <w:rsid w:val="00DD08F1"/>
    <w:rsid w:val="00DF03C3"/>
    <w:rsid w:val="00E01582"/>
    <w:rsid w:val="00E17EE6"/>
    <w:rsid w:val="00E27B1A"/>
    <w:rsid w:val="00E36A72"/>
    <w:rsid w:val="00E37EFC"/>
    <w:rsid w:val="00E6269C"/>
    <w:rsid w:val="00E75780"/>
    <w:rsid w:val="00E91FA8"/>
    <w:rsid w:val="00EB228B"/>
    <w:rsid w:val="00EC2D02"/>
    <w:rsid w:val="00F009AA"/>
    <w:rsid w:val="00F168E1"/>
    <w:rsid w:val="00F4340A"/>
    <w:rsid w:val="00F950DF"/>
    <w:rsid w:val="00FA24F4"/>
    <w:rsid w:val="00FB2F49"/>
    <w:rsid w:val="00FB5466"/>
    <w:rsid w:val="00FC2FCA"/>
    <w:rsid w:val="00FF5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C35E80"/>
  <w14:defaultImageDpi w14:val="300"/>
  <w15:docId w15:val="{6B0C0620-E948-594F-95DE-C28A8789A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kern w:val="28"/>
        <w:vertAlign w:val="superscript"/>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28"/>
    <w:pPr>
      <w:jc w:val="both"/>
    </w:pPr>
    <w:rPr>
      <w:rFonts w:ascii="Arial" w:eastAsia="Times New Roman" w:hAnsi="Arial"/>
      <w:kern w:val="0"/>
      <w:sz w:val="24"/>
      <w:szCs w:val="16"/>
      <w:vertAlign w:val="baseline"/>
      <w:lang w:val="en-GB" w:eastAsia="en-ZA"/>
    </w:rPr>
  </w:style>
  <w:style w:type="paragraph" w:styleId="Heading1">
    <w:name w:val="heading 1"/>
    <w:basedOn w:val="Normal"/>
    <w:next w:val="1"/>
    <w:link w:val="Heading1Char"/>
    <w:qFormat/>
    <w:rsid w:val="003C2813"/>
    <w:pPr>
      <w:keepNext/>
      <w:autoSpaceDE w:val="0"/>
      <w:autoSpaceDN w:val="0"/>
      <w:adjustRightInd w:val="0"/>
      <w:spacing w:before="480"/>
      <w:outlineLvl w:val="0"/>
    </w:pPr>
    <w:rPr>
      <w:rFonts w:cstheme="minorBidi"/>
      <w:b/>
      <w:bCs/>
      <w:szCs w:val="28"/>
    </w:rPr>
  </w:style>
  <w:style w:type="paragraph" w:styleId="Heading2">
    <w:name w:val="heading 2"/>
    <w:basedOn w:val="Normal"/>
    <w:next w:val="1"/>
    <w:link w:val="Heading2Char"/>
    <w:unhideWhenUsed/>
    <w:qFormat/>
    <w:rsid w:val="00073A2E"/>
    <w:pPr>
      <w:keepNext/>
      <w:autoSpaceDE w:val="0"/>
      <w:autoSpaceDN w:val="0"/>
      <w:adjustRightInd w:val="0"/>
      <w:spacing w:before="480"/>
      <w:outlineLvl w:val="1"/>
    </w:pPr>
    <w:rPr>
      <w:b/>
      <w:bCs/>
      <w:i/>
      <w:szCs w:val="26"/>
    </w:rPr>
  </w:style>
  <w:style w:type="paragraph" w:styleId="Heading3">
    <w:name w:val="heading 3"/>
    <w:basedOn w:val="Normal"/>
    <w:next w:val="1"/>
    <w:link w:val="Heading3Char"/>
    <w:qFormat/>
    <w:rsid w:val="004B5128"/>
    <w:pPr>
      <w:keepNext/>
      <w:autoSpaceDE w:val="0"/>
      <w:autoSpaceDN w:val="0"/>
      <w:adjustRightInd w:val="0"/>
      <w:spacing w:before="240" w:line="480" w:lineRule="auto"/>
      <w:outlineLvl w:val="2"/>
    </w:pPr>
    <w:rPr>
      <w:rFonts w:cstheme="minorBidi"/>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B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3B69"/>
    <w:rPr>
      <w:rFonts w:ascii="Lucida Grande" w:eastAsia="Calibri" w:hAnsi="Lucida Grande" w:cs="Lucida Grande"/>
      <w:sz w:val="18"/>
      <w:szCs w:val="18"/>
      <w:lang w:val="en-GB" w:eastAsia="en-ZA"/>
    </w:rPr>
  </w:style>
  <w:style w:type="paragraph" w:customStyle="1" w:styleId="1">
    <w:name w:val="1"/>
    <w:basedOn w:val="Normal"/>
    <w:qFormat/>
    <w:rsid w:val="00073A2E"/>
    <w:pPr>
      <w:numPr>
        <w:numId w:val="9"/>
      </w:numPr>
      <w:spacing w:before="480" w:line="480" w:lineRule="auto"/>
    </w:pPr>
    <w:rPr>
      <w:iCs/>
      <w:color w:val="000000"/>
      <w:szCs w:val="22"/>
    </w:rPr>
  </w:style>
  <w:style w:type="paragraph" w:customStyle="1" w:styleId="2">
    <w:name w:val="2"/>
    <w:basedOn w:val="1"/>
    <w:qFormat/>
    <w:rsid w:val="00073A2E"/>
    <w:pPr>
      <w:numPr>
        <w:ilvl w:val="1"/>
      </w:numPr>
      <w:spacing w:before="240"/>
    </w:pPr>
  </w:style>
  <w:style w:type="paragraph" w:customStyle="1" w:styleId="3">
    <w:name w:val="3"/>
    <w:basedOn w:val="2"/>
    <w:qFormat/>
    <w:rsid w:val="00073A2E"/>
    <w:pPr>
      <w:numPr>
        <w:ilvl w:val="2"/>
      </w:numPr>
    </w:pPr>
  </w:style>
  <w:style w:type="paragraph" w:customStyle="1" w:styleId="4">
    <w:name w:val="4"/>
    <w:basedOn w:val="2"/>
    <w:qFormat/>
    <w:rsid w:val="00073A2E"/>
    <w:pPr>
      <w:numPr>
        <w:ilvl w:val="3"/>
      </w:numPr>
    </w:pPr>
    <w:rPr>
      <w:iCs w:val="0"/>
    </w:rPr>
  </w:style>
  <w:style w:type="paragraph" w:customStyle="1" w:styleId="5">
    <w:name w:val="5"/>
    <w:basedOn w:val="4"/>
    <w:qFormat/>
    <w:rsid w:val="00073A2E"/>
    <w:pPr>
      <w:numPr>
        <w:ilvl w:val="4"/>
      </w:numPr>
    </w:pPr>
    <w:rPr>
      <w:iCs/>
      <w:szCs w:val="16"/>
    </w:rPr>
  </w:style>
  <w:style w:type="paragraph" w:styleId="Footer">
    <w:name w:val="footer"/>
    <w:basedOn w:val="Normal"/>
    <w:link w:val="FooterChar"/>
    <w:uiPriority w:val="99"/>
    <w:unhideWhenUsed/>
    <w:rsid w:val="00073A2E"/>
    <w:pPr>
      <w:tabs>
        <w:tab w:val="center" w:pos="4513"/>
        <w:tab w:val="right" w:pos="9026"/>
      </w:tabs>
    </w:pPr>
    <w:rPr>
      <w:sz w:val="22"/>
      <w:szCs w:val="24"/>
      <w:lang w:eastAsia="en-US"/>
    </w:rPr>
  </w:style>
  <w:style w:type="character" w:customStyle="1" w:styleId="FooterChar">
    <w:name w:val="Footer Char"/>
    <w:basedOn w:val="DefaultParagraphFont"/>
    <w:link w:val="Footer"/>
    <w:uiPriority w:val="99"/>
    <w:rsid w:val="00073A2E"/>
    <w:rPr>
      <w:rFonts w:eastAsia="Times New Roman"/>
      <w:kern w:val="0"/>
      <w:sz w:val="22"/>
      <w:szCs w:val="24"/>
      <w:vertAlign w:val="baseline"/>
      <w:lang w:val="en-GB" w:eastAsia="en-US"/>
    </w:rPr>
  </w:style>
  <w:style w:type="character" w:styleId="FootnoteReference">
    <w:name w:val="footnote reference"/>
    <w:basedOn w:val="DefaultParagraphFont"/>
    <w:unhideWhenUsed/>
    <w:rsid w:val="00073A2E"/>
    <w:rPr>
      <w:vertAlign w:val="superscript"/>
      <w:lang w:val="en-GB"/>
    </w:rPr>
  </w:style>
  <w:style w:type="paragraph" w:styleId="FootnoteText">
    <w:name w:val="footnote text"/>
    <w:basedOn w:val="Normal"/>
    <w:link w:val="FootnoteTextChar"/>
    <w:rsid w:val="00073A2E"/>
    <w:pPr>
      <w:spacing w:after="120"/>
      <w:ind w:left="284" w:hanging="284"/>
    </w:pPr>
    <w:rPr>
      <w:rFonts w:cstheme="minorBidi"/>
      <w:sz w:val="18"/>
      <w:szCs w:val="22"/>
      <w:lang w:eastAsia="en-US"/>
    </w:rPr>
  </w:style>
  <w:style w:type="character" w:customStyle="1" w:styleId="FootnoteTextChar">
    <w:name w:val="Footnote Text Char"/>
    <w:link w:val="FootnoteText"/>
    <w:uiPriority w:val="99"/>
    <w:rsid w:val="00073A2E"/>
    <w:rPr>
      <w:rFonts w:eastAsia="Times New Roman" w:cstheme="minorBidi"/>
      <w:kern w:val="0"/>
      <w:sz w:val="18"/>
      <w:szCs w:val="22"/>
      <w:vertAlign w:val="baseline"/>
      <w:lang w:val="en-GB" w:eastAsia="en-US"/>
    </w:rPr>
  </w:style>
  <w:style w:type="paragraph" w:styleId="Header">
    <w:name w:val="header"/>
    <w:basedOn w:val="Normal"/>
    <w:link w:val="HeaderChar"/>
    <w:uiPriority w:val="99"/>
    <w:unhideWhenUsed/>
    <w:rsid w:val="00073A2E"/>
    <w:pPr>
      <w:tabs>
        <w:tab w:val="center" w:pos="4513"/>
        <w:tab w:val="right" w:pos="9026"/>
      </w:tabs>
    </w:pPr>
    <w:rPr>
      <w:szCs w:val="24"/>
      <w:lang w:eastAsia="en-US"/>
    </w:rPr>
  </w:style>
  <w:style w:type="character" w:customStyle="1" w:styleId="HeaderChar">
    <w:name w:val="Header Char"/>
    <w:basedOn w:val="DefaultParagraphFont"/>
    <w:link w:val="Header"/>
    <w:uiPriority w:val="99"/>
    <w:rsid w:val="00073A2E"/>
    <w:rPr>
      <w:rFonts w:eastAsia="Times New Roman"/>
      <w:kern w:val="0"/>
      <w:sz w:val="24"/>
      <w:szCs w:val="24"/>
      <w:vertAlign w:val="baseline"/>
      <w:lang w:val="en-GB" w:eastAsia="en-US"/>
    </w:rPr>
  </w:style>
  <w:style w:type="character" w:customStyle="1" w:styleId="Heading1Char">
    <w:name w:val="Heading 1 Char"/>
    <w:link w:val="Heading1"/>
    <w:rsid w:val="003C2813"/>
    <w:rPr>
      <w:rFonts w:ascii="Arial" w:eastAsia="Times New Roman" w:hAnsi="Arial" w:cstheme="minorBidi"/>
      <w:b/>
      <w:bCs/>
      <w:kern w:val="0"/>
      <w:sz w:val="24"/>
      <w:szCs w:val="28"/>
      <w:vertAlign w:val="baseline"/>
      <w:lang w:val="en-GB" w:eastAsia="en-ZA"/>
    </w:rPr>
  </w:style>
  <w:style w:type="character" w:customStyle="1" w:styleId="Heading2Char">
    <w:name w:val="Heading 2 Char"/>
    <w:link w:val="Heading2"/>
    <w:rsid w:val="00073A2E"/>
    <w:rPr>
      <w:rFonts w:ascii="Arial" w:eastAsia="Times New Roman" w:hAnsi="Arial"/>
      <w:b/>
      <w:bCs/>
      <w:i/>
      <w:kern w:val="0"/>
      <w:sz w:val="24"/>
      <w:szCs w:val="26"/>
      <w:vertAlign w:val="baseline"/>
      <w:lang w:val="en-GB" w:eastAsia="en-US"/>
    </w:rPr>
  </w:style>
  <w:style w:type="character" w:customStyle="1" w:styleId="Heading3Char">
    <w:name w:val="Heading 3 Char"/>
    <w:link w:val="Heading3"/>
    <w:rsid w:val="004B5128"/>
    <w:rPr>
      <w:rFonts w:ascii="Arial" w:eastAsia="Times New Roman" w:hAnsi="Arial" w:cstheme="minorBidi"/>
      <w:bCs/>
      <w:kern w:val="0"/>
      <w:sz w:val="24"/>
      <w:szCs w:val="16"/>
      <w:u w:val="single"/>
      <w:vertAlign w:val="baseline"/>
      <w:lang w:val="x-none" w:eastAsia="x-none"/>
    </w:rPr>
  </w:style>
  <w:style w:type="paragraph" w:styleId="ListParagraph">
    <w:name w:val="List Paragraph"/>
    <w:basedOn w:val="Normal"/>
    <w:uiPriority w:val="34"/>
    <w:qFormat/>
    <w:rsid w:val="00073A2E"/>
  </w:style>
  <w:style w:type="character" w:styleId="PageNumber">
    <w:name w:val="page number"/>
    <w:basedOn w:val="DefaultParagraphFont"/>
    <w:rsid w:val="00073A2E"/>
  </w:style>
  <w:style w:type="paragraph" w:customStyle="1" w:styleId="Parties">
    <w:name w:val="Parties"/>
    <w:basedOn w:val="Normal"/>
    <w:rsid w:val="00073A2E"/>
    <w:pPr>
      <w:tabs>
        <w:tab w:val="right" w:pos="8732"/>
      </w:tabs>
      <w:suppressAutoHyphens/>
    </w:pPr>
    <w:rPr>
      <w:szCs w:val="20"/>
    </w:rPr>
  </w:style>
  <w:style w:type="paragraph" w:styleId="Quote">
    <w:name w:val="Quote"/>
    <w:basedOn w:val="Normal"/>
    <w:link w:val="QuoteChar"/>
    <w:uiPriority w:val="29"/>
    <w:qFormat/>
    <w:rsid w:val="004B5128"/>
    <w:pPr>
      <w:spacing w:before="120" w:line="360" w:lineRule="auto"/>
      <w:ind w:left="1701"/>
    </w:pPr>
    <w:rPr>
      <w:rFonts w:eastAsiaTheme="minorHAnsi" w:cstheme="minorBidi"/>
      <w:i/>
      <w:iCs/>
      <w:color w:val="000000"/>
      <w:szCs w:val="22"/>
    </w:rPr>
  </w:style>
  <w:style w:type="character" w:customStyle="1" w:styleId="QuoteChar">
    <w:name w:val="Quote Char"/>
    <w:link w:val="Quote"/>
    <w:uiPriority w:val="29"/>
    <w:rsid w:val="004B5128"/>
    <w:rPr>
      <w:rFonts w:ascii="Arial" w:eastAsiaTheme="minorHAnsi" w:hAnsi="Arial" w:cstheme="minorBidi"/>
      <w:i/>
      <w:iCs/>
      <w:color w:val="000000"/>
      <w:kern w:val="0"/>
      <w:sz w:val="24"/>
      <w:szCs w:val="22"/>
      <w:vertAlign w:val="baseline"/>
      <w:lang w:val="en-GB" w:eastAsia="en-ZA"/>
    </w:rPr>
  </w:style>
  <w:style w:type="paragraph" w:styleId="TOC1">
    <w:name w:val="toc 1"/>
    <w:basedOn w:val="Normal"/>
    <w:next w:val="Normal"/>
    <w:autoRedefine/>
    <w:uiPriority w:val="39"/>
    <w:unhideWhenUsed/>
    <w:rsid w:val="00073A2E"/>
    <w:pPr>
      <w:spacing w:after="100"/>
    </w:pPr>
    <w:rPr>
      <w:b/>
      <w:sz w:val="22"/>
    </w:rPr>
  </w:style>
  <w:style w:type="paragraph" w:styleId="TOC2">
    <w:name w:val="toc 2"/>
    <w:basedOn w:val="Normal"/>
    <w:next w:val="Normal"/>
    <w:autoRedefine/>
    <w:uiPriority w:val="39"/>
    <w:unhideWhenUsed/>
    <w:rsid w:val="00073A2E"/>
    <w:pPr>
      <w:spacing w:after="100"/>
      <w:ind w:left="240"/>
    </w:pPr>
    <w:rPr>
      <w:i/>
    </w:rPr>
  </w:style>
  <w:style w:type="paragraph" w:styleId="TOC3">
    <w:name w:val="toc 3"/>
    <w:basedOn w:val="Normal"/>
    <w:next w:val="Normal"/>
    <w:autoRedefine/>
    <w:uiPriority w:val="39"/>
    <w:unhideWhenUsed/>
    <w:rsid w:val="00073A2E"/>
    <w:pPr>
      <w:spacing w:after="100"/>
      <w:ind w:left="480"/>
    </w:pPr>
  </w:style>
  <w:style w:type="paragraph" w:customStyle="1" w:styleId="TramLines">
    <w:name w:val="TramLines"/>
    <w:basedOn w:val="Normal"/>
    <w:next w:val="1"/>
    <w:qFormat/>
    <w:rsid w:val="00073A2E"/>
    <w:pPr>
      <w:pBdr>
        <w:top w:val="single" w:sz="8" w:space="12" w:color="auto"/>
        <w:bottom w:val="single" w:sz="8" w:space="12" w:color="auto"/>
      </w:pBdr>
      <w:suppressAutoHyphens/>
      <w:spacing w:after="320"/>
      <w:jc w:val="center"/>
    </w:pPr>
    <w:rPr>
      <w:b/>
      <w:szCs w:val="20"/>
    </w:rPr>
  </w:style>
  <w:style w:type="character" w:styleId="Hyperlink">
    <w:name w:val="Hyperlink"/>
    <w:basedOn w:val="DefaultParagraphFont"/>
    <w:uiPriority w:val="99"/>
    <w:unhideWhenUsed/>
    <w:rsid w:val="001036E9"/>
    <w:rPr>
      <w:color w:val="0000FF" w:themeColor="hyperlink"/>
      <w:u w:val="single"/>
    </w:rPr>
  </w:style>
  <w:style w:type="character" w:customStyle="1" w:styleId="UnresolvedMention1">
    <w:name w:val="Unresolved Mention1"/>
    <w:basedOn w:val="DefaultParagraphFont"/>
    <w:uiPriority w:val="99"/>
    <w:semiHidden/>
    <w:unhideWhenUsed/>
    <w:rsid w:val="00103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723788">
      <w:bodyDiv w:val="1"/>
      <w:marLeft w:val="0"/>
      <w:marRight w:val="0"/>
      <w:marTop w:val="0"/>
      <w:marBottom w:val="0"/>
      <w:divBdr>
        <w:top w:val="none" w:sz="0" w:space="0" w:color="auto"/>
        <w:left w:val="none" w:sz="0" w:space="0" w:color="auto"/>
        <w:bottom w:val="none" w:sz="0" w:space="0" w:color="auto"/>
        <w:right w:val="none" w:sz="0" w:space="0" w:color="auto"/>
      </w:divBdr>
    </w:div>
    <w:div w:id="1532305371">
      <w:bodyDiv w:val="1"/>
      <w:marLeft w:val="0"/>
      <w:marRight w:val="0"/>
      <w:marTop w:val="0"/>
      <w:marBottom w:val="0"/>
      <w:divBdr>
        <w:top w:val="none" w:sz="0" w:space="0" w:color="auto"/>
        <w:left w:val="none" w:sz="0" w:space="0" w:color="auto"/>
        <w:bottom w:val="none" w:sz="0" w:space="0" w:color="auto"/>
        <w:right w:val="none" w:sz="0" w:space="0" w:color="auto"/>
      </w:divBdr>
      <w:divsChild>
        <w:div w:id="725105270">
          <w:marLeft w:val="0"/>
          <w:marRight w:val="0"/>
          <w:marTop w:val="0"/>
          <w:marBottom w:val="0"/>
          <w:divBdr>
            <w:top w:val="none" w:sz="0" w:space="0" w:color="auto"/>
            <w:left w:val="none" w:sz="0" w:space="0" w:color="auto"/>
            <w:bottom w:val="none" w:sz="0" w:space="0" w:color="auto"/>
            <w:right w:val="none" w:sz="0" w:space="0" w:color="auto"/>
          </w:divBdr>
          <w:divsChild>
            <w:div w:id="1572695265">
              <w:marLeft w:val="0"/>
              <w:marRight w:val="0"/>
              <w:marTop w:val="0"/>
              <w:marBottom w:val="0"/>
              <w:divBdr>
                <w:top w:val="none" w:sz="0" w:space="0" w:color="auto"/>
                <w:left w:val="none" w:sz="0" w:space="0" w:color="auto"/>
                <w:bottom w:val="none" w:sz="0" w:space="0" w:color="auto"/>
                <w:right w:val="none" w:sz="0" w:space="0" w:color="auto"/>
              </w:divBdr>
              <w:divsChild>
                <w:div w:id="923074889">
                  <w:marLeft w:val="0"/>
                  <w:marRight w:val="0"/>
                  <w:marTop w:val="0"/>
                  <w:marBottom w:val="0"/>
                  <w:divBdr>
                    <w:top w:val="none" w:sz="0" w:space="0" w:color="auto"/>
                    <w:left w:val="none" w:sz="0" w:space="0" w:color="auto"/>
                    <w:bottom w:val="none" w:sz="0" w:space="0" w:color="auto"/>
                    <w:right w:val="none" w:sz="0" w:space="0" w:color="auto"/>
                  </w:divBdr>
                </w:div>
              </w:divsChild>
            </w:div>
            <w:div w:id="390618887">
              <w:marLeft w:val="0"/>
              <w:marRight w:val="0"/>
              <w:marTop w:val="0"/>
              <w:marBottom w:val="0"/>
              <w:divBdr>
                <w:top w:val="none" w:sz="0" w:space="0" w:color="auto"/>
                <w:left w:val="none" w:sz="0" w:space="0" w:color="auto"/>
                <w:bottom w:val="none" w:sz="0" w:space="0" w:color="auto"/>
                <w:right w:val="none" w:sz="0" w:space="0" w:color="auto"/>
              </w:divBdr>
              <w:divsChild>
                <w:div w:id="72163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0710">
          <w:marLeft w:val="0"/>
          <w:marRight w:val="0"/>
          <w:marTop w:val="0"/>
          <w:marBottom w:val="0"/>
          <w:divBdr>
            <w:top w:val="none" w:sz="0" w:space="0" w:color="auto"/>
            <w:left w:val="none" w:sz="0" w:space="0" w:color="auto"/>
            <w:bottom w:val="none" w:sz="0" w:space="0" w:color="auto"/>
            <w:right w:val="none" w:sz="0" w:space="0" w:color="auto"/>
          </w:divBdr>
          <w:divsChild>
            <w:div w:id="374042459">
              <w:marLeft w:val="0"/>
              <w:marRight w:val="0"/>
              <w:marTop w:val="0"/>
              <w:marBottom w:val="0"/>
              <w:divBdr>
                <w:top w:val="none" w:sz="0" w:space="0" w:color="auto"/>
                <w:left w:val="none" w:sz="0" w:space="0" w:color="auto"/>
                <w:bottom w:val="none" w:sz="0" w:space="0" w:color="auto"/>
                <w:right w:val="none" w:sz="0" w:space="0" w:color="auto"/>
              </w:divBdr>
              <w:divsChild>
                <w:div w:id="15844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866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image001.png@01D102A3.6AE5447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19950-A6BB-4450-AD86-3E220AAC1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2236</Words>
  <Characters>12749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Smollan Group SA (Pty) Ltd</Company>
  <LinksUpToDate>false</LinksUpToDate>
  <CharactersWithSpaces>14956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sathish sarshan  mohan</cp:lastModifiedBy>
  <cp:revision>6</cp:revision>
  <cp:lastPrinted>2024-06-01T10:52:00Z</cp:lastPrinted>
  <dcterms:created xsi:type="dcterms:W3CDTF">2024-06-06T13:16:00Z</dcterms:created>
  <dcterms:modified xsi:type="dcterms:W3CDTF">2024-06-07T17:14:00Z</dcterms:modified>
</cp:coreProperties>
</file>