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AC4AA" w14:textId="77777777" w:rsidR="00C01914" w:rsidRDefault="00C01914" w:rsidP="00C01914"/>
    <w:p w14:paraId="02875433" w14:textId="77777777" w:rsidR="00C01914" w:rsidRPr="00F43CAD" w:rsidRDefault="00C01914" w:rsidP="00C01914">
      <w:pPr>
        <w:spacing w:after="0" w:line="480" w:lineRule="auto"/>
        <w:jc w:val="center"/>
        <w:rPr>
          <w:rFonts w:ascii="Arial" w:eastAsia="Times New Roman" w:hAnsi="Arial" w:cs="Arial"/>
          <w:color w:val="0E101A"/>
          <w:kern w:val="0"/>
          <w:lang w:val="en-ZA" w:eastAsia="en-ZA"/>
          <w14:ligatures w14:val="none"/>
        </w:rPr>
      </w:pPr>
      <w:r w:rsidRPr="005B4522">
        <w:rPr>
          <w:rFonts w:ascii="Arial" w:eastAsia="Times New Roman" w:hAnsi="Arial" w:cs="Arial"/>
          <w:b/>
          <w:bCs/>
          <w:color w:val="0E101A"/>
          <w:kern w:val="0"/>
          <w:lang w:val="en-ZA" w:eastAsia="en-ZA"/>
          <w14:ligatures w14:val="none"/>
        </w:rPr>
        <w:t>REPUBLIC OF SOUTH AFRICA</w:t>
      </w:r>
    </w:p>
    <w:p w14:paraId="1CB5E2F9" w14:textId="7F9ECE1E" w:rsidR="00C01914" w:rsidRPr="00F43CAD" w:rsidRDefault="00C01914" w:rsidP="00C01914">
      <w:pPr>
        <w:spacing w:after="0" w:line="480" w:lineRule="auto"/>
        <w:jc w:val="center"/>
        <w:rPr>
          <w:rFonts w:ascii="Arial" w:eastAsia="Times New Roman" w:hAnsi="Arial" w:cs="Arial"/>
          <w:color w:val="0E101A"/>
          <w:kern w:val="0"/>
          <w:lang w:val="en-ZA" w:eastAsia="en-ZA"/>
          <w14:ligatures w14:val="none"/>
        </w:rPr>
      </w:pPr>
      <w:r w:rsidRPr="00F43CAD">
        <w:rPr>
          <w:rFonts w:ascii="Arial" w:eastAsia="Times New Roman" w:hAnsi="Arial" w:cs="Arial"/>
          <w:b/>
          <w:bCs/>
          <w:noProof/>
          <w:color w:val="000000"/>
          <w:kern w:val="0"/>
          <w:bdr w:val="none" w:sz="0" w:space="0" w:color="auto" w:frame="1"/>
          <w:lang w:val="en-ZA" w:eastAsia="en-ZA"/>
          <w14:ligatures w14:val="none"/>
        </w:rPr>
        <w:drawing>
          <wp:inline distT="0" distB="0" distL="0" distR="0" wp14:anchorId="15FBDEC4" wp14:editId="7A9DB933">
            <wp:extent cx="1435100" cy="1435100"/>
            <wp:effectExtent l="0" t="0" r="0" b="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3804" w14:textId="3F0C594A" w:rsidR="00C01914" w:rsidRPr="00F43CAD" w:rsidRDefault="00C01914" w:rsidP="00C01914">
      <w:pPr>
        <w:spacing w:after="0" w:line="480" w:lineRule="auto"/>
        <w:jc w:val="center"/>
        <w:rPr>
          <w:rFonts w:ascii="Arial" w:eastAsia="Times New Roman" w:hAnsi="Arial" w:cs="Arial"/>
          <w:color w:val="0E101A"/>
          <w:kern w:val="0"/>
          <w:lang w:val="en-ZA" w:eastAsia="en-ZA"/>
          <w14:ligatures w14:val="none"/>
        </w:rPr>
      </w:pPr>
      <w:r>
        <w:rPr>
          <w:rFonts w:ascii="Arial" w:eastAsia="Times New Roman" w:hAnsi="Arial" w:cs="Arial"/>
          <w:b/>
          <w:bCs/>
          <w:color w:val="0E101A"/>
          <w:kern w:val="0"/>
          <w:lang w:val="en-ZA" w:eastAsia="en-ZA"/>
          <w14:ligatures w14:val="none"/>
        </w:rPr>
        <w:t xml:space="preserve">IN THE HIGH </w:t>
      </w:r>
      <w:r w:rsidRPr="005B4522">
        <w:rPr>
          <w:rFonts w:ascii="Arial" w:eastAsia="Times New Roman" w:hAnsi="Arial" w:cs="Arial"/>
          <w:b/>
          <w:bCs/>
          <w:color w:val="0E101A"/>
          <w:kern w:val="0"/>
          <w:lang w:val="en-ZA" w:eastAsia="en-ZA"/>
          <w14:ligatures w14:val="none"/>
        </w:rPr>
        <w:t>COURT OF SOUTH AFRICA</w:t>
      </w:r>
    </w:p>
    <w:p w14:paraId="5D5E957E" w14:textId="71464069" w:rsidR="00C01914" w:rsidRPr="005B4522" w:rsidRDefault="00C01914" w:rsidP="00C01914">
      <w:pPr>
        <w:spacing w:after="0"/>
        <w:jc w:val="center"/>
        <w:rPr>
          <w:rFonts w:ascii="Arial" w:eastAsia="Calibri" w:hAnsi="Arial" w:cs="Arial"/>
          <w:b/>
          <w:bCs/>
          <w:color w:val="0E101A"/>
          <w:kern w:val="0"/>
          <w:lang w:val="en-ZA"/>
          <w14:ligatures w14:val="none"/>
        </w:rPr>
      </w:pPr>
      <w:r w:rsidRPr="005B4522">
        <w:rPr>
          <w:rFonts w:ascii="Arial" w:eastAsia="Calibri" w:hAnsi="Arial" w:cs="Arial"/>
          <w:b/>
          <w:bCs/>
          <w:color w:val="0E101A"/>
          <w:kern w:val="0"/>
          <w:lang w:val="en-ZA"/>
          <w14:ligatures w14:val="none"/>
        </w:rPr>
        <w:t>GAUTENG LOCAL DIVISION, JOHANNESBURG</w:t>
      </w:r>
    </w:p>
    <w:p w14:paraId="1099EAC7" w14:textId="01804032" w:rsidR="00C01914" w:rsidRDefault="00C01914" w:rsidP="00C01914">
      <w:pPr>
        <w:spacing w:after="0"/>
        <w:jc w:val="center"/>
        <w:rPr>
          <w:rFonts w:ascii="Arial" w:eastAsia="Calibri" w:hAnsi="Arial" w:cs="Arial"/>
          <w:b/>
          <w:bCs/>
          <w:color w:val="0E101A"/>
          <w:kern w:val="0"/>
          <w:sz w:val="32"/>
          <w:szCs w:val="32"/>
          <w:lang w:val="en-ZA"/>
          <w14:ligatures w14:val="none"/>
        </w:rPr>
      </w:pPr>
    </w:p>
    <w:p w14:paraId="7BD08C43" w14:textId="0F9699EB" w:rsidR="00C01914" w:rsidRPr="00D7152F" w:rsidRDefault="00C01914" w:rsidP="00C01914">
      <w:pPr>
        <w:spacing w:after="0"/>
        <w:jc w:val="right"/>
        <w:rPr>
          <w:rFonts w:ascii="Arial" w:eastAsia="Calibri" w:hAnsi="Arial" w:cs="Arial"/>
          <w:bCs/>
          <w:color w:val="0E101A"/>
          <w:kern w:val="0"/>
          <w14:ligatures w14:val="none"/>
        </w:rPr>
      </w:pPr>
      <w:r>
        <w:rPr>
          <w:rFonts w:ascii="Arial" w:eastAsia="Calibri" w:hAnsi="Arial" w:cs="Arial"/>
          <w:bCs/>
          <w:color w:val="0E101A"/>
          <w:kern w:val="0"/>
          <w14:ligatures w14:val="none"/>
        </w:rPr>
        <w:t xml:space="preserve">Case Number: </w:t>
      </w:r>
      <w:r w:rsidR="00146661">
        <w:rPr>
          <w:rFonts w:ascii="Arial" w:eastAsia="Calibri" w:hAnsi="Arial" w:cs="Arial"/>
          <w:bCs/>
          <w:color w:val="0E101A"/>
          <w:kern w:val="0"/>
          <w14:ligatures w14:val="none"/>
        </w:rPr>
        <w:t>2023/</w:t>
      </w:r>
      <w:r w:rsidR="00146661" w:rsidRPr="00146661">
        <w:rPr>
          <w:rFonts w:ascii="Arial" w:eastAsia="Calibri" w:hAnsi="Arial" w:cs="Arial"/>
          <w:bCs/>
          <w:color w:val="0E101A"/>
          <w:kern w:val="0"/>
          <w14:ligatures w14:val="none"/>
        </w:rPr>
        <w:t>028000</w:t>
      </w:r>
    </w:p>
    <w:p w14:paraId="0AA1DA7B" w14:textId="77777777" w:rsidR="00C01914" w:rsidRDefault="00C01914" w:rsidP="00C01914">
      <w:pPr>
        <w:spacing w:after="0"/>
        <w:jc w:val="center"/>
        <w:rPr>
          <w:rFonts w:ascii="Arial" w:eastAsia="Calibri" w:hAnsi="Arial" w:cs="Arial"/>
          <w:b/>
          <w:bCs/>
          <w:color w:val="0E101A"/>
          <w:kern w:val="0"/>
          <w:sz w:val="32"/>
          <w:szCs w:val="32"/>
          <w:lang w:val="en-ZA"/>
          <w14:ligatures w14:val="none"/>
        </w:rPr>
      </w:pPr>
    </w:p>
    <w:p w14:paraId="7E476923" w14:textId="3BE88FBE" w:rsidR="00C01914" w:rsidRPr="0031231A" w:rsidRDefault="00C01914" w:rsidP="00C01914">
      <w:pPr>
        <w:spacing w:after="0"/>
        <w:jc w:val="center"/>
        <w:rPr>
          <w:rFonts w:ascii="Arial" w:hAnsi="Arial" w:cs="Arial"/>
        </w:rPr>
      </w:pPr>
    </w:p>
    <w:p w14:paraId="1499565C" w14:textId="290120E7" w:rsidR="00C01914" w:rsidRPr="0031231A" w:rsidRDefault="00C01914" w:rsidP="00C01914">
      <w:pPr>
        <w:spacing w:after="0"/>
        <w:rPr>
          <w:rFonts w:ascii="Arial" w:hAnsi="Arial" w:cs="Arial"/>
        </w:rPr>
      </w:pPr>
    </w:p>
    <w:p w14:paraId="5992B799" w14:textId="343C1F0F" w:rsidR="00C01914" w:rsidRPr="0031231A" w:rsidRDefault="00C01914" w:rsidP="00C01914">
      <w:pPr>
        <w:spacing w:after="0"/>
        <w:rPr>
          <w:rFonts w:ascii="Arial" w:hAnsi="Arial" w:cs="Arial"/>
        </w:rPr>
      </w:pPr>
      <w:r w:rsidRPr="0031231A">
        <w:rPr>
          <w:rFonts w:ascii="Arial" w:eastAsia="Calibri" w:hAnsi="Arial" w:cs="Arial"/>
          <w:noProof/>
          <w:kern w:val="0"/>
          <w:lang w:val="en-ZA"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6DBFB" wp14:editId="0BD087FB">
                <wp:simplePos x="0" y="0"/>
                <wp:positionH relativeFrom="margin">
                  <wp:posOffset>0</wp:posOffset>
                </wp:positionH>
                <wp:positionV relativeFrom="paragraph">
                  <wp:posOffset>-400685</wp:posOffset>
                </wp:positionV>
                <wp:extent cx="33147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6AC7" w14:textId="116B29F1" w:rsidR="00C01914" w:rsidRPr="003B746C" w:rsidRDefault="004E3071" w:rsidP="004E307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(1)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01914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REPORTABLE: </w:t>
                            </w:r>
                            <w:r w:rsidR="00C01914" w:rsidRPr="00DD3B79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NO</w:t>
                            </w:r>
                          </w:p>
                          <w:p w14:paraId="51E342D0" w14:textId="311F1B68" w:rsidR="00C01914" w:rsidRPr="003B746C" w:rsidRDefault="004E3071" w:rsidP="004E307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(2)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01914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OF INTEREST TO OTHER JUDGES:</w:t>
                            </w:r>
                            <w:r w:rsidR="0031231A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01914" w:rsidRPr="00DD3B79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1686FC55" w14:textId="1527C0E0" w:rsidR="00C01914" w:rsidRPr="00DD3B79" w:rsidRDefault="004E3071" w:rsidP="004E307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DD3B79">
                              <w:rPr>
                                <w:rFonts w:cs="Arial"/>
                                <w:sz w:val="18"/>
                                <w:szCs w:val="20"/>
                              </w:rPr>
                              <w:t>(3)</w:t>
                            </w:r>
                            <w:r w:rsidRPr="00DD3B79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01914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REVISED: </w:t>
                            </w:r>
                            <w:r w:rsidR="00C01914" w:rsidRPr="00DD3B79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538B0964" w14:textId="77777777" w:rsidR="00C01914" w:rsidRPr="003B746C" w:rsidRDefault="00C01914" w:rsidP="00C01914">
                            <w:pPr>
                              <w:spacing w:before="240" w:after="0"/>
                              <w:ind w:left="180" w:firstLine="72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  <w:t xml:space="preserve">                ________________</w:t>
                            </w:r>
                          </w:p>
                          <w:p w14:paraId="17F42A3B" w14:textId="699F2DE3" w:rsidR="00C01914" w:rsidRPr="003B746C" w:rsidRDefault="00C01914" w:rsidP="00C01914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="00D67DEC">
                              <w:rPr>
                                <w:rFonts w:cs="Arial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1231A">
                              <w:rPr>
                                <w:rFonts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6E7925">
                              <w:rPr>
                                <w:rFonts w:cs="Arial"/>
                                <w:sz w:val="18"/>
                                <w:szCs w:val="20"/>
                              </w:rPr>
                              <w:t>6</w:t>
                            </w:r>
                            <w:r w:rsidR="009A55EE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1231A">
                              <w:rPr>
                                <w:rFonts w:cs="Arial"/>
                                <w:sz w:val="18"/>
                                <w:szCs w:val="20"/>
                              </w:rPr>
                              <w:t>June 2024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                   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D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55pt;width:261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">
                <v:textbox>
                  <w:txbxContent>
                    <w:p w14:paraId="68CE6AC7" w14:textId="116B29F1" w:rsidR="00C01914" w:rsidRPr="003B746C" w:rsidRDefault="004E3071" w:rsidP="004E307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(1)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01914"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REPORTABLE: </w:t>
                      </w:r>
                      <w:r w:rsidR="00C01914" w:rsidRPr="00DD3B79">
                        <w:rPr>
                          <w:rFonts w:cs="Arial"/>
                          <w:sz w:val="18"/>
                          <w:szCs w:val="20"/>
                        </w:rPr>
                        <w:t xml:space="preserve"> NO</w:t>
                      </w:r>
                    </w:p>
                    <w:p w14:paraId="51E342D0" w14:textId="311F1B68" w:rsidR="00C01914" w:rsidRPr="003B746C" w:rsidRDefault="004E3071" w:rsidP="004E307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(2)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01914" w:rsidRPr="003B746C">
                        <w:rPr>
                          <w:rFonts w:cs="Arial"/>
                          <w:sz w:val="18"/>
                          <w:szCs w:val="20"/>
                        </w:rPr>
                        <w:t>OF INTEREST TO OTHER JUDGES:</w:t>
                      </w:r>
                      <w:r w:rsidR="0031231A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 w:rsidR="00C01914" w:rsidRPr="00DD3B79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1686FC55" w14:textId="1527C0E0" w:rsidR="00C01914" w:rsidRPr="00DD3B79" w:rsidRDefault="004E3071" w:rsidP="004E307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DD3B79">
                        <w:rPr>
                          <w:rFonts w:cs="Arial"/>
                          <w:sz w:val="18"/>
                          <w:szCs w:val="20"/>
                        </w:rPr>
                        <w:t>(3)</w:t>
                      </w:r>
                      <w:r w:rsidRPr="00DD3B79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01914"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REVISED: </w:t>
                      </w:r>
                      <w:r w:rsidR="00C01914" w:rsidRPr="00DD3B79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538B0964" w14:textId="77777777" w:rsidR="00C01914" w:rsidRPr="003B746C" w:rsidRDefault="00C01914" w:rsidP="00C01914">
                      <w:pPr>
                        <w:spacing w:before="240" w:after="0"/>
                        <w:ind w:left="180" w:firstLine="72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  <w:t xml:space="preserve">                ________________</w:t>
                      </w:r>
                    </w:p>
                    <w:p w14:paraId="17F42A3B" w14:textId="699F2DE3" w:rsidR="00C01914" w:rsidRPr="003B746C" w:rsidRDefault="00C01914" w:rsidP="00C01914">
                      <w:pPr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DATE</w:t>
                      </w:r>
                      <w:r w:rsidR="00D67DEC">
                        <w:rPr>
                          <w:rFonts w:cs="Arial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 w:rsidR="0031231A">
                        <w:rPr>
                          <w:rFonts w:cs="Arial"/>
                          <w:sz w:val="18"/>
                          <w:szCs w:val="20"/>
                        </w:rPr>
                        <w:t>0</w:t>
                      </w:r>
                      <w:r w:rsidR="006E7925">
                        <w:rPr>
                          <w:rFonts w:cs="Arial"/>
                          <w:sz w:val="18"/>
                          <w:szCs w:val="20"/>
                        </w:rPr>
                        <w:t>6</w:t>
                      </w:r>
                      <w:r w:rsidR="009A55EE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 w:rsidR="0031231A">
                        <w:rPr>
                          <w:rFonts w:cs="Arial"/>
                          <w:sz w:val="18"/>
                          <w:szCs w:val="20"/>
                        </w:rPr>
                        <w:t>June 2024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                   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A60EA" w14:textId="77777777" w:rsidR="00C01914" w:rsidRPr="0031231A" w:rsidRDefault="00C01914" w:rsidP="00C01914">
      <w:pPr>
        <w:rPr>
          <w:rFonts w:ascii="Arial" w:hAnsi="Arial" w:cs="Arial"/>
        </w:rPr>
      </w:pPr>
    </w:p>
    <w:p w14:paraId="7984E644" w14:textId="1D1E42B1" w:rsidR="00C01914" w:rsidRDefault="00C01914" w:rsidP="00C01914"/>
    <w:p w14:paraId="0E8F0EC1" w14:textId="2B5815F6" w:rsidR="0016341B" w:rsidRPr="009157B1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Cs/>
          <w:lang w:val="en-ZA"/>
        </w:rPr>
      </w:pPr>
      <w:r w:rsidRPr="009157B1">
        <w:rPr>
          <w:rFonts w:ascii="Arial" w:eastAsia="Calibri" w:hAnsi="Arial" w:cs="Arial"/>
          <w:bCs/>
          <w:lang w:val="en-ZA"/>
        </w:rPr>
        <w:t>In the matter between:</w:t>
      </w:r>
    </w:p>
    <w:p w14:paraId="47CDA98B" w14:textId="77777777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</w:p>
    <w:p w14:paraId="2135CB8C" w14:textId="29F4357D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  <w:r w:rsidRPr="0016341B">
        <w:rPr>
          <w:rFonts w:ascii="Arial" w:eastAsia="Calibri" w:hAnsi="Arial" w:cs="Arial"/>
          <w:b/>
          <w:lang w:val="en-ZA"/>
        </w:rPr>
        <w:t>EXXARO COAL MPUMALANGA (PTY) LTD</w:t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9157B1">
        <w:rPr>
          <w:rFonts w:ascii="Arial" w:eastAsia="Calibri" w:hAnsi="Arial" w:cs="Arial"/>
          <w:bCs/>
          <w:lang w:val="en-ZA"/>
        </w:rPr>
        <w:tab/>
        <w:t>Applicant</w:t>
      </w:r>
    </w:p>
    <w:p w14:paraId="27CE6DA3" w14:textId="77777777" w:rsidR="0016341B" w:rsidRPr="009157B1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Cs/>
          <w:lang w:val="en-ZA"/>
        </w:rPr>
      </w:pPr>
      <w:r w:rsidRPr="009157B1">
        <w:rPr>
          <w:rFonts w:ascii="Arial" w:eastAsia="Calibri" w:hAnsi="Arial" w:cs="Arial"/>
          <w:bCs/>
          <w:lang w:val="en-ZA"/>
        </w:rPr>
        <w:t>and</w:t>
      </w:r>
    </w:p>
    <w:p w14:paraId="3550CD66" w14:textId="1967B3F9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  <w:r w:rsidRPr="0016341B">
        <w:rPr>
          <w:rFonts w:ascii="Arial" w:eastAsia="Calibri" w:hAnsi="Arial" w:cs="Arial"/>
          <w:b/>
          <w:lang w:val="en-ZA"/>
        </w:rPr>
        <w:t>ABSA BANK LTD</w:t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9157B1">
        <w:rPr>
          <w:rFonts w:ascii="Arial" w:eastAsia="Calibri" w:hAnsi="Arial" w:cs="Arial"/>
          <w:bCs/>
          <w:lang w:val="en-ZA"/>
        </w:rPr>
        <w:t xml:space="preserve">      Respondent</w:t>
      </w:r>
    </w:p>
    <w:p w14:paraId="15B3CF18" w14:textId="37EE1895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</w:p>
    <w:p w14:paraId="3E1224A7" w14:textId="28F18E4D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  <w:r w:rsidRPr="0016341B">
        <w:rPr>
          <w:rFonts w:ascii="Arial" w:eastAsia="Calibri" w:hAnsi="Arial" w:cs="Arial"/>
          <w:b/>
          <w:lang w:val="en-ZA"/>
        </w:rPr>
        <w:t>TDS PROJECTS CONSTRUCTION AND</w:t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</w:r>
      <w:r w:rsidRPr="0016341B">
        <w:rPr>
          <w:rFonts w:ascii="Arial" w:eastAsia="Calibri" w:hAnsi="Arial" w:cs="Arial"/>
          <w:b/>
          <w:lang w:val="en-ZA"/>
        </w:rPr>
        <w:tab/>
        <w:t xml:space="preserve">        </w:t>
      </w:r>
      <w:r w:rsidRPr="009157B1">
        <w:rPr>
          <w:rFonts w:ascii="Arial" w:eastAsia="Calibri" w:hAnsi="Arial" w:cs="Arial"/>
          <w:bCs/>
          <w:lang w:val="en-ZA"/>
        </w:rPr>
        <w:t>Intervening party</w:t>
      </w:r>
    </w:p>
    <w:p w14:paraId="2E1C8963" w14:textId="387365B8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  <w:r w:rsidRPr="0016341B">
        <w:rPr>
          <w:rFonts w:ascii="Arial" w:eastAsia="Calibri" w:hAnsi="Arial" w:cs="Arial"/>
          <w:b/>
          <w:lang w:val="en-ZA"/>
        </w:rPr>
        <w:t>NEWRAK MINING JV (PTY) LTD</w:t>
      </w:r>
    </w:p>
    <w:p w14:paraId="17CF6140" w14:textId="77777777" w:rsidR="0016341B" w:rsidRPr="0016341B" w:rsidRDefault="0016341B" w:rsidP="0016341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lang w:val="en-ZA"/>
        </w:rPr>
      </w:pPr>
      <w:r w:rsidRPr="0016341B">
        <w:rPr>
          <w:rFonts w:ascii="Arial" w:eastAsia="Calibri" w:hAnsi="Arial" w:cs="Arial"/>
          <w:b/>
          <w:lang w:val="en-ZA"/>
        </w:rPr>
        <w:t xml:space="preserve"> </w:t>
      </w:r>
    </w:p>
    <w:p w14:paraId="47207D1D" w14:textId="77777777" w:rsidR="00C01914" w:rsidRPr="005B4522" w:rsidRDefault="00C01914" w:rsidP="00C01914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446C9E26" w14:textId="41690838" w:rsidR="00C01914" w:rsidRPr="005B4522" w:rsidRDefault="0031231A" w:rsidP="00C01914">
      <w:pPr>
        <w:pBdr>
          <w:bottom w:val="single" w:sz="12" w:space="1" w:color="auto"/>
        </w:pBdr>
        <w:spacing w:after="240" w:line="480" w:lineRule="auto"/>
        <w:jc w:val="center"/>
        <w:rPr>
          <w:rFonts w:ascii="Arial" w:eastAsia="Calibri" w:hAnsi="Arial" w:cs="Arial"/>
          <w:b/>
          <w:kern w:val="0"/>
          <w:lang w:val="en-ZA"/>
          <w14:ligatures w14:val="none"/>
        </w:rPr>
      </w:pPr>
      <w:r>
        <w:rPr>
          <w:rFonts w:ascii="Arial" w:eastAsia="Calibri" w:hAnsi="Arial" w:cs="Arial"/>
          <w:b/>
          <w:kern w:val="0"/>
          <w:lang w:val="en-ZA"/>
          <w14:ligatures w14:val="none"/>
        </w:rPr>
        <w:t>JUDGMENT</w:t>
      </w:r>
    </w:p>
    <w:p w14:paraId="5DE263B9" w14:textId="04A1CA80" w:rsidR="0031231A" w:rsidRPr="0031231A" w:rsidRDefault="0031231A">
      <w:pPr>
        <w:rPr>
          <w:rFonts w:ascii="Arial" w:hAnsi="Arial" w:cs="Arial"/>
          <w:b/>
          <w:bCs/>
        </w:rPr>
      </w:pPr>
      <w:r w:rsidRPr="0031231A">
        <w:rPr>
          <w:rFonts w:ascii="Arial" w:hAnsi="Arial" w:cs="Arial"/>
          <w:b/>
          <w:bCs/>
        </w:rPr>
        <w:t>FISHER J</w:t>
      </w:r>
    </w:p>
    <w:p w14:paraId="2AF997D1" w14:textId="77777777" w:rsidR="007E25C4" w:rsidRDefault="0031231A" w:rsidP="007E25C4">
      <w:pPr>
        <w:spacing w:line="360" w:lineRule="auto"/>
        <w:jc w:val="both"/>
        <w:rPr>
          <w:rFonts w:ascii="Arial" w:hAnsi="Arial" w:cs="Arial"/>
          <w:i/>
          <w:iCs/>
        </w:rPr>
      </w:pPr>
      <w:r w:rsidRPr="0031231A">
        <w:rPr>
          <w:rFonts w:ascii="Arial" w:hAnsi="Arial" w:cs="Arial"/>
          <w:i/>
          <w:iCs/>
        </w:rPr>
        <w:t>Introduction</w:t>
      </w:r>
    </w:p>
    <w:p w14:paraId="270FA5AB" w14:textId="0C64E166" w:rsidR="0068176F" w:rsidRPr="004E3071" w:rsidRDefault="004E3071" w:rsidP="004E3071">
      <w:pPr>
        <w:spacing w:line="360" w:lineRule="auto"/>
        <w:ind w:left="720" w:hanging="360"/>
        <w:jc w:val="both"/>
        <w:rPr>
          <w:rFonts w:cs="Arial"/>
        </w:rPr>
      </w:pPr>
      <w:r w:rsidRPr="0068176F">
        <w:rPr>
          <w:rFonts w:ascii="Arial" w:hAnsi="Arial" w:cs="Arial"/>
        </w:rPr>
        <w:t>[1]</w:t>
      </w:r>
      <w:r w:rsidRPr="0068176F">
        <w:rPr>
          <w:rFonts w:ascii="Arial" w:hAnsi="Arial" w:cs="Arial"/>
        </w:rPr>
        <w:tab/>
      </w:r>
      <w:r w:rsidR="00896E6E" w:rsidRPr="004E3071">
        <w:rPr>
          <w:rFonts w:cs="Arial"/>
        </w:rPr>
        <w:t xml:space="preserve"> </w:t>
      </w:r>
      <w:r w:rsidR="006523D4" w:rsidRPr="004E3071">
        <w:rPr>
          <w:rFonts w:cs="Arial"/>
        </w:rPr>
        <w:t>This is an application by</w:t>
      </w:r>
      <w:r w:rsidR="00C93AE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TDS Projects and </w:t>
      </w:r>
      <w:proofErr w:type="spellStart"/>
      <w:r w:rsidR="00C93AE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Newrak</w:t>
      </w:r>
      <w:proofErr w:type="spellEnd"/>
      <w:r w:rsidR="00850062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Mining JV (Pty) Ltd (TDS)</w:t>
      </w:r>
      <w:r w:rsidR="0057277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to join in the</w:t>
      </w:r>
      <w:r w:rsidR="00D97C5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main application </w:t>
      </w:r>
      <w:r w:rsidR="0057277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in terms of rule 12. </w:t>
      </w:r>
    </w:p>
    <w:p w14:paraId="7CE5C4CF" w14:textId="77777777" w:rsidR="007E25C4" w:rsidRPr="007E25C4" w:rsidRDefault="007E25C4" w:rsidP="007E25C4">
      <w:pPr>
        <w:pStyle w:val="ListParagraph"/>
        <w:spacing w:line="360" w:lineRule="auto"/>
        <w:jc w:val="both"/>
        <w:rPr>
          <w:rFonts w:eastAsiaTheme="minorHAnsi" w:cs="Arial"/>
          <w:lang w:val="en-GB"/>
        </w:rPr>
      </w:pPr>
    </w:p>
    <w:p w14:paraId="301C06C3" w14:textId="27FF8439" w:rsidR="006523D4" w:rsidRPr="004E3071" w:rsidRDefault="004E3071" w:rsidP="004E3071">
      <w:pPr>
        <w:spacing w:line="360" w:lineRule="auto"/>
        <w:ind w:left="72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745319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lastRenderedPageBreak/>
        <w:t>[2]</w:t>
      </w:r>
      <w:r w:rsidRPr="00745319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B35CCD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The main application </w:t>
      </w:r>
      <w:r w:rsidR="007A608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involves</w:t>
      </w:r>
      <w:r w:rsidR="00B35CCD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A76B5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 claim</w:t>
      </w:r>
      <w:r w:rsidR="003810C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by </w:t>
      </w:r>
      <w:r w:rsidR="009C75D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Exxaro Coal </w:t>
      </w:r>
      <w:r w:rsidR="00513FA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Mpumalanga (</w:t>
      </w:r>
      <w:r w:rsidR="00D6619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Pty) Ltd </w:t>
      </w:r>
      <w:r w:rsidR="000D75F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(Ex</w:t>
      </w:r>
      <w:r w:rsidR="00B422A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xaro) </w:t>
      </w:r>
      <w:r w:rsidR="00A76B5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against the respondent</w:t>
      </w:r>
      <w:r w:rsidR="00D97C5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,</w:t>
      </w:r>
      <w:r w:rsidR="00A76B5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ABSA Bank Ltd</w:t>
      </w:r>
      <w:r w:rsidR="00194ECF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(ABSA)</w:t>
      </w:r>
      <w:r w:rsidR="0068176F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5576E1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in terms of</w:t>
      </w:r>
      <w:r w:rsidR="00BF736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an on-</w:t>
      </w:r>
      <w:r w:rsidR="000A7552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demand</w:t>
      </w:r>
      <w:r w:rsidR="00537FD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guarantee</w:t>
      </w:r>
      <w:r w:rsidR="00D6619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issued by </w:t>
      </w:r>
      <w:r w:rsidR="000F417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ABSA </w:t>
      </w:r>
      <w:r w:rsidR="00204068" w:rsidRPr="004E3071">
        <w:rPr>
          <w:rFonts w:cs="Arial"/>
        </w:rPr>
        <w:t>on</w:t>
      </w:r>
      <w:r w:rsidR="005576E1" w:rsidRPr="004E3071">
        <w:rPr>
          <w:rFonts w:cs="Arial"/>
        </w:rPr>
        <w:t xml:space="preserve"> </w:t>
      </w:r>
      <w:proofErr w:type="gramStart"/>
      <w:r w:rsidR="005576E1" w:rsidRPr="004E3071">
        <w:rPr>
          <w:rFonts w:cs="Arial"/>
        </w:rPr>
        <w:t>the  instruction</w:t>
      </w:r>
      <w:proofErr w:type="gramEnd"/>
      <w:r w:rsidR="005576E1" w:rsidRPr="004E3071">
        <w:rPr>
          <w:rFonts w:cs="Arial"/>
        </w:rPr>
        <w:t xml:space="preserve"> of and</w:t>
      </w:r>
      <w:r w:rsidR="00204068" w:rsidRPr="004E3071">
        <w:rPr>
          <w:rFonts w:cs="Arial"/>
        </w:rPr>
        <w:t xml:space="preserve"> behalf</w:t>
      </w:r>
      <w:r w:rsidR="006523D4" w:rsidRPr="004E3071">
        <w:rPr>
          <w:rFonts w:cs="Arial"/>
        </w:rPr>
        <w:t xml:space="preserve"> </w:t>
      </w:r>
      <w:r w:rsidR="00E563BE" w:rsidRPr="004E3071">
        <w:rPr>
          <w:rFonts w:cs="Arial"/>
        </w:rPr>
        <w:t xml:space="preserve">of TDS </w:t>
      </w:r>
      <w:r w:rsidR="00321BED" w:rsidRPr="004E3071">
        <w:rPr>
          <w:rFonts w:cs="Arial"/>
        </w:rPr>
        <w:t>as security</w:t>
      </w:r>
      <w:r w:rsidR="006523D4" w:rsidRPr="004E3071">
        <w:rPr>
          <w:rFonts w:cs="Arial"/>
        </w:rPr>
        <w:t xml:space="preserve"> in terms of a building contract</w:t>
      </w:r>
      <w:r w:rsidR="000F03E7" w:rsidRPr="004E3071">
        <w:rPr>
          <w:rFonts w:cs="Arial"/>
        </w:rPr>
        <w:t xml:space="preserve"> and underwritten by Hollard</w:t>
      </w:r>
      <w:r w:rsidR="00675311" w:rsidRPr="004E3071">
        <w:rPr>
          <w:rFonts w:cs="Arial"/>
        </w:rPr>
        <w:t xml:space="preserve"> Insurance Company Ltd (Hollard)</w:t>
      </w:r>
    </w:p>
    <w:p w14:paraId="4D016D1A" w14:textId="77777777" w:rsidR="00745319" w:rsidRPr="007E25C4" w:rsidRDefault="00745319" w:rsidP="00745319">
      <w:pPr>
        <w:pStyle w:val="ListParagraph"/>
        <w:spacing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69C66F99" w14:textId="1D2EFA9E" w:rsidR="006523D4" w:rsidRPr="004E3071" w:rsidRDefault="004E3071" w:rsidP="004E3071">
      <w:pPr>
        <w:spacing w:line="360" w:lineRule="auto"/>
        <w:ind w:left="720" w:hanging="360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[3]</w:t>
      </w:r>
      <w:r>
        <w:rPr>
          <w:rFonts w:ascii="Arial" w:eastAsia="Calibri" w:hAnsi="Arial" w:cs="Arial"/>
          <w:lang w:val="en-ZA"/>
        </w:rPr>
        <w:tab/>
      </w:r>
      <w:r w:rsidR="000F4178" w:rsidRPr="004E3071">
        <w:rPr>
          <w:rFonts w:cs="Arial"/>
        </w:rPr>
        <w:t>The issues</w:t>
      </w:r>
      <w:r w:rsidR="006523D4" w:rsidRPr="004E3071">
        <w:rPr>
          <w:rFonts w:cs="Arial"/>
        </w:rPr>
        <w:t xml:space="preserve"> </w:t>
      </w:r>
      <w:r w:rsidR="00204068" w:rsidRPr="004E3071">
        <w:rPr>
          <w:rFonts w:cs="Arial"/>
        </w:rPr>
        <w:t>in the</w:t>
      </w:r>
      <w:r w:rsidR="00021DD4" w:rsidRPr="004E3071">
        <w:rPr>
          <w:rFonts w:cs="Arial"/>
        </w:rPr>
        <w:t xml:space="preserve"> </w:t>
      </w:r>
      <w:r w:rsidR="006523D4" w:rsidRPr="004E3071">
        <w:rPr>
          <w:rFonts w:cs="Arial"/>
        </w:rPr>
        <w:t xml:space="preserve">main application are relatively straightforward as far as the </w:t>
      </w:r>
      <w:r w:rsidR="00BF7365" w:rsidRPr="004E3071">
        <w:rPr>
          <w:rFonts w:cs="Arial"/>
        </w:rPr>
        <w:t>well-entrenched</w:t>
      </w:r>
      <w:r w:rsidR="006523D4" w:rsidRPr="004E3071">
        <w:rPr>
          <w:rFonts w:cs="Arial"/>
        </w:rPr>
        <w:t xml:space="preserve"> legal principles pertaining to on-demand guarantees are concerned.</w:t>
      </w:r>
    </w:p>
    <w:p w14:paraId="01D4B870" w14:textId="77777777" w:rsidR="000F4178" w:rsidRPr="00745319" w:rsidRDefault="000F4178" w:rsidP="000F4178">
      <w:pPr>
        <w:pStyle w:val="ListParagraph"/>
        <w:spacing w:line="360" w:lineRule="auto"/>
        <w:jc w:val="both"/>
        <w:rPr>
          <w:rFonts w:cs="Arial"/>
        </w:rPr>
      </w:pPr>
    </w:p>
    <w:p w14:paraId="237552EE" w14:textId="41DA5CAB" w:rsidR="006523D4" w:rsidRPr="004E3071" w:rsidRDefault="004E3071" w:rsidP="004E3071">
      <w:pPr>
        <w:spacing w:line="360" w:lineRule="auto"/>
        <w:ind w:left="720" w:hanging="360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[4]</w:t>
      </w:r>
      <w:r>
        <w:rPr>
          <w:rFonts w:ascii="Arial" w:eastAsia="Calibri" w:hAnsi="Arial" w:cs="Arial"/>
          <w:lang w:val="en-ZA"/>
        </w:rPr>
        <w:tab/>
      </w:r>
      <w:r w:rsidR="00021DD4" w:rsidRPr="004E3071">
        <w:rPr>
          <w:rFonts w:cs="Arial"/>
        </w:rPr>
        <w:t>Th</w:t>
      </w:r>
      <w:r w:rsidR="00BF7365" w:rsidRPr="004E3071">
        <w:rPr>
          <w:rFonts w:cs="Arial"/>
        </w:rPr>
        <w:t>is</w:t>
      </w:r>
      <w:r w:rsidR="00021DD4" w:rsidRPr="004E3071">
        <w:rPr>
          <w:rFonts w:cs="Arial"/>
        </w:rPr>
        <w:t xml:space="preserve"> intervention application represents an attempt to create a case which allows for a departure from these principles. These principles are famously impervious to such a departure other than in the case of fraud.</w:t>
      </w:r>
    </w:p>
    <w:p w14:paraId="1C0FAFF7" w14:textId="77777777" w:rsidR="000F4178" w:rsidRPr="000F4178" w:rsidRDefault="000F4178" w:rsidP="000F4178">
      <w:pPr>
        <w:pStyle w:val="ListParagraph"/>
        <w:spacing w:line="360" w:lineRule="auto"/>
        <w:jc w:val="both"/>
        <w:rPr>
          <w:rFonts w:cs="Arial"/>
        </w:rPr>
      </w:pPr>
    </w:p>
    <w:p w14:paraId="11192919" w14:textId="006E9203" w:rsidR="008762EA" w:rsidRDefault="00A01299" w:rsidP="0031231A">
      <w:pPr>
        <w:spacing w:line="360" w:lineRule="auto"/>
        <w:jc w:val="both"/>
        <w:rPr>
          <w:rFonts w:ascii="Arial" w:hAnsi="Arial" w:cs="Arial"/>
          <w:i/>
          <w:iCs/>
        </w:rPr>
      </w:pPr>
      <w:r w:rsidRPr="0031231A">
        <w:rPr>
          <w:rFonts w:ascii="Arial" w:hAnsi="Arial" w:cs="Arial"/>
          <w:i/>
          <w:iCs/>
        </w:rPr>
        <w:t>T</w:t>
      </w:r>
      <w:r w:rsidR="008762EA" w:rsidRPr="0031231A">
        <w:rPr>
          <w:rFonts w:ascii="Arial" w:hAnsi="Arial" w:cs="Arial"/>
          <w:i/>
          <w:iCs/>
        </w:rPr>
        <w:t xml:space="preserve">est to be met for intervention </w:t>
      </w:r>
    </w:p>
    <w:p w14:paraId="0ED3D6C2" w14:textId="77777777" w:rsidR="000F4178" w:rsidRPr="0031231A" w:rsidRDefault="000F4178" w:rsidP="0031231A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1D73C3CE" w14:textId="235B7D6C" w:rsidR="007B056A" w:rsidRPr="004E3071" w:rsidRDefault="004E3071" w:rsidP="004E3071">
      <w:pPr>
        <w:spacing w:line="360" w:lineRule="auto"/>
        <w:ind w:left="720" w:hanging="360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[5]</w:t>
      </w:r>
      <w:r>
        <w:rPr>
          <w:rFonts w:ascii="Arial" w:eastAsia="Calibri" w:hAnsi="Arial" w:cs="Arial"/>
          <w:lang w:val="en-ZA"/>
        </w:rPr>
        <w:tab/>
      </w:r>
      <w:r w:rsidR="00D629F6" w:rsidRPr="004E3071">
        <w:rPr>
          <w:rFonts w:cs="Arial"/>
        </w:rPr>
        <w:t xml:space="preserve"> </w:t>
      </w:r>
      <w:r w:rsidR="008762EA" w:rsidRPr="004E3071">
        <w:rPr>
          <w:rFonts w:cs="Arial"/>
        </w:rPr>
        <w:t xml:space="preserve">The test is whether a </w:t>
      </w:r>
      <w:r w:rsidR="00095DEF" w:rsidRPr="004E3071">
        <w:rPr>
          <w:rFonts w:cs="Arial"/>
        </w:rPr>
        <w:t>party has</w:t>
      </w:r>
      <w:r w:rsidR="008762EA" w:rsidRPr="004E3071">
        <w:rPr>
          <w:rFonts w:cs="Arial"/>
        </w:rPr>
        <w:t xml:space="preserve"> a legal interest in the s</w:t>
      </w:r>
      <w:r w:rsidR="006523D4" w:rsidRPr="004E3071">
        <w:rPr>
          <w:rFonts w:cs="Arial"/>
        </w:rPr>
        <w:t>ubject</w:t>
      </w:r>
      <w:r w:rsidR="008762EA" w:rsidRPr="004E3071">
        <w:rPr>
          <w:rFonts w:cs="Arial"/>
        </w:rPr>
        <w:t xml:space="preserve">-matter </w:t>
      </w:r>
      <w:r w:rsidR="006523D4" w:rsidRPr="004E3071">
        <w:rPr>
          <w:rFonts w:cs="Arial"/>
        </w:rPr>
        <w:t xml:space="preserve">which </w:t>
      </w:r>
      <w:r w:rsidR="008762EA" w:rsidRPr="004E3071">
        <w:rPr>
          <w:rFonts w:cs="Arial"/>
        </w:rPr>
        <w:t xml:space="preserve">may be </w:t>
      </w:r>
      <w:r w:rsidR="006523D4" w:rsidRPr="004E3071">
        <w:rPr>
          <w:rFonts w:cs="Arial"/>
        </w:rPr>
        <w:t>affected</w:t>
      </w:r>
      <w:r w:rsidR="008762EA" w:rsidRPr="004E3071">
        <w:rPr>
          <w:rFonts w:cs="Arial"/>
        </w:rPr>
        <w:t xml:space="preserve"> prejudicially by the judgment of the court in the proceedings concerned.</w:t>
      </w:r>
      <w:r w:rsidR="008762EA" w:rsidRPr="0031231A">
        <w:rPr>
          <w:rStyle w:val="FootnoteReference"/>
          <w:rFonts w:cs="Arial"/>
        </w:rPr>
        <w:footnoteReference w:id="2"/>
      </w:r>
    </w:p>
    <w:p w14:paraId="6398EF05" w14:textId="77777777" w:rsidR="000F4178" w:rsidRPr="00745319" w:rsidRDefault="000F4178" w:rsidP="000F4178">
      <w:pPr>
        <w:pStyle w:val="ListParagraph"/>
        <w:spacing w:line="360" w:lineRule="auto"/>
        <w:jc w:val="both"/>
        <w:rPr>
          <w:rFonts w:cs="Arial"/>
        </w:rPr>
      </w:pPr>
    </w:p>
    <w:p w14:paraId="3C428C1A" w14:textId="0ACF27EA" w:rsidR="003A5255" w:rsidRPr="004E3071" w:rsidRDefault="004E3071" w:rsidP="004E3071">
      <w:pPr>
        <w:spacing w:line="360" w:lineRule="auto"/>
        <w:ind w:left="720" w:hanging="360"/>
        <w:jc w:val="both"/>
        <w:rPr>
          <w:rFonts w:cs="Arial"/>
        </w:rPr>
      </w:pPr>
      <w:r w:rsidRPr="00C77057">
        <w:rPr>
          <w:rFonts w:ascii="Arial" w:eastAsia="Calibri" w:hAnsi="Arial" w:cs="Arial"/>
          <w:lang w:val="en-ZA"/>
        </w:rPr>
        <w:t>[6]</w:t>
      </w:r>
      <w:r w:rsidRPr="00C77057">
        <w:rPr>
          <w:rFonts w:ascii="Arial" w:eastAsia="Calibri" w:hAnsi="Arial" w:cs="Arial"/>
          <w:lang w:val="en-ZA"/>
        </w:rPr>
        <w:tab/>
      </w:r>
      <w:r w:rsidR="0084366B" w:rsidRPr="004E3071">
        <w:rPr>
          <w:rFonts w:cs="Arial"/>
        </w:rPr>
        <w:t>It</w:t>
      </w:r>
      <w:r w:rsidR="00C77057" w:rsidRPr="004E3071">
        <w:rPr>
          <w:rFonts w:cs="Arial"/>
        </w:rPr>
        <w:t xml:space="preserve"> </w:t>
      </w:r>
      <w:r w:rsidR="008762EA" w:rsidRPr="004E3071">
        <w:rPr>
          <w:rFonts w:cs="Arial"/>
        </w:rPr>
        <w:t xml:space="preserve">is not every interest in a dispute which will entitle a party to join or be joined in legal proceedings. It is not enough if a person simply has an interest in a finding or in certain reasons for an </w:t>
      </w:r>
      <w:r w:rsidR="001B34CA" w:rsidRPr="004E3071">
        <w:rPr>
          <w:rFonts w:cs="Arial"/>
        </w:rPr>
        <w:t>order. The</w:t>
      </w:r>
      <w:r w:rsidR="008762EA" w:rsidRPr="004E3071">
        <w:rPr>
          <w:rFonts w:cs="Arial"/>
        </w:rPr>
        <w:t xml:space="preserve"> interest must be a legal interest: that is an interest in the order or the outcome of the liti</w:t>
      </w:r>
      <w:r w:rsidR="001B34CA" w:rsidRPr="004E3071">
        <w:rPr>
          <w:rFonts w:cs="Arial"/>
        </w:rPr>
        <w:t>g</w:t>
      </w:r>
      <w:r w:rsidR="008762EA" w:rsidRPr="004E3071">
        <w:rPr>
          <w:rFonts w:cs="Arial"/>
        </w:rPr>
        <w:t>a</w:t>
      </w:r>
      <w:r w:rsidR="00DC00FD" w:rsidRPr="004E3071">
        <w:rPr>
          <w:rFonts w:cs="Arial"/>
        </w:rPr>
        <w:t>tion.</w:t>
      </w:r>
      <w:r w:rsidR="004C72EB">
        <w:rPr>
          <w:rStyle w:val="FootnoteReference"/>
          <w:rFonts w:cs="Arial"/>
        </w:rPr>
        <w:footnoteReference w:id="3"/>
      </w:r>
    </w:p>
    <w:p w14:paraId="4F37B2D1" w14:textId="77777777" w:rsidR="003A5255" w:rsidRPr="0031231A" w:rsidRDefault="003A5255" w:rsidP="0031231A">
      <w:pPr>
        <w:spacing w:line="360" w:lineRule="auto"/>
        <w:jc w:val="both"/>
        <w:rPr>
          <w:rFonts w:ascii="Arial" w:hAnsi="Arial" w:cs="Arial"/>
        </w:rPr>
      </w:pPr>
    </w:p>
    <w:p w14:paraId="2743D74F" w14:textId="7E2E559F" w:rsidR="003A5255" w:rsidRPr="0031231A" w:rsidRDefault="003A5255" w:rsidP="0031231A">
      <w:pPr>
        <w:spacing w:line="360" w:lineRule="auto"/>
        <w:jc w:val="both"/>
        <w:rPr>
          <w:rFonts w:ascii="Arial" w:hAnsi="Arial" w:cs="Arial"/>
          <w:i/>
          <w:iCs/>
        </w:rPr>
      </w:pPr>
      <w:r w:rsidRPr="0031231A">
        <w:rPr>
          <w:rFonts w:ascii="Arial" w:hAnsi="Arial" w:cs="Arial"/>
          <w:i/>
          <w:iCs/>
        </w:rPr>
        <w:t>Facts</w:t>
      </w:r>
    </w:p>
    <w:p w14:paraId="225C4A2A" w14:textId="77777777" w:rsidR="003A5255" w:rsidRPr="0031231A" w:rsidRDefault="003A5255" w:rsidP="0031231A">
      <w:pPr>
        <w:spacing w:line="360" w:lineRule="auto"/>
        <w:jc w:val="both"/>
        <w:rPr>
          <w:rFonts w:ascii="Arial" w:hAnsi="Arial" w:cs="Arial"/>
        </w:rPr>
      </w:pPr>
    </w:p>
    <w:p w14:paraId="43665891" w14:textId="49DD8EE6" w:rsidR="003A5255" w:rsidRPr="004E3071" w:rsidRDefault="004E3071" w:rsidP="004E3071">
      <w:pPr>
        <w:spacing w:line="360" w:lineRule="auto"/>
        <w:ind w:left="72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lastRenderedPageBreak/>
        <w:t>[7]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963DD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On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12 July 2018, Exxaro </w:t>
      </w:r>
      <w:r w:rsidR="007A330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and TDS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DC00FD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concluded</w:t>
      </w:r>
      <w:r w:rsidR="009761C0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written agreement for the construction of the mechanical and electrical plant, civil, building and engineering works</w:t>
      </w:r>
      <w:r w:rsidR="00136D2F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on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 project</w:t>
      </w:r>
      <w:r w:rsidR="008B356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963DD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involving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Exxaro's Matla Coal Mine</w:t>
      </w:r>
      <w:r w:rsidR="0027496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(the construction contract</w:t>
      </w:r>
      <w:r w:rsidR="00AE72D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)</w:t>
      </w:r>
      <w:r w:rsidR="00482B82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.</w:t>
      </w:r>
    </w:p>
    <w:p w14:paraId="24B61CA0" w14:textId="77777777" w:rsidR="00E500AC" w:rsidRPr="00E500AC" w:rsidRDefault="00E500AC" w:rsidP="00E500AC">
      <w:pPr>
        <w:spacing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16AB7557" w14:textId="77777777" w:rsidR="00482B82" w:rsidRPr="00482B82" w:rsidRDefault="00482B82" w:rsidP="00482B82">
      <w:pPr>
        <w:pStyle w:val="ListParagraph"/>
        <w:spacing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1399F2FC" w14:textId="2A3418A0" w:rsidR="00DF79B1" w:rsidRPr="004E3071" w:rsidRDefault="004E3071" w:rsidP="004E3071">
      <w:pPr>
        <w:spacing w:after="0" w:line="360" w:lineRule="auto"/>
        <w:ind w:left="72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[8]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TDS procured</w:t>
      </w:r>
      <w:r w:rsidR="00963DD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AF40C0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performance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guarantee</w:t>
      </w:r>
      <w:r w:rsidR="00963DD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in issue</w:t>
      </w:r>
      <w:r w:rsidR="003F699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as security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for </w:t>
      </w:r>
      <w:proofErr w:type="spell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thefulfilment</w:t>
      </w:r>
      <w:proofErr w:type="spell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of its obligations in the amount of R32 082 012.90, as required by the </w:t>
      </w:r>
      <w:r w:rsidR="00AE72D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construction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contract. The guarantee was issued by </w:t>
      </w:r>
      <w:r w:rsidR="00DF79B1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ABSA</w:t>
      </w:r>
      <w:r w:rsidR="00A43F1C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subject to the following material terms:</w:t>
      </w:r>
    </w:p>
    <w:p w14:paraId="5EC5A70F" w14:textId="77777777" w:rsidR="00482B82" w:rsidRPr="00482B82" w:rsidRDefault="00482B82" w:rsidP="00482B82">
      <w:pPr>
        <w:pStyle w:val="ListParagraph"/>
        <w:spacing w:after="0"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5233FFB9" w14:textId="7C2396CD" w:rsidR="00DF79B1" w:rsidRPr="004E3071" w:rsidRDefault="004E3071" w:rsidP="004E3071">
      <w:pPr>
        <w:spacing w:after="0" w:line="360" w:lineRule="auto"/>
        <w:ind w:left="144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a.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the guaranteed amount would be paid to Exxaro on receipt by ABSA of a written demand stating that such an amount was due and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payable;</w:t>
      </w:r>
      <w:proofErr w:type="gram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</w:p>
    <w:p w14:paraId="43C474F4" w14:textId="77777777" w:rsidR="001D2D8C" w:rsidRPr="00482B82" w:rsidRDefault="001D2D8C" w:rsidP="001D2D8C">
      <w:pPr>
        <w:pStyle w:val="ListParagraph"/>
        <w:spacing w:after="0" w:line="360" w:lineRule="auto"/>
        <w:ind w:left="144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2CC886A3" w14:textId="50D776C8" w:rsidR="00DF79B1" w:rsidRPr="004E3071" w:rsidRDefault="004E3071" w:rsidP="004E3071">
      <w:pPr>
        <w:spacing w:after="0" w:line="360" w:lineRule="auto"/>
        <w:ind w:left="144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b.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written demands would be signed by a person who warranted that he/she was duly authorised to do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so;</w:t>
      </w:r>
      <w:proofErr w:type="gramEnd"/>
    </w:p>
    <w:p w14:paraId="1D4FEF3F" w14:textId="77777777" w:rsidR="001D2D8C" w:rsidRDefault="001D2D8C" w:rsidP="001D2D8C">
      <w:pPr>
        <w:pStyle w:val="ListParagraph"/>
        <w:spacing w:after="0" w:line="360" w:lineRule="auto"/>
        <w:ind w:left="144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61B9E476" w14:textId="4B70AB06" w:rsidR="00BF35B9" w:rsidRPr="004E3071" w:rsidRDefault="004E3071" w:rsidP="004E3071">
      <w:pPr>
        <w:spacing w:after="0" w:line="360" w:lineRule="auto"/>
        <w:ind w:left="144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c.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guarantee would expire on 19 June 2020 (the expiry date) and any claim and statement would have to be received by ABSA before the expiry date; and</w:t>
      </w:r>
    </w:p>
    <w:p w14:paraId="14295728" w14:textId="77777777" w:rsidR="001D2D8C" w:rsidRDefault="001D2D8C" w:rsidP="001D2D8C">
      <w:pPr>
        <w:pStyle w:val="ListParagraph"/>
        <w:spacing w:after="0" w:line="360" w:lineRule="auto"/>
        <w:ind w:left="144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48609AC0" w14:textId="4CD7CAC9" w:rsidR="003A5255" w:rsidRPr="004E3071" w:rsidRDefault="004E3071" w:rsidP="004E3071">
      <w:pPr>
        <w:spacing w:after="0" w:line="360" w:lineRule="auto"/>
        <w:ind w:left="144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E500A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d.</w:t>
      </w:r>
      <w:r w:rsidRPr="00E500A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after the expiry date, the guarantee would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lapse</w:t>
      </w:r>
      <w:proofErr w:type="gram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and any statement received thereafter would be ineffective.</w:t>
      </w:r>
    </w:p>
    <w:p w14:paraId="53C77E65" w14:textId="77777777" w:rsidR="003F3934" w:rsidRPr="0031231A" w:rsidRDefault="003F3934" w:rsidP="0031231A">
      <w:pPr>
        <w:spacing w:after="0" w:line="360" w:lineRule="auto"/>
        <w:ind w:left="226" w:hanging="226"/>
        <w:jc w:val="both"/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</w:pPr>
    </w:p>
    <w:p w14:paraId="3FB93CF2" w14:textId="6346CC22" w:rsidR="00DD3A54" w:rsidRPr="004E3071" w:rsidRDefault="004E3071" w:rsidP="004E3071">
      <w:pPr>
        <w:spacing w:after="0" w:line="360" w:lineRule="auto"/>
        <w:ind w:left="720" w:hanging="360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AE72D3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[9]</w:t>
      </w:r>
      <w:r w:rsidRPr="00AE72D3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F393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9 June 2020 Exxaro sent a letter to TDS terminating the</w:t>
      </w:r>
      <w:r w:rsidR="00D50C7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AE72D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construction contract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with immediate effect on the basis that TDS had committed breaches </w:t>
      </w:r>
      <w:r w:rsidR="00AE72D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thereof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which it</w:t>
      </w:r>
      <w:r w:rsidR="003F393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had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failed to remedy. TDS denies having committed those breaches. </w:t>
      </w:r>
      <w:r w:rsidR="002A401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Facts relating to these alleged breaches are not relevant to </w:t>
      </w:r>
      <w:r w:rsidR="005F7FE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this intervention application or the main application</w:t>
      </w:r>
      <w:r w:rsidR="00DD3A5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.</w:t>
      </w:r>
    </w:p>
    <w:p w14:paraId="602986C6" w14:textId="77777777" w:rsidR="00254EB2" w:rsidRPr="00254EB2" w:rsidRDefault="00254EB2" w:rsidP="00254EB2">
      <w:pPr>
        <w:pStyle w:val="ListParagraph"/>
        <w:spacing w:after="0"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5555F3E9" w14:textId="58DC2A5C" w:rsidR="00DD3A54" w:rsidRPr="004E3071" w:rsidRDefault="004E3071" w:rsidP="004E3071">
      <w:pPr>
        <w:spacing w:after="0" w:line="360" w:lineRule="auto"/>
        <w:ind w:left="851" w:hanging="567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[10]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 10 June 2020</w:t>
      </w:r>
      <w:r w:rsidR="00AE72D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Exxaro sought to invoke its rights under the guarantee by sending a demand to ABSA claiming that the guaranteed amount had become payable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as a result of</w:t>
      </w:r>
      <w:proofErr w:type="gram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TDS's failure to perform in terms of the </w:t>
      </w:r>
      <w:r w:rsidR="00681EB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construction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contract (the first demand). </w:t>
      </w:r>
    </w:p>
    <w:p w14:paraId="568500A7" w14:textId="77777777" w:rsidR="00754F01" w:rsidRPr="00254EB2" w:rsidRDefault="00754F01" w:rsidP="00754F01">
      <w:pPr>
        <w:pStyle w:val="ListParagraph"/>
        <w:spacing w:after="0" w:line="360" w:lineRule="auto"/>
        <w:ind w:left="851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164EED4E" w14:textId="00ADE1B9" w:rsidR="00650AC5" w:rsidRPr="004E3071" w:rsidRDefault="004E3071" w:rsidP="004E3071">
      <w:pPr>
        <w:spacing w:after="0" w:line="360" w:lineRule="auto"/>
        <w:ind w:left="851" w:hanging="567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lastRenderedPageBreak/>
        <w:t>[11]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ABSA </w:t>
      </w:r>
      <w:r w:rsidR="00DD3A5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responded with the advice to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Exxaro that the demand was 'deemed unfit for</w:t>
      </w:r>
      <w:r w:rsidR="00754F01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processing' by ABSA on various bases</w:t>
      </w:r>
      <w:r w:rsidR="00681EB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which I need not go into</w:t>
      </w:r>
      <w:r w:rsidR="00DD3A5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.</w:t>
      </w:r>
      <w:r w:rsidR="00E7170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650AC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This advice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was followed by a letter from Exxaro suspending the first demand.</w:t>
      </w:r>
    </w:p>
    <w:p w14:paraId="00E96A4E" w14:textId="77777777" w:rsidR="00681EB9" w:rsidRPr="00681EB9" w:rsidRDefault="00681EB9" w:rsidP="00681EB9">
      <w:pPr>
        <w:pStyle w:val="ListParagrap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514FE3F7" w14:textId="77777777" w:rsidR="00681EB9" w:rsidRPr="001635EB" w:rsidRDefault="00681EB9" w:rsidP="00681EB9">
      <w:pPr>
        <w:pStyle w:val="ListParagraph"/>
        <w:spacing w:after="0" w:line="360" w:lineRule="auto"/>
        <w:ind w:left="851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2E8E8333" w14:textId="467EFC98" w:rsidR="0085673C" w:rsidRPr="004E3071" w:rsidRDefault="004E3071" w:rsidP="004E3071">
      <w:pPr>
        <w:spacing w:after="0" w:line="360" w:lineRule="auto"/>
        <w:ind w:left="993" w:hanging="567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[12]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</w:t>
      </w:r>
      <w:r w:rsidR="00E7170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19 June 2020 Exxaro sent another letter to ABSA retracting the suspension and claiming a lesser amount of R22 165 055.66 (the second demand). Save for this lesser </w:t>
      </w:r>
      <w:r w:rsidR="0071446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amount the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second demand was </w:t>
      </w:r>
      <w:r w:rsidR="00650AC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same as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the first.</w:t>
      </w:r>
    </w:p>
    <w:p w14:paraId="2BEE84F6" w14:textId="77777777" w:rsidR="0085673C" w:rsidRPr="0085673C" w:rsidRDefault="0085673C" w:rsidP="0085673C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7F07AF57" w14:textId="64678FEE" w:rsidR="00986F57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[13]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 25 June 2020 TDS applied to th</w:t>
      </w:r>
      <w:r w:rsidR="00012FA6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is court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for an interim order interdicting Exxaro from demanding</w:t>
      </w:r>
      <w:r w:rsidR="008974C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,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and ABSA from making</w:t>
      </w:r>
      <w:r w:rsidR="008974C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,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payment of any amount under the guarantee pending determination </w:t>
      </w:r>
      <w:r w:rsidR="00986F5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of relief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sought in Part B of th</w:t>
      </w:r>
      <w:r w:rsidR="00650AC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at </w:t>
      </w:r>
      <w:r w:rsidR="0085673C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interdictory application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. </w:t>
      </w:r>
    </w:p>
    <w:p w14:paraId="64DE97A3" w14:textId="77777777" w:rsidR="00986F57" w:rsidRPr="00986F57" w:rsidRDefault="00986F57" w:rsidP="00986F57">
      <w:pPr>
        <w:pStyle w:val="ListParagrap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3D4D3CB8" w14:textId="614ECC16" w:rsidR="0085673C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[14]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In Part B, TDS sought an order declaring that the demands made by Exxaro for payment of the guarantee were invalid</w:t>
      </w:r>
      <w:r w:rsidR="00986F5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and a final interdict preventing ABSA from making payment of any amount under the guarantee.</w:t>
      </w:r>
    </w:p>
    <w:p w14:paraId="601BEA98" w14:textId="77777777" w:rsidR="001F6556" w:rsidRPr="0085673C" w:rsidRDefault="001F6556" w:rsidP="001F6556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48CFA1DD" w14:textId="00A50933" w:rsidR="00100AE2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[15]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Exxaro opposed the application and lodged a counter- application to compel TDS to provide a new or revised guarantee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</w:t>
      </w:r>
      <w:r w:rsidR="001F6556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basis of</w:t>
      </w:r>
      <w:proofErr w:type="gram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an alleged agreement TDS had allegedly reneged on.</w:t>
      </w:r>
    </w:p>
    <w:p w14:paraId="60816DC8" w14:textId="77777777" w:rsidR="00100AE2" w:rsidRPr="00100AE2" w:rsidRDefault="00100AE2" w:rsidP="00100AE2">
      <w:pPr>
        <w:pStyle w:val="ListParagrap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2E755A33" w14:textId="27F1A5F6" w:rsidR="003A5255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1F6556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[16]</w:t>
      </w:r>
      <w:r w:rsidRPr="001F6556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CE261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The </w:t>
      </w:r>
      <w:r w:rsidR="00100AE2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parties ultimately </w:t>
      </w:r>
      <w:r w:rsidR="00CE261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agreed </w:t>
      </w:r>
      <w:r w:rsidR="002D109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on interim relief and this court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proofErr w:type="gramStart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was  called</w:t>
      </w:r>
      <w:proofErr w:type="gramEnd"/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upon to determine Part B of the application. Although ABSA abided the court's decision, it filed an affidavit to state its position.</w:t>
      </w:r>
    </w:p>
    <w:p w14:paraId="0070CA39" w14:textId="77777777" w:rsidR="002D1098" w:rsidRPr="0031231A" w:rsidRDefault="002D1098" w:rsidP="0031231A">
      <w:pPr>
        <w:spacing w:after="0" w:line="360" w:lineRule="auto"/>
        <w:ind w:hanging="226"/>
        <w:jc w:val="both"/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</w:pPr>
    </w:p>
    <w:p w14:paraId="1F53AEA0" w14:textId="2BD78AB4" w:rsidR="003A5255" w:rsidRPr="004E3071" w:rsidRDefault="004E3071" w:rsidP="004E3071">
      <w:pPr>
        <w:spacing w:after="0" w:line="360" w:lineRule="auto"/>
        <w:ind w:left="993" w:hanging="567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384564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[17]</w:t>
      </w:r>
      <w:r w:rsidRPr="00384564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grounds for the interdict were as follows. TDS alleged that the first and second demands were fraudulently made</w:t>
      </w:r>
      <w:r w:rsidR="00C4267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and that it had a clear right to prevent Exxaro from unlawfully benefiting under the guarantee</w:t>
      </w:r>
      <w:r w:rsidR="00C42673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.</w:t>
      </w:r>
      <w:r w:rsidR="003A5255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It further alleged that the demands did not comply with the terms of the guarantee in that they were not signed by a person warranting that they had authority to do </w:t>
      </w:r>
      <w:r w:rsidR="003A5255" w:rsidRPr="004E3071">
        <w:rPr>
          <w:rFonts w:cs="Arial"/>
          <w:color w:val="000000"/>
        </w:rPr>
        <w:t xml:space="preserve">so; they failed to state that the amount claimed was due and payable; and they did not indicate the respects in which TDS </w:t>
      </w:r>
      <w:r w:rsidR="003A5255" w:rsidRPr="004E3071">
        <w:rPr>
          <w:rFonts w:cs="Arial"/>
          <w:color w:val="000000"/>
        </w:rPr>
        <w:lastRenderedPageBreak/>
        <w:t>had breached the contract. As such</w:t>
      </w:r>
      <w:r w:rsidR="002D1098" w:rsidRPr="004E3071">
        <w:rPr>
          <w:rFonts w:cs="Arial"/>
          <w:color w:val="000000"/>
        </w:rPr>
        <w:t xml:space="preserve"> </w:t>
      </w:r>
      <w:r w:rsidR="00C42673" w:rsidRPr="004E3071">
        <w:rPr>
          <w:rFonts w:cs="Arial"/>
          <w:color w:val="000000"/>
        </w:rPr>
        <w:t xml:space="preserve">TDS argued </w:t>
      </w:r>
      <w:r w:rsidR="006F1CAD" w:rsidRPr="004E3071">
        <w:rPr>
          <w:rFonts w:cs="Arial"/>
          <w:color w:val="000000"/>
        </w:rPr>
        <w:t>that</w:t>
      </w:r>
      <w:r w:rsidR="003A5255" w:rsidRPr="004E3071">
        <w:rPr>
          <w:rFonts w:cs="Arial"/>
          <w:color w:val="000000"/>
        </w:rPr>
        <w:t xml:space="preserve"> ABSA was not legally obliged to honour the guarantee.</w:t>
      </w:r>
    </w:p>
    <w:p w14:paraId="66751E1B" w14:textId="669DCC4C" w:rsidR="006E3733" w:rsidRPr="0031231A" w:rsidRDefault="003A5255" w:rsidP="0031231A">
      <w:pPr>
        <w:spacing w:after="0" w:line="360" w:lineRule="auto"/>
        <w:ind w:hanging="226"/>
        <w:jc w:val="both"/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</w:pPr>
      <w:r w:rsidRPr="0031231A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 </w:t>
      </w:r>
      <w:bookmarkStart w:id="0" w:name="0-0-0-429851"/>
      <w:bookmarkEnd w:id="0"/>
    </w:p>
    <w:p w14:paraId="336E85F8" w14:textId="77777777" w:rsidR="000B5D18" w:rsidRDefault="000B5D18" w:rsidP="000B5D18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307DC55D" w14:textId="77777777" w:rsidR="000B5D18" w:rsidRPr="0031231A" w:rsidRDefault="000B5D18" w:rsidP="000B5D18">
      <w:pPr>
        <w:spacing w:line="360" w:lineRule="auto"/>
        <w:jc w:val="both"/>
        <w:rPr>
          <w:rFonts w:ascii="Arial" w:hAnsi="Arial" w:cs="Arial"/>
          <w:i/>
          <w:iCs/>
        </w:rPr>
      </w:pPr>
      <w:r w:rsidRPr="0031231A">
        <w:rPr>
          <w:rFonts w:ascii="Arial" w:hAnsi="Arial" w:cs="Arial"/>
          <w:i/>
          <w:iCs/>
        </w:rPr>
        <w:t>Issues</w:t>
      </w:r>
    </w:p>
    <w:p w14:paraId="169A1755" w14:textId="77777777" w:rsidR="000B5D18" w:rsidRDefault="000B5D18" w:rsidP="000B5D18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00401FEB" w14:textId="0146C796" w:rsidR="009A38E8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1D2D8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[18]</w:t>
      </w:r>
      <w:r w:rsidRPr="001D2D8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F31713" w:rsidRPr="004E3071">
        <w:rPr>
          <w:rFonts w:cs="Arial"/>
        </w:rPr>
        <w:t>TDS claims that it has the</w:t>
      </w:r>
      <w:r w:rsidR="006F1CAD" w:rsidRPr="004E3071">
        <w:rPr>
          <w:rFonts w:cs="Arial"/>
        </w:rPr>
        <w:t xml:space="preserve"> type of</w:t>
      </w:r>
      <w:r w:rsidR="00F31713" w:rsidRPr="004E3071">
        <w:rPr>
          <w:rFonts w:cs="Arial"/>
        </w:rPr>
        <w:t xml:space="preserve"> interest</w:t>
      </w:r>
      <w:r w:rsidR="009A38E8" w:rsidRPr="004E3071">
        <w:rPr>
          <w:rFonts w:cs="Arial"/>
        </w:rPr>
        <w:t xml:space="preserve"> necessary to </w:t>
      </w:r>
      <w:r w:rsidR="006F1CAD" w:rsidRPr="004E3071">
        <w:rPr>
          <w:rFonts w:cs="Arial"/>
        </w:rPr>
        <w:t xml:space="preserve">allow </w:t>
      </w:r>
      <w:r w:rsidR="009A38E8" w:rsidRPr="004E3071">
        <w:rPr>
          <w:rFonts w:cs="Arial"/>
        </w:rPr>
        <w:t>join</w:t>
      </w:r>
      <w:r w:rsidR="006F1CAD" w:rsidRPr="004E3071">
        <w:rPr>
          <w:rFonts w:cs="Arial"/>
        </w:rPr>
        <w:t>der in</w:t>
      </w:r>
      <w:r w:rsidR="000F03E7" w:rsidRPr="004E3071">
        <w:rPr>
          <w:rFonts w:cs="Arial"/>
        </w:rPr>
        <w:t xml:space="preserve"> the main application</w:t>
      </w:r>
      <w:r w:rsidR="009A38E8" w:rsidRPr="004E3071">
        <w:rPr>
          <w:rFonts w:cs="Arial"/>
        </w:rPr>
        <w:t xml:space="preserve"> on the </w:t>
      </w:r>
      <w:r w:rsidR="000B5D18" w:rsidRPr="004E3071">
        <w:rPr>
          <w:rFonts w:cs="Arial"/>
        </w:rPr>
        <w:t>following two</w:t>
      </w:r>
      <w:r w:rsidR="009A38E8" w:rsidRPr="004E3071">
        <w:rPr>
          <w:rFonts w:cs="Arial"/>
        </w:rPr>
        <w:t xml:space="preserve"> </w:t>
      </w:r>
      <w:r w:rsidR="00714469" w:rsidRPr="004E3071">
        <w:rPr>
          <w:rFonts w:cs="Arial"/>
        </w:rPr>
        <w:t>grounds</w:t>
      </w:r>
      <w:r w:rsidR="000F03E7" w:rsidRPr="004E3071">
        <w:rPr>
          <w:rFonts w:cs="Arial"/>
        </w:rPr>
        <w:t>:</w:t>
      </w:r>
    </w:p>
    <w:p w14:paraId="7D4F90BA" w14:textId="77777777" w:rsidR="001D2D8C" w:rsidRPr="00D020BC" w:rsidRDefault="001D2D8C" w:rsidP="001D2D8C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2ABDD012" w14:textId="76C19678" w:rsidR="00D020BC" w:rsidRPr="004E3071" w:rsidRDefault="004E3071" w:rsidP="004E3071">
      <w:pPr>
        <w:spacing w:line="360" w:lineRule="auto"/>
        <w:ind w:left="1440" w:hanging="360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a.</w:t>
      </w:r>
      <w:r>
        <w:rPr>
          <w:rFonts w:ascii="Arial" w:eastAsia="Calibri" w:hAnsi="Arial" w:cs="Arial"/>
          <w:lang w:val="en-ZA"/>
        </w:rPr>
        <w:tab/>
      </w:r>
      <w:r w:rsidR="00D020BC" w:rsidRPr="004E3071">
        <w:rPr>
          <w:rFonts w:cs="Arial"/>
        </w:rPr>
        <w:t>First</w:t>
      </w:r>
      <w:r w:rsidR="003E0B35" w:rsidRPr="004E3071">
        <w:rPr>
          <w:rFonts w:cs="Arial"/>
        </w:rPr>
        <w:t>,</w:t>
      </w:r>
      <w:r w:rsidR="00D020BC" w:rsidRPr="004E3071">
        <w:rPr>
          <w:rFonts w:cs="Arial"/>
        </w:rPr>
        <w:t xml:space="preserve"> that there is a concrete financial interest which exists in a deed of indemnity and consequent deposit provided by TDS directly to </w:t>
      </w:r>
      <w:proofErr w:type="gramStart"/>
      <w:r w:rsidR="00D020BC" w:rsidRPr="004E3071">
        <w:rPr>
          <w:rFonts w:cs="Arial"/>
        </w:rPr>
        <w:t>Hollard;</w:t>
      </w:r>
      <w:proofErr w:type="gramEnd"/>
    </w:p>
    <w:p w14:paraId="1A24F945" w14:textId="77777777" w:rsidR="001D2D8C" w:rsidRDefault="001D2D8C" w:rsidP="001D2D8C">
      <w:pPr>
        <w:pStyle w:val="ListParagraph"/>
        <w:spacing w:line="360" w:lineRule="auto"/>
        <w:ind w:left="1440"/>
        <w:jc w:val="both"/>
        <w:rPr>
          <w:rFonts w:cs="Arial"/>
        </w:rPr>
      </w:pPr>
    </w:p>
    <w:p w14:paraId="4EE414F6" w14:textId="585825B3" w:rsidR="00D020BC" w:rsidRPr="004E3071" w:rsidRDefault="004E3071" w:rsidP="004E3071">
      <w:pPr>
        <w:spacing w:line="360" w:lineRule="auto"/>
        <w:ind w:left="1440" w:hanging="360"/>
        <w:jc w:val="both"/>
        <w:rPr>
          <w:rFonts w:cs="Arial"/>
        </w:rPr>
      </w:pPr>
      <w:r w:rsidRPr="00D020BC">
        <w:rPr>
          <w:rFonts w:ascii="Arial" w:eastAsia="Calibri" w:hAnsi="Arial" w:cs="Arial"/>
          <w:lang w:val="en-ZA"/>
        </w:rPr>
        <w:t>b.</w:t>
      </w:r>
      <w:r w:rsidRPr="00D020BC">
        <w:rPr>
          <w:rFonts w:ascii="Arial" w:eastAsia="Calibri" w:hAnsi="Arial" w:cs="Arial"/>
          <w:lang w:val="en-ZA"/>
        </w:rPr>
        <w:tab/>
      </w:r>
      <w:r w:rsidR="00D020BC" w:rsidRPr="004E3071">
        <w:rPr>
          <w:rFonts w:cs="Arial"/>
        </w:rPr>
        <w:t>Second</w:t>
      </w:r>
      <w:r w:rsidR="003E0B35" w:rsidRPr="004E3071">
        <w:rPr>
          <w:rFonts w:cs="Arial"/>
        </w:rPr>
        <w:t>,</w:t>
      </w:r>
      <w:r w:rsidR="00D020BC" w:rsidRPr="004E3071">
        <w:rPr>
          <w:rFonts w:cs="Arial"/>
        </w:rPr>
        <w:t xml:space="preserve"> that it wishes to join </w:t>
      </w:r>
      <w:proofErr w:type="gramStart"/>
      <w:r w:rsidR="00D020BC" w:rsidRPr="004E3071">
        <w:rPr>
          <w:rFonts w:cs="Arial"/>
        </w:rPr>
        <w:t>in order to</w:t>
      </w:r>
      <w:proofErr w:type="gramEnd"/>
      <w:r w:rsidR="00D020BC" w:rsidRPr="004E3071">
        <w:rPr>
          <w:rFonts w:cs="Arial"/>
        </w:rPr>
        <w:t xml:space="preserve"> raise fraud or at least unconscionable conduct on the part of </w:t>
      </w:r>
      <w:r w:rsidR="00714469" w:rsidRPr="004E3071">
        <w:rPr>
          <w:rFonts w:cs="Arial"/>
        </w:rPr>
        <w:t>Exxaro</w:t>
      </w:r>
      <w:r w:rsidR="00D020BC" w:rsidRPr="004E3071">
        <w:rPr>
          <w:rFonts w:cs="Arial"/>
        </w:rPr>
        <w:t>.</w:t>
      </w:r>
    </w:p>
    <w:p w14:paraId="336AFECD" w14:textId="77777777" w:rsidR="00D020BC" w:rsidRPr="00D020BC" w:rsidRDefault="00D020BC" w:rsidP="00D020BC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5F0AAB9A" w14:textId="7F4FAE13" w:rsidR="001D2D8C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1D2D8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[19]</w:t>
      </w:r>
      <w:r w:rsidRPr="001D2D8C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9A38E8" w:rsidRPr="004E3071">
        <w:rPr>
          <w:rFonts w:cs="Arial"/>
        </w:rPr>
        <w:t>I will deal successively with these grounds.</w:t>
      </w:r>
    </w:p>
    <w:p w14:paraId="65215D5B" w14:textId="77777777" w:rsidR="001D2D8C" w:rsidRDefault="001D2D8C" w:rsidP="001D2D8C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41CCA94D" w14:textId="0434220B" w:rsidR="00600F46" w:rsidRPr="001D2D8C" w:rsidRDefault="00600F46" w:rsidP="001D2D8C">
      <w:pPr>
        <w:pStyle w:val="ListParagraph"/>
        <w:spacing w:after="0" w:line="360" w:lineRule="auto"/>
        <w:ind w:left="567" w:hanging="567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1D2D8C">
        <w:rPr>
          <w:rFonts w:cs="Arial"/>
          <w:i/>
          <w:iCs/>
        </w:rPr>
        <w:t>The financial interest</w:t>
      </w:r>
    </w:p>
    <w:p w14:paraId="13A7130F" w14:textId="77777777" w:rsidR="00600F46" w:rsidRPr="00600F46" w:rsidRDefault="00600F46" w:rsidP="00600F46">
      <w:pPr>
        <w:pStyle w:val="ListParagraph"/>
        <w:spacing w:after="0" w:line="360" w:lineRule="auto"/>
        <w:ind w:left="99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180E54CB" w14:textId="165DAD2B" w:rsidR="00E71798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6B5806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[20]</w:t>
      </w:r>
      <w:r w:rsidRPr="006B5806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AE2717" w:rsidRPr="004E3071">
        <w:rPr>
          <w:rFonts w:cs="Arial"/>
        </w:rPr>
        <w:t>As a condition precedent for the issuance of the Hollard Guarantee and to secure the Absa guarante</w:t>
      </w:r>
      <w:r w:rsidR="00870907" w:rsidRPr="004E3071">
        <w:rPr>
          <w:rFonts w:cs="Arial"/>
        </w:rPr>
        <w:t xml:space="preserve">e TDS deposited </w:t>
      </w:r>
      <w:r w:rsidR="00A5035F" w:rsidRPr="004E3071">
        <w:rPr>
          <w:rFonts w:cs="Arial"/>
        </w:rPr>
        <w:t xml:space="preserve">the sum of </w:t>
      </w:r>
      <w:r w:rsidR="00870907" w:rsidRPr="004E3071">
        <w:rPr>
          <w:rFonts w:cs="Arial"/>
        </w:rPr>
        <w:t>R4,812,301.94</w:t>
      </w:r>
      <w:r w:rsidR="00600F46" w:rsidRPr="004E3071">
        <w:rPr>
          <w:rFonts w:cs="Arial"/>
        </w:rPr>
        <w:t xml:space="preserve"> </w:t>
      </w:r>
      <w:r w:rsidR="00870907" w:rsidRPr="004E3071">
        <w:rPr>
          <w:rFonts w:cs="Arial"/>
        </w:rPr>
        <w:t xml:space="preserve">against which Hollard </w:t>
      </w:r>
      <w:r w:rsidR="002B1354" w:rsidRPr="004E3071">
        <w:rPr>
          <w:rFonts w:cs="Arial"/>
        </w:rPr>
        <w:t>would</w:t>
      </w:r>
      <w:r w:rsidR="00870907" w:rsidRPr="004E3071">
        <w:rPr>
          <w:rFonts w:cs="Arial"/>
        </w:rPr>
        <w:t xml:space="preserve"> be </w:t>
      </w:r>
      <w:r w:rsidR="002238C0" w:rsidRPr="004E3071">
        <w:rPr>
          <w:rFonts w:cs="Arial"/>
        </w:rPr>
        <w:t>entitled realize</w:t>
      </w:r>
      <w:r w:rsidR="002649B0" w:rsidRPr="004E3071">
        <w:rPr>
          <w:rFonts w:cs="Arial"/>
        </w:rPr>
        <w:t xml:space="preserve"> the entire</w:t>
      </w:r>
      <w:r w:rsidR="00FE3F17" w:rsidRPr="004E3071">
        <w:rPr>
          <w:rFonts w:cs="Arial"/>
        </w:rPr>
        <w:t xml:space="preserve"> amount</w:t>
      </w:r>
      <w:r w:rsidR="00870907" w:rsidRPr="004E3071">
        <w:rPr>
          <w:rFonts w:cs="Arial"/>
        </w:rPr>
        <w:t xml:space="preserve"> or such portion thereof as may be necessary to discharge TDS's liability to Hollard at any</w:t>
      </w:r>
      <w:r w:rsidR="007E684F" w:rsidRPr="004E3071">
        <w:rPr>
          <w:rFonts w:cs="Arial"/>
        </w:rPr>
        <w:t xml:space="preserve"> time</w:t>
      </w:r>
      <w:r w:rsidR="00870907" w:rsidRPr="004E3071">
        <w:rPr>
          <w:rFonts w:cs="Arial"/>
        </w:rPr>
        <w:t xml:space="preserve">. Hollard will not release the deposit to TDS until Absa releases Hollard from </w:t>
      </w:r>
      <w:r w:rsidR="003A7F41" w:rsidRPr="004E3071">
        <w:rPr>
          <w:rFonts w:cs="Arial"/>
        </w:rPr>
        <w:t>its</w:t>
      </w:r>
      <w:r w:rsidR="002B1EE3" w:rsidRPr="004E3071">
        <w:rPr>
          <w:rFonts w:cs="Arial"/>
        </w:rPr>
        <w:t xml:space="preserve"> obligations to ABSA.</w:t>
      </w:r>
    </w:p>
    <w:p w14:paraId="35F30BA6" w14:textId="77777777" w:rsidR="00E71798" w:rsidRPr="00E71798" w:rsidRDefault="00E71798" w:rsidP="00E71798">
      <w:pPr>
        <w:pStyle w:val="ListParagraph"/>
        <w:spacing w:after="0" w:line="360" w:lineRule="auto"/>
        <w:ind w:left="993"/>
        <w:jc w:val="both"/>
        <w:rPr>
          <w:rFonts w:eastAsia="Times New Roman" w:cs="Arial"/>
          <w:b/>
          <w:bCs/>
          <w:color w:val="000000"/>
          <w:kern w:val="0"/>
          <w:lang w:eastAsia="en-ZA"/>
          <w14:ligatures w14:val="none"/>
        </w:rPr>
      </w:pPr>
    </w:p>
    <w:p w14:paraId="4D406D89" w14:textId="41DE408D" w:rsidR="004669E4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4669E4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[21]</w:t>
      </w:r>
      <w:r w:rsidRPr="004669E4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E18BF" w:rsidRPr="004E3071">
        <w:rPr>
          <w:rFonts w:cs="Arial"/>
        </w:rPr>
        <w:t>The high watermark of TDS’s application</w:t>
      </w:r>
      <w:r w:rsidR="003A7F41" w:rsidRPr="004E3071">
        <w:rPr>
          <w:rFonts w:cs="Arial"/>
        </w:rPr>
        <w:t xml:space="preserve"> is that</w:t>
      </w:r>
      <w:r w:rsidR="003E18BF" w:rsidRPr="004E3071">
        <w:rPr>
          <w:rFonts w:cs="Arial"/>
        </w:rPr>
        <w:t xml:space="preserve"> it has </w:t>
      </w:r>
      <w:proofErr w:type="gramStart"/>
      <w:r w:rsidR="006F3CF1" w:rsidRPr="004E3071">
        <w:rPr>
          <w:rFonts w:cs="Arial"/>
        </w:rPr>
        <w:t xml:space="preserve">substantial </w:t>
      </w:r>
      <w:r w:rsidR="007E684F" w:rsidRPr="004E3071">
        <w:rPr>
          <w:rFonts w:cs="Arial"/>
        </w:rPr>
        <w:t xml:space="preserve"> </w:t>
      </w:r>
      <w:r w:rsidR="003E18BF" w:rsidRPr="004E3071">
        <w:rPr>
          <w:rFonts w:cs="Arial"/>
        </w:rPr>
        <w:t>rights</w:t>
      </w:r>
      <w:proofErr w:type="gramEnd"/>
      <w:r w:rsidR="003E18BF" w:rsidRPr="004E3071">
        <w:rPr>
          <w:rFonts w:cs="Arial"/>
        </w:rPr>
        <w:t xml:space="preserve"> under the deed of deposit and the deed of indemnity</w:t>
      </w:r>
      <w:r w:rsidR="00CE2637" w:rsidRPr="004E3071">
        <w:rPr>
          <w:rFonts w:cs="Arial"/>
        </w:rPr>
        <w:t xml:space="preserve"> which</w:t>
      </w:r>
      <w:r w:rsidR="003E18BF" w:rsidRPr="004E3071">
        <w:rPr>
          <w:rFonts w:cs="Arial"/>
        </w:rPr>
        <w:t xml:space="preserve"> may be affected by the main application and that it seeks to protect such rights by </w:t>
      </w:r>
      <w:r w:rsidR="009D0CA1" w:rsidRPr="004E3071">
        <w:rPr>
          <w:rFonts w:cs="Arial"/>
        </w:rPr>
        <w:t>a presence in the</w:t>
      </w:r>
      <w:r w:rsidR="003E18BF" w:rsidRPr="004E3071">
        <w:rPr>
          <w:rFonts w:cs="Arial"/>
        </w:rPr>
        <w:t xml:space="preserve">  intervention application. </w:t>
      </w:r>
    </w:p>
    <w:p w14:paraId="3BB6F118" w14:textId="77777777" w:rsidR="004669E4" w:rsidRPr="004669E4" w:rsidRDefault="004669E4" w:rsidP="004669E4">
      <w:pPr>
        <w:pStyle w:val="ListParagraph"/>
        <w:rPr>
          <w:rFonts w:cs="Arial"/>
        </w:rPr>
      </w:pPr>
    </w:p>
    <w:p w14:paraId="6E7A3317" w14:textId="5B200916" w:rsidR="00456FFA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 w:rsidRPr="00456FFA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lastRenderedPageBreak/>
        <w:t>[22]</w:t>
      </w:r>
      <w:r w:rsidRPr="00456FFA"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6E7845" w:rsidRPr="004E3071">
        <w:rPr>
          <w:rFonts w:cs="Arial"/>
        </w:rPr>
        <w:t>TDS</w:t>
      </w:r>
      <w:r w:rsidR="00171B1F" w:rsidRPr="004E3071">
        <w:rPr>
          <w:rFonts w:cs="Arial"/>
        </w:rPr>
        <w:t>’s</w:t>
      </w:r>
      <w:r w:rsidR="004669E4" w:rsidRPr="004E3071">
        <w:rPr>
          <w:rFonts w:cs="Arial"/>
        </w:rPr>
        <w:t xml:space="preserve"> position</w:t>
      </w:r>
      <w:r w:rsidR="00F97C9C" w:rsidRPr="004E3071">
        <w:rPr>
          <w:rFonts w:cs="Arial"/>
        </w:rPr>
        <w:t xml:space="preserve"> </w:t>
      </w:r>
      <w:r w:rsidR="006E7845" w:rsidRPr="004E3071">
        <w:rPr>
          <w:rFonts w:cs="Arial"/>
        </w:rPr>
        <w:t>vis-à-vis Hollard</w:t>
      </w:r>
      <w:r w:rsidR="00F97C9C" w:rsidRPr="004E3071">
        <w:rPr>
          <w:rFonts w:cs="Arial"/>
        </w:rPr>
        <w:t xml:space="preserve"> does not accord to TDS </w:t>
      </w:r>
      <w:r w:rsidR="00171B1F" w:rsidRPr="004E3071">
        <w:rPr>
          <w:rFonts w:cs="Arial"/>
        </w:rPr>
        <w:t>the necessary interest.</w:t>
      </w:r>
      <w:r w:rsidR="00F97C9C" w:rsidRPr="004E3071">
        <w:rPr>
          <w:rFonts w:cs="Arial"/>
        </w:rPr>
        <w:t xml:space="preserve"> </w:t>
      </w:r>
      <w:r w:rsidR="00334771" w:rsidRPr="004E3071">
        <w:rPr>
          <w:rFonts w:cs="Arial"/>
        </w:rPr>
        <w:t>In</w:t>
      </w:r>
      <w:r w:rsidR="003E18BF" w:rsidRPr="004E3071">
        <w:rPr>
          <w:rFonts w:cs="Arial"/>
        </w:rPr>
        <w:t xml:space="preserve"> the main application Exxaro seeks to enforce the terms of the </w:t>
      </w:r>
      <w:r w:rsidR="00715A69" w:rsidRPr="004E3071">
        <w:rPr>
          <w:rFonts w:cs="Arial"/>
        </w:rPr>
        <w:t>g</w:t>
      </w:r>
      <w:r w:rsidR="003E18BF" w:rsidRPr="004E3071">
        <w:rPr>
          <w:rFonts w:cs="Arial"/>
        </w:rPr>
        <w:t xml:space="preserve">uarantee against ABSA. </w:t>
      </w:r>
      <w:r w:rsidR="005D7DE9" w:rsidRPr="004E3071">
        <w:rPr>
          <w:rFonts w:cs="Arial"/>
        </w:rPr>
        <w:t>Such an order would</w:t>
      </w:r>
      <w:r w:rsidR="003E18BF" w:rsidRPr="004E3071">
        <w:rPr>
          <w:rFonts w:cs="Arial"/>
        </w:rPr>
        <w:t xml:space="preserve"> only be enforceable against ABSA. </w:t>
      </w:r>
      <w:r w:rsidR="00321AD1" w:rsidRPr="004E3071">
        <w:rPr>
          <w:rFonts w:cs="Arial"/>
        </w:rPr>
        <w:t>By</w:t>
      </w:r>
      <w:r w:rsidR="003E18BF" w:rsidRPr="004E3071">
        <w:rPr>
          <w:rFonts w:cs="Arial"/>
        </w:rPr>
        <w:t xml:space="preserve"> virtue of the autonomous nature of the </w:t>
      </w:r>
      <w:proofErr w:type="gramStart"/>
      <w:r w:rsidR="00850AEA" w:rsidRPr="004E3071">
        <w:rPr>
          <w:rFonts w:cs="Arial"/>
        </w:rPr>
        <w:t>guarantee</w:t>
      </w:r>
      <w:proofErr w:type="gramEnd"/>
      <w:r w:rsidR="00191AFD" w:rsidRPr="004E3071">
        <w:rPr>
          <w:rFonts w:cs="Arial"/>
        </w:rPr>
        <w:t xml:space="preserve"> TDS</w:t>
      </w:r>
      <w:r w:rsidR="003E18BF" w:rsidRPr="004E3071">
        <w:rPr>
          <w:rFonts w:cs="Arial"/>
        </w:rPr>
        <w:t xml:space="preserve"> has no legal interest in the outcome of the main application</w:t>
      </w:r>
      <w:r w:rsidR="00850AEA" w:rsidRPr="004E3071">
        <w:rPr>
          <w:rFonts w:cs="Arial"/>
        </w:rPr>
        <w:t>.</w:t>
      </w:r>
    </w:p>
    <w:p w14:paraId="6106F67C" w14:textId="77777777" w:rsidR="00456FFA" w:rsidRPr="00456FFA" w:rsidRDefault="00456FFA" w:rsidP="00456FFA">
      <w:pPr>
        <w:pStyle w:val="ListParagraph"/>
        <w:rPr>
          <w:rFonts w:cs="Arial"/>
        </w:rPr>
      </w:pPr>
    </w:p>
    <w:p w14:paraId="1E09E7A6" w14:textId="7C102DB0" w:rsidR="003B3866" w:rsidRPr="004E3071" w:rsidRDefault="004E3071" w:rsidP="004E3071">
      <w:pPr>
        <w:spacing w:after="0" w:line="360" w:lineRule="auto"/>
        <w:ind w:left="993" w:hanging="633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>[23]</w:t>
      </w:r>
      <w:r>
        <w:rPr>
          <w:rFonts w:ascii="Arial" w:eastAsia="Times New Roman" w:hAnsi="Arial" w:cs="Arial"/>
          <w:color w:val="000000"/>
          <w:kern w:val="0"/>
          <w:lang w:val="en-ZA" w:eastAsia="en-ZA"/>
          <w14:ligatures w14:val="none"/>
        </w:rPr>
        <w:tab/>
      </w:r>
      <w:r w:rsidR="003E18BF" w:rsidRPr="004E3071">
        <w:rPr>
          <w:rFonts w:cs="Arial"/>
        </w:rPr>
        <w:t xml:space="preserve">The interest that TDS contends for clearly lies in </w:t>
      </w:r>
      <w:r w:rsidR="00B750E0" w:rsidRPr="004E3071">
        <w:rPr>
          <w:rFonts w:cs="Arial"/>
        </w:rPr>
        <w:t xml:space="preserve">the other </w:t>
      </w:r>
      <w:r w:rsidR="003E18BF" w:rsidRPr="004E3071">
        <w:rPr>
          <w:rFonts w:cs="Arial"/>
        </w:rPr>
        <w:t>commercial arrangements that TDS, Hollard and ABSA have voluntarily put in</w:t>
      </w:r>
      <w:r w:rsidR="0039101F" w:rsidRPr="004E3071">
        <w:rPr>
          <w:rFonts w:cs="Arial"/>
        </w:rPr>
        <w:t xml:space="preserve"> </w:t>
      </w:r>
      <w:r w:rsidR="003E18BF" w:rsidRPr="004E3071">
        <w:rPr>
          <w:rFonts w:cs="Arial"/>
        </w:rPr>
        <w:t>place.</w:t>
      </w:r>
      <w:r w:rsidR="0014542C" w:rsidRPr="004E3071">
        <w:rPr>
          <w:rFonts w:cs="Arial"/>
        </w:rPr>
        <w:t xml:space="preserve"> Arising out of these</w:t>
      </w:r>
      <w:r w:rsidR="00B26C9B" w:rsidRPr="004E3071">
        <w:rPr>
          <w:rFonts w:cs="Arial"/>
        </w:rPr>
        <w:t xml:space="preserve"> arrangements</w:t>
      </w:r>
      <w:r w:rsidR="0014542C" w:rsidRPr="004E3071">
        <w:rPr>
          <w:rFonts w:cs="Arial"/>
        </w:rPr>
        <w:t xml:space="preserve"> TDS </w:t>
      </w:r>
      <w:r w:rsidR="008E7878" w:rsidRPr="004E3071">
        <w:rPr>
          <w:rFonts w:cs="Arial"/>
        </w:rPr>
        <w:t xml:space="preserve">retains </w:t>
      </w:r>
      <w:r w:rsidR="008E787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its</w:t>
      </w:r>
      <w:r w:rsidR="0080764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ordinary contractual remedy against</w:t>
      </w:r>
      <w:r w:rsidR="008E787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ABSA</w:t>
      </w:r>
      <w:bookmarkStart w:id="1" w:name="0-0-0-429875"/>
      <w:bookmarkEnd w:id="1"/>
      <w:r w:rsidR="008E787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should it pay under the guarantee when it is not legally entitled to do </w:t>
      </w:r>
      <w:r w:rsidR="009E043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so.</w:t>
      </w:r>
      <w:r w:rsidR="00871E4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r w:rsidR="008E787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This remedy</w:t>
      </w:r>
      <w:r w:rsidR="0080764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is a complete defence to any claim</w:t>
      </w:r>
      <w:r w:rsidR="009E043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by ABSA</w:t>
      </w:r>
      <w:r w:rsidR="00871E4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founded on the guarantee.</w:t>
      </w:r>
      <w:r w:rsidR="009E0438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</w:t>
      </w:r>
      <w:bookmarkStart w:id="2" w:name="0-0-0-429879"/>
      <w:bookmarkEnd w:id="2"/>
    </w:p>
    <w:p w14:paraId="7FF74BA0" w14:textId="77777777" w:rsidR="003F250C" w:rsidRPr="003F250C" w:rsidRDefault="003F250C" w:rsidP="003F250C">
      <w:pPr>
        <w:spacing w:after="0" w:line="360" w:lineRule="auto"/>
        <w:jc w:val="both"/>
        <w:rPr>
          <w:rFonts w:eastAsia="Times New Roman" w:cs="Arial"/>
          <w:color w:val="000000"/>
          <w:kern w:val="0"/>
          <w:lang w:eastAsia="en-ZA"/>
          <w14:ligatures w14:val="none"/>
        </w:rPr>
      </w:pPr>
    </w:p>
    <w:p w14:paraId="79E3C117" w14:textId="0E16873D" w:rsidR="00482A34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[24]</w:t>
      </w:r>
      <w:r>
        <w:rPr>
          <w:rFonts w:ascii="Arial" w:eastAsia="Calibri" w:hAnsi="Arial" w:cs="Arial"/>
          <w:lang w:val="en-ZA"/>
        </w:rPr>
        <w:tab/>
      </w:r>
      <w:r w:rsidR="008B6841" w:rsidRPr="004E3071">
        <w:rPr>
          <w:rFonts w:cs="Arial"/>
        </w:rPr>
        <w:t xml:space="preserve">There is no basis </w:t>
      </w:r>
      <w:r w:rsidR="001F4650" w:rsidRPr="004E3071">
        <w:rPr>
          <w:rFonts w:cs="Arial"/>
        </w:rPr>
        <w:t>for an intervention for these reasons</w:t>
      </w:r>
      <w:r w:rsidR="000D112F" w:rsidRPr="004E3071">
        <w:rPr>
          <w:rFonts w:cs="Arial"/>
        </w:rPr>
        <w:t xml:space="preserve">. </w:t>
      </w:r>
    </w:p>
    <w:p w14:paraId="317377BB" w14:textId="77777777" w:rsidR="00482A34" w:rsidRPr="00482A34" w:rsidRDefault="00482A34" w:rsidP="00482A34">
      <w:pPr>
        <w:pStyle w:val="ListParagraph"/>
        <w:rPr>
          <w:rFonts w:cs="Arial"/>
        </w:rPr>
      </w:pPr>
    </w:p>
    <w:p w14:paraId="17641BDA" w14:textId="21312FFB" w:rsidR="001D2D8C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[25]</w:t>
      </w:r>
      <w:r>
        <w:rPr>
          <w:rFonts w:ascii="Arial" w:eastAsia="Calibri" w:hAnsi="Arial" w:cs="Arial"/>
          <w:lang w:val="en-ZA"/>
        </w:rPr>
        <w:tab/>
      </w:r>
      <w:r w:rsidR="000D112F" w:rsidRPr="004E3071">
        <w:rPr>
          <w:rFonts w:cs="Arial"/>
        </w:rPr>
        <w:t xml:space="preserve">I did not understand Mr van Tonder SC to press this </w:t>
      </w:r>
      <w:r w:rsidR="009F55E5" w:rsidRPr="004E3071">
        <w:rPr>
          <w:rFonts w:cs="Arial"/>
        </w:rPr>
        <w:t>ground</w:t>
      </w:r>
      <w:r w:rsidR="000D112F" w:rsidRPr="004E3071">
        <w:rPr>
          <w:rFonts w:cs="Arial"/>
        </w:rPr>
        <w:t xml:space="preserve"> with any vigour</w:t>
      </w:r>
      <w:r w:rsidR="00E10B0D" w:rsidRPr="004E3071">
        <w:rPr>
          <w:rFonts w:cs="Arial"/>
        </w:rPr>
        <w:t>,</w:t>
      </w:r>
      <w:r w:rsidR="00E76029" w:rsidRPr="004E3071">
        <w:rPr>
          <w:rFonts w:cs="Arial"/>
        </w:rPr>
        <w:t xml:space="preserve"> </w:t>
      </w:r>
      <w:r w:rsidR="00E10B0D" w:rsidRPr="004E3071">
        <w:rPr>
          <w:rFonts w:cs="Arial"/>
        </w:rPr>
        <w:t>but it was not specifically abandoned so I have dealt with it.</w:t>
      </w:r>
      <w:r w:rsidR="00E76029" w:rsidRPr="004E3071">
        <w:rPr>
          <w:rFonts w:cs="Arial"/>
        </w:rPr>
        <w:t xml:space="preserve"> </w:t>
      </w:r>
    </w:p>
    <w:p w14:paraId="1FF2FE9C" w14:textId="77777777" w:rsidR="001D2D8C" w:rsidRDefault="001D2D8C" w:rsidP="001D2D8C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408B4F98" w14:textId="768D25E0" w:rsidR="00B4179A" w:rsidRPr="001D2D8C" w:rsidRDefault="00B4179A" w:rsidP="001D2D8C">
      <w:pPr>
        <w:pStyle w:val="ListParagraph"/>
        <w:spacing w:line="360" w:lineRule="auto"/>
        <w:ind w:left="993"/>
        <w:jc w:val="both"/>
        <w:rPr>
          <w:rFonts w:cs="Arial"/>
        </w:rPr>
      </w:pPr>
      <w:r w:rsidRPr="001D2D8C">
        <w:rPr>
          <w:rFonts w:cs="Arial"/>
          <w:i/>
          <w:iCs/>
        </w:rPr>
        <w:t>The fraud/unconscionable behaviour</w:t>
      </w:r>
    </w:p>
    <w:p w14:paraId="5118703E" w14:textId="0F74BE13" w:rsidR="00B4179A" w:rsidRDefault="00B4179A" w:rsidP="00B4179A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55AE4C3B" w14:textId="259EFA05" w:rsidR="00482A34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[26]</w:t>
      </w:r>
      <w:r>
        <w:rPr>
          <w:rFonts w:ascii="Arial" w:eastAsia="Calibri" w:hAnsi="Arial" w:cs="Arial"/>
          <w:lang w:val="en-ZA"/>
        </w:rPr>
        <w:tab/>
      </w:r>
      <w:r w:rsidR="00482A34" w:rsidRPr="004E3071">
        <w:rPr>
          <w:rFonts w:cs="Arial"/>
        </w:rPr>
        <w:t>This was the main basis raised for the joinder.</w:t>
      </w:r>
    </w:p>
    <w:p w14:paraId="65618B54" w14:textId="77777777" w:rsidR="00482A34" w:rsidRDefault="00482A34" w:rsidP="00482A34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009C6CD9" w14:textId="744056AA" w:rsidR="00933263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[27]</w:t>
      </w:r>
      <w:r>
        <w:rPr>
          <w:rFonts w:ascii="Arial" w:eastAsia="Calibri" w:hAnsi="Arial" w:cs="Arial"/>
          <w:lang w:val="en-ZA"/>
        </w:rPr>
        <w:tab/>
      </w:r>
      <w:r w:rsidR="00870907" w:rsidRPr="004E3071">
        <w:rPr>
          <w:rFonts w:cs="Arial"/>
        </w:rPr>
        <w:t>The</w:t>
      </w:r>
      <w:r w:rsidR="00933263" w:rsidRPr="004E3071">
        <w:rPr>
          <w:rFonts w:cs="Arial"/>
        </w:rPr>
        <w:t xml:space="preserve"> performance guarantee issued by ABSA is a demand guarantee. As was held in </w:t>
      </w:r>
      <w:proofErr w:type="spellStart"/>
      <w:r w:rsidR="00933263" w:rsidRPr="004E3071">
        <w:rPr>
          <w:rFonts w:cs="Arial"/>
          <w:i/>
          <w:iCs/>
        </w:rPr>
        <w:t>Loomcraft</w:t>
      </w:r>
      <w:proofErr w:type="spellEnd"/>
      <w:r w:rsidR="00933263" w:rsidRPr="004E3071">
        <w:rPr>
          <w:rFonts w:cs="Arial"/>
          <w:i/>
          <w:iCs/>
        </w:rPr>
        <w:t xml:space="preserve"> Fabrics CC v Nedbank Ltd and Another (</w:t>
      </w:r>
      <w:proofErr w:type="spellStart"/>
      <w:r w:rsidR="00933263" w:rsidRPr="004E3071">
        <w:rPr>
          <w:rFonts w:cs="Arial"/>
          <w:i/>
          <w:iCs/>
        </w:rPr>
        <w:t>Loomcraft</w:t>
      </w:r>
      <w:proofErr w:type="spellEnd"/>
      <w:r w:rsidR="00933263" w:rsidRPr="004E3071">
        <w:rPr>
          <w:rFonts w:cs="Arial"/>
          <w:i/>
          <w:iCs/>
        </w:rPr>
        <w:t>)</w:t>
      </w:r>
      <w:bookmarkStart w:id="3" w:name="0-0-0-429855"/>
      <w:bookmarkEnd w:id="3"/>
      <w:r w:rsidR="00933263" w:rsidRPr="004E3071">
        <w:rPr>
          <w:rFonts w:cs="Arial"/>
        </w:rPr>
        <w:t> </w:t>
      </w:r>
      <w:r w:rsidR="00933263" w:rsidRPr="0031231A">
        <w:rPr>
          <w:rStyle w:val="FootnoteReference"/>
          <w:rFonts w:cs="Arial"/>
        </w:rPr>
        <w:footnoteReference w:id="4"/>
      </w:r>
      <w:r w:rsidR="00B4179A" w:rsidRPr="004E3071">
        <w:rPr>
          <w:rFonts w:cs="Arial"/>
        </w:rPr>
        <w:t xml:space="preserve"> </w:t>
      </w:r>
      <w:r w:rsidR="00933263" w:rsidRPr="004E3071">
        <w:rPr>
          <w:rFonts w:cs="Arial"/>
        </w:rPr>
        <w:t xml:space="preserve">and numerous cases that followed it, a demand guarantee is akin to an irrevocable letter of credit, which establishes a contractual obligation on the part of the bank to pay the beneficiary on the occurrence of a specified </w:t>
      </w:r>
      <w:proofErr w:type="gramStart"/>
      <w:r w:rsidR="00933263" w:rsidRPr="004E3071">
        <w:rPr>
          <w:rFonts w:cs="Arial"/>
        </w:rPr>
        <w:t>event, and</w:t>
      </w:r>
      <w:proofErr w:type="gramEnd"/>
      <w:r w:rsidR="00933263" w:rsidRPr="004E3071">
        <w:rPr>
          <w:rFonts w:cs="Arial"/>
        </w:rPr>
        <w:t xml:space="preserve"> is wholly independent of the underlying contract.</w:t>
      </w:r>
      <w:r w:rsidR="001F36BA" w:rsidRPr="004E3071">
        <w:rPr>
          <w:rFonts w:cs="Arial"/>
        </w:rPr>
        <w:t xml:space="preserve"> In construction agreements such </w:t>
      </w:r>
      <w:r w:rsidR="00025A45" w:rsidRPr="004E3071">
        <w:rPr>
          <w:rFonts w:cs="Arial"/>
        </w:rPr>
        <w:t xml:space="preserve">guarantees </w:t>
      </w:r>
      <w:r w:rsidR="00E21256" w:rsidRPr="004E3071">
        <w:rPr>
          <w:rFonts w:cs="Arial"/>
        </w:rPr>
        <w:t>are habitually</w:t>
      </w:r>
      <w:r w:rsidR="00280C94" w:rsidRPr="004E3071">
        <w:rPr>
          <w:rFonts w:cs="Arial"/>
        </w:rPr>
        <w:t xml:space="preserve"> </w:t>
      </w:r>
      <w:r w:rsidR="00025A45" w:rsidRPr="004E3071">
        <w:rPr>
          <w:rFonts w:cs="Arial"/>
        </w:rPr>
        <w:lastRenderedPageBreak/>
        <w:t xml:space="preserve">required </w:t>
      </w:r>
      <w:r w:rsidR="004C1A82" w:rsidRPr="004E3071">
        <w:rPr>
          <w:rFonts w:cs="Arial"/>
        </w:rPr>
        <w:t xml:space="preserve">by employers </w:t>
      </w:r>
      <w:r w:rsidR="00025A45" w:rsidRPr="004E3071">
        <w:rPr>
          <w:rFonts w:cs="Arial"/>
        </w:rPr>
        <w:t xml:space="preserve">before they will enter into an agreement with a contractor. </w:t>
      </w:r>
      <w:r w:rsidR="00E21256" w:rsidRPr="004E3071">
        <w:rPr>
          <w:rFonts w:cs="Arial"/>
        </w:rPr>
        <w:t xml:space="preserve">It is not disputed that this security was a sine qua non </w:t>
      </w:r>
      <w:r w:rsidR="00AA66BA" w:rsidRPr="004E3071">
        <w:rPr>
          <w:rFonts w:cs="Arial"/>
        </w:rPr>
        <w:t xml:space="preserve">of the contractual </w:t>
      </w:r>
      <w:proofErr w:type="gramStart"/>
      <w:r w:rsidR="00AA66BA" w:rsidRPr="004E3071">
        <w:rPr>
          <w:rFonts w:cs="Arial"/>
        </w:rPr>
        <w:t>relationship  between</w:t>
      </w:r>
      <w:proofErr w:type="gramEnd"/>
      <w:r w:rsidR="00AA66BA" w:rsidRPr="004E3071">
        <w:rPr>
          <w:rFonts w:cs="Arial"/>
        </w:rPr>
        <w:t xml:space="preserve"> Exxaro </w:t>
      </w:r>
      <w:r w:rsidR="00AE6D84" w:rsidRPr="004E3071">
        <w:rPr>
          <w:rFonts w:cs="Arial"/>
        </w:rPr>
        <w:t xml:space="preserve">and </w:t>
      </w:r>
      <w:r w:rsidR="00711B9D" w:rsidRPr="004E3071">
        <w:rPr>
          <w:rFonts w:cs="Arial"/>
        </w:rPr>
        <w:t>TDS.</w:t>
      </w:r>
    </w:p>
    <w:p w14:paraId="49738490" w14:textId="77777777" w:rsidR="00B4179A" w:rsidRDefault="00B4179A" w:rsidP="00B4179A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71BB80DF" w14:textId="5A5E743E" w:rsidR="00933263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[28]</w:t>
      </w:r>
      <w:r>
        <w:rPr>
          <w:rFonts w:ascii="Arial" w:eastAsia="Calibri" w:hAnsi="Arial" w:cs="Arial"/>
          <w:lang w:val="en-ZA"/>
        </w:rPr>
        <w:tab/>
      </w:r>
      <w:r w:rsidR="00933263" w:rsidRPr="004E3071">
        <w:rPr>
          <w:rFonts w:cs="Arial"/>
        </w:rPr>
        <w:t xml:space="preserve">The importance of allowing </w:t>
      </w:r>
      <w:r w:rsidR="00870907" w:rsidRPr="004E3071">
        <w:rPr>
          <w:rFonts w:cs="Arial"/>
        </w:rPr>
        <w:t>financial institutions</w:t>
      </w:r>
      <w:r w:rsidR="00933263" w:rsidRPr="004E3071">
        <w:rPr>
          <w:rFonts w:cs="Arial"/>
        </w:rPr>
        <w:t xml:space="preserve"> to honour their obligations under irrevocable credits without judicial interference, was stressed in </w:t>
      </w:r>
      <w:proofErr w:type="spellStart"/>
      <w:r w:rsidR="00933263" w:rsidRPr="004E3071">
        <w:rPr>
          <w:rFonts w:cs="Arial"/>
          <w:i/>
          <w:iCs/>
        </w:rPr>
        <w:t>Loomcraft</w:t>
      </w:r>
      <w:proofErr w:type="spellEnd"/>
      <w:r w:rsidR="00933263" w:rsidRPr="004E3071">
        <w:rPr>
          <w:rFonts w:cs="Arial"/>
        </w:rPr>
        <w:t>, where it was stated that an interdict to restrain a bank from paying under a letter of credit would not be granted save in the most exceptional cases.</w:t>
      </w:r>
      <w:bookmarkStart w:id="6" w:name="0-0-0-429863"/>
      <w:bookmarkEnd w:id="6"/>
      <w:r w:rsidR="00EF35D2">
        <w:rPr>
          <w:rStyle w:val="FootnoteReference"/>
          <w:rFonts w:cs="Arial"/>
        </w:rPr>
        <w:footnoteReference w:id="5"/>
      </w:r>
    </w:p>
    <w:p w14:paraId="7EED1844" w14:textId="59714C4A" w:rsidR="005D6BCE" w:rsidRDefault="005D6BCE" w:rsidP="005D6BCE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3981C73D" w14:textId="6E469F44" w:rsidR="009D684B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[29]</w:t>
      </w:r>
      <w:r>
        <w:rPr>
          <w:rFonts w:ascii="Arial" w:eastAsia="Calibri" w:hAnsi="Arial" w:cs="Arial"/>
          <w:lang w:val="en-ZA"/>
        </w:rPr>
        <w:tab/>
      </w:r>
      <w:r w:rsidR="00856ABA" w:rsidRPr="004E3071">
        <w:rPr>
          <w:rFonts w:cs="Arial"/>
        </w:rPr>
        <w:t xml:space="preserve">The </w:t>
      </w:r>
      <w:r w:rsidR="001F1779" w:rsidRPr="004E3071">
        <w:rPr>
          <w:rFonts w:cs="Arial"/>
        </w:rPr>
        <w:t>device of the guarantee</w:t>
      </w:r>
      <w:r w:rsidR="00856ABA" w:rsidRPr="004E3071">
        <w:rPr>
          <w:rFonts w:cs="Arial"/>
        </w:rPr>
        <w:t xml:space="preserve"> is </w:t>
      </w:r>
      <w:r w:rsidR="001F1779" w:rsidRPr="004E3071">
        <w:rPr>
          <w:rFonts w:cs="Arial"/>
        </w:rPr>
        <w:t>neat</w:t>
      </w:r>
      <w:r w:rsidR="00856ABA" w:rsidRPr="004E3071">
        <w:rPr>
          <w:rFonts w:cs="Arial"/>
        </w:rPr>
        <w:t xml:space="preserve">: provided the demand is made </w:t>
      </w:r>
      <w:r w:rsidR="006850F6" w:rsidRPr="004E3071">
        <w:rPr>
          <w:rFonts w:cs="Arial"/>
        </w:rPr>
        <w:t xml:space="preserve">on the terms provided in the </w:t>
      </w:r>
      <w:proofErr w:type="gramStart"/>
      <w:r w:rsidR="006850F6" w:rsidRPr="004E3071">
        <w:rPr>
          <w:rFonts w:cs="Arial"/>
        </w:rPr>
        <w:t>guarantee</w:t>
      </w:r>
      <w:proofErr w:type="gramEnd"/>
      <w:r w:rsidR="006850F6" w:rsidRPr="004E3071">
        <w:rPr>
          <w:rFonts w:cs="Arial"/>
        </w:rPr>
        <w:t xml:space="preserve"> instrument</w:t>
      </w:r>
      <w:r w:rsidR="009B0D73" w:rsidRPr="004E3071">
        <w:rPr>
          <w:rFonts w:cs="Arial"/>
        </w:rPr>
        <w:t>,</w:t>
      </w:r>
      <w:r w:rsidR="006850F6" w:rsidRPr="004E3071">
        <w:rPr>
          <w:rFonts w:cs="Arial"/>
        </w:rPr>
        <w:t xml:space="preserve"> the </w:t>
      </w:r>
      <w:r w:rsidR="0087471E" w:rsidRPr="004E3071">
        <w:rPr>
          <w:rFonts w:cs="Arial"/>
        </w:rPr>
        <w:t>bank that has issued the instrument must pay in accordance with its tenor</w:t>
      </w:r>
      <w:r w:rsidR="00D76DDB" w:rsidRPr="004E3071">
        <w:rPr>
          <w:rFonts w:cs="Arial"/>
        </w:rPr>
        <w:t xml:space="preserve">. </w:t>
      </w:r>
      <w:r w:rsidR="00777B16" w:rsidRPr="004E3071">
        <w:rPr>
          <w:rFonts w:cs="Arial"/>
        </w:rPr>
        <w:t xml:space="preserve">There is no resort had by the </w:t>
      </w:r>
      <w:r w:rsidR="00EA0F1E" w:rsidRPr="004E3071">
        <w:rPr>
          <w:rFonts w:cs="Arial"/>
        </w:rPr>
        <w:t>bank to any dispute under the contract it secures. Indeed</w:t>
      </w:r>
      <w:r w:rsidR="00241B53" w:rsidRPr="004E3071">
        <w:rPr>
          <w:rFonts w:cs="Arial"/>
        </w:rPr>
        <w:t>,</w:t>
      </w:r>
      <w:r w:rsidR="00EA0F1E" w:rsidRPr="004E3071">
        <w:rPr>
          <w:rFonts w:cs="Arial"/>
        </w:rPr>
        <w:t xml:space="preserve"> the very purpose of the guarantee is to avoid embroilmen</w:t>
      </w:r>
      <w:r w:rsidR="00F70166" w:rsidRPr="004E3071">
        <w:rPr>
          <w:rFonts w:cs="Arial"/>
        </w:rPr>
        <w:t xml:space="preserve">t </w:t>
      </w:r>
      <w:r w:rsidR="00920444" w:rsidRPr="004E3071">
        <w:rPr>
          <w:rFonts w:cs="Arial"/>
        </w:rPr>
        <w:t xml:space="preserve">in </w:t>
      </w:r>
      <w:r w:rsidR="009D684B" w:rsidRPr="004E3071">
        <w:rPr>
          <w:rFonts w:cs="Arial"/>
        </w:rPr>
        <w:t>the</w:t>
      </w:r>
      <w:r w:rsidR="007C1DD3" w:rsidRPr="004E3071">
        <w:rPr>
          <w:rFonts w:cs="Arial"/>
        </w:rPr>
        <w:t>se contractual</w:t>
      </w:r>
      <w:r w:rsidR="009D684B" w:rsidRPr="004E3071">
        <w:rPr>
          <w:rFonts w:cs="Arial"/>
        </w:rPr>
        <w:t xml:space="preserve"> dispute</w:t>
      </w:r>
      <w:r w:rsidR="007C1DD3" w:rsidRPr="004E3071">
        <w:rPr>
          <w:rFonts w:cs="Arial"/>
        </w:rPr>
        <w:t xml:space="preserve">s which </w:t>
      </w:r>
      <w:r w:rsidR="00247227" w:rsidRPr="004E3071">
        <w:rPr>
          <w:rFonts w:cs="Arial"/>
        </w:rPr>
        <w:t>have the potential</w:t>
      </w:r>
      <w:r w:rsidR="007C1DD3" w:rsidRPr="004E3071">
        <w:rPr>
          <w:rFonts w:cs="Arial"/>
        </w:rPr>
        <w:t xml:space="preserve"> leave an employer </w:t>
      </w:r>
      <w:r w:rsidR="00DE51D5" w:rsidRPr="004E3071">
        <w:rPr>
          <w:rFonts w:cs="Arial"/>
        </w:rPr>
        <w:t>under a construction contract with no redress</w:t>
      </w:r>
      <w:r w:rsidR="009D684B" w:rsidRPr="004E3071">
        <w:rPr>
          <w:rFonts w:cs="Arial"/>
        </w:rPr>
        <w:t>.</w:t>
      </w:r>
    </w:p>
    <w:p w14:paraId="42C5354B" w14:textId="77777777" w:rsidR="009D684B" w:rsidRPr="009D684B" w:rsidRDefault="009D684B" w:rsidP="009D684B">
      <w:pPr>
        <w:pStyle w:val="ListParagraph"/>
        <w:rPr>
          <w:rFonts w:cs="Arial"/>
        </w:rPr>
      </w:pPr>
    </w:p>
    <w:p w14:paraId="701BF447" w14:textId="1E2807E4" w:rsidR="002F5307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[30]</w:t>
      </w:r>
      <w:r>
        <w:rPr>
          <w:rFonts w:ascii="Arial" w:eastAsia="Calibri" w:hAnsi="Arial" w:cs="Arial"/>
          <w:lang w:val="en-ZA"/>
        </w:rPr>
        <w:tab/>
      </w:r>
      <w:r w:rsidR="00D76DDB" w:rsidRPr="004E3071">
        <w:rPr>
          <w:rFonts w:cs="Arial"/>
        </w:rPr>
        <w:t xml:space="preserve"> The</w:t>
      </w:r>
      <w:r w:rsidR="0024259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contractor</w:t>
      </w:r>
      <w:r w:rsidR="00D76DDB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in the position of </w:t>
      </w:r>
      <w:r w:rsidR="005D6BCE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TDS has</w:t>
      </w:r>
      <w:r w:rsidR="00D76DDB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its</w:t>
      </w:r>
      <w:r w:rsidR="0024259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ordinary contractual remedy against </w:t>
      </w:r>
      <w:r w:rsidR="00247227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the bank</w:t>
      </w:r>
      <w:r w:rsidR="00D76DDB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 xml:space="preserve"> should it fail to </w:t>
      </w:r>
      <w:r w:rsidR="004452B4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honour the guarantee in accordance with its terms</w:t>
      </w:r>
      <w:r w:rsidR="00FD7C09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.</w:t>
      </w:r>
      <w:r w:rsidR="0024259A" w:rsidRPr="004E3071">
        <w:rPr>
          <w:rFonts w:eastAsia="Times New Roman" w:cs="Arial"/>
          <w:color w:val="000000"/>
          <w:kern w:val="0"/>
          <w:lang w:eastAsia="en-ZA"/>
          <w14:ligatures w14:val="none"/>
        </w:rPr>
        <w:t> </w:t>
      </w:r>
      <w:r w:rsidR="00742548" w:rsidRPr="004E3071">
        <w:rPr>
          <w:rFonts w:cs="Arial"/>
        </w:rPr>
        <w:t xml:space="preserve">If </w:t>
      </w:r>
      <w:r w:rsidR="00933263" w:rsidRPr="004E3071">
        <w:rPr>
          <w:rFonts w:cs="Arial"/>
        </w:rPr>
        <w:t xml:space="preserve">ABSA were to honour the guarantee when the demand to do so did not comply with the terms of the </w:t>
      </w:r>
      <w:r w:rsidR="00AB5126" w:rsidRPr="004E3071">
        <w:rPr>
          <w:rFonts w:cs="Arial"/>
        </w:rPr>
        <w:t>guarantee (</w:t>
      </w:r>
      <w:r w:rsidR="006E0AFF" w:rsidRPr="004E3071">
        <w:rPr>
          <w:rFonts w:cs="Arial"/>
        </w:rPr>
        <w:t xml:space="preserve">as is </w:t>
      </w:r>
      <w:r w:rsidR="00717FC3" w:rsidRPr="004E3071">
        <w:rPr>
          <w:rFonts w:cs="Arial"/>
        </w:rPr>
        <w:t xml:space="preserve">squarely </w:t>
      </w:r>
      <w:r w:rsidR="006E0AFF" w:rsidRPr="004E3071">
        <w:rPr>
          <w:rFonts w:cs="Arial"/>
        </w:rPr>
        <w:t>raised by A</w:t>
      </w:r>
      <w:r w:rsidR="00717FC3" w:rsidRPr="004E3071">
        <w:rPr>
          <w:rFonts w:cs="Arial"/>
        </w:rPr>
        <w:t>BSA in the main application)</w:t>
      </w:r>
      <w:r w:rsidR="00933263" w:rsidRPr="004E3071">
        <w:rPr>
          <w:rFonts w:cs="Arial"/>
        </w:rPr>
        <w:t xml:space="preserve"> TDS would have a complete defence to a claim by ABSA based on its having done so. </w:t>
      </w:r>
    </w:p>
    <w:p w14:paraId="717675A9" w14:textId="77777777" w:rsidR="00EF35D2" w:rsidRDefault="00EF35D2" w:rsidP="00EF35D2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17A29948" w14:textId="6DCDF5AD" w:rsidR="00933263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[31]</w:t>
      </w:r>
      <w:r>
        <w:rPr>
          <w:rFonts w:ascii="Arial" w:eastAsia="Calibri" w:hAnsi="Arial" w:cs="Arial"/>
          <w:lang w:val="en-ZA"/>
        </w:rPr>
        <w:tab/>
      </w:r>
      <w:r w:rsidR="00933263" w:rsidRPr="004E3071">
        <w:rPr>
          <w:rFonts w:cs="Arial"/>
        </w:rPr>
        <w:t>The only basis on which any liability of TDS might arise, whether to ABSA or any other party, would be if ABSA w</w:t>
      </w:r>
      <w:r w:rsidR="00F852E1" w:rsidRPr="004E3071">
        <w:rPr>
          <w:rFonts w:cs="Arial"/>
        </w:rPr>
        <w:t>ere</w:t>
      </w:r>
      <w:r w:rsidR="00933263" w:rsidRPr="004E3071">
        <w:rPr>
          <w:rFonts w:cs="Arial"/>
        </w:rPr>
        <w:t xml:space="preserve"> lawfully obliged to honour the guarantee. </w:t>
      </w:r>
      <w:r w:rsidR="00B446F1" w:rsidRPr="004E3071">
        <w:rPr>
          <w:rFonts w:cs="Arial"/>
        </w:rPr>
        <w:t>Thus,</w:t>
      </w:r>
      <w:r w:rsidR="002F5307" w:rsidRPr="004E3071">
        <w:rPr>
          <w:rFonts w:cs="Arial"/>
        </w:rPr>
        <w:t xml:space="preserve"> </w:t>
      </w:r>
      <w:r w:rsidR="00933263" w:rsidRPr="004E3071">
        <w:rPr>
          <w:rFonts w:cs="Arial"/>
        </w:rPr>
        <w:t xml:space="preserve">non-compliance with the terms of the guarantee by Exxaro in making its demand </w:t>
      </w:r>
      <w:r w:rsidR="002F5307" w:rsidRPr="004E3071">
        <w:rPr>
          <w:rFonts w:cs="Arial"/>
        </w:rPr>
        <w:t>does not affect the rights of TDS</w:t>
      </w:r>
      <w:r w:rsidR="00933263" w:rsidRPr="004E3071">
        <w:rPr>
          <w:rFonts w:cs="Arial"/>
        </w:rPr>
        <w:t>. Neither will payment of the guarantee by ABSA result in a violation of a right of TDS.</w:t>
      </w:r>
    </w:p>
    <w:p w14:paraId="3023B4C2" w14:textId="77777777" w:rsidR="005D6BCE" w:rsidRDefault="005D6BCE" w:rsidP="005D6BCE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336ECB95" w14:textId="3FE197A6" w:rsidR="008C077E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lastRenderedPageBreak/>
        <w:t>[32]</w:t>
      </w:r>
      <w:r>
        <w:rPr>
          <w:rFonts w:ascii="Arial" w:eastAsia="Calibri" w:hAnsi="Arial" w:cs="Arial"/>
          <w:lang w:val="en-ZA"/>
        </w:rPr>
        <w:tab/>
      </w:r>
      <w:r w:rsidR="005F2994" w:rsidRPr="004E3071">
        <w:rPr>
          <w:rFonts w:cs="Arial"/>
        </w:rPr>
        <w:t xml:space="preserve">It is conceded </w:t>
      </w:r>
      <w:r w:rsidR="00F852E1" w:rsidRPr="004E3071">
        <w:rPr>
          <w:rFonts w:cs="Arial"/>
        </w:rPr>
        <w:t>by</w:t>
      </w:r>
      <w:r w:rsidR="005F2994" w:rsidRPr="004E3071">
        <w:rPr>
          <w:rFonts w:cs="Arial"/>
        </w:rPr>
        <w:t xml:space="preserve"> </w:t>
      </w:r>
      <w:r w:rsidR="0050421B" w:rsidRPr="004E3071">
        <w:rPr>
          <w:rFonts w:cs="Arial"/>
        </w:rPr>
        <w:t>Mr</w:t>
      </w:r>
      <w:r w:rsidR="00D46698" w:rsidRPr="004E3071">
        <w:rPr>
          <w:rFonts w:cs="Arial"/>
        </w:rPr>
        <w:t xml:space="preserve"> van Tonder SC</w:t>
      </w:r>
      <w:r w:rsidR="00C00FA2" w:rsidRPr="004E3071">
        <w:rPr>
          <w:rFonts w:cs="Arial"/>
        </w:rPr>
        <w:t xml:space="preserve"> on behalf of </w:t>
      </w:r>
      <w:r w:rsidR="008141C9" w:rsidRPr="004E3071">
        <w:rPr>
          <w:rFonts w:cs="Arial"/>
        </w:rPr>
        <w:t>TDS</w:t>
      </w:r>
      <w:r w:rsidR="00D46698" w:rsidRPr="004E3071">
        <w:rPr>
          <w:rFonts w:cs="Arial"/>
        </w:rPr>
        <w:t xml:space="preserve"> that the </w:t>
      </w:r>
      <w:r w:rsidR="00511C4B" w:rsidRPr="004E3071">
        <w:rPr>
          <w:rFonts w:cs="Arial"/>
        </w:rPr>
        <w:t xml:space="preserve">only way that his client can be let in to the main action </w:t>
      </w:r>
      <w:r w:rsidR="008B6841" w:rsidRPr="004E3071">
        <w:rPr>
          <w:rFonts w:cs="Arial"/>
        </w:rPr>
        <w:t>is if there is clear evidence of fraud</w:t>
      </w:r>
      <w:r w:rsidR="001141F4" w:rsidRPr="004E3071">
        <w:rPr>
          <w:rFonts w:cs="Arial"/>
        </w:rPr>
        <w:t>.</w:t>
      </w:r>
    </w:p>
    <w:p w14:paraId="3C84EC85" w14:textId="77777777" w:rsidR="008C077E" w:rsidRPr="008C077E" w:rsidRDefault="008C077E" w:rsidP="008C077E">
      <w:pPr>
        <w:pStyle w:val="ListParagraph"/>
        <w:rPr>
          <w:rFonts w:cs="Arial"/>
        </w:rPr>
      </w:pPr>
    </w:p>
    <w:p w14:paraId="49469C3B" w14:textId="052D4F1B" w:rsidR="000617F2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 w:rsidRPr="00884922">
        <w:rPr>
          <w:rFonts w:ascii="Arial" w:eastAsia="Calibri" w:hAnsi="Arial" w:cs="Arial"/>
          <w:lang w:val="en-ZA"/>
        </w:rPr>
        <w:t>[33]</w:t>
      </w:r>
      <w:r w:rsidRPr="00884922">
        <w:rPr>
          <w:rFonts w:ascii="Arial" w:eastAsia="Calibri" w:hAnsi="Arial" w:cs="Arial"/>
          <w:lang w:val="en-ZA"/>
        </w:rPr>
        <w:tab/>
      </w:r>
      <w:r w:rsidR="002F5307" w:rsidRPr="004E3071">
        <w:rPr>
          <w:rFonts w:cs="Arial"/>
        </w:rPr>
        <w:t>The fraud contended</w:t>
      </w:r>
      <w:r w:rsidR="000A5474" w:rsidRPr="004E3071">
        <w:rPr>
          <w:rFonts w:cs="Arial"/>
        </w:rPr>
        <w:t xml:space="preserve"> </w:t>
      </w:r>
      <w:r w:rsidR="00591914" w:rsidRPr="004E3071">
        <w:rPr>
          <w:rFonts w:cs="Arial"/>
        </w:rPr>
        <w:t xml:space="preserve">for </w:t>
      </w:r>
      <w:r w:rsidR="000A5474" w:rsidRPr="004E3071">
        <w:rPr>
          <w:rFonts w:cs="Arial"/>
        </w:rPr>
        <w:t>in the founding affi</w:t>
      </w:r>
      <w:r w:rsidR="002A4880" w:rsidRPr="004E3071">
        <w:rPr>
          <w:rFonts w:cs="Arial"/>
        </w:rPr>
        <w:t>davit</w:t>
      </w:r>
      <w:r w:rsidR="008141C9" w:rsidRPr="004E3071">
        <w:rPr>
          <w:rFonts w:cs="Arial"/>
        </w:rPr>
        <w:t xml:space="preserve"> in this application</w:t>
      </w:r>
      <w:r w:rsidR="002A4880" w:rsidRPr="004E3071">
        <w:rPr>
          <w:rFonts w:cs="Arial"/>
        </w:rPr>
        <w:t xml:space="preserve"> is</w:t>
      </w:r>
      <w:r w:rsidR="002F5307" w:rsidRPr="004E3071">
        <w:rPr>
          <w:rFonts w:cs="Arial"/>
        </w:rPr>
        <w:t xml:space="preserve"> </w:t>
      </w:r>
      <w:r w:rsidR="00591914" w:rsidRPr="004E3071">
        <w:rPr>
          <w:rFonts w:cs="Arial"/>
        </w:rPr>
        <w:t>that Exxaro’s</w:t>
      </w:r>
      <w:r w:rsidR="00ED1E05" w:rsidRPr="004E3071">
        <w:rPr>
          <w:rFonts w:cs="Arial"/>
        </w:rPr>
        <w:t xml:space="preserve"> claim in the first demand was for an amount which was </w:t>
      </w:r>
      <w:proofErr w:type="gramStart"/>
      <w:r w:rsidR="00ED1E05" w:rsidRPr="004E3071">
        <w:rPr>
          <w:rFonts w:cs="Arial"/>
        </w:rPr>
        <w:t>in excess of</w:t>
      </w:r>
      <w:proofErr w:type="gramEnd"/>
      <w:r w:rsidR="00ED1E05" w:rsidRPr="004E3071">
        <w:rPr>
          <w:rFonts w:cs="Arial"/>
        </w:rPr>
        <w:t xml:space="preserve"> the amount which </w:t>
      </w:r>
      <w:r w:rsidR="00A962A4" w:rsidRPr="004E3071">
        <w:rPr>
          <w:rFonts w:cs="Arial"/>
        </w:rPr>
        <w:t xml:space="preserve">it was entitled to </w:t>
      </w:r>
      <w:r w:rsidR="00BC7CF7" w:rsidRPr="004E3071">
        <w:rPr>
          <w:rFonts w:cs="Arial"/>
        </w:rPr>
        <w:t xml:space="preserve">claim </w:t>
      </w:r>
      <w:r w:rsidR="00A962A4" w:rsidRPr="004E3071">
        <w:rPr>
          <w:rFonts w:cs="Arial"/>
        </w:rPr>
        <w:t>under the guarantee.</w:t>
      </w:r>
      <w:r w:rsidR="001D0365" w:rsidRPr="004E3071">
        <w:rPr>
          <w:rFonts w:cs="Arial"/>
        </w:rPr>
        <w:t xml:space="preserve"> This </w:t>
      </w:r>
      <w:r w:rsidR="00734D89" w:rsidRPr="004E3071">
        <w:rPr>
          <w:rFonts w:cs="Arial"/>
        </w:rPr>
        <w:t xml:space="preserve">inflated claim </w:t>
      </w:r>
      <w:r w:rsidR="001D0365" w:rsidRPr="004E3071">
        <w:rPr>
          <w:rFonts w:cs="Arial"/>
        </w:rPr>
        <w:t>allegedly came about in the following circumstances.</w:t>
      </w:r>
      <w:r w:rsidR="00936191" w:rsidRPr="004E3071">
        <w:rPr>
          <w:rFonts w:cs="Arial"/>
        </w:rPr>
        <w:t xml:space="preserve"> </w:t>
      </w:r>
      <w:r w:rsidR="007B63D6" w:rsidRPr="004E3071">
        <w:rPr>
          <w:rFonts w:cs="Arial"/>
        </w:rPr>
        <w:t xml:space="preserve"> </w:t>
      </w:r>
      <w:r w:rsidR="001D0365" w:rsidRPr="004E3071">
        <w:rPr>
          <w:rFonts w:cs="Arial"/>
        </w:rPr>
        <w:t>T</w:t>
      </w:r>
      <w:r w:rsidR="007B63D6" w:rsidRPr="004E3071">
        <w:rPr>
          <w:rFonts w:cs="Arial"/>
        </w:rPr>
        <w:t xml:space="preserve">he terms of the guarantee </w:t>
      </w:r>
      <w:proofErr w:type="gramStart"/>
      <w:r w:rsidR="007B63D6" w:rsidRPr="004E3071">
        <w:rPr>
          <w:rFonts w:cs="Arial"/>
        </w:rPr>
        <w:t>provided that</w:t>
      </w:r>
      <w:proofErr w:type="gramEnd"/>
      <w:r w:rsidR="007B63D6" w:rsidRPr="004E3071">
        <w:rPr>
          <w:rFonts w:cs="Arial"/>
        </w:rPr>
        <w:t xml:space="preserve"> payment thereunder was subject to a maximum of 10% of the contract </w:t>
      </w:r>
      <w:r w:rsidR="0018177A" w:rsidRPr="004E3071">
        <w:rPr>
          <w:rFonts w:cs="Arial"/>
        </w:rPr>
        <w:t>price. The</w:t>
      </w:r>
      <w:r w:rsidR="000617F2" w:rsidRPr="004E3071">
        <w:rPr>
          <w:rFonts w:cs="Arial"/>
        </w:rPr>
        <w:t xml:space="preserve"> contract price was </w:t>
      </w:r>
      <w:r w:rsidR="0018177A" w:rsidRPr="004E3071">
        <w:rPr>
          <w:rFonts w:cs="Arial"/>
        </w:rPr>
        <w:t xml:space="preserve">initially </w:t>
      </w:r>
      <w:r w:rsidR="000617F2" w:rsidRPr="004E3071">
        <w:rPr>
          <w:rFonts w:cs="Arial"/>
        </w:rPr>
        <w:t>R320,820,128.54</w:t>
      </w:r>
      <w:r w:rsidR="00DA389A" w:rsidRPr="004E3071">
        <w:rPr>
          <w:rFonts w:cs="Arial"/>
        </w:rPr>
        <w:t xml:space="preserve"> but it was</w:t>
      </w:r>
      <w:r w:rsidR="000759A4" w:rsidRPr="004E3071">
        <w:rPr>
          <w:rFonts w:cs="Arial"/>
        </w:rPr>
        <w:t xml:space="preserve"> subsequently </w:t>
      </w:r>
      <w:r w:rsidR="000617F2" w:rsidRPr="004E3071">
        <w:rPr>
          <w:rFonts w:cs="Arial"/>
        </w:rPr>
        <w:t>reduced to R220,270,897.63</w:t>
      </w:r>
      <w:r w:rsidR="00734D89" w:rsidRPr="004E3071">
        <w:rPr>
          <w:rFonts w:cs="Arial"/>
        </w:rPr>
        <w:t>. Hence</w:t>
      </w:r>
      <w:r w:rsidR="000617F2" w:rsidRPr="004E3071">
        <w:rPr>
          <w:rFonts w:cs="Arial"/>
        </w:rPr>
        <w:t xml:space="preserve"> any amount due in terms of the </w:t>
      </w:r>
      <w:r w:rsidR="00C07917" w:rsidRPr="004E3071">
        <w:rPr>
          <w:rFonts w:cs="Arial"/>
        </w:rPr>
        <w:t>guarantee could</w:t>
      </w:r>
      <w:r w:rsidR="000617F2" w:rsidRPr="004E3071">
        <w:rPr>
          <w:rFonts w:cs="Arial"/>
        </w:rPr>
        <w:t xml:space="preserve"> not exceed the sum of R22,165,055.66</w:t>
      </w:r>
      <w:r w:rsidR="00884922" w:rsidRPr="004E3071">
        <w:rPr>
          <w:rFonts w:cs="Arial"/>
        </w:rPr>
        <w:t xml:space="preserve">. </w:t>
      </w:r>
      <w:r w:rsidR="00C07917" w:rsidRPr="004E3071">
        <w:rPr>
          <w:rFonts w:cs="Arial"/>
        </w:rPr>
        <w:t>The first</w:t>
      </w:r>
      <w:r w:rsidR="00FE7399" w:rsidRPr="004E3071">
        <w:rPr>
          <w:rFonts w:cs="Arial"/>
        </w:rPr>
        <w:t xml:space="preserve"> </w:t>
      </w:r>
      <w:r w:rsidR="00C07917" w:rsidRPr="004E3071">
        <w:rPr>
          <w:rFonts w:cs="Arial"/>
        </w:rPr>
        <w:t>demand was</w:t>
      </w:r>
      <w:r w:rsidR="00884922" w:rsidRPr="004E3071">
        <w:rPr>
          <w:rFonts w:cs="Arial"/>
        </w:rPr>
        <w:t xml:space="preserve"> based on the </w:t>
      </w:r>
      <w:r w:rsidR="00241D33" w:rsidRPr="004E3071">
        <w:rPr>
          <w:rFonts w:cs="Arial"/>
        </w:rPr>
        <w:t>pre-amended contract price</w:t>
      </w:r>
      <w:r w:rsidR="00BF476E" w:rsidRPr="004E3071">
        <w:rPr>
          <w:rFonts w:cs="Arial"/>
        </w:rPr>
        <w:t>. This failure to adjust for the amend</w:t>
      </w:r>
      <w:r w:rsidR="00460D46" w:rsidRPr="004E3071">
        <w:rPr>
          <w:rFonts w:cs="Arial"/>
        </w:rPr>
        <w:t>ed price</w:t>
      </w:r>
      <w:r w:rsidR="007F1AA7" w:rsidRPr="004E3071">
        <w:rPr>
          <w:rFonts w:cs="Arial"/>
        </w:rPr>
        <w:t xml:space="preserve"> allegedly</w:t>
      </w:r>
      <w:r w:rsidR="00BF476E" w:rsidRPr="004E3071">
        <w:rPr>
          <w:rFonts w:cs="Arial"/>
        </w:rPr>
        <w:t xml:space="preserve"> </w:t>
      </w:r>
      <w:r w:rsidR="00FE7399" w:rsidRPr="004E3071">
        <w:rPr>
          <w:rFonts w:cs="Arial"/>
        </w:rPr>
        <w:t xml:space="preserve">constituted </w:t>
      </w:r>
      <w:r w:rsidR="0046534D" w:rsidRPr="004E3071">
        <w:rPr>
          <w:rFonts w:cs="Arial"/>
        </w:rPr>
        <w:t>a deliberate</w:t>
      </w:r>
      <w:r w:rsidR="000617F2" w:rsidRPr="004E3071">
        <w:rPr>
          <w:rFonts w:cs="Arial"/>
        </w:rPr>
        <w:t xml:space="preserve"> demand</w:t>
      </w:r>
      <w:r w:rsidR="002833FA" w:rsidRPr="004E3071">
        <w:rPr>
          <w:rFonts w:cs="Arial"/>
        </w:rPr>
        <w:t xml:space="preserve"> by Exxaro</w:t>
      </w:r>
      <w:r w:rsidR="000617F2" w:rsidRPr="004E3071">
        <w:rPr>
          <w:rFonts w:cs="Arial"/>
        </w:rPr>
        <w:t xml:space="preserve"> for payment of an amount which was self-evidently not due</w:t>
      </w:r>
      <w:r w:rsidR="002833FA" w:rsidRPr="004E3071">
        <w:rPr>
          <w:rFonts w:cs="Arial"/>
        </w:rPr>
        <w:t xml:space="preserve">. This was later corrected in the second demand </w:t>
      </w:r>
      <w:r w:rsidR="0046534D" w:rsidRPr="004E3071">
        <w:rPr>
          <w:rFonts w:cs="Arial"/>
        </w:rPr>
        <w:t xml:space="preserve">and </w:t>
      </w:r>
      <w:r w:rsidR="007C0C64" w:rsidRPr="004E3071">
        <w:rPr>
          <w:rFonts w:cs="Arial"/>
        </w:rPr>
        <w:t>the fact of such correction</w:t>
      </w:r>
      <w:r w:rsidR="0046534D" w:rsidRPr="004E3071">
        <w:rPr>
          <w:rFonts w:cs="Arial"/>
        </w:rPr>
        <w:t xml:space="preserve"> is</w:t>
      </w:r>
      <w:r w:rsidR="000617F2" w:rsidRPr="004E3071">
        <w:rPr>
          <w:rFonts w:cs="Arial"/>
        </w:rPr>
        <w:t xml:space="preserve"> indicative of fraud</w:t>
      </w:r>
      <w:r w:rsidR="000A4203" w:rsidRPr="004E3071">
        <w:rPr>
          <w:rFonts w:cs="Arial"/>
        </w:rPr>
        <w:t xml:space="preserve"> </w:t>
      </w:r>
      <w:r w:rsidR="00B473CA" w:rsidRPr="004E3071">
        <w:rPr>
          <w:rFonts w:cs="Arial"/>
        </w:rPr>
        <w:t>in the first demand.</w:t>
      </w:r>
      <w:r w:rsidR="000617F2" w:rsidRPr="004E3071">
        <w:rPr>
          <w:rFonts w:cs="Arial"/>
        </w:rPr>
        <w:t xml:space="preserve"> </w:t>
      </w:r>
      <w:r w:rsidR="00497B06" w:rsidRPr="004E3071">
        <w:rPr>
          <w:rFonts w:cs="Arial"/>
        </w:rPr>
        <w:t>Thus, it is argued that TDS is entitled to join for the purposes of raising this fraud.</w:t>
      </w:r>
    </w:p>
    <w:p w14:paraId="4DD85175" w14:textId="77777777" w:rsidR="000617F2" w:rsidRDefault="000617F2" w:rsidP="000617F2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35717324" w14:textId="512FDD85" w:rsidR="0032408F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[34]</w:t>
      </w:r>
      <w:r>
        <w:rPr>
          <w:rFonts w:ascii="Arial" w:eastAsia="Calibri" w:hAnsi="Arial" w:cs="Arial"/>
          <w:lang w:val="en-ZA"/>
        </w:rPr>
        <w:tab/>
      </w:r>
      <w:r w:rsidR="00C07917" w:rsidRPr="004E3071">
        <w:rPr>
          <w:rFonts w:cs="Arial"/>
        </w:rPr>
        <w:t xml:space="preserve"> To my </w:t>
      </w:r>
      <w:r w:rsidR="00497B06" w:rsidRPr="004E3071">
        <w:rPr>
          <w:rFonts w:cs="Arial"/>
        </w:rPr>
        <w:t>mind, these</w:t>
      </w:r>
      <w:r w:rsidR="00D20E53" w:rsidRPr="004E3071">
        <w:rPr>
          <w:rFonts w:cs="Arial"/>
        </w:rPr>
        <w:t xml:space="preserve"> a</w:t>
      </w:r>
      <w:r w:rsidR="00916A8E" w:rsidRPr="004E3071">
        <w:rPr>
          <w:rFonts w:cs="Arial"/>
        </w:rPr>
        <w:t xml:space="preserve">llegations do not meet the threshold of establishing </w:t>
      </w:r>
      <w:r w:rsidR="007F0C22" w:rsidRPr="004E3071">
        <w:rPr>
          <w:rFonts w:cs="Arial"/>
        </w:rPr>
        <w:t xml:space="preserve">even prima facie </w:t>
      </w:r>
      <w:r w:rsidR="00C20923" w:rsidRPr="004E3071">
        <w:rPr>
          <w:rFonts w:cs="Arial"/>
        </w:rPr>
        <w:t>the</w:t>
      </w:r>
      <w:r w:rsidR="009A10BB" w:rsidRPr="004E3071">
        <w:rPr>
          <w:rFonts w:cs="Arial"/>
        </w:rPr>
        <w:t xml:space="preserve"> </w:t>
      </w:r>
      <w:r w:rsidR="00916A8E" w:rsidRPr="004E3071">
        <w:rPr>
          <w:rFonts w:cs="Arial"/>
        </w:rPr>
        <w:t>clear case of fraud</w:t>
      </w:r>
      <w:r w:rsidR="00D20E53" w:rsidRPr="004E3071">
        <w:rPr>
          <w:rFonts w:cs="Arial"/>
        </w:rPr>
        <w:t xml:space="preserve"> such as would </w:t>
      </w:r>
      <w:r w:rsidR="009A10BB" w:rsidRPr="004E3071">
        <w:rPr>
          <w:rFonts w:cs="Arial"/>
        </w:rPr>
        <w:t xml:space="preserve">be necessary to </w:t>
      </w:r>
      <w:r w:rsidR="00D20E53" w:rsidRPr="004E3071">
        <w:rPr>
          <w:rFonts w:cs="Arial"/>
        </w:rPr>
        <w:t xml:space="preserve">give </w:t>
      </w:r>
      <w:r w:rsidR="00A70794" w:rsidRPr="004E3071">
        <w:rPr>
          <w:rFonts w:cs="Arial"/>
        </w:rPr>
        <w:t>T</w:t>
      </w:r>
      <w:r w:rsidR="00497B06" w:rsidRPr="004E3071">
        <w:rPr>
          <w:rFonts w:cs="Arial"/>
        </w:rPr>
        <w:t>D</w:t>
      </w:r>
      <w:r w:rsidR="00A70794" w:rsidRPr="004E3071">
        <w:rPr>
          <w:rFonts w:cs="Arial"/>
        </w:rPr>
        <w:t>S</w:t>
      </w:r>
      <w:r w:rsidR="00D20E53" w:rsidRPr="004E3071">
        <w:rPr>
          <w:rFonts w:cs="Arial"/>
        </w:rPr>
        <w:t xml:space="preserve"> any basis to raise the fraud exception</w:t>
      </w:r>
      <w:r w:rsidR="007C0C64" w:rsidRPr="004E3071">
        <w:rPr>
          <w:rFonts w:cs="Arial"/>
        </w:rPr>
        <w:t xml:space="preserve"> to the autonomy of the </w:t>
      </w:r>
      <w:r w:rsidR="006552E5" w:rsidRPr="004E3071">
        <w:rPr>
          <w:rFonts w:cs="Arial"/>
        </w:rPr>
        <w:t>guarantee</w:t>
      </w:r>
      <w:r w:rsidR="00D20E53" w:rsidRPr="004E3071">
        <w:rPr>
          <w:rFonts w:cs="Arial"/>
        </w:rPr>
        <w:t>.</w:t>
      </w:r>
      <w:r w:rsidR="0036315A" w:rsidRPr="004E3071">
        <w:rPr>
          <w:rFonts w:cs="Arial"/>
        </w:rPr>
        <w:t xml:space="preserve"> </w:t>
      </w:r>
    </w:p>
    <w:p w14:paraId="5C5B08FD" w14:textId="77777777" w:rsidR="0032408F" w:rsidRPr="0032408F" w:rsidRDefault="0032408F" w:rsidP="0032408F">
      <w:pPr>
        <w:pStyle w:val="ListParagraph"/>
        <w:rPr>
          <w:rFonts w:cs="Arial"/>
        </w:rPr>
      </w:pPr>
    </w:p>
    <w:p w14:paraId="5CA4FB94" w14:textId="519037FB" w:rsidR="00585D49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[35]</w:t>
      </w:r>
      <w:r>
        <w:rPr>
          <w:rFonts w:ascii="Arial" w:eastAsia="Calibri" w:hAnsi="Arial" w:cs="Arial"/>
          <w:lang w:val="en-ZA"/>
        </w:rPr>
        <w:tab/>
      </w:r>
      <w:r w:rsidR="00A70794" w:rsidRPr="004E3071">
        <w:rPr>
          <w:rFonts w:cs="Arial"/>
        </w:rPr>
        <w:t xml:space="preserve"> </w:t>
      </w:r>
      <w:r w:rsidR="006B3ACE" w:rsidRPr="004E3071">
        <w:rPr>
          <w:rFonts w:cs="Arial"/>
        </w:rPr>
        <w:t>T</w:t>
      </w:r>
      <w:r w:rsidR="00AB5126" w:rsidRPr="004E3071">
        <w:rPr>
          <w:rFonts w:cs="Arial"/>
        </w:rPr>
        <w:t>he</w:t>
      </w:r>
      <w:r w:rsidR="00C20923" w:rsidRPr="004E3071">
        <w:rPr>
          <w:rFonts w:cs="Arial"/>
        </w:rPr>
        <w:t xml:space="preserve"> </w:t>
      </w:r>
      <w:r w:rsidR="00457254" w:rsidRPr="004E3071">
        <w:rPr>
          <w:rFonts w:cs="Arial"/>
        </w:rPr>
        <w:t>allegations of dishonesty</w:t>
      </w:r>
      <w:r w:rsidR="006B3ACE" w:rsidRPr="004E3071">
        <w:rPr>
          <w:rFonts w:cs="Arial"/>
        </w:rPr>
        <w:t xml:space="preserve"> </w:t>
      </w:r>
      <w:r w:rsidR="00457254" w:rsidRPr="004E3071">
        <w:rPr>
          <w:rFonts w:cs="Arial"/>
        </w:rPr>
        <w:t>are</w:t>
      </w:r>
      <w:r w:rsidR="006B3ACE" w:rsidRPr="004E3071">
        <w:rPr>
          <w:rFonts w:cs="Arial"/>
        </w:rPr>
        <w:t xml:space="preserve"> dealt </w:t>
      </w:r>
      <w:r w:rsidR="00701001" w:rsidRPr="004E3071">
        <w:rPr>
          <w:rFonts w:cs="Arial"/>
        </w:rPr>
        <w:t>with adequately</w:t>
      </w:r>
      <w:r w:rsidR="00F34E8E" w:rsidRPr="004E3071">
        <w:rPr>
          <w:rFonts w:cs="Arial"/>
        </w:rPr>
        <w:t xml:space="preserve"> </w:t>
      </w:r>
      <w:r w:rsidR="000C692D" w:rsidRPr="004E3071">
        <w:rPr>
          <w:rFonts w:cs="Arial"/>
        </w:rPr>
        <w:t xml:space="preserve">in the main application </w:t>
      </w:r>
      <w:r w:rsidR="005228B5" w:rsidRPr="004E3071">
        <w:rPr>
          <w:rFonts w:cs="Arial"/>
        </w:rPr>
        <w:t xml:space="preserve">by </w:t>
      </w:r>
      <w:proofErr w:type="spellStart"/>
      <w:r w:rsidR="000617F2" w:rsidRPr="004E3071">
        <w:rPr>
          <w:rFonts w:cs="Arial"/>
        </w:rPr>
        <w:t>Exxarro’s</w:t>
      </w:r>
      <w:proofErr w:type="spellEnd"/>
      <w:r w:rsidR="000617F2" w:rsidRPr="004E3071">
        <w:rPr>
          <w:rFonts w:cs="Arial"/>
        </w:rPr>
        <w:t xml:space="preserve"> Ms</w:t>
      </w:r>
      <w:r w:rsidR="00F866A3" w:rsidRPr="004E3071">
        <w:rPr>
          <w:rFonts w:cs="Arial"/>
        </w:rPr>
        <w:t xml:space="preserve"> Corina </w:t>
      </w:r>
      <w:r w:rsidR="00BA6DDF" w:rsidRPr="004E3071">
        <w:rPr>
          <w:rFonts w:cs="Arial"/>
        </w:rPr>
        <w:t>Koorsen</w:t>
      </w:r>
      <w:r w:rsidR="00EA47AE" w:rsidRPr="004E3071">
        <w:rPr>
          <w:rFonts w:cs="Arial"/>
        </w:rPr>
        <w:t xml:space="preserve"> who made the demands</w:t>
      </w:r>
      <w:r w:rsidR="00BA6DDF" w:rsidRPr="004E3071">
        <w:rPr>
          <w:rFonts w:cs="Arial"/>
        </w:rPr>
        <w:t xml:space="preserve"> in</w:t>
      </w:r>
      <w:r w:rsidR="00E01598" w:rsidRPr="004E3071">
        <w:rPr>
          <w:rFonts w:cs="Arial"/>
        </w:rPr>
        <w:t xml:space="preserve"> the context of the negotiations and discussions leading </w:t>
      </w:r>
      <w:r w:rsidR="00AB619D" w:rsidRPr="004E3071">
        <w:rPr>
          <w:rFonts w:cs="Arial"/>
        </w:rPr>
        <w:t xml:space="preserve">up to the </w:t>
      </w:r>
      <w:r w:rsidR="002972AB" w:rsidRPr="004E3071">
        <w:rPr>
          <w:rFonts w:cs="Arial"/>
        </w:rPr>
        <w:t>making</w:t>
      </w:r>
      <w:r w:rsidR="00AB619D" w:rsidRPr="004E3071">
        <w:rPr>
          <w:rFonts w:cs="Arial"/>
        </w:rPr>
        <w:t xml:space="preserve"> of the second demand</w:t>
      </w:r>
      <w:r w:rsidR="002972AB" w:rsidRPr="004E3071">
        <w:rPr>
          <w:rFonts w:cs="Arial"/>
        </w:rPr>
        <w:t xml:space="preserve"> on the </w:t>
      </w:r>
      <w:r w:rsidR="00701001" w:rsidRPr="004E3071">
        <w:rPr>
          <w:rFonts w:cs="Arial"/>
        </w:rPr>
        <w:t>guarantee’s</w:t>
      </w:r>
      <w:r w:rsidR="002972AB" w:rsidRPr="004E3071">
        <w:rPr>
          <w:rFonts w:cs="Arial"/>
        </w:rPr>
        <w:t xml:space="preserve"> expiry date</w:t>
      </w:r>
      <w:r w:rsidR="00AB619D" w:rsidRPr="004E3071">
        <w:rPr>
          <w:rFonts w:cs="Arial"/>
        </w:rPr>
        <w:t xml:space="preserve">. </w:t>
      </w:r>
    </w:p>
    <w:p w14:paraId="7D291775" w14:textId="1949AD37" w:rsidR="00585D49" w:rsidRDefault="00585D49" w:rsidP="00585D49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2E25014F" w14:textId="7324AA88" w:rsidR="00E92100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[36]</w:t>
      </w:r>
      <w:r>
        <w:rPr>
          <w:rFonts w:ascii="Arial" w:eastAsia="Calibri" w:hAnsi="Arial" w:cs="Arial"/>
          <w:lang w:val="en-ZA"/>
        </w:rPr>
        <w:tab/>
      </w:r>
      <w:r w:rsidR="00585D49" w:rsidRPr="004E3071">
        <w:rPr>
          <w:rFonts w:cs="Arial"/>
        </w:rPr>
        <w:t>Th</w:t>
      </w:r>
      <w:r w:rsidR="009A1379" w:rsidRPr="004E3071">
        <w:rPr>
          <w:rFonts w:cs="Arial"/>
        </w:rPr>
        <w:t>e heads</w:t>
      </w:r>
      <w:r w:rsidR="000E1163" w:rsidRPr="004E3071">
        <w:rPr>
          <w:rFonts w:cs="Arial"/>
        </w:rPr>
        <w:t xml:space="preserve"> of </w:t>
      </w:r>
      <w:r w:rsidR="00701001" w:rsidRPr="004E3071">
        <w:rPr>
          <w:rFonts w:cs="Arial"/>
        </w:rPr>
        <w:t>argument filed</w:t>
      </w:r>
      <w:r w:rsidR="009A1379" w:rsidRPr="004E3071">
        <w:rPr>
          <w:rFonts w:cs="Arial"/>
        </w:rPr>
        <w:t xml:space="preserve"> by </w:t>
      </w:r>
      <w:r w:rsidR="000E1163" w:rsidRPr="004E3071">
        <w:rPr>
          <w:rFonts w:cs="Arial"/>
        </w:rPr>
        <w:t>TDS</w:t>
      </w:r>
      <w:r w:rsidR="009A1379" w:rsidRPr="004E3071">
        <w:rPr>
          <w:rFonts w:cs="Arial"/>
        </w:rPr>
        <w:t xml:space="preserve"> seem to accept</w:t>
      </w:r>
      <w:r w:rsidR="002C4E98" w:rsidRPr="004E3071">
        <w:rPr>
          <w:rFonts w:cs="Arial"/>
        </w:rPr>
        <w:t>, at least in the alternative</w:t>
      </w:r>
      <w:r w:rsidR="00A04FBB" w:rsidRPr="004E3071">
        <w:rPr>
          <w:rFonts w:cs="Arial"/>
        </w:rPr>
        <w:t>,</w:t>
      </w:r>
      <w:r w:rsidR="009A1379" w:rsidRPr="004E3071">
        <w:rPr>
          <w:rFonts w:cs="Arial"/>
        </w:rPr>
        <w:t xml:space="preserve"> that these allegations fall short </w:t>
      </w:r>
      <w:r w:rsidR="002C4E98" w:rsidRPr="004E3071">
        <w:rPr>
          <w:rFonts w:cs="Arial"/>
        </w:rPr>
        <w:t>of a</w:t>
      </w:r>
      <w:r w:rsidR="00701001" w:rsidRPr="004E3071">
        <w:rPr>
          <w:rFonts w:cs="Arial"/>
        </w:rPr>
        <w:t xml:space="preserve"> case for </w:t>
      </w:r>
      <w:r w:rsidR="009A1379" w:rsidRPr="004E3071">
        <w:rPr>
          <w:rFonts w:cs="Arial"/>
        </w:rPr>
        <w:t xml:space="preserve">fraud. </w:t>
      </w:r>
      <w:r w:rsidR="00A04FBB" w:rsidRPr="004E3071">
        <w:rPr>
          <w:rFonts w:cs="Arial"/>
        </w:rPr>
        <w:t xml:space="preserve">The heads </w:t>
      </w:r>
      <w:proofErr w:type="gramStart"/>
      <w:r w:rsidR="00A04FBB" w:rsidRPr="004E3071">
        <w:rPr>
          <w:rFonts w:cs="Arial"/>
        </w:rPr>
        <w:t>make the</w:t>
      </w:r>
      <w:r w:rsidR="009A1379" w:rsidRPr="004E3071">
        <w:rPr>
          <w:rFonts w:cs="Arial"/>
        </w:rPr>
        <w:t xml:space="preserve"> suggest</w:t>
      </w:r>
      <w:r w:rsidR="00A04FBB" w:rsidRPr="004E3071">
        <w:rPr>
          <w:rFonts w:cs="Arial"/>
        </w:rPr>
        <w:t>ion</w:t>
      </w:r>
      <w:r w:rsidR="009A1379" w:rsidRPr="004E3071">
        <w:rPr>
          <w:rFonts w:cs="Arial"/>
        </w:rPr>
        <w:t xml:space="preserve"> that</w:t>
      </w:r>
      <w:proofErr w:type="gramEnd"/>
      <w:r w:rsidR="009A1379" w:rsidRPr="004E3071">
        <w:rPr>
          <w:rFonts w:cs="Arial"/>
        </w:rPr>
        <w:t xml:space="preserve"> it would be enough if </w:t>
      </w:r>
      <w:r w:rsidR="00EF4E7A" w:rsidRPr="004E3071">
        <w:rPr>
          <w:rFonts w:cs="Arial"/>
        </w:rPr>
        <w:t xml:space="preserve">only </w:t>
      </w:r>
      <w:r w:rsidR="009A1379" w:rsidRPr="004E3071">
        <w:rPr>
          <w:rFonts w:cs="Arial"/>
        </w:rPr>
        <w:t xml:space="preserve">unconscionable </w:t>
      </w:r>
      <w:r w:rsidR="00D5568B" w:rsidRPr="004E3071">
        <w:rPr>
          <w:rFonts w:cs="Arial"/>
        </w:rPr>
        <w:t>behaviour</w:t>
      </w:r>
      <w:r w:rsidR="009A1379" w:rsidRPr="004E3071">
        <w:rPr>
          <w:rFonts w:cs="Arial"/>
        </w:rPr>
        <w:t xml:space="preserve"> w</w:t>
      </w:r>
      <w:r w:rsidR="00EF4E7A" w:rsidRPr="004E3071">
        <w:rPr>
          <w:rFonts w:cs="Arial"/>
        </w:rPr>
        <w:t>ere</w:t>
      </w:r>
      <w:r w:rsidR="009A1379" w:rsidRPr="004E3071">
        <w:rPr>
          <w:rFonts w:cs="Arial"/>
        </w:rPr>
        <w:t xml:space="preserve"> shown. </w:t>
      </w:r>
      <w:r w:rsidR="006C6EF8" w:rsidRPr="004E3071">
        <w:rPr>
          <w:rFonts w:cs="Arial"/>
        </w:rPr>
        <w:t xml:space="preserve"> Mr </w:t>
      </w:r>
      <w:r w:rsidR="00287492" w:rsidRPr="004E3071">
        <w:rPr>
          <w:rFonts w:cs="Arial"/>
        </w:rPr>
        <w:t xml:space="preserve">van </w:t>
      </w:r>
      <w:r w:rsidR="00BA6DDF" w:rsidRPr="004E3071">
        <w:rPr>
          <w:rFonts w:cs="Arial"/>
        </w:rPr>
        <w:t>Tonder wisely</w:t>
      </w:r>
      <w:r w:rsidR="006E189C" w:rsidRPr="004E3071">
        <w:rPr>
          <w:rFonts w:cs="Arial"/>
        </w:rPr>
        <w:t xml:space="preserve"> did not press this </w:t>
      </w:r>
      <w:r w:rsidR="00435FEB" w:rsidRPr="004E3071">
        <w:rPr>
          <w:rFonts w:cs="Arial"/>
        </w:rPr>
        <w:t xml:space="preserve">more expansive </w:t>
      </w:r>
      <w:r w:rsidR="006E189C" w:rsidRPr="004E3071">
        <w:rPr>
          <w:rFonts w:cs="Arial"/>
        </w:rPr>
        <w:t>approach in oral argu</w:t>
      </w:r>
      <w:r w:rsidR="00287492" w:rsidRPr="004E3071">
        <w:rPr>
          <w:rFonts w:cs="Arial"/>
        </w:rPr>
        <w:t>ment.</w:t>
      </w:r>
    </w:p>
    <w:p w14:paraId="1D182958" w14:textId="77777777" w:rsidR="00EF4E7A" w:rsidRPr="00EF4E7A" w:rsidRDefault="00EF4E7A" w:rsidP="00EF4E7A">
      <w:pPr>
        <w:pStyle w:val="ListParagraph"/>
        <w:rPr>
          <w:rFonts w:cs="Arial"/>
        </w:rPr>
      </w:pPr>
    </w:p>
    <w:p w14:paraId="20454942" w14:textId="77777777" w:rsidR="00EF4E7A" w:rsidRDefault="00EF4E7A" w:rsidP="00EF4E7A">
      <w:pPr>
        <w:spacing w:line="360" w:lineRule="auto"/>
        <w:jc w:val="both"/>
        <w:rPr>
          <w:rFonts w:cs="Arial"/>
        </w:rPr>
      </w:pPr>
    </w:p>
    <w:p w14:paraId="6672E6E9" w14:textId="77777777" w:rsidR="00EF4E7A" w:rsidRPr="00EF4E7A" w:rsidRDefault="00EF4E7A" w:rsidP="00EF4E7A">
      <w:pPr>
        <w:spacing w:line="360" w:lineRule="auto"/>
        <w:jc w:val="both"/>
        <w:rPr>
          <w:rFonts w:cs="Arial"/>
        </w:rPr>
      </w:pPr>
    </w:p>
    <w:p w14:paraId="28B6AD8C" w14:textId="77777777" w:rsidR="009B3BB1" w:rsidRDefault="009B3BB1" w:rsidP="009B3BB1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32D93CAF" w14:textId="032C9281" w:rsidR="00E92100" w:rsidRDefault="009B3BB1" w:rsidP="001D2D8C">
      <w:pPr>
        <w:pStyle w:val="ListParagraph"/>
        <w:spacing w:line="360" w:lineRule="auto"/>
        <w:ind w:left="993" w:hanging="142"/>
        <w:jc w:val="both"/>
        <w:rPr>
          <w:rFonts w:cs="Arial"/>
        </w:rPr>
      </w:pPr>
      <w:r>
        <w:rPr>
          <w:rFonts w:cs="Arial"/>
          <w:i/>
          <w:iCs/>
        </w:rPr>
        <w:tab/>
      </w:r>
      <w:r w:rsidR="00E92100" w:rsidRPr="00E92100">
        <w:rPr>
          <w:rFonts w:cs="Arial"/>
          <w:i/>
          <w:iCs/>
        </w:rPr>
        <w:t>Costs</w:t>
      </w:r>
    </w:p>
    <w:p w14:paraId="035CF75A" w14:textId="1125F884" w:rsidR="00585D49" w:rsidRDefault="00585D49" w:rsidP="00585D49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3A2E94B4" w14:textId="5995ECAF" w:rsidR="00E92100" w:rsidRPr="004E3071" w:rsidRDefault="004E3071" w:rsidP="004E3071">
      <w:pPr>
        <w:spacing w:line="360" w:lineRule="auto"/>
        <w:ind w:left="1134" w:hanging="566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[37]</w:t>
      </w:r>
      <w:r>
        <w:rPr>
          <w:rFonts w:ascii="Arial" w:eastAsia="Calibri" w:hAnsi="Arial" w:cs="Arial"/>
          <w:lang w:val="en-ZA"/>
        </w:rPr>
        <w:tab/>
      </w:r>
      <w:r w:rsidR="00E92100" w:rsidRPr="004E3071">
        <w:rPr>
          <w:rFonts w:cs="Arial"/>
        </w:rPr>
        <w:t xml:space="preserve">Exxaro seeks costs on a punitive scale. The argument is that these proceedings are abusive. A main contention is that the question of fraud was raised and decided against </w:t>
      </w:r>
      <w:r w:rsidR="001343AD" w:rsidRPr="004E3071">
        <w:rPr>
          <w:rFonts w:cs="Arial"/>
        </w:rPr>
        <w:t>TDS</w:t>
      </w:r>
      <w:r w:rsidR="00E92100" w:rsidRPr="004E3071">
        <w:rPr>
          <w:rFonts w:cs="Arial"/>
        </w:rPr>
        <w:t xml:space="preserve"> in the SCA. </w:t>
      </w:r>
    </w:p>
    <w:p w14:paraId="65A187D4" w14:textId="77777777" w:rsidR="00E92100" w:rsidRPr="00E92100" w:rsidRDefault="00E92100" w:rsidP="00E92100">
      <w:pPr>
        <w:pStyle w:val="ListParagraph"/>
        <w:spacing w:line="360" w:lineRule="auto"/>
        <w:jc w:val="both"/>
        <w:rPr>
          <w:rFonts w:cs="Arial"/>
        </w:rPr>
      </w:pPr>
    </w:p>
    <w:p w14:paraId="069B3314" w14:textId="12D490FA" w:rsidR="00802B39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[38]</w:t>
      </w:r>
      <w:r>
        <w:rPr>
          <w:rFonts w:ascii="Arial" w:eastAsia="Calibri" w:hAnsi="Arial" w:cs="Arial"/>
          <w:lang w:val="en-ZA"/>
        </w:rPr>
        <w:tab/>
      </w:r>
      <w:r w:rsidR="002D02EC" w:rsidRPr="004E3071">
        <w:rPr>
          <w:rFonts w:cs="Arial"/>
        </w:rPr>
        <w:t xml:space="preserve">Further heads were filed in this regard – </w:t>
      </w:r>
      <w:r w:rsidR="00D74A2A" w:rsidRPr="004E3071">
        <w:rPr>
          <w:rFonts w:cs="Arial"/>
        </w:rPr>
        <w:t>Exxaro</w:t>
      </w:r>
      <w:r w:rsidR="002D02EC" w:rsidRPr="004E3071">
        <w:rPr>
          <w:rFonts w:cs="Arial"/>
        </w:rPr>
        <w:t xml:space="preserve"> arguing that the </w:t>
      </w:r>
      <w:r w:rsidR="00D74A2A" w:rsidRPr="004E3071">
        <w:rPr>
          <w:rFonts w:cs="Arial"/>
        </w:rPr>
        <w:t>existence of fraud</w:t>
      </w:r>
      <w:r w:rsidR="002D02EC" w:rsidRPr="004E3071">
        <w:rPr>
          <w:rFonts w:cs="Arial"/>
        </w:rPr>
        <w:t xml:space="preserve"> had been decided and </w:t>
      </w:r>
      <w:r w:rsidR="00AC3337" w:rsidRPr="004E3071">
        <w:rPr>
          <w:rFonts w:cs="Arial"/>
        </w:rPr>
        <w:t>TDS</w:t>
      </w:r>
      <w:r w:rsidR="002D02EC" w:rsidRPr="004E3071">
        <w:rPr>
          <w:rFonts w:cs="Arial"/>
        </w:rPr>
        <w:t xml:space="preserve"> arguing that the </w:t>
      </w:r>
      <w:r w:rsidR="00802B39" w:rsidRPr="004E3071">
        <w:rPr>
          <w:rFonts w:cs="Arial"/>
        </w:rPr>
        <w:t>fraud aspect was not</w:t>
      </w:r>
      <w:r w:rsidR="00AC3337" w:rsidRPr="004E3071">
        <w:rPr>
          <w:rFonts w:cs="Arial"/>
        </w:rPr>
        <w:t xml:space="preserve"> actually</w:t>
      </w:r>
      <w:r w:rsidR="00802B39" w:rsidRPr="004E3071">
        <w:rPr>
          <w:rFonts w:cs="Arial"/>
        </w:rPr>
        <w:t xml:space="preserve"> dealt with by the SCA as the case was decided on a lack of proof of the interdictory elements</w:t>
      </w:r>
      <w:r w:rsidR="00D74A2A" w:rsidRPr="004E3071">
        <w:rPr>
          <w:rFonts w:cs="Arial"/>
        </w:rPr>
        <w:t xml:space="preserve"> and not an absence of fraud</w:t>
      </w:r>
      <w:r w:rsidR="00802B39" w:rsidRPr="004E3071">
        <w:rPr>
          <w:rFonts w:cs="Arial"/>
        </w:rPr>
        <w:t>.</w:t>
      </w:r>
    </w:p>
    <w:p w14:paraId="027D6195" w14:textId="77777777" w:rsidR="00E92100" w:rsidRDefault="00E92100" w:rsidP="00E92100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7F8680D8" w14:textId="2E09CB15" w:rsidR="00802B39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[39]</w:t>
      </w:r>
      <w:r>
        <w:rPr>
          <w:rFonts w:ascii="Arial" w:eastAsia="Calibri" w:hAnsi="Arial" w:cs="Arial"/>
          <w:lang w:val="en-ZA"/>
        </w:rPr>
        <w:tab/>
      </w:r>
      <w:r w:rsidR="00802B39" w:rsidRPr="004E3071">
        <w:rPr>
          <w:rFonts w:cs="Arial"/>
        </w:rPr>
        <w:t>In light of the conclusion to which I have come</w:t>
      </w:r>
      <w:r w:rsidR="000E1D1C" w:rsidRPr="004E3071">
        <w:rPr>
          <w:rFonts w:cs="Arial"/>
        </w:rPr>
        <w:t xml:space="preserve"> </w:t>
      </w:r>
      <w:r w:rsidR="00802B39" w:rsidRPr="004E3071">
        <w:rPr>
          <w:rFonts w:cs="Arial"/>
        </w:rPr>
        <w:t xml:space="preserve">- </w:t>
      </w:r>
      <w:r w:rsidR="00AC3337" w:rsidRPr="004E3071">
        <w:rPr>
          <w:rFonts w:cs="Arial"/>
        </w:rPr>
        <w:t>i.e.</w:t>
      </w:r>
      <w:r w:rsidR="00802B39" w:rsidRPr="004E3071">
        <w:rPr>
          <w:rFonts w:cs="Arial"/>
        </w:rPr>
        <w:t xml:space="preserve"> that the</w:t>
      </w:r>
      <w:r w:rsidR="000E1D1C" w:rsidRPr="004E3071">
        <w:rPr>
          <w:rFonts w:cs="Arial"/>
        </w:rPr>
        <w:t xml:space="preserve"> right to </w:t>
      </w:r>
      <w:r w:rsidR="00AB6033" w:rsidRPr="004E3071">
        <w:rPr>
          <w:rFonts w:cs="Arial"/>
        </w:rPr>
        <w:t xml:space="preserve">be joined to raise </w:t>
      </w:r>
      <w:r w:rsidR="00D208B2" w:rsidRPr="004E3071">
        <w:rPr>
          <w:rFonts w:cs="Arial"/>
        </w:rPr>
        <w:t>the fraud</w:t>
      </w:r>
      <w:r w:rsidR="00802B39" w:rsidRPr="004E3071">
        <w:rPr>
          <w:rFonts w:cs="Arial"/>
        </w:rPr>
        <w:t xml:space="preserve"> exception is not</w:t>
      </w:r>
      <w:r w:rsidR="00AC3337" w:rsidRPr="004E3071">
        <w:rPr>
          <w:rFonts w:cs="Arial"/>
        </w:rPr>
        <w:t xml:space="preserve">, </w:t>
      </w:r>
      <w:r w:rsidR="00802B39" w:rsidRPr="004E3071">
        <w:rPr>
          <w:rFonts w:cs="Arial"/>
        </w:rPr>
        <w:t>in any event</w:t>
      </w:r>
      <w:r w:rsidR="00AC3337" w:rsidRPr="004E3071">
        <w:rPr>
          <w:rFonts w:cs="Arial"/>
        </w:rPr>
        <w:t>,</w:t>
      </w:r>
      <w:r w:rsidR="00802B39" w:rsidRPr="004E3071">
        <w:rPr>
          <w:rFonts w:cs="Arial"/>
        </w:rPr>
        <w:t xml:space="preserve"> made out in the founding affidavit it is not necessary for me to resolve this</w:t>
      </w:r>
      <w:r w:rsidR="00EF6E4C" w:rsidRPr="004E3071">
        <w:rPr>
          <w:rFonts w:cs="Arial"/>
        </w:rPr>
        <w:t xml:space="preserve"> res judicata/estoppel argument</w:t>
      </w:r>
      <w:r w:rsidR="00802B39" w:rsidRPr="004E3071">
        <w:rPr>
          <w:rFonts w:cs="Arial"/>
        </w:rPr>
        <w:t xml:space="preserve">. </w:t>
      </w:r>
    </w:p>
    <w:p w14:paraId="1029674F" w14:textId="77777777" w:rsidR="00E92100" w:rsidRDefault="00E92100" w:rsidP="00E92100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15FD9B61" w14:textId="0A7075DB" w:rsidR="00802B39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[40]</w:t>
      </w:r>
      <w:r>
        <w:rPr>
          <w:rFonts w:ascii="Arial" w:eastAsia="Calibri" w:hAnsi="Arial" w:cs="Arial"/>
          <w:lang w:val="en-ZA"/>
        </w:rPr>
        <w:tab/>
      </w:r>
      <w:r w:rsidR="00EF6E4C" w:rsidRPr="004E3071">
        <w:rPr>
          <w:rFonts w:cs="Arial"/>
        </w:rPr>
        <w:t>The real</w:t>
      </w:r>
      <w:r w:rsidR="00AC3337" w:rsidRPr="004E3071">
        <w:rPr>
          <w:rFonts w:cs="Arial"/>
        </w:rPr>
        <w:t xml:space="preserve"> </w:t>
      </w:r>
      <w:r w:rsidR="00802B39" w:rsidRPr="004E3071">
        <w:rPr>
          <w:rFonts w:cs="Arial"/>
        </w:rPr>
        <w:t xml:space="preserve">question to be asked is whether it was, given the strict legal </w:t>
      </w:r>
      <w:r w:rsidR="00E92100" w:rsidRPr="004E3071">
        <w:rPr>
          <w:rFonts w:cs="Arial"/>
        </w:rPr>
        <w:t>parameters</w:t>
      </w:r>
      <w:r w:rsidR="00802B39" w:rsidRPr="004E3071">
        <w:rPr>
          <w:rFonts w:cs="Arial"/>
        </w:rPr>
        <w:t xml:space="preserve"> operative in relation to on</w:t>
      </w:r>
      <w:r w:rsidR="00A77FDD" w:rsidRPr="004E3071">
        <w:rPr>
          <w:rFonts w:cs="Arial"/>
        </w:rPr>
        <w:t>-</w:t>
      </w:r>
      <w:r w:rsidR="00802B39" w:rsidRPr="004E3071">
        <w:rPr>
          <w:rFonts w:cs="Arial"/>
        </w:rPr>
        <w:t>demand guarantees</w:t>
      </w:r>
      <w:r w:rsidR="00A77FDD" w:rsidRPr="004E3071">
        <w:rPr>
          <w:rFonts w:cs="Arial"/>
        </w:rPr>
        <w:t>,</w:t>
      </w:r>
      <w:r w:rsidR="00802B39" w:rsidRPr="004E3071">
        <w:rPr>
          <w:rFonts w:cs="Arial"/>
        </w:rPr>
        <w:t xml:space="preserve"> ever viable to raise so flimsy an attempt at garnering </w:t>
      </w:r>
      <w:r w:rsidR="00042491" w:rsidRPr="004E3071">
        <w:rPr>
          <w:rFonts w:cs="Arial"/>
        </w:rPr>
        <w:t>a basis for</w:t>
      </w:r>
      <w:r w:rsidR="00802B39" w:rsidRPr="004E3071">
        <w:rPr>
          <w:rFonts w:cs="Arial"/>
        </w:rPr>
        <w:t xml:space="preserve"> intervention into a straightforward dispute on the guarantee.</w:t>
      </w:r>
    </w:p>
    <w:p w14:paraId="7433751F" w14:textId="77777777" w:rsidR="00E92100" w:rsidRDefault="00E92100" w:rsidP="00E92100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458C4F60" w14:textId="69DC1F39" w:rsidR="007979E4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t>[41]</w:t>
      </w:r>
      <w:r>
        <w:rPr>
          <w:rFonts w:ascii="Arial" w:eastAsia="Calibri" w:hAnsi="Arial" w:cs="Arial"/>
          <w:lang w:val="en-ZA"/>
        </w:rPr>
        <w:tab/>
      </w:r>
      <w:r w:rsidR="00EF6E4C" w:rsidRPr="004E3071">
        <w:rPr>
          <w:rFonts w:cs="Arial"/>
        </w:rPr>
        <w:t xml:space="preserve">I agree with Mr Bothma SC that </w:t>
      </w:r>
      <w:r w:rsidR="000009A9" w:rsidRPr="004E3071">
        <w:rPr>
          <w:rFonts w:cs="Arial"/>
        </w:rPr>
        <w:t>the application to join</w:t>
      </w:r>
      <w:r w:rsidR="00802B39" w:rsidRPr="004E3071">
        <w:rPr>
          <w:rFonts w:cs="Arial"/>
        </w:rPr>
        <w:t xml:space="preserve"> </w:t>
      </w:r>
      <w:r w:rsidR="00C77666" w:rsidRPr="004E3071">
        <w:rPr>
          <w:rFonts w:cs="Arial"/>
        </w:rPr>
        <w:t>is</w:t>
      </w:r>
      <w:r w:rsidR="00802B39" w:rsidRPr="004E3071">
        <w:rPr>
          <w:rFonts w:cs="Arial"/>
        </w:rPr>
        <w:t xml:space="preserve"> frivolous. </w:t>
      </w:r>
      <w:r w:rsidR="00C77666" w:rsidRPr="004E3071">
        <w:rPr>
          <w:rFonts w:cs="Arial"/>
        </w:rPr>
        <w:t>TDS,</w:t>
      </w:r>
      <w:r w:rsidR="00802B39" w:rsidRPr="004E3071">
        <w:rPr>
          <w:rFonts w:cs="Arial"/>
        </w:rPr>
        <w:t xml:space="preserve"> having been involved in similar questions which have taken the matter all the way to the SCA should, in my view</w:t>
      </w:r>
      <w:r w:rsidR="00042491" w:rsidRPr="004E3071">
        <w:rPr>
          <w:rFonts w:cs="Arial"/>
        </w:rPr>
        <w:t>,</w:t>
      </w:r>
      <w:r w:rsidR="00802B39" w:rsidRPr="004E3071">
        <w:rPr>
          <w:rFonts w:cs="Arial"/>
        </w:rPr>
        <w:t xml:space="preserve"> have been more circumspect.</w:t>
      </w:r>
      <w:r w:rsidR="00EF6E4C" w:rsidRPr="004E3071">
        <w:rPr>
          <w:rFonts w:cs="Arial"/>
        </w:rPr>
        <w:t xml:space="preserve"> </w:t>
      </w:r>
    </w:p>
    <w:p w14:paraId="4060EF51" w14:textId="77777777" w:rsidR="007979E4" w:rsidRDefault="007979E4" w:rsidP="007979E4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776DF495" w14:textId="3EE891E1" w:rsidR="007979E4" w:rsidRDefault="007979E4" w:rsidP="007979E4">
      <w:pPr>
        <w:pStyle w:val="ListParagraph"/>
        <w:spacing w:line="360" w:lineRule="auto"/>
        <w:jc w:val="both"/>
        <w:rPr>
          <w:rFonts w:cs="Arial"/>
          <w:i/>
          <w:iCs/>
        </w:rPr>
      </w:pPr>
      <w:r w:rsidRPr="007979E4">
        <w:rPr>
          <w:rFonts w:cs="Arial"/>
          <w:i/>
          <w:iCs/>
        </w:rPr>
        <w:t>Conclusion</w:t>
      </w:r>
    </w:p>
    <w:p w14:paraId="29129E45" w14:textId="77777777" w:rsidR="007979E4" w:rsidRPr="007979E4" w:rsidRDefault="007979E4" w:rsidP="007979E4">
      <w:pPr>
        <w:pStyle w:val="ListParagraph"/>
        <w:spacing w:line="360" w:lineRule="auto"/>
        <w:jc w:val="both"/>
        <w:rPr>
          <w:rFonts w:cs="Arial"/>
          <w:i/>
          <w:iCs/>
        </w:rPr>
      </w:pPr>
    </w:p>
    <w:p w14:paraId="346C5FC5" w14:textId="531248F1" w:rsidR="00752F01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>
        <w:rPr>
          <w:rFonts w:ascii="Arial" w:eastAsia="Calibri" w:hAnsi="Arial" w:cs="Arial"/>
          <w:lang w:val="en-ZA"/>
        </w:rPr>
        <w:lastRenderedPageBreak/>
        <w:t>[42]</w:t>
      </w:r>
      <w:r>
        <w:rPr>
          <w:rFonts w:ascii="Arial" w:eastAsia="Calibri" w:hAnsi="Arial" w:cs="Arial"/>
          <w:lang w:val="en-ZA"/>
        </w:rPr>
        <w:tab/>
      </w:r>
      <w:r w:rsidR="00A80DBC" w:rsidRPr="004E3071">
        <w:rPr>
          <w:rFonts w:cs="Arial"/>
        </w:rPr>
        <w:t xml:space="preserve">An interest which rests on the </w:t>
      </w:r>
      <w:r w:rsidR="00DF0ED5" w:rsidRPr="004E3071">
        <w:rPr>
          <w:rFonts w:cs="Arial"/>
        </w:rPr>
        <w:t xml:space="preserve">ability and </w:t>
      </w:r>
      <w:r w:rsidR="003E5312" w:rsidRPr="004E3071">
        <w:rPr>
          <w:rFonts w:cs="Arial"/>
        </w:rPr>
        <w:t>entitlement to</w:t>
      </w:r>
      <w:r w:rsidR="00DF0ED5" w:rsidRPr="004E3071">
        <w:rPr>
          <w:rFonts w:cs="Arial"/>
        </w:rPr>
        <w:t xml:space="preserve"> make out the fraud exception</w:t>
      </w:r>
      <w:r w:rsidR="00D203A2" w:rsidRPr="004E3071">
        <w:rPr>
          <w:rFonts w:cs="Arial"/>
        </w:rPr>
        <w:t xml:space="preserve"> is not </w:t>
      </w:r>
      <w:proofErr w:type="gramStart"/>
      <w:r w:rsidR="00D203A2" w:rsidRPr="004E3071">
        <w:rPr>
          <w:rFonts w:cs="Arial"/>
        </w:rPr>
        <w:t>established</w:t>
      </w:r>
      <w:proofErr w:type="gramEnd"/>
      <w:r w:rsidR="00B33502" w:rsidRPr="004E3071">
        <w:rPr>
          <w:rFonts w:cs="Arial"/>
        </w:rPr>
        <w:t xml:space="preserve"> and neither is any other direct and substanti</w:t>
      </w:r>
      <w:r w:rsidR="006F3CF1" w:rsidRPr="004E3071">
        <w:rPr>
          <w:rFonts w:cs="Arial"/>
        </w:rPr>
        <w:t>al</w:t>
      </w:r>
      <w:r w:rsidR="00B33502" w:rsidRPr="004E3071">
        <w:rPr>
          <w:rFonts w:cs="Arial"/>
        </w:rPr>
        <w:t xml:space="preserve"> interest established.</w:t>
      </w:r>
    </w:p>
    <w:p w14:paraId="1312FAC0" w14:textId="77777777" w:rsidR="00766044" w:rsidRDefault="00766044" w:rsidP="00766044">
      <w:pPr>
        <w:spacing w:line="360" w:lineRule="auto"/>
        <w:jc w:val="both"/>
        <w:rPr>
          <w:rFonts w:cs="Arial"/>
        </w:rPr>
      </w:pPr>
    </w:p>
    <w:p w14:paraId="0A665419" w14:textId="77777777" w:rsidR="00766044" w:rsidRDefault="00766044" w:rsidP="00766044">
      <w:pPr>
        <w:spacing w:line="360" w:lineRule="auto"/>
        <w:jc w:val="both"/>
        <w:rPr>
          <w:rFonts w:cs="Arial"/>
        </w:rPr>
      </w:pPr>
    </w:p>
    <w:p w14:paraId="43AE5A42" w14:textId="77777777" w:rsidR="00766044" w:rsidRPr="00766044" w:rsidRDefault="00766044" w:rsidP="00766044">
      <w:pPr>
        <w:spacing w:line="360" w:lineRule="auto"/>
        <w:jc w:val="both"/>
        <w:rPr>
          <w:rFonts w:cs="Arial"/>
        </w:rPr>
      </w:pPr>
    </w:p>
    <w:p w14:paraId="4D9E3AEE" w14:textId="383B2FB0" w:rsidR="00752F01" w:rsidRPr="00752F01" w:rsidRDefault="00752F01" w:rsidP="00752F01">
      <w:pPr>
        <w:spacing w:line="360" w:lineRule="auto"/>
        <w:ind w:left="360"/>
        <w:jc w:val="both"/>
        <w:rPr>
          <w:rFonts w:cs="Arial"/>
        </w:rPr>
      </w:pPr>
    </w:p>
    <w:p w14:paraId="213C24F9" w14:textId="4FE65EFD" w:rsidR="00752F01" w:rsidRPr="004E3071" w:rsidRDefault="004E3071" w:rsidP="004E3071">
      <w:pPr>
        <w:spacing w:line="360" w:lineRule="auto"/>
        <w:ind w:left="993" w:hanging="633"/>
        <w:jc w:val="both"/>
        <w:rPr>
          <w:rFonts w:cs="Arial"/>
        </w:rPr>
      </w:pPr>
      <w:r w:rsidRPr="00752F01">
        <w:rPr>
          <w:rFonts w:ascii="Arial" w:eastAsia="Calibri" w:hAnsi="Arial" w:cs="Arial"/>
          <w:lang w:val="en-ZA"/>
        </w:rPr>
        <w:t>[43]</w:t>
      </w:r>
      <w:r w:rsidRPr="00752F01">
        <w:rPr>
          <w:rFonts w:ascii="Arial" w:eastAsia="Calibri" w:hAnsi="Arial" w:cs="Arial"/>
          <w:lang w:val="en-ZA"/>
        </w:rPr>
        <w:tab/>
      </w:r>
      <w:r w:rsidR="007979E4" w:rsidRPr="004E3071">
        <w:rPr>
          <w:rFonts w:cs="Arial"/>
          <w:i/>
          <w:iCs/>
        </w:rPr>
        <w:t xml:space="preserve">Order </w:t>
      </w:r>
    </w:p>
    <w:p w14:paraId="7D4226E5" w14:textId="66533599" w:rsidR="006E189C" w:rsidRPr="00752F01" w:rsidRDefault="006E189C" w:rsidP="00752F01">
      <w:pPr>
        <w:spacing w:line="360" w:lineRule="auto"/>
        <w:ind w:left="720"/>
        <w:jc w:val="both"/>
        <w:rPr>
          <w:rFonts w:ascii="Arial" w:hAnsi="Arial" w:cs="Arial"/>
          <w:i/>
          <w:iCs/>
        </w:rPr>
      </w:pPr>
      <w:r w:rsidRPr="00752F01">
        <w:rPr>
          <w:rFonts w:cs="Arial"/>
        </w:rPr>
        <w:t xml:space="preserve">The application to intervene is dismissed with costs such costs to include the costs of two counsel </w:t>
      </w:r>
      <w:proofErr w:type="gramStart"/>
      <w:r w:rsidRPr="00752F01">
        <w:rPr>
          <w:rFonts w:cs="Arial"/>
        </w:rPr>
        <w:t>where</w:t>
      </w:r>
      <w:proofErr w:type="gramEnd"/>
      <w:r w:rsidRPr="00752F01">
        <w:rPr>
          <w:rFonts w:cs="Arial"/>
        </w:rPr>
        <w:t xml:space="preserve"> employed</w:t>
      </w:r>
      <w:r w:rsidR="00752F01" w:rsidRPr="00752F01">
        <w:rPr>
          <w:rFonts w:cs="Arial"/>
        </w:rPr>
        <w:t xml:space="preserve"> and</w:t>
      </w:r>
      <w:r w:rsidR="006523D4" w:rsidRPr="00752F01">
        <w:rPr>
          <w:rFonts w:cs="Arial"/>
        </w:rPr>
        <w:t xml:space="preserve"> such costs to be on the scale as between attorney and client.</w:t>
      </w:r>
    </w:p>
    <w:p w14:paraId="1CC31FB1" w14:textId="77777777" w:rsidR="000F0FB1" w:rsidRDefault="000F0FB1" w:rsidP="000F0FB1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0FBA272D" w14:textId="6C137577" w:rsidR="000F0FB1" w:rsidRDefault="000F0FB1" w:rsidP="000F0FB1">
      <w:pPr>
        <w:pStyle w:val="ListParagraph"/>
        <w:spacing w:line="360" w:lineRule="auto"/>
        <w:ind w:left="993"/>
        <w:jc w:val="both"/>
        <w:rPr>
          <w:rFonts w:cs="Arial"/>
        </w:rPr>
      </w:pPr>
    </w:p>
    <w:p w14:paraId="181A7342" w14:textId="4F76D6E1" w:rsidR="000F0FB1" w:rsidRPr="00141392" w:rsidRDefault="000F0FB1" w:rsidP="000F0FB1">
      <w:pPr>
        <w:spacing w:after="0" w:line="360" w:lineRule="auto"/>
        <w:ind w:left="567" w:hanging="567"/>
        <w:jc w:val="right"/>
        <w:rPr>
          <w:rFonts w:ascii="Arial" w:eastAsia="Calibri" w:hAnsi="Arial" w:cs="Arial"/>
          <w:kern w:val="0"/>
          <w:szCs w:val="22"/>
          <w14:ligatures w14:val="none"/>
        </w:rPr>
      </w:pPr>
      <w:r w:rsidRPr="00141392">
        <w:rPr>
          <w:rFonts w:ascii="Arial" w:eastAsia="Calibri" w:hAnsi="Arial" w:cs="Arial"/>
          <w:kern w:val="0"/>
          <w:szCs w:val="22"/>
          <w14:ligatures w14:val="none"/>
        </w:rPr>
        <w:t>________________</w:t>
      </w:r>
    </w:p>
    <w:p w14:paraId="49C462DF" w14:textId="388F49EA" w:rsidR="000F0FB1" w:rsidRPr="00141392" w:rsidRDefault="000F0FB1" w:rsidP="000F0FB1">
      <w:pPr>
        <w:spacing w:after="0" w:line="360" w:lineRule="auto"/>
        <w:ind w:left="567" w:hanging="567"/>
        <w:jc w:val="right"/>
        <w:rPr>
          <w:rFonts w:ascii="Arial" w:eastAsia="Calibri" w:hAnsi="Arial" w:cs="Arial"/>
          <w:b/>
          <w:kern w:val="0"/>
          <w:szCs w:val="22"/>
          <w14:ligatures w14:val="none"/>
        </w:rPr>
      </w:pP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 xml:space="preserve"> FISHER J </w:t>
      </w:r>
    </w:p>
    <w:p w14:paraId="0E11F230" w14:textId="77777777" w:rsidR="000F0FB1" w:rsidRPr="00141392" w:rsidRDefault="000F0FB1" w:rsidP="000F0FB1">
      <w:pPr>
        <w:spacing w:after="0" w:line="360" w:lineRule="auto"/>
        <w:ind w:left="567" w:hanging="567"/>
        <w:jc w:val="right"/>
        <w:rPr>
          <w:rFonts w:ascii="Arial" w:hAnsi="Arial" w:cs="Arial"/>
          <w:b/>
          <w:kern w:val="0"/>
          <w:szCs w:val="22"/>
        </w:rPr>
      </w:pPr>
      <w:r w:rsidRPr="00141392">
        <w:rPr>
          <w:rFonts w:ascii="Arial" w:hAnsi="Arial" w:cs="Arial"/>
          <w:b/>
          <w:kern w:val="0"/>
          <w:szCs w:val="22"/>
        </w:rPr>
        <w:t>JUDGE OF THE HIGH COURT</w:t>
      </w:r>
    </w:p>
    <w:p w14:paraId="6184C180" w14:textId="77777777" w:rsidR="000F0FB1" w:rsidRPr="00141392" w:rsidRDefault="000F0FB1" w:rsidP="000F0FB1">
      <w:pPr>
        <w:spacing w:after="0" w:line="360" w:lineRule="auto"/>
        <w:ind w:left="567" w:hanging="567"/>
        <w:jc w:val="right"/>
        <w:rPr>
          <w:rFonts w:ascii="Arial" w:eastAsia="Calibri" w:hAnsi="Arial" w:cs="Arial"/>
          <w:b/>
          <w:kern w:val="0"/>
          <w:szCs w:val="22"/>
          <w14:ligatures w14:val="none"/>
        </w:rPr>
      </w:pPr>
      <w:r w:rsidRPr="00141392">
        <w:rPr>
          <w:rFonts w:ascii="Arial" w:hAnsi="Arial"/>
          <w:b/>
          <w:kern w:val="0"/>
          <w:szCs w:val="22"/>
        </w:rPr>
        <w:t>JOHANNESBURG</w:t>
      </w:r>
    </w:p>
    <w:p w14:paraId="3D002FD4" w14:textId="77777777" w:rsidR="000F0FB1" w:rsidRPr="00141392" w:rsidRDefault="000F0FB1" w:rsidP="000F0FB1">
      <w:pPr>
        <w:spacing w:after="0" w:line="360" w:lineRule="auto"/>
        <w:ind w:left="567" w:hanging="567"/>
        <w:rPr>
          <w:rFonts w:ascii="Arial" w:eastAsia="Calibri" w:hAnsi="Arial" w:cs="Arial"/>
          <w:b/>
          <w:kern w:val="0"/>
          <w:szCs w:val="22"/>
          <w14:ligatures w14:val="none"/>
        </w:rPr>
      </w:pPr>
    </w:p>
    <w:p w14:paraId="4B37BA2C" w14:textId="77777777" w:rsidR="000F0FB1" w:rsidRPr="00141392" w:rsidRDefault="000F0FB1" w:rsidP="000F0FB1">
      <w:pPr>
        <w:spacing w:after="0" w:line="360" w:lineRule="auto"/>
        <w:rPr>
          <w:rFonts w:ascii="Arial" w:eastAsia="Calibri" w:hAnsi="Arial" w:cs="Arial"/>
          <w:b/>
          <w:kern w:val="0"/>
          <w:szCs w:val="22"/>
          <w14:ligatures w14:val="none"/>
        </w:rPr>
      </w:pPr>
    </w:p>
    <w:p w14:paraId="33EE01E0" w14:textId="60F1140E" w:rsidR="000F0FB1" w:rsidRDefault="000F0FB1" w:rsidP="000F0FB1">
      <w:pPr>
        <w:spacing w:after="240" w:line="360" w:lineRule="auto"/>
        <w:jc w:val="both"/>
        <w:rPr>
          <w:rFonts w:ascii="Arial" w:eastAsia="Calibri" w:hAnsi="Arial" w:cs="Arial"/>
          <w:b/>
          <w:bCs/>
          <w:kern w:val="0"/>
          <w:szCs w:val="22"/>
          <w14:ligatures w14:val="none"/>
        </w:rPr>
      </w:pPr>
      <w:r w:rsidRPr="00141392">
        <w:rPr>
          <w:rFonts w:ascii="Arial" w:eastAsia="Calibri" w:hAnsi="Arial" w:cs="Arial"/>
          <w:b/>
          <w:bCs/>
          <w:kern w:val="0"/>
          <w:szCs w:val="22"/>
          <w14:ligatures w14:val="none"/>
        </w:rPr>
        <w:t>This Judgment was handed down electronically by circulation to the parties/their legal representatives by email and by uploading to the electronic file on Case Lines. The date for hand-down is deemed to be</w:t>
      </w:r>
      <w:r>
        <w:rPr>
          <w:rFonts w:ascii="Arial" w:eastAsia="Calibri" w:hAnsi="Arial" w:cs="Arial"/>
          <w:b/>
          <w:bCs/>
          <w:kern w:val="0"/>
          <w:szCs w:val="22"/>
          <w14:ligatures w14:val="none"/>
        </w:rPr>
        <w:t xml:space="preserve"> 0</w:t>
      </w:r>
      <w:r w:rsidR="009B3BB1">
        <w:rPr>
          <w:rFonts w:ascii="Arial" w:eastAsia="Calibri" w:hAnsi="Arial" w:cs="Arial"/>
          <w:b/>
          <w:bCs/>
          <w:kern w:val="0"/>
          <w:szCs w:val="22"/>
          <w14:ligatures w14:val="none"/>
        </w:rPr>
        <w:t>6</w:t>
      </w:r>
      <w:r>
        <w:rPr>
          <w:rFonts w:ascii="Arial" w:eastAsia="Calibri" w:hAnsi="Arial" w:cs="Arial"/>
          <w:b/>
          <w:bCs/>
          <w:kern w:val="0"/>
          <w:szCs w:val="22"/>
          <w14:ligatures w14:val="none"/>
        </w:rPr>
        <w:t xml:space="preserve"> June </w:t>
      </w:r>
      <w:r w:rsidRPr="00141392">
        <w:rPr>
          <w:rFonts w:ascii="Arial" w:eastAsia="Calibri" w:hAnsi="Arial" w:cs="Arial"/>
          <w:b/>
          <w:bCs/>
          <w:kern w:val="0"/>
          <w:szCs w:val="22"/>
          <w14:ligatures w14:val="none"/>
        </w:rPr>
        <w:t>2024.</w:t>
      </w:r>
    </w:p>
    <w:p w14:paraId="4CCACAB0" w14:textId="77777777" w:rsidR="000F0FB1" w:rsidRPr="00141392" w:rsidRDefault="000F0FB1" w:rsidP="000F0FB1">
      <w:pPr>
        <w:spacing w:after="240" w:line="360" w:lineRule="auto"/>
        <w:jc w:val="both"/>
        <w:rPr>
          <w:rFonts w:ascii="Arial" w:eastAsia="Calibri" w:hAnsi="Arial" w:cs="Arial"/>
          <w:b/>
          <w:bCs/>
          <w:kern w:val="0"/>
          <w:szCs w:val="22"/>
          <w14:ligatures w14:val="none"/>
        </w:rPr>
      </w:pPr>
    </w:p>
    <w:p w14:paraId="1ACE9363" w14:textId="0744B866" w:rsidR="000F0FB1" w:rsidRPr="00141392" w:rsidRDefault="000F0FB1" w:rsidP="000F0FB1">
      <w:pPr>
        <w:tabs>
          <w:tab w:val="left" w:pos="3969"/>
          <w:tab w:val="left" w:pos="4536"/>
        </w:tabs>
        <w:spacing w:after="240" w:line="360" w:lineRule="auto"/>
        <w:ind w:left="720" w:hanging="720"/>
        <w:jc w:val="both"/>
        <w:rPr>
          <w:rFonts w:ascii="Arial" w:eastAsia="Calibri" w:hAnsi="Arial" w:cs="Arial"/>
          <w:bCs/>
          <w:kern w:val="0"/>
          <w:szCs w:val="22"/>
          <w14:ligatures w14:val="none"/>
        </w:rPr>
      </w:pP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>Heard:</w:t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="009B3BB1">
        <w:rPr>
          <w:rFonts w:ascii="Arial" w:eastAsia="Calibri" w:hAnsi="Arial" w:cs="Arial"/>
          <w:kern w:val="0"/>
          <w:szCs w:val="22"/>
          <w14:ligatures w14:val="none"/>
        </w:rPr>
        <w:t>29 April 2024</w:t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</w:p>
    <w:p w14:paraId="01F90174" w14:textId="75A558BD" w:rsidR="000F0FB1" w:rsidRPr="00141392" w:rsidRDefault="000F0FB1" w:rsidP="000F0FB1">
      <w:pPr>
        <w:tabs>
          <w:tab w:val="left" w:pos="4111"/>
          <w:tab w:val="left" w:pos="4395"/>
          <w:tab w:val="left" w:pos="4536"/>
        </w:tabs>
        <w:spacing w:after="240" w:line="360" w:lineRule="auto"/>
        <w:ind w:left="567" w:hanging="567"/>
        <w:rPr>
          <w:rFonts w:ascii="Arial" w:eastAsia="Calibri" w:hAnsi="Arial" w:cs="Arial"/>
          <w:b/>
          <w:kern w:val="0"/>
          <w:szCs w:val="22"/>
          <w14:ligatures w14:val="none"/>
        </w:rPr>
      </w:pP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>Delivered:</w:t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="009B3BB1">
        <w:rPr>
          <w:rFonts w:ascii="Arial" w:eastAsia="Calibri" w:hAnsi="Arial" w:cs="Arial"/>
          <w:bCs/>
          <w:kern w:val="0"/>
          <w:szCs w:val="22"/>
          <w14:ligatures w14:val="none"/>
        </w:rPr>
        <w:t>0</w:t>
      </w:r>
      <w:r w:rsidR="006E7925">
        <w:rPr>
          <w:rFonts w:ascii="Arial" w:eastAsia="Calibri" w:hAnsi="Arial" w:cs="Arial"/>
          <w:bCs/>
          <w:kern w:val="0"/>
          <w:szCs w:val="22"/>
          <w14:ligatures w14:val="none"/>
        </w:rPr>
        <w:t>6</w:t>
      </w:r>
      <w:r w:rsidR="009B3BB1">
        <w:rPr>
          <w:rFonts w:ascii="Arial" w:eastAsia="Calibri" w:hAnsi="Arial" w:cs="Arial"/>
          <w:bCs/>
          <w:kern w:val="0"/>
          <w:szCs w:val="22"/>
          <w14:ligatures w14:val="none"/>
        </w:rPr>
        <w:t xml:space="preserve"> June</w:t>
      </w:r>
      <w:r w:rsidRPr="00141392">
        <w:rPr>
          <w:rFonts w:ascii="Arial" w:eastAsia="Calibri" w:hAnsi="Arial" w:cs="Arial"/>
          <w:kern w:val="0"/>
          <w:szCs w:val="22"/>
          <w14:ligatures w14:val="none"/>
        </w:rPr>
        <w:t xml:space="preserve"> 2024</w:t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  <w:r w:rsidRPr="00141392">
        <w:rPr>
          <w:rFonts w:ascii="Arial" w:eastAsia="Calibri" w:hAnsi="Arial" w:cs="Arial"/>
          <w:b/>
          <w:kern w:val="0"/>
          <w:szCs w:val="22"/>
          <w14:ligatures w14:val="none"/>
        </w:rPr>
        <w:tab/>
      </w:r>
    </w:p>
    <w:p w14:paraId="48B9735E" w14:textId="77777777" w:rsidR="000F0FB1" w:rsidRPr="000C062A" w:rsidRDefault="000F0FB1" w:rsidP="000F0FB1">
      <w:pPr>
        <w:spacing w:after="240" w:line="360" w:lineRule="auto"/>
        <w:ind w:left="567" w:hanging="567"/>
        <w:rPr>
          <w:rFonts w:ascii="Arial" w:eastAsia="Calibri" w:hAnsi="Arial" w:cs="Arial"/>
          <w:b/>
          <w:kern w:val="0"/>
          <w:szCs w:val="22"/>
          <w:u w:val="single"/>
          <w14:ligatures w14:val="none"/>
        </w:rPr>
      </w:pPr>
      <w:r w:rsidRPr="000C062A">
        <w:rPr>
          <w:rFonts w:ascii="Arial" w:eastAsia="Calibri" w:hAnsi="Arial" w:cs="Arial"/>
          <w:b/>
          <w:kern w:val="0"/>
          <w:szCs w:val="22"/>
          <w:u w:val="single"/>
          <w14:ligatures w14:val="none"/>
        </w:rPr>
        <w:t>APPEARANCES:</w:t>
      </w:r>
    </w:p>
    <w:p w14:paraId="0D8BA7C8" w14:textId="5C342F14" w:rsidR="000F0FB1" w:rsidRPr="00EA5819" w:rsidRDefault="000F0FB1" w:rsidP="000F0FB1">
      <w:pPr>
        <w:spacing w:after="0" w:line="360" w:lineRule="auto"/>
        <w:rPr>
          <w:rFonts w:ascii="Arial" w:hAnsi="Arial" w:cs="Arial"/>
          <w:bCs/>
        </w:rPr>
      </w:pPr>
      <w:r w:rsidRPr="00EA5819">
        <w:rPr>
          <w:rFonts w:ascii="Arial" w:hAnsi="Arial" w:cs="Arial"/>
          <w:bCs/>
        </w:rPr>
        <w:t xml:space="preserve">Applicant’s counsel: </w:t>
      </w:r>
      <w:r w:rsidRPr="00EA5819">
        <w:rPr>
          <w:rFonts w:ascii="Arial" w:hAnsi="Arial" w:cs="Arial"/>
          <w:bCs/>
        </w:rPr>
        <w:tab/>
      </w:r>
      <w:r w:rsidRPr="00EA5819">
        <w:rPr>
          <w:rFonts w:ascii="Arial" w:hAnsi="Arial" w:cs="Arial"/>
          <w:bCs/>
        </w:rPr>
        <w:tab/>
      </w:r>
      <w:r w:rsidRPr="00EA5819">
        <w:rPr>
          <w:rFonts w:ascii="Arial" w:hAnsi="Arial" w:cs="Arial"/>
          <w:bCs/>
        </w:rPr>
        <w:tab/>
      </w:r>
      <w:r w:rsidRPr="00EA5819">
        <w:rPr>
          <w:rFonts w:ascii="Arial" w:hAnsi="Arial" w:cs="Arial"/>
          <w:bCs/>
        </w:rPr>
        <w:tab/>
        <w:t xml:space="preserve"> </w:t>
      </w:r>
      <w:r w:rsidRPr="000C2541">
        <w:rPr>
          <w:rFonts w:ascii="Arial" w:hAnsi="Arial" w:cs="Arial"/>
          <w:b/>
        </w:rPr>
        <w:t xml:space="preserve">Adv. </w:t>
      </w:r>
      <w:r w:rsidR="00E14015" w:rsidRPr="000C2541">
        <w:rPr>
          <w:rFonts w:ascii="Arial" w:hAnsi="Arial" w:cs="Arial"/>
          <w:b/>
        </w:rPr>
        <w:t>H.C. Bothma SC</w:t>
      </w:r>
      <w:r w:rsidRPr="000C2541">
        <w:rPr>
          <w:rFonts w:ascii="Arial" w:hAnsi="Arial" w:cs="Arial"/>
          <w:b/>
        </w:rPr>
        <w:t>.</w:t>
      </w:r>
    </w:p>
    <w:p w14:paraId="41B06AD7" w14:textId="7F482C1C" w:rsidR="000F0FB1" w:rsidRPr="00EA5819" w:rsidRDefault="000F0FB1" w:rsidP="000F0FB1">
      <w:pPr>
        <w:spacing w:after="0" w:line="360" w:lineRule="auto"/>
        <w:rPr>
          <w:rFonts w:ascii="Arial" w:hAnsi="Arial" w:cs="Arial"/>
          <w:bCs/>
        </w:rPr>
      </w:pPr>
      <w:r w:rsidRPr="00EA5819">
        <w:rPr>
          <w:rFonts w:ascii="Arial" w:hAnsi="Arial" w:cs="Arial"/>
          <w:bCs/>
        </w:rPr>
        <w:t xml:space="preserve">Applicant’s Attorneys: </w:t>
      </w:r>
      <w:r w:rsidRPr="00EA5819">
        <w:rPr>
          <w:rFonts w:ascii="Arial" w:hAnsi="Arial" w:cs="Arial"/>
          <w:bCs/>
        </w:rPr>
        <w:tab/>
      </w:r>
      <w:r w:rsidRPr="00EA5819">
        <w:rPr>
          <w:rFonts w:ascii="Arial" w:hAnsi="Arial" w:cs="Arial"/>
          <w:bCs/>
        </w:rPr>
        <w:tab/>
      </w:r>
      <w:r w:rsidRPr="00EA5819">
        <w:rPr>
          <w:rFonts w:ascii="Arial" w:hAnsi="Arial" w:cs="Arial"/>
          <w:bCs/>
        </w:rPr>
        <w:tab/>
        <w:t xml:space="preserve">    </w:t>
      </w:r>
      <w:r w:rsidRPr="00EA5819">
        <w:rPr>
          <w:rFonts w:ascii="Arial" w:hAnsi="Arial" w:cs="Arial"/>
          <w:bCs/>
        </w:rPr>
        <w:tab/>
      </w:r>
      <w:r w:rsidR="000C2541">
        <w:rPr>
          <w:rFonts w:ascii="Arial" w:hAnsi="Arial"/>
          <w:b/>
          <w:sz w:val="22"/>
        </w:rPr>
        <w:t>DLA</w:t>
      </w:r>
      <w:r w:rsidR="000C2541">
        <w:rPr>
          <w:rFonts w:ascii="Arial" w:hAnsi="Arial"/>
          <w:b/>
          <w:spacing w:val="-6"/>
          <w:sz w:val="22"/>
        </w:rPr>
        <w:t xml:space="preserve"> </w:t>
      </w:r>
      <w:r w:rsidR="000C2541">
        <w:rPr>
          <w:rFonts w:ascii="Arial" w:hAnsi="Arial"/>
          <w:b/>
          <w:sz w:val="22"/>
        </w:rPr>
        <w:t>PIPER</w:t>
      </w:r>
      <w:r w:rsidR="000C2541">
        <w:rPr>
          <w:rFonts w:ascii="Arial" w:hAnsi="Arial"/>
          <w:b/>
          <w:spacing w:val="-4"/>
          <w:sz w:val="22"/>
        </w:rPr>
        <w:t xml:space="preserve"> </w:t>
      </w:r>
      <w:r w:rsidR="000C2541">
        <w:rPr>
          <w:rFonts w:ascii="Arial" w:hAnsi="Arial"/>
          <w:b/>
          <w:sz w:val="22"/>
        </w:rPr>
        <w:t>SOUTH</w:t>
      </w:r>
      <w:r w:rsidR="000C2541">
        <w:rPr>
          <w:rFonts w:ascii="Arial" w:hAnsi="Arial"/>
          <w:b/>
          <w:spacing w:val="-6"/>
          <w:sz w:val="22"/>
        </w:rPr>
        <w:t xml:space="preserve"> </w:t>
      </w:r>
      <w:r w:rsidR="000C2541">
        <w:rPr>
          <w:rFonts w:ascii="Arial" w:hAnsi="Arial"/>
          <w:b/>
          <w:sz w:val="22"/>
        </w:rPr>
        <w:t>AFRICA</w:t>
      </w:r>
      <w:r w:rsidR="000C2541">
        <w:rPr>
          <w:rFonts w:ascii="Arial" w:hAnsi="Arial"/>
          <w:b/>
          <w:spacing w:val="-5"/>
          <w:sz w:val="22"/>
        </w:rPr>
        <w:t xml:space="preserve"> </w:t>
      </w:r>
      <w:r w:rsidR="000C2541">
        <w:rPr>
          <w:rFonts w:ascii="Arial" w:hAnsi="Arial"/>
          <w:b/>
          <w:sz w:val="22"/>
        </w:rPr>
        <w:t>(RF)</w:t>
      </w:r>
      <w:r w:rsidR="000C2541">
        <w:rPr>
          <w:rFonts w:ascii="Arial" w:hAnsi="Arial"/>
          <w:b/>
          <w:spacing w:val="-4"/>
          <w:sz w:val="22"/>
        </w:rPr>
        <w:t xml:space="preserve"> </w:t>
      </w:r>
      <w:r w:rsidR="000C2541">
        <w:rPr>
          <w:rFonts w:ascii="Arial" w:hAnsi="Arial"/>
          <w:b/>
          <w:spacing w:val="-5"/>
          <w:sz w:val="22"/>
        </w:rPr>
        <w:t>INC</w:t>
      </w:r>
    </w:p>
    <w:p w14:paraId="27FF8303" w14:textId="66486744" w:rsidR="000F0FB1" w:rsidRDefault="000F0FB1" w:rsidP="000F0FB1">
      <w:pPr>
        <w:spacing w:after="0" w:line="360" w:lineRule="auto"/>
        <w:rPr>
          <w:rFonts w:ascii="Arial" w:hAnsi="Arial" w:cs="Arial"/>
        </w:rPr>
      </w:pPr>
      <w:r w:rsidRPr="00EA5819">
        <w:rPr>
          <w:rFonts w:ascii="Arial" w:hAnsi="Arial" w:cs="Arial"/>
          <w:bCs/>
        </w:rPr>
        <w:t>Respondent's Counsel:</w:t>
      </w:r>
      <w:r w:rsidRPr="00EA5819">
        <w:rPr>
          <w:rFonts w:ascii="Arial" w:hAnsi="Arial" w:cs="Arial"/>
          <w:bCs/>
        </w:rPr>
        <w:tab/>
      </w:r>
      <w:r w:rsidRPr="00141392">
        <w:rPr>
          <w:rFonts w:ascii="Arial" w:hAnsi="Arial" w:cs="Arial"/>
        </w:rPr>
        <w:tab/>
      </w:r>
      <w:r w:rsidRPr="00141392">
        <w:rPr>
          <w:rFonts w:ascii="Arial" w:hAnsi="Arial" w:cs="Arial"/>
        </w:rPr>
        <w:tab/>
        <w:t xml:space="preserve">    </w:t>
      </w:r>
      <w:r w:rsidRPr="00141392">
        <w:rPr>
          <w:rFonts w:ascii="Arial" w:hAnsi="Arial" w:cs="Arial"/>
        </w:rPr>
        <w:tab/>
      </w:r>
      <w:r w:rsidRPr="00D32C51">
        <w:rPr>
          <w:rFonts w:ascii="Arial" w:hAnsi="Arial" w:cs="Arial"/>
          <w:b/>
          <w:bCs/>
        </w:rPr>
        <w:t xml:space="preserve">Adv. </w:t>
      </w:r>
      <w:r w:rsidR="0017168C" w:rsidRPr="00D32C51">
        <w:rPr>
          <w:rFonts w:ascii="Arial" w:hAnsi="Arial" w:cs="Arial"/>
          <w:b/>
          <w:bCs/>
        </w:rPr>
        <w:t>G.W. Amm SC</w:t>
      </w:r>
    </w:p>
    <w:p w14:paraId="7F18CB07" w14:textId="0CD21EEF" w:rsidR="0017168C" w:rsidRPr="00D32C51" w:rsidRDefault="0017168C" w:rsidP="000F0FB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C51" w:rsidRPr="00D32C51">
        <w:rPr>
          <w:rFonts w:ascii="Arial" w:hAnsi="Arial" w:cs="Arial"/>
          <w:b/>
          <w:bCs/>
        </w:rPr>
        <w:t>Adv. L. Peter</w:t>
      </w:r>
    </w:p>
    <w:p w14:paraId="1051D9D1" w14:textId="19A44330" w:rsidR="000F0FB1" w:rsidRPr="001944D3" w:rsidRDefault="000F0FB1" w:rsidP="000F0FB1">
      <w:pPr>
        <w:spacing w:after="24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 Attorneys: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62A">
        <w:rPr>
          <w:rFonts w:ascii="Arial"/>
          <w:b/>
          <w:sz w:val="22"/>
        </w:rPr>
        <w:t>LOWNDES</w:t>
      </w:r>
      <w:r w:rsidR="000C062A">
        <w:rPr>
          <w:rFonts w:ascii="Arial"/>
          <w:b/>
          <w:spacing w:val="-9"/>
          <w:sz w:val="22"/>
        </w:rPr>
        <w:t xml:space="preserve"> </w:t>
      </w:r>
      <w:r w:rsidR="000C062A">
        <w:rPr>
          <w:rFonts w:ascii="Arial"/>
          <w:b/>
          <w:sz w:val="22"/>
        </w:rPr>
        <w:t>DLAMINI</w:t>
      </w:r>
      <w:r w:rsidR="000C062A">
        <w:rPr>
          <w:rFonts w:ascii="Arial"/>
          <w:b/>
          <w:spacing w:val="-7"/>
          <w:sz w:val="22"/>
        </w:rPr>
        <w:t xml:space="preserve"> </w:t>
      </w:r>
      <w:r w:rsidR="000C062A">
        <w:rPr>
          <w:rFonts w:ascii="Arial"/>
          <w:b/>
          <w:spacing w:val="-2"/>
          <w:sz w:val="22"/>
        </w:rPr>
        <w:t>ATTORNEYS</w:t>
      </w:r>
    </w:p>
    <w:p w14:paraId="33247147" w14:textId="77777777" w:rsidR="000F0FB1" w:rsidRPr="007979E4" w:rsidRDefault="000F0FB1" w:rsidP="000F0FB1">
      <w:pPr>
        <w:pStyle w:val="ListParagraph"/>
        <w:spacing w:line="360" w:lineRule="auto"/>
        <w:ind w:left="993"/>
        <w:jc w:val="both"/>
        <w:rPr>
          <w:rFonts w:cs="Arial"/>
        </w:rPr>
      </w:pPr>
    </w:p>
    <w:sectPr w:rsidR="000F0FB1" w:rsidRPr="0079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AE67F" w14:textId="77777777" w:rsidR="00113013" w:rsidRDefault="00113013" w:rsidP="008762EA">
      <w:pPr>
        <w:spacing w:after="0" w:line="240" w:lineRule="auto"/>
      </w:pPr>
      <w:r>
        <w:separator/>
      </w:r>
    </w:p>
  </w:endnote>
  <w:endnote w:type="continuationSeparator" w:id="0">
    <w:p w14:paraId="477B0B64" w14:textId="77777777" w:rsidR="00113013" w:rsidRDefault="00113013" w:rsidP="008762EA">
      <w:pPr>
        <w:spacing w:after="0" w:line="240" w:lineRule="auto"/>
      </w:pPr>
      <w:r>
        <w:continuationSeparator/>
      </w:r>
    </w:p>
  </w:endnote>
  <w:endnote w:type="continuationNotice" w:id="1">
    <w:p w14:paraId="40C8AEA4" w14:textId="77777777" w:rsidR="00113013" w:rsidRDefault="00113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D75DE" w14:textId="77777777" w:rsidR="00113013" w:rsidRDefault="00113013" w:rsidP="008762EA">
      <w:pPr>
        <w:spacing w:after="0" w:line="240" w:lineRule="auto"/>
      </w:pPr>
      <w:r>
        <w:separator/>
      </w:r>
    </w:p>
  </w:footnote>
  <w:footnote w:type="continuationSeparator" w:id="0">
    <w:p w14:paraId="2DA3D5F6" w14:textId="77777777" w:rsidR="00113013" w:rsidRDefault="00113013" w:rsidP="008762EA">
      <w:pPr>
        <w:spacing w:after="0" w:line="240" w:lineRule="auto"/>
      </w:pPr>
      <w:r>
        <w:continuationSeparator/>
      </w:r>
    </w:p>
  </w:footnote>
  <w:footnote w:type="continuationNotice" w:id="1">
    <w:p w14:paraId="1137662E" w14:textId="77777777" w:rsidR="00113013" w:rsidRDefault="00113013">
      <w:pPr>
        <w:spacing w:after="0" w:line="240" w:lineRule="auto"/>
      </w:pPr>
    </w:p>
  </w:footnote>
  <w:footnote w:id="2">
    <w:p w14:paraId="6B90F87A" w14:textId="270DACAA" w:rsidR="008762EA" w:rsidRPr="008762EA" w:rsidRDefault="008762E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1D2D8C">
        <w:rPr>
          <w:rFonts w:ascii="Arial" w:hAnsi="Arial" w:cs="Arial"/>
          <w:i/>
          <w:iCs/>
        </w:rPr>
        <w:t>Gordon v Department of Health, Kwazulu-</w:t>
      </w:r>
      <w:r w:rsidRPr="001D2D8C">
        <w:rPr>
          <w:rFonts w:ascii="Arial" w:hAnsi="Arial" w:cs="Arial"/>
        </w:rPr>
        <w:t>Nat</w:t>
      </w:r>
      <w:r w:rsidR="001D2D8C" w:rsidRPr="001D2D8C">
        <w:rPr>
          <w:rFonts w:ascii="Arial" w:hAnsi="Arial" w:cs="Arial"/>
        </w:rPr>
        <w:t xml:space="preserve">al </w:t>
      </w:r>
      <w:r w:rsidRPr="001D2D8C">
        <w:rPr>
          <w:rFonts w:ascii="Arial" w:hAnsi="Arial" w:cs="Arial"/>
        </w:rPr>
        <w:t>(2009 (6) SA 522 (SCA), at para 9.</w:t>
      </w:r>
    </w:p>
  </w:footnote>
  <w:footnote w:id="3">
    <w:p w14:paraId="188F498D" w14:textId="47CCF495" w:rsidR="004C72EB" w:rsidRDefault="004C72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60284" w:rsidRPr="00460284">
        <w:rPr>
          <w:rFonts w:ascii="Arial" w:hAnsi="Arial" w:cs="Arial"/>
          <w:i/>
          <w:iCs/>
        </w:rPr>
        <w:t>Lebea</w:t>
      </w:r>
      <w:proofErr w:type="spellEnd"/>
      <w:r w:rsidR="00460284" w:rsidRPr="00460284">
        <w:rPr>
          <w:rFonts w:ascii="Arial" w:hAnsi="Arial" w:cs="Arial"/>
          <w:i/>
          <w:iCs/>
        </w:rPr>
        <w:t xml:space="preserve"> v Menye and Another</w:t>
      </w:r>
      <w:r w:rsidR="00460284" w:rsidRPr="00460284">
        <w:rPr>
          <w:rFonts w:ascii="Arial" w:hAnsi="Arial" w:cs="Arial"/>
        </w:rPr>
        <w:t xml:space="preserve"> [2022] ZACC 40</w:t>
      </w:r>
      <w:r w:rsidR="006B7409">
        <w:rPr>
          <w:rFonts w:ascii="Arial" w:hAnsi="Arial" w:cs="Arial"/>
        </w:rPr>
        <w:t>, at para 30.</w:t>
      </w:r>
    </w:p>
  </w:footnote>
  <w:footnote w:id="4">
    <w:p w14:paraId="73D5B5B2" w14:textId="77777777" w:rsidR="00933263" w:rsidRPr="00933263" w:rsidRDefault="00933263" w:rsidP="00933263">
      <w:pPr>
        <w:spacing w:line="240" w:lineRule="auto"/>
        <w:ind w:hanging="227"/>
        <w:rPr>
          <w:rFonts w:ascii="Verdana" w:eastAsia="Times New Roman" w:hAnsi="Verdana" w:cs="Times New Roman"/>
          <w:color w:val="000000"/>
          <w:kern w:val="0"/>
          <w:sz w:val="16"/>
          <w:szCs w:val="16"/>
          <w:lang w:val="en-ZA" w:eastAsia="en-ZA"/>
          <w14:ligatures w14:val="non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F35D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ZA" w:eastAsia="en-ZA"/>
          <w14:ligatures w14:val="none"/>
        </w:rPr>
        <w:t>Loomcraft</w:t>
      </w:r>
      <w:proofErr w:type="spellEnd"/>
      <w:r w:rsidRPr="00EF35D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ZA" w:eastAsia="en-ZA"/>
          <w14:ligatures w14:val="none"/>
        </w:rPr>
        <w:t xml:space="preserve"> Fabrics CC v Nedbank Ltd and Another </w:t>
      </w:r>
      <w:r w:rsidRPr="00EF35D2">
        <w:rPr>
          <w:rFonts w:ascii="Arial" w:eastAsia="Times New Roman" w:hAnsi="Arial" w:cs="Arial"/>
          <w:color w:val="000000"/>
          <w:kern w:val="0"/>
          <w:sz w:val="20"/>
          <w:szCs w:val="20"/>
          <w:lang w:val="en-ZA" w:eastAsia="en-ZA"/>
          <w14:ligatures w14:val="none"/>
        </w:rPr>
        <w:t>[1996] 1 All SA 51 (A); 1996 (1) SA 812 (A) at 815G- J; </w:t>
      </w:r>
      <w:r w:rsidRPr="00EF35D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ZA" w:eastAsia="en-ZA"/>
          <w14:ligatures w14:val="none"/>
        </w:rPr>
        <w:t>Lombard Insurance Co Ltd v Landmark Holdings (Pty) Ltd and Others </w:t>
      </w:r>
      <w:r w:rsidRPr="00EF35D2">
        <w:rPr>
          <w:rFonts w:ascii="Arial" w:eastAsia="Times New Roman" w:hAnsi="Arial" w:cs="Arial"/>
          <w:color w:val="000000"/>
          <w:kern w:val="0"/>
          <w:sz w:val="20"/>
          <w:szCs w:val="20"/>
          <w:lang w:val="en-ZA" w:eastAsia="en-ZA"/>
          <w14:ligatures w14:val="none"/>
        </w:rPr>
        <w:t>2010 (2) SA 86 (SCA) para 20; </w:t>
      </w:r>
      <w:proofErr w:type="spellStart"/>
      <w:r w:rsidRPr="00EF35D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ZA" w:eastAsia="en-ZA"/>
          <w14:ligatures w14:val="none"/>
        </w:rPr>
        <w:t>Coface</w:t>
      </w:r>
      <w:proofErr w:type="spellEnd"/>
      <w:r w:rsidRPr="00EF35D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ZA" w:eastAsia="en-ZA"/>
          <w14:ligatures w14:val="none"/>
        </w:rPr>
        <w:t xml:space="preserve"> South Africa Insurance Co Ltd v East London Own Haven t/a Own Haven Housing Association </w:t>
      </w:r>
      <w:r w:rsidRPr="00EF35D2">
        <w:rPr>
          <w:rFonts w:ascii="Arial" w:eastAsia="Times New Roman" w:hAnsi="Arial" w:cs="Arial"/>
          <w:color w:val="000000"/>
          <w:kern w:val="0"/>
          <w:sz w:val="20"/>
          <w:szCs w:val="20"/>
          <w:lang w:val="en-ZA" w:eastAsia="en-ZA"/>
          <w14:ligatures w14:val="none"/>
        </w:rPr>
        <w:t>2014 (2) SA 382 (SCA) paras 10-13.</w:t>
      </w:r>
    </w:p>
    <w:p w14:paraId="587E2DA6" w14:textId="2A7934A3" w:rsidR="00933263" w:rsidRPr="00933263" w:rsidRDefault="00933263" w:rsidP="00933263">
      <w:pPr>
        <w:spacing w:after="0" w:line="240" w:lineRule="auto"/>
        <w:ind w:hanging="227"/>
        <w:rPr>
          <w:rFonts w:ascii="Verdana" w:eastAsia="Times New Roman" w:hAnsi="Verdana" w:cs="Times New Roman"/>
          <w:color w:val="000000"/>
          <w:kern w:val="0"/>
          <w:sz w:val="16"/>
          <w:szCs w:val="16"/>
          <w:lang w:val="en-ZA" w:eastAsia="en-ZA"/>
          <w14:ligatures w14:val="none"/>
        </w:rPr>
      </w:pPr>
      <w:bookmarkStart w:id="4" w:name="end_0-0-0-429861"/>
      <w:bookmarkStart w:id="5" w:name="0-0-0-429861"/>
      <w:bookmarkEnd w:id="4"/>
      <w:bookmarkEnd w:id="5"/>
    </w:p>
  </w:footnote>
  <w:footnote w:id="5">
    <w:p w14:paraId="697D44B6" w14:textId="5924D8D3" w:rsidR="00EF35D2" w:rsidRDefault="00EF35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F35D2">
        <w:rPr>
          <w:rFonts w:ascii="Arial" w:hAnsi="Arial" w:cs="Arial"/>
          <w:i/>
          <w:iCs/>
          <w:color w:val="000000"/>
        </w:rPr>
        <w:t>Loomcraft</w:t>
      </w:r>
      <w:proofErr w:type="spellEnd"/>
      <w:r w:rsidRPr="00EF35D2">
        <w:rPr>
          <w:rFonts w:ascii="Arial" w:hAnsi="Arial" w:cs="Arial"/>
          <w:i/>
          <w:iCs/>
          <w:color w:val="000000"/>
        </w:rPr>
        <w:t> </w:t>
      </w:r>
      <w:proofErr w:type="spellStart"/>
      <w:r w:rsidRPr="00EF35D2">
        <w:rPr>
          <w:rFonts w:ascii="Arial" w:hAnsi="Arial" w:cs="Arial"/>
          <w:color w:val="000000"/>
        </w:rPr>
        <w:t>fn</w:t>
      </w:r>
      <w:proofErr w:type="spellEnd"/>
      <w:r w:rsidRPr="00EF35D2">
        <w:rPr>
          <w:rFonts w:ascii="Arial" w:hAnsi="Arial" w:cs="Arial"/>
          <w:color w:val="000000"/>
        </w:rPr>
        <w:t xml:space="preserve"> 2 above at 816D-H</w:t>
      </w:r>
      <w:r>
        <w:rPr>
          <w:rFonts w:ascii="Arial" w:hAnsi="Arial" w:cs="Arial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555655"/>
    <w:multiLevelType w:val="hybridMultilevel"/>
    <w:tmpl w:val="670A428C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01EAC"/>
    <w:multiLevelType w:val="hybridMultilevel"/>
    <w:tmpl w:val="B950E14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591F01"/>
    <w:multiLevelType w:val="hybridMultilevel"/>
    <w:tmpl w:val="3570770C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E13D87"/>
    <w:multiLevelType w:val="hybridMultilevel"/>
    <w:tmpl w:val="446AE31A"/>
    <w:lvl w:ilvl="0" w:tplc="1C090019">
      <w:start w:val="1"/>
      <w:numFmt w:val="lowerLetter"/>
      <w:lvlText w:val="%1."/>
      <w:lvlJc w:val="left"/>
      <w:pPr>
        <w:ind w:left="790" w:hanging="360"/>
      </w:pPr>
    </w:lvl>
    <w:lvl w:ilvl="1" w:tplc="1C090019" w:tentative="1">
      <w:start w:val="1"/>
      <w:numFmt w:val="lowerLetter"/>
      <w:lvlText w:val="%2."/>
      <w:lvlJc w:val="left"/>
      <w:pPr>
        <w:ind w:left="1510" w:hanging="360"/>
      </w:pPr>
    </w:lvl>
    <w:lvl w:ilvl="2" w:tplc="1C09001B" w:tentative="1">
      <w:start w:val="1"/>
      <w:numFmt w:val="lowerRoman"/>
      <w:lvlText w:val="%3."/>
      <w:lvlJc w:val="right"/>
      <w:pPr>
        <w:ind w:left="2230" w:hanging="180"/>
      </w:pPr>
    </w:lvl>
    <w:lvl w:ilvl="3" w:tplc="1C09000F" w:tentative="1">
      <w:start w:val="1"/>
      <w:numFmt w:val="decimal"/>
      <w:lvlText w:val="%4."/>
      <w:lvlJc w:val="left"/>
      <w:pPr>
        <w:ind w:left="2950" w:hanging="360"/>
      </w:pPr>
    </w:lvl>
    <w:lvl w:ilvl="4" w:tplc="1C090019" w:tentative="1">
      <w:start w:val="1"/>
      <w:numFmt w:val="lowerLetter"/>
      <w:lvlText w:val="%5."/>
      <w:lvlJc w:val="left"/>
      <w:pPr>
        <w:ind w:left="3670" w:hanging="360"/>
      </w:pPr>
    </w:lvl>
    <w:lvl w:ilvl="5" w:tplc="1C09001B" w:tentative="1">
      <w:start w:val="1"/>
      <w:numFmt w:val="lowerRoman"/>
      <w:lvlText w:val="%6."/>
      <w:lvlJc w:val="right"/>
      <w:pPr>
        <w:ind w:left="4390" w:hanging="180"/>
      </w:pPr>
    </w:lvl>
    <w:lvl w:ilvl="6" w:tplc="1C09000F" w:tentative="1">
      <w:start w:val="1"/>
      <w:numFmt w:val="decimal"/>
      <w:lvlText w:val="%7."/>
      <w:lvlJc w:val="left"/>
      <w:pPr>
        <w:ind w:left="5110" w:hanging="360"/>
      </w:pPr>
    </w:lvl>
    <w:lvl w:ilvl="7" w:tplc="1C090019" w:tentative="1">
      <w:start w:val="1"/>
      <w:numFmt w:val="lowerLetter"/>
      <w:lvlText w:val="%8."/>
      <w:lvlJc w:val="left"/>
      <w:pPr>
        <w:ind w:left="5830" w:hanging="360"/>
      </w:pPr>
    </w:lvl>
    <w:lvl w:ilvl="8" w:tplc="1C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4B09603E"/>
    <w:multiLevelType w:val="hybridMultilevel"/>
    <w:tmpl w:val="1E62E8D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247C"/>
    <w:multiLevelType w:val="hybridMultilevel"/>
    <w:tmpl w:val="A7969D1A"/>
    <w:lvl w:ilvl="0" w:tplc="3856ACF0">
      <w:start w:val="10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E3599"/>
    <w:multiLevelType w:val="hybridMultilevel"/>
    <w:tmpl w:val="B798FB52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83B239B"/>
    <w:multiLevelType w:val="hybridMultilevel"/>
    <w:tmpl w:val="3F306B50"/>
    <w:lvl w:ilvl="0" w:tplc="1C090013">
      <w:start w:val="1"/>
      <w:numFmt w:val="upperRoman"/>
      <w:lvlText w:val="%1."/>
      <w:lvlJc w:val="righ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E72193"/>
    <w:multiLevelType w:val="hybridMultilevel"/>
    <w:tmpl w:val="8F4CBE16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5F32D1"/>
    <w:multiLevelType w:val="hybridMultilevel"/>
    <w:tmpl w:val="52029D60"/>
    <w:lvl w:ilvl="0" w:tplc="61DEDAEE">
      <w:start w:val="1"/>
      <w:numFmt w:val="decimal"/>
      <w:lvlText w:val="[%1]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6227E66"/>
    <w:multiLevelType w:val="hybridMultilevel"/>
    <w:tmpl w:val="D4E86BC4"/>
    <w:lvl w:ilvl="0" w:tplc="61DEDA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A1204"/>
    <w:multiLevelType w:val="hybridMultilevel"/>
    <w:tmpl w:val="A0B02AA6"/>
    <w:lvl w:ilvl="0" w:tplc="64F8E880">
      <w:start w:val="1"/>
      <w:numFmt w:val="decimal"/>
      <w:lvlText w:val="[%1]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7955CF6"/>
    <w:multiLevelType w:val="hybridMultilevel"/>
    <w:tmpl w:val="1BFE4964"/>
    <w:lvl w:ilvl="0" w:tplc="61DEDAEE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8C529E"/>
    <w:multiLevelType w:val="hybridMultilevel"/>
    <w:tmpl w:val="4ABEA78C"/>
    <w:lvl w:ilvl="0" w:tplc="9170DD6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F6AB04C">
      <w:start w:val="1"/>
      <w:numFmt w:val="lowerLetter"/>
      <w:lvlText w:val="(%2)"/>
      <w:lvlJc w:val="left"/>
      <w:pPr>
        <w:ind w:left="1460" w:hanging="380"/>
      </w:pPr>
      <w:rPr>
        <w:rFonts w:hint="default"/>
      </w:rPr>
    </w:lvl>
    <w:lvl w:ilvl="2" w:tplc="30FA503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44E1F"/>
    <w:multiLevelType w:val="hybridMultilevel"/>
    <w:tmpl w:val="81E4A7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0369"/>
    <w:multiLevelType w:val="hybridMultilevel"/>
    <w:tmpl w:val="2736859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594231">
    <w:abstractNumId w:val="0"/>
  </w:num>
  <w:num w:numId="2" w16cid:durableId="1594581732">
    <w:abstractNumId w:val="15"/>
  </w:num>
  <w:num w:numId="3" w16cid:durableId="967130909">
    <w:abstractNumId w:val="14"/>
  </w:num>
  <w:num w:numId="4" w16cid:durableId="1564177862">
    <w:abstractNumId w:val="11"/>
  </w:num>
  <w:num w:numId="5" w16cid:durableId="1386611547">
    <w:abstractNumId w:val="13"/>
  </w:num>
  <w:num w:numId="6" w16cid:durableId="967054946">
    <w:abstractNumId w:val="12"/>
  </w:num>
  <w:num w:numId="7" w16cid:durableId="991178424">
    <w:abstractNumId w:val="5"/>
  </w:num>
  <w:num w:numId="8" w16cid:durableId="1285506172">
    <w:abstractNumId w:val="4"/>
  </w:num>
  <w:num w:numId="9" w16cid:durableId="2059938747">
    <w:abstractNumId w:val="10"/>
  </w:num>
  <w:num w:numId="10" w16cid:durableId="910695558">
    <w:abstractNumId w:val="6"/>
  </w:num>
  <w:num w:numId="11" w16cid:durableId="1446146334">
    <w:abstractNumId w:val="2"/>
  </w:num>
  <w:num w:numId="12" w16cid:durableId="407263336">
    <w:abstractNumId w:val="1"/>
  </w:num>
  <w:num w:numId="13" w16cid:durableId="716583294">
    <w:abstractNumId w:val="9"/>
  </w:num>
  <w:num w:numId="14" w16cid:durableId="1172796463">
    <w:abstractNumId w:val="7"/>
  </w:num>
  <w:num w:numId="15" w16cid:durableId="345983351">
    <w:abstractNumId w:val="3"/>
  </w:num>
  <w:num w:numId="16" w16cid:durableId="1873297408">
    <w:abstractNumId w:val="16"/>
  </w:num>
  <w:num w:numId="17" w16cid:durableId="1768303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0Nba0NLQwNzU0N7RQ0lEKTi0uzszPAykwrAUAKCswxywAAAA="/>
  </w:docVars>
  <w:rsids>
    <w:rsidRoot w:val="007B056A"/>
    <w:rsid w:val="000009A9"/>
    <w:rsid w:val="00012FA6"/>
    <w:rsid w:val="00021DD4"/>
    <w:rsid w:val="00025A45"/>
    <w:rsid w:val="00036B36"/>
    <w:rsid w:val="00042491"/>
    <w:rsid w:val="0006126E"/>
    <w:rsid w:val="000617F2"/>
    <w:rsid w:val="000675CC"/>
    <w:rsid w:val="000759A4"/>
    <w:rsid w:val="00095DEF"/>
    <w:rsid w:val="000A4203"/>
    <w:rsid w:val="000A5474"/>
    <w:rsid w:val="000A7552"/>
    <w:rsid w:val="000B5D18"/>
    <w:rsid w:val="000C062A"/>
    <w:rsid w:val="000C2541"/>
    <w:rsid w:val="000C692D"/>
    <w:rsid w:val="000D112F"/>
    <w:rsid w:val="000D3201"/>
    <w:rsid w:val="000D75F3"/>
    <w:rsid w:val="000E1163"/>
    <w:rsid w:val="000E1D1C"/>
    <w:rsid w:val="000F03E7"/>
    <w:rsid w:val="000F0FB1"/>
    <w:rsid w:val="000F4178"/>
    <w:rsid w:val="000F4608"/>
    <w:rsid w:val="00100AE2"/>
    <w:rsid w:val="00113013"/>
    <w:rsid w:val="001141F4"/>
    <w:rsid w:val="001343AD"/>
    <w:rsid w:val="00136D2F"/>
    <w:rsid w:val="00141EAB"/>
    <w:rsid w:val="0014542C"/>
    <w:rsid w:val="00146661"/>
    <w:rsid w:val="0016341B"/>
    <w:rsid w:val="001635EB"/>
    <w:rsid w:val="0017168C"/>
    <w:rsid w:val="00171B1F"/>
    <w:rsid w:val="0018177A"/>
    <w:rsid w:val="00191AFD"/>
    <w:rsid w:val="00194ECF"/>
    <w:rsid w:val="001B34CA"/>
    <w:rsid w:val="001C3E78"/>
    <w:rsid w:val="001D0365"/>
    <w:rsid w:val="001D1B53"/>
    <w:rsid w:val="001D2D8C"/>
    <w:rsid w:val="001E160E"/>
    <w:rsid w:val="001F1779"/>
    <w:rsid w:val="001F36BA"/>
    <w:rsid w:val="001F4650"/>
    <w:rsid w:val="001F6556"/>
    <w:rsid w:val="00204068"/>
    <w:rsid w:val="002238C0"/>
    <w:rsid w:val="0023262D"/>
    <w:rsid w:val="00241B53"/>
    <w:rsid w:val="00241D33"/>
    <w:rsid w:val="0024259A"/>
    <w:rsid w:val="00246244"/>
    <w:rsid w:val="00247227"/>
    <w:rsid w:val="00254EB2"/>
    <w:rsid w:val="002649B0"/>
    <w:rsid w:val="0027496E"/>
    <w:rsid w:val="00280C94"/>
    <w:rsid w:val="002833FA"/>
    <w:rsid w:val="00287492"/>
    <w:rsid w:val="002972AB"/>
    <w:rsid w:val="002A3BAA"/>
    <w:rsid w:val="002A4013"/>
    <w:rsid w:val="002A4880"/>
    <w:rsid w:val="002A77D5"/>
    <w:rsid w:val="002B1354"/>
    <w:rsid w:val="002B1EE3"/>
    <w:rsid w:val="002C4E98"/>
    <w:rsid w:val="002D02EC"/>
    <w:rsid w:val="002D1098"/>
    <w:rsid w:val="002F5307"/>
    <w:rsid w:val="0030719C"/>
    <w:rsid w:val="0031231A"/>
    <w:rsid w:val="00321AD1"/>
    <w:rsid w:val="00321BED"/>
    <w:rsid w:val="0032408F"/>
    <w:rsid w:val="00334771"/>
    <w:rsid w:val="0036315A"/>
    <w:rsid w:val="003810CA"/>
    <w:rsid w:val="00384564"/>
    <w:rsid w:val="0039101F"/>
    <w:rsid w:val="003A5255"/>
    <w:rsid w:val="003A7F41"/>
    <w:rsid w:val="003B3866"/>
    <w:rsid w:val="003E0B35"/>
    <w:rsid w:val="003E18BF"/>
    <w:rsid w:val="003E3390"/>
    <w:rsid w:val="003E5312"/>
    <w:rsid w:val="003E55B7"/>
    <w:rsid w:val="003F160D"/>
    <w:rsid w:val="003F250C"/>
    <w:rsid w:val="003F3934"/>
    <w:rsid w:val="003F5CA1"/>
    <w:rsid w:val="003F6998"/>
    <w:rsid w:val="004005BF"/>
    <w:rsid w:val="00435FEB"/>
    <w:rsid w:val="004452B4"/>
    <w:rsid w:val="00456FFA"/>
    <w:rsid w:val="00457254"/>
    <w:rsid w:val="00460284"/>
    <w:rsid w:val="00460D46"/>
    <w:rsid w:val="0046534D"/>
    <w:rsid w:val="004669E4"/>
    <w:rsid w:val="004732C8"/>
    <w:rsid w:val="00482A34"/>
    <w:rsid w:val="00482B82"/>
    <w:rsid w:val="0048499B"/>
    <w:rsid w:val="00497B06"/>
    <w:rsid w:val="004A503A"/>
    <w:rsid w:val="004C1A82"/>
    <w:rsid w:val="004C72EB"/>
    <w:rsid w:val="004D47DB"/>
    <w:rsid w:val="004E1566"/>
    <w:rsid w:val="004E3071"/>
    <w:rsid w:val="004E3E96"/>
    <w:rsid w:val="004F7A6C"/>
    <w:rsid w:val="0050421B"/>
    <w:rsid w:val="00505646"/>
    <w:rsid w:val="00511C4B"/>
    <w:rsid w:val="0051239A"/>
    <w:rsid w:val="00513FA7"/>
    <w:rsid w:val="005228B5"/>
    <w:rsid w:val="00522AF5"/>
    <w:rsid w:val="00537FD9"/>
    <w:rsid w:val="0054250D"/>
    <w:rsid w:val="00556991"/>
    <w:rsid w:val="005573AD"/>
    <w:rsid w:val="005576E1"/>
    <w:rsid w:val="005609DE"/>
    <w:rsid w:val="00563144"/>
    <w:rsid w:val="0056622E"/>
    <w:rsid w:val="00572777"/>
    <w:rsid w:val="00585D49"/>
    <w:rsid w:val="00591914"/>
    <w:rsid w:val="005A4DE1"/>
    <w:rsid w:val="005D6BCE"/>
    <w:rsid w:val="005D7DE9"/>
    <w:rsid w:val="005E31EF"/>
    <w:rsid w:val="005F2994"/>
    <w:rsid w:val="005F7FE7"/>
    <w:rsid w:val="00600F46"/>
    <w:rsid w:val="00610C5B"/>
    <w:rsid w:val="00632E9A"/>
    <w:rsid w:val="006418F8"/>
    <w:rsid w:val="00650AC5"/>
    <w:rsid w:val="006523D4"/>
    <w:rsid w:val="006552E5"/>
    <w:rsid w:val="00660B1C"/>
    <w:rsid w:val="0067127C"/>
    <w:rsid w:val="00675311"/>
    <w:rsid w:val="0068176F"/>
    <w:rsid w:val="00681EB9"/>
    <w:rsid w:val="006850F6"/>
    <w:rsid w:val="00685488"/>
    <w:rsid w:val="006A2558"/>
    <w:rsid w:val="006B3564"/>
    <w:rsid w:val="006B3ACE"/>
    <w:rsid w:val="006B5806"/>
    <w:rsid w:val="006B7409"/>
    <w:rsid w:val="006B77D8"/>
    <w:rsid w:val="006C43A0"/>
    <w:rsid w:val="006C6EF8"/>
    <w:rsid w:val="006E0AFF"/>
    <w:rsid w:val="006E0E46"/>
    <w:rsid w:val="006E189C"/>
    <w:rsid w:val="006E3733"/>
    <w:rsid w:val="006E6E7F"/>
    <w:rsid w:val="006E7845"/>
    <w:rsid w:val="006E7925"/>
    <w:rsid w:val="006F1CAD"/>
    <w:rsid w:val="006F3CF1"/>
    <w:rsid w:val="00701001"/>
    <w:rsid w:val="00711B9D"/>
    <w:rsid w:val="00714469"/>
    <w:rsid w:val="00715A69"/>
    <w:rsid w:val="00717FC3"/>
    <w:rsid w:val="00734D89"/>
    <w:rsid w:val="00741073"/>
    <w:rsid w:val="00742548"/>
    <w:rsid w:val="00745319"/>
    <w:rsid w:val="00752F01"/>
    <w:rsid w:val="00754F01"/>
    <w:rsid w:val="00766044"/>
    <w:rsid w:val="00776E46"/>
    <w:rsid w:val="00777B16"/>
    <w:rsid w:val="00797371"/>
    <w:rsid w:val="007979E4"/>
    <w:rsid w:val="007A3303"/>
    <w:rsid w:val="007A6084"/>
    <w:rsid w:val="007B056A"/>
    <w:rsid w:val="007B63D6"/>
    <w:rsid w:val="007C0C64"/>
    <w:rsid w:val="007C1DD3"/>
    <w:rsid w:val="007C28FD"/>
    <w:rsid w:val="007C5224"/>
    <w:rsid w:val="007E22B1"/>
    <w:rsid w:val="007E25C4"/>
    <w:rsid w:val="007E37A7"/>
    <w:rsid w:val="007E684F"/>
    <w:rsid w:val="007F0C22"/>
    <w:rsid w:val="007F1AA7"/>
    <w:rsid w:val="007F2A81"/>
    <w:rsid w:val="00802B39"/>
    <w:rsid w:val="00807644"/>
    <w:rsid w:val="008141C9"/>
    <w:rsid w:val="00822CEF"/>
    <w:rsid w:val="0084366B"/>
    <w:rsid w:val="00850062"/>
    <w:rsid w:val="00850AEA"/>
    <w:rsid w:val="0085673C"/>
    <w:rsid w:val="00856ABA"/>
    <w:rsid w:val="00870907"/>
    <w:rsid w:val="00871E48"/>
    <w:rsid w:val="0087471E"/>
    <w:rsid w:val="008762EA"/>
    <w:rsid w:val="00884922"/>
    <w:rsid w:val="00896AC8"/>
    <w:rsid w:val="00896E6E"/>
    <w:rsid w:val="008974CE"/>
    <w:rsid w:val="008A2BDC"/>
    <w:rsid w:val="008B3563"/>
    <w:rsid w:val="008B6841"/>
    <w:rsid w:val="008C077E"/>
    <w:rsid w:val="008C59CB"/>
    <w:rsid w:val="008E0E59"/>
    <w:rsid w:val="008E7878"/>
    <w:rsid w:val="008F1A4A"/>
    <w:rsid w:val="008F5E75"/>
    <w:rsid w:val="009132A2"/>
    <w:rsid w:val="009157B1"/>
    <w:rsid w:val="00916A8E"/>
    <w:rsid w:val="00920444"/>
    <w:rsid w:val="00926780"/>
    <w:rsid w:val="0092694D"/>
    <w:rsid w:val="00933263"/>
    <w:rsid w:val="009345C2"/>
    <w:rsid w:val="00936191"/>
    <w:rsid w:val="00963DD8"/>
    <w:rsid w:val="0097158F"/>
    <w:rsid w:val="009761C0"/>
    <w:rsid w:val="00985B79"/>
    <w:rsid w:val="00986F57"/>
    <w:rsid w:val="00987D3B"/>
    <w:rsid w:val="00993440"/>
    <w:rsid w:val="009A10BB"/>
    <w:rsid w:val="009A1379"/>
    <w:rsid w:val="009A38E8"/>
    <w:rsid w:val="009A55EE"/>
    <w:rsid w:val="009A6973"/>
    <w:rsid w:val="009B0D73"/>
    <w:rsid w:val="009B3BB1"/>
    <w:rsid w:val="009C4A3D"/>
    <w:rsid w:val="009C6866"/>
    <w:rsid w:val="009C75DA"/>
    <w:rsid w:val="009D0CA1"/>
    <w:rsid w:val="009D684B"/>
    <w:rsid w:val="009D6FD2"/>
    <w:rsid w:val="009E0438"/>
    <w:rsid w:val="009F0725"/>
    <w:rsid w:val="009F55E5"/>
    <w:rsid w:val="00A01299"/>
    <w:rsid w:val="00A04FBB"/>
    <w:rsid w:val="00A147E7"/>
    <w:rsid w:val="00A2089A"/>
    <w:rsid w:val="00A35BA8"/>
    <w:rsid w:val="00A43F1C"/>
    <w:rsid w:val="00A5035F"/>
    <w:rsid w:val="00A70794"/>
    <w:rsid w:val="00A71C59"/>
    <w:rsid w:val="00A76B53"/>
    <w:rsid w:val="00A77FDD"/>
    <w:rsid w:val="00A80DBC"/>
    <w:rsid w:val="00A82CBD"/>
    <w:rsid w:val="00A962A4"/>
    <w:rsid w:val="00AA0142"/>
    <w:rsid w:val="00AA66BA"/>
    <w:rsid w:val="00AB5126"/>
    <w:rsid w:val="00AB6033"/>
    <w:rsid w:val="00AB619D"/>
    <w:rsid w:val="00AC3337"/>
    <w:rsid w:val="00AE1BF5"/>
    <w:rsid w:val="00AE2717"/>
    <w:rsid w:val="00AE6D84"/>
    <w:rsid w:val="00AE72D3"/>
    <w:rsid w:val="00AF35AD"/>
    <w:rsid w:val="00AF40C0"/>
    <w:rsid w:val="00B02DF5"/>
    <w:rsid w:val="00B157AF"/>
    <w:rsid w:val="00B26C9B"/>
    <w:rsid w:val="00B33502"/>
    <w:rsid w:val="00B35CCD"/>
    <w:rsid w:val="00B40131"/>
    <w:rsid w:val="00B4179A"/>
    <w:rsid w:val="00B422AA"/>
    <w:rsid w:val="00B446F1"/>
    <w:rsid w:val="00B473CA"/>
    <w:rsid w:val="00B750E0"/>
    <w:rsid w:val="00B7783D"/>
    <w:rsid w:val="00B8484C"/>
    <w:rsid w:val="00BA2003"/>
    <w:rsid w:val="00BA6DDF"/>
    <w:rsid w:val="00BC7CF7"/>
    <w:rsid w:val="00BD1556"/>
    <w:rsid w:val="00BE22B8"/>
    <w:rsid w:val="00BE3B4B"/>
    <w:rsid w:val="00BE5529"/>
    <w:rsid w:val="00BF35B9"/>
    <w:rsid w:val="00BF476E"/>
    <w:rsid w:val="00BF7365"/>
    <w:rsid w:val="00C00FA2"/>
    <w:rsid w:val="00C01914"/>
    <w:rsid w:val="00C04BD7"/>
    <w:rsid w:val="00C07917"/>
    <w:rsid w:val="00C20923"/>
    <w:rsid w:val="00C26007"/>
    <w:rsid w:val="00C42673"/>
    <w:rsid w:val="00C56CE7"/>
    <w:rsid w:val="00C60F0A"/>
    <w:rsid w:val="00C61F34"/>
    <w:rsid w:val="00C77057"/>
    <w:rsid w:val="00C77666"/>
    <w:rsid w:val="00C93AEA"/>
    <w:rsid w:val="00CB4917"/>
    <w:rsid w:val="00CC699D"/>
    <w:rsid w:val="00CE261E"/>
    <w:rsid w:val="00CE2637"/>
    <w:rsid w:val="00D020BC"/>
    <w:rsid w:val="00D07ECA"/>
    <w:rsid w:val="00D203A2"/>
    <w:rsid w:val="00D208B2"/>
    <w:rsid w:val="00D20E53"/>
    <w:rsid w:val="00D32C51"/>
    <w:rsid w:val="00D33939"/>
    <w:rsid w:val="00D46698"/>
    <w:rsid w:val="00D50C79"/>
    <w:rsid w:val="00D5568B"/>
    <w:rsid w:val="00D629F6"/>
    <w:rsid w:val="00D6619A"/>
    <w:rsid w:val="00D67DEC"/>
    <w:rsid w:val="00D74A2A"/>
    <w:rsid w:val="00D76DDB"/>
    <w:rsid w:val="00D97C59"/>
    <w:rsid w:val="00DA389A"/>
    <w:rsid w:val="00DA6913"/>
    <w:rsid w:val="00DA6BF6"/>
    <w:rsid w:val="00DA7774"/>
    <w:rsid w:val="00DC00FD"/>
    <w:rsid w:val="00DC4A0C"/>
    <w:rsid w:val="00DD3A54"/>
    <w:rsid w:val="00DE51D5"/>
    <w:rsid w:val="00DF0ED5"/>
    <w:rsid w:val="00DF79B1"/>
    <w:rsid w:val="00E01598"/>
    <w:rsid w:val="00E0536F"/>
    <w:rsid w:val="00E06860"/>
    <w:rsid w:val="00E10B0D"/>
    <w:rsid w:val="00E14015"/>
    <w:rsid w:val="00E21256"/>
    <w:rsid w:val="00E30E83"/>
    <w:rsid w:val="00E32BCA"/>
    <w:rsid w:val="00E352EF"/>
    <w:rsid w:val="00E40D2E"/>
    <w:rsid w:val="00E500AC"/>
    <w:rsid w:val="00E563BE"/>
    <w:rsid w:val="00E71705"/>
    <w:rsid w:val="00E71798"/>
    <w:rsid w:val="00E76029"/>
    <w:rsid w:val="00E92100"/>
    <w:rsid w:val="00E937AD"/>
    <w:rsid w:val="00E9500D"/>
    <w:rsid w:val="00EA0F1E"/>
    <w:rsid w:val="00EA47AE"/>
    <w:rsid w:val="00EA4F42"/>
    <w:rsid w:val="00EC3586"/>
    <w:rsid w:val="00ED1E05"/>
    <w:rsid w:val="00EF35D2"/>
    <w:rsid w:val="00EF4E7A"/>
    <w:rsid w:val="00EF6E4C"/>
    <w:rsid w:val="00EF7E25"/>
    <w:rsid w:val="00F052CE"/>
    <w:rsid w:val="00F22C87"/>
    <w:rsid w:val="00F23258"/>
    <w:rsid w:val="00F31713"/>
    <w:rsid w:val="00F34E8E"/>
    <w:rsid w:val="00F456D9"/>
    <w:rsid w:val="00F52ADD"/>
    <w:rsid w:val="00F555C4"/>
    <w:rsid w:val="00F70166"/>
    <w:rsid w:val="00F70B10"/>
    <w:rsid w:val="00F852E1"/>
    <w:rsid w:val="00F866A3"/>
    <w:rsid w:val="00F92EE9"/>
    <w:rsid w:val="00F97C9C"/>
    <w:rsid w:val="00FA080A"/>
    <w:rsid w:val="00FC16F8"/>
    <w:rsid w:val="00FD7C09"/>
    <w:rsid w:val="00FE3F17"/>
    <w:rsid w:val="00FE66DE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8ABA"/>
  <w15:chartTrackingRefBased/>
  <w15:docId w15:val="{066384DF-58A3-48F3-ACDA-E187364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A"/>
    <w:pPr>
      <w:spacing w:line="259" w:lineRule="auto"/>
    </w:pPr>
    <w:rPr>
      <w:rFonts w:ascii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719C"/>
    <w:pPr>
      <w:keepNext/>
      <w:outlineLvl w:val="3"/>
    </w:pPr>
    <w:rPr>
      <w:rFonts w:ascii="Arial" w:eastAsia="Times New Roman" w:hAnsi="Arial" w:cs="Times New Roman"/>
      <w:sz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719C"/>
    <w:rPr>
      <w:rFonts w:ascii="Arial" w:eastAsia="Times New Roman" w:hAnsi="Arial" w:cs="Times New Roman"/>
      <w:sz w:val="28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30719C"/>
    <w:rPr>
      <w:rFonts w:eastAsia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19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19C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1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30719C"/>
    <w:pPr>
      <w:tabs>
        <w:tab w:val="center" w:pos="4153"/>
        <w:tab w:val="right" w:pos="8306"/>
      </w:tabs>
    </w:pPr>
    <w:rPr>
      <w:rFonts w:eastAsia="Times New Roman" w:cs="Times New Roman"/>
      <w:lang w:eastAsia="x-none"/>
    </w:rPr>
  </w:style>
  <w:style w:type="character" w:customStyle="1" w:styleId="HeaderChar">
    <w:name w:val="Header Char"/>
    <w:basedOn w:val="DefaultParagraphFont"/>
    <w:link w:val="Header"/>
    <w:rsid w:val="0030719C"/>
    <w:rPr>
      <w:rFonts w:ascii="Times New Roman" w:eastAsia="Times New Roman" w:hAnsi="Times New Roman" w:cs="Times New Roman"/>
      <w:lang w:val="en-GB" w:eastAsia="x-none"/>
    </w:rPr>
  </w:style>
  <w:style w:type="character" w:styleId="FootnoteReference">
    <w:name w:val="footnote reference"/>
    <w:uiPriority w:val="99"/>
    <w:semiHidden/>
    <w:rsid w:val="003071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19C"/>
    <w:rPr>
      <w:sz w:val="16"/>
      <w:szCs w:val="16"/>
    </w:rPr>
  </w:style>
  <w:style w:type="character" w:styleId="PageNumber">
    <w:name w:val="page number"/>
    <w:basedOn w:val="DefaultParagraphFont"/>
    <w:rsid w:val="0030719C"/>
  </w:style>
  <w:style w:type="paragraph" w:styleId="BodyText">
    <w:name w:val="Body Text"/>
    <w:basedOn w:val="Normal"/>
    <w:link w:val="BodyTextChar"/>
    <w:rsid w:val="0030719C"/>
    <w:pPr>
      <w:jc w:val="center"/>
    </w:pPr>
    <w:rPr>
      <w:rFonts w:eastAsia="Times New Roman" w:cs="Times New Roman"/>
      <w:lang w:eastAsia="x-none"/>
    </w:rPr>
  </w:style>
  <w:style w:type="character" w:customStyle="1" w:styleId="BodyTextChar">
    <w:name w:val="Body Text Char"/>
    <w:basedOn w:val="DefaultParagraphFont"/>
    <w:link w:val="BodyText"/>
    <w:rsid w:val="0030719C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307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1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19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9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9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0719C"/>
    <w:pPr>
      <w:adjustRightInd w:val="0"/>
      <w:spacing w:before="120"/>
      <w:ind w:left="720"/>
      <w:contextualSpacing/>
      <w:mirrorIndents/>
    </w:pPr>
    <w:rPr>
      <w:rFonts w:ascii="Arial" w:eastAsia="Calibri" w:hAnsi="Arial" w:cs="Times New Roman (Body CS)"/>
      <w:lang w:val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26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BE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B8"/>
    <w:rPr>
      <w:rFonts w:ascii="Times New Roman" w:hAnsi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1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462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090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761">
          <w:marLeft w:val="0"/>
          <w:marRight w:val="0"/>
          <w:marTop w:val="240"/>
          <w:marBottom w:val="60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86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24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39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83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777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424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11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67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679">
          <w:marLeft w:val="5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051">
          <w:marLeft w:val="5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022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6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671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388">
          <w:marLeft w:val="5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948">
          <w:marLeft w:val="5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480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810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35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67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8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503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41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5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38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79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15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42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3ae50-825d-4e06-9055-d98ed20791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2B2D569D2B240AEE7EB12A7C6C4EE" ma:contentTypeVersion="8" ma:contentTypeDescription="Create a new document." ma:contentTypeScope="" ma:versionID="59bd2f3ee2085f188566f002d5ba7ff7">
  <xsd:schema xmlns:xsd="http://www.w3.org/2001/XMLSchema" xmlns:xs="http://www.w3.org/2001/XMLSchema" xmlns:p="http://schemas.microsoft.com/office/2006/metadata/properties" xmlns:ns3="7803ae50-825d-4e06-9055-d98ed2079135" xmlns:ns4="3acb1509-cbd2-408a-830c-c119568ad540" targetNamespace="http://schemas.microsoft.com/office/2006/metadata/properties" ma:root="true" ma:fieldsID="722b7df9001acc2ac614bd43f9107ef6" ns3:_="" ns4:_="">
    <xsd:import namespace="7803ae50-825d-4e06-9055-d98ed2079135"/>
    <xsd:import namespace="3acb1509-cbd2-408a-830c-c119568ad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e50-825d-4e06-9055-d98ed2079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b1509-cbd2-408a-830c-c119568ad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7188-A0FC-4402-A44A-CB50AB55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905A6-814C-455D-9381-08C8DD04C0C5}">
  <ds:schemaRefs>
    <ds:schemaRef ds:uri="http://schemas.microsoft.com/office/2006/metadata/properties"/>
    <ds:schemaRef ds:uri="http://schemas.microsoft.com/office/infopath/2007/PartnerControls"/>
    <ds:schemaRef ds:uri="7803ae50-825d-4e06-9055-d98ed2079135"/>
  </ds:schemaRefs>
</ds:datastoreItem>
</file>

<file path=customXml/itemProps3.xml><?xml version="1.0" encoding="utf-8"?>
<ds:datastoreItem xmlns:ds="http://schemas.openxmlformats.org/officeDocument/2006/customXml" ds:itemID="{B43BE545-EB5D-4CE6-9781-A961C823C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ae50-825d-4e06-9055-d98ed2079135"/>
    <ds:schemaRef ds:uri="3acb1509-cbd2-408a-830c-c119568a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A655A-4D8C-4CA8-A3AC-E4680A83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Judge-Denise Fisher</dc:creator>
  <cp:keywords/>
  <dc:description/>
  <cp:lastModifiedBy>sathish sarshan  mohan</cp:lastModifiedBy>
  <cp:revision>3</cp:revision>
  <cp:lastPrinted>2024-06-06T11:17:00Z</cp:lastPrinted>
  <dcterms:created xsi:type="dcterms:W3CDTF">2024-06-06T13:29:00Z</dcterms:created>
  <dcterms:modified xsi:type="dcterms:W3CDTF">2024-06-07T18:36:00Z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0x0101009BB2B2D569D2B240AEE7EB12A7C6C4EE</vt:lpwstr>
  </property>
</Properties>
</file>