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8853B" w14:textId="77777777" w:rsidR="00633CD8" w:rsidRDefault="00633CD8" w:rsidP="00633CD8">
      <w:pPr>
        <w:pStyle w:val="LegalNormal"/>
        <w:spacing w:after="0" w:line="360" w:lineRule="auto"/>
        <w:jc w:val="center"/>
      </w:pPr>
      <w:r w:rsidRPr="00D0071D">
        <w:rPr>
          <w:noProof/>
          <w:color w:val="1F497D"/>
          <w:lang w:val="en-ZA" w:eastAsia="en-ZA"/>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2F7E63F3" w:rsidR="00633CD8" w:rsidRDefault="00633CD8" w:rsidP="00633CD8">
      <w:pPr>
        <w:pStyle w:val="LegalTitle"/>
        <w:spacing w:after="0" w:line="360" w:lineRule="auto"/>
        <w:rPr>
          <w:u w:val="single"/>
        </w:rPr>
      </w:pPr>
      <w:r w:rsidRPr="00520591">
        <w:rPr>
          <w:u w:val="single"/>
        </w:rPr>
        <w:t xml:space="preserve">GAUTENG DIVISION, </w:t>
      </w:r>
      <w:r>
        <w:rPr>
          <w:u w:val="single"/>
        </w:rPr>
        <w:t>JOHANNESBURG</w:t>
      </w:r>
    </w:p>
    <w:p w14:paraId="26F92239" w14:textId="0120F485" w:rsidR="00633CD8" w:rsidRDefault="008E5FC2" w:rsidP="00633CD8">
      <w:pPr>
        <w:pStyle w:val="LegalAnnexure"/>
        <w:spacing w:after="960" w:line="360" w:lineRule="auto"/>
        <w:rPr>
          <w:u w:val="single"/>
        </w:rPr>
      </w:pPr>
      <w:r>
        <w:rPr>
          <w:rFonts w:ascii="Times New Roman" w:hAnsi="Times New Roman"/>
          <w:noProof/>
          <w:lang w:val="en-ZA" w:eastAsia="en-ZA"/>
        </w:rPr>
        <mc:AlternateContent>
          <mc:Choice Requires="wps">
            <w:drawing>
              <wp:anchor distT="0" distB="0" distL="114300" distR="114300" simplePos="0" relativeHeight="251659264" behindDoc="0" locked="0" layoutInCell="1" allowOverlap="1" wp14:anchorId="069D7505" wp14:editId="4390A37D">
                <wp:simplePos x="0" y="0"/>
                <wp:positionH relativeFrom="column">
                  <wp:posOffset>-128270</wp:posOffset>
                </wp:positionH>
                <wp:positionV relativeFrom="paragraph">
                  <wp:posOffset>168910</wp:posOffset>
                </wp:positionV>
                <wp:extent cx="3619500" cy="1181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181100"/>
                        </a:xfrm>
                        <a:prstGeom prst="rect">
                          <a:avLst/>
                        </a:prstGeom>
                        <a:solidFill>
                          <a:srgbClr val="FFFFFF"/>
                        </a:solidFill>
                        <a:ln w="9525">
                          <a:solidFill>
                            <a:srgbClr val="000000"/>
                          </a:solidFill>
                          <a:miter lim="800000"/>
                          <a:headEnd/>
                          <a:tailEnd/>
                        </a:ln>
                      </wps:spPr>
                      <wps:txbx>
                        <w:txbxContent>
                          <w:p w14:paraId="031C1BFF" w14:textId="2EB8F089" w:rsidR="00633CD8" w:rsidRDefault="005B4EEB" w:rsidP="005B4EEB">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r w:rsidR="007743C8">
                              <w:rPr>
                                <w:rFonts w:ascii="Century Gothic" w:hAnsi="Century Gothic"/>
                                <w:sz w:val="20"/>
                              </w:rPr>
                              <w:t xml:space="preserve"> </w:t>
                            </w:r>
                            <w:r w:rsidR="007743C8" w:rsidRPr="007743C8">
                              <w:rPr>
                                <w:rFonts w:ascii="Century Gothic" w:hAnsi="Century Gothic"/>
                                <w:b/>
                                <w:bCs/>
                                <w:sz w:val="20"/>
                              </w:rPr>
                              <w:t>NO</w:t>
                            </w:r>
                          </w:p>
                          <w:p w14:paraId="686AC699" w14:textId="16D97061" w:rsidR="00633CD8" w:rsidRDefault="005B4EEB" w:rsidP="005B4EEB">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OF INTEREST TO OTHER JUDGES:</w:t>
                            </w:r>
                            <w:r w:rsidR="007743C8">
                              <w:rPr>
                                <w:rFonts w:ascii="Century Gothic" w:hAnsi="Century Gothic"/>
                                <w:sz w:val="20"/>
                              </w:rPr>
                              <w:t xml:space="preserve">  </w:t>
                            </w:r>
                            <w:r w:rsidR="007743C8" w:rsidRPr="007743C8">
                              <w:rPr>
                                <w:rFonts w:ascii="Century Gothic" w:hAnsi="Century Gothic"/>
                                <w:b/>
                                <w:bCs/>
                                <w:sz w:val="20"/>
                              </w:rPr>
                              <w:t>NO</w:t>
                            </w:r>
                            <w:r w:rsidR="00633CD8">
                              <w:rPr>
                                <w:rFonts w:ascii="Century Gothic" w:hAnsi="Century Gothic"/>
                                <w:sz w:val="20"/>
                              </w:rPr>
                              <w:t xml:space="preserve"> </w:t>
                            </w:r>
                          </w:p>
                          <w:p w14:paraId="6351C7EE" w14:textId="4C5FEB79" w:rsidR="00633CD8" w:rsidRDefault="005B4EEB" w:rsidP="005B4EEB">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REVISED:</w:t>
                            </w:r>
                            <w:r w:rsidR="008B3480">
                              <w:rPr>
                                <w:rFonts w:ascii="Century Gothic" w:hAnsi="Century Gothic"/>
                                <w:sz w:val="20"/>
                              </w:rPr>
                              <w:t xml:space="preserve"> </w:t>
                            </w:r>
                            <w:r w:rsidR="008B3480">
                              <w:rPr>
                                <w:rFonts w:ascii="Century Gothic" w:hAnsi="Century Gothic"/>
                                <w:b/>
                                <w:bCs/>
                                <w:sz w:val="20"/>
                              </w:rPr>
                              <w:t>YES</w:t>
                            </w:r>
                            <w:r w:rsidR="008B3480">
                              <w:rPr>
                                <w:rFonts w:ascii="Century Gothic" w:hAnsi="Century Gothic"/>
                                <w:sz w:val="20"/>
                              </w:rPr>
                              <w:t xml:space="preserve"> </w:t>
                            </w:r>
                          </w:p>
                          <w:p w14:paraId="6E347CBA" w14:textId="153442E1" w:rsidR="008B3480" w:rsidRDefault="00633CD8" w:rsidP="00421C47">
                            <w:pPr>
                              <w:spacing w:after="0" w:line="240" w:lineRule="auto"/>
                              <w:rPr>
                                <w:rFonts w:ascii="Century Gothic" w:hAnsi="Century Gothic"/>
                                <w:sz w:val="22"/>
                                <w:szCs w:val="22"/>
                              </w:rPr>
                            </w:pPr>
                            <w:r>
                              <w:rPr>
                                <w:rFonts w:ascii="Century Gothic" w:hAnsi="Century Gothic"/>
                                <w:sz w:val="22"/>
                                <w:szCs w:val="22"/>
                              </w:rPr>
                              <w:t xml:space="preserve">Date: </w:t>
                            </w:r>
                          </w:p>
                          <w:p w14:paraId="60EEF83F" w14:textId="6A9A9142" w:rsidR="00D03A71" w:rsidRDefault="00633CD8" w:rsidP="00633CD8">
                            <w:pPr>
                              <w:rPr>
                                <w:rFonts w:ascii="Century Gothic" w:hAnsi="Century Gothic"/>
                                <w:sz w:val="22"/>
                                <w:szCs w:val="22"/>
                              </w:rPr>
                            </w:pPr>
                            <w:r>
                              <w:rPr>
                                <w:rFonts w:ascii="Century Gothic" w:hAnsi="Century Gothic"/>
                                <w:sz w:val="22"/>
                                <w:szCs w:val="22"/>
                              </w:rPr>
                              <w:t>Signature:</w:t>
                            </w:r>
                            <w:r w:rsidR="00FC03D2">
                              <w:rPr>
                                <w:rFonts w:ascii="Century Gothic" w:hAnsi="Century Gothic"/>
                                <w:sz w:val="22"/>
                                <w:szCs w:val="22"/>
                              </w:rPr>
                              <w:t xml:space="preserve">  </w:t>
                            </w:r>
                            <w:r w:rsidR="006C2056">
                              <w:rPr>
                                <w:rFonts w:ascii="Century Gothic" w:hAnsi="Century Gothic"/>
                                <w:sz w:val="22"/>
                                <w:szCs w:val="22"/>
                              </w:rPr>
                              <w:tab/>
                            </w:r>
                          </w:p>
                          <w:p w14:paraId="1D439C29" w14:textId="77777777" w:rsidR="00DA6164" w:rsidRDefault="00DA6164" w:rsidP="00633CD8">
                            <w:pPr>
                              <w:rPr>
                                <w:rFonts w:ascii="Century Gothic" w:hAnsi="Century Gothic"/>
                                <w:sz w:val="22"/>
                                <w:szCs w:val="22"/>
                              </w:rPr>
                            </w:pPr>
                          </w:p>
                          <w:p w14:paraId="55BEFFA9" w14:textId="77777777" w:rsidR="00D03A71" w:rsidRDefault="00D03A71" w:rsidP="00633CD8">
                            <w:pPr>
                              <w:rPr>
                                <w:rFonts w:ascii="Century Gothic" w:hAnsi="Century Gothic"/>
                                <w:sz w:val="22"/>
                                <w:szCs w:val="22"/>
                              </w:rPr>
                            </w:pPr>
                          </w:p>
                          <w:p w14:paraId="536FD8F7" w14:textId="4AB67BFA" w:rsidR="00633CD8" w:rsidRDefault="00421C47" w:rsidP="00633CD8">
                            <w:pPr>
                              <w:rPr>
                                <w:rFonts w:ascii="Century Gothic" w:hAnsi="Century Gothic"/>
                                <w:sz w:val="28"/>
                                <w:szCs w:val="28"/>
                              </w:rPr>
                            </w:pPr>
                            <w:r w:rsidDel="00421C47">
                              <w:rPr>
                                <w:rFonts w:ascii="Century Gothic" w:hAnsi="Century Gothic"/>
                                <w:sz w:val="22"/>
                                <w:szCs w:val="22"/>
                              </w:rPr>
                              <w:t xml:space="preserve"> </w:t>
                            </w:r>
                            <w:r w:rsidR="00633CD8">
                              <w:rPr>
                                <w:rFonts w:ascii="Century Gothic" w:hAnsi="Century Gothic"/>
                                <w:sz w:val="22"/>
                                <w:szCs w:val="22"/>
                              </w:rPr>
                              <w:t>______</w:t>
                            </w:r>
                            <w:r w:rsidR="00435DB7">
                              <w:rPr>
                                <w:rFonts w:ascii="Century Gothic" w:hAnsi="Century Gothic"/>
                                <w:sz w:val="22"/>
                                <w:szCs w:val="22"/>
                              </w:rPr>
                              <w:t>___________</w:t>
                            </w:r>
                            <w:r w:rsidR="00633CD8">
                              <w:rPr>
                                <w:rFonts w:ascii="Century Gothic" w:hAnsi="Century Gothic"/>
                                <w:sz w:val="22"/>
                                <w:szCs w:val="22"/>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10.1pt;margin-top:13.3pt;width:28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">
                <v:textbox>
                  <w:txbxContent>
                    <w:p w14:paraId="031C1BFF" w14:textId="2EB8F089" w:rsidR="00633CD8" w:rsidRDefault="005B4EEB" w:rsidP="005B4EEB">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r w:rsidR="007743C8">
                        <w:rPr>
                          <w:rFonts w:ascii="Century Gothic" w:hAnsi="Century Gothic"/>
                          <w:sz w:val="20"/>
                        </w:rPr>
                        <w:t xml:space="preserve"> </w:t>
                      </w:r>
                      <w:r w:rsidR="007743C8" w:rsidRPr="007743C8">
                        <w:rPr>
                          <w:rFonts w:ascii="Century Gothic" w:hAnsi="Century Gothic"/>
                          <w:b/>
                          <w:bCs/>
                          <w:sz w:val="20"/>
                        </w:rPr>
                        <w:t>NO</w:t>
                      </w:r>
                    </w:p>
                    <w:p w14:paraId="686AC699" w14:textId="16D97061" w:rsidR="00633CD8" w:rsidRDefault="005B4EEB" w:rsidP="005B4EEB">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OF INTEREST TO OTHER JUDGES:</w:t>
                      </w:r>
                      <w:r w:rsidR="007743C8">
                        <w:rPr>
                          <w:rFonts w:ascii="Century Gothic" w:hAnsi="Century Gothic"/>
                          <w:sz w:val="20"/>
                        </w:rPr>
                        <w:t xml:space="preserve">  </w:t>
                      </w:r>
                      <w:r w:rsidR="007743C8" w:rsidRPr="007743C8">
                        <w:rPr>
                          <w:rFonts w:ascii="Century Gothic" w:hAnsi="Century Gothic"/>
                          <w:b/>
                          <w:bCs/>
                          <w:sz w:val="20"/>
                        </w:rPr>
                        <w:t>NO</w:t>
                      </w:r>
                      <w:r w:rsidR="00633CD8">
                        <w:rPr>
                          <w:rFonts w:ascii="Century Gothic" w:hAnsi="Century Gothic"/>
                          <w:sz w:val="20"/>
                        </w:rPr>
                        <w:t xml:space="preserve"> </w:t>
                      </w:r>
                    </w:p>
                    <w:p w14:paraId="6351C7EE" w14:textId="4C5FEB79" w:rsidR="00633CD8" w:rsidRDefault="005B4EEB" w:rsidP="005B4EEB">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REVISED:</w:t>
                      </w:r>
                      <w:r w:rsidR="008B3480">
                        <w:rPr>
                          <w:rFonts w:ascii="Century Gothic" w:hAnsi="Century Gothic"/>
                          <w:sz w:val="20"/>
                        </w:rPr>
                        <w:t xml:space="preserve"> </w:t>
                      </w:r>
                      <w:r w:rsidR="008B3480">
                        <w:rPr>
                          <w:rFonts w:ascii="Century Gothic" w:hAnsi="Century Gothic"/>
                          <w:b/>
                          <w:bCs/>
                          <w:sz w:val="20"/>
                        </w:rPr>
                        <w:t>YES</w:t>
                      </w:r>
                      <w:r w:rsidR="008B3480">
                        <w:rPr>
                          <w:rFonts w:ascii="Century Gothic" w:hAnsi="Century Gothic"/>
                          <w:sz w:val="20"/>
                        </w:rPr>
                        <w:t xml:space="preserve"> </w:t>
                      </w:r>
                    </w:p>
                    <w:p w14:paraId="6E347CBA" w14:textId="153442E1" w:rsidR="008B3480" w:rsidRDefault="00633CD8" w:rsidP="00421C47">
                      <w:pPr>
                        <w:spacing w:after="0" w:line="240" w:lineRule="auto"/>
                        <w:rPr>
                          <w:rFonts w:ascii="Century Gothic" w:hAnsi="Century Gothic"/>
                          <w:sz w:val="22"/>
                          <w:szCs w:val="22"/>
                        </w:rPr>
                      </w:pPr>
                      <w:r>
                        <w:rPr>
                          <w:rFonts w:ascii="Century Gothic" w:hAnsi="Century Gothic"/>
                          <w:sz w:val="22"/>
                          <w:szCs w:val="22"/>
                        </w:rPr>
                        <w:t xml:space="preserve">Date: </w:t>
                      </w:r>
                    </w:p>
                    <w:p w14:paraId="60EEF83F" w14:textId="6A9A9142" w:rsidR="00D03A71" w:rsidRDefault="00633CD8" w:rsidP="00633CD8">
                      <w:pPr>
                        <w:rPr>
                          <w:rFonts w:ascii="Century Gothic" w:hAnsi="Century Gothic"/>
                          <w:sz w:val="22"/>
                          <w:szCs w:val="22"/>
                        </w:rPr>
                      </w:pPr>
                      <w:r>
                        <w:rPr>
                          <w:rFonts w:ascii="Century Gothic" w:hAnsi="Century Gothic"/>
                          <w:sz w:val="22"/>
                          <w:szCs w:val="22"/>
                        </w:rPr>
                        <w:t>Signature:</w:t>
                      </w:r>
                      <w:r w:rsidR="00FC03D2">
                        <w:rPr>
                          <w:rFonts w:ascii="Century Gothic" w:hAnsi="Century Gothic"/>
                          <w:sz w:val="22"/>
                          <w:szCs w:val="22"/>
                        </w:rPr>
                        <w:t xml:space="preserve">  </w:t>
                      </w:r>
                      <w:r w:rsidR="006C2056">
                        <w:rPr>
                          <w:rFonts w:ascii="Century Gothic" w:hAnsi="Century Gothic"/>
                          <w:sz w:val="22"/>
                          <w:szCs w:val="22"/>
                        </w:rPr>
                        <w:tab/>
                      </w:r>
                    </w:p>
                    <w:p w14:paraId="1D439C29" w14:textId="77777777" w:rsidR="00DA6164" w:rsidRDefault="00DA6164" w:rsidP="00633CD8">
                      <w:pPr>
                        <w:rPr>
                          <w:rFonts w:ascii="Century Gothic" w:hAnsi="Century Gothic"/>
                          <w:sz w:val="22"/>
                          <w:szCs w:val="22"/>
                        </w:rPr>
                      </w:pPr>
                    </w:p>
                    <w:p w14:paraId="55BEFFA9" w14:textId="77777777" w:rsidR="00D03A71" w:rsidRDefault="00D03A71" w:rsidP="00633CD8">
                      <w:pPr>
                        <w:rPr>
                          <w:rFonts w:ascii="Century Gothic" w:hAnsi="Century Gothic"/>
                          <w:sz w:val="22"/>
                          <w:szCs w:val="22"/>
                        </w:rPr>
                      </w:pPr>
                    </w:p>
                    <w:p w14:paraId="536FD8F7" w14:textId="4AB67BFA" w:rsidR="00633CD8" w:rsidRDefault="00421C47" w:rsidP="00633CD8">
                      <w:pPr>
                        <w:rPr>
                          <w:rFonts w:ascii="Century Gothic" w:hAnsi="Century Gothic"/>
                          <w:sz w:val="28"/>
                          <w:szCs w:val="28"/>
                        </w:rPr>
                      </w:pPr>
                      <w:r w:rsidDel="00421C47">
                        <w:rPr>
                          <w:rFonts w:ascii="Century Gothic" w:hAnsi="Century Gothic"/>
                          <w:sz w:val="22"/>
                          <w:szCs w:val="22"/>
                        </w:rPr>
                        <w:t xml:space="preserve"> </w:t>
                      </w:r>
                      <w:r w:rsidR="00633CD8">
                        <w:rPr>
                          <w:rFonts w:ascii="Century Gothic" w:hAnsi="Century Gothic"/>
                          <w:sz w:val="22"/>
                          <w:szCs w:val="22"/>
                        </w:rPr>
                        <w:t>______</w:t>
                      </w:r>
                      <w:r w:rsidR="00435DB7">
                        <w:rPr>
                          <w:rFonts w:ascii="Century Gothic" w:hAnsi="Century Gothic"/>
                          <w:sz w:val="22"/>
                          <w:szCs w:val="22"/>
                        </w:rPr>
                        <w:t>___________</w:t>
                      </w:r>
                      <w:r w:rsidR="00633CD8">
                        <w:rPr>
                          <w:rFonts w:ascii="Century Gothic" w:hAnsi="Century Gothic"/>
                          <w:sz w:val="22"/>
                          <w:szCs w:val="22"/>
                        </w:rPr>
                        <w:t>_</w:t>
                      </w:r>
                    </w:p>
                  </w:txbxContent>
                </v:textbox>
              </v:shape>
            </w:pict>
          </mc:Fallback>
        </mc:AlternateContent>
      </w:r>
    </w:p>
    <w:p w14:paraId="1C4FD250" w14:textId="7453261A" w:rsidR="00633CD8" w:rsidRDefault="00633CD8" w:rsidP="00633CD8">
      <w:pPr>
        <w:pStyle w:val="LegalAnnexure"/>
        <w:spacing w:after="0" w:line="360" w:lineRule="auto"/>
      </w:pPr>
    </w:p>
    <w:p w14:paraId="1AEBC037" w14:textId="77777777" w:rsidR="00EC74A7" w:rsidRDefault="00633CD8" w:rsidP="00633CD8">
      <w:pPr>
        <w:pStyle w:val="LegalAnnexure"/>
        <w:spacing w:after="0" w:line="360" w:lineRule="auto"/>
      </w:pPr>
      <w:r w:rsidRPr="00633CD8">
        <w:t xml:space="preserve"> </w:t>
      </w:r>
    </w:p>
    <w:p w14:paraId="3EA2AAB1" w14:textId="3807B65C" w:rsidR="00633CD8" w:rsidRDefault="00633CD8" w:rsidP="00633CD8">
      <w:pPr>
        <w:pStyle w:val="LegalAnnexure"/>
        <w:spacing w:after="0" w:line="360" w:lineRule="auto"/>
        <w:rPr>
          <w:b w:val="0"/>
        </w:rPr>
      </w:pPr>
      <w:r>
        <w:rPr>
          <w:u w:val="single"/>
        </w:rPr>
        <w:t>CASE</w:t>
      </w:r>
      <w:r w:rsidRPr="00A84826">
        <w:rPr>
          <w:u w:val="single"/>
        </w:rPr>
        <w:t xml:space="preserve"> NO</w:t>
      </w:r>
      <w:r w:rsidRPr="002D4810">
        <w:rPr>
          <w:b w:val="0"/>
        </w:rPr>
        <w:t>:</w:t>
      </w:r>
      <w:r w:rsidR="006E34E4">
        <w:rPr>
          <w:b w:val="0"/>
        </w:rPr>
        <w:t xml:space="preserve"> </w:t>
      </w:r>
      <w:r w:rsidR="00925FB4">
        <w:rPr>
          <w:b w:val="0"/>
        </w:rPr>
        <w:t>A</w:t>
      </w:r>
      <w:r w:rsidR="003C4FAC">
        <w:rPr>
          <w:b w:val="0"/>
        </w:rPr>
        <w:t>2023</w:t>
      </w:r>
      <w:r w:rsidR="00925FB4">
        <w:rPr>
          <w:b w:val="0"/>
        </w:rPr>
        <w:t>/</w:t>
      </w:r>
      <w:r w:rsidR="003C4FAC">
        <w:rPr>
          <w:b w:val="0"/>
        </w:rPr>
        <w:t>041004</w:t>
      </w:r>
    </w:p>
    <w:p w14:paraId="6BD854A4" w14:textId="6BF659A1" w:rsidR="00FC2F7A" w:rsidRPr="00FC2F7A" w:rsidRDefault="008E5FC2" w:rsidP="00EC74A7">
      <w:pPr>
        <w:pStyle w:val="LegalNormal"/>
        <w:jc w:val="right"/>
      </w:pPr>
      <w:r w:rsidRPr="00EC74A7">
        <w:rPr>
          <w:b/>
          <w:bCs/>
          <w:u w:val="single"/>
        </w:rPr>
        <w:t xml:space="preserve">COURT </w:t>
      </w:r>
      <w:r w:rsidRPr="00EC74A7">
        <w:rPr>
          <w:b/>
          <w:bCs/>
          <w:i/>
          <w:u w:val="single"/>
        </w:rPr>
        <w:t>A QUO</w:t>
      </w:r>
      <w:r w:rsidRPr="00EC74A7">
        <w:rPr>
          <w:b/>
          <w:bCs/>
          <w:u w:val="single"/>
        </w:rPr>
        <w:t xml:space="preserve"> CASE NO</w:t>
      </w:r>
      <w:r>
        <w:t>: 22/0714</w:t>
      </w:r>
    </w:p>
    <w:p w14:paraId="017B14CF" w14:textId="68C02D37" w:rsidR="00633CD8" w:rsidRPr="0076063C" w:rsidRDefault="00633CD8" w:rsidP="00633CD8">
      <w:pPr>
        <w:pStyle w:val="LegalNormal"/>
        <w:spacing w:after="0" w:line="360" w:lineRule="auto"/>
        <w:jc w:val="right"/>
      </w:pPr>
      <w:r w:rsidRPr="0076063C">
        <w:rPr>
          <w:b/>
          <w:u w:val="single"/>
        </w:rPr>
        <w:t>DATE</w:t>
      </w:r>
      <w:r>
        <w:rPr>
          <w:b/>
        </w:rPr>
        <w:t>:</w:t>
      </w:r>
      <w:r w:rsidR="008770E9">
        <w:rPr>
          <w:b/>
        </w:rPr>
        <w:t> </w:t>
      </w:r>
      <w:r w:rsidR="00925FB4">
        <w:rPr>
          <w:b/>
        </w:rPr>
        <w:t xml:space="preserve"> </w:t>
      </w:r>
      <w:r w:rsidR="00B05C23">
        <w:rPr>
          <w:b/>
        </w:rPr>
        <w:t>30</w:t>
      </w:r>
      <w:r w:rsidR="00AD7937">
        <w:rPr>
          <w:b/>
        </w:rPr>
        <w:t xml:space="preserve"> </w:t>
      </w:r>
      <w:r w:rsidR="00925FB4">
        <w:rPr>
          <w:b/>
        </w:rPr>
        <w:t xml:space="preserve">April </w:t>
      </w:r>
      <w:r w:rsidR="00944FAA">
        <w:rPr>
          <w:b/>
        </w:rPr>
        <w:t>202</w:t>
      </w:r>
      <w:r w:rsidR="00925FB4">
        <w:rPr>
          <w:b/>
        </w:rPr>
        <w:t>4</w:t>
      </w:r>
      <w:r>
        <w:rPr>
          <w:b/>
        </w:rPr>
        <w:t xml:space="preserve"> </w:t>
      </w:r>
    </w:p>
    <w:p w14:paraId="69D9E7C5"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2CB986D7" w14:textId="11F95910" w:rsidR="006E34E4" w:rsidRPr="00D905E4" w:rsidRDefault="003C4FAC" w:rsidP="003C4FAC">
            <w:pPr>
              <w:pStyle w:val="Title"/>
              <w:rPr>
                <w:b/>
                <w:sz w:val="21"/>
              </w:rPr>
            </w:pPr>
            <w:r>
              <w:rPr>
                <w:b/>
                <w:sz w:val="21"/>
              </w:rPr>
              <w:t xml:space="preserve">PASSENGER RAIL AGENCY OF SOUTH AFRICA </w:t>
            </w:r>
          </w:p>
        </w:tc>
        <w:tc>
          <w:tcPr>
            <w:tcW w:w="2606" w:type="dxa"/>
          </w:tcPr>
          <w:p w14:paraId="6476AE42" w14:textId="42961ADD" w:rsidR="006E34E4" w:rsidRPr="00D905E4" w:rsidRDefault="003C4FAC" w:rsidP="005545E1">
            <w:pPr>
              <w:pStyle w:val="Title"/>
              <w:spacing w:line="360" w:lineRule="auto"/>
              <w:jc w:val="right"/>
              <w:rPr>
                <w:sz w:val="21"/>
              </w:rPr>
            </w:pPr>
            <w:r>
              <w:rPr>
                <w:sz w:val="21"/>
              </w:rPr>
              <w:t xml:space="preserve">Appellant </w:t>
            </w:r>
            <w:r w:rsidR="007911F8">
              <w:rPr>
                <w:sz w:val="21"/>
              </w:rPr>
              <w:t xml:space="preserve">/ Defendant </w:t>
            </w:r>
          </w:p>
        </w:tc>
      </w:tr>
      <w:tr w:rsidR="008770E9" w:rsidRPr="00D905E4" w14:paraId="4ED0EE99" w14:textId="77777777" w:rsidTr="006E34E4">
        <w:tc>
          <w:tcPr>
            <w:tcW w:w="6204" w:type="dxa"/>
          </w:tcPr>
          <w:p w14:paraId="2D8E49E7" w14:textId="77777777" w:rsidR="008770E9" w:rsidRPr="00D905E4" w:rsidRDefault="008770E9" w:rsidP="005545E1">
            <w:pPr>
              <w:pStyle w:val="Title"/>
              <w:spacing w:line="360" w:lineRule="auto"/>
              <w:rPr>
                <w:sz w:val="21"/>
              </w:rPr>
            </w:pPr>
          </w:p>
        </w:tc>
        <w:tc>
          <w:tcPr>
            <w:tcW w:w="2606" w:type="dxa"/>
          </w:tcPr>
          <w:p w14:paraId="46B5FDA8" w14:textId="77777777" w:rsidR="008770E9" w:rsidRPr="00D905E4" w:rsidRDefault="008770E9" w:rsidP="005545E1">
            <w:pPr>
              <w:pStyle w:val="Title"/>
              <w:spacing w:line="360" w:lineRule="auto"/>
              <w:rPr>
                <w:sz w:val="21"/>
              </w:rPr>
            </w:pPr>
          </w:p>
        </w:tc>
      </w:tr>
      <w:tr w:rsidR="006E34E4" w:rsidRPr="00D905E4" w14:paraId="29265C62" w14:textId="77777777" w:rsidTr="006E34E4">
        <w:tc>
          <w:tcPr>
            <w:tcW w:w="6204" w:type="dxa"/>
          </w:tcPr>
          <w:p w14:paraId="3EB8A71D" w14:textId="650620BA" w:rsidR="006E34E4" w:rsidRPr="00D905E4" w:rsidRDefault="00B6224D" w:rsidP="005545E1">
            <w:pPr>
              <w:pStyle w:val="Title"/>
              <w:spacing w:line="360" w:lineRule="auto"/>
              <w:rPr>
                <w:sz w:val="21"/>
              </w:rPr>
            </w:pPr>
            <w:r>
              <w:rPr>
                <w:sz w:val="21"/>
              </w:rPr>
              <w:t>a</w:t>
            </w:r>
            <w:r w:rsidR="00725EAC">
              <w:rPr>
                <w:sz w:val="21"/>
              </w:rPr>
              <w:t>nd</w:t>
            </w:r>
          </w:p>
        </w:tc>
        <w:tc>
          <w:tcPr>
            <w:tcW w:w="2606" w:type="dxa"/>
          </w:tcPr>
          <w:p w14:paraId="4CEFDE0C" w14:textId="77777777" w:rsidR="006E34E4" w:rsidRPr="00D905E4" w:rsidRDefault="006E34E4" w:rsidP="005545E1">
            <w:pPr>
              <w:pStyle w:val="Title"/>
              <w:spacing w:line="360" w:lineRule="auto"/>
              <w:rPr>
                <w:sz w:val="21"/>
              </w:rPr>
            </w:pPr>
          </w:p>
        </w:tc>
      </w:tr>
      <w:tr w:rsidR="006E34E4" w:rsidRPr="00D905E4" w14:paraId="09E13C66" w14:textId="77777777" w:rsidTr="006E34E4">
        <w:tc>
          <w:tcPr>
            <w:tcW w:w="6204" w:type="dxa"/>
          </w:tcPr>
          <w:p w14:paraId="3FB2F644" w14:textId="77777777" w:rsidR="006E34E4" w:rsidRPr="00D905E4" w:rsidRDefault="006E34E4" w:rsidP="005545E1">
            <w:pPr>
              <w:pStyle w:val="Title"/>
              <w:spacing w:after="120"/>
              <w:rPr>
                <w:b/>
                <w:sz w:val="21"/>
              </w:rPr>
            </w:pPr>
            <w:r w:rsidRPr="00D905E4">
              <w:rPr>
                <w:b/>
                <w:sz w:val="21"/>
              </w:rPr>
              <w:fldChar w:fldCharType="begin"/>
            </w:r>
            <w:r w:rsidRPr="00D905E4">
              <w:rPr>
                <w:b/>
                <w:sz w:val="21"/>
              </w:rPr>
              <w:instrText xml:space="preserve">  </w:instrText>
            </w:r>
            <w:r w:rsidRPr="00D905E4">
              <w:rPr>
                <w:b/>
                <w:sz w:val="21"/>
              </w:rPr>
              <w:fldChar w:fldCharType="end"/>
            </w:r>
          </w:p>
        </w:tc>
        <w:tc>
          <w:tcPr>
            <w:tcW w:w="2606" w:type="dxa"/>
          </w:tcPr>
          <w:p w14:paraId="4F9E604D" w14:textId="77777777" w:rsidR="006E34E4" w:rsidRPr="00D905E4" w:rsidRDefault="006E34E4" w:rsidP="005545E1">
            <w:pPr>
              <w:pStyle w:val="Title"/>
              <w:spacing w:line="360" w:lineRule="auto"/>
              <w:jc w:val="right"/>
              <w:rPr>
                <w:sz w:val="21"/>
              </w:rPr>
            </w:pPr>
          </w:p>
        </w:tc>
      </w:tr>
      <w:tr w:rsidR="006E34E4" w:rsidRPr="00D905E4" w14:paraId="627B0A96" w14:textId="77777777" w:rsidTr="006E34E4">
        <w:tc>
          <w:tcPr>
            <w:tcW w:w="6204" w:type="dxa"/>
          </w:tcPr>
          <w:p w14:paraId="20D6C10A" w14:textId="666478F2" w:rsidR="006E34E4" w:rsidRPr="0069482F" w:rsidRDefault="007911F8" w:rsidP="005545E1">
            <w:pPr>
              <w:pStyle w:val="Title"/>
              <w:rPr>
                <w:b/>
                <w:sz w:val="21"/>
              </w:rPr>
            </w:pPr>
            <w:r>
              <w:rPr>
                <w:b/>
                <w:sz w:val="21"/>
              </w:rPr>
              <w:t>UNAHINA BUSINESS SOLUTIONS (PTY) LIMITED</w:t>
            </w:r>
          </w:p>
        </w:tc>
        <w:tc>
          <w:tcPr>
            <w:tcW w:w="2606" w:type="dxa"/>
          </w:tcPr>
          <w:p w14:paraId="69B86802" w14:textId="528F755B" w:rsidR="006E34E4" w:rsidRPr="00D905E4" w:rsidRDefault="00400054" w:rsidP="005545E1">
            <w:pPr>
              <w:pStyle w:val="Title"/>
              <w:spacing w:line="360" w:lineRule="auto"/>
              <w:jc w:val="right"/>
              <w:rPr>
                <w:sz w:val="21"/>
              </w:rPr>
            </w:pPr>
            <w:r>
              <w:rPr>
                <w:sz w:val="21"/>
              </w:rPr>
              <w:t xml:space="preserve">Respondent </w:t>
            </w:r>
            <w:r w:rsidR="00265A58">
              <w:rPr>
                <w:sz w:val="21"/>
              </w:rPr>
              <w:t xml:space="preserve">/ Plaintiff </w:t>
            </w:r>
          </w:p>
        </w:tc>
      </w:tr>
    </w:tbl>
    <w:p w14:paraId="080B1F8B" w14:textId="77777777" w:rsidR="006E34E4" w:rsidRDefault="006E34E4" w:rsidP="006E34E4">
      <w:pPr>
        <w:pStyle w:val="Title"/>
        <w:rPr>
          <w:sz w:val="21"/>
        </w:rPr>
      </w:pPr>
    </w:p>
    <w:p w14:paraId="2920B467" w14:textId="77777777" w:rsidR="00807C07" w:rsidRDefault="00807C07" w:rsidP="006E34E4">
      <w:pPr>
        <w:pStyle w:val="Title"/>
        <w:rPr>
          <w:sz w:val="21"/>
        </w:rPr>
      </w:pPr>
    </w:p>
    <w:p w14:paraId="12DFC443" w14:textId="6C7000F3" w:rsidR="00633CD8" w:rsidRPr="00090BFF" w:rsidRDefault="00633CD8" w:rsidP="006E34E4">
      <w:pPr>
        <w:tabs>
          <w:tab w:val="left" w:pos="1418"/>
        </w:tabs>
        <w:spacing w:before="120" w:after="120"/>
        <w:rPr>
          <w:rFonts w:cs="Arial"/>
          <w:lang w:val="nl-NL"/>
        </w:rPr>
      </w:pPr>
      <w:r w:rsidRPr="00090BFF">
        <w:rPr>
          <w:rFonts w:cs="Arial"/>
          <w:b/>
          <w:bCs/>
          <w:lang w:val="nl-NL"/>
        </w:rPr>
        <w:t>Coram:</w:t>
      </w:r>
      <w:r w:rsidRPr="00090BFF">
        <w:rPr>
          <w:rFonts w:cs="Arial"/>
          <w:lang w:val="nl-NL"/>
        </w:rPr>
        <w:tab/>
      </w:r>
      <w:r w:rsidR="00435DB7" w:rsidRPr="00090BFF">
        <w:rPr>
          <w:rFonts w:cs="Arial"/>
          <w:lang w:val="nl-NL"/>
        </w:rPr>
        <w:tab/>
      </w:r>
      <w:r w:rsidR="00FB74B0" w:rsidRPr="00090BFF">
        <w:rPr>
          <w:rFonts w:cs="Arial"/>
          <w:lang w:val="nl-NL"/>
        </w:rPr>
        <w:t xml:space="preserve">Wright, J and </w:t>
      </w:r>
      <w:r w:rsidR="00435DB7" w:rsidRPr="00090BFF">
        <w:rPr>
          <w:rFonts w:cs="Arial"/>
          <w:lang w:val="nl-NL"/>
        </w:rPr>
        <w:t>M Van Nieuwenhuizen, AJ</w:t>
      </w:r>
    </w:p>
    <w:p w14:paraId="2D78F15E" w14:textId="40987591" w:rsidR="00633CD8" w:rsidRDefault="00633CD8" w:rsidP="00633CD8">
      <w:pPr>
        <w:spacing w:after="120"/>
        <w:ind w:left="1418" w:hanging="1418"/>
        <w:rPr>
          <w:rFonts w:cs="Arial"/>
          <w:b/>
        </w:rPr>
      </w:pPr>
      <w:r>
        <w:rPr>
          <w:rFonts w:cs="Arial"/>
          <w:b/>
          <w:bCs/>
        </w:rPr>
        <w:t>Heard on</w:t>
      </w:r>
      <w:r>
        <w:rPr>
          <w:rFonts w:cs="Arial"/>
        </w:rPr>
        <w:t>:</w:t>
      </w:r>
      <w:r>
        <w:rPr>
          <w:rFonts w:cs="Arial"/>
        </w:rPr>
        <w:tab/>
      </w:r>
      <w:r w:rsidR="00274CBA">
        <w:rPr>
          <w:rFonts w:cs="Arial"/>
        </w:rPr>
        <w:t>25 April 2024</w:t>
      </w:r>
    </w:p>
    <w:p w14:paraId="13D07160" w14:textId="0D53A2F7" w:rsidR="00633CD8" w:rsidRDefault="00633CD8" w:rsidP="00633CD8">
      <w:pPr>
        <w:tabs>
          <w:tab w:val="left" w:pos="1418"/>
        </w:tabs>
        <w:spacing w:after="120"/>
        <w:ind w:left="1418" w:hanging="1418"/>
        <w:rPr>
          <w:rFonts w:cs="Arial"/>
          <w:b/>
        </w:rPr>
      </w:pPr>
      <w:r>
        <w:rPr>
          <w:rFonts w:cs="Arial"/>
          <w:b/>
        </w:rPr>
        <w:t>Delivered:</w:t>
      </w:r>
      <w:r>
        <w:rPr>
          <w:rFonts w:cs="Arial"/>
          <w:b/>
        </w:rPr>
        <w:tab/>
      </w:r>
      <w:r w:rsidR="00B05C23">
        <w:rPr>
          <w:rFonts w:cs="Arial"/>
          <w:b/>
        </w:rPr>
        <w:t>30</w:t>
      </w:r>
      <w:r w:rsidR="008D62EE">
        <w:rPr>
          <w:rFonts w:cs="Arial"/>
          <w:b/>
        </w:rPr>
        <w:t xml:space="preserve"> </w:t>
      </w:r>
      <w:r w:rsidR="00090BFF">
        <w:rPr>
          <w:rFonts w:cs="Arial"/>
          <w:b/>
        </w:rPr>
        <w:t>April 2024</w:t>
      </w:r>
    </w:p>
    <w:p w14:paraId="2C06557A" w14:textId="77777777" w:rsidR="006A7B58" w:rsidRPr="00435DB7" w:rsidRDefault="006A7B58" w:rsidP="00633CD8">
      <w:pPr>
        <w:tabs>
          <w:tab w:val="left" w:pos="1418"/>
        </w:tabs>
        <w:spacing w:after="120"/>
        <w:ind w:left="1418" w:hanging="1418"/>
        <w:rPr>
          <w:rFonts w:cs="Arial"/>
          <w:bCs/>
        </w:rPr>
      </w:pPr>
    </w:p>
    <w:p w14:paraId="7C37C51C" w14:textId="6E0AEB3B" w:rsidR="00633CD8" w:rsidRPr="00433ED3" w:rsidRDefault="003C4FAC" w:rsidP="00633CD8">
      <w:pPr>
        <w:pStyle w:val="LegalTramLines"/>
        <w:spacing w:after="240"/>
        <w:rPr>
          <w:lang w:val="nl-NL"/>
        </w:rPr>
      </w:pPr>
      <w:r w:rsidRPr="00433ED3">
        <w:rPr>
          <w:lang w:val="nl-NL"/>
        </w:rPr>
        <w:t xml:space="preserve">FULL BENCH OF APPEAL </w:t>
      </w:r>
      <w:r w:rsidR="00633CD8" w:rsidRPr="00433ED3">
        <w:rPr>
          <w:lang w:val="nl-NL"/>
        </w:rPr>
        <w:t xml:space="preserve">JUDGMENT </w:t>
      </w:r>
    </w:p>
    <w:p w14:paraId="1C8B327F" w14:textId="18D732B7" w:rsidR="006F7C73" w:rsidRPr="00090BFF" w:rsidRDefault="0069482F" w:rsidP="004B0C01">
      <w:pPr>
        <w:pStyle w:val="Heading1"/>
        <w:keepNext/>
        <w:numPr>
          <w:ilvl w:val="0"/>
          <w:numId w:val="0"/>
        </w:numPr>
        <w:spacing w:before="240"/>
        <w:ind w:left="862" w:hanging="862"/>
        <w:rPr>
          <w:lang w:val="nl-NL"/>
        </w:rPr>
      </w:pPr>
      <w:bookmarkStart w:id="0" w:name="_Hlk81386236"/>
      <w:bookmarkStart w:id="1" w:name="_Hlk81386419"/>
      <w:r w:rsidRPr="00090BFF">
        <w:rPr>
          <w:b/>
          <w:bCs/>
          <w:u w:val="single"/>
          <w:lang w:val="nl-NL"/>
        </w:rPr>
        <w:lastRenderedPageBreak/>
        <w:t>M VAN NIEUWENHUIZEN</w:t>
      </w:r>
      <w:r w:rsidR="00833533" w:rsidRPr="00090BFF">
        <w:rPr>
          <w:b/>
          <w:bCs/>
          <w:u w:val="single"/>
          <w:lang w:val="nl-NL"/>
        </w:rPr>
        <w:t>, AJ</w:t>
      </w:r>
      <w:r w:rsidR="002A19E4" w:rsidRPr="00090BFF">
        <w:rPr>
          <w:lang w:val="nl-NL"/>
        </w:rPr>
        <w:t>:</w:t>
      </w:r>
      <w:bookmarkEnd w:id="0"/>
    </w:p>
    <w:p w14:paraId="54C2E76C" w14:textId="4CD96E0E" w:rsidR="0052363C" w:rsidRDefault="005B4EEB" w:rsidP="005B4EEB">
      <w:pPr>
        <w:pStyle w:val="Heading1"/>
        <w:numPr>
          <w:ilvl w:val="0"/>
          <w:numId w:val="0"/>
        </w:numPr>
        <w:tabs>
          <w:tab w:val="left" w:pos="862"/>
        </w:tabs>
        <w:ind w:left="862" w:hanging="862"/>
      </w:pPr>
      <w:r>
        <w:rPr>
          <w:szCs w:val="24"/>
        </w:rPr>
        <w:t>[1]</w:t>
      </w:r>
      <w:r>
        <w:rPr>
          <w:szCs w:val="24"/>
        </w:rPr>
        <w:tab/>
      </w:r>
      <w:r w:rsidR="005F7DCD">
        <w:t xml:space="preserve">The appellant/defendant applied for the rescission of a default judgment </w:t>
      </w:r>
      <w:r w:rsidR="00691807">
        <w:t xml:space="preserve">that the respondent/plaintiff had obtained against it.  The respondent had sued as a cessionary in terms of a cession agreement of the books debts of the cedent, one Biggietech (Pty) Limited (hereinafter referred to as </w:t>
      </w:r>
      <w:r w:rsidR="00691807">
        <w:rPr>
          <w:i/>
          <w:iCs/>
        </w:rPr>
        <w:t>“Biggietech”</w:t>
      </w:r>
      <w:r w:rsidR="00691807">
        <w:t xml:space="preserve">).  </w:t>
      </w:r>
    </w:p>
    <w:p w14:paraId="39ABF9D6" w14:textId="0281E922" w:rsidR="005F7DCD" w:rsidRDefault="005B4EEB" w:rsidP="005B4EEB">
      <w:pPr>
        <w:pStyle w:val="Heading1"/>
        <w:numPr>
          <w:ilvl w:val="0"/>
          <w:numId w:val="0"/>
        </w:numPr>
        <w:tabs>
          <w:tab w:val="left" w:pos="862"/>
        </w:tabs>
        <w:ind w:left="862" w:hanging="862"/>
      </w:pPr>
      <w:r>
        <w:rPr>
          <w:szCs w:val="24"/>
        </w:rPr>
        <w:t>[2]</w:t>
      </w:r>
      <w:r>
        <w:rPr>
          <w:szCs w:val="24"/>
        </w:rPr>
        <w:tab/>
      </w:r>
      <w:r w:rsidR="00691807">
        <w:t xml:space="preserve">The summons was issued </w:t>
      </w:r>
      <w:r w:rsidR="0052363C">
        <w:t>on the 22</w:t>
      </w:r>
      <w:r w:rsidR="0052363C" w:rsidRPr="0052363C">
        <w:rPr>
          <w:vertAlign w:val="superscript"/>
        </w:rPr>
        <w:t>nd</w:t>
      </w:r>
      <w:r w:rsidR="0052363C">
        <w:t xml:space="preserve"> of June 2022 and served on the 23</w:t>
      </w:r>
      <w:r w:rsidR="0052363C" w:rsidRPr="0052363C">
        <w:rPr>
          <w:vertAlign w:val="superscript"/>
        </w:rPr>
        <w:t>rd</w:t>
      </w:r>
      <w:r w:rsidR="0052363C">
        <w:t xml:space="preserve"> of June 2022.  The defendant failed to defend the action.  The Court </w:t>
      </w:r>
      <w:r w:rsidR="007C06AF" w:rsidRPr="00D504FB">
        <w:rPr>
          <w:i/>
        </w:rPr>
        <w:t>a quo</w:t>
      </w:r>
      <w:r w:rsidR="007C06AF">
        <w:t xml:space="preserve"> </w:t>
      </w:r>
      <w:r w:rsidR="0052363C">
        <w:t xml:space="preserve">entered a judgment by default in favour of the respondent on 13 September 2022.  The appellant’s application for the rescission of the judgment was opposed and argued before the Regional Magistrate </w:t>
      </w:r>
      <w:r w:rsidR="00D24696">
        <w:t>Mr Chaitram in the Johannesburg Regional Court on 20 February 2023</w:t>
      </w:r>
      <w:r w:rsidR="0052363C">
        <w:t>.</w:t>
      </w:r>
      <w:r w:rsidR="00D24696">
        <w:t xml:space="preserve">  </w:t>
      </w:r>
      <w:r w:rsidR="00144798">
        <w:t xml:space="preserve">The Court </w:t>
      </w:r>
      <w:r w:rsidR="00021776" w:rsidRPr="00D504FB">
        <w:rPr>
          <w:i/>
        </w:rPr>
        <w:t>a quo</w:t>
      </w:r>
      <w:r w:rsidR="00021776">
        <w:t xml:space="preserve"> </w:t>
      </w:r>
      <w:r w:rsidR="00144798">
        <w:t>dismissed the appellant’s application for a rescission.</w:t>
      </w:r>
      <w:r w:rsidR="00144798">
        <w:rPr>
          <w:rStyle w:val="FootnoteReference"/>
        </w:rPr>
        <w:footnoteReference w:id="1"/>
      </w:r>
      <w:r w:rsidR="00144798">
        <w:t xml:space="preserve"> </w:t>
      </w:r>
      <w:r w:rsidR="00062585">
        <w:t xml:space="preserve">The appellant requested written reasons </w:t>
      </w:r>
      <w:r w:rsidR="00AA6F7B">
        <w:t>on the 30</w:t>
      </w:r>
      <w:r w:rsidR="00AA6F7B" w:rsidRPr="00AA6F7B">
        <w:rPr>
          <w:vertAlign w:val="superscript"/>
        </w:rPr>
        <w:t>th</w:t>
      </w:r>
      <w:r w:rsidR="00AA6F7B">
        <w:t xml:space="preserve"> of March 2023</w:t>
      </w:r>
      <w:r w:rsidR="008D62EE">
        <w:t>,</w:t>
      </w:r>
      <w:r w:rsidR="00AA6F7B">
        <w:t xml:space="preserve"> which written reasons of the Magistrate was received </w:t>
      </w:r>
      <w:r w:rsidR="00021776">
        <w:t xml:space="preserve">by the parties </w:t>
      </w:r>
      <w:r w:rsidR="00AA6F7B">
        <w:t>on the 5</w:t>
      </w:r>
      <w:r w:rsidR="00AA6F7B" w:rsidRPr="00AA6F7B">
        <w:rPr>
          <w:vertAlign w:val="superscript"/>
        </w:rPr>
        <w:t>th</w:t>
      </w:r>
      <w:r w:rsidR="00AA6F7B">
        <w:t xml:space="preserve"> of April 2023. </w:t>
      </w:r>
    </w:p>
    <w:p w14:paraId="1ECF3831" w14:textId="63104708" w:rsidR="008F5E78" w:rsidRDefault="005B4EEB" w:rsidP="005B4EEB">
      <w:pPr>
        <w:pStyle w:val="Heading1"/>
        <w:numPr>
          <w:ilvl w:val="0"/>
          <w:numId w:val="0"/>
        </w:numPr>
        <w:tabs>
          <w:tab w:val="left" w:pos="862"/>
        </w:tabs>
        <w:ind w:left="862" w:hanging="862"/>
      </w:pPr>
      <w:r>
        <w:rPr>
          <w:szCs w:val="24"/>
        </w:rPr>
        <w:t>[3]</w:t>
      </w:r>
      <w:r>
        <w:rPr>
          <w:szCs w:val="24"/>
        </w:rPr>
        <w:tab/>
      </w:r>
      <w:r w:rsidR="008F5E78">
        <w:t xml:space="preserve">It is against this decision </w:t>
      </w:r>
      <w:r w:rsidR="004F2638">
        <w:t xml:space="preserve">of the Magistrate </w:t>
      </w:r>
      <w:r w:rsidR="008F5E78">
        <w:t>to dismiss the appellant’s application for a rescission on the 20</w:t>
      </w:r>
      <w:r w:rsidR="008F5E78" w:rsidRPr="008F5E78">
        <w:rPr>
          <w:vertAlign w:val="superscript"/>
        </w:rPr>
        <w:t>th</w:t>
      </w:r>
      <w:r w:rsidR="008F5E78">
        <w:t xml:space="preserve"> of February 2023 that the appellant seeks to appeal</w:t>
      </w:r>
      <w:r w:rsidR="00021776">
        <w:t>.</w:t>
      </w:r>
    </w:p>
    <w:p w14:paraId="1AE4CEE3" w14:textId="6F4FCA49" w:rsidR="00B43B58" w:rsidRDefault="005B4EEB" w:rsidP="005B4EEB">
      <w:pPr>
        <w:pStyle w:val="Heading1"/>
        <w:numPr>
          <w:ilvl w:val="0"/>
          <w:numId w:val="0"/>
        </w:numPr>
        <w:tabs>
          <w:tab w:val="left" w:pos="862"/>
        </w:tabs>
        <w:ind w:left="862" w:hanging="862"/>
      </w:pPr>
      <w:r>
        <w:rPr>
          <w:szCs w:val="24"/>
        </w:rPr>
        <w:t>[4]</w:t>
      </w:r>
      <w:r>
        <w:rPr>
          <w:szCs w:val="24"/>
        </w:rPr>
        <w:tab/>
      </w:r>
      <w:r w:rsidR="00B43B58">
        <w:t>On the 3</w:t>
      </w:r>
      <w:r w:rsidR="00B43B58" w:rsidRPr="00B43B58">
        <w:rPr>
          <w:vertAlign w:val="superscript"/>
        </w:rPr>
        <w:t>rd</w:t>
      </w:r>
      <w:r w:rsidR="00B43B58">
        <w:t xml:space="preserve"> of May 2023 the appellant noted an appeal</w:t>
      </w:r>
      <w:r w:rsidR="001E52A2">
        <w:t>,</w:t>
      </w:r>
      <w:r w:rsidR="00B43B58">
        <w:t xml:space="preserve"> which became opposed.</w:t>
      </w:r>
      <w:r w:rsidR="00B43B58">
        <w:rPr>
          <w:rStyle w:val="FootnoteReference"/>
        </w:rPr>
        <w:footnoteReference w:id="2"/>
      </w:r>
    </w:p>
    <w:p w14:paraId="43B2E07C" w14:textId="73D9383F" w:rsidR="00B43B58" w:rsidRDefault="005B4EEB" w:rsidP="005B4EEB">
      <w:pPr>
        <w:pStyle w:val="Heading1"/>
        <w:numPr>
          <w:ilvl w:val="0"/>
          <w:numId w:val="0"/>
        </w:numPr>
        <w:tabs>
          <w:tab w:val="left" w:pos="862"/>
        </w:tabs>
        <w:ind w:left="862" w:hanging="862"/>
      </w:pPr>
      <w:r>
        <w:rPr>
          <w:szCs w:val="24"/>
        </w:rPr>
        <w:t>[5]</w:t>
      </w:r>
      <w:r>
        <w:rPr>
          <w:szCs w:val="24"/>
        </w:rPr>
        <w:tab/>
      </w:r>
      <w:r w:rsidR="00B43B58">
        <w:t xml:space="preserve">The appellant served and filed heads of argument </w:t>
      </w:r>
      <w:r w:rsidR="008F2AFB">
        <w:t xml:space="preserve">which </w:t>
      </w:r>
      <w:r w:rsidR="005C7C79">
        <w:t xml:space="preserve">was </w:t>
      </w:r>
      <w:r w:rsidR="008C75E6">
        <w:t xml:space="preserve">duly served </w:t>
      </w:r>
      <w:r w:rsidR="008C75E6">
        <w:lastRenderedPageBreak/>
        <w:t>on the respondent on the 11</w:t>
      </w:r>
      <w:r w:rsidR="008C75E6" w:rsidRPr="008C75E6">
        <w:rPr>
          <w:vertAlign w:val="superscript"/>
        </w:rPr>
        <w:t>th</w:t>
      </w:r>
      <w:r w:rsidR="008C75E6">
        <w:t xml:space="preserve"> of July 2023.</w:t>
      </w:r>
      <w:r w:rsidR="008C75E6">
        <w:rPr>
          <w:rStyle w:val="FootnoteReference"/>
        </w:rPr>
        <w:footnoteReference w:id="3"/>
      </w:r>
    </w:p>
    <w:p w14:paraId="311C18EA" w14:textId="76B0B33E" w:rsidR="008C75E6" w:rsidRDefault="005B4EEB" w:rsidP="005B4EEB">
      <w:pPr>
        <w:pStyle w:val="Heading1"/>
        <w:numPr>
          <w:ilvl w:val="0"/>
          <w:numId w:val="0"/>
        </w:numPr>
        <w:tabs>
          <w:tab w:val="left" w:pos="862"/>
        </w:tabs>
        <w:ind w:left="862" w:hanging="862"/>
      </w:pPr>
      <w:r>
        <w:rPr>
          <w:szCs w:val="24"/>
        </w:rPr>
        <w:t>[6]</w:t>
      </w:r>
      <w:r>
        <w:rPr>
          <w:szCs w:val="24"/>
        </w:rPr>
        <w:tab/>
      </w:r>
      <w:r w:rsidR="008C75E6">
        <w:t xml:space="preserve">The appellant has subsequently allowed its appeal to lapse.  What </w:t>
      </w:r>
      <w:r w:rsidR="00D77C4E">
        <w:t xml:space="preserve">was </w:t>
      </w:r>
      <w:r w:rsidR="008C75E6">
        <w:t>outstanding was the record of the proceedings.</w:t>
      </w:r>
    </w:p>
    <w:p w14:paraId="2B2576FF" w14:textId="509E8AF5" w:rsidR="005049CB" w:rsidRPr="0071483D" w:rsidRDefault="005049CB" w:rsidP="0071483D">
      <w:pPr>
        <w:keepNext/>
        <w:rPr>
          <w:b/>
          <w:bCs/>
          <w:u w:val="single"/>
        </w:rPr>
      </w:pPr>
      <w:r>
        <w:rPr>
          <w:b/>
          <w:bCs/>
          <w:u w:val="single"/>
        </w:rPr>
        <w:t>REINSTATEMENT AND CONDONATION APPLICATIONS</w:t>
      </w:r>
    </w:p>
    <w:p w14:paraId="7C7C9971" w14:textId="71B98F05" w:rsidR="008C75E6" w:rsidRDefault="005B4EEB" w:rsidP="005B4EEB">
      <w:pPr>
        <w:pStyle w:val="Heading1"/>
        <w:numPr>
          <w:ilvl w:val="0"/>
          <w:numId w:val="0"/>
        </w:numPr>
        <w:tabs>
          <w:tab w:val="left" w:pos="862"/>
        </w:tabs>
        <w:ind w:left="862" w:hanging="862"/>
      </w:pPr>
      <w:r>
        <w:rPr>
          <w:szCs w:val="24"/>
        </w:rPr>
        <w:t>[7]</w:t>
      </w:r>
      <w:r>
        <w:rPr>
          <w:szCs w:val="24"/>
        </w:rPr>
        <w:tab/>
      </w:r>
      <w:r w:rsidR="008C75E6">
        <w:t xml:space="preserve">The appellant states </w:t>
      </w:r>
      <w:r w:rsidR="008A447E">
        <w:t>in its updated practice note</w:t>
      </w:r>
      <w:r w:rsidR="008A447E">
        <w:rPr>
          <w:rStyle w:val="FootnoteReference"/>
        </w:rPr>
        <w:footnoteReference w:id="4"/>
      </w:r>
      <w:r w:rsidR="008A447E">
        <w:t xml:space="preserve"> </w:t>
      </w:r>
      <w:r w:rsidR="008C75E6">
        <w:t xml:space="preserve">that since the appellant’s laboured under the </w:t>
      </w:r>
      <w:r w:rsidR="00B43D1C">
        <w:rPr>
          <w:i/>
          <w:iCs/>
        </w:rPr>
        <w:t>“</w:t>
      </w:r>
      <w:r w:rsidR="008C75E6" w:rsidRPr="00475029">
        <w:rPr>
          <w:i/>
        </w:rPr>
        <w:t>bona fide</w:t>
      </w:r>
      <w:r w:rsidR="008C75E6">
        <w:t xml:space="preserve"> </w:t>
      </w:r>
      <w:r w:rsidR="008C75E6" w:rsidRPr="00B43D1C">
        <w:rPr>
          <w:i/>
          <w:iCs/>
        </w:rPr>
        <w:t>belief</w:t>
      </w:r>
      <w:r w:rsidR="00B43D1C">
        <w:rPr>
          <w:i/>
          <w:iCs/>
        </w:rPr>
        <w:t xml:space="preserve">” </w:t>
      </w:r>
      <w:r w:rsidR="00B43D1C">
        <w:t xml:space="preserve">that, the proceedings were not recorded, upon an enquiry from the Registrar at the Regional Court, same proved to be otherwise.  The appellant states that for this reason, a request for a transcription was made and upon receipt thereof, same was uploaded on to CaseLines on 28 August 2023.  </w:t>
      </w:r>
      <w:r w:rsidR="008C75E6">
        <w:t xml:space="preserve"> </w:t>
      </w:r>
      <w:r w:rsidR="008A447E">
        <w:t xml:space="preserve">However in its application for condonation the appellant states </w:t>
      </w:r>
      <w:r w:rsidR="00FE5F2C">
        <w:t xml:space="preserve">under oath </w:t>
      </w:r>
      <w:r w:rsidR="008A447E">
        <w:t xml:space="preserve">that </w:t>
      </w:r>
      <w:r w:rsidR="008A447E" w:rsidRPr="008A447E">
        <w:rPr>
          <w:i/>
          <w:iCs/>
        </w:rPr>
        <w:t>“the appeal record was not available at the time”</w:t>
      </w:r>
      <w:r w:rsidR="008A447E">
        <w:t>.</w:t>
      </w:r>
      <w:r w:rsidR="00A16F89">
        <w:rPr>
          <w:rStyle w:val="FootnoteReference"/>
        </w:rPr>
        <w:footnoteReference w:id="5"/>
      </w:r>
    </w:p>
    <w:p w14:paraId="74A737FB" w14:textId="695B6188" w:rsidR="00FE5F2C" w:rsidRDefault="005B4EEB" w:rsidP="005B4EEB">
      <w:pPr>
        <w:pStyle w:val="Heading1"/>
        <w:numPr>
          <w:ilvl w:val="0"/>
          <w:numId w:val="0"/>
        </w:numPr>
        <w:tabs>
          <w:tab w:val="left" w:pos="862"/>
        </w:tabs>
        <w:ind w:left="862" w:hanging="862"/>
      </w:pPr>
      <w:r>
        <w:rPr>
          <w:szCs w:val="24"/>
        </w:rPr>
        <w:t>[8]</w:t>
      </w:r>
      <w:r>
        <w:rPr>
          <w:szCs w:val="24"/>
        </w:rPr>
        <w:tab/>
      </w:r>
      <w:r w:rsidR="00FE5F2C">
        <w:t>The reinstatement application was only served on the 10</w:t>
      </w:r>
      <w:r w:rsidR="00FE5F2C" w:rsidRPr="00FE5F2C">
        <w:rPr>
          <w:vertAlign w:val="superscript"/>
        </w:rPr>
        <w:t>th</w:t>
      </w:r>
      <w:r w:rsidR="00FE5F2C">
        <w:t xml:space="preserve"> of April 2024</w:t>
      </w:r>
      <w:r w:rsidR="00C16987">
        <w:t>,</w:t>
      </w:r>
      <w:r w:rsidR="00FE5F2C">
        <w:rPr>
          <w:rStyle w:val="FootnoteReference"/>
        </w:rPr>
        <w:footnoteReference w:id="6"/>
      </w:r>
      <w:r w:rsidR="00C16987">
        <w:t xml:space="preserve"> and the condonation application was served on the 12</w:t>
      </w:r>
      <w:r w:rsidR="00C16987" w:rsidRPr="00C16987">
        <w:rPr>
          <w:vertAlign w:val="superscript"/>
        </w:rPr>
        <w:t>th</w:t>
      </w:r>
      <w:r w:rsidR="00C16987">
        <w:t xml:space="preserve"> of April 2024,</w:t>
      </w:r>
      <w:r w:rsidR="00C16987">
        <w:rPr>
          <w:rStyle w:val="FootnoteReference"/>
        </w:rPr>
        <w:footnoteReference w:id="7"/>
      </w:r>
      <w:r w:rsidR="00C16987">
        <w:t xml:space="preserve">  after it was pointed out in the respondent’s heads of argument that there had been no application.  The respondent states that at the time of filing of the heads of argument no reinstatement application had been served.</w:t>
      </w:r>
      <w:r w:rsidR="00C16987">
        <w:rPr>
          <w:rStyle w:val="FootnoteReference"/>
        </w:rPr>
        <w:footnoteReference w:id="8"/>
      </w:r>
    </w:p>
    <w:p w14:paraId="34576661" w14:textId="795C69FF" w:rsidR="00C16987" w:rsidRDefault="005B4EEB" w:rsidP="005B4EEB">
      <w:pPr>
        <w:pStyle w:val="Heading1"/>
        <w:numPr>
          <w:ilvl w:val="0"/>
          <w:numId w:val="0"/>
        </w:numPr>
        <w:tabs>
          <w:tab w:val="left" w:pos="862"/>
        </w:tabs>
        <w:ind w:left="862" w:hanging="862"/>
      </w:pPr>
      <w:r>
        <w:rPr>
          <w:szCs w:val="24"/>
        </w:rPr>
        <w:t>[9]</w:t>
      </w:r>
      <w:r>
        <w:rPr>
          <w:szCs w:val="24"/>
        </w:rPr>
        <w:tab/>
      </w:r>
      <w:r w:rsidR="00C16987">
        <w:t xml:space="preserve">The respondent </w:t>
      </w:r>
      <w:r w:rsidR="008F2AFB">
        <w:t xml:space="preserve">argued </w:t>
      </w:r>
      <w:r w:rsidR="00C16987">
        <w:t xml:space="preserve">that the condonation and reinstatement </w:t>
      </w:r>
      <w:r w:rsidR="00C16987">
        <w:lastRenderedPageBreak/>
        <w:t xml:space="preserve">applications are not formally opposed as </w:t>
      </w:r>
      <w:r w:rsidR="008A0B2D">
        <w:t xml:space="preserve">it </w:t>
      </w:r>
      <w:r w:rsidR="00C16987">
        <w:t>wish</w:t>
      </w:r>
      <w:r w:rsidR="008A0B2D">
        <w:t>es</w:t>
      </w:r>
      <w:r w:rsidR="00C16987">
        <w:t xml:space="preserve"> to dispose of the appeal without yet further delay, which such opposition may occasion.  The respondent states that it shall abide the Court’s decision in this regard.</w:t>
      </w:r>
      <w:r w:rsidR="00F15A85">
        <w:rPr>
          <w:rStyle w:val="FootnoteReference"/>
        </w:rPr>
        <w:footnoteReference w:id="9"/>
      </w:r>
      <w:r w:rsidR="00C16987">
        <w:t xml:space="preserve">  The respondent states that it was </w:t>
      </w:r>
      <w:r w:rsidR="008A0B2D">
        <w:t xml:space="preserve">in the process of </w:t>
      </w:r>
      <w:r w:rsidR="00C16987">
        <w:t>taking execution steps in light of the lapsed appeal, which had not been reinstated.  The respondent’s stance is that it does not wish for the matter to be further delayed and that the respondent not be further prejudiced by the tardiness of the appellant.</w:t>
      </w:r>
      <w:r w:rsidR="00F84997">
        <w:t xml:space="preserve">  </w:t>
      </w:r>
    </w:p>
    <w:p w14:paraId="4F6FA394" w14:textId="59F078F0" w:rsidR="00C76860" w:rsidRDefault="005B4EEB" w:rsidP="005B4EEB">
      <w:pPr>
        <w:pStyle w:val="Heading1"/>
        <w:numPr>
          <w:ilvl w:val="0"/>
          <w:numId w:val="0"/>
        </w:numPr>
        <w:tabs>
          <w:tab w:val="left" w:pos="862"/>
        </w:tabs>
        <w:ind w:left="862" w:hanging="862"/>
      </w:pPr>
      <w:r>
        <w:rPr>
          <w:szCs w:val="24"/>
        </w:rPr>
        <w:t>[10]</w:t>
      </w:r>
      <w:r>
        <w:rPr>
          <w:szCs w:val="24"/>
        </w:rPr>
        <w:tab/>
      </w:r>
      <w:r w:rsidR="00C76860">
        <w:t>The respondent in its supplementary heads</w:t>
      </w:r>
      <w:r w:rsidR="00C76860">
        <w:rPr>
          <w:rStyle w:val="FootnoteReference"/>
        </w:rPr>
        <w:footnoteReference w:id="10"/>
      </w:r>
      <w:r w:rsidR="00C76860">
        <w:t xml:space="preserve"> </w:t>
      </w:r>
      <w:r w:rsidR="002E6EA9">
        <w:t xml:space="preserve">argues </w:t>
      </w:r>
      <w:r w:rsidR="004B5AFB">
        <w:t xml:space="preserve">that </w:t>
      </w:r>
      <w:r w:rsidR="00CB6169">
        <w:t xml:space="preserve">the entire attitude adopted by the </w:t>
      </w:r>
      <w:r w:rsidR="004B5AFB">
        <w:t xml:space="preserve">appellant </w:t>
      </w:r>
      <w:r w:rsidR="00CB6169">
        <w:t>in respect of this appeal had been slack and lax</w:t>
      </w:r>
      <w:r w:rsidR="004B5AFB">
        <w:t>,</w:t>
      </w:r>
      <w:r w:rsidR="00CB6169">
        <w:t xml:space="preserve"> that </w:t>
      </w:r>
      <w:r w:rsidR="004B5AFB">
        <w:t>the appellant ha</w:t>
      </w:r>
      <w:r w:rsidR="00FC4273">
        <w:t>d</w:t>
      </w:r>
      <w:r w:rsidR="004B5AFB">
        <w:t xml:space="preserve"> been haphazard and tardy and in circumstances where the approach evidences no intention by them, as </w:t>
      </w:r>
      <w:r w:rsidR="004B5AFB" w:rsidRPr="0071483D">
        <w:rPr>
          <w:i/>
          <w:iCs/>
        </w:rPr>
        <w:t>dominus lit</w:t>
      </w:r>
      <w:r w:rsidR="00FC4273" w:rsidRPr="0071483D">
        <w:rPr>
          <w:i/>
          <w:iCs/>
        </w:rPr>
        <w:t>i</w:t>
      </w:r>
      <w:r w:rsidR="004B5AFB" w:rsidRPr="0071483D">
        <w:rPr>
          <w:i/>
          <w:iCs/>
        </w:rPr>
        <w:t>s</w:t>
      </w:r>
      <w:r w:rsidR="00FC4273">
        <w:t>, to advance the matter.</w:t>
      </w:r>
    </w:p>
    <w:p w14:paraId="77880471" w14:textId="6225A9D0" w:rsidR="00083F9A" w:rsidRDefault="005B4EEB" w:rsidP="005B4EEB">
      <w:pPr>
        <w:pStyle w:val="Heading1"/>
        <w:numPr>
          <w:ilvl w:val="0"/>
          <w:numId w:val="0"/>
        </w:numPr>
        <w:tabs>
          <w:tab w:val="left" w:pos="862"/>
        </w:tabs>
        <w:ind w:left="862" w:hanging="862"/>
      </w:pPr>
      <w:r>
        <w:rPr>
          <w:szCs w:val="24"/>
        </w:rPr>
        <w:t>[11]</w:t>
      </w:r>
      <w:r>
        <w:rPr>
          <w:szCs w:val="24"/>
        </w:rPr>
        <w:tab/>
      </w:r>
      <w:r w:rsidR="00083F9A">
        <w:t>The respondent suggests that, should this Court exercise its discretion in not reinstating the appeal, no injustice would be done and it would be contrary to the interests of justice to allow a party who ignores the simple Rules of Practice, such as service</w:t>
      </w:r>
      <w:r w:rsidR="00403A12">
        <w:t>, to flout the Rules and still be allowed to proceed.</w:t>
      </w:r>
      <w:r w:rsidR="00A41010">
        <w:rPr>
          <w:rStyle w:val="FootnoteReference"/>
        </w:rPr>
        <w:footnoteReference w:id="11"/>
      </w:r>
      <w:r w:rsidR="00481680">
        <w:t xml:space="preserve">  </w:t>
      </w:r>
      <w:r w:rsidR="002E6EA9">
        <w:t xml:space="preserve">The respondent argues that the </w:t>
      </w:r>
      <w:r w:rsidR="00481680">
        <w:t>appellant entered into a contract to be supplied with goods was in fact supplied with goods to which it raised no complaint and omitted to make payment in respect of part of the purchase price.</w:t>
      </w:r>
      <w:r w:rsidR="007261A0">
        <w:rPr>
          <w:rStyle w:val="FootnoteReference"/>
        </w:rPr>
        <w:footnoteReference w:id="12"/>
      </w:r>
    </w:p>
    <w:p w14:paraId="493CE4CF" w14:textId="769C3838" w:rsidR="00090BFF" w:rsidRDefault="005B4EEB" w:rsidP="005B4EEB">
      <w:pPr>
        <w:pStyle w:val="Heading1"/>
        <w:numPr>
          <w:ilvl w:val="0"/>
          <w:numId w:val="0"/>
        </w:numPr>
        <w:tabs>
          <w:tab w:val="left" w:pos="862"/>
        </w:tabs>
        <w:ind w:left="862" w:hanging="862"/>
      </w:pPr>
      <w:r>
        <w:rPr>
          <w:szCs w:val="24"/>
        </w:rPr>
        <w:t>[12]</w:t>
      </w:r>
      <w:r>
        <w:rPr>
          <w:szCs w:val="24"/>
        </w:rPr>
        <w:tab/>
      </w:r>
      <w:r w:rsidR="00090BFF">
        <w:t>The appeal is reinstated</w:t>
      </w:r>
      <w:r w:rsidR="00461B78">
        <w:t>.</w:t>
      </w:r>
    </w:p>
    <w:p w14:paraId="366A6919" w14:textId="55FEFC8B" w:rsidR="00580CF8" w:rsidRPr="00580CF8" w:rsidRDefault="00580CF8" w:rsidP="00580CF8">
      <w:pPr>
        <w:pStyle w:val="Heading1"/>
        <w:keepNext/>
        <w:numPr>
          <w:ilvl w:val="0"/>
          <w:numId w:val="0"/>
        </w:numPr>
        <w:rPr>
          <w:b/>
          <w:bCs/>
          <w:u w:val="single"/>
        </w:rPr>
      </w:pPr>
      <w:r>
        <w:rPr>
          <w:b/>
          <w:bCs/>
          <w:u w:val="single"/>
        </w:rPr>
        <w:lastRenderedPageBreak/>
        <w:t>THE MERITS OF THE RESCISSION APPLICATION</w:t>
      </w:r>
    </w:p>
    <w:p w14:paraId="17E03289" w14:textId="40B83A2A" w:rsidR="00C16987" w:rsidRDefault="005B4EEB" w:rsidP="005B4EEB">
      <w:pPr>
        <w:pStyle w:val="Heading1"/>
        <w:numPr>
          <w:ilvl w:val="0"/>
          <w:numId w:val="0"/>
        </w:numPr>
        <w:tabs>
          <w:tab w:val="left" w:pos="862"/>
        </w:tabs>
        <w:ind w:left="862" w:hanging="862"/>
      </w:pPr>
      <w:r>
        <w:rPr>
          <w:szCs w:val="24"/>
        </w:rPr>
        <w:t>[13]</w:t>
      </w:r>
      <w:r>
        <w:rPr>
          <w:szCs w:val="24"/>
        </w:rPr>
        <w:tab/>
      </w:r>
      <w:r w:rsidR="00C16987">
        <w:t>The</w:t>
      </w:r>
      <w:r w:rsidR="00580CF8">
        <w:t xml:space="preserve"> appellant’s rescission application in the Court </w:t>
      </w:r>
      <w:r w:rsidR="00580CF8" w:rsidRPr="00D504FB">
        <w:rPr>
          <w:i/>
        </w:rPr>
        <w:t>a quo</w:t>
      </w:r>
      <w:r w:rsidR="00580CF8">
        <w:t xml:space="preserve"> was launched in terms of the provisions of section 36(1)(b) read with Rule 49(3) and (8)</w:t>
      </w:r>
      <w:r w:rsidR="00EF5B16">
        <w:t>.</w:t>
      </w:r>
      <w:r w:rsidR="00580CF8">
        <w:rPr>
          <w:rStyle w:val="FootnoteReference"/>
        </w:rPr>
        <w:footnoteReference w:id="13"/>
      </w:r>
    </w:p>
    <w:p w14:paraId="09F77D02" w14:textId="196E8A31" w:rsidR="00EF5B16" w:rsidRDefault="005B4EEB" w:rsidP="005B4EEB">
      <w:pPr>
        <w:pStyle w:val="Heading1"/>
        <w:numPr>
          <w:ilvl w:val="0"/>
          <w:numId w:val="0"/>
        </w:numPr>
        <w:tabs>
          <w:tab w:val="left" w:pos="862"/>
        </w:tabs>
        <w:ind w:left="862" w:hanging="862"/>
      </w:pPr>
      <w:r>
        <w:rPr>
          <w:szCs w:val="24"/>
        </w:rPr>
        <w:t>[14]</w:t>
      </w:r>
      <w:r>
        <w:rPr>
          <w:szCs w:val="24"/>
        </w:rPr>
        <w:tab/>
      </w:r>
      <w:r w:rsidR="00EF5B16">
        <w:t>Section 36(1)(b)</w:t>
      </w:r>
      <w:r w:rsidR="00EF5B16">
        <w:rPr>
          <w:rStyle w:val="FootnoteReference"/>
        </w:rPr>
        <w:footnoteReference w:id="14"/>
      </w:r>
      <w:r w:rsidR="00EF5B16">
        <w:t xml:space="preserve"> reads</w:t>
      </w:r>
      <w:r w:rsidR="00AA1387">
        <w:t>:</w:t>
      </w:r>
    </w:p>
    <w:p w14:paraId="264416D8" w14:textId="02C408DD" w:rsidR="004F5875" w:rsidRDefault="00AA1387" w:rsidP="004F5875">
      <w:pPr>
        <w:pStyle w:val="Heading1"/>
        <w:numPr>
          <w:ilvl w:val="0"/>
          <w:numId w:val="0"/>
        </w:numPr>
        <w:ind w:left="1871" w:hanging="1009"/>
        <w:rPr>
          <w:i/>
          <w:iCs/>
        </w:rPr>
      </w:pPr>
      <w:r>
        <w:rPr>
          <w:i/>
          <w:iCs/>
        </w:rPr>
        <w:t>“</w:t>
      </w:r>
      <w:r w:rsidR="00C111B6">
        <w:rPr>
          <w:i/>
          <w:iCs/>
        </w:rPr>
        <w:t>(1)</w:t>
      </w:r>
      <w:r w:rsidR="00C111B6">
        <w:rPr>
          <w:i/>
          <w:iCs/>
        </w:rPr>
        <w:tab/>
      </w:r>
      <w:r>
        <w:rPr>
          <w:i/>
          <w:iCs/>
        </w:rPr>
        <w:t xml:space="preserve">The Court may, </w:t>
      </w:r>
      <w:r w:rsidRPr="00AA1387">
        <w:rPr>
          <w:i/>
          <w:iCs/>
          <w:u w:val="single"/>
        </w:rPr>
        <w:t>upon application</w:t>
      </w:r>
      <w:r>
        <w:rPr>
          <w:i/>
          <w:iCs/>
        </w:rPr>
        <w:t xml:space="preserve"> by any person affected thereby, or, in cases falling under paragraph (c)</w:t>
      </w:r>
      <w:r w:rsidR="004F5875" w:rsidRPr="004F5875">
        <w:rPr>
          <w:i/>
          <w:iCs/>
        </w:rPr>
        <w:t>, suo motu</w:t>
      </w:r>
      <w:r w:rsidR="004F5875">
        <w:rPr>
          <w:i/>
          <w:iCs/>
        </w:rPr>
        <w:t xml:space="preserve"> –</w:t>
      </w:r>
    </w:p>
    <w:p w14:paraId="3AF24F05" w14:textId="241F5C86" w:rsidR="00E760EA" w:rsidRDefault="00C111B6" w:rsidP="00E760EA">
      <w:pPr>
        <w:pStyle w:val="Heading1"/>
        <w:numPr>
          <w:ilvl w:val="0"/>
          <w:numId w:val="0"/>
        </w:numPr>
        <w:ind w:left="3022" w:hanging="2160"/>
      </w:pPr>
      <w:r>
        <w:rPr>
          <w:i/>
          <w:iCs/>
        </w:rPr>
        <w:tab/>
      </w:r>
      <w:r w:rsidR="004F5875" w:rsidRPr="004F5875">
        <w:rPr>
          <w:i/>
          <w:iCs/>
        </w:rPr>
        <w:t>(</w:t>
      </w:r>
      <w:r w:rsidR="00E760EA">
        <w:rPr>
          <w:i/>
          <w:iCs/>
        </w:rPr>
        <w:t>d</w:t>
      </w:r>
      <w:r w:rsidR="004F5875" w:rsidRPr="004F5875">
        <w:rPr>
          <w:i/>
          <w:iCs/>
        </w:rPr>
        <w:t xml:space="preserve">) </w:t>
      </w:r>
      <w:r>
        <w:rPr>
          <w:i/>
          <w:iCs/>
        </w:rPr>
        <w:tab/>
      </w:r>
      <w:r w:rsidR="004F5875" w:rsidRPr="004F5875">
        <w:rPr>
          <w:i/>
          <w:iCs/>
        </w:rPr>
        <w:t xml:space="preserve">rescind or vary any judgment granted by it </w:t>
      </w:r>
      <w:r w:rsidR="009D7162">
        <w:rPr>
          <w:i/>
          <w:iCs/>
        </w:rPr>
        <w:t xml:space="preserve">which was void </w:t>
      </w:r>
      <w:r w:rsidR="009D7162" w:rsidRPr="00E760EA">
        <w:rPr>
          <w:i/>
          <w:iCs/>
          <w:u w:val="single"/>
        </w:rPr>
        <w:t>ab origine</w:t>
      </w:r>
      <w:r w:rsidR="009D7162">
        <w:rPr>
          <w:i/>
          <w:iCs/>
        </w:rPr>
        <w:t>;</w:t>
      </w:r>
      <w:r w:rsidR="00E760EA">
        <w:rPr>
          <w:i/>
          <w:iCs/>
        </w:rPr>
        <w:t xml:space="preserve">”  </w:t>
      </w:r>
      <w:r w:rsidR="00E760EA">
        <w:t>(Emphasis added)</w:t>
      </w:r>
    </w:p>
    <w:p w14:paraId="7EB4ABFB" w14:textId="74A92E9F" w:rsidR="00E760EA" w:rsidRDefault="005B4EEB" w:rsidP="005B4EEB">
      <w:pPr>
        <w:pStyle w:val="Heading1"/>
        <w:numPr>
          <w:ilvl w:val="0"/>
          <w:numId w:val="0"/>
        </w:numPr>
        <w:tabs>
          <w:tab w:val="left" w:pos="862"/>
        </w:tabs>
        <w:ind w:left="862" w:hanging="862"/>
      </w:pPr>
      <w:r>
        <w:rPr>
          <w:szCs w:val="24"/>
        </w:rPr>
        <w:t>[15]</w:t>
      </w:r>
      <w:r>
        <w:rPr>
          <w:szCs w:val="24"/>
        </w:rPr>
        <w:tab/>
      </w:r>
      <w:r w:rsidR="00E760EA">
        <w:t>Rule 49(3) reads:</w:t>
      </w:r>
    </w:p>
    <w:p w14:paraId="3C0FDC5C" w14:textId="7507F894" w:rsidR="00E760EA" w:rsidRDefault="00E760EA" w:rsidP="002F4DF1">
      <w:pPr>
        <w:ind w:left="1871" w:hanging="1871"/>
      </w:pPr>
      <w:r>
        <w:tab/>
      </w:r>
      <w:r>
        <w:tab/>
      </w:r>
      <w:r>
        <w:rPr>
          <w:i/>
          <w:iCs/>
        </w:rPr>
        <w:t>“</w:t>
      </w:r>
      <w:r w:rsidR="002F4DF1">
        <w:rPr>
          <w:i/>
          <w:iCs/>
        </w:rPr>
        <w:t xml:space="preserve">Where an application for rescission of a default judgment is made by a defendant against whom the judgment was granted, who wishes to defend the proceedings, the application must be supported by an affidavit setting out the reasons for the </w:t>
      </w:r>
      <w:r w:rsidR="002F4DF1" w:rsidRPr="002F4DF1">
        <w:rPr>
          <w:i/>
          <w:iCs/>
          <w:u w:val="single"/>
        </w:rPr>
        <w:t>defendant’s absence or default</w:t>
      </w:r>
      <w:r w:rsidR="002F4DF1">
        <w:rPr>
          <w:i/>
          <w:iCs/>
        </w:rPr>
        <w:t xml:space="preserve"> and the </w:t>
      </w:r>
      <w:r w:rsidR="002F4DF1" w:rsidRPr="002F4DF1">
        <w:rPr>
          <w:i/>
          <w:iCs/>
          <w:u w:val="single"/>
        </w:rPr>
        <w:t>grounds of the defendant’s defence to the claim</w:t>
      </w:r>
      <w:r w:rsidR="002F4DF1">
        <w:rPr>
          <w:i/>
          <w:iCs/>
        </w:rPr>
        <w:t xml:space="preserve">.”  </w:t>
      </w:r>
      <w:r w:rsidR="002F4DF1">
        <w:t>(Emphasis added)</w:t>
      </w:r>
    </w:p>
    <w:p w14:paraId="7E5CDD1D" w14:textId="383C1973" w:rsidR="002F4DF1" w:rsidRDefault="005B4EEB" w:rsidP="005B4EEB">
      <w:pPr>
        <w:pStyle w:val="Heading1"/>
        <w:numPr>
          <w:ilvl w:val="0"/>
          <w:numId w:val="0"/>
        </w:numPr>
        <w:tabs>
          <w:tab w:val="left" w:pos="862"/>
        </w:tabs>
        <w:ind w:left="862" w:hanging="862"/>
      </w:pPr>
      <w:r>
        <w:rPr>
          <w:szCs w:val="24"/>
        </w:rPr>
        <w:t>[16]</w:t>
      </w:r>
      <w:r>
        <w:rPr>
          <w:szCs w:val="24"/>
        </w:rPr>
        <w:tab/>
      </w:r>
      <w:r w:rsidR="002F4DF1">
        <w:t>Rule 49(8)</w:t>
      </w:r>
      <w:r w:rsidR="0003276B">
        <w:rPr>
          <w:rStyle w:val="FootnoteReference"/>
        </w:rPr>
        <w:footnoteReference w:id="15"/>
      </w:r>
      <w:r w:rsidR="002F4DF1">
        <w:t xml:space="preserve"> reads:</w:t>
      </w:r>
    </w:p>
    <w:p w14:paraId="39A1FAB7" w14:textId="01DF85E2" w:rsidR="002F4DF1" w:rsidRDefault="002F4DF1" w:rsidP="0003276B">
      <w:pPr>
        <w:ind w:left="1871" w:hanging="1871"/>
        <w:rPr>
          <w:i/>
          <w:iCs/>
        </w:rPr>
      </w:pPr>
      <w:r>
        <w:tab/>
      </w:r>
      <w:r>
        <w:tab/>
      </w:r>
      <w:r w:rsidR="00993BC1">
        <w:rPr>
          <w:i/>
          <w:iCs/>
        </w:rPr>
        <w:t xml:space="preserve">“Where the rescission or variation of a judgment is sought on the </w:t>
      </w:r>
      <w:r w:rsidR="00993BC1">
        <w:rPr>
          <w:i/>
          <w:iCs/>
        </w:rPr>
        <w:lastRenderedPageBreak/>
        <w:t>ground that it is void from the beginning, or was obtained by fraud or mistake, the application must be served and filed within one year after the applicant first had knowledge of such voidness, fraud or mistake.</w:t>
      </w:r>
      <w:r w:rsidR="009B42AA">
        <w:rPr>
          <w:i/>
          <w:iCs/>
        </w:rPr>
        <w:t>”</w:t>
      </w:r>
    </w:p>
    <w:p w14:paraId="1EDC4714" w14:textId="065CFBFF" w:rsidR="009B42AA" w:rsidRPr="00993BC1" w:rsidRDefault="005B4EEB" w:rsidP="005B4EEB">
      <w:pPr>
        <w:pStyle w:val="Heading1"/>
        <w:numPr>
          <w:ilvl w:val="0"/>
          <w:numId w:val="0"/>
        </w:numPr>
        <w:tabs>
          <w:tab w:val="left" w:pos="862"/>
        </w:tabs>
        <w:ind w:left="862" w:hanging="862"/>
      </w:pPr>
      <w:r w:rsidRPr="00993BC1">
        <w:rPr>
          <w:szCs w:val="24"/>
        </w:rPr>
        <w:t>[17]</w:t>
      </w:r>
      <w:r w:rsidRPr="00993BC1">
        <w:rPr>
          <w:szCs w:val="24"/>
        </w:rPr>
        <w:tab/>
      </w:r>
      <w:r w:rsidR="009B42AA">
        <w:t xml:space="preserve">In the SCA decision of </w:t>
      </w:r>
      <w:r w:rsidR="009B42AA">
        <w:rPr>
          <w:b/>
          <w:bCs/>
          <w:i/>
          <w:iCs/>
        </w:rPr>
        <w:t xml:space="preserve">Bayport </w:t>
      </w:r>
      <w:r w:rsidR="005D7F6D">
        <w:rPr>
          <w:b/>
          <w:bCs/>
          <w:i/>
          <w:iCs/>
        </w:rPr>
        <w:t>Securitisation v Sakata</w:t>
      </w:r>
      <w:r w:rsidR="005D7F6D" w:rsidRPr="00A6608A">
        <w:rPr>
          <w:rStyle w:val="FootnoteReference"/>
        </w:rPr>
        <w:footnoteReference w:id="16"/>
      </w:r>
      <w:r w:rsidR="00A6608A">
        <w:rPr>
          <w:b/>
          <w:bCs/>
          <w:i/>
          <w:iCs/>
        </w:rPr>
        <w:t xml:space="preserve"> </w:t>
      </w:r>
      <w:r w:rsidR="00A6608A">
        <w:t>the Court held that:</w:t>
      </w:r>
    </w:p>
    <w:p w14:paraId="26FA27DF" w14:textId="665B90BB" w:rsidR="00AA1387" w:rsidRDefault="003E383D" w:rsidP="003E383D">
      <w:pPr>
        <w:pStyle w:val="Heading1"/>
        <w:numPr>
          <w:ilvl w:val="0"/>
          <w:numId w:val="0"/>
        </w:numPr>
        <w:ind w:left="1871" w:hanging="1009"/>
      </w:pPr>
      <w:r>
        <w:rPr>
          <w:i/>
          <w:iCs/>
        </w:rPr>
        <w:tab/>
        <w:t>“</w:t>
      </w:r>
      <w:r w:rsidRPr="003E383D">
        <w:rPr>
          <w:i/>
          <w:iCs/>
        </w:rPr>
        <w:t xml:space="preserve">A proper reading of the rules makes it plain that where the objection is that the judgment is void ab origine compliance with rule 49(3) is peremptory. The defence to the claim must be set out with sufficient particularity to enable the court to decide </w:t>
      </w:r>
      <w:r w:rsidRPr="003E383D">
        <w:rPr>
          <w:i/>
          <w:iCs/>
          <w:u w:val="single"/>
        </w:rPr>
        <w:t>whether there is a valid and bona fide defence</w:t>
      </w:r>
      <w:r w:rsidRPr="003E383D">
        <w:rPr>
          <w:i/>
          <w:iCs/>
        </w:rPr>
        <w:t>.</w:t>
      </w:r>
      <w:r>
        <w:rPr>
          <w:i/>
          <w:iCs/>
        </w:rPr>
        <w:t xml:space="preserve">”  </w:t>
      </w:r>
      <w:r>
        <w:t>(Emphasis added)</w:t>
      </w:r>
    </w:p>
    <w:p w14:paraId="72F53DB8" w14:textId="218BAC48" w:rsidR="003E383D" w:rsidRDefault="005B4EEB" w:rsidP="005B4EEB">
      <w:pPr>
        <w:pStyle w:val="Heading1"/>
        <w:numPr>
          <w:ilvl w:val="0"/>
          <w:numId w:val="0"/>
        </w:numPr>
        <w:tabs>
          <w:tab w:val="left" w:pos="862"/>
        </w:tabs>
        <w:ind w:left="862" w:hanging="862"/>
      </w:pPr>
      <w:r>
        <w:rPr>
          <w:szCs w:val="24"/>
        </w:rPr>
        <w:t>[18]</w:t>
      </w:r>
      <w:r>
        <w:rPr>
          <w:szCs w:val="24"/>
        </w:rPr>
        <w:tab/>
      </w:r>
      <w:r w:rsidR="003E383D">
        <w:t xml:space="preserve">Cited in </w:t>
      </w:r>
      <w:r w:rsidR="003E383D">
        <w:rPr>
          <w:b/>
          <w:bCs/>
          <w:i/>
          <w:iCs/>
        </w:rPr>
        <w:t xml:space="preserve">Bayport </w:t>
      </w:r>
      <w:r w:rsidR="003E383D">
        <w:t xml:space="preserve">with approval is the earlier SCA decision of </w:t>
      </w:r>
      <w:r w:rsidR="008B5D8E" w:rsidRPr="008B5D8E">
        <w:rPr>
          <w:b/>
          <w:bCs/>
          <w:i/>
          <w:iCs/>
        </w:rPr>
        <w:t>Leo Manufacturing CC v Robor Industrial (Pty) Ltd</w:t>
      </w:r>
      <w:r w:rsidR="00FC567C">
        <w:rPr>
          <w:i/>
          <w:iCs/>
        </w:rPr>
        <w:t>,</w:t>
      </w:r>
      <w:r w:rsidR="00E036CF">
        <w:rPr>
          <w:rStyle w:val="FootnoteReference"/>
        </w:rPr>
        <w:footnoteReference w:id="17"/>
      </w:r>
      <w:r w:rsidR="00FC567C">
        <w:t xml:space="preserve"> wherein the Court elaborated on the requirements and the appellant for rescission in such circumstances </w:t>
      </w:r>
      <w:r w:rsidR="00260581">
        <w:t>must meet, namely:</w:t>
      </w:r>
    </w:p>
    <w:p w14:paraId="2C55782F" w14:textId="1DBC258A" w:rsidR="00B8219B" w:rsidRDefault="00260581" w:rsidP="00605B5B">
      <w:pPr>
        <w:ind w:left="1871" w:hanging="1871"/>
        <w:rPr>
          <w:i/>
          <w:iCs/>
        </w:rPr>
      </w:pPr>
      <w:r>
        <w:tab/>
      </w:r>
      <w:r>
        <w:tab/>
      </w:r>
      <w:r>
        <w:rPr>
          <w:i/>
          <w:iCs/>
        </w:rPr>
        <w:t>“</w:t>
      </w:r>
      <w:r w:rsidR="00DA781B">
        <w:rPr>
          <w:i/>
          <w:iCs/>
        </w:rPr>
        <w:t xml:space="preserve">… </w:t>
      </w:r>
      <w:r>
        <w:rPr>
          <w:i/>
          <w:iCs/>
        </w:rPr>
        <w:t xml:space="preserve">An appellant seeking rescission </w:t>
      </w:r>
      <w:r w:rsidR="00DA781B">
        <w:rPr>
          <w:i/>
          <w:iCs/>
        </w:rPr>
        <w:t xml:space="preserve">of a default judgment on the grounds that the judgment in question is void ab origine must </w:t>
      </w:r>
      <w:r w:rsidR="00DA781B">
        <w:t>(in terms of Rule 49(3)</w:t>
      </w:r>
      <w:r w:rsidR="00F619C6">
        <w:t xml:space="preserve">) </w:t>
      </w:r>
      <w:r w:rsidR="00F619C6">
        <w:rPr>
          <w:i/>
          <w:iCs/>
        </w:rPr>
        <w:t xml:space="preserve">set out a defence “with sufficient particularity” so as to enable the Court to decide whether or not there is a valid and </w:t>
      </w:r>
      <w:r w:rsidR="00F619C6" w:rsidRPr="00F619C6">
        <w:rPr>
          <w:i/>
          <w:iCs/>
        </w:rPr>
        <w:t>bona fide</w:t>
      </w:r>
      <w:r w:rsidR="00F619C6">
        <w:rPr>
          <w:i/>
          <w:iCs/>
        </w:rPr>
        <w:t xml:space="preserve"> defence.”</w:t>
      </w:r>
      <w:r w:rsidR="00B07EE3" w:rsidRPr="00B07EE3">
        <w:rPr>
          <w:rStyle w:val="FootnoteReference"/>
        </w:rPr>
        <w:footnoteReference w:id="18"/>
      </w:r>
      <w:r w:rsidR="00CB3C5F">
        <w:rPr>
          <w:i/>
          <w:iCs/>
        </w:rPr>
        <w:t xml:space="preserve"> </w:t>
      </w:r>
    </w:p>
    <w:p w14:paraId="15BF1771" w14:textId="2E58D90E" w:rsidR="0082150D" w:rsidRDefault="005B4EEB" w:rsidP="005B4EEB">
      <w:pPr>
        <w:pStyle w:val="Heading1"/>
        <w:numPr>
          <w:ilvl w:val="0"/>
          <w:numId w:val="0"/>
        </w:numPr>
        <w:tabs>
          <w:tab w:val="left" w:pos="862"/>
        </w:tabs>
        <w:ind w:left="862" w:hanging="862"/>
      </w:pPr>
      <w:r>
        <w:rPr>
          <w:szCs w:val="24"/>
        </w:rPr>
        <w:t>[19]</w:t>
      </w:r>
      <w:r>
        <w:rPr>
          <w:szCs w:val="24"/>
        </w:rPr>
        <w:tab/>
      </w:r>
      <w:r w:rsidR="00DE76DE">
        <w:t xml:space="preserve">In the rescission application in the Court </w:t>
      </w:r>
      <w:r w:rsidR="00DE76DE" w:rsidRPr="00D504FB">
        <w:rPr>
          <w:i/>
        </w:rPr>
        <w:t>a quo</w:t>
      </w:r>
      <w:r w:rsidR="009C62EB">
        <w:t>, t</w:t>
      </w:r>
      <w:r w:rsidR="0082150D">
        <w:t xml:space="preserve">he appellant was required to meet the requirements of Rule 49(3) namely </w:t>
      </w:r>
      <w:r w:rsidR="0082150D">
        <w:rPr>
          <w:i/>
          <w:iCs/>
        </w:rPr>
        <w:t xml:space="preserve">“It must set out the reasons </w:t>
      </w:r>
      <w:r w:rsidR="0082150D">
        <w:rPr>
          <w:i/>
          <w:iCs/>
        </w:rPr>
        <w:lastRenderedPageBreak/>
        <w:t>for the defendant’s absence or default and the grounds of the defendant’s defence to the claim”</w:t>
      </w:r>
      <w:r w:rsidR="009C62EB">
        <w:t>.</w:t>
      </w:r>
    </w:p>
    <w:p w14:paraId="79D377B7" w14:textId="00CC07EE" w:rsidR="009C62EB" w:rsidRDefault="005B4EEB" w:rsidP="005B4EEB">
      <w:pPr>
        <w:pStyle w:val="Heading1"/>
        <w:numPr>
          <w:ilvl w:val="0"/>
          <w:numId w:val="0"/>
        </w:numPr>
        <w:tabs>
          <w:tab w:val="left" w:pos="862"/>
        </w:tabs>
        <w:ind w:left="862" w:hanging="862"/>
      </w:pPr>
      <w:r>
        <w:rPr>
          <w:szCs w:val="24"/>
        </w:rPr>
        <w:t>[20]</w:t>
      </w:r>
      <w:r>
        <w:rPr>
          <w:szCs w:val="24"/>
        </w:rPr>
        <w:tab/>
      </w:r>
      <w:r w:rsidR="009C62EB">
        <w:t>The defendant failed to address the reasons for its default at all in its application</w:t>
      </w:r>
      <w:r w:rsidR="006F2582">
        <w:t xml:space="preserve"> for rescission</w:t>
      </w:r>
      <w:r w:rsidR="009C62EB">
        <w:t>.</w:t>
      </w:r>
      <w:r w:rsidR="00F14BF5">
        <w:rPr>
          <w:rStyle w:val="FootnoteReference"/>
        </w:rPr>
        <w:footnoteReference w:id="19"/>
      </w:r>
      <w:r w:rsidR="009C62EB">
        <w:t xml:space="preserve">  The Magistrate correctly held that the papers explain what steps the appellant had taken after it had discovered </w:t>
      </w:r>
      <w:r w:rsidR="00621D7B">
        <w:t xml:space="preserve">that </w:t>
      </w:r>
      <w:r w:rsidR="009C62EB">
        <w:t xml:space="preserve">judgment </w:t>
      </w:r>
      <w:r w:rsidR="00621D7B">
        <w:t>had been entered against it, but it says nothing about why it allowed the judgment to have been taken, in other words why it did not defend the action.</w:t>
      </w:r>
      <w:r w:rsidR="00621D7B">
        <w:rPr>
          <w:rStyle w:val="FootnoteReference"/>
        </w:rPr>
        <w:footnoteReference w:id="20"/>
      </w:r>
    </w:p>
    <w:p w14:paraId="7114ACF4" w14:textId="683628E7" w:rsidR="00932689" w:rsidRDefault="005B4EEB" w:rsidP="005B4EEB">
      <w:pPr>
        <w:pStyle w:val="Heading1"/>
        <w:numPr>
          <w:ilvl w:val="0"/>
          <w:numId w:val="0"/>
        </w:numPr>
        <w:tabs>
          <w:tab w:val="left" w:pos="862"/>
        </w:tabs>
        <w:ind w:left="862" w:hanging="862"/>
      </w:pPr>
      <w:r>
        <w:rPr>
          <w:szCs w:val="24"/>
        </w:rPr>
        <w:t>[21]</w:t>
      </w:r>
      <w:r>
        <w:rPr>
          <w:szCs w:val="24"/>
        </w:rPr>
        <w:tab/>
      </w:r>
      <w:r w:rsidR="00932689">
        <w:t>The Magist</w:t>
      </w:r>
      <w:r w:rsidR="002A2904">
        <w:t xml:space="preserve">rate correctly held that regarding the appellant’s defence to the claim the appellant’s papers were </w:t>
      </w:r>
      <w:r w:rsidR="002A2904" w:rsidRPr="002A2904">
        <w:rPr>
          <w:i/>
          <w:iCs/>
        </w:rPr>
        <w:t>“somewhat muddled”</w:t>
      </w:r>
      <w:r w:rsidR="00DB1ECF">
        <w:t>.</w:t>
      </w:r>
      <w:r w:rsidR="002A2904">
        <w:rPr>
          <w:rStyle w:val="FootnoteReference"/>
          <w:i/>
          <w:iCs/>
        </w:rPr>
        <w:footnoteReference w:id="21"/>
      </w:r>
      <w:r w:rsidR="00DB1ECF">
        <w:t xml:space="preserve">  The Court </w:t>
      </w:r>
      <w:r w:rsidR="00DB1ECF" w:rsidRPr="00D504FB">
        <w:rPr>
          <w:i/>
        </w:rPr>
        <w:t>a quo</w:t>
      </w:r>
      <w:r w:rsidR="00DB1ECF">
        <w:t xml:space="preserve"> </w:t>
      </w:r>
      <w:r w:rsidR="00065304">
        <w:t>stated that it nevertheless will attempt to isolate the key points made by the defendant in identifying its defence.</w:t>
      </w:r>
    </w:p>
    <w:p w14:paraId="7F3D8FA7" w14:textId="2090A5D2" w:rsidR="00065304" w:rsidRDefault="005B4EEB" w:rsidP="005B4EEB">
      <w:pPr>
        <w:pStyle w:val="Heading1"/>
        <w:numPr>
          <w:ilvl w:val="0"/>
          <w:numId w:val="0"/>
        </w:numPr>
        <w:tabs>
          <w:tab w:val="left" w:pos="862"/>
        </w:tabs>
        <w:ind w:left="862" w:hanging="862"/>
      </w:pPr>
      <w:r>
        <w:rPr>
          <w:szCs w:val="24"/>
        </w:rPr>
        <w:t>[22]</w:t>
      </w:r>
      <w:r>
        <w:rPr>
          <w:szCs w:val="24"/>
        </w:rPr>
        <w:tab/>
      </w:r>
      <w:r w:rsidR="00065304">
        <w:t xml:space="preserve">In the Court </w:t>
      </w:r>
      <w:r w:rsidR="00065304" w:rsidRPr="00D504FB">
        <w:rPr>
          <w:i/>
        </w:rPr>
        <w:t>a quo</w:t>
      </w:r>
      <w:r w:rsidR="00065304">
        <w:t xml:space="preserve"> the appellant merely raised technical issues and a </w:t>
      </w:r>
      <w:r w:rsidR="00065304">
        <w:lastRenderedPageBreak/>
        <w:t>defence(s) had not been raised in respect of the merits.</w:t>
      </w:r>
      <w:r w:rsidR="00846B5D">
        <w:rPr>
          <w:rStyle w:val="FootnoteReference"/>
        </w:rPr>
        <w:footnoteReference w:id="22"/>
      </w:r>
    </w:p>
    <w:p w14:paraId="48001109" w14:textId="314912B7" w:rsidR="00B1293D" w:rsidRDefault="00B1293D" w:rsidP="00B1293D">
      <w:pPr>
        <w:keepNext/>
        <w:rPr>
          <w:b/>
          <w:bCs/>
          <w:u w:val="single"/>
        </w:rPr>
      </w:pPr>
      <w:r w:rsidRPr="00B1293D">
        <w:rPr>
          <w:b/>
          <w:bCs/>
          <w:u w:val="single"/>
        </w:rPr>
        <w:t>TECHNICAL ISSUES RAISED BY THE APPELLANT</w:t>
      </w:r>
      <w:r w:rsidR="00C126BD">
        <w:rPr>
          <w:b/>
          <w:bCs/>
          <w:u w:val="single"/>
        </w:rPr>
        <w:t xml:space="preserve"> IN THE COURT </w:t>
      </w:r>
      <w:r w:rsidR="00C126BD" w:rsidRPr="00C126BD">
        <w:rPr>
          <w:b/>
          <w:bCs/>
          <w:i/>
          <w:u w:val="single"/>
        </w:rPr>
        <w:t>A QUO</w:t>
      </w:r>
    </w:p>
    <w:p w14:paraId="78B38986" w14:textId="1C59153E" w:rsidR="00B1293D" w:rsidRDefault="005B4EEB" w:rsidP="005B4EEB">
      <w:pPr>
        <w:pStyle w:val="Heading1"/>
        <w:numPr>
          <w:ilvl w:val="0"/>
          <w:numId w:val="0"/>
        </w:numPr>
        <w:tabs>
          <w:tab w:val="left" w:pos="862"/>
        </w:tabs>
        <w:ind w:left="862" w:hanging="862"/>
      </w:pPr>
      <w:r>
        <w:rPr>
          <w:szCs w:val="24"/>
        </w:rPr>
        <w:t>[23]</w:t>
      </w:r>
      <w:r>
        <w:rPr>
          <w:szCs w:val="24"/>
        </w:rPr>
        <w:tab/>
      </w:r>
      <w:r w:rsidR="00B1293D" w:rsidRPr="00B1293D">
        <w:t xml:space="preserve"> </w:t>
      </w:r>
      <w:r w:rsidR="000836AB">
        <w:t xml:space="preserve">The appellant essentially raised four grounds for rescission of the judgment on the basis of the appellant possessing a valid and </w:t>
      </w:r>
      <w:r w:rsidR="000836AB" w:rsidRPr="00475029">
        <w:rPr>
          <w:i/>
        </w:rPr>
        <w:t>bona fide</w:t>
      </w:r>
      <w:r w:rsidR="000836AB">
        <w:t xml:space="preserve"> defence that being:</w:t>
      </w:r>
    </w:p>
    <w:p w14:paraId="4CB061F4" w14:textId="4CA62152" w:rsidR="000F390A" w:rsidRDefault="005B4EEB" w:rsidP="005B4EEB">
      <w:pPr>
        <w:pStyle w:val="Heading2"/>
        <w:numPr>
          <w:ilvl w:val="0"/>
          <w:numId w:val="0"/>
        </w:numPr>
        <w:ind w:left="1873" w:hanging="1009"/>
      </w:pPr>
      <w:r>
        <w:t>[23.1]</w:t>
      </w:r>
      <w:r>
        <w:tab/>
      </w:r>
      <w:r w:rsidR="000F390A">
        <w:t>the application of section 133 of the Companies Act 71 of 2008</w:t>
      </w:r>
      <w:r w:rsidR="00914CAF">
        <w:t>;</w:t>
      </w:r>
    </w:p>
    <w:p w14:paraId="4E853C9A" w14:textId="16761F94" w:rsidR="000836AB" w:rsidRDefault="005B4EEB" w:rsidP="005B4EEB">
      <w:pPr>
        <w:pStyle w:val="Heading2"/>
        <w:numPr>
          <w:ilvl w:val="0"/>
          <w:numId w:val="0"/>
        </w:numPr>
        <w:ind w:left="1873" w:hanging="1009"/>
      </w:pPr>
      <w:r>
        <w:t>[23.2]</w:t>
      </w:r>
      <w:r>
        <w:tab/>
      </w:r>
      <w:r w:rsidR="008458CD">
        <w:t>lack of jurisdiction of the Magistrates’ Court to hear the matter;</w:t>
      </w:r>
    </w:p>
    <w:p w14:paraId="48E7DA23" w14:textId="58A6EA44" w:rsidR="008458CD" w:rsidRDefault="005B4EEB" w:rsidP="005B4EEB">
      <w:pPr>
        <w:pStyle w:val="Heading2"/>
        <w:numPr>
          <w:ilvl w:val="0"/>
          <w:numId w:val="0"/>
        </w:numPr>
        <w:ind w:left="1873" w:hanging="1009"/>
      </w:pPr>
      <w:r>
        <w:t>[23.3]</w:t>
      </w:r>
      <w:r>
        <w:tab/>
      </w:r>
      <w:r w:rsidR="008458CD">
        <w:t xml:space="preserve">no </w:t>
      </w:r>
      <w:r w:rsidR="008458CD" w:rsidRPr="0071483D">
        <w:rPr>
          <w:i/>
          <w:iCs/>
        </w:rPr>
        <w:t>locus standi</w:t>
      </w:r>
      <w:r w:rsidR="008458CD">
        <w:t xml:space="preserve"> on the part of the plaintiff/respondent;</w:t>
      </w:r>
    </w:p>
    <w:p w14:paraId="47CAD069" w14:textId="17E5742F" w:rsidR="002C1271" w:rsidRDefault="005B4EEB" w:rsidP="005B4EEB">
      <w:pPr>
        <w:pStyle w:val="Heading2"/>
        <w:numPr>
          <w:ilvl w:val="0"/>
          <w:numId w:val="0"/>
        </w:numPr>
        <w:ind w:left="1873" w:hanging="1009"/>
      </w:pPr>
      <w:r>
        <w:t>[23.4]</w:t>
      </w:r>
      <w:r>
        <w:tab/>
      </w:r>
      <w:r w:rsidR="008458CD">
        <w:t>material non-joinder of Biggietech</w:t>
      </w:r>
      <w:r w:rsidR="00914CAF">
        <w:t>.</w:t>
      </w:r>
    </w:p>
    <w:p w14:paraId="344F3288" w14:textId="6E51B3EA" w:rsidR="003E018F" w:rsidRDefault="0093623B" w:rsidP="002C1271">
      <w:pPr>
        <w:rPr>
          <w:b/>
          <w:bCs/>
          <w:u w:val="single"/>
        </w:rPr>
      </w:pPr>
      <w:r>
        <w:rPr>
          <w:b/>
          <w:bCs/>
          <w:u w:val="single"/>
        </w:rPr>
        <w:t xml:space="preserve">Defence - </w:t>
      </w:r>
      <w:r w:rsidR="003E018F">
        <w:rPr>
          <w:b/>
          <w:bCs/>
          <w:u w:val="single"/>
        </w:rPr>
        <w:t>Application of section 133 of the Companies Act 71 of 2008</w:t>
      </w:r>
    </w:p>
    <w:p w14:paraId="183855DA" w14:textId="61265DB3" w:rsidR="008458CD" w:rsidRDefault="005B4EEB" w:rsidP="005B4EEB">
      <w:pPr>
        <w:pStyle w:val="Heading1"/>
        <w:numPr>
          <w:ilvl w:val="0"/>
          <w:numId w:val="0"/>
        </w:numPr>
        <w:tabs>
          <w:tab w:val="left" w:pos="862"/>
        </w:tabs>
        <w:ind w:left="862" w:hanging="862"/>
      </w:pPr>
      <w:r>
        <w:rPr>
          <w:szCs w:val="24"/>
        </w:rPr>
        <w:t>[24]</w:t>
      </w:r>
      <w:r>
        <w:rPr>
          <w:szCs w:val="24"/>
        </w:rPr>
        <w:tab/>
      </w:r>
      <w:r w:rsidR="00F97CCA">
        <w:t xml:space="preserve">It appears from the founding affidavit </w:t>
      </w:r>
      <w:r w:rsidR="00EC1DC1">
        <w:t xml:space="preserve">in the rescission application in the Court </w:t>
      </w:r>
      <w:r w:rsidR="00EC1DC1" w:rsidRPr="00D504FB">
        <w:rPr>
          <w:i/>
        </w:rPr>
        <w:t>a quo</w:t>
      </w:r>
      <w:r w:rsidR="00EC1DC1">
        <w:t xml:space="preserve"> </w:t>
      </w:r>
      <w:r w:rsidR="00F97CCA">
        <w:t>that the appellant alleges that the provisions of section 133 of the Companies Act 71 of 2008</w:t>
      </w:r>
      <w:r w:rsidR="00B85D97">
        <w:rPr>
          <w:rStyle w:val="FootnoteReference"/>
        </w:rPr>
        <w:footnoteReference w:id="23"/>
      </w:r>
      <w:r w:rsidR="00F97CCA">
        <w:t xml:space="preserve"> creates a bar to the proceedings against the appellant.</w:t>
      </w:r>
      <w:r w:rsidR="00EC1DC1">
        <w:rPr>
          <w:rStyle w:val="FootnoteReference"/>
        </w:rPr>
        <w:footnoteReference w:id="24"/>
      </w:r>
      <w:r w:rsidR="001B0B71">
        <w:t xml:space="preserve">  This defence was however not pursued during argument in the Court </w:t>
      </w:r>
      <w:r w:rsidR="00EE0437" w:rsidRPr="00EE0437">
        <w:rPr>
          <w:i/>
        </w:rPr>
        <w:t>a quo</w:t>
      </w:r>
      <w:r w:rsidR="00EE0437">
        <w:t xml:space="preserve"> and neither during the appellant’s argument in this Court.</w:t>
      </w:r>
    </w:p>
    <w:p w14:paraId="4076BF78" w14:textId="21A20F01" w:rsidR="00882E4B" w:rsidRDefault="005B4EEB" w:rsidP="005B4EEB">
      <w:pPr>
        <w:pStyle w:val="Heading1"/>
        <w:numPr>
          <w:ilvl w:val="0"/>
          <w:numId w:val="0"/>
        </w:numPr>
        <w:tabs>
          <w:tab w:val="left" w:pos="862"/>
        </w:tabs>
        <w:ind w:left="862" w:hanging="862"/>
      </w:pPr>
      <w:r>
        <w:rPr>
          <w:szCs w:val="24"/>
        </w:rPr>
        <w:t>[25]</w:t>
      </w:r>
      <w:r>
        <w:rPr>
          <w:szCs w:val="24"/>
        </w:rPr>
        <w:tab/>
      </w:r>
      <w:r w:rsidR="00882E4B">
        <w:t>Section</w:t>
      </w:r>
      <w:r w:rsidR="00B85D97">
        <w:t xml:space="preserve"> 133 </w:t>
      </w:r>
      <w:r w:rsidR="00C76D7D">
        <w:t>states that:</w:t>
      </w:r>
    </w:p>
    <w:p w14:paraId="5AB0A372" w14:textId="612FFF62" w:rsidR="001B5C02" w:rsidRPr="0071483D" w:rsidRDefault="001B5C02" w:rsidP="0071483D">
      <w:pPr>
        <w:ind w:left="1871" w:hanging="1871"/>
      </w:pPr>
      <w:r>
        <w:lastRenderedPageBreak/>
        <w:tab/>
      </w:r>
      <w:r>
        <w:rPr>
          <w:i/>
          <w:iCs/>
        </w:rPr>
        <w:t>“</w:t>
      </w:r>
      <w:r w:rsidRPr="001B5C02">
        <w:rPr>
          <w:i/>
          <w:iCs/>
        </w:rPr>
        <w:t xml:space="preserve">(1) </w:t>
      </w:r>
      <w:r>
        <w:rPr>
          <w:i/>
          <w:iCs/>
        </w:rPr>
        <w:tab/>
      </w:r>
      <w:r w:rsidRPr="0071483D">
        <w:rPr>
          <w:i/>
          <w:iCs/>
          <w:u w:val="single"/>
        </w:rPr>
        <w:t>During business rescue proceedings</w:t>
      </w:r>
      <w:r w:rsidRPr="001B5C02">
        <w:rPr>
          <w:i/>
          <w:iCs/>
        </w:rPr>
        <w:t>, no legal proceeding, including</w:t>
      </w:r>
      <w:r w:rsidR="007B00CE">
        <w:rPr>
          <w:i/>
          <w:iCs/>
        </w:rPr>
        <w:t xml:space="preserve"> </w:t>
      </w:r>
      <w:r w:rsidRPr="001B5C02">
        <w:rPr>
          <w:i/>
          <w:iCs/>
        </w:rPr>
        <w:t xml:space="preserve">enforcement action, </w:t>
      </w:r>
      <w:r w:rsidRPr="0071483D">
        <w:rPr>
          <w:i/>
          <w:iCs/>
          <w:u w:val="single"/>
        </w:rPr>
        <w:t>against the company</w:t>
      </w:r>
      <w:r w:rsidRPr="001B5C02">
        <w:rPr>
          <w:i/>
          <w:iCs/>
        </w:rPr>
        <w:t>, or in relation to any property belonging to the</w:t>
      </w:r>
      <w:r w:rsidR="007B00CE">
        <w:rPr>
          <w:i/>
          <w:iCs/>
        </w:rPr>
        <w:t xml:space="preserve"> </w:t>
      </w:r>
      <w:r w:rsidRPr="001B5C02">
        <w:rPr>
          <w:i/>
          <w:iCs/>
        </w:rPr>
        <w:t>company, or lawfully in its possession, may be commenced or proceeded with in any</w:t>
      </w:r>
      <w:r w:rsidR="007B00CE">
        <w:rPr>
          <w:i/>
          <w:iCs/>
        </w:rPr>
        <w:t xml:space="preserve"> </w:t>
      </w:r>
      <w:r w:rsidRPr="001B5C02">
        <w:rPr>
          <w:i/>
          <w:iCs/>
        </w:rPr>
        <w:t>forum, except</w:t>
      </w:r>
      <w:r w:rsidR="007B00CE">
        <w:rPr>
          <w:i/>
          <w:iCs/>
        </w:rPr>
        <w:t xml:space="preserve"> …”  </w:t>
      </w:r>
      <w:r w:rsidR="007B00CE">
        <w:t>(Emphasis added)</w:t>
      </w:r>
    </w:p>
    <w:p w14:paraId="4CA6461A" w14:textId="00719D09" w:rsidR="00E6357E" w:rsidRDefault="005B4EEB" w:rsidP="005B4EEB">
      <w:pPr>
        <w:pStyle w:val="Heading1"/>
        <w:numPr>
          <w:ilvl w:val="0"/>
          <w:numId w:val="0"/>
        </w:numPr>
        <w:tabs>
          <w:tab w:val="left" w:pos="862"/>
        </w:tabs>
        <w:ind w:left="862" w:hanging="862"/>
      </w:pPr>
      <w:r>
        <w:rPr>
          <w:szCs w:val="24"/>
        </w:rPr>
        <w:t>[26]</w:t>
      </w:r>
      <w:r>
        <w:rPr>
          <w:szCs w:val="24"/>
        </w:rPr>
        <w:tab/>
      </w:r>
      <w:r w:rsidR="007B00CE">
        <w:t xml:space="preserve">From the papers it is apparent that the appellant (i.e. PRASA) </w:t>
      </w:r>
      <w:r w:rsidR="007B00CE" w:rsidRPr="0071483D">
        <w:rPr>
          <w:u w:val="single"/>
        </w:rPr>
        <w:t>is not</w:t>
      </w:r>
      <w:r w:rsidR="007B00CE">
        <w:t xml:space="preserve"> </w:t>
      </w:r>
      <w:r w:rsidR="00125C76">
        <w:t>in business rescue, however a subsidiary of PRASA namely Autopax</w:t>
      </w:r>
      <w:r w:rsidR="00914CAF">
        <w:t xml:space="preserve"> (Pty) Limited (hereinafter referred to as </w:t>
      </w:r>
      <w:r w:rsidR="00914CAF">
        <w:rPr>
          <w:i/>
          <w:iCs/>
        </w:rPr>
        <w:t>“Autopax”</w:t>
      </w:r>
      <w:r w:rsidR="00914CAF">
        <w:t>)</w:t>
      </w:r>
      <w:r w:rsidR="00125C76">
        <w:t>, is in business rescue.</w:t>
      </w:r>
    </w:p>
    <w:p w14:paraId="6E6A3F42" w14:textId="6FF40BB2" w:rsidR="00125C76" w:rsidRDefault="005B4EEB" w:rsidP="005B4EEB">
      <w:pPr>
        <w:pStyle w:val="Heading1"/>
        <w:numPr>
          <w:ilvl w:val="0"/>
          <w:numId w:val="0"/>
        </w:numPr>
        <w:tabs>
          <w:tab w:val="left" w:pos="862"/>
        </w:tabs>
        <w:ind w:left="862" w:hanging="862"/>
      </w:pPr>
      <w:r>
        <w:rPr>
          <w:szCs w:val="24"/>
        </w:rPr>
        <w:t>[27]</w:t>
      </w:r>
      <w:r>
        <w:rPr>
          <w:szCs w:val="24"/>
        </w:rPr>
        <w:tab/>
      </w:r>
      <w:r w:rsidR="00125C76">
        <w:t xml:space="preserve">This is </w:t>
      </w:r>
      <w:r w:rsidR="00BB3885">
        <w:t xml:space="preserve">of no consequence to the respondent for </w:t>
      </w:r>
      <w:r w:rsidR="000A157B">
        <w:t xml:space="preserve">its </w:t>
      </w:r>
      <w:r w:rsidR="00BB3885">
        <w:t xml:space="preserve">claim </w:t>
      </w:r>
      <w:r w:rsidR="000A157B">
        <w:t xml:space="preserve">is </w:t>
      </w:r>
      <w:r w:rsidR="00BB3885">
        <w:t>against the appellant who is PRASA, not Autopax.  It is apparent that the agreement entered into was between Biggietech</w:t>
      </w:r>
      <w:r w:rsidR="00CB5869">
        <w:t xml:space="preserve"> and the appellant and not between Biggietech and Autopax.  All documents, </w:t>
      </w:r>
      <w:r w:rsidR="00CB5869" w:rsidRPr="0071483D">
        <w:rPr>
          <w:i/>
          <w:iCs/>
        </w:rPr>
        <w:t>ex facie</w:t>
      </w:r>
      <w:r w:rsidR="00CB5869">
        <w:t xml:space="preserve"> evidences the aforesaid.</w:t>
      </w:r>
      <w:r w:rsidR="00CB5869">
        <w:rPr>
          <w:rStyle w:val="FootnoteReference"/>
        </w:rPr>
        <w:footnoteReference w:id="25"/>
      </w:r>
    </w:p>
    <w:p w14:paraId="341D57F6" w14:textId="4414E077" w:rsidR="0093623B" w:rsidRDefault="005B4EEB" w:rsidP="005B4EEB">
      <w:pPr>
        <w:pStyle w:val="Heading1"/>
        <w:numPr>
          <w:ilvl w:val="0"/>
          <w:numId w:val="0"/>
        </w:numPr>
        <w:tabs>
          <w:tab w:val="left" w:pos="862"/>
        </w:tabs>
        <w:ind w:left="862" w:hanging="862"/>
      </w:pPr>
      <w:r>
        <w:rPr>
          <w:szCs w:val="24"/>
        </w:rPr>
        <w:t>[28]</w:t>
      </w:r>
      <w:r>
        <w:rPr>
          <w:szCs w:val="24"/>
        </w:rPr>
        <w:tab/>
      </w:r>
      <w:r w:rsidR="0093623B">
        <w:t xml:space="preserve">The appellant has not established a </w:t>
      </w:r>
      <w:r w:rsidR="0093623B" w:rsidRPr="00475029">
        <w:rPr>
          <w:i/>
        </w:rPr>
        <w:t>bona fide</w:t>
      </w:r>
      <w:r w:rsidR="0093623B">
        <w:t xml:space="preserve"> defence.</w:t>
      </w:r>
    </w:p>
    <w:p w14:paraId="0D2412F5" w14:textId="7920AAC3" w:rsidR="00CB5869" w:rsidRDefault="00A936A9" w:rsidP="00CB5869">
      <w:pPr>
        <w:keepNext/>
        <w:rPr>
          <w:b/>
          <w:bCs/>
          <w:u w:val="single"/>
        </w:rPr>
      </w:pPr>
      <w:r>
        <w:rPr>
          <w:b/>
          <w:bCs/>
          <w:u w:val="single"/>
        </w:rPr>
        <w:t xml:space="preserve">Defence </w:t>
      </w:r>
      <w:r w:rsidR="0093623B">
        <w:rPr>
          <w:b/>
          <w:bCs/>
          <w:u w:val="single"/>
        </w:rPr>
        <w:t>–</w:t>
      </w:r>
      <w:r>
        <w:rPr>
          <w:b/>
          <w:bCs/>
          <w:u w:val="single"/>
        </w:rPr>
        <w:t xml:space="preserve"> Lack of jurisdiction</w:t>
      </w:r>
    </w:p>
    <w:p w14:paraId="7E387CE9" w14:textId="2F82B2DF" w:rsidR="0093623B" w:rsidRDefault="005B4EEB" w:rsidP="005B4EEB">
      <w:pPr>
        <w:pStyle w:val="Heading1"/>
        <w:numPr>
          <w:ilvl w:val="0"/>
          <w:numId w:val="0"/>
        </w:numPr>
        <w:tabs>
          <w:tab w:val="left" w:pos="862"/>
        </w:tabs>
        <w:ind w:left="862" w:hanging="862"/>
      </w:pPr>
      <w:r>
        <w:rPr>
          <w:szCs w:val="24"/>
        </w:rPr>
        <w:t>[29]</w:t>
      </w:r>
      <w:r>
        <w:rPr>
          <w:szCs w:val="24"/>
        </w:rPr>
        <w:tab/>
      </w:r>
      <w:r w:rsidR="0093623B">
        <w:t xml:space="preserve">The Johannesburg Magistrate’s Court had jurisdiction to entertain </w:t>
      </w:r>
      <w:r w:rsidR="009535C8">
        <w:t xml:space="preserve">the rescission application.  From the papers it is apparent that the appellant’s head office </w:t>
      </w:r>
      <w:r w:rsidR="00FD2CDC">
        <w:t xml:space="preserve">has relocated to </w:t>
      </w:r>
      <w:r w:rsidR="009535C8">
        <w:t>Johannesburg</w:t>
      </w:r>
      <w:r w:rsidR="00FD2CDC">
        <w:t>.  Section 2</w:t>
      </w:r>
      <w:r w:rsidR="00082F38">
        <w:t>8</w:t>
      </w:r>
      <w:r w:rsidR="00FD2CDC">
        <w:t>(1)(a) of the Magistrates’ Court Act reads:</w:t>
      </w:r>
      <w:r w:rsidR="009535C8">
        <w:t xml:space="preserve"> </w:t>
      </w:r>
    </w:p>
    <w:p w14:paraId="680FC009" w14:textId="77777777" w:rsidR="002458F3" w:rsidRPr="002458F3" w:rsidRDefault="004951D1" w:rsidP="007A6A22">
      <w:pPr>
        <w:ind w:left="862"/>
        <w:rPr>
          <w:i/>
          <w:iCs/>
        </w:rPr>
      </w:pPr>
      <w:r>
        <w:rPr>
          <w:i/>
          <w:iCs/>
        </w:rPr>
        <w:t>“28</w:t>
      </w:r>
      <w:r w:rsidR="002458F3">
        <w:rPr>
          <w:i/>
          <w:iCs/>
        </w:rPr>
        <w:t>.</w:t>
      </w:r>
      <w:r w:rsidR="002458F3">
        <w:rPr>
          <w:i/>
          <w:iCs/>
        </w:rPr>
        <w:tab/>
      </w:r>
      <w:r w:rsidR="002458F3" w:rsidRPr="0071483D">
        <w:rPr>
          <w:b/>
          <w:bCs/>
          <w:i/>
          <w:iCs/>
        </w:rPr>
        <w:t>Jurisdiction in respect of persons</w:t>
      </w:r>
    </w:p>
    <w:p w14:paraId="6F252449" w14:textId="7A3895A3" w:rsidR="002458F3" w:rsidRPr="002458F3" w:rsidRDefault="007A6A22" w:rsidP="0071483D">
      <w:pPr>
        <w:ind w:left="3022" w:hanging="2160"/>
        <w:rPr>
          <w:i/>
          <w:iCs/>
        </w:rPr>
      </w:pPr>
      <w:r>
        <w:rPr>
          <w:i/>
          <w:iCs/>
        </w:rPr>
        <w:tab/>
      </w:r>
      <w:r w:rsidR="002458F3" w:rsidRPr="002458F3">
        <w:rPr>
          <w:i/>
          <w:iCs/>
        </w:rPr>
        <w:t xml:space="preserve">(1) </w:t>
      </w:r>
      <w:r>
        <w:rPr>
          <w:i/>
          <w:iCs/>
        </w:rPr>
        <w:tab/>
      </w:r>
      <w:r w:rsidR="002458F3" w:rsidRPr="002458F3">
        <w:rPr>
          <w:i/>
          <w:iCs/>
        </w:rPr>
        <w:t>Sav</w:t>
      </w:r>
      <w:r w:rsidR="00110BED">
        <w:rPr>
          <w:i/>
          <w:iCs/>
        </w:rPr>
        <w:t>e in</w:t>
      </w:r>
      <w:r w:rsidR="002458F3" w:rsidRPr="002458F3">
        <w:rPr>
          <w:i/>
          <w:iCs/>
        </w:rPr>
        <w:t xml:space="preserve"> any other jurisdiction assigned to a court by this Act or by any other law,</w:t>
      </w:r>
      <w:r w:rsidR="00110BED">
        <w:rPr>
          <w:i/>
          <w:iCs/>
        </w:rPr>
        <w:t xml:space="preserve"> </w:t>
      </w:r>
      <w:r w:rsidR="002458F3" w:rsidRPr="002458F3">
        <w:rPr>
          <w:i/>
          <w:iCs/>
        </w:rPr>
        <w:t xml:space="preserve">the persons in respect of whom the court shall, subject to subsection (1A), </w:t>
      </w:r>
      <w:r w:rsidR="002458F3" w:rsidRPr="002458F3">
        <w:rPr>
          <w:i/>
          <w:iCs/>
        </w:rPr>
        <w:lastRenderedPageBreak/>
        <w:t>have</w:t>
      </w:r>
      <w:r w:rsidR="00110BED">
        <w:rPr>
          <w:i/>
          <w:iCs/>
        </w:rPr>
        <w:t xml:space="preserve"> </w:t>
      </w:r>
      <w:r w:rsidR="002458F3" w:rsidRPr="002458F3">
        <w:rPr>
          <w:i/>
          <w:iCs/>
        </w:rPr>
        <w:t>jurisdiction shall be the following and no other:</w:t>
      </w:r>
    </w:p>
    <w:p w14:paraId="0907A3B0" w14:textId="41CFD00A" w:rsidR="002458F3" w:rsidRDefault="00952204" w:rsidP="00952204">
      <w:pPr>
        <w:ind w:left="4321" w:hanging="3459"/>
        <w:rPr>
          <w:i/>
          <w:iCs/>
        </w:rPr>
      </w:pPr>
      <w:r>
        <w:rPr>
          <w:i/>
          <w:iCs/>
        </w:rPr>
        <w:tab/>
      </w:r>
      <w:r>
        <w:rPr>
          <w:i/>
          <w:iCs/>
        </w:rPr>
        <w:tab/>
      </w:r>
      <w:r w:rsidR="002458F3" w:rsidRPr="002458F3">
        <w:rPr>
          <w:i/>
          <w:iCs/>
        </w:rPr>
        <w:t xml:space="preserve">(a) </w:t>
      </w:r>
      <w:r>
        <w:rPr>
          <w:i/>
          <w:iCs/>
        </w:rPr>
        <w:tab/>
      </w:r>
      <w:r w:rsidR="002458F3" w:rsidRPr="002458F3">
        <w:rPr>
          <w:i/>
          <w:iCs/>
        </w:rPr>
        <w:t>Any person who resides, carries on business or is employed within the</w:t>
      </w:r>
      <w:r>
        <w:rPr>
          <w:i/>
          <w:iCs/>
        </w:rPr>
        <w:t xml:space="preserve"> </w:t>
      </w:r>
      <w:r w:rsidR="002458F3" w:rsidRPr="002458F3">
        <w:rPr>
          <w:i/>
          <w:iCs/>
        </w:rPr>
        <w:t>district or regional division;</w:t>
      </w:r>
      <w:r>
        <w:rPr>
          <w:i/>
          <w:iCs/>
        </w:rPr>
        <w:t>”</w:t>
      </w:r>
    </w:p>
    <w:p w14:paraId="1EB6301C" w14:textId="7C3F9D4E" w:rsidR="00952204" w:rsidRDefault="005B4EEB" w:rsidP="005B4EEB">
      <w:pPr>
        <w:pStyle w:val="Heading1"/>
        <w:numPr>
          <w:ilvl w:val="0"/>
          <w:numId w:val="0"/>
        </w:numPr>
        <w:tabs>
          <w:tab w:val="left" w:pos="862"/>
        </w:tabs>
        <w:ind w:left="862" w:hanging="862"/>
      </w:pPr>
      <w:r>
        <w:rPr>
          <w:szCs w:val="24"/>
        </w:rPr>
        <w:t>[30]</w:t>
      </w:r>
      <w:r>
        <w:rPr>
          <w:szCs w:val="24"/>
        </w:rPr>
        <w:tab/>
      </w:r>
      <w:r w:rsidR="00F25916">
        <w:t xml:space="preserve">The respondent argues that the </w:t>
      </w:r>
      <w:r w:rsidR="00952204">
        <w:t xml:space="preserve">initial and aborted attempt to institute the proceedings in Pretoria </w:t>
      </w:r>
      <w:r w:rsidR="00F25916">
        <w:t>has nothing to do with the allegation that the plaintiff wanted to sue Autopax</w:t>
      </w:r>
      <w:r w:rsidR="0068381A">
        <w:rPr>
          <w:rStyle w:val="FootnoteReference"/>
        </w:rPr>
        <w:footnoteReference w:id="26"/>
      </w:r>
      <w:r w:rsidR="008F2CF0">
        <w:t xml:space="preserve"> – it relates solely to the location of the appellant’s </w:t>
      </w:r>
      <w:r w:rsidR="00E850F2">
        <w:t>head office</w:t>
      </w:r>
      <w:r w:rsidR="00F25916">
        <w:t>.</w:t>
      </w:r>
      <w:r w:rsidR="00E850F2">
        <w:rPr>
          <w:rStyle w:val="FootnoteReference"/>
        </w:rPr>
        <w:footnoteReference w:id="27"/>
      </w:r>
    </w:p>
    <w:p w14:paraId="339B2606" w14:textId="4C127C83" w:rsidR="00276D47" w:rsidRDefault="005B4EEB" w:rsidP="005B4EEB">
      <w:pPr>
        <w:pStyle w:val="Heading1"/>
        <w:numPr>
          <w:ilvl w:val="0"/>
          <w:numId w:val="0"/>
        </w:numPr>
        <w:tabs>
          <w:tab w:val="left" w:pos="862"/>
        </w:tabs>
        <w:ind w:left="862" w:hanging="862"/>
      </w:pPr>
      <w:r>
        <w:rPr>
          <w:szCs w:val="24"/>
        </w:rPr>
        <w:t>[31]</w:t>
      </w:r>
      <w:r>
        <w:rPr>
          <w:szCs w:val="24"/>
        </w:rPr>
        <w:tab/>
      </w:r>
      <w:r w:rsidR="00276D47">
        <w:t>The summons was received at the Johannesburg Head Office of the appellant as conceded to by the appellant.</w:t>
      </w:r>
      <w:r w:rsidR="006E4277">
        <w:t xml:space="preserve">  No other address is alleged anywhere in the appellant’s founding or replying papers or affidavits in the Court </w:t>
      </w:r>
      <w:r w:rsidR="006E4277" w:rsidRPr="00D504FB">
        <w:rPr>
          <w:i/>
        </w:rPr>
        <w:t>a quo</w:t>
      </w:r>
      <w:r w:rsidR="006E4277">
        <w:t xml:space="preserve">.  Paragraph 3 of the </w:t>
      </w:r>
      <w:r w:rsidR="00DF74C5">
        <w:t xml:space="preserve">respondent’s </w:t>
      </w:r>
      <w:r w:rsidR="006E4277">
        <w:t xml:space="preserve">particulars of claim </w:t>
      </w:r>
      <w:r w:rsidR="00DF74C5">
        <w:t>reads that:</w:t>
      </w:r>
    </w:p>
    <w:p w14:paraId="2C612D3F" w14:textId="77777777" w:rsidR="00231A4B" w:rsidRDefault="00DF74C5" w:rsidP="0071483D">
      <w:pPr>
        <w:ind w:left="1871" w:hanging="1871"/>
        <w:rPr>
          <w:i/>
          <w:iCs/>
        </w:rPr>
      </w:pPr>
      <w:r>
        <w:tab/>
      </w:r>
      <w:r>
        <w:tab/>
      </w:r>
      <w:r>
        <w:rPr>
          <w:i/>
          <w:iCs/>
        </w:rPr>
        <w:t>“The above Honourable Court has jurisdiction by virtue of the fact that the defendant is domiciled within its area of jurisdiction</w:t>
      </w:r>
      <w:r w:rsidR="00857611">
        <w:rPr>
          <w:i/>
          <w:iCs/>
        </w:rPr>
        <w:t>.”</w:t>
      </w:r>
    </w:p>
    <w:p w14:paraId="76627627" w14:textId="7687A003" w:rsidR="00DF74C5" w:rsidRDefault="005B4EEB" w:rsidP="005B4EEB">
      <w:pPr>
        <w:pStyle w:val="Heading1"/>
        <w:numPr>
          <w:ilvl w:val="0"/>
          <w:numId w:val="0"/>
        </w:numPr>
        <w:tabs>
          <w:tab w:val="left" w:pos="862"/>
        </w:tabs>
        <w:ind w:left="862" w:hanging="862"/>
      </w:pPr>
      <w:r>
        <w:rPr>
          <w:szCs w:val="24"/>
        </w:rPr>
        <w:t>[32]</w:t>
      </w:r>
      <w:r>
        <w:rPr>
          <w:szCs w:val="24"/>
        </w:rPr>
        <w:tab/>
      </w:r>
      <w:r w:rsidR="00231A4B" w:rsidRPr="00231A4B">
        <w:t xml:space="preserve">The </w:t>
      </w:r>
      <w:r w:rsidR="00857611" w:rsidRPr="0071483D">
        <w:t>defendant/appellant is PRASA</w:t>
      </w:r>
      <w:r w:rsidR="00382CEC">
        <w:t>.</w:t>
      </w:r>
    </w:p>
    <w:p w14:paraId="4C2E806E" w14:textId="052EFC09" w:rsidR="00AD25DA" w:rsidRDefault="005B4EEB" w:rsidP="005B4EEB">
      <w:pPr>
        <w:pStyle w:val="Heading1"/>
        <w:numPr>
          <w:ilvl w:val="0"/>
          <w:numId w:val="0"/>
        </w:numPr>
        <w:tabs>
          <w:tab w:val="left" w:pos="862"/>
        </w:tabs>
        <w:ind w:left="862" w:hanging="862"/>
      </w:pPr>
      <w:r>
        <w:rPr>
          <w:szCs w:val="24"/>
        </w:rPr>
        <w:t>[33]</w:t>
      </w:r>
      <w:r>
        <w:rPr>
          <w:szCs w:val="24"/>
        </w:rPr>
        <w:tab/>
      </w:r>
      <w:r w:rsidR="00AD25DA">
        <w:t xml:space="preserve">The Magistrate correctly held that the defendant has conceded in its heads of argument that the defendant’s head office is within the area of </w:t>
      </w:r>
      <w:r w:rsidR="003D6DF5">
        <w:lastRenderedPageBreak/>
        <w:t xml:space="preserve">the Court </w:t>
      </w:r>
      <w:r w:rsidR="003D6DF5" w:rsidRPr="00D504FB">
        <w:rPr>
          <w:i/>
        </w:rPr>
        <w:t>a quo</w:t>
      </w:r>
      <w:r w:rsidR="003D6DF5">
        <w:t xml:space="preserve">’s </w:t>
      </w:r>
      <w:r w:rsidR="00AD25DA">
        <w:t>jurisdiction</w:t>
      </w:r>
      <w:r w:rsidR="003D6DF5">
        <w:t>.</w:t>
      </w:r>
      <w:r w:rsidR="003D6DF5">
        <w:rPr>
          <w:rStyle w:val="FootnoteReference"/>
        </w:rPr>
        <w:footnoteReference w:id="28"/>
      </w:r>
      <w:r w:rsidR="003D6DF5">
        <w:t xml:space="preserve">  </w:t>
      </w:r>
      <w:r w:rsidR="00ED2BB7">
        <w:t xml:space="preserve">It appears from the record in the Court </w:t>
      </w:r>
      <w:r w:rsidR="00ED2BB7" w:rsidRPr="00D504FB">
        <w:rPr>
          <w:i/>
        </w:rPr>
        <w:t>a quo</w:t>
      </w:r>
      <w:r w:rsidR="00ED2BB7">
        <w:t xml:space="preserve"> that the appellant did not pursue this defence</w:t>
      </w:r>
      <w:r w:rsidR="009F025C">
        <w:t xml:space="preserve"> in its argument</w:t>
      </w:r>
      <w:r w:rsidR="00F94D6A">
        <w:t xml:space="preserve"> in this Court.</w:t>
      </w:r>
      <w:r w:rsidR="00AF2E32">
        <w:t xml:space="preserve"> </w:t>
      </w:r>
    </w:p>
    <w:p w14:paraId="62E66988" w14:textId="45FFE633" w:rsidR="00231A4B" w:rsidRPr="00231A4B" w:rsidRDefault="005B4EEB" w:rsidP="005B4EEB">
      <w:pPr>
        <w:pStyle w:val="Heading1"/>
        <w:numPr>
          <w:ilvl w:val="0"/>
          <w:numId w:val="0"/>
        </w:numPr>
        <w:tabs>
          <w:tab w:val="left" w:pos="862"/>
        </w:tabs>
        <w:ind w:left="862" w:hanging="862"/>
      </w:pPr>
      <w:r w:rsidRPr="00231A4B">
        <w:rPr>
          <w:szCs w:val="24"/>
        </w:rPr>
        <w:t>[34]</w:t>
      </w:r>
      <w:r w:rsidRPr="00231A4B">
        <w:rPr>
          <w:szCs w:val="24"/>
        </w:rPr>
        <w:tab/>
      </w:r>
      <w:r w:rsidR="00812D13">
        <w:t>This defence too is unsustainable.</w:t>
      </w:r>
    </w:p>
    <w:p w14:paraId="77388E49" w14:textId="34BF311E" w:rsidR="004951D1" w:rsidRDefault="009F025C" w:rsidP="009F025C">
      <w:pPr>
        <w:rPr>
          <w:b/>
          <w:bCs/>
          <w:u w:val="single"/>
        </w:rPr>
      </w:pPr>
      <w:r>
        <w:rPr>
          <w:b/>
          <w:bCs/>
          <w:u w:val="single"/>
        </w:rPr>
        <w:t xml:space="preserve">Defence – Lack of </w:t>
      </w:r>
      <w:r w:rsidRPr="009F025C">
        <w:rPr>
          <w:b/>
          <w:bCs/>
          <w:i/>
          <w:u w:val="single"/>
        </w:rPr>
        <w:t>locus standi</w:t>
      </w:r>
      <w:r>
        <w:rPr>
          <w:b/>
          <w:bCs/>
          <w:u w:val="single"/>
        </w:rPr>
        <w:t xml:space="preserve"> to sue</w:t>
      </w:r>
    </w:p>
    <w:p w14:paraId="1CA03BDB" w14:textId="2446AA4C" w:rsidR="00534238" w:rsidRDefault="005B4EEB" w:rsidP="005B4EEB">
      <w:pPr>
        <w:pStyle w:val="Heading1"/>
        <w:numPr>
          <w:ilvl w:val="0"/>
          <w:numId w:val="0"/>
        </w:numPr>
        <w:tabs>
          <w:tab w:val="left" w:pos="862"/>
        </w:tabs>
        <w:ind w:left="862" w:hanging="862"/>
      </w:pPr>
      <w:r>
        <w:rPr>
          <w:szCs w:val="24"/>
        </w:rPr>
        <w:t>[35]</w:t>
      </w:r>
      <w:r>
        <w:rPr>
          <w:szCs w:val="24"/>
        </w:rPr>
        <w:tab/>
      </w:r>
      <w:r w:rsidR="005254F6">
        <w:t xml:space="preserve">The </w:t>
      </w:r>
      <w:r w:rsidR="00AA198C">
        <w:t xml:space="preserve">cedent/Biggietech was precluded from entering into a sub-contract pertaining to the agreement that it entered into </w:t>
      </w:r>
      <w:r w:rsidR="00534238">
        <w:t xml:space="preserve">with the appellant/defendant. </w:t>
      </w:r>
    </w:p>
    <w:p w14:paraId="2CCCB469" w14:textId="11C3EC23" w:rsidR="009F025C" w:rsidRDefault="005B4EEB" w:rsidP="005B4EEB">
      <w:pPr>
        <w:pStyle w:val="Heading1"/>
        <w:numPr>
          <w:ilvl w:val="0"/>
          <w:numId w:val="0"/>
        </w:numPr>
        <w:tabs>
          <w:tab w:val="left" w:pos="862"/>
        </w:tabs>
        <w:ind w:left="862" w:hanging="862"/>
      </w:pPr>
      <w:r>
        <w:rPr>
          <w:szCs w:val="24"/>
        </w:rPr>
        <w:t>[36]</w:t>
      </w:r>
      <w:r>
        <w:rPr>
          <w:szCs w:val="24"/>
        </w:rPr>
        <w:tab/>
      </w:r>
      <w:r w:rsidR="00534238">
        <w:t xml:space="preserve">The </w:t>
      </w:r>
      <w:r w:rsidR="00DA660D">
        <w:t>appellant/</w:t>
      </w:r>
      <w:r w:rsidR="00534238">
        <w:t>defendant relies on a term in its agreement with Biggietech that reads:</w:t>
      </w:r>
    </w:p>
    <w:p w14:paraId="4B6C3B3F" w14:textId="547F8E51" w:rsidR="00534238" w:rsidRDefault="00534238" w:rsidP="00534238">
      <w:pPr>
        <w:ind w:left="1871" w:hanging="1871"/>
        <w:rPr>
          <w:i/>
          <w:iCs/>
        </w:rPr>
      </w:pPr>
      <w:r>
        <w:tab/>
      </w:r>
      <w:r>
        <w:tab/>
      </w:r>
      <w:r>
        <w:rPr>
          <w:i/>
          <w:iCs/>
        </w:rPr>
        <w:t xml:space="preserve">“The supplier </w:t>
      </w:r>
      <w:r>
        <w:t xml:space="preserve">[Biggietech] </w:t>
      </w:r>
      <w:r>
        <w:rPr>
          <w:i/>
          <w:iCs/>
        </w:rPr>
        <w:t>may not assign or sub-contract any part of this order/contract without the written consent of PRASA.”</w:t>
      </w:r>
    </w:p>
    <w:p w14:paraId="32B33225" w14:textId="6140E5FC" w:rsidR="00534238" w:rsidRDefault="005B4EEB" w:rsidP="005B4EEB">
      <w:pPr>
        <w:pStyle w:val="Heading1"/>
        <w:numPr>
          <w:ilvl w:val="0"/>
          <w:numId w:val="0"/>
        </w:numPr>
        <w:tabs>
          <w:tab w:val="left" w:pos="862"/>
        </w:tabs>
        <w:ind w:left="862" w:hanging="862"/>
      </w:pPr>
      <w:r>
        <w:rPr>
          <w:szCs w:val="24"/>
        </w:rPr>
        <w:t>[37]</w:t>
      </w:r>
      <w:r>
        <w:rPr>
          <w:szCs w:val="24"/>
        </w:rPr>
        <w:tab/>
      </w:r>
      <w:r w:rsidR="00534238">
        <w:t>The appellant/defendant contends that Biggietech was precluded from entering into a subsequent joint venture agreement with the respondent/plaintiff without the appellant/defendant’s consent.</w:t>
      </w:r>
    </w:p>
    <w:p w14:paraId="53775CFF" w14:textId="4AB6C8C4" w:rsidR="00534238" w:rsidRDefault="005B4EEB" w:rsidP="005B4EEB">
      <w:pPr>
        <w:pStyle w:val="Heading1"/>
        <w:numPr>
          <w:ilvl w:val="0"/>
          <w:numId w:val="0"/>
        </w:numPr>
        <w:tabs>
          <w:tab w:val="left" w:pos="862"/>
        </w:tabs>
        <w:ind w:left="862" w:hanging="862"/>
      </w:pPr>
      <w:r>
        <w:rPr>
          <w:szCs w:val="24"/>
        </w:rPr>
        <w:t>[38]</w:t>
      </w:r>
      <w:r>
        <w:rPr>
          <w:szCs w:val="24"/>
        </w:rPr>
        <w:tab/>
      </w:r>
      <w:r w:rsidR="00534238">
        <w:t xml:space="preserve">The appellant appears to contend, therefore, that the cession agreement entered into between the respondent and Biggietech was unenforceable and </w:t>
      </w:r>
      <w:r w:rsidR="00BF1E91">
        <w:t xml:space="preserve">invalid and </w:t>
      </w:r>
      <w:r w:rsidR="00534238">
        <w:t xml:space="preserve">that </w:t>
      </w:r>
      <w:r w:rsidR="00BF1E91">
        <w:t>it ought to have been Biggietech who should have sued.</w:t>
      </w:r>
    </w:p>
    <w:p w14:paraId="3D10107F" w14:textId="2FDCF52F" w:rsidR="00BF1E91" w:rsidRDefault="005B4EEB" w:rsidP="005B4EEB">
      <w:pPr>
        <w:pStyle w:val="Heading1"/>
        <w:numPr>
          <w:ilvl w:val="0"/>
          <w:numId w:val="0"/>
        </w:numPr>
        <w:tabs>
          <w:tab w:val="left" w:pos="862"/>
        </w:tabs>
        <w:ind w:left="862" w:hanging="862"/>
      </w:pPr>
      <w:r>
        <w:rPr>
          <w:szCs w:val="24"/>
        </w:rPr>
        <w:lastRenderedPageBreak/>
        <w:t>[39]</w:t>
      </w:r>
      <w:r>
        <w:rPr>
          <w:szCs w:val="24"/>
        </w:rPr>
        <w:tab/>
      </w:r>
      <w:r w:rsidR="00BF1E91">
        <w:t>The Magistrate correctly held that this point is misidentified.</w:t>
      </w:r>
      <w:r w:rsidR="00BF1E91">
        <w:rPr>
          <w:rStyle w:val="FootnoteReference"/>
        </w:rPr>
        <w:footnoteReference w:id="29"/>
      </w:r>
    </w:p>
    <w:p w14:paraId="2271C003" w14:textId="2D3D9DD6" w:rsidR="00D23D6B" w:rsidRDefault="005B4EEB" w:rsidP="005B4EEB">
      <w:pPr>
        <w:pStyle w:val="Heading1"/>
        <w:numPr>
          <w:ilvl w:val="0"/>
          <w:numId w:val="0"/>
        </w:numPr>
        <w:tabs>
          <w:tab w:val="left" w:pos="862"/>
        </w:tabs>
        <w:ind w:left="862" w:hanging="862"/>
      </w:pPr>
      <w:r>
        <w:rPr>
          <w:szCs w:val="24"/>
        </w:rPr>
        <w:t>[40]</w:t>
      </w:r>
      <w:r>
        <w:rPr>
          <w:szCs w:val="24"/>
        </w:rPr>
        <w:tab/>
      </w:r>
      <w:r w:rsidR="00DA69F5">
        <w:t xml:space="preserve">The Magistrate correctly found that the joint venture agreement does not constitute an </w:t>
      </w:r>
      <w:r w:rsidR="00DA660D" w:rsidRPr="00EC74A7">
        <w:rPr>
          <w:i/>
          <w:iCs/>
        </w:rPr>
        <w:t>“</w:t>
      </w:r>
      <w:r w:rsidR="00DA69F5" w:rsidRPr="00EC74A7">
        <w:rPr>
          <w:i/>
          <w:iCs/>
        </w:rPr>
        <w:t>assignment</w:t>
      </w:r>
      <w:r w:rsidR="00DA660D" w:rsidRPr="00EC74A7">
        <w:rPr>
          <w:i/>
          <w:iCs/>
        </w:rPr>
        <w:t>”</w:t>
      </w:r>
      <w:r w:rsidR="00DA69F5">
        <w:t xml:space="preserve"> or a </w:t>
      </w:r>
      <w:r w:rsidR="00A67AE8" w:rsidRPr="00EC74A7">
        <w:rPr>
          <w:i/>
          <w:iCs/>
        </w:rPr>
        <w:t>“</w:t>
      </w:r>
      <w:r w:rsidR="00DA69F5" w:rsidRPr="00EC74A7">
        <w:rPr>
          <w:i/>
          <w:iCs/>
        </w:rPr>
        <w:t>sub-contract</w:t>
      </w:r>
      <w:r w:rsidR="00A67AE8" w:rsidRPr="00EC74A7">
        <w:rPr>
          <w:i/>
          <w:iCs/>
        </w:rPr>
        <w:t>”</w:t>
      </w:r>
      <w:r w:rsidR="00DA69F5">
        <w:t xml:space="preserve"> as contemplated by the agreement entered into between Biggietech and the appellant.</w:t>
      </w:r>
      <w:r w:rsidR="005D13F4">
        <w:rPr>
          <w:rStyle w:val="FootnoteReference"/>
        </w:rPr>
        <w:footnoteReference w:id="30"/>
      </w:r>
      <w:r w:rsidR="00350EF3">
        <w:t xml:space="preserve">  </w:t>
      </w:r>
    </w:p>
    <w:p w14:paraId="70F78046" w14:textId="0428D345" w:rsidR="005D13F4" w:rsidRDefault="005B4EEB" w:rsidP="005B4EEB">
      <w:pPr>
        <w:pStyle w:val="Heading1"/>
        <w:numPr>
          <w:ilvl w:val="0"/>
          <w:numId w:val="0"/>
        </w:numPr>
        <w:tabs>
          <w:tab w:val="left" w:pos="862"/>
        </w:tabs>
        <w:ind w:left="862" w:hanging="862"/>
      </w:pPr>
      <w:r>
        <w:rPr>
          <w:szCs w:val="24"/>
        </w:rPr>
        <w:t>[41]</w:t>
      </w:r>
      <w:r>
        <w:rPr>
          <w:szCs w:val="24"/>
        </w:rPr>
        <w:tab/>
      </w:r>
      <w:r w:rsidR="005D13F4">
        <w:t xml:space="preserve">In our view the Court </w:t>
      </w:r>
      <w:r w:rsidR="00A67AE8" w:rsidRPr="00D504FB">
        <w:rPr>
          <w:i/>
        </w:rPr>
        <w:t>a quo</w:t>
      </w:r>
      <w:r w:rsidR="00A67AE8">
        <w:t xml:space="preserve"> therefore </w:t>
      </w:r>
      <w:r w:rsidR="005D13F4">
        <w:t>correctly held that the appellant/defendant may raise any defence against the respondent/plaintiff that it could have raised against Biggietech.</w:t>
      </w:r>
      <w:r w:rsidR="00480B8D">
        <w:rPr>
          <w:rStyle w:val="FootnoteReference"/>
        </w:rPr>
        <w:footnoteReference w:id="31"/>
      </w:r>
      <w:r w:rsidR="005D13F4">
        <w:t xml:space="preserve">  However, the existence of such a defence is unrelated to the plaintiff’s </w:t>
      </w:r>
      <w:r w:rsidR="005D13F4" w:rsidRPr="00EC30B5">
        <w:rPr>
          <w:i/>
        </w:rPr>
        <w:t>locus standi</w:t>
      </w:r>
      <w:r w:rsidR="005D13F4">
        <w:t xml:space="preserve"> to sue on the strength of the deed of cession itself.  The plaintiff derives its </w:t>
      </w:r>
      <w:r w:rsidR="005D13F4" w:rsidRPr="00EC30B5">
        <w:rPr>
          <w:i/>
        </w:rPr>
        <w:t>locus standi</w:t>
      </w:r>
      <w:r w:rsidR="005D13F4">
        <w:t xml:space="preserve"> from the deed of cession.  The Court </w:t>
      </w:r>
      <w:r w:rsidR="005D13F4" w:rsidRPr="00D504FB">
        <w:rPr>
          <w:i/>
        </w:rPr>
        <w:t>a quo</w:t>
      </w:r>
      <w:r w:rsidR="005D13F4">
        <w:t xml:space="preserve"> furthermore correctly held that there was no merit to this point.</w:t>
      </w:r>
      <w:r w:rsidR="005D13F4">
        <w:rPr>
          <w:rStyle w:val="FootnoteReference"/>
        </w:rPr>
        <w:footnoteReference w:id="32"/>
      </w:r>
    </w:p>
    <w:p w14:paraId="46C9942A" w14:textId="26AADE8F" w:rsidR="00366FAF" w:rsidRDefault="005B4EEB" w:rsidP="005B4EEB">
      <w:pPr>
        <w:pStyle w:val="Heading1"/>
        <w:numPr>
          <w:ilvl w:val="0"/>
          <w:numId w:val="0"/>
        </w:numPr>
        <w:tabs>
          <w:tab w:val="left" w:pos="862"/>
        </w:tabs>
        <w:ind w:left="862" w:hanging="862"/>
      </w:pPr>
      <w:r>
        <w:rPr>
          <w:szCs w:val="24"/>
        </w:rPr>
        <w:t>[42]</w:t>
      </w:r>
      <w:r>
        <w:rPr>
          <w:szCs w:val="24"/>
        </w:rPr>
        <w:tab/>
      </w:r>
      <w:r w:rsidR="00366FAF">
        <w:t>Cession, in order to be effective, does not require the prior knowledge, consent, occurrence or co-operation of the debtor</w:t>
      </w:r>
      <w:r w:rsidR="00D818EF">
        <w:t xml:space="preserve"> (appellant </w:t>
      </w:r>
      <w:r w:rsidR="00D818EF" w:rsidRPr="00097349">
        <w:rPr>
          <w:i/>
        </w:rPr>
        <w:t>in casu</w:t>
      </w:r>
      <w:r w:rsidR="00D818EF">
        <w:t>).  The debtor has no right of veto</w:t>
      </w:r>
      <w:r w:rsidR="00D66078">
        <w:t xml:space="preserve">.  The cession is complete when the cedent and the cessionary reach finality on the act of cession.  At that moment the right is transferred from the one creditor to the other.  It is furthermore not necessary </w:t>
      </w:r>
      <w:r w:rsidR="00BD1A06">
        <w:t>for the appellant to have received notice after the event that a cession has occurred.</w:t>
      </w:r>
      <w:r w:rsidR="00BD1A06">
        <w:rPr>
          <w:rStyle w:val="FootnoteReference"/>
        </w:rPr>
        <w:footnoteReference w:id="33"/>
      </w:r>
      <w:r w:rsidR="00BD1A06">
        <w:t xml:space="preserve"> </w:t>
      </w:r>
    </w:p>
    <w:p w14:paraId="452FF6B7" w14:textId="2EE1C763" w:rsidR="007A0EC5" w:rsidRDefault="005B4EEB" w:rsidP="005B4EEB">
      <w:pPr>
        <w:pStyle w:val="Heading1"/>
        <w:numPr>
          <w:ilvl w:val="0"/>
          <w:numId w:val="0"/>
        </w:numPr>
        <w:tabs>
          <w:tab w:val="left" w:pos="862"/>
        </w:tabs>
        <w:ind w:left="862" w:hanging="862"/>
      </w:pPr>
      <w:r>
        <w:rPr>
          <w:szCs w:val="24"/>
        </w:rPr>
        <w:t>[43]</w:t>
      </w:r>
      <w:r>
        <w:rPr>
          <w:szCs w:val="24"/>
        </w:rPr>
        <w:tab/>
      </w:r>
      <w:r w:rsidR="00C718CB">
        <w:t xml:space="preserve">It is trite that the cession is fully operative even though the debtor may be </w:t>
      </w:r>
      <w:r w:rsidR="00C718CB">
        <w:lastRenderedPageBreak/>
        <w:t>wholly unaware of it.</w:t>
      </w:r>
    </w:p>
    <w:p w14:paraId="4F72E24F" w14:textId="27FCF8CE" w:rsidR="00C718CB" w:rsidRDefault="005B4EEB" w:rsidP="005B4EEB">
      <w:pPr>
        <w:pStyle w:val="Heading1"/>
        <w:numPr>
          <w:ilvl w:val="0"/>
          <w:numId w:val="0"/>
        </w:numPr>
        <w:tabs>
          <w:tab w:val="left" w:pos="862"/>
        </w:tabs>
        <w:ind w:left="862" w:hanging="862"/>
      </w:pPr>
      <w:r>
        <w:rPr>
          <w:szCs w:val="24"/>
        </w:rPr>
        <w:t>[44]</w:t>
      </w:r>
      <w:r>
        <w:rPr>
          <w:szCs w:val="24"/>
        </w:rPr>
        <w:tab/>
      </w:r>
      <w:r w:rsidR="00C718CB">
        <w:t>The debtor is not actively engaged in the process of cession.  That is because it should not in principle matter to the debtor whether he or she renders his or her performance to the cedent or to the cessionary and where, in the exceptional case, it may make a difference to the debtor or to the legal consequences of the debtor’s performance</w:t>
      </w:r>
      <w:r w:rsidR="003C6B05">
        <w:t>, the debtor is protected.</w:t>
      </w:r>
      <w:r w:rsidR="003C6B05">
        <w:rPr>
          <w:rStyle w:val="FootnoteReference"/>
        </w:rPr>
        <w:footnoteReference w:id="34"/>
      </w:r>
    </w:p>
    <w:p w14:paraId="7757580F" w14:textId="692ABF62" w:rsidR="00A25CD6" w:rsidRDefault="005B4EEB" w:rsidP="005B4EEB">
      <w:pPr>
        <w:pStyle w:val="Heading1"/>
        <w:numPr>
          <w:ilvl w:val="0"/>
          <w:numId w:val="0"/>
        </w:numPr>
        <w:tabs>
          <w:tab w:val="left" w:pos="862"/>
        </w:tabs>
        <w:ind w:left="862" w:hanging="862"/>
      </w:pPr>
      <w:r>
        <w:rPr>
          <w:szCs w:val="24"/>
        </w:rPr>
        <w:t>[45]</w:t>
      </w:r>
      <w:r>
        <w:rPr>
          <w:szCs w:val="24"/>
        </w:rPr>
        <w:tab/>
      </w:r>
      <w:r w:rsidR="00A25CD6">
        <w:t xml:space="preserve">Biggietech ceded its book debts to the </w:t>
      </w:r>
      <w:r w:rsidR="003D6346">
        <w:t>respondent.  The respondent/plaintiff sued in terms of the cession of the book debts.  The respondent correctly argues that the underlying cause of the debt owed to Biggietech matters not, in the context of the cession.  All that matters is whether monies are owed to Biggietech</w:t>
      </w:r>
      <w:r w:rsidR="002C26E0">
        <w:t>,</w:t>
      </w:r>
      <w:r w:rsidR="003D6346">
        <w:t xml:space="preserve"> which is not denied by the appellant.  The respondent argues that the tender was never performed by the respondent/plaintiff but by Biggietech.  </w:t>
      </w:r>
      <w:r w:rsidR="002C26E0">
        <w:t xml:space="preserve">It is clear that what </w:t>
      </w:r>
      <w:r w:rsidR="003D6346">
        <w:t>was ceded by Biggietech to the plaintiff are the following:</w:t>
      </w:r>
    </w:p>
    <w:p w14:paraId="43A025B2" w14:textId="3F11E718" w:rsidR="003D6346" w:rsidRDefault="003D6346" w:rsidP="003D6346">
      <w:pPr>
        <w:ind w:left="1871" w:hanging="1871"/>
        <w:rPr>
          <w:i/>
          <w:iCs/>
        </w:rPr>
      </w:pPr>
      <w:r>
        <w:tab/>
      </w:r>
      <w:r>
        <w:tab/>
      </w:r>
      <w:r>
        <w:rPr>
          <w:i/>
          <w:iCs/>
        </w:rPr>
        <w:t xml:space="preserve">“The company hereby cedes, assigns and transfers unto and in favour of the creditor all of the company’s right, title and interest in and to all book debts and other debts (together with </w:t>
      </w:r>
      <w:r w:rsidR="00CC2736">
        <w:rPr>
          <w:i/>
          <w:iCs/>
        </w:rPr>
        <w:t>rights of action arising thereunder), present and future due and to become due to the company, for whatsoever cause of debt arising and by whomever owing.”</w:t>
      </w:r>
    </w:p>
    <w:p w14:paraId="4A2F8ABB" w14:textId="04D48CD0" w:rsidR="00981110" w:rsidRPr="00443A45" w:rsidRDefault="005B4EEB" w:rsidP="005B4EEB">
      <w:pPr>
        <w:pStyle w:val="Heading1"/>
        <w:numPr>
          <w:ilvl w:val="0"/>
          <w:numId w:val="0"/>
        </w:numPr>
        <w:tabs>
          <w:tab w:val="left" w:pos="862"/>
        </w:tabs>
        <w:ind w:left="862" w:hanging="862"/>
      </w:pPr>
      <w:r w:rsidRPr="00443A45">
        <w:rPr>
          <w:szCs w:val="24"/>
        </w:rPr>
        <w:t>[46]</w:t>
      </w:r>
      <w:r w:rsidRPr="00443A45">
        <w:rPr>
          <w:szCs w:val="24"/>
        </w:rPr>
        <w:tab/>
      </w:r>
      <w:r w:rsidR="00401577" w:rsidRPr="00443A45">
        <w:t xml:space="preserve">PRASA not only accepted delivery of the relevant goods from the respondent, as </w:t>
      </w:r>
      <w:r w:rsidR="00981110" w:rsidRPr="00443A45">
        <w:t>kind of agent for Biggietech, without quibble, but made three payments to Biggietech in reduction of what PRASA owed to Biggietech.</w:t>
      </w:r>
    </w:p>
    <w:p w14:paraId="5ECD5DC9" w14:textId="45F28B3D" w:rsidR="00401577" w:rsidRPr="00443A45" w:rsidRDefault="005B4EEB" w:rsidP="005B4EEB">
      <w:pPr>
        <w:pStyle w:val="Heading1"/>
        <w:numPr>
          <w:ilvl w:val="0"/>
          <w:numId w:val="0"/>
        </w:numPr>
        <w:tabs>
          <w:tab w:val="left" w:pos="862"/>
        </w:tabs>
        <w:ind w:left="862" w:hanging="862"/>
      </w:pPr>
      <w:r w:rsidRPr="00443A45">
        <w:rPr>
          <w:szCs w:val="24"/>
        </w:rPr>
        <w:lastRenderedPageBreak/>
        <w:t>[47]</w:t>
      </w:r>
      <w:r w:rsidRPr="00443A45">
        <w:rPr>
          <w:szCs w:val="24"/>
        </w:rPr>
        <w:tab/>
      </w:r>
      <w:r w:rsidR="00981110" w:rsidRPr="00443A45">
        <w:t>Neither the joint venture agreement between Biggietech and</w:t>
      </w:r>
      <w:r w:rsidR="009142E2" w:rsidRPr="00443A45">
        <w:t xml:space="preserve"> the </w:t>
      </w:r>
      <w:r w:rsidR="00777955" w:rsidRPr="00443A45">
        <w:t>respondent</w:t>
      </w:r>
      <w:r w:rsidR="009142E2" w:rsidRPr="00443A45">
        <w:t>, nor the cession agreement under which Biggietech ceded its rights under the</w:t>
      </w:r>
      <w:r w:rsidR="00E75CD5" w:rsidRPr="00443A45">
        <w:t xml:space="preserve"> </w:t>
      </w:r>
      <w:r w:rsidR="00443A45" w:rsidRPr="00443A45">
        <w:t xml:space="preserve">Request </w:t>
      </w:r>
      <w:r w:rsidR="00E75CD5" w:rsidRPr="00443A45">
        <w:t xml:space="preserve">for </w:t>
      </w:r>
      <w:r w:rsidR="00443A45" w:rsidRPr="00443A45">
        <w:t xml:space="preserve">Quotation </w:t>
      </w:r>
      <w:r w:rsidR="00E75CD5" w:rsidRPr="00443A45">
        <w:t xml:space="preserve">for supply and delivery of bus spares </w:t>
      </w:r>
      <w:r w:rsidR="002245A0" w:rsidRPr="00443A45">
        <w:t xml:space="preserve">(hereinafter referred to as </w:t>
      </w:r>
      <w:r w:rsidR="002245A0" w:rsidRPr="00443A45">
        <w:rPr>
          <w:i/>
          <w:iCs/>
        </w:rPr>
        <w:t>“</w:t>
      </w:r>
      <w:r w:rsidR="009142E2" w:rsidRPr="00443A45">
        <w:rPr>
          <w:i/>
          <w:iCs/>
        </w:rPr>
        <w:t>RFQ</w:t>
      </w:r>
      <w:r w:rsidR="002245A0" w:rsidRPr="00443A45">
        <w:rPr>
          <w:i/>
          <w:iCs/>
        </w:rPr>
        <w:t>”</w:t>
      </w:r>
      <w:r w:rsidR="002245A0" w:rsidRPr="00443A45">
        <w:t>)</w:t>
      </w:r>
      <w:r w:rsidR="009142E2" w:rsidRPr="00443A45">
        <w:t xml:space="preserve"> to </w:t>
      </w:r>
      <w:r w:rsidR="00777955" w:rsidRPr="00443A45">
        <w:t>the respondent contained any clause purporting to transfer any obligation owed by Biggietech to PRASA.  The RFQ understandably prohibits such attempt at transfer of obligations.  The RFQ does not prohibit cession of rights, for example the right to payment from PRASA, by Biggietech to the respondent.</w:t>
      </w:r>
      <w:r w:rsidR="00401577" w:rsidRPr="00443A45">
        <w:t xml:space="preserve"> </w:t>
      </w:r>
    </w:p>
    <w:p w14:paraId="4FAA679F" w14:textId="490AFF57" w:rsidR="00671276" w:rsidRDefault="005B4EEB" w:rsidP="005B4EEB">
      <w:pPr>
        <w:pStyle w:val="Heading1"/>
        <w:numPr>
          <w:ilvl w:val="0"/>
          <w:numId w:val="0"/>
        </w:numPr>
        <w:tabs>
          <w:tab w:val="left" w:pos="862"/>
        </w:tabs>
        <w:ind w:left="862" w:hanging="862"/>
      </w:pPr>
      <w:r>
        <w:rPr>
          <w:szCs w:val="24"/>
        </w:rPr>
        <w:t>[48]</w:t>
      </w:r>
      <w:r>
        <w:rPr>
          <w:szCs w:val="24"/>
        </w:rPr>
        <w:tab/>
      </w:r>
      <w:r w:rsidR="00671276">
        <w:t>We find that this ground too is unsustainable.</w:t>
      </w:r>
    </w:p>
    <w:p w14:paraId="3B1D6042" w14:textId="7768DA08" w:rsidR="00D6094C" w:rsidRDefault="00D6094C" w:rsidP="00D6094C">
      <w:pPr>
        <w:keepNext/>
        <w:rPr>
          <w:b/>
          <w:bCs/>
          <w:u w:val="single"/>
        </w:rPr>
      </w:pPr>
      <w:r>
        <w:rPr>
          <w:b/>
          <w:bCs/>
          <w:u w:val="single"/>
        </w:rPr>
        <w:t>Defence – Non-joinder of Biggietech</w:t>
      </w:r>
    </w:p>
    <w:p w14:paraId="10A5FE67" w14:textId="23713500" w:rsidR="00D6094C" w:rsidRDefault="005B4EEB" w:rsidP="005B4EEB">
      <w:pPr>
        <w:pStyle w:val="Heading1"/>
        <w:numPr>
          <w:ilvl w:val="0"/>
          <w:numId w:val="0"/>
        </w:numPr>
        <w:tabs>
          <w:tab w:val="left" w:pos="862"/>
        </w:tabs>
        <w:ind w:left="862" w:hanging="862"/>
      </w:pPr>
      <w:r>
        <w:rPr>
          <w:szCs w:val="24"/>
        </w:rPr>
        <w:t>[49]</w:t>
      </w:r>
      <w:r>
        <w:rPr>
          <w:szCs w:val="24"/>
        </w:rPr>
        <w:tab/>
      </w:r>
      <w:r w:rsidR="00D6094C">
        <w:t xml:space="preserve">The appellant </w:t>
      </w:r>
      <w:r w:rsidR="00505D46">
        <w:t>argues that the cessionary/Biggietech should be joined as a party to the proceedings.</w:t>
      </w:r>
      <w:r w:rsidR="00DA78BC">
        <w:t xml:space="preserve">  The respondent correctly argues that the reasoning of the appellant is uncertain and difficult to decipher from the papers in the legal context.</w:t>
      </w:r>
      <w:r w:rsidR="006C70A0">
        <w:rPr>
          <w:rStyle w:val="FootnoteReference"/>
        </w:rPr>
        <w:footnoteReference w:id="35"/>
      </w:r>
      <w:r w:rsidR="00505D46">
        <w:t xml:space="preserve"> </w:t>
      </w:r>
      <w:r w:rsidR="00045B9C">
        <w:t>The respondent correctly argues that the intention of the parties was for the plaintiff/respondent to be able to step into the shoes of Biggietech and collect money owed to it</w:t>
      </w:r>
      <w:r w:rsidR="000B622B">
        <w:t xml:space="preserve">.  No requirement exists for Biggietech to be a co-plaintiff or co-appellant </w:t>
      </w:r>
      <w:r w:rsidR="000B622B" w:rsidRPr="0071483D">
        <w:rPr>
          <w:i/>
          <w:iCs/>
        </w:rPr>
        <w:t>ex facie</w:t>
      </w:r>
      <w:r w:rsidR="000B622B">
        <w:rPr>
          <w:i/>
          <w:iCs/>
        </w:rPr>
        <w:t xml:space="preserve"> </w:t>
      </w:r>
      <w:r w:rsidR="000B622B">
        <w:t>from the agreement</w:t>
      </w:r>
      <w:r w:rsidR="002446BE">
        <w:t xml:space="preserve">s or </w:t>
      </w:r>
      <w:r w:rsidR="002446BE" w:rsidRPr="0071483D">
        <w:rPr>
          <w:i/>
          <w:iCs/>
        </w:rPr>
        <w:t>ex lege</w:t>
      </w:r>
      <w:r w:rsidR="002446BE">
        <w:t xml:space="preserve"> for that matter.</w:t>
      </w:r>
    </w:p>
    <w:p w14:paraId="2C021961" w14:textId="2481D265" w:rsidR="002446BE" w:rsidRDefault="005B4EEB" w:rsidP="005B4EEB">
      <w:pPr>
        <w:pStyle w:val="Heading1"/>
        <w:numPr>
          <w:ilvl w:val="0"/>
          <w:numId w:val="0"/>
        </w:numPr>
        <w:tabs>
          <w:tab w:val="left" w:pos="862"/>
        </w:tabs>
        <w:ind w:left="862" w:hanging="862"/>
      </w:pPr>
      <w:r>
        <w:rPr>
          <w:szCs w:val="24"/>
        </w:rPr>
        <w:t>[50]</w:t>
      </w:r>
      <w:r>
        <w:rPr>
          <w:szCs w:val="24"/>
        </w:rPr>
        <w:tab/>
      </w:r>
      <w:r w:rsidR="002446BE">
        <w:t xml:space="preserve">The Magistrate correctly held that the appellant has failed to show any reasons of substance for Biggietech’s involvement.  The </w:t>
      </w:r>
      <w:r w:rsidR="00D23C1A">
        <w:t>appellant/</w:t>
      </w:r>
      <w:r w:rsidR="002446BE">
        <w:t>defendant argued that Biggietech has a direct and substantial interest in the plaintiff’s claim and ought to have been joined to the proceedings</w:t>
      </w:r>
      <w:r w:rsidR="00D23C1A">
        <w:t>.  O</w:t>
      </w:r>
      <w:r w:rsidR="00917571">
        <w:t xml:space="preserve">n </w:t>
      </w:r>
      <w:r w:rsidR="002446BE">
        <w:t>the facts as found by the Magistrate</w:t>
      </w:r>
      <w:r w:rsidR="00917571">
        <w:t xml:space="preserve">, </w:t>
      </w:r>
      <w:r w:rsidR="002446BE">
        <w:t xml:space="preserve">Biggietech as a cedent has no real interest in the matter.  </w:t>
      </w:r>
      <w:r w:rsidR="00E8735B">
        <w:t>We agree with the Magistrate’s findings in this regard.</w:t>
      </w:r>
    </w:p>
    <w:p w14:paraId="05253D71" w14:textId="5AD7D135" w:rsidR="00E8735B" w:rsidRDefault="005B4EEB" w:rsidP="005B4EEB">
      <w:pPr>
        <w:pStyle w:val="Heading1"/>
        <w:numPr>
          <w:ilvl w:val="0"/>
          <w:numId w:val="0"/>
        </w:numPr>
        <w:tabs>
          <w:tab w:val="left" w:pos="862"/>
        </w:tabs>
        <w:ind w:left="862" w:hanging="862"/>
      </w:pPr>
      <w:r>
        <w:rPr>
          <w:szCs w:val="24"/>
        </w:rPr>
        <w:lastRenderedPageBreak/>
        <w:t>[51]</w:t>
      </w:r>
      <w:r>
        <w:rPr>
          <w:szCs w:val="24"/>
        </w:rPr>
        <w:tab/>
      </w:r>
      <w:r w:rsidR="00E8735B">
        <w:t>The Magistrate correctly held that the appellant failed to meet both legal requirements for a successful rescission of the judgment.</w:t>
      </w:r>
    </w:p>
    <w:p w14:paraId="4E2214D6" w14:textId="57C5D060" w:rsidR="00917571" w:rsidRDefault="005B4EEB" w:rsidP="005B4EEB">
      <w:pPr>
        <w:pStyle w:val="Heading1"/>
        <w:numPr>
          <w:ilvl w:val="0"/>
          <w:numId w:val="0"/>
        </w:numPr>
        <w:tabs>
          <w:tab w:val="left" w:pos="862"/>
        </w:tabs>
        <w:ind w:left="862" w:hanging="862"/>
      </w:pPr>
      <w:r>
        <w:rPr>
          <w:szCs w:val="24"/>
        </w:rPr>
        <w:t>[52]</w:t>
      </w:r>
      <w:r>
        <w:rPr>
          <w:szCs w:val="24"/>
        </w:rPr>
        <w:tab/>
      </w:r>
      <w:r w:rsidR="00917571">
        <w:t>The appellant has not shown a probability of success on the merits.</w:t>
      </w:r>
      <w:r w:rsidR="00917571">
        <w:rPr>
          <w:rStyle w:val="FootnoteReference"/>
        </w:rPr>
        <w:footnoteReference w:id="36"/>
      </w:r>
    </w:p>
    <w:p w14:paraId="4A3A4B9A" w14:textId="661A00F6" w:rsidR="00E8735B" w:rsidRDefault="00E8735B" w:rsidP="00E8735B">
      <w:pPr>
        <w:rPr>
          <w:b/>
          <w:bCs/>
          <w:u w:val="single"/>
        </w:rPr>
      </w:pPr>
      <w:r>
        <w:rPr>
          <w:b/>
          <w:bCs/>
          <w:u w:val="single"/>
        </w:rPr>
        <w:t xml:space="preserve">COSTS IN THE COURT </w:t>
      </w:r>
      <w:r w:rsidRPr="00E8735B">
        <w:rPr>
          <w:b/>
          <w:bCs/>
          <w:i/>
          <w:u w:val="single"/>
        </w:rPr>
        <w:t>A QUO</w:t>
      </w:r>
    </w:p>
    <w:p w14:paraId="54E67961" w14:textId="76C752F1" w:rsidR="00E8735B" w:rsidRDefault="005B4EEB" w:rsidP="005B4EEB">
      <w:pPr>
        <w:pStyle w:val="Heading1"/>
        <w:numPr>
          <w:ilvl w:val="0"/>
          <w:numId w:val="0"/>
        </w:numPr>
        <w:tabs>
          <w:tab w:val="left" w:pos="862"/>
        </w:tabs>
        <w:ind w:left="862" w:hanging="862"/>
      </w:pPr>
      <w:r>
        <w:rPr>
          <w:szCs w:val="24"/>
        </w:rPr>
        <w:t>[53]</w:t>
      </w:r>
      <w:r>
        <w:rPr>
          <w:szCs w:val="24"/>
        </w:rPr>
        <w:tab/>
      </w:r>
      <w:r w:rsidR="00E8735B">
        <w:t xml:space="preserve">We cannot fault the costs order of the Magistrate.  Costs are in the discretion of the Court </w:t>
      </w:r>
      <w:r w:rsidR="00E8735B" w:rsidRPr="00D504FB">
        <w:rPr>
          <w:i/>
        </w:rPr>
        <w:t>a quo</w:t>
      </w:r>
      <w:r w:rsidR="00E8735B">
        <w:t xml:space="preserve">.  The Court </w:t>
      </w:r>
      <w:r w:rsidR="00E8735B" w:rsidRPr="00D504FB">
        <w:rPr>
          <w:i/>
        </w:rPr>
        <w:t>a quo</w:t>
      </w:r>
      <w:r w:rsidR="00E8735B">
        <w:t xml:space="preserve">’s reasoning for granting </w:t>
      </w:r>
      <w:r w:rsidR="00F24D73">
        <w:t xml:space="preserve">a punitive </w:t>
      </w:r>
      <w:r w:rsidR="00E8735B">
        <w:t xml:space="preserve">costs order </w:t>
      </w:r>
      <w:r w:rsidR="00F24D73">
        <w:t xml:space="preserve">against the appellant was that in the Court </w:t>
      </w:r>
      <w:r w:rsidR="00F24D73" w:rsidRPr="00D504FB">
        <w:rPr>
          <w:i/>
        </w:rPr>
        <w:t>a quo</w:t>
      </w:r>
      <w:r w:rsidR="00F24D73">
        <w:t xml:space="preserve">’s view the appellant failed to get out of the proverbial starting blocks and that it was not </w:t>
      </w:r>
      <w:r w:rsidR="007B060E">
        <w:t xml:space="preserve">even </w:t>
      </w:r>
      <w:r w:rsidR="00F24D73">
        <w:t xml:space="preserve">necessary to hear from the plaintiff/respondent except on the question of costs.  The Court found that </w:t>
      </w:r>
      <w:r w:rsidR="00971FB5">
        <w:t xml:space="preserve">the scale of costs sought by the respondent was merited.  </w:t>
      </w:r>
    </w:p>
    <w:p w14:paraId="24C0BD6D" w14:textId="106FD7CE" w:rsidR="00BC741B" w:rsidRPr="00EC74A7" w:rsidRDefault="00BC741B" w:rsidP="00EC74A7">
      <w:pPr>
        <w:keepNext/>
        <w:rPr>
          <w:b/>
          <w:bCs/>
          <w:u w:val="single"/>
        </w:rPr>
      </w:pPr>
      <w:r>
        <w:rPr>
          <w:b/>
          <w:bCs/>
          <w:u w:val="single"/>
        </w:rPr>
        <w:t>COSTS OF THIS COURT</w:t>
      </w:r>
    </w:p>
    <w:p w14:paraId="08162F16" w14:textId="137B2857" w:rsidR="00481680" w:rsidRDefault="005B4EEB" w:rsidP="005B4EEB">
      <w:pPr>
        <w:pStyle w:val="Heading1"/>
        <w:numPr>
          <w:ilvl w:val="0"/>
          <w:numId w:val="0"/>
        </w:numPr>
        <w:tabs>
          <w:tab w:val="left" w:pos="862"/>
        </w:tabs>
        <w:ind w:left="862" w:hanging="862"/>
      </w:pPr>
      <w:r>
        <w:rPr>
          <w:szCs w:val="24"/>
        </w:rPr>
        <w:t>[54]</w:t>
      </w:r>
      <w:r>
        <w:rPr>
          <w:szCs w:val="24"/>
        </w:rPr>
        <w:tab/>
      </w:r>
      <w:r w:rsidR="00481680">
        <w:t>The respondent argues that having regard to the haphazard approach by the appellant and general tardiness in relation to the matter it should be awarded costs on a punitive scale.  The respondent alleges various non-compliance issues with the Rules of the Court by the appellant relating to:</w:t>
      </w:r>
    </w:p>
    <w:p w14:paraId="0C6355A3" w14:textId="081E7500" w:rsidR="00481680" w:rsidRDefault="005B4EEB" w:rsidP="005B4EEB">
      <w:pPr>
        <w:pStyle w:val="Heading2"/>
        <w:numPr>
          <w:ilvl w:val="0"/>
          <w:numId w:val="0"/>
        </w:numPr>
        <w:ind w:left="1873" w:hanging="1009"/>
      </w:pPr>
      <w:r>
        <w:t>[54.1]</w:t>
      </w:r>
      <w:r>
        <w:tab/>
      </w:r>
      <w:r w:rsidR="00481680">
        <w:t>the initial lapse of defending the action;</w:t>
      </w:r>
    </w:p>
    <w:p w14:paraId="3E838C46" w14:textId="234423CF" w:rsidR="00EB0DEE" w:rsidRDefault="005B4EEB" w:rsidP="005B4EEB">
      <w:pPr>
        <w:pStyle w:val="Heading2"/>
        <w:numPr>
          <w:ilvl w:val="0"/>
          <w:numId w:val="0"/>
        </w:numPr>
        <w:ind w:left="1873" w:hanging="1009"/>
      </w:pPr>
      <w:r>
        <w:t>[54.2]</w:t>
      </w:r>
      <w:r>
        <w:tab/>
      </w:r>
      <w:r w:rsidR="00481680">
        <w:t>the delay in making application to reinstate the appeal</w:t>
      </w:r>
      <w:r w:rsidR="00EB0DEE">
        <w:t>;</w:t>
      </w:r>
    </w:p>
    <w:p w14:paraId="24F504C3" w14:textId="68586C6B" w:rsidR="001528BA" w:rsidRDefault="005B4EEB" w:rsidP="005B4EEB">
      <w:pPr>
        <w:pStyle w:val="Heading2"/>
        <w:numPr>
          <w:ilvl w:val="0"/>
          <w:numId w:val="0"/>
        </w:numPr>
        <w:ind w:left="1873" w:hanging="1009"/>
      </w:pPr>
      <w:r>
        <w:t>[54.3]</w:t>
      </w:r>
      <w:r>
        <w:tab/>
      </w:r>
      <w:r w:rsidR="00EB0DEE">
        <w:t>the delay in serving the application on the respondent.</w:t>
      </w:r>
    </w:p>
    <w:p w14:paraId="6D186251" w14:textId="2D91804D" w:rsidR="001528BA" w:rsidRPr="00FD3CF6" w:rsidRDefault="005B4EEB" w:rsidP="005B4EEB">
      <w:pPr>
        <w:pStyle w:val="Heading1"/>
        <w:numPr>
          <w:ilvl w:val="0"/>
          <w:numId w:val="0"/>
        </w:numPr>
        <w:tabs>
          <w:tab w:val="left" w:pos="862"/>
        </w:tabs>
        <w:ind w:left="862" w:hanging="862"/>
        <w:rPr>
          <w:rFonts w:cs="Arial"/>
          <w:color w:val="64473A"/>
          <w:kern w:val="0"/>
          <w:sz w:val="36"/>
          <w:szCs w:val="36"/>
          <w:lang w:eastAsia="en-ZA"/>
        </w:rPr>
      </w:pPr>
      <w:bookmarkStart w:id="2" w:name="_Hlk81386320"/>
      <w:r w:rsidRPr="00FD3CF6">
        <w:rPr>
          <w:rFonts w:cs="Arial"/>
          <w:kern w:val="0"/>
          <w:szCs w:val="24"/>
          <w:lang w:eastAsia="en-ZA"/>
        </w:rPr>
        <w:lastRenderedPageBreak/>
        <w:t>[55]</w:t>
      </w:r>
      <w:r w:rsidRPr="00FD3CF6">
        <w:rPr>
          <w:rFonts w:cs="Arial"/>
          <w:kern w:val="0"/>
          <w:szCs w:val="24"/>
          <w:lang w:eastAsia="en-ZA"/>
        </w:rPr>
        <w:tab/>
      </w:r>
      <w:r w:rsidR="001528BA">
        <w:t xml:space="preserve">This Court finds that the appellant has failed to provide an adequate explanation for their failure to defend the summons, provided no defence on the merits and has raised grounds of defence that are neither valid nor </w:t>
      </w:r>
      <w:r w:rsidR="001528BA" w:rsidRPr="00475029">
        <w:rPr>
          <w:i/>
        </w:rPr>
        <w:t>bona fide</w:t>
      </w:r>
      <w:r w:rsidR="001528BA">
        <w:t xml:space="preserve">. </w:t>
      </w:r>
      <w:r w:rsidR="0058214A">
        <w:t xml:space="preserve">We are of the view that the costs of the appeal be on the party and party scale. The complaints about the prosecution of the appeal do not warrant punitive costs. Given the recent addition of Rule 67A, effective from 12 April 2024, we are of the view that the costs of the appeal as from 12 April 2024 should be on scale A. This case is about as elementary as </w:t>
      </w:r>
      <w:r w:rsidR="0058214A" w:rsidRPr="00443A45">
        <w:t xml:space="preserve">a High Court case can get. See </w:t>
      </w:r>
      <w:r w:rsidR="0058214A" w:rsidRPr="00FD3CF6">
        <w:rPr>
          <w:b/>
          <w:bCs/>
          <w:i/>
          <w:iCs/>
        </w:rPr>
        <w:t xml:space="preserve">Mashavha v Enaex Africa (Pty) Ltd </w:t>
      </w:r>
      <w:r w:rsidR="0058214A" w:rsidRPr="00443A45">
        <w:t>(2022/18404) [2024] ZAGPJHC 387 (22 April 2024)</w:t>
      </w:r>
    </w:p>
    <w:p w14:paraId="1DE67C95" w14:textId="1D6AC85D" w:rsidR="007800C0" w:rsidRPr="0057119C" w:rsidRDefault="007800C0" w:rsidP="0057119C">
      <w:pPr>
        <w:keepNext/>
        <w:rPr>
          <w:b/>
          <w:bCs/>
          <w:u w:val="single"/>
        </w:rPr>
      </w:pPr>
      <w:r>
        <w:rPr>
          <w:b/>
          <w:bCs/>
          <w:u w:val="single"/>
        </w:rPr>
        <w:t>ORDER</w:t>
      </w:r>
    </w:p>
    <w:p w14:paraId="17C0A802" w14:textId="2D72F0ED" w:rsidR="00B7752A" w:rsidRDefault="005B4EEB" w:rsidP="005B4EEB">
      <w:pPr>
        <w:pStyle w:val="Heading1"/>
        <w:numPr>
          <w:ilvl w:val="0"/>
          <w:numId w:val="0"/>
        </w:numPr>
        <w:tabs>
          <w:tab w:val="left" w:pos="862"/>
        </w:tabs>
        <w:ind w:left="862" w:hanging="862"/>
      </w:pPr>
      <w:r>
        <w:rPr>
          <w:szCs w:val="24"/>
        </w:rPr>
        <w:t>[56]</w:t>
      </w:r>
      <w:r>
        <w:rPr>
          <w:szCs w:val="24"/>
        </w:rPr>
        <w:tab/>
      </w:r>
      <w:r w:rsidR="00B7752A">
        <w:t xml:space="preserve">Accordingly, </w:t>
      </w:r>
      <w:r w:rsidR="0000543F">
        <w:t>we</w:t>
      </w:r>
      <w:r w:rsidR="00B7752A">
        <w:t xml:space="preserve"> make the following order:</w:t>
      </w:r>
    </w:p>
    <w:p w14:paraId="76623F04" w14:textId="230261E9" w:rsidR="00B7752A" w:rsidRDefault="005B4EEB" w:rsidP="005B4EEB">
      <w:pPr>
        <w:pStyle w:val="Heading2"/>
        <w:numPr>
          <w:ilvl w:val="0"/>
          <w:numId w:val="0"/>
        </w:numPr>
        <w:ind w:left="1873" w:hanging="1009"/>
      </w:pPr>
      <w:r>
        <w:t>[56.1]</w:t>
      </w:r>
      <w:r>
        <w:tab/>
      </w:r>
      <w:r w:rsidR="00612315">
        <w:t>The appeal is reinstated</w:t>
      </w:r>
      <w:r w:rsidR="00A26306">
        <w:t xml:space="preserve"> and condonation is granted to the appellant for the late prosecution of the appeal.</w:t>
      </w:r>
      <w:r w:rsidR="00232E22">
        <w:t xml:space="preserve">  The parties shall carry their own costs in the reinstatement and condonation application.</w:t>
      </w:r>
    </w:p>
    <w:p w14:paraId="1FE4FCAC" w14:textId="1FEB5AAD" w:rsidR="0071483D" w:rsidRDefault="005B4EEB" w:rsidP="005B4EEB">
      <w:pPr>
        <w:pStyle w:val="Heading2"/>
        <w:numPr>
          <w:ilvl w:val="0"/>
          <w:numId w:val="0"/>
        </w:numPr>
        <w:ind w:left="1873" w:hanging="1009"/>
      </w:pPr>
      <w:r>
        <w:t>[56.2]</w:t>
      </w:r>
      <w:r>
        <w:tab/>
      </w:r>
      <w:r w:rsidR="00E97013">
        <w:t xml:space="preserve">The appeal </w:t>
      </w:r>
      <w:r w:rsidR="00A26306">
        <w:t>is dismissed with costs.</w:t>
      </w:r>
      <w:r w:rsidR="00E20394">
        <w:t xml:space="preserve"> </w:t>
      </w:r>
    </w:p>
    <w:p w14:paraId="337FDB92" w14:textId="134D84C6" w:rsidR="0058214A" w:rsidRDefault="005B4EEB" w:rsidP="005B4EEB">
      <w:pPr>
        <w:pStyle w:val="Heading2"/>
        <w:numPr>
          <w:ilvl w:val="0"/>
          <w:numId w:val="0"/>
        </w:numPr>
        <w:ind w:left="1873" w:hanging="1009"/>
      </w:pPr>
      <w:r>
        <w:t>[56.3]</w:t>
      </w:r>
      <w:r>
        <w:tab/>
      </w:r>
      <w:r w:rsidR="0058214A">
        <w:t>The costs of the appeal, up to and including 11 April 2024 shall be on the party and party scale.</w:t>
      </w:r>
    </w:p>
    <w:p w14:paraId="6E586D4E" w14:textId="1A60EC14" w:rsidR="0058214A" w:rsidRDefault="005B4EEB" w:rsidP="005B4EEB">
      <w:pPr>
        <w:pStyle w:val="Heading2"/>
        <w:numPr>
          <w:ilvl w:val="0"/>
          <w:numId w:val="0"/>
        </w:numPr>
        <w:ind w:left="1873" w:hanging="1009"/>
      </w:pPr>
      <w:r>
        <w:t>[56.4]</w:t>
      </w:r>
      <w:r>
        <w:tab/>
      </w:r>
      <w:r w:rsidR="0058214A">
        <w:t>The costs of the appeal, from 12 April 2024 onwards shall be at scale A on the party and party scale.</w:t>
      </w:r>
    </w:p>
    <w:p w14:paraId="32186875" w14:textId="77777777" w:rsidR="007225EB" w:rsidRDefault="007225EB" w:rsidP="00677156">
      <w:pPr>
        <w:pStyle w:val="Heading2"/>
        <w:numPr>
          <w:ilvl w:val="0"/>
          <w:numId w:val="0"/>
        </w:numPr>
        <w:ind w:left="1873"/>
      </w:pPr>
    </w:p>
    <w:p w14:paraId="6AB2575A" w14:textId="77777777" w:rsidR="007225EB" w:rsidRDefault="007225EB" w:rsidP="00677156">
      <w:pPr>
        <w:pStyle w:val="Heading2"/>
        <w:numPr>
          <w:ilvl w:val="0"/>
          <w:numId w:val="0"/>
        </w:numPr>
        <w:ind w:left="1873"/>
      </w:pPr>
    </w:p>
    <w:p w14:paraId="2EAB61F2" w14:textId="1A893986" w:rsidR="00677156" w:rsidRDefault="00677156" w:rsidP="00677156">
      <w:pPr>
        <w:pStyle w:val="Heading2"/>
        <w:numPr>
          <w:ilvl w:val="0"/>
          <w:numId w:val="0"/>
        </w:numPr>
        <w:ind w:left="1873"/>
      </w:pPr>
    </w:p>
    <w:p w14:paraId="53743F67" w14:textId="18C927DE" w:rsidR="006E34E4" w:rsidRPr="00433ED3" w:rsidRDefault="006E34E4" w:rsidP="006E34E4">
      <w:pPr>
        <w:keepNext/>
        <w:keepLines/>
        <w:tabs>
          <w:tab w:val="left" w:pos="0"/>
        </w:tabs>
        <w:spacing w:before="240" w:after="0" w:line="240" w:lineRule="auto"/>
        <w:jc w:val="right"/>
        <w:rPr>
          <w:b/>
          <w:u w:val="single"/>
        </w:rPr>
      </w:pPr>
      <w:r w:rsidRPr="00433ED3">
        <w:rPr>
          <w:b/>
          <w:u w:val="single"/>
        </w:rPr>
        <w:t>______________________________________</w:t>
      </w:r>
    </w:p>
    <w:p w14:paraId="2DB13194" w14:textId="0451C3EE" w:rsidR="006E34E4" w:rsidRPr="00433ED3" w:rsidRDefault="0069482F" w:rsidP="006E34E4">
      <w:pPr>
        <w:keepNext/>
        <w:spacing w:after="0" w:line="240" w:lineRule="auto"/>
        <w:jc w:val="right"/>
        <w:rPr>
          <w:rFonts w:cs="Arial"/>
          <w:b/>
        </w:rPr>
      </w:pPr>
      <w:r w:rsidRPr="00433ED3">
        <w:rPr>
          <w:rFonts w:cs="Arial"/>
          <w:b/>
        </w:rPr>
        <w:t>M VAN NIEUWENHUIZEN</w:t>
      </w:r>
    </w:p>
    <w:p w14:paraId="01C7C878" w14:textId="021E2FB5"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686264EE" w14:textId="68EF306A" w:rsidR="006E34E4" w:rsidRDefault="006E34E4" w:rsidP="00B1293D">
      <w:pPr>
        <w:spacing w:after="100" w:afterAutospacing="1"/>
        <w:jc w:val="right"/>
        <w:rPr>
          <w:rFonts w:cs="Arial"/>
          <w:i/>
        </w:rPr>
      </w:pPr>
      <w:r w:rsidRPr="0084771B">
        <w:rPr>
          <w:rFonts w:cs="Arial"/>
          <w:i/>
        </w:rPr>
        <w:t xml:space="preserve">Gauteng Division, </w:t>
      </w:r>
      <w:r>
        <w:rPr>
          <w:rFonts w:cs="Arial"/>
          <w:i/>
        </w:rPr>
        <w:t>Johannesburg</w:t>
      </w:r>
    </w:p>
    <w:p w14:paraId="332B99C0" w14:textId="3E72FF62" w:rsidR="006A7B58" w:rsidRDefault="006A7B58" w:rsidP="00231A3C">
      <w:pPr>
        <w:spacing w:after="100" w:afterAutospacing="1"/>
        <w:jc w:val="right"/>
        <w:rPr>
          <w:rFonts w:cs="Arial"/>
          <w:i/>
        </w:rPr>
      </w:pPr>
    </w:p>
    <w:p w14:paraId="557F0C89" w14:textId="7FD7761E" w:rsidR="00D03FCE" w:rsidRDefault="00D03FCE" w:rsidP="00D03FCE">
      <w:pPr>
        <w:pStyle w:val="JudgmentNumbered"/>
        <w:numPr>
          <w:ilvl w:val="0"/>
          <w:numId w:val="0"/>
        </w:numPr>
        <w:ind w:left="567" w:hanging="567"/>
        <w:rPr>
          <w:lang w:eastAsia="en-US"/>
        </w:rPr>
      </w:pPr>
      <w:r>
        <w:rPr>
          <w:b/>
          <w:bCs/>
        </w:rPr>
        <w:t>WRIGHT, J</w:t>
      </w:r>
    </w:p>
    <w:p w14:paraId="0610BFB6" w14:textId="77777777" w:rsidR="00D03FCE" w:rsidRDefault="00D03FCE" w:rsidP="00D03FCE">
      <w:pPr>
        <w:pStyle w:val="JudgmentNumbered"/>
        <w:numPr>
          <w:ilvl w:val="0"/>
          <w:numId w:val="0"/>
        </w:numPr>
        <w:ind w:left="567" w:hanging="567"/>
      </w:pPr>
      <w:r>
        <w:t>I agree/disagree</w:t>
      </w:r>
    </w:p>
    <w:p w14:paraId="4BF67640" w14:textId="05CAAE50" w:rsidR="00C02B77" w:rsidRDefault="00C02B77" w:rsidP="006A7B58">
      <w:pPr>
        <w:pStyle w:val="Title"/>
        <w:tabs>
          <w:tab w:val="left" w:pos="1418"/>
        </w:tabs>
        <w:ind w:left="1418" w:hanging="1418"/>
        <w:jc w:val="both"/>
        <w:rPr>
          <w:rFonts w:cs="Arial"/>
          <w:b/>
          <w:bCs/>
          <w:iCs/>
          <w:sz w:val="24"/>
          <w:szCs w:val="24"/>
        </w:rPr>
      </w:pPr>
    </w:p>
    <w:p w14:paraId="669C55C2" w14:textId="77777777" w:rsidR="0009589B" w:rsidRDefault="0009589B" w:rsidP="006A7B58">
      <w:pPr>
        <w:pStyle w:val="Title"/>
        <w:tabs>
          <w:tab w:val="left" w:pos="1418"/>
        </w:tabs>
        <w:ind w:left="1418" w:hanging="1418"/>
        <w:jc w:val="both"/>
        <w:rPr>
          <w:rFonts w:cs="Arial"/>
          <w:b/>
          <w:bCs/>
          <w:iCs/>
          <w:sz w:val="24"/>
          <w:szCs w:val="24"/>
        </w:rPr>
      </w:pPr>
    </w:p>
    <w:p w14:paraId="2248B150" w14:textId="77777777" w:rsidR="00812F04" w:rsidRDefault="00812F04" w:rsidP="006A7B58">
      <w:pPr>
        <w:pStyle w:val="Title"/>
        <w:tabs>
          <w:tab w:val="left" w:pos="1418"/>
        </w:tabs>
        <w:ind w:left="1418" w:hanging="1418"/>
        <w:jc w:val="both"/>
        <w:rPr>
          <w:rFonts w:cs="Arial"/>
          <w:b/>
          <w:bCs/>
          <w:iCs/>
          <w:sz w:val="24"/>
          <w:szCs w:val="24"/>
        </w:rPr>
      </w:pPr>
    </w:p>
    <w:p w14:paraId="4635180C" w14:textId="77777777" w:rsidR="00812F04" w:rsidRDefault="00812F04" w:rsidP="006A7B58">
      <w:pPr>
        <w:pStyle w:val="Title"/>
        <w:tabs>
          <w:tab w:val="left" w:pos="1418"/>
        </w:tabs>
        <w:ind w:left="1418" w:hanging="1418"/>
        <w:jc w:val="both"/>
        <w:rPr>
          <w:rFonts w:cs="Arial"/>
          <w:b/>
          <w:bCs/>
          <w:iCs/>
          <w:sz w:val="24"/>
          <w:szCs w:val="24"/>
        </w:rPr>
      </w:pPr>
    </w:p>
    <w:p w14:paraId="657531D7" w14:textId="3052D154" w:rsidR="006A7B58" w:rsidRPr="00807C07" w:rsidRDefault="006A7B58" w:rsidP="006A7B58">
      <w:pPr>
        <w:pStyle w:val="Title"/>
        <w:tabs>
          <w:tab w:val="left" w:pos="1418"/>
        </w:tabs>
        <w:ind w:left="1418" w:hanging="1418"/>
        <w:jc w:val="both"/>
        <w:rPr>
          <w:rFonts w:cs="Arial"/>
          <w:iCs/>
          <w:sz w:val="24"/>
          <w:szCs w:val="24"/>
        </w:rPr>
      </w:pPr>
      <w:r w:rsidRPr="00807C07">
        <w:rPr>
          <w:rFonts w:cs="Arial"/>
          <w:b/>
          <w:bCs/>
          <w:iCs/>
          <w:sz w:val="24"/>
          <w:szCs w:val="24"/>
        </w:rPr>
        <w:t>Delivered</w:t>
      </w:r>
      <w:r w:rsidRPr="00807C07">
        <w:rPr>
          <w:rFonts w:cs="Arial"/>
          <w:iCs/>
          <w:sz w:val="24"/>
          <w:szCs w:val="24"/>
        </w:rPr>
        <w:t>:</w:t>
      </w:r>
      <w:r w:rsidRPr="00807C07">
        <w:rPr>
          <w:rFonts w:cs="Arial"/>
          <w:iCs/>
          <w:sz w:val="24"/>
          <w:szCs w:val="24"/>
        </w:rPr>
        <w:tab/>
      </w:r>
      <w:r w:rsidRPr="00807C07">
        <w:rPr>
          <w:rFonts w:cs="Arial"/>
          <w:iCs/>
          <w:sz w:val="24"/>
          <w:szCs w:val="24"/>
        </w:rPr>
        <w:tab/>
        <w:t>This judgment was prepared and authored by the Judge</w:t>
      </w:r>
      <w:r w:rsidR="0060737B">
        <w:rPr>
          <w:rFonts w:cs="Arial"/>
          <w:iCs/>
          <w:sz w:val="24"/>
          <w:szCs w:val="24"/>
        </w:rPr>
        <w:t>s</w:t>
      </w:r>
      <w:r w:rsidRPr="00807C07">
        <w:rPr>
          <w:rFonts w:cs="Arial"/>
          <w:iCs/>
          <w:sz w:val="24"/>
          <w:szCs w:val="24"/>
        </w:rPr>
        <w:t xml:space="preserve"> whose name</w:t>
      </w:r>
      <w:r w:rsidR="0060737B">
        <w:rPr>
          <w:rFonts w:cs="Arial"/>
          <w:iCs/>
          <w:sz w:val="24"/>
          <w:szCs w:val="24"/>
        </w:rPr>
        <w:t>s</w:t>
      </w:r>
      <w:r w:rsidRPr="00807C07">
        <w:rPr>
          <w:rFonts w:cs="Arial"/>
          <w:iCs/>
          <w:sz w:val="24"/>
          <w:szCs w:val="24"/>
        </w:rPr>
        <w:t xml:space="preserve"> </w:t>
      </w:r>
      <w:r w:rsidR="0060737B">
        <w:rPr>
          <w:rFonts w:cs="Arial"/>
          <w:iCs/>
          <w:sz w:val="24"/>
          <w:szCs w:val="24"/>
        </w:rPr>
        <w:t>are</w:t>
      </w:r>
      <w:r w:rsidRPr="00807C07">
        <w:rPr>
          <w:rFonts w:cs="Arial"/>
          <w:iCs/>
          <w:sz w:val="24"/>
          <w:szCs w:val="24"/>
        </w:rPr>
        <w:t xml:space="preserve"> reflected and is handed down electronically by circulation to the Parties/their legal representatives by email and by uploading it to the electronic file of this matter on CaseLines. The date for hand-down is deemed to be on </w:t>
      </w:r>
      <w:r w:rsidR="000E3DAB">
        <w:rPr>
          <w:rFonts w:cs="Arial"/>
          <w:iCs/>
          <w:sz w:val="24"/>
          <w:szCs w:val="24"/>
        </w:rPr>
        <w:t>30</w:t>
      </w:r>
      <w:r w:rsidR="00677156">
        <w:rPr>
          <w:rFonts w:cs="Arial"/>
          <w:iCs/>
          <w:sz w:val="24"/>
          <w:szCs w:val="24"/>
        </w:rPr>
        <w:t xml:space="preserve"> </w:t>
      </w:r>
      <w:r w:rsidR="00DF4CBA">
        <w:rPr>
          <w:rFonts w:cs="Arial"/>
          <w:iCs/>
          <w:sz w:val="24"/>
          <w:szCs w:val="24"/>
        </w:rPr>
        <w:t>April 2024</w:t>
      </w:r>
      <w:r w:rsidRPr="00807C07">
        <w:rPr>
          <w:rFonts w:cs="Arial"/>
          <w:iCs/>
          <w:sz w:val="24"/>
          <w:szCs w:val="24"/>
        </w:rPr>
        <w:t>.</w:t>
      </w:r>
    </w:p>
    <w:p w14:paraId="21C6E74A" w14:textId="1A2602A0" w:rsidR="006E34E4" w:rsidRDefault="006E34E4" w:rsidP="006E34E4">
      <w:pPr>
        <w:keepNext/>
        <w:keepLines/>
        <w:tabs>
          <w:tab w:val="left" w:pos="0"/>
        </w:tabs>
        <w:spacing w:before="240"/>
        <w:rPr>
          <w:b/>
          <w:u w:val="single"/>
        </w:rPr>
      </w:pPr>
      <w:r>
        <w:rPr>
          <w:b/>
          <w:u w:val="single"/>
        </w:rPr>
        <w:t>______________________________________</w:t>
      </w:r>
    </w:p>
    <w:p w14:paraId="66A3D0C8" w14:textId="17287FE6"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3EFE509C" w14:textId="77777777" w:rsidTr="00871875">
        <w:tc>
          <w:tcPr>
            <w:tcW w:w="3936" w:type="dxa"/>
            <w:tcMar>
              <w:top w:w="32" w:type="dxa"/>
              <w:left w:w="108" w:type="dxa"/>
              <w:bottom w:w="32" w:type="dxa"/>
              <w:right w:w="108" w:type="dxa"/>
            </w:tcMar>
            <w:vAlign w:val="center"/>
            <w:hideMark/>
          </w:tcPr>
          <w:p w14:paraId="358D6CC3" w14:textId="77777777" w:rsidR="006E34E4" w:rsidRDefault="006E34E4" w:rsidP="007154C1">
            <w:pPr>
              <w:keepNext/>
              <w:spacing w:before="120" w:after="0" w:line="240" w:lineRule="auto"/>
              <w:rPr>
                <w:sz w:val="22"/>
                <w:szCs w:val="22"/>
              </w:rPr>
            </w:pPr>
            <w:r>
              <w:lastRenderedPageBreak/>
              <w:t>HEARD ON: </w:t>
            </w:r>
          </w:p>
        </w:tc>
        <w:tc>
          <w:tcPr>
            <w:tcW w:w="5208" w:type="dxa"/>
            <w:tcMar>
              <w:top w:w="32" w:type="dxa"/>
              <w:left w:w="108" w:type="dxa"/>
              <w:bottom w:w="32" w:type="dxa"/>
              <w:right w:w="108" w:type="dxa"/>
            </w:tcMar>
            <w:vAlign w:val="center"/>
          </w:tcPr>
          <w:p w14:paraId="0D924218" w14:textId="1B33CEA3" w:rsidR="006E34E4" w:rsidRPr="009441AD" w:rsidRDefault="00BC1AAE" w:rsidP="009441AD">
            <w:pPr>
              <w:keepNext/>
              <w:spacing w:after="120" w:line="240" w:lineRule="auto"/>
              <w:rPr>
                <w:szCs w:val="22"/>
              </w:rPr>
            </w:pPr>
            <w:r>
              <w:rPr>
                <w:szCs w:val="22"/>
              </w:rPr>
              <w:t>25 April 2024</w:t>
            </w:r>
          </w:p>
        </w:tc>
      </w:tr>
      <w:tr w:rsidR="006E34E4" w14:paraId="35A136C3" w14:textId="77777777" w:rsidTr="00871875">
        <w:tc>
          <w:tcPr>
            <w:tcW w:w="3936" w:type="dxa"/>
            <w:tcMar>
              <w:top w:w="32" w:type="dxa"/>
              <w:left w:w="108" w:type="dxa"/>
              <w:bottom w:w="32" w:type="dxa"/>
              <w:right w:w="108" w:type="dxa"/>
            </w:tcMar>
            <w:vAlign w:val="center"/>
            <w:hideMark/>
          </w:tcPr>
          <w:p w14:paraId="3D674BDC" w14:textId="77777777"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tcPr>
          <w:p w14:paraId="3ED612EF" w14:textId="4560431E" w:rsidR="006E34E4" w:rsidRPr="00325F33" w:rsidRDefault="000E3DAB" w:rsidP="009441AD">
            <w:pPr>
              <w:keepNext/>
              <w:spacing w:after="120" w:line="240" w:lineRule="auto"/>
            </w:pPr>
            <w:r>
              <w:t>30</w:t>
            </w:r>
            <w:r w:rsidR="009A50EC">
              <w:t xml:space="preserve"> April 2024</w:t>
            </w:r>
          </w:p>
        </w:tc>
      </w:tr>
      <w:tr w:rsidR="006E34E4" w:rsidRPr="00433ED3" w14:paraId="0FEED89A" w14:textId="77777777" w:rsidTr="002970B2">
        <w:tc>
          <w:tcPr>
            <w:tcW w:w="3936" w:type="dxa"/>
            <w:tcMar>
              <w:top w:w="32" w:type="dxa"/>
              <w:left w:w="108" w:type="dxa"/>
              <w:bottom w:w="32" w:type="dxa"/>
              <w:right w:w="108" w:type="dxa"/>
            </w:tcMar>
            <w:vAlign w:val="center"/>
            <w:hideMark/>
          </w:tcPr>
          <w:p w14:paraId="04BEABD0" w14:textId="1F90D6EB" w:rsidR="006E34E4" w:rsidRDefault="006E34E4" w:rsidP="00143DA0">
            <w:pPr>
              <w:keepNext/>
              <w:spacing w:before="120" w:after="0" w:line="240" w:lineRule="auto"/>
              <w:ind w:right="-108"/>
              <w:jc w:val="left"/>
            </w:pPr>
            <w:r>
              <w:t xml:space="preserve">FOR </w:t>
            </w:r>
            <w:r w:rsidR="00B1293D">
              <w:t>APPELLANT</w:t>
            </w:r>
            <w:r>
              <w:t>:</w:t>
            </w:r>
          </w:p>
        </w:tc>
        <w:tc>
          <w:tcPr>
            <w:tcW w:w="5208" w:type="dxa"/>
            <w:tcMar>
              <w:top w:w="32" w:type="dxa"/>
              <w:left w:w="108" w:type="dxa"/>
              <w:bottom w:w="32" w:type="dxa"/>
              <w:right w:w="108" w:type="dxa"/>
            </w:tcMar>
            <w:vAlign w:val="center"/>
          </w:tcPr>
          <w:p w14:paraId="0AC7ADC0" w14:textId="77777777" w:rsidR="007800C0" w:rsidRDefault="00E22730" w:rsidP="009441AD">
            <w:pPr>
              <w:keepNext/>
              <w:spacing w:after="120" w:line="240" w:lineRule="auto"/>
            </w:pPr>
            <w:r>
              <w:t>Advocate Terence W Snyders</w:t>
            </w:r>
          </w:p>
          <w:p w14:paraId="1CCF454B" w14:textId="77777777" w:rsidR="00E22730" w:rsidRDefault="00E22730" w:rsidP="009441AD">
            <w:pPr>
              <w:keepNext/>
              <w:spacing w:after="120" w:line="240" w:lineRule="auto"/>
            </w:pPr>
            <w:r>
              <w:t>Cell: 060 737 1830</w:t>
            </w:r>
          </w:p>
          <w:p w14:paraId="21D1FD4B" w14:textId="2222BF7F" w:rsidR="00A4567E" w:rsidRPr="00433ED3" w:rsidRDefault="00A4567E" w:rsidP="009441AD">
            <w:pPr>
              <w:keepNext/>
              <w:spacing w:after="120" w:line="240" w:lineRule="auto"/>
              <w:rPr>
                <w:lang w:val="de-DE"/>
              </w:rPr>
            </w:pPr>
            <w:r w:rsidRPr="00433ED3">
              <w:rPr>
                <w:lang w:val="de-DE"/>
              </w:rPr>
              <w:t xml:space="preserve">E-mail: </w:t>
            </w:r>
            <w:hyperlink r:id="rId13" w:history="1">
              <w:r w:rsidRPr="00433ED3">
                <w:rPr>
                  <w:rStyle w:val="Hyperlink"/>
                  <w:lang w:val="de-DE"/>
                </w:rPr>
                <w:t>terencewsnyders@rsabar.com</w:t>
              </w:r>
            </w:hyperlink>
            <w:r w:rsidRPr="00433ED3">
              <w:rPr>
                <w:lang w:val="de-DE"/>
              </w:rPr>
              <w:t xml:space="preserve"> </w:t>
            </w:r>
          </w:p>
        </w:tc>
      </w:tr>
      <w:tr w:rsidR="005F0048" w14:paraId="721BCAE9" w14:textId="77777777" w:rsidTr="005545E1">
        <w:tc>
          <w:tcPr>
            <w:tcW w:w="3936" w:type="dxa"/>
            <w:tcMar>
              <w:top w:w="32" w:type="dxa"/>
              <w:left w:w="108" w:type="dxa"/>
              <w:bottom w:w="32" w:type="dxa"/>
              <w:right w:w="108" w:type="dxa"/>
            </w:tcMar>
            <w:vAlign w:val="center"/>
          </w:tcPr>
          <w:p w14:paraId="111AA68D" w14:textId="091F8D8E" w:rsidR="005F0048" w:rsidRDefault="005F0048" w:rsidP="00C240DF">
            <w:pPr>
              <w:keepNext/>
              <w:spacing w:before="120" w:after="0" w:line="240" w:lineRule="auto"/>
              <w:jc w:val="left"/>
            </w:pPr>
            <w:r>
              <w:t>INSTRUCTED BY:</w:t>
            </w:r>
          </w:p>
        </w:tc>
        <w:tc>
          <w:tcPr>
            <w:tcW w:w="5208" w:type="dxa"/>
            <w:tcMar>
              <w:top w:w="32" w:type="dxa"/>
              <w:left w:w="108" w:type="dxa"/>
              <w:bottom w:w="32" w:type="dxa"/>
              <w:right w:w="108" w:type="dxa"/>
            </w:tcMar>
            <w:vAlign w:val="center"/>
          </w:tcPr>
          <w:p w14:paraId="7E6D5A4B" w14:textId="77777777" w:rsidR="007800C0" w:rsidRDefault="00A4567E" w:rsidP="009441AD">
            <w:pPr>
              <w:keepNext/>
              <w:spacing w:after="120" w:line="240" w:lineRule="auto"/>
            </w:pPr>
            <w:r>
              <w:t>Maake Clement Inc. Attorneys</w:t>
            </w:r>
          </w:p>
          <w:p w14:paraId="005207F2" w14:textId="77777777" w:rsidR="00A4567E" w:rsidRDefault="00A4567E" w:rsidP="009441AD">
            <w:pPr>
              <w:keepNext/>
              <w:spacing w:after="120" w:line="240" w:lineRule="auto"/>
            </w:pPr>
            <w:r>
              <w:t xml:space="preserve">E-mail: </w:t>
            </w:r>
            <w:hyperlink r:id="rId14" w:history="1">
              <w:r w:rsidRPr="000F0C35">
                <w:rPr>
                  <w:rStyle w:val="Hyperlink"/>
                </w:rPr>
                <w:t>maakeclement.attorneys@gmail.com</w:t>
              </w:r>
            </w:hyperlink>
            <w:r>
              <w:t xml:space="preserve"> </w:t>
            </w:r>
          </w:p>
          <w:p w14:paraId="37FC5F00" w14:textId="0C0D25F6" w:rsidR="00F06B7C" w:rsidRDefault="00000000" w:rsidP="009441AD">
            <w:pPr>
              <w:keepNext/>
              <w:spacing w:after="120" w:line="240" w:lineRule="auto"/>
            </w:pPr>
            <w:hyperlink r:id="rId15" w:history="1">
              <w:r w:rsidR="00D22B7D" w:rsidRPr="000F0C35">
                <w:rPr>
                  <w:rStyle w:val="Hyperlink"/>
                </w:rPr>
                <w:t>admin@maakecminc.co.za</w:t>
              </w:r>
            </w:hyperlink>
          </w:p>
          <w:p w14:paraId="6A9A0677" w14:textId="77777777" w:rsidR="00D22B7D" w:rsidRDefault="00000000" w:rsidP="009441AD">
            <w:pPr>
              <w:keepNext/>
              <w:spacing w:after="120" w:line="240" w:lineRule="auto"/>
            </w:pPr>
            <w:hyperlink r:id="rId16" w:history="1">
              <w:r w:rsidR="00EE1A00" w:rsidRPr="000F0C35">
                <w:rPr>
                  <w:rStyle w:val="Hyperlink"/>
                </w:rPr>
                <w:t>clement@maakecminc.co.za</w:t>
              </w:r>
            </w:hyperlink>
            <w:r w:rsidR="00EE1A00">
              <w:t xml:space="preserve"> </w:t>
            </w:r>
          </w:p>
          <w:p w14:paraId="46742E2A" w14:textId="369B55E8" w:rsidR="00EE1A00" w:rsidRPr="00325F33" w:rsidRDefault="00EE1A00" w:rsidP="009441AD">
            <w:pPr>
              <w:keepNext/>
              <w:spacing w:after="120" w:line="240" w:lineRule="auto"/>
            </w:pPr>
            <w:r>
              <w:t>Ref:  CLE/006/PRASALIT</w:t>
            </w:r>
          </w:p>
        </w:tc>
      </w:tr>
      <w:tr w:rsidR="006E34E4" w14:paraId="1DF258FF" w14:textId="77777777" w:rsidTr="002970B2">
        <w:tc>
          <w:tcPr>
            <w:tcW w:w="3936" w:type="dxa"/>
            <w:tcMar>
              <w:top w:w="32" w:type="dxa"/>
              <w:left w:w="108" w:type="dxa"/>
              <w:bottom w:w="32" w:type="dxa"/>
              <w:right w:w="108" w:type="dxa"/>
            </w:tcMar>
            <w:vAlign w:val="center"/>
            <w:hideMark/>
          </w:tcPr>
          <w:p w14:paraId="4420DF33" w14:textId="5BEB1D3C" w:rsidR="006E34E4" w:rsidRDefault="006E34E4" w:rsidP="00C240DF">
            <w:pPr>
              <w:keepNext/>
              <w:spacing w:before="120" w:after="0" w:line="240" w:lineRule="auto"/>
              <w:jc w:val="left"/>
              <w:rPr>
                <w:sz w:val="22"/>
                <w:szCs w:val="22"/>
              </w:rPr>
            </w:pPr>
            <w:r>
              <w:t>FOR</w:t>
            </w:r>
            <w:r w:rsidR="007800C0">
              <w:t xml:space="preserve"> RESPONDENT</w:t>
            </w:r>
            <w:r>
              <w:t>: </w:t>
            </w:r>
          </w:p>
        </w:tc>
        <w:tc>
          <w:tcPr>
            <w:tcW w:w="5208" w:type="dxa"/>
            <w:tcMar>
              <w:top w:w="32" w:type="dxa"/>
              <w:left w:w="108" w:type="dxa"/>
              <w:bottom w:w="32" w:type="dxa"/>
              <w:right w:w="108" w:type="dxa"/>
            </w:tcMar>
            <w:vAlign w:val="center"/>
          </w:tcPr>
          <w:p w14:paraId="3C1F75AE" w14:textId="7A185614" w:rsidR="007800C0" w:rsidRPr="009441AD" w:rsidRDefault="00141DF6" w:rsidP="009441AD">
            <w:pPr>
              <w:keepNext/>
              <w:spacing w:after="120" w:line="240" w:lineRule="auto"/>
              <w:rPr>
                <w:szCs w:val="22"/>
              </w:rPr>
            </w:pPr>
            <w:r>
              <w:rPr>
                <w:szCs w:val="22"/>
              </w:rPr>
              <w:t>Attorney Mr T J C Dunn</w:t>
            </w:r>
          </w:p>
        </w:tc>
      </w:tr>
      <w:tr w:rsidR="006E34E4" w14:paraId="03D680E1" w14:textId="77777777" w:rsidTr="002970B2">
        <w:tc>
          <w:tcPr>
            <w:tcW w:w="3936" w:type="dxa"/>
            <w:tcMar>
              <w:top w:w="32" w:type="dxa"/>
              <w:left w:w="108" w:type="dxa"/>
              <w:bottom w:w="32" w:type="dxa"/>
              <w:right w:w="108" w:type="dxa"/>
            </w:tcMar>
            <w:vAlign w:val="center"/>
            <w:hideMark/>
          </w:tcPr>
          <w:p w14:paraId="754CFEBB"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tcPr>
          <w:p w14:paraId="7216B9EF" w14:textId="77777777" w:rsidR="00C174FD" w:rsidRDefault="00603FD7" w:rsidP="009441AD">
            <w:pPr>
              <w:keepNext/>
              <w:spacing w:after="120" w:line="240" w:lineRule="auto"/>
              <w:jc w:val="left"/>
              <w:rPr>
                <w:szCs w:val="22"/>
              </w:rPr>
            </w:pPr>
            <w:r>
              <w:rPr>
                <w:szCs w:val="22"/>
              </w:rPr>
              <w:t>TJC Dunn Attorneys</w:t>
            </w:r>
          </w:p>
          <w:p w14:paraId="25D552CE" w14:textId="3083F045" w:rsidR="00603FD7" w:rsidRPr="009441AD" w:rsidRDefault="00603FD7" w:rsidP="009441AD">
            <w:pPr>
              <w:keepNext/>
              <w:spacing w:after="120" w:line="240" w:lineRule="auto"/>
              <w:jc w:val="left"/>
              <w:rPr>
                <w:szCs w:val="22"/>
              </w:rPr>
            </w:pPr>
            <w:r>
              <w:rPr>
                <w:szCs w:val="22"/>
              </w:rPr>
              <w:t xml:space="preserve">E-mail: </w:t>
            </w:r>
            <w:hyperlink r:id="rId17" w:history="1">
              <w:r w:rsidR="00BB2140" w:rsidRPr="000F0C35">
                <w:rPr>
                  <w:rStyle w:val="Hyperlink"/>
                  <w:szCs w:val="22"/>
                </w:rPr>
                <w:t>tim@tjcdunnattorneys.co.za</w:t>
              </w:r>
            </w:hyperlink>
            <w:r w:rsidR="00BB2140">
              <w:rPr>
                <w:szCs w:val="22"/>
              </w:rPr>
              <w:t xml:space="preserve"> </w:t>
            </w:r>
          </w:p>
        </w:tc>
      </w:tr>
      <w:bookmarkEnd w:id="1"/>
      <w:bookmarkEnd w:id="2"/>
    </w:tbl>
    <w:p w14:paraId="32C6E511" w14:textId="26423143" w:rsidR="006E34E4" w:rsidRPr="00964F05" w:rsidRDefault="006E34E4" w:rsidP="006E34E4">
      <w:pPr>
        <w:pStyle w:val="Heading2"/>
        <w:numPr>
          <w:ilvl w:val="0"/>
          <w:numId w:val="0"/>
        </w:numPr>
      </w:pPr>
    </w:p>
    <w:sectPr w:rsidR="006E34E4" w:rsidRPr="00964F05" w:rsidSect="003676EE">
      <w:headerReference w:type="even" r:id="rId18"/>
      <w:headerReference w:type="default" r:id="rId19"/>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DE544" w14:textId="77777777" w:rsidR="00317089" w:rsidRDefault="00317089" w:rsidP="00B958BA">
      <w:pPr>
        <w:pStyle w:val="Title"/>
      </w:pPr>
      <w:r>
        <w:separator/>
      </w:r>
    </w:p>
  </w:endnote>
  <w:endnote w:type="continuationSeparator" w:id="0">
    <w:p w14:paraId="73436D1B" w14:textId="77777777" w:rsidR="00317089" w:rsidRDefault="00317089"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1FDC3" w14:textId="77777777" w:rsidR="00317089" w:rsidRDefault="00317089" w:rsidP="00B958BA">
      <w:pPr>
        <w:pStyle w:val="Title"/>
      </w:pPr>
      <w:r>
        <w:separator/>
      </w:r>
    </w:p>
  </w:footnote>
  <w:footnote w:type="continuationSeparator" w:id="0">
    <w:p w14:paraId="5685DBC9" w14:textId="77777777" w:rsidR="00317089" w:rsidRDefault="00317089" w:rsidP="00B958BA">
      <w:pPr>
        <w:pStyle w:val="Title"/>
      </w:pPr>
      <w:r>
        <w:continuationSeparator/>
      </w:r>
    </w:p>
  </w:footnote>
  <w:footnote w:id="1">
    <w:p w14:paraId="0E054168" w14:textId="77777777" w:rsidR="00144798" w:rsidRDefault="00144798" w:rsidP="00144798">
      <w:pPr>
        <w:pStyle w:val="FootnoteText"/>
      </w:pPr>
      <w:r>
        <w:rPr>
          <w:rStyle w:val="FootnoteReference"/>
        </w:rPr>
        <w:footnoteRef/>
      </w:r>
      <w:r>
        <w:t xml:space="preserve"> </w:t>
      </w:r>
      <w:r>
        <w:tab/>
        <w:t>CaseLines, 002-1 to 002-6 (Magistrate’s written reasons for judgment in terms of Rule 51(1))</w:t>
      </w:r>
    </w:p>
  </w:footnote>
  <w:footnote w:id="2">
    <w:p w14:paraId="2C0BC4A1" w14:textId="5D561CA3" w:rsidR="00B43B58" w:rsidRDefault="00B43B58">
      <w:pPr>
        <w:pStyle w:val="FootnoteText"/>
      </w:pPr>
      <w:r>
        <w:rPr>
          <w:rStyle w:val="FootnoteReference"/>
        </w:rPr>
        <w:footnoteRef/>
      </w:r>
      <w:r>
        <w:t xml:space="preserve"> </w:t>
      </w:r>
      <w:r>
        <w:tab/>
        <w:t>CaseLines, 003-3 to 004-3</w:t>
      </w:r>
    </w:p>
  </w:footnote>
  <w:footnote w:id="3">
    <w:p w14:paraId="3861EF32" w14:textId="0DC2D361" w:rsidR="008C75E6" w:rsidRDefault="008C75E6">
      <w:pPr>
        <w:pStyle w:val="FootnoteText"/>
      </w:pPr>
      <w:r>
        <w:rPr>
          <w:rStyle w:val="FootnoteReference"/>
        </w:rPr>
        <w:footnoteRef/>
      </w:r>
      <w:r>
        <w:t xml:space="preserve"> </w:t>
      </w:r>
      <w:r>
        <w:tab/>
        <w:t>CaseLines, 005-1 to 005-3</w:t>
      </w:r>
    </w:p>
  </w:footnote>
  <w:footnote w:id="4">
    <w:p w14:paraId="39DC7131" w14:textId="27D060C0" w:rsidR="008A447E" w:rsidRDefault="008A447E">
      <w:pPr>
        <w:pStyle w:val="FootnoteText"/>
      </w:pPr>
      <w:r>
        <w:rPr>
          <w:rStyle w:val="FootnoteReference"/>
        </w:rPr>
        <w:footnoteRef/>
      </w:r>
      <w:r>
        <w:t xml:space="preserve"> </w:t>
      </w:r>
      <w:r>
        <w:tab/>
        <w:t>CaseLines, 081-6</w:t>
      </w:r>
    </w:p>
  </w:footnote>
  <w:footnote w:id="5">
    <w:p w14:paraId="584BD9D6" w14:textId="4B262CE5" w:rsidR="00A16F89" w:rsidRPr="006E66AF" w:rsidRDefault="00A16F89">
      <w:pPr>
        <w:pStyle w:val="FootnoteText"/>
        <w:rPr>
          <w:i/>
          <w:iCs/>
        </w:rPr>
      </w:pPr>
      <w:r>
        <w:rPr>
          <w:rStyle w:val="FootnoteReference"/>
        </w:rPr>
        <w:footnoteRef/>
      </w:r>
      <w:r>
        <w:t xml:space="preserve"> </w:t>
      </w:r>
      <w:r>
        <w:tab/>
        <w:t>CaseLines, 017-9, para 6.4, Founding Affidavit, Condonation Application</w:t>
      </w:r>
      <w:r w:rsidR="006E66AF">
        <w:t xml:space="preserve">.  </w:t>
      </w:r>
      <w:r w:rsidR="006E66AF">
        <w:rPr>
          <w:i/>
          <w:iCs/>
        </w:rPr>
        <w:t>“Although the appeal record was not available</w:t>
      </w:r>
      <w:r w:rsidR="00FE5F2C">
        <w:rPr>
          <w:i/>
          <w:iCs/>
        </w:rPr>
        <w:t xml:space="preserve"> at the time, and we proceeded to draft the applicant’s heads of argument.  This was duly served and filed on 10 July 2023.  What remained outstanding was the appeal record.”</w:t>
      </w:r>
    </w:p>
  </w:footnote>
  <w:footnote w:id="6">
    <w:p w14:paraId="3CCD9214" w14:textId="274E2021" w:rsidR="00FE5F2C" w:rsidRDefault="00FE5F2C">
      <w:pPr>
        <w:pStyle w:val="FootnoteText"/>
      </w:pPr>
      <w:r>
        <w:rPr>
          <w:rStyle w:val="FootnoteReference"/>
        </w:rPr>
        <w:footnoteRef/>
      </w:r>
      <w:r>
        <w:t xml:space="preserve"> </w:t>
      </w:r>
      <w:r>
        <w:tab/>
      </w:r>
      <w:r w:rsidR="00C16987">
        <w:t>Eleven Court days prior to the hearing of the appeal</w:t>
      </w:r>
    </w:p>
  </w:footnote>
  <w:footnote w:id="7">
    <w:p w14:paraId="6135698A" w14:textId="1EFA7C9A" w:rsidR="00C16987" w:rsidRDefault="00C16987">
      <w:pPr>
        <w:pStyle w:val="FootnoteText"/>
      </w:pPr>
      <w:r>
        <w:rPr>
          <w:rStyle w:val="FootnoteReference"/>
        </w:rPr>
        <w:footnoteRef/>
      </w:r>
      <w:r>
        <w:t xml:space="preserve"> </w:t>
      </w:r>
      <w:r>
        <w:tab/>
        <w:t>Nine Court days before the hearing of the appeal</w:t>
      </w:r>
    </w:p>
  </w:footnote>
  <w:footnote w:id="8">
    <w:p w14:paraId="63C1F646" w14:textId="2B755A2B" w:rsidR="00C16987" w:rsidRDefault="00C16987">
      <w:pPr>
        <w:pStyle w:val="FootnoteText"/>
      </w:pPr>
      <w:r>
        <w:rPr>
          <w:rStyle w:val="FootnoteReference"/>
        </w:rPr>
        <w:footnoteRef/>
      </w:r>
      <w:r>
        <w:t xml:space="preserve"> </w:t>
      </w:r>
      <w:r>
        <w:tab/>
        <w:t>It was merely uploaded to CaseLines in November 2023</w:t>
      </w:r>
    </w:p>
  </w:footnote>
  <w:footnote w:id="9">
    <w:p w14:paraId="006B919A" w14:textId="77777777" w:rsidR="00F15A85" w:rsidRDefault="00F15A85" w:rsidP="00F15A85">
      <w:pPr>
        <w:pStyle w:val="FootnoteText"/>
      </w:pPr>
      <w:r>
        <w:rPr>
          <w:rStyle w:val="FootnoteReference"/>
        </w:rPr>
        <w:footnoteRef/>
      </w:r>
      <w:r>
        <w:t xml:space="preserve"> </w:t>
      </w:r>
      <w:r>
        <w:tab/>
        <w:t>The respondent has filed and uploaded a notice to abide the decision of the Court insofar as the application to reinstate the appeal dated 15 November 2023 is concerned and the condonation application of 12 April 2024 by the appellant.  Notice to abide, CaseLines 020-1 to 020-3</w:t>
      </w:r>
    </w:p>
  </w:footnote>
  <w:footnote w:id="10">
    <w:p w14:paraId="0F4EC232" w14:textId="2245A830" w:rsidR="00C76860" w:rsidRDefault="00C76860">
      <w:pPr>
        <w:pStyle w:val="FootnoteText"/>
      </w:pPr>
      <w:r>
        <w:rPr>
          <w:rStyle w:val="FootnoteReference"/>
        </w:rPr>
        <w:footnoteRef/>
      </w:r>
      <w:r>
        <w:t xml:space="preserve"> </w:t>
      </w:r>
      <w:r>
        <w:tab/>
        <w:t>CaseLines 021-2</w:t>
      </w:r>
      <w:r w:rsidR="00CB6169">
        <w:t xml:space="preserve">, Supplementary Heads of Argument </w:t>
      </w:r>
    </w:p>
  </w:footnote>
  <w:footnote w:id="11">
    <w:p w14:paraId="2F5D75F3" w14:textId="7BEA00B4" w:rsidR="00A41010" w:rsidRDefault="00A41010">
      <w:pPr>
        <w:pStyle w:val="FootnoteText"/>
      </w:pPr>
      <w:r>
        <w:rPr>
          <w:rStyle w:val="FootnoteReference"/>
        </w:rPr>
        <w:footnoteRef/>
      </w:r>
      <w:r>
        <w:t xml:space="preserve"> </w:t>
      </w:r>
      <w:r>
        <w:tab/>
        <w:t>CaseLines 021-2, Supplementary Heads of Argument</w:t>
      </w:r>
    </w:p>
  </w:footnote>
  <w:footnote w:id="12">
    <w:p w14:paraId="04F4464C" w14:textId="6536D4A2" w:rsidR="007261A0" w:rsidRDefault="007261A0">
      <w:pPr>
        <w:pStyle w:val="FootnoteText"/>
      </w:pPr>
      <w:r>
        <w:rPr>
          <w:rStyle w:val="FootnoteReference"/>
        </w:rPr>
        <w:footnoteRef/>
      </w:r>
      <w:r>
        <w:t xml:space="preserve"> </w:t>
      </w:r>
      <w:r>
        <w:tab/>
        <w:t>It is common cause that three payments were made to Biggietech in reduction of what PRASA owed to Biggietech.</w:t>
      </w:r>
    </w:p>
  </w:footnote>
  <w:footnote w:id="13">
    <w:p w14:paraId="751B2A41" w14:textId="056D2503" w:rsidR="00580CF8" w:rsidRDefault="00580CF8">
      <w:pPr>
        <w:pStyle w:val="FootnoteText"/>
      </w:pPr>
      <w:r>
        <w:rPr>
          <w:rStyle w:val="FootnoteReference"/>
        </w:rPr>
        <w:footnoteRef/>
      </w:r>
      <w:r>
        <w:t xml:space="preserve"> </w:t>
      </w:r>
      <w:r>
        <w:tab/>
      </w:r>
      <w:r w:rsidR="00A87347">
        <w:t xml:space="preserve">Rules regulating the conduct of the proceedings of the </w:t>
      </w:r>
      <w:r>
        <w:t>Magistrates’ Court</w:t>
      </w:r>
      <w:r w:rsidR="00A87347">
        <w:t>s</w:t>
      </w:r>
      <w:r>
        <w:t xml:space="preserve"> </w:t>
      </w:r>
      <w:r w:rsidR="00A87347">
        <w:t>of South Africa, Magistrates’ Court Act 32 of 1944</w:t>
      </w:r>
    </w:p>
  </w:footnote>
  <w:footnote w:id="14">
    <w:p w14:paraId="710F1C56" w14:textId="1AC9D945" w:rsidR="00EF5B16" w:rsidRDefault="00EF5B16">
      <w:pPr>
        <w:pStyle w:val="FootnoteText"/>
      </w:pPr>
      <w:r>
        <w:rPr>
          <w:rStyle w:val="FootnoteReference"/>
        </w:rPr>
        <w:footnoteRef/>
      </w:r>
      <w:r>
        <w:t xml:space="preserve"> </w:t>
      </w:r>
      <w:r>
        <w:tab/>
        <w:t>Magistrates’ Court Act 32 of 1944</w:t>
      </w:r>
    </w:p>
  </w:footnote>
  <w:footnote w:id="15">
    <w:p w14:paraId="67993089" w14:textId="7EE2514C" w:rsidR="0003276B" w:rsidRDefault="0003276B">
      <w:pPr>
        <w:pStyle w:val="FootnoteText"/>
      </w:pPr>
      <w:r>
        <w:rPr>
          <w:rStyle w:val="FootnoteReference"/>
        </w:rPr>
        <w:footnoteRef/>
      </w:r>
      <w:r>
        <w:t xml:space="preserve"> </w:t>
      </w:r>
      <w:r>
        <w:tab/>
        <w:t xml:space="preserve">Rule 49(8) essentially gives an appellant who alleges a judgment is void </w:t>
      </w:r>
      <w:r w:rsidRPr="0003276B">
        <w:rPr>
          <w:i/>
          <w:iCs/>
        </w:rPr>
        <w:t>ab origine</w:t>
      </w:r>
      <w:r>
        <w:t xml:space="preserve"> a year to apply for rescission.  The appellant is within this timeframe</w:t>
      </w:r>
      <w:r w:rsidR="00B91F36">
        <w:t xml:space="preserve">.  The Magistrate correctly held that </w:t>
      </w:r>
      <w:r w:rsidR="00B91F36">
        <w:rPr>
          <w:i/>
          <w:iCs/>
        </w:rPr>
        <w:t>“as the defendant has, in any event, launched the application within the usual twenty limit imposed by Rule 49(1), the time limit issue</w:t>
      </w:r>
      <w:r w:rsidR="009B42AA">
        <w:rPr>
          <w:i/>
          <w:iCs/>
        </w:rPr>
        <w:t xml:space="preserve"> does not arise and the plaintiff, correctly, did not pursue any point in this regard”</w:t>
      </w:r>
      <w:r w:rsidR="009B42AA">
        <w:t>.</w:t>
      </w:r>
      <w:r>
        <w:t xml:space="preserve"> </w:t>
      </w:r>
    </w:p>
  </w:footnote>
  <w:footnote w:id="16">
    <w:p w14:paraId="1AEAACB1" w14:textId="52BA6323" w:rsidR="005D7F6D" w:rsidRPr="00A6608A" w:rsidRDefault="005D7F6D">
      <w:pPr>
        <w:pStyle w:val="FootnoteText"/>
      </w:pPr>
      <w:r>
        <w:rPr>
          <w:rStyle w:val="FootnoteReference"/>
        </w:rPr>
        <w:footnoteRef/>
      </w:r>
      <w:r>
        <w:t xml:space="preserve"> </w:t>
      </w:r>
      <w:r>
        <w:tab/>
      </w:r>
      <w:r w:rsidR="00A6608A" w:rsidRPr="00E036CF">
        <w:rPr>
          <w:i/>
          <w:iCs/>
        </w:rPr>
        <w:t>(“</w:t>
      </w:r>
      <w:r w:rsidR="00A6608A">
        <w:rPr>
          <w:b/>
          <w:bCs/>
          <w:i/>
          <w:iCs/>
        </w:rPr>
        <w:t>Bayport</w:t>
      </w:r>
      <w:r w:rsidR="00A6608A" w:rsidRPr="00E036CF">
        <w:rPr>
          <w:i/>
          <w:iCs/>
        </w:rPr>
        <w:t>”)</w:t>
      </w:r>
      <w:r w:rsidR="00A6608A">
        <w:rPr>
          <w:b/>
          <w:bCs/>
          <w:i/>
          <w:iCs/>
        </w:rPr>
        <w:t xml:space="preserve"> </w:t>
      </w:r>
      <w:r w:rsidR="00A6608A" w:rsidRPr="00A6608A">
        <w:t>1320/17</w:t>
      </w:r>
      <w:r w:rsidR="00A6608A">
        <w:t xml:space="preserve"> 2019 ZASCA 73 (30 May 2019)</w:t>
      </w:r>
    </w:p>
  </w:footnote>
  <w:footnote w:id="17">
    <w:p w14:paraId="11AD8F44" w14:textId="5A356999" w:rsidR="00E036CF" w:rsidRDefault="00E036CF">
      <w:pPr>
        <w:pStyle w:val="FootnoteText"/>
      </w:pPr>
      <w:r>
        <w:rPr>
          <w:rStyle w:val="FootnoteReference"/>
        </w:rPr>
        <w:footnoteRef/>
      </w:r>
      <w:r>
        <w:t xml:space="preserve"> </w:t>
      </w:r>
      <w:r>
        <w:tab/>
      </w:r>
      <w:r w:rsidRPr="00E036CF">
        <w:rPr>
          <w:i/>
          <w:iCs/>
        </w:rPr>
        <w:t>(“</w:t>
      </w:r>
      <w:r w:rsidRPr="008B5D8E">
        <w:rPr>
          <w:b/>
          <w:bCs/>
          <w:i/>
          <w:iCs/>
        </w:rPr>
        <w:t>Leo Manufacturing</w:t>
      </w:r>
      <w:r w:rsidRPr="00E036CF">
        <w:rPr>
          <w:i/>
          <w:iCs/>
        </w:rPr>
        <w:t>”)</w:t>
      </w:r>
      <w:r w:rsidRPr="008B5D8E">
        <w:rPr>
          <w:b/>
          <w:bCs/>
          <w:i/>
          <w:iCs/>
        </w:rPr>
        <w:t xml:space="preserve"> </w:t>
      </w:r>
      <w:r w:rsidRPr="008B5D8E">
        <w:t>2007 (2) SA 1 (SCA)</w:t>
      </w:r>
    </w:p>
  </w:footnote>
  <w:footnote w:id="18">
    <w:p w14:paraId="11400624" w14:textId="346F4A57" w:rsidR="00B07EE3" w:rsidRPr="00B07EE3" w:rsidRDefault="00B07EE3">
      <w:pPr>
        <w:pStyle w:val="FootnoteText"/>
      </w:pPr>
      <w:r>
        <w:rPr>
          <w:rStyle w:val="FootnoteReference"/>
        </w:rPr>
        <w:footnoteRef/>
      </w:r>
      <w:r>
        <w:t xml:space="preserve"> </w:t>
      </w:r>
      <w:r>
        <w:tab/>
        <w:t xml:space="preserve">See </w:t>
      </w:r>
      <w:r>
        <w:rPr>
          <w:b/>
          <w:bCs/>
          <w:i/>
          <w:iCs/>
        </w:rPr>
        <w:t xml:space="preserve">Leo Manufacturing </w:t>
      </w:r>
      <w:r>
        <w:t>at para 7</w:t>
      </w:r>
    </w:p>
  </w:footnote>
  <w:footnote w:id="19">
    <w:p w14:paraId="72546917" w14:textId="3B36A847" w:rsidR="00F14BF5" w:rsidRPr="000B091F" w:rsidRDefault="00F14BF5">
      <w:pPr>
        <w:pStyle w:val="FootnoteText"/>
      </w:pPr>
      <w:r>
        <w:rPr>
          <w:rStyle w:val="FootnoteReference"/>
        </w:rPr>
        <w:footnoteRef/>
      </w:r>
      <w:r>
        <w:t xml:space="preserve"> </w:t>
      </w:r>
      <w:r>
        <w:tab/>
      </w:r>
      <w:r w:rsidR="001C083F">
        <w:t>Wh</w:t>
      </w:r>
      <w:r w:rsidR="00090BFF">
        <w:t>il</w:t>
      </w:r>
      <w:r w:rsidR="00A02EF2">
        <w:t>st</w:t>
      </w:r>
      <w:r w:rsidR="001C083F">
        <w:t xml:space="preserve"> wilful default on the part of the appellant/applicant is no longer a substantive or compulsory ground for refusal of an application for rescission, the reasons for the applicant’s default remain an essential ingredient of the good cause to be shown.  </w:t>
      </w:r>
      <w:r w:rsidR="001C083F">
        <w:rPr>
          <w:b/>
          <w:bCs/>
          <w:i/>
          <w:iCs/>
        </w:rPr>
        <w:t xml:space="preserve">Harris v ABSA Bank t/a Volkskas </w:t>
      </w:r>
      <w:r w:rsidR="001C083F">
        <w:t xml:space="preserve">2006 (4) SA 527 (T) at 529E-F;  </w:t>
      </w:r>
      <w:r w:rsidR="001C083F">
        <w:rPr>
          <w:b/>
          <w:bCs/>
          <w:i/>
          <w:iCs/>
        </w:rPr>
        <w:t xml:space="preserve">Nale Trading CC v </w:t>
      </w:r>
      <w:r w:rsidR="00DD3CD4">
        <w:rPr>
          <w:b/>
          <w:bCs/>
          <w:i/>
          <w:iCs/>
        </w:rPr>
        <w:t xml:space="preserve">Freyssinet </w:t>
      </w:r>
      <w:r w:rsidR="00533D17">
        <w:rPr>
          <w:b/>
          <w:bCs/>
          <w:i/>
          <w:iCs/>
        </w:rPr>
        <w:t xml:space="preserve">Posten (Pty) Ltd in re Freyssinet Posten (Pty) Ltd v Nale Trading (Pty) Ltd </w:t>
      </w:r>
      <w:r w:rsidR="00533D17">
        <w:t xml:space="preserve">(Unreported </w:t>
      </w:r>
      <w:r w:rsidR="00797DB2">
        <w:t>G</w:t>
      </w:r>
      <w:r w:rsidR="00533D17">
        <w:t>J Case No. 26992/2019 dated 22 September 2021 at para 14)</w:t>
      </w:r>
      <w:r w:rsidR="000B091F">
        <w:t xml:space="preserve">;  </w:t>
      </w:r>
      <w:r w:rsidR="000B091F">
        <w:rPr>
          <w:b/>
          <w:bCs/>
          <w:i/>
          <w:iCs/>
        </w:rPr>
        <w:t xml:space="preserve">Thondlana v ABSA Bank Ltd </w:t>
      </w:r>
      <w:r w:rsidR="000B091F">
        <w:t xml:space="preserve">(Unreported GJ </w:t>
      </w:r>
      <w:r w:rsidR="00846F3F">
        <w:t xml:space="preserve">Case No 2941/2017 dated 3 March 2022 at para 26);  </w:t>
      </w:r>
      <w:r w:rsidR="00E53F2D">
        <w:rPr>
          <w:b/>
          <w:bCs/>
          <w:i/>
          <w:iCs/>
        </w:rPr>
        <w:t xml:space="preserve">Olisa t/a African Vibes v TUPA </w:t>
      </w:r>
      <w:r w:rsidR="005F599F">
        <w:rPr>
          <w:b/>
          <w:bCs/>
          <w:i/>
          <w:iCs/>
        </w:rPr>
        <w:t xml:space="preserve">2012 (Pty) Ltd </w:t>
      </w:r>
      <w:r w:rsidR="005F599F">
        <w:t>(Unreported GJ Case No. A3150/2021 dated 11 January 2023) at para 11</w:t>
      </w:r>
      <w:r w:rsidR="006A6C0E">
        <w:t xml:space="preserve">.  The wilful and negligent nature of the defendant’s default </w:t>
      </w:r>
      <w:r w:rsidR="002C4ED6">
        <w:t xml:space="preserve">after the amendment to the Rules in 1992 </w:t>
      </w:r>
      <w:r w:rsidR="006A6C0E">
        <w:t>becomes one of the various considerations which the Court will take into account in the exercise of its discretion to determine whether or not good cause is shown</w:t>
      </w:r>
      <w:r w:rsidR="00621B2E">
        <w:t xml:space="preserve">.  </w:t>
      </w:r>
      <w:r w:rsidR="00621B2E">
        <w:rPr>
          <w:b/>
          <w:bCs/>
          <w:i/>
          <w:iCs/>
        </w:rPr>
        <w:t xml:space="preserve">De Witt’s Autobody Repairs (Pty) Ltd v Fedgen Insurance Co Ltd </w:t>
      </w:r>
      <w:r w:rsidR="00621B2E">
        <w:t xml:space="preserve">1994 (4) SA 705 (E) at </w:t>
      </w:r>
      <w:r w:rsidR="00C34A71">
        <w:t xml:space="preserve">708G; </w:t>
      </w:r>
      <w:r w:rsidR="00C34A71">
        <w:rPr>
          <w:b/>
          <w:bCs/>
          <w:i/>
          <w:iCs/>
        </w:rPr>
        <w:t xml:space="preserve">Nale Trading CC v Freyssinet Posten (Pty) Ltd in re Freyssinet Posten (Pty) Ltd v Nale Trading (Pty) Ltd </w:t>
      </w:r>
      <w:r w:rsidR="00C34A71">
        <w:t>(</w:t>
      </w:r>
      <w:r w:rsidR="00C34A71" w:rsidRPr="003E0B3D">
        <w:rPr>
          <w:i/>
        </w:rPr>
        <w:t>supra</w:t>
      </w:r>
      <w:r w:rsidR="00C34A71">
        <w:t>) at para 13</w:t>
      </w:r>
      <w:r w:rsidR="00077771">
        <w:t xml:space="preserve">; </w:t>
      </w:r>
      <w:r w:rsidR="00077771">
        <w:rPr>
          <w:b/>
          <w:bCs/>
          <w:i/>
          <w:iCs/>
        </w:rPr>
        <w:t xml:space="preserve">Thondlana v ABSA Bank Ltd </w:t>
      </w:r>
      <w:r w:rsidR="00077771">
        <w:t>(</w:t>
      </w:r>
      <w:r w:rsidR="00077771" w:rsidRPr="003E0B3D">
        <w:rPr>
          <w:i/>
        </w:rPr>
        <w:t>supra</w:t>
      </w:r>
      <w:r w:rsidR="00077771">
        <w:t xml:space="preserve">) </w:t>
      </w:r>
      <w:r w:rsidR="00C011AF">
        <w:t>at para 26</w:t>
      </w:r>
      <w:r w:rsidR="00EB5FCB">
        <w:t xml:space="preserve">; </w:t>
      </w:r>
      <w:r w:rsidR="00EB5FCB">
        <w:rPr>
          <w:b/>
          <w:bCs/>
          <w:i/>
          <w:iCs/>
        </w:rPr>
        <w:t xml:space="preserve">Olisa t/a African Vibes v TUPA 2012 (Pty) Ltd </w:t>
      </w:r>
      <w:r w:rsidR="00EB5FCB">
        <w:t>(</w:t>
      </w:r>
      <w:r w:rsidR="00EB5FCB" w:rsidRPr="003E0B3D">
        <w:rPr>
          <w:i/>
        </w:rPr>
        <w:t>supra</w:t>
      </w:r>
      <w:r w:rsidR="00EB5FCB">
        <w:t xml:space="preserve">) at para 11 </w:t>
      </w:r>
      <w:r w:rsidR="00077771">
        <w:t xml:space="preserve"> </w:t>
      </w:r>
      <w:r w:rsidR="00C34A71">
        <w:t xml:space="preserve"> </w:t>
      </w:r>
      <w:r w:rsidR="00846F3F">
        <w:t xml:space="preserve"> </w:t>
      </w:r>
    </w:p>
  </w:footnote>
  <w:footnote w:id="20">
    <w:p w14:paraId="4B1BC1AE" w14:textId="0CA173A5" w:rsidR="00621D7B" w:rsidRPr="007A1306" w:rsidRDefault="00621D7B">
      <w:pPr>
        <w:pStyle w:val="FootnoteText"/>
        <w:rPr>
          <w:i/>
          <w:iCs/>
        </w:rPr>
      </w:pPr>
      <w:r>
        <w:rPr>
          <w:rStyle w:val="FootnoteReference"/>
        </w:rPr>
        <w:footnoteRef/>
      </w:r>
      <w:r>
        <w:t xml:space="preserve"> </w:t>
      </w:r>
      <w:r>
        <w:tab/>
        <w:t>CaseLines, 002-2, para 4 of Judgment</w:t>
      </w:r>
      <w:r w:rsidR="007A1306">
        <w:t xml:space="preserve">.  The Magistrate in paragraph 4 states </w:t>
      </w:r>
      <w:r w:rsidR="007A1306">
        <w:rPr>
          <w:i/>
          <w:iCs/>
        </w:rPr>
        <w:t>“According to the Sheriff’s return of service, the summons was served upon an administrator of the defendant, one B Makaza</w:t>
      </w:r>
      <w:r w:rsidR="00932689">
        <w:rPr>
          <w:i/>
          <w:iCs/>
        </w:rPr>
        <w:t>.  Yet the defendant elected to remain silent about its response to the summons.  At the hearing, the defendant’s counsel conceded that the requirement had not been addressed.”</w:t>
      </w:r>
    </w:p>
  </w:footnote>
  <w:footnote w:id="21">
    <w:p w14:paraId="7F672477" w14:textId="66161DCD" w:rsidR="002A2904" w:rsidRDefault="002A2904">
      <w:pPr>
        <w:pStyle w:val="FootnoteText"/>
      </w:pPr>
      <w:r>
        <w:rPr>
          <w:rStyle w:val="FootnoteReference"/>
        </w:rPr>
        <w:footnoteRef/>
      </w:r>
      <w:r>
        <w:t xml:space="preserve"> </w:t>
      </w:r>
      <w:r>
        <w:tab/>
      </w:r>
      <w:r w:rsidR="00DB1ECF">
        <w:t>CaseLines, 002-2, p</w:t>
      </w:r>
      <w:r>
        <w:t>ara 5</w:t>
      </w:r>
      <w:r w:rsidR="00DB1ECF">
        <w:t xml:space="preserve"> of Judgment</w:t>
      </w:r>
    </w:p>
  </w:footnote>
  <w:footnote w:id="22">
    <w:p w14:paraId="4D1DFEFB" w14:textId="09CF64CF" w:rsidR="00846B5D" w:rsidRDefault="00846B5D">
      <w:pPr>
        <w:pStyle w:val="FootnoteText"/>
      </w:pPr>
      <w:r>
        <w:rPr>
          <w:rStyle w:val="FootnoteReference"/>
        </w:rPr>
        <w:footnoteRef/>
      </w:r>
      <w:r>
        <w:t xml:space="preserve"> </w:t>
      </w:r>
      <w:r>
        <w:tab/>
        <w:t xml:space="preserve">The appellant on more than one occasion in </w:t>
      </w:r>
      <w:r w:rsidR="001C2318">
        <w:t xml:space="preserve">its </w:t>
      </w:r>
      <w:r>
        <w:t xml:space="preserve">application for rescission and in its argument in the Court </w:t>
      </w:r>
      <w:r w:rsidRPr="00D504FB">
        <w:rPr>
          <w:i/>
        </w:rPr>
        <w:t>a quo</w:t>
      </w:r>
      <w:r>
        <w:t xml:space="preserve"> conceded that there is no defence on the merits</w:t>
      </w:r>
    </w:p>
  </w:footnote>
  <w:footnote w:id="23">
    <w:p w14:paraId="32A934CE" w14:textId="3FE64578" w:rsidR="00B85D97" w:rsidRDefault="00B85D97">
      <w:pPr>
        <w:pStyle w:val="FootnoteText"/>
      </w:pPr>
      <w:r>
        <w:rPr>
          <w:rStyle w:val="FootnoteReference"/>
        </w:rPr>
        <w:footnoteRef/>
      </w:r>
      <w:r>
        <w:t xml:space="preserve"> </w:t>
      </w:r>
      <w:r>
        <w:tab/>
        <w:t>Companies Act 71 of 2008</w:t>
      </w:r>
    </w:p>
  </w:footnote>
  <w:footnote w:id="24">
    <w:p w14:paraId="1A2BC6CF" w14:textId="7ABA6495" w:rsidR="00EC1DC1" w:rsidRDefault="00EC1DC1">
      <w:pPr>
        <w:pStyle w:val="FootnoteText"/>
      </w:pPr>
      <w:r>
        <w:rPr>
          <w:rStyle w:val="FootnoteReference"/>
        </w:rPr>
        <w:footnoteRef/>
      </w:r>
      <w:r>
        <w:t xml:space="preserve"> </w:t>
      </w:r>
      <w:r>
        <w:tab/>
        <w:t>CaseLines, 0</w:t>
      </w:r>
      <w:r w:rsidR="00B377D5">
        <w:t>14-13, p</w:t>
      </w:r>
      <w:r>
        <w:t>ara 6.5</w:t>
      </w:r>
      <w:r w:rsidR="00B377D5">
        <w:t xml:space="preserve">;  </w:t>
      </w:r>
      <w:r w:rsidR="001B0B71">
        <w:t xml:space="preserve">CaseLines, 014-27, </w:t>
      </w:r>
      <w:r w:rsidR="00B377D5">
        <w:t>para 14.1</w:t>
      </w:r>
    </w:p>
  </w:footnote>
  <w:footnote w:id="25">
    <w:p w14:paraId="2E9CDE53" w14:textId="7498FDF5" w:rsidR="00CB5869" w:rsidRDefault="00CB5869">
      <w:pPr>
        <w:pStyle w:val="FootnoteText"/>
      </w:pPr>
      <w:r>
        <w:rPr>
          <w:rStyle w:val="FootnoteReference"/>
        </w:rPr>
        <w:footnoteRef/>
      </w:r>
      <w:r>
        <w:t xml:space="preserve"> </w:t>
      </w:r>
      <w:r>
        <w:tab/>
        <w:t>CaseLines, 014-159 to 014-164, para 32-48, answering Affidavit Rescission Application</w:t>
      </w:r>
    </w:p>
  </w:footnote>
  <w:footnote w:id="26">
    <w:p w14:paraId="710C4F1D" w14:textId="2A7A3002" w:rsidR="0068381A" w:rsidRDefault="0068381A">
      <w:pPr>
        <w:pStyle w:val="FootnoteText"/>
      </w:pPr>
      <w:r>
        <w:rPr>
          <w:rStyle w:val="FootnoteReference"/>
        </w:rPr>
        <w:footnoteRef/>
      </w:r>
      <w:r>
        <w:t xml:space="preserve"> </w:t>
      </w:r>
      <w:r>
        <w:tab/>
        <w:t xml:space="preserve">The respondent alleges that it was referred </w:t>
      </w:r>
      <w:r w:rsidR="00EF0714">
        <w:t>by representatives of the appellant to Autopax’</w:t>
      </w:r>
      <w:r w:rsidR="005D5089">
        <w:t>s</w:t>
      </w:r>
      <w:r w:rsidR="00EF0714">
        <w:t xml:space="preserve"> business rescue practitioner in Pretoria to institute a claim there – in order to expedite payment.  </w:t>
      </w:r>
      <w:r w:rsidR="008669AD">
        <w:t>The respondent alleges that it was misled by representatives of the appellant in this regard</w:t>
      </w:r>
      <w:r w:rsidR="009A4C90">
        <w:t xml:space="preserve">.  </w:t>
      </w:r>
      <w:r w:rsidR="00EF0714">
        <w:t>The respondent however alleges that other payments made were made directly by PRASA</w:t>
      </w:r>
      <w:r w:rsidR="00727E7A">
        <w:t xml:space="preserve">.  </w:t>
      </w:r>
    </w:p>
  </w:footnote>
  <w:footnote w:id="27">
    <w:p w14:paraId="655E656C" w14:textId="5D2F233F" w:rsidR="00E850F2" w:rsidRDefault="00E850F2">
      <w:pPr>
        <w:pStyle w:val="FootnoteText"/>
      </w:pPr>
      <w:r>
        <w:rPr>
          <w:rStyle w:val="FootnoteReference"/>
        </w:rPr>
        <w:footnoteRef/>
      </w:r>
      <w:r>
        <w:t xml:space="preserve"> </w:t>
      </w:r>
      <w:r>
        <w:tab/>
        <w:t xml:space="preserve">E-mails from April 2022 are attached to the answering affidavit </w:t>
      </w:r>
      <w:r w:rsidR="007C5C1C">
        <w:t>in the rescission application and a confirmatory affidavit from the correspondent attorneys who attended to locating the appellant’s head office are attached to the answering affidavit.</w:t>
      </w:r>
      <w:r w:rsidR="00276D47">
        <w:t xml:space="preserve">  It appears that initially the respondent thought that the appellant’s head office was still in Pretoria</w:t>
      </w:r>
      <w:r w:rsidR="009A4C90">
        <w:t>,</w:t>
      </w:r>
      <w:r w:rsidR="00276D47">
        <w:t xml:space="preserve"> however was directed to its head office in Johannesburg</w:t>
      </w:r>
    </w:p>
  </w:footnote>
  <w:footnote w:id="28">
    <w:p w14:paraId="373FDF72" w14:textId="7FA040B5" w:rsidR="003D6DF5" w:rsidRDefault="003D6DF5">
      <w:pPr>
        <w:pStyle w:val="FootnoteText"/>
      </w:pPr>
      <w:r>
        <w:rPr>
          <w:rStyle w:val="FootnoteReference"/>
        </w:rPr>
        <w:footnoteRef/>
      </w:r>
      <w:r>
        <w:t xml:space="preserve"> </w:t>
      </w:r>
      <w:r>
        <w:tab/>
        <w:t xml:space="preserve">No further grounds of jurisdiction was necessary.  The Magistrate also correctly states that the </w:t>
      </w:r>
      <w:r w:rsidR="00ED2BB7">
        <w:t xml:space="preserve">appellant </w:t>
      </w:r>
      <w:r>
        <w:t xml:space="preserve">seems to conflate the concept of an address based </w:t>
      </w:r>
      <w:r w:rsidR="009A4C90">
        <w:t xml:space="preserve">on </w:t>
      </w:r>
      <w:r>
        <w:t>one’s domic</w:t>
      </w:r>
      <w:r w:rsidR="00ED2BB7">
        <w:t xml:space="preserve">ile as opposed to an address that serves as </w:t>
      </w:r>
      <w:r w:rsidR="00ED2BB7" w:rsidRPr="00B92938">
        <w:rPr>
          <w:i/>
        </w:rPr>
        <w:t>domicilium citandi et executandi</w:t>
      </w:r>
      <w:r w:rsidR="00ED2BB7">
        <w:t xml:space="preserve"> </w:t>
      </w:r>
    </w:p>
  </w:footnote>
  <w:footnote w:id="29">
    <w:p w14:paraId="65A63F27" w14:textId="7DB12E8D" w:rsidR="00BF1E91" w:rsidRDefault="00BF1E91">
      <w:pPr>
        <w:pStyle w:val="FootnoteText"/>
      </w:pPr>
      <w:r>
        <w:rPr>
          <w:rStyle w:val="FootnoteReference"/>
        </w:rPr>
        <w:footnoteRef/>
      </w:r>
      <w:r>
        <w:t xml:space="preserve"> </w:t>
      </w:r>
      <w:r>
        <w:tab/>
      </w:r>
      <w:r w:rsidR="00D23D6B">
        <w:t xml:space="preserve">CaseLines, 002-3, </w:t>
      </w:r>
      <w:r>
        <w:t>para 5.4</w:t>
      </w:r>
      <w:r w:rsidR="00D23D6B">
        <w:t xml:space="preserve">, Judgment in Court </w:t>
      </w:r>
      <w:r w:rsidR="00D23D6B" w:rsidRPr="00D504FB">
        <w:rPr>
          <w:i/>
        </w:rPr>
        <w:t>a quo</w:t>
      </w:r>
      <w:r w:rsidR="00D23D6B">
        <w:t xml:space="preserve"> </w:t>
      </w:r>
    </w:p>
  </w:footnote>
  <w:footnote w:id="30">
    <w:p w14:paraId="6DCD2B4D" w14:textId="28DF10A6" w:rsidR="005D13F4" w:rsidRDefault="005D13F4">
      <w:pPr>
        <w:pStyle w:val="FootnoteText"/>
      </w:pPr>
      <w:r>
        <w:rPr>
          <w:rStyle w:val="FootnoteReference"/>
        </w:rPr>
        <w:footnoteRef/>
      </w:r>
      <w:r>
        <w:t xml:space="preserve"> </w:t>
      </w:r>
      <w:r>
        <w:tab/>
        <w:t xml:space="preserve">CaseLines, 002-4, para 5, Judgment in the Court </w:t>
      </w:r>
      <w:r w:rsidRPr="00D504FB">
        <w:rPr>
          <w:i/>
        </w:rPr>
        <w:t>a quo</w:t>
      </w:r>
      <w:r>
        <w:t xml:space="preserve"> </w:t>
      </w:r>
    </w:p>
  </w:footnote>
  <w:footnote w:id="31">
    <w:p w14:paraId="534C8053" w14:textId="35949E9D" w:rsidR="00480B8D" w:rsidRDefault="00480B8D">
      <w:pPr>
        <w:pStyle w:val="FootnoteText"/>
      </w:pPr>
      <w:r>
        <w:rPr>
          <w:rStyle w:val="FootnoteReference"/>
        </w:rPr>
        <w:footnoteRef/>
      </w:r>
      <w:r>
        <w:t xml:space="preserve"> </w:t>
      </w:r>
      <w:r>
        <w:tab/>
        <w:t>The appellant did not raise a defence of breach of contract on the merits.</w:t>
      </w:r>
    </w:p>
  </w:footnote>
  <w:footnote w:id="32">
    <w:p w14:paraId="148FE95F" w14:textId="05F19459" w:rsidR="005D13F4" w:rsidRDefault="005D13F4">
      <w:pPr>
        <w:pStyle w:val="FootnoteText"/>
      </w:pPr>
      <w:r>
        <w:rPr>
          <w:rStyle w:val="FootnoteReference"/>
        </w:rPr>
        <w:footnoteRef/>
      </w:r>
      <w:r>
        <w:t xml:space="preserve"> CaseLines, </w:t>
      </w:r>
      <w:r w:rsidR="00480B8D">
        <w:t xml:space="preserve">002-3, </w:t>
      </w:r>
      <w:r>
        <w:tab/>
        <w:t xml:space="preserve">para 5.2, Judgment in the Court </w:t>
      </w:r>
      <w:r w:rsidRPr="00D504FB">
        <w:rPr>
          <w:i/>
        </w:rPr>
        <w:t>a quo</w:t>
      </w:r>
      <w:r>
        <w:t xml:space="preserve"> </w:t>
      </w:r>
    </w:p>
  </w:footnote>
  <w:footnote w:id="33">
    <w:p w14:paraId="1702563C" w14:textId="4147CDC9" w:rsidR="00BD1A06" w:rsidRPr="00BD1A06" w:rsidRDefault="00BD1A06">
      <w:pPr>
        <w:pStyle w:val="FootnoteText"/>
      </w:pPr>
      <w:r>
        <w:rPr>
          <w:rStyle w:val="FootnoteReference"/>
        </w:rPr>
        <w:footnoteRef/>
      </w:r>
      <w:r>
        <w:t xml:space="preserve"> </w:t>
      </w:r>
      <w:r>
        <w:tab/>
      </w:r>
      <w:r>
        <w:rPr>
          <w:b/>
          <w:bCs/>
          <w:i/>
          <w:iCs/>
        </w:rPr>
        <w:t xml:space="preserve">Jacobson’s Trustee v Standard Bank </w:t>
      </w:r>
      <w:r w:rsidR="007F74FB" w:rsidRPr="0071483D">
        <w:t>(</w:t>
      </w:r>
      <w:r>
        <w:t>1899</w:t>
      </w:r>
      <w:r w:rsidR="007F74FB">
        <w:t xml:space="preserve">) 16 SC 2001 at 203;  </w:t>
      </w:r>
      <w:r w:rsidR="007F74FB">
        <w:rPr>
          <w:b/>
          <w:bCs/>
          <w:i/>
          <w:iCs/>
        </w:rPr>
        <w:t xml:space="preserve">J MacNeal v Insolvent Estate of R Robertson </w:t>
      </w:r>
      <w:r w:rsidR="007F74FB" w:rsidRPr="0071483D">
        <w:t>(</w:t>
      </w:r>
      <w:r w:rsidR="007F74FB">
        <w:t xml:space="preserve">1882) 3 NLR 190;  </w:t>
      </w:r>
      <w:r w:rsidR="007F74FB">
        <w:rPr>
          <w:b/>
          <w:bCs/>
          <w:i/>
          <w:iCs/>
        </w:rPr>
        <w:t xml:space="preserve">Brook v Jones </w:t>
      </w:r>
      <w:r w:rsidR="007F74FB" w:rsidRPr="0071483D">
        <w:t>[</w:t>
      </w:r>
      <w:r w:rsidR="007F74FB">
        <w:t xml:space="preserve">1964] 1 All SA 446 (N);  </w:t>
      </w:r>
      <w:r w:rsidR="005E2471">
        <w:t xml:space="preserve">1964 (1) SA 765 (N) at 766 and the cases cited therein;  </w:t>
      </w:r>
      <w:r w:rsidR="005E2471">
        <w:rPr>
          <w:b/>
          <w:bCs/>
          <w:i/>
          <w:iCs/>
        </w:rPr>
        <w:t>Turbo Prop Service Centre CC v Cro</w:t>
      </w:r>
      <w:r w:rsidR="005338A5">
        <w:rPr>
          <w:b/>
          <w:bCs/>
          <w:i/>
          <w:iCs/>
        </w:rPr>
        <w:t xml:space="preserve">ock t/a Honest Air </w:t>
      </w:r>
      <w:r w:rsidR="005338A5">
        <w:t xml:space="preserve">[1997] 1 All SA 18 (W);  1997 (4) SA 758 (W);  </w:t>
      </w:r>
      <w:r w:rsidR="00917E6B">
        <w:rPr>
          <w:b/>
          <w:bCs/>
          <w:i/>
          <w:iCs/>
        </w:rPr>
        <w:t>Sasfin Bank Ltd v So</w:t>
      </w:r>
      <w:r w:rsidR="00CD47FE">
        <w:rPr>
          <w:b/>
          <w:bCs/>
          <w:i/>
          <w:iCs/>
        </w:rPr>
        <w:t>ho</w:t>
      </w:r>
      <w:r w:rsidR="00A6537A">
        <w:rPr>
          <w:b/>
          <w:bCs/>
          <w:i/>
          <w:iCs/>
        </w:rPr>
        <w:t xml:space="preserve"> Unit 14 CC t/a Aventura </w:t>
      </w:r>
      <w:r w:rsidR="003F2257">
        <w:rPr>
          <w:b/>
          <w:bCs/>
          <w:i/>
          <w:iCs/>
        </w:rPr>
        <w:t xml:space="preserve">Eiland </w:t>
      </w:r>
      <w:r w:rsidR="003F2257">
        <w:t xml:space="preserve">2006 (4) SA 513 (T);  </w:t>
      </w:r>
      <w:r w:rsidR="003F2257">
        <w:rPr>
          <w:b/>
          <w:bCs/>
          <w:i/>
          <w:iCs/>
        </w:rPr>
        <w:t xml:space="preserve">National Sorghum Breweries Ltd v </w:t>
      </w:r>
      <w:r w:rsidR="004359FC">
        <w:rPr>
          <w:b/>
          <w:bCs/>
          <w:i/>
          <w:iCs/>
        </w:rPr>
        <w:t>C</w:t>
      </w:r>
      <w:r w:rsidR="00105788">
        <w:rPr>
          <w:b/>
          <w:bCs/>
          <w:i/>
          <w:iCs/>
        </w:rPr>
        <w:t>or</w:t>
      </w:r>
      <w:r w:rsidR="004359FC">
        <w:rPr>
          <w:b/>
          <w:bCs/>
          <w:i/>
          <w:iCs/>
        </w:rPr>
        <w:t>p</w:t>
      </w:r>
      <w:r w:rsidR="0007667F">
        <w:rPr>
          <w:b/>
          <w:bCs/>
          <w:i/>
          <w:iCs/>
        </w:rPr>
        <w:t>c</w:t>
      </w:r>
      <w:r w:rsidR="00105788">
        <w:rPr>
          <w:b/>
          <w:bCs/>
          <w:i/>
          <w:iCs/>
        </w:rPr>
        <w:t xml:space="preserve">apital Bank Ltd </w:t>
      </w:r>
      <w:r w:rsidR="00105788">
        <w:t xml:space="preserve">[2006] 2 All SA 376 (SCA);  2006 </w:t>
      </w:r>
      <w:r w:rsidR="00725FFC">
        <w:t>(6) SA 208 (SCA);</w:t>
      </w:r>
      <w:r w:rsidR="007A0EC5">
        <w:t xml:space="preserve">  </w:t>
      </w:r>
      <w:r w:rsidR="007A0EC5">
        <w:rPr>
          <w:b/>
          <w:bCs/>
          <w:i/>
          <w:iCs/>
        </w:rPr>
        <w:t xml:space="preserve">Van Staden v FirstRand Ltd </w:t>
      </w:r>
      <w:r w:rsidR="007A0EC5">
        <w:t>2008 (3) SA 530 (T)</w:t>
      </w:r>
      <w:r w:rsidR="007F74FB">
        <w:t xml:space="preserve">  </w:t>
      </w:r>
      <w:r>
        <w:t xml:space="preserve"> </w:t>
      </w:r>
    </w:p>
  </w:footnote>
  <w:footnote w:id="34">
    <w:p w14:paraId="4705E1E1" w14:textId="413481C7" w:rsidR="003C6B05" w:rsidRDefault="003C6B05">
      <w:pPr>
        <w:pStyle w:val="FootnoteText"/>
      </w:pPr>
      <w:r>
        <w:rPr>
          <w:rStyle w:val="FootnoteReference"/>
        </w:rPr>
        <w:footnoteRef/>
      </w:r>
      <w:r>
        <w:t xml:space="preserve"> </w:t>
      </w:r>
      <w:r>
        <w:tab/>
        <w:t>The debtor is protected if he or she performs in ignorance of the cession.  The right is transmitted with all its attributes, benefits and privileges</w:t>
      </w:r>
      <w:r w:rsidR="006448AB">
        <w:t>;  Law of South Africa, Vol 3 (Cession), para 133</w:t>
      </w:r>
      <w:r w:rsidR="003B62CD">
        <w:t>, page 93</w:t>
      </w:r>
      <w:r w:rsidR="006448AB">
        <w:t xml:space="preserve"> and </w:t>
      </w:r>
      <w:r w:rsidR="003B62CD">
        <w:t xml:space="preserve">para </w:t>
      </w:r>
      <w:r w:rsidR="006448AB">
        <w:t>176</w:t>
      </w:r>
      <w:r w:rsidR="003B62CD">
        <w:t>, page 132</w:t>
      </w:r>
    </w:p>
  </w:footnote>
  <w:footnote w:id="35">
    <w:p w14:paraId="321E0F11" w14:textId="5F19B09F" w:rsidR="006C70A0" w:rsidRDefault="006C70A0">
      <w:pPr>
        <w:pStyle w:val="FootnoteText"/>
      </w:pPr>
      <w:r>
        <w:rPr>
          <w:rStyle w:val="FootnoteReference"/>
        </w:rPr>
        <w:footnoteRef/>
      </w:r>
      <w:r>
        <w:t xml:space="preserve"> </w:t>
      </w:r>
      <w:r>
        <w:tab/>
        <w:t xml:space="preserve">The director of Biggietech has filed a confirmatory affidavit in the Court </w:t>
      </w:r>
      <w:r w:rsidRPr="00D504FB">
        <w:rPr>
          <w:i/>
        </w:rPr>
        <w:t>a quo</w:t>
      </w:r>
      <w:r>
        <w:t xml:space="preserve"> in which he confirms what is stated by the respondent  </w:t>
      </w:r>
    </w:p>
  </w:footnote>
  <w:footnote w:id="36">
    <w:p w14:paraId="0C862BC3" w14:textId="77777777" w:rsidR="00917571" w:rsidRPr="003538E1" w:rsidRDefault="00917571" w:rsidP="00917571">
      <w:pPr>
        <w:pStyle w:val="FootnoteText"/>
      </w:pPr>
      <w:r>
        <w:rPr>
          <w:rStyle w:val="FootnoteReference"/>
        </w:rPr>
        <w:footnoteRef/>
      </w:r>
      <w:r>
        <w:t xml:space="preserve"> </w:t>
      </w:r>
      <w:r>
        <w:tab/>
      </w:r>
      <w:r>
        <w:rPr>
          <w:b/>
          <w:bCs/>
          <w:i/>
          <w:iCs/>
        </w:rPr>
        <w:t xml:space="preserve">Brown v Chapman </w:t>
      </w:r>
      <w:r>
        <w:t xml:space="preserve">1928 TPD 320 at 328 which has confirmed in various cases in a long line of judgments;  </w:t>
      </w:r>
      <w:r w:rsidRPr="0071483D">
        <w:rPr>
          <w:b/>
          <w:bCs/>
          <w:i/>
          <w:iCs/>
        </w:rPr>
        <w:t xml:space="preserve">Olisa t/a African Vibes v </w:t>
      </w:r>
      <w:r w:rsidRPr="00641F56">
        <w:rPr>
          <w:b/>
          <w:bCs/>
          <w:i/>
          <w:iCs/>
        </w:rPr>
        <w:t>TUPA</w:t>
      </w:r>
      <w:r w:rsidRPr="009F6029">
        <w:t xml:space="preserve"> </w:t>
      </w:r>
      <w:r w:rsidRPr="0071483D">
        <w:rPr>
          <w:b/>
          <w:bCs/>
          <w:i/>
          <w:iCs/>
        </w:rPr>
        <w:t>2012 (Pty) Ltd</w:t>
      </w:r>
      <w:r w:rsidRPr="009F6029">
        <w:t xml:space="preserve"> (</w:t>
      </w:r>
      <w:r>
        <w:t xml:space="preserve">Unreported GJ Case No. </w:t>
      </w:r>
      <w:r w:rsidRPr="009F6029">
        <w:t>A3150/2021</w:t>
      </w:r>
      <w:r>
        <w:t xml:space="preserve"> dated 11 January 2023</w:t>
      </w:r>
      <w:r w:rsidRPr="009F6029">
        <w:t>)</w:t>
      </w:r>
      <w:r>
        <w:t xml:space="preserve"> at para 10; </w:t>
      </w:r>
      <w:r>
        <w:rPr>
          <w:b/>
          <w:bCs/>
          <w:i/>
          <w:iCs/>
        </w:rPr>
        <w:t xml:space="preserve">Securiforce CC v Ruiters </w:t>
      </w:r>
      <w:r>
        <w:t>2012 (4) SA 252 (NCK) at 261H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7321655"/>
      <w:docPartObj>
        <w:docPartGallery w:val="Page Numbers (Top of Page)"/>
        <w:docPartUnique/>
      </w:docPartObj>
    </w:sdtPr>
    <w:sdtEndPr>
      <w:rPr>
        <w:noProof/>
        <w:sz w:val="22"/>
        <w:szCs w:val="22"/>
      </w:rPr>
    </w:sdtEndPr>
    <w:sdtContent>
      <w:p w14:paraId="2A952557" w14:textId="263CC336" w:rsidR="00CF7049" w:rsidRPr="004023A3" w:rsidRDefault="00CF7049">
        <w:pPr>
          <w:pStyle w:val="Header"/>
          <w:jc w:val="right"/>
          <w:rPr>
            <w:sz w:val="22"/>
            <w:szCs w:val="22"/>
          </w:rPr>
        </w:pPr>
        <w:r w:rsidRPr="004023A3">
          <w:rPr>
            <w:sz w:val="22"/>
            <w:szCs w:val="22"/>
          </w:rPr>
          <w:fldChar w:fldCharType="begin"/>
        </w:r>
        <w:r w:rsidRPr="004023A3">
          <w:rPr>
            <w:sz w:val="22"/>
            <w:szCs w:val="22"/>
          </w:rPr>
          <w:instrText xml:space="preserve"> PAGE   \* MERGEFORMAT </w:instrText>
        </w:r>
        <w:r w:rsidRPr="004023A3">
          <w:rPr>
            <w:sz w:val="22"/>
            <w:szCs w:val="22"/>
          </w:rPr>
          <w:fldChar w:fldCharType="separate"/>
        </w:r>
        <w:r w:rsidR="0090442E">
          <w:rPr>
            <w:noProof/>
            <w:sz w:val="22"/>
            <w:szCs w:val="22"/>
          </w:rPr>
          <w:t>17</w:t>
        </w:r>
        <w:r w:rsidRPr="004023A3">
          <w:rPr>
            <w:noProof/>
            <w:sz w:val="22"/>
            <w:szCs w:val="22"/>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54C3444"/>
    <w:multiLevelType w:val="multilevel"/>
    <w:tmpl w:val="9E12B5CA"/>
    <w:lvl w:ilvl="0">
      <w:start w:val="1"/>
      <w:numFmt w:val="decimal"/>
      <w:pStyle w:val="Heading1"/>
      <w:lvlText w:val="[%1]"/>
      <w:lvlJc w:val="left"/>
      <w:pPr>
        <w:tabs>
          <w:tab w:val="num" w:pos="1148"/>
        </w:tabs>
        <w:ind w:left="1148" w:hanging="862"/>
      </w:pPr>
      <w:rPr>
        <w:rFonts w:hint="default"/>
        <w:b w:val="0"/>
        <w:bCs w:val="0"/>
        <w:color w:val="auto"/>
        <w:sz w:val="24"/>
        <w:szCs w:val="24"/>
      </w:rPr>
    </w:lvl>
    <w:lvl w:ilvl="1">
      <w:start w:val="1"/>
      <w:numFmt w:val="decimal"/>
      <w:pStyle w:val="Heading2"/>
      <w:lvlText w:val="[%1.%2]"/>
      <w:lvlJc w:val="left"/>
      <w:pPr>
        <w:tabs>
          <w:tab w:val="num" w:pos="1873"/>
        </w:tabs>
        <w:ind w:left="1873" w:hanging="1009"/>
      </w:pPr>
      <w:rPr>
        <w:rFonts w:hint="default"/>
      </w:rPr>
    </w:lvl>
    <w:lvl w:ilvl="2">
      <w:start w:val="1"/>
      <w:numFmt w:val="decimal"/>
      <w:pStyle w:val="Heading3"/>
      <w:lvlText w:val="%1.%2.%3"/>
      <w:lvlJc w:val="left"/>
      <w:pPr>
        <w:tabs>
          <w:tab w:val="num" w:pos="3024"/>
        </w:tabs>
        <w:ind w:left="3024" w:hanging="1151"/>
      </w:pPr>
      <w:rPr>
        <w:rFonts w:hint="default"/>
      </w:rPr>
    </w:lvl>
    <w:lvl w:ilvl="3">
      <w:start w:val="1"/>
      <w:numFmt w:val="decimal"/>
      <w:pStyle w:val="Heading4"/>
      <w:lvlText w:val="%1.%2.%3.%4"/>
      <w:lvlJc w:val="left"/>
      <w:pPr>
        <w:tabs>
          <w:tab w:val="num" w:pos="4323"/>
        </w:tabs>
        <w:ind w:left="4323" w:hanging="1299"/>
      </w:pPr>
      <w:rPr>
        <w:rFonts w:hint="default"/>
      </w:rPr>
    </w:lvl>
    <w:lvl w:ilvl="4">
      <w:start w:val="1"/>
      <w:numFmt w:val="decimal"/>
      <w:pStyle w:val="Heading5"/>
      <w:lvlText w:val="%1.%2.%3.%4.%5"/>
      <w:lvlJc w:val="left"/>
      <w:pPr>
        <w:tabs>
          <w:tab w:val="num" w:pos="5763"/>
        </w:tabs>
        <w:ind w:left="5763" w:hanging="1440"/>
      </w:pPr>
      <w:rPr>
        <w:rFonts w:hint="default"/>
      </w:rPr>
    </w:lvl>
    <w:lvl w:ilvl="5">
      <w:start w:val="1"/>
      <w:numFmt w:val="decimal"/>
      <w:lvlText w:val="%1.%2.%3.%4.%5.%6."/>
      <w:lvlJc w:val="left"/>
      <w:pPr>
        <w:tabs>
          <w:tab w:val="num" w:pos="7345"/>
        </w:tabs>
        <w:ind w:left="7345" w:hanging="1582"/>
      </w:pPr>
      <w:rPr>
        <w:rFonts w:hint="default"/>
      </w:rPr>
    </w:lvl>
    <w:lvl w:ilvl="6">
      <w:start w:val="1"/>
      <w:numFmt w:val="decimal"/>
      <w:lvlText w:val="%1.%2.%3.%4.%5.%6.%7."/>
      <w:lvlJc w:val="left"/>
      <w:pPr>
        <w:tabs>
          <w:tab w:val="num" w:pos="9074"/>
        </w:tabs>
        <w:ind w:left="9074" w:hanging="1729"/>
      </w:pPr>
      <w:rPr>
        <w:rFonts w:hint="default"/>
      </w:rPr>
    </w:lvl>
    <w:lvl w:ilvl="7">
      <w:start w:val="1"/>
      <w:numFmt w:val="decimal"/>
      <w:lvlText w:val="%1.%2.%3.%4.%5.%6.%7.%8."/>
      <w:lvlJc w:val="left"/>
      <w:pPr>
        <w:tabs>
          <w:tab w:val="num" w:pos="11234"/>
        </w:tabs>
        <w:ind w:left="10803" w:hanging="1729"/>
      </w:pPr>
      <w:rPr>
        <w:rFonts w:hint="default"/>
      </w:rPr>
    </w:lvl>
    <w:lvl w:ilvl="8">
      <w:start w:val="1"/>
      <w:numFmt w:val="decimal"/>
      <w:lvlText w:val="%1.%2.%3.%4.%5.%6.%7.%8.%9."/>
      <w:lvlJc w:val="left"/>
      <w:pPr>
        <w:tabs>
          <w:tab w:val="num" w:pos="12963"/>
        </w:tabs>
        <w:ind w:left="12533" w:hanging="1730"/>
      </w:pPr>
      <w:rPr>
        <w:rFonts w:hint="default"/>
      </w:rPr>
    </w:lvl>
  </w:abstractNum>
  <w:abstractNum w:abstractNumId="2" w15:restartNumberingAfterBreak="0">
    <w:nsid w:val="1F45473B"/>
    <w:multiLevelType w:val="multilevel"/>
    <w:tmpl w:val="0108F9B8"/>
    <w:lvl w:ilvl="0">
      <w:start w:val="1"/>
      <w:numFmt w:val="decimal"/>
      <w:pStyle w:val="JudgmentNumbered"/>
      <w:lvlText w:val="[%1]"/>
      <w:lvlJc w:val="left"/>
      <w:pPr>
        <w:ind w:left="850" w:hanging="567"/>
      </w:pPr>
    </w:lvl>
    <w:lvl w:ilvl="1">
      <w:start w:val="1"/>
      <w:numFmt w:val="lowerLetter"/>
      <w:lvlText w:val="%2."/>
      <w:lvlJc w:val="left"/>
      <w:pPr>
        <w:ind w:left="1068" w:hanging="360"/>
      </w:pPr>
    </w:lvl>
    <w:lvl w:ilvl="2">
      <w:start w:val="1"/>
      <w:numFmt w:val="lowerRoman"/>
      <w:lvlText w:val="%3."/>
      <w:lvlJc w:val="left"/>
      <w:pPr>
        <w:tabs>
          <w:tab w:val="num" w:pos="1842"/>
        </w:tabs>
        <w:ind w:left="1842" w:hanging="567"/>
      </w:pPr>
    </w:lvl>
    <w:lvl w:ilvl="3">
      <w:start w:val="1"/>
      <w:numFmt w:val="decimal"/>
      <w:lvlText w:val="%4."/>
      <w:lvlJc w:val="left"/>
      <w:pPr>
        <w:ind w:left="360"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1F9D7598"/>
    <w:multiLevelType w:val="hybridMultilevel"/>
    <w:tmpl w:val="83586248"/>
    <w:lvl w:ilvl="0" w:tplc="B9F0B482">
      <w:start w:val="1"/>
      <w:numFmt w:val="decimal"/>
      <w:suff w:val="nothing"/>
      <w:lvlText w:val="%1."/>
      <w:lvlJc w:val="left"/>
      <w:pPr>
        <w:ind w:left="720" w:hanging="663"/>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2874B3"/>
    <w:multiLevelType w:val="hybridMultilevel"/>
    <w:tmpl w:val="F6E69922"/>
    <w:lvl w:ilvl="0" w:tplc="B94E6884">
      <w:start w:val="2"/>
      <w:numFmt w:val="lowerLetter"/>
      <w:lvlText w:val="(%1)"/>
      <w:lvlJc w:val="left"/>
      <w:pPr>
        <w:ind w:left="2233" w:hanging="360"/>
      </w:pPr>
      <w:rPr>
        <w:rFonts w:hint="default"/>
      </w:rPr>
    </w:lvl>
    <w:lvl w:ilvl="1" w:tplc="1C090019" w:tentative="1">
      <w:start w:val="1"/>
      <w:numFmt w:val="lowerLetter"/>
      <w:lvlText w:val="%2."/>
      <w:lvlJc w:val="left"/>
      <w:pPr>
        <w:ind w:left="2953" w:hanging="360"/>
      </w:pPr>
    </w:lvl>
    <w:lvl w:ilvl="2" w:tplc="1C09001B" w:tentative="1">
      <w:start w:val="1"/>
      <w:numFmt w:val="lowerRoman"/>
      <w:lvlText w:val="%3."/>
      <w:lvlJc w:val="right"/>
      <w:pPr>
        <w:ind w:left="3673" w:hanging="180"/>
      </w:pPr>
    </w:lvl>
    <w:lvl w:ilvl="3" w:tplc="1C09000F" w:tentative="1">
      <w:start w:val="1"/>
      <w:numFmt w:val="decimal"/>
      <w:lvlText w:val="%4."/>
      <w:lvlJc w:val="left"/>
      <w:pPr>
        <w:ind w:left="4393" w:hanging="360"/>
      </w:pPr>
    </w:lvl>
    <w:lvl w:ilvl="4" w:tplc="1C090019" w:tentative="1">
      <w:start w:val="1"/>
      <w:numFmt w:val="lowerLetter"/>
      <w:lvlText w:val="%5."/>
      <w:lvlJc w:val="left"/>
      <w:pPr>
        <w:ind w:left="5113" w:hanging="360"/>
      </w:pPr>
    </w:lvl>
    <w:lvl w:ilvl="5" w:tplc="1C09001B" w:tentative="1">
      <w:start w:val="1"/>
      <w:numFmt w:val="lowerRoman"/>
      <w:lvlText w:val="%6."/>
      <w:lvlJc w:val="right"/>
      <w:pPr>
        <w:ind w:left="5833" w:hanging="180"/>
      </w:pPr>
    </w:lvl>
    <w:lvl w:ilvl="6" w:tplc="1C09000F" w:tentative="1">
      <w:start w:val="1"/>
      <w:numFmt w:val="decimal"/>
      <w:lvlText w:val="%7."/>
      <w:lvlJc w:val="left"/>
      <w:pPr>
        <w:ind w:left="6553" w:hanging="360"/>
      </w:pPr>
    </w:lvl>
    <w:lvl w:ilvl="7" w:tplc="1C090019" w:tentative="1">
      <w:start w:val="1"/>
      <w:numFmt w:val="lowerLetter"/>
      <w:lvlText w:val="%8."/>
      <w:lvlJc w:val="left"/>
      <w:pPr>
        <w:ind w:left="7273" w:hanging="360"/>
      </w:pPr>
    </w:lvl>
    <w:lvl w:ilvl="8" w:tplc="1C09001B" w:tentative="1">
      <w:start w:val="1"/>
      <w:numFmt w:val="lowerRoman"/>
      <w:lvlText w:val="%9."/>
      <w:lvlJc w:val="right"/>
      <w:pPr>
        <w:ind w:left="7993" w:hanging="180"/>
      </w:pPr>
    </w:lvl>
  </w:abstractNum>
  <w:abstractNum w:abstractNumId="5" w15:restartNumberingAfterBreak="0">
    <w:nsid w:val="3802612D"/>
    <w:multiLevelType w:val="hybridMultilevel"/>
    <w:tmpl w:val="C24C4F7E"/>
    <w:lvl w:ilvl="0" w:tplc="EB98EAE4">
      <w:start w:val="1"/>
      <w:numFmt w:val="lowerRoman"/>
      <w:lvlText w:val="(%1)"/>
      <w:lvlJc w:val="left"/>
      <w:pPr>
        <w:ind w:left="2602" w:hanging="72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6" w15:restartNumberingAfterBreak="0">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15:restartNumberingAfterBreak="0">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10" w15:restartNumberingAfterBreak="0">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num w:numId="1" w16cid:durableId="360860785">
    <w:abstractNumId w:val="1"/>
  </w:num>
  <w:num w:numId="2" w16cid:durableId="1072511148">
    <w:abstractNumId w:val="1"/>
  </w:num>
  <w:num w:numId="3" w16cid:durableId="1243567316">
    <w:abstractNumId w:val="1"/>
  </w:num>
  <w:num w:numId="4" w16cid:durableId="1346397524">
    <w:abstractNumId w:val="1"/>
  </w:num>
  <w:num w:numId="5" w16cid:durableId="289635098">
    <w:abstractNumId w:val="1"/>
  </w:num>
  <w:num w:numId="6" w16cid:durableId="656886868">
    <w:abstractNumId w:val="1"/>
  </w:num>
  <w:num w:numId="7" w16cid:durableId="1413503371">
    <w:abstractNumId w:val="1"/>
  </w:num>
  <w:num w:numId="8" w16cid:durableId="699552181">
    <w:abstractNumId w:val="1"/>
  </w:num>
  <w:num w:numId="9" w16cid:durableId="670569301">
    <w:abstractNumId w:val="1"/>
  </w:num>
  <w:num w:numId="10" w16cid:durableId="1848522813">
    <w:abstractNumId w:val="1"/>
  </w:num>
  <w:num w:numId="11" w16cid:durableId="187918239">
    <w:abstractNumId w:val="1"/>
  </w:num>
  <w:num w:numId="12" w16cid:durableId="476721860">
    <w:abstractNumId w:val="1"/>
  </w:num>
  <w:num w:numId="13" w16cid:durableId="1126899101">
    <w:abstractNumId w:val="1"/>
  </w:num>
  <w:num w:numId="14" w16cid:durableId="1180192644">
    <w:abstractNumId w:val="1"/>
  </w:num>
  <w:num w:numId="15" w16cid:durableId="56827095">
    <w:abstractNumId w:val="1"/>
  </w:num>
  <w:num w:numId="16" w16cid:durableId="1845127401">
    <w:abstractNumId w:val="1"/>
  </w:num>
  <w:num w:numId="17" w16cid:durableId="423383792">
    <w:abstractNumId w:val="1"/>
  </w:num>
  <w:num w:numId="18" w16cid:durableId="1676686939">
    <w:abstractNumId w:val="1"/>
  </w:num>
  <w:num w:numId="19" w16cid:durableId="136185619">
    <w:abstractNumId w:val="1"/>
  </w:num>
  <w:num w:numId="20" w16cid:durableId="1399287758">
    <w:abstractNumId w:val="1"/>
  </w:num>
  <w:num w:numId="21" w16cid:durableId="383869727">
    <w:abstractNumId w:val="1"/>
  </w:num>
  <w:num w:numId="22" w16cid:durableId="1460028002">
    <w:abstractNumId w:val="1"/>
  </w:num>
  <w:num w:numId="23" w16cid:durableId="1749227719">
    <w:abstractNumId w:val="1"/>
  </w:num>
  <w:num w:numId="24" w16cid:durableId="759640734">
    <w:abstractNumId w:val="1"/>
  </w:num>
  <w:num w:numId="25" w16cid:durableId="1837455485">
    <w:abstractNumId w:val="1"/>
  </w:num>
  <w:num w:numId="26" w16cid:durableId="142476886">
    <w:abstractNumId w:val="1"/>
  </w:num>
  <w:num w:numId="27" w16cid:durableId="1647278083">
    <w:abstractNumId w:val="1"/>
  </w:num>
  <w:num w:numId="28" w16cid:durableId="228661120">
    <w:abstractNumId w:val="1"/>
  </w:num>
  <w:num w:numId="29" w16cid:durableId="1372456515">
    <w:abstractNumId w:val="1"/>
  </w:num>
  <w:num w:numId="30" w16cid:durableId="392512691">
    <w:abstractNumId w:val="1"/>
  </w:num>
  <w:num w:numId="31" w16cid:durableId="342056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5904052">
    <w:abstractNumId w:val="1"/>
  </w:num>
  <w:num w:numId="33" w16cid:durableId="1466966098">
    <w:abstractNumId w:val="1"/>
  </w:num>
  <w:num w:numId="34" w16cid:durableId="1579554465">
    <w:abstractNumId w:val="6"/>
  </w:num>
  <w:num w:numId="35" w16cid:durableId="1161968024">
    <w:abstractNumId w:val="8"/>
  </w:num>
  <w:num w:numId="36" w16cid:durableId="262228950">
    <w:abstractNumId w:val="7"/>
  </w:num>
  <w:num w:numId="37" w16cid:durableId="209609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9907407">
    <w:abstractNumId w:val="9"/>
  </w:num>
  <w:num w:numId="39" w16cid:durableId="1765952909">
    <w:abstractNumId w:val="10"/>
  </w:num>
  <w:num w:numId="40" w16cid:durableId="354500691">
    <w:abstractNumId w:val="4"/>
  </w:num>
  <w:num w:numId="41" w16cid:durableId="140315796">
    <w:abstractNumId w:val="5"/>
  </w:num>
  <w:num w:numId="42" w16cid:durableId="32704326">
    <w:abstractNumId w:val="3"/>
  </w:num>
  <w:num w:numId="43" w16cid:durableId="924921158">
    <w:abstractNumId w:val="1"/>
  </w:num>
  <w:num w:numId="44" w16cid:durableId="51269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I1NzY2MLQ0M7c0NjFQ0lEKTi0uzszPAykwrAUA6awQRCwAAAA="/>
  </w:docVars>
  <w:rsids>
    <w:rsidRoot w:val="00EA6CD4"/>
    <w:rsid w:val="00000058"/>
    <w:rsid w:val="0000543F"/>
    <w:rsid w:val="00006720"/>
    <w:rsid w:val="00006F92"/>
    <w:rsid w:val="00010474"/>
    <w:rsid w:val="00013916"/>
    <w:rsid w:val="00016FCE"/>
    <w:rsid w:val="000206B9"/>
    <w:rsid w:val="00021572"/>
    <w:rsid w:val="00021776"/>
    <w:rsid w:val="000225B4"/>
    <w:rsid w:val="00023AF4"/>
    <w:rsid w:val="00024EC0"/>
    <w:rsid w:val="000269A0"/>
    <w:rsid w:val="0003276B"/>
    <w:rsid w:val="000330AA"/>
    <w:rsid w:val="00033689"/>
    <w:rsid w:val="00035295"/>
    <w:rsid w:val="00035850"/>
    <w:rsid w:val="00040532"/>
    <w:rsid w:val="00042425"/>
    <w:rsid w:val="00044522"/>
    <w:rsid w:val="00045B9C"/>
    <w:rsid w:val="00045C2A"/>
    <w:rsid w:val="000460FA"/>
    <w:rsid w:val="00046B37"/>
    <w:rsid w:val="00050F11"/>
    <w:rsid w:val="000532EA"/>
    <w:rsid w:val="00056698"/>
    <w:rsid w:val="00060B83"/>
    <w:rsid w:val="000615CB"/>
    <w:rsid w:val="00062585"/>
    <w:rsid w:val="0006267E"/>
    <w:rsid w:val="00062E02"/>
    <w:rsid w:val="00064808"/>
    <w:rsid w:val="00064ABB"/>
    <w:rsid w:val="00065304"/>
    <w:rsid w:val="00066FA7"/>
    <w:rsid w:val="00070CD2"/>
    <w:rsid w:val="0007609A"/>
    <w:rsid w:val="0007667F"/>
    <w:rsid w:val="00076A3C"/>
    <w:rsid w:val="00077771"/>
    <w:rsid w:val="000806A3"/>
    <w:rsid w:val="00081824"/>
    <w:rsid w:val="00082F38"/>
    <w:rsid w:val="000836AB"/>
    <w:rsid w:val="00083F9A"/>
    <w:rsid w:val="00090BBB"/>
    <w:rsid w:val="00090BFF"/>
    <w:rsid w:val="0009589B"/>
    <w:rsid w:val="000969B6"/>
    <w:rsid w:val="00096D51"/>
    <w:rsid w:val="000A157B"/>
    <w:rsid w:val="000A3B02"/>
    <w:rsid w:val="000A4A93"/>
    <w:rsid w:val="000A5255"/>
    <w:rsid w:val="000A7277"/>
    <w:rsid w:val="000B00C4"/>
    <w:rsid w:val="000B08B0"/>
    <w:rsid w:val="000B091F"/>
    <w:rsid w:val="000B0F7E"/>
    <w:rsid w:val="000B2270"/>
    <w:rsid w:val="000B242D"/>
    <w:rsid w:val="000B4576"/>
    <w:rsid w:val="000B57CF"/>
    <w:rsid w:val="000B622B"/>
    <w:rsid w:val="000C3DC6"/>
    <w:rsid w:val="000C42FC"/>
    <w:rsid w:val="000C4BAD"/>
    <w:rsid w:val="000C6D68"/>
    <w:rsid w:val="000C6E46"/>
    <w:rsid w:val="000D17F5"/>
    <w:rsid w:val="000D45A1"/>
    <w:rsid w:val="000D6DF3"/>
    <w:rsid w:val="000D6F31"/>
    <w:rsid w:val="000E0AFB"/>
    <w:rsid w:val="000E201A"/>
    <w:rsid w:val="000E3DAB"/>
    <w:rsid w:val="000E51FA"/>
    <w:rsid w:val="000E5E70"/>
    <w:rsid w:val="000F0879"/>
    <w:rsid w:val="000F390A"/>
    <w:rsid w:val="000F50B7"/>
    <w:rsid w:val="000F562D"/>
    <w:rsid w:val="00100201"/>
    <w:rsid w:val="00102217"/>
    <w:rsid w:val="00102ED8"/>
    <w:rsid w:val="0010300F"/>
    <w:rsid w:val="0010379E"/>
    <w:rsid w:val="00105788"/>
    <w:rsid w:val="00106011"/>
    <w:rsid w:val="00107BC1"/>
    <w:rsid w:val="00110BED"/>
    <w:rsid w:val="00112069"/>
    <w:rsid w:val="00116B8F"/>
    <w:rsid w:val="00117066"/>
    <w:rsid w:val="00117397"/>
    <w:rsid w:val="001248F9"/>
    <w:rsid w:val="00125C76"/>
    <w:rsid w:val="0012659A"/>
    <w:rsid w:val="0012684E"/>
    <w:rsid w:val="00127FB4"/>
    <w:rsid w:val="00131309"/>
    <w:rsid w:val="0013289D"/>
    <w:rsid w:val="001348C7"/>
    <w:rsid w:val="0013502C"/>
    <w:rsid w:val="0013761F"/>
    <w:rsid w:val="00141DF6"/>
    <w:rsid w:val="00141EEC"/>
    <w:rsid w:val="00142797"/>
    <w:rsid w:val="00142F93"/>
    <w:rsid w:val="00143DA0"/>
    <w:rsid w:val="00144798"/>
    <w:rsid w:val="0014737C"/>
    <w:rsid w:val="00150259"/>
    <w:rsid w:val="001528BA"/>
    <w:rsid w:val="00153383"/>
    <w:rsid w:val="00155EF5"/>
    <w:rsid w:val="00161D1A"/>
    <w:rsid w:val="00163D71"/>
    <w:rsid w:val="00165DA8"/>
    <w:rsid w:val="001662A9"/>
    <w:rsid w:val="00170F8F"/>
    <w:rsid w:val="00171857"/>
    <w:rsid w:val="0017219E"/>
    <w:rsid w:val="001732E3"/>
    <w:rsid w:val="0017394F"/>
    <w:rsid w:val="001740EB"/>
    <w:rsid w:val="00176539"/>
    <w:rsid w:val="00176C16"/>
    <w:rsid w:val="0018046C"/>
    <w:rsid w:val="00181ACA"/>
    <w:rsid w:val="00185623"/>
    <w:rsid w:val="001868C6"/>
    <w:rsid w:val="00191E78"/>
    <w:rsid w:val="001933BE"/>
    <w:rsid w:val="00193B63"/>
    <w:rsid w:val="00193BA1"/>
    <w:rsid w:val="00196B94"/>
    <w:rsid w:val="001B033F"/>
    <w:rsid w:val="001B0B71"/>
    <w:rsid w:val="001B3615"/>
    <w:rsid w:val="001B4598"/>
    <w:rsid w:val="001B4819"/>
    <w:rsid w:val="001B48CB"/>
    <w:rsid w:val="001B5C02"/>
    <w:rsid w:val="001B6B0E"/>
    <w:rsid w:val="001C083F"/>
    <w:rsid w:val="001C1534"/>
    <w:rsid w:val="001C2318"/>
    <w:rsid w:val="001C4CC1"/>
    <w:rsid w:val="001C53C0"/>
    <w:rsid w:val="001C572A"/>
    <w:rsid w:val="001D151A"/>
    <w:rsid w:val="001D3BC7"/>
    <w:rsid w:val="001D4EC3"/>
    <w:rsid w:val="001D5D9B"/>
    <w:rsid w:val="001D7DB6"/>
    <w:rsid w:val="001E3056"/>
    <w:rsid w:val="001E362B"/>
    <w:rsid w:val="001E48C8"/>
    <w:rsid w:val="001E52A2"/>
    <w:rsid w:val="001E5695"/>
    <w:rsid w:val="001E6155"/>
    <w:rsid w:val="001F1B3F"/>
    <w:rsid w:val="001F4F49"/>
    <w:rsid w:val="001F61FA"/>
    <w:rsid w:val="001F6E8A"/>
    <w:rsid w:val="001F7D5C"/>
    <w:rsid w:val="0020226C"/>
    <w:rsid w:val="00202581"/>
    <w:rsid w:val="00202A45"/>
    <w:rsid w:val="00204CA6"/>
    <w:rsid w:val="00206B44"/>
    <w:rsid w:val="00207BCE"/>
    <w:rsid w:val="00210EF6"/>
    <w:rsid w:val="00211229"/>
    <w:rsid w:val="00212361"/>
    <w:rsid w:val="00212F35"/>
    <w:rsid w:val="00213776"/>
    <w:rsid w:val="002167A8"/>
    <w:rsid w:val="002231BF"/>
    <w:rsid w:val="002238E5"/>
    <w:rsid w:val="002245A0"/>
    <w:rsid w:val="00231A3C"/>
    <w:rsid w:val="00231A4B"/>
    <w:rsid w:val="00232E22"/>
    <w:rsid w:val="00233C3C"/>
    <w:rsid w:val="00233C6D"/>
    <w:rsid w:val="002446BE"/>
    <w:rsid w:val="00244807"/>
    <w:rsid w:val="002458F3"/>
    <w:rsid w:val="00245902"/>
    <w:rsid w:val="00247B19"/>
    <w:rsid w:val="0025394A"/>
    <w:rsid w:val="0025399F"/>
    <w:rsid w:val="0025764B"/>
    <w:rsid w:val="00260581"/>
    <w:rsid w:val="00264711"/>
    <w:rsid w:val="0026535F"/>
    <w:rsid w:val="00265A58"/>
    <w:rsid w:val="00267802"/>
    <w:rsid w:val="002703B9"/>
    <w:rsid w:val="002736B0"/>
    <w:rsid w:val="00274CBA"/>
    <w:rsid w:val="002754D8"/>
    <w:rsid w:val="002757F0"/>
    <w:rsid w:val="00276D47"/>
    <w:rsid w:val="002777F7"/>
    <w:rsid w:val="002800C5"/>
    <w:rsid w:val="00280702"/>
    <w:rsid w:val="00282BB5"/>
    <w:rsid w:val="00283838"/>
    <w:rsid w:val="00284C8A"/>
    <w:rsid w:val="00285FB4"/>
    <w:rsid w:val="002908D6"/>
    <w:rsid w:val="002912A7"/>
    <w:rsid w:val="00292568"/>
    <w:rsid w:val="002929B8"/>
    <w:rsid w:val="00293752"/>
    <w:rsid w:val="00294E30"/>
    <w:rsid w:val="002970B2"/>
    <w:rsid w:val="002A0081"/>
    <w:rsid w:val="002A19E4"/>
    <w:rsid w:val="002A1E37"/>
    <w:rsid w:val="002A2729"/>
    <w:rsid w:val="002A2904"/>
    <w:rsid w:val="002A29B0"/>
    <w:rsid w:val="002A2C9C"/>
    <w:rsid w:val="002A3918"/>
    <w:rsid w:val="002A554A"/>
    <w:rsid w:val="002A580B"/>
    <w:rsid w:val="002A59F5"/>
    <w:rsid w:val="002B7F10"/>
    <w:rsid w:val="002C1271"/>
    <w:rsid w:val="002C26E0"/>
    <w:rsid w:val="002C4ED6"/>
    <w:rsid w:val="002C6134"/>
    <w:rsid w:val="002D1F3B"/>
    <w:rsid w:val="002E1EEC"/>
    <w:rsid w:val="002E6EA9"/>
    <w:rsid w:val="002F0615"/>
    <w:rsid w:val="002F30AA"/>
    <w:rsid w:val="002F4DF1"/>
    <w:rsid w:val="00300F41"/>
    <w:rsid w:val="00302893"/>
    <w:rsid w:val="00305677"/>
    <w:rsid w:val="00310029"/>
    <w:rsid w:val="00311DAF"/>
    <w:rsid w:val="0031638A"/>
    <w:rsid w:val="00316597"/>
    <w:rsid w:val="00317089"/>
    <w:rsid w:val="003202ED"/>
    <w:rsid w:val="00324245"/>
    <w:rsid w:val="00325F33"/>
    <w:rsid w:val="003366C1"/>
    <w:rsid w:val="00337192"/>
    <w:rsid w:val="00340B40"/>
    <w:rsid w:val="003414B0"/>
    <w:rsid w:val="00345C84"/>
    <w:rsid w:val="003466F0"/>
    <w:rsid w:val="003470FF"/>
    <w:rsid w:val="00347782"/>
    <w:rsid w:val="00350EF3"/>
    <w:rsid w:val="003521B3"/>
    <w:rsid w:val="00352A44"/>
    <w:rsid w:val="00353102"/>
    <w:rsid w:val="0035315B"/>
    <w:rsid w:val="003537A1"/>
    <w:rsid w:val="003538E1"/>
    <w:rsid w:val="00354DFA"/>
    <w:rsid w:val="00357F85"/>
    <w:rsid w:val="00366FAF"/>
    <w:rsid w:val="003676EE"/>
    <w:rsid w:val="00367B06"/>
    <w:rsid w:val="0037012A"/>
    <w:rsid w:val="0037230C"/>
    <w:rsid w:val="003724BA"/>
    <w:rsid w:val="00373869"/>
    <w:rsid w:val="00374A10"/>
    <w:rsid w:val="00375C34"/>
    <w:rsid w:val="0038171B"/>
    <w:rsid w:val="00382CEC"/>
    <w:rsid w:val="00391678"/>
    <w:rsid w:val="00394B73"/>
    <w:rsid w:val="00395E13"/>
    <w:rsid w:val="003969E9"/>
    <w:rsid w:val="003A1760"/>
    <w:rsid w:val="003A4CE2"/>
    <w:rsid w:val="003B13EC"/>
    <w:rsid w:val="003B1EC4"/>
    <w:rsid w:val="003B323D"/>
    <w:rsid w:val="003B3F2C"/>
    <w:rsid w:val="003B42D5"/>
    <w:rsid w:val="003B62CD"/>
    <w:rsid w:val="003C1B21"/>
    <w:rsid w:val="003C21EA"/>
    <w:rsid w:val="003C2823"/>
    <w:rsid w:val="003C2889"/>
    <w:rsid w:val="003C3E35"/>
    <w:rsid w:val="003C4FAC"/>
    <w:rsid w:val="003C5158"/>
    <w:rsid w:val="003C6767"/>
    <w:rsid w:val="003C68E4"/>
    <w:rsid w:val="003C6B05"/>
    <w:rsid w:val="003C6B86"/>
    <w:rsid w:val="003D0E87"/>
    <w:rsid w:val="003D0EF9"/>
    <w:rsid w:val="003D30FA"/>
    <w:rsid w:val="003D4CF3"/>
    <w:rsid w:val="003D5E64"/>
    <w:rsid w:val="003D6346"/>
    <w:rsid w:val="003D6DF5"/>
    <w:rsid w:val="003D7EA2"/>
    <w:rsid w:val="003E018F"/>
    <w:rsid w:val="003E2E2E"/>
    <w:rsid w:val="003E383D"/>
    <w:rsid w:val="003E3B3D"/>
    <w:rsid w:val="003E4735"/>
    <w:rsid w:val="003E5F9A"/>
    <w:rsid w:val="003E6F1C"/>
    <w:rsid w:val="003F1E6B"/>
    <w:rsid w:val="003F2257"/>
    <w:rsid w:val="003F4D15"/>
    <w:rsid w:val="003F7203"/>
    <w:rsid w:val="00400054"/>
    <w:rsid w:val="00401577"/>
    <w:rsid w:val="004023A3"/>
    <w:rsid w:val="004031B7"/>
    <w:rsid w:val="00403A12"/>
    <w:rsid w:val="00411126"/>
    <w:rsid w:val="00411F8D"/>
    <w:rsid w:val="004135B4"/>
    <w:rsid w:val="00415AE9"/>
    <w:rsid w:val="00417C15"/>
    <w:rsid w:val="00420213"/>
    <w:rsid w:val="00421C47"/>
    <w:rsid w:val="00421F93"/>
    <w:rsid w:val="004224E3"/>
    <w:rsid w:val="00424920"/>
    <w:rsid w:val="004253C5"/>
    <w:rsid w:val="0042572A"/>
    <w:rsid w:val="00426B56"/>
    <w:rsid w:val="00427341"/>
    <w:rsid w:val="004302F0"/>
    <w:rsid w:val="00430D78"/>
    <w:rsid w:val="00433ED3"/>
    <w:rsid w:val="00434FEC"/>
    <w:rsid w:val="004359FC"/>
    <w:rsid w:val="00435A15"/>
    <w:rsid w:val="00435DB7"/>
    <w:rsid w:val="004363DF"/>
    <w:rsid w:val="00436B34"/>
    <w:rsid w:val="0043791F"/>
    <w:rsid w:val="004410DE"/>
    <w:rsid w:val="00443A45"/>
    <w:rsid w:val="00444711"/>
    <w:rsid w:val="004447F3"/>
    <w:rsid w:val="00445224"/>
    <w:rsid w:val="00446DF2"/>
    <w:rsid w:val="00447580"/>
    <w:rsid w:val="00450EA2"/>
    <w:rsid w:val="00451FEE"/>
    <w:rsid w:val="004521D0"/>
    <w:rsid w:val="004538F7"/>
    <w:rsid w:val="00454F42"/>
    <w:rsid w:val="00460E82"/>
    <w:rsid w:val="00461B78"/>
    <w:rsid w:val="0046238F"/>
    <w:rsid w:val="00463B1B"/>
    <w:rsid w:val="0046533B"/>
    <w:rsid w:val="00465FDC"/>
    <w:rsid w:val="00470040"/>
    <w:rsid w:val="0047008D"/>
    <w:rsid w:val="00475EE5"/>
    <w:rsid w:val="00476DB3"/>
    <w:rsid w:val="00480B8D"/>
    <w:rsid w:val="00481680"/>
    <w:rsid w:val="00481C88"/>
    <w:rsid w:val="00481E9D"/>
    <w:rsid w:val="004845DF"/>
    <w:rsid w:val="00484D33"/>
    <w:rsid w:val="00484FE7"/>
    <w:rsid w:val="0048561F"/>
    <w:rsid w:val="00485A95"/>
    <w:rsid w:val="0049082C"/>
    <w:rsid w:val="004913E5"/>
    <w:rsid w:val="0049324B"/>
    <w:rsid w:val="0049519F"/>
    <w:rsid w:val="004951D1"/>
    <w:rsid w:val="00496A2E"/>
    <w:rsid w:val="00497B49"/>
    <w:rsid w:val="004A12A6"/>
    <w:rsid w:val="004A12D0"/>
    <w:rsid w:val="004A2102"/>
    <w:rsid w:val="004A2818"/>
    <w:rsid w:val="004A3045"/>
    <w:rsid w:val="004A41E6"/>
    <w:rsid w:val="004A48B1"/>
    <w:rsid w:val="004A4B36"/>
    <w:rsid w:val="004A4D43"/>
    <w:rsid w:val="004A7354"/>
    <w:rsid w:val="004B0C01"/>
    <w:rsid w:val="004B1F02"/>
    <w:rsid w:val="004B214D"/>
    <w:rsid w:val="004B5AFB"/>
    <w:rsid w:val="004C24E9"/>
    <w:rsid w:val="004C2B51"/>
    <w:rsid w:val="004D44A0"/>
    <w:rsid w:val="004D671B"/>
    <w:rsid w:val="004E249D"/>
    <w:rsid w:val="004E67F3"/>
    <w:rsid w:val="004F1534"/>
    <w:rsid w:val="004F18B2"/>
    <w:rsid w:val="004F2638"/>
    <w:rsid w:val="004F2C82"/>
    <w:rsid w:val="004F5875"/>
    <w:rsid w:val="004F7127"/>
    <w:rsid w:val="00501216"/>
    <w:rsid w:val="00501614"/>
    <w:rsid w:val="005049CB"/>
    <w:rsid w:val="00504A4D"/>
    <w:rsid w:val="0050502F"/>
    <w:rsid w:val="00505D46"/>
    <w:rsid w:val="00505F6E"/>
    <w:rsid w:val="00513E2E"/>
    <w:rsid w:val="0051663B"/>
    <w:rsid w:val="0052278C"/>
    <w:rsid w:val="0052363C"/>
    <w:rsid w:val="00523A3D"/>
    <w:rsid w:val="005254F6"/>
    <w:rsid w:val="00531FCD"/>
    <w:rsid w:val="005338A5"/>
    <w:rsid w:val="00533D17"/>
    <w:rsid w:val="00534238"/>
    <w:rsid w:val="005361BD"/>
    <w:rsid w:val="00537B2B"/>
    <w:rsid w:val="00542D61"/>
    <w:rsid w:val="00545319"/>
    <w:rsid w:val="00545B8F"/>
    <w:rsid w:val="00552667"/>
    <w:rsid w:val="00552DA5"/>
    <w:rsid w:val="00552FE9"/>
    <w:rsid w:val="005546A8"/>
    <w:rsid w:val="00554864"/>
    <w:rsid w:val="00555319"/>
    <w:rsid w:val="005577F5"/>
    <w:rsid w:val="005601A9"/>
    <w:rsid w:val="00561392"/>
    <w:rsid w:val="00561695"/>
    <w:rsid w:val="00562314"/>
    <w:rsid w:val="00563E3E"/>
    <w:rsid w:val="005641D0"/>
    <w:rsid w:val="0056639C"/>
    <w:rsid w:val="0057119C"/>
    <w:rsid w:val="00572AC0"/>
    <w:rsid w:val="00580CF8"/>
    <w:rsid w:val="00581F2A"/>
    <w:rsid w:val="00581FF3"/>
    <w:rsid w:val="0058214A"/>
    <w:rsid w:val="005830DC"/>
    <w:rsid w:val="00586A61"/>
    <w:rsid w:val="00586E1D"/>
    <w:rsid w:val="005953BC"/>
    <w:rsid w:val="00597C6F"/>
    <w:rsid w:val="005A0039"/>
    <w:rsid w:val="005A0D18"/>
    <w:rsid w:val="005A3981"/>
    <w:rsid w:val="005A415D"/>
    <w:rsid w:val="005A5817"/>
    <w:rsid w:val="005A66C2"/>
    <w:rsid w:val="005A6B25"/>
    <w:rsid w:val="005B230A"/>
    <w:rsid w:val="005B2599"/>
    <w:rsid w:val="005B3E15"/>
    <w:rsid w:val="005B4EEB"/>
    <w:rsid w:val="005B654D"/>
    <w:rsid w:val="005B6B8D"/>
    <w:rsid w:val="005C08FA"/>
    <w:rsid w:val="005C4B92"/>
    <w:rsid w:val="005C5838"/>
    <w:rsid w:val="005C6062"/>
    <w:rsid w:val="005C7C79"/>
    <w:rsid w:val="005D08C4"/>
    <w:rsid w:val="005D0D92"/>
    <w:rsid w:val="005D13F4"/>
    <w:rsid w:val="005D5089"/>
    <w:rsid w:val="005D7F6D"/>
    <w:rsid w:val="005E22C9"/>
    <w:rsid w:val="005E2471"/>
    <w:rsid w:val="005E346C"/>
    <w:rsid w:val="005E4649"/>
    <w:rsid w:val="005E7DCC"/>
    <w:rsid w:val="005F0048"/>
    <w:rsid w:val="005F02F8"/>
    <w:rsid w:val="005F3902"/>
    <w:rsid w:val="005F4862"/>
    <w:rsid w:val="005F4A06"/>
    <w:rsid w:val="005F4A92"/>
    <w:rsid w:val="005F4DC5"/>
    <w:rsid w:val="005F58FB"/>
    <w:rsid w:val="005F599F"/>
    <w:rsid w:val="005F5ACB"/>
    <w:rsid w:val="005F5D78"/>
    <w:rsid w:val="005F5DEF"/>
    <w:rsid w:val="005F7DCD"/>
    <w:rsid w:val="00601150"/>
    <w:rsid w:val="00603FD7"/>
    <w:rsid w:val="00604E1D"/>
    <w:rsid w:val="00605B5B"/>
    <w:rsid w:val="0060737B"/>
    <w:rsid w:val="00612315"/>
    <w:rsid w:val="00613C5B"/>
    <w:rsid w:val="0061578A"/>
    <w:rsid w:val="0061618C"/>
    <w:rsid w:val="006162C1"/>
    <w:rsid w:val="00616EF8"/>
    <w:rsid w:val="006211E1"/>
    <w:rsid w:val="00621B2E"/>
    <w:rsid w:val="00621D7B"/>
    <w:rsid w:val="0062384F"/>
    <w:rsid w:val="0062386C"/>
    <w:rsid w:val="00623FF2"/>
    <w:rsid w:val="00624970"/>
    <w:rsid w:val="0062612D"/>
    <w:rsid w:val="0062734B"/>
    <w:rsid w:val="00630940"/>
    <w:rsid w:val="006317C8"/>
    <w:rsid w:val="00631822"/>
    <w:rsid w:val="00632E45"/>
    <w:rsid w:val="00633CD8"/>
    <w:rsid w:val="00635B43"/>
    <w:rsid w:val="00636640"/>
    <w:rsid w:val="00636673"/>
    <w:rsid w:val="00641F56"/>
    <w:rsid w:val="00643146"/>
    <w:rsid w:val="006435B6"/>
    <w:rsid w:val="00644462"/>
    <w:rsid w:val="006448AB"/>
    <w:rsid w:val="00646C4C"/>
    <w:rsid w:val="006474D2"/>
    <w:rsid w:val="00650551"/>
    <w:rsid w:val="0065099B"/>
    <w:rsid w:val="0065608D"/>
    <w:rsid w:val="006569B1"/>
    <w:rsid w:val="00656B7F"/>
    <w:rsid w:val="00660DC9"/>
    <w:rsid w:val="0066288E"/>
    <w:rsid w:val="00662BEB"/>
    <w:rsid w:val="00662EF2"/>
    <w:rsid w:val="00664022"/>
    <w:rsid w:val="00667C88"/>
    <w:rsid w:val="0067053A"/>
    <w:rsid w:val="00671276"/>
    <w:rsid w:val="006714D1"/>
    <w:rsid w:val="00677156"/>
    <w:rsid w:val="00677A91"/>
    <w:rsid w:val="00682D44"/>
    <w:rsid w:val="0068303E"/>
    <w:rsid w:val="0068381A"/>
    <w:rsid w:val="00683DBE"/>
    <w:rsid w:val="00684176"/>
    <w:rsid w:val="006844B0"/>
    <w:rsid w:val="006849EB"/>
    <w:rsid w:val="00690157"/>
    <w:rsid w:val="00690B26"/>
    <w:rsid w:val="00690D1A"/>
    <w:rsid w:val="00691807"/>
    <w:rsid w:val="006923FD"/>
    <w:rsid w:val="00693507"/>
    <w:rsid w:val="0069482F"/>
    <w:rsid w:val="00696FD7"/>
    <w:rsid w:val="006975E3"/>
    <w:rsid w:val="006A09E7"/>
    <w:rsid w:val="006A0B4E"/>
    <w:rsid w:val="006A2B3F"/>
    <w:rsid w:val="006A31BB"/>
    <w:rsid w:val="006A32FF"/>
    <w:rsid w:val="006A5E45"/>
    <w:rsid w:val="006A6C0E"/>
    <w:rsid w:val="006A6DFB"/>
    <w:rsid w:val="006A7B58"/>
    <w:rsid w:val="006B19F7"/>
    <w:rsid w:val="006B4206"/>
    <w:rsid w:val="006B559F"/>
    <w:rsid w:val="006B5704"/>
    <w:rsid w:val="006B5DAC"/>
    <w:rsid w:val="006B6180"/>
    <w:rsid w:val="006B6D95"/>
    <w:rsid w:val="006C01C1"/>
    <w:rsid w:val="006C2056"/>
    <w:rsid w:val="006C2652"/>
    <w:rsid w:val="006C5F62"/>
    <w:rsid w:val="006C70A0"/>
    <w:rsid w:val="006D02DC"/>
    <w:rsid w:val="006D03AA"/>
    <w:rsid w:val="006D0E5D"/>
    <w:rsid w:val="006D4E2B"/>
    <w:rsid w:val="006D7588"/>
    <w:rsid w:val="006D7B34"/>
    <w:rsid w:val="006E34E4"/>
    <w:rsid w:val="006E4277"/>
    <w:rsid w:val="006E43BE"/>
    <w:rsid w:val="006E4E74"/>
    <w:rsid w:val="006E66AF"/>
    <w:rsid w:val="006E77C0"/>
    <w:rsid w:val="006F1EF6"/>
    <w:rsid w:val="006F2582"/>
    <w:rsid w:val="006F2C97"/>
    <w:rsid w:val="006F5409"/>
    <w:rsid w:val="006F6EEF"/>
    <w:rsid w:val="006F7C73"/>
    <w:rsid w:val="0070213C"/>
    <w:rsid w:val="0070675B"/>
    <w:rsid w:val="00706996"/>
    <w:rsid w:val="00710EC7"/>
    <w:rsid w:val="00710FD9"/>
    <w:rsid w:val="00713C91"/>
    <w:rsid w:val="0071483D"/>
    <w:rsid w:val="00714A75"/>
    <w:rsid w:val="007154C1"/>
    <w:rsid w:val="00716A2D"/>
    <w:rsid w:val="007225EB"/>
    <w:rsid w:val="00723EE1"/>
    <w:rsid w:val="00725EAC"/>
    <w:rsid w:val="00725FFC"/>
    <w:rsid w:val="007261A0"/>
    <w:rsid w:val="00727E7A"/>
    <w:rsid w:val="00733979"/>
    <w:rsid w:val="00733E99"/>
    <w:rsid w:val="0073501A"/>
    <w:rsid w:val="00737207"/>
    <w:rsid w:val="00741025"/>
    <w:rsid w:val="007425AB"/>
    <w:rsid w:val="007556FF"/>
    <w:rsid w:val="00756B54"/>
    <w:rsid w:val="00757DB9"/>
    <w:rsid w:val="00760FFF"/>
    <w:rsid w:val="007619B3"/>
    <w:rsid w:val="00762B99"/>
    <w:rsid w:val="00763C6D"/>
    <w:rsid w:val="00766E46"/>
    <w:rsid w:val="00770CB5"/>
    <w:rsid w:val="00771A66"/>
    <w:rsid w:val="0077321B"/>
    <w:rsid w:val="007743C8"/>
    <w:rsid w:val="00774612"/>
    <w:rsid w:val="007760F3"/>
    <w:rsid w:val="00776F15"/>
    <w:rsid w:val="007773AC"/>
    <w:rsid w:val="00777955"/>
    <w:rsid w:val="007800C0"/>
    <w:rsid w:val="00784F1A"/>
    <w:rsid w:val="00785236"/>
    <w:rsid w:val="007911F8"/>
    <w:rsid w:val="00792018"/>
    <w:rsid w:val="007923AF"/>
    <w:rsid w:val="00796047"/>
    <w:rsid w:val="00797411"/>
    <w:rsid w:val="00797DB2"/>
    <w:rsid w:val="007A04FD"/>
    <w:rsid w:val="007A08FF"/>
    <w:rsid w:val="007A0EC5"/>
    <w:rsid w:val="007A1306"/>
    <w:rsid w:val="007A2ABB"/>
    <w:rsid w:val="007A4FC5"/>
    <w:rsid w:val="007A6A22"/>
    <w:rsid w:val="007A6E43"/>
    <w:rsid w:val="007B00CE"/>
    <w:rsid w:val="007B060E"/>
    <w:rsid w:val="007B2070"/>
    <w:rsid w:val="007B39B6"/>
    <w:rsid w:val="007B3B3D"/>
    <w:rsid w:val="007B7744"/>
    <w:rsid w:val="007B7DE0"/>
    <w:rsid w:val="007B7E35"/>
    <w:rsid w:val="007C0237"/>
    <w:rsid w:val="007C06AF"/>
    <w:rsid w:val="007C3EBD"/>
    <w:rsid w:val="007C5C1C"/>
    <w:rsid w:val="007C7824"/>
    <w:rsid w:val="007C7C24"/>
    <w:rsid w:val="007D03A3"/>
    <w:rsid w:val="007D2115"/>
    <w:rsid w:val="007D63CE"/>
    <w:rsid w:val="007D6F6B"/>
    <w:rsid w:val="007D7235"/>
    <w:rsid w:val="007E126A"/>
    <w:rsid w:val="007E1556"/>
    <w:rsid w:val="007E31F0"/>
    <w:rsid w:val="007E3A4C"/>
    <w:rsid w:val="007E621C"/>
    <w:rsid w:val="007E72BD"/>
    <w:rsid w:val="007E7A46"/>
    <w:rsid w:val="007F234D"/>
    <w:rsid w:val="007F446F"/>
    <w:rsid w:val="007F5466"/>
    <w:rsid w:val="007F688D"/>
    <w:rsid w:val="007F74FB"/>
    <w:rsid w:val="00807C07"/>
    <w:rsid w:val="00812D13"/>
    <w:rsid w:val="00812F04"/>
    <w:rsid w:val="008150D5"/>
    <w:rsid w:val="008165D8"/>
    <w:rsid w:val="00816732"/>
    <w:rsid w:val="0081764E"/>
    <w:rsid w:val="0082150D"/>
    <w:rsid w:val="008255C7"/>
    <w:rsid w:val="00825EB5"/>
    <w:rsid w:val="00826580"/>
    <w:rsid w:val="00827B1D"/>
    <w:rsid w:val="008326F1"/>
    <w:rsid w:val="00833533"/>
    <w:rsid w:val="00833792"/>
    <w:rsid w:val="008339DB"/>
    <w:rsid w:val="00837F7E"/>
    <w:rsid w:val="008443D4"/>
    <w:rsid w:val="00844404"/>
    <w:rsid w:val="00844EA1"/>
    <w:rsid w:val="008458CD"/>
    <w:rsid w:val="00846B5D"/>
    <w:rsid w:val="00846E44"/>
    <w:rsid w:val="00846F3F"/>
    <w:rsid w:val="0085264E"/>
    <w:rsid w:val="00853F12"/>
    <w:rsid w:val="00853FC4"/>
    <w:rsid w:val="008555DE"/>
    <w:rsid w:val="00855869"/>
    <w:rsid w:val="00857611"/>
    <w:rsid w:val="00860B9E"/>
    <w:rsid w:val="0086223F"/>
    <w:rsid w:val="0086270F"/>
    <w:rsid w:val="00864519"/>
    <w:rsid w:val="008653CC"/>
    <w:rsid w:val="008669AD"/>
    <w:rsid w:val="00871047"/>
    <w:rsid w:val="00871875"/>
    <w:rsid w:val="00873D0F"/>
    <w:rsid w:val="008759F3"/>
    <w:rsid w:val="008770E9"/>
    <w:rsid w:val="0088113C"/>
    <w:rsid w:val="008818DE"/>
    <w:rsid w:val="00882E4B"/>
    <w:rsid w:val="00883291"/>
    <w:rsid w:val="00885048"/>
    <w:rsid w:val="00885F18"/>
    <w:rsid w:val="008923E1"/>
    <w:rsid w:val="008924CA"/>
    <w:rsid w:val="00895C40"/>
    <w:rsid w:val="00897206"/>
    <w:rsid w:val="008A0B2D"/>
    <w:rsid w:val="008A129D"/>
    <w:rsid w:val="008A17E9"/>
    <w:rsid w:val="008A26C8"/>
    <w:rsid w:val="008A2E5B"/>
    <w:rsid w:val="008A447E"/>
    <w:rsid w:val="008A6C45"/>
    <w:rsid w:val="008A78E7"/>
    <w:rsid w:val="008A7EC7"/>
    <w:rsid w:val="008B0764"/>
    <w:rsid w:val="008B1DDB"/>
    <w:rsid w:val="008B3480"/>
    <w:rsid w:val="008B5876"/>
    <w:rsid w:val="008B5D8E"/>
    <w:rsid w:val="008C0814"/>
    <w:rsid w:val="008C2196"/>
    <w:rsid w:val="008C4C23"/>
    <w:rsid w:val="008C627A"/>
    <w:rsid w:val="008C75E6"/>
    <w:rsid w:val="008C7C0A"/>
    <w:rsid w:val="008D24EA"/>
    <w:rsid w:val="008D62EE"/>
    <w:rsid w:val="008E129B"/>
    <w:rsid w:val="008E407B"/>
    <w:rsid w:val="008E5FC2"/>
    <w:rsid w:val="008E6ABA"/>
    <w:rsid w:val="008F2AFB"/>
    <w:rsid w:val="008F2CF0"/>
    <w:rsid w:val="008F31B2"/>
    <w:rsid w:val="008F5E78"/>
    <w:rsid w:val="008F63B3"/>
    <w:rsid w:val="008F6C0F"/>
    <w:rsid w:val="00902987"/>
    <w:rsid w:val="0090442E"/>
    <w:rsid w:val="0090528A"/>
    <w:rsid w:val="00907BBD"/>
    <w:rsid w:val="00907E3A"/>
    <w:rsid w:val="00912C24"/>
    <w:rsid w:val="009142E2"/>
    <w:rsid w:val="00914CAF"/>
    <w:rsid w:val="00915EBA"/>
    <w:rsid w:val="00917571"/>
    <w:rsid w:val="00917E6B"/>
    <w:rsid w:val="0092135E"/>
    <w:rsid w:val="00922F8F"/>
    <w:rsid w:val="0092318D"/>
    <w:rsid w:val="00923C78"/>
    <w:rsid w:val="00925FB4"/>
    <w:rsid w:val="00932689"/>
    <w:rsid w:val="0093623B"/>
    <w:rsid w:val="009379F1"/>
    <w:rsid w:val="00937FB2"/>
    <w:rsid w:val="00942D0A"/>
    <w:rsid w:val="00943CFD"/>
    <w:rsid w:val="009441AD"/>
    <w:rsid w:val="00944FAA"/>
    <w:rsid w:val="00946FF4"/>
    <w:rsid w:val="009472F5"/>
    <w:rsid w:val="00947A8C"/>
    <w:rsid w:val="00952204"/>
    <w:rsid w:val="009535C8"/>
    <w:rsid w:val="0095600B"/>
    <w:rsid w:val="00956B26"/>
    <w:rsid w:val="00964991"/>
    <w:rsid w:val="00964F05"/>
    <w:rsid w:val="00965FAA"/>
    <w:rsid w:val="0096766C"/>
    <w:rsid w:val="00971FB5"/>
    <w:rsid w:val="00972450"/>
    <w:rsid w:val="00972681"/>
    <w:rsid w:val="00974FC1"/>
    <w:rsid w:val="009777C7"/>
    <w:rsid w:val="00980F82"/>
    <w:rsid w:val="00981110"/>
    <w:rsid w:val="009874C6"/>
    <w:rsid w:val="00992B5B"/>
    <w:rsid w:val="00993BC1"/>
    <w:rsid w:val="00994CFE"/>
    <w:rsid w:val="009A0BD5"/>
    <w:rsid w:val="009A0F59"/>
    <w:rsid w:val="009A1259"/>
    <w:rsid w:val="009A4C90"/>
    <w:rsid w:val="009A4CDC"/>
    <w:rsid w:val="009A50EC"/>
    <w:rsid w:val="009A57BA"/>
    <w:rsid w:val="009B0BA3"/>
    <w:rsid w:val="009B12AD"/>
    <w:rsid w:val="009B42AA"/>
    <w:rsid w:val="009B7BD3"/>
    <w:rsid w:val="009B7D8D"/>
    <w:rsid w:val="009C256C"/>
    <w:rsid w:val="009C62EB"/>
    <w:rsid w:val="009C6403"/>
    <w:rsid w:val="009C7758"/>
    <w:rsid w:val="009D4549"/>
    <w:rsid w:val="009D7162"/>
    <w:rsid w:val="009E00E3"/>
    <w:rsid w:val="009E1F58"/>
    <w:rsid w:val="009E24A4"/>
    <w:rsid w:val="009E2CB7"/>
    <w:rsid w:val="009E65C0"/>
    <w:rsid w:val="009E6B3E"/>
    <w:rsid w:val="009F025C"/>
    <w:rsid w:val="009F0396"/>
    <w:rsid w:val="009F042A"/>
    <w:rsid w:val="009F0AC2"/>
    <w:rsid w:val="009F2F16"/>
    <w:rsid w:val="009F6029"/>
    <w:rsid w:val="00A00585"/>
    <w:rsid w:val="00A01868"/>
    <w:rsid w:val="00A0239A"/>
    <w:rsid w:val="00A02EF2"/>
    <w:rsid w:val="00A03C6A"/>
    <w:rsid w:val="00A03FD1"/>
    <w:rsid w:val="00A043D0"/>
    <w:rsid w:val="00A05C13"/>
    <w:rsid w:val="00A074F4"/>
    <w:rsid w:val="00A10756"/>
    <w:rsid w:val="00A11065"/>
    <w:rsid w:val="00A11657"/>
    <w:rsid w:val="00A124D5"/>
    <w:rsid w:val="00A15DD5"/>
    <w:rsid w:val="00A15F7D"/>
    <w:rsid w:val="00A16F89"/>
    <w:rsid w:val="00A1796E"/>
    <w:rsid w:val="00A22CF1"/>
    <w:rsid w:val="00A25252"/>
    <w:rsid w:val="00A25CD6"/>
    <w:rsid w:val="00A26306"/>
    <w:rsid w:val="00A26E1D"/>
    <w:rsid w:val="00A27AB5"/>
    <w:rsid w:val="00A27FA6"/>
    <w:rsid w:val="00A3251B"/>
    <w:rsid w:val="00A331F5"/>
    <w:rsid w:val="00A34D30"/>
    <w:rsid w:val="00A34EE3"/>
    <w:rsid w:val="00A36EB9"/>
    <w:rsid w:val="00A41010"/>
    <w:rsid w:val="00A42064"/>
    <w:rsid w:val="00A424AC"/>
    <w:rsid w:val="00A42E16"/>
    <w:rsid w:val="00A433AA"/>
    <w:rsid w:val="00A4567E"/>
    <w:rsid w:val="00A458BD"/>
    <w:rsid w:val="00A5399E"/>
    <w:rsid w:val="00A57FB3"/>
    <w:rsid w:val="00A60DA6"/>
    <w:rsid w:val="00A61B05"/>
    <w:rsid w:val="00A620CE"/>
    <w:rsid w:val="00A623C8"/>
    <w:rsid w:val="00A629A8"/>
    <w:rsid w:val="00A64F55"/>
    <w:rsid w:val="00A6537A"/>
    <w:rsid w:val="00A6608A"/>
    <w:rsid w:val="00A66929"/>
    <w:rsid w:val="00A67AE8"/>
    <w:rsid w:val="00A7023E"/>
    <w:rsid w:val="00A70EDD"/>
    <w:rsid w:val="00A71CAA"/>
    <w:rsid w:val="00A74CB1"/>
    <w:rsid w:val="00A762EA"/>
    <w:rsid w:val="00A802F7"/>
    <w:rsid w:val="00A8182A"/>
    <w:rsid w:val="00A81DEE"/>
    <w:rsid w:val="00A825A4"/>
    <w:rsid w:val="00A86FB1"/>
    <w:rsid w:val="00A87347"/>
    <w:rsid w:val="00A91D4E"/>
    <w:rsid w:val="00A936A9"/>
    <w:rsid w:val="00A93999"/>
    <w:rsid w:val="00A956BE"/>
    <w:rsid w:val="00AA1387"/>
    <w:rsid w:val="00AA14E7"/>
    <w:rsid w:val="00AA198C"/>
    <w:rsid w:val="00AA282F"/>
    <w:rsid w:val="00AA3685"/>
    <w:rsid w:val="00AA398E"/>
    <w:rsid w:val="00AA6F7B"/>
    <w:rsid w:val="00AB65AA"/>
    <w:rsid w:val="00AB6A7E"/>
    <w:rsid w:val="00AC33C6"/>
    <w:rsid w:val="00AC3F61"/>
    <w:rsid w:val="00AC743C"/>
    <w:rsid w:val="00AD25DA"/>
    <w:rsid w:val="00AD2B7D"/>
    <w:rsid w:val="00AD2B8A"/>
    <w:rsid w:val="00AD39E1"/>
    <w:rsid w:val="00AD72FD"/>
    <w:rsid w:val="00AD780A"/>
    <w:rsid w:val="00AD7937"/>
    <w:rsid w:val="00AE4675"/>
    <w:rsid w:val="00AF0BC9"/>
    <w:rsid w:val="00AF0C2E"/>
    <w:rsid w:val="00AF2E32"/>
    <w:rsid w:val="00AF2E72"/>
    <w:rsid w:val="00AF5EAC"/>
    <w:rsid w:val="00AF6659"/>
    <w:rsid w:val="00AF72EB"/>
    <w:rsid w:val="00B0132A"/>
    <w:rsid w:val="00B05C23"/>
    <w:rsid w:val="00B06155"/>
    <w:rsid w:val="00B06A87"/>
    <w:rsid w:val="00B07EE3"/>
    <w:rsid w:val="00B1293D"/>
    <w:rsid w:val="00B16674"/>
    <w:rsid w:val="00B168DF"/>
    <w:rsid w:val="00B17D38"/>
    <w:rsid w:val="00B201BE"/>
    <w:rsid w:val="00B21985"/>
    <w:rsid w:val="00B236D8"/>
    <w:rsid w:val="00B23E8C"/>
    <w:rsid w:val="00B30F98"/>
    <w:rsid w:val="00B368E3"/>
    <w:rsid w:val="00B377D5"/>
    <w:rsid w:val="00B43B58"/>
    <w:rsid w:val="00B43D1C"/>
    <w:rsid w:val="00B45615"/>
    <w:rsid w:val="00B531FA"/>
    <w:rsid w:val="00B5347F"/>
    <w:rsid w:val="00B56236"/>
    <w:rsid w:val="00B60977"/>
    <w:rsid w:val="00B6224D"/>
    <w:rsid w:val="00B660F1"/>
    <w:rsid w:val="00B66B19"/>
    <w:rsid w:val="00B71770"/>
    <w:rsid w:val="00B77395"/>
    <w:rsid w:val="00B7752A"/>
    <w:rsid w:val="00B77DE1"/>
    <w:rsid w:val="00B8219B"/>
    <w:rsid w:val="00B82DF7"/>
    <w:rsid w:val="00B85D97"/>
    <w:rsid w:val="00B860C6"/>
    <w:rsid w:val="00B878C2"/>
    <w:rsid w:val="00B908CC"/>
    <w:rsid w:val="00B91F36"/>
    <w:rsid w:val="00B93E5F"/>
    <w:rsid w:val="00B958BA"/>
    <w:rsid w:val="00B96E0E"/>
    <w:rsid w:val="00BA1697"/>
    <w:rsid w:val="00BA3031"/>
    <w:rsid w:val="00BA58F1"/>
    <w:rsid w:val="00BB1870"/>
    <w:rsid w:val="00BB2140"/>
    <w:rsid w:val="00BB3885"/>
    <w:rsid w:val="00BB4FFF"/>
    <w:rsid w:val="00BC1AAE"/>
    <w:rsid w:val="00BC5B21"/>
    <w:rsid w:val="00BC741B"/>
    <w:rsid w:val="00BD1A06"/>
    <w:rsid w:val="00BD60D1"/>
    <w:rsid w:val="00BE2224"/>
    <w:rsid w:val="00BE33E3"/>
    <w:rsid w:val="00BE38AE"/>
    <w:rsid w:val="00BE788A"/>
    <w:rsid w:val="00BF06A5"/>
    <w:rsid w:val="00BF07BD"/>
    <w:rsid w:val="00BF1E91"/>
    <w:rsid w:val="00BF2BEC"/>
    <w:rsid w:val="00BF34C6"/>
    <w:rsid w:val="00C011AF"/>
    <w:rsid w:val="00C01FF9"/>
    <w:rsid w:val="00C0292E"/>
    <w:rsid w:val="00C02B77"/>
    <w:rsid w:val="00C04B0E"/>
    <w:rsid w:val="00C050C9"/>
    <w:rsid w:val="00C05564"/>
    <w:rsid w:val="00C111B6"/>
    <w:rsid w:val="00C11FD9"/>
    <w:rsid w:val="00C126BD"/>
    <w:rsid w:val="00C14F08"/>
    <w:rsid w:val="00C16987"/>
    <w:rsid w:val="00C174FD"/>
    <w:rsid w:val="00C17582"/>
    <w:rsid w:val="00C240DF"/>
    <w:rsid w:val="00C24A03"/>
    <w:rsid w:val="00C25A16"/>
    <w:rsid w:val="00C30467"/>
    <w:rsid w:val="00C326EF"/>
    <w:rsid w:val="00C34A71"/>
    <w:rsid w:val="00C35AE6"/>
    <w:rsid w:val="00C35F34"/>
    <w:rsid w:val="00C41579"/>
    <w:rsid w:val="00C42613"/>
    <w:rsid w:val="00C47882"/>
    <w:rsid w:val="00C47E74"/>
    <w:rsid w:val="00C51AAE"/>
    <w:rsid w:val="00C523A0"/>
    <w:rsid w:val="00C52450"/>
    <w:rsid w:val="00C540CC"/>
    <w:rsid w:val="00C5440F"/>
    <w:rsid w:val="00C55EC2"/>
    <w:rsid w:val="00C57D91"/>
    <w:rsid w:val="00C62234"/>
    <w:rsid w:val="00C63189"/>
    <w:rsid w:val="00C63194"/>
    <w:rsid w:val="00C63391"/>
    <w:rsid w:val="00C66445"/>
    <w:rsid w:val="00C718CB"/>
    <w:rsid w:val="00C728A3"/>
    <w:rsid w:val="00C74E36"/>
    <w:rsid w:val="00C76854"/>
    <w:rsid w:val="00C76860"/>
    <w:rsid w:val="00C76D7D"/>
    <w:rsid w:val="00C77169"/>
    <w:rsid w:val="00C77411"/>
    <w:rsid w:val="00C808A9"/>
    <w:rsid w:val="00C81F63"/>
    <w:rsid w:val="00C84504"/>
    <w:rsid w:val="00C85248"/>
    <w:rsid w:val="00C860FB"/>
    <w:rsid w:val="00C86412"/>
    <w:rsid w:val="00C8788C"/>
    <w:rsid w:val="00C906EC"/>
    <w:rsid w:val="00C93815"/>
    <w:rsid w:val="00C956DF"/>
    <w:rsid w:val="00C96454"/>
    <w:rsid w:val="00CA268A"/>
    <w:rsid w:val="00CA310C"/>
    <w:rsid w:val="00CA3BFF"/>
    <w:rsid w:val="00CA78DD"/>
    <w:rsid w:val="00CB0D15"/>
    <w:rsid w:val="00CB2503"/>
    <w:rsid w:val="00CB3AFB"/>
    <w:rsid w:val="00CB3C5F"/>
    <w:rsid w:val="00CB4DB9"/>
    <w:rsid w:val="00CB5869"/>
    <w:rsid w:val="00CB6169"/>
    <w:rsid w:val="00CC17D9"/>
    <w:rsid w:val="00CC1878"/>
    <w:rsid w:val="00CC2736"/>
    <w:rsid w:val="00CC57A4"/>
    <w:rsid w:val="00CC5BF0"/>
    <w:rsid w:val="00CD234F"/>
    <w:rsid w:val="00CD35D4"/>
    <w:rsid w:val="00CD3935"/>
    <w:rsid w:val="00CD47FE"/>
    <w:rsid w:val="00CD50F3"/>
    <w:rsid w:val="00CD6D6A"/>
    <w:rsid w:val="00CE3734"/>
    <w:rsid w:val="00CE5308"/>
    <w:rsid w:val="00CE652D"/>
    <w:rsid w:val="00CE6950"/>
    <w:rsid w:val="00CE7BAD"/>
    <w:rsid w:val="00CF0B37"/>
    <w:rsid w:val="00CF3964"/>
    <w:rsid w:val="00CF43E9"/>
    <w:rsid w:val="00CF54B1"/>
    <w:rsid w:val="00CF7049"/>
    <w:rsid w:val="00CF7F6C"/>
    <w:rsid w:val="00D03A71"/>
    <w:rsid w:val="00D03FCE"/>
    <w:rsid w:val="00D10CBB"/>
    <w:rsid w:val="00D116C2"/>
    <w:rsid w:val="00D134CE"/>
    <w:rsid w:val="00D174D6"/>
    <w:rsid w:val="00D17F7A"/>
    <w:rsid w:val="00D20B3F"/>
    <w:rsid w:val="00D21A02"/>
    <w:rsid w:val="00D22B7D"/>
    <w:rsid w:val="00D22F94"/>
    <w:rsid w:val="00D23C1A"/>
    <w:rsid w:val="00D23D6B"/>
    <w:rsid w:val="00D24696"/>
    <w:rsid w:val="00D26A8C"/>
    <w:rsid w:val="00D31952"/>
    <w:rsid w:val="00D31B6A"/>
    <w:rsid w:val="00D32C49"/>
    <w:rsid w:val="00D3360D"/>
    <w:rsid w:val="00D3373C"/>
    <w:rsid w:val="00D34D64"/>
    <w:rsid w:val="00D35B5A"/>
    <w:rsid w:val="00D41AFC"/>
    <w:rsid w:val="00D42786"/>
    <w:rsid w:val="00D42997"/>
    <w:rsid w:val="00D43327"/>
    <w:rsid w:val="00D4639A"/>
    <w:rsid w:val="00D52B3B"/>
    <w:rsid w:val="00D52E36"/>
    <w:rsid w:val="00D53175"/>
    <w:rsid w:val="00D552FC"/>
    <w:rsid w:val="00D55FD3"/>
    <w:rsid w:val="00D6094C"/>
    <w:rsid w:val="00D64CC5"/>
    <w:rsid w:val="00D65172"/>
    <w:rsid w:val="00D657DA"/>
    <w:rsid w:val="00D66078"/>
    <w:rsid w:val="00D71AF1"/>
    <w:rsid w:val="00D7243B"/>
    <w:rsid w:val="00D75DBC"/>
    <w:rsid w:val="00D77480"/>
    <w:rsid w:val="00D77C4E"/>
    <w:rsid w:val="00D818EF"/>
    <w:rsid w:val="00D85A41"/>
    <w:rsid w:val="00D9037D"/>
    <w:rsid w:val="00D905E4"/>
    <w:rsid w:val="00D90FD8"/>
    <w:rsid w:val="00D912C4"/>
    <w:rsid w:val="00D964BA"/>
    <w:rsid w:val="00D96639"/>
    <w:rsid w:val="00DA0FCE"/>
    <w:rsid w:val="00DA332F"/>
    <w:rsid w:val="00DA4E0C"/>
    <w:rsid w:val="00DA6164"/>
    <w:rsid w:val="00DA660D"/>
    <w:rsid w:val="00DA69F5"/>
    <w:rsid w:val="00DA781B"/>
    <w:rsid w:val="00DA78BC"/>
    <w:rsid w:val="00DB018C"/>
    <w:rsid w:val="00DB1590"/>
    <w:rsid w:val="00DB17C0"/>
    <w:rsid w:val="00DB1ECF"/>
    <w:rsid w:val="00DB42AA"/>
    <w:rsid w:val="00DB4489"/>
    <w:rsid w:val="00DB611A"/>
    <w:rsid w:val="00DB7D1C"/>
    <w:rsid w:val="00DC027A"/>
    <w:rsid w:val="00DC0AD9"/>
    <w:rsid w:val="00DD3CD4"/>
    <w:rsid w:val="00DD3D0C"/>
    <w:rsid w:val="00DE0AE6"/>
    <w:rsid w:val="00DE3255"/>
    <w:rsid w:val="00DE33D6"/>
    <w:rsid w:val="00DE41F0"/>
    <w:rsid w:val="00DE6F54"/>
    <w:rsid w:val="00DE76DE"/>
    <w:rsid w:val="00DF19AC"/>
    <w:rsid w:val="00DF1F5C"/>
    <w:rsid w:val="00DF4CBA"/>
    <w:rsid w:val="00DF74C5"/>
    <w:rsid w:val="00E00E1B"/>
    <w:rsid w:val="00E02B6E"/>
    <w:rsid w:val="00E02C94"/>
    <w:rsid w:val="00E036CF"/>
    <w:rsid w:val="00E05230"/>
    <w:rsid w:val="00E13867"/>
    <w:rsid w:val="00E13A1D"/>
    <w:rsid w:val="00E145E9"/>
    <w:rsid w:val="00E15197"/>
    <w:rsid w:val="00E156EB"/>
    <w:rsid w:val="00E15F96"/>
    <w:rsid w:val="00E17D8F"/>
    <w:rsid w:val="00E20394"/>
    <w:rsid w:val="00E22730"/>
    <w:rsid w:val="00E23510"/>
    <w:rsid w:val="00E25969"/>
    <w:rsid w:val="00E25D6D"/>
    <w:rsid w:val="00E26023"/>
    <w:rsid w:val="00E303AF"/>
    <w:rsid w:val="00E3483D"/>
    <w:rsid w:val="00E34CF6"/>
    <w:rsid w:val="00E36B92"/>
    <w:rsid w:val="00E41E62"/>
    <w:rsid w:val="00E50CC7"/>
    <w:rsid w:val="00E51266"/>
    <w:rsid w:val="00E53D8B"/>
    <w:rsid w:val="00E53F2D"/>
    <w:rsid w:val="00E54481"/>
    <w:rsid w:val="00E54DAA"/>
    <w:rsid w:val="00E55495"/>
    <w:rsid w:val="00E57643"/>
    <w:rsid w:val="00E57A0B"/>
    <w:rsid w:val="00E601F7"/>
    <w:rsid w:val="00E61C63"/>
    <w:rsid w:val="00E6357E"/>
    <w:rsid w:val="00E636AA"/>
    <w:rsid w:val="00E63CD1"/>
    <w:rsid w:val="00E70825"/>
    <w:rsid w:val="00E74B92"/>
    <w:rsid w:val="00E75408"/>
    <w:rsid w:val="00E75CD5"/>
    <w:rsid w:val="00E760EA"/>
    <w:rsid w:val="00E76BF1"/>
    <w:rsid w:val="00E77851"/>
    <w:rsid w:val="00E81456"/>
    <w:rsid w:val="00E82176"/>
    <w:rsid w:val="00E850F2"/>
    <w:rsid w:val="00E856A5"/>
    <w:rsid w:val="00E858B8"/>
    <w:rsid w:val="00E8735B"/>
    <w:rsid w:val="00E87D02"/>
    <w:rsid w:val="00E925ED"/>
    <w:rsid w:val="00E927E5"/>
    <w:rsid w:val="00E940B8"/>
    <w:rsid w:val="00E9464F"/>
    <w:rsid w:val="00E94884"/>
    <w:rsid w:val="00E97013"/>
    <w:rsid w:val="00EA240C"/>
    <w:rsid w:val="00EA6B5D"/>
    <w:rsid w:val="00EA6CD4"/>
    <w:rsid w:val="00EA788F"/>
    <w:rsid w:val="00EA7CD3"/>
    <w:rsid w:val="00EB0DEE"/>
    <w:rsid w:val="00EB2097"/>
    <w:rsid w:val="00EB5FCB"/>
    <w:rsid w:val="00EB6F17"/>
    <w:rsid w:val="00EB7646"/>
    <w:rsid w:val="00EB7A67"/>
    <w:rsid w:val="00EC11C4"/>
    <w:rsid w:val="00EC1DC1"/>
    <w:rsid w:val="00EC280B"/>
    <w:rsid w:val="00EC74A7"/>
    <w:rsid w:val="00ED0FE2"/>
    <w:rsid w:val="00ED1692"/>
    <w:rsid w:val="00ED2946"/>
    <w:rsid w:val="00ED29A0"/>
    <w:rsid w:val="00ED2BB7"/>
    <w:rsid w:val="00ED7A05"/>
    <w:rsid w:val="00EE0437"/>
    <w:rsid w:val="00EE0EB9"/>
    <w:rsid w:val="00EE1978"/>
    <w:rsid w:val="00EE1A00"/>
    <w:rsid w:val="00EE1F1C"/>
    <w:rsid w:val="00EF0714"/>
    <w:rsid w:val="00EF1A81"/>
    <w:rsid w:val="00EF2ED0"/>
    <w:rsid w:val="00EF2F5C"/>
    <w:rsid w:val="00EF45EB"/>
    <w:rsid w:val="00EF5857"/>
    <w:rsid w:val="00EF5B16"/>
    <w:rsid w:val="00F04A6E"/>
    <w:rsid w:val="00F069C5"/>
    <w:rsid w:val="00F06B7C"/>
    <w:rsid w:val="00F0722B"/>
    <w:rsid w:val="00F07E82"/>
    <w:rsid w:val="00F10C3A"/>
    <w:rsid w:val="00F11A88"/>
    <w:rsid w:val="00F12326"/>
    <w:rsid w:val="00F14BF5"/>
    <w:rsid w:val="00F15A85"/>
    <w:rsid w:val="00F15C35"/>
    <w:rsid w:val="00F1643F"/>
    <w:rsid w:val="00F17E7C"/>
    <w:rsid w:val="00F21838"/>
    <w:rsid w:val="00F24D73"/>
    <w:rsid w:val="00F253FD"/>
    <w:rsid w:val="00F25916"/>
    <w:rsid w:val="00F334D0"/>
    <w:rsid w:val="00F44665"/>
    <w:rsid w:val="00F44D75"/>
    <w:rsid w:val="00F51A85"/>
    <w:rsid w:val="00F523B0"/>
    <w:rsid w:val="00F554DB"/>
    <w:rsid w:val="00F573D1"/>
    <w:rsid w:val="00F606EA"/>
    <w:rsid w:val="00F619C6"/>
    <w:rsid w:val="00F62746"/>
    <w:rsid w:val="00F64581"/>
    <w:rsid w:val="00F76911"/>
    <w:rsid w:val="00F82027"/>
    <w:rsid w:val="00F83930"/>
    <w:rsid w:val="00F84997"/>
    <w:rsid w:val="00F851FE"/>
    <w:rsid w:val="00F861D1"/>
    <w:rsid w:val="00F872C7"/>
    <w:rsid w:val="00F94D6A"/>
    <w:rsid w:val="00F95C27"/>
    <w:rsid w:val="00F97B1F"/>
    <w:rsid w:val="00F97CCA"/>
    <w:rsid w:val="00FA13A5"/>
    <w:rsid w:val="00FA5122"/>
    <w:rsid w:val="00FA5336"/>
    <w:rsid w:val="00FA7EE4"/>
    <w:rsid w:val="00FB0F95"/>
    <w:rsid w:val="00FB12E7"/>
    <w:rsid w:val="00FB2282"/>
    <w:rsid w:val="00FB42CF"/>
    <w:rsid w:val="00FB502D"/>
    <w:rsid w:val="00FB60F0"/>
    <w:rsid w:val="00FB74B0"/>
    <w:rsid w:val="00FC03D2"/>
    <w:rsid w:val="00FC1CF3"/>
    <w:rsid w:val="00FC2F7A"/>
    <w:rsid w:val="00FC31BE"/>
    <w:rsid w:val="00FC4273"/>
    <w:rsid w:val="00FC4520"/>
    <w:rsid w:val="00FC48AB"/>
    <w:rsid w:val="00FC48B7"/>
    <w:rsid w:val="00FC50BF"/>
    <w:rsid w:val="00FC52B8"/>
    <w:rsid w:val="00FC567C"/>
    <w:rsid w:val="00FC7AF1"/>
    <w:rsid w:val="00FD0DF9"/>
    <w:rsid w:val="00FD2CDC"/>
    <w:rsid w:val="00FD3CF6"/>
    <w:rsid w:val="00FD4554"/>
    <w:rsid w:val="00FD4C4B"/>
    <w:rsid w:val="00FE38D9"/>
    <w:rsid w:val="00FE5C07"/>
    <w:rsid w:val="00FE5F2C"/>
    <w:rsid w:val="00FE6896"/>
    <w:rsid w:val="00FE7090"/>
    <w:rsid w:val="00FF06CE"/>
    <w:rsid w:val="00FF0D29"/>
    <w:rsid w:val="00FF2173"/>
    <w:rsid w:val="00FF49EA"/>
    <w:rsid w:val="00FF61F8"/>
    <w:rsid w:val="00FF69BB"/>
    <w:rsid w:val="00FF72E4"/>
    <w:rsid w:val="00FF7FB7"/>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clear" w:pos="1148"/>
        <w:tab w:val="num"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862"/>
      <w:jc w:val="both"/>
      <w:outlineLvl w:val="0"/>
    </w:pPr>
    <w:rPr>
      <w:rFonts w:ascii="Arial" w:hAnsi="Arial"/>
      <w:kern w:val="25"/>
      <w:sz w:val="24"/>
      <w:lang w:eastAsia="en-US"/>
    </w:rPr>
  </w:style>
  <w:style w:type="paragraph" w:styleId="Heading2">
    <w:name w:val="heading 2"/>
    <w:basedOn w:val="Heading1"/>
    <w:qFormat/>
    <w:rsid w:val="00D905E4"/>
    <w:pPr>
      <w:numPr>
        <w:ilvl w:val="1"/>
      </w:numPr>
      <w:tabs>
        <w:tab w:val="clear" w:pos="1873"/>
      </w:tabs>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1">
    <w:name w:val="Unresolved Mention1"/>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 w:type="paragraph" w:styleId="Revision">
    <w:name w:val="Revision"/>
    <w:hidden/>
    <w:uiPriority w:val="99"/>
    <w:semiHidden/>
    <w:rsid w:val="006C01C1"/>
    <w:rPr>
      <w:rFonts w:ascii="Arial" w:hAnsi="Arial"/>
      <w:kern w:val="25"/>
      <w:sz w:val="24"/>
      <w:lang w:eastAsia="en-US"/>
    </w:rPr>
  </w:style>
  <w:style w:type="paragraph" w:styleId="NormalWeb">
    <w:name w:val="Normal (Web)"/>
    <w:basedOn w:val="Normal"/>
    <w:uiPriority w:val="99"/>
    <w:semiHidden/>
    <w:unhideWhenUsed/>
    <w:rsid w:val="008759F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ZA"/>
    </w:rPr>
  </w:style>
  <w:style w:type="table" w:styleId="TableGrid">
    <w:name w:val="Table Grid"/>
    <w:basedOn w:val="TableNormal"/>
    <w:rsid w:val="002A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1643F"/>
    <w:rPr>
      <w:sz w:val="16"/>
      <w:szCs w:val="16"/>
    </w:rPr>
  </w:style>
  <w:style w:type="paragraph" w:styleId="CommentText">
    <w:name w:val="annotation text"/>
    <w:basedOn w:val="Normal"/>
    <w:link w:val="CommentTextChar"/>
    <w:unhideWhenUsed/>
    <w:rsid w:val="00F1643F"/>
    <w:pPr>
      <w:spacing w:line="240" w:lineRule="auto"/>
    </w:pPr>
    <w:rPr>
      <w:sz w:val="20"/>
    </w:rPr>
  </w:style>
  <w:style w:type="character" w:customStyle="1" w:styleId="CommentTextChar">
    <w:name w:val="Comment Text Char"/>
    <w:basedOn w:val="DefaultParagraphFont"/>
    <w:link w:val="CommentText"/>
    <w:rsid w:val="00F1643F"/>
    <w:rPr>
      <w:rFonts w:ascii="Arial" w:hAnsi="Arial"/>
      <w:kern w:val="25"/>
      <w:lang w:eastAsia="en-US"/>
    </w:rPr>
  </w:style>
  <w:style w:type="paragraph" w:styleId="CommentSubject">
    <w:name w:val="annotation subject"/>
    <w:basedOn w:val="CommentText"/>
    <w:next w:val="CommentText"/>
    <w:link w:val="CommentSubjectChar"/>
    <w:semiHidden/>
    <w:unhideWhenUsed/>
    <w:rsid w:val="00F1643F"/>
    <w:rPr>
      <w:b/>
      <w:bCs/>
    </w:rPr>
  </w:style>
  <w:style w:type="character" w:customStyle="1" w:styleId="CommentSubjectChar">
    <w:name w:val="Comment Subject Char"/>
    <w:basedOn w:val="CommentTextChar"/>
    <w:link w:val="CommentSubject"/>
    <w:semiHidden/>
    <w:rsid w:val="00F1643F"/>
    <w:rPr>
      <w:rFonts w:ascii="Arial" w:hAnsi="Arial"/>
      <w:b/>
      <w:bCs/>
      <w:kern w:val="25"/>
      <w:lang w:eastAsia="en-US"/>
    </w:rPr>
  </w:style>
  <w:style w:type="character" w:customStyle="1" w:styleId="JudgmentNumberedChar">
    <w:name w:val="Judgment Numbered Char"/>
    <w:basedOn w:val="DefaultParagraphFont"/>
    <w:link w:val="JudgmentNumbered"/>
    <w:locked/>
    <w:rsid w:val="00D03FCE"/>
    <w:rPr>
      <w:rFonts w:ascii="Arial" w:hAnsi="Arial" w:cs="Arial"/>
      <w:sz w:val="24"/>
      <w:lang w:val="en-GB"/>
    </w:rPr>
  </w:style>
  <w:style w:type="paragraph" w:customStyle="1" w:styleId="JudgmentNumbered">
    <w:name w:val="Judgment Numbered"/>
    <w:basedOn w:val="Normal"/>
    <w:link w:val="JudgmentNumberedChar"/>
    <w:qFormat/>
    <w:rsid w:val="00D03FCE"/>
    <w:pPr>
      <w:widowControl/>
      <w:numPr>
        <w:numId w:val="44"/>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240"/>
      <w:ind w:left="567"/>
    </w:pPr>
    <w:rPr>
      <w:rFonts w:cs="Arial"/>
      <w:kern w:val="0"/>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516008">
      <w:bodyDiv w:val="1"/>
      <w:marLeft w:val="0"/>
      <w:marRight w:val="0"/>
      <w:marTop w:val="0"/>
      <w:marBottom w:val="0"/>
      <w:divBdr>
        <w:top w:val="none" w:sz="0" w:space="0" w:color="auto"/>
        <w:left w:val="none" w:sz="0" w:space="0" w:color="auto"/>
        <w:bottom w:val="none" w:sz="0" w:space="0" w:color="auto"/>
        <w:right w:val="none" w:sz="0" w:space="0" w:color="auto"/>
      </w:divBdr>
    </w:div>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764571026">
      <w:bodyDiv w:val="1"/>
      <w:marLeft w:val="0"/>
      <w:marRight w:val="0"/>
      <w:marTop w:val="0"/>
      <w:marBottom w:val="0"/>
      <w:divBdr>
        <w:top w:val="none" w:sz="0" w:space="0" w:color="auto"/>
        <w:left w:val="none" w:sz="0" w:space="0" w:color="auto"/>
        <w:bottom w:val="none" w:sz="0" w:space="0" w:color="auto"/>
        <w:right w:val="none" w:sz="0" w:space="0" w:color="auto"/>
      </w:divBdr>
    </w:div>
    <w:div w:id="886530121">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005981464">
      <w:bodyDiv w:val="1"/>
      <w:marLeft w:val="0"/>
      <w:marRight w:val="0"/>
      <w:marTop w:val="0"/>
      <w:marBottom w:val="0"/>
      <w:divBdr>
        <w:top w:val="none" w:sz="0" w:space="0" w:color="auto"/>
        <w:left w:val="none" w:sz="0" w:space="0" w:color="auto"/>
        <w:bottom w:val="none" w:sz="0" w:space="0" w:color="auto"/>
        <w:right w:val="none" w:sz="0" w:space="0" w:color="auto"/>
      </w:divBdr>
    </w:div>
    <w:div w:id="1018046954">
      <w:bodyDiv w:val="1"/>
      <w:marLeft w:val="0"/>
      <w:marRight w:val="0"/>
      <w:marTop w:val="0"/>
      <w:marBottom w:val="0"/>
      <w:divBdr>
        <w:top w:val="none" w:sz="0" w:space="0" w:color="auto"/>
        <w:left w:val="none" w:sz="0" w:space="0" w:color="auto"/>
        <w:bottom w:val="none" w:sz="0" w:space="0" w:color="auto"/>
        <w:right w:val="none" w:sz="0" w:space="0" w:color="auto"/>
      </w:divBdr>
    </w:div>
    <w:div w:id="1058749486">
      <w:bodyDiv w:val="1"/>
      <w:marLeft w:val="0"/>
      <w:marRight w:val="0"/>
      <w:marTop w:val="0"/>
      <w:marBottom w:val="0"/>
      <w:divBdr>
        <w:top w:val="none" w:sz="0" w:space="0" w:color="auto"/>
        <w:left w:val="none" w:sz="0" w:space="0" w:color="auto"/>
        <w:bottom w:val="none" w:sz="0" w:space="0" w:color="auto"/>
        <w:right w:val="none" w:sz="0" w:space="0" w:color="auto"/>
      </w:divBdr>
    </w:div>
    <w:div w:id="1228808694">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36560782">
      <w:bodyDiv w:val="1"/>
      <w:marLeft w:val="0"/>
      <w:marRight w:val="0"/>
      <w:marTop w:val="0"/>
      <w:marBottom w:val="0"/>
      <w:divBdr>
        <w:top w:val="none" w:sz="0" w:space="0" w:color="auto"/>
        <w:left w:val="none" w:sz="0" w:space="0" w:color="auto"/>
        <w:bottom w:val="none" w:sz="0" w:space="0" w:color="auto"/>
        <w:right w:val="none" w:sz="0" w:space="0" w:color="auto"/>
      </w:divBdr>
    </w:div>
    <w:div w:id="1598901097">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 w:id="1752661059">
      <w:bodyDiv w:val="1"/>
      <w:marLeft w:val="0"/>
      <w:marRight w:val="0"/>
      <w:marTop w:val="0"/>
      <w:marBottom w:val="0"/>
      <w:divBdr>
        <w:top w:val="none" w:sz="0" w:space="0" w:color="auto"/>
        <w:left w:val="none" w:sz="0" w:space="0" w:color="auto"/>
        <w:bottom w:val="none" w:sz="0" w:space="0" w:color="auto"/>
        <w:right w:val="none" w:sz="0" w:space="0" w:color="auto"/>
      </w:divBdr>
    </w:div>
    <w:div w:id="1779566946">
      <w:bodyDiv w:val="1"/>
      <w:marLeft w:val="0"/>
      <w:marRight w:val="0"/>
      <w:marTop w:val="0"/>
      <w:marBottom w:val="0"/>
      <w:divBdr>
        <w:top w:val="none" w:sz="0" w:space="0" w:color="auto"/>
        <w:left w:val="none" w:sz="0" w:space="0" w:color="auto"/>
        <w:bottom w:val="none" w:sz="0" w:space="0" w:color="auto"/>
        <w:right w:val="none" w:sz="0" w:space="0" w:color="auto"/>
      </w:divBdr>
    </w:div>
    <w:div w:id="1875731265">
      <w:bodyDiv w:val="1"/>
      <w:marLeft w:val="0"/>
      <w:marRight w:val="0"/>
      <w:marTop w:val="0"/>
      <w:marBottom w:val="0"/>
      <w:divBdr>
        <w:top w:val="none" w:sz="0" w:space="0" w:color="auto"/>
        <w:left w:val="none" w:sz="0" w:space="0" w:color="auto"/>
        <w:bottom w:val="none" w:sz="0" w:space="0" w:color="auto"/>
        <w:right w:val="none" w:sz="0" w:space="0" w:color="auto"/>
      </w:divBdr>
    </w:div>
    <w:div w:id="1954163634">
      <w:bodyDiv w:val="1"/>
      <w:marLeft w:val="0"/>
      <w:marRight w:val="0"/>
      <w:marTop w:val="0"/>
      <w:marBottom w:val="0"/>
      <w:divBdr>
        <w:top w:val="none" w:sz="0" w:space="0" w:color="auto"/>
        <w:left w:val="none" w:sz="0" w:space="0" w:color="auto"/>
        <w:bottom w:val="none" w:sz="0" w:space="0" w:color="auto"/>
        <w:right w:val="none" w:sz="0" w:space="0" w:color="auto"/>
      </w:divBdr>
    </w:div>
    <w:div w:id="2004237623">
      <w:bodyDiv w:val="1"/>
      <w:marLeft w:val="0"/>
      <w:marRight w:val="0"/>
      <w:marTop w:val="0"/>
      <w:marBottom w:val="0"/>
      <w:divBdr>
        <w:top w:val="none" w:sz="0" w:space="0" w:color="auto"/>
        <w:left w:val="none" w:sz="0" w:space="0" w:color="auto"/>
        <w:bottom w:val="none" w:sz="0" w:space="0" w:color="auto"/>
        <w:right w:val="none" w:sz="0" w:space="0" w:color="auto"/>
      </w:divBdr>
    </w:div>
    <w:div w:id="20665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encewsnyders@rsabar.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0BF16.DA35A980" TargetMode="External"/><Relationship Id="rId17" Type="http://schemas.openxmlformats.org/officeDocument/2006/relationships/hyperlink" Target="mailto:tim@tjcdunnattorneys.co.za" TargetMode="External"/><Relationship Id="rId2" Type="http://schemas.openxmlformats.org/officeDocument/2006/relationships/customXml" Target="../customXml/item2.xml"/><Relationship Id="rId16" Type="http://schemas.openxmlformats.org/officeDocument/2006/relationships/hyperlink" Target="mailto:clement@maakecminc.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maakecminc.co.z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akeclement.attorney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8B3D5D94F83D46ABDB3701E2435B0B" ma:contentTypeVersion="12" ma:contentTypeDescription="Create a new document." ma:contentTypeScope="" ma:versionID="27d32e31abaad9d7a1bd36e838fa547c">
  <xsd:schema xmlns:xsd="http://www.w3.org/2001/XMLSchema" xmlns:xs="http://www.w3.org/2001/XMLSchema" xmlns:p="http://schemas.microsoft.com/office/2006/metadata/properties" xmlns:ns3="878d6b55-5a08-4f4a-9da9-3195d7442ae1" targetNamespace="http://schemas.microsoft.com/office/2006/metadata/properties" ma:root="true" ma:fieldsID="53ad1e0388cea423dc3a479f47554f0f" ns3:_="">
    <xsd:import namespace="878d6b55-5a08-4f4a-9da9-3195d7442ae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d6b55-5a08-4f4a-9da9-3195d7442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D20E-3C54-46F2-8E29-509A5F31F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8AF0C-D0F7-4603-9225-9ACDFC3B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d6b55-5a08-4f4a-9da9-3195d7442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D36EC-6EC1-4FF7-8A63-A3A27516B013}">
  <ds:schemaRefs>
    <ds:schemaRef ds:uri="http://schemas.microsoft.com/sharepoint/v3/contenttype/forms"/>
  </ds:schemaRefs>
</ds:datastoreItem>
</file>

<file path=customXml/itemProps4.xml><?xml version="1.0" encoding="utf-8"?>
<ds:datastoreItem xmlns:ds="http://schemas.openxmlformats.org/officeDocument/2006/customXml" ds:itemID="{F6CF24BB-3392-44AB-9F8D-0E2AA1B4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SGHC.dotx</Template>
  <TotalTime>1</TotalTime>
  <Pages>18</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sathish sarshan  mohan</cp:lastModifiedBy>
  <cp:revision>3</cp:revision>
  <cp:lastPrinted>2021-08-27T15:58:00Z</cp:lastPrinted>
  <dcterms:created xsi:type="dcterms:W3CDTF">2024-06-11T10:14:00Z</dcterms:created>
  <dcterms:modified xsi:type="dcterms:W3CDTF">2024-06-11T17:09:00Z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0x0101001A8B3D5D94F83D46ABDB3701E2435B0B</vt:lpwstr>
  </property>
</Properties>
</file>