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9E173" w14:textId="4B3593D3" w:rsidR="00BD5A11" w:rsidRPr="00FD553A" w:rsidRDefault="00BD5A11" w:rsidP="00BD5A11">
      <w:pPr>
        <w:pStyle w:val="LegalTitle"/>
        <w:spacing w:after="0" w:line="360" w:lineRule="auto"/>
        <w:rPr>
          <w:rFonts w:cs="Arial"/>
          <w:b w:val="0"/>
          <w:u w:val="single"/>
        </w:rPr>
      </w:pPr>
      <w:r w:rsidRPr="00FD553A">
        <w:rPr>
          <w:rFonts w:cs="Arial"/>
          <w:b w:val="0"/>
          <w:noProof/>
          <w:lang w:val="en-ZA" w:eastAsia="en-ZA"/>
        </w:rPr>
        <w:drawing>
          <wp:inline distT="0" distB="0" distL="0" distR="0" wp14:anchorId="617FF5FF" wp14:editId="2BF2CC34">
            <wp:extent cx="1536700" cy="1536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a:ln>
                      <a:noFill/>
                    </a:ln>
                  </pic:spPr>
                </pic:pic>
              </a:graphicData>
            </a:graphic>
          </wp:inline>
        </w:drawing>
      </w:r>
    </w:p>
    <w:p w14:paraId="662AED70" w14:textId="379A8AFC" w:rsidR="00BD5A11" w:rsidRPr="00FD553A" w:rsidRDefault="00BD5A11" w:rsidP="00BD5A11">
      <w:pPr>
        <w:pStyle w:val="LegalTitle"/>
        <w:spacing w:after="120" w:line="360" w:lineRule="auto"/>
        <w:rPr>
          <w:rFonts w:cs="Arial"/>
          <w:u w:val="single"/>
        </w:rPr>
      </w:pPr>
      <w:r w:rsidRPr="00FD553A">
        <w:rPr>
          <w:rFonts w:cs="Arial"/>
          <w:u w:val="single"/>
        </w:rPr>
        <w:t>IN THE HIGH COURT OF SOUTH AFRICA</w:t>
      </w:r>
    </w:p>
    <w:p w14:paraId="1DFC4EED" w14:textId="07A9DFF4" w:rsidR="007B3DB5" w:rsidRPr="00FD553A" w:rsidRDefault="00FD553A" w:rsidP="007B3DB5">
      <w:pPr>
        <w:pStyle w:val="LegalTitle"/>
        <w:spacing w:line="360" w:lineRule="auto"/>
        <w:rPr>
          <w:rFonts w:cs="Arial"/>
          <w:u w:val="single"/>
        </w:rPr>
      </w:pPr>
      <w:r w:rsidRPr="00FD553A">
        <w:rPr>
          <w:rFonts w:cs="Arial"/>
          <w:noProof/>
          <w:lang w:val="en-ZA" w:eastAsia="en-ZA"/>
        </w:rPr>
        <mc:AlternateContent>
          <mc:Choice Requires="wps">
            <w:drawing>
              <wp:anchor distT="0" distB="0" distL="114300" distR="114300" simplePos="0" relativeHeight="251659264" behindDoc="0" locked="0" layoutInCell="1" allowOverlap="1" wp14:anchorId="66A2AA98" wp14:editId="6B8E9FD3">
                <wp:simplePos x="0" y="0"/>
                <wp:positionH relativeFrom="column">
                  <wp:posOffset>-226695</wp:posOffset>
                </wp:positionH>
                <wp:positionV relativeFrom="paragraph">
                  <wp:posOffset>466725</wp:posOffset>
                </wp:positionV>
                <wp:extent cx="3253740" cy="847725"/>
                <wp:effectExtent l="0" t="0" r="2286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847725"/>
                        </a:xfrm>
                        <a:prstGeom prst="rect">
                          <a:avLst/>
                        </a:prstGeom>
                        <a:solidFill>
                          <a:srgbClr val="FFFFFF"/>
                        </a:solidFill>
                        <a:ln w="9525">
                          <a:solidFill>
                            <a:srgbClr val="000000"/>
                          </a:solidFill>
                          <a:miter lim="800000"/>
                          <a:headEnd/>
                          <a:tailEnd/>
                        </a:ln>
                      </wps:spPr>
                      <wps:txbx>
                        <w:txbxContent>
                          <w:p w14:paraId="1EB2601E" w14:textId="77777777" w:rsidR="00BD5A11" w:rsidRPr="0038792A" w:rsidRDefault="00BD5A11" w:rsidP="00EC226C">
                            <w:pPr>
                              <w:numPr>
                                <w:ilvl w:val="0"/>
                                <w:numId w:val="5"/>
                              </w:numPr>
                              <w:spacing w:after="0" w:line="240" w:lineRule="auto"/>
                              <w:jc w:val="left"/>
                            </w:pPr>
                            <w:bookmarkStart w:id="0" w:name="_Hlk94082538"/>
                            <w:bookmarkEnd w:id="0"/>
                            <w:r>
                              <w:t xml:space="preserve">REPORTABLE: </w:t>
                            </w:r>
                            <w:r w:rsidRPr="008C535C">
                              <w:rPr>
                                <w:b/>
                                <w:i/>
                              </w:rPr>
                              <w:t>NO</w:t>
                            </w:r>
                          </w:p>
                          <w:p w14:paraId="3C1E348B" w14:textId="77777777" w:rsidR="00BD5A11" w:rsidRPr="0038792A" w:rsidRDefault="00BD5A11" w:rsidP="00EC226C">
                            <w:pPr>
                              <w:numPr>
                                <w:ilvl w:val="0"/>
                                <w:numId w:val="5"/>
                              </w:numPr>
                              <w:spacing w:after="0" w:line="240" w:lineRule="auto"/>
                              <w:jc w:val="left"/>
                            </w:pPr>
                            <w:r w:rsidRPr="0038792A">
                              <w:t xml:space="preserve">OF </w:t>
                            </w:r>
                            <w:r>
                              <w:t xml:space="preserve">INTEREST TO OTHER JUDGES: </w:t>
                            </w:r>
                            <w:r w:rsidRPr="008C535C">
                              <w:rPr>
                                <w:b/>
                                <w:i/>
                              </w:rPr>
                              <w:t>NO</w:t>
                            </w:r>
                          </w:p>
                          <w:p w14:paraId="6DD28392" w14:textId="2C36CB88" w:rsidR="00BD5A11" w:rsidRPr="0038792A" w:rsidRDefault="00BD5A11" w:rsidP="00EC226C">
                            <w:pPr>
                              <w:numPr>
                                <w:ilvl w:val="0"/>
                                <w:numId w:val="5"/>
                              </w:numPr>
                              <w:spacing w:after="120" w:line="240" w:lineRule="auto"/>
                              <w:ind w:left="901"/>
                              <w:jc w:val="left"/>
                            </w:pPr>
                            <w:r w:rsidRPr="0038792A">
                              <w:t xml:space="preserve">REVISED: </w:t>
                            </w:r>
                          </w:p>
                          <w:p w14:paraId="400E7864" w14:textId="19B6FE11" w:rsidR="00BD5A11" w:rsidRDefault="00BD5A11" w:rsidP="00BD5A11">
                            <w:pPr>
                              <w:rPr>
                                <w:sz w:val="28"/>
                                <w:szCs w:val="28"/>
                              </w:rPr>
                            </w:pPr>
                            <w:r w:rsidRPr="00BD5A11">
                              <w:rPr>
                                <w:b/>
                                <w:sz w:val="22"/>
                                <w:szCs w:val="22"/>
                              </w:rPr>
                              <w:t>Date:</w:t>
                            </w:r>
                            <w:r>
                              <w:rPr>
                                <w:sz w:val="22"/>
                                <w:szCs w:val="22"/>
                              </w:rPr>
                              <w:t xml:space="preserve"> </w:t>
                            </w:r>
                            <w:r w:rsidR="00FD553A">
                              <w:rPr>
                                <w:sz w:val="22"/>
                                <w:szCs w:val="22"/>
                              </w:rPr>
                              <w:tab/>
                            </w:r>
                            <w:r w:rsidR="00FD553A">
                              <w:rPr>
                                <w:sz w:val="22"/>
                                <w:szCs w:val="22"/>
                              </w:rPr>
                              <w:tab/>
                            </w:r>
                            <w:r w:rsidR="00FD553A">
                              <w:rPr>
                                <w:sz w:val="22"/>
                                <w:szCs w:val="22"/>
                              </w:rPr>
                              <w:tab/>
                            </w:r>
                            <w:r>
                              <w:rPr>
                                <w:b/>
                                <w:i/>
                                <w:sz w:val="22"/>
                                <w:szCs w:val="22"/>
                              </w:rPr>
                              <w:t xml:space="preserve">    </w:t>
                            </w:r>
                            <w:r w:rsidRPr="0070234A">
                              <w:rPr>
                                <w:b/>
                                <w:i/>
                                <w:sz w:val="22"/>
                                <w:szCs w:val="22"/>
                              </w:rPr>
                              <w:t>Signature</w:t>
                            </w:r>
                            <w:r>
                              <w:rPr>
                                <w:sz w:val="22"/>
                                <w:szCs w:val="22"/>
                              </w:rPr>
                              <w:t xml:space="preserve">: </w:t>
                            </w:r>
                          </w:p>
                          <w:p w14:paraId="062D7404" w14:textId="77777777" w:rsidR="00BD5A11" w:rsidRDefault="00BD5A11" w:rsidP="00BD5A11">
                            <w:pPr>
                              <w:rPr>
                                <w:sz w:val="28"/>
                                <w:szCs w:val="28"/>
                              </w:rPr>
                            </w:pPr>
                            <w:r>
                              <w:rPr>
                                <w:sz w:val="28"/>
                                <w:szCs w:val="28"/>
                              </w:rPr>
                              <w:t>____________________        ____________________</w:t>
                            </w:r>
                          </w:p>
                          <w:p w14:paraId="18C86F35" w14:textId="77777777" w:rsidR="00BD5A11" w:rsidRDefault="00BD5A11" w:rsidP="00BD5A11">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14:paraId="5C5F0F1B" w14:textId="77777777" w:rsidR="00BD5A11" w:rsidRDefault="00BD5A11" w:rsidP="00BD5A11">
                            <w:pPr>
                              <w:rPr>
                                <w:sz w:val="28"/>
                                <w:szCs w:val="28"/>
                              </w:rPr>
                            </w:pPr>
                          </w:p>
                          <w:p w14:paraId="45D36A41" w14:textId="77777777" w:rsidR="00BD5A11" w:rsidRDefault="00BD5A11" w:rsidP="00BD5A11">
                            <w:pPr>
                              <w:rPr>
                                <w:sz w:val="28"/>
                                <w:szCs w:val="28"/>
                              </w:rPr>
                            </w:pPr>
                          </w:p>
                          <w:p w14:paraId="5AA02B95" w14:textId="77777777" w:rsidR="00BD5A11" w:rsidRDefault="00BD5A11" w:rsidP="00BD5A11">
                            <w:pPr>
                              <w:rPr>
                                <w:sz w:val="28"/>
                                <w:szCs w:val="28"/>
                              </w:rPr>
                            </w:pPr>
                          </w:p>
                          <w:p w14:paraId="4DB4E984" w14:textId="77777777" w:rsidR="00BD5A11" w:rsidRPr="009533D5" w:rsidRDefault="00BD5A11" w:rsidP="00BD5A11">
                            <w:pPr>
                              <w:rPr>
                                <w:sz w:val="28"/>
                                <w:szCs w:val="28"/>
                              </w:rPr>
                            </w:pPr>
                          </w:p>
                          <w:p w14:paraId="306F467E" w14:textId="77777777" w:rsidR="00BD5A11" w:rsidRDefault="00BD5A11" w:rsidP="00BD5A11">
                            <w:pPr>
                              <w:rPr>
                                <w:b/>
                              </w:rPr>
                            </w:pPr>
                          </w:p>
                          <w:p w14:paraId="37F02BF0" w14:textId="77777777" w:rsidR="00BD5A11" w:rsidRDefault="00BD5A11" w:rsidP="00BD5A11">
                            <w:pPr>
                              <w:rPr>
                                <w:b/>
                              </w:rPr>
                            </w:pPr>
                          </w:p>
                          <w:p w14:paraId="13D259B3" w14:textId="77777777" w:rsidR="00BD5A11" w:rsidRDefault="00BD5A11" w:rsidP="00BD5A11">
                            <w:pPr>
                              <w:rPr>
                                <w:b/>
                              </w:rPr>
                            </w:pPr>
                          </w:p>
                          <w:p w14:paraId="07C7F4C2" w14:textId="77777777" w:rsidR="00BD5A11" w:rsidRPr="00B93709" w:rsidRDefault="00BD5A11" w:rsidP="00BD5A11">
                            <w:pPr>
                              <w:rPr>
                                <w:b/>
                              </w:rPr>
                            </w:pPr>
                          </w:p>
                          <w:p w14:paraId="1D0569F4" w14:textId="77777777" w:rsidR="00BD5A11" w:rsidRPr="00B93709" w:rsidRDefault="00BD5A11" w:rsidP="00BD5A11">
                            <w:r w:rsidRPr="00B93709">
                              <w:t xml:space="preserve">             </w:t>
                            </w:r>
                            <w:r>
                              <w:t xml:space="preserve">  </w:t>
                            </w:r>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A2AA98" id="_x0000_t202" coordsize="21600,21600" o:spt="202" path="m,l,21600r21600,l21600,xe">
                <v:stroke joinstyle="miter"/>
                <v:path gradientshapeok="t" o:connecttype="rect"/>
              </v:shapetype>
              <v:shape id="Text Box 4" o:spid="_x0000_s1026" type="#_x0000_t202" style="position:absolute;left:0;text-align:left;margin-left:-17.85pt;margin-top:36.75pt;width:256.2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fl4JwIAAFAEAAAOAAAAZHJzL2Uyb0RvYy54bWysVNtu2zAMfR+wfxD0vjhJnaU14hRdugwD&#10;ugvQ7gNkWbaFSaImKbG7ry8lu1l2wR6G+UEQRerw8JDy5nrQihyF8xJMSRezOSXCcKilaUv65WH/&#10;6pISH5ipmQIjSvooPL3evnyx6W0hltCBqoUjCGJ80duSdiHYIss874RmfgZWGHQ24DQLaLo2qx3r&#10;EV2rbDmfv856cLV1wIX3eHo7Ouk24TeN4OFT03gRiCopcgtpdWmt4pptN6xoHbOd5BMN9g8sNJMG&#10;k56gbllg5ODkb1BacgcemjDjoDNoGslFqgGrWcx/qea+Y1akWlAcb08y+f8Hyz8ePzsi65LmlBim&#10;sUUPYgjkDQwkj+r01hcYdG8xLAx4jF1OlXp7B/yrJwZ2HTOtuHEO+k6wGtkt4s3s7OqI4yNI1X+A&#10;GtOwQ4AENDROR+lQDILo2KXHU2ciFY6HF8vVxTpHF0ffZb5eL1cpBSueb1vnwzsBmsRNSR12PqGz&#10;450PkQ0rnkNiMg9K1nupVDJcW+2UI0eGU7JP34T+U5gypC/p1Qpz/x1inr4/QWgZcNyV1FjFKYgV&#10;Uba3pk7DGJhU4x4pKzPpGKUbRQxDNUx9qaB+REUdjGONzxA3HbjvlPQ40iX13w7MCUrUe4NduVrk&#10;UcKQjHy1XqLhzj3VuYcZjlAlDZSM210Y383BOtl2mGmcAwM32MlGJpFjy0dWE28c26T99MTiuzi3&#10;U9SPH8H2CQAA//8DAFBLAwQUAAYACAAAACEALn4xYuAAAAAKAQAADwAAAGRycy9kb3ducmV2Lnht&#10;bEyPwU7DMAyG70i8Q2QkLmhLWLdmlLoTQgKxGwwE16zJ2orEKU3WlbcnnOBo+9Pv7y83k7NsNEPo&#10;PCFczwUwQ7XXHTUIb68PszWwEBVpZT0ZhG8TYFOdn5Wq0P5EL2bcxYalEAqFQmhj7AvOQ90ap8Lc&#10;94bS7eAHp2Iah4brQZ1SuLN8IUTOneoofWhVb+5bU3/ujg5hvXwaP8I2e36v84O9iVdyfPwaEC8v&#10;prtbYNFM8Q+GX/2kDlVy2vsj6cAswixbyYQiyGwFLAFLmafFHmEhpABelfx/heoHAAD//wMAUEsB&#10;Ai0AFAAGAAgAAAAhALaDOJL+AAAA4QEAABMAAAAAAAAAAAAAAAAAAAAAAFtDb250ZW50X1R5cGVz&#10;XS54bWxQSwECLQAUAAYACAAAACEAOP0h/9YAAACUAQAACwAAAAAAAAAAAAAAAAAvAQAAX3JlbHMv&#10;LnJlbHNQSwECLQAUAAYACAAAACEAztH5eCcCAABQBAAADgAAAAAAAAAAAAAAAAAuAgAAZHJzL2Uy&#10;b0RvYy54bWxQSwECLQAUAAYACAAAACEALn4xYuAAAAAKAQAADwAAAAAAAAAAAAAAAACBBAAAZHJz&#10;L2Rvd25yZXYueG1sUEsFBgAAAAAEAAQA8wAAAI4FAAAAAA==&#10;">
                <v:textbox>
                  <w:txbxContent>
                    <w:p w14:paraId="1EB2601E" w14:textId="77777777" w:rsidR="00BD5A11" w:rsidRPr="0038792A" w:rsidRDefault="00BD5A11" w:rsidP="00EC226C">
                      <w:pPr>
                        <w:numPr>
                          <w:ilvl w:val="0"/>
                          <w:numId w:val="5"/>
                        </w:numPr>
                        <w:spacing w:after="0" w:line="240" w:lineRule="auto"/>
                        <w:jc w:val="left"/>
                      </w:pPr>
                      <w:bookmarkStart w:id="1" w:name="_Hlk94082538"/>
                      <w:bookmarkEnd w:id="1"/>
                      <w:r>
                        <w:t xml:space="preserve">REPORTABLE: </w:t>
                      </w:r>
                      <w:r w:rsidRPr="008C535C">
                        <w:rPr>
                          <w:b/>
                          <w:i/>
                        </w:rPr>
                        <w:t>NO</w:t>
                      </w:r>
                    </w:p>
                    <w:p w14:paraId="3C1E348B" w14:textId="77777777" w:rsidR="00BD5A11" w:rsidRPr="0038792A" w:rsidRDefault="00BD5A11" w:rsidP="00EC226C">
                      <w:pPr>
                        <w:numPr>
                          <w:ilvl w:val="0"/>
                          <w:numId w:val="5"/>
                        </w:numPr>
                        <w:spacing w:after="0" w:line="240" w:lineRule="auto"/>
                        <w:jc w:val="left"/>
                      </w:pPr>
                      <w:r w:rsidRPr="0038792A">
                        <w:t xml:space="preserve">OF </w:t>
                      </w:r>
                      <w:r>
                        <w:t xml:space="preserve">INTEREST TO OTHER JUDGES: </w:t>
                      </w:r>
                      <w:r w:rsidRPr="008C535C">
                        <w:rPr>
                          <w:b/>
                          <w:i/>
                        </w:rPr>
                        <w:t>NO</w:t>
                      </w:r>
                    </w:p>
                    <w:p w14:paraId="6DD28392" w14:textId="2C36CB88" w:rsidR="00BD5A11" w:rsidRPr="0038792A" w:rsidRDefault="00BD5A11" w:rsidP="00EC226C">
                      <w:pPr>
                        <w:numPr>
                          <w:ilvl w:val="0"/>
                          <w:numId w:val="5"/>
                        </w:numPr>
                        <w:spacing w:after="120" w:line="240" w:lineRule="auto"/>
                        <w:ind w:left="901"/>
                        <w:jc w:val="left"/>
                      </w:pPr>
                      <w:r w:rsidRPr="0038792A">
                        <w:t xml:space="preserve">REVISED: </w:t>
                      </w:r>
                    </w:p>
                    <w:p w14:paraId="400E7864" w14:textId="19B6FE11" w:rsidR="00BD5A11" w:rsidRDefault="00BD5A11" w:rsidP="00BD5A11">
                      <w:pPr>
                        <w:rPr>
                          <w:sz w:val="28"/>
                          <w:szCs w:val="28"/>
                        </w:rPr>
                      </w:pPr>
                      <w:r w:rsidRPr="00BD5A11">
                        <w:rPr>
                          <w:b/>
                          <w:sz w:val="22"/>
                          <w:szCs w:val="22"/>
                        </w:rPr>
                        <w:t>Date:</w:t>
                      </w:r>
                      <w:r>
                        <w:rPr>
                          <w:sz w:val="22"/>
                          <w:szCs w:val="22"/>
                        </w:rPr>
                        <w:t xml:space="preserve"> </w:t>
                      </w:r>
                      <w:r w:rsidR="00FD553A">
                        <w:rPr>
                          <w:sz w:val="22"/>
                          <w:szCs w:val="22"/>
                        </w:rPr>
                        <w:tab/>
                      </w:r>
                      <w:r w:rsidR="00FD553A">
                        <w:rPr>
                          <w:sz w:val="22"/>
                          <w:szCs w:val="22"/>
                        </w:rPr>
                        <w:tab/>
                      </w:r>
                      <w:r w:rsidR="00FD553A">
                        <w:rPr>
                          <w:sz w:val="22"/>
                          <w:szCs w:val="22"/>
                        </w:rPr>
                        <w:tab/>
                      </w:r>
                      <w:r>
                        <w:rPr>
                          <w:b/>
                          <w:i/>
                          <w:sz w:val="22"/>
                          <w:szCs w:val="22"/>
                        </w:rPr>
                        <w:t xml:space="preserve">    </w:t>
                      </w:r>
                      <w:r w:rsidRPr="0070234A">
                        <w:rPr>
                          <w:b/>
                          <w:i/>
                          <w:sz w:val="22"/>
                          <w:szCs w:val="22"/>
                        </w:rPr>
                        <w:t>Signature</w:t>
                      </w:r>
                      <w:r>
                        <w:rPr>
                          <w:sz w:val="22"/>
                          <w:szCs w:val="22"/>
                        </w:rPr>
                        <w:t xml:space="preserve">: </w:t>
                      </w:r>
                    </w:p>
                    <w:p w14:paraId="062D7404" w14:textId="77777777" w:rsidR="00BD5A11" w:rsidRDefault="00BD5A11" w:rsidP="00BD5A11">
                      <w:pPr>
                        <w:rPr>
                          <w:sz w:val="28"/>
                          <w:szCs w:val="28"/>
                        </w:rPr>
                      </w:pPr>
                      <w:r>
                        <w:rPr>
                          <w:sz w:val="28"/>
                          <w:szCs w:val="28"/>
                        </w:rPr>
                        <w:t>____________________        ____________________</w:t>
                      </w:r>
                    </w:p>
                    <w:p w14:paraId="18C86F35" w14:textId="77777777" w:rsidR="00BD5A11" w:rsidRDefault="00BD5A11" w:rsidP="00BD5A11">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14:paraId="5C5F0F1B" w14:textId="77777777" w:rsidR="00BD5A11" w:rsidRDefault="00BD5A11" w:rsidP="00BD5A11">
                      <w:pPr>
                        <w:rPr>
                          <w:sz w:val="28"/>
                          <w:szCs w:val="28"/>
                        </w:rPr>
                      </w:pPr>
                    </w:p>
                    <w:p w14:paraId="45D36A41" w14:textId="77777777" w:rsidR="00BD5A11" w:rsidRDefault="00BD5A11" w:rsidP="00BD5A11">
                      <w:pPr>
                        <w:rPr>
                          <w:sz w:val="28"/>
                          <w:szCs w:val="28"/>
                        </w:rPr>
                      </w:pPr>
                    </w:p>
                    <w:p w14:paraId="5AA02B95" w14:textId="77777777" w:rsidR="00BD5A11" w:rsidRDefault="00BD5A11" w:rsidP="00BD5A11">
                      <w:pPr>
                        <w:rPr>
                          <w:sz w:val="28"/>
                          <w:szCs w:val="28"/>
                        </w:rPr>
                      </w:pPr>
                    </w:p>
                    <w:p w14:paraId="4DB4E984" w14:textId="77777777" w:rsidR="00BD5A11" w:rsidRPr="009533D5" w:rsidRDefault="00BD5A11" w:rsidP="00BD5A11">
                      <w:pPr>
                        <w:rPr>
                          <w:sz w:val="28"/>
                          <w:szCs w:val="28"/>
                        </w:rPr>
                      </w:pPr>
                    </w:p>
                    <w:p w14:paraId="306F467E" w14:textId="77777777" w:rsidR="00BD5A11" w:rsidRDefault="00BD5A11" w:rsidP="00BD5A11">
                      <w:pPr>
                        <w:rPr>
                          <w:b/>
                        </w:rPr>
                      </w:pPr>
                    </w:p>
                    <w:p w14:paraId="37F02BF0" w14:textId="77777777" w:rsidR="00BD5A11" w:rsidRDefault="00BD5A11" w:rsidP="00BD5A11">
                      <w:pPr>
                        <w:rPr>
                          <w:b/>
                        </w:rPr>
                      </w:pPr>
                    </w:p>
                    <w:p w14:paraId="13D259B3" w14:textId="77777777" w:rsidR="00BD5A11" w:rsidRDefault="00BD5A11" w:rsidP="00BD5A11">
                      <w:pPr>
                        <w:rPr>
                          <w:b/>
                        </w:rPr>
                      </w:pPr>
                    </w:p>
                    <w:p w14:paraId="07C7F4C2" w14:textId="77777777" w:rsidR="00BD5A11" w:rsidRPr="00B93709" w:rsidRDefault="00BD5A11" w:rsidP="00BD5A11">
                      <w:pPr>
                        <w:rPr>
                          <w:b/>
                        </w:rPr>
                      </w:pPr>
                    </w:p>
                    <w:p w14:paraId="1D0569F4" w14:textId="77777777" w:rsidR="00BD5A11" w:rsidRPr="00B93709" w:rsidRDefault="00BD5A11" w:rsidP="00BD5A11">
                      <w:r w:rsidRPr="00B93709">
                        <w:t xml:space="preserve">             </w:t>
                      </w:r>
                      <w:r>
                        <w:t xml:space="preserve">  </w:t>
                      </w:r>
                      <w:r>
                        <w:tab/>
                      </w:r>
                      <w:r>
                        <w:tab/>
                        <w:t xml:space="preserve">      </w:t>
                      </w:r>
                    </w:p>
                  </w:txbxContent>
                </v:textbox>
              </v:shape>
            </w:pict>
          </mc:Fallback>
        </mc:AlternateContent>
      </w:r>
      <w:r w:rsidR="00BD5A11" w:rsidRPr="00FD553A">
        <w:rPr>
          <w:rFonts w:cs="Arial"/>
          <w:u w:val="single"/>
        </w:rPr>
        <w:t>GAUTENG LOCAL DIVISION, JOHANNES</w:t>
      </w:r>
      <w:bookmarkStart w:id="1" w:name="_Hlk94081611"/>
      <w:bookmarkEnd w:id="1"/>
      <w:r w:rsidR="007B3DB5" w:rsidRPr="00FD553A">
        <w:rPr>
          <w:rFonts w:cs="Arial"/>
          <w:u w:val="single"/>
        </w:rPr>
        <w:t>burg</w:t>
      </w:r>
    </w:p>
    <w:p w14:paraId="736CAC97" w14:textId="5F16C5A9" w:rsidR="007B3DB5" w:rsidRPr="00FD553A" w:rsidRDefault="007B3DB5" w:rsidP="007B3DB5">
      <w:pPr>
        <w:spacing w:after="0" w:line="240" w:lineRule="auto"/>
        <w:jc w:val="center"/>
        <w:rPr>
          <w:rFonts w:ascii="Arial" w:hAnsi="Arial" w:cs="Arial"/>
          <w:bCs/>
          <w:sz w:val="24"/>
          <w:szCs w:val="24"/>
        </w:rPr>
      </w:pPr>
    </w:p>
    <w:p w14:paraId="4F798B6A" w14:textId="5DB46682" w:rsidR="007B3DB5" w:rsidRPr="00FD553A" w:rsidRDefault="007B3DB5" w:rsidP="00E11733">
      <w:pPr>
        <w:spacing w:after="0"/>
        <w:jc w:val="center"/>
        <w:rPr>
          <w:rFonts w:ascii="Arial" w:hAnsi="Arial" w:cs="Arial"/>
          <w:bCs/>
          <w:sz w:val="24"/>
          <w:szCs w:val="24"/>
        </w:rPr>
      </w:pPr>
      <w:r w:rsidRPr="00FD553A">
        <w:rPr>
          <w:rFonts w:ascii="Arial" w:hAnsi="Arial" w:cs="Arial"/>
          <w:bCs/>
          <w:sz w:val="24"/>
          <w:szCs w:val="24"/>
        </w:rPr>
        <w:tab/>
      </w:r>
      <w:r w:rsidRPr="00FD553A">
        <w:rPr>
          <w:rFonts w:ascii="Arial" w:hAnsi="Arial" w:cs="Arial"/>
          <w:bCs/>
          <w:sz w:val="24"/>
          <w:szCs w:val="24"/>
        </w:rPr>
        <w:tab/>
      </w:r>
      <w:r w:rsidRPr="00FD553A">
        <w:rPr>
          <w:rFonts w:ascii="Arial" w:hAnsi="Arial" w:cs="Arial"/>
          <w:bCs/>
          <w:sz w:val="24"/>
          <w:szCs w:val="24"/>
        </w:rPr>
        <w:tab/>
      </w:r>
      <w:r w:rsidRPr="00FD553A">
        <w:rPr>
          <w:rFonts w:ascii="Arial" w:hAnsi="Arial" w:cs="Arial"/>
          <w:bCs/>
          <w:sz w:val="24"/>
          <w:szCs w:val="24"/>
        </w:rPr>
        <w:tab/>
      </w:r>
      <w:r w:rsidRPr="00FD553A">
        <w:rPr>
          <w:rFonts w:ascii="Arial" w:hAnsi="Arial" w:cs="Arial"/>
          <w:bCs/>
          <w:sz w:val="24"/>
          <w:szCs w:val="24"/>
        </w:rPr>
        <w:tab/>
      </w:r>
    </w:p>
    <w:p w14:paraId="094BDDEC" w14:textId="3F978856" w:rsidR="00FD553A" w:rsidRPr="00FD553A" w:rsidRDefault="009C62C6" w:rsidP="009C62C6">
      <w:pPr>
        <w:spacing w:after="0" w:line="480" w:lineRule="auto"/>
        <w:ind w:left="5760"/>
        <w:rPr>
          <w:rFonts w:ascii="Arial" w:hAnsi="Arial" w:cs="Arial"/>
          <w:b/>
          <w:bCs/>
          <w:sz w:val="24"/>
          <w:szCs w:val="24"/>
        </w:rPr>
      </w:pPr>
      <w:r>
        <w:rPr>
          <w:rFonts w:ascii="Arial" w:hAnsi="Arial" w:cs="Arial"/>
          <w:b/>
          <w:bCs/>
          <w:sz w:val="24"/>
          <w:szCs w:val="24"/>
        </w:rPr>
        <w:t xml:space="preserve">        </w:t>
      </w:r>
      <w:r w:rsidR="00FD553A" w:rsidRPr="00FD553A">
        <w:rPr>
          <w:rFonts w:ascii="Arial" w:hAnsi="Arial" w:cs="Arial"/>
          <w:b/>
          <w:bCs/>
          <w:sz w:val="24"/>
          <w:szCs w:val="24"/>
        </w:rPr>
        <w:t>Case No. 2021/53966</w:t>
      </w:r>
    </w:p>
    <w:p w14:paraId="1E1758C9" w14:textId="77777777" w:rsidR="00FD553A" w:rsidRPr="00FD553A" w:rsidRDefault="00FD553A" w:rsidP="00FD553A">
      <w:pPr>
        <w:spacing w:after="0"/>
        <w:rPr>
          <w:rFonts w:ascii="Arial" w:hAnsi="Arial" w:cs="Arial"/>
          <w:b/>
          <w:bCs/>
          <w:sz w:val="24"/>
          <w:szCs w:val="24"/>
        </w:rPr>
      </w:pPr>
    </w:p>
    <w:p w14:paraId="4DB3F358" w14:textId="1B015B46" w:rsidR="00FD553A" w:rsidRPr="00FD553A" w:rsidRDefault="00FD553A" w:rsidP="00FD553A">
      <w:pPr>
        <w:spacing w:after="0"/>
        <w:rPr>
          <w:rFonts w:ascii="Arial" w:hAnsi="Arial" w:cs="Arial"/>
          <w:b/>
          <w:bCs/>
          <w:sz w:val="24"/>
          <w:szCs w:val="24"/>
        </w:rPr>
      </w:pPr>
      <w:r w:rsidRPr="00FD553A">
        <w:rPr>
          <w:rFonts w:ascii="Arial" w:hAnsi="Arial" w:cs="Arial"/>
          <w:b/>
          <w:bCs/>
          <w:sz w:val="24"/>
          <w:szCs w:val="24"/>
        </w:rPr>
        <w:t>In the application for leave to appeal:</w:t>
      </w:r>
    </w:p>
    <w:p w14:paraId="69C808D3" w14:textId="77777777" w:rsidR="00FD553A" w:rsidRPr="00FD553A" w:rsidRDefault="00FD553A" w:rsidP="00FD553A">
      <w:pPr>
        <w:spacing w:after="0"/>
        <w:rPr>
          <w:rFonts w:ascii="Arial" w:hAnsi="Arial" w:cs="Arial"/>
          <w:b/>
          <w:bCs/>
          <w:sz w:val="24"/>
          <w:szCs w:val="24"/>
        </w:rPr>
      </w:pPr>
    </w:p>
    <w:p w14:paraId="31EA3427" w14:textId="0F483CE8" w:rsidR="00FD553A" w:rsidRPr="00FD553A" w:rsidRDefault="00FD553A" w:rsidP="009C62C6">
      <w:pPr>
        <w:spacing w:after="120" w:line="240" w:lineRule="auto"/>
        <w:rPr>
          <w:rFonts w:ascii="Arial" w:hAnsi="Arial" w:cs="Arial"/>
          <w:bCs/>
          <w:sz w:val="24"/>
          <w:szCs w:val="24"/>
        </w:rPr>
      </w:pPr>
      <w:r w:rsidRPr="00FD553A">
        <w:rPr>
          <w:rFonts w:ascii="Arial" w:hAnsi="Arial" w:cs="Arial"/>
          <w:b/>
          <w:bCs/>
          <w:sz w:val="24"/>
          <w:szCs w:val="24"/>
        </w:rPr>
        <w:t>MOTOR CITY AUTO SPARES (PTY) LTD</w:t>
      </w:r>
      <w:r w:rsidRPr="00FD553A">
        <w:rPr>
          <w:rFonts w:ascii="Arial" w:hAnsi="Arial" w:cs="Arial"/>
          <w:b/>
          <w:bCs/>
          <w:sz w:val="24"/>
          <w:szCs w:val="24"/>
        </w:rPr>
        <w:tab/>
      </w:r>
      <w:r w:rsidRPr="00FD553A">
        <w:rPr>
          <w:rFonts w:ascii="Arial" w:hAnsi="Arial" w:cs="Arial"/>
          <w:b/>
          <w:bCs/>
          <w:sz w:val="24"/>
          <w:szCs w:val="24"/>
        </w:rPr>
        <w:tab/>
      </w:r>
      <w:r w:rsidR="009C62C6">
        <w:rPr>
          <w:rFonts w:ascii="Arial" w:hAnsi="Arial" w:cs="Arial"/>
          <w:b/>
          <w:bCs/>
          <w:sz w:val="24"/>
          <w:szCs w:val="24"/>
        </w:rPr>
        <w:t xml:space="preserve">         </w:t>
      </w:r>
      <w:r w:rsidRPr="00FD553A">
        <w:rPr>
          <w:rFonts w:ascii="Arial" w:hAnsi="Arial" w:cs="Arial"/>
          <w:bCs/>
          <w:sz w:val="24"/>
          <w:szCs w:val="24"/>
        </w:rPr>
        <w:t>First Applicant (a quo)</w:t>
      </w:r>
    </w:p>
    <w:p w14:paraId="4A74B7C5" w14:textId="77777777" w:rsidR="00FD553A" w:rsidRPr="00FD553A" w:rsidRDefault="00FD553A" w:rsidP="009C62C6">
      <w:pPr>
        <w:spacing w:after="120" w:line="240" w:lineRule="auto"/>
        <w:rPr>
          <w:rFonts w:ascii="Arial" w:hAnsi="Arial" w:cs="Arial"/>
          <w:b/>
          <w:bCs/>
          <w:sz w:val="24"/>
          <w:szCs w:val="24"/>
        </w:rPr>
      </w:pPr>
    </w:p>
    <w:p w14:paraId="19E9FAAA" w14:textId="4E376616" w:rsidR="00FD553A" w:rsidRPr="00FD553A" w:rsidRDefault="00FD553A" w:rsidP="009C62C6">
      <w:pPr>
        <w:spacing w:after="120" w:line="240" w:lineRule="auto"/>
        <w:rPr>
          <w:rFonts w:ascii="Arial" w:hAnsi="Arial" w:cs="Arial"/>
          <w:bCs/>
          <w:sz w:val="24"/>
          <w:szCs w:val="24"/>
        </w:rPr>
      </w:pPr>
      <w:r w:rsidRPr="00FD553A">
        <w:rPr>
          <w:rFonts w:ascii="Arial" w:hAnsi="Arial" w:cs="Arial"/>
          <w:b/>
          <w:bCs/>
          <w:sz w:val="24"/>
          <w:szCs w:val="24"/>
        </w:rPr>
        <w:t xml:space="preserve">MARDAN VAAL PROPERTIES CC                                                 </w:t>
      </w:r>
      <w:r w:rsidRPr="00FD553A">
        <w:rPr>
          <w:rFonts w:ascii="Arial" w:hAnsi="Arial" w:cs="Arial"/>
          <w:bCs/>
          <w:sz w:val="24"/>
          <w:szCs w:val="24"/>
        </w:rPr>
        <w:t>Second Applicant</w:t>
      </w:r>
    </w:p>
    <w:p w14:paraId="40420408" w14:textId="77777777" w:rsidR="00FD553A" w:rsidRPr="00FD553A" w:rsidRDefault="00FD553A" w:rsidP="009C62C6">
      <w:pPr>
        <w:spacing w:after="120" w:line="240" w:lineRule="auto"/>
        <w:rPr>
          <w:rFonts w:ascii="Arial" w:hAnsi="Arial" w:cs="Arial"/>
          <w:b/>
          <w:bCs/>
          <w:sz w:val="24"/>
          <w:szCs w:val="24"/>
        </w:rPr>
      </w:pPr>
      <w:r w:rsidRPr="00FD553A">
        <w:rPr>
          <w:rFonts w:ascii="Arial" w:hAnsi="Arial" w:cs="Arial"/>
          <w:b/>
          <w:bCs/>
          <w:sz w:val="24"/>
          <w:szCs w:val="24"/>
        </w:rPr>
        <w:t>(Registration No, 1993/002114/23)</w:t>
      </w:r>
      <w:r w:rsidRPr="00FD553A">
        <w:rPr>
          <w:rFonts w:ascii="Arial" w:hAnsi="Arial" w:cs="Arial"/>
          <w:b/>
          <w:bCs/>
          <w:sz w:val="24"/>
          <w:szCs w:val="24"/>
        </w:rPr>
        <w:tab/>
      </w:r>
      <w:r w:rsidRPr="00FD553A">
        <w:rPr>
          <w:rFonts w:ascii="Arial" w:hAnsi="Arial" w:cs="Arial"/>
          <w:b/>
          <w:bCs/>
          <w:sz w:val="24"/>
          <w:szCs w:val="24"/>
        </w:rPr>
        <w:tab/>
      </w:r>
      <w:r w:rsidRPr="00FD553A">
        <w:rPr>
          <w:rFonts w:ascii="Arial" w:hAnsi="Arial" w:cs="Arial"/>
          <w:b/>
          <w:bCs/>
          <w:sz w:val="24"/>
          <w:szCs w:val="24"/>
        </w:rPr>
        <w:tab/>
        <w:t xml:space="preserve">         </w:t>
      </w:r>
    </w:p>
    <w:p w14:paraId="6D599973" w14:textId="77777777" w:rsidR="00FD553A" w:rsidRPr="00FD553A" w:rsidRDefault="00FD553A" w:rsidP="009C62C6">
      <w:pPr>
        <w:spacing w:after="120" w:line="240" w:lineRule="auto"/>
        <w:rPr>
          <w:rFonts w:ascii="Arial" w:hAnsi="Arial" w:cs="Arial"/>
          <w:bCs/>
          <w:sz w:val="24"/>
          <w:szCs w:val="24"/>
        </w:rPr>
      </w:pPr>
    </w:p>
    <w:p w14:paraId="302CF419" w14:textId="7ABADA67" w:rsidR="00FD553A" w:rsidRPr="00FD553A" w:rsidRDefault="00FD553A" w:rsidP="009C62C6">
      <w:pPr>
        <w:spacing w:after="120" w:line="240" w:lineRule="auto"/>
        <w:rPr>
          <w:rFonts w:ascii="Arial" w:hAnsi="Arial" w:cs="Arial"/>
          <w:bCs/>
          <w:sz w:val="24"/>
          <w:szCs w:val="24"/>
        </w:rPr>
      </w:pPr>
      <w:r w:rsidRPr="00FD553A">
        <w:rPr>
          <w:rFonts w:ascii="Arial" w:hAnsi="Arial" w:cs="Arial"/>
          <w:bCs/>
          <w:sz w:val="24"/>
          <w:szCs w:val="24"/>
        </w:rPr>
        <w:t>and</w:t>
      </w:r>
    </w:p>
    <w:p w14:paraId="1A327F73" w14:textId="77777777" w:rsidR="00FD553A" w:rsidRPr="00FD553A" w:rsidRDefault="00FD553A" w:rsidP="009C62C6">
      <w:pPr>
        <w:spacing w:after="120" w:line="240" w:lineRule="auto"/>
        <w:rPr>
          <w:rFonts w:ascii="Arial" w:hAnsi="Arial" w:cs="Arial"/>
          <w:b/>
          <w:bCs/>
          <w:sz w:val="24"/>
          <w:szCs w:val="24"/>
        </w:rPr>
      </w:pPr>
    </w:p>
    <w:p w14:paraId="74BB8C79" w14:textId="60AFDF3D" w:rsidR="00FD553A" w:rsidRPr="00FD553A" w:rsidRDefault="00FD553A" w:rsidP="009C62C6">
      <w:pPr>
        <w:spacing w:after="120" w:line="240" w:lineRule="auto"/>
        <w:rPr>
          <w:rFonts w:ascii="Arial" w:hAnsi="Arial" w:cs="Arial"/>
          <w:bCs/>
          <w:sz w:val="24"/>
          <w:szCs w:val="24"/>
        </w:rPr>
      </w:pPr>
      <w:r w:rsidRPr="00FD553A">
        <w:rPr>
          <w:rFonts w:ascii="Arial" w:hAnsi="Arial" w:cs="Arial"/>
          <w:b/>
          <w:bCs/>
          <w:sz w:val="24"/>
          <w:szCs w:val="24"/>
        </w:rPr>
        <w:t>THE SHERIFF VANDERBIJLPARK</w:t>
      </w:r>
      <w:r w:rsidRPr="00FD553A">
        <w:rPr>
          <w:rFonts w:ascii="Arial" w:hAnsi="Arial" w:cs="Arial"/>
          <w:b/>
          <w:bCs/>
          <w:sz w:val="24"/>
          <w:szCs w:val="24"/>
        </w:rPr>
        <w:tab/>
      </w:r>
      <w:r w:rsidRPr="00FD553A">
        <w:rPr>
          <w:rFonts w:ascii="Arial" w:hAnsi="Arial" w:cs="Arial"/>
          <w:b/>
          <w:bCs/>
          <w:sz w:val="24"/>
          <w:szCs w:val="24"/>
        </w:rPr>
        <w:tab/>
      </w:r>
      <w:r w:rsidRPr="00FD553A">
        <w:rPr>
          <w:rFonts w:ascii="Arial" w:hAnsi="Arial" w:cs="Arial"/>
          <w:b/>
          <w:bCs/>
          <w:sz w:val="24"/>
          <w:szCs w:val="24"/>
        </w:rPr>
        <w:tab/>
      </w:r>
      <w:r w:rsidRPr="00FD553A">
        <w:rPr>
          <w:rFonts w:ascii="Arial" w:hAnsi="Arial" w:cs="Arial"/>
          <w:b/>
          <w:bCs/>
          <w:sz w:val="24"/>
          <w:szCs w:val="24"/>
        </w:rPr>
        <w:tab/>
        <w:t xml:space="preserve">     </w:t>
      </w:r>
      <w:r w:rsidRPr="00FD553A">
        <w:rPr>
          <w:rFonts w:ascii="Arial" w:hAnsi="Arial" w:cs="Arial"/>
          <w:bCs/>
          <w:sz w:val="24"/>
          <w:szCs w:val="24"/>
        </w:rPr>
        <w:t>First Respondent</w:t>
      </w:r>
    </w:p>
    <w:p w14:paraId="044B9196" w14:textId="77777777" w:rsidR="00FD553A" w:rsidRPr="00FD553A" w:rsidRDefault="00FD553A" w:rsidP="009C62C6">
      <w:pPr>
        <w:spacing w:after="120" w:line="240" w:lineRule="auto"/>
        <w:rPr>
          <w:rFonts w:ascii="Arial" w:hAnsi="Arial" w:cs="Arial"/>
          <w:b/>
          <w:bCs/>
          <w:sz w:val="24"/>
          <w:szCs w:val="24"/>
        </w:rPr>
      </w:pPr>
    </w:p>
    <w:p w14:paraId="27027185" w14:textId="40E62157" w:rsidR="00FD553A" w:rsidRPr="00FD553A" w:rsidRDefault="00FD553A" w:rsidP="009C62C6">
      <w:pPr>
        <w:spacing w:after="120" w:line="240" w:lineRule="auto"/>
        <w:rPr>
          <w:rFonts w:ascii="Arial" w:hAnsi="Arial" w:cs="Arial"/>
          <w:bCs/>
          <w:sz w:val="24"/>
          <w:szCs w:val="24"/>
        </w:rPr>
      </w:pPr>
      <w:r w:rsidRPr="00FD553A">
        <w:rPr>
          <w:rFonts w:ascii="Arial" w:hAnsi="Arial" w:cs="Arial"/>
          <w:b/>
          <w:bCs/>
          <w:sz w:val="24"/>
          <w:szCs w:val="24"/>
        </w:rPr>
        <w:t xml:space="preserve">THE STANDARD BANK OF SOUTH AFRICA                           </w:t>
      </w:r>
      <w:r w:rsidR="009C62C6">
        <w:rPr>
          <w:rFonts w:ascii="Arial" w:hAnsi="Arial" w:cs="Arial"/>
          <w:b/>
          <w:bCs/>
          <w:sz w:val="24"/>
          <w:szCs w:val="24"/>
        </w:rPr>
        <w:t xml:space="preserve"> </w:t>
      </w:r>
      <w:r w:rsidRPr="00FD553A">
        <w:rPr>
          <w:rFonts w:ascii="Arial" w:hAnsi="Arial" w:cs="Arial"/>
          <w:bCs/>
          <w:sz w:val="24"/>
          <w:szCs w:val="24"/>
        </w:rPr>
        <w:t>Second Respondent</w:t>
      </w:r>
    </w:p>
    <w:p w14:paraId="23C9D289" w14:textId="77777777" w:rsidR="00FD553A" w:rsidRPr="00FD553A" w:rsidRDefault="00FD553A" w:rsidP="009C62C6">
      <w:pPr>
        <w:spacing w:after="120" w:line="240" w:lineRule="auto"/>
        <w:rPr>
          <w:rFonts w:ascii="Arial" w:hAnsi="Arial" w:cs="Arial"/>
          <w:b/>
          <w:bCs/>
          <w:sz w:val="24"/>
          <w:szCs w:val="24"/>
        </w:rPr>
      </w:pPr>
      <w:r w:rsidRPr="00FD553A">
        <w:rPr>
          <w:rFonts w:ascii="Arial" w:hAnsi="Arial" w:cs="Arial"/>
          <w:b/>
          <w:bCs/>
          <w:sz w:val="24"/>
          <w:szCs w:val="24"/>
        </w:rPr>
        <w:t>(Judgment Creditor)</w:t>
      </w:r>
      <w:r w:rsidRPr="00FD553A">
        <w:rPr>
          <w:rFonts w:ascii="Arial" w:hAnsi="Arial" w:cs="Arial"/>
          <w:b/>
          <w:bCs/>
          <w:sz w:val="24"/>
          <w:szCs w:val="24"/>
        </w:rPr>
        <w:tab/>
      </w:r>
      <w:r w:rsidRPr="00FD553A">
        <w:rPr>
          <w:rFonts w:ascii="Arial" w:hAnsi="Arial" w:cs="Arial"/>
          <w:b/>
          <w:bCs/>
          <w:sz w:val="24"/>
          <w:szCs w:val="24"/>
        </w:rPr>
        <w:tab/>
      </w:r>
      <w:r w:rsidRPr="00FD553A">
        <w:rPr>
          <w:rFonts w:ascii="Arial" w:hAnsi="Arial" w:cs="Arial"/>
          <w:b/>
          <w:bCs/>
          <w:sz w:val="24"/>
          <w:szCs w:val="24"/>
        </w:rPr>
        <w:tab/>
      </w:r>
      <w:r w:rsidRPr="00FD553A">
        <w:rPr>
          <w:rFonts w:ascii="Arial" w:hAnsi="Arial" w:cs="Arial"/>
          <w:b/>
          <w:bCs/>
          <w:sz w:val="24"/>
          <w:szCs w:val="24"/>
        </w:rPr>
        <w:tab/>
      </w:r>
      <w:r w:rsidRPr="00FD553A">
        <w:rPr>
          <w:rFonts w:ascii="Arial" w:hAnsi="Arial" w:cs="Arial"/>
          <w:b/>
          <w:bCs/>
          <w:sz w:val="24"/>
          <w:szCs w:val="24"/>
        </w:rPr>
        <w:tab/>
      </w:r>
      <w:r w:rsidRPr="00FD553A">
        <w:rPr>
          <w:rFonts w:ascii="Arial" w:hAnsi="Arial" w:cs="Arial"/>
          <w:b/>
          <w:bCs/>
          <w:sz w:val="24"/>
          <w:szCs w:val="24"/>
        </w:rPr>
        <w:tab/>
      </w:r>
      <w:r w:rsidRPr="00FD553A">
        <w:rPr>
          <w:rFonts w:ascii="Arial" w:hAnsi="Arial" w:cs="Arial"/>
          <w:b/>
          <w:bCs/>
          <w:sz w:val="24"/>
          <w:szCs w:val="24"/>
        </w:rPr>
        <w:tab/>
      </w:r>
    </w:p>
    <w:p w14:paraId="08178D1F" w14:textId="77777777" w:rsidR="00FD553A" w:rsidRPr="00FD553A" w:rsidRDefault="00FD553A" w:rsidP="009C62C6">
      <w:pPr>
        <w:spacing w:after="120" w:line="240" w:lineRule="auto"/>
        <w:rPr>
          <w:rFonts w:ascii="Arial" w:hAnsi="Arial" w:cs="Arial"/>
          <w:b/>
          <w:bCs/>
          <w:sz w:val="24"/>
          <w:szCs w:val="24"/>
        </w:rPr>
      </w:pPr>
    </w:p>
    <w:p w14:paraId="2EE2F71C" w14:textId="034FADFC" w:rsidR="00FD553A" w:rsidRPr="00FD553A" w:rsidRDefault="00FD553A" w:rsidP="009C62C6">
      <w:pPr>
        <w:spacing w:after="120" w:line="240" w:lineRule="auto"/>
        <w:rPr>
          <w:rFonts w:ascii="Arial" w:hAnsi="Arial" w:cs="Arial"/>
          <w:bCs/>
          <w:sz w:val="24"/>
          <w:szCs w:val="24"/>
        </w:rPr>
      </w:pPr>
      <w:r w:rsidRPr="00FD553A">
        <w:rPr>
          <w:rFonts w:ascii="Arial" w:hAnsi="Arial" w:cs="Arial"/>
          <w:b/>
          <w:bCs/>
          <w:sz w:val="24"/>
          <w:szCs w:val="24"/>
        </w:rPr>
        <w:t xml:space="preserve">DIKGOSI HOLDINGS (PTY ) LTD  </w:t>
      </w:r>
      <w:r w:rsidRPr="00FD553A">
        <w:rPr>
          <w:rFonts w:ascii="Arial" w:hAnsi="Arial" w:cs="Arial"/>
          <w:bCs/>
          <w:sz w:val="24"/>
          <w:szCs w:val="24"/>
        </w:rPr>
        <w:t xml:space="preserve">                                             Third Respondent</w:t>
      </w:r>
    </w:p>
    <w:p w14:paraId="542EAE49" w14:textId="77777777" w:rsidR="00FD553A" w:rsidRPr="00FD553A" w:rsidRDefault="00FD553A" w:rsidP="009C62C6">
      <w:pPr>
        <w:spacing w:after="120" w:line="240" w:lineRule="auto"/>
        <w:rPr>
          <w:rFonts w:ascii="Arial" w:hAnsi="Arial" w:cs="Arial"/>
          <w:b/>
          <w:bCs/>
          <w:sz w:val="24"/>
          <w:szCs w:val="24"/>
        </w:rPr>
      </w:pPr>
      <w:r w:rsidRPr="00FD553A">
        <w:rPr>
          <w:rFonts w:ascii="Arial" w:hAnsi="Arial" w:cs="Arial"/>
          <w:b/>
          <w:bCs/>
          <w:sz w:val="24"/>
          <w:szCs w:val="24"/>
        </w:rPr>
        <w:t>(Registration No, 2009/006632/07)</w:t>
      </w:r>
      <w:r w:rsidRPr="00FD553A">
        <w:rPr>
          <w:rFonts w:ascii="Arial" w:hAnsi="Arial" w:cs="Arial"/>
          <w:b/>
          <w:bCs/>
          <w:sz w:val="24"/>
          <w:szCs w:val="24"/>
        </w:rPr>
        <w:tab/>
      </w:r>
      <w:r w:rsidRPr="00FD553A">
        <w:rPr>
          <w:rFonts w:ascii="Arial" w:hAnsi="Arial" w:cs="Arial"/>
          <w:b/>
          <w:bCs/>
          <w:sz w:val="24"/>
          <w:szCs w:val="24"/>
        </w:rPr>
        <w:tab/>
      </w:r>
      <w:r w:rsidRPr="00FD553A">
        <w:rPr>
          <w:rFonts w:ascii="Arial" w:hAnsi="Arial" w:cs="Arial"/>
          <w:b/>
          <w:bCs/>
          <w:sz w:val="24"/>
          <w:szCs w:val="24"/>
        </w:rPr>
        <w:tab/>
      </w:r>
      <w:r w:rsidRPr="00FD553A">
        <w:rPr>
          <w:rFonts w:ascii="Arial" w:hAnsi="Arial" w:cs="Arial"/>
          <w:b/>
          <w:bCs/>
          <w:sz w:val="24"/>
          <w:szCs w:val="24"/>
        </w:rPr>
        <w:tab/>
      </w:r>
      <w:r w:rsidRPr="00FD553A">
        <w:rPr>
          <w:rFonts w:ascii="Arial" w:hAnsi="Arial" w:cs="Arial"/>
          <w:b/>
          <w:bCs/>
          <w:sz w:val="24"/>
          <w:szCs w:val="24"/>
        </w:rPr>
        <w:tab/>
        <w:t xml:space="preserve">           </w:t>
      </w:r>
    </w:p>
    <w:p w14:paraId="76B4D374" w14:textId="77777777" w:rsidR="00FD553A" w:rsidRPr="00FD553A" w:rsidRDefault="00FD553A" w:rsidP="009C62C6">
      <w:pPr>
        <w:spacing w:after="120" w:line="240" w:lineRule="auto"/>
        <w:rPr>
          <w:rFonts w:ascii="Arial" w:hAnsi="Arial" w:cs="Arial"/>
          <w:b/>
          <w:bCs/>
          <w:sz w:val="24"/>
          <w:szCs w:val="24"/>
        </w:rPr>
      </w:pPr>
    </w:p>
    <w:p w14:paraId="5922FA7A" w14:textId="2CDC6BF1" w:rsidR="00FD553A" w:rsidRDefault="00FD553A" w:rsidP="009C62C6">
      <w:pPr>
        <w:spacing w:after="120" w:line="240" w:lineRule="auto"/>
        <w:rPr>
          <w:rFonts w:ascii="Arial" w:hAnsi="Arial" w:cs="Arial"/>
          <w:bCs/>
          <w:sz w:val="24"/>
          <w:szCs w:val="24"/>
        </w:rPr>
      </w:pPr>
      <w:r w:rsidRPr="00FD553A">
        <w:rPr>
          <w:rFonts w:ascii="Arial" w:hAnsi="Arial" w:cs="Arial"/>
          <w:b/>
          <w:bCs/>
          <w:sz w:val="24"/>
          <w:szCs w:val="24"/>
        </w:rPr>
        <w:t>THE REGISTRAR OF DEEDS, PRETORIA</w:t>
      </w:r>
      <w:r w:rsidRPr="00FD553A">
        <w:rPr>
          <w:rFonts w:ascii="Arial" w:hAnsi="Arial" w:cs="Arial"/>
          <w:b/>
          <w:bCs/>
          <w:sz w:val="24"/>
          <w:szCs w:val="24"/>
        </w:rPr>
        <w:tab/>
      </w:r>
      <w:r w:rsidRPr="00FD553A">
        <w:rPr>
          <w:rFonts w:ascii="Arial" w:hAnsi="Arial" w:cs="Arial"/>
          <w:b/>
          <w:bCs/>
          <w:sz w:val="24"/>
          <w:szCs w:val="24"/>
        </w:rPr>
        <w:tab/>
        <w:t xml:space="preserve">             </w:t>
      </w:r>
      <w:r w:rsidRPr="00FD553A">
        <w:rPr>
          <w:rFonts w:ascii="Arial" w:hAnsi="Arial" w:cs="Arial"/>
          <w:bCs/>
          <w:sz w:val="24"/>
          <w:szCs w:val="24"/>
        </w:rPr>
        <w:t>Fourth Respondent</w:t>
      </w:r>
    </w:p>
    <w:p w14:paraId="1F25CFF3" w14:textId="1458B29F" w:rsidR="009C62C6" w:rsidRDefault="009C62C6" w:rsidP="009C62C6">
      <w:pPr>
        <w:spacing w:after="120" w:line="240" w:lineRule="auto"/>
        <w:rPr>
          <w:rFonts w:ascii="Arial" w:hAnsi="Arial" w:cs="Arial"/>
          <w:bCs/>
          <w:sz w:val="24"/>
          <w:szCs w:val="24"/>
        </w:rPr>
      </w:pPr>
    </w:p>
    <w:p w14:paraId="29C93F53" w14:textId="77777777" w:rsidR="009C62C6" w:rsidRPr="00FD553A" w:rsidRDefault="009C62C6" w:rsidP="009C62C6">
      <w:pPr>
        <w:spacing w:after="120" w:line="240" w:lineRule="auto"/>
        <w:rPr>
          <w:rFonts w:ascii="Arial" w:hAnsi="Arial" w:cs="Arial"/>
          <w:bCs/>
          <w:sz w:val="24"/>
          <w:szCs w:val="24"/>
        </w:rPr>
      </w:pPr>
    </w:p>
    <w:p w14:paraId="7D9F032A" w14:textId="77777777" w:rsidR="00FD553A" w:rsidRPr="00FD553A" w:rsidRDefault="00FD553A" w:rsidP="00FD553A">
      <w:pPr>
        <w:pBdr>
          <w:top w:val="single" w:sz="12" w:space="1" w:color="auto"/>
          <w:bottom w:val="single" w:sz="12" w:space="1" w:color="auto"/>
        </w:pBdr>
        <w:spacing w:line="240" w:lineRule="auto"/>
        <w:rPr>
          <w:rFonts w:ascii="Arial" w:hAnsi="Arial" w:cs="Arial"/>
          <w:sz w:val="24"/>
          <w:szCs w:val="24"/>
        </w:rPr>
      </w:pPr>
    </w:p>
    <w:p w14:paraId="3E526533" w14:textId="58496D8C" w:rsidR="00FD553A" w:rsidRPr="00FD553A" w:rsidRDefault="00FD553A" w:rsidP="00FD553A">
      <w:pPr>
        <w:pBdr>
          <w:top w:val="single" w:sz="12" w:space="1" w:color="auto"/>
          <w:bottom w:val="single" w:sz="12" w:space="1" w:color="auto"/>
        </w:pBdr>
        <w:spacing w:line="240" w:lineRule="auto"/>
        <w:rPr>
          <w:rFonts w:ascii="Arial" w:hAnsi="Arial" w:cs="Arial"/>
          <w:b/>
          <w:bCs/>
          <w:sz w:val="24"/>
          <w:szCs w:val="24"/>
        </w:rPr>
      </w:pPr>
      <w:r w:rsidRPr="00FD553A">
        <w:rPr>
          <w:rFonts w:ascii="Arial" w:hAnsi="Arial" w:cs="Arial"/>
          <w:sz w:val="24"/>
          <w:szCs w:val="24"/>
        </w:rPr>
        <w:tab/>
      </w:r>
      <w:r w:rsidRPr="00FD553A">
        <w:rPr>
          <w:rFonts w:ascii="Arial" w:hAnsi="Arial" w:cs="Arial"/>
          <w:sz w:val="24"/>
          <w:szCs w:val="24"/>
        </w:rPr>
        <w:tab/>
      </w:r>
      <w:r w:rsidRPr="00FD553A">
        <w:rPr>
          <w:rFonts w:ascii="Arial" w:hAnsi="Arial" w:cs="Arial"/>
          <w:sz w:val="24"/>
          <w:szCs w:val="24"/>
        </w:rPr>
        <w:tab/>
      </w:r>
      <w:r w:rsidRPr="00FD553A">
        <w:rPr>
          <w:rFonts w:ascii="Arial" w:hAnsi="Arial" w:cs="Arial"/>
          <w:sz w:val="24"/>
          <w:szCs w:val="24"/>
        </w:rPr>
        <w:tab/>
      </w:r>
      <w:r w:rsidRPr="00FD553A">
        <w:rPr>
          <w:rFonts w:ascii="Arial" w:hAnsi="Arial" w:cs="Arial"/>
          <w:b/>
          <w:bCs/>
          <w:sz w:val="24"/>
          <w:szCs w:val="24"/>
        </w:rPr>
        <w:t>JUDGMENT – LEAVE TO APPEAL</w:t>
      </w:r>
    </w:p>
    <w:p w14:paraId="13FC877A" w14:textId="77777777" w:rsidR="00FD553A" w:rsidRPr="00FD553A" w:rsidRDefault="00FD553A" w:rsidP="00FD553A">
      <w:pPr>
        <w:pBdr>
          <w:top w:val="single" w:sz="12" w:space="1" w:color="auto"/>
          <w:bottom w:val="single" w:sz="12" w:space="1" w:color="auto"/>
        </w:pBdr>
        <w:spacing w:line="240" w:lineRule="auto"/>
        <w:rPr>
          <w:rFonts w:ascii="Arial" w:hAnsi="Arial" w:cs="Arial"/>
          <w:b/>
          <w:bCs/>
          <w:sz w:val="24"/>
          <w:szCs w:val="24"/>
        </w:rPr>
      </w:pPr>
    </w:p>
    <w:p w14:paraId="5A0827BB" w14:textId="77777777" w:rsidR="00FD553A" w:rsidRPr="00FD553A" w:rsidRDefault="00FD553A" w:rsidP="00FD553A">
      <w:pPr>
        <w:pStyle w:val="ListLevel1"/>
        <w:numPr>
          <w:ilvl w:val="0"/>
          <w:numId w:val="0"/>
        </w:numPr>
        <w:ind w:left="851" w:hanging="851"/>
        <w:rPr>
          <w:rFonts w:cs="Arial"/>
          <w:b/>
          <w:szCs w:val="24"/>
        </w:rPr>
      </w:pPr>
      <w:r w:rsidRPr="00FD553A">
        <w:rPr>
          <w:rFonts w:cs="Arial"/>
          <w:b/>
          <w:szCs w:val="24"/>
        </w:rPr>
        <w:t>MAHOMED AJ</w:t>
      </w:r>
    </w:p>
    <w:p w14:paraId="05E91471" w14:textId="0421641D" w:rsidR="00FD553A" w:rsidRPr="00FD553A" w:rsidRDefault="00FD553A" w:rsidP="00FD553A">
      <w:pPr>
        <w:pStyle w:val="ListLevel1"/>
        <w:rPr>
          <w:rFonts w:cs="Arial"/>
          <w:szCs w:val="24"/>
        </w:rPr>
      </w:pPr>
      <w:r w:rsidRPr="00FD553A">
        <w:rPr>
          <w:rFonts w:cs="Arial"/>
          <w:szCs w:val="24"/>
        </w:rPr>
        <w:t>This is an application for leave to appeal in terms of s17(1)(a) alternatively s17(1)(a)(ii) of the Superior Courts Act 10 of 2013, (“the Act”) against a judgment I handed down on 17 July 2023.  The third respondent</w:t>
      </w:r>
      <w:r w:rsidRPr="00FD553A">
        <w:rPr>
          <w:rFonts w:cs="Arial"/>
          <w:i/>
          <w:iCs/>
          <w:szCs w:val="24"/>
        </w:rPr>
        <w:t>, a quo</w:t>
      </w:r>
      <w:r w:rsidRPr="00FD553A">
        <w:rPr>
          <w:rFonts w:cs="Arial"/>
          <w:szCs w:val="24"/>
        </w:rPr>
        <w:t xml:space="preserve"> seeks leave to appeal and submits it has reasonable prospects of success, that another court would arrive at a different finding.  Alternatively, that there is a compelling reason, as my judgment is in conflict with the judgment in </w:t>
      </w:r>
      <w:r w:rsidRPr="00FD553A">
        <w:rPr>
          <w:rFonts w:cs="Arial"/>
          <w:b/>
          <w:szCs w:val="24"/>
        </w:rPr>
        <w:t>CHIKALALA AND OHERS V TOVANI TRADING 269 CC AND OTHERS</w:t>
      </w:r>
      <w:r w:rsidRPr="00FD553A">
        <w:rPr>
          <w:rFonts w:cs="Arial"/>
          <w:szCs w:val="24"/>
        </w:rPr>
        <w:t>,</w:t>
      </w:r>
      <w:r w:rsidRPr="00FD553A">
        <w:rPr>
          <w:rStyle w:val="FootnoteReference"/>
          <w:rFonts w:cs="Arial"/>
          <w:szCs w:val="24"/>
        </w:rPr>
        <w:footnoteReference w:id="1"/>
      </w:r>
      <w:r w:rsidRPr="00FD553A">
        <w:rPr>
          <w:rFonts w:cs="Arial"/>
          <w:szCs w:val="24"/>
        </w:rPr>
        <w:t xml:space="preserve"> the only other judgment in regard to payment of a deposit to the sheriff in a public sale of immovable property, in compliance with conditions of sale found in form 21 of Rule 46 of the Uniform Rules of Court.  Appellants raise several other grounds of appeal on the merits.  The application is opposed.  </w:t>
      </w:r>
    </w:p>
    <w:p w14:paraId="59C1EEEB" w14:textId="48292F87" w:rsidR="00FD553A" w:rsidRPr="00FD553A" w:rsidRDefault="00FD553A" w:rsidP="00FD553A">
      <w:pPr>
        <w:pStyle w:val="ListLevel1"/>
        <w:rPr>
          <w:rFonts w:cs="Arial"/>
          <w:b/>
          <w:bCs/>
          <w:szCs w:val="24"/>
        </w:rPr>
      </w:pPr>
      <w:r w:rsidRPr="00FD553A">
        <w:rPr>
          <w:rFonts w:cs="Arial"/>
          <w:szCs w:val="24"/>
        </w:rPr>
        <w:t xml:space="preserve">Advocate  C Bester, appeared for the appellant/ third respondent and submitted that the judge in </w:t>
      </w:r>
      <w:proofErr w:type="spellStart"/>
      <w:r w:rsidRPr="00FD553A">
        <w:rPr>
          <w:rFonts w:cs="Arial"/>
          <w:szCs w:val="24"/>
        </w:rPr>
        <w:t>Chikalala</w:t>
      </w:r>
      <w:proofErr w:type="spellEnd"/>
      <w:r w:rsidRPr="00FD553A">
        <w:rPr>
          <w:rFonts w:cs="Arial"/>
          <w:szCs w:val="24"/>
        </w:rPr>
        <w:t xml:space="preserve"> correctly interpreted the conditions of sale, when he held that payment cannot be delayed beyond the day of the </w:t>
      </w:r>
      <w:r w:rsidRPr="00FD553A">
        <w:rPr>
          <w:rFonts w:cs="Arial"/>
          <w:szCs w:val="24"/>
        </w:rPr>
        <w:lastRenderedPageBreak/>
        <w:t xml:space="preserve">sale.  In </w:t>
      </w:r>
      <w:proofErr w:type="spellStart"/>
      <w:r w:rsidRPr="00FD553A">
        <w:rPr>
          <w:rFonts w:cs="Arial"/>
          <w:szCs w:val="24"/>
        </w:rPr>
        <w:t>casu</w:t>
      </w:r>
      <w:proofErr w:type="spellEnd"/>
      <w:r w:rsidRPr="00FD553A">
        <w:rPr>
          <w:rFonts w:cs="Arial"/>
          <w:szCs w:val="24"/>
        </w:rPr>
        <w:t xml:space="preserve"> the payment although made on the day of the sale, only reflected on the next day.  </w:t>
      </w:r>
    </w:p>
    <w:p w14:paraId="7FF78C3A" w14:textId="77777777" w:rsidR="00FD553A" w:rsidRPr="00FD553A" w:rsidRDefault="00FD553A" w:rsidP="00FD553A">
      <w:pPr>
        <w:pStyle w:val="ListLevel1"/>
        <w:rPr>
          <w:rFonts w:cs="Arial"/>
          <w:b/>
          <w:bCs/>
          <w:i/>
          <w:iCs/>
          <w:szCs w:val="24"/>
        </w:rPr>
      </w:pPr>
      <w:r w:rsidRPr="00FD553A">
        <w:rPr>
          <w:rFonts w:cs="Arial"/>
          <w:szCs w:val="24"/>
        </w:rPr>
        <w:t>Counsel argued that at paragraph 77 of my judgment</w:t>
      </w:r>
      <w:r w:rsidRPr="00FD553A">
        <w:rPr>
          <w:rStyle w:val="FootnoteReference"/>
          <w:rFonts w:cs="Arial"/>
          <w:szCs w:val="24"/>
        </w:rPr>
        <w:footnoteReference w:id="2"/>
      </w:r>
      <w:r w:rsidRPr="00FD553A">
        <w:rPr>
          <w:rFonts w:cs="Arial"/>
          <w:szCs w:val="24"/>
        </w:rPr>
        <w:t xml:space="preserve"> , wherein is stated, </w:t>
      </w:r>
    </w:p>
    <w:p w14:paraId="56CB8BA0" w14:textId="77777777" w:rsidR="00FD553A" w:rsidRPr="00FD553A" w:rsidRDefault="00FD553A" w:rsidP="00FD553A">
      <w:pPr>
        <w:pStyle w:val="MSQuote"/>
        <w:rPr>
          <w:rFonts w:cs="Arial"/>
          <w:b/>
          <w:bCs/>
          <w:szCs w:val="24"/>
        </w:rPr>
      </w:pPr>
      <w:r w:rsidRPr="00FD553A">
        <w:rPr>
          <w:rFonts w:cs="Arial"/>
          <w:szCs w:val="24"/>
        </w:rPr>
        <w:t xml:space="preserve">“where a bidder chose to pay by electronic funds transfer, it must be accepted and understood that payment, unless within the same bank, will reflect in the payees account on the next day sometimes up to 3 days later depending on the banks security and risk policies”, is at variance with the judgment in </w:t>
      </w:r>
      <w:proofErr w:type="spellStart"/>
      <w:r w:rsidRPr="00FD553A">
        <w:rPr>
          <w:rFonts w:cs="Arial"/>
          <w:szCs w:val="24"/>
        </w:rPr>
        <w:t>Chikalala</w:t>
      </w:r>
      <w:proofErr w:type="spellEnd"/>
      <w:r w:rsidRPr="00FD553A">
        <w:rPr>
          <w:rFonts w:cs="Arial"/>
          <w:szCs w:val="24"/>
        </w:rPr>
        <w:t>, and that the court was offering “a life line”, to the respondents, applicants a quo.</w:t>
      </w:r>
    </w:p>
    <w:p w14:paraId="59B84B05" w14:textId="77777777" w:rsidR="00FD553A" w:rsidRPr="00FD553A" w:rsidRDefault="00FD553A" w:rsidP="00FD553A">
      <w:pPr>
        <w:pStyle w:val="ListLevel1"/>
        <w:rPr>
          <w:rFonts w:cs="Arial"/>
          <w:szCs w:val="24"/>
        </w:rPr>
      </w:pPr>
      <w:r w:rsidRPr="00FD553A">
        <w:rPr>
          <w:rFonts w:cs="Arial"/>
          <w:szCs w:val="24"/>
        </w:rPr>
        <w:t xml:space="preserve">Mr Bester proffered that I did not state that </w:t>
      </w:r>
      <w:proofErr w:type="spellStart"/>
      <w:r w:rsidRPr="00FD553A">
        <w:rPr>
          <w:rFonts w:cs="Arial"/>
          <w:szCs w:val="24"/>
        </w:rPr>
        <w:t>Tuchten</w:t>
      </w:r>
      <w:proofErr w:type="spellEnd"/>
      <w:r w:rsidRPr="00FD553A">
        <w:rPr>
          <w:rFonts w:cs="Arial"/>
          <w:szCs w:val="24"/>
        </w:rPr>
        <w:t xml:space="preserve"> J was wrong and therefor this creates uncertainty for practitioners,  the two judgments cannot be reconciled therefore it would be appropriate that another court clarify this conflict and s17(1)(a(ii) of the Act allows for leave to be granted in this instance. </w:t>
      </w:r>
    </w:p>
    <w:p w14:paraId="0E22ED1D" w14:textId="77777777" w:rsidR="00FD553A" w:rsidRPr="00FD553A" w:rsidRDefault="00FD553A" w:rsidP="00FD553A">
      <w:pPr>
        <w:pStyle w:val="ListLevel1"/>
        <w:rPr>
          <w:rFonts w:cs="Arial"/>
          <w:b/>
          <w:bCs/>
          <w:szCs w:val="24"/>
        </w:rPr>
      </w:pPr>
      <w:r w:rsidRPr="00FD553A">
        <w:rPr>
          <w:rFonts w:cs="Arial"/>
          <w:szCs w:val="24"/>
        </w:rPr>
        <w:t xml:space="preserve">Mr Van Wyk appeared for the respondent and submitted that the judgement is correct, is not in conflict with the judgment in </w:t>
      </w:r>
      <w:proofErr w:type="spellStart"/>
      <w:r w:rsidRPr="00FD553A">
        <w:rPr>
          <w:rFonts w:cs="Arial"/>
          <w:szCs w:val="24"/>
        </w:rPr>
        <w:t>Chikalala</w:t>
      </w:r>
      <w:proofErr w:type="spellEnd"/>
      <w:r w:rsidRPr="00FD553A">
        <w:rPr>
          <w:rFonts w:cs="Arial"/>
          <w:szCs w:val="24"/>
        </w:rPr>
        <w:t xml:space="preserve">, rather it compliments that judgment.  He argued that the payment was made on the day by electronic funds transfer, the payment button was clicked on the day , proof thereof was produced 42 minutes after the fall of the hammer, there were no grounds upon which the sheriff could have concluded that the applicant could not pay the deposit and his commission and was at </w:t>
      </w:r>
      <w:r w:rsidRPr="00FD553A">
        <w:rPr>
          <w:rFonts w:cs="Arial"/>
          <w:szCs w:val="24"/>
        </w:rPr>
        <w:lastRenderedPageBreak/>
        <w:t>risk.  The play is between the words “payment on the day” and “reflecting in sheriffs account” and that the sheriff was opportunistic when he relied on “payment not reflected on the day.”  Counsel submitted as is usual banking practise payment was “reflected” on the next day. He submitted that the sheriff accepted the same method of payment in the second sale when it was argued, albeit in reply, that the buyers were treated differently, regarding the time allowed for payment, the second sale was unlawful.  The second sale resulted in an absurdity, as the property was sold for R950,000  cheaper in the second sale and where the proof of payment was presented only two hours after the fall of the hammer.</w:t>
      </w:r>
      <w:r w:rsidRPr="00FD553A">
        <w:rPr>
          <w:rFonts w:cs="Arial"/>
          <w:b/>
          <w:bCs/>
          <w:szCs w:val="24"/>
        </w:rPr>
        <w:t xml:space="preserve"> </w:t>
      </w:r>
    </w:p>
    <w:p w14:paraId="6CEF3365" w14:textId="175F0237" w:rsidR="00FD553A" w:rsidRPr="00FD553A" w:rsidRDefault="00FD553A" w:rsidP="00FD553A">
      <w:pPr>
        <w:pStyle w:val="ListLevel1"/>
        <w:rPr>
          <w:rFonts w:cs="Arial"/>
          <w:b/>
          <w:bCs/>
          <w:szCs w:val="24"/>
        </w:rPr>
      </w:pPr>
      <w:r w:rsidRPr="00FD553A">
        <w:rPr>
          <w:rFonts w:cs="Arial"/>
          <w:szCs w:val="24"/>
        </w:rPr>
        <w:t>In my judgement at paragraph 80</w:t>
      </w:r>
      <w:r w:rsidR="009C62C6">
        <w:rPr>
          <w:rFonts w:cs="Arial"/>
          <w:szCs w:val="24"/>
        </w:rPr>
        <w:t>,</w:t>
      </w:r>
      <w:r w:rsidRPr="00FD553A">
        <w:rPr>
          <w:rStyle w:val="FootnoteReference"/>
          <w:rFonts w:cs="Arial"/>
          <w:szCs w:val="24"/>
        </w:rPr>
        <w:footnoteReference w:id="3"/>
      </w:r>
      <w:r w:rsidRPr="00FD553A">
        <w:rPr>
          <w:rFonts w:cs="Arial"/>
          <w:szCs w:val="24"/>
        </w:rPr>
        <w:t xml:space="preserve"> I stated that payment would “reflect” on the next day unless the conditions included the relevant banking details when a purchaser would then be fully informed to ensure that payment reflects on the same day.  I am of the view that the obligation to pay was discharged on the day as the proof of payment demonstrated.</w:t>
      </w:r>
    </w:p>
    <w:p w14:paraId="2F939CEF" w14:textId="77777777" w:rsidR="00FD553A" w:rsidRPr="00FD553A" w:rsidRDefault="00FD553A" w:rsidP="00FD553A">
      <w:pPr>
        <w:pStyle w:val="ListLevel1"/>
        <w:rPr>
          <w:rFonts w:cs="Arial"/>
          <w:b/>
          <w:bCs/>
          <w:szCs w:val="24"/>
        </w:rPr>
      </w:pPr>
      <w:r w:rsidRPr="00FD553A">
        <w:rPr>
          <w:rFonts w:cs="Arial"/>
          <w:szCs w:val="24"/>
        </w:rPr>
        <w:t>I referred to the judgement by Hoexter J, in the Greenfields case at paragraph 75 of the judgement</w:t>
      </w:r>
      <w:r w:rsidRPr="00FD553A">
        <w:rPr>
          <w:rStyle w:val="FootnoteReference"/>
          <w:rFonts w:cs="Arial"/>
          <w:szCs w:val="24"/>
        </w:rPr>
        <w:footnoteReference w:id="4"/>
      </w:r>
      <w:r w:rsidRPr="00FD553A">
        <w:rPr>
          <w:rFonts w:cs="Arial"/>
          <w:szCs w:val="24"/>
        </w:rPr>
        <w:t xml:space="preserve">  and found that on the facts before me, it would make business sense to expect payment to reflect on the next day and that a reading in of a tacit term in the contract, was appropriate, as the </w:t>
      </w:r>
      <w:r w:rsidRPr="00FD553A">
        <w:rPr>
          <w:rFonts w:cs="Arial"/>
          <w:szCs w:val="24"/>
        </w:rPr>
        <w:lastRenderedPageBreak/>
        <w:t>first respondent had aligned itself with the usual banking practise when it accepted payment by electronic funds transfer (EFT).</w:t>
      </w:r>
    </w:p>
    <w:p w14:paraId="4CF83E63" w14:textId="77777777" w:rsidR="00FD553A" w:rsidRPr="00FD553A" w:rsidRDefault="00FD553A" w:rsidP="00FD553A">
      <w:pPr>
        <w:pStyle w:val="ListLevel1"/>
        <w:rPr>
          <w:rFonts w:cs="Arial"/>
          <w:szCs w:val="24"/>
        </w:rPr>
      </w:pPr>
      <w:r w:rsidRPr="00FD553A">
        <w:rPr>
          <w:rFonts w:cs="Arial"/>
          <w:szCs w:val="24"/>
        </w:rPr>
        <w:t>Counsel further argued that a tacit term must be specifically pleaded, it was not open for the court to read in a tacit term.  I explained the reading in of a tacit term in paragraphs 80 to 84</w:t>
      </w:r>
      <w:r w:rsidRPr="00FD553A">
        <w:rPr>
          <w:rStyle w:val="FootnoteReference"/>
          <w:rFonts w:cs="Arial"/>
          <w:szCs w:val="24"/>
        </w:rPr>
        <w:footnoteReference w:id="5"/>
      </w:r>
      <w:r w:rsidRPr="00FD553A">
        <w:rPr>
          <w:rFonts w:cs="Arial"/>
          <w:szCs w:val="24"/>
        </w:rPr>
        <w:t xml:space="preserve">of the judgment, applying the business efficacy test.  </w:t>
      </w:r>
    </w:p>
    <w:p w14:paraId="6A7E3354" w14:textId="77777777" w:rsidR="00FD553A" w:rsidRPr="00FD553A" w:rsidRDefault="00FD553A" w:rsidP="00FD553A">
      <w:pPr>
        <w:pStyle w:val="ListLevel1"/>
        <w:rPr>
          <w:rFonts w:cs="Arial"/>
          <w:b/>
          <w:bCs/>
          <w:szCs w:val="24"/>
        </w:rPr>
      </w:pPr>
      <w:r w:rsidRPr="00FD553A">
        <w:rPr>
          <w:rFonts w:cs="Arial"/>
          <w:szCs w:val="24"/>
        </w:rPr>
        <w:t>The</w:t>
      </w:r>
      <w:r w:rsidRPr="00FD553A">
        <w:rPr>
          <w:rFonts w:cs="Arial"/>
          <w:b/>
          <w:bCs/>
          <w:szCs w:val="24"/>
        </w:rPr>
        <w:t xml:space="preserve"> </w:t>
      </w:r>
      <w:r w:rsidRPr="00FD553A">
        <w:rPr>
          <w:rFonts w:cs="Arial"/>
          <w:szCs w:val="24"/>
        </w:rPr>
        <w:t>judgment was further criticised as I permitted a new cause of action “</w:t>
      </w:r>
      <w:r w:rsidRPr="00FD553A">
        <w:rPr>
          <w:rFonts w:cs="Arial"/>
          <w:i/>
          <w:iCs/>
          <w:szCs w:val="24"/>
        </w:rPr>
        <w:t>the unfair</w:t>
      </w:r>
      <w:r w:rsidRPr="00FD553A">
        <w:rPr>
          <w:rFonts w:cs="Arial"/>
          <w:szCs w:val="24"/>
        </w:rPr>
        <w:t xml:space="preserve"> </w:t>
      </w:r>
      <w:r w:rsidRPr="00FD553A">
        <w:rPr>
          <w:rFonts w:cs="Arial"/>
          <w:i/>
          <w:iCs/>
          <w:szCs w:val="24"/>
        </w:rPr>
        <w:t>treatment of the buyers</w:t>
      </w:r>
      <w:r w:rsidRPr="00FD553A">
        <w:rPr>
          <w:rFonts w:cs="Arial"/>
          <w:szCs w:val="24"/>
        </w:rPr>
        <w:t xml:space="preserve">,” to be pleaded in the replying affidavit, it was argued the appellants/respondents a quo, did not have an opportunity to plead to this new cause of action. It was proffered that the applicant’s case was based only on “whether the conditions of sale substantially complied with form 21 and whether the sheriff complied with the conditions.” The applicant failed to make out its case in the founding papers and there was no obligation on the respondents to address this point.  It was submitted that the </w:t>
      </w:r>
      <w:proofErr w:type="spellStart"/>
      <w:r w:rsidRPr="009C62C6">
        <w:rPr>
          <w:rFonts w:cs="Arial"/>
          <w:i/>
          <w:szCs w:val="24"/>
        </w:rPr>
        <w:t>audi</w:t>
      </w:r>
      <w:proofErr w:type="spellEnd"/>
      <w:r w:rsidRPr="009C62C6">
        <w:rPr>
          <w:rFonts w:cs="Arial"/>
          <w:i/>
          <w:szCs w:val="24"/>
        </w:rPr>
        <w:t xml:space="preserve"> </w:t>
      </w:r>
      <w:proofErr w:type="spellStart"/>
      <w:r w:rsidRPr="009C62C6">
        <w:rPr>
          <w:rFonts w:cs="Arial"/>
          <w:i/>
          <w:szCs w:val="24"/>
        </w:rPr>
        <w:t>alterum</w:t>
      </w:r>
      <w:proofErr w:type="spellEnd"/>
      <w:r w:rsidRPr="009C62C6">
        <w:rPr>
          <w:rFonts w:cs="Arial"/>
          <w:i/>
          <w:szCs w:val="24"/>
        </w:rPr>
        <w:t xml:space="preserve"> </w:t>
      </w:r>
      <w:proofErr w:type="spellStart"/>
      <w:r w:rsidRPr="009C62C6">
        <w:rPr>
          <w:rFonts w:cs="Arial"/>
          <w:i/>
          <w:szCs w:val="24"/>
        </w:rPr>
        <w:t>partem</w:t>
      </w:r>
      <w:proofErr w:type="spellEnd"/>
      <w:r w:rsidRPr="00FD553A">
        <w:rPr>
          <w:rFonts w:cs="Arial"/>
          <w:szCs w:val="24"/>
        </w:rPr>
        <w:t xml:space="preserve"> rule must be applied and that the appellants are prejudiced, the court ought not to have permitted this nor should it have dealt with this point in its findings.</w:t>
      </w:r>
    </w:p>
    <w:p w14:paraId="068415C8" w14:textId="34A1E9EA" w:rsidR="00FD553A" w:rsidRPr="00FD553A" w:rsidRDefault="00FD553A" w:rsidP="00FD553A">
      <w:pPr>
        <w:pStyle w:val="ListLevel2"/>
        <w:rPr>
          <w:rFonts w:cs="Arial"/>
          <w:b/>
          <w:bCs/>
          <w:szCs w:val="24"/>
        </w:rPr>
      </w:pPr>
      <w:r w:rsidRPr="00FD553A">
        <w:rPr>
          <w:rFonts w:cs="Arial"/>
          <w:szCs w:val="24"/>
        </w:rPr>
        <w:t>I noted in the founding papers</w:t>
      </w:r>
      <w:r w:rsidRPr="00FD553A">
        <w:rPr>
          <w:rStyle w:val="FootnoteReference"/>
          <w:rFonts w:cs="Arial"/>
          <w:szCs w:val="24"/>
        </w:rPr>
        <w:footnoteReference w:id="6"/>
      </w:r>
      <w:r w:rsidRPr="00FD553A">
        <w:rPr>
          <w:rFonts w:cs="Arial"/>
          <w:szCs w:val="24"/>
        </w:rPr>
        <w:t xml:space="preserve"> that the applicants requested the first respondent, the sheriff to forward,  proof of payment by the 3</w:t>
      </w:r>
      <w:r w:rsidRPr="00FD553A">
        <w:rPr>
          <w:rFonts w:cs="Arial"/>
          <w:szCs w:val="24"/>
          <w:vertAlign w:val="superscript"/>
        </w:rPr>
        <w:t>rd</w:t>
      </w:r>
      <w:r w:rsidRPr="00FD553A">
        <w:rPr>
          <w:rFonts w:cs="Arial"/>
          <w:szCs w:val="24"/>
        </w:rPr>
        <w:t xml:space="preserve"> </w:t>
      </w:r>
      <w:r w:rsidRPr="00FD553A">
        <w:rPr>
          <w:rFonts w:cs="Arial"/>
          <w:szCs w:val="24"/>
        </w:rPr>
        <w:lastRenderedPageBreak/>
        <w:t>respondent and nothing was forthcoming.  Mr Van Wyk in reply to the court’s question advised that the proof was only available later and to my mind it was material to the policy and ethos of the rule regarding “</w:t>
      </w:r>
      <w:r w:rsidRPr="00FD553A">
        <w:rPr>
          <w:rFonts w:cs="Arial"/>
          <w:i/>
          <w:iCs/>
          <w:szCs w:val="24"/>
        </w:rPr>
        <w:t>sheriff’s mandate is to conduct a sale in the best interests of both debtor and creditor and to realise the highest price for the property</w:t>
      </w:r>
      <w:r w:rsidRPr="00FD553A">
        <w:rPr>
          <w:rFonts w:cs="Arial"/>
          <w:szCs w:val="24"/>
        </w:rPr>
        <w:t xml:space="preserve">.”  I allowed counsel to rely on the document, being the objective evidence to prove the sheriff’s unfair treatment of the two buyers, the respondents would have had to argue against the objective evidence, see </w:t>
      </w:r>
      <w:r w:rsidRPr="00FD553A">
        <w:rPr>
          <w:rFonts w:cs="Arial"/>
          <w:b/>
          <w:bCs/>
          <w:szCs w:val="24"/>
        </w:rPr>
        <w:t>DAWOOD v MAHOMED</w:t>
      </w:r>
      <w:r w:rsidRPr="00FD553A">
        <w:rPr>
          <w:rFonts w:cs="Arial"/>
          <w:bCs/>
          <w:szCs w:val="24"/>
        </w:rPr>
        <w:t>.</w:t>
      </w:r>
      <w:r w:rsidRPr="00FD553A">
        <w:rPr>
          <w:rStyle w:val="FootnoteReference"/>
          <w:rFonts w:cs="Arial"/>
          <w:szCs w:val="24"/>
        </w:rPr>
        <w:footnoteReference w:id="7"/>
      </w:r>
      <w:r w:rsidRPr="00FD553A">
        <w:rPr>
          <w:rFonts w:cs="Arial"/>
          <w:szCs w:val="24"/>
        </w:rPr>
        <w:t xml:space="preserve"> Mr van Wyk correctly argued that the appellant failed to use its remedies for a strike out of the paragraph, the R30 procedure, or to apply for leave to file a further affidavit. Mr Bester argued that the new cause of action “the unfair treatment” was central to my judgment, I disagree, in my judgment I highlighted the impracticality in the implementation of the conditions of sale and I did not disagree with the </w:t>
      </w:r>
      <w:proofErr w:type="spellStart"/>
      <w:r w:rsidRPr="00FD553A">
        <w:rPr>
          <w:rFonts w:cs="Arial"/>
          <w:szCs w:val="24"/>
        </w:rPr>
        <w:t>Chikalala</w:t>
      </w:r>
      <w:proofErr w:type="spellEnd"/>
      <w:r w:rsidRPr="00FD553A">
        <w:rPr>
          <w:rFonts w:cs="Arial"/>
          <w:szCs w:val="24"/>
        </w:rPr>
        <w:t xml:space="preserve"> judgment but took the view that the banking details must be included in the conditions of sale so the buyer is provided with all necessary information to effectively participate in the sale and perhaps succeed.</w:t>
      </w:r>
    </w:p>
    <w:p w14:paraId="14443B3A" w14:textId="77777777" w:rsidR="00FD553A" w:rsidRPr="00FD553A" w:rsidRDefault="00FD553A" w:rsidP="00FD553A">
      <w:pPr>
        <w:pStyle w:val="ListLevel1"/>
        <w:rPr>
          <w:rFonts w:cs="Arial"/>
          <w:b/>
          <w:bCs/>
          <w:szCs w:val="24"/>
        </w:rPr>
      </w:pPr>
      <w:r w:rsidRPr="00FD553A">
        <w:rPr>
          <w:rFonts w:cs="Arial"/>
          <w:szCs w:val="24"/>
        </w:rPr>
        <w:t>The</w:t>
      </w:r>
      <w:r w:rsidRPr="00FD553A">
        <w:rPr>
          <w:rFonts w:cs="Arial"/>
          <w:b/>
          <w:bCs/>
          <w:szCs w:val="24"/>
        </w:rPr>
        <w:t xml:space="preserve"> </w:t>
      </w:r>
      <w:r w:rsidRPr="00FD553A">
        <w:rPr>
          <w:rFonts w:cs="Arial"/>
          <w:szCs w:val="24"/>
        </w:rPr>
        <w:t xml:space="preserve">appellant argued that in paragraph 73 of the judgment, the court was wrong in expecting the sheriff to inform parties about the law and when </w:t>
      </w:r>
      <w:r w:rsidRPr="00FD553A">
        <w:rPr>
          <w:rFonts w:cs="Arial"/>
          <w:szCs w:val="24"/>
        </w:rPr>
        <w:lastRenderedPageBreak/>
        <w:t xml:space="preserve">payment must be made.  Counsel focused on the last line of the paragraph, but if read in context it will be noted that the appellants on their version, at the hearing of this matter,  arrived on the morning of the sale and sought to explain that “at the fall of the hammer, meant within 10 or 15 minutes of the sale”.  I am of the view this is a new term and material, the appellants only offered an explanation on the morning of the sale, because it obviously was unclear.  If the sheriff seeks to impose the strict time lines, again the public must be informed ahead to comply.  It is not unusual for buyers to be represented by proxy, as was the case in </w:t>
      </w:r>
      <w:proofErr w:type="spellStart"/>
      <w:r w:rsidRPr="00FD553A">
        <w:rPr>
          <w:rFonts w:cs="Arial"/>
          <w:szCs w:val="24"/>
        </w:rPr>
        <w:t>casu</w:t>
      </w:r>
      <w:proofErr w:type="spellEnd"/>
      <w:r w:rsidRPr="00FD553A">
        <w:rPr>
          <w:rFonts w:cs="Arial"/>
          <w:szCs w:val="24"/>
        </w:rPr>
        <w:t>.  Mr Bester submitted that the conditions of sale were never in dispute, the respondent knew of the conditions of sale, and the sheriff read them out on the morning of the sale, he further submitted that there was no evidence before me that the conditions of sale were inappropriate, unfair, or invalid. Mr van Wyk argued that the implementation of those conditions was unfair, and not within the ethos of the Rule. It led to an absurdity where the second sale realised a lower price, and the sheriff  unfairly “accommodated” the second buyer when he produced a proof of payment some two hours after the fall of the hammer, as evidenced in annexure RA2</w:t>
      </w:r>
      <w:r w:rsidRPr="00FD553A">
        <w:rPr>
          <w:rStyle w:val="FootnoteReference"/>
          <w:rFonts w:cs="Arial"/>
          <w:szCs w:val="24"/>
        </w:rPr>
        <w:footnoteReference w:id="8"/>
      </w:r>
      <w:r w:rsidRPr="00FD553A">
        <w:rPr>
          <w:rFonts w:cs="Arial"/>
          <w:szCs w:val="24"/>
        </w:rPr>
        <w:t xml:space="preserve"> to the replying affidavit.</w:t>
      </w:r>
    </w:p>
    <w:p w14:paraId="18A0E1EF" w14:textId="77777777" w:rsidR="00FD553A" w:rsidRPr="00FD553A" w:rsidRDefault="00FD553A" w:rsidP="00FD553A">
      <w:pPr>
        <w:pStyle w:val="ListLevel1"/>
        <w:rPr>
          <w:rFonts w:cs="Arial"/>
          <w:b/>
          <w:bCs/>
          <w:szCs w:val="24"/>
        </w:rPr>
      </w:pPr>
      <w:r w:rsidRPr="00FD553A">
        <w:rPr>
          <w:rFonts w:cs="Arial"/>
          <w:szCs w:val="24"/>
        </w:rPr>
        <w:t>In</w:t>
      </w:r>
      <w:r w:rsidRPr="00FD553A">
        <w:rPr>
          <w:rFonts w:cs="Arial"/>
          <w:b/>
          <w:bCs/>
          <w:szCs w:val="24"/>
        </w:rPr>
        <w:t xml:space="preserve"> </w:t>
      </w:r>
      <w:r w:rsidRPr="00FD553A">
        <w:rPr>
          <w:rFonts w:cs="Arial"/>
          <w:szCs w:val="24"/>
        </w:rPr>
        <w:t xml:space="preserve">my judgment I inadvertently referred to “administrative act,” but if read within context of paragraphs 69 and 70 of my judgment, I meant to refer to </w:t>
      </w:r>
      <w:r w:rsidRPr="00FD553A">
        <w:rPr>
          <w:rFonts w:cs="Arial"/>
          <w:szCs w:val="24"/>
        </w:rPr>
        <w:lastRenderedPageBreak/>
        <w:t>the sheriff as an extension of a court, a judicial authority in the context of sales in execution, nothing turns on it.</w:t>
      </w:r>
    </w:p>
    <w:p w14:paraId="6F085AB3" w14:textId="6CED66D7" w:rsidR="00FD553A" w:rsidRPr="00FD553A" w:rsidRDefault="00484414" w:rsidP="00FD553A">
      <w:pPr>
        <w:pStyle w:val="ListLevel1"/>
        <w:rPr>
          <w:rFonts w:cs="Arial"/>
          <w:b/>
          <w:bCs/>
          <w:szCs w:val="24"/>
        </w:rPr>
      </w:pPr>
      <w:r>
        <w:rPr>
          <w:rFonts w:cs="Arial"/>
          <w:szCs w:val="24"/>
        </w:rPr>
        <w:t xml:space="preserve">I note the appellant interprets my finding in regard to the payment by the debtor “on the day” differently and counsels submissions that the area of practise is common and widespread throughout </w:t>
      </w:r>
      <w:r w:rsidR="005F7E1B">
        <w:rPr>
          <w:rFonts w:cs="Arial"/>
          <w:szCs w:val="24"/>
        </w:rPr>
        <w:t>all jurisdictions and practitioners would benefit from another court’s clarity on “payment on the day</w:t>
      </w:r>
      <w:proofErr w:type="gramStart"/>
      <w:r w:rsidR="005F7E1B">
        <w:rPr>
          <w:rFonts w:cs="Arial"/>
          <w:szCs w:val="24"/>
        </w:rPr>
        <w:t>” ,</w:t>
      </w:r>
      <w:proofErr w:type="gramEnd"/>
      <w:r w:rsidR="005F7E1B">
        <w:rPr>
          <w:rFonts w:cs="Arial"/>
          <w:szCs w:val="24"/>
        </w:rPr>
        <w:t xml:space="preserve"> t</w:t>
      </w:r>
      <w:r w:rsidR="00FD553A" w:rsidRPr="00FD553A">
        <w:rPr>
          <w:rFonts w:cs="Arial"/>
          <w:szCs w:val="24"/>
        </w:rPr>
        <w:t xml:space="preserve">he condition in Rule 46, </w:t>
      </w:r>
      <w:r w:rsidR="00FD553A" w:rsidRPr="00FD553A">
        <w:rPr>
          <w:rFonts w:cs="Arial"/>
          <w:i/>
          <w:iCs/>
          <w:szCs w:val="24"/>
        </w:rPr>
        <w:t>“payment to the</w:t>
      </w:r>
      <w:r w:rsidR="00FD553A" w:rsidRPr="00FD553A">
        <w:rPr>
          <w:rFonts w:cs="Arial"/>
          <w:szCs w:val="24"/>
        </w:rPr>
        <w:t xml:space="preserve"> </w:t>
      </w:r>
      <w:r w:rsidR="00FD553A" w:rsidRPr="00FD553A">
        <w:rPr>
          <w:rFonts w:cs="Arial"/>
          <w:i/>
          <w:iCs/>
          <w:szCs w:val="24"/>
        </w:rPr>
        <w:t>satisfaction of the sheriff</w:t>
      </w:r>
      <w:r w:rsidR="00FD553A" w:rsidRPr="00FD553A">
        <w:rPr>
          <w:rFonts w:cs="Arial"/>
          <w:szCs w:val="24"/>
        </w:rPr>
        <w:t>”</w:t>
      </w:r>
      <w:r w:rsidR="005F7E1B">
        <w:rPr>
          <w:rFonts w:cs="Arial"/>
          <w:szCs w:val="24"/>
        </w:rPr>
        <w:t xml:space="preserve">.  And </w:t>
      </w:r>
      <w:r w:rsidR="00FD553A" w:rsidRPr="00FD553A">
        <w:rPr>
          <w:rFonts w:cs="Arial"/>
          <w:szCs w:val="24"/>
        </w:rPr>
        <w:t xml:space="preserve">given the dearth of judgments in line with current banking practises.   I am of the view that </w:t>
      </w:r>
      <w:r w:rsidR="005F7E1B">
        <w:rPr>
          <w:rFonts w:cs="Arial"/>
          <w:szCs w:val="24"/>
        </w:rPr>
        <w:t>it is in the interest of justice that leave be granted.</w:t>
      </w:r>
    </w:p>
    <w:p w14:paraId="2E8C6CCE" w14:textId="77777777" w:rsidR="00FD553A" w:rsidRPr="00FD553A" w:rsidRDefault="00FD553A" w:rsidP="00FD553A">
      <w:pPr>
        <w:pStyle w:val="ListLevel1"/>
        <w:numPr>
          <w:ilvl w:val="0"/>
          <w:numId w:val="0"/>
        </w:numPr>
        <w:rPr>
          <w:rFonts w:cs="Arial"/>
          <w:b/>
          <w:bCs/>
          <w:szCs w:val="24"/>
        </w:rPr>
      </w:pPr>
      <w:r w:rsidRPr="00FD553A">
        <w:rPr>
          <w:rFonts w:cs="Arial"/>
          <w:szCs w:val="24"/>
        </w:rPr>
        <w:t>Accordingly, I make the following order:</w:t>
      </w:r>
    </w:p>
    <w:p w14:paraId="7C12BA22" w14:textId="77777777" w:rsidR="00FD553A" w:rsidRPr="00FD553A" w:rsidRDefault="00FD553A" w:rsidP="00FD553A">
      <w:pPr>
        <w:pStyle w:val="ListLevel1"/>
        <w:numPr>
          <w:ilvl w:val="0"/>
          <w:numId w:val="18"/>
        </w:numPr>
        <w:tabs>
          <w:tab w:val="clear" w:pos="1560"/>
          <w:tab w:val="num" w:pos="1134"/>
        </w:tabs>
        <w:ind w:left="1134" w:hanging="708"/>
        <w:rPr>
          <w:rFonts w:cs="Arial"/>
          <w:b/>
          <w:bCs/>
          <w:szCs w:val="24"/>
        </w:rPr>
      </w:pPr>
      <w:r w:rsidRPr="00FD553A">
        <w:rPr>
          <w:rFonts w:cs="Arial"/>
          <w:szCs w:val="24"/>
        </w:rPr>
        <w:t>Leave to appeal is granted to the Full Court of the Gauteng Division, Johannesburg.</w:t>
      </w:r>
    </w:p>
    <w:p w14:paraId="40E2BEB6" w14:textId="5A048FEF" w:rsidR="00FD553A" w:rsidRPr="00FD553A" w:rsidRDefault="00FD553A" w:rsidP="00FD553A">
      <w:pPr>
        <w:pStyle w:val="ListLevel1"/>
        <w:numPr>
          <w:ilvl w:val="0"/>
          <w:numId w:val="18"/>
        </w:numPr>
        <w:tabs>
          <w:tab w:val="clear" w:pos="1560"/>
          <w:tab w:val="num" w:pos="1134"/>
        </w:tabs>
        <w:ind w:left="1134" w:hanging="708"/>
        <w:rPr>
          <w:rFonts w:cs="Arial"/>
          <w:b/>
          <w:bCs/>
          <w:szCs w:val="24"/>
        </w:rPr>
      </w:pPr>
      <w:r w:rsidRPr="00FD553A">
        <w:rPr>
          <w:rFonts w:cs="Arial"/>
          <w:szCs w:val="24"/>
        </w:rPr>
        <w:t>Costs to be in the appeal.</w:t>
      </w:r>
    </w:p>
    <w:p w14:paraId="334EAE72" w14:textId="16931522" w:rsidR="001A491F" w:rsidRPr="00FD553A" w:rsidRDefault="00E11733" w:rsidP="001A491F">
      <w:pPr>
        <w:spacing w:line="480" w:lineRule="auto"/>
        <w:ind w:left="720" w:hanging="720"/>
        <w:rPr>
          <w:rFonts w:ascii="Arial" w:hAnsi="Arial" w:cs="Arial"/>
          <w:sz w:val="24"/>
          <w:szCs w:val="24"/>
        </w:rPr>
      </w:pPr>
      <w:r w:rsidRPr="00FD553A">
        <w:rPr>
          <w:rFonts w:ascii="Arial" w:hAnsi="Arial" w:cs="Arial"/>
          <w:sz w:val="24"/>
          <w:szCs w:val="24"/>
        </w:rPr>
        <w:tab/>
      </w:r>
      <w:r w:rsidRPr="00FD553A">
        <w:rPr>
          <w:rFonts w:ascii="Arial" w:hAnsi="Arial" w:cs="Arial"/>
          <w:sz w:val="24"/>
          <w:szCs w:val="24"/>
        </w:rPr>
        <w:tab/>
      </w:r>
      <w:bookmarkStart w:id="2" w:name="_GoBack"/>
      <w:bookmarkEnd w:id="2"/>
    </w:p>
    <w:p w14:paraId="713FA4B4" w14:textId="77777777" w:rsidR="009C62C6" w:rsidRDefault="009C62C6" w:rsidP="009C62C6">
      <w:pPr>
        <w:spacing w:line="240" w:lineRule="auto"/>
        <w:rPr>
          <w:rFonts w:ascii="Arial" w:hAnsi="Arial" w:cs="Arial"/>
          <w:sz w:val="24"/>
          <w:szCs w:val="24"/>
        </w:rPr>
      </w:pPr>
    </w:p>
    <w:p w14:paraId="5D839786" w14:textId="3B27644D" w:rsidR="005832A2" w:rsidRPr="00FD553A" w:rsidRDefault="005832A2" w:rsidP="009C62C6">
      <w:pPr>
        <w:spacing w:line="240" w:lineRule="auto"/>
        <w:rPr>
          <w:rFonts w:ascii="Arial" w:hAnsi="Arial" w:cs="Arial"/>
          <w:sz w:val="24"/>
          <w:szCs w:val="24"/>
        </w:rPr>
      </w:pPr>
      <w:r w:rsidRPr="00FD553A">
        <w:rPr>
          <w:rFonts w:ascii="Arial" w:hAnsi="Arial" w:cs="Arial"/>
          <w:sz w:val="24"/>
          <w:szCs w:val="24"/>
        </w:rPr>
        <w:t>________________________</w:t>
      </w:r>
    </w:p>
    <w:p w14:paraId="1C58CC25" w14:textId="77777777" w:rsidR="005832A2" w:rsidRPr="009C62C6" w:rsidRDefault="005832A2" w:rsidP="005832A2">
      <w:pPr>
        <w:pStyle w:val="ListLevel1"/>
        <w:numPr>
          <w:ilvl w:val="0"/>
          <w:numId w:val="0"/>
        </w:numPr>
        <w:spacing w:after="120" w:line="240" w:lineRule="auto"/>
        <w:rPr>
          <w:rFonts w:cs="Arial"/>
          <w:b/>
          <w:szCs w:val="24"/>
        </w:rPr>
      </w:pPr>
      <w:r w:rsidRPr="009C62C6">
        <w:rPr>
          <w:rFonts w:cs="Arial"/>
          <w:b/>
          <w:szCs w:val="24"/>
        </w:rPr>
        <w:t>MAHOMED AJ</w:t>
      </w:r>
    </w:p>
    <w:p w14:paraId="159C6077" w14:textId="0DF9AEB6" w:rsidR="005832A2" w:rsidRPr="00FD553A" w:rsidRDefault="005832A2" w:rsidP="005832A2">
      <w:pPr>
        <w:pStyle w:val="ListLevel1"/>
        <w:numPr>
          <w:ilvl w:val="0"/>
          <w:numId w:val="0"/>
        </w:numPr>
        <w:spacing w:after="120" w:line="240" w:lineRule="auto"/>
        <w:rPr>
          <w:rFonts w:cs="Arial"/>
          <w:szCs w:val="24"/>
        </w:rPr>
      </w:pPr>
      <w:r w:rsidRPr="00FD553A">
        <w:rPr>
          <w:rFonts w:cs="Arial"/>
          <w:szCs w:val="24"/>
        </w:rPr>
        <w:t>Acting Judge of the High Court</w:t>
      </w:r>
    </w:p>
    <w:p w14:paraId="3EB0348A" w14:textId="08DC635C" w:rsidR="00FD553A" w:rsidRPr="00FD553A" w:rsidRDefault="00FD553A" w:rsidP="005832A2">
      <w:pPr>
        <w:pStyle w:val="ListLevel1"/>
        <w:numPr>
          <w:ilvl w:val="0"/>
          <w:numId w:val="0"/>
        </w:numPr>
        <w:spacing w:after="120" w:line="240" w:lineRule="auto"/>
        <w:rPr>
          <w:rFonts w:cs="Arial"/>
          <w:szCs w:val="24"/>
        </w:rPr>
      </w:pPr>
    </w:p>
    <w:p w14:paraId="09DC7001" w14:textId="77777777" w:rsidR="00FD553A" w:rsidRPr="00FD553A" w:rsidRDefault="00FD553A" w:rsidP="005832A2">
      <w:pPr>
        <w:pStyle w:val="ListLevel1"/>
        <w:numPr>
          <w:ilvl w:val="0"/>
          <w:numId w:val="0"/>
        </w:numPr>
        <w:spacing w:after="120" w:line="240" w:lineRule="auto"/>
        <w:rPr>
          <w:rFonts w:cs="Arial"/>
          <w:szCs w:val="24"/>
        </w:rPr>
      </w:pPr>
    </w:p>
    <w:p w14:paraId="279CF525" w14:textId="77777777" w:rsidR="009C62C6" w:rsidRDefault="009C62C6" w:rsidP="005832A2">
      <w:pPr>
        <w:pStyle w:val="ListLevel1"/>
        <w:numPr>
          <w:ilvl w:val="0"/>
          <w:numId w:val="0"/>
        </w:numPr>
        <w:rPr>
          <w:rFonts w:cs="Arial"/>
          <w:szCs w:val="24"/>
        </w:rPr>
      </w:pPr>
    </w:p>
    <w:p w14:paraId="09670A4C" w14:textId="319E7937" w:rsidR="005832A2" w:rsidRPr="00FD553A" w:rsidRDefault="005832A2" w:rsidP="005832A2">
      <w:pPr>
        <w:pStyle w:val="ListLevel1"/>
        <w:numPr>
          <w:ilvl w:val="0"/>
          <w:numId w:val="0"/>
        </w:numPr>
        <w:rPr>
          <w:rFonts w:cs="Arial"/>
          <w:bCs/>
          <w:szCs w:val="24"/>
        </w:rPr>
      </w:pPr>
      <w:r w:rsidRPr="00FD553A">
        <w:rPr>
          <w:rFonts w:cs="Arial"/>
          <w:szCs w:val="24"/>
        </w:rPr>
        <w:t xml:space="preserve">This judgment was prepared and authored by Acting Judge Mahomed. It is handed down electronically by circulation to the parties or their legal representatives by email and by uploading it to the electronic file of this matter on </w:t>
      </w:r>
      <w:proofErr w:type="spellStart"/>
      <w:r w:rsidRPr="00FD553A">
        <w:rPr>
          <w:rFonts w:cs="Arial"/>
          <w:szCs w:val="24"/>
        </w:rPr>
        <w:t>Caselines</w:t>
      </w:r>
      <w:proofErr w:type="spellEnd"/>
      <w:r w:rsidRPr="00FD553A">
        <w:rPr>
          <w:rFonts w:cs="Arial"/>
          <w:szCs w:val="24"/>
        </w:rPr>
        <w:t xml:space="preserve">.  The date for hand-down is deemed to be </w:t>
      </w:r>
      <w:r w:rsidR="00FD553A" w:rsidRPr="00FD553A">
        <w:rPr>
          <w:rFonts w:cs="Arial"/>
          <w:szCs w:val="24"/>
        </w:rPr>
        <w:t>______________</w:t>
      </w:r>
      <w:r w:rsidRPr="00FD553A">
        <w:rPr>
          <w:rFonts w:cs="Arial"/>
          <w:szCs w:val="24"/>
        </w:rPr>
        <w:t>.</w:t>
      </w:r>
    </w:p>
    <w:p w14:paraId="65059AF2" w14:textId="77777777" w:rsidR="00FD553A" w:rsidRPr="00FD553A" w:rsidRDefault="00FD553A" w:rsidP="001A491F">
      <w:pPr>
        <w:spacing w:line="480" w:lineRule="auto"/>
        <w:rPr>
          <w:rFonts w:ascii="Arial" w:hAnsi="Arial" w:cs="Arial"/>
          <w:sz w:val="24"/>
          <w:szCs w:val="24"/>
        </w:rPr>
      </w:pPr>
    </w:p>
    <w:p w14:paraId="17F30840" w14:textId="77777777" w:rsidR="00FD553A" w:rsidRPr="00FD553A" w:rsidRDefault="00FD553A" w:rsidP="00FD553A">
      <w:pPr>
        <w:spacing w:line="480" w:lineRule="auto"/>
        <w:rPr>
          <w:rFonts w:ascii="Arial" w:hAnsi="Arial" w:cs="Arial"/>
          <w:b/>
          <w:bCs/>
          <w:sz w:val="24"/>
          <w:szCs w:val="24"/>
        </w:rPr>
      </w:pPr>
      <w:r w:rsidRPr="00FD553A">
        <w:rPr>
          <w:rFonts w:ascii="Arial" w:hAnsi="Arial" w:cs="Arial"/>
          <w:b/>
          <w:bCs/>
          <w:sz w:val="24"/>
          <w:szCs w:val="24"/>
        </w:rPr>
        <w:t>Date of Hearing:</w:t>
      </w:r>
      <w:r w:rsidRPr="00FD553A">
        <w:rPr>
          <w:rFonts w:ascii="Arial" w:hAnsi="Arial" w:cs="Arial"/>
          <w:b/>
          <w:bCs/>
          <w:sz w:val="24"/>
          <w:szCs w:val="24"/>
        </w:rPr>
        <w:tab/>
      </w:r>
      <w:r w:rsidRPr="00FD553A">
        <w:rPr>
          <w:rFonts w:ascii="Arial" w:hAnsi="Arial" w:cs="Arial"/>
          <w:b/>
          <w:bCs/>
          <w:sz w:val="24"/>
          <w:szCs w:val="24"/>
        </w:rPr>
        <w:tab/>
        <w:t>3 November 2023</w:t>
      </w:r>
    </w:p>
    <w:p w14:paraId="619040F6" w14:textId="67343966" w:rsidR="00FD553A" w:rsidRPr="00FD553A" w:rsidRDefault="00FD553A" w:rsidP="00FD553A">
      <w:pPr>
        <w:spacing w:line="480" w:lineRule="auto"/>
        <w:rPr>
          <w:rFonts w:ascii="Arial" w:hAnsi="Arial" w:cs="Arial"/>
          <w:b/>
          <w:bCs/>
          <w:sz w:val="24"/>
          <w:szCs w:val="24"/>
        </w:rPr>
      </w:pPr>
      <w:r w:rsidRPr="00FD553A">
        <w:rPr>
          <w:rFonts w:ascii="Arial" w:hAnsi="Arial" w:cs="Arial"/>
          <w:b/>
          <w:bCs/>
          <w:sz w:val="24"/>
          <w:szCs w:val="24"/>
        </w:rPr>
        <w:t>Date of Judgment:</w:t>
      </w:r>
      <w:r w:rsidRPr="00FD553A">
        <w:rPr>
          <w:rFonts w:ascii="Arial" w:hAnsi="Arial" w:cs="Arial"/>
          <w:b/>
          <w:bCs/>
          <w:sz w:val="24"/>
          <w:szCs w:val="24"/>
        </w:rPr>
        <w:tab/>
      </w:r>
      <w:r w:rsidRPr="00FD553A">
        <w:rPr>
          <w:rFonts w:ascii="Arial" w:hAnsi="Arial" w:cs="Arial"/>
          <w:b/>
          <w:bCs/>
          <w:sz w:val="24"/>
          <w:szCs w:val="24"/>
        </w:rPr>
        <w:tab/>
        <w:t>_ January 2024</w:t>
      </w:r>
    </w:p>
    <w:p w14:paraId="30A64A83" w14:textId="77777777" w:rsidR="00FD553A" w:rsidRPr="00FD553A" w:rsidRDefault="00FD553A" w:rsidP="00FD553A">
      <w:pPr>
        <w:spacing w:line="480" w:lineRule="auto"/>
        <w:rPr>
          <w:rFonts w:ascii="Arial" w:hAnsi="Arial" w:cs="Arial"/>
          <w:b/>
          <w:bCs/>
          <w:sz w:val="24"/>
          <w:szCs w:val="24"/>
        </w:rPr>
      </w:pPr>
    </w:p>
    <w:p w14:paraId="73F9A6AB" w14:textId="77777777" w:rsidR="00FD553A" w:rsidRPr="00FD553A" w:rsidRDefault="00FD553A" w:rsidP="00FD553A">
      <w:pPr>
        <w:spacing w:line="480" w:lineRule="auto"/>
        <w:rPr>
          <w:rFonts w:ascii="Arial" w:hAnsi="Arial" w:cs="Arial"/>
          <w:b/>
          <w:bCs/>
          <w:sz w:val="24"/>
          <w:szCs w:val="24"/>
        </w:rPr>
      </w:pPr>
    </w:p>
    <w:p w14:paraId="761902AB" w14:textId="76855422" w:rsidR="00FD553A" w:rsidRPr="00FD553A" w:rsidRDefault="00FD553A" w:rsidP="00FD553A">
      <w:pPr>
        <w:spacing w:line="480" w:lineRule="auto"/>
        <w:rPr>
          <w:rFonts w:ascii="Arial" w:hAnsi="Arial" w:cs="Arial"/>
          <w:b/>
          <w:bCs/>
          <w:sz w:val="24"/>
          <w:szCs w:val="24"/>
        </w:rPr>
      </w:pPr>
      <w:r w:rsidRPr="00FD553A">
        <w:rPr>
          <w:rFonts w:ascii="Arial" w:hAnsi="Arial" w:cs="Arial"/>
          <w:b/>
          <w:bCs/>
          <w:sz w:val="24"/>
          <w:szCs w:val="24"/>
        </w:rPr>
        <w:t>APPEARANCES:</w:t>
      </w:r>
    </w:p>
    <w:p w14:paraId="38884A24" w14:textId="77777777" w:rsidR="00FD553A" w:rsidRPr="00FD553A" w:rsidRDefault="00FD553A" w:rsidP="00FD553A">
      <w:pPr>
        <w:spacing w:line="480" w:lineRule="auto"/>
        <w:rPr>
          <w:rFonts w:ascii="Arial" w:hAnsi="Arial" w:cs="Arial"/>
          <w:sz w:val="24"/>
          <w:szCs w:val="24"/>
        </w:rPr>
      </w:pPr>
      <w:r w:rsidRPr="00FD553A">
        <w:rPr>
          <w:rFonts w:ascii="Arial" w:hAnsi="Arial" w:cs="Arial"/>
          <w:sz w:val="24"/>
          <w:szCs w:val="24"/>
        </w:rPr>
        <w:t>For Appellant:</w:t>
      </w:r>
      <w:r w:rsidRPr="00FD553A">
        <w:rPr>
          <w:rFonts w:ascii="Arial" w:hAnsi="Arial" w:cs="Arial"/>
          <w:sz w:val="24"/>
          <w:szCs w:val="24"/>
        </w:rPr>
        <w:tab/>
      </w:r>
      <w:r w:rsidRPr="00FD553A">
        <w:rPr>
          <w:rFonts w:ascii="Arial" w:hAnsi="Arial" w:cs="Arial"/>
          <w:sz w:val="24"/>
          <w:szCs w:val="24"/>
        </w:rPr>
        <w:tab/>
        <w:t>Advocate C Bester</w:t>
      </w:r>
    </w:p>
    <w:p w14:paraId="5F910FD5" w14:textId="77777777" w:rsidR="00FD553A" w:rsidRPr="00FD553A" w:rsidRDefault="00FD553A" w:rsidP="00FD553A">
      <w:pPr>
        <w:spacing w:line="480" w:lineRule="auto"/>
        <w:rPr>
          <w:rFonts w:ascii="Arial" w:hAnsi="Arial" w:cs="Arial"/>
          <w:sz w:val="24"/>
          <w:szCs w:val="24"/>
        </w:rPr>
      </w:pPr>
      <w:r w:rsidRPr="00FD553A">
        <w:rPr>
          <w:rFonts w:ascii="Arial" w:hAnsi="Arial" w:cs="Arial"/>
          <w:sz w:val="24"/>
          <w:szCs w:val="24"/>
        </w:rPr>
        <w:t>Instructed by:</w:t>
      </w:r>
      <w:r w:rsidRPr="00FD553A">
        <w:rPr>
          <w:rFonts w:ascii="Arial" w:hAnsi="Arial" w:cs="Arial"/>
          <w:sz w:val="24"/>
          <w:szCs w:val="24"/>
        </w:rPr>
        <w:tab/>
      </w:r>
      <w:r w:rsidRPr="00FD553A">
        <w:rPr>
          <w:rFonts w:ascii="Arial" w:hAnsi="Arial" w:cs="Arial"/>
          <w:sz w:val="24"/>
          <w:szCs w:val="24"/>
        </w:rPr>
        <w:tab/>
      </w:r>
      <w:proofErr w:type="spellStart"/>
      <w:r w:rsidRPr="00FD553A">
        <w:rPr>
          <w:rFonts w:ascii="Arial" w:hAnsi="Arial" w:cs="Arial"/>
          <w:sz w:val="24"/>
          <w:szCs w:val="24"/>
        </w:rPr>
        <w:t>Fluxmans</w:t>
      </w:r>
      <w:proofErr w:type="spellEnd"/>
    </w:p>
    <w:p w14:paraId="5B194687" w14:textId="03AD5271" w:rsidR="00FD553A" w:rsidRPr="00FD553A" w:rsidRDefault="00FD553A" w:rsidP="00FD553A">
      <w:pPr>
        <w:spacing w:line="480" w:lineRule="auto"/>
        <w:rPr>
          <w:rFonts w:ascii="Arial" w:hAnsi="Arial" w:cs="Arial"/>
          <w:sz w:val="24"/>
          <w:szCs w:val="24"/>
        </w:rPr>
      </w:pPr>
      <w:r w:rsidRPr="00FD553A">
        <w:rPr>
          <w:rFonts w:ascii="Arial" w:hAnsi="Arial" w:cs="Arial"/>
          <w:sz w:val="24"/>
          <w:szCs w:val="24"/>
        </w:rPr>
        <w:t>Email:</w:t>
      </w:r>
      <w:r w:rsidRPr="00FD553A">
        <w:rPr>
          <w:rFonts w:ascii="Arial" w:hAnsi="Arial" w:cs="Arial"/>
          <w:sz w:val="24"/>
          <w:szCs w:val="24"/>
        </w:rPr>
        <w:tab/>
      </w:r>
      <w:r w:rsidRPr="00FD553A">
        <w:rPr>
          <w:rFonts w:ascii="Arial" w:hAnsi="Arial" w:cs="Arial"/>
          <w:sz w:val="24"/>
          <w:szCs w:val="24"/>
        </w:rPr>
        <w:tab/>
      </w:r>
      <w:r w:rsidRPr="00FD553A">
        <w:rPr>
          <w:rFonts w:ascii="Arial" w:hAnsi="Arial" w:cs="Arial"/>
          <w:sz w:val="24"/>
          <w:szCs w:val="24"/>
        </w:rPr>
        <w:tab/>
      </w:r>
      <w:r w:rsidRPr="00FD553A">
        <w:rPr>
          <w:rFonts w:ascii="Arial" w:hAnsi="Arial" w:cs="Arial"/>
          <w:sz w:val="24"/>
          <w:szCs w:val="24"/>
        </w:rPr>
        <w:tab/>
      </w:r>
      <w:hyperlink r:id="rId9" w:history="1">
        <w:r w:rsidRPr="00FD553A">
          <w:rPr>
            <w:rStyle w:val="Hyperlink"/>
            <w:rFonts w:ascii="Arial" w:hAnsi="Arial" w:cs="Arial"/>
            <w:sz w:val="24"/>
            <w:szCs w:val="24"/>
          </w:rPr>
          <w:t>jlevitz@fluxmans.com</w:t>
        </w:r>
      </w:hyperlink>
      <w:r w:rsidRPr="00FD553A">
        <w:rPr>
          <w:rFonts w:ascii="Arial" w:hAnsi="Arial" w:cs="Arial"/>
          <w:sz w:val="24"/>
          <w:szCs w:val="24"/>
        </w:rPr>
        <w:t xml:space="preserve"> </w:t>
      </w:r>
    </w:p>
    <w:p w14:paraId="73B39550" w14:textId="77777777" w:rsidR="00FD553A" w:rsidRPr="00FD553A" w:rsidRDefault="00FD553A" w:rsidP="00FD553A">
      <w:pPr>
        <w:spacing w:line="480" w:lineRule="auto"/>
        <w:rPr>
          <w:rFonts w:ascii="Arial" w:hAnsi="Arial" w:cs="Arial"/>
          <w:sz w:val="24"/>
          <w:szCs w:val="24"/>
        </w:rPr>
      </w:pPr>
    </w:p>
    <w:p w14:paraId="4B7409F5" w14:textId="77777777" w:rsidR="00FD553A" w:rsidRPr="00FD553A" w:rsidRDefault="00FD553A" w:rsidP="00FD553A">
      <w:pPr>
        <w:spacing w:line="480" w:lineRule="auto"/>
        <w:rPr>
          <w:rFonts w:ascii="Arial" w:hAnsi="Arial" w:cs="Arial"/>
          <w:sz w:val="24"/>
          <w:szCs w:val="24"/>
        </w:rPr>
      </w:pPr>
      <w:r w:rsidRPr="00FD553A">
        <w:rPr>
          <w:rFonts w:ascii="Arial" w:hAnsi="Arial" w:cs="Arial"/>
          <w:sz w:val="24"/>
          <w:szCs w:val="24"/>
        </w:rPr>
        <w:t>For Respondent:</w:t>
      </w:r>
      <w:r w:rsidRPr="00FD553A">
        <w:rPr>
          <w:rFonts w:ascii="Arial" w:hAnsi="Arial" w:cs="Arial"/>
          <w:sz w:val="24"/>
          <w:szCs w:val="24"/>
        </w:rPr>
        <w:tab/>
      </w:r>
      <w:r w:rsidRPr="00FD553A">
        <w:rPr>
          <w:rFonts w:ascii="Arial" w:hAnsi="Arial" w:cs="Arial"/>
          <w:sz w:val="24"/>
          <w:szCs w:val="24"/>
        </w:rPr>
        <w:tab/>
        <w:t>Advocate Van Wyk</w:t>
      </w:r>
    </w:p>
    <w:p w14:paraId="3DAEEB6C" w14:textId="77777777" w:rsidR="00FD553A" w:rsidRPr="00FD553A" w:rsidRDefault="00FD553A" w:rsidP="00FD553A">
      <w:pPr>
        <w:spacing w:line="480" w:lineRule="auto"/>
        <w:rPr>
          <w:rFonts w:ascii="Arial" w:hAnsi="Arial" w:cs="Arial"/>
          <w:sz w:val="24"/>
          <w:szCs w:val="24"/>
        </w:rPr>
      </w:pPr>
      <w:r w:rsidRPr="00FD553A">
        <w:rPr>
          <w:rFonts w:ascii="Arial" w:hAnsi="Arial" w:cs="Arial"/>
          <w:sz w:val="24"/>
          <w:szCs w:val="24"/>
        </w:rPr>
        <w:t>Instructed by:</w:t>
      </w:r>
      <w:r w:rsidRPr="00FD553A">
        <w:rPr>
          <w:rFonts w:ascii="Arial" w:hAnsi="Arial" w:cs="Arial"/>
          <w:sz w:val="24"/>
          <w:szCs w:val="24"/>
        </w:rPr>
        <w:tab/>
      </w:r>
      <w:r w:rsidRPr="00FD553A">
        <w:rPr>
          <w:rFonts w:ascii="Arial" w:hAnsi="Arial" w:cs="Arial"/>
          <w:sz w:val="24"/>
          <w:szCs w:val="24"/>
        </w:rPr>
        <w:tab/>
        <w:t>Snail Attorneys</w:t>
      </w:r>
    </w:p>
    <w:p w14:paraId="7A8A6BE4" w14:textId="1BCC6288" w:rsidR="00FD553A" w:rsidRPr="00FD553A" w:rsidRDefault="00FD553A" w:rsidP="00FD553A">
      <w:pPr>
        <w:spacing w:line="480" w:lineRule="auto"/>
        <w:rPr>
          <w:rFonts w:ascii="Arial" w:hAnsi="Arial" w:cs="Arial"/>
          <w:sz w:val="24"/>
          <w:szCs w:val="24"/>
        </w:rPr>
      </w:pPr>
      <w:r w:rsidRPr="00FD553A">
        <w:rPr>
          <w:rFonts w:ascii="Arial" w:hAnsi="Arial" w:cs="Arial"/>
          <w:sz w:val="24"/>
          <w:szCs w:val="24"/>
        </w:rPr>
        <w:t xml:space="preserve">Email: </w:t>
      </w:r>
      <w:r w:rsidRPr="00FD553A">
        <w:rPr>
          <w:rFonts w:ascii="Arial" w:hAnsi="Arial" w:cs="Arial"/>
          <w:sz w:val="24"/>
          <w:szCs w:val="24"/>
        </w:rPr>
        <w:tab/>
      </w:r>
      <w:r w:rsidRPr="00FD553A">
        <w:rPr>
          <w:rFonts w:ascii="Arial" w:hAnsi="Arial" w:cs="Arial"/>
          <w:sz w:val="24"/>
          <w:szCs w:val="24"/>
        </w:rPr>
        <w:tab/>
      </w:r>
      <w:r w:rsidRPr="00FD553A">
        <w:rPr>
          <w:rFonts w:ascii="Arial" w:hAnsi="Arial" w:cs="Arial"/>
          <w:sz w:val="24"/>
          <w:szCs w:val="24"/>
        </w:rPr>
        <w:tab/>
      </w:r>
      <w:hyperlink r:id="rId10" w:history="1">
        <w:r w:rsidRPr="00FD553A">
          <w:rPr>
            <w:rStyle w:val="Hyperlink"/>
            <w:rFonts w:ascii="Arial" w:hAnsi="Arial" w:cs="Arial"/>
            <w:sz w:val="24"/>
            <w:szCs w:val="24"/>
          </w:rPr>
          <w:t>infor@snailattorneys.co.za</w:t>
        </w:r>
      </w:hyperlink>
      <w:r w:rsidRPr="00FD553A">
        <w:rPr>
          <w:rFonts w:ascii="Arial" w:hAnsi="Arial" w:cs="Arial"/>
          <w:sz w:val="24"/>
          <w:szCs w:val="24"/>
        </w:rPr>
        <w:t xml:space="preserve"> </w:t>
      </w:r>
    </w:p>
    <w:p w14:paraId="76C962A5" w14:textId="77777777" w:rsidR="00D00597" w:rsidRPr="00FD553A" w:rsidRDefault="00D00597" w:rsidP="00FD553A">
      <w:pPr>
        <w:spacing w:line="480" w:lineRule="auto"/>
        <w:rPr>
          <w:rFonts w:ascii="Arial" w:hAnsi="Arial" w:cs="Arial"/>
          <w:sz w:val="24"/>
          <w:szCs w:val="24"/>
        </w:rPr>
      </w:pPr>
    </w:p>
    <w:sectPr w:rsidR="00D00597" w:rsidRPr="00FD553A" w:rsidSect="001F6793">
      <w:headerReference w:type="default" r:id="rId11"/>
      <w:pgSz w:w="11907" w:h="16840" w:code="9"/>
      <w:pgMar w:top="1797" w:right="1440"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63A72" w14:textId="77777777" w:rsidR="00021059" w:rsidRDefault="00021059">
      <w:r>
        <w:separator/>
      </w:r>
    </w:p>
  </w:endnote>
  <w:endnote w:type="continuationSeparator" w:id="0">
    <w:p w14:paraId="3B31BE89" w14:textId="77777777" w:rsidR="00021059" w:rsidRDefault="0002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A9513" w14:textId="77777777" w:rsidR="00021059" w:rsidRDefault="00021059" w:rsidP="00B42A2F">
      <w:pPr>
        <w:spacing w:after="0" w:line="240" w:lineRule="auto"/>
      </w:pPr>
      <w:r>
        <w:separator/>
      </w:r>
    </w:p>
  </w:footnote>
  <w:footnote w:type="continuationSeparator" w:id="0">
    <w:p w14:paraId="3A74D6DA" w14:textId="77777777" w:rsidR="00021059" w:rsidRDefault="00021059">
      <w:r>
        <w:continuationSeparator/>
      </w:r>
    </w:p>
  </w:footnote>
  <w:footnote w:id="1">
    <w:p w14:paraId="55BB358A" w14:textId="77777777" w:rsidR="00FD553A" w:rsidRDefault="00FD553A" w:rsidP="00FD553A">
      <w:pPr>
        <w:pStyle w:val="FootnoteText"/>
      </w:pPr>
      <w:r>
        <w:rPr>
          <w:rStyle w:val="FootnoteReference"/>
        </w:rPr>
        <w:footnoteRef/>
      </w:r>
      <w:r>
        <w:t xml:space="preserve"> [2017] JOL 51231 (GP)</w:t>
      </w:r>
    </w:p>
  </w:footnote>
  <w:footnote w:id="2">
    <w:p w14:paraId="0A01DEC8" w14:textId="77777777" w:rsidR="00FD553A" w:rsidRDefault="00FD553A" w:rsidP="00FD553A">
      <w:pPr>
        <w:pStyle w:val="FootnoteText"/>
      </w:pPr>
      <w:r>
        <w:rPr>
          <w:rStyle w:val="FootnoteReference"/>
        </w:rPr>
        <w:footnoteRef/>
      </w:r>
      <w:r>
        <w:t xml:space="preserve"> </w:t>
      </w:r>
      <w:proofErr w:type="spellStart"/>
      <w:r>
        <w:t>Caselines</w:t>
      </w:r>
      <w:proofErr w:type="spellEnd"/>
      <w:r>
        <w:t xml:space="preserve"> 000-27 </w:t>
      </w:r>
    </w:p>
  </w:footnote>
  <w:footnote w:id="3">
    <w:p w14:paraId="04CC4480" w14:textId="77777777" w:rsidR="00FD553A" w:rsidRDefault="00FD553A" w:rsidP="00FD553A">
      <w:pPr>
        <w:pStyle w:val="FootnoteText"/>
      </w:pPr>
      <w:r>
        <w:rPr>
          <w:rStyle w:val="FootnoteReference"/>
        </w:rPr>
        <w:footnoteRef/>
      </w:r>
      <w:r>
        <w:t xml:space="preserve"> </w:t>
      </w:r>
      <w:proofErr w:type="spellStart"/>
      <w:r>
        <w:t>Caselines</w:t>
      </w:r>
      <w:proofErr w:type="spellEnd"/>
      <w:r>
        <w:t xml:space="preserve"> 000-28 p26 para 80 -</w:t>
      </w:r>
    </w:p>
  </w:footnote>
  <w:footnote w:id="4">
    <w:p w14:paraId="2B6C8B90" w14:textId="77777777" w:rsidR="00FD553A" w:rsidRDefault="00FD553A" w:rsidP="00FD553A">
      <w:pPr>
        <w:pStyle w:val="FootnoteText"/>
      </w:pPr>
      <w:r>
        <w:rPr>
          <w:rStyle w:val="FootnoteReference"/>
        </w:rPr>
        <w:footnoteRef/>
      </w:r>
      <w:r>
        <w:t xml:space="preserve"> </w:t>
      </w:r>
      <w:proofErr w:type="spellStart"/>
      <w:r>
        <w:t>Caslines</w:t>
      </w:r>
      <w:proofErr w:type="spellEnd"/>
      <w:r>
        <w:t xml:space="preserve"> 000-26 p24-5 para 75</w:t>
      </w:r>
    </w:p>
  </w:footnote>
  <w:footnote w:id="5">
    <w:p w14:paraId="7E32DB77" w14:textId="77777777" w:rsidR="00FD553A" w:rsidRDefault="00FD553A" w:rsidP="00FD553A">
      <w:pPr>
        <w:pStyle w:val="FootnoteText"/>
      </w:pPr>
      <w:r>
        <w:rPr>
          <w:rStyle w:val="FootnoteReference"/>
        </w:rPr>
        <w:footnoteRef/>
      </w:r>
      <w:r>
        <w:t xml:space="preserve"> </w:t>
      </w:r>
      <w:proofErr w:type="spellStart"/>
      <w:r>
        <w:t>Caselines</w:t>
      </w:r>
      <w:proofErr w:type="spellEnd"/>
      <w:r>
        <w:t xml:space="preserve"> 000-29 para 84-84</w:t>
      </w:r>
    </w:p>
  </w:footnote>
  <w:footnote w:id="6">
    <w:p w14:paraId="001A615D" w14:textId="77777777" w:rsidR="00FD553A" w:rsidRDefault="00FD553A" w:rsidP="00FD553A">
      <w:pPr>
        <w:pStyle w:val="FootnoteText"/>
      </w:pPr>
      <w:r>
        <w:rPr>
          <w:rStyle w:val="FootnoteReference"/>
        </w:rPr>
        <w:footnoteRef/>
      </w:r>
      <w:r>
        <w:t xml:space="preserve"> </w:t>
      </w:r>
      <w:proofErr w:type="spellStart"/>
      <w:r>
        <w:t>Caselines</w:t>
      </w:r>
      <w:proofErr w:type="spellEnd"/>
      <w:r>
        <w:t xml:space="preserve"> 074-19 para 37.2</w:t>
      </w:r>
    </w:p>
  </w:footnote>
  <w:footnote w:id="7">
    <w:p w14:paraId="0F15ED74" w14:textId="77777777" w:rsidR="00FD553A" w:rsidRDefault="00FD553A" w:rsidP="00FD553A">
      <w:pPr>
        <w:pStyle w:val="FootnoteText"/>
      </w:pPr>
      <w:r>
        <w:rPr>
          <w:rStyle w:val="FootnoteReference"/>
        </w:rPr>
        <w:footnoteRef/>
      </w:r>
      <w:r>
        <w:t xml:space="preserve"> 1979 (2) </w:t>
      </w:r>
      <w:r>
        <w:rPr>
          <w:rFonts w:cs="Arial"/>
        </w:rPr>
        <w:t>SA 361 (D), headnote.</w:t>
      </w:r>
    </w:p>
  </w:footnote>
  <w:footnote w:id="8">
    <w:p w14:paraId="57432540" w14:textId="77777777" w:rsidR="00FD553A" w:rsidRDefault="00FD553A" w:rsidP="00FD553A">
      <w:pPr>
        <w:pStyle w:val="FootnoteText"/>
      </w:pPr>
      <w:r>
        <w:rPr>
          <w:rStyle w:val="FootnoteReference"/>
        </w:rPr>
        <w:footnoteRef/>
      </w:r>
      <w:r>
        <w:t xml:space="preserve"> </w:t>
      </w:r>
      <w:proofErr w:type="spellStart"/>
      <w:r>
        <w:t>Caselines</w:t>
      </w:r>
      <w:proofErr w:type="spellEnd"/>
      <w:r>
        <w:t xml:space="preserve"> 079-24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FA167"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036E9EB0"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00E068DE"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3DA28111" w14:textId="2CBA313F" w:rsidR="00A44620" w:rsidRPr="00C307C7" w:rsidRDefault="00A44620" w:rsidP="00C15506">
    <w:pPr>
      <w:pStyle w:val="Header"/>
      <w:spacing w:after="0" w:line="240" w:lineRule="auto"/>
      <w:jc w:val="center"/>
      <w:rPr>
        <w:rStyle w:val="PageNumber"/>
        <w:rFonts w:ascii="Arial" w:hAnsi="Arial" w:cs="Arial"/>
        <w:sz w:val="25"/>
        <w:szCs w:val="25"/>
      </w:rPr>
    </w:pPr>
    <w:r w:rsidRPr="00C307C7">
      <w:rPr>
        <w:rStyle w:val="PageNumber"/>
        <w:rFonts w:ascii="Arial" w:hAnsi="Arial" w:cs="Arial"/>
        <w:sz w:val="25"/>
        <w:szCs w:val="25"/>
      </w:rPr>
      <w:t xml:space="preserve">- </w:t>
    </w:r>
    <w:r w:rsidRPr="00C307C7">
      <w:rPr>
        <w:rStyle w:val="PageNumber"/>
        <w:rFonts w:ascii="Arial" w:hAnsi="Arial" w:cs="Arial"/>
        <w:sz w:val="25"/>
        <w:szCs w:val="25"/>
      </w:rPr>
      <w:fldChar w:fldCharType="begin"/>
    </w:r>
    <w:r w:rsidRPr="00C307C7">
      <w:rPr>
        <w:rStyle w:val="PageNumber"/>
        <w:rFonts w:ascii="Arial" w:hAnsi="Arial" w:cs="Arial"/>
        <w:sz w:val="25"/>
        <w:szCs w:val="25"/>
      </w:rPr>
      <w:instrText xml:space="preserve"> PAGE </w:instrText>
    </w:r>
    <w:r w:rsidRPr="00C307C7">
      <w:rPr>
        <w:rStyle w:val="PageNumber"/>
        <w:rFonts w:ascii="Arial" w:hAnsi="Arial" w:cs="Arial"/>
        <w:sz w:val="25"/>
        <w:szCs w:val="25"/>
      </w:rPr>
      <w:fldChar w:fldCharType="separate"/>
    </w:r>
    <w:r w:rsidR="00521DFF">
      <w:rPr>
        <w:rStyle w:val="PageNumber"/>
        <w:rFonts w:ascii="Arial" w:hAnsi="Arial" w:cs="Arial"/>
        <w:noProof/>
        <w:sz w:val="25"/>
        <w:szCs w:val="25"/>
      </w:rPr>
      <w:t>10</w:t>
    </w:r>
    <w:r w:rsidRPr="00C307C7">
      <w:rPr>
        <w:rStyle w:val="PageNumber"/>
        <w:rFonts w:ascii="Arial" w:hAnsi="Arial" w:cs="Arial"/>
        <w:sz w:val="25"/>
        <w:szCs w:val="25"/>
      </w:rPr>
      <w:fldChar w:fldCharType="end"/>
    </w:r>
    <w:r w:rsidRPr="00C307C7">
      <w:rPr>
        <w:rStyle w:val="PageNumber"/>
        <w:rFonts w:ascii="Arial" w:hAnsi="Arial" w:cs="Arial"/>
        <w:sz w:val="25"/>
        <w:szCs w:val="25"/>
      </w:rPr>
      <w:t xml:space="preserve"> </w:t>
    </w:r>
    <w:r w:rsidR="001C327E" w:rsidRPr="00C307C7">
      <w:rPr>
        <w:rStyle w:val="PageNumber"/>
        <w:rFonts w:ascii="Arial" w:hAnsi="Arial" w:cs="Arial"/>
        <w:sz w:val="25"/>
        <w:szCs w:val="25"/>
      </w:rPr>
      <w:t>-</w:t>
    </w:r>
  </w:p>
  <w:p w14:paraId="46BD86CD" w14:textId="0398766A" w:rsidR="001C327E" w:rsidRPr="00C307C7" w:rsidRDefault="001C327E" w:rsidP="00C15506">
    <w:pPr>
      <w:pStyle w:val="Header"/>
      <w:spacing w:after="0" w:line="240" w:lineRule="auto"/>
      <w:jc w:val="center"/>
      <w:rPr>
        <w:rStyle w:val="PageNumber"/>
        <w:rFonts w:ascii="Arial" w:hAnsi="Arial" w:cs="Arial"/>
        <w:sz w:val="16"/>
        <w:szCs w:val="16"/>
      </w:rPr>
    </w:pPr>
  </w:p>
  <w:p w14:paraId="0B037D34" w14:textId="57200012" w:rsidR="001C327E" w:rsidRPr="00C307C7" w:rsidRDefault="001C327E" w:rsidP="00C15506">
    <w:pPr>
      <w:pStyle w:val="Header"/>
      <w:spacing w:after="0" w:line="240" w:lineRule="auto"/>
      <w:jc w:val="center"/>
      <w:rPr>
        <w:rStyle w:val="PageNumber"/>
        <w:rFonts w:ascii="Arial" w:hAnsi="Arial" w:cs="Arial"/>
        <w:sz w:val="16"/>
        <w:szCs w:val="16"/>
      </w:rPr>
    </w:pPr>
  </w:p>
  <w:p w14:paraId="01AF9D2B" w14:textId="64348EE0" w:rsidR="00C15506" w:rsidRDefault="00C15506" w:rsidP="00C15506">
    <w:pPr>
      <w:pStyle w:val="Header"/>
      <w:spacing w:after="0" w:line="240" w:lineRule="auto"/>
      <w:jc w:val="center"/>
      <w:rPr>
        <w:rStyle w:val="PageNumber"/>
        <w:rFonts w:ascii="Arial" w:hAnsi="Arial" w:cs="Arial"/>
        <w:sz w:val="16"/>
        <w:szCs w:val="16"/>
      </w:rPr>
    </w:pPr>
  </w:p>
  <w:p w14:paraId="4F5A1CB6" w14:textId="77777777" w:rsidR="0067260F" w:rsidRPr="00C307C7" w:rsidRDefault="0067260F" w:rsidP="00C15506">
    <w:pPr>
      <w:pStyle w:val="Header"/>
      <w:spacing w:after="0" w:line="240" w:lineRule="auto"/>
      <w:jc w:val="center"/>
      <w:rPr>
        <w:rStyle w:val="PageNumbe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AA2"/>
    <w:multiLevelType w:val="hybridMultilevel"/>
    <w:tmpl w:val="F04A010A"/>
    <w:lvl w:ilvl="0" w:tplc="489ABD64">
      <w:start w:val="1"/>
      <w:numFmt w:val="lowerLetter"/>
      <w:pStyle w:val="abracket"/>
      <w:lvlText w:val="%1)"/>
      <w:lvlJc w:val="left"/>
      <w:pPr>
        <w:tabs>
          <w:tab w:val="num" w:pos="851"/>
        </w:tabs>
        <w:ind w:left="851" w:hanging="851"/>
      </w:pPr>
      <w:rPr>
        <w:rFonts w:hint="default"/>
      </w:rPr>
    </w:lvl>
    <w:lvl w:ilvl="1" w:tplc="55ECC9DE" w:tentative="1">
      <w:start w:val="1"/>
      <w:numFmt w:val="lowerLetter"/>
      <w:lvlText w:val="%2."/>
      <w:lvlJc w:val="left"/>
      <w:pPr>
        <w:tabs>
          <w:tab w:val="num" w:pos="1440"/>
        </w:tabs>
        <w:ind w:left="1440" w:hanging="360"/>
      </w:pPr>
    </w:lvl>
    <w:lvl w:ilvl="2" w:tplc="DB608D22" w:tentative="1">
      <w:start w:val="1"/>
      <w:numFmt w:val="lowerRoman"/>
      <w:lvlText w:val="%3."/>
      <w:lvlJc w:val="right"/>
      <w:pPr>
        <w:tabs>
          <w:tab w:val="num" w:pos="2160"/>
        </w:tabs>
        <w:ind w:left="2160" w:hanging="180"/>
      </w:pPr>
    </w:lvl>
    <w:lvl w:ilvl="3" w:tplc="D3560AAA" w:tentative="1">
      <w:start w:val="1"/>
      <w:numFmt w:val="decimal"/>
      <w:lvlText w:val="%4."/>
      <w:lvlJc w:val="left"/>
      <w:pPr>
        <w:tabs>
          <w:tab w:val="num" w:pos="2880"/>
        </w:tabs>
        <w:ind w:left="2880" w:hanging="360"/>
      </w:pPr>
    </w:lvl>
    <w:lvl w:ilvl="4" w:tplc="596A8E2A" w:tentative="1">
      <w:start w:val="1"/>
      <w:numFmt w:val="lowerLetter"/>
      <w:lvlText w:val="%5."/>
      <w:lvlJc w:val="left"/>
      <w:pPr>
        <w:tabs>
          <w:tab w:val="num" w:pos="3600"/>
        </w:tabs>
        <w:ind w:left="3600" w:hanging="360"/>
      </w:pPr>
    </w:lvl>
    <w:lvl w:ilvl="5" w:tplc="7E620798" w:tentative="1">
      <w:start w:val="1"/>
      <w:numFmt w:val="lowerRoman"/>
      <w:lvlText w:val="%6."/>
      <w:lvlJc w:val="right"/>
      <w:pPr>
        <w:tabs>
          <w:tab w:val="num" w:pos="4320"/>
        </w:tabs>
        <w:ind w:left="4320" w:hanging="180"/>
      </w:pPr>
    </w:lvl>
    <w:lvl w:ilvl="6" w:tplc="8FA41626" w:tentative="1">
      <w:start w:val="1"/>
      <w:numFmt w:val="decimal"/>
      <w:lvlText w:val="%7."/>
      <w:lvlJc w:val="left"/>
      <w:pPr>
        <w:tabs>
          <w:tab w:val="num" w:pos="5040"/>
        </w:tabs>
        <w:ind w:left="5040" w:hanging="360"/>
      </w:pPr>
    </w:lvl>
    <w:lvl w:ilvl="7" w:tplc="00309198" w:tentative="1">
      <w:start w:val="1"/>
      <w:numFmt w:val="lowerLetter"/>
      <w:lvlText w:val="%8."/>
      <w:lvlJc w:val="left"/>
      <w:pPr>
        <w:tabs>
          <w:tab w:val="num" w:pos="5760"/>
        </w:tabs>
        <w:ind w:left="5760" w:hanging="360"/>
      </w:pPr>
    </w:lvl>
    <w:lvl w:ilvl="8" w:tplc="03F67278" w:tentative="1">
      <w:start w:val="1"/>
      <w:numFmt w:val="lowerRoman"/>
      <w:lvlText w:val="%9."/>
      <w:lvlJc w:val="right"/>
      <w:pPr>
        <w:tabs>
          <w:tab w:val="num" w:pos="6480"/>
        </w:tabs>
        <w:ind w:left="648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15:restartNumberingAfterBreak="0">
    <w:nsid w:val="0BF26850"/>
    <w:multiLevelType w:val="hybridMultilevel"/>
    <w:tmpl w:val="EF9A8DEE"/>
    <w:lvl w:ilvl="0" w:tplc="1C09000F">
      <w:start w:val="1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EF75443"/>
    <w:multiLevelType w:val="hybridMultilevel"/>
    <w:tmpl w:val="62EC64D6"/>
    <w:lvl w:ilvl="0" w:tplc="1C09000F">
      <w:start w:val="1"/>
      <w:numFmt w:val="decimal"/>
      <w:lvlText w:val="%1."/>
      <w:lvlJc w:val="left"/>
      <w:pPr>
        <w:ind w:left="92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DE51ECC"/>
    <w:multiLevelType w:val="hybridMultilevel"/>
    <w:tmpl w:val="A79C77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6" w15:restartNumberingAfterBreak="0">
    <w:nsid w:val="2A4B3120"/>
    <w:multiLevelType w:val="hybridMultilevel"/>
    <w:tmpl w:val="7F4AA340"/>
    <w:lvl w:ilvl="0" w:tplc="02AA9A7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B2A79E9"/>
    <w:multiLevelType w:val="hybridMultilevel"/>
    <w:tmpl w:val="504021EA"/>
    <w:lvl w:ilvl="0" w:tplc="0C628372">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58A75599"/>
    <w:multiLevelType w:val="multilevel"/>
    <w:tmpl w:val="1F962DFC"/>
    <w:lvl w:ilvl="0">
      <w:start w:val="1"/>
      <w:numFmt w:val="decimal"/>
      <w:pStyle w:val="ListLevel1"/>
      <w:lvlText w:val="%1."/>
      <w:lvlJc w:val="left"/>
      <w:pPr>
        <w:tabs>
          <w:tab w:val="num" w:pos="1560"/>
        </w:tabs>
        <w:ind w:left="1560" w:hanging="851"/>
      </w:pPr>
      <w:rPr>
        <w:rFonts w:hint="default"/>
        <w:b w:val="0"/>
        <w:i w:val="0"/>
        <w:iCs w:val="0"/>
        <w:color w:val="auto"/>
      </w:rPr>
    </w:lvl>
    <w:lvl w:ilvl="1">
      <w:start w:val="1"/>
      <w:numFmt w:val="decimal"/>
      <w:pStyle w:val="ListLevel2"/>
      <w:lvlText w:val="%1.%2."/>
      <w:lvlJc w:val="left"/>
      <w:pPr>
        <w:tabs>
          <w:tab w:val="num" w:pos="1559"/>
        </w:tabs>
        <w:ind w:left="1559" w:hanging="850"/>
      </w:pPr>
      <w:rPr>
        <w:rFonts w:hint="default"/>
        <w:b w:val="0"/>
      </w:rPr>
    </w:lvl>
    <w:lvl w:ilvl="2">
      <w:start w:val="1"/>
      <w:numFmt w:val="decimal"/>
      <w:pStyle w:val="ListLevel3"/>
      <w:lvlText w:val="%1.%2.%3."/>
      <w:lvlJc w:val="left"/>
      <w:pPr>
        <w:tabs>
          <w:tab w:val="num" w:pos="2552"/>
        </w:tabs>
        <w:ind w:left="2552" w:hanging="851"/>
      </w:pPr>
      <w:rPr>
        <w:rFonts w:hint="default"/>
      </w:rPr>
    </w:lvl>
    <w:lvl w:ilvl="3">
      <w:start w:val="1"/>
      <w:numFmt w:val="lowerLetter"/>
      <w:pStyle w:val="ListLevel4"/>
      <w:lvlText w:val="(%4)"/>
      <w:lvlJc w:val="left"/>
      <w:pPr>
        <w:tabs>
          <w:tab w:val="num" w:pos="3119"/>
        </w:tabs>
        <w:ind w:left="3119" w:hanging="567"/>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68251837"/>
    <w:multiLevelType w:val="multilevel"/>
    <w:tmpl w:val="F5F418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0" w15:restartNumberingAfterBreak="0">
    <w:nsid w:val="7D0C17F3"/>
    <w:multiLevelType w:val="hybridMultilevel"/>
    <w:tmpl w:val="D974C486"/>
    <w:lvl w:ilvl="0" w:tplc="9200AADE">
      <w:start w:val="1"/>
      <w:numFmt w:val="lowerRoman"/>
      <w:pStyle w:val="onebracket"/>
      <w:lvlText w:val="(%1)"/>
      <w:lvlJc w:val="left"/>
      <w:pPr>
        <w:tabs>
          <w:tab w:val="num" w:pos="851"/>
        </w:tabs>
        <w:ind w:left="851" w:hanging="851"/>
      </w:pPr>
      <w:rPr>
        <w:rFonts w:hint="default"/>
      </w:rPr>
    </w:lvl>
    <w:lvl w:ilvl="1" w:tplc="A5820FF8" w:tentative="1">
      <w:start w:val="1"/>
      <w:numFmt w:val="lowerLetter"/>
      <w:lvlText w:val="%2."/>
      <w:lvlJc w:val="left"/>
      <w:pPr>
        <w:tabs>
          <w:tab w:val="num" w:pos="1440"/>
        </w:tabs>
        <w:ind w:left="1440" w:hanging="360"/>
      </w:pPr>
    </w:lvl>
    <w:lvl w:ilvl="2" w:tplc="21D8BF9E" w:tentative="1">
      <w:start w:val="1"/>
      <w:numFmt w:val="lowerRoman"/>
      <w:lvlText w:val="%3."/>
      <w:lvlJc w:val="right"/>
      <w:pPr>
        <w:tabs>
          <w:tab w:val="num" w:pos="2160"/>
        </w:tabs>
        <w:ind w:left="2160" w:hanging="180"/>
      </w:pPr>
    </w:lvl>
    <w:lvl w:ilvl="3" w:tplc="B832E58A" w:tentative="1">
      <w:start w:val="1"/>
      <w:numFmt w:val="decimal"/>
      <w:lvlText w:val="%4."/>
      <w:lvlJc w:val="left"/>
      <w:pPr>
        <w:tabs>
          <w:tab w:val="num" w:pos="2880"/>
        </w:tabs>
        <w:ind w:left="2880" w:hanging="360"/>
      </w:pPr>
    </w:lvl>
    <w:lvl w:ilvl="4" w:tplc="8410E02A" w:tentative="1">
      <w:start w:val="1"/>
      <w:numFmt w:val="lowerLetter"/>
      <w:lvlText w:val="%5."/>
      <w:lvlJc w:val="left"/>
      <w:pPr>
        <w:tabs>
          <w:tab w:val="num" w:pos="3600"/>
        </w:tabs>
        <w:ind w:left="3600" w:hanging="360"/>
      </w:pPr>
    </w:lvl>
    <w:lvl w:ilvl="5" w:tplc="6E620354" w:tentative="1">
      <w:start w:val="1"/>
      <w:numFmt w:val="lowerRoman"/>
      <w:lvlText w:val="%6."/>
      <w:lvlJc w:val="right"/>
      <w:pPr>
        <w:tabs>
          <w:tab w:val="num" w:pos="4320"/>
        </w:tabs>
        <w:ind w:left="4320" w:hanging="180"/>
      </w:pPr>
    </w:lvl>
    <w:lvl w:ilvl="6" w:tplc="2916A49A" w:tentative="1">
      <w:start w:val="1"/>
      <w:numFmt w:val="decimal"/>
      <w:lvlText w:val="%7."/>
      <w:lvlJc w:val="left"/>
      <w:pPr>
        <w:tabs>
          <w:tab w:val="num" w:pos="5040"/>
        </w:tabs>
        <w:ind w:left="5040" w:hanging="360"/>
      </w:pPr>
    </w:lvl>
    <w:lvl w:ilvl="7" w:tplc="42120482" w:tentative="1">
      <w:start w:val="1"/>
      <w:numFmt w:val="lowerLetter"/>
      <w:lvlText w:val="%8."/>
      <w:lvlJc w:val="left"/>
      <w:pPr>
        <w:tabs>
          <w:tab w:val="num" w:pos="5760"/>
        </w:tabs>
        <w:ind w:left="5760" w:hanging="360"/>
      </w:pPr>
    </w:lvl>
    <w:lvl w:ilvl="8" w:tplc="6CE60B44"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0"/>
  </w:num>
  <w:num w:numId="4">
    <w:abstractNumId w:val="8"/>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5"/>
  </w:num>
  <w:num w:numId="13">
    <w:abstractNumId w:val="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AwNjO1MLYwNLe0MDZW0lEKTi0uzszPAykwrAUAXvCNPiwAAAA="/>
  </w:docVars>
  <w:rsids>
    <w:rsidRoot w:val="005B2B01"/>
    <w:rsid w:val="00013B60"/>
    <w:rsid w:val="00021059"/>
    <w:rsid w:val="000233C3"/>
    <w:rsid w:val="0003033E"/>
    <w:rsid w:val="000441BE"/>
    <w:rsid w:val="00046227"/>
    <w:rsid w:val="000645A3"/>
    <w:rsid w:val="00066255"/>
    <w:rsid w:val="00067824"/>
    <w:rsid w:val="00076BDF"/>
    <w:rsid w:val="0007757D"/>
    <w:rsid w:val="00080FB7"/>
    <w:rsid w:val="00081BE5"/>
    <w:rsid w:val="0008361C"/>
    <w:rsid w:val="00090D49"/>
    <w:rsid w:val="00092FE9"/>
    <w:rsid w:val="000C5FBC"/>
    <w:rsid w:val="000D301E"/>
    <w:rsid w:val="000E1FD0"/>
    <w:rsid w:val="000F571B"/>
    <w:rsid w:val="000F5A1B"/>
    <w:rsid w:val="00100A4E"/>
    <w:rsid w:val="00103B17"/>
    <w:rsid w:val="0011358F"/>
    <w:rsid w:val="00124AF2"/>
    <w:rsid w:val="00141B4B"/>
    <w:rsid w:val="00142537"/>
    <w:rsid w:val="00145319"/>
    <w:rsid w:val="0014765C"/>
    <w:rsid w:val="001522B0"/>
    <w:rsid w:val="00157C9E"/>
    <w:rsid w:val="00171D00"/>
    <w:rsid w:val="00173D11"/>
    <w:rsid w:val="0019543C"/>
    <w:rsid w:val="001A491F"/>
    <w:rsid w:val="001A4B73"/>
    <w:rsid w:val="001B2387"/>
    <w:rsid w:val="001C327E"/>
    <w:rsid w:val="001C5E9C"/>
    <w:rsid w:val="001D1286"/>
    <w:rsid w:val="001D3406"/>
    <w:rsid w:val="001E4A36"/>
    <w:rsid w:val="001F0D85"/>
    <w:rsid w:val="001F55DE"/>
    <w:rsid w:val="001F6793"/>
    <w:rsid w:val="00200B29"/>
    <w:rsid w:val="00203E3E"/>
    <w:rsid w:val="00204B1F"/>
    <w:rsid w:val="00234928"/>
    <w:rsid w:val="00234CD3"/>
    <w:rsid w:val="00245352"/>
    <w:rsid w:val="00252D88"/>
    <w:rsid w:val="0025601B"/>
    <w:rsid w:val="00257E97"/>
    <w:rsid w:val="00262035"/>
    <w:rsid w:val="00267551"/>
    <w:rsid w:val="00273DD4"/>
    <w:rsid w:val="00274895"/>
    <w:rsid w:val="00297C9F"/>
    <w:rsid w:val="002C52D0"/>
    <w:rsid w:val="002C64DB"/>
    <w:rsid w:val="002C6E15"/>
    <w:rsid w:val="002E4069"/>
    <w:rsid w:val="002F1EF0"/>
    <w:rsid w:val="00301313"/>
    <w:rsid w:val="00302280"/>
    <w:rsid w:val="00303FB5"/>
    <w:rsid w:val="00304027"/>
    <w:rsid w:val="00304323"/>
    <w:rsid w:val="003266A3"/>
    <w:rsid w:val="00336713"/>
    <w:rsid w:val="00360A74"/>
    <w:rsid w:val="00364BBD"/>
    <w:rsid w:val="00370394"/>
    <w:rsid w:val="003822D3"/>
    <w:rsid w:val="00394560"/>
    <w:rsid w:val="003A42EC"/>
    <w:rsid w:val="003A5334"/>
    <w:rsid w:val="003B155F"/>
    <w:rsid w:val="003D095D"/>
    <w:rsid w:val="003E353F"/>
    <w:rsid w:val="003E61A3"/>
    <w:rsid w:val="003E7B53"/>
    <w:rsid w:val="003F078F"/>
    <w:rsid w:val="00405046"/>
    <w:rsid w:val="00405ECC"/>
    <w:rsid w:val="004157A7"/>
    <w:rsid w:val="00423CB0"/>
    <w:rsid w:val="0045222A"/>
    <w:rsid w:val="00460820"/>
    <w:rsid w:val="00467656"/>
    <w:rsid w:val="00484414"/>
    <w:rsid w:val="00490977"/>
    <w:rsid w:val="004B11AB"/>
    <w:rsid w:val="004B5191"/>
    <w:rsid w:val="004B6D4A"/>
    <w:rsid w:val="004C3206"/>
    <w:rsid w:val="004C71F3"/>
    <w:rsid w:val="004D0D37"/>
    <w:rsid w:val="004E07A7"/>
    <w:rsid w:val="004E37E5"/>
    <w:rsid w:val="004E6608"/>
    <w:rsid w:val="004F4EEF"/>
    <w:rsid w:val="004F5C32"/>
    <w:rsid w:val="00501616"/>
    <w:rsid w:val="005044A6"/>
    <w:rsid w:val="00520C8C"/>
    <w:rsid w:val="00521DFF"/>
    <w:rsid w:val="00532293"/>
    <w:rsid w:val="00540943"/>
    <w:rsid w:val="00550532"/>
    <w:rsid w:val="00552536"/>
    <w:rsid w:val="005577D6"/>
    <w:rsid w:val="00560DAB"/>
    <w:rsid w:val="00562D31"/>
    <w:rsid w:val="005832A2"/>
    <w:rsid w:val="00585E16"/>
    <w:rsid w:val="00587C8C"/>
    <w:rsid w:val="00593E3F"/>
    <w:rsid w:val="00594841"/>
    <w:rsid w:val="00596FA2"/>
    <w:rsid w:val="005B0371"/>
    <w:rsid w:val="005B2B01"/>
    <w:rsid w:val="005B386A"/>
    <w:rsid w:val="005B40AF"/>
    <w:rsid w:val="005D6C4D"/>
    <w:rsid w:val="005F7E1B"/>
    <w:rsid w:val="00610B45"/>
    <w:rsid w:val="00613714"/>
    <w:rsid w:val="006451F6"/>
    <w:rsid w:val="00645B54"/>
    <w:rsid w:val="0065104A"/>
    <w:rsid w:val="006576AF"/>
    <w:rsid w:val="0067260F"/>
    <w:rsid w:val="0067281D"/>
    <w:rsid w:val="00675EF8"/>
    <w:rsid w:val="006842D7"/>
    <w:rsid w:val="0069151E"/>
    <w:rsid w:val="00692ED6"/>
    <w:rsid w:val="006940BA"/>
    <w:rsid w:val="00697739"/>
    <w:rsid w:val="006A0EDE"/>
    <w:rsid w:val="006A6DCE"/>
    <w:rsid w:val="006C2AE7"/>
    <w:rsid w:val="006C3E2C"/>
    <w:rsid w:val="006C6BFE"/>
    <w:rsid w:val="006F061C"/>
    <w:rsid w:val="006F7C69"/>
    <w:rsid w:val="007032F1"/>
    <w:rsid w:val="0070764E"/>
    <w:rsid w:val="007101BE"/>
    <w:rsid w:val="00712C5A"/>
    <w:rsid w:val="007168D6"/>
    <w:rsid w:val="00733334"/>
    <w:rsid w:val="00735B93"/>
    <w:rsid w:val="0075275C"/>
    <w:rsid w:val="00792F12"/>
    <w:rsid w:val="007938FD"/>
    <w:rsid w:val="007A5039"/>
    <w:rsid w:val="007B2BEB"/>
    <w:rsid w:val="007B3DB5"/>
    <w:rsid w:val="007C36C8"/>
    <w:rsid w:val="007D7943"/>
    <w:rsid w:val="007E7FAE"/>
    <w:rsid w:val="0081570C"/>
    <w:rsid w:val="008208B5"/>
    <w:rsid w:val="00821586"/>
    <w:rsid w:val="0083545A"/>
    <w:rsid w:val="008612FA"/>
    <w:rsid w:val="00861B65"/>
    <w:rsid w:val="008832D7"/>
    <w:rsid w:val="008851CD"/>
    <w:rsid w:val="008A0446"/>
    <w:rsid w:val="008C2B8B"/>
    <w:rsid w:val="008E108D"/>
    <w:rsid w:val="008F6698"/>
    <w:rsid w:val="00905DA8"/>
    <w:rsid w:val="0091334C"/>
    <w:rsid w:val="0092610E"/>
    <w:rsid w:val="00927B2C"/>
    <w:rsid w:val="009769F2"/>
    <w:rsid w:val="00980139"/>
    <w:rsid w:val="0098104B"/>
    <w:rsid w:val="00984EE7"/>
    <w:rsid w:val="00985F8D"/>
    <w:rsid w:val="009B0F23"/>
    <w:rsid w:val="009C62C6"/>
    <w:rsid w:val="009C7773"/>
    <w:rsid w:val="009D2877"/>
    <w:rsid w:val="009F3FD6"/>
    <w:rsid w:val="009F640B"/>
    <w:rsid w:val="00A01201"/>
    <w:rsid w:val="00A012C5"/>
    <w:rsid w:val="00A01A63"/>
    <w:rsid w:val="00A0233F"/>
    <w:rsid w:val="00A1177B"/>
    <w:rsid w:val="00A239FE"/>
    <w:rsid w:val="00A314FF"/>
    <w:rsid w:val="00A44620"/>
    <w:rsid w:val="00A44DC7"/>
    <w:rsid w:val="00A51423"/>
    <w:rsid w:val="00A72240"/>
    <w:rsid w:val="00A73C54"/>
    <w:rsid w:val="00A75E8C"/>
    <w:rsid w:val="00A90281"/>
    <w:rsid w:val="00A96D10"/>
    <w:rsid w:val="00AC2F04"/>
    <w:rsid w:val="00AC3810"/>
    <w:rsid w:val="00AC666D"/>
    <w:rsid w:val="00AF5214"/>
    <w:rsid w:val="00B00086"/>
    <w:rsid w:val="00B05014"/>
    <w:rsid w:val="00B20960"/>
    <w:rsid w:val="00B20BD4"/>
    <w:rsid w:val="00B234D9"/>
    <w:rsid w:val="00B263DE"/>
    <w:rsid w:val="00B41317"/>
    <w:rsid w:val="00B42A2F"/>
    <w:rsid w:val="00B52AC2"/>
    <w:rsid w:val="00B57E63"/>
    <w:rsid w:val="00B65934"/>
    <w:rsid w:val="00B72E64"/>
    <w:rsid w:val="00B755AF"/>
    <w:rsid w:val="00B760A2"/>
    <w:rsid w:val="00B855C3"/>
    <w:rsid w:val="00BA51B1"/>
    <w:rsid w:val="00BA6E62"/>
    <w:rsid w:val="00BD5A11"/>
    <w:rsid w:val="00BD73EF"/>
    <w:rsid w:val="00BE0913"/>
    <w:rsid w:val="00C00F49"/>
    <w:rsid w:val="00C06DE6"/>
    <w:rsid w:val="00C10A6A"/>
    <w:rsid w:val="00C15506"/>
    <w:rsid w:val="00C2097B"/>
    <w:rsid w:val="00C216CD"/>
    <w:rsid w:val="00C2519C"/>
    <w:rsid w:val="00C2718F"/>
    <w:rsid w:val="00C307C7"/>
    <w:rsid w:val="00C34F62"/>
    <w:rsid w:val="00C465AE"/>
    <w:rsid w:val="00C46EF1"/>
    <w:rsid w:val="00C53E82"/>
    <w:rsid w:val="00C55230"/>
    <w:rsid w:val="00C61290"/>
    <w:rsid w:val="00C659BE"/>
    <w:rsid w:val="00C73C01"/>
    <w:rsid w:val="00C7465B"/>
    <w:rsid w:val="00C87EC2"/>
    <w:rsid w:val="00C9115E"/>
    <w:rsid w:val="00C967BC"/>
    <w:rsid w:val="00CA541B"/>
    <w:rsid w:val="00CA68B7"/>
    <w:rsid w:val="00CF0140"/>
    <w:rsid w:val="00CF261B"/>
    <w:rsid w:val="00CF31DF"/>
    <w:rsid w:val="00CF68E0"/>
    <w:rsid w:val="00D00597"/>
    <w:rsid w:val="00D11358"/>
    <w:rsid w:val="00D23ACD"/>
    <w:rsid w:val="00D63CA2"/>
    <w:rsid w:val="00D82F93"/>
    <w:rsid w:val="00D91B37"/>
    <w:rsid w:val="00DB4B82"/>
    <w:rsid w:val="00DC0858"/>
    <w:rsid w:val="00DD201B"/>
    <w:rsid w:val="00DD2572"/>
    <w:rsid w:val="00DD7EC8"/>
    <w:rsid w:val="00E00582"/>
    <w:rsid w:val="00E0596D"/>
    <w:rsid w:val="00E10C60"/>
    <w:rsid w:val="00E11733"/>
    <w:rsid w:val="00E14600"/>
    <w:rsid w:val="00E171A4"/>
    <w:rsid w:val="00E20795"/>
    <w:rsid w:val="00E21B69"/>
    <w:rsid w:val="00E3094A"/>
    <w:rsid w:val="00E315EC"/>
    <w:rsid w:val="00E31637"/>
    <w:rsid w:val="00E375BF"/>
    <w:rsid w:val="00E424E0"/>
    <w:rsid w:val="00E55C3E"/>
    <w:rsid w:val="00E80818"/>
    <w:rsid w:val="00E91717"/>
    <w:rsid w:val="00E9228C"/>
    <w:rsid w:val="00E972A8"/>
    <w:rsid w:val="00EC226C"/>
    <w:rsid w:val="00EE72DA"/>
    <w:rsid w:val="00EF61D1"/>
    <w:rsid w:val="00F147F9"/>
    <w:rsid w:val="00F342AA"/>
    <w:rsid w:val="00F53AE5"/>
    <w:rsid w:val="00F53D9C"/>
    <w:rsid w:val="00F848AF"/>
    <w:rsid w:val="00F84AE5"/>
    <w:rsid w:val="00F90D9E"/>
    <w:rsid w:val="00FD553A"/>
    <w:rsid w:val="00FE06F9"/>
    <w:rsid w:val="00FF55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8C133"/>
  <w15:chartTrackingRefBased/>
  <w15:docId w15:val="{4BA8EB85-8837-4E8E-BD06-F14F19BE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27E"/>
    <w:pPr>
      <w:spacing w:after="200" w:line="360" w:lineRule="auto"/>
      <w:jc w:val="both"/>
    </w:pPr>
    <w:rPr>
      <w:rFonts w:ascii="Century Gothic" w:hAnsi="Century Gothic"/>
      <w:sz w:val="18"/>
      <w:szCs w:val="18"/>
      <w:lang w:eastAsia="en-US"/>
    </w:rPr>
  </w:style>
  <w:style w:type="paragraph" w:styleId="Heading1">
    <w:name w:val="heading 1"/>
    <w:basedOn w:val="BodyText"/>
    <w:next w:val="BodyText"/>
    <w:qFormat/>
    <w:rsid w:val="00C53E82"/>
    <w:pPr>
      <w:keepNext/>
      <w:outlineLvl w:val="0"/>
    </w:pPr>
    <w:rPr>
      <w:rFonts w:cs="Arial"/>
      <w:b/>
      <w:bCs/>
      <w:caps/>
      <w:sz w:val="24"/>
      <w:szCs w:val="32"/>
    </w:rPr>
  </w:style>
  <w:style w:type="paragraph" w:styleId="Heading2">
    <w:name w:val="heading 2"/>
    <w:basedOn w:val="Heading1"/>
    <w:next w:val="BodyText"/>
    <w:qFormat/>
    <w:rsid w:val="007101BE"/>
    <w:pPr>
      <w:outlineLvl w:val="1"/>
    </w:pPr>
    <w:rPr>
      <w:b w:val="0"/>
      <w:bCs w:val="0"/>
      <w:iCs/>
      <w:caps w:val="0"/>
      <w:szCs w:val="28"/>
      <w:u w:val="single"/>
    </w:rPr>
  </w:style>
  <w:style w:type="paragraph" w:styleId="Heading3">
    <w:name w:val="heading 3"/>
    <w:basedOn w:val="Heading1"/>
    <w:next w:val="BodyText"/>
    <w:qFormat/>
    <w:pPr>
      <w:ind w:left="1701"/>
      <w:outlineLvl w:val="2"/>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8851CD"/>
    <w:pPr>
      <w:spacing w:after="480" w:line="480" w:lineRule="auto"/>
    </w:pPr>
    <w:rPr>
      <w:rFonts w:ascii="Arial" w:hAnsi="Arial"/>
      <w:sz w:val="25"/>
    </w:rPr>
  </w:style>
  <w:style w:type="paragraph" w:customStyle="1" w:styleId="ParaLevel2">
    <w:name w:val="ParaLevel2"/>
    <w:basedOn w:val="BodyText"/>
    <w:pPr>
      <w:ind w:left="851"/>
    </w:pPr>
  </w:style>
  <w:style w:type="paragraph" w:styleId="Header">
    <w:name w:val="header"/>
    <w:basedOn w:val="Normal"/>
    <w:pPr>
      <w:tabs>
        <w:tab w:val="center" w:pos="4320"/>
        <w:tab w:val="right" w:pos="8640"/>
      </w:tabs>
    </w:pPr>
  </w:style>
  <w:style w:type="paragraph" w:customStyle="1" w:styleId="ParaLevel3">
    <w:name w:val="ParaLevel3"/>
    <w:basedOn w:val="ParaLevel2"/>
    <w:pPr>
      <w:ind w:left="1701"/>
    </w:pPr>
  </w:style>
  <w:style w:type="paragraph" w:customStyle="1" w:styleId="ListLevel1">
    <w:name w:val="ListLevel1"/>
    <w:basedOn w:val="BodyText"/>
    <w:qFormat/>
    <w:rsid w:val="00C53E82"/>
    <w:pPr>
      <w:numPr>
        <w:numId w:val="4"/>
      </w:numPr>
      <w:tabs>
        <w:tab w:val="clear" w:pos="1560"/>
        <w:tab w:val="num" w:pos="851"/>
      </w:tabs>
      <w:ind w:left="851"/>
    </w:pPr>
    <w:rPr>
      <w:sz w:val="24"/>
    </w:rPr>
  </w:style>
  <w:style w:type="paragraph" w:customStyle="1" w:styleId="ListLevel2">
    <w:name w:val="ListLevel2"/>
    <w:basedOn w:val="ListLevel1"/>
    <w:qFormat/>
    <w:rsid w:val="001C327E"/>
    <w:pPr>
      <w:numPr>
        <w:ilvl w:val="1"/>
      </w:numPr>
      <w:tabs>
        <w:tab w:val="clear" w:pos="1559"/>
        <w:tab w:val="num" w:pos="1701"/>
      </w:tabs>
      <w:ind w:left="1702" w:hanging="851"/>
    </w:pPr>
  </w:style>
  <w:style w:type="paragraph" w:customStyle="1" w:styleId="ListLevel3">
    <w:name w:val="ListLevel3"/>
    <w:basedOn w:val="ListLevel1"/>
    <w:qFormat/>
    <w:rsid w:val="006F061C"/>
    <w:pPr>
      <w:numPr>
        <w:ilvl w:val="2"/>
      </w:numPr>
    </w:pPr>
  </w:style>
  <w:style w:type="paragraph" w:styleId="Date">
    <w:name w:val="Date"/>
    <w:basedOn w:val="Normal"/>
    <w:next w:val="Normal"/>
  </w:style>
  <w:style w:type="paragraph" w:customStyle="1" w:styleId="ListLevel4">
    <w:name w:val="ListLevel4"/>
    <w:basedOn w:val="ListLevel1"/>
    <w:qFormat/>
    <w:rsid w:val="006F061C"/>
    <w:pPr>
      <w:numPr>
        <w:ilvl w:val="3"/>
      </w:numPr>
    </w:pPr>
  </w:style>
  <w:style w:type="paragraph" w:customStyle="1" w:styleId="Tramlines">
    <w:name w:val="Tramlines"/>
    <w:basedOn w:val="Normal"/>
    <w:next w:val="BodyText"/>
    <w:pPr>
      <w:pBdr>
        <w:top w:val="single" w:sz="4" w:space="12" w:color="auto"/>
        <w:bottom w:val="single" w:sz="4" w:space="12" w:color="auto"/>
      </w:pBdr>
      <w:jc w:val="center"/>
    </w:pPr>
    <w:rPr>
      <w:b/>
    </w:rPr>
  </w:style>
  <w:style w:type="paragraph" w:customStyle="1" w:styleId="SignatureLine">
    <w:name w:val="SignatureLine"/>
    <w:basedOn w:val="BodyText"/>
    <w:pPr>
      <w:spacing w:after="0" w:line="240" w:lineRule="auto"/>
      <w:ind w:left="5670"/>
    </w:pPr>
  </w:style>
  <w:style w:type="paragraph" w:customStyle="1" w:styleId="Overline">
    <w:name w:val="Overline"/>
    <w:basedOn w:val="SignatureLine"/>
    <w:next w:val="SignatureLine"/>
    <w:pPr>
      <w:tabs>
        <w:tab w:val="right" w:leader="underscore" w:pos="8789"/>
      </w:tabs>
      <w:ind w:left="5585"/>
    </w:pPr>
  </w:style>
  <w:style w:type="paragraph" w:customStyle="1" w:styleId="PartyLine">
    <w:name w:val="PartyLine"/>
    <w:basedOn w:val="Normal"/>
    <w:rsid w:val="00C46EF1"/>
    <w:pPr>
      <w:tabs>
        <w:tab w:val="right" w:pos="8789"/>
      </w:tabs>
      <w:spacing w:after="120"/>
    </w:pPr>
  </w:style>
  <w:style w:type="paragraph" w:customStyle="1" w:styleId="abracket">
    <w:name w:val="abracket"/>
    <w:basedOn w:val="BodyText"/>
    <w:pPr>
      <w:numPr>
        <w:numId w:val="2"/>
      </w:numPr>
    </w:pPr>
  </w:style>
  <w:style w:type="paragraph" w:customStyle="1" w:styleId="onebracket">
    <w:name w:val="onebracket"/>
    <w:basedOn w:val="BodyText"/>
    <w:pPr>
      <w:numPr>
        <w:numId w:val="3"/>
      </w:numP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Level4">
    <w:name w:val="ParaLevel4"/>
    <w:basedOn w:val="ParaLevel3"/>
    <w:rsid w:val="009B0F23"/>
    <w:pPr>
      <w:ind w:left="2552"/>
    </w:pPr>
  </w:style>
  <w:style w:type="paragraph" w:styleId="FootnoteText">
    <w:name w:val="footnote text"/>
    <w:aliases w:val="FOOTNOTES,fn,single space,Footnotes,Footnote ak,ft,fn cafc,ALTS FOOTNOTE Char,Footnote Text Char1 Char,Footnote Text Char Char Char,Footnote Text Char1 Char Char Char,Footnote Text Char Char Char Char Char,ALTS FOOTNOTE,footnote text,Car"/>
    <w:basedOn w:val="Normal"/>
    <w:link w:val="FootnoteTextChar"/>
    <w:uiPriority w:val="99"/>
    <w:qFormat/>
    <w:rsid w:val="00303FB5"/>
    <w:pPr>
      <w:tabs>
        <w:tab w:val="left" w:pos="284"/>
      </w:tabs>
      <w:spacing w:after="0"/>
    </w:pPr>
    <w:rPr>
      <w:rFonts w:ascii="Arial" w:hAnsi="Arial"/>
      <w:sz w:val="20"/>
      <w:szCs w:val="20"/>
    </w:rPr>
  </w:style>
  <w:style w:type="character" w:customStyle="1" w:styleId="FootnoteTextChar">
    <w:name w:val="Footnote Text Char"/>
    <w:aliases w:val="FOOTNOTES Char,fn Char,single space Char,Footnotes Char,Footnote ak Char,ft Char,fn cafc Char,ALTS FOOTNOTE Char Char,Footnote Text Char1 Char Char,Footnote Text Char Char Char Char,Footnote Text Char1 Char Char Char Char,Car Char"/>
    <w:link w:val="FootnoteText"/>
    <w:uiPriority w:val="99"/>
    <w:rsid w:val="00303FB5"/>
    <w:rPr>
      <w:rFonts w:ascii="Arial" w:hAnsi="Arial"/>
      <w:lang w:eastAsia="en-US"/>
    </w:rPr>
  </w:style>
  <w:style w:type="character" w:styleId="FootnoteReference">
    <w:name w:val="footnote reference"/>
    <w:aliases w:val="Ref,de nota al pie,註腳內容,Footnotes refss,Footnote Reference + Superscript"/>
    <w:uiPriority w:val="99"/>
    <w:rsid w:val="0025601B"/>
    <w:rPr>
      <w:vertAlign w:val="superscript"/>
    </w:rPr>
  </w:style>
  <w:style w:type="paragraph" w:customStyle="1" w:styleId="MSQuote">
    <w:name w:val="MS Quote"/>
    <w:basedOn w:val="ListLevel1"/>
    <w:qFormat/>
    <w:rsid w:val="0067260F"/>
    <w:pPr>
      <w:widowControl w:val="0"/>
      <w:numPr>
        <w:numId w:val="0"/>
      </w:numPr>
      <w:tabs>
        <w:tab w:val="left" w:pos="2438"/>
        <w:tab w:val="left" w:pos="3005"/>
      </w:tabs>
      <w:spacing w:line="240" w:lineRule="auto"/>
      <w:ind w:left="1871"/>
    </w:pPr>
    <w:rPr>
      <w:i/>
      <w:iCs/>
    </w:rPr>
  </w:style>
  <w:style w:type="paragraph" w:styleId="Title">
    <w:name w:val="Title"/>
    <w:link w:val="TitleChar"/>
    <w:qFormat/>
    <w:rsid w:val="001C327E"/>
    <w:pPr>
      <w:widowControl w:val="0"/>
    </w:pPr>
    <w:rPr>
      <w:rFonts w:ascii="Arial" w:hAnsi="Arial"/>
      <w:sz w:val="25"/>
      <w:lang w:eastAsia="en-US"/>
    </w:rPr>
  </w:style>
  <w:style w:type="character" w:customStyle="1" w:styleId="TitleChar">
    <w:name w:val="Title Char"/>
    <w:link w:val="Title"/>
    <w:rsid w:val="001C327E"/>
    <w:rPr>
      <w:rFonts w:ascii="Arial" w:hAnsi="Arial"/>
      <w:sz w:val="25"/>
      <w:lang w:eastAsia="en-US"/>
    </w:rPr>
  </w:style>
  <w:style w:type="paragraph" w:customStyle="1" w:styleId="SingleLineSpacing">
    <w:name w:val="Single Line Spacing"/>
    <w:basedOn w:val="Title"/>
    <w:rsid w:val="001C327E"/>
  </w:style>
  <w:style w:type="paragraph" w:customStyle="1" w:styleId="StyleTitleBoldCenteredLinespacing15lines">
    <w:name w:val="Style Title + Bold Centered Line spacing:  15 lines"/>
    <w:basedOn w:val="Title"/>
    <w:rsid w:val="001C327E"/>
    <w:pPr>
      <w:spacing w:line="360" w:lineRule="auto"/>
      <w:jc w:val="center"/>
    </w:pPr>
    <w:rPr>
      <w:b/>
      <w:bCs/>
    </w:rPr>
  </w:style>
  <w:style w:type="paragraph" w:customStyle="1" w:styleId="StyleTitleBold">
    <w:name w:val="Style Title + Bold"/>
    <w:basedOn w:val="Title"/>
    <w:rsid w:val="008851CD"/>
    <w:rPr>
      <w:b/>
      <w:bCs/>
    </w:rPr>
  </w:style>
  <w:style w:type="paragraph" w:customStyle="1" w:styleId="LegalTitle">
    <w:name w:val="Legal_Title"/>
    <w:basedOn w:val="Normal"/>
    <w:next w:val="Normal"/>
    <w:semiHidden/>
    <w:rsid w:val="00BD5A11"/>
    <w:pPr>
      <w:keepNext/>
      <w:suppressAutoHyphens/>
      <w:spacing w:after="360" w:line="480" w:lineRule="auto"/>
      <w:jc w:val="center"/>
    </w:pPr>
    <w:rPr>
      <w:rFonts w:ascii="Arial" w:hAnsi="Arial"/>
      <w:b/>
      <w:caps/>
      <w:sz w:val="24"/>
      <w:szCs w:val="24"/>
      <w:lang w:val="en-GB" w:eastAsia="en-GB"/>
    </w:rPr>
  </w:style>
  <w:style w:type="table" w:styleId="TableGrid">
    <w:name w:val="Table Grid"/>
    <w:basedOn w:val="TableNormal"/>
    <w:rsid w:val="00BD5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12pt">
    <w:name w:val="Paragraph 12pt"/>
    <w:basedOn w:val="Normal"/>
    <w:rsid w:val="0075275C"/>
    <w:pPr>
      <w:spacing w:after="240" w:line="480" w:lineRule="auto"/>
    </w:pPr>
    <w:rPr>
      <w:rFonts w:ascii="Arial" w:hAnsi="Arial"/>
      <w:sz w:val="24"/>
      <w:szCs w:val="20"/>
      <w:lang w:eastAsia="ja-JP"/>
    </w:rPr>
  </w:style>
  <w:style w:type="paragraph" w:styleId="ListParagraph">
    <w:name w:val="List Paragraph"/>
    <w:basedOn w:val="Normal"/>
    <w:uiPriority w:val="34"/>
    <w:qFormat/>
    <w:rsid w:val="007B3DB5"/>
    <w:pPr>
      <w:spacing w:after="0" w:line="240" w:lineRule="auto"/>
      <w:ind w:left="720"/>
      <w:jc w:val="left"/>
    </w:pPr>
    <w:rPr>
      <w:rFonts w:ascii="Times New Roman" w:hAnsi="Times New Roman"/>
      <w:sz w:val="20"/>
      <w:szCs w:val="20"/>
      <w:lang w:val="en-US"/>
    </w:rPr>
  </w:style>
  <w:style w:type="character" w:styleId="Hyperlink">
    <w:name w:val="Hyperlink"/>
    <w:basedOn w:val="DefaultParagraphFont"/>
    <w:uiPriority w:val="99"/>
    <w:unhideWhenUsed/>
    <w:rsid w:val="00980139"/>
    <w:rPr>
      <w:color w:val="0563C1" w:themeColor="hyperlink"/>
      <w:u w:val="single"/>
    </w:rPr>
  </w:style>
  <w:style w:type="paragraph" w:styleId="NoSpacing">
    <w:name w:val="No Spacing"/>
    <w:uiPriority w:val="1"/>
    <w:qFormat/>
    <w:rsid w:val="00405046"/>
    <w:pPr>
      <w:jc w:val="both"/>
    </w:pPr>
    <w:rPr>
      <w:rFonts w:ascii="Century Gothic" w:hAnsi="Century Gothic"/>
      <w:sz w:val="18"/>
      <w:szCs w:val="18"/>
      <w:lang w:eastAsia="en-US"/>
    </w:rPr>
  </w:style>
  <w:style w:type="character" w:customStyle="1" w:styleId="UnresolvedMention">
    <w:name w:val="Unresolved Mention"/>
    <w:basedOn w:val="DefaultParagraphFont"/>
    <w:uiPriority w:val="99"/>
    <w:semiHidden/>
    <w:unhideWhenUsed/>
    <w:rsid w:val="00A01201"/>
    <w:rPr>
      <w:color w:val="605E5C"/>
      <w:shd w:val="clear" w:color="auto" w:fill="E1DFDD"/>
    </w:rPr>
  </w:style>
  <w:style w:type="paragraph" w:customStyle="1" w:styleId="StyleHeading1NotBold">
    <w:name w:val="Style Heading 1 + Not Bold"/>
    <w:basedOn w:val="Heading1"/>
    <w:autoRedefine/>
    <w:rsid w:val="005832A2"/>
    <w:rPr>
      <w:bCs w:val="0"/>
    </w:rPr>
  </w:style>
  <w:style w:type="paragraph" w:customStyle="1" w:styleId="JudgmentNumbered">
    <w:name w:val="Judgment Numbered"/>
    <w:basedOn w:val="Normal"/>
    <w:link w:val="JudgmentNumberedChar"/>
    <w:qFormat/>
    <w:rsid w:val="00E11733"/>
    <w:pPr>
      <w:numPr>
        <w:numId w:val="12"/>
      </w:numPr>
      <w:spacing w:after="240"/>
    </w:pPr>
    <w:rPr>
      <w:rFonts w:ascii="Arial" w:eastAsiaTheme="minorHAnsi" w:hAnsi="Arial" w:cs="Arial"/>
      <w:sz w:val="24"/>
      <w:szCs w:val="22"/>
      <w:lang w:val="en-GB"/>
    </w:rPr>
  </w:style>
  <w:style w:type="character" w:customStyle="1" w:styleId="JudgmentNumberedChar">
    <w:name w:val="Judgment Numbered Char"/>
    <w:basedOn w:val="DefaultParagraphFont"/>
    <w:link w:val="JudgmentNumbered"/>
    <w:rsid w:val="00E11733"/>
    <w:rPr>
      <w:rFonts w:ascii="Arial" w:eastAsiaTheme="minorHAnsi" w:hAnsi="Arial" w:cs="Arial"/>
      <w:sz w:val="24"/>
      <w:szCs w:val="22"/>
      <w:lang w:val="en-GB" w:eastAsia="en-US"/>
    </w:rPr>
  </w:style>
  <w:style w:type="character" w:customStyle="1" w:styleId="StyleFootnoteReferenceRefdenotaalpieFootnotesrefssFo">
    <w:name w:val="Style Footnote ReferenceRefde nota al pie註腳內容Footnotes refssFo..."/>
    <w:basedOn w:val="FootnoteReference"/>
    <w:rsid w:val="00B41317"/>
    <w:rPr>
      <w:rFonts w:ascii="Arial" w:hAnsi="Arial"/>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r@snailattorneys.co.za" TargetMode="External"/><Relationship Id="rId4" Type="http://schemas.openxmlformats.org/officeDocument/2006/relationships/settings" Target="settings.xml"/><Relationship Id="rId9" Type="http://schemas.openxmlformats.org/officeDocument/2006/relationships/hyperlink" Target="mailto:jlevitz@fluxman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en\Downloads\Pleading%20Template%20U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AC2BD-AFA8-46E0-96A2-9D00851D9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Template USE</Template>
  <TotalTime>1</TotalTime>
  <Pages>10</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Normal</vt:lpstr>
    </vt:vector>
  </TitlesOfParts>
  <Company>Chambers</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colleen smanjak</dc:creator>
  <cp:keywords/>
  <cp:lastModifiedBy>Tshwarelo Mabina</cp:lastModifiedBy>
  <cp:revision>2</cp:revision>
  <cp:lastPrinted>2022-01-26T15:55:00Z</cp:lastPrinted>
  <dcterms:created xsi:type="dcterms:W3CDTF">2024-01-18T07:35:00Z</dcterms:created>
  <dcterms:modified xsi:type="dcterms:W3CDTF">2024-01-18T07:35:00Z</dcterms:modified>
</cp:coreProperties>
</file>