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F19EC" w14:textId="77777777" w:rsidR="00B72ABF" w:rsidRPr="00B72ABF" w:rsidRDefault="00B72ABF" w:rsidP="00B72ABF">
      <w:pPr>
        <w:spacing w:line="360" w:lineRule="auto"/>
        <w:jc w:val="center"/>
        <w:rPr>
          <w:rFonts w:eastAsia="Calibri"/>
          <w:b/>
          <w:bCs/>
          <w:iCs w:val="0"/>
          <w:kern w:val="0"/>
          <w:szCs w:val="22"/>
          <w14:ligatures w14:val="none"/>
        </w:rPr>
      </w:pPr>
      <w:r w:rsidRPr="00B72ABF">
        <w:rPr>
          <w:rFonts w:eastAsia="Calibri"/>
          <w:b/>
          <w:bCs/>
          <w:iCs w:val="0"/>
          <w:kern w:val="0"/>
          <w:szCs w:val="22"/>
          <w14:ligatures w14:val="none"/>
        </w:rPr>
        <w:t>REPUBLIC OF SOUTH AFRICA</w:t>
      </w:r>
    </w:p>
    <w:p w14:paraId="6F323D49" w14:textId="77777777" w:rsidR="00B72ABF" w:rsidRPr="00B72ABF" w:rsidRDefault="00B72ABF" w:rsidP="00B72ABF">
      <w:pPr>
        <w:spacing w:line="360" w:lineRule="auto"/>
        <w:ind w:left="720" w:hanging="720"/>
        <w:jc w:val="center"/>
        <w:rPr>
          <w:rFonts w:eastAsia="Calibri"/>
          <w:b/>
          <w:bCs/>
          <w:iCs w:val="0"/>
          <w:kern w:val="0"/>
          <w:szCs w:val="22"/>
          <w14:ligatures w14:val="none"/>
        </w:rPr>
      </w:pPr>
      <w:r w:rsidRPr="00B72ABF">
        <w:rPr>
          <w:rFonts w:eastAsia="Calibri"/>
          <w:b/>
          <w:bCs/>
          <w:iCs w:val="0"/>
          <w:noProof/>
          <w:kern w:val="0"/>
          <w:szCs w:val="22"/>
          <w:lang w:eastAsia="en-ZA"/>
          <w14:ligatures w14:val="none"/>
        </w:rPr>
        <w:drawing>
          <wp:inline distT="0" distB="0" distL="0" distR="0" wp14:anchorId="2E5A68ED" wp14:editId="5D780C16">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75660F74" w14:textId="77777777" w:rsidR="00B72ABF" w:rsidRPr="00B72ABF" w:rsidRDefault="00B72ABF" w:rsidP="00B72ABF">
      <w:pPr>
        <w:spacing w:line="360" w:lineRule="auto"/>
        <w:ind w:left="720" w:hanging="720"/>
        <w:jc w:val="center"/>
        <w:rPr>
          <w:rFonts w:eastAsia="Calibri"/>
          <w:b/>
          <w:bCs/>
          <w:iCs w:val="0"/>
          <w:kern w:val="0"/>
          <w:szCs w:val="22"/>
          <w14:ligatures w14:val="none"/>
        </w:rPr>
      </w:pPr>
      <w:r w:rsidRPr="00B72ABF">
        <w:rPr>
          <w:rFonts w:eastAsia="Calibri"/>
          <w:b/>
          <w:bCs/>
          <w:iCs w:val="0"/>
          <w:kern w:val="0"/>
          <w:szCs w:val="22"/>
          <w14:ligatures w14:val="none"/>
        </w:rPr>
        <w:t>IN THE HIGH COURT OF SOUTH AFRICA</w:t>
      </w:r>
    </w:p>
    <w:p w14:paraId="676BD1BF" w14:textId="77777777" w:rsidR="00B72ABF" w:rsidRPr="00B72ABF" w:rsidRDefault="00B72ABF" w:rsidP="00B72ABF">
      <w:pPr>
        <w:spacing w:line="360" w:lineRule="auto"/>
        <w:ind w:left="720" w:hanging="720"/>
        <w:jc w:val="center"/>
        <w:rPr>
          <w:rFonts w:eastAsia="Calibri"/>
          <w:b/>
          <w:bCs/>
          <w:iCs w:val="0"/>
          <w:kern w:val="0"/>
          <w:szCs w:val="22"/>
          <w14:ligatures w14:val="none"/>
        </w:rPr>
      </w:pPr>
      <w:r w:rsidRPr="00B72ABF">
        <w:rPr>
          <w:rFonts w:eastAsia="Calibri"/>
          <w:b/>
          <w:bCs/>
          <w:iCs w:val="0"/>
          <w:kern w:val="0"/>
          <w:szCs w:val="22"/>
          <w14:ligatures w14:val="none"/>
        </w:rPr>
        <w:t>GAUTENG LOCAL DIVISION, JOHANNESBURG</w:t>
      </w:r>
    </w:p>
    <w:p w14:paraId="2730DC0B" w14:textId="77777777" w:rsidR="00F0642E" w:rsidRPr="00F0642E" w:rsidRDefault="00F0642E" w:rsidP="00F0642E"/>
    <w:p w14:paraId="2F907BD2" w14:textId="6C5A6899" w:rsidR="00F0642E" w:rsidRPr="00F0642E" w:rsidRDefault="00F0642E" w:rsidP="00B72ABF">
      <w:pPr>
        <w:spacing w:after="0" w:line="360" w:lineRule="auto"/>
        <w:jc w:val="right"/>
        <w:rPr>
          <w:b/>
        </w:rPr>
      </w:pPr>
      <w:r w:rsidRPr="00F0642E">
        <w:rPr>
          <w:b/>
        </w:rPr>
        <w:t>CASE NUMBER A5051/2021</w:t>
      </w:r>
      <w:r w:rsidR="00B72ABF">
        <w:rPr>
          <w:b/>
        </w:rPr>
        <w:t xml:space="preserve"> </w:t>
      </w:r>
    </w:p>
    <w:p w14:paraId="2CB6528A" w14:textId="2CA41D14" w:rsidR="00B72ABF" w:rsidRPr="00B72ABF" w:rsidRDefault="00F0642E" w:rsidP="00B72ABF">
      <w:pPr>
        <w:spacing w:line="360" w:lineRule="auto"/>
        <w:jc w:val="right"/>
        <w:rPr>
          <w:b/>
        </w:rPr>
      </w:pPr>
      <w:r w:rsidRPr="00F0642E">
        <w:rPr>
          <w:b/>
        </w:rPr>
        <w:t>CASE NUMBER A QUO 31770/2018</w:t>
      </w:r>
    </w:p>
    <w:p w14:paraId="69894934" w14:textId="77705CC6" w:rsidR="00B72ABF" w:rsidRPr="00B72ABF" w:rsidRDefault="00B72ABF" w:rsidP="00B72ABF">
      <w:pPr>
        <w:spacing w:line="480" w:lineRule="auto"/>
        <w:rPr>
          <w:b/>
          <w:lang w:val="en-GB"/>
        </w:rPr>
      </w:pPr>
      <w:r w:rsidRPr="00B72ABF">
        <w:rPr>
          <w:b/>
          <w:noProof/>
          <w:lang w:eastAsia="en-ZA"/>
        </w:rPr>
        <mc:AlternateContent>
          <mc:Choice Requires="wps">
            <w:drawing>
              <wp:anchor distT="0" distB="0" distL="114300" distR="114300" simplePos="0" relativeHeight="251659264" behindDoc="0" locked="0" layoutInCell="1" allowOverlap="1" wp14:anchorId="71D5B5D3" wp14:editId="2EAD63AD">
                <wp:simplePos x="0" y="0"/>
                <wp:positionH relativeFrom="margin">
                  <wp:align>left</wp:align>
                </wp:positionH>
                <wp:positionV relativeFrom="paragraph">
                  <wp:posOffset>168909</wp:posOffset>
                </wp:positionV>
                <wp:extent cx="3314700" cy="1228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14:paraId="18CDF9FA" w14:textId="77777777" w:rsidR="00B72ABF" w:rsidRPr="004120A8" w:rsidRDefault="00B72ABF" w:rsidP="00B72ABF">
                            <w:pPr>
                              <w:jc w:val="center"/>
                              <w:rPr>
                                <w:rFonts w:ascii="Century Gothic" w:hAnsi="Century Gothic"/>
                                <w:b/>
                                <w:sz w:val="2"/>
                                <w:szCs w:val="18"/>
                              </w:rPr>
                            </w:pPr>
                          </w:p>
                          <w:p w14:paraId="30FBAD75" w14:textId="77777777" w:rsidR="00B72ABF" w:rsidRPr="004120A8" w:rsidRDefault="00B72ABF" w:rsidP="00B72ABF">
                            <w:pPr>
                              <w:numPr>
                                <w:ilvl w:val="0"/>
                                <w:numId w:val="12"/>
                              </w:numPr>
                              <w:spacing w:after="0" w:line="240" w:lineRule="auto"/>
                              <w:rPr>
                                <w:rFonts w:ascii="Century Gothic" w:hAnsi="Century Gothic"/>
                                <w:sz w:val="18"/>
                                <w:szCs w:val="18"/>
                              </w:rPr>
                            </w:pPr>
                            <w:r>
                              <w:rPr>
                                <w:rFonts w:ascii="Century Gothic" w:hAnsi="Century Gothic"/>
                                <w:sz w:val="18"/>
                                <w:szCs w:val="18"/>
                              </w:rPr>
                              <w:t>REPORTABLE: YES/</w:t>
                            </w:r>
                            <w:r w:rsidRPr="004120A8">
                              <w:rPr>
                                <w:rFonts w:ascii="Century Gothic" w:hAnsi="Century Gothic"/>
                                <w:sz w:val="18"/>
                                <w:szCs w:val="18"/>
                              </w:rPr>
                              <w:t>NO</w:t>
                            </w:r>
                          </w:p>
                          <w:p w14:paraId="423A3FD7" w14:textId="77777777" w:rsidR="00B72ABF" w:rsidRPr="004120A8" w:rsidRDefault="00B72ABF" w:rsidP="00B72ABF">
                            <w:pPr>
                              <w:numPr>
                                <w:ilvl w:val="0"/>
                                <w:numId w:val="12"/>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YES/</w:t>
                            </w:r>
                            <w:r w:rsidRPr="004120A8">
                              <w:rPr>
                                <w:rFonts w:ascii="Century Gothic" w:hAnsi="Century Gothic"/>
                                <w:sz w:val="18"/>
                                <w:szCs w:val="18"/>
                              </w:rPr>
                              <w:t>NO</w:t>
                            </w:r>
                          </w:p>
                          <w:p w14:paraId="4FAFE8E1" w14:textId="77777777" w:rsidR="00B72ABF" w:rsidRDefault="00B72ABF" w:rsidP="00B72ABF">
                            <w:pPr>
                              <w:numPr>
                                <w:ilvl w:val="0"/>
                                <w:numId w:val="12"/>
                              </w:numPr>
                              <w:spacing w:after="0" w:line="240" w:lineRule="auto"/>
                              <w:rPr>
                                <w:rFonts w:ascii="Century Gothic" w:hAnsi="Century Gothic"/>
                                <w:sz w:val="18"/>
                                <w:szCs w:val="18"/>
                              </w:rPr>
                            </w:pPr>
                            <w:r>
                              <w:rPr>
                                <w:rFonts w:ascii="Century Gothic" w:hAnsi="Century Gothic"/>
                                <w:sz w:val="18"/>
                                <w:szCs w:val="18"/>
                              </w:rPr>
                              <w:t>REVISED: YES/NO</w:t>
                            </w:r>
                          </w:p>
                          <w:p w14:paraId="2A85EE69" w14:textId="77777777" w:rsidR="00B72ABF" w:rsidRDefault="00B72ABF" w:rsidP="00B72ABF">
                            <w:pPr>
                              <w:spacing w:after="0"/>
                              <w:ind w:left="900"/>
                              <w:rPr>
                                <w:rFonts w:ascii="Century Gothic" w:hAnsi="Century Gothic"/>
                                <w:sz w:val="18"/>
                                <w:szCs w:val="18"/>
                              </w:rPr>
                            </w:pPr>
                          </w:p>
                          <w:p w14:paraId="6F17F07B" w14:textId="77777777" w:rsidR="00B72ABF" w:rsidRPr="00CE3BCB" w:rsidRDefault="00B72ABF" w:rsidP="00B72ABF">
                            <w:pPr>
                              <w:spacing w:after="0"/>
                              <w:ind w:left="900"/>
                              <w:rPr>
                                <w:rFonts w:ascii="Century Gothic" w:hAnsi="Century Gothic"/>
                                <w:sz w:val="18"/>
                                <w:szCs w:val="18"/>
                              </w:rPr>
                            </w:pPr>
                          </w:p>
                          <w:p w14:paraId="0471A3AF" w14:textId="51DCE1BF" w:rsidR="00B72ABF" w:rsidRPr="004120A8" w:rsidRDefault="00B72ABF" w:rsidP="00B72ABF">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05/07/2024</w:t>
                            </w:r>
                            <w:r w:rsidRPr="004120A8">
                              <w:rPr>
                                <w:rFonts w:ascii="Century Gothic" w:hAnsi="Century Gothic"/>
                                <w:b/>
                                <w:sz w:val="18"/>
                                <w:szCs w:val="18"/>
                              </w:rPr>
                              <w:t>……</w:t>
                            </w:r>
                          </w:p>
                          <w:p w14:paraId="16A133F0" w14:textId="77777777" w:rsidR="00B72ABF" w:rsidRPr="004120A8" w:rsidRDefault="00B72ABF" w:rsidP="00B72ABF">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1523CFA" w14:textId="77777777" w:rsidR="00B72ABF" w:rsidRPr="004120A8" w:rsidRDefault="00B72ABF" w:rsidP="00B72ABF">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5B5D3" id="_x0000_t202" coordsize="21600,21600" o:spt="202" path="m,l,21600r21600,l21600,xe">
                <v:stroke joinstyle="miter"/>
                <v:path gradientshapeok="t" o:connecttype="rect"/>
              </v:shapetype>
              <v:shape id="Text Box 9" o:spid="_x0000_s1026" type="#_x0000_t202" style="position:absolute;margin-left:0;margin-top:13.3pt;width:261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">
                <v:textbox>
                  <w:txbxContent>
                    <w:p w14:paraId="18CDF9FA" w14:textId="77777777" w:rsidR="00B72ABF" w:rsidRPr="004120A8" w:rsidRDefault="00B72ABF" w:rsidP="00B72ABF">
                      <w:pPr>
                        <w:jc w:val="center"/>
                        <w:rPr>
                          <w:rFonts w:ascii="Century Gothic" w:hAnsi="Century Gothic"/>
                          <w:b/>
                          <w:sz w:val="2"/>
                          <w:szCs w:val="18"/>
                        </w:rPr>
                      </w:pPr>
                    </w:p>
                    <w:p w14:paraId="30FBAD75" w14:textId="77777777" w:rsidR="00B72ABF" w:rsidRPr="004120A8" w:rsidRDefault="00B72ABF" w:rsidP="00B72ABF">
                      <w:pPr>
                        <w:numPr>
                          <w:ilvl w:val="0"/>
                          <w:numId w:val="12"/>
                        </w:numPr>
                        <w:spacing w:after="0" w:line="240" w:lineRule="auto"/>
                        <w:rPr>
                          <w:rFonts w:ascii="Century Gothic" w:hAnsi="Century Gothic"/>
                          <w:sz w:val="18"/>
                          <w:szCs w:val="18"/>
                        </w:rPr>
                      </w:pPr>
                      <w:r>
                        <w:rPr>
                          <w:rFonts w:ascii="Century Gothic" w:hAnsi="Century Gothic"/>
                          <w:sz w:val="18"/>
                          <w:szCs w:val="18"/>
                        </w:rPr>
                        <w:t>REPORTABLE: YES/</w:t>
                      </w:r>
                      <w:r w:rsidRPr="004120A8">
                        <w:rPr>
                          <w:rFonts w:ascii="Century Gothic" w:hAnsi="Century Gothic"/>
                          <w:sz w:val="18"/>
                          <w:szCs w:val="18"/>
                        </w:rPr>
                        <w:t>NO</w:t>
                      </w:r>
                    </w:p>
                    <w:p w14:paraId="423A3FD7" w14:textId="77777777" w:rsidR="00B72ABF" w:rsidRPr="004120A8" w:rsidRDefault="00B72ABF" w:rsidP="00B72ABF">
                      <w:pPr>
                        <w:numPr>
                          <w:ilvl w:val="0"/>
                          <w:numId w:val="12"/>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YES/</w:t>
                      </w:r>
                      <w:r w:rsidRPr="004120A8">
                        <w:rPr>
                          <w:rFonts w:ascii="Century Gothic" w:hAnsi="Century Gothic"/>
                          <w:sz w:val="18"/>
                          <w:szCs w:val="18"/>
                        </w:rPr>
                        <w:t>NO</w:t>
                      </w:r>
                    </w:p>
                    <w:p w14:paraId="4FAFE8E1" w14:textId="77777777" w:rsidR="00B72ABF" w:rsidRDefault="00B72ABF" w:rsidP="00B72ABF">
                      <w:pPr>
                        <w:numPr>
                          <w:ilvl w:val="0"/>
                          <w:numId w:val="12"/>
                        </w:numPr>
                        <w:spacing w:after="0" w:line="240" w:lineRule="auto"/>
                        <w:rPr>
                          <w:rFonts w:ascii="Century Gothic" w:hAnsi="Century Gothic"/>
                          <w:sz w:val="18"/>
                          <w:szCs w:val="18"/>
                        </w:rPr>
                      </w:pPr>
                      <w:r>
                        <w:rPr>
                          <w:rFonts w:ascii="Century Gothic" w:hAnsi="Century Gothic"/>
                          <w:sz w:val="18"/>
                          <w:szCs w:val="18"/>
                        </w:rPr>
                        <w:t>REVISED: YES/NO</w:t>
                      </w:r>
                    </w:p>
                    <w:p w14:paraId="2A85EE69" w14:textId="77777777" w:rsidR="00B72ABF" w:rsidRDefault="00B72ABF" w:rsidP="00B72ABF">
                      <w:pPr>
                        <w:spacing w:after="0"/>
                        <w:ind w:left="900"/>
                        <w:rPr>
                          <w:rFonts w:ascii="Century Gothic" w:hAnsi="Century Gothic"/>
                          <w:sz w:val="18"/>
                          <w:szCs w:val="18"/>
                        </w:rPr>
                      </w:pPr>
                    </w:p>
                    <w:p w14:paraId="6F17F07B" w14:textId="77777777" w:rsidR="00B72ABF" w:rsidRPr="00CE3BCB" w:rsidRDefault="00B72ABF" w:rsidP="00B72ABF">
                      <w:pPr>
                        <w:spacing w:after="0"/>
                        <w:ind w:left="900"/>
                        <w:rPr>
                          <w:rFonts w:ascii="Century Gothic" w:hAnsi="Century Gothic"/>
                          <w:sz w:val="18"/>
                          <w:szCs w:val="18"/>
                        </w:rPr>
                      </w:pPr>
                    </w:p>
                    <w:p w14:paraId="0471A3AF" w14:textId="51DCE1BF" w:rsidR="00B72ABF" w:rsidRPr="004120A8" w:rsidRDefault="00B72ABF" w:rsidP="00B72ABF">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05</w:t>
                      </w:r>
                      <w:r>
                        <w:rPr>
                          <w:rFonts w:ascii="Century Gothic" w:hAnsi="Century Gothic"/>
                          <w:b/>
                          <w:sz w:val="18"/>
                          <w:szCs w:val="18"/>
                        </w:rPr>
                        <w:t>/0</w:t>
                      </w:r>
                      <w:r>
                        <w:rPr>
                          <w:rFonts w:ascii="Century Gothic" w:hAnsi="Century Gothic"/>
                          <w:b/>
                          <w:sz w:val="18"/>
                          <w:szCs w:val="18"/>
                        </w:rPr>
                        <w:t>7</w:t>
                      </w:r>
                      <w:r>
                        <w:rPr>
                          <w:rFonts w:ascii="Century Gothic" w:hAnsi="Century Gothic"/>
                          <w:b/>
                          <w:sz w:val="18"/>
                          <w:szCs w:val="18"/>
                        </w:rPr>
                        <w:t>/2024</w:t>
                      </w:r>
                      <w:r w:rsidRPr="004120A8">
                        <w:rPr>
                          <w:rFonts w:ascii="Century Gothic" w:hAnsi="Century Gothic"/>
                          <w:b/>
                          <w:sz w:val="18"/>
                          <w:szCs w:val="18"/>
                        </w:rPr>
                        <w:t>……</w:t>
                      </w:r>
                    </w:p>
                    <w:p w14:paraId="16A133F0" w14:textId="77777777" w:rsidR="00B72ABF" w:rsidRPr="004120A8" w:rsidRDefault="00B72ABF" w:rsidP="00B72ABF">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1523CFA" w14:textId="77777777" w:rsidR="00B72ABF" w:rsidRPr="004120A8" w:rsidRDefault="00B72ABF" w:rsidP="00B72ABF">
                      <w:pPr>
                        <w:rPr>
                          <w:rFonts w:ascii="Century Gothic" w:hAnsi="Century Gothic"/>
                          <w:b/>
                          <w:sz w:val="2"/>
                          <w:szCs w:val="18"/>
                        </w:rPr>
                      </w:pPr>
                    </w:p>
                  </w:txbxContent>
                </v:textbox>
                <w10:wrap anchorx="margin"/>
              </v:shape>
            </w:pict>
          </mc:Fallback>
        </mc:AlternateContent>
      </w:r>
      <w:r w:rsidRPr="00B72ABF">
        <w:rPr>
          <w:b/>
        </w:rPr>
        <w:tab/>
      </w:r>
      <w:r w:rsidRPr="00B72ABF">
        <w:rPr>
          <w:b/>
        </w:rPr>
        <w:tab/>
      </w:r>
      <w:r w:rsidRPr="00B72ABF">
        <w:rPr>
          <w:b/>
        </w:rPr>
        <w:tab/>
      </w:r>
      <w:r w:rsidRPr="00B72ABF">
        <w:rPr>
          <w:b/>
        </w:rPr>
        <w:tab/>
      </w:r>
      <w:r w:rsidRPr="00B72ABF">
        <w:rPr>
          <w:b/>
        </w:rPr>
        <w:tab/>
      </w:r>
    </w:p>
    <w:p w14:paraId="52CA3E42" w14:textId="77777777" w:rsidR="00B72ABF" w:rsidRPr="00B72ABF" w:rsidRDefault="00B72ABF" w:rsidP="00B72ABF">
      <w:pPr>
        <w:spacing w:line="480" w:lineRule="auto"/>
        <w:rPr>
          <w:b/>
          <w:u w:val="single"/>
          <w:lang w:val="en-GB"/>
        </w:rPr>
      </w:pPr>
    </w:p>
    <w:p w14:paraId="33C3592C" w14:textId="77777777" w:rsidR="00B72ABF" w:rsidRPr="00B72ABF" w:rsidRDefault="00B72ABF" w:rsidP="00B72ABF">
      <w:pPr>
        <w:spacing w:line="480" w:lineRule="auto"/>
        <w:rPr>
          <w:b/>
          <w:u w:val="single"/>
          <w:lang w:val="en-GB"/>
        </w:rPr>
      </w:pPr>
      <w:bookmarkStart w:id="0" w:name="_GoBack"/>
      <w:bookmarkEnd w:id="0"/>
    </w:p>
    <w:p w14:paraId="37CD6D7A" w14:textId="77777777" w:rsidR="00B72ABF" w:rsidRDefault="00B72ABF" w:rsidP="00B72ABF">
      <w:pPr>
        <w:spacing w:after="0" w:line="240" w:lineRule="auto"/>
        <w:rPr>
          <w:b/>
        </w:rPr>
      </w:pPr>
    </w:p>
    <w:p w14:paraId="3EAFE6AB" w14:textId="45E330A1" w:rsidR="009E7342" w:rsidRPr="00B72ABF" w:rsidRDefault="009E7342" w:rsidP="00B72ABF">
      <w:pPr>
        <w:spacing w:after="0" w:line="240" w:lineRule="auto"/>
        <w:rPr>
          <w:bCs/>
        </w:rPr>
      </w:pPr>
      <w:r w:rsidRPr="00B72ABF">
        <w:rPr>
          <w:bCs/>
        </w:rPr>
        <w:t>In the matter between:</w:t>
      </w:r>
      <w:r w:rsidR="00B72ABF" w:rsidRPr="00B72ABF">
        <w:rPr>
          <w:bCs/>
        </w:rPr>
        <w:t xml:space="preserve"> </w:t>
      </w:r>
    </w:p>
    <w:p w14:paraId="7D30FDFE" w14:textId="77777777" w:rsidR="009E7342" w:rsidRPr="003C25A0" w:rsidRDefault="009E7342" w:rsidP="00B72ABF">
      <w:pPr>
        <w:spacing w:after="0" w:line="480" w:lineRule="auto"/>
        <w:jc w:val="right"/>
        <w:rPr>
          <w:b/>
        </w:rPr>
      </w:pPr>
    </w:p>
    <w:p w14:paraId="482967A4" w14:textId="1CBC3DB2" w:rsidR="009E7342" w:rsidRPr="00B72ABF" w:rsidRDefault="009E7342" w:rsidP="00B72ABF">
      <w:pPr>
        <w:tabs>
          <w:tab w:val="right" w:pos="8646"/>
        </w:tabs>
        <w:spacing w:line="600" w:lineRule="auto"/>
        <w:rPr>
          <w:bCs/>
        </w:rPr>
      </w:pPr>
      <w:r w:rsidRPr="003C25A0">
        <w:rPr>
          <w:b/>
        </w:rPr>
        <w:t xml:space="preserve">ARKEIN CAPITAL PARTNERS (PTY) LTD </w:t>
      </w:r>
      <w:r w:rsidR="006C666F">
        <w:rPr>
          <w:b/>
        </w:rPr>
        <w:t xml:space="preserve">                                         </w:t>
      </w:r>
      <w:r w:rsidR="006C666F" w:rsidRPr="00B72ABF">
        <w:rPr>
          <w:b/>
        </w:rPr>
        <w:t>Appellant</w:t>
      </w:r>
      <w:r w:rsidR="00B72ABF">
        <w:t xml:space="preserve"> </w:t>
      </w:r>
    </w:p>
    <w:p w14:paraId="16064E5A" w14:textId="731408D6" w:rsidR="009E7342" w:rsidRPr="003C25A0" w:rsidRDefault="00B72ABF" w:rsidP="00B72ABF">
      <w:pPr>
        <w:tabs>
          <w:tab w:val="right" w:pos="8646"/>
        </w:tabs>
        <w:spacing w:line="600" w:lineRule="auto"/>
      </w:pPr>
      <w:r>
        <w:t>a</w:t>
      </w:r>
      <w:r w:rsidR="009E7342" w:rsidRPr="003C25A0">
        <w:t>nd</w:t>
      </w:r>
      <w:r>
        <w:t xml:space="preserve"> </w:t>
      </w:r>
    </w:p>
    <w:p w14:paraId="7BBE91F6" w14:textId="77777777" w:rsidR="009E7342" w:rsidRPr="003C25A0" w:rsidRDefault="009E7342" w:rsidP="00B72ABF">
      <w:pPr>
        <w:tabs>
          <w:tab w:val="right" w:pos="8646"/>
        </w:tabs>
        <w:spacing w:after="0" w:line="360" w:lineRule="auto"/>
        <w:rPr>
          <w:b/>
        </w:rPr>
      </w:pPr>
      <w:r w:rsidRPr="003C25A0">
        <w:rPr>
          <w:b/>
        </w:rPr>
        <w:t xml:space="preserve">GAUTENG PARTNERSHIP TRUST </w:t>
      </w:r>
    </w:p>
    <w:p w14:paraId="58F2949C" w14:textId="71651C56" w:rsidR="009E7342" w:rsidRDefault="009E7342" w:rsidP="00B72ABF">
      <w:pPr>
        <w:tabs>
          <w:tab w:val="right" w:pos="8646"/>
        </w:tabs>
        <w:spacing w:after="0" w:line="360" w:lineRule="auto"/>
        <w:rPr>
          <w:bCs/>
        </w:rPr>
      </w:pPr>
      <w:r w:rsidRPr="003C25A0">
        <w:rPr>
          <w:b/>
        </w:rPr>
        <w:t>t</w:t>
      </w:r>
      <w:r w:rsidR="0049626A">
        <w:rPr>
          <w:b/>
        </w:rPr>
        <w:t>/a</w:t>
      </w:r>
      <w:r w:rsidRPr="003C25A0">
        <w:rPr>
          <w:b/>
        </w:rPr>
        <w:t xml:space="preserve"> GAUTENG PARTNERSHIP FUND </w:t>
      </w:r>
      <w:r w:rsidRPr="003C25A0">
        <w:rPr>
          <w:b/>
        </w:rPr>
        <w:tab/>
      </w:r>
      <w:r w:rsidR="0029200E" w:rsidRPr="00B72ABF">
        <w:rPr>
          <w:b/>
        </w:rPr>
        <w:t xml:space="preserve">First </w:t>
      </w:r>
      <w:r w:rsidRPr="00B72ABF">
        <w:rPr>
          <w:b/>
        </w:rPr>
        <w:t>Respondent</w:t>
      </w:r>
    </w:p>
    <w:p w14:paraId="67614A72" w14:textId="161962EF" w:rsidR="00111ACC" w:rsidRPr="003C25A0" w:rsidRDefault="00111ACC" w:rsidP="009E7342">
      <w:pPr>
        <w:tabs>
          <w:tab w:val="right" w:pos="8646"/>
        </w:tabs>
        <w:spacing w:line="480" w:lineRule="auto"/>
        <w:rPr>
          <w:bCs/>
        </w:rPr>
      </w:pPr>
      <w:r w:rsidRPr="003C25A0">
        <w:rPr>
          <w:b/>
        </w:rPr>
        <w:t>AND 11 OTHERS</w:t>
      </w:r>
      <w:r w:rsidR="00B72ABF">
        <w:rPr>
          <w:b/>
        </w:rPr>
        <w:t xml:space="preserve"> </w:t>
      </w:r>
    </w:p>
    <w:p w14:paraId="2D7F9B6F" w14:textId="37C37CA1" w:rsidR="008B1E70" w:rsidRPr="00B72ABF" w:rsidRDefault="00504047" w:rsidP="009E7342">
      <w:pPr>
        <w:tabs>
          <w:tab w:val="right" w:pos="8646"/>
        </w:tabs>
        <w:spacing w:line="480" w:lineRule="auto"/>
        <w:rPr>
          <w:b/>
        </w:rPr>
      </w:pPr>
      <w:r w:rsidRPr="00B72ABF">
        <w:rPr>
          <w:b/>
        </w:rPr>
        <w:t>Cor</w:t>
      </w:r>
      <w:r w:rsidR="008B1E70" w:rsidRPr="00B72ABF">
        <w:rPr>
          <w:b/>
        </w:rPr>
        <w:t xml:space="preserve">am: Maier-Frawley J, Manoim J and Allen </w:t>
      </w:r>
      <w:r w:rsidR="00264F1A" w:rsidRPr="00B72ABF">
        <w:rPr>
          <w:b/>
        </w:rPr>
        <w:t>AJ</w:t>
      </w:r>
    </w:p>
    <w:p w14:paraId="38E1F150" w14:textId="354521CA" w:rsidR="008B1E70" w:rsidRDefault="008B1E70" w:rsidP="009E7342">
      <w:pPr>
        <w:tabs>
          <w:tab w:val="right" w:pos="8646"/>
        </w:tabs>
        <w:spacing w:line="480" w:lineRule="auto"/>
        <w:rPr>
          <w:b/>
        </w:rPr>
      </w:pPr>
      <w:r>
        <w:rPr>
          <w:b/>
        </w:rPr>
        <w:t>Heard</w:t>
      </w:r>
      <w:r w:rsidR="00763299">
        <w:rPr>
          <w:b/>
        </w:rPr>
        <w:t>:</w:t>
      </w:r>
      <w:r w:rsidR="00D85726">
        <w:rPr>
          <w:b/>
        </w:rPr>
        <w:t xml:space="preserve"> </w:t>
      </w:r>
      <w:r w:rsidR="00BC1187">
        <w:rPr>
          <w:b/>
        </w:rPr>
        <w:t>0</w:t>
      </w:r>
      <w:r w:rsidR="00D85726">
        <w:rPr>
          <w:b/>
        </w:rPr>
        <w:t xml:space="preserve">8 May 2024 </w:t>
      </w:r>
      <w:r>
        <w:rPr>
          <w:b/>
        </w:rPr>
        <w:t xml:space="preserve"> </w:t>
      </w:r>
    </w:p>
    <w:p w14:paraId="23B816F1" w14:textId="278E387A" w:rsidR="009E7342" w:rsidRDefault="00B72ABF" w:rsidP="009E7342">
      <w:pPr>
        <w:tabs>
          <w:tab w:val="right" w:pos="8646"/>
        </w:tabs>
        <w:spacing w:line="480" w:lineRule="auto"/>
        <w:rPr>
          <w:bCs/>
        </w:rPr>
      </w:pPr>
      <w:r>
        <w:rPr>
          <w:b/>
        </w:rPr>
        <w:lastRenderedPageBreak/>
        <w:t>A</w:t>
      </w:r>
      <w:r w:rsidR="009E7342" w:rsidRPr="003C25A0">
        <w:rPr>
          <w:b/>
        </w:rPr>
        <w:t xml:space="preserve">ppeal from: </w:t>
      </w:r>
      <w:r w:rsidR="009E7342" w:rsidRPr="003C25A0">
        <w:rPr>
          <w:bCs/>
        </w:rPr>
        <w:t xml:space="preserve">Gauteng Local Division of the High Court, Johannesburg (Molahlehi J sitting as </w:t>
      </w:r>
      <w:r w:rsidR="00F53BA2">
        <w:rPr>
          <w:bCs/>
        </w:rPr>
        <w:t xml:space="preserve">a </w:t>
      </w:r>
      <w:r w:rsidR="009E7342" w:rsidRPr="003C25A0">
        <w:rPr>
          <w:bCs/>
        </w:rPr>
        <w:t>court of first instance):</w:t>
      </w:r>
    </w:p>
    <w:p w14:paraId="451DEC62" w14:textId="77777777" w:rsidR="00E10556" w:rsidRDefault="006530F4" w:rsidP="00F66926">
      <w:pPr>
        <w:tabs>
          <w:tab w:val="right" w:pos="8646"/>
        </w:tabs>
        <w:spacing w:line="276" w:lineRule="auto"/>
        <w:rPr>
          <w:bCs/>
          <w:i/>
          <w:iCs w:val="0"/>
        </w:rPr>
      </w:pPr>
      <w:r w:rsidRPr="00F66926">
        <w:rPr>
          <w:bCs/>
          <w:i/>
          <w:iCs w:val="0"/>
        </w:rPr>
        <w:t xml:space="preserve">Summary: Reinstatement of appeal </w:t>
      </w:r>
      <w:r w:rsidR="009657CE" w:rsidRPr="00F66926">
        <w:rPr>
          <w:bCs/>
          <w:i/>
          <w:iCs w:val="0"/>
        </w:rPr>
        <w:t xml:space="preserve">- </w:t>
      </w:r>
      <w:r w:rsidR="000C183E" w:rsidRPr="00F66926">
        <w:rPr>
          <w:bCs/>
          <w:i/>
          <w:iCs w:val="0"/>
        </w:rPr>
        <w:t>failure to comply with High Court Rule 46(9)</w:t>
      </w:r>
      <w:r w:rsidR="00895EBF">
        <w:rPr>
          <w:bCs/>
          <w:i/>
          <w:iCs w:val="0"/>
        </w:rPr>
        <w:t>(a)</w:t>
      </w:r>
      <w:r w:rsidR="00144CB7">
        <w:rPr>
          <w:bCs/>
          <w:i/>
          <w:iCs w:val="0"/>
        </w:rPr>
        <w:t>- whether good cause shown for condonation;</w:t>
      </w:r>
    </w:p>
    <w:p w14:paraId="72837E6E" w14:textId="77E18C3B" w:rsidR="006530F4" w:rsidRPr="00F66926" w:rsidRDefault="009657CE" w:rsidP="00F66926">
      <w:pPr>
        <w:tabs>
          <w:tab w:val="right" w:pos="8646"/>
        </w:tabs>
        <w:spacing w:line="276" w:lineRule="auto"/>
        <w:rPr>
          <w:bCs/>
          <w:i/>
          <w:iCs w:val="0"/>
        </w:rPr>
      </w:pPr>
      <w:r w:rsidRPr="00F66926">
        <w:rPr>
          <w:bCs/>
          <w:i/>
          <w:iCs w:val="0"/>
        </w:rPr>
        <w:t xml:space="preserve"> Review- </w:t>
      </w:r>
      <w:r w:rsidR="00E02974" w:rsidRPr="00F66926">
        <w:rPr>
          <w:bCs/>
          <w:i/>
          <w:iCs w:val="0"/>
        </w:rPr>
        <w:t>application by respondent for sel</w:t>
      </w:r>
      <w:r w:rsidR="00AC67A4" w:rsidRPr="00F66926">
        <w:rPr>
          <w:bCs/>
          <w:i/>
          <w:iCs w:val="0"/>
        </w:rPr>
        <w:t>f-</w:t>
      </w:r>
      <w:r w:rsidR="00E02974" w:rsidRPr="00F66926">
        <w:rPr>
          <w:bCs/>
          <w:i/>
          <w:iCs w:val="0"/>
        </w:rPr>
        <w:t xml:space="preserve"> review of tender,</w:t>
      </w:r>
      <w:r w:rsidR="00AC67A4" w:rsidRPr="00F66926">
        <w:rPr>
          <w:bCs/>
          <w:i/>
          <w:iCs w:val="0"/>
        </w:rPr>
        <w:t xml:space="preserve"> whether high court correctly granted the review</w:t>
      </w:r>
      <w:r w:rsidR="00E10556">
        <w:rPr>
          <w:bCs/>
          <w:i/>
          <w:iCs w:val="0"/>
        </w:rPr>
        <w:t>.</w:t>
      </w:r>
      <w:r w:rsidR="00AC67A4" w:rsidRPr="00F66926">
        <w:rPr>
          <w:bCs/>
          <w:i/>
          <w:iCs w:val="0"/>
        </w:rPr>
        <w:t xml:space="preserve"> </w:t>
      </w:r>
    </w:p>
    <w:p w14:paraId="1E0879B2" w14:textId="312808EF" w:rsidR="00AC67A4" w:rsidRPr="00F66926" w:rsidRDefault="00AC67A4" w:rsidP="00F66926">
      <w:pPr>
        <w:tabs>
          <w:tab w:val="right" w:pos="8646"/>
        </w:tabs>
        <w:spacing w:line="276" w:lineRule="auto"/>
        <w:rPr>
          <w:bCs/>
          <w:i/>
          <w:iCs w:val="0"/>
        </w:rPr>
      </w:pPr>
      <w:r w:rsidRPr="00F66926">
        <w:rPr>
          <w:bCs/>
          <w:i/>
          <w:iCs w:val="0"/>
        </w:rPr>
        <w:t xml:space="preserve">Administrative law- whether an ancillary contract is ultra vires when </w:t>
      </w:r>
      <w:r w:rsidR="006F5C30" w:rsidRPr="00F66926">
        <w:rPr>
          <w:bCs/>
          <w:i/>
          <w:iCs w:val="0"/>
        </w:rPr>
        <w:t>the main contract is ultra vires</w:t>
      </w:r>
    </w:p>
    <w:p w14:paraId="1B014134" w14:textId="403BCB59" w:rsidR="009E7342" w:rsidRPr="00B72ABF" w:rsidRDefault="006F5C30" w:rsidP="00B72ABF">
      <w:pPr>
        <w:tabs>
          <w:tab w:val="right" w:pos="8646"/>
        </w:tabs>
        <w:spacing w:line="276" w:lineRule="auto"/>
        <w:rPr>
          <w:bCs/>
          <w:i/>
          <w:iCs w:val="0"/>
        </w:rPr>
      </w:pPr>
      <w:r w:rsidRPr="00F66926">
        <w:rPr>
          <w:bCs/>
          <w:i/>
          <w:iCs w:val="0"/>
        </w:rPr>
        <w:t xml:space="preserve">Administrative review – whether if contract set aside tenderer entitled to payment </w:t>
      </w:r>
      <w:r w:rsidR="00F66926" w:rsidRPr="00F66926">
        <w:rPr>
          <w:bCs/>
          <w:i/>
          <w:iCs w:val="0"/>
        </w:rPr>
        <w:t>of invoices both paid and unpaid</w:t>
      </w:r>
      <w:r w:rsidR="00E10556">
        <w:rPr>
          <w:bCs/>
          <w:i/>
          <w:iCs w:val="0"/>
        </w:rPr>
        <w:t xml:space="preserve"> on grounds it is just and equitable</w:t>
      </w:r>
      <w:r w:rsidR="00F66926" w:rsidRPr="00F66926">
        <w:rPr>
          <w:bCs/>
          <w:i/>
          <w:iCs w:val="0"/>
        </w:rPr>
        <w:t>.</w:t>
      </w:r>
    </w:p>
    <w:p w14:paraId="4EA2B6B0" w14:textId="77777777" w:rsidR="00B72ABF" w:rsidRPr="00B72ABF" w:rsidRDefault="00B72ABF" w:rsidP="00B72ABF">
      <w:pPr>
        <w:tabs>
          <w:tab w:val="left" w:pos="0"/>
        </w:tabs>
        <w:spacing w:after="0" w:line="480" w:lineRule="auto"/>
        <w:ind w:left="-709"/>
        <w:jc w:val="center"/>
        <w:rPr>
          <w:rFonts w:eastAsia="Times New Roman"/>
          <w:b/>
          <w:iCs w:val="0"/>
          <w:color w:val="0E101A"/>
          <w:u w:val="single"/>
          <w:lang w:eastAsia="en-ZA"/>
        </w:rPr>
      </w:pP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p>
    <w:p w14:paraId="53475946" w14:textId="30A130C9" w:rsidR="00B72ABF" w:rsidRPr="00B72ABF" w:rsidRDefault="00B72ABF" w:rsidP="00B72ABF">
      <w:pPr>
        <w:tabs>
          <w:tab w:val="left" w:pos="0"/>
        </w:tabs>
        <w:spacing w:after="0" w:line="240" w:lineRule="auto"/>
        <w:ind w:left="-709"/>
        <w:jc w:val="center"/>
        <w:rPr>
          <w:rFonts w:eastAsia="Times New Roman"/>
          <w:b/>
          <w:iCs w:val="0"/>
          <w:color w:val="0E101A"/>
          <w:lang w:eastAsia="en-ZA"/>
        </w:rPr>
      </w:pPr>
      <w:r>
        <w:rPr>
          <w:rFonts w:eastAsia="Times New Roman"/>
          <w:b/>
          <w:iCs w:val="0"/>
          <w:color w:val="0E101A"/>
          <w:lang w:eastAsia="en-ZA"/>
        </w:rPr>
        <w:t>ORDER</w:t>
      </w:r>
    </w:p>
    <w:p w14:paraId="483D13C6" w14:textId="32D96D95" w:rsidR="00154291" w:rsidRPr="00B72ABF" w:rsidRDefault="00B72ABF" w:rsidP="00B72ABF">
      <w:pPr>
        <w:tabs>
          <w:tab w:val="left" w:pos="0"/>
        </w:tabs>
        <w:spacing w:after="0" w:line="480" w:lineRule="auto"/>
        <w:ind w:left="-709"/>
        <w:jc w:val="center"/>
        <w:rPr>
          <w:rFonts w:eastAsia="Times New Roman"/>
          <w:b/>
          <w:iCs w:val="0"/>
          <w:color w:val="0E101A"/>
          <w:u w:val="single"/>
          <w:lang w:eastAsia="en-ZA"/>
        </w:rPr>
      </w:pP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r w:rsidRPr="00B72ABF">
        <w:rPr>
          <w:rFonts w:eastAsia="Times New Roman"/>
          <w:b/>
          <w:iCs w:val="0"/>
          <w:color w:val="0E101A"/>
          <w:u w:val="single"/>
          <w:lang w:eastAsia="en-ZA"/>
        </w:rPr>
        <w:tab/>
      </w:r>
    </w:p>
    <w:p w14:paraId="160A9CB0" w14:textId="77777777" w:rsidR="00971608" w:rsidRDefault="00971608" w:rsidP="00971608">
      <w:pPr>
        <w:pStyle w:val="ListParagraph"/>
        <w:spacing w:line="480" w:lineRule="auto"/>
      </w:pPr>
      <w:r>
        <w:t>1.</w:t>
      </w:r>
      <w:r w:rsidRPr="00BA6753">
        <w:t>The appeal is dismissed.</w:t>
      </w:r>
    </w:p>
    <w:p w14:paraId="25ADC27B" w14:textId="48C8EF87" w:rsidR="00971608" w:rsidRPr="00971608" w:rsidRDefault="00971608" w:rsidP="0075180E">
      <w:pPr>
        <w:pStyle w:val="ListParagraph"/>
        <w:spacing w:after="0" w:line="480" w:lineRule="auto"/>
      </w:pPr>
      <w:r>
        <w:t>2.</w:t>
      </w:r>
      <w:r w:rsidRPr="00BA6753">
        <w:t>The appellant is liable for the costs of the first respondent on the C scale including the costs of two counsel</w:t>
      </w:r>
      <w:r>
        <w:t xml:space="preserve"> where used.</w:t>
      </w:r>
      <w:r w:rsidR="0075180E">
        <w:t xml:space="preserve"> </w:t>
      </w:r>
    </w:p>
    <w:p w14:paraId="7AD698C2" w14:textId="54178748" w:rsidR="00B72ABF" w:rsidRPr="00766810" w:rsidRDefault="00B72ABF" w:rsidP="00B72ABF">
      <w:pPr>
        <w:tabs>
          <w:tab w:val="left" w:pos="0"/>
        </w:tabs>
        <w:spacing w:after="0" w:line="480" w:lineRule="auto"/>
        <w:ind w:left="-709"/>
        <w:jc w:val="center"/>
        <w:rPr>
          <w:rFonts w:eastAsia="Times New Roman"/>
          <w:b/>
          <w:color w:val="0E101A"/>
          <w:u w:val="single"/>
          <w:lang w:eastAsia="en-ZA"/>
        </w:rPr>
      </w:pP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p>
    <w:p w14:paraId="15AF41FD" w14:textId="77777777" w:rsidR="00B72ABF" w:rsidRPr="00766810" w:rsidRDefault="00B72ABF" w:rsidP="00B72ABF">
      <w:pPr>
        <w:tabs>
          <w:tab w:val="left" w:pos="0"/>
        </w:tabs>
        <w:spacing w:after="0" w:line="240" w:lineRule="auto"/>
        <w:ind w:left="-709"/>
        <w:jc w:val="center"/>
        <w:rPr>
          <w:rFonts w:eastAsia="Times New Roman"/>
          <w:b/>
          <w:color w:val="0E101A"/>
          <w:lang w:eastAsia="en-ZA"/>
        </w:rPr>
      </w:pPr>
      <w:r>
        <w:rPr>
          <w:rFonts w:eastAsia="Times New Roman"/>
          <w:b/>
          <w:color w:val="0E101A"/>
          <w:lang w:eastAsia="en-ZA"/>
        </w:rPr>
        <w:t>JUDGMENT</w:t>
      </w:r>
      <w:r w:rsidRPr="00766810">
        <w:rPr>
          <w:rFonts w:eastAsia="Times New Roman"/>
          <w:b/>
          <w:color w:val="0E101A"/>
          <w:lang w:eastAsia="en-ZA"/>
        </w:rPr>
        <w:t xml:space="preserve"> </w:t>
      </w:r>
    </w:p>
    <w:p w14:paraId="1B247E1A" w14:textId="43A2C9FF" w:rsidR="00E27EBF" w:rsidRPr="00B72ABF" w:rsidRDefault="00B72ABF" w:rsidP="00B72ABF">
      <w:pPr>
        <w:tabs>
          <w:tab w:val="left" w:pos="0"/>
        </w:tabs>
        <w:spacing w:after="0" w:line="480" w:lineRule="auto"/>
        <w:ind w:left="-709"/>
        <w:jc w:val="center"/>
        <w:rPr>
          <w:rFonts w:eastAsia="Times New Roman"/>
          <w:b/>
          <w:color w:val="0E101A"/>
          <w:u w:val="single"/>
          <w:lang w:eastAsia="en-ZA"/>
        </w:rPr>
      </w:pP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r w:rsidRPr="00766810">
        <w:rPr>
          <w:rFonts w:eastAsia="Times New Roman"/>
          <w:b/>
          <w:color w:val="0E101A"/>
          <w:u w:val="single"/>
          <w:lang w:eastAsia="en-ZA"/>
        </w:rPr>
        <w:tab/>
      </w:r>
    </w:p>
    <w:p w14:paraId="5C4150DA" w14:textId="1DA351E4" w:rsidR="00A2683F" w:rsidRPr="00F70F35" w:rsidRDefault="00A2683F" w:rsidP="00F70F35">
      <w:pPr>
        <w:spacing w:before="240" w:after="360" w:line="480" w:lineRule="auto"/>
        <w:ind w:firstLine="720"/>
        <w:contextualSpacing/>
        <w:jc w:val="both"/>
        <w:rPr>
          <w:b/>
          <w:bCs/>
          <w:color w:val="000000" w:themeColor="text1"/>
        </w:rPr>
      </w:pPr>
      <w:r w:rsidRPr="00F70F35">
        <w:rPr>
          <w:b/>
          <w:bCs/>
          <w:color w:val="000000" w:themeColor="text1"/>
        </w:rPr>
        <w:t xml:space="preserve">MANOIM J (MAIER-FRAWLEY J </w:t>
      </w:r>
      <w:r w:rsidR="00F70F35">
        <w:rPr>
          <w:b/>
          <w:bCs/>
          <w:color w:val="000000" w:themeColor="text1"/>
        </w:rPr>
        <w:t>and</w:t>
      </w:r>
      <w:r w:rsidRPr="00F70F35">
        <w:rPr>
          <w:b/>
          <w:bCs/>
          <w:color w:val="000000" w:themeColor="text1"/>
        </w:rPr>
        <w:t xml:space="preserve"> ALLEN AJ concurring):</w:t>
      </w:r>
      <w:r w:rsidR="00926076" w:rsidRPr="00F70F35">
        <w:rPr>
          <w:b/>
          <w:bCs/>
          <w:color w:val="000000" w:themeColor="text1"/>
        </w:rPr>
        <w:t xml:space="preserve"> </w:t>
      </w:r>
    </w:p>
    <w:p w14:paraId="796127B3" w14:textId="77777777" w:rsidR="00926076" w:rsidRDefault="00361520" w:rsidP="00926076">
      <w:pPr>
        <w:spacing w:after="360" w:line="480" w:lineRule="auto"/>
        <w:ind w:firstLine="720"/>
        <w:jc w:val="both"/>
        <w:rPr>
          <w:b/>
          <w:bCs/>
        </w:rPr>
      </w:pPr>
      <w:r w:rsidRPr="00B72ABF">
        <w:rPr>
          <w:b/>
          <w:bCs/>
        </w:rPr>
        <w:t>Introduction</w:t>
      </w:r>
      <w:r w:rsidR="00926076">
        <w:rPr>
          <w:b/>
          <w:bCs/>
        </w:rPr>
        <w:t xml:space="preserve"> </w:t>
      </w:r>
      <w:r w:rsidRPr="00B72ABF">
        <w:rPr>
          <w:b/>
          <w:bCs/>
        </w:rPr>
        <w:t xml:space="preserve"> </w:t>
      </w:r>
    </w:p>
    <w:p w14:paraId="0EF04459" w14:textId="63402E1E" w:rsidR="00230ABC" w:rsidRPr="00926076" w:rsidRDefault="00926076" w:rsidP="00926076">
      <w:pPr>
        <w:spacing w:after="360" w:line="480" w:lineRule="auto"/>
        <w:ind w:left="720" w:hanging="720"/>
        <w:jc w:val="both"/>
        <w:rPr>
          <w:b/>
          <w:bCs/>
        </w:rPr>
      </w:pPr>
      <w:r w:rsidRPr="00926076">
        <w:t>[1]</w:t>
      </w:r>
      <w:r>
        <w:rPr>
          <w:b/>
          <w:bCs/>
        </w:rPr>
        <w:tab/>
      </w:r>
      <w:r w:rsidR="00230ABC" w:rsidRPr="00B72ABF">
        <w:t xml:space="preserve">The </w:t>
      </w:r>
      <w:r w:rsidR="00111ACC" w:rsidRPr="00B72ABF">
        <w:t xml:space="preserve">first </w:t>
      </w:r>
      <w:r w:rsidR="00230ABC" w:rsidRPr="00B72ABF">
        <w:t>respondent in this matter</w:t>
      </w:r>
      <w:r w:rsidR="00A12007" w:rsidRPr="00B72ABF">
        <w:t>,</w:t>
      </w:r>
      <w:r w:rsidR="00230ABC" w:rsidRPr="00B72ABF">
        <w:t xml:space="preserve"> </w:t>
      </w:r>
      <w:r w:rsidR="00A43BA3" w:rsidRPr="00B72ABF">
        <w:t>the</w:t>
      </w:r>
      <w:r w:rsidR="008035BC" w:rsidRPr="00B72ABF">
        <w:t xml:space="preserve"> Gauteng Part</w:t>
      </w:r>
      <w:r w:rsidR="003F593B" w:rsidRPr="00B72ABF">
        <w:t>nership Trust</w:t>
      </w:r>
      <w:r w:rsidR="00E13D9F" w:rsidRPr="00B72ABF">
        <w:t>,</w:t>
      </w:r>
      <w:r w:rsidR="00144910" w:rsidRPr="00B72ABF">
        <w:t xml:space="preserve"> which trades as the Gauteng </w:t>
      </w:r>
      <w:r w:rsidR="00D44202" w:rsidRPr="00B72ABF">
        <w:t>Partnership</w:t>
      </w:r>
      <w:r w:rsidR="00144910" w:rsidRPr="00B72ABF">
        <w:t xml:space="preserve"> Fund </w:t>
      </w:r>
      <w:r w:rsidR="00A43BA3" w:rsidRPr="00B72ABF">
        <w:t>(GPF)</w:t>
      </w:r>
      <w:r w:rsidR="00E13D9F" w:rsidRPr="00B72ABF">
        <w:t>,</w:t>
      </w:r>
      <w:r w:rsidR="00A43BA3" w:rsidRPr="00B72ABF">
        <w:t xml:space="preserve"> had successfully brought a</w:t>
      </w:r>
      <w:r w:rsidR="00E13D9F" w:rsidRPr="00B72ABF">
        <w:t xml:space="preserve">n application </w:t>
      </w:r>
      <w:r w:rsidR="00A43BA3" w:rsidRPr="00B72ABF">
        <w:t>in the court a quo</w:t>
      </w:r>
      <w:r w:rsidR="000D7546" w:rsidRPr="00B72ABF">
        <w:t>,</w:t>
      </w:r>
      <w:r w:rsidR="00A43BA3" w:rsidRPr="00B72ABF">
        <w:t xml:space="preserve"> to review and set aside a contract entered into between </w:t>
      </w:r>
      <w:r w:rsidR="00915D9B" w:rsidRPr="00B72ABF">
        <w:t>it</w:t>
      </w:r>
      <w:r w:rsidR="00A43BA3" w:rsidRPr="00B72ABF">
        <w:t xml:space="preserve"> and the appellant</w:t>
      </w:r>
      <w:r w:rsidR="00C061CD" w:rsidRPr="00B72ABF">
        <w:t xml:space="preserve"> Arkein Capital Partners (Pty) Ltd</w:t>
      </w:r>
      <w:r w:rsidR="002451DA" w:rsidRPr="00B72ABF">
        <w:t xml:space="preserve"> (Arkein)</w:t>
      </w:r>
      <w:r w:rsidR="00A43BA3" w:rsidRPr="00B72ABF">
        <w:t>.</w:t>
      </w:r>
      <w:r w:rsidR="00B209CA" w:rsidRPr="00B72ABF">
        <w:rPr>
          <w:rStyle w:val="FootnoteReference"/>
        </w:rPr>
        <w:footnoteReference w:id="2"/>
      </w:r>
      <w:r w:rsidR="00A43BA3" w:rsidRPr="00B72ABF">
        <w:t xml:space="preserve"> In addition</w:t>
      </w:r>
      <w:r w:rsidR="002451DA" w:rsidRPr="00B72ABF">
        <w:t>,</w:t>
      </w:r>
      <w:r w:rsidR="00A43BA3" w:rsidRPr="00B72ABF">
        <w:t xml:space="preserve"> the court a quo also ordered </w:t>
      </w:r>
      <w:r w:rsidR="002451DA" w:rsidRPr="00B72ABF">
        <w:t xml:space="preserve">Arkein </w:t>
      </w:r>
      <w:r w:rsidR="00A43BA3" w:rsidRPr="00B72ABF">
        <w:t>to repay an amount of R</w:t>
      </w:r>
      <w:r w:rsidR="005600DC" w:rsidRPr="00B72ABF">
        <w:t xml:space="preserve"> 3 </w:t>
      </w:r>
      <w:r w:rsidR="005600DC" w:rsidRPr="00B72ABF">
        <w:lastRenderedPageBreak/>
        <w:t>591</w:t>
      </w:r>
      <w:r w:rsidR="00294926" w:rsidRPr="00B72ABF">
        <w:t> </w:t>
      </w:r>
      <w:r w:rsidR="005600DC" w:rsidRPr="00B72ABF">
        <w:t>000</w:t>
      </w:r>
      <w:r w:rsidR="00294926" w:rsidRPr="00B72ABF">
        <w:t>.00</w:t>
      </w:r>
      <w:r w:rsidR="00A43BA3" w:rsidRPr="00B72ABF">
        <w:t xml:space="preserve"> which had been paid to the </w:t>
      </w:r>
      <w:r w:rsidR="006A0014" w:rsidRPr="00B72ABF">
        <w:t>respondent pursuant to that impugned contract. The court</w:t>
      </w:r>
      <w:r w:rsidR="00AD7E4E" w:rsidRPr="00B72ABF">
        <w:t xml:space="preserve"> a quo</w:t>
      </w:r>
      <w:r w:rsidR="006A0014" w:rsidRPr="00B72ABF">
        <w:t xml:space="preserve"> also dismissed a counter application by the </w:t>
      </w:r>
      <w:r w:rsidR="00AD7E4E" w:rsidRPr="00B72ABF">
        <w:t>appellant</w:t>
      </w:r>
      <w:r w:rsidR="00797A45" w:rsidRPr="00B72ABF">
        <w:t xml:space="preserve"> </w:t>
      </w:r>
      <w:r w:rsidR="004E08DC" w:rsidRPr="00B72ABF">
        <w:t>(then</w:t>
      </w:r>
      <w:r w:rsidR="00797A45" w:rsidRPr="00B72ABF">
        <w:t xml:space="preserve"> the </w:t>
      </w:r>
      <w:r w:rsidR="00B83B21" w:rsidRPr="00B72ABF">
        <w:t>respondent) in</w:t>
      </w:r>
      <w:r w:rsidR="006A0014" w:rsidRPr="00B72ABF">
        <w:t xml:space="preserve"> which it sought payment of </w:t>
      </w:r>
      <w:r w:rsidR="00294926" w:rsidRPr="00B72ABF">
        <w:t>R8 565 150.60</w:t>
      </w:r>
      <w:r w:rsidR="00797A45" w:rsidRPr="00B72ABF">
        <w:t>,</w:t>
      </w:r>
      <w:r w:rsidR="00294926" w:rsidRPr="00B72ABF">
        <w:t xml:space="preserve"> plus interest</w:t>
      </w:r>
      <w:r w:rsidR="009F47AA" w:rsidRPr="00B72ABF">
        <w:t>,</w:t>
      </w:r>
      <w:r w:rsidR="00F73749" w:rsidRPr="00B72ABF">
        <w:t xml:space="preserve"> </w:t>
      </w:r>
      <w:r w:rsidR="002A72F3" w:rsidRPr="00B72ABF">
        <w:t>which it claimed was owing to it</w:t>
      </w:r>
      <w:r w:rsidR="00F73749" w:rsidRPr="00B72ABF">
        <w:t>,</w:t>
      </w:r>
      <w:r w:rsidR="002A72F3" w:rsidRPr="00B72ABF">
        <w:t xml:space="preserve"> pursuant to </w:t>
      </w:r>
      <w:r w:rsidR="00AE2040" w:rsidRPr="00B72ABF">
        <w:t xml:space="preserve">a further stage of implementation of </w:t>
      </w:r>
      <w:r w:rsidR="002A72F3" w:rsidRPr="00B72ABF">
        <w:t>the same contract.</w:t>
      </w:r>
    </w:p>
    <w:p w14:paraId="409C3103" w14:textId="1C0E1768" w:rsidR="002A72F3" w:rsidRPr="00B72ABF" w:rsidRDefault="00926076" w:rsidP="00926076">
      <w:pPr>
        <w:spacing w:after="360" w:line="480" w:lineRule="auto"/>
        <w:ind w:left="720" w:hanging="720"/>
        <w:jc w:val="both"/>
      </w:pPr>
      <w:r>
        <w:t>[2]</w:t>
      </w:r>
      <w:r>
        <w:tab/>
      </w:r>
      <w:r w:rsidR="002A72F3" w:rsidRPr="00B72ABF">
        <w:t xml:space="preserve">This matter is before this court because the appellant seeks to overturn </w:t>
      </w:r>
      <w:r w:rsidR="002451DA" w:rsidRPr="00B72ABF">
        <w:t>all these decisions of the court a quo.</w:t>
      </w:r>
    </w:p>
    <w:p w14:paraId="5154DC4F" w14:textId="3440F1F4" w:rsidR="00C95A40" w:rsidRPr="00B72ABF" w:rsidRDefault="00C95A40" w:rsidP="00B72ABF">
      <w:pPr>
        <w:pStyle w:val="ListParagraph"/>
        <w:spacing w:after="360" w:line="480" w:lineRule="auto"/>
        <w:jc w:val="both"/>
        <w:rPr>
          <w:b/>
          <w:bCs/>
        </w:rPr>
      </w:pPr>
      <w:r w:rsidRPr="00B72ABF">
        <w:rPr>
          <w:b/>
          <w:bCs/>
        </w:rPr>
        <w:t>Lapsing of the appeal</w:t>
      </w:r>
    </w:p>
    <w:p w14:paraId="3205ABA6" w14:textId="5AB2D5A2" w:rsidR="00546F9B" w:rsidRPr="00B72ABF" w:rsidRDefault="00926076" w:rsidP="00926076">
      <w:pPr>
        <w:spacing w:after="360" w:line="480" w:lineRule="auto"/>
        <w:ind w:left="720" w:hanging="720"/>
        <w:jc w:val="both"/>
      </w:pPr>
      <w:r>
        <w:t>[3]</w:t>
      </w:r>
      <w:r>
        <w:tab/>
      </w:r>
      <w:r w:rsidR="00A14D5F" w:rsidRPr="00B72ABF">
        <w:t>It is common cause that the appeal in this matter has lapsed because Arkein has not complied with</w:t>
      </w:r>
      <w:r w:rsidR="009D3E13" w:rsidRPr="00B72ABF">
        <w:t xml:space="preserve"> the time periods laid down in </w:t>
      </w:r>
      <w:r w:rsidR="000E667C" w:rsidRPr="00B72ABF">
        <w:t xml:space="preserve">Uniform </w:t>
      </w:r>
      <w:r w:rsidR="00A14D5F" w:rsidRPr="00B72ABF">
        <w:t>Rule 49</w:t>
      </w:r>
      <w:r w:rsidR="002E3E5D" w:rsidRPr="00B72ABF">
        <w:t>(</w:t>
      </w:r>
      <w:r w:rsidR="000E667C" w:rsidRPr="00B72ABF">
        <w:t>6)(</w:t>
      </w:r>
      <w:r w:rsidR="002E3E5D" w:rsidRPr="00B72ABF">
        <w:t>a)</w:t>
      </w:r>
      <w:r w:rsidR="009D3E13" w:rsidRPr="00B72ABF">
        <w:t xml:space="preserve">. This </w:t>
      </w:r>
      <w:r w:rsidR="00D44202" w:rsidRPr="00B72ABF">
        <w:t>rule</w:t>
      </w:r>
      <w:r w:rsidR="000E667C" w:rsidRPr="00B72ABF">
        <w:t>,</w:t>
      </w:r>
      <w:r w:rsidR="00D44202" w:rsidRPr="00B72ABF">
        <w:t xml:space="preserve"> which</w:t>
      </w:r>
      <w:r w:rsidR="002F1C48" w:rsidRPr="00B72ABF">
        <w:t xml:space="preserve"> deals with civil appeals from the High Court</w:t>
      </w:r>
      <w:r w:rsidR="00A73FA7" w:rsidRPr="00B72ABF">
        <w:t>,</w:t>
      </w:r>
      <w:r w:rsidR="00C46EFA" w:rsidRPr="00B72ABF">
        <w:t xml:space="preserve"> requires an appellant to apply</w:t>
      </w:r>
      <w:r w:rsidR="00307F12" w:rsidRPr="00B72ABF">
        <w:t xml:space="preserve"> to the registrar for a </w:t>
      </w:r>
      <w:r w:rsidR="0045377A" w:rsidRPr="00B72ABF">
        <w:t>hearing date</w:t>
      </w:r>
      <w:r w:rsidR="00546F9B" w:rsidRPr="00B72ABF">
        <w:t xml:space="preserve"> within sixty days after delivering a notice of appeal</w:t>
      </w:r>
      <w:r w:rsidR="00A14D5F" w:rsidRPr="00B72ABF">
        <w:t>.</w:t>
      </w:r>
      <w:r w:rsidR="00DF2702" w:rsidRPr="00B72ABF">
        <w:t xml:space="preserve"> If the appellant fails to do so within this time period</w:t>
      </w:r>
      <w:r w:rsidR="00536EA3" w:rsidRPr="00B72ABF">
        <w:t>,</w:t>
      </w:r>
      <w:r w:rsidR="00DF2702" w:rsidRPr="00B72ABF">
        <w:t xml:space="preserve"> the appeal is </w:t>
      </w:r>
      <w:r w:rsidR="009706C9" w:rsidRPr="00B72ABF">
        <w:t>deemed to have lapsed. However</w:t>
      </w:r>
      <w:r w:rsidR="00A73FA7" w:rsidRPr="00B72ABF">
        <w:t>,</w:t>
      </w:r>
      <w:r w:rsidR="009706C9" w:rsidRPr="00B72ABF">
        <w:t xml:space="preserve"> in terms of Rule 49(6)(</w:t>
      </w:r>
      <w:r w:rsidR="00A73FA7" w:rsidRPr="00B72ABF">
        <w:t>b) a</w:t>
      </w:r>
      <w:r w:rsidR="00026EDE" w:rsidRPr="00B72ABF">
        <w:t xml:space="preserve"> court may on application of the appellant</w:t>
      </w:r>
      <w:r w:rsidR="00A73FA7" w:rsidRPr="00B72ABF">
        <w:t>,</w:t>
      </w:r>
      <w:r w:rsidR="00026EDE" w:rsidRPr="00B72ABF">
        <w:t xml:space="preserve"> reinstate the appeal</w:t>
      </w:r>
      <w:r w:rsidR="00515CDC" w:rsidRPr="00B72ABF">
        <w:t xml:space="preserve"> </w:t>
      </w:r>
      <w:r w:rsidR="000A2DC1" w:rsidRPr="00B72ABF">
        <w:t>for</w:t>
      </w:r>
      <w:r w:rsidR="00515CDC" w:rsidRPr="00B72ABF">
        <w:t xml:space="preserve"> “</w:t>
      </w:r>
      <w:r w:rsidR="00515CDC" w:rsidRPr="00926076">
        <w:rPr>
          <w:i/>
          <w:iCs w:val="0"/>
        </w:rPr>
        <w:t>good cause shown.</w:t>
      </w:r>
      <w:r w:rsidR="00515CDC" w:rsidRPr="00B72ABF">
        <w:t xml:space="preserve">” </w:t>
      </w:r>
    </w:p>
    <w:p w14:paraId="56473733" w14:textId="60CC744E" w:rsidR="00515CDC" w:rsidRPr="00B72ABF" w:rsidRDefault="00926076" w:rsidP="00926076">
      <w:pPr>
        <w:spacing w:after="360" w:line="480" w:lineRule="auto"/>
        <w:ind w:left="720" w:hanging="720"/>
        <w:jc w:val="both"/>
      </w:pPr>
      <w:r>
        <w:t>[3]</w:t>
      </w:r>
      <w:r>
        <w:tab/>
      </w:r>
      <w:r w:rsidR="00515CDC" w:rsidRPr="00B72ABF">
        <w:t xml:space="preserve">Arkein has made such an application. </w:t>
      </w:r>
      <w:r w:rsidR="00854570" w:rsidRPr="00B72ABF">
        <w:t xml:space="preserve">The basis of its case for good cause shown </w:t>
      </w:r>
      <w:r w:rsidR="00793DD6" w:rsidRPr="00B72ABF">
        <w:t xml:space="preserve">amounts to two issues. The bona fide but mistaken conduct of </w:t>
      </w:r>
      <w:r w:rsidR="00A669CA" w:rsidRPr="00B72ABF">
        <w:t xml:space="preserve">its </w:t>
      </w:r>
      <w:r w:rsidR="00793DD6" w:rsidRPr="00B72ABF">
        <w:t xml:space="preserve">attorney who was inexperienced in </w:t>
      </w:r>
      <w:r w:rsidR="0098738F" w:rsidRPr="00B72ABF">
        <w:t>prosecuting</w:t>
      </w:r>
      <w:r w:rsidR="00793DD6" w:rsidRPr="00B72ABF">
        <w:t xml:space="preserve"> appeals and </w:t>
      </w:r>
      <w:r w:rsidR="0098738F" w:rsidRPr="00B72ABF">
        <w:t xml:space="preserve">its </w:t>
      </w:r>
      <w:r w:rsidR="00793DD6" w:rsidRPr="00B72ABF">
        <w:t>confidence in the prospects of success.</w:t>
      </w:r>
    </w:p>
    <w:p w14:paraId="3D5642F9" w14:textId="0BEF9897" w:rsidR="0048626F" w:rsidRPr="00B72ABF" w:rsidRDefault="00926076" w:rsidP="00926076">
      <w:pPr>
        <w:spacing w:after="360" w:line="480" w:lineRule="auto"/>
        <w:ind w:left="720" w:hanging="720"/>
        <w:jc w:val="both"/>
      </w:pPr>
      <w:r>
        <w:t>[4]</w:t>
      </w:r>
      <w:r>
        <w:tab/>
      </w:r>
      <w:r w:rsidR="001573E1" w:rsidRPr="00B72ABF">
        <w:t xml:space="preserve">Counsel </w:t>
      </w:r>
      <w:r w:rsidR="0048626F" w:rsidRPr="00B72ABF">
        <w:t xml:space="preserve">who appeared for Arkein argued that the failure to apply for a date in time, whilst technically causing the appeal to lapse, was not so egregious a deficiency as to not warrant condonation. </w:t>
      </w:r>
      <w:r w:rsidR="00732E05" w:rsidRPr="00B72ABF">
        <w:t>Arkein’ s</w:t>
      </w:r>
      <w:r w:rsidR="0048626F" w:rsidRPr="00B72ABF">
        <w:t xml:space="preserve"> attorney had in his affidavit </w:t>
      </w:r>
      <w:r w:rsidR="0048626F" w:rsidRPr="00B72ABF">
        <w:lastRenderedPageBreak/>
        <w:t>explained that he was not familiar with the appeals process and that at the relevant time when he was meant to apply for a trial date he was preoccupied with some complex litigation in another matter and hence had neglected to apply for a date.</w:t>
      </w:r>
      <w:r w:rsidR="003517B5" w:rsidRPr="00B72ABF">
        <w:t xml:space="preserve"> It was also argued that since </w:t>
      </w:r>
      <w:r w:rsidR="00353287" w:rsidRPr="00B72ABF">
        <w:t xml:space="preserve">the GPF had been late in filing its review application for which it had to seek condonation it had not been prejudiced by </w:t>
      </w:r>
      <w:r w:rsidR="00732E05" w:rsidRPr="00B72ABF">
        <w:t>Arkein’ s</w:t>
      </w:r>
      <w:r w:rsidR="00353287" w:rsidRPr="00B72ABF">
        <w:t xml:space="preserve"> delay in </w:t>
      </w:r>
      <w:r w:rsidR="006A3FB8" w:rsidRPr="00B72ABF">
        <w:t>prosecuting</w:t>
      </w:r>
      <w:r w:rsidR="00353287" w:rsidRPr="00B72ABF">
        <w:t xml:space="preserve"> the appeal.</w:t>
      </w:r>
    </w:p>
    <w:p w14:paraId="30C57683" w14:textId="4B647463" w:rsidR="00A63F31" w:rsidRPr="00B72ABF" w:rsidRDefault="00926076" w:rsidP="00926076">
      <w:pPr>
        <w:spacing w:after="360" w:line="480" w:lineRule="auto"/>
        <w:ind w:left="720" w:hanging="720"/>
        <w:jc w:val="both"/>
      </w:pPr>
      <w:r>
        <w:t>[5]</w:t>
      </w:r>
      <w:r>
        <w:tab/>
      </w:r>
      <w:r w:rsidR="00CC1945" w:rsidRPr="00B72ABF">
        <w:t xml:space="preserve">The application </w:t>
      </w:r>
      <w:r w:rsidR="00877AD7" w:rsidRPr="00B72ABF">
        <w:t xml:space="preserve">for a hearing date </w:t>
      </w:r>
      <w:r w:rsidR="00CC1945" w:rsidRPr="00B72ABF">
        <w:t>was</w:t>
      </w:r>
      <w:r w:rsidR="00877AD7" w:rsidRPr="00B72ABF">
        <w:t xml:space="preserve"> meant to be filed </w:t>
      </w:r>
      <w:r w:rsidR="00214742" w:rsidRPr="00B72ABF">
        <w:t xml:space="preserve">by 6 </w:t>
      </w:r>
      <w:r w:rsidR="006A3FB8" w:rsidRPr="00B72ABF">
        <w:t>September 2021</w:t>
      </w:r>
      <w:r w:rsidR="00214742" w:rsidRPr="00B72ABF">
        <w:t xml:space="preserve"> but it was only filed on </w:t>
      </w:r>
      <w:r w:rsidR="00312A00" w:rsidRPr="00B72ABF">
        <w:t>2 September</w:t>
      </w:r>
      <w:r w:rsidR="00214742" w:rsidRPr="00B72ABF">
        <w:t xml:space="preserve"> 2022</w:t>
      </w:r>
      <w:r w:rsidR="005B2D97" w:rsidRPr="00B72ABF">
        <w:t>,</w:t>
      </w:r>
      <w:r w:rsidR="00214742" w:rsidRPr="00B72ABF">
        <w:t xml:space="preserve"> thus almost a year </w:t>
      </w:r>
      <w:r w:rsidR="00B83B21" w:rsidRPr="00B72ABF">
        <w:t>later, and</w:t>
      </w:r>
      <w:r w:rsidR="00CC1945" w:rsidRPr="00B72ABF">
        <w:t xml:space="preserve"> then only after prompting from the </w:t>
      </w:r>
      <w:r w:rsidR="00CB506D" w:rsidRPr="00B72ABF">
        <w:t>attorneys from the GPF. But the appeal had other deficiencies</w:t>
      </w:r>
      <w:r w:rsidR="007C2298" w:rsidRPr="00B72ABF">
        <w:t xml:space="preserve">; the record </w:t>
      </w:r>
      <w:r w:rsidR="000C60C4" w:rsidRPr="00B72ABF">
        <w:t xml:space="preserve">filed was not compliant with the rules and the appellant’s attorney had only </w:t>
      </w:r>
      <w:r w:rsidR="004D5939" w:rsidRPr="00B72ABF">
        <w:t>rectified the problem after prompting from the registrar. It had also failed to timeously furnish security.</w:t>
      </w:r>
    </w:p>
    <w:p w14:paraId="15EA8733" w14:textId="7BA5CDAF" w:rsidR="00C95A40" w:rsidRPr="00B72ABF" w:rsidRDefault="00926076" w:rsidP="00926076">
      <w:pPr>
        <w:spacing w:after="360" w:line="480" w:lineRule="auto"/>
        <w:ind w:left="720" w:hanging="720"/>
        <w:jc w:val="both"/>
      </w:pPr>
      <w:r>
        <w:t>[6]</w:t>
      </w:r>
      <w:r>
        <w:tab/>
      </w:r>
      <w:r w:rsidR="00A63F31" w:rsidRPr="00B72ABF">
        <w:t>The delay of one year is considerable, the non-compliance with the Rules is not trivial</w:t>
      </w:r>
      <w:r w:rsidR="005B2D97" w:rsidRPr="00B72ABF">
        <w:t>,</w:t>
      </w:r>
      <w:r w:rsidR="00A63F31" w:rsidRPr="00B72ABF">
        <w:t xml:space="preserve"> and the explanation for non-compliance is weak. Whilst some cases suggest that the failure of the attorney should not be held against the client</w:t>
      </w:r>
      <w:r w:rsidR="003E3C87" w:rsidRPr="00B72ABF">
        <w:t>,</w:t>
      </w:r>
      <w:r w:rsidR="00A63F31" w:rsidRPr="00B72ABF">
        <w:t xml:space="preserve"> </w:t>
      </w:r>
      <w:r w:rsidR="00982EDF" w:rsidRPr="00B72ABF">
        <w:t xml:space="preserve">the court in </w:t>
      </w:r>
      <w:r w:rsidR="00982EDF" w:rsidRPr="00926076">
        <w:rPr>
          <w:i/>
          <w:iCs w:val="0"/>
        </w:rPr>
        <w:t xml:space="preserve">Saloojee </w:t>
      </w:r>
      <w:r w:rsidR="00982EDF" w:rsidRPr="00B72ABF">
        <w:t>put the failure in proper perspective when Steyn CJ stated:</w:t>
      </w:r>
      <w:r w:rsidR="00A63F31" w:rsidRPr="00B72ABF">
        <w:rPr>
          <w:rStyle w:val="FootnoteReference"/>
        </w:rPr>
        <w:footnoteReference w:id="3"/>
      </w:r>
      <w:r w:rsidR="00733544" w:rsidRPr="00B72ABF">
        <w:t xml:space="preserve"> </w:t>
      </w:r>
    </w:p>
    <w:p w14:paraId="09193D26" w14:textId="2A882C50" w:rsidR="00A62130" w:rsidRPr="00B72ABF" w:rsidRDefault="009D1BAE" w:rsidP="00926076">
      <w:pPr>
        <w:pStyle w:val="ListParagraph"/>
        <w:spacing w:after="360" w:line="480" w:lineRule="auto"/>
        <w:ind w:left="2160"/>
        <w:jc w:val="both"/>
        <w:rPr>
          <w:highlight w:val="yellow"/>
        </w:rPr>
      </w:pPr>
      <w:r w:rsidRPr="00B72ABF">
        <w:rPr>
          <w:i/>
          <w:iCs w:val="0"/>
        </w:rPr>
        <w:t>“</w:t>
      </w:r>
      <w:r w:rsidR="00A62130" w:rsidRPr="00B72ABF">
        <w:rPr>
          <w:i/>
          <w:iCs w:val="0"/>
        </w:rPr>
        <w:t xml:space="preserve">I should point out, however, that it has not at any time been held that condonation will not in any circumstances be withheld if the blame lies with the attorney. There is a limit beyond which a litigant cannot escape the results of his attorney 's lack of diligence or the </w:t>
      </w:r>
      <w:r w:rsidR="00F4094C" w:rsidRPr="00B72ABF">
        <w:rPr>
          <w:i/>
          <w:iCs w:val="0"/>
        </w:rPr>
        <w:t>insufficiency</w:t>
      </w:r>
      <w:r w:rsidR="00A62130" w:rsidRPr="00B72ABF">
        <w:rPr>
          <w:i/>
          <w:iCs w:val="0"/>
        </w:rPr>
        <w:t xml:space="preserve"> of the explanation tendered. To hold otherwise might have a disastrous effect upon the observance of </w:t>
      </w:r>
      <w:r w:rsidR="00A62130" w:rsidRPr="00B72ABF">
        <w:rPr>
          <w:i/>
          <w:iCs w:val="0"/>
        </w:rPr>
        <w:lastRenderedPageBreak/>
        <w:t>the Rules of this Court. Considerations ad misericordiam should not be allowed to become an invitation to laxity</w:t>
      </w:r>
      <w:r w:rsidR="00A62130" w:rsidRPr="00B72ABF">
        <w:t>.</w:t>
      </w:r>
      <w:r w:rsidRPr="00B72ABF">
        <w:t>”</w:t>
      </w:r>
    </w:p>
    <w:p w14:paraId="7C772EB3" w14:textId="7D6DFE6E" w:rsidR="009E64B1" w:rsidRPr="00B72ABF" w:rsidRDefault="00926076" w:rsidP="00926076">
      <w:pPr>
        <w:spacing w:after="360" w:line="480" w:lineRule="auto"/>
        <w:jc w:val="both"/>
      </w:pPr>
      <w:r>
        <w:t>[7]</w:t>
      </w:r>
      <w:r>
        <w:tab/>
      </w:r>
      <w:r w:rsidR="00425606" w:rsidRPr="00B72ABF">
        <w:t xml:space="preserve">More recently in </w:t>
      </w:r>
      <w:r w:rsidR="00425606" w:rsidRPr="00926076">
        <w:rPr>
          <w:i/>
          <w:iCs w:val="0"/>
        </w:rPr>
        <w:t>Hu</w:t>
      </w:r>
      <w:r w:rsidR="0044752C" w:rsidRPr="00926076">
        <w:rPr>
          <w:i/>
          <w:iCs w:val="0"/>
        </w:rPr>
        <w:t>y</w:t>
      </w:r>
      <w:r w:rsidR="00425606" w:rsidRPr="00926076">
        <w:rPr>
          <w:i/>
          <w:iCs w:val="0"/>
        </w:rPr>
        <w:t>samen</w:t>
      </w:r>
      <w:r w:rsidR="00BA7DE3" w:rsidRPr="00B72ABF">
        <w:rPr>
          <w:rStyle w:val="FootnoteReference"/>
        </w:rPr>
        <w:footnoteReference w:id="4"/>
      </w:r>
      <w:r w:rsidR="00425606" w:rsidRPr="00B72ABF">
        <w:t xml:space="preserve"> the SCA stated:</w:t>
      </w:r>
    </w:p>
    <w:p w14:paraId="1FC0B334" w14:textId="4117EFBE" w:rsidR="00425606" w:rsidRPr="00B72ABF" w:rsidRDefault="00EA1F89" w:rsidP="00926076">
      <w:pPr>
        <w:pStyle w:val="ListParagraph"/>
        <w:spacing w:after="360" w:line="480" w:lineRule="auto"/>
        <w:ind w:left="2160"/>
        <w:jc w:val="both"/>
        <w:rPr>
          <w:i/>
          <w:iCs w:val="0"/>
        </w:rPr>
      </w:pPr>
      <w:r w:rsidRPr="00B72ABF">
        <w:rPr>
          <w:i/>
          <w:iCs w:val="0"/>
        </w:rPr>
        <w:t>“</w:t>
      </w:r>
      <w:r w:rsidR="0002189B" w:rsidRPr="00B72ABF">
        <w:rPr>
          <w:i/>
          <w:iCs w:val="0"/>
        </w:rPr>
        <w:t>Nor should it simply be assumed that, where non-compliance was due entirely to the neglect of the appellants</w:t>
      </w:r>
      <w:r w:rsidRPr="00B72ABF">
        <w:rPr>
          <w:i/>
          <w:iCs w:val="0"/>
        </w:rPr>
        <w:t xml:space="preserve"> at</w:t>
      </w:r>
      <w:r w:rsidR="0002189B" w:rsidRPr="00B72ABF">
        <w:rPr>
          <w:i/>
          <w:iCs w:val="0"/>
        </w:rPr>
        <w:t>torney that condonation will be granted.</w:t>
      </w:r>
      <w:r w:rsidRPr="00B72ABF">
        <w:rPr>
          <w:i/>
          <w:iCs w:val="0"/>
        </w:rPr>
        <w:t>”</w:t>
      </w:r>
      <w:r w:rsidR="00FD29FF" w:rsidRPr="00926076">
        <w:rPr>
          <w:rStyle w:val="FootnoteReference"/>
        </w:rPr>
        <w:footnoteReference w:id="5"/>
      </w:r>
    </w:p>
    <w:p w14:paraId="678B6F15" w14:textId="09A80EFD" w:rsidR="009E64B1" w:rsidRPr="00B72ABF" w:rsidRDefault="00926076" w:rsidP="00926076">
      <w:pPr>
        <w:spacing w:after="360" w:line="480" w:lineRule="auto"/>
        <w:ind w:left="720" w:hanging="720"/>
        <w:jc w:val="both"/>
      </w:pPr>
      <w:r>
        <w:t>[8]</w:t>
      </w:r>
      <w:r>
        <w:tab/>
      </w:r>
      <w:r w:rsidR="001573E1" w:rsidRPr="00B72ABF">
        <w:t xml:space="preserve">Counsel for the appellant </w:t>
      </w:r>
      <w:r w:rsidR="00AD684E" w:rsidRPr="00B72ABF">
        <w:t xml:space="preserve">argued that </w:t>
      </w:r>
      <w:r w:rsidR="00AA6CA4" w:rsidRPr="00B72ABF">
        <w:t>other factors were present that favoured condonation – the sums involved were large and since the case related to a state tender</w:t>
      </w:r>
      <w:r w:rsidR="007F24DD" w:rsidRPr="00B72ABF">
        <w:t>,</w:t>
      </w:r>
      <w:r w:rsidR="00AA6CA4" w:rsidRPr="00B72ABF">
        <w:t xml:space="preserve"> it also implicated the public interest. But his </w:t>
      </w:r>
      <w:r w:rsidR="00D340B0" w:rsidRPr="00B72ABF">
        <w:t xml:space="preserve">primary argument </w:t>
      </w:r>
      <w:r w:rsidR="00AA148F" w:rsidRPr="00B72ABF">
        <w:t>was</w:t>
      </w:r>
      <w:r w:rsidR="00C76A92" w:rsidRPr="00B72ABF">
        <w:t>,</w:t>
      </w:r>
      <w:r w:rsidR="00AA148F" w:rsidRPr="00B72ABF">
        <w:t xml:space="preserve"> he contended</w:t>
      </w:r>
      <w:r w:rsidR="00C76A92" w:rsidRPr="00B72ABF">
        <w:t>,</w:t>
      </w:r>
      <w:r w:rsidR="00AA148F" w:rsidRPr="00B72ABF">
        <w:t xml:space="preserve"> the strength of </w:t>
      </w:r>
      <w:r w:rsidR="00732E05" w:rsidRPr="00B72ABF">
        <w:t>Arkein’ s</w:t>
      </w:r>
      <w:r w:rsidR="00AA148F" w:rsidRPr="00B72ABF">
        <w:t xml:space="preserve"> prospects of success. But even a strong case on prospects of success does not in all cases justify condonation. As the court also held in </w:t>
      </w:r>
      <w:r w:rsidR="00AA148F" w:rsidRPr="00926076">
        <w:rPr>
          <w:i/>
          <w:iCs w:val="0"/>
        </w:rPr>
        <w:t>Hu</w:t>
      </w:r>
      <w:r w:rsidR="0044752C" w:rsidRPr="00926076">
        <w:rPr>
          <w:i/>
          <w:iCs w:val="0"/>
        </w:rPr>
        <w:t>y</w:t>
      </w:r>
      <w:r w:rsidR="00AA148F" w:rsidRPr="00926076">
        <w:rPr>
          <w:i/>
          <w:iCs w:val="0"/>
        </w:rPr>
        <w:t>samen</w:t>
      </w:r>
      <w:r w:rsidR="00AA148F" w:rsidRPr="00B72ABF">
        <w:t>:</w:t>
      </w:r>
    </w:p>
    <w:p w14:paraId="489D0762" w14:textId="2F8EED5D" w:rsidR="00AA148F" w:rsidRPr="00B72ABF" w:rsidRDefault="00BA7DE3" w:rsidP="00926076">
      <w:pPr>
        <w:pStyle w:val="ListParagraph"/>
        <w:spacing w:after="360" w:line="480" w:lineRule="auto"/>
        <w:ind w:left="2160"/>
        <w:jc w:val="both"/>
        <w:rPr>
          <w:i/>
          <w:iCs w:val="0"/>
        </w:rPr>
      </w:pPr>
      <w:r w:rsidRPr="00B72ABF">
        <w:rPr>
          <w:i/>
          <w:iCs w:val="0"/>
        </w:rPr>
        <w:t xml:space="preserve">“But appellant's prospect of success is but one of the factors relevant to the exercise of the court's </w:t>
      </w:r>
      <w:r w:rsidR="00454548" w:rsidRPr="00B72ABF">
        <w:rPr>
          <w:i/>
          <w:iCs w:val="0"/>
        </w:rPr>
        <w:t>discretion unless</w:t>
      </w:r>
      <w:r w:rsidRPr="00B72ABF">
        <w:rPr>
          <w:i/>
          <w:iCs w:val="0"/>
        </w:rPr>
        <w:t xml:space="preserve"> the cumulative effect of the other relevant factors in the case is such as to render the application for condonation obviously unworthy of consideration. Where non-observance of the Rules has been flagrant and gross an application for condonation should not be granted, whatever the prospects of success might be.”</w:t>
      </w:r>
      <w:r w:rsidR="0044752C" w:rsidRPr="00B72ABF">
        <w:rPr>
          <w:rStyle w:val="FootnoteReference"/>
          <w:i/>
          <w:iCs w:val="0"/>
        </w:rPr>
        <w:footnoteReference w:id="6"/>
      </w:r>
    </w:p>
    <w:p w14:paraId="09EF9703" w14:textId="1A4D5FF9" w:rsidR="00367325" w:rsidRPr="00B72ABF" w:rsidRDefault="00926076" w:rsidP="00926076">
      <w:pPr>
        <w:spacing w:after="360" w:line="480" w:lineRule="auto"/>
        <w:ind w:left="720" w:hanging="720"/>
        <w:jc w:val="both"/>
      </w:pPr>
      <w:r>
        <w:lastRenderedPageBreak/>
        <w:t>[9]</w:t>
      </w:r>
      <w:r>
        <w:tab/>
      </w:r>
      <w:r w:rsidR="00850401" w:rsidRPr="00B72ABF">
        <w:t>Whilst the explanations for the lateness of the appeal are weak</w:t>
      </w:r>
      <w:r w:rsidR="004B2B86" w:rsidRPr="00B72ABF">
        <w:t>,</w:t>
      </w:r>
      <w:r w:rsidR="00850401" w:rsidRPr="00B72ABF">
        <w:t xml:space="preserve"> I do not think </w:t>
      </w:r>
      <w:r w:rsidR="004B2B86" w:rsidRPr="00B72ABF">
        <w:t>this is a case w</w:t>
      </w:r>
      <w:r w:rsidR="00944D2A" w:rsidRPr="00B72ABF">
        <w:t xml:space="preserve">here </w:t>
      </w:r>
      <w:r w:rsidR="002A2C86" w:rsidRPr="00B72ABF">
        <w:t xml:space="preserve">it so weak </w:t>
      </w:r>
      <w:r w:rsidR="00944D2A" w:rsidRPr="00B72ABF">
        <w:t xml:space="preserve">that </w:t>
      </w:r>
      <w:r w:rsidR="002A2C86" w:rsidRPr="00B72ABF">
        <w:t xml:space="preserve">it </w:t>
      </w:r>
      <w:r w:rsidR="00944D2A" w:rsidRPr="00B72ABF">
        <w:t>should justify not considering the prospects of success on appeal</w:t>
      </w:r>
      <w:r w:rsidR="002A2C86" w:rsidRPr="00B72ABF">
        <w:t>.</w:t>
      </w:r>
      <w:r w:rsidR="009D4D1B" w:rsidRPr="00B72ABF">
        <w:t xml:space="preserve"> Even in </w:t>
      </w:r>
      <w:r w:rsidR="009D4D1B" w:rsidRPr="00926076">
        <w:rPr>
          <w:i/>
          <w:iCs w:val="0"/>
        </w:rPr>
        <w:t>Huysamen</w:t>
      </w:r>
      <w:r w:rsidR="009D4D1B" w:rsidRPr="00B72ABF">
        <w:t xml:space="preserve"> the </w:t>
      </w:r>
      <w:r w:rsidR="00146001" w:rsidRPr="00B72ABF">
        <w:t>court went</w:t>
      </w:r>
      <w:r w:rsidR="00B7357B" w:rsidRPr="00B72ABF">
        <w:t xml:space="preserve"> on</w:t>
      </w:r>
      <w:r w:rsidR="001F467D" w:rsidRPr="00B72ABF">
        <w:t xml:space="preserve"> to </w:t>
      </w:r>
      <w:r w:rsidR="009D4D1B" w:rsidRPr="00B72ABF">
        <w:t>consider</w:t>
      </w:r>
      <w:r w:rsidR="004B2B86" w:rsidRPr="00B72ABF">
        <w:t xml:space="preserve"> </w:t>
      </w:r>
      <w:r w:rsidR="006A3FB8" w:rsidRPr="00B72ABF">
        <w:t>the prospects</w:t>
      </w:r>
      <w:r w:rsidR="0070115B" w:rsidRPr="00B72ABF">
        <w:t xml:space="preserve"> of success and it i</w:t>
      </w:r>
      <w:r w:rsidR="007E2025" w:rsidRPr="00B72ABF">
        <w:t xml:space="preserve">s </w:t>
      </w:r>
      <w:r w:rsidR="009B5FBA" w:rsidRPr="00B72ABF">
        <w:t xml:space="preserve">to </w:t>
      </w:r>
      <w:r w:rsidR="007E2025" w:rsidRPr="00B72ABF">
        <w:t>that which I now turn.</w:t>
      </w:r>
      <w:r w:rsidR="008B0A4D" w:rsidRPr="00B72ABF">
        <w:rPr>
          <w:rStyle w:val="FootnoteReference"/>
        </w:rPr>
        <w:footnoteReference w:id="7"/>
      </w:r>
    </w:p>
    <w:p w14:paraId="278656EE" w14:textId="2BB473CB" w:rsidR="007E2025" w:rsidRPr="00B72ABF" w:rsidRDefault="007E2025" w:rsidP="00B72ABF">
      <w:pPr>
        <w:pStyle w:val="ListParagraph"/>
        <w:spacing w:after="360" w:line="480" w:lineRule="auto"/>
        <w:jc w:val="both"/>
        <w:rPr>
          <w:b/>
          <w:bCs/>
        </w:rPr>
      </w:pPr>
      <w:r w:rsidRPr="00B72ABF">
        <w:rPr>
          <w:b/>
          <w:bCs/>
        </w:rPr>
        <w:t xml:space="preserve">The merits </w:t>
      </w:r>
    </w:p>
    <w:p w14:paraId="74805457" w14:textId="72929BC4" w:rsidR="009C5AC6" w:rsidRPr="00926076" w:rsidRDefault="00926076" w:rsidP="00926076">
      <w:pPr>
        <w:spacing w:after="360" w:line="480" w:lineRule="auto"/>
        <w:ind w:left="720" w:hanging="720"/>
        <w:jc w:val="both"/>
        <w:rPr>
          <w:b/>
          <w:bCs/>
        </w:rPr>
      </w:pPr>
      <w:r>
        <w:t>[10]</w:t>
      </w:r>
      <w:r>
        <w:tab/>
      </w:r>
      <w:r w:rsidR="00F22BD7" w:rsidRPr="00B72ABF">
        <w:t xml:space="preserve">This is what has become termed a </w:t>
      </w:r>
      <w:r w:rsidR="00B84899" w:rsidRPr="00B72ABF">
        <w:t>‘</w:t>
      </w:r>
      <w:r w:rsidR="00F22BD7" w:rsidRPr="00B72ABF">
        <w:t>self-review</w:t>
      </w:r>
      <w:r w:rsidR="00B84899" w:rsidRPr="00B72ABF">
        <w:t>’</w:t>
      </w:r>
      <w:r w:rsidR="00F22BD7" w:rsidRPr="00B72ABF">
        <w:t xml:space="preserve"> meaning the body that took the decision is reviewing its own decision. Since the </w:t>
      </w:r>
      <w:r w:rsidR="00C41E75" w:rsidRPr="00B72ABF">
        <w:t xml:space="preserve">Constitutional Court decision in the </w:t>
      </w:r>
      <w:r w:rsidR="00F22BD7" w:rsidRPr="00926076">
        <w:rPr>
          <w:i/>
          <w:iCs w:val="0"/>
        </w:rPr>
        <w:t>Gijima</w:t>
      </w:r>
      <w:r w:rsidR="00F22BD7" w:rsidRPr="00B72ABF">
        <w:t xml:space="preserve"> case</w:t>
      </w:r>
      <w:r w:rsidR="00C41E75" w:rsidRPr="00B72ABF">
        <w:t>,</w:t>
      </w:r>
      <w:r w:rsidR="00F22BD7" w:rsidRPr="00B72ABF">
        <w:t xml:space="preserve"> it is </w:t>
      </w:r>
      <w:r w:rsidR="003261DA" w:rsidRPr="00B72ABF">
        <w:t xml:space="preserve">now </w:t>
      </w:r>
      <w:r w:rsidR="00F22BD7" w:rsidRPr="00B72ABF">
        <w:t>accepted that such reviews</w:t>
      </w:r>
      <w:r w:rsidR="00EB6813" w:rsidRPr="00B72ABF">
        <w:t xml:space="preserve"> are permissible </w:t>
      </w:r>
      <w:r w:rsidR="00F22BD7" w:rsidRPr="00B72ABF">
        <w:t>in accordance with the principle of legality</w:t>
      </w:r>
      <w:r w:rsidR="009C5AC6" w:rsidRPr="00B72ABF">
        <w:t>. The court there held:</w:t>
      </w:r>
    </w:p>
    <w:p w14:paraId="2C7A5D1A" w14:textId="4A228F8B" w:rsidR="009C5AC6" w:rsidRPr="00B72ABF" w:rsidRDefault="00D93D0D" w:rsidP="00926076">
      <w:pPr>
        <w:pStyle w:val="ListParagraph"/>
        <w:spacing w:after="360" w:line="480" w:lineRule="auto"/>
        <w:ind w:left="2160"/>
        <w:jc w:val="both"/>
        <w:rPr>
          <w:b/>
          <w:bCs/>
          <w:i/>
          <w:iCs w:val="0"/>
        </w:rPr>
      </w:pPr>
      <w:r w:rsidRPr="00B72ABF">
        <w:rPr>
          <w:i/>
          <w:iCs w:val="0"/>
        </w:rPr>
        <w:t>“</w:t>
      </w:r>
      <w:r w:rsidR="009C5AC6" w:rsidRPr="00B72ABF">
        <w:rPr>
          <w:i/>
          <w:iCs w:val="0"/>
        </w:rPr>
        <w:t xml:space="preserve">The conclusion that PAJA does not apply does not mean that an organ of state cannot apply for the review of its own decision; it simply means that it cannot do so under </w:t>
      </w:r>
      <w:r w:rsidR="00EE5F07" w:rsidRPr="00B72ABF">
        <w:rPr>
          <w:i/>
          <w:iCs w:val="0"/>
        </w:rPr>
        <w:t>PAJA.</w:t>
      </w:r>
      <w:r w:rsidR="00100126" w:rsidRPr="00B72ABF">
        <w:rPr>
          <w:i/>
          <w:iCs w:val="0"/>
        </w:rPr>
        <w:t>”</w:t>
      </w:r>
      <w:r w:rsidR="00100126" w:rsidRPr="00B72ABF">
        <w:rPr>
          <w:rStyle w:val="FootnoteReference"/>
          <w:i/>
          <w:iCs w:val="0"/>
        </w:rPr>
        <w:footnoteReference w:id="8"/>
      </w:r>
      <w:r w:rsidR="00A33DAB" w:rsidRPr="00B72ABF">
        <w:rPr>
          <w:i/>
          <w:iCs w:val="0"/>
        </w:rPr>
        <w:t xml:space="preserve"> </w:t>
      </w:r>
    </w:p>
    <w:p w14:paraId="135497A0" w14:textId="001A67CB" w:rsidR="0074590A" w:rsidRPr="00926076" w:rsidRDefault="00926076" w:rsidP="00926076">
      <w:pPr>
        <w:spacing w:after="360" w:line="480" w:lineRule="auto"/>
        <w:ind w:left="720" w:hanging="720"/>
        <w:jc w:val="both"/>
        <w:rPr>
          <w:b/>
          <w:bCs/>
        </w:rPr>
      </w:pPr>
      <w:r>
        <w:t>[11]</w:t>
      </w:r>
      <w:r>
        <w:tab/>
      </w:r>
      <w:r w:rsidR="00D93D0D" w:rsidRPr="00B72ABF">
        <w:t xml:space="preserve">Since the GPF’s review was brought </w:t>
      </w:r>
      <w:r w:rsidR="00100126" w:rsidRPr="00B72ABF">
        <w:t>relying</w:t>
      </w:r>
      <w:r w:rsidR="00D93D0D" w:rsidRPr="00B72ABF">
        <w:t xml:space="preserve"> on the principle of </w:t>
      </w:r>
      <w:r w:rsidR="00100126" w:rsidRPr="00B72ABF">
        <w:t>legality,</w:t>
      </w:r>
      <w:r w:rsidR="00D93D0D" w:rsidRPr="00B72ABF">
        <w:t xml:space="preserve"> there is </w:t>
      </w:r>
      <w:r w:rsidR="00A33DAB" w:rsidRPr="00B72ABF">
        <w:t xml:space="preserve">no </w:t>
      </w:r>
      <w:r w:rsidR="00E2049F" w:rsidRPr="00B72ABF">
        <w:t>dispute between</w:t>
      </w:r>
      <w:r w:rsidR="00A33DAB" w:rsidRPr="00B72ABF">
        <w:t xml:space="preserve"> the parties</w:t>
      </w:r>
      <w:r w:rsidR="00F2042E" w:rsidRPr="00B72ABF">
        <w:t xml:space="preserve"> on this aspect</w:t>
      </w:r>
      <w:r w:rsidR="00A33DAB" w:rsidRPr="00B72ABF">
        <w:t xml:space="preserve">. </w:t>
      </w:r>
    </w:p>
    <w:p w14:paraId="7C6033FD" w14:textId="3110AD20" w:rsidR="00611C48" w:rsidRPr="00926076" w:rsidRDefault="00926076" w:rsidP="00926076">
      <w:pPr>
        <w:spacing w:after="360" w:line="480" w:lineRule="auto"/>
        <w:ind w:left="720" w:hanging="720"/>
        <w:jc w:val="both"/>
        <w:rPr>
          <w:b/>
          <w:bCs/>
        </w:rPr>
      </w:pPr>
      <w:r>
        <w:t>[12]</w:t>
      </w:r>
      <w:r>
        <w:tab/>
      </w:r>
      <w:r w:rsidR="007A2F95" w:rsidRPr="00B72ABF">
        <w:t>Initially</w:t>
      </w:r>
      <w:r w:rsidR="002F5DEC" w:rsidRPr="00B72ABF">
        <w:t xml:space="preserve"> in the court a quo Arkein had taken the point that the review had been brought late and should be dismissed on that ground alone. </w:t>
      </w:r>
      <w:r w:rsidR="00FF504D" w:rsidRPr="00B72ABF">
        <w:t>Molahlehi</w:t>
      </w:r>
      <w:r w:rsidR="002F5DEC" w:rsidRPr="00B72ABF">
        <w:t xml:space="preserve"> J found that although the GP</w:t>
      </w:r>
      <w:r w:rsidR="00264F1A" w:rsidRPr="00B72ABF">
        <w:t>F’s</w:t>
      </w:r>
      <w:r w:rsidR="002F5DEC" w:rsidRPr="00B72ABF">
        <w:t xml:space="preserve"> </w:t>
      </w:r>
      <w:r w:rsidR="007F707E" w:rsidRPr="00B72ABF">
        <w:t>justification</w:t>
      </w:r>
      <w:r w:rsidR="002F5DEC" w:rsidRPr="00B72ABF">
        <w:t xml:space="preserve"> for </w:t>
      </w:r>
      <w:r w:rsidR="0090537F" w:rsidRPr="00B72ABF">
        <w:t>bringing the review late w</w:t>
      </w:r>
      <w:r w:rsidR="007F707E" w:rsidRPr="00B72ABF">
        <w:t>as</w:t>
      </w:r>
      <w:r w:rsidR="0090537F" w:rsidRPr="00B72ABF">
        <w:t xml:space="preserve"> </w:t>
      </w:r>
      <w:r w:rsidR="00EE5F07" w:rsidRPr="00B72ABF">
        <w:t>“weak</w:t>
      </w:r>
      <w:r w:rsidR="0090537F" w:rsidRPr="00B72ABF">
        <w:t xml:space="preserve">” nevertheless </w:t>
      </w:r>
      <w:r w:rsidR="005F7909" w:rsidRPr="00B72ABF">
        <w:t xml:space="preserve">it was strong on the </w:t>
      </w:r>
      <w:r w:rsidR="00B83B21" w:rsidRPr="00B72ABF">
        <w:t>merits,</w:t>
      </w:r>
      <w:r w:rsidR="005F7909" w:rsidRPr="00B72ABF">
        <w:t xml:space="preserve"> and he condoned the late filing. </w:t>
      </w:r>
    </w:p>
    <w:p w14:paraId="3A814F71" w14:textId="347BE415" w:rsidR="00C035E1" w:rsidRPr="00926076" w:rsidRDefault="00926076" w:rsidP="00926076">
      <w:pPr>
        <w:spacing w:after="360" w:line="480" w:lineRule="auto"/>
        <w:ind w:left="720" w:hanging="720"/>
        <w:jc w:val="both"/>
        <w:rPr>
          <w:i/>
          <w:iCs w:val="0"/>
        </w:rPr>
      </w:pPr>
      <w:r>
        <w:lastRenderedPageBreak/>
        <w:t>[13]</w:t>
      </w:r>
      <w:r>
        <w:tab/>
      </w:r>
      <w:r w:rsidR="00611C48" w:rsidRPr="00B72ABF">
        <w:t xml:space="preserve">On appeal </w:t>
      </w:r>
      <w:r w:rsidR="00B20FAA" w:rsidRPr="00B72ABF">
        <w:t xml:space="preserve">Arkein was more critical of the </w:t>
      </w:r>
      <w:r w:rsidR="009A3D5E" w:rsidRPr="00B72ABF">
        <w:t xml:space="preserve">decision to grant condonation </w:t>
      </w:r>
      <w:r w:rsidR="00B20FAA" w:rsidRPr="00B72ABF">
        <w:t>in its Notice of Appeal than it was in oral argument.</w:t>
      </w:r>
      <w:r w:rsidR="007E6F1B" w:rsidRPr="00B72ABF">
        <w:t xml:space="preserve"> This is explained by a</w:t>
      </w:r>
      <w:r w:rsidR="007B681D" w:rsidRPr="00B72ABF">
        <w:t xml:space="preserve"> different </w:t>
      </w:r>
      <w:r w:rsidR="007E6F1B" w:rsidRPr="00B72ABF">
        <w:t xml:space="preserve">approach adopted by the </w:t>
      </w:r>
      <w:r w:rsidR="007B681D" w:rsidRPr="00B72ABF">
        <w:t>n</w:t>
      </w:r>
      <w:r w:rsidR="008C7A67" w:rsidRPr="00B72ABF">
        <w:t xml:space="preserve">ew counsel </w:t>
      </w:r>
      <w:r w:rsidR="007B681D" w:rsidRPr="00B72ABF">
        <w:t xml:space="preserve">who </w:t>
      </w:r>
      <w:r w:rsidR="008C7A67" w:rsidRPr="00B72ABF">
        <w:t xml:space="preserve">argued the appeal </w:t>
      </w:r>
      <w:r w:rsidR="007B681D" w:rsidRPr="00B72ABF">
        <w:t xml:space="preserve">and </w:t>
      </w:r>
      <w:r w:rsidR="008C7A67" w:rsidRPr="00B72ABF">
        <w:t xml:space="preserve">who had not </w:t>
      </w:r>
      <w:r w:rsidR="0044152B" w:rsidRPr="00B72ABF">
        <w:t>appeared in the court a quo.</w:t>
      </w:r>
      <w:r w:rsidR="00611C48" w:rsidRPr="00B72ABF">
        <w:t xml:space="preserve"> </w:t>
      </w:r>
      <w:r w:rsidR="0059636B" w:rsidRPr="00B72ABF">
        <w:t xml:space="preserve">A </w:t>
      </w:r>
      <w:r w:rsidR="00611C48" w:rsidRPr="00B72ABF">
        <w:t xml:space="preserve">condonation decision is within the </w:t>
      </w:r>
      <w:r w:rsidR="00C2504F" w:rsidRPr="00B72ABF">
        <w:t>discretion</w:t>
      </w:r>
      <w:r w:rsidR="00611C48" w:rsidRPr="00B72ABF">
        <w:t xml:space="preserve"> of the court a quo and the appeal court should not readily interfere with such a decision unless it is not made judicially. There is no basis to consider that this </w:t>
      </w:r>
      <w:r w:rsidR="00723D72" w:rsidRPr="00B72ABF">
        <w:t>discretion</w:t>
      </w:r>
      <w:r w:rsidR="00611C48" w:rsidRPr="00B72ABF">
        <w:t xml:space="preserve"> was not exercised judicially. </w:t>
      </w:r>
    </w:p>
    <w:p w14:paraId="7E23112A" w14:textId="2A67805E" w:rsidR="00F241A4" w:rsidRPr="00926076" w:rsidRDefault="00926076" w:rsidP="00926076">
      <w:pPr>
        <w:spacing w:after="360" w:line="480" w:lineRule="auto"/>
        <w:jc w:val="both"/>
        <w:rPr>
          <w:b/>
          <w:bCs/>
        </w:rPr>
      </w:pPr>
      <w:r>
        <w:t>[14]</w:t>
      </w:r>
      <w:r>
        <w:tab/>
      </w:r>
      <w:r w:rsidR="00646B28" w:rsidRPr="00B72ABF">
        <w:t xml:space="preserve">Further there is authority for this approach. </w:t>
      </w:r>
      <w:r w:rsidR="00F241A4" w:rsidRPr="00B72ABF">
        <w:t xml:space="preserve">As Francis J held in </w:t>
      </w:r>
      <w:r w:rsidR="00F241A4" w:rsidRPr="00926076">
        <w:rPr>
          <w:i/>
          <w:iCs w:val="0"/>
        </w:rPr>
        <w:t>Swifambo</w:t>
      </w:r>
      <w:r w:rsidR="00F241A4" w:rsidRPr="00B72ABF">
        <w:t>:</w:t>
      </w:r>
    </w:p>
    <w:p w14:paraId="6E66F071" w14:textId="414DFA6B" w:rsidR="00F241A4" w:rsidRPr="00B72ABF" w:rsidRDefault="00926076" w:rsidP="00926076">
      <w:pPr>
        <w:pStyle w:val="ListParagraph"/>
        <w:spacing w:after="360" w:line="480" w:lineRule="auto"/>
        <w:ind w:left="2160"/>
        <w:jc w:val="both"/>
        <w:rPr>
          <w:i/>
          <w:iCs w:val="0"/>
        </w:rPr>
      </w:pPr>
      <w:r>
        <w:rPr>
          <w:i/>
          <w:iCs w:val="0"/>
        </w:rPr>
        <w:t>“</w:t>
      </w:r>
      <w:r w:rsidR="00F241A4" w:rsidRPr="00B72ABF">
        <w:rPr>
          <w:i/>
          <w:iCs w:val="0"/>
        </w:rPr>
        <w:t xml:space="preserve">In my view state institutions should not be discouraged from ferreting out and prosecuting corruption because of delay, particularly not where there has been obfuscation and interference by individuals within the institution.” </w:t>
      </w:r>
      <w:r w:rsidR="00F241A4" w:rsidRPr="00926076">
        <w:rPr>
          <w:rStyle w:val="FootnoteReference"/>
        </w:rPr>
        <w:footnoteReference w:id="9"/>
      </w:r>
    </w:p>
    <w:p w14:paraId="61048D35" w14:textId="43AD19BE" w:rsidR="0014092D" w:rsidRPr="00B72ABF" w:rsidRDefault="00926076" w:rsidP="00926076">
      <w:pPr>
        <w:spacing w:after="360" w:line="480" w:lineRule="auto"/>
        <w:ind w:left="720" w:hanging="720"/>
        <w:jc w:val="both"/>
      </w:pPr>
      <w:r>
        <w:t>[15]</w:t>
      </w:r>
      <w:r>
        <w:tab/>
      </w:r>
      <w:r w:rsidR="00B24738" w:rsidRPr="00B72ABF">
        <w:t>This is precisely what delayed the review in this matter</w:t>
      </w:r>
      <w:r w:rsidR="006A7E31" w:rsidRPr="00B72ABF">
        <w:t xml:space="preserve">. </w:t>
      </w:r>
      <w:r w:rsidR="00873E75" w:rsidRPr="00B72ABF">
        <w:t xml:space="preserve">The history of the matter shows that the executive office bearers of the GPF </w:t>
      </w:r>
      <w:r w:rsidR="005729F5" w:rsidRPr="00B72ABF">
        <w:t xml:space="preserve">changed over time. In the first period </w:t>
      </w:r>
      <w:r w:rsidR="00363F34" w:rsidRPr="00B72ABF">
        <w:t>the executive office bearers</w:t>
      </w:r>
      <w:r w:rsidR="00882D75" w:rsidRPr="00B72ABF">
        <w:t>,</w:t>
      </w:r>
      <w:r w:rsidR="00363F34" w:rsidRPr="00B72ABF">
        <w:t xml:space="preserve"> or at least some of them</w:t>
      </w:r>
      <w:r w:rsidR="00882D75" w:rsidRPr="00B72ABF">
        <w:t>,</w:t>
      </w:r>
      <w:r w:rsidR="00363F34" w:rsidRPr="00B72ABF">
        <w:t xml:space="preserve"> were responsible for the conclusion of the impugned tender. In the second period</w:t>
      </w:r>
      <w:r w:rsidR="00882D75" w:rsidRPr="00B72ABF">
        <w:t>,</w:t>
      </w:r>
      <w:r w:rsidR="00363F34" w:rsidRPr="00B72ABF">
        <w:t xml:space="preserve"> a change of personnel led to the appointment of new office bearers who were responsible for </w:t>
      </w:r>
      <w:r w:rsidR="008E6AE6" w:rsidRPr="00B72ABF">
        <w:t xml:space="preserve">the </w:t>
      </w:r>
      <w:r w:rsidR="00EE5F07" w:rsidRPr="00B72ABF">
        <w:t>‘</w:t>
      </w:r>
      <w:r w:rsidR="00EE5F07" w:rsidRPr="00926076">
        <w:rPr>
          <w:i/>
          <w:iCs w:val="0"/>
        </w:rPr>
        <w:t>ferreting</w:t>
      </w:r>
      <w:r w:rsidR="00890F82" w:rsidRPr="00926076">
        <w:rPr>
          <w:i/>
          <w:iCs w:val="0"/>
        </w:rPr>
        <w:t xml:space="preserve"> out”</w:t>
      </w:r>
      <w:r w:rsidR="00890F82" w:rsidRPr="00B72ABF">
        <w:t xml:space="preserve"> and who ultimately were concerned enough to protect the institution by bringing the review</w:t>
      </w:r>
      <w:r w:rsidR="00823718" w:rsidRPr="00B72ABF">
        <w:t>,</w:t>
      </w:r>
      <w:r w:rsidR="00890F82" w:rsidRPr="00B72ABF">
        <w:t xml:space="preserve"> </w:t>
      </w:r>
      <w:r w:rsidR="00882D75" w:rsidRPr="00B72ABF">
        <w:t>albeit late.</w:t>
      </w:r>
      <w:r w:rsidR="00DD0AFE" w:rsidRPr="00B72ABF">
        <w:t xml:space="preserve"> </w:t>
      </w:r>
    </w:p>
    <w:p w14:paraId="5126198E" w14:textId="3EF96405" w:rsidR="009A1CCA" w:rsidRPr="00B72ABF" w:rsidRDefault="00926076" w:rsidP="00926076">
      <w:pPr>
        <w:spacing w:after="360" w:line="480" w:lineRule="auto"/>
        <w:ind w:left="720" w:hanging="720"/>
        <w:jc w:val="both"/>
      </w:pPr>
      <w:r>
        <w:t>[16]</w:t>
      </w:r>
      <w:r>
        <w:tab/>
      </w:r>
      <w:r w:rsidR="009A1CCA" w:rsidRPr="00B72ABF">
        <w:t xml:space="preserve">The founding affidavit </w:t>
      </w:r>
      <w:r w:rsidR="00823718" w:rsidRPr="00B72ABF">
        <w:t xml:space="preserve">in the review was </w:t>
      </w:r>
      <w:r w:rsidR="009A1CCA" w:rsidRPr="00B72ABF">
        <w:t xml:space="preserve">deposed to by </w:t>
      </w:r>
      <w:r w:rsidR="00841B72" w:rsidRPr="00B72ABF">
        <w:t xml:space="preserve">Molantoa Makhubu. He represents the new executive. </w:t>
      </w:r>
      <w:r w:rsidR="000B4FBF" w:rsidRPr="00B72ABF">
        <w:t xml:space="preserve">At the time of his </w:t>
      </w:r>
      <w:r w:rsidR="00EE5F07" w:rsidRPr="00B72ABF">
        <w:t>affidavit,</w:t>
      </w:r>
      <w:r w:rsidR="000B4FBF" w:rsidRPr="00B72ABF">
        <w:t xml:space="preserve"> he was the acting chief </w:t>
      </w:r>
      <w:r w:rsidR="000B4FBF" w:rsidRPr="00B72ABF">
        <w:lastRenderedPageBreak/>
        <w:t xml:space="preserve">executive as well </w:t>
      </w:r>
      <w:r w:rsidR="00433966" w:rsidRPr="00B72ABF">
        <w:t>as a</w:t>
      </w:r>
      <w:r w:rsidR="000B4FBF" w:rsidRPr="00B72ABF">
        <w:t xml:space="preserve"> trustee of GPF. He was appointed </w:t>
      </w:r>
      <w:r w:rsidR="00482AD8" w:rsidRPr="00B72ABF">
        <w:t>on</w:t>
      </w:r>
      <w:r w:rsidR="000B4FBF" w:rsidRPr="00B72ABF">
        <w:t xml:space="preserve"> </w:t>
      </w:r>
      <w:r w:rsidR="00482AD8" w:rsidRPr="00B72ABF">
        <w:t xml:space="preserve">23 </w:t>
      </w:r>
      <w:r w:rsidR="000B4FBF" w:rsidRPr="00B72ABF">
        <w:t>October 2017</w:t>
      </w:r>
      <w:r w:rsidR="005F32AE" w:rsidRPr="00B72ABF">
        <w:t>. But at the time of these events</w:t>
      </w:r>
      <w:r w:rsidR="00C54D1F" w:rsidRPr="00B72ABF">
        <w:t>,</w:t>
      </w:r>
      <w:r w:rsidR="005F32AE" w:rsidRPr="00B72ABF">
        <w:t xml:space="preserve"> his predecessor as CEO </w:t>
      </w:r>
      <w:r w:rsidR="00CD1F26" w:rsidRPr="00B72ABF">
        <w:t xml:space="preserve">and a trustee </w:t>
      </w:r>
      <w:r w:rsidR="003063FE" w:rsidRPr="00B72ABF">
        <w:t xml:space="preserve">was </w:t>
      </w:r>
      <w:r w:rsidR="00471F33" w:rsidRPr="00B72ABF">
        <w:t xml:space="preserve">Boni Muvevi. </w:t>
      </w:r>
      <w:r w:rsidR="00CD1F26" w:rsidRPr="00B72ABF">
        <w:t xml:space="preserve">It is the actions that were taken by the GPF under </w:t>
      </w:r>
      <w:r w:rsidR="00C54D1F" w:rsidRPr="00B72ABF">
        <w:t>Muvevi</w:t>
      </w:r>
      <w:r w:rsidR="00BD7A81" w:rsidRPr="00B72ABF">
        <w:t>’s</w:t>
      </w:r>
      <w:r w:rsidR="00CD1F26" w:rsidRPr="00B72ABF">
        <w:t xml:space="preserve"> </w:t>
      </w:r>
      <w:r w:rsidR="00683E5D" w:rsidRPr="00B72ABF">
        <w:t>stewardship as CEO that formed the subject of the review.</w:t>
      </w:r>
      <w:r w:rsidR="00471F33" w:rsidRPr="00B72ABF">
        <w:t xml:space="preserve"> </w:t>
      </w:r>
    </w:p>
    <w:p w14:paraId="6F52DAB8" w14:textId="5634D8F4" w:rsidR="00846B72" w:rsidRPr="00926076" w:rsidRDefault="00926076" w:rsidP="00926076">
      <w:pPr>
        <w:spacing w:after="360" w:line="480" w:lineRule="auto"/>
        <w:ind w:left="720" w:hanging="720"/>
        <w:jc w:val="both"/>
        <w:rPr>
          <w:b/>
          <w:bCs/>
        </w:rPr>
      </w:pPr>
      <w:r>
        <w:t>[17]</w:t>
      </w:r>
      <w:r>
        <w:tab/>
      </w:r>
      <w:r w:rsidR="00C035E1" w:rsidRPr="00B72ABF">
        <w:t xml:space="preserve">I now go on to consider the basis of the review. The GPF advanced several grounds for review all of which the court a quo accepted. </w:t>
      </w:r>
    </w:p>
    <w:p w14:paraId="18A7ED8A" w14:textId="77777777" w:rsidR="00CA7042" w:rsidRPr="00B72ABF" w:rsidRDefault="00CA7042" w:rsidP="00B72ABF">
      <w:pPr>
        <w:pStyle w:val="ListParagraph"/>
        <w:spacing w:after="360" w:line="480" w:lineRule="auto"/>
        <w:jc w:val="both"/>
        <w:rPr>
          <w:b/>
          <w:bCs/>
          <w:i/>
          <w:iCs w:val="0"/>
        </w:rPr>
      </w:pPr>
      <w:r w:rsidRPr="00B72ABF">
        <w:rPr>
          <w:b/>
          <w:bCs/>
          <w:i/>
          <w:iCs w:val="0"/>
        </w:rPr>
        <w:t>The ultra vires review</w:t>
      </w:r>
    </w:p>
    <w:p w14:paraId="48F82288" w14:textId="28261EF3" w:rsidR="008F79AF" w:rsidRPr="00926076" w:rsidRDefault="00926076" w:rsidP="00926076">
      <w:pPr>
        <w:spacing w:after="360" w:line="480" w:lineRule="auto"/>
        <w:ind w:left="720" w:hanging="720"/>
        <w:jc w:val="both"/>
        <w:rPr>
          <w:b/>
          <w:bCs/>
        </w:rPr>
      </w:pPr>
      <w:r>
        <w:t>[18]</w:t>
      </w:r>
      <w:r>
        <w:tab/>
      </w:r>
      <w:r w:rsidR="00133794" w:rsidRPr="00B72ABF">
        <w:t xml:space="preserve">The GPF </w:t>
      </w:r>
      <w:r w:rsidR="00D606F3" w:rsidRPr="00B72ABF">
        <w:t>was founded in 2</w:t>
      </w:r>
      <w:r w:rsidR="001335FA" w:rsidRPr="00B72ABF">
        <w:t>002.</w:t>
      </w:r>
      <w:r w:rsidR="003E40E0" w:rsidRPr="00B72ABF">
        <w:t xml:space="preserve"> </w:t>
      </w:r>
      <w:r w:rsidR="00C022E4" w:rsidRPr="00B72ABF">
        <w:t>It now falls under the auspices of the Gauteng Provincial Government’s Department of Human Settlements</w:t>
      </w:r>
      <w:r w:rsidR="00407F6C" w:rsidRPr="00B72ABF">
        <w:t xml:space="preserve"> </w:t>
      </w:r>
      <w:r w:rsidR="00CD6E2D" w:rsidRPr="00B72ABF">
        <w:t>(the</w:t>
      </w:r>
      <w:r w:rsidR="00407F6C" w:rsidRPr="00B72ABF">
        <w:t xml:space="preserve"> Department)</w:t>
      </w:r>
      <w:r w:rsidR="00C022E4" w:rsidRPr="00B72ABF">
        <w:t xml:space="preserve">. </w:t>
      </w:r>
      <w:r w:rsidR="003E40E0" w:rsidRPr="00B72ABF">
        <w:t>It is registered as a benevolent trust in terms of the Trust Property Control Act, 57 of 1988</w:t>
      </w:r>
      <w:r w:rsidR="00454548" w:rsidRPr="00B72ABF">
        <w:t xml:space="preserve">. </w:t>
      </w:r>
      <w:r w:rsidR="00974FBC" w:rsidRPr="00B72ABF">
        <w:t xml:space="preserve">But more significantly for </w:t>
      </w:r>
      <w:r w:rsidR="00D56095" w:rsidRPr="00B72ABF">
        <w:t xml:space="preserve">purposes of </w:t>
      </w:r>
      <w:r w:rsidR="00974FBC" w:rsidRPr="00B72ABF">
        <w:t xml:space="preserve">this case it is </w:t>
      </w:r>
      <w:r w:rsidR="003A308C" w:rsidRPr="00B72ABF">
        <w:t>classified as a Schedule 3 (Part C) public entity i</w:t>
      </w:r>
      <w:r w:rsidR="00133794" w:rsidRPr="00B72ABF">
        <w:t>n terms of the Public Finance Management Act</w:t>
      </w:r>
      <w:r w:rsidR="00A85EBD" w:rsidRPr="00B72ABF">
        <w:t xml:space="preserve"> 1</w:t>
      </w:r>
      <w:r w:rsidR="0055472E" w:rsidRPr="00B72ABF">
        <w:t>,</w:t>
      </w:r>
      <w:r w:rsidR="00A85EBD" w:rsidRPr="00B72ABF">
        <w:t xml:space="preserve"> of 1999, </w:t>
      </w:r>
      <w:r w:rsidR="0055472E" w:rsidRPr="00B72ABF">
        <w:t>(PFMA)</w:t>
      </w:r>
      <w:r w:rsidR="00D56095" w:rsidRPr="00B72ABF">
        <w:t>.</w:t>
      </w:r>
      <w:r w:rsidR="00CA58E6" w:rsidRPr="00B72ABF">
        <w:t xml:space="preserve"> </w:t>
      </w:r>
      <w:r w:rsidR="00B537A4" w:rsidRPr="00B72ABF">
        <w:t>This has implications for how it can raise funds.</w:t>
      </w:r>
    </w:p>
    <w:p w14:paraId="1FB7DF44" w14:textId="536C03CC" w:rsidR="00CA58E6" w:rsidRPr="00926076" w:rsidRDefault="00926076" w:rsidP="00926076">
      <w:pPr>
        <w:spacing w:after="360" w:line="480" w:lineRule="auto"/>
        <w:ind w:left="720" w:hanging="720"/>
        <w:jc w:val="both"/>
        <w:rPr>
          <w:b/>
          <w:bCs/>
        </w:rPr>
      </w:pPr>
      <w:r>
        <w:t>[19]</w:t>
      </w:r>
      <w:r>
        <w:tab/>
      </w:r>
      <w:r w:rsidR="00473EAB" w:rsidRPr="00B72ABF">
        <w:t xml:space="preserve">The GPF’s mandate is to provide </w:t>
      </w:r>
      <w:r w:rsidR="00BE143F" w:rsidRPr="00B72ABF">
        <w:t xml:space="preserve">affordable housing. One way it does so is to </w:t>
      </w:r>
      <w:r w:rsidR="00621D79" w:rsidRPr="00B72ABF">
        <w:t>facilitate funding.</w:t>
      </w:r>
      <w:r w:rsidR="00063786" w:rsidRPr="00B72ABF">
        <w:t xml:space="preserve"> In </w:t>
      </w:r>
      <w:r w:rsidR="00454548" w:rsidRPr="00B72ABF">
        <w:t>September 2014,</w:t>
      </w:r>
      <w:r w:rsidR="00E81CD8" w:rsidRPr="00B72ABF">
        <w:t xml:space="preserve"> the GPF produced a</w:t>
      </w:r>
      <w:r w:rsidR="00043F69" w:rsidRPr="00B72ABF">
        <w:t xml:space="preserve"> </w:t>
      </w:r>
      <w:r w:rsidR="007538E5" w:rsidRPr="00B72ABF">
        <w:t>five-year</w:t>
      </w:r>
      <w:r w:rsidR="00E81CD8" w:rsidRPr="00B72ABF">
        <w:t xml:space="preserve"> strategic </w:t>
      </w:r>
      <w:r w:rsidR="00043F69" w:rsidRPr="00B72ABF">
        <w:t xml:space="preserve">plan </w:t>
      </w:r>
      <w:r w:rsidR="0000260C" w:rsidRPr="00B72ABF">
        <w:t>in</w:t>
      </w:r>
      <w:r w:rsidR="00E81CD8" w:rsidRPr="00B72ABF">
        <w:t xml:space="preserve"> which it identified the need</w:t>
      </w:r>
      <w:r w:rsidR="00955520" w:rsidRPr="00B72ABF">
        <w:t xml:space="preserve"> to recapitalise in order to continue its funding programs. </w:t>
      </w:r>
      <w:r w:rsidR="000510A9" w:rsidRPr="00B72ABF">
        <w:t>Part of this meant engaging with financial institutions.</w:t>
      </w:r>
    </w:p>
    <w:p w14:paraId="327C4BA8" w14:textId="3D55FC80" w:rsidR="001A735B" w:rsidRPr="00926076" w:rsidRDefault="00926076" w:rsidP="00926076">
      <w:pPr>
        <w:spacing w:after="360" w:line="480" w:lineRule="auto"/>
        <w:ind w:left="720" w:hanging="720"/>
        <w:jc w:val="both"/>
        <w:rPr>
          <w:b/>
          <w:bCs/>
        </w:rPr>
      </w:pPr>
      <w:r>
        <w:t>[20]</w:t>
      </w:r>
      <w:r>
        <w:tab/>
      </w:r>
      <w:r w:rsidR="008D3F61" w:rsidRPr="00B72ABF">
        <w:t>In March 2015 Muvevi</w:t>
      </w:r>
      <w:r w:rsidR="003273AE" w:rsidRPr="00B72ABF">
        <w:t xml:space="preserve">, who was then the CEO of the </w:t>
      </w:r>
      <w:r w:rsidR="00CD6E2D" w:rsidRPr="00B72ABF">
        <w:t>GPF, wrote</w:t>
      </w:r>
      <w:r w:rsidR="00786EFD" w:rsidRPr="00B72ABF">
        <w:t xml:space="preserve"> a memorandum to the trustees</w:t>
      </w:r>
      <w:r w:rsidR="00ED0A76" w:rsidRPr="00B72ABF">
        <w:t xml:space="preserve"> in which he identified certain problems. </w:t>
      </w:r>
      <w:r w:rsidR="00CC2959" w:rsidRPr="00B72ABF">
        <w:t xml:space="preserve">One of these problems was </w:t>
      </w:r>
      <w:r w:rsidR="00407F6C" w:rsidRPr="00B72ABF">
        <w:t>that t</w:t>
      </w:r>
      <w:r w:rsidR="00ED0A76" w:rsidRPr="00B72ABF">
        <w:t>he GPF was always reliant on the Department for funding</w:t>
      </w:r>
      <w:r w:rsidR="00C4546B" w:rsidRPr="00B72ABF">
        <w:t xml:space="preserve">. But funding came through late or fell short of what was needed. </w:t>
      </w:r>
      <w:r w:rsidR="00420EA1" w:rsidRPr="00B72ABF">
        <w:t xml:space="preserve">The </w:t>
      </w:r>
      <w:r w:rsidR="00420EA1" w:rsidRPr="00B72ABF">
        <w:lastRenderedPageBreak/>
        <w:t xml:space="preserve">management team </w:t>
      </w:r>
      <w:r w:rsidR="006C631C" w:rsidRPr="00B72ABF">
        <w:t xml:space="preserve">had </w:t>
      </w:r>
      <w:r w:rsidR="00E17F60" w:rsidRPr="00B72ABF">
        <w:t>produced</w:t>
      </w:r>
      <w:r w:rsidR="00420EA1" w:rsidRPr="00B72ABF">
        <w:t xml:space="preserve"> a</w:t>
      </w:r>
      <w:r w:rsidR="00160F19" w:rsidRPr="00B72ABF">
        <w:t xml:space="preserve"> </w:t>
      </w:r>
      <w:r w:rsidR="00496346" w:rsidRPr="00B72ABF">
        <w:t>five-year</w:t>
      </w:r>
      <w:r w:rsidR="00160F19" w:rsidRPr="00B72ABF">
        <w:t xml:space="preserve"> strategic plan.</w:t>
      </w:r>
      <w:r w:rsidR="00810463" w:rsidRPr="00B72ABF">
        <w:t xml:space="preserve"> The budget implication of this plan was that the GPF </w:t>
      </w:r>
      <w:r w:rsidR="00160F19" w:rsidRPr="00B72ABF">
        <w:t>required R1</w:t>
      </w:r>
      <w:r w:rsidR="00496346" w:rsidRPr="00B72ABF">
        <w:t>,7 billion rand</w:t>
      </w:r>
      <w:r w:rsidR="00A636FC" w:rsidRPr="00B72ABF">
        <w:t>.</w:t>
      </w:r>
    </w:p>
    <w:p w14:paraId="5786AD8D" w14:textId="3E3D28F8" w:rsidR="008D3F61" w:rsidRPr="00926076" w:rsidRDefault="00926076" w:rsidP="00926076">
      <w:pPr>
        <w:spacing w:after="360" w:line="480" w:lineRule="auto"/>
        <w:ind w:left="720" w:hanging="720"/>
        <w:jc w:val="both"/>
        <w:rPr>
          <w:b/>
          <w:bCs/>
        </w:rPr>
      </w:pPr>
      <w:r>
        <w:t>[21]</w:t>
      </w:r>
      <w:r>
        <w:tab/>
      </w:r>
      <w:r w:rsidR="00A636FC" w:rsidRPr="00B72ABF">
        <w:t xml:space="preserve">Muvevi explained that the Department </w:t>
      </w:r>
      <w:r w:rsidR="002C6763" w:rsidRPr="00B72ABF">
        <w:t>would</w:t>
      </w:r>
      <w:r w:rsidR="00A636FC" w:rsidRPr="00B72ABF">
        <w:t xml:space="preserve"> be unable to meet this </w:t>
      </w:r>
      <w:r w:rsidR="008602C8" w:rsidRPr="00B72ABF">
        <w:t>commitment,</w:t>
      </w:r>
      <w:r w:rsidR="00A636FC" w:rsidRPr="00B72ABF">
        <w:t xml:space="preserve"> so he proposed </w:t>
      </w:r>
      <w:r w:rsidR="007554FD" w:rsidRPr="00B72ABF">
        <w:t>that GPF “</w:t>
      </w:r>
      <w:r w:rsidR="007554FD" w:rsidRPr="00926076">
        <w:rPr>
          <w:i/>
          <w:iCs w:val="0"/>
        </w:rPr>
        <w:t>actively diversi</w:t>
      </w:r>
      <w:r w:rsidR="00741AD5" w:rsidRPr="00926076">
        <w:rPr>
          <w:i/>
          <w:iCs w:val="0"/>
        </w:rPr>
        <w:t>f</w:t>
      </w:r>
      <w:r w:rsidR="007554FD" w:rsidRPr="00926076">
        <w:rPr>
          <w:i/>
          <w:iCs w:val="0"/>
        </w:rPr>
        <w:t>y its sources of capital.</w:t>
      </w:r>
      <w:r w:rsidR="002E34B4" w:rsidRPr="00B72ABF">
        <w:t xml:space="preserve">” </w:t>
      </w:r>
      <w:r w:rsidR="00205842" w:rsidRPr="00B72ABF">
        <w:t xml:space="preserve">He sought a mandate from the Board to approach service providers. </w:t>
      </w:r>
      <w:r w:rsidR="00F9462F" w:rsidRPr="00B72ABF">
        <w:t xml:space="preserve">The service providers </w:t>
      </w:r>
      <w:r w:rsidR="00807A41" w:rsidRPr="00B72ABF">
        <w:t>would not provide the financing themselves. Instead</w:t>
      </w:r>
      <w:r w:rsidR="000003AF" w:rsidRPr="00B72ABF">
        <w:t>,</w:t>
      </w:r>
      <w:r w:rsidR="00807A41" w:rsidRPr="00B72ABF">
        <w:t xml:space="preserve"> th</w:t>
      </w:r>
      <w:r w:rsidR="001E373A" w:rsidRPr="00B72ABF">
        <w:t>e</w:t>
      </w:r>
      <w:r w:rsidR="00807A41" w:rsidRPr="00B72ABF">
        <w:t xml:space="preserve">y would function as market intermediaries who would </w:t>
      </w:r>
      <w:r w:rsidR="002C4E78" w:rsidRPr="00B72ABF">
        <w:t>identify institutions willing to provide the capital and then negotiate terms for the</w:t>
      </w:r>
      <w:r w:rsidR="001E373A" w:rsidRPr="00B72ABF">
        <w:t>m to do so.</w:t>
      </w:r>
      <w:r w:rsidR="000003AF" w:rsidRPr="00B72ABF">
        <w:t xml:space="preserve"> </w:t>
      </w:r>
      <w:r w:rsidR="00B53A3A" w:rsidRPr="00B72ABF">
        <w:t xml:space="preserve">Given the urgent need to secure funding it was suggested that service providers be incentivised to raise capital </w:t>
      </w:r>
      <w:r w:rsidR="00DA6A72" w:rsidRPr="00B72ABF">
        <w:t>to achieve faster results</w:t>
      </w:r>
      <w:r w:rsidR="00454548" w:rsidRPr="00B72ABF">
        <w:t xml:space="preserve">. </w:t>
      </w:r>
      <w:r w:rsidR="00320635" w:rsidRPr="00B72ABF">
        <w:t xml:space="preserve">The management proposed that </w:t>
      </w:r>
      <w:r w:rsidR="00AA6189" w:rsidRPr="00B72ABF">
        <w:t xml:space="preserve">service providers be given three months to come up with a proposal </w:t>
      </w:r>
      <w:r w:rsidR="00F16ED2" w:rsidRPr="00B72ABF">
        <w:t xml:space="preserve">to raise R 1 billion. </w:t>
      </w:r>
      <w:r w:rsidR="0061382D" w:rsidRPr="00B72ABF">
        <w:t>To incentivise</w:t>
      </w:r>
      <w:r w:rsidR="00F16ED2" w:rsidRPr="00B72ABF">
        <w:t xml:space="preserve"> them they would receive a 3% </w:t>
      </w:r>
      <w:r w:rsidR="00686012" w:rsidRPr="00B72ABF">
        <w:t>fee on the amount raised (exclusive of VAT)</w:t>
      </w:r>
      <w:r w:rsidR="001A735B" w:rsidRPr="00B72ABF">
        <w:t>.</w:t>
      </w:r>
      <w:r w:rsidR="00E14032" w:rsidRPr="00B72ABF">
        <w:t xml:space="preserve"> This fee would be paid in three instalments </w:t>
      </w:r>
      <w:r w:rsidR="00A63824" w:rsidRPr="00B72ABF">
        <w:t>–</w:t>
      </w:r>
      <w:r w:rsidR="00E14032" w:rsidRPr="00B72ABF">
        <w:t xml:space="preserve"> </w:t>
      </w:r>
      <w:r w:rsidR="00A63824" w:rsidRPr="00B72ABF">
        <w:t xml:space="preserve">25% on signature of the term sheet, 50% on the first draft </w:t>
      </w:r>
      <w:r w:rsidR="009E6B47" w:rsidRPr="00B72ABF">
        <w:t>of the co-funding agreement</w:t>
      </w:r>
      <w:r w:rsidR="00724919" w:rsidRPr="00B72ABF">
        <w:t>,</w:t>
      </w:r>
      <w:r w:rsidR="009E6B47" w:rsidRPr="00B72ABF">
        <w:t xml:space="preserve"> and 25% on the signature of the key agreement.</w:t>
      </w:r>
    </w:p>
    <w:p w14:paraId="41AFDAE5" w14:textId="51F7F2D3" w:rsidR="004A0ECF" w:rsidRPr="00926076" w:rsidRDefault="00926076" w:rsidP="00926076">
      <w:pPr>
        <w:spacing w:after="360" w:line="480" w:lineRule="auto"/>
        <w:ind w:left="720" w:hanging="720"/>
        <w:jc w:val="both"/>
        <w:rPr>
          <w:b/>
          <w:bCs/>
        </w:rPr>
      </w:pPr>
      <w:r>
        <w:t>[22]</w:t>
      </w:r>
      <w:r>
        <w:tab/>
      </w:r>
      <w:r w:rsidR="004A0ECF" w:rsidRPr="00B72ABF">
        <w:t xml:space="preserve">On </w:t>
      </w:r>
      <w:r w:rsidR="00E17F60" w:rsidRPr="00B72ABF">
        <w:t>17 March 2015,</w:t>
      </w:r>
      <w:r w:rsidR="00163006" w:rsidRPr="00B72ABF">
        <w:t xml:space="preserve"> </w:t>
      </w:r>
      <w:r w:rsidR="00503451" w:rsidRPr="00B72ABF">
        <w:t>the trustees of the GPF held a meeting at which t</w:t>
      </w:r>
      <w:r w:rsidR="00C770E3" w:rsidRPr="00B72ABF">
        <w:t>h</w:t>
      </w:r>
      <w:r w:rsidR="00503451" w:rsidRPr="00B72ABF">
        <w:t xml:space="preserve">ey approved </w:t>
      </w:r>
      <w:r w:rsidR="00FF504D" w:rsidRPr="00B72ABF">
        <w:t>Muvevi’s</w:t>
      </w:r>
      <w:r w:rsidR="00163006" w:rsidRPr="00B72ABF">
        <w:t xml:space="preserve"> proposal. </w:t>
      </w:r>
      <w:r w:rsidR="00C770E3" w:rsidRPr="00B72ABF">
        <w:t>Pursuant to this</w:t>
      </w:r>
      <w:r w:rsidR="00163006" w:rsidRPr="00B72ABF">
        <w:t xml:space="preserve"> on </w:t>
      </w:r>
      <w:r w:rsidR="009306B8" w:rsidRPr="00B72ABF">
        <w:t>2 April 2015</w:t>
      </w:r>
      <w:r w:rsidR="00464E12" w:rsidRPr="00B72ABF">
        <w:t>,</w:t>
      </w:r>
      <w:r w:rsidR="009306B8" w:rsidRPr="00B72ABF">
        <w:t xml:space="preserve"> the GPF put out a </w:t>
      </w:r>
      <w:r w:rsidR="00B059DE" w:rsidRPr="00B72ABF">
        <w:t xml:space="preserve">Request for </w:t>
      </w:r>
      <w:r w:rsidR="00B555E7" w:rsidRPr="00B72ABF">
        <w:t>Proposal. It</w:t>
      </w:r>
      <w:r w:rsidR="007F2E24" w:rsidRPr="00B72ABF">
        <w:t xml:space="preserve"> required bids to be submitted by the end of June that year. In terms of the legislation</w:t>
      </w:r>
      <w:r w:rsidR="00556EE8" w:rsidRPr="00B72ABF">
        <w:t xml:space="preserve"> to which the GPF is subject</w:t>
      </w:r>
      <w:r w:rsidR="007F2E24" w:rsidRPr="00B72ABF">
        <w:t xml:space="preserve"> a bid proposal must be prepared by a Bid </w:t>
      </w:r>
      <w:r w:rsidR="008B3703" w:rsidRPr="00B72ABF">
        <w:t>S</w:t>
      </w:r>
      <w:r w:rsidR="007F2E24" w:rsidRPr="00B72ABF">
        <w:t>pecification Committee (BSC)</w:t>
      </w:r>
      <w:r w:rsidR="00EF53A7" w:rsidRPr="00B72ABF">
        <w:t xml:space="preserve">. Here is where the first irregularity </w:t>
      </w:r>
      <w:r w:rsidR="00F40D42" w:rsidRPr="00B72ABF">
        <w:t>occurred</w:t>
      </w:r>
      <w:r w:rsidR="00EF53A7" w:rsidRPr="00B72ABF">
        <w:t xml:space="preserve"> according to the GPF’s founding papers in the review. The GPF contends </w:t>
      </w:r>
      <w:r w:rsidR="00215886" w:rsidRPr="00B72ABF">
        <w:t>no</w:t>
      </w:r>
      <w:r w:rsidR="00BB1CB0" w:rsidRPr="00B72ABF">
        <w:t xml:space="preserve"> BSC</w:t>
      </w:r>
      <w:r w:rsidR="00D60713" w:rsidRPr="00B72ABF">
        <w:t xml:space="preserve"> had been constituted</w:t>
      </w:r>
      <w:r w:rsidR="00BB1CB0" w:rsidRPr="00B72ABF">
        <w:t>. Aiken alleges that there was one</w:t>
      </w:r>
      <w:r w:rsidR="007E5D07" w:rsidRPr="00B72ABF">
        <w:t xml:space="preserve">. On its version since </w:t>
      </w:r>
      <w:r w:rsidR="00BB1CB0" w:rsidRPr="00B72ABF">
        <w:t xml:space="preserve">the executive </w:t>
      </w:r>
      <w:r w:rsidR="007E5D07" w:rsidRPr="00B72ABF">
        <w:t>of the GPF</w:t>
      </w:r>
      <w:r w:rsidR="00D60713" w:rsidRPr="00B72ABF">
        <w:t>,</w:t>
      </w:r>
      <w:r w:rsidR="007E5D07" w:rsidRPr="00B72ABF">
        <w:t xml:space="preserve"> </w:t>
      </w:r>
      <w:r w:rsidR="00F40D42" w:rsidRPr="00B72ABF">
        <w:t xml:space="preserve">meaning </w:t>
      </w:r>
      <w:r w:rsidR="007E5D07" w:rsidRPr="00B72ABF">
        <w:t>its staff</w:t>
      </w:r>
      <w:r w:rsidR="00F40D42" w:rsidRPr="00B72ABF">
        <w:t xml:space="preserve">, had </w:t>
      </w:r>
      <w:r w:rsidR="00BB1CB0" w:rsidRPr="00B72ABF">
        <w:t>p</w:t>
      </w:r>
      <w:r w:rsidR="00F40D42" w:rsidRPr="00B72ABF">
        <w:t>rep</w:t>
      </w:r>
      <w:r w:rsidR="00BB1CB0" w:rsidRPr="00B72ABF">
        <w:t>ared the bid</w:t>
      </w:r>
      <w:r w:rsidR="003A750A" w:rsidRPr="00B72ABF">
        <w:t xml:space="preserve">, they constituted </w:t>
      </w:r>
      <w:r w:rsidR="00BB1CB0" w:rsidRPr="00B72ABF">
        <w:t>the BSC.</w:t>
      </w:r>
    </w:p>
    <w:p w14:paraId="61A955F6" w14:textId="09C526E3" w:rsidR="00BB1CB0" w:rsidRPr="00926076" w:rsidRDefault="00926076" w:rsidP="00926076">
      <w:pPr>
        <w:spacing w:after="360" w:line="480" w:lineRule="auto"/>
        <w:ind w:left="720" w:hanging="720"/>
        <w:jc w:val="both"/>
        <w:rPr>
          <w:b/>
          <w:bCs/>
        </w:rPr>
      </w:pPr>
      <w:r>
        <w:lastRenderedPageBreak/>
        <w:t>[23]</w:t>
      </w:r>
      <w:r>
        <w:tab/>
      </w:r>
      <w:r w:rsidR="00BB1CB0" w:rsidRPr="00B72ABF">
        <w:t>The</w:t>
      </w:r>
      <w:r w:rsidR="004D22D6" w:rsidRPr="00B72ABF">
        <w:t xml:space="preserve"> next anomaly was that on 25 June 2015</w:t>
      </w:r>
      <w:r w:rsidR="00E13679" w:rsidRPr="00B72ABF">
        <w:t>,</w:t>
      </w:r>
      <w:r w:rsidR="004D22D6" w:rsidRPr="00B72ABF">
        <w:t xml:space="preserve"> and thus five days before the bid period was to close on the 30 Ju</w:t>
      </w:r>
      <w:r w:rsidR="00C0630D" w:rsidRPr="00B72ABF">
        <w:t>ne</w:t>
      </w:r>
      <w:r w:rsidR="003A750A" w:rsidRPr="00B72ABF">
        <w:t>,</w:t>
      </w:r>
      <w:r w:rsidR="00C0630D" w:rsidRPr="00B72ABF">
        <w:t xml:space="preserve"> the GPF received a letter of interest from an international funder known as </w:t>
      </w:r>
      <w:r w:rsidR="00404248" w:rsidRPr="00B72ABF">
        <w:t xml:space="preserve">Agence Francaise de Development </w:t>
      </w:r>
      <w:r w:rsidR="00B555E7" w:rsidRPr="00B72ABF">
        <w:t>(AFD</w:t>
      </w:r>
      <w:r w:rsidR="00404248" w:rsidRPr="00B72ABF">
        <w:t xml:space="preserve">) </w:t>
      </w:r>
      <w:r w:rsidR="00472D71" w:rsidRPr="00B72ABF">
        <w:t xml:space="preserve">expressing an interest in raising </w:t>
      </w:r>
      <w:r w:rsidR="006B6D48" w:rsidRPr="00B72ABF">
        <w:t xml:space="preserve">50 million Euros in concessionary finance. </w:t>
      </w:r>
      <w:r w:rsidR="002D22A5" w:rsidRPr="00B72ABF">
        <w:t>Makhubo says the GPF consider</w:t>
      </w:r>
      <w:r w:rsidR="00E13679" w:rsidRPr="00B72ABF">
        <w:t>ed</w:t>
      </w:r>
      <w:r w:rsidR="002D22A5" w:rsidRPr="00B72ABF">
        <w:t xml:space="preserve"> this a serious breach of the tender process as Arkein </w:t>
      </w:r>
      <w:r w:rsidR="00C2128E" w:rsidRPr="00B72ABF">
        <w:t>anticipated the award of the tender and acted accordingly</w:t>
      </w:r>
      <w:r w:rsidR="003B2D55" w:rsidRPr="00B72ABF">
        <w:t xml:space="preserve"> by approaching a finance institution,</w:t>
      </w:r>
      <w:r w:rsidR="00C2128E" w:rsidRPr="00B72ABF">
        <w:t xml:space="preserve"> even though </w:t>
      </w:r>
      <w:r w:rsidR="00B33BFA" w:rsidRPr="00B72ABF">
        <w:t xml:space="preserve">the bid had not </w:t>
      </w:r>
      <w:r w:rsidR="002539A8" w:rsidRPr="00B72ABF">
        <w:t xml:space="preserve">yet </w:t>
      </w:r>
      <w:r w:rsidR="00B33BFA" w:rsidRPr="00B72ABF">
        <w:t>bee</w:t>
      </w:r>
      <w:r w:rsidR="002539A8" w:rsidRPr="00B72ABF">
        <w:t>n</w:t>
      </w:r>
      <w:r w:rsidR="00B33BFA" w:rsidRPr="00B72ABF">
        <w:t xml:space="preserve"> awarded.</w:t>
      </w:r>
    </w:p>
    <w:p w14:paraId="655E45AD" w14:textId="02CD2303" w:rsidR="002539A8" w:rsidRPr="00926076" w:rsidRDefault="00926076" w:rsidP="00926076">
      <w:pPr>
        <w:spacing w:after="360" w:line="480" w:lineRule="auto"/>
        <w:ind w:left="720" w:hanging="720"/>
        <w:jc w:val="both"/>
        <w:rPr>
          <w:b/>
          <w:bCs/>
        </w:rPr>
      </w:pPr>
      <w:r>
        <w:t>[24]</w:t>
      </w:r>
      <w:r>
        <w:tab/>
      </w:r>
      <w:r w:rsidR="00460641" w:rsidRPr="00B72ABF">
        <w:t>Arkein admits that prior to submitting its bid it had approached various financiers</w:t>
      </w:r>
      <w:r w:rsidR="005C412B" w:rsidRPr="00B72ABF">
        <w:t>,</w:t>
      </w:r>
      <w:r w:rsidR="00460641" w:rsidRPr="00B72ABF">
        <w:t xml:space="preserve"> inter alia</w:t>
      </w:r>
      <w:r w:rsidR="005C412B" w:rsidRPr="00B72ABF">
        <w:t>,</w:t>
      </w:r>
      <w:r w:rsidR="00460641" w:rsidRPr="00B72ABF">
        <w:t xml:space="preserve"> the AFD</w:t>
      </w:r>
      <w:r w:rsidR="005C412B" w:rsidRPr="00B72ABF">
        <w:t>,</w:t>
      </w:r>
      <w:r w:rsidR="00460641" w:rsidRPr="00B72ABF">
        <w:t xml:space="preserve"> but it contended that this was not irregular </w:t>
      </w:r>
      <w:r w:rsidR="002252EC" w:rsidRPr="00B72ABF">
        <w:t>as it was usual for</w:t>
      </w:r>
      <w:r w:rsidR="009F43A2" w:rsidRPr="00B72ABF">
        <w:t xml:space="preserve"> firms like </w:t>
      </w:r>
      <w:r w:rsidR="001472BD" w:rsidRPr="00B72ABF">
        <w:t xml:space="preserve">it </w:t>
      </w:r>
      <w:r w:rsidR="009F43A2" w:rsidRPr="00B72ABF">
        <w:t xml:space="preserve">to approach funders to ascertain their appetite for providing finance. </w:t>
      </w:r>
    </w:p>
    <w:p w14:paraId="69AFDBD1" w14:textId="4D1C235C" w:rsidR="00460641" w:rsidRPr="00926076" w:rsidRDefault="00926076" w:rsidP="00926076">
      <w:pPr>
        <w:spacing w:after="360" w:line="480" w:lineRule="auto"/>
        <w:ind w:left="720" w:hanging="720"/>
        <w:jc w:val="both"/>
        <w:rPr>
          <w:b/>
          <w:bCs/>
        </w:rPr>
      </w:pPr>
      <w:r>
        <w:t>[25]</w:t>
      </w:r>
      <w:r>
        <w:tab/>
      </w:r>
      <w:r w:rsidR="005A51A1" w:rsidRPr="00B72ABF">
        <w:t xml:space="preserve">Bids closed on 30 June </w:t>
      </w:r>
      <w:r w:rsidR="00380F4A" w:rsidRPr="00B72ABF">
        <w:t xml:space="preserve">2015, </w:t>
      </w:r>
      <w:r w:rsidR="005A51A1" w:rsidRPr="00B72ABF">
        <w:t>and Arkein was on</w:t>
      </w:r>
      <w:r w:rsidR="00BA54DF" w:rsidRPr="00B72ABF">
        <w:t xml:space="preserve">e of the firms that had put in a bid. A bid evaluation committee (BEC) then met to </w:t>
      </w:r>
      <w:r w:rsidR="00283A7C" w:rsidRPr="00B72ABF">
        <w:t>evaluate the</w:t>
      </w:r>
      <w:r w:rsidR="00BA54DF" w:rsidRPr="00B72ABF">
        <w:t xml:space="preserve"> bids. Three people were on this committee</w:t>
      </w:r>
      <w:r w:rsidR="00D57335" w:rsidRPr="00B72ABF">
        <w:t>. They evaluated the bids an</w:t>
      </w:r>
      <w:r w:rsidR="00707A21" w:rsidRPr="00B72ABF">
        <w:t>d</w:t>
      </w:r>
      <w:r w:rsidR="00D57335" w:rsidRPr="00B72ABF">
        <w:t xml:space="preserve"> concluded </w:t>
      </w:r>
      <w:r w:rsidR="00F96905" w:rsidRPr="00B72ABF">
        <w:t xml:space="preserve">only </w:t>
      </w:r>
      <w:r w:rsidR="00D57335" w:rsidRPr="00B72ABF">
        <w:t xml:space="preserve">that four firms qualified </w:t>
      </w:r>
      <w:r w:rsidR="00F96905" w:rsidRPr="00B72ABF">
        <w:t xml:space="preserve">on functionality. </w:t>
      </w:r>
      <w:r w:rsidR="001E3B24" w:rsidRPr="00B72ABF">
        <w:t>The names of these firms were then sent to the bid adjudication committee</w:t>
      </w:r>
      <w:r w:rsidR="00DA5F58" w:rsidRPr="00B72ABF">
        <w:t xml:space="preserve"> (BAC)</w:t>
      </w:r>
      <w:r w:rsidR="001E3B24" w:rsidRPr="00B72ABF">
        <w:t xml:space="preserve">. This </w:t>
      </w:r>
      <w:r w:rsidR="00282A33" w:rsidRPr="00B72ABF">
        <w:t>committee met in July 2015 and following a briefing</w:t>
      </w:r>
      <w:r w:rsidR="005C2681" w:rsidRPr="00B72ABF">
        <w:t xml:space="preserve"> to them</w:t>
      </w:r>
      <w:r w:rsidR="00EC4441" w:rsidRPr="00B72ABF">
        <w:t>,</w:t>
      </w:r>
      <w:r w:rsidR="005C2681" w:rsidRPr="00B72ABF">
        <w:t xml:space="preserve"> </w:t>
      </w:r>
      <w:r w:rsidR="00282A33" w:rsidRPr="00B72ABF">
        <w:t>from the then</w:t>
      </w:r>
      <w:r w:rsidR="00B16402" w:rsidRPr="00B72ABF">
        <w:t xml:space="preserve"> chief financial </w:t>
      </w:r>
      <w:r w:rsidR="00D149D7" w:rsidRPr="00B72ABF">
        <w:t>officer</w:t>
      </w:r>
      <w:r w:rsidR="005C2681" w:rsidRPr="00B72ABF">
        <w:t xml:space="preserve">, they </w:t>
      </w:r>
      <w:r w:rsidR="00D149D7" w:rsidRPr="00B72ABF">
        <w:t>approved</w:t>
      </w:r>
      <w:r w:rsidR="00282A33" w:rsidRPr="00B72ABF">
        <w:t xml:space="preserve"> the four firms</w:t>
      </w:r>
      <w:r w:rsidR="006603FB" w:rsidRPr="00B72ABF">
        <w:t xml:space="preserve">. They also agreed to approve R 30 million as a fee to the firm that </w:t>
      </w:r>
      <w:r w:rsidR="005C343B" w:rsidRPr="00B72ABF">
        <w:t>managed to raise the funds.</w:t>
      </w:r>
    </w:p>
    <w:p w14:paraId="76AA9AC3" w14:textId="0628BEF7" w:rsidR="00070586" w:rsidRPr="00926076" w:rsidRDefault="00926076" w:rsidP="00926076">
      <w:pPr>
        <w:spacing w:after="360" w:line="480" w:lineRule="auto"/>
        <w:ind w:left="720" w:hanging="720"/>
        <w:jc w:val="both"/>
        <w:rPr>
          <w:b/>
          <w:bCs/>
        </w:rPr>
      </w:pPr>
      <w:r>
        <w:t>[26]</w:t>
      </w:r>
      <w:r>
        <w:tab/>
      </w:r>
      <w:r w:rsidR="003B5D3E" w:rsidRPr="00B72ABF">
        <w:t>It is not explained in the affidavit whether the four firms were to be appointed simultaneously or sequentially</w:t>
      </w:r>
      <w:r w:rsidR="00D149D7" w:rsidRPr="00B72ABF">
        <w:t>,</w:t>
      </w:r>
      <w:r w:rsidR="007A65DB" w:rsidRPr="00B72ABF">
        <w:t xml:space="preserve"> although it would seem more likely that it was the latter</w:t>
      </w:r>
      <w:r w:rsidR="003B5D3E" w:rsidRPr="00B72ABF">
        <w:t xml:space="preserve">. </w:t>
      </w:r>
      <w:r w:rsidR="007A65DB" w:rsidRPr="00B72ABF">
        <w:t>Nevertheless,</w:t>
      </w:r>
      <w:r w:rsidR="008A4901" w:rsidRPr="00B72ABF">
        <w:t xml:space="preserve"> it is common cause that on 30 August 20</w:t>
      </w:r>
      <w:r w:rsidR="008B3703" w:rsidRPr="00B72ABF">
        <w:t>1</w:t>
      </w:r>
      <w:r w:rsidR="008A4901" w:rsidRPr="00B72ABF">
        <w:t>5</w:t>
      </w:r>
      <w:r w:rsidR="00E65966" w:rsidRPr="00B72ABF">
        <w:t>,</w:t>
      </w:r>
      <w:r w:rsidR="008A4901" w:rsidRPr="00B72ABF">
        <w:t xml:space="preserve"> the GPF </w:t>
      </w:r>
      <w:r w:rsidR="008A4901" w:rsidRPr="00B72ABF">
        <w:lastRenderedPageBreak/>
        <w:t>wrote to Arkein to state that it had been appointed</w:t>
      </w:r>
      <w:r w:rsidR="00FE4D63" w:rsidRPr="00B72ABF">
        <w:t xml:space="preserve"> as its transaction advisor</w:t>
      </w:r>
      <w:r w:rsidR="008A4901" w:rsidRPr="00B72ABF">
        <w:t>.</w:t>
      </w:r>
      <w:r w:rsidR="00BF5E14" w:rsidRPr="00B72ABF">
        <w:t xml:space="preserve"> The terms of the appointment</w:t>
      </w:r>
      <w:r w:rsidR="00FE4D63" w:rsidRPr="00B72ABF">
        <w:t>,</w:t>
      </w:r>
      <w:r w:rsidR="00070586" w:rsidRPr="00B72ABF">
        <w:t xml:space="preserve"> t</w:t>
      </w:r>
      <w:r w:rsidR="00802EAD" w:rsidRPr="00B72ABF">
        <w:t>he fee</w:t>
      </w:r>
      <w:r w:rsidR="00070586" w:rsidRPr="00B72ABF">
        <w:t>s</w:t>
      </w:r>
      <w:r w:rsidR="0009396B" w:rsidRPr="00B72ABF">
        <w:t>,</w:t>
      </w:r>
      <w:r w:rsidR="00802EAD" w:rsidRPr="00B72ABF">
        <w:t xml:space="preserve"> and the milestones </w:t>
      </w:r>
      <w:r w:rsidR="00B76BA6" w:rsidRPr="00B72ABF">
        <w:t xml:space="preserve">to be achieved for payment </w:t>
      </w:r>
      <w:r w:rsidR="00802EAD" w:rsidRPr="00B72ABF">
        <w:t>were set out in the letter.</w:t>
      </w:r>
    </w:p>
    <w:p w14:paraId="48AD99D5" w14:textId="20D23221" w:rsidR="003B5D3E" w:rsidRPr="00926076" w:rsidRDefault="00926076" w:rsidP="00926076">
      <w:pPr>
        <w:spacing w:after="360" w:line="480" w:lineRule="auto"/>
        <w:ind w:left="720" w:hanging="720"/>
        <w:jc w:val="both"/>
        <w:rPr>
          <w:b/>
          <w:bCs/>
        </w:rPr>
      </w:pPr>
      <w:r>
        <w:t>[27]</w:t>
      </w:r>
      <w:r>
        <w:tab/>
      </w:r>
      <w:r w:rsidR="007A65DB" w:rsidRPr="00B72ABF">
        <w:t>Arkein</w:t>
      </w:r>
      <w:r w:rsidR="003E0E0E" w:rsidRPr="00B72ABF">
        <w:t xml:space="preserve"> was given three months to revert with </w:t>
      </w:r>
      <w:r w:rsidR="00397EA5" w:rsidRPr="00B72ABF">
        <w:t>a concrete</w:t>
      </w:r>
      <w:r w:rsidR="003E0E0E" w:rsidRPr="00B72ABF">
        <w:t xml:space="preserve"> funding proposal supported by a term sheet acceptable to the GPF</w:t>
      </w:r>
      <w:r w:rsidR="002570F8" w:rsidRPr="00B72ABF">
        <w:t>.</w:t>
      </w:r>
      <w:r w:rsidR="005B33A8" w:rsidRPr="00B72ABF">
        <w:t xml:space="preserve"> It</w:t>
      </w:r>
      <w:r w:rsidR="00B76BA6" w:rsidRPr="00B72ABF">
        <w:t xml:space="preserve"> is</w:t>
      </w:r>
      <w:r w:rsidR="005B33A8" w:rsidRPr="00B72ABF">
        <w:t xml:space="preserve"> not clear whether it did </w:t>
      </w:r>
      <w:r w:rsidR="005E089A" w:rsidRPr="00B72ABF">
        <w:t xml:space="preserve">so </w:t>
      </w:r>
      <w:r w:rsidR="005B33A8" w:rsidRPr="00B72ABF">
        <w:t xml:space="preserve">within the stipulated time </w:t>
      </w:r>
      <w:r w:rsidR="00B76BA6" w:rsidRPr="00B72ABF">
        <w:t>period. But</w:t>
      </w:r>
      <w:r w:rsidR="005B33A8" w:rsidRPr="00B72ABF">
        <w:t xml:space="preserve"> nevertheless</w:t>
      </w:r>
      <w:r w:rsidR="005E089A" w:rsidRPr="00B72ABF">
        <w:t>,</w:t>
      </w:r>
      <w:r w:rsidR="005B33A8" w:rsidRPr="00B72ABF">
        <w:t xml:space="preserve"> t</w:t>
      </w:r>
      <w:r w:rsidR="002570F8" w:rsidRPr="00B72ABF">
        <w:t>hereafter</w:t>
      </w:r>
      <w:r w:rsidR="005E089A" w:rsidRPr="00B72ABF">
        <w:t>,</w:t>
      </w:r>
      <w:r w:rsidR="002570F8" w:rsidRPr="00B72ABF">
        <w:t xml:space="preserve"> there were several interactions between the staff of the GPF and </w:t>
      </w:r>
      <w:r w:rsidR="001A052F" w:rsidRPr="00B72ABF">
        <w:t>a team from AFD to perform due diligence</w:t>
      </w:r>
      <w:r w:rsidR="004D7DD6" w:rsidRPr="00B72ABF">
        <w:t>,</w:t>
      </w:r>
      <w:r w:rsidR="001A052F" w:rsidRPr="00B72ABF">
        <w:t xml:space="preserve"> </w:t>
      </w:r>
      <w:r w:rsidR="00947146" w:rsidRPr="00B72ABF">
        <w:t>between September 2015 and February 2016.</w:t>
      </w:r>
      <w:r w:rsidR="00947146" w:rsidRPr="00B72ABF">
        <w:rPr>
          <w:rStyle w:val="FootnoteReference"/>
        </w:rPr>
        <w:footnoteReference w:id="10"/>
      </w:r>
      <w:r w:rsidR="007A65DB" w:rsidRPr="00B72ABF">
        <w:t xml:space="preserve"> </w:t>
      </w:r>
      <w:r w:rsidR="008D5AA1" w:rsidRPr="00B72ABF">
        <w:t xml:space="preserve"> This led to the conclusion of a service level agreement (SLA) between GPF and Arkein dated </w:t>
      </w:r>
      <w:r w:rsidR="00885FC0" w:rsidRPr="00B72ABF">
        <w:t>10 February 2016. It is this agreement that Mo</w:t>
      </w:r>
      <w:r w:rsidR="00BF1B7B" w:rsidRPr="00B72ABF">
        <w:t>l</w:t>
      </w:r>
      <w:r w:rsidR="00885FC0" w:rsidRPr="00B72ABF">
        <w:t>a</w:t>
      </w:r>
      <w:r w:rsidR="00C6228F" w:rsidRPr="00B72ABF">
        <w:t>hl</w:t>
      </w:r>
      <w:r w:rsidR="00885FC0" w:rsidRPr="00B72ABF">
        <w:t>e</w:t>
      </w:r>
      <w:r w:rsidR="002A1FDF" w:rsidRPr="00B72ABF">
        <w:t>h</w:t>
      </w:r>
      <w:r w:rsidR="00885FC0" w:rsidRPr="00B72ABF">
        <w:t>i J set aside in his judgment.</w:t>
      </w:r>
      <w:r w:rsidR="009752B3" w:rsidRPr="00B72ABF">
        <w:t xml:space="preserve"> The agreement is signed</w:t>
      </w:r>
      <w:r w:rsidR="00FD7E21" w:rsidRPr="00B72ABF">
        <w:t xml:space="preserve"> on behalf of the GPF </w:t>
      </w:r>
      <w:r w:rsidR="00987E7A" w:rsidRPr="00B72ABF">
        <w:t>b</w:t>
      </w:r>
      <w:r w:rsidR="000036E5" w:rsidRPr="00B72ABF">
        <w:t>y M</w:t>
      </w:r>
      <w:r w:rsidR="0014131F" w:rsidRPr="00B72ABF">
        <w:t>uv</w:t>
      </w:r>
      <w:r w:rsidR="00A571B7" w:rsidRPr="00B72ABF">
        <w:t>evi in his capacity as the CEO</w:t>
      </w:r>
      <w:r w:rsidR="000036E5" w:rsidRPr="00B72ABF">
        <w:t xml:space="preserve">. </w:t>
      </w:r>
    </w:p>
    <w:p w14:paraId="280F9C5E" w14:textId="5BB06B62" w:rsidR="0045537E" w:rsidRPr="00926076" w:rsidRDefault="00926076" w:rsidP="00926076">
      <w:pPr>
        <w:spacing w:after="360" w:line="480" w:lineRule="auto"/>
        <w:ind w:left="720" w:hanging="720"/>
        <w:jc w:val="both"/>
        <w:rPr>
          <w:b/>
          <w:bCs/>
        </w:rPr>
      </w:pPr>
      <w:r>
        <w:t>[28]</w:t>
      </w:r>
      <w:r>
        <w:tab/>
      </w:r>
      <w:r w:rsidR="00615563" w:rsidRPr="00B72ABF">
        <w:t>This agreement has the same terms as set out earlier regarding remuneration</w:t>
      </w:r>
      <w:r w:rsidR="00463474" w:rsidRPr="00B72ABF">
        <w:t xml:space="preserve">, the relevant terms being </w:t>
      </w:r>
      <w:r w:rsidR="00511FC2" w:rsidRPr="00B72ABF">
        <w:t xml:space="preserve">to describe </w:t>
      </w:r>
      <w:r w:rsidR="00463474" w:rsidRPr="00B72ABF">
        <w:t xml:space="preserve">the three milestones that had to be </w:t>
      </w:r>
      <w:r w:rsidR="0066386B" w:rsidRPr="00B72ABF">
        <w:t>accomplished</w:t>
      </w:r>
      <w:r w:rsidR="00463474" w:rsidRPr="00B72ABF">
        <w:t xml:space="preserve"> by Arkein </w:t>
      </w:r>
      <w:r w:rsidR="00511FC2" w:rsidRPr="00B72ABF">
        <w:t>to entitle it to the respective portion</w:t>
      </w:r>
      <w:r w:rsidR="00674E8D" w:rsidRPr="00B72ABF">
        <w:t>s</w:t>
      </w:r>
      <w:r w:rsidR="00511FC2" w:rsidRPr="00B72ABF">
        <w:t xml:space="preserve"> of its fee</w:t>
      </w:r>
      <w:r w:rsidR="00615563" w:rsidRPr="00B72ABF">
        <w:t xml:space="preserve">. </w:t>
      </w:r>
      <w:r w:rsidR="00E20D5D" w:rsidRPr="00B72ABF">
        <w:t>It seems nothing further happen</w:t>
      </w:r>
      <w:r w:rsidR="00ED7F58" w:rsidRPr="00B72ABF">
        <w:t>ed</w:t>
      </w:r>
      <w:r w:rsidR="00E20D5D" w:rsidRPr="00B72ABF">
        <w:t xml:space="preserve"> until </w:t>
      </w:r>
      <w:r w:rsidR="00ED7F58" w:rsidRPr="00B72ABF">
        <w:t xml:space="preserve">13 March 2017 when AFD wrote a letter to GPF which </w:t>
      </w:r>
      <w:r w:rsidR="00717D50" w:rsidRPr="00B72ABF">
        <w:t>wa</w:t>
      </w:r>
      <w:r w:rsidR="00ED7F58" w:rsidRPr="00B72ABF">
        <w:t>s received again by M</w:t>
      </w:r>
      <w:r w:rsidR="009D4856" w:rsidRPr="00B72ABF">
        <w:t>uvev</w:t>
      </w:r>
      <w:r w:rsidR="00257A88" w:rsidRPr="00B72ABF">
        <w:t>i, then still the CEO,</w:t>
      </w:r>
      <w:r w:rsidR="00ED7F58" w:rsidRPr="00B72ABF">
        <w:t xml:space="preserve"> which </w:t>
      </w:r>
      <w:r w:rsidR="008C1C7F" w:rsidRPr="00B72ABF">
        <w:t xml:space="preserve">is styled as a </w:t>
      </w:r>
      <w:r w:rsidR="0009615D" w:rsidRPr="00B72ABF">
        <w:t>“L</w:t>
      </w:r>
      <w:r w:rsidR="008C1C7F" w:rsidRPr="00B72ABF">
        <w:t xml:space="preserve">etter of </w:t>
      </w:r>
      <w:r w:rsidR="005053CE" w:rsidRPr="00B72ABF">
        <w:t>I</w:t>
      </w:r>
      <w:r w:rsidR="008C1C7F" w:rsidRPr="00B72ABF">
        <w:t>nterest</w:t>
      </w:r>
      <w:r w:rsidR="0009615D" w:rsidRPr="00B72ABF">
        <w:t>”</w:t>
      </w:r>
      <w:r w:rsidR="008C1C7F" w:rsidRPr="00B72ABF">
        <w:t xml:space="preserve">. </w:t>
      </w:r>
    </w:p>
    <w:p w14:paraId="45C1F5E7" w14:textId="0D41B7F2" w:rsidR="00D330CC" w:rsidRPr="00926076" w:rsidRDefault="00926076" w:rsidP="00926076">
      <w:pPr>
        <w:spacing w:after="360" w:line="480" w:lineRule="auto"/>
        <w:ind w:left="720" w:hanging="720"/>
        <w:jc w:val="both"/>
        <w:rPr>
          <w:b/>
          <w:bCs/>
        </w:rPr>
      </w:pPr>
      <w:r>
        <w:t>[29]</w:t>
      </w:r>
      <w:r>
        <w:tab/>
      </w:r>
      <w:r w:rsidR="0045537E" w:rsidRPr="00B72ABF">
        <w:t xml:space="preserve">Arkein considered that </w:t>
      </w:r>
      <w:r w:rsidR="006871E1" w:rsidRPr="00B72ABF">
        <w:t xml:space="preserve">having procured this </w:t>
      </w:r>
      <w:r w:rsidR="005053CE" w:rsidRPr="00B72ABF">
        <w:t>Letter of Interest it had achiev</w:t>
      </w:r>
      <w:r w:rsidR="004C4972" w:rsidRPr="00B72ABF">
        <w:t>ed milestone 1 of its agreement with the GPF and so was entitled to payment for it</w:t>
      </w:r>
      <w:r w:rsidR="00A2336A" w:rsidRPr="00B72ABF">
        <w:t xml:space="preserve">. It </w:t>
      </w:r>
      <w:r w:rsidR="00EA512C" w:rsidRPr="00B72ABF">
        <w:t xml:space="preserve">invoiced </w:t>
      </w:r>
      <w:r w:rsidR="00FC2926" w:rsidRPr="00B72ABF">
        <w:t xml:space="preserve">the GPF </w:t>
      </w:r>
      <w:r w:rsidR="008A291A" w:rsidRPr="00B72ABF">
        <w:t>for an amount of R 3 591 000,00</w:t>
      </w:r>
      <w:r w:rsidR="00A2336A" w:rsidRPr="00B72ABF">
        <w:t xml:space="preserve"> which the GPF paid</w:t>
      </w:r>
      <w:r w:rsidR="00FF028A" w:rsidRPr="00B72ABF">
        <w:t>.</w:t>
      </w:r>
      <w:r w:rsidR="00C837E1" w:rsidRPr="00B72ABF">
        <w:rPr>
          <w:rStyle w:val="FootnoteReference"/>
        </w:rPr>
        <w:footnoteReference w:id="11"/>
      </w:r>
      <w:r w:rsidR="00C12514" w:rsidRPr="00B72ABF">
        <w:t xml:space="preserve"> </w:t>
      </w:r>
      <w:r w:rsidR="00126D05" w:rsidRPr="00B72ABF">
        <w:lastRenderedPageBreak/>
        <w:t xml:space="preserve">It is this </w:t>
      </w:r>
      <w:r w:rsidR="0054116C" w:rsidRPr="00B72ABF">
        <w:t>amount that</w:t>
      </w:r>
      <w:r w:rsidR="00126D05" w:rsidRPr="00B72ABF">
        <w:t xml:space="preserve"> </w:t>
      </w:r>
      <w:r w:rsidR="005D63F2" w:rsidRPr="00B72ABF">
        <w:t>Mo</w:t>
      </w:r>
      <w:r w:rsidR="00E57CF1" w:rsidRPr="00B72ABF">
        <w:t>l</w:t>
      </w:r>
      <w:r w:rsidR="005D63F2" w:rsidRPr="00B72ABF">
        <w:t xml:space="preserve">ahlehi </w:t>
      </w:r>
      <w:r w:rsidR="008D4F9E" w:rsidRPr="00B72ABF">
        <w:t>J found to have been paid unlawfully and which he ordered to be repaid</w:t>
      </w:r>
      <w:r w:rsidR="004D745B" w:rsidRPr="00B72ABF">
        <w:t xml:space="preserve"> to the GPF.</w:t>
      </w:r>
      <w:r w:rsidR="003114A9" w:rsidRPr="00B72ABF">
        <w:t xml:space="preserve"> </w:t>
      </w:r>
    </w:p>
    <w:p w14:paraId="231405B3" w14:textId="53DE85A4" w:rsidR="00144334" w:rsidRPr="00B72ABF" w:rsidRDefault="002D7AC3" w:rsidP="002D7AC3">
      <w:pPr>
        <w:spacing w:after="360" w:line="480" w:lineRule="auto"/>
        <w:ind w:left="720" w:hanging="720"/>
        <w:jc w:val="both"/>
      </w:pPr>
      <w:r>
        <w:t>[30]</w:t>
      </w:r>
      <w:r>
        <w:tab/>
      </w:r>
      <w:r w:rsidR="001604A8" w:rsidRPr="00B72ABF">
        <w:t xml:space="preserve">At the same time as the tender was being prepared and processed another development had taken place which was closely aligned to </w:t>
      </w:r>
      <w:r w:rsidR="00A63613" w:rsidRPr="00B72ABF">
        <w:t>the tender. The GPF was considering creating a special purpose vehicle</w:t>
      </w:r>
      <w:r w:rsidR="00C14ECD" w:rsidRPr="00B72ABF">
        <w:t xml:space="preserve"> </w:t>
      </w:r>
      <w:r w:rsidR="001B4851" w:rsidRPr="00B72ABF">
        <w:t>(</w:t>
      </w:r>
      <w:r w:rsidR="00C14ECD" w:rsidRPr="00B72ABF">
        <w:t>S</w:t>
      </w:r>
      <w:r w:rsidR="001B4851" w:rsidRPr="00B72ABF">
        <w:t>PV). The purpose of the SPV was</w:t>
      </w:r>
      <w:r w:rsidR="00D8118A" w:rsidRPr="00B72ABF">
        <w:t xml:space="preserve"> so that the GPF could channel funds to it. They sought advice on whether they could do so. The advice from a law firm was that they could</w:t>
      </w:r>
      <w:r w:rsidR="009D5239" w:rsidRPr="00B72ABF">
        <w:t>,</w:t>
      </w:r>
      <w:r w:rsidR="00D8118A" w:rsidRPr="00B72ABF">
        <w:t xml:space="preserve"> provided they got permission from the provincial Treasury</w:t>
      </w:r>
      <w:r w:rsidR="00FA265C" w:rsidRPr="00B72ABF">
        <w:t xml:space="preserve">. In </w:t>
      </w:r>
      <w:r w:rsidR="00E17F60" w:rsidRPr="00B72ABF">
        <w:t>February 2016,</w:t>
      </w:r>
      <w:r w:rsidR="00AB65B2" w:rsidRPr="00B72ABF">
        <w:t xml:space="preserve"> the GPF had written to the Treasury to advise that they intended to set up the SPV. The timing is interesting because this coincides with the time period that the </w:t>
      </w:r>
      <w:r w:rsidR="00351CE4" w:rsidRPr="00B72ABF">
        <w:t xml:space="preserve">impugned </w:t>
      </w:r>
      <w:r w:rsidR="007B161F" w:rsidRPr="00B72ABF">
        <w:t xml:space="preserve">agreement with Arkein had been signed </w:t>
      </w:r>
      <w:r w:rsidR="00B83B21" w:rsidRPr="00B72ABF">
        <w:t>(10</w:t>
      </w:r>
      <w:r w:rsidR="007B161F" w:rsidRPr="00B72ABF">
        <w:t xml:space="preserve"> February 201</w:t>
      </w:r>
      <w:r w:rsidR="00351CE4" w:rsidRPr="00B72ABF">
        <w:t>6).</w:t>
      </w:r>
    </w:p>
    <w:p w14:paraId="30B4B00B" w14:textId="70E579CC" w:rsidR="001A1808" w:rsidRPr="00B72ABF" w:rsidRDefault="002D7AC3" w:rsidP="002D7AC3">
      <w:pPr>
        <w:spacing w:after="360" w:line="480" w:lineRule="auto"/>
        <w:ind w:left="720" w:hanging="720"/>
        <w:jc w:val="both"/>
      </w:pPr>
      <w:r>
        <w:t>[31]</w:t>
      </w:r>
      <w:r>
        <w:tab/>
      </w:r>
      <w:r w:rsidR="0054116C" w:rsidRPr="00B72ABF">
        <w:t xml:space="preserve">On </w:t>
      </w:r>
      <w:r w:rsidR="00E17F60" w:rsidRPr="00B72ABF">
        <w:t>26 April 2017,</w:t>
      </w:r>
      <w:r w:rsidR="0054116C" w:rsidRPr="00B72ABF">
        <w:t xml:space="preserve"> the Gauteng Provincial Treasury wrote</w:t>
      </w:r>
      <w:r w:rsidR="00D242D0" w:rsidRPr="00B72ABF">
        <w:t xml:space="preserve"> back</w:t>
      </w:r>
      <w:r w:rsidR="0054116C" w:rsidRPr="00B72ABF">
        <w:t xml:space="preserve"> to the GPF</w:t>
      </w:r>
      <w:r w:rsidR="00D242D0" w:rsidRPr="00B72ABF">
        <w:t>.</w:t>
      </w:r>
      <w:r w:rsidR="000568B6" w:rsidRPr="00B72ABF">
        <w:t xml:space="preserve"> The letter</w:t>
      </w:r>
      <w:r w:rsidR="00CD21F2" w:rsidRPr="00B72ABF">
        <w:t xml:space="preserve"> written by the Treasury’s </w:t>
      </w:r>
      <w:r w:rsidR="001D763E" w:rsidRPr="00B72ABF">
        <w:t xml:space="preserve">Provincial </w:t>
      </w:r>
      <w:r w:rsidR="005F6434" w:rsidRPr="00B72ABF">
        <w:t>Accounting</w:t>
      </w:r>
      <w:r w:rsidR="001D763E" w:rsidRPr="00B72ABF">
        <w:t xml:space="preserve"> </w:t>
      </w:r>
      <w:r w:rsidR="00351CE4" w:rsidRPr="00B72ABF">
        <w:t>General is</w:t>
      </w:r>
      <w:r w:rsidR="000568B6" w:rsidRPr="00B72ABF">
        <w:t xml:space="preserve"> marked for the attention of </w:t>
      </w:r>
      <w:r w:rsidR="00EA7F56" w:rsidRPr="00B72ABF">
        <w:t>Muvevi</w:t>
      </w:r>
      <w:r w:rsidR="00454548" w:rsidRPr="00B72ABF">
        <w:t xml:space="preserve">. </w:t>
      </w:r>
      <w:r w:rsidR="00D242D0" w:rsidRPr="00B72ABF">
        <w:t xml:space="preserve">It is not clear from the papers why the Treasury took so long to respond. </w:t>
      </w:r>
      <w:r w:rsidR="00EA7F56" w:rsidRPr="00B72ABF">
        <w:t>Nevertheless</w:t>
      </w:r>
      <w:r w:rsidR="005F6434" w:rsidRPr="00B72ABF">
        <w:t>,</w:t>
      </w:r>
      <w:r w:rsidR="00EA7F56" w:rsidRPr="00B72ABF">
        <w:t xml:space="preserve"> t</w:t>
      </w:r>
      <w:r w:rsidR="00D242D0" w:rsidRPr="00B72ABF">
        <w:t xml:space="preserve">he Treasury clearly saw the </w:t>
      </w:r>
      <w:r w:rsidR="00316EB7" w:rsidRPr="00B72ABF">
        <w:t xml:space="preserve">attempt to set up the SPV as a means to bypass the borrowing power restrictions on the GPF. The </w:t>
      </w:r>
      <w:r w:rsidR="001A1808" w:rsidRPr="00B72ABF">
        <w:t>Treasury states</w:t>
      </w:r>
      <w:r w:rsidR="00EA7F56" w:rsidRPr="00B72ABF">
        <w:t xml:space="preserve"> in the letter</w:t>
      </w:r>
      <w:r w:rsidR="001A1808" w:rsidRPr="00B72ABF">
        <w:t>:</w:t>
      </w:r>
    </w:p>
    <w:p w14:paraId="41284728" w14:textId="75E6AEBD" w:rsidR="00585FC7" w:rsidRPr="00B72ABF" w:rsidRDefault="00CB5463" w:rsidP="002D7AC3">
      <w:pPr>
        <w:pStyle w:val="ListParagraph"/>
        <w:spacing w:after="360" w:line="480" w:lineRule="auto"/>
        <w:ind w:left="2160"/>
        <w:jc w:val="both"/>
        <w:rPr>
          <w:i/>
          <w:iCs w:val="0"/>
        </w:rPr>
      </w:pPr>
      <w:r w:rsidRPr="00B72ABF">
        <w:t>“</w:t>
      </w:r>
      <w:r w:rsidRPr="00B72ABF">
        <w:rPr>
          <w:i/>
          <w:iCs w:val="0"/>
        </w:rPr>
        <w:t xml:space="preserve">The GPF's intention of establishing a SPV for the purpose of being a channel for borrowing is deemed ultra vires. The GPF in effect is intending on </w:t>
      </w:r>
      <w:r w:rsidR="001E584F" w:rsidRPr="00B72ABF">
        <w:rPr>
          <w:i/>
          <w:iCs w:val="0"/>
        </w:rPr>
        <w:t>transferring</w:t>
      </w:r>
      <w:r w:rsidRPr="00B72ABF">
        <w:rPr>
          <w:i/>
          <w:iCs w:val="0"/>
        </w:rPr>
        <w:t xml:space="preserve"> more power than it actually has, i.e. borrowing power, to the SPV. In such an instance, the GPF cannot transfer powers that it itself does not possess. To do so, </w:t>
      </w:r>
      <w:r w:rsidRPr="00B72ABF">
        <w:rPr>
          <w:i/>
          <w:iCs w:val="0"/>
        </w:rPr>
        <w:lastRenderedPageBreak/>
        <w:t>would have the effect tha</w:t>
      </w:r>
      <w:r w:rsidR="001E584F" w:rsidRPr="00B72ABF">
        <w:rPr>
          <w:i/>
          <w:iCs w:val="0"/>
        </w:rPr>
        <w:t>t</w:t>
      </w:r>
      <w:r w:rsidRPr="00B72ABF">
        <w:rPr>
          <w:i/>
          <w:iCs w:val="0"/>
        </w:rPr>
        <w:t xml:space="preserve"> the GPF is acting ultra vires and any action beyond the scope of </w:t>
      </w:r>
      <w:r w:rsidR="004B7361" w:rsidRPr="00B72ABF">
        <w:rPr>
          <w:i/>
          <w:iCs w:val="0"/>
        </w:rPr>
        <w:t>t</w:t>
      </w:r>
      <w:r w:rsidRPr="00B72ABF">
        <w:rPr>
          <w:i/>
          <w:iCs w:val="0"/>
        </w:rPr>
        <w:t>he GPF would be deemed unlawful.”</w:t>
      </w:r>
      <w:r w:rsidR="00D46D0E" w:rsidRPr="00B72ABF">
        <w:rPr>
          <w:i/>
          <w:iCs w:val="0"/>
        </w:rPr>
        <w:t xml:space="preserve"> </w:t>
      </w:r>
    </w:p>
    <w:p w14:paraId="2E6A6CA7" w14:textId="244BB8A3" w:rsidR="001D763E" w:rsidRPr="002D7AC3" w:rsidRDefault="002D7AC3" w:rsidP="002D7AC3">
      <w:pPr>
        <w:spacing w:after="360" w:line="480" w:lineRule="auto"/>
        <w:jc w:val="both"/>
        <w:rPr>
          <w:i/>
          <w:iCs w:val="0"/>
        </w:rPr>
      </w:pPr>
      <w:r>
        <w:t>[32]</w:t>
      </w:r>
      <w:r>
        <w:tab/>
      </w:r>
      <w:r w:rsidR="001D763E" w:rsidRPr="00B72ABF">
        <w:t>The letter goes on to caution the GPF in these terms:</w:t>
      </w:r>
    </w:p>
    <w:p w14:paraId="456DF32F" w14:textId="5FBB2BD2" w:rsidR="009E3B48" w:rsidRPr="00B72ABF" w:rsidRDefault="009E3B48" w:rsidP="002D7AC3">
      <w:pPr>
        <w:pStyle w:val="ListParagraph"/>
        <w:spacing w:after="360" w:line="480" w:lineRule="auto"/>
        <w:ind w:left="2160"/>
        <w:jc w:val="both"/>
        <w:rPr>
          <w:i/>
          <w:iCs w:val="0"/>
        </w:rPr>
      </w:pPr>
      <w:r w:rsidRPr="00B72ABF">
        <w:rPr>
          <w:i/>
          <w:iCs w:val="0"/>
        </w:rPr>
        <w:t>“For the reasons stated above, the GPT cautions the GPF in its pursuit in establishing a SPV for the purposes of borrowing.”</w:t>
      </w:r>
    </w:p>
    <w:p w14:paraId="406A420A" w14:textId="60AEBE9B" w:rsidR="003E1C41" w:rsidRPr="002D7AC3" w:rsidRDefault="002D7AC3" w:rsidP="002D7AC3">
      <w:pPr>
        <w:spacing w:after="360" w:line="480" w:lineRule="auto"/>
        <w:ind w:left="720" w:hanging="720"/>
        <w:jc w:val="both"/>
        <w:rPr>
          <w:i/>
          <w:iCs w:val="0"/>
        </w:rPr>
      </w:pPr>
      <w:r>
        <w:t>[33]</w:t>
      </w:r>
      <w:r>
        <w:tab/>
      </w:r>
      <w:r w:rsidR="005E246C" w:rsidRPr="00B72ABF">
        <w:t xml:space="preserve">There is nothing in the record to </w:t>
      </w:r>
      <w:r w:rsidR="000F17F1" w:rsidRPr="00B72ABF">
        <w:t xml:space="preserve">show how Muvevi responded to this </w:t>
      </w:r>
      <w:r w:rsidR="006501A1" w:rsidRPr="00B72ABF">
        <w:t>letter. But</w:t>
      </w:r>
      <w:r w:rsidR="000F17F1" w:rsidRPr="00B72ABF">
        <w:t xml:space="preserve"> </w:t>
      </w:r>
      <w:r w:rsidR="00B83B21" w:rsidRPr="00B72ABF">
        <w:t>disquiet in</w:t>
      </w:r>
      <w:r w:rsidR="006501A1" w:rsidRPr="00B72ABF">
        <w:t xml:space="preserve"> </w:t>
      </w:r>
      <w:r w:rsidR="000F17F1" w:rsidRPr="00B72ABF">
        <w:t xml:space="preserve">the ranks of the GPF </w:t>
      </w:r>
      <w:r w:rsidR="00061803" w:rsidRPr="00B72ABF">
        <w:t xml:space="preserve">eventually </w:t>
      </w:r>
      <w:r w:rsidR="000F17F1" w:rsidRPr="00B72ABF">
        <w:t xml:space="preserve">emerged in May </w:t>
      </w:r>
      <w:r w:rsidR="006E68DB" w:rsidRPr="00B72ABF">
        <w:t>2017, first</w:t>
      </w:r>
      <w:r w:rsidR="000F17F1" w:rsidRPr="00B72ABF">
        <w:t xml:space="preserve"> at an Audit </w:t>
      </w:r>
      <w:r w:rsidR="004A28C5" w:rsidRPr="00B72ABF">
        <w:t>Committee hearing</w:t>
      </w:r>
      <w:r w:rsidR="008F24CA" w:rsidRPr="00B72ABF">
        <w:t>,</w:t>
      </w:r>
      <w:r w:rsidR="004A28C5" w:rsidRPr="00B72ABF">
        <w:t xml:space="preserve"> and later at a meeting of the Board. </w:t>
      </w:r>
      <w:r w:rsidR="009668C1" w:rsidRPr="00B72ABF">
        <w:t xml:space="preserve">Muvevi was asked to account for the payments to Arkein. He </w:t>
      </w:r>
      <w:r w:rsidR="006860AC" w:rsidRPr="00B72ABF">
        <w:t xml:space="preserve">responded that </w:t>
      </w:r>
      <w:r w:rsidR="00410BDF" w:rsidRPr="00B72ABF">
        <w:t xml:space="preserve">the payment was in accordance with a Board approval. The Chairperson of the Board queried </w:t>
      </w:r>
      <w:r w:rsidR="00236601" w:rsidRPr="00B72ABF">
        <w:t xml:space="preserve">why the payment structure allowed Arkein to be paid R 22 million </w:t>
      </w:r>
      <w:r w:rsidR="00677FF0" w:rsidRPr="00B72ABF">
        <w:t xml:space="preserve">without a final </w:t>
      </w:r>
      <w:r w:rsidR="00061803" w:rsidRPr="00B72ABF">
        <w:t>commitment</w:t>
      </w:r>
      <w:r w:rsidR="00677FF0" w:rsidRPr="00B72ABF">
        <w:t xml:space="preserve"> from the financier.</w:t>
      </w:r>
      <w:r w:rsidR="001B7661" w:rsidRPr="00B72ABF">
        <w:t xml:space="preserve"> The Chair of the Fundraising Committee was asked to look into the matter and report back.</w:t>
      </w:r>
    </w:p>
    <w:p w14:paraId="6BFC265F" w14:textId="3E17EF27" w:rsidR="001B7661" w:rsidRPr="002D7AC3" w:rsidRDefault="002D7AC3" w:rsidP="002D7AC3">
      <w:pPr>
        <w:spacing w:after="360" w:line="480" w:lineRule="auto"/>
        <w:ind w:left="720" w:hanging="720"/>
        <w:jc w:val="both"/>
        <w:rPr>
          <w:i/>
          <w:iCs w:val="0"/>
        </w:rPr>
      </w:pPr>
      <w:r>
        <w:t>[34]</w:t>
      </w:r>
      <w:r>
        <w:tab/>
      </w:r>
      <w:r w:rsidR="001B7661" w:rsidRPr="00B72ABF">
        <w:t>This he did</w:t>
      </w:r>
      <w:r w:rsidR="00414A4A" w:rsidRPr="00B72ABF">
        <w:t>,</w:t>
      </w:r>
      <w:r w:rsidR="001B7661" w:rsidRPr="00B72ABF">
        <w:t xml:space="preserve"> a</w:t>
      </w:r>
      <w:r w:rsidR="00547415" w:rsidRPr="00B72ABF">
        <w:t xml:space="preserve">nd at the next board meeting in June </w:t>
      </w:r>
      <w:r w:rsidR="004874C4" w:rsidRPr="00B72ABF">
        <w:t>2017</w:t>
      </w:r>
      <w:r w:rsidR="00414A4A" w:rsidRPr="00B72ABF">
        <w:t>,</w:t>
      </w:r>
      <w:r w:rsidR="004874C4" w:rsidRPr="00B72ABF">
        <w:t xml:space="preserve"> he expressed a number of concerns both about the remuneration of Arkein</w:t>
      </w:r>
      <w:r w:rsidR="001A3BFA" w:rsidRPr="00B72ABF">
        <w:t xml:space="preserve"> and that it appeared that Arkein had been favoured in the tender process.</w:t>
      </w:r>
      <w:r w:rsidR="003F782D" w:rsidRPr="00B72ABF">
        <w:t xml:space="preserve"> He said it appeared that Muvevi had </w:t>
      </w:r>
      <w:r w:rsidR="00830668" w:rsidRPr="00B72ABF">
        <w:t xml:space="preserve">held </w:t>
      </w:r>
      <w:r w:rsidR="00E85286" w:rsidRPr="00B72ABF">
        <w:t>discussions with</w:t>
      </w:r>
      <w:r w:rsidR="003F782D" w:rsidRPr="00B72ABF">
        <w:t xml:space="preserve"> Arkein before </w:t>
      </w:r>
      <w:r w:rsidR="00830668" w:rsidRPr="00B72ABF">
        <w:t xml:space="preserve">its bid had been considered. </w:t>
      </w:r>
      <w:r w:rsidR="003F782D" w:rsidRPr="00B72ABF">
        <w:t xml:space="preserve">He recommended a further </w:t>
      </w:r>
      <w:r w:rsidR="00E85286" w:rsidRPr="00B72ABF">
        <w:t>investigation.</w:t>
      </w:r>
    </w:p>
    <w:p w14:paraId="0E629F5A" w14:textId="37A99D85" w:rsidR="00E85286" w:rsidRPr="002D7AC3" w:rsidRDefault="002D7AC3" w:rsidP="002D7AC3">
      <w:pPr>
        <w:spacing w:after="360" w:line="480" w:lineRule="auto"/>
        <w:ind w:left="720" w:hanging="720"/>
        <w:jc w:val="both"/>
        <w:rPr>
          <w:i/>
          <w:iCs w:val="0"/>
        </w:rPr>
      </w:pPr>
      <w:r>
        <w:t>[35]</w:t>
      </w:r>
      <w:r>
        <w:tab/>
      </w:r>
      <w:r w:rsidR="00E85286" w:rsidRPr="00B72ABF">
        <w:t xml:space="preserve">This led the </w:t>
      </w:r>
      <w:r w:rsidR="00A97046" w:rsidRPr="00B72ABF">
        <w:t>GPF</w:t>
      </w:r>
      <w:r w:rsidR="00E85286" w:rsidRPr="00B72ABF">
        <w:t xml:space="preserve"> to appoint </w:t>
      </w:r>
      <w:r w:rsidR="003332AC" w:rsidRPr="00B72ABF">
        <w:t xml:space="preserve">a forensic auditor to investigate. </w:t>
      </w:r>
      <w:r w:rsidR="00281664" w:rsidRPr="00B72ABF">
        <w:t xml:space="preserve">At the same time the board wrote to Arkein Capital asking for </w:t>
      </w:r>
      <w:r w:rsidR="005748AE" w:rsidRPr="00B72ABF">
        <w:t xml:space="preserve">repayment of the </w:t>
      </w:r>
      <w:r w:rsidR="009B7AE7" w:rsidRPr="00B72ABF">
        <w:t>R</w:t>
      </w:r>
      <w:r w:rsidR="005748AE" w:rsidRPr="00B72ABF">
        <w:t>3</w:t>
      </w:r>
      <w:r w:rsidR="00790B91" w:rsidRPr="00B72ABF">
        <w:t> </w:t>
      </w:r>
      <w:r w:rsidR="005748AE" w:rsidRPr="00B72ABF">
        <w:t>591</w:t>
      </w:r>
      <w:r w:rsidR="00790B91" w:rsidRPr="00B72ABF">
        <w:t xml:space="preserve"> 0</w:t>
      </w:r>
      <w:r w:rsidR="0005091B" w:rsidRPr="00B72ABF">
        <w:t>00,00</w:t>
      </w:r>
      <w:r w:rsidR="00FC14B1" w:rsidRPr="00B72ABF">
        <w:t xml:space="preserve"> within 10 days</w:t>
      </w:r>
      <w:r w:rsidR="00153E05" w:rsidRPr="00B72ABF">
        <w:t>,</w:t>
      </w:r>
      <w:r w:rsidR="00FC14B1" w:rsidRPr="00B72ABF">
        <w:t xml:space="preserve"> </w:t>
      </w:r>
      <w:r w:rsidR="00EC0032" w:rsidRPr="00B72ABF">
        <w:t>together with interest</w:t>
      </w:r>
      <w:r w:rsidR="0054074B" w:rsidRPr="00B72ABF">
        <w:t xml:space="preserve"> calculated from 30 March 20</w:t>
      </w:r>
      <w:r w:rsidR="005435F7" w:rsidRPr="00B72ABF">
        <w:t xml:space="preserve">17 to date of </w:t>
      </w:r>
      <w:r w:rsidR="00716838" w:rsidRPr="00B72ABF">
        <w:t>payment.</w:t>
      </w:r>
      <w:r w:rsidR="0005091B" w:rsidRPr="00B72ABF">
        <w:t xml:space="preserve"> The basis for asking for the repayment at this stage was that the </w:t>
      </w:r>
      <w:r w:rsidR="0005091B" w:rsidRPr="00B72ABF">
        <w:lastRenderedPageBreak/>
        <w:t xml:space="preserve">board did not consider that Milestone 1 had been met </w:t>
      </w:r>
      <w:r w:rsidR="00FC14B1" w:rsidRPr="00B72ABF">
        <w:t>as the term sheet had not been signed</w:t>
      </w:r>
      <w:r w:rsidR="00454548" w:rsidRPr="00B72ABF">
        <w:t xml:space="preserve">. </w:t>
      </w:r>
      <w:r w:rsidR="00A97046" w:rsidRPr="00B72ABF">
        <w:t xml:space="preserve">The payment it said had been made in </w:t>
      </w:r>
      <w:r w:rsidR="00D5033F" w:rsidRPr="00B72ABF">
        <w:t>error</w:t>
      </w:r>
      <w:r w:rsidR="00A97046" w:rsidRPr="00B72ABF">
        <w:t xml:space="preserve">. </w:t>
      </w:r>
      <w:r w:rsidR="005435F7" w:rsidRPr="00B72ABF">
        <w:t>Notably the letter is not signed by Muvevi</w:t>
      </w:r>
      <w:r w:rsidR="00716838" w:rsidRPr="00B72ABF">
        <w:t>,</w:t>
      </w:r>
      <w:r w:rsidR="005435F7" w:rsidRPr="00B72ABF">
        <w:t xml:space="preserve"> but </w:t>
      </w:r>
      <w:r w:rsidR="00716838" w:rsidRPr="00B72ABF">
        <w:t xml:space="preserve">by </w:t>
      </w:r>
      <w:r w:rsidR="003B2949" w:rsidRPr="00B72ABF">
        <w:t xml:space="preserve">Thandi Khuzwayo the Legal and Compliance Executive. </w:t>
      </w:r>
    </w:p>
    <w:p w14:paraId="4377DFE3" w14:textId="045D0B8E" w:rsidR="00AC4777" w:rsidRPr="002D7AC3" w:rsidRDefault="002D7AC3" w:rsidP="002D7AC3">
      <w:pPr>
        <w:spacing w:after="360" w:line="480" w:lineRule="auto"/>
        <w:ind w:left="720" w:hanging="720"/>
        <w:jc w:val="both"/>
        <w:rPr>
          <w:i/>
          <w:iCs w:val="0"/>
        </w:rPr>
      </w:pPr>
      <w:r>
        <w:t>[36]</w:t>
      </w:r>
      <w:r>
        <w:tab/>
      </w:r>
      <w:r w:rsidR="00AC4777" w:rsidRPr="00B72ABF">
        <w:t xml:space="preserve">The firm appointed to conduct the </w:t>
      </w:r>
      <w:r w:rsidR="005C619D" w:rsidRPr="00B72ABF">
        <w:t xml:space="preserve">forensic investigation was Sizwe Ntsaluba Gobodo (SNG). They produced a </w:t>
      </w:r>
      <w:r w:rsidR="00516590" w:rsidRPr="00B72ABF">
        <w:t xml:space="preserve">final </w:t>
      </w:r>
      <w:r w:rsidR="005C619D" w:rsidRPr="00B72ABF">
        <w:t xml:space="preserve">report </w:t>
      </w:r>
      <w:r w:rsidR="00516590" w:rsidRPr="00B72ABF">
        <w:t>in October 2017. That report was annexed to the founding affidavit.</w:t>
      </w:r>
      <w:r w:rsidR="009759B1" w:rsidRPr="00B72ABF">
        <w:t xml:space="preserve"> The report was presented to a meeting of the board </w:t>
      </w:r>
      <w:r w:rsidR="00AF672B" w:rsidRPr="00B72ABF">
        <w:t>which resolved to ad</w:t>
      </w:r>
      <w:r w:rsidR="00C705D4" w:rsidRPr="00B72ABF">
        <w:t>o</w:t>
      </w:r>
      <w:r w:rsidR="00AF672B" w:rsidRPr="00B72ABF">
        <w:t>pt its recommendations</w:t>
      </w:r>
      <w:r w:rsidR="00D6070F" w:rsidRPr="00B72ABF">
        <w:t>.</w:t>
      </w:r>
    </w:p>
    <w:p w14:paraId="29EE968E" w14:textId="170E5562" w:rsidR="00D6070F" w:rsidRPr="002D7AC3" w:rsidRDefault="002D7AC3" w:rsidP="002D7AC3">
      <w:pPr>
        <w:spacing w:after="360" w:line="480" w:lineRule="auto"/>
        <w:ind w:left="720" w:hanging="720"/>
        <w:jc w:val="both"/>
        <w:rPr>
          <w:i/>
          <w:iCs w:val="0"/>
        </w:rPr>
      </w:pPr>
      <w:r>
        <w:t>[37]</w:t>
      </w:r>
      <w:r>
        <w:tab/>
      </w:r>
      <w:r w:rsidR="000F7F64" w:rsidRPr="00B72ABF">
        <w:t>Arkein in the meantime adopted two strategies. One was an attempt to negotiate which did not come to anything and the second was in October</w:t>
      </w:r>
      <w:r w:rsidR="00C705D4" w:rsidRPr="00B72ABF">
        <w:t xml:space="preserve"> </w:t>
      </w:r>
      <w:r w:rsidR="00F302AF" w:rsidRPr="00B72ABF">
        <w:t>2017</w:t>
      </w:r>
      <w:r w:rsidR="004D4153" w:rsidRPr="00B72ABF">
        <w:t>,</w:t>
      </w:r>
      <w:r w:rsidR="000F7F64" w:rsidRPr="00B72ABF">
        <w:t xml:space="preserve"> to claim payment for having reached the second milestone. In terms of the SLA if it reached the second milestone it was entitled to </w:t>
      </w:r>
      <w:r w:rsidR="00544297" w:rsidRPr="00B72ABF">
        <w:t xml:space="preserve">50% of the fee which Arkein stated would amount to R </w:t>
      </w:r>
      <w:r w:rsidR="0071058C" w:rsidRPr="00B72ABF">
        <w:t>8 665</w:t>
      </w:r>
      <w:r w:rsidR="00181B0F" w:rsidRPr="00B72ABF">
        <w:t> </w:t>
      </w:r>
      <w:r w:rsidR="0071058C" w:rsidRPr="00B72ABF">
        <w:t>150.</w:t>
      </w:r>
    </w:p>
    <w:p w14:paraId="19B5394C" w14:textId="0B18687E" w:rsidR="00181B0F" w:rsidRPr="002D7AC3" w:rsidRDefault="002D7AC3" w:rsidP="002D7AC3">
      <w:pPr>
        <w:spacing w:after="360" w:line="480" w:lineRule="auto"/>
        <w:ind w:left="720" w:hanging="720"/>
        <w:jc w:val="both"/>
        <w:rPr>
          <w:i/>
          <w:iCs w:val="0"/>
        </w:rPr>
      </w:pPr>
      <w:r>
        <w:t>[38]</w:t>
      </w:r>
      <w:r>
        <w:tab/>
      </w:r>
      <w:r w:rsidR="00181B0F" w:rsidRPr="00B72ABF">
        <w:t xml:space="preserve">In November </w:t>
      </w:r>
      <w:r w:rsidR="00F302AF" w:rsidRPr="00B72ABF">
        <w:t xml:space="preserve">2017, </w:t>
      </w:r>
      <w:r w:rsidR="00181B0F" w:rsidRPr="00B72ABF">
        <w:t xml:space="preserve">AFD wrote to the board to state </w:t>
      </w:r>
      <w:r w:rsidR="002A10C5" w:rsidRPr="00B72ABF">
        <w:t xml:space="preserve">that its credit committee had approved a concessional loan </w:t>
      </w:r>
      <w:r w:rsidR="004B0F20" w:rsidRPr="00B72ABF">
        <w:t xml:space="preserve">of Euro 30 million to a GPF special purpose vehicle </w:t>
      </w:r>
      <w:r w:rsidR="002A10C5" w:rsidRPr="00B72ABF">
        <w:t xml:space="preserve"> </w:t>
      </w:r>
    </w:p>
    <w:p w14:paraId="7B88BEB8" w14:textId="5EB3CD95" w:rsidR="0071058C" w:rsidRPr="00B72ABF" w:rsidRDefault="002D7AC3" w:rsidP="002D7AC3">
      <w:pPr>
        <w:spacing w:after="360" w:line="480" w:lineRule="auto"/>
        <w:ind w:left="720" w:hanging="720"/>
        <w:jc w:val="both"/>
      </w:pPr>
      <w:r>
        <w:t>[39]</w:t>
      </w:r>
      <w:r>
        <w:tab/>
      </w:r>
      <w:r w:rsidR="00BC1FF5" w:rsidRPr="00B72ABF">
        <w:t>New trustees were appointed to the GPF</w:t>
      </w:r>
      <w:r w:rsidR="00454548" w:rsidRPr="00B72ABF">
        <w:t xml:space="preserve">. </w:t>
      </w:r>
      <w:r w:rsidR="00BC1FF5" w:rsidRPr="00B72ABF">
        <w:t xml:space="preserve">In January </w:t>
      </w:r>
      <w:r w:rsidR="00B77813" w:rsidRPr="00B72ABF">
        <w:t xml:space="preserve">2018, </w:t>
      </w:r>
      <w:r w:rsidR="00BC1FF5" w:rsidRPr="00B72ABF">
        <w:t xml:space="preserve">the GPF’s present attorneys wrote to Arkein </w:t>
      </w:r>
      <w:r w:rsidR="000219AE" w:rsidRPr="00B72ABF">
        <w:t xml:space="preserve">to advise it </w:t>
      </w:r>
      <w:r w:rsidR="00C40851" w:rsidRPr="00B72ABF">
        <w:t xml:space="preserve">that the new trustees had reviewed the </w:t>
      </w:r>
      <w:r w:rsidR="00574551" w:rsidRPr="00B72ABF">
        <w:t>agreements and</w:t>
      </w:r>
      <w:r w:rsidR="00C40851" w:rsidRPr="00B72ABF">
        <w:t xml:space="preserve"> </w:t>
      </w:r>
      <w:r w:rsidR="00EA64A9" w:rsidRPr="00B72ABF">
        <w:t>concluded</w:t>
      </w:r>
      <w:r w:rsidR="00B94A6B" w:rsidRPr="00B72ABF">
        <w:t xml:space="preserve"> that they were void </w:t>
      </w:r>
      <w:r w:rsidR="00B94A6B" w:rsidRPr="002D7AC3">
        <w:rPr>
          <w:i/>
          <w:iCs w:val="0"/>
        </w:rPr>
        <w:t xml:space="preserve">ab </w:t>
      </w:r>
      <w:r w:rsidR="00EA64A9" w:rsidRPr="002D7AC3">
        <w:rPr>
          <w:i/>
          <w:iCs w:val="0"/>
        </w:rPr>
        <w:t>initio,</w:t>
      </w:r>
      <w:r w:rsidR="00B94A6B" w:rsidRPr="002D7AC3">
        <w:rPr>
          <w:i/>
          <w:iCs w:val="0"/>
        </w:rPr>
        <w:t xml:space="preserve"> </w:t>
      </w:r>
      <w:r w:rsidR="00B94A6B" w:rsidRPr="00B72ABF">
        <w:t>and they did not consider themselves bound by them</w:t>
      </w:r>
      <w:r w:rsidR="00EA64A9" w:rsidRPr="00B72ABF">
        <w:t>. Furthermore, they</w:t>
      </w:r>
      <w:r w:rsidR="00912524" w:rsidRPr="00B72ABF">
        <w:t xml:space="preserve"> demanded repayment of the milestone 1 payment and indicated they would refuse to pay the fee for milestone 2.</w:t>
      </w:r>
    </w:p>
    <w:p w14:paraId="386E6C2D" w14:textId="050C7776" w:rsidR="00230804" w:rsidRPr="00B72ABF" w:rsidRDefault="002D7AC3" w:rsidP="002D7AC3">
      <w:pPr>
        <w:spacing w:after="360" w:line="480" w:lineRule="auto"/>
        <w:ind w:left="720" w:hanging="720"/>
        <w:jc w:val="both"/>
      </w:pPr>
      <w:r>
        <w:lastRenderedPageBreak/>
        <w:t>[40]</w:t>
      </w:r>
      <w:r>
        <w:tab/>
      </w:r>
      <w:r w:rsidR="00230804" w:rsidRPr="00B72ABF">
        <w:t xml:space="preserve">Arkein wrote back denying the process was unfair and stating that the GPF was estopped from </w:t>
      </w:r>
      <w:r w:rsidR="00A74AC6" w:rsidRPr="00B72ABF">
        <w:t>denying the contract. In March 2018 Arkein sent a further invoice wanting payment</w:t>
      </w:r>
      <w:r w:rsidR="0008291A" w:rsidRPr="00B72ABF">
        <w:t xml:space="preserve"> of R 4</w:t>
      </w:r>
      <w:r w:rsidR="005E492B" w:rsidRPr="00B72ABF">
        <w:t xml:space="preserve"> </w:t>
      </w:r>
      <w:r w:rsidR="0008291A" w:rsidRPr="00B72ABF">
        <w:t>335</w:t>
      </w:r>
      <w:r w:rsidR="005E492B" w:rsidRPr="00B72ABF">
        <w:t xml:space="preserve"> 080 .85</w:t>
      </w:r>
      <w:r w:rsidR="00A74AC6" w:rsidRPr="00B72ABF">
        <w:t xml:space="preserve"> for </w:t>
      </w:r>
      <w:r w:rsidR="00E01B60" w:rsidRPr="00B72ABF">
        <w:t xml:space="preserve">having allegedly met </w:t>
      </w:r>
      <w:r w:rsidR="00A74AC6" w:rsidRPr="00B72ABF">
        <w:t>Milestone 3.</w:t>
      </w:r>
      <w:r w:rsidR="00123C9E" w:rsidRPr="00B72ABF">
        <w:t xml:space="preserve"> </w:t>
      </w:r>
      <w:r w:rsidR="00316354" w:rsidRPr="00B72ABF">
        <w:t>(</w:t>
      </w:r>
      <w:r w:rsidR="005F4F9A" w:rsidRPr="00B72ABF">
        <w:t>At the time t</w:t>
      </w:r>
      <w:r w:rsidR="00123C9E" w:rsidRPr="00B72ABF">
        <w:t xml:space="preserve">here was </w:t>
      </w:r>
      <w:r w:rsidR="00877BAD" w:rsidRPr="00B72ABF">
        <w:t xml:space="preserve">a possibility that the matter might </w:t>
      </w:r>
      <w:r w:rsidR="00C1721A" w:rsidRPr="00B72ABF">
        <w:t xml:space="preserve">be resolved by </w:t>
      </w:r>
      <w:r w:rsidR="004B655C" w:rsidRPr="00B72ABF">
        <w:t>arbitration,</w:t>
      </w:r>
      <w:r w:rsidR="00877BAD" w:rsidRPr="00B72ABF">
        <w:t xml:space="preserve"> </w:t>
      </w:r>
      <w:r w:rsidR="00C1721A" w:rsidRPr="00B72ABF">
        <w:t xml:space="preserve">but there was a dispute about this between the parties and on </w:t>
      </w:r>
      <w:r w:rsidR="0009041B" w:rsidRPr="00B72ABF">
        <w:t>14 December 2018 the arbitrator</w:t>
      </w:r>
      <w:r w:rsidR="002A2700" w:rsidRPr="00B72ABF">
        <w:t>,</w:t>
      </w:r>
      <w:r w:rsidR="0009041B" w:rsidRPr="00B72ABF">
        <w:t xml:space="preserve"> Mpati J</w:t>
      </w:r>
      <w:r w:rsidR="002A2700" w:rsidRPr="00B72ABF">
        <w:t>,</w:t>
      </w:r>
      <w:r w:rsidR="0009041B" w:rsidRPr="00B72ABF">
        <w:t xml:space="preserve"> upheld a special plea by the GPF that the arbitration be stayed.</w:t>
      </w:r>
      <w:r w:rsidR="00316354" w:rsidRPr="00B72ABF">
        <w:t>)</w:t>
      </w:r>
      <w:r w:rsidR="0009041B" w:rsidRPr="00B72ABF">
        <w:t xml:space="preserve"> </w:t>
      </w:r>
    </w:p>
    <w:p w14:paraId="5C413E0F" w14:textId="206F1AC9" w:rsidR="00877BAD" w:rsidRPr="00B72ABF" w:rsidRDefault="002D7AC3" w:rsidP="002D7AC3">
      <w:pPr>
        <w:spacing w:after="360" w:line="480" w:lineRule="auto"/>
        <w:ind w:left="720" w:hanging="720"/>
        <w:jc w:val="both"/>
      </w:pPr>
      <w:r>
        <w:t>[41]</w:t>
      </w:r>
      <w:r>
        <w:tab/>
      </w:r>
      <w:r w:rsidR="00877BAD" w:rsidRPr="00B72ABF">
        <w:t xml:space="preserve">The GPF brought the present application on </w:t>
      </w:r>
      <w:r w:rsidR="002023A6" w:rsidRPr="00B72ABF">
        <w:t xml:space="preserve">28 August 2018. </w:t>
      </w:r>
      <w:r w:rsidR="00EE71AF" w:rsidRPr="00B72ABF">
        <w:t>Arke</w:t>
      </w:r>
      <w:r w:rsidR="00E5048F" w:rsidRPr="00B72ABF">
        <w:t>i</w:t>
      </w:r>
      <w:r w:rsidR="00EE71AF" w:rsidRPr="00B72ABF">
        <w:t>n opposed the application and brought a counter application in which it</w:t>
      </w:r>
      <w:r w:rsidR="00F3510B" w:rsidRPr="00B72ABF">
        <w:t xml:space="preserve">s </w:t>
      </w:r>
      <w:r w:rsidR="002B0556" w:rsidRPr="00B72ABF">
        <w:t>main claim</w:t>
      </w:r>
      <w:r w:rsidR="00F3510B" w:rsidRPr="00B72ABF">
        <w:t xml:space="preserve"> was </w:t>
      </w:r>
      <w:r w:rsidR="00B83B21" w:rsidRPr="00B72ABF">
        <w:t>for payment</w:t>
      </w:r>
      <w:r w:rsidR="00763C0F" w:rsidRPr="00B72ABF">
        <w:t xml:space="preserve"> for milestone </w:t>
      </w:r>
      <w:r w:rsidR="00316354" w:rsidRPr="00B72ABF">
        <w:t>2</w:t>
      </w:r>
      <w:r w:rsidR="004D6525" w:rsidRPr="00B72ABF">
        <w:t>,</w:t>
      </w:r>
      <w:r w:rsidR="00763C0F" w:rsidRPr="00B72ABF">
        <w:t xml:space="preserve"> </w:t>
      </w:r>
      <w:r w:rsidR="00F3653E" w:rsidRPr="00B72ABF">
        <w:t>i.e.</w:t>
      </w:r>
      <w:r w:rsidR="00763C0F" w:rsidRPr="00B72ABF">
        <w:t xml:space="preserve"> R 8 665</w:t>
      </w:r>
      <w:r w:rsidR="004D6525" w:rsidRPr="00B72ABF">
        <w:t> </w:t>
      </w:r>
      <w:r w:rsidR="006E68DB" w:rsidRPr="00B72ABF">
        <w:t>150.00 plus</w:t>
      </w:r>
      <w:r w:rsidR="00D864C5" w:rsidRPr="00B72ABF">
        <w:t xml:space="preserve"> interest. </w:t>
      </w:r>
      <w:r w:rsidR="00E17FB0" w:rsidRPr="00B72ABF">
        <w:rPr>
          <w:rStyle w:val="FootnoteReference"/>
        </w:rPr>
        <w:footnoteReference w:id="12"/>
      </w:r>
    </w:p>
    <w:p w14:paraId="26E04966" w14:textId="0E1C5B92" w:rsidR="00A81AED" w:rsidRPr="00B72ABF" w:rsidRDefault="003D3DBF" w:rsidP="00B72ABF">
      <w:pPr>
        <w:pStyle w:val="ListParagraph"/>
        <w:spacing w:after="360" w:line="480" w:lineRule="auto"/>
        <w:jc w:val="both"/>
        <w:rPr>
          <w:b/>
          <w:bCs/>
        </w:rPr>
      </w:pPr>
      <w:r w:rsidRPr="00B72ABF">
        <w:rPr>
          <w:b/>
          <w:bCs/>
        </w:rPr>
        <w:t xml:space="preserve">Decision of the court a quo </w:t>
      </w:r>
    </w:p>
    <w:p w14:paraId="194AF235" w14:textId="50540CA8" w:rsidR="00B7719F" w:rsidRPr="002D7AC3" w:rsidRDefault="002D7AC3" w:rsidP="002D7AC3">
      <w:pPr>
        <w:spacing w:after="360" w:line="480" w:lineRule="auto"/>
        <w:ind w:left="720" w:hanging="720"/>
        <w:jc w:val="both"/>
        <w:rPr>
          <w:b/>
          <w:bCs/>
        </w:rPr>
      </w:pPr>
      <w:r>
        <w:t>[42]</w:t>
      </w:r>
      <w:r>
        <w:tab/>
      </w:r>
      <w:r w:rsidR="005D7D24" w:rsidRPr="00B72ABF">
        <w:t>The court a quo had to deal with two preliminary issues. First</w:t>
      </w:r>
      <w:r w:rsidR="003137DC" w:rsidRPr="00B72ABF">
        <w:t xml:space="preserve"> whether the late filing of the review should be condoned. </w:t>
      </w:r>
      <w:r w:rsidR="00BF62A4" w:rsidRPr="00B72ABF">
        <w:t>M</w:t>
      </w:r>
      <w:r w:rsidR="004146B8" w:rsidRPr="00B72ABF">
        <w:t>olahlehi</w:t>
      </w:r>
      <w:r w:rsidR="00BF62A4" w:rsidRPr="00B72ABF">
        <w:t xml:space="preserve"> J found that although the explanation for why the review was brought late was weak</w:t>
      </w:r>
      <w:r w:rsidR="00DC7EA4" w:rsidRPr="00B72ABF">
        <w:t>,</w:t>
      </w:r>
      <w:r w:rsidR="00BF62A4" w:rsidRPr="00B72ABF">
        <w:t xml:space="preserve"> the prospects of success were strong and hence condoned the late filing. </w:t>
      </w:r>
      <w:r w:rsidR="00FC63D5" w:rsidRPr="00B72ABF">
        <w:t>As discussed earlier, t</w:t>
      </w:r>
      <w:r w:rsidR="00BF62A4" w:rsidRPr="00B72ABF">
        <w:t>h</w:t>
      </w:r>
      <w:r w:rsidR="00DC7EA4" w:rsidRPr="00B72ABF">
        <w:t xml:space="preserve">e condonation </w:t>
      </w:r>
      <w:r w:rsidR="00BF62A4" w:rsidRPr="00B72ABF">
        <w:t>issue</w:t>
      </w:r>
      <w:r w:rsidR="00BF0D15" w:rsidRPr="00B72ABF">
        <w:t>,</w:t>
      </w:r>
      <w:r w:rsidR="00BF62A4" w:rsidRPr="00B72ABF">
        <w:t xml:space="preserve"> </w:t>
      </w:r>
      <w:r w:rsidR="00C30537" w:rsidRPr="00B72ABF">
        <w:t xml:space="preserve">despite being </w:t>
      </w:r>
      <w:r w:rsidR="00B808DC" w:rsidRPr="00B72ABF">
        <w:t xml:space="preserve">a crucial issue for </w:t>
      </w:r>
      <w:r w:rsidR="00E5048F" w:rsidRPr="00B72ABF">
        <w:t>Arkein</w:t>
      </w:r>
      <w:r w:rsidR="00BF0D15" w:rsidRPr="00B72ABF">
        <w:t xml:space="preserve"> in its</w:t>
      </w:r>
      <w:r w:rsidR="00C30537" w:rsidRPr="00B72ABF">
        <w:t xml:space="preserve"> </w:t>
      </w:r>
      <w:r w:rsidR="00D766D4" w:rsidRPr="00B72ABF">
        <w:t>Notice of A</w:t>
      </w:r>
      <w:r w:rsidR="00B83B21" w:rsidRPr="00B72ABF">
        <w:t>ppeal, was</w:t>
      </w:r>
      <w:r w:rsidR="00BF62A4" w:rsidRPr="00B72ABF">
        <w:t xml:space="preserve"> not persisted </w:t>
      </w:r>
      <w:r w:rsidR="00D766D4" w:rsidRPr="00B72ABF">
        <w:t xml:space="preserve">with </w:t>
      </w:r>
      <w:r w:rsidR="00BF62A4" w:rsidRPr="00B72ABF">
        <w:t>in oral argument before us. The second issue was the argument by Arkein that the GPF</w:t>
      </w:r>
      <w:r w:rsidR="00D727CD" w:rsidRPr="00B72ABF">
        <w:t>’s</w:t>
      </w:r>
      <w:r w:rsidR="00BF62A4" w:rsidRPr="00B72ABF">
        <w:t xml:space="preserve"> reliance on </w:t>
      </w:r>
      <w:r w:rsidR="00DF4978" w:rsidRPr="00B72ABF">
        <w:t xml:space="preserve">the two </w:t>
      </w:r>
      <w:r w:rsidR="00CE05E5" w:rsidRPr="00B72ABF">
        <w:t>auditors’</w:t>
      </w:r>
      <w:r w:rsidR="00D766D4" w:rsidRPr="00B72ABF">
        <w:t xml:space="preserve"> </w:t>
      </w:r>
      <w:r w:rsidR="00DF4978" w:rsidRPr="00B72ABF">
        <w:t>reports</w:t>
      </w:r>
      <w:r w:rsidR="00D766D4" w:rsidRPr="00B72ABF">
        <w:t xml:space="preserve"> </w:t>
      </w:r>
      <w:r w:rsidR="00DB4822" w:rsidRPr="00B72ABF">
        <w:t>(that</w:t>
      </w:r>
      <w:r w:rsidR="00D766D4" w:rsidRPr="00B72ABF">
        <w:t xml:space="preserve"> of </w:t>
      </w:r>
      <w:r w:rsidR="000B0FA8" w:rsidRPr="00B72ABF">
        <w:t>Rakoma</w:t>
      </w:r>
      <w:r w:rsidR="00D766D4" w:rsidRPr="00B72ABF">
        <w:t xml:space="preserve"> and </w:t>
      </w:r>
      <w:r w:rsidR="00CE05E5" w:rsidRPr="00B72ABF">
        <w:t>SNG</w:t>
      </w:r>
      <w:r w:rsidR="00FA70D6" w:rsidRPr="00B72ABF">
        <w:t>,</w:t>
      </w:r>
      <w:r w:rsidR="00CE05E5" w:rsidRPr="00B72ABF">
        <w:t xml:space="preserve"> constituted</w:t>
      </w:r>
      <w:r w:rsidR="00DF4978" w:rsidRPr="00B72ABF">
        <w:t xml:space="preserve"> hearsay evidence </w:t>
      </w:r>
      <w:r w:rsidR="004A445B" w:rsidRPr="00B72ABF">
        <w:t>and hence the court erred in exe</w:t>
      </w:r>
      <w:r w:rsidR="00D727CD" w:rsidRPr="00B72ABF">
        <w:t>r</w:t>
      </w:r>
      <w:r w:rsidR="004A445B" w:rsidRPr="00B72ABF">
        <w:t xml:space="preserve">cising a discretion to admit the reports in terms of section 3 of the </w:t>
      </w:r>
      <w:r w:rsidR="00F95139" w:rsidRPr="00B72ABF">
        <w:t>Law of Evidence Amendment Act</w:t>
      </w:r>
      <w:r w:rsidR="00AA5712" w:rsidRPr="00B72ABF">
        <w:t>,</w:t>
      </w:r>
      <w:r w:rsidR="00F95139" w:rsidRPr="00B72ABF">
        <w:t xml:space="preserve"> </w:t>
      </w:r>
      <w:r w:rsidR="00AA5712" w:rsidRPr="00B72ABF">
        <w:t>45 of 1988</w:t>
      </w:r>
      <w:r w:rsidR="00C6528D" w:rsidRPr="00B72ABF">
        <w:t xml:space="preserve">. </w:t>
      </w:r>
      <w:r w:rsidR="00B83B21" w:rsidRPr="00B72ABF">
        <w:t>Again,</w:t>
      </w:r>
      <w:r w:rsidR="007857C5" w:rsidRPr="00B72ABF">
        <w:t xml:space="preserve"> before us this issue was</w:t>
      </w:r>
      <w:r w:rsidR="00765F28" w:rsidRPr="00B72ABF">
        <w:t xml:space="preserve"> </w:t>
      </w:r>
      <w:r w:rsidR="00D727CD" w:rsidRPr="00B72ABF">
        <w:lastRenderedPageBreak/>
        <w:t>not persisted</w:t>
      </w:r>
      <w:r w:rsidR="007857C5" w:rsidRPr="00B72ABF">
        <w:t xml:space="preserve"> with as Arkein sought to rely on excerpts from the reports to support its own contentions.</w:t>
      </w:r>
      <w:r w:rsidR="005D7D24" w:rsidRPr="00B72ABF">
        <w:t xml:space="preserve"> </w:t>
      </w:r>
    </w:p>
    <w:p w14:paraId="10488BB8" w14:textId="690B0B19" w:rsidR="009A45B2" w:rsidRPr="002D7AC3" w:rsidRDefault="002D7AC3" w:rsidP="002D7AC3">
      <w:pPr>
        <w:spacing w:after="360" w:line="480" w:lineRule="auto"/>
        <w:ind w:left="720" w:hanging="720"/>
        <w:jc w:val="both"/>
        <w:rPr>
          <w:b/>
          <w:bCs/>
        </w:rPr>
      </w:pPr>
      <w:r>
        <w:t>[43]</w:t>
      </w:r>
      <w:r>
        <w:tab/>
      </w:r>
      <w:r w:rsidR="00C6528D" w:rsidRPr="00B72ABF">
        <w:t>Coming to the merit</w:t>
      </w:r>
      <w:r w:rsidR="00791C2B" w:rsidRPr="00B72ABF">
        <w:t>s t</w:t>
      </w:r>
      <w:r w:rsidR="00B81458" w:rsidRPr="00B72ABF">
        <w:t xml:space="preserve">he court a quo </w:t>
      </w:r>
      <w:r w:rsidR="00094D35" w:rsidRPr="00B72ABF">
        <w:t xml:space="preserve">had </w:t>
      </w:r>
      <w:r w:rsidR="00B81458" w:rsidRPr="00B72ABF">
        <w:t xml:space="preserve">identified </w:t>
      </w:r>
      <w:r w:rsidR="00113DC4" w:rsidRPr="00B72ABF">
        <w:t>six grounds of review raised by the GPF. They are:</w:t>
      </w:r>
    </w:p>
    <w:p w14:paraId="3E42D2FB" w14:textId="77777777" w:rsidR="00C908F7" w:rsidRPr="00B72ABF" w:rsidRDefault="00C908F7" w:rsidP="00B72ABF">
      <w:pPr>
        <w:pStyle w:val="ListParagraph"/>
        <w:spacing w:after="360" w:line="480" w:lineRule="auto"/>
        <w:jc w:val="both"/>
        <w:rPr>
          <w:i/>
          <w:iCs w:val="0"/>
        </w:rPr>
      </w:pPr>
      <w:r w:rsidRPr="00B72ABF">
        <w:rPr>
          <w:i/>
          <w:iCs w:val="0"/>
        </w:rPr>
        <w:t>(</w:t>
      </w:r>
      <w:r w:rsidR="00D274AA" w:rsidRPr="00B72ABF">
        <w:rPr>
          <w:i/>
          <w:iCs w:val="0"/>
        </w:rPr>
        <w:t>a) The decision is ultra vires the powers as provided for in the PFMA because the GPF did not have the power to borrow from other entities such as the AFD;</w:t>
      </w:r>
    </w:p>
    <w:p w14:paraId="6B169AD0" w14:textId="77777777" w:rsidR="00CB48F0" w:rsidRPr="00B72ABF" w:rsidRDefault="00D274AA" w:rsidP="00B72ABF">
      <w:pPr>
        <w:pStyle w:val="ListParagraph"/>
        <w:spacing w:after="360" w:line="480" w:lineRule="auto"/>
        <w:jc w:val="both"/>
        <w:rPr>
          <w:i/>
          <w:iCs w:val="0"/>
        </w:rPr>
      </w:pPr>
      <w:r w:rsidRPr="00B72ABF">
        <w:rPr>
          <w:i/>
          <w:iCs w:val="0"/>
        </w:rPr>
        <w:t xml:space="preserve"> (b) The GPF required approval to incorporate an entity to facilitate the </w:t>
      </w:r>
    </w:p>
    <w:p w14:paraId="5E23A525" w14:textId="62FEFC01" w:rsidR="00C908F7" w:rsidRPr="00B72ABF" w:rsidRDefault="00D274AA" w:rsidP="00B72ABF">
      <w:pPr>
        <w:pStyle w:val="ListParagraph"/>
        <w:spacing w:after="360" w:line="480" w:lineRule="auto"/>
        <w:jc w:val="both"/>
        <w:rPr>
          <w:i/>
          <w:iCs w:val="0"/>
        </w:rPr>
      </w:pPr>
      <w:r w:rsidRPr="00B72ABF">
        <w:rPr>
          <w:i/>
          <w:iCs w:val="0"/>
        </w:rPr>
        <w:t xml:space="preserve">borrowing of funds; </w:t>
      </w:r>
    </w:p>
    <w:p w14:paraId="0BBF7CE5" w14:textId="77777777" w:rsidR="00A844ED" w:rsidRPr="00B72ABF" w:rsidRDefault="00D274AA" w:rsidP="00B72ABF">
      <w:pPr>
        <w:pStyle w:val="ListParagraph"/>
        <w:spacing w:after="360" w:line="480" w:lineRule="auto"/>
        <w:jc w:val="both"/>
        <w:rPr>
          <w:i/>
          <w:iCs w:val="0"/>
        </w:rPr>
      </w:pPr>
      <w:r w:rsidRPr="00B72ABF">
        <w:rPr>
          <w:i/>
          <w:iCs w:val="0"/>
        </w:rPr>
        <w:t>(c) The provisions of the National Treasury Supply Chain Management Accounting Officers/Autho</w:t>
      </w:r>
      <w:r w:rsidR="00A844ED" w:rsidRPr="00B72ABF">
        <w:rPr>
          <w:i/>
          <w:iCs w:val="0"/>
        </w:rPr>
        <w:t>r</w:t>
      </w:r>
      <w:r w:rsidRPr="00B72ABF">
        <w:rPr>
          <w:i/>
          <w:iCs w:val="0"/>
        </w:rPr>
        <w:t>ities (of February 2004) were contravened in that the tender was made in respect of "capital raising incentive" when that was not budgeted;</w:t>
      </w:r>
    </w:p>
    <w:p w14:paraId="6AE73DE7" w14:textId="77777777" w:rsidR="0007427D" w:rsidRPr="00B72ABF" w:rsidRDefault="00D274AA" w:rsidP="00B72ABF">
      <w:pPr>
        <w:pStyle w:val="ListParagraph"/>
        <w:spacing w:after="360" w:line="480" w:lineRule="auto"/>
        <w:jc w:val="both"/>
        <w:rPr>
          <w:i/>
          <w:iCs w:val="0"/>
        </w:rPr>
      </w:pPr>
      <w:r w:rsidRPr="00B72ABF">
        <w:rPr>
          <w:i/>
          <w:iCs w:val="0"/>
        </w:rPr>
        <w:t xml:space="preserve"> (d) The National Treasury Regulation (paragraph </w:t>
      </w:r>
      <w:r w:rsidR="0007427D" w:rsidRPr="00B72ABF">
        <w:rPr>
          <w:i/>
          <w:iCs w:val="0"/>
        </w:rPr>
        <w:t>1</w:t>
      </w:r>
      <w:r w:rsidRPr="00B72ABF">
        <w:rPr>
          <w:i/>
          <w:iCs w:val="0"/>
        </w:rPr>
        <w:t>6 A6 .2 (b) of March 2004) was contravened in that there was no bid specification committee that prepared the bid;</w:t>
      </w:r>
    </w:p>
    <w:p w14:paraId="08E7099D" w14:textId="77777777" w:rsidR="008727D8" w:rsidRPr="00B72ABF" w:rsidRDefault="00D274AA" w:rsidP="00B72ABF">
      <w:pPr>
        <w:pStyle w:val="ListParagraph"/>
        <w:spacing w:after="360" w:line="480" w:lineRule="auto"/>
        <w:jc w:val="both"/>
        <w:rPr>
          <w:i/>
          <w:iCs w:val="0"/>
        </w:rPr>
      </w:pPr>
      <w:r w:rsidRPr="00B72ABF">
        <w:rPr>
          <w:i/>
          <w:iCs w:val="0"/>
        </w:rPr>
        <w:t xml:space="preserve"> (e) The GPF Supply Chain Management was contravened in that the evaluation criteria did not specify what the criteria/statistics were for the evaluator to assess the scores that the bidder should get for each respective criteria; and </w:t>
      </w:r>
    </w:p>
    <w:p w14:paraId="2A51C149" w14:textId="36E1A0EA" w:rsidR="004F2E0C" w:rsidRPr="00B72ABF" w:rsidRDefault="00D274AA" w:rsidP="00B72ABF">
      <w:pPr>
        <w:pStyle w:val="ListParagraph"/>
        <w:spacing w:after="360" w:line="480" w:lineRule="auto"/>
        <w:jc w:val="both"/>
        <w:rPr>
          <w:b/>
          <w:bCs/>
        </w:rPr>
      </w:pPr>
      <w:r w:rsidRPr="00B72ABF">
        <w:rPr>
          <w:i/>
          <w:iCs w:val="0"/>
        </w:rPr>
        <w:t>(f) The minutes and recording of the Bid Committee and Adjudication Committee had gone missing and thus there was lack of transparency</w:t>
      </w:r>
      <w:r w:rsidRPr="00B72ABF">
        <w:rPr>
          <w:b/>
          <w:bCs/>
        </w:rPr>
        <w:t>.</w:t>
      </w:r>
    </w:p>
    <w:p w14:paraId="183B42EF" w14:textId="322C05F4" w:rsidR="00662368" w:rsidRPr="002D7AC3" w:rsidRDefault="002D7AC3" w:rsidP="002D7AC3">
      <w:pPr>
        <w:spacing w:after="360" w:line="480" w:lineRule="auto"/>
        <w:ind w:left="720" w:hanging="720"/>
        <w:jc w:val="both"/>
        <w:rPr>
          <w:b/>
          <w:bCs/>
        </w:rPr>
      </w:pPr>
      <w:r>
        <w:t>[44]</w:t>
      </w:r>
      <w:r>
        <w:tab/>
      </w:r>
      <w:r w:rsidR="00304689" w:rsidRPr="00B72ABF">
        <w:t xml:space="preserve">The court a quo </w:t>
      </w:r>
      <w:r w:rsidR="003378A7" w:rsidRPr="00B72ABF">
        <w:t xml:space="preserve">upheld all the grounds of review. Finding that the GPF had </w:t>
      </w:r>
      <w:r w:rsidR="000C7221" w:rsidRPr="00B72ABF">
        <w:t>failed to comply with both the PFMA and its own policy</w:t>
      </w:r>
      <w:r w:rsidR="003E3B0F" w:rsidRPr="00B72ABF">
        <w:t xml:space="preserve">. The court went on to </w:t>
      </w:r>
      <w:r w:rsidR="003E3B0F" w:rsidRPr="00B72ABF">
        <w:lastRenderedPageBreak/>
        <w:t xml:space="preserve">find </w:t>
      </w:r>
      <w:r w:rsidR="00D56FD8" w:rsidRPr="00B72ABF">
        <w:t>that</w:t>
      </w:r>
      <w:r w:rsidR="006D78F8" w:rsidRPr="00B72ABF">
        <w:t xml:space="preserve"> based on the reports of the auditors</w:t>
      </w:r>
      <w:r w:rsidR="003E3B0F" w:rsidRPr="00B72ABF">
        <w:t>,</w:t>
      </w:r>
      <w:r w:rsidR="006D78F8" w:rsidRPr="00B72ABF">
        <w:t xml:space="preserve"> the tender process had been a sham. But Molahle</w:t>
      </w:r>
      <w:r w:rsidR="00E03DA0" w:rsidRPr="00B72ABF">
        <w:t xml:space="preserve">hi J also found </w:t>
      </w:r>
      <w:r w:rsidR="00DD73D2" w:rsidRPr="00B72ABF">
        <w:t xml:space="preserve">that </w:t>
      </w:r>
      <w:r w:rsidR="00F26322" w:rsidRPr="00B72ABF">
        <w:t xml:space="preserve">the GPF could not make </w:t>
      </w:r>
      <w:r w:rsidR="005E471B" w:rsidRPr="00B72ABF">
        <w:t>payment of A</w:t>
      </w:r>
      <w:r w:rsidR="00397A60" w:rsidRPr="00B72ABF">
        <w:t>r</w:t>
      </w:r>
      <w:r w:rsidR="005E471B" w:rsidRPr="00B72ABF">
        <w:t>ke</w:t>
      </w:r>
      <w:r w:rsidR="00397A60" w:rsidRPr="00B72ABF">
        <w:t>i</w:t>
      </w:r>
      <w:r w:rsidR="005E471B" w:rsidRPr="00B72ABF">
        <w:t xml:space="preserve">n’s fees given that there had been no budget provision for this. The court held that this amounted to </w:t>
      </w:r>
      <w:r w:rsidR="00D675AE" w:rsidRPr="00B72ABF">
        <w:t xml:space="preserve">an </w:t>
      </w:r>
      <w:r w:rsidR="005E471B" w:rsidRPr="00B72ABF">
        <w:t xml:space="preserve">ex post </w:t>
      </w:r>
      <w:r w:rsidR="00D675AE" w:rsidRPr="00B72ABF">
        <w:t xml:space="preserve">facto payment. </w:t>
      </w:r>
      <w:r w:rsidR="00F205F8" w:rsidRPr="00B72ABF">
        <w:t>Furthermore</w:t>
      </w:r>
      <w:r w:rsidR="00D80A58" w:rsidRPr="00B72ABF">
        <w:t>,</w:t>
      </w:r>
      <w:r w:rsidR="00F205F8" w:rsidRPr="00B72ABF">
        <w:t xml:space="preserve"> even if the impugned agreement was lawful </w:t>
      </w:r>
      <w:r w:rsidR="00C02A05" w:rsidRPr="00B72ABF">
        <w:t xml:space="preserve">the payment was not in compliance with </w:t>
      </w:r>
      <w:r w:rsidR="000F4872" w:rsidRPr="00B72ABF">
        <w:t>paragraph 4.6</w:t>
      </w:r>
      <w:r w:rsidR="00C02A05" w:rsidRPr="00B72ABF">
        <w:t xml:space="preserve"> GPF’s policy</w:t>
      </w:r>
      <w:r w:rsidR="00D601CF" w:rsidRPr="00B72ABF">
        <w:t>.</w:t>
      </w:r>
      <w:r w:rsidR="00C02A05" w:rsidRPr="00B72ABF">
        <w:t xml:space="preserve"> </w:t>
      </w:r>
      <w:r w:rsidR="008B04AA" w:rsidRPr="00B72ABF">
        <w:t>As the court noted:</w:t>
      </w:r>
    </w:p>
    <w:p w14:paraId="1C965E26" w14:textId="72E5CED9" w:rsidR="00F81F6B" w:rsidRPr="00B72ABF" w:rsidRDefault="008B04AA" w:rsidP="002D7AC3">
      <w:pPr>
        <w:pStyle w:val="ListParagraph"/>
        <w:spacing w:after="360" w:line="480" w:lineRule="auto"/>
        <w:ind w:left="2160"/>
        <w:jc w:val="both"/>
        <w:rPr>
          <w:b/>
          <w:bCs/>
          <w:i/>
          <w:iCs w:val="0"/>
        </w:rPr>
      </w:pPr>
      <w:r w:rsidRPr="00B72ABF">
        <w:rPr>
          <w:i/>
          <w:iCs w:val="0"/>
          <w:color w:val="000000"/>
        </w:rPr>
        <w:t>“</w:t>
      </w:r>
      <w:r w:rsidR="00F81F6B" w:rsidRPr="00B72ABF">
        <w:rPr>
          <w:i/>
          <w:iCs w:val="0"/>
          <w:color w:val="000000"/>
        </w:rPr>
        <w:t>In terms of paragraph 4.6 of the policy, payment could only be made once the goods had been delivered or work was executed</w:t>
      </w:r>
      <w:r w:rsidR="00397A60" w:rsidRPr="00B72ABF">
        <w:rPr>
          <w:i/>
          <w:iCs w:val="0"/>
          <w:color w:val="000000"/>
        </w:rPr>
        <w:t>,</w:t>
      </w:r>
      <w:r w:rsidR="00F81F6B" w:rsidRPr="00B72ABF">
        <w:rPr>
          <w:i/>
          <w:iCs w:val="0"/>
          <w:color w:val="000000"/>
        </w:rPr>
        <w:t xml:space="preserve"> accepted as satisfactory, and the invoice authorised by the relevant person.</w:t>
      </w:r>
      <w:r w:rsidRPr="00B72ABF">
        <w:rPr>
          <w:i/>
          <w:iCs w:val="0"/>
          <w:color w:val="000000"/>
        </w:rPr>
        <w:t>”</w:t>
      </w:r>
    </w:p>
    <w:p w14:paraId="52EA01F3" w14:textId="1B231993" w:rsidR="00371116" w:rsidRPr="00B72ABF" w:rsidRDefault="00371116" w:rsidP="00B72ABF">
      <w:pPr>
        <w:pStyle w:val="ListParagraph"/>
        <w:spacing w:after="360" w:line="480" w:lineRule="auto"/>
        <w:jc w:val="both"/>
        <w:rPr>
          <w:b/>
          <w:bCs/>
          <w:i/>
          <w:iCs w:val="0"/>
        </w:rPr>
      </w:pPr>
      <w:r w:rsidRPr="00B72ABF">
        <w:rPr>
          <w:b/>
          <w:bCs/>
          <w:color w:val="000000"/>
        </w:rPr>
        <w:t xml:space="preserve">Analysis </w:t>
      </w:r>
    </w:p>
    <w:p w14:paraId="59FEA499" w14:textId="77777777" w:rsidR="002D7AC3" w:rsidRDefault="002D7AC3" w:rsidP="002D7AC3">
      <w:pPr>
        <w:spacing w:after="360" w:line="480" w:lineRule="auto"/>
        <w:ind w:left="720" w:hanging="720"/>
        <w:jc w:val="both"/>
      </w:pPr>
      <w:r>
        <w:t>[45]</w:t>
      </w:r>
      <w:r>
        <w:tab/>
      </w:r>
      <w:r w:rsidR="00371116" w:rsidRPr="00B72ABF">
        <w:t>Although there are six grounds of review</w:t>
      </w:r>
      <w:r w:rsidR="001945D4" w:rsidRPr="00B72ABF">
        <w:t>,</w:t>
      </w:r>
      <w:r w:rsidR="00371116" w:rsidRPr="00B72ABF">
        <w:t xml:space="preserve"> they can be conveniently </w:t>
      </w:r>
      <w:r w:rsidR="00DE7C33" w:rsidRPr="00B72ABF">
        <w:t>summarised into three categories. First</w:t>
      </w:r>
      <w:r w:rsidR="007739D5" w:rsidRPr="00B72ABF">
        <w:t>,</w:t>
      </w:r>
      <w:r w:rsidR="00DE7C33" w:rsidRPr="00B72ABF">
        <w:t xml:space="preserve"> that the GPF acted ultra vires the PFMA and its own policy. Second</w:t>
      </w:r>
      <w:r w:rsidR="007739D5" w:rsidRPr="00B72ABF">
        <w:t>,</w:t>
      </w:r>
      <w:r w:rsidR="00DE7C33" w:rsidRPr="00B72ABF">
        <w:t xml:space="preserve"> that </w:t>
      </w:r>
      <w:r w:rsidR="00397A60" w:rsidRPr="00B72ABF">
        <w:t xml:space="preserve">the </w:t>
      </w:r>
      <w:r w:rsidR="00A72E2C" w:rsidRPr="00B72ABF">
        <w:t>tender process did not comply with section 2</w:t>
      </w:r>
      <w:r w:rsidR="00213A14" w:rsidRPr="00B72ABF">
        <w:t>1</w:t>
      </w:r>
      <w:r w:rsidR="00A72E2C" w:rsidRPr="00B72ABF">
        <w:t xml:space="preserve">7 of the Constitution in that it was </w:t>
      </w:r>
      <w:r w:rsidR="00587AF7" w:rsidRPr="00B72ABF">
        <w:t>not conducted in a manner that was fair, equitable and transparent. Third</w:t>
      </w:r>
      <w:r w:rsidR="007739D5" w:rsidRPr="00B72ABF">
        <w:t>,</w:t>
      </w:r>
      <w:r w:rsidR="00587AF7" w:rsidRPr="00B72ABF">
        <w:t xml:space="preserve"> </w:t>
      </w:r>
      <w:r w:rsidR="001468D7" w:rsidRPr="00B72ABF">
        <w:t xml:space="preserve">the </w:t>
      </w:r>
      <w:r w:rsidR="00572738" w:rsidRPr="00B72ABF">
        <w:t>incentive fee payment was irrational as Arkein would in terms of the SL</w:t>
      </w:r>
      <w:r w:rsidR="003E2955" w:rsidRPr="00B72ABF">
        <w:t>A</w:t>
      </w:r>
      <w:r w:rsidR="00572738" w:rsidRPr="00B72ABF">
        <w:t xml:space="preserve"> be entitled to a fee even if the funding which underpinned it never eventualised. </w:t>
      </w:r>
    </w:p>
    <w:p w14:paraId="17D84F79" w14:textId="34684F13" w:rsidR="004B1FFD" w:rsidRPr="00B72ABF" w:rsidRDefault="002D7AC3" w:rsidP="002D7AC3">
      <w:pPr>
        <w:spacing w:after="360" w:line="480" w:lineRule="auto"/>
        <w:ind w:left="720" w:hanging="720"/>
        <w:jc w:val="both"/>
      </w:pPr>
      <w:r>
        <w:t>[46]</w:t>
      </w:r>
      <w:r>
        <w:tab/>
      </w:r>
      <w:r w:rsidR="00C75225" w:rsidRPr="00B72ABF">
        <w:t xml:space="preserve">Given that </w:t>
      </w:r>
      <w:r w:rsidR="00505A36" w:rsidRPr="00B72ABF">
        <w:t>Molahlehi J</w:t>
      </w:r>
      <w:r w:rsidR="00C75225" w:rsidRPr="00B72ABF">
        <w:t xml:space="preserve"> had upheld all the review points</w:t>
      </w:r>
      <w:r w:rsidR="00623542" w:rsidRPr="00B72ABF">
        <w:t>,</w:t>
      </w:r>
      <w:r w:rsidR="00C75225" w:rsidRPr="00B72ABF">
        <w:t xml:space="preserve"> to succeed in </w:t>
      </w:r>
      <w:r w:rsidR="003D6DD1" w:rsidRPr="00B72ABF">
        <w:t>reinstating</w:t>
      </w:r>
      <w:r w:rsidR="006A687F" w:rsidRPr="00B72ABF">
        <w:t xml:space="preserve"> </w:t>
      </w:r>
      <w:r w:rsidR="006223E0" w:rsidRPr="00B72ABF">
        <w:t>its</w:t>
      </w:r>
      <w:r w:rsidR="006A687F" w:rsidRPr="00B72ABF">
        <w:t xml:space="preserve"> appeal Arkein must establish that it has prospects of success </w:t>
      </w:r>
      <w:r w:rsidR="003D6DD1" w:rsidRPr="00B72ABF">
        <w:t xml:space="preserve">in refuting all these grounds of review. </w:t>
      </w:r>
    </w:p>
    <w:p w14:paraId="1DD14482" w14:textId="029E82D4" w:rsidR="00C62021" w:rsidRPr="002D7AC3" w:rsidRDefault="002D7AC3" w:rsidP="002D7AC3">
      <w:pPr>
        <w:spacing w:after="360" w:line="480" w:lineRule="auto"/>
        <w:ind w:left="720" w:hanging="720"/>
        <w:jc w:val="both"/>
      </w:pPr>
      <w:r>
        <w:t>[47]</w:t>
      </w:r>
      <w:r>
        <w:tab/>
      </w:r>
      <w:r w:rsidR="00EB4C09" w:rsidRPr="00B72ABF">
        <w:t xml:space="preserve">In its initial heads of argument Arkein </w:t>
      </w:r>
      <w:r w:rsidR="00F56127" w:rsidRPr="00B72ABF">
        <w:t>sought to re-argue the same points it had</w:t>
      </w:r>
      <w:r w:rsidR="009726AE" w:rsidRPr="00B72ABF">
        <w:t xml:space="preserve"> unsucces</w:t>
      </w:r>
      <w:r w:rsidR="00783FE2" w:rsidRPr="00B72ABF">
        <w:t xml:space="preserve">sfully </w:t>
      </w:r>
      <w:r w:rsidR="00F56127" w:rsidRPr="00B72ABF">
        <w:t>made before Molah</w:t>
      </w:r>
      <w:r w:rsidR="009726AE" w:rsidRPr="00B72ABF">
        <w:t>lehi J</w:t>
      </w:r>
      <w:r w:rsidR="00783FE2" w:rsidRPr="00B72ABF">
        <w:t xml:space="preserve">. </w:t>
      </w:r>
      <w:r w:rsidR="00C84ED3" w:rsidRPr="00B72ABF">
        <w:t>However,</w:t>
      </w:r>
      <w:r w:rsidR="00783FE2" w:rsidRPr="00B72ABF">
        <w:t xml:space="preserve"> a day before the hearing</w:t>
      </w:r>
      <w:r w:rsidR="00E1459C" w:rsidRPr="00B72ABF">
        <w:t>,</w:t>
      </w:r>
      <w:r w:rsidR="00783FE2" w:rsidRPr="00B72ABF">
        <w:t xml:space="preserve"> </w:t>
      </w:r>
      <w:r w:rsidR="00783FE2" w:rsidRPr="00B72ABF">
        <w:lastRenderedPageBreak/>
        <w:t>Arkein</w:t>
      </w:r>
      <w:r w:rsidR="00E1459C" w:rsidRPr="00B72ABF">
        <w:t>,</w:t>
      </w:r>
      <w:r w:rsidR="00783FE2" w:rsidRPr="00B72ABF">
        <w:t xml:space="preserve"> </w:t>
      </w:r>
      <w:r w:rsidR="00323FD8" w:rsidRPr="00B72ABF">
        <w:t>having now retained the services of new counsel</w:t>
      </w:r>
      <w:r w:rsidR="00E1459C" w:rsidRPr="00B72ABF">
        <w:t>,</w:t>
      </w:r>
      <w:r w:rsidR="00323FD8" w:rsidRPr="00B72ABF">
        <w:t xml:space="preserve"> filed what it termed notes for argument. Despite the </w:t>
      </w:r>
      <w:r w:rsidR="006B0356" w:rsidRPr="00B72ABF">
        <w:t>name attributed to the document it constituted a further set of heads of argument which in important respects departed from the earlier heads of argument.</w:t>
      </w:r>
      <w:r w:rsidR="0075426A" w:rsidRPr="00B72ABF">
        <w:t xml:space="preserve"> Although he might have been entitled to request a postponement</w:t>
      </w:r>
      <w:r w:rsidR="00E049FD" w:rsidRPr="00B72ABF">
        <w:t>,</w:t>
      </w:r>
      <w:r w:rsidR="0075426A" w:rsidRPr="00B72ABF">
        <w:t xml:space="preserve"> </w:t>
      </w:r>
      <w:r w:rsidR="0050749D" w:rsidRPr="00B72ABF">
        <w:t>counsel</w:t>
      </w:r>
      <w:r w:rsidR="0075426A" w:rsidRPr="00B72ABF">
        <w:t xml:space="preserve"> who appeared for GPF</w:t>
      </w:r>
      <w:r w:rsidR="00E049FD" w:rsidRPr="00B72ABF">
        <w:t>,</w:t>
      </w:r>
      <w:r w:rsidR="0075426A" w:rsidRPr="00B72ABF">
        <w:t xml:space="preserve"> </w:t>
      </w:r>
      <w:r w:rsidR="008C4FBD" w:rsidRPr="00B72ABF">
        <w:t>agreed to have the matter argued</w:t>
      </w:r>
      <w:r w:rsidR="000439F6" w:rsidRPr="00B72ABF">
        <w:t>,</w:t>
      </w:r>
      <w:r w:rsidR="008C4FBD" w:rsidRPr="00B72ABF">
        <w:t xml:space="preserve"> as he said </w:t>
      </w:r>
      <w:r w:rsidR="003B2CEA" w:rsidRPr="00B72ABF">
        <w:t xml:space="preserve">his client would </w:t>
      </w:r>
      <w:r w:rsidR="008C4FBD" w:rsidRPr="00B72ABF">
        <w:t xml:space="preserve">be prejudiced by any further delay. He and his junior </w:t>
      </w:r>
      <w:r w:rsidR="00C22364" w:rsidRPr="00B72ABF">
        <w:t>were able to file a set of responsive heads of argument produced on the morning of the hearing.</w:t>
      </w:r>
    </w:p>
    <w:p w14:paraId="11A4356F" w14:textId="336C7819" w:rsidR="00E049FD" w:rsidRPr="00B72ABF" w:rsidRDefault="00DB4822" w:rsidP="00B72ABF">
      <w:pPr>
        <w:pStyle w:val="ListParagraph"/>
        <w:spacing w:after="360" w:line="480" w:lineRule="auto"/>
        <w:jc w:val="both"/>
        <w:rPr>
          <w:b/>
          <w:bCs/>
        </w:rPr>
      </w:pPr>
      <w:r w:rsidRPr="00B72ABF">
        <w:rPr>
          <w:b/>
          <w:bCs/>
        </w:rPr>
        <w:t>Arkein’ s</w:t>
      </w:r>
      <w:r w:rsidR="00FC5B09" w:rsidRPr="00B72ABF">
        <w:rPr>
          <w:b/>
          <w:bCs/>
        </w:rPr>
        <w:t xml:space="preserve"> n</w:t>
      </w:r>
      <w:r w:rsidR="00E049FD" w:rsidRPr="00B72ABF">
        <w:rPr>
          <w:b/>
          <w:bCs/>
        </w:rPr>
        <w:t xml:space="preserve">ew arguments </w:t>
      </w:r>
    </w:p>
    <w:p w14:paraId="56696395" w14:textId="65A31CEE" w:rsidR="00F1178D" w:rsidRPr="00F70F35" w:rsidRDefault="00F1178D" w:rsidP="00B72ABF">
      <w:pPr>
        <w:pStyle w:val="ListParagraph"/>
        <w:numPr>
          <w:ilvl w:val="1"/>
          <w:numId w:val="2"/>
        </w:numPr>
        <w:spacing w:after="360" w:line="480" w:lineRule="auto"/>
        <w:jc w:val="both"/>
        <w:rPr>
          <w:b/>
          <w:bCs/>
          <w:i/>
          <w:iCs w:val="0"/>
        </w:rPr>
      </w:pPr>
      <w:r w:rsidRPr="00F70F35">
        <w:rPr>
          <w:b/>
          <w:bCs/>
          <w:i/>
          <w:iCs w:val="0"/>
        </w:rPr>
        <w:t xml:space="preserve">The ultra vires argument </w:t>
      </w:r>
    </w:p>
    <w:p w14:paraId="761E7078" w14:textId="0314EF8A" w:rsidR="00461DE3" w:rsidRPr="00B72ABF" w:rsidRDefault="002D7AC3" w:rsidP="002D7AC3">
      <w:pPr>
        <w:spacing w:after="360" w:line="480" w:lineRule="auto"/>
        <w:ind w:left="720" w:hanging="720"/>
        <w:jc w:val="both"/>
      </w:pPr>
      <w:r>
        <w:t>[48]</w:t>
      </w:r>
      <w:r>
        <w:tab/>
      </w:r>
      <w:r w:rsidR="00710B21" w:rsidRPr="00B72ABF">
        <w:t>S</w:t>
      </w:r>
      <w:r w:rsidR="00194D5E" w:rsidRPr="00B72ABF">
        <w:t xml:space="preserve">ection </w:t>
      </w:r>
      <w:r w:rsidR="00824778" w:rsidRPr="00B72ABF">
        <w:t xml:space="preserve">66 of </w:t>
      </w:r>
      <w:r w:rsidR="00194D5E" w:rsidRPr="00B72ABF">
        <w:t xml:space="preserve">the PFMA </w:t>
      </w:r>
      <w:r w:rsidR="00824778" w:rsidRPr="00B72ABF">
        <w:t xml:space="preserve">imposes restrictions on the borrowing powers of public entities. </w:t>
      </w:r>
      <w:r w:rsidR="006461B9" w:rsidRPr="00B72ABF">
        <w:t>There is a specific section that applies to provincial public entities. There is no dispute that this section applies to the GPF. This section states:</w:t>
      </w:r>
    </w:p>
    <w:p w14:paraId="7467DFE1" w14:textId="429DA41A" w:rsidR="00E31D5B" w:rsidRPr="00B72ABF" w:rsidRDefault="008C23F5" w:rsidP="002D7AC3">
      <w:pPr>
        <w:pStyle w:val="ListParagraph"/>
        <w:spacing w:after="360" w:line="480" w:lineRule="auto"/>
        <w:ind w:left="2160"/>
        <w:jc w:val="both"/>
        <w:rPr>
          <w:i/>
          <w:iCs w:val="0"/>
        </w:rPr>
      </w:pPr>
      <w:r w:rsidRPr="00B72ABF">
        <w:rPr>
          <w:i/>
          <w:iCs w:val="0"/>
        </w:rPr>
        <w:t xml:space="preserve">66(4) </w:t>
      </w:r>
      <w:r w:rsidR="00E31D5B" w:rsidRPr="00B72ABF">
        <w:rPr>
          <w:i/>
          <w:iCs w:val="0"/>
        </w:rPr>
        <w:t>“Constitutional institutions and provincial public entities not mentioned in subsection 3(d) may not borrow money nor issue a guarantee</w:t>
      </w:r>
      <w:r w:rsidR="000351BF" w:rsidRPr="00B72ABF">
        <w:rPr>
          <w:i/>
          <w:iCs w:val="0"/>
        </w:rPr>
        <w:t>,</w:t>
      </w:r>
      <w:r w:rsidR="00E31D5B" w:rsidRPr="00B72ABF">
        <w:rPr>
          <w:i/>
          <w:iCs w:val="0"/>
        </w:rPr>
        <w:t xml:space="preserve"> indemnity or security nor enter into any other transaction that binds or may bind the institution or entity to any future financial commitment.”</w:t>
      </w:r>
    </w:p>
    <w:p w14:paraId="622B3867" w14:textId="4E885EC4" w:rsidR="00071510" w:rsidRPr="002D7AC3" w:rsidRDefault="002D7AC3" w:rsidP="002D7AC3">
      <w:pPr>
        <w:spacing w:after="360" w:line="480" w:lineRule="auto"/>
        <w:ind w:left="720" w:hanging="720"/>
        <w:jc w:val="both"/>
        <w:rPr>
          <w:i/>
          <w:iCs w:val="0"/>
        </w:rPr>
      </w:pPr>
      <w:r>
        <w:t>[49]</w:t>
      </w:r>
      <w:r>
        <w:tab/>
      </w:r>
      <w:r w:rsidR="0026603A" w:rsidRPr="00B72ABF">
        <w:t xml:space="preserve">In terms of section 67(5) </w:t>
      </w:r>
      <w:r w:rsidR="00531E36" w:rsidRPr="00B72ABF">
        <w:t>an entity may be granted permission to borrow if it has Ministerial permission. It is common cause that</w:t>
      </w:r>
      <w:r w:rsidR="00731F95" w:rsidRPr="00B72ABF">
        <w:t xml:space="preserve"> the</w:t>
      </w:r>
      <w:r w:rsidR="00531E36" w:rsidRPr="00B72ABF">
        <w:t xml:space="preserve"> G</w:t>
      </w:r>
      <w:r w:rsidR="00731F95" w:rsidRPr="00B72ABF">
        <w:t>P</w:t>
      </w:r>
      <w:r w:rsidR="00531E36" w:rsidRPr="00B72ABF">
        <w:t xml:space="preserve">F had </w:t>
      </w:r>
      <w:r w:rsidR="009D18AD" w:rsidRPr="00B72ABF">
        <w:t>n</w:t>
      </w:r>
      <w:r w:rsidR="00531E36" w:rsidRPr="00B72ABF">
        <w:t>o such permission.</w:t>
      </w:r>
      <w:r w:rsidR="00682BCF" w:rsidRPr="00B72ABF">
        <w:t xml:space="preserve"> </w:t>
      </w:r>
      <w:r w:rsidR="00CC034A" w:rsidRPr="00B72ABF">
        <w:t xml:space="preserve">Two other provisions </w:t>
      </w:r>
      <w:r w:rsidR="00D07A2A" w:rsidRPr="00B72ABF">
        <w:t>are also relevant.</w:t>
      </w:r>
      <w:r w:rsidR="00511F57" w:rsidRPr="00B72ABF">
        <w:t xml:space="preserve"> Section 67 </w:t>
      </w:r>
      <w:r w:rsidR="0082730A" w:rsidRPr="00B72ABF">
        <w:t xml:space="preserve">provides </w:t>
      </w:r>
      <w:r w:rsidR="000B61FC" w:rsidRPr="00B72ABF">
        <w:t xml:space="preserve">for </w:t>
      </w:r>
      <w:r w:rsidR="0082730A" w:rsidRPr="00B72ABF">
        <w:t xml:space="preserve">the same borrowing restrictions on public entities as does section 66(4) but extends it to </w:t>
      </w:r>
      <w:r w:rsidR="00071510" w:rsidRPr="00B72ABF">
        <w:t>t</w:t>
      </w:r>
      <w:r w:rsidR="0040421C" w:rsidRPr="00B72ABF">
        <w:t>r</w:t>
      </w:r>
      <w:r w:rsidR="00071510" w:rsidRPr="00B72ABF">
        <w:t>ansactions denominated in foreign currency.</w:t>
      </w:r>
      <w:r w:rsidR="00101FC3" w:rsidRPr="00B72ABF">
        <w:t xml:space="preserve"> </w:t>
      </w:r>
      <w:r w:rsidR="00071510" w:rsidRPr="00B72ABF">
        <w:t xml:space="preserve">Section 68 </w:t>
      </w:r>
      <w:r w:rsidR="00B12BCC" w:rsidRPr="00B72ABF">
        <w:t xml:space="preserve">provides that a </w:t>
      </w:r>
      <w:r w:rsidR="00B12BCC" w:rsidRPr="00B72ABF">
        <w:lastRenderedPageBreak/>
        <w:t xml:space="preserve">public entity is not bound by any transaction </w:t>
      </w:r>
      <w:r w:rsidR="006B265F" w:rsidRPr="00B72ABF">
        <w:t>that is not in accordance with section 66</w:t>
      </w:r>
      <w:r w:rsidR="00716D66" w:rsidRPr="00B72ABF">
        <w:t xml:space="preserve">. </w:t>
      </w:r>
    </w:p>
    <w:p w14:paraId="73DF51F4" w14:textId="74FE10F7" w:rsidR="00101FC3" w:rsidRPr="002D7AC3" w:rsidRDefault="002D7AC3" w:rsidP="002D7AC3">
      <w:pPr>
        <w:spacing w:after="360" w:line="480" w:lineRule="auto"/>
        <w:ind w:left="720" w:hanging="720"/>
        <w:jc w:val="both"/>
        <w:rPr>
          <w:i/>
          <w:iCs w:val="0"/>
        </w:rPr>
      </w:pPr>
      <w:r>
        <w:t>[50]</w:t>
      </w:r>
      <w:r>
        <w:tab/>
      </w:r>
      <w:r w:rsidR="00206B9D" w:rsidRPr="00B72ABF">
        <w:t>Of course,</w:t>
      </w:r>
      <w:r w:rsidR="00101FC3" w:rsidRPr="00B72ABF">
        <w:t xml:space="preserve"> these provisions made the purported </w:t>
      </w:r>
      <w:r w:rsidR="00206B9D" w:rsidRPr="00B72ABF">
        <w:t>agreement</w:t>
      </w:r>
      <w:r w:rsidR="00101FC3" w:rsidRPr="00B72ABF">
        <w:t xml:space="preserve"> with the A</w:t>
      </w:r>
      <w:r w:rsidR="009D18AD" w:rsidRPr="00B72ABF">
        <w:t>F</w:t>
      </w:r>
      <w:r w:rsidR="007A15A4" w:rsidRPr="00B72ABF">
        <w:t>D</w:t>
      </w:r>
      <w:r w:rsidR="004D72BB" w:rsidRPr="00B72ABF">
        <w:t>,</w:t>
      </w:r>
      <w:r w:rsidR="00101FC3" w:rsidRPr="00B72ABF">
        <w:t xml:space="preserve"> one in contravention of </w:t>
      </w:r>
      <w:r w:rsidR="003641B8" w:rsidRPr="00B72ABF">
        <w:t xml:space="preserve">both </w:t>
      </w:r>
      <w:r w:rsidR="00101FC3" w:rsidRPr="00B72ABF">
        <w:t>section</w:t>
      </w:r>
      <w:r w:rsidR="003641B8" w:rsidRPr="00B72ABF">
        <w:t>s</w:t>
      </w:r>
      <w:r w:rsidR="00101FC3" w:rsidRPr="00B72ABF">
        <w:t xml:space="preserve"> 66 </w:t>
      </w:r>
      <w:r w:rsidR="003641B8" w:rsidRPr="00B72ABF">
        <w:t xml:space="preserve">and 67, </w:t>
      </w:r>
      <w:r w:rsidR="00101FC3" w:rsidRPr="00B72ABF">
        <w:t xml:space="preserve">and hence not </w:t>
      </w:r>
      <w:r w:rsidR="00206B9D" w:rsidRPr="00B72ABF">
        <w:t>enforceable</w:t>
      </w:r>
      <w:r w:rsidR="00101FC3" w:rsidRPr="00B72ABF">
        <w:t xml:space="preserve"> in terms of section 68</w:t>
      </w:r>
      <w:r w:rsidR="00454548" w:rsidRPr="00B72ABF">
        <w:t xml:space="preserve">. </w:t>
      </w:r>
      <w:r w:rsidR="0081257D" w:rsidRPr="00B72ABF">
        <w:t xml:space="preserve">It was not only an agreement that contemplated </w:t>
      </w:r>
      <w:r w:rsidR="00206B9D" w:rsidRPr="00B72ABF">
        <w:t>borrowing</w:t>
      </w:r>
      <w:r w:rsidR="0081257D" w:rsidRPr="00B72ABF">
        <w:t xml:space="preserve"> but also one denominated in a foreign currency. </w:t>
      </w:r>
      <w:r w:rsidR="00101FC3" w:rsidRPr="00B72ABF">
        <w:t xml:space="preserve">Arkein had </w:t>
      </w:r>
      <w:r w:rsidR="00255D39" w:rsidRPr="00B72ABF">
        <w:t xml:space="preserve">argued before </w:t>
      </w:r>
      <w:r w:rsidR="00F845C7" w:rsidRPr="00B72ABF">
        <w:t xml:space="preserve">the court a quo </w:t>
      </w:r>
      <w:r w:rsidR="00101FC3" w:rsidRPr="00B72ABF">
        <w:t>that</w:t>
      </w:r>
      <w:r w:rsidR="00206B9D" w:rsidRPr="00B72ABF">
        <w:t>:</w:t>
      </w:r>
      <w:r w:rsidR="008410BE" w:rsidRPr="00B72ABF">
        <w:t xml:space="preserve"> (i) the GPF’s</w:t>
      </w:r>
      <w:r w:rsidR="00CF4560" w:rsidRPr="00B72ABF">
        <w:t xml:space="preserve"> borrowing powers derived from its trust deed which gave it borrowing powers and (ii) </w:t>
      </w:r>
      <w:r w:rsidR="00206B9D" w:rsidRPr="00B72ABF">
        <w:t>that regulation</w:t>
      </w:r>
      <w:r w:rsidR="00DC67E5" w:rsidRPr="00B72ABF">
        <w:t xml:space="preserve"> </w:t>
      </w:r>
      <w:r w:rsidR="00F47A0A" w:rsidRPr="00B72ABF">
        <w:t>16 of the PFMA</w:t>
      </w:r>
      <w:r w:rsidR="00CF4560" w:rsidRPr="00B72ABF">
        <w:t xml:space="preserve"> regulations </w:t>
      </w:r>
      <w:r w:rsidR="00F11E35" w:rsidRPr="00B72ABF">
        <w:t>gave it these powers.</w:t>
      </w:r>
    </w:p>
    <w:p w14:paraId="7A0FEDBD" w14:textId="2D2F91A3" w:rsidR="00F11E35" w:rsidRPr="002D7AC3" w:rsidRDefault="002D7AC3" w:rsidP="002D7AC3">
      <w:pPr>
        <w:spacing w:after="360" w:line="480" w:lineRule="auto"/>
        <w:ind w:left="720" w:hanging="720"/>
        <w:jc w:val="both"/>
        <w:rPr>
          <w:i/>
          <w:iCs w:val="0"/>
        </w:rPr>
      </w:pPr>
      <w:r>
        <w:t>[51]</w:t>
      </w:r>
      <w:r>
        <w:tab/>
      </w:r>
      <w:r w:rsidR="00F47A0A" w:rsidRPr="00B72ABF">
        <w:t>However,</w:t>
      </w:r>
      <w:r w:rsidR="00F11E35" w:rsidRPr="00B72ABF">
        <w:t xml:space="preserve"> </w:t>
      </w:r>
      <w:r w:rsidR="00C16293" w:rsidRPr="00B72ABF">
        <w:t xml:space="preserve">on appeal </w:t>
      </w:r>
      <w:r w:rsidR="00734652" w:rsidRPr="00B72ABF">
        <w:t xml:space="preserve">Arkein abandoned both these points, conceding that the Trust Deed could not be relied on to circumvent </w:t>
      </w:r>
      <w:r w:rsidR="007408B1" w:rsidRPr="00B72ABF">
        <w:t>legislation</w:t>
      </w:r>
      <w:r w:rsidR="00734652" w:rsidRPr="00B72ABF">
        <w:t xml:space="preserve"> and that the </w:t>
      </w:r>
      <w:r w:rsidR="00F47A0A" w:rsidRPr="00B72ABF">
        <w:t>PFM</w:t>
      </w:r>
      <w:r w:rsidR="00842531" w:rsidRPr="00B72ABF">
        <w:t>A</w:t>
      </w:r>
      <w:r w:rsidR="00F47A0A" w:rsidRPr="00B72ABF">
        <w:t xml:space="preserve"> regulation</w:t>
      </w:r>
      <w:r w:rsidR="00F425A3" w:rsidRPr="00B72ABF">
        <w:t>,</w:t>
      </w:r>
      <w:r w:rsidR="00F47A0A" w:rsidRPr="00B72ABF">
        <w:t xml:space="preserve"> on which it sought </w:t>
      </w:r>
      <w:r w:rsidR="00F425A3" w:rsidRPr="00B72ABF">
        <w:t xml:space="preserve">to place </w:t>
      </w:r>
      <w:r w:rsidR="00F47A0A" w:rsidRPr="00B72ABF">
        <w:t>reliance</w:t>
      </w:r>
      <w:r w:rsidR="00F425A3" w:rsidRPr="00B72ABF">
        <w:t>,</w:t>
      </w:r>
      <w:r w:rsidR="00F47A0A" w:rsidRPr="00B72ABF">
        <w:t xml:space="preserve"> </w:t>
      </w:r>
      <w:r w:rsidR="00734652" w:rsidRPr="00B72ABF">
        <w:t xml:space="preserve">had never been </w:t>
      </w:r>
      <w:r w:rsidR="00B26F0B" w:rsidRPr="00B72ABF">
        <w:t xml:space="preserve">promulgated. </w:t>
      </w:r>
      <w:r w:rsidR="008058FC" w:rsidRPr="00B72ABF">
        <w:t>However,</w:t>
      </w:r>
      <w:r w:rsidR="00B26F0B" w:rsidRPr="00B72ABF">
        <w:t xml:space="preserve"> </w:t>
      </w:r>
      <w:r w:rsidR="00570909" w:rsidRPr="00B72ABF">
        <w:t xml:space="preserve">it argued a new defence to the ultra vires challenge that had not been argued before </w:t>
      </w:r>
      <w:r w:rsidR="00682BCF" w:rsidRPr="00B72ABF">
        <w:t>Molahlehi J</w:t>
      </w:r>
      <w:r w:rsidR="004E7F1E" w:rsidRPr="00B72ABF">
        <w:t>.</w:t>
      </w:r>
    </w:p>
    <w:p w14:paraId="6FFC3A71" w14:textId="471D3B4D" w:rsidR="00371116" w:rsidRPr="002D7AC3" w:rsidRDefault="002D7AC3" w:rsidP="002D7AC3">
      <w:pPr>
        <w:spacing w:after="360" w:line="480" w:lineRule="auto"/>
        <w:ind w:left="720" w:hanging="720"/>
        <w:jc w:val="both"/>
        <w:rPr>
          <w:b/>
          <w:bCs/>
          <w:i/>
          <w:iCs w:val="0"/>
        </w:rPr>
      </w:pPr>
      <w:r>
        <w:t>[52]</w:t>
      </w:r>
      <w:r>
        <w:tab/>
      </w:r>
      <w:r w:rsidR="004E7F1E" w:rsidRPr="00B72ABF">
        <w:t xml:space="preserve">This argument located the relevant contract </w:t>
      </w:r>
      <w:r w:rsidR="003B243C" w:rsidRPr="00B72ABF">
        <w:t>as the agreement between Arkein and the GPF</w:t>
      </w:r>
      <w:r w:rsidR="008C7C35" w:rsidRPr="00B72ABF">
        <w:t>,</w:t>
      </w:r>
      <w:r w:rsidR="003B243C" w:rsidRPr="00B72ABF">
        <w:t xml:space="preserve"> not the one with AFD. </w:t>
      </w:r>
      <w:r w:rsidR="002006C1" w:rsidRPr="00B72ABF">
        <w:t>Whilst it was conceded that the AFD contract was a funding contract</w:t>
      </w:r>
      <w:r w:rsidR="00B11090" w:rsidRPr="00B72ABF">
        <w:t>,</w:t>
      </w:r>
      <w:r w:rsidR="002006C1" w:rsidRPr="00B72ABF">
        <w:t xml:space="preserve"> it was argued that </w:t>
      </w:r>
      <w:r w:rsidR="00291E4B" w:rsidRPr="00B72ABF">
        <w:t>the Arkein S</w:t>
      </w:r>
      <w:r w:rsidR="006B702B" w:rsidRPr="00B72ABF">
        <w:t>L</w:t>
      </w:r>
      <w:r w:rsidR="00291E4B" w:rsidRPr="00B72ABF">
        <w:t>A was not</w:t>
      </w:r>
      <w:r w:rsidR="008F6A93" w:rsidRPr="00B72ABF">
        <w:t>,</w:t>
      </w:r>
      <w:r w:rsidR="00291E4B" w:rsidRPr="00B72ABF">
        <w:t xml:space="preserve"> </w:t>
      </w:r>
      <w:r w:rsidR="008F6A93" w:rsidRPr="00B72ABF">
        <w:t xml:space="preserve">and hence not </w:t>
      </w:r>
      <w:r w:rsidR="00291E4B" w:rsidRPr="00B72ABF">
        <w:t xml:space="preserve">of the type proscribed </w:t>
      </w:r>
      <w:r w:rsidR="0083006D" w:rsidRPr="00B72ABF">
        <w:t xml:space="preserve">by </w:t>
      </w:r>
      <w:r w:rsidR="00291E4B" w:rsidRPr="00B72ABF">
        <w:t xml:space="preserve">the PFMA. Arkein relied for this on a decision in </w:t>
      </w:r>
      <w:r w:rsidR="006C6A99" w:rsidRPr="00B72ABF">
        <w:t>the Constit</w:t>
      </w:r>
      <w:r w:rsidR="006B702B" w:rsidRPr="00B72ABF">
        <w:t>ut</w:t>
      </w:r>
      <w:r w:rsidR="006C6A99" w:rsidRPr="00B72ABF">
        <w:t xml:space="preserve">ional Court in </w:t>
      </w:r>
      <w:r w:rsidR="00015BBE" w:rsidRPr="002D7AC3">
        <w:rPr>
          <w:i/>
          <w:iCs w:val="0"/>
        </w:rPr>
        <w:t xml:space="preserve">Road Traffic Management Corporation v Waymark (Pty) Limited </w:t>
      </w:r>
      <w:r w:rsidR="006C6A99" w:rsidRPr="00B72ABF">
        <w:rPr>
          <w:rStyle w:val="FootnoteReference"/>
          <w:i/>
          <w:iCs w:val="0"/>
        </w:rPr>
        <w:footnoteReference w:id="13"/>
      </w:r>
      <w:r w:rsidR="00526E95" w:rsidRPr="002D7AC3">
        <w:rPr>
          <w:i/>
          <w:iCs w:val="0"/>
        </w:rPr>
        <w:t>.</w:t>
      </w:r>
    </w:p>
    <w:p w14:paraId="23DCC880" w14:textId="112B0071" w:rsidR="00354CB8" w:rsidRPr="002D7AC3" w:rsidRDefault="002D7AC3" w:rsidP="002D7AC3">
      <w:pPr>
        <w:spacing w:after="360" w:line="480" w:lineRule="auto"/>
        <w:ind w:left="720" w:hanging="720"/>
        <w:jc w:val="both"/>
        <w:rPr>
          <w:b/>
          <w:bCs/>
          <w:i/>
          <w:iCs w:val="0"/>
        </w:rPr>
      </w:pPr>
      <w:r>
        <w:lastRenderedPageBreak/>
        <w:t>[53]</w:t>
      </w:r>
      <w:r>
        <w:tab/>
      </w:r>
      <w:r w:rsidR="00526E95" w:rsidRPr="00B72ABF">
        <w:t xml:space="preserve">The question </w:t>
      </w:r>
      <w:r w:rsidR="00E24184" w:rsidRPr="00B72ABF">
        <w:t xml:space="preserve">in </w:t>
      </w:r>
      <w:r w:rsidR="00E24184" w:rsidRPr="002D7AC3">
        <w:rPr>
          <w:i/>
          <w:iCs w:val="0"/>
        </w:rPr>
        <w:t>Waymark,</w:t>
      </w:r>
      <w:r w:rsidR="00526E95" w:rsidRPr="00B72ABF">
        <w:t xml:space="preserve"> was whether a contract to provide </w:t>
      </w:r>
      <w:r w:rsidR="00DD2DD6" w:rsidRPr="00B72ABF">
        <w:t xml:space="preserve">consultancy services </w:t>
      </w:r>
      <w:r w:rsidR="004E1540" w:rsidRPr="00B72ABF">
        <w:t>to the RTMC</w:t>
      </w:r>
      <w:r w:rsidR="003256BD" w:rsidRPr="00B72ABF">
        <w:t>,</w:t>
      </w:r>
      <w:r w:rsidR="004E1540" w:rsidRPr="00B72ABF">
        <w:t xml:space="preserve"> a public entity, </w:t>
      </w:r>
      <w:r w:rsidR="00DD2DD6" w:rsidRPr="00B72ABF">
        <w:t xml:space="preserve">which extended </w:t>
      </w:r>
      <w:r w:rsidR="008D037F" w:rsidRPr="00B72ABF">
        <w:t>to payments based on milestones</w:t>
      </w:r>
      <w:r w:rsidR="00C905AD" w:rsidRPr="00B72ABF">
        <w:t xml:space="preserve"> to be achieved</w:t>
      </w:r>
      <w:r w:rsidR="008D037F" w:rsidRPr="00B72ABF">
        <w:t xml:space="preserve"> in the future</w:t>
      </w:r>
      <w:r w:rsidR="009259C2" w:rsidRPr="00B72ABF">
        <w:t>,</w:t>
      </w:r>
      <w:r w:rsidR="008D037F" w:rsidRPr="00B72ABF">
        <w:t xml:space="preserve"> was in contravention of section 68 of the PFMA because it provided </w:t>
      </w:r>
      <w:r w:rsidR="00432F90" w:rsidRPr="00B72ABF">
        <w:t>a “</w:t>
      </w:r>
      <w:r w:rsidR="00432F90" w:rsidRPr="002D7AC3">
        <w:rPr>
          <w:i/>
          <w:iCs w:val="0"/>
        </w:rPr>
        <w:t xml:space="preserve">future financial commitment” </w:t>
      </w:r>
      <w:r w:rsidR="0027052C" w:rsidRPr="00B72ABF">
        <w:t>for payments in a future financial year</w:t>
      </w:r>
      <w:r w:rsidR="009259C2" w:rsidRPr="00B72ABF">
        <w:t>,</w:t>
      </w:r>
      <w:r w:rsidR="005C4366" w:rsidRPr="00B72ABF">
        <w:t xml:space="preserve"> </w:t>
      </w:r>
      <w:r w:rsidR="0027052C" w:rsidRPr="00B72ABF">
        <w:t xml:space="preserve">which had not been budgeted. The Court </w:t>
      </w:r>
      <w:r w:rsidR="0022408B" w:rsidRPr="00B72ABF">
        <w:t>interpreted the language of section 68 restrictively</w:t>
      </w:r>
      <w:r w:rsidR="00101B18" w:rsidRPr="00B72ABF">
        <w:t xml:space="preserve"> giving it a purposive meaning</w:t>
      </w:r>
      <w:r w:rsidR="005C4366" w:rsidRPr="00B72ABF">
        <w:t xml:space="preserve"> holding that</w:t>
      </w:r>
      <w:r w:rsidR="00526E29" w:rsidRPr="00B72ABF">
        <w:t>:</w:t>
      </w:r>
      <w:r w:rsidR="00101B18" w:rsidRPr="00B72ABF">
        <w:t xml:space="preserve"> </w:t>
      </w:r>
    </w:p>
    <w:p w14:paraId="1259000C" w14:textId="5AC875AA" w:rsidR="00354CB8" w:rsidRPr="00B72ABF" w:rsidRDefault="000351BF" w:rsidP="002D7AC3">
      <w:pPr>
        <w:pStyle w:val="ListParagraph"/>
        <w:spacing w:after="360" w:line="480" w:lineRule="auto"/>
        <w:ind w:left="2160"/>
        <w:jc w:val="both"/>
        <w:rPr>
          <w:b/>
          <w:bCs/>
          <w:i/>
          <w:iCs w:val="0"/>
        </w:rPr>
      </w:pPr>
      <w:r w:rsidRPr="00B72ABF">
        <w:rPr>
          <w:i/>
          <w:iCs w:val="0"/>
          <w:color w:val="000000"/>
        </w:rPr>
        <w:t>“the</w:t>
      </w:r>
      <w:r w:rsidR="00354CB8" w:rsidRPr="00B72ABF">
        <w:rPr>
          <w:i/>
          <w:iCs w:val="0"/>
          <w:color w:val="000000"/>
        </w:rPr>
        <w:t xml:space="preserve"> phrase 'any other transaction that binds or may bind that public entity to any future financial commitment' as referred to in s 66, must mean a transaction that is somehow similar to a credit or security agreement</w:t>
      </w:r>
      <w:r w:rsidR="00C341E0" w:rsidRPr="00B72ABF">
        <w:rPr>
          <w:rStyle w:val="FootnoteReference"/>
          <w:color w:val="000000"/>
        </w:rPr>
        <w:footnoteReference w:id="14"/>
      </w:r>
    </w:p>
    <w:p w14:paraId="54D5C78C" w14:textId="7FF5CBE8" w:rsidR="00152A14" w:rsidRPr="002D7AC3" w:rsidRDefault="002D7AC3" w:rsidP="002D7AC3">
      <w:pPr>
        <w:spacing w:after="360" w:line="480" w:lineRule="auto"/>
        <w:jc w:val="both"/>
        <w:rPr>
          <w:b/>
          <w:bCs/>
          <w:i/>
          <w:iCs w:val="0"/>
        </w:rPr>
      </w:pPr>
      <w:r>
        <w:t>[54]</w:t>
      </w:r>
      <w:r>
        <w:tab/>
      </w:r>
      <w:r w:rsidR="00757934" w:rsidRPr="00B72ABF">
        <w:t>It went on to hold that</w:t>
      </w:r>
      <w:r w:rsidR="00657945" w:rsidRPr="00B72ABF">
        <w:t xml:space="preserve"> to</w:t>
      </w:r>
      <w:r w:rsidR="00010567" w:rsidRPr="00B72ABF">
        <w:t xml:space="preserve"> interpret</w:t>
      </w:r>
      <w:r w:rsidR="00FD6867" w:rsidRPr="00B72ABF">
        <w:t xml:space="preserve"> </w:t>
      </w:r>
      <w:r w:rsidR="006F7F32" w:rsidRPr="00B72ABF">
        <w:t>section</w:t>
      </w:r>
      <w:r w:rsidR="0031774E" w:rsidRPr="00B72ABF">
        <w:t xml:space="preserve"> </w:t>
      </w:r>
      <w:r w:rsidR="006F7F32" w:rsidRPr="00B72ABF">
        <w:t>66</w:t>
      </w:r>
      <w:r w:rsidR="00152A14" w:rsidRPr="00B72ABF">
        <w:t>:</w:t>
      </w:r>
      <w:r w:rsidR="006F7F32" w:rsidRPr="00B72ABF">
        <w:t xml:space="preserve"> </w:t>
      </w:r>
    </w:p>
    <w:p w14:paraId="4C7B14AF" w14:textId="78BD8A28" w:rsidR="00FD6867" w:rsidRPr="00B72ABF" w:rsidRDefault="00152A14" w:rsidP="002D7AC3">
      <w:pPr>
        <w:pStyle w:val="ListParagraph"/>
        <w:spacing w:after="360" w:line="480" w:lineRule="auto"/>
        <w:ind w:left="2160"/>
        <w:jc w:val="both"/>
        <w:rPr>
          <w:i/>
          <w:iCs w:val="0"/>
          <w:color w:val="000000"/>
        </w:rPr>
      </w:pPr>
      <w:r w:rsidRPr="00B72ABF">
        <w:t>“…</w:t>
      </w:r>
      <w:r w:rsidR="00FD6867" w:rsidRPr="00B72ABF">
        <w:rPr>
          <w:i/>
          <w:iCs w:val="0"/>
          <w:color w:val="000000"/>
        </w:rPr>
        <w:t xml:space="preserve"> too broadly would result in an infinite number of transactions requiring ministerial approval, thereby frustrating the efficiency of the administration of public finances and stifling the operations of the RTMC</w:t>
      </w:r>
      <w:r w:rsidR="00454548" w:rsidRPr="00B72ABF">
        <w:rPr>
          <w:i/>
          <w:iCs w:val="0"/>
          <w:color w:val="000000"/>
        </w:rPr>
        <w:t>.”</w:t>
      </w:r>
      <w:r w:rsidR="00103E04" w:rsidRPr="00B72ABF">
        <w:rPr>
          <w:rStyle w:val="FootnoteReference"/>
          <w:i/>
          <w:iCs w:val="0"/>
          <w:color w:val="000000"/>
        </w:rPr>
        <w:footnoteReference w:id="15"/>
      </w:r>
    </w:p>
    <w:p w14:paraId="255F3665" w14:textId="4D56CF11" w:rsidR="00861A7C" w:rsidRPr="002D7AC3" w:rsidRDefault="002D7AC3" w:rsidP="002D7AC3">
      <w:pPr>
        <w:spacing w:after="360" w:line="480" w:lineRule="auto"/>
        <w:ind w:left="720" w:hanging="720"/>
        <w:jc w:val="both"/>
        <w:rPr>
          <w:b/>
          <w:bCs/>
          <w:i/>
          <w:iCs w:val="0"/>
        </w:rPr>
      </w:pPr>
      <w:r>
        <w:t>[55]</w:t>
      </w:r>
      <w:r>
        <w:tab/>
      </w:r>
      <w:r w:rsidR="002D6770" w:rsidRPr="00B72ABF">
        <w:t xml:space="preserve">Counsel for Arkein </w:t>
      </w:r>
      <w:r w:rsidR="00C21B38" w:rsidRPr="00B72ABF">
        <w:t>argued that the consultancy contract that Arkein had with the GPF</w:t>
      </w:r>
      <w:r w:rsidR="00E24184" w:rsidRPr="00B72ABF">
        <w:t>,</w:t>
      </w:r>
      <w:r w:rsidR="00C21B38" w:rsidRPr="00B72ABF">
        <w:t xml:space="preserve"> </w:t>
      </w:r>
      <w:r w:rsidR="006D0BB9" w:rsidRPr="00B72ABF">
        <w:t xml:space="preserve">did </w:t>
      </w:r>
      <w:r w:rsidR="00186FCB" w:rsidRPr="002D7AC3">
        <w:rPr>
          <w:color w:val="000000"/>
        </w:rPr>
        <w:t xml:space="preserve">not involve borrowing </w:t>
      </w:r>
      <w:r w:rsidR="00E24184" w:rsidRPr="002D7AC3">
        <w:rPr>
          <w:color w:val="000000"/>
        </w:rPr>
        <w:t xml:space="preserve">or </w:t>
      </w:r>
      <w:r w:rsidR="008E54D0" w:rsidRPr="002D7AC3">
        <w:rPr>
          <w:color w:val="000000"/>
        </w:rPr>
        <w:t xml:space="preserve">the giving of a </w:t>
      </w:r>
      <w:r w:rsidR="00186FCB" w:rsidRPr="002D7AC3">
        <w:rPr>
          <w:color w:val="000000"/>
        </w:rPr>
        <w:t xml:space="preserve">guarantee, </w:t>
      </w:r>
      <w:r w:rsidR="00454548" w:rsidRPr="002D7AC3">
        <w:rPr>
          <w:color w:val="000000"/>
        </w:rPr>
        <w:t>indemnity,</w:t>
      </w:r>
      <w:r w:rsidR="00186FCB" w:rsidRPr="002D7AC3">
        <w:rPr>
          <w:color w:val="000000"/>
        </w:rPr>
        <w:t xml:space="preserve"> or security</w:t>
      </w:r>
      <w:r w:rsidR="008E54D0" w:rsidRPr="002D7AC3">
        <w:rPr>
          <w:color w:val="000000"/>
        </w:rPr>
        <w:t xml:space="preserve"> by the </w:t>
      </w:r>
      <w:r w:rsidR="003A2914" w:rsidRPr="002D7AC3">
        <w:rPr>
          <w:color w:val="000000"/>
        </w:rPr>
        <w:t>GPF.</w:t>
      </w:r>
      <w:r w:rsidR="004C042E" w:rsidRPr="002D7AC3">
        <w:rPr>
          <w:color w:val="000000"/>
        </w:rPr>
        <w:t xml:space="preserve"> Nor</w:t>
      </w:r>
      <w:r w:rsidR="00397A60" w:rsidRPr="002D7AC3">
        <w:rPr>
          <w:color w:val="000000"/>
        </w:rPr>
        <w:t>,</w:t>
      </w:r>
      <w:r w:rsidR="004C042E" w:rsidRPr="002D7AC3">
        <w:rPr>
          <w:color w:val="000000"/>
        </w:rPr>
        <w:t xml:space="preserve"> he argued</w:t>
      </w:r>
      <w:r w:rsidR="00397A60" w:rsidRPr="002D7AC3">
        <w:rPr>
          <w:color w:val="000000"/>
        </w:rPr>
        <w:t>,</w:t>
      </w:r>
      <w:r w:rsidR="004C042E" w:rsidRPr="002D7AC3">
        <w:rPr>
          <w:color w:val="000000"/>
        </w:rPr>
        <w:t xml:space="preserve"> based on the </w:t>
      </w:r>
      <w:r w:rsidR="004C042E" w:rsidRPr="002D7AC3">
        <w:rPr>
          <w:i/>
          <w:iCs w:val="0"/>
          <w:color w:val="000000"/>
        </w:rPr>
        <w:t>Waymark</w:t>
      </w:r>
      <w:r w:rsidR="004C042E" w:rsidRPr="002D7AC3">
        <w:rPr>
          <w:color w:val="000000"/>
        </w:rPr>
        <w:t xml:space="preserve"> </w:t>
      </w:r>
      <w:r w:rsidR="00CD26A9" w:rsidRPr="002D7AC3">
        <w:rPr>
          <w:color w:val="000000"/>
        </w:rPr>
        <w:t xml:space="preserve">decision </w:t>
      </w:r>
      <w:r w:rsidR="00163503" w:rsidRPr="002D7AC3">
        <w:rPr>
          <w:color w:val="000000"/>
        </w:rPr>
        <w:t xml:space="preserve">could there be any objection to payment of the future instalments based on the milestones to be achieved. I accept these observations are correct. </w:t>
      </w:r>
    </w:p>
    <w:p w14:paraId="08846DB4" w14:textId="16FA2942" w:rsidR="00E33D25" w:rsidRPr="002D7AC3" w:rsidRDefault="002D7AC3" w:rsidP="002D7AC3">
      <w:pPr>
        <w:spacing w:after="360" w:line="480" w:lineRule="auto"/>
        <w:ind w:left="720" w:hanging="720"/>
        <w:jc w:val="both"/>
        <w:rPr>
          <w:b/>
          <w:bCs/>
          <w:i/>
          <w:iCs w:val="0"/>
        </w:rPr>
      </w:pPr>
      <w:r>
        <w:lastRenderedPageBreak/>
        <w:t>[56]</w:t>
      </w:r>
      <w:r>
        <w:tab/>
      </w:r>
      <w:r w:rsidR="00163503" w:rsidRPr="00B72ABF">
        <w:t>However</w:t>
      </w:r>
      <w:r w:rsidR="00BF1165" w:rsidRPr="00B72ABF">
        <w:t>,</w:t>
      </w:r>
      <w:r w:rsidR="00163503" w:rsidRPr="00B72ABF">
        <w:t xml:space="preserve"> there is a fundamental differe</w:t>
      </w:r>
      <w:r w:rsidR="004950C6" w:rsidRPr="00B72ABF">
        <w:t>nce</w:t>
      </w:r>
      <w:r w:rsidR="00163503" w:rsidRPr="00B72ABF">
        <w:t xml:space="preserve"> between </w:t>
      </w:r>
      <w:r w:rsidR="00DB4822" w:rsidRPr="00B72ABF">
        <w:t>Arkein’ s</w:t>
      </w:r>
      <w:r w:rsidR="00163503" w:rsidRPr="00B72ABF">
        <w:t xml:space="preserve"> contract </w:t>
      </w:r>
      <w:r w:rsidR="00F45F7A" w:rsidRPr="00B72ABF">
        <w:t xml:space="preserve">with </w:t>
      </w:r>
      <w:r w:rsidR="00655933" w:rsidRPr="00B72ABF">
        <w:t xml:space="preserve">the </w:t>
      </w:r>
      <w:r w:rsidR="00F45F7A" w:rsidRPr="00B72ABF">
        <w:t xml:space="preserve">GPF </w:t>
      </w:r>
      <w:r w:rsidR="00163503" w:rsidRPr="00B72ABF">
        <w:t>and that of Waymark</w:t>
      </w:r>
      <w:r w:rsidR="00F45F7A" w:rsidRPr="00B72ABF">
        <w:t xml:space="preserve"> with the RTMC.</w:t>
      </w:r>
      <w:r w:rsidR="00CF3330" w:rsidRPr="00B72ABF">
        <w:t xml:space="preserve"> </w:t>
      </w:r>
      <w:r w:rsidR="00DB4822" w:rsidRPr="00B72ABF">
        <w:t>Arkein’ s</w:t>
      </w:r>
      <w:r w:rsidR="00CF3330" w:rsidRPr="00B72ABF">
        <w:t xml:space="preserve"> </w:t>
      </w:r>
      <w:r w:rsidR="00391714" w:rsidRPr="00B72ABF">
        <w:t>S</w:t>
      </w:r>
      <w:r w:rsidR="00DE5155" w:rsidRPr="00B72ABF">
        <w:t>LA</w:t>
      </w:r>
      <w:r w:rsidR="00CF3330" w:rsidRPr="00B72ABF">
        <w:t xml:space="preserve"> is an ancillary contract. It</w:t>
      </w:r>
      <w:r w:rsidR="00A34B00" w:rsidRPr="00B72ABF">
        <w:t>s object is to</w:t>
      </w:r>
      <w:r w:rsidR="00DA3F7C" w:rsidRPr="00B72ABF">
        <w:t xml:space="preserve"> procure funding for the GPF. But the GPF i</w:t>
      </w:r>
      <w:r w:rsidR="00D47726" w:rsidRPr="00B72ABF">
        <w:t xml:space="preserve">s </w:t>
      </w:r>
      <w:r w:rsidR="00ED691B" w:rsidRPr="00B72ABF">
        <w:t>not authorised to enter into such</w:t>
      </w:r>
      <w:r w:rsidR="00372EA3" w:rsidRPr="00B72ABF">
        <w:t xml:space="preserve"> contracts without authorisation. This means that the SLA </w:t>
      </w:r>
      <w:r w:rsidR="006F1401" w:rsidRPr="00B72ABF">
        <w:t xml:space="preserve">is ancillary to a contract that is ultra vires the powers of the GPF. </w:t>
      </w:r>
      <w:r w:rsidR="00BB6364" w:rsidRPr="00B72ABF">
        <w:t xml:space="preserve">If a public entity such as the GPF does not have the power to enter into the main contract – the one with the ADF to procure funding – then it follows it cannot lawfully contract with a </w:t>
      </w:r>
      <w:r w:rsidR="00A71D1C" w:rsidRPr="00B72ABF">
        <w:t xml:space="preserve">third party </w:t>
      </w:r>
      <w:r w:rsidR="008B1E76" w:rsidRPr="00B72ABF">
        <w:t xml:space="preserve">in which it is paid to procure such funding. </w:t>
      </w:r>
      <w:r w:rsidR="008C0624" w:rsidRPr="00B72ABF">
        <w:t>Arkein ma</w:t>
      </w:r>
      <w:r w:rsidR="00956BE2" w:rsidRPr="00B72ABF">
        <w:t>d</w:t>
      </w:r>
      <w:r w:rsidR="008C0624" w:rsidRPr="00B72ABF">
        <w:t>e an argument based on the content of the SLA but ignore</w:t>
      </w:r>
      <w:r w:rsidR="00020EFB" w:rsidRPr="00B72ABF">
        <w:t>s</w:t>
      </w:r>
      <w:r w:rsidR="008C0624" w:rsidRPr="00B72ABF">
        <w:t xml:space="preserve"> its purpose</w:t>
      </w:r>
      <w:r w:rsidR="006E26AD" w:rsidRPr="00B72ABF">
        <w:t>. Its purpose is to facilitate</w:t>
      </w:r>
      <w:r w:rsidR="00370474" w:rsidRPr="00B72ABF">
        <w:t xml:space="preserve"> funding for the </w:t>
      </w:r>
      <w:r w:rsidR="00307096" w:rsidRPr="00B72ABF">
        <w:t>GPF</w:t>
      </w:r>
      <w:r w:rsidR="007F6043" w:rsidRPr="00B72ABF">
        <w:t xml:space="preserve">. But GPF could not enter into such an </w:t>
      </w:r>
      <w:r w:rsidR="00020EFB" w:rsidRPr="00B72ABF">
        <w:t>agreement let</w:t>
      </w:r>
      <w:r w:rsidR="00AC158D" w:rsidRPr="00B72ABF">
        <w:t xml:space="preserve"> alone enter into a separate contract with a third party to raise the funds for an agreement it had no legal power to conclude. The basis for the remuneration is tainted by the same </w:t>
      </w:r>
      <w:r w:rsidR="00004A52" w:rsidRPr="00B72ABF">
        <w:t>consideration. Ar</w:t>
      </w:r>
      <w:r w:rsidR="00066B51" w:rsidRPr="00B72ABF">
        <w:t>kein was to be remunerated based on a percentage of the funding agreement</w:t>
      </w:r>
      <w:r w:rsidR="00AF502F" w:rsidRPr="00B72ABF">
        <w:t xml:space="preserve"> after having achieved certain milestones in attempting to implement an </w:t>
      </w:r>
      <w:r w:rsidR="00730BC9" w:rsidRPr="00B72ABF">
        <w:t>unlawful agreement</w:t>
      </w:r>
      <w:r w:rsidR="00911462" w:rsidRPr="00B72ABF">
        <w:t xml:space="preserve">. </w:t>
      </w:r>
      <w:r w:rsidR="00730BC9" w:rsidRPr="00B72ABF">
        <w:t xml:space="preserve">To sum up – </w:t>
      </w:r>
      <w:r w:rsidR="005F365A" w:rsidRPr="00B72ABF">
        <w:t>Arkein</w:t>
      </w:r>
      <w:r w:rsidR="00730BC9" w:rsidRPr="00B72ABF">
        <w:t xml:space="preserve"> </w:t>
      </w:r>
      <w:r w:rsidR="00911462" w:rsidRPr="00B72ABF">
        <w:t xml:space="preserve">was being paid </w:t>
      </w:r>
      <w:r w:rsidR="008B4795" w:rsidRPr="00B72ABF">
        <w:t xml:space="preserve">a percentage of the proceeds of an agreement </w:t>
      </w:r>
      <w:r w:rsidR="006C1367" w:rsidRPr="00B72ABF">
        <w:t xml:space="preserve">that the GPF had with a third party that the GPF </w:t>
      </w:r>
      <w:r w:rsidR="00E33D25" w:rsidRPr="00B72ABF">
        <w:t xml:space="preserve">did not have the power to conclude. </w:t>
      </w:r>
    </w:p>
    <w:p w14:paraId="550F872A" w14:textId="6957EA84" w:rsidR="00650EAD" w:rsidRPr="00F70F35" w:rsidRDefault="00650EAD" w:rsidP="00B72ABF">
      <w:pPr>
        <w:pStyle w:val="ListParagraph"/>
        <w:numPr>
          <w:ilvl w:val="0"/>
          <w:numId w:val="11"/>
        </w:numPr>
        <w:spacing w:after="360" w:line="480" w:lineRule="auto"/>
        <w:jc w:val="both"/>
        <w:rPr>
          <w:b/>
          <w:bCs/>
          <w:i/>
          <w:iCs w:val="0"/>
        </w:rPr>
      </w:pPr>
      <w:r w:rsidRPr="00F70F35">
        <w:rPr>
          <w:b/>
          <w:bCs/>
          <w:i/>
          <w:iCs w:val="0"/>
        </w:rPr>
        <w:t>The reliance on the audit reports</w:t>
      </w:r>
    </w:p>
    <w:p w14:paraId="5ED3D298" w14:textId="56E425D6" w:rsidR="001954EB" w:rsidRPr="00F70F35" w:rsidRDefault="00F70F35" w:rsidP="00F70F35">
      <w:pPr>
        <w:spacing w:after="360" w:line="480" w:lineRule="auto"/>
        <w:ind w:left="709" w:hanging="709"/>
        <w:jc w:val="both"/>
        <w:rPr>
          <w:b/>
          <w:bCs/>
          <w:i/>
          <w:iCs w:val="0"/>
        </w:rPr>
      </w:pPr>
      <w:r>
        <w:t>[57]</w:t>
      </w:r>
      <w:r>
        <w:tab/>
      </w:r>
      <w:r w:rsidR="00E33D25" w:rsidRPr="00B72ABF">
        <w:t xml:space="preserve">The new ultra vires argument like the previous one has no reasonable prospect of success. </w:t>
      </w:r>
      <w:r w:rsidR="001C4611" w:rsidRPr="00B72ABF">
        <w:t xml:space="preserve">For this </w:t>
      </w:r>
      <w:r w:rsidR="00AD3EBE" w:rsidRPr="00B72ABF">
        <w:t>reason,</w:t>
      </w:r>
      <w:r w:rsidR="001C4611" w:rsidRPr="00B72ABF">
        <w:t xml:space="preserve"> i</w:t>
      </w:r>
      <w:r w:rsidR="006E3210" w:rsidRPr="00B72ABF">
        <w:t xml:space="preserve">t is not necessary for me to consider the remaining arguments </w:t>
      </w:r>
      <w:r w:rsidR="000661B6" w:rsidRPr="00B72ABF">
        <w:t xml:space="preserve">which </w:t>
      </w:r>
      <w:r w:rsidR="001C4611" w:rsidRPr="00B72ABF">
        <w:t>relate to the other grounds of review</w:t>
      </w:r>
      <w:r w:rsidR="004B35D4" w:rsidRPr="00B72ABF">
        <w:t xml:space="preserve">. </w:t>
      </w:r>
      <w:r w:rsidR="00797991" w:rsidRPr="00B72ABF">
        <w:t xml:space="preserve">But for the sake of </w:t>
      </w:r>
      <w:r w:rsidR="000351BF" w:rsidRPr="00B72ABF">
        <w:t>completeness,</w:t>
      </w:r>
      <w:r w:rsidR="00797991" w:rsidRPr="00B72ABF">
        <w:t xml:space="preserve"> I mention that t</w:t>
      </w:r>
      <w:r w:rsidR="004B35D4" w:rsidRPr="00B72ABF">
        <w:t>he approach taken in the new heads of argument</w:t>
      </w:r>
      <w:r w:rsidR="00F97611" w:rsidRPr="00B72ABF">
        <w:t xml:space="preserve">, </w:t>
      </w:r>
      <w:r w:rsidR="00EB75CC" w:rsidRPr="00B72ABF">
        <w:t xml:space="preserve">on some of these issues </w:t>
      </w:r>
      <w:r w:rsidR="004B35D4" w:rsidRPr="00B72ABF">
        <w:t xml:space="preserve">was </w:t>
      </w:r>
      <w:r w:rsidR="003525AA" w:rsidRPr="00B72ABF">
        <w:t xml:space="preserve">again different to the argument before Molahlehi </w:t>
      </w:r>
      <w:r w:rsidR="003525AA" w:rsidRPr="00B72ABF">
        <w:lastRenderedPageBreak/>
        <w:t xml:space="preserve">J. There Arkein had argued that the review points dealing with the unfair process </w:t>
      </w:r>
      <w:r w:rsidR="00EB42E6" w:rsidRPr="00B72ABF">
        <w:t>were reliant on reports of the two audit firms (</w:t>
      </w:r>
      <w:r w:rsidR="0019431A" w:rsidRPr="00B72ABF">
        <w:t>Rakoma and later SNG</w:t>
      </w:r>
      <w:r w:rsidR="00EB42E6" w:rsidRPr="00B72ABF">
        <w:t>) and hence were hearsay</w:t>
      </w:r>
      <w:r w:rsidR="006A5E23" w:rsidRPr="00B72ABF">
        <w:t>,</w:t>
      </w:r>
      <w:r w:rsidR="00EB42E6" w:rsidRPr="00B72ABF">
        <w:t xml:space="preserve"> since they had not been confirmed </w:t>
      </w:r>
      <w:r w:rsidR="00D44BF8" w:rsidRPr="00B72ABF">
        <w:t xml:space="preserve">in supporting affidavits. </w:t>
      </w:r>
      <w:r w:rsidR="00395F72" w:rsidRPr="00B72ABF">
        <w:t xml:space="preserve">In the new argument counsel </w:t>
      </w:r>
      <w:r w:rsidR="002156ED" w:rsidRPr="00B72ABF">
        <w:t xml:space="preserve">for Arkein </w:t>
      </w:r>
      <w:r w:rsidR="00395F72" w:rsidRPr="00B72ABF">
        <w:t>relied on the earlier audit report as a basis for suggesting that certain conclusions about the absence of minutes in the second report</w:t>
      </w:r>
      <w:r w:rsidR="002156ED" w:rsidRPr="00B72ABF">
        <w:t>,</w:t>
      </w:r>
      <w:r w:rsidR="00395F72" w:rsidRPr="00B72ABF">
        <w:t xml:space="preserve"> were factually incorrect or at the very least</w:t>
      </w:r>
      <w:r w:rsidR="002156ED" w:rsidRPr="00B72ABF">
        <w:t>,</w:t>
      </w:r>
      <w:r w:rsidR="00395F72" w:rsidRPr="00B72ABF">
        <w:t xml:space="preserve"> unreliable. It is not necessary for me to go into this given the </w:t>
      </w:r>
      <w:r w:rsidR="00D079C3" w:rsidRPr="00B72ABF">
        <w:t>finding of ultra vires. However</w:t>
      </w:r>
      <w:r w:rsidR="000D46A2" w:rsidRPr="00B72ABF">
        <w:t>,</w:t>
      </w:r>
      <w:r w:rsidR="00D079C3" w:rsidRPr="00B72ABF">
        <w:t xml:space="preserve"> </w:t>
      </w:r>
      <w:r w:rsidR="001954EB" w:rsidRPr="00B72ABF">
        <w:t xml:space="preserve">it is relevant to </w:t>
      </w:r>
      <w:r w:rsidR="00B038FA" w:rsidRPr="00B72ABF">
        <w:t xml:space="preserve">the nature of a just and equitable remedy, a topic I turn to later after first dealing with the prospects of success of </w:t>
      </w:r>
      <w:r w:rsidR="00DB4822" w:rsidRPr="00B72ABF">
        <w:t>Arkein’ s</w:t>
      </w:r>
      <w:r w:rsidR="00B038FA" w:rsidRPr="00B72ABF">
        <w:t xml:space="preserve"> </w:t>
      </w:r>
      <w:r w:rsidR="008B6568" w:rsidRPr="00B72ABF">
        <w:t>counterclaim</w:t>
      </w:r>
      <w:r w:rsidR="00B038FA" w:rsidRPr="00B72ABF">
        <w:t>.</w:t>
      </w:r>
    </w:p>
    <w:p w14:paraId="1C9DE596" w14:textId="0299903D" w:rsidR="00BE6A18" w:rsidRPr="00B72ABF" w:rsidRDefault="00BE6A18" w:rsidP="00B72ABF">
      <w:pPr>
        <w:pStyle w:val="ListParagraph"/>
        <w:spacing w:after="360" w:line="480" w:lineRule="auto"/>
        <w:jc w:val="both"/>
        <w:rPr>
          <w:b/>
          <w:bCs/>
          <w:i/>
          <w:iCs w:val="0"/>
        </w:rPr>
      </w:pPr>
      <w:r w:rsidRPr="00B72ABF">
        <w:rPr>
          <w:b/>
          <w:bCs/>
        </w:rPr>
        <w:t xml:space="preserve">The </w:t>
      </w:r>
      <w:r w:rsidR="008B6568" w:rsidRPr="00B72ABF">
        <w:rPr>
          <w:b/>
          <w:bCs/>
        </w:rPr>
        <w:t>counterclaim</w:t>
      </w:r>
    </w:p>
    <w:p w14:paraId="1BEA7E35" w14:textId="2C01B6E6" w:rsidR="00E62F7B" w:rsidRPr="00F70F35" w:rsidRDefault="00F70F35" w:rsidP="00F70F35">
      <w:pPr>
        <w:spacing w:after="360" w:line="480" w:lineRule="auto"/>
        <w:ind w:left="720" w:hanging="720"/>
        <w:jc w:val="both"/>
        <w:rPr>
          <w:b/>
          <w:bCs/>
          <w:i/>
          <w:iCs w:val="0"/>
        </w:rPr>
      </w:pPr>
      <w:r>
        <w:t>[58]</w:t>
      </w:r>
      <w:r>
        <w:tab/>
      </w:r>
      <w:r w:rsidR="00E62F7B" w:rsidRPr="00B72ABF">
        <w:t xml:space="preserve">Arkein counter-claimed </w:t>
      </w:r>
      <w:r w:rsidR="00E667E9" w:rsidRPr="00B72ABF">
        <w:t>for payment of R8 565 150.60 plus interest thereon at the rate of 10.25% per annum from 1 December 2017 to date of payment. This amount represents</w:t>
      </w:r>
      <w:r w:rsidR="0061503A" w:rsidRPr="00B72ABF">
        <w:t xml:space="preserve"> what Arkein considered </w:t>
      </w:r>
      <w:r w:rsidR="00A06922" w:rsidRPr="00B72ABF">
        <w:t xml:space="preserve">was due for </w:t>
      </w:r>
      <w:r w:rsidR="0061503A" w:rsidRPr="00B72ABF">
        <w:t xml:space="preserve">the completion of </w:t>
      </w:r>
      <w:r w:rsidR="00C077B1" w:rsidRPr="00B72ABF">
        <w:t>the</w:t>
      </w:r>
      <w:r w:rsidR="0061503A" w:rsidRPr="00B72ABF">
        <w:t xml:space="preserve"> second milestone.</w:t>
      </w:r>
      <w:r w:rsidR="000079E2" w:rsidRPr="00B72ABF">
        <w:t xml:space="preserve"> Arkein argued on appeal that if </w:t>
      </w:r>
      <w:r w:rsidR="008D2A8A" w:rsidRPr="00B72ABF">
        <w:t>it was successful in terms of the appeal</w:t>
      </w:r>
      <w:r w:rsidR="000E00C9" w:rsidRPr="00B72ABF">
        <w:t xml:space="preserve"> in respect of the review</w:t>
      </w:r>
      <w:r w:rsidR="008D2A8A" w:rsidRPr="00B72ABF">
        <w:t xml:space="preserve"> it should for the same reason succeed in the </w:t>
      </w:r>
      <w:r w:rsidR="008B6568" w:rsidRPr="00B72ABF">
        <w:t>counterclaim</w:t>
      </w:r>
      <w:r w:rsidR="008D2A8A" w:rsidRPr="00B72ABF">
        <w:t xml:space="preserve">. By the same logic however if Arkein is unsuccessful in respect of the appeal </w:t>
      </w:r>
      <w:r w:rsidR="000E00C9" w:rsidRPr="00B72ABF">
        <w:t xml:space="preserve">on the review </w:t>
      </w:r>
      <w:r w:rsidR="008D2A8A" w:rsidRPr="00B72ABF">
        <w:t xml:space="preserve">it must also be unsuccessful in respect of the </w:t>
      </w:r>
      <w:r w:rsidR="008B6568" w:rsidRPr="00B72ABF">
        <w:t>counterclaim</w:t>
      </w:r>
      <w:r w:rsidR="008D2A8A" w:rsidRPr="00B72ABF">
        <w:t xml:space="preserve">. This is because both are premised on the same underlying causa – the validity of the tender. Once the </w:t>
      </w:r>
      <w:r w:rsidR="00C90B12" w:rsidRPr="00B72ABF">
        <w:t xml:space="preserve">court has determined that the award of the contract was </w:t>
      </w:r>
      <w:r w:rsidR="00B4320A" w:rsidRPr="00B72ABF">
        <w:t>reviewable,</w:t>
      </w:r>
      <w:r w:rsidR="00C90B12" w:rsidRPr="00B72ABF">
        <w:t xml:space="preserve"> and it has been set aside as unlawful</w:t>
      </w:r>
      <w:r w:rsidR="00F139EA" w:rsidRPr="00B72ABF">
        <w:t>,</w:t>
      </w:r>
      <w:r w:rsidR="00C90B12" w:rsidRPr="00B72ABF">
        <w:t xml:space="preserve"> it follows that Arkein has no claim for payment in respect of the second milestone and hence the counterclaim is ill-founded.</w:t>
      </w:r>
    </w:p>
    <w:p w14:paraId="6A1EA614" w14:textId="19B54459" w:rsidR="000B4D14" w:rsidRPr="00B72ABF" w:rsidRDefault="000B4D14" w:rsidP="00B72ABF">
      <w:pPr>
        <w:pStyle w:val="ListParagraph"/>
        <w:spacing w:after="360" w:line="480" w:lineRule="auto"/>
        <w:jc w:val="both"/>
        <w:rPr>
          <w:b/>
          <w:bCs/>
          <w:i/>
          <w:iCs w:val="0"/>
        </w:rPr>
      </w:pPr>
      <w:r w:rsidRPr="00B72ABF">
        <w:rPr>
          <w:b/>
          <w:bCs/>
        </w:rPr>
        <w:lastRenderedPageBreak/>
        <w:t xml:space="preserve">Just and </w:t>
      </w:r>
      <w:r w:rsidR="00490328" w:rsidRPr="00B72ABF">
        <w:rPr>
          <w:b/>
          <w:bCs/>
        </w:rPr>
        <w:t>equitable</w:t>
      </w:r>
    </w:p>
    <w:p w14:paraId="40250830" w14:textId="4D34E8A7" w:rsidR="00404517" w:rsidRPr="00F70F35" w:rsidRDefault="00F70F35" w:rsidP="00F70F35">
      <w:pPr>
        <w:spacing w:after="360" w:line="480" w:lineRule="auto"/>
        <w:ind w:left="720" w:hanging="720"/>
        <w:jc w:val="both"/>
        <w:rPr>
          <w:b/>
          <w:bCs/>
          <w:i/>
          <w:iCs w:val="0"/>
        </w:rPr>
      </w:pPr>
      <w:r>
        <w:t>[59]</w:t>
      </w:r>
      <w:r>
        <w:tab/>
      </w:r>
      <w:r w:rsidR="00862593" w:rsidRPr="00B72ABF">
        <w:t xml:space="preserve">The final question is whether Arkein has any prospects of success </w:t>
      </w:r>
      <w:r w:rsidR="004565D2" w:rsidRPr="00B72ABF">
        <w:t xml:space="preserve">on appeal in </w:t>
      </w:r>
      <w:r w:rsidR="0021018C" w:rsidRPr="00B72ABF">
        <w:t xml:space="preserve">being granted a different remedy because it would be just and </w:t>
      </w:r>
      <w:r w:rsidR="008009B2" w:rsidRPr="00B72ABF">
        <w:t>equitable</w:t>
      </w:r>
      <w:r w:rsidR="0021018C" w:rsidRPr="00B72ABF">
        <w:t xml:space="preserve"> to do so</w:t>
      </w:r>
      <w:r w:rsidR="007A27C0" w:rsidRPr="00B72ABF">
        <w:t xml:space="preserve"> in terms of section 172</w:t>
      </w:r>
      <w:r w:rsidR="001F30C7" w:rsidRPr="00B72ABF">
        <w:t>(1)</w:t>
      </w:r>
      <w:r w:rsidR="007A27C0" w:rsidRPr="00B72ABF">
        <w:t>(b) of the Constitution.</w:t>
      </w:r>
      <w:r w:rsidR="00AC48A5" w:rsidRPr="00B72ABF">
        <w:t xml:space="preserve"> </w:t>
      </w:r>
      <w:r w:rsidR="00BC6BD5" w:rsidRPr="00B72ABF">
        <w:t>Th</w:t>
      </w:r>
      <w:r w:rsidR="001F30C7" w:rsidRPr="00B72ABF">
        <w:t>at</w:t>
      </w:r>
      <w:r w:rsidR="00BC6BD5" w:rsidRPr="00B72ABF">
        <w:t xml:space="preserve"> </w:t>
      </w:r>
      <w:r w:rsidR="008202AB" w:rsidRPr="00B72ABF">
        <w:t xml:space="preserve">section </w:t>
      </w:r>
      <w:r w:rsidR="001F30C7" w:rsidRPr="00B72ABF">
        <w:t xml:space="preserve">in brief </w:t>
      </w:r>
      <w:r w:rsidR="008202AB" w:rsidRPr="00B72ABF">
        <w:t xml:space="preserve">states that where a </w:t>
      </w:r>
      <w:r w:rsidR="00A40DD5" w:rsidRPr="00B72ABF">
        <w:t xml:space="preserve">court has </w:t>
      </w:r>
      <w:r w:rsidR="00C745F0" w:rsidRPr="00B72ABF">
        <w:t xml:space="preserve">made an order of </w:t>
      </w:r>
      <w:r w:rsidR="007F1298" w:rsidRPr="00B72ABF">
        <w:t xml:space="preserve">constitutional invalidity it </w:t>
      </w:r>
      <w:r w:rsidR="007F2864" w:rsidRPr="00B72ABF">
        <w:t>may make</w:t>
      </w:r>
      <w:r w:rsidR="00AD6720" w:rsidRPr="00B72ABF">
        <w:t xml:space="preserve"> an</w:t>
      </w:r>
      <w:r w:rsidR="007F0827" w:rsidRPr="00B72ABF">
        <w:t>y</w:t>
      </w:r>
      <w:r w:rsidR="00AD6720" w:rsidRPr="00B72ABF">
        <w:t xml:space="preserve"> order that i</w:t>
      </w:r>
      <w:r w:rsidR="00371661" w:rsidRPr="00B72ABF">
        <w:t>s</w:t>
      </w:r>
      <w:r w:rsidR="00AD6720" w:rsidRPr="00B72ABF">
        <w:t xml:space="preserve"> just and equitable. </w:t>
      </w:r>
      <w:r w:rsidR="00521B9D" w:rsidRPr="00B72ABF">
        <w:t xml:space="preserve">In </w:t>
      </w:r>
      <w:r w:rsidR="00521B9D" w:rsidRPr="00F70F35">
        <w:rPr>
          <w:i/>
          <w:iCs w:val="0"/>
        </w:rPr>
        <w:t>Allpay</w:t>
      </w:r>
      <w:r w:rsidR="00521B9D" w:rsidRPr="00B72ABF">
        <w:t xml:space="preserve"> </w:t>
      </w:r>
      <w:r w:rsidR="00D53CB8" w:rsidRPr="00B72ABF">
        <w:t xml:space="preserve">the </w:t>
      </w:r>
      <w:r w:rsidR="00CA3FCA" w:rsidRPr="00B72ABF">
        <w:t>Constitutional C</w:t>
      </w:r>
      <w:r w:rsidR="00D53CB8" w:rsidRPr="00B72ABF">
        <w:t>ourt stated:</w:t>
      </w:r>
    </w:p>
    <w:p w14:paraId="6721D97C" w14:textId="01CE2D75" w:rsidR="00D53CB8" w:rsidRPr="00B72ABF" w:rsidRDefault="00B10169" w:rsidP="00F70F35">
      <w:pPr>
        <w:pStyle w:val="ListParagraph"/>
        <w:spacing w:after="360" w:line="480" w:lineRule="auto"/>
        <w:ind w:left="2160"/>
        <w:jc w:val="both"/>
        <w:rPr>
          <w:b/>
          <w:bCs/>
          <w:i/>
          <w:iCs w:val="0"/>
        </w:rPr>
      </w:pPr>
      <w:r w:rsidRPr="00B72ABF">
        <w:rPr>
          <w:i/>
          <w:iCs w:val="0"/>
        </w:rPr>
        <w:t>“</w:t>
      </w:r>
      <w:r w:rsidR="002B33A9" w:rsidRPr="00B72ABF">
        <w:rPr>
          <w:i/>
          <w:iCs w:val="0"/>
          <w:color w:val="000000"/>
          <w:kern w:val="0"/>
          <w:lang w:eastAsia="en-ZA"/>
        </w:rPr>
        <w:t>Once a finding of invalidity . . . is made, the affected decision or conduct must be declared unlawful and a just and equitable order must be made</w:t>
      </w:r>
      <w:r w:rsidR="008E5F98" w:rsidRPr="00B72ABF">
        <w:rPr>
          <w:i/>
          <w:iCs w:val="0"/>
          <w:color w:val="000000"/>
          <w:kern w:val="0"/>
          <w:lang w:eastAsia="en-ZA"/>
        </w:rPr>
        <w:t>”</w:t>
      </w:r>
    </w:p>
    <w:p w14:paraId="0B4BC04D" w14:textId="4BAE1EE2" w:rsidR="008E5F98" w:rsidRPr="00F70F35" w:rsidRDefault="00F70F35" w:rsidP="00F70F35">
      <w:pPr>
        <w:spacing w:after="360" w:line="480" w:lineRule="auto"/>
        <w:jc w:val="both"/>
        <w:rPr>
          <w:b/>
          <w:bCs/>
          <w:i/>
          <w:iCs w:val="0"/>
        </w:rPr>
      </w:pPr>
      <w:r>
        <w:rPr>
          <w:iCs w:val="0"/>
          <w:color w:val="000000"/>
          <w:kern w:val="0"/>
          <w:lang w:eastAsia="en-ZA"/>
        </w:rPr>
        <w:t>[60]</w:t>
      </w:r>
      <w:r>
        <w:rPr>
          <w:iCs w:val="0"/>
          <w:color w:val="000000"/>
          <w:kern w:val="0"/>
          <w:lang w:eastAsia="en-ZA"/>
        </w:rPr>
        <w:tab/>
      </w:r>
      <w:r w:rsidR="008E5F98" w:rsidRPr="00F70F35">
        <w:rPr>
          <w:iCs w:val="0"/>
          <w:color w:val="000000"/>
          <w:kern w:val="0"/>
          <w:lang w:eastAsia="en-ZA"/>
        </w:rPr>
        <w:t>The court went on to state:</w:t>
      </w:r>
    </w:p>
    <w:p w14:paraId="2670B0E7" w14:textId="22EBDED2" w:rsidR="007B0FE4" w:rsidRPr="00B72ABF" w:rsidRDefault="00CA3FCA" w:rsidP="00F70F35">
      <w:pPr>
        <w:pStyle w:val="ListParagraph"/>
        <w:spacing w:after="360" w:line="480" w:lineRule="auto"/>
        <w:ind w:left="2160"/>
        <w:jc w:val="both"/>
        <w:rPr>
          <w:b/>
          <w:bCs/>
          <w:i/>
        </w:rPr>
      </w:pPr>
      <w:r w:rsidRPr="00B72ABF">
        <w:rPr>
          <w:i/>
          <w:color w:val="000000"/>
          <w:kern w:val="0"/>
          <w:lang w:eastAsia="en-ZA"/>
        </w:rPr>
        <w:t>“</w:t>
      </w:r>
      <w:r w:rsidR="007B0FE4" w:rsidRPr="00B72ABF">
        <w:rPr>
          <w:i/>
          <w:color w:val="000000"/>
          <w:kern w:val="0"/>
          <w:lang w:eastAsia="en-ZA"/>
        </w:rPr>
        <w:t>Any contract that flows from the constitutional and statutory procurement framework is concluded not on the state</w:t>
      </w:r>
      <w:r w:rsidRPr="00B72ABF">
        <w:rPr>
          <w:i/>
          <w:color w:val="000000"/>
          <w:kern w:val="0"/>
          <w:lang w:eastAsia="en-ZA"/>
        </w:rPr>
        <w:t xml:space="preserve"> </w:t>
      </w:r>
      <w:r w:rsidR="007B0FE4" w:rsidRPr="00B72ABF">
        <w:rPr>
          <w:i/>
          <w:color w:val="000000"/>
          <w:kern w:val="0"/>
          <w:lang w:eastAsia="en-ZA"/>
        </w:rPr>
        <w:t>entity's behalf, but on the public's behalf. The interests of those most closely associated with the benefits of that contract must be given due weight.</w:t>
      </w:r>
      <w:r w:rsidRPr="00B72ABF">
        <w:rPr>
          <w:i/>
          <w:color w:val="000000"/>
          <w:kern w:val="0"/>
          <w:lang w:eastAsia="en-ZA"/>
        </w:rPr>
        <w:t>”</w:t>
      </w:r>
    </w:p>
    <w:p w14:paraId="77C1EF1F" w14:textId="14DD8444" w:rsidR="00762229" w:rsidRPr="00F70F35" w:rsidRDefault="00F70F35" w:rsidP="00F70F35">
      <w:pPr>
        <w:spacing w:after="360" w:line="480" w:lineRule="auto"/>
        <w:ind w:left="720" w:hanging="720"/>
        <w:jc w:val="both"/>
        <w:rPr>
          <w:b/>
          <w:bCs/>
          <w:i/>
          <w:iCs w:val="0"/>
        </w:rPr>
      </w:pPr>
      <w:r>
        <w:t>[61]</w:t>
      </w:r>
      <w:r>
        <w:tab/>
      </w:r>
      <w:r w:rsidR="00482D40" w:rsidRPr="00B72ABF">
        <w:t xml:space="preserve">Two consequential issues flowed from the </w:t>
      </w:r>
      <w:r w:rsidR="00615AB1" w:rsidRPr="00B72ABF">
        <w:t xml:space="preserve">court a quo’s </w:t>
      </w:r>
      <w:r w:rsidR="00482D40" w:rsidRPr="00B72ABF">
        <w:t xml:space="preserve">declaration that the </w:t>
      </w:r>
      <w:r w:rsidR="00615AB1" w:rsidRPr="00B72ABF">
        <w:t>tender was unlawful and set aside.</w:t>
      </w:r>
      <w:r w:rsidR="00687783" w:rsidRPr="00B72ABF">
        <w:t xml:space="preserve"> </w:t>
      </w:r>
      <w:r w:rsidR="004B2011" w:rsidRPr="00B72ABF">
        <w:t>Arkein was order</w:t>
      </w:r>
      <w:r w:rsidR="00AB45DF" w:rsidRPr="00B72ABF">
        <w:t>ed</w:t>
      </w:r>
      <w:r w:rsidR="004B2011" w:rsidRPr="00B72ABF">
        <w:t xml:space="preserve"> to repay </w:t>
      </w:r>
      <w:r w:rsidR="00687783" w:rsidRPr="00B72ABF">
        <w:t>R3</w:t>
      </w:r>
      <w:r w:rsidR="004B2011" w:rsidRPr="00B72ABF">
        <w:t> </w:t>
      </w:r>
      <w:r w:rsidR="00687783" w:rsidRPr="00B72ABF">
        <w:t>591</w:t>
      </w:r>
      <w:r w:rsidR="00D31F09" w:rsidRPr="00B72ABF">
        <w:t> </w:t>
      </w:r>
      <w:r w:rsidR="004B2011" w:rsidRPr="00B72ABF">
        <w:t>000</w:t>
      </w:r>
      <w:r w:rsidR="00D31F09" w:rsidRPr="00B72ABF">
        <w:t xml:space="preserve">.00 which it had received in respect of the first </w:t>
      </w:r>
      <w:r w:rsidR="00AB45DF" w:rsidRPr="00B72ABF">
        <w:t xml:space="preserve">milestone. </w:t>
      </w:r>
      <w:r w:rsidR="00D54599" w:rsidRPr="00B72ABF">
        <w:t xml:space="preserve">Second the counter claim for payment in respect of the second milestone was dismissed. It is clear from the facts that </w:t>
      </w:r>
      <w:r w:rsidR="007042B9" w:rsidRPr="00B72ABF">
        <w:t xml:space="preserve">neither the GPF nor the public received any benefit for whatever services Arkein may have rendered. </w:t>
      </w:r>
      <w:r w:rsidR="005F330A" w:rsidRPr="00B72ABF">
        <w:t xml:space="preserve">The purpose of </w:t>
      </w:r>
      <w:r w:rsidR="00DB4822" w:rsidRPr="00B72ABF">
        <w:t>Arkein’</w:t>
      </w:r>
      <w:r w:rsidR="007C6808" w:rsidRPr="00B72ABF">
        <w:t>s</w:t>
      </w:r>
      <w:r w:rsidR="00DB4822" w:rsidRPr="00B72ABF">
        <w:t xml:space="preserve"> </w:t>
      </w:r>
      <w:r w:rsidR="00483011" w:rsidRPr="00B72ABF">
        <w:t xml:space="preserve">services were to procure financing for the GPF’s projects. Given that this was ultra vires the </w:t>
      </w:r>
      <w:r w:rsidR="00483011" w:rsidRPr="00B72ABF">
        <w:lastRenderedPageBreak/>
        <w:t xml:space="preserve">GPF’s powers it was being rewarded for services in respect of a contract that </w:t>
      </w:r>
      <w:r w:rsidR="00EC2586" w:rsidRPr="00B72ABF">
        <w:t>could not be fulfilled and which Arkein knew or from its expertise in the area</w:t>
      </w:r>
      <w:r w:rsidR="00317CEF" w:rsidRPr="00B72ABF">
        <w:t>,</w:t>
      </w:r>
      <w:r w:rsidR="00EC2586" w:rsidRPr="00B72ABF">
        <w:t xml:space="preserve"> </w:t>
      </w:r>
      <w:r w:rsidR="00B87017" w:rsidRPr="00B72ABF">
        <w:t xml:space="preserve">or </w:t>
      </w:r>
      <w:r w:rsidR="00EC2586" w:rsidRPr="00B72ABF">
        <w:t>ought to have known</w:t>
      </w:r>
      <w:r w:rsidR="00317CEF" w:rsidRPr="00B72ABF">
        <w:t>,</w:t>
      </w:r>
      <w:r w:rsidR="00EC2586" w:rsidRPr="00B72ABF">
        <w:t xml:space="preserve"> could not have </w:t>
      </w:r>
      <w:r w:rsidR="00966622" w:rsidRPr="00B72ABF">
        <w:t>been</w:t>
      </w:r>
      <w:r w:rsidR="00EC2586" w:rsidRPr="00B72ABF">
        <w:t xml:space="preserve"> fulfilled. </w:t>
      </w:r>
    </w:p>
    <w:p w14:paraId="4EDE63A8" w14:textId="5FD46222" w:rsidR="00E353E7" w:rsidRPr="00F70F35" w:rsidRDefault="00F70F35" w:rsidP="00F70F35">
      <w:pPr>
        <w:spacing w:after="360" w:line="480" w:lineRule="auto"/>
        <w:ind w:left="720" w:hanging="720"/>
        <w:jc w:val="both"/>
        <w:rPr>
          <w:b/>
          <w:bCs/>
          <w:i/>
          <w:iCs w:val="0"/>
        </w:rPr>
      </w:pPr>
      <w:r>
        <w:t>[62]</w:t>
      </w:r>
      <w:r>
        <w:tab/>
      </w:r>
      <w:r w:rsidR="00E353E7" w:rsidRPr="00B72ABF">
        <w:t xml:space="preserve">Arkein was aware of the need for the tender to be </w:t>
      </w:r>
      <w:r w:rsidR="00317CEF" w:rsidRPr="00B72ABF">
        <w:t>compliant</w:t>
      </w:r>
      <w:r w:rsidR="00E353E7" w:rsidRPr="00B72ABF">
        <w:t xml:space="preserve"> with the legal framework of the PFMA</w:t>
      </w:r>
      <w:r w:rsidR="002E6023" w:rsidRPr="00B72ABF">
        <w:t>,</w:t>
      </w:r>
      <w:r w:rsidR="00E353E7" w:rsidRPr="00B72ABF">
        <w:t xml:space="preserve"> </w:t>
      </w:r>
      <w:r w:rsidR="002A74F4" w:rsidRPr="00B72ABF">
        <w:t>inter alia. This much is evident from what it stated in its tender documents where the following is stated:</w:t>
      </w:r>
    </w:p>
    <w:p w14:paraId="1841B376" w14:textId="2F545ED0" w:rsidR="00DE6266" w:rsidRPr="00B72ABF" w:rsidRDefault="00284FA6" w:rsidP="00F70F35">
      <w:pPr>
        <w:pStyle w:val="ListParagraph"/>
        <w:spacing w:after="360" w:line="480" w:lineRule="auto"/>
        <w:ind w:left="2160"/>
        <w:jc w:val="both"/>
        <w:rPr>
          <w:b/>
          <w:bCs/>
          <w:i/>
          <w:iCs w:val="0"/>
        </w:rPr>
      </w:pPr>
      <w:r w:rsidRPr="00B72ABF">
        <w:rPr>
          <w:i/>
          <w:iCs w:val="0"/>
          <w:color w:val="000000"/>
        </w:rPr>
        <w:t>“</w:t>
      </w:r>
      <w:r w:rsidR="00DE6266" w:rsidRPr="00B72ABF">
        <w:rPr>
          <w:i/>
          <w:iCs w:val="0"/>
          <w:color w:val="000000"/>
        </w:rPr>
        <w:t>Our advisory services team with broad industry knowledge, has experience in raising capital and implementing solutions that unlock private-public participation.</w:t>
      </w:r>
      <w:r w:rsidRPr="00B72ABF">
        <w:rPr>
          <w:i/>
          <w:iCs w:val="0"/>
          <w:color w:val="000000"/>
        </w:rPr>
        <w:t>”</w:t>
      </w:r>
    </w:p>
    <w:p w14:paraId="665E3CBB" w14:textId="280E41E7" w:rsidR="00284FA6" w:rsidRPr="00F70F35" w:rsidRDefault="00F70F35" w:rsidP="00F70F35">
      <w:pPr>
        <w:spacing w:after="360" w:line="480" w:lineRule="auto"/>
        <w:jc w:val="both"/>
        <w:rPr>
          <w:b/>
          <w:bCs/>
          <w:i/>
          <w:iCs w:val="0"/>
        </w:rPr>
      </w:pPr>
      <w:r>
        <w:rPr>
          <w:color w:val="000000"/>
        </w:rPr>
        <w:t>[63]</w:t>
      </w:r>
      <w:r>
        <w:rPr>
          <w:color w:val="000000"/>
        </w:rPr>
        <w:tab/>
      </w:r>
      <w:r w:rsidR="00284FA6" w:rsidRPr="00F70F35">
        <w:rPr>
          <w:color w:val="000000"/>
        </w:rPr>
        <w:t>In the same document Arkein goes on to state</w:t>
      </w:r>
      <w:r w:rsidR="008C2946" w:rsidRPr="00F70F35">
        <w:rPr>
          <w:color w:val="000000"/>
        </w:rPr>
        <w:t xml:space="preserve"> that it was involved in</w:t>
      </w:r>
      <w:r w:rsidR="00284FA6" w:rsidRPr="00F70F35">
        <w:rPr>
          <w:color w:val="000000"/>
        </w:rPr>
        <w:t>:</w:t>
      </w:r>
    </w:p>
    <w:p w14:paraId="585AE111" w14:textId="3DE63C6F" w:rsidR="00910006" w:rsidRPr="00F70F35" w:rsidRDefault="00E71F63" w:rsidP="00F70F35">
      <w:pPr>
        <w:pStyle w:val="ListParagraph"/>
        <w:spacing w:after="360" w:line="480" w:lineRule="auto"/>
        <w:ind w:left="2160"/>
        <w:jc w:val="both"/>
        <w:rPr>
          <w:i/>
          <w:iCs w:val="0"/>
          <w:color w:val="000000"/>
        </w:rPr>
      </w:pPr>
      <w:r w:rsidRPr="00B72ABF">
        <w:rPr>
          <w:i/>
          <w:iCs w:val="0"/>
          <w:color w:val="000000"/>
        </w:rPr>
        <w:t>“</w:t>
      </w:r>
      <w:r w:rsidR="008C2946" w:rsidRPr="00B72ABF">
        <w:rPr>
          <w:i/>
          <w:iCs w:val="0"/>
          <w:color w:val="000000"/>
        </w:rPr>
        <w:t>R</w:t>
      </w:r>
      <w:r w:rsidR="002978A9" w:rsidRPr="00B72ABF">
        <w:rPr>
          <w:i/>
          <w:iCs w:val="0"/>
          <w:color w:val="000000"/>
        </w:rPr>
        <w:t>---</w:t>
      </w:r>
      <w:r w:rsidR="008C2946" w:rsidRPr="00B72ABF">
        <w:rPr>
          <w:i/>
          <w:iCs w:val="0"/>
          <w:color w:val="000000"/>
        </w:rPr>
        <w:t xml:space="preserve"> first bond issues for the Municipality of Johannesburg 2. R</w:t>
      </w:r>
      <w:r w:rsidRPr="00B72ABF">
        <w:rPr>
          <w:i/>
          <w:iCs w:val="0"/>
          <w:color w:val="000000"/>
        </w:rPr>
        <w:t>--</w:t>
      </w:r>
      <w:r w:rsidR="008C2946" w:rsidRPr="00B72ABF">
        <w:rPr>
          <w:i/>
          <w:iCs w:val="0"/>
          <w:color w:val="000000"/>
        </w:rPr>
        <w:t xml:space="preserve"> Debt Restructuring for the City of Tshwane</w:t>
      </w:r>
      <w:r w:rsidRPr="00B72ABF">
        <w:rPr>
          <w:i/>
          <w:iCs w:val="0"/>
          <w:color w:val="000000"/>
        </w:rPr>
        <w:t>”</w:t>
      </w:r>
      <w:r w:rsidR="005B1133" w:rsidRPr="00B72ABF">
        <w:rPr>
          <w:rStyle w:val="FootnoteReference"/>
          <w:i/>
          <w:iCs w:val="0"/>
          <w:color w:val="000000"/>
        </w:rPr>
        <w:footnoteReference w:id="16"/>
      </w:r>
    </w:p>
    <w:p w14:paraId="677DF7D8" w14:textId="43CCE2D1" w:rsidR="008C5FFA" w:rsidRPr="00F70F35" w:rsidRDefault="00F70F35" w:rsidP="00F70F35">
      <w:pPr>
        <w:spacing w:after="360" w:line="480" w:lineRule="auto"/>
        <w:ind w:left="720" w:hanging="720"/>
        <w:jc w:val="both"/>
        <w:rPr>
          <w:b/>
          <w:bCs/>
          <w:i/>
          <w:iCs w:val="0"/>
        </w:rPr>
      </w:pPr>
      <w:r>
        <w:t>[64]</w:t>
      </w:r>
      <w:r>
        <w:tab/>
      </w:r>
      <w:r w:rsidR="00910006" w:rsidRPr="00B72ABF">
        <w:t>In addition to this</w:t>
      </w:r>
      <w:r w:rsidR="003F7FE5" w:rsidRPr="00B72ABF">
        <w:t>,</w:t>
      </w:r>
      <w:r w:rsidR="00910006" w:rsidRPr="00B72ABF">
        <w:t xml:space="preserve"> a further criticism of </w:t>
      </w:r>
      <w:r w:rsidR="00DB4822" w:rsidRPr="00B72ABF">
        <w:t>Arkein’ s</w:t>
      </w:r>
      <w:r w:rsidR="003F7FE5" w:rsidRPr="00B72ABF">
        <w:t xml:space="preserve"> conduct</w:t>
      </w:r>
      <w:r w:rsidR="00910006" w:rsidRPr="00B72ABF">
        <w:t xml:space="preserve"> made </w:t>
      </w:r>
      <w:r w:rsidR="00392544" w:rsidRPr="00B72ABF">
        <w:t xml:space="preserve">in the review </w:t>
      </w:r>
      <w:r w:rsidR="009E2311" w:rsidRPr="00B72ABF">
        <w:t xml:space="preserve">concerned the fairness of the tender process. The record </w:t>
      </w:r>
      <w:r w:rsidR="00E2042E" w:rsidRPr="00B72ABF">
        <w:t>shows</w:t>
      </w:r>
      <w:r w:rsidR="00A809B5" w:rsidRPr="00B72ABF">
        <w:t>,</w:t>
      </w:r>
      <w:r w:rsidR="00E2042E" w:rsidRPr="00B72ABF">
        <w:t xml:space="preserve"> and this fact is independent of the audit </w:t>
      </w:r>
      <w:r w:rsidR="00A809B5" w:rsidRPr="00B72ABF">
        <w:t>firm’s</w:t>
      </w:r>
      <w:r w:rsidR="00E2042E" w:rsidRPr="00B72ABF">
        <w:t xml:space="preserve"> </w:t>
      </w:r>
      <w:r w:rsidR="00231D5D" w:rsidRPr="00B72ABF">
        <w:t>findings</w:t>
      </w:r>
      <w:r w:rsidR="005E7BA4" w:rsidRPr="00B72ABF">
        <w:t>,</w:t>
      </w:r>
      <w:r w:rsidR="00231D5D" w:rsidRPr="00B72ABF">
        <w:t xml:space="preserve"> and thus not subject to any criticism</w:t>
      </w:r>
      <w:r w:rsidR="00E505D2" w:rsidRPr="00B72ABF">
        <w:t xml:space="preserve"> that the court a quo should not have received them as hearsay evidence</w:t>
      </w:r>
      <w:r w:rsidR="00231D5D" w:rsidRPr="00B72ABF">
        <w:t>,</w:t>
      </w:r>
      <w:r w:rsidR="00E2042E" w:rsidRPr="00B72ABF">
        <w:t xml:space="preserve"> that Arkein had acted pre-emptively in securing a funder </w:t>
      </w:r>
      <w:r w:rsidR="00EC55F8" w:rsidRPr="00B72ABF">
        <w:t>in the form of the AF</w:t>
      </w:r>
      <w:r w:rsidR="00E84633" w:rsidRPr="00B72ABF">
        <w:t>D</w:t>
      </w:r>
      <w:r w:rsidR="00F81CDA" w:rsidRPr="00B72ABF">
        <w:t>,</w:t>
      </w:r>
      <w:r w:rsidR="00EC55F8" w:rsidRPr="00B72ABF">
        <w:t xml:space="preserve"> which had then written to GPF directly, prior not only </w:t>
      </w:r>
      <w:r w:rsidR="007766FC" w:rsidRPr="00B72ABF">
        <w:t xml:space="preserve">to </w:t>
      </w:r>
      <w:r w:rsidR="00EC55F8" w:rsidRPr="00B72ABF">
        <w:t>its appointment as a</w:t>
      </w:r>
      <w:r w:rsidR="0054680F" w:rsidRPr="00B72ABF">
        <w:t>n advisor</w:t>
      </w:r>
      <w:r w:rsidR="007766FC" w:rsidRPr="00B72ABF">
        <w:t>,</w:t>
      </w:r>
      <w:r w:rsidR="0054680F" w:rsidRPr="00B72ABF">
        <w:t xml:space="preserve"> but also prior </w:t>
      </w:r>
      <w:r w:rsidR="001F4C22" w:rsidRPr="00B72ABF">
        <w:t>to</w:t>
      </w:r>
      <w:r w:rsidR="0054680F" w:rsidRPr="00B72ABF">
        <w:t xml:space="preserve"> the closing </w:t>
      </w:r>
      <w:r w:rsidR="003F7FE5" w:rsidRPr="00B72ABF">
        <w:t>date for the submission of the bids.</w:t>
      </w:r>
    </w:p>
    <w:p w14:paraId="3CAD3D23" w14:textId="755FB426" w:rsidR="008C5FFA" w:rsidRPr="00F70F35" w:rsidRDefault="00F70F35" w:rsidP="00F70F35">
      <w:pPr>
        <w:spacing w:after="360" w:line="480" w:lineRule="auto"/>
        <w:ind w:left="720" w:hanging="720"/>
        <w:jc w:val="both"/>
        <w:rPr>
          <w:b/>
          <w:bCs/>
          <w:i/>
          <w:iCs w:val="0"/>
        </w:rPr>
      </w:pPr>
      <w:r>
        <w:lastRenderedPageBreak/>
        <w:t>[65]</w:t>
      </w:r>
      <w:r>
        <w:tab/>
      </w:r>
      <w:r w:rsidR="008C5FFA" w:rsidRPr="00B72ABF">
        <w:t xml:space="preserve">The GPF had itself highlighted this problem </w:t>
      </w:r>
      <w:r w:rsidR="009A7557" w:rsidRPr="00B72ABF">
        <w:t>as early as June 201</w:t>
      </w:r>
      <w:r w:rsidR="00C06F5F" w:rsidRPr="00B72ABF">
        <w:t>7</w:t>
      </w:r>
      <w:r w:rsidR="006C731E" w:rsidRPr="00B72ABF">
        <w:t xml:space="preserve"> </w:t>
      </w:r>
      <w:r w:rsidR="00C06F5F" w:rsidRPr="00B72ABF">
        <w:t>in a report to the Trustees by Mr Tim Sukazi</w:t>
      </w:r>
      <w:r w:rsidR="006C731E" w:rsidRPr="00B72ABF">
        <w:t>,</w:t>
      </w:r>
      <w:r w:rsidR="00353054" w:rsidRPr="00B72ABF">
        <w:t xml:space="preserve"> the chairperson of the </w:t>
      </w:r>
      <w:r w:rsidR="006E68DB" w:rsidRPr="00B72ABF">
        <w:t>Fund-raising</w:t>
      </w:r>
      <w:r w:rsidR="00353054" w:rsidRPr="00B72ABF">
        <w:t xml:space="preserve"> committee</w:t>
      </w:r>
      <w:r w:rsidR="006C731E" w:rsidRPr="00B72ABF">
        <w:t>,</w:t>
      </w:r>
      <w:r w:rsidR="00353054" w:rsidRPr="00B72ABF">
        <w:t xml:space="preserve"> and one of the first to express alarm </w:t>
      </w:r>
      <w:r w:rsidR="003E3115" w:rsidRPr="00B72ABF">
        <w:t>with arrangement secured with Arkein. He</w:t>
      </w:r>
      <w:r w:rsidR="00AC335D" w:rsidRPr="00B72ABF">
        <w:t xml:space="preserve"> noted the following:</w:t>
      </w:r>
    </w:p>
    <w:p w14:paraId="6120B153" w14:textId="10B0380D" w:rsidR="008C5FFA" w:rsidRPr="00B72ABF" w:rsidRDefault="00B75302" w:rsidP="00F70F35">
      <w:pPr>
        <w:pStyle w:val="ListParagraph"/>
        <w:spacing w:after="360" w:line="480" w:lineRule="auto"/>
        <w:ind w:left="2160"/>
        <w:jc w:val="both"/>
        <w:rPr>
          <w:i/>
          <w:iCs w:val="0"/>
        </w:rPr>
      </w:pPr>
      <w:r w:rsidRPr="00B72ABF">
        <w:rPr>
          <w:i/>
          <w:iCs w:val="0"/>
        </w:rPr>
        <w:t>“</w:t>
      </w:r>
      <w:r w:rsidR="008C5FFA" w:rsidRPr="00B72ABF">
        <w:rPr>
          <w:i/>
          <w:iCs w:val="0"/>
        </w:rPr>
        <w:t>As indicated above, Ar</w:t>
      </w:r>
      <w:r w:rsidR="00CE0ED3" w:rsidRPr="00B72ABF">
        <w:rPr>
          <w:i/>
          <w:iCs w:val="0"/>
        </w:rPr>
        <w:t>k</w:t>
      </w:r>
      <w:r w:rsidR="008C5FFA" w:rsidRPr="00B72ABF">
        <w:rPr>
          <w:i/>
          <w:iCs w:val="0"/>
        </w:rPr>
        <w:t>ein presented its proposal to GPF on</w:t>
      </w:r>
      <w:r w:rsidR="00AC335D" w:rsidRPr="00B72ABF">
        <w:rPr>
          <w:i/>
          <w:iCs w:val="0"/>
        </w:rPr>
        <w:t>e</w:t>
      </w:r>
      <w:r w:rsidR="008C5FFA" w:rsidRPr="00B72ABF">
        <w:rPr>
          <w:i/>
          <w:iCs w:val="0"/>
        </w:rPr>
        <w:t xml:space="preserve"> month ahead of the date on which all 4 qualifying bidders were recommended to the GPF Board. The approval of the 4 bidders was subject to them </w:t>
      </w:r>
      <w:r w:rsidR="00C8455D" w:rsidRPr="00B72ABF">
        <w:t>(sic)</w:t>
      </w:r>
      <w:r w:rsidR="008C5FFA" w:rsidRPr="00B72ABF">
        <w:rPr>
          <w:i/>
          <w:iCs w:val="0"/>
        </w:rPr>
        <w:t xml:space="preserve">presented funding proposals within 3 months. Unless all bidders presented their funding proposal ahead of time the question remains as to the timing of </w:t>
      </w:r>
      <w:r w:rsidR="00DB4822" w:rsidRPr="00B72ABF">
        <w:rPr>
          <w:i/>
          <w:iCs w:val="0"/>
        </w:rPr>
        <w:t>Arkein’ s</w:t>
      </w:r>
      <w:r w:rsidR="008C5FFA" w:rsidRPr="00B72ABF">
        <w:rPr>
          <w:i/>
          <w:iCs w:val="0"/>
        </w:rPr>
        <w:t xml:space="preserve"> funding proposal ahead </w:t>
      </w:r>
      <w:r w:rsidR="00335976" w:rsidRPr="00B72ABF">
        <w:rPr>
          <w:i/>
          <w:iCs w:val="0"/>
        </w:rPr>
        <w:t>of the</w:t>
      </w:r>
      <w:r w:rsidR="008C5FFA" w:rsidRPr="00B72ABF">
        <w:rPr>
          <w:i/>
          <w:iCs w:val="0"/>
        </w:rPr>
        <w:t xml:space="preserve"> Board approval of the appointment of Arkein and other bidders.</w:t>
      </w:r>
      <w:r w:rsidRPr="00B72ABF">
        <w:rPr>
          <w:i/>
          <w:iCs w:val="0"/>
        </w:rPr>
        <w:t>”</w:t>
      </w:r>
    </w:p>
    <w:p w14:paraId="0F01E4F9" w14:textId="1A0BD0B1" w:rsidR="00910006" w:rsidRPr="00F70F35" w:rsidRDefault="00F70F35" w:rsidP="00F70F35">
      <w:pPr>
        <w:spacing w:after="360" w:line="480" w:lineRule="auto"/>
        <w:ind w:left="720" w:hanging="720"/>
        <w:jc w:val="both"/>
        <w:rPr>
          <w:b/>
          <w:bCs/>
          <w:i/>
          <w:iCs w:val="0"/>
        </w:rPr>
      </w:pPr>
      <w:r>
        <w:t>[66]</w:t>
      </w:r>
      <w:r>
        <w:tab/>
      </w:r>
      <w:r w:rsidR="008F1ECA" w:rsidRPr="00B72ABF">
        <w:t>Moreover</w:t>
      </w:r>
      <w:r w:rsidR="00213800" w:rsidRPr="00B72ABF">
        <w:t>,</w:t>
      </w:r>
      <w:r w:rsidR="008F1ECA" w:rsidRPr="00B72ABF">
        <w:t xml:space="preserve"> a</w:t>
      </w:r>
      <w:r w:rsidR="00341C80" w:rsidRPr="00B72ABF">
        <w:t>s Molahlehi J noted</w:t>
      </w:r>
      <w:r w:rsidR="008F1ECA" w:rsidRPr="00B72ABF">
        <w:t>,</w:t>
      </w:r>
      <w:r w:rsidR="00341C80" w:rsidRPr="00B72ABF">
        <w:t xml:space="preserve"> </w:t>
      </w:r>
      <w:r w:rsidR="0001445E" w:rsidRPr="00B72ABF">
        <w:t>in November 2015</w:t>
      </w:r>
      <w:r w:rsidR="008F1ECA" w:rsidRPr="00B72ABF">
        <w:t>,</w:t>
      </w:r>
      <w:r w:rsidR="0001445E" w:rsidRPr="00B72ABF">
        <w:t xml:space="preserve"> five months after the closing of the bid</w:t>
      </w:r>
      <w:r w:rsidR="008E2011" w:rsidRPr="00B72ABF">
        <w:t>,</w:t>
      </w:r>
      <w:r w:rsidR="0001445E" w:rsidRPr="00B72ABF">
        <w:t xml:space="preserve"> </w:t>
      </w:r>
      <w:r w:rsidR="00E0372E" w:rsidRPr="00B72ABF">
        <w:t>another bidder</w:t>
      </w:r>
      <w:r w:rsidR="00E86FD4" w:rsidRPr="00B72ABF">
        <w:t>,</w:t>
      </w:r>
      <w:r w:rsidR="00E0372E" w:rsidRPr="00B72ABF">
        <w:t xml:space="preserve"> Nations Capital</w:t>
      </w:r>
      <w:r w:rsidR="008E2011" w:rsidRPr="00B72ABF">
        <w:t>,</w:t>
      </w:r>
      <w:r w:rsidR="00E0372E" w:rsidRPr="00B72ABF">
        <w:t xml:space="preserve"> had advised the GPF that the Development Bank of South Africa </w:t>
      </w:r>
      <w:r w:rsidR="00E74E07" w:rsidRPr="00B72ABF">
        <w:t xml:space="preserve">had expressed interest in providing funding in an amount of 1,5 billion to R2 billion rand. </w:t>
      </w:r>
      <w:r w:rsidR="00223B9B" w:rsidRPr="00B72ABF">
        <w:t>Molahlehi J remarked:</w:t>
      </w:r>
    </w:p>
    <w:p w14:paraId="77C80B88" w14:textId="5FD055E2" w:rsidR="008E5E20" w:rsidRPr="00B72ABF" w:rsidRDefault="00223B9B" w:rsidP="00F70F35">
      <w:pPr>
        <w:pStyle w:val="ListParagraph"/>
        <w:spacing w:after="360" w:line="480" w:lineRule="auto"/>
        <w:ind w:left="2160"/>
        <w:jc w:val="both"/>
        <w:rPr>
          <w:i/>
          <w:iCs w:val="0"/>
        </w:rPr>
      </w:pPr>
      <w:r w:rsidRPr="00B72ABF">
        <w:rPr>
          <w:i/>
          <w:iCs w:val="0"/>
        </w:rPr>
        <w:t>“There is no explanation from Mr Muvevi as to what extent the DBSA’s proposal was given attention.”</w:t>
      </w:r>
    </w:p>
    <w:p w14:paraId="5F705E2B" w14:textId="7D9A5DCE" w:rsidR="008E5E20" w:rsidRPr="00F70F35" w:rsidRDefault="00F70F35" w:rsidP="00F70F35">
      <w:pPr>
        <w:spacing w:after="360" w:line="480" w:lineRule="auto"/>
        <w:ind w:left="720" w:hanging="720"/>
        <w:jc w:val="both"/>
        <w:rPr>
          <w:b/>
          <w:bCs/>
          <w:i/>
          <w:iCs w:val="0"/>
        </w:rPr>
      </w:pPr>
      <w:r>
        <w:t>[67]</w:t>
      </w:r>
      <w:r>
        <w:tab/>
      </w:r>
      <w:r w:rsidR="008B6568" w:rsidRPr="00B72ABF">
        <w:t>Thus,</w:t>
      </w:r>
      <w:r w:rsidR="00CF2262" w:rsidRPr="00B72ABF">
        <w:t xml:space="preserve"> pre-emption in a bidding process is serious</w:t>
      </w:r>
      <w:r w:rsidR="007F6C99" w:rsidRPr="00B72ABF">
        <w:t xml:space="preserve"> because at a level of principle i</w:t>
      </w:r>
      <w:r w:rsidR="00CF2262" w:rsidRPr="00B72ABF">
        <w:t xml:space="preserve">t undermines the constitutionally mandated </w:t>
      </w:r>
      <w:r w:rsidR="00577048" w:rsidRPr="00B72ABF">
        <w:t>requirements that</w:t>
      </w:r>
      <w:r w:rsidR="00CF2262" w:rsidRPr="00B72ABF">
        <w:t xml:space="preserve"> tenders are</w:t>
      </w:r>
      <w:r w:rsidR="00B919AC" w:rsidRPr="00B72ABF">
        <w:t>,</w:t>
      </w:r>
      <w:r w:rsidR="00CF2262" w:rsidRPr="00B72ABF">
        <w:t xml:space="preserve"> </w:t>
      </w:r>
      <w:r w:rsidR="00190C3D" w:rsidRPr="00B72ABF">
        <w:t>inter alia</w:t>
      </w:r>
      <w:r w:rsidR="00B919AC" w:rsidRPr="00B72ABF">
        <w:t>,</w:t>
      </w:r>
      <w:r w:rsidR="00190C3D" w:rsidRPr="00B72ABF">
        <w:t xml:space="preserve"> fair, </w:t>
      </w:r>
      <w:r w:rsidR="001D4BE1" w:rsidRPr="00B72ABF">
        <w:t xml:space="preserve">transparent, </w:t>
      </w:r>
      <w:r w:rsidR="00190C3D" w:rsidRPr="00B72ABF">
        <w:t>competitive and cost effective</w:t>
      </w:r>
      <w:r w:rsidR="00533BF1" w:rsidRPr="00B72ABF">
        <w:t>.</w:t>
      </w:r>
      <w:r w:rsidR="001D0D71" w:rsidRPr="00B72ABF">
        <w:rPr>
          <w:rStyle w:val="FootnoteReference"/>
        </w:rPr>
        <w:t xml:space="preserve"> </w:t>
      </w:r>
      <w:r w:rsidR="001D0D71" w:rsidRPr="00B72ABF">
        <w:rPr>
          <w:rStyle w:val="FootnoteReference"/>
        </w:rPr>
        <w:footnoteReference w:id="17"/>
      </w:r>
      <w:r w:rsidR="00577048" w:rsidRPr="00B72ABF">
        <w:t xml:space="preserve"> </w:t>
      </w:r>
      <w:r w:rsidR="00533BF1" w:rsidRPr="00B72ABF">
        <w:t>Bu</w:t>
      </w:r>
      <w:r w:rsidR="0057034B" w:rsidRPr="00B72ABF">
        <w:t xml:space="preserve">t on the facts of this </w:t>
      </w:r>
      <w:r w:rsidR="0057034B" w:rsidRPr="00B72ABF">
        <w:lastRenderedPageBreak/>
        <w:t>case</w:t>
      </w:r>
      <w:r w:rsidR="00CB764E" w:rsidRPr="00B72ABF">
        <w:t>,</w:t>
      </w:r>
      <w:r w:rsidR="0057034B" w:rsidRPr="00B72ABF">
        <w:t xml:space="preserve"> even </w:t>
      </w:r>
      <w:r w:rsidR="00CB764E" w:rsidRPr="00B72ABF">
        <w:t xml:space="preserve">if </w:t>
      </w:r>
      <w:r w:rsidR="0057034B" w:rsidRPr="00B72ABF">
        <w:t xml:space="preserve">the tender </w:t>
      </w:r>
      <w:r w:rsidR="00CB764E" w:rsidRPr="00B72ABF">
        <w:t xml:space="preserve">had </w:t>
      </w:r>
      <w:r w:rsidR="0057034B" w:rsidRPr="00B72ABF">
        <w:t>been given Treasury permission</w:t>
      </w:r>
      <w:r w:rsidR="007E30BA" w:rsidRPr="00B72ABF">
        <w:t>,</w:t>
      </w:r>
      <w:r w:rsidR="0057034B" w:rsidRPr="00B72ABF">
        <w:t xml:space="preserve"> and would thus have been intra </w:t>
      </w:r>
      <w:r w:rsidR="00654D99" w:rsidRPr="00B72ABF">
        <w:t>vires,</w:t>
      </w:r>
      <w:r w:rsidR="0057034B" w:rsidRPr="00B72ABF">
        <w:t xml:space="preserve"> </w:t>
      </w:r>
      <w:r w:rsidR="004706B8" w:rsidRPr="00B72ABF">
        <w:t xml:space="preserve">pre-emption may have </w:t>
      </w:r>
      <w:r w:rsidR="00EE3DBC" w:rsidRPr="00B72ABF">
        <w:t xml:space="preserve">led to a </w:t>
      </w:r>
      <w:r w:rsidR="004706B8" w:rsidRPr="00B72ABF">
        <w:t xml:space="preserve">failure to </w:t>
      </w:r>
      <w:r w:rsidR="00EE3DBC" w:rsidRPr="00B72ABF">
        <w:t>consider another possibly superior bid</w:t>
      </w:r>
      <w:r w:rsidR="00190C3D" w:rsidRPr="00B72ABF">
        <w:t>.</w:t>
      </w:r>
    </w:p>
    <w:p w14:paraId="54E6D399" w14:textId="34AEF40B" w:rsidR="007E2C90" w:rsidRPr="00F70F35" w:rsidRDefault="00F70F35" w:rsidP="00F70F35">
      <w:pPr>
        <w:spacing w:after="360" w:line="480" w:lineRule="auto"/>
        <w:ind w:left="720" w:hanging="720"/>
        <w:jc w:val="both"/>
        <w:rPr>
          <w:b/>
          <w:bCs/>
          <w:i/>
          <w:iCs w:val="0"/>
        </w:rPr>
      </w:pPr>
      <w:r>
        <w:t>[68]</w:t>
      </w:r>
      <w:r>
        <w:tab/>
      </w:r>
      <w:r w:rsidR="00A33F35" w:rsidRPr="00B72ABF">
        <w:t>Finally,</w:t>
      </w:r>
      <w:r w:rsidR="00EE24E7" w:rsidRPr="00B72ABF">
        <w:t xml:space="preserve"> there is some doubt in respect of the payment</w:t>
      </w:r>
      <w:r w:rsidR="00264835" w:rsidRPr="00B72ABF">
        <w:t xml:space="preserve"> made for milestone 1. Even on the assumption that the contract was intra vires, </w:t>
      </w:r>
      <w:r w:rsidR="00661BE9" w:rsidRPr="00B72ABF">
        <w:t xml:space="preserve">it is not clear that Arkein </w:t>
      </w:r>
      <w:r w:rsidR="0072001F" w:rsidRPr="00B72ABF">
        <w:t>was entitled to the payment on a proper interpretation of the Letter of Inte</w:t>
      </w:r>
      <w:r w:rsidR="002808F9" w:rsidRPr="00B72ABF">
        <w:t>nt</w:t>
      </w:r>
      <w:r w:rsidR="0072001F" w:rsidRPr="00B72ABF">
        <w:t>.</w:t>
      </w:r>
      <w:r w:rsidR="00B2066D" w:rsidRPr="00B72ABF">
        <w:t xml:space="preserve"> </w:t>
      </w:r>
      <w:r w:rsidR="004F699D" w:rsidRPr="00B72ABF">
        <w:t xml:space="preserve">Arkein was only entitled to </w:t>
      </w:r>
      <w:r w:rsidR="00CE05E5" w:rsidRPr="00B72ABF">
        <w:t>payment in</w:t>
      </w:r>
      <w:r w:rsidR="004F699D" w:rsidRPr="00B72ABF">
        <w:t xml:space="preserve"> respect of </w:t>
      </w:r>
      <w:r w:rsidR="00CA669B" w:rsidRPr="00B72ABF">
        <w:t>Milestone</w:t>
      </w:r>
      <w:r w:rsidR="006742A1" w:rsidRPr="00B72ABF">
        <w:t xml:space="preserve"> </w:t>
      </w:r>
      <w:r w:rsidR="00CA669B" w:rsidRPr="00B72ABF">
        <w:t>1</w:t>
      </w:r>
      <w:r w:rsidR="006742A1" w:rsidRPr="00B72ABF">
        <w:t>,</w:t>
      </w:r>
      <w:r w:rsidR="00CA669B" w:rsidRPr="00B72ABF">
        <w:t xml:space="preserve"> </w:t>
      </w:r>
      <w:r w:rsidR="004F699D" w:rsidRPr="00B72ABF">
        <w:t>which represented 25% of its fee</w:t>
      </w:r>
      <w:r w:rsidR="00155C9B" w:rsidRPr="00B72ABF">
        <w:t>, if</w:t>
      </w:r>
      <w:r w:rsidR="004F699D" w:rsidRPr="00B72ABF">
        <w:t xml:space="preserve"> i</w:t>
      </w:r>
      <w:r w:rsidR="00D55404" w:rsidRPr="00B72ABF">
        <w:t xml:space="preserve">t had </w:t>
      </w:r>
      <w:r w:rsidR="00CE05E5" w:rsidRPr="00B72ABF">
        <w:t>succeeded</w:t>
      </w:r>
      <w:r w:rsidR="00D55404" w:rsidRPr="00B72ABF">
        <w:t xml:space="preserve"> in obtaining a signed </w:t>
      </w:r>
      <w:r w:rsidR="00155C9B" w:rsidRPr="00B72ABF">
        <w:t>‘</w:t>
      </w:r>
      <w:r w:rsidR="00D55404" w:rsidRPr="00B72ABF">
        <w:t>term sheet</w:t>
      </w:r>
      <w:r w:rsidR="00155C9B" w:rsidRPr="00B72ABF">
        <w:t>’</w:t>
      </w:r>
      <w:r w:rsidR="00D55404" w:rsidRPr="00B72ABF">
        <w:t xml:space="preserve"> with the funder.</w:t>
      </w:r>
      <w:r w:rsidR="00B700DB" w:rsidRPr="00B72ABF">
        <w:t xml:space="preserve"> </w:t>
      </w:r>
    </w:p>
    <w:p w14:paraId="49049BBF" w14:textId="3824794D" w:rsidR="007E2C90" w:rsidRPr="00F70F35" w:rsidRDefault="00F70F35" w:rsidP="00F70F35">
      <w:pPr>
        <w:spacing w:after="360" w:line="480" w:lineRule="auto"/>
        <w:ind w:left="720" w:hanging="720"/>
        <w:jc w:val="both"/>
        <w:rPr>
          <w:b/>
          <w:bCs/>
          <w:i/>
          <w:iCs w:val="0"/>
        </w:rPr>
      </w:pPr>
      <w:r>
        <w:t>[69]</w:t>
      </w:r>
      <w:r>
        <w:tab/>
      </w:r>
      <w:r w:rsidR="007E2C90" w:rsidRPr="00B72ABF">
        <w:t>I accept that in ordinary commerce a term sheet is not meant to be a binding document. Nevertheless</w:t>
      </w:r>
      <w:r w:rsidR="000A0C7D" w:rsidRPr="00B72ABF">
        <w:t>,</w:t>
      </w:r>
      <w:r w:rsidR="007E2C90" w:rsidRPr="00B72ABF">
        <w:t xml:space="preserve"> </w:t>
      </w:r>
      <w:r w:rsidR="00EA720C" w:rsidRPr="00B72ABF">
        <w:t xml:space="preserve">according to one online commercial dictionary it is meant to </w:t>
      </w:r>
      <w:r w:rsidR="00381EE4" w:rsidRPr="00B72ABF">
        <w:t xml:space="preserve">outline </w:t>
      </w:r>
      <w:r w:rsidR="00381EE4" w:rsidRPr="00F70F35">
        <w:rPr>
          <w:i/>
          <w:iCs w:val="0"/>
        </w:rPr>
        <w:t>“</w:t>
      </w:r>
      <w:r w:rsidR="00381EE4" w:rsidRPr="00F70F35">
        <w:rPr>
          <w:i/>
          <w:iCs w:val="0"/>
          <w:color w:val="111111"/>
          <w:spacing w:val="1"/>
          <w:shd w:val="clear" w:color="auto" w:fill="FFFFFF"/>
        </w:rPr>
        <w:t>the basic terms and conditions under which an investment will be made.”</w:t>
      </w:r>
      <w:r w:rsidR="00381EE4" w:rsidRPr="00F70F35">
        <w:rPr>
          <w:color w:val="111111"/>
          <w:spacing w:val="1"/>
          <w:shd w:val="clear" w:color="auto" w:fill="FFFFFF"/>
        </w:rPr>
        <w:t xml:space="preserve"> and to</w:t>
      </w:r>
      <w:r w:rsidR="00381EE4" w:rsidRPr="00F70F35">
        <w:rPr>
          <w:i/>
          <w:iCs w:val="0"/>
          <w:color w:val="111111"/>
          <w:spacing w:val="1"/>
          <w:shd w:val="clear" w:color="auto" w:fill="FFFFFF"/>
        </w:rPr>
        <w:t xml:space="preserve"> </w:t>
      </w:r>
      <w:r w:rsidR="00C71AC9" w:rsidRPr="00F70F35">
        <w:rPr>
          <w:i/>
          <w:iCs w:val="0"/>
          <w:color w:val="111111"/>
          <w:spacing w:val="1"/>
          <w:shd w:val="clear" w:color="auto" w:fill="FFFFFF"/>
        </w:rPr>
        <w:t>“</w:t>
      </w:r>
      <w:r w:rsidR="00A15F25" w:rsidRPr="00F70F35">
        <w:rPr>
          <w:i/>
          <w:iCs w:val="0"/>
          <w:color w:val="111111"/>
          <w:spacing w:val="1"/>
          <w:shd w:val="clear" w:color="auto" w:fill="FFFFFF"/>
        </w:rPr>
        <w:t>…</w:t>
      </w:r>
      <w:r w:rsidR="00736946" w:rsidRPr="00F70F35">
        <w:rPr>
          <w:i/>
          <w:iCs w:val="0"/>
          <w:color w:val="111111"/>
          <w:spacing w:val="1"/>
          <w:shd w:val="clear" w:color="auto" w:fill="FFFFFF"/>
        </w:rPr>
        <w:t>cover the significant aspects of a deal without detailing every minor contingency covered by a binding contract. This helps ensure the parties in a business transaction agree on most major aspects while reducing the likelihood of a misunderstanding.</w:t>
      </w:r>
      <w:r w:rsidR="00C71AC9" w:rsidRPr="00F70F35">
        <w:rPr>
          <w:i/>
          <w:iCs w:val="0"/>
          <w:color w:val="111111"/>
          <w:spacing w:val="1"/>
          <w:shd w:val="clear" w:color="auto" w:fill="FFFFFF"/>
        </w:rPr>
        <w:t>”</w:t>
      </w:r>
      <w:r w:rsidR="0051459C" w:rsidRPr="00B72ABF">
        <w:rPr>
          <w:rStyle w:val="FootnoteReference"/>
          <w:i/>
          <w:iCs w:val="0"/>
          <w:color w:val="111111"/>
          <w:spacing w:val="1"/>
          <w:shd w:val="clear" w:color="auto" w:fill="FFFFFF"/>
        </w:rPr>
        <w:footnoteReference w:id="18"/>
      </w:r>
    </w:p>
    <w:p w14:paraId="06F11A38" w14:textId="526BB07E" w:rsidR="00EE24E7" w:rsidRPr="00F70F35" w:rsidRDefault="00F70F35" w:rsidP="00F70F35">
      <w:pPr>
        <w:spacing w:after="360" w:line="480" w:lineRule="auto"/>
        <w:ind w:left="720" w:hanging="720"/>
        <w:jc w:val="both"/>
        <w:rPr>
          <w:b/>
          <w:bCs/>
          <w:i/>
          <w:iCs w:val="0"/>
        </w:rPr>
      </w:pPr>
      <w:r>
        <w:t>[70]</w:t>
      </w:r>
      <w:r>
        <w:tab/>
      </w:r>
      <w:r w:rsidR="00B700DB" w:rsidRPr="00B72ABF">
        <w:t xml:space="preserve">The document </w:t>
      </w:r>
      <w:r w:rsidR="00B030CD" w:rsidRPr="00B72ABF">
        <w:t>r</w:t>
      </w:r>
      <w:r w:rsidR="00B700DB" w:rsidRPr="00B72ABF">
        <w:t xml:space="preserve">elied upon as </w:t>
      </w:r>
      <w:r w:rsidR="00B30711" w:rsidRPr="00B72ABF">
        <w:t>constituting</w:t>
      </w:r>
      <w:r w:rsidR="00B700DB" w:rsidRPr="00B72ABF">
        <w:t xml:space="preserve"> the term sheet</w:t>
      </w:r>
      <w:r w:rsidR="00DA3515" w:rsidRPr="00B72ABF">
        <w:t xml:space="preserve">, although it does not call itself that, </w:t>
      </w:r>
      <w:r w:rsidR="00B700DB" w:rsidRPr="00B72ABF">
        <w:t xml:space="preserve">is </w:t>
      </w:r>
      <w:r w:rsidR="009D7854" w:rsidRPr="00B72ABF">
        <w:t>the</w:t>
      </w:r>
      <w:r w:rsidR="00B700DB" w:rsidRPr="00B72ABF">
        <w:t xml:space="preserve"> letter from AFD dated</w:t>
      </w:r>
      <w:r w:rsidR="00051A33" w:rsidRPr="00B72ABF">
        <w:t xml:space="preserve"> 13 March </w:t>
      </w:r>
      <w:r w:rsidR="00015270" w:rsidRPr="00B72ABF">
        <w:t>2017, headed</w:t>
      </w:r>
      <w:r w:rsidR="00DA3515" w:rsidRPr="00B72ABF">
        <w:t xml:space="preserve"> </w:t>
      </w:r>
      <w:r w:rsidR="00035F92" w:rsidRPr="00B72ABF">
        <w:t>“</w:t>
      </w:r>
      <w:r w:rsidR="00035F92" w:rsidRPr="00F70F35">
        <w:rPr>
          <w:i/>
          <w:iCs w:val="0"/>
        </w:rPr>
        <w:t>Letter of Interest</w:t>
      </w:r>
      <w:r w:rsidR="00035F92" w:rsidRPr="00B72ABF">
        <w:t>”</w:t>
      </w:r>
      <w:r w:rsidR="009D7854" w:rsidRPr="00B72ABF">
        <w:t xml:space="preserve"> referred to earlier</w:t>
      </w:r>
      <w:r w:rsidR="00051A33" w:rsidRPr="00B72ABF">
        <w:t xml:space="preserve">. It is signed by both AFD and </w:t>
      </w:r>
      <w:r w:rsidR="00AC694D" w:rsidRPr="00B72ABF">
        <w:t>by Muve</w:t>
      </w:r>
      <w:r w:rsidR="00141AE9" w:rsidRPr="00B72ABF">
        <w:t>v</w:t>
      </w:r>
      <w:r w:rsidR="00AC694D" w:rsidRPr="00B72ABF">
        <w:t xml:space="preserve">i on behalf of the GPF. Thus it </w:t>
      </w:r>
      <w:r w:rsidR="0093168A" w:rsidRPr="00B72ABF">
        <w:t xml:space="preserve">at least </w:t>
      </w:r>
      <w:r w:rsidR="00AC694D" w:rsidRPr="00B72ABF">
        <w:t>meets the requirement of signature. Less clear</w:t>
      </w:r>
      <w:r w:rsidR="00891F40" w:rsidRPr="00B72ABF">
        <w:t>,</w:t>
      </w:r>
      <w:r w:rsidR="00AC694D" w:rsidRPr="00B72ABF">
        <w:t xml:space="preserve"> if this was </w:t>
      </w:r>
      <w:r w:rsidR="00835C2D" w:rsidRPr="00B72ABF">
        <w:t>meant to be understood as constituting a term sheet</w:t>
      </w:r>
      <w:r w:rsidR="00891F40" w:rsidRPr="00B72ABF">
        <w:t>,</w:t>
      </w:r>
      <w:r w:rsidR="00835C2D" w:rsidRPr="00B72ABF">
        <w:t xml:space="preserve"> </w:t>
      </w:r>
      <w:r w:rsidR="000846FD" w:rsidRPr="00B72ABF">
        <w:t xml:space="preserve">was whether it should still be subject to major conditions imposed by the financier. After </w:t>
      </w:r>
      <w:r w:rsidR="001D0E4A" w:rsidRPr="00B72ABF">
        <w:t>all,</w:t>
      </w:r>
      <w:r w:rsidR="000846FD" w:rsidRPr="00B72ABF">
        <w:t xml:space="preserve"> to be paid </w:t>
      </w:r>
      <w:r w:rsidR="0093168A" w:rsidRPr="00B72ABF">
        <w:lastRenderedPageBreak/>
        <w:t>25% of the fee</w:t>
      </w:r>
      <w:r w:rsidR="00FD7CF4" w:rsidRPr="00B72ABF">
        <w:t>,</w:t>
      </w:r>
      <w:r w:rsidR="0093168A" w:rsidRPr="00B72ABF">
        <w:t xml:space="preserve"> a fair interpretation of what constitutes a term sheet is </w:t>
      </w:r>
      <w:r w:rsidR="00C90C76" w:rsidRPr="00B72ABF">
        <w:t xml:space="preserve">a </w:t>
      </w:r>
      <w:r w:rsidR="00EB67B6" w:rsidRPr="00B72ABF">
        <w:t>serious statement of intent. But the language of this document suggests much remained equivocal.</w:t>
      </w:r>
      <w:r w:rsidR="00AC0EE9" w:rsidRPr="00B72ABF">
        <w:t xml:space="preserve"> </w:t>
      </w:r>
      <w:r w:rsidR="00FD7CF4" w:rsidRPr="00B72ABF">
        <w:t xml:space="preserve">Clearly </w:t>
      </w:r>
      <w:r w:rsidR="00AC0EE9" w:rsidRPr="00B72ABF">
        <w:t xml:space="preserve">belying </w:t>
      </w:r>
      <w:r w:rsidR="00AB51E5" w:rsidRPr="00B72ABF">
        <w:t xml:space="preserve">the interpretation </w:t>
      </w:r>
      <w:r w:rsidR="00AC0EE9" w:rsidRPr="00B72ABF">
        <w:t>that it is the term sheet</w:t>
      </w:r>
      <w:r w:rsidR="00AB51E5" w:rsidRPr="00B72ABF">
        <w:t>,</w:t>
      </w:r>
      <w:r w:rsidR="00AC0EE9" w:rsidRPr="00B72ABF">
        <w:t xml:space="preserve"> is the following p</w:t>
      </w:r>
      <w:r w:rsidR="00770CFD" w:rsidRPr="00B72ABF">
        <w:t xml:space="preserve">hrase. </w:t>
      </w:r>
      <w:r w:rsidR="00770CFD" w:rsidRPr="00F70F35">
        <w:rPr>
          <w:i/>
          <w:iCs w:val="0"/>
        </w:rPr>
        <w:t>“</w:t>
      </w:r>
      <w:r w:rsidR="008B04F3" w:rsidRPr="00F70F35">
        <w:rPr>
          <w:i/>
          <w:iCs w:val="0"/>
        </w:rPr>
        <w:t xml:space="preserve">The </w:t>
      </w:r>
      <w:r w:rsidR="004D1501" w:rsidRPr="00F70F35">
        <w:rPr>
          <w:i/>
          <w:iCs w:val="0"/>
        </w:rPr>
        <w:t>possibility</w:t>
      </w:r>
      <w:r w:rsidR="008B04F3" w:rsidRPr="00F70F35">
        <w:rPr>
          <w:i/>
          <w:iCs w:val="0"/>
        </w:rPr>
        <w:t xml:space="preserve"> of AFD to provide a loan will be subject inter alia </w:t>
      </w:r>
      <w:r w:rsidR="00963E42" w:rsidRPr="00F70F35">
        <w:rPr>
          <w:i/>
          <w:iCs w:val="0"/>
        </w:rPr>
        <w:t>to</w:t>
      </w:r>
      <w:r w:rsidR="006E68DB" w:rsidRPr="00F70F35">
        <w:rPr>
          <w:i/>
          <w:iCs w:val="0"/>
        </w:rPr>
        <w:t>…. (</w:t>
      </w:r>
      <w:r w:rsidR="00963E42" w:rsidRPr="00F70F35">
        <w:rPr>
          <w:i/>
          <w:iCs w:val="0"/>
        </w:rPr>
        <w:t>ii) the negotiation of a term sheet….”</w:t>
      </w:r>
    </w:p>
    <w:p w14:paraId="2A4B88D7" w14:textId="3D56392A" w:rsidR="00963E42" w:rsidRPr="00F70F35" w:rsidRDefault="00F70F35" w:rsidP="00F70F35">
      <w:pPr>
        <w:spacing w:after="360" w:line="480" w:lineRule="auto"/>
        <w:ind w:left="720" w:hanging="720"/>
        <w:jc w:val="both"/>
        <w:rPr>
          <w:b/>
          <w:bCs/>
          <w:i/>
          <w:iCs w:val="0"/>
        </w:rPr>
      </w:pPr>
      <w:r>
        <w:t>[71]</w:t>
      </w:r>
      <w:r>
        <w:tab/>
      </w:r>
      <w:r w:rsidR="00963E42" w:rsidRPr="00B72ABF">
        <w:t xml:space="preserve">It is not clear why if this was the term sheet why it should still be subject to the possible negotiation of </w:t>
      </w:r>
      <w:r w:rsidR="00AB51E5" w:rsidRPr="00B72ABF">
        <w:t xml:space="preserve">a </w:t>
      </w:r>
      <w:r w:rsidR="00963E42" w:rsidRPr="00B72ABF">
        <w:t xml:space="preserve">term sheet. </w:t>
      </w:r>
      <w:r w:rsidR="0051606C" w:rsidRPr="00B72ABF">
        <w:t>But further equivocation followed. The AFD goes on to state:</w:t>
      </w:r>
    </w:p>
    <w:p w14:paraId="0C4C6FE5" w14:textId="16D063E8" w:rsidR="0051606C" w:rsidRPr="00B72ABF" w:rsidRDefault="0002359E" w:rsidP="00F70F35">
      <w:pPr>
        <w:pStyle w:val="ListParagraph"/>
        <w:spacing w:after="360" w:line="480" w:lineRule="auto"/>
        <w:ind w:left="2160"/>
        <w:jc w:val="both"/>
        <w:rPr>
          <w:b/>
          <w:bCs/>
          <w:i/>
          <w:iCs w:val="0"/>
        </w:rPr>
      </w:pPr>
      <w:r w:rsidRPr="00B72ABF">
        <w:rPr>
          <w:i/>
          <w:iCs w:val="0"/>
        </w:rPr>
        <w:t>“</w:t>
      </w:r>
      <w:r w:rsidR="006E6E8A" w:rsidRPr="00B72ABF">
        <w:rPr>
          <w:i/>
          <w:iCs w:val="0"/>
        </w:rPr>
        <w:t xml:space="preserve">Please note that the terms and conditions of this letter of intent are indicative only </w:t>
      </w:r>
      <w:r w:rsidR="006E174E" w:rsidRPr="00B72ABF">
        <w:rPr>
          <w:i/>
          <w:iCs w:val="0"/>
        </w:rPr>
        <w:t>and do not constitute an offer or commitment of AFD to provide financing.”</w:t>
      </w:r>
    </w:p>
    <w:p w14:paraId="13E4CEF1" w14:textId="21492A3A" w:rsidR="00B063A5" w:rsidRPr="00F70F35" w:rsidRDefault="00F70F35" w:rsidP="00F70F35">
      <w:pPr>
        <w:spacing w:after="360" w:line="480" w:lineRule="auto"/>
        <w:ind w:left="720" w:hanging="720"/>
        <w:jc w:val="both"/>
        <w:rPr>
          <w:b/>
          <w:bCs/>
          <w:i/>
          <w:iCs w:val="0"/>
        </w:rPr>
      </w:pPr>
      <w:r>
        <w:t>[72]</w:t>
      </w:r>
      <w:r>
        <w:tab/>
      </w:r>
      <w:r w:rsidR="00B063A5" w:rsidRPr="00B72ABF">
        <w:t xml:space="preserve">In these circumstances it would not be just and equitable for </w:t>
      </w:r>
      <w:r w:rsidR="003B1160" w:rsidRPr="00B72ABF">
        <w:t>Arkein to enjoy the benefit of a contract which from its expertise it knew</w:t>
      </w:r>
      <w:r w:rsidR="000534B8" w:rsidRPr="00B72ABF">
        <w:t>,</w:t>
      </w:r>
      <w:r w:rsidR="003B1160" w:rsidRPr="00B72ABF">
        <w:t xml:space="preserve"> or ought to have known</w:t>
      </w:r>
      <w:r w:rsidR="000534B8" w:rsidRPr="00B72ABF">
        <w:t>,</w:t>
      </w:r>
      <w:r w:rsidR="003B1160" w:rsidRPr="00B72ABF">
        <w:t xml:space="preserve"> required Treasury permission </w:t>
      </w:r>
      <w:r w:rsidR="009D001A" w:rsidRPr="00B72ABF">
        <w:t xml:space="preserve">for its validity. </w:t>
      </w:r>
      <w:r w:rsidR="000534B8" w:rsidRPr="00B72ABF">
        <w:t>Moreover,</w:t>
      </w:r>
      <w:r w:rsidR="009D001A" w:rsidRPr="00B72ABF">
        <w:t xml:space="preserve"> no benefit accrued to the GPF or the public for whatever services were rendered.</w:t>
      </w:r>
    </w:p>
    <w:p w14:paraId="37F0FBD4" w14:textId="77777777" w:rsidR="00F70F35" w:rsidRDefault="009D001A" w:rsidP="00F70F35">
      <w:pPr>
        <w:pStyle w:val="ListParagraph"/>
        <w:spacing w:after="360" w:line="480" w:lineRule="auto"/>
        <w:jc w:val="both"/>
        <w:rPr>
          <w:b/>
          <w:bCs/>
        </w:rPr>
      </w:pPr>
      <w:r w:rsidRPr="00B72ABF">
        <w:rPr>
          <w:b/>
          <w:bCs/>
        </w:rPr>
        <w:t>Conclusion</w:t>
      </w:r>
    </w:p>
    <w:p w14:paraId="175037CA" w14:textId="1F653D5D" w:rsidR="009D001A" w:rsidRPr="00F70F35" w:rsidRDefault="00F70F35" w:rsidP="00F70F35">
      <w:pPr>
        <w:spacing w:after="360" w:line="480" w:lineRule="auto"/>
        <w:ind w:left="720" w:hanging="720"/>
        <w:jc w:val="both"/>
        <w:rPr>
          <w:b/>
          <w:bCs/>
          <w:i/>
          <w:iCs w:val="0"/>
        </w:rPr>
      </w:pPr>
      <w:r>
        <w:t>[73]</w:t>
      </w:r>
      <w:r>
        <w:tab/>
      </w:r>
      <w:r w:rsidR="001851C7" w:rsidRPr="00B72ABF">
        <w:t>The application for reinstatement of the appeal fails as the appeal was brought inexcusably late</w:t>
      </w:r>
      <w:r w:rsidR="0068500F" w:rsidRPr="00B72ABF">
        <w:t>, was otherwise not in compliance with the rules</w:t>
      </w:r>
      <w:r w:rsidR="00596C8F" w:rsidRPr="00B72ABF">
        <w:t>,</w:t>
      </w:r>
      <w:r w:rsidR="0068500F" w:rsidRPr="00B72ABF">
        <w:t xml:space="preserve"> and</w:t>
      </w:r>
      <w:r w:rsidR="00596C8F" w:rsidRPr="00B72ABF">
        <w:t>,</w:t>
      </w:r>
      <w:r w:rsidR="0068500F" w:rsidRPr="00B72ABF">
        <w:t xml:space="preserve"> for the reasons given</w:t>
      </w:r>
      <w:r w:rsidR="00596C8F" w:rsidRPr="00B72ABF">
        <w:t>,</w:t>
      </w:r>
      <w:r w:rsidR="0068500F" w:rsidRPr="00B72ABF">
        <w:t xml:space="preserve"> has no prospects of success</w:t>
      </w:r>
      <w:r w:rsidR="001972E9" w:rsidRPr="00B72ABF">
        <w:t xml:space="preserve"> on the merits</w:t>
      </w:r>
      <w:r w:rsidR="0068500F" w:rsidRPr="00B72ABF">
        <w:t>.</w:t>
      </w:r>
    </w:p>
    <w:p w14:paraId="467E113B" w14:textId="5E2E802C" w:rsidR="00BA6753" w:rsidRDefault="00F70F35" w:rsidP="00F70F35">
      <w:pPr>
        <w:spacing w:after="360" w:line="480" w:lineRule="auto"/>
        <w:ind w:left="720" w:hanging="720"/>
        <w:jc w:val="both"/>
      </w:pPr>
      <w:r>
        <w:lastRenderedPageBreak/>
        <w:t>[74]</w:t>
      </w:r>
      <w:r>
        <w:tab/>
      </w:r>
      <w:r w:rsidR="00A934E7" w:rsidRPr="00B72ABF">
        <w:t xml:space="preserve">The appeal is sufficiently complex to justify costs </w:t>
      </w:r>
      <w:r w:rsidR="00596C8F" w:rsidRPr="00B72ABF">
        <w:t>i</w:t>
      </w:r>
      <w:r w:rsidR="00A934E7" w:rsidRPr="00B72ABF">
        <w:t xml:space="preserve">n terms of the C scale. There was also justification for the </w:t>
      </w:r>
      <w:r w:rsidR="00BC41F8" w:rsidRPr="00B72ABF">
        <w:t>first respondent to employ the services of two counsel where used.</w:t>
      </w:r>
    </w:p>
    <w:p w14:paraId="2E851B29" w14:textId="77777777" w:rsidR="00F70F35" w:rsidRPr="00F70F35" w:rsidRDefault="00F70F35" w:rsidP="00F70F35">
      <w:pPr>
        <w:spacing w:line="480" w:lineRule="auto"/>
        <w:ind w:firstLine="720"/>
        <w:jc w:val="both"/>
        <w:rPr>
          <w:rFonts w:eastAsia="Calibri"/>
          <w:b/>
          <w:iCs w:val="0"/>
          <w:kern w:val="0"/>
          <w:szCs w:val="22"/>
          <w:u w:val="single"/>
          <w:lang w:val="en-GB"/>
          <w14:ligatures w14:val="none"/>
        </w:rPr>
      </w:pPr>
      <w:r w:rsidRPr="00F70F35">
        <w:rPr>
          <w:rFonts w:eastAsia="Calibri"/>
          <w:b/>
          <w:iCs w:val="0"/>
          <w:kern w:val="0"/>
          <w:szCs w:val="22"/>
          <w:u w:val="single"/>
          <w:lang w:val="en-GB"/>
          <w14:ligatures w14:val="none"/>
        </w:rPr>
        <w:t>ORDER:-</w:t>
      </w:r>
    </w:p>
    <w:p w14:paraId="05C576D7" w14:textId="371F4538" w:rsidR="0068500F" w:rsidRPr="00F70F35" w:rsidRDefault="00F70F35" w:rsidP="00F70F35">
      <w:pPr>
        <w:spacing w:line="480" w:lineRule="auto"/>
        <w:jc w:val="both"/>
        <w:rPr>
          <w:rFonts w:eastAsia="Calibri"/>
          <w:iCs w:val="0"/>
          <w:kern w:val="0"/>
          <w:szCs w:val="22"/>
          <w:lang w:val="en-GB"/>
          <w14:ligatures w14:val="none"/>
        </w:rPr>
      </w:pPr>
      <w:r w:rsidRPr="00F70F35">
        <w:rPr>
          <w:rFonts w:eastAsia="Calibri"/>
          <w:iCs w:val="0"/>
          <w:kern w:val="0"/>
          <w:szCs w:val="22"/>
          <w:lang w:val="en-GB"/>
          <w14:ligatures w14:val="none"/>
        </w:rPr>
        <w:t>[</w:t>
      </w:r>
      <w:r>
        <w:rPr>
          <w:rFonts w:eastAsia="Calibri"/>
          <w:iCs w:val="0"/>
          <w:kern w:val="0"/>
          <w:szCs w:val="22"/>
          <w:lang w:val="en-GB"/>
          <w14:ligatures w14:val="none"/>
        </w:rPr>
        <w:t>75</w:t>
      </w:r>
      <w:r w:rsidRPr="00F70F35">
        <w:rPr>
          <w:rFonts w:eastAsia="Calibri"/>
          <w:iCs w:val="0"/>
          <w:kern w:val="0"/>
          <w:szCs w:val="22"/>
          <w:lang w:val="en-GB"/>
          <w14:ligatures w14:val="none"/>
        </w:rPr>
        <w:t xml:space="preserve">] </w:t>
      </w:r>
      <w:r w:rsidRPr="00F70F35">
        <w:rPr>
          <w:rFonts w:eastAsia="Calibri"/>
          <w:iCs w:val="0"/>
          <w:kern w:val="0"/>
          <w:szCs w:val="22"/>
          <w:lang w:val="en-GB"/>
          <w14:ligatures w14:val="none"/>
        </w:rPr>
        <w:tab/>
        <w:t>In the result the following order is made:</w:t>
      </w:r>
    </w:p>
    <w:p w14:paraId="292F8251" w14:textId="7BEE8821" w:rsidR="0068500F" w:rsidRDefault="005C1CB9" w:rsidP="005C1CB9">
      <w:pPr>
        <w:pStyle w:val="ListParagraph"/>
        <w:spacing w:line="480" w:lineRule="auto"/>
      </w:pPr>
      <w:r>
        <w:t>1.</w:t>
      </w:r>
      <w:r w:rsidR="0068500F" w:rsidRPr="00BA6753">
        <w:t>The appeal is dismissed</w:t>
      </w:r>
      <w:r w:rsidR="009D121F" w:rsidRPr="00BA6753">
        <w:t>.</w:t>
      </w:r>
    </w:p>
    <w:p w14:paraId="2E634C4C" w14:textId="647991A2" w:rsidR="0068500F" w:rsidRDefault="005C1CB9" w:rsidP="005C1CB9">
      <w:pPr>
        <w:pStyle w:val="ListParagraph"/>
        <w:spacing w:line="480" w:lineRule="auto"/>
      </w:pPr>
      <w:r>
        <w:t>2.</w:t>
      </w:r>
      <w:r w:rsidR="0068500F" w:rsidRPr="00BA6753">
        <w:t xml:space="preserve">The </w:t>
      </w:r>
      <w:r w:rsidR="00A6069C" w:rsidRPr="00BA6753">
        <w:t xml:space="preserve">appellant is liable for the costs of the </w:t>
      </w:r>
      <w:r w:rsidR="00DD4125" w:rsidRPr="00BA6753">
        <w:t xml:space="preserve">first respondent </w:t>
      </w:r>
      <w:r w:rsidR="007D1674" w:rsidRPr="00BA6753">
        <w:t>on the C scale including the costs of two counsel</w:t>
      </w:r>
      <w:r w:rsidR="00BC41F8">
        <w:t xml:space="preserve"> where used.</w:t>
      </w:r>
    </w:p>
    <w:p w14:paraId="55021782" w14:textId="77777777" w:rsidR="00F70F35" w:rsidRDefault="00F70F35" w:rsidP="005C1CB9">
      <w:pPr>
        <w:pStyle w:val="ListParagraph"/>
        <w:spacing w:line="480" w:lineRule="auto"/>
      </w:pPr>
    </w:p>
    <w:p w14:paraId="35B20659" w14:textId="77777777" w:rsidR="00F70F35" w:rsidRDefault="00F70F35" w:rsidP="005C1CB9">
      <w:pPr>
        <w:pStyle w:val="ListParagraph"/>
        <w:spacing w:line="480" w:lineRule="auto"/>
      </w:pPr>
    </w:p>
    <w:p w14:paraId="6F41E9FD" w14:textId="77777777" w:rsidR="00F70F35" w:rsidRPr="00F70F35" w:rsidRDefault="00F70F35" w:rsidP="00F70F35">
      <w:pPr>
        <w:spacing w:after="0" w:line="360" w:lineRule="auto"/>
        <w:jc w:val="right"/>
        <w:rPr>
          <w:b/>
          <w:iCs w:val="0"/>
          <w:lang w:val="en-GB"/>
        </w:rPr>
      </w:pPr>
      <w:r w:rsidRPr="00F70F35">
        <w:rPr>
          <w:b/>
          <w:iCs w:val="0"/>
          <w:lang w:val="en-GB"/>
        </w:rPr>
        <w:t>_____________________________</w:t>
      </w:r>
    </w:p>
    <w:p w14:paraId="4EBA85AC" w14:textId="77777777" w:rsidR="00F70F35" w:rsidRPr="00F70F35" w:rsidRDefault="00F70F35" w:rsidP="00F70F35">
      <w:pPr>
        <w:spacing w:after="0" w:line="360" w:lineRule="auto"/>
        <w:jc w:val="right"/>
        <w:rPr>
          <w:b/>
          <w:iCs w:val="0"/>
          <w:lang w:val="en-GB"/>
        </w:rPr>
      </w:pPr>
      <w:r w:rsidRPr="00F70F35">
        <w:rPr>
          <w:b/>
          <w:iCs w:val="0"/>
          <w:lang w:val="en-GB"/>
        </w:rPr>
        <w:t>N.  MANOIM</w:t>
      </w:r>
    </w:p>
    <w:p w14:paraId="64A6ED93" w14:textId="77777777" w:rsidR="00F70F35" w:rsidRPr="00F70F35" w:rsidRDefault="00F70F35" w:rsidP="00F70F35">
      <w:pPr>
        <w:spacing w:after="0" w:line="360" w:lineRule="auto"/>
        <w:jc w:val="right"/>
        <w:rPr>
          <w:b/>
          <w:iCs w:val="0"/>
          <w:lang w:val="en-GB"/>
        </w:rPr>
      </w:pPr>
      <w:r w:rsidRPr="00F70F35">
        <w:rPr>
          <w:b/>
          <w:iCs w:val="0"/>
          <w:lang w:val="en-GB"/>
        </w:rPr>
        <w:t>JUDGE OF THE HIGH COURT</w:t>
      </w:r>
    </w:p>
    <w:p w14:paraId="72F5154A" w14:textId="77777777" w:rsidR="00F70F35" w:rsidRPr="00F70F35" w:rsidRDefault="00F70F35" w:rsidP="00F70F35">
      <w:pPr>
        <w:spacing w:after="0" w:line="360" w:lineRule="auto"/>
        <w:jc w:val="right"/>
        <w:rPr>
          <w:b/>
          <w:iCs w:val="0"/>
          <w:lang w:val="en-GB"/>
        </w:rPr>
      </w:pPr>
      <w:r w:rsidRPr="00F70F35">
        <w:rPr>
          <w:b/>
          <w:iCs w:val="0"/>
          <w:lang w:val="en-GB"/>
        </w:rPr>
        <w:t xml:space="preserve">GAUTENG DIVISION </w:t>
      </w:r>
    </w:p>
    <w:p w14:paraId="20F2DA33" w14:textId="402C7981" w:rsidR="00F70F35" w:rsidRDefault="00F70F35" w:rsidP="00F70F35">
      <w:pPr>
        <w:spacing w:after="360" w:line="360" w:lineRule="auto"/>
        <w:jc w:val="right"/>
        <w:rPr>
          <w:b/>
          <w:iCs w:val="0"/>
          <w:lang w:val="en-GB"/>
        </w:rPr>
      </w:pPr>
      <w:r w:rsidRPr="00F70F35">
        <w:rPr>
          <w:b/>
          <w:iCs w:val="0"/>
          <w:lang w:val="en-GB"/>
        </w:rPr>
        <w:t xml:space="preserve">JOHNANNESBURG </w:t>
      </w:r>
    </w:p>
    <w:p w14:paraId="3A5FD3E9" w14:textId="77777777" w:rsidR="00F70F35" w:rsidRPr="00F70F35" w:rsidRDefault="00F70F35" w:rsidP="00F70F35">
      <w:pPr>
        <w:spacing w:after="360" w:line="360" w:lineRule="auto"/>
        <w:jc w:val="right"/>
        <w:rPr>
          <w:b/>
          <w:iCs w:val="0"/>
          <w:lang w:val="en-GB"/>
        </w:rPr>
      </w:pPr>
    </w:p>
    <w:p w14:paraId="626774D0" w14:textId="77777777" w:rsidR="00F70F35" w:rsidRPr="00F70F35" w:rsidRDefault="00F70F35" w:rsidP="00F70F35">
      <w:pPr>
        <w:spacing w:after="0" w:line="360" w:lineRule="auto"/>
        <w:jc w:val="right"/>
        <w:rPr>
          <w:b/>
          <w:iCs w:val="0"/>
          <w:lang w:val="en-GB"/>
        </w:rPr>
      </w:pPr>
      <w:r w:rsidRPr="00F70F35">
        <w:rPr>
          <w:b/>
          <w:iCs w:val="0"/>
          <w:lang w:val="en-GB"/>
        </w:rPr>
        <w:t>_____________________________</w:t>
      </w:r>
    </w:p>
    <w:p w14:paraId="35F94A4C" w14:textId="086DE6BC" w:rsidR="00F70F35" w:rsidRPr="00F70F35" w:rsidRDefault="00F70F35" w:rsidP="00F70F35">
      <w:pPr>
        <w:pStyle w:val="ListParagraph"/>
        <w:numPr>
          <w:ilvl w:val="0"/>
          <w:numId w:val="13"/>
        </w:numPr>
        <w:spacing w:after="0" w:line="360" w:lineRule="auto"/>
        <w:jc w:val="right"/>
        <w:rPr>
          <w:b/>
          <w:iCs w:val="0"/>
          <w:lang w:val="en-GB"/>
        </w:rPr>
      </w:pPr>
      <w:r>
        <w:rPr>
          <w:b/>
          <w:iCs w:val="0"/>
          <w:lang w:val="en-GB"/>
        </w:rPr>
        <w:t>MAEIR-FRAWLEY</w:t>
      </w:r>
    </w:p>
    <w:p w14:paraId="37A40D51" w14:textId="77777777" w:rsidR="00F70F35" w:rsidRPr="00F70F35" w:rsidRDefault="00F70F35" w:rsidP="00F70F35">
      <w:pPr>
        <w:spacing w:after="0" w:line="360" w:lineRule="auto"/>
        <w:jc w:val="right"/>
        <w:rPr>
          <w:b/>
          <w:iCs w:val="0"/>
          <w:lang w:val="en-GB"/>
        </w:rPr>
      </w:pPr>
      <w:r w:rsidRPr="00F70F35">
        <w:rPr>
          <w:b/>
          <w:iCs w:val="0"/>
          <w:lang w:val="en-GB"/>
        </w:rPr>
        <w:t>JUDGE OF THE HIGH COURT</w:t>
      </w:r>
    </w:p>
    <w:p w14:paraId="2B9FAFBF" w14:textId="77777777" w:rsidR="00F70F35" w:rsidRPr="00F70F35" w:rsidRDefault="00F70F35" w:rsidP="00F70F35">
      <w:pPr>
        <w:spacing w:after="0" w:line="360" w:lineRule="auto"/>
        <w:jc w:val="right"/>
        <w:rPr>
          <w:b/>
          <w:iCs w:val="0"/>
          <w:lang w:val="en-GB"/>
        </w:rPr>
      </w:pPr>
      <w:r w:rsidRPr="00F70F35">
        <w:rPr>
          <w:b/>
          <w:iCs w:val="0"/>
          <w:lang w:val="en-GB"/>
        </w:rPr>
        <w:t xml:space="preserve">GAUTENG DIVISION </w:t>
      </w:r>
    </w:p>
    <w:p w14:paraId="28260BA1" w14:textId="77777777" w:rsidR="00F70F35" w:rsidRDefault="00F70F35" w:rsidP="00F70F35">
      <w:pPr>
        <w:spacing w:after="360" w:line="360" w:lineRule="auto"/>
        <w:jc w:val="right"/>
        <w:rPr>
          <w:b/>
          <w:iCs w:val="0"/>
          <w:lang w:val="en-GB"/>
        </w:rPr>
      </w:pPr>
      <w:r w:rsidRPr="00F70F35">
        <w:rPr>
          <w:b/>
          <w:iCs w:val="0"/>
          <w:lang w:val="en-GB"/>
        </w:rPr>
        <w:t xml:space="preserve">JOHNANNESBURG </w:t>
      </w:r>
    </w:p>
    <w:p w14:paraId="4AC344A0" w14:textId="77777777" w:rsidR="00F70F35" w:rsidRDefault="00F70F35" w:rsidP="00F70F35">
      <w:pPr>
        <w:spacing w:after="360" w:line="360" w:lineRule="auto"/>
        <w:jc w:val="right"/>
        <w:rPr>
          <w:b/>
          <w:iCs w:val="0"/>
          <w:lang w:val="en-GB"/>
        </w:rPr>
      </w:pPr>
    </w:p>
    <w:p w14:paraId="0F969632" w14:textId="77777777" w:rsidR="00F70F35" w:rsidRPr="00F70F35" w:rsidRDefault="00F70F35" w:rsidP="00F70F35">
      <w:pPr>
        <w:spacing w:after="0" w:line="360" w:lineRule="auto"/>
        <w:jc w:val="right"/>
        <w:rPr>
          <w:b/>
          <w:iCs w:val="0"/>
          <w:lang w:val="en-GB"/>
        </w:rPr>
      </w:pPr>
      <w:r w:rsidRPr="00F70F35">
        <w:rPr>
          <w:b/>
          <w:iCs w:val="0"/>
          <w:lang w:val="en-GB"/>
        </w:rPr>
        <w:t>_____________________________</w:t>
      </w:r>
    </w:p>
    <w:p w14:paraId="1F0CA6BA" w14:textId="745B7A41" w:rsidR="00F70F35" w:rsidRPr="00F70F35" w:rsidRDefault="00F70F35" w:rsidP="00F70F35">
      <w:pPr>
        <w:spacing w:after="0" w:line="360" w:lineRule="auto"/>
        <w:jc w:val="right"/>
        <w:rPr>
          <w:b/>
          <w:iCs w:val="0"/>
          <w:lang w:val="en-GB"/>
        </w:rPr>
      </w:pPr>
      <w:r>
        <w:rPr>
          <w:b/>
          <w:iCs w:val="0"/>
          <w:lang w:val="en-GB"/>
        </w:rPr>
        <w:t>JP. ALLEN</w:t>
      </w:r>
    </w:p>
    <w:p w14:paraId="4364E7A4" w14:textId="0C929B93" w:rsidR="00F70F35" w:rsidRPr="00F70F35" w:rsidRDefault="000C71F5" w:rsidP="00F70F35">
      <w:pPr>
        <w:spacing w:after="0" w:line="360" w:lineRule="auto"/>
        <w:jc w:val="right"/>
        <w:rPr>
          <w:b/>
          <w:iCs w:val="0"/>
          <w:lang w:val="en-GB"/>
        </w:rPr>
      </w:pPr>
      <w:r>
        <w:rPr>
          <w:b/>
          <w:iCs w:val="0"/>
          <w:lang w:val="en-GB"/>
        </w:rPr>
        <w:t xml:space="preserve">ACTING </w:t>
      </w:r>
      <w:r w:rsidR="00F70F35" w:rsidRPr="00F70F35">
        <w:rPr>
          <w:b/>
          <w:iCs w:val="0"/>
          <w:lang w:val="en-GB"/>
        </w:rPr>
        <w:t>JUDGE OF THE HIGH COURT</w:t>
      </w:r>
    </w:p>
    <w:p w14:paraId="11174FA7" w14:textId="77777777" w:rsidR="00F70F35" w:rsidRPr="00F70F35" w:rsidRDefault="00F70F35" w:rsidP="00F70F35">
      <w:pPr>
        <w:spacing w:after="0" w:line="360" w:lineRule="auto"/>
        <w:jc w:val="right"/>
        <w:rPr>
          <w:b/>
          <w:iCs w:val="0"/>
          <w:lang w:val="en-GB"/>
        </w:rPr>
      </w:pPr>
      <w:r w:rsidRPr="00F70F35">
        <w:rPr>
          <w:b/>
          <w:iCs w:val="0"/>
          <w:lang w:val="en-GB"/>
        </w:rPr>
        <w:lastRenderedPageBreak/>
        <w:t xml:space="preserve">GAUTENG DIVISION </w:t>
      </w:r>
    </w:p>
    <w:p w14:paraId="29B4A394" w14:textId="3F3DF7B8" w:rsidR="00F70F35" w:rsidRPr="00F70F35" w:rsidRDefault="00F70F35" w:rsidP="00F70F35">
      <w:pPr>
        <w:spacing w:after="360" w:line="360" w:lineRule="auto"/>
        <w:jc w:val="right"/>
        <w:rPr>
          <w:b/>
          <w:iCs w:val="0"/>
          <w:lang w:val="en-GB"/>
        </w:rPr>
      </w:pPr>
      <w:r w:rsidRPr="00F70F35">
        <w:rPr>
          <w:b/>
          <w:iCs w:val="0"/>
          <w:lang w:val="en-GB"/>
        </w:rPr>
        <w:t xml:space="preserve">JOHNANNESBURG </w:t>
      </w:r>
    </w:p>
    <w:p w14:paraId="5A8B630E" w14:textId="41216083" w:rsidR="00E160A5" w:rsidRDefault="00E160A5" w:rsidP="005C1CB9">
      <w:pPr>
        <w:pStyle w:val="ListParagraph"/>
        <w:spacing w:line="480" w:lineRule="auto"/>
      </w:pPr>
    </w:p>
    <w:p w14:paraId="5480ED73" w14:textId="59322586" w:rsidR="00E160A5" w:rsidRPr="003C25A0" w:rsidRDefault="00E160A5" w:rsidP="00F70F35">
      <w:pPr>
        <w:pStyle w:val="Paragraph12pt"/>
        <w:spacing w:after="0"/>
        <w:jc w:val="left"/>
        <w:rPr>
          <w:rFonts w:cs="Arial"/>
          <w:szCs w:val="24"/>
        </w:rPr>
      </w:pPr>
      <w:r w:rsidRPr="003C25A0">
        <w:rPr>
          <w:rFonts w:cs="Arial"/>
          <w:szCs w:val="24"/>
        </w:rPr>
        <w:t xml:space="preserve">This judgment was prepared by Judge </w:t>
      </w:r>
      <w:r>
        <w:rPr>
          <w:rFonts w:cs="Arial"/>
          <w:szCs w:val="24"/>
        </w:rPr>
        <w:t>Manoim</w:t>
      </w:r>
      <w:r w:rsidRPr="003C25A0">
        <w:rPr>
          <w:rFonts w:cs="Arial"/>
          <w:szCs w:val="24"/>
        </w:rPr>
        <w:t xml:space="preserve">. It is handed down electronically by circulation to the parties or their legal representatives by email, by uploading to the electronic file of this matter on Caselines, and by publication of the judgment to the South African Legal Information Institute. The date for hand-down is deemed to be </w:t>
      </w:r>
      <w:r w:rsidR="00F70F35">
        <w:rPr>
          <w:rFonts w:cs="Arial"/>
          <w:szCs w:val="24"/>
        </w:rPr>
        <w:t>05</w:t>
      </w:r>
      <w:r w:rsidRPr="003C25A0">
        <w:rPr>
          <w:rFonts w:cs="Arial"/>
          <w:szCs w:val="24"/>
        </w:rPr>
        <w:t xml:space="preserve"> </w:t>
      </w:r>
      <w:r w:rsidR="00F70F35">
        <w:rPr>
          <w:rFonts w:cs="Arial"/>
          <w:szCs w:val="24"/>
        </w:rPr>
        <w:t>July</w:t>
      </w:r>
      <w:r w:rsidRPr="003C25A0">
        <w:rPr>
          <w:rFonts w:cs="Arial"/>
          <w:szCs w:val="24"/>
        </w:rPr>
        <w:t xml:space="preserve"> 2024.</w:t>
      </w:r>
    </w:p>
    <w:p w14:paraId="4A76D1A2" w14:textId="77777777" w:rsidR="00E160A5" w:rsidRPr="003C25A0" w:rsidRDefault="00E160A5" w:rsidP="00E160A5">
      <w:pPr>
        <w:pStyle w:val="Paragraph12pt"/>
        <w:spacing w:after="0"/>
        <w:rPr>
          <w:rFonts w:cs="Arial"/>
          <w:szCs w:val="24"/>
        </w:rPr>
      </w:pPr>
    </w:p>
    <w:p w14:paraId="1C2B6C3F" w14:textId="25D00219" w:rsidR="00E160A5" w:rsidRPr="003C25A0" w:rsidRDefault="00F70F35" w:rsidP="00F70F35">
      <w:pPr>
        <w:pStyle w:val="Paragraph12pt"/>
        <w:spacing w:after="0"/>
        <w:jc w:val="left"/>
        <w:rPr>
          <w:rFonts w:cs="Arial"/>
          <w:szCs w:val="24"/>
        </w:rPr>
      </w:pPr>
      <w:r w:rsidRPr="00F46AAD">
        <w:rPr>
          <w:rFonts w:cs="Arial"/>
          <w:szCs w:val="24"/>
          <w:lang w:val="en-GB"/>
        </w:rPr>
        <w:t>Date of hearing</w:t>
      </w:r>
      <w:r w:rsidR="00E160A5" w:rsidRPr="003C25A0">
        <w:rPr>
          <w:rFonts w:cs="Arial"/>
          <w:szCs w:val="24"/>
        </w:rPr>
        <w:t>:</w:t>
      </w:r>
      <w:r>
        <w:rPr>
          <w:rFonts w:cs="Arial"/>
          <w:szCs w:val="24"/>
        </w:rPr>
        <w:t xml:space="preserve"> 0</w:t>
      </w:r>
      <w:r w:rsidR="00E160A5" w:rsidRPr="003C25A0">
        <w:rPr>
          <w:rFonts w:cs="Arial"/>
          <w:szCs w:val="24"/>
        </w:rPr>
        <w:t>8 May 2024</w:t>
      </w:r>
    </w:p>
    <w:p w14:paraId="21E7D760" w14:textId="21C009E4" w:rsidR="00E160A5" w:rsidRPr="003C25A0" w:rsidRDefault="00F70F35" w:rsidP="00F70F35">
      <w:pPr>
        <w:pStyle w:val="Paragraph12pt"/>
        <w:jc w:val="left"/>
        <w:rPr>
          <w:rFonts w:cs="Arial"/>
          <w:szCs w:val="24"/>
        </w:rPr>
      </w:pPr>
      <w:r w:rsidRPr="00F46AAD">
        <w:rPr>
          <w:rFonts w:cs="Arial"/>
          <w:szCs w:val="24"/>
          <w:lang w:val="en-GB"/>
        </w:rPr>
        <w:t xml:space="preserve">Date of </w:t>
      </w:r>
      <w:r>
        <w:rPr>
          <w:rFonts w:cs="Arial"/>
          <w:szCs w:val="24"/>
          <w:lang w:val="en-GB"/>
        </w:rPr>
        <w:t>Judgment</w:t>
      </w:r>
      <w:r w:rsidR="00E160A5" w:rsidRPr="003C25A0">
        <w:rPr>
          <w:rFonts w:cs="Arial"/>
          <w:szCs w:val="24"/>
        </w:rPr>
        <w:t>:</w:t>
      </w:r>
      <w:r>
        <w:rPr>
          <w:rFonts w:cs="Arial"/>
          <w:szCs w:val="24"/>
        </w:rPr>
        <w:t xml:space="preserve"> 05 July 2024 </w:t>
      </w:r>
    </w:p>
    <w:p w14:paraId="563E3A44" w14:textId="77777777" w:rsidR="00E160A5" w:rsidRPr="003C25A0" w:rsidRDefault="00E160A5" w:rsidP="00E160A5">
      <w:pPr>
        <w:pStyle w:val="Paragraph12pt"/>
        <w:spacing w:after="0"/>
        <w:jc w:val="left"/>
        <w:rPr>
          <w:rFonts w:cs="Arial"/>
          <w:szCs w:val="24"/>
        </w:rPr>
      </w:pPr>
      <w:r w:rsidRPr="003C25A0">
        <w:rPr>
          <w:rFonts w:cs="Arial"/>
          <w:szCs w:val="24"/>
        </w:rPr>
        <w:t>Appearances:</w:t>
      </w:r>
      <w:r w:rsidRPr="003C25A0">
        <w:rPr>
          <w:rFonts w:cs="Arial"/>
          <w:szCs w:val="24"/>
        </w:rPr>
        <w:tab/>
      </w:r>
      <w:r w:rsidRPr="003C25A0">
        <w:rPr>
          <w:rFonts w:cs="Arial"/>
          <w:szCs w:val="24"/>
        </w:rPr>
        <w:tab/>
      </w:r>
      <w:r w:rsidRPr="003C25A0">
        <w:rPr>
          <w:rFonts w:cs="Arial"/>
          <w:szCs w:val="24"/>
        </w:rPr>
        <w:tab/>
      </w:r>
    </w:p>
    <w:p w14:paraId="2C4E2BFB" w14:textId="77777777" w:rsidR="00E160A5" w:rsidRPr="003C25A0" w:rsidRDefault="00E160A5" w:rsidP="00E160A5">
      <w:pPr>
        <w:pStyle w:val="Paragraph12pt"/>
        <w:spacing w:after="0"/>
        <w:jc w:val="left"/>
        <w:rPr>
          <w:rFonts w:cs="Arial"/>
          <w:szCs w:val="24"/>
        </w:rPr>
      </w:pPr>
    </w:p>
    <w:p w14:paraId="4DF9F787" w14:textId="757E17E0" w:rsidR="00E160A5" w:rsidRPr="003C25A0" w:rsidRDefault="00E160A5" w:rsidP="00E160A5">
      <w:pPr>
        <w:pStyle w:val="Paragraph12pt"/>
        <w:spacing w:after="0"/>
        <w:jc w:val="left"/>
        <w:rPr>
          <w:rFonts w:cs="Arial"/>
          <w:szCs w:val="24"/>
        </w:rPr>
      </w:pPr>
      <w:r w:rsidRPr="003C25A0">
        <w:rPr>
          <w:rFonts w:cs="Arial"/>
          <w:szCs w:val="24"/>
        </w:rPr>
        <w:t xml:space="preserve">For the Appellant: </w:t>
      </w:r>
      <w:r w:rsidRPr="003C25A0">
        <w:rPr>
          <w:rFonts w:cs="Arial"/>
          <w:szCs w:val="24"/>
        </w:rPr>
        <w:tab/>
      </w:r>
      <w:r w:rsidRPr="003C25A0">
        <w:rPr>
          <w:rFonts w:cs="Arial"/>
          <w:szCs w:val="24"/>
        </w:rPr>
        <w:tab/>
      </w:r>
      <w:r w:rsidRPr="003C25A0">
        <w:rPr>
          <w:rFonts w:cs="Arial"/>
          <w:szCs w:val="24"/>
        </w:rPr>
        <w:tab/>
      </w:r>
      <w:r>
        <w:rPr>
          <w:rFonts w:cs="Arial"/>
          <w:szCs w:val="24"/>
        </w:rPr>
        <w:t xml:space="preserve">L Hollander </w:t>
      </w:r>
    </w:p>
    <w:p w14:paraId="6BF9EC15" w14:textId="08FFF697" w:rsidR="00E160A5" w:rsidRPr="003C25A0" w:rsidRDefault="00E160A5" w:rsidP="00F70F35">
      <w:pPr>
        <w:pStyle w:val="Paragraph12pt"/>
        <w:spacing w:after="0"/>
        <w:ind w:left="3600"/>
        <w:jc w:val="left"/>
        <w:rPr>
          <w:rFonts w:cs="Arial"/>
          <w:szCs w:val="24"/>
        </w:rPr>
      </w:pPr>
      <w:r w:rsidRPr="003C25A0">
        <w:rPr>
          <w:rFonts w:cs="Arial"/>
          <w:szCs w:val="24"/>
        </w:rPr>
        <w:t xml:space="preserve">Instructed by Andre Pienaar and Associates </w:t>
      </w:r>
    </w:p>
    <w:p w14:paraId="6DE2D730" w14:textId="77777777" w:rsidR="00E160A5" w:rsidRPr="003C25A0" w:rsidRDefault="00E160A5" w:rsidP="00E160A5">
      <w:pPr>
        <w:pStyle w:val="Paragraph12pt"/>
        <w:spacing w:after="0"/>
        <w:jc w:val="left"/>
        <w:rPr>
          <w:rFonts w:cs="Arial"/>
          <w:szCs w:val="24"/>
        </w:rPr>
      </w:pPr>
    </w:p>
    <w:p w14:paraId="32664C7E" w14:textId="77777777" w:rsidR="00E160A5" w:rsidRPr="003C25A0" w:rsidRDefault="00E160A5" w:rsidP="00E160A5">
      <w:pPr>
        <w:pStyle w:val="Paragraph12pt"/>
        <w:spacing w:after="0"/>
        <w:jc w:val="left"/>
        <w:rPr>
          <w:rFonts w:cs="Arial"/>
          <w:szCs w:val="24"/>
        </w:rPr>
      </w:pPr>
      <w:r w:rsidRPr="003C25A0">
        <w:rPr>
          <w:rFonts w:cs="Arial"/>
          <w:szCs w:val="24"/>
        </w:rPr>
        <w:t>For the Respondent:</w:t>
      </w:r>
      <w:r w:rsidRPr="003C25A0">
        <w:rPr>
          <w:rFonts w:cs="Arial"/>
          <w:szCs w:val="24"/>
        </w:rPr>
        <w:tab/>
      </w:r>
      <w:r w:rsidRPr="003C25A0">
        <w:rPr>
          <w:rFonts w:cs="Arial"/>
          <w:szCs w:val="24"/>
        </w:rPr>
        <w:tab/>
        <w:t>T Motau SC</w:t>
      </w:r>
    </w:p>
    <w:p w14:paraId="19914196" w14:textId="77777777" w:rsidR="00E160A5" w:rsidRPr="003C25A0" w:rsidRDefault="00E160A5" w:rsidP="00E160A5">
      <w:pPr>
        <w:pStyle w:val="Paragraph12pt"/>
        <w:spacing w:after="0"/>
        <w:ind w:left="3600" w:hanging="3600"/>
        <w:jc w:val="left"/>
        <w:rPr>
          <w:rFonts w:cs="Arial"/>
          <w:szCs w:val="24"/>
        </w:rPr>
      </w:pPr>
      <w:r w:rsidRPr="003C25A0">
        <w:rPr>
          <w:rFonts w:cs="Arial"/>
          <w:szCs w:val="24"/>
        </w:rPr>
        <w:tab/>
        <w:t>R Tshetlo</w:t>
      </w:r>
    </w:p>
    <w:p w14:paraId="748DD9BA" w14:textId="77777777" w:rsidR="00E160A5" w:rsidRPr="003C25A0" w:rsidRDefault="00E160A5" w:rsidP="00E160A5">
      <w:pPr>
        <w:pStyle w:val="Paragraph12pt"/>
        <w:spacing w:after="0"/>
        <w:ind w:left="3600"/>
        <w:jc w:val="left"/>
        <w:rPr>
          <w:rFonts w:cs="Arial"/>
          <w:szCs w:val="24"/>
          <w:lang w:val="en-GB"/>
        </w:rPr>
      </w:pPr>
      <w:r w:rsidRPr="003C25A0">
        <w:rPr>
          <w:rFonts w:cs="Arial"/>
          <w:szCs w:val="24"/>
          <w:lang w:val="en-GB"/>
        </w:rPr>
        <w:t>Instructed by Lawtons Inc</w:t>
      </w:r>
      <w:r w:rsidRPr="003C25A0">
        <w:rPr>
          <w:rFonts w:cs="Arial"/>
          <w:szCs w:val="24"/>
        </w:rPr>
        <w:tab/>
      </w:r>
    </w:p>
    <w:p w14:paraId="6B8675D7" w14:textId="00E6A44B" w:rsidR="00E160A5" w:rsidRPr="00BA6753" w:rsidRDefault="00E160A5" w:rsidP="00F70F35">
      <w:pPr>
        <w:spacing w:line="480" w:lineRule="auto"/>
      </w:pPr>
    </w:p>
    <w:sectPr w:rsidR="00E160A5" w:rsidRPr="00BA6753" w:rsidSect="00B72ABF">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F541" w14:textId="77777777" w:rsidR="00DA24FC" w:rsidRDefault="00DA24FC" w:rsidP="00947146">
      <w:pPr>
        <w:spacing w:after="0" w:line="240" w:lineRule="auto"/>
      </w:pPr>
      <w:r>
        <w:separator/>
      </w:r>
    </w:p>
  </w:endnote>
  <w:endnote w:type="continuationSeparator" w:id="0">
    <w:p w14:paraId="762B9760" w14:textId="77777777" w:rsidR="00DA24FC" w:rsidRDefault="00DA24FC" w:rsidP="00947146">
      <w:pPr>
        <w:spacing w:after="0" w:line="240" w:lineRule="auto"/>
      </w:pPr>
      <w:r>
        <w:continuationSeparator/>
      </w:r>
    </w:p>
  </w:endnote>
  <w:endnote w:type="continuationNotice" w:id="1">
    <w:p w14:paraId="248055FB" w14:textId="77777777" w:rsidR="00DA24FC" w:rsidRDefault="00DA2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18603" w14:textId="77777777" w:rsidR="00DA24FC" w:rsidRDefault="00DA24FC" w:rsidP="00947146">
      <w:pPr>
        <w:spacing w:after="0" w:line="240" w:lineRule="auto"/>
      </w:pPr>
      <w:r>
        <w:separator/>
      </w:r>
    </w:p>
  </w:footnote>
  <w:footnote w:type="continuationSeparator" w:id="0">
    <w:p w14:paraId="66B58812" w14:textId="77777777" w:rsidR="00DA24FC" w:rsidRDefault="00DA24FC" w:rsidP="00947146">
      <w:pPr>
        <w:spacing w:after="0" w:line="240" w:lineRule="auto"/>
      </w:pPr>
      <w:r>
        <w:continuationSeparator/>
      </w:r>
    </w:p>
  </w:footnote>
  <w:footnote w:type="continuationNotice" w:id="1">
    <w:p w14:paraId="611FB768" w14:textId="77777777" w:rsidR="00DA24FC" w:rsidRDefault="00DA24FC">
      <w:pPr>
        <w:spacing w:after="0" w:line="240" w:lineRule="auto"/>
      </w:pPr>
    </w:p>
  </w:footnote>
  <w:footnote w:id="2">
    <w:p w14:paraId="40CE91DF" w14:textId="676DB67A" w:rsidR="00B209CA" w:rsidRDefault="00B209CA" w:rsidP="00926076">
      <w:pPr>
        <w:pStyle w:val="FootnoteText"/>
        <w:jc w:val="both"/>
      </w:pPr>
      <w:r>
        <w:rPr>
          <w:rStyle w:val="FootnoteReference"/>
        </w:rPr>
        <w:footnoteRef/>
      </w:r>
      <w:r>
        <w:t xml:space="preserve"> The first respondent was the only one to oppose the appeal. The other eleven respondents were cited as trustees of the GPF at the relevant time of the review.</w:t>
      </w:r>
    </w:p>
  </w:footnote>
  <w:footnote w:id="3">
    <w:p w14:paraId="30720972" w14:textId="1AE28FC6" w:rsidR="00A63F31" w:rsidRDefault="00A63F31" w:rsidP="00926076">
      <w:pPr>
        <w:pStyle w:val="FootnoteText"/>
        <w:jc w:val="both"/>
      </w:pPr>
      <w:r w:rsidRPr="00926076">
        <w:rPr>
          <w:rStyle w:val="FootnoteReference"/>
        </w:rPr>
        <w:footnoteRef/>
      </w:r>
      <w:r w:rsidRPr="00926076">
        <w:t xml:space="preserve"> </w:t>
      </w:r>
      <w:r w:rsidR="00F4094C" w:rsidRPr="000C71C9">
        <w:rPr>
          <w:i/>
          <w:iCs w:val="0"/>
        </w:rPr>
        <w:t xml:space="preserve">Saloojee and </w:t>
      </w:r>
      <w:r w:rsidR="00DC0B26" w:rsidRPr="000C71C9">
        <w:rPr>
          <w:i/>
          <w:iCs w:val="0"/>
        </w:rPr>
        <w:t>another NNO v Minister of Community Development</w:t>
      </w:r>
      <w:r w:rsidR="00DC0B26">
        <w:t xml:space="preserve"> 1965(</w:t>
      </w:r>
      <w:r w:rsidR="000C71C9">
        <w:t>2) SA 135 at 141 C-E</w:t>
      </w:r>
    </w:p>
  </w:footnote>
  <w:footnote w:id="4">
    <w:p w14:paraId="03F855F5" w14:textId="1CD561DC" w:rsidR="00BA7DE3" w:rsidRDefault="00BA7DE3" w:rsidP="00926076">
      <w:pPr>
        <w:pStyle w:val="FootnoteText"/>
        <w:jc w:val="both"/>
      </w:pPr>
      <w:r>
        <w:rPr>
          <w:rStyle w:val="FootnoteReference"/>
        </w:rPr>
        <w:footnoteRef/>
      </w:r>
      <w:r>
        <w:t xml:space="preserve"> </w:t>
      </w:r>
      <w:r w:rsidR="00FD29FF" w:rsidRPr="00FD29FF">
        <w:rPr>
          <w:i/>
          <w:iCs w:val="0"/>
        </w:rPr>
        <w:t>Huysamen &amp; another v Absa Bank Limited 8 others</w:t>
      </w:r>
      <w:r w:rsidR="00FD29FF" w:rsidRPr="00FD29FF">
        <w:t xml:space="preserve"> (660/2019) [2020] ZASCA 127 (12 October 2020)</w:t>
      </w:r>
      <w:r w:rsidR="00FD29FF">
        <w:t>.</w:t>
      </w:r>
    </w:p>
  </w:footnote>
  <w:footnote w:id="5">
    <w:p w14:paraId="4E55160D" w14:textId="08E8885A" w:rsidR="00FD29FF" w:rsidRDefault="00FD29FF" w:rsidP="00926076">
      <w:pPr>
        <w:pStyle w:val="FootnoteText"/>
        <w:jc w:val="both"/>
      </w:pPr>
      <w:r>
        <w:rPr>
          <w:rStyle w:val="FootnoteReference"/>
        </w:rPr>
        <w:footnoteRef/>
      </w:r>
      <w:r>
        <w:t xml:space="preserve"> </w:t>
      </w:r>
      <w:r w:rsidR="00C16B1D">
        <w:t>Ibid, paragraph 10.</w:t>
      </w:r>
    </w:p>
  </w:footnote>
  <w:footnote w:id="6">
    <w:p w14:paraId="16E1FFC9" w14:textId="46DED148" w:rsidR="0044752C" w:rsidRDefault="0044752C" w:rsidP="00926076">
      <w:pPr>
        <w:pStyle w:val="FootnoteText"/>
        <w:jc w:val="both"/>
      </w:pPr>
      <w:r>
        <w:rPr>
          <w:rStyle w:val="FootnoteReference"/>
        </w:rPr>
        <w:footnoteRef/>
      </w:r>
      <w:r>
        <w:t xml:space="preserve"> Ibid, paragraph 10.</w:t>
      </w:r>
    </w:p>
  </w:footnote>
  <w:footnote w:id="7">
    <w:p w14:paraId="573B0B0B" w14:textId="40ABFB1B" w:rsidR="000132D7" w:rsidRDefault="008B0A4D" w:rsidP="00926076">
      <w:pPr>
        <w:pStyle w:val="FootnoteText"/>
        <w:jc w:val="both"/>
      </w:pPr>
      <w:r>
        <w:rPr>
          <w:rStyle w:val="FootnoteReference"/>
        </w:rPr>
        <w:footnoteRef/>
      </w:r>
      <w:r>
        <w:t xml:space="preserve"> </w:t>
      </w:r>
      <w:r w:rsidR="0036769E">
        <w:t>Ibid, paragraph 15.</w:t>
      </w:r>
    </w:p>
  </w:footnote>
  <w:footnote w:id="8">
    <w:p w14:paraId="61FDF4B1" w14:textId="3E1A0D18" w:rsidR="00100126" w:rsidRDefault="00100126" w:rsidP="00926076">
      <w:pPr>
        <w:pStyle w:val="FootnoteText"/>
        <w:jc w:val="both"/>
      </w:pPr>
      <w:r>
        <w:rPr>
          <w:rStyle w:val="FootnoteReference"/>
        </w:rPr>
        <w:footnoteRef/>
      </w:r>
      <w:r>
        <w:t xml:space="preserve"> </w:t>
      </w:r>
      <w:r w:rsidR="001F1BE4" w:rsidRPr="001F1BE4">
        <w:rPr>
          <w:i/>
          <w:iCs w:val="0"/>
        </w:rPr>
        <w:t>State Information Technology Agency SOC Limited v Gjiima Holdings (Pty) Limited</w:t>
      </w:r>
      <w:r w:rsidR="00421488">
        <w:rPr>
          <w:i/>
          <w:iCs w:val="0"/>
        </w:rPr>
        <w:t xml:space="preserve"> 2018 </w:t>
      </w:r>
      <w:r w:rsidR="006076AC">
        <w:rPr>
          <w:i/>
          <w:iCs w:val="0"/>
        </w:rPr>
        <w:t>(2)</w:t>
      </w:r>
      <w:r w:rsidR="00BB7259">
        <w:rPr>
          <w:i/>
          <w:iCs w:val="0"/>
        </w:rPr>
        <w:t xml:space="preserve"> </w:t>
      </w:r>
      <w:r w:rsidR="006076AC">
        <w:rPr>
          <w:i/>
          <w:iCs w:val="0"/>
        </w:rPr>
        <w:t>23</w:t>
      </w:r>
      <w:r w:rsidR="00BB7259">
        <w:rPr>
          <w:i/>
          <w:iCs w:val="0"/>
        </w:rPr>
        <w:t xml:space="preserve"> </w:t>
      </w:r>
      <w:r w:rsidR="006E68DB">
        <w:rPr>
          <w:i/>
          <w:iCs w:val="0"/>
        </w:rPr>
        <w:t>CC</w:t>
      </w:r>
      <w:r w:rsidR="006E68DB" w:rsidRPr="001F1BE4">
        <w:t xml:space="preserve"> </w:t>
      </w:r>
      <w:r w:rsidR="006E68DB">
        <w:t>paragraph</w:t>
      </w:r>
      <w:r w:rsidR="006952D7">
        <w:t xml:space="preserve"> 38.</w:t>
      </w:r>
    </w:p>
  </w:footnote>
  <w:footnote w:id="9">
    <w:p w14:paraId="68473068" w14:textId="77777777" w:rsidR="00F241A4" w:rsidRDefault="00F241A4" w:rsidP="00926076">
      <w:pPr>
        <w:pStyle w:val="FootnoteText"/>
        <w:jc w:val="both"/>
      </w:pPr>
      <w:r>
        <w:rPr>
          <w:rStyle w:val="FootnoteReference"/>
        </w:rPr>
        <w:footnoteRef/>
      </w:r>
      <w:r>
        <w:t xml:space="preserve"> </w:t>
      </w:r>
      <w:r w:rsidRPr="006B6F49">
        <w:rPr>
          <w:i/>
          <w:iCs w:val="0"/>
        </w:rPr>
        <w:t>Passenger Rail Agency of South Africa v Swifambo Rail Agency (Pty) Ltd</w:t>
      </w:r>
      <w:r w:rsidRPr="006B6F49">
        <w:t xml:space="preserve"> 2017 (6) SA 223 (G</w:t>
      </w:r>
      <w:r>
        <w:t>J</w:t>
      </w:r>
      <w:r w:rsidRPr="006B6F49">
        <w:t>) para</w:t>
      </w:r>
      <w:r>
        <w:t>graphs</w:t>
      </w:r>
      <w:r w:rsidRPr="006B6F49">
        <w:t xml:space="preserve"> 74- 79</w:t>
      </w:r>
      <w:r>
        <w:t>.</w:t>
      </w:r>
    </w:p>
  </w:footnote>
  <w:footnote w:id="10">
    <w:p w14:paraId="541E913A" w14:textId="0D6BAD81" w:rsidR="00947146" w:rsidRDefault="00947146" w:rsidP="002D7AC3">
      <w:pPr>
        <w:pStyle w:val="FootnoteText"/>
        <w:jc w:val="both"/>
      </w:pPr>
      <w:r>
        <w:rPr>
          <w:rStyle w:val="FootnoteReference"/>
        </w:rPr>
        <w:footnoteRef/>
      </w:r>
      <w:r>
        <w:t xml:space="preserve"> The founding affidavit refers to September 2016 but from the context this must be an error and the </w:t>
      </w:r>
      <w:r w:rsidR="008D5AA1">
        <w:t>correct date</w:t>
      </w:r>
      <w:r>
        <w:t xml:space="preserve"> must be to September 2015</w:t>
      </w:r>
      <w:r w:rsidR="008D5AA1">
        <w:t>.</w:t>
      </w:r>
    </w:p>
  </w:footnote>
  <w:footnote w:id="11">
    <w:p w14:paraId="428AB8EA" w14:textId="3DB99201" w:rsidR="00C837E1" w:rsidRDefault="00C837E1" w:rsidP="002D7AC3">
      <w:pPr>
        <w:pStyle w:val="FootnoteText"/>
        <w:jc w:val="both"/>
      </w:pPr>
      <w:r>
        <w:rPr>
          <w:rStyle w:val="FootnoteReference"/>
        </w:rPr>
        <w:footnoteRef/>
      </w:r>
      <w:r>
        <w:t xml:space="preserve"> This was calculated as 25% of the rand value of the amount in Euros that AFD had agreed to fund.</w:t>
      </w:r>
    </w:p>
  </w:footnote>
  <w:footnote w:id="12">
    <w:p w14:paraId="7AA15037" w14:textId="31828EF7" w:rsidR="00E17FB0" w:rsidRDefault="00E17FB0" w:rsidP="002D7AC3">
      <w:pPr>
        <w:pStyle w:val="FootnoteText"/>
        <w:jc w:val="both"/>
      </w:pPr>
      <w:r>
        <w:rPr>
          <w:rStyle w:val="FootnoteReference"/>
        </w:rPr>
        <w:footnoteRef/>
      </w:r>
      <w:r>
        <w:t xml:space="preserve"> It also sought </w:t>
      </w:r>
      <w:r w:rsidR="00141AE9">
        <w:t>rectification</w:t>
      </w:r>
      <w:r>
        <w:t xml:space="preserve"> of the SLA by reference to a subsequent letter written but that is not relevant to this appeal given that the appeal </w:t>
      </w:r>
      <w:r w:rsidR="00A81AED">
        <w:t>is not successful.</w:t>
      </w:r>
    </w:p>
  </w:footnote>
  <w:footnote w:id="13">
    <w:p w14:paraId="03F036F2" w14:textId="79F72361" w:rsidR="006C6A99" w:rsidRDefault="006C6A99">
      <w:pPr>
        <w:pStyle w:val="FootnoteText"/>
      </w:pPr>
      <w:r>
        <w:rPr>
          <w:rStyle w:val="FootnoteReference"/>
        </w:rPr>
        <w:footnoteRef/>
      </w:r>
      <w:r w:rsidR="00526E95">
        <w:t xml:space="preserve"> </w:t>
      </w:r>
      <w:r w:rsidRPr="006C6A99">
        <w:t>2019 (5) SA 29 (CC)</w:t>
      </w:r>
    </w:p>
  </w:footnote>
  <w:footnote w:id="14">
    <w:p w14:paraId="6F70E2CF" w14:textId="5BA4A85E" w:rsidR="00C341E0" w:rsidRDefault="00C341E0" w:rsidP="002D7AC3">
      <w:pPr>
        <w:pStyle w:val="FootnoteText"/>
        <w:jc w:val="both"/>
      </w:pPr>
      <w:r>
        <w:rPr>
          <w:rStyle w:val="FootnoteReference"/>
        </w:rPr>
        <w:footnoteRef/>
      </w:r>
      <w:r>
        <w:t xml:space="preserve"> Supra, at paragraph 45.</w:t>
      </w:r>
    </w:p>
  </w:footnote>
  <w:footnote w:id="15">
    <w:p w14:paraId="70274230" w14:textId="05246215" w:rsidR="00103E04" w:rsidRDefault="00103E04" w:rsidP="002D7AC3">
      <w:pPr>
        <w:pStyle w:val="FootnoteText"/>
        <w:jc w:val="both"/>
      </w:pPr>
      <w:r>
        <w:rPr>
          <w:rStyle w:val="FootnoteReference"/>
        </w:rPr>
        <w:footnoteRef/>
      </w:r>
      <w:r>
        <w:t xml:space="preserve"> Supra, paragraph </w:t>
      </w:r>
      <w:r w:rsidR="00B9115A">
        <w:t>57</w:t>
      </w:r>
    </w:p>
  </w:footnote>
  <w:footnote w:id="16">
    <w:p w14:paraId="1F64963F" w14:textId="6BFAB54F" w:rsidR="005B1133" w:rsidRDefault="005B1133">
      <w:pPr>
        <w:pStyle w:val="FootnoteText"/>
      </w:pPr>
      <w:r>
        <w:rPr>
          <w:rStyle w:val="FootnoteReference"/>
        </w:rPr>
        <w:footnoteRef/>
      </w:r>
      <w:r>
        <w:t xml:space="preserve"> I have not mentioned the amounts involved as they are not relevant.</w:t>
      </w:r>
    </w:p>
  </w:footnote>
  <w:footnote w:id="17">
    <w:p w14:paraId="4387DA87" w14:textId="2E84E5AF" w:rsidR="001D0D71" w:rsidRDefault="001D0D71" w:rsidP="001D0D71">
      <w:pPr>
        <w:pStyle w:val="FootnoteText"/>
      </w:pPr>
      <w:r>
        <w:rPr>
          <w:rStyle w:val="FootnoteReference"/>
        </w:rPr>
        <w:footnoteRef/>
      </w:r>
      <w:r>
        <w:t xml:space="preserve"> Section 217(1</w:t>
      </w:r>
      <w:r w:rsidR="00B83B21">
        <w:t>) of</w:t>
      </w:r>
      <w:r>
        <w:t xml:space="preserve"> the Constitution. </w:t>
      </w:r>
    </w:p>
  </w:footnote>
  <w:footnote w:id="18">
    <w:p w14:paraId="3DEA0D02" w14:textId="5068B657" w:rsidR="0051459C" w:rsidRDefault="0051459C">
      <w:pPr>
        <w:pStyle w:val="FootnoteText"/>
      </w:pPr>
      <w:r>
        <w:rPr>
          <w:rStyle w:val="FootnoteReference"/>
        </w:rPr>
        <w:footnoteRef/>
      </w:r>
      <w:r>
        <w:t xml:space="preserve"> </w:t>
      </w:r>
      <w:r w:rsidRPr="00386A5B">
        <w:rPr>
          <w:i/>
          <w:iCs w:val="0"/>
        </w:rPr>
        <w:t>Investopedia</w:t>
      </w:r>
      <w:r w:rsidR="006C52B0" w:rsidRPr="00386A5B">
        <w:rPr>
          <w:i/>
          <w:iCs w:val="0"/>
        </w:rPr>
        <w:t>.com</w:t>
      </w:r>
      <w:r w:rsidR="006C52B0">
        <w:t xml:space="preserve"> accessed on 2</w:t>
      </w:r>
      <w:r w:rsidR="00386A5B">
        <w:t>1 June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96401"/>
      <w:docPartObj>
        <w:docPartGallery w:val="Page Numbers (Top of Page)"/>
        <w:docPartUnique/>
      </w:docPartObj>
    </w:sdtPr>
    <w:sdtEndPr>
      <w:rPr>
        <w:noProof/>
      </w:rPr>
    </w:sdtEndPr>
    <w:sdtContent>
      <w:p w14:paraId="63CFF2B4" w14:textId="49FB84A0" w:rsidR="0040421C" w:rsidRDefault="0040421C">
        <w:pPr>
          <w:pStyle w:val="Header"/>
          <w:jc w:val="right"/>
        </w:pPr>
        <w:r>
          <w:fldChar w:fldCharType="begin"/>
        </w:r>
        <w:r>
          <w:instrText xml:space="preserve"> PAGE   \* MERGEFORMAT </w:instrText>
        </w:r>
        <w:r>
          <w:fldChar w:fldCharType="separate"/>
        </w:r>
        <w:r w:rsidR="0086120E">
          <w:rPr>
            <w:noProof/>
          </w:rPr>
          <w:t>20</w:t>
        </w:r>
        <w:r>
          <w:rPr>
            <w:noProof/>
          </w:rPr>
          <w:fldChar w:fldCharType="end"/>
        </w:r>
      </w:p>
    </w:sdtContent>
  </w:sdt>
  <w:p w14:paraId="3CF6206F" w14:textId="77777777" w:rsidR="0040421C" w:rsidRDefault="0040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660"/>
    <w:multiLevelType w:val="hybridMultilevel"/>
    <w:tmpl w:val="10C84B88"/>
    <w:lvl w:ilvl="0" w:tplc="7E9CA09C">
      <w:start w:val="1"/>
      <w:numFmt w:val="decimal"/>
      <w:lvlText w:val="[%1]"/>
      <w:lvlJc w:val="left"/>
      <w:pPr>
        <w:ind w:left="360" w:hanging="360"/>
      </w:pPr>
      <w:rPr>
        <w:rFonts w:ascii="Arial" w:hAnsi="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A132429"/>
    <w:multiLevelType w:val="hybridMultilevel"/>
    <w:tmpl w:val="FFFFFFFF"/>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94A629E"/>
    <w:multiLevelType w:val="hybridMultilevel"/>
    <w:tmpl w:val="27D2E718"/>
    <w:lvl w:ilvl="0" w:tplc="E932C9B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07554F0"/>
    <w:multiLevelType w:val="hybridMultilevel"/>
    <w:tmpl w:val="72B28E48"/>
    <w:lvl w:ilvl="0" w:tplc="E932C9B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AB50DD3"/>
    <w:multiLevelType w:val="hybridMultilevel"/>
    <w:tmpl w:val="23689A64"/>
    <w:lvl w:ilvl="0" w:tplc="E932C9B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0916B0D"/>
    <w:multiLevelType w:val="hybridMultilevel"/>
    <w:tmpl w:val="61905E9A"/>
    <w:lvl w:ilvl="0" w:tplc="D57EE048">
      <w:start w:val="2"/>
      <w:numFmt w:val="lowerLetter"/>
      <w:lvlText w:val="%1."/>
      <w:lvlJc w:val="left"/>
      <w:pPr>
        <w:ind w:left="1069" w:hanging="360"/>
      </w:pPr>
      <w:rPr>
        <w:rFonts w:hint="default"/>
        <w:b/>
        <w:bCs/>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6" w15:restartNumberingAfterBreak="0">
    <w:nsid w:val="31990625"/>
    <w:multiLevelType w:val="hybridMultilevel"/>
    <w:tmpl w:val="6ABC3D70"/>
    <w:lvl w:ilvl="0" w:tplc="607A91BE">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44210E"/>
    <w:multiLevelType w:val="hybridMultilevel"/>
    <w:tmpl w:val="B4244164"/>
    <w:lvl w:ilvl="0" w:tplc="E932C9B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25E41EB"/>
    <w:multiLevelType w:val="hybridMultilevel"/>
    <w:tmpl w:val="27404516"/>
    <w:lvl w:ilvl="0" w:tplc="BE0C58AC">
      <w:start w:val="1"/>
      <w:numFmt w:val="decimal"/>
      <w:lvlText w:val="[%1]"/>
      <w:lvlJc w:val="left"/>
      <w:pPr>
        <w:ind w:left="720" w:hanging="360"/>
      </w:pPr>
      <w:rPr>
        <w:rFonts w:ascii="Arial" w:hAnsi="Arial" w:hint="default"/>
        <w:b w:val="0"/>
        <w:bCs w:val="0"/>
        <w:i w:val="0"/>
        <w:iCs/>
      </w:rPr>
    </w:lvl>
    <w:lvl w:ilvl="1" w:tplc="1C090019">
      <w:start w:val="1"/>
      <w:numFmt w:val="lowerLetter"/>
      <w:lvlText w:val="%2."/>
      <w:lvlJc w:val="left"/>
      <w:pPr>
        <w:ind w:left="1069"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D2374D"/>
    <w:multiLevelType w:val="hybridMultilevel"/>
    <w:tmpl w:val="9190DA62"/>
    <w:lvl w:ilvl="0" w:tplc="E932C9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FDD4773"/>
    <w:multiLevelType w:val="hybridMultilevel"/>
    <w:tmpl w:val="B8869F3C"/>
    <w:lvl w:ilvl="0" w:tplc="E932C9B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7C54090A"/>
    <w:multiLevelType w:val="hybridMultilevel"/>
    <w:tmpl w:val="623282E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2"/>
  </w:num>
  <w:num w:numId="6">
    <w:abstractNumId w:val="4"/>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UwNzIxNjI1NLAwMzVX0lEKTi0uzszPAykwrAUAw+cRhiwAAAA="/>
  </w:docVars>
  <w:rsids>
    <w:rsidRoot w:val="00B6121B"/>
    <w:rsid w:val="000003AF"/>
    <w:rsid w:val="00000EBD"/>
    <w:rsid w:val="0000260C"/>
    <w:rsid w:val="000036E5"/>
    <w:rsid w:val="00004A52"/>
    <w:rsid w:val="000079E2"/>
    <w:rsid w:val="00010567"/>
    <w:rsid w:val="000132D7"/>
    <w:rsid w:val="00013B34"/>
    <w:rsid w:val="000143FA"/>
    <w:rsid w:val="0001445E"/>
    <w:rsid w:val="00015270"/>
    <w:rsid w:val="00015BBE"/>
    <w:rsid w:val="00016BA9"/>
    <w:rsid w:val="00020EFB"/>
    <w:rsid w:val="0002189B"/>
    <w:rsid w:val="000219AE"/>
    <w:rsid w:val="00021E58"/>
    <w:rsid w:val="0002359E"/>
    <w:rsid w:val="00026EDE"/>
    <w:rsid w:val="00027D64"/>
    <w:rsid w:val="00033D54"/>
    <w:rsid w:val="000351BF"/>
    <w:rsid w:val="00035F92"/>
    <w:rsid w:val="000405BB"/>
    <w:rsid w:val="000439F6"/>
    <w:rsid w:val="00043F69"/>
    <w:rsid w:val="00044AC1"/>
    <w:rsid w:val="0005091B"/>
    <w:rsid w:val="000510A9"/>
    <w:rsid w:val="00051A33"/>
    <w:rsid w:val="000534B8"/>
    <w:rsid w:val="000568B6"/>
    <w:rsid w:val="00061803"/>
    <w:rsid w:val="00063768"/>
    <w:rsid w:val="00063786"/>
    <w:rsid w:val="000661B6"/>
    <w:rsid w:val="00066B51"/>
    <w:rsid w:val="00070586"/>
    <w:rsid w:val="00071510"/>
    <w:rsid w:val="0007192C"/>
    <w:rsid w:val="000735BC"/>
    <w:rsid w:val="0007427D"/>
    <w:rsid w:val="0008095A"/>
    <w:rsid w:val="0008291A"/>
    <w:rsid w:val="000846FD"/>
    <w:rsid w:val="00086E47"/>
    <w:rsid w:val="0009041B"/>
    <w:rsid w:val="0009046C"/>
    <w:rsid w:val="0009396B"/>
    <w:rsid w:val="00094D35"/>
    <w:rsid w:val="00094DE4"/>
    <w:rsid w:val="0009615D"/>
    <w:rsid w:val="000A0C7D"/>
    <w:rsid w:val="000A2869"/>
    <w:rsid w:val="000A2DC1"/>
    <w:rsid w:val="000A7C98"/>
    <w:rsid w:val="000B0FA8"/>
    <w:rsid w:val="000B4D14"/>
    <w:rsid w:val="000B4FBF"/>
    <w:rsid w:val="000B61FC"/>
    <w:rsid w:val="000B6CAA"/>
    <w:rsid w:val="000C183E"/>
    <w:rsid w:val="000C5EE6"/>
    <w:rsid w:val="000C60C4"/>
    <w:rsid w:val="000C71C9"/>
    <w:rsid w:val="000C71F5"/>
    <w:rsid w:val="000C7221"/>
    <w:rsid w:val="000D0180"/>
    <w:rsid w:val="000D0B3B"/>
    <w:rsid w:val="000D46A2"/>
    <w:rsid w:val="000D5610"/>
    <w:rsid w:val="000D7546"/>
    <w:rsid w:val="000E00C9"/>
    <w:rsid w:val="000E1311"/>
    <w:rsid w:val="000E4635"/>
    <w:rsid w:val="000E667C"/>
    <w:rsid w:val="000F17F1"/>
    <w:rsid w:val="000F4872"/>
    <w:rsid w:val="000F7F64"/>
    <w:rsid w:val="00100126"/>
    <w:rsid w:val="00101B18"/>
    <w:rsid w:val="00101FC3"/>
    <w:rsid w:val="00103E04"/>
    <w:rsid w:val="00107A5D"/>
    <w:rsid w:val="00111ACC"/>
    <w:rsid w:val="00113DC4"/>
    <w:rsid w:val="00123C9E"/>
    <w:rsid w:val="00126D05"/>
    <w:rsid w:val="00132318"/>
    <w:rsid w:val="001335FA"/>
    <w:rsid w:val="00133794"/>
    <w:rsid w:val="00136B7E"/>
    <w:rsid w:val="00136D20"/>
    <w:rsid w:val="0014092D"/>
    <w:rsid w:val="0014131F"/>
    <w:rsid w:val="00141AE9"/>
    <w:rsid w:val="0014345E"/>
    <w:rsid w:val="00143BCF"/>
    <w:rsid w:val="00144334"/>
    <w:rsid w:val="00144910"/>
    <w:rsid w:val="00144CB7"/>
    <w:rsid w:val="00146001"/>
    <w:rsid w:val="00146135"/>
    <w:rsid w:val="001468D7"/>
    <w:rsid w:val="001472BD"/>
    <w:rsid w:val="00152A14"/>
    <w:rsid w:val="00153E05"/>
    <w:rsid w:val="00154291"/>
    <w:rsid w:val="00155C9B"/>
    <w:rsid w:val="001573E1"/>
    <w:rsid w:val="001604A8"/>
    <w:rsid w:val="00160F19"/>
    <w:rsid w:val="00163006"/>
    <w:rsid w:val="00163503"/>
    <w:rsid w:val="001665C6"/>
    <w:rsid w:val="00170510"/>
    <w:rsid w:val="00181B0F"/>
    <w:rsid w:val="001851C7"/>
    <w:rsid w:val="00186FCB"/>
    <w:rsid w:val="001871D6"/>
    <w:rsid w:val="00190C3D"/>
    <w:rsid w:val="00193592"/>
    <w:rsid w:val="0019431A"/>
    <w:rsid w:val="001945D4"/>
    <w:rsid w:val="00194A6B"/>
    <w:rsid w:val="00194D5E"/>
    <w:rsid w:val="001954EB"/>
    <w:rsid w:val="001964B4"/>
    <w:rsid w:val="001972E9"/>
    <w:rsid w:val="001A052F"/>
    <w:rsid w:val="001A1808"/>
    <w:rsid w:val="001A3BFA"/>
    <w:rsid w:val="001A624A"/>
    <w:rsid w:val="001A735B"/>
    <w:rsid w:val="001B2A96"/>
    <w:rsid w:val="001B4851"/>
    <w:rsid w:val="001B7661"/>
    <w:rsid w:val="001C03DE"/>
    <w:rsid w:val="001C11CF"/>
    <w:rsid w:val="001C4611"/>
    <w:rsid w:val="001C50C3"/>
    <w:rsid w:val="001C732A"/>
    <w:rsid w:val="001D0D71"/>
    <w:rsid w:val="001D0E4A"/>
    <w:rsid w:val="001D4BE1"/>
    <w:rsid w:val="001D763E"/>
    <w:rsid w:val="001E1999"/>
    <w:rsid w:val="001E373A"/>
    <w:rsid w:val="001E3B24"/>
    <w:rsid w:val="001E45F8"/>
    <w:rsid w:val="001E584F"/>
    <w:rsid w:val="001F1BE4"/>
    <w:rsid w:val="001F30C7"/>
    <w:rsid w:val="001F467D"/>
    <w:rsid w:val="001F4C22"/>
    <w:rsid w:val="002006C1"/>
    <w:rsid w:val="002023A6"/>
    <w:rsid w:val="00205842"/>
    <w:rsid w:val="00206B9D"/>
    <w:rsid w:val="0021018C"/>
    <w:rsid w:val="00213800"/>
    <w:rsid w:val="00213A14"/>
    <w:rsid w:val="00214742"/>
    <w:rsid w:val="002156ED"/>
    <w:rsid w:val="00215886"/>
    <w:rsid w:val="002217E0"/>
    <w:rsid w:val="00223B9B"/>
    <w:rsid w:val="0022408B"/>
    <w:rsid w:val="002252EC"/>
    <w:rsid w:val="00230804"/>
    <w:rsid w:val="00230ABC"/>
    <w:rsid w:val="00231D5D"/>
    <w:rsid w:val="0023490E"/>
    <w:rsid w:val="00236601"/>
    <w:rsid w:val="002451DA"/>
    <w:rsid w:val="002539A8"/>
    <w:rsid w:val="00255D39"/>
    <w:rsid w:val="002570F8"/>
    <w:rsid w:val="00257A88"/>
    <w:rsid w:val="002642BD"/>
    <w:rsid w:val="00264835"/>
    <w:rsid w:val="00264F1A"/>
    <w:rsid w:val="0026603A"/>
    <w:rsid w:val="0027052C"/>
    <w:rsid w:val="002808F9"/>
    <w:rsid w:val="00280C85"/>
    <w:rsid w:val="00281664"/>
    <w:rsid w:val="00282A33"/>
    <w:rsid w:val="00283A7C"/>
    <w:rsid w:val="00284FA6"/>
    <w:rsid w:val="00291E4B"/>
    <w:rsid w:val="0029200E"/>
    <w:rsid w:val="00294926"/>
    <w:rsid w:val="002978A9"/>
    <w:rsid w:val="002A10C5"/>
    <w:rsid w:val="002A1FDF"/>
    <w:rsid w:val="002A2700"/>
    <w:rsid w:val="002A2C86"/>
    <w:rsid w:val="002A6367"/>
    <w:rsid w:val="002A72F3"/>
    <w:rsid w:val="002A74F4"/>
    <w:rsid w:val="002A7B0E"/>
    <w:rsid w:val="002B0556"/>
    <w:rsid w:val="002B33A9"/>
    <w:rsid w:val="002C4E78"/>
    <w:rsid w:val="002C6763"/>
    <w:rsid w:val="002C72D9"/>
    <w:rsid w:val="002D2250"/>
    <w:rsid w:val="002D22A5"/>
    <w:rsid w:val="002D6770"/>
    <w:rsid w:val="002D7AC3"/>
    <w:rsid w:val="002E34B4"/>
    <w:rsid w:val="002E3E5D"/>
    <w:rsid w:val="002E6023"/>
    <w:rsid w:val="002F1C48"/>
    <w:rsid w:val="002F1F71"/>
    <w:rsid w:val="002F5DEC"/>
    <w:rsid w:val="00302A10"/>
    <w:rsid w:val="00304689"/>
    <w:rsid w:val="003063FE"/>
    <w:rsid w:val="00307096"/>
    <w:rsid w:val="00307F12"/>
    <w:rsid w:val="00310144"/>
    <w:rsid w:val="003114A9"/>
    <w:rsid w:val="00312A00"/>
    <w:rsid w:val="003137DC"/>
    <w:rsid w:val="00313E7C"/>
    <w:rsid w:val="00316354"/>
    <w:rsid w:val="00316EB7"/>
    <w:rsid w:val="0031774E"/>
    <w:rsid w:val="00317CEF"/>
    <w:rsid w:val="00320635"/>
    <w:rsid w:val="00323FD8"/>
    <w:rsid w:val="003256BD"/>
    <w:rsid w:val="003258E2"/>
    <w:rsid w:val="003261DA"/>
    <w:rsid w:val="003273AE"/>
    <w:rsid w:val="003332AC"/>
    <w:rsid w:val="00335976"/>
    <w:rsid w:val="00336B86"/>
    <w:rsid w:val="003378A7"/>
    <w:rsid w:val="00341B31"/>
    <w:rsid w:val="00341C80"/>
    <w:rsid w:val="00341D8E"/>
    <w:rsid w:val="003517B5"/>
    <w:rsid w:val="00351CE4"/>
    <w:rsid w:val="003525AA"/>
    <w:rsid w:val="00353054"/>
    <w:rsid w:val="00353287"/>
    <w:rsid w:val="00354CB8"/>
    <w:rsid w:val="00361520"/>
    <w:rsid w:val="00363F34"/>
    <w:rsid w:val="003641B8"/>
    <w:rsid w:val="00366F52"/>
    <w:rsid w:val="00367325"/>
    <w:rsid w:val="0036769E"/>
    <w:rsid w:val="00370474"/>
    <w:rsid w:val="00371116"/>
    <w:rsid w:val="00371661"/>
    <w:rsid w:val="00372EA3"/>
    <w:rsid w:val="00380F4A"/>
    <w:rsid w:val="00381764"/>
    <w:rsid w:val="00381EE4"/>
    <w:rsid w:val="00386A5B"/>
    <w:rsid w:val="00391714"/>
    <w:rsid w:val="00392544"/>
    <w:rsid w:val="003953B2"/>
    <w:rsid w:val="00395F72"/>
    <w:rsid w:val="00397A60"/>
    <w:rsid w:val="00397EA5"/>
    <w:rsid w:val="003A2914"/>
    <w:rsid w:val="003A308C"/>
    <w:rsid w:val="003A750A"/>
    <w:rsid w:val="003A7AC7"/>
    <w:rsid w:val="003B1160"/>
    <w:rsid w:val="003B243C"/>
    <w:rsid w:val="003B2491"/>
    <w:rsid w:val="003B2949"/>
    <w:rsid w:val="003B2CEA"/>
    <w:rsid w:val="003B2D55"/>
    <w:rsid w:val="003B4229"/>
    <w:rsid w:val="003B5D3E"/>
    <w:rsid w:val="003C0075"/>
    <w:rsid w:val="003C2F8F"/>
    <w:rsid w:val="003C6ED2"/>
    <w:rsid w:val="003D329F"/>
    <w:rsid w:val="003D3DBF"/>
    <w:rsid w:val="003D5D5F"/>
    <w:rsid w:val="003D6DD1"/>
    <w:rsid w:val="003E0AB4"/>
    <w:rsid w:val="003E0E0E"/>
    <w:rsid w:val="003E1C41"/>
    <w:rsid w:val="003E2955"/>
    <w:rsid w:val="003E3115"/>
    <w:rsid w:val="003E3B0F"/>
    <w:rsid w:val="003E3C87"/>
    <w:rsid w:val="003E40E0"/>
    <w:rsid w:val="003F593B"/>
    <w:rsid w:val="003F782D"/>
    <w:rsid w:val="003F7FE5"/>
    <w:rsid w:val="0040421C"/>
    <w:rsid w:val="00404248"/>
    <w:rsid w:val="00404517"/>
    <w:rsid w:val="00407F6C"/>
    <w:rsid w:val="00410BDF"/>
    <w:rsid w:val="00413FE4"/>
    <w:rsid w:val="004146B8"/>
    <w:rsid w:val="00414A4A"/>
    <w:rsid w:val="00420EA1"/>
    <w:rsid w:val="00421488"/>
    <w:rsid w:val="00425606"/>
    <w:rsid w:val="0042761D"/>
    <w:rsid w:val="00432F90"/>
    <w:rsid w:val="00433966"/>
    <w:rsid w:val="0044152B"/>
    <w:rsid w:val="00445C55"/>
    <w:rsid w:val="0044752C"/>
    <w:rsid w:val="0045344B"/>
    <w:rsid w:val="0045377A"/>
    <w:rsid w:val="00454548"/>
    <w:rsid w:val="0045537E"/>
    <w:rsid w:val="004565D2"/>
    <w:rsid w:val="00460641"/>
    <w:rsid w:val="00461DE3"/>
    <w:rsid w:val="00463474"/>
    <w:rsid w:val="00464E12"/>
    <w:rsid w:val="004706B8"/>
    <w:rsid w:val="00471F33"/>
    <w:rsid w:val="00472D71"/>
    <w:rsid w:val="00473EAB"/>
    <w:rsid w:val="00482AD8"/>
    <w:rsid w:val="00482D40"/>
    <w:rsid w:val="00483011"/>
    <w:rsid w:val="0048626F"/>
    <w:rsid w:val="004874C4"/>
    <w:rsid w:val="00490328"/>
    <w:rsid w:val="004950C6"/>
    <w:rsid w:val="0049626A"/>
    <w:rsid w:val="00496346"/>
    <w:rsid w:val="004A0ECF"/>
    <w:rsid w:val="004A28C5"/>
    <w:rsid w:val="004A445B"/>
    <w:rsid w:val="004B0F20"/>
    <w:rsid w:val="004B1FFD"/>
    <w:rsid w:val="004B2011"/>
    <w:rsid w:val="004B2B86"/>
    <w:rsid w:val="004B35D4"/>
    <w:rsid w:val="004B655C"/>
    <w:rsid w:val="004B7361"/>
    <w:rsid w:val="004C042E"/>
    <w:rsid w:val="004C1E3C"/>
    <w:rsid w:val="004C4972"/>
    <w:rsid w:val="004C6979"/>
    <w:rsid w:val="004D1501"/>
    <w:rsid w:val="004D22D6"/>
    <w:rsid w:val="004D4153"/>
    <w:rsid w:val="004D5939"/>
    <w:rsid w:val="004D6525"/>
    <w:rsid w:val="004D72BB"/>
    <w:rsid w:val="004D745B"/>
    <w:rsid w:val="004D7DD6"/>
    <w:rsid w:val="004E08DC"/>
    <w:rsid w:val="004E14BC"/>
    <w:rsid w:val="004E1540"/>
    <w:rsid w:val="004E42AB"/>
    <w:rsid w:val="004E667E"/>
    <w:rsid w:val="004E7F1E"/>
    <w:rsid w:val="004F26D1"/>
    <w:rsid w:val="004F2E0C"/>
    <w:rsid w:val="004F699D"/>
    <w:rsid w:val="00503451"/>
    <w:rsid w:val="00504047"/>
    <w:rsid w:val="005053CE"/>
    <w:rsid w:val="00505A36"/>
    <w:rsid w:val="0050749D"/>
    <w:rsid w:val="00511F57"/>
    <w:rsid w:val="00511FC2"/>
    <w:rsid w:val="0051459C"/>
    <w:rsid w:val="00515CDC"/>
    <w:rsid w:val="0051606C"/>
    <w:rsid w:val="00516590"/>
    <w:rsid w:val="0052019B"/>
    <w:rsid w:val="00521B9D"/>
    <w:rsid w:val="00526E29"/>
    <w:rsid w:val="00526E95"/>
    <w:rsid w:val="00531E36"/>
    <w:rsid w:val="00533BF1"/>
    <w:rsid w:val="005345B6"/>
    <w:rsid w:val="005355D2"/>
    <w:rsid w:val="00536EA3"/>
    <w:rsid w:val="0054074B"/>
    <w:rsid w:val="0054116C"/>
    <w:rsid w:val="0054137C"/>
    <w:rsid w:val="005435F7"/>
    <w:rsid w:val="005440A8"/>
    <w:rsid w:val="00544297"/>
    <w:rsid w:val="00544B78"/>
    <w:rsid w:val="0054680F"/>
    <w:rsid w:val="00546F9B"/>
    <w:rsid w:val="00547415"/>
    <w:rsid w:val="0055472E"/>
    <w:rsid w:val="00556EE8"/>
    <w:rsid w:val="005600DC"/>
    <w:rsid w:val="00565C52"/>
    <w:rsid w:val="00566D40"/>
    <w:rsid w:val="0057034B"/>
    <w:rsid w:val="00570483"/>
    <w:rsid w:val="00570909"/>
    <w:rsid w:val="005712E6"/>
    <w:rsid w:val="00572482"/>
    <w:rsid w:val="00572738"/>
    <w:rsid w:val="005729F5"/>
    <w:rsid w:val="00574551"/>
    <w:rsid w:val="005748AE"/>
    <w:rsid w:val="00575F8A"/>
    <w:rsid w:val="00577048"/>
    <w:rsid w:val="00584FF6"/>
    <w:rsid w:val="00585FC7"/>
    <w:rsid w:val="00587AF7"/>
    <w:rsid w:val="00587D9D"/>
    <w:rsid w:val="005924B0"/>
    <w:rsid w:val="0059636B"/>
    <w:rsid w:val="00596C8F"/>
    <w:rsid w:val="005A0957"/>
    <w:rsid w:val="005A1451"/>
    <w:rsid w:val="005A1C2E"/>
    <w:rsid w:val="005A51A1"/>
    <w:rsid w:val="005B1133"/>
    <w:rsid w:val="005B2D97"/>
    <w:rsid w:val="005B33A8"/>
    <w:rsid w:val="005C1CB9"/>
    <w:rsid w:val="005C2681"/>
    <w:rsid w:val="005C343B"/>
    <w:rsid w:val="005C412B"/>
    <w:rsid w:val="005C4366"/>
    <w:rsid w:val="005C4FCF"/>
    <w:rsid w:val="005C56DB"/>
    <w:rsid w:val="005C619D"/>
    <w:rsid w:val="005D63F2"/>
    <w:rsid w:val="005D7D24"/>
    <w:rsid w:val="005E0189"/>
    <w:rsid w:val="005E089A"/>
    <w:rsid w:val="005E246C"/>
    <w:rsid w:val="005E471B"/>
    <w:rsid w:val="005E492B"/>
    <w:rsid w:val="005E7BA4"/>
    <w:rsid w:val="005F32AE"/>
    <w:rsid w:val="005F330A"/>
    <w:rsid w:val="005F365A"/>
    <w:rsid w:val="005F4F9A"/>
    <w:rsid w:val="005F6434"/>
    <w:rsid w:val="005F7244"/>
    <w:rsid w:val="005F7909"/>
    <w:rsid w:val="006076AC"/>
    <w:rsid w:val="00611C48"/>
    <w:rsid w:val="0061382D"/>
    <w:rsid w:val="0061503A"/>
    <w:rsid w:val="00615563"/>
    <w:rsid w:val="00615AB1"/>
    <w:rsid w:val="00621D79"/>
    <w:rsid w:val="006223E0"/>
    <w:rsid w:val="00623542"/>
    <w:rsid w:val="00630FEF"/>
    <w:rsid w:val="0063261E"/>
    <w:rsid w:val="00640CEE"/>
    <w:rsid w:val="006461B9"/>
    <w:rsid w:val="00646B28"/>
    <w:rsid w:val="00646F03"/>
    <w:rsid w:val="006501A1"/>
    <w:rsid w:val="00650EAD"/>
    <w:rsid w:val="006526BD"/>
    <w:rsid w:val="006530F4"/>
    <w:rsid w:val="00654D99"/>
    <w:rsid w:val="00655933"/>
    <w:rsid w:val="006578FC"/>
    <w:rsid w:val="00657945"/>
    <w:rsid w:val="006603FB"/>
    <w:rsid w:val="00661BE9"/>
    <w:rsid w:val="00662368"/>
    <w:rsid w:val="0066386B"/>
    <w:rsid w:val="0066480B"/>
    <w:rsid w:val="006742A1"/>
    <w:rsid w:val="00674E8D"/>
    <w:rsid w:val="00677FF0"/>
    <w:rsid w:val="00682BCF"/>
    <w:rsid w:val="00683290"/>
    <w:rsid w:val="00683E5D"/>
    <w:rsid w:val="0068500F"/>
    <w:rsid w:val="00686012"/>
    <w:rsid w:val="006860AC"/>
    <w:rsid w:val="006871E1"/>
    <w:rsid w:val="00687783"/>
    <w:rsid w:val="00693455"/>
    <w:rsid w:val="006952D7"/>
    <w:rsid w:val="006A0014"/>
    <w:rsid w:val="006A3FB8"/>
    <w:rsid w:val="006A5E23"/>
    <w:rsid w:val="006A687F"/>
    <w:rsid w:val="006A7E31"/>
    <w:rsid w:val="006B0356"/>
    <w:rsid w:val="006B265F"/>
    <w:rsid w:val="006B5515"/>
    <w:rsid w:val="006B6D48"/>
    <w:rsid w:val="006B6F49"/>
    <w:rsid w:val="006B702B"/>
    <w:rsid w:val="006C1367"/>
    <w:rsid w:val="006C154D"/>
    <w:rsid w:val="006C52B0"/>
    <w:rsid w:val="006C5803"/>
    <w:rsid w:val="006C631C"/>
    <w:rsid w:val="006C666F"/>
    <w:rsid w:val="006C6A99"/>
    <w:rsid w:val="006C731E"/>
    <w:rsid w:val="006D0BB9"/>
    <w:rsid w:val="006D3714"/>
    <w:rsid w:val="006D78F8"/>
    <w:rsid w:val="006E174E"/>
    <w:rsid w:val="006E26AD"/>
    <w:rsid w:val="006E3210"/>
    <w:rsid w:val="006E68DB"/>
    <w:rsid w:val="006E6E8A"/>
    <w:rsid w:val="006E7DA5"/>
    <w:rsid w:val="006F1401"/>
    <w:rsid w:val="006F51CD"/>
    <w:rsid w:val="006F5C30"/>
    <w:rsid w:val="006F7F32"/>
    <w:rsid w:val="0070115B"/>
    <w:rsid w:val="007042B9"/>
    <w:rsid w:val="00707A21"/>
    <w:rsid w:val="0071058C"/>
    <w:rsid w:val="00710B21"/>
    <w:rsid w:val="00716838"/>
    <w:rsid w:val="00716D66"/>
    <w:rsid w:val="00717D50"/>
    <w:rsid w:val="0072001F"/>
    <w:rsid w:val="00721FA1"/>
    <w:rsid w:val="00723D72"/>
    <w:rsid w:val="00724919"/>
    <w:rsid w:val="00730BC9"/>
    <w:rsid w:val="00731F95"/>
    <w:rsid w:val="00732E05"/>
    <w:rsid w:val="00733544"/>
    <w:rsid w:val="00734652"/>
    <w:rsid w:val="00734704"/>
    <w:rsid w:val="007360B7"/>
    <w:rsid w:val="00736946"/>
    <w:rsid w:val="007408B1"/>
    <w:rsid w:val="00741AD5"/>
    <w:rsid w:val="0074590A"/>
    <w:rsid w:val="00747320"/>
    <w:rsid w:val="00747FB4"/>
    <w:rsid w:val="0075180E"/>
    <w:rsid w:val="007538E5"/>
    <w:rsid w:val="0075426A"/>
    <w:rsid w:val="007554FD"/>
    <w:rsid w:val="0075557B"/>
    <w:rsid w:val="007559A6"/>
    <w:rsid w:val="00757934"/>
    <w:rsid w:val="00760D86"/>
    <w:rsid w:val="007617E5"/>
    <w:rsid w:val="00762229"/>
    <w:rsid w:val="00763299"/>
    <w:rsid w:val="00763C0F"/>
    <w:rsid w:val="00765F28"/>
    <w:rsid w:val="0077038F"/>
    <w:rsid w:val="00770CFD"/>
    <w:rsid w:val="007739D5"/>
    <w:rsid w:val="007766FC"/>
    <w:rsid w:val="00776CA6"/>
    <w:rsid w:val="00783FE2"/>
    <w:rsid w:val="007857C5"/>
    <w:rsid w:val="00786EFD"/>
    <w:rsid w:val="007906BB"/>
    <w:rsid w:val="00790B91"/>
    <w:rsid w:val="007913E9"/>
    <w:rsid w:val="00791C2B"/>
    <w:rsid w:val="00793DD6"/>
    <w:rsid w:val="00793E67"/>
    <w:rsid w:val="00796813"/>
    <w:rsid w:val="00797991"/>
    <w:rsid w:val="00797A45"/>
    <w:rsid w:val="007A15A4"/>
    <w:rsid w:val="007A27C0"/>
    <w:rsid w:val="007A2F95"/>
    <w:rsid w:val="007A65DB"/>
    <w:rsid w:val="007B0FE4"/>
    <w:rsid w:val="007B161F"/>
    <w:rsid w:val="007B681D"/>
    <w:rsid w:val="007C2298"/>
    <w:rsid w:val="007C4DED"/>
    <w:rsid w:val="007C6808"/>
    <w:rsid w:val="007D1674"/>
    <w:rsid w:val="007E2025"/>
    <w:rsid w:val="007E2C90"/>
    <w:rsid w:val="007E30BA"/>
    <w:rsid w:val="007E438C"/>
    <w:rsid w:val="007E5D07"/>
    <w:rsid w:val="007E6F1B"/>
    <w:rsid w:val="007F0827"/>
    <w:rsid w:val="007F1298"/>
    <w:rsid w:val="007F24DD"/>
    <w:rsid w:val="007F2864"/>
    <w:rsid w:val="007F2E24"/>
    <w:rsid w:val="007F6043"/>
    <w:rsid w:val="007F6C99"/>
    <w:rsid w:val="007F707E"/>
    <w:rsid w:val="008009B2"/>
    <w:rsid w:val="00802EAD"/>
    <w:rsid w:val="008035BC"/>
    <w:rsid w:val="00805425"/>
    <w:rsid w:val="008058FC"/>
    <w:rsid w:val="00807A41"/>
    <w:rsid w:val="00810463"/>
    <w:rsid w:val="0081257D"/>
    <w:rsid w:val="00814A17"/>
    <w:rsid w:val="00814CBF"/>
    <w:rsid w:val="008202AB"/>
    <w:rsid w:val="00823718"/>
    <w:rsid w:val="00824778"/>
    <w:rsid w:val="0082730A"/>
    <w:rsid w:val="0083006D"/>
    <w:rsid w:val="00830668"/>
    <w:rsid w:val="00835C2D"/>
    <w:rsid w:val="008410BE"/>
    <w:rsid w:val="00841B72"/>
    <w:rsid w:val="00842531"/>
    <w:rsid w:val="00846B72"/>
    <w:rsid w:val="00850401"/>
    <w:rsid w:val="00852451"/>
    <w:rsid w:val="00854570"/>
    <w:rsid w:val="008602C8"/>
    <w:rsid w:val="0086120E"/>
    <w:rsid w:val="00861A7C"/>
    <w:rsid w:val="00862593"/>
    <w:rsid w:val="008727D8"/>
    <w:rsid w:val="00873E75"/>
    <w:rsid w:val="00877AD7"/>
    <w:rsid w:val="00877BAD"/>
    <w:rsid w:val="008816C7"/>
    <w:rsid w:val="00882D75"/>
    <w:rsid w:val="00885FC0"/>
    <w:rsid w:val="00890F82"/>
    <w:rsid w:val="00891F40"/>
    <w:rsid w:val="00895EBF"/>
    <w:rsid w:val="00896CD9"/>
    <w:rsid w:val="008A291A"/>
    <w:rsid w:val="008A4901"/>
    <w:rsid w:val="008B04AA"/>
    <w:rsid w:val="008B04F3"/>
    <w:rsid w:val="008B0824"/>
    <w:rsid w:val="008B0A4D"/>
    <w:rsid w:val="008B1E70"/>
    <w:rsid w:val="008B1E76"/>
    <w:rsid w:val="008B3703"/>
    <w:rsid w:val="008B4795"/>
    <w:rsid w:val="008B6568"/>
    <w:rsid w:val="008C0624"/>
    <w:rsid w:val="008C1C7F"/>
    <w:rsid w:val="008C23F5"/>
    <w:rsid w:val="008C2946"/>
    <w:rsid w:val="008C4FBD"/>
    <w:rsid w:val="008C5FFA"/>
    <w:rsid w:val="008C7A67"/>
    <w:rsid w:val="008C7C35"/>
    <w:rsid w:val="008D037F"/>
    <w:rsid w:val="008D2A8A"/>
    <w:rsid w:val="008D3F61"/>
    <w:rsid w:val="008D4D63"/>
    <w:rsid w:val="008D4F9E"/>
    <w:rsid w:val="008D5AA1"/>
    <w:rsid w:val="008D61BB"/>
    <w:rsid w:val="008D6AD3"/>
    <w:rsid w:val="008D749E"/>
    <w:rsid w:val="008E144E"/>
    <w:rsid w:val="008E2011"/>
    <w:rsid w:val="008E2885"/>
    <w:rsid w:val="008E54D0"/>
    <w:rsid w:val="008E5E20"/>
    <w:rsid w:val="008E5F98"/>
    <w:rsid w:val="008E6AE6"/>
    <w:rsid w:val="008F1ECA"/>
    <w:rsid w:val="008F24CA"/>
    <w:rsid w:val="008F6A93"/>
    <w:rsid w:val="008F79AF"/>
    <w:rsid w:val="008F7A9F"/>
    <w:rsid w:val="00902612"/>
    <w:rsid w:val="0090537F"/>
    <w:rsid w:val="00910006"/>
    <w:rsid w:val="00910114"/>
    <w:rsid w:val="00911343"/>
    <w:rsid w:val="00911462"/>
    <w:rsid w:val="00912524"/>
    <w:rsid w:val="00915D9B"/>
    <w:rsid w:val="009259C2"/>
    <w:rsid w:val="00926076"/>
    <w:rsid w:val="009306B8"/>
    <w:rsid w:val="0093168A"/>
    <w:rsid w:val="009323D0"/>
    <w:rsid w:val="00936396"/>
    <w:rsid w:val="00944D2A"/>
    <w:rsid w:val="00947146"/>
    <w:rsid w:val="00955520"/>
    <w:rsid w:val="00956BE2"/>
    <w:rsid w:val="00962E68"/>
    <w:rsid w:val="00963E42"/>
    <w:rsid w:val="00964F7F"/>
    <w:rsid w:val="009657CE"/>
    <w:rsid w:val="00966622"/>
    <w:rsid w:val="009668C1"/>
    <w:rsid w:val="009706C9"/>
    <w:rsid w:val="00971608"/>
    <w:rsid w:val="009726AE"/>
    <w:rsid w:val="00974FBC"/>
    <w:rsid w:val="009752B3"/>
    <w:rsid w:val="009759B1"/>
    <w:rsid w:val="00982EDF"/>
    <w:rsid w:val="009869A7"/>
    <w:rsid w:val="0098738F"/>
    <w:rsid w:val="00987E7A"/>
    <w:rsid w:val="0099434A"/>
    <w:rsid w:val="009A0B43"/>
    <w:rsid w:val="009A1CCA"/>
    <w:rsid w:val="009A3D5E"/>
    <w:rsid w:val="009A45B2"/>
    <w:rsid w:val="009A5B94"/>
    <w:rsid w:val="009A7557"/>
    <w:rsid w:val="009B5FBA"/>
    <w:rsid w:val="009B7AE7"/>
    <w:rsid w:val="009C2FDA"/>
    <w:rsid w:val="009C3CCE"/>
    <w:rsid w:val="009C5285"/>
    <w:rsid w:val="009C5AC6"/>
    <w:rsid w:val="009D001A"/>
    <w:rsid w:val="009D121F"/>
    <w:rsid w:val="009D18AD"/>
    <w:rsid w:val="009D1BAE"/>
    <w:rsid w:val="009D219E"/>
    <w:rsid w:val="009D2C5E"/>
    <w:rsid w:val="009D3E13"/>
    <w:rsid w:val="009D4856"/>
    <w:rsid w:val="009D4D1B"/>
    <w:rsid w:val="009D5239"/>
    <w:rsid w:val="009D6315"/>
    <w:rsid w:val="009D7854"/>
    <w:rsid w:val="009E2311"/>
    <w:rsid w:val="009E3B48"/>
    <w:rsid w:val="009E64B1"/>
    <w:rsid w:val="009E6B47"/>
    <w:rsid w:val="009E7342"/>
    <w:rsid w:val="009F33FF"/>
    <w:rsid w:val="009F43A2"/>
    <w:rsid w:val="009F47AA"/>
    <w:rsid w:val="00A020F5"/>
    <w:rsid w:val="00A05EB5"/>
    <w:rsid w:val="00A06922"/>
    <w:rsid w:val="00A10848"/>
    <w:rsid w:val="00A12007"/>
    <w:rsid w:val="00A14D5F"/>
    <w:rsid w:val="00A1537E"/>
    <w:rsid w:val="00A15F25"/>
    <w:rsid w:val="00A17406"/>
    <w:rsid w:val="00A17EBC"/>
    <w:rsid w:val="00A2336A"/>
    <w:rsid w:val="00A2683F"/>
    <w:rsid w:val="00A3073A"/>
    <w:rsid w:val="00A33DAB"/>
    <w:rsid w:val="00A33F35"/>
    <w:rsid w:val="00A34B00"/>
    <w:rsid w:val="00A3517E"/>
    <w:rsid w:val="00A40DD5"/>
    <w:rsid w:val="00A41133"/>
    <w:rsid w:val="00A43BA3"/>
    <w:rsid w:val="00A43BBB"/>
    <w:rsid w:val="00A47E84"/>
    <w:rsid w:val="00A571B7"/>
    <w:rsid w:val="00A6069C"/>
    <w:rsid w:val="00A620EB"/>
    <w:rsid w:val="00A62130"/>
    <w:rsid w:val="00A63613"/>
    <w:rsid w:val="00A636FC"/>
    <w:rsid w:val="00A63824"/>
    <w:rsid w:val="00A63F31"/>
    <w:rsid w:val="00A669CA"/>
    <w:rsid w:val="00A66B04"/>
    <w:rsid w:val="00A67EA9"/>
    <w:rsid w:val="00A70126"/>
    <w:rsid w:val="00A71D1C"/>
    <w:rsid w:val="00A72E2C"/>
    <w:rsid w:val="00A73FA7"/>
    <w:rsid w:val="00A74AC6"/>
    <w:rsid w:val="00A77BA1"/>
    <w:rsid w:val="00A809B5"/>
    <w:rsid w:val="00A81AED"/>
    <w:rsid w:val="00A844ED"/>
    <w:rsid w:val="00A85EBD"/>
    <w:rsid w:val="00A875B7"/>
    <w:rsid w:val="00A934E7"/>
    <w:rsid w:val="00A9434C"/>
    <w:rsid w:val="00A97046"/>
    <w:rsid w:val="00AA148F"/>
    <w:rsid w:val="00AA5712"/>
    <w:rsid w:val="00AA6189"/>
    <w:rsid w:val="00AA6CA4"/>
    <w:rsid w:val="00AB3B2D"/>
    <w:rsid w:val="00AB45DF"/>
    <w:rsid w:val="00AB51E5"/>
    <w:rsid w:val="00AB65B2"/>
    <w:rsid w:val="00AC0EE9"/>
    <w:rsid w:val="00AC158D"/>
    <w:rsid w:val="00AC335D"/>
    <w:rsid w:val="00AC4777"/>
    <w:rsid w:val="00AC48A5"/>
    <w:rsid w:val="00AC4A17"/>
    <w:rsid w:val="00AC67A4"/>
    <w:rsid w:val="00AC694D"/>
    <w:rsid w:val="00AD3EBE"/>
    <w:rsid w:val="00AD6720"/>
    <w:rsid w:val="00AD684E"/>
    <w:rsid w:val="00AD7E4E"/>
    <w:rsid w:val="00AE2040"/>
    <w:rsid w:val="00AE25A4"/>
    <w:rsid w:val="00AF2B8C"/>
    <w:rsid w:val="00AF502F"/>
    <w:rsid w:val="00AF672B"/>
    <w:rsid w:val="00B030CD"/>
    <w:rsid w:val="00B038FA"/>
    <w:rsid w:val="00B059DE"/>
    <w:rsid w:val="00B063A5"/>
    <w:rsid w:val="00B10169"/>
    <w:rsid w:val="00B11090"/>
    <w:rsid w:val="00B12BCC"/>
    <w:rsid w:val="00B16402"/>
    <w:rsid w:val="00B2066D"/>
    <w:rsid w:val="00B209CA"/>
    <w:rsid w:val="00B20FAA"/>
    <w:rsid w:val="00B230B3"/>
    <w:rsid w:val="00B24738"/>
    <w:rsid w:val="00B258A2"/>
    <w:rsid w:val="00B26F0B"/>
    <w:rsid w:val="00B30711"/>
    <w:rsid w:val="00B30938"/>
    <w:rsid w:val="00B33BFA"/>
    <w:rsid w:val="00B34BC3"/>
    <w:rsid w:val="00B4320A"/>
    <w:rsid w:val="00B537A4"/>
    <w:rsid w:val="00B53A3A"/>
    <w:rsid w:val="00B555E7"/>
    <w:rsid w:val="00B6121B"/>
    <w:rsid w:val="00B6340B"/>
    <w:rsid w:val="00B700DB"/>
    <w:rsid w:val="00B70A02"/>
    <w:rsid w:val="00B72565"/>
    <w:rsid w:val="00B72ABF"/>
    <w:rsid w:val="00B7357B"/>
    <w:rsid w:val="00B75302"/>
    <w:rsid w:val="00B76BA6"/>
    <w:rsid w:val="00B7719F"/>
    <w:rsid w:val="00B77813"/>
    <w:rsid w:val="00B808DC"/>
    <w:rsid w:val="00B81458"/>
    <w:rsid w:val="00B83B21"/>
    <w:rsid w:val="00B84899"/>
    <w:rsid w:val="00B87017"/>
    <w:rsid w:val="00B9115A"/>
    <w:rsid w:val="00B919AC"/>
    <w:rsid w:val="00B94A6B"/>
    <w:rsid w:val="00BA54DF"/>
    <w:rsid w:val="00BA6753"/>
    <w:rsid w:val="00BA7DE3"/>
    <w:rsid w:val="00BB0861"/>
    <w:rsid w:val="00BB1CB0"/>
    <w:rsid w:val="00BB2A05"/>
    <w:rsid w:val="00BB6364"/>
    <w:rsid w:val="00BB7259"/>
    <w:rsid w:val="00BC1187"/>
    <w:rsid w:val="00BC1FF5"/>
    <w:rsid w:val="00BC41F8"/>
    <w:rsid w:val="00BC6BD5"/>
    <w:rsid w:val="00BD7A81"/>
    <w:rsid w:val="00BE143F"/>
    <w:rsid w:val="00BE254E"/>
    <w:rsid w:val="00BE6A18"/>
    <w:rsid w:val="00BF0086"/>
    <w:rsid w:val="00BF0D15"/>
    <w:rsid w:val="00BF1165"/>
    <w:rsid w:val="00BF1B7B"/>
    <w:rsid w:val="00BF5E14"/>
    <w:rsid w:val="00BF62A4"/>
    <w:rsid w:val="00BF7B92"/>
    <w:rsid w:val="00BF7E93"/>
    <w:rsid w:val="00C0061B"/>
    <w:rsid w:val="00C022E4"/>
    <w:rsid w:val="00C02A05"/>
    <w:rsid w:val="00C035E1"/>
    <w:rsid w:val="00C061CD"/>
    <w:rsid w:val="00C0630D"/>
    <w:rsid w:val="00C06F5F"/>
    <w:rsid w:val="00C077B1"/>
    <w:rsid w:val="00C12514"/>
    <w:rsid w:val="00C14ECD"/>
    <w:rsid w:val="00C16293"/>
    <w:rsid w:val="00C16B1D"/>
    <w:rsid w:val="00C1721A"/>
    <w:rsid w:val="00C2128E"/>
    <w:rsid w:val="00C21B38"/>
    <w:rsid w:val="00C22364"/>
    <w:rsid w:val="00C2504F"/>
    <w:rsid w:val="00C30537"/>
    <w:rsid w:val="00C33FCC"/>
    <w:rsid w:val="00C341E0"/>
    <w:rsid w:val="00C40851"/>
    <w:rsid w:val="00C41E75"/>
    <w:rsid w:val="00C4546B"/>
    <w:rsid w:val="00C46EFA"/>
    <w:rsid w:val="00C4726A"/>
    <w:rsid w:val="00C54D1F"/>
    <w:rsid w:val="00C60574"/>
    <w:rsid w:val="00C62021"/>
    <w:rsid w:val="00C6228F"/>
    <w:rsid w:val="00C623E2"/>
    <w:rsid w:val="00C624F1"/>
    <w:rsid w:val="00C6528D"/>
    <w:rsid w:val="00C66646"/>
    <w:rsid w:val="00C66B0E"/>
    <w:rsid w:val="00C705D4"/>
    <w:rsid w:val="00C71AC9"/>
    <w:rsid w:val="00C745F0"/>
    <w:rsid w:val="00C75225"/>
    <w:rsid w:val="00C76A92"/>
    <w:rsid w:val="00C770E3"/>
    <w:rsid w:val="00C82A3F"/>
    <w:rsid w:val="00C837E1"/>
    <w:rsid w:val="00C8455D"/>
    <w:rsid w:val="00C84ED3"/>
    <w:rsid w:val="00C905AD"/>
    <w:rsid w:val="00C908F7"/>
    <w:rsid w:val="00C90B12"/>
    <w:rsid w:val="00C90C76"/>
    <w:rsid w:val="00C95A40"/>
    <w:rsid w:val="00CA0C98"/>
    <w:rsid w:val="00CA3C62"/>
    <w:rsid w:val="00CA3FCA"/>
    <w:rsid w:val="00CA5508"/>
    <w:rsid w:val="00CA58E6"/>
    <w:rsid w:val="00CA5C37"/>
    <w:rsid w:val="00CA669B"/>
    <w:rsid w:val="00CA7042"/>
    <w:rsid w:val="00CB48F0"/>
    <w:rsid w:val="00CB506D"/>
    <w:rsid w:val="00CB5463"/>
    <w:rsid w:val="00CB764E"/>
    <w:rsid w:val="00CB7D90"/>
    <w:rsid w:val="00CC034A"/>
    <w:rsid w:val="00CC1945"/>
    <w:rsid w:val="00CC2199"/>
    <w:rsid w:val="00CC2959"/>
    <w:rsid w:val="00CD1F26"/>
    <w:rsid w:val="00CD21F2"/>
    <w:rsid w:val="00CD26A9"/>
    <w:rsid w:val="00CD6E2D"/>
    <w:rsid w:val="00CE05E5"/>
    <w:rsid w:val="00CE0ED3"/>
    <w:rsid w:val="00CF2262"/>
    <w:rsid w:val="00CF3330"/>
    <w:rsid w:val="00CF4560"/>
    <w:rsid w:val="00D079C3"/>
    <w:rsid w:val="00D07A2A"/>
    <w:rsid w:val="00D13611"/>
    <w:rsid w:val="00D14273"/>
    <w:rsid w:val="00D149D7"/>
    <w:rsid w:val="00D14E26"/>
    <w:rsid w:val="00D242D0"/>
    <w:rsid w:val="00D274AA"/>
    <w:rsid w:val="00D27667"/>
    <w:rsid w:val="00D31F09"/>
    <w:rsid w:val="00D330CC"/>
    <w:rsid w:val="00D340B0"/>
    <w:rsid w:val="00D365DE"/>
    <w:rsid w:val="00D418A3"/>
    <w:rsid w:val="00D44202"/>
    <w:rsid w:val="00D44BF8"/>
    <w:rsid w:val="00D46D0E"/>
    <w:rsid w:val="00D47726"/>
    <w:rsid w:val="00D5033F"/>
    <w:rsid w:val="00D53CB8"/>
    <w:rsid w:val="00D54599"/>
    <w:rsid w:val="00D54F6C"/>
    <w:rsid w:val="00D55404"/>
    <w:rsid w:val="00D56095"/>
    <w:rsid w:val="00D56FD8"/>
    <w:rsid w:val="00D57335"/>
    <w:rsid w:val="00D601CF"/>
    <w:rsid w:val="00D606F3"/>
    <w:rsid w:val="00D6070F"/>
    <w:rsid w:val="00D60713"/>
    <w:rsid w:val="00D675AE"/>
    <w:rsid w:val="00D727CD"/>
    <w:rsid w:val="00D74629"/>
    <w:rsid w:val="00D746BA"/>
    <w:rsid w:val="00D766D4"/>
    <w:rsid w:val="00D80A58"/>
    <w:rsid w:val="00D8118A"/>
    <w:rsid w:val="00D85726"/>
    <w:rsid w:val="00D864C5"/>
    <w:rsid w:val="00D92135"/>
    <w:rsid w:val="00D93D0D"/>
    <w:rsid w:val="00D9502B"/>
    <w:rsid w:val="00DA24FC"/>
    <w:rsid w:val="00DA3515"/>
    <w:rsid w:val="00DA3F7C"/>
    <w:rsid w:val="00DA5F58"/>
    <w:rsid w:val="00DA6A72"/>
    <w:rsid w:val="00DB30B6"/>
    <w:rsid w:val="00DB4822"/>
    <w:rsid w:val="00DB7496"/>
    <w:rsid w:val="00DC0B26"/>
    <w:rsid w:val="00DC67E5"/>
    <w:rsid w:val="00DC7EA4"/>
    <w:rsid w:val="00DD0AFE"/>
    <w:rsid w:val="00DD2DD6"/>
    <w:rsid w:val="00DD4125"/>
    <w:rsid w:val="00DD73D2"/>
    <w:rsid w:val="00DE2F04"/>
    <w:rsid w:val="00DE35C8"/>
    <w:rsid w:val="00DE5155"/>
    <w:rsid w:val="00DE6266"/>
    <w:rsid w:val="00DE7C33"/>
    <w:rsid w:val="00DF2702"/>
    <w:rsid w:val="00DF4978"/>
    <w:rsid w:val="00E01B60"/>
    <w:rsid w:val="00E02974"/>
    <w:rsid w:val="00E0372E"/>
    <w:rsid w:val="00E03DA0"/>
    <w:rsid w:val="00E049FD"/>
    <w:rsid w:val="00E10556"/>
    <w:rsid w:val="00E109DD"/>
    <w:rsid w:val="00E13679"/>
    <w:rsid w:val="00E13D9F"/>
    <w:rsid w:val="00E14032"/>
    <w:rsid w:val="00E1459C"/>
    <w:rsid w:val="00E160A5"/>
    <w:rsid w:val="00E17F60"/>
    <w:rsid w:val="00E17FB0"/>
    <w:rsid w:val="00E2042E"/>
    <w:rsid w:val="00E2049F"/>
    <w:rsid w:val="00E20D5D"/>
    <w:rsid w:val="00E230A2"/>
    <w:rsid w:val="00E24184"/>
    <w:rsid w:val="00E26F8E"/>
    <w:rsid w:val="00E270A1"/>
    <w:rsid w:val="00E27EBF"/>
    <w:rsid w:val="00E31D5B"/>
    <w:rsid w:val="00E33D25"/>
    <w:rsid w:val="00E353E7"/>
    <w:rsid w:val="00E41BCC"/>
    <w:rsid w:val="00E5048F"/>
    <w:rsid w:val="00E505D2"/>
    <w:rsid w:val="00E52918"/>
    <w:rsid w:val="00E57CF1"/>
    <w:rsid w:val="00E62F7B"/>
    <w:rsid w:val="00E65966"/>
    <w:rsid w:val="00E667E9"/>
    <w:rsid w:val="00E71F63"/>
    <w:rsid w:val="00E72ADF"/>
    <w:rsid w:val="00E72E43"/>
    <w:rsid w:val="00E74E07"/>
    <w:rsid w:val="00E81CD8"/>
    <w:rsid w:val="00E84633"/>
    <w:rsid w:val="00E85286"/>
    <w:rsid w:val="00E86FD4"/>
    <w:rsid w:val="00E90908"/>
    <w:rsid w:val="00E922FC"/>
    <w:rsid w:val="00E96B94"/>
    <w:rsid w:val="00EA0AC5"/>
    <w:rsid w:val="00EA1F89"/>
    <w:rsid w:val="00EA512C"/>
    <w:rsid w:val="00EA64A9"/>
    <w:rsid w:val="00EA720C"/>
    <w:rsid w:val="00EA7F56"/>
    <w:rsid w:val="00EB42E6"/>
    <w:rsid w:val="00EB4C09"/>
    <w:rsid w:val="00EB67B6"/>
    <w:rsid w:val="00EB6813"/>
    <w:rsid w:val="00EB75CC"/>
    <w:rsid w:val="00EC0032"/>
    <w:rsid w:val="00EC15F6"/>
    <w:rsid w:val="00EC2586"/>
    <w:rsid w:val="00EC300B"/>
    <w:rsid w:val="00EC4441"/>
    <w:rsid w:val="00EC55F8"/>
    <w:rsid w:val="00ED0A76"/>
    <w:rsid w:val="00ED691B"/>
    <w:rsid w:val="00ED7F58"/>
    <w:rsid w:val="00EE24E7"/>
    <w:rsid w:val="00EE3DBC"/>
    <w:rsid w:val="00EE5F07"/>
    <w:rsid w:val="00EE62A7"/>
    <w:rsid w:val="00EE71AF"/>
    <w:rsid w:val="00EF1C4A"/>
    <w:rsid w:val="00EF417D"/>
    <w:rsid w:val="00EF4F59"/>
    <w:rsid w:val="00EF53A7"/>
    <w:rsid w:val="00EF7D5C"/>
    <w:rsid w:val="00F0642E"/>
    <w:rsid w:val="00F11609"/>
    <w:rsid w:val="00F1178D"/>
    <w:rsid w:val="00F11E35"/>
    <w:rsid w:val="00F139EA"/>
    <w:rsid w:val="00F15972"/>
    <w:rsid w:val="00F16ED2"/>
    <w:rsid w:val="00F2042E"/>
    <w:rsid w:val="00F205F8"/>
    <w:rsid w:val="00F22BD7"/>
    <w:rsid w:val="00F22E41"/>
    <w:rsid w:val="00F241A4"/>
    <w:rsid w:val="00F26322"/>
    <w:rsid w:val="00F302AF"/>
    <w:rsid w:val="00F3510B"/>
    <w:rsid w:val="00F35AE1"/>
    <w:rsid w:val="00F3653E"/>
    <w:rsid w:val="00F4094C"/>
    <w:rsid w:val="00F40AB8"/>
    <w:rsid w:val="00F40D42"/>
    <w:rsid w:val="00F425A3"/>
    <w:rsid w:val="00F427FE"/>
    <w:rsid w:val="00F446F4"/>
    <w:rsid w:val="00F45F7A"/>
    <w:rsid w:val="00F47A0A"/>
    <w:rsid w:val="00F53BA2"/>
    <w:rsid w:val="00F56127"/>
    <w:rsid w:val="00F63270"/>
    <w:rsid w:val="00F6672A"/>
    <w:rsid w:val="00F66926"/>
    <w:rsid w:val="00F70F35"/>
    <w:rsid w:val="00F73749"/>
    <w:rsid w:val="00F74A9F"/>
    <w:rsid w:val="00F80E78"/>
    <w:rsid w:val="00F81CDA"/>
    <w:rsid w:val="00F81F6B"/>
    <w:rsid w:val="00F845C7"/>
    <w:rsid w:val="00F9462F"/>
    <w:rsid w:val="00F95139"/>
    <w:rsid w:val="00F96905"/>
    <w:rsid w:val="00F97611"/>
    <w:rsid w:val="00FA265C"/>
    <w:rsid w:val="00FA70D6"/>
    <w:rsid w:val="00FB088A"/>
    <w:rsid w:val="00FB3B00"/>
    <w:rsid w:val="00FB4581"/>
    <w:rsid w:val="00FB4EDB"/>
    <w:rsid w:val="00FC14B1"/>
    <w:rsid w:val="00FC2926"/>
    <w:rsid w:val="00FC4AAD"/>
    <w:rsid w:val="00FC5B09"/>
    <w:rsid w:val="00FC63D5"/>
    <w:rsid w:val="00FD0601"/>
    <w:rsid w:val="00FD29FF"/>
    <w:rsid w:val="00FD51DD"/>
    <w:rsid w:val="00FD6867"/>
    <w:rsid w:val="00FD7CF4"/>
    <w:rsid w:val="00FD7E21"/>
    <w:rsid w:val="00FE42A1"/>
    <w:rsid w:val="00FE4785"/>
    <w:rsid w:val="00FE4D63"/>
    <w:rsid w:val="00FE737A"/>
    <w:rsid w:val="00FF028A"/>
    <w:rsid w:val="00FF0B86"/>
    <w:rsid w:val="00FF157A"/>
    <w:rsid w:val="00FF504D"/>
    <w:rsid w:val="00FF7F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8E8C"/>
  <w15:chartTrackingRefBased/>
  <w15:docId w15:val="{CDE9D9CD-5D34-47EC-9DDF-19AED344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kern w:val="2"/>
        <w:sz w:val="24"/>
        <w:szCs w:val="24"/>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21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6121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6121B"/>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6121B"/>
    <w:pPr>
      <w:keepNext/>
      <w:keepLines/>
      <w:spacing w:before="80" w:after="40"/>
      <w:outlineLvl w:val="3"/>
    </w:pPr>
    <w:rPr>
      <w:rFonts w:asciiTheme="minorHAnsi" w:eastAsiaTheme="majorEastAsia" w:hAnsiTheme="minorHAnsi" w:cstheme="majorBidi"/>
      <w:i/>
      <w:iCs w:val="0"/>
      <w:color w:val="2E74B5" w:themeColor="accent1" w:themeShade="BF"/>
    </w:rPr>
  </w:style>
  <w:style w:type="paragraph" w:styleId="Heading5">
    <w:name w:val="heading 5"/>
    <w:basedOn w:val="Normal"/>
    <w:next w:val="Normal"/>
    <w:link w:val="Heading5Char"/>
    <w:uiPriority w:val="9"/>
    <w:unhideWhenUsed/>
    <w:qFormat/>
    <w:rsid w:val="00B6121B"/>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B6121B"/>
    <w:pPr>
      <w:keepNext/>
      <w:keepLines/>
      <w:spacing w:before="40" w:after="0"/>
      <w:outlineLvl w:val="5"/>
    </w:pPr>
    <w:rPr>
      <w:rFonts w:asciiTheme="minorHAnsi" w:eastAsiaTheme="majorEastAsia" w:hAnsiTheme="minorHAnsi" w:cstheme="majorBidi"/>
      <w:i/>
      <w:iCs w:val="0"/>
      <w:color w:val="595959" w:themeColor="text1" w:themeTint="A6"/>
    </w:rPr>
  </w:style>
  <w:style w:type="paragraph" w:styleId="Heading7">
    <w:name w:val="heading 7"/>
    <w:basedOn w:val="Normal"/>
    <w:next w:val="Normal"/>
    <w:link w:val="Heading7Char"/>
    <w:uiPriority w:val="9"/>
    <w:semiHidden/>
    <w:unhideWhenUsed/>
    <w:qFormat/>
    <w:rsid w:val="00B6121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6121B"/>
    <w:pPr>
      <w:keepNext/>
      <w:keepLines/>
      <w:spacing w:after="0"/>
      <w:outlineLvl w:val="7"/>
    </w:pPr>
    <w:rPr>
      <w:rFonts w:asciiTheme="minorHAnsi" w:eastAsiaTheme="majorEastAsia" w:hAnsiTheme="minorHAnsi" w:cstheme="majorBidi"/>
      <w:i/>
      <w:iCs w:val="0"/>
      <w:color w:val="272727" w:themeColor="text1" w:themeTint="D8"/>
    </w:rPr>
  </w:style>
  <w:style w:type="paragraph" w:styleId="Heading9">
    <w:name w:val="heading 9"/>
    <w:basedOn w:val="Normal"/>
    <w:next w:val="Normal"/>
    <w:link w:val="Heading9Char"/>
    <w:uiPriority w:val="9"/>
    <w:semiHidden/>
    <w:unhideWhenUsed/>
    <w:qFormat/>
    <w:rsid w:val="00B6121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1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6121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6121B"/>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6121B"/>
    <w:rPr>
      <w:rFonts w:asciiTheme="minorHAnsi" w:eastAsiaTheme="majorEastAsia" w:hAnsiTheme="minorHAnsi" w:cstheme="majorBidi"/>
      <w:i/>
      <w:iCs w:val="0"/>
      <w:color w:val="2E74B5" w:themeColor="accent1" w:themeShade="BF"/>
    </w:rPr>
  </w:style>
  <w:style w:type="character" w:customStyle="1" w:styleId="Heading5Char">
    <w:name w:val="Heading 5 Char"/>
    <w:basedOn w:val="DefaultParagraphFont"/>
    <w:link w:val="Heading5"/>
    <w:uiPriority w:val="9"/>
    <w:rsid w:val="00B6121B"/>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B6121B"/>
    <w:rPr>
      <w:rFonts w:asciiTheme="minorHAnsi" w:eastAsiaTheme="majorEastAsia" w:hAnsiTheme="minorHAnsi" w:cstheme="majorBidi"/>
      <w:i/>
      <w:iCs w:val="0"/>
      <w:color w:val="595959" w:themeColor="text1" w:themeTint="A6"/>
    </w:rPr>
  </w:style>
  <w:style w:type="character" w:customStyle="1" w:styleId="Heading7Char">
    <w:name w:val="Heading 7 Char"/>
    <w:basedOn w:val="DefaultParagraphFont"/>
    <w:link w:val="Heading7"/>
    <w:uiPriority w:val="9"/>
    <w:semiHidden/>
    <w:rsid w:val="00B6121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6121B"/>
    <w:rPr>
      <w:rFonts w:asciiTheme="minorHAnsi" w:eastAsiaTheme="majorEastAsia" w:hAnsiTheme="minorHAnsi" w:cstheme="majorBidi"/>
      <w:i/>
      <w:iCs w:val="0"/>
      <w:color w:val="272727" w:themeColor="text1" w:themeTint="D8"/>
    </w:rPr>
  </w:style>
  <w:style w:type="character" w:customStyle="1" w:styleId="Heading9Char">
    <w:name w:val="Heading 9 Char"/>
    <w:basedOn w:val="DefaultParagraphFont"/>
    <w:link w:val="Heading9"/>
    <w:uiPriority w:val="9"/>
    <w:semiHidden/>
    <w:rsid w:val="00B6121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612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2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121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121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6121B"/>
    <w:pPr>
      <w:spacing w:before="160"/>
      <w:jc w:val="center"/>
    </w:pPr>
    <w:rPr>
      <w:i/>
      <w:iCs w:val="0"/>
      <w:color w:val="404040" w:themeColor="text1" w:themeTint="BF"/>
    </w:rPr>
  </w:style>
  <w:style w:type="character" w:customStyle="1" w:styleId="QuoteChar">
    <w:name w:val="Quote Char"/>
    <w:basedOn w:val="DefaultParagraphFont"/>
    <w:link w:val="Quote"/>
    <w:uiPriority w:val="29"/>
    <w:rsid w:val="00B6121B"/>
    <w:rPr>
      <w:i/>
      <w:iCs w:val="0"/>
      <w:color w:val="404040" w:themeColor="text1" w:themeTint="BF"/>
    </w:rPr>
  </w:style>
  <w:style w:type="paragraph" w:styleId="ListParagraph">
    <w:name w:val="List Paragraph"/>
    <w:basedOn w:val="Normal"/>
    <w:uiPriority w:val="34"/>
    <w:qFormat/>
    <w:rsid w:val="00B6121B"/>
    <w:pPr>
      <w:ind w:left="720"/>
      <w:contextualSpacing/>
    </w:pPr>
  </w:style>
  <w:style w:type="character" w:styleId="IntenseEmphasis">
    <w:name w:val="Intense Emphasis"/>
    <w:basedOn w:val="DefaultParagraphFont"/>
    <w:uiPriority w:val="21"/>
    <w:qFormat/>
    <w:rsid w:val="00B6121B"/>
    <w:rPr>
      <w:i/>
      <w:iCs w:val="0"/>
      <w:color w:val="2E74B5" w:themeColor="accent1" w:themeShade="BF"/>
    </w:rPr>
  </w:style>
  <w:style w:type="paragraph" w:styleId="IntenseQuote">
    <w:name w:val="Intense Quote"/>
    <w:basedOn w:val="Normal"/>
    <w:next w:val="Normal"/>
    <w:link w:val="IntenseQuoteChar"/>
    <w:uiPriority w:val="30"/>
    <w:qFormat/>
    <w:rsid w:val="00B6121B"/>
    <w:pPr>
      <w:pBdr>
        <w:top w:val="single" w:sz="4" w:space="10" w:color="2E74B5" w:themeColor="accent1" w:themeShade="BF"/>
        <w:bottom w:val="single" w:sz="4" w:space="10" w:color="2E74B5" w:themeColor="accent1" w:themeShade="BF"/>
      </w:pBdr>
      <w:spacing w:before="360" w:after="360"/>
      <w:ind w:left="864" w:right="864"/>
      <w:jc w:val="center"/>
    </w:pPr>
    <w:rPr>
      <w:i/>
      <w:iCs w:val="0"/>
      <w:color w:val="2E74B5" w:themeColor="accent1" w:themeShade="BF"/>
    </w:rPr>
  </w:style>
  <w:style w:type="character" w:customStyle="1" w:styleId="IntenseQuoteChar">
    <w:name w:val="Intense Quote Char"/>
    <w:basedOn w:val="DefaultParagraphFont"/>
    <w:link w:val="IntenseQuote"/>
    <w:uiPriority w:val="30"/>
    <w:rsid w:val="00B6121B"/>
    <w:rPr>
      <w:i/>
      <w:iCs w:val="0"/>
      <w:color w:val="2E74B5" w:themeColor="accent1" w:themeShade="BF"/>
    </w:rPr>
  </w:style>
  <w:style w:type="character" w:styleId="IntenseReference">
    <w:name w:val="Intense Reference"/>
    <w:basedOn w:val="DefaultParagraphFont"/>
    <w:uiPriority w:val="32"/>
    <w:qFormat/>
    <w:rsid w:val="00B6121B"/>
    <w:rPr>
      <w:b/>
      <w:bCs/>
      <w:smallCaps/>
      <w:color w:val="2E74B5" w:themeColor="accent1" w:themeShade="BF"/>
      <w:spacing w:val="5"/>
    </w:rPr>
  </w:style>
  <w:style w:type="paragraph" w:styleId="FootnoteText">
    <w:name w:val="footnote text"/>
    <w:basedOn w:val="Normal"/>
    <w:link w:val="FootnoteTextChar"/>
    <w:uiPriority w:val="99"/>
    <w:semiHidden/>
    <w:unhideWhenUsed/>
    <w:rsid w:val="00947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146"/>
    <w:rPr>
      <w:sz w:val="20"/>
      <w:szCs w:val="20"/>
    </w:rPr>
  </w:style>
  <w:style w:type="character" w:styleId="FootnoteReference">
    <w:name w:val="footnote reference"/>
    <w:basedOn w:val="DefaultParagraphFont"/>
    <w:uiPriority w:val="99"/>
    <w:semiHidden/>
    <w:unhideWhenUsed/>
    <w:rsid w:val="00947146"/>
    <w:rPr>
      <w:vertAlign w:val="superscript"/>
    </w:rPr>
  </w:style>
  <w:style w:type="paragraph" w:styleId="Header">
    <w:name w:val="header"/>
    <w:basedOn w:val="Normal"/>
    <w:link w:val="HeaderChar"/>
    <w:uiPriority w:val="99"/>
    <w:unhideWhenUsed/>
    <w:rsid w:val="00404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21C"/>
  </w:style>
  <w:style w:type="paragraph" w:styleId="Footer">
    <w:name w:val="footer"/>
    <w:basedOn w:val="Normal"/>
    <w:link w:val="FooterChar"/>
    <w:uiPriority w:val="99"/>
    <w:unhideWhenUsed/>
    <w:rsid w:val="00404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21C"/>
  </w:style>
  <w:style w:type="character" w:customStyle="1" w:styleId="mc">
    <w:name w:val="mc"/>
    <w:basedOn w:val="DefaultParagraphFont"/>
    <w:rsid w:val="00FD6867"/>
  </w:style>
  <w:style w:type="character" w:customStyle="1" w:styleId="g1">
    <w:name w:val="g1"/>
    <w:basedOn w:val="DefaultParagraphFont"/>
    <w:rsid w:val="00FD6867"/>
  </w:style>
  <w:style w:type="character" w:styleId="Hyperlink">
    <w:name w:val="Hyperlink"/>
    <w:basedOn w:val="DefaultParagraphFont"/>
    <w:uiPriority w:val="99"/>
    <w:semiHidden/>
    <w:unhideWhenUsed/>
    <w:rsid w:val="00FD6867"/>
    <w:rPr>
      <w:color w:val="0000FF"/>
      <w:u w:val="single"/>
    </w:rPr>
  </w:style>
  <w:style w:type="paragraph" w:customStyle="1" w:styleId="Paragraph12pt">
    <w:name w:val="Paragraph 12pt"/>
    <w:basedOn w:val="Normal"/>
    <w:rsid w:val="00E160A5"/>
    <w:pPr>
      <w:spacing w:after="240" w:line="480" w:lineRule="auto"/>
      <w:jc w:val="both"/>
    </w:pPr>
    <w:rPr>
      <w:rFonts w:eastAsia="Times New Roman" w:cs="Times New Roman"/>
      <w:iCs w:val="0"/>
      <w:kern w:val="0"/>
      <w:szCs w:val="2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5988</Words>
  <Characters>34134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Tshwarelo Mabina</cp:lastModifiedBy>
  <cp:revision>2</cp:revision>
  <dcterms:created xsi:type="dcterms:W3CDTF">2024-07-10T08:12:00Z</dcterms:created>
  <dcterms:modified xsi:type="dcterms:W3CDTF">2024-07-10T08:12:00Z</dcterms:modified>
</cp:coreProperties>
</file>