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50F82" w14:textId="5E3DFF69" w:rsidR="000201B3" w:rsidRDefault="000201B3">
      <w:r>
        <w:pict w14:anchorId="2B5184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6.75pt">
            <v:imagedata r:id="rId11" o:title="Editorial note - Word"/>
          </v:shape>
        </w:pict>
      </w:r>
    </w:p>
    <w:tbl>
      <w:tblPr>
        <w:tblW w:w="9072" w:type="dxa"/>
        <w:tblInd w:w="108" w:type="dxa"/>
        <w:tblLook w:val="04A0" w:firstRow="1" w:lastRow="0" w:firstColumn="1" w:lastColumn="0" w:noHBand="0" w:noVBand="1"/>
      </w:tblPr>
      <w:tblGrid>
        <w:gridCol w:w="3543"/>
        <w:gridCol w:w="5529"/>
      </w:tblGrid>
      <w:tr w:rsidR="00E66650" w:rsidRPr="00FB5438" w14:paraId="240D53FC" w14:textId="77777777" w:rsidTr="00B53F4C">
        <w:trPr>
          <w:trHeight w:val="495"/>
        </w:trPr>
        <w:tc>
          <w:tcPr>
            <w:tcW w:w="9072" w:type="dxa"/>
            <w:gridSpan w:val="2"/>
            <w:hideMark/>
          </w:tcPr>
          <w:p w14:paraId="20D90303" w14:textId="77777777" w:rsidR="00E66650" w:rsidRPr="00C3587A" w:rsidRDefault="00E66650" w:rsidP="00B53F4C">
            <w:pPr>
              <w:jc w:val="center"/>
              <w:rPr>
                <w:rFonts w:cs="Arial"/>
                <w:b/>
                <w:bCs/>
                <w:lang w:val="en-ZA"/>
              </w:rPr>
            </w:pPr>
            <w:r w:rsidRPr="00C3587A">
              <w:rPr>
                <w:rFonts w:cs="Arial"/>
                <w:b/>
                <w:bCs/>
                <w:lang w:val="en-ZA"/>
              </w:rPr>
              <w:t>IN THE HIGH COURT OF SOUTH AFRICA</w:t>
            </w:r>
          </w:p>
          <w:p w14:paraId="405550E6" w14:textId="77777777" w:rsidR="00E66650" w:rsidRPr="00C3587A" w:rsidRDefault="00E66650" w:rsidP="00B53F4C">
            <w:pPr>
              <w:jc w:val="center"/>
              <w:rPr>
                <w:rFonts w:cs="Arial"/>
                <w:b/>
                <w:bCs/>
                <w:lang w:val="en-ZA"/>
              </w:rPr>
            </w:pPr>
            <w:r w:rsidRPr="00C3587A">
              <w:rPr>
                <w:rFonts w:cs="Arial"/>
                <w:b/>
                <w:bCs/>
                <w:lang w:val="en-ZA"/>
              </w:rPr>
              <w:t>GAUTENG LOCAL DIVISION, JOHANNESBURG</w:t>
            </w:r>
          </w:p>
        </w:tc>
      </w:tr>
      <w:tr w:rsidR="00E66650" w:rsidRPr="00C3587A" w14:paraId="0D5C8BC0" w14:textId="77777777" w:rsidTr="00B53F4C">
        <w:trPr>
          <w:gridAfter w:val="1"/>
          <w:wAfter w:w="5529" w:type="dxa"/>
        </w:trPr>
        <w:tc>
          <w:tcPr>
            <w:tcW w:w="3543" w:type="dxa"/>
          </w:tcPr>
          <w:p w14:paraId="2E5BA884" w14:textId="77777777" w:rsidR="00E66650" w:rsidRPr="00C3587A" w:rsidRDefault="00E66650" w:rsidP="00B53F4C">
            <w:pPr>
              <w:jc w:val="left"/>
              <w:rPr>
                <w:rFonts w:cs="Arial"/>
                <w:b/>
                <w:bCs/>
                <w:lang w:val="en-ZA"/>
              </w:rPr>
            </w:pPr>
          </w:p>
        </w:tc>
      </w:tr>
      <w:tr w:rsidR="00E66650" w:rsidRPr="00FB5438" w14:paraId="2619DE1B" w14:textId="77777777" w:rsidTr="00B53F4C">
        <w:tc>
          <w:tcPr>
            <w:tcW w:w="9072" w:type="dxa"/>
            <w:gridSpan w:val="2"/>
            <w:hideMark/>
          </w:tcPr>
          <w:p w14:paraId="3269F647" w14:textId="2B7E5128" w:rsidR="00E66650" w:rsidRPr="00C3587A" w:rsidRDefault="00E66650" w:rsidP="00B53F4C">
            <w:pPr>
              <w:jc w:val="right"/>
              <w:rPr>
                <w:rFonts w:cs="Arial"/>
                <w:b/>
                <w:bCs/>
                <w:lang w:val="en-ZA"/>
              </w:rPr>
            </w:pPr>
            <w:r w:rsidRPr="00C3587A">
              <w:rPr>
                <w:rFonts w:cs="Arial"/>
                <w:b/>
                <w:bCs/>
                <w:lang w:val="en-ZA"/>
              </w:rPr>
              <w:t>Case No: 45105/2021</w:t>
            </w:r>
          </w:p>
        </w:tc>
      </w:tr>
    </w:tbl>
    <w:p w14:paraId="496A8341" w14:textId="77777777" w:rsidR="00E66650" w:rsidRDefault="00E66650" w:rsidP="00E66650">
      <w:pPr>
        <w:tabs>
          <w:tab w:val="left" w:pos="2342"/>
          <w:tab w:val="center" w:pos="4513"/>
        </w:tabs>
        <w:jc w:val="center"/>
        <w:outlineLvl w:val="0"/>
        <w:rPr>
          <w:rFonts w:cs="Arial"/>
          <w:lang w:val="en-ZA"/>
        </w:rPr>
      </w:pPr>
      <w:bookmarkStart w:id="0" w:name="_Toc159432435"/>
      <w:r w:rsidRPr="007B7F59">
        <w:rPr>
          <w:rFonts w:cs="Arial"/>
          <w:noProof/>
          <w:lang w:val="en-US"/>
        </w:rPr>
        <w:drawing>
          <wp:inline distT="0" distB="0" distL="0" distR="0" wp14:anchorId="72093547" wp14:editId="664DD76E">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bookmarkEnd w:id="0"/>
    </w:p>
    <w:p w14:paraId="163A3F77" w14:textId="0637D1C4" w:rsidR="00E66650" w:rsidRPr="00F73C09" w:rsidRDefault="00E66650" w:rsidP="00E66650">
      <w:pPr>
        <w:jc w:val="right"/>
      </w:pPr>
    </w:p>
    <w:p w14:paraId="53A16C74" w14:textId="26771110" w:rsidR="00E66650" w:rsidRPr="00F73C09" w:rsidRDefault="000201B3" w:rsidP="00E66650">
      <w:pPr>
        <w:jc w:val="center"/>
        <w:rPr>
          <w:rFonts w:cs="Arial"/>
          <w:b/>
        </w:rPr>
      </w:pPr>
      <w:r w:rsidRPr="00F73C09">
        <w:rPr>
          <w:noProof/>
          <w:lang w:val="en-US"/>
        </w:rPr>
        <mc:AlternateContent>
          <mc:Choice Requires="wps">
            <w:drawing>
              <wp:anchor distT="0" distB="0" distL="114300" distR="114300" simplePos="0" relativeHeight="251659264" behindDoc="0" locked="0" layoutInCell="1" allowOverlap="1" wp14:anchorId="534E93DE" wp14:editId="6FD2D90A">
                <wp:simplePos x="0" y="0"/>
                <wp:positionH relativeFrom="margin">
                  <wp:align>center</wp:align>
                </wp:positionH>
                <wp:positionV relativeFrom="paragraph">
                  <wp:posOffset>5080</wp:posOffset>
                </wp:positionV>
                <wp:extent cx="3314700" cy="1389380"/>
                <wp:effectExtent l="0" t="0" r="19050" b="2032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389380"/>
                        </a:xfrm>
                        <a:prstGeom prst="rect">
                          <a:avLst/>
                        </a:prstGeom>
                        <a:solidFill>
                          <a:srgbClr val="FFFFFF"/>
                        </a:solidFill>
                        <a:ln w="9525">
                          <a:solidFill>
                            <a:srgbClr val="000000"/>
                          </a:solidFill>
                          <a:miter lim="800000"/>
                          <a:headEnd/>
                          <a:tailEnd/>
                        </a:ln>
                      </wps:spPr>
                      <wps:txbx>
                        <w:txbxContent>
                          <w:p w14:paraId="0A7DD8E6" w14:textId="77777777" w:rsidR="00E66650" w:rsidRPr="004120A8" w:rsidRDefault="00E66650" w:rsidP="00E66650">
                            <w:pPr>
                              <w:jc w:val="center"/>
                              <w:rPr>
                                <w:rFonts w:ascii="Century Gothic" w:hAnsi="Century Gothic"/>
                                <w:b/>
                                <w:sz w:val="2"/>
                                <w:szCs w:val="18"/>
                              </w:rPr>
                            </w:pPr>
                          </w:p>
                          <w:p w14:paraId="18F69C24" w14:textId="7005982B" w:rsidR="00E66650" w:rsidRPr="00EE6CBE" w:rsidRDefault="007F700D" w:rsidP="007F700D">
                            <w:pPr>
                              <w:tabs>
                                <w:tab w:val="left" w:pos="824"/>
                              </w:tabs>
                              <w:spacing w:line="360" w:lineRule="auto"/>
                              <w:ind w:left="824" w:hanging="720"/>
                              <w:rPr>
                                <w:rFonts w:cs="Arial"/>
                                <w:sz w:val="18"/>
                                <w:szCs w:val="18"/>
                              </w:rPr>
                            </w:pPr>
                            <w:r w:rsidRPr="00EE6CBE">
                              <w:rPr>
                                <w:rFonts w:cs="Arial"/>
                                <w:sz w:val="18"/>
                                <w:szCs w:val="18"/>
                              </w:rPr>
                              <w:t>(1)</w:t>
                            </w:r>
                            <w:r w:rsidRPr="00EE6CBE">
                              <w:rPr>
                                <w:rFonts w:cs="Arial"/>
                                <w:sz w:val="18"/>
                                <w:szCs w:val="18"/>
                              </w:rPr>
                              <w:tab/>
                            </w:r>
                            <w:r w:rsidR="00E66650" w:rsidRPr="00EE6CBE">
                              <w:rPr>
                                <w:rFonts w:cs="Arial"/>
                                <w:sz w:val="18"/>
                                <w:szCs w:val="18"/>
                              </w:rPr>
                              <w:t xml:space="preserve">REPORTABLE: </w:t>
                            </w:r>
                            <w:r w:rsidR="00E66650" w:rsidRPr="001C0161">
                              <w:rPr>
                                <w:rFonts w:cs="Arial"/>
                                <w:strike/>
                                <w:sz w:val="18"/>
                                <w:szCs w:val="18"/>
                              </w:rPr>
                              <w:t>YES</w:t>
                            </w:r>
                            <w:r w:rsidR="00E66650">
                              <w:rPr>
                                <w:rFonts w:cs="Arial"/>
                                <w:sz w:val="18"/>
                                <w:szCs w:val="18"/>
                              </w:rPr>
                              <w:t>/NO</w:t>
                            </w:r>
                          </w:p>
                          <w:p w14:paraId="47D0C77A" w14:textId="25595B05" w:rsidR="00E66650" w:rsidRPr="00EE6CBE" w:rsidRDefault="007F700D" w:rsidP="007F700D">
                            <w:pPr>
                              <w:tabs>
                                <w:tab w:val="left" w:pos="824"/>
                              </w:tabs>
                              <w:spacing w:line="360" w:lineRule="auto"/>
                              <w:ind w:left="824" w:hanging="720"/>
                              <w:rPr>
                                <w:rFonts w:cs="Arial"/>
                                <w:sz w:val="18"/>
                                <w:szCs w:val="18"/>
                              </w:rPr>
                            </w:pPr>
                            <w:r w:rsidRPr="00EE6CBE">
                              <w:rPr>
                                <w:rFonts w:cs="Arial"/>
                                <w:sz w:val="18"/>
                                <w:szCs w:val="18"/>
                              </w:rPr>
                              <w:t>(2)</w:t>
                            </w:r>
                            <w:r w:rsidRPr="00EE6CBE">
                              <w:rPr>
                                <w:rFonts w:cs="Arial"/>
                                <w:sz w:val="18"/>
                                <w:szCs w:val="18"/>
                              </w:rPr>
                              <w:tab/>
                            </w:r>
                            <w:r w:rsidR="00E66650" w:rsidRPr="00EE6CBE">
                              <w:rPr>
                                <w:rFonts w:cs="Arial"/>
                                <w:sz w:val="18"/>
                                <w:szCs w:val="18"/>
                              </w:rPr>
                              <w:t xml:space="preserve">OF INTEREST TO OTHER JUDGES: </w:t>
                            </w:r>
                            <w:r w:rsidR="00E66650" w:rsidRPr="001C0161">
                              <w:rPr>
                                <w:rFonts w:cs="Arial"/>
                                <w:strike/>
                                <w:sz w:val="18"/>
                                <w:szCs w:val="18"/>
                              </w:rPr>
                              <w:t>YES</w:t>
                            </w:r>
                            <w:r w:rsidR="00E66650">
                              <w:rPr>
                                <w:rFonts w:cs="Arial"/>
                                <w:sz w:val="18"/>
                                <w:szCs w:val="18"/>
                              </w:rPr>
                              <w:t>/NO</w:t>
                            </w:r>
                          </w:p>
                          <w:p w14:paraId="2F816837" w14:textId="1AFADF68" w:rsidR="00E66650" w:rsidRPr="00EE6CBE" w:rsidRDefault="007F700D" w:rsidP="007F700D">
                            <w:pPr>
                              <w:tabs>
                                <w:tab w:val="left" w:pos="824"/>
                              </w:tabs>
                              <w:spacing w:line="360" w:lineRule="auto"/>
                              <w:ind w:left="824" w:hanging="720"/>
                              <w:rPr>
                                <w:rFonts w:cs="Arial"/>
                                <w:sz w:val="18"/>
                                <w:szCs w:val="18"/>
                              </w:rPr>
                            </w:pPr>
                            <w:r w:rsidRPr="00EE6CBE">
                              <w:rPr>
                                <w:rFonts w:cs="Arial"/>
                                <w:sz w:val="18"/>
                                <w:szCs w:val="18"/>
                              </w:rPr>
                              <w:t>(3)</w:t>
                            </w:r>
                            <w:r w:rsidRPr="00EE6CBE">
                              <w:rPr>
                                <w:rFonts w:cs="Arial"/>
                                <w:sz w:val="18"/>
                                <w:szCs w:val="18"/>
                              </w:rPr>
                              <w:tab/>
                            </w:r>
                            <w:r w:rsidR="00E66650" w:rsidRPr="00EE6CBE">
                              <w:rPr>
                                <w:rFonts w:cs="Arial"/>
                                <w:sz w:val="18"/>
                                <w:szCs w:val="18"/>
                              </w:rPr>
                              <w:t>REVISED</w:t>
                            </w:r>
                            <w:r w:rsidR="00E66650">
                              <w:rPr>
                                <w:rFonts w:cs="Arial"/>
                                <w:sz w:val="18"/>
                                <w:szCs w:val="18"/>
                              </w:rPr>
                              <w:t xml:space="preserve"> YES/</w:t>
                            </w:r>
                            <w:r w:rsidR="00E66650" w:rsidRPr="001C0161">
                              <w:rPr>
                                <w:rFonts w:cs="Arial"/>
                                <w:strike/>
                                <w:sz w:val="18"/>
                                <w:szCs w:val="18"/>
                              </w:rPr>
                              <w:t>NO</w:t>
                            </w:r>
                          </w:p>
                          <w:p w14:paraId="1287D81B" w14:textId="77777777" w:rsidR="00E66650" w:rsidRPr="00EE6CBE" w:rsidRDefault="00E66650" w:rsidP="00E66650">
                            <w:pPr>
                              <w:rPr>
                                <w:rFonts w:cs="Arial"/>
                                <w:b/>
                                <w:sz w:val="18"/>
                                <w:szCs w:val="18"/>
                              </w:rPr>
                            </w:pPr>
                          </w:p>
                          <w:p w14:paraId="007A3A49" w14:textId="77777777" w:rsidR="00E66650" w:rsidRDefault="00E66650" w:rsidP="00E66650">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6C1AB804" w14:textId="77777777" w:rsidR="00E66650" w:rsidRPr="00EE6CBE" w:rsidRDefault="00E66650" w:rsidP="00E66650">
                            <w:pPr>
                              <w:jc w:val="left"/>
                              <w:rPr>
                                <w:rFonts w:cs="Arial"/>
                                <w:b/>
                                <w:sz w:val="18"/>
                                <w:szCs w:val="18"/>
                              </w:rPr>
                            </w:pPr>
                            <w:r w:rsidRPr="00EE6CBE">
                              <w:rPr>
                                <w:rFonts w:cs="Arial"/>
                                <w:b/>
                                <w:sz w:val="18"/>
                                <w:szCs w:val="18"/>
                              </w:rPr>
                              <w:t>SIGNATURE</w:t>
                            </w:r>
                            <w:r>
                              <w:rPr>
                                <w:rFonts w:cs="Arial"/>
                                <w:b/>
                                <w:sz w:val="18"/>
                                <w:szCs w:val="18"/>
                              </w:rPr>
                              <w:t xml:space="preserve">                                            </w:t>
                            </w:r>
                            <w:r w:rsidRPr="00EE6CBE">
                              <w:rPr>
                                <w:rFonts w:cs="Arial"/>
                                <w:b/>
                                <w:sz w:val="18"/>
                                <w:szCs w:val="18"/>
                              </w:rPr>
                              <w:t>DATE</w:t>
                            </w:r>
                          </w:p>
                          <w:p w14:paraId="581265D1" w14:textId="77777777" w:rsidR="00E66650" w:rsidRPr="004120A8" w:rsidRDefault="00E66650" w:rsidP="00E66650">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E93DE" id="_x0000_t202" coordsize="21600,21600" o:spt="202" path="m,l,21600r21600,l21600,xe">
                <v:stroke joinstyle="miter"/>
                <v:path gradientshapeok="t" o:connecttype="rect"/>
              </v:shapetype>
              <v:shape id="Text Box 2" o:spid="_x0000_s1026" type="#_x0000_t202" style="position:absolute;left:0;text-align:left;margin-left:0;margin-top:.4pt;width:261pt;height:109.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">
                <o:lock v:ext="edit" aspectratio="t" verticies="t" text="t" shapetype="t"/>
                <v:textbox>
                  <w:txbxContent>
                    <w:p w14:paraId="0A7DD8E6" w14:textId="77777777" w:rsidR="00E66650" w:rsidRPr="004120A8" w:rsidRDefault="00E66650" w:rsidP="00E66650">
                      <w:pPr>
                        <w:jc w:val="center"/>
                        <w:rPr>
                          <w:rFonts w:ascii="Century Gothic" w:hAnsi="Century Gothic"/>
                          <w:b/>
                          <w:sz w:val="2"/>
                          <w:szCs w:val="18"/>
                        </w:rPr>
                      </w:pPr>
                    </w:p>
                    <w:p w14:paraId="18F69C24" w14:textId="7005982B" w:rsidR="00E66650" w:rsidRPr="00EE6CBE" w:rsidRDefault="007F700D" w:rsidP="007F700D">
                      <w:pPr>
                        <w:tabs>
                          <w:tab w:val="left" w:pos="824"/>
                        </w:tabs>
                        <w:spacing w:line="360" w:lineRule="auto"/>
                        <w:ind w:left="824" w:hanging="720"/>
                        <w:rPr>
                          <w:rFonts w:cs="Arial"/>
                          <w:sz w:val="18"/>
                          <w:szCs w:val="18"/>
                        </w:rPr>
                      </w:pPr>
                      <w:r w:rsidRPr="00EE6CBE">
                        <w:rPr>
                          <w:rFonts w:cs="Arial"/>
                          <w:sz w:val="18"/>
                          <w:szCs w:val="18"/>
                        </w:rPr>
                        <w:t>(1)</w:t>
                      </w:r>
                      <w:r w:rsidRPr="00EE6CBE">
                        <w:rPr>
                          <w:rFonts w:cs="Arial"/>
                          <w:sz w:val="18"/>
                          <w:szCs w:val="18"/>
                        </w:rPr>
                        <w:tab/>
                      </w:r>
                      <w:r w:rsidR="00E66650" w:rsidRPr="00EE6CBE">
                        <w:rPr>
                          <w:rFonts w:cs="Arial"/>
                          <w:sz w:val="18"/>
                          <w:szCs w:val="18"/>
                        </w:rPr>
                        <w:t xml:space="preserve">REPORTABLE: </w:t>
                      </w:r>
                      <w:r w:rsidR="00E66650" w:rsidRPr="001C0161">
                        <w:rPr>
                          <w:rFonts w:cs="Arial"/>
                          <w:strike/>
                          <w:sz w:val="18"/>
                          <w:szCs w:val="18"/>
                        </w:rPr>
                        <w:t>YES</w:t>
                      </w:r>
                      <w:r w:rsidR="00E66650">
                        <w:rPr>
                          <w:rFonts w:cs="Arial"/>
                          <w:sz w:val="18"/>
                          <w:szCs w:val="18"/>
                        </w:rPr>
                        <w:t>/NO</w:t>
                      </w:r>
                    </w:p>
                    <w:p w14:paraId="47D0C77A" w14:textId="25595B05" w:rsidR="00E66650" w:rsidRPr="00EE6CBE" w:rsidRDefault="007F700D" w:rsidP="007F700D">
                      <w:pPr>
                        <w:tabs>
                          <w:tab w:val="left" w:pos="824"/>
                        </w:tabs>
                        <w:spacing w:line="360" w:lineRule="auto"/>
                        <w:ind w:left="824" w:hanging="720"/>
                        <w:rPr>
                          <w:rFonts w:cs="Arial"/>
                          <w:sz w:val="18"/>
                          <w:szCs w:val="18"/>
                        </w:rPr>
                      </w:pPr>
                      <w:r w:rsidRPr="00EE6CBE">
                        <w:rPr>
                          <w:rFonts w:cs="Arial"/>
                          <w:sz w:val="18"/>
                          <w:szCs w:val="18"/>
                        </w:rPr>
                        <w:t>(2)</w:t>
                      </w:r>
                      <w:r w:rsidRPr="00EE6CBE">
                        <w:rPr>
                          <w:rFonts w:cs="Arial"/>
                          <w:sz w:val="18"/>
                          <w:szCs w:val="18"/>
                        </w:rPr>
                        <w:tab/>
                      </w:r>
                      <w:r w:rsidR="00E66650" w:rsidRPr="00EE6CBE">
                        <w:rPr>
                          <w:rFonts w:cs="Arial"/>
                          <w:sz w:val="18"/>
                          <w:szCs w:val="18"/>
                        </w:rPr>
                        <w:t xml:space="preserve">OF INTEREST TO OTHER JUDGES: </w:t>
                      </w:r>
                      <w:r w:rsidR="00E66650" w:rsidRPr="001C0161">
                        <w:rPr>
                          <w:rFonts w:cs="Arial"/>
                          <w:strike/>
                          <w:sz w:val="18"/>
                          <w:szCs w:val="18"/>
                        </w:rPr>
                        <w:t>YES</w:t>
                      </w:r>
                      <w:r w:rsidR="00E66650">
                        <w:rPr>
                          <w:rFonts w:cs="Arial"/>
                          <w:sz w:val="18"/>
                          <w:szCs w:val="18"/>
                        </w:rPr>
                        <w:t>/NO</w:t>
                      </w:r>
                    </w:p>
                    <w:p w14:paraId="2F816837" w14:textId="1AFADF68" w:rsidR="00E66650" w:rsidRPr="00EE6CBE" w:rsidRDefault="007F700D" w:rsidP="007F700D">
                      <w:pPr>
                        <w:tabs>
                          <w:tab w:val="left" w:pos="824"/>
                        </w:tabs>
                        <w:spacing w:line="360" w:lineRule="auto"/>
                        <w:ind w:left="824" w:hanging="720"/>
                        <w:rPr>
                          <w:rFonts w:cs="Arial"/>
                          <w:sz w:val="18"/>
                          <w:szCs w:val="18"/>
                        </w:rPr>
                      </w:pPr>
                      <w:r w:rsidRPr="00EE6CBE">
                        <w:rPr>
                          <w:rFonts w:cs="Arial"/>
                          <w:sz w:val="18"/>
                          <w:szCs w:val="18"/>
                        </w:rPr>
                        <w:t>(3)</w:t>
                      </w:r>
                      <w:r w:rsidRPr="00EE6CBE">
                        <w:rPr>
                          <w:rFonts w:cs="Arial"/>
                          <w:sz w:val="18"/>
                          <w:szCs w:val="18"/>
                        </w:rPr>
                        <w:tab/>
                      </w:r>
                      <w:r w:rsidR="00E66650" w:rsidRPr="00EE6CBE">
                        <w:rPr>
                          <w:rFonts w:cs="Arial"/>
                          <w:sz w:val="18"/>
                          <w:szCs w:val="18"/>
                        </w:rPr>
                        <w:t>REVISED</w:t>
                      </w:r>
                      <w:r w:rsidR="00E66650">
                        <w:rPr>
                          <w:rFonts w:cs="Arial"/>
                          <w:sz w:val="18"/>
                          <w:szCs w:val="18"/>
                        </w:rPr>
                        <w:t xml:space="preserve"> YES/</w:t>
                      </w:r>
                      <w:r w:rsidR="00E66650" w:rsidRPr="001C0161">
                        <w:rPr>
                          <w:rFonts w:cs="Arial"/>
                          <w:strike/>
                          <w:sz w:val="18"/>
                          <w:szCs w:val="18"/>
                        </w:rPr>
                        <w:t>NO</w:t>
                      </w:r>
                    </w:p>
                    <w:p w14:paraId="1287D81B" w14:textId="77777777" w:rsidR="00E66650" w:rsidRPr="00EE6CBE" w:rsidRDefault="00E66650" w:rsidP="00E66650">
                      <w:pPr>
                        <w:rPr>
                          <w:rFonts w:cs="Arial"/>
                          <w:b/>
                          <w:sz w:val="18"/>
                          <w:szCs w:val="18"/>
                        </w:rPr>
                      </w:pPr>
                    </w:p>
                    <w:p w14:paraId="007A3A49" w14:textId="77777777" w:rsidR="00E66650" w:rsidRDefault="00E66650" w:rsidP="00E66650">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6C1AB804" w14:textId="77777777" w:rsidR="00E66650" w:rsidRPr="00EE6CBE" w:rsidRDefault="00E66650" w:rsidP="00E66650">
                      <w:pPr>
                        <w:jc w:val="left"/>
                        <w:rPr>
                          <w:rFonts w:cs="Arial"/>
                          <w:b/>
                          <w:sz w:val="18"/>
                          <w:szCs w:val="18"/>
                        </w:rPr>
                      </w:pPr>
                      <w:r w:rsidRPr="00EE6CBE">
                        <w:rPr>
                          <w:rFonts w:cs="Arial"/>
                          <w:b/>
                          <w:sz w:val="18"/>
                          <w:szCs w:val="18"/>
                        </w:rPr>
                        <w:t>SIGNATURE</w:t>
                      </w:r>
                      <w:r>
                        <w:rPr>
                          <w:rFonts w:cs="Arial"/>
                          <w:b/>
                          <w:sz w:val="18"/>
                          <w:szCs w:val="18"/>
                        </w:rPr>
                        <w:t xml:space="preserve">                                            </w:t>
                      </w:r>
                      <w:r w:rsidRPr="00EE6CBE">
                        <w:rPr>
                          <w:rFonts w:cs="Arial"/>
                          <w:b/>
                          <w:sz w:val="18"/>
                          <w:szCs w:val="18"/>
                        </w:rPr>
                        <w:t>DATE</w:t>
                      </w:r>
                    </w:p>
                    <w:p w14:paraId="581265D1" w14:textId="77777777" w:rsidR="00E66650" w:rsidRPr="004120A8" w:rsidRDefault="00E66650" w:rsidP="00E66650">
                      <w:pPr>
                        <w:rPr>
                          <w:rFonts w:ascii="Century Gothic" w:hAnsi="Century Gothic"/>
                          <w:b/>
                          <w:sz w:val="2"/>
                          <w:szCs w:val="18"/>
                        </w:rPr>
                      </w:pPr>
                    </w:p>
                  </w:txbxContent>
                </v:textbox>
                <w10:wrap anchorx="margin"/>
              </v:shape>
            </w:pict>
          </mc:Fallback>
        </mc:AlternateContent>
      </w:r>
    </w:p>
    <w:p w14:paraId="72CA8F21" w14:textId="77777777" w:rsidR="00E66650" w:rsidRPr="00F73C09" w:rsidRDefault="00E66650" w:rsidP="00E66650">
      <w:pPr>
        <w:jc w:val="right"/>
        <w:rPr>
          <w:rFonts w:cs="Arial"/>
          <w:b/>
        </w:rPr>
      </w:pPr>
      <w:bookmarkStart w:id="1" w:name="_Hlk88546104"/>
    </w:p>
    <w:p w14:paraId="5FE1E1E4" w14:textId="77777777" w:rsidR="00E66650" w:rsidRPr="00F73C09" w:rsidRDefault="00E66650" w:rsidP="00E66650">
      <w:pPr>
        <w:jc w:val="left"/>
        <w:rPr>
          <w:rFonts w:cs="Arial"/>
          <w:u w:val="single"/>
        </w:rPr>
      </w:pPr>
    </w:p>
    <w:p w14:paraId="77A3E03C" w14:textId="77777777" w:rsidR="00E66650" w:rsidRPr="00F73C09" w:rsidRDefault="00E66650" w:rsidP="00E66650">
      <w:pPr>
        <w:jc w:val="left"/>
        <w:rPr>
          <w:rFonts w:cs="Arial"/>
          <w:u w:val="single"/>
        </w:rPr>
      </w:pPr>
    </w:p>
    <w:p w14:paraId="64DE5A07" w14:textId="77777777" w:rsidR="00E66650" w:rsidRPr="00F73C09" w:rsidRDefault="00E66650" w:rsidP="00E66650">
      <w:pPr>
        <w:jc w:val="left"/>
        <w:rPr>
          <w:rFonts w:cs="Arial"/>
          <w:u w:val="single"/>
        </w:rPr>
      </w:pPr>
    </w:p>
    <w:p w14:paraId="41309EAD" w14:textId="77777777" w:rsidR="00E66650" w:rsidRPr="00F73C09" w:rsidRDefault="00E66650" w:rsidP="00E66650">
      <w:pPr>
        <w:jc w:val="left"/>
        <w:rPr>
          <w:rFonts w:cs="Arial"/>
          <w:u w:val="single"/>
        </w:rPr>
      </w:pPr>
    </w:p>
    <w:bookmarkEnd w:id="1"/>
    <w:p w14:paraId="01442E6A" w14:textId="77777777" w:rsidR="00E66650" w:rsidRPr="00F73C09" w:rsidRDefault="00E66650" w:rsidP="00E66650"/>
    <w:tbl>
      <w:tblPr>
        <w:tblW w:w="9180" w:type="dxa"/>
        <w:tblLook w:val="04A0" w:firstRow="1" w:lastRow="0" w:firstColumn="1" w:lastColumn="0" w:noHBand="0" w:noVBand="1"/>
      </w:tblPr>
      <w:tblGrid>
        <w:gridCol w:w="5812"/>
        <w:gridCol w:w="3368"/>
      </w:tblGrid>
      <w:tr w:rsidR="00E66650" w:rsidRPr="00FB5438" w14:paraId="0056DB35" w14:textId="77777777" w:rsidTr="00592457">
        <w:tc>
          <w:tcPr>
            <w:tcW w:w="5812" w:type="dxa"/>
          </w:tcPr>
          <w:p w14:paraId="2FB54AA3" w14:textId="77777777" w:rsidR="00E66650" w:rsidRPr="00A55E0C" w:rsidRDefault="00E66650" w:rsidP="00A55E0C">
            <w:pPr>
              <w:spacing w:before="120" w:after="120"/>
              <w:jc w:val="left"/>
              <w:rPr>
                <w:rFonts w:cs="Arial"/>
                <w:b/>
                <w:bCs/>
                <w:lang w:val="en-ZA"/>
              </w:rPr>
            </w:pPr>
          </w:p>
        </w:tc>
        <w:tc>
          <w:tcPr>
            <w:tcW w:w="3368" w:type="dxa"/>
          </w:tcPr>
          <w:p w14:paraId="58FD168C" w14:textId="77777777" w:rsidR="00E66650" w:rsidRPr="00A55E0C" w:rsidRDefault="00E66650" w:rsidP="00A55E0C">
            <w:pPr>
              <w:spacing w:before="120" w:after="120"/>
              <w:jc w:val="left"/>
              <w:rPr>
                <w:rFonts w:cs="Arial"/>
                <w:b/>
                <w:bCs/>
                <w:lang w:val="en-ZA"/>
              </w:rPr>
            </w:pPr>
          </w:p>
        </w:tc>
      </w:tr>
      <w:tr w:rsidR="00E66650" w:rsidRPr="00FB5438" w14:paraId="277D0372" w14:textId="77777777" w:rsidTr="00592457">
        <w:tc>
          <w:tcPr>
            <w:tcW w:w="5812" w:type="dxa"/>
            <w:hideMark/>
          </w:tcPr>
          <w:p w14:paraId="1F24300F" w14:textId="77777777" w:rsidR="00E66650" w:rsidRPr="00A55E0C" w:rsidRDefault="00E66650" w:rsidP="00A55E0C">
            <w:pPr>
              <w:spacing w:before="120" w:after="120"/>
              <w:jc w:val="left"/>
              <w:rPr>
                <w:rFonts w:cs="Arial"/>
                <w:b/>
                <w:bCs/>
                <w:lang w:val="en-ZA"/>
              </w:rPr>
            </w:pPr>
            <w:r w:rsidRPr="00A55E0C">
              <w:rPr>
                <w:rFonts w:cs="Arial"/>
                <w:b/>
                <w:bCs/>
                <w:lang w:val="en-ZA"/>
              </w:rPr>
              <w:t>In the matter between:</w:t>
            </w:r>
          </w:p>
        </w:tc>
        <w:tc>
          <w:tcPr>
            <w:tcW w:w="3368" w:type="dxa"/>
          </w:tcPr>
          <w:p w14:paraId="4A5484F2" w14:textId="77777777" w:rsidR="00E66650" w:rsidRPr="00A55E0C" w:rsidRDefault="00E66650" w:rsidP="00A55E0C">
            <w:pPr>
              <w:spacing w:before="120" w:after="120"/>
              <w:jc w:val="left"/>
              <w:rPr>
                <w:rFonts w:cs="Arial"/>
                <w:b/>
                <w:bCs/>
                <w:lang w:val="en-ZA"/>
              </w:rPr>
            </w:pPr>
          </w:p>
        </w:tc>
      </w:tr>
      <w:tr w:rsidR="00E66650" w:rsidRPr="00FB5438" w14:paraId="09A085A6" w14:textId="77777777" w:rsidTr="00592457">
        <w:tc>
          <w:tcPr>
            <w:tcW w:w="5812" w:type="dxa"/>
          </w:tcPr>
          <w:p w14:paraId="01F9E37E" w14:textId="77777777" w:rsidR="00E66650" w:rsidRPr="00A55E0C" w:rsidRDefault="00E66650" w:rsidP="00A55E0C">
            <w:pPr>
              <w:spacing w:before="120" w:after="120"/>
              <w:jc w:val="left"/>
              <w:rPr>
                <w:rFonts w:cs="Arial"/>
                <w:b/>
                <w:bCs/>
                <w:lang w:val="en-ZA"/>
              </w:rPr>
            </w:pPr>
          </w:p>
        </w:tc>
        <w:tc>
          <w:tcPr>
            <w:tcW w:w="3368" w:type="dxa"/>
          </w:tcPr>
          <w:p w14:paraId="6A98F94A" w14:textId="77777777" w:rsidR="00E66650" w:rsidRPr="00A55E0C" w:rsidRDefault="00E66650" w:rsidP="00A55E0C">
            <w:pPr>
              <w:spacing w:before="120" w:after="120"/>
              <w:jc w:val="left"/>
              <w:rPr>
                <w:rFonts w:cs="Arial"/>
                <w:b/>
                <w:bCs/>
                <w:lang w:val="en-ZA"/>
              </w:rPr>
            </w:pPr>
          </w:p>
        </w:tc>
      </w:tr>
      <w:tr w:rsidR="00E66650" w:rsidRPr="00FB5438" w14:paraId="14B1332E" w14:textId="77777777" w:rsidTr="00592457">
        <w:tc>
          <w:tcPr>
            <w:tcW w:w="5812" w:type="dxa"/>
            <w:hideMark/>
          </w:tcPr>
          <w:p w14:paraId="6E33DBC9" w14:textId="01F19C67" w:rsidR="00E66650" w:rsidRPr="00A55E0C" w:rsidRDefault="00E66650" w:rsidP="00A55E0C">
            <w:pPr>
              <w:spacing w:before="120" w:after="120"/>
              <w:jc w:val="left"/>
              <w:rPr>
                <w:rFonts w:cs="Arial"/>
                <w:b/>
                <w:bCs/>
                <w:lang w:val="en-ZA"/>
              </w:rPr>
            </w:pPr>
            <w:r w:rsidRPr="00A55E0C">
              <w:rPr>
                <w:rFonts w:cs="Arial"/>
                <w:b/>
                <w:bCs/>
                <w:lang w:val="en-ZA"/>
              </w:rPr>
              <w:t>ALI BIRIGIGI MANGASA</w:t>
            </w:r>
          </w:p>
        </w:tc>
        <w:tc>
          <w:tcPr>
            <w:tcW w:w="3368" w:type="dxa"/>
            <w:hideMark/>
          </w:tcPr>
          <w:p w14:paraId="5683ADD9" w14:textId="5FA8B5B4" w:rsidR="00E66650" w:rsidRPr="00A55E0C" w:rsidRDefault="00E66650" w:rsidP="00A55E0C">
            <w:pPr>
              <w:spacing w:before="120" w:after="120"/>
              <w:jc w:val="right"/>
              <w:rPr>
                <w:rFonts w:cs="Arial"/>
                <w:b/>
                <w:bCs/>
                <w:lang w:val="en-ZA"/>
              </w:rPr>
            </w:pPr>
            <w:r w:rsidRPr="00A55E0C">
              <w:rPr>
                <w:rFonts w:cs="Arial"/>
                <w:b/>
                <w:bCs/>
                <w:lang w:val="en-ZA"/>
              </w:rPr>
              <w:t>Applicant</w:t>
            </w:r>
            <w:r w:rsidR="00592457" w:rsidRPr="00A55E0C">
              <w:rPr>
                <w:rFonts w:cs="Arial"/>
                <w:b/>
                <w:bCs/>
                <w:lang w:val="en-ZA"/>
              </w:rPr>
              <w:t xml:space="preserve"> </w:t>
            </w:r>
          </w:p>
        </w:tc>
      </w:tr>
      <w:tr w:rsidR="00E66650" w:rsidRPr="00FB5438" w14:paraId="5E02E5DE" w14:textId="77777777" w:rsidTr="00592457">
        <w:tc>
          <w:tcPr>
            <w:tcW w:w="5812" w:type="dxa"/>
          </w:tcPr>
          <w:p w14:paraId="6D051AEA" w14:textId="77777777" w:rsidR="00E66650" w:rsidRPr="00A55E0C" w:rsidRDefault="00E66650" w:rsidP="00A55E0C">
            <w:pPr>
              <w:spacing w:before="120" w:after="120"/>
              <w:jc w:val="left"/>
              <w:rPr>
                <w:rFonts w:cs="Arial"/>
                <w:b/>
                <w:bCs/>
                <w:lang w:val="en-ZA"/>
              </w:rPr>
            </w:pPr>
          </w:p>
        </w:tc>
        <w:tc>
          <w:tcPr>
            <w:tcW w:w="3368" w:type="dxa"/>
          </w:tcPr>
          <w:p w14:paraId="77E66D7A" w14:textId="77777777" w:rsidR="00E66650" w:rsidRPr="00A55E0C" w:rsidRDefault="00E66650" w:rsidP="00A55E0C">
            <w:pPr>
              <w:spacing w:before="120" w:after="120"/>
              <w:jc w:val="left"/>
              <w:rPr>
                <w:rFonts w:cs="Arial"/>
                <w:b/>
                <w:bCs/>
                <w:lang w:val="en-ZA"/>
              </w:rPr>
            </w:pPr>
          </w:p>
        </w:tc>
      </w:tr>
      <w:tr w:rsidR="00E66650" w:rsidRPr="00FB5438" w14:paraId="436EE8DE" w14:textId="77777777" w:rsidTr="00592457">
        <w:tc>
          <w:tcPr>
            <w:tcW w:w="5812" w:type="dxa"/>
            <w:hideMark/>
          </w:tcPr>
          <w:p w14:paraId="30395BED" w14:textId="77777777" w:rsidR="00E66650" w:rsidRPr="00A55E0C" w:rsidRDefault="00E66650" w:rsidP="00A55E0C">
            <w:pPr>
              <w:spacing w:before="120" w:after="120"/>
              <w:jc w:val="left"/>
              <w:rPr>
                <w:rFonts w:cs="Arial"/>
                <w:b/>
                <w:bCs/>
                <w:lang w:val="en-ZA"/>
              </w:rPr>
            </w:pPr>
            <w:r w:rsidRPr="00A55E0C">
              <w:rPr>
                <w:rFonts w:cs="Arial"/>
                <w:b/>
                <w:bCs/>
                <w:lang w:val="en-ZA"/>
              </w:rPr>
              <w:t>and</w:t>
            </w:r>
          </w:p>
        </w:tc>
        <w:tc>
          <w:tcPr>
            <w:tcW w:w="3368" w:type="dxa"/>
          </w:tcPr>
          <w:p w14:paraId="23886A9E" w14:textId="77777777" w:rsidR="00E66650" w:rsidRPr="00A55E0C" w:rsidRDefault="00E66650" w:rsidP="00A55E0C">
            <w:pPr>
              <w:spacing w:before="120" w:after="120"/>
              <w:jc w:val="left"/>
              <w:rPr>
                <w:rFonts w:cs="Arial"/>
                <w:b/>
                <w:bCs/>
                <w:lang w:val="en-ZA"/>
              </w:rPr>
            </w:pPr>
          </w:p>
        </w:tc>
      </w:tr>
      <w:tr w:rsidR="00E66650" w:rsidRPr="00FB5438" w14:paraId="4F0FBA32" w14:textId="77777777" w:rsidTr="00592457">
        <w:tc>
          <w:tcPr>
            <w:tcW w:w="5812" w:type="dxa"/>
          </w:tcPr>
          <w:p w14:paraId="10E872B4" w14:textId="77777777" w:rsidR="00E66650" w:rsidRPr="00A55E0C" w:rsidRDefault="00E66650" w:rsidP="00A55E0C">
            <w:pPr>
              <w:spacing w:before="120" w:after="120"/>
              <w:jc w:val="left"/>
              <w:rPr>
                <w:rFonts w:cs="Arial"/>
                <w:b/>
                <w:bCs/>
                <w:lang w:val="en-ZA"/>
              </w:rPr>
            </w:pPr>
          </w:p>
        </w:tc>
        <w:tc>
          <w:tcPr>
            <w:tcW w:w="3368" w:type="dxa"/>
          </w:tcPr>
          <w:p w14:paraId="40852601" w14:textId="77777777" w:rsidR="00E66650" w:rsidRPr="00A55E0C" w:rsidRDefault="00E66650" w:rsidP="00A55E0C">
            <w:pPr>
              <w:spacing w:before="120" w:after="120"/>
              <w:jc w:val="left"/>
              <w:rPr>
                <w:rFonts w:cs="Arial"/>
                <w:b/>
                <w:bCs/>
                <w:lang w:val="en-ZA"/>
              </w:rPr>
            </w:pPr>
          </w:p>
        </w:tc>
      </w:tr>
      <w:tr w:rsidR="00E66650" w:rsidRPr="009357B9" w14:paraId="2ED93C7A" w14:textId="77777777" w:rsidTr="00592457">
        <w:tc>
          <w:tcPr>
            <w:tcW w:w="5812" w:type="dxa"/>
          </w:tcPr>
          <w:p w14:paraId="2966F518" w14:textId="79511575" w:rsidR="00E66650" w:rsidRPr="00A55E0C" w:rsidRDefault="00E66650" w:rsidP="00A55E0C">
            <w:pPr>
              <w:spacing w:before="120" w:after="120"/>
              <w:jc w:val="left"/>
              <w:rPr>
                <w:rFonts w:cs="Arial"/>
                <w:b/>
                <w:bCs/>
                <w:lang w:val="en-ZA"/>
              </w:rPr>
            </w:pPr>
            <w:r w:rsidRPr="00A55E0C">
              <w:rPr>
                <w:rFonts w:cs="Arial"/>
                <w:b/>
                <w:bCs/>
                <w:lang w:val="en-ZA"/>
              </w:rPr>
              <w:t>MINISTER OF POLICE</w:t>
            </w:r>
          </w:p>
        </w:tc>
        <w:tc>
          <w:tcPr>
            <w:tcW w:w="3368" w:type="dxa"/>
          </w:tcPr>
          <w:p w14:paraId="6DD566E4" w14:textId="4A84C4F5" w:rsidR="00E66650" w:rsidRPr="00A55E0C" w:rsidRDefault="00E66650" w:rsidP="00A55E0C">
            <w:pPr>
              <w:spacing w:before="120" w:after="120"/>
              <w:jc w:val="right"/>
              <w:rPr>
                <w:rFonts w:cs="Arial"/>
                <w:b/>
                <w:bCs/>
                <w:lang w:val="en-ZA"/>
              </w:rPr>
            </w:pPr>
            <w:r w:rsidRPr="00A55E0C">
              <w:rPr>
                <w:rFonts w:cs="Arial"/>
                <w:b/>
                <w:bCs/>
                <w:lang w:val="en-ZA"/>
              </w:rPr>
              <w:t>First respondent</w:t>
            </w:r>
          </w:p>
        </w:tc>
      </w:tr>
      <w:tr w:rsidR="00E66650" w:rsidRPr="009357B9" w14:paraId="5C8E6BF9" w14:textId="77777777" w:rsidTr="00592457">
        <w:tc>
          <w:tcPr>
            <w:tcW w:w="5812" w:type="dxa"/>
          </w:tcPr>
          <w:p w14:paraId="5EF1F3B4" w14:textId="77777777" w:rsidR="00E66650" w:rsidRPr="00A55E0C" w:rsidRDefault="00E66650" w:rsidP="00A55E0C">
            <w:pPr>
              <w:spacing w:before="120" w:after="120"/>
              <w:jc w:val="left"/>
              <w:rPr>
                <w:rFonts w:cs="Arial"/>
                <w:b/>
                <w:bCs/>
                <w:lang w:val="en-ZA"/>
              </w:rPr>
            </w:pPr>
          </w:p>
        </w:tc>
        <w:tc>
          <w:tcPr>
            <w:tcW w:w="3368" w:type="dxa"/>
          </w:tcPr>
          <w:p w14:paraId="031F2300" w14:textId="77777777" w:rsidR="00E66650" w:rsidRPr="00A55E0C" w:rsidRDefault="00E66650" w:rsidP="00A55E0C">
            <w:pPr>
              <w:spacing w:before="120" w:after="120"/>
              <w:jc w:val="right"/>
              <w:rPr>
                <w:rFonts w:cs="Arial"/>
                <w:b/>
                <w:bCs/>
                <w:lang w:val="en-ZA"/>
              </w:rPr>
            </w:pPr>
          </w:p>
        </w:tc>
      </w:tr>
      <w:tr w:rsidR="00E66650" w:rsidRPr="009357B9" w14:paraId="281B5C56" w14:textId="77777777" w:rsidTr="00592457">
        <w:tc>
          <w:tcPr>
            <w:tcW w:w="5812" w:type="dxa"/>
          </w:tcPr>
          <w:p w14:paraId="1A32A27B" w14:textId="7CA88453" w:rsidR="00E66650" w:rsidRPr="00A55E0C" w:rsidRDefault="00E66650" w:rsidP="00A55E0C">
            <w:pPr>
              <w:spacing w:before="120" w:after="120"/>
              <w:jc w:val="left"/>
              <w:rPr>
                <w:rFonts w:cs="Arial"/>
                <w:b/>
                <w:bCs/>
                <w:lang w:val="en-ZA"/>
              </w:rPr>
            </w:pPr>
            <w:r w:rsidRPr="00A55E0C">
              <w:rPr>
                <w:rFonts w:cs="Arial"/>
                <w:b/>
                <w:bCs/>
                <w:lang w:val="en-ZA"/>
              </w:rPr>
              <w:t xml:space="preserve">CAPTAIN REGINALD MXOLISI </w:t>
            </w:r>
            <w:proofErr w:type="gramStart"/>
            <w:r w:rsidRPr="00A55E0C">
              <w:rPr>
                <w:rFonts w:cs="Arial"/>
                <w:b/>
                <w:bCs/>
                <w:lang w:val="en-ZA"/>
              </w:rPr>
              <w:t>ZULU</w:t>
            </w:r>
            <w:r w:rsidR="00C902A0" w:rsidRPr="00A55E0C">
              <w:rPr>
                <w:rFonts w:cs="Arial"/>
                <w:b/>
                <w:bCs/>
                <w:lang w:val="en-ZA"/>
              </w:rPr>
              <w:t>  N.O.</w:t>
            </w:r>
            <w:proofErr w:type="gramEnd"/>
          </w:p>
          <w:p w14:paraId="5ED11968" w14:textId="05C70A66" w:rsidR="00E66650" w:rsidRPr="00A55E0C" w:rsidRDefault="00E66650" w:rsidP="000201B3">
            <w:pPr>
              <w:spacing w:before="120" w:after="120"/>
              <w:jc w:val="left"/>
              <w:rPr>
                <w:rFonts w:cs="Arial"/>
                <w:b/>
                <w:bCs/>
                <w:lang w:val="en-ZA"/>
              </w:rPr>
            </w:pPr>
            <w:r w:rsidRPr="00A55E0C">
              <w:rPr>
                <w:rFonts w:cs="Arial"/>
                <w:b/>
                <w:bCs/>
                <w:lang w:val="en-ZA"/>
              </w:rPr>
              <w:t xml:space="preserve">(Service number: </w:t>
            </w:r>
            <w:r w:rsidR="000201B3">
              <w:rPr>
                <w:rFonts w:cs="Arial"/>
                <w:b/>
                <w:bCs/>
                <w:lang w:val="en-ZA"/>
              </w:rPr>
              <w:t>[…]</w:t>
            </w:r>
            <w:r w:rsidRPr="00A55E0C">
              <w:rPr>
                <w:rFonts w:cs="Arial"/>
                <w:b/>
                <w:bCs/>
                <w:lang w:val="en-ZA"/>
              </w:rPr>
              <w:t>)</w:t>
            </w:r>
          </w:p>
        </w:tc>
        <w:tc>
          <w:tcPr>
            <w:tcW w:w="3368" w:type="dxa"/>
          </w:tcPr>
          <w:p w14:paraId="1B922CFA" w14:textId="77777777" w:rsidR="00E66650" w:rsidRPr="00A55E0C" w:rsidRDefault="00E66650" w:rsidP="00A55E0C">
            <w:pPr>
              <w:spacing w:before="120" w:after="120"/>
              <w:jc w:val="right"/>
              <w:rPr>
                <w:rFonts w:cs="Arial"/>
                <w:b/>
                <w:bCs/>
                <w:lang w:val="en-ZA"/>
              </w:rPr>
            </w:pPr>
            <w:r w:rsidRPr="00A55E0C">
              <w:rPr>
                <w:rFonts w:cs="Arial"/>
                <w:b/>
                <w:bCs/>
                <w:lang w:val="en-ZA"/>
              </w:rPr>
              <w:t>Second respondent</w:t>
            </w:r>
          </w:p>
          <w:p w14:paraId="16C8957B" w14:textId="77777777" w:rsidR="00E93C0C" w:rsidRPr="00A55E0C" w:rsidRDefault="00E93C0C" w:rsidP="00A55E0C">
            <w:pPr>
              <w:spacing w:before="120" w:after="120"/>
              <w:jc w:val="right"/>
              <w:rPr>
                <w:rFonts w:cs="Arial"/>
                <w:b/>
                <w:bCs/>
                <w:lang w:val="en-ZA"/>
              </w:rPr>
            </w:pPr>
          </w:p>
        </w:tc>
      </w:tr>
      <w:tr w:rsidR="00E66650" w:rsidRPr="009357B9" w14:paraId="2EFA0129" w14:textId="77777777" w:rsidTr="00592457">
        <w:tc>
          <w:tcPr>
            <w:tcW w:w="5812" w:type="dxa"/>
          </w:tcPr>
          <w:p w14:paraId="63DF263B" w14:textId="77777777" w:rsidR="00E66650" w:rsidRPr="00A55E0C" w:rsidRDefault="00E66650" w:rsidP="00A55E0C">
            <w:pPr>
              <w:spacing w:before="120" w:after="120"/>
              <w:jc w:val="left"/>
              <w:rPr>
                <w:rFonts w:cs="Arial"/>
                <w:b/>
                <w:bCs/>
                <w:lang w:val="en-ZA"/>
              </w:rPr>
            </w:pPr>
          </w:p>
        </w:tc>
        <w:tc>
          <w:tcPr>
            <w:tcW w:w="3368" w:type="dxa"/>
          </w:tcPr>
          <w:p w14:paraId="02CA8918" w14:textId="77777777" w:rsidR="00E66650" w:rsidRPr="00A55E0C" w:rsidRDefault="00E66650" w:rsidP="00A55E0C">
            <w:pPr>
              <w:spacing w:before="120" w:after="120"/>
              <w:jc w:val="right"/>
              <w:rPr>
                <w:rFonts w:cs="Arial"/>
                <w:b/>
                <w:bCs/>
                <w:lang w:val="en-ZA"/>
              </w:rPr>
            </w:pPr>
          </w:p>
        </w:tc>
      </w:tr>
      <w:tr w:rsidR="00E66650" w:rsidRPr="009357B9" w14:paraId="0621D789" w14:textId="77777777" w:rsidTr="00592457">
        <w:tc>
          <w:tcPr>
            <w:tcW w:w="5812" w:type="dxa"/>
          </w:tcPr>
          <w:p w14:paraId="3CB2221D" w14:textId="2505EADE" w:rsidR="00E66650" w:rsidRPr="00A55E0C" w:rsidRDefault="00E66650" w:rsidP="00A55E0C">
            <w:pPr>
              <w:spacing w:before="120" w:after="120"/>
              <w:jc w:val="left"/>
              <w:rPr>
                <w:rFonts w:cs="Arial"/>
                <w:b/>
                <w:bCs/>
                <w:lang w:val="en-ZA"/>
              </w:rPr>
            </w:pPr>
            <w:r w:rsidRPr="00A55E0C">
              <w:rPr>
                <w:rFonts w:cs="Arial"/>
                <w:b/>
                <w:bCs/>
                <w:lang w:val="en-ZA"/>
              </w:rPr>
              <w:t xml:space="preserve">NATIONAL PROSECUTING AUTHORITY </w:t>
            </w:r>
          </w:p>
        </w:tc>
        <w:tc>
          <w:tcPr>
            <w:tcW w:w="3368" w:type="dxa"/>
          </w:tcPr>
          <w:p w14:paraId="18D38855" w14:textId="5E70480C" w:rsidR="00E66650" w:rsidRPr="00A55E0C" w:rsidRDefault="00E66650" w:rsidP="00A55E0C">
            <w:pPr>
              <w:spacing w:before="120" w:after="120"/>
              <w:jc w:val="right"/>
              <w:rPr>
                <w:rFonts w:cs="Arial"/>
                <w:b/>
                <w:bCs/>
                <w:lang w:val="en-ZA"/>
              </w:rPr>
            </w:pPr>
            <w:r w:rsidRPr="00A55E0C">
              <w:rPr>
                <w:rFonts w:cs="Arial"/>
                <w:b/>
                <w:bCs/>
                <w:lang w:val="en-ZA"/>
              </w:rPr>
              <w:t>Third respondent</w:t>
            </w:r>
          </w:p>
        </w:tc>
      </w:tr>
      <w:tr w:rsidR="00E66650" w:rsidRPr="009357B9" w14:paraId="19010E87" w14:textId="77777777" w:rsidTr="00B53F4C">
        <w:tc>
          <w:tcPr>
            <w:tcW w:w="9180" w:type="dxa"/>
            <w:gridSpan w:val="2"/>
          </w:tcPr>
          <w:p w14:paraId="5B564E27" w14:textId="2480A275" w:rsidR="00E66650" w:rsidRPr="00C3587A" w:rsidRDefault="00E66650" w:rsidP="00B53F4C">
            <w:pPr>
              <w:rPr>
                <w:rFonts w:cs="Arial"/>
                <w:b/>
                <w:bCs/>
                <w:sz w:val="22"/>
                <w:szCs w:val="22"/>
                <w:lang w:val="en-ZA"/>
              </w:rPr>
            </w:pPr>
            <w:r w:rsidRPr="00C3587A">
              <w:rPr>
                <w:rFonts w:cs="Arial"/>
                <w:b/>
                <w:bCs/>
                <w:sz w:val="22"/>
                <w:szCs w:val="22"/>
                <w:lang w:val="en-ZA"/>
              </w:rPr>
              <w:t>Delivere</w:t>
            </w:r>
            <w:r w:rsidRPr="00C3587A">
              <w:rPr>
                <w:rFonts w:cs="Arial"/>
                <w:sz w:val="22"/>
                <w:szCs w:val="22"/>
                <w:lang w:val="en-ZA"/>
              </w:rPr>
              <w:t xml:space="preserve">d:  This judgment was prepared and authored by the Judge whose name is reflected in it and is handed down electronically by circulation to the parties/their legal representatives by email and by uploading it to the electronic file of this matter on </w:t>
            </w:r>
            <w:proofErr w:type="spellStart"/>
            <w:r w:rsidRPr="00C3587A">
              <w:rPr>
                <w:rFonts w:cs="Arial"/>
                <w:sz w:val="22"/>
                <w:szCs w:val="22"/>
                <w:lang w:val="en-ZA"/>
              </w:rPr>
              <w:t>CaseLines</w:t>
            </w:r>
            <w:proofErr w:type="spellEnd"/>
            <w:r w:rsidRPr="00C3587A">
              <w:rPr>
                <w:rFonts w:cs="Arial"/>
                <w:sz w:val="22"/>
                <w:szCs w:val="22"/>
                <w:lang w:val="en-ZA"/>
              </w:rPr>
              <w:t xml:space="preserve">.  The date for hand-down is deemed to be </w:t>
            </w:r>
            <w:r w:rsidR="003D5AD1">
              <w:rPr>
                <w:rFonts w:cs="Arial"/>
                <w:sz w:val="22"/>
                <w:szCs w:val="22"/>
                <w:lang w:val="en-ZA"/>
              </w:rPr>
              <w:t>22</w:t>
            </w:r>
            <w:r w:rsidRPr="00C3587A">
              <w:rPr>
                <w:rFonts w:cs="Arial"/>
                <w:sz w:val="22"/>
                <w:szCs w:val="22"/>
                <w:lang w:val="en-ZA"/>
              </w:rPr>
              <w:t xml:space="preserve"> </w:t>
            </w:r>
            <w:r w:rsidR="003D5AD1">
              <w:rPr>
                <w:rFonts w:cs="Arial"/>
                <w:sz w:val="22"/>
                <w:szCs w:val="22"/>
                <w:lang w:val="en-ZA"/>
              </w:rPr>
              <w:t>Febru</w:t>
            </w:r>
            <w:r w:rsidR="004D2F4E">
              <w:rPr>
                <w:rFonts w:cs="Arial"/>
                <w:sz w:val="22"/>
                <w:szCs w:val="22"/>
                <w:lang w:val="en-ZA"/>
              </w:rPr>
              <w:t xml:space="preserve">ary </w:t>
            </w:r>
            <w:r w:rsidRPr="00C3587A">
              <w:rPr>
                <w:rFonts w:cs="Arial"/>
                <w:sz w:val="22"/>
                <w:szCs w:val="22"/>
                <w:lang w:val="en-ZA"/>
              </w:rPr>
              <w:t>202</w:t>
            </w:r>
            <w:r w:rsidR="004D2F4E">
              <w:rPr>
                <w:rFonts w:cs="Arial"/>
                <w:sz w:val="22"/>
                <w:szCs w:val="22"/>
                <w:lang w:val="en-ZA"/>
              </w:rPr>
              <w:t>4</w:t>
            </w:r>
            <w:r w:rsidRPr="00C3587A">
              <w:rPr>
                <w:rFonts w:cs="Arial"/>
                <w:sz w:val="22"/>
                <w:szCs w:val="22"/>
                <w:lang w:val="en-ZA"/>
              </w:rPr>
              <w:t>.</w:t>
            </w:r>
            <w:bookmarkStart w:id="2" w:name="_GoBack"/>
            <w:bookmarkEnd w:id="2"/>
          </w:p>
        </w:tc>
      </w:tr>
    </w:tbl>
    <w:p w14:paraId="58971B25" w14:textId="5DE27D38" w:rsidR="00E66650" w:rsidRPr="00C3587A" w:rsidRDefault="00E66650" w:rsidP="00E66650">
      <w:pPr>
        <w:pBdr>
          <w:top w:val="single" w:sz="6" w:space="18" w:color="auto"/>
          <w:bottom w:val="single" w:sz="6" w:space="18" w:color="auto"/>
        </w:pBdr>
        <w:jc w:val="center"/>
        <w:rPr>
          <w:rFonts w:cs="Arial"/>
          <w:b/>
          <w:bCs/>
          <w:caps/>
          <w:kern w:val="28"/>
          <w:sz w:val="28"/>
          <w:szCs w:val="28"/>
          <w:lang w:val="en-ZA"/>
        </w:rPr>
      </w:pPr>
      <w:r w:rsidRPr="00C3587A">
        <w:rPr>
          <w:rFonts w:cs="Arial"/>
          <w:b/>
          <w:bCs/>
          <w:caps/>
          <w:kern w:val="28"/>
          <w:sz w:val="28"/>
          <w:szCs w:val="28"/>
          <w:lang w:val="en-ZA"/>
        </w:rPr>
        <w:lastRenderedPageBreak/>
        <w:t>JUDGMENT</w:t>
      </w:r>
    </w:p>
    <w:p w14:paraId="37F94CEF" w14:textId="77777777" w:rsidR="00E66650" w:rsidRPr="00857361" w:rsidRDefault="00E66650" w:rsidP="00F70429">
      <w:pPr>
        <w:spacing w:before="360" w:after="120" w:line="480" w:lineRule="auto"/>
        <w:rPr>
          <w:rFonts w:cs="Arial"/>
          <w:b/>
          <w:bCs/>
        </w:rPr>
      </w:pPr>
      <w:r w:rsidRPr="00857361">
        <w:rPr>
          <w:rFonts w:cs="Arial"/>
          <w:b/>
          <w:bCs/>
        </w:rPr>
        <w:t>DUNN AJ</w:t>
      </w:r>
      <w:r w:rsidRPr="00857361">
        <w:rPr>
          <w:rFonts w:cs="Arial"/>
        </w:rPr>
        <w:t>:</w:t>
      </w:r>
    </w:p>
    <w:p w14:paraId="3E59B51B" w14:textId="561F2891" w:rsidR="003C09E5" w:rsidRPr="00A55E0C" w:rsidRDefault="003C09E5" w:rsidP="00F70429">
      <w:pPr>
        <w:spacing w:before="360" w:after="120" w:line="480" w:lineRule="auto"/>
        <w:rPr>
          <w:rFonts w:cs="Arial"/>
          <w:b/>
          <w:bCs/>
        </w:rPr>
      </w:pPr>
      <w:r w:rsidRPr="00A55E0C">
        <w:rPr>
          <w:rFonts w:cs="Arial"/>
          <w:b/>
          <w:bCs/>
        </w:rPr>
        <w:t>INTRODUCTION</w:t>
      </w:r>
    </w:p>
    <w:p w14:paraId="344500C3" w14:textId="2163236C" w:rsidR="001677DE" w:rsidRPr="00263943" w:rsidRDefault="001677DE" w:rsidP="00F70429">
      <w:pPr>
        <w:spacing w:before="360" w:after="120" w:line="480" w:lineRule="auto"/>
        <w:rPr>
          <w:rFonts w:cs="Arial"/>
        </w:rPr>
      </w:pPr>
      <w:r w:rsidRPr="00263943">
        <w:rPr>
          <w:rFonts w:cs="Arial"/>
          <w:b/>
          <w:bCs/>
          <w:i/>
          <w:iCs/>
        </w:rPr>
        <w:t>General</w:t>
      </w:r>
      <w:r w:rsidRPr="00263943">
        <w:rPr>
          <w:rFonts w:cs="Arial"/>
        </w:rPr>
        <w:t>:</w:t>
      </w:r>
    </w:p>
    <w:p w14:paraId="025AB663" w14:textId="373A5531" w:rsidR="004812B6" w:rsidRPr="007F700D" w:rsidRDefault="007F700D" w:rsidP="007F700D">
      <w:pPr>
        <w:spacing w:before="360" w:after="120" w:line="480" w:lineRule="auto"/>
        <w:ind w:left="709" w:hanging="720"/>
        <w:rPr>
          <w:rFonts w:cs="Arial"/>
        </w:rPr>
      </w:pPr>
      <w:r>
        <w:rPr>
          <w:rFonts w:cs="Arial"/>
        </w:rPr>
        <w:t>[1]</w:t>
      </w:r>
      <w:r>
        <w:rPr>
          <w:rFonts w:cs="Arial"/>
        </w:rPr>
        <w:tab/>
      </w:r>
      <w:r w:rsidR="00A93AF3" w:rsidRPr="007F700D">
        <w:rPr>
          <w:rFonts w:cs="Arial"/>
        </w:rPr>
        <w:t xml:space="preserve">This </w:t>
      </w:r>
      <w:r w:rsidR="00EF4BBD" w:rsidRPr="007F700D">
        <w:rPr>
          <w:rFonts w:cs="Arial"/>
        </w:rPr>
        <w:t xml:space="preserve">is </w:t>
      </w:r>
      <w:r w:rsidR="00520E95" w:rsidRPr="007F700D">
        <w:rPr>
          <w:rFonts w:cs="Arial"/>
        </w:rPr>
        <w:t xml:space="preserve">an application </w:t>
      </w:r>
      <w:r w:rsidR="008F5130" w:rsidRPr="007F700D">
        <w:rPr>
          <w:rFonts w:cs="Arial"/>
        </w:rPr>
        <w:t xml:space="preserve">for </w:t>
      </w:r>
      <w:r w:rsidR="00980D7B" w:rsidRPr="007F700D">
        <w:rPr>
          <w:rFonts w:cs="Arial"/>
        </w:rPr>
        <w:t>condonation</w:t>
      </w:r>
      <w:r w:rsidR="00DF0BB8" w:rsidRPr="007F700D">
        <w:rPr>
          <w:rFonts w:cs="Arial"/>
        </w:rPr>
        <w:t xml:space="preserve"> (</w:t>
      </w:r>
      <w:r w:rsidR="00DF0BB8" w:rsidRPr="007F700D">
        <w:rPr>
          <w:rFonts w:cs="Arial"/>
          <w:b/>
          <w:bCs/>
        </w:rPr>
        <w:t xml:space="preserve">the </w:t>
      </w:r>
      <w:r w:rsidR="009F16B9" w:rsidRPr="007F700D">
        <w:rPr>
          <w:rFonts w:cs="Arial"/>
          <w:b/>
          <w:bCs/>
        </w:rPr>
        <w:t xml:space="preserve">condonation </w:t>
      </w:r>
      <w:r w:rsidR="00DF0BB8" w:rsidRPr="007F700D">
        <w:rPr>
          <w:rFonts w:cs="Arial"/>
          <w:b/>
          <w:bCs/>
        </w:rPr>
        <w:t>application</w:t>
      </w:r>
      <w:r w:rsidR="00DF0BB8" w:rsidRPr="007F700D">
        <w:rPr>
          <w:rFonts w:cs="Arial"/>
        </w:rPr>
        <w:t>)</w:t>
      </w:r>
      <w:r w:rsidR="00F57CAA" w:rsidRPr="007F700D">
        <w:rPr>
          <w:rFonts w:cs="Arial"/>
        </w:rPr>
        <w:t xml:space="preserve"> </w:t>
      </w:r>
      <w:r w:rsidR="00980D7B" w:rsidRPr="007F700D">
        <w:rPr>
          <w:rFonts w:cs="Arial"/>
        </w:rPr>
        <w:t xml:space="preserve">in terms of </w:t>
      </w:r>
      <w:r w:rsidR="002C336F" w:rsidRPr="007F700D">
        <w:rPr>
          <w:rFonts w:cs="Arial"/>
        </w:rPr>
        <w:t>s 3</w:t>
      </w:r>
      <w:r w:rsidR="007749BF" w:rsidRPr="007F700D">
        <w:rPr>
          <w:rFonts w:cs="Arial"/>
        </w:rPr>
        <w:t>(4)</w:t>
      </w:r>
      <w:r w:rsidR="002C336F" w:rsidRPr="007F700D">
        <w:rPr>
          <w:rFonts w:cs="Arial"/>
        </w:rPr>
        <w:t xml:space="preserve"> of the Institution of Legal Proceedings against certain Organs of State Act 40 of 2002</w:t>
      </w:r>
      <w:r w:rsidR="00736DDF" w:rsidRPr="007F700D">
        <w:rPr>
          <w:rFonts w:cs="Arial"/>
        </w:rPr>
        <w:t xml:space="preserve"> (</w:t>
      </w:r>
      <w:r w:rsidR="00736DDF" w:rsidRPr="007F700D">
        <w:rPr>
          <w:rFonts w:cs="Arial"/>
          <w:b/>
          <w:bCs/>
        </w:rPr>
        <w:t>ILP</w:t>
      </w:r>
      <w:r w:rsidR="006C50F4" w:rsidRPr="007F700D">
        <w:rPr>
          <w:rFonts w:cs="Arial"/>
          <w:b/>
          <w:bCs/>
        </w:rPr>
        <w:t>A</w:t>
      </w:r>
      <w:r w:rsidR="00D303D2" w:rsidRPr="007F700D">
        <w:rPr>
          <w:rFonts w:cs="Arial"/>
        </w:rPr>
        <w:t>)</w:t>
      </w:r>
      <w:r w:rsidR="00E731EC" w:rsidRPr="007F700D">
        <w:rPr>
          <w:rFonts w:cs="Arial"/>
        </w:rPr>
        <w:t>.  T</w:t>
      </w:r>
      <w:r w:rsidR="00571160" w:rsidRPr="007F700D">
        <w:rPr>
          <w:rFonts w:cs="Arial"/>
        </w:rPr>
        <w:t>he application</w:t>
      </w:r>
      <w:r w:rsidR="00E731EC" w:rsidRPr="007F700D">
        <w:rPr>
          <w:rFonts w:cs="Arial"/>
        </w:rPr>
        <w:t xml:space="preserve"> was </w:t>
      </w:r>
      <w:r w:rsidR="00E52119" w:rsidRPr="007F700D">
        <w:rPr>
          <w:rFonts w:cs="Arial"/>
        </w:rPr>
        <w:t>instituted</w:t>
      </w:r>
      <w:r w:rsidR="00F57CAA" w:rsidRPr="007F700D">
        <w:rPr>
          <w:rFonts w:cs="Arial"/>
        </w:rPr>
        <w:t xml:space="preserve"> by Mr Ali </w:t>
      </w:r>
      <w:proofErr w:type="spellStart"/>
      <w:r w:rsidR="00F57CAA" w:rsidRPr="007F700D">
        <w:rPr>
          <w:rFonts w:cs="Arial"/>
        </w:rPr>
        <w:t>Birigigi</w:t>
      </w:r>
      <w:proofErr w:type="spellEnd"/>
      <w:r w:rsidR="00F57CAA" w:rsidRPr="007F700D">
        <w:rPr>
          <w:rFonts w:cs="Arial"/>
        </w:rPr>
        <w:t xml:space="preserve"> </w:t>
      </w:r>
      <w:proofErr w:type="spellStart"/>
      <w:r w:rsidR="00F57CAA" w:rsidRPr="007F700D">
        <w:rPr>
          <w:rFonts w:cs="Arial"/>
        </w:rPr>
        <w:t>Mangasa</w:t>
      </w:r>
      <w:proofErr w:type="spellEnd"/>
      <w:r w:rsidR="00F57CAA" w:rsidRPr="007F700D">
        <w:rPr>
          <w:rFonts w:cs="Arial"/>
        </w:rPr>
        <w:t xml:space="preserve"> (</w:t>
      </w:r>
      <w:r w:rsidR="00F57CAA" w:rsidRPr="007F700D">
        <w:rPr>
          <w:rFonts w:cs="Arial"/>
          <w:b/>
          <w:bCs/>
        </w:rPr>
        <w:t>Mr</w:t>
      </w:r>
      <w:r w:rsidR="00C420AE" w:rsidRPr="007F700D">
        <w:rPr>
          <w:rFonts w:cs="Arial"/>
          <w:b/>
          <w:bCs/>
        </w:rPr>
        <w:t> </w:t>
      </w:r>
      <w:proofErr w:type="spellStart"/>
      <w:r w:rsidR="00F57CAA" w:rsidRPr="007F700D">
        <w:rPr>
          <w:rFonts w:cs="Arial"/>
          <w:b/>
          <w:bCs/>
        </w:rPr>
        <w:t>Mangasa</w:t>
      </w:r>
      <w:proofErr w:type="spellEnd"/>
      <w:r w:rsidR="00F57CAA" w:rsidRPr="007F700D">
        <w:rPr>
          <w:rFonts w:cs="Arial"/>
        </w:rPr>
        <w:t>), a Ugandan national,</w:t>
      </w:r>
      <w:r w:rsidR="00E34BC2" w:rsidRPr="007F700D">
        <w:rPr>
          <w:rFonts w:cs="Arial"/>
        </w:rPr>
        <w:t xml:space="preserve"> against the </w:t>
      </w:r>
      <w:r w:rsidR="00471FBF" w:rsidRPr="007F700D">
        <w:rPr>
          <w:rFonts w:cs="Arial"/>
        </w:rPr>
        <w:t xml:space="preserve">Minister </w:t>
      </w:r>
      <w:r w:rsidR="00A67E01" w:rsidRPr="007F700D">
        <w:rPr>
          <w:rFonts w:cs="Arial"/>
        </w:rPr>
        <w:t xml:space="preserve">of Police, as the </w:t>
      </w:r>
      <w:r w:rsidR="00E34BC2" w:rsidRPr="007F700D">
        <w:rPr>
          <w:rFonts w:cs="Arial"/>
        </w:rPr>
        <w:t>first</w:t>
      </w:r>
      <w:r w:rsidR="00C14B53" w:rsidRPr="007F700D">
        <w:rPr>
          <w:rFonts w:cs="Arial"/>
        </w:rPr>
        <w:t xml:space="preserve"> </w:t>
      </w:r>
      <w:r w:rsidR="00E34BC2" w:rsidRPr="007F700D">
        <w:rPr>
          <w:rFonts w:cs="Arial"/>
        </w:rPr>
        <w:t>respondent</w:t>
      </w:r>
      <w:r w:rsidR="00C14B53" w:rsidRPr="007F700D">
        <w:rPr>
          <w:rFonts w:cs="Arial"/>
        </w:rPr>
        <w:t xml:space="preserve"> (</w:t>
      </w:r>
      <w:r w:rsidR="00C14B53" w:rsidRPr="007F700D">
        <w:rPr>
          <w:rFonts w:cs="Arial"/>
          <w:b/>
          <w:bCs/>
        </w:rPr>
        <w:t>the</w:t>
      </w:r>
      <w:r w:rsidR="00E34BC2" w:rsidRPr="007F700D">
        <w:rPr>
          <w:rFonts w:cs="Arial"/>
        </w:rPr>
        <w:t xml:space="preserve"> </w:t>
      </w:r>
      <w:r w:rsidR="00E34BC2" w:rsidRPr="007F700D">
        <w:rPr>
          <w:rFonts w:cs="Arial"/>
          <w:b/>
          <w:bCs/>
        </w:rPr>
        <w:t>Minister</w:t>
      </w:r>
      <w:r w:rsidR="00E34BC2" w:rsidRPr="007F700D">
        <w:rPr>
          <w:rFonts w:cs="Arial"/>
        </w:rPr>
        <w:t>)</w:t>
      </w:r>
      <w:r w:rsidR="00912DAE" w:rsidRPr="007F700D">
        <w:rPr>
          <w:rFonts w:cs="Arial"/>
        </w:rPr>
        <w:t xml:space="preserve">.  </w:t>
      </w:r>
      <w:r w:rsidR="000A3E0F" w:rsidRPr="007F700D">
        <w:rPr>
          <w:rFonts w:cs="Arial"/>
        </w:rPr>
        <w:t>Although</w:t>
      </w:r>
      <w:r w:rsidR="00E34BC2" w:rsidRPr="007F700D">
        <w:rPr>
          <w:rFonts w:cs="Arial"/>
        </w:rPr>
        <w:t xml:space="preserve"> Captain Reginald </w:t>
      </w:r>
      <w:proofErr w:type="spellStart"/>
      <w:r w:rsidR="00E34BC2" w:rsidRPr="007F700D">
        <w:rPr>
          <w:rFonts w:cs="Arial"/>
        </w:rPr>
        <w:t>Mxolisi</w:t>
      </w:r>
      <w:proofErr w:type="spellEnd"/>
      <w:r w:rsidR="00E34BC2" w:rsidRPr="007F700D">
        <w:rPr>
          <w:rFonts w:cs="Arial"/>
        </w:rPr>
        <w:t xml:space="preserve"> Zulu, N.O.</w:t>
      </w:r>
      <w:r w:rsidR="00DA6FC5" w:rsidRPr="007F700D">
        <w:rPr>
          <w:rFonts w:cs="Arial"/>
        </w:rPr>
        <w:t xml:space="preserve"> </w:t>
      </w:r>
      <w:r w:rsidR="00E34BC2" w:rsidRPr="007F700D">
        <w:rPr>
          <w:rFonts w:cs="Arial"/>
        </w:rPr>
        <w:t>(</w:t>
      </w:r>
      <w:r w:rsidR="00E34BC2" w:rsidRPr="007F700D">
        <w:rPr>
          <w:rFonts w:cs="Arial"/>
          <w:b/>
          <w:bCs/>
        </w:rPr>
        <w:t>Captain Zulu</w:t>
      </w:r>
      <w:r w:rsidR="00E34BC2" w:rsidRPr="007F700D">
        <w:rPr>
          <w:rFonts w:cs="Arial"/>
        </w:rPr>
        <w:t xml:space="preserve">) and the </w:t>
      </w:r>
      <w:bookmarkStart w:id="3" w:name="_Hlk156664989"/>
      <w:r w:rsidR="00E34BC2" w:rsidRPr="007F700D">
        <w:rPr>
          <w:rFonts w:cs="Arial"/>
        </w:rPr>
        <w:t>National Prosecuting Authority</w:t>
      </w:r>
      <w:r w:rsidR="0083206A" w:rsidRPr="007F700D">
        <w:rPr>
          <w:rFonts w:cs="Arial"/>
        </w:rPr>
        <w:t xml:space="preserve"> </w:t>
      </w:r>
      <w:bookmarkEnd w:id="3"/>
      <w:r w:rsidR="00E34BC2" w:rsidRPr="007F700D">
        <w:rPr>
          <w:rFonts w:cs="Arial"/>
        </w:rPr>
        <w:t>(</w:t>
      </w:r>
      <w:r w:rsidR="00E34BC2" w:rsidRPr="007F700D">
        <w:rPr>
          <w:rFonts w:cs="Arial"/>
          <w:b/>
          <w:bCs/>
        </w:rPr>
        <w:t>the NPA</w:t>
      </w:r>
      <w:r w:rsidR="00E34BC2" w:rsidRPr="007F700D">
        <w:rPr>
          <w:rFonts w:cs="Arial"/>
        </w:rPr>
        <w:t>)</w:t>
      </w:r>
      <w:r w:rsidR="00BE5F53">
        <w:rPr>
          <w:rStyle w:val="FootnoteReference"/>
          <w:rFonts w:cs="Arial"/>
        </w:rPr>
        <w:footnoteReference w:id="1"/>
      </w:r>
      <w:r w:rsidR="00CF3995" w:rsidRPr="007F700D">
        <w:rPr>
          <w:rFonts w:cs="Arial"/>
        </w:rPr>
        <w:t xml:space="preserve"> are </w:t>
      </w:r>
      <w:r w:rsidR="00E22393" w:rsidRPr="007F700D">
        <w:rPr>
          <w:rFonts w:cs="Arial"/>
        </w:rPr>
        <w:t>cited</w:t>
      </w:r>
      <w:r w:rsidR="00152F9E" w:rsidRPr="007F700D">
        <w:rPr>
          <w:rFonts w:cs="Arial"/>
        </w:rPr>
        <w:t xml:space="preserve"> </w:t>
      </w:r>
      <w:r w:rsidR="00C95B52" w:rsidRPr="007F700D">
        <w:rPr>
          <w:rFonts w:cs="Arial"/>
        </w:rPr>
        <w:t>in the application</w:t>
      </w:r>
      <w:r w:rsidR="006C2114" w:rsidRPr="007F700D">
        <w:rPr>
          <w:rFonts w:cs="Arial"/>
        </w:rPr>
        <w:t xml:space="preserve"> </w:t>
      </w:r>
      <w:r w:rsidR="00CF3995" w:rsidRPr="007F700D">
        <w:rPr>
          <w:rFonts w:cs="Arial"/>
        </w:rPr>
        <w:t>as the second and third respondents</w:t>
      </w:r>
      <w:r w:rsidR="00152F9E" w:rsidRPr="007F700D">
        <w:rPr>
          <w:rFonts w:cs="Arial"/>
        </w:rPr>
        <w:t xml:space="preserve">, </w:t>
      </w:r>
      <w:r w:rsidR="009F16B9" w:rsidRPr="007F700D">
        <w:rPr>
          <w:rFonts w:cs="Arial"/>
        </w:rPr>
        <w:t xml:space="preserve">respectively, </w:t>
      </w:r>
      <w:r w:rsidR="00434196" w:rsidRPr="007F700D">
        <w:rPr>
          <w:rFonts w:cs="Arial"/>
        </w:rPr>
        <w:t xml:space="preserve">they </w:t>
      </w:r>
      <w:r w:rsidR="00D06A63" w:rsidRPr="007F700D">
        <w:rPr>
          <w:rFonts w:cs="Arial"/>
        </w:rPr>
        <w:t>played no role</w:t>
      </w:r>
      <w:r w:rsidR="007709C4" w:rsidRPr="007F700D">
        <w:rPr>
          <w:rFonts w:cs="Arial"/>
        </w:rPr>
        <w:t xml:space="preserve"> </w:t>
      </w:r>
      <w:r w:rsidR="00C95B52" w:rsidRPr="007F700D">
        <w:rPr>
          <w:rFonts w:cs="Arial"/>
        </w:rPr>
        <w:t>therein</w:t>
      </w:r>
      <w:r w:rsidR="00B03EC3" w:rsidRPr="007F700D">
        <w:rPr>
          <w:rFonts w:cs="Arial"/>
        </w:rPr>
        <w:t xml:space="preserve"> </w:t>
      </w:r>
      <w:r w:rsidR="008F35FA" w:rsidRPr="007F700D">
        <w:rPr>
          <w:rFonts w:cs="Arial"/>
        </w:rPr>
        <w:t>whatso</w:t>
      </w:r>
      <w:r w:rsidR="00473718" w:rsidRPr="007F700D">
        <w:rPr>
          <w:rFonts w:cs="Arial"/>
        </w:rPr>
        <w:t>ever.</w:t>
      </w:r>
      <w:r w:rsidR="00591F78">
        <w:rPr>
          <w:rStyle w:val="FootnoteReference"/>
          <w:rFonts w:cs="Arial"/>
        </w:rPr>
        <w:footnoteReference w:id="2"/>
      </w:r>
      <w:r w:rsidR="00473718" w:rsidRPr="007F700D">
        <w:rPr>
          <w:rFonts w:cs="Arial"/>
        </w:rPr>
        <w:t xml:space="preserve">  </w:t>
      </w:r>
    </w:p>
    <w:p w14:paraId="1A977F66" w14:textId="73B7BBAC" w:rsidR="00933E60" w:rsidRPr="007F700D" w:rsidRDefault="007F700D" w:rsidP="007F700D">
      <w:pPr>
        <w:spacing w:before="360" w:after="120" w:line="480" w:lineRule="auto"/>
        <w:ind w:left="709" w:hanging="720"/>
        <w:rPr>
          <w:rFonts w:cs="Arial"/>
        </w:rPr>
      </w:pPr>
      <w:r>
        <w:rPr>
          <w:rFonts w:cs="Arial"/>
        </w:rPr>
        <w:t>[2]</w:t>
      </w:r>
      <w:r>
        <w:rPr>
          <w:rFonts w:cs="Arial"/>
        </w:rPr>
        <w:tab/>
      </w:r>
      <w:r w:rsidR="00A210A6" w:rsidRPr="007F700D">
        <w:rPr>
          <w:rFonts w:cs="Arial"/>
        </w:rPr>
        <w:t>The Minister’s opposition</w:t>
      </w:r>
      <w:r w:rsidR="00F54FC5">
        <w:rPr>
          <w:rStyle w:val="FootnoteReference"/>
          <w:rFonts w:cs="Arial"/>
        </w:rPr>
        <w:footnoteReference w:id="3"/>
      </w:r>
      <w:r w:rsidR="00A210A6" w:rsidRPr="007F700D">
        <w:rPr>
          <w:rFonts w:cs="Arial"/>
        </w:rPr>
        <w:t xml:space="preserve"> to the </w:t>
      </w:r>
      <w:r w:rsidR="009F16B9" w:rsidRPr="007F700D">
        <w:rPr>
          <w:rFonts w:cs="Arial"/>
        </w:rPr>
        <w:t xml:space="preserve">condonation </w:t>
      </w:r>
      <w:r w:rsidR="00A210A6" w:rsidRPr="007F700D">
        <w:rPr>
          <w:rFonts w:cs="Arial"/>
        </w:rPr>
        <w:t>application is based on a point of law</w:t>
      </w:r>
      <w:r w:rsidR="00B10C6E" w:rsidRPr="007F700D">
        <w:rPr>
          <w:rFonts w:cs="Arial"/>
        </w:rPr>
        <w:t xml:space="preserve">, </w:t>
      </w:r>
      <w:r w:rsidR="00B10C6E" w:rsidRPr="007F700D">
        <w:rPr>
          <w:rFonts w:cs="Arial"/>
          <w:i/>
          <w:iCs/>
        </w:rPr>
        <w:t>viz</w:t>
      </w:r>
      <w:r w:rsidR="00B10C6E" w:rsidRPr="007F700D">
        <w:rPr>
          <w:rFonts w:cs="Arial"/>
        </w:rPr>
        <w:t xml:space="preserve">., </w:t>
      </w:r>
      <w:r w:rsidR="00473718" w:rsidRPr="007F700D">
        <w:rPr>
          <w:rFonts w:cs="Arial"/>
        </w:rPr>
        <w:t xml:space="preserve">that the </w:t>
      </w:r>
      <w:r w:rsidR="0091312C" w:rsidRPr="007F700D">
        <w:rPr>
          <w:rFonts w:cs="Arial"/>
        </w:rPr>
        <w:t>‘</w:t>
      </w:r>
      <w:r w:rsidR="00473718" w:rsidRPr="007F700D">
        <w:rPr>
          <w:rFonts w:cs="Arial"/>
          <w:i/>
          <w:iCs/>
        </w:rPr>
        <w:t>debt</w:t>
      </w:r>
      <w:r w:rsidR="0091312C" w:rsidRPr="007F700D">
        <w:rPr>
          <w:rFonts w:cs="Arial"/>
        </w:rPr>
        <w:t>’</w:t>
      </w:r>
      <w:r w:rsidR="00473718" w:rsidRPr="007F700D">
        <w:rPr>
          <w:rFonts w:cs="Arial"/>
        </w:rPr>
        <w:t xml:space="preserve"> </w:t>
      </w:r>
      <w:r w:rsidR="00324FA0" w:rsidRPr="007F700D">
        <w:rPr>
          <w:rFonts w:cs="Arial"/>
        </w:rPr>
        <w:t xml:space="preserve">foreshadowed in Mr </w:t>
      </w:r>
      <w:proofErr w:type="spellStart"/>
      <w:r w:rsidR="00324FA0" w:rsidRPr="007F700D">
        <w:rPr>
          <w:rFonts w:cs="Arial"/>
        </w:rPr>
        <w:t>Mangasa’s</w:t>
      </w:r>
      <w:proofErr w:type="spellEnd"/>
      <w:r w:rsidR="00324FA0" w:rsidRPr="007F700D">
        <w:rPr>
          <w:rFonts w:cs="Arial"/>
        </w:rPr>
        <w:t xml:space="preserve"> </w:t>
      </w:r>
      <w:r w:rsidR="007E0882" w:rsidRPr="007F700D">
        <w:rPr>
          <w:rFonts w:cs="Arial"/>
        </w:rPr>
        <w:t xml:space="preserve">action for damages </w:t>
      </w:r>
      <w:r w:rsidR="00473718" w:rsidRPr="007F700D">
        <w:rPr>
          <w:rFonts w:cs="Arial"/>
        </w:rPr>
        <w:t xml:space="preserve">became prescribed in terms of </w:t>
      </w:r>
      <w:r w:rsidR="009F16B9" w:rsidRPr="007F700D">
        <w:rPr>
          <w:rFonts w:cs="Arial"/>
        </w:rPr>
        <w:t xml:space="preserve">s 11(d) </w:t>
      </w:r>
      <w:r w:rsidR="00473718" w:rsidRPr="007F700D">
        <w:rPr>
          <w:rFonts w:cs="Arial"/>
        </w:rPr>
        <w:t xml:space="preserve">the Prescription Act </w:t>
      </w:r>
      <w:r w:rsidR="007F4F76" w:rsidRPr="007F700D">
        <w:rPr>
          <w:rFonts w:cs="Arial"/>
        </w:rPr>
        <w:t>68 of 1969 (</w:t>
      </w:r>
      <w:r w:rsidR="007F4F76" w:rsidRPr="007F700D">
        <w:rPr>
          <w:rFonts w:cs="Arial"/>
          <w:b/>
          <w:bCs/>
        </w:rPr>
        <w:t xml:space="preserve">the </w:t>
      </w:r>
      <w:r w:rsidR="007F4F76" w:rsidRPr="007F700D">
        <w:rPr>
          <w:rFonts w:cs="Arial"/>
          <w:b/>
          <w:bCs/>
        </w:rPr>
        <w:lastRenderedPageBreak/>
        <w:t>Prescription Act</w:t>
      </w:r>
      <w:r w:rsidR="007F4F76" w:rsidRPr="007F700D">
        <w:rPr>
          <w:rFonts w:cs="Arial"/>
        </w:rPr>
        <w:t xml:space="preserve">) </w:t>
      </w:r>
      <w:r w:rsidR="00473718" w:rsidRPr="007F700D">
        <w:rPr>
          <w:rFonts w:cs="Arial"/>
        </w:rPr>
        <w:t>and that, as a result thereof, condonation is not possible under the provisions of s</w:t>
      </w:r>
      <w:r w:rsidR="0091312C" w:rsidRPr="007F700D">
        <w:rPr>
          <w:rFonts w:cs="Arial"/>
        </w:rPr>
        <w:t> </w:t>
      </w:r>
      <w:r w:rsidR="00473718" w:rsidRPr="007F700D">
        <w:rPr>
          <w:rFonts w:cs="Arial"/>
        </w:rPr>
        <w:t>3</w:t>
      </w:r>
      <w:r w:rsidR="0091312C" w:rsidRPr="007F700D">
        <w:rPr>
          <w:rFonts w:cs="Arial"/>
        </w:rPr>
        <w:t> </w:t>
      </w:r>
      <w:r w:rsidR="00473718" w:rsidRPr="007F700D">
        <w:rPr>
          <w:rFonts w:cs="Arial"/>
        </w:rPr>
        <w:t>(4)</w:t>
      </w:r>
      <w:r w:rsidR="0091312C" w:rsidRPr="007F700D">
        <w:rPr>
          <w:rFonts w:cs="Arial"/>
        </w:rPr>
        <w:t> </w:t>
      </w:r>
      <w:r w:rsidR="00473718" w:rsidRPr="007F700D">
        <w:rPr>
          <w:rFonts w:cs="Arial"/>
        </w:rPr>
        <w:t>(b) of the ILPA.</w:t>
      </w:r>
      <w:r w:rsidR="005317D1">
        <w:rPr>
          <w:rStyle w:val="FootnoteReference"/>
          <w:rFonts w:cs="Arial"/>
        </w:rPr>
        <w:footnoteReference w:id="4"/>
      </w:r>
      <w:r w:rsidR="00473718" w:rsidRPr="007F700D">
        <w:rPr>
          <w:rFonts w:cs="Arial"/>
        </w:rPr>
        <w:t xml:space="preserve"> </w:t>
      </w:r>
      <w:r w:rsidR="00A210A6" w:rsidRPr="007F700D">
        <w:rPr>
          <w:rFonts w:cs="Arial"/>
        </w:rPr>
        <w:t xml:space="preserve"> </w:t>
      </w:r>
    </w:p>
    <w:p w14:paraId="1E19315B" w14:textId="3B963406" w:rsidR="00936D76" w:rsidRPr="00FC636B" w:rsidRDefault="0093680A" w:rsidP="00936D76">
      <w:pPr>
        <w:spacing w:before="360" w:after="120" w:line="480" w:lineRule="auto"/>
        <w:rPr>
          <w:rFonts w:cs="Arial"/>
        </w:rPr>
      </w:pPr>
      <w:r w:rsidRPr="00263943">
        <w:rPr>
          <w:rFonts w:cs="Arial"/>
          <w:b/>
          <w:bCs/>
          <w:i/>
          <w:iCs/>
        </w:rPr>
        <w:t xml:space="preserve">Mr </w:t>
      </w:r>
      <w:proofErr w:type="spellStart"/>
      <w:r w:rsidRPr="00263943">
        <w:rPr>
          <w:rFonts w:cs="Arial"/>
          <w:b/>
          <w:bCs/>
          <w:i/>
          <w:iCs/>
        </w:rPr>
        <w:t>Mangasa’s</w:t>
      </w:r>
      <w:proofErr w:type="spellEnd"/>
      <w:r w:rsidRPr="00263943">
        <w:rPr>
          <w:rFonts w:cs="Arial"/>
          <w:b/>
          <w:bCs/>
          <w:i/>
          <w:iCs/>
        </w:rPr>
        <w:t xml:space="preserve"> action </w:t>
      </w:r>
      <w:r w:rsidR="00FC636B" w:rsidRPr="00263943">
        <w:rPr>
          <w:rFonts w:cs="Arial"/>
          <w:b/>
          <w:bCs/>
          <w:i/>
          <w:iCs/>
        </w:rPr>
        <w:t>for damages</w:t>
      </w:r>
      <w:r w:rsidR="00FC636B">
        <w:rPr>
          <w:rFonts w:cs="Arial"/>
        </w:rPr>
        <w:t>:</w:t>
      </w:r>
    </w:p>
    <w:p w14:paraId="295DB618" w14:textId="3F6DB75A" w:rsidR="0075628A" w:rsidRPr="007F700D" w:rsidRDefault="007F700D" w:rsidP="007F700D">
      <w:pPr>
        <w:spacing w:before="360" w:after="120" w:line="480" w:lineRule="auto"/>
        <w:ind w:left="709" w:hanging="720"/>
        <w:rPr>
          <w:rFonts w:cs="Arial"/>
        </w:rPr>
      </w:pPr>
      <w:r>
        <w:rPr>
          <w:rFonts w:cs="Arial"/>
        </w:rPr>
        <w:t>[3]</w:t>
      </w:r>
      <w:r>
        <w:rPr>
          <w:rFonts w:cs="Arial"/>
        </w:rPr>
        <w:tab/>
      </w:r>
      <w:r w:rsidR="00EC70F2" w:rsidRPr="007F700D">
        <w:rPr>
          <w:rFonts w:cs="Arial"/>
        </w:rPr>
        <w:t>On 20 September 2021</w:t>
      </w:r>
      <w:r w:rsidR="00EF172C" w:rsidRPr="007F700D">
        <w:rPr>
          <w:rFonts w:cs="Arial"/>
        </w:rPr>
        <w:t xml:space="preserve">, Mr </w:t>
      </w:r>
      <w:proofErr w:type="spellStart"/>
      <w:r w:rsidR="00EF172C" w:rsidRPr="007F700D">
        <w:rPr>
          <w:rFonts w:cs="Arial"/>
        </w:rPr>
        <w:t>Mangasa</w:t>
      </w:r>
      <w:proofErr w:type="spellEnd"/>
      <w:r w:rsidR="00EF172C" w:rsidRPr="007F700D">
        <w:rPr>
          <w:rFonts w:cs="Arial"/>
        </w:rPr>
        <w:t xml:space="preserve"> </w:t>
      </w:r>
      <w:r w:rsidR="00543B6C" w:rsidRPr="007F700D">
        <w:rPr>
          <w:rFonts w:cs="Arial"/>
        </w:rPr>
        <w:t xml:space="preserve">issued </w:t>
      </w:r>
      <w:r w:rsidR="00B16309" w:rsidRPr="007F700D">
        <w:rPr>
          <w:rFonts w:cs="Arial"/>
        </w:rPr>
        <w:t xml:space="preserve">a summons </w:t>
      </w:r>
      <w:r w:rsidR="00C74C72" w:rsidRPr="007F700D">
        <w:rPr>
          <w:rFonts w:cs="Arial"/>
        </w:rPr>
        <w:t xml:space="preserve">out of this </w:t>
      </w:r>
      <w:r w:rsidR="001932CE" w:rsidRPr="007F700D">
        <w:rPr>
          <w:rFonts w:cs="Arial"/>
        </w:rPr>
        <w:t>c</w:t>
      </w:r>
      <w:r w:rsidR="00D60D8B" w:rsidRPr="007F700D">
        <w:rPr>
          <w:rFonts w:cs="Arial"/>
        </w:rPr>
        <w:t>ourt</w:t>
      </w:r>
      <w:r w:rsidR="000A6B1C" w:rsidRPr="007F700D">
        <w:rPr>
          <w:rFonts w:cs="Arial"/>
        </w:rPr>
        <w:t xml:space="preserve">.  The </w:t>
      </w:r>
      <w:r w:rsidR="00D02280" w:rsidRPr="007F700D">
        <w:rPr>
          <w:rFonts w:cs="Arial"/>
        </w:rPr>
        <w:t xml:space="preserve">three respondents </w:t>
      </w:r>
      <w:r w:rsidR="009F16B9" w:rsidRPr="007F700D">
        <w:rPr>
          <w:rFonts w:cs="Arial"/>
        </w:rPr>
        <w:t xml:space="preserve">cited </w:t>
      </w:r>
      <w:r w:rsidR="00D02280" w:rsidRPr="007F700D">
        <w:rPr>
          <w:rFonts w:cs="Arial"/>
        </w:rPr>
        <w:t xml:space="preserve">in the </w:t>
      </w:r>
      <w:r w:rsidR="009F16B9" w:rsidRPr="007F700D">
        <w:rPr>
          <w:rFonts w:cs="Arial"/>
        </w:rPr>
        <w:t xml:space="preserve">condonation </w:t>
      </w:r>
      <w:r w:rsidR="00D02280" w:rsidRPr="007F700D">
        <w:rPr>
          <w:rFonts w:cs="Arial"/>
        </w:rPr>
        <w:t>application, i.e.,</w:t>
      </w:r>
      <w:r w:rsidR="00F27709" w:rsidRPr="007F700D">
        <w:rPr>
          <w:rFonts w:cs="Arial"/>
        </w:rPr>
        <w:t xml:space="preserve"> the Minister</w:t>
      </w:r>
      <w:r w:rsidR="00C563D9" w:rsidRPr="007F700D">
        <w:rPr>
          <w:rFonts w:cs="Arial"/>
        </w:rPr>
        <w:t xml:space="preserve">, </w:t>
      </w:r>
      <w:bookmarkStart w:id="4" w:name="_Hlk155621585"/>
      <w:r w:rsidR="00A90A9D" w:rsidRPr="007F700D">
        <w:rPr>
          <w:rFonts w:cs="Arial"/>
        </w:rPr>
        <w:t>Captain Zulu</w:t>
      </w:r>
      <w:r w:rsidR="004A3A6E" w:rsidRPr="007F700D">
        <w:rPr>
          <w:rFonts w:cs="Arial"/>
        </w:rPr>
        <w:t xml:space="preserve"> </w:t>
      </w:r>
      <w:r w:rsidR="009C042C" w:rsidRPr="007F700D">
        <w:rPr>
          <w:rFonts w:cs="Arial"/>
        </w:rPr>
        <w:t>and the N</w:t>
      </w:r>
      <w:r w:rsidR="004A3A6E" w:rsidRPr="007F700D">
        <w:rPr>
          <w:rFonts w:cs="Arial"/>
        </w:rPr>
        <w:t>PA</w:t>
      </w:r>
      <w:bookmarkEnd w:id="4"/>
      <w:r w:rsidR="003868D2" w:rsidRPr="007F700D">
        <w:rPr>
          <w:rFonts w:cs="Arial"/>
        </w:rPr>
        <w:t xml:space="preserve"> </w:t>
      </w:r>
      <w:r w:rsidR="00E92693" w:rsidRPr="007F700D">
        <w:rPr>
          <w:rFonts w:cs="Arial"/>
        </w:rPr>
        <w:t xml:space="preserve">were cited </w:t>
      </w:r>
      <w:r w:rsidR="001C6B61" w:rsidRPr="007F700D">
        <w:rPr>
          <w:rFonts w:cs="Arial"/>
        </w:rPr>
        <w:t xml:space="preserve">in the </w:t>
      </w:r>
      <w:r w:rsidR="00C74795" w:rsidRPr="007F700D">
        <w:rPr>
          <w:rFonts w:cs="Arial"/>
        </w:rPr>
        <w:t xml:space="preserve">summons </w:t>
      </w:r>
      <w:r w:rsidR="00E92693" w:rsidRPr="007F700D">
        <w:rPr>
          <w:rFonts w:cs="Arial"/>
        </w:rPr>
        <w:t xml:space="preserve">as the first, second and third </w:t>
      </w:r>
      <w:r w:rsidR="00A3056E" w:rsidRPr="007F700D">
        <w:rPr>
          <w:rFonts w:cs="Arial"/>
        </w:rPr>
        <w:t>defendants</w:t>
      </w:r>
      <w:r w:rsidR="00571A7F" w:rsidRPr="007F700D">
        <w:rPr>
          <w:rFonts w:cs="Arial"/>
        </w:rPr>
        <w:t>, respectively</w:t>
      </w:r>
      <w:r w:rsidR="00455BB8" w:rsidRPr="007F700D">
        <w:rPr>
          <w:rFonts w:cs="Arial"/>
        </w:rPr>
        <w:t xml:space="preserve"> </w:t>
      </w:r>
      <w:r w:rsidR="006E45C3" w:rsidRPr="007F700D">
        <w:rPr>
          <w:rFonts w:cs="Arial"/>
        </w:rPr>
        <w:t>(</w:t>
      </w:r>
      <w:r w:rsidR="006E45C3" w:rsidRPr="007F700D">
        <w:rPr>
          <w:rFonts w:cs="Arial"/>
          <w:b/>
          <w:bCs/>
        </w:rPr>
        <w:t>the action for damages</w:t>
      </w:r>
      <w:r w:rsidR="006E45C3" w:rsidRPr="007F700D">
        <w:rPr>
          <w:rFonts w:cs="Arial"/>
        </w:rPr>
        <w:t>)</w:t>
      </w:r>
      <w:r w:rsidR="00571A7F" w:rsidRPr="007F700D">
        <w:rPr>
          <w:rFonts w:cs="Arial"/>
        </w:rPr>
        <w:t xml:space="preserve">.  </w:t>
      </w:r>
    </w:p>
    <w:p w14:paraId="0C1A43AE" w14:textId="26FFE5A9" w:rsidR="006C50F4" w:rsidRPr="007F700D" w:rsidRDefault="007F700D" w:rsidP="007F700D">
      <w:pPr>
        <w:spacing w:before="360" w:after="120" w:line="480" w:lineRule="auto"/>
        <w:ind w:left="709" w:hanging="720"/>
        <w:rPr>
          <w:rFonts w:cs="Arial"/>
        </w:rPr>
      </w:pPr>
      <w:r>
        <w:rPr>
          <w:rFonts w:cs="Arial"/>
        </w:rPr>
        <w:t>[4]</w:t>
      </w:r>
      <w:r>
        <w:rPr>
          <w:rFonts w:cs="Arial"/>
        </w:rPr>
        <w:tab/>
      </w:r>
      <w:r w:rsidR="00896CE0" w:rsidRPr="007F700D">
        <w:rPr>
          <w:rFonts w:cs="Arial"/>
        </w:rPr>
        <w:t>The c</w:t>
      </w:r>
      <w:r w:rsidR="0083734C" w:rsidRPr="007F700D">
        <w:rPr>
          <w:rFonts w:cs="Arial"/>
        </w:rPr>
        <w:t xml:space="preserve">laims </w:t>
      </w:r>
      <w:r w:rsidR="00896CE0" w:rsidRPr="007F700D">
        <w:rPr>
          <w:rFonts w:cs="Arial"/>
        </w:rPr>
        <w:t xml:space="preserve">formulated </w:t>
      </w:r>
      <w:r w:rsidR="00BE19F7" w:rsidRPr="007F700D">
        <w:rPr>
          <w:rFonts w:cs="Arial"/>
        </w:rPr>
        <w:t xml:space="preserve">in the summons </w:t>
      </w:r>
      <w:r w:rsidR="00896CE0" w:rsidRPr="007F700D">
        <w:rPr>
          <w:rFonts w:cs="Arial"/>
        </w:rPr>
        <w:t xml:space="preserve">against </w:t>
      </w:r>
      <w:r w:rsidR="007D44D1" w:rsidRPr="007F700D">
        <w:rPr>
          <w:rFonts w:cs="Arial"/>
        </w:rPr>
        <w:t xml:space="preserve">the Minister and </w:t>
      </w:r>
      <w:bookmarkStart w:id="5" w:name="_Hlk156212563"/>
      <w:r w:rsidR="00D844B7" w:rsidRPr="007F700D">
        <w:rPr>
          <w:rFonts w:cs="Arial"/>
        </w:rPr>
        <w:t>Captain Zulu</w:t>
      </w:r>
      <w:bookmarkEnd w:id="5"/>
      <w:r w:rsidR="0009086A" w:rsidRPr="007F700D">
        <w:rPr>
          <w:rFonts w:cs="Arial"/>
        </w:rPr>
        <w:t xml:space="preserve"> </w:t>
      </w:r>
      <w:r w:rsidR="00386FF7" w:rsidRPr="007F700D">
        <w:rPr>
          <w:rFonts w:cs="Arial"/>
        </w:rPr>
        <w:t>are</w:t>
      </w:r>
      <w:r w:rsidR="0009086A" w:rsidRPr="007F700D">
        <w:rPr>
          <w:rFonts w:cs="Arial"/>
        </w:rPr>
        <w:t xml:space="preserve"> </w:t>
      </w:r>
      <w:r w:rsidR="00A6280B" w:rsidRPr="007F700D">
        <w:rPr>
          <w:rFonts w:cs="Arial"/>
        </w:rPr>
        <w:t>based on</w:t>
      </w:r>
      <w:r w:rsidR="008B3D32" w:rsidRPr="007F700D">
        <w:rPr>
          <w:rFonts w:cs="Arial"/>
        </w:rPr>
        <w:t xml:space="preserve"> </w:t>
      </w:r>
      <w:r w:rsidR="00BE19F7" w:rsidRPr="007F700D">
        <w:rPr>
          <w:rFonts w:cs="Arial"/>
        </w:rPr>
        <w:t xml:space="preserve">an </w:t>
      </w:r>
      <w:r w:rsidR="00865864" w:rsidRPr="007F700D">
        <w:rPr>
          <w:rFonts w:cs="Arial"/>
        </w:rPr>
        <w:t>unlawful and malicious</w:t>
      </w:r>
      <w:r w:rsidR="005A5D8B" w:rsidRPr="007F700D">
        <w:rPr>
          <w:rFonts w:cs="Arial"/>
        </w:rPr>
        <w:t xml:space="preserve"> arrest</w:t>
      </w:r>
      <w:r w:rsidR="008807E0" w:rsidRPr="007F700D">
        <w:rPr>
          <w:rFonts w:cs="Arial"/>
        </w:rPr>
        <w:t xml:space="preserve"> and</w:t>
      </w:r>
      <w:r w:rsidR="00353A16" w:rsidRPr="007F700D">
        <w:rPr>
          <w:rFonts w:cs="Arial"/>
        </w:rPr>
        <w:t xml:space="preserve"> detention</w:t>
      </w:r>
      <w:r w:rsidR="00F34854" w:rsidRPr="007F700D">
        <w:rPr>
          <w:rFonts w:cs="Arial"/>
        </w:rPr>
        <w:t>.</w:t>
      </w:r>
      <w:r w:rsidR="000B6003">
        <w:rPr>
          <w:rStyle w:val="FootnoteReference"/>
          <w:rFonts w:cs="Arial"/>
        </w:rPr>
        <w:footnoteReference w:id="5"/>
      </w:r>
      <w:r w:rsidR="00353A16" w:rsidRPr="007F700D">
        <w:rPr>
          <w:rFonts w:cs="Arial"/>
        </w:rPr>
        <w:t xml:space="preserve"> </w:t>
      </w:r>
      <w:r w:rsidR="00A81897" w:rsidRPr="007F700D">
        <w:rPr>
          <w:rFonts w:cs="Arial"/>
        </w:rPr>
        <w:t xml:space="preserve"> </w:t>
      </w:r>
      <w:r w:rsidR="00912E8A" w:rsidRPr="007F700D">
        <w:rPr>
          <w:rFonts w:cs="Arial"/>
        </w:rPr>
        <w:t xml:space="preserve">In addition thereto, Mr </w:t>
      </w:r>
      <w:proofErr w:type="spellStart"/>
      <w:r w:rsidR="00912E8A" w:rsidRPr="007F700D">
        <w:rPr>
          <w:rFonts w:cs="Arial"/>
        </w:rPr>
        <w:t>Mangasa</w:t>
      </w:r>
      <w:proofErr w:type="spellEnd"/>
      <w:r w:rsidR="00912E8A" w:rsidRPr="007F700D">
        <w:rPr>
          <w:rFonts w:cs="Arial"/>
        </w:rPr>
        <w:t xml:space="preserve"> alleges </w:t>
      </w:r>
      <w:r w:rsidR="00622D82" w:rsidRPr="007F700D">
        <w:rPr>
          <w:rFonts w:cs="Arial"/>
        </w:rPr>
        <w:t xml:space="preserve">further </w:t>
      </w:r>
      <w:r w:rsidR="00912E8A" w:rsidRPr="007F700D">
        <w:rPr>
          <w:rFonts w:cs="Arial"/>
        </w:rPr>
        <w:t xml:space="preserve">that he </w:t>
      </w:r>
      <w:r w:rsidR="00653AAD" w:rsidRPr="007F700D">
        <w:rPr>
          <w:rFonts w:cs="Arial"/>
        </w:rPr>
        <w:t xml:space="preserve">also </w:t>
      </w:r>
      <w:r w:rsidR="00912E8A" w:rsidRPr="007F700D">
        <w:rPr>
          <w:rFonts w:cs="Arial"/>
        </w:rPr>
        <w:t xml:space="preserve">was </w:t>
      </w:r>
      <w:bookmarkStart w:id="8" w:name="_Hlk159169206"/>
      <w:r w:rsidR="00912E8A" w:rsidRPr="007F700D">
        <w:rPr>
          <w:rFonts w:cs="Arial"/>
        </w:rPr>
        <w:t xml:space="preserve">assaulted by Captain Zulu </w:t>
      </w:r>
      <w:r w:rsidR="00BD1DE0" w:rsidRPr="007F700D">
        <w:rPr>
          <w:rFonts w:cs="Arial"/>
        </w:rPr>
        <w:t>in the course of such arrest</w:t>
      </w:r>
      <w:r w:rsidR="008C0C5C" w:rsidRPr="007F700D">
        <w:rPr>
          <w:rFonts w:cs="Arial"/>
        </w:rPr>
        <w:t xml:space="preserve"> causing injury to his eye</w:t>
      </w:r>
      <w:r w:rsidR="00821241" w:rsidRPr="007F700D">
        <w:rPr>
          <w:rFonts w:cs="Arial"/>
        </w:rPr>
        <w:t xml:space="preserve"> and disfiguring him.</w:t>
      </w:r>
      <w:r w:rsidR="00821241">
        <w:rPr>
          <w:rStyle w:val="FootnoteReference"/>
          <w:rFonts w:cs="Arial"/>
        </w:rPr>
        <w:footnoteReference w:id="6"/>
      </w:r>
      <w:bookmarkEnd w:id="8"/>
      <w:r w:rsidR="00BD1DE0" w:rsidRPr="007F700D">
        <w:rPr>
          <w:rFonts w:cs="Arial"/>
        </w:rPr>
        <w:t xml:space="preserve"> </w:t>
      </w:r>
      <w:r w:rsidR="006E45C3" w:rsidRPr="007F700D">
        <w:rPr>
          <w:rFonts w:cs="Arial"/>
        </w:rPr>
        <w:t xml:space="preserve"> As far as the </w:t>
      </w:r>
      <w:r w:rsidR="00F80C21" w:rsidRPr="007F700D">
        <w:rPr>
          <w:rFonts w:cs="Arial"/>
        </w:rPr>
        <w:t xml:space="preserve">NPA is concerned, the </w:t>
      </w:r>
      <w:r w:rsidR="005A11CB" w:rsidRPr="007F700D">
        <w:rPr>
          <w:rFonts w:cs="Arial"/>
        </w:rPr>
        <w:t xml:space="preserve">claim </w:t>
      </w:r>
      <w:r w:rsidR="00F80C21" w:rsidRPr="007F700D">
        <w:rPr>
          <w:rFonts w:cs="Arial"/>
        </w:rPr>
        <w:t xml:space="preserve">formulated against it </w:t>
      </w:r>
      <w:r w:rsidR="00AB50ED" w:rsidRPr="007F700D">
        <w:rPr>
          <w:rFonts w:cs="Arial"/>
        </w:rPr>
        <w:t>(</w:t>
      </w:r>
      <w:r w:rsidR="00824481" w:rsidRPr="007F700D">
        <w:rPr>
          <w:rFonts w:cs="Arial"/>
        </w:rPr>
        <w:t>and its officials</w:t>
      </w:r>
      <w:r w:rsidR="00A0190C" w:rsidRPr="007F700D">
        <w:rPr>
          <w:rFonts w:cs="Arial"/>
        </w:rPr>
        <w:t>)</w:t>
      </w:r>
      <w:r w:rsidR="00824481" w:rsidRPr="007F700D">
        <w:rPr>
          <w:rFonts w:cs="Arial"/>
        </w:rPr>
        <w:t xml:space="preserve"> </w:t>
      </w:r>
      <w:r w:rsidR="007F760D" w:rsidRPr="007F700D">
        <w:rPr>
          <w:rFonts w:cs="Arial"/>
        </w:rPr>
        <w:t xml:space="preserve">is based on </w:t>
      </w:r>
      <w:r w:rsidR="00FC6C6E" w:rsidRPr="007F700D">
        <w:rPr>
          <w:rFonts w:cs="Arial"/>
        </w:rPr>
        <w:t xml:space="preserve">its </w:t>
      </w:r>
      <w:r w:rsidR="00F40AAB" w:rsidRPr="007F700D">
        <w:rPr>
          <w:rFonts w:cs="Arial"/>
        </w:rPr>
        <w:t xml:space="preserve">negligent, reckless and/or malicious decision to prosecute Mr </w:t>
      </w:r>
      <w:proofErr w:type="spellStart"/>
      <w:r w:rsidR="00F40AAB" w:rsidRPr="007F700D">
        <w:rPr>
          <w:rFonts w:cs="Arial"/>
        </w:rPr>
        <w:t>Mangasa</w:t>
      </w:r>
      <w:proofErr w:type="spellEnd"/>
      <w:r w:rsidR="00FE6B7A" w:rsidRPr="007F700D">
        <w:rPr>
          <w:rFonts w:cs="Arial"/>
        </w:rPr>
        <w:t xml:space="preserve">, as well as the ensuing </w:t>
      </w:r>
      <w:r w:rsidR="006D2735" w:rsidRPr="007F700D">
        <w:rPr>
          <w:rFonts w:cs="Arial"/>
        </w:rPr>
        <w:t xml:space="preserve">malicious </w:t>
      </w:r>
      <w:r w:rsidR="00FE6B7A" w:rsidRPr="007F700D">
        <w:rPr>
          <w:rFonts w:cs="Arial"/>
        </w:rPr>
        <w:t xml:space="preserve">prosecution that eventually </w:t>
      </w:r>
      <w:r w:rsidR="006D2735" w:rsidRPr="007F700D">
        <w:rPr>
          <w:rFonts w:cs="Arial"/>
        </w:rPr>
        <w:t xml:space="preserve">terminated </w:t>
      </w:r>
      <w:r w:rsidR="005F5C62" w:rsidRPr="007F700D">
        <w:rPr>
          <w:rFonts w:cs="Arial"/>
        </w:rPr>
        <w:t xml:space="preserve">in </w:t>
      </w:r>
      <w:r w:rsidR="006D2735" w:rsidRPr="007F700D">
        <w:rPr>
          <w:rFonts w:cs="Arial"/>
        </w:rPr>
        <w:t xml:space="preserve">his favour when he was </w:t>
      </w:r>
      <w:r w:rsidR="005F5C62" w:rsidRPr="007F700D">
        <w:rPr>
          <w:rFonts w:cs="Arial"/>
        </w:rPr>
        <w:t>discharged</w:t>
      </w:r>
      <w:r w:rsidR="00F40AAB" w:rsidRPr="007F700D">
        <w:rPr>
          <w:rFonts w:cs="Arial"/>
        </w:rPr>
        <w:t>.</w:t>
      </w:r>
      <w:r w:rsidR="009723FE" w:rsidRPr="00C3587A">
        <w:rPr>
          <w:rStyle w:val="FootnoteReference"/>
          <w:rFonts w:cs="Arial"/>
        </w:rPr>
        <w:footnoteReference w:id="7"/>
      </w:r>
      <w:r w:rsidR="001110C8" w:rsidRPr="007F700D">
        <w:rPr>
          <w:rFonts w:cs="Arial"/>
        </w:rPr>
        <w:t xml:space="preserve"> </w:t>
      </w:r>
    </w:p>
    <w:p w14:paraId="49B4886B" w14:textId="6933D1D0" w:rsidR="00B75F3C" w:rsidRPr="007F700D" w:rsidRDefault="007F700D" w:rsidP="007F700D">
      <w:pPr>
        <w:spacing w:before="360" w:after="120" w:line="480" w:lineRule="auto"/>
        <w:ind w:left="709" w:hanging="720"/>
        <w:rPr>
          <w:rFonts w:cs="Arial"/>
        </w:rPr>
      </w:pPr>
      <w:r>
        <w:rPr>
          <w:rFonts w:cs="Arial"/>
        </w:rPr>
        <w:t>[5]</w:t>
      </w:r>
      <w:r>
        <w:rPr>
          <w:rFonts w:cs="Arial"/>
        </w:rPr>
        <w:tab/>
      </w:r>
      <w:r w:rsidR="00F62510" w:rsidRPr="007F700D">
        <w:rPr>
          <w:rFonts w:cs="Arial"/>
        </w:rPr>
        <w:t xml:space="preserve">According to Mr </w:t>
      </w:r>
      <w:proofErr w:type="spellStart"/>
      <w:r w:rsidR="00F62510" w:rsidRPr="007F700D">
        <w:rPr>
          <w:rFonts w:cs="Arial"/>
        </w:rPr>
        <w:t>Mangasa</w:t>
      </w:r>
      <w:r w:rsidR="00D93CA6" w:rsidRPr="007F700D">
        <w:rPr>
          <w:rFonts w:cs="Arial"/>
        </w:rPr>
        <w:t>’s</w:t>
      </w:r>
      <w:proofErr w:type="spellEnd"/>
      <w:r w:rsidR="00D93CA6" w:rsidRPr="007F700D">
        <w:rPr>
          <w:rFonts w:cs="Arial"/>
        </w:rPr>
        <w:t xml:space="preserve"> particulars of claim t</w:t>
      </w:r>
      <w:r w:rsidR="005F5C62" w:rsidRPr="007F700D">
        <w:rPr>
          <w:rFonts w:cs="Arial"/>
        </w:rPr>
        <w:t xml:space="preserve">he </w:t>
      </w:r>
      <w:r w:rsidR="00D93CA6" w:rsidRPr="007F700D">
        <w:rPr>
          <w:rFonts w:cs="Arial"/>
        </w:rPr>
        <w:t xml:space="preserve">following are the </w:t>
      </w:r>
      <w:r w:rsidR="00D56BC3" w:rsidRPr="007F700D">
        <w:rPr>
          <w:rFonts w:cs="Arial"/>
        </w:rPr>
        <w:t>sali</w:t>
      </w:r>
      <w:r w:rsidR="00176539" w:rsidRPr="007F700D">
        <w:rPr>
          <w:rFonts w:cs="Arial"/>
        </w:rPr>
        <w:t xml:space="preserve">ent </w:t>
      </w:r>
      <w:r w:rsidR="00E6462F" w:rsidRPr="007F700D">
        <w:rPr>
          <w:rFonts w:cs="Arial"/>
        </w:rPr>
        <w:t xml:space="preserve">allegations </w:t>
      </w:r>
      <w:r w:rsidR="00D93CA6" w:rsidRPr="007F700D">
        <w:rPr>
          <w:rFonts w:cs="Arial"/>
        </w:rPr>
        <w:t xml:space="preserve">underlying </w:t>
      </w:r>
      <w:r w:rsidR="001E0497" w:rsidRPr="007F700D">
        <w:rPr>
          <w:rFonts w:cs="Arial"/>
        </w:rPr>
        <w:t xml:space="preserve">these </w:t>
      </w:r>
      <w:r w:rsidR="00176539" w:rsidRPr="007F700D">
        <w:rPr>
          <w:rFonts w:cs="Arial"/>
        </w:rPr>
        <w:t>c</w:t>
      </w:r>
      <w:r w:rsidR="000F249A" w:rsidRPr="007F700D">
        <w:rPr>
          <w:rFonts w:cs="Arial"/>
        </w:rPr>
        <w:t>laim</w:t>
      </w:r>
      <w:r w:rsidR="00055487" w:rsidRPr="007F700D">
        <w:rPr>
          <w:rFonts w:cs="Arial"/>
        </w:rPr>
        <w:t>s</w:t>
      </w:r>
      <w:r w:rsidR="00B75F3C" w:rsidRPr="007F700D">
        <w:rPr>
          <w:rFonts w:cs="Arial"/>
        </w:rPr>
        <w:t>:</w:t>
      </w:r>
    </w:p>
    <w:p w14:paraId="2DE23D60" w14:textId="2761F892" w:rsidR="00B75F3C" w:rsidRPr="007F700D" w:rsidRDefault="007F700D" w:rsidP="007F700D">
      <w:pPr>
        <w:spacing w:before="360" w:after="120" w:line="480" w:lineRule="auto"/>
        <w:ind w:left="1560" w:hanging="851"/>
        <w:rPr>
          <w:rFonts w:cs="Arial"/>
        </w:rPr>
      </w:pPr>
      <w:r w:rsidRPr="00E7770B">
        <w:rPr>
          <w:rFonts w:cs="Arial"/>
        </w:rPr>
        <w:lastRenderedPageBreak/>
        <w:t>[5.1]</w:t>
      </w:r>
      <w:r w:rsidRPr="00E7770B">
        <w:rPr>
          <w:rFonts w:cs="Arial"/>
        </w:rPr>
        <w:tab/>
      </w:r>
      <w:r w:rsidR="00081EC5" w:rsidRPr="007F700D">
        <w:rPr>
          <w:rFonts w:cs="Arial"/>
        </w:rPr>
        <w:t xml:space="preserve">First, </w:t>
      </w:r>
      <w:r w:rsidR="00176539" w:rsidRPr="007F700D">
        <w:rPr>
          <w:rFonts w:cs="Arial"/>
        </w:rPr>
        <w:t xml:space="preserve">Mr </w:t>
      </w:r>
      <w:proofErr w:type="spellStart"/>
      <w:r w:rsidR="00F62510" w:rsidRPr="007F700D">
        <w:rPr>
          <w:rFonts w:cs="Arial"/>
        </w:rPr>
        <w:t>Mangasa</w:t>
      </w:r>
      <w:proofErr w:type="spellEnd"/>
      <w:r w:rsidR="00B75F3C" w:rsidRPr="007F700D">
        <w:rPr>
          <w:rFonts w:cs="Arial"/>
        </w:rPr>
        <w:t xml:space="preserve"> was wrongfully</w:t>
      </w:r>
      <w:r w:rsidR="000322D9" w:rsidRPr="007F700D">
        <w:rPr>
          <w:rFonts w:cs="Arial"/>
        </w:rPr>
        <w:t>, unlawfully</w:t>
      </w:r>
      <w:r w:rsidR="00B75F3C" w:rsidRPr="007F700D">
        <w:rPr>
          <w:rFonts w:cs="Arial"/>
        </w:rPr>
        <w:t xml:space="preserve"> and </w:t>
      </w:r>
      <w:r w:rsidR="000322D9" w:rsidRPr="007F700D">
        <w:rPr>
          <w:rFonts w:cs="Arial"/>
        </w:rPr>
        <w:t xml:space="preserve">maliciously </w:t>
      </w:r>
      <w:r w:rsidR="00B75F3C" w:rsidRPr="007F700D">
        <w:rPr>
          <w:rFonts w:cs="Arial"/>
        </w:rPr>
        <w:t>arrested</w:t>
      </w:r>
      <w:r w:rsidR="00354DEB" w:rsidRPr="007F700D">
        <w:rPr>
          <w:rFonts w:cs="Arial"/>
        </w:rPr>
        <w:t>, as well as assaulted,</w:t>
      </w:r>
      <w:r w:rsidR="00B75F3C" w:rsidRPr="007F700D">
        <w:rPr>
          <w:rFonts w:cs="Arial"/>
        </w:rPr>
        <w:t xml:space="preserve"> on 18</w:t>
      </w:r>
      <w:r w:rsidR="0095567A" w:rsidRPr="007F700D">
        <w:rPr>
          <w:rFonts w:cs="Arial"/>
        </w:rPr>
        <w:t> </w:t>
      </w:r>
      <w:r w:rsidR="00B75F3C" w:rsidRPr="007F700D">
        <w:rPr>
          <w:rFonts w:cs="Arial"/>
        </w:rPr>
        <w:t>December 2018;</w:t>
      </w:r>
      <w:r w:rsidR="00B75F3C" w:rsidRPr="00C3587A">
        <w:rPr>
          <w:rStyle w:val="FootnoteReference"/>
          <w:rFonts w:cs="Arial"/>
        </w:rPr>
        <w:footnoteReference w:id="8"/>
      </w:r>
    </w:p>
    <w:p w14:paraId="5B5950CF" w14:textId="514FFEC7" w:rsidR="00B75F3C" w:rsidRPr="007F700D" w:rsidRDefault="007F700D" w:rsidP="007F700D">
      <w:pPr>
        <w:spacing w:before="360" w:after="120" w:line="480" w:lineRule="auto"/>
        <w:ind w:left="1560" w:hanging="851"/>
        <w:rPr>
          <w:rFonts w:cs="Arial"/>
        </w:rPr>
      </w:pPr>
      <w:r w:rsidRPr="00C3587A">
        <w:rPr>
          <w:rFonts w:cs="Arial"/>
        </w:rPr>
        <w:t>[5.2]</w:t>
      </w:r>
      <w:r w:rsidRPr="00C3587A">
        <w:rPr>
          <w:rFonts w:cs="Arial"/>
        </w:rPr>
        <w:tab/>
      </w:r>
      <w:r w:rsidR="00081EC5" w:rsidRPr="007F700D">
        <w:rPr>
          <w:rFonts w:cs="Arial"/>
        </w:rPr>
        <w:t xml:space="preserve">second, </w:t>
      </w:r>
      <w:r w:rsidR="00FF013D" w:rsidRPr="007F700D">
        <w:rPr>
          <w:rFonts w:cs="Arial"/>
        </w:rPr>
        <w:t>he</w:t>
      </w:r>
      <w:r w:rsidR="0000024E" w:rsidRPr="007F700D">
        <w:rPr>
          <w:rFonts w:cs="Arial"/>
        </w:rPr>
        <w:t xml:space="preserve"> </w:t>
      </w:r>
      <w:r w:rsidR="00B75F3C" w:rsidRPr="007F700D">
        <w:rPr>
          <w:rFonts w:cs="Arial"/>
        </w:rPr>
        <w:t>was wrongfully</w:t>
      </w:r>
      <w:r w:rsidR="00A01E28" w:rsidRPr="007F700D">
        <w:rPr>
          <w:rFonts w:cs="Arial"/>
        </w:rPr>
        <w:t>,</w:t>
      </w:r>
      <w:r w:rsidR="00B75F3C" w:rsidRPr="007F700D">
        <w:rPr>
          <w:rFonts w:cs="Arial"/>
        </w:rPr>
        <w:t xml:space="preserve"> unlawfully </w:t>
      </w:r>
      <w:r w:rsidR="00A01E28" w:rsidRPr="007F700D">
        <w:rPr>
          <w:rFonts w:cs="Arial"/>
        </w:rPr>
        <w:t xml:space="preserve">and maliciously </w:t>
      </w:r>
      <w:r w:rsidR="00B75F3C" w:rsidRPr="007F700D">
        <w:rPr>
          <w:rFonts w:cs="Arial"/>
        </w:rPr>
        <w:t>detained thereafter for nine (9) days, i.e., from the time of his arrest, until 27 December 2018;</w:t>
      </w:r>
      <w:r w:rsidR="00B75F3C" w:rsidRPr="00C3587A">
        <w:rPr>
          <w:rStyle w:val="FootnoteReference"/>
          <w:rFonts w:cs="Arial"/>
        </w:rPr>
        <w:footnoteReference w:id="9"/>
      </w:r>
      <w:r w:rsidR="00B75F3C" w:rsidRPr="007F700D">
        <w:rPr>
          <w:rFonts w:cs="Arial"/>
        </w:rPr>
        <w:t xml:space="preserve"> and</w:t>
      </w:r>
    </w:p>
    <w:p w14:paraId="0C7DF33D" w14:textId="1833A25A" w:rsidR="003D63BC" w:rsidRPr="007F700D" w:rsidRDefault="007F700D" w:rsidP="007F700D">
      <w:pPr>
        <w:spacing w:before="360" w:after="120" w:line="480" w:lineRule="auto"/>
        <w:ind w:left="1560" w:hanging="851"/>
        <w:rPr>
          <w:rFonts w:cs="Arial"/>
        </w:rPr>
      </w:pPr>
      <w:r>
        <w:rPr>
          <w:rFonts w:cs="Arial"/>
        </w:rPr>
        <w:t>[5.3]</w:t>
      </w:r>
      <w:r>
        <w:rPr>
          <w:rFonts w:cs="Arial"/>
        </w:rPr>
        <w:tab/>
      </w:r>
      <w:r w:rsidR="00FF013D" w:rsidRPr="007F700D">
        <w:rPr>
          <w:rFonts w:cs="Arial"/>
        </w:rPr>
        <w:t xml:space="preserve">third, he </w:t>
      </w:r>
      <w:r w:rsidR="00B75F3C" w:rsidRPr="007F700D">
        <w:rPr>
          <w:rFonts w:cs="Arial"/>
        </w:rPr>
        <w:t xml:space="preserve">was </w:t>
      </w:r>
      <w:r w:rsidR="0000024E" w:rsidRPr="007F700D">
        <w:rPr>
          <w:rFonts w:cs="Arial"/>
        </w:rPr>
        <w:t xml:space="preserve">prosecuted </w:t>
      </w:r>
      <w:r w:rsidR="00B75F3C" w:rsidRPr="007F700D">
        <w:rPr>
          <w:rFonts w:cs="Arial"/>
        </w:rPr>
        <w:t>negligently</w:t>
      </w:r>
      <w:r w:rsidR="005162BE" w:rsidRPr="007F700D">
        <w:rPr>
          <w:rFonts w:cs="Arial"/>
        </w:rPr>
        <w:t xml:space="preserve">, </w:t>
      </w:r>
      <w:r w:rsidR="00B75F3C" w:rsidRPr="007F700D">
        <w:rPr>
          <w:rFonts w:cs="Arial"/>
        </w:rPr>
        <w:t xml:space="preserve">recklessly </w:t>
      </w:r>
      <w:r w:rsidR="005162BE" w:rsidRPr="007F700D">
        <w:rPr>
          <w:rFonts w:cs="Arial"/>
        </w:rPr>
        <w:t xml:space="preserve">and/or maliciously </w:t>
      </w:r>
      <w:r w:rsidR="00B75F3C" w:rsidRPr="007F700D">
        <w:rPr>
          <w:rFonts w:cs="Arial"/>
        </w:rPr>
        <w:t>by the NPA</w:t>
      </w:r>
      <w:r w:rsidR="00013402">
        <w:rPr>
          <w:rStyle w:val="FootnoteReference"/>
          <w:rFonts w:cs="Arial"/>
        </w:rPr>
        <w:footnoteReference w:id="10"/>
      </w:r>
      <w:r w:rsidR="00B75F3C" w:rsidRPr="007F700D">
        <w:rPr>
          <w:rFonts w:cs="Arial"/>
        </w:rPr>
        <w:t xml:space="preserve"> and its officials and</w:t>
      </w:r>
      <w:r w:rsidR="00525A4F" w:rsidRPr="007F700D">
        <w:rPr>
          <w:rFonts w:cs="Arial"/>
        </w:rPr>
        <w:t>,</w:t>
      </w:r>
      <w:r w:rsidR="00B75F3C" w:rsidRPr="007F700D">
        <w:rPr>
          <w:rFonts w:cs="Arial"/>
        </w:rPr>
        <w:t xml:space="preserve"> </w:t>
      </w:r>
      <w:r w:rsidR="00F766E3" w:rsidRPr="007F700D">
        <w:rPr>
          <w:rFonts w:cs="Arial"/>
        </w:rPr>
        <w:t xml:space="preserve">despite </w:t>
      </w:r>
      <w:r w:rsidR="001E73A7" w:rsidRPr="007F700D">
        <w:rPr>
          <w:rFonts w:cs="Arial"/>
        </w:rPr>
        <w:t>th</w:t>
      </w:r>
      <w:r w:rsidR="00525A4F" w:rsidRPr="007F700D">
        <w:rPr>
          <w:rFonts w:cs="Arial"/>
        </w:rPr>
        <w:t xml:space="preserve">ese </w:t>
      </w:r>
      <w:r w:rsidR="001E73A7" w:rsidRPr="007F700D">
        <w:rPr>
          <w:rFonts w:cs="Arial"/>
        </w:rPr>
        <w:t>prosecutorial endeavour</w:t>
      </w:r>
      <w:r w:rsidR="00FC59C9" w:rsidRPr="007F700D">
        <w:rPr>
          <w:rFonts w:cs="Arial"/>
        </w:rPr>
        <w:t>s</w:t>
      </w:r>
      <w:r w:rsidR="004778A1" w:rsidRPr="007F700D">
        <w:rPr>
          <w:rFonts w:cs="Arial"/>
        </w:rPr>
        <w:t xml:space="preserve">, </w:t>
      </w:r>
      <w:r w:rsidR="00FC59C9" w:rsidRPr="007F700D">
        <w:rPr>
          <w:rFonts w:cs="Arial"/>
        </w:rPr>
        <w:t xml:space="preserve">he </w:t>
      </w:r>
      <w:r w:rsidR="004778A1" w:rsidRPr="007F700D">
        <w:rPr>
          <w:rFonts w:cs="Arial"/>
        </w:rPr>
        <w:t>nevertheless</w:t>
      </w:r>
      <w:r w:rsidR="00212A0D" w:rsidRPr="007F700D">
        <w:rPr>
          <w:rFonts w:cs="Arial"/>
        </w:rPr>
        <w:t xml:space="preserve"> </w:t>
      </w:r>
      <w:r w:rsidR="00FC59C9" w:rsidRPr="007F700D">
        <w:rPr>
          <w:rFonts w:cs="Arial"/>
        </w:rPr>
        <w:t xml:space="preserve">was </w:t>
      </w:r>
      <w:r w:rsidR="00B75F3C" w:rsidRPr="007F700D">
        <w:rPr>
          <w:rFonts w:cs="Arial"/>
        </w:rPr>
        <w:t xml:space="preserve">discharged by </w:t>
      </w:r>
      <w:r w:rsidR="003D63BC" w:rsidRPr="007F700D">
        <w:rPr>
          <w:rFonts w:cs="Arial"/>
        </w:rPr>
        <w:t>a court of law</w:t>
      </w:r>
      <w:r w:rsidR="00B75F3C" w:rsidRPr="007F700D">
        <w:rPr>
          <w:rFonts w:cs="Arial"/>
        </w:rPr>
        <w:t xml:space="preserve"> on 4 May 2021 in terms of s 174 of Criminal Procedure Act 51 of 1977.</w:t>
      </w:r>
      <w:r w:rsidR="00B75F3C" w:rsidRPr="00C3587A">
        <w:rPr>
          <w:rStyle w:val="FootnoteReference"/>
          <w:rFonts w:cs="Arial"/>
        </w:rPr>
        <w:footnoteReference w:id="11"/>
      </w:r>
    </w:p>
    <w:p w14:paraId="1B97F6C1" w14:textId="64E3153A" w:rsidR="00FC636B" w:rsidRPr="00AE78D0" w:rsidRDefault="00AE78D0" w:rsidP="00FC636B">
      <w:pPr>
        <w:spacing w:before="360" w:after="120" w:line="480" w:lineRule="auto"/>
        <w:rPr>
          <w:rFonts w:cs="Arial"/>
          <w:b/>
          <w:bCs/>
        </w:rPr>
      </w:pPr>
      <w:r w:rsidRPr="00AE78D0">
        <w:rPr>
          <w:rFonts w:cs="Arial"/>
          <w:b/>
          <w:bCs/>
        </w:rPr>
        <w:t>SERVICE OF THE SUMMONS</w:t>
      </w:r>
    </w:p>
    <w:p w14:paraId="464A52FB" w14:textId="4C1F788D" w:rsidR="00CE302E" w:rsidRPr="007F700D" w:rsidRDefault="007F700D" w:rsidP="007F700D">
      <w:pPr>
        <w:spacing w:before="360" w:after="120" w:line="480" w:lineRule="auto"/>
        <w:ind w:left="709" w:hanging="720"/>
        <w:rPr>
          <w:rFonts w:cs="Arial"/>
        </w:rPr>
      </w:pPr>
      <w:r>
        <w:rPr>
          <w:rFonts w:cs="Arial"/>
        </w:rPr>
        <w:t>[6]</w:t>
      </w:r>
      <w:r>
        <w:rPr>
          <w:rFonts w:cs="Arial"/>
        </w:rPr>
        <w:tab/>
      </w:r>
      <w:r w:rsidR="0001291D" w:rsidRPr="007F700D">
        <w:rPr>
          <w:rFonts w:cs="Arial"/>
        </w:rPr>
        <w:t xml:space="preserve">On 21 September 2021, Mr </w:t>
      </w:r>
      <w:proofErr w:type="spellStart"/>
      <w:r w:rsidR="0001291D" w:rsidRPr="007F700D">
        <w:rPr>
          <w:rFonts w:cs="Arial"/>
        </w:rPr>
        <w:t>Mangasa’s</w:t>
      </w:r>
      <w:proofErr w:type="spellEnd"/>
      <w:r w:rsidR="00A01847" w:rsidRPr="007F700D">
        <w:rPr>
          <w:rFonts w:cs="Arial"/>
        </w:rPr>
        <w:t xml:space="preserve"> </w:t>
      </w:r>
      <w:r w:rsidR="00DD3F3F" w:rsidRPr="007F700D">
        <w:rPr>
          <w:rFonts w:cs="Arial"/>
        </w:rPr>
        <w:t>summons</w:t>
      </w:r>
      <w:r w:rsidR="00F5525E" w:rsidRPr="007F700D">
        <w:rPr>
          <w:rFonts w:cs="Arial"/>
        </w:rPr>
        <w:t xml:space="preserve"> was served on the State Attorney</w:t>
      </w:r>
      <w:r w:rsidR="001573C6" w:rsidRPr="007F700D">
        <w:rPr>
          <w:rFonts w:cs="Arial"/>
        </w:rPr>
        <w:t>, Johannesburg,</w:t>
      </w:r>
      <w:r w:rsidR="001D1E7B" w:rsidRPr="007F700D">
        <w:rPr>
          <w:rFonts w:cs="Arial"/>
        </w:rPr>
        <w:t xml:space="preserve"> </w:t>
      </w:r>
      <w:r w:rsidR="007E579F" w:rsidRPr="007F700D">
        <w:rPr>
          <w:rFonts w:cs="Arial"/>
        </w:rPr>
        <w:t>by the</w:t>
      </w:r>
      <w:r w:rsidR="00071467" w:rsidRPr="007F700D">
        <w:rPr>
          <w:rFonts w:cs="Arial"/>
        </w:rPr>
        <w:t xml:space="preserve"> Deputy Sheriff,</w:t>
      </w:r>
      <w:r w:rsidR="00830FB4" w:rsidRPr="007F700D">
        <w:rPr>
          <w:rFonts w:cs="Arial"/>
        </w:rPr>
        <w:t xml:space="preserve"> Johannesburg Central</w:t>
      </w:r>
      <w:r w:rsidR="00306A15" w:rsidRPr="007F700D">
        <w:rPr>
          <w:rFonts w:cs="Arial"/>
        </w:rPr>
        <w:t xml:space="preserve">.  The </w:t>
      </w:r>
      <w:r w:rsidR="00BE2E5B" w:rsidRPr="007F700D">
        <w:rPr>
          <w:rFonts w:cs="Arial"/>
        </w:rPr>
        <w:t xml:space="preserve">Deputy Sheriff </w:t>
      </w:r>
      <w:r w:rsidR="00B07010" w:rsidRPr="007F700D">
        <w:rPr>
          <w:rFonts w:cs="Arial"/>
        </w:rPr>
        <w:t>issued</w:t>
      </w:r>
      <w:r w:rsidR="00955344" w:rsidRPr="007F700D">
        <w:rPr>
          <w:rFonts w:cs="Arial"/>
        </w:rPr>
        <w:t xml:space="preserve"> two returns of service.  In the first return, </w:t>
      </w:r>
      <w:r w:rsidR="00BE2E5B" w:rsidRPr="007F700D">
        <w:rPr>
          <w:rFonts w:cs="Arial"/>
        </w:rPr>
        <w:t xml:space="preserve">he recorded </w:t>
      </w:r>
      <w:r w:rsidR="00294690" w:rsidRPr="007F700D">
        <w:rPr>
          <w:rFonts w:cs="Arial"/>
        </w:rPr>
        <w:t>that he served</w:t>
      </w:r>
      <w:r w:rsidR="00EF0244" w:rsidRPr="007F700D">
        <w:rPr>
          <w:rFonts w:cs="Arial"/>
        </w:rPr>
        <w:t xml:space="preserve"> the summons on</w:t>
      </w:r>
      <w:r w:rsidR="002E7EAA" w:rsidRPr="007F700D">
        <w:rPr>
          <w:rFonts w:cs="Arial"/>
        </w:rPr>
        <w:t xml:space="preserve"> a certain official at the State Attorney</w:t>
      </w:r>
      <w:r w:rsidR="00B426A4" w:rsidRPr="007F700D">
        <w:rPr>
          <w:rFonts w:cs="Arial"/>
        </w:rPr>
        <w:t>’s offices</w:t>
      </w:r>
      <w:r w:rsidR="00F041F5" w:rsidRPr="007F700D">
        <w:rPr>
          <w:rFonts w:cs="Arial"/>
        </w:rPr>
        <w:t xml:space="preserve"> as the </w:t>
      </w:r>
      <w:bookmarkStart w:id="9" w:name="_Hlk152928621"/>
      <w:r w:rsidR="00F041F5" w:rsidRPr="007F700D">
        <w:rPr>
          <w:rFonts w:cs="Arial"/>
        </w:rPr>
        <w:t>‘</w:t>
      </w:r>
      <w:r w:rsidR="00F041F5" w:rsidRPr="007F700D">
        <w:rPr>
          <w:rFonts w:cs="Arial"/>
          <w:i/>
          <w:iCs/>
        </w:rPr>
        <w:t>duly authorised agents of the Minister of Police</w:t>
      </w:r>
      <w:r w:rsidR="00F041F5" w:rsidRPr="007F700D">
        <w:rPr>
          <w:rFonts w:cs="Arial"/>
        </w:rPr>
        <w:t>’.</w:t>
      </w:r>
      <w:r w:rsidR="00AA4319">
        <w:rPr>
          <w:rStyle w:val="FootnoteReference"/>
          <w:rFonts w:cs="Arial"/>
        </w:rPr>
        <w:footnoteReference w:id="12"/>
      </w:r>
      <w:bookmarkEnd w:id="9"/>
      <w:r w:rsidR="00AA4319" w:rsidRPr="007F700D">
        <w:rPr>
          <w:rFonts w:cs="Arial"/>
        </w:rPr>
        <w:t xml:space="preserve">  The second return</w:t>
      </w:r>
      <w:r w:rsidR="004E4CBA" w:rsidRPr="007F700D">
        <w:rPr>
          <w:rFonts w:cs="Arial"/>
        </w:rPr>
        <w:t xml:space="preserve"> is similarly worded, except that</w:t>
      </w:r>
      <w:r w:rsidR="007B68DE" w:rsidRPr="007F700D">
        <w:rPr>
          <w:rFonts w:cs="Arial"/>
        </w:rPr>
        <w:t xml:space="preserve"> the above</w:t>
      </w:r>
      <w:r w:rsidR="00AD2091" w:rsidRPr="007F700D">
        <w:rPr>
          <w:rFonts w:cs="Arial"/>
        </w:rPr>
        <w:t>-</w:t>
      </w:r>
      <w:r w:rsidR="007B68DE" w:rsidRPr="007F700D">
        <w:rPr>
          <w:rFonts w:cs="Arial"/>
        </w:rPr>
        <w:t>quoted phrase</w:t>
      </w:r>
      <w:r w:rsidR="003A1428" w:rsidRPr="007F700D">
        <w:rPr>
          <w:rFonts w:cs="Arial"/>
        </w:rPr>
        <w:t xml:space="preserve">, in this instance, is </w:t>
      </w:r>
      <w:r w:rsidR="005F38F8" w:rsidRPr="007F700D">
        <w:rPr>
          <w:rFonts w:cs="Arial"/>
        </w:rPr>
        <w:t>substituted with the wording</w:t>
      </w:r>
      <w:r w:rsidR="00CE302E" w:rsidRPr="007F700D">
        <w:rPr>
          <w:rFonts w:cs="Arial"/>
        </w:rPr>
        <w:t>:</w:t>
      </w:r>
      <w:r w:rsidR="00295411" w:rsidRPr="007F700D">
        <w:rPr>
          <w:rFonts w:cs="Arial"/>
        </w:rPr>
        <w:t xml:space="preserve"> ‘</w:t>
      </w:r>
      <w:r w:rsidR="00295411" w:rsidRPr="007F700D">
        <w:rPr>
          <w:rFonts w:cs="Arial"/>
          <w:i/>
          <w:iCs/>
        </w:rPr>
        <w:t>duly authorised agents of the National Prosecuti</w:t>
      </w:r>
      <w:r w:rsidR="004719B0" w:rsidRPr="007F700D">
        <w:rPr>
          <w:rFonts w:cs="Arial"/>
          <w:i/>
          <w:iCs/>
        </w:rPr>
        <w:t>on</w:t>
      </w:r>
      <w:r w:rsidR="00295411" w:rsidRPr="007F700D">
        <w:rPr>
          <w:rFonts w:cs="Arial"/>
          <w:i/>
          <w:iCs/>
        </w:rPr>
        <w:t xml:space="preserve"> Authority</w:t>
      </w:r>
      <w:r w:rsidR="00295411" w:rsidRPr="007F700D">
        <w:rPr>
          <w:rFonts w:cs="Arial"/>
        </w:rPr>
        <w:t>’.</w:t>
      </w:r>
      <w:r w:rsidR="00295411">
        <w:rPr>
          <w:rStyle w:val="FootnoteReference"/>
          <w:rFonts w:cs="Arial"/>
        </w:rPr>
        <w:footnoteReference w:id="13"/>
      </w:r>
    </w:p>
    <w:p w14:paraId="4D8A34B9" w14:textId="3DD766BC" w:rsidR="00646DF8" w:rsidRPr="007F700D" w:rsidRDefault="007F700D" w:rsidP="007F700D">
      <w:pPr>
        <w:spacing w:before="360" w:after="120" w:line="480" w:lineRule="auto"/>
        <w:ind w:left="709" w:hanging="720"/>
        <w:rPr>
          <w:rFonts w:cs="Arial"/>
        </w:rPr>
      </w:pPr>
      <w:r w:rsidRPr="00B828A1">
        <w:rPr>
          <w:rFonts w:cs="Arial"/>
        </w:rPr>
        <w:lastRenderedPageBreak/>
        <w:t>[7]</w:t>
      </w:r>
      <w:r w:rsidRPr="00B828A1">
        <w:rPr>
          <w:rFonts w:cs="Arial"/>
        </w:rPr>
        <w:tab/>
      </w:r>
      <w:r w:rsidR="005C1712" w:rsidRPr="007F700D">
        <w:rPr>
          <w:rFonts w:cs="Arial"/>
        </w:rPr>
        <w:t xml:space="preserve">It is common cause that the summons was never served on </w:t>
      </w:r>
      <w:r w:rsidR="00B828A1" w:rsidRPr="007F700D">
        <w:rPr>
          <w:rFonts w:cs="Arial"/>
        </w:rPr>
        <w:t>Captain Zulu.</w:t>
      </w:r>
    </w:p>
    <w:p w14:paraId="3066F4DB" w14:textId="3E06878C" w:rsidR="00FC636B" w:rsidRPr="00FC636B" w:rsidRDefault="00FC636B" w:rsidP="00FC636B">
      <w:pPr>
        <w:spacing w:before="360" w:after="120" w:line="480" w:lineRule="auto"/>
        <w:rPr>
          <w:rFonts w:cs="Arial"/>
        </w:rPr>
      </w:pPr>
      <w:r w:rsidRPr="00263943">
        <w:rPr>
          <w:rFonts w:cs="Arial"/>
          <w:b/>
          <w:bCs/>
          <w:i/>
          <w:iCs/>
        </w:rPr>
        <w:t>Notice of intention to defend</w:t>
      </w:r>
      <w:r w:rsidR="00311AE3">
        <w:rPr>
          <w:rFonts w:cs="Arial"/>
        </w:rPr>
        <w:t>:</w:t>
      </w:r>
    </w:p>
    <w:p w14:paraId="37D74A82" w14:textId="6E39655A" w:rsidR="00CE302E" w:rsidRPr="007F700D" w:rsidRDefault="007F700D" w:rsidP="007F700D">
      <w:pPr>
        <w:spacing w:before="360" w:after="120" w:line="480" w:lineRule="auto"/>
        <w:ind w:left="709" w:hanging="720"/>
        <w:rPr>
          <w:rFonts w:cs="Arial"/>
        </w:rPr>
      </w:pPr>
      <w:r w:rsidRPr="002F72DD">
        <w:rPr>
          <w:rFonts w:cs="Arial"/>
        </w:rPr>
        <w:t>[8]</w:t>
      </w:r>
      <w:r w:rsidRPr="002F72DD">
        <w:rPr>
          <w:rFonts w:cs="Arial"/>
        </w:rPr>
        <w:tab/>
      </w:r>
      <w:r w:rsidR="001573C6" w:rsidRPr="007F700D">
        <w:rPr>
          <w:rFonts w:cs="Arial"/>
        </w:rPr>
        <w:t xml:space="preserve">On </w:t>
      </w:r>
      <w:r w:rsidR="00A16672" w:rsidRPr="007F700D">
        <w:rPr>
          <w:rFonts w:cs="Arial"/>
        </w:rPr>
        <w:t xml:space="preserve">1 October </w:t>
      </w:r>
      <w:r w:rsidR="001573C6" w:rsidRPr="007F700D">
        <w:rPr>
          <w:rFonts w:cs="Arial"/>
        </w:rPr>
        <w:t xml:space="preserve">2021, </w:t>
      </w:r>
      <w:bookmarkStart w:id="11" w:name="_Hlk152930788"/>
      <w:r w:rsidR="001573C6" w:rsidRPr="007F700D">
        <w:rPr>
          <w:rFonts w:cs="Arial"/>
        </w:rPr>
        <w:t>the State Attorney</w:t>
      </w:r>
      <w:r w:rsidR="0097059A" w:rsidRPr="007F700D">
        <w:rPr>
          <w:rFonts w:cs="Arial"/>
        </w:rPr>
        <w:t>’s office</w:t>
      </w:r>
      <w:r w:rsidR="00043577" w:rsidRPr="007F700D">
        <w:rPr>
          <w:rFonts w:cs="Arial"/>
        </w:rPr>
        <w:t xml:space="preserve"> (</w:t>
      </w:r>
      <w:r w:rsidR="00043577" w:rsidRPr="007F700D">
        <w:rPr>
          <w:rFonts w:cs="Arial"/>
          <w:i/>
          <w:iCs/>
        </w:rPr>
        <w:t>per</w:t>
      </w:r>
      <w:r w:rsidR="000720B5" w:rsidRPr="007F700D">
        <w:rPr>
          <w:rFonts w:cs="Arial"/>
          <w:iCs/>
        </w:rPr>
        <w:t xml:space="preserve"> Ms</w:t>
      </w:r>
      <w:r w:rsidR="006879CA" w:rsidRPr="007F700D">
        <w:rPr>
          <w:rFonts w:cs="Arial"/>
          <w:iCs/>
        </w:rPr>
        <w:t xml:space="preserve"> </w:t>
      </w:r>
      <w:proofErr w:type="spellStart"/>
      <w:r w:rsidR="006879CA" w:rsidRPr="007F700D">
        <w:rPr>
          <w:rFonts w:cs="Arial"/>
          <w:iCs/>
        </w:rPr>
        <w:t>Ramsurjoo</w:t>
      </w:r>
      <w:proofErr w:type="spellEnd"/>
      <w:r w:rsidR="0083507C" w:rsidRPr="007F700D">
        <w:rPr>
          <w:rFonts w:cs="Arial"/>
          <w:iCs/>
        </w:rPr>
        <w:t>,</w:t>
      </w:r>
      <w:r w:rsidR="00945003" w:rsidRPr="007F700D">
        <w:rPr>
          <w:rFonts w:cs="Arial"/>
          <w:iCs/>
        </w:rPr>
        <w:t xml:space="preserve"> an assistant state attorney</w:t>
      </w:r>
      <w:r w:rsidR="006879CA" w:rsidRPr="007F700D">
        <w:rPr>
          <w:rFonts w:cs="Arial"/>
          <w:iCs/>
        </w:rPr>
        <w:t>)</w:t>
      </w:r>
      <w:r w:rsidR="00230190" w:rsidRPr="00230190">
        <w:t xml:space="preserve"> </w:t>
      </w:r>
      <w:bookmarkEnd w:id="11"/>
      <w:r w:rsidR="00230190" w:rsidRPr="007F700D">
        <w:rPr>
          <w:rFonts w:cs="Arial"/>
          <w:iCs/>
        </w:rPr>
        <w:t>deliver</w:t>
      </w:r>
      <w:r w:rsidR="00A16672" w:rsidRPr="007F700D">
        <w:rPr>
          <w:rFonts w:cs="Arial"/>
          <w:iCs/>
        </w:rPr>
        <w:t>ed</w:t>
      </w:r>
      <w:r w:rsidR="00230190" w:rsidRPr="007F700D">
        <w:rPr>
          <w:rFonts w:cs="Arial"/>
          <w:iCs/>
        </w:rPr>
        <w:t xml:space="preserve"> a notice of intention to defend</w:t>
      </w:r>
      <w:r w:rsidR="00161E07" w:rsidRPr="007F700D">
        <w:rPr>
          <w:rFonts w:cs="Arial"/>
          <w:iCs/>
        </w:rPr>
        <w:t xml:space="preserve"> on behalf of </w:t>
      </w:r>
      <w:r w:rsidR="00D04E3D" w:rsidRPr="007F700D">
        <w:rPr>
          <w:rFonts w:cs="Arial"/>
          <w:iCs/>
        </w:rPr>
        <w:t>all three defendants</w:t>
      </w:r>
      <w:r w:rsidR="00B97006" w:rsidRPr="007F700D">
        <w:rPr>
          <w:rFonts w:cs="Arial"/>
          <w:iCs/>
        </w:rPr>
        <w:t>.</w:t>
      </w:r>
      <w:r w:rsidR="00B97006">
        <w:rPr>
          <w:rStyle w:val="FootnoteReference"/>
          <w:rFonts w:cs="Arial"/>
          <w:iCs/>
        </w:rPr>
        <w:footnoteReference w:id="14"/>
      </w:r>
      <w:r w:rsidR="00AB3695" w:rsidRPr="007F700D">
        <w:rPr>
          <w:rFonts w:cs="Arial"/>
          <w:iCs/>
        </w:rPr>
        <w:t xml:space="preserve">  </w:t>
      </w:r>
      <w:r w:rsidR="001D1F2A" w:rsidRPr="007F700D">
        <w:rPr>
          <w:rFonts w:cs="Arial"/>
          <w:iCs/>
        </w:rPr>
        <w:t xml:space="preserve">Ms </w:t>
      </w:r>
      <w:proofErr w:type="spellStart"/>
      <w:r w:rsidR="001D1F2A" w:rsidRPr="007F700D">
        <w:rPr>
          <w:rFonts w:cs="Arial"/>
          <w:iCs/>
        </w:rPr>
        <w:t>Ramsurjoo</w:t>
      </w:r>
      <w:proofErr w:type="spellEnd"/>
      <w:r w:rsidR="001D1F2A" w:rsidRPr="007F700D">
        <w:rPr>
          <w:rFonts w:cs="Arial"/>
          <w:iCs/>
        </w:rPr>
        <w:t xml:space="preserve"> </w:t>
      </w:r>
      <w:r w:rsidR="000C27D7" w:rsidRPr="007F700D">
        <w:rPr>
          <w:rFonts w:cs="Arial"/>
          <w:iCs/>
        </w:rPr>
        <w:t xml:space="preserve">subsequently </w:t>
      </w:r>
      <w:r w:rsidR="0012014E" w:rsidRPr="007F700D">
        <w:rPr>
          <w:rFonts w:cs="Arial"/>
          <w:iCs/>
        </w:rPr>
        <w:t xml:space="preserve">also </w:t>
      </w:r>
      <w:r w:rsidR="00237634" w:rsidRPr="007F700D">
        <w:rPr>
          <w:rFonts w:cs="Arial"/>
          <w:iCs/>
        </w:rPr>
        <w:t>performed and undert</w:t>
      </w:r>
      <w:r w:rsidR="0012014E" w:rsidRPr="007F700D">
        <w:rPr>
          <w:rFonts w:cs="Arial"/>
          <w:iCs/>
        </w:rPr>
        <w:t>ook</w:t>
      </w:r>
      <w:r w:rsidR="00237634" w:rsidRPr="007F700D">
        <w:rPr>
          <w:rFonts w:cs="Arial"/>
          <w:iCs/>
        </w:rPr>
        <w:t xml:space="preserve"> </w:t>
      </w:r>
      <w:r w:rsidR="00945003" w:rsidRPr="007F700D">
        <w:rPr>
          <w:rFonts w:cs="Arial"/>
          <w:iCs/>
        </w:rPr>
        <w:t xml:space="preserve">all </w:t>
      </w:r>
      <w:r w:rsidR="0012014E" w:rsidRPr="007F700D">
        <w:rPr>
          <w:rFonts w:cs="Arial"/>
          <w:iCs/>
        </w:rPr>
        <w:t xml:space="preserve">the </w:t>
      </w:r>
      <w:r w:rsidR="00237634" w:rsidRPr="007F700D">
        <w:rPr>
          <w:rFonts w:cs="Arial"/>
          <w:iCs/>
        </w:rPr>
        <w:t xml:space="preserve">further </w:t>
      </w:r>
      <w:r w:rsidR="007F123F" w:rsidRPr="007F700D">
        <w:rPr>
          <w:rFonts w:cs="Arial"/>
          <w:iCs/>
        </w:rPr>
        <w:t xml:space="preserve">legal </w:t>
      </w:r>
      <w:r w:rsidR="00465EDE" w:rsidRPr="007F700D">
        <w:rPr>
          <w:rFonts w:cs="Arial"/>
          <w:iCs/>
        </w:rPr>
        <w:t xml:space="preserve">steps and </w:t>
      </w:r>
      <w:r w:rsidR="007F123F" w:rsidRPr="007F700D">
        <w:rPr>
          <w:rFonts w:cs="Arial"/>
          <w:iCs/>
        </w:rPr>
        <w:t>proce</w:t>
      </w:r>
      <w:r w:rsidR="00AC1E16" w:rsidRPr="007F700D">
        <w:rPr>
          <w:rFonts w:cs="Arial"/>
          <w:iCs/>
        </w:rPr>
        <w:t>dures</w:t>
      </w:r>
      <w:r w:rsidR="007F123F" w:rsidRPr="007F700D">
        <w:rPr>
          <w:rFonts w:cs="Arial"/>
          <w:iCs/>
        </w:rPr>
        <w:t xml:space="preserve"> </w:t>
      </w:r>
      <w:r w:rsidR="008E2E23" w:rsidRPr="007F700D">
        <w:rPr>
          <w:rFonts w:cs="Arial"/>
          <w:iCs/>
        </w:rPr>
        <w:t xml:space="preserve">that ensued </w:t>
      </w:r>
      <w:r w:rsidR="007F123F" w:rsidRPr="007F700D">
        <w:rPr>
          <w:rFonts w:cs="Arial"/>
          <w:iCs/>
        </w:rPr>
        <w:t xml:space="preserve">on behalf of </w:t>
      </w:r>
      <w:r w:rsidR="008C78E0" w:rsidRPr="007F700D">
        <w:rPr>
          <w:rFonts w:cs="Arial"/>
          <w:iCs/>
        </w:rPr>
        <w:t xml:space="preserve">either </w:t>
      </w:r>
      <w:r w:rsidR="007F123F" w:rsidRPr="007F700D">
        <w:rPr>
          <w:rFonts w:cs="Arial"/>
          <w:iCs/>
        </w:rPr>
        <w:t>the Minister</w:t>
      </w:r>
      <w:r w:rsidR="007F6366" w:rsidRPr="007F700D">
        <w:rPr>
          <w:rFonts w:cs="Arial"/>
          <w:iCs/>
        </w:rPr>
        <w:t xml:space="preserve"> </w:t>
      </w:r>
      <w:r w:rsidR="007B2FD3" w:rsidRPr="007F700D">
        <w:rPr>
          <w:rFonts w:cs="Arial"/>
          <w:iCs/>
        </w:rPr>
        <w:t>or</w:t>
      </w:r>
      <w:r w:rsidR="00AC1E16" w:rsidRPr="007F700D">
        <w:rPr>
          <w:rFonts w:cs="Arial"/>
          <w:iCs/>
        </w:rPr>
        <w:t xml:space="preserve"> the NPA</w:t>
      </w:r>
      <w:r w:rsidR="004C6439" w:rsidRPr="007F700D">
        <w:rPr>
          <w:rFonts w:cs="Arial"/>
          <w:iCs/>
        </w:rPr>
        <w:t xml:space="preserve">.  Accordingly, </w:t>
      </w:r>
      <w:r w:rsidR="00CE01F5" w:rsidRPr="007F700D">
        <w:rPr>
          <w:rFonts w:cs="Arial"/>
          <w:iCs/>
        </w:rPr>
        <w:t xml:space="preserve">and unless otherwise indicated, </w:t>
      </w:r>
      <w:r w:rsidR="004C6439" w:rsidRPr="007F700D">
        <w:rPr>
          <w:rFonts w:cs="Arial"/>
          <w:iCs/>
        </w:rPr>
        <w:t xml:space="preserve">all references to </w:t>
      </w:r>
      <w:r w:rsidR="00C41396" w:rsidRPr="007F700D">
        <w:rPr>
          <w:rFonts w:cs="Arial"/>
          <w:iCs/>
        </w:rPr>
        <w:t xml:space="preserve">Ms </w:t>
      </w:r>
      <w:proofErr w:type="spellStart"/>
      <w:r w:rsidR="00C41396" w:rsidRPr="007F700D">
        <w:rPr>
          <w:rFonts w:cs="Arial"/>
          <w:iCs/>
        </w:rPr>
        <w:t>Ramsurjoo</w:t>
      </w:r>
      <w:proofErr w:type="spellEnd"/>
      <w:r w:rsidR="00C41396" w:rsidRPr="007F700D">
        <w:rPr>
          <w:rFonts w:cs="Arial"/>
          <w:iCs/>
        </w:rPr>
        <w:t xml:space="preserve"> </w:t>
      </w:r>
      <w:r w:rsidR="002E1989" w:rsidRPr="007F700D">
        <w:rPr>
          <w:rFonts w:cs="Arial"/>
          <w:iCs/>
        </w:rPr>
        <w:t xml:space="preserve">herein </w:t>
      </w:r>
      <w:r w:rsidR="008F644F" w:rsidRPr="007F700D">
        <w:rPr>
          <w:rFonts w:cs="Arial"/>
          <w:iCs/>
        </w:rPr>
        <w:t>must be understood</w:t>
      </w:r>
      <w:r w:rsidR="00826AF7" w:rsidRPr="007F700D">
        <w:rPr>
          <w:rFonts w:cs="Arial"/>
          <w:iCs/>
        </w:rPr>
        <w:t xml:space="preserve"> to </w:t>
      </w:r>
      <w:r w:rsidR="00F951F2" w:rsidRPr="007F700D">
        <w:rPr>
          <w:rFonts w:cs="Arial"/>
          <w:iCs/>
        </w:rPr>
        <w:t xml:space="preserve">be a reference to </w:t>
      </w:r>
      <w:r w:rsidR="002030C8" w:rsidRPr="007F700D">
        <w:rPr>
          <w:rFonts w:cs="Arial"/>
          <w:iCs/>
        </w:rPr>
        <w:t>the ‘</w:t>
      </w:r>
      <w:r w:rsidR="00C41396" w:rsidRPr="007F700D">
        <w:rPr>
          <w:rFonts w:cs="Arial"/>
          <w:i/>
        </w:rPr>
        <w:t>The S</w:t>
      </w:r>
      <w:r w:rsidR="00E347A1" w:rsidRPr="007F700D">
        <w:rPr>
          <w:rFonts w:cs="Arial"/>
          <w:i/>
        </w:rPr>
        <w:t>tate Attorney</w:t>
      </w:r>
      <w:r w:rsidR="002030C8" w:rsidRPr="007F700D">
        <w:rPr>
          <w:rFonts w:cs="Arial"/>
          <w:iCs/>
        </w:rPr>
        <w:t>’</w:t>
      </w:r>
      <w:r w:rsidR="005D289E" w:rsidRPr="007F700D">
        <w:rPr>
          <w:rFonts w:cs="Arial"/>
          <w:iCs/>
        </w:rPr>
        <w:t xml:space="preserve"> </w:t>
      </w:r>
      <w:r w:rsidR="00F200D3" w:rsidRPr="007F700D">
        <w:rPr>
          <w:rFonts w:cs="Arial"/>
          <w:iCs/>
        </w:rPr>
        <w:t>and</w:t>
      </w:r>
      <w:r w:rsidR="005D289E" w:rsidRPr="007F700D">
        <w:rPr>
          <w:rFonts w:cs="Arial"/>
          <w:iCs/>
        </w:rPr>
        <w:t xml:space="preserve"> </w:t>
      </w:r>
      <w:r w:rsidR="005D289E" w:rsidRPr="007F700D">
        <w:rPr>
          <w:rFonts w:cs="Arial"/>
          <w:i/>
        </w:rPr>
        <w:t>vice versa</w:t>
      </w:r>
      <w:r w:rsidR="00054D6D" w:rsidRPr="007F700D">
        <w:rPr>
          <w:rFonts w:cs="Arial"/>
          <w:iCs/>
        </w:rPr>
        <w:t>.</w:t>
      </w:r>
    </w:p>
    <w:p w14:paraId="4EC324AC" w14:textId="47487740" w:rsidR="002F72DD" w:rsidRPr="007F700D" w:rsidRDefault="007F700D" w:rsidP="007F700D">
      <w:pPr>
        <w:spacing w:before="360" w:after="120" w:line="480" w:lineRule="auto"/>
        <w:ind w:left="709" w:hanging="720"/>
        <w:rPr>
          <w:rFonts w:cs="Arial"/>
        </w:rPr>
      </w:pPr>
      <w:r w:rsidRPr="00727C8F">
        <w:rPr>
          <w:rFonts w:cs="Arial"/>
        </w:rPr>
        <w:t>[9]</w:t>
      </w:r>
      <w:r w:rsidRPr="00727C8F">
        <w:rPr>
          <w:rFonts w:cs="Arial"/>
        </w:rPr>
        <w:tab/>
      </w:r>
      <w:r w:rsidR="00B429B2" w:rsidRPr="007F700D">
        <w:rPr>
          <w:rFonts w:cs="Arial"/>
          <w:iCs/>
        </w:rPr>
        <w:t xml:space="preserve">On 26 April 2023, </w:t>
      </w:r>
      <w:r w:rsidR="002F72DD" w:rsidRPr="007F700D">
        <w:rPr>
          <w:rFonts w:cs="Arial"/>
          <w:iCs/>
        </w:rPr>
        <w:t xml:space="preserve">Ms </w:t>
      </w:r>
      <w:proofErr w:type="spellStart"/>
      <w:r w:rsidR="002F72DD" w:rsidRPr="007F700D">
        <w:rPr>
          <w:rFonts w:cs="Arial"/>
          <w:iCs/>
        </w:rPr>
        <w:t>Ram</w:t>
      </w:r>
      <w:r w:rsidR="007160A3" w:rsidRPr="007F700D">
        <w:rPr>
          <w:rFonts w:cs="Arial"/>
          <w:iCs/>
        </w:rPr>
        <w:t>surjoo</w:t>
      </w:r>
      <w:proofErr w:type="spellEnd"/>
      <w:r w:rsidR="007160A3" w:rsidRPr="007F700D">
        <w:rPr>
          <w:rFonts w:cs="Arial"/>
          <w:iCs/>
        </w:rPr>
        <w:t xml:space="preserve"> delivered a ‘</w:t>
      </w:r>
      <w:r w:rsidR="007160A3" w:rsidRPr="007F700D">
        <w:rPr>
          <w:rFonts w:cs="Arial"/>
          <w:i/>
        </w:rPr>
        <w:t>further</w:t>
      </w:r>
      <w:r w:rsidR="007160A3" w:rsidRPr="007F700D">
        <w:rPr>
          <w:rFonts w:cs="Arial"/>
          <w:iCs/>
        </w:rPr>
        <w:t xml:space="preserve">’ </w:t>
      </w:r>
      <w:r w:rsidR="005E2808" w:rsidRPr="007F700D">
        <w:rPr>
          <w:rFonts w:cs="Arial"/>
          <w:iCs/>
        </w:rPr>
        <w:t xml:space="preserve">notice of intention to defend on behalf of the Minister </w:t>
      </w:r>
      <w:r w:rsidR="0009496E" w:rsidRPr="007F700D">
        <w:rPr>
          <w:rFonts w:cs="Arial"/>
          <w:i/>
        </w:rPr>
        <w:t>after</w:t>
      </w:r>
      <w:r w:rsidR="0009496E" w:rsidRPr="007F700D">
        <w:rPr>
          <w:rFonts w:cs="Arial"/>
          <w:iCs/>
        </w:rPr>
        <w:t xml:space="preserve"> </w:t>
      </w:r>
      <w:r w:rsidR="00E12677" w:rsidRPr="007F700D">
        <w:rPr>
          <w:rFonts w:cs="Arial"/>
          <w:iCs/>
        </w:rPr>
        <w:t xml:space="preserve">the summons </w:t>
      </w:r>
      <w:r w:rsidR="007D6DCB" w:rsidRPr="007F700D">
        <w:rPr>
          <w:rFonts w:cs="Arial"/>
          <w:iCs/>
        </w:rPr>
        <w:t xml:space="preserve">eventually </w:t>
      </w:r>
      <w:r w:rsidR="00E12677" w:rsidRPr="007F700D">
        <w:rPr>
          <w:rFonts w:cs="Arial"/>
          <w:iCs/>
        </w:rPr>
        <w:t xml:space="preserve">was served on </w:t>
      </w:r>
      <w:r w:rsidR="00B15D8D" w:rsidRPr="007F700D">
        <w:rPr>
          <w:rFonts w:cs="Arial"/>
          <w:iCs/>
        </w:rPr>
        <w:t xml:space="preserve">him </w:t>
      </w:r>
      <w:r w:rsidR="0076004C" w:rsidRPr="007F700D">
        <w:rPr>
          <w:rFonts w:cs="Arial"/>
          <w:iCs/>
        </w:rPr>
        <w:t>on 23 February 2023</w:t>
      </w:r>
      <w:r w:rsidR="00241124" w:rsidRPr="007F700D">
        <w:rPr>
          <w:rFonts w:cs="Arial"/>
          <w:iCs/>
        </w:rPr>
        <w:t>.</w:t>
      </w:r>
      <w:r w:rsidR="00241124">
        <w:rPr>
          <w:rStyle w:val="FootnoteReference"/>
          <w:rFonts w:cs="Arial"/>
          <w:iCs/>
        </w:rPr>
        <w:footnoteReference w:id="15"/>
      </w:r>
    </w:p>
    <w:p w14:paraId="2DB82933" w14:textId="04301325" w:rsidR="001008E5" w:rsidRPr="001008E5" w:rsidRDefault="001008E5" w:rsidP="001008E5">
      <w:pPr>
        <w:spacing w:before="360" w:after="120" w:line="480" w:lineRule="auto"/>
        <w:rPr>
          <w:rFonts w:cs="Arial"/>
        </w:rPr>
      </w:pPr>
      <w:r w:rsidRPr="00263943">
        <w:rPr>
          <w:rFonts w:cs="Arial"/>
          <w:b/>
          <w:bCs/>
          <w:i/>
          <w:iCs/>
        </w:rPr>
        <w:t>The Rule 30 (1) application</w:t>
      </w:r>
      <w:r>
        <w:rPr>
          <w:rFonts w:cs="Arial"/>
        </w:rPr>
        <w:t>:</w:t>
      </w:r>
    </w:p>
    <w:p w14:paraId="203B300D" w14:textId="6DC1A337" w:rsidR="00727C8F" w:rsidRPr="007F700D" w:rsidRDefault="007F700D" w:rsidP="007F700D">
      <w:pPr>
        <w:spacing w:before="360" w:after="120" w:line="480" w:lineRule="auto"/>
        <w:ind w:left="709" w:hanging="720"/>
        <w:rPr>
          <w:rFonts w:cs="Arial"/>
        </w:rPr>
      </w:pPr>
      <w:r>
        <w:rPr>
          <w:rFonts w:cs="Arial"/>
        </w:rPr>
        <w:t>[10]</w:t>
      </w:r>
      <w:r>
        <w:rPr>
          <w:rFonts w:cs="Arial"/>
        </w:rPr>
        <w:tab/>
      </w:r>
      <w:r w:rsidR="00054D6D" w:rsidRPr="007F700D">
        <w:rPr>
          <w:rFonts w:cs="Arial"/>
          <w:iCs/>
        </w:rPr>
        <w:t>O</w:t>
      </w:r>
      <w:r w:rsidR="00DB4C91" w:rsidRPr="007F700D">
        <w:rPr>
          <w:rFonts w:cs="Arial"/>
          <w:iCs/>
        </w:rPr>
        <w:t>n 18 January 2022</w:t>
      </w:r>
      <w:r w:rsidR="00B76D98" w:rsidRPr="007F700D">
        <w:rPr>
          <w:rFonts w:cs="Arial"/>
          <w:iCs/>
        </w:rPr>
        <w:t>,</w:t>
      </w:r>
      <w:r w:rsidR="00DB4C91" w:rsidRPr="007F700D">
        <w:rPr>
          <w:rFonts w:cs="Arial"/>
          <w:iCs/>
        </w:rPr>
        <w:t xml:space="preserve"> </w:t>
      </w:r>
      <w:r w:rsidR="006D2735" w:rsidRPr="007F700D">
        <w:rPr>
          <w:rFonts w:cs="Arial"/>
        </w:rPr>
        <w:t>Ms</w:t>
      </w:r>
      <w:r w:rsidR="00C94BC9" w:rsidRPr="007F700D">
        <w:rPr>
          <w:rFonts w:cs="Arial"/>
        </w:rPr>
        <w:t xml:space="preserve"> </w:t>
      </w:r>
      <w:proofErr w:type="spellStart"/>
      <w:r w:rsidR="00830DFD" w:rsidRPr="007F700D">
        <w:rPr>
          <w:rFonts w:cs="Arial"/>
        </w:rPr>
        <w:t>Ramsurjoo</w:t>
      </w:r>
      <w:proofErr w:type="spellEnd"/>
      <w:r w:rsidR="00830DFD" w:rsidRPr="007F700D">
        <w:rPr>
          <w:rFonts w:cs="Arial"/>
        </w:rPr>
        <w:t xml:space="preserve"> </w:t>
      </w:r>
      <w:r w:rsidR="00D027C5" w:rsidRPr="007F700D">
        <w:rPr>
          <w:rFonts w:cs="Arial"/>
        </w:rPr>
        <w:t>delivered an application</w:t>
      </w:r>
      <w:r w:rsidR="00FB3004" w:rsidRPr="007F700D">
        <w:rPr>
          <w:rFonts w:cs="Arial"/>
        </w:rPr>
        <w:t xml:space="preserve"> </w:t>
      </w:r>
      <w:r w:rsidR="00D027C5" w:rsidRPr="007F700D">
        <w:rPr>
          <w:rFonts w:cs="Arial"/>
        </w:rPr>
        <w:t xml:space="preserve">in terms of </w:t>
      </w:r>
      <w:r w:rsidR="00847CA7" w:rsidRPr="007F700D">
        <w:rPr>
          <w:rFonts w:cs="Arial"/>
        </w:rPr>
        <w:t>R</w:t>
      </w:r>
      <w:r w:rsidR="00D027C5" w:rsidRPr="007F700D">
        <w:rPr>
          <w:rFonts w:cs="Arial"/>
        </w:rPr>
        <w:t>ule</w:t>
      </w:r>
      <w:r w:rsidR="006D2735" w:rsidRPr="007F700D">
        <w:rPr>
          <w:rFonts w:cs="Arial"/>
        </w:rPr>
        <w:t> </w:t>
      </w:r>
      <w:r w:rsidR="00D027C5" w:rsidRPr="007F700D">
        <w:rPr>
          <w:rFonts w:cs="Arial"/>
        </w:rPr>
        <w:t>30</w:t>
      </w:r>
      <w:r w:rsidR="002443D9" w:rsidRPr="007F700D">
        <w:rPr>
          <w:rFonts w:cs="Arial"/>
        </w:rPr>
        <w:t>(1) of the Uniform Rules of Court (</w:t>
      </w:r>
      <w:r w:rsidR="002443D9" w:rsidRPr="007F700D">
        <w:rPr>
          <w:rFonts w:cs="Arial"/>
          <w:b/>
          <w:bCs/>
        </w:rPr>
        <w:t>URC</w:t>
      </w:r>
      <w:r w:rsidR="002443D9" w:rsidRPr="007F700D">
        <w:rPr>
          <w:rFonts w:cs="Arial"/>
        </w:rPr>
        <w:t>)</w:t>
      </w:r>
      <w:r w:rsidR="004872B7" w:rsidRPr="007F700D">
        <w:rPr>
          <w:rFonts w:cs="Arial"/>
        </w:rPr>
        <w:t xml:space="preserve"> with the aim of</w:t>
      </w:r>
      <w:r w:rsidR="00BA4F58" w:rsidRPr="007F700D">
        <w:rPr>
          <w:rFonts w:cs="Arial"/>
        </w:rPr>
        <w:t xml:space="preserve"> set</w:t>
      </w:r>
      <w:r w:rsidR="004872B7" w:rsidRPr="007F700D">
        <w:rPr>
          <w:rFonts w:cs="Arial"/>
        </w:rPr>
        <w:t>ting</w:t>
      </w:r>
      <w:r w:rsidR="00BA4F58" w:rsidRPr="007F700D">
        <w:rPr>
          <w:rFonts w:cs="Arial"/>
        </w:rPr>
        <w:t xml:space="preserve"> aside</w:t>
      </w:r>
      <w:r w:rsidR="00FB3004" w:rsidRPr="007F700D">
        <w:rPr>
          <w:rFonts w:cs="Arial"/>
        </w:rPr>
        <w:t xml:space="preserve"> </w:t>
      </w:r>
      <w:r w:rsidR="00BA4F58" w:rsidRPr="007F700D">
        <w:rPr>
          <w:rFonts w:cs="Arial"/>
        </w:rPr>
        <w:lastRenderedPageBreak/>
        <w:t xml:space="preserve">the service </w:t>
      </w:r>
      <w:r w:rsidR="00B76D98" w:rsidRPr="007F700D">
        <w:rPr>
          <w:rFonts w:cs="Arial"/>
        </w:rPr>
        <w:t xml:space="preserve">of </w:t>
      </w:r>
      <w:r w:rsidR="00F75BA0" w:rsidRPr="007F700D">
        <w:rPr>
          <w:rFonts w:cs="Arial"/>
        </w:rPr>
        <w:t>summons</w:t>
      </w:r>
      <w:r w:rsidR="005C51A7" w:rsidRPr="007F700D">
        <w:rPr>
          <w:rFonts w:cs="Arial"/>
        </w:rPr>
        <w:t xml:space="preserve"> </w:t>
      </w:r>
      <w:r w:rsidR="00222640" w:rsidRPr="007F700D">
        <w:rPr>
          <w:rFonts w:cs="Arial"/>
        </w:rPr>
        <w:t xml:space="preserve">on the Minister </w:t>
      </w:r>
      <w:r w:rsidR="00EF2A90" w:rsidRPr="007F700D">
        <w:rPr>
          <w:rFonts w:cs="Arial"/>
        </w:rPr>
        <w:t>as an irregular step.</w:t>
      </w:r>
      <w:r w:rsidR="0009592D">
        <w:rPr>
          <w:rStyle w:val="FootnoteReference"/>
          <w:rFonts w:cs="Arial"/>
        </w:rPr>
        <w:footnoteReference w:id="16"/>
      </w:r>
      <w:r w:rsidR="00EF2A90" w:rsidRPr="007F700D">
        <w:rPr>
          <w:rFonts w:cs="Arial"/>
        </w:rPr>
        <w:t xml:space="preserve">  </w:t>
      </w:r>
      <w:r w:rsidR="0004698F" w:rsidRPr="007F700D">
        <w:rPr>
          <w:rFonts w:cs="Arial"/>
        </w:rPr>
        <w:t xml:space="preserve">The nub of the complaint </w:t>
      </w:r>
      <w:r w:rsidR="00222640" w:rsidRPr="007F700D">
        <w:rPr>
          <w:rFonts w:cs="Arial"/>
        </w:rPr>
        <w:t xml:space="preserve">formulated </w:t>
      </w:r>
      <w:r w:rsidR="00EC4835" w:rsidRPr="007F700D">
        <w:rPr>
          <w:rFonts w:cs="Arial"/>
        </w:rPr>
        <w:t xml:space="preserve">therein </w:t>
      </w:r>
      <w:r w:rsidR="00A03CFB" w:rsidRPr="007F700D">
        <w:rPr>
          <w:rFonts w:cs="Arial"/>
        </w:rPr>
        <w:t xml:space="preserve">is </w:t>
      </w:r>
      <w:r w:rsidR="00812686" w:rsidRPr="007F700D">
        <w:rPr>
          <w:rFonts w:cs="Arial"/>
        </w:rPr>
        <w:t>that</w:t>
      </w:r>
      <w:r w:rsidR="006C318C" w:rsidRPr="007F700D">
        <w:rPr>
          <w:rFonts w:cs="Arial"/>
        </w:rPr>
        <w:t>:</w:t>
      </w:r>
      <w:r w:rsidR="00812686" w:rsidRPr="007F700D">
        <w:rPr>
          <w:rFonts w:cs="Arial"/>
        </w:rPr>
        <w:t xml:space="preserve"> </w:t>
      </w:r>
      <w:r w:rsidR="006C318C" w:rsidRPr="007F700D">
        <w:rPr>
          <w:rFonts w:cs="Arial"/>
        </w:rPr>
        <w:t>(</w:t>
      </w:r>
      <w:proofErr w:type="spellStart"/>
      <w:r w:rsidR="006C318C" w:rsidRPr="007F700D">
        <w:rPr>
          <w:rFonts w:cs="Arial"/>
        </w:rPr>
        <w:t>i</w:t>
      </w:r>
      <w:proofErr w:type="spellEnd"/>
      <w:r w:rsidR="006C318C" w:rsidRPr="007F700D">
        <w:rPr>
          <w:rFonts w:cs="Arial"/>
        </w:rPr>
        <w:t xml:space="preserve">) </w:t>
      </w:r>
      <w:r w:rsidR="009D7DE1" w:rsidRPr="007F700D">
        <w:rPr>
          <w:rFonts w:cs="Arial"/>
        </w:rPr>
        <w:t>the summons</w:t>
      </w:r>
      <w:r w:rsidR="00A03CFB" w:rsidRPr="007F700D">
        <w:rPr>
          <w:rFonts w:cs="Arial"/>
        </w:rPr>
        <w:t xml:space="preserve"> </w:t>
      </w:r>
      <w:r w:rsidR="006F1477" w:rsidRPr="007F700D">
        <w:rPr>
          <w:rFonts w:cs="Arial"/>
        </w:rPr>
        <w:t xml:space="preserve">had not been </w:t>
      </w:r>
      <w:r w:rsidR="00F4787F" w:rsidRPr="007F700D">
        <w:rPr>
          <w:rFonts w:cs="Arial"/>
        </w:rPr>
        <w:t>served</w:t>
      </w:r>
      <w:r w:rsidR="006C318C" w:rsidRPr="007F700D">
        <w:rPr>
          <w:rFonts w:cs="Arial"/>
        </w:rPr>
        <w:t>, as it should have been,</w:t>
      </w:r>
      <w:r w:rsidR="00F4787F" w:rsidRPr="007F700D">
        <w:rPr>
          <w:rFonts w:cs="Arial"/>
        </w:rPr>
        <w:t xml:space="preserve"> </w:t>
      </w:r>
      <w:r w:rsidR="009D7DE1" w:rsidRPr="007F700D">
        <w:rPr>
          <w:rFonts w:cs="Arial"/>
        </w:rPr>
        <w:t xml:space="preserve">on </w:t>
      </w:r>
      <w:r w:rsidR="004C3D7A" w:rsidRPr="007F700D">
        <w:rPr>
          <w:rFonts w:cs="Arial"/>
        </w:rPr>
        <w:t>the National Commissioner</w:t>
      </w:r>
      <w:r w:rsidR="009A0BC5" w:rsidRPr="007F700D">
        <w:rPr>
          <w:rFonts w:cs="Arial"/>
        </w:rPr>
        <w:t xml:space="preserve"> and</w:t>
      </w:r>
      <w:r w:rsidR="00830006" w:rsidRPr="007F700D">
        <w:rPr>
          <w:rFonts w:cs="Arial"/>
        </w:rPr>
        <w:t xml:space="preserve"> </w:t>
      </w:r>
      <w:r w:rsidR="006F1477" w:rsidRPr="007F700D">
        <w:rPr>
          <w:rFonts w:cs="Arial"/>
        </w:rPr>
        <w:t xml:space="preserve">the </w:t>
      </w:r>
      <w:r w:rsidR="009171B5" w:rsidRPr="007F700D">
        <w:rPr>
          <w:rFonts w:cs="Arial"/>
        </w:rPr>
        <w:t xml:space="preserve">relevant </w:t>
      </w:r>
      <w:r w:rsidR="00E03CDB" w:rsidRPr="007F700D">
        <w:rPr>
          <w:rFonts w:cs="Arial"/>
        </w:rPr>
        <w:t xml:space="preserve">Provincial Commissioner </w:t>
      </w:r>
      <w:r w:rsidR="005424EB" w:rsidRPr="007F700D">
        <w:rPr>
          <w:rFonts w:cs="Arial"/>
        </w:rPr>
        <w:t>of the South African Police Service</w:t>
      </w:r>
      <w:r w:rsidR="00423833" w:rsidRPr="007F700D">
        <w:rPr>
          <w:rFonts w:cs="Arial"/>
        </w:rPr>
        <w:t xml:space="preserve"> (</w:t>
      </w:r>
      <w:r w:rsidR="00423833" w:rsidRPr="007F700D">
        <w:rPr>
          <w:rFonts w:cs="Arial"/>
          <w:b/>
          <w:bCs/>
        </w:rPr>
        <w:t>SAPS</w:t>
      </w:r>
      <w:r w:rsidR="00423833" w:rsidRPr="007F700D">
        <w:rPr>
          <w:rFonts w:cs="Arial"/>
        </w:rPr>
        <w:t>)</w:t>
      </w:r>
      <w:r w:rsidR="00DD0DD9" w:rsidRPr="007F700D">
        <w:rPr>
          <w:rFonts w:cs="Arial"/>
        </w:rPr>
        <w:t>; (ii) service on the latter two functionaries is</w:t>
      </w:r>
      <w:r w:rsidR="004300F8" w:rsidRPr="007F700D">
        <w:rPr>
          <w:rFonts w:cs="Arial"/>
        </w:rPr>
        <w:t xml:space="preserve"> a </w:t>
      </w:r>
      <w:r w:rsidR="0014753D" w:rsidRPr="007F700D">
        <w:rPr>
          <w:rFonts w:cs="Arial"/>
        </w:rPr>
        <w:t>peremptory requirement of s 5(1)(b)(ii)(aa) and (bb) of the ILP</w:t>
      </w:r>
      <w:r w:rsidR="00902118" w:rsidRPr="007F700D">
        <w:rPr>
          <w:rFonts w:cs="Arial"/>
        </w:rPr>
        <w:t>A</w:t>
      </w:r>
      <w:r w:rsidR="004300F8" w:rsidRPr="007F700D">
        <w:rPr>
          <w:rFonts w:cs="Arial"/>
        </w:rPr>
        <w:t>; and</w:t>
      </w:r>
      <w:r w:rsidR="00386CD1" w:rsidRPr="007F700D">
        <w:rPr>
          <w:rFonts w:cs="Arial"/>
        </w:rPr>
        <w:t xml:space="preserve"> (iii) </w:t>
      </w:r>
      <w:r w:rsidR="001B405A" w:rsidRPr="007F700D">
        <w:rPr>
          <w:rFonts w:cs="Arial"/>
        </w:rPr>
        <w:t xml:space="preserve">the </w:t>
      </w:r>
      <w:r w:rsidR="00646A93" w:rsidRPr="007F700D">
        <w:rPr>
          <w:rFonts w:cs="Arial"/>
        </w:rPr>
        <w:t>m</w:t>
      </w:r>
      <w:r w:rsidR="00132357" w:rsidRPr="007F700D">
        <w:rPr>
          <w:rFonts w:cs="Arial"/>
        </w:rPr>
        <w:t xml:space="preserve">ere service </w:t>
      </w:r>
      <w:r w:rsidR="001B405A" w:rsidRPr="007F700D">
        <w:rPr>
          <w:rFonts w:cs="Arial"/>
        </w:rPr>
        <w:t xml:space="preserve">of the summons </w:t>
      </w:r>
      <w:r w:rsidR="00812686" w:rsidRPr="007F700D">
        <w:rPr>
          <w:rFonts w:cs="Arial"/>
        </w:rPr>
        <w:t xml:space="preserve">on the State Attorney’s </w:t>
      </w:r>
      <w:r w:rsidR="002F5E9A" w:rsidRPr="007F700D">
        <w:rPr>
          <w:rFonts w:cs="Arial"/>
        </w:rPr>
        <w:t>office</w:t>
      </w:r>
      <w:r w:rsidR="002165A9" w:rsidRPr="007F700D">
        <w:rPr>
          <w:rFonts w:cs="Arial"/>
        </w:rPr>
        <w:t>,</w:t>
      </w:r>
      <w:r w:rsidR="001B405A" w:rsidRPr="007F700D">
        <w:rPr>
          <w:rFonts w:cs="Arial"/>
        </w:rPr>
        <w:t xml:space="preserve"> </w:t>
      </w:r>
      <w:r w:rsidR="00BA4B2C" w:rsidRPr="007F700D">
        <w:rPr>
          <w:rFonts w:cs="Arial"/>
        </w:rPr>
        <w:t xml:space="preserve">as happened </w:t>
      </w:r>
      <w:r w:rsidR="002F5E9A" w:rsidRPr="007F700D">
        <w:rPr>
          <w:rFonts w:cs="Arial"/>
        </w:rPr>
        <w:t xml:space="preserve">on 21 September 2021, </w:t>
      </w:r>
      <w:r w:rsidR="00BA4B2C" w:rsidRPr="007F700D">
        <w:rPr>
          <w:rFonts w:cs="Arial"/>
        </w:rPr>
        <w:t xml:space="preserve">without prior service </w:t>
      </w:r>
      <w:r w:rsidR="00955391" w:rsidRPr="007F700D">
        <w:rPr>
          <w:rFonts w:cs="Arial"/>
        </w:rPr>
        <w:t xml:space="preserve">having been effected </w:t>
      </w:r>
      <w:r w:rsidR="00551B8D" w:rsidRPr="007F700D">
        <w:rPr>
          <w:rFonts w:cs="Arial"/>
        </w:rPr>
        <w:t xml:space="preserve">on the </w:t>
      </w:r>
      <w:r w:rsidR="00423833" w:rsidRPr="007F700D">
        <w:rPr>
          <w:rFonts w:cs="Arial"/>
        </w:rPr>
        <w:t xml:space="preserve">two </w:t>
      </w:r>
      <w:r w:rsidR="00551B8D" w:rsidRPr="007F700D">
        <w:rPr>
          <w:rFonts w:cs="Arial"/>
        </w:rPr>
        <w:t>Commissioners referred to</w:t>
      </w:r>
      <w:r w:rsidR="002C0FAE" w:rsidRPr="007F700D">
        <w:rPr>
          <w:rFonts w:cs="Arial"/>
        </w:rPr>
        <w:t>, is thus ineffective and irregular</w:t>
      </w:r>
      <w:r w:rsidR="00132357" w:rsidRPr="007F700D">
        <w:rPr>
          <w:rFonts w:cs="Arial"/>
        </w:rPr>
        <w:t xml:space="preserve">.  </w:t>
      </w:r>
    </w:p>
    <w:p w14:paraId="402B57E0" w14:textId="6F1E9D47" w:rsidR="0044424C" w:rsidRPr="007F700D" w:rsidRDefault="007F700D" w:rsidP="007F700D">
      <w:pPr>
        <w:spacing w:before="360" w:after="120" w:line="480" w:lineRule="auto"/>
        <w:ind w:left="709" w:hanging="720"/>
        <w:rPr>
          <w:rFonts w:cs="Arial"/>
        </w:rPr>
      </w:pPr>
      <w:r>
        <w:rPr>
          <w:rFonts w:cs="Arial"/>
        </w:rPr>
        <w:t>[11]</w:t>
      </w:r>
      <w:r>
        <w:rPr>
          <w:rFonts w:cs="Arial"/>
        </w:rPr>
        <w:tab/>
      </w:r>
      <w:r w:rsidR="00D83C10" w:rsidRPr="007F700D">
        <w:rPr>
          <w:rFonts w:cs="Arial"/>
        </w:rPr>
        <w:t xml:space="preserve">On 1 February 2022, </w:t>
      </w:r>
      <w:r w:rsidR="0098470C" w:rsidRPr="007F700D">
        <w:rPr>
          <w:rFonts w:cs="Arial"/>
        </w:rPr>
        <w:t xml:space="preserve">Mr </w:t>
      </w:r>
      <w:proofErr w:type="spellStart"/>
      <w:r w:rsidR="0098470C" w:rsidRPr="007F700D">
        <w:rPr>
          <w:rFonts w:cs="Arial"/>
        </w:rPr>
        <w:t>Mangasa</w:t>
      </w:r>
      <w:r w:rsidR="00D83C10" w:rsidRPr="007F700D">
        <w:rPr>
          <w:rFonts w:cs="Arial"/>
        </w:rPr>
        <w:t>’s</w:t>
      </w:r>
      <w:proofErr w:type="spellEnd"/>
      <w:r w:rsidR="0098470C" w:rsidRPr="007F700D">
        <w:rPr>
          <w:rFonts w:cs="Arial"/>
        </w:rPr>
        <w:t xml:space="preserve"> </w:t>
      </w:r>
      <w:r w:rsidR="00302715" w:rsidRPr="007F700D">
        <w:rPr>
          <w:rFonts w:cs="Arial"/>
        </w:rPr>
        <w:t>answering affidavit to the Minister’s</w:t>
      </w:r>
      <w:r w:rsidR="0013207D" w:rsidRPr="007F700D">
        <w:rPr>
          <w:rFonts w:cs="Arial"/>
        </w:rPr>
        <w:t xml:space="preserve"> Rule</w:t>
      </w:r>
      <w:r w:rsidR="004669BE" w:rsidRPr="007F700D">
        <w:rPr>
          <w:rFonts w:cs="Arial"/>
        </w:rPr>
        <w:t> </w:t>
      </w:r>
      <w:r w:rsidR="0013207D" w:rsidRPr="007F700D">
        <w:rPr>
          <w:rFonts w:cs="Arial"/>
        </w:rPr>
        <w:t>30 (1) application</w:t>
      </w:r>
      <w:r w:rsidR="004C25CC" w:rsidRPr="007F700D">
        <w:rPr>
          <w:rFonts w:cs="Arial"/>
        </w:rPr>
        <w:t xml:space="preserve"> </w:t>
      </w:r>
      <w:bookmarkStart w:id="14" w:name="_Hlk153026115"/>
      <w:r w:rsidR="004C25CC" w:rsidRPr="007F700D">
        <w:rPr>
          <w:rFonts w:cs="Arial"/>
        </w:rPr>
        <w:t>on 1</w:t>
      </w:r>
      <w:r w:rsidR="00A37D68" w:rsidRPr="007F700D">
        <w:rPr>
          <w:rFonts w:cs="Arial"/>
        </w:rPr>
        <w:t xml:space="preserve"> February 2022</w:t>
      </w:r>
      <w:bookmarkEnd w:id="14"/>
      <w:r w:rsidR="007358A9" w:rsidRPr="007F700D">
        <w:rPr>
          <w:rFonts w:cs="Arial"/>
        </w:rPr>
        <w:t xml:space="preserve"> was delivered</w:t>
      </w:r>
      <w:r w:rsidR="00A37D68" w:rsidRPr="007F700D">
        <w:rPr>
          <w:rFonts w:cs="Arial"/>
        </w:rPr>
        <w:t>.</w:t>
      </w:r>
      <w:r w:rsidR="00A37D68">
        <w:rPr>
          <w:rStyle w:val="FootnoteReference"/>
          <w:rFonts w:cs="Arial"/>
        </w:rPr>
        <w:footnoteReference w:id="17"/>
      </w:r>
      <w:r w:rsidR="004669BE" w:rsidRPr="007F700D">
        <w:rPr>
          <w:rFonts w:cs="Arial"/>
        </w:rPr>
        <w:t xml:space="preserve">  </w:t>
      </w:r>
      <w:r w:rsidR="006D2735" w:rsidRPr="007F700D">
        <w:rPr>
          <w:rFonts w:cs="Arial"/>
        </w:rPr>
        <w:t xml:space="preserve">There is no indication </w:t>
      </w:r>
      <w:r w:rsidR="00712328" w:rsidRPr="007F700D">
        <w:rPr>
          <w:rFonts w:cs="Arial"/>
        </w:rPr>
        <w:t xml:space="preserve">on the </w:t>
      </w:r>
      <w:proofErr w:type="spellStart"/>
      <w:r w:rsidR="00712328" w:rsidRPr="007F700D">
        <w:rPr>
          <w:rFonts w:cs="Arial"/>
        </w:rPr>
        <w:t>CaseLines</w:t>
      </w:r>
      <w:proofErr w:type="spellEnd"/>
      <w:r w:rsidR="00712328" w:rsidRPr="007F700D">
        <w:rPr>
          <w:rFonts w:cs="Arial"/>
        </w:rPr>
        <w:t xml:space="preserve"> platform as to the fate of t</w:t>
      </w:r>
      <w:r w:rsidR="004669BE" w:rsidRPr="007F700D">
        <w:rPr>
          <w:rFonts w:cs="Arial"/>
        </w:rPr>
        <w:t>he Rule</w:t>
      </w:r>
      <w:r w:rsidR="008224D6" w:rsidRPr="007F700D">
        <w:rPr>
          <w:rFonts w:cs="Arial"/>
        </w:rPr>
        <w:t xml:space="preserve"> 30 (1) application</w:t>
      </w:r>
      <w:r w:rsidR="00712328" w:rsidRPr="007F700D">
        <w:rPr>
          <w:rFonts w:cs="Arial"/>
        </w:rPr>
        <w:t xml:space="preserve">.  Assumedly it was </w:t>
      </w:r>
      <w:r w:rsidR="00324268" w:rsidRPr="007F700D">
        <w:rPr>
          <w:rFonts w:cs="Arial"/>
        </w:rPr>
        <w:t>abandoned</w:t>
      </w:r>
      <w:r w:rsidR="00712328" w:rsidRPr="007F700D">
        <w:rPr>
          <w:rFonts w:cs="Arial"/>
        </w:rPr>
        <w:t xml:space="preserve"> as further procedural steps </w:t>
      </w:r>
      <w:r w:rsidR="0055552B" w:rsidRPr="007F700D">
        <w:rPr>
          <w:rFonts w:cs="Arial"/>
        </w:rPr>
        <w:t xml:space="preserve">evolved in the </w:t>
      </w:r>
      <w:r w:rsidR="00712328" w:rsidRPr="007F700D">
        <w:rPr>
          <w:rFonts w:cs="Arial"/>
        </w:rPr>
        <w:t>progress</w:t>
      </w:r>
      <w:r w:rsidR="006D7DD4" w:rsidRPr="007F700D">
        <w:rPr>
          <w:rFonts w:cs="Arial"/>
        </w:rPr>
        <w:t>ion of</w:t>
      </w:r>
      <w:r w:rsidR="0065715F" w:rsidRPr="007F700D">
        <w:rPr>
          <w:rFonts w:cs="Arial"/>
        </w:rPr>
        <w:t xml:space="preserve"> the matter</w:t>
      </w:r>
      <w:r w:rsidR="00712328" w:rsidRPr="007F700D">
        <w:rPr>
          <w:rFonts w:cs="Arial"/>
        </w:rPr>
        <w:t xml:space="preserve">. </w:t>
      </w:r>
    </w:p>
    <w:p w14:paraId="1A491FDD" w14:textId="379DE210" w:rsidR="001008E5" w:rsidRPr="00135227" w:rsidRDefault="00135227" w:rsidP="001008E5">
      <w:pPr>
        <w:spacing w:before="360" w:after="120" w:line="480" w:lineRule="auto"/>
        <w:rPr>
          <w:rFonts w:cs="Arial"/>
          <w:b/>
          <w:bCs/>
        </w:rPr>
      </w:pPr>
      <w:r w:rsidRPr="00135227">
        <w:rPr>
          <w:rFonts w:cs="Arial"/>
          <w:b/>
          <w:bCs/>
        </w:rPr>
        <w:t>THE NPA’S PLEA</w:t>
      </w:r>
    </w:p>
    <w:p w14:paraId="01307E27" w14:textId="63EA89AC" w:rsidR="00C119D2" w:rsidRPr="007F700D" w:rsidRDefault="007F700D" w:rsidP="007F700D">
      <w:pPr>
        <w:spacing w:before="360" w:after="120" w:line="480" w:lineRule="auto"/>
        <w:ind w:left="709" w:hanging="720"/>
        <w:rPr>
          <w:rFonts w:cs="Arial"/>
        </w:rPr>
      </w:pPr>
      <w:r>
        <w:rPr>
          <w:rFonts w:cs="Arial"/>
        </w:rPr>
        <w:t>[12]</w:t>
      </w:r>
      <w:r>
        <w:rPr>
          <w:rFonts w:cs="Arial"/>
        </w:rPr>
        <w:tab/>
      </w:r>
      <w:r w:rsidR="00C119D2" w:rsidRPr="007F700D">
        <w:rPr>
          <w:rFonts w:cs="Arial"/>
        </w:rPr>
        <w:t>On 18 February 2022, the NPA delivered its plea.</w:t>
      </w:r>
      <w:r w:rsidR="00C119D2">
        <w:rPr>
          <w:rStyle w:val="FootnoteReference"/>
          <w:rFonts w:cs="Arial"/>
        </w:rPr>
        <w:footnoteReference w:id="18"/>
      </w:r>
      <w:r w:rsidR="00C119D2" w:rsidRPr="007F700D">
        <w:rPr>
          <w:rFonts w:cs="Arial"/>
        </w:rPr>
        <w:t xml:space="preserve">  </w:t>
      </w:r>
      <w:r w:rsidR="0032791B" w:rsidRPr="007F700D">
        <w:rPr>
          <w:rFonts w:cs="Arial"/>
        </w:rPr>
        <w:t>T</w:t>
      </w:r>
      <w:r w:rsidR="00C119D2" w:rsidRPr="007F700D">
        <w:rPr>
          <w:rFonts w:cs="Arial"/>
        </w:rPr>
        <w:t xml:space="preserve">he NPA’s plea </w:t>
      </w:r>
      <w:r w:rsidR="00FF05FE" w:rsidRPr="007F700D">
        <w:rPr>
          <w:rFonts w:cs="Arial"/>
        </w:rPr>
        <w:t xml:space="preserve">is </w:t>
      </w:r>
      <w:r w:rsidR="00BA070C" w:rsidRPr="007F700D">
        <w:rPr>
          <w:rFonts w:cs="Arial"/>
        </w:rPr>
        <w:t xml:space="preserve">presently </w:t>
      </w:r>
      <w:r w:rsidR="00D92F0F" w:rsidRPr="007F700D">
        <w:rPr>
          <w:rFonts w:cs="Arial"/>
        </w:rPr>
        <w:t>irrelevant,</w:t>
      </w:r>
      <w:r w:rsidR="007174CE" w:rsidRPr="007F700D">
        <w:rPr>
          <w:rFonts w:cs="Arial"/>
        </w:rPr>
        <w:t xml:space="preserve"> </w:t>
      </w:r>
      <w:r w:rsidR="001A7A86" w:rsidRPr="007F700D">
        <w:rPr>
          <w:rFonts w:cs="Arial"/>
        </w:rPr>
        <w:t>and</w:t>
      </w:r>
      <w:r w:rsidR="00BA070C" w:rsidRPr="007F700D">
        <w:rPr>
          <w:rFonts w:cs="Arial"/>
        </w:rPr>
        <w:t xml:space="preserve"> </w:t>
      </w:r>
      <w:r w:rsidR="00712328" w:rsidRPr="007F700D">
        <w:rPr>
          <w:rFonts w:cs="Arial"/>
        </w:rPr>
        <w:t xml:space="preserve">its content </w:t>
      </w:r>
      <w:r w:rsidR="00BA070C" w:rsidRPr="007F700D">
        <w:rPr>
          <w:rFonts w:cs="Arial"/>
        </w:rPr>
        <w:t>requires no further</w:t>
      </w:r>
      <w:r w:rsidR="00712328" w:rsidRPr="007F700D">
        <w:rPr>
          <w:rFonts w:cs="Arial"/>
        </w:rPr>
        <w:t xml:space="preserve"> attention or discussion</w:t>
      </w:r>
      <w:r w:rsidR="001A7A86" w:rsidRPr="007F700D">
        <w:rPr>
          <w:rFonts w:cs="Arial"/>
        </w:rPr>
        <w:t xml:space="preserve">.  </w:t>
      </w:r>
    </w:p>
    <w:p w14:paraId="73F5A553" w14:textId="77777777" w:rsidR="00712328" w:rsidRDefault="00712328">
      <w:pPr>
        <w:spacing w:after="160" w:line="259" w:lineRule="auto"/>
        <w:jc w:val="left"/>
        <w:rPr>
          <w:rFonts w:cs="Arial"/>
          <w:b/>
          <w:bCs/>
        </w:rPr>
      </w:pPr>
      <w:r>
        <w:rPr>
          <w:rFonts w:cs="Arial"/>
          <w:b/>
          <w:bCs/>
        </w:rPr>
        <w:br w:type="page"/>
      </w:r>
    </w:p>
    <w:p w14:paraId="1822D206" w14:textId="2F233003" w:rsidR="0006017D" w:rsidRPr="00135227" w:rsidRDefault="00135227" w:rsidP="0006017D">
      <w:pPr>
        <w:spacing w:before="360" w:after="120" w:line="480" w:lineRule="auto"/>
        <w:rPr>
          <w:rFonts w:cs="Arial"/>
          <w:b/>
          <w:bCs/>
        </w:rPr>
      </w:pPr>
      <w:r w:rsidRPr="00135227">
        <w:rPr>
          <w:rFonts w:cs="Arial"/>
          <w:b/>
          <w:bCs/>
        </w:rPr>
        <w:lastRenderedPageBreak/>
        <w:t>THE MINISTER’S PLEA</w:t>
      </w:r>
    </w:p>
    <w:p w14:paraId="3F4432A1" w14:textId="3166A8EE" w:rsidR="00A64C39" w:rsidRPr="007F700D" w:rsidRDefault="007F700D" w:rsidP="007F700D">
      <w:pPr>
        <w:spacing w:before="360" w:after="120" w:line="480" w:lineRule="auto"/>
        <w:ind w:left="709" w:hanging="720"/>
        <w:rPr>
          <w:rFonts w:cs="Arial"/>
        </w:rPr>
      </w:pPr>
      <w:r>
        <w:rPr>
          <w:rFonts w:cs="Arial"/>
        </w:rPr>
        <w:t>[13]</w:t>
      </w:r>
      <w:r>
        <w:rPr>
          <w:rFonts w:cs="Arial"/>
        </w:rPr>
        <w:tab/>
      </w:r>
      <w:r w:rsidR="007010AC" w:rsidRPr="007F700D">
        <w:rPr>
          <w:rFonts w:cs="Arial"/>
        </w:rPr>
        <w:t>On 28 April 2023,</w:t>
      </w:r>
      <w:r w:rsidR="009E70A1">
        <w:rPr>
          <w:rStyle w:val="FootnoteReference"/>
          <w:rFonts w:cs="Arial"/>
        </w:rPr>
        <w:footnoteReference w:id="19"/>
      </w:r>
      <w:r w:rsidR="007010AC" w:rsidRPr="007F700D">
        <w:rPr>
          <w:rFonts w:cs="Arial"/>
        </w:rPr>
        <w:t xml:space="preserve"> </w:t>
      </w:r>
      <w:r w:rsidR="00ED2010" w:rsidRPr="007F700D">
        <w:rPr>
          <w:rFonts w:cs="Arial"/>
        </w:rPr>
        <w:t>t</w:t>
      </w:r>
      <w:r w:rsidR="001B548B" w:rsidRPr="007F700D">
        <w:rPr>
          <w:rFonts w:cs="Arial"/>
        </w:rPr>
        <w:t>he</w:t>
      </w:r>
      <w:r w:rsidR="00B54B60" w:rsidRPr="007F700D">
        <w:rPr>
          <w:rFonts w:cs="Arial"/>
        </w:rPr>
        <w:t xml:space="preserve"> </w:t>
      </w:r>
      <w:r w:rsidR="00763929" w:rsidRPr="007F700D">
        <w:rPr>
          <w:rFonts w:cs="Arial"/>
        </w:rPr>
        <w:t>Mi</w:t>
      </w:r>
      <w:r w:rsidR="008E2623" w:rsidRPr="007F700D">
        <w:rPr>
          <w:rFonts w:cs="Arial"/>
        </w:rPr>
        <w:t xml:space="preserve">nister </w:t>
      </w:r>
      <w:r w:rsidR="00B54B60" w:rsidRPr="007F700D">
        <w:rPr>
          <w:rFonts w:cs="Arial"/>
        </w:rPr>
        <w:t xml:space="preserve">delivered </w:t>
      </w:r>
      <w:r w:rsidR="00F91381" w:rsidRPr="007F700D">
        <w:rPr>
          <w:rFonts w:cs="Arial"/>
        </w:rPr>
        <w:t>his</w:t>
      </w:r>
      <w:r w:rsidR="00B54B60" w:rsidRPr="007F700D">
        <w:rPr>
          <w:rFonts w:cs="Arial"/>
        </w:rPr>
        <w:t xml:space="preserve"> </w:t>
      </w:r>
      <w:r w:rsidR="008E2623" w:rsidRPr="007F700D">
        <w:rPr>
          <w:rFonts w:cs="Arial"/>
        </w:rPr>
        <w:t>plea</w:t>
      </w:r>
      <w:r w:rsidR="0021731A" w:rsidRPr="007F700D">
        <w:rPr>
          <w:rFonts w:cs="Arial"/>
        </w:rPr>
        <w:t>, containing two special pleas</w:t>
      </w:r>
      <w:r w:rsidR="00461B51" w:rsidRPr="007F700D">
        <w:rPr>
          <w:rFonts w:cs="Arial"/>
        </w:rPr>
        <w:t xml:space="preserve">, </w:t>
      </w:r>
      <w:r w:rsidR="00A323F4" w:rsidRPr="007F700D">
        <w:rPr>
          <w:rFonts w:cs="Arial"/>
        </w:rPr>
        <w:t xml:space="preserve">as well </w:t>
      </w:r>
      <w:r w:rsidR="00BC6427" w:rsidRPr="007F700D">
        <w:rPr>
          <w:rFonts w:cs="Arial"/>
        </w:rPr>
        <w:t xml:space="preserve">as a </w:t>
      </w:r>
      <w:r w:rsidR="000779F3" w:rsidRPr="007F700D">
        <w:rPr>
          <w:rFonts w:cs="Arial"/>
        </w:rPr>
        <w:t>plea</w:t>
      </w:r>
      <w:r w:rsidR="00CB4556" w:rsidRPr="007F700D">
        <w:rPr>
          <w:rFonts w:cs="Arial"/>
        </w:rPr>
        <w:t xml:space="preserve"> </w:t>
      </w:r>
      <w:r w:rsidR="000779F3" w:rsidRPr="007F700D">
        <w:rPr>
          <w:rFonts w:cs="Arial"/>
        </w:rPr>
        <w:t>over on the merits</w:t>
      </w:r>
      <w:r w:rsidR="00AD2091" w:rsidRPr="007F700D">
        <w:rPr>
          <w:rFonts w:cs="Arial"/>
        </w:rPr>
        <w:t>.</w:t>
      </w:r>
      <w:r w:rsidR="003F72A0">
        <w:rPr>
          <w:rStyle w:val="FootnoteReference"/>
          <w:rFonts w:cs="Arial"/>
        </w:rPr>
        <w:footnoteReference w:id="20"/>
      </w:r>
      <w:r w:rsidR="00ED2010" w:rsidRPr="007F700D">
        <w:rPr>
          <w:rFonts w:cs="Arial"/>
        </w:rPr>
        <w:t xml:space="preserve">  </w:t>
      </w:r>
      <w:bookmarkStart w:id="15" w:name="_Hlk152932261"/>
      <w:r w:rsidR="008C501F" w:rsidRPr="007F700D">
        <w:rPr>
          <w:rFonts w:cs="Arial"/>
        </w:rPr>
        <w:t>T</w:t>
      </w:r>
      <w:r w:rsidR="00ED2010" w:rsidRPr="007F700D">
        <w:rPr>
          <w:rFonts w:cs="Arial"/>
        </w:rPr>
        <w:t>he first special ple</w:t>
      </w:r>
      <w:r w:rsidR="00B35EE4" w:rsidRPr="007F700D">
        <w:rPr>
          <w:rFonts w:cs="Arial"/>
        </w:rPr>
        <w:t xml:space="preserve">a </w:t>
      </w:r>
      <w:r w:rsidR="008C501F" w:rsidRPr="007F700D">
        <w:rPr>
          <w:rFonts w:cs="Arial"/>
        </w:rPr>
        <w:t xml:space="preserve">raises </w:t>
      </w:r>
      <w:bookmarkEnd w:id="15"/>
      <w:r w:rsidR="00B35EE4" w:rsidRPr="007F700D">
        <w:rPr>
          <w:rFonts w:cs="Arial"/>
        </w:rPr>
        <w:t>non-compliance with s</w:t>
      </w:r>
      <w:r w:rsidR="004B7D70" w:rsidRPr="007F700D">
        <w:rPr>
          <w:rFonts w:cs="Arial"/>
        </w:rPr>
        <w:t> 3 of the ILPA</w:t>
      </w:r>
      <w:r w:rsidR="001D6766" w:rsidRPr="007F700D">
        <w:rPr>
          <w:rFonts w:cs="Arial"/>
        </w:rPr>
        <w:t xml:space="preserve"> as a defence</w:t>
      </w:r>
      <w:r w:rsidR="001B744C" w:rsidRPr="007F700D">
        <w:rPr>
          <w:rFonts w:cs="Arial"/>
        </w:rPr>
        <w:t>.</w:t>
      </w:r>
      <w:r w:rsidR="004B7D70">
        <w:rPr>
          <w:rStyle w:val="FootnoteReference"/>
          <w:rFonts w:cs="Arial"/>
        </w:rPr>
        <w:footnoteReference w:id="21"/>
      </w:r>
      <w:r w:rsidR="001B744C" w:rsidRPr="007F700D">
        <w:rPr>
          <w:rFonts w:cs="Arial"/>
        </w:rPr>
        <w:t xml:space="preserve">  T</w:t>
      </w:r>
      <w:r w:rsidR="00A02205" w:rsidRPr="007F700D">
        <w:rPr>
          <w:rFonts w:cs="Arial"/>
        </w:rPr>
        <w:t xml:space="preserve">he </w:t>
      </w:r>
      <w:r w:rsidR="001B744C" w:rsidRPr="007F700D">
        <w:rPr>
          <w:rFonts w:cs="Arial"/>
        </w:rPr>
        <w:t>second</w:t>
      </w:r>
      <w:r w:rsidR="00A02205" w:rsidRPr="007F700D">
        <w:rPr>
          <w:rFonts w:cs="Arial"/>
        </w:rPr>
        <w:t xml:space="preserve"> special plea raises</w:t>
      </w:r>
      <w:r w:rsidR="003F1E38" w:rsidRPr="007F700D">
        <w:rPr>
          <w:rFonts w:cs="Arial"/>
        </w:rPr>
        <w:t xml:space="preserve"> </w:t>
      </w:r>
      <w:r w:rsidR="000E51EE" w:rsidRPr="007F700D">
        <w:rPr>
          <w:rFonts w:cs="Arial"/>
        </w:rPr>
        <w:t xml:space="preserve">the defence of </w:t>
      </w:r>
      <w:r w:rsidR="0030688C" w:rsidRPr="007F700D">
        <w:rPr>
          <w:rFonts w:cs="Arial"/>
        </w:rPr>
        <w:t xml:space="preserve">extinctive </w:t>
      </w:r>
      <w:r w:rsidR="003F1E38" w:rsidRPr="007F700D">
        <w:rPr>
          <w:rFonts w:cs="Arial"/>
        </w:rPr>
        <w:t xml:space="preserve">prescription </w:t>
      </w:r>
      <w:r w:rsidR="00ED432E" w:rsidRPr="007F700D">
        <w:rPr>
          <w:rFonts w:cs="Arial"/>
        </w:rPr>
        <w:t xml:space="preserve">under </w:t>
      </w:r>
      <w:r w:rsidR="0030688C" w:rsidRPr="007F700D">
        <w:rPr>
          <w:rFonts w:cs="Arial"/>
        </w:rPr>
        <w:t xml:space="preserve">the </w:t>
      </w:r>
      <w:r w:rsidR="000E51EE" w:rsidRPr="007F700D">
        <w:rPr>
          <w:rFonts w:cs="Arial"/>
        </w:rPr>
        <w:t>Prescription Act</w:t>
      </w:r>
      <w:r w:rsidR="001D6766" w:rsidRPr="007F700D">
        <w:rPr>
          <w:rFonts w:cs="Arial"/>
        </w:rPr>
        <w:t>.</w:t>
      </w:r>
      <w:r w:rsidR="00517D8A">
        <w:rPr>
          <w:rStyle w:val="FootnoteReference"/>
          <w:rFonts w:cs="Arial"/>
        </w:rPr>
        <w:footnoteReference w:id="22"/>
      </w:r>
      <w:r w:rsidR="000276BA" w:rsidRPr="007F700D">
        <w:rPr>
          <w:rFonts w:cs="Arial"/>
        </w:rPr>
        <w:t xml:space="preserve">  The remainder of the Minister’s plea</w:t>
      </w:r>
      <w:r w:rsidR="00764640" w:rsidRPr="007F700D">
        <w:rPr>
          <w:rFonts w:cs="Arial"/>
        </w:rPr>
        <w:t xml:space="preserve"> </w:t>
      </w:r>
      <w:r w:rsidR="00766525" w:rsidRPr="007F700D">
        <w:rPr>
          <w:rFonts w:cs="Arial"/>
        </w:rPr>
        <w:t xml:space="preserve">represents </w:t>
      </w:r>
      <w:r w:rsidR="00764640" w:rsidRPr="007F700D">
        <w:rPr>
          <w:rFonts w:cs="Arial"/>
        </w:rPr>
        <w:t xml:space="preserve">his </w:t>
      </w:r>
      <w:r w:rsidR="00C81472" w:rsidRPr="007F700D">
        <w:rPr>
          <w:rFonts w:cs="Arial"/>
        </w:rPr>
        <w:t>plea</w:t>
      </w:r>
      <w:r w:rsidR="005C42CC" w:rsidRPr="007F700D">
        <w:rPr>
          <w:rFonts w:cs="Arial"/>
        </w:rPr>
        <w:t xml:space="preserve"> </w:t>
      </w:r>
      <w:r w:rsidR="00C81472" w:rsidRPr="007F700D">
        <w:rPr>
          <w:rFonts w:cs="Arial"/>
        </w:rPr>
        <w:t>over on the merits</w:t>
      </w:r>
      <w:r w:rsidR="00712FD9" w:rsidRPr="007F700D">
        <w:rPr>
          <w:rFonts w:cs="Arial"/>
        </w:rPr>
        <w:t>, which traverses</w:t>
      </w:r>
      <w:r w:rsidR="00C81472" w:rsidRPr="007F700D">
        <w:rPr>
          <w:rFonts w:cs="Arial"/>
        </w:rPr>
        <w:t xml:space="preserve"> </w:t>
      </w:r>
      <w:r w:rsidR="002B39AF" w:rsidRPr="007F700D">
        <w:rPr>
          <w:rFonts w:cs="Arial"/>
        </w:rPr>
        <w:t xml:space="preserve">the allegations </w:t>
      </w:r>
      <w:r w:rsidR="00C81472" w:rsidRPr="007F700D">
        <w:rPr>
          <w:rFonts w:cs="Arial"/>
        </w:rPr>
        <w:t xml:space="preserve">in </w:t>
      </w:r>
      <w:r w:rsidR="00766525" w:rsidRPr="007F700D">
        <w:rPr>
          <w:rFonts w:cs="Arial"/>
        </w:rPr>
        <w:t>M</w:t>
      </w:r>
      <w:r w:rsidR="00736735" w:rsidRPr="007F700D">
        <w:rPr>
          <w:rFonts w:cs="Arial"/>
        </w:rPr>
        <w:t xml:space="preserve">r </w:t>
      </w:r>
      <w:proofErr w:type="spellStart"/>
      <w:r w:rsidR="00736735" w:rsidRPr="007F700D">
        <w:rPr>
          <w:rFonts w:cs="Arial"/>
        </w:rPr>
        <w:t>Mangasa’s</w:t>
      </w:r>
      <w:proofErr w:type="spellEnd"/>
      <w:r w:rsidR="00736735" w:rsidRPr="007F700D">
        <w:rPr>
          <w:rFonts w:cs="Arial"/>
        </w:rPr>
        <w:t xml:space="preserve"> particulars of claim </w:t>
      </w:r>
      <w:r w:rsidR="00950CC4" w:rsidRPr="007F700D">
        <w:rPr>
          <w:rFonts w:cs="Arial"/>
        </w:rPr>
        <w:t xml:space="preserve">and </w:t>
      </w:r>
      <w:r w:rsidR="00736735" w:rsidRPr="007F700D">
        <w:rPr>
          <w:rFonts w:cs="Arial"/>
        </w:rPr>
        <w:t>essentially denie</w:t>
      </w:r>
      <w:r w:rsidR="002B39AF" w:rsidRPr="007F700D">
        <w:rPr>
          <w:rFonts w:cs="Arial"/>
        </w:rPr>
        <w:t>s them</w:t>
      </w:r>
      <w:r w:rsidR="00736735" w:rsidRPr="007F700D">
        <w:rPr>
          <w:rFonts w:cs="Arial"/>
        </w:rPr>
        <w:t>.</w:t>
      </w:r>
      <w:r w:rsidR="00736735">
        <w:rPr>
          <w:rStyle w:val="FootnoteReference"/>
          <w:rFonts w:cs="Arial"/>
        </w:rPr>
        <w:footnoteReference w:id="23"/>
      </w:r>
    </w:p>
    <w:p w14:paraId="3EA41858" w14:textId="088CADDF" w:rsidR="0006017D" w:rsidRPr="00135227" w:rsidRDefault="00135227" w:rsidP="0006017D">
      <w:pPr>
        <w:spacing w:before="360" w:after="120" w:line="480" w:lineRule="auto"/>
        <w:rPr>
          <w:rFonts w:cs="Arial"/>
          <w:b/>
          <w:bCs/>
        </w:rPr>
      </w:pPr>
      <w:r w:rsidRPr="00135227">
        <w:rPr>
          <w:rFonts w:cs="Arial"/>
          <w:b/>
          <w:bCs/>
        </w:rPr>
        <w:t>THE WRITTEN NOTICES IN TERMS OF S 3 OF THE ILPA</w:t>
      </w:r>
    </w:p>
    <w:p w14:paraId="0C56421E" w14:textId="3B8BC7F7" w:rsidR="00995C85" w:rsidRPr="007F700D" w:rsidRDefault="007F700D" w:rsidP="007F700D">
      <w:pPr>
        <w:spacing w:before="360" w:after="120" w:line="480" w:lineRule="auto"/>
        <w:ind w:left="709" w:hanging="720"/>
        <w:rPr>
          <w:rFonts w:cs="Arial"/>
        </w:rPr>
      </w:pPr>
      <w:r>
        <w:rPr>
          <w:rFonts w:cs="Arial"/>
        </w:rPr>
        <w:t>[14]</w:t>
      </w:r>
      <w:r>
        <w:rPr>
          <w:rFonts w:cs="Arial"/>
        </w:rPr>
        <w:tab/>
      </w:r>
      <w:r w:rsidR="00995C85" w:rsidRPr="007F700D">
        <w:rPr>
          <w:rFonts w:cs="Arial"/>
        </w:rPr>
        <w:t xml:space="preserve">In the action for damages Mr </w:t>
      </w:r>
      <w:proofErr w:type="spellStart"/>
      <w:r w:rsidR="000A321E" w:rsidRPr="007F700D">
        <w:rPr>
          <w:rFonts w:cs="Arial"/>
        </w:rPr>
        <w:t>Mangasa</w:t>
      </w:r>
      <w:proofErr w:type="spellEnd"/>
      <w:r w:rsidR="000A321E" w:rsidRPr="007F700D">
        <w:rPr>
          <w:rFonts w:cs="Arial"/>
        </w:rPr>
        <w:t xml:space="preserve"> a</w:t>
      </w:r>
      <w:r w:rsidR="00086BD3" w:rsidRPr="007F700D">
        <w:rPr>
          <w:rFonts w:cs="Arial"/>
        </w:rPr>
        <w:t>llege</w:t>
      </w:r>
      <w:r w:rsidR="00D04B0A" w:rsidRPr="007F700D">
        <w:rPr>
          <w:rFonts w:cs="Arial"/>
        </w:rPr>
        <w:t xml:space="preserve">s in his particulars </w:t>
      </w:r>
      <w:r w:rsidR="003372F6" w:rsidRPr="007F700D">
        <w:rPr>
          <w:rFonts w:cs="Arial"/>
        </w:rPr>
        <w:t xml:space="preserve">of claim </w:t>
      </w:r>
      <w:r w:rsidR="000A321E" w:rsidRPr="007F700D">
        <w:rPr>
          <w:rFonts w:cs="Arial"/>
        </w:rPr>
        <w:t>that</w:t>
      </w:r>
      <w:r w:rsidR="00A33633" w:rsidRPr="007F700D">
        <w:rPr>
          <w:rFonts w:cs="Arial"/>
        </w:rPr>
        <w:t xml:space="preserve"> he complied with </w:t>
      </w:r>
      <w:bookmarkStart w:id="17" w:name="_Hlk152845159"/>
      <w:r w:rsidR="004316D9" w:rsidRPr="007F700D">
        <w:rPr>
          <w:rFonts w:cs="Arial"/>
        </w:rPr>
        <w:t>s 3 of the ILPA</w:t>
      </w:r>
      <w:r w:rsidR="00E946A2" w:rsidRPr="007F700D">
        <w:rPr>
          <w:rFonts w:cs="Arial"/>
        </w:rPr>
        <w:t xml:space="preserve"> </w:t>
      </w:r>
      <w:bookmarkEnd w:id="17"/>
      <w:r w:rsidR="00364ED0" w:rsidRPr="007F700D">
        <w:rPr>
          <w:rFonts w:cs="Arial"/>
        </w:rPr>
        <w:t xml:space="preserve">in so far as </w:t>
      </w:r>
      <w:r w:rsidR="00E946A2" w:rsidRPr="007F700D">
        <w:rPr>
          <w:rFonts w:cs="Arial"/>
        </w:rPr>
        <w:t>the Minister</w:t>
      </w:r>
      <w:r w:rsidR="000878AC" w:rsidRPr="00C3587A">
        <w:rPr>
          <w:rStyle w:val="FootnoteReference"/>
          <w:rFonts w:cs="Arial"/>
        </w:rPr>
        <w:footnoteReference w:id="24"/>
      </w:r>
      <w:r w:rsidR="003D0984" w:rsidRPr="007F700D">
        <w:rPr>
          <w:rFonts w:cs="Arial"/>
        </w:rPr>
        <w:t xml:space="preserve"> </w:t>
      </w:r>
      <w:r w:rsidR="00086AA9" w:rsidRPr="007F700D">
        <w:rPr>
          <w:rFonts w:cs="Arial"/>
        </w:rPr>
        <w:t>and the NPA</w:t>
      </w:r>
      <w:r w:rsidR="00E44DEE" w:rsidRPr="00C3587A">
        <w:rPr>
          <w:rStyle w:val="FootnoteReference"/>
          <w:rFonts w:cs="Arial"/>
        </w:rPr>
        <w:footnoteReference w:id="25"/>
      </w:r>
      <w:r w:rsidR="00086AA9" w:rsidRPr="007F700D">
        <w:rPr>
          <w:rFonts w:cs="Arial"/>
        </w:rPr>
        <w:t xml:space="preserve"> </w:t>
      </w:r>
      <w:r w:rsidR="00B32A61" w:rsidRPr="007F700D">
        <w:rPr>
          <w:rFonts w:cs="Arial"/>
        </w:rPr>
        <w:t>are concerned</w:t>
      </w:r>
      <w:r w:rsidR="005B4F47" w:rsidRPr="007F700D">
        <w:rPr>
          <w:rFonts w:cs="Arial"/>
        </w:rPr>
        <w:t xml:space="preserve">.  </w:t>
      </w:r>
      <w:r w:rsidR="00D75104" w:rsidRPr="007F700D">
        <w:rPr>
          <w:rFonts w:cs="Arial"/>
        </w:rPr>
        <w:t>A</w:t>
      </w:r>
      <w:r w:rsidR="00CF2DE6" w:rsidRPr="007F700D">
        <w:rPr>
          <w:rFonts w:cs="Arial"/>
        </w:rPr>
        <w:t>lthough</w:t>
      </w:r>
      <w:r w:rsidR="00742563" w:rsidRPr="007F700D">
        <w:rPr>
          <w:rFonts w:cs="Arial"/>
        </w:rPr>
        <w:t xml:space="preserve"> the</w:t>
      </w:r>
      <w:r w:rsidR="007979DE" w:rsidRPr="007F700D">
        <w:rPr>
          <w:rFonts w:cs="Arial"/>
        </w:rPr>
        <w:t xml:space="preserve"> entire par</w:t>
      </w:r>
      <w:r w:rsidR="00742563" w:rsidRPr="007F700D">
        <w:rPr>
          <w:rFonts w:cs="Arial"/>
        </w:rPr>
        <w:t>agraph 15</w:t>
      </w:r>
      <w:r w:rsidR="007979DE" w:rsidRPr="007F700D">
        <w:rPr>
          <w:rFonts w:cs="Arial"/>
        </w:rPr>
        <w:t xml:space="preserve"> of Mr </w:t>
      </w:r>
      <w:proofErr w:type="spellStart"/>
      <w:r w:rsidR="007979DE" w:rsidRPr="007F700D">
        <w:rPr>
          <w:rFonts w:cs="Arial"/>
        </w:rPr>
        <w:t>Mangasa’s</w:t>
      </w:r>
      <w:proofErr w:type="spellEnd"/>
      <w:r w:rsidR="007979DE" w:rsidRPr="007F700D">
        <w:rPr>
          <w:rFonts w:cs="Arial"/>
        </w:rPr>
        <w:t xml:space="preserve"> particulars of claim is devoted to the NPA’s </w:t>
      </w:r>
      <w:r w:rsidR="006B7A36" w:rsidRPr="007F700D">
        <w:rPr>
          <w:rFonts w:cs="Arial"/>
        </w:rPr>
        <w:t>alleged wrongful acts/omissions</w:t>
      </w:r>
      <w:r w:rsidR="004D5AB9" w:rsidRPr="007F700D">
        <w:rPr>
          <w:rFonts w:cs="Arial"/>
        </w:rPr>
        <w:t xml:space="preserve">, </w:t>
      </w:r>
      <w:r w:rsidR="004E2D6D" w:rsidRPr="007F700D">
        <w:rPr>
          <w:rFonts w:cs="Arial"/>
        </w:rPr>
        <w:t xml:space="preserve">there are continuous </w:t>
      </w:r>
      <w:r w:rsidR="00B07C42" w:rsidRPr="007F700D">
        <w:rPr>
          <w:rFonts w:cs="Arial"/>
        </w:rPr>
        <w:t xml:space="preserve">and confusing </w:t>
      </w:r>
      <w:r w:rsidR="004E2D6D" w:rsidRPr="007F700D">
        <w:rPr>
          <w:rFonts w:cs="Arial"/>
        </w:rPr>
        <w:t>references to</w:t>
      </w:r>
      <w:r w:rsidR="00F7167C" w:rsidRPr="007F700D">
        <w:rPr>
          <w:rFonts w:cs="Arial"/>
        </w:rPr>
        <w:t xml:space="preserve"> the second defendant (i.e., Captain Z</w:t>
      </w:r>
      <w:r w:rsidR="004B691A" w:rsidRPr="007F700D">
        <w:rPr>
          <w:rFonts w:cs="Arial"/>
        </w:rPr>
        <w:t xml:space="preserve">ulu) and </w:t>
      </w:r>
      <w:r w:rsidR="00B07C42" w:rsidRPr="007F700D">
        <w:rPr>
          <w:rFonts w:cs="Arial"/>
        </w:rPr>
        <w:t>‘</w:t>
      </w:r>
      <w:r w:rsidR="00B07C42" w:rsidRPr="007F700D">
        <w:rPr>
          <w:rFonts w:cs="Arial"/>
          <w:i/>
          <w:iCs/>
        </w:rPr>
        <w:t>its employees</w:t>
      </w:r>
      <w:r w:rsidR="00B07C42" w:rsidRPr="007F700D">
        <w:rPr>
          <w:rFonts w:cs="Arial"/>
        </w:rPr>
        <w:t>’.</w:t>
      </w:r>
      <w:r w:rsidR="00D76E30" w:rsidRPr="007F700D">
        <w:rPr>
          <w:rFonts w:cs="Arial"/>
        </w:rPr>
        <w:t xml:space="preserve">  </w:t>
      </w:r>
      <w:r w:rsidR="003D5248" w:rsidRPr="007F700D">
        <w:rPr>
          <w:rFonts w:cs="Arial"/>
        </w:rPr>
        <w:t>Pl</w:t>
      </w:r>
      <w:r w:rsidR="00171E3E" w:rsidRPr="007F700D">
        <w:rPr>
          <w:rFonts w:cs="Arial"/>
        </w:rPr>
        <w:t>ainly</w:t>
      </w:r>
      <w:r w:rsidR="00D377AC" w:rsidRPr="007F700D">
        <w:rPr>
          <w:rFonts w:cs="Arial"/>
        </w:rPr>
        <w:t>,</w:t>
      </w:r>
      <w:r w:rsidR="00171E3E" w:rsidRPr="007F700D">
        <w:rPr>
          <w:rFonts w:cs="Arial"/>
        </w:rPr>
        <w:t xml:space="preserve"> </w:t>
      </w:r>
      <w:r w:rsidR="00C46BF5" w:rsidRPr="007F700D">
        <w:rPr>
          <w:rFonts w:cs="Arial"/>
        </w:rPr>
        <w:t>the third defendant (i.e., the NPA) and its employees</w:t>
      </w:r>
      <w:r w:rsidR="004B22AA" w:rsidRPr="007F700D">
        <w:rPr>
          <w:rFonts w:cs="Arial"/>
        </w:rPr>
        <w:t xml:space="preserve"> were </w:t>
      </w:r>
      <w:r w:rsidR="00D37ACA" w:rsidRPr="007F700D">
        <w:rPr>
          <w:rFonts w:cs="Arial"/>
        </w:rPr>
        <w:t xml:space="preserve">the </w:t>
      </w:r>
      <w:r w:rsidR="002D5BF7" w:rsidRPr="007F700D">
        <w:rPr>
          <w:rFonts w:cs="Arial"/>
        </w:rPr>
        <w:t xml:space="preserve">intended </w:t>
      </w:r>
      <w:r w:rsidR="00F84FB2" w:rsidRPr="007F700D">
        <w:rPr>
          <w:rFonts w:cs="Arial"/>
        </w:rPr>
        <w:t xml:space="preserve">targets of </w:t>
      </w:r>
      <w:r w:rsidR="00F038DF" w:rsidRPr="007F700D">
        <w:rPr>
          <w:rFonts w:cs="Arial"/>
        </w:rPr>
        <w:t xml:space="preserve">all </w:t>
      </w:r>
      <w:r w:rsidR="00F84FB2" w:rsidRPr="007F700D">
        <w:rPr>
          <w:rFonts w:cs="Arial"/>
        </w:rPr>
        <w:t>these references</w:t>
      </w:r>
      <w:r w:rsidR="00C46BF5" w:rsidRPr="007F700D">
        <w:rPr>
          <w:rFonts w:cs="Arial"/>
        </w:rPr>
        <w:t xml:space="preserve">.  </w:t>
      </w:r>
    </w:p>
    <w:p w14:paraId="659FEFC0" w14:textId="4454413E" w:rsidR="00DA0515" w:rsidRPr="007F700D" w:rsidRDefault="007F700D" w:rsidP="007F700D">
      <w:pPr>
        <w:spacing w:before="360" w:after="120" w:line="480" w:lineRule="auto"/>
        <w:ind w:left="709" w:hanging="720"/>
        <w:rPr>
          <w:rFonts w:cs="Arial"/>
        </w:rPr>
      </w:pPr>
      <w:r>
        <w:rPr>
          <w:rFonts w:cs="Arial"/>
        </w:rPr>
        <w:lastRenderedPageBreak/>
        <w:t>[15]</w:t>
      </w:r>
      <w:r>
        <w:rPr>
          <w:rFonts w:cs="Arial"/>
        </w:rPr>
        <w:tab/>
      </w:r>
      <w:r w:rsidR="001F4881" w:rsidRPr="007F700D">
        <w:rPr>
          <w:rFonts w:cs="Arial"/>
        </w:rPr>
        <w:t>S</w:t>
      </w:r>
      <w:r w:rsidR="00D535A1" w:rsidRPr="007F700D">
        <w:rPr>
          <w:rFonts w:cs="Arial"/>
        </w:rPr>
        <w:t>elf-evidently</w:t>
      </w:r>
      <w:r w:rsidR="004A0131" w:rsidRPr="007F700D">
        <w:rPr>
          <w:rFonts w:cs="Arial"/>
        </w:rPr>
        <w:t xml:space="preserve"> s</w:t>
      </w:r>
      <w:r w:rsidR="001F4881" w:rsidRPr="007F700D">
        <w:rPr>
          <w:rFonts w:cs="Arial"/>
        </w:rPr>
        <w:t> 3 of the ILPA was not complied with as far as Captain Zulu is concerned</w:t>
      </w:r>
      <w:r w:rsidR="00DA00F8" w:rsidRPr="007F700D">
        <w:rPr>
          <w:rFonts w:cs="Arial"/>
        </w:rPr>
        <w:t xml:space="preserve"> </w:t>
      </w:r>
      <w:r w:rsidR="004C70D4" w:rsidRPr="007F700D">
        <w:rPr>
          <w:rFonts w:cs="Arial"/>
        </w:rPr>
        <w:t xml:space="preserve">as </w:t>
      </w:r>
      <w:r w:rsidR="00DA00F8" w:rsidRPr="007F700D">
        <w:rPr>
          <w:rFonts w:cs="Arial"/>
        </w:rPr>
        <w:t>n</w:t>
      </w:r>
      <w:r w:rsidR="001B7530" w:rsidRPr="007F700D">
        <w:rPr>
          <w:rFonts w:cs="Arial"/>
        </w:rPr>
        <w:t xml:space="preserve">o </w:t>
      </w:r>
      <w:r w:rsidR="00DA00F8" w:rsidRPr="007F700D">
        <w:rPr>
          <w:rFonts w:cs="Arial"/>
        </w:rPr>
        <w:t xml:space="preserve">such </w:t>
      </w:r>
      <w:r w:rsidR="001B7530" w:rsidRPr="007F700D">
        <w:rPr>
          <w:rFonts w:cs="Arial"/>
        </w:rPr>
        <w:t xml:space="preserve">written notice </w:t>
      </w:r>
      <w:r w:rsidR="006C4FD6" w:rsidRPr="007F700D">
        <w:rPr>
          <w:rFonts w:cs="Arial"/>
        </w:rPr>
        <w:t>w</w:t>
      </w:r>
      <w:r w:rsidR="00DA00F8" w:rsidRPr="007F700D">
        <w:rPr>
          <w:rFonts w:cs="Arial"/>
        </w:rPr>
        <w:t xml:space="preserve">as ever </w:t>
      </w:r>
      <w:r w:rsidR="00C220E0" w:rsidRPr="007F700D">
        <w:rPr>
          <w:rFonts w:cs="Arial"/>
        </w:rPr>
        <w:t xml:space="preserve">served on him.  </w:t>
      </w:r>
    </w:p>
    <w:p w14:paraId="7F0C5557" w14:textId="33D26393" w:rsidR="00CF2A4E" w:rsidRPr="007F700D" w:rsidRDefault="007F700D" w:rsidP="007F700D">
      <w:pPr>
        <w:spacing w:before="360" w:after="120" w:line="480" w:lineRule="auto"/>
        <w:ind w:left="709" w:hanging="720"/>
        <w:rPr>
          <w:rFonts w:cs="Arial"/>
        </w:rPr>
      </w:pPr>
      <w:r>
        <w:rPr>
          <w:rFonts w:cs="Arial"/>
        </w:rPr>
        <w:t>[16]</w:t>
      </w:r>
      <w:r>
        <w:rPr>
          <w:rFonts w:cs="Arial"/>
        </w:rPr>
        <w:tab/>
      </w:r>
      <w:r w:rsidR="00B7090B" w:rsidRPr="007F700D">
        <w:rPr>
          <w:rFonts w:cs="Arial"/>
        </w:rPr>
        <w:t>A w</w:t>
      </w:r>
      <w:r w:rsidR="008A5C5F" w:rsidRPr="007F700D">
        <w:rPr>
          <w:rFonts w:cs="Arial"/>
        </w:rPr>
        <w:t>ritten notice</w:t>
      </w:r>
      <w:r w:rsidR="009C6033" w:rsidRPr="007F700D">
        <w:rPr>
          <w:rFonts w:cs="Arial"/>
        </w:rPr>
        <w:t xml:space="preserve"> </w:t>
      </w:r>
      <w:r w:rsidR="00CE5B6E" w:rsidRPr="007F700D">
        <w:rPr>
          <w:rFonts w:cs="Arial"/>
        </w:rPr>
        <w:t>‘</w:t>
      </w:r>
      <w:r w:rsidR="00BB089C" w:rsidRPr="007F700D">
        <w:rPr>
          <w:rFonts w:cs="Arial"/>
          <w:i/>
          <w:iCs/>
        </w:rPr>
        <w:t>Dated M</w:t>
      </w:r>
      <w:r w:rsidR="00CE5B6E" w:rsidRPr="007F700D">
        <w:rPr>
          <w:rFonts w:cs="Arial"/>
          <w:i/>
          <w:iCs/>
        </w:rPr>
        <w:t>ay 2021</w:t>
      </w:r>
      <w:r w:rsidR="00CE5B6E" w:rsidRPr="007F700D">
        <w:rPr>
          <w:rFonts w:cs="Arial"/>
        </w:rPr>
        <w:t>’</w:t>
      </w:r>
      <w:r w:rsidR="003F6CAD" w:rsidRPr="007F700D">
        <w:rPr>
          <w:rFonts w:cs="Arial"/>
        </w:rPr>
        <w:t xml:space="preserve">, </w:t>
      </w:r>
      <w:r w:rsidR="00380CD4" w:rsidRPr="007F700D">
        <w:rPr>
          <w:rFonts w:cs="Arial"/>
        </w:rPr>
        <w:t xml:space="preserve">given in terms of </w:t>
      </w:r>
      <w:r w:rsidR="003F6CAD" w:rsidRPr="007F700D">
        <w:rPr>
          <w:rFonts w:cs="Arial"/>
        </w:rPr>
        <w:t xml:space="preserve">s 3 </w:t>
      </w:r>
      <w:r w:rsidR="00944106" w:rsidRPr="007F700D">
        <w:rPr>
          <w:rFonts w:cs="Arial"/>
        </w:rPr>
        <w:t>of the ILPA, w</w:t>
      </w:r>
      <w:r w:rsidR="00B7090B" w:rsidRPr="007F700D">
        <w:rPr>
          <w:rFonts w:cs="Arial"/>
        </w:rPr>
        <w:t>as</w:t>
      </w:r>
      <w:r w:rsidR="00944106" w:rsidRPr="007F700D">
        <w:rPr>
          <w:rFonts w:cs="Arial"/>
        </w:rPr>
        <w:t xml:space="preserve"> </w:t>
      </w:r>
      <w:r w:rsidR="009551F6" w:rsidRPr="007F700D">
        <w:rPr>
          <w:rFonts w:cs="Arial"/>
        </w:rPr>
        <w:t xml:space="preserve">seemingly sent </w:t>
      </w:r>
      <w:r w:rsidR="00944106" w:rsidRPr="007F700D">
        <w:rPr>
          <w:rFonts w:cs="Arial"/>
        </w:rPr>
        <w:t xml:space="preserve">to </w:t>
      </w:r>
      <w:r w:rsidR="00D704B5" w:rsidRPr="007F700D">
        <w:rPr>
          <w:rFonts w:cs="Arial"/>
        </w:rPr>
        <w:t xml:space="preserve">the </w:t>
      </w:r>
      <w:r w:rsidR="006F1EC8" w:rsidRPr="007F700D">
        <w:rPr>
          <w:rFonts w:cs="Arial"/>
        </w:rPr>
        <w:t>‘</w:t>
      </w:r>
      <w:r w:rsidR="00D704B5" w:rsidRPr="007F700D">
        <w:rPr>
          <w:rFonts w:cs="Arial"/>
          <w:i/>
          <w:iCs/>
        </w:rPr>
        <w:t>Ministry of Police</w:t>
      </w:r>
      <w:r w:rsidR="006F1EC8" w:rsidRPr="007F700D">
        <w:rPr>
          <w:rFonts w:cs="Arial"/>
        </w:rPr>
        <w:t>’</w:t>
      </w:r>
      <w:r w:rsidR="00935E76" w:rsidRPr="007F700D">
        <w:rPr>
          <w:rFonts w:cs="Arial"/>
        </w:rPr>
        <w:t xml:space="preserve"> </w:t>
      </w:r>
      <w:r w:rsidR="009551F6" w:rsidRPr="007F700D">
        <w:rPr>
          <w:rFonts w:cs="Arial"/>
        </w:rPr>
        <w:t>electronically</w:t>
      </w:r>
      <w:r w:rsidR="00614FE9" w:rsidRPr="007F700D">
        <w:rPr>
          <w:rFonts w:cs="Arial"/>
        </w:rPr>
        <w:t>.</w:t>
      </w:r>
      <w:r w:rsidR="00944106" w:rsidRPr="007F700D">
        <w:rPr>
          <w:rFonts w:cs="Arial"/>
        </w:rPr>
        <w:t xml:space="preserve"> </w:t>
      </w:r>
      <w:r w:rsidR="00614FE9" w:rsidRPr="007F700D">
        <w:rPr>
          <w:rFonts w:cs="Arial"/>
        </w:rPr>
        <w:t xml:space="preserve"> </w:t>
      </w:r>
      <w:r w:rsidR="00B01F11" w:rsidRPr="007F700D">
        <w:rPr>
          <w:rFonts w:cs="Arial"/>
        </w:rPr>
        <w:t>F</w:t>
      </w:r>
      <w:r w:rsidR="00A65156" w:rsidRPr="007F700D">
        <w:rPr>
          <w:rFonts w:cs="Arial"/>
        </w:rPr>
        <w:t xml:space="preserve">our </w:t>
      </w:r>
      <w:r w:rsidR="00954BAE" w:rsidRPr="007F700D">
        <w:rPr>
          <w:rFonts w:cs="Arial"/>
        </w:rPr>
        <w:t>official stamp</w:t>
      </w:r>
      <w:r w:rsidR="00C220E0" w:rsidRPr="007F700D">
        <w:rPr>
          <w:rFonts w:cs="Arial"/>
        </w:rPr>
        <w:t xml:space="preserve">s </w:t>
      </w:r>
      <w:r w:rsidR="00B01F11" w:rsidRPr="007F700D">
        <w:rPr>
          <w:rFonts w:cs="Arial"/>
        </w:rPr>
        <w:t xml:space="preserve">appear </w:t>
      </w:r>
      <w:r w:rsidR="00C220E0" w:rsidRPr="007F700D">
        <w:rPr>
          <w:rFonts w:cs="Arial"/>
        </w:rPr>
        <w:t>on it</w:t>
      </w:r>
      <w:r w:rsidR="005E5D11" w:rsidRPr="007F700D">
        <w:rPr>
          <w:rFonts w:cs="Arial"/>
        </w:rPr>
        <w:t xml:space="preserve">.  Viewing </w:t>
      </w:r>
      <w:r w:rsidR="007427C1" w:rsidRPr="007F700D">
        <w:rPr>
          <w:rFonts w:cs="Arial"/>
        </w:rPr>
        <w:t>this written notice</w:t>
      </w:r>
      <w:r w:rsidR="005E5D11" w:rsidRPr="007F700D">
        <w:rPr>
          <w:rFonts w:cs="Arial"/>
        </w:rPr>
        <w:t xml:space="preserve"> </w:t>
      </w:r>
      <w:r w:rsidR="00E76D42" w:rsidRPr="007F700D">
        <w:rPr>
          <w:rFonts w:cs="Arial"/>
        </w:rPr>
        <w:t>from left to right</w:t>
      </w:r>
      <w:r w:rsidR="00C5779B" w:rsidRPr="007F700D">
        <w:rPr>
          <w:rFonts w:cs="Arial"/>
        </w:rPr>
        <w:t>, as well as from</w:t>
      </w:r>
      <w:r w:rsidR="00E76D42" w:rsidRPr="007F700D">
        <w:rPr>
          <w:rFonts w:cs="Arial"/>
        </w:rPr>
        <w:t xml:space="preserve"> top to bottom</w:t>
      </w:r>
      <w:r w:rsidR="00C5779B" w:rsidRPr="007F700D">
        <w:rPr>
          <w:rFonts w:cs="Arial"/>
        </w:rPr>
        <w:t xml:space="preserve">, the stamps </w:t>
      </w:r>
      <w:r w:rsidR="002E4384" w:rsidRPr="007F700D">
        <w:rPr>
          <w:rFonts w:cs="Arial"/>
        </w:rPr>
        <w:t xml:space="preserve">that appear on it </w:t>
      </w:r>
      <w:r w:rsidR="00C5779B" w:rsidRPr="007F700D">
        <w:rPr>
          <w:rFonts w:cs="Arial"/>
        </w:rPr>
        <w:t>are those of</w:t>
      </w:r>
      <w:r w:rsidR="00D704B5" w:rsidRPr="007F700D">
        <w:rPr>
          <w:rFonts w:cs="Arial"/>
        </w:rPr>
        <w:t>: (</w:t>
      </w:r>
      <w:proofErr w:type="spellStart"/>
      <w:r w:rsidR="00D704B5" w:rsidRPr="007F700D">
        <w:rPr>
          <w:rFonts w:cs="Arial"/>
        </w:rPr>
        <w:t>i</w:t>
      </w:r>
      <w:proofErr w:type="spellEnd"/>
      <w:r w:rsidR="00D704B5" w:rsidRPr="007F700D">
        <w:rPr>
          <w:rFonts w:cs="Arial"/>
        </w:rPr>
        <w:t xml:space="preserve">) </w:t>
      </w:r>
      <w:r w:rsidR="00935E76" w:rsidRPr="007F700D">
        <w:rPr>
          <w:rFonts w:cs="Arial"/>
        </w:rPr>
        <w:t xml:space="preserve">the </w:t>
      </w:r>
      <w:r w:rsidR="00CB7C30" w:rsidRPr="007F700D">
        <w:rPr>
          <w:rFonts w:cs="Arial"/>
        </w:rPr>
        <w:t>Ministry of Police dated</w:t>
      </w:r>
      <w:r w:rsidR="00CD284B" w:rsidRPr="007F700D">
        <w:rPr>
          <w:rFonts w:cs="Arial"/>
        </w:rPr>
        <w:t xml:space="preserve"> 22 June 2021;</w:t>
      </w:r>
      <w:r w:rsidR="005445DA" w:rsidRPr="009E7656">
        <w:rPr>
          <w:rStyle w:val="FootnoteReference"/>
          <w:rFonts w:cs="Arial"/>
        </w:rPr>
        <w:footnoteReference w:id="26"/>
      </w:r>
      <w:r w:rsidR="00CD284B" w:rsidRPr="007F700D">
        <w:rPr>
          <w:rFonts w:cs="Arial"/>
        </w:rPr>
        <w:t xml:space="preserve"> </w:t>
      </w:r>
      <w:r w:rsidR="002C26CB" w:rsidRPr="007F700D">
        <w:rPr>
          <w:rFonts w:cs="Arial"/>
        </w:rPr>
        <w:t xml:space="preserve">and </w:t>
      </w:r>
      <w:r w:rsidR="00CD284B" w:rsidRPr="007F700D">
        <w:rPr>
          <w:rFonts w:cs="Arial"/>
        </w:rPr>
        <w:t>(ii)</w:t>
      </w:r>
      <w:r w:rsidR="00954BAE" w:rsidRPr="007F700D">
        <w:rPr>
          <w:rFonts w:cs="Arial"/>
        </w:rPr>
        <w:t xml:space="preserve"> </w:t>
      </w:r>
      <w:r w:rsidR="008135D7" w:rsidRPr="007F700D">
        <w:rPr>
          <w:rFonts w:cs="Arial"/>
        </w:rPr>
        <w:t>the Provincial Commissioner</w:t>
      </w:r>
      <w:r w:rsidR="00282C28" w:rsidRPr="007F700D">
        <w:rPr>
          <w:rFonts w:cs="Arial"/>
        </w:rPr>
        <w:t>: Legal Services: Gauteng</w:t>
      </w:r>
      <w:r w:rsidR="00CD284B" w:rsidRPr="007F700D">
        <w:rPr>
          <w:rFonts w:cs="Arial"/>
        </w:rPr>
        <w:t xml:space="preserve"> dated </w:t>
      </w:r>
      <w:r w:rsidR="005F56A7" w:rsidRPr="007F700D">
        <w:rPr>
          <w:rFonts w:cs="Arial"/>
        </w:rPr>
        <w:t>11 May 2021</w:t>
      </w:r>
      <w:r w:rsidR="00B91326" w:rsidRPr="007F700D">
        <w:rPr>
          <w:rFonts w:cs="Arial"/>
        </w:rPr>
        <w:t>,</w:t>
      </w:r>
      <w:r w:rsidR="00C53128">
        <w:rPr>
          <w:rStyle w:val="FootnoteReference"/>
          <w:rFonts w:cs="Arial"/>
        </w:rPr>
        <w:footnoteReference w:id="27"/>
      </w:r>
      <w:r w:rsidR="001B19E5" w:rsidRPr="007F700D">
        <w:rPr>
          <w:rFonts w:cs="Arial"/>
        </w:rPr>
        <w:t xml:space="preserve"> </w:t>
      </w:r>
      <w:r w:rsidR="00B91326" w:rsidRPr="007F700D">
        <w:rPr>
          <w:rFonts w:cs="Arial"/>
        </w:rPr>
        <w:t xml:space="preserve">as well as </w:t>
      </w:r>
      <w:r w:rsidR="007F648E" w:rsidRPr="007F700D">
        <w:rPr>
          <w:rFonts w:cs="Arial"/>
        </w:rPr>
        <w:t xml:space="preserve">two </w:t>
      </w:r>
      <w:r w:rsidR="00B129FF" w:rsidRPr="007F700D">
        <w:rPr>
          <w:rFonts w:cs="Arial"/>
        </w:rPr>
        <w:t xml:space="preserve">further </w:t>
      </w:r>
      <w:r w:rsidR="007F648E" w:rsidRPr="007F700D">
        <w:rPr>
          <w:rFonts w:cs="Arial"/>
        </w:rPr>
        <w:t xml:space="preserve">stamps of </w:t>
      </w:r>
      <w:r w:rsidR="00BC52E7" w:rsidRPr="007F700D">
        <w:rPr>
          <w:rFonts w:cs="Arial"/>
        </w:rPr>
        <w:t xml:space="preserve">the latter’s office, both </w:t>
      </w:r>
      <w:r w:rsidR="00213967" w:rsidRPr="007F700D">
        <w:rPr>
          <w:rFonts w:cs="Arial"/>
        </w:rPr>
        <w:t xml:space="preserve">dated </w:t>
      </w:r>
      <w:r w:rsidR="001B19E5" w:rsidRPr="007F700D">
        <w:rPr>
          <w:rFonts w:cs="Arial"/>
        </w:rPr>
        <w:t xml:space="preserve">29 </w:t>
      </w:r>
      <w:r w:rsidR="005445DA" w:rsidRPr="007F700D">
        <w:rPr>
          <w:rFonts w:cs="Arial"/>
        </w:rPr>
        <w:t>July 2021</w:t>
      </w:r>
      <w:r w:rsidR="007F648E" w:rsidRPr="007F700D">
        <w:rPr>
          <w:rFonts w:cs="Arial"/>
        </w:rPr>
        <w:t>.</w:t>
      </w:r>
      <w:r w:rsidR="00C53128">
        <w:rPr>
          <w:rStyle w:val="FootnoteReference"/>
          <w:rFonts w:cs="Arial"/>
        </w:rPr>
        <w:footnoteReference w:id="28"/>
      </w:r>
      <w:r w:rsidR="005445DA" w:rsidRPr="007F700D">
        <w:rPr>
          <w:rFonts w:cs="Arial"/>
        </w:rPr>
        <w:t xml:space="preserve"> </w:t>
      </w:r>
    </w:p>
    <w:p w14:paraId="57B94751" w14:textId="028F6BA7" w:rsidR="00DA0515" w:rsidRPr="007F700D" w:rsidRDefault="007F700D" w:rsidP="007F700D">
      <w:pPr>
        <w:spacing w:before="360" w:after="120" w:line="480" w:lineRule="auto"/>
        <w:ind w:left="709" w:hanging="720"/>
        <w:rPr>
          <w:rFonts w:cs="Arial"/>
        </w:rPr>
      </w:pPr>
      <w:r>
        <w:rPr>
          <w:rFonts w:cs="Arial"/>
        </w:rPr>
        <w:t>[17]</w:t>
      </w:r>
      <w:r>
        <w:rPr>
          <w:rFonts w:cs="Arial"/>
        </w:rPr>
        <w:tab/>
      </w:r>
      <w:r w:rsidR="00DA0515" w:rsidRPr="007F700D">
        <w:rPr>
          <w:rFonts w:cs="Arial"/>
        </w:rPr>
        <w:t xml:space="preserve">A further written </w:t>
      </w:r>
      <w:r w:rsidR="00575621" w:rsidRPr="007F700D">
        <w:rPr>
          <w:rFonts w:cs="Arial"/>
        </w:rPr>
        <w:t>not</w:t>
      </w:r>
      <w:r w:rsidR="00380CD4" w:rsidRPr="007F700D">
        <w:rPr>
          <w:rFonts w:cs="Arial"/>
        </w:rPr>
        <w:t>ice</w:t>
      </w:r>
      <w:r w:rsidR="00965549" w:rsidRPr="007F700D">
        <w:rPr>
          <w:rFonts w:cs="Arial"/>
        </w:rPr>
        <w:t xml:space="preserve"> dated 11 May 2021</w:t>
      </w:r>
      <w:r w:rsidR="00380CD4" w:rsidRPr="007F700D">
        <w:rPr>
          <w:rFonts w:cs="Arial"/>
        </w:rPr>
        <w:t xml:space="preserve">, </w:t>
      </w:r>
      <w:r w:rsidR="004B261C" w:rsidRPr="007F700D">
        <w:rPr>
          <w:rFonts w:cs="Arial"/>
        </w:rPr>
        <w:t xml:space="preserve">also </w:t>
      </w:r>
      <w:r w:rsidR="00392BA9" w:rsidRPr="007F700D">
        <w:rPr>
          <w:rFonts w:cs="Arial"/>
        </w:rPr>
        <w:t xml:space="preserve">apparently given in terms of s 3 of the ILPA, was seemingly sent to the </w:t>
      </w:r>
      <w:r w:rsidR="009815A2" w:rsidRPr="007F700D">
        <w:rPr>
          <w:rFonts w:cs="Arial"/>
        </w:rPr>
        <w:t>NPA electronically.</w:t>
      </w:r>
      <w:r w:rsidR="003C079F">
        <w:rPr>
          <w:rStyle w:val="FootnoteReference"/>
          <w:rFonts w:cs="Arial"/>
        </w:rPr>
        <w:footnoteReference w:id="29"/>
      </w:r>
      <w:r w:rsidR="009815A2" w:rsidRPr="007F700D">
        <w:rPr>
          <w:rFonts w:cs="Arial"/>
        </w:rPr>
        <w:t xml:space="preserve">  </w:t>
      </w:r>
      <w:r w:rsidR="00965549" w:rsidRPr="007F700D">
        <w:rPr>
          <w:rFonts w:cs="Arial"/>
        </w:rPr>
        <w:t>It appears to have been rec</w:t>
      </w:r>
      <w:r w:rsidR="00774619" w:rsidRPr="007F700D">
        <w:rPr>
          <w:rFonts w:cs="Arial"/>
        </w:rPr>
        <w:t xml:space="preserve">eived </w:t>
      </w:r>
      <w:r w:rsidR="00813FA5" w:rsidRPr="007F700D">
        <w:rPr>
          <w:rFonts w:cs="Arial"/>
        </w:rPr>
        <w:t>by</w:t>
      </w:r>
      <w:r w:rsidR="00774619" w:rsidRPr="007F700D">
        <w:rPr>
          <w:rFonts w:cs="Arial"/>
        </w:rPr>
        <w:t xml:space="preserve"> the NPA’s </w:t>
      </w:r>
      <w:r w:rsidR="002C0B92" w:rsidRPr="007F700D">
        <w:rPr>
          <w:rFonts w:cs="Arial"/>
        </w:rPr>
        <w:t xml:space="preserve">Legal Affairs Division </w:t>
      </w:r>
      <w:r w:rsidR="00774619" w:rsidRPr="007F700D">
        <w:rPr>
          <w:rFonts w:cs="Arial"/>
        </w:rPr>
        <w:t>on 11 May 2021</w:t>
      </w:r>
      <w:r w:rsidR="002C0B92" w:rsidRPr="007F700D">
        <w:rPr>
          <w:rFonts w:cs="Arial"/>
        </w:rPr>
        <w:t>,</w:t>
      </w:r>
      <w:r w:rsidR="00905A47">
        <w:rPr>
          <w:rStyle w:val="FootnoteReference"/>
          <w:rFonts w:cs="Arial"/>
        </w:rPr>
        <w:footnoteReference w:id="30"/>
      </w:r>
      <w:r w:rsidR="002C0B92" w:rsidRPr="007F700D">
        <w:rPr>
          <w:rFonts w:cs="Arial"/>
        </w:rPr>
        <w:t xml:space="preserve"> as two </w:t>
      </w:r>
      <w:r w:rsidR="00365933" w:rsidRPr="007F700D">
        <w:rPr>
          <w:rFonts w:cs="Arial"/>
        </w:rPr>
        <w:t xml:space="preserve">of </w:t>
      </w:r>
      <w:r w:rsidR="00BF58AC" w:rsidRPr="007F700D">
        <w:rPr>
          <w:rFonts w:cs="Arial"/>
        </w:rPr>
        <w:t xml:space="preserve">the </w:t>
      </w:r>
      <w:r w:rsidR="002C0B92" w:rsidRPr="007F700D">
        <w:rPr>
          <w:rFonts w:cs="Arial"/>
        </w:rPr>
        <w:t xml:space="preserve">stamps on </w:t>
      </w:r>
      <w:r w:rsidR="00480414" w:rsidRPr="007F700D">
        <w:rPr>
          <w:rFonts w:cs="Arial"/>
        </w:rPr>
        <w:t xml:space="preserve">it </w:t>
      </w:r>
      <w:r w:rsidR="003C079F" w:rsidRPr="007F700D">
        <w:rPr>
          <w:rFonts w:cs="Arial"/>
        </w:rPr>
        <w:t xml:space="preserve">also </w:t>
      </w:r>
      <w:r w:rsidR="0032276E" w:rsidRPr="007F700D">
        <w:rPr>
          <w:rFonts w:cs="Arial"/>
        </w:rPr>
        <w:t xml:space="preserve">reflect </w:t>
      </w:r>
      <w:r w:rsidR="003C079F" w:rsidRPr="007F700D">
        <w:rPr>
          <w:rFonts w:cs="Arial"/>
        </w:rPr>
        <w:t>that date</w:t>
      </w:r>
      <w:r w:rsidR="00813FA5" w:rsidRPr="007F700D">
        <w:rPr>
          <w:rFonts w:cs="Arial"/>
        </w:rPr>
        <w:t xml:space="preserve">, while </w:t>
      </w:r>
      <w:r w:rsidR="00E21FED" w:rsidRPr="007F700D">
        <w:rPr>
          <w:rFonts w:cs="Arial"/>
        </w:rPr>
        <w:t xml:space="preserve">the other stamp is dated </w:t>
      </w:r>
      <w:r w:rsidR="00905A47" w:rsidRPr="007F700D">
        <w:rPr>
          <w:rFonts w:cs="Arial"/>
        </w:rPr>
        <w:t>7</w:t>
      </w:r>
      <w:r w:rsidR="00F32B83" w:rsidRPr="007F700D">
        <w:rPr>
          <w:rFonts w:cs="Arial"/>
        </w:rPr>
        <w:t> </w:t>
      </w:r>
      <w:r w:rsidR="00E21FED" w:rsidRPr="007F700D">
        <w:rPr>
          <w:rFonts w:cs="Arial"/>
        </w:rPr>
        <w:t>Ju</w:t>
      </w:r>
      <w:r w:rsidR="00905A47" w:rsidRPr="007F700D">
        <w:rPr>
          <w:rFonts w:cs="Arial"/>
        </w:rPr>
        <w:t>ne</w:t>
      </w:r>
      <w:r w:rsidR="00E21FED" w:rsidRPr="007F700D">
        <w:rPr>
          <w:rFonts w:cs="Arial"/>
        </w:rPr>
        <w:t xml:space="preserve"> 2021</w:t>
      </w:r>
      <w:r w:rsidR="003C079F" w:rsidRPr="007F700D">
        <w:rPr>
          <w:rFonts w:cs="Arial"/>
        </w:rPr>
        <w:t>.</w:t>
      </w:r>
    </w:p>
    <w:p w14:paraId="437169B8" w14:textId="0503FB48" w:rsidR="00A11139" w:rsidRPr="00135227" w:rsidRDefault="00135227" w:rsidP="008D4E0C">
      <w:pPr>
        <w:spacing w:before="360" w:after="120" w:line="480" w:lineRule="auto"/>
        <w:rPr>
          <w:rFonts w:cs="Arial"/>
          <w:b/>
          <w:bCs/>
        </w:rPr>
      </w:pPr>
      <w:r w:rsidRPr="00135227">
        <w:rPr>
          <w:rFonts w:cs="Arial"/>
          <w:b/>
          <w:bCs/>
        </w:rPr>
        <w:t xml:space="preserve">THE </w:t>
      </w:r>
      <w:r w:rsidR="00712328">
        <w:rPr>
          <w:rFonts w:cs="Arial"/>
          <w:b/>
          <w:bCs/>
        </w:rPr>
        <w:t xml:space="preserve">CONDONATION </w:t>
      </w:r>
      <w:r w:rsidRPr="00135227">
        <w:rPr>
          <w:rFonts w:cs="Arial"/>
          <w:b/>
          <w:bCs/>
        </w:rPr>
        <w:t>APPLICATION</w:t>
      </w:r>
    </w:p>
    <w:p w14:paraId="1FD21D08" w14:textId="690134F3" w:rsidR="00686687" w:rsidRPr="00686687" w:rsidRDefault="00686687" w:rsidP="008D4E0C">
      <w:pPr>
        <w:spacing w:before="360" w:after="120" w:line="480" w:lineRule="auto"/>
        <w:rPr>
          <w:rFonts w:cs="Arial"/>
        </w:rPr>
      </w:pPr>
      <w:r w:rsidRPr="00263943">
        <w:rPr>
          <w:rFonts w:cs="Arial"/>
          <w:b/>
          <w:bCs/>
          <w:i/>
          <w:iCs/>
        </w:rPr>
        <w:t>Overview</w:t>
      </w:r>
      <w:r>
        <w:rPr>
          <w:rFonts w:cs="Arial"/>
        </w:rPr>
        <w:t>:</w:t>
      </w:r>
    </w:p>
    <w:p w14:paraId="273D68E3" w14:textId="4D7A34DB" w:rsidR="004003A2" w:rsidRPr="007F700D" w:rsidRDefault="007F700D" w:rsidP="007F700D">
      <w:pPr>
        <w:spacing w:before="360" w:after="120" w:line="480" w:lineRule="auto"/>
        <w:ind w:left="709" w:hanging="720"/>
        <w:rPr>
          <w:rFonts w:cs="Arial"/>
        </w:rPr>
      </w:pPr>
      <w:r w:rsidRPr="00A11139">
        <w:rPr>
          <w:rFonts w:cs="Arial"/>
        </w:rPr>
        <w:t>[18]</w:t>
      </w:r>
      <w:r w:rsidRPr="00A11139">
        <w:rPr>
          <w:rFonts w:cs="Arial"/>
        </w:rPr>
        <w:tab/>
      </w:r>
      <w:r w:rsidR="004003A2" w:rsidRPr="007F700D">
        <w:rPr>
          <w:rFonts w:cs="Arial"/>
        </w:rPr>
        <w:t xml:space="preserve">The </w:t>
      </w:r>
      <w:r w:rsidR="009F16B9" w:rsidRPr="007F700D">
        <w:rPr>
          <w:rFonts w:cs="Arial"/>
        </w:rPr>
        <w:t>condonation application</w:t>
      </w:r>
      <w:r w:rsidR="00712328" w:rsidRPr="007F700D">
        <w:rPr>
          <w:rFonts w:cs="Arial"/>
        </w:rPr>
        <w:t xml:space="preserve"> </w:t>
      </w:r>
      <w:r w:rsidR="008C2441" w:rsidRPr="007F700D">
        <w:rPr>
          <w:rFonts w:cs="Arial"/>
        </w:rPr>
        <w:t xml:space="preserve">was delivered on </w:t>
      </w:r>
      <w:r w:rsidR="00407E9B" w:rsidRPr="007F700D">
        <w:rPr>
          <w:rFonts w:cs="Arial"/>
        </w:rPr>
        <w:t>17 March 2023.</w:t>
      </w:r>
      <w:r w:rsidR="008B2749">
        <w:rPr>
          <w:rStyle w:val="FootnoteReference"/>
          <w:rFonts w:cs="Arial"/>
        </w:rPr>
        <w:footnoteReference w:id="31"/>
      </w:r>
    </w:p>
    <w:p w14:paraId="0E14FDAE" w14:textId="3FA1E768" w:rsidR="007302F7" w:rsidRPr="007F700D" w:rsidRDefault="007F700D" w:rsidP="007F700D">
      <w:pPr>
        <w:spacing w:before="360" w:after="120" w:line="480" w:lineRule="auto"/>
        <w:ind w:left="709" w:hanging="720"/>
        <w:rPr>
          <w:rFonts w:cs="Arial"/>
        </w:rPr>
      </w:pPr>
      <w:r>
        <w:rPr>
          <w:rFonts w:cs="Arial"/>
        </w:rPr>
        <w:lastRenderedPageBreak/>
        <w:t>[19]</w:t>
      </w:r>
      <w:r>
        <w:rPr>
          <w:rFonts w:cs="Arial"/>
        </w:rPr>
        <w:tab/>
      </w:r>
      <w:r w:rsidR="00742D82" w:rsidRPr="007F700D">
        <w:rPr>
          <w:rFonts w:cs="Arial"/>
        </w:rPr>
        <w:t xml:space="preserve">The </w:t>
      </w:r>
      <w:r w:rsidR="007C4E50" w:rsidRPr="007F700D">
        <w:rPr>
          <w:rFonts w:cs="Arial"/>
        </w:rPr>
        <w:t xml:space="preserve">factual basis </w:t>
      </w:r>
      <w:r w:rsidR="00366C0D" w:rsidRPr="007F700D">
        <w:rPr>
          <w:rFonts w:cs="Arial"/>
        </w:rPr>
        <w:t xml:space="preserve">on which </w:t>
      </w:r>
      <w:r w:rsidR="008B39BC" w:rsidRPr="007F700D">
        <w:rPr>
          <w:rFonts w:cs="Arial"/>
        </w:rPr>
        <w:t xml:space="preserve">condonation is </w:t>
      </w:r>
      <w:r w:rsidR="007C4E50" w:rsidRPr="007F700D">
        <w:rPr>
          <w:rFonts w:cs="Arial"/>
        </w:rPr>
        <w:t>sought</w:t>
      </w:r>
      <w:r w:rsidR="00791F33" w:rsidRPr="007F700D">
        <w:rPr>
          <w:rFonts w:cs="Arial"/>
        </w:rPr>
        <w:t xml:space="preserve"> by Mr </w:t>
      </w:r>
      <w:proofErr w:type="spellStart"/>
      <w:r w:rsidR="00791F33" w:rsidRPr="007F700D">
        <w:rPr>
          <w:rFonts w:cs="Arial"/>
        </w:rPr>
        <w:t>Mangasa</w:t>
      </w:r>
      <w:proofErr w:type="spellEnd"/>
      <w:r w:rsidR="004354E0" w:rsidRPr="007F700D">
        <w:rPr>
          <w:rFonts w:cs="Arial"/>
        </w:rPr>
        <w:t>,</w:t>
      </w:r>
      <w:r w:rsidR="00EF2B9D" w:rsidRPr="007F700D">
        <w:rPr>
          <w:rFonts w:cs="Arial"/>
        </w:rPr>
        <w:t xml:space="preserve"> can </w:t>
      </w:r>
      <w:r w:rsidR="00874D5F" w:rsidRPr="007F700D">
        <w:rPr>
          <w:rFonts w:cs="Arial"/>
        </w:rPr>
        <w:t>syn</w:t>
      </w:r>
      <w:r w:rsidR="005F7252" w:rsidRPr="007F700D">
        <w:rPr>
          <w:rFonts w:cs="Arial"/>
        </w:rPr>
        <w:t xml:space="preserve">optically </w:t>
      </w:r>
      <w:r w:rsidR="00EF2B9D" w:rsidRPr="007F700D">
        <w:rPr>
          <w:rFonts w:cs="Arial"/>
        </w:rPr>
        <w:t>be summarised as follows:</w:t>
      </w:r>
      <w:r w:rsidR="009F5A90">
        <w:rPr>
          <w:rStyle w:val="FootnoteReference"/>
          <w:rFonts w:cs="Arial"/>
        </w:rPr>
        <w:footnoteReference w:id="32"/>
      </w:r>
    </w:p>
    <w:p w14:paraId="65741BC4" w14:textId="649B908B" w:rsidR="009526C4" w:rsidRPr="007F700D" w:rsidRDefault="007F700D" w:rsidP="007F700D">
      <w:pPr>
        <w:spacing w:before="360" w:after="120" w:line="480" w:lineRule="auto"/>
        <w:ind w:left="1560" w:hanging="851"/>
        <w:rPr>
          <w:rFonts w:cs="Arial"/>
        </w:rPr>
      </w:pPr>
      <w:r w:rsidRPr="007302F7">
        <w:rPr>
          <w:rFonts w:cs="Arial"/>
        </w:rPr>
        <w:t>[19.1]</w:t>
      </w:r>
      <w:r w:rsidRPr="007302F7">
        <w:rPr>
          <w:rFonts w:cs="Arial"/>
        </w:rPr>
        <w:tab/>
      </w:r>
      <w:r w:rsidR="00F52072" w:rsidRPr="007F700D">
        <w:rPr>
          <w:rFonts w:cs="Arial"/>
        </w:rPr>
        <w:t>In</w:t>
      </w:r>
      <w:r w:rsidR="00870048" w:rsidRPr="007F700D">
        <w:rPr>
          <w:rFonts w:cs="Arial"/>
        </w:rPr>
        <w:t xml:space="preserve"> recounting</w:t>
      </w:r>
      <w:r w:rsidR="00085206" w:rsidRPr="007F700D">
        <w:rPr>
          <w:rFonts w:cs="Arial"/>
        </w:rPr>
        <w:t xml:space="preserve"> the circumstances of his </w:t>
      </w:r>
      <w:r w:rsidR="00252A4A" w:rsidRPr="007F700D">
        <w:rPr>
          <w:rFonts w:cs="Arial"/>
        </w:rPr>
        <w:t xml:space="preserve">wrongful </w:t>
      </w:r>
      <w:r w:rsidR="00F32B83" w:rsidRPr="007F700D">
        <w:rPr>
          <w:rFonts w:cs="Arial"/>
        </w:rPr>
        <w:t xml:space="preserve">and malicious </w:t>
      </w:r>
      <w:r w:rsidR="00085206" w:rsidRPr="007F700D">
        <w:rPr>
          <w:rFonts w:cs="Arial"/>
        </w:rPr>
        <w:t xml:space="preserve">arrest and detention, as well as </w:t>
      </w:r>
      <w:r w:rsidR="00F11B56" w:rsidRPr="007F700D">
        <w:rPr>
          <w:rFonts w:cs="Arial"/>
        </w:rPr>
        <w:t xml:space="preserve">that of </w:t>
      </w:r>
      <w:r w:rsidR="004322A0" w:rsidRPr="007F700D">
        <w:rPr>
          <w:rFonts w:cs="Arial"/>
        </w:rPr>
        <w:t xml:space="preserve">the alleged assault </w:t>
      </w:r>
      <w:r w:rsidR="003C0454" w:rsidRPr="007F700D">
        <w:rPr>
          <w:rFonts w:cs="Arial"/>
        </w:rPr>
        <w:t xml:space="preserve">perpetrated on him by </w:t>
      </w:r>
      <w:r w:rsidR="00EA550C" w:rsidRPr="007F700D">
        <w:rPr>
          <w:rFonts w:cs="Arial"/>
        </w:rPr>
        <w:t>Captain Zulu,</w:t>
      </w:r>
      <w:r w:rsidR="00EA550C">
        <w:rPr>
          <w:rStyle w:val="FootnoteReference"/>
          <w:rFonts w:cs="Arial"/>
        </w:rPr>
        <w:footnoteReference w:id="33"/>
      </w:r>
      <w:r w:rsidR="00D130F6" w:rsidRPr="007F700D">
        <w:rPr>
          <w:rFonts w:cs="Arial"/>
        </w:rPr>
        <w:t xml:space="preserve"> </w:t>
      </w:r>
      <w:r w:rsidR="00DE5A5E" w:rsidRPr="007F700D">
        <w:rPr>
          <w:rFonts w:cs="Arial"/>
        </w:rPr>
        <w:t xml:space="preserve">Mr </w:t>
      </w:r>
      <w:proofErr w:type="spellStart"/>
      <w:r w:rsidR="00DE5A5E" w:rsidRPr="007F700D">
        <w:rPr>
          <w:rFonts w:cs="Arial"/>
        </w:rPr>
        <w:t>Mangasa</w:t>
      </w:r>
      <w:proofErr w:type="spellEnd"/>
      <w:r w:rsidR="00DE5A5E" w:rsidRPr="007F700D">
        <w:rPr>
          <w:rFonts w:cs="Arial"/>
        </w:rPr>
        <w:t xml:space="preserve"> </w:t>
      </w:r>
      <w:r w:rsidR="006A437D" w:rsidRPr="007F700D">
        <w:rPr>
          <w:rFonts w:cs="Arial"/>
        </w:rPr>
        <w:t>states</w:t>
      </w:r>
      <w:r w:rsidR="00362B26" w:rsidRPr="007F700D">
        <w:rPr>
          <w:rFonts w:cs="Arial"/>
        </w:rPr>
        <w:t xml:space="preserve"> that </w:t>
      </w:r>
      <w:r w:rsidR="00FA23CC" w:rsidRPr="007F700D">
        <w:rPr>
          <w:rFonts w:cs="Arial"/>
        </w:rPr>
        <w:t>all</w:t>
      </w:r>
      <w:r w:rsidR="005A0F8F" w:rsidRPr="007F700D">
        <w:rPr>
          <w:rFonts w:cs="Arial"/>
        </w:rPr>
        <w:t xml:space="preserve"> </w:t>
      </w:r>
      <w:r w:rsidR="00422B35" w:rsidRPr="007F700D">
        <w:rPr>
          <w:rFonts w:cs="Arial"/>
        </w:rPr>
        <w:t xml:space="preserve">of this </w:t>
      </w:r>
      <w:r w:rsidR="00D7276A" w:rsidRPr="007F700D">
        <w:rPr>
          <w:rFonts w:cs="Arial"/>
        </w:rPr>
        <w:t>occurred</w:t>
      </w:r>
      <w:r w:rsidR="00E80020" w:rsidRPr="007F700D">
        <w:rPr>
          <w:rFonts w:cs="Arial"/>
        </w:rPr>
        <w:t xml:space="preserve"> when he went to lay a charge of robbery</w:t>
      </w:r>
      <w:r w:rsidR="001F5974" w:rsidRPr="007F700D">
        <w:rPr>
          <w:rFonts w:cs="Arial"/>
        </w:rPr>
        <w:t xml:space="preserve"> at the</w:t>
      </w:r>
      <w:r w:rsidR="00A05BDB" w:rsidRPr="007F700D">
        <w:rPr>
          <w:rFonts w:cs="Arial"/>
        </w:rPr>
        <w:t xml:space="preserve"> </w:t>
      </w:r>
      <w:proofErr w:type="spellStart"/>
      <w:r w:rsidR="00A05BDB" w:rsidRPr="007F700D">
        <w:rPr>
          <w:rFonts w:cs="Arial"/>
        </w:rPr>
        <w:t>Booysens</w:t>
      </w:r>
      <w:proofErr w:type="spellEnd"/>
      <w:r w:rsidR="00A05BDB" w:rsidRPr="007F700D">
        <w:rPr>
          <w:rFonts w:cs="Arial"/>
        </w:rPr>
        <w:t xml:space="preserve"> Police </w:t>
      </w:r>
      <w:r w:rsidR="00182383" w:rsidRPr="007F700D">
        <w:rPr>
          <w:rFonts w:cs="Arial"/>
        </w:rPr>
        <w:t>S</w:t>
      </w:r>
      <w:r w:rsidR="00A05BDB" w:rsidRPr="007F700D">
        <w:rPr>
          <w:rFonts w:cs="Arial"/>
        </w:rPr>
        <w:t>tation</w:t>
      </w:r>
      <w:r w:rsidR="000957C2" w:rsidRPr="007F700D">
        <w:rPr>
          <w:rFonts w:cs="Arial"/>
        </w:rPr>
        <w:t>.</w:t>
      </w:r>
      <w:r w:rsidR="0038053B">
        <w:rPr>
          <w:rStyle w:val="FootnoteReference"/>
          <w:rFonts w:cs="Arial"/>
        </w:rPr>
        <w:footnoteReference w:id="34"/>
      </w:r>
      <w:r w:rsidR="00182383" w:rsidRPr="007F700D">
        <w:rPr>
          <w:rFonts w:cs="Arial"/>
        </w:rPr>
        <w:t xml:space="preserve"> </w:t>
      </w:r>
      <w:r w:rsidR="000957C2" w:rsidRPr="007F700D">
        <w:rPr>
          <w:rFonts w:cs="Arial"/>
        </w:rPr>
        <w:t xml:space="preserve"> H</w:t>
      </w:r>
      <w:r w:rsidR="00182383" w:rsidRPr="007F700D">
        <w:rPr>
          <w:rFonts w:cs="Arial"/>
        </w:rPr>
        <w:t xml:space="preserve">e </w:t>
      </w:r>
      <w:r w:rsidR="00422B35" w:rsidRPr="007F700D">
        <w:rPr>
          <w:rFonts w:cs="Arial"/>
        </w:rPr>
        <w:t xml:space="preserve">further </w:t>
      </w:r>
      <w:r w:rsidR="00182383" w:rsidRPr="007F700D">
        <w:rPr>
          <w:rFonts w:cs="Arial"/>
        </w:rPr>
        <w:t xml:space="preserve">elaborates </w:t>
      </w:r>
      <w:r w:rsidR="000957C2" w:rsidRPr="007F700D">
        <w:rPr>
          <w:rFonts w:cs="Arial"/>
        </w:rPr>
        <w:t xml:space="preserve">thereon </w:t>
      </w:r>
      <w:r w:rsidR="00182383" w:rsidRPr="007F700D">
        <w:rPr>
          <w:rFonts w:cs="Arial"/>
        </w:rPr>
        <w:t>as follows</w:t>
      </w:r>
    </w:p>
    <w:p w14:paraId="111A172C" w14:textId="087F5EE8" w:rsidR="00191695" w:rsidRPr="00E7770B" w:rsidRDefault="0038053B" w:rsidP="00EC580F">
      <w:pPr>
        <w:tabs>
          <w:tab w:val="left" w:pos="2410"/>
        </w:tabs>
        <w:spacing w:before="120" w:after="120"/>
        <w:ind w:left="2410" w:right="521" w:hanging="425"/>
        <w:rPr>
          <w:rFonts w:cs="Arial"/>
          <w:sz w:val="20"/>
          <w:szCs w:val="20"/>
        </w:rPr>
      </w:pPr>
      <w:r w:rsidRPr="00E7770B">
        <w:rPr>
          <w:rFonts w:cs="Arial"/>
        </w:rPr>
        <w:t>‘</w:t>
      </w:r>
      <w:r w:rsidR="00191695" w:rsidRPr="00E7770B">
        <w:rPr>
          <w:rFonts w:cs="Arial"/>
          <w:sz w:val="20"/>
          <w:szCs w:val="20"/>
        </w:rPr>
        <w:t>7.</w:t>
      </w:r>
      <w:r w:rsidR="00EC580F">
        <w:rPr>
          <w:rFonts w:cs="Arial"/>
          <w:sz w:val="20"/>
          <w:szCs w:val="20"/>
        </w:rPr>
        <w:tab/>
      </w:r>
      <w:r w:rsidR="00C25BF0" w:rsidRPr="00E7770B">
        <w:rPr>
          <w:rFonts w:cs="Arial"/>
          <w:sz w:val="20"/>
          <w:szCs w:val="20"/>
        </w:rPr>
        <w:t xml:space="preserve">I was arrested when I went to lay a charge of robbery, whereby I was falsely accused of allegedly assaulting Captain </w:t>
      </w:r>
      <w:r w:rsidR="00594F31" w:rsidRPr="00E7770B">
        <w:rPr>
          <w:rFonts w:cs="Arial"/>
          <w:sz w:val="20"/>
          <w:szCs w:val="20"/>
        </w:rPr>
        <w:t xml:space="preserve">Reginald </w:t>
      </w:r>
      <w:proofErr w:type="spellStart"/>
      <w:r w:rsidR="00594F31" w:rsidRPr="00E7770B">
        <w:rPr>
          <w:rFonts w:cs="Arial"/>
          <w:sz w:val="20"/>
          <w:szCs w:val="20"/>
        </w:rPr>
        <w:t>Mxolisi</w:t>
      </w:r>
      <w:proofErr w:type="spellEnd"/>
      <w:r w:rsidR="006E0CA5" w:rsidRPr="00E7770B">
        <w:rPr>
          <w:rFonts w:cs="Arial"/>
          <w:sz w:val="20"/>
          <w:szCs w:val="20"/>
        </w:rPr>
        <w:t xml:space="preserve"> Zulu, </w:t>
      </w:r>
      <w:r w:rsidR="006E0CA5" w:rsidRPr="00A21E32">
        <w:rPr>
          <w:rFonts w:cs="Arial"/>
          <w:b/>
          <w:bCs/>
          <w:sz w:val="20"/>
          <w:szCs w:val="20"/>
        </w:rPr>
        <w:t>whereas in fact it was him who assaulted me and when I informed him that I will open a case against him</w:t>
      </w:r>
      <w:r w:rsidR="001F6490" w:rsidRPr="00A21E32">
        <w:rPr>
          <w:rFonts w:cs="Arial"/>
          <w:b/>
          <w:bCs/>
          <w:sz w:val="20"/>
          <w:szCs w:val="20"/>
        </w:rPr>
        <w:t xml:space="preserve"> that is when he opened a case against me to cover up himself</w:t>
      </w:r>
      <w:r w:rsidR="001F6490" w:rsidRPr="00E7770B">
        <w:rPr>
          <w:rFonts w:cs="Arial"/>
          <w:sz w:val="20"/>
          <w:szCs w:val="20"/>
        </w:rPr>
        <w:t xml:space="preserve">.  </w:t>
      </w:r>
    </w:p>
    <w:p w14:paraId="38059F9F" w14:textId="02F0F21C" w:rsidR="0038053B" w:rsidRPr="007302F7" w:rsidRDefault="0038053B" w:rsidP="00EC580F">
      <w:pPr>
        <w:pStyle w:val="ListParagraph"/>
        <w:tabs>
          <w:tab w:val="left" w:pos="2410"/>
        </w:tabs>
        <w:spacing w:before="120" w:after="120"/>
        <w:ind w:left="2410" w:right="521" w:hanging="425"/>
        <w:rPr>
          <w:rFonts w:cs="Arial"/>
        </w:rPr>
      </w:pPr>
      <w:r w:rsidRPr="007302F7">
        <w:rPr>
          <w:rFonts w:cs="Arial"/>
          <w:sz w:val="20"/>
          <w:szCs w:val="20"/>
        </w:rPr>
        <w:t>8.</w:t>
      </w:r>
      <w:r w:rsidRPr="007302F7">
        <w:rPr>
          <w:rFonts w:cs="Arial"/>
          <w:sz w:val="20"/>
          <w:szCs w:val="20"/>
        </w:rPr>
        <w:tab/>
      </w:r>
      <w:r w:rsidR="00D005BE" w:rsidRPr="007302F7">
        <w:rPr>
          <w:rFonts w:cs="Arial"/>
          <w:sz w:val="20"/>
          <w:szCs w:val="20"/>
        </w:rPr>
        <w:t xml:space="preserve">On the day in question </w:t>
      </w:r>
      <w:bookmarkStart w:id="22" w:name="_Hlk157525388"/>
      <w:r w:rsidR="00D005BE" w:rsidRPr="007302F7">
        <w:rPr>
          <w:rFonts w:cs="Arial"/>
          <w:sz w:val="20"/>
          <w:szCs w:val="20"/>
        </w:rPr>
        <w:t xml:space="preserve">the officer was taking my statement wanted me to sign the statement before I finished reading it </w:t>
      </w:r>
      <w:bookmarkEnd w:id="22"/>
      <w:r w:rsidR="00D005BE" w:rsidRPr="007302F7">
        <w:rPr>
          <w:rFonts w:cs="Arial"/>
          <w:sz w:val="20"/>
          <w:szCs w:val="20"/>
        </w:rPr>
        <w:t xml:space="preserve">and when I refused to sign, that is when he told </w:t>
      </w:r>
      <w:r w:rsidR="0004606A" w:rsidRPr="007302F7">
        <w:rPr>
          <w:rFonts w:cs="Arial"/>
          <w:sz w:val="20"/>
          <w:szCs w:val="20"/>
        </w:rPr>
        <w:t>*</w:t>
      </w:r>
      <w:r w:rsidR="00926094" w:rsidRPr="007302F7">
        <w:rPr>
          <w:rFonts w:cs="Arial"/>
          <w:sz w:val="20"/>
          <w:szCs w:val="20"/>
        </w:rPr>
        <w:t>[</w:t>
      </w:r>
      <w:r w:rsidR="00926094" w:rsidRPr="007302F7">
        <w:rPr>
          <w:rFonts w:cs="Arial"/>
          <w:b/>
          <w:bCs/>
          <w:sz w:val="20"/>
          <w:szCs w:val="20"/>
        </w:rPr>
        <w:t>sic</w:t>
      </w:r>
      <w:r w:rsidR="00926094" w:rsidRPr="007302F7">
        <w:rPr>
          <w:rFonts w:cs="Arial"/>
          <w:sz w:val="20"/>
          <w:szCs w:val="20"/>
        </w:rPr>
        <w:t>:</w:t>
      </w:r>
      <w:r w:rsidR="0004606A" w:rsidRPr="007302F7">
        <w:rPr>
          <w:rFonts w:cs="Arial"/>
          <w:sz w:val="20"/>
          <w:szCs w:val="20"/>
        </w:rPr>
        <w:t xml:space="preserve"> </w:t>
      </w:r>
      <w:r w:rsidR="00B6457A" w:rsidRPr="00B6457A">
        <w:rPr>
          <w:rFonts w:cs="Arial"/>
          <w:b/>
          <w:bCs/>
          <w:sz w:val="20"/>
          <w:szCs w:val="20"/>
        </w:rPr>
        <w:t xml:space="preserve">the </w:t>
      </w:r>
      <w:r w:rsidR="00CA24FC" w:rsidRPr="007302F7">
        <w:rPr>
          <w:rFonts w:cs="Arial"/>
          <w:b/>
          <w:bCs/>
          <w:sz w:val="20"/>
          <w:szCs w:val="20"/>
        </w:rPr>
        <w:t>pronoun</w:t>
      </w:r>
      <w:r w:rsidR="007A3599" w:rsidRPr="007302F7">
        <w:rPr>
          <w:rFonts w:cs="Arial"/>
          <w:b/>
          <w:bCs/>
          <w:sz w:val="20"/>
          <w:szCs w:val="20"/>
        </w:rPr>
        <w:t xml:space="preserve"> ‘</w:t>
      </w:r>
      <w:r w:rsidR="007A3599" w:rsidRPr="007302F7">
        <w:rPr>
          <w:rFonts w:cs="Arial"/>
          <w:b/>
          <w:bCs/>
          <w:i/>
          <w:iCs/>
          <w:sz w:val="20"/>
          <w:szCs w:val="20"/>
        </w:rPr>
        <w:t>me</w:t>
      </w:r>
      <w:r w:rsidR="00CA24FC" w:rsidRPr="007302F7">
        <w:rPr>
          <w:rFonts w:cs="Arial"/>
          <w:b/>
          <w:bCs/>
          <w:sz w:val="20"/>
          <w:szCs w:val="20"/>
        </w:rPr>
        <w:t>’ assumedly omitted</w:t>
      </w:r>
      <w:r w:rsidR="00926094" w:rsidRPr="007302F7">
        <w:rPr>
          <w:rFonts w:cs="Arial"/>
          <w:sz w:val="20"/>
          <w:szCs w:val="20"/>
        </w:rPr>
        <w:t>] to leave</w:t>
      </w:r>
      <w:r w:rsidR="003D6E28" w:rsidRPr="007302F7">
        <w:rPr>
          <w:rFonts w:cs="Arial"/>
          <w:sz w:val="20"/>
          <w:szCs w:val="20"/>
        </w:rPr>
        <w:t>, then</w:t>
      </w:r>
      <w:r w:rsidR="00F3590D" w:rsidRPr="007302F7">
        <w:rPr>
          <w:rFonts w:cs="Arial"/>
          <w:sz w:val="20"/>
          <w:szCs w:val="20"/>
        </w:rPr>
        <w:t xml:space="preserve"> I asked to speak to the O/C station, who was</w:t>
      </w:r>
      <w:r w:rsidR="008F380B" w:rsidRPr="007302F7">
        <w:rPr>
          <w:rFonts w:cs="Arial"/>
          <w:sz w:val="20"/>
          <w:szCs w:val="20"/>
        </w:rPr>
        <w:t xml:space="preserve"> Captain </w:t>
      </w:r>
      <w:r w:rsidR="00F3590D" w:rsidRPr="007302F7">
        <w:rPr>
          <w:rFonts w:cs="Arial"/>
          <w:sz w:val="20"/>
          <w:szCs w:val="20"/>
        </w:rPr>
        <w:t>Zulu</w:t>
      </w:r>
      <w:r w:rsidR="008F380B" w:rsidRPr="007302F7">
        <w:rPr>
          <w:rFonts w:cs="Arial"/>
          <w:sz w:val="20"/>
          <w:szCs w:val="20"/>
        </w:rPr>
        <w:t xml:space="preserve">, </w:t>
      </w:r>
      <w:r w:rsidR="008F380B" w:rsidRPr="003D1311">
        <w:rPr>
          <w:rFonts w:cs="Arial"/>
          <w:b/>
          <w:bCs/>
          <w:sz w:val="20"/>
          <w:szCs w:val="20"/>
        </w:rPr>
        <w:t>on explaining to him what was happening, he responded by telling me that I shouldn’t tell them out to do their job</w:t>
      </w:r>
      <w:r w:rsidR="001E2DD8" w:rsidRPr="003D1311">
        <w:rPr>
          <w:rFonts w:cs="Arial"/>
          <w:b/>
          <w:bCs/>
          <w:sz w:val="20"/>
          <w:szCs w:val="20"/>
        </w:rPr>
        <w:t xml:space="preserve"> and he then ended up assaulting me</w:t>
      </w:r>
      <w:r w:rsidR="001E2DD8" w:rsidRPr="007302F7">
        <w:rPr>
          <w:rFonts w:cs="Arial"/>
        </w:rPr>
        <w:t>.’</w:t>
      </w:r>
    </w:p>
    <w:p w14:paraId="69995BD1" w14:textId="7FE88C94" w:rsidR="004763DC" w:rsidRPr="00EC580F" w:rsidRDefault="004763DC" w:rsidP="0064581A">
      <w:pPr>
        <w:spacing w:before="240" w:after="120" w:line="480" w:lineRule="auto"/>
        <w:ind w:left="1985" w:right="521"/>
        <w:rPr>
          <w:rFonts w:cs="Arial"/>
        </w:rPr>
      </w:pPr>
      <w:r w:rsidRPr="00EC580F">
        <w:rPr>
          <w:rFonts w:cs="Arial"/>
        </w:rPr>
        <w:t xml:space="preserve">(Own </w:t>
      </w:r>
      <w:r w:rsidR="00A21E32">
        <w:rPr>
          <w:rFonts w:cs="Arial"/>
        </w:rPr>
        <w:t xml:space="preserve">emphasis and </w:t>
      </w:r>
      <w:r w:rsidRPr="00EC580F">
        <w:rPr>
          <w:rFonts w:cs="Arial"/>
        </w:rPr>
        <w:t>*insertion).</w:t>
      </w:r>
    </w:p>
    <w:p w14:paraId="468B3D8F" w14:textId="4F5401D8" w:rsidR="00D92CA5" w:rsidRPr="007F700D" w:rsidRDefault="007F700D" w:rsidP="007F700D">
      <w:pPr>
        <w:spacing w:before="360" w:after="120" w:line="480" w:lineRule="auto"/>
        <w:ind w:left="1560" w:hanging="851"/>
        <w:rPr>
          <w:rFonts w:cs="Arial"/>
        </w:rPr>
      </w:pPr>
      <w:r w:rsidRPr="00767938">
        <w:rPr>
          <w:rFonts w:cs="Arial"/>
        </w:rPr>
        <w:t>[19.2]</w:t>
      </w:r>
      <w:r w:rsidRPr="00767938">
        <w:rPr>
          <w:rFonts w:cs="Arial"/>
        </w:rPr>
        <w:tab/>
      </w:r>
      <w:r w:rsidR="007135CB" w:rsidRPr="007F700D">
        <w:rPr>
          <w:rFonts w:cs="Arial"/>
        </w:rPr>
        <w:t>Once</w:t>
      </w:r>
      <w:r w:rsidR="00E70A31" w:rsidRPr="007F700D">
        <w:rPr>
          <w:rFonts w:cs="Arial"/>
        </w:rPr>
        <w:t xml:space="preserve"> </w:t>
      </w:r>
      <w:r w:rsidR="00743D53" w:rsidRPr="007F700D">
        <w:rPr>
          <w:rFonts w:cs="Arial"/>
        </w:rPr>
        <w:t xml:space="preserve">Mr </w:t>
      </w:r>
      <w:proofErr w:type="spellStart"/>
      <w:r w:rsidR="00743D53" w:rsidRPr="007F700D">
        <w:rPr>
          <w:rFonts w:cs="Arial"/>
        </w:rPr>
        <w:t>Mangasa</w:t>
      </w:r>
      <w:proofErr w:type="spellEnd"/>
      <w:r w:rsidR="00E70A31" w:rsidRPr="007F700D">
        <w:rPr>
          <w:rFonts w:cs="Arial"/>
        </w:rPr>
        <w:t xml:space="preserve"> was </w:t>
      </w:r>
      <w:r w:rsidR="00743D53" w:rsidRPr="007F700D">
        <w:rPr>
          <w:rFonts w:cs="Arial"/>
        </w:rPr>
        <w:t xml:space="preserve">released </w:t>
      </w:r>
      <w:r w:rsidR="00E70A31" w:rsidRPr="007F700D">
        <w:rPr>
          <w:rFonts w:cs="Arial"/>
        </w:rPr>
        <w:t xml:space="preserve">on bail and attending </w:t>
      </w:r>
      <w:r w:rsidR="00933685" w:rsidRPr="007F700D">
        <w:rPr>
          <w:rFonts w:cs="Arial"/>
        </w:rPr>
        <w:t xml:space="preserve">to </w:t>
      </w:r>
      <w:r w:rsidR="00E70A31" w:rsidRPr="007F700D">
        <w:rPr>
          <w:rFonts w:cs="Arial"/>
        </w:rPr>
        <w:t xml:space="preserve">the ensuing criminal charges </w:t>
      </w:r>
      <w:r w:rsidR="005D1C81" w:rsidRPr="007F700D">
        <w:rPr>
          <w:rFonts w:cs="Arial"/>
        </w:rPr>
        <w:t xml:space="preserve">preferred </w:t>
      </w:r>
      <w:r w:rsidR="00E70A31" w:rsidRPr="007F700D">
        <w:rPr>
          <w:rFonts w:cs="Arial"/>
        </w:rPr>
        <w:t>against him, his focus was entirely on those proceedings</w:t>
      </w:r>
      <w:r w:rsidR="00D620E4" w:rsidRPr="007F700D">
        <w:rPr>
          <w:rFonts w:cs="Arial"/>
        </w:rPr>
        <w:t>;</w:t>
      </w:r>
      <w:r w:rsidR="00D620E4" w:rsidRPr="00767938">
        <w:rPr>
          <w:rStyle w:val="FootnoteReference"/>
          <w:rFonts w:cs="Arial"/>
        </w:rPr>
        <w:footnoteReference w:id="35"/>
      </w:r>
    </w:p>
    <w:p w14:paraId="6AA982E6" w14:textId="6169D073" w:rsidR="000348F3" w:rsidRPr="007F700D" w:rsidRDefault="007F700D" w:rsidP="007F700D">
      <w:pPr>
        <w:spacing w:before="360" w:after="120" w:line="480" w:lineRule="auto"/>
        <w:ind w:left="1560" w:hanging="851"/>
        <w:rPr>
          <w:rFonts w:cs="Arial"/>
        </w:rPr>
      </w:pPr>
      <w:r w:rsidRPr="00767938">
        <w:rPr>
          <w:rFonts w:cs="Arial"/>
        </w:rPr>
        <w:t>[19.3]</w:t>
      </w:r>
      <w:r w:rsidRPr="00767938">
        <w:rPr>
          <w:rFonts w:cs="Arial"/>
        </w:rPr>
        <w:tab/>
      </w:r>
      <w:r w:rsidR="00743D53" w:rsidRPr="007F700D">
        <w:rPr>
          <w:rFonts w:cs="Arial"/>
        </w:rPr>
        <w:t xml:space="preserve">Mr </w:t>
      </w:r>
      <w:proofErr w:type="spellStart"/>
      <w:r w:rsidR="00743D53" w:rsidRPr="007F700D">
        <w:rPr>
          <w:rFonts w:cs="Arial"/>
        </w:rPr>
        <w:t>Mangasa</w:t>
      </w:r>
      <w:proofErr w:type="spellEnd"/>
      <w:r w:rsidR="001200FC" w:rsidRPr="007F700D">
        <w:rPr>
          <w:rFonts w:cs="Arial"/>
        </w:rPr>
        <w:t xml:space="preserve"> was traumatised by the treatment he received</w:t>
      </w:r>
      <w:r w:rsidR="00F716A2" w:rsidRPr="007F700D">
        <w:rPr>
          <w:rFonts w:cs="Arial"/>
        </w:rPr>
        <w:t xml:space="preserve"> at the hands of the SAPS</w:t>
      </w:r>
      <w:r w:rsidR="001602EB" w:rsidRPr="007F700D">
        <w:rPr>
          <w:rFonts w:cs="Arial"/>
        </w:rPr>
        <w:t xml:space="preserve"> and, although he </w:t>
      </w:r>
      <w:r w:rsidR="00386A7E" w:rsidRPr="007F700D">
        <w:rPr>
          <w:rFonts w:cs="Arial"/>
        </w:rPr>
        <w:t xml:space="preserve">knew that he </w:t>
      </w:r>
      <w:r w:rsidR="001602EB" w:rsidRPr="007F700D">
        <w:rPr>
          <w:rFonts w:cs="Arial"/>
        </w:rPr>
        <w:t xml:space="preserve">had been arrested </w:t>
      </w:r>
      <w:r w:rsidR="001602EB" w:rsidRPr="007F700D">
        <w:rPr>
          <w:rFonts w:cs="Arial"/>
        </w:rPr>
        <w:lastRenderedPageBreak/>
        <w:t>unlawfully</w:t>
      </w:r>
      <w:r w:rsidR="00760FCB" w:rsidRPr="007F700D">
        <w:rPr>
          <w:rFonts w:cs="Arial"/>
        </w:rPr>
        <w:t>, he did not know that he had a</w:t>
      </w:r>
      <w:r w:rsidR="00BC4691" w:rsidRPr="007F700D">
        <w:rPr>
          <w:rFonts w:cs="Arial"/>
        </w:rPr>
        <w:t>ny</w:t>
      </w:r>
      <w:r w:rsidR="00760FCB" w:rsidRPr="007F700D">
        <w:rPr>
          <w:rFonts w:cs="Arial"/>
        </w:rPr>
        <w:t xml:space="preserve"> right of recourse against</w:t>
      </w:r>
      <w:r w:rsidR="00B429A6" w:rsidRPr="007F700D">
        <w:rPr>
          <w:rFonts w:cs="Arial"/>
        </w:rPr>
        <w:t xml:space="preserve"> ‘</w:t>
      </w:r>
      <w:r w:rsidR="00B429A6" w:rsidRPr="007F700D">
        <w:rPr>
          <w:rFonts w:cs="Arial"/>
          <w:i/>
          <w:iCs/>
        </w:rPr>
        <w:t>the Defendant</w:t>
      </w:r>
      <w:r w:rsidR="00B429A6" w:rsidRPr="007F700D">
        <w:rPr>
          <w:rFonts w:cs="Arial"/>
        </w:rPr>
        <w:t>’ (</w:t>
      </w:r>
      <w:r w:rsidR="00F1700B" w:rsidRPr="007F700D">
        <w:rPr>
          <w:rFonts w:cs="Arial"/>
        </w:rPr>
        <w:t>assumedly a reference to ‘</w:t>
      </w:r>
      <w:r w:rsidR="00F1700B" w:rsidRPr="007F700D">
        <w:rPr>
          <w:rFonts w:cs="Arial"/>
          <w:i/>
          <w:iCs/>
        </w:rPr>
        <w:t>the Minister</w:t>
      </w:r>
      <w:r w:rsidR="00F1700B" w:rsidRPr="007F700D">
        <w:rPr>
          <w:rFonts w:cs="Arial"/>
        </w:rPr>
        <w:t>’);</w:t>
      </w:r>
      <w:r w:rsidR="00F1700B" w:rsidRPr="00767938">
        <w:rPr>
          <w:rStyle w:val="FootnoteReference"/>
          <w:rFonts w:cs="Arial"/>
        </w:rPr>
        <w:footnoteReference w:id="36"/>
      </w:r>
    </w:p>
    <w:p w14:paraId="152A2028" w14:textId="5BE9B56A" w:rsidR="00B43DDE" w:rsidRPr="007F700D" w:rsidRDefault="007F700D" w:rsidP="007F700D">
      <w:pPr>
        <w:spacing w:before="360" w:after="120" w:line="480" w:lineRule="auto"/>
        <w:ind w:left="1560" w:hanging="851"/>
        <w:rPr>
          <w:rFonts w:cs="Arial"/>
        </w:rPr>
      </w:pPr>
      <w:r w:rsidRPr="00767938">
        <w:rPr>
          <w:rFonts w:cs="Arial"/>
        </w:rPr>
        <w:t>[19.4]</w:t>
      </w:r>
      <w:r w:rsidRPr="00767938">
        <w:rPr>
          <w:rFonts w:cs="Arial"/>
        </w:rPr>
        <w:tab/>
      </w:r>
      <w:r w:rsidR="00FB0A3C" w:rsidRPr="007F700D">
        <w:rPr>
          <w:rFonts w:cs="Arial"/>
        </w:rPr>
        <w:t xml:space="preserve">It was </w:t>
      </w:r>
      <w:r w:rsidR="00921D56" w:rsidRPr="007F700D">
        <w:rPr>
          <w:rFonts w:cs="Arial"/>
        </w:rPr>
        <w:t xml:space="preserve">only after </w:t>
      </w:r>
      <w:r w:rsidR="005B45F5" w:rsidRPr="007F700D">
        <w:rPr>
          <w:rFonts w:cs="Arial"/>
        </w:rPr>
        <w:t xml:space="preserve">Mr </w:t>
      </w:r>
      <w:proofErr w:type="spellStart"/>
      <w:r w:rsidR="005B45F5" w:rsidRPr="007F700D">
        <w:rPr>
          <w:rFonts w:cs="Arial"/>
        </w:rPr>
        <w:t>Mangasa</w:t>
      </w:r>
      <w:proofErr w:type="spellEnd"/>
      <w:r w:rsidR="006E760E" w:rsidRPr="007F700D">
        <w:rPr>
          <w:rFonts w:cs="Arial"/>
        </w:rPr>
        <w:t xml:space="preserve"> met his </w:t>
      </w:r>
      <w:r w:rsidR="00E86B75" w:rsidRPr="007F700D">
        <w:rPr>
          <w:rFonts w:cs="Arial"/>
        </w:rPr>
        <w:t xml:space="preserve">present </w:t>
      </w:r>
      <w:r w:rsidR="006E760E" w:rsidRPr="007F700D">
        <w:rPr>
          <w:rFonts w:cs="Arial"/>
        </w:rPr>
        <w:t>attorney of record, Mr</w:t>
      </w:r>
      <w:r w:rsidR="00E86B75" w:rsidRPr="007F700D">
        <w:rPr>
          <w:rFonts w:cs="Arial"/>
        </w:rPr>
        <w:t xml:space="preserve"> </w:t>
      </w:r>
      <w:proofErr w:type="spellStart"/>
      <w:r w:rsidR="00E86B75" w:rsidRPr="007F700D">
        <w:rPr>
          <w:rFonts w:cs="Arial"/>
        </w:rPr>
        <w:t>Thobane</w:t>
      </w:r>
      <w:proofErr w:type="spellEnd"/>
      <w:r w:rsidR="00E86B75" w:rsidRPr="007F700D">
        <w:rPr>
          <w:rFonts w:cs="Arial"/>
        </w:rPr>
        <w:t>,</w:t>
      </w:r>
      <w:r w:rsidR="00E778AB" w:rsidRPr="00767938">
        <w:rPr>
          <w:rStyle w:val="FootnoteReference"/>
          <w:rFonts w:cs="Arial"/>
        </w:rPr>
        <w:footnoteReference w:id="37"/>
      </w:r>
      <w:r w:rsidR="00E86B75" w:rsidRPr="007F700D">
        <w:rPr>
          <w:rFonts w:cs="Arial"/>
        </w:rPr>
        <w:t xml:space="preserve"> who had advised him</w:t>
      </w:r>
      <w:r w:rsidR="005E3009" w:rsidRPr="007F700D">
        <w:rPr>
          <w:rFonts w:cs="Arial"/>
        </w:rPr>
        <w:t xml:space="preserve"> that he had a right of recourse against ‘</w:t>
      </w:r>
      <w:r w:rsidR="005E3009" w:rsidRPr="007F700D">
        <w:rPr>
          <w:rFonts w:cs="Arial"/>
          <w:i/>
          <w:iCs/>
        </w:rPr>
        <w:t>the Minister</w:t>
      </w:r>
      <w:r w:rsidR="005E3009" w:rsidRPr="007F700D">
        <w:rPr>
          <w:rFonts w:cs="Arial"/>
        </w:rPr>
        <w:t>’</w:t>
      </w:r>
      <w:r w:rsidR="00561561" w:rsidRPr="007F700D">
        <w:rPr>
          <w:rFonts w:cs="Arial"/>
        </w:rPr>
        <w:t>, that he realised that he had to act</w:t>
      </w:r>
      <w:r w:rsidR="00E3400D" w:rsidRPr="007F700D">
        <w:rPr>
          <w:rFonts w:cs="Arial"/>
        </w:rPr>
        <w:t xml:space="preserve"> with expedition</w:t>
      </w:r>
      <w:r w:rsidR="004A5E22" w:rsidRPr="007F700D">
        <w:rPr>
          <w:rFonts w:cs="Arial"/>
        </w:rPr>
        <w:t>,</w:t>
      </w:r>
      <w:r w:rsidR="00561561" w:rsidRPr="007F700D">
        <w:rPr>
          <w:rFonts w:cs="Arial"/>
        </w:rPr>
        <w:t xml:space="preserve"> and</w:t>
      </w:r>
      <w:r w:rsidR="00346CD6" w:rsidRPr="007F700D">
        <w:rPr>
          <w:rFonts w:cs="Arial"/>
        </w:rPr>
        <w:t xml:space="preserve"> </w:t>
      </w:r>
      <w:r w:rsidR="004A5E22" w:rsidRPr="007F700D">
        <w:rPr>
          <w:rFonts w:cs="Arial"/>
        </w:rPr>
        <w:t xml:space="preserve">that the serious trauma </w:t>
      </w:r>
      <w:r w:rsidR="00E3400D" w:rsidRPr="007F700D">
        <w:rPr>
          <w:rFonts w:cs="Arial"/>
        </w:rPr>
        <w:t xml:space="preserve">he </w:t>
      </w:r>
      <w:r w:rsidR="00BE40E3" w:rsidRPr="007F700D">
        <w:rPr>
          <w:rFonts w:cs="Arial"/>
        </w:rPr>
        <w:t xml:space="preserve">had </w:t>
      </w:r>
      <w:r w:rsidR="00E3400D" w:rsidRPr="007F700D">
        <w:rPr>
          <w:rFonts w:cs="Arial"/>
        </w:rPr>
        <w:t>suffered</w:t>
      </w:r>
      <w:r w:rsidR="00BE40E3" w:rsidRPr="007F700D">
        <w:rPr>
          <w:rFonts w:cs="Arial"/>
        </w:rPr>
        <w:t xml:space="preserve"> motivated him to do so;</w:t>
      </w:r>
      <w:r w:rsidR="00BE40E3" w:rsidRPr="00767938">
        <w:rPr>
          <w:rStyle w:val="FootnoteReference"/>
          <w:rFonts w:cs="Arial"/>
        </w:rPr>
        <w:footnoteReference w:id="38"/>
      </w:r>
    </w:p>
    <w:p w14:paraId="5AE1E74F" w14:textId="221F073F" w:rsidR="004B2BC8" w:rsidRPr="007F700D" w:rsidRDefault="007F700D" w:rsidP="007F700D">
      <w:pPr>
        <w:spacing w:before="360" w:after="120" w:line="480" w:lineRule="auto"/>
        <w:ind w:left="1560" w:hanging="851"/>
        <w:rPr>
          <w:rFonts w:cs="Arial"/>
        </w:rPr>
      </w:pPr>
      <w:r>
        <w:rPr>
          <w:rFonts w:cs="Arial"/>
        </w:rPr>
        <w:t>[19.5]</w:t>
      </w:r>
      <w:r>
        <w:rPr>
          <w:rFonts w:cs="Arial"/>
        </w:rPr>
        <w:tab/>
      </w:r>
      <w:r w:rsidR="005B45F5" w:rsidRPr="007F700D">
        <w:rPr>
          <w:rFonts w:cs="Arial"/>
        </w:rPr>
        <w:t xml:space="preserve">Mr </w:t>
      </w:r>
      <w:proofErr w:type="spellStart"/>
      <w:r w:rsidR="005B45F5" w:rsidRPr="007F700D">
        <w:rPr>
          <w:rFonts w:cs="Arial"/>
        </w:rPr>
        <w:t>Mangasa</w:t>
      </w:r>
      <w:proofErr w:type="spellEnd"/>
      <w:r w:rsidR="00E83E7D" w:rsidRPr="007F700D">
        <w:rPr>
          <w:rFonts w:cs="Arial"/>
        </w:rPr>
        <w:t xml:space="preserve"> was also unaware of the provisions of</w:t>
      </w:r>
      <w:r w:rsidR="007A580F" w:rsidRPr="007F700D">
        <w:rPr>
          <w:rFonts w:cs="Arial"/>
        </w:rPr>
        <w:t xml:space="preserve"> the ILPA until he was advised of by Mr</w:t>
      </w:r>
      <w:r w:rsidR="00423EED" w:rsidRPr="007F700D">
        <w:rPr>
          <w:rFonts w:cs="Arial"/>
        </w:rPr>
        <w:t xml:space="preserve"> </w:t>
      </w:r>
      <w:proofErr w:type="spellStart"/>
      <w:r w:rsidR="00423EED" w:rsidRPr="007F700D">
        <w:rPr>
          <w:rFonts w:cs="Arial"/>
        </w:rPr>
        <w:t>Thobane</w:t>
      </w:r>
      <w:proofErr w:type="spellEnd"/>
      <w:r w:rsidR="00423EED" w:rsidRPr="007F700D">
        <w:rPr>
          <w:rFonts w:cs="Arial"/>
        </w:rPr>
        <w:t>;</w:t>
      </w:r>
      <w:r w:rsidR="00423EED" w:rsidRPr="00767938">
        <w:rPr>
          <w:rStyle w:val="FootnoteReference"/>
          <w:rFonts w:cs="Arial"/>
        </w:rPr>
        <w:footnoteReference w:id="39"/>
      </w:r>
      <w:r w:rsidR="008608E5" w:rsidRPr="007F700D">
        <w:rPr>
          <w:rFonts w:cs="Arial"/>
        </w:rPr>
        <w:t xml:space="preserve"> and</w:t>
      </w:r>
    </w:p>
    <w:p w14:paraId="631A77C4" w14:textId="7E559D23" w:rsidR="008608E5" w:rsidRPr="007F700D" w:rsidRDefault="007F700D" w:rsidP="007F700D">
      <w:pPr>
        <w:spacing w:before="360" w:after="120" w:line="480" w:lineRule="auto"/>
        <w:ind w:left="1560" w:hanging="851"/>
        <w:rPr>
          <w:rFonts w:cs="Arial"/>
        </w:rPr>
      </w:pPr>
      <w:r>
        <w:rPr>
          <w:rFonts w:cs="Arial"/>
        </w:rPr>
        <w:t>[19.6]</w:t>
      </w:r>
      <w:r>
        <w:rPr>
          <w:rFonts w:cs="Arial"/>
        </w:rPr>
        <w:tab/>
      </w:r>
      <w:r w:rsidR="00E778AB" w:rsidRPr="007F700D">
        <w:rPr>
          <w:rFonts w:cs="Arial"/>
        </w:rPr>
        <w:t>He instructed</w:t>
      </w:r>
      <w:r w:rsidR="003A43A7" w:rsidRPr="007F700D">
        <w:rPr>
          <w:rFonts w:cs="Arial"/>
        </w:rPr>
        <w:t xml:space="preserve"> Mr</w:t>
      </w:r>
      <w:r w:rsidR="00EA7673" w:rsidRPr="007F700D">
        <w:rPr>
          <w:rFonts w:cs="Arial"/>
        </w:rPr>
        <w:t xml:space="preserve"> </w:t>
      </w:r>
      <w:proofErr w:type="spellStart"/>
      <w:r w:rsidR="00EA7673" w:rsidRPr="007F700D">
        <w:rPr>
          <w:rFonts w:cs="Arial"/>
        </w:rPr>
        <w:t>Thobane</w:t>
      </w:r>
      <w:proofErr w:type="spellEnd"/>
      <w:r w:rsidR="00EA7673" w:rsidRPr="007F700D">
        <w:rPr>
          <w:rFonts w:cs="Arial"/>
        </w:rPr>
        <w:t xml:space="preserve"> to institute proceedings for damages against ‘</w:t>
      </w:r>
      <w:r w:rsidR="00DF348A" w:rsidRPr="007F700D">
        <w:rPr>
          <w:rFonts w:cs="Arial"/>
          <w:i/>
        </w:rPr>
        <w:t>the Minister</w:t>
      </w:r>
      <w:r w:rsidR="00DF348A" w:rsidRPr="007F700D">
        <w:rPr>
          <w:rFonts w:cs="Arial"/>
        </w:rPr>
        <w:t>’</w:t>
      </w:r>
      <w:r w:rsidR="00323E27" w:rsidRPr="007F700D">
        <w:rPr>
          <w:rFonts w:cs="Arial"/>
        </w:rPr>
        <w:t xml:space="preserve"> and</w:t>
      </w:r>
      <w:r w:rsidR="000F1B8F" w:rsidRPr="007F700D">
        <w:rPr>
          <w:rFonts w:cs="Arial"/>
        </w:rPr>
        <w:t xml:space="preserve"> his </w:t>
      </w:r>
      <w:r w:rsidR="00203DDE" w:rsidRPr="007F700D">
        <w:rPr>
          <w:rFonts w:cs="Arial"/>
        </w:rPr>
        <w:t>attorney</w:t>
      </w:r>
      <w:r w:rsidR="000F1B8F" w:rsidRPr="007F700D">
        <w:rPr>
          <w:rFonts w:cs="Arial"/>
        </w:rPr>
        <w:t xml:space="preserve"> then sent a written notice in terms of s 3 of the ILPA </w:t>
      </w:r>
      <w:r w:rsidR="004B64A3" w:rsidRPr="007F700D">
        <w:rPr>
          <w:rFonts w:cs="Arial"/>
        </w:rPr>
        <w:t>of his intention to institute legal proceedings.</w:t>
      </w:r>
      <w:r w:rsidR="004B64A3">
        <w:rPr>
          <w:rStyle w:val="FootnoteReference"/>
          <w:rFonts w:cs="Arial"/>
        </w:rPr>
        <w:footnoteReference w:id="40"/>
      </w:r>
    </w:p>
    <w:p w14:paraId="25319420" w14:textId="3E27606F" w:rsidR="00DA073E" w:rsidRPr="00DA073E" w:rsidRDefault="00DA073E" w:rsidP="00AD1CFF">
      <w:pPr>
        <w:spacing w:before="360" w:after="120" w:line="480" w:lineRule="auto"/>
        <w:rPr>
          <w:rFonts w:cs="Arial"/>
        </w:rPr>
      </w:pPr>
      <w:r w:rsidRPr="00263943">
        <w:rPr>
          <w:rFonts w:cs="Arial"/>
          <w:b/>
          <w:bCs/>
          <w:i/>
          <w:iCs/>
        </w:rPr>
        <w:t>Opposition to the application for condonation</w:t>
      </w:r>
      <w:r>
        <w:rPr>
          <w:rFonts w:cs="Arial"/>
        </w:rPr>
        <w:t>:</w:t>
      </w:r>
    </w:p>
    <w:p w14:paraId="6BBA9886" w14:textId="4EB1F6A5" w:rsidR="001D2AFC" w:rsidRPr="007F700D" w:rsidRDefault="007F700D" w:rsidP="007F700D">
      <w:pPr>
        <w:spacing w:before="360" w:after="120" w:line="480" w:lineRule="auto"/>
        <w:ind w:left="709" w:hanging="720"/>
        <w:rPr>
          <w:rFonts w:cs="Arial"/>
        </w:rPr>
      </w:pPr>
      <w:r w:rsidRPr="000A7C7A">
        <w:rPr>
          <w:rFonts w:cs="Arial"/>
        </w:rPr>
        <w:t>[20]</w:t>
      </w:r>
      <w:r w:rsidRPr="000A7C7A">
        <w:rPr>
          <w:rFonts w:cs="Arial"/>
        </w:rPr>
        <w:tab/>
      </w:r>
      <w:r w:rsidR="001D2AFC" w:rsidRPr="007F700D">
        <w:rPr>
          <w:rFonts w:cs="Arial"/>
        </w:rPr>
        <w:t xml:space="preserve">The </w:t>
      </w:r>
      <w:bookmarkStart w:id="25" w:name="_Hlk159212732"/>
      <w:r w:rsidR="001D2AFC" w:rsidRPr="007F700D">
        <w:rPr>
          <w:rFonts w:cs="Arial"/>
        </w:rPr>
        <w:t xml:space="preserve">Minister delivered a </w:t>
      </w:r>
      <w:bookmarkStart w:id="26" w:name="_Hlk156467269"/>
      <w:r w:rsidR="001D2AFC" w:rsidRPr="007F700D">
        <w:rPr>
          <w:rFonts w:cs="Arial"/>
        </w:rPr>
        <w:t xml:space="preserve">notice of opposition </w:t>
      </w:r>
      <w:bookmarkEnd w:id="25"/>
      <w:bookmarkEnd w:id="26"/>
      <w:r w:rsidR="00414FF7" w:rsidRPr="007F700D">
        <w:rPr>
          <w:rFonts w:cs="Arial"/>
        </w:rPr>
        <w:t>to the application for condonation.</w:t>
      </w:r>
      <w:r w:rsidR="00414FF7" w:rsidRPr="000A7C7A">
        <w:rPr>
          <w:rStyle w:val="FootnoteReference"/>
          <w:rFonts w:cs="Arial"/>
        </w:rPr>
        <w:footnoteReference w:id="41"/>
      </w:r>
      <w:r w:rsidR="00547349" w:rsidRPr="007F700D">
        <w:rPr>
          <w:rFonts w:cs="Arial"/>
        </w:rPr>
        <w:t xml:space="preserve">  </w:t>
      </w:r>
      <w:bookmarkStart w:id="27" w:name="_Hlk155625693"/>
      <w:r w:rsidR="000B72F7" w:rsidRPr="007F700D">
        <w:rPr>
          <w:rFonts w:cs="Arial"/>
        </w:rPr>
        <w:t>The Minister’s</w:t>
      </w:r>
      <w:r w:rsidR="00AC20C7" w:rsidRPr="007F700D">
        <w:rPr>
          <w:rFonts w:cs="Arial"/>
        </w:rPr>
        <w:t xml:space="preserve"> </w:t>
      </w:r>
      <w:r w:rsidR="002A0C1E" w:rsidRPr="007F700D">
        <w:rPr>
          <w:rFonts w:cs="Arial"/>
        </w:rPr>
        <w:t xml:space="preserve">opposition is merely based on a point </w:t>
      </w:r>
      <w:r w:rsidR="005A67DD" w:rsidRPr="007F700D">
        <w:rPr>
          <w:rFonts w:cs="Arial"/>
        </w:rPr>
        <w:t>of law</w:t>
      </w:r>
      <w:bookmarkEnd w:id="27"/>
      <w:r w:rsidR="005A67DD" w:rsidRPr="007F700D">
        <w:rPr>
          <w:rFonts w:cs="Arial"/>
        </w:rPr>
        <w:t>.  Mr</w:t>
      </w:r>
      <w:r w:rsidR="00845466" w:rsidRPr="007F700D">
        <w:rPr>
          <w:rFonts w:cs="Arial"/>
        </w:rPr>
        <w:t> </w:t>
      </w:r>
      <w:proofErr w:type="spellStart"/>
      <w:r w:rsidR="005A67DD" w:rsidRPr="007F700D">
        <w:rPr>
          <w:rFonts w:cs="Arial"/>
        </w:rPr>
        <w:t>Mangasa’s</w:t>
      </w:r>
      <w:proofErr w:type="spellEnd"/>
      <w:r w:rsidR="005A67DD" w:rsidRPr="007F700D">
        <w:rPr>
          <w:rFonts w:cs="Arial"/>
        </w:rPr>
        <w:t xml:space="preserve"> </w:t>
      </w:r>
      <w:r w:rsidR="0003419B" w:rsidRPr="007F700D">
        <w:rPr>
          <w:rFonts w:cs="Arial"/>
        </w:rPr>
        <w:t xml:space="preserve">factual reasons for </w:t>
      </w:r>
      <w:r w:rsidR="00202CC6" w:rsidRPr="007F700D">
        <w:rPr>
          <w:rFonts w:cs="Arial"/>
        </w:rPr>
        <w:t xml:space="preserve">supposedly </w:t>
      </w:r>
      <w:r w:rsidR="0003419B" w:rsidRPr="007F700D">
        <w:rPr>
          <w:rFonts w:cs="Arial"/>
        </w:rPr>
        <w:t xml:space="preserve">not complying with s 3 of the ILPA are </w:t>
      </w:r>
      <w:r w:rsidR="000271A1" w:rsidRPr="007F700D">
        <w:rPr>
          <w:rFonts w:cs="Arial"/>
        </w:rPr>
        <w:t xml:space="preserve">therefore </w:t>
      </w:r>
      <w:r w:rsidR="00DA073E" w:rsidRPr="007F700D">
        <w:rPr>
          <w:rFonts w:cs="Arial"/>
        </w:rPr>
        <w:t>not contested.</w:t>
      </w:r>
    </w:p>
    <w:p w14:paraId="73CB81E9" w14:textId="16861917" w:rsidR="00DA073E" w:rsidRPr="007F700D" w:rsidRDefault="007F700D" w:rsidP="007F700D">
      <w:pPr>
        <w:spacing w:before="360" w:after="120" w:line="480" w:lineRule="auto"/>
        <w:ind w:left="709" w:hanging="720"/>
        <w:rPr>
          <w:rFonts w:cs="Arial"/>
        </w:rPr>
      </w:pPr>
      <w:r>
        <w:rPr>
          <w:rFonts w:cs="Arial"/>
        </w:rPr>
        <w:lastRenderedPageBreak/>
        <w:t>[21]</w:t>
      </w:r>
      <w:r>
        <w:rPr>
          <w:rFonts w:cs="Arial"/>
        </w:rPr>
        <w:tab/>
      </w:r>
      <w:r w:rsidR="00487A07" w:rsidRPr="007F700D">
        <w:rPr>
          <w:rFonts w:cs="Arial"/>
        </w:rPr>
        <w:t>As indicated earlier,</w:t>
      </w:r>
      <w:r w:rsidR="008B36C3">
        <w:rPr>
          <w:rStyle w:val="FootnoteReference"/>
          <w:rFonts w:cs="Arial"/>
        </w:rPr>
        <w:footnoteReference w:id="42"/>
      </w:r>
      <w:r w:rsidR="00487A07" w:rsidRPr="007F700D">
        <w:rPr>
          <w:rFonts w:cs="Arial"/>
        </w:rPr>
        <w:t xml:space="preserve"> </w:t>
      </w:r>
      <w:r w:rsidR="00820AE5" w:rsidRPr="007F700D">
        <w:rPr>
          <w:rFonts w:cs="Arial"/>
        </w:rPr>
        <w:t>t</w:t>
      </w:r>
      <w:r w:rsidR="00DA073E" w:rsidRPr="007F700D">
        <w:rPr>
          <w:rFonts w:cs="Arial"/>
        </w:rPr>
        <w:t xml:space="preserve">he point of law raised </w:t>
      </w:r>
      <w:r w:rsidR="00820AE5" w:rsidRPr="007F700D">
        <w:rPr>
          <w:rFonts w:cs="Arial"/>
        </w:rPr>
        <w:t xml:space="preserve">on behalf of the Minister </w:t>
      </w:r>
      <w:r w:rsidR="000271A1" w:rsidRPr="007F700D">
        <w:rPr>
          <w:rFonts w:cs="Arial"/>
        </w:rPr>
        <w:t>is simply that</w:t>
      </w:r>
      <w:r w:rsidR="00EC7FC9" w:rsidRPr="007F700D">
        <w:rPr>
          <w:rFonts w:cs="Arial"/>
        </w:rPr>
        <w:t xml:space="preserve"> the </w:t>
      </w:r>
      <w:r w:rsidR="0099397A" w:rsidRPr="007F700D">
        <w:rPr>
          <w:rFonts w:cs="Arial"/>
        </w:rPr>
        <w:t>debt bec</w:t>
      </w:r>
      <w:r w:rsidR="00786395" w:rsidRPr="007F700D">
        <w:rPr>
          <w:rFonts w:cs="Arial"/>
        </w:rPr>
        <w:t>a</w:t>
      </w:r>
      <w:r w:rsidR="0099397A" w:rsidRPr="007F700D">
        <w:rPr>
          <w:rFonts w:cs="Arial"/>
        </w:rPr>
        <w:t xml:space="preserve">me prescribed in terms of </w:t>
      </w:r>
      <w:r w:rsidR="006D7E52" w:rsidRPr="007F700D">
        <w:rPr>
          <w:rFonts w:cs="Arial"/>
        </w:rPr>
        <w:t xml:space="preserve">s 11(d) of </w:t>
      </w:r>
      <w:r w:rsidR="00E21728" w:rsidRPr="007F700D">
        <w:rPr>
          <w:rFonts w:cs="Arial"/>
        </w:rPr>
        <w:t>the Prescription Act and, as a resul</w:t>
      </w:r>
      <w:r w:rsidR="00511469" w:rsidRPr="007F700D">
        <w:rPr>
          <w:rFonts w:cs="Arial"/>
        </w:rPr>
        <w:t>t thereof, condonation is not possible under the provisions of s 3</w:t>
      </w:r>
      <w:r w:rsidR="000F34B1" w:rsidRPr="007F700D">
        <w:rPr>
          <w:rFonts w:cs="Arial"/>
        </w:rPr>
        <w:t>(4)(b) of the ILPA.</w:t>
      </w:r>
      <w:r w:rsidR="0040212E" w:rsidRPr="000A7C7A">
        <w:rPr>
          <w:rStyle w:val="FootnoteReference"/>
          <w:rFonts w:cs="Arial"/>
        </w:rPr>
        <w:footnoteReference w:id="43"/>
      </w:r>
      <w:r w:rsidR="00377644" w:rsidRPr="007F700D">
        <w:rPr>
          <w:rFonts w:cs="Arial"/>
        </w:rPr>
        <w:t xml:space="preserve">  The </w:t>
      </w:r>
      <w:r w:rsidR="00EA2339" w:rsidRPr="007F700D">
        <w:rPr>
          <w:rFonts w:cs="Arial"/>
        </w:rPr>
        <w:t xml:space="preserve">basis upon which the Minister contends that </w:t>
      </w:r>
      <w:r w:rsidR="00F60D84" w:rsidRPr="007F700D">
        <w:rPr>
          <w:rFonts w:cs="Arial"/>
        </w:rPr>
        <w:t xml:space="preserve">the </w:t>
      </w:r>
      <w:r w:rsidR="00746974" w:rsidRPr="007F700D">
        <w:rPr>
          <w:rFonts w:cs="Arial"/>
        </w:rPr>
        <w:t>‘</w:t>
      </w:r>
      <w:r w:rsidR="00F60D84" w:rsidRPr="007F700D">
        <w:rPr>
          <w:rFonts w:cs="Arial"/>
          <w:i/>
          <w:iCs/>
        </w:rPr>
        <w:t>debt</w:t>
      </w:r>
      <w:r w:rsidR="00746974" w:rsidRPr="007F700D">
        <w:rPr>
          <w:rFonts w:cs="Arial"/>
        </w:rPr>
        <w:t>’</w:t>
      </w:r>
      <w:r w:rsidR="00F60D84" w:rsidRPr="007F700D">
        <w:rPr>
          <w:rFonts w:cs="Arial"/>
        </w:rPr>
        <w:t xml:space="preserve"> became prescribed</w:t>
      </w:r>
      <w:r w:rsidR="00746974" w:rsidRPr="007F700D">
        <w:rPr>
          <w:rFonts w:cs="Arial"/>
        </w:rPr>
        <w:t>,</w:t>
      </w:r>
      <w:r w:rsidR="00F60D84" w:rsidRPr="007F700D">
        <w:rPr>
          <w:rFonts w:cs="Arial"/>
        </w:rPr>
        <w:t xml:space="preserve"> is</w:t>
      </w:r>
      <w:r w:rsidR="007F755A" w:rsidRPr="007F700D">
        <w:rPr>
          <w:rFonts w:cs="Arial"/>
        </w:rPr>
        <w:t xml:space="preserve"> as follows</w:t>
      </w:r>
      <w:r w:rsidR="00EB5188" w:rsidRPr="007F700D">
        <w:rPr>
          <w:rFonts w:cs="Arial"/>
        </w:rPr>
        <w:t>:</w:t>
      </w:r>
    </w:p>
    <w:p w14:paraId="61CB091E" w14:textId="5386D84A" w:rsidR="00EB5188" w:rsidRPr="007F700D" w:rsidRDefault="007F700D" w:rsidP="007F700D">
      <w:pPr>
        <w:spacing w:before="360" w:after="120" w:line="480" w:lineRule="auto"/>
        <w:ind w:left="1560" w:hanging="851"/>
        <w:rPr>
          <w:rFonts w:cs="Arial"/>
        </w:rPr>
      </w:pPr>
      <w:r>
        <w:rPr>
          <w:rFonts w:cs="Arial"/>
        </w:rPr>
        <w:t>[21.1]</w:t>
      </w:r>
      <w:r>
        <w:rPr>
          <w:rFonts w:cs="Arial"/>
        </w:rPr>
        <w:tab/>
      </w:r>
      <w:r w:rsidR="00975581" w:rsidRPr="007F700D">
        <w:rPr>
          <w:rFonts w:cs="Arial"/>
        </w:rPr>
        <w:t xml:space="preserve">Mr </w:t>
      </w:r>
      <w:proofErr w:type="spellStart"/>
      <w:r w:rsidR="00975581" w:rsidRPr="007F700D">
        <w:rPr>
          <w:rFonts w:cs="Arial"/>
        </w:rPr>
        <w:t>Mangasa</w:t>
      </w:r>
      <w:proofErr w:type="spellEnd"/>
      <w:r w:rsidR="006115C3" w:rsidRPr="007F700D">
        <w:rPr>
          <w:rFonts w:cs="Arial"/>
        </w:rPr>
        <w:t xml:space="preserve"> was </w:t>
      </w:r>
      <w:r w:rsidR="00AA12FA" w:rsidRPr="007F700D">
        <w:rPr>
          <w:rFonts w:cs="Arial"/>
        </w:rPr>
        <w:t xml:space="preserve">assaulted, </w:t>
      </w:r>
      <w:r w:rsidR="006115C3" w:rsidRPr="007F700D">
        <w:rPr>
          <w:rFonts w:cs="Arial"/>
        </w:rPr>
        <w:t xml:space="preserve">arrested </w:t>
      </w:r>
      <w:r w:rsidR="007251DE" w:rsidRPr="007F700D">
        <w:rPr>
          <w:rFonts w:cs="Arial"/>
        </w:rPr>
        <w:t xml:space="preserve">and detained </w:t>
      </w:r>
      <w:r w:rsidR="006115C3" w:rsidRPr="007F700D">
        <w:rPr>
          <w:rFonts w:cs="Arial"/>
        </w:rPr>
        <w:t>on 18 December 2018</w:t>
      </w:r>
      <w:r w:rsidR="00461DE3" w:rsidRPr="007F700D">
        <w:rPr>
          <w:rFonts w:cs="Arial"/>
        </w:rPr>
        <w:t>, which</w:t>
      </w:r>
      <w:r w:rsidR="006115C3" w:rsidRPr="007F700D">
        <w:rPr>
          <w:rFonts w:cs="Arial"/>
        </w:rPr>
        <w:t xml:space="preserve"> </w:t>
      </w:r>
      <w:r w:rsidR="000836C6" w:rsidRPr="007F700D">
        <w:rPr>
          <w:rFonts w:cs="Arial"/>
        </w:rPr>
        <w:t>resul</w:t>
      </w:r>
      <w:r w:rsidR="00461DE3" w:rsidRPr="007F700D">
        <w:rPr>
          <w:rFonts w:cs="Arial"/>
        </w:rPr>
        <w:t xml:space="preserve">ted </w:t>
      </w:r>
      <w:r w:rsidR="00536DDE" w:rsidRPr="007F700D">
        <w:rPr>
          <w:rFonts w:cs="Arial"/>
        </w:rPr>
        <w:t xml:space="preserve">in his </w:t>
      </w:r>
      <w:r w:rsidR="00C34A7F" w:rsidRPr="007F700D">
        <w:rPr>
          <w:rFonts w:cs="Arial"/>
        </w:rPr>
        <w:t>c</w:t>
      </w:r>
      <w:r w:rsidR="00EB6462" w:rsidRPr="007F700D">
        <w:rPr>
          <w:rFonts w:cs="Arial"/>
        </w:rPr>
        <w:t>laim</w:t>
      </w:r>
      <w:r w:rsidR="0064745E" w:rsidRPr="007F700D">
        <w:rPr>
          <w:rFonts w:cs="Arial"/>
        </w:rPr>
        <w:t>s</w:t>
      </w:r>
      <w:r w:rsidR="00C34A7F" w:rsidRPr="007F700D">
        <w:rPr>
          <w:rFonts w:cs="Arial"/>
        </w:rPr>
        <w:t xml:space="preserve"> </w:t>
      </w:r>
      <w:r w:rsidR="006115C3" w:rsidRPr="007F700D">
        <w:rPr>
          <w:rFonts w:cs="Arial"/>
        </w:rPr>
        <w:t xml:space="preserve">- </w:t>
      </w:r>
      <w:r w:rsidR="00B97257" w:rsidRPr="007F700D">
        <w:rPr>
          <w:rFonts w:cs="Arial"/>
        </w:rPr>
        <w:t>and the Minister’s</w:t>
      </w:r>
      <w:r w:rsidR="00D305B7" w:rsidRPr="007F700D">
        <w:rPr>
          <w:rFonts w:cs="Arial"/>
        </w:rPr>
        <w:t xml:space="preserve"> correlative </w:t>
      </w:r>
      <w:r w:rsidR="00021DC6" w:rsidRPr="007F700D">
        <w:rPr>
          <w:rFonts w:cs="Arial"/>
        </w:rPr>
        <w:t>‘</w:t>
      </w:r>
      <w:r w:rsidR="00B97257" w:rsidRPr="007F700D">
        <w:rPr>
          <w:rFonts w:cs="Arial"/>
          <w:i/>
          <w:iCs/>
        </w:rPr>
        <w:t>debt</w:t>
      </w:r>
      <w:r w:rsidR="00021DC6" w:rsidRPr="007F700D">
        <w:rPr>
          <w:rFonts w:cs="Arial"/>
        </w:rPr>
        <w:t xml:space="preserve">’ (the </w:t>
      </w:r>
      <w:r w:rsidR="006A7F99" w:rsidRPr="007F700D">
        <w:rPr>
          <w:rFonts w:cs="Arial"/>
        </w:rPr>
        <w:t>singular</w:t>
      </w:r>
      <w:r w:rsidR="0079583F" w:rsidRPr="007F700D">
        <w:rPr>
          <w:rFonts w:cs="Arial"/>
        </w:rPr>
        <w:t xml:space="preserve"> of this noun is employed</w:t>
      </w:r>
      <w:r w:rsidR="0064745E" w:rsidRPr="007F700D">
        <w:rPr>
          <w:rFonts w:cs="Arial"/>
        </w:rPr>
        <w:t xml:space="preserve"> in the Minister’s notice of opposition</w:t>
      </w:r>
      <w:r w:rsidR="0079583F" w:rsidRPr="007F700D">
        <w:rPr>
          <w:rFonts w:cs="Arial"/>
        </w:rPr>
        <w:t xml:space="preserve">) </w:t>
      </w:r>
      <w:r w:rsidR="00B97257" w:rsidRPr="007F700D">
        <w:rPr>
          <w:rFonts w:cs="Arial"/>
        </w:rPr>
        <w:t xml:space="preserve">- </w:t>
      </w:r>
      <w:r w:rsidR="002C5791" w:rsidRPr="007F700D">
        <w:rPr>
          <w:rFonts w:cs="Arial"/>
        </w:rPr>
        <w:t>ar</w:t>
      </w:r>
      <w:r w:rsidR="001C15BF" w:rsidRPr="007F700D">
        <w:rPr>
          <w:rFonts w:cs="Arial"/>
        </w:rPr>
        <w:t>ising</w:t>
      </w:r>
      <w:r w:rsidR="002C5791" w:rsidRPr="007F700D">
        <w:rPr>
          <w:rFonts w:cs="Arial"/>
        </w:rPr>
        <w:t xml:space="preserve"> on th</w:t>
      </w:r>
      <w:r w:rsidR="001C15BF" w:rsidRPr="007F700D">
        <w:rPr>
          <w:rFonts w:cs="Arial"/>
        </w:rPr>
        <w:t xml:space="preserve">at </w:t>
      </w:r>
      <w:r w:rsidR="002C5791" w:rsidRPr="007F700D">
        <w:rPr>
          <w:rFonts w:cs="Arial"/>
        </w:rPr>
        <w:t>date, i.e., 18 December 2018;</w:t>
      </w:r>
      <w:r w:rsidR="002C5791">
        <w:rPr>
          <w:rStyle w:val="FootnoteReference"/>
          <w:rFonts w:cs="Arial"/>
        </w:rPr>
        <w:footnoteReference w:id="44"/>
      </w:r>
    </w:p>
    <w:p w14:paraId="3EABF667" w14:textId="558413EA" w:rsidR="009B2A88" w:rsidRPr="007F700D" w:rsidRDefault="007F700D" w:rsidP="007F700D">
      <w:pPr>
        <w:spacing w:before="360" w:after="120" w:line="480" w:lineRule="auto"/>
        <w:ind w:left="1560" w:hanging="851"/>
        <w:rPr>
          <w:rFonts w:cs="Arial"/>
        </w:rPr>
      </w:pPr>
      <w:bookmarkStart w:id="29" w:name="_Hlk156903446"/>
      <w:bookmarkStart w:id="30" w:name="_Hlk159064923"/>
      <w:r>
        <w:rPr>
          <w:rFonts w:cs="Arial"/>
        </w:rPr>
        <w:t>[21.2]</w:t>
      </w:r>
      <w:r>
        <w:rPr>
          <w:rFonts w:cs="Arial"/>
        </w:rPr>
        <w:tab/>
      </w:r>
      <w:r w:rsidR="001A3748" w:rsidRPr="007F700D">
        <w:rPr>
          <w:rFonts w:cs="Arial"/>
        </w:rPr>
        <w:t xml:space="preserve">In </w:t>
      </w:r>
      <w:r w:rsidR="00B67DC6" w:rsidRPr="007F700D">
        <w:rPr>
          <w:rFonts w:cs="Arial"/>
        </w:rPr>
        <w:t xml:space="preserve">terms of s 12(1) of the </w:t>
      </w:r>
      <w:r w:rsidR="00DB097C" w:rsidRPr="007F700D">
        <w:rPr>
          <w:rFonts w:cs="Arial"/>
        </w:rPr>
        <w:t xml:space="preserve">Prescription </w:t>
      </w:r>
      <w:r w:rsidR="00B67DC6" w:rsidRPr="007F700D">
        <w:rPr>
          <w:rFonts w:cs="Arial"/>
        </w:rPr>
        <w:t xml:space="preserve">Act </w:t>
      </w:r>
      <w:bookmarkEnd w:id="29"/>
      <w:r w:rsidR="00370781" w:rsidRPr="007F700D">
        <w:rPr>
          <w:rFonts w:cs="Arial"/>
        </w:rPr>
        <w:t>–</w:t>
      </w:r>
      <w:r w:rsidR="00B67DC6" w:rsidRPr="007F700D">
        <w:rPr>
          <w:rFonts w:cs="Arial"/>
        </w:rPr>
        <w:t xml:space="preserve"> </w:t>
      </w:r>
      <w:r w:rsidR="00370781" w:rsidRPr="007F700D">
        <w:rPr>
          <w:rFonts w:cs="Arial"/>
        </w:rPr>
        <w:t xml:space="preserve">subject to </w:t>
      </w:r>
      <w:proofErr w:type="spellStart"/>
      <w:r w:rsidR="00370781" w:rsidRPr="007F700D">
        <w:rPr>
          <w:rFonts w:cs="Arial"/>
        </w:rPr>
        <w:t>ss</w:t>
      </w:r>
      <w:proofErr w:type="spellEnd"/>
      <w:r w:rsidR="00370781" w:rsidRPr="007F700D">
        <w:rPr>
          <w:rFonts w:cs="Arial"/>
        </w:rPr>
        <w:t xml:space="preserve"> (2), </w:t>
      </w:r>
      <w:r w:rsidR="00D14567" w:rsidRPr="007F700D">
        <w:rPr>
          <w:rFonts w:cs="Arial"/>
        </w:rPr>
        <w:t>(3) and (4)</w:t>
      </w:r>
      <w:r w:rsidR="00B95E00" w:rsidRPr="007F700D">
        <w:rPr>
          <w:rFonts w:cs="Arial"/>
        </w:rPr>
        <w:t xml:space="preserve"> thereof - prescription shall commence to run </w:t>
      </w:r>
      <w:r w:rsidR="00BE4E08" w:rsidRPr="007F700D">
        <w:rPr>
          <w:rFonts w:cs="Arial"/>
        </w:rPr>
        <w:t>‘</w:t>
      </w:r>
      <w:r w:rsidR="00B95E00" w:rsidRPr="007F700D">
        <w:rPr>
          <w:rFonts w:cs="Arial"/>
          <w:i/>
          <w:iCs/>
        </w:rPr>
        <w:t>as soon as the debt is due</w:t>
      </w:r>
      <w:r w:rsidR="00BE4E08" w:rsidRPr="007F700D">
        <w:rPr>
          <w:rFonts w:cs="Arial"/>
        </w:rPr>
        <w:t>’</w:t>
      </w:r>
      <w:bookmarkEnd w:id="30"/>
      <w:r w:rsidR="00BE4E08" w:rsidRPr="007F700D">
        <w:rPr>
          <w:rFonts w:cs="Arial"/>
        </w:rPr>
        <w:t>;</w:t>
      </w:r>
      <w:r w:rsidR="00BE4E08">
        <w:rPr>
          <w:rStyle w:val="FootnoteReference"/>
          <w:rFonts w:cs="Arial"/>
        </w:rPr>
        <w:footnoteReference w:id="45"/>
      </w:r>
    </w:p>
    <w:p w14:paraId="50E9FF60" w14:textId="1B5205DA" w:rsidR="003A172F" w:rsidRPr="007F700D" w:rsidRDefault="007F700D" w:rsidP="007F700D">
      <w:pPr>
        <w:spacing w:before="360" w:after="120" w:line="480" w:lineRule="auto"/>
        <w:ind w:left="1560" w:hanging="851"/>
        <w:rPr>
          <w:rFonts w:cs="Arial"/>
        </w:rPr>
      </w:pPr>
      <w:r>
        <w:rPr>
          <w:rFonts w:cs="Arial"/>
        </w:rPr>
        <w:t>[21.3]</w:t>
      </w:r>
      <w:r>
        <w:rPr>
          <w:rFonts w:cs="Arial"/>
        </w:rPr>
        <w:tab/>
      </w:r>
      <w:r w:rsidR="00BC2F81" w:rsidRPr="007F700D">
        <w:rPr>
          <w:rFonts w:cs="Arial"/>
        </w:rPr>
        <w:t>In terms of s 11(</w:t>
      </w:r>
      <w:r w:rsidR="00E41326" w:rsidRPr="007F700D">
        <w:rPr>
          <w:rFonts w:cs="Arial"/>
        </w:rPr>
        <w:t>d</w:t>
      </w:r>
      <w:r w:rsidR="00BC2F81" w:rsidRPr="007F700D">
        <w:rPr>
          <w:rFonts w:cs="Arial"/>
        </w:rPr>
        <w:t>)</w:t>
      </w:r>
      <w:r w:rsidR="002F5BCB">
        <w:rPr>
          <w:rStyle w:val="FootnoteReference"/>
          <w:rFonts w:cs="Arial"/>
        </w:rPr>
        <w:footnoteReference w:id="46"/>
      </w:r>
      <w:r w:rsidR="00BC2F81" w:rsidRPr="007F700D">
        <w:rPr>
          <w:rFonts w:cs="Arial"/>
        </w:rPr>
        <w:t xml:space="preserve"> of the Prescription Act</w:t>
      </w:r>
      <w:r w:rsidR="00794A9A" w:rsidRPr="007F700D">
        <w:rPr>
          <w:rFonts w:cs="Arial"/>
        </w:rPr>
        <w:t xml:space="preserve"> a debt </w:t>
      </w:r>
      <w:r w:rsidR="00636686" w:rsidRPr="007F700D">
        <w:rPr>
          <w:rFonts w:cs="Arial"/>
        </w:rPr>
        <w:t>of this nature</w:t>
      </w:r>
      <w:r w:rsidR="003E7304" w:rsidRPr="007F700D">
        <w:rPr>
          <w:rFonts w:cs="Arial"/>
        </w:rPr>
        <w:t xml:space="preserve"> prescribes after three years, save where an Act of Parliament </w:t>
      </w:r>
      <w:r w:rsidR="00614310" w:rsidRPr="007F700D">
        <w:rPr>
          <w:rFonts w:cs="Arial"/>
        </w:rPr>
        <w:t>provides otherwise;</w:t>
      </w:r>
      <w:r w:rsidR="00E22A95">
        <w:rPr>
          <w:rStyle w:val="FootnoteReference"/>
          <w:rFonts w:cs="Arial"/>
        </w:rPr>
        <w:footnoteReference w:id="47"/>
      </w:r>
      <w:r w:rsidR="006F312E" w:rsidRPr="007F700D">
        <w:rPr>
          <w:rFonts w:cs="Arial"/>
        </w:rPr>
        <w:t xml:space="preserve"> </w:t>
      </w:r>
    </w:p>
    <w:p w14:paraId="0BCA63BF" w14:textId="00E1748E" w:rsidR="00F945F7" w:rsidRPr="007F700D" w:rsidRDefault="007F700D" w:rsidP="007F700D">
      <w:pPr>
        <w:spacing w:before="360" w:after="120" w:line="480" w:lineRule="auto"/>
        <w:ind w:left="1560" w:hanging="851"/>
        <w:rPr>
          <w:rFonts w:cs="Arial"/>
        </w:rPr>
      </w:pPr>
      <w:r>
        <w:rPr>
          <w:rFonts w:cs="Arial"/>
        </w:rPr>
        <w:t>[21.4]</w:t>
      </w:r>
      <w:r>
        <w:rPr>
          <w:rFonts w:cs="Arial"/>
        </w:rPr>
        <w:tab/>
      </w:r>
      <w:r w:rsidR="00A2074F" w:rsidRPr="007F700D">
        <w:rPr>
          <w:rFonts w:cs="Arial"/>
        </w:rPr>
        <w:t xml:space="preserve">Since </w:t>
      </w:r>
      <w:r w:rsidR="00F945F7" w:rsidRPr="007F700D">
        <w:rPr>
          <w:rFonts w:cs="Arial"/>
        </w:rPr>
        <w:t xml:space="preserve">Mr </w:t>
      </w:r>
      <w:proofErr w:type="spellStart"/>
      <w:r w:rsidR="00F945F7" w:rsidRPr="007F700D">
        <w:rPr>
          <w:rFonts w:cs="Arial"/>
        </w:rPr>
        <w:t>Mangasa</w:t>
      </w:r>
      <w:r w:rsidR="00F81EAF" w:rsidRPr="007F700D">
        <w:rPr>
          <w:rFonts w:cs="Arial"/>
        </w:rPr>
        <w:t>’s</w:t>
      </w:r>
      <w:proofErr w:type="spellEnd"/>
      <w:r w:rsidR="00DA3620" w:rsidRPr="007F700D">
        <w:rPr>
          <w:rFonts w:cs="Arial"/>
        </w:rPr>
        <w:t xml:space="preserve"> claim became </w:t>
      </w:r>
      <w:r w:rsidR="009B2D15" w:rsidRPr="007F700D">
        <w:rPr>
          <w:rFonts w:cs="Arial"/>
        </w:rPr>
        <w:t>due on 18 Decem</w:t>
      </w:r>
      <w:r w:rsidR="001042BB" w:rsidRPr="007F700D">
        <w:rPr>
          <w:rFonts w:cs="Arial"/>
        </w:rPr>
        <w:t>ber 2018</w:t>
      </w:r>
      <w:r w:rsidR="00A2074F" w:rsidRPr="007F700D">
        <w:rPr>
          <w:rFonts w:cs="Arial"/>
        </w:rPr>
        <w:t xml:space="preserve"> it </w:t>
      </w:r>
      <w:r w:rsidR="00DA3620" w:rsidRPr="007F700D">
        <w:rPr>
          <w:rFonts w:cs="Arial"/>
        </w:rPr>
        <w:t>prescribed</w:t>
      </w:r>
      <w:r w:rsidR="004002DF" w:rsidRPr="007F700D">
        <w:rPr>
          <w:rFonts w:cs="Arial"/>
        </w:rPr>
        <w:t xml:space="preserve"> </w:t>
      </w:r>
      <w:r w:rsidR="005D44CD" w:rsidRPr="007F700D">
        <w:rPr>
          <w:rFonts w:cs="Arial"/>
        </w:rPr>
        <w:t>after the expiry of three years</w:t>
      </w:r>
      <w:r w:rsidR="00A632CC" w:rsidRPr="007F700D">
        <w:rPr>
          <w:rFonts w:cs="Arial"/>
        </w:rPr>
        <w:t xml:space="preserve"> from </w:t>
      </w:r>
      <w:r w:rsidR="000A27BB" w:rsidRPr="007F700D">
        <w:rPr>
          <w:rFonts w:cs="Arial"/>
        </w:rPr>
        <w:t>the latter date</w:t>
      </w:r>
      <w:r w:rsidR="000E7AD5" w:rsidRPr="007F700D">
        <w:rPr>
          <w:rFonts w:cs="Arial"/>
        </w:rPr>
        <w:t>: In particular</w:t>
      </w:r>
      <w:r w:rsidR="00CA0008" w:rsidRPr="007F700D">
        <w:rPr>
          <w:rFonts w:cs="Arial"/>
        </w:rPr>
        <w:t xml:space="preserve">, because Mr </w:t>
      </w:r>
      <w:proofErr w:type="spellStart"/>
      <w:r w:rsidR="00CA0008" w:rsidRPr="007F700D">
        <w:rPr>
          <w:rFonts w:cs="Arial"/>
        </w:rPr>
        <w:t>Mangasa</w:t>
      </w:r>
      <w:proofErr w:type="spellEnd"/>
      <w:r w:rsidR="00CA0008" w:rsidRPr="007F700D">
        <w:rPr>
          <w:rFonts w:cs="Arial"/>
        </w:rPr>
        <w:t xml:space="preserve"> f</w:t>
      </w:r>
      <w:r w:rsidR="00E03EF5" w:rsidRPr="007F700D">
        <w:rPr>
          <w:rFonts w:cs="Arial"/>
        </w:rPr>
        <w:t xml:space="preserve">ailed </w:t>
      </w:r>
      <w:r w:rsidR="00D11438" w:rsidRPr="007F700D">
        <w:rPr>
          <w:rFonts w:cs="Arial"/>
        </w:rPr>
        <w:t xml:space="preserve">to serve </w:t>
      </w:r>
      <w:r w:rsidR="005D646B" w:rsidRPr="007F700D">
        <w:rPr>
          <w:rFonts w:cs="Arial"/>
        </w:rPr>
        <w:t>his summons ‘</w:t>
      </w:r>
      <w:r w:rsidR="005D646B" w:rsidRPr="007F700D">
        <w:rPr>
          <w:rFonts w:cs="Arial"/>
          <w:i/>
          <w:iCs/>
        </w:rPr>
        <w:t>to date</w:t>
      </w:r>
      <w:r w:rsidR="005D646B" w:rsidRPr="007F700D">
        <w:rPr>
          <w:rFonts w:cs="Arial"/>
        </w:rPr>
        <w:t>’</w:t>
      </w:r>
      <w:r w:rsidR="004931D5" w:rsidRPr="007F700D">
        <w:rPr>
          <w:rFonts w:cs="Arial"/>
        </w:rPr>
        <w:t xml:space="preserve"> </w:t>
      </w:r>
      <w:r w:rsidR="00FA53E9" w:rsidRPr="007F700D">
        <w:rPr>
          <w:rFonts w:cs="Arial"/>
        </w:rPr>
        <w:lastRenderedPageBreak/>
        <w:t xml:space="preserve">prescription </w:t>
      </w:r>
      <w:r w:rsidR="000E1464" w:rsidRPr="007F700D">
        <w:rPr>
          <w:rFonts w:cs="Arial"/>
        </w:rPr>
        <w:t xml:space="preserve">was not interrupted </w:t>
      </w:r>
      <w:r w:rsidR="00FA53E9" w:rsidRPr="007F700D">
        <w:rPr>
          <w:rFonts w:cs="Arial"/>
        </w:rPr>
        <w:t xml:space="preserve">before </w:t>
      </w:r>
      <w:r w:rsidR="008A26FD" w:rsidRPr="007F700D">
        <w:rPr>
          <w:rFonts w:cs="Arial"/>
        </w:rPr>
        <w:t xml:space="preserve">the prescription period </w:t>
      </w:r>
      <w:r w:rsidR="00D15F4D" w:rsidRPr="007F700D">
        <w:rPr>
          <w:rFonts w:cs="Arial"/>
        </w:rPr>
        <w:t xml:space="preserve">already </w:t>
      </w:r>
      <w:r w:rsidR="0097020B" w:rsidRPr="007F700D">
        <w:rPr>
          <w:rFonts w:cs="Arial"/>
        </w:rPr>
        <w:t>had run its course</w:t>
      </w:r>
      <w:r w:rsidR="000F61ED" w:rsidRPr="007F700D">
        <w:rPr>
          <w:rFonts w:cs="Arial"/>
        </w:rPr>
        <w:t>.</w:t>
      </w:r>
      <w:r w:rsidR="000F61ED">
        <w:rPr>
          <w:rStyle w:val="FootnoteReference"/>
          <w:rFonts w:cs="Arial"/>
        </w:rPr>
        <w:footnoteReference w:id="48"/>
      </w:r>
      <w:r w:rsidR="00970241" w:rsidRPr="007F700D">
        <w:rPr>
          <w:rFonts w:cs="Arial"/>
        </w:rPr>
        <w:t xml:space="preserve"> </w:t>
      </w:r>
    </w:p>
    <w:p w14:paraId="6B7C9589" w14:textId="50BD29A4" w:rsidR="00590881" w:rsidRPr="0062472E" w:rsidRDefault="0062472E" w:rsidP="001D2AFC">
      <w:pPr>
        <w:spacing w:before="360" w:after="120" w:line="480" w:lineRule="auto"/>
        <w:rPr>
          <w:rFonts w:cs="Arial"/>
        </w:rPr>
      </w:pPr>
      <w:r w:rsidRPr="00263943">
        <w:rPr>
          <w:rFonts w:cs="Arial"/>
          <w:b/>
          <w:bCs/>
          <w:i/>
          <w:iCs/>
        </w:rPr>
        <w:t>The relevant provisions of the ILPA</w:t>
      </w:r>
      <w:r>
        <w:rPr>
          <w:rFonts w:cs="Arial"/>
        </w:rPr>
        <w:t>:</w:t>
      </w:r>
    </w:p>
    <w:p w14:paraId="40CE6545" w14:textId="652BF8F6" w:rsidR="00BC2BD5" w:rsidRPr="007F700D" w:rsidRDefault="007F700D" w:rsidP="007F700D">
      <w:pPr>
        <w:spacing w:before="360" w:after="120" w:line="480" w:lineRule="auto"/>
        <w:ind w:left="709" w:hanging="720"/>
        <w:rPr>
          <w:rFonts w:cs="Arial"/>
        </w:rPr>
      </w:pPr>
      <w:r w:rsidRPr="00C3587A">
        <w:rPr>
          <w:rFonts w:cs="Arial"/>
        </w:rPr>
        <w:t>[22]</w:t>
      </w:r>
      <w:r w:rsidRPr="00C3587A">
        <w:rPr>
          <w:rFonts w:cs="Arial"/>
        </w:rPr>
        <w:tab/>
      </w:r>
      <w:r w:rsidR="002C4CD9" w:rsidRPr="007F700D">
        <w:rPr>
          <w:rFonts w:cs="Arial"/>
        </w:rPr>
        <w:t>S </w:t>
      </w:r>
      <w:proofErr w:type="gramStart"/>
      <w:r w:rsidR="002C4CD9" w:rsidRPr="007F700D">
        <w:rPr>
          <w:rFonts w:cs="Arial"/>
        </w:rPr>
        <w:t>3  of</w:t>
      </w:r>
      <w:proofErr w:type="gramEnd"/>
      <w:r w:rsidR="002C4CD9" w:rsidRPr="007F700D">
        <w:rPr>
          <w:rFonts w:cs="Arial"/>
        </w:rPr>
        <w:t xml:space="preserve"> ILPA provides as follows:</w:t>
      </w:r>
    </w:p>
    <w:p w14:paraId="2DD527C2" w14:textId="77777777" w:rsidR="001415BE" w:rsidRDefault="00A967F7" w:rsidP="0002016E">
      <w:pPr>
        <w:pStyle w:val="ListParagraph"/>
        <w:spacing w:before="120" w:after="120"/>
        <w:ind w:left="1418" w:right="522"/>
        <w:contextualSpacing w:val="0"/>
        <w:rPr>
          <w:rFonts w:cs="Arial"/>
          <w:sz w:val="20"/>
          <w:szCs w:val="20"/>
        </w:rPr>
      </w:pPr>
      <w:r w:rsidRPr="00C3587A">
        <w:rPr>
          <w:rFonts w:cs="Arial"/>
        </w:rPr>
        <w:t>‘</w:t>
      </w:r>
      <w:r w:rsidR="00E02CB4" w:rsidRPr="0002016E">
        <w:rPr>
          <w:rFonts w:cs="Arial"/>
          <w:b/>
          <w:bCs/>
          <w:sz w:val="20"/>
          <w:szCs w:val="20"/>
        </w:rPr>
        <w:t>3. </w:t>
      </w:r>
      <w:r w:rsidR="0027519E" w:rsidRPr="0002016E">
        <w:rPr>
          <w:rFonts w:cs="Arial"/>
          <w:b/>
          <w:bCs/>
          <w:sz w:val="20"/>
          <w:szCs w:val="20"/>
        </w:rPr>
        <w:t> </w:t>
      </w:r>
      <w:r w:rsidR="00E02CB4" w:rsidRPr="0002016E">
        <w:rPr>
          <w:rFonts w:cs="Arial"/>
          <w:b/>
          <w:bCs/>
          <w:sz w:val="20"/>
          <w:szCs w:val="20"/>
        </w:rPr>
        <w:t xml:space="preserve">Notice of intended legal proceedings to be given to organ of </w:t>
      </w:r>
      <w:proofErr w:type="gramStart"/>
      <w:r w:rsidR="00E02CB4" w:rsidRPr="0002016E">
        <w:rPr>
          <w:rFonts w:cs="Arial"/>
          <w:b/>
          <w:bCs/>
          <w:sz w:val="20"/>
          <w:szCs w:val="20"/>
        </w:rPr>
        <w:t>state</w:t>
      </w:r>
      <w:r w:rsidR="00E02CB4" w:rsidRPr="0002016E">
        <w:rPr>
          <w:rFonts w:cs="Arial"/>
          <w:sz w:val="20"/>
          <w:szCs w:val="20"/>
        </w:rPr>
        <w:t>.—</w:t>
      </w:r>
      <w:proofErr w:type="gramEnd"/>
    </w:p>
    <w:p w14:paraId="31205765" w14:textId="4B44EA16" w:rsidR="00E02CB4" w:rsidRPr="0002016E" w:rsidRDefault="00E02CB4" w:rsidP="0002016E">
      <w:pPr>
        <w:pStyle w:val="ListParagraph"/>
        <w:spacing w:before="120" w:after="120"/>
        <w:ind w:left="1418" w:right="522"/>
        <w:contextualSpacing w:val="0"/>
        <w:rPr>
          <w:rFonts w:cs="Arial"/>
          <w:sz w:val="20"/>
          <w:szCs w:val="20"/>
        </w:rPr>
      </w:pPr>
      <w:r w:rsidRPr="0002016E">
        <w:rPr>
          <w:rFonts w:cs="Arial"/>
          <w:sz w:val="20"/>
          <w:szCs w:val="20"/>
        </w:rPr>
        <w:t>(1)</w:t>
      </w:r>
      <w:r w:rsidR="00C87AC2" w:rsidRPr="0002016E">
        <w:rPr>
          <w:rFonts w:cs="Arial"/>
          <w:sz w:val="20"/>
          <w:szCs w:val="20"/>
        </w:rPr>
        <w:t>  </w:t>
      </w:r>
      <w:r w:rsidRPr="0002016E">
        <w:rPr>
          <w:rFonts w:cs="Arial"/>
          <w:b/>
          <w:bCs/>
          <w:sz w:val="20"/>
          <w:szCs w:val="20"/>
        </w:rPr>
        <w:t xml:space="preserve">No </w:t>
      </w:r>
      <w:bookmarkStart w:id="32" w:name="_Hlk156558255"/>
      <w:r w:rsidRPr="0002016E">
        <w:rPr>
          <w:rFonts w:cs="Arial"/>
          <w:b/>
          <w:bCs/>
          <w:sz w:val="20"/>
          <w:szCs w:val="20"/>
        </w:rPr>
        <w:t>legal proceedings for the recovery of a debt</w:t>
      </w:r>
      <w:bookmarkEnd w:id="32"/>
      <w:r w:rsidRPr="0002016E">
        <w:rPr>
          <w:rFonts w:cs="Arial"/>
          <w:b/>
          <w:bCs/>
          <w:sz w:val="20"/>
          <w:szCs w:val="20"/>
        </w:rPr>
        <w:t xml:space="preserve"> may be instituted against an organ of state unless</w:t>
      </w:r>
      <w:r w:rsidR="00B27EB7" w:rsidRPr="0002016E">
        <w:rPr>
          <w:rFonts w:cs="Arial"/>
          <w:sz w:val="20"/>
          <w:szCs w:val="20"/>
        </w:rPr>
        <w:t xml:space="preserve"> </w:t>
      </w:r>
      <w:r w:rsidRPr="0002016E">
        <w:rPr>
          <w:rFonts w:cs="Arial"/>
          <w:sz w:val="20"/>
          <w:szCs w:val="20"/>
        </w:rPr>
        <w:t>—</w:t>
      </w:r>
    </w:p>
    <w:p w14:paraId="7C589DEB" w14:textId="2E994A33" w:rsidR="00E02CB4" w:rsidRPr="0002016E" w:rsidRDefault="00E02CB4" w:rsidP="0002016E">
      <w:pPr>
        <w:pStyle w:val="ListParagraph"/>
        <w:spacing w:before="120" w:after="120"/>
        <w:ind w:left="1985" w:right="522" w:hanging="567"/>
        <w:contextualSpacing w:val="0"/>
        <w:rPr>
          <w:rFonts w:cs="Arial"/>
          <w:sz w:val="20"/>
          <w:szCs w:val="20"/>
        </w:rPr>
      </w:pPr>
      <w:r w:rsidRPr="0002016E">
        <w:rPr>
          <w:rFonts w:cs="Arial"/>
          <w:sz w:val="20"/>
          <w:szCs w:val="20"/>
        </w:rPr>
        <w:t>(a</w:t>
      </w:r>
      <w:r w:rsidR="0027519E" w:rsidRPr="0002016E">
        <w:rPr>
          <w:rFonts w:cs="Arial"/>
          <w:sz w:val="20"/>
          <w:szCs w:val="20"/>
        </w:rPr>
        <w:t>)</w:t>
      </w:r>
      <w:r w:rsidR="0027519E" w:rsidRPr="0002016E">
        <w:rPr>
          <w:rFonts w:cs="Arial"/>
          <w:sz w:val="20"/>
          <w:szCs w:val="20"/>
        </w:rPr>
        <w:tab/>
      </w:r>
      <w:r w:rsidRPr="0002016E">
        <w:rPr>
          <w:rFonts w:cs="Arial"/>
          <w:b/>
          <w:bCs/>
          <w:sz w:val="20"/>
          <w:szCs w:val="20"/>
        </w:rPr>
        <w:t xml:space="preserve">the creditor has given the </w:t>
      </w:r>
      <w:r w:rsidRPr="00A86322">
        <w:rPr>
          <w:rFonts w:cs="Arial"/>
          <w:b/>
          <w:bCs/>
          <w:sz w:val="20"/>
          <w:szCs w:val="20"/>
        </w:rPr>
        <w:t>organ of state</w:t>
      </w:r>
      <w:r w:rsidRPr="0002016E">
        <w:rPr>
          <w:rFonts w:cs="Arial"/>
          <w:b/>
          <w:bCs/>
          <w:sz w:val="20"/>
          <w:szCs w:val="20"/>
        </w:rPr>
        <w:t xml:space="preserve"> in question notice in writing of his or her or its intention to institute the legal proceedings in question</w:t>
      </w:r>
      <w:r w:rsidRPr="0002016E">
        <w:rPr>
          <w:rFonts w:cs="Arial"/>
          <w:sz w:val="20"/>
          <w:szCs w:val="20"/>
        </w:rPr>
        <w:t>; or</w:t>
      </w:r>
    </w:p>
    <w:p w14:paraId="4A02C069" w14:textId="42CA3670" w:rsidR="00E02CB4" w:rsidRPr="0002016E" w:rsidRDefault="00E02CB4" w:rsidP="0002016E">
      <w:pPr>
        <w:pStyle w:val="ListParagraph"/>
        <w:spacing w:before="120" w:after="120"/>
        <w:ind w:left="1985" w:right="522" w:hanging="567"/>
        <w:contextualSpacing w:val="0"/>
        <w:rPr>
          <w:rFonts w:cs="Arial"/>
          <w:sz w:val="20"/>
          <w:szCs w:val="20"/>
        </w:rPr>
      </w:pPr>
      <w:r w:rsidRPr="0002016E">
        <w:rPr>
          <w:rFonts w:cs="Arial"/>
          <w:sz w:val="20"/>
          <w:szCs w:val="20"/>
        </w:rPr>
        <w:t>(b)</w:t>
      </w:r>
      <w:r w:rsidR="0027519E" w:rsidRPr="0002016E">
        <w:rPr>
          <w:rFonts w:cs="Arial"/>
          <w:sz w:val="20"/>
          <w:szCs w:val="20"/>
        </w:rPr>
        <w:tab/>
      </w:r>
      <w:r w:rsidRPr="0002016E">
        <w:rPr>
          <w:rFonts w:cs="Arial"/>
          <w:sz w:val="20"/>
          <w:szCs w:val="20"/>
        </w:rPr>
        <w:t>the organ of state in question has consented in writing to the institution of that legal proceedings</w:t>
      </w:r>
      <w:r w:rsidR="00B27EB7" w:rsidRPr="0002016E">
        <w:rPr>
          <w:rFonts w:cs="Arial"/>
          <w:sz w:val="20"/>
          <w:szCs w:val="20"/>
        </w:rPr>
        <w:t xml:space="preserve"> </w:t>
      </w:r>
      <w:r w:rsidRPr="0002016E">
        <w:rPr>
          <w:rFonts w:cs="Arial"/>
          <w:sz w:val="20"/>
          <w:szCs w:val="20"/>
        </w:rPr>
        <w:t>—</w:t>
      </w:r>
    </w:p>
    <w:p w14:paraId="2D338A4C" w14:textId="7B49C927" w:rsidR="00E02CB4" w:rsidRPr="0002016E" w:rsidRDefault="00E02CB4" w:rsidP="0002016E">
      <w:pPr>
        <w:pStyle w:val="ListParagraph"/>
        <w:tabs>
          <w:tab w:val="left" w:pos="2552"/>
        </w:tabs>
        <w:spacing w:before="120" w:after="120"/>
        <w:ind w:left="2160" w:right="522" w:hanging="175"/>
        <w:contextualSpacing w:val="0"/>
        <w:rPr>
          <w:rFonts w:cs="Arial"/>
          <w:sz w:val="20"/>
          <w:szCs w:val="20"/>
        </w:rPr>
      </w:pPr>
      <w:r w:rsidRPr="0002016E">
        <w:rPr>
          <w:rFonts w:cs="Arial"/>
          <w:sz w:val="20"/>
          <w:szCs w:val="20"/>
        </w:rPr>
        <w:t>(</w:t>
      </w:r>
      <w:proofErr w:type="spellStart"/>
      <w:r w:rsidRPr="0002016E">
        <w:rPr>
          <w:rFonts w:cs="Arial"/>
          <w:sz w:val="20"/>
          <w:szCs w:val="20"/>
        </w:rPr>
        <w:t>i</w:t>
      </w:r>
      <w:proofErr w:type="spellEnd"/>
      <w:r w:rsidRPr="0002016E">
        <w:rPr>
          <w:rFonts w:cs="Arial"/>
          <w:sz w:val="20"/>
          <w:szCs w:val="20"/>
        </w:rPr>
        <w:t>)</w:t>
      </w:r>
      <w:r w:rsidR="005434FD" w:rsidRPr="0002016E">
        <w:rPr>
          <w:rFonts w:cs="Arial"/>
          <w:sz w:val="20"/>
          <w:szCs w:val="20"/>
        </w:rPr>
        <w:tab/>
      </w:r>
      <w:r w:rsidRPr="0002016E">
        <w:rPr>
          <w:rFonts w:cs="Arial"/>
          <w:sz w:val="20"/>
          <w:szCs w:val="20"/>
        </w:rPr>
        <w:t>without such notice; or</w:t>
      </w:r>
    </w:p>
    <w:p w14:paraId="767D59A5" w14:textId="0F287B26" w:rsidR="00F84300" w:rsidRPr="0002016E" w:rsidRDefault="00E02CB4" w:rsidP="0002016E">
      <w:pPr>
        <w:pStyle w:val="ListParagraph"/>
        <w:tabs>
          <w:tab w:val="left" w:pos="2552"/>
        </w:tabs>
        <w:spacing w:before="120" w:after="120"/>
        <w:ind w:left="2552" w:right="522" w:hanging="567"/>
        <w:contextualSpacing w:val="0"/>
        <w:rPr>
          <w:rFonts w:cs="Arial"/>
          <w:sz w:val="20"/>
          <w:szCs w:val="20"/>
        </w:rPr>
      </w:pPr>
      <w:r w:rsidRPr="0002016E">
        <w:rPr>
          <w:rFonts w:cs="Arial"/>
          <w:sz w:val="20"/>
          <w:szCs w:val="20"/>
        </w:rPr>
        <w:t>(ii)</w:t>
      </w:r>
      <w:r w:rsidR="0026106C" w:rsidRPr="0002016E">
        <w:rPr>
          <w:rFonts w:cs="Arial"/>
          <w:sz w:val="20"/>
          <w:szCs w:val="20"/>
        </w:rPr>
        <w:tab/>
      </w:r>
      <w:r w:rsidRPr="0002016E">
        <w:rPr>
          <w:rFonts w:cs="Arial"/>
          <w:sz w:val="20"/>
          <w:szCs w:val="20"/>
        </w:rPr>
        <w:t>upon receipt of a notice which does not comply with all the requirements set out in subsection (2).</w:t>
      </w:r>
    </w:p>
    <w:p w14:paraId="1BCAB075" w14:textId="77777777" w:rsidR="005434FD" w:rsidRPr="0002016E" w:rsidRDefault="005434FD" w:rsidP="0002016E">
      <w:pPr>
        <w:pStyle w:val="ListParagraph"/>
        <w:spacing w:before="120" w:after="120"/>
        <w:ind w:left="2410" w:right="522" w:hanging="992"/>
        <w:contextualSpacing w:val="0"/>
        <w:rPr>
          <w:rFonts w:cs="Arial"/>
          <w:sz w:val="20"/>
          <w:szCs w:val="20"/>
          <w:lang w:val="en-ZA"/>
        </w:rPr>
      </w:pPr>
      <w:r w:rsidRPr="0002016E">
        <w:rPr>
          <w:rFonts w:cs="Arial"/>
          <w:sz w:val="20"/>
          <w:szCs w:val="20"/>
          <w:lang w:val="en-ZA"/>
        </w:rPr>
        <w:t>(2)  </w:t>
      </w:r>
      <w:r w:rsidRPr="0002016E">
        <w:rPr>
          <w:rFonts w:cs="Arial"/>
          <w:b/>
          <w:bCs/>
          <w:sz w:val="20"/>
          <w:szCs w:val="20"/>
          <w:lang w:val="en-ZA"/>
        </w:rPr>
        <w:t>A notice must</w:t>
      </w:r>
      <w:r w:rsidRPr="0002016E">
        <w:rPr>
          <w:rFonts w:cs="Arial"/>
          <w:sz w:val="20"/>
          <w:szCs w:val="20"/>
          <w:lang w:val="en-ZA"/>
        </w:rPr>
        <w:t>—</w:t>
      </w:r>
    </w:p>
    <w:p w14:paraId="49E040E2" w14:textId="77777777" w:rsidR="005434FD" w:rsidRPr="0002016E" w:rsidRDefault="005434FD" w:rsidP="0002016E">
      <w:pPr>
        <w:pStyle w:val="ListParagraph"/>
        <w:spacing w:before="120" w:after="120"/>
        <w:ind w:left="1985" w:right="522" w:hanging="567"/>
        <w:contextualSpacing w:val="0"/>
        <w:rPr>
          <w:rFonts w:cs="Arial"/>
          <w:sz w:val="20"/>
          <w:szCs w:val="20"/>
        </w:rPr>
      </w:pPr>
      <w:r w:rsidRPr="0002016E">
        <w:rPr>
          <w:rFonts w:cs="Arial"/>
          <w:sz w:val="20"/>
          <w:szCs w:val="20"/>
        </w:rPr>
        <w:t>(a)</w:t>
      </w:r>
      <w:r w:rsidRPr="0002016E">
        <w:rPr>
          <w:rFonts w:cs="Arial"/>
          <w:sz w:val="20"/>
          <w:szCs w:val="20"/>
        </w:rPr>
        <w:tab/>
      </w:r>
      <w:bookmarkStart w:id="33" w:name="_Hlk159421176"/>
      <w:r w:rsidRPr="0002016E">
        <w:rPr>
          <w:rFonts w:cs="Arial"/>
          <w:b/>
          <w:bCs/>
          <w:sz w:val="20"/>
          <w:szCs w:val="20"/>
          <w:lang w:val="en-ZA"/>
        </w:rPr>
        <w:t>within six months from the date on which the debt became due</w:t>
      </w:r>
      <w:bookmarkEnd w:id="33"/>
      <w:r w:rsidRPr="0002016E">
        <w:rPr>
          <w:rFonts w:cs="Arial"/>
          <w:b/>
          <w:bCs/>
          <w:sz w:val="20"/>
          <w:szCs w:val="20"/>
          <w:lang w:val="en-ZA"/>
        </w:rPr>
        <w:t>, be served on the organ of state in accordance with section 4 (1)</w:t>
      </w:r>
      <w:r w:rsidRPr="0002016E">
        <w:rPr>
          <w:rFonts w:cs="Arial"/>
          <w:sz w:val="20"/>
          <w:szCs w:val="20"/>
          <w:lang w:val="en-ZA"/>
        </w:rPr>
        <w:t>; and</w:t>
      </w:r>
    </w:p>
    <w:p w14:paraId="3B2609C6" w14:textId="62972E04" w:rsidR="005434FD" w:rsidRPr="0002016E" w:rsidRDefault="005434FD" w:rsidP="0002016E">
      <w:pPr>
        <w:pStyle w:val="ListParagraph"/>
        <w:spacing w:before="120" w:after="120"/>
        <w:ind w:left="1985" w:right="522" w:hanging="567"/>
        <w:contextualSpacing w:val="0"/>
        <w:rPr>
          <w:rFonts w:cs="Arial"/>
          <w:sz w:val="20"/>
          <w:szCs w:val="20"/>
        </w:rPr>
      </w:pPr>
      <w:r w:rsidRPr="0002016E">
        <w:rPr>
          <w:rFonts w:cs="Arial"/>
          <w:sz w:val="20"/>
          <w:szCs w:val="20"/>
          <w:lang w:val="en-ZA"/>
        </w:rPr>
        <w:t>(b)</w:t>
      </w:r>
      <w:r w:rsidRPr="0002016E">
        <w:rPr>
          <w:rFonts w:cs="Arial"/>
          <w:sz w:val="20"/>
          <w:szCs w:val="20"/>
          <w:lang w:val="en-ZA"/>
        </w:rPr>
        <w:tab/>
        <w:t>briefly set out</w:t>
      </w:r>
      <w:r w:rsidR="00B27EB7" w:rsidRPr="0002016E">
        <w:rPr>
          <w:rFonts w:cs="Arial"/>
          <w:sz w:val="20"/>
          <w:szCs w:val="20"/>
          <w:lang w:val="en-ZA"/>
        </w:rPr>
        <w:t xml:space="preserve"> </w:t>
      </w:r>
      <w:r w:rsidRPr="0002016E">
        <w:rPr>
          <w:rFonts w:cs="Arial"/>
          <w:sz w:val="20"/>
          <w:szCs w:val="20"/>
          <w:lang w:val="en-ZA"/>
        </w:rPr>
        <w:t>—</w:t>
      </w:r>
    </w:p>
    <w:p w14:paraId="3D51CB72" w14:textId="77777777" w:rsidR="005434FD" w:rsidRPr="0002016E" w:rsidRDefault="005434FD" w:rsidP="0002016E">
      <w:pPr>
        <w:pStyle w:val="ListParagraph"/>
        <w:tabs>
          <w:tab w:val="left" w:pos="2552"/>
        </w:tabs>
        <w:spacing w:before="120" w:after="120"/>
        <w:ind w:left="2160" w:right="522" w:hanging="175"/>
        <w:contextualSpacing w:val="0"/>
        <w:rPr>
          <w:rFonts w:cs="Arial"/>
          <w:sz w:val="20"/>
          <w:szCs w:val="20"/>
        </w:rPr>
      </w:pPr>
      <w:r w:rsidRPr="0002016E">
        <w:rPr>
          <w:rFonts w:cs="Arial"/>
          <w:sz w:val="20"/>
          <w:szCs w:val="20"/>
          <w:lang w:val="en-ZA"/>
        </w:rPr>
        <w:t>(</w:t>
      </w:r>
      <w:proofErr w:type="spellStart"/>
      <w:r w:rsidRPr="0002016E">
        <w:rPr>
          <w:rFonts w:cs="Arial"/>
          <w:sz w:val="20"/>
          <w:szCs w:val="20"/>
          <w:lang w:val="en-ZA"/>
        </w:rPr>
        <w:t>i</w:t>
      </w:r>
      <w:proofErr w:type="spellEnd"/>
      <w:r w:rsidRPr="0002016E">
        <w:rPr>
          <w:rFonts w:cs="Arial"/>
          <w:sz w:val="20"/>
          <w:szCs w:val="20"/>
          <w:lang w:val="en-ZA"/>
        </w:rPr>
        <w:t>)</w:t>
      </w:r>
      <w:r w:rsidRPr="0002016E">
        <w:rPr>
          <w:rFonts w:cs="Arial"/>
          <w:sz w:val="20"/>
          <w:szCs w:val="20"/>
          <w:lang w:val="en-ZA"/>
        </w:rPr>
        <w:tab/>
        <w:t>the facts giving rise to the debt; and</w:t>
      </w:r>
    </w:p>
    <w:p w14:paraId="05F69814" w14:textId="77777777" w:rsidR="005434FD" w:rsidRPr="0002016E" w:rsidRDefault="005434FD" w:rsidP="0002016E">
      <w:pPr>
        <w:pStyle w:val="ListParagraph"/>
        <w:tabs>
          <w:tab w:val="left" w:pos="2552"/>
        </w:tabs>
        <w:spacing w:before="120" w:after="120"/>
        <w:ind w:left="2552" w:right="522" w:hanging="567"/>
        <w:contextualSpacing w:val="0"/>
        <w:rPr>
          <w:rFonts w:cs="Arial"/>
          <w:sz w:val="20"/>
          <w:szCs w:val="20"/>
        </w:rPr>
      </w:pPr>
      <w:r w:rsidRPr="0002016E">
        <w:rPr>
          <w:rFonts w:cs="Arial"/>
          <w:sz w:val="20"/>
          <w:szCs w:val="20"/>
          <w:lang w:val="en-ZA"/>
        </w:rPr>
        <w:t>(ii)</w:t>
      </w:r>
      <w:r w:rsidRPr="0002016E">
        <w:rPr>
          <w:rFonts w:cs="Arial"/>
          <w:sz w:val="20"/>
          <w:szCs w:val="20"/>
          <w:lang w:val="en-ZA"/>
        </w:rPr>
        <w:tab/>
        <w:t>such particulars of such debt as are within the knowledge of the creditor.</w:t>
      </w:r>
    </w:p>
    <w:p w14:paraId="6034EB90" w14:textId="625E5D04" w:rsidR="005434FD" w:rsidRPr="0002016E" w:rsidRDefault="005434FD" w:rsidP="0002016E">
      <w:pPr>
        <w:pStyle w:val="ListParagraph"/>
        <w:spacing w:before="120" w:after="120"/>
        <w:ind w:left="2410" w:right="522" w:hanging="992"/>
        <w:contextualSpacing w:val="0"/>
        <w:rPr>
          <w:rFonts w:cs="Arial"/>
          <w:sz w:val="20"/>
          <w:szCs w:val="20"/>
          <w:lang w:val="en-ZA"/>
        </w:rPr>
      </w:pPr>
      <w:r w:rsidRPr="0002016E">
        <w:rPr>
          <w:rFonts w:cs="Arial"/>
          <w:sz w:val="20"/>
          <w:szCs w:val="20"/>
          <w:lang w:val="en-ZA"/>
        </w:rPr>
        <w:t>(3)  </w:t>
      </w:r>
      <w:r w:rsidRPr="0002016E">
        <w:rPr>
          <w:rFonts w:cs="Arial"/>
          <w:b/>
          <w:bCs/>
          <w:sz w:val="20"/>
          <w:szCs w:val="20"/>
          <w:lang w:val="en-ZA"/>
        </w:rPr>
        <w:t>For purposes of</w:t>
      </w:r>
      <w:r w:rsidR="009C1F77" w:rsidRPr="0002016E">
        <w:rPr>
          <w:rFonts w:cs="Arial"/>
          <w:b/>
          <w:bCs/>
          <w:sz w:val="20"/>
          <w:szCs w:val="20"/>
          <w:lang w:val="en-ZA"/>
        </w:rPr>
        <w:t xml:space="preserve"> </w:t>
      </w:r>
      <w:hyperlink r:id="rId14" w:anchor="g7" w:history="1">
        <w:r w:rsidRPr="0002016E">
          <w:rPr>
            <w:b/>
            <w:bCs/>
            <w:sz w:val="20"/>
            <w:szCs w:val="20"/>
          </w:rPr>
          <w:t>subsection (2) (a)</w:t>
        </w:r>
      </w:hyperlink>
      <w:r w:rsidR="002A5EB7" w:rsidRPr="0002016E">
        <w:rPr>
          <w:rFonts w:cs="Arial"/>
          <w:sz w:val="20"/>
          <w:szCs w:val="20"/>
          <w:lang w:val="en-ZA"/>
        </w:rPr>
        <w:t xml:space="preserve"> </w:t>
      </w:r>
      <w:r w:rsidRPr="0002016E">
        <w:rPr>
          <w:rFonts w:cs="Arial"/>
          <w:sz w:val="20"/>
          <w:szCs w:val="20"/>
          <w:lang w:val="en-ZA"/>
        </w:rPr>
        <w:t>—</w:t>
      </w:r>
    </w:p>
    <w:p w14:paraId="693DEB45" w14:textId="77777777" w:rsidR="005434FD" w:rsidRPr="0002016E" w:rsidRDefault="005434FD" w:rsidP="0002016E">
      <w:pPr>
        <w:pStyle w:val="ListParagraph"/>
        <w:spacing w:before="120" w:after="120"/>
        <w:ind w:left="1985" w:right="522" w:hanging="567"/>
        <w:contextualSpacing w:val="0"/>
        <w:rPr>
          <w:rFonts w:cs="Arial"/>
          <w:sz w:val="20"/>
          <w:szCs w:val="20"/>
          <w:lang w:val="en-ZA"/>
        </w:rPr>
      </w:pPr>
      <w:r w:rsidRPr="0002016E">
        <w:rPr>
          <w:rFonts w:cs="Arial"/>
          <w:sz w:val="20"/>
          <w:szCs w:val="20"/>
          <w:lang w:val="en-ZA"/>
        </w:rPr>
        <w:t>(a)</w:t>
      </w:r>
      <w:r w:rsidRPr="0002016E">
        <w:rPr>
          <w:rFonts w:cs="Arial"/>
          <w:sz w:val="20"/>
          <w:szCs w:val="20"/>
          <w:lang w:val="en-ZA"/>
        </w:rPr>
        <w:tab/>
        <w:t>a debt may not be regarded as being due until the creditor has knowledge of the identity of the organ of state and of the facts giving rise to the debt, but a creditor must be regarded as having acquired such knowledge as soon as he or she or it could have acquired it by exercising reasonable care, unless the organ of state wilfully prevented him or her or it from acquiring such knowledge; and</w:t>
      </w:r>
    </w:p>
    <w:p w14:paraId="0777AEDB" w14:textId="009DF591" w:rsidR="005434FD" w:rsidRPr="0002016E" w:rsidRDefault="005434FD" w:rsidP="0002016E">
      <w:pPr>
        <w:pStyle w:val="ListParagraph"/>
        <w:spacing w:before="120" w:after="120"/>
        <w:ind w:left="1985" w:right="522" w:hanging="567"/>
        <w:contextualSpacing w:val="0"/>
        <w:rPr>
          <w:rFonts w:cs="Arial"/>
          <w:sz w:val="20"/>
          <w:szCs w:val="20"/>
          <w:lang w:val="en-ZA"/>
        </w:rPr>
      </w:pPr>
      <w:r w:rsidRPr="0002016E">
        <w:rPr>
          <w:rFonts w:cs="Arial"/>
          <w:sz w:val="20"/>
          <w:szCs w:val="20"/>
          <w:lang w:val="en-ZA"/>
        </w:rPr>
        <w:t>(b)</w:t>
      </w:r>
      <w:r w:rsidRPr="0002016E">
        <w:rPr>
          <w:rFonts w:cs="Arial"/>
          <w:sz w:val="20"/>
          <w:szCs w:val="20"/>
          <w:lang w:val="en-ZA"/>
        </w:rPr>
        <w:tab/>
      </w:r>
      <w:r w:rsidRPr="0002016E">
        <w:rPr>
          <w:rFonts w:cs="Arial"/>
          <w:b/>
          <w:bCs/>
          <w:sz w:val="20"/>
          <w:szCs w:val="20"/>
          <w:lang w:val="en-ZA"/>
        </w:rPr>
        <w:t>a debt referred to in</w:t>
      </w:r>
      <w:r w:rsidR="000E6C18" w:rsidRPr="0002016E">
        <w:rPr>
          <w:rFonts w:cs="Arial"/>
          <w:b/>
          <w:bCs/>
          <w:sz w:val="20"/>
          <w:szCs w:val="20"/>
          <w:lang w:val="en-ZA"/>
        </w:rPr>
        <w:t xml:space="preserve"> this </w:t>
      </w:r>
      <w:r w:rsidRPr="0002016E">
        <w:rPr>
          <w:rFonts w:cs="Arial"/>
          <w:b/>
          <w:bCs/>
          <w:sz w:val="20"/>
          <w:szCs w:val="20"/>
          <w:lang w:val="en-ZA"/>
        </w:rPr>
        <w:t>section 2 (2) (a), must be regarded as having become due on the fixed date</w:t>
      </w:r>
      <w:r w:rsidRPr="0002016E">
        <w:rPr>
          <w:rFonts w:cs="Arial"/>
          <w:sz w:val="20"/>
          <w:szCs w:val="20"/>
          <w:lang w:val="en-ZA"/>
        </w:rPr>
        <w:t>.</w:t>
      </w:r>
    </w:p>
    <w:p w14:paraId="157BB38B" w14:textId="5A5F6E4A" w:rsidR="005434FD" w:rsidRPr="0002016E" w:rsidRDefault="005434FD" w:rsidP="0002016E">
      <w:pPr>
        <w:pStyle w:val="ListParagraph"/>
        <w:spacing w:before="120" w:after="120"/>
        <w:ind w:left="1418" w:right="522"/>
        <w:contextualSpacing w:val="0"/>
        <w:rPr>
          <w:rFonts w:cs="Arial"/>
          <w:sz w:val="20"/>
          <w:szCs w:val="20"/>
          <w:lang w:val="en-ZA"/>
        </w:rPr>
      </w:pPr>
      <w:r w:rsidRPr="0002016E">
        <w:rPr>
          <w:rFonts w:cs="Arial"/>
          <w:sz w:val="20"/>
          <w:szCs w:val="20"/>
          <w:lang w:val="en-ZA"/>
        </w:rPr>
        <w:t>(4)  (a)  </w:t>
      </w:r>
      <w:r w:rsidRPr="0002016E">
        <w:rPr>
          <w:rFonts w:cs="Arial"/>
          <w:b/>
          <w:bCs/>
          <w:sz w:val="20"/>
          <w:szCs w:val="20"/>
          <w:lang w:val="en-ZA"/>
        </w:rPr>
        <w:t>If an organ of state relies on a creditor’s failure to serve a notice in terms of</w:t>
      </w:r>
      <w:r w:rsidR="000E6C18" w:rsidRPr="0002016E">
        <w:rPr>
          <w:rFonts w:cs="Arial"/>
          <w:b/>
          <w:bCs/>
          <w:sz w:val="20"/>
          <w:szCs w:val="20"/>
          <w:lang w:val="en-ZA"/>
        </w:rPr>
        <w:t xml:space="preserve"> </w:t>
      </w:r>
      <w:hyperlink r:id="rId15" w:anchor="g7" w:history="1">
        <w:r w:rsidRPr="0002016E">
          <w:rPr>
            <w:b/>
            <w:bCs/>
            <w:sz w:val="20"/>
            <w:szCs w:val="20"/>
          </w:rPr>
          <w:t>subsection (2) (a)</w:t>
        </w:r>
      </w:hyperlink>
      <w:r w:rsidRPr="0002016E">
        <w:rPr>
          <w:rFonts w:cs="Arial"/>
          <w:b/>
          <w:bCs/>
          <w:sz w:val="20"/>
          <w:szCs w:val="20"/>
          <w:lang w:val="en-ZA"/>
        </w:rPr>
        <w:t>, the creditor may apply to a court having jurisdiction for condonation of such failure</w:t>
      </w:r>
      <w:r w:rsidRPr="0002016E">
        <w:rPr>
          <w:rFonts w:cs="Arial"/>
          <w:sz w:val="20"/>
          <w:szCs w:val="20"/>
          <w:lang w:val="en-ZA"/>
        </w:rPr>
        <w:t>.</w:t>
      </w:r>
    </w:p>
    <w:p w14:paraId="45A3A6E0" w14:textId="5D4C77A6" w:rsidR="005434FD" w:rsidRPr="0002016E" w:rsidRDefault="005434FD" w:rsidP="0002016E">
      <w:pPr>
        <w:pStyle w:val="ListParagraph"/>
        <w:spacing w:before="120" w:after="120"/>
        <w:ind w:left="1418" w:right="522"/>
        <w:contextualSpacing w:val="0"/>
        <w:rPr>
          <w:rFonts w:cs="Arial"/>
          <w:sz w:val="20"/>
          <w:szCs w:val="20"/>
          <w:lang w:val="en-ZA"/>
        </w:rPr>
      </w:pPr>
      <w:r w:rsidRPr="0002016E">
        <w:rPr>
          <w:rFonts w:cs="Arial"/>
          <w:sz w:val="20"/>
          <w:szCs w:val="20"/>
          <w:lang w:val="en-ZA"/>
        </w:rPr>
        <w:t>(b)  </w:t>
      </w:r>
      <w:r w:rsidRPr="0002016E">
        <w:rPr>
          <w:rFonts w:cs="Arial"/>
          <w:b/>
          <w:bCs/>
          <w:sz w:val="20"/>
          <w:szCs w:val="20"/>
          <w:lang w:val="en-ZA"/>
        </w:rPr>
        <w:t xml:space="preserve">The court may </w:t>
      </w:r>
      <w:bookmarkStart w:id="34" w:name="_Hlk156659410"/>
      <w:r w:rsidRPr="0002016E">
        <w:rPr>
          <w:rFonts w:cs="Arial"/>
          <w:b/>
          <w:bCs/>
          <w:sz w:val="20"/>
          <w:szCs w:val="20"/>
          <w:lang w:val="en-ZA"/>
        </w:rPr>
        <w:t>grant an application referred to in</w:t>
      </w:r>
      <w:r w:rsidR="000E6C18" w:rsidRPr="0002016E">
        <w:rPr>
          <w:rFonts w:cs="Arial"/>
          <w:b/>
          <w:bCs/>
          <w:sz w:val="20"/>
          <w:szCs w:val="20"/>
          <w:lang w:val="en-ZA"/>
        </w:rPr>
        <w:t xml:space="preserve"> </w:t>
      </w:r>
      <w:hyperlink r:id="rId16" w:anchor="ge" w:history="1">
        <w:r w:rsidRPr="0002016E">
          <w:rPr>
            <w:rFonts w:cs="Arial"/>
            <w:b/>
            <w:bCs/>
            <w:sz w:val="20"/>
            <w:szCs w:val="20"/>
            <w:lang w:val="en-ZA"/>
          </w:rPr>
          <w:t>paragraph</w:t>
        </w:r>
        <w:r w:rsidR="000E6C18" w:rsidRPr="0002016E">
          <w:rPr>
            <w:rFonts w:cs="Arial"/>
            <w:b/>
            <w:bCs/>
            <w:sz w:val="20"/>
            <w:szCs w:val="20"/>
            <w:lang w:val="en-ZA"/>
          </w:rPr>
          <w:t> </w:t>
        </w:r>
        <w:r w:rsidRPr="0002016E">
          <w:rPr>
            <w:rFonts w:cs="Arial"/>
            <w:b/>
            <w:bCs/>
            <w:sz w:val="20"/>
            <w:szCs w:val="20"/>
            <w:lang w:val="en-ZA"/>
          </w:rPr>
          <w:t>(a)</w:t>
        </w:r>
      </w:hyperlink>
      <w:r w:rsidR="000E6C18" w:rsidRPr="0002016E">
        <w:rPr>
          <w:rFonts w:cs="Arial"/>
          <w:b/>
          <w:bCs/>
          <w:sz w:val="20"/>
          <w:szCs w:val="20"/>
          <w:lang w:val="en-ZA"/>
        </w:rPr>
        <w:t xml:space="preserve"> </w:t>
      </w:r>
      <w:r w:rsidRPr="0002016E">
        <w:rPr>
          <w:rFonts w:cs="Arial"/>
          <w:b/>
          <w:bCs/>
          <w:sz w:val="20"/>
          <w:szCs w:val="20"/>
          <w:lang w:val="en-ZA"/>
        </w:rPr>
        <w:t>if it is satisfied that</w:t>
      </w:r>
      <w:r w:rsidR="00364A8A" w:rsidRPr="0002016E">
        <w:rPr>
          <w:rFonts w:cs="Arial"/>
          <w:sz w:val="20"/>
          <w:szCs w:val="20"/>
          <w:lang w:val="en-ZA"/>
        </w:rPr>
        <w:t xml:space="preserve"> </w:t>
      </w:r>
      <w:r w:rsidRPr="0002016E">
        <w:rPr>
          <w:rFonts w:cs="Arial"/>
          <w:sz w:val="20"/>
          <w:szCs w:val="20"/>
          <w:lang w:val="en-ZA"/>
        </w:rPr>
        <w:t>—</w:t>
      </w:r>
    </w:p>
    <w:p w14:paraId="3245AEE0" w14:textId="77777777" w:rsidR="005434FD" w:rsidRPr="0002016E" w:rsidRDefault="005434FD" w:rsidP="0002016E">
      <w:pPr>
        <w:pStyle w:val="ListParagraph"/>
        <w:spacing w:before="120" w:after="120"/>
        <w:ind w:left="2552" w:right="522" w:hanging="567"/>
        <w:contextualSpacing w:val="0"/>
        <w:rPr>
          <w:rFonts w:cs="Arial"/>
          <w:sz w:val="20"/>
          <w:szCs w:val="20"/>
          <w:lang w:val="en-ZA"/>
        </w:rPr>
      </w:pPr>
      <w:r w:rsidRPr="0002016E">
        <w:rPr>
          <w:rFonts w:cs="Arial"/>
          <w:sz w:val="20"/>
          <w:szCs w:val="20"/>
          <w:lang w:val="en-ZA"/>
        </w:rPr>
        <w:lastRenderedPageBreak/>
        <w:t>(</w:t>
      </w:r>
      <w:proofErr w:type="spellStart"/>
      <w:r w:rsidRPr="0002016E">
        <w:rPr>
          <w:rFonts w:cs="Arial"/>
          <w:sz w:val="20"/>
          <w:szCs w:val="20"/>
          <w:lang w:val="en-ZA"/>
        </w:rPr>
        <w:t>i</w:t>
      </w:r>
      <w:proofErr w:type="spellEnd"/>
      <w:r w:rsidRPr="0002016E">
        <w:rPr>
          <w:rFonts w:cs="Arial"/>
          <w:sz w:val="20"/>
          <w:szCs w:val="20"/>
          <w:lang w:val="en-ZA"/>
        </w:rPr>
        <w:t>)</w:t>
      </w:r>
      <w:r w:rsidRPr="0002016E">
        <w:rPr>
          <w:rFonts w:cs="Arial"/>
          <w:sz w:val="20"/>
          <w:szCs w:val="20"/>
          <w:lang w:val="en-ZA"/>
        </w:rPr>
        <w:tab/>
      </w:r>
      <w:r w:rsidRPr="0002016E">
        <w:rPr>
          <w:rFonts w:cs="Arial"/>
          <w:b/>
          <w:bCs/>
          <w:sz w:val="20"/>
          <w:szCs w:val="20"/>
          <w:lang w:val="en-ZA"/>
        </w:rPr>
        <w:t>the debt has not been extinguished by prescription</w:t>
      </w:r>
      <w:r w:rsidRPr="0002016E">
        <w:rPr>
          <w:rFonts w:cs="Arial"/>
          <w:sz w:val="20"/>
          <w:szCs w:val="20"/>
          <w:lang w:val="en-ZA"/>
        </w:rPr>
        <w:t>;</w:t>
      </w:r>
    </w:p>
    <w:p w14:paraId="36529680" w14:textId="77777777" w:rsidR="005434FD" w:rsidRPr="0002016E" w:rsidRDefault="005434FD" w:rsidP="0002016E">
      <w:pPr>
        <w:pStyle w:val="ListParagraph"/>
        <w:spacing w:before="120" w:after="120"/>
        <w:ind w:left="2552" w:right="522" w:hanging="567"/>
        <w:contextualSpacing w:val="0"/>
        <w:rPr>
          <w:rFonts w:cs="Arial"/>
          <w:sz w:val="20"/>
          <w:szCs w:val="20"/>
          <w:lang w:val="en-ZA"/>
        </w:rPr>
      </w:pPr>
      <w:r w:rsidRPr="0002016E">
        <w:rPr>
          <w:rFonts w:cs="Arial"/>
          <w:sz w:val="20"/>
          <w:szCs w:val="20"/>
          <w:lang w:val="en-ZA"/>
        </w:rPr>
        <w:t>(ii)</w:t>
      </w:r>
      <w:r w:rsidRPr="0002016E">
        <w:rPr>
          <w:rFonts w:cs="Arial"/>
          <w:sz w:val="20"/>
          <w:szCs w:val="20"/>
          <w:lang w:val="en-ZA"/>
        </w:rPr>
        <w:tab/>
      </w:r>
      <w:r w:rsidRPr="0002016E">
        <w:rPr>
          <w:rFonts w:cs="Arial"/>
          <w:b/>
          <w:bCs/>
          <w:sz w:val="20"/>
          <w:szCs w:val="20"/>
          <w:lang w:val="en-ZA"/>
        </w:rPr>
        <w:t>good cause exists for the failure by the creditor</w:t>
      </w:r>
      <w:r w:rsidRPr="0002016E">
        <w:rPr>
          <w:rFonts w:cs="Arial"/>
          <w:sz w:val="20"/>
          <w:szCs w:val="20"/>
          <w:lang w:val="en-ZA"/>
        </w:rPr>
        <w:t xml:space="preserve">; </w:t>
      </w:r>
      <w:r w:rsidRPr="00AF2F0F">
        <w:rPr>
          <w:rFonts w:cs="Arial"/>
          <w:b/>
          <w:bCs/>
          <w:sz w:val="20"/>
          <w:szCs w:val="20"/>
          <w:lang w:val="en-ZA"/>
        </w:rPr>
        <w:t>and</w:t>
      </w:r>
    </w:p>
    <w:p w14:paraId="19647F26" w14:textId="77777777" w:rsidR="005434FD" w:rsidRPr="0002016E" w:rsidRDefault="005434FD" w:rsidP="0002016E">
      <w:pPr>
        <w:pStyle w:val="ListParagraph"/>
        <w:spacing w:before="120" w:after="120"/>
        <w:ind w:left="2552" w:right="522" w:hanging="567"/>
        <w:contextualSpacing w:val="0"/>
        <w:rPr>
          <w:rFonts w:cs="Arial"/>
          <w:sz w:val="20"/>
          <w:szCs w:val="20"/>
          <w:lang w:val="en-ZA"/>
        </w:rPr>
      </w:pPr>
      <w:r w:rsidRPr="0002016E">
        <w:rPr>
          <w:rFonts w:cs="Arial"/>
          <w:sz w:val="20"/>
          <w:szCs w:val="20"/>
          <w:lang w:val="en-ZA"/>
        </w:rPr>
        <w:t>(iii)</w:t>
      </w:r>
      <w:r w:rsidRPr="0002016E">
        <w:rPr>
          <w:rFonts w:cs="Arial"/>
          <w:sz w:val="20"/>
          <w:szCs w:val="20"/>
          <w:lang w:val="en-ZA"/>
        </w:rPr>
        <w:tab/>
      </w:r>
      <w:r w:rsidRPr="0002016E">
        <w:rPr>
          <w:rFonts w:cs="Arial"/>
          <w:b/>
          <w:bCs/>
          <w:sz w:val="20"/>
          <w:szCs w:val="20"/>
          <w:lang w:val="en-ZA"/>
        </w:rPr>
        <w:t>the organ of state was not unreasonably prejudiced by the failure</w:t>
      </w:r>
      <w:r w:rsidRPr="0002016E">
        <w:rPr>
          <w:rFonts w:cs="Arial"/>
          <w:sz w:val="20"/>
          <w:szCs w:val="20"/>
          <w:lang w:val="en-ZA"/>
        </w:rPr>
        <w:t>.</w:t>
      </w:r>
    </w:p>
    <w:bookmarkEnd w:id="34"/>
    <w:p w14:paraId="374B832C" w14:textId="70D1D068" w:rsidR="00B06BE3" w:rsidRDefault="005434FD" w:rsidP="0002016E">
      <w:pPr>
        <w:pStyle w:val="ListParagraph"/>
        <w:spacing w:before="120" w:after="120"/>
        <w:ind w:left="1843" w:right="522" w:hanging="425"/>
        <w:contextualSpacing w:val="0"/>
        <w:rPr>
          <w:rFonts w:cs="Arial"/>
          <w:sz w:val="20"/>
          <w:szCs w:val="20"/>
          <w:lang w:val="en-ZA"/>
        </w:rPr>
      </w:pPr>
      <w:r w:rsidRPr="0002016E">
        <w:rPr>
          <w:rFonts w:cs="Arial"/>
          <w:sz w:val="20"/>
          <w:szCs w:val="20"/>
          <w:lang w:val="en-ZA"/>
        </w:rPr>
        <w:t>(c)  If an application is granted in terms of</w:t>
      </w:r>
      <w:r w:rsidR="00ED03F0" w:rsidRPr="0002016E">
        <w:rPr>
          <w:rFonts w:cs="Arial"/>
          <w:sz w:val="20"/>
          <w:szCs w:val="20"/>
          <w:lang w:val="en-ZA"/>
        </w:rPr>
        <w:t xml:space="preserve"> </w:t>
      </w:r>
      <w:hyperlink r:id="rId17" w:anchor="gg" w:history="1">
        <w:r w:rsidRPr="0002016E">
          <w:rPr>
            <w:rFonts w:cs="Arial"/>
            <w:sz w:val="20"/>
            <w:szCs w:val="20"/>
            <w:lang w:val="en-ZA"/>
          </w:rPr>
          <w:t>paragraph (b)</w:t>
        </w:r>
      </w:hyperlink>
      <w:r w:rsidRPr="0002016E">
        <w:rPr>
          <w:rFonts w:cs="Arial"/>
          <w:sz w:val="20"/>
          <w:szCs w:val="20"/>
          <w:lang w:val="en-ZA"/>
        </w:rPr>
        <w:t>,</w:t>
      </w:r>
      <w:r w:rsidR="000E6C18" w:rsidRPr="0002016E">
        <w:rPr>
          <w:rFonts w:cs="Arial"/>
          <w:sz w:val="20"/>
          <w:szCs w:val="20"/>
          <w:lang w:val="en-ZA"/>
        </w:rPr>
        <w:t xml:space="preserve"> </w:t>
      </w:r>
      <w:r w:rsidRPr="0002016E">
        <w:rPr>
          <w:rFonts w:cs="Arial"/>
          <w:sz w:val="20"/>
          <w:szCs w:val="20"/>
          <w:lang w:val="en-ZA"/>
        </w:rPr>
        <w:t>the court may grant leave to institute the legal proceedings in question, on such conditions regarding notice to the organ of state as the court may deem appropriate</w:t>
      </w:r>
      <w:r w:rsidRPr="005434FD">
        <w:rPr>
          <w:rFonts w:cs="Arial"/>
          <w:sz w:val="20"/>
          <w:szCs w:val="20"/>
          <w:lang w:val="en-ZA"/>
        </w:rPr>
        <w:t>.</w:t>
      </w:r>
      <w:r w:rsidR="00B06BE3">
        <w:rPr>
          <w:rFonts w:cs="Arial"/>
          <w:sz w:val="20"/>
          <w:szCs w:val="20"/>
          <w:lang w:val="en-ZA"/>
        </w:rPr>
        <w:t>’</w:t>
      </w:r>
    </w:p>
    <w:p w14:paraId="1736190F" w14:textId="66FB138C" w:rsidR="00466F0E" w:rsidRPr="00B27EB7" w:rsidRDefault="00466F0E" w:rsidP="00466F0E">
      <w:pPr>
        <w:pStyle w:val="ListParagraph"/>
        <w:spacing w:before="240" w:after="120"/>
        <w:ind w:left="1843" w:right="522" w:hanging="425"/>
        <w:contextualSpacing w:val="0"/>
        <w:rPr>
          <w:rFonts w:cs="Arial"/>
          <w:sz w:val="20"/>
          <w:szCs w:val="20"/>
          <w:lang w:val="en-ZA"/>
        </w:rPr>
      </w:pPr>
      <w:r w:rsidRPr="00466F0E">
        <w:rPr>
          <w:rFonts w:cs="Arial"/>
          <w:lang w:val="en-ZA"/>
        </w:rPr>
        <w:t>(Own emphasis)</w:t>
      </w:r>
      <w:r>
        <w:rPr>
          <w:rFonts w:cs="Arial"/>
          <w:sz w:val="20"/>
          <w:szCs w:val="20"/>
          <w:lang w:val="en-ZA"/>
        </w:rPr>
        <w:t>.</w:t>
      </w:r>
    </w:p>
    <w:p w14:paraId="40CC8929" w14:textId="3E5A060E" w:rsidR="00A967F7" w:rsidRPr="007F700D" w:rsidRDefault="007F700D" w:rsidP="007F700D">
      <w:pPr>
        <w:spacing w:before="360" w:after="120" w:line="480" w:lineRule="auto"/>
        <w:ind w:left="709" w:hanging="720"/>
        <w:rPr>
          <w:rFonts w:cs="Arial"/>
        </w:rPr>
      </w:pPr>
      <w:bookmarkStart w:id="35" w:name="_Hlk156662433"/>
      <w:r>
        <w:rPr>
          <w:rFonts w:cs="Arial"/>
        </w:rPr>
        <w:t>[23]</w:t>
      </w:r>
      <w:r>
        <w:rPr>
          <w:rFonts w:cs="Arial"/>
        </w:rPr>
        <w:tab/>
      </w:r>
      <w:r w:rsidR="00C206E4" w:rsidRPr="007F700D">
        <w:rPr>
          <w:rFonts w:cs="Arial"/>
        </w:rPr>
        <w:t>Conseque</w:t>
      </w:r>
      <w:r w:rsidR="00742248" w:rsidRPr="007F700D">
        <w:rPr>
          <w:rFonts w:cs="Arial"/>
        </w:rPr>
        <w:t>ntly, i</w:t>
      </w:r>
      <w:r w:rsidR="009646A0" w:rsidRPr="007F700D">
        <w:rPr>
          <w:rFonts w:cs="Arial"/>
        </w:rPr>
        <w:t xml:space="preserve">n terms </w:t>
      </w:r>
      <w:r w:rsidR="001B2357" w:rsidRPr="007F700D">
        <w:rPr>
          <w:rFonts w:cs="Arial"/>
        </w:rPr>
        <w:t xml:space="preserve">of </w:t>
      </w:r>
      <w:r w:rsidR="00F80149" w:rsidRPr="007F700D">
        <w:rPr>
          <w:rFonts w:cs="Arial"/>
        </w:rPr>
        <w:t>s 3 of the ILPA</w:t>
      </w:r>
      <w:bookmarkEnd w:id="35"/>
      <w:r w:rsidR="00742248" w:rsidRPr="007F700D">
        <w:rPr>
          <w:rFonts w:cs="Arial"/>
        </w:rPr>
        <w:t>, the fo</w:t>
      </w:r>
      <w:r w:rsidR="00466C48" w:rsidRPr="007F700D">
        <w:rPr>
          <w:rFonts w:cs="Arial"/>
        </w:rPr>
        <w:t xml:space="preserve">llowing </w:t>
      </w:r>
      <w:r w:rsidR="00D423BC" w:rsidRPr="007F700D">
        <w:rPr>
          <w:rFonts w:cs="Arial"/>
        </w:rPr>
        <w:t xml:space="preserve">essential </w:t>
      </w:r>
      <w:r w:rsidR="00466C48" w:rsidRPr="007F700D">
        <w:rPr>
          <w:rFonts w:cs="Arial"/>
        </w:rPr>
        <w:t xml:space="preserve">requirements </w:t>
      </w:r>
      <w:r w:rsidR="00BF621E" w:rsidRPr="007F700D">
        <w:rPr>
          <w:rFonts w:cs="Arial"/>
        </w:rPr>
        <w:t xml:space="preserve">must </w:t>
      </w:r>
      <w:r w:rsidR="005516CD" w:rsidRPr="007F700D">
        <w:rPr>
          <w:rFonts w:cs="Arial"/>
        </w:rPr>
        <w:t>be met</w:t>
      </w:r>
      <w:r w:rsidR="00F80149" w:rsidRPr="007F700D">
        <w:rPr>
          <w:rFonts w:cs="Arial"/>
        </w:rPr>
        <w:t>:</w:t>
      </w:r>
    </w:p>
    <w:p w14:paraId="3C674AF5" w14:textId="6568F615" w:rsidR="00F80149" w:rsidRPr="007F700D" w:rsidRDefault="007F700D" w:rsidP="007F700D">
      <w:pPr>
        <w:spacing w:before="360" w:after="120" w:line="480" w:lineRule="auto"/>
        <w:ind w:left="1560" w:hanging="851"/>
        <w:rPr>
          <w:rFonts w:cs="Arial"/>
        </w:rPr>
      </w:pPr>
      <w:r w:rsidRPr="00C3587A">
        <w:rPr>
          <w:rFonts w:cs="Arial"/>
        </w:rPr>
        <w:t>[23.1]</w:t>
      </w:r>
      <w:r w:rsidRPr="00C3587A">
        <w:rPr>
          <w:rFonts w:cs="Arial"/>
        </w:rPr>
        <w:tab/>
      </w:r>
      <w:r w:rsidR="00E10608" w:rsidRPr="007F700D">
        <w:rPr>
          <w:rFonts w:cs="Arial"/>
        </w:rPr>
        <w:t xml:space="preserve">First, unless a </w:t>
      </w:r>
      <w:r w:rsidR="00E10608" w:rsidRPr="007F700D">
        <w:rPr>
          <w:rFonts w:cs="Arial"/>
          <w:i/>
          <w:iCs/>
        </w:rPr>
        <w:t>creditor</w:t>
      </w:r>
      <w:r w:rsidR="000F5406" w:rsidRPr="007F700D">
        <w:rPr>
          <w:rFonts w:cs="Arial"/>
        </w:rPr>
        <w:t>,</w:t>
      </w:r>
      <w:bookmarkStart w:id="36" w:name="_Hlk156987199"/>
      <w:r w:rsidR="000F5406">
        <w:rPr>
          <w:rStyle w:val="FootnoteReference"/>
          <w:rFonts w:cs="Arial"/>
        </w:rPr>
        <w:footnoteReference w:id="49"/>
      </w:r>
      <w:bookmarkEnd w:id="36"/>
      <w:r w:rsidR="000F5406" w:rsidRPr="007F700D">
        <w:rPr>
          <w:rFonts w:cs="Arial"/>
        </w:rPr>
        <w:t xml:space="preserve"> </w:t>
      </w:r>
      <w:bookmarkStart w:id="38" w:name="_Hlk156987147"/>
      <w:r w:rsidR="000F5406" w:rsidRPr="007F700D">
        <w:rPr>
          <w:rFonts w:cs="Arial"/>
        </w:rPr>
        <w:t xml:space="preserve">such as Mr </w:t>
      </w:r>
      <w:proofErr w:type="spellStart"/>
      <w:r w:rsidR="000F5406" w:rsidRPr="007F700D">
        <w:rPr>
          <w:rFonts w:cs="Arial"/>
        </w:rPr>
        <w:t>Mangasa</w:t>
      </w:r>
      <w:proofErr w:type="spellEnd"/>
      <w:r w:rsidR="00E37B5E" w:rsidRPr="007F700D">
        <w:rPr>
          <w:rFonts w:cs="Arial"/>
        </w:rPr>
        <w:t xml:space="preserve"> in th</w:t>
      </w:r>
      <w:r w:rsidR="000F14ED" w:rsidRPr="007F700D">
        <w:rPr>
          <w:rFonts w:cs="Arial"/>
        </w:rPr>
        <w:t>is</w:t>
      </w:r>
      <w:r w:rsidR="00E37B5E" w:rsidRPr="007F700D">
        <w:rPr>
          <w:rFonts w:cs="Arial"/>
        </w:rPr>
        <w:t xml:space="preserve"> instance</w:t>
      </w:r>
      <w:bookmarkEnd w:id="38"/>
      <w:r w:rsidR="00AC13DC" w:rsidRPr="007F700D">
        <w:rPr>
          <w:rFonts w:cs="Arial"/>
        </w:rPr>
        <w:t xml:space="preserve">, has given the required </w:t>
      </w:r>
      <w:bookmarkStart w:id="39" w:name="_Hlk156641263"/>
      <w:r w:rsidR="00AC13DC" w:rsidRPr="007F700D">
        <w:rPr>
          <w:rFonts w:cs="Arial"/>
        </w:rPr>
        <w:t>written statutory notice</w:t>
      </w:r>
      <w:r w:rsidR="00043AC1" w:rsidRPr="007F700D">
        <w:rPr>
          <w:rFonts w:cs="Arial"/>
        </w:rPr>
        <w:t xml:space="preserve"> </w:t>
      </w:r>
      <w:bookmarkEnd w:id="39"/>
      <w:r w:rsidR="00043AC1" w:rsidRPr="007F700D">
        <w:rPr>
          <w:rFonts w:cs="Arial"/>
        </w:rPr>
        <w:t>envisaged in s 3</w:t>
      </w:r>
      <w:r w:rsidR="009729EA" w:rsidRPr="007F700D">
        <w:rPr>
          <w:rFonts w:cs="Arial"/>
        </w:rPr>
        <w:t xml:space="preserve">(1)(a), </w:t>
      </w:r>
      <w:r w:rsidR="00007E39" w:rsidRPr="007F700D">
        <w:rPr>
          <w:rFonts w:cs="Arial"/>
        </w:rPr>
        <w:t xml:space="preserve">he/she/it may not institute legal proceedings </w:t>
      </w:r>
      <w:r w:rsidR="00920A5C" w:rsidRPr="007F700D">
        <w:rPr>
          <w:rFonts w:cs="Arial"/>
        </w:rPr>
        <w:t xml:space="preserve">against </w:t>
      </w:r>
      <w:r w:rsidR="0035080A" w:rsidRPr="007F700D">
        <w:rPr>
          <w:rFonts w:cs="Arial"/>
        </w:rPr>
        <w:t xml:space="preserve">an </w:t>
      </w:r>
      <w:r w:rsidR="0035080A" w:rsidRPr="007F700D">
        <w:rPr>
          <w:rFonts w:cs="Arial"/>
          <w:i/>
          <w:iCs/>
        </w:rPr>
        <w:t>organ of state</w:t>
      </w:r>
      <w:r w:rsidR="008A40E2">
        <w:rPr>
          <w:rStyle w:val="FootnoteReference"/>
          <w:rFonts w:cs="Arial"/>
        </w:rPr>
        <w:footnoteReference w:id="50"/>
      </w:r>
      <w:r w:rsidR="0035080A" w:rsidRPr="007F700D">
        <w:rPr>
          <w:rFonts w:cs="Arial"/>
        </w:rPr>
        <w:t xml:space="preserve"> </w:t>
      </w:r>
      <w:r w:rsidR="00007E39" w:rsidRPr="007F700D">
        <w:rPr>
          <w:rFonts w:cs="Arial"/>
        </w:rPr>
        <w:t>for the recovery of a</w:t>
      </w:r>
      <w:r w:rsidR="00920A5C" w:rsidRPr="007F700D">
        <w:rPr>
          <w:rFonts w:cs="Arial"/>
        </w:rPr>
        <w:t>ny</w:t>
      </w:r>
      <w:r w:rsidR="00007E39" w:rsidRPr="007F700D">
        <w:rPr>
          <w:rFonts w:cs="Arial"/>
        </w:rPr>
        <w:t xml:space="preserve"> </w:t>
      </w:r>
      <w:r w:rsidR="00007E39" w:rsidRPr="007F700D">
        <w:rPr>
          <w:rFonts w:cs="Arial"/>
          <w:i/>
          <w:iCs/>
        </w:rPr>
        <w:t>debt</w:t>
      </w:r>
      <w:r w:rsidR="008A40E2">
        <w:rPr>
          <w:rStyle w:val="FootnoteReference"/>
          <w:rFonts w:cs="Arial"/>
        </w:rPr>
        <w:footnoteReference w:id="51"/>
      </w:r>
      <w:r w:rsidR="0035080A" w:rsidRPr="007F700D">
        <w:rPr>
          <w:rFonts w:cs="Arial"/>
        </w:rPr>
        <w:t xml:space="preserve"> allegedly </w:t>
      </w:r>
      <w:r w:rsidR="00942C59" w:rsidRPr="007F700D">
        <w:rPr>
          <w:rFonts w:cs="Arial"/>
        </w:rPr>
        <w:t>owed by the latter to th</w:t>
      </w:r>
      <w:r w:rsidR="00F64863" w:rsidRPr="007F700D">
        <w:rPr>
          <w:rFonts w:cs="Arial"/>
        </w:rPr>
        <w:t>e</w:t>
      </w:r>
      <w:r w:rsidR="00942C59" w:rsidRPr="007F700D">
        <w:rPr>
          <w:rFonts w:cs="Arial"/>
        </w:rPr>
        <w:t xml:space="preserve"> creditor</w:t>
      </w:r>
      <w:r w:rsidR="006B678A" w:rsidRPr="007F700D">
        <w:rPr>
          <w:rFonts w:cs="Arial"/>
        </w:rPr>
        <w:t xml:space="preserve">.  </w:t>
      </w:r>
      <w:r w:rsidR="00A83C37" w:rsidRPr="007F700D">
        <w:rPr>
          <w:rFonts w:cs="Arial"/>
        </w:rPr>
        <w:lastRenderedPageBreak/>
        <w:t xml:space="preserve">However, </w:t>
      </w:r>
      <w:r w:rsidR="00A62004" w:rsidRPr="007F700D">
        <w:rPr>
          <w:rFonts w:cs="Arial"/>
        </w:rPr>
        <w:t xml:space="preserve">this is subject to the qualification that </w:t>
      </w:r>
      <w:r w:rsidR="00A83C37" w:rsidRPr="007F700D">
        <w:rPr>
          <w:rFonts w:cs="Arial"/>
        </w:rPr>
        <w:t>t</w:t>
      </w:r>
      <w:r w:rsidR="00223ABA" w:rsidRPr="007F700D">
        <w:rPr>
          <w:rFonts w:cs="Arial"/>
        </w:rPr>
        <w:t xml:space="preserve">he organ of </w:t>
      </w:r>
      <w:r w:rsidR="00A113F9" w:rsidRPr="007F700D">
        <w:rPr>
          <w:rFonts w:cs="Arial"/>
        </w:rPr>
        <w:t>state in question may</w:t>
      </w:r>
      <w:r w:rsidR="00A83C37" w:rsidRPr="007F700D">
        <w:rPr>
          <w:rFonts w:cs="Arial"/>
        </w:rPr>
        <w:t xml:space="preserve"> </w:t>
      </w:r>
      <w:r w:rsidR="00A113F9" w:rsidRPr="007F700D">
        <w:rPr>
          <w:rFonts w:cs="Arial"/>
        </w:rPr>
        <w:t xml:space="preserve">consent in writing to the institution of </w:t>
      </w:r>
      <w:r w:rsidR="00366BD0" w:rsidRPr="007F700D">
        <w:rPr>
          <w:rFonts w:cs="Arial"/>
        </w:rPr>
        <w:t xml:space="preserve">legal </w:t>
      </w:r>
      <w:r w:rsidR="00A113F9" w:rsidRPr="007F700D">
        <w:rPr>
          <w:rFonts w:cs="Arial"/>
        </w:rPr>
        <w:t xml:space="preserve">proceedings </w:t>
      </w:r>
      <w:r w:rsidR="00A62004" w:rsidRPr="007F700D">
        <w:rPr>
          <w:rFonts w:cs="Arial"/>
        </w:rPr>
        <w:t xml:space="preserve">against it </w:t>
      </w:r>
      <w:r w:rsidR="00366BD0" w:rsidRPr="007F700D">
        <w:rPr>
          <w:rFonts w:cs="Arial"/>
        </w:rPr>
        <w:t xml:space="preserve">where no such written notice </w:t>
      </w:r>
      <w:r w:rsidR="00A10592" w:rsidRPr="007F700D">
        <w:rPr>
          <w:rFonts w:cs="Arial"/>
        </w:rPr>
        <w:t xml:space="preserve">was </w:t>
      </w:r>
      <w:r w:rsidR="00077606" w:rsidRPr="007F700D">
        <w:rPr>
          <w:rFonts w:cs="Arial"/>
        </w:rPr>
        <w:t>given</w:t>
      </w:r>
      <w:r w:rsidR="00F56AF7" w:rsidRPr="007F700D">
        <w:rPr>
          <w:rFonts w:cs="Arial"/>
        </w:rPr>
        <w:t xml:space="preserve"> </w:t>
      </w:r>
      <w:r w:rsidR="003332A6" w:rsidRPr="007F700D">
        <w:rPr>
          <w:rFonts w:cs="Arial"/>
        </w:rPr>
        <w:t xml:space="preserve">to it by </w:t>
      </w:r>
      <w:r w:rsidR="00F56AF7" w:rsidRPr="007F700D">
        <w:rPr>
          <w:rFonts w:cs="Arial"/>
        </w:rPr>
        <w:t>the</w:t>
      </w:r>
      <w:r w:rsidR="00A62004" w:rsidRPr="007F700D">
        <w:rPr>
          <w:rFonts w:cs="Arial"/>
        </w:rPr>
        <w:t xml:space="preserve"> creditor</w:t>
      </w:r>
      <w:r w:rsidR="004A78AA" w:rsidRPr="007F700D">
        <w:rPr>
          <w:rFonts w:cs="Arial"/>
        </w:rPr>
        <w:t>,</w:t>
      </w:r>
      <w:r w:rsidR="00077606" w:rsidRPr="007F700D">
        <w:rPr>
          <w:rFonts w:cs="Arial"/>
        </w:rPr>
        <w:t xml:space="preserve"> </w:t>
      </w:r>
      <w:r w:rsidR="004A78AA" w:rsidRPr="007F700D">
        <w:rPr>
          <w:rFonts w:cs="Arial"/>
        </w:rPr>
        <w:t>and</w:t>
      </w:r>
      <w:r w:rsidR="00762397" w:rsidRPr="007F700D">
        <w:rPr>
          <w:rFonts w:cs="Arial"/>
        </w:rPr>
        <w:t xml:space="preserve"> </w:t>
      </w:r>
      <w:r w:rsidR="00A62004" w:rsidRPr="007F700D">
        <w:rPr>
          <w:rFonts w:cs="Arial"/>
        </w:rPr>
        <w:t xml:space="preserve">it </w:t>
      </w:r>
      <w:r w:rsidR="004A78AA" w:rsidRPr="007F700D">
        <w:rPr>
          <w:rFonts w:cs="Arial"/>
        </w:rPr>
        <w:t xml:space="preserve">could also do so </w:t>
      </w:r>
      <w:r w:rsidR="00B30D36" w:rsidRPr="007F700D">
        <w:rPr>
          <w:rFonts w:cs="Arial"/>
        </w:rPr>
        <w:t xml:space="preserve">in circumstance </w:t>
      </w:r>
      <w:r w:rsidR="00077606" w:rsidRPr="007F700D">
        <w:rPr>
          <w:rFonts w:cs="Arial"/>
        </w:rPr>
        <w:t xml:space="preserve">where a defective and non-compliant notice </w:t>
      </w:r>
      <w:r w:rsidR="00B30D36" w:rsidRPr="007F700D">
        <w:rPr>
          <w:rFonts w:cs="Arial"/>
        </w:rPr>
        <w:t xml:space="preserve">was </w:t>
      </w:r>
      <w:r w:rsidR="00762397" w:rsidRPr="007F700D">
        <w:rPr>
          <w:rFonts w:cs="Arial"/>
        </w:rPr>
        <w:t>given</w:t>
      </w:r>
      <w:r w:rsidR="00F56AF7" w:rsidRPr="007F700D">
        <w:rPr>
          <w:rFonts w:cs="Arial"/>
        </w:rPr>
        <w:t xml:space="preserve"> to it</w:t>
      </w:r>
      <w:r w:rsidR="00762397" w:rsidRPr="007F700D">
        <w:rPr>
          <w:rFonts w:cs="Arial"/>
        </w:rPr>
        <w:t>;</w:t>
      </w:r>
      <w:r w:rsidR="00762397">
        <w:rPr>
          <w:rStyle w:val="FootnoteReference"/>
          <w:rFonts w:cs="Arial"/>
        </w:rPr>
        <w:footnoteReference w:id="52"/>
      </w:r>
    </w:p>
    <w:p w14:paraId="5B23D91B" w14:textId="27731A61" w:rsidR="00A967F7" w:rsidRPr="007F700D" w:rsidRDefault="007F700D" w:rsidP="007F700D">
      <w:pPr>
        <w:spacing w:before="360" w:after="120" w:line="480" w:lineRule="auto"/>
        <w:ind w:left="1560" w:hanging="851"/>
        <w:rPr>
          <w:rFonts w:cs="Arial"/>
        </w:rPr>
      </w:pPr>
      <w:r>
        <w:rPr>
          <w:rFonts w:cs="Arial"/>
        </w:rPr>
        <w:t>[23.2]</w:t>
      </w:r>
      <w:r>
        <w:rPr>
          <w:rFonts w:cs="Arial"/>
        </w:rPr>
        <w:tab/>
      </w:r>
      <w:r w:rsidR="00EA0632" w:rsidRPr="007F700D">
        <w:rPr>
          <w:rFonts w:cs="Arial"/>
        </w:rPr>
        <w:t xml:space="preserve">Second, </w:t>
      </w:r>
      <w:r w:rsidR="00BD496C" w:rsidRPr="007F700D">
        <w:rPr>
          <w:rFonts w:cs="Arial"/>
        </w:rPr>
        <w:t>s</w:t>
      </w:r>
      <w:r w:rsidR="00FC1BCE" w:rsidRPr="007F700D">
        <w:rPr>
          <w:rFonts w:cs="Arial"/>
        </w:rPr>
        <w:t>uch written statutory notice</w:t>
      </w:r>
      <w:r w:rsidR="002E19CF">
        <w:rPr>
          <w:rStyle w:val="FootnoteReference"/>
          <w:rFonts w:cs="Arial"/>
        </w:rPr>
        <w:footnoteReference w:id="53"/>
      </w:r>
      <w:r w:rsidR="00C02420" w:rsidRPr="00C02420">
        <w:t xml:space="preserve"> </w:t>
      </w:r>
      <w:r w:rsidR="00B1753D">
        <w:t xml:space="preserve">must </w:t>
      </w:r>
      <w:r w:rsidR="00C02420" w:rsidRPr="007F700D">
        <w:rPr>
          <w:rFonts w:cs="Arial"/>
        </w:rPr>
        <w:t>be served on the organ of state in</w:t>
      </w:r>
      <w:r w:rsidR="00B87953" w:rsidRPr="007F700D">
        <w:rPr>
          <w:rFonts w:cs="Arial"/>
        </w:rPr>
        <w:t xml:space="preserve"> question, </w:t>
      </w:r>
      <w:bookmarkStart w:id="40" w:name="_Hlk156657535"/>
      <w:r w:rsidR="00B87953" w:rsidRPr="007F700D">
        <w:rPr>
          <w:rFonts w:cs="Arial"/>
        </w:rPr>
        <w:t>in</w:t>
      </w:r>
      <w:r w:rsidR="00C02420" w:rsidRPr="007F700D">
        <w:rPr>
          <w:rFonts w:cs="Arial"/>
        </w:rPr>
        <w:t xml:space="preserve"> accordance with s</w:t>
      </w:r>
      <w:r w:rsidR="00B1753D" w:rsidRPr="007F700D">
        <w:rPr>
          <w:rFonts w:cs="Arial"/>
        </w:rPr>
        <w:t> </w:t>
      </w:r>
      <w:r w:rsidR="00C02420" w:rsidRPr="007F700D">
        <w:rPr>
          <w:rFonts w:cs="Arial"/>
        </w:rPr>
        <w:t>4(1)</w:t>
      </w:r>
      <w:r w:rsidR="004C0BE2" w:rsidRPr="007F700D">
        <w:rPr>
          <w:rFonts w:cs="Arial"/>
        </w:rPr>
        <w:t xml:space="preserve"> of the ILPA</w:t>
      </w:r>
      <w:bookmarkEnd w:id="40"/>
      <w:r w:rsidR="00B87953" w:rsidRPr="007F700D">
        <w:rPr>
          <w:rFonts w:cs="Arial"/>
        </w:rPr>
        <w:t>,</w:t>
      </w:r>
      <w:r w:rsidR="003800BC" w:rsidRPr="003800BC">
        <w:t xml:space="preserve"> </w:t>
      </w:r>
      <w:bookmarkStart w:id="41" w:name="_Hlk156990457"/>
      <w:r w:rsidR="003800BC" w:rsidRPr="007F700D">
        <w:rPr>
          <w:rFonts w:cs="Arial"/>
        </w:rPr>
        <w:t>within six months from the date on which the debt became due</w:t>
      </w:r>
      <w:bookmarkEnd w:id="41"/>
      <w:r w:rsidR="0059741C" w:rsidRPr="007F700D">
        <w:rPr>
          <w:rFonts w:cs="Arial"/>
        </w:rPr>
        <w:t>;</w:t>
      </w:r>
      <w:r w:rsidR="001C7875">
        <w:rPr>
          <w:rStyle w:val="FootnoteReference"/>
          <w:rFonts w:cs="Arial"/>
        </w:rPr>
        <w:footnoteReference w:id="54"/>
      </w:r>
    </w:p>
    <w:p w14:paraId="759BEE6C" w14:textId="3C0F788A" w:rsidR="00C53FED" w:rsidRPr="007F700D" w:rsidRDefault="007F700D" w:rsidP="007F700D">
      <w:pPr>
        <w:spacing w:before="360" w:after="120" w:line="480" w:lineRule="auto"/>
        <w:ind w:left="1560" w:hanging="851"/>
        <w:rPr>
          <w:rFonts w:cs="Arial"/>
        </w:rPr>
      </w:pPr>
      <w:r>
        <w:rPr>
          <w:rFonts w:cs="Arial"/>
        </w:rPr>
        <w:t>[23.3]</w:t>
      </w:r>
      <w:r>
        <w:rPr>
          <w:rFonts w:cs="Arial"/>
        </w:rPr>
        <w:tab/>
      </w:r>
      <w:r w:rsidR="00C53FED" w:rsidRPr="007F700D">
        <w:rPr>
          <w:rFonts w:cs="Arial"/>
        </w:rPr>
        <w:t xml:space="preserve">Third, </w:t>
      </w:r>
      <w:r w:rsidR="00F21273" w:rsidRPr="007F700D">
        <w:rPr>
          <w:rFonts w:cs="Arial"/>
        </w:rPr>
        <w:t xml:space="preserve">where </w:t>
      </w:r>
      <w:r w:rsidR="0043077B" w:rsidRPr="007F700D">
        <w:rPr>
          <w:rFonts w:cs="Arial"/>
        </w:rPr>
        <w:t xml:space="preserve">the </w:t>
      </w:r>
      <w:r w:rsidR="00754E91" w:rsidRPr="007F700D">
        <w:rPr>
          <w:rFonts w:cs="Arial"/>
        </w:rPr>
        <w:t xml:space="preserve">relevant </w:t>
      </w:r>
      <w:r w:rsidR="0043077B" w:rsidRPr="007F700D">
        <w:rPr>
          <w:rFonts w:cs="Arial"/>
        </w:rPr>
        <w:t xml:space="preserve">organ </w:t>
      </w:r>
      <w:r w:rsidR="00463D37" w:rsidRPr="007F700D">
        <w:rPr>
          <w:rFonts w:cs="Arial"/>
        </w:rPr>
        <w:t xml:space="preserve">of state </w:t>
      </w:r>
      <w:r w:rsidR="00432D23" w:rsidRPr="007F700D">
        <w:rPr>
          <w:rFonts w:cs="Arial"/>
        </w:rPr>
        <w:t xml:space="preserve">is </w:t>
      </w:r>
      <w:r w:rsidR="008F2600" w:rsidRPr="007F700D">
        <w:rPr>
          <w:rFonts w:cs="Arial"/>
        </w:rPr>
        <w:t xml:space="preserve">the </w:t>
      </w:r>
      <w:r w:rsidR="00146EE2" w:rsidRPr="007F700D">
        <w:rPr>
          <w:rFonts w:cs="Arial"/>
          <w:i/>
          <w:iCs/>
        </w:rPr>
        <w:t>Department of Police</w:t>
      </w:r>
      <w:r w:rsidR="00146EE2" w:rsidRPr="00243C5A">
        <w:rPr>
          <w:rStyle w:val="FootnoteReference"/>
          <w:rFonts w:cs="Arial"/>
        </w:rPr>
        <w:footnoteReference w:id="55"/>
      </w:r>
      <w:r w:rsidR="00146EE2" w:rsidRPr="007F700D">
        <w:rPr>
          <w:rFonts w:cs="Arial"/>
        </w:rPr>
        <w:t xml:space="preserve"> </w:t>
      </w:r>
      <w:r w:rsidR="00754E91" w:rsidRPr="007F700D">
        <w:rPr>
          <w:rFonts w:cs="Arial"/>
        </w:rPr>
        <w:t xml:space="preserve">- of </w:t>
      </w:r>
      <w:r w:rsidR="009F591C" w:rsidRPr="007F700D">
        <w:rPr>
          <w:rFonts w:cs="Arial"/>
        </w:rPr>
        <w:t>which the Minister is the executive authority</w:t>
      </w:r>
      <w:r w:rsidR="009F591C">
        <w:rPr>
          <w:rStyle w:val="FootnoteReference"/>
          <w:rFonts w:cs="Arial"/>
        </w:rPr>
        <w:footnoteReference w:id="56"/>
      </w:r>
      <w:r w:rsidR="009F591C" w:rsidRPr="007F700D">
        <w:rPr>
          <w:rFonts w:cs="Arial"/>
        </w:rPr>
        <w:t xml:space="preserve"> </w:t>
      </w:r>
      <w:bookmarkStart w:id="47" w:name="_Hlk156657518"/>
      <w:r w:rsidR="00A64FC8" w:rsidRPr="007F700D">
        <w:rPr>
          <w:rFonts w:cs="Arial"/>
        </w:rPr>
        <w:t xml:space="preserve">- </w:t>
      </w:r>
      <w:r w:rsidR="001F0744" w:rsidRPr="007F700D">
        <w:rPr>
          <w:rFonts w:cs="Arial"/>
        </w:rPr>
        <w:t>such written statutory notice</w:t>
      </w:r>
      <w:r w:rsidR="009834E1" w:rsidRPr="007F700D">
        <w:rPr>
          <w:rFonts w:cs="Arial"/>
        </w:rPr>
        <w:t xml:space="preserve"> </w:t>
      </w:r>
      <w:bookmarkEnd w:id="47"/>
      <w:r w:rsidR="009834E1" w:rsidRPr="007F700D">
        <w:rPr>
          <w:rFonts w:cs="Arial"/>
        </w:rPr>
        <w:t xml:space="preserve">had to </w:t>
      </w:r>
      <w:r w:rsidR="00C0135C" w:rsidRPr="007F700D">
        <w:rPr>
          <w:rFonts w:cs="Arial"/>
        </w:rPr>
        <w:t xml:space="preserve">be delivered </w:t>
      </w:r>
      <w:r w:rsidR="002359D8" w:rsidRPr="007F700D">
        <w:rPr>
          <w:rFonts w:cs="Arial"/>
        </w:rPr>
        <w:t xml:space="preserve">to </w:t>
      </w:r>
      <w:bookmarkStart w:id="48" w:name="_Hlk156988789"/>
      <w:r w:rsidR="00A54B48" w:rsidRPr="007F700D">
        <w:rPr>
          <w:rFonts w:cs="Arial"/>
        </w:rPr>
        <w:t xml:space="preserve">both </w:t>
      </w:r>
      <w:r w:rsidR="002359D8" w:rsidRPr="007F700D">
        <w:rPr>
          <w:rFonts w:cs="Arial"/>
        </w:rPr>
        <w:t xml:space="preserve">the National Commissioner </w:t>
      </w:r>
      <w:r w:rsidR="00A54B48" w:rsidRPr="007F700D">
        <w:rPr>
          <w:rFonts w:cs="Arial"/>
        </w:rPr>
        <w:t xml:space="preserve">of the SAPS, as well as </w:t>
      </w:r>
      <w:r w:rsidR="002359D8" w:rsidRPr="007F700D">
        <w:rPr>
          <w:rFonts w:cs="Arial"/>
        </w:rPr>
        <w:t xml:space="preserve">the Provincial Commissioner of </w:t>
      </w:r>
      <w:r w:rsidR="00DA5796" w:rsidRPr="007F700D">
        <w:rPr>
          <w:rFonts w:cs="Arial"/>
        </w:rPr>
        <w:t xml:space="preserve">SAPS </w:t>
      </w:r>
      <w:r w:rsidR="00A57929" w:rsidRPr="007F700D">
        <w:rPr>
          <w:rFonts w:cs="Arial"/>
        </w:rPr>
        <w:t xml:space="preserve">in </w:t>
      </w:r>
      <w:r w:rsidR="002359D8" w:rsidRPr="007F700D">
        <w:rPr>
          <w:rFonts w:cs="Arial"/>
        </w:rPr>
        <w:t>the province in which the cause of action arose</w:t>
      </w:r>
      <w:r w:rsidR="00A57929" w:rsidRPr="007F700D">
        <w:rPr>
          <w:rFonts w:cs="Arial"/>
        </w:rPr>
        <w:t xml:space="preserve"> (i.e.</w:t>
      </w:r>
      <w:r w:rsidR="00B82B27" w:rsidRPr="007F700D">
        <w:rPr>
          <w:rFonts w:cs="Arial"/>
        </w:rPr>
        <w:t>, Gauteng)</w:t>
      </w:r>
      <w:bookmarkEnd w:id="48"/>
      <w:r w:rsidR="00A57929" w:rsidRPr="007F700D">
        <w:rPr>
          <w:rFonts w:cs="Arial"/>
        </w:rPr>
        <w:t>;</w:t>
      </w:r>
      <w:r w:rsidR="00B82B27">
        <w:rPr>
          <w:rStyle w:val="FootnoteReference"/>
          <w:rFonts w:cs="Arial"/>
        </w:rPr>
        <w:footnoteReference w:id="57"/>
      </w:r>
      <w:r w:rsidR="00751EAD" w:rsidRPr="007F700D">
        <w:rPr>
          <w:rFonts w:cs="Arial"/>
        </w:rPr>
        <w:t xml:space="preserve"> and</w:t>
      </w:r>
    </w:p>
    <w:p w14:paraId="0775FBFB" w14:textId="031732A8" w:rsidR="002C7E3A" w:rsidRPr="007F700D" w:rsidRDefault="007F700D" w:rsidP="007F700D">
      <w:pPr>
        <w:spacing w:before="360" w:after="120" w:line="480" w:lineRule="auto"/>
        <w:ind w:left="1560" w:hanging="851"/>
        <w:rPr>
          <w:rFonts w:cs="Arial"/>
        </w:rPr>
      </w:pPr>
      <w:r>
        <w:rPr>
          <w:rFonts w:cs="Arial"/>
        </w:rPr>
        <w:lastRenderedPageBreak/>
        <w:t>[23.4]</w:t>
      </w:r>
      <w:r>
        <w:rPr>
          <w:rFonts w:cs="Arial"/>
        </w:rPr>
        <w:tab/>
      </w:r>
      <w:r w:rsidR="002C7E3A" w:rsidRPr="007F700D">
        <w:rPr>
          <w:rFonts w:cs="Arial"/>
        </w:rPr>
        <w:t xml:space="preserve">Fourth, </w:t>
      </w:r>
      <w:r w:rsidR="00CF5365" w:rsidRPr="007F700D">
        <w:rPr>
          <w:rFonts w:cs="Arial"/>
        </w:rPr>
        <w:t xml:space="preserve">once </w:t>
      </w:r>
      <w:r w:rsidR="00E83455" w:rsidRPr="007F700D">
        <w:rPr>
          <w:rFonts w:cs="Arial"/>
        </w:rPr>
        <w:t xml:space="preserve">such written statutory notice </w:t>
      </w:r>
      <w:r w:rsidR="00CF5365" w:rsidRPr="007F700D">
        <w:rPr>
          <w:rFonts w:cs="Arial"/>
        </w:rPr>
        <w:t xml:space="preserve">has properly been delivered </w:t>
      </w:r>
      <w:r w:rsidR="00E83455" w:rsidRPr="007F700D">
        <w:rPr>
          <w:rFonts w:cs="Arial"/>
        </w:rPr>
        <w:t xml:space="preserve">in accordance with s 4(1)(a) of the ILPA, </w:t>
      </w:r>
      <w:r w:rsidR="00FC47A6" w:rsidRPr="007F700D">
        <w:rPr>
          <w:rFonts w:cs="Arial"/>
        </w:rPr>
        <w:t>no legal p</w:t>
      </w:r>
      <w:r w:rsidR="00C605F7" w:rsidRPr="007F700D">
        <w:rPr>
          <w:rFonts w:cs="Arial"/>
        </w:rPr>
        <w:t xml:space="preserve">rocess </w:t>
      </w:r>
      <w:r w:rsidR="007E1A78" w:rsidRPr="007F700D">
        <w:rPr>
          <w:rFonts w:cs="Arial"/>
        </w:rPr>
        <w:t xml:space="preserve">through which </w:t>
      </w:r>
      <w:r w:rsidR="00FE6710" w:rsidRPr="007F700D">
        <w:rPr>
          <w:rFonts w:cs="Arial"/>
        </w:rPr>
        <w:t xml:space="preserve">legal proceedings </w:t>
      </w:r>
      <w:r w:rsidR="007E1A78" w:rsidRPr="007F700D">
        <w:rPr>
          <w:rFonts w:cs="Arial"/>
        </w:rPr>
        <w:t>are instituted</w:t>
      </w:r>
      <w:r w:rsidR="00EB36C0" w:rsidRPr="007F700D">
        <w:rPr>
          <w:rFonts w:cs="Arial"/>
        </w:rPr>
        <w:t xml:space="preserve">, as </w:t>
      </w:r>
      <w:r w:rsidR="00FE6710" w:rsidRPr="007F700D">
        <w:rPr>
          <w:rFonts w:cs="Arial"/>
        </w:rPr>
        <w:t>contemplated in s</w:t>
      </w:r>
      <w:r w:rsidR="00EB36C0" w:rsidRPr="007F700D">
        <w:rPr>
          <w:rFonts w:cs="Arial"/>
        </w:rPr>
        <w:t> </w:t>
      </w:r>
      <w:r w:rsidR="00FE6710" w:rsidRPr="007F700D">
        <w:rPr>
          <w:rFonts w:cs="Arial"/>
        </w:rPr>
        <w:t xml:space="preserve">3(1) </w:t>
      </w:r>
      <w:r w:rsidR="00EB36C0" w:rsidRPr="007F700D">
        <w:rPr>
          <w:rFonts w:cs="Arial"/>
        </w:rPr>
        <w:t xml:space="preserve">of the ILPA, </w:t>
      </w:r>
      <w:r w:rsidR="00791492" w:rsidRPr="007F700D">
        <w:rPr>
          <w:rFonts w:cs="Arial"/>
        </w:rPr>
        <w:t xml:space="preserve">could be served on the </w:t>
      </w:r>
      <w:r w:rsidR="00EB36C0" w:rsidRPr="007F700D">
        <w:rPr>
          <w:rFonts w:cs="Arial"/>
        </w:rPr>
        <w:t xml:space="preserve">Minister </w:t>
      </w:r>
      <w:r w:rsidR="00737643" w:rsidRPr="007F700D">
        <w:rPr>
          <w:rFonts w:cs="Arial"/>
          <w:i/>
          <w:iCs/>
        </w:rPr>
        <w:t xml:space="preserve">before </w:t>
      </w:r>
      <w:r w:rsidR="00737643" w:rsidRPr="007F700D">
        <w:rPr>
          <w:rFonts w:cs="Arial"/>
        </w:rPr>
        <w:t xml:space="preserve">a period of 60 days </w:t>
      </w:r>
      <w:r w:rsidR="009074C2" w:rsidRPr="007F700D">
        <w:rPr>
          <w:rFonts w:cs="Arial"/>
        </w:rPr>
        <w:t xml:space="preserve">has </w:t>
      </w:r>
      <w:r w:rsidR="008247FC" w:rsidRPr="007F700D">
        <w:rPr>
          <w:rFonts w:cs="Arial"/>
        </w:rPr>
        <w:t xml:space="preserve">expired </w:t>
      </w:r>
      <w:r w:rsidR="00737643" w:rsidRPr="007F700D">
        <w:rPr>
          <w:rFonts w:cs="Arial"/>
          <w:i/>
          <w:iCs/>
        </w:rPr>
        <w:t>after</w:t>
      </w:r>
      <w:r w:rsidR="00737643" w:rsidRPr="007F700D">
        <w:rPr>
          <w:rFonts w:cs="Arial"/>
        </w:rPr>
        <w:t xml:space="preserve"> </w:t>
      </w:r>
      <w:r w:rsidR="009F2B2D" w:rsidRPr="007F700D">
        <w:rPr>
          <w:rFonts w:cs="Arial"/>
        </w:rPr>
        <w:t xml:space="preserve">such </w:t>
      </w:r>
      <w:r w:rsidR="00811F97" w:rsidRPr="007F700D">
        <w:rPr>
          <w:rFonts w:cs="Arial"/>
        </w:rPr>
        <w:t xml:space="preserve">written </w:t>
      </w:r>
      <w:r w:rsidR="00737643" w:rsidRPr="007F700D">
        <w:rPr>
          <w:rFonts w:cs="Arial"/>
        </w:rPr>
        <w:t>notice</w:t>
      </w:r>
      <w:r w:rsidR="009F2B2D" w:rsidRPr="007F700D">
        <w:rPr>
          <w:rFonts w:cs="Arial"/>
        </w:rPr>
        <w:t xml:space="preserve"> had</w:t>
      </w:r>
      <w:r w:rsidR="00811F97" w:rsidRPr="007F700D">
        <w:rPr>
          <w:rFonts w:cs="Arial"/>
        </w:rPr>
        <w:t xml:space="preserve"> </w:t>
      </w:r>
      <w:r w:rsidR="00DD7416" w:rsidRPr="007F700D">
        <w:rPr>
          <w:rFonts w:cs="Arial"/>
        </w:rPr>
        <w:t xml:space="preserve">been </w:t>
      </w:r>
      <w:r w:rsidR="00811F97" w:rsidRPr="007F700D">
        <w:rPr>
          <w:rFonts w:cs="Arial"/>
        </w:rPr>
        <w:t>served</w:t>
      </w:r>
      <w:r w:rsidR="00751EAD" w:rsidRPr="007F700D">
        <w:rPr>
          <w:rFonts w:cs="Arial"/>
        </w:rPr>
        <w:t>.</w:t>
      </w:r>
      <w:r w:rsidR="00DD7416">
        <w:rPr>
          <w:rStyle w:val="FootnoteReference"/>
          <w:rFonts w:cs="Arial"/>
        </w:rPr>
        <w:footnoteReference w:id="58"/>
      </w:r>
      <w:r w:rsidR="00811F97" w:rsidRPr="007F700D">
        <w:rPr>
          <w:rFonts w:cs="Arial"/>
        </w:rPr>
        <w:t xml:space="preserve"> </w:t>
      </w:r>
    </w:p>
    <w:p w14:paraId="0D0CCCFC" w14:textId="02DBE49F" w:rsidR="00655CDD" w:rsidRPr="007F700D" w:rsidRDefault="007F700D" w:rsidP="007F700D">
      <w:pPr>
        <w:spacing w:before="360" w:after="120" w:line="480" w:lineRule="auto"/>
        <w:ind w:left="709" w:hanging="720"/>
        <w:rPr>
          <w:rFonts w:cs="Arial"/>
        </w:rPr>
      </w:pPr>
      <w:r>
        <w:rPr>
          <w:rFonts w:cs="Arial"/>
        </w:rPr>
        <w:t>[24]</w:t>
      </w:r>
      <w:r>
        <w:rPr>
          <w:rFonts w:cs="Arial"/>
        </w:rPr>
        <w:tab/>
      </w:r>
      <w:r w:rsidR="00655CDD" w:rsidRPr="007F700D">
        <w:rPr>
          <w:rFonts w:cs="Arial"/>
        </w:rPr>
        <w:t xml:space="preserve">Moreover, in terms </w:t>
      </w:r>
      <w:r w:rsidR="002053BD" w:rsidRPr="007F700D">
        <w:rPr>
          <w:rFonts w:cs="Arial"/>
        </w:rPr>
        <w:t>of</w:t>
      </w:r>
      <w:r w:rsidR="0060505D" w:rsidRPr="0060505D">
        <w:t xml:space="preserve"> </w:t>
      </w:r>
      <w:r w:rsidR="009A7131">
        <w:t>s </w:t>
      </w:r>
      <w:r w:rsidR="0060505D" w:rsidRPr="007F700D">
        <w:rPr>
          <w:rFonts w:cs="Arial"/>
        </w:rPr>
        <w:t>5(1)(a) and (b)(</w:t>
      </w:r>
      <w:proofErr w:type="gramStart"/>
      <w:r w:rsidR="0060505D" w:rsidRPr="007F700D">
        <w:rPr>
          <w:rFonts w:cs="Arial"/>
        </w:rPr>
        <w:t>ii)(</w:t>
      </w:r>
      <w:proofErr w:type="gramEnd"/>
      <w:r w:rsidR="0060505D" w:rsidRPr="007F700D">
        <w:rPr>
          <w:rFonts w:cs="Arial"/>
        </w:rPr>
        <w:t>aa) and (bb) of the ILPA, read with s</w:t>
      </w:r>
      <w:r w:rsidR="006F0507" w:rsidRPr="007F700D">
        <w:rPr>
          <w:rFonts w:cs="Arial"/>
        </w:rPr>
        <w:t> </w:t>
      </w:r>
      <w:r w:rsidR="0060505D" w:rsidRPr="007F700D">
        <w:rPr>
          <w:rFonts w:cs="Arial"/>
        </w:rPr>
        <w:t>2(1) of the State Liability Act 20 of 1957</w:t>
      </w:r>
      <w:r w:rsidR="00DE12B6" w:rsidRPr="007F700D">
        <w:rPr>
          <w:rFonts w:cs="Arial"/>
        </w:rPr>
        <w:t xml:space="preserve">, Mr </w:t>
      </w:r>
      <w:proofErr w:type="spellStart"/>
      <w:r w:rsidR="00DE12B6" w:rsidRPr="007F700D">
        <w:rPr>
          <w:rFonts w:cs="Arial"/>
        </w:rPr>
        <w:t>Mangasa</w:t>
      </w:r>
      <w:proofErr w:type="spellEnd"/>
      <w:r w:rsidR="00DE12B6" w:rsidRPr="007F700D">
        <w:rPr>
          <w:rFonts w:cs="Arial"/>
        </w:rPr>
        <w:t xml:space="preserve"> was </w:t>
      </w:r>
      <w:r w:rsidR="00D536DE" w:rsidRPr="007F700D">
        <w:rPr>
          <w:rFonts w:cs="Arial"/>
        </w:rPr>
        <w:t xml:space="preserve">also </w:t>
      </w:r>
      <w:r w:rsidR="00011B10" w:rsidRPr="007F700D">
        <w:rPr>
          <w:rFonts w:cs="Arial"/>
        </w:rPr>
        <w:t>obliged to</w:t>
      </w:r>
      <w:r w:rsidR="002034DC" w:rsidRPr="007F700D">
        <w:rPr>
          <w:rFonts w:cs="Arial"/>
        </w:rPr>
        <w:t xml:space="preserve"> serve his summons on</w:t>
      </w:r>
      <w:r w:rsidR="002E561A" w:rsidRPr="007F700D">
        <w:rPr>
          <w:rFonts w:cs="Arial"/>
        </w:rPr>
        <w:t xml:space="preserve"> both the National Commissioner of the SAPS, as well as the Provincial Commissioner of SAPS in the province in which the cause of action arose (i.e., Gauteng)</w:t>
      </w:r>
      <w:r w:rsidR="0060505D" w:rsidRPr="007F700D">
        <w:rPr>
          <w:rFonts w:cs="Arial"/>
        </w:rPr>
        <w:t>.</w:t>
      </w:r>
      <w:r w:rsidR="001F685B" w:rsidRPr="007F700D">
        <w:rPr>
          <w:rFonts w:cs="Arial"/>
        </w:rPr>
        <w:t xml:space="preserve">  This he </w:t>
      </w:r>
      <w:r w:rsidR="00FE47D1" w:rsidRPr="007F700D">
        <w:rPr>
          <w:rFonts w:cs="Arial"/>
        </w:rPr>
        <w:t xml:space="preserve">apparently </w:t>
      </w:r>
      <w:r w:rsidR="001F685B" w:rsidRPr="007F700D">
        <w:rPr>
          <w:rFonts w:cs="Arial"/>
        </w:rPr>
        <w:t xml:space="preserve">failed to do </w:t>
      </w:r>
      <w:r w:rsidR="00137080" w:rsidRPr="007F700D">
        <w:rPr>
          <w:rFonts w:cs="Arial"/>
        </w:rPr>
        <w:t>before 23 February 2023.</w:t>
      </w:r>
    </w:p>
    <w:p w14:paraId="1C890293" w14:textId="0DD7C9F2" w:rsidR="00D2284B" w:rsidRPr="007F700D" w:rsidRDefault="007F700D" w:rsidP="007F700D">
      <w:pPr>
        <w:spacing w:before="360" w:after="120" w:line="480" w:lineRule="auto"/>
        <w:ind w:left="709" w:hanging="720"/>
        <w:rPr>
          <w:rFonts w:cs="Arial"/>
        </w:rPr>
      </w:pPr>
      <w:r w:rsidRPr="00D2284B">
        <w:rPr>
          <w:rFonts w:cs="Arial"/>
        </w:rPr>
        <w:t>[25]</w:t>
      </w:r>
      <w:r w:rsidRPr="00D2284B">
        <w:rPr>
          <w:rFonts w:cs="Arial"/>
        </w:rPr>
        <w:tab/>
      </w:r>
      <w:r w:rsidR="00D2284B" w:rsidRPr="007F700D">
        <w:rPr>
          <w:rFonts w:cs="Arial"/>
        </w:rPr>
        <w:t xml:space="preserve">In order for this </w:t>
      </w:r>
      <w:r w:rsidR="001932CE" w:rsidRPr="007F700D">
        <w:rPr>
          <w:rFonts w:cs="Arial"/>
        </w:rPr>
        <w:t>c</w:t>
      </w:r>
      <w:r w:rsidR="00D2284B" w:rsidRPr="007F700D">
        <w:rPr>
          <w:rFonts w:cs="Arial"/>
        </w:rPr>
        <w:t xml:space="preserve">ourt </w:t>
      </w:r>
      <w:r w:rsidR="006F1C24" w:rsidRPr="007F700D">
        <w:rPr>
          <w:rFonts w:cs="Arial"/>
        </w:rPr>
        <w:t xml:space="preserve">to </w:t>
      </w:r>
      <w:r w:rsidR="00D2284B" w:rsidRPr="007F700D">
        <w:rPr>
          <w:rFonts w:cs="Arial"/>
        </w:rPr>
        <w:t xml:space="preserve">grant </w:t>
      </w:r>
      <w:r w:rsidR="006F1C24" w:rsidRPr="007F700D">
        <w:rPr>
          <w:rFonts w:cs="Arial"/>
        </w:rPr>
        <w:t>the</w:t>
      </w:r>
      <w:r w:rsidR="00D2284B" w:rsidRPr="007F700D">
        <w:rPr>
          <w:rFonts w:cs="Arial"/>
        </w:rPr>
        <w:t xml:space="preserve"> </w:t>
      </w:r>
      <w:r w:rsidR="009F16B9" w:rsidRPr="007F700D">
        <w:rPr>
          <w:rFonts w:cs="Arial"/>
        </w:rPr>
        <w:t>condonation application</w:t>
      </w:r>
      <w:r w:rsidR="005C53D0" w:rsidRPr="007F700D">
        <w:rPr>
          <w:rFonts w:cs="Arial"/>
        </w:rPr>
        <w:t xml:space="preserve"> </w:t>
      </w:r>
      <w:r w:rsidR="006F1C24" w:rsidRPr="007F700D">
        <w:rPr>
          <w:rFonts w:cs="Arial"/>
        </w:rPr>
        <w:t xml:space="preserve">presently </w:t>
      </w:r>
      <w:r w:rsidR="001039E9" w:rsidRPr="007F700D">
        <w:rPr>
          <w:rFonts w:cs="Arial"/>
        </w:rPr>
        <w:t xml:space="preserve">sought, it is clear that it must be </w:t>
      </w:r>
      <w:r w:rsidR="00D2284B" w:rsidRPr="007F700D">
        <w:rPr>
          <w:rFonts w:cs="Arial"/>
        </w:rPr>
        <w:t>satisfied that</w:t>
      </w:r>
      <w:r w:rsidR="001039E9" w:rsidRPr="007F700D">
        <w:rPr>
          <w:rFonts w:cs="Arial"/>
        </w:rPr>
        <w:t>:</w:t>
      </w:r>
    </w:p>
    <w:p w14:paraId="4F34751A" w14:textId="422EFB3F" w:rsidR="00D2284B" w:rsidRPr="007F700D" w:rsidRDefault="007F700D" w:rsidP="007F700D">
      <w:pPr>
        <w:spacing w:before="360" w:after="120" w:line="480" w:lineRule="auto"/>
        <w:ind w:left="1560" w:hanging="851"/>
        <w:rPr>
          <w:rFonts w:cs="Arial"/>
        </w:rPr>
      </w:pPr>
      <w:r w:rsidRPr="00D2284B">
        <w:rPr>
          <w:rFonts w:cs="Arial"/>
        </w:rPr>
        <w:t>[25.1]</w:t>
      </w:r>
      <w:r w:rsidRPr="00D2284B">
        <w:rPr>
          <w:rFonts w:cs="Arial"/>
        </w:rPr>
        <w:tab/>
      </w:r>
      <w:r w:rsidR="00D2284B" w:rsidRPr="007F700D">
        <w:rPr>
          <w:rFonts w:cs="Arial"/>
        </w:rPr>
        <w:t>the debt has not been extinguished by prescription;</w:t>
      </w:r>
    </w:p>
    <w:p w14:paraId="2A7D4D06" w14:textId="0923FFD5" w:rsidR="00D2284B" w:rsidRPr="007F700D" w:rsidRDefault="007F700D" w:rsidP="007F700D">
      <w:pPr>
        <w:spacing w:before="360" w:after="120" w:line="480" w:lineRule="auto"/>
        <w:ind w:left="1560" w:hanging="851"/>
        <w:rPr>
          <w:rFonts w:cs="Arial"/>
        </w:rPr>
      </w:pPr>
      <w:r w:rsidRPr="00D2284B">
        <w:rPr>
          <w:rFonts w:cs="Arial"/>
        </w:rPr>
        <w:t>[25.2]</w:t>
      </w:r>
      <w:r w:rsidRPr="00D2284B">
        <w:rPr>
          <w:rFonts w:cs="Arial"/>
        </w:rPr>
        <w:tab/>
      </w:r>
      <w:r w:rsidR="00D2284B" w:rsidRPr="007F700D">
        <w:rPr>
          <w:rFonts w:cs="Arial"/>
        </w:rPr>
        <w:t xml:space="preserve">good cause exists for </w:t>
      </w:r>
      <w:r w:rsidR="001039E9" w:rsidRPr="007F700D">
        <w:rPr>
          <w:rFonts w:cs="Arial"/>
        </w:rPr>
        <w:t xml:space="preserve">Mr </w:t>
      </w:r>
      <w:proofErr w:type="spellStart"/>
      <w:r w:rsidR="009E5CAE" w:rsidRPr="007F700D">
        <w:rPr>
          <w:rFonts w:cs="Arial"/>
        </w:rPr>
        <w:t>M</w:t>
      </w:r>
      <w:r w:rsidR="001039E9" w:rsidRPr="007F700D">
        <w:rPr>
          <w:rFonts w:cs="Arial"/>
        </w:rPr>
        <w:t>angasa</w:t>
      </w:r>
      <w:r w:rsidR="00DB57A5" w:rsidRPr="007F700D">
        <w:rPr>
          <w:rFonts w:cs="Arial"/>
        </w:rPr>
        <w:t>’s</w:t>
      </w:r>
      <w:proofErr w:type="spellEnd"/>
      <w:r w:rsidR="00DB57A5" w:rsidRPr="007F700D">
        <w:rPr>
          <w:rFonts w:cs="Arial"/>
        </w:rPr>
        <w:t xml:space="preserve"> failure</w:t>
      </w:r>
      <w:r w:rsidR="009E5CAE" w:rsidRPr="007F700D">
        <w:rPr>
          <w:rFonts w:cs="Arial"/>
        </w:rPr>
        <w:t xml:space="preserve"> to </w:t>
      </w:r>
      <w:r w:rsidR="00150C63" w:rsidRPr="007F700D">
        <w:rPr>
          <w:rFonts w:cs="Arial"/>
        </w:rPr>
        <w:t xml:space="preserve">have </w:t>
      </w:r>
      <w:r w:rsidR="009E5CAE" w:rsidRPr="007F700D">
        <w:rPr>
          <w:rFonts w:cs="Arial"/>
        </w:rPr>
        <w:t>give</w:t>
      </w:r>
      <w:r w:rsidR="00150C63" w:rsidRPr="007F700D">
        <w:rPr>
          <w:rFonts w:cs="Arial"/>
        </w:rPr>
        <w:t>n</w:t>
      </w:r>
      <w:r w:rsidR="009E5CAE" w:rsidRPr="007F700D">
        <w:rPr>
          <w:rFonts w:cs="Arial"/>
        </w:rPr>
        <w:t xml:space="preserve"> the</w:t>
      </w:r>
      <w:r w:rsidR="003D338C" w:rsidRPr="007F700D">
        <w:rPr>
          <w:rFonts w:cs="Arial"/>
        </w:rPr>
        <w:t xml:space="preserve"> written statutory notice envisaged in s 3(1)(a)</w:t>
      </w:r>
      <w:r w:rsidR="009E5CAE" w:rsidRPr="007F700D">
        <w:rPr>
          <w:rFonts w:cs="Arial"/>
        </w:rPr>
        <w:t xml:space="preserve"> </w:t>
      </w:r>
      <w:r w:rsidR="003D338C" w:rsidRPr="007F700D">
        <w:rPr>
          <w:rFonts w:cs="Arial"/>
        </w:rPr>
        <w:t>of the ILPA timeously</w:t>
      </w:r>
      <w:r w:rsidR="00996004" w:rsidRPr="007F700D">
        <w:rPr>
          <w:rFonts w:cs="Arial"/>
        </w:rPr>
        <w:t xml:space="preserve">, </w:t>
      </w:r>
      <w:r w:rsidR="00343591" w:rsidRPr="007F700D">
        <w:rPr>
          <w:rFonts w:cs="Arial"/>
        </w:rPr>
        <w:t>i.e., within six months from the date on which the debt became due</w:t>
      </w:r>
      <w:r w:rsidR="00841672" w:rsidRPr="007F700D">
        <w:rPr>
          <w:rFonts w:cs="Arial"/>
        </w:rPr>
        <w:t>,</w:t>
      </w:r>
      <w:r w:rsidR="00343591" w:rsidRPr="007F700D">
        <w:rPr>
          <w:rFonts w:cs="Arial"/>
        </w:rPr>
        <w:t xml:space="preserve"> </w:t>
      </w:r>
      <w:r w:rsidR="00996004" w:rsidRPr="007F700D">
        <w:rPr>
          <w:rFonts w:cs="Arial"/>
        </w:rPr>
        <w:t xml:space="preserve">as </w:t>
      </w:r>
      <w:r w:rsidR="00A217D9" w:rsidRPr="007F700D">
        <w:rPr>
          <w:rFonts w:cs="Arial"/>
        </w:rPr>
        <w:t>he was obliged to do in terms of s </w:t>
      </w:r>
      <w:r w:rsidR="002F50F9" w:rsidRPr="007F700D">
        <w:rPr>
          <w:rFonts w:cs="Arial"/>
        </w:rPr>
        <w:t xml:space="preserve">3 (2) (a) thereof; </w:t>
      </w:r>
      <w:r w:rsidR="00D2284B" w:rsidRPr="007F700D">
        <w:rPr>
          <w:rFonts w:cs="Arial"/>
        </w:rPr>
        <w:t>and</w:t>
      </w:r>
    </w:p>
    <w:p w14:paraId="6CAF5061" w14:textId="6A5C9A3C" w:rsidR="00BC08ED" w:rsidRPr="007F700D" w:rsidRDefault="007F700D" w:rsidP="007F700D">
      <w:pPr>
        <w:spacing w:before="360" w:after="120" w:line="480" w:lineRule="auto"/>
        <w:ind w:left="1560" w:hanging="851"/>
        <w:rPr>
          <w:rFonts w:cs="Arial"/>
        </w:rPr>
      </w:pPr>
      <w:r>
        <w:rPr>
          <w:rFonts w:cs="Arial"/>
        </w:rPr>
        <w:t>[25.3]</w:t>
      </w:r>
      <w:r>
        <w:rPr>
          <w:rFonts w:cs="Arial"/>
        </w:rPr>
        <w:tab/>
      </w:r>
      <w:r w:rsidR="00D2284B" w:rsidRPr="007F700D">
        <w:rPr>
          <w:rFonts w:cs="Arial"/>
        </w:rPr>
        <w:t xml:space="preserve">the </w:t>
      </w:r>
      <w:r w:rsidR="002F50F9" w:rsidRPr="007F700D">
        <w:rPr>
          <w:rFonts w:cs="Arial"/>
        </w:rPr>
        <w:t xml:space="preserve">Minister </w:t>
      </w:r>
      <w:r w:rsidR="00E96D23" w:rsidRPr="007F700D">
        <w:rPr>
          <w:rFonts w:cs="Arial"/>
        </w:rPr>
        <w:t>is</w:t>
      </w:r>
      <w:r w:rsidR="00D2284B" w:rsidRPr="007F700D">
        <w:rPr>
          <w:rFonts w:cs="Arial"/>
        </w:rPr>
        <w:t xml:space="preserve"> not unreasonably prejudiced by </w:t>
      </w:r>
      <w:r w:rsidR="00841672" w:rsidRPr="007F700D">
        <w:rPr>
          <w:rFonts w:cs="Arial"/>
        </w:rPr>
        <w:t>such</w:t>
      </w:r>
      <w:r w:rsidR="00D2284B" w:rsidRPr="007F700D">
        <w:rPr>
          <w:rFonts w:cs="Arial"/>
        </w:rPr>
        <w:t xml:space="preserve"> failure.</w:t>
      </w:r>
      <w:r w:rsidR="002F50F9">
        <w:rPr>
          <w:rStyle w:val="FootnoteReference"/>
          <w:rFonts w:cs="Arial"/>
        </w:rPr>
        <w:footnoteReference w:id="59"/>
      </w:r>
    </w:p>
    <w:p w14:paraId="4005D746" w14:textId="5F4BBDC4" w:rsidR="00642CF3" w:rsidRPr="007F700D" w:rsidRDefault="007F700D" w:rsidP="007F700D">
      <w:pPr>
        <w:spacing w:before="360" w:after="120" w:line="480" w:lineRule="auto"/>
        <w:ind w:left="709" w:hanging="720"/>
        <w:rPr>
          <w:rFonts w:cs="Arial"/>
        </w:rPr>
      </w:pPr>
      <w:r>
        <w:rPr>
          <w:rFonts w:cs="Arial"/>
        </w:rPr>
        <w:lastRenderedPageBreak/>
        <w:t>[26]</w:t>
      </w:r>
      <w:r>
        <w:rPr>
          <w:rFonts w:cs="Arial"/>
        </w:rPr>
        <w:tab/>
      </w:r>
      <w:r w:rsidR="00F455DE" w:rsidRPr="007F700D">
        <w:rPr>
          <w:rFonts w:cs="Arial"/>
        </w:rPr>
        <w:t xml:space="preserve">In </w:t>
      </w:r>
      <w:proofErr w:type="spellStart"/>
      <w:r w:rsidR="00F455DE" w:rsidRPr="007F700D">
        <w:rPr>
          <w:rFonts w:cs="Arial"/>
          <w:b/>
          <w:bCs/>
          <w:i/>
          <w:iCs/>
        </w:rPr>
        <w:t>Madind</w:t>
      </w:r>
      <w:r w:rsidR="00867618" w:rsidRPr="007F700D">
        <w:rPr>
          <w:rFonts w:cs="Arial"/>
          <w:b/>
          <w:bCs/>
          <w:i/>
          <w:iCs/>
        </w:rPr>
        <w:t>a</w:t>
      </w:r>
      <w:proofErr w:type="spellEnd"/>
      <w:r w:rsidR="00867618" w:rsidRPr="007F700D">
        <w:rPr>
          <w:rFonts w:cs="Arial"/>
        </w:rPr>
        <w:t xml:space="preserve"> </w:t>
      </w:r>
      <w:r w:rsidR="00EE328E" w:rsidRPr="007F700D">
        <w:rPr>
          <w:rFonts w:cs="Arial"/>
        </w:rPr>
        <w:t>the Supreme Court of Appeal (</w:t>
      </w:r>
      <w:r w:rsidR="00EE328E" w:rsidRPr="007F700D">
        <w:rPr>
          <w:rFonts w:cs="Arial"/>
          <w:b/>
          <w:bCs/>
        </w:rPr>
        <w:t>SCA</w:t>
      </w:r>
      <w:r w:rsidR="00EE328E" w:rsidRPr="007F700D">
        <w:rPr>
          <w:rFonts w:cs="Arial"/>
        </w:rPr>
        <w:t>)</w:t>
      </w:r>
      <w:r w:rsidR="00927B12" w:rsidRPr="007F700D">
        <w:rPr>
          <w:rFonts w:cs="Arial"/>
        </w:rPr>
        <w:t xml:space="preserve"> held</w:t>
      </w:r>
      <w:r w:rsidR="006373CC" w:rsidRPr="007F700D">
        <w:rPr>
          <w:rFonts w:cs="Arial"/>
        </w:rPr>
        <w:t xml:space="preserve"> that the phrase ‘</w:t>
      </w:r>
      <w:r w:rsidR="00147133" w:rsidRPr="007F700D">
        <w:rPr>
          <w:rFonts w:cs="Arial"/>
          <w:i/>
          <w:iCs/>
        </w:rPr>
        <w:t xml:space="preserve">if </w:t>
      </w:r>
      <w:r w:rsidR="00913A5C" w:rsidRPr="007F700D">
        <w:rPr>
          <w:rFonts w:cs="Arial"/>
        </w:rPr>
        <w:t>[</w:t>
      </w:r>
      <w:r w:rsidR="00913A5C" w:rsidRPr="007F700D">
        <w:rPr>
          <w:rFonts w:cs="Arial"/>
          <w:i/>
          <w:iCs/>
        </w:rPr>
        <w:t>a court</w:t>
      </w:r>
      <w:r w:rsidR="00913A5C" w:rsidRPr="007F700D">
        <w:rPr>
          <w:rFonts w:cs="Arial"/>
        </w:rPr>
        <w:t>]</w:t>
      </w:r>
      <w:r w:rsidR="00147133" w:rsidRPr="007F700D">
        <w:rPr>
          <w:rFonts w:cs="Arial"/>
          <w:i/>
          <w:iCs/>
        </w:rPr>
        <w:t xml:space="preserve"> is satisfied that</w:t>
      </w:r>
      <w:r w:rsidR="00913A5C" w:rsidRPr="007F700D">
        <w:rPr>
          <w:rFonts w:cs="Arial"/>
        </w:rPr>
        <w:t>’</w:t>
      </w:r>
      <w:r w:rsidR="009522B5" w:rsidRPr="007F700D">
        <w:rPr>
          <w:rFonts w:cs="Arial"/>
        </w:rPr>
        <w:t xml:space="preserve"> - </w:t>
      </w:r>
      <w:r w:rsidR="001669F1" w:rsidRPr="007F700D">
        <w:rPr>
          <w:rFonts w:cs="Arial"/>
        </w:rPr>
        <w:t>which also appears</w:t>
      </w:r>
      <w:r w:rsidR="008B2DDA" w:rsidRPr="007F700D">
        <w:rPr>
          <w:rFonts w:cs="Arial"/>
        </w:rPr>
        <w:t xml:space="preserve"> in s 3(4)(b) </w:t>
      </w:r>
      <w:r w:rsidR="001669F1" w:rsidRPr="007F700D">
        <w:rPr>
          <w:rFonts w:cs="Arial"/>
        </w:rPr>
        <w:t>of the ILPA</w:t>
      </w:r>
      <w:r w:rsidR="009522B5" w:rsidRPr="007F700D">
        <w:rPr>
          <w:rFonts w:cs="Arial"/>
        </w:rPr>
        <w:t xml:space="preserve"> – has</w:t>
      </w:r>
      <w:r w:rsidR="005177DC" w:rsidRPr="007F700D">
        <w:rPr>
          <w:rFonts w:cs="Arial"/>
        </w:rPr>
        <w:t>:</w:t>
      </w:r>
      <w:r w:rsidR="00AB1ED4">
        <w:rPr>
          <w:rStyle w:val="FootnoteReference"/>
          <w:rFonts w:cs="Arial"/>
        </w:rPr>
        <w:footnoteReference w:id="60"/>
      </w:r>
    </w:p>
    <w:p w14:paraId="0DF40324" w14:textId="1C2722F6" w:rsidR="00642CF3" w:rsidRDefault="00642CF3" w:rsidP="005C53D0">
      <w:pPr>
        <w:pStyle w:val="ListParagraph"/>
        <w:spacing w:before="360" w:after="120"/>
        <w:ind w:left="1418" w:right="522"/>
        <w:contextualSpacing w:val="0"/>
        <w:rPr>
          <w:rFonts w:cs="Arial"/>
        </w:rPr>
      </w:pPr>
      <w:r>
        <w:rPr>
          <w:rFonts w:cs="Arial"/>
        </w:rPr>
        <w:t>‘…</w:t>
      </w:r>
      <w:r w:rsidRPr="00642CF3">
        <w:rPr>
          <w:rFonts w:cs="Arial"/>
        </w:rPr>
        <w:t xml:space="preserve"> </w:t>
      </w:r>
      <w:r w:rsidRPr="00BC369B">
        <w:rPr>
          <w:rFonts w:cs="Arial"/>
          <w:b/>
          <w:bCs/>
          <w:sz w:val="20"/>
          <w:szCs w:val="20"/>
        </w:rPr>
        <w:t>long been recognised as setting a standard which is not proof on a balance of probability</w:t>
      </w:r>
      <w:r>
        <w:rPr>
          <w:rFonts w:cs="Arial"/>
          <w:sz w:val="20"/>
          <w:szCs w:val="20"/>
        </w:rPr>
        <w:t xml:space="preserve">.  </w:t>
      </w:r>
      <w:r w:rsidRPr="00AB1ED4">
        <w:rPr>
          <w:rFonts w:cs="Arial"/>
          <w:b/>
          <w:bCs/>
          <w:sz w:val="20"/>
          <w:szCs w:val="20"/>
        </w:rPr>
        <w:t>Rather it is the overall impression made on a court which brings a fair mind to the facts set up by the parties</w:t>
      </w:r>
      <w:r w:rsidRPr="00642CF3">
        <w:rPr>
          <w:rFonts w:cs="Arial"/>
          <w:sz w:val="20"/>
          <w:szCs w:val="20"/>
        </w:rPr>
        <w:t>.  See e.g.,</w:t>
      </w:r>
      <w:r w:rsidRPr="00AB1ED4">
        <w:rPr>
          <w:rFonts w:cs="Arial"/>
          <w:i/>
          <w:iCs/>
          <w:sz w:val="20"/>
          <w:szCs w:val="20"/>
        </w:rPr>
        <w:t xml:space="preserve"> Die </w:t>
      </w:r>
      <w:proofErr w:type="spellStart"/>
      <w:r w:rsidRPr="00AB1ED4">
        <w:rPr>
          <w:rFonts w:cs="Arial"/>
          <w:i/>
          <w:iCs/>
          <w:sz w:val="20"/>
          <w:szCs w:val="20"/>
        </w:rPr>
        <w:t>Afrikaanse</w:t>
      </w:r>
      <w:proofErr w:type="spellEnd"/>
      <w:r w:rsidRPr="00AB1ED4">
        <w:rPr>
          <w:rFonts w:cs="Arial"/>
          <w:i/>
          <w:iCs/>
          <w:sz w:val="20"/>
          <w:szCs w:val="20"/>
        </w:rPr>
        <w:t xml:space="preserve"> </w:t>
      </w:r>
      <w:proofErr w:type="spellStart"/>
      <w:r w:rsidRPr="00AB1ED4">
        <w:rPr>
          <w:rFonts w:cs="Arial"/>
          <w:i/>
          <w:iCs/>
          <w:sz w:val="20"/>
          <w:szCs w:val="20"/>
        </w:rPr>
        <w:t>Pers</w:t>
      </w:r>
      <w:proofErr w:type="spellEnd"/>
      <w:r w:rsidRPr="00AB1ED4">
        <w:rPr>
          <w:rFonts w:cs="Arial"/>
          <w:i/>
          <w:iCs/>
          <w:sz w:val="20"/>
          <w:szCs w:val="20"/>
        </w:rPr>
        <w:t xml:space="preserve"> </w:t>
      </w:r>
      <w:proofErr w:type="spellStart"/>
      <w:r w:rsidRPr="00AB1ED4">
        <w:rPr>
          <w:rFonts w:cs="Arial"/>
          <w:i/>
          <w:iCs/>
          <w:sz w:val="20"/>
          <w:szCs w:val="20"/>
        </w:rPr>
        <w:t>Beperk</w:t>
      </w:r>
      <w:proofErr w:type="spellEnd"/>
      <w:r w:rsidRPr="00AB1ED4">
        <w:rPr>
          <w:rFonts w:cs="Arial"/>
          <w:i/>
          <w:iCs/>
          <w:sz w:val="20"/>
          <w:szCs w:val="20"/>
        </w:rPr>
        <w:t xml:space="preserve"> v </w:t>
      </w:r>
      <w:proofErr w:type="spellStart"/>
      <w:r w:rsidRPr="00AB1ED4">
        <w:rPr>
          <w:rFonts w:cs="Arial"/>
          <w:i/>
          <w:iCs/>
          <w:sz w:val="20"/>
          <w:szCs w:val="20"/>
        </w:rPr>
        <w:t>Neser</w:t>
      </w:r>
      <w:proofErr w:type="spellEnd"/>
      <w:r w:rsidR="00AB1ED4">
        <w:rPr>
          <w:rFonts w:cs="Arial"/>
          <w:sz w:val="20"/>
          <w:szCs w:val="20"/>
        </w:rPr>
        <w:t> </w:t>
      </w:r>
      <w:r w:rsidRPr="00642CF3">
        <w:rPr>
          <w:rFonts w:cs="Arial"/>
          <w:sz w:val="20"/>
          <w:szCs w:val="20"/>
        </w:rPr>
        <w:t xml:space="preserve">1948 (2) SA 295 (C) at 297. </w:t>
      </w:r>
      <w:r w:rsidR="00AB1ED4">
        <w:rPr>
          <w:rFonts w:cs="Arial"/>
          <w:sz w:val="20"/>
          <w:szCs w:val="20"/>
        </w:rPr>
        <w:t xml:space="preserve"> </w:t>
      </w:r>
      <w:r w:rsidRPr="00AB1ED4">
        <w:rPr>
          <w:rFonts w:cs="Arial"/>
          <w:b/>
          <w:bCs/>
          <w:sz w:val="20"/>
          <w:szCs w:val="20"/>
        </w:rPr>
        <w:t>I see no reason to place a stricter construction on it in the present context</w:t>
      </w:r>
      <w:r w:rsidRPr="00642CF3">
        <w:rPr>
          <w:rFonts w:cs="Arial"/>
        </w:rPr>
        <w:t>.</w:t>
      </w:r>
      <w:r>
        <w:rPr>
          <w:rFonts w:cs="Arial"/>
        </w:rPr>
        <w:t>’</w:t>
      </w:r>
      <w:r w:rsidR="005C53D0">
        <w:rPr>
          <w:rFonts w:cs="Arial"/>
        </w:rPr>
        <w:t xml:space="preserve"> </w:t>
      </w:r>
    </w:p>
    <w:p w14:paraId="372B1212" w14:textId="1A0B7953" w:rsidR="005C53D0" w:rsidRDefault="005C53D0" w:rsidP="005C53D0">
      <w:pPr>
        <w:pStyle w:val="ListParagraph"/>
        <w:spacing w:before="360" w:after="120" w:line="480" w:lineRule="auto"/>
        <w:ind w:left="1418" w:right="522"/>
        <w:contextualSpacing w:val="0"/>
        <w:rPr>
          <w:rFonts w:cs="Arial"/>
        </w:rPr>
      </w:pPr>
      <w:r>
        <w:rPr>
          <w:rFonts w:cs="Arial"/>
        </w:rPr>
        <w:t>(Own emphasis).</w:t>
      </w:r>
    </w:p>
    <w:p w14:paraId="6A74E0D7" w14:textId="05243239" w:rsidR="00175018" w:rsidRPr="007F700D" w:rsidRDefault="007F700D" w:rsidP="007F700D">
      <w:pPr>
        <w:spacing w:before="360" w:after="120" w:line="480" w:lineRule="auto"/>
        <w:ind w:left="709" w:hanging="720"/>
        <w:rPr>
          <w:rFonts w:cs="Arial"/>
        </w:rPr>
      </w:pPr>
      <w:r>
        <w:rPr>
          <w:rFonts w:cs="Arial"/>
        </w:rPr>
        <w:t>[27]</w:t>
      </w:r>
      <w:r>
        <w:rPr>
          <w:rFonts w:cs="Arial"/>
        </w:rPr>
        <w:tab/>
      </w:r>
      <w:r w:rsidR="007B45D8" w:rsidRPr="007F700D">
        <w:rPr>
          <w:rFonts w:cs="Arial"/>
        </w:rPr>
        <w:t>A</w:t>
      </w:r>
      <w:r w:rsidR="006F0600" w:rsidRPr="007F700D">
        <w:rPr>
          <w:rFonts w:cs="Arial"/>
        </w:rPr>
        <w:t>lthough the Minister</w:t>
      </w:r>
      <w:r w:rsidR="009B63B7" w:rsidRPr="007F700D">
        <w:rPr>
          <w:rFonts w:cs="Arial"/>
        </w:rPr>
        <w:t xml:space="preserve">’s objection </w:t>
      </w:r>
      <w:r w:rsidR="0019085C" w:rsidRPr="007F700D">
        <w:rPr>
          <w:rFonts w:cs="Arial"/>
        </w:rPr>
        <w:t xml:space="preserve">is focussed only </w:t>
      </w:r>
      <w:r w:rsidR="006F570A" w:rsidRPr="007F700D">
        <w:rPr>
          <w:rFonts w:cs="Arial"/>
        </w:rPr>
        <w:t xml:space="preserve">at </w:t>
      </w:r>
      <w:r w:rsidR="00876C79" w:rsidRPr="007F700D">
        <w:rPr>
          <w:rFonts w:cs="Arial"/>
        </w:rPr>
        <w:t xml:space="preserve">the first </w:t>
      </w:r>
      <w:r w:rsidR="003B6F95" w:rsidRPr="007F700D">
        <w:rPr>
          <w:rFonts w:cs="Arial"/>
        </w:rPr>
        <w:t xml:space="preserve">of these </w:t>
      </w:r>
      <w:r w:rsidR="00876C79" w:rsidRPr="007F700D">
        <w:rPr>
          <w:rFonts w:cs="Arial"/>
        </w:rPr>
        <w:t>requirement</w:t>
      </w:r>
      <w:r w:rsidR="003B6F95" w:rsidRPr="007F700D">
        <w:rPr>
          <w:rFonts w:cs="Arial"/>
        </w:rPr>
        <w:t>s</w:t>
      </w:r>
      <w:r w:rsidR="00D8099B" w:rsidRPr="007F700D">
        <w:rPr>
          <w:rFonts w:cs="Arial"/>
        </w:rPr>
        <w:t xml:space="preserve">, that </w:t>
      </w:r>
      <w:r w:rsidR="0019085C" w:rsidRPr="007F700D">
        <w:rPr>
          <w:rFonts w:cs="Arial"/>
        </w:rPr>
        <w:t xml:space="preserve">will </w:t>
      </w:r>
      <w:r w:rsidR="00D8099B" w:rsidRPr="007F700D">
        <w:rPr>
          <w:rFonts w:cs="Arial"/>
        </w:rPr>
        <w:t xml:space="preserve">not relieve the </w:t>
      </w:r>
      <w:r w:rsidR="001932CE" w:rsidRPr="007F700D">
        <w:rPr>
          <w:rFonts w:cs="Arial"/>
        </w:rPr>
        <w:t>c</w:t>
      </w:r>
      <w:r w:rsidR="00D8099B" w:rsidRPr="007F700D">
        <w:rPr>
          <w:rFonts w:cs="Arial"/>
        </w:rPr>
        <w:t xml:space="preserve">ourt from </w:t>
      </w:r>
      <w:r w:rsidR="00F966B9" w:rsidRPr="007F700D">
        <w:rPr>
          <w:rFonts w:cs="Arial"/>
          <w:i/>
          <w:iCs/>
        </w:rPr>
        <w:t>also</w:t>
      </w:r>
      <w:r w:rsidR="00F966B9" w:rsidRPr="007F700D">
        <w:rPr>
          <w:rFonts w:cs="Arial"/>
        </w:rPr>
        <w:t xml:space="preserve"> </w:t>
      </w:r>
      <w:r w:rsidR="00D8099B" w:rsidRPr="007F700D">
        <w:rPr>
          <w:rFonts w:cs="Arial"/>
        </w:rPr>
        <w:t xml:space="preserve">having to be </w:t>
      </w:r>
      <w:r w:rsidR="000A6241" w:rsidRPr="007F700D">
        <w:rPr>
          <w:rFonts w:cs="Arial"/>
        </w:rPr>
        <w:t xml:space="preserve">satisfied in respect of </w:t>
      </w:r>
      <w:r w:rsidR="00F966B9" w:rsidRPr="007F700D">
        <w:rPr>
          <w:rFonts w:cs="Arial"/>
        </w:rPr>
        <w:t xml:space="preserve">compliance with </w:t>
      </w:r>
      <w:r w:rsidR="000A6241" w:rsidRPr="007F700D">
        <w:rPr>
          <w:rFonts w:cs="Arial"/>
        </w:rPr>
        <w:t xml:space="preserve">the second and third </w:t>
      </w:r>
      <w:r w:rsidR="003B6F95" w:rsidRPr="007F700D">
        <w:rPr>
          <w:rFonts w:cs="Arial"/>
        </w:rPr>
        <w:t>requirements</w:t>
      </w:r>
      <w:r w:rsidR="009726D4" w:rsidRPr="007F700D">
        <w:rPr>
          <w:rFonts w:cs="Arial"/>
        </w:rPr>
        <w:t xml:space="preserve"> in the event of the </w:t>
      </w:r>
      <w:r w:rsidR="008126F7" w:rsidRPr="007F700D">
        <w:rPr>
          <w:rFonts w:cs="Arial"/>
        </w:rPr>
        <w:t xml:space="preserve">Minister’s objection not being </w:t>
      </w:r>
      <w:r w:rsidR="007C65DD" w:rsidRPr="007F700D">
        <w:rPr>
          <w:rFonts w:cs="Arial"/>
        </w:rPr>
        <w:t>upheld</w:t>
      </w:r>
      <w:r w:rsidR="00A00E80" w:rsidRPr="007F700D">
        <w:rPr>
          <w:rFonts w:cs="Arial"/>
        </w:rPr>
        <w:t xml:space="preserve">.  </w:t>
      </w:r>
      <w:r w:rsidR="00C104A8" w:rsidRPr="007F700D">
        <w:rPr>
          <w:rFonts w:cs="Arial"/>
        </w:rPr>
        <w:t xml:space="preserve">Indeed, the </w:t>
      </w:r>
      <w:r w:rsidR="004B479A" w:rsidRPr="007F700D">
        <w:rPr>
          <w:rFonts w:cs="Arial"/>
        </w:rPr>
        <w:t xml:space="preserve">structure of s 3(4) of the ILPA is such that </w:t>
      </w:r>
      <w:r w:rsidR="00A425BC" w:rsidRPr="007F700D">
        <w:rPr>
          <w:rFonts w:cs="Arial"/>
        </w:rPr>
        <w:t xml:space="preserve">the </w:t>
      </w:r>
      <w:r w:rsidR="002C5520" w:rsidRPr="007F700D">
        <w:rPr>
          <w:rFonts w:cs="Arial"/>
        </w:rPr>
        <w:t>c</w:t>
      </w:r>
      <w:r w:rsidR="00A425BC" w:rsidRPr="007F700D">
        <w:rPr>
          <w:rFonts w:cs="Arial"/>
        </w:rPr>
        <w:t>ourt must be satisfied that</w:t>
      </w:r>
      <w:r w:rsidR="002C5520" w:rsidRPr="002C5520">
        <w:t xml:space="preserve"> </w:t>
      </w:r>
      <w:r w:rsidR="002C5520" w:rsidRPr="007F700D">
        <w:rPr>
          <w:rFonts w:cs="Arial"/>
          <w:i/>
          <w:iCs/>
        </w:rPr>
        <w:t>all</w:t>
      </w:r>
      <w:r w:rsidR="002C5520" w:rsidRPr="007F700D">
        <w:rPr>
          <w:rFonts w:cs="Arial"/>
        </w:rPr>
        <w:t xml:space="preserve"> three requirements have been met.</w:t>
      </w:r>
      <w:r w:rsidR="00F64152">
        <w:rPr>
          <w:rStyle w:val="FootnoteReference"/>
          <w:rFonts w:cs="Arial"/>
        </w:rPr>
        <w:footnoteReference w:id="61"/>
      </w:r>
      <w:r w:rsidR="002C5520" w:rsidRPr="007F700D">
        <w:rPr>
          <w:rFonts w:cs="Arial"/>
        </w:rPr>
        <w:t xml:space="preserve"> </w:t>
      </w:r>
      <w:r w:rsidR="00F64152" w:rsidRPr="007F700D">
        <w:rPr>
          <w:rFonts w:cs="Arial"/>
        </w:rPr>
        <w:t xml:space="preserve"> </w:t>
      </w:r>
      <w:r w:rsidR="00890DE9" w:rsidRPr="007F700D">
        <w:rPr>
          <w:rFonts w:cs="Arial"/>
        </w:rPr>
        <w:t xml:space="preserve">It </w:t>
      </w:r>
      <w:r w:rsidR="00EF7777" w:rsidRPr="007F700D">
        <w:rPr>
          <w:rFonts w:cs="Arial"/>
        </w:rPr>
        <w:t>is only then</w:t>
      </w:r>
      <w:r w:rsidR="00796BEC" w:rsidRPr="007F700D">
        <w:rPr>
          <w:rFonts w:cs="Arial"/>
        </w:rPr>
        <w:t xml:space="preserve">, </w:t>
      </w:r>
      <w:r w:rsidR="008C3D26" w:rsidRPr="007F700D">
        <w:rPr>
          <w:rFonts w:cs="Arial"/>
        </w:rPr>
        <w:t>o</w:t>
      </w:r>
      <w:r w:rsidR="002C5520" w:rsidRPr="007F700D">
        <w:rPr>
          <w:rFonts w:cs="Arial"/>
        </w:rPr>
        <w:t xml:space="preserve">nce </w:t>
      </w:r>
      <w:r w:rsidR="00D201A7" w:rsidRPr="007F700D">
        <w:rPr>
          <w:rFonts w:cs="Arial"/>
        </w:rPr>
        <w:t>the court</w:t>
      </w:r>
      <w:r w:rsidR="002C5520" w:rsidRPr="007F700D">
        <w:rPr>
          <w:rFonts w:cs="Arial"/>
        </w:rPr>
        <w:t xml:space="preserve"> is so satisfied</w:t>
      </w:r>
      <w:r w:rsidR="00D201A7" w:rsidRPr="007F700D">
        <w:rPr>
          <w:rFonts w:cs="Arial"/>
        </w:rPr>
        <w:t>, that</w:t>
      </w:r>
      <w:r w:rsidR="002C5520" w:rsidRPr="007F700D">
        <w:rPr>
          <w:rFonts w:cs="Arial"/>
        </w:rPr>
        <w:t xml:space="preserve"> the discretion to condone </w:t>
      </w:r>
      <w:r w:rsidR="005C53D0" w:rsidRPr="007F700D">
        <w:rPr>
          <w:rFonts w:cs="Arial"/>
        </w:rPr>
        <w:t xml:space="preserve">can </w:t>
      </w:r>
      <w:r w:rsidR="0090003A" w:rsidRPr="007F700D">
        <w:rPr>
          <w:rFonts w:cs="Arial"/>
        </w:rPr>
        <w:t xml:space="preserve">become </w:t>
      </w:r>
      <w:r w:rsidR="002C5520" w:rsidRPr="007F700D">
        <w:rPr>
          <w:rFonts w:cs="Arial"/>
        </w:rPr>
        <w:t>operat</w:t>
      </w:r>
      <w:r w:rsidR="0090003A" w:rsidRPr="007F700D">
        <w:rPr>
          <w:rFonts w:cs="Arial"/>
        </w:rPr>
        <w:t>ive</w:t>
      </w:r>
      <w:r w:rsidR="001574A7" w:rsidRPr="007F700D">
        <w:rPr>
          <w:rFonts w:cs="Arial"/>
        </w:rPr>
        <w:t xml:space="preserve">.  Such discretion must be exercised </w:t>
      </w:r>
      <w:r w:rsidR="002C5520" w:rsidRPr="007F700D">
        <w:rPr>
          <w:rFonts w:cs="Arial"/>
        </w:rPr>
        <w:t>according to established principles</w:t>
      </w:r>
      <w:r w:rsidR="003963AC" w:rsidRPr="007F700D">
        <w:rPr>
          <w:rFonts w:cs="Arial"/>
        </w:rPr>
        <w:t xml:space="preserve">. </w:t>
      </w:r>
      <w:r w:rsidR="00A425BC" w:rsidRPr="007F700D">
        <w:rPr>
          <w:rFonts w:cs="Arial"/>
        </w:rPr>
        <w:t xml:space="preserve"> </w:t>
      </w:r>
    </w:p>
    <w:p w14:paraId="44A9CFCF" w14:textId="08445C10" w:rsidR="008E779B" w:rsidRPr="007F700D" w:rsidRDefault="007F700D" w:rsidP="007F700D">
      <w:pPr>
        <w:spacing w:before="360" w:after="120" w:line="480" w:lineRule="auto"/>
        <w:ind w:left="709" w:hanging="720"/>
        <w:rPr>
          <w:rFonts w:cs="Arial"/>
        </w:rPr>
      </w:pPr>
      <w:r>
        <w:rPr>
          <w:rFonts w:cs="Arial"/>
        </w:rPr>
        <w:t>[28]</w:t>
      </w:r>
      <w:r>
        <w:rPr>
          <w:rFonts w:cs="Arial"/>
        </w:rPr>
        <w:tab/>
      </w:r>
      <w:r w:rsidR="00F47BC8" w:rsidRPr="007F700D">
        <w:rPr>
          <w:rFonts w:cs="Arial"/>
        </w:rPr>
        <w:t xml:space="preserve">The first </w:t>
      </w:r>
      <w:r w:rsidR="00F966B9" w:rsidRPr="007F700D">
        <w:rPr>
          <w:rFonts w:cs="Arial"/>
        </w:rPr>
        <w:t xml:space="preserve">requirement </w:t>
      </w:r>
      <w:r w:rsidR="00054BF3" w:rsidRPr="007F700D">
        <w:rPr>
          <w:rFonts w:cs="Arial"/>
        </w:rPr>
        <w:t xml:space="preserve">is </w:t>
      </w:r>
      <w:r w:rsidR="008640E8" w:rsidRPr="007F700D">
        <w:rPr>
          <w:rFonts w:cs="Arial"/>
        </w:rPr>
        <w:t>logical</w:t>
      </w:r>
      <w:r w:rsidR="00AD7D67" w:rsidRPr="007F700D">
        <w:rPr>
          <w:rFonts w:cs="Arial"/>
        </w:rPr>
        <w:t xml:space="preserve">. </w:t>
      </w:r>
      <w:r w:rsidR="008640E8" w:rsidRPr="007F700D">
        <w:rPr>
          <w:rFonts w:cs="Arial"/>
        </w:rPr>
        <w:t xml:space="preserve"> If a debt has already become prescribed</w:t>
      </w:r>
      <w:r w:rsidR="00B85E3F" w:rsidRPr="007F700D">
        <w:rPr>
          <w:rFonts w:cs="Arial"/>
        </w:rPr>
        <w:t xml:space="preserve">, it will serve no purpose in granting condonation </w:t>
      </w:r>
      <w:r w:rsidR="00135CCC" w:rsidRPr="007F700D">
        <w:rPr>
          <w:rFonts w:cs="Arial"/>
        </w:rPr>
        <w:t xml:space="preserve">to a creditor for having failed to serve the statutory notice according to s 3 (2)(a), or </w:t>
      </w:r>
      <w:r w:rsidR="00BF18DE" w:rsidRPr="007F700D">
        <w:rPr>
          <w:rFonts w:cs="Arial"/>
        </w:rPr>
        <w:t xml:space="preserve">for their </w:t>
      </w:r>
      <w:r w:rsidR="00135CCC" w:rsidRPr="007F700D">
        <w:rPr>
          <w:rFonts w:cs="Arial"/>
        </w:rPr>
        <w:t>fail</w:t>
      </w:r>
      <w:r w:rsidR="00BF18DE" w:rsidRPr="007F700D">
        <w:rPr>
          <w:rFonts w:cs="Arial"/>
        </w:rPr>
        <w:t>ure</w:t>
      </w:r>
      <w:r w:rsidR="00135CCC" w:rsidRPr="007F700D">
        <w:rPr>
          <w:rFonts w:cs="Arial"/>
        </w:rPr>
        <w:t xml:space="preserve"> to </w:t>
      </w:r>
      <w:r w:rsidR="00BF18DE" w:rsidRPr="007F700D">
        <w:rPr>
          <w:rFonts w:cs="Arial"/>
        </w:rPr>
        <w:t xml:space="preserve">have </w:t>
      </w:r>
      <w:r w:rsidR="00135CCC" w:rsidRPr="007F700D">
        <w:rPr>
          <w:rFonts w:cs="Arial"/>
        </w:rPr>
        <w:t>serve</w:t>
      </w:r>
      <w:r w:rsidR="00853C5C" w:rsidRPr="007F700D">
        <w:rPr>
          <w:rFonts w:cs="Arial"/>
        </w:rPr>
        <w:t>d</w:t>
      </w:r>
      <w:r w:rsidR="00135CCC" w:rsidRPr="007F700D">
        <w:rPr>
          <w:rFonts w:cs="Arial"/>
        </w:rPr>
        <w:t xml:space="preserve"> a notice that complies with the prescriptions of s 3 (2)(b)</w:t>
      </w:r>
      <w:r w:rsidR="007E1929" w:rsidRPr="007F700D">
        <w:rPr>
          <w:rFonts w:cs="Arial"/>
        </w:rPr>
        <w:t xml:space="preserve">.  Condonation can </w:t>
      </w:r>
      <w:r w:rsidR="001914A9" w:rsidRPr="007F700D">
        <w:rPr>
          <w:rFonts w:cs="Arial"/>
        </w:rPr>
        <w:t>only be granted in circumstances where the debt is still extant.</w:t>
      </w:r>
      <w:r w:rsidR="001914A9">
        <w:rPr>
          <w:rStyle w:val="FootnoteReference"/>
          <w:rFonts w:cs="Arial"/>
        </w:rPr>
        <w:footnoteReference w:id="62"/>
      </w:r>
    </w:p>
    <w:p w14:paraId="503074FD" w14:textId="127CADDF" w:rsidR="00A4448A" w:rsidRPr="007F700D" w:rsidRDefault="007F700D" w:rsidP="007F700D">
      <w:pPr>
        <w:spacing w:before="360" w:after="120" w:line="480" w:lineRule="auto"/>
        <w:ind w:left="709" w:hanging="720"/>
        <w:rPr>
          <w:rFonts w:cs="Arial"/>
        </w:rPr>
      </w:pPr>
      <w:r>
        <w:rPr>
          <w:rFonts w:cs="Arial"/>
        </w:rPr>
        <w:lastRenderedPageBreak/>
        <w:t>[29]</w:t>
      </w:r>
      <w:r>
        <w:rPr>
          <w:rFonts w:cs="Arial"/>
        </w:rPr>
        <w:tab/>
      </w:r>
      <w:r w:rsidR="00A4448A" w:rsidRPr="007F700D">
        <w:rPr>
          <w:rFonts w:cs="Arial"/>
        </w:rPr>
        <w:t>The second requirement</w:t>
      </w:r>
      <w:r w:rsidR="00B219A4" w:rsidRPr="007F700D">
        <w:rPr>
          <w:rFonts w:cs="Arial"/>
        </w:rPr>
        <w:t xml:space="preserve"> of </w:t>
      </w:r>
      <w:r w:rsidR="00B219A4" w:rsidRPr="007F700D">
        <w:rPr>
          <w:rFonts w:cs="Arial"/>
          <w:i/>
          <w:iCs/>
        </w:rPr>
        <w:t>good cau</w:t>
      </w:r>
      <w:r w:rsidR="000342C3" w:rsidRPr="007F700D">
        <w:rPr>
          <w:rFonts w:cs="Arial"/>
          <w:i/>
          <w:iCs/>
        </w:rPr>
        <w:t>se</w:t>
      </w:r>
      <w:r w:rsidR="00B219A4" w:rsidRPr="007F700D">
        <w:rPr>
          <w:rFonts w:cs="Arial"/>
        </w:rPr>
        <w:t xml:space="preserve"> </w:t>
      </w:r>
      <w:r w:rsidR="000342C3" w:rsidRPr="007F700D">
        <w:rPr>
          <w:rFonts w:cs="Arial"/>
        </w:rPr>
        <w:t xml:space="preserve">enjoins a </w:t>
      </w:r>
      <w:r w:rsidR="00DB37EF" w:rsidRPr="007F700D">
        <w:rPr>
          <w:rFonts w:cs="Arial"/>
        </w:rPr>
        <w:t>consideration of</w:t>
      </w:r>
      <w:r w:rsidR="00C06DB2" w:rsidRPr="007F700D">
        <w:rPr>
          <w:rFonts w:cs="Arial"/>
        </w:rPr>
        <w:t xml:space="preserve">, among </w:t>
      </w:r>
      <w:r w:rsidR="00EE5E6F" w:rsidRPr="007F700D">
        <w:rPr>
          <w:rFonts w:cs="Arial"/>
        </w:rPr>
        <w:t>other</w:t>
      </w:r>
      <w:r w:rsidR="00007AD4" w:rsidRPr="007F700D">
        <w:rPr>
          <w:rFonts w:cs="Arial"/>
        </w:rPr>
        <w:t xml:space="preserve"> factors</w:t>
      </w:r>
      <w:r w:rsidR="00EE5E6F" w:rsidRPr="007F700D">
        <w:rPr>
          <w:rFonts w:cs="Arial"/>
        </w:rPr>
        <w:t>,</w:t>
      </w:r>
      <w:r w:rsidR="00007AD4" w:rsidRPr="007F700D">
        <w:rPr>
          <w:rFonts w:cs="Arial"/>
        </w:rPr>
        <w:t xml:space="preserve"> </w:t>
      </w:r>
      <w:r w:rsidR="00367BB4" w:rsidRPr="007F700D">
        <w:rPr>
          <w:rFonts w:cs="Arial"/>
        </w:rPr>
        <w:t xml:space="preserve">the </w:t>
      </w:r>
      <w:r w:rsidR="00007AD4" w:rsidRPr="007F700D">
        <w:rPr>
          <w:rFonts w:cs="Arial"/>
        </w:rPr>
        <w:t xml:space="preserve">prospects of success in the proposed action, the reasons for the delay, the sufficiency of the explanation offered, the </w:t>
      </w:r>
      <w:r w:rsidR="00007AD4" w:rsidRPr="007F700D">
        <w:rPr>
          <w:rFonts w:cs="Arial"/>
          <w:i/>
          <w:iCs/>
        </w:rPr>
        <w:t>bona fides</w:t>
      </w:r>
      <w:r w:rsidR="00007AD4" w:rsidRPr="007F700D">
        <w:rPr>
          <w:rFonts w:cs="Arial"/>
        </w:rPr>
        <w:t xml:space="preserve"> of the</w:t>
      </w:r>
      <w:r w:rsidR="00367BB4" w:rsidRPr="007F700D">
        <w:rPr>
          <w:rFonts w:cs="Arial"/>
        </w:rPr>
        <w:t xml:space="preserve"> creditor</w:t>
      </w:r>
      <w:r w:rsidR="00007AD4" w:rsidRPr="007F700D">
        <w:rPr>
          <w:rFonts w:cs="Arial"/>
        </w:rPr>
        <w:t xml:space="preserve">, and any </w:t>
      </w:r>
      <w:r w:rsidR="00E819FF" w:rsidRPr="007F700D">
        <w:rPr>
          <w:rFonts w:cs="Arial"/>
        </w:rPr>
        <w:t xml:space="preserve">other relevant </w:t>
      </w:r>
      <w:r w:rsidR="00007AD4" w:rsidRPr="007F700D">
        <w:rPr>
          <w:rFonts w:cs="Arial"/>
        </w:rPr>
        <w:t xml:space="preserve">contribution by other persons or parties to the delay and the </w:t>
      </w:r>
      <w:r w:rsidR="00E819FF" w:rsidRPr="007F700D">
        <w:rPr>
          <w:rFonts w:cs="Arial"/>
        </w:rPr>
        <w:t>creditor</w:t>
      </w:r>
      <w:r w:rsidR="00007AD4" w:rsidRPr="007F700D">
        <w:rPr>
          <w:rFonts w:cs="Arial"/>
        </w:rPr>
        <w:t xml:space="preserve">'s </w:t>
      </w:r>
      <w:r w:rsidR="00E819FF" w:rsidRPr="007F700D">
        <w:rPr>
          <w:rFonts w:cs="Arial"/>
        </w:rPr>
        <w:t>ow</w:t>
      </w:r>
      <w:r w:rsidR="00B877F1" w:rsidRPr="007F700D">
        <w:rPr>
          <w:rFonts w:cs="Arial"/>
        </w:rPr>
        <w:t xml:space="preserve">n </w:t>
      </w:r>
      <w:r w:rsidR="00007AD4" w:rsidRPr="007F700D">
        <w:rPr>
          <w:rFonts w:cs="Arial"/>
        </w:rPr>
        <w:t>responsibility for</w:t>
      </w:r>
      <w:r w:rsidR="00B877F1" w:rsidRPr="007F700D">
        <w:rPr>
          <w:rFonts w:cs="Arial"/>
        </w:rPr>
        <w:t xml:space="preserve"> such delay.</w:t>
      </w:r>
      <w:r w:rsidR="00B877F1">
        <w:rPr>
          <w:rStyle w:val="FootnoteReference"/>
          <w:rFonts w:cs="Arial"/>
        </w:rPr>
        <w:footnoteReference w:id="63"/>
      </w:r>
      <w:r w:rsidR="004E7083" w:rsidRPr="007F700D">
        <w:rPr>
          <w:rFonts w:cs="Arial"/>
        </w:rPr>
        <w:t xml:space="preserve">  </w:t>
      </w:r>
      <w:r w:rsidR="00491758" w:rsidRPr="007F700D">
        <w:rPr>
          <w:rFonts w:cs="Arial"/>
        </w:rPr>
        <w:t>As far as the</w:t>
      </w:r>
      <w:r w:rsidR="004E7083" w:rsidRPr="007F700D">
        <w:rPr>
          <w:rFonts w:cs="Arial"/>
        </w:rPr>
        <w:t xml:space="preserve"> prospects of </w:t>
      </w:r>
      <w:r w:rsidR="00825DA1" w:rsidRPr="007F700D">
        <w:rPr>
          <w:rFonts w:cs="Arial"/>
        </w:rPr>
        <w:t xml:space="preserve">success </w:t>
      </w:r>
      <w:r w:rsidR="001A1DE7" w:rsidRPr="007F700D">
        <w:rPr>
          <w:rFonts w:cs="Arial"/>
        </w:rPr>
        <w:t xml:space="preserve">are concerned, </w:t>
      </w:r>
      <w:r w:rsidR="00240811" w:rsidRPr="007F700D">
        <w:rPr>
          <w:rFonts w:cs="Arial"/>
        </w:rPr>
        <w:t xml:space="preserve">it was held in </w:t>
      </w:r>
      <w:proofErr w:type="spellStart"/>
      <w:r w:rsidR="001C5BDE" w:rsidRPr="007F700D">
        <w:rPr>
          <w:rFonts w:cs="Arial"/>
          <w:b/>
          <w:bCs/>
          <w:i/>
          <w:iCs/>
        </w:rPr>
        <w:t>Madinda</w:t>
      </w:r>
      <w:proofErr w:type="spellEnd"/>
      <w:r w:rsidR="00240811" w:rsidRPr="007F700D">
        <w:rPr>
          <w:rFonts w:cs="Arial"/>
        </w:rPr>
        <w:t xml:space="preserve"> that:</w:t>
      </w:r>
      <w:r w:rsidR="007F641F">
        <w:rPr>
          <w:rStyle w:val="FootnoteReference"/>
          <w:rFonts w:cs="Arial"/>
        </w:rPr>
        <w:footnoteReference w:id="64"/>
      </w:r>
    </w:p>
    <w:p w14:paraId="1E351308" w14:textId="77777777" w:rsidR="0005122B" w:rsidRDefault="00240811" w:rsidP="00CD2DFF">
      <w:pPr>
        <w:pStyle w:val="ListParagraph"/>
        <w:spacing w:before="120" w:after="120"/>
        <w:ind w:left="1276" w:right="521"/>
        <w:contextualSpacing w:val="0"/>
        <w:rPr>
          <w:rFonts w:cs="Arial"/>
        </w:rPr>
      </w:pPr>
      <w:r>
        <w:rPr>
          <w:rFonts w:cs="Arial"/>
        </w:rPr>
        <w:t>‘</w:t>
      </w:r>
      <w:r w:rsidR="00932E0E" w:rsidRPr="00932E0E">
        <w:rPr>
          <w:rFonts w:cs="Arial"/>
          <w:sz w:val="20"/>
          <w:szCs w:val="20"/>
        </w:rPr>
        <w:t xml:space="preserve">Good cause for the delay' is not simply a mechanical matter of cause and effect. </w:t>
      </w:r>
      <w:r w:rsidR="000027FF">
        <w:rPr>
          <w:rFonts w:cs="Arial"/>
          <w:sz w:val="20"/>
          <w:szCs w:val="20"/>
        </w:rPr>
        <w:t xml:space="preserve"> </w:t>
      </w:r>
      <w:r w:rsidR="00932E0E" w:rsidRPr="00932E0E">
        <w:rPr>
          <w:rFonts w:cs="Arial"/>
          <w:sz w:val="20"/>
          <w:szCs w:val="20"/>
        </w:rPr>
        <w:t>The court must decide whether the applicant has produced acceptable reasons for nullifying, in whole, or at least substantially, any culpability on his or her part which attaches to the delay in serving the notice timeously.</w:t>
      </w:r>
      <w:r w:rsidR="000027FF">
        <w:rPr>
          <w:rFonts w:cs="Arial"/>
          <w:sz w:val="20"/>
          <w:szCs w:val="20"/>
        </w:rPr>
        <w:t xml:space="preserve"> </w:t>
      </w:r>
      <w:r w:rsidR="00932E0E" w:rsidRPr="00932E0E">
        <w:rPr>
          <w:rFonts w:cs="Arial"/>
          <w:sz w:val="20"/>
          <w:szCs w:val="20"/>
        </w:rPr>
        <w:t xml:space="preserve"> Strong merits may mitigate fault; no merits may render mitigation pointless. </w:t>
      </w:r>
      <w:r w:rsidR="000027FF">
        <w:rPr>
          <w:rFonts w:cs="Arial"/>
          <w:sz w:val="20"/>
          <w:szCs w:val="20"/>
        </w:rPr>
        <w:t xml:space="preserve"> </w:t>
      </w:r>
      <w:r w:rsidR="00932E0E" w:rsidRPr="00932E0E">
        <w:rPr>
          <w:rFonts w:cs="Arial"/>
          <w:sz w:val="20"/>
          <w:szCs w:val="20"/>
        </w:rPr>
        <w:t>There are two main elements at play in s</w:t>
      </w:r>
      <w:r w:rsidR="00F8679E">
        <w:rPr>
          <w:rFonts w:cs="Arial"/>
          <w:sz w:val="20"/>
          <w:szCs w:val="20"/>
        </w:rPr>
        <w:t> </w:t>
      </w:r>
      <w:r w:rsidR="00932E0E" w:rsidRPr="00932E0E">
        <w:rPr>
          <w:rFonts w:cs="Arial"/>
          <w:sz w:val="20"/>
          <w:szCs w:val="20"/>
        </w:rPr>
        <w:t xml:space="preserve">4(b), </w:t>
      </w:r>
      <w:r w:rsidR="00932E0E" w:rsidRPr="00F8679E">
        <w:rPr>
          <w:rFonts w:cs="Arial"/>
          <w:i/>
          <w:iCs/>
          <w:sz w:val="20"/>
          <w:szCs w:val="20"/>
        </w:rPr>
        <w:t>viz</w:t>
      </w:r>
      <w:r w:rsidR="00F8679E">
        <w:rPr>
          <w:rFonts w:cs="Arial"/>
          <w:sz w:val="20"/>
          <w:szCs w:val="20"/>
        </w:rPr>
        <w:t>.,</w:t>
      </w:r>
      <w:r w:rsidR="00932E0E" w:rsidRPr="00932E0E">
        <w:rPr>
          <w:rFonts w:cs="Arial"/>
          <w:sz w:val="20"/>
          <w:szCs w:val="20"/>
        </w:rPr>
        <w:t xml:space="preserve"> the subject's right to have the merits of his case tried by a court of law and the right of an organ of state not to be unduly prejudiced by delay beyond the statutorily prescribed limit for the giving of notice. </w:t>
      </w:r>
      <w:r w:rsidR="00F276DB">
        <w:rPr>
          <w:rFonts w:cs="Arial"/>
          <w:sz w:val="20"/>
          <w:szCs w:val="20"/>
        </w:rPr>
        <w:t xml:space="preserve"> </w:t>
      </w:r>
      <w:r w:rsidR="00932E0E" w:rsidRPr="00932E0E">
        <w:rPr>
          <w:rFonts w:cs="Arial"/>
          <w:sz w:val="20"/>
          <w:szCs w:val="20"/>
        </w:rPr>
        <w:t xml:space="preserve">Subparagraph (iii) calls for the court to be satisfied as to the latter. </w:t>
      </w:r>
      <w:r w:rsidR="00F276DB">
        <w:rPr>
          <w:rFonts w:cs="Arial"/>
          <w:sz w:val="20"/>
          <w:szCs w:val="20"/>
        </w:rPr>
        <w:t xml:space="preserve"> </w:t>
      </w:r>
      <w:r w:rsidR="00932E0E" w:rsidRPr="00CD6450">
        <w:rPr>
          <w:rFonts w:cs="Arial"/>
          <w:b/>
          <w:bCs/>
          <w:sz w:val="20"/>
          <w:szCs w:val="20"/>
        </w:rPr>
        <w:t xml:space="preserve">Logically, subparagraph (ii) is directed, at least in part, to whether the subject should be denied a trial on the merits. </w:t>
      </w:r>
      <w:r w:rsidR="00F276DB" w:rsidRPr="00CD6450">
        <w:rPr>
          <w:rFonts w:cs="Arial"/>
          <w:b/>
          <w:bCs/>
          <w:sz w:val="20"/>
          <w:szCs w:val="20"/>
        </w:rPr>
        <w:t xml:space="preserve"> </w:t>
      </w:r>
      <w:r w:rsidR="00932E0E" w:rsidRPr="00CD6450">
        <w:rPr>
          <w:rFonts w:cs="Arial"/>
          <w:b/>
          <w:bCs/>
          <w:sz w:val="20"/>
          <w:szCs w:val="20"/>
        </w:rPr>
        <w:t xml:space="preserve">If it were not so, consideration of prospects of success could be entirely excluded from the equation on the ground that failure to satisfy the court of the existence of good cause precluded the court from exercising its discretion to condone. </w:t>
      </w:r>
      <w:r w:rsidR="004618D9" w:rsidRPr="00CD6450">
        <w:rPr>
          <w:rFonts w:cs="Arial"/>
          <w:b/>
          <w:bCs/>
          <w:sz w:val="20"/>
          <w:szCs w:val="20"/>
        </w:rPr>
        <w:t xml:space="preserve"> </w:t>
      </w:r>
      <w:r w:rsidR="00932E0E" w:rsidRPr="00CD6450">
        <w:rPr>
          <w:rFonts w:cs="Arial"/>
          <w:b/>
          <w:bCs/>
          <w:sz w:val="20"/>
          <w:szCs w:val="20"/>
        </w:rPr>
        <w:t>That would require an unbalanced approach to the two elements and could hardly favour the interests of justice.</w:t>
      </w:r>
      <w:r w:rsidR="007766BD" w:rsidRPr="00CD6450">
        <w:rPr>
          <w:rFonts w:cs="Arial"/>
          <w:b/>
          <w:bCs/>
          <w:sz w:val="20"/>
          <w:szCs w:val="20"/>
        </w:rPr>
        <w:t xml:space="preserve"> </w:t>
      </w:r>
      <w:r w:rsidR="00932E0E" w:rsidRPr="00CD6450">
        <w:rPr>
          <w:rFonts w:cs="Arial"/>
          <w:b/>
          <w:bCs/>
          <w:sz w:val="20"/>
          <w:szCs w:val="20"/>
        </w:rPr>
        <w:t xml:space="preserve"> Moreover, what can be achieved by putting the court to the task of exercising a discretion to condone if there is no prospect of success? </w:t>
      </w:r>
      <w:r w:rsidR="007766BD" w:rsidRPr="00CD6450">
        <w:rPr>
          <w:rFonts w:cs="Arial"/>
          <w:b/>
          <w:bCs/>
          <w:sz w:val="20"/>
          <w:szCs w:val="20"/>
        </w:rPr>
        <w:t xml:space="preserve"> </w:t>
      </w:r>
      <w:r w:rsidR="00932E0E" w:rsidRPr="00CD6450">
        <w:rPr>
          <w:rFonts w:cs="Arial"/>
          <w:b/>
          <w:bCs/>
          <w:sz w:val="20"/>
          <w:szCs w:val="20"/>
        </w:rPr>
        <w:t xml:space="preserve">In addition, that the merits are shown to be strong or weak may colour an applicant's explanation for conduct which bears on the delay: an applicant with an overwhelming case is hardly likely to be careless in pursuing his or her interest, while one with little hope of success can easily be understood to drag his or her heels. </w:t>
      </w:r>
      <w:r w:rsidR="004919FF" w:rsidRPr="00CD6450">
        <w:rPr>
          <w:rFonts w:cs="Arial"/>
          <w:b/>
          <w:bCs/>
          <w:sz w:val="20"/>
          <w:szCs w:val="20"/>
        </w:rPr>
        <w:t xml:space="preserve"> </w:t>
      </w:r>
      <w:r w:rsidR="00932E0E" w:rsidRPr="00CD6450">
        <w:rPr>
          <w:rFonts w:cs="Arial"/>
          <w:b/>
          <w:bCs/>
          <w:sz w:val="20"/>
          <w:szCs w:val="20"/>
        </w:rPr>
        <w:t>As I interpret the requirement of good cause for the delay, the prospects of success are a relevant consideration</w:t>
      </w:r>
      <w:r w:rsidR="0005122B">
        <w:rPr>
          <w:rFonts w:cs="Arial"/>
        </w:rPr>
        <w:t xml:space="preserve"> …</w:t>
      </w:r>
    </w:p>
    <w:p w14:paraId="1F20450B" w14:textId="67F60E3C" w:rsidR="00240811" w:rsidRDefault="0005122B" w:rsidP="00CD2DFF">
      <w:pPr>
        <w:pStyle w:val="ListParagraph"/>
        <w:spacing w:before="120" w:after="120"/>
        <w:ind w:left="1276" w:right="521"/>
        <w:contextualSpacing w:val="0"/>
        <w:rPr>
          <w:rFonts w:cs="Arial"/>
        </w:rPr>
      </w:pPr>
      <w:r w:rsidRPr="0005122B">
        <w:rPr>
          <w:rFonts w:cs="Arial"/>
          <w:sz w:val="20"/>
          <w:szCs w:val="20"/>
        </w:rPr>
        <w:t>[13</w:t>
      </w:r>
      <w:proofErr w:type="gramStart"/>
      <w:r w:rsidRPr="0005122B">
        <w:rPr>
          <w:rFonts w:cs="Arial"/>
          <w:sz w:val="20"/>
          <w:szCs w:val="20"/>
        </w:rPr>
        <w:t>]</w:t>
      </w:r>
      <w:r>
        <w:rPr>
          <w:rFonts w:cs="Arial"/>
          <w:sz w:val="20"/>
          <w:szCs w:val="20"/>
        </w:rPr>
        <w:t>  </w:t>
      </w:r>
      <w:r w:rsidRPr="0005122B">
        <w:rPr>
          <w:rFonts w:cs="Arial"/>
          <w:b/>
          <w:bCs/>
          <w:sz w:val="20"/>
          <w:szCs w:val="20"/>
        </w:rPr>
        <w:t>The</w:t>
      </w:r>
      <w:proofErr w:type="gramEnd"/>
      <w:r w:rsidRPr="0005122B">
        <w:rPr>
          <w:rFonts w:cs="Arial"/>
          <w:b/>
          <w:bCs/>
          <w:sz w:val="20"/>
          <w:szCs w:val="20"/>
        </w:rPr>
        <w:t xml:space="preserve"> relevant circumstances must be assessed in a balanced fashion.  The fact that the applicant is strong in certain respects and weak in others will be borne in mind in the evaluation of whether the standard of good cause has been achieved</w:t>
      </w:r>
      <w:r w:rsidRPr="0005122B">
        <w:rPr>
          <w:rFonts w:cs="Arial"/>
        </w:rPr>
        <w:t>.</w:t>
      </w:r>
      <w:r w:rsidR="00240811">
        <w:rPr>
          <w:rFonts w:cs="Arial"/>
        </w:rPr>
        <w:t>’</w:t>
      </w:r>
    </w:p>
    <w:p w14:paraId="746C9E88" w14:textId="56A56E98" w:rsidR="00CD6450" w:rsidRDefault="00CD6450" w:rsidP="00881282">
      <w:pPr>
        <w:pStyle w:val="ListParagraph"/>
        <w:spacing w:before="360" w:after="120" w:line="480" w:lineRule="auto"/>
        <w:ind w:left="1276"/>
        <w:contextualSpacing w:val="0"/>
        <w:rPr>
          <w:rFonts w:cs="Arial"/>
        </w:rPr>
      </w:pPr>
      <w:bookmarkStart w:id="52" w:name="_Hlk157506398"/>
      <w:r>
        <w:rPr>
          <w:rFonts w:cs="Arial"/>
        </w:rPr>
        <w:t>(Own emphasis).</w:t>
      </w:r>
      <w:bookmarkEnd w:id="52"/>
    </w:p>
    <w:p w14:paraId="4D037EF8" w14:textId="1A723EF8" w:rsidR="00BC0873" w:rsidRPr="007F700D" w:rsidRDefault="007F700D" w:rsidP="007F700D">
      <w:pPr>
        <w:spacing w:before="360" w:after="120" w:line="480" w:lineRule="auto"/>
        <w:ind w:left="709" w:hanging="720"/>
        <w:rPr>
          <w:rFonts w:cs="Arial"/>
        </w:rPr>
      </w:pPr>
      <w:r>
        <w:rPr>
          <w:rFonts w:cs="Arial"/>
        </w:rPr>
        <w:t>[30]</w:t>
      </w:r>
      <w:r>
        <w:rPr>
          <w:rFonts w:cs="Arial"/>
        </w:rPr>
        <w:tab/>
      </w:r>
      <w:r w:rsidR="002C2DEB" w:rsidRPr="007F700D">
        <w:rPr>
          <w:rFonts w:cs="Arial"/>
        </w:rPr>
        <w:t>The third requirement</w:t>
      </w:r>
      <w:r w:rsidR="00B36583" w:rsidRPr="007F700D">
        <w:rPr>
          <w:rFonts w:cs="Arial"/>
        </w:rPr>
        <w:t xml:space="preserve"> </w:t>
      </w:r>
      <w:r w:rsidR="00287BAA" w:rsidRPr="007F700D">
        <w:rPr>
          <w:rFonts w:cs="Arial"/>
        </w:rPr>
        <w:t xml:space="preserve">is the </w:t>
      </w:r>
      <w:r w:rsidR="00992FEC" w:rsidRPr="007F700D">
        <w:rPr>
          <w:rFonts w:cs="Arial"/>
        </w:rPr>
        <w:t xml:space="preserve">absence of </w:t>
      </w:r>
      <w:r w:rsidR="007E4599" w:rsidRPr="007F700D">
        <w:rPr>
          <w:rFonts w:cs="Arial"/>
          <w:i/>
          <w:iCs/>
        </w:rPr>
        <w:t xml:space="preserve">unreasonable </w:t>
      </w:r>
      <w:r w:rsidR="00B36583" w:rsidRPr="007F700D">
        <w:rPr>
          <w:rFonts w:cs="Arial"/>
          <w:i/>
          <w:iCs/>
        </w:rPr>
        <w:t>prejudice</w:t>
      </w:r>
      <w:r w:rsidR="00B36583" w:rsidRPr="007F700D">
        <w:rPr>
          <w:rFonts w:cs="Arial"/>
        </w:rPr>
        <w:t xml:space="preserve"> </w:t>
      </w:r>
      <w:r w:rsidR="00FE45DC" w:rsidRPr="007F700D">
        <w:rPr>
          <w:rFonts w:cs="Arial"/>
        </w:rPr>
        <w:t xml:space="preserve">to the organ of state </w:t>
      </w:r>
      <w:r w:rsidR="00992FEC" w:rsidRPr="007F700D">
        <w:rPr>
          <w:rFonts w:cs="Arial"/>
        </w:rPr>
        <w:t xml:space="preserve">as a result of </w:t>
      </w:r>
      <w:r w:rsidR="00FE45DC" w:rsidRPr="007F700D">
        <w:rPr>
          <w:rFonts w:cs="Arial"/>
        </w:rPr>
        <w:t xml:space="preserve">the </w:t>
      </w:r>
      <w:r w:rsidR="007E4599" w:rsidRPr="007F700D">
        <w:rPr>
          <w:rFonts w:cs="Arial"/>
        </w:rPr>
        <w:t>fa</w:t>
      </w:r>
      <w:r w:rsidR="00AC6D52" w:rsidRPr="007F700D">
        <w:rPr>
          <w:rFonts w:cs="Arial"/>
        </w:rPr>
        <w:t xml:space="preserve">ilure to comply with </w:t>
      </w:r>
      <w:r w:rsidR="00992FEC" w:rsidRPr="007F700D">
        <w:rPr>
          <w:rFonts w:cs="Arial"/>
        </w:rPr>
        <w:t>the st</w:t>
      </w:r>
      <w:r w:rsidR="006C4762" w:rsidRPr="007F700D">
        <w:rPr>
          <w:rFonts w:cs="Arial"/>
        </w:rPr>
        <w:t>at</w:t>
      </w:r>
      <w:r w:rsidR="00992FEC" w:rsidRPr="007F700D">
        <w:rPr>
          <w:rFonts w:cs="Arial"/>
        </w:rPr>
        <w:t xml:space="preserve">utory notice </w:t>
      </w:r>
      <w:r w:rsidR="006C4762" w:rsidRPr="007F700D">
        <w:rPr>
          <w:rFonts w:cs="Arial"/>
        </w:rPr>
        <w:t>requirements</w:t>
      </w:r>
      <w:r w:rsidR="00287BAA" w:rsidRPr="007F700D">
        <w:rPr>
          <w:rFonts w:cs="Arial"/>
        </w:rPr>
        <w:t xml:space="preserve">.  </w:t>
      </w:r>
      <w:r w:rsidR="00287BAA" w:rsidRPr="007F700D">
        <w:rPr>
          <w:rFonts w:cs="Arial"/>
        </w:rPr>
        <w:lastRenderedPageBreak/>
        <w:t xml:space="preserve">The fact </w:t>
      </w:r>
      <w:r w:rsidR="001A4F00" w:rsidRPr="007F700D">
        <w:rPr>
          <w:rFonts w:cs="Arial"/>
        </w:rPr>
        <w:t>that it is separately listed from the</w:t>
      </w:r>
      <w:r w:rsidR="00E31928" w:rsidRPr="007F700D">
        <w:rPr>
          <w:rFonts w:cs="Arial"/>
        </w:rPr>
        <w:t xml:space="preserve"> second requirement of </w:t>
      </w:r>
      <w:r w:rsidR="00E31928" w:rsidRPr="007F700D">
        <w:rPr>
          <w:rFonts w:cs="Arial"/>
          <w:i/>
          <w:iCs/>
        </w:rPr>
        <w:t>good cause</w:t>
      </w:r>
      <w:r w:rsidR="00E31928" w:rsidRPr="007F700D">
        <w:rPr>
          <w:rFonts w:cs="Arial"/>
        </w:rPr>
        <w:t xml:space="preserve"> was </w:t>
      </w:r>
      <w:r w:rsidR="00751EE2" w:rsidRPr="007F700D">
        <w:rPr>
          <w:rFonts w:cs="Arial"/>
        </w:rPr>
        <w:t xml:space="preserve">seen </w:t>
      </w:r>
      <w:r w:rsidR="000E6D4B" w:rsidRPr="007F700D">
        <w:rPr>
          <w:rFonts w:cs="Arial"/>
        </w:rPr>
        <w:t xml:space="preserve">in </w:t>
      </w:r>
      <w:proofErr w:type="spellStart"/>
      <w:r w:rsidR="000E6D4B" w:rsidRPr="007F700D">
        <w:rPr>
          <w:rFonts w:cs="Arial"/>
          <w:b/>
          <w:bCs/>
          <w:i/>
          <w:iCs/>
        </w:rPr>
        <w:t>Madinda</w:t>
      </w:r>
      <w:proofErr w:type="spellEnd"/>
      <w:r w:rsidR="000E6D4B" w:rsidRPr="007F700D">
        <w:rPr>
          <w:rFonts w:cs="Arial"/>
        </w:rPr>
        <w:t xml:space="preserve"> </w:t>
      </w:r>
      <w:r w:rsidR="00032A50" w:rsidRPr="007F700D">
        <w:rPr>
          <w:rFonts w:cs="Arial"/>
        </w:rPr>
        <w:t xml:space="preserve">as denoting a legislative intention </w:t>
      </w:r>
      <w:r w:rsidR="00AA1A12" w:rsidRPr="007F700D">
        <w:rPr>
          <w:rFonts w:cs="Arial"/>
        </w:rPr>
        <w:t>of emphasising</w:t>
      </w:r>
      <w:r w:rsidR="00BC0873" w:rsidRPr="007F700D">
        <w:rPr>
          <w:rFonts w:cs="Arial"/>
        </w:rPr>
        <w:t>:</w:t>
      </w:r>
    </w:p>
    <w:p w14:paraId="012B5C31" w14:textId="21935D9D" w:rsidR="00922A36" w:rsidRDefault="00881282" w:rsidP="00881282">
      <w:pPr>
        <w:pStyle w:val="ListParagraph"/>
        <w:spacing w:before="120" w:after="120"/>
        <w:ind w:left="1276" w:right="521"/>
        <w:contextualSpacing w:val="0"/>
        <w:rPr>
          <w:rFonts w:cs="Arial"/>
        </w:rPr>
      </w:pPr>
      <w:r>
        <w:rPr>
          <w:rFonts w:cs="Arial"/>
        </w:rPr>
        <w:t xml:space="preserve">‘… </w:t>
      </w:r>
      <w:r w:rsidR="007A79CB" w:rsidRPr="00881282">
        <w:rPr>
          <w:rFonts w:cs="Arial"/>
          <w:sz w:val="20"/>
          <w:szCs w:val="20"/>
        </w:rPr>
        <w:t xml:space="preserve">the </w:t>
      </w:r>
      <w:r w:rsidR="007A79CB" w:rsidRPr="00881282">
        <w:rPr>
          <w:rFonts w:cs="Arial"/>
          <w:b/>
          <w:bCs/>
          <w:sz w:val="20"/>
          <w:szCs w:val="20"/>
        </w:rPr>
        <w:t>need to give due weight to both the individual's right of access to justice and the protection of state interest in receiving timeous and adequate notice</w:t>
      </w:r>
      <w:r w:rsidR="007A79CB" w:rsidRPr="007A79CB">
        <w:rPr>
          <w:rFonts w:cs="Arial"/>
        </w:rPr>
        <w:t>.</w:t>
      </w:r>
      <w:r>
        <w:rPr>
          <w:rFonts w:cs="Arial"/>
        </w:rPr>
        <w:t>’</w:t>
      </w:r>
      <w:r w:rsidR="006B2018">
        <w:rPr>
          <w:rFonts w:cs="Arial"/>
        </w:rPr>
        <w:t xml:space="preserve"> </w:t>
      </w:r>
    </w:p>
    <w:p w14:paraId="3136CDA3" w14:textId="5C79403A" w:rsidR="00881282" w:rsidRDefault="00881282" w:rsidP="00881282">
      <w:pPr>
        <w:pStyle w:val="ListParagraph"/>
        <w:spacing w:before="360" w:after="120" w:line="480" w:lineRule="auto"/>
        <w:ind w:left="1276" w:right="521"/>
        <w:contextualSpacing w:val="0"/>
        <w:rPr>
          <w:rFonts w:cs="Arial"/>
        </w:rPr>
      </w:pPr>
      <w:r>
        <w:rPr>
          <w:rFonts w:cs="Arial"/>
        </w:rPr>
        <w:t>(Own emphasis).</w:t>
      </w:r>
    </w:p>
    <w:p w14:paraId="687E0D9C" w14:textId="559485D6" w:rsidR="00BC0873" w:rsidRPr="007F700D" w:rsidRDefault="007F700D" w:rsidP="007F700D">
      <w:pPr>
        <w:spacing w:before="360" w:after="120" w:line="480" w:lineRule="auto"/>
        <w:ind w:left="709" w:hanging="720"/>
        <w:rPr>
          <w:rFonts w:cs="Arial"/>
        </w:rPr>
      </w:pPr>
      <w:r>
        <w:rPr>
          <w:rFonts w:cs="Arial"/>
        </w:rPr>
        <w:t>[31]</w:t>
      </w:r>
      <w:r>
        <w:rPr>
          <w:rFonts w:cs="Arial"/>
        </w:rPr>
        <w:tab/>
      </w:r>
      <w:r w:rsidR="0041738B" w:rsidRPr="007F700D">
        <w:rPr>
          <w:rFonts w:cs="Arial"/>
        </w:rPr>
        <w:t xml:space="preserve">Each of the three requirements </w:t>
      </w:r>
      <w:r w:rsidR="005D7941" w:rsidRPr="007F700D">
        <w:rPr>
          <w:rFonts w:cs="Arial"/>
        </w:rPr>
        <w:t>will now be considered</w:t>
      </w:r>
      <w:r w:rsidR="000F6511" w:rsidRPr="007F700D">
        <w:rPr>
          <w:rFonts w:cs="Arial"/>
        </w:rPr>
        <w:t xml:space="preserve"> </w:t>
      </w:r>
      <w:r w:rsidR="001F2CC8" w:rsidRPr="007F700D">
        <w:rPr>
          <w:rFonts w:cs="Arial"/>
        </w:rPr>
        <w:t xml:space="preserve">in </w:t>
      </w:r>
      <w:r w:rsidR="000F6511" w:rsidRPr="007F700D">
        <w:rPr>
          <w:rFonts w:cs="Arial"/>
        </w:rPr>
        <w:t>accord</w:t>
      </w:r>
      <w:r w:rsidR="001F2CC8" w:rsidRPr="007F700D">
        <w:rPr>
          <w:rFonts w:cs="Arial"/>
        </w:rPr>
        <w:t>ance with</w:t>
      </w:r>
      <w:r w:rsidR="000F6511" w:rsidRPr="007F700D">
        <w:rPr>
          <w:rFonts w:cs="Arial"/>
        </w:rPr>
        <w:t xml:space="preserve"> the </w:t>
      </w:r>
      <w:r w:rsidR="00446130" w:rsidRPr="007F700D">
        <w:rPr>
          <w:rFonts w:cs="Arial"/>
        </w:rPr>
        <w:t xml:space="preserve">approach </w:t>
      </w:r>
      <w:r w:rsidR="00952444" w:rsidRPr="007F700D">
        <w:rPr>
          <w:rFonts w:cs="Arial"/>
        </w:rPr>
        <w:t xml:space="preserve">approved of </w:t>
      </w:r>
      <w:r w:rsidR="00C4254D" w:rsidRPr="007F700D">
        <w:rPr>
          <w:rFonts w:cs="Arial"/>
        </w:rPr>
        <w:t xml:space="preserve">in </w:t>
      </w:r>
      <w:proofErr w:type="spellStart"/>
      <w:r w:rsidR="00C4254D" w:rsidRPr="007F700D">
        <w:rPr>
          <w:rFonts w:cs="Arial"/>
          <w:b/>
          <w:bCs/>
          <w:i/>
          <w:iCs/>
        </w:rPr>
        <w:t>Madinda’s</w:t>
      </w:r>
      <w:proofErr w:type="spellEnd"/>
      <w:r w:rsidR="00C4254D" w:rsidRPr="007F700D">
        <w:rPr>
          <w:rFonts w:cs="Arial"/>
        </w:rPr>
        <w:t xml:space="preserve"> case</w:t>
      </w:r>
      <w:r w:rsidR="001F11BF" w:rsidRPr="007F700D">
        <w:rPr>
          <w:rFonts w:cs="Arial"/>
        </w:rPr>
        <w:t>.</w:t>
      </w:r>
    </w:p>
    <w:p w14:paraId="5D0AE9F6" w14:textId="62E6C806" w:rsidR="001F11BF" w:rsidRPr="008F15A5" w:rsidRDefault="001F11BF" w:rsidP="008F15A5">
      <w:pPr>
        <w:spacing w:before="360" w:after="120" w:line="480" w:lineRule="auto"/>
        <w:ind w:left="-11"/>
        <w:rPr>
          <w:rFonts w:cs="Arial"/>
        </w:rPr>
      </w:pPr>
      <w:r w:rsidRPr="008F15A5">
        <w:rPr>
          <w:rFonts w:cs="Arial"/>
          <w:b/>
          <w:bCs/>
        </w:rPr>
        <w:t>HA</w:t>
      </w:r>
      <w:r w:rsidR="00623022">
        <w:rPr>
          <w:rFonts w:cs="Arial"/>
          <w:b/>
          <w:bCs/>
        </w:rPr>
        <w:t>VE</w:t>
      </w:r>
      <w:r w:rsidRPr="008F15A5">
        <w:rPr>
          <w:rFonts w:cs="Arial"/>
          <w:b/>
          <w:bCs/>
        </w:rPr>
        <w:t xml:space="preserve"> </w:t>
      </w:r>
      <w:r w:rsidR="00FE45E9">
        <w:rPr>
          <w:rFonts w:cs="Arial"/>
          <w:b/>
          <w:bCs/>
        </w:rPr>
        <w:t>THE ‘</w:t>
      </w:r>
      <w:r w:rsidR="00FE45E9" w:rsidRPr="00FE45E9">
        <w:rPr>
          <w:rFonts w:cs="Arial"/>
          <w:b/>
          <w:bCs/>
          <w:i/>
          <w:iCs/>
        </w:rPr>
        <w:t>DEBT(S)</w:t>
      </w:r>
      <w:r w:rsidR="00FE45E9">
        <w:rPr>
          <w:rFonts w:cs="Arial"/>
          <w:b/>
          <w:bCs/>
        </w:rPr>
        <w:t xml:space="preserve">’ ARISING FROM </w:t>
      </w:r>
      <w:r w:rsidRPr="008F15A5">
        <w:rPr>
          <w:rFonts w:cs="Arial"/>
          <w:b/>
          <w:bCs/>
        </w:rPr>
        <w:t xml:space="preserve">MR MANGASA’S </w:t>
      </w:r>
      <w:r w:rsidR="00FE45E9">
        <w:rPr>
          <w:rFonts w:cs="Arial"/>
          <w:b/>
          <w:bCs/>
        </w:rPr>
        <w:t>‘</w:t>
      </w:r>
      <w:r w:rsidRPr="00FE45E9">
        <w:rPr>
          <w:rFonts w:cs="Arial"/>
          <w:b/>
          <w:bCs/>
          <w:i/>
          <w:iCs/>
        </w:rPr>
        <w:t>CLAIM</w:t>
      </w:r>
      <w:r w:rsidR="006846C0" w:rsidRPr="00FE45E9">
        <w:rPr>
          <w:rFonts w:cs="Arial"/>
          <w:b/>
          <w:bCs/>
          <w:i/>
          <w:iCs/>
        </w:rPr>
        <w:t>S</w:t>
      </w:r>
      <w:r w:rsidR="00FE45E9">
        <w:rPr>
          <w:rFonts w:cs="Arial"/>
          <w:b/>
          <w:bCs/>
        </w:rPr>
        <w:t>’</w:t>
      </w:r>
      <w:r w:rsidRPr="008F15A5">
        <w:rPr>
          <w:rFonts w:cs="Arial"/>
          <w:b/>
          <w:bCs/>
        </w:rPr>
        <w:t xml:space="preserve"> PRESCRIBED</w:t>
      </w:r>
      <w:r w:rsidR="008F15A5" w:rsidRPr="00623022">
        <w:rPr>
          <w:rFonts w:cs="Arial"/>
          <w:b/>
          <w:bCs/>
        </w:rPr>
        <w:t>?</w:t>
      </w:r>
    </w:p>
    <w:p w14:paraId="5F7852A9" w14:textId="4DF168A5" w:rsidR="00613209" w:rsidRDefault="00613209" w:rsidP="00D17DF7">
      <w:pPr>
        <w:spacing w:before="360" w:after="120" w:line="480" w:lineRule="auto"/>
        <w:rPr>
          <w:rFonts w:cs="Arial"/>
        </w:rPr>
      </w:pPr>
      <w:r>
        <w:rPr>
          <w:rFonts w:cs="Arial"/>
          <w:b/>
          <w:bCs/>
          <w:i/>
          <w:iCs/>
        </w:rPr>
        <w:t>General</w:t>
      </w:r>
      <w:r w:rsidR="00FE45E9">
        <w:rPr>
          <w:rFonts w:cs="Arial"/>
        </w:rPr>
        <w:t xml:space="preserve"> – </w:t>
      </w:r>
      <w:r w:rsidR="00FE45E9" w:rsidRPr="00FE45E9">
        <w:rPr>
          <w:rFonts w:cs="Arial"/>
          <w:b/>
          <w:bCs/>
          <w:i/>
          <w:iCs/>
        </w:rPr>
        <w:t>applicable legal principles</w:t>
      </w:r>
      <w:r w:rsidR="00FE45E9">
        <w:rPr>
          <w:rFonts w:cs="Arial"/>
        </w:rPr>
        <w:t>:</w:t>
      </w:r>
    </w:p>
    <w:p w14:paraId="52EFCF1F" w14:textId="472111B6" w:rsidR="00D679B0" w:rsidRPr="007F700D" w:rsidRDefault="007F700D" w:rsidP="007F700D">
      <w:pPr>
        <w:tabs>
          <w:tab w:val="left" w:pos="851"/>
        </w:tabs>
        <w:spacing w:before="360" w:after="120" w:line="480" w:lineRule="auto"/>
        <w:ind w:left="709" w:hanging="720"/>
        <w:rPr>
          <w:rFonts w:cs="Arial"/>
        </w:rPr>
      </w:pPr>
      <w:r>
        <w:rPr>
          <w:rFonts w:cs="Arial"/>
        </w:rPr>
        <w:t>[32]</w:t>
      </w:r>
      <w:r>
        <w:rPr>
          <w:rFonts w:cs="Arial"/>
        </w:rPr>
        <w:tab/>
      </w:r>
      <w:r w:rsidR="00F87225" w:rsidRPr="007F700D">
        <w:rPr>
          <w:rFonts w:cs="Arial"/>
        </w:rPr>
        <w:t>Since prescription – subject to certain express statutory qualifications</w:t>
      </w:r>
      <w:r w:rsidR="00A07B75" w:rsidRPr="007F700D">
        <w:rPr>
          <w:rFonts w:cs="Arial"/>
        </w:rPr>
        <w:t xml:space="preserve"> or limitations</w:t>
      </w:r>
      <w:r w:rsidR="00F010B3">
        <w:rPr>
          <w:rStyle w:val="FootnoteReference"/>
          <w:rFonts w:cs="Arial"/>
        </w:rPr>
        <w:footnoteReference w:id="65"/>
      </w:r>
      <w:r w:rsidR="00F87225" w:rsidRPr="007F700D">
        <w:rPr>
          <w:rFonts w:cs="Arial"/>
        </w:rPr>
        <w:t xml:space="preserve"> - commences running ‘</w:t>
      </w:r>
      <w:r w:rsidR="00F87225" w:rsidRPr="007F700D">
        <w:rPr>
          <w:rFonts w:cs="Arial"/>
          <w:i/>
          <w:iCs/>
        </w:rPr>
        <w:t>as soon as the debt is due</w:t>
      </w:r>
      <w:r w:rsidR="00F87225" w:rsidRPr="007F700D">
        <w:rPr>
          <w:rFonts w:cs="Arial"/>
        </w:rPr>
        <w:t>’ i</w:t>
      </w:r>
      <w:r w:rsidR="00FE45E9" w:rsidRPr="007F700D">
        <w:rPr>
          <w:rFonts w:cs="Arial"/>
        </w:rPr>
        <w:t>n terms of s</w:t>
      </w:r>
      <w:r w:rsidR="002B429D" w:rsidRPr="007F700D">
        <w:rPr>
          <w:rFonts w:cs="Arial"/>
        </w:rPr>
        <w:t> </w:t>
      </w:r>
      <w:r w:rsidR="00FE45E9" w:rsidRPr="007F700D">
        <w:rPr>
          <w:rFonts w:cs="Arial"/>
        </w:rPr>
        <w:t>12(1) of the Prescription Act</w:t>
      </w:r>
      <w:r w:rsidR="00F87225" w:rsidRPr="007F700D">
        <w:rPr>
          <w:rFonts w:cs="Arial"/>
        </w:rPr>
        <w:t xml:space="preserve">, it is necessary to draw a distinction between </w:t>
      </w:r>
      <w:r w:rsidR="00F813AC" w:rsidRPr="007F700D">
        <w:rPr>
          <w:rFonts w:cs="Arial"/>
        </w:rPr>
        <w:t>the</w:t>
      </w:r>
      <w:r w:rsidR="00F87225" w:rsidRPr="007F700D">
        <w:rPr>
          <w:rFonts w:cs="Arial"/>
        </w:rPr>
        <w:t xml:space="preserve"> creation </w:t>
      </w:r>
      <w:r w:rsidR="00795C4F" w:rsidRPr="007F700D">
        <w:rPr>
          <w:rFonts w:cs="Arial"/>
        </w:rPr>
        <w:t xml:space="preserve">of a debt </w:t>
      </w:r>
      <w:r w:rsidR="00F87225" w:rsidRPr="007F700D">
        <w:rPr>
          <w:rFonts w:cs="Arial"/>
        </w:rPr>
        <w:t xml:space="preserve">(i.e., its coming into existence) and its enforceability or recoverability.  </w:t>
      </w:r>
      <w:r w:rsidR="009F409A" w:rsidRPr="007F700D">
        <w:rPr>
          <w:rFonts w:cs="Arial"/>
        </w:rPr>
        <w:t xml:space="preserve">Even though a debt may </w:t>
      </w:r>
      <w:r w:rsidR="00A07B75" w:rsidRPr="007F700D">
        <w:rPr>
          <w:rFonts w:cs="Arial"/>
        </w:rPr>
        <w:t>have come into existence</w:t>
      </w:r>
      <w:r w:rsidR="009F409A" w:rsidRPr="007F700D">
        <w:rPr>
          <w:rFonts w:cs="Arial"/>
        </w:rPr>
        <w:t xml:space="preserve">, if it is not </w:t>
      </w:r>
      <w:r w:rsidR="009F409A" w:rsidRPr="007F700D">
        <w:rPr>
          <w:rFonts w:cs="Arial"/>
          <w:i/>
          <w:iCs/>
        </w:rPr>
        <w:t>immediately claimable</w:t>
      </w:r>
      <w:r w:rsidR="009F409A" w:rsidRPr="007F700D">
        <w:rPr>
          <w:rFonts w:cs="Arial"/>
        </w:rPr>
        <w:t xml:space="preserve"> (i.e., recoverable) it cannot be considered to be ‘</w:t>
      </w:r>
      <w:r w:rsidR="009F409A" w:rsidRPr="007F700D">
        <w:rPr>
          <w:rFonts w:cs="Arial"/>
          <w:i/>
          <w:iCs/>
        </w:rPr>
        <w:t>due</w:t>
      </w:r>
      <w:r w:rsidR="009F409A" w:rsidRPr="007F700D">
        <w:rPr>
          <w:rFonts w:cs="Arial"/>
        </w:rPr>
        <w:t xml:space="preserve">’.  As soon as </w:t>
      </w:r>
      <w:r w:rsidR="00F010B3" w:rsidRPr="007F700D">
        <w:rPr>
          <w:rFonts w:cs="Arial"/>
        </w:rPr>
        <w:t>a debt</w:t>
      </w:r>
      <w:r w:rsidR="009F409A" w:rsidRPr="007F700D">
        <w:rPr>
          <w:rFonts w:cs="Arial"/>
        </w:rPr>
        <w:t xml:space="preserve"> becomes </w:t>
      </w:r>
      <w:r w:rsidR="009F409A" w:rsidRPr="007F700D">
        <w:rPr>
          <w:rFonts w:cs="Arial"/>
          <w:i/>
          <w:iCs/>
        </w:rPr>
        <w:t>immediately claimable</w:t>
      </w:r>
      <w:r w:rsidR="009F409A" w:rsidRPr="007F700D">
        <w:rPr>
          <w:rFonts w:cs="Arial"/>
        </w:rPr>
        <w:t xml:space="preserve">, it becomes </w:t>
      </w:r>
      <w:r w:rsidR="009F409A" w:rsidRPr="007F700D">
        <w:rPr>
          <w:rFonts w:cs="Arial"/>
          <w:i/>
          <w:iCs/>
        </w:rPr>
        <w:t>due</w:t>
      </w:r>
      <w:r w:rsidR="009F409A" w:rsidRPr="007F700D">
        <w:rPr>
          <w:rFonts w:cs="Arial"/>
        </w:rPr>
        <w:t>.</w:t>
      </w:r>
      <w:r w:rsidR="00F010B3">
        <w:rPr>
          <w:rStyle w:val="FootnoteReference"/>
          <w:rFonts w:cs="Arial"/>
        </w:rPr>
        <w:footnoteReference w:id="66"/>
      </w:r>
      <w:r w:rsidR="009F409A" w:rsidRPr="007F700D">
        <w:rPr>
          <w:rFonts w:cs="Arial"/>
        </w:rPr>
        <w:t xml:space="preserve">  </w:t>
      </w:r>
    </w:p>
    <w:p w14:paraId="1300F4B0" w14:textId="12BEC88E" w:rsidR="006C431D" w:rsidRPr="007F700D" w:rsidRDefault="007F700D" w:rsidP="007F700D">
      <w:pPr>
        <w:tabs>
          <w:tab w:val="left" w:pos="851"/>
        </w:tabs>
        <w:spacing w:before="360" w:after="120" w:line="480" w:lineRule="auto"/>
        <w:ind w:left="709" w:hanging="720"/>
        <w:rPr>
          <w:rFonts w:cs="Arial"/>
        </w:rPr>
      </w:pPr>
      <w:r>
        <w:rPr>
          <w:rFonts w:cs="Arial"/>
        </w:rPr>
        <w:lastRenderedPageBreak/>
        <w:t>[33]</w:t>
      </w:r>
      <w:r>
        <w:rPr>
          <w:rFonts w:cs="Arial"/>
        </w:rPr>
        <w:tab/>
      </w:r>
      <w:r w:rsidR="009E63D1" w:rsidRPr="007F700D">
        <w:rPr>
          <w:rFonts w:cs="Arial"/>
        </w:rPr>
        <w:t xml:space="preserve">According to </w:t>
      </w:r>
      <w:proofErr w:type="spellStart"/>
      <w:r w:rsidR="009E63D1" w:rsidRPr="007F700D">
        <w:rPr>
          <w:rFonts w:cs="Arial"/>
          <w:b/>
          <w:bCs/>
          <w:i/>
          <w:iCs/>
        </w:rPr>
        <w:t>Truter</w:t>
      </w:r>
      <w:proofErr w:type="spellEnd"/>
      <w:r w:rsidR="009741D6" w:rsidRPr="007F700D">
        <w:rPr>
          <w:rFonts w:cs="Arial"/>
        </w:rPr>
        <w:t xml:space="preserve"> t</w:t>
      </w:r>
      <w:r w:rsidR="009E63D1" w:rsidRPr="007F700D">
        <w:rPr>
          <w:rFonts w:cs="Arial"/>
        </w:rPr>
        <w:t xml:space="preserve">his stage is </w:t>
      </w:r>
      <w:r w:rsidR="00C94A8A" w:rsidRPr="007F700D">
        <w:rPr>
          <w:rFonts w:cs="Arial"/>
        </w:rPr>
        <w:t xml:space="preserve">only </w:t>
      </w:r>
      <w:r w:rsidR="009E63D1" w:rsidRPr="007F700D">
        <w:rPr>
          <w:rFonts w:cs="Arial"/>
        </w:rPr>
        <w:t>reached</w:t>
      </w:r>
      <w:r w:rsidR="006C431D" w:rsidRPr="007F700D">
        <w:rPr>
          <w:rFonts w:cs="Arial"/>
        </w:rPr>
        <w:t>:</w:t>
      </w:r>
      <w:r w:rsidR="009741D6">
        <w:rPr>
          <w:rStyle w:val="FootnoteReference"/>
          <w:rFonts w:cs="Arial"/>
        </w:rPr>
        <w:footnoteReference w:id="67"/>
      </w:r>
    </w:p>
    <w:p w14:paraId="252DD2FD" w14:textId="4C8A9DE0" w:rsidR="009E63D1" w:rsidRDefault="006C431D" w:rsidP="009741D6">
      <w:pPr>
        <w:pStyle w:val="ListParagraph"/>
        <w:tabs>
          <w:tab w:val="left" w:pos="851"/>
        </w:tabs>
        <w:spacing w:before="120" w:after="120"/>
        <w:ind w:left="1276" w:right="521"/>
        <w:contextualSpacing w:val="0"/>
        <w:rPr>
          <w:rFonts w:cs="Arial"/>
        </w:rPr>
      </w:pPr>
      <w:r>
        <w:rPr>
          <w:rFonts w:cs="Arial"/>
        </w:rPr>
        <w:t>‘</w:t>
      </w:r>
      <w:r w:rsidR="009741D6">
        <w:rPr>
          <w:rFonts w:cs="Arial"/>
        </w:rPr>
        <w:t xml:space="preserve">… </w:t>
      </w:r>
      <w:r w:rsidRPr="009741D6">
        <w:rPr>
          <w:rFonts w:cs="Arial"/>
          <w:b/>
          <w:bCs/>
          <w:sz w:val="20"/>
          <w:szCs w:val="20"/>
        </w:rPr>
        <w:t>when the entire set of facts</w:t>
      </w:r>
      <w:r w:rsidR="009741D6" w:rsidRPr="009741D6">
        <w:rPr>
          <w:rFonts w:cs="Arial"/>
          <w:b/>
          <w:bCs/>
          <w:sz w:val="20"/>
          <w:szCs w:val="20"/>
        </w:rPr>
        <w:t xml:space="preserve"> which the creditor must prove in order to succeed with his or her claim against the debtor is in place</w:t>
      </w:r>
      <w:r w:rsidR="009741D6" w:rsidRPr="009741D6">
        <w:rPr>
          <w:rFonts w:cs="Arial"/>
          <w:sz w:val="20"/>
          <w:szCs w:val="20"/>
        </w:rPr>
        <w:t xml:space="preserve"> or, in other words, </w:t>
      </w:r>
      <w:bookmarkStart w:id="55" w:name="_Hlk159417910"/>
      <w:r w:rsidR="009741D6" w:rsidRPr="00B477DA">
        <w:rPr>
          <w:rFonts w:cs="Arial"/>
          <w:b/>
          <w:bCs/>
          <w:sz w:val="20"/>
          <w:szCs w:val="20"/>
        </w:rPr>
        <w:t>when everything has happened which would entitle the creditor to institute action and to pursue his or her claim</w:t>
      </w:r>
      <w:bookmarkEnd w:id="55"/>
      <w:r w:rsidR="009741D6">
        <w:rPr>
          <w:rFonts w:cs="Arial"/>
        </w:rPr>
        <w:t>.’</w:t>
      </w:r>
    </w:p>
    <w:p w14:paraId="70DFD028" w14:textId="02275AB0" w:rsidR="009741D6" w:rsidRDefault="009741D6" w:rsidP="009741D6">
      <w:pPr>
        <w:pStyle w:val="ListParagraph"/>
        <w:tabs>
          <w:tab w:val="left" w:pos="851"/>
        </w:tabs>
        <w:spacing w:before="360" w:after="120" w:line="480" w:lineRule="auto"/>
        <w:ind w:left="1276" w:right="521"/>
        <w:contextualSpacing w:val="0"/>
        <w:rPr>
          <w:rFonts w:cs="Arial"/>
        </w:rPr>
      </w:pPr>
      <w:r>
        <w:rPr>
          <w:rFonts w:cs="Arial"/>
        </w:rPr>
        <w:t>(Own emphasis).</w:t>
      </w:r>
    </w:p>
    <w:p w14:paraId="5585FCE5" w14:textId="449DA91B" w:rsidR="00B477DA" w:rsidRPr="007F700D" w:rsidRDefault="007F700D" w:rsidP="007F700D">
      <w:pPr>
        <w:tabs>
          <w:tab w:val="left" w:pos="851"/>
        </w:tabs>
        <w:spacing w:before="360" w:after="120" w:line="480" w:lineRule="auto"/>
        <w:ind w:left="709" w:hanging="720"/>
        <w:rPr>
          <w:rFonts w:cs="Arial"/>
        </w:rPr>
      </w:pPr>
      <w:r>
        <w:rPr>
          <w:rFonts w:cs="Arial"/>
        </w:rPr>
        <w:t>[34]</w:t>
      </w:r>
      <w:r>
        <w:rPr>
          <w:rFonts w:cs="Arial"/>
        </w:rPr>
        <w:tab/>
      </w:r>
      <w:r w:rsidR="00B477DA" w:rsidRPr="007F700D">
        <w:rPr>
          <w:rFonts w:cs="Arial"/>
        </w:rPr>
        <w:t xml:space="preserve">Three further important considerations </w:t>
      </w:r>
      <w:r w:rsidR="007C37A9" w:rsidRPr="007F700D">
        <w:rPr>
          <w:rFonts w:cs="Arial"/>
        </w:rPr>
        <w:t xml:space="preserve">concerning this </w:t>
      </w:r>
      <w:r w:rsidR="00725CA8" w:rsidRPr="007F700D">
        <w:rPr>
          <w:rFonts w:cs="Arial"/>
        </w:rPr>
        <w:t xml:space="preserve">specific </w:t>
      </w:r>
      <w:r w:rsidR="007C37A9" w:rsidRPr="007F700D">
        <w:rPr>
          <w:rFonts w:cs="Arial"/>
        </w:rPr>
        <w:t xml:space="preserve">rubric </w:t>
      </w:r>
      <w:r w:rsidR="00B477DA" w:rsidRPr="007F700D">
        <w:rPr>
          <w:rFonts w:cs="Arial"/>
        </w:rPr>
        <w:t xml:space="preserve">are emphasised in </w:t>
      </w:r>
      <w:proofErr w:type="spellStart"/>
      <w:r w:rsidR="00B477DA" w:rsidRPr="007F700D">
        <w:rPr>
          <w:rFonts w:cs="Arial"/>
          <w:b/>
          <w:bCs/>
          <w:i/>
          <w:iCs/>
        </w:rPr>
        <w:t>Truter</w:t>
      </w:r>
      <w:proofErr w:type="spellEnd"/>
      <w:r w:rsidR="00B477DA" w:rsidRPr="007F700D">
        <w:rPr>
          <w:rFonts w:cs="Arial"/>
        </w:rPr>
        <w:t xml:space="preserve">.  They are: </w:t>
      </w:r>
    </w:p>
    <w:p w14:paraId="034901DB" w14:textId="657AF5D8" w:rsidR="00B477DA" w:rsidRPr="007F700D" w:rsidRDefault="007F700D" w:rsidP="007F700D">
      <w:pPr>
        <w:spacing w:before="360" w:after="120" w:line="480" w:lineRule="auto"/>
        <w:ind w:left="1560" w:hanging="851"/>
        <w:rPr>
          <w:rFonts w:cs="Arial"/>
        </w:rPr>
      </w:pPr>
      <w:r>
        <w:rPr>
          <w:rFonts w:cs="Arial"/>
        </w:rPr>
        <w:t>[34.1]</w:t>
      </w:r>
      <w:r>
        <w:rPr>
          <w:rFonts w:cs="Arial"/>
        </w:rPr>
        <w:tab/>
      </w:r>
      <w:r w:rsidR="00B477DA" w:rsidRPr="007F700D">
        <w:rPr>
          <w:rFonts w:cs="Arial"/>
        </w:rPr>
        <w:t xml:space="preserve">First, </w:t>
      </w:r>
      <w:r w:rsidR="00355B62" w:rsidRPr="007F700D">
        <w:rPr>
          <w:rFonts w:cs="Arial"/>
        </w:rPr>
        <w:t xml:space="preserve">in a </w:t>
      </w:r>
      <w:proofErr w:type="spellStart"/>
      <w:r w:rsidR="00355B62" w:rsidRPr="007F700D">
        <w:rPr>
          <w:rFonts w:cs="Arial"/>
        </w:rPr>
        <w:t>delictual</w:t>
      </w:r>
      <w:proofErr w:type="spellEnd"/>
      <w:r w:rsidR="00355B62" w:rsidRPr="007F700D">
        <w:rPr>
          <w:rFonts w:cs="Arial"/>
        </w:rPr>
        <w:t xml:space="preserve"> claim, </w:t>
      </w:r>
      <w:r w:rsidR="00DA1E6A" w:rsidRPr="007F700D">
        <w:rPr>
          <w:rFonts w:cs="Arial"/>
        </w:rPr>
        <w:t xml:space="preserve">that </w:t>
      </w:r>
      <w:r w:rsidR="00B477DA" w:rsidRPr="007F700D">
        <w:rPr>
          <w:rFonts w:cs="Arial"/>
        </w:rPr>
        <w:t>the requirements of ‘</w:t>
      </w:r>
      <w:r w:rsidR="00B477DA" w:rsidRPr="007F700D">
        <w:rPr>
          <w:rFonts w:cs="Arial"/>
          <w:i/>
          <w:iCs/>
        </w:rPr>
        <w:t>fault</w:t>
      </w:r>
      <w:r w:rsidR="00B477DA" w:rsidRPr="007F700D">
        <w:rPr>
          <w:rFonts w:cs="Arial"/>
        </w:rPr>
        <w:t>’ and ‘</w:t>
      </w:r>
      <w:r w:rsidR="00B477DA" w:rsidRPr="007F700D">
        <w:rPr>
          <w:rFonts w:cs="Arial"/>
          <w:i/>
          <w:iCs/>
        </w:rPr>
        <w:t>unlawfulness</w:t>
      </w:r>
      <w:r w:rsidR="00B477DA" w:rsidRPr="007F700D">
        <w:rPr>
          <w:rFonts w:cs="Arial"/>
        </w:rPr>
        <w:t xml:space="preserve">’ do not constitute </w:t>
      </w:r>
      <w:r w:rsidR="00B477DA" w:rsidRPr="007F700D">
        <w:rPr>
          <w:rFonts w:cs="Arial"/>
          <w:i/>
          <w:iCs/>
        </w:rPr>
        <w:t>factual</w:t>
      </w:r>
      <w:r w:rsidR="00B477DA" w:rsidRPr="007F700D">
        <w:rPr>
          <w:rFonts w:cs="Arial"/>
        </w:rPr>
        <w:t xml:space="preserve"> </w:t>
      </w:r>
      <w:r w:rsidR="00E943F9" w:rsidRPr="007F700D">
        <w:rPr>
          <w:rFonts w:cs="Arial"/>
        </w:rPr>
        <w:t xml:space="preserve">elements </w:t>
      </w:r>
      <w:r w:rsidR="00B477DA" w:rsidRPr="007F700D">
        <w:rPr>
          <w:rFonts w:cs="Arial"/>
        </w:rPr>
        <w:t>of the cause of action</w:t>
      </w:r>
      <w:r w:rsidR="004910D1" w:rsidRPr="007F700D">
        <w:rPr>
          <w:rFonts w:cs="Arial"/>
        </w:rPr>
        <w:t xml:space="preserve"> -</w:t>
      </w:r>
      <w:r w:rsidR="00B477DA" w:rsidRPr="007F700D">
        <w:rPr>
          <w:rFonts w:cs="Arial"/>
        </w:rPr>
        <w:t xml:space="preserve"> but </w:t>
      </w:r>
      <w:r w:rsidR="00CB79E0" w:rsidRPr="007F700D">
        <w:rPr>
          <w:rFonts w:cs="Arial"/>
        </w:rPr>
        <w:t xml:space="preserve">they </w:t>
      </w:r>
      <w:r w:rsidR="00B477DA" w:rsidRPr="007F700D">
        <w:rPr>
          <w:rFonts w:cs="Arial"/>
        </w:rPr>
        <w:t xml:space="preserve">are </w:t>
      </w:r>
      <w:r w:rsidR="00B477DA" w:rsidRPr="007F700D">
        <w:rPr>
          <w:rFonts w:cs="Arial"/>
          <w:i/>
          <w:iCs/>
        </w:rPr>
        <w:t>legal conclusions</w:t>
      </w:r>
      <w:r w:rsidR="00B477DA" w:rsidRPr="007F700D">
        <w:rPr>
          <w:rFonts w:cs="Arial"/>
        </w:rPr>
        <w:t xml:space="preserve"> </w:t>
      </w:r>
      <w:r w:rsidR="00CB79E0" w:rsidRPr="007F700D">
        <w:rPr>
          <w:rFonts w:cs="Arial"/>
        </w:rPr>
        <w:t xml:space="preserve">that are </w:t>
      </w:r>
      <w:r w:rsidR="00EE48D2" w:rsidRPr="007F700D">
        <w:rPr>
          <w:rFonts w:cs="Arial"/>
        </w:rPr>
        <w:t>to be inferred</w:t>
      </w:r>
      <w:r w:rsidR="00B477DA" w:rsidRPr="007F700D">
        <w:rPr>
          <w:rFonts w:cs="Arial"/>
        </w:rPr>
        <w:t xml:space="preserve"> from the</w:t>
      </w:r>
      <w:r w:rsidR="00355B62" w:rsidRPr="007F700D">
        <w:rPr>
          <w:rFonts w:cs="Arial"/>
        </w:rPr>
        <w:t xml:space="preserve"> </w:t>
      </w:r>
      <w:r w:rsidR="00CB79E0" w:rsidRPr="007F700D">
        <w:rPr>
          <w:rFonts w:cs="Arial"/>
        </w:rPr>
        <w:t xml:space="preserve">established </w:t>
      </w:r>
      <w:r w:rsidR="00B477DA" w:rsidRPr="007F700D">
        <w:rPr>
          <w:rFonts w:cs="Arial"/>
        </w:rPr>
        <w:t>facts;</w:t>
      </w:r>
      <w:r w:rsidR="00EE48D2">
        <w:rPr>
          <w:rStyle w:val="FootnoteReference"/>
          <w:rFonts w:cs="Arial"/>
        </w:rPr>
        <w:footnoteReference w:id="68"/>
      </w:r>
    </w:p>
    <w:p w14:paraId="40EF3B03" w14:textId="6FFD5182" w:rsidR="007C37A9" w:rsidRPr="007F700D" w:rsidRDefault="007F700D" w:rsidP="007F700D">
      <w:pPr>
        <w:spacing w:before="360" w:after="120" w:line="480" w:lineRule="auto"/>
        <w:ind w:left="1560" w:hanging="851"/>
        <w:rPr>
          <w:rFonts w:cs="Arial"/>
        </w:rPr>
      </w:pPr>
      <w:r>
        <w:rPr>
          <w:rFonts w:cs="Arial"/>
        </w:rPr>
        <w:t>[34.2]</w:t>
      </w:r>
      <w:r>
        <w:rPr>
          <w:rFonts w:cs="Arial"/>
        </w:rPr>
        <w:tab/>
      </w:r>
      <w:r w:rsidR="00EE48D2" w:rsidRPr="007F700D">
        <w:rPr>
          <w:rFonts w:cs="Arial"/>
        </w:rPr>
        <w:t xml:space="preserve">second, with reference to the </w:t>
      </w:r>
      <w:r w:rsidR="002E72A1" w:rsidRPr="007F700D">
        <w:rPr>
          <w:rFonts w:cs="Arial"/>
        </w:rPr>
        <w:t xml:space="preserve">ambit of the </w:t>
      </w:r>
      <w:r w:rsidR="00EE48D2" w:rsidRPr="007F700D">
        <w:rPr>
          <w:rFonts w:cs="Arial"/>
        </w:rPr>
        <w:t xml:space="preserve">non-deeming provision </w:t>
      </w:r>
      <w:r w:rsidR="00B37A13" w:rsidRPr="007F700D">
        <w:rPr>
          <w:rFonts w:cs="Arial"/>
        </w:rPr>
        <w:t>(i.e., ‘[</w:t>
      </w:r>
      <w:r w:rsidR="00B37A13" w:rsidRPr="007F700D">
        <w:rPr>
          <w:rFonts w:cs="Arial"/>
          <w:i/>
          <w:iCs/>
        </w:rPr>
        <w:t>a</w:t>
      </w:r>
      <w:r w:rsidR="00B37A13" w:rsidRPr="007F700D">
        <w:rPr>
          <w:rFonts w:cs="Arial"/>
        </w:rPr>
        <w:t xml:space="preserve">] </w:t>
      </w:r>
      <w:r w:rsidR="00B37A13" w:rsidRPr="007F700D">
        <w:rPr>
          <w:rFonts w:cs="Arial"/>
          <w:i/>
          <w:iCs/>
        </w:rPr>
        <w:t xml:space="preserve">debt shall </w:t>
      </w:r>
      <w:r w:rsidR="00B37A13" w:rsidRPr="007F700D">
        <w:rPr>
          <w:rFonts w:cs="Arial"/>
          <w:b/>
          <w:bCs/>
          <w:i/>
          <w:iCs/>
        </w:rPr>
        <w:t>not be deemed</w:t>
      </w:r>
      <w:r w:rsidR="00B37A13" w:rsidRPr="007F700D">
        <w:rPr>
          <w:rFonts w:cs="Arial"/>
          <w:i/>
          <w:iCs/>
        </w:rPr>
        <w:t xml:space="preserve"> to be due</w:t>
      </w:r>
      <w:r w:rsidR="00B37A13" w:rsidRPr="007F700D">
        <w:rPr>
          <w:rFonts w:cs="Arial"/>
        </w:rPr>
        <w:t>’</w:t>
      </w:r>
      <w:r w:rsidR="004910D1" w:rsidRPr="007F700D">
        <w:rPr>
          <w:rFonts w:cs="Arial"/>
        </w:rPr>
        <w:t xml:space="preserve"> (</w:t>
      </w:r>
      <w:r w:rsidR="00C71288" w:rsidRPr="007F700D">
        <w:rPr>
          <w:rFonts w:cs="Arial"/>
        </w:rPr>
        <w:t>own emphasis)</w:t>
      </w:r>
      <w:r w:rsidR="00B37A13" w:rsidRPr="007F700D">
        <w:rPr>
          <w:rFonts w:cs="Arial"/>
        </w:rPr>
        <w:t xml:space="preserve">) </w:t>
      </w:r>
      <w:r w:rsidR="00EE48D2" w:rsidRPr="007F700D">
        <w:rPr>
          <w:rFonts w:cs="Arial"/>
        </w:rPr>
        <w:t>in s 12(3) of the Prescription Act</w:t>
      </w:r>
      <w:r w:rsidR="002E72A1" w:rsidRPr="007F700D">
        <w:rPr>
          <w:rFonts w:cs="Arial"/>
        </w:rPr>
        <w:t xml:space="preserve">, which </w:t>
      </w:r>
      <w:r w:rsidR="00EE48D2" w:rsidRPr="007F700D">
        <w:rPr>
          <w:rFonts w:cs="Arial"/>
        </w:rPr>
        <w:t xml:space="preserve">serves to defer the running of prescription, </w:t>
      </w:r>
      <w:r w:rsidR="00355B62" w:rsidRPr="007F700D">
        <w:rPr>
          <w:rFonts w:cs="Arial"/>
        </w:rPr>
        <w:t>the</w:t>
      </w:r>
      <w:r w:rsidR="007C37A9" w:rsidRPr="007F700D">
        <w:rPr>
          <w:rFonts w:cs="Arial"/>
        </w:rPr>
        <w:t xml:space="preserve"> court</w:t>
      </w:r>
      <w:r w:rsidR="00355B62" w:rsidRPr="007F700D">
        <w:rPr>
          <w:rFonts w:cs="Arial"/>
        </w:rPr>
        <w:t xml:space="preserve"> referred to its earlier judgment in </w:t>
      </w:r>
      <w:r w:rsidR="00355B62" w:rsidRPr="007F700D">
        <w:rPr>
          <w:rFonts w:cs="Arial"/>
          <w:b/>
          <w:bCs/>
          <w:i/>
          <w:iCs/>
        </w:rPr>
        <w:t xml:space="preserve">Van </w:t>
      </w:r>
      <w:proofErr w:type="spellStart"/>
      <w:r w:rsidR="00355B62" w:rsidRPr="007F700D">
        <w:rPr>
          <w:rFonts w:cs="Arial"/>
          <w:b/>
          <w:bCs/>
          <w:i/>
          <w:iCs/>
        </w:rPr>
        <w:t>Staden</w:t>
      </w:r>
      <w:proofErr w:type="spellEnd"/>
      <w:r w:rsidR="00355B62" w:rsidRPr="007F700D">
        <w:rPr>
          <w:rFonts w:cs="Arial"/>
          <w:b/>
          <w:bCs/>
          <w:i/>
          <w:iCs/>
        </w:rPr>
        <w:t xml:space="preserve"> v </w:t>
      </w:r>
      <w:proofErr w:type="spellStart"/>
      <w:r w:rsidR="00355B62" w:rsidRPr="007F700D">
        <w:rPr>
          <w:rFonts w:cs="Arial"/>
          <w:b/>
          <w:bCs/>
          <w:i/>
          <w:iCs/>
        </w:rPr>
        <w:t>Fourie</w:t>
      </w:r>
      <w:proofErr w:type="spellEnd"/>
      <w:r w:rsidR="00355B62">
        <w:rPr>
          <w:rStyle w:val="FootnoteReference"/>
          <w:rFonts w:cs="Arial"/>
        </w:rPr>
        <w:footnoteReference w:id="69"/>
      </w:r>
      <w:r w:rsidR="00355B62" w:rsidRPr="007F700D">
        <w:rPr>
          <w:rFonts w:cs="Arial"/>
        </w:rPr>
        <w:t xml:space="preserve"> in which </w:t>
      </w:r>
      <w:r w:rsidR="007C37A9" w:rsidRPr="007F700D">
        <w:rPr>
          <w:rFonts w:cs="Arial"/>
        </w:rPr>
        <w:t xml:space="preserve">it </w:t>
      </w:r>
      <w:r w:rsidR="00CB79E0" w:rsidRPr="007F700D">
        <w:rPr>
          <w:rFonts w:cs="Arial"/>
        </w:rPr>
        <w:t>had</w:t>
      </w:r>
      <w:r w:rsidR="007C37A9" w:rsidRPr="007F700D">
        <w:rPr>
          <w:rFonts w:cs="Arial"/>
        </w:rPr>
        <w:t xml:space="preserve"> </w:t>
      </w:r>
      <w:r w:rsidR="00355B62" w:rsidRPr="007F700D">
        <w:rPr>
          <w:rFonts w:cs="Arial"/>
        </w:rPr>
        <w:t xml:space="preserve">pointed out </w:t>
      </w:r>
      <w:r w:rsidR="007C37A9" w:rsidRPr="007F700D">
        <w:rPr>
          <w:rFonts w:cs="Arial"/>
        </w:rPr>
        <w:t xml:space="preserve">that </w:t>
      </w:r>
      <w:r w:rsidR="00EB0B61" w:rsidRPr="007F700D">
        <w:rPr>
          <w:rFonts w:cs="Arial"/>
        </w:rPr>
        <w:t xml:space="preserve">the </w:t>
      </w:r>
      <w:r w:rsidR="007C37A9" w:rsidRPr="007F700D">
        <w:rPr>
          <w:rFonts w:cs="Arial"/>
        </w:rPr>
        <w:t xml:space="preserve">commencement </w:t>
      </w:r>
      <w:r w:rsidR="00EB0B61" w:rsidRPr="007F700D">
        <w:rPr>
          <w:rFonts w:cs="Arial"/>
        </w:rPr>
        <w:t xml:space="preserve">of prescription is </w:t>
      </w:r>
      <w:r w:rsidR="00EB0B61" w:rsidRPr="007F700D">
        <w:rPr>
          <w:rFonts w:cs="Arial"/>
          <w:i/>
          <w:iCs/>
        </w:rPr>
        <w:t>not deferred</w:t>
      </w:r>
      <w:r w:rsidR="00EB0B61" w:rsidRPr="007F700D">
        <w:rPr>
          <w:rFonts w:cs="Arial"/>
        </w:rPr>
        <w:t xml:space="preserve"> </w:t>
      </w:r>
      <w:r w:rsidR="00020EBC" w:rsidRPr="007F700D">
        <w:rPr>
          <w:rFonts w:cs="Arial"/>
        </w:rPr>
        <w:t xml:space="preserve">(under such non-deeming provision) </w:t>
      </w:r>
      <w:r w:rsidR="00EB0B61" w:rsidRPr="007F700D">
        <w:rPr>
          <w:rFonts w:cs="Arial"/>
        </w:rPr>
        <w:t>until the creditor has acquired knowledge of</w:t>
      </w:r>
      <w:r w:rsidR="007C37A9" w:rsidRPr="007F700D">
        <w:rPr>
          <w:rFonts w:cs="Arial"/>
        </w:rPr>
        <w:t xml:space="preserve"> </w:t>
      </w:r>
      <w:r w:rsidR="00EB0B61" w:rsidRPr="007F700D">
        <w:rPr>
          <w:rFonts w:cs="Arial"/>
        </w:rPr>
        <w:t>the full extent of his or her rights (‘</w:t>
      </w:r>
      <w:r w:rsidR="00EB0B61" w:rsidRPr="007F700D">
        <w:rPr>
          <w:rFonts w:cs="Arial"/>
          <w:i/>
          <w:iCs/>
        </w:rPr>
        <w:t xml:space="preserve">die </w:t>
      </w:r>
      <w:proofErr w:type="spellStart"/>
      <w:r w:rsidR="00EB0B61" w:rsidRPr="007F700D">
        <w:rPr>
          <w:rFonts w:cs="Arial"/>
          <w:i/>
          <w:iCs/>
        </w:rPr>
        <w:t>volle</w:t>
      </w:r>
      <w:proofErr w:type="spellEnd"/>
      <w:r w:rsidR="00EB0B61" w:rsidRPr="007F700D">
        <w:rPr>
          <w:rFonts w:cs="Arial"/>
          <w:i/>
          <w:iCs/>
        </w:rPr>
        <w:t xml:space="preserve"> </w:t>
      </w:r>
      <w:proofErr w:type="spellStart"/>
      <w:r w:rsidR="00EB0B61" w:rsidRPr="007F700D">
        <w:rPr>
          <w:rFonts w:cs="Arial"/>
          <w:i/>
          <w:iCs/>
        </w:rPr>
        <w:t>omvang</w:t>
      </w:r>
      <w:proofErr w:type="spellEnd"/>
      <w:r w:rsidR="00EB0B61" w:rsidRPr="007F700D">
        <w:rPr>
          <w:rFonts w:cs="Arial"/>
          <w:i/>
          <w:iCs/>
        </w:rPr>
        <w:t xml:space="preserve"> van </w:t>
      </w:r>
      <w:proofErr w:type="spellStart"/>
      <w:r w:rsidR="00EB0B61" w:rsidRPr="007F700D">
        <w:rPr>
          <w:rFonts w:cs="Arial"/>
          <w:i/>
          <w:iCs/>
        </w:rPr>
        <w:t>sy</w:t>
      </w:r>
      <w:proofErr w:type="spellEnd"/>
      <w:r w:rsidR="00EB0B61" w:rsidRPr="007F700D">
        <w:rPr>
          <w:rFonts w:cs="Arial"/>
          <w:i/>
          <w:iCs/>
        </w:rPr>
        <w:t xml:space="preserve"> </w:t>
      </w:r>
      <w:proofErr w:type="spellStart"/>
      <w:r w:rsidR="00EB0B61" w:rsidRPr="007F700D">
        <w:rPr>
          <w:rFonts w:cs="Arial"/>
          <w:i/>
          <w:iCs/>
        </w:rPr>
        <w:t>regte</w:t>
      </w:r>
      <w:proofErr w:type="spellEnd"/>
      <w:r w:rsidR="00EB0B61" w:rsidRPr="007F700D">
        <w:rPr>
          <w:rFonts w:cs="Arial"/>
        </w:rPr>
        <w:t>’),</w:t>
      </w:r>
      <w:r w:rsidR="007C37A9" w:rsidRPr="007F700D">
        <w:rPr>
          <w:rFonts w:cs="Arial"/>
        </w:rPr>
        <w:t xml:space="preserve"> but that any such deferral invariably is restricted</w:t>
      </w:r>
      <w:r w:rsidR="003E4A2F" w:rsidRPr="007F700D">
        <w:rPr>
          <w:rFonts w:cs="Arial"/>
        </w:rPr>
        <w:t xml:space="preserve"> </w:t>
      </w:r>
      <w:r w:rsidR="003E4A2F" w:rsidRPr="007F700D">
        <w:rPr>
          <w:rFonts w:cs="Arial"/>
        </w:rPr>
        <w:lastRenderedPageBreak/>
        <w:t>(</w:t>
      </w:r>
      <w:r w:rsidR="00397466" w:rsidRPr="007F700D">
        <w:rPr>
          <w:rFonts w:cs="Arial"/>
        </w:rPr>
        <w:t xml:space="preserve">i.e., </w:t>
      </w:r>
      <w:r w:rsidR="00DA1E6A" w:rsidRPr="007F700D">
        <w:rPr>
          <w:rFonts w:cs="Arial"/>
        </w:rPr>
        <w:t xml:space="preserve">apart from the </w:t>
      </w:r>
      <w:r w:rsidR="003E4A2F" w:rsidRPr="007F700D">
        <w:rPr>
          <w:rFonts w:cs="Arial"/>
        </w:rPr>
        <w:t xml:space="preserve">need </w:t>
      </w:r>
      <w:r w:rsidR="00397466" w:rsidRPr="007F700D">
        <w:rPr>
          <w:rFonts w:cs="Arial"/>
        </w:rPr>
        <w:t xml:space="preserve">to know the </w:t>
      </w:r>
      <w:r w:rsidR="00DA1E6A" w:rsidRPr="007F700D">
        <w:rPr>
          <w:rFonts w:cs="Arial"/>
        </w:rPr>
        <w:t>identity</w:t>
      </w:r>
      <w:r w:rsidR="007C37A9" w:rsidRPr="007F700D">
        <w:rPr>
          <w:rFonts w:cs="Arial"/>
        </w:rPr>
        <w:t xml:space="preserve"> </w:t>
      </w:r>
      <w:r w:rsidR="00DA1E6A" w:rsidRPr="007F700D">
        <w:rPr>
          <w:rFonts w:cs="Arial"/>
        </w:rPr>
        <w:t>of the debtor</w:t>
      </w:r>
      <w:r w:rsidR="00397466" w:rsidRPr="007F700D">
        <w:rPr>
          <w:rFonts w:cs="Arial"/>
        </w:rPr>
        <w:t>)</w:t>
      </w:r>
      <w:r w:rsidR="00DA1E6A" w:rsidRPr="007F700D">
        <w:rPr>
          <w:rFonts w:cs="Arial"/>
        </w:rPr>
        <w:t xml:space="preserve"> </w:t>
      </w:r>
      <w:r w:rsidR="007C37A9" w:rsidRPr="007F700D">
        <w:rPr>
          <w:rFonts w:cs="Arial"/>
        </w:rPr>
        <w:t>to knowledge of ‘</w:t>
      </w:r>
      <w:r w:rsidR="007C37A9" w:rsidRPr="007F700D">
        <w:rPr>
          <w:rFonts w:cs="Arial"/>
          <w:i/>
          <w:iCs/>
        </w:rPr>
        <w:t>the facts from which the debt arises</w:t>
      </w:r>
      <w:r w:rsidR="007C37A9" w:rsidRPr="007F700D">
        <w:rPr>
          <w:rFonts w:cs="Arial"/>
        </w:rPr>
        <w:t>’</w:t>
      </w:r>
      <w:r w:rsidR="00DA1E6A" w:rsidRPr="007F700D">
        <w:rPr>
          <w:rFonts w:cs="Arial"/>
        </w:rPr>
        <w:t>;</w:t>
      </w:r>
      <w:r w:rsidR="007C37A9">
        <w:rPr>
          <w:rStyle w:val="FootnoteReference"/>
          <w:rFonts w:cs="Arial"/>
        </w:rPr>
        <w:footnoteReference w:id="70"/>
      </w:r>
      <w:r w:rsidR="007C37A9" w:rsidRPr="007F700D">
        <w:rPr>
          <w:rFonts w:cs="Arial"/>
        </w:rPr>
        <w:t xml:space="preserve"> and </w:t>
      </w:r>
    </w:p>
    <w:p w14:paraId="2D22346E" w14:textId="2B8B1A75" w:rsidR="00020EBC" w:rsidRPr="007F700D" w:rsidRDefault="007F700D" w:rsidP="007F700D">
      <w:pPr>
        <w:spacing w:before="360" w:after="120" w:line="480" w:lineRule="auto"/>
        <w:ind w:left="1560" w:hanging="851"/>
        <w:rPr>
          <w:rFonts w:cs="Arial"/>
        </w:rPr>
      </w:pPr>
      <w:r>
        <w:rPr>
          <w:rFonts w:cs="Arial"/>
        </w:rPr>
        <w:t>[34.3]</w:t>
      </w:r>
      <w:r>
        <w:rPr>
          <w:rFonts w:cs="Arial"/>
        </w:rPr>
        <w:tab/>
      </w:r>
      <w:r w:rsidR="007C37A9" w:rsidRPr="007F700D">
        <w:rPr>
          <w:rFonts w:cs="Arial"/>
        </w:rPr>
        <w:t xml:space="preserve">third, </w:t>
      </w:r>
      <w:r w:rsidR="00020EBC" w:rsidRPr="007F700D">
        <w:rPr>
          <w:rFonts w:cs="Arial"/>
        </w:rPr>
        <w:t xml:space="preserve">that the expression </w:t>
      </w:r>
      <w:proofErr w:type="spellStart"/>
      <w:r w:rsidR="00020EBC" w:rsidRPr="007F700D">
        <w:rPr>
          <w:rFonts w:cs="Arial"/>
        </w:rPr>
        <w:t>‘</w:t>
      </w:r>
      <w:r w:rsidR="00020EBC" w:rsidRPr="007F700D">
        <w:rPr>
          <w:rFonts w:cs="Arial"/>
          <w:i/>
          <w:iCs/>
        </w:rPr>
        <w:t>cause</w:t>
      </w:r>
      <w:proofErr w:type="spellEnd"/>
      <w:r w:rsidR="00020EBC" w:rsidRPr="007F700D">
        <w:rPr>
          <w:rFonts w:cs="Arial"/>
          <w:i/>
          <w:iCs/>
        </w:rPr>
        <w:t xml:space="preserve"> of action</w:t>
      </w:r>
      <w:r w:rsidR="00020EBC" w:rsidRPr="007F700D">
        <w:rPr>
          <w:rFonts w:cs="Arial"/>
        </w:rPr>
        <w:t>’, for the purposes of prescription, means:</w:t>
      </w:r>
      <w:r w:rsidR="005E461D">
        <w:rPr>
          <w:rStyle w:val="FootnoteReference"/>
          <w:rFonts w:cs="Arial"/>
        </w:rPr>
        <w:footnoteReference w:id="71"/>
      </w:r>
    </w:p>
    <w:p w14:paraId="4FED0B2F" w14:textId="03C06180" w:rsidR="009741D6" w:rsidRDefault="00020EBC" w:rsidP="005E461D">
      <w:pPr>
        <w:pStyle w:val="ListParagraph"/>
        <w:spacing w:before="120" w:after="120"/>
        <w:ind w:left="1985" w:right="521"/>
        <w:contextualSpacing w:val="0"/>
        <w:rPr>
          <w:rFonts w:cs="Arial"/>
        </w:rPr>
      </w:pPr>
      <w:r>
        <w:rPr>
          <w:rFonts w:cs="Arial"/>
        </w:rPr>
        <w:t xml:space="preserve">‘… </w:t>
      </w:r>
      <w:r w:rsidR="005E461D" w:rsidRPr="00B37A13">
        <w:rPr>
          <w:rFonts w:cs="Arial"/>
          <w:b/>
          <w:bCs/>
          <w:sz w:val="20"/>
          <w:szCs w:val="20"/>
        </w:rPr>
        <w:t>every fact which it would be necessary for the plaintiff to prove</w:t>
      </w:r>
      <w:r w:rsidR="005E461D" w:rsidRPr="005E461D">
        <w:rPr>
          <w:rFonts w:cs="Arial"/>
          <w:sz w:val="20"/>
          <w:szCs w:val="20"/>
        </w:rPr>
        <w:t xml:space="preserve">, if traversed, in order to support his right to the judgment of the Court. </w:t>
      </w:r>
      <w:r w:rsidR="005E461D">
        <w:rPr>
          <w:rFonts w:cs="Arial"/>
          <w:sz w:val="20"/>
          <w:szCs w:val="20"/>
        </w:rPr>
        <w:t xml:space="preserve"> </w:t>
      </w:r>
      <w:r w:rsidR="005E461D" w:rsidRPr="005E461D">
        <w:rPr>
          <w:rFonts w:cs="Arial"/>
          <w:b/>
          <w:bCs/>
          <w:sz w:val="20"/>
          <w:szCs w:val="20"/>
        </w:rPr>
        <w:t>It does not comprise every piece of evidence which is necessary to prove each fact, but every fact which is necessary to be proved</w:t>
      </w:r>
      <w:r w:rsidR="005E461D">
        <w:rPr>
          <w:rFonts w:cs="Arial"/>
        </w:rPr>
        <w:t xml:space="preserve">.’  </w:t>
      </w:r>
    </w:p>
    <w:p w14:paraId="0A436995" w14:textId="53D73086" w:rsidR="005E461D" w:rsidRDefault="005E461D" w:rsidP="00CB79E0">
      <w:pPr>
        <w:pStyle w:val="ListParagraph"/>
        <w:spacing w:before="360" w:after="120" w:line="480" w:lineRule="auto"/>
        <w:ind w:left="1985" w:right="521"/>
        <w:contextualSpacing w:val="0"/>
        <w:rPr>
          <w:rFonts w:cs="Arial"/>
        </w:rPr>
      </w:pPr>
      <w:r>
        <w:rPr>
          <w:rFonts w:cs="Arial"/>
        </w:rPr>
        <w:t>(</w:t>
      </w:r>
      <w:r w:rsidR="00CB79E0">
        <w:rPr>
          <w:rFonts w:cs="Arial"/>
        </w:rPr>
        <w:t>Own emphasis).</w:t>
      </w:r>
    </w:p>
    <w:p w14:paraId="5D2233E0" w14:textId="159C7F01" w:rsidR="009E63D1" w:rsidRPr="007F700D" w:rsidRDefault="007F700D" w:rsidP="007F700D">
      <w:pPr>
        <w:tabs>
          <w:tab w:val="left" w:pos="851"/>
        </w:tabs>
        <w:spacing w:before="360" w:after="120" w:line="480" w:lineRule="auto"/>
        <w:ind w:left="709" w:hanging="720"/>
        <w:rPr>
          <w:rFonts w:cs="Arial"/>
        </w:rPr>
      </w:pPr>
      <w:r>
        <w:rPr>
          <w:rFonts w:cs="Arial"/>
        </w:rPr>
        <w:t>[35]</w:t>
      </w:r>
      <w:r>
        <w:rPr>
          <w:rFonts w:cs="Arial"/>
        </w:rPr>
        <w:tab/>
      </w:r>
      <w:r w:rsidR="00CE4FA0" w:rsidRPr="007F700D">
        <w:rPr>
          <w:rFonts w:cs="Arial"/>
        </w:rPr>
        <w:t>In instances where multiple causes of action are pleaded, and each one of them</w:t>
      </w:r>
      <w:r w:rsidR="00BF68A2" w:rsidRPr="007F700D">
        <w:rPr>
          <w:rFonts w:cs="Arial"/>
        </w:rPr>
        <w:t xml:space="preserve"> gives</w:t>
      </w:r>
      <w:r w:rsidR="00CE4FA0" w:rsidRPr="007F700D">
        <w:rPr>
          <w:rFonts w:cs="Arial"/>
        </w:rPr>
        <w:t xml:space="preserve"> rise to a different debt, </w:t>
      </w:r>
      <w:r w:rsidR="00BF68A2" w:rsidRPr="007F700D">
        <w:rPr>
          <w:rFonts w:cs="Arial"/>
        </w:rPr>
        <w:t xml:space="preserve">it is not uncommon that </w:t>
      </w:r>
      <w:r w:rsidR="00CE4FA0" w:rsidRPr="007F700D">
        <w:rPr>
          <w:rFonts w:cs="Arial"/>
        </w:rPr>
        <w:t xml:space="preserve">the due date(s) for such debts </w:t>
      </w:r>
      <w:r w:rsidR="00CE4FA0" w:rsidRPr="007F700D">
        <w:rPr>
          <w:rFonts w:cs="Arial"/>
          <w:i/>
          <w:iCs/>
        </w:rPr>
        <w:t>might</w:t>
      </w:r>
      <w:r w:rsidR="00CE4FA0" w:rsidRPr="007F700D">
        <w:rPr>
          <w:rFonts w:cs="Arial"/>
        </w:rPr>
        <w:t xml:space="preserve"> </w:t>
      </w:r>
      <w:r w:rsidR="00437636" w:rsidRPr="007F700D">
        <w:rPr>
          <w:rFonts w:cs="Arial"/>
        </w:rPr>
        <w:t>–</w:t>
      </w:r>
      <w:r w:rsidR="0021666F" w:rsidRPr="007F700D">
        <w:rPr>
          <w:rFonts w:cs="Arial"/>
        </w:rPr>
        <w:t xml:space="preserve"> </w:t>
      </w:r>
      <w:r w:rsidR="00437636" w:rsidRPr="007F700D">
        <w:rPr>
          <w:rFonts w:cs="Arial"/>
        </w:rPr>
        <w:t xml:space="preserve">and sometimes </w:t>
      </w:r>
      <w:r w:rsidR="0021666F" w:rsidRPr="007F700D">
        <w:rPr>
          <w:rFonts w:cs="Arial"/>
        </w:rPr>
        <w:t xml:space="preserve">probably </w:t>
      </w:r>
      <w:r w:rsidR="0021666F" w:rsidRPr="007F700D">
        <w:rPr>
          <w:rFonts w:cs="Arial"/>
          <w:i/>
          <w:iCs/>
        </w:rPr>
        <w:t>will</w:t>
      </w:r>
      <w:r w:rsidR="0021666F" w:rsidRPr="007F700D">
        <w:rPr>
          <w:rFonts w:cs="Arial"/>
        </w:rPr>
        <w:t xml:space="preserve"> - </w:t>
      </w:r>
      <w:r w:rsidR="00CE4FA0" w:rsidRPr="007F700D">
        <w:rPr>
          <w:rFonts w:cs="Arial"/>
        </w:rPr>
        <w:t>be different too.</w:t>
      </w:r>
      <w:r w:rsidR="0021666F">
        <w:rPr>
          <w:rStyle w:val="FootnoteReference"/>
          <w:rFonts w:cs="Arial"/>
        </w:rPr>
        <w:footnoteReference w:id="72"/>
      </w:r>
      <w:r w:rsidR="00CE4FA0" w:rsidRPr="007F700D">
        <w:rPr>
          <w:rFonts w:cs="Arial"/>
        </w:rPr>
        <w:t xml:space="preserve">  </w:t>
      </w:r>
    </w:p>
    <w:p w14:paraId="6179EBF3" w14:textId="65169626" w:rsidR="008E4541" w:rsidRPr="007F700D" w:rsidRDefault="007F700D" w:rsidP="007F700D">
      <w:pPr>
        <w:tabs>
          <w:tab w:val="left" w:pos="851"/>
        </w:tabs>
        <w:spacing w:before="360" w:after="120" w:line="480" w:lineRule="auto"/>
        <w:ind w:left="709" w:hanging="720"/>
        <w:rPr>
          <w:rFonts w:cs="Arial"/>
        </w:rPr>
      </w:pPr>
      <w:r>
        <w:rPr>
          <w:rFonts w:cs="Arial"/>
        </w:rPr>
        <w:t>[36]</w:t>
      </w:r>
      <w:r>
        <w:rPr>
          <w:rFonts w:cs="Arial"/>
        </w:rPr>
        <w:tab/>
      </w:r>
      <w:r w:rsidR="008E4541" w:rsidRPr="007F700D">
        <w:rPr>
          <w:rFonts w:cs="Arial"/>
        </w:rPr>
        <w:t xml:space="preserve">It is vital that a distinction must be drawn between a </w:t>
      </w:r>
      <w:r w:rsidR="008E4541" w:rsidRPr="007F700D">
        <w:rPr>
          <w:rFonts w:cs="Arial"/>
          <w:i/>
          <w:iCs/>
        </w:rPr>
        <w:t>wrongful arrest</w:t>
      </w:r>
      <w:r w:rsidR="008E4541" w:rsidRPr="007F700D">
        <w:rPr>
          <w:rFonts w:cs="Arial"/>
        </w:rPr>
        <w:t xml:space="preserve"> and one that takes place </w:t>
      </w:r>
      <w:r w:rsidR="008E4541" w:rsidRPr="007F700D">
        <w:rPr>
          <w:rFonts w:cs="Arial"/>
          <w:i/>
          <w:iCs/>
        </w:rPr>
        <w:t>maliciously</w:t>
      </w:r>
      <w:r w:rsidR="008E4541" w:rsidRPr="007F700D">
        <w:rPr>
          <w:rFonts w:cs="Arial"/>
        </w:rPr>
        <w:t xml:space="preserve">.  In </w:t>
      </w:r>
      <w:proofErr w:type="spellStart"/>
      <w:r w:rsidR="008E4541" w:rsidRPr="007F700D">
        <w:rPr>
          <w:rFonts w:cs="Arial"/>
          <w:b/>
          <w:bCs/>
          <w:i/>
          <w:iCs/>
        </w:rPr>
        <w:t>Relyant</w:t>
      </w:r>
      <w:proofErr w:type="spellEnd"/>
      <w:r w:rsidR="008E4541" w:rsidRPr="007F700D">
        <w:rPr>
          <w:rFonts w:cs="Arial"/>
          <w:b/>
          <w:bCs/>
          <w:i/>
          <w:iCs/>
        </w:rPr>
        <w:t xml:space="preserve"> Trading (Pty) Ltd v </w:t>
      </w:r>
      <w:proofErr w:type="spellStart"/>
      <w:r w:rsidR="008E4541" w:rsidRPr="007F700D">
        <w:rPr>
          <w:rFonts w:cs="Arial"/>
          <w:b/>
          <w:bCs/>
          <w:i/>
          <w:iCs/>
        </w:rPr>
        <w:t>Shongwe</w:t>
      </w:r>
      <w:proofErr w:type="spellEnd"/>
      <w:r w:rsidR="008E4541" w:rsidRPr="007F700D">
        <w:rPr>
          <w:rFonts w:cs="Arial"/>
          <w:b/>
          <w:bCs/>
          <w:i/>
          <w:iCs/>
        </w:rPr>
        <w:t xml:space="preserve"> and another</w:t>
      </w:r>
      <w:r w:rsidR="008E4541" w:rsidRPr="00731082">
        <w:rPr>
          <w:rStyle w:val="FootnoteReference"/>
          <w:rFonts w:cs="Arial"/>
        </w:rPr>
        <w:footnoteReference w:id="73"/>
      </w:r>
      <w:r w:rsidR="008E4541" w:rsidRPr="007F700D">
        <w:rPr>
          <w:rFonts w:cs="Arial"/>
        </w:rPr>
        <w:t xml:space="preserve"> the SCA (</w:t>
      </w:r>
      <w:r w:rsidR="008E4541" w:rsidRPr="007F700D">
        <w:rPr>
          <w:rFonts w:cs="Arial"/>
          <w:i/>
          <w:iCs/>
        </w:rPr>
        <w:t>per</w:t>
      </w:r>
      <w:r w:rsidR="008E4541" w:rsidRPr="007F700D">
        <w:rPr>
          <w:rFonts w:cs="Arial"/>
        </w:rPr>
        <w:t xml:space="preserve"> Malan AJA [as he then still was]) described this distinction </w:t>
      </w:r>
      <w:r w:rsidR="00D336D6" w:rsidRPr="007F700D">
        <w:rPr>
          <w:rFonts w:cs="Arial"/>
        </w:rPr>
        <w:t xml:space="preserve">– and the associated concept of a </w:t>
      </w:r>
      <w:r w:rsidR="00D336D6" w:rsidRPr="007F700D">
        <w:rPr>
          <w:rFonts w:cs="Arial"/>
          <w:i/>
          <w:iCs/>
        </w:rPr>
        <w:t>malicious prosecution</w:t>
      </w:r>
      <w:r w:rsidR="00D336D6" w:rsidRPr="007F700D">
        <w:rPr>
          <w:rFonts w:cs="Arial"/>
        </w:rPr>
        <w:t xml:space="preserve"> – in the </w:t>
      </w:r>
      <w:r w:rsidR="008E4541" w:rsidRPr="007F700D">
        <w:rPr>
          <w:rFonts w:cs="Arial"/>
        </w:rPr>
        <w:t>follow</w:t>
      </w:r>
      <w:r w:rsidR="00D336D6" w:rsidRPr="007F700D">
        <w:rPr>
          <w:rFonts w:cs="Arial"/>
        </w:rPr>
        <w:t>ing terms</w:t>
      </w:r>
      <w:r w:rsidR="00F44906" w:rsidRPr="007F700D">
        <w:rPr>
          <w:rFonts w:cs="Arial"/>
        </w:rPr>
        <w:t xml:space="preserve"> (footnotes omitted)</w:t>
      </w:r>
      <w:r w:rsidR="008E4541" w:rsidRPr="007F700D">
        <w:rPr>
          <w:rFonts w:cs="Arial"/>
        </w:rPr>
        <w:t>:</w:t>
      </w:r>
      <w:r w:rsidR="00731082">
        <w:rPr>
          <w:rStyle w:val="FootnoteReference"/>
          <w:rFonts w:cs="Arial"/>
        </w:rPr>
        <w:footnoteReference w:id="74"/>
      </w:r>
    </w:p>
    <w:p w14:paraId="77550DBB" w14:textId="231D50C1" w:rsidR="00F44906" w:rsidRPr="00F44906" w:rsidRDefault="008E4541" w:rsidP="00F44906">
      <w:pPr>
        <w:pStyle w:val="ListParagraph"/>
        <w:tabs>
          <w:tab w:val="left" w:pos="851"/>
        </w:tabs>
        <w:spacing w:before="120" w:after="120"/>
        <w:ind w:left="1276" w:right="521"/>
        <w:contextualSpacing w:val="0"/>
        <w:rPr>
          <w:rFonts w:cs="Arial"/>
          <w:sz w:val="20"/>
          <w:szCs w:val="20"/>
        </w:rPr>
      </w:pPr>
      <w:r>
        <w:rPr>
          <w:rFonts w:cs="Arial"/>
        </w:rPr>
        <w:t>‘</w:t>
      </w:r>
      <w:r w:rsidR="00F44906" w:rsidRPr="00F44906">
        <w:rPr>
          <w:rFonts w:cs="Arial"/>
          <w:sz w:val="20"/>
          <w:szCs w:val="20"/>
        </w:rPr>
        <w:t>[4</w:t>
      </w:r>
      <w:proofErr w:type="gramStart"/>
      <w:r w:rsidR="00F44906" w:rsidRPr="00F44906">
        <w:rPr>
          <w:rFonts w:cs="Arial"/>
          <w:sz w:val="20"/>
          <w:szCs w:val="20"/>
        </w:rPr>
        <w:t>]  </w:t>
      </w:r>
      <w:r w:rsidR="00F44906" w:rsidRPr="00F44906">
        <w:rPr>
          <w:rFonts w:cs="Arial"/>
          <w:i/>
          <w:iCs/>
          <w:sz w:val="20"/>
          <w:szCs w:val="20"/>
        </w:rPr>
        <w:t>Wrongful</w:t>
      </w:r>
      <w:proofErr w:type="gramEnd"/>
      <w:r w:rsidR="00F44906" w:rsidRPr="00F44906">
        <w:rPr>
          <w:rFonts w:cs="Arial"/>
          <w:i/>
          <w:iCs/>
          <w:sz w:val="20"/>
          <w:szCs w:val="20"/>
        </w:rPr>
        <w:t xml:space="preserve"> arrest</w:t>
      </w:r>
      <w:r w:rsidR="00F44906" w:rsidRPr="00F44906">
        <w:rPr>
          <w:rFonts w:cs="Arial"/>
          <w:sz w:val="20"/>
          <w:szCs w:val="20"/>
        </w:rPr>
        <w:t xml:space="preserve"> consists in the wrongful deprivation of a person’s liberty. </w:t>
      </w:r>
      <w:r w:rsidR="00F44906">
        <w:rPr>
          <w:rFonts w:cs="Arial"/>
          <w:sz w:val="20"/>
          <w:szCs w:val="20"/>
        </w:rPr>
        <w:t xml:space="preserve"> </w:t>
      </w:r>
      <w:r w:rsidR="00F44906" w:rsidRPr="00F44906">
        <w:rPr>
          <w:rFonts w:cs="Arial"/>
          <w:sz w:val="20"/>
          <w:szCs w:val="20"/>
        </w:rPr>
        <w:t xml:space="preserve">Liability for wrongful arrest is strict, neither fault nor awareness of the wrongfulness of the arrestor’s conduct being required.  </w:t>
      </w:r>
      <w:r w:rsidR="00F44906" w:rsidRPr="00F44906">
        <w:rPr>
          <w:rFonts w:cs="Arial"/>
          <w:b/>
          <w:bCs/>
          <w:sz w:val="20"/>
          <w:szCs w:val="20"/>
        </w:rPr>
        <w:t xml:space="preserve">An arrest is malicious where the defendant makes improper use of the legal process to deprive the plaintiff of </w:t>
      </w:r>
      <w:r w:rsidR="00F44906" w:rsidRPr="00F44906">
        <w:rPr>
          <w:rFonts w:cs="Arial"/>
          <w:b/>
          <w:bCs/>
          <w:sz w:val="20"/>
          <w:szCs w:val="20"/>
        </w:rPr>
        <w:lastRenderedPageBreak/>
        <w:t>his liberty</w:t>
      </w:r>
      <w:r w:rsidR="00F44906" w:rsidRPr="00F44906">
        <w:rPr>
          <w:rFonts w:cs="Arial"/>
          <w:sz w:val="20"/>
          <w:szCs w:val="20"/>
        </w:rPr>
        <w:t xml:space="preserve">.  In both wrongful and malicious arrest not only a person’s liberty but also other aspects of his or her personality may be involved, particularly dignity.  In </w:t>
      </w:r>
      <w:r w:rsidR="00F44906" w:rsidRPr="00F44906">
        <w:rPr>
          <w:rFonts w:cs="Arial"/>
          <w:i/>
          <w:iCs/>
          <w:sz w:val="20"/>
          <w:szCs w:val="20"/>
        </w:rPr>
        <w:t xml:space="preserve">Newman v </w:t>
      </w:r>
      <w:proofErr w:type="spellStart"/>
      <w:r w:rsidR="00F44906" w:rsidRPr="00F44906">
        <w:rPr>
          <w:rFonts w:cs="Arial"/>
          <w:i/>
          <w:iCs/>
          <w:sz w:val="20"/>
          <w:szCs w:val="20"/>
        </w:rPr>
        <w:t>Prinsloo</w:t>
      </w:r>
      <w:proofErr w:type="spellEnd"/>
      <w:r w:rsidR="00F44906" w:rsidRPr="00F44906">
        <w:rPr>
          <w:rFonts w:cs="Arial"/>
          <w:i/>
          <w:iCs/>
          <w:sz w:val="20"/>
          <w:szCs w:val="20"/>
        </w:rPr>
        <w:t xml:space="preserve"> and another</w:t>
      </w:r>
      <w:r w:rsidR="00F44906" w:rsidRPr="00F44906">
        <w:rPr>
          <w:rFonts w:cs="Arial"/>
          <w:sz w:val="20"/>
          <w:szCs w:val="20"/>
        </w:rPr>
        <w:t xml:space="preserve"> the distinction between wrongful arrest and malicious arrest was explained as follows:</w:t>
      </w:r>
    </w:p>
    <w:p w14:paraId="01050598" w14:textId="77777777" w:rsidR="00F44906" w:rsidRPr="00F44906" w:rsidRDefault="00F44906" w:rsidP="00F44906">
      <w:pPr>
        <w:pStyle w:val="ListParagraph"/>
        <w:tabs>
          <w:tab w:val="left" w:pos="851"/>
        </w:tabs>
        <w:spacing w:before="120" w:after="120"/>
        <w:ind w:left="1985" w:right="1088"/>
        <w:contextualSpacing w:val="0"/>
        <w:rPr>
          <w:rFonts w:cs="Arial"/>
          <w:sz w:val="20"/>
          <w:szCs w:val="20"/>
        </w:rPr>
      </w:pPr>
      <w:r w:rsidRPr="00F44906">
        <w:rPr>
          <w:rFonts w:cs="Arial"/>
          <w:sz w:val="20"/>
          <w:szCs w:val="20"/>
        </w:rPr>
        <w:t>“[I]n wrongful arrest . . . the act of restraining the plaintiff’s freedom is that of the defendant or his agent for whose action he is vicariously liable, whereas in malicious arrest the interposition of a judicial act between the act of the defendant and apprehension of the plaintiff, makes the restraint on the plaintiff’s freedom no longer the act of the defendant but the act of the law.”</w:t>
      </w:r>
    </w:p>
    <w:p w14:paraId="71B78BF5" w14:textId="0DBB464D" w:rsidR="00F44906" w:rsidRPr="00F44906" w:rsidRDefault="00F44906" w:rsidP="00F44906">
      <w:pPr>
        <w:pStyle w:val="ListParagraph"/>
        <w:tabs>
          <w:tab w:val="left" w:pos="851"/>
        </w:tabs>
        <w:spacing w:before="120" w:after="120"/>
        <w:ind w:left="1276" w:right="521"/>
        <w:contextualSpacing w:val="0"/>
        <w:rPr>
          <w:rFonts w:cs="Arial"/>
          <w:sz w:val="20"/>
          <w:szCs w:val="20"/>
        </w:rPr>
      </w:pPr>
      <w:r w:rsidRPr="00F44906">
        <w:rPr>
          <w:rFonts w:cs="Arial"/>
          <w:sz w:val="20"/>
          <w:szCs w:val="20"/>
        </w:rPr>
        <w:t>[5</w:t>
      </w:r>
      <w:proofErr w:type="gramStart"/>
      <w:r w:rsidRPr="00F44906">
        <w:rPr>
          <w:rFonts w:cs="Arial"/>
          <w:sz w:val="20"/>
          <w:szCs w:val="20"/>
        </w:rPr>
        <w:t>]  </w:t>
      </w:r>
      <w:r w:rsidRPr="00F44906">
        <w:rPr>
          <w:rFonts w:cs="Arial"/>
          <w:i/>
          <w:iCs/>
          <w:sz w:val="20"/>
          <w:szCs w:val="20"/>
        </w:rPr>
        <w:t>Malicious</w:t>
      </w:r>
      <w:proofErr w:type="gramEnd"/>
      <w:r w:rsidRPr="00F44906">
        <w:rPr>
          <w:rFonts w:cs="Arial"/>
          <w:i/>
          <w:iCs/>
          <w:sz w:val="20"/>
          <w:szCs w:val="20"/>
        </w:rPr>
        <w:t xml:space="preserve"> prosecution</w:t>
      </w:r>
      <w:r w:rsidRPr="00F44906">
        <w:rPr>
          <w:rFonts w:cs="Arial"/>
          <w:sz w:val="20"/>
          <w:szCs w:val="20"/>
        </w:rPr>
        <w:t xml:space="preserve"> consists in the wrongful and intentional assault on the dignity of a person comprehending also his or her good name and privacy.  The requirements are that the arrest or prosecution be instigated without reasonable and probable cause and with “</w:t>
      </w:r>
      <w:r w:rsidRPr="00731082">
        <w:rPr>
          <w:rFonts w:cs="Arial"/>
          <w:i/>
          <w:iCs/>
          <w:sz w:val="20"/>
          <w:szCs w:val="20"/>
        </w:rPr>
        <w:t>malice</w:t>
      </w:r>
      <w:r w:rsidRPr="00F44906">
        <w:rPr>
          <w:rFonts w:cs="Arial"/>
          <w:sz w:val="20"/>
          <w:szCs w:val="20"/>
        </w:rPr>
        <w:t xml:space="preserve">” or </w:t>
      </w:r>
      <w:proofErr w:type="spellStart"/>
      <w:r w:rsidRPr="00731082">
        <w:rPr>
          <w:rFonts w:cs="Arial"/>
          <w:i/>
          <w:iCs/>
          <w:sz w:val="20"/>
          <w:szCs w:val="20"/>
        </w:rPr>
        <w:t>animo</w:t>
      </w:r>
      <w:proofErr w:type="spellEnd"/>
      <w:r w:rsidRPr="00731082">
        <w:rPr>
          <w:rFonts w:cs="Arial"/>
          <w:i/>
          <w:iCs/>
          <w:sz w:val="20"/>
          <w:szCs w:val="20"/>
        </w:rPr>
        <w:t xml:space="preserve"> </w:t>
      </w:r>
      <w:proofErr w:type="spellStart"/>
      <w:r w:rsidRPr="00731082">
        <w:rPr>
          <w:rFonts w:cs="Arial"/>
          <w:i/>
          <w:iCs/>
          <w:sz w:val="20"/>
          <w:szCs w:val="20"/>
        </w:rPr>
        <w:t>iniuriarum</w:t>
      </w:r>
      <w:proofErr w:type="spellEnd"/>
      <w:r w:rsidRPr="00F44906">
        <w:rPr>
          <w:rFonts w:cs="Arial"/>
          <w:sz w:val="20"/>
          <w:szCs w:val="20"/>
        </w:rPr>
        <w:t>.  Although the expression “</w:t>
      </w:r>
      <w:r w:rsidRPr="00731082">
        <w:rPr>
          <w:rFonts w:cs="Arial"/>
          <w:i/>
          <w:iCs/>
          <w:sz w:val="20"/>
          <w:szCs w:val="20"/>
        </w:rPr>
        <w:t>malice</w:t>
      </w:r>
      <w:r w:rsidRPr="00F44906">
        <w:rPr>
          <w:rFonts w:cs="Arial"/>
          <w:sz w:val="20"/>
          <w:szCs w:val="20"/>
        </w:rPr>
        <w:t xml:space="preserve">” is used, it means, in the context of the </w:t>
      </w:r>
      <w:proofErr w:type="spellStart"/>
      <w:r w:rsidRPr="00731082">
        <w:rPr>
          <w:rFonts w:cs="Arial"/>
          <w:i/>
          <w:iCs/>
          <w:sz w:val="20"/>
          <w:szCs w:val="20"/>
        </w:rPr>
        <w:t>actio</w:t>
      </w:r>
      <w:proofErr w:type="spellEnd"/>
      <w:r w:rsidRPr="00731082">
        <w:rPr>
          <w:rFonts w:cs="Arial"/>
          <w:i/>
          <w:iCs/>
          <w:sz w:val="20"/>
          <w:szCs w:val="20"/>
        </w:rPr>
        <w:t xml:space="preserve"> </w:t>
      </w:r>
      <w:proofErr w:type="spellStart"/>
      <w:r w:rsidRPr="00731082">
        <w:rPr>
          <w:rFonts w:cs="Arial"/>
          <w:i/>
          <w:iCs/>
          <w:sz w:val="20"/>
          <w:szCs w:val="20"/>
        </w:rPr>
        <w:t>iniuriarum</w:t>
      </w:r>
      <w:proofErr w:type="spellEnd"/>
      <w:r w:rsidRPr="00F44906">
        <w:rPr>
          <w:rFonts w:cs="Arial"/>
          <w:sz w:val="20"/>
          <w:szCs w:val="20"/>
        </w:rPr>
        <w:t xml:space="preserve">, </w:t>
      </w:r>
      <w:r w:rsidRPr="00731082">
        <w:rPr>
          <w:rFonts w:cs="Arial"/>
          <w:i/>
          <w:iCs/>
          <w:sz w:val="20"/>
          <w:szCs w:val="20"/>
        </w:rPr>
        <w:t xml:space="preserve">animus </w:t>
      </w:r>
      <w:proofErr w:type="spellStart"/>
      <w:r w:rsidRPr="00731082">
        <w:rPr>
          <w:rFonts w:cs="Arial"/>
          <w:i/>
          <w:iCs/>
          <w:sz w:val="20"/>
          <w:szCs w:val="20"/>
        </w:rPr>
        <w:t>iniuriandi</w:t>
      </w:r>
      <w:proofErr w:type="spellEnd"/>
      <w:r w:rsidRPr="00F44906">
        <w:rPr>
          <w:rFonts w:cs="Arial"/>
          <w:sz w:val="20"/>
          <w:szCs w:val="20"/>
        </w:rPr>
        <w:t xml:space="preserve">.  In </w:t>
      </w:r>
      <w:proofErr w:type="spellStart"/>
      <w:r w:rsidRPr="00F44906">
        <w:rPr>
          <w:rFonts w:cs="Arial"/>
          <w:i/>
          <w:iCs/>
          <w:sz w:val="20"/>
          <w:szCs w:val="20"/>
        </w:rPr>
        <w:t>Moaki</w:t>
      </w:r>
      <w:proofErr w:type="spellEnd"/>
      <w:r w:rsidRPr="00F44906">
        <w:rPr>
          <w:rFonts w:cs="Arial"/>
          <w:i/>
          <w:iCs/>
          <w:sz w:val="20"/>
          <w:szCs w:val="20"/>
        </w:rPr>
        <w:t xml:space="preserve"> v Reckitt &amp; Colman (Africa) Ltd and another</w:t>
      </w:r>
      <w:r w:rsidRPr="00F44906">
        <w:rPr>
          <w:rFonts w:cs="Arial"/>
          <w:sz w:val="20"/>
          <w:szCs w:val="20"/>
        </w:rPr>
        <w:t xml:space="preserve">, </w:t>
      </w:r>
      <w:proofErr w:type="spellStart"/>
      <w:r w:rsidRPr="00F44906">
        <w:rPr>
          <w:rFonts w:cs="Arial"/>
          <w:sz w:val="20"/>
          <w:szCs w:val="20"/>
        </w:rPr>
        <w:t>Wessels</w:t>
      </w:r>
      <w:proofErr w:type="spellEnd"/>
      <w:r w:rsidRPr="00F44906">
        <w:rPr>
          <w:rFonts w:cs="Arial"/>
          <w:sz w:val="20"/>
          <w:szCs w:val="20"/>
        </w:rPr>
        <w:t xml:space="preserve"> JA said:</w:t>
      </w:r>
    </w:p>
    <w:p w14:paraId="2A02CF31" w14:textId="27F57FE1" w:rsidR="008E4541" w:rsidRDefault="00F44906" w:rsidP="00731082">
      <w:pPr>
        <w:pStyle w:val="ListParagraph"/>
        <w:tabs>
          <w:tab w:val="left" w:pos="851"/>
        </w:tabs>
        <w:spacing w:before="120" w:after="120"/>
        <w:ind w:left="1985" w:right="1088"/>
        <w:contextualSpacing w:val="0"/>
        <w:rPr>
          <w:rFonts w:cs="Arial"/>
        </w:rPr>
      </w:pPr>
      <w:r w:rsidRPr="00F44906">
        <w:rPr>
          <w:rFonts w:cs="Arial"/>
          <w:sz w:val="20"/>
          <w:szCs w:val="20"/>
        </w:rPr>
        <w:t xml:space="preserve">“Where relief is claimed by this </w:t>
      </w:r>
      <w:proofErr w:type="spellStart"/>
      <w:r w:rsidRPr="00731082">
        <w:rPr>
          <w:rFonts w:cs="Arial"/>
          <w:i/>
          <w:iCs/>
          <w:sz w:val="20"/>
          <w:szCs w:val="20"/>
        </w:rPr>
        <w:t>actio</w:t>
      </w:r>
      <w:proofErr w:type="spellEnd"/>
      <w:r w:rsidRPr="00F44906">
        <w:rPr>
          <w:rFonts w:cs="Arial"/>
          <w:sz w:val="20"/>
          <w:szCs w:val="20"/>
        </w:rPr>
        <w:t xml:space="preserve"> the plaintiff must allege and prove that the defendant intended to injure (either </w:t>
      </w:r>
      <w:proofErr w:type="spellStart"/>
      <w:r w:rsidRPr="00731082">
        <w:rPr>
          <w:rFonts w:cs="Arial"/>
          <w:i/>
          <w:iCs/>
          <w:sz w:val="20"/>
          <w:szCs w:val="20"/>
        </w:rPr>
        <w:t>dolus</w:t>
      </w:r>
      <w:proofErr w:type="spellEnd"/>
      <w:r w:rsidRPr="00731082">
        <w:rPr>
          <w:rFonts w:cs="Arial"/>
          <w:i/>
          <w:iCs/>
          <w:sz w:val="20"/>
          <w:szCs w:val="20"/>
        </w:rPr>
        <w:t xml:space="preserve"> </w:t>
      </w:r>
      <w:proofErr w:type="spellStart"/>
      <w:r w:rsidRPr="00731082">
        <w:rPr>
          <w:rFonts w:cs="Arial"/>
          <w:i/>
          <w:iCs/>
          <w:sz w:val="20"/>
          <w:szCs w:val="20"/>
        </w:rPr>
        <w:t>directus</w:t>
      </w:r>
      <w:proofErr w:type="spellEnd"/>
      <w:r w:rsidRPr="00F44906">
        <w:rPr>
          <w:rFonts w:cs="Arial"/>
          <w:sz w:val="20"/>
          <w:szCs w:val="20"/>
        </w:rPr>
        <w:t xml:space="preserve"> or </w:t>
      </w:r>
      <w:proofErr w:type="spellStart"/>
      <w:r w:rsidRPr="00731082">
        <w:rPr>
          <w:rFonts w:cs="Arial"/>
          <w:i/>
          <w:iCs/>
          <w:sz w:val="20"/>
          <w:szCs w:val="20"/>
        </w:rPr>
        <w:t>indirectus</w:t>
      </w:r>
      <w:proofErr w:type="spellEnd"/>
      <w:r w:rsidRPr="00F44906">
        <w:rPr>
          <w:rFonts w:cs="Arial"/>
          <w:sz w:val="20"/>
          <w:szCs w:val="20"/>
        </w:rPr>
        <w:t>).  Save to the extent that it might afford evidence of the defendant’s true intention or might possibly be taken into account in fixing the quantum of damages, the motive of the defendant is not of any legal relevance</w:t>
      </w:r>
      <w:r w:rsidRPr="00F44906">
        <w:rPr>
          <w:rFonts w:cs="Arial"/>
        </w:rPr>
        <w:t>.”</w:t>
      </w:r>
      <w:r w:rsidR="008E4541">
        <w:rPr>
          <w:rFonts w:cs="Arial"/>
        </w:rPr>
        <w:t>’</w:t>
      </w:r>
    </w:p>
    <w:p w14:paraId="0928442A" w14:textId="1E738D30" w:rsidR="00C85696" w:rsidRDefault="00C85696" w:rsidP="00C85696">
      <w:pPr>
        <w:pStyle w:val="ListParagraph"/>
        <w:tabs>
          <w:tab w:val="left" w:pos="851"/>
        </w:tabs>
        <w:spacing w:before="360" w:after="120" w:line="480" w:lineRule="auto"/>
        <w:ind w:left="1276" w:right="1088"/>
        <w:contextualSpacing w:val="0"/>
        <w:rPr>
          <w:rFonts w:cs="Arial"/>
        </w:rPr>
      </w:pPr>
      <w:r>
        <w:rPr>
          <w:rFonts w:cs="Arial"/>
        </w:rPr>
        <w:t>(Own emphasis).</w:t>
      </w:r>
    </w:p>
    <w:p w14:paraId="34C43B7A" w14:textId="0B6E3CB7" w:rsidR="00600B23" w:rsidRPr="007F700D" w:rsidRDefault="007F700D" w:rsidP="007F700D">
      <w:pPr>
        <w:tabs>
          <w:tab w:val="left" w:pos="851"/>
        </w:tabs>
        <w:spacing w:before="360" w:after="120" w:line="480" w:lineRule="auto"/>
        <w:ind w:left="709" w:hanging="720"/>
        <w:rPr>
          <w:rFonts w:cs="Arial"/>
        </w:rPr>
      </w:pPr>
      <w:r w:rsidRPr="00600B23">
        <w:rPr>
          <w:rFonts w:cs="Arial"/>
        </w:rPr>
        <w:t>[37]</w:t>
      </w:r>
      <w:r w:rsidRPr="00600B23">
        <w:rPr>
          <w:rFonts w:cs="Arial"/>
        </w:rPr>
        <w:tab/>
      </w:r>
      <w:r w:rsidR="00D06E8C" w:rsidRPr="007F700D">
        <w:rPr>
          <w:rFonts w:cs="Arial"/>
        </w:rPr>
        <w:t>T</w:t>
      </w:r>
      <w:r w:rsidR="00600B23" w:rsidRPr="007F700D">
        <w:rPr>
          <w:rFonts w:cs="Arial"/>
        </w:rPr>
        <w:t xml:space="preserve">o succeed with a claim for malicious prosecution, a </w:t>
      </w:r>
      <w:r w:rsidR="00D06E8C" w:rsidRPr="007F700D">
        <w:rPr>
          <w:rFonts w:cs="Arial"/>
        </w:rPr>
        <w:t xml:space="preserve">plaintiff </w:t>
      </w:r>
      <w:r w:rsidR="00600B23" w:rsidRPr="007F700D">
        <w:rPr>
          <w:rFonts w:cs="Arial"/>
        </w:rPr>
        <w:t xml:space="preserve">must allege and prove </w:t>
      </w:r>
      <w:r w:rsidR="00925A9F" w:rsidRPr="007F700D">
        <w:rPr>
          <w:rFonts w:cs="Arial"/>
        </w:rPr>
        <w:t>that:</w:t>
      </w:r>
      <w:r w:rsidR="00650813">
        <w:rPr>
          <w:rStyle w:val="FootnoteReference"/>
          <w:rFonts w:cs="Arial"/>
        </w:rPr>
        <w:footnoteReference w:id="75"/>
      </w:r>
    </w:p>
    <w:p w14:paraId="0778A7EE" w14:textId="6D7EC3A8" w:rsidR="00600B23" w:rsidRPr="007F700D" w:rsidRDefault="007F700D" w:rsidP="007F700D">
      <w:pPr>
        <w:spacing w:before="360" w:after="120" w:line="480" w:lineRule="auto"/>
        <w:ind w:left="1560" w:hanging="851"/>
        <w:rPr>
          <w:rFonts w:cs="Arial"/>
        </w:rPr>
      </w:pPr>
      <w:r w:rsidRPr="00600B23">
        <w:rPr>
          <w:rFonts w:cs="Arial"/>
        </w:rPr>
        <w:t>[37.1]</w:t>
      </w:r>
      <w:r w:rsidRPr="00600B23">
        <w:rPr>
          <w:rFonts w:cs="Arial"/>
        </w:rPr>
        <w:tab/>
      </w:r>
      <w:r w:rsidR="00925A9F" w:rsidRPr="007F700D">
        <w:rPr>
          <w:rFonts w:cs="Arial"/>
        </w:rPr>
        <w:t>T</w:t>
      </w:r>
      <w:r w:rsidR="00600B23" w:rsidRPr="007F700D">
        <w:rPr>
          <w:rFonts w:cs="Arial"/>
        </w:rPr>
        <w:t>he defendant</w:t>
      </w:r>
      <w:r w:rsidR="00673BBF" w:rsidRPr="007F700D">
        <w:rPr>
          <w:rFonts w:cs="Arial"/>
        </w:rPr>
        <w:t>(</w:t>
      </w:r>
      <w:r w:rsidR="00600B23" w:rsidRPr="007F700D">
        <w:rPr>
          <w:rFonts w:cs="Arial"/>
        </w:rPr>
        <w:t>s</w:t>
      </w:r>
      <w:r w:rsidR="00673BBF" w:rsidRPr="007F700D">
        <w:rPr>
          <w:rFonts w:cs="Arial"/>
        </w:rPr>
        <w:t>)</w:t>
      </w:r>
      <w:r w:rsidR="00600B23" w:rsidRPr="007F700D">
        <w:rPr>
          <w:rFonts w:cs="Arial"/>
        </w:rPr>
        <w:t xml:space="preserve"> set the law in motion (</w:t>
      </w:r>
      <w:r w:rsidR="00925A9F" w:rsidRPr="007F700D">
        <w:rPr>
          <w:rFonts w:cs="Arial"/>
        </w:rPr>
        <w:t xml:space="preserve">i.e., </w:t>
      </w:r>
      <w:r w:rsidR="00600B23" w:rsidRPr="007F700D">
        <w:rPr>
          <w:rFonts w:cs="Arial"/>
        </w:rPr>
        <w:t>instigated or instituted the proceedings);</w:t>
      </w:r>
    </w:p>
    <w:p w14:paraId="0DC8EB89" w14:textId="6B9EDD66" w:rsidR="00600B23" w:rsidRPr="007F700D" w:rsidRDefault="007F700D" w:rsidP="007F700D">
      <w:pPr>
        <w:spacing w:before="360" w:after="120" w:line="480" w:lineRule="auto"/>
        <w:ind w:left="1560" w:hanging="851"/>
        <w:rPr>
          <w:rFonts w:cs="Arial"/>
        </w:rPr>
      </w:pPr>
      <w:r w:rsidRPr="00600B23">
        <w:rPr>
          <w:rFonts w:cs="Arial"/>
        </w:rPr>
        <w:t>[37.2]</w:t>
      </w:r>
      <w:r w:rsidRPr="00600B23">
        <w:rPr>
          <w:rFonts w:cs="Arial"/>
        </w:rPr>
        <w:tab/>
      </w:r>
      <w:r w:rsidR="00600B23" w:rsidRPr="007F700D">
        <w:rPr>
          <w:rFonts w:cs="Arial"/>
        </w:rPr>
        <w:t>the defendant</w:t>
      </w:r>
      <w:r w:rsidR="00661F3B" w:rsidRPr="007F700D">
        <w:rPr>
          <w:rFonts w:cs="Arial"/>
        </w:rPr>
        <w:t>(</w:t>
      </w:r>
      <w:r w:rsidR="00600B23" w:rsidRPr="007F700D">
        <w:rPr>
          <w:rFonts w:cs="Arial"/>
        </w:rPr>
        <w:t>s</w:t>
      </w:r>
      <w:r w:rsidR="00661F3B" w:rsidRPr="007F700D">
        <w:rPr>
          <w:rFonts w:cs="Arial"/>
        </w:rPr>
        <w:t>)</w:t>
      </w:r>
      <w:r w:rsidR="00600B23" w:rsidRPr="007F700D">
        <w:rPr>
          <w:rFonts w:cs="Arial"/>
        </w:rPr>
        <w:t xml:space="preserve"> acted without reasonable and probable cause;</w:t>
      </w:r>
    </w:p>
    <w:p w14:paraId="29AE879B" w14:textId="075A8221" w:rsidR="00600B23" w:rsidRPr="007F700D" w:rsidRDefault="007F700D" w:rsidP="007F700D">
      <w:pPr>
        <w:spacing w:before="360" w:after="120" w:line="480" w:lineRule="auto"/>
        <w:ind w:left="1560" w:hanging="851"/>
        <w:rPr>
          <w:rFonts w:cs="Arial"/>
        </w:rPr>
      </w:pPr>
      <w:r w:rsidRPr="00600B23">
        <w:rPr>
          <w:rFonts w:cs="Arial"/>
        </w:rPr>
        <w:t>[37.3]</w:t>
      </w:r>
      <w:r w:rsidRPr="00600B23">
        <w:rPr>
          <w:rFonts w:cs="Arial"/>
        </w:rPr>
        <w:tab/>
      </w:r>
      <w:r w:rsidR="00600B23" w:rsidRPr="007F700D">
        <w:rPr>
          <w:rFonts w:cs="Arial"/>
        </w:rPr>
        <w:t>the defendant</w:t>
      </w:r>
      <w:r w:rsidR="00661F3B" w:rsidRPr="007F700D">
        <w:rPr>
          <w:rFonts w:cs="Arial"/>
        </w:rPr>
        <w:t>(</w:t>
      </w:r>
      <w:r w:rsidR="00600B23" w:rsidRPr="007F700D">
        <w:rPr>
          <w:rFonts w:cs="Arial"/>
        </w:rPr>
        <w:t>s</w:t>
      </w:r>
      <w:r w:rsidR="00661F3B" w:rsidRPr="007F700D">
        <w:rPr>
          <w:rFonts w:cs="Arial"/>
        </w:rPr>
        <w:t>)</w:t>
      </w:r>
      <w:r w:rsidR="00600B23" w:rsidRPr="007F700D">
        <w:rPr>
          <w:rFonts w:cs="Arial"/>
        </w:rPr>
        <w:t xml:space="preserve"> acted with </w:t>
      </w:r>
      <w:r w:rsidR="00661F3B" w:rsidRPr="007F700D">
        <w:rPr>
          <w:rFonts w:cs="Arial"/>
        </w:rPr>
        <w:t>‘</w:t>
      </w:r>
      <w:r w:rsidR="00600B23" w:rsidRPr="007F700D">
        <w:rPr>
          <w:rFonts w:cs="Arial"/>
          <w:i/>
          <w:iCs/>
        </w:rPr>
        <w:t>malice</w:t>
      </w:r>
      <w:r w:rsidR="00661F3B" w:rsidRPr="007F700D">
        <w:rPr>
          <w:rFonts w:cs="Arial"/>
        </w:rPr>
        <w:t>’</w:t>
      </w:r>
      <w:r w:rsidR="00600B23" w:rsidRPr="007F700D">
        <w:rPr>
          <w:rFonts w:cs="Arial"/>
        </w:rPr>
        <w:t xml:space="preserve"> (or </w:t>
      </w:r>
      <w:proofErr w:type="spellStart"/>
      <w:r w:rsidR="00600B23" w:rsidRPr="007F700D">
        <w:rPr>
          <w:rFonts w:cs="Arial"/>
          <w:i/>
          <w:iCs/>
        </w:rPr>
        <w:t>animo</w:t>
      </w:r>
      <w:proofErr w:type="spellEnd"/>
      <w:r w:rsidR="00600B23" w:rsidRPr="007F700D">
        <w:rPr>
          <w:rFonts w:cs="Arial"/>
          <w:i/>
          <w:iCs/>
        </w:rPr>
        <w:t xml:space="preserve"> </w:t>
      </w:r>
      <w:proofErr w:type="spellStart"/>
      <w:r w:rsidR="00600B23" w:rsidRPr="007F700D">
        <w:rPr>
          <w:rFonts w:cs="Arial"/>
          <w:i/>
          <w:iCs/>
        </w:rPr>
        <w:t>injuriandi</w:t>
      </w:r>
      <w:proofErr w:type="spellEnd"/>
      <w:r w:rsidR="00600B23" w:rsidRPr="007F700D">
        <w:rPr>
          <w:rFonts w:cs="Arial"/>
        </w:rPr>
        <w:t>); and</w:t>
      </w:r>
    </w:p>
    <w:p w14:paraId="7AED9CBF" w14:textId="4D40F470" w:rsidR="00544E8F" w:rsidRPr="007F700D" w:rsidRDefault="007F700D" w:rsidP="007F700D">
      <w:pPr>
        <w:spacing w:before="360" w:after="120" w:line="480" w:lineRule="auto"/>
        <w:ind w:left="1560" w:hanging="851"/>
        <w:rPr>
          <w:rFonts w:cs="Arial"/>
        </w:rPr>
      </w:pPr>
      <w:r w:rsidRPr="008E4541">
        <w:rPr>
          <w:rFonts w:cs="Arial"/>
        </w:rPr>
        <w:t>[37.4]</w:t>
      </w:r>
      <w:r w:rsidRPr="008E4541">
        <w:rPr>
          <w:rFonts w:cs="Arial"/>
        </w:rPr>
        <w:tab/>
      </w:r>
      <w:r w:rsidR="00600B23" w:rsidRPr="007F700D">
        <w:rPr>
          <w:rFonts w:cs="Arial"/>
        </w:rPr>
        <w:t>the prosecution has failed.</w:t>
      </w:r>
    </w:p>
    <w:p w14:paraId="30474BF3" w14:textId="46001A45" w:rsidR="00C85696" w:rsidRPr="00C85696" w:rsidRDefault="00C85696" w:rsidP="00C85696">
      <w:pPr>
        <w:tabs>
          <w:tab w:val="left" w:pos="851"/>
        </w:tabs>
        <w:spacing w:before="360" w:after="120" w:line="480" w:lineRule="auto"/>
        <w:rPr>
          <w:rFonts w:cs="Arial"/>
        </w:rPr>
      </w:pPr>
      <w:r w:rsidRPr="00C85696">
        <w:rPr>
          <w:rFonts w:cs="Arial"/>
          <w:b/>
          <w:bCs/>
          <w:i/>
          <w:iCs/>
        </w:rPr>
        <w:lastRenderedPageBreak/>
        <w:t xml:space="preserve">Mr </w:t>
      </w:r>
      <w:proofErr w:type="spellStart"/>
      <w:r w:rsidRPr="00C85696">
        <w:rPr>
          <w:rFonts w:cs="Arial"/>
          <w:b/>
          <w:bCs/>
          <w:i/>
          <w:iCs/>
        </w:rPr>
        <w:t>Mangasa’s</w:t>
      </w:r>
      <w:proofErr w:type="spellEnd"/>
      <w:r w:rsidRPr="00C85696">
        <w:rPr>
          <w:rFonts w:cs="Arial"/>
          <w:b/>
          <w:bCs/>
          <w:i/>
          <w:iCs/>
        </w:rPr>
        <w:t xml:space="preserve"> </w:t>
      </w:r>
      <w:r>
        <w:rPr>
          <w:rFonts w:cs="Arial"/>
          <w:b/>
          <w:bCs/>
          <w:i/>
          <w:iCs/>
        </w:rPr>
        <w:t xml:space="preserve">different </w:t>
      </w:r>
      <w:r w:rsidRPr="00C85696">
        <w:rPr>
          <w:rFonts w:cs="Arial"/>
          <w:b/>
          <w:bCs/>
          <w:i/>
          <w:iCs/>
        </w:rPr>
        <w:t>causes of action</w:t>
      </w:r>
      <w:r>
        <w:rPr>
          <w:rFonts w:cs="Arial"/>
        </w:rPr>
        <w:t>:</w:t>
      </w:r>
    </w:p>
    <w:p w14:paraId="36F40A91" w14:textId="10E277D2" w:rsidR="00C85696" w:rsidRPr="007F700D" w:rsidRDefault="007F700D" w:rsidP="007F700D">
      <w:pPr>
        <w:tabs>
          <w:tab w:val="left" w:pos="851"/>
        </w:tabs>
        <w:spacing w:before="360" w:after="120" w:line="480" w:lineRule="auto"/>
        <w:ind w:left="709" w:hanging="720"/>
        <w:rPr>
          <w:rFonts w:cs="Arial"/>
        </w:rPr>
      </w:pPr>
      <w:r>
        <w:rPr>
          <w:rFonts w:cs="Arial"/>
        </w:rPr>
        <w:t>[38]</w:t>
      </w:r>
      <w:r>
        <w:rPr>
          <w:rFonts w:cs="Arial"/>
        </w:rPr>
        <w:tab/>
      </w:r>
      <w:r w:rsidR="00C85696" w:rsidRPr="007F700D">
        <w:rPr>
          <w:rFonts w:cs="Arial"/>
        </w:rPr>
        <w:t xml:space="preserve">Mr </w:t>
      </w:r>
      <w:proofErr w:type="spellStart"/>
      <w:r w:rsidR="00C85696" w:rsidRPr="007F700D">
        <w:rPr>
          <w:rFonts w:cs="Arial"/>
        </w:rPr>
        <w:t>Mangasa’s</w:t>
      </w:r>
      <w:proofErr w:type="spellEnd"/>
      <w:r w:rsidR="00C85696" w:rsidRPr="007F700D">
        <w:rPr>
          <w:rFonts w:cs="Arial"/>
        </w:rPr>
        <w:t xml:space="preserve"> particulars of claim </w:t>
      </w:r>
      <w:r w:rsidR="00D336D6" w:rsidRPr="007F700D">
        <w:rPr>
          <w:rFonts w:cs="Arial"/>
        </w:rPr>
        <w:t>is</w:t>
      </w:r>
      <w:r w:rsidR="00C85696" w:rsidRPr="007F700D">
        <w:rPr>
          <w:rFonts w:cs="Arial"/>
        </w:rPr>
        <w:t xml:space="preserve"> by no means a model of clarity.  Nonetheless, the averments made therein reveal that Mr </w:t>
      </w:r>
      <w:proofErr w:type="spellStart"/>
      <w:r w:rsidR="00C85696" w:rsidRPr="007F700D">
        <w:rPr>
          <w:rFonts w:cs="Arial"/>
        </w:rPr>
        <w:t>Mangasa</w:t>
      </w:r>
      <w:proofErr w:type="spellEnd"/>
      <w:r w:rsidR="00C85696" w:rsidRPr="007F700D">
        <w:rPr>
          <w:rFonts w:cs="Arial"/>
        </w:rPr>
        <w:t xml:space="preserve"> contends that: </w:t>
      </w:r>
      <w:r w:rsidR="00E943F9" w:rsidRPr="007F700D">
        <w:rPr>
          <w:rFonts w:cs="Arial"/>
        </w:rPr>
        <w:t>(</w:t>
      </w:r>
      <w:proofErr w:type="spellStart"/>
      <w:r w:rsidR="00E943F9" w:rsidRPr="007F700D">
        <w:rPr>
          <w:rFonts w:cs="Arial"/>
        </w:rPr>
        <w:t>i</w:t>
      </w:r>
      <w:proofErr w:type="spellEnd"/>
      <w:r w:rsidR="00E943F9" w:rsidRPr="007F700D">
        <w:rPr>
          <w:rFonts w:cs="Arial"/>
        </w:rPr>
        <w:t>) Captain Zulu assaulted him and caused and injury to his eye;</w:t>
      </w:r>
      <w:r w:rsidR="00E943F9">
        <w:rPr>
          <w:rStyle w:val="FootnoteReference"/>
          <w:rFonts w:cs="Arial"/>
        </w:rPr>
        <w:footnoteReference w:id="76"/>
      </w:r>
      <w:r w:rsidR="00E943F9" w:rsidRPr="007F700D">
        <w:rPr>
          <w:rFonts w:cs="Arial"/>
        </w:rPr>
        <w:t xml:space="preserve"> </w:t>
      </w:r>
      <w:r w:rsidR="00C85696" w:rsidRPr="007F700D">
        <w:rPr>
          <w:rFonts w:cs="Arial"/>
        </w:rPr>
        <w:t>(i</w:t>
      </w:r>
      <w:r w:rsidR="00E943F9" w:rsidRPr="007F700D">
        <w:rPr>
          <w:rFonts w:cs="Arial"/>
        </w:rPr>
        <w:t>i</w:t>
      </w:r>
      <w:r w:rsidR="00C85696" w:rsidRPr="007F700D">
        <w:rPr>
          <w:rFonts w:cs="Arial"/>
        </w:rPr>
        <w:t xml:space="preserve">) he was unlawfully and </w:t>
      </w:r>
      <w:r w:rsidR="00C85696" w:rsidRPr="007F700D">
        <w:rPr>
          <w:rFonts w:cs="Arial"/>
          <w:i/>
          <w:iCs/>
        </w:rPr>
        <w:t>maliciously</w:t>
      </w:r>
      <w:r w:rsidR="00C85696" w:rsidRPr="0015447E">
        <w:rPr>
          <w:rStyle w:val="FootnoteReference"/>
          <w:rFonts w:cs="Arial"/>
        </w:rPr>
        <w:footnoteReference w:id="77"/>
      </w:r>
      <w:r w:rsidR="00C85696" w:rsidRPr="007F700D">
        <w:rPr>
          <w:rFonts w:cs="Arial"/>
        </w:rPr>
        <w:t xml:space="preserve"> arrested and detained;</w:t>
      </w:r>
      <w:r w:rsidR="00C85696">
        <w:rPr>
          <w:rStyle w:val="FootnoteReference"/>
          <w:rFonts w:cs="Arial"/>
        </w:rPr>
        <w:footnoteReference w:id="78"/>
      </w:r>
      <w:r w:rsidR="00C85696" w:rsidRPr="007F700D">
        <w:rPr>
          <w:rFonts w:cs="Arial"/>
        </w:rPr>
        <w:t xml:space="preserve"> (ii</w:t>
      </w:r>
      <w:r w:rsidR="00E943F9" w:rsidRPr="007F700D">
        <w:rPr>
          <w:rFonts w:cs="Arial"/>
        </w:rPr>
        <w:t>i</w:t>
      </w:r>
      <w:r w:rsidR="00C85696" w:rsidRPr="007F700D">
        <w:rPr>
          <w:rFonts w:cs="Arial"/>
        </w:rPr>
        <w:t>) he was handcuffed and unlawfully detained;</w:t>
      </w:r>
      <w:r w:rsidR="00C85696">
        <w:rPr>
          <w:rStyle w:val="FootnoteReference"/>
          <w:rFonts w:cs="Arial"/>
        </w:rPr>
        <w:footnoteReference w:id="79"/>
      </w:r>
      <w:r w:rsidR="00C85696" w:rsidRPr="007F700D">
        <w:rPr>
          <w:rFonts w:cs="Arial"/>
        </w:rPr>
        <w:t xml:space="preserve"> (i</w:t>
      </w:r>
      <w:r w:rsidR="00E943F9" w:rsidRPr="007F700D">
        <w:rPr>
          <w:rFonts w:cs="Arial"/>
        </w:rPr>
        <w:t>v</w:t>
      </w:r>
      <w:r w:rsidR="00C85696" w:rsidRPr="007F700D">
        <w:rPr>
          <w:rFonts w:cs="Arial"/>
        </w:rPr>
        <w:t>) his aforesaid ‘</w:t>
      </w:r>
      <w:r w:rsidR="00C85696" w:rsidRPr="007F700D">
        <w:rPr>
          <w:rFonts w:cs="Arial"/>
          <w:i/>
          <w:iCs/>
        </w:rPr>
        <w:t>incarceration</w:t>
      </w:r>
      <w:r w:rsidR="00C85696" w:rsidRPr="007F700D">
        <w:rPr>
          <w:rFonts w:cs="Arial"/>
        </w:rPr>
        <w:t xml:space="preserve">’ was caused by, among others, the </w:t>
      </w:r>
      <w:r w:rsidR="00C85696" w:rsidRPr="007F700D">
        <w:rPr>
          <w:rFonts w:cs="Arial"/>
          <w:i/>
          <w:iCs/>
        </w:rPr>
        <w:t>malicious actions</w:t>
      </w:r>
      <w:r w:rsidR="00C85696" w:rsidRPr="007F700D">
        <w:rPr>
          <w:rFonts w:cs="Arial"/>
        </w:rPr>
        <w:t xml:space="preserve"> of the Minister and Captain Zulu;</w:t>
      </w:r>
      <w:r w:rsidR="00C85696">
        <w:rPr>
          <w:rStyle w:val="FootnoteReference"/>
          <w:rFonts w:cs="Arial"/>
        </w:rPr>
        <w:footnoteReference w:id="80"/>
      </w:r>
      <w:r w:rsidR="00C85696" w:rsidRPr="007F700D">
        <w:rPr>
          <w:rFonts w:cs="Arial"/>
        </w:rPr>
        <w:t xml:space="preserve"> (v) the Minister ‘… </w:t>
      </w:r>
      <w:r w:rsidR="00C85696" w:rsidRPr="007F700D">
        <w:rPr>
          <w:rFonts w:cs="Arial"/>
          <w:i/>
          <w:iCs/>
        </w:rPr>
        <w:t>set wheels justice on motion</w:t>
      </w:r>
      <w:r w:rsidR="00C85696" w:rsidRPr="007F700D">
        <w:rPr>
          <w:rFonts w:cs="Arial"/>
        </w:rPr>
        <w:t>’ [</w:t>
      </w:r>
      <w:r w:rsidR="00C85696" w:rsidRPr="007F700D">
        <w:rPr>
          <w:rFonts w:cs="Arial"/>
          <w:b/>
          <w:bCs/>
        </w:rPr>
        <w:t>sic</w:t>
      </w:r>
      <w:r w:rsidR="00C85696" w:rsidRPr="007F700D">
        <w:rPr>
          <w:rFonts w:cs="Arial"/>
        </w:rPr>
        <w:t>];</w:t>
      </w:r>
      <w:r w:rsidR="00C85696">
        <w:rPr>
          <w:rStyle w:val="FootnoteReference"/>
          <w:rFonts w:cs="Arial"/>
        </w:rPr>
        <w:footnoteReference w:id="81"/>
      </w:r>
      <w:r w:rsidR="00C85696" w:rsidRPr="007F700D">
        <w:rPr>
          <w:rFonts w:cs="Arial"/>
        </w:rPr>
        <w:t xml:space="preserve"> and (v</w:t>
      </w:r>
      <w:r w:rsidR="00E943F9" w:rsidRPr="007F700D">
        <w:rPr>
          <w:rFonts w:cs="Arial"/>
        </w:rPr>
        <w:t>i</w:t>
      </w:r>
      <w:r w:rsidR="00C85696" w:rsidRPr="007F700D">
        <w:rPr>
          <w:rFonts w:cs="Arial"/>
        </w:rPr>
        <w:t xml:space="preserve">) he had additionally suffered a deprivation of his freedom and bodily security, </w:t>
      </w:r>
      <w:r w:rsidR="007B23EF" w:rsidRPr="007F700D">
        <w:rPr>
          <w:rFonts w:cs="Arial"/>
        </w:rPr>
        <w:t xml:space="preserve">and </w:t>
      </w:r>
      <w:r w:rsidR="00C85696" w:rsidRPr="007F700D">
        <w:rPr>
          <w:rFonts w:cs="Arial"/>
        </w:rPr>
        <w:t xml:space="preserve">an impairment of his person, dignity and reputation.  </w:t>
      </w:r>
    </w:p>
    <w:p w14:paraId="687F5C27" w14:textId="636212CB" w:rsidR="00C85696" w:rsidRPr="007F700D" w:rsidRDefault="007F700D" w:rsidP="007F700D">
      <w:pPr>
        <w:tabs>
          <w:tab w:val="left" w:pos="851"/>
        </w:tabs>
        <w:spacing w:before="360" w:after="120" w:line="480" w:lineRule="auto"/>
        <w:ind w:left="709" w:hanging="720"/>
        <w:rPr>
          <w:rFonts w:cs="Arial"/>
        </w:rPr>
      </w:pPr>
      <w:r>
        <w:rPr>
          <w:rFonts w:cs="Arial"/>
        </w:rPr>
        <w:t>[39]</w:t>
      </w:r>
      <w:r>
        <w:rPr>
          <w:rFonts w:cs="Arial"/>
        </w:rPr>
        <w:tab/>
      </w:r>
      <w:r w:rsidR="00D336D6" w:rsidRPr="007F700D">
        <w:rPr>
          <w:rFonts w:cs="Arial"/>
        </w:rPr>
        <w:t>All t</w:t>
      </w:r>
      <w:r w:rsidR="00C85696" w:rsidRPr="007F700D">
        <w:rPr>
          <w:rFonts w:cs="Arial"/>
        </w:rPr>
        <w:t>hese</w:t>
      </w:r>
      <w:r w:rsidR="00D04EF9" w:rsidRPr="007F700D">
        <w:rPr>
          <w:rFonts w:cs="Arial"/>
        </w:rPr>
        <w:t xml:space="preserve"> </w:t>
      </w:r>
      <w:r w:rsidR="00495060" w:rsidRPr="007F700D">
        <w:rPr>
          <w:rFonts w:cs="Arial"/>
        </w:rPr>
        <w:t>(</w:t>
      </w:r>
      <w:r w:rsidR="00D04EF9" w:rsidRPr="007F700D">
        <w:rPr>
          <w:rFonts w:cs="Arial"/>
        </w:rPr>
        <w:t>allegedly</w:t>
      </w:r>
      <w:r w:rsidR="00495060" w:rsidRPr="007F700D">
        <w:rPr>
          <w:rFonts w:cs="Arial"/>
        </w:rPr>
        <w:t>)</w:t>
      </w:r>
      <w:r w:rsidR="00C85696" w:rsidRPr="007F700D">
        <w:rPr>
          <w:rFonts w:cs="Arial"/>
        </w:rPr>
        <w:t xml:space="preserve"> </w:t>
      </w:r>
      <w:r w:rsidR="00E943F9" w:rsidRPr="007F700D">
        <w:rPr>
          <w:rFonts w:cs="Arial"/>
        </w:rPr>
        <w:t xml:space="preserve">infringed facets </w:t>
      </w:r>
      <w:r w:rsidR="00C85696" w:rsidRPr="007F700D">
        <w:rPr>
          <w:rFonts w:cs="Arial"/>
        </w:rPr>
        <w:t xml:space="preserve">of Mr </w:t>
      </w:r>
      <w:proofErr w:type="spellStart"/>
      <w:r w:rsidR="00C85696" w:rsidRPr="007F700D">
        <w:rPr>
          <w:rFonts w:cs="Arial"/>
        </w:rPr>
        <w:t>Mangasa’s</w:t>
      </w:r>
      <w:proofErr w:type="spellEnd"/>
      <w:r w:rsidR="00C85696" w:rsidRPr="007F700D">
        <w:rPr>
          <w:rFonts w:cs="Arial"/>
        </w:rPr>
        <w:t xml:space="preserve"> personality are protected by various provisions of the Bill of Rights in the Constitution of the Republic of South Africa, 1996 (</w:t>
      </w:r>
      <w:r w:rsidR="00C85696" w:rsidRPr="007F700D">
        <w:rPr>
          <w:rFonts w:cs="Arial"/>
          <w:b/>
          <w:bCs/>
        </w:rPr>
        <w:t>the Constitution</w:t>
      </w:r>
      <w:r w:rsidR="00C85696" w:rsidRPr="007F700D">
        <w:rPr>
          <w:rFonts w:cs="Arial"/>
        </w:rPr>
        <w:t xml:space="preserve">).  So, for example, </w:t>
      </w:r>
      <w:r w:rsidR="00D17178" w:rsidRPr="007F700D">
        <w:rPr>
          <w:rFonts w:cs="Arial"/>
        </w:rPr>
        <w:t xml:space="preserve">Mr </w:t>
      </w:r>
      <w:proofErr w:type="spellStart"/>
      <w:r w:rsidR="00D17178" w:rsidRPr="007F700D">
        <w:rPr>
          <w:rFonts w:cs="Arial"/>
        </w:rPr>
        <w:t>Mangasa’s</w:t>
      </w:r>
      <w:proofErr w:type="spellEnd"/>
      <w:r w:rsidR="00E943F9" w:rsidRPr="007F700D">
        <w:rPr>
          <w:rFonts w:cs="Arial"/>
        </w:rPr>
        <w:t xml:space="preserve"> </w:t>
      </w:r>
      <w:r w:rsidR="00C85696" w:rsidRPr="007F700D">
        <w:rPr>
          <w:rFonts w:cs="Arial"/>
        </w:rPr>
        <w:t>human dignity is protected by s 10 thereof (</w:t>
      </w:r>
      <w:r w:rsidR="00C85696" w:rsidRPr="007F700D">
        <w:rPr>
          <w:rFonts w:cs="Arial"/>
          <w:i/>
          <w:iCs/>
        </w:rPr>
        <w:t>Everyone has inherent dignity and the right to have their dignity respected and protected</w:t>
      </w:r>
      <w:r w:rsidR="00C85696" w:rsidRPr="007F700D">
        <w:rPr>
          <w:rFonts w:cs="Arial"/>
        </w:rPr>
        <w:t xml:space="preserve">); and </w:t>
      </w:r>
      <w:r w:rsidR="00D17178" w:rsidRPr="007F700D">
        <w:rPr>
          <w:rFonts w:cs="Arial"/>
        </w:rPr>
        <w:t xml:space="preserve">Mr </w:t>
      </w:r>
      <w:proofErr w:type="spellStart"/>
      <w:r w:rsidR="00D17178" w:rsidRPr="007F700D">
        <w:rPr>
          <w:rFonts w:cs="Arial"/>
        </w:rPr>
        <w:t>Mangasa’s</w:t>
      </w:r>
      <w:proofErr w:type="spellEnd"/>
      <w:r w:rsidR="00D17178" w:rsidRPr="007F700D">
        <w:rPr>
          <w:rFonts w:cs="Arial"/>
        </w:rPr>
        <w:t xml:space="preserve"> </w:t>
      </w:r>
      <w:r w:rsidR="00C85696" w:rsidRPr="007F700D">
        <w:rPr>
          <w:rFonts w:cs="Arial"/>
        </w:rPr>
        <w:t>freedom and security of the person is protected by s 12(1) thereof (</w:t>
      </w:r>
      <w:r w:rsidR="00C85696" w:rsidRPr="007F700D">
        <w:rPr>
          <w:rFonts w:cs="Arial"/>
          <w:i/>
          <w:iCs/>
        </w:rPr>
        <w:t xml:space="preserve">Everyone has the right to </w:t>
      </w:r>
      <w:r w:rsidR="00C85696" w:rsidRPr="007F700D">
        <w:rPr>
          <w:rFonts w:cs="Arial"/>
          <w:i/>
          <w:iCs/>
        </w:rPr>
        <w:lastRenderedPageBreak/>
        <w:t>freedom and security of the person, which includes the right … not to be deprived of freedom arbitrarily or without just cause</w:t>
      </w:r>
      <w:r w:rsidR="00C85696" w:rsidRPr="007F700D">
        <w:rPr>
          <w:rFonts w:cs="Arial"/>
        </w:rPr>
        <w:t xml:space="preserve">).  </w:t>
      </w:r>
    </w:p>
    <w:p w14:paraId="0721D247" w14:textId="22E00336" w:rsidR="00731082" w:rsidRPr="007F700D" w:rsidRDefault="007F700D" w:rsidP="007F700D">
      <w:pPr>
        <w:tabs>
          <w:tab w:val="left" w:pos="851"/>
        </w:tabs>
        <w:spacing w:before="360" w:after="120" w:line="480" w:lineRule="auto"/>
        <w:ind w:left="709" w:hanging="720"/>
        <w:rPr>
          <w:rFonts w:cs="Arial"/>
        </w:rPr>
      </w:pPr>
      <w:r w:rsidRPr="008B5284">
        <w:rPr>
          <w:rFonts w:cs="Arial"/>
        </w:rPr>
        <w:t>[40]</w:t>
      </w:r>
      <w:r w:rsidRPr="008B5284">
        <w:rPr>
          <w:rFonts w:cs="Arial"/>
        </w:rPr>
        <w:tab/>
      </w:r>
      <w:r w:rsidR="00D336D6" w:rsidRPr="007F700D">
        <w:rPr>
          <w:rFonts w:cs="Arial"/>
        </w:rPr>
        <w:t>Actionable relief for such infringements is claim</w:t>
      </w:r>
      <w:r w:rsidR="008B5284" w:rsidRPr="007F700D">
        <w:rPr>
          <w:rFonts w:cs="Arial"/>
        </w:rPr>
        <w:t>able under</w:t>
      </w:r>
      <w:r w:rsidR="00D336D6" w:rsidRPr="007F700D">
        <w:rPr>
          <w:rFonts w:cs="Arial"/>
        </w:rPr>
        <w:t xml:space="preserve"> the </w:t>
      </w:r>
      <w:proofErr w:type="spellStart"/>
      <w:r w:rsidR="00D336D6" w:rsidRPr="007F700D">
        <w:rPr>
          <w:rFonts w:cs="Arial"/>
          <w:i/>
          <w:iCs/>
        </w:rPr>
        <w:t>actio</w:t>
      </w:r>
      <w:proofErr w:type="spellEnd"/>
      <w:r w:rsidR="00D336D6" w:rsidRPr="007F700D">
        <w:rPr>
          <w:rFonts w:cs="Arial"/>
          <w:i/>
          <w:iCs/>
        </w:rPr>
        <w:t xml:space="preserve"> </w:t>
      </w:r>
      <w:proofErr w:type="spellStart"/>
      <w:r w:rsidR="00D336D6" w:rsidRPr="007F700D">
        <w:rPr>
          <w:rFonts w:cs="Arial"/>
          <w:i/>
          <w:iCs/>
        </w:rPr>
        <w:t>iniuriarum</w:t>
      </w:r>
      <w:proofErr w:type="spellEnd"/>
      <w:r w:rsidR="00D336D6" w:rsidRPr="007F700D">
        <w:rPr>
          <w:rFonts w:cs="Arial"/>
        </w:rPr>
        <w:t>.</w:t>
      </w:r>
      <w:r w:rsidR="008B5284" w:rsidRPr="007F700D">
        <w:rPr>
          <w:rFonts w:cs="Arial"/>
        </w:rPr>
        <w:t xml:space="preserve">  In this instance, Mr </w:t>
      </w:r>
      <w:proofErr w:type="spellStart"/>
      <w:r w:rsidR="008B5284" w:rsidRPr="007F700D">
        <w:rPr>
          <w:rFonts w:cs="Arial"/>
        </w:rPr>
        <w:t>Mangasa’s</w:t>
      </w:r>
      <w:proofErr w:type="spellEnd"/>
      <w:r w:rsidR="008B5284" w:rsidRPr="007F700D">
        <w:rPr>
          <w:rFonts w:cs="Arial"/>
        </w:rPr>
        <w:t xml:space="preserve"> claims for assault and malicious arrest and detention are included </w:t>
      </w:r>
      <w:r w:rsidR="001B5B28" w:rsidRPr="007F700D">
        <w:rPr>
          <w:rFonts w:cs="Arial"/>
        </w:rPr>
        <w:t xml:space="preserve">in his particulars of </w:t>
      </w:r>
      <w:r w:rsidR="0054751E" w:rsidRPr="007F700D">
        <w:rPr>
          <w:rFonts w:cs="Arial"/>
        </w:rPr>
        <w:t xml:space="preserve">claim </w:t>
      </w:r>
      <w:r w:rsidR="008B5284" w:rsidRPr="007F700D">
        <w:rPr>
          <w:rFonts w:cs="Arial"/>
        </w:rPr>
        <w:t xml:space="preserve">under, what is referred to </w:t>
      </w:r>
      <w:r w:rsidR="001B5B28" w:rsidRPr="007F700D">
        <w:rPr>
          <w:rFonts w:cs="Arial"/>
        </w:rPr>
        <w:t xml:space="preserve">therein </w:t>
      </w:r>
      <w:r w:rsidR="008B5284" w:rsidRPr="007F700D">
        <w:rPr>
          <w:rFonts w:cs="Arial"/>
        </w:rPr>
        <w:t>as, ‘</w:t>
      </w:r>
      <w:r w:rsidR="008B5284" w:rsidRPr="007F700D">
        <w:rPr>
          <w:rFonts w:cs="Arial"/>
          <w:i/>
          <w:iCs/>
        </w:rPr>
        <w:t>Claim A</w:t>
      </w:r>
      <w:r w:rsidR="008B5284" w:rsidRPr="007F700D">
        <w:rPr>
          <w:rFonts w:cs="Arial"/>
        </w:rPr>
        <w:t xml:space="preserve">’, while </w:t>
      </w:r>
      <w:r w:rsidR="0054751E" w:rsidRPr="007F700D">
        <w:rPr>
          <w:rFonts w:cs="Arial"/>
        </w:rPr>
        <w:t>the</w:t>
      </w:r>
      <w:r w:rsidR="008B5284" w:rsidRPr="007F700D">
        <w:rPr>
          <w:rFonts w:cs="Arial"/>
        </w:rPr>
        <w:t xml:space="preserve"> claim for malicious prosecution is included</w:t>
      </w:r>
      <w:r w:rsidR="0054751E" w:rsidRPr="007F700D">
        <w:rPr>
          <w:rFonts w:cs="Arial"/>
        </w:rPr>
        <w:t xml:space="preserve"> therein</w:t>
      </w:r>
      <w:r w:rsidR="008B5284" w:rsidRPr="007F700D">
        <w:rPr>
          <w:rFonts w:cs="Arial"/>
        </w:rPr>
        <w:t xml:space="preserve"> under ‘</w:t>
      </w:r>
      <w:r w:rsidR="008B5284" w:rsidRPr="007F700D">
        <w:rPr>
          <w:rFonts w:cs="Arial"/>
          <w:i/>
          <w:iCs/>
        </w:rPr>
        <w:t>Claim B</w:t>
      </w:r>
      <w:r w:rsidR="008B5284" w:rsidRPr="007F700D">
        <w:rPr>
          <w:rFonts w:cs="Arial"/>
        </w:rPr>
        <w:t>’.</w:t>
      </w:r>
    </w:p>
    <w:p w14:paraId="5C7CA0F4" w14:textId="149E2E2B" w:rsidR="00D17DF7" w:rsidRPr="001D26B8" w:rsidRDefault="008B5284" w:rsidP="00731082">
      <w:pPr>
        <w:spacing w:before="360" w:after="120" w:line="480" w:lineRule="auto"/>
        <w:rPr>
          <w:rFonts w:cs="Arial"/>
          <w:b/>
          <w:bCs/>
        </w:rPr>
      </w:pPr>
      <w:r>
        <w:rPr>
          <w:rFonts w:cs="Arial"/>
          <w:b/>
          <w:bCs/>
          <w:i/>
          <w:iCs/>
        </w:rPr>
        <w:t>When did t</w:t>
      </w:r>
      <w:r w:rsidR="00D17DF7" w:rsidRPr="00541A4E">
        <w:rPr>
          <w:rFonts w:cs="Arial"/>
          <w:b/>
          <w:bCs/>
          <w:i/>
          <w:iCs/>
        </w:rPr>
        <w:t xml:space="preserve">he </w:t>
      </w:r>
      <w:r w:rsidR="00F3204B" w:rsidRPr="00541A4E">
        <w:rPr>
          <w:rFonts w:cs="Arial"/>
          <w:b/>
          <w:bCs/>
          <w:i/>
          <w:iCs/>
        </w:rPr>
        <w:t xml:space="preserve">claim for </w:t>
      </w:r>
      <w:r w:rsidR="00541A4E" w:rsidRPr="00541A4E">
        <w:rPr>
          <w:rFonts w:cs="Arial"/>
          <w:b/>
          <w:bCs/>
          <w:i/>
          <w:iCs/>
        </w:rPr>
        <w:t xml:space="preserve">the alleged </w:t>
      </w:r>
      <w:r w:rsidR="00F3204B" w:rsidRPr="00541A4E">
        <w:rPr>
          <w:rFonts w:cs="Arial"/>
          <w:b/>
          <w:bCs/>
          <w:i/>
          <w:iCs/>
        </w:rPr>
        <w:t>assault</w:t>
      </w:r>
      <w:r>
        <w:rPr>
          <w:rFonts w:cs="Arial"/>
          <w:b/>
          <w:bCs/>
          <w:i/>
          <w:iCs/>
        </w:rPr>
        <w:t xml:space="preserve"> become due</w:t>
      </w:r>
      <w:r w:rsidR="001D26B8" w:rsidRPr="001D26B8">
        <w:rPr>
          <w:rFonts w:cs="Arial"/>
          <w:b/>
          <w:bCs/>
          <w:i/>
          <w:iCs/>
        </w:rPr>
        <w:t>?</w:t>
      </w:r>
    </w:p>
    <w:p w14:paraId="0D7D0F44" w14:textId="3E756F93" w:rsidR="008F15A5" w:rsidRPr="007F700D" w:rsidRDefault="007F700D" w:rsidP="007F700D">
      <w:pPr>
        <w:spacing w:before="360" w:after="120" w:line="480" w:lineRule="auto"/>
        <w:ind w:left="709" w:hanging="720"/>
        <w:rPr>
          <w:rFonts w:cs="Arial"/>
        </w:rPr>
      </w:pPr>
      <w:r w:rsidRPr="00102DC0">
        <w:rPr>
          <w:rFonts w:cs="Arial"/>
        </w:rPr>
        <w:t>[41]</w:t>
      </w:r>
      <w:r w:rsidRPr="00102DC0">
        <w:rPr>
          <w:rFonts w:cs="Arial"/>
        </w:rPr>
        <w:tab/>
      </w:r>
      <w:r w:rsidR="002337D5" w:rsidRPr="007F700D">
        <w:rPr>
          <w:rFonts w:cs="Arial"/>
        </w:rPr>
        <w:t xml:space="preserve">The Minister’s </w:t>
      </w:r>
      <w:r w:rsidR="001E0E72" w:rsidRPr="007F700D">
        <w:rPr>
          <w:rFonts w:cs="Arial"/>
        </w:rPr>
        <w:t>approach</w:t>
      </w:r>
      <w:r w:rsidR="00DB233A" w:rsidRPr="007F700D">
        <w:rPr>
          <w:rFonts w:cs="Arial"/>
        </w:rPr>
        <w:t xml:space="preserve"> </w:t>
      </w:r>
      <w:r w:rsidR="00EC0F69" w:rsidRPr="007F700D">
        <w:rPr>
          <w:rFonts w:cs="Arial"/>
        </w:rPr>
        <w:t xml:space="preserve">is </w:t>
      </w:r>
      <w:r w:rsidR="008758E8" w:rsidRPr="007F700D">
        <w:rPr>
          <w:rFonts w:cs="Arial"/>
        </w:rPr>
        <w:t xml:space="preserve">overly </w:t>
      </w:r>
      <w:r w:rsidR="00EC0F69" w:rsidRPr="007F700D">
        <w:rPr>
          <w:rFonts w:cs="Arial"/>
        </w:rPr>
        <w:t xml:space="preserve">simplistic.  </w:t>
      </w:r>
      <w:r w:rsidR="008758E8" w:rsidRPr="007F700D">
        <w:rPr>
          <w:rFonts w:cs="Arial"/>
        </w:rPr>
        <w:t xml:space="preserve">His approach </w:t>
      </w:r>
      <w:r w:rsidR="00211112" w:rsidRPr="007F700D">
        <w:rPr>
          <w:rFonts w:cs="Arial"/>
        </w:rPr>
        <w:t>boils down to this: T</w:t>
      </w:r>
      <w:r w:rsidR="008758E8" w:rsidRPr="007F700D">
        <w:rPr>
          <w:rFonts w:cs="Arial"/>
        </w:rPr>
        <w:t>he claim</w:t>
      </w:r>
      <w:r w:rsidR="002A6C2F" w:rsidRPr="007F700D">
        <w:rPr>
          <w:rFonts w:cs="Arial"/>
        </w:rPr>
        <w:t>(</w:t>
      </w:r>
      <w:r w:rsidR="008758E8" w:rsidRPr="007F700D">
        <w:rPr>
          <w:rFonts w:cs="Arial"/>
        </w:rPr>
        <w:t>s</w:t>
      </w:r>
      <w:r w:rsidR="002A6C2F" w:rsidRPr="007F700D">
        <w:rPr>
          <w:rFonts w:cs="Arial"/>
        </w:rPr>
        <w:t>)</w:t>
      </w:r>
      <w:r w:rsidR="008758E8" w:rsidRPr="007F700D">
        <w:rPr>
          <w:rFonts w:cs="Arial"/>
        </w:rPr>
        <w:t xml:space="preserve"> for alleged assault</w:t>
      </w:r>
      <w:r w:rsidR="00B11382" w:rsidRPr="007F700D">
        <w:rPr>
          <w:rFonts w:cs="Arial"/>
        </w:rPr>
        <w:t xml:space="preserve">, </w:t>
      </w:r>
      <w:r w:rsidR="008758E8" w:rsidRPr="007F700D">
        <w:rPr>
          <w:rFonts w:cs="Arial"/>
        </w:rPr>
        <w:t>arrest</w:t>
      </w:r>
      <w:r w:rsidR="00BE4604" w:rsidRPr="007F700D">
        <w:rPr>
          <w:rFonts w:cs="Arial"/>
        </w:rPr>
        <w:t xml:space="preserve"> and detention</w:t>
      </w:r>
      <w:r w:rsidR="008758E8" w:rsidRPr="007F700D">
        <w:rPr>
          <w:rFonts w:cs="Arial"/>
        </w:rPr>
        <w:t xml:space="preserve"> </w:t>
      </w:r>
      <w:r w:rsidR="00211112" w:rsidRPr="007F700D">
        <w:rPr>
          <w:rFonts w:cs="Arial"/>
        </w:rPr>
        <w:t xml:space="preserve">– without </w:t>
      </w:r>
      <w:r w:rsidR="00C31EC4" w:rsidRPr="007F700D">
        <w:rPr>
          <w:rFonts w:cs="Arial"/>
        </w:rPr>
        <w:t xml:space="preserve">the Minister </w:t>
      </w:r>
      <w:r w:rsidR="00561A37" w:rsidRPr="007F700D">
        <w:rPr>
          <w:rFonts w:cs="Arial"/>
        </w:rPr>
        <w:t xml:space="preserve">giving any </w:t>
      </w:r>
      <w:r w:rsidR="00211112" w:rsidRPr="007F700D">
        <w:rPr>
          <w:rFonts w:cs="Arial"/>
        </w:rPr>
        <w:t>recogni</w:t>
      </w:r>
      <w:r w:rsidR="00C31EC4" w:rsidRPr="007F700D">
        <w:rPr>
          <w:rFonts w:cs="Arial"/>
        </w:rPr>
        <w:t>tion</w:t>
      </w:r>
      <w:r w:rsidR="00211112" w:rsidRPr="007F700D">
        <w:rPr>
          <w:rFonts w:cs="Arial"/>
        </w:rPr>
        <w:t xml:space="preserve"> </w:t>
      </w:r>
      <w:r w:rsidR="00C31EC4" w:rsidRPr="007F700D">
        <w:rPr>
          <w:rFonts w:cs="Arial"/>
        </w:rPr>
        <w:t xml:space="preserve">to </w:t>
      </w:r>
      <w:r w:rsidR="00211112" w:rsidRPr="007F700D">
        <w:rPr>
          <w:rFonts w:cs="Arial"/>
        </w:rPr>
        <w:t xml:space="preserve">the </w:t>
      </w:r>
      <w:r w:rsidR="00211112" w:rsidRPr="007F700D">
        <w:rPr>
          <w:rFonts w:cs="Arial"/>
          <w:i/>
          <w:iCs/>
        </w:rPr>
        <w:t>malicious</w:t>
      </w:r>
      <w:r w:rsidR="00211112" w:rsidRPr="007F700D">
        <w:rPr>
          <w:rFonts w:cs="Arial"/>
        </w:rPr>
        <w:t xml:space="preserve"> nature </w:t>
      </w:r>
      <w:r w:rsidR="00EE26DB" w:rsidRPr="007F700D">
        <w:rPr>
          <w:rFonts w:cs="Arial"/>
        </w:rPr>
        <w:t xml:space="preserve">attributed to </w:t>
      </w:r>
      <w:r w:rsidR="00211112" w:rsidRPr="007F700D">
        <w:rPr>
          <w:rFonts w:cs="Arial"/>
        </w:rPr>
        <w:t>the latter</w:t>
      </w:r>
      <w:r w:rsidR="002A6C2F">
        <w:t xml:space="preserve"> in Mr </w:t>
      </w:r>
      <w:proofErr w:type="spellStart"/>
      <w:r w:rsidR="002A6C2F">
        <w:t>Mangasa’s</w:t>
      </w:r>
      <w:proofErr w:type="spellEnd"/>
      <w:r w:rsidR="002A6C2F">
        <w:t xml:space="preserve"> particulars of claim</w:t>
      </w:r>
      <w:r w:rsidR="00211112" w:rsidRPr="007F700D">
        <w:rPr>
          <w:rFonts w:cs="Arial"/>
        </w:rPr>
        <w:t xml:space="preserve"> – are simply pooled </w:t>
      </w:r>
      <w:r w:rsidR="008758E8" w:rsidRPr="007F700D">
        <w:rPr>
          <w:rFonts w:cs="Arial"/>
        </w:rPr>
        <w:t>together and treat</w:t>
      </w:r>
      <w:r w:rsidR="00211112" w:rsidRPr="007F700D">
        <w:rPr>
          <w:rFonts w:cs="Arial"/>
        </w:rPr>
        <w:t>ed</w:t>
      </w:r>
      <w:r w:rsidR="008758E8" w:rsidRPr="007F700D">
        <w:rPr>
          <w:rFonts w:cs="Arial"/>
        </w:rPr>
        <w:t xml:space="preserve"> as </w:t>
      </w:r>
      <w:r w:rsidR="00211112" w:rsidRPr="007F700D">
        <w:rPr>
          <w:rFonts w:cs="Arial"/>
        </w:rPr>
        <w:t xml:space="preserve">if they constitute </w:t>
      </w:r>
      <w:r w:rsidR="008758E8" w:rsidRPr="007F700D">
        <w:rPr>
          <w:rFonts w:cs="Arial"/>
        </w:rPr>
        <w:t>one ‘</w:t>
      </w:r>
      <w:r w:rsidR="008758E8" w:rsidRPr="007F700D">
        <w:rPr>
          <w:rFonts w:cs="Arial"/>
          <w:i/>
          <w:iCs/>
        </w:rPr>
        <w:t>debt</w:t>
      </w:r>
      <w:r w:rsidR="008758E8" w:rsidRPr="007F700D">
        <w:rPr>
          <w:rFonts w:cs="Arial"/>
        </w:rPr>
        <w:t>’</w:t>
      </w:r>
      <w:r w:rsidR="00211112" w:rsidRPr="007F700D">
        <w:rPr>
          <w:rFonts w:cs="Arial"/>
        </w:rPr>
        <w:t>.</w:t>
      </w:r>
      <w:r w:rsidR="008758E8" w:rsidRPr="007F700D">
        <w:rPr>
          <w:rFonts w:cs="Arial"/>
        </w:rPr>
        <w:t xml:space="preserve"> </w:t>
      </w:r>
      <w:r w:rsidR="00211112" w:rsidRPr="007F700D">
        <w:rPr>
          <w:rFonts w:cs="Arial"/>
        </w:rPr>
        <w:t xml:space="preserve"> Therefore, s</w:t>
      </w:r>
      <w:r w:rsidR="00DB233A" w:rsidRPr="007F700D">
        <w:rPr>
          <w:rFonts w:cs="Arial"/>
        </w:rPr>
        <w:t xml:space="preserve">ince </w:t>
      </w:r>
      <w:r w:rsidR="00211112" w:rsidRPr="007F700D">
        <w:rPr>
          <w:rFonts w:cs="Arial"/>
        </w:rPr>
        <w:t xml:space="preserve">the claims for </w:t>
      </w:r>
      <w:r w:rsidR="009C3D72" w:rsidRPr="007F700D">
        <w:rPr>
          <w:rFonts w:cs="Arial"/>
        </w:rPr>
        <w:t xml:space="preserve">alleged assault and arrest </w:t>
      </w:r>
      <w:r w:rsidR="00211112" w:rsidRPr="007F700D">
        <w:rPr>
          <w:rFonts w:cs="Arial"/>
        </w:rPr>
        <w:t xml:space="preserve">both arose </w:t>
      </w:r>
      <w:r w:rsidR="009C3D72" w:rsidRPr="007F700D">
        <w:rPr>
          <w:rFonts w:cs="Arial"/>
        </w:rPr>
        <w:t>on 18 December 2018</w:t>
      </w:r>
      <w:r w:rsidR="00DB233A" w:rsidRPr="007F700D">
        <w:rPr>
          <w:rFonts w:cs="Arial"/>
        </w:rPr>
        <w:t xml:space="preserve">, </w:t>
      </w:r>
      <w:r w:rsidR="00141124">
        <w:t xml:space="preserve">on which </w:t>
      </w:r>
      <w:r w:rsidR="0050464A">
        <w:t xml:space="preserve">date </w:t>
      </w:r>
      <w:r w:rsidR="007F5857">
        <w:t xml:space="preserve">prescription </w:t>
      </w:r>
      <w:r w:rsidR="00211112">
        <w:t xml:space="preserve">supposedly </w:t>
      </w:r>
      <w:r w:rsidR="007F5857">
        <w:t>commenced running</w:t>
      </w:r>
      <w:r w:rsidR="0050464A">
        <w:t xml:space="preserve">, </w:t>
      </w:r>
      <w:r w:rsidR="00B163D8">
        <w:t xml:space="preserve">the </w:t>
      </w:r>
      <w:r w:rsidR="00AA504B">
        <w:t xml:space="preserve">alleged </w:t>
      </w:r>
      <w:r w:rsidR="007D7BA8">
        <w:t xml:space="preserve">debt </w:t>
      </w:r>
      <w:r w:rsidR="004B0EDC">
        <w:t xml:space="preserve">the Minister </w:t>
      </w:r>
      <w:r w:rsidR="008D3D40">
        <w:t xml:space="preserve">vicariously </w:t>
      </w:r>
      <w:r w:rsidR="00B96C09">
        <w:t xml:space="preserve">became </w:t>
      </w:r>
      <w:r w:rsidR="004B0EDC">
        <w:t xml:space="preserve">liable </w:t>
      </w:r>
      <w:r w:rsidR="00651C0C">
        <w:t>for</w:t>
      </w:r>
      <w:r w:rsidR="000D6D88">
        <w:t xml:space="preserve">, </w:t>
      </w:r>
      <w:r w:rsidR="00E20A9B">
        <w:t>w</w:t>
      </w:r>
      <w:r w:rsidR="00211112">
        <w:t>as</w:t>
      </w:r>
      <w:r w:rsidR="00E20A9B">
        <w:t xml:space="preserve"> extinguished by </w:t>
      </w:r>
      <w:r w:rsidR="00F663DD">
        <w:t xml:space="preserve">prescription </w:t>
      </w:r>
      <w:r w:rsidR="004B0EDC">
        <w:t xml:space="preserve">on </w:t>
      </w:r>
      <w:r w:rsidR="007016B6">
        <w:t>17</w:t>
      </w:r>
      <w:r w:rsidR="0070580B">
        <w:t> </w:t>
      </w:r>
      <w:r w:rsidR="007016B6">
        <w:t xml:space="preserve">December 2021.  </w:t>
      </w:r>
      <w:r w:rsidR="004445DC">
        <w:t xml:space="preserve">Moreover, as the summons was only served on the Minister </w:t>
      </w:r>
      <w:r w:rsidR="00DE63EF">
        <w:t>as late as</w:t>
      </w:r>
      <w:r w:rsidR="004445DC">
        <w:t xml:space="preserve"> 23</w:t>
      </w:r>
      <w:r w:rsidR="00190EC2">
        <w:t> </w:t>
      </w:r>
      <w:r w:rsidR="004445DC">
        <w:t>February 2023</w:t>
      </w:r>
      <w:r w:rsidR="00882928">
        <w:t xml:space="preserve">, </w:t>
      </w:r>
      <w:r w:rsidR="00211112">
        <w:t xml:space="preserve">it was way out of time to </w:t>
      </w:r>
      <w:r w:rsidR="00882928">
        <w:t xml:space="preserve">interrupt the </w:t>
      </w:r>
      <w:r w:rsidR="007F6D03">
        <w:t xml:space="preserve">running and completion </w:t>
      </w:r>
      <w:r w:rsidR="00146EAD">
        <w:t>of the prescriptive period</w:t>
      </w:r>
      <w:r w:rsidR="002A4A5B">
        <w:t xml:space="preserve"> prior to its expiry</w:t>
      </w:r>
      <w:r w:rsidR="00146EAD">
        <w:t>.</w:t>
      </w:r>
    </w:p>
    <w:p w14:paraId="5A228087" w14:textId="1C547C37" w:rsidR="00102DC0" w:rsidRPr="007F700D" w:rsidRDefault="007F700D" w:rsidP="007F700D">
      <w:pPr>
        <w:spacing w:before="360" w:after="120" w:line="480" w:lineRule="auto"/>
        <w:ind w:left="709" w:hanging="720"/>
        <w:rPr>
          <w:rFonts w:cs="Arial"/>
        </w:rPr>
      </w:pPr>
      <w:r>
        <w:rPr>
          <w:rFonts w:cs="Arial"/>
        </w:rPr>
        <w:t>[42]</w:t>
      </w:r>
      <w:r>
        <w:rPr>
          <w:rFonts w:cs="Arial"/>
        </w:rPr>
        <w:tab/>
      </w:r>
      <w:r w:rsidR="00D375B0" w:rsidRPr="007F700D">
        <w:rPr>
          <w:rFonts w:cs="Arial"/>
        </w:rPr>
        <w:t xml:space="preserve">I agree with the Minister’s contention </w:t>
      </w:r>
      <w:r w:rsidR="00211112" w:rsidRPr="007F700D">
        <w:rPr>
          <w:rFonts w:cs="Arial"/>
        </w:rPr>
        <w:t xml:space="preserve">only </w:t>
      </w:r>
      <w:r w:rsidR="00D375B0" w:rsidRPr="007F700D">
        <w:rPr>
          <w:rFonts w:cs="Arial"/>
        </w:rPr>
        <w:t>as far as the alleged assault is concerned</w:t>
      </w:r>
      <w:r w:rsidR="00902AA7" w:rsidRPr="007F700D">
        <w:rPr>
          <w:rFonts w:cs="Arial"/>
        </w:rPr>
        <w:t xml:space="preserve">.  </w:t>
      </w:r>
      <w:r w:rsidR="00CC3711" w:rsidRPr="007F700D">
        <w:rPr>
          <w:rFonts w:cs="Arial"/>
        </w:rPr>
        <w:t xml:space="preserve">The cause of action for </w:t>
      </w:r>
      <w:r w:rsidR="00966105" w:rsidRPr="007F700D">
        <w:rPr>
          <w:rFonts w:cs="Arial"/>
        </w:rPr>
        <w:t xml:space="preserve">an </w:t>
      </w:r>
      <w:r w:rsidR="00906BE6" w:rsidRPr="007F700D">
        <w:rPr>
          <w:rFonts w:cs="Arial"/>
        </w:rPr>
        <w:t xml:space="preserve">unlawful assault </w:t>
      </w:r>
      <w:r w:rsidR="00927C05" w:rsidRPr="007F700D">
        <w:rPr>
          <w:rFonts w:cs="Arial"/>
        </w:rPr>
        <w:t xml:space="preserve">gives rise to </w:t>
      </w:r>
      <w:r w:rsidR="00B85302" w:rsidRPr="007F700D">
        <w:rPr>
          <w:rFonts w:cs="Arial"/>
        </w:rPr>
        <w:t xml:space="preserve">a claim under the </w:t>
      </w:r>
      <w:proofErr w:type="spellStart"/>
      <w:r w:rsidR="00B85302" w:rsidRPr="007F700D">
        <w:rPr>
          <w:rFonts w:cs="Arial"/>
          <w:i/>
          <w:iCs/>
        </w:rPr>
        <w:t>actio</w:t>
      </w:r>
      <w:proofErr w:type="spellEnd"/>
      <w:r w:rsidR="00B85302" w:rsidRPr="007F700D">
        <w:rPr>
          <w:rFonts w:cs="Arial"/>
          <w:i/>
          <w:iCs/>
        </w:rPr>
        <w:t xml:space="preserve"> </w:t>
      </w:r>
      <w:proofErr w:type="spellStart"/>
      <w:r w:rsidR="00DF4B4C" w:rsidRPr="007F700D">
        <w:rPr>
          <w:rFonts w:cs="Arial"/>
          <w:i/>
          <w:iCs/>
        </w:rPr>
        <w:t>iniuriarum</w:t>
      </w:r>
      <w:proofErr w:type="spellEnd"/>
      <w:r w:rsidR="00790A63" w:rsidRPr="007F700D">
        <w:rPr>
          <w:rFonts w:cs="Arial"/>
        </w:rPr>
        <w:t xml:space="preserve"> since it </w:t>
      </w:r>
      <w:r w:rsidR="00837CAB" w:rsidRPr="007F700D">
        <w:rPr>
          <w:rFonts w:cs="Arial"/>
        </w:rPr>
        <w:t>constitutes a violatio</w:t>
      </w:r>
      <w:r w:rsidR="00536809" w:rsidRPr="007F700D">
        <w:rPr>
          <w:rFonts w:cs="Arial"/>
        </w:rPr>
        <w:t>n of</w:t>
      </w:r>
      <w:r w:rsidR="00837CAB" w:rsidRPr="007F700D">
        <w:rPr>
          <w:rFonts w:cs="Arial"/>
        </w:rPr>
        <w:t xml:space="preserve"> a person’s bodily </w:t>
      </w:r>
      <w:r w:rsidR="00837CAB" w:rsidRPr="007F700D">
        <w:rPr>
          <w:rFonts w:cs="Arial"/>
        </w:rPr>
        <w:lastRenderedPageBreak/>
        <w:t>integrity</w:t>
      </w:r>
      <w:r w:rsidR="00D643A2" w:rsidRPr="007F700D">
        <w:rPr>
          <w:rFonts w:cs="Arial"/>
        </w:rPr>
        <w:t>.</w:t>
      </w:r>
      <w:r w:rsidR="00DF4B4C">
        <w:rPr>
          <w:rStyle w:val="FootnoteReference"/>
          <w:rFonts w:cs="Arial"/>
        </w:rPr>
        <w:footnoteReference w:id="82"/>
      </w:r>
      <w:r w:rsidR="00304CBB" w:rsidRPr="007F700D">
        <w:rPr>
          <w:rFonts w:cs="Arial"/>
        </w:rPr>
        <w:t xml:space="preserve">  In terms of s </w:t>
      </w:r>
      <w:r w:rsidR="007370B6" w:rsidRPr="007F700D">
        <w:rPr>
          <w:rFonts w:cs="Arial"/>
        </w:rPr>
        <w:t>12</w:t>
      </w:r>
      <w:r w:rsidR="00304CBB" w:rsidRPr="007F700D">
        <w:rPr>
          <w:rFonts w:cs="Arial"/>
        </w:rPr>
        <w:t xml:space="preserve">(3) of the </w:t>
      </w:r>
      <w:r w:rsidR="007370B6" w:rsidRPr="007F700D">
        <w:rPr>
          <w:rFonts w:cs="Arial"/>
        </w:rPr>
        <w:t xml:space="preserve">Prescription Act the </w:t>
      </w:r>
      <w:r w:rsidR="00436653" w:rsidRPr="007F700D">
        <w:rPr>
          <w:rFonts w:cs="Arial"/>
        </w:rPr>
        <w:t xml:space="preserve">debt </w:t>
      </w:r>
      <w:r w:rsidR="00CB1AAA" w:rsidRPr="007F700D">
        <w:rPr>
          <w:rFonts w:cs="Arial"/>
        </w:rPr>
        <w:t xml:space="preserve">is </w:t>
      </w:r>
      <w:r w:rsidR="00436653" w:rsidRPr="007F700D">
        <w:rPr>
          <w:rFonts w:cs="Arial"/>
        </w:rPr>
        <w:t xml:space="preserve">regarded as being due </w:t>
      </w:r>
      <w:r w:rsidR="00313AD4" w:rsidRPr="007F700D">
        <w:rPr>
          <w:rFonts w:cs="Arial"/>
        </w:rPr>
        <w:t xml:space="preserve">from the moment in time </w:t>
      </w:r>
      <w:r w:rsidR="00305A45" w:rsidRPr="007F700D">
        <w:rPr>
          <w:rFonts w:cs="Arial"/>
        </w:rPr>
        <w:t xml:space="preserve">when </w:t>
      </w:r>
      <w:r w:rsidR="00436653" w:rsidRPr="007F700D">
        <w:rPr>
          <w:rFonts w:cs="Arial"/>
        </w:rPr>
        <w:t>the creditor has knowledge of</w:t>
      </w:r>
      <w:r w:rsidR="007370B6" w:rsidRPr="007F700D">
        <w:rPr>
          <w:rFonts w:cs="Arial"/>
        </w:rPr>
        <w:t xml:space="preserve"> </w:t>
      </w:r>
      <w:r w:rsidR="00436653" w:rsidRPr="007F700D">
        <w:rPr>
          <w:rFonts w:cs="Arial"/>
        </w:rPr>
        <w:t xml:space="preserve">the identity </w:t>
      </w:r>
      <w:r w:rsidR="007370B6" w:rsidRPr="007F700D">
        <w:rPr>
          <w:rFonts w:cs="Arial"/>
        </w:rPr>
        <w:t xml:space="preserve">debtor </w:t>
      </w:r>
      <w:r w:rsidR="00436653" w:rsidRPr="007F700D">
        <w:rPr>
          <w:rFonts w:cs="Arial"/>
        </w:rPr>
        <w:t>and the facts giving rise to the debt</w:t>
      </w:r>
      <w:r w:rsidR="00305A45" w:rsidRPr="007F700D">
        <w:rPr>
          <w:rFonts w:cs="Arial"/>
        </w:rPr>
        <w:t xml:space="preserve">.  </w:t>
      </w:r>
      <w:r w:rsidR="00787D85" w:rsidRPr="007F700D">
        <w:rPr>
          <w:rFonts w:cs="Arial"/>
        </w:rPr>
        <w:t>In the case of an assault</w:t>
      </w:r>
      <w:r w:rsidR="008D67B1" w:rsidRPr="007F700D">
        <w:rPr>
          <w:rFonts w:cs="Arial"/>
        </w:rPr>
        <w:t>, such as the one perpetrated on him by Captain Zulu</w:t>
      </w:r>
      <w:r w:rsidR="00A00703" w:rsidRPr="007F700D">
        <w:rPr>
          <w:rFonts w:cs="Arial"/>
        </w:rPr>
        <w:t xml:space="preserve">, who was </w:t>
      </w:r>
      <w:r w:rsidR="00EB54A9" w:rsidRPr="007F700D">
        <w:rPr>
          <w:rFonts w:cs="Arial"/>
        </w:rPr>
        <w:t xml:space="preserve">in charge of the </w:t>
      </w:r>
      <w:proofErr w:type="spellStart"/>
      <w:r w:rsidR="00ED7900" w:rsidRPr="007F700D">
        <w:rPr>
          <w:rFonts w:cs="Arial"/>
        </w:rPr>
        <w:t>Booysens</w:t>
      </w:r>
      <w:proofErr w:type="spellEnd"/>
      <w:r w:rsidR="00ED7900" w:rsidRPr="007F700D">
        <w:rPr>
          <w:rFonts w:cs="Arial"/>
        </w:rPr>
        <w:t xml:space="preserve"> P</w:t>
      </w:r>
      <w:r w:rsidR="00EB54A9" w:rsidRPr="007F700D">
        <w:rPr>
          <w:rFonts w:cs="Arial"/>
        </w:rPr>
        <w:t xml:space="preserve">olice </w:t>
      </w:r>
      <w:r w:rsidR="00ED7900" w:rsidRPr="007F700D">
        <w:rPr>
          <w:rFonts w:cs="Arial"/>
        </w:rPr>
        <w:t>S</w:t>
      </w:r>
      <w:r w:rsidR="00EB54A9" w:rsidRPr="007F700D">
        <w:rPr>
          <w:rFonts w:cs="Arial"/>
        </w:rPr>
        <w:t>tation at t</w:t>
      </w:r>
      <w:r w:rsidR="001B7EB6" w:rsidRPr="007F700D">
        <w:rPr>
          <w:rFonts w:cs="Arial"/>
        </w:rPr>
        <w:t xml:space="preserve">he time, </w:t>
      </w:r>
      <w:r w:rsidR="00B154CB" w:rsidRPr="007F700D">
        <w:rPr>
          <w:rFonts w:cs="Arial"/>
        </w:rPr>
        <w:t xml:space="preserve">Mr </w:t>
      </w:r>
      <w:proofErr w:type="spellStart"/>
      <w:r w:rsidR="00B154CB" w:rsidRPr="007F700D">
        <w:rPr>
          <w:rFonts w:cs="Arial"/>
        </w:rPr>
        <w:t>Mangasa</w:t>
      </w:r>
      <w:proofErr w:type="spellEnd"/>
      <w:r w:rsidR="001B7EB6" w:rsidRPr="007F700D">
        <w:rPr>
          <w:rFonts w:cs="Arial"/>
        </w:rPr>
        <w:t xml:space="preserve"> </w:t>
      </w:r>
      <w:r w:rsidR="00B179A8" w:rsidRPr="007F700D">
        <w:rPr>
          <w:rFonts w:cs="Arial"/>
        </w:rPr>
        <w:t xml:space="preserve">reasonably ought to have </w:t>
      </w:r>
      <w:r w:rsidR="001B7EB6" w:rsidRPr="007F700D">
        <w:rPr>
          <w:rFonts w:cs="Arial"/>
        </w:rPr>
        <w:t xml:space="preserve">known </w:t>
      </w:r>
      <w:r w:rsidR="004E3D28" w:rsidRPr="007F700D">
        <w:rPr>
          <w:rFonts w:cs="Arial"/>
        </w:rPr>
        <w:t xml:space="preserve">immediately </w:t>
      </w:r>
      <w:r w:rsidR="001B7EB6" w:rsidRPr="007F700D">
        <w:rPr>
          <w:rFonts w:cs="Arial"/>
        </w:rPr>
        <w:t>w</w:t>
      </w:r>
      <w:r w:rsidR="00A02108" w:rsidRPr="007F700D">
        <w:rPr>
          <w:rFonts w:cs="Arial"/>
        </w:rPr>
        <w:t xml:space="preserve">ho his assailant was and </w:t>
      </w:r>
      <w:r w:rsidR="002A7550" w:rsidRPr="007F700D">
        <w:rPr>
          <w:rFonts w:cs="Arial"/>
        </w:rPr>
        <w:t xml:space="preserve">of </w:t>
      </w:r>
      <w:r w:rsidR="00D242E0" w:rsidRPr="007F700D">
        <w:rPr>
          <w:rFonts w:cs="Arial"/>
        </w:rPr>
        <w:t xml:space="preserve">the factual circumstances under which </w:t>
      </w:r>
      <w:r w:rsidR="0096320C" w:rsidRPr="007F700D">
        <w:rPr>
          <w:rFonts w:cs="Arial"/>
        </w:rPr>
        <w:t>the assault</w:t>
      </w:r>
      <w:r w:rsidR="008A7B97" w:rsidRPr="007F700D">
        <w:rPr>
          <w:rFonts w:cs="Arial"/>
        </w:rPr>
        <w:t xml:space="preserve"> occurred</w:t>
      </w:r>
      <w:r w:rsidR="00D242E0" w:rsidRPr="007F700D">
        <w:rPr>
          <w:rFonts w:cs="Arial"/>
        </w:rPr>
        <w:t xml:space="preserve">.  </w:t>
      </w:r>
      <w:r w:rsidR="004E3D28" w:rsidRPr="007F700D">
        <w:rPr>
          <w:rFonts w:cs="Arial"/>
        </w:rPr>
        <w:t xml:space="preserve">After all, </w:t>
      </w:r>
      <w:r w:rsidR="00AE0C4E" w:rsidRPr="007F700D">
        <w:rPr>
          <w:rFonts w:cs="Arial"/>
        </w:rPr>
        <w:t xml:space="preserve">Mr </w:t>
      </w:r>
      <w:proofErr w:type="spellStart"/>
      <w:r w:rsidR="00AE0C4E" w:rsidRPr="007F700D">
        <w:rPr>
          <w:rFonts w:cs="Arial"/>
        </w:rPr>
        <w:t>Mangasa</w:t>
      </w:r>
      <w:proofErr w:type="spellEnd"/>
      <w:r w:rsidR="004648D2" w:rsidRPr="007F700D">
        <w:rPr>
          <w:rFonts w:cs="Arial"/>
        </w:rPr>
        <w:t xml:space="preserve"> called for </w:t>
      </w:r>
      <w:r w:rsidR="00AE0C4E" w:rsidRPr="007F700D">
        <w:rPr>
          <w:rFonts w:cs="Arial"/>
        </w:rPr>
        <w:t xml:space="preserve">the attendance of the officer in charge of the </w:t>
      </w:r>
      <w:proofErr w:type="spellStart"/>
      <w:r w:rsidR="007D40BA" w:rsidRPr="007F700D">
        <w:rPr>
          <w:rFonts w:cs="Arial"/>
        </w:rPr>
        <w:t>Booysens</w:t>
      </w:r>
      <w:proofErr w:type="spellEnd"/>
      <w:r w:rsidR="007D40BA" w:rsidRPr="007F700D">
        <w:rPr>
          <w:rFonts w:cs="Arial"/>
        </w:rPr>
        <w:t xml:space="preserve"> P</w:t>
      </w:r>
      <w:r w:rsidR="00A02362" w:rsidRPr="007F700D">
        <w:rPr>
          <w:rFonts w:cs="Arial"/>
        </w:rPr>
        <w:t xml:space="preserve">olice </w:t>
      </w:r>
      <w:r w:rsidR="00587BEB" w:rsidRPr="007F700D">
        <w:rPr>
          <w:rFonts w:cs="Arial"/>
        </w:rPr>
        <w:t>S</w:t>
      </w:r>
      <w:r w:rsidR="00A02362" w:rsidRPr="007F700D">
        <w:rPr>
          <w:rFonts w:cs="Arial"/>
        </w:rPr>
        <w:t>tation</w:t>
      </w:r>
      <w:r w:rsidR="0014403C">
        <w:t xml:space="preserve"> when </w:t>
      </w:r>
      <w:r w:rsidR="00335AF6" w:rsidRPr="007F700D">
        <w:rPr>
          <w:rFonts w:cs="Arial"/>
        </w:rPr>
        <w:t>the officer</w:t>
      </w:r>
      <w:r w:rsidR="001405E3" w:rsidRPr="007F700D">
        <w:rPr>
          <w:rFonts w:cs="Arial"/>
        </w:rPr>
        <w:t xml:space="preserve">, who </w:t>
      </w:r>
      <w:r w:rsidR="00335AF6" w:rsidRPr="007F700D">
        <w:rPr>
          <w:rFonts w:cs="Arial"/>
        </w:rPr>
        <w:t xml:space="preserve">was taking </w:t>
      </w:r>
      <w:r w:rsidR="00B15FAF" w:rsidRPr="007F700D">
        <w:rPr>
          <w:rFonts w:cs="Arial"/>
        </w:rPr>
        <w:t xml:space="preserve">down Mr </w:t>
      </w:r>
      <w:proofErr w:type="spellStart"/>
      <w:r w:rsidR="00B15FAF" w:rsidRPr="007F700D">
        <w:rPr>
          <w:rFonts w:cs="Arial"/>
        </w:rPr>
        <w:t>Mangasa’s</w:t>
      </w:r>
      <w:proofErr w:type="spellEnd"/>
      <w:r w:rsidR="00B15FAF" w:rsidRPr="007F700D">
        <w:rPr>
          <w:rFonts w:cs="Arial"/>
        </w:rPr>
        <w:t xml:space="preserve"> </w:t>
      </w:r>
      <w:r w:rsidR="00335AF6" w:rsidRPr="007F700D">
        <w:rPr>
          <w:rFonts w:cs="Arial"/>
        </w:rPr>
        <w:t xml:space="preserve">statement </w:t>
      </w:r>
      <w:r w:rsidR="001405E3" w:rsidRPr="007F700D">
        <w:rPr>
          <w:rFonts w:cs="Arial"/>
        </w:rPr>
        <w:t xml:space="preserve">in respect of the robbery complaint, insisted </w:t>
      </w:r>
      <w:r w:rsidR="00F05E26" w:rsidRPr="007F700D">
        <w:rPr>
          <w:rFonts w:cs="Arial"/>
        </w:rPr>
        <w:t xml:space="preserve">that he should </w:t>
      </w:r>
      <w:r w:rsidR="00335AF6" w:rsidRPr="007F700D">
        <w:rPr>
          <w:rFonts w:cs="Arial"/>
        </w:rPr>
        <w:t xml:space="preserve">sign the statement before </w:t>
      </w:r>
      <w:r w:rsidR="00F05E26" w:rsidRPr="007F700D">
        <w:rPr>
          <w:rFonts w:cs="Arial"/>
        </w:rPr>
        <w:t>he had</w:t>
      </w:r>
      <w:r w:rsidR="00335AF6" w:rsidRPr="007F700D">
        <w:rPr>
          <w:rFonts w:cs="Arial"/>
        </w:rPr>
        <w:t xml:space="preserve"> </w:t>
      </w:r>
      <w:r w:rsidR="005A0EA1" w:rsidRPr="007F700D">
        <w:rPr>
          <w:rFonts w:cs="Arial"/>
        </w:rPr>
        <w:t xml:space="preserve">even </w:t>
      </w:r>
      <w:r w:rsidR="00335AF6" w:rsidRPr="007F700D">
        <w:rPr>
          <w:rFonts w:cs="Arial"/>
        </w:rPr>
        <w:t>finished reading it</w:t>
      </w:r>
      <w:r w:rsidR="00F05E26" w:rsidRPr="007F700D">
        <w:rPr>
          <w:rFonts w:cs="Arial"/>
        </w:rPr>
        <w:t xml:space="preserve">. </w:t>
      </w:r>
      <w:r w:rsidR="00A02362" w:rsidRPr="007F700D">
        <w:rPr>
          <w:rFonts w:cs="Arial"/>
        </w:rPr>
        <w:t xml:space="preserve"> </w:t>
      </w:r>
      <w:r w:rsidR="00635F9F" w:rsidRPr="007F700D">
        <w:rPr>
          <w:rFonts w:cs="Arial"/>
        </w:rPr>
        <w:t xml:space="preserve">It seems </w:t>
      </w:r>
      <w:r w:rsidR="00DA1B45" w:rsidRPr="007F700D">
        <w:rPr>
          <w:rFonts w:cs="Arial"/>
        </w:rPr>
        <w:t xml:space="preserve">quite </w:t>
      </w:r>
      <w:r w:rsidR="00635F9F" w:rsidRPr="007F700D">
        <w:rPr>
          <w:rFonts w:cs="Arial"/>
        </w:rPr>
        <w:t xml:space="preserve">improbable </w:t>
      </w:r>
      <w:r w:rsidR="00694653" w:rsidRPr="007F700D">
        <w:rPr>
          <w:rFonts w:cs="Arial"/>
        </w:rPr>
        <w:t xml:space="preserve">that Mr </w:t>
      </w:r>
      <w:proofErr w:type="spellStart"/>
      <w:r w:rsidR="00694653" w:rsidRPr="007F700D">
        <w:rPr>
          <w:rFonts w:cs="Arial"/>
        </w:rPr>
        <w:t>Mangasa</w:t>
      </w:r>
      <w:proofErr w:type="spellEnd"/>
      <w:r w:rsidR="00694653" w:rsidRPr="007F700D">
        <w:rPr>
          <w:rFonts w:cs="Arial"/>
        </w:rPr>
        <w:t xml:space="preserve"> would not have </w:t>
      </w:r>
      <w:r w:rsidR="00833114" w:rsidRPr="007F700D">
        <w:rPr>
          <w:rFonts w:cs="Arial"/>
        </w:rPr>
        <w:t xml:space="preserve">been aware of Captain Zulu’s identity from the moment that </w:t>
      </w:r>
      <w:r w:rsidR="000319B6" w:rsidRPr="007F700D">
        <w:rPr>
          <w:rFonts w:cs="Arial"/>
        </w:rPr>
        <w:t>t</w:t>
      </w:r>
      <w:r w:rsidR="00833114" w:rsidRPr="007F700D">
        <w:rPr>
          <w:rFonts w:cs="Arial"/>
        </w:rPr>
        <w:t xml:space="preserve">he </w:t>
      </w:r>
      <w:r w:rsidR="000319B6" w:rsidRPr="007F700D">
        <w:rPr>
          <w:rFonts w:cs="Arial"/>
        </w:rPr>
        <w:t xml:space="preserve">latter </w:t>
      </w:r>
      <w:r w:rsidR="00833114" w:rsidRPr="007F700D">
        <w:rPr>
          <w:rFonts w:cs="Arial"/>
        </w:rPr>
        <w:t xml:space="preserve">intervened in the </w:t>
      </w:r>
      <w:r w:rsidR="00B72005" w:rsidRPr="007F700D">
        <w:rPr>
          <w:rFonts w:cs="Arial"/>
        </w:rPr>
        <w:t>ev</w:t>
      </w:r>
      <w:r w:rsidR="00F4623A" w:rsidRPr="007F700D">
        <w:rPr>
          <w:rFonts w:cs="Arial"/>
        </w:rPr>
        <w:t xml:space="preserve">olving </w:t>
      </w:r>
      <w:r w:rsidR="000319B6" w:rsidRPr="007F700D">
        <w:rPr>
          <w:rFonts w:cs="Arial"/>
        </w:rPr>
        <w:t xml:space="preserve">dispute between </w:t>
      </w:r>
      <w:r w:rsidR="00933834" w:rsidRPr="007F700D">
        <w:rPr>
          <w:rFonts w:cs="Arial"/>
        </w:rPr>
        <w:t>himself and the officer</w:t>
      </w:r>
      <w:r w:rsidR="003E6653" w:rsidRPr="007F700D">
        <w:rPr>
          <w:rFonts w:cs="Arial"/>
        </w:rPr>
        <w:t xml:space="preserve"> </w:t>
      </w:r>
      <w:r w:rsidR="00381F10" w:rsidRPr="007F700D">
        <w:rPr>
          <w:rFonts w:cs="Arial"/>
        </w:rPr>
        <w:t>who</w:t>
      </w:r>
      <w:r w:rsidR="003E6653" w:rsidRPr="007F700D">
        <w:rPr>
          <w:rFonts w:cs="Arial"/>
        </w:rPr>
        <w:t xml:space="preserve"> </w:t>
      </w:r>
      <w:r w:rsidR="006035BE" w:rsidRPr="007F700D">
        <w:rPr>
          <w:rFonts w:cs="Arial"/>
        </w:rPr>
        <w:t xml:space="preserve">recorded </w:t>
      </w:r>
      <w:r w:rsidR="003E6653" w:rsidRPr="007F700D">
        <w:rPr>
          <w:rFonts w:cs="Arial"/>
        </w:rPr>
        <w:t>his statement</w:t>
      </w:r>
      <w:r w:rsidR="00863EB5" w:rsidRPr="007F700D">
        <w:rPr>
          <w:rFonts w:cs="Arial"/>
        </w:rPr>
        <w:t xml:space="preserve"> of complaint</w:t>
      </w:r>
      <w:r w:rsidR="00933834" w:rsidRPr="007F700D">
        <w:rPr>
          <w:rFonts w:cs="Arial"/>
        </w:rPr>
        <w:t xml:space="preserve">. </w:t>
      </w:r>
      <w:r w:rsidR="002A1C66" w:rsidRPr="007F700D">
        <w:rPr>
          <w:rFonts w:cs="Arial"/>
        </w:rPr>
        <w:t xml:space="preserve"> </w:t>
      </w:r>
      <w:r w:rsidR="009416A8" w:rsidRPr="007F700D">
        <w:rPr>
          <w:rFonts w:cs="Arial"/>
        </w:rPr>
        <w:t xml:space="preserve">In any event, </w:t>
      </w:r>
      <w:r w:rsidR="00255F4A" w:rsidRPr="007F700D">
        <w:rPr>
          <w:rFonts w:cs="Arial"/>
        </w:rPr>
        <w:t xml:space="preserve">it was not suggested that </w:t>
      </w:r>
      <w:r w:rsidR="003E6653" w:rsidRPr="007F700D">
        <w:rPr>
          <w:rFonts w:cs="Arial"/>
        </w:rPr>
        <w:t xml:space="preserve">any of </w:t>
      </w:r>
      <w:r w:rsidR="00255F4A" w:rsidRPr="007F700D">
        <w:rPr>
          <w:rFonts w:cs="Arial"/>
        </w:rPr>
        <w:t>these fact</w:t>
      </w:r>
      <w:r w:rsidR="00933834" w:rsidRPr="007F700D">
        <w:rPr>
          <w:rFonts w:cs="Arial"/>
        </w:rPr>
        <w:t>s</w:t>
      </w:r>
      <w:r w:rsidR="00255F4A" w:rsidRPr="007F700D">
        <w:rPr>
          <w:rFonts w:cs="Arial"/>
        </w:rPr>
        <w:t xml:space="preserve"> were unknown to </w:t>
      </w:r>
      <w:r w:rsidR="00601A3B" w:rsidRPr="007F700D">
        <w:rPr>
          <w:rFonts w:cs="Arial"/>
        </w:rPr>
        <w:t xml:space="preserve">Mr </w:t>
      </w:r>
      <w:proofErr w:type="spellStart"/>
      <w:r w:rsidR="00601A3B" w:rsidRPr="007F700D">
        <w:rPr>
          <w:rFonts w:cs="Arial"/>
        </w:rPr>
        <w:t>Mangasa</w:t>
      </w:r>
      <w:proofErr w:type="spellEnd"/>
      <w:r w:rsidR="00255F4A" w:rsidRPr="007F700D">
        <w:rPr>
          <w:rFonts w:cs="Arial"/>
        </w:rPr>
        <w:t xml:space="preserve"> at the </w:t>
      </w:r>
      <w:r w:rsidR="00AF37CD" w:rsidRPr="007F700D">
        <w:rPr>
          <w:rFonts w:cs="Arial"/>
        </w:rPr>
        <w:t xml:space="preserve">time </w:t>
      </w:r>
      <w:r w:rsidR="00A02108" w:rsidRPr="007F700D">
        <w:rPr>
          <w:rFonts w:cs="Arial"/>
        </w:rPr>
        <w:t xml:space="preserve">the assault </w:t>
      </w:r>
      <w:r w:rsidR="00AF37CD" w:rsidRPr="007F700D">
        <w:rPr>
          <w:rFonts w:cs="Arial"/>
        </w:rPr>
        <w:t xml:space="preserve">took place. </w:t>
      </w:r>
      <w:r w:rsidR="00BE3072" w:rsidRPr="007F700D">
        <w:rPr>
          <w:rFonts w:cs="Arial"/>
        </w:rPr>
        <w:t xml:space="preserve"> </w:t>
      </w:r>
      <w:r w:rsidR="00830FE5" w:rsidRPr="007F700D">
        <w:rPr>
          <w:rFonts w:cs="Arial"/>
        </w:rPr>
        <w:t>On the contrary</w:t>
      </w:r>
      <w:r w:rsidR="00C3221C" w:rsidRPr="007F700D">
        <w:rPr>
          <w:rFonts w:cs="Arial"/>
        </w:rPr>
        <w:t xml:space="preserve">, his founding affidavit </w:t>
      </w:r>
      <w:r w:rsidR="004E18B3" w:rsidRPr="007F700D">
        <w:rPr>
          <w:rFonts w:cs="Arial"/>
        </w:rPr>
        <w:t xml:space="preserve">in the </w:t>
      </w:r>
      <w:r w:rsidR="00BD0FA3" w:rsidRPr="007F700D">
        <w:rPr>
          <w:rFonts w:cs="Arial"/>
        </w:rPr>
        <w:t xml:space="preserve">condonation </w:t>
      </w:r>
      <w:r w:rsidR="00A06CE0" w:rsidRPr="007F700D">
        <w:rPr>
          <w:rFonts w:cs="Arial"/>
        </w:rPr>
        <w:t xml:space="preserve">application conveys that he was fully </w:t>
      </w:r>
      <w:r w:rsidR="00F4651D" w:rsidRPr="007F700D">
        <w:rPr>
          <w:rFonts w:cs="Arial"/>
        </w:rPr>
        <w:t>aware of all these facts.</w:t>
      </w:r>
      <w:r w:rsidR="00F4651D">
        <w:rPr>
          <w:rStyle w:val="FootnoteReference"/>
          <w:rFonts w:cs="Arial"/>
        </w:rPr>
        <w:footnoteReference w:id="83"/>
      </w:r>
      <w:r w:rsidR="00F4651D" w:rsidRPr="007F700D">
        <w:rPr>
          <w:rFonts w:cs="Arial"/>
        </w:rPr>
        <w:t xml:space="preserve">  </w:t>
      </w:r>
      <w:r w:rsidR="00596D86" w:rsidRPr="007F700D">
        <w:rPr>
          <w:rFonts w:cs="Arial"/>
        </w:rPr>
        <w:t xml:space="preserve">In these circumstances, it seems clear </w:t>
      </w:r>
      <w:r w:rsidR="00DA6F1E" w:rsidRPr="007F700D">
        <w:rPr>
          <w:rFonts w:cs="Arial"/>
        </w:rPr>
        <w:t xml:space="preserve">to me </w:t>
      </w:r>
      <w:r w:rsidR="00596D86" w:rsidRPr="007F700D">
        <w:rPr>
          <w:rFonts w:cs="Arial"/>
        </w:rPr>
        <w:t xml:space="preserve">that </w:t>
      </w:r>
      <w:r w:rsidR="007B6883" w:rsidRPr="007F700D">
        <w:rPr>
          <w:rFonts w:cs="Arial"/>
        </w:rPr>
        <w:t xml:space="preserve">the </w:t>
      </w:r>
      <w:r w:rsidR="00596D86" w:rsidRPr="007F700D">
        <w:rPr>
          <w:rFonts w:cs="Arial"/>
        </w:rPr>
        <w:t xml:space="preserve">debt arising from </w:t>
      </w:r>
      <w:r w:rsidR="00B03DDC" w:rsidRPr="007F700D">
        <w:rPr>
          <w:rFonts w:cs="Arial"/>
        </w:rPr>
        <w:t xml:space="preserve">the </w:t>
      </w:r>
      <w:r w:rsidR="00601A3B" w:rsidRPr="007F700D">
        <w:rPr>
          <w:rFonts w:cs="Arial"/>
        </w:rPr>
        <w:t xml:space="preserve">alleged assault </w:t>
      </w:r>
      <w:r w:rsidR="00DA6F1E" w:rsidRPr="007F700D">
        <w:rPr>
          <w:rFonts w:cs="Arial"/>
        </w:rPr>
        <w:t>perpetrated on him by Captain Zulu</w:t>
      </w:r>
      <w:r w:rsidR="00E94B17" w:rsidRPr="007F700D">
        <w:rPr>
          <w:rFonts w:cs="Arial"/>
        </w:rPr>
        <w:t xml:space="preserve"> </w:t>
      </w:r>
      <w:r w:rsidR="00D13E2F" w:rsidRPr="007F700D">
        <w:rPr>
          <w:rFonts w:cs="Arial"/>
        </w:rPr>
        <w:t xml:space="preserve">became due on the day </w:t>
      </w:r>
      <w:r w:rsidR="00DB715D" w:rsidRPr="007F700D">
        <w:rPr>
          <w:rFonts w:cs="Arial"/>
        </w:rPr>
        <w:t xml:space="preserve">of the alleged assault </w:t>
      </w:r>
      <w:r w:rsidR="00C875F0" w:rsidRPr="007F700D">
        <w:rPr>
          <w:rFonts w:cs="Arial"/>
        </w:rPr>
        <w:t xml:space="preserve">(i.e., 18 </w:t>
      </w:r>
      <w:r w:rsidR="006D2C80" w:rsidRPr="007F700D">
        <w:rPr>
          <w:rFonts w:cs="Arial"/>
        </w:rPr>
        <w:t>December</w:t>
      </w:r>
      <w:r w:rsidR="00C875F0" w:rsidRPr="007F700D">
        <w:rPr>
          <w:rFonts w:cs="Arial"/>
        </w:rPr>
        <w:t xml:space="preserve"> </w:t>
      </w:r>
      <w:r w:rsidR="006D2C80" w:rsidRPr="007F700D">
        <w:rPr>
          <w:rFonts w:cs="Arial"/>
        </w:rPr>
        <w:t xml:space="preserve">2018) </w:t>
      </w:r>
      <w:r w:rsidR="00DB715D" w:rsidRPr="007F700D">
        <w:rPr>
          <w:rFonts w:cs="Arial"/>
        </w:rPr>
        <w:t xml:space="preserve">and </w:t>
      </w:r>
      <w:r w:rsidR="00286C5A" w:rsidRPr="007F700D">
        <w:rPr>
          <w:rFonts w:cs="Arial"/>
        </w:rPr>
        <w:t xml:space="preserve">prescribed </w:t>
      </w:r>
      <w:r w:rsidR="006D2C80" w:rsidRPr="007F700D">
        <w:rPr>
          <w:rFonts w:cs="Arial"/>
        </w:rPr>
        <w:t xml:space="preserve">three years later </w:t>
      </w:r>
      <w:r w:rsidR="00286C5A" w:rsidRPr="007F700D">
        <w:rPr>
          <w:rFonts w:cs="Arial"/>
        </w:rPr>
        <w:t>on 17 December 2021</w:t>
      </w:r>
      <w:r w:rsidR="00C910E1" w:rsidRPr="007F700D">
        <w:rPr>
          <w:rFonts w:cs="Arial"/>
        </w:rPr>
        <w:t>.</w:t>
      </w:r>
      <w:r w:rsidR="003111D0">
        <w:rPr>
          <w:rStyle w:val="FootnoteReference"/>
          <w:rFonts w:cs="Arial"/>
        </w:rPr>
        <w:footnoteReference w:id="84"/>
      </w:r>
    </w:p>
    <w:p w14:paraId="3640F4A5" w14:textId="094504F7" w:rsidR="00541A4E" w:rsidRPr="00541A4E" w:rsidRDefault="007370B6" w:rsidP="00C15BBD">
      <w:pPr>
        <w:spacing w:before="360" w:after="120"/>
        <w:ind w:left="-11"/>
        <w:rPr>
          <w:rFonts w:cs="Arial"/>
          <w:b/>
          <w:bCs/>
          <w:i/>
          <w:iCs/>
        </w:rPr>
      </w:pPr>
      <w:r>
        <w:rPr>
          <w:rFonts w:cs="Arial"/>
          <w:b/>
          <w:bCs/>
          <w:i/>
          <w:iCs/>
        </w:rPr>
        <w:lastRenderedPageBreak/>
        <w:t xml:space="preserve">When did </w:t>
      </w:r>
      <w:r w:rsidR="004D18B2">
        <w:rPr>
          <w:rFonts w:cs="Arial"/>
          <w:b/>
          <w:bCs/>
          <w:i/>
          <w:iCs/>
        </w:rPr>
        <w:t xml:space="preserve">Mr </w:t>
      </w:r>
      <w:proofErr w:type="spellStart"/>
      <w:r w:rsidR="004D18B2">
        <w:rPr>
          <w:rFonts w:cs="Arial"/>
          <w:b/>
          <w:bCs/>
          <w:i/>
          <w:iCs/>
        </w:rPr>
        <w:t>Mangasa’s</w:t>
      </w:r>
      <w:proofErr w:type="spellEnd"/>
      <w:r w:rsidR="004D18B2">
        <w:rPr>
          <w:rFonts w:cs="Arial"/>
          <w:b/>
          <w:bCs/>
          <w:i/>
          <w:iCs/>
        </w:rPr>
        <w:t xml:space="preserve"> </w:t>
      </w:r>
      <w:r w:rsidR="00541A4E" w:rsidRPr="00541A4E">
        <w:rPr>
          <w:rFonts w:cs="Arial"/>
          <w:b/>
          <w:bCs/>
          <w:i/>
          <w:iCs/>
        </w:rPr>
        <w:t xml:space="preserve">claims </w:t>
      </w:r>
      <w:r w:rsidR="004D18B2">
        <w:rPr>
          <w:rFonts w:cs="Arial"/>
          <w:b/>
          <w:bCs/>
          <w:i/>
          <w:iCs/>
        </w:rPr>
        <w:t xml:space="preserve">for </w:t>
      </w:r>
      <w:r w:rsidR="00541A4E" w:rsidRPr="00541A4E">
        <w:rPr>
          <w:rFonts w:cs="Arial"/>
          <w:b/>
          <w:bCs/>
          <w:i/>
          <w:iCs/>
        </w:rPr>
        <w:t xml:space="preserve">wrongful </w:t>
      </w:r>
      <w:r w:rsidR="009E173C">
        <w:rPr>
          <w:rFonts w:cs="Arial"/>
          <w:b/>
          <w:bCs/>
          <w:i/>
          <w:iCs/>
        </w:rPr>
        <w:t>and malicious</w:t>
      </w:r>
      <w:r w:rsidR="009E173C" w:rsidRPr="00541A4E">
        <w:rPr>
          <w:rFonts w:cs="Arial"/>
          <w:b/>
          <w:bCs/>
          <w:i/>
          <w:iCs/>
        </w:rPr>
        <w:t xml:space="preserve"> </w:t>
      </w:r>
      <w:r w:rsidR="00541A4E" w:rsidRPr="00541A4E">
        <w:rPr>
          <w:rFonts w:cs="Arial"/>
          <w:b/>
          <w:bCs/>
          <w:i/>
          <w:iCs/>
        </w:rPr>
        <w:t>arrest and detention</w:t>
      </w:r>
      <w:r>
        <w:rPr>
          <w:rFonts w:cs="Arial"/>
          <w:b/>
          <w:bCs/>
          <w:i/>
          <w:iCs/>
        </w:rPr>
        <w:t xml:space="preserve"> and malicious prosecution </w:t>
      </w:r>
      <w:r w:rsidR="001D26B8">
        <w:rPr>
          <w:rFonts w:cs="Arial"/>
          <w:b/>
          <w:bCs/>
          <w:i/>
          <w:iCs/>
        </w:rPr>
        <w:t>become due</w:t>
      </w:r>
      <w:r>
        <w:rPr>
          <w:rFonts w:cs="Arial"/>
          <w:b/>
          <w:bCs/>
          <w:i/>
          <w:iCs/>
        </w:rPr>
        <w:t>?</w:t>
      </w:r>
    </w:p>
    <w:p w14:paraId="75DF967A" w14:textId="3A7FCDB2" w:rsidR="00DB715D" w:rsidRPr="007F700D" w:rsidRDefault="007F700D" w:rsidP="007F700D">
      <w:pPr>
        <w:spacing w:before="360" w:after="120" w:line="480" w:lineRule="auto"/>
        <w:ind w:left="709" w:hanging="720"/>
        <w:rPr>
          <w:rFonts w:cs="Arial"/>
        </w:rPr>
      </w:pPr>
      <w:r>
        <w:rPr>
          <w:rFonts w:cs="Arial"/>
        </w:rPr>
        <w:t>[43]</w:t>
      </w:r>
      <w:r>
        <w:rPr>
          <w:rFonts w:cs="Arial"/>
        </w:rPr>
        <w:tab/>
      </w:r>
      <w:r w:rsidR="00696BF9" w:rsidRPr="007F700D">
        <w:rPr>
          <w:rFonts w:cs="Arial"/>
        </w:rPr>
        <w:t xml:space="preserve">It is convenient to deal with the last </w:t>
      </w:r>
      <w:r w:rsidR="00DD544D" w:rsidRPr="007F700D">
        <w:rPr>
          <w:rFonts w:cs="Arial"/>
        </w:rPr>
        <w:t xml:space="preserve">of these claims (i.e., the one </w:t>
      </w:r>
      <w:r w:rsidR="00457C61" w:rsidRPr="007F700D">
        <w:rPr>
          <w:rFonts w:cs="Arial"/>
        </w:rPr>
        <w:t>based on</w:t>
      </w:r>
      <w:r w:rsidR="00DD544D" w:rsidRPr="007F700D">
        <w:rPr>
          <w:rFonts w:cs="Arial"/>
        </w:rPr>
        <w:t xml:space="preserve"> </w:t>
      </w:r>
      <w:r w:rsidR="001F6FE8" w:rsidRPr="007F700D">
        <w:rPr>
          <w:rFonts w:cs="Arial"/>
        </w:rPr>
        <w:t>malicious prosecution) at the outset.</w:t>
      </w:r>
    </w:p>
    <w:p w14:paraId="64C489B2" w14:textId="7ED075DF" w:rsidR="008E6D9A" w:rsidRPr="007F700D" w:rsidRDefault="007F700D" w:rsidP="007F700D">
      <w:pPr>
        <w:spacing w:before="360" w:after="120" w:line="480" w:lineRule="auto"/>
        <w:ind w:left="709" w:hanging="720"/>
        <w:rPr>
          <w:rFonts w:cs="Arial"/>
        </w:rPr>
      </w:pPr>
      <w:r>
        <w:rPr>
          <w:rFonts w:cs="Arial"/>
        </w:rPr>
        <w:t>[44]</w:t>
      </w:r>
      <w:r>
        <w:rPr>
          <w:rFonts w:cs="Arial"/>
        </w:rPr>
        <w:tab/>
      </w:r>
      <w:r w:rsidR="00E45317" w:rsidRPr="007F700D">
        <w:rPr>
          <w:rFonts w:cs="Arial"/>
        </w:rPr>
        <w:t xml:space="preserve">It is trite that </w:t>
      </w:r>
      <w:r w:rsidR="00350630" w:rsidRPr="007F700D">
        <w:rPr>
          <w:rFonts w:cs="Arial"/>
        </w:rPr>
        <w:t xml:space="preserve">no action </w:t>
      </w:r>
      <w:r w:rsidR="004B2E20" w:rsidRPr="007F700D">
        <w:rPr>
          <w:rFonts w:cs="Arial"/>
        </w:rPr>
        <w:t xml:space="preserve">based on </w:t>
      </w:r>
      <w:r w:rsidR="00365DEC" w:rsidRPr="007F700D">
        <w:rPr>
          <w:rFonts w:cs="Arial"/>
        </w:rPr>
        <w:t xml:space="preserve">malicious prosecution will become due until </w:t>
      </w:r>
      <w:r w:rsidR="001F4229" w:rsidRPr="007F700D">
        <w:rPr>
          <w:rFonts w:cs="Arial"/>
        </w:rPr>
        <w:t xml:space="preserve">the </w:t>
      </w:r>
      <w:r w:rsidR="00570821" w:rsidRPr="007F700D">
        <w:rPr>
          <w:rFonts w:cs="Arial"/>
        </w:rPr>
        <w:t xml:space="preserve">criminal proceedings </w:t>
      </w:r>
      <w:r w:rsidR="002904A9" w:rsidRPr="007F700D">
        <w:rPr>
          <w:rFonts w:cs="Arial"/>
        </w:rPr>
        <w:t xml:space="preserve">have terminated in the plaintiff’s </w:t>
      </w:r>
      <w:r w:rsidR="00A146E9" w:rsidRPr="007F700D">
        <w:rPr>
          <w:rFonts w:cs="Arial"/>
        </w:rPr>
        <w:t xml:space="preserve">favour.  </w:t>
      </w:r>
      <w:r w:rsidR="006950E2" w:rsidRPr="007F700D">
        <w:rPr>
          <w:rFonts w:cs="Arial"/>
        </w:rPr>
        <w:t xml:space="preserve">This </w:t>
      </w:r>
      <w:r w:rsidR="00E1752B" w:rsidRPr="007F700D">
        <w:rPr>
          <w:rFonts w:cs="Arial"/>
        </w:rPr>
        <w:t xml:space="preserve">was the position </w:t>
      </w:r>
      <w:r w:rsidR="009A5438" w:rsidRPr="007F700D">
        <w:rPr>
          <w:rFonts w:cs="Arial"/>
        </w:rPr>
        <w:t xml:space="preserve">128 </w:t>
      </w:r>
      <w:r w:rsidR="007009E3" w:rsidRPr="007F700D">
        <w:rPr>
          <w:rFonts w:cs="Arial"/>
        </w:rPr>
        <w:t>years ago</w:t>
      </w:r>
      <w:r w:rsidR="004E2A1A" w:rsidRPr="007F700D">
        <w:rPr>
          <w:rFonts w:cs="Arial"/>
        </w:rPr>
        <w:t>,</w:t>
      </w:r>
      <w:r w:rsidR="007009E3" w:rsidRPr="007F700D">
        <w:rPr>
          <w:rFonts w:cs="Arial"/>
        </w:rPr>
        <w:t xml:space="preserve"> </w:t>
      </w:r>
      <w:r w:rsidR="006E43EB" w:rsidRPr="007F700D">
        <w:rPr>
          <w:rFonts w:cs="Arial"/>
        </w:rPr>
        <w:t xml:space="preserve">when </w:t>
      </w:r>
      <w:proofErr w:type="spellStart"/>
      <w:r w:rsidR="00001791" w:rsidRPr="007F700D">
        <w:rPr>
          <w:rFonts w:cs="Arial"/>
          <w:b/>
          <w:bCs/>
          <w:i/>
          <w:iCs/>
        </w:rPr>
        <w:t>Lemue</w:t>
      </w:r>
      <w:proofErr w:type="spellEnd"/>
      <w:r w:rsidR="00001791" w:rsidRPr="007F700D">
        <w:rPr>
          <w:rFonts w:cs="Arial"/>
          <w:b/>
          <w:bCs/>
          <w:i/>
          <w:iCs/>
        </w:rPr>
        <w:t xml:space="preserve"> v </w:t>
      </w:r>
      <w:proofErr w:type="spellStart"/>
      <w:r w:rsidR="00001791" w:rsidRPr="007F700D">
        <w:rPr>
          <w:rFonts w:cs="Arial"/>
          <w:b/>
          <w:bCs/>
          <w:i/>
          <w:iCs/>
        </w:rPr>
        <w:t>Zwartbooi</w:t>
      </w:r>
      <w:proofErr w:type="spellEnd"/>
      <w:r w:rsidR="00727111" w:rsidRPr="007F700D">
        <w:rPr>
          <w:rFonts w:cs="Arial"/>
        </w:rPr>
        <w:t> </w:t>
      </w:r>
      <w:r w:rsidR="00A96146">
        <w:rPr>
          <w:rStyle w:val="FootnoteReference"/>
          <w:rFonts w:cs="Arial"/>
        </w:rPr>
        <w:footnoteReference w:id="85"/>
      </w:r>
      <w:r w:rsidR="00001791" w:rsidRPr="007F700D">
        <w:rPr>
          <w:rFonts w:cs="Arial"/>
        </w:rPr>
        <w:t xml:space="preserve"> </w:t>
      </w:r>
      <w:r w:rsidR="00CF1CFE" w:rsidRPr="007F700D">
        <w:rPr>
          <w:rFonts w:cs="Arial"/>
        </w:rPr>
        <w:t xml:space="preserve">was decided by </w:t>
      </w:r>
      <w:r w:rsidR="00001791" w:rsidRPr="007F700D">
        <w:rPr>
          <w:rFonts w:cs="Arial"/>
        </w:rPr>
        <w:t xml:space="preserve">a full bench </w:t>
      </w:r>
      <w:r w:rsidR="0003426C" w:rsidRPr="007F700D">
        <w:rPr>
          <w:rFonts w:cs="Arial"/>
        </w:rPr>
        <w:t>of</w:t>
      </w:r>
      <w:r w:rsidR="00001791" w:rsidRPr="007F700D">
        <w:rPr>
          <w:rFonts w:cs="Arial"/>
        </w:rPr>
        <w:t xml:space="preserve"> the former Supreme Court of the Cape of Good Hope</w:t>
      </w:r>
      <w:r w:rsidR="004E2A1A" w:rsidRPr="007F700D">
        <w:rPr>
          <w:rFonts w:cs="Arial"/>
        </w:rPr>
        <w:t xml:space="preserve">, and </w:t>
      </w:r>
      <w:r w:rsidR="00FA3935" w:rsidRPr="007F700D">
        <w:rPr>
          <w:rFonts w:cs="Arial"/>
        </w:rPr>
        <w:t>it is still the position today</w:t>
      </w:r>
      <w:r w:rsidR="00001791" w:rsidRPr="007F700D">
        <w:rPr>
          <w:rFonts w:cs="Arial"/>
        </w:rPr>
        <w:t xml:space="preserve">.  </w:t>
      </w:r>
      <w:r w:rsidR="00CA0AAF" w:rsidRPr="007F700D">
        <w:rPr>
          <w:rFonts w:cs="Arial"/>
        </w:rPr>
        <w:t xml:space="preserve">The facts in </w:t>
      </w:r>
      <w:proofErr w:type="spellStart"/>
      <w:r w:rsidR="00CA0AAF" w:rsidRPr="007F700D">
        <w:rPr>
          <w:rFonts w:cs="Arial"/>
          <w:b/>
          <w:bCs/>
          <w:i/>
          <w:iCs/>
        </w:rPr>
        <w:t>Lemue</w:t>
      </w:r>
      <w:proofErr w:type="spellEnd"/>
      <w:r w:rsidR="00CA0AAF" w:rsidRPr="007F700D">
        <w:rPr>
          <w:rFonts w:cs="Arial"/>
        </w:rPr>
        <w:t xml:space="preserve"> </w:t>
      </w:r>
      <w:r w:rsidR="00FA3935" w:rsidRPr="007F700D">
        <w:rPr>
          <w:rFonts w:cs="Arial"/>
        </w:rPr>
        <w:t xml:space="preserve">were that </w:t>
      </w:r>
      <w:proofErr w:type="spellStart"/>
      <w:r w:rsidR="00001791" w:rsidRPr="007F700D">
        <w:rPr>
          <w:rFonts w:cs="Arial"/>
        </w:rPr>
        <w:t>Zwartbooi</w:t>
      </w:r>
      <w:proofErr w:type="spellEnd"/>
      <w:r w:rsidR="00001791" w:rsidRPr="007F700D">
        <w:rPr>
          <w:rFonts w:cs="Arial"/>
        </w:rPr>
        <w:t xml:space="preserve"> </w:t>
      </w:r>
      <w:r w:rsidR="00D942B6" w:rsidRPr="007F700D">
        <w:rPr>
          <w:rFonts w:cs="Arial"/>
        </w:rPr>
        <w:t>(</w:t>
      </w:r>
      <w:r w:rsidR="00D942B6" w:rsidRPr="007F700D">
        <w:rPr>
          <w:rFonts w:cs="Arial"/>
          <w:b/>
          <w:bCs/>
        </w:rPr>
        <w:t>Z</w:t>
      </w:r>
      <w:r w:rsidR="00D942B6" w:rsidRPr="007F700D">
        <w:rPr>
          <w:rFonts w:cs="Arial"/>
        </w:rPr>
        <w:t xml:space="preserve">) </w:t>
      </w:r>
      <w:r w:rsidR="00001791" w:rsidRPr="007F700D">
        <w:rPr>
          <w:rFonts w:cs="Arial"/>
        </w:rPr>
        <w:t xml:space="preserve">(the respondent in the appeal) was </w:t>
      </w:r>
      <w:r w:rsidR="000079EE" w:rsidRPr="007F700D">
        <w:rPr>
          <w:rFonts w:cs="Arial"/>
        </w:rPr>
        <w:t xml:space="preserve">employed </w:t>
      </w:r>
      <w:r w:rsidR="00D93859" w:rsidRPr="007F700D">
        <w:rPr>
          <w:rFonts w:cs="Arial"/>
        </w:rPr>
        <w:t xml:space="preserve">as a herd by </w:t>
      </w:r>
      <w:proofErr w:type="spellStart"/>
      <w:r w:rsidR="00D93859" w:rsidRPr="007F700D">
        <w:rPr>
          <w:rFonts w:cs="Arial"/>
        </w:rPr>
        <w:t>Lemue</w:t>
      </w:r>
      <w:proofErr w:type="spellEnd"/>
      <w:r w:rsidR="00D942B6" w:rsidRPr="007F700D">
        <w:rPr>
          <w:rFonts w:cs="Arial"/>
        </w:rPr>
        <w:t xml:space="preserve"> (</w:t>
      </w:r>
      <w:r w:rsidR="00D942B6" w:rsidRPr="007F700D">
        <w:rPr>
          <w:rFonts w:cs="Arial"/>
          <w:b/>
          <w:bCs/>
        </w:rPr>
        <w:t>L</w:t>
      </w:r>
      <w:r w:rsidR="00D942B6" w:rsidRPr="007F700D">
        <w:rPr>
          <w:rFonts w:cs="Arial"/>
        </w:rPr>
        <w:t>)</w:t>
      </w:r>
      <w:r w:rsidR="00CA556C" w:rsidRPr="007F700D">
        <w:rPr>
          <w:rFonts w:cs="Arial"/>
        </w:rPr>
        <w:t xml:space="preserve"> </w:t>
      </w:r>
      <w:r w:rsidR="00632EBE" w:rsidRPr="007F700D">
        <w:rPr>
          <w:rFonts w:cs="Arial"/>
        </w:rPr>
        <w:t xml:space="preserve">(the appellant in the appeal). </w:t>
      </w:r>
      <w:r w:rsidR="008F3356" w:rsidRPr="007F700D">
        <w:rPr>
          <w:rFonts w:cs="Arial"/>
        </w:rPr>
        <w:t xml:space="preserve"> On 27 April 1896, L charged Z with </w:t>
      </w:r>
      <w:r w:rsidR="00663741" w:rsidRPr="007F700D">
        <w:rPr>
          <w:rFonts w:cs="Arial"/>
        </w:rPr>
        <w:t xml:space="preserve">the contravention of a statutory offence for </w:t>
      </w:r>
      <w:r w:rsidR="00E32456" w:rsidRPr="007F700D">
        <w:rPr>
          <w:rFonts w:cs="Arial"/>
        </w:rPr>
        <w:t xml:space="preserve">having </w:t>
      </w:r>
      <w:r w:rsidR="008F3356" w:rsidRPr="007F700D">
        <w:rPr>
          <w:rFonts w:cs="Arial"/>
        </w:rPr>
        <w:t>absent</w:t>
      </w:r>
      <w:r w:rsidR="00CF46A9" w:rsidRPr="007F700D">
        <w:rPr>
          <w:rFonts w:cs="Arial"/>
        </w:rPr>
        <w:t>ed</w:t>
      </w:r>
      <w:r w:rsidR="008F3356" w:rsidRPr="007F700D">
        <w:rPr>
          <w:rFonts w:cs="Arial"/>
        </w:rPr>
        <w:t xml:space="preserve"> himself from his </w:t>
      </w:r>
      <w:r w:rsidR="00CF46A9" w:rsidRPr="007F700D">
        <w:rPr>
          <w:rFonts w:cs="Arial"/>
        </w:rPr>
        <w:t xml:space="preserve">service </w:t>
      </w:r>
      <w:r w:rsidR="008F3356" w:rsidRPr="007F700D">
        <w:rPr>
          <w:rFonts w:cs="Arial"/>
        </w:rPr>
        <w:t>without lawful cause.</w:t>
      </w:r>
      <w:r w:rsidR="00E32456" w:rsidRPr="007F700D">
        <w:rPr>
          <w:rFonts w:cs="Arial"/>
        </w:rPr>
        <w:t xml:space="preserve">  </w:t>
      </w:r>
      <w:r w:rsidR="0000741C" w:rsidRPr="007F700D">
        <w:rPr>
          <w:rFonts w:cs="Arial"/>
        </w:rPr>
        <w:t xml:space="preserve">The </w:t>
      </w:r>
      <w:r w:rsidR="00C83AF7" w:rsidRPr="007F700D">
        <w:rPr>
          <w:rFonts w:cs="Arial"/>
        </w:rPr>
        <w:t>m</w:t>
      </w:r>
      <w:r w:rsidR="0000741C" w:rsidRPr="007F700D">
        <w:rPr>
          <w:rFonts w:cs="Arial"/>
        </w:rPr>
        <w:t>agistrate of Albert</w:t>
      </w:r>
      <w:r w:rsidR="005D70B1" w:rsidRPr="007F700D">
        <w:rPr>
          <w:rFonts w:cs="Arial"/>
        </w:rPr>
        <w:t>,</w:t>
      </w:r>
      <w:r w:rsidR="0000741C" w:rsidRPr="007F700D">
        <w:rPr>
          <w:rFonts w:cs="Arial"/>
        </w:rPr>
        <w:t xml:space="preserve"> </w:t>
      </w:r>
      <w:r w:rsidR="005D70B1" w:rsidRPr="007F700D">
        <w:rPr>
          <w:rFonts w:cs="Arial"/>
        </w:rPr>
        <w:t xml:space="preserve">who tried the case, </w:t>
      </w:r>
      <w:r w:rsidR="0000741C" w:rsidRPr="007F700D">
        <w:rPr>
          <w:rFonts w:cs="Arial"/>
        </w:rPr>
        <w:t>dismissed the charge against</w:t>
      </w:r>
      <w:r w:rsidR="00875817" w:rsidRPr="007F700D">
        <w:rPr>
          <w:rFonts w:cs="Arial"/>
        </w:rPr>
        <w:t xml:space="preserve"> Z</w:t>
      </w:r>
      <w:r w:rsidR="0000741C" w:rsidRPr="007F700D">
        <w:rPr>
          <w:rFonts w:cs="Arial"/>
        </w:rPr>
        <w:t xml:space="preserve"> because </w:t>
      </w:r>
      <w:r w:rsidR="00C83AF7" w:rsidRPr="007F700D">
        <w:rPr>
          <w:rFonts w:cs="Arial"/>
        </w:rPr>
        <w:t xml:space="preserve">the </w:t>
      </w:r>
      <w:r w:rsidR="007F45B4" w:rsidRPr="007F700D">
        <w:rPr>
          <w:rFonts w:cs="Arial"/>
        </w:rPr>
        <w:t xml:space="preserve">magistrate </w:t>
      </w:r>
      <w:r w:rsidR="0000741C" w:rsidRPr="007F700D">
        <w:rPr>
          <w:rFonts w:cs="Arial"/>
        </w:rPr>
        <w:t xml:space="preserve">believed that </w:t>
      </w:r>
      <w:r w:rsidR="00875817" w:rsidRPr="007F700D">
        <w:rPr>
          <w:rFonts w:cs="Arial"/>
        </w:rPr>
        <w:t xml:space="preserve">Z </w:t>
      </w:r>
      <w:r w:rsidR="0000741C" w:rsidRPr="007F700D">
        <w:rPr>
          <w:rFonts w:cs="Arial"/>
        </w:rPr>
        <w:t xml:space="preserve">had </w:t>
      </w:r>
      <w:r w:rsidR="00875817" w:rsidRPr="007F700D">
        <w:rPr>
          <w:rFonts w:cs="Arial"/>
        </w:rPr>
        <w:t xml:space="preserve">requested </w:t>
      </w:r>
      <w:r w:rsidR="007F45B4" w:rsidRPr="007F700D">
        <w:rPr>
          <w:rFonts w:cs="Arial"/>
        </w:rPr>
        <w:t xml:space="preserve">L’s </w:t>
      </w:r>
      <w:r w:rsidR="00875817" w:rsidRPr="007F700D">
        <w:rPr>
          <w:rFonts w:cs="Arial"/>
        </w:rPr>
        <w:t xml:space="preserve">consent </w:t>
      </w:r>
      <w:r w:rsidR="00783D62" w:rsidRPr="007F700D">
        <w:rPr>
          <w:rFonts w:cs="Arial"/>
        </w:rPr>
        <w:t xml:space="preserve">to absent himself </w:t>
      </w:r>
      <w:r w:rsidR="0000741C" w:rsidRPr="007F700D">
        <w:rPr>
          <w:rFonts w:cs="Arial"/>
        </w:rPr>
        <w:t xml:space="preserve">to go to </w:t>
      </w:r>
      <w:proofErr w:type="spellStart"/>
      <w:r w:rsidR="0000741C" w:rsidRPr="007F700D">
        <w:rPr>
          <w:rFonts w:cs="Arial"/>
        </w:rPr>
        <w:t>Burghersdorp</w:t>
      </w:r>
      <w:proofErr w:type="spellEnd"/>
      <w:r w:rsidR="00783D62" w:rsidRPr="007F700D">
        <w:rPr>
          <w:rFonts w:cs="Arial"/>
        </w:rPr>
        <w:t xml:space="preserve">.  </w:t>
      </w:r>
      <w:r w:rsidR="00F343B9" w:rsidRPr="007F700D">
        <w:rPr>
          <w:rFonts w:cs="Arial"/>
        </w:rPr>
        <w:t xml:space="preserve">Thereafter, </w:t>
      </w:r>
      <w:r w:rsidR="00C83AF7" w:rsidRPr="007F700D">
        <w:rPr>
          <w:rFonts w:cs="Arial"/>
        </w:rPr>
        <w:t>on 9</w:t>
      </w:r>
      <w:r w:rsidR="00CB7B91" w:rsidRPr="007F700D">
        <w:rPr>
          <w:rFonts w:cs="Arial"/>
        </w:rPr>
        <w:t xml:space="preserve"> </w:t>
      </w:r>
      <w:r w:rsidR="00C83AF7" w:rsidRPr="007F700D">
        <w:rPr>
          <w:rFonts w:cs="Arial"/>
        </w:rPr>
        <w:t>May</w:t>
      </w:r>
      <w:r w:rsidR="00CB7B91" w:rsidRPr="007F700D">
        <w:rPr>
          <w:rFonts w:cs="Arial"/>
        </w:rPr>
        <w:t xml:space="preserve"> 1986</w:t>
      </w:r>
      <w:r w:rsidR="00C83AF7" w:rsidRPr="007F700D">
        <w:rPr>
          <w:rFonts w:cs="Arial"/>
        </w:rPr>
        <w:t xml:space="preserve">, a preliminary examination was held before the </w:t>
      </w:r>
      <w:r w:rsidR="00CB7B91" w:rsidRPr="007F700D">
        <w:rPr>
          <w:rFonts w:cs="Arial"/>
        </w:rPr>
        <w:t>a</w:t>
      </w:r>
      <w:r w:rsidR="00C83AF7" w:rsidRPr="007F700D">
        <w:rPr>
          <w:rFonts w:cs="Arial"/>
        </w:rPr>
        <w:t xml:space="preserve">ssistant </w:t>
      </w:r>
      <w:r w:rsidR="00CB7B91" w:rsidRPr="007F700D">
        <w:rPr>
          <w:rFonts w:cs="Arial"/>
        </w:rPr>
        <w:t>r</w:t>
      </w:r>
      <w:r w:rsidR="00C83AF7" w:rsidRPr="007F700D">
        <w:rPr>
          <w:rFonts w:cs="Arial"/>
        </w:rPr>
        <w:t xml:space="preserve">esident </w:t>
      </w:r>
      <w:r w:rsidR="00CB7B91" w:rsidRPr="007F700D">
        <w:rPr>
          <w:rFonts w:cs="Arial"/>
        </w:rPr>
        <w:t>m</w:t>
      </w:r>
      <w:r w:rsidR="00C83AF7" w:rsidRPr="007F700D">
        <w:rPr>
          <w:rFonts w:cs="Arial"/>
        </w:rPr>
        <w:t xml:space="preserve">agistrate of Albert on a charge of perjury </w:t>
      </w:r>
      <w:r w:rsidR="00F32A35" w:rsidRPr="007F700D">
        <w:rPr>
          <w:rFonts w:cs="Arial"/>
        </w:rPr>
        <w:t xml:space="preserve">that L </w:t>
      </w:r>
      <w:r w:rsidR="00DF4555" w:rsidRPr="007F700D">
        <w:rPr>
          <w:rFonts w:cs="Arial"/>
        </w:rPr>
        <w:t xml:space="preserve">had </w:t>
      </w:r>
      <w:r w:rsidR="00C83AF7" w:rsidRPr="007F700D">
        <w:rPr>
          <w:rFonts w:cs="Arial"/>
        </w:rPr>
        <w:t>instituted against</w:t>
      </w:r>
      <w:r w:rsidR="00F32A35" w:rsidRPr="007F700D">
        <w:rPr>
          <w:rFonts w:cs="Arial"/>
        </w:rPr>
        <w:t xml:space="preserve"> Z</w:t>
      </w:r>
      <w:r w:rsidR="00DF4555" w:rsidRPr="007F700D">
        <w:rPr>
          <w:rFonts w:cs="Arial"/>
        </w:rPr>
        <w:t xml:space="preserve">.  </w:t>
      </w:r>
      <w:r w:rsidR="003079E6" w:rsidRPr="007F700D">
        <w:rPr>
          <w:rFonts w:cs="Arial"/>
        </w:rPr>
        <w:t xml:space="preserve">L and his </w:t>
      </w:r>
      <w:r w:rsidR="007D0150" w:rsidRPr="007F700D">
        <w:rPr>
          <w:rFonts w:cs="Arial"/>
        </w:rPr>
        <w:t xml:space="preserve">wife had both deposed to affidavits </w:t>
      </w:r>
      <w:r w:rsidR="00A60FE7" w:rsidRPr="007F700D">
        <w:rPr>
          <w:rFonts w:cs="Arial"/>
        </w:rPr>
        <w:t>that Z</w:t>
      </w:r>
      <w:r w:rsidR="00C83AF7" w:rsidRPr="007F700D">
        <w:rPr>
          <w:rFonts w:cs="Arial"/>
        </w:rPr>
        <w:t xml:space="preserve"> had given false evidence at the previous trial. </w:t>
      </w:r>
      <w:r w:rsidR="000C11FB" w:rsidRPr="007F700D">
        <w:rPr>
          <w:rFonts w:cs="Arial"/>
        </w:rPr>
        <w:t xml:space="preserve"> </w:t>
      </w:r>
      <w:r w:rsidR="00A60FE7" w:rsidRPr="007F700D">
        <w:rPr>
          <w:rFonts w:cs="Arial"/>
        </w:rPr>
        <w:t xml:space="preserve">A </w:t>
      </w:r>
      <w:r w:rsidR="00C83AF7" w:rsidRPr="007F700D">
        <w:rPr>
          <w:rFonts w:cs="Arial"/>
        </w:rPr>
        <w:t xml:space="preserve">warrant </w:t>
      </w:r>
      <w:r w:rsidR="00A60FE7" w:rsidRPr="007F700D">
        <w:rPr>
          <w:rFonts w:cs="Arial"/>
        </w:rPr>
        <w:t xml:space="preserve">for Z’s arrest was </w:t>
      </w:r>
      <w:r w:rsidR="00C83AF7" w:rsidRPr="007F700D">
        <w:rPr>
          <w:rFonts w:cs="Arial"/>
        </w:rPr>
        <w:t xml:space="preserve">issued by the </w:t>
      </w:r>
      <w:bookmarkStart w:id="57" w:name="_Hlk159238823"/>
      <w:r w:rsidR="00B14B89" w:rsidRPr="007F700D">
        <w:rPr>
          <w:rFonts w:cs="Arial"/>
        </w:rPr>
        <w:t xml:space="preserve">assistant </w:t>
      </w:r>
      <w:r w:rsidR="00A60FE7" w:rsidRPr="007F700D">
        <w:rPr>
          <w:rFonts w:cs="Arial"/>
        </w:rPr>
        <w:t xml:space="preserve">resident </w:t>
      </w:r>
      <w:bookmarkEnd w:id="57"/>
      <w:r w:rsidR="00A60FE7" w:rsidRPr="007F700D">
        <w:rPr>
          <w:rFonts w:cs="Arial"/>
        </w:rPr>
        <w:t xml:space="preserve">magistrate </w:t>
      </w:r>
      <w:r w:rsidR="00C83AF7" w:rsidRPr="007F700D">
        <w:rPr>
          <w:rFonts w:cs="Arial"/>
        </w:rPr>
        <w:t>after</w:t>
      </w:r>
      <w:r w:rsidR="00A60FE7" w:rsidRPr="007F700D">
        <w:rPr>
          <w:rFonts w:cs="Arial"/>
        </w:rPr>
        <w:t xml:space="preserve"> L and his wife had </w:t>
      </w:r>
      <w:r w:rsidR="00A264E5" w:rsidRPr="007F700D">
        <w:rPr>
          <w:rFonts w:cs="Arial"/>
        </w:rPr>
        <w:t>made</w:t>
      </w:r>
      <w:r w:rsidR="00742724" w:rsidRPr="007F700D">
        <w:rPr>
          <w:rFonts w:cs="Arial"/>
        </w:rPr>
        <w:t xml:space="preserve"> the </w:t>
      </w:r>
      <w:r w:rsidR="00C83AF7" w:rsidRPr="007F700D">
        <w:rPr>
          <w:rFonts w:cs="Arial"/>
        </w:rPr>
        <w:t>affidavits</w:t>
      </w:r>
      <w:r w:rsidR="00A264E5" w:rsidRPr="007F700D">
        <w:rPr>
          <w:rFonts w:cs="Arial"/>
        </w:rPr>
        <w:t>.</w:t>
      </w:r>
      <w:r w:rsidR="00C83AF7" w:rsidRPr="007F700D">
        <w:rPr>
          <w:rFonts w:cs="Arial"/>
        </w:rPr>
        <w:t xml:space="preserve"> </w:t>
      </w:r>
      <w:r w:rsidR="00A264E5" w:rsidRPr="007F700D">
        <w:rPr>
          <w:rFonts w:cs="Arial"/>
        </w:rPr>
        <w:t xml:space="preserve"> </w:t>
      </w:r>
      <w:r w:rsidR="00C83AF7" w:rsidRPr="007F700D">
        <w:rPr>
          <w:rFonts w:cs="Arial"/>
        </w:rPr>
        <w:t>On the record of th</w:t>
      </w:r>
      <w:r w:rsidR="00A264E5" w:rsidRPr="007F700D">
        <w:rPr>
          <w:rFonts w:cs="Arial"/>
        </w:rPr>
        <w:t>e</w:t>
      </w:r>
      <w:r w:rsidR="00C83AF7" w:rsidRPr="007F700D">
        <w:rPr>
          <w:rFonts w:cs="Arial"/>
        </w:rPr>
        <w:t xml:space="preserve"> preliminary examination</w:t>
      </w:r>
      <w:r w:rsidR="00B47823" w:rsidRPr="007F700D">
        <w:rPr>
          <w:rFonts w:cs="Arial"/>
        </w:rPr>
        <w:t>, which was</w:t>
      </w:r>
      <w:r w:rsidR="00C83AF7" w:rsidRPr="007F700D">
        <w:rPr>
          <w:rFonts w:cs="Arial"/>
        </w:rPr>
        <w:t xml:space="preserve"> sent to the Solicitor-General</w:t>
      </w:r>
      <w:r w:rsidR="00742724" w:rsidRPr="007F700D">
        <w:rPr>
          <w:rFonts w:cs="Arial"/>
        </w:rPr>
        <w:t xml:space="preserve"> for consideration</w:t>
      </w:r>
      <w:r w:rsidR="00C83AF7" w:rsidRPr="007F700D">
        <w:rPr>
          <w:rFonts w:cs="Arial"/>
        </w:rPr>
        <w:t xml:space="preserve">, </w:t>
      </w:r>
      <w:r w:rsidR="00B47823" w:rsidRPr="007F700D">
        <w:rPr>
          <w:rFonts w:cs="Arial"/>
        </w:rPr>
        <w:t>the latter</w:t>
      </w:r>
      <w:r w:rsidR="00C83AF7" w:rsidRPr="007F700D">
        <w:rPr>
          <w:rFonts w:cs="Arial"/>
        </w:rPr>
        <w:t xml:space="preserve"> declined to prosecute, and </w:t>
      </w:r>
      <w:r w:rsidR="00B47823" w:rsidRPr="007F700D">
        <w:rPr>
          <w:rFonts w:cs="Arial"/>
        </w:rPr>
        <w:t xml:space="preserve">Z </w:t>
      </w:r>
      <w:r w:rsidR="00C83AF7" w:rsidRPr="007F700D">
        <w:rPr>
          <w:rFonts w:cs="Arial"/>
        </w:rPr>
        <w:t>was discharged.</w:t>
      </w:r>
      <w:r w:rsidR="00B47823" w:rsidRPr="007F700D">
        <w:rPr>
          <w:rFonts w:cs="Arial"/>
        </w:rPr>
        <w:t xml:space="preserve">  </w:t>
      </w:r>
      <w:r w:rsidR="0096267A" w:rsidRPr="007F700D">
        <w:rPr>
          <w:rFonts w:cs="Arial"/>
        </w:rPr>
        <w:t xml:space="preserve">Z </w:t>
      </w:r>
      <w:r w:rsidR="00001791" w:rsidRPr="007F700D">
        <w:rPr>
          <w:rFonts w:cs="Arial"/>
        </w:rPr>
        <w:t>the</w:t>
      </w:r>
      <w:r w:rsidR="0096267A" w:rsidRPr="007F700D">
        <w:rPr>
          <w:rFonts w:cs="Arial"/>
        </w:rPr>
        <w:t>n</w:t>
      </w:r>
      <w:r w:rsidR="00001791" w:rsidRPr="007F700D">
        <w:rPr>
          <w:rFonts w:cs="Arial"/>
        </w:rPr>
        <w:t xml:space="preserve"> </w:t>
      </w:r>
      <w:r w:rsidR="0096267A" w:rsidRPr="007F700D">
        <w:rPr>
          <w:rFonts w:cs="Arial"/>
        </w:rPr>
        <w:t>instituted</w:t>
      </w:r>
      <w:r w:rsidR="00001791" w:rsidRPr="007F700D">
        <w:rPr>
          <w:rFonts w:cs="Arial"/>
        </w:rPr>
        <w:t xml:space="preserve"> an action for damages </w:t>
      </w:r>
      <w:r w:rsidR="00270998" w:rsidRPr="007F700D">
        <w:rPr>
          <w:rFonts w:cs="Arial"/>
        </w:rPr>
        <w:t xml:space="preserve">against L </w:t>
      </w:r>
      <w:r w:rsidR="00267431" w:rsidRPr="007F700D">
        <w:rPr>
          <w:rFonts w:cs="Arial"/>
        </w:rPr>
        <w:t xml:space="preserve">in the sum of £20 </w:t>
      </w:r>
      <w:r w:rsidR="00001791" w:rsidRPr="007F700D">
        <w:rPr>
          <w:rFonts w:cs="Arial"/>
        </w:rPr>
        <w:t xml:space="preserve">for malicious arrest and prosecution.  The </w:t>
      </w:r>
      <w:r w:rsidR="00B14B89" w:rsidRPr="007F700D">
        <w:rPr>
          <w:rFonts w:cs="Arial"/>
        </w:rPr>
        <w:t xml:space="preserve">assistant resident </w:t>
      </w:r>
      <w:r w:rsidR="00001791" w:rsidRPr="007F700D">
        <w:rPr>
          <w:rFonts w:cs="Arial"/>
        </w:rPr>
        <w:t xml:space="preserve">magistrate upheld </w:t>
      </w:r>
      <w:r w:rsidR="00001791" w:rsidRPr="007F700D">
        <w:rPr>
          <w:rFonts w:cs="Arial"/>
        </w:rPr>
        <w:lastRenderedPageBreak/>
        <w:t xml:space="preserve">the </w:t>
      </w:r>
      <w:r w:rsidR="00B14B89" w:rsidRPr="007F700D">
        <w:rPr>
          <w:rFonts w:cs="Arial"/>
        </w:rPr>
        <w:t>Z</w:t>
      </w:r>
      <w:r w:rsidR="00001791" w:rsidRPr="007F700D">
        <w:rPr>
          <w:rFonts w:cs="Arial"/>
        </w:rPr>
        <w:t xml:space="preserve">’s claim for damages </w:t>
      </w:r>
      <w:r w:rsidR="00B14B89" w:rsidRPr="007F700D">
        <w:rPr>
          <w:rFonts w:cs="Arial"/>
        </w:rPr>
        <w:t xml:space="preserve">in the amount of </w:t>
      </w:r>
      <w:r w:rsidR="00001791" w:rsidRPr="007F700D">
        <w:rPr>
          <w:rFonts w:cs="Arial"/>
        </w:rPr>
        <w:t xml:space="preserve">£ 7 and costs.  </w:t>
      </w:r>
      <w:r w:rsidR="00B14B89" w:rsidRPr="007F700D">
        <w:rPr>
          <w:rFonts w:cs="Arial"/>
        </w:rPr>
        <w:t xml:space="preserve">L then </w:t>
      </w:r>
      <w:r w:rsidR="00001791" w:rsidRPr="007F700D">
        <w:rPr>
          <w:rFonts w:cs="Arial"/>
        </w:rPr>
        <w:t>appealed to the Supreme Court on the grounds that the prosecution had not terminated in</w:t>
      </w:r>
      <w:r w:rsidR="00B14B89" w:rsidRPr="007F700D">
        <w:rPr>
          <w:rFonts w:cs="Arial"/>
        </w:rPr>
        <w:t xml:space="preserve"> Z</w:t>
      </w:r>
      <w:r w:rsidR="00001791" w:rsidRPr="007F700D">
        <w:rPr>
          <w:rFonts w:cs="Arial"/>
        </w:rPr>
        <w:t xml:space="preserve">’s favour, but that the Solicitor-General had merely declined to prosecute him.  </w:t>
      </w:r>
    </w:p>
    <w:p w14:paraId="1357BD6B" w14:textId="589BB287" w:rsidR="00001791" w:rsidRPr="007F700D" w:rsidRDefault="007F700D" w:rsidP="007F700D">
      <w:pPr>
        <w:spacing w:before="360" w:after="120" w:line="480" w:lineRule="auto"/>
        <w:ind w:left="709" w:hanging="720"/>
        <w:rPr>
          <w:rFonts w:cs="Arial"/>
        </w:rPr>
      </w:pPr>
      <w:r>
        <w:rPr>
          <w:rFonts w:cs="Arial"/>
        </w:rPr>
        <w:t>[45]</w:t>
      </w:r>
      <w:r>
        <w:rPr>
          <w:rFonts w:cs="Arial"/>
        </w:rPr>
        <w:tab/>
      </w:r>
      <w:r w:rsidR="00001791" w:rsidRPr="007F700D">
        <w:rPr>
          <w:rFonts w:cs="Arial"/>
        </w:rPr>
        <w:t xml:space="preserve">It was in this context that De Villiers, CJ (with whom Buchanan, J and </w:t>
      </w:r>
      <w:proofErr w:type="spellStart"/>
      <w:r w:rsidR="00001791" w:rsidRPr="007F700D">
        <w:rPr>
          <w:rFonts w:cs="Arial"/>
        </w:rPr>
        <w:t>Maasdorp</w:t>
      </w:r>
      <w:proofErr w:type="spellEnd"/>
      <w:r w:rsidR="00001791" w:rsidRPr="007F700D">
        <w:rPr>
          <w:rFonts w:cs="Arial"/>
        </w:rPr>
        <w:t>, J concurred) stated that:</w:t>
      </w:r>
      <w:r w:rsidR="00001791">
        <w:rPr>
          <w:rStyle w:val="FootnoteReference"/>
          <w:rFonts w:cs="Arial"/>
        </w:rPr>
        <w:footnoteReference w:id="86"/>
      </w:r>
    </w:p>
    <w:p w14:paraId="280A7AB4" w14:textId="77777777" w:rsidR="00001791" w:rsidRDefault="00001791" w:rsidP="00001791">
      <w:pPr>
        <w:pStyle w:val="ListParagraph"/>
        <w:spacing w:before="120" w:after="120"/>
        <w:ind w:left="1418" w:right="521"/>
        <w:contextualSpacing w:val="0"/>
        <w:rPr>
          <w:rFonts w:cs="Arial"/>
        </w:rPr>
      </w:pPr>
      <w:r>
        <w:rPr>
          <w:rFonts w:cs="Arial"/>
        </w:rPr>
        <w:t>‘</w:t>
      </w:r>
      <w:proofErr w:type="spellStart"/>
      <w:r w:rsidRPr="00C07CAA">
        <w:rPr>
          <w:rFonts w:cs="Arial"/>
          <w:i/>
          <w:iCs/>
          <w:sz w:val="20"/>
          <w:szCs w:val="20"/>
        </w:rPr>
        <w:t>Matthæus</w:t>
      </w:r>
      <w:proofErr w:type="spellEnd"/>
      <w:r w:rsidRPr="00C07CAA">
        <w:rPr>
          <w:rFonts w:cs="Arial"/>
          <w:sz w:val="20"/>
          <w:szCs w:val="20"/>
        </w:rPr>
        <w:t xml:space="preserve"> (De Crim. p. 642) appears to doubt whether the </w:t>
      </w:r>
      <w:proofErr w:type="spellStart"/>
      <w:r w:rsidRPr="00C07CAA">
        <w:rPr>
          <w:rFonts w:cs="Arial"/>
          <w:i/>
          <w:iCs/>
          <w:sz w:val="20"/>
          <w:szCs w:val="20"/>
        </w:rPr>
        <w:t>actio</w:t>
      </w:r>
      <w:proofErr w:type="spellEnd"/>
      <w:r w:rsidRPr="00C07CAA">
        <w:rPr>
          <w:rFonts w:cs="Arial"/>
          <w:i/>
          <w:iCs/>
          <w:sz w:val="20"/>
          <w:szCs w:val="20"/>
        </w:rPr>
        <w:t xml:space="preserve"> </w:t>
      </w:r>
      <w:proofErr w:type="spellStart"/>
      <w:r w:rsidRPr="00C07CAA">
        <w:rPr>
          <w:rFonts w:cs="Arial"/>
          <w:i/>
          <w:iCs/>
          <w:sz w:val="20"/>
          <w:szCs w:val="20"/>
        </w:rPr>
        <w:t>iniuriarum</w:t>
      </w:r>
      <w:proofErr w:type="spellEnd"/>
      <w:r w:rsidRPr="00C07CAA">
        <w:rPr>
          <w:rFonts w:cs="Arial"/>
          <w:sz w:val="20"/>
          <w:szCs w:val="20"/>
        </w:rPr>
        <w:t xml:space="preserve"> could be brought against a person who has maliciously accused an innocent person of a crime, although, strangely enough, he assumes that the </w:t>
      </w:r>
      <w:proofErr w:type="spellStart"/>
      <w:r w:rsidRPr="00C07CAA">
        <w:rPr>
          <w:rFonts w:cs="Arial"/>
          <w:i/>
          <w:iCs/>
          <w:sz w:val="20"/>
          <w:szCs w:val="20"/>
        </w:rPr>
        <w:t>actio</w:t>
      </w:r>
      <w:proofErr w:type="spellEnd"/>
      <w:r w:rsidRPr="00C07CAA">
        <w:rPr>
          <w:rFonts w:cs="Arial"/>
          <w:i/>
          <w:iCs/>
          <w:sz w:val="20"/>
          <w:szCs w:val="20"/>
        </w:rPr>
        <w:t xml:space="preserve"> </w:t>
      </w:r>
      <w:proofErr w:type="spellStart"/>
      <w:r w:rsidRPr="00C07CAA">
        <w:rPr>
          <w:rFonts w:cs="Arial"/>
          <w:i/>
          <w:iCs/>
          <w:sz w:val="20"/>
          <w:szCs w:val="20"/>
        </w:rPr>
        <w:t>calumniæ</w:t>
      </w:r>
      <w:proofErr w:type="spellEnd"/>
      <w:r w:rsidRPr="00C07CAA">
        <w:rPr>
          <w:rFonts w:cs="Arial"/>
          <w:sz w:val="20"/>
          <w:szCs w:val="20"/>
        </w:rPr>
        <w:t xml:space="preserve"> could still be brought.  He adds, however, that if the former action still lay, it could not be brought while the prosecution was pending, but after it had come to an end. </w:t>
      </w:r>
      <w:proofErr w:type="spellStart"/>
      <w:r w:rsidRPr="00C07CAA">
        <w:rPr>
          <w:rFonts w:cs="Arial"/>
          <w:i/>
          <w:iCs/>
          <w:sz w:val="20"/>
          <w:szCs w:val="20"/>
        </w:rPr>
        <w:t>iniuriarum</w:t>
      </w:r>
      <w:proofErr w:type="spellEnd"/>
      <w:r w:rsidRPr="00C07CAA">
        <w:rPr>
          <w:rFonts w:cs="Arial"/>
          <w:i/>
          <w:iCs/>
          <w:sz w:val="20"/>
          <w:szCs w:val="20"/>
        </w:rPr>
        <w:t xml:space="preserve"> </w:t>
      </w:r>
      <w:proofErr w:type="spellStart"/>
      <w:r w:rsidRPr="00C07CAA">
        <w:rPr>
          <w:rFonts w:cs="Arial"/>
          <w:i/>
          <w:iCs/>
          <w:sz w:val="20"/>
          <w:szCs w:val="20"/>
        </w:rPr>
        <w:t>actio</w:t>
      </w:r>
      <w:proofErr w:type="spellEnd"/>
      <w:r w:rsidRPr="00C07CAA">
        <w:rPr>
          <w:rFonts w:cs="Arial"/>
          <w:i/>
          <w:iCs/>
          <w:sz w:val="20"/>
          <w:szCs w:val="20"/>
        </w:rPr>
        <w:t xml:space="preserve">, </w:t>
      </w:r>
      <w:proofErr w:type="spellStart"/>
      <w:r w:rsidRPr="00C07CAA">
        <w:rPr>
          <w:rFonts w:cs="Arial"/>
          <w:i/>
          <w:iCs/>
          <w:sz w:val="20"/>
          <w:szCs w:val="20"/>
        </w:rPr>
        <w:t>si</w:t>
      </w:r>
      <w:proofErr w:type="spellEnd"/>
      <w:r w:rsidRPr="00C07CAA">
        <w:rPr>
          <w:rFonts w:cs="Arial"/>
          <w:i/>
          <w:iCs/>
          <w:sz w:val="20"/>
          <w:szCs w:val="20"/>
        </w:rPr>
        <w:t xml:space="preserve"> </w:t>
      </w:r>
      <w:proofErr w:type="spellStart"/>
      <w:r w:rsidRPr="00C07CAA">
        <w:rPr>
          <w:rFonts w:cs="Arial"/>
          <w:i/>
          <w:iCs/>
          <w:sz w:val="20"/>
          <w:szCs w:val="20"/>
        </w:rPr>
        <w:t>modo</w:t>
      </w:r>
      <w:proofErr w:type="spellEnd"/>
      <w:r w:rsidRPr="00C07CAA">
        <w:rPr>
          <w:rFonts w:cs="Arial"/>
          <w:i/>
          <w:iCs/>
          <w:sz w:val="20"/>
          <w:szCs w:val="20"/>
        </w:rPr>
        <w:t xml:space="preserve"> </w:t>
      </w:r>
      <w:proofErr w:type="spellStart"/>
      <w:r w:rsidRPr="00C07CAA">
        <w:rPr>
          <w:rFonts w:cs="Arial"/>
          <w:i/>
          <w:iCs/>
          <w:sz w:val="20"/>
          <w:szCs w:val="20"/>
        </w:rPr>
        <w:t>ea</w:t>
      </w:r>
      <w:proofErr w:type="spellEnd"/>
      <w:r w:rsidRPr="00C07CAA">
        <w:rPr>
          <w:rFonts w:cs="Arial"/>
          <w:i/>
          <w:iCs/>
          <w:sz w:val="20"/>
          <w:szCs w:val="20"/>
        </w:rPr>
        <w:t xml:space="preserve"> in </w:t>
      </w:r>
      <w:proofErr w:type="spellStart"/>
      <w:r w:rsidRPr="00C07CAA">
        <w:rPr>
          <w:rFonts w:cs="Arial"/>
          <w:i/>
          <w:iCs/>
          <w:sz w:val="20"/>
          <w:szCs w:val="20"/>
        </w:rPr>
        <w:t>calumniatorem</w:t>
      </w:r>
      <w:proofErr w:type="spellEnd"/>
      <w:r w:rsidRPr="00C07CAA">
        <w:rPr>
          <w:rFonts w:cs="Arial"/>
          <w:i/>
          <w:iCs/>
          <w:sz w:val="20"/>
          <w:szCs w:val="20"/>
        </w:rPr>
        <w:t xml:space="preserve"> </w:t>
      </w:r>
      <w:proofErr w:type="spellStart"/>
      <w:r w:rsidRPr="00C07CAA">
        <w:rPr>
          <w:rFonts w:cs="Arial"/>
          <w:i/>
          <w:iCs/>
          <w:sz w:val="20"/>
          <w:szCs w:val="20"/>
        </w:rPr>
        <w:t>datur</w:t>
      </w:r>
      <w:proofErr w:type="spellEnd"/>
      <w:r w:rsidRPr="00C07CAA">
        <w:rPr>
          <w:rFonts w:cs="Arial"/>
          <w:i/>
          <w:iCs/>
          <w:sz w:val="20"/>
          <w:szCs w:val="20"/>
        </w:rPr>
        <w:t xml:space="preserve">, non </w:t>
      </w:r>
      <w:proofErr w:type="spellStart"/>
      <w:r w:rsidRPr="00C07CAA">
        <w:rPr>
          <w:rFonts w:cs="Arial"/>
          <w:i/>
          <w:iCs/>
          <w:sz w:val="20"/>
          <w:szCs w:val="20"/>
        </w:rPr>
        <w:t>pendente</w:t>
      </w:r>
      <w:proofErr w:type="spellEnd"/>
      <w:r w:rsidRPr="00C07CAA">
        <w:rPr>
          <w:rFonts w:cs="Arial"/>
          <w:i/>
          <w:iCs/>
          <w:sz w:val="20"/>
          <w:szCs w:val="20"/>
        </w:rPr>
        <w:t xml:space="preserve"> </w:t>
      </w:r>
      <w:proofErr w:type="spellStart"/>
      <w:r w:rsidRPr="00C07CAA">
        <w:rPr>
          <w:rFonts w:cs="Arial"/>
          <w:i/>
          <w:iCs/>
          <w:sz w:val="20"/>
          <w:szCs w:val="20"/>
        </w:rPr>
        <w:t>accusutione</w:t>
      </w:r>
      <w:proofErr w:type="spellEnd"/>
      <w:r w:rsidRPr="00C07CAA">
        <w:rPr>
          <w:rFonts w:cs="Arial"/>
          <w:i/>
          <w:iCs/>
          <w:sz w:val="20"/>
          <w:szCs w:val="20"/>
        </w:rPr>
        <w:t xml:space="preserve">, </w:t>
      </w:r>
      <w:proofErr w:type="spellStart"/>
      <w:r w:rsidRPr="00C07CAA">
        <w:rPr>
          <w:rFonts w:cs="Arial"/>
          <w:i/>
          <w:iCs/>
          <w:sz w:val="20"/>
          <w:szCs w:val="20"/>
        </w:rPr>
        <w:t>sed</w:t>
      </w:r>
      <w:proofErr w:type="spellEnd"/>
      <w:r w:rsidRPr="00C07CAA">
        <w:rPr>
          <w:rFonts w:cs="Arial"/>
          <w:i/>
          <w:iCs/>
          <w:sz w:val="20"/>
          <w:szCs w:val="20"/>
        </w:rPr>
        <w:t xml:space="preserve"> </w:t>
      </w:r>
      <w:proofErr w:type="spellStart"/>
      <w:r w:rsidRPr="00C07CAA">
        <w:rPr>
          <w:rFonts w:cs="Arial"/>
          <w:i/>
          <w:iCs/>
          <w:sz w:val="20"/>
          <w:szCs w:val="20"/>
        </w:rPr>
        <w:t>finita</w:t>
      </w:r>
      <w:proofErr w:type="spellEnd"/>
      <w:r w:rsidRPr="00C07CAA">
        <w:rPr>
          <w:rFonts w:cs="Arial"/>
          <w:i/>
          <w:iCs/>
          <w:sz w:val="20"/>
          <w:szCs w:val="20"/>
        </w:rPr>
        <w:t xml:space="preserve"> </w:t>
      </w:r>
      <w:proofErr w:type="spellStart"/>
      <w:r w:rsidRPr="00C07CAA">
        <w:rPr>
          <w:rFonts w:cs="Arial"/>
          <w:i/>
          <w:iCs/>
          <w:sz w:val="20"/>
          <w:szCs w:val="20"/>
        </w:rPr>
        <w:t>datur</w:t>
      </w:r>
      <w:proofErr w:type="spellEnd"/>
      <w:r w:rsidRPr="00C07CAA">
        <w:rPr>
          <w:rFonts w:cs="Arial"/>
          <w:sz w:val="20"/>
          <w:szCs w:val="20"/>
        </w:rPr>
        <w:t xml:space="preserve">.  The doubts expressed by </w:t>
      </w:r>
      <w:proofErr w:type="spellStart"/>
      <w:r w:rsidRPr="00C07CAA">
        <w:rPr>
          <w:rFonts w:cs="Arial"/>
          <w:i/>
          <w:iCs/>
          <w:sz w:val="20"/>
          <w:szCs w:val="20"/>
        </w:rPr>
        <w:t>Mattaeus</w:t>
      </w:r>
      <w:proofErr w:type="spellEnd"/>
      <w:r w:rsidRPr="00C07CAA">
        <w:rPr>
          <w:rFonts w:cs="Arial"/>
          <w:sz w:val="20"/>
          <w:szCs w:val="20"/>
        </w:rPr>
        <w:t xml:space="preserve"> have never been shared by this Court, nor, so far as I am aware, by any of the other South African Courts.  </w:t>
      </w:r>
      <w:r w:rsidRPr="00C07CAA">
        <w:rPr>
          <w:rFonts w:cs="Arial"/>
          <w:b/>
          <w:bCs/>
          <w:sz w:val="20"/>
          <w:szCs w:val="20"/>
        </w:rPr>
        <w:t>The essential requisites of an action are proof of malice on the part of the defendant and want of reasonable and probable cause for the prosecution.  While a prosecution is actually pending its result cannot be allowed to be prejudged by the civil action</w:t>
      </w:r>
      <w:r w:rsidRPr="00C07CAA">
        <w:rPr>
          <w:rFonts w:cs="Arial"/>
          <w:sz w:val="20"/>
          <w:szCs w:val="20"/>
        </w:rPr>
        <w:t>, but as soon as the Attorney-General, in the exercise of his quasi-judicial function, has decided not to prosecute, there is a sufficient termination of the original proceedings to allow of the civil action being tried</w:t>
      </w:r>
      <w:r w:rsidRPr="00C07CAA">
        <w:rPr>
          <w:rFonts w:cs="Arial"/>
        </w:rPr>
        <w:t>.</w:t>
      </w:r>
      <w:r>
        <w:rPr>
          <w:rFonts w:cs="Arial"/>
        </w:rPr>
        <w:t>’</w:t>
      </w:r>
    </w:p>
    <w:p w14:paraId="79B0D462" w14:textId="35121426" w:rsidR="001F6FE8" w:rsidRDefault="00001791" w:rsidP="008E6D9A">
      <w:pPr>
        <w:pStyle w:val="ListParagraph"/>
        <w:spacing w:before="360" w:after="120" w:line="480" w:lineRule="auto"/>
        <w:ind w:left="1418"/>
        <w:contextualSpacing w:val="0"/>
        <w:rPr>
          <w:rFonts w:cs="Arial"/>
        </w:rPr>
      </w:pPr>
      <w:r>
        <w:rPr>
          <w:rFonts w:cs="Arial"/>
        </w:rPr>
        <w:t>(Own emphasis).</w:t>
      </w:r>
    </w:p>
    <w:p w14:paraId="3BBA5BBA" w14:textId="68BDC582" w:rsidR="001654B2" w:rsidRPr="007F700D" w:rsidRDefault="007F700D" w:rsidP="007F700D">
      <w:pPr>
        <w:spacing w:before="360" w:after="120" w:line="480" w:lineRule="auto"/>
        <w:ind w:left="709" w:hanging="720"/>
        <w:rPr>
          <w:rFonts w:cs="Arial"/>
        </w:rPr>
      </w:pPr>
      <w:r>
        <w:rPr>
          <w:rFonts w:cs="Arial"/>
        </w:rPr>
        <w:t>[46]</w:t>
      </w:r>
      <w:r>
        <w:rPr>
          <w:rFonts w:cs="Arial"/>
        </w:rPr>
        <w:tab/>
      </w:r>
      <w:r w:rsidR="001654B2" w:rsidRPr="007F700D">
        <w:rPr>
          <w:rFonts w:cs="Arial"/>
        </w:rPr>
        <w:t xml:space="preserve">In </w:t>
      </w:r>
      <w:proofErr w:type="spellStart"/>
      <w:r w:rsidR="008D1C89" w:rsidRPr="007F700D">
        <w:rPr>
          <w:rFonts w:cs="Arial"/>
          <w:b/>
          <w:bCs/>
          <w:i/>
          <w:iCs/>
        </w:rPr>
        <w:t>Els</w:t>
      </w:r>
      <w:proofErr w:type="spellEnd"/>
      <w:r w:rsidR="008D1C89" w:rsidRPr="007F700D">
        <w:rPr>
          <w:rFonts w:cs="Arial"/>
          <w:b/>
          <w:bCs/>
          <w:i/>
          <w:iCs/>
        </w:rPr>
        <w:t xml:space="preserve"> v Minister of Law and Order and Others</w:t>
      </w:r>
      <w:r w:rsidR="008D1C89">
        <w:rPr>
          <w:rStyle w:val="FootnoteReference"/>
          <w:rFonts w:cs="Arial"/>
        </w:rPr>
        <w:footnoteReference w:id="87"/>
      </w:r>
      <w:r w:rsidR="008D1C89" w:rsidRPr="007F700D">
        <w:rPr>
          <w:rFonts w:cs="Arial"/>
        </w:rPr>
        <w:t xml:space="preserve"> </w:t>
      </w:r>
      <w:r w:rsidR="001654B2" w:rsidRPr="007F700D">
        <w:rPr>
          <w:rFonts w:cs="Arial"/>
        </w:rPr>
        <w:t xml:space="preserve">the above-quoted statement </w:t>
      </w:r>
      <w:r w:rsidR="00485477" w:rsidRPr="007F700D">
        <w:rPr>
          <w:rFonts w:cs="Arial"/>
        </w:rPr>
        <w:t>in</w:t>
      </w:r>
      <w:r w:rsidR="001654B2" w:rsidRPr="007F700D">
        <w:rPr>
          <w:rFonts w:cs="Arial"/>
        </w:rPr>
        <w:t xml:space="preserve"> </w:t>
      </w:r>
      <w:proofErr w:type="spellStart"/>
      <w:r w:rsidR="001654B2" w:rsidRPr="007F700D">
        <w:rPr>
          <w:rFonts w:cs="Arial"/>
          <w:b/>
          <w:bCs/>
          <w:i/>
          <w:iCs/>
        </w:rPr>
        <w:t>Lemue</w:t>
      </w:r>
      <w:proofErr w:type="spellEnd"/>
      <w:r w:rsidR="001654B2" w:rsidRPr="007F700D">
        <w:rPr>
          <w:rFonts w:cs="Arial"/>
        </w:rPr>
        <w:t xml:space="preserve"> was criticised by the defendant’s counsel on the basis that De Villiers</w:t>
      </w:r>
      <w:r w:rsidR="0015496D" w:rsidRPr="007F700D">
        <w:rPr>
          <w:rFonts w:cs="Arial"/>
        </w:rPr>
        <w:t> </w:t>
      </w:r>
      <w:r w:rsidR="001654B2" w:rsidRPr="007F700D">
        <w:rPr>
          <w:rFonts w:cs="Arial"/>
        </w:rPr>
        <w:t xml:space="preserve">CJ </w:t>
      </w:r>
      <w:r w:rsidR="00E17804" w:rsidRPr="007F700D">
        <w:rPr>
          <w:rFonts w:cs="Arial"/>
        </w:rPr>
        <w:t xml:space="preserve">supposedly </w:t>
      </w:r>
      <w:r w:rsidR="001654B2" w:rsidRPr="007F700D">
        <w:rPr>
          <w:rFonts w:cs="Arial"/>
        </w:rPr>
        <w:t xml:space="preserve">had misunderstood the words </w:t>
      </w:r>
      <w:r w:rsidR="001654B2" w:rsidRPr="007F700D">
        <w:rPr>
          <w:rFonts w:cs="Arial"/>
          <w:i/>
          <w:iCs/>
        </w:rPr>
        <w:t xml:space="preserve">non </w:t>
      </w:r>
      <w:proofErr w:type="spellStart"/>
      <w:r w:rsidR="001654B2" w:rsidRPr="007F700D">
        <w:rPr>
          <w:rFonts w:cs="Arial"/>
          <w:i/>
          <w:iCs/>
        </w:rPr>
        <w:t>pendente</w:t>
      </w:r>
      <w:proofErr w:type="spellEnd"/>
      <w:r w:rsidR="001654B2" w:rsidRPr="007F700D">
        <w:rPr>
          <w:rFonts w:cs="Arial"/>
          <w:i/>
          <w:iCs/>
        </w:rPr>
        <w:t xml:space="preserve"> </w:t>
      </w:r>
      <w:proofErr w:type="spellStart"/>
      <w:r w:rsidR="001654B2" w:rsidRPr="007F700D">
        <w:rPr>
          <w:rFonts w:cs="Arial"/>
          <w:i/>
          <w:iCs/>
        </w:rPr>
        <w:t>accusatione</w:t>
      </w:r>
      <w:proofErr w:type="spellEnd"/>
      <w:r w:rsidR="001654B2" w:rsidRPr="007F700D">
        <w:rPr>
          <w:rFonts w:cs="Arial"/>
        </w:rPr>
        <w:t xml:space="preserve"> in the quotation </w:t>
      </w:r>
      <w:r w:rsidR="00FF78E7" w:rsidRPr="007F700D">
        <w:rPr>
          <w:rFonts w:cs="Arial"/>
        </w:rPr>
        <w:t xml:space="preserve">taken </w:t>
      </w:r>
      <w:r w:rsidR="001654B2" w:rsidRPr="007F700D">
        <w:rPr>
          <w:rFonts w:cs="Arial"/>
        </w:rPr>
        <w:t xml:space="preserve">from </w:t>
      </w:r>
      <w:r w:rsidR="001654B2" w:rsidRPr="007F700D">
        <w:rPr>
          <w:rFonts w:cs="Arial"/>
          <w:i/>
          <w:iCs/>
        </w:rPr>
        <w:t>Matthaeus</w:t>
      </w:r>
      <w:r w:rsidR="001654B2" w:rsidRPr="007F700D">
        <w:rPr>
          <w:rFonts w:cs="Arial"/>
        </w:rPr>
        <w:t>.</w:t>
      </w:r>
      <w:r w:rsidR="001654B2">
        <w:rPr>
          <w:rStyle w:val="FootnoteReference"/>
          <w:rFonts w:cs="Arial"/>
        </w:rPr>
        <w:footnoteReference w:id="88"/>
      </w:r>
      <w:r w:rsidR="001654B2" w:rsidRPr="007F700D">
        <w:rPr>
          <w:rFonts w:cs="Arial"/>
        </w:rPr>
        <w:t xml:space="preserve">  In a careful and considered analysis of </w:t>
      </w:r>
      <w:r w:rsidR="008C300D" w:rsidRPr="007F700D">
        <w:rPr>
          <w:rFonts w:cs="Arial"/>
        </w:rPr>
        <w:t xml:space="preserve">the </w:t>
      </w:r>
      <w:r w:rsidR="001654B2" w:rsidRPr="007F700D">
        <w:rPr>
          <w:rFonts w:cs="Arial"/>
        </w:rPr>
        <w:t>authorities, the court (</w:t>
      </w:r>
      <w:r w:rsidR="001654B2" w:rsidRPr="007F700D">
        <w:rPr>
          <w:rFonts w:cs="Arial"/>
          <w:i/>
          <w:iCs/>
        </w:rPr>
        <w:t>per</w:t>
      </w:r>
      <w:r w:rsidR="001654B2" w:rsidRPr="007F700D">
        <w:rPr>
          <w:rFonts w:cs="Arial"/>
        </w:rPr>
        <w:t xml:space="preserve"> </w:t>
      </w:r>
      <w:proofErr w:type="spellStart"/>
      <w:r w:rsidR="001654B2" w:rsidRPr="007F700D">
        <w:rPr>
          <w:rFonts w:cs="Arial"/>
        </w:rPr>
        <w:t>Foxcroft</w:t>
      </w:r>
      <w:proofErr w:type="spellEnd"/>
      <w:r w:rsidR="001654B2" w:rsidRPr="007F700D">
        <w:rPr>
          <w:rFonts w:cs="Arial"/>
        </w:rPr>
        <w:t xml:space="preserve"> J) stated the following about </w:t>
      </w:r>
      <w:r w:rsidR="00914B9B" w:rsidRPr="007F700D">
        <w:rPr>
          <w:rFonts w:cs="Arial"/>
        </w:rPr>
        <w:t xml:space="preserve">the </w:t>
      </w:r>
      <w:r w:rsidR="001654B2" w:rsidRPr="007F700D">
        <w:rPr>
          <w:rFonts w:cs="Arial"/>
        </w:rPr>
        <w:t xml:space="preserve">above-quoted statement in </w:t>
      </w:r>
      <w:proofErr w:type="spellStart"/>
      <w:r w:rsidR="001654B2" w:rsidRPr="007F700D">
        <w:rPr>
          <w:rFonts w:cs="Arial"/>
          <w:b/>
          <w:bCs/>
          <w:i/>
          <w:iCs/>
        </w:rPr>
        <w:t>Lemue</w:t>
      </w:r>
      <w:proofErr w:type="spellEnd"/>
      <w:r w:rsidR="001654B2" w:rsidRPr="007F700D">
        <w:rPr>
          <w:rFonts w:cs="Arial"/>
        </w:rPr>
        <w:t>:</w:t>
      </w:r>
      <w:r w:rsidR="001654B2">
        <w:rPr>
          <w:rStyle w:val="FootnoteReference"/>
          <w:rFonts w:cs="Arial"/>
        </w:rPr>
        <w:footnoteReference w:id="89"/>
      </w:r>
    </w:p>
    <w:p w14:paraId="775DD18C" w14:textId="77777777" w:rsidR="001654B2" w:rsidRPr="00C07CAA" w:rsidRDefault="001654B2" w:rsidP="001654B2">
      <w:pPr>
        <w:pStyle w:val="ListParagraph"/>
        <w:spacing w:before="120" w:after="120"/>
        <w:ind w:left="1418" w:right="521"/>
        <w:contextualSpacing w:val="0"/>
        <w:rPr>
          <w:rFonts w:cs="Arial"/>
          <w:sz w:val="20"/>
          <w:szCs w:val="20"/>
        </w:rPr>
      </w:pPr>
      <w:r>
        <w:rPr>
          <w:rFonts w:cs="Arial"/>
        </w:rPr>
        <w:t>‘</w:t>
      </w:r>
      <w:r w:rsidRPr="00C07CAA">
        <w:rPr>
          <w:rFonts w:cs="Arial"/>
          <w:sz w:val="20"/>
          <w:szCs w:val="20"/>
        </w:rPr>
        <w:t>It is fully in accordance with common sense and the practical resolution of litigation that accused persons in criminal cases against whom prosecutions have commenced should not be required to commence civil</w:t>
      </w:r>
      <w:r>
        <w:rPr>
          <w:rFonts w:cs="Arial"/>
          <w:sz w:val="20"/>
          <w:szCs w:val="20"/>
        </w:rPr>
        <w:t xml:space="preserve"> </w:t>
      </w:r>
      <w:r w:rsidRPr="00C07CAA">
        <w:rPr>
          <w:rFonts w:cs="Arial"/>
          <w:sz w:val="20"/>
          <w:szCs w:val="20"/>
        </w:rPr>
        <w:t xml:space="preserve">litigation before the conclusion of criminal proceedings. </w:t>
      </w:r>
      <w:r>
        <w:rPr>
          <w:rFonts w:cs="Arial"/>
          <w:sz w:val="20"/>
          <w:szCs w:val="20"/>
        </w:rPr>
        <w:t xml:space="preserve"> </w:t>
      </w:r>
      <w:r w:rsidRPr="00C07CAA">
        <w:rPr>
          <w:rFonts w:cs="Arial"/>
          <w:sz w:val="20"/>
          <w:szCs w:val="20"/>
        </w:rPr>
        <w:t xml:space="preserve">The extraordinary consequences of such a </w:t>
      </w:r>
      <w:r w:rsidRPr="00C07CAA">
        <w:rPr>
          <w:rFonts w:cs="Arial"/>
          <w:sz w:val="20"/>
          <w:szCs w:val="20"/>
        </w:rPr>
        <w:lastRenderedPageBreak/>
        <w:t>view would be that many civil actions for wrongful or malicious prosecution would have to be commenced, later in most cases to be abandoned when the criminal case was resolved in favour of the State and where no civil claim could succeed.</w:t>
      </w:r>
    </w:p>
    <w:p w14:paraId="653CE609" w14:textId="77777777" w:rsidR="001654B2" w:rsidRPr="00C07CAA" w:rsidRDefault="001654B2" w:rsidP="001654B2">
      <w:pPr>
        <w:pStyle w:val="ListParagraph"/>
        <w:spacing w:before="120" w:after="120"/>
        <w:ind w:left="1418" w:right="521"/>
        <w:contextualSpacing w:val="0"/>
        <w:rPr>
          <w:rFonts w:cs="Arial"/>
          <w:sz w:val="20"/>
          <w:szCs w:val="20"/>
        </w:rPr>
      </w:pPr>
      <w:r w:rsidRPr="00C07CAA">
        <w:rPr>
          <w:rFonts w:cs="Arial"/>
          <w:sz w:val="20"/>
          <w:szCs w:val="20"/>
        </w:rPr>
        <w:t xml:space="preserve">Far from being persuaded that </w:t>
      </w:r>
      <w:proofErr w:type="spellStart"/>
      <w:r w:rsidRPr="00C07CAA">
        <w:rPr>
          <w:rFonts w:cs="Arial"/>
          <w:i/>
          <w:iCs/>
          <w:sz w:val="20"/>
          <w:szCs w:val="20"/>
        </w:rPr>
        <w:t>Lemue</w:t>
      </w:r>
      <w:proofErr w:type="spellEnd"/>
      <w:r w:rsidRPr="00C07CAA">
        <w:rPr>
          <w:rFonts w:cs="Arial"/>
          <w:i/>
          <w:iCs/>
          <w:sz w:val="20"/>
          <w:szCs w:val="20"/>
        </w:rPr>
        <w:t xml:space="preserve"> v </w:t>
      </w:r>
      <w:proofErr w:type="spellStart"/>
      <w:r w:rsidRPr="00C07CAA">
        <w:rPr>
          <w:rFonts w:cs="Arial"/>
          <w:i/>
          <w:iCs/>
          <w:sz w:val="20"/>
          <w:szCs w:val="20"/>
        </w:rPr>
        <w:t>Zwartbooi</w:t>
      </w:r>
      <w:proofErr w:type="spellEnd"/>
      <w:r w:rsidRPr="00C07CAA">
        <w:rPr>
          <w:rFonts w:cs="Arial"/>
          <w:sz w:val="20"/>
          <w:szCs w:val="20"/>
        </w:rPr>
        <w:t xml:space="preserve"> misunderstood </w:t>
      </w:r>
      <w:r w:rsidRPr="00C07CAA">
        <w:rPr>
          <w:rFonts w:cs="Arial"/>
          <w:i/>
          <w:iCs/>
          <w:sz w:val="20"/>
          <w:szCs w:val="20"/>
        </w:rPr>
        <w:t>Matthaeus</w:t>
      </w:r>
      <w:r w:rsidRPr="00C07CAA">
        <w:rPr>
          <w:rFonts w:cs="Arial"/>
          <w:sz w:val="20"/>
          <w:szCs w:val="20"/>
        </w:rPr>
        <w:t xml:space="preserve"> and laid down an incorrect legal principle, I am satisfied, with respect, that this decision of three Judges of the Cape Supreme Court was correct.</w:t>
      </w:r>
    </w:p>
    <w:p w14:paraId="550F5840" w14:textId="77777777" w:rsidR="00235C13" w:rsidRDefault="001654B2" w:rsidP="00AC53FC">
      <w:pPr>
        <w:pStyle w:val="ListParagraph"/>
        <w:spacing w:before="120" w:after="120"/>
        <w:ind w:left="1418" w:right="521"/>
        <w:contextualSpacing w:val="0"/>
        <w:rPr>
          <w:rFonts w:cs="Arial"/>
          <w:sz w:val="20"/>
          <w:szCs w:val="20"/>
        </w:rPr>
      </w:pPr>
      <w:r w:rsidRPr="00C07CAA">
        <w:rPr>
          <w:rFonts w:cs="Arial"/>
          <w:sz w:val="20"/>
          <w:szCs w:val="20"/>
        </w:rPr>
        <w:t xml:space="preserve">I have gone into this matter in some detail to show, with great respect, that the decision in </w:t>
      </w:r>
      <w:proofErr w:type="spellStart"/>
      <w:r w:rsidRPr="00C07CAA">
        <w:rPr>
          <w:rFonts w:cs="Arial"/>
          <w:i/>
          <w:iCs/>
          <w:sz w:val="20"/>
          <w:szCs w:val="20"/>
        </w:rPr>
        <w:t>Lemue</w:t>
      </w:r>
      <w:proofErr w:type="spellEnd"/>
      <w:r w:rsidRPr="00C07CAA">
        <w:rPr>
          <w:rFonts w:cs="Arial"/>
          <w:i/>
          <w:iCs/>
          <w:sz w:val="20"/>
          <w:szCs w:val="20"/>
        </w:rPr>
        <w:t xml:space="preserve"> v </w:t>
      </w:r>
      <w:proofErr w:type="spellStart"/>
      <w:r w:rsidRPr="00C07CAA">
        <w:rPr>
          <w:rFonts w:cs="Arial"/>
          <w:i/>
          <w:iCs/>
          <w:sz w:val="20"/>
          <w:szCs w:val="20"/>
        </w:rPr>
        <w:t>Zwartbooi</w:t>
      </w:r>
      <w:proofErr w:type="spellEnd"/>
      <w:r w:rsidRPr="00C07CAA">
        <w:rPr>
          <w:rFonts w:cs="Arial"/>
          <w:sz w:val="20"/>
          <w:szCs w:val="20"/>
        </w:rPr>
        <w:t xml:space="preserve"> insofar as it relies on </w:t>
      </w:r>
      <w:r w:rsidRPr="00C07CAA">
        <w:rPr>
          <w:rFonts w:cs="Arial"/>
          <w:i/>
          <w:iCs/>
          <w:sz w:val="20"/>
          <w:szCs w:val="20"/>
        </w:rPr>
        <w:t>Matthaeus</w:t>
      </w:r>
      <w:r w:rsidRPr="00C07CAA">
        <w:rPr>
          <w:rFonts w:cs="Arial"/>
          <w:sz w:val="20"/>
          <w:szCs w:val="20"/>
        </w:rPr>
        <w:t>, is clearly correct.</w:t>
      </w:r>
    </w:p>
    <w:p w14:paraId="7B3AB623" w14:textId="1709264F" w:rsidR="001654B2" w:rsidRPr="00AC53FC" w:rsidRDefault="001654B2" w:rsidP="00AC53FC">
      <w:pPr>
        <w:pStyle w:val="ListParagraph"/>
        <w:spacing w:before="120" w:after="120"/>
        <w:ind w:left="1418" w:right="521"/>
        <w:contextualSpacing w:val="0"/>
        <w:rPr>
          <w:rFonts w:cs="Arial"/>
          <w:sz w:val="20"/>
          <w:szCs w:val="20"/>
        </w:rPr>
      </w:pPr>
      <w:r w:rsidRPr="00AC53FC">
        <w:rPr>
          <w:rFonts w:cs="Arial"/>
          <w:sz w:val="20"/>
          <w:szCs w:val="20"/>
        </w:rPr>
        <w:t xml:space="preserve">In any event, I am bound by the decision of De Villiers CJ, Buchanan and </w:t>
      </w:r>
      <w:proofErr w:type="spellStart"/>
      <w:r w:rsidRPr="00AC53FC">
        <w:rPr>
          <w:rFonts w:cs="Arial"/>
          <w:sz w:val="20"/>
          <w:szCs w:val="20"/>
        </w:rPr>
        <w:t>Maasdorp</w:t>
      </w:r>
      <w:proofErr w:type="spellEnd"/>
      <w:r w:rsidRPr="00AC53FC">
        <w:rPr>
          <w:rFonts w:cs="Arial"/>
          <w:sz w:val="20"/>
          <w:szCs w:val="20"/>
        </w:rPr>
        <w:t xml:space="preserve"> JJ in that case</w:t>
      </w:r>
      <w:r w:rsidRPr="00AC53FC">
        <w:rPr>
          <w:rFonts w:cs="Arial"/>
        </w:rPr>
        <w:t>.’</w:t>
      </w:r>
    </w:p>
    <w:p w14:paraId="18D4750C" w14:textId="2D224246" w:rsidR="006174C1" w:rsidRPr="007F700D" w:rsidRDefault="007F700D" w:rsidP="007F700D">
      <w:pPr>
        <w:spacing w:before="360" w:after="120" w:line="480" w:lineRule="auto"/>
        <w:ind w:left="709" w:hanging="720"/>
        <w:rPr>
          <w:rFonts w:cs="Arial"/>
        </w:rPr>
      </w:pPr>
      <w:r>
        <w:rPr>
          <w:rFonts w:cs="Arial"/>
        </w:rPr>
        <w:t>[47]</w:t>
      </w:r>
      <w:r>
        <w:rPr>
          <w:rFonts w:cs="Arial"/>
        </w:rPr>
        <w:tab/>
      </w:r>
      <w:r w:rsidR="00E23CD1" w:rsidRPr="007F700D">
        <w:rPr>
          <w:rFonts w:cs="Arial"/>
        </w:rPr>
        <w:t>I</w:t>
      </w:r>
      <w:r w:rsidR="006B4383" w:rsidRPr="007F700D">
        <w:rPr>
          <w:rFonts w:cs="Arial"/>
        </w:rPr>
        <w:t xml:space="preserve">n </w:t>
      </w:r>
      <w:proofErr w:type="spellStart"/>
      <w:r w:rsidR="006B4383" w:rsidRPr="007F700D">
        <w:rPr>
          <w:rFonts w:cs="Arial"/>
          <w:b/>
          <w:bCs/>
          <w:i/>
          <w:iCs/>
        </w:rPr>
        <w:t>Els</w:t>
      </w:r>
      <w:proofErr w:type="spellEnd"/>
      <w:r w:rsidR="00D64E91">
        <w:rPr>
          <w:rStyle w:val="FootnoteReference"/>
          <w:rFonts w:cs="Arial"/>
        </w:rPr>
        <w:footnoteReference w:id="90"/>
      </w:r>
      <w:r w:rsidR="006B4383" w:rsidRPr="007F700D">
        <w:rPr>
          <w:rFonts w:cs="Arial"/>
        </w:rPr>
        <w:t xml:space="preserve"> </w:t>
      </w:r>
      <w:r w:rsidR="00C0453B" w:rsidRPr="007F700D">
        <w:rPr>
          <w:rFonts w:cs="Arial"/>
        </w:rPr>
        <w:t xml:space="preserve">the </w:t>
      </w:r>
      <w:r w:rsidR="000871CC" w:rsidRPr="007F700D">
        <w:rPr>
          <w:rFonts w:cs="Arial"/>
        </w:rPr>
        <w:t xml:space="preserve">court </w:t>
      </w:r>
      <w:r w:rsidR="006174C1" w:rsidRPr="007F700D">
        <w:rPr>
          <w:rFonts w:cs="Arial"/>
        </w:rPr>
        <w:t xml:space="preserve">also </w:t>
      </w:r>
      <w:r w:rsidR="00C0453B" w:rsidRPr="007F700D">
        <w:rPr>
          <w:rFonts w:cs="Arial"/>
        </w:rPr>
        <w:t xml:space="preserve">referred to </w:t>
      </w:r>
      <w:r w:rsidR="006174C1" w:rsidRPr="007F700D">
        <w:rPr>
          <w:rFonts w:cs="Arial"/>
        </w:rPr>
        <w:t xml:space="preserve">the case </w:t>
      </w:r>
      <w:r w:rsidR="000B58D8" w:rsidRPr="007F700D">
        <w:rPr>
          <w:rFonts w:cs="Arial"/>
        </w:rPr>
        <w:t xml:space="preserve">of </w:t>
      </w:r>
      <w:r w:rsidR="006174C1" w:rsidRPr="007F700D">
        <w:rPr>
          <w:rFonts w:cs="Arial"/>
          <w:b/>
          <w:bCs/>
          <w:i/>
          <w:iCs/>
        </w:rPr>
        <w:t>Thompson and Another v Minister of Police and Another</w:t>
      </w:r>
      <w:r w:rsidR="006174C1">
        <w:rPr>
          <w:rStyle w:val="FootnoteReference"/>
          <w:rFonts w:cs="Arial"/>
        </w:rPr>
        <w:footnoteReference w:id="91"/>
      </w:r>
      <w:r w:rsidR="000B58D8" w:rsidRPr="007F700D">
        <w:rPr>
          <w:rFonts w:cs="Arial"/>
        </w:rPr>
        <w:t xml:space="preserve"> </w:t>
      </w:r>
      <w:r w:rsidR="003C78E7" w:rsidRPr="007F700D">
        <w:rPr>
          <w:rFonts w:cs="Arial"/>
        </w:rPr>
        <w:t xml:space="preserve">in support of the </w:t>
      </w:r>
      <w:r w:rsidR="006F25DB" w:rsidRPr="007F700D">
        <w:rPr>
          <w:rFonts w:cs="Arial"/>
        </w:rPr>
        <w:t xml:space="preserve">legal </w:t>
      </w:r>
      <w:r w:rsidR="00496B71" w:rsidRPr="007F700D">
        <w:rPr>
          <w:rFonts w:cs="Arial"/>
        </w:rPr>
        <w:t>requirement currently</w:t>
      </w:r>
      <w:r w:rsidR="00F271BA" w:rsidRPr="007F700D">
        <w:rPr>
          <w:rFonts w:cs="Arial"/>
        </w:rPr>
        <w:t xml:space="preserve"> under discussion</w:t>
      </w:r>
      <w:r w:rsidR="00097EFC" w:rsidRPr="007F700D">
        <w:rPr>
          <w:rFonts w:cs="Arial"/>
        </w:rPr>
        <w:t xml:space="preserve">.  In </w:t>
      </w:r>
      <w:r w:rsidR="00097EFC" w:rsidRPr="007F700D">
        <w:rPr>
          <w:rFonts w:cs="Arial"/>
          <w:b/>
          <w:bCs/>
          <w:i/>
          <w:iCs/>
        </w:rPr>
        <w:t>Thompson</w:t>
      </w:r>
      <w:r w:rsidR="00097EFC" w:rsidRPr="007F700D">
        <w:rPr>
          <w:rFonts w:cs="Arial"/>
        </w:rPr>
        <w:t xml:space="preserve"> the </w:t>
      </w:r>
      <w:r w:rsidR="005934EA" w:rsidRPr="007F700D">
        <w:rPr>
          <w:rFonts w:cs="Arial"/>
        </w:rPr>
        <w:t>court (</w:t>
      </w:r>
      <w:r w:rsidR="005934EA" w:rsidRPr="007F700D">
        <w:rPr>
          <w:rFonts w:cs="Arial"/>
          <w:i/>
          <w:iCs/>
        </w:rPr>
        <w:t>per</w:t>
      </w:r>
      <w:r w:rsidR="005934EA" w:rsidRPr="007F700D">
        <w:rPr>
          <w:rFonts w:cs="Arial"/>
        </w:rPr>
        <w:t xml:space="preserve"> </w:t>
      </w:r>
      <w:proofErr w:type="spellStart"/>
      <w:r w:rsidR="005934EA" w:rsidRPr="007F700D">
        <w:rPr>
          <w:rFonts w:cs="Arial"/>
        </w:rPr>
        <w:t>Eksteen</w:t>
      </w:r>
      <w:proofErr w:type="spellEnd"/>
      <w:r w:rsidR="005934EA" w:rsidRPr="007F700D">
        <w:rPr>
          <w:rFonts w:cs="Arial"/>
        </w:rPr>
        <w:t xml:space="preserve">, J) </w:t>
      </w:r>
      <w:r w:rsidR="00EA724B" w:rsidRPr="007F700D">
        <w:rPr>
          <w:rFonts w:cs="Arial"/>
        </w:rPr>
        <w:t xml:space="preserve">was dealing with two actions in which </w:t>
      </w:r>
      <w:r w:rsidR="0091095F" w:rsidRPr="007F700D">
        <w:rPr>
          <w:rFonts w:cs="Arial"/>
        </w:rPr>
        <w:t>the plaintiffs had instituted against the Minister of Police</w:t>
      </w:r>
      <w:r w:rsidR="00FB437F" w:rsidRPr="007F700D">
        <w:rPr>
          <w:rFonts w:cs="Arial"/>
        </w:rPr>
        <w:t xml:space="preserve"> </w:t>
      </w:r>
      <w:r w:rsidR="00090A02" w:rsidRPr="007F700D">
        <w:rPr>
          <w:rFonts w:cs="Arial"/>
        </w:rPr>
        <w:t>(</w:t>
      </w:r>
      <w:r w:rsidR="00090A02" w:rsidRPr="007F700D">
        <w:rPr>
          <w:rFonts w:cs="Arial"/>
          <w:b/>
          <w:bCs/>
        </w:rPr>
        <w:t>first defendant</w:t>
      </w:r>
      <w:r w:rsidR="00090A02" w:rsidRPr="007F700D">
        <w:rPr>
          <w:rFonts w:cs="Arial"/>
        </w:rPr>
        <w:t xml:space="preserve">) </w:t>
      </w:r>
      <w:r w:rsidR="00FB437F" w:rsidRPr="007F700D">
        <w:rPr>
          <w:rFonts w:cs="Arial"/>
        </w:rPr>
        <w:t>and a Warrant Officer Hansen</w:t>
      </w:r>
      <w:r w:rsidR="000A1414" w:rsidRPr="007F700D">
        <w:rPr>
          <w:rFonts w:cs="Arial"/>
        </w:rPr>
        <w:t xml:space="preserve"> (</w:t>
      </w:r>
      <w:r w:rsidR="000A1414" w:rsidRPr="007F700D">
        <w:rPr>
          <w:rFonts w:cs="Arial"/>
          <w:b/>
          <w:bCs/>
        </w:rPr>
        <w:t>second defendant</w:t>
      </w:r>
      <w:r w:rsidR="000A1414" w:rsidRPr="007F700D">
        <w:rPr>
          <w:rFonts w:cs="Arial"/>
        </w:rPr>
        <w:t>)</w:t>
      </w:r>
      <w:r w:rsidR="008E4332" w:rsidRPr="007F700D">
        <w:rPr>
          <w:rFonts w:cs="Arial"/>
        </w:rPr>
        <w:t xml:space="preserve">.  </w:t>
      </w:r>
      <w:r w:rsidR="00F0334C" w:rsidRPr="007F700D">
        <w:rPr>
          <w:rFonts w:cs="Arial"/>
        </w:rPr>
        <w:t xml:space="preserve">The </w:t>
      </w:r>
      <w:r w:rsidR="00E5239B" w:rsidRPr="007F700D">
        <w:rPr>
          <w:rFonts w:cs="Arial"/>
        </w:rPr>
        <w:t xml:space="preserve">plaintiffs’ </w:t>
      </w:r>
      <w:r w:rsidR="00F0334C" w:rsidRPr="007F700D">
        <w:rPr>
          <w:rFonts w:cs="Arial"/>
        </w:rPr>
        <w:t xml:space="preserve">main claim in each of these actions was </w:t>
      </w:r>
      <w:r w:rsidR="00F45E92" w:rsidRPr="007F700D">
        <w:rPr>
          <w:rFonts w:cs="Arial"/>
        </w:rPr>
        <w:t xml:space="preserve">for damages </w:t>
      </w:r>
      <w:r w:rsidR="00F0334C" w:rsidRPr="007F700D">
        <w:rPr>
          <w:rFonts w:cs="Arial"/>
        </w:rPr>
        <w:t xml:space="preserve">based </w:t>
      </w:r>
      <w:r w:rsidR="006E7C91" w:rsidRPr="007F700D">
        <w:rPr>
          <w:rFonts w:cs="Arial"/>
        </w:rPr>
        <w:t xml:space="preserve">on an alleged </w:t>
      </w:r>
      <w:r w:rsidR="00090A02" w:rsidRPr="007F700D">
        <w:rPr>
          <w:rFonts w:cs="Arial"/>
        </w:rPr>
        <w:t>wrongful arrest</w:t>
      </w:r>
      <w:r w:rsidR="00E5239B" w:rsidRPr="007F700D">
        <w:rPr>
          <w:rFonts w:cs="Arial"/>
        </w:rPr>
        <w:t>.  In the alternative</w:t>
      </w:r>
      <w:r w:rsidR="00326226" w:rsidRPr="007F700D">
        <w:rPr>
          <w:rFonts w:cs="Arial"/>
        </w:rPr>
        <w:t xml:space="preserve">, against the second defendant alone, </w:t>
      </w:r>
      <w:r w:rsidR="009B48B1" w:rsidRPr="007F700D">
        <w:rPr>
          <w:rFonts w:cs="Arial"/>
        </w:rPr>
        <w:t xml:space="preserve">the </w:t>
      </w:r>
      <w:r w:rsidR="007F529E" w:rsidRPr="007F700D">
        <w:rPr>
          <w:rFonts w:cs="Arial"/>
        </w:rPr>
        <w:t xml:space="preserve">plaintiffs’ </w:t>
      </w:r>
      <w:r w:rsidR="009B48B1" w:rsidRPr="007F700D">
        <w:rPr>
          <w:rFonts w:cs="Arial"/>
        </w:rPr>
        <w:t xml:space="preserve">claims for damages were based on </w:t>
      </w:r>
      <w:r w:rsidR="00D200E8" w:rsidRPr="007F700D">
        <w:rPr>
          <w:rFonts w:cs="Arial"/>
        </w:rPr>
        <w:t xml:space="preserve">an alleged </w:t>
      </w:r>
      <w:bookmarkStart w:id="60" w:name="_Hlk159244819"/>
      <w:r w:rsidR="00D200E8" w:rsidRPr="007F700D">
        <w:rPr>
          <w:rFonts w:cs="Arial"/>
          <w:i/>
          <w:iCs/>
        </w:rPr>
        <w:t>malicious</w:t>
      </w:r>
      <w:r w:rsidR="00D200E8" w:rsidRPr="007F700D">
        <w:rPr>
          <w:rFonts w:cs="Arial"/>
        </w:rPr>
        <w:t xml:space="preserve"> arrest</w:t>
      </w:r>
      <w:r w:rsidR="00AF27DB" w:rsidRPr="007F700D">
        <w:rPr>
          <w:rFonts w:cs="Arial"/>
        </w:rPr>
        <w:t xml:space="preserve">, </w:t>
      </w:r>
      <w:r w:rsidR="00AF27DB" w:rsidRPr="007F700D">
        <w:rPr>
          <w:rFonts w:cs="Arial"/>
          <w:i/>
          <w:iCs/>
        </w:rPr>
        <w:t>malicious</w:t>
      </w:r>
      <w:r w:rsidR="00AF27DB" w:rsidRPr="007F700D">
        <w:rPr>
          <w:rFonts w:cs="Arial"/>
        </w:rPr>
        <w:t xml:space="preserve"> detention </w:t>
      </w:r>
      <w:bookmarkEnd w:id="60"/>
      <w:r w:rsidR="00AF27DB" w:rsidRPr="007F700D">
        <w:rPr>
          <w:rFonts w:cs="Arial"/>
        </w:rPr>
        <w:t xml:space="preserve">and </w:t>
      </w:r>
      <w:r w:rsidR="00AF27DB" w:rsidRPr="007F700D">
        <w:rPr>
          <w:rFonts w:cs="Arial"/>
          <w:i/>
          <w:iCs/>
        </w:rPr>
        <w:t>malicious</w:t>
      </w:r>
      <w:r w:rsidR="00AF27DB" w:rsidRPr="007F700D">
        <w:rPr>
          <w:rFonts w:cs="Arial"/>
        </w:rPr>
        <w:t xml:space="preserve"> prosecution.</w:t>
      </w:r>
      <w:r w:rsidR="00496B71" w:rsidRPr="007F700D">
        <w:rPr>
          <w:rFonts w:cs="Arial"/>
        </w:rPr>
        <w:t xml:space="preserve">  </w:t>
      </w:r>
      <w:r w:rsidR="00A761D7" w:rsidRPr="007F700D">
        <w:rPr>
          <w:rFonts w:cs="Arial"/>
        </w:rPr>
        <w:t xml:space="preserve">Apart from </w:t>
      </w:r>
      <w:r w:rsidR="00315557" w:rsidRPr="007F700D">
        <w:rPr>
          <w:rFonts w:cs="Arial"/>
        </w:rPr>
        <w:t xml:space="preserve">having </w:t>
      </w:r>
      <w:r w:rsidR="00A761D7" w:rsidRPr="007F700D">
        <w:rPr>
          <w:rFonts w:cs="Arial"/>
        </w:rPr>
        <w:t>plead</w:t>
      </w:r>
      <w:r w:rsidR="00315557" w:rsidRPr="007F700D">
        <w:rPr>
          <w:rFonts w:cs="Arial"/>
        </w:rPr>
        <w:t>ed</w:t>
      </w:r>
      <w:r w:rsidR="00A761D7" w:rsidRPr="007F700D">
        <w:rPr>
          <w:rFonts w:cs="Arial"/>
        </w:rPr>
        <w:t xml:space="preserve"> over on the merits</w:t>
      </w:r>
      <w:r w:rsidR="00896C9E" w:rsidRPr="007F700D">
        <w:rPr>
          <w:rFonts w:cs="Arial"/>
        </w:rPr>
        <w:t xml:space="preserve">, both defendants </w:t>
      </w:r>
      <w:r w:rsidR="00A631A2" w:rsidRPr="007F700D">
        <w:rPr>
          <w:rFonts w:cs="Arial"/>
        </w:rPr>
        <w:t xml:space="preserve">also </w:t>
      </w:r>
      <w:r w:rsidR="00896C9E" w:rsidRPr="007F700D">
        <w:rPr>
          <w:rFonts w:cs="Arial"/>
        </w:rPr>
        <w:t>filed a special plea against the main claim in which they contended that i</w:t>
      </w:r>
      <w:r w:rsidR="00A631A2" w:rsidRPr="007F700D">
        <w:rPr>
          <w:rFonts w:cs="Arial"/>
        </w:rPr>
        <w:t>t</w:t>
      </w:r>
      <w:r w:rsidR="00896C9E" w:rsidRPr="007F700D">
        <w:rPr>
          <w:rFonts w:cs="Arial"/>
        </w:rPr>
        <w:t xml:space="preserve"> was time-barred for want of compliance with the notice requirements of s 32 of the </w:t>
      </w:r>
      <w:r w:rsidR="007A0B97" w:rsidRPr="007F700D">
        <w:rPr>
          <w:rFonts w:cs="Arial"/>
        </w:rPr>
        <w:t xml:space="preserve">erstwhile </w:t>
      </w:r>
      <w:r w:rsidR="00896C9E" w:rsidRPr="007F700D">
        <w:rPr>
          <w:rFonts w:cs="Arial"/>
        </w:rPr>
        <w:t>Police Act</w:t>
      </w:r>
      <w:r w:rsidR="00FD00F6" w:rsidRPr="007F700D">
        <w:rPr>
          <w:rFonts w:cs="Arial"/>
        </w:rPr>
        <w:t>, No</w:t>
      </w:r>
      <w:r w:rsidR="00F27E4C" w:rsidRPr="007F700D">
        <w:rPr>
          <w:rFonts w:cs="Arial"/>
        </w:rPr>
        <w:t>. 7 of 1958</w:t>
      </w:r>
      <w:r w:rsidR="002040DA" w:rsidRPr="007F700D">
        <w:rPr>
          <w:rFonts w:cs="Arial"/>
        </w:rPr>
        <w:t xml:space="preserve">.  As far as the </w:t>
      </w:r>
      <w:r w:rsidR="000C60C9" w:rsidRPr="007F700D">
        <w:rPr>
          <w:rFonts w:cs="Arial"/>
        </w:rPr>
        <w:t xml:space="preserve">alternative claim against the second defendant alone is concerned, </w:t>
      </w:r>
      <w:r w:rsidR="00F27E4C" w:rsidRPr="007F700D">
        <w:rPr>
          <w:rFonts w:cs="Arial"/>
        </w:rPr>
        <w:t xml:space="preserve">the latter also filed a special plea </w:t>
      </w:r>
      <w:r w:rsidR="00FD4764" w:rsidRPr="007F700D">
        <w:rPr>
          <w:rFonts w:cs="Arial"/>
        </w:rPr>
        <w:t>contending that the plaintiffs</w:t>
      </w:r>
      <w:r w:rsidR="00302362" w:rsidRPr="007F700D">
        <w:rPr>
          <w:rFonts w:cs="Arial"/>
        </w:rPr>
        <w:t xml:space="preserve">’ claims for damages against him based on </w:t>
      </w:r>
      <w:r w:rsidR="00302362" w:rsidRPr="007F700D">
        <w:rPr>
          <w:rFonts w:cs="Arial"/>
          <w:i/>
          <w:iCs/>
        </w:rPr>
        <w:t>malicious</w:t>
      </w:r>
      <w:r w:rsidR="00302362" w:rsidRPr="007F700D">
        <w:rPr>
          <w:rFonts w:cs="Arial"/>
        </w:rPr>
        <w:t xml:space="preserve"> arrest and </w:t>
      </w:r>
      <w:r w:rsidR="00302362" w:rsidRPr="007F700D">
        <w:rPr>
          <w:rFonts w:cs="Arial"/>
          <w:i/>
          <w:iCs/>
        </w:rPr>
        <w:t>malicious</w:t>
      </w:r>
      <w:r w:rsidR="00302362" w:rsidRPr="007F700D">
        <w:rPr>
          <w:rFonts w:cs="Arial"/>
        </w:rPr>
        <w:t xml:space="preserve"> detention </w:t>
      </w:r>
      <w:r w:rsidR="00A742D9" w:rsidRPr="007F700D">
        <w:rPr>
          <w:rFonts w:cs="Arial"/>
        </w:rPr>
        <w:t xml:space="preserve">(but </w:t>
      </w:r>
      <w:r w:rsidR="00A742D9" w:rsidRPr="007F700D">
        <w:rPr>
          <w:rFonts w:cs="Arial"/>
          <w:i/>
          <w:iCs/>
        </w:rPr>
        <w:t>not</w:t>
      </w:r>
      <w:r w:rsidR="00A742D9" w:rsidRPr="007F700D">
        <w:rPr>
          <w:rFonts w:cs="Arial"/>
        </w:rPr>
        <w:t xml:space="preserve"> for the</w:t>
      </w:r>
      <w:r w:rsidR="00185651" w:rsidRPr="007F700D">
        <w:rPr>
          <w:rFonts w:cs="Arial"/>
        </w:rPr>
        <w:t xml:space="preserve"> claim for</w:t>
      </w:r>
      <w:r w:rsidR="00A742D9" w:rsidRPr="007F700D">
        <w:rPr>
          <w:rFonts w:cs="Arial"/>
        </w:rPr>
        <w:t xml:space="preserve"> </w:t>
      </w:r>
      <w:r w:rsidR="00E53869" w:rsidRPr="007F700D">
        <w:rPr>
          <w:rFonts w:cs="Arial"/>
          <w:i/>
          <w:iCs/>
        </w:rPr>
        <w:t>malicious</w:t>
      </w:r>
      <w:r w:rsidR="00E53869" w:rsidRPr="007F700D">
        <w:rPr>
          <w:rFonts w:cs="Arial"/>
        </w:rPr>
        <w:t xml:space="preserve"> prosecution) </w:t>
      </w:r>
      <w:r w:rsidR="00302362" w:rsidRPr="007F700D">
        <w:rPr>
          <w:rFonts w:cs="Arial"/>
        </w:rPr>
        <w:t>are simi</w:t>
      </w:r>
      <w:r w:rsidR="006A11DA" w:rsidRPr="007F700D">
        <w:rPr>
          <w:rFonts w:cs="Arial"/>
        </w:rPr>
        <w:t xml:space="preserve">larly time-barred for want of compliance </w:t>
      </w:r>
      <w:r w:rsidR="006A11DA" w:rsidRPr="007F700D">
        <w:rPr>
          <w:rFonts w:cs="Arial"/>
        </w:rPr>
        <w:lastRenderedPageBreak/>
        <w:t>with</w:t>
      </w:r>
      <w:r w:rsidR="00CD1104" w:rsidRPr="007F700D">
        <w:rPr>
          <w:rFonts w:cs="Arial"/>
        </w:rPr>
        <w:t xml:space="preserve"> s 32</w:t>
      </w:r>
      <w:r w:rsidR="00A742D9" w:rsidRPr="007F700D">
        <w:rPr>
          <w:rFonts w:cs="Arial"/>
        </w:rPr>
        <w:t xml:space="preserve">.  </w:t>
      </w:r>
      <w:r w:rsidR="002E53BA" w:rsidRPr="007F700D">
        <w:rPr>
          <w:rFonts w:cs="Arial"/>
        </w:rPr>
        <w:t>A stated case</w:t>
      </w:r>
      <w:r w:rsidR="00B9046C" w:rsidRPr="007F700D">
        <w:rPr>
          <w:rFonts w:cs="Arial"/>
        </w:rPr>
        <w:t xml:space="preserve">, in which the following two </w:t>
      </w:r>
      <w:r w:rsidR="001006FD" w:rsidRPr="007F700D">
        <w:rPr>
          <w:rFonts w:cs="Arial"/>
        </w:rPr>
        <w:t xml:space="preserve">main </w:t>
      </w:r>
      <w:r w:rsidR="00B9046C" w:rsidRPr="007F700D">
        <w:rPr>
          <w:rFonts w:cs="Arial"/>
        </w:rPr>
        <w:t>questions</w:t>
      </w:r>
      <w:r w:rsidR="001006FD" w:rsidRPr="007F700D">
        <w:rPr>
          <w:rFonts w:cs="Arial"/>
        </w:rPr>
        <w:t xml:space="preserve"> were formulated, </w:t>
      </w:r>
      <w:r w:rsidR="00A10319" w:rsidRPr="007F700D">
        <w:rPr>
          <w:rFonts w:cs="Arial"/>
        </w:rPr>
        <w:t>was presented to the court for adjudication:</w:t>
      </w:r>
      <w:r w:rsidR="008F2E57">
        <w:rPr>
          <w:rStyle w:val="FootnoteReference"/>
          <w:rFonts w:cs="Arial"/>
        </w:rPr>
        <w:footnoteReference w:id="92"/>
      </w:r>
    </w:p>
    <w:p w14:paraId="60337B56" w14:textId="54219A07" w:rsidR="0044117E" w:rsidRPr="00593CF9" w:rsidRDefault="0044117E" w:rsidP="00593CF9">
      <w:pPr>
        <w:pStyle w:val="ListParagraph"/>
        <w:spacing w:before="120" w:after="120"/>
        <w:ind w:left="1418" w:right="521"/>
        <w:contextualSpacing w:val="0"/>
        <w:rPr>
          <w:rFonts w:cs="Arial"/>
          <w:sz w:val="20"/>
          <w:szCs w:val="20"/>
        </w:rPr>
      </w:pPr>
      <w:r>
        <w:rPr>
          <w:rFonts w:cs="Arial"/>
        </w:rPr>
        <w:t>‘</w:t>
      </w:r>
      <w:r w:rsidRPr="00593CF9">
        <w:rPr>
          <w:rFonts w:cs="Arial"/>
          <w:sz w:val="20"/>
          <w:szCs w:val="20"/>
        </w:rPr>
        <w:t>(</w:t>
      </w:r>
      <w:proofErr w:type="gramStart"/>
      <w:r w:rsidRPr="00593CF9">
        <w:rPr>
          <w:rFonts w:cs="Arial"/>
          <w:sz w:val="20"/>
          <w:szCs w:val="20"/>
        </w:rPr>
        <w:t>a)  On</w:t>
      </w:r>
      <w:proofErr w:type="gramEnd"/>
      <w:r w:rsidRPr="00593CF9">
        <w:rPr>
          <w:rFonts w:cs="Arial"/>
          <w:sz w:val="20"/>
          <w:szCs w:val="20"/>
        </w:rPr>
        <w:t xml:space="preserve"> the assumption that the second defendant in effecting the said arrests was acting in pursuance of the Police Act, 7 of 1958, but that plaintiffs' arrest was wrongful and unlawful, did plaintiffs fail to commence action within six months after their cause of action arose, and are they therefore debarred by sec. 32 of Act 7 of 1958 from bringing their action against defendants?</w:t>
      </w:r>
    </w:p>
    <w:p w14:paraId="66FB3D13" w14:textId="77777777" w:rsidR="0044117E" w:rsidRPr="00593CF9" w:rsidRDefault="0044117E" w:rsidP="00593CF9">
      <w:pPr>
        <w:pStyle w:val="ListParagraph"/>
        <w:spacing w:before="120" w:after="120"/>
        <w:ind w:left="1418" w:right="521"/>
        <w:contextualSpacing w:val="0"/>
        <w:rPr>
          <w:rFonts w:cs="Arial"/>
          <w:sz w:val="20"/>
          <w:szCs w:val="20"/>
        </w:rPr>
      </w:pPr>
      <w:r w:rsidRPr="00593CF9">
        <w:rPr>
          <w:rFonts w:cs="Arial"/>
          <w:sz w:val="20"/>
          <w:szCs w:val="20"/>
        </w:rPr>
        <w:t>(b)  On the assumption that plaintiffs were maliciously arrested and detained by second defendant:</w:t>
      </w:r>
    </w:p>
    <w:p w14:paraId="56F03877" w14:textId="2A324745" w:rsidR="0044117E" w:rsidRPr="00593CF9" w:rsidRDefault="0044117E" w:rsidP="00CC5477">
      <w:pPr>
        <w:pStyle w:val="ListParagraph"/>
        <w:spacing w:before="120" w:after="120"/>
        <w:ind w:left="1843" w:right="521" w:hanging="425"/>
        <w:contextualSpacing w:val="0"/>
        <w:rPr>
          <w:rFonts w:cs="Arial"/>
          <w:sz w:val="20"/>
          <w:szCs w:val="20"/>
        </w:rPr>
      </w:pPr>
      <w:r w:rsidRPr="00593CF9">
        <w:rPr>
          <w:rFonts w:cs="Arial"/>
          <w:sz w:val="20"/>
          <w:szCs w:val="20"/>
        </w:rPr>
        <w:t>(</w:t>
      </w:r>
      <w:proofErr w:type="spellStart"/>
      <w:r w:rsidRPr="00593CF9">
        <w:rPr>
          <w:rFonts w:cs="Arial"/>
          <w:sz w:val="20"/>
          <w:szCs w:val="20"/>
        </w:rPr>
        <w:t>i</w:t>
      </w:r>
      <w:proofErr w:type="spellEnd"/>
      <w:r w:rsidRPr="00593CF9">
        <w:rPr>
          <w:rFonts w:cs="Arial"/>
          <w:sz w:val="20"/>
          <w:szCs w:val="20"/>
        </w:rPr>
        <w:t>)  </w:t>
      </w:r>
      <w:r w:rsidR="00CC5477">
        <w:rPr>
          <w:rFonts w:cs="Arial"/>
          <w:sz w:val="20"/>
          <w:szCs w:val="20"/>
        </w:rPr>
        <w:t> </w:t>
      </w:r>
      <w:r w:rsidRPr="00593CF9">
        <w:rPr>
          <w:rFonts w:cs="Arial"/>
          <w:sz w:val="20"/>
          <w:szCs w:val="20"/>
        </w:rPr>
        <w:t>Was second defendant acting in pursuance of the Police Act. 7 of 1958;</w:t>
      </w:r>
    </w:p>
    <w:p w14:paraId="742021A6" w14:textId="3274DD72" w:rsidR="0044117E" w:rsidRPr="00593CF9" w:rsidRDefault="0044117E" w:rsidP="00CC5477">
      <w:pPr>
        <w:pStyle w:val="ListParagraph"/>
        <w:spacing w:before="120" w:after="120"/>
        <w:ind w:left="1843" w:right="521" w:hanging="425"/>
        <w:contextualSpacing w:val="0"/>
        <w:rPr>
          <w:rFonts w:cs="Arial"/>
          <w:sz w:val="20"/>
          <w:szCs w:val="20"/>
        </w:rPr>
      </w:pPr>
      <w:r w:rsidRPr="00593CF9">
        <w:rPr>
          <w:rFonts w:cs="Arial"/>
          <w:sz w:val="20"/>
          <w:szCs w:val="20"/>
        </w:rPr>
        <w:t>(ii)  Is compliance with the provisions of sec. 32 of Act 7 of 1958 a pre-requisite for the commencement of plaintiffs' action for damages against second defendant; and</w:t>
      </w:r>
    </w:p>
    <w:p w14:paraId="6ABCA4CC" w14:textId="65E4EFFD" w:rsidR="0044117E" w:rsidRDefault="0044117E" w:rsidP="00CC5477">
      <w:pPr>
        <w:pStyle w:val="ListParagraph"/>
        <w:spacing w:before="120" w:after="120"/>
        <w:ind w:left="1843" w:right="521" w:hanging="425"/>
        <w:contextualSpacing w:val="0"/>
        <w:rPr>
          <w:rFonts w:cs="Arial"/>
        </w:rPr>
      </w:pPr>
      <w:r w:rsidRPr="00593CF9">
        <w:rPr>
          <w:rFonts w:cs="Arial"/>
          <w:sz w:val="20"/>
          <w:szCs w:val="20"/>
        </w:rPr>
        <w:t>(iii)  </w:t>
      </w:r>
      <w:r w:rsidR="00CC5477">
        <w:rPr>
          <w:rFonts w:cs="Arial"/>
          <w:sz w:val="20"/>
          <w:szCs w:val="20"/>
        </w:rPr>
        <w:t> </w:t>
      </w:r>
      <w:r w:rsidRPr="00593CF9">
        <w:rPr>
          <w:rFonts w:cs="Arial"/>
          <w:sz w:val="20"/>
          <w:szCs w:val="20"/>
        </w:rPr>
        <w:t>Have plaintiffs failed to comply with the provisions of that section by failing to commence action within six months of their cause of action arising, and are they therefore debarred from bringing action against second defendant?</w:t>
      </w:r>
      <w:r w:rsidR="00593CF9">
        <w:rPr>
          <w:rFonts w:cs="Arial"/>
        </w:rPr>
        <w:t>’</w:t>
      </w:r>
    </w:p>
    <w:p w14:paraId="79DA32DF" w14:textId="1E6B821C" w:rsidR="00F17588" w:rsidRDefault="00F17588" w:rsidP="00F17588">
      <w:pPr>
        <w:pStyle w:val="ListParagraph"/>
        <w:spacing w:before="360" w:after="120" w:line="480" w:lineRule="auto"/>
        <w:ind w:left="709"/>
        <w:contextualSpacing w:val="0"/>
        <w:rPr>
          <w:rFonts w:cs="Arial"/>
        </w:rPr>
      </w:pPr>
      <w:r>
        <w:rPr>
          <w:rFonts w:cs="Arial"/>
        </w:rPr>
        <w:t xml:space="preserve">The first question </w:t>
      </w:r>
      <w:bookmarkStart w:id="61" w:name="_Hlk159245989"/>
      <w:r>
        <w:rPr>
          <w:rFonts w:cs="Arial"/>
        </w:rPr>
        <w:t xml:space="preserve">(i.e., </w:t>
      </w:r>
      <w:r w:rsidR="00156AEE">
        <w:rPr>
          <w:rFonts w:cs="Arial"/>
        </w:rPr>
        <w:t xml:space="preserve">as formulated in (a)) </w:t>
      </w:r>
      <w:bookmarkEnd w:id="61"/>
      <w:r w:rsidR="00156AEE">
        <w:rPr>
          <w:rFonts w:cs="Arial"/>
        </w:rPr>
        <w:t xml:space="preserve">was answered </w:t>
      </w:r>
      <w:r w:rsidR="00EB0867">
        <w:rPr>
          <w:rFonts w:cs="Arial"/>
        </w:rPr>
        <w:t xml:space="preserve">by the court </w:t>
      </w:r>
      <w:r w:rsidR="00156AEE">
        <w:rPr>
          <w:rFonts w:cs="Arial"/>
        </w:rPr>
        <w:t>in favour of the defendants</w:t>
      </w:r>
      <w:r w:rsidR="0092179D">
        <w:rPr>
          <w:rFonts w:cs="Arial"/>
        </w:rPr>
        <w:t>,</w:t>
      </w:r>
      <w:r w:rsidR="0092179D">
        <w:rPr>
          <w:rStyle w:val="FootnoteReference"/>
          <w:rFonts w:cs="Arial"/>
        </w:rPr>
        <w:footnoteReference w:id="93"/>
      </w:r>
      <w:r w:rsidR="0092179D">
        <w:rPr>
          <w:rFonts w:cs="Arial"/>
        </w:rPr>
        <w:t xml:space="preserve"> while the second question (i.e., as formulated in (b))</w:t>
      </w:r>
      <w:r w:rsidR="00EB0867">
        <w:rPr>
          <w:rFonts w:cs="Arial"/>
        </w:rPr>
        <w:t xml:space="preserve"> was answered in favour </w:t>
      </w:r>
      <w:r w:rsidR="00E5057D">
        <w:rPr>
          <w:rFonts w:cs="Arial"/>
        </w:rPr>
        <w:t>of the plaintiffs.</w:t>
      </w:r>
      <w:r w:rsidR="00E5057D">
        <w:rPr>
          <w:rStyle w:val="FootnoteReference"/>
          <w:rFonts w:cs="Arial"/>
        </w:rPr>
        <w:footnoteReference w:id="94"/>
      </w:r>
      <w:r w:rsidR="005E158F">
        <w:rPr>
          <w:rFonts w:cs="Arial"/>
        </w:rPr>
        <w:t xml:space="preserve">  Prior </w:t>
      </w:r>
      <w:r w:rsidR="002D17B9">
        <w:rPr>
          <w:rFonts w:cs="Arial"/>
        </w:rPr>
        <w:t>to</w:t>
      </w:r>
      <w:r w:rsidR="00021EA0">
        <w:rPr>
          <w:rFonts w:cs="Arial"/>
        </w:rPr>
        <w:t xml:space="preserve"> </w:t>
      </w:r>
      <w:r w:rsidR="002D17B9">
        <w:rPr>
          <w:rFonts w:cs="Arial"/>
        </w:rPr>
        <w:t>providing these answers to the stated case</w:t>
      </w:r>
      <w:r w:rsidR="00021EA0">
        <w:rPr>
          <w:rFonts w:cs="Arial"/>
        </w:rPr>
        <w:t xml:space="preserve"> </w:t>
      </w:r>
      <w:r w:rsidR="009F33A3">
        <w:rPr>
          <w:rFonts w:cs="Arial"/>
        </w:rPr>
        <w:t xml:space="preserve">that was </w:t>
      </w:r>
      <w:r w:rsidR="00021EA0">
        <w:rPr>
          <w:rFonts w:cs="Arial"/>
        </w:rPr>
        <w:t>presented to him</w:t>
      </w:r>
      <w:r w:rsidR="002D17B9">
        <w:rPr>
          <w:rFonts w:cs="Arial"/>
        </w:rPr>
        <w:t xml:space="preserve">, </w:t>
      </w:r>
      <w:r w:rsidR="009F33A3">
        <w:rPr>
          <w:rFonts w:cs="Arial"/>
        </w:rPr>
        <w:t xml:space="preserve">the learned judge’s </w:t>
      </w:r>
      <w:r w:rsidR="009F3979">
        <w:rPr>
          <w:rFonts w:cs="Arial"/>
        </w:rPr>
        <w:t xml:space="preserve">rationale </w:t>
      </w:r>
      <w:r w:rsidR="00BA01FF">
        <w:rPr>
          <w:rFonts w:cs="Arial"/>
        </w:rPr>
        <w:t>for such answers</w:t>
      </w:r>
      <w:r w:rsidR="00E5239E">
        <w:rPr>
          <w:rFonts w:cs="Arial"/>
        </w:rPr>
        <w:t xml:space="preserve"> can be gleaned from t</w:t>
      </w:r>
      <w:r w:rsidR="00150884">
        <w:rPr>
          <w:rFonts w:cs="Arial"/>
        </w:rPr>
        <w:t xml:space="preserve">he following </w:t>
      </w:r>
      <w:r w:rsidR="00E5239E">
        <w:rPr>
          <w:rFonts w:cs="Arial"/>
        </w:rPr>
        <w:t>passage:</w:t>
      </w:r>
      <w:r w:rsidR="00E5239E">
        <w:rPr>
          <w:rStyle w:val="FootnoteReference"/>
          <w:rFonts w:cs="Arial"/>
        </w:rPr>
        <w:footnoteReference w:id="95"/>
      </w:r>
    </w:p>
    <w:p w14:paraId="46537C2C" w14:textId="1AA7BB22" w:rsidR="00E50E9F" w:rsidRPr="00B615E6" w:rsidRDefault="00A578AA" w:rsidP="00B615E6">
      <w:pPr>
        <w:pStyle w:val="ListParagraph"/>
        <w:spacing w:before="120" w:after="120"/>
        <w:ind w:left="1418" w:right="521"/>
        <w:contextualSpacing w:val="0"/>
        <w:rPr>
          <w:rFonts w:cs="Arial"/>
          <w:sz w:val="20"/>
          <w:szCs w:val="20"/>
        </w:rPr>
      </w:pPr>
      <w:r>
        <w:rPr>
          <w:rFonts w:cs="Arial"/>
        </w:rPr>
        <w:t>‘</w:t>
      </w:r>
      <w:r w:rsidR="00E50E9F" w:rsidRPr="00B615E6">
        <w:rPr>
          <w:rFonts w:cs="Arial"/>
          <w:sz w:val="20"/>
          <w:szCs w:val="20"/>
        </w:rPr>
        <w:t xml:space="preserve">Both claims, i.e., in respect of the wrongful arrest and in respect of the malicious arrest, are based on the </w:t>
      </w:r>
      <w:proofErr w:type="spellStart"/>
      <w:r w:rsidR="00E50E9F" w:rsidRPr="00B615E6">
        <w:rPr>
          <w:rFonts w:cs="Arial"/>
          <w:i/>
          <w:iCs/>
          <w:sz w:val="20"/>
          <w:szCs w:val="20"/>
        </w:rPr>
        <w:t>actio</w:t>
      </w:r>
      <w:proofErr w:type="spellEnd"/>
      <w:r w:rsidR="00E50E9F" w:rsidRPr="00B615E6">
        <w:rPr>
          <w:rFonts w:cs="Arial"/>
          <w:i/>
          <w:iCs/>
          <w:sz w:val="20"/>
          <w:szCs w:val="20"/>
        </w:rPr>
        <w:t xml:space="preserve"> </w:t>
      </w:r>
      <w:proofErr w:type="spellStart"/>
      <w:r w:rsidR="00E50E9F" w:rsidRPr="00B615E6">
        <w:rPr>
          <w:rFonts w:cs="Arial"/>
          <w:i/>
          <w:iCs/>
          <w:sz w:val="20"/>
          <w:szCs w:val="20"/>
        </w:rPr>
        <w:t>injuriarum</w:t>
      </w:r>
      <w:proofErr w:type="spellEnd"/>
      <w:r w:rsidR="00E50E9F" w:rsidRPr="00B615E6">
        <w:rPr>
          <w:rFonts w:cs="Arial"/>
          <w:sz w:val="20"/>
          <w:szCs w:val="20"/>
        </w:rPr>
        <w:t xml:space="preserve"> and in both instances the </w:t>
      </w:r>
      <w:r w:rsidR="00E50E9F" w:rsidRPr="00B615E6">
        <w:rPr>
          <w:rFonts w:cs="Arial"/>
          <w:i/>
          <w:iCs/>
          <w:sz w:val="20"/>
          <w:szCs w:val="20"/>
        </w:rPr>
        <w:t xml:space="preserve">animus </w:t>
      </w:r>
      <w:proofErr w:type="spellStart"/>
      <w:r w:rsidR="00E50E9F" w:rsidRPr="00B615E6">
        <w:rPr>
          <w:rFonts w:cs="Arial"/>
          <w:i/>
          <w:iCs/>
          <w:sz w:val="20"/>
          <w:szCs w:val="20"/>
        </w:rPr>
        <w:t>injuriandi</w:t>
      </w:r>
      <w:proofErr w:type="spellEnd"/>
      <w:r w:rsidR="00E50E9F" w:rsidRPr="00B615E6">
        <w:rPr>
          <w:rFonts w:cs="Arial"/>
          <w:sz w:val="20"/>
          <w:szCs w:val="20"/>
        </w:rPr>
        <w:t xml:space="preserve"> or </w:t>
      </w:r>
      <w:proofErr w:type="spellStart"/>
      <w:r w:rsidR="00E50E9F" w:rsidRPr="00B615E6">
        <w:rPr>
          <w:rFonts w:cs="Arial"/>
          <w:i/>
          <w:iCs/>
          <w:sz w:val="20"/>
          <w:szCs w:val="20"/>
        </w:rPr>
        <w:t>dolus</w:t>
      </w:r>
      <w:proofErr w:type="spellEnd"/>
      <w:r w:rsidR="00E50E9F" w:rsidRPr="00B615E6">
        <w:rPr>
          <w:rFonts w:cs="Arial"/>
          <w:sz w:val="20"/>
          <w:szCs w:val="20"/>
        </w:rPr>
        <w:t xml:space="preserve"> is an essential element.</w:t>
      </w:r>
      <w:r w:rsidR="00AF5F94" w:rsidRPr="00B615E6">
        <w:rPr>
          <w:rFonts w:cs="Arial"/>
          <w:sz w:val="20"/>
          <w:szCs w:val="20"/>
        </w:rPr>
        <w:t xml:space="preserve"> </w:t>
      </w:r>
      <w:r w:rsidR="00E50E9F" w:rsidRPr="00B615E6">
        <w:rPr>
          <w:rFonts w:cs="Arial"/>
          <w:sz w:val="20"/>
          <w:szCs w:val="20"/>
        </w:rPr>
        <w:t xml:space="preserve"> In the case of wrongful arrest, however, the intention may be said to be direct - </w:t>
      </w:r>
      <w:proofErr w:type="spellStart"/>
      <w:r w:rsidR="00E50E9F" w:rsidRPr="00B615E6">
        <w:rPr>
          <w:rFonts w:cs="Arial"/>
          <w:i/>
          <w:iCs/>
          <w:sz w:val="20"/>
          <w:szCs w:val="20"/>
        </w:rPr>
        <w:t>dolus</w:t>
      </w:r>
      <w:proofErr w:type="spellEnd"/>
      <w:r w:rsidR="00E50E9F" w:rsidRPr="00B615E6">
        <w:rPr>
          <w:rFonts w:cs="Arial"/>
          <w:i/>
          <w:iCs/>
          <w:sz w:val="20"/>
          <w:szCs w:val="20"/>
        </w:rPr>
        <w:t xml:space="preserve"> </w:t>
      </w:r>
      <w:proofErr w:type="spellStart"/>
      <w:r w:rsidR="00E50E9F" w:rsidRPr="00B615E6">
        <w:rPr>
          <w:rFonts w:cs="Arial"/>
          <w:i/>
          <w:iCs/>
          <w:sz w:val="20"/>
          <w:szCs w:val="20"/>
        </w:rPr>
        <w:t>directus</w:t>
      </w:r>
      <w:proofErr w:type="spellEnd"/>
      <w:r w:rsidR="00E50E9F" w:rsidRPr="00B615E6">
        <w:rPr>
          <w:rFonts w:cs="Arial"/>
          <w:sz w:val="20"/>
          <w:szCs w:val="20"/>
        </w:rPr>
        <w:t xml:space="preserve"> - as it is done with the definite object of hurting the defendant in his person, dignity or reputation (</w:t>
      </w:r>
      <w:proofErr w:type="spellStart"/>
      <w:r w:rsidR="00E50E9F" w:rsidRPr="00B615E6">
        <w:rPr>
          <w:rFonts w:cs="Arial"/>
          <w:sz w:val="20"/>
          <w:szCs w:val="20"/>
        </w:rPr>
        <w:t>Melius</w:t>
      </w:r>
      <w:proofErr w:type="spellEnd"/>
      <w:r w:rsidR="00E50E9F" w:rsidRPr="00B615E6">
        <w:rPr>
          <w:rFonts w:cs="Arial"/>
          <w:sz w:val="20"/>
          <w:szCs w:val="20"/>
        </w:rPr>
        <w:t xml:space="preserve"> de Villiers on </w:t>
      </w:r>
      <w:r w:rsidR="00E50E9F" w:rsidRPr="00B615E6">
        <w:rPr>
          <w:rFonts w:cs="Arial"/>
          <w:i/>
          <w:iCs/>
          <w:sz w:val="20"/>
          <w:szCs w:val="20"/>
        </w:rPr>
        <w:t>The Law of Injuries</w:t>
      </w:r>
      <w:r w:rsidR="00E50E9F" w:rsidRPr="00B615E6">
        <w:rPr>
          <w:rFonts w:cs="Arial"/>
          <w:sz w:val="20"/>
          <w:szCs w:val="20"/>
        </w:rPr>
        <w:t xml:space="preserve">, p. 27). </w:t>
      </w:r>
      <w:r w:rsidR="00056021" w:rsidRPr="00B615E6">
        <w:rPr>
          <w:rFonts w:cs="Arial"/>
          <w:sz w:val="20"/>
          <w:szCs w:val="20"/>
        </w:rPr>
        <w:t xml:space="preserve"> </w:t>
      </w:r>
      <w:r w:rsidR="00E50E9F" w:rsidRPr="00B615E6">
        <w:rPr>
          <w:rFonts w:cs="Arial"/>
          <w:sz w:val="20"/>
          <w:szCs w:val="20"/>
        </w:rPr>
        <w:t xml:space="preserve">The arrest itself is </w:t>
      </w:r>
      <w:r w:rsidR="00E50E9F" w:rsidRPr="00B615E6">
        <w:rPr>
          <w:rFonts w:cs="Arial"/>
          <w:i/>
          <w:iCs/>
          <w:sz w:val="20"/>
          <w:szCs w:val="20"/>
        </w:rPr>
        <w:t>prima facie</w:t>
      </w:r>
      <w:r w:rsidR="00E50E9F" w:rsidRPr="00B615E6">
        <w:rPr>
          <w:rFonts w:cs="Arial"/>
          <w:sz w:val="20"/>
          <w:szCs w:val="20"/>
        </w:rPr>
        <w:t xml:space="preserve"> such an odious interference with the liberty of the citizen that </w:t>
      </w:r>
      <w:r w:rsidR="00E50E9F" w:rsidRPr="00B615E6">
        <w:rPr>
          <w:rFonts w:cs="Arial"/>
          <w:i/>
          <w:iCs/>
          <w:sz w:val="20"/>
          <w:szCs w:val="20"/>
        </w:rPr>
        <w:t>animus</w:t>
      </w:r>
      <w:r w:rsidR="00E50E9F" w:rsidRPr="00B615E6">
        <w:rPr>
          <w:rFonts w:cs="Arial"/>
          <w:sz w:val="20"/>
          <w:szCs w:val="20"/>
        </w:rPr>
        <w:t xml:space="preserve"> </w:t>
      </w:r>
      <w:proofErr w:type="spellStart"/>
      <w:r w:rsidR="00E50E9F" w:rsidRPr="00B615E6">
        <w:rPr>
          <w:rFonts w:cs="Arial"/>
          <w:i/>
          <w:iCs/>
          <w:sz w:val="20"/>
          <w:szCs w:val="20"/>
        </w:rPr>
        <w:t>injuriandi</w:t>
      </w:r>
      <w:proofErr w:type="spellEnd"/>
      <w:r w:rsidR="00E50E9F" w:rsidRPr="00B615E6">
        <w:rPr>
          <w:rFonts w:cs="Arial"/>
          <w:sz w:val="20"/>
          <w:szCs w:val="20"/>
        </w:rPr>
        <w:t xml:space="preserve"> is thereby presumed in our law, and no allegation of actual subjective </w:t>
      </w:r>
      <w:r w:rsidR="00E50E9F" w:rsidRPr="00B615E6">
        <w:rPr>
          <w:rFonts w:cs="Arial"/>
          <w:i/>
          <w:iCs/>
          <w:sz w:val="20"/>
          <w:szCs w:val="20"/>
        </w:rPr>
        <w:t xml:space="preserve">animus </w:t>
      </w:r>
      <w:proofErr w:type="spellStart"/>
      <w:r w:rsidR="00E50E9F" w:rsidRPr="00B615E6">
        <w:rPr>
          <w:rFonts w:cs="Arial"/>
          <w:i/>
          <w:iCs/>
          <w:sz w:val="20"/>
          <w:szCs w:val="20"/>
        </w:rPr>
        <w:t>injuriandi</w:t>
      </w:r>
      <w:proofErr w:type="spellEnd"/>
      <w:r w:rsidR="00E50E9F" w:rsidRPr="00B615E6">
        <w:rPr>
          <w:rFonts w:cs="Arial"/>
          <w:sz w:val="20"/>
          <w:szCs w:val="20"/>
        </w:rPr>
        <w:t xml:space="preserve"> is necessary (</w:t>
      </w:r>
      <w:proofErr w:type="spellStart"/>
      <w:r w:rsidR="00E50E9F" w:rsidRPr="00B615E6">
        <w:rPr>
          <w:rFonts w:cs="Arial"/>
          <w:i/>
          <w:iCs/>
          <w:sz w:val="20"/>
          <w:szCs w:val="20"/>
        </w:rPr>
        <w:t>Foulds</w:t>
      </w:r>
      <w:proofErr w:type="spellEnd"/>
      <w:r w:rsidR="00E50E9F" w:rsidRPr="00B615E6">
        <w:rPr>
          <w:rFonts w:cs="Arial"/>
          <w:i/>
          <w:iCs/>
          <w:sz w:val="20"/>
          <w:szCs w:val="20"/>
        </w:rPr>
        <w:t xml:space="preserve"> v. Smith</w:t>
      </w:r>
      <w:r w:rsidR="00E50E9F" w:rsidRPr="00B615E6">
        <w:rPr>
          <w:rFonts w:cs="Arial"/>
          <w:sz w:val="20"/>
          <w:szCs w:val="20"/>
        </w:rPr>
        <w:t>, 1950 (1) SA 1 (AD) at p. 11).</w:t>
      </w:r>
      <w:r w:rsidR="00492546" w:rsidRPr="00B615E6">
        <w:rPr>
          <w:rFonts w:cs="Arial"/>
          <w:sz w:val="20"/>
          <w:szCs w:val="20"/>
        </w:rPr>
        <w:t xml:space="preserve"> </w:t>
      </w:r>
      <w:r w:rsidR="00E50E9F" w:rsidRPr="00B615E6">
        <w:rPr>
          <w:rFonts w:cs="Arial"/>
          <w:sz w:val="20"/>
          <w:szCs w:val="20"/>
        </w:rPr>
        <w:t xml:space="preserve"> In such an action the plaintiff need only prove the arrest itself and the onus will then lie on the person responsible to establish that it was legally justified. (</w:t>
      </w:r>
      <w:r w:rsidR="00E50E9F" w:rsidRPr="00B615E6">
        <w:rPr>
          <w:rFonts w:cs="Arial"/>
          <w:i/>
          <w:iCs/>
          <w:sz w:val="20"/>
          <w:szCs w:val="20"/>
        </w:rPr>
        <w:t>Theron v. Steenkamp</w:t>
      </w:r>
      <w:r w:rsidR="00E50E9F" w:rsidRPr="00B615E6">
        <w:rPr>
          <w:rFonts w:cs="Arial"/>
          <w:sz w:val="20"/>
          <w:szCs w:val="20"/>
        </w:rPr>
        <w:t xml:space="preserve">, 1928 CPD 429 at p. 432; </w:t>
      </w:r>
      <w:r w:rsidR="00E50E9F" w:rsidRPr="00B615E6">
        <w:rPr>
          <w:rFonts w:cs="Arial"/>
          <w:i/>
          <w:iCs/>
          <w:sz w:val="20"/>
          <w:szCs w:val="20"/>
        </w:rPr>
        <w:t>Ingram v. Minister of Justice</w:t>
      </w:r>
      <w:r w:rsidR="00E50E9F" w:rsidRPr="00B615E6">
        <w:rPr>
          <w:rFonts w:cs="Arial"/>
          <w:sz w:val="20"/>
          <w:szCs w:val="20"/>
        </w:rPr>
        <w:t>, 1962 (3) SA 225 (W) at p. 227).</w:t>
      </w:r>
    </w:p>
    <w:p w14:paraId="1BCBE9C9" w14:textId="2EA117E5" w:rsidR="00E50E9F" w:rsidRPr="00B615E6" w:rsidRDefault="00E50E9F" w:rsidP="00B615E6">
      <w:pPr>
        <w:pStyle w:val="ListParagraph"/>
        <w:spacing w:before="120" w:after="120"/>
        <w:ind w:left="1418" w:right="521"/>
        <w:contextualSpacing w:val="0"/>
        <w:rPr>
          <w:rFonts w:cs="Arial"/>
          <w:sz w:val="20"/>
          <w:szCs w:val="20"/>
        </w:rPr>
      </w:pPr>
      <w:r w:rsidRPr="00B615E6">
        <w:rPr>
          <w:rFonts w:cs="Arial"/>
          <w:sz w:val="20"/>
          <w:szCs w:val="20"/>
        </w:rPr>
        <w:t xml:space="preserve">In the case of malicious </w:t>
      </w:r>
      <w:proofErr w:type="gramStart"/>
      <w:r w:rsidRPr="00B615E6">
        <w:rPr>
          <w:rFonts w:cs="Arial"/>
          <w:sz w:val="20"/>
          <w:szCs w:val="20"/>
        </w:rPr>
        <w:t>arrest</w:t>
      </w:r>
      <w:proofErr w:type="gramEnd"/>
      <w:r w:rsidRPr="00B615E6">
        <w:rPr>
          <w:rFonts w:cs="Arial"/>
          <w:sz w:val="20"/>
          <w:szCs w:val="20"/>
        </w:rPr>
        <w:t xml:space="preserve"> the intention to injure is indirect - </w:t>
      </w:r>
      <w:proofErr w:type="spellStart"/>
      <w:r w:rsidRPr="00B615E6">
        <w:rPr>
          <w:rFonts w:cs="Arial"/>
          <w:i/>
          <w:iCs/>
          <w:sz w:val="20"/>
          <w:szCs w:val="20"/>
        </w:rPr>
        <w:t>dolus</w:t>
      </w:r>
      <w:proofErr w:type="spellEnd"/>
      <w:r w:rsidRPr="00B615E6">
        <w:rPr>
          <w:rFonts w:cs="Arial"/>
          <w:i/>
          <w:iCs/>
          <w:sz w:val="20"/>
          <w:szCs w:val="20"/>
        </w:rPr>
        <w:t xml:space="preserve"> </w:t>
      </w:r>
      <w:proofErr w:type="spellStart"/>
      <w:r w:rsidRPr="00B615E6">
        <w:rPr>
          <w:rFonts w:cs="Arial"/>
          <w:i/>
          <w:iCs/>
          <w:sz w:val="20"/>
          <w:szCs w:val="20"/>
        </w:rPr>
        <w:t>indirectus</w:t>
      </w:r>
      <w:proofErr w:type="spellEnd"/>
      <w:r w:rsidRPr="00B615E6">
        <w:rPr>
          <w:rFonts w:cs="Arial"/>
          <w:sz w:val="20"/>
          <w:szCs w:val="20"/>
        </w:rPr>
        <w:t xml:space="preserve"> - as the action of the defendant in instigating the arrest or setting the wheels of the criminal law in motion is done as a means for effecting another object, </w:t>
      </w:r>
      <w:r w:rsidRPr="00B615E6">
        <w:rPr>
          <w:rFonts w:cs="Arial"/>
          <w:i/>
          <w:iCs/>
          <w:sz w:val="20"/>
          <w:szCs w:val="20"/>
        </w:rPr>
        <w:t>viz</w:t>
      </w:r>
      <w:r w:rsidRPr="00B615E6">
        <w:rPr>
          <w:rFonts w:cs="Arial"/>
          <w:sz w:val="20"/>
          <w:szCs w:val="20"/>
        </w:rPr>
        <w:t xml:space="preserve">. </w:t>
      </w:r>
      <w:r w:rsidRPr="00B615E6">
        <w:rPr>
          <w:rFonts w:cs="Arial"/>
          <w:sz w:val="20"/>
          <w:szCs w:val="20"/>
        </w:rPr>
        <w:lastRenderedPageBreak/>
        <w:t>the arrest of the plaintiff, the consequence of which act the defendant is aware will necessarily be to hurt the plaintiff in regard to his person, dignity or reputation.</w:t>
      </w:r>
    </w:p>
    <w:p w14:paraId="0CED12CD" w14:textId="4E226335" w:rsidR="00E50E9F" w:rsidRPr="00B615E6" w:rsidRDefault="00E50E9F" w:rsidP="00B615E6">
      <w:pPr>
        <w:pStyle w:val="ListParagraph"/>
        <w:spacing w:before="120" w:after="120"/>
        <w:ind w:left="1418" w:right="521"/>
        <w:contextualSpacing w:val="0"/>
        <w:rPr>
          <w:rFonts w:cs="Arial"/>
          <w:sz w:val="20"/>
          <w:szCs w:val="20"/>
        </w:rPr>
      </w:pPr>
      <w:r w:rsidRPr="00B615E6">
        <w:rPr>
          <w:rFonts w:cs="Arial"/>
          <w:b/>
          <w:bCs/>
          <w:sz w:val="20"/>
          <w:szCs w:val="20"/>
        </w:rPr>
        <w:t xml:space="preserve">In an action based on malicious prosecution it has been held that no action will lie until the criminal proceedings have terminated in favour of the plaintiff. </w:t>
      </w:r>
      <w:r w:rsidR="00165BA5" w:rsidRPr="00B615E6">
        <w:rPr>
          <w:rFonts w:cs="Arial"/>
          <w:b/>
          <w:bCs/>
          <w:sz w:val="20"/>
          <w:szCs w:val="20"/>
        </w:rPr>
        <w:t xml:space="preserve"> </w:t>
      </w:r>
      <w:r w:rsidRPr="00B615E6">
        <w:rPr>
          <w:rFonts w:cs="Arial"/>
          <w:b/>
          <w:bCs/>
          <w:sz w:val="20"/>
          <w:szCs w:val="20"/>
        </w:rPr>
        <w:t>This is so because one of the essential requisites of the action is proof of a want of reasonable and probable cause on the part of the defendant, and while a prosecution is actually pending its result cannot be allowed to be prejudged by the civil action</w:t>
      </w:r>
      <w:r w:rsidRPr="00B615E6">
        <w:rPr>
          <w:rFonts w:cs="Arial"/>
          <w:sz w:val="20"/>
          <w:szCs w:val="20"/>
        </w:rPr>
        <w:t xml:space="preserve"> (</w:t>
      </w:r>
      <w:proofErr w:type="spellStart"/>
      <w:r w:rsidRPr="00B615E6">
        <w:rPr>
          <w:rFonts w:cs="Arial"/>
          <w:i/>
          <w:iCs/>
          <w:sz w:val="20"/>
          <w:szCs w:val="20"/>
        </w:rPr>
        <w:t>Lemue</w:t>
      </w:r>
      <w:proofErr w:type="spellEnd"/>
      <w:r w:rsidRPr="00B615E6">
        <w:rPr>
          <w:rFonts w:cs="Arial"/>
          <w:i/>
          <w:iCs/>
          <w:sz w:val="20"/>
          <w:szCs w:val="20"/>
        </w:rPr>
        <w:t xml:space="preserve"> v </w:t>
      </w:r>
      <w:proofErr w:type="spellStart"/>
      <w:r w:rsidRPr="00B615E6">
        <w:rPr>
          <w:rFonts w:cs="Arial"/>
          <w:i/>
          <w:iCs/>
          <w:sz w:val="20"/>
          <w:szCs w:val="20"/>
        </w:rPr>
        <w:t>Zwartbooi</w:t>
      </w:r>
      <w:proofErr w:type="spellEnd"/>
      <w:r w:rsidRPr="00B615E6">
        <w:rPr>
          <w:rFonts w:cs="Arial"/>
          <w:sz w:val="20"/>
          <w:szCs w:val="20"/>
        </w:rPr>
        <w:t xml:space="preserve">, </w:t>
      </w:r>
      <w:r w:rsidRPr="00B615E6">
        <w:rPr>
          <w:rFonts w:cs="Arial"/>
          <w:i/>
          <w:iCs/>
          <w:sz w:val="20"/>
          <w:szCs w:val="20"/>
        </w:rPr>
        <w:t>supra</w:t>
      </w:r>
      <w:r w:rsidRPr="00B615E6">
        <w:rPr>
          <w:rFonts w:cs="Arial"/>
          <w:sz w:val="20"/>
          <w:szCs w:val="20"/>
        </w:rPr>
        <w:t xml:space="preserve"> at p. 407). </w:t>
      </w:r>
      <w:r w:rsidR="003F5B04" w:rsidRPr="00B615E6">
        <w:rPr>
          <w:rFonts w:cs="Arial"/>
          <w:sz w:val="20"/>
          <w:szCs w:val="20"/>
        </w:rPr>
        <w:t xml:space="preserve"> </w:t>
      </w:r>
      <w:r w:rsidRPr="00B615E6">
        <w:rPr>
          <w:rFonts w:cs="Arial"/>
          <w:b/>
          <w:bCs/>
          <w:sz w:val="20"/>
          <w:szCs w:val="20"/>
        </w:rPr>
        <w:t xml:space="preserve">The action therefore only arises after the criminal proceedings against the plaintiff have terminated in his favour or where the Attorney-General has declined to prosecute. </w:t>
      </w:r>
      <w:r w:rsidR="00C5382A" w:rsidRPr="00B615E6">
        <w:rPr>
          <w:rFonts w:cs="Arial"/>
          <w:b/>
          <w:bCs/>
          <w:sz w:val="20"/>
          <w:szCs w:val="20"/>
        </w:rPr>
        <w:t xml:space="preserve"> </w:t>
      </w:r>
      <w:r w:rsidRPr="00B615E6">
        <w:rPr>
          <w:rFonts w:cs="Arial"/>
          <w:b/>
          <w:bCs/>
          <w:sz w:val="20"/>
          <w:szCs w:val="20"/>
        </w:rPr>
        <w:t>To my mind the same principles must apply to an action based on malicious arrest and detention where a prosecution ensues on such arrest, as happened in the present case</w:t>
      </w:r>
      <w:r w:rsidRPr="00B615E6">
        <w:rPr>
          <w:rFonts w:cs="Arial"/>
          <w:sz w:val="20"/>
          <w:szCs w:val="20"/>
        </w:rPr>
        <w:t xml:space="preserve">. </w:t>
      </w:r>
      <w:r w:rsidR="00C5382A" w:rsidRPr="00B615E6">
        <w:rPr>
          <w:rFonts w:cs="Arial"/>
          <w:sz w:val="20"/>
          <w:szCs w:val="20"/>
        </w:rPr>
        <w:t xml:space="preserve"> </w:t>
      </w:r>
      <w:r w:rsidRPr="00B615E6">
        <w:rPr>
          <w:rFonts w:cs="Arial"/>
          <w:b/>
          <w:bCs/>
          <w:sz w:val="20"/>
          <w:szCs w:val="20"/>
        </w:rPr>
        <w:t>The proceeding from arrest to acquittal must be regarded as continuous, and no action for personal injury done to the accused person will arise until the prosecution has been determined by his discharge</w:t>
      </w:r>
      <w:r w:rsidRPr="00B615E6">
        <w:rPr>
          <w:rFonts w:cs="Arial"/>
          <w:sz w:val="20"/>
          <w:szCs w:val="20"/>
        </w:rPr>
        <w:t>. (</w:t>
      </w:r>
      <w:r w:rsidRPr="00B615E6">
        <w:rPr>
          <w:rFonts w:cs="Arial"/>
          <w:i/>
          <w:iCs/>
          <w:sz w:val="20"/>
          <w:szCs w:val="20"/>
        </w:rPr>
        <w:t>Bacon v. Nettleton</w:t>
      </w:r>
      <w:r w:rsidRPr="00B615E6">
        <w:rPr>
          <w:rFonts w:cs="Arial"/>
          <w:sz w:val="20"/>
          <w:szCs w:val="20"/>
        </w:rPr>
        <w:t>, 1906 T.H. 138 at pp. 142 - 3).</w:t>
      </w:r>
    </w:p>
    <w:p w14:paraId="04C50E48" w14:textId="7785303C" w:rsidR="00E50E9F" w:rsidRPr="00B615E6" w:rsidRDefault="00E50E9F" w:rsidP="00B615E6">
      <w:pPr>
        <w:pStyle w:val="ListParagraph"/>
        <w:spacing w:before="120" w:after="120"/>
        <w:ind w:left="1418" w:right="521"/>
        <w:contextualSpacing w:val="0"/>
        <w:rPr>
          <w:rFonts w:cs="Arial"/>
          <w:sz w:val="20"/>
          <w:szCs w:val="20"/>
        </w:rPr>
      </w:pPr>
      <w:r w:rsidRPr="00B615E6">
        <w:rPr>
          <w:rFonts w:cs="Arial"/>
          <w:b/>
          <w:bCs/>
          <w:sz w:val="20"/>
          <w:szCs w:val="20"/>
        </w:rPr>
        <w:t xml:space="preserve">From this it follows that the plaintiffs' </w:t>
      </w:r>
      <w:bookmarkStart w:id="63" w:name="_Hlk159315886"/>
      <w:r w:rsidRPr="00B615E6">
        <w:rPr>
          <w:rFonts w:cs="Arial"/>
          <w:b/>
          <w:bCs/>
          <w:sz w:val="20"/>
          <w:szCs w:val="20"/>
        </w:rPr>
        <w:t>cause of action in respect of the alleged malicious arrest and detention in the present case, can only have arisen on the judgment of this Court allowing the appeal against their conviction in the magistrate's court</w:t>
      </w:r>
      <w:r w:rsidRPr="00B615E6">
        <w:rPr>
          <w:rFonts w:cs="Arial"/>
          <w:sz w:val="20"/>
          <w:szCs w:val="20"/>
        </w:rPr>
        <w:t xml:space="preserve">, </w:t>
      </w:r>
      <w:r w:rsidRPr="00B615E6">
        <w:rPr>
          <w:rFonts w:cs="Arial"/>
          <w:b/>
          <w:bCs/>
          <w:sz w:val="20"/>
          <w:szCs w:val="20"/>
        </w:rPr>
        <w:t>i.e. on 29th April, 1969</w:t>
      </w:r>
      <w:bookmarkEnd w:id="63"/>
      <w:r w:rsidRPr="00B615E6">
        <w:rPr>
          <w:rFonts w:cs="Arial"/>
          <w:b/>
          <w:bCs/>
          <w:sz w:val="20"/>
          <w:szCs w:val="20"/>
        </w:rPr>
        <w:t xml:space="preserve">. </w:t>
      </w:r>
      <w:r w:rsidR="00F1789F" w:rsidRPr="00B615E6">
        <w:rPr>
          <w:rFonts w:cs="Arial"/>
          <w:b/>
          <w:bCs/>
          <w:sz w:val="20"/>
          <w:szCs w:val="20"/>
        </w:rPr>
        <w:t xml:space="preserve"> </w:t>
      </w:r>
      <w:r w:rsidRPr="00B615E6">
        <w:rPr>
          <w:rFonts w:cs="Arial"/>
          <w:b/>
          <w:bCs/>
          <w:sz w:val="20"/>
          <w:szCs w:val="20"/>
        </w:rPr>
        <w:t>This means that, in giving notice to the second defendant on 20th September, 1968 and issuing summons on 25th October, 1968, they were complying with the provisions of sec. 32 of Act 7 of 1958</w:t>
      </w:r>
      <w:r w:rsidRPr="000D7409">
        <w:rPr>
          <w:rFonts w:cs="Arial"/>
          <w:b/>
          <w:bCs/>
          <w:sz w:val="20"/>
          <w:szCs w:val="20"/>
        </w:rPr>
        <w:t>, and it consequently becomes unnecessary for me to consider whether they were in fact required so to comply or whether the second defendant was acting in pursuance of the Police Act at the time he was alleged to have committed the delict</w:t>
      </w:r>
      <w:r w:rsidRPr="00B615E6">
        <w:rPr>
          <w:rFonts w:cs="Arial"/>
          <w:sz w:val="20"/>
          <w:szCs w:val="20"/>
        </w:rPr>
        <w:t>.</w:t>
      </w:r>
    </w:p>
    <w:p w14:paraId="2F60ACB3" w14:textId="41FEF688" w:rsidR="00E50E9F" w:rsidRPr="00B615E6" w:rsidRDefault="00E50E9F" w:rsidP="00B615E6">
      <w:pPr>
        <w:pStyle w:val="ListParagraph"/>
        <w:spacing w:before="120" w:after="120"/>
        <w:ind w:left="1418" w:right="521"/>
        <w:contextualSpacing w:val="0"/>
        <w:rPr>
          <w:rFonts w:cs="Arial"/>
          <w:sz w:val="20"/>
          <w:szCs w:val="20"/>
        </w:rPr>
      </w:pPr>
      <w:r w:rsidRPr="00B615E6">
        <w:rPr>
          <w:rFonts w:cs="Arial"/>
          <w:sz w:val="20"/>
          <w:szCs w:val="20"/>
        </w:rPr>
        <w:t>In the main claim based on wrongful arrest however the position is different. There the delict is committed by the illegal arrest of the plaintiff without the due process of the law</w:t>
      </w:r>
      <w:r w:rsidRPr="001C02DD">
        <w:rPr>
          <w:rFonts w:cs="Arial"/>
          <w:sz w:val="20"/>
          <w:szCs w:val="20"/>
        </w:rPr>
        <w:t xml:space="preserve">. </w:t>
      </w:r>
      <w:r w:rsidR="00E26E5E" w:rsidRPr="001C02DD">
        <w:rPr>
          <w:rFonts w:cs="Arial"/>
          <w:sz w:val="20"/>
          <w:szCs w:val="20"/>
        </w:rPr>
        <w:t xml:space="preserve"> </w:t>
      </w:r>
      <w:r w:rsidRPr="001C02DD">
        <w:rPr>
          <w:rFonts w:cs="Arial"/>
          <w:sz w:val="20"/>
          <w:szCs w:val="20"/>
        </w:rPr>
        <w:t xml:space="preserve">Improper motive or want of reasonable and probable cause required for malicious arrest have no legal relevance to this cause of action. </w:t>
      </w:r>
      <w:r w:rsidR="00766C43" w:rsidRPr="00B615E6">
        <w:rPr>
          <w:rFonts w:cs="Arial"/>
          <w:sz w:val="20"/>
          <w:szCs w:val="20"/>
        </w:rPr>
        <w:t xml:space="preserve"> </w:t>
      </w:r>
      <w:r w:rsidRPr="00B615E6">
        <w:rPr>
          <w:rFonts w:cs="Arial"/>
          <w:sz w:val="20"/>
          <w:szCs w:val="20"/>
        </w:rPr>
        <w:t xml:space="preserve">It is also irrelevant whether any prosecution ensues subsequent to the arrest; and, even if it does, what the outcome of that prosecution is. </w:t>
      </w:r>
      <w:r w:rsidR="00766C43" w:rsidRPr="00B615E6">
        <w:rPr>
          <w:rFonts w:cs="Arial"/>
          <w:sz w:val="20"/>
          <w:szCs w:val="20"/>
        </w:rPr>
        <w:t xml:space="preserve"> </w:t>
      </w:r>
      <w:r w:rsidRPr="00B615E6">
        <w:rPr>
          <w:rFonts w:cs="Arial"/>
          <w:sz w:val="20"/>
          <w:szCs w:val="20"/>
        </w:rPr>
        <w:t>The injury lies in the arrest without legal justification, and the cause of action arises as soon as that illegal arrest has been made.</w:t>
      </w:r>
      <w:r w:rsidR="00766C43" w:rsidRPr="00B615E6">
        <w:rPr>
          <w:rFonts w:cs="Arial"/>
          <w:sz w:val="20"/>
          <w:szCs w:val="20"/>
        </w:rPr>
        <w:t xml:space="preserve"> </w:t>
      </w:r>
      <w:r w:rsidRPr="00B615E6">
        <w:rPr>
          <w:rFonts w:cs="Arial"/>
          <w:sz w:val="20"/>
          <w:szCs w:val="20"/>
        </w:rPr>
        <w:t xml:space="preserve"> In the present case, therefore, the cause of action in the main claims arose on 10th April, 1967.  In terms of the stated case I am asked to assume not only that the arrest was wrongful, but also that in effecting the arrest Hansen was acting in pursuance of the Police Act. </w:t>
      </w:r>
      <w:r w:rsidR="00766C43" w:rsidRPr="00B615E6">
        <w:rPr>
          <w:rFonts w:cs="Arial"/>
          <w:sz w:val="20"/>
          <w:szCs w:val="20"/>
        </w:rPr>
        <w:t xml:space="preserve"> </w:t>
      </w:r>
      <w:r w:rsidRPr="00B615E6">
        <w:rPr>
          <w:rFonts w:cs="Arial"/>
          <w:sz w:val="20"/>
          <w:szCs w:val="20"/>
        </w:rPr>
        <w:t xml:space="preserve">That being so, sec. 32 of Act 7 of 1958 applies and it is clear that this section has not been complied with inasmuch as both the notice given to the defendants and the subsequent issue of summons were outside the periods prescribed by that section. </w:t>
      </w:r>
      <w:r w:rsidR="00842466" w:rsidRPr="00B615E6">
        <w:rPr>
          <w:rFonts w:cs="Arial"/>
          <w:sz w:val="20"/>
          <w:szCs w:val="20"/>
        </w:rPr>
        <w:t xml:space="preserve"> </w:t>
      </w:r>
      <w:r w:rsidRPr="00B615E6">
        <w:rPr>
          <w:rFonts w:cs="Arial"/>
          <w:sz w:val="20"/>
          <w:szCs w:val="20"/>
        </w:rPr>
        <w:t xml:space="preserve">Plaintiffs' actions against first and second defendants for wrongful arrest are therefore out of time and cannot be entertained. </w:t>
      </w:r>
      <w:r w:rsidR="00842466" w:rsidRPr="00B615E6">
        <w:rPr>
          <w:rFonts w:cs="Arial"/>
          <w:sz w:val="20"/>
          <w:szCs w:val="20"/>
        </w:rPr>
        <w:t xml:space="preserve"> </w:t>
      </w:r>
      <w:r w:rsidRPr="00B615E6">
        <w:rPr>
          <w:rFonts w:cs="Arial"/>
          <w:sz w:val="20"/>
          <w:szCs w:val="20"/>
        </w:rPr>
        <w:t xml:space="preserve">This is the only cause of action preferred against the first defendant, and in the light of the conclusions to which I have come, it follows that both the plaintiffs' actions against the first defendant must be dismissed with costs, which costs include the first </w:t>
      </w:r>
      <w:proofErr w:type="gramStart"/>
      <w:r w:rsidRPr="00B615E6">
        <w:rPr>
          <w:rFonts w:cs="Arial"/>
          <w:sz w:val="20"/>
          <w:szCs w:val="20"/>
        </w:rPr>
        <w:t>defendants</w:t>
      </w:r>
      <w:proofErr w:type="gramEnd"/>
      <w:r w:rsidRPr="00B615E6">
        <w:rPr>
          <w:rFonts w:cs="Arial"/>
          <w:sz w:val="20"/>
          <w:szCs w:val="20"/>
        </w:rPr>
        <w:t xml:space="preserve"> costs in this proceeding.</w:t>
      </w:r>
    </w:p>
    <w:p w14:paraId="2A5C81B0" w14:textId="3F746CCD" w:rsidR="000C6A3B" w:rsidRDefault="00E50E9F" w:rsidP="00B615E6">
      <w:pPr>
        <w:pStyle w:val="ListParagraph"/>
        <w:spacing w:before="120" w:after="120"/>
        <w:ind w:left="1418" w:right="521"/>
        <w:contextualSpacing w:val="0"/>
        <w:rPr>
          <w:rFonts w:cs="Arial"/>
        </w:rPr>
      </w:pPr>
      <w:r w:rsidRPr="00B615E6">
        <w:rPr>
          <w:rFonts w:cs="Arial"/>
          <w:b/>
          <w:bCs/>
          <w:sz w:val="20"/>
          <w:szCs w:val="20"/>
        </w:rPr>
        <w:t>The fact that the plaintiffs cannot proceed with their actions against the second defendant for wrongful arrest, does not, however, mean that their actions against him fail altogether as they can still proceed with their alternative claims based on malicious arrest and detention, and for malicious prosecution</w:t>
      </w:r>
      <w:r w:rsidRPr="00B615E6">
        <w:rPr>
          <w:rFonts w:cs="Arial"/>
          <w:sz w:val="20"/>
          <w:szCs w:val="20"/>
        </w:rPr>
        <w:t>, and if they succeed on these claims they will be entitled to their costs of action</w:t>
      </w:r>
      <w:r w:rsidRPr="00E50E9F">
        <w:rPr>
          <w:rFonts w:cs="Arial"/>
        </w:rPr>
        <w:t>.</w:t>
      </w:r>
      <w:r w:rsidR="00A578AA">
        <w:rPr>
          <w:rFonts w:cs="Arial"/>
        </w:rPr>
        <w:t>’</w:t>
      </w:r>
    </w:p>
    <w:p w14:paraId="243A54C9" w14:textId="7757B327" w:rsidR="00B615E6" w:rsidRPr="00B615E6" w:rsidRDefault="00B615E6" w:rsidP="00E50E9F">
      <w:pPr>
        <w:pStyle w:val="ListParagraph"/>
        <w:spacing w:before="360" w:after="120" w:line="480" w:lineRule="auto"/>
        <w:ind w:left="709"/>
        <w:contextualSpacing w:val="0"/>
        <w:rPr>
          <w:rFonts w:cs="Arial"/>
        </w:rPr>
      </w:pPr>
      <w:r w:rsidRPr="00B615E6">
        <w:rPr>
          <w:rFonts w:cs="Arial"/>
        </w:rPr>
        <w:t xml:space="preserve">(Own </w:t>
      </w:r>
      <w:r>
        <w:rPr>
          <w:rFonts w:cs="Arial"/>
        </w:rPr>
        <w:t>emphasis).</w:t>
      </w:r>
    </w:p>
    <w:p w14:paraId="70C894BA" w14:textId="62ABDA10" w:rsidR="000F3476" w:rsidRPr="007F700D" w:rsidRDefault="007F700D" w:rsidP="007F700D">
      <w:pPr>
        <w:spacing w:before="360" w:after="120" w:line="480" w:lineRule="auto"/>
        <w:ind w:left="709" w:hanging="720"/>
        <w:rPr>
          <w:rFonts w:cs="Arial"/>
        </w:rPr>
      </w:pPr>
      <w:r>
        <w:rPr>
          <w:rFonts w:cs="Arial"/>
        </w:rPr>
        <w:lastRenderedPageBreak/>
        <w:t>[48]</w:t>
      </w:r>
      <w:r>
        <w:rPr>
          <w:rFonts w:cs="Arial"/>
        </w:rPr>
        <w:tab/>
      </w:r>
      <w:r w:rsidR="00171A53" w:rsidRPr="007F700D">
        <w:rPr>
          <w:rFonts w:cs="Arial"/>
        </w:rPr>
        <w:t xml:space="preserve">The learned </w:t>
      </w:r>
      <w:r w:rsidR="001132BE" w:rsidRPr="007F700D">
        <w:rPr>
          <w:rFonts w:cs="Arial"/>
        </w:rPr>
        <w:t xml:space="preserve">judge in </w:t>
      </w:r>
      <w:r w:rsidR="001132BE" w:rsidRPr="007F700D">
        <w:rPr>
          <w:rFonts w:cs="Arial"/>
          <w:b/>
          <w:bCs/>
          <w:i/>
          <w:iCs/>
        </w:rPr>
        <w:t>Thomson</w:t>
      </w:r>
      <w:r w:rsidR="001132BE" w:rsidRPr="007F700D">
        <w:rPr>
          <w:rFonts w:cs="Arial"/>
        </w:rPr>
        <w:t xml:space="preserve"> therefore clearly delineated </w:t>
      </w:r>
      <w:bookmarkStart w:id="64" w:name="_Hlk159332577"/>
      <w:r w:rsidR="001132BE" w:rsidRPr="007F700D">
        <w:rPr>
          <w:rFonts w:cs="Arial"/>
        </w:rPr>
        <w:t xml:space="preserve">between </w:t>
      </w:r>
      <w:r w:rsidR="00EC078C" w:rsidRPr="007F700D">
        <w:rPr>
          <w:rFonts w:cs="Arial"/>
        </w:rPr>
        <w:t xml:space="preserve">the requirements </w:t>
      </w:r>
      <w:r w:rsidR="00502D45" w:rsidRPr="007F700D">
        <w:rPr>
          <w:rFonts w:cs="Arial"/>
        </w:rPr>
        <w:t xml:space="preserve">or elements </w:t>
      </w:r>
      <w:r w:rsidR="00EC078C" w:rsidRPr="007F700D">
        <w:rPr>
          <w:rFonts w:cs="Arial"/>
        </w:rPr>
        <w:t xml:space="preserve">of a </w:t>
      </w:r>
      <w:r w:rsidR="00EC078C" w:rsidRPr="007F700D">
        <w:rPr>
          <w:rFonts w:cs="Arial"/>
          <w:i/>
          <w:iCs/>
        </w:rPr>
        <w:t>wrongful</w:t>
      </w:r>
      <w:r w:rsidR="00EC078C" w:rsidRPr="007F700D">
        <w:rPr>
          <w:rFonts w:cs="Arial"/>
        </w:rPr>
        <w:t xml:space="preserve"> arrest and one that is effected </w:t>
      </w:r>
      <w:r w:rsidR="00620C4F" w:rsidRPr="007F700D">
        <w:rPr>
          <w:rFonts w:cs="Arial"/>
          <w:i/>
          <w:iCs/>
        </w:rPr>
        <w:t>maliciously</w:t>
      </w:r>
      <w:bookmarkEnd w:id="64"/>
      <w:r w:rsidR="00620C4F" w:rsidRPr="007F700D">
        <w:rPr>
          <w:rFonts w:cs="Arial"/>
        </w:rPr>
        <w:t>.  In the</w:t>
      </w:r>
      <w:r w:rsidR="00DA1F19" w:rsidRPr="007F700D">
        <w:rPr>
          <w:rFonts w:cs="Arial"/>
        </w:rPr>
        <w:t xml:space="preserve"> case of the former </w:t>
      </w:r>
      <w:r w:rsidR="003E1D94" w:rsidRPr="007F700D">
        <w:rPr>
          <w:rFonts w:cs="Arial"/>
        </w:rPr>
        <w:t xml:space="preserve">the cause of action </w:t>
      </w:r>
      <w:r w:rsidR="009863A0" w:rsidRPr="007F700D">
        <w:rPr>
          <w:rFonts w:cs="Arial"/>
        </w:rPr>
        <w:t xml:space="preserve">is complete, and thus becomes </w:t>
      </w:r>
      <w:r w:rsidR="00783ED6" w:rsidRPr="007F700D">
        <w:rPr>
          <w:rFonts w:cs="Arial"/>
        </w:rPr>
        <w:t>due</w:t>
      </w:r>
      <w:r w:rsidR="009863A0" w:rsidRPr="007F700D">
        <w:rPr>
          <w:rFonts w:cs="Arial"/>
        </w:rPr>
        <w:t>,</w:t>
      </w:r>
      <w:r w:rsidR="00783ED6" w:rsidRPr="007F700D">
        <w:rPr>
          <w:rFonts w:cs="Arial"/>
        </w:rPr>
        <w:t xml:space="preserve"> </w:t>
      </w:r>
      <w:r w:rsidR="003E1D94" w:rsidRPr="007F700D">
        <w:rPr>
          <w:rFonts w:cs="Arial"/>
          <w:i/>
          <w:iCs/>
        </w:rPr>
        <w:t>as soon as that illegal arrest has been made</w:t>
      </w:r>
      <w:r w:rsidR="00783ED6" w:rsidRPr="007F700D">
        <w:rPr>
          <w:rFonts w:cs="Arial"/>
        </w:rPr>
        <w:t>,</w:t>
      </w:r>
      <w:r w:rsidR="00555BC3">
        <w:rPr>
          <w:rStyle w:val="FootnoteReference"/>
          <w:rFonts w:cs="Arial"/>
        </w:rPr>
        <w:footnoteReference w:id="96"/>
      </w:r>
      <w:r w:rsidR="00783ED6" w:rsidRPr="007F700D">
        <w:rPr>
          <w:rFonts w:cs="Arial"/>
        </w:rPr>
        <w:t xml:space="preserve"> while in the case of the latter </w:t>
      </w:r>
      <w:r w:rsidR="00836417" w:rsidRPr="007F700D">
        <w:rPr>
          <w:rFonts w:cs="Arial"/>
        </w:rPr>
        <w:t xml:space="preserve">the cause of action </w:t>
      </w:r>
      <w:r w:rsidR="009863A0" w:rsidRPr="007F700D">
        <w:rPr>
          <w:rFonts w:cs="Arial"/>
        </w:rPr>
        <w:t xml:space="preserve">is complete, </w:t>
      </w:r>
      <w:r w:rsidR="007F23AB" w:rsidRPr="007F700D">
        <w:rPr>
          <w:rFonts w:cs="Arial"/>
        </w:rPr>
        <w:t>and th</w:t>
      </w:r>
      <w:r w:rsidR="009863A0" w:rsidRPr="007F700D">
        <w:rPr>
          <w:rFonts w:cs="Arial"/>
        </w:rPr>
        <w:t>u</w:t>
      </w:r>
      <w:r w:rsidR="007F23AB" w:rsidRPr="007F700D">
        <w:rPr>
          <w:rFonts w:cs="Arial"/>
        </w:rPr>
        <w:t>s becomes due</w:t>
      </w:r>
      <w:r w:rsidR="009863A0" w:rsidRPr="007F700D">
        <w:rPr>
          <w:rFonts w:cs="Arial"/>
        </w:rPr>
        <w:t>,</w:t>
      </w:r>
      <w:r w:rsidR="007F23AB" w:rsidRPr="007F700D">
        <w:rPr>
          <w:rFonts w:cs="Arial"/>
        </w:rPr>
        <w:t xml:space="preserve"> </w:t>
      </w:r>
      <w:r w:rsidR="008E7B49" w:rsidRPr="007F700D">
        <w:rPr>
          <w:rFonts w:cs="Arial"/>
          <w:i/>
          <w:iCs/>
        </w:rPr>
        <w:t xml:space="preserve">when the criminal proceedings </w:t>
      </w:r>
      <w:r w:rsidR="00BF175B" w:rsidRPr="007F700D">
        <w:rPr>
          <w:rFonts w:cs="Arial"/>
          <w:i/>
          <w:iCs/>
        </w:rPr>
        <w:t xml:space="preserve">are terminated in the plaintiff’s </w:t>
      </w:r>
      <w:r w:rsidR="00F56EA6" w:rsidRPr="007F700D">
        <w:rPr>
          <w:rFonts w:cs="Arial"/>
          <w:i/>
          <w:iCs/>
        </w:rPr>
        <w:t>favour</w:t>
      </w:r>
      <w:r w:rsidR="00F56EA6" w:rsidRPr="007F700D">
        <w:rPr>
          <w:rFonts w:cs="Arial"/>
        </w:rPr>
        <w:t xml:space="preserve"> (</w:t>
      </w:r>
      <w:r w:rsidR="0080516D" w:rsidRPr="007F700D">
        <w:rPr>
          <w:rFonts w:cs="Arial"/>
        </w:rPr>
        <w:t xml:space="preserve">i.e., </w:t>
      </w:r>
      <w:r w:rsidR="00836417" w:rsidRPr="007F700D">
        <w:rPr>
          <w:rFonts w:cs="Arial"/>
        </w:rPr>
        <w:t xml:space="preserve">the </w:t>
      </w:r>
      <w:r w:rsidR="0080516D" w:rsidRPr="007F700D">
        <w:rPr>
          <w:rFonts w:cs="Arial"/>
        </w:rPr>
        <w:t xml:space="preserve">successful </w:t>
      </w:r>
      <w:r w:rsidR="00836417" w:rsidRPr="007F700D">
        <w:rPr>
          <w:rFonts w:cs="Arial"/>
        </w:rPr>
        <w:t xml:space="preserve">appeal </w:t>
      </w:r>
      <w:r w:rsidR="0080516D" w:rsidRPr="007F700D">
        <w:rPr>
          <w:rFonts w:cs="Arial"/>
        </w:rPr>
        <w:t xml:space="preserve">on 29 April 1969 </w:t>
      </w:r>
      <w:r w:rsidR="00836417" w:rsidRPr="007F700D">
        <w:rPr>
          <w:rFonts w:cs="Arial"/>
        </w:rPr>
        <w:t>against t</w:t>
      </w:r>
      <w:r w:rsidR="0080516D" w:rsidRPr="007F700D">
        <w:rPr>
          <w:rFonts w:cs="Arial"/>
        </w:rPr>
        <w:t xml:space="preserve">he plaintiffs’ </w:t>
      </w:r>
      <w:r w:rsidR="00836417" w:rsidRPr="007F700D">
        <w:rPr>
          <w:rFonts w:cs="Arial"/>
        </w:rPr>
        <w:t>conviction in the magistrate's court</w:t>
      </w:r>
      <w:r w:rsidR="0080516D" w:rsidRPr="007F700D">
        <w:rPr>
          <w:rFonts w:cs="Arial"/>
        </w:rPr>
        <w:t>)</w:t>
      </w:r>
      <w:r w:rsidR="005C50FC" w:rsidRPr="007F700D">
        <w:rPr>
          <w:rFonts w:cs="Arial"/>
        </w:rPr>
        <w:t>.</w:t>
      </w:r>
      <w:r w:rsidR="00422809">
        <w:rPr>
          <w:rStyle w:val="FootnoteReference"/>
          <w:rFonts w:cs="Arial"/>
        </w:rPr>
        <w:footnoteReference w:id="97"/>
      </w:r>
      <w:r w:rsidR="0080516D" w:rsidRPr="007F700D">
        <w:rPr>
          <w:rFonts w:cs="Arial"/>
        </w:rPr>
        <w:t xml:space="preserve">  </w:t>
      </w:r>
      <w:r w:rsidR="00FE6C19" w:rsidRPr="007F700D">
        <w:rPr>
          <w:rFonts w:cs="Arial"/>
        </w:rPr>
        <w:t>Th</w:t>
      </w:r>
      <w:r w:rsidR="005C50FC" w:rsidRPr="007F700D">
        <w:rPr>
          <w:rFonts w:cs="Arial"/>
        </w:rPr>
        <w:t>ese finding</w:t>
      </w:r>
      <w:r w:rsidR="00ED38AA" w:rsidRPr="007F700D">
        <w:rPr>
          <w:rFonts w:cs="Arial"/>
        </w:rPr>
        <w:t>s underscore the essence of the court’s findings on</w:t>
      </w:r>
      <w:r w:rsidR="000F3476" w:rsidRPr="007F700D">
        <w:rPr>
          <w:rFonts w:cs="Arial"/>
        </w:rPr>
        <w:t xml:space="preserve"> each of the questions in the stated case.  </w:t>
      </w:r>
    </w:p>
    <w:p w14:paraId="7F055C90" w14:textId="0EE94D57" w:rsidR="00AF0004" w:rsidRPr="007F700D" w:rsidRDefault="007F700D" w:rsidP="007F700D">
      <w:pPr>
        <w:spacing w:before="360" w:after="120" w:line="480" w:lineRule="auto"/>
        <w:ind w:left="709" w:hanging="720"/>
        <w:rPr>
          <w:rFonts w:cs="Arial"/>
        </w:rPr>
      </w:pPr>
      <w:r>
        <w:rPr>
          <w:rFonts w:cs="Arial"/>
        </w:rPr>
        <w:t>[49]</w:t>
      </w:r>
      <w:r>
        <w:rPr>
          <w:rFonts w:cs="Arial"/>
        </w:rPr>
        <w:tab/>
      </w:r>
      <w:r w:rsidR="009E53A3" w:rsidRPr="007F700D">
        <w:rPr>
          <w:rFonts w:cs="Arial"/>
        </w:rPr>
        <w:t xml:space="preserve">As far as I have been able to establish, </w:t>
      </w:r>
      <w:r w:rsidR="00812AE9" w:rsidRPr="007F700D">
        <w:rPr>
          <w:rFonts w:cs="Arial"/>
          <w:b/>
          <w:bCs/>
          <w:i/>
          <w:iCs/>
        </w:rPr>
        <w:t>Thompson</w:t>
      </w:r>
      <w:r w:rsidR="00812AE9" w:rsidRPr="007F700D">
        <w:rPr>
          <w:rFonts w:cs="Arial"/>
        </w:rPr>
        <w:t xml:space="preserve"> has never been </w:t>
      </w:r>
      <w:r w:rsidR="00F85630" w:rsidRPr="007F700D">
        <w:rPr>
          <w:rFonts w:cs="Arial"/>
        </w:rPr>
        <w:t xml:space="preserve">overruled or </w:t>
      </w:r>
      <w:r w:rsidR="00910B3A" w:rsidRPr="007F700D">
        <w:rPr>
          <w:rFonts w:cs="Arial"/>
        </w:rPr>
        <w:t xml:space="preserve">otherwise </w:t>
      </w:r>
      <w:r w:rsidR="00363463" w:rsidRPr="007F700D">
        <w:rPr>
          <w:rFonts w:cs="Arial"/>
        </w:rPr>
        <w:t>called into question</w:t>
      </w:r>
      <w:r w:rsidR="00F7211A" w:rsidRPr="007F700D">
        <w:rPr>
          <w:rFonts w:cs="Arial"/>
        </w:rPr>
        <w:t xml:space="preserve"> on th</w:t>
      </w:r>
      <w:r w:rsidR="000F3476" w:rsidRPr="007F700D">
        <w:rPr>
          <w:rFonts w:cs="Arial"/>
        </w:rPr>
        <w:t xml:space="preserve">is </w:t>
      </w:r>
      <w:r w:rsidR="00F42934" w:rsidRPr="007F700D">
        <w:rPr>
          <w:rFonts w:cs="Arial"/>
        </w:rPr>
        <w:t xml:space="preserve">specific </w:t>
      </w:r>
      <w:r w:rsidR="00F7211A" w:rsidRPr="007F700D">
        <w:rPr>
          <w:rFonts w:cs="Arial"/>
        </w:rPr>
        <w:t xml:space="preserve">topic.  </w:t>
      </w:r>
      <w:r w:rsidR="0000006B" w:rsidRPr="007F700D">
        <w:rPr>
          <w:rFonts w:cs="Arial"/>
        </w:rPr>
        <w:t xml:space="preserve">It </w:t>
      </w:r>
      <w:r w:rsidR="00106DC7" w:rsidRPr="007F700D">
        <w:rPr>
          <w:rFonts w:cs="Arial"/>
        </w:rPr>
        <w:t>is, therefore, u</w:t>
      </w:r>
      <w:r w:rsidR="00DB05F2" w:rsidRPr="007F700D">
        <w:rPr>
          <w:rFonts w:cs="Arial"/>
        </w:rPr>
        <w:t xml:space="preserve">nsurprising </w:t>
      </w:r>
      <w:r w:rsidR="006432B5" w:rsidRPr="007F700D">
        <w:rPr>
          <w:rFonts w:cs="Arial"/>
        </w:rPr>
        <w:t xml:space="preserve">the author and academic </w:t>
      </w:r>
      <w:r w:rsidR="00916F55" w:rsidRPr="007F700D">
        <w:rPr>
          <w:rFonts w:cs="Arial"/>
        </w:rPr>
        <w:t>Professor</w:t>
      </w:r>
      <w:r w:rsidR="008A7D40" w:rsidRPr="007F700D">
        <w:rPr>
          <w:rFonts w:cs="Arial"/>
        </w:rPr>
        <w:t xml:space="preserve"> </w:t>
      </w:r>
      <w:r w:rsidR="00040284" w:rsidRPr="007F700D">
        <w:rPr>
          <w:rFonts w:cs="Arial"/>
        </w:rPr>
        <w:t xml:space="preserve">DJ McQuoid-Mason </w:t>
      </w:r>
      <w:r w:rsidR="008A7D40" w:rsidRPr="007F700D">
        <w:rPr>
          <w:rFonts w:cs="Arial"/>
        </w:rPr>
        <w:t xml:space="preserve">still cites </w:t>
      </w:r>
      <w:r w:rsidR="008A7D40" w:rsidRPr="007F700D">
        <w:rPr>
          <w:rFonts w:cs="Arial"/>
          <w:b/>
          <w:bCs/>
          <w:i/>
          <w:iCs/>
        </w:rPr>
        <w:t>Thompson</w:t>
      </w:r>
      <w:r w:rsidR="008A7D40" w:rsidRPr="007F700D">
        <w:rPr>
          <w:rFonts w:cs="Arial"/>
        </w:rPr>
        <w:t xml:space="preserve"> as </w:t>
      </w:r>
      <w:r w:rsidR="007B6CF6" w:rsidRPr="007F700D">
        <w:rPr>
          <w:rFonts w:cs="Arial"/>
        </w:rPr>
        <w:t xml:space="preserve">one of the </w:t>
      </w:r>
      <w:r w:rsidR="00EB425C" w:rsidRPr="007F700D">
        <w:rPr>
          <w:rFonts w:cs="Arial"/>
        </w:rPr>
        <w:t xml:space="preserve">primary </w:t>
      </w:r>
      <w:r w:rsidR="00F42934" w:rsidRPr="007F700D">
        <w:rPr>
          <w:rFonts w:cs="Arial"/>
        </w:rPr>
        <w:t xml:space="preserve">judicial </w:t>
      </w:r>
      <w:r w:rsidR="000F0FF6" w:rsidRPr="007F700D">
        <w:rPr>
          <w:rFonts w:cs="Arial"/>
        </w:rPr>
        <w:t>authorit</w:t>
      </w:r>
      <w:r w:rsidR="007B6CF6" w:rsidRPr="007F700D">
        <w:rPr>
          <w:rFonts w:cs="Arial"/>
        </w:rPr>
        <w:t>ies</w:t>
      </w:r>
      <w:r w:rsidR="000F0FF6" w:rsidRPr="007F700D">
        <w:rPr>
          <w:rFonts w:cs="Arial"/>
        </w:rPr>
        <w:t xml:space="preserve"> </w:t>
      </w:r>
      <w:r w:rsidR="00A26CE9" w:rsidRPr="007F700D">
        <w:rPr>
          <w:rFonts w:cs="Arial"/>
        </w:rPr>
        <w:t>on the rubric of malicious arrest and imprisonment</w:t>
      </w:r>
      <w:r w:rsidR="00B11254" w:rsidRPr="007F700D">
        <w:rPr>
          <w:rFonts w:cs="Arial"/>
        </w:rPr>
        <w:t>.</w:t>
      </w:r>
      <w:r w:rsidR="00B11254">
        <w:rPr>
          <w:rStyle w:val="FootnoteReference"/>
          <w:rFonts w:cs="Arial"/>
        </w:rPr>
        <w:footnoteReference w:id="98"/>
      </w:r>
      <w:r w:rsidR="00B11254" w:rsidRPr="007F700D">
        <w:rPr>
          <w:rFonts w:cs="Arial"/>
        </w:rPr>
        <w:t xml:space="preserve"> </w:t>
      </w:r>
      <w:r w:rsidR="00F75E26" w:rsidRPr="007F700D">
        <w:rPr>
          <w:rFonts w:cs="Arial"/>
        </w:rPr>
        <w:t xml:space="preserve"> </w:t>
      </w:r>
      <w:r w:rsidR="00CE653A" w:rsidRPr="007F700D">
        <w:rPr>
          <w:rFonts w:cs="Arial"/>
        </w:rPr>
        <w:t xml:space="preserve">More recently, </w:t>
      </w:r>
      <w:r w:rsidR="00CE653A" w:rsidRPr="007F700D">
        <w:rPr>
          <w:rFonts w:cs="Arial"/>
          <w:b/>
          <w:bCs/>
          <w:i/>
          <w:iCs/>
        </w:rPr>
        <w:t>Thompson</w:t>
      </w:r>
      <w:r w:rsidR="00CE653A" w:rsidRPr="007F700D">
        <w:rPr>
          <w:rFonts w:cs="Arial"/>
        </w:rPr>
        <w:t xml:space="preserve"> </w:t>
      </w:r>
      <w:r w:rsidR="00490B2C" w:rsidRPr="007F700D">
        <w:rPr>
          <w:rFonts w:cs="Arial"/>
        </w:rPr>
        <w:t xml:space="preserve">was </w:t>
      </w:r>
      <w:r w:rsidR="00CE653A" w:rsidRPr="007F700D">
        <w:rPr>
          <w:rFonts w:cs="Arial"/>
        </w:rPr>
        <w:t xml:space="preserve">also </w:t>
      </w:r>
      <w:r w:rsidR="00490B2C" w:rsidRPr="007F700D">
        <w:rPr>
          <w:rFonts w:cs="Arial"/>
        </w:rPr>
        <w:t xml:space="preserve">cited </w:t>
      </w:r>
      <w:r w:rsidR="00C33E68" w:rsidRPr="007F700D">
        <w:rPr>
          <w:rFonts w:cs="Arial"/>
        </w:rPr>
        <w:t xml:space="preserve">with approval </w:t>
      </w:r>
      <w:r w:rsidR="00247CF8" w:rsidRPr="007F700D">
        <w:rPr>
          <w:rFonts w:cs="Arial"/>
        </w:rPr>
        <w:t xml:space="preserve">in the </w:t>
      </w:r>
      <w:r w:rsidR="00CE653A" w:rsidRPr="007F700D">
        <w:rPr>
          <w:rFonts w:cs="Arial"/>
        </w:rPr>
        <w:t xml:space="preserve">SCA’s judgment </w:t>
      </w:r>
      <w:r w:rsidR="007C400D" w:rsidRPr="007F700D">
        <w:rPr>
          <w:rFonts w:cs="Arial"/>
        </w:rPr>
        <w:t>in</w:t>
      </w:r>
      <w:r w:rsidR="00247CF8" w:rsidRPr="007F700D">
        <w:rPr>
          <w:rFonts w:cs="Arial"/>
        </w:rPr>
        <w:t xml:space="preserve"> </w:t>
      </w:r>
      <w:r w:rsidR="00247CF8" w:rsidRPr="007F700D">
        <w:rPr>
          <w:rFonts w:cs="Arial"/>
          <w:b/>
          <w:bCs/>
          <w:i/>
          <w:iCs/>
        </w:rPr>
        <w:t xml:space="preserve">Holden v </w:t>
      </w:r>
      <w:proofErr w:type="spellStart"/>
      <w:r w:rsidR="00247CF8" w:rsidRPr="007F700D">
        <w:rPr>
          <w:rFonts w:cs="Arial"/>
          <w:b/>
          <w:bCs/>
          <w:i/>
          <w:iCs/>
        </w:rPr>
        <w:t>Assmang</w:t>
      </w:r>
      <w:proofErr w:type="spellEnd"/>
      <w:r w:rsidR="00247CF8" w:rsidRPr="007F700D">
        <w:rPr>
          <w:rFonts w:cs="Arial"/>
          <w:b/>
          <w:bCs/>
          <w:i/>
          <w:iCs/>
        </w:rPr>
        <w:t xml:space="preserve"> Ltd</w:t>
      </w:r>
      <w:r w:rsidR="00247CF8" w:rsidRPr="007F700D">
        <w:rPr>
          <w:rStyle w:val="FootnoteReference"/>
          <w:rFonts w:cs="Arial"/>
          <w:vertAlign w:val="baseline"/>
        </w:rPr>
        <w:t>.</w:t>
      </w:r>
      <w:r w:rsidR="00247CF8">
        <w:rPr>
          <w:rStyle w:val="FootnoteReference"/>
          <w:rFonts w:cs="Arial"/>
        </w:rPr>
        <w:footnoteReference w:id="99"/>
      </w:r>
    </w:p>
    <w:p w14:paraId="70030007" w14:textId="580006B8" w:rsidR="00C53F52" w:rsidRPr="007F700D" w:rsidRDefault="007F700D" w:rsidP="007F700D">
      <w:pPr>
        <w:spacing w:before="360" w:after="120" w:line="480" w:lineRule="auto"/>
        <w:ind w:left="709" w:hanging="720"/>
        <w:rPr>
          <w:rFonts w:cs="Arial"/>
        </w:rPr>
      </w:pPr>
      <w:r>
        <w:rPr>
          <w:rFonts w:cs="Arial"/>
        </w:rPr>
        <w:t>[50]</w:t>
      </w:r>
      <w:r>
        <w:rPr>
          <w:rFonts w:cs="Arial"/>
        </w:rPr>
        <w:tab/>
      </w:r>
      <w:r w:rsidR="00247CF8" w:rsidRPr="007F700D">
        <w:rPr>
          <w:rFonts w:cs="Arial"/>
          <w:b/>
          <w:bCs/>
          <w:i/>
          <w:iCs/>
        </w:rPr>
        <w:t>Holden</w:t>
      </w:r>
      <w:r w:rsidR="00EB1FDC" w:rsidRPr="007F700D">
        <w:rPr>
          <w:rFonts w:cs="Arial"/>
        </w:rPr>
        <w:t xml:space="preserve"> </w:t>
      </w:r>
      <w:r w:rsidR="002D7D07" w:rsidRPr="007F700D">
        <w:rPr>
          <w:rFonts w:cs="Arial"/>
        </w:rPr>
        <w:t xml:space="preserve">was </w:t>
      </w:r>
      <w:r w:rsidR="00EB1FDC" w:rsidRPr="007F700D">
        <w:rPr>
          <w:rFonts w:cs="Arial"/>
        </w:rPr>
        <w:t xml:space="preserve">concerned </w:t>
      </w:r>
      <w:r w:rsidR="002D7D07" w:rsidRPr="007F700D">
        <w:rPr>
          <w:rFonts w:cs="Arial"/>
        </w:rPr>
        <w:t xml:space="preserve">with an appeal </w:t>
      </w:r>
      <w:r w:rsidR="00776085" w:rsidRPr="007F700D">
        <w:rPr>
          <w:rFonts w:cs="Arial"/>
        </w:rPr>
        <w:t xml:space="preserve">to the SCA </w:t>
      </w:r>
      <w:r w:rsidR="00910E88" w:rsidRPr="007F700D">
        <w:rPr>
          <w:rFonts w:cs="Arial"/>
        </w:rPr>
        <w:t>by the appellant (H)</w:t>
      </w:r>
      <w:r w:rsidR="003E68AA" w:rsidRPr="007F700D">
        <w:rPr>
          <w:rFonts w:cs="Arial"/>
        </w:rPr>
        <w:t xml:space="preserve">, a clinical phycologist, </w:t>
      </w:r>
      <w:r w:rsidR="00F47F9C" w:rsidRPr="007F700D">
        <w:rPr>
          <w:rFonts w:cs="Arial"/>
        </w:rPr>
        <w:t xml:space="preserve">after </w:t>
      </w:r>
      <w:r w:rsidR="00776085" w:rsidRPr="007F700D">
        <w:rPr>
          <w:rFonts w:cs="Arial"/>
        </w:rPr>
        <w:t>a full bench of the KwaZulu-Natal Division</w:t>
      </w:r>
      <w:r w:rsidR="006B6CC5" w:rsidRPr="007F700D">
        <w:rPr>
          <w:rFonts w:cs="Arial"/>
        </w:rPr>
        <w:t xml:space="preserve"> </w:t>
      </w:r>
      <w:r w:rsidR="009F684F" w:rsidRPr="007F700D">
        <w:rPr>
          <w:rFonts w:cs="Arial"/>
        </w:rPr>
        <w:t xml:space="preserve">of the High </w:t>
      </w:r>
      <w:r w:rsidR="009F684F" w:rsidRPr="007F700D">
        <w:rPr>
          <w:rFonts w:cs="Arial"/>
        </w:rPr>
        <w:lastRenderedPageBreak/>
        <w:t xml:space="preserve">Court had </w:t>
      </w:r>
      <w:r w:rsidR="003707FC" w:rsidRPr="007F700D">
        <w:rPr>
          <w:rFonts w:cs="Arial"/>
        </w:rPr>
        <w:t xml:space="preserve">overturned </w:t>
      </w:r>
      <w:r w:rsidR="009F684F" w:rsidRPr="007F700D">
        <w:rPr>
          <w:rFonts w:cs="Arial"/>
        </w:rPr>
        <w:t xml:space="preserve">a decision </w:t>
      </w:r>
      <w:r w:rsidR="009C0767" w:rsidRPr="007F700D">
        <w:rPr>
          <w:rFonts w:cs="Arial"/>
        </w:rPr>
        <w:t>made in her favour</w:t>
      </w:r>
      <w:r w:rsidR="006D3B1F" w:rsidRPr="007F700D">
        <w:rPr>
          <w:rFonts w:cs="Arial"/>
        </w:rPr>
        <w:t xml:space="preserve"> by the </w:t>
      </w:r>
      <w:r w:rsidR="00E73BF1" w:rsidRPr="007F700D">
        <w:rPr>
          <w:rFonts w:cs="Arial"/>
        </w:rPr>
        <w:t>trial judge in an action based on malicious prosecution</w:t>
      </w:r>
      <w:r w:rsidR="009C0767" w:rsidRPr="007F700D">
        <w:rPr>
          <w:rFonts w:cs="Arial"/>
        </w:rPr>
        <w:t xml:space="preserve">.  </w:t>
      </w:r>
      <w:r w:rsidR="00BB29F9" w:rsidRPr="007F700D">
        <w:rPr>
          <w:rFonts w:cs="Arial"/>
        </w:rPr>
        <w:t>Such</w:t>
      </w:r>
      <w:r w:rsidR="00E73BF1" w:rsidRPr="007F700D">
        <w:rPr>
          <w:rFonts w:cs="Arial"/>
        </w:rPr>
        <w:t xml:space="preserve"> action </w:t>
      </w:r>
      <w:r w:rsidR="00BB29F9" w:rsidRPr="007F700D">
        <w:rPr>
          <w:rFonts w:cs="Arial"/>
        </w:rPr>
        <w:t>was instituted by H against the respondent</w:t>
      </w:r>
      <w:r w:rsidR="00BD1F1A" w:rsidRPr="007F700D">
        <w:rPr>
          <w:rFonts w:cs="Arial"/>
        </w:rPr>
        <w:t xml:space="preserve">, </w:t>
      </w:r>
      <w:proofErr w:type="spellStart"/>
      <w:r w:rsidR="00BD1F1A" w:rsidRPr="007F700D">
        <w:rPr>
          <w:rFonts w:cs="Arial"/>
        </w:rPr>
        <w:t>Assmang</w:t>
      </w:r>
      <w:proofErr w:type="spellEnd"/>
      <w:r w:rsidR="00BD1F1A" w:rsidRPr="007F700D">
        <w:rPr>
          <w:rFonts w:cs="Arial"/>
        </w:rPr>
        <w:t xml:space="preserve"> Ltd (</w:t>
      </w:r>
      <w:r w:rsidR="00342A08" w:rsidRPr="007F700D">
        <w:rPr>
          <w:rFonts w:cs="Arial"/>
          <w:b/>
          <w:bCs/>
        </w:rPr>
        <w:t>A</w:t>
      </w:r>
      <w:r w:rsidR="00342A08" w:rsidRPr="007F700D">
        <w:rPr>
          <w:rFonts w:cs="Arial"/>
        </w:rPr>
        <w:t xml:space="preserve">), after the latter had lodged complaints </w:t>
      </w:r>
      <w:r w:rsidR="00C53F52" w:rsidRPr="007F700D">
        <w:rPr>
          <w:rFonts w:cs="Arial"/>
        </w:rPr>
        <w:t>relating to a</w:t>
      </w:r>
      <w:r w:rsidR="0040485D" w:rsidRPr="007F700D">
        <w:rPr>
          <w:rFonts w:cs="Arial"/>
        </w:rPr>
        <w:t xml:space="preserve"> gross breach of her </w:t>
      </w:r>
      <w:r w:rsidR="00342A08" w:rsidRPr="007F700D">
        <w:rPr>
          <w:rFonts w:cs="Arial"/>
        </w:rPr>
        <w:t xml:space="preserve">professional </w:t>
      </w:r>
      <w:r w:rsidR="00EB1C20" w:rsidRPr="007F700D">
        <w:rPr>
          <w:rFonts w:cs="Arial"/>
        </w:rPr>
        <w:t>ethics</w:t>
      </w:r>
      <w:r w:rsidR="00342A08" w:rsidRPr="007F700D">
        <w:rPr>
          <w:rFonts w:cs="Arial"/>
        </w:rPr>
        <w:t xml:space="preserve"> </w:t>
      </w:r>
      <w:r w:rsidR="00AF5CAE" w:rsidRPr="007F700D">
        <w:rPr>
          <w:rFonts w:cs="Arial"/>
        </w:rPr>
        <w:t>against H with the Health Professions Council of South Africa (</w:t>
      </w:r>
      <w:r w:rsidR="00AF5CAE" w:rsidRPr="007F700D">
        <w:rPr>
          <w:rFonts w:cs="Arial"/>
          <w:b/>
          <w:bCs/>
        </w:rPr>
        <w:t>HPSCA</w:t>
      </w:r>
      <w:r w:rsidR="00AF5CAE" w:rsidRPr="007F700D">
        <w:rPr>
          <w:rFonts w:cs="Arial"/>
        </w:rPr>
        <w:t>)</w:t>
      </w:r>
      <w:r w:rsidR="00EB1C20" w:rsidRPr="007F700D">
        <w:rPr>
          <w:rFonts w:cs="Arial"/>
        </w:rPr>
        <w:t>.</w:t>
      </w:r>
      <w:r w:rsidR="00BB29F9" w:rsidRPr="007F700D">
        <w:rPr>
          <w:rFonts w:cs="Arial"/>
        </w:rPr>
        <w:t xml:space="preserve"> </w:t>
      </w:r>
      <w:r w:rsidR="00150240" w:rsidRPr="007F700D">
        <w:rPr>
          <w:rFonts w:cs="Arial"/>
        </w:rPr>
        <w:t xml:space="preserve"> </w:t>
      </w:r>
      <w:r w:rsidR="00E26133" w:rsidRPr="007F700D">
        <w:rPr>
          <w:rFonts w:cs="Arial"/>
        </w:rPr>
        <w:t xml:space="preserve">The </w:t>
      </w:r>
      <w:r w:rsidR="00572393" w:rsidRPr="007F700D">
        <w:rPr>
          <w:rFonts w:cs="Arial"/>
        </w:rPr>
        <w:t xml:space="preserve">relevant </w:t>
      </w:r>
      <w:r w:rsidR="00D71150" w:rsidRPr="007F700D">
        <w:rPr>
          <w:rFonts w:cs="Arial"/>
        </w:rPr>
        <w:t xml:space="preserve">aspects of </w:t>
      </w:r>
      <w:r w:rsidR="00E26133" w:rsidRPr="007F700D">
        <w:rPr>
          <w:rFonts w:cs="Arial"/>
          <w:b/>
          <w:bCs/>
          <w:i/>
          <w:iCs/>
        </w:rPr>
        <w:t>Holden</w:t>
      </w:r>
      <w:r w:rsidR="00E26133" w:rsidRPr="007F700D">
        <w:rPr>
          <w:rFonts w:cs="Arial"/>
        </w:rPr>
        <w:t xml:space="preserve"> can be summarised as follows</w:t>
      </w:r>
      <w:r w:rsidR="006C1B81" w:rsidRPr="007F700D">
        <w:rPr>
          <w:rFonts w:cs="Arial"/>
        </w:rPr>
        <w:t>:</w:t>
      </w:r>
    </w:p>
    <w:p w14:paraId="7134484F" w14:textId="628D081A" w:rsidR="00E26133" w:rsidRPr="007F700D" w:rsidRDefault="007F700D" w:rsidP="007F700D">
      <w:pPr>
        <w:spacing w:before="360" w:after="120" w:line="480" w:lineRule="auto"/>
        <w:ind w:left="1560" w:hanging="851"/>
        <w:rPr>
          <w:rFonts w:cs="Arial"/>
        </w:rPr>
      </w:pPr>
      <w:r>
        <w:rPr>
          <w:rFonts w:cs="Arial"/>
        </w:rPr>
        <w:t>[50.1]</w:t>
      </w:r>
      <w:r>
        <w:rPr>
          <w:rFonts w:cs="Arial"/>
        </w:rPr>
        <w:tab/>
      </w:r>
      <w:r w:rsidR="00150240" w:rsidRPr="007F700D">
        <w:rPr>
          <w:rFonts w:cs="Arial"/>
        </w:rPr>
        <w:t xml:space="preserve">The complaint was dealt with by the HPCSA's Committee of Preliminary Inquiry of the Professional Board for Psychology on 30 October 2009.  On </w:t>
      </w:r>
      <w:r w:rsidR="00710DFB" w:rsidRPr="007F700D">
        <w:rPr>
          <w:rFonts w:cs="Arial"/>
        </w:rPr>
        <w:t>13 November 2009,</w:t>
      </w:r>
      <w:r w:rsidR="00D03C2F" w:rsidRPr="007F700D">
        <w:rPr>
          <w:rFonts w:cs="Arial"/>
        </w:rPr>
        <w:t xml:space="preserve"> the HPCSA informed the H's senior counsel that the committee had accepted the </w:t>
      </w:r>
      <w:r w:rsidR="00710DFB" w:rsidRPr="007F700D">
        <w:rPr>
          <w:rFonts w:cs="Arial"/>
        </w:rPr>
        <w:t>H’</w:t>
      </w:r>
      <w:r w:rsidR="00D03C2F" w:rsidRPr="007F700D">
        <w:rPr>
          <w:rFonts w:cs="Arial"/>
        </w:rPr>
        <w:t>s explanation and had resolved not to take any further action against</w:t>
      </w:r>
      <w:r w:rsidR="00710DFB" w:rsidRPr="007F700D">
        <w:rPr>
          <w:rFonts w:cs="Arial"/>
        </w:rPr>
        <w:t xml:space="preserve"> her</w:t>
      </w:r>
      <w:r w:rsidR="00D03C2F" w:rsidRPr="007F700D">
        <w:rPr>
          <w:rFonts w:cs="Arial"/>
        </w:rPr>
        <w:t xml:space="preserve">. </w:t>
      </w:r>
      <w:r w:rsidR="00A717FA" w:rsidRPr="007F700D">
        <w:rPr>
          <w:rFonts w:cs="Arial"/>
        </w:rPr>
        <w:t xml:space="preserve"> </w:t>
      </w:r>
    </w:p>
    <w:p w14:paraId="38277C2D" w14:textId="506C65BE" w:rsidR="00247CF8" w:rsidRPr="007F700D" w:rsidRDefault="007F700D" w:rsidP="007F700D">
      <w:pPr>
        <w:spacing w:before="360" w:after="120" w:line="480" w:lineRule="auto"/>
        <w:ind w:left="1560" w:hanging="851"/>
        <w:rPr>
          <w:rFonts w:cs="Arial"/>
        </w:rPr>
      </w:pPr>
      <w:r>
        <w:rPr>
          <w:rFonts w:cs="Arial"/>
        </w:rPr>
        <w:t>[50.2]</w:t>
      </w:r>
      <w:r>
        <w:rPr>
          <w:rFonts w:cs="Arial"/>
        </w:rPr>
        <w:tab/>
      </w:r>
      <w:r w:rsidR="00D03C2F" w:rsidRPr="007F700D">
        <w:rPr>
          <w:rFonts w:cs="Arial"/>
        </w:rPr>
        <w:t xml:space="preserve">On </w:t>
      </w:r>
      <w:r w:rsidR="00710DFB" w:rsidRPr="007F700D">
        <w:rPr>
          <w:rFonts w:cs="Arial"/>
        </w:rPr>
        <w:t>6 August 2012,</w:t>
      </w:r>
      <w:r w:rsidR="00D03C2F" w:rsidRPr="007F700D">
        <w:rPr>
          <w:rFonts w:cs="Arial"/>
        </w:rPr>
        <w:t xml:space="preserve"> </w:t>
      </w:r>
      <w:r w:rsidR="00710DFB" w:rsidRPr="007F700D">
        <w:rPr>
          <w:rFonts w:cs="Arial"/>
        </w:rPr>
        <w:t xml:space="preserve">H </w:t>
      </w:r>
      <w:r w:rsidR="00D03C2F" w:rsidRPr="007F700D">
        <w:rPr>
          <w:rFonts w:cs="Arial"/>
        </w:rPr>
        <w:t xml:space="preserve">instituted an action for damages against </w:t>
      </w:r>
      <w:r w:rsidR="00710DFB" w:rsidRPr="007F700D">
        <w:rPr>
          <w:rFonts w:cs="Arial"/>
        </w:rPr>
        <w:t xml:space="preserve">A </w:t>
      </w:r>
      <w:r w:rsidR="00D03C2F" w:rsidRPr="007F700D">
        <w:rPr>
          <w:rFonts w:cs="Arial"/>
        </w:rPr>
        <w:t>based on malicious proceedings.</w:t>
      </w:r>
      <w:r w:rsidR="00710DFB" w:rsidRPr="007F700D">
        <w:rPr>
          <w:rFonts w:cs="Arial"/>
        </w:rPr>
        <w:t xml:space="preserve">  </w:t>
      </w:r>
      <w:r w:rsidR="00A35B99" w:rsidRPr="007F700D">
        <w:rPr>
          <w:rFonts w:cs="Arial"/>
        </w:rPr>
        <w:t>T</w:t>
      </w:r>
      <w:r w:rsidR="00F522DA" w:rsidRPr="007F700D">
        <w:rPr>
          <w:rFonts w:cs="Arial"/>
        </w:rPr>
        <w:t xml:space="preserve">wo special pleas were filed.  The one </w:t>
      </w:r>
      <w:r w:rsidR="00C438BE" w:rsidRPr="007F700D">
        <w:rPr>
          <w:rFonts w:cs="Arial"/>
        </w:rPr>
        <w:t>raised the issue of prescription.  The trial court dismissed</w:t>
      </w:r>
      <w:r w:rsidR="00A71BD5" w:rsidRPr="007F700D">
        <w:rPr>
          <w:rFonts w:cs="Arial"/>
        </w:rPr>
        <w:t xml:space="preserve"> this plea and found that H’s claim had not prescribed</w:t>
      </w:r>
      <w:r w:rsidR="00F82A8E" w:rsidRPr="007F700D">
        <w:rPr>
          <w:rFonts w:cs="Arial"/>
        </w:rPr>
        <w:t xml:space="preserve"> because</w:t>
      </w:r>
      <w:r w:rsidR="003F7E60" w:rsidRPr="007F700D">
        <w:rPr>
          <w:rFonts w:cs="Arial"/>
        </w:rPr>
        <w:t xml:space="preserve"> H</w:t>
      </w:r>
      <w:r w:rsidR="00F82A8E" w:rsidRPr="007F700D">
        <w:rPr>
          <w:rFonts w:cs="Arial"/>
        </w:rPr>
        <w:t>:</w:t>
      </w:r>
      <w:r w:rsidR="00321A7B">
        <w:rPr>
          <w:rStyle w:val="FootnoteReference"/>
          <w:rFonts w:cs="Arial"/>
        </w:rPr>
        <w:footnoteReference w:id="100"/>
      </w:r>
    </w:p>
    <w:p w14:paraId="39393B6A" w14:textId="1DF15E71" w:rsidR="00F82A8E" w:rsidRDefault="003F7E60" w:rsidP="00DC3E59">
      <w:pPr>
        <w:pStyle w:val="ListParagraph"/>
        <w:spacing w:before="120" w:after="120"/>
        <w:ind w:left="1985" w:right="521"/>
        <w:contextualSpacing w:val="0"/>
        <w:rPr>
          <w:rFonts w:cs="Arial"/>
        </w:rPr>
      </w:pPr>
      <w:r w:rsidRPr="003F7E60">
        <w:rPr>
          <w:rFonts w:cs="Arial"/>
        </w:rPr>
        <w:t>‘</w:t>
      </w:r>
      <w:r w:rsidR="0022428A">
        <w:rPr>
          <w:rFonts w:cs="Arial"/>
        </w:rPr>
        <w:t xml:space="preserve">… </w:t>
      </w:r>
      <w:r w:rsidRPr="0022428A">
        <w:rPr>
          <w:rFonts w:cs="Arial"/>
          <w:sz w:val="20"/>
          <w:szCs w:val="20"/>
        </w:rPr>
        <w:t xml:space="preserve">pleaded a case premised on malicious prosecution and that </w:t>
      </w:r>
      <w:r w:rsidRPr="00CA4A6D">
        <w:rPr>
          <w:rFonts w:cs="Arial"/>
          <w:b/>
          <w:bCs/>
          <w:sz w:val="20"/>
          <w:szCs w:val="20"/>
        </w:rPr>
        <w:t>consequently, the prescriptive period would have started to run only once she was notified by the HPCSA on 13 November 2009 that no further action would be taken against her</w:t>
      </w:r>
      <w:r w:rsidRPr="003F7E60">
        <w:rPr>
          <w:rFonts w:cs="Arial"/>
        </w:rPr>
        <w:t>.’</w:t>
      </w:r>
    </w:p>
    <w:p w14:paraId="5018CA50" w14:textId="5801674B" w:rsidR="00CA4A6D" w:rsidRPr="003F7E60" w:rsidRDefault="00CA4A6D" w:rsidP="00DC3E59">
      <w:pPr>
        <w:pStyle w:val="ListParagraph"/>
        <w:spacing w:before="360" w:after="120" w:line="480" w:lineRule="auto"/>
        <w:ind w:left="1985" w:right="521"/>
        <w:contextualSpacing w:val="0"/>
        <w:rPr>
          <w:rFonts w:cs="Arial"/>
        </w:rPr>
      </w:pPr>
      <w:r>
        <w:rPr>
          <w:rFonts w:cs="Arial"/>
        </w:rPr>
        <w:t>(Own emphasis).</w:t>
      </w:r>
    </w:p>
    <w:p w14:paraId="12695691" w14:textId="7097827D" w:rsidR="00510AC2" w:rsidRPr="007F700D" w:rsidRDefault="007F700D" w:rsidP="007F700D">
      <w:pPr>
        <w:spacing w:before="360" w:after="120" w:line="480" w:lineRule="auto"/>
        <w:ind w:left="1560" w:hanging="851"/>
        <w:rPr>
          <w:rFonts w:cs="Arial"/>
        </w:rPr>
      </w:pPr>
      <w:r>
        <w:rPr>
          <w:rFonts w:cs="Arial"/>
        </w:rPr>
        <w:t>[50.3]</w:t>
      </w:r>
      <w:r>
        <w:rPr>
          <w:rFonts w:cs="Arial"/>
        </w:rPr>
        <w:tab/>
      </w:r>
      <w:r w:rsidR="00102769" w:rsidRPr="007F700D">
        <w:rPr>
          <w:rFonts w:cs="Arial"/>
        </w:rPr>
        <w:t xml:space="preserve">Before the SCA it was </w:t>
      </w:r>
      <w:r w:rsidR="0098275B" w:rsidRPr="007F700D">
        <w:rPr>
          <w:rFonts w:cs="Arial"/>
        </w:rPr>
        <w:t>submitted on behalf of A that, on the basis of English case law</w:t>
      </w:r>
      <w:r w:rsidR="00563266" w:rsidRPr="007F700D">
        <w:rPr>
          <w:rFonts w:cs="Arial"/>
        </w:rPr>
        <w:t>,</w:t>
      </w:r>
      <w:r w:rsidR="0098275B" w:rsidRPr="007F700D">
        <w:rPr>
          <w:rFonts w:cs="Arial"/>
        </w:rPr>
        <w:t xml:space="preserve"> the strict principles of </w:t>
      </w:r>
      <w:r w:rsidR="0098275B" w:rsidRPr="007F700D">
        <w:rPr>
          <w:rFonts w:cs="Arial"/>
          <w:i/>
          <w:iCs/>
        </w:rPr>
        <w:t>malicious prosecution</w:t>
      </w:r>
      <w:r w:rsidR="0098275B" w:rsidRPr="007F700D">
        <w:rPr>
          <w:rFonts w:cs="Arial"/>
        </w:rPr>
        <w:t xml:space="preserve"> and the </w:t>
      </w:r>
      <w:r w:rsidR="0098275B" w:rsidRPr="007F700D">
        <w:rPr>
          <w:rFonts w:cs="Arial"/>
        </w:rPr>
        <w:lastRenderedPageBreak/>
        <w:t>requirement that the prosecution must have failed do not apply since the HPCSA is only a disciplinary body.</w:t>
      </w:r>
      <w:r w:rsidR="00510AC2">
        <w:rPr>
          <w:rStyle w:val="FootnoteReference"/>
          <w:rFonts w:cs="Arial"/>
        </w:rPr>
        <w:footnoteReference w:id="101"/>
      </w:r>
      <w:r w:rsidR="00563266" w:rsidRPr="007F700D">
        <w:rPr>
          <w:rFonts w:cs="Arial"/>
        </w:rPr>
        <w:t xml:space="preserve">  </w:t>
      </w:r>
    </w:p>
    <w:p w14:paraId="00D55DE0" w14:textId="1D492582" w:rsidR="00CA4A6D" w:rsidRPr="007F700D" w:rsidRDefault="007F700D" w:rsidP="007F700D">
      <w:pPr>
        <w:spacing w:before="360" w:after="120" w:line="480" w:lineRule="auto"/>
        <w:ind w:left="1560" w:hanging="851"/>
        <w:rPr>
          <w:rFonts w:cs="Arial"/>
        </w:rPr>
      </w:pPr>
      <w:r>
        <w:rPr>
          <w:rFonts w:cs="Arial"/>
        </w:rPr>
        <w:t>[50.4]</w:t>
      </w:r>
      <w:r>
        <w:rPr>
          <w:rFonts w:cs="Arial"/>
        </w:rPr>
        <w:tab/>
      </w:r>
      <w:r w:rsidR="00563266" w:rsidRPr="007F700D">
        <w:rPr>
          <w:rFonts w:cs="Arial"/>
        </w:rPr>
        <w:t>The SCA rejected this argument</w:t>
      </w:r>
      <w:r w:rsidR="00F9580E" w:rsidRPr="007F700D">
        <w:rPr>
          <w:rFonts w:cs="Arial"/>
        </w:rPr>
        <w:t xml:space="preserve"> on the basis</w:t>
      </w:r>
      <w:r w:rsidR="002F2AA2" w:rsidRPr="007F700D">
        <w:rPr>
          <w:rFonts w:cs="Arial"/>
        </w:rPr>
        <w:t>, among others,</w:t>
      </w:r>
      <w:r w:rsidR="00F9580E" w:rsidRPr="007F700D">
        <w:rPr>
          <w:rFonts w:cs="Arial"/>
        </w:rPr>
        <w:t xml:space="preserve"> that the </w:t>
      </w:r>
      <w:r w:rsidR="00A17EC7" w:rsidRPr="007F700D">
        <w:rPr>
          <w:rFonts w:cs="Arial"/>
        </w:rPr>
        <w:t xml:space="preserve">HPCSA is an important tribunal, whose decisions can have far-reaching consequences. </w:t>
      </w:r>
      <w:r w:rsidR="001C59BA" w:rsidRPr="007F700D">
        <w:rPr>
          <w:rFonts w:cs="Arial"/>
        </w:rPr>
        <w:t xml:space="preserve"> Its </w:t>
      </w:r>
      <w:r w:rsidR="00442F8B" w:rsidRPr="007F700D">
        <w:rPr>
          <w:rFonts w:cs="Arial"/>
        </w:rPr>
        <w:t xml:space="preserve">guilty </w:t>
      </w:r>
      <w:r w:rsidR="001C59BA" w:rsidRPr="007F700D">
        <w:rPr>
          <w:rFonts w:cs="Arial"/>
        </w:rPr>
        <w:t xml:space="preserve">findings could result in </w:t>
      </w:r>
      <w:r w:rsidR="00442F8B" w:rsidRPr="007F700D">
        <w:rPr>
          <w:rFonts w:cs="Arial"/>
        </w:rPr>
        <w:t xml:space="preserve">medical practitioners </w:t>
      </w:r>
      <w:r w:rsidR="00A17EC7" w:rsidRPr="007F700D">
        <w:rPr>
          <w:rFonts w:cs="Arial"/>
        </w:rPr>
        <w:t>los</w:t>
      </w:r>
      <w:r w:rsidR="00E16FAB" w:rsidRPr="007F700D">
        <w:rPr>
          <w:rFonts w:cs="Arial"/>
        </w:rPr>
        <w:t>ing</w:t>
      </w:r>
      <w:r w:rsidR="00A17EC7" w:rsidRPr="007F700D">
        <w:rPr>
          <w:rFonts w:cs="Arial"/>
        </w:rPr>
        <w:t xml:space="preserve"> </w:t>
      </w:r>
      <w:r w:rsidR="00E16FAB" w:rsidRPr="007F700D">
        <w:rPr>
          <w:rFonts w:cs="Arial"/>
        </w:rPr>
        <w:t>t</w:t>
      </w:r>
      <w:r w:rsidR="00A17EC7" w:rsidRPr="007F700D">
        <w:rPr>
          <w:rFonts w:cs="Arial"/>
        </w:rPr>
        <w:t>he</w:t>
      </w:r>
      <w:r w:rsidR="00E16FAB" w:rsidRPr="007F700D">
        <w:rPr>
          <w:rFonts w:cs="Arial"/>
        </w:rPr>
        <w:t>i</w:t>
      </w:r>
      <w:r w:rsidR="00A17EC7" w:rsidRPr="007F700D">
        <w:rPr>
          <w:rFonts w:cs="Arial"/>
        </w:rPr>
        <w:t>r licence</w:t>
      </w:r>
      <w:r w:rsidR="00E16FAB" w:rsidRPr="007F700D">
        <w:rPr>
          <w:rFonts w:cs="Arial"/>
        </w:rPr>
        <w:t>s</w:t>
      </w:r>
      <w:r w:rsidR="00A17EC7" w:rsidRPr="007F700D">
        <w:rPr>
          <w:rFonts w:cs="Arial"/>
        </w:rPr>
        <w:t xml:space="preserve"> to practise. </w:t>
      </w:r>
      <w:r w:rsidR="00E16FAB" w:rsidRPr="007F700D">
        <w:rPr>
          <w:rFonts w:cs="Arial"/>
        </w:rPr>
        <w:t xml:space="preserve"> </w:t>
      </w:r>
      <w:r w:rsidR="00F24EB5" w:rsidRPr="007F700D">
        <w:rPr>
          <w:rFonts w:cs="Arial"/>
        </w:rPr>
        <w:t>Moreover, since s</w:t>
      </w:r>
      <w:r w:rsidR="00A17EC7" w:rsidRPr="007F700D">
        <w:rPr>
          <w:rFonts w:cs="Arial"/>
        </w:rPr>
        <w:t>tatutorily created tribunal</w:t>
      </w:r>
      <w:r w:rsidR="00F24EB5" w:rsidRPr="007F700D">
        <w:rPr>
          <w:rFonts w:cs="Arial"/>
        </w:rPr>
        <w:t>s</w:t>
      </w:r>
      <w:r w:rsidR="00A17EC7" w:rsidRPr="007F700D">
        <w:rPr>
          <w:rFonts w:cs="Arial"/>
        </w:rPr>
        <w:t>, such as the HPCSA, employ the formal machinery of a criminal prosecution</w:t>
      </w:r>
      <w:r w:rsidR="00E150E9" w:rsidRPr="007F700D">
        <w:rPr>
          <w:rFonts w:cs="Arial"/>
        </w:rPr>
        <w:t xml:space="preserve"> in disciplinary proceedings</w:t>
      </w:r>
      <w:r w:rsidR="00A17EC7" w:rsidRPr="007F700D">
        <w:rPr>
          <w:rFonts w:cs="Arial"/>
        </w:rPr>
        <w:t>, with sanctions that are punitive in nature</w:t>
      </w:r>
      <w:r w:rsidR="00BD2EE7" w:rsidRPr="007F700D">
        <w:rPr>
          <w:rFonts w:cs="Arial"/>
        </w:rPr>
        <w:t xml:space="preserve">, </w:t>
      </w:r>
      <w:r w:rsidR="00E150E9" w:rsidRPr="007F700D">
        <w:rPr>
          <w:rFonts w:cs="Arial"/>
        </w:rPr>
        <w:t xml:space="preserve">such </w:t>
      </w:r>
      <w:r w:rsidR="00901F59" w:rsidRPr="007F700D">
        <w:rPr>
          <w:rFonts w:cs="Arial"/>
        </w:rPr>
        <w:t>proceedings</w:t>
      </w:r>
      <w:r w:rsidR="00BD2EE7" w:rsidRPr="007F700D">
        <w:rPr>
          <w:rFonts w:cs="Arial"/>
        </w:rPr>
        <w:t xml:space="preserve"> are </w:t>
      </w:r>
      <w:r w:rsidR="00A17EC7" w:rsidRPr="007F700D">
        <w:rPr>
          <w:rFonts w:cs="Arial"/>
        </w:rPr>
        <w:t>closely analogous to and bear all of the hallmarks of a criminal prosecution.</w:t>
      </w:r>
      <w:r w:rsidR="0028564A">
        <w:rPr>
          <w:rStyle w:val="FootnoteReference"/>
          <w:rFonts w:cs="Arial"/>
        </w:rPr>
        <w:footnoteReference w:id="102"/>
      </w:r>
    </w:p>
    <w:p w14:paraId="5912CE0C" w14:textId="63706BB0" w:rsidR="00770AF8" w:rsidRPr="007F700D" w:rsidRDefault="007F700D" w:rsidP="007F700D">
      <w:pPr>
        <w:spacing w:before="360" w:after="120" w:line="480" w:lineRule="auto"/>
        <w:ind w:left="1560" w:hanging="851"/>
        <w:rPr>
          <w:rFonts w:cs="Arial"/>
        </w:rPr>
      </w:pPr>
      <w:r>
        <w:rPr>
          <w:rFonts w:cs="Arial"/>
        </w:rPr>
        <w:t>[50.5]</w:t>
      </w:r>
      <w:r>
        <w:rPr>
          <w:rFonts w:cs="Arial"/>
        </w:rPr>
        <w:tab/>
      </w:r>
      <w:r w:rsidR="003368F5" w:rsidRPr="007F700D">
        <w:rPr>
          <w:rFonts w:cs="Arial"/>
        </w:rPr>
        <w:t xml:space="preserve">An </w:t>
      </w:r>
      <w:r w:rsidR="00385F49" w:rsidRPr="007F700D">
        <w:rPr>
          <w:rFonts w:cs="Arial"/>
        </w:rPr>
        <w:t xml:space="preserve">important </w:t>
      </w:r>
      <w:r w:rsidR="00ED1185" w:rsidRPr="007F700D">
        <w:rPr>
          <w:rFonts w:cs="Arial"/>
        </w:rPr>
        <w:t xml:space="preserve">passage from </w:t>
      </w:r>
      <w:r w:rsidR="00ED1185" w:rsidRPr="007F700D">
        <w:rPr>
          <w:rFonts w:cs="Arial"/>
          <w:b/>
          <w:bCs/>
          <w:i/>
          <w:iCs/>
        </w:rPr>
        <w:t>Thompson</w:t>
      </w:r>
      <w:r w:rsidR="00FC4970" w:rsidRPr="007F700D">
        <w:rPr>
          <w:rFonts w:cs="Arial"/>
        </w:rPr>
        <w:t xml:space="preserve"> </w:t>
      </w:r>
      <w:r w:rsidR="00526E4A" w:rsidRPr="007F700D">
        <w:rPr>
          <w:rFonts w:cs="Arial"/>
        </w:rPr>
        <w:t xml:space="preserve">was </w:t>
      </w:r>
      <w:r w:rsidR="00340B37" w:rsidRPr="007F700D">
        <w:rPr>
          <w:rFonts w:cs="Arial"/>
        </w:rPr>
        <w:t xml:space="preserve">next </w:t>
      </w:r>
      <w:r w:rsidR="00526E4A" w:rsidRPr="007F700D">
        <w:rPr>
          <w:rFonts w:cs="Arial"/>
        </w:rPr>
        <w:t>quoted (</w:t>
      </w:r>
      <w:r w:rsidR="00202109" w:rsidRPr="007F700D">
        <w:rPr>
          <w:rFonts w:cs="Arial"/>
        </w:rPr>
        <w:t xml:space="preserve">i.e., </w:t>
      </w:r>
      <w:r w:rsidR="007555E9" w:rsidRPr="007F700D">
        <w:rPr>
          <w:rFonts w:cs="Arial"/>
        </w:rPr>
        <w:t xml:space="preserve">specifically </w:t>
      </w:r>
      <w:r w:rsidR="00202109" w:rsidRPr="007F700D">
        <w:rPr>
          <w:rFonts w:cs="Arial"/>
        </w:rPr>
        <w:t xml:space="preserve">the </w:t>
      </w:r>
      <w:r w:rsidR="00E263BD" w:rsidRPr="007F700D">
        <w:rPr>
          <w:rFonts w:cs="Arial"/>
        </w:rPr>
        <w:t xml:space="preserve">emphasised </w:t>
      </w:r>
      <w:r w:rsidR="00D31C64" w:rsidRPr="007F700D">
        <w:rPr>
          <w:rFonts w:cs="Arial"/>
        </w:rPr>
        <w:t>portion of</w:t>
      </w:r>
      <w:r w:rsidR="00E562CE" w:rsidRPr="007F700D">
        <w:rPr>
          <w:rFonts w:cs="Arial"/>
        </w:rPr>
        <w:t xml:space="preserve"> the </w:t>
      </w:r>
      <w:r w:rsidR="00D31C64" w:rsidRPr="007F700D">
        <w:rPr>
          <w:rFonts w:cs="Arial"/>
        </w:rPr>
        <w:t xml:space="preserve">same </w:t>
      </w:r>
      <w:r w:rsidR="00E562CE" w:rsidRPr="007F700D">
        <w:rPr>
          <w:rFonts w:cs="Arial"/>
        </w:rPr>
        <w:t xml:space="preserve">passage </w:t>
      </w:r>
      <w:r w:rsidR="00D31C64" w:rsidRPr="007F700D">
        <w:rPr>
          <w:rFonts w:cs="Arial"/>
        </w:rPr>
        <w:t xml:space="preserve">that </w:t>
      </w:r>
      <w:r w:rsidR="001E7E64" w:rsidRPr="007F700D">
        <w:rPr>
          <w:rFonts w:cs="Arial"/>
        </w:rPr>
        <w:t xml:space="preserve">I </w:t>
      </w:r>
      <w:r w:rsidR="00E562CE" w:rsidRPr="007F700D">
        <w:rPr>
          <w:rFonts w:cs="Arial"/>
        </w:rPr>
        <w:t>quoted in paragraph 47 above)</w:t>
      </w:r>
      <w:r w:rsidR="003933AF" w:rsidRPr="007F700D">
        <w:rPr>
          <w:rFonts w:cs="Arial"/>
        </w:rPr>
        <w:t>.</w:t>
      </w:r>
      <w:r w:rsidR="001E7E64">
        <w:rPr>
          <w:rStyle w:val="FootnoteReference"/>
          <w:rFonts w:cs="Arial"/>
        </w:rPr>
        <w:footnoteReference w:id="103"/>
      </w:r>
      <w:r w:rsidR="00896954" w:rsidRPr="007F700D">
        <w:rPr>
          <w:rFonts w:cs="Arial"/>
        </w:rPr>
        <w:t xml:space="preserve"> </w:t>
      </w:r>
      <w:r w:rsidR="003933AF" w:rsidRPr="007F700D">
        <w:rPr>
          <w:rFonts w:cs="Arial"/>
        </w:rPr>
        <w:t xml:space="preserve"> </w:t>
      </w:r>
      <w:r w:rsidR="008F6091" w:rsidRPr="007F700D">
        <w:rPr>
          <w:rFonts w:cs="Arial"/>
        </w:rPr>
        <w:t>Immediately preceding th</w:t>
      </w:r>
      <w:r w:rsidR="00D31C64" w:rsidRPr="007F700D">
        <w:rPr>
          <w:rFonts w:cs="Arial"/>
        </w:rPr>
        <w:t>is</w:t>
      </w:r>
      <w:r w:rsidR="008F6091" w:rsidRPr="007F700D">
        <w:rPr>
          <w:rFonts w:cs="Arial"/>
        </w:rPr>
        <w:t xml:space="preserve"> quotation </w:t>
      </w:r>
      <w:r w:rsidR="003E0046" w:rsidRPr="007F700D">
        <w:rPr>
          <w:rFonts w:cs="Arial"/>
        </w:rPr>
        <w:t>t</w:t>
      </w:r>
      <w:r w:rsidR="00D82FD5" w:rsidRPr="007F700D">
        <w:rPr>
          <w:rFonts w:cs="Arial"/>
        </w:rPr>
        <w:t>he SCA</w:t>
      </w:r>
      <w:r w:rsidR="006E4083" w:rsidRPr="007F700D">
        <w:rPr>
          <w:rFonts w:cs="Arial"/>
        </w:rPr>
        <w:t xml:space="preserve"> stated</w:t>
      </w:r>
      <w:r w:rsidR="008F6091" w:rsidRPr="007F700D">
        <w:rPr>
          <w:rFonts w:cs="Arial"/>
        </w:rPr>
        <w:t xml:space="preserve"> that </w:t>
      </w:r>
      <w:proofErr w:type="spellStart"/>
      <w:r w:rsidR="00344319" w:rsidRPr="007F700D">
        <w:rPr>
          <w:rFonts w:cs="Arial"/>
        </w:rPr>
        <w:t>Eksteen</w:t>
      </w:r>
      <w:proofErr w:type="spellEnd"/>
      <w:r w:rsidR="00344319" w:rsidRPr="007F700D">
        <w:rPr>
          <w:rFonts w:cs="Arial"/>
        </w:rPr>
        <w:t xml:space="preserve"> J’s </w:t>
      </w:r>
      <w:r w:rsidR="00344319" w:rsidRPr="007F700D">
        <w:rPr>
          <w:rFonts w:cs="Arial"/>
          <w:i/>
          <w:iCs/>
        </w:rPr>
        <w:t>dictum</w:t>
      </w:r>
      <w:r w:rsidR="00344319" w:rsidRPr="007F700D">
        <w:rPr>
          <w:rFonts w:cs="Arial"/>
        </w:rPr>
        <w:t xml:space="preserve"> </w:t>
      </w:r>
      <w:r w:rsidR="00910B6D" w:rsidRPr="007F700D">
        <w:rPr>
          <w:rFonts w:cs="Arial"/>
        </w:rPr>
        <w:t xml:space="preserve">in </w:t>
      </w:r>
      <w:r w:rsidR="00910B6D" w:rsidRPr="007F700D">
        <w:rPr>
          <w:rFonts w:cs="Arial"/>
          <w:b/>
          <w:bCs/>
          <w:i/>
          <w:iCs/>
        </w:rPr>
        <w:t>Thompson</w:t>
      </w:r>
      <w:r w:rsidR="00910B6D">
        <w:rPr>
          <w:rStyle w:val="FootnoteReference"/>
          <w:rFonts w:cs="Arial"/>
        </w:rPr>
        <w:footnoteReference w:id="104"/>
      </w:r>
      <w:r w:rsidR="00910B6D" w:rsidRPr="007F700D">
        <w:rPr>
          <w:rFonts w:cs="Arial"/>
        </w:rPr>
        <w:t xml:space="preserve"> </w:t>
      </w:r>
      <w:r w:rsidR="00910B6D" w:rsidRPr="007F700D">
        <w:rPr>
          <w:rFonts w:cs="Arial"/>
          <w:i/>
          <w:iCs/>
        </w:rPr>
        <w:t>correctly</w:t>
      </w:r>
      <w:r w:rsidR="00910B6D" w:rsidRPr="007F700D">
        <w:rPr>
          <w:rFonts w:cs="Arial"/>
        </w:rPr>
        <w:t xml:space="preserve"> </w:t>
      </w:r>
      <w:r w:rsidR="00621FAB" w:rsidRPr="007F700D">
        <w:rPr>
          <w:rFonts w:cs="Arial"/>
        </w:rPr>
        <w:t xml:space="preserve">encapsulated </w:t>
      </w:r>
      <w:r w:rsidR="00910B6D" w:rsidRPr="007F700D">
        <w:rPr>
          <w:rFonts w:cs="Arial"/>
        </w:rPr>
        <w:t xml:space="preserve">the </w:t>
      </w:r>
      <w:r w:rsidR="00B802D2" w:rsidRPr="007F700D">
        <w:rPr>
          <w:rFonts w:cs="Arial"/>
        </w:rPr>
        <w:t xml:space="preserve">legal position.  </w:t>
      </w:r>
    </w:p>
    <w:p w14:paraId="6EFD34B9" w14:textId="6BAD7421" w:rsidR="00E579D1" w:rsidRPr="007F700D" w:rsidRDefault="007F700D" w:rsidP="007F700D">
      <w:pPr>
        <w:spacing w:before="360" w:after="120" w:line="480" w:lineRule="auto"/>
        <w:ind w:left="1560" w:hanging="851"/>
        <w:rPr>
          <w:rFonts w:cs="Arial"/>
        </w:rPr>
      </w:pPr>
      <w:r>
        <w:rPr>
          <w:rFonts w:cs="Arial"/>
        </w:rPr>
        <w:t>[50.6]</w:t>
      </w:r>
      <w:r>
        <w:rPr>
          <w:rFonts w:cs="Arial"/>
        </w:rPr>
        <w:tab/>
      </w:r>
      <w:r w:rsidR="00A226B5" w:rsidRPr="007F700D">
        <w:rPr>
          <w:rFonts w:cs="Arial"/>
        </w:rPr>
        <w:t xml:space="preserve">In conclusion, the SCA – in dismissing </w:t>
      </w:r>
      <w:r w:rsidR="00B62A86" w:rsidRPr="007F700D">
        <w:rPr>
          <w:rFonts w:cs="Arial"/>
        </w:rPr>
        <w:t xml:space="preserve">A’s appeal and overturning the full bench’s </w:t>
      </w:r>
      <w:r w:rsidR="00EA25FD" w:rsidRPr="007F700D">
        <w:rPr>
          <w:rFonts w:cs="Arial"/>
        </w:rPr>
        <w:t>judgment – held:</w:t>
      </w:r>
    </w:p>
    <w:p w14:paraId="14C46413" w14:textId="60A5BB4A" w:rsidR="00EA25FD" w:rsidRDefault="00EA25FD" w:rsidP="00C7506C">
      <w:pPr>
        <w:pStyle w:val="ListParagraph"/>
        <w:spacing w:before="120" w:after="120"/>
        <w:ind w:left="1985" w:right="521"/>
        <w:contextualSpacing w:val="0"/>
        <w:rPr>
          <w:rFonts w:cs="Arial"/>
        </w:rPr>
      </w:pPr>
      <w:r>
        <w:rPr>
          <w:rFonts w:cs="Arial"/>
        </w:rPr>
        <w:t>‘</w:t>
      </w:r>
      <w:r w:rsidR="00C7506C" w:rsidRPr="00C7506C">
        <w:rPr>
          <w:rFonts w:cs="Arial"/>
          <w:sz w:val="20"/>
          <w:szCs w:val="20"/>
        </w:rPr>
        <w:t>[18</w:t>
      </w:r>
      <w:proofErr w:type="gramStart"/>
      <w:r w:rsidR="00C7506C" w:rsidRPr="00C7506C">
        <w:rPr>
          <w:rFonts w:cs="Arial"/>
          <w:sz w:val="20"/>
          <w:szCs w:val="20"/>
        </w:rPr>
        <w:t>]</w:t>
      </w:r>
      <w:r w:rsidR="00C7506C">
        <w:rPr>
          <w:rFonts w:cs="Arial"/>
          <w:sz w:val="20"/>
          <w:szCs w:val="20"/>
        </w:rPr>
        <w:t>  </w:t>
      </w:r>
      <w:r w:rsidR="00C7506C" w:rsidRPr="00C7506C">
        <w:rPr>
          <w:rFonts w:cs="Arial"/>
          <w:sz w:val="20"/>
          <w:szCs w:val="20"/>
        </w:rPr>
        <w:t>I</w:t>
      </w:r>
      <w:proofErr w:type="gramEnd"/>
      <w:r w:rsidR="00C7506C" w:rsidRPr="00C7506C">
        <w:rPr>
          <w:rFonts w:cs="Arial"/>
          <w:sz w:val="20"/>
          <w:szCs w:val="20"/>
        </w:rPr>
        <w:t xml:space="preserve"> conclude that from the </w:t>
      </w:r>
      <w:proofErr w:type="spellStart"/>
      <w:r w:rsidR="00C7506C" w:rsidRPr="00C7506C">
        <w:rPr>
          <w:rFonts w:cs="Arial"/>
          <w:sz w:val="20"/>
          <w:szCs w:val="20"/>
        </w:rPr>
        <w:t>aforegoing</w:t>
      </w:r>
      <w:proofErr w:type="spellEnd"/>
      <w:r w:rsidR="00C7506C" w:rsidRPr="00C7506C">
        <w:rPr>
          <w:rFonts w:cs="Arial"/>
          <w:sz w:val="20"/>
          <w:szCs w:val="20"/>
        </w:rPr>
        <w:t xml:space="preserve"> </w:t>
      </w:r>
      <w:r w:rsidR="00C7506C" w:rsidRPr="00EC2661">
        <w:rPr>
          <w:rFonts w:cs="Arial"/>
          <w:b/>
          <w:bCs/>
          <w:sz w:val="20"/>
          <w:szCs w:val="20"/>
        </w:rPr>
        <w:t xml:space="preserve">it is clear that the appellant's cause of action only arose and prescription only started to run when the HPCSA notified the appellant that the respondent's complaint against her had been dismissed. </w:t>
      </w:r>
      <w:r w:rsidR="00EC2661">
        <w:rPr>
          <w:rFonts w:cs="Arial"/>
          <w:b/>
          <w:bCs/>
          <w:sz w:val="20"/>
          <w:szCs w:val="20"/>
        </w:rPr>
        <w:t xml:space="preserve"> </w:t>
      </w:r>
      <w:r w:rsidR="00C7506C" w:rsidRPr="00EC2661">
        <w:rPr>
          <w:rFonts w:cs="Arial"/>
          <w:b/>
          <w:bCs/>
          <w:sz w:val="20"/>
          <w:szCs w:val="20"/>
        </w:rPr>
        <w:t xml:space="preserve">That was on 13 November 2009. </w:t>
      </w:r>
      <w:r w:rsidR="00EC2661">
        <w:rPr>
          <w:rFonts w:cs="Arial"/>
          <w:b/>
          <w:bCs/>
          <w:sz w:val="20"/>
          <w:szCs w:val="20"/>
        </w:rPr>
        <w:t xml:space="preserve"> </w:t>
      </w:r>
      <w:r w:rsidR="00C7506C" w:rsidRPr="00EC2661">
        <w:rPr>
          <w:rFonts w:cs="Arial"/>
          <w:b/>
          <w:bCs/>
          <w:sz w:val="20"/>
          <w:szCs w:val="20"/>
        </w:rPr>
        <w:t xml:space="preserve">It was only then that the appellant would have been able to establish the fourth and final requirement for an action for malicious </w:t>
      </w:r>
      <w:r w:rsidR="00C7506C" w:rsidRPr="00EC2661">
        <w:rPr>
          <w:rFonts w:cs="Arial"/>
          <w:b/>
          <w:bCs/>
          <w:sz w:val="20"/>
          <w:szCs w:val="20"/>
        </w:rPr>
        <w:lastRenderedPageBreak/>
        <w:t xml:space="preserve">prosecution. </w:t>
      </w:r>
      <w:r w:rsidR="00EC2661">
        <w:rPr>
          <w:rFonts w:cs="Arial"/>
          <w:b/>
          <w:bCs/>
          <w:sz w:val="20"/>
          <w:szCs w:val="20"/>
        </w:rPr>
        <w:t xml:space="preserve"> </w:t>
      </w:r>
      <w:r w:rsidR="00C7506C" w:rsidRPr="00EC2661">
        <w:rPr>
          <w:rFonts w:cs="Arial"/>
          <w:b/>
          <w:bCs/>
          <w:sz w:val="20"/>
          <w:szCs w:val="20"/>
        </w:rPr>
        <w:t>It follows that as at the date of summons, the claim or debt had not prescribed</w:t>
      </w:r>
      <w:r w:rsidR="00C7506C" w:rsidRPr="00C7506C">
        <w:rPr>
          <w:rFonts w:cs="Arial"/>
        </w:rPr>
        <w:t>.</w:t>
      </w:r>
      <w:r>
        <w:rPr>
          <w:rFonts w:cs="Arial"/>
        </w:rPr>
        <w:t>’</w:t>
      </w:r>
    </w:p>
    <w:p w14:paraId="72849526" w14:textId="4EA0DB43" w:rsidR="00EC2661" w:rsidRDefault="00EC2661" w:rsidP="00EC2661">
      <w:pPr>
        <w:pStyle w:val="ListParagraph"/>
        <w:spacing w:before="360" w:after="120" w:line="480" w:lineRule="auto"/>
        <w:ind w:left="1985" w:right="521"/>
        <w:contextualSpacing w:val="0"/>
        <w:rPr>
          <w:rFonts w:cs="Arial"/>
        </w:rPr>
      </w:pPr>
      <w:r>
        <w:rPr>
          <w:rFonts w:cs="Arial"/>
        </w:rPr>
        <w:t>(Own emphasis).</w:t>
      </w:r>
    </w:p>
    <w:p w14:paraId="1AA6FFFF" w14:textId="651349EE" w:rsidR="00784AD2" w:rsidRPr="007F700D" w:rsidRDefault="007F700D" w:rsidP="007F700D">
      <w:pPr>
        <w:spacing w:before="360" w:after="120" w:line="480" w:lineRule="auto"/>
        <w:ind w:left="709" w:hanging="720"/>
        <w:rPr>
          <w:rFonts w:cs="Arial"/>
        </w:rPr>
      </w:pPr>
      <w:r>
        <w:rPr>
          <w:rFonts w:cs="Arial"/>
        </w:rPr>
        <w:t>[51]</w:t>
      </w:r>
      <w:r>
        <w:rPr>
          <w:rFonts w:cs="Arial"/>
        </w:rPr>
        <w:tab/>
      </w:r>
      <w:r w:rsidR="00F77EB9" w:rsidRPr="007F700D">
        <w:rPr>
          <w:rFonts w:cs="Arial"/>
        </w:rPr>
        <w:t xml:space="preserve">In </w:t>
      </w:r>
      <w:r w:rsidR="00D254A9" w:rsidRPr="007F700D">
        <w:rPr>
          <w:rFonts w:cs="Arial"/>
        </w:rPr>
        <w:t xml:space="preserve">the </w:t>
      </w:r>
      <w:r w:rsidR="00A07AB4" w:rsidRPr="007F700D">
        <w:rPr>
          <w:rFonts w:cs="Arial"/>
        </w:rPr>
        <w:t xml:space="preserve">preceding </w:t>
      </w:r>
      <w:r w:rsidR="00D254A9" w:rsidRPr="007F700D">
        <w:rPr>
          <w:rFonts w:cs="Arial"/>
        </w:rPr>
        <w:t xml:space="preserve">years </w:t>
      </w:r>
      <w:r w:rsidR="00277CA7" w:rsidRPr="007F700D">
        <w:rPr>
          <w:rFonts w:cs="Arial"/>
          <w:b/>
          <w:bCs/>
          <w:i/>
          <w:iCs/>
        </w:rPr>
        <w:t>Thompson</w:t>
      </w:r>
      <w:r w:rsidR="00277CA7" w:rsidRPr="007F700D">
        <w:rPr>
          <w:rFonts w:cs="Arial"/>
        </w:rPr>
        <w:t xml:space="preserve"> </w:t>
      </w:r>
      <w:r w:rsidR="0009499C" w:rsidRPr="007F700D">
        <w:rPr>
          <w:rFonts w:cs="Arial"/>
        </w:rPr>
        <w:t>was</w:t>
      </w:r>
      <w:r w:rsidR="00C82B67" w:rsidRPr="007F700D">
        <w:rPr>
          <w:rFonts w:cs="Arial"/>
        </w:rPr>
        <w:t xml:space="preserve"> </w:t>
      </w:r>
      <w:r w:rsidR="00055F87" w:rsidRPr="007F700D">
        <w:rPr>
          <w:rFonts w:cs="Arial"/>
        </w:rPr>
        <w:t>referred to</w:t>
      </w:r>
      <w:r w:rsidR="001D1F42" w:rsidRPr="007F700D">
        <w:rPr>
          <w:rFonts w:cs="Arial"/>
        </w:rPr>
        <w:t xml:space="preserve"> </w:t>
      </w:r>
      <w:r w:rsidR="00A90C7E" w:rsidRPr="007F700D">
        <w:rPr>
          <w:rFonts w:cs="Arial"/>
        </w:rPr>
        <w:t xml:space="preserve">on </w:t>
      </w:r>
      <w:r w:rsidR="003B35CA" w:rsidRPr="007F700D">
        <w:rPr>
          <w:rFonts w:cs="Arial"/>
        </w:rPr>
        <w:t xml:space="preserve">only </w:t>
      </w:r>
      <w:r w:rsidR="00FD471F" w:rsidRPr="007F700D">
        <w:rPr>
          <w:rFonts w:cs="Arial"/>
        </w:rPr>
        <w:t xml:space="preserve">a few </w:t>
      </w:r>
      <w:r w:rsidR="00A90C7E" w:rsidRPr="007F700D">
        <w:rPr>
          <w:rFonts w:cs="Arial"/>
        </w:rPr>
        <w:t>occasions</w:t>
      </w:r>
      <w:r w:rsidR="002E5D7E" w:rsidRPr="007F700D">
        <w:rPr>
          <w:rFonts w:cs="Arial"/>
        </w:rPr>
        <w:t xml:space="preserve">.  </w:t>
      </w:r>
      <w:r w:rsidR="00A82D1A" w:rsidRPr="007F700D">
        <w:rPr>
          <w:rFonts w:cs="Arial"/>
        </w:rPr>
        <w:t>It was referred to i</w:t>
      </w:r>
      <w:r w:rsidR="00055F87" w:rsidRPr="007F700D">
        <w:rPr>
          <w:rFonts w:cs="Arial"/>
        </w:rPr>
        <w:t xml:space="preserve">n </w:t>
      </w:r>
      <w:proofErr w:type="spellStart"/>
      <w:r w:rsidR="00A2621A" w:rsidRPr="007F700D">
        <w:rPr>
          <w:rFonts w:cs="Arial"/>
          <w:b/>
          <w:bCs/>
          <w:i/>
          <w:iCs/>
        </w:rPr>
        <w:t>Makhwelo</w:t>
      </w:r>
      <w:proofErr w:type="spellEnd"/>
      <w:r w:rsidR="00A2621A" w:rsidRPr="007F700D">
        <w:rPr>
          <w:rFonts w:cs="Arial"/>
          <w:b/>
          <w:bCs/>
          <w:i/>
          <w:iCs/>
        </w:rPr>
        <w:t xml:space="preserve"> v Minister of Safety and Security</w:t>
      </w:r>
      <w:r w:rsidR="00A2621A">
        <w:rPr>
          <w:rStyle w:val="FootnoteReference"/>
          <w:rFonts w:cs="Arial"/>
        </w:rPr>
        <w:footnoteReference w:id="105"/>
      </w:r>
      <w:r w:rsidR="00A2621A" w:rsidRPr="007F700D">
        <w:rPr>
          <w:rFonts w:cs="Arial"/>
        </w:rPr>
        <w:t xml:space="preserve"> </w:t>
      </w:r>
      <w:r w:rsidR="00DE4F61" w:rsidRPr="007F700D">
        <w:rPr>
          <w:rFonts w:cs="Arial"/>
        </w:rPr>
        <w:t xml:space="preserve">in which </w:t>
      </w:r>
      <w:r w:rsidR="00095D91" w:rsidRPr="007F700D">
        <w:rPr>
          <w:rFonts w:cs="Arial"/>
        </w:rPr>
        <w:t xml:space="preserve">the </w:t>
      </w:r>
      <w:r w:rsidR="00055F87" w:rsidRPr="007F700D">
        <w:rPr>
          <w:rFonts w:cs="Arial"/>
        </w:rPr>
        <w:t>court (</w:t>
      </w:r>
      <w:r w:rsidR="00055F87" w:rsidRPr="007F700D">
        <w:rPr>
          <w:rFonts w:cs="Arial"/>
          <w:i/>
          <w:iCs/>
        </w:rPr>
        <w:t>per</w:t>
      </w:r>
      <w:r w:rsidR="00055F87" w:rsidRPr="007F700D">
        <w:rPr>
          <w:rFonts w:cs="Arial"/>
        </w:rPr>
        <w:t xml:space="preserve"> </w:t>
      </w:r>
      <w:proofErr w:type="spellStart"/>
      <w:r w:rsidR="00055F87" w:rsidRPr="007F700D">
        <w:rPr>
          <w:rFonts w:cs="Arial"/>
        </w:rPr>
        <w:t>Spilg</w:t>
      </w:r>
      <w:proofErr w:type="spellEnd"/>
      <w:r w:rsidR="00095D91" w:rsidRPr="007F700D">
        <w:rPr>
          <w:rFonts w:cs="Arial"/>
        </w:rPr>
        <w:t>, J)</w:t>
      </w:r>
      <w:r w:rsidR="00153677" w:rsidRPr="007F700D">
        <w:rPr>
          <w:rFonts w:cs="Arial"/>
        </w:rPr>
        <w:t xml:space="preserve"> </w:t>
      </w:r>
      <w:r w:rsidR="00784AD2" w:rsidRPr="007F700D">
        <w:rPr>
          <w:rFonts w:cs="Arial"/>
        </w:rPr>
        <w:t xml:space="preserve">expressed the viewpoint that </w:t>
      </w:r>
      <w:r w:rsidR="00182324" w:rsidRPr="007F700D">
        <w:rPr>
          <w:rFonts w:cs="Arial"/>
        </w:rPr>
        <w:t xml:space="preserve">certain </w:t>
      </w:r>
      <w:r w:rsidR="00DF0128" w:rsidRPr="007F700D">
        <w:rPr>
          <w:rFonts w:cs="Arial"/>
        </w:rPr>
        <w:t xml:space="preserve">of the </w:t>
      </w:r>
      <w:r w:rsidR="00784AD2" w:rsidRPr="007F700D">
        <w:rPr>
          <w:rFonts w:cs="Arial"/>
        </w:rPr>
        <w:t xml:space="preserve">cases </w:t>
      </w:r>
      <w:r w:rsidR="00182324" w:rsidRPr="007F700D">
        <w:rPr>
          <w:rFonts w:cs="Arial"/>
        </w:rPr>
        <w:t xml:space="preserve">he </w:t>
      </w:r>
      <w:r w:rsidR="00DF0128" w:rsidRPr="007F700D">
        <w:rPr>
          <w:rFonts w:cs="Arial"/>
        </w:rPr>
        <w:t xml:space="preserve">had </w:t>
      </w:r>
      <w:r w:rsidR="00784AD2" w:rsidRPr="007F700D">
        <w:rPr>
          <w:rFonts w:cs="Arial"/>
        </w:rPr>
        <w:t xml:space="preserve">referred to (i.e., </w:t>
      </w:r>
      <w:proofErr w:type="spellStart"/>
      <w:r w:rsidR="00784AD2" w:rsidRPr="007F700D">
        <w:rPr>
          <w:rFonts w:cs="Arial"/>
          <w:b/>
          <w:bCs/>
          <w:i/>
          <w:iCs/>
        </w:rPr>
        <w:t>Lombo</w:t>
      </w:r>
      <w:proofErr w:type="spellEnd"/>
      <w:r w:rsidR="00182324" w:rsidRPr="00182324">
        <w:t xml:space="preserve"> </w:t>
      </w:r>
      <w:r w:rsidR="00182324" w:rsidRPr="007F700D">
        <w:rPr>
          <w:rFonts w:cs="Arial"/>
          <w:b/>
          <w:bCs/>
          <w:i/>
          <w:iCs/>
        </w:rPr>
        <w:t>v African National Congress</w:t>
      </w:r>
      <w:bookmarkStart w:id="66" w:name="_Hlk159324713"/>
      <w:r w:rsidR="008B7BF2" w:rsidRPr="007F700D">
        <w:rPr>
          <w:rFonts w:cs="Arial"/>
        </w:rPr>
        <w:t> </w:t>
      </w:r>
      <w:r w:rsidR="00182324" w:rsidRPr="007F700D">
        <w:rPr>
          <w:rFonts w:cs="Arial"/>
        </w:rPr>
        <w:t>2002 (5) SA 668 (SCA)</w:t>
      </w:r>
      <w:bookmarkEnd w:id="66"/>
      <w:r w:rsidR="00784AD2" w:rsidRPr="007F700D">
        <w:rPr>
          <w:rFonts w:cs="Arial"/>
        </w:rPr>
        <w:t xml:space="preserve">, </w:t>
      </w:r>
      <w:proofErr w:type="spellStart"/>
      <w:r w:rsidR="00784AD2" w:rsidRPr="007F700D">
        <w:rPr>
          <w:rFonts w:cs="Arial"/>
          <w:b/>
          <w:bCs/>
          <w:i/>
          <w:iCs/>
        </w:rPr>
        <w:t>Ngcobo</w:t>
      </w:r>
      <w:proofErr w:type="spellEnd"/>
      <w:r w:rsidR="00784AD2" w:rsidRPr="007F700D">
        <w:rPr>
          <w:rFonts w:cs="Arial"/>
          <w:b/>
          <w:bCs/>
          <w:i/>
          <w:iCs/>
        </w:rPr>
        <w:t xml:space="preserve"> v Minister of Police</w:t>
      </w:r>
      <w:r w:rsidR="00784AD2" w:rsidRPr="007F700D">
        <w:rPr>
          <w:rFonts w:cs="Arial"/>
        </w:rPr>
        <w:t xml:space="preserve"> 1978 (4) SA 930 (D) and </w:t>
      </w:r>
      <w:proofErr w:type="spellStart"/>
      <w:r w:rsidR="00784AD2" w:rsidRPr="007F700D">
        <w:rPr>
          <w:rFonts w:cs="Arial"/>
          <w:b/>
          <w:bCs/>
          <w:i/>
          <w:iCs/>
        </w:rPr>
        <w:t>Slomowitz</w:t>
      </w:r>
      <w:proofErr w:type="spellEnd"/>
      <w:r w:rsidR="008B7BF2" w:rsidRPr="007F700D">
        <w:rPr>
          <w:rFonts w:cs="Arial"/>
          <w:b/>
          <w:bCs/>
          <w:i/>
          <w:iCs/>
        </w:rPr>
        <w:t xml:space="preserve"> v Vereeniging Town Council</w:t>
      </w:r>
      <w:r w:rsidR="008B7BF2" w:rsidRPr="007F700D">
        <w:rPr>
          <w:rFonts w:cs="Arial"/>
          <w:sz w:val="20"/>
          <w:szCs w:val="20"/>
        </w:rPr>
        <w:t> </w:t>
      </w:r>
      <w:r w:rsidR="008B7BF2" w:rsidRPr="007F700D">
        <w:rPr>
          <w:rFonts w:cs="Arial"/>
        </w:rPr>
        <w:t>1996 (3) SA 317 (A)</w:t>
      </w:r>
      <w:r w:rsidR="00784AD2" w:rsidRPr="007F700D">
        <w:rPr>
          <w:rFonts w:cs="Arial"/>
        </w:rPr>
        <w:t xml:space="preserve">) do not pertinently answer the question as to when a debt first arises for purposes of a s 3(2) notice under the ILPA </w:t>
      </w:r>
      <w:r w:rsidR="00853D02" w:rsidRPr="007F700D">
        <w:rPr>
          <w:rFonts w:cs="Arial"/>
        </w:rPr>
        <w:t xml:space="preserve">when an </w:t>
      </w:r>
      <w:r w:rsidR="00784AD2" w:rsidRPr="007F700D">
        <w:rPr>
          <w:rFonts w:cs="Arial"/>
        </w:rPr>
        <w:t xml:space="preserve">unlawful arrest and detention </w:t>
      </w:r>
      <w:r w:rsidR="00853D02" w:rsidRPr="007F700D">
        <w:rPr>
          <w:rFonts w:cs="Arial"/>
        </w:rPr>
        <w:t xml:space="preserve">is effected </w:t>
      </w:r>
      <w:r w:rsidR="00784AD2" w:rsidRPr="007F700D">
        <w:rPr>
          <w:rFonts w:cs="Arial"/>
        </w:rPr>
        <w:t>without a warrant.</w:t>
      </w:r>
      <w:r w:rsidR="00784AD2">
        <w:rPr>
          <w:rStyle w:val="FootnoteReference"/>
          <w:rFonts w:cs="Arial"/>
        </w:rPr>
        <w:footnoteReference w:id="106"/>
      </w:r>
      <w:r w:rsidR="00784AD2" w:rsidRPr="007F700D">
        <w:rPr>
          <w:rFonts w:cs="Arial"/>
        </w:rPr>
        <w:t xml:space="preserve">  The </w:t>
      </w:r>
      <w:r w:rsidR="001F50DD" w:rsidRPr="007F700D">
        <w:rPr>
          <w:rFonts w:cs="Arial"/>
        </w:rPr>
        <w:t xml:space="preserve">learned </w:t>
      </w:r>
      <w:r w:rsidR="00784AD2" w:rsidRPr="007F700D">
        <w:rPr>
          <w:rFonts w:cs="Arial"/>
        </w:rPr>
        <w:t>judge then proceeded to state:</w:t>
      </w:r>
      <w:r w:rsidR="00784AD2">
        <w:rPr>
          <w:rStyle w:val="FootnoteReference"/>
          <w:rFonts w:cs="Arial"/>
        </w:rPr>
        <w:footnoteReference w:id="107"/>
      </w:r>
    </w:p>
    <w:p w14:paraId="13B7A0BF" w14:textId="77777777" w:rsidR="00784AD2" w:rsidRDefault="00784AD2" w:rsidP="00784AD2">
      <w:pPr>
        <w:pStyle w:val="ListParagraph"/>
        <w:spacing w:before="120" w:after="120"/>
        <w:ind w:left="1418" w:right="522"/>
        <w:contextualSpacing w:val="0"/>
        <w:rPr>
          <w:rFonts w:cs="Arial"/>
        </w:rPr>
      </w:pPr>
      <w:r>
        <w:rPr>
          <w:rFonts w:cs="Arial"/>
        </w:rPr>
        <w:t>‘</w:t>
      </w:r>
      <w:r w:rsidRPr="00C07CAA">
        <w:rPr>
          <w:rFonts w:cs="Arial"/>
          <w:sz w:val="20"/>
          <w:szCs w:val="20"/>
        </w:rPr>
        <w:t>So viewed there appears to be a distinction between</w:t>
      </w:r>
      <w:r w:rsidRPr="00C07CAA">
        <w:rPr>
          <w:rFonts w:cs="Arial"/>
          <w:b/>
          <w:bCs/>
          <w:sz w:val="20"/>
          <w:szCs w:val="20"/>
        </w:rPr>
        <w:t xml:space="preserve"> a case where the commencement of the debt arises by reason of an objectively observed event (such as the road closure) or the infliction of bodily harm under the </w:t>
      </w:r>
      <w:proofErr w:type="spellStart"/>
      <w:r w:rsidRPr="00C07CAA">
        <w:rPr>
          <w:rFonts w:cs="Arial"/>
          <w:b/>
          <w:bCs/>
          <w:sz w:val="20"/>
          <w:szCs w:val="20"/>
        </w:rPr>
        <w:t>lex</w:t>
      </w:r>
      <w:proofErr w:type="spellEnd"/>
      <w:r w:rsidRPr="00C07CAA">
        <w:rPr>
          <w:rFonts w:cs="Arial"/>
          <w:b/>
          <w:bCs/>
          <w:sz w:val="20"/>
          <w:szCs w:val="20"/>
        </w:rPr>
        <w:t xml:space="preserve"> </w:t>
      </w:r>
      <w:proofErr w:type="spellStart"/>
      <w:r w:rsidRPr="00C07CAA">
        <w:rPr>
          <w:rFonts w:cs="Arial"/>
          <w:b/>
          <w:bCs/>
          <w:sz w:val="20"/>
          <w:szCs w:val="20"/>
        </w:rPr>
        <w:t>Aquilia</w:t>
      </w:r>
      <w:proofErr w:type="spellEnd"/>
      <w:r w:rsidRPr="00C07CAA">
        <w:rPr>
          <w:rFonts w:cs="Arial"/>
          <w:b/>
          <w:bCs/>
          <w:sz w:val="20"/>
          <w:szCs w:val="20"/>
        </w:rPr>
        <w:t xml:space="preserve"> and the case of wrongful arrest and detention without a warrant</w:t>
      </w:r>
      <w:r w:rsidRPr="00C07CAA">
        <w:rPr>
          <w:rFonts w:cs="Arial"/>
          <w:sz w:val="20"/>
          <w:szCs w:val="20"/>
        </w:rPr>
        <w:t xml:space="preserve"> which requires the wrongdoer to have </w:t>
      </w:r>
      <w:proofErr w:type="spellStart"/>
      <w:r w:rsidRPr="00C07CAA">
        <w:rPr>
          <w:rFonts w:cs="Arial"/>
          <w:sz w:val="20"/>
          <w:szCs w:val="20"/>
        </w:rPr>
        <w:t>effected</w:t>
      </w:r>
      <w:proofErr w:type="spellEnd"/>
      <w:r w:rsidRPr="00C07CAA">
        <w:rPr>
          <w:rFonts w:cs="Arial"/>
          <w:sz w:val="20"/>
          <w:szCs w:val="20"/>
        </w:rPr>
        <w:t xml:space="preserve"> the arrest on the grounds of a reasonable suspicion that a scheduled offence had been or was about to be committed</w:t>
      </w:r>
      <w:r w:rsidRPr="00C07CAA">
        <w:rPr>
          <w:rFonts w:cs="Arial"/>
        </w:rPr>
        <w:t>.</w:t>
      </w:r>
      <w:r>
        <w:rPr>
          <w:rFonts w:cs="Arial"/>
        </w:rPr>
        <w:t xml:space="preserve">’ </w:t>
      </w:r>
    </w:p>
    <w:p w14:paraId="069E8154" w14:textId="77777777" w:rsidR="00784AD2" w:rsidRPr="00AB68F7" w:rsidRDefault="00784AD2" w:rsidP="00784AD2">
      <w:pPr>
        <w:pStyle w:val="ListParagraph"/>
        <w:spacing w:before="360" w:after="120" w:line="480" w:lineRule="auto"/>
        <w:ind w:left="1418" w:right="522"/>
        <w:contextualSpacing w:val="0"/>
        <w:rPr>
          <w:rFonts w:cs="Arial"/>
        </w:rPr>
      </w:pPr>
      <w:r>
        <w:rPr>
          <w:rFonts w:cs="Arial"/>
        </w:rPr>
        <w:t>(Own emphasis)</w:t>
      </w:r>
    </w:p>
    <w:p w14:paraId="09D42100" w14:textId="1B6DC94F" w:rsidR="00784AD2" w:rsidRPr="007F700D" w:rsidRDefault="007F700D" w:rsidP="007F700D">
      <w:pPr>
        <w:spacing w:before="360" w:after="120" w:line="480" w:lineRule="auto"/>
        <w:ind w:left="709" w:hanging="720"/>
        <w:rPr>
          <w:rFonts w:cs="Arial"/>
        </w:rPr>
      </w:pPr>
      <w:r w:rsidRPr="00C07CAA">
        <w:rPr>
          <w:rFonts w:cs="Arial"/>
        </w:rPr>
        <w:t>[52]</w:t>
      </w:r>
      <w:r w:rsidRPr="00C07CAA">
        <w:rPr>
          <w:rFonts w:cs="Arial"/>
        </w:rPr>
        <w:tab/>
      </w:r>
      <w:r w:rsidR="00784AD2" w:rsidRPr="007F700D">
        <w:rPr>
          <w:rFonts w:cs="Arial"/>
        </w:rPr>
        <w:t>After identifying a number of so-called ‘</w:t>
      </w:r>
      <w:r w:rsidR="00784AD2" w:rsidRPr="007F700D">
        <w:rPr>
          <w:rFonts w:cs="Arial"/>
          <w:i/>
          <w:iCs/>
        </w:rPr>
        <w:t>distinguishing features</w:t>
      </w:r>
      <w:r w:rsidR="00784AD2" w:rsidRPr="007F700D">
        <w:rPr>
          <w:rFonts w:cs="Arial"/>
        </w:rPr>
        <w:t>’ between the former category (</w:t>
      </w:r>
      <w:r w:rsidR="00784AD2" w:rsidRPr="007F700D">
        <w:rPr>
          <w:rFonts w:cs="Arial"/>
          <w:i/>
          <w:iCs/>
        </w:rPr>
        <w:t xml:space="preserve">a case where the commencement of the debt arises by reason of an objectively observed event - such as a road closure - or the infliction of bodily harm under the </w:t>
      </w:r>
      <w:proofErr w:type="spellStart"/>
      <w:r w:rsidR="00784AD2" w:rsidRPr="007F700D">
        <w:rPr>
          <w:rFonts w:cs="Arial"/>
          <w:i/>
          <w:iCs/>
        </w:rPr>
        <w:t>lex</w:t>
      </w:r>
      <w:proofErr w:type="spellEnd"/>
      <w:r w:rsidR="00784AD2" w:rsidRPr="007F700D">
        <w:rPr>
          <w:rFonts w:cs="Arial"/>
          <w:i/>
          <w:iCs/>
        </w:rPr>
        <w:t xml:space="preserve"> </w:t>
      </w:r>
      <w:proofErr w:type="spellStart"/>
      <w:r w:rsidR="00784AD2" w:rsidRPr="007F700D">
        <w:rPr>
          <w:rFonts w:cs="Arial"/>
          <w:i/>
          <w:iCs/>
        </w:rPr>
        <w:t>Aquilia</w:t>
      </w:r>
      <w:proofErr w:type="spellEnd"/>
      <w:r w:rsidR="00784AD2" w:rsidRPr="007F700D">
        <w:rPr>
          <w:rFonts w:cs="Arial"/>
        </w:rPr>
        <w:t>)</w:t>
      </w:r>
      <w:r w:rsidR="00784AD2" w:rsidRPr="007F700D">
        <w:rPr>
          <w:rStyle w:val="FootnoteReference"/>
          <w:rFonts w:cs="Arial"/>
        </w:rPr>
        <w:t xml:space="preserve"> </w:t>
      </w:r>
      <w:r w:rsidR="00784AD2">
        <w:rPr>
          <w:rStyle w:val="FootnoteReference"/>
          <w:rFonts w:cs="Arial"/>
        </w:rPr>
        <w:footnoteReference w:id="108"/>
      </w:r>
      <w:r w:rsidR="00784AD2" w:rsidRPr="007F700D">
        <w:rPr>
          <w:rFonts w:cs="Arial"/>
        </w:rPr>
        <w:t xml:space="preserve"> and juxtaposing them with the latter </w:t>
      </w:r>
      <w:r w:rsidR="00784AD2" w:rsidRPr="007F700D">
        <w:rPr>
          <w:rFonts w:cs="Arial"/>
        </w:rPr>
        <w:lastRenderedPageBreak/>
        <w:t>category’s features (</w:t>
      </w:r>
      <w:r w:rsidR="00784AD2" w:rsidRPr="007F700D">
        <w:rPr>
          <w:rFonts w:cs="Arial"/>
          <w:i/>
          <w:iCs/>
        </w:rPr>
        <w:t>a case of wrongful arrest and detention without a warrant</w:t>
      </w:r>
      <w:r w:rsidR="00784AD2" w:rsidRPr="007F700D">
        <w:rPr>
          <w:rFonts w:cs="Arial"/>
        </w:rPr>
        <w:t>),</w:t>
      </w:r>
      <w:r w:rsidR="00784AD2">
        <w:rPr>
          <w:rStyle w:val="FootnoteReference"/>
          <w:rFonts w:cs="Arial"/>
        </w:rPr>
        <w:footnoteReference w:id="109"/>
      </w:r>
      <w:r w:rsidR="00784AD2">
        <w:t xml:space="preserve"> </w:t>
      </w:r>
      <w:proofErr w:type="spellStart"/>
      <w:r w:rsidR="004A081A">
        <w:t>Spilg</w:t>
      </w:r>
      <w:proofErr w:type="spellEnd"/>
      <w:r w:rsidR="00E225EE">
        <w:t xml:space="preserve"> J</w:t>
      </w:r>
      <w:r w:rsidR="00D64AAA">
        <w:t xml:space="preserve"> proceeded as follows</w:t>
      </w:r>
      <w:r w:rsidR="00784AD2">
        <w:t>:</w:t>
      </w:r>
      <w:r w:rsidR="00784AD2">
        <w:rPr>
          <w:rStyle w:val="FootnoteReference"/>
        </w:rPr>
        <w:footnoteReference w:id="110"/>
      </w:r>
    </w:p>
    <w:p w14:paraId="2A02BA4B" w14:textId="77777777" w:rsidR="00784AD2" w:rsidRDefault="00784AD2" w:rsidP="00784AD2">
      <w:pPr>
        <w:pStyle w:val="ListParagraph"/>
        <w:spacing w:before="120" w:after="120"/>
        <w:ind w:left="1418" w:right="521"/>
        <w:contextualSpacing w:val="0"/>
      </w:pPr>
      <w:r>
        <w:t>‘</w:t>
      </w:r>
      <w:r w:rsidRPr="00C07CAA">
        <w:rPr>
          <w:sz w:val="20"/>
          <w:szCs w:val="20"/>
        </w:rPr>
        <w:t>[58</w:t>
      </w:r>
      <w:proofErr w:type="gramStart"/>
      <w:r w:rsidRPr="00C07CAA">
        <w:rPr>
          <w:sz w:val="20"/>
          <w:szCs w:val="20"/>
        </w:rPr>
        <w:t>]  Unique</w:t>
      </w:r>
      <w:proofErr w:type="gramEnd"/>
      <w:r w:rsidRPr="00C07CAA">
        <w:rPr>
          <w:sz w:val="20"/>
          <w:szCs w:val="20"/>
        </w:rPr>
        <w:t xml:space="preserve"> considerations are involved in cases of wrongful arrest and detention because other delicts involve either physical injury, damage to or loss of property or involve an objectively ascertainable failure to comply with formalities that renders the action unlawful and which are not dependent on the outcome of criminal proceedings (e.g.</w:t>
      </w:r>
      <w:r>
        <w:rPr>
          <w:sz w:val="20"/>
          <w:szCs w:val="20"/>
        </w:rPr>
        <w:t>,</w:t>
      </w:r>
      <w:r w:rsidRPr="00C07CAA">
        <w:rPr>
          <w:sz w:val="20"/>
          <w:szCs w:val="20"/>
        </w:rPr>
        <w:t xml:space="preserve"> </w:t>
      </w:r>
      <w:proofErr w:type="spellStart"/>
      <w:r w:rsidRPr="00C07CAA">
        <w:rPr>
          <w:i/>
          <w:iCs/>
          <w:sz w:val="20"/>
          <w:szCs w:val="20"/>
        </w:rPr>
        <w:t>Slomowitz</w:t>
      </w:r>
      <w:proofErr w:type="spellEnd"/>
      <w:r w:rsidRPr="00C07CAA">
        <w:rPr>
          <w:b/>
          <w:bCs/>
          <w:sz w:val="20"/>
          <w:szCs w:val="20"/>
        </w:rPr>
        <w:t>).  In the case of an arrest and detention there is a deprivation of liberty and loss of dignity which will be justified if there is a conviction.  It is difficult to appreciate how a debt can be immediately claimable and therefore justiciable</w:t>
      </w:r>
      <w:r w:rsidRPr="00C07CAA">
        <w:rPr>
          <w:sz w:val="20"/>
          <w:szCs w:val="20"/>
        </w:rPr>
        <w:t xml:space="preserve"> — which is the second requirement for a debt being due (see </w:t>
      </w:r>
      <w:r w:rsidRPr="00C07CAA">
        <w:rPr>
          <w:i/>
          <w:iCs/>
          <w:sz w:val="20"/>
          <w:szCs w:val="20"/>
        </w:rPr>
        <w:t>Deloitte Haskins</w:t>
      </w:r>
      <w:r w:rsidRPr="00C07CAA">
        <w:rPr>
          <w:sz w:val="20"/>
          <w:szCs w:val="20"/>
        </w:rPr>
        <w:t xml:space="preserve">) — </w:t>
      </w:r>
      <w:r w:rsidRPr="00C07CAA">
        <w:rPr>
          <w:b/>
          <w:bCs/>
          <w:sz w:val="20"/>
          <w:szCs w:val="20"/>
        </w:rPr>
        <w:t>prior to the outcome of the criminal trial, or prior to charges being dropped or otherwise withdrawn</w:t>
      </w:r>
      <w:r w:rsidRPr="00C07CAA">
        <w:t>.</w:t>
      </w:r>
      <w:r>
        <w:t>’</w:t>
      </w:r>
    </w:p>
    <w:p w14:paraId="45B1990D" w14:textId="77777777" w:rsidR="00784AD2" w:rsidRDefault="00784AD2" w:rsidP="00784AD2">
      <w:pPr>
        <w:pStyle w:val="ListParagraph"/>
        <w:spacing w:before="360" w:after="120" w:line="480" w:lineRule="auto"/>
        <w:ind w:left="1418" w:right="521"/>
        <w:contextualSpacing w:val="0"/>
      </w:pPr>
      <w:r>
        <w:t>(Own emphasis).</w:t>
      </w:r>
    </w:p>
    <w:p w14:paraId="1EB5088C" w14:textId="3B1F1F03" w:rsidR="00784AD2" w:rsidRPr="007F700D" w:rsidRDefault="007F700D" w:rsidP="007F700D">
      <w:pPr>
        <w:spacing w:before="360" w:after="120" w:line="480" w:lineRule="auto"/>
        <w:ind w:left="709" w:hanging="720"/>
        <w:rPr>
          <w:rFonts w:cs="Arial"/>
        </w:rPr>
      </w:pPr>
      <w:r w:rsidRPr="00C52DDD">
        <w:rPr>
          <w:rFonts w:cs="Arial"/>
        </w:rPr>
        <w:t>[53]</w:t>
      </w:r>
      <w:r w:rsidRPr="00C52DDD">
        <w:rPr>
          <w:rFonts w:cs="Arial"/>
        </w:rPr>
        <w:tab/>
      </w:r>
      <w:r w:rsidR="00784AD2" w:rsidRPr="007F700D">
        <w:rPr>
          <w:rFonts w:cs="Arial"/>
        </w:rPr>
        <w:t xml:space="preserve">The learned judge </w:t>
      </w:r>
      <w:r w:rsidR="00635725" w:rsidRPr="007F700D">
        <w:rPr>
          <w:rFonts w:cs="Arial"/>
        </w:rPr>
        <w:t>then</w:t>
      </w:r>
      <w:r w:rsidR="00F64671" w:rsidRPr="007F700D">
        <w:rPr>
          <w:rFonts w:cs="Arial"/>
        </w:rPr>
        <w:t xml:space="preserve"> referred </w:t>
      </w:r>
      <w:r w:rsidR="00784AD2" w:rsidRPr="007F700D">
        <w:rPr>
          <w:rFonts w:cs="Arial"/>
        </w:rPr>
        <w:t xml:space="preserve">to the SCA’s judgment in </w:t>
      </w:r>
      <w:r w:rsidR="00784AD2" w:rsidRPr="007F700D">
        <w:rPr>
          <w:rFonts w:cs="Arial"/>
          <w:b/>
          <w:bCs/>
          <w:i/>
          <w:iCs/>
        </w:rPr>
        <w:t xml:space="preserve">Unilever </w:t>
      </w:r>
      <w:proofErr w:type="spellStart"/>
      <w:r w:rsidR="00784AD2" w:rsidRPr="007F700D">
        <w:rPr>
          <w:rFonts w:cs="Arial"/>
          <w:b/>
          <w:bCs/>
          <w:i/>
          <w:iCs/>
        </w:rPr>
        <w:t>Bestfoods</w:t>
      </w:r>
      <w:proofErr w:type="spellEnd"/>
      <w:r w:rsidR="00784AD2" w:rsidRPr="007F700D">
        <w:rPr>
          <w:rFonts w:cs="Arial"/>
          <w:b/>
          <w:bCs/>
          <w:i/>
          <w:iCs/>
        </w:rPr>
        <w:t xml:space="preserve"> </w:t>
      </w:r>
      <w:proofErr w:type="spellStart"/>
      <w:r w:rsidR="00784AD2" w:rsidRPr="007F700D">
        <w:rPr>
          <w:rFonts w:cs="Arial"/>
          <w:b/>
          <w:bCs/>
          <w:i/>
          <w:iCs/>
        </w:rPr>
        <w:t>Robertsons</w:t>
      </w:r>
      <w:proofErr w:type="spellEnd"/>
      <w:r w:rsidR="00784AD2" w:rsidRPr="007F700D">
        <w:rPr>
          <w:rFonts w:cs="Arial"/>
          <w:b/>
          <w:bCs/>
          <w:i/>
          <w:iCs/>
        </w:rPr>
        <w:t xml:space="preserve"> (Pty) Ltd and Others v </w:t>
      </w:r>
      <w:proofErr w:type="spellStart"/>
      <w:r w:rsidR="00784AD2" w:rsidRPr="007F700D">
        <w:rPr>
          <w:rFonts w:cs="Arial"/>
          <w:b/>
          <w:bCs/>
          <w:i/>
          <w:iCs/>
        </w:rPr>
        <w:t>Soomar</w:t>
      </w:r>
      <w:proofErr w:type="spellEnd"/>
      <w:r w:rsidR="00784AD2" w:rsidRPr="007F700D">
        <w:rPr>
          <w:rFonts w:cs="Arial"/>
          <w:b/>
          <w:bCs/>
          <w:i/>
          <w:iCs/>
        </w:rPr>
        <w:t xml:space="preserve"> and Another</w:t>
      </w:r>
      <w:r w:rsidR="00784AD2" w:rsidRPr="007F700D">
        <w:rPr>
          <w:rFonts w:cs="Arial"/>
        </w:rPr>
        <w:t>,</w:t>
      </w:r>
      <w:r w:rsidR="00784AD2">
        <w:rPr>
          <w:rStyle w:val="FootnoteReference"/>
          <w:rFonts w:cs="Arial"/>
        </w:rPr>
        <w:footnoteReference w:id="111"/>
      </w:r>
      <w:r w:rsidR="00784AD2" w:rsidRPr="007F700D">
        <w:rPr>
          <w:rFonts w:cs="Arial"/>
        </w:rPr>
        <w:t xml:space="preserve"> and</w:t>
      </w:r>
      <w:r w:rsidR="007E2CD0" w:rsidRPr="007F700D">
        <w:rPr>
          <w:rFonts w:cs="Arial"/>
        </w:rPr>
        <w:t xml:space="preserve">, after </w:t>
      </w:r>
      <w:r w:rsidR="00784AD2" w:rsidRPr="007F700D">
        <w:rPr>
          <w:rFonts w:cs="Arial"/>
        </w:rPr>
        <w:t>quot</w:t>
      </w:r>
      <w:r w:rsidR="007E2CD0" w:rsidRPr="007F700D">
        <w:rPr>
          <w:rFonts w:cs="Arial"/>
        </w:rPr>
        <w:t>ing</w:t>
      </w:r>
      <w:r w:rsidR="00784AD2" w:rsidRPr="007F700D">
        <w:rPr>
          <w:rFonts w:cs="Arial"/>
        </w:rPr>
        <w:t xml:space="preserve"> extensively from it</w:t>
      </w:r>
      <w:r w:rsidR="00A12A61" w:rsidRPr="007F700D">
        <w:rPr>
          <w:rFonts w:cs="Arial"/>
        </w:rPr>
        <w:t>,</w:t>
      </w:r>
      <w:r w:rsidR="00784AD2">
        <w:rPr>
          <w:rStyle w:val="FootnoteReference"/>
          <w:rFonts w:cs="Arial"/>
        </w:rPr>
        <w:footnoteReference w:id="112"/>
      </w:r>
      <w:r w:rsidR="0045257C" w:rsidRPr="007F700D">
        <w:rPr>
          <w:rFonts w:cs="Arial"/>
        </w:rPr>
        <w:t xml:space="preserve"> expressed </w:t>
      </w:r>
      <w:r w:rsidR="008013BB" w:rsidRPr="007F700D">
        <w:rPr>
          <w:rFonts w:cs="Arial"/>
        </w:rPr>
        <w:t>the following viewpoint:</w:t>
      </w:r>
      <w:r w:rsidR="00784AD2">
        <w:rPr>
          <w:rStyle w:val="FootnoteReference"/>
          <w:rFonts w:cs="Arial"/>
        </w:rPr>
        <w:footnoteReference w:id="113"/>
      </w:r>
    </w:p>
    <w:p w14:paraId="2215ADA4" w14:textId="77777777" w:rsidR="00784AD2" w:rsidRPr="00C07CAA" w:rsidRDefault="00784AD2" w:rsidP="000D28EC">
      <w:pPr>
        <w:pStyle w:val="ListParagraph"/>
        <w:spacing w:before="360" w:after="120"/>
        <w:ind w:left="1418" w:right="521"/>
        <w:contextualSpacing w:val="0"/>
        <w:rPr>
          <w:rFonts w:cs="Arial"/>
        </w:rPr>
      </w:pPr>
      <w:r>
        <w:rPr>
          <w:rFonts w:cs="Arial"/>
        </w:rPr>
        <w:t>‘</w:t>
      </w:r>
      <w:r w:rsidRPr="00C07CAA">
        <w:rPr>
          <w:rFonts w:cs="Arial"/>
          <w:sz w:val="20"/>
          <w:szCs w:val="20"/>
        </w:rPr>
        <w:t>[62</w:t>
      </w:r>
      <w:proofErr w:type="gramStart"/>
      <w:r w:rsidRPr="00C07CAA">
        <w:rPr>
          <w:rFonts w:cs="Arial"/>
          <w:sz w:val="20"/>
          <w:szCs w:val="20"/>
        </w:rPr>
        <w:t>]  In</w:t>
      </w:r>
      <w:proofErr w:type="gramEnd"/>
      <w:r w:rsidRPr="00C07CAA">
        <w:rPr>
          <w:rFonts w:cs="Arial"/>
          <w:sz w:val="20"/>
          <w:szCs w:val="20"/>
        </w:rPr>
        <w:t xml:space="preserve"> my respectful view I am bound by the ratio of </w:t>
      </w:r>
      <w:proofErr w:type="spellStart"/>
      <w:r w:rsidRPr="00C07CAA">
        <w:rPr>
          <w:rFonts w:cs="Arial"/>
          <w:sz w:val="20"/>
          <w:szCs w:val="20"/>
        </w:rPr>
        <w:t>Farlam</w:t>
      </w:r>
      <w:proofErr w:type="spellEnd"/>
      <w:r w:rsidRPr="00C07CAA">
        <w:rPr>
          <w:rFonts w:cs="Arial"/>
          <w:sz w:val="20"/>
          <w:szCs w:val="20"/>
        </w:rPr>
        <w:t xml:space="preserve"> JA in </w:t>
      </w:r>
      <w:r w:rsidRPr="00C07CAA">
        <w:rPr>
          <w:rFonts w:cs="Arial"/>
          <w:i/>
          <w:iCs/>
          <w:sz w:val="20"/>
          <w:szCs w:val="20"/>
        </w:rPr>
        <w:t>Unilever</w:t>
      </w:r>
      <w:r w:rsidRPr="00C07CAA">
        <w:rPr>
          <w:rFonts w:cs="Arial"/>
          <w:sz w:val="20"/>
          <w:szCs w:val="20"/>
        </w:rPr>
        <w:t xml:space="preserve"> and the long line of cases relied on from </w:t>
      </w:r>
      <w:proofErr w:type="spellStart"/>
      <w:r w:rsidRPr="00C07CAA">
        <w:rPr>
          <w:rFonts w:cs="Arial"/>
          <w:i/>
          <w:iCs/>
          <w:sz w:val="20"/>
          <w:szCs w:val="20"/>
        </w:rPr>
        <w:t>Lemue</w:t>
      </w:r>
      <w:proofErr w:type="spellEnd"/>
      <w:r w:rsidRPr="00C07CAA">
        <w:rPr>
          <w:rFonts w:cs="Arial"/>
          <w:i/>
          <w:iCs/>
          <w:sz w:val="20"/>
          <w:szCs w:val="20"/>
        </w:rPr>
        <w:t xml:space="preserve"> v </w:t>
      </w:r>
      <w:proofErr w:type="spellStart"/>
      <w:r w:rsidRPr="00C07CAA">
        <w:rPr>
          <w:rFonts w:cs="Arial"/>
          <w:i/>
          <w:iCs/>
          <w:sz w:val="20"/>
          <w:szCs w:val="20"/>
        </w:rPr>
        <w:t>Zwartbooi</w:t>
      </w:r>
      <w:proofErr w:type="spellEnd"/>
      <w:r w:rsidRPr="00C07CAA">
        <w:rPr>
          <w:rFonts w:cs="Arial"/>
          <w:sz w:val="20"/>
          <w:szCs w:val="20"/>
        </w:rPr>
        <w:t xml:space="preserve"> (1896) 13 SC 403 to </w:t>
      </w:r>
      <w:proofErr w:type="spellStart"/>
      <w:r w:rsidRPr="00C07CAA">
        <w:rPr>
          <w:rFonts w:cs="Arial"/>
          <w:i/>
          <w:iCs/>
          <w:sz w:val="20"/>
          <w:szCs w:val="20"/>
        </w:rPr>
        <w:t>Els</w:t>
      </w:r>
      <w:proofErr w:type="spellEnd"/>
      <w:r w:rsidRPr="00C07CAA">
        <w:rPr>
          <w:rFonts w:cs="Arial"/>
          <w:i/>
          <w:iCs/>
          <w:sz w:val="20"/>
          <w:szCs w:val="20"/>
        </w:rPr>
        <w:t xml:space="preserve"> v Minister of Law and Order and Others</w:t>
      </w:r>
      <w:r w:rsidRPr="00C07CAA">
        <w:rPr>
          <w:rFonts w:cs="Arial"/>
          <w:sz w:val="20"/>
          <w:szCs w:val="20"/>
        </w:rPr>
        <w:t xml:space="preserve"> 1993 (1) SA 12 (C).  Moreover, the SCA extensively adopted in </w:t>
      </w:r>
      <w:r w:rsidRPr="00C07CAA">
        <w:rPr>
          <w:rFonts w:cs="Arial"/>
          <w:i/>
          <w:iCs/>
          <w:sz w:val="20"/>
          <w:szCs w:val="20"/>
        </w:rPr>
        <w:t>Unilever</w:t>
      </w:r>
      <w:r w:rsidRPr="00C07CAA">
        <w:rPr>
          <w:rFonts w:cs="Arial"/>
          <w:sz w:val="20"/>
          <w:szCs w:val="20"/>
        </w:rPr>
        <w:t xml:space="preserve"> the supportive reasoning contained in the article by Dr CF </w:t>
      </w:r>
      <w:proofErr w:type="spellStart"/>
      <w:r w:rsidRPr="00C07CAA">
        <w:rPr>
          <w:rFonts w:cs="Arial"/>
          <w:sz w:val="20"/>
          <w:szCs w:val="20"/>
        </w:rPr>
        <w:t>Amerasinghe</w:t>
      </w:r>
      <w:proofErr w:type="spellEnd"/>
      <w:r w:rsidRPr="00C07CAA">
        <w:rPr>
          <w:rFonts w:cs="Arial"/>
          <w:sz w:val="20"/>
          <w:szCs w:val="20"/>
        </w:rPr>
        <w:t xml:space="preserve"> in </w:t>
      </w:r>
      <w:r w:rsidRPr="00C07CAA">
        <w:rPr>
          <w:rFonts w:cs="Arial"/>
          <w:i/>
          <w:iCs/>
          <w:sz w:val="20"/>
          <w:szCs w:val="20"/>
        </w:rPr>
        <w:t xml:space="preserve">Aspects of the </w:t>
      </w:r>
      <w:proofErr w:type="spellStart"/>
      <w:r w:rsidRPr="00C07CAA">
        <w:rPr>
          <w:rFonts w:cs="Arial"/>
          <w:i/>
          <w:iCs/>
          <w:sz w:val="20"/>
          <w:szCs w:val="20"/>
        </w:rPr>
        <w:t>Actio</w:t>
      </w:r>
      <w:proofErr w:type="spellEnd"/>
      <w:r w:rsidRPr="00C07CAA">
        <w:rPr>
          <w:rFonts w:cs="Arial"/>
          <w:i/>
          <w:iCs/>
          <w:sz w:val="20"/>
          <w:szCs w:val="20"/>
        </w:rPr>
        <w:t xml:space="preserve"> </w:t>
      </w:r>
      <w:proofErr w:type="spellStart"/>
      <w:r w:rsidRPr="00C07CAA">
        <w:rPr>
          <w:rFonts w:cs="Arial"/>
          <w:i/>
          <w:iCs/>
          <w:sz w:val="20"/>
          <w:szCs w:val="20"/>
        </w:rPr>
        <w:t>Iniuriarum</w:t>
      </w:r>
      <w:proofErr w:type="spellEnd"/>
      <w:r w:rsidRPr="00C07CAA">
        <w:rPr>
          <w:rFonts w:cs="Arial"/>
          <w:i/>
          <w:iCs/>
          <w:sz w:val="20"/>
          <w:szCs w:val="20"/>
        </w:rPr>
        <w:t xml:space="preserve"> in Roman-Dutch Law</w:t>
      </w:r>
      <w:r w:rsidRPr="00C07CAA">
        <w:rPr>
          <w:rFonts w:cs="Arial"/>
          <w:sz w:val="20"/>
          <w:szCs w:val="20"/>
        </w:rPr>
        <w:t xml:space="preserve"> as to why a pending prosecution cannot be allowed to be prejudged in the civil action.  By contrast it appears that this issue was not raised before the SCA in </w:t>
      </w:r>
      <w:proofErr w:type="spellStart"/>
      <w:r w:rsidRPr="00C07CAA">
        <w:rPr>
          <w:rFonts w:cs="Arial"/>
          <w:i/>
          <w:iCs/>
          <w:sz w:val="20"/>
          <w:szCs w:val="20"/>
        </w:rPr>
        <w:t>Lombo</w:t>
      </w:r>
      <w:proofErr w:type="spellEnd"/>
      <w:r w:rsidRPr="00C07CAA">
        <w:rPr>
          <w:rFonts w:cs="Arial"/>
          <w:sz w:val="20"/>
          <w:szCs w:val="20"/>
        </w:rPr>
        <w:t xml:space="preserve">, and none of the cases relied upon in </w:t>
      </w:r>
      <w:r w:rsidRPr="00C07CAA">
        <w:rPr>
          <w:rFonts w:cs="Arial"/>
          <w:i/>
          <w:iCs/>
          <w:sz w:val="20"/>
          <w:szCs w:val="20"/>
        </w:rPr>
        <w:t>Unileve</w:t>
      </w:r>
      <w:r w:rsidRPr="00C07CAA">
        <w:rPr>
          <w:rFonts w:cs="Arial"/>
          <w:sz w:val="20"/>
          <w:szCs w:val="20"/>
        </w:rPr>
        <w:t xml:space="preserve">r were mentioned by counsel if regard is had to the authorities listed.  Perhaps more importantly, even though </w:t>
      </w:r>
      <w:proofErr w:type="spellStart"/>
      <w:r w:rsidRPr="00C07CAA">
        <w:rPr>
          <w:rFonts w:cs="Arial"/>
          <w:i/>
          <w:iCs/>
          <w:sz w:val="20"/>
          <w:szCs w:val="20"/>
        </w:rPr>
        <w:t>Lombo</w:t>
      </w:r>
      <w:proofErr w:type="spellEnd"/>
      <w:r w:rsidRPr="00C07CAA">
        <w:rPr>
          <w:rFonts w:cs="Arial"/>
          <w:sz w:val="20"/>
          <w:szCs w:val="20"/>
        </w:rPr>
        <w:t xml:space="preserve"> was not dealt with </w:t>
      </w:r>
      <w:r w:rsidRPr="00C07CAA">
        <w:rPr>
          <w:rFonts w:cs="Arial"/>
          <w:i/>
          <w:iCs/>
          <w:sz w:val="20"/>
          <w:szCs w:val="20"/>
        </w:rPr>
        <w:t>Unilever</w:t>
      </w:r>
      <w:r w:rsidRPr="00C07CAA">
        <w:rPr>
          <w:rFonts w:cs="Arial"/>
          <w:sz w:val="20"/>
          <w:szCs w:val="20"/>
        </w:rPr>
        <w:t xml:space="preserve"> is the more recent decision and it dealt expressly with this issue</w:t>
      </w:r>
      <w:r w:rsidRPr="00C07CAA">
        <w:rPr>
          <w:rFonts w:cs="Arial"/>
        </w:rPr>
        <w:t>.’</w:t>
      </w:r>
    </w:p>
    <w:p w14:paraId="6ECB1970" w14:textId="44329EE3" w:rsidR="00A2621A" w:rsidRPr="007F700D" w:rsidRDefault="007F700D" w:rsidP="007F700D">
      <w:pPr>
        <w:spacing w:before="360" w:after="120" w:line="480" w:lineRule="auto"/>
        <w:ind w:left="709" w:hanging="720"/>
        <w:rPr>
          <w:rFonts w:cs="Arial"/>
        </w:rPr>
      </w:pPr>
      <w:r>
        <w:rPr>
          <w:rFonts w:cs="Arial"/>
        </w:rPr>
        <w:lastRenderedPageBreak/>
        <w:t>[54]</w:t>
      </w:r>
      <w:r>
        <w:rPr>
          <w:rFonts w:cs="Arial"/>
        </w:rPr>
        <w:tab/>
      </w:r>
      <w:r w:rsidR="00E54B07" w:rsidRPr="007F700D">
        <w:rPr>
          <w:rFonts w:cs="Arial"/>
        </w:rPr>
        <w:t>Althou</w:t>
      </w:r>
      <w:r w:rsidR="007C1E18" w:rsidRPr="007F700D">
        <w:rPr>
          <w:rFonts w:cs="Arial"/>
        </w:rPr>
        <w:t>gh I entertain grave doubts about the correctness of t</w:t>
      </w:r>
      <w:r w:rsidR="00634188" w:rsidRPr="007F700D">
        <w:rPr>
          <w:rFonts w:cs="Arial"/>
        </w:rPr>
        <w:t>h</w:t>
      </w:r>
      <w:r w:rsidR="0061703B" w:rsidRPr="007F700D">
        <w:rPr>
          <w:rFonts w:cs="Arial"/>
        </w:rPr>
        <w:t>is</w:t>
      </w:r>
      <w:r w:rsidR="00634188" w:rsidRPr="007F700D">
        <w:rPr>
          <w:rFonts w:cs="Arial"/>
        </w:rPr>
        <w:t xml:space="preserve"> latter viewpoint</w:t>
      </w:r>
      <w:r w:rsidR="000C558B" w:rsidRPr="007F700D">
        <w:rPr>
          <w:rFonts w:cs="Arial"/>
        </w:rPr>
        <w:t xml:space="preserve">, it is unnecessary </w:t>
      </w:r>
      <w:r w:rsidR="00917D7C" w:rsidRPr="007F700D">
        <w:rPr>
          <w:rFonts w:cs="Arial"/>
        </w:rPr>
        <w:t>in the context of the present case</w:t>
      </w:r>
      <w:r w:rsidR="00D532A8" w:rsidRPr="007F700D">
        <w:rPr>
          <w:rFonts w:cs="Arial"/>
        </w:rPr>
        <w:t xml:space="preserve">, which is concerned with claims of </w:t>
      </w:r>
      <w:r w:rsidR="00D532A8" w:rsidRPr="007F700D">
        <w:rPr>
          <w:rFonts w:cs="Arial"/>
          <w:i/>
          <w:iCs/>
        </w:rPr>
        <w:t>malicious</w:t>
      </w:r>
      <w:r w:rsidR="00D532A8" w:rsidRPr="007F700D">
        <w:rPr>
          <w:rFonts w:cs="Arial"/>
        </w:rPr>
        <w:t xml:space="preserve"> arrest and </w:t>
      </w:r>
      <w:r w:rsidR="003049F8" w:rsidRPr="007F700D">
        <w:rPr>
          <w:rFonts w:cs="Arial"/>
          <w:i/>
          <w:iCs/>
        </w:rPr>
        <w:t>malicious</w:t>
      </w:r>
      <w:r w:rsidR="003049F8" w:rsidRPr="007F700D">
        <w:rPr>
          <w:rFonts w:cs="Arial"/>
        </w:rPr>
        <w:t xml:space="preserve"> </w:t>
      </w:r>
      <w:r w:rsidR="00D532A8" w:rsidRPr="007F700D">
        <w:rPr>
          <w:rFonts w:cs="Arial"/>
        </w:rPr>
        <w:t>detention</w:t>
      </w:r>
      <w:r w:rsidR="00071EF9" w:rsidRPr="007F700D">
        <w:rPr>
          <w:rFonts w:cs="Arial"/>
        </w:rPr>
        <w:t>, to express</w:t>
      </w:r>
      <w:r w:rsidR="005F31E5" w:rsidRPr="007F700D">
        <w:rPr>
          <w:rFonts w:cs="Arial"/>
        </w:rPr>
        <w:t xml:space="preserve"> </w:t>
      </w:r>
      <w:r w:rsidR="009357BB" w:rsidRPr="007F700D">
        <w:rPr>
          <w:rFonts w:cs="Arial"/>
        </w:rPr>
        <w:t>any</w:t>
      </w:r>
      <w:r w:rsidR="009B1AD3" w:rsidRPr="007F700D">
        <w:rPr>
          <w:rFonts w:cs="Arial"/>
        </w:rPr>
        <w:t xml:space="preserve"> </w:t>
      </w:r>
      <w:r w:rsidR="005F31E5" w:rsidRPr="007F700D">
        <w:rPr>
          <w:rFonts w:cs="Arial"/>
        </w:rPr>
        <w:t>affirmation for</w:t>
      </w:r>
      <w:r w:rsidR="00A25C2C" w:rsidRPr="007F700D">
        <w:rPr>
          <w:rFonts w:cs="Arial"/>
        </w:rPr>
        <w:t>,</w:t>
      </w:r>
      <w:r w:rsidR="005F31E5" w:rsidRPr="007F700D">
        <w:rPr>
          <w:rFonts w:cs="Arial"/>
        </w:rPr>
        <w:t xml:space="preserve"> or </w:t>
      </w:r>
      <w:r w:rsidR="002816F9" w:rsidRPr="007F700D">
        <w:rPr>
          <w:rFonts w:cs="Arial"/>
        </w:rPr>
        <w:t>disa</w:t>
      </w:r>
      <w:r w:rsidR="00512740" w:rsidRPr="007F700D">
        <w:rPr>
          <w:rFonts w:cs="Arial"/>
        </w:rPr>
        <w:t>pprova</w:t>
      </w:r>
      <w:r w:rsidR="002816F9" w:rsidRPr="007F700D">
        <w:rPr>
          <w:rFonts w:cs="Arial"/>
        </w:rPr>
        <w:t>l of</w:t>
      </w:r>
      <w:r w:rsidR="00A25C2C" w:rsidRPr="007F700D">
        <w:rPr>
          <w:rFonts w:cs="Arial"/>
        </w:rPr>
        <w:t>,</w:t>
      </w:r>
      <w:r w:rsidR="002816F9" w:rsidRPr="007F700D">
        <w:rPr>
          <w:rFonts w:cs="Arial"/>
        </w:rPr>
        <w:t xml:space="preserve"> it</w:t>
      </w:r>
      <w:r w:rsidR="00634188" w:rsidRPr="007F700D">
        <w:rPr>
          <w:rFonts w:cs="Arial"/>
        </w:rPr>
        <w:t xml:space="preserve">.  </w:t>
      </w:r>
      <w:r w:rsidR="006C1649" w:rsidRPr="007F700D">
        <w:rPr>
          <w:rFonts w:cs="Arial"/>
        </w:rPr>
        <w:t>How</w:t>
      </w:r>
      <w:r w:rsidR="000A18F0" w:rsidRPr="007F700D">
        <w:rPr>
          <w:rFonts w:cs="Arial"/>
        </w:rPr>
        <w:t>ever, and solely f</w:t>
      </w:r>
      <w:r w:rsidR="00F66BDC" w:rsidRPr="007F700D">
        <w:rPr>
          <w:rFonts w:cs="Arial"/>
        </w:rPr>
        <w:t>or the sake of completenes</w:t>
      </w:r>
      <w:r w:rsidR="00EC03CA" w:rsidRPr="007F700D">
        <w:rPr>
          <w:rFonts w:cs="Arial"/>
        </w:rPr>
        <w:t xml:space="preserve">s, my </w:t>
      </w:r>
      <w:r w:rsidR="00051758" w:rsidRPr="007F700D">
        <w:rPr>
          <w:rFonts w:cs="Arial"/>
        </w:rPr>
        <w:t>doub</w:t>
      </w:r>
      <w:r w:rsidR="003D4387" w:rsidRPr="007F700D">
        <w:rPr>
          <w:rFonts w:cs="Arial"/>
        </w:rPr>
        <w:t xml:space="preserve">ts about </w:t>
      </w:r>
      <w:r w:rsidR="000A18F0" w:rsidRPr="007F700D">
        <w:rPr>
          <w:rFonts w:cs="Arial"/>
        </w:rPr>
        <w:t>such viewpoint</w:t>
      </w:r>
      <w:r w:rsidR="003D4387" w:rsidRPr="007F700D">
        <w:rPr>
          <w:rFonts w:cs="Arial"/>
        </w:rPr>
        <w:t xml:space="preserve"> </w:t>
      </w:r>
      <w:r w:rsidR="008A0CB2" w:rsidRPr="007F700D">
        <w:rPr>
          <w:rFonts w:cs="Arial"/>
        </w:rPr>
        <w:t>mai</w:t>
      </w:r>
      <w:r w:rsidR="006057B9" w:rsidRPr="007F700D">
        <w:rPr>
          <w:rFonts w:cs="Arial"/>
        </w:rPr>
        <w:t xml:space="preserve">nly </w:t>
      </w:r>
      <w:r w:rsidR="002E1001" w:rsidRPr="007F700D">
        <w:rPr>
          <w:rFonts w:cs="Arial"/>
        </w:rPr>
        <w:t xml:space="preserve">pertain to </w:t>
      </w:r>
      <w:r w:rsidR="002F6CCB" w:rsidRPr="007F700D">
        <w:rPr>
          <w:rFonts w:cs="Arial"/>
        </w:rPr>
        <w:t>(</w:t>
      </w:r>
      <w:proofErr w:type="spellStart"/>
      <w:r w:rsidR="002F6CCB" w:rsidRPr="007F700D">
        <w:rPr>
          <w:rFonts w:cs="Arial"/>
        </w:rPr>
        <w:t>i</w:t>
      </w:r>
      <w:proofErr w:type="spellEnd"/>
      <w:r w:rsidR="002F6CCB" w:rsidRPr="007F700D">
        <w:rPr>
          <w:rFonts w:cs="Arial"/>
        </w:rPr>
        <w:t xml:space="preserve">) </w:t>
      </w:r>
      <w:r w:rsidR="002E1001" w:rsidRPr="007F700D">
        <w:rPr>
          <w:rFonts w:cs="Arial"/>
        </w:rPr>
        <w:t xml:space="preserve">the </w:t>
      </w:r>
      <w:r w:rsidR="0068785D" w:rsidRPr="007F700D">
        <w:rPr>
          <w:rFonts w:cs="Arial"/>
        </w:rPr>
        <w:t xml:space="preserve">obvious </w:t>
      </w:r>
      <w:r w:rsidR="002E1001" w:rsidRPr="007F700D">
        <w:rPr>
          <w:rFonts w:cs="Arial"/>
        </w:rPr>
        <w:t xml:space="preserve">conflation of </w:t>
      </w:r>
      <w:r w:rsidR="0068785D" w:rsidRPr="007F700D">
        <w:rPr>
          <w:rFonts w:cs="Arial"/>
          <w:i/>
          <w:iCs/>
        </w:rPr>
        <w:t>unlawful</w:t>
      </w:r>
      <w:r w:rsidR="0068785D" w:rsidRPr="007F700D">
        <w:rPr>
          <w:rFonts w:cs="Arial"/>
        </w:rPr>
        <w:t xml:space="preserve"> arrest and detention with </w:t>
      </w:r>
      <w:r w:rsidR="0068785D" w:rsidRPr="007F700D">
        <w:rPr>
          <w:rFonts w:cs="Arial"/>
          <w:i/>
          <w:iCs/>
        </w:rPr>
        <w:t>malicious</w:t>
      </w:r>
      <w:r w:rsidR="0068785D" w:rsidRPr="007F700D">
        <w:rPr>
          <w:rFonts w:cs="Arial"/>
        </w:rPr>
        <w:t xml:space="preserve"> arrest and detention</w:t>
      </w:r>
      <w:r w:rsidR="002F6CCB" w:rsidRPr="007F700D">
        <w:rPr>
          <w:rFonts w:cs="Arial"/>
        </w:rPr>
        <w:t xml:space="preserve">; and (ii) the true impact </w:t>
      </w:r>
      <w:r w:rsidR="004C525E" w:rsidRPr="007F700D">
        <w:rPr>
          <w:rFonts w:cs="Arial"/>
        </w:rPr>
        <w:t xml:space="preserve">of the SCA’s judgment in </w:t>
      </w:r>
      <w:r w:rsidR="004C525E" w:rsidRPr="007F700D">
        <w:rPr>
          <w:rFonts w:cs="Arial"/>
          <w:b/>
          <w:bCs/>
          <w:i/>
          <w:iCs/>
        </w:rPr>
        <w:t>Unilever</w:t>
      </w:r>
      <w:r w:rsidR="004C525E" w:rsidRPr="007F700D">
        <w:rPr>
          <w:rFonts w:cs="Arial"/>
        </w:rPr>
        <w:t xml:space="preserve">.  </w:t>
      </w:r>
      <w:r w:rsidR="00330BF9" w:rsidRPr="007F700D">
        <w:rPr>
          <w:rFonts w:cs="Arial"/>
        </w:rPr>
        <w:t>Enough has been said about the first area of concern</w:t>
      </w:r>
      <w:r w:rsidR="00790C67" w:rsidRPr="007F700D">
        <w:rPr>
          <w:rFonts w:cs="Arial"/>
        </w:rPr>
        <w:t>,</w:t>
      </w:r>
      <w:r w:rsidR="00C138EF" w:rsidRPr="007F700D">
        <w:rPr>
          <w:rFonts w:cs="Arial"/>
        </w:rPr>
        <w:t xml:space="preserve"> </w:t>
      </w:r>
      <w:r w:rsidR="003265CB" w:rsidRPr="007F700D">
        <w:rPr>
          <w:rFonts w:cs="Arial"/>
        </w:rPr>
        <w:t xml:space="preserve">which </w:t>
      </w:r>
      <w:r w:rsidR="00790C67" w:rsidRPr="007F700D">
        <w:rPr>
          <w:rFonts w:cs="Arial"/>
        </w:rPr>
        <w:t xml:space="preserve">is adequately highlighted by the </w:t>
      </w:r>
      <w:r w:rsidR="00465A28" w:rsidRPr="007F700D">
        <w:rPr>
          <w:rFonts w:cs="Arial"/>
        </w:rPr>
        <w:t xml:space="preserve">delineation </w:t>
      </w:r>
      <w:r w:rsidR="00925B6F" w:rsidRPr="007F700D">
        <w:rPr>
          <w:rFonts w:cs="Arial"/>
        </w:rPr>
        <w:t xml:space="preserve">made in </w:t>
      </w:r>
      <w:r w:rsidR="00925B6F" w:rsidRPr="007F700D">
        <w:rPr>
          <w:rFonts w:cs="Arial"/>
          <w:b/>
          <w:bCs/>
          <w:i/>
          <w:iCs/>
        </w:rPr>
        <w:t>Thompson</w:t>
      </w:r>
      <w:r w:rsidR="00925B6F" w:rsidRPr="00CE1C6F">
        <w:rPr>
          <w:rStyle w:val="FootnoteReference"/>
          <w:rFonts w:cs="Arial"/>
        </w:rPr>
        <w:footnoteReference w:id="114"/>
      </w:r>
      <w:r w:rsidR="00925B6F" w:rsidRPr="007F700D">
        <w:rPr>
          <w:rFonts w:cs="Arial"/>
        </w:rPr>
        <w:t xml:space="preserve"> </w:t>
      </w:r>
      <w:r w:rsidR="00465A28" w:rsidRPr="007F700D">
        <w:rPr>
          <w:rFonts w:cs="Arial"/>
        </w:rPr>
        <w:t xml:space="preserve">between the requirements </w:t>
      </w:r>
      <w:r w:rsidR="00502D45" w:rsidRPr="007F700D">
        <w:rPr>
          <w:rFonts w:cs="Arial"/>
        </w:rPr>
        <w:t xml:space="preserve">or elements </w:t>
      </w:r>
      <w:r w:rsidR="00465A28" w:rsidRPr="007F700D">
        <w:rPr>
          <w:rFonts w:cs="Arial"/>
        </w:rPr>
        <w:t xml:space="preserve">of a </w:t>
      </w:r>
      <w:r w:rsidR="00465A28" w:rsidRPr="007F700D">
        <w:rPr>
          <w:rFonts w:cs="Arial"/>
          <w:i/>
          <w:iCs/>
        </w:rPr>
        <w:t>wrongful</w:t>
      </w:r>
      <w:r w:rsidR="00465A28" w:rsidRPr="007F700D">
        <w:rPr>
          <w:rFonts w:cs="Arial"/>
        </w:rPr>
        <w:t xml:space="preserve"> arrest and one that is effected </w:t>
      </w:r>
      <w:r w:rsidR="00465A28" w:rsidRPr="007F700D">
        <w:rPr>
          <w:rFonts w:cs="Arial"/>
          <w:i/>
          <w:iCs/>
        </w:rPr>
        <w:t>maliciously</w:t>
      </w:r>
      <w:r w:rsidR="00925B6F" w:rsidRPr="007F700D">
        <w:rPr>
          <w:rFonts w:cs="Arial"/>
        </w:rPr>
        <w:t>.</w:t>
      </w:r>
      <w:r w:rsidR="008D6DA0" w:rsidRPr="007F700D">
        <w:rPr>
          <w:rFonts w:cs="Arial"/>
        </w:rPr>
        <w:t xml:space="preserve">  </w:t>
      </w:r>
      <w:r w:rsidR="009B1AD3" w:rsidRPr="007F700D">
        <w:rPr>
          <w:rFonts w:cs="Arial"/>
        </w:rPr>
        <w:t xml:space="preserve">As </w:t>
      </w:r>
      <w:r w:rsidR="001E7DE0" w:rsidRPr="007F700D">
        <w:rPr>
          <w:rFonts w:cs="Arial"/>
        </w:rPr>
        <w:t>far as</w:t>
      </w:r>
      <w:r w:rsidR="0051520D" w:rsidRPr="007F700D">
        <w:rPr>
          <w:rFonts w:cs="Arial"/>
        </w:rPr>
        <w:t xml:space="preserve"> the impact of</w:t>
      </w:r>
      <w:r w:rsidR="001E7DE0" w:rsidRPr="007F700D">
        <w:rPr>
          <w:rFonts w:cs="Arial"/>
        </w:rPr>
        <w:t xml:space="preserve"> </w:t>
      </w:r>
      <w:r w:rsidR="001E7DE0" w:rsidRPr="007F700D">
        <w:rPr>
          <w:rFonts w:cs="Arial"/>
          <w:b/>
          <w:bCs/>
          <w:i/>
          <w:iCs/>
        </w:rPr>
        <w:t>Unil</w:t>
      </w:r>
      <w:r w:rsidR="003434E0" w:rsidRPr="007F700D">
        <w:rPr>
          <w:rFonts w:cs="Arial"/>
          <w:b/>
          <w:bCs/>
          <w:i/>
          <w:iCs/>
        </w:rPr>
        <w:t>ever</w:t>
      </w:r>
      <w:r w:rsidR="003434E0" w:rsidRPr="007F700D">
        <w:rPr>
          <w:rFonts w:cs="Arial"/>
        </w:rPr>
        <w:t xml:space="preserve"> is concerned</w:t>
      </w:r>
      <w:r w:rsidR="0051520D" w:rsidRPr="007F700D">
        <w:rPr>
          <w:rFonts w:cs="Arial"/>
        </w:rPr>
        <w:t xml:space="preserve">, </w:t>
      </w:r>
      <w:r w:rsidR="002C50C7" w:rsidRPr="007F700D">
        <w:rPr>
          <w:rFonts w:cs="Arial"/>
        </w:rPr>
        <w:t xml:space="preserve">I have difficulty in </w:t>
      </w:r>
      <w:r w:rsidR="004F3319" w:rsidRPr="007F700D">
        <w:rPr>
          <w:rFonts w:cs="Arial"/>
        </w:rPr>
        <w:t xml:space="preserve">conceiving </w:t>
      </w:r>
      <w:r w:rsidR="0090597B" w:rsidRPr="007F700D">
        <w:rPr>
          <w:rFonts w:cs="Arial"/>
        </w:rPr>
        <w:t xml:space="preserve">how the judgment </w:t>
      </w:r>
      <w:r w:rsidR="00BF6E3C" w:rsidRPr="007F700D">
        <w:rPr>
          <w:rFonts w:cs="Arial"/>
        </w:rPr>
        <w:t>therein</w:t>
      </w:r>
      <w:r w:rsidR="00201B1A">
        <w:rPr>
          <w:rStyle w:val="FootnoteReference"/>
          <w:rFonts w:cs="Arial"/>
        </w:rPr>
        <w:footnoteReference w:id="115"/>
      </w:r>
      <w:r w:rsidR="00BF6E3C" w:rsidRPr="007F700D">
        <w:rPr>
          <w:rFonts w:cs="Arial"/>
        </w:rPr>
        <w:t xml:space="preserve"> </w:t>
      </w:r>
      <w:r w:rsidR="007D2C5D" w:rsidRPr="007F700D">
        <w:rPr>
          <w:rFonts w:cs="Arial"/>
        </w:rPr>
        <w:t xml:space="preserve">can </w:t>
      </w:r>
      <w:r w:rsidR="00D60ADA" w:rsidRPr="007F700D">
        <w:rPr>
          <w:rFonts w:cs="Arial"/>
        </w:rPr>
        <w:t xml:space="preserve">ever </w:t>
      </w:r>
      <w:r w:rsidR="007D2C5D" w:rsidRPr="007F700D">
        <w:rPr>
          <w:rFonts w:cs="Arial"/>
        </w:rPr>
        <w:t xml:space="preserve">be interpreted as authority for the </w:t>
      </w:r>
      <w:r w:rsidR="00B538A3" w:rsidRPr="007F700D">
        <w:rPr>
          <w:rFonts w:cs="Arial"/>
        </w:rPr>
        <w:t xml:space="preserve">proposition </w:t>
      </w:r>
      <w:r w:rsidR="00DA5771" w:rsidRPr="007F700D">
        <w:rPr>
          <w:rFonts w:cs="Arial"/>
        </w:rPr>
        <w:t xml:space="preserve">that </w:t>
      </w:r>
      <w:r w:rsidR="00C44D42" w:rsidRPr="007F700D">
        <w:rPr>
          <w:rFonts w:cs="Arial"/>
        </w:rPr>
        <w:t xml:space="preserve">the requirements or elements of a </w:t>
      </w:r>
      <w:r w:rsidR="00C44D42" w:rsidRPr="007F700D">
        <w:rPr>
          <w:rFonts w:cs="Arial"/>
          <w:i/>
          <w:iCs/>
        </w:rPr>
        <w:t>wrongful</w:t>
      </w:r>
      <w:r w:rsidR="00C44D42" w:rsidRPr="007F700D">
        <w:rPr>
          <w:rFonts w:cs="Arial"/>
        </w:rPr>
        <w:t xml:space="preserve"> arrest and one that is effected </w:t>
      </w:r>
      <w:r w:rsidR="00C44D42" w:rsidRPr="007F700D">
        <w:rPr>
          <w:rFonts w:cs="Arial"/>
          <w:i/>
          <w:iCs/>
        </w:rPr>
        <w:t>maliciously</w:t>
      </w:r>
      <w:r w:rsidR="00C44D42" w:rsidRPr="007F700D">
        <w:rPr>
          <w:rFonts w:cs="Arial"/>
        </w:rPr>
        <w:t xml:space="preserve"> are the </w:t>
      </w:r>
      <w:r w:rsidR="00223720" w:rsidRPr="007F700D">
        <w:rPr>
          <w:rFonts w:cs="Arial"/>
        </w:rPr>
        <w:t xml:space="preserve">literally </w:t>
      </w:r>
      <w:r w:rsidR="00C44D42" w:rsidRPr="007F700D">
        <w:rPr>
          <w:rFonts w:cs="Arial"/>
        </w:rPr>
        <w:t>same</w:t>
      </w:r>
      <w:r w:rsidR="004F2E57" w:rsidRPr="007F700D">
        <w:rPr>
          <w:rFonts w:cs="Arial"/>
        </w:rPr>
        <w:t>,</w:t>
      </w:r>
      <w:r w:rsidR="00C44D42" w:rsidRPr="007F700D">
        <w:rPr>
          <w:rFonts w:cs="Arial"/>
        </w:rPr>
        <w:t xml:space="preserve"> or </w:t>
      </w:r>
      <w:r w:rsidR="004F2E57" w:rsidRPr="007F700D">
        <w:rPr>
          <w:rFonts w:cs="Arial"/>
        </w:rPr>
        <w:t xml:space="preserve">somehow </w:t>
      </w:r>
      <w:r w:rsidR="006D6C46" w:rsidRPr="007F700D">
        <w:rPr>
          <w:rFonts w:cs="Arial"/>
        </w:rPr>
        <w:t xml:space="preserve">analogously </w:t>
      </w:r>
      <w:r w:rsidR="00C44D42" w:rsidRPr="007F700D">
        <w:rPr>
          <w:rFonts w:cs="Arial"/>
        </w:rPr>
        <w:t>equi</w:t>
      </w:r>
      <w:r w:rsidR="004C614F" w:rsidRPr="007F700D">
        <w:rPr>
          <w:rFonts w:cs="Arial"/>
        </w:rPr>
        <w:t xml:space="preserve">valent, which is </w:t>
      </w:r>
      <w:r w:rsidR="00792C66" w:rsidRPr="007F700D">
        <w:rPr>
          <w:rFonts w:cs="Arial"/>
        </w:rPr>
        <w:t xml:space="preserve">the </w:t>
      </w:r>
      <w:r w:rsidR="004F2E57" w:rsidRPr="007F700D">
        <w:rPr>
          <w:rFonts w:cs="Arial"/>
        </w:rPr>
        <w:t xml:space="preserve">precise </w:t>
      </w:r>
      <w:r w:rsidR="004C614F" w:rsidRPr="007F700D">
        <w:rPr>
          <w:rFonts w:cs="Arial"/>
        </w:rPr>
        <w:t xml:space="preserve">effect </w:t>
      </w:r>
      <w:r w:rsidR="00D51B56" w:rsidRPr="007F700D">
        <w:rPr>
          <w:rFonts w:cs="Arial"/>
        </w:rPr>
        <w:t>achieved</w:t>
      </w:r>
      <w:r w:rsidR="00FD4CF1" w:rsidRPr="007F700D">
        <w:rPr>
          <w:rFonts w:cs="Arial"/>
        </w:rPr>
        <w:t>, or sought to be achieved</w:t>
      </w:r>
      <w:r w:rsidR="0043533A" w:rsidRPr="007F700D">
        <w:rPr>
          <w:rFonts w:cs="Arial"/>
        </w:rPr>
        <w:t>,</w:t>
      </w:r>
      <w:r w:rsidR="00D51B56" w:rsidRPr="007F700D">
        <w:rPr>
          <w:rFonts w:cs="Arial"/>
        </w:rPr>
        <w:t xml:space="preserve"> by</w:t>
      </w:r>
      <w:r w:rsidR="00E97C48" w:rsidRPr="007F700D">
        <w:rPr>
          <w:rFonts w:cs="Arial"/>
        </w:rPr>
        <w:t xml:space="preserve"> the </w:t>
      </w:r>
      <w:r w:rsidR="004F2E57" w:rsidRPr="007F700D">
        <w:rPr>
          <w:rFonts w:cs="Arial"/>
        </w:rPr>
        <w:t xml:space="preserve">final </w:t>
      </w:r>
      <w:r w:rsidR="00E97C48" w:rsidRPr="007F700D">
        <w:rPr>
          <w:rFonts w:cs="Arial"/>
        </w:rPr>
        <w:t xml:space="preserve">finding </w:t>
      </w:r>
      <w:r w:rsidR="004F2E57" w:rsidRPr="007F700D">
        <w:rPr>
          <w:rFonts w:cs="Arial"/>
        </w:rPr>
        <w:t>made in</w:t>
      </w:r>
      <w:r w:rsidR="00E650C4" w:rsidRPr="007F700D">
        <w:rPr>
          <w:rFonts w:cs="Arial"/>
        </w:rPr>
        <w:t xml:space="preserve"> </w:t>
      </w:r>
      <w:proofErr w:type="spellStart"/>
      <w:r w:rsidR="001906A1" w:rsidRPr="007F700D">
        <w:rPr>
          <w:rFonts w:cs="Arial"/>
          <w:b/>
          <w:bCs/>
          <w:i/>
          <w:iCs/>
        </w:rPr>
        <w:t>Makhwelo</w:t>
      </w:r>
      <w:proofErr w:type="spellEnd"/>
      <w:r w:rsidR="001D40D0" w:rsidRPr="007F700D">
        <w:rPr>
          <w:rFonts w:cs="Arial"/>
        </w:rPr>
        <w:t>.</w:t>
      </w:r>
      <w:r w:rsidR="001936D1">
        <w:rPr>
          <w:rStyle w:val="FootnoteReference"/>
          <w:rFonts w:cs="Arial"/>
        </w:rPr>
        <w:footnoteReference w:id="116"/>
      </w:r>
      <w:r w:rsidR="004428A9" w:rsidRPr="007F700D">
        <w:rPr>
          <w:rFonts w:cs="Arial"/>
        </w:rPr>
        <w:t xml:space="preserve">  In any event, </w:t>
      </w:r>
      <w:r w:rsidR="00A75EA6" w:rsidRPr="007F700D">
        <w:rPr>
          <w:rFonts w:cs="Arial"/>
        </w:rPr>
        <w:t>the SCA</w:t>
      </w:r>
      <w:r w:rsidR="00977532" w:rsidRPr="007F700D">
        <w:rPr>
          <w:rFonts w:cs="Arial"/>
        </w:rPr>
        <w:t xml:space="preserve">’s judgment makes clear that the court </w:t>
      </w:r>
      <w:r w:rsidR="000B7579" w:rsidRPr="007F700D">
        <w:rPr>
          <w:rFonts w:cs="Arial"/>
        </w:rPr>
        <w:t xml:space="preserve">had </w:t>
      </w:r>
      <w:r w:rsidR="00977532" w:rsidRPr="007F700D">
        <w:rPr>
          <w:rFonts w:cs="Arial"/>
        </w:rPr>
        <w:t>merely assumed</w:t>
      </w:r>
      <w:r w:rsidR="0027336B" w:rsidRPr="007F700D">
        <w:rPr>
          <w:rFonts w:cs="Arial"/>
        </w:rPr>
        <w:t>, without deciding</w:t>
      </w:r>
      <w:r w:rsidR="000B7579" w:rsidRPr="007F700D">
        <w:rPr>
          <w:rFonts w:cs="Arial"/>
        </w:rPr>
        <w:t>,</w:t>
      </w:r>
      <w:r w:rsidR="00977532" w:rsidRPr="007F700D">
        <w:rPr>
          <w:rFonts w:cs="Arial"/>
        </w:rPr>
        <w:t xml:space="preserve"> </w:t>
      </w:r>
      <w:r w:rsidR="0027336B" w:rsidRPr="007F700D">
        <w:rPr>
          <w:rFonts w:cs="Arial"/>
        </w:rPr>
        <w:t>that the second plaintiff</w:t>
      </w:r>
      <w:r w:rsidR="0005009F" w:rsidRPr="007F700D">
        <w:rPr>
          <w:rFonts w:cs="Arial"/>
        </w:rPr>
        <w:t xml:space="preserve"> in that case</w:t>
      </w:r>
      <w:r w:rsidR="0027336B" w:rsidRPr="007F700D">
        <w:rPr>
          <w:rFonts w:cs="Arial"/>
        </w:rPr>
        <w:t xml:space="preserve"> had available to it a cause of action </w:t>
      </w:r>
      <w:r w:rsidR="000B7579" w:rsidRPr="007F700D">
        <w:rPr>
          <w:rFonts w:cs="Arial"/>
        </w:rPr>
        <w:t>‘</w:t>
      </w:r>
      <w:r w:rsidR="0027336B" w:rsidRPr="007F700D">
        <w:rPr>
          <w:rFonts w:cs="Arial"/>
          <w:i/>
          <w:iCs/>
        </w:rPr>
        <w:t>based on the abuse of legal proceedings</w:t>
      </w:r>
      <w:r w:rsidR="000B7579" w:rsidRPr="007F700D">
        <w:rPr>
          <w:rFonts w:cs="Arial"/>
        </w:rPr>
        <w:t>’</w:t>
      </w:r>
      <w:r w:rsidR="00C3473C" w:rsidRPr="007F700D">
        <w:rPr>
          <w:rFonts w:cs="Arial"/>
        </w:rPr>
        <w:t>,</w:t>
      </w:r>
      <w:r w:rsidR="000D4461" w:rsidRPr="007F700D">
        <w:rPr>
          <w:rFonts w:cs="Arial"/>
        </w:rPr>
        <w:t xml:space="preserve"> akin to a cause of action for </w:t>
      </w:r>
      <w:r w:rsidR="009918B2" w:rsidRPr="007F700D">
        <w:rPr>
          <w:rFonts w:cs="Arial"/>
        </w:rPr>
        <w:t>malicious prosecution</w:t>
      </w:r>
      <w:r w:rsidR="00C3473C" w:rsidRPr="00C3473C">
        <w:t xml:space="preserve"> </w:t>
      </w:r>
      <w:r w:rsidR="00C3473C">
        <w:t xml:space="preserve">where </w:t>
      </w:r>
      <w:r w:rsidR="00C3473C" w:rsidRPr="007F700D">
        <w:rPr>
          <w:rFonts w:cs="Arial"/>
        </w:rPr>
        <w:t xml:space="preserve">the </w:t>
      </w:r>
      <w:r w:rsidR="00C3473C" w:rsidRPr="007F700D">
        <w:rPr>
          <w:rFonts w:cs="Arial"/>
          <w:i/>
          <w:iCs/>
        </w:rPr>
        <w:t>'termination in favour of the plaintiff</w:t>
      </w:r>
      <w:r w:rsidR="00C3473C" w:rsidRPr="007F700D">
        <w:rPr>
          <w:rFonts w:cs="Arial"/>
        </w:rPr>
        <w:t xml:space="preserve">' principle </w:t>
      </w:r>
      <w:r w:rsidR="001F1FFC" w:rsidRPr="007F700D">
        <w:rPr>
          <w:rFonts w:cs="Arial"/>
        </w:rPr>
        <w:t xml:space="preserve">would </w:t>
      </w:r>
      <w:r w:rsidR="00C3473C" w:rsidRPr="007F700D">
        <w:rPr>
          <w:rFonts w:cs="Arial"/>
        </w:rPr>
        <w:t>find application</w:t>
      </w:r>
      <w:r w:rsidR="009918B2" w:rsidRPr="007F700D">
        <w:rPr>
          <w:rFonts w:cs="Arial"/>
        </w:rPr>
        <w:t>.</w:t>
      </w:r>
      <w:r w:rsidR="009918B2">
        <w:rPr>
          <w:rStyle w:val="FootnoteReference"/>
          <w:rFonts w:cs="Arial"/>
        </w:rPr>
        <w:footnoteReference w:id="117"/>
      </w:r>
      <w:r w:rsidR="009918B2" w:rsidRPr="007F700D">
        <w:rPr>
          <w:rFonts w:cs="Arial"/>
        </w:rPr>
        <w:t xml:space="preserve">  </w:t>
      </w:r>
    </w:p>
    <w:p w14:paraId="70480887" w14:textId="2FF842E7" w:rsidR="00B536B6" w:rsidRPr="007F700D" w:rsidRDefault="007F700D" w:rsidP="007F700D">
      <w:pPr>
        <w:spacing w:before="360" w:after="120" w:line="480" w:lineRule="auto"/>
        <w:ind w:left="709" w:hanging="720"/>
        <w:rPr>
          <w:rFonts w:cs="Arial"/>
        </w:rPr>
      </w:pPr>
      <w:r>
        <w:rPr>
          <w:rFonts w:cs="Arial"/>
        </w:rPr>
        <w:lastRenderedPageBreak/>
        <w:t>[55]</w:t>
      </w:r>
      <w:r>
        <w:rPr>
          <w:rFonts w:cs="Arial"/>
        </w:rPr>
        <w:tab/>
      </w:r>
      <w:r w:rsidR="00F363F8" w:rsidRPr="007F700D">
        <w:rPr>
          <w:rFonts w:cs="Arial"/>
        </w:rPr>
        <w:t xml:space="preserve">Two </w:t>
      </w:r>
      <w:r w:rsidR="00E85AE8" w:rsidRPr="007F700D">
        <w:rPr>
          <w:rFonts w:cs="Arial"/>
        </w:rPr>
        <w:t xml:space="preserve">further cases </w:t>
      </w:r>
      <w:r w:rsidR="00436E33" w:rsidRPr="007F700D">
        <w:rPr>
          <w:rFonts w:cs="Arial"/>
        </w:rPr>
        <w:t xml:space="preserve">need to be </w:t>
      </w:r>
      <w:r w:rsidR="00E85AE8" w:rsidRPr="007F700D">
        <w:rPr>
          <w:rFonts w:cs="Arial"/>
        </w:rPr>
        <w:t>men</w:t>
      </w:r>
      <w:r w:rsidR="00354A4D" w:rsidRPr="007F700D">
        <w:rPr>
          <w:rFonts w:cs="Arial"/>
        </w:rPr>
        <w:t>tioned</w:t>
      </w:r>
      <w:r w:rsidR="008718AA" w:rsidRPr="007F700D">
        <w:rPr>
          <w:rFonts w:cs="Arial"/>
        </w:rPr>
        <w:t>.  T</w:t>
      </w:r>
      <w:r w:rsidR="00AF4367" w:rsidRPr="007F700D">
        <w:rPr>
          <w:rFonts w:cs="Arial"/>
        </w:rPr>
        <w:t xml:space="preserve">hey serve to </w:t>
      </w:r>
      <w:r w:rsidR="007773BC" w:rsidRPr="007F700D">
        <w:rPr>
          <w:rFonts w:cs="Arial"/>
        </w:rPr>
        <w:t xml:space="preserve">illustrate </w:t>
      </w:r>
      <w:r w:rsidR="007D711E" w:rsidRPr="007F700D">
        <w:rPr>
          <w:rFonts w:cs="Arial"/>
        </w:rPr>
        <w:t xml:space="preserve">why it is necessary to </w:t>
      </w:r>
      <w:r w:rsidR="00AF4367" w:rsidRPr="007F700D">
        <w:rPr>
          <w:rFonts w:cs="Arial"/>
        </w:rPr>
        <w:t xml:space="preserve">distinguish between </w:t>
      </w:r>
      <w:r w:rsidR="00265720" w:rsidRPr="007F700D">
        <w:rPr>
          <w:rFonts w:cs="Arial"/>
        </w:rPr>
        <w:t xml:space="preserve">an </w:t>
      </w:r>
      <w:r w:rsidR="00265720" w:rsidRPr="007F700D">
        <w:rPr>
          <w:rFonts w:cs="Arial"/>
          <w:i/>
          <w:iCs/>
        </w:rPr>
        <w:t>unlawful</w:t>
      </w:r>
      <w:r w:rsidR="00265720" w:rsidRPr="007F700D">
        <w:rPr>
          <w:rFonts w:cs="Arial"/>
        </w:rPr>
        <w:t xml:space="preserve"> arrest and detention and </w:t>
      </w:r>
      <w:r w:rsidR="00BD4676" w:rsidRPr="007F700D">
        <w:rPr>
          <w:rFonts w:cs="Arial"/>
        </w:rPr>
        <w:t xml:space="preserve">a </w:t>
      </w:r>
      <w:r w:rsidR="00BD4676" w:rsidRPr="007F700D">
        <w:rPr>
          <w:rFonts w:cs="Arial"/>
          <w:i/>
          <w:iCs/>
        </w:rPr>
        <w:t>malicious</w:t>
      </w:r>
      <w:r w:rsidR="00BD4676" w:rsidRPr="007F700D">
        <w:rPr>
          <w:rFonts w:cs="Arial"/>
        </w:rPr>
        <w:t xml:space="preserve"> arrest and detention</w:t>
      </w:r>
      <w:r w:rsidR="007B12B7" w:rsidRPr="007F700D">
        <w:rPr>
          <w:rFonts w:cs="Arial"/>
        </w:rPr>
        <w:t>.</w:t>
      </w:r>
      <w:r w:rsidR="00BD4676" w:rsidRPr="007F700D">
        <w:rPr>
          <w:rFonts w:cs="Arial"/>
        </w:rPr>
        <w:t xml:space="preserve"> </w:t>
      </w:r>
      <w:r w:rsidR="007B12B7" w:rsidRPr="007F700D">
        <w:rPr>
          <w:rFonts w:cs="Arial"/>
        </w:rPr>
        <w:t xml:space="preserve"> The first </w:t>
      </w:r>
      <w:r w:rsidR="004E44E9" w:rsidRPr="007F700D">
        <w:rPr>
          <w:rFonts w:cs="Arial"/>
        </w:rPr>
        <w:t xml:space="preserve">case </w:t>
      </w:r>
      <w:r w:rsidR="007B12B7" w:rsidRPr="007F700D">
        <w:rPr>
          <w:rFonts w:cs="Arial"/>
        </w:rPr>
        <w:t xml:space="preserve">is </w:t>
      </w:r>
      <w:r w:rsidR="00F9680D" w:rsidRPr="007F700D">
        <w:rPr>
          <w:rFonts w:cs="Arial"/>
          <w:b/>
          <w:bCs/>
          <w:i/>
          <w:iCs/>
        </w:rPr>
        <w:t xml:space="preserve">Minister of Police and Another v </w:t>
      </w:r>
      <w:proofErr w:type="spellStart"/>
      <w:r w:rsidR="00F9680D" w:rsidRPr="007F700D">
        <w:rPr>
          <w:rFonts w:cs="Arial"/>
          <w:b/>
          <w:bCs/>
          <w:i/>
          <w:iCs/>
        </w:rPr>
        <w:t>Yekiso</w:t>
      </w:r>
      <w:proofErr w:type="spellEnd"/>
      <w:r w:rsidR="00930330">
        <w:rPr>
          <w:rStyle w:val="FootnoteReference"/>
          <w:rFonts w:cs="Arial"/>
        </w:rPr>
        <w:footnoteReference w:id="118"/>
      </w:r>
      <w:r w:rsidR="00930330" w:rsidRPr="007F700D">
        <w:rPr>
          <w:rFonts w:cs="Arial"/>
        </w:rPr>
        <w:t xml:space="preserve"> </w:t>
      </w:r>
      <w:r w:rsidR="00670C3A" w:rsidRPr="007F700D">
        <w:rPr>
          <w:rFonts w:cs="Arial"/>
        </w:rPr>
        <w:t xml:space="preserve">and the second case is </w:t>
      </w:r>
      <w:proofErr w:type="spellStart"/>
      <w:r w:rsidR="00670C3A" w:rsidRPr="007F700D">
        <w:rPr>
          <w:rFonts w:cs="Arial"/>
          <w:b/>
          <w:bCs/>
          <w:i/>
          <w:iCs/>
        </w:rPr>
        <w:t>Lombo</w:t>
      </w:r>
      <w:proofErr w:type="spellEnd"/>
      <w:r w:rsidR="00670C3A" w:rsidRPr="007F700D">
        <w:rPr>
          <w:rFonts w:cs="Arial"/>
          <w:b/>
          <w:bCs/>
          <w:i/>
          <w:iCs/>
        </w:rPr>
        <w:t xml:space="preserve"> v African National Congress</w:t>
      </w:r>
      <w:r w:rsidR="00670C3A" w:rsidRPr="007F700D">
        <w:rPr>
          <w:rFonts w:cs="Arial"/>
        </w:rPr>
        <w:t>.</w:t>
      </w:r>
      <w:r w:rsidR="00670C3A">
        <w:rPr>
          <w:rStyle w:val="FootnoteReference"/>
          <w:rFonts w:cs="Arial"/>
        </w:rPr>
        <w:footnoteReference w:id="119"/>
      </w:r>
      <w:r w:rsidR="00B536B6" w:rsidRPr="007F700D">
        <w:rPr>
          <w:rFonts w:cs="Arial"/>
        </w:rPr>
        <w:t xml:space="preserve">  </w:t>
      </w:r>
    </w:p>
    <w:p w14:paraId="3989548F" w14:textId="1AD408A6" w:rsidR="009A52E0" w:rsidRPr="007F700D" w:rsidRDefault="007F700D" w:rsidP="007F700D">
      <w:pPr>
        <w:spacing w:before="360" w:after="120" w:line="480" w:lineRule="auto"/>
        <w:ind w:left="709" w:hanging="720"/>
        <w:rPr>
          <w:rFonts w:cs="Arial"/>
        </w:rPr>
      </w:pPr>
      <w:r>
        <w:rPr>
          <w:rFonts w:cs="Arial"/>
        </w:rPr>
        <w:t>[56]</w:t>
      </w:r>
      <w:r>
        <w:rPr>
          <w:rFonts w:cs="Arial"/>
        </w:rPr>
        <w:tab/>
      </w:r>
      <w:r w:rsidR="00B536B6" w:rsidRPr="007F700D">
        <w:rPr>
          <w:rFonts w:cs="Arial"/>
        </w:rPr>
        <w:t>I</w:t>
      </w:r>
      <w:r w:rsidR="00CE4254" w:rsidRPr="007F700D">
        <w:rPr>
          <w:rFonts w:cs="Arial"/>
        </w:rPr>
        <w:t xml:space="preserve">n </w:t>
      </w:r>
      <w:proofErr w:type="spellStart"/>
      <w:r w:rsidR="00B536B6" w:rsidRPr="007F700D">
        <w:rPr>
          <w:rFonts w:cs="Arial"/>
          <w:b/>
          <w:bCs/>
          <w:i/>
          <w:iCs/>
        </w:rPr>
        <w:t>Yekiso</w:t>
      </w:r>
      <w:proofErr w:type="spellEnd"/>
      <w:r w:rsidR="00B536B6" w:rsidRPr="007F700D">
        <w:rPr>
          <w:rFonts w:cs="Arial"/>
        </w:rPr>
        <w:t xml:space="preserve"> </w:t>
      </w:r>
      <w:r w:rsidR="00930330" w:rsidRPr="007F700D">
        <w:rPr>
          <w:rFonts w:cs="Arial"/>
        </w:rPr>
        <w:t>a full bench</w:t>
      </w:r>
      <w:r w:rsidR="00B432BD">
        <w:rPr>
          <w:rStyle w:val="FootnoteReference"/>
          <w:rFonts w:cs="Arial"/>
        </w:rPr>
        <w:footnoteReference w:id="120"/>
      </w:r>
      <w:r w:rsidR="00930330" w:rsidRPr="007F700D">
        <w:rPr>
          <w:rFonts w:cs="Arial"/>
        </w:rPr>
        <w:t xml:space="preserve"> of the </w:t>
      </w:r>
      <w:r w:rsidR="009129A6" w:rsidRPr="007F700D">
        <w:rPr>
          <w:rFonts w:cs="Arial"/>
        </w:rPr>
        <w:t>Western Cape High Court</w:t>
      </w:r>
      <w:r w:rsidR="00B432BD" w:rsidRPr="007F700D">
        <w:rPr>
          <w:rFonts w:cs="Arial"/>
        </w:rPr>
        <w:t xml:space="preserve"> </w:t>
      </w:r>
      <w:r w:rsidR="001D26B8" w:rsidRPr="007F700D">
        <w:rPr>
          <w:rFonts w:cs="Arial"/>
        </w:rPr>
        <w:t>(</w:t>
      </w:r>
      <w:r w:rsidR="001D26B8" w:rsidRPr="007F700D">
        <w:rPr>
          <w:rFonts w:cs="Arial"/>
          <w:b/>
          <w:bCs/>
        </w:rPr>
        <w:t>WCC</w:t>
      </w:r>
      <w:r w:rsidR="001D26B8" w:rsidRPr="007F700D">
        <w:rPr>
          <w:rFonts w:cs="Arial"/>
        </w:rPr>
        <w:t xml:space="preserve">) </w:t>
      </w:r>
      <w:r w:rsidR="00B432BD" w:rsidRPr="007F700D">
        <w:rPr>
          <w:rFonts w:cs="Arial"/>
        </w:rPr>
        <w:t>held that</w:t>
      </w:r>
      <w:r w:rsidR="005C2B1C" w:rsidRPr="007F700D">
        <w:rPr>
          <w:rFonts w:cs="Arial"/>
        </w:rPr>
        <w:t xml:space="preserve"> it was necessary to separate the various claims against first appellant (i.e., the Minister of Police </w:t>
      </w:r>
      <w:r w:rsidR="00C6107D" w:rsidRPr="007F700D">
        <w:rPr>
          <w:rFonts w:cs="Arial"/>
        </w:rPr>
        <w:t xml:space="preserve">in that case) </w:t>
      </w:r>
      <w:r w:rsidR="00EC5AF8" w:rsidRPr="007F700D">
        <w:rPr>
          <w:rFonts w:cs="Arial"/>
        </w:rPr>
        <w:t xml:space="preserve">as </w:t>
      </w:r>
      <w:r w:rsidR="005C2B1C" w:rsidRPr="007F700D">
        <w:rPr>
          <w:rFonts w:cs="Arial"/>
        </w:rPr>
        <w:t>the claims based on unlawful arrest and unlawful detention constitute separate causes of action</w:t>
      </w:r>
      <w:r w:rsidR="00253A0C" w:rsidRPr="007F700D">
        <w:rPr>
          <w:rFonts w:cs="Arial"/>
        </w:rPr>
        <w:t>.</w:t>
      </w:r>
      <w:r w:rsidR="00EC5AF8">
        <w:rPr>
          <w:rStyle w:val="FootnoteReference"/>
          <w:rFonts w:cs="Arial"/>
        </w:rPr>
        <w:footnoteReference w:id="121"/>
      </w:r>
      <w:r w:rsidR="00253A0C" w:rsidRPr="007F700D">
        <w:rPr>
          <w:rFonts w:cs="Arial"/>
        </w:rPr>
        <w:t xml:space="preserve">  </w:t>
      </w:r>
      <w:r w:rsidR="009B1246" w:rsidRPr="007F700D">
        <w:rPr>
          <w:rFonts w:cs="Arial"/>
        </w:rPr>
        <w:t xml:space="preserve">The facts in </w:t>
      </w:r>
      <w:proofErr w:type="spellStart"/>
      <w:r w:rsidR="009B1246" w:rsidRPr="007F700D">
        <w:rPr>
          <w:rFonts w:cs="Arial"/>
          <w:b/>
          <w:bCs/>
          <w:i/>
          <w:iCs/>
        </w:rPr>
        <w:t>Yekiso</w:t>
      </w:r>
      <w:proofErr w:type="spellEnd"/>
      <w:r w:rsidR="009B1246" w:rsidRPr="007F700D">
        <w:rPr>
          <w:rFonts w:cs="Arial"/>
        </w:rPr>
        <w:t xml:space="preserve"> </w:t>
      </w:r>
      <w:r w:rsidR="000E066F" w:rsidRPr="007F700D">
        <w:rPr>
          <w:rFonts w:cs="Arial"/>
        </w:rPr>
        <w:t>were briefly that</w:t>
      </w:r>
      <w:r w:rsidR="009A52E0" w:rsidRPr="007F700D">
        <w:rPr>
          <w:rFonts w:cs="Arial"/>
        </w:rPr>
        <w:t>:</w:t>
      </w:r>
      <w:r w:rsidR="00DE32AD" w:rsidRPr="007F700D">
        <w:rPr>
          <w:rFonts w:cs="Arial"/>
        </w:rPr>
        <w:t xml:space="preserve"> </w:t>
      </w:r>
    </w:p>
    <w:p w14:paraId="2DC94B82" w14:textId="60F503E0" w:rsidR="00C910E1" w:rsidRPr="007F700D" w:rsidRDefault="007F700D" w:rsidP="007F700D">
      <w:pPr>
        <w:spacing w:before="360" w:after="120" w:line="480" w:lineRule="auto"/>
        <w:ind w:left="1560" w:hanging="851"/>
        <w:rPr>
          <w:rFonts w:cs="Arial"/>
        </w:rPr>
      </w:pPr>
      <w:r w:rsidRPr="00D1523D">
        <w:rPr>
          <w:rFonts w:cs="Arial"/>
        </w:rPr>
        <w:t>[56.1]</w:t>
      </w:r>
      <w:r w:rsidRPr="00D1523D">
        <w:rPr>
          <w:rFonts w:cs="Arial"/>
        </w:rPr>
        <w:tab/>
      </w:r>
      <w:r w:rsidR="00A56818" w:rsidRPr="007F700D">
        <w:rPr>
          <w:rFonts w:cs="Arial"/>
        </w:rPr>
        <w:t>T</w:t>
      </w:r>
      <w:r w:rsidR="000E066F" w:rsidRPr="007F700D">
        <w:rPr>
          <w:rFonts w:cs="Arial"/>
        </w:rPr>
        <w:t xml:space="preserve">he respondent </w:t>
      </w:r>
      <w:r w:rsidR="00C25CEF" w:rsidRPr="007F700D">
        <w:rPr>
          <w:rFonts w:cs="Arial"/>
        </w:rPr>
        <w:t>(</w:t>
      </w:r>
      <w:r w:rsidR="00C25CEF" w:rsidRPr="007F700D">
        <w:rPr>
          <w:rFonts w:cs="Arial"/>
          <w:b/>
          <w:bCs/>
        </w:rPr>
        <w:t>Y</w:t>
      </w:r>
      <w:r w:rsidR="00C25CEF" w:rsidRPr="007F700D">
        <w:rPr>
          <w:rFonts w:cs="Arial"/>
        </w:rPr>
        <w:t xml:space="preserve">) </w:t>
      </w:r>
      <w:r w:rsidR="000E066F" w:rsidRPr="007F700D">
        <w:rPr>
          <w:rFonts w:cs="Arial"/>
        </w:rPr>
        <w:t>was arrested on 21 February 2006</w:t>
      </w:r>
      <w:r w:rsidR="00763B22" w:rsidRPr="007F700D">
        <w:rPr>
          <w:rFonts w:cs="Arial"/>
        </w:rPr>
        <w:t xml:space="preserve">; </w:t>
      </w:r>
      <w:r w:rsidR="00C25CEF" w:rsidRPr="007F700D">
        <w:rPr>
          <w:rFonts w:cs="Arial"/>
        </w:rPr>
        <w:t xml:space="preserve">Y </w:t>
      </w:r>
      <w:r w:rsidR="000E066F" w:rsidRPr="007F700D">
        <w:rPr>
          <w:rFonts w:cs="Arial"/>
        </w:rPr>
        <w:t>was released from prison on 7 October 2011</w:t>
      </w:r>
      <w:r w:rsidR="00763B22" w:rsidRPr="007F700D">
        <w:rPr>
          <w:rFonts w:cs="Arial"/>
        </w:rPr>
        <w:t xml:space="preserve">; </w:t>
      </w:r>
      <w:r w:rsidR="00C25CEF" w:rsidRPr="007F700D">
        <w:rPr>
          <w:rFonts w:cs="Arial"/>
        </w:rPr>
        <w:t xml:space="preserve">Y’s </w:t>
      </w:r>
      <w:r w:rsidR="00763B22" w:rsidRPr="007F700D">
        <w:rPr>
          <w:rFonts w:cs="Arial"/>
        </w:rPr>
        <w:t>s</w:t>
      </w:r>
      <w:r w:rsidR="000E066F" w:rsidRPr="007F700D">
        <w:rPr>
          <w:rFonts w:cs="Arial"/>
        </w:rPr>
        <w:t xml:space="preserve">ummons was initially served on the first appellant on 4 October 2012 and on the second appellant </w:t>
      </w:r>
      <w:r w:rsidR="00763B22" w:rsidRPr="007F700D">
        <w:rPr>
          <w:rFonts w:cs="Arial"/>
        </w:rPr>
        <w:t xml:space="preserve">(i.e., the NDPP) </w:t>
      </w:r>
      <w:r w:rsidR="000E066F" w:rsidRPr="007F700D">
        <w:rPr>
          <w:rFonts w:cs="Arial"/>
        </w:rPr>
        <w:t>on 12 March 2013</w:t>
      </w:r>
      <w:r w:rsidR="00763B22" w:rsidRPr="007F700D">
        <w:rPr>
          <w:rFonts w:cs="Arial"/>
        </w:rPr>
        <w:t>; t</w:t>
      </w:r>
      <w:r w:rsidR="000E066F" w:rsidRPr="007F700D">
        <w:rPr>
          <w:rFonts w:cs="Arial"/>
        </w:rPr>
        <w:t>h</w:t>
      </w:r>
      <w:r w:rsidR="00763B22" w:rsidRPr="007F700D">
        <w:rPr>
          <w:rFonts w:cs="Arial"/>
        </w:rPr>
        <w:t>e</w:t>
      </w:r>
      <w:r w:rsidR="000E066F" w:rsidRPr="007F700D">
        <w:rPr>
          <w:rFonts w:cs="Arial"/>
        </w:rPr>
        <w:t xml:space="preserve"> </w:t>
      </w:r>
      <w:r w:rsidR="00C25CEF" w:rsidRPr="007F700D">
        <w:rPr>
          <w:rFonts w:cs="Arial"/>
        </w:rPr>
        <w:t xml:space="preserve">latter </w:t>
      </w:r>
      <w:r w:rsidR="000E066F" w:rsidRPr="007F700D">
        <w:rPr>
          <w:rFonts w:cs="Arial"/>
        </w:rPr>
        <w:t>action was withdrawn on 6 January 2014</w:t>
      </w:r>
      <w:r w:rsidR="00C25CEF" w:rsidRPr="007F700D">
        <w:rPr>
          <w:rFonts w:cs="Arial"/>
        </w:rPr>
        <w:t xml:space="preserve">; </w:t>
      </w:r>
      <w:r w:rsidR="00544DBA" w:rsidRPr="007F700D">
        <w:rPr>
          <w:rFonts w:cs="Arial"/>
        </w:rPr>
        <w:t>and</w:t>
      </w:r>
      <w:r w:rsidR="00FB6EE8" w:rsidRPr="007F700D">
        <w:rPr>
          <w:rFonts w:cs="Arial"/>
        </w:rPr>
        <w:t>, finally,</w:t>
      </w:r>
      <w:r w:rsidR="00544DBA" w:rsidRPr="007F700D">
        <w:rPr>
          <w:rFonts w:cs="Arial"/>
        </w:rPr>
        <w:t xml:space="preserve"> </w:t>
      </w:r>
      <w:r w:rsidR="00391508" w:rsidRPr="007F700D">
        <w:rPr>
          <w:rFonts w:cs="Arial"/>
        </w:rPr>
        <w:t>a new</w:t>
      </w:r>
      <w:r w:rsidR="000E066F" w:rsidRPr="007F700D">
        <w:rPr>
          <w:rFonts w:cs="Arial"/>
        </w:rPr>
        <w:t xml:space="preserve"> action </w:t>
      </w:r>
      <w:r w:rsidR="00391508" w:rsidRPr="007F700D">
        <w:rPr>
          <w:rFonts w:cs="Arial"/>
        </w:rPr>
        <w:t xml:space="preserve">was instituted </w:t>
      </w:r>
      <w:r w:rsidR="00C25CEF" w:rsidRPr="007F700D">
        <w:rPr>
          <w:rFonts w:cs="Arial"/>
        </w:rPr>
        <w:t xml:space="preserve">with the </w:t>
      </w:r>
      <w:r w:rsidR="000E066F" w:rsidRPr="007F700D">
        <w:rPr>
          <w:rFonts w:cs="Arial"/>
        </w:rPr>
        <w:t xml:space="preserve">summons </w:t>
      </w:r>
      <w:r w:rsidR="00FB6EE8" w:rsidRPr="007F700D">
        <w:rPr>
          <w:rFonts w:cs="Arial"/>
        </w:rPr>
        <w:t xml:space="preserve">therein </w:t>
      </w:r>
      <w:r w:rsidR="00C25CEF" w:rsidRPr="007F700D">
        <w:rPr>
          <w:rFonts w:cs="Arial"/>
        </w:rPr>
        <w:t xml:space="preserve">being </w:t>
      </w:r>
      <w:r w:rsidR="000E066F" w:rsidRPr="007F700D">
        <w:rPr>
          <w:rFonts w:cs="Arial"/>
        </w:rPr>
        <w:t>served on first appellant on 21 July 2014 and on second appellant on 1 September 2014</w:t>
      </w:r>
      <w:r w:rsidR="00C25CEF" w:rsidRPr="007F700D">
        <w:rPr>
          <w:rFonts w:cs="Arial"/>
        </w:rPr>
        <w:t>.</w:t>
      </w:r>
      <w:r w:rsidR="00C25CEF">
        <w:rPr>
          <w:rStyle w:val="FootnoteReference"/>
          <w:rFonts w:cs="Arial"/>
        </w:rPr>
        <w:footnoteReference w:id="122"/>
      </w:r>
    </w:p>
    <w:p w14:paraId="3CB03A4D" w14:textId="6F922524" w:rsidR="001B4446" w:rsidRPr="007F700D" w:rsidRDefault="007F700D" w:rsidP="007F700D">
      <w:pPr>
        <w:spacing w:before="360" w:after="120" w:line="480" w:lineRule="auto"/>
        <w:ind w:left="1560" w:hanging="851"/>
        <w:rPr>
          <w:rFonts w:cs="Arial"/>
        </w:rPr>
      </w:pPr>
      <w:r>
        <w:rPr>
          <w:rFonts w:cs="Arial"/>
        </w:rPr>
        <w:t>[56.2]</w:t>
      </w:r>
      <w:r>
        <w:rPr>
          <w:rFonts w:cs="Arial"/>
        </w:rPr>
        <w:tab/>
      </w:r>
      <w:r w:rsidR="005F2416" w:rsidRPr="007F700D">
        <w:rPr>
          <w:rFonts w:cs="Arial"/>
        </w:rPr>
        <w:t>T</w:t>
      </w:r>
      <w:r w:rsidR="005145A0" w:rsidRPr="007F700D">
        <w:rPr>
          <w:rFonts w:cs="Arial"/>
        </w:rPr>
        <w:t xml:space="preserve">he court </w:t>
      </w:r>
      <w:r w:rsidR="005145A0" w:rsidRPr="007F700D">
        <w:rPr>
          <w:rFonts w:cs="Arial"/>
          <w:i/>
          <w:iCs/>
        </w:rPr>
        <w:t>a quo</w:t>
      </w:r>
      <w:r w:rsidR="000C6F45" w:rsidRPr="007F700D">
        <w:rPr>
          <w:rFonts w:cs="Arial"/>
        </w:rPr>
        <w:t xml:space="preserve"> </w:t>
      </w:r>
      <w:r w:rsidR="001F3087" w:rsidRPr="007F700D">
        <w:rPr>
          <w:rFonts w:cs="Arial"/>
        </w:rPr>
        <w:t xml:space="preserve">upheld </w:t>
      </w:r>
      <w:r w:rsidR="008B16CA" w:rsidRPr="007F700D">
        <w:rPr>
          <w:rFonts w:cs="Arial"/>
        </w:rPr>
        <w:t>Y</w:t>
      </w:r>
      <w:r w:rsidR="00BD0DC6" w:rsidRPr="007F700D">
        <w:rPr>
          <w:rFonts w:cs="Arial"/>
        </w:rPr>
        <w:t>’s application for condonation in terms of s 3(4) of the ILPA</w:t>
      </w:r>
      <w:r w:rsidR="00AB1819" w:rsidRPr="007F700D">
        <w:rPr>
          <w:rFonts w:cs="Arial"/>
        </w:rPr>
        <w:t xml:space="preserve">.  In doing so </w:t>
      </w:r>
      <w:r w:rsidR="005159CB" w:rsidRPr="007F700D">
        <w:rPr>
          <w:rFonts w:cs="Arial"/>
        </w:rPr>
        <w:t xml:space="preserve">the court </w:t>
      </w:r>
      <w:r w:rsidR="005159CB" w:rsidRPr="007F700D">
        <w:rPr>
          <w:rFonts w:cs="Arial"/>
          <w:i/>
          <w:iCs/>
        </w:rPr>
        <w:t>a quo</w:t>
      </w:r>
      <w:r w:rsidR="00AB1819" w:rsidRPr="007F700D">
        <w:rPr>
          <w:rFonts w:cs="Arial"/>
        </w:rPr>
        <w:t xml:space="preserve"> held </w:t>
      </w:r>
      <w:r w:rsidR="00B7326E" w:rsidRPr="007F700D">
        <w:rPr>
          <w:rFonts w:cs="Arial"/>
        </w:rPr>
        <w:t xml:space="preserve">that </w:t>
      </w:r>
      <w:r w:rsidR="00AB1819" w:rsidRPr="007F700D">
        <w:rPr>
          <w:rFonts w:cs="Arial"/>
        </w:rPr>
        <w:t>Y’s</w:t>
      </w:r>
      <w:r w:rsidR="00B7326E" w:rsidRPr="007F700D">
        <w:rPr>
          <w:rFonts w:cs="Arial"/>
        </w:rPr>
        <w:t xml:space="preserve"> claim for unlawful arrest and subsequent detention and prosecution </w:t>
      </w:r>
      <w:r w:rsidR="006A2CB0" w:rsidRPr="007F700D">
        <w:rPr>
          <w:rFonts w:cs="Arial"/>
        </w:rPr>
        <w:t xml:space="preserve">‘… </w:t>
      </w:r>
      <w:r w:rsidR="00B7326E" w:rsidRPr="007F700D">
        <w:rPr>
          <w:rFonts w:cs="Arial"/>
          <w:i/>
          <w:iCs/>
        </w:rPr>
        <w:t xml:space="preserve">was to </w:t>
      </w:r>
      <w:r w:rsidR="00B7326E" w:rsidRPr="007F700D">
        <w:rPr>
          <w:rFonts w:cs="Arial"/>
          <w:i/>
          <w:iCs/>
        </w:rPr>
        <w:lastRenderedPageBreak/>
        <w:t>be treated as one continuous transaction which could not be regarded as complete until the outcome of the criminal prosecution</w:t>
      </w:r>
      <w:r w:rsidR="006A2CB0" w:rsidRPr="007F700D">
        <w:rPr>
          <w:rFonts w:cs="Arial"/>
        </w:rPr>
        <w:t>.’</w:t>
      </w:r>
      <w:r w:rsidR="00117741">
        <w:rPr>
          <w:rStyle w:val="FootnoteReference"/>
          <w:rFonts w:cs="Arial"/>
        </w:rPr>
        <w:footnoteReference w:id="123"/>
      </w:r>
    </w:p>
    <w:p w14:paraId="28EFA64F" w14:textId="31355CA9" w:rsidR="0004207A" w:rsidRPr="007F700D" w:rsidRDefault="007F700D" w:rsidP="007F700D">
      <w:pPr>
        <w:spacing w:before="360" w:after="120" w:line="480" w:lineRule="auto"/>
        <w:ind w:left="1560" w:hanging="851"/>
        <w:rPr>
          <w:rFonts w:cs="Arial"/>
        </w:rPr>
      </w:pPr>
      <w:r>
        <w:rPr>
          <w:rFonts w:cs="Arial"/>
        </w:rPr>
        <w:t>[56.3]</w:t>
      </w:r>
      <w:r>
        <w:rPr>
          <w:rFonts w:cs="Arial"/>
        </w:rPr>
        <w:tab/>
      </w:r>
      <w:r w:rsidR="00C453EE" w:rsidRPr="007F700D">
        <w:rPr>
          <w:rFonts w:cs="Arial"/>
        </w:rPr>
        <w:t>T</w:t>
      </w:r>
      <w:r w:rsidR="00AA7A40" w:rsidRPr="007F700D">
        <w:rPr>
          <w:rFonts w:cs="Arial"/>
        </w:rPr>
        <w:t xml:space="preserve">he Full Bench </w:t>
      </w:r>
      <w:r w:rsidR="001D26B8" w:rsidRPr="007F700D">
        <w:rPr>
          <w:rFonts w:cs="Arial"/>
        </w:rPr>
        <w:t xml:space="preserve">of the WCC </w:t>
      </w:r>
      <w:r w:rsidR="00AA7A40" w:rsidRPr="007F700D">
        <w:rPr>
          <w:rFonts w:cs="Arial"/>
        </w:rPr>
        <w:t>(</w:t>
      </w:r>
      <w:r w:rsidR="00AA7A40" w:rsidRPr="007F700D">
        <w:rPr>
          <w:rFonts w:cs="Arial"/>
          <w:i/>
          <w:iCs/>
        </w:rPr>
        <w:t>per</w:t>
      </w:r>
      <w:r w:rsidR="00AA7A40" w:rsidRPr="007F700D">
        <w:rPr>
          <w:rFonts w:cs="Arial"/>
        </w:rPr>
        <w:t xml:space="preserve"> Davis J) </w:t>
      </w:r>
      <w:r w:rsidR="00C453EE" w:rsidRPr="007F700D">
        <w:rPr>
          <w:rFonts w:cs="Arial"/>
        </w:rPr>
        <w:t xml:space="preserve">rejected this approach and, in doing so, </w:t>
      </w:r>
      <w:r w:rsidR="00AA7A40" w:rsidRPr="007F700D">
        <w:rPr>
          <w:rFonts w:cs="Arial"/>
        </w:rPr>
        <w:t xml:space="preserve">expressed </w:t>
      </w:r>
      <w:r w:rsidR="00405388" w:rsidRPr="007F700D">
        <w:rPr>
          <w:rFonts w:cs="Arial"/>
        </w:rPr>
        <w:t>itself as follows:</w:t>
      </w:r>
      <w:r w:rsidR="008A3576">
        <w:rPr>
          <w:rStyle w:val="FootnoteReference"/>
          <w:rFonts w:cs="Arial"/>
        </w:rPr>
        <w:footnoteReference w:id="124"/>
      </w:r>
    </w:p>
    <w:p w14:paraId="6BEED078" w14:textId="0CE49CE3" w:rsidR="00FF0C89" w:rsidRPr="008D3D54" w:rsidRDefault="00405388" w:rsidP="002D40F8">
      <w:pPr>
        <w:pStyle w:val="ListParagraph"/>
        <w:tabs>
          <w:tab w:val="left" w:pos="1985"/>
        </w:tabs>
        <w:spacing w:before="120" w:after="120"/>
        <w:ind w:left="1985" w:right="521"/>
        <w:contextualSpacing w:val="0"/>
        <w:rPr>
          <w:rFonts w:cs="Arial"/>
          <w:sz w:val="20"/>
          <w:szCs w:val="20"/>
        </w:rPr>
      </w:pPr>
      <w:r>
        <w:rPr>
          <w:rFonts w:cs="Arial"/>
        </w:rPr>
        <w:t>‘</w:t>
      </w:r>
      <w:r w:rsidR="00FF0C89" w:rsidRPr="008D3D54">
        <w:rPr>
          <w:rFonts w:cs="Arial"/>
          <w:sz w:val="20"/>
          <w:szCs w:val="20"/>
        </w:rPr>
        <w:t xml:space="preserve">This finding is clearly in conflict with the approach adopted in </w:t>
      </w:r>
      <w:proofErr w:type="spellStart"/>
      <w:r w:rsidR="00FF0C89" w:rsidRPr="008D3D54">
        <w:rPr>
          <w:rFonts w:cs="Arial"/>
          <w:i/>
          <w:iCs/>
          <w:sz w:val="20"/>
          <w:szCs w:val="20"/>
        </w:rPr>
        <w:t>Lombo</w:t>
      </w:r>
      <w:proofErr w:type="spellEnd"/>
      <w:r w:rsidR="00FF0C89" w:rsidRPr="008D3D54">
        <w:rPr>
          <w:rFonts w:cs="Arial"/>
          <w:i/>
          <w:iCs/>
          <w:sz w:val="20"/>
          <w:szCs w:val="20"/>
        </w:rPr>
        <w:t xml:space="preserve"> </w:t>
      </w:r>
      <w:bookmarkStart w:id="69" w:name="_Hlk159324680"/>
      <w:r w:rsidR="00FF0C89" w:rsidRPr="008D3D54">
        <w:rPr>
          <w:rFonts w:cs="Arial"/>
          <w:i/>
          <w:iCs/>
          <w:sz w:val="20"/>
          <w:szCs w:val="20"/>
        </w:rPr>
        <w:t>v African National Congress</w:t>
      </w:r>
      <w:r w:rsidR="008D3D54" w:rsidRPr="008D3D54">
        <w:rPr>
          <w:rFonts w:cs="Arial"/>
          <w:sz w:val="20"/>
          <w:szCs w:val="20"/>
        </w:rPr>
        <w:t> </w:t>
      </w:r>
      <w:r w:rsidR="00FF0C89" w:rsidRPr="008D3D54">
        <w:rPr>
          <w:rFonts w:cs="Arial"/>
          <w:sz w:val="20"/>
          <w:szCs w:val="20"/>
        </w:rPr>
        <w:t>2002 (5) SA 668 (SCA)</w:t>
      </w:r>
      <w:bookmarkEnd w:id="69"/>
      <w:r w:rsidR="00FF0C89" w:rsidRPr="008D3D54">
        <w:rPr>
          <w:rFonts w:cs="Arial"/>
          <w:sz w:val="20"/>
          <w:szCs w:val="20"/>
        </w:rPr>
        <w:t xml:space="preserve"> para 26 and with the concept of a continuous wrong as set out in </w:t>
      </w:r>
      <w:r w:rsidR="00FF0C89" w:rsidRPr="008D3D54">
        <w:rPr>
          <w:rFonts w:cs="Arial"/>
          <w:i/>
          <w:iCs/>
          <w:sz w:val="20"/>
          <w:szCs w:val="20"/>
        </w:rPr>
        <w:t xml:space="preserve">Barnett and Others </w:t>
      </w:r>
      <w:proofErr w:type="gramStart"/>
      <w:r w:rsidR="00FF0C89" w:rsidRPr="008D3D54">
        <w:rPr>
          <w:rFonts w:cs="Arial"/>
          <w:i/>
          <w:iCs/>
          <w:sz w:val="20"/>
          <w:szCs w:val="20"/>
        </w:rPr>
        <w:t>v</w:t>
      </w:r>
      <w:proofErr w:type="gramEnd"/>
      <w:r w:rsidR="00FF0C89" w:rsidRPr="008D3D54">
        <w:rPr>
          <w:rFonts w:cs="Arial"/>
          <w:i/>
          <w:iCs/>
          <w:sz w:val="20"/>
          <w:szCs w:val="20"/>
        </w:rPr>
        <w:t xml:space="preserve"> Minister of Land Affairs and Others</w:t>
      </w:r>
      <w:r w:rsidR="00FF0C89" w:rsidRPr="008D3D54">
        <w:rPr>
          <w:rFonts w:cs="Arial"/>
          <w:sz w:val="20"/>
          <w:szCs w:val="20"/>
        </w:rPr>
        <w:t xml:space="preserve"> 2007 (6) SA 313 (SCA) (2007 (11) BCLR 1214; [2007] ZASCA 95) para 20:</w:t>
      </w:r>
    </w:p>
    <w:p w14:paraId="2CC0CC0B" w14:textId="45A7EE85" w:rsidR="00405388" w:rsidRDefault="008D3D54" w:rsidP="002D40F8">
      <w:pPr>
        <w:pStyle w:val="ListParagraph"/>
        <w:tabs>
          <w:tab w:val="left" w:pos="2552"/>
        </w:tabs>
        <w:spacing w:before="360" w:after="120"/>
        <w:ind w:left="2552" w:right="1088"/>
        <w:contextualSpacing w:val="0"/>
        <w:rPr>
          <w:rFonts w:cs="Arial"/>
        </w:rPr>
      </w:pPr>
      <w:r>
        <w:rPr>
          <w:rFonts w:cs="Arial"/>
          <w:sz w:val="20"/>
          <w:szCs w:val="20"/>
        </w:rPr>
        <w:t>“</w:t>
      </w:r>
      <w:r w:rsidR="00FF0C89" w:rsidRPr="008D3D54">
        <w:rPr>
          <w:rFonts w:cs="Arial"/>
          <w:sz w:val="20"/>
          <w:szCs w:val="20"/>
        </w:rPr>
        <w:t xml:space="preserve">In accordance with the concept, a distinction is drawn between a single, completed wrongful act — with or without continuous injurious effects, such as a blow against the head — on the one hand, and a continuous wrong in the course of being committed, on the other. </w:t>
      </w:r>
      <w:r w:rsidR="008105B1">
        <w:rPr>
          <w:rFonts w:cs="Arial"/>
          <w:sz w:val="20"/>
          <w:szCs w:val="20"/>
        </w:rPr>
        <w:t xml:space="preserve"> </w:t>
      </w:r>
      <w:r w:rsidR="00FF0C89" w:rsidRPr="008D3D54">
        <w:rPr>
          <w:rFonts w:cs="Arial"/>
          <w:sz w:val="20"/>
          <w:szCs w:val="20"/>
        </w:rPr>
        <w:t xml:space="preserve">While the former gives rise to a single debt, the approach with regard to a continuous wrong is essentially that it results in a series of debts arising from moment to moment, as long as the wrongful conduct endures. (See </w:t>
      </w:r>
      <w:r w:rsidRPr="008D3D54">
        <w:rPr>
          <w:rFonts w:cs="Arial"/>
          <w:sz w:val="20"/>
          <w:szCs w:val="20"/>
        </w:rPr>
        <w:t>e.g.,</w:t>
      </w:r>
      <w:r w:rsidR="00FF0C89" w:rsidRPr="008D3D54">
        <w:rPr>
          <w:rFonts w:cs="Arial"/>
          <w:sz w:val="20"/>
          <w:szCs w:val="20"/>
        </w:rPr>
        <w:t xml:space="preserve"> </w:t>
      </w:r>
      <w:bookmarkStart w:id="70" w:name="_Hlk158633619"/>
      <w:proofErr w:type="spellStart"/>
      <w:r w:rsidR="00FF0C89" w:rsidRPr="008D3D54">
        <w:rPr>
          <w:rFonts w:cs="Arial"/>
          <w:i/>
          <w:iCs/>
          <w:sz w:val="20"/>
          <w:szCs w:val="20"/>
        </w:rPr>
        <w:t>Slomowitz</w:t>
      </w:r>
      <w:proofErr w:type="spellEnd"/>
      <w:r w:rsidR="00FF0C89" w:rsidRPr="008D3D54">
        <w:rPr>
          <w:rFonts w:cs="Arial"/>
          <w:i/>
          <w:iCs/>
          <w:sz w:val="20"/>
          <w:szCs w:val="20"/>
        </w:rPr>
        <w:t xml:space="preserve"> v Vereeniging Town Council</w:t>
      </w:r>
      <w:r>
        <w:rPr>
          <w:rFonts w:cs="Arial"/>
          <w:sz w:val="20"/>
          <w:szCs w:val="20"/>
        </w:rPr>
        <w:t> </w:t>
      </w:r>
      <w:r w:rsidR="00FF0C89" w:rsidRPr="008D3D54">
        <w:rPr>
          <w:rFonts w:cs="Arial"/>
          <w:sz w:val="20"/>
          <w:szCs w:val="20"/>
        </w:rPr>
        <w:t>1996 (3) SA 317 (A)</w:t>
      </w:r>
      <w:bookmarkEnd w:id="70"/>
      <w:r w:rsidR="00FF0C89" w:rsidRPr="008D3D54">
        <w:rPr>
          <w:rFonts w:cs="Arial"/>
          <w:sz w:val="20"/>
          <w:szCs w:val="20"/>
        </w:rPr>
        <w:t xml:space="preserve">; </w:t>
      </w:r>
      <w:proofErr w:type="spellStart"/>
      <w:r w:rsidR="00FF0C89" w:rsidRPr="008D3D54">
        <w:rPr>
          <w:rFonts w:cs="Arial"/>
          <w:i/>
          <w:iCs/>
          <w:sz w:val="20"/>
          <w:szCs w:val="20"/>
        </w:rPr>
        <w:t>Mbuyisa</w:t>
      </w:r>
      <w:proofErr w:type="spellEnd"/>
      <w:r w:rsidR="00FF0C89" w:rsidRPr="008D3D54">
        <w:rPr>
          <w:rFonts w:cs="Arial"/>
          <w:i/>
          <w:iCs/>
          <w:sz w:val="20"/>
          <w:szCs w:val="20"/>
        </w:rPr>
        <w:t xml:space="preserve"> v Minister of Police, Transkei</w:t>
      </w:r>
      <w:r>
        <w:rPr>
          <w:rFonts w:cs="Arial"/>
          <w:sz w:val="20"/>
          <w:szCs w:val="20"/>
        </w:rPr>
        <w:t> </w:t>
      </w:r>
      <w:r w:rsidR="00FF0C89" w:rsidRPr="008D3D54">
        <w:rPr>
          <w:rFonts w:cs="Arial"/>
          <w:sz w:val="20"/>
          <w:szCs w:val="20"/>
        </w:rPr>
        <w:t xml:space="preserve">1995 (2) SA 362 (TK) (1995 (9) BCLR 1099); </w:t>
      </w:r>
      <w:r w:rsidR="00FF0C89" w:rsidRPr="008D3D54">
        <w:rPr>
          <w:rFonts w:cs="Arial"/>
          <w:i/>
          <w:iCs/>
          <w:sz w:val="20"/>
          <w:szCs w:val="20"/>
        </w:rPr>
        <w:t xml:space="preserve">Unilever Best Foods </w:t>
      </w:r>
      <w:proofErr w:type="spellStart"/>
      <w:r w:rsidR="00FF0C89" w:rsidRPr="008D3D54">
        <w:rPr>
          <w:rFonts w:cs="Arial"/>
          <w:i/>
          <w:iCs/>
          <w:sz w:val="20"/>
          <w:szCs w:val="20"/>
        </w:rPr>
        <w:t>Robertsons</w:t>
      </w:r>
      <w:proofErr w:type="spellEnd"/>
      <w:r w:rsidR="00FF0C89" w:rsidRPr="008D3D54">
        <w:rPr>
          <w:rFonts w:cs="Arial"/>
          <w:i/>
          <w:iCs/>
          <w:sz w:val="20"/>
          <w:szCs w:val="20"/>
        </w:rPr>
        <w:t xml:space="preserve"> (Pty) Ltd and Others v </w:t>
      </w:r>
      <w:proofErr w:type="spellStart"/>
      <w:r w:rsidR="00FF0C89" w:rsidRPr="008D3D54">
        <w:rPr>
          <w:rFonts w:cs="Arial"/>
          <w:i/>
          <w:iCs/>
          <w:sz w:val="20"/>
          <w:szCs w:val="20"/>
        </w:rPr>
        <w:t>Soomar</w:t>
      </w:r>
      <w:proofErr w:type="spellEnd"/>
      <w:r w:rsidR="00FF0C89" w:rsidRPr="008D3D54">
        <w:rPr>
          <w:rFonts w:cs="Arial"/>
          <w:i/>
          <w:iCs/>
          <w:sz w:val="20"/>
          <w:szCs w:val="20"/>
        </w:rPr>
        <w:t xml:space="preserve"> and Another</w:t>
      </w:r>
      <w:r>
        <w:rPr>
          <w:rFonts w:cs="Arial"/>
          <w:sz w:val="20"/>
          <w:szCs w:val="20"/>
        </w:rPr>
        <w:t> </w:t>
      </w:r>
      <w:r w:rsidR="00FF0C89" w:rsidRPr="008D3D54">
        <w:rPr>
          <w:rFonts w:cs="Arial"/>
          <w:sz w:val="20"/>
          <w:szCs w:val="20"/>
        </w:rPr>
        <w:t>2007 (2) SA 347 (SCA) in para [15]</w:t>
      </w:r>
      <w:r w:rsidR="00FF0C89" w:rsidRPr="00FF0C89">
        <w:rPr>
          <w:rFonts w:cs="Arial"/>
        </w:rPr>
        <w:t>.</w:t>
      </w:r>
      <w:r>
        <w:rPr>
          <w:rFonts w:cs="Arial"/>
        </w:rPr>
        <w:t>”</w:t>
      </w:r>
      <w:r w:rsidR="00405388">
        <w:rPr>
          <w:rFonts w:cs="Arial"/>
        </w:rPr>
        <w:t>’</w:t>
      </w:r>
    </w:p>
    <w:p w14:paraId="40BCDA0C" w14:textId="06C68713" w:rsidR="00753C91" w:rsidRPr="007F700D" w:rsidRDefault="007F700D" w:rsidP="007F700D">
      <w:pPr>
        <w:spacing w:before="360" w:after="120" w:line="480" w:lineRule="auto"/>
        <w:ind w:left="709" w:hanging="720"/>
        <w:rPr>
          <w:rFonts w:cs="Arial"/>
        </w:rPr>
      </w:pPr>
      <w:r>
        <w:rPr>
          <w:rFonts w:cs="Arial"/>
        </w:rPr>
        <w:t>[57]</w:t>
      </w:r>
      <w:r>
        <w:rPr>
          <w:rFonts w:cs="Arial"/>
        </w:rPr>
        <w:tab/>
      </w:r>
      <w:proofErr w:type="spellStart"/>
      <w:r w:rsidR="00CC1BE7" w:rsidRPr="007F700D">
        <w:rPr>
          <w:rFonts w:cs="Arial"/>
          <w:b/>
          <w:bCs/>
          <w:i/>
          <w:iCs/>
        </w:rPr>
        <w:t>Y</w:t>
      </w:r>
      <w:r w:rsidR="0079525E" w:rsidRPr="007F700D">
        <w:rPr>
          <w:rFonts w:cs="Arial"/>
          <w:b/>
          <w:bCs/>
          <w:i/>
          <w:iCs/>
        </w:rPr>
        <w:t>ekiso’s</w:t>
      </w:r>
      <w:proofErr w:type="spellEnd"/>
      <w:r w:rsidR="0079525E" w:rsidRPr="007F700D">
        <w:rPr>
          <w:rFonts w:cs="Arial"/>
        </w:rPr>
        <w:t xml:space="preserve"> case </w:t>
      </w:r>
      <w:r w:rsidR="00356C4A" w:rsidRPr="007F700D">
        <w:rPr>
          <w:rFonts w:cs="Arial"/>
        </w:rPr>
        <w:t xml:space="preserve">is self-evidently not </w:t>
      </w:r>
      <w:r w:rsidR="003418F1" w:rsidRPr="007F700D">
        <w:rPr>
          <w:rFonts w:cs="Arial"/>
        </w:rPr>
        <w:t>applicable in th</w:t>
      </w:r>
      <w:r w:rsidR="002911F7" w:rsidRPr="007F700D">
        <w:rPr>
          <w:rFonts w:cs="Arial"/>
        </w:rPr>
        <w:t>e</w:t>
      </w:r>
      <w:r w:rsidR="003418F1" w:rsidRPr="007F700D">
        <w:rPr>
          <w:rFonts w:cs="Arial"/>
        </w:rPr>
        <w:t xml:space="preserve"> </w:t>
      </w:r>
      <w:r w:rsidR="002911F7" w:rsidRPr="007F700D">
        <w:rPr>
          <w:rFonts w:cs="Arial"/>
        </w:rPr>
        <w:t xml:space="preserve">present </w:t>
      </w:r>
      <w:r w:rsidR="003418F1" w:rsidRPr="007F700D">
        <w:rPr>
          <w:rFonts w:cs="Arial"/>
        </w:rPr>
        <w:t>instance</w:t>
      </w:r>
      <w:r w:rsidR="0000344A" w:rsidRPr="007F700D">
        <w:rPr>
          <w:rFonts w:cs="Arial"/>
        </w:rPr>
        <w:t xml:space="preserve"> </w:t>
      </w:r>
      <w:r w:rsidR="005109CE" w:rsidRPr="007F700D">
        <w:rPr>
          <w:rFonts w:cs="Arial"/>
        </w:rPr>
        <w:t>as</w:t>
      </w:r>
      <w:r w:rsidR="002911F7" w:rsidRPr="007F700D">
        <w:rPr>
          <w:rFonts w:cs="Arial"/>
        </w:rPr>
        <w:t xml:space="preserve"> it </w:t>
      </w:r>
      <w:r w:rsidR="002E1483" w:rsidRPr="007F700D">
        <w:rPr>
          <w:rFonts w:cs="Arial"/>
        </w:rPr>
        <w:t xml:space="preserve">is </w:t>
      </w:r>
      <w:r w:rsidR="002911F7" w:rsidRPr="007F700D">
        <w:rPr>
          <w:rFonts w:cs="Arial"/>
        </w:rPr>
        <w:t>not</w:t>
      </w:r>
      <w:r w:rsidR="00753C91" w:rsidRPr="007F700D">
        <w:rPr>
          <w:rFonts w:cs="Arial"/>
        </w:rPr>
        <w:t xml:space="preserve"> </w:t>
      </w:r>
      <w:r w:rsidR="009A22C1" w:rsidRPr="007F700D">
        <w:rPr>
          <w:rFonts w:cs="Arial"/>
        </w:rPr>
        <w:t xml:space="preserve">concerned with a </w:t>
      </w:r>
      <w:r w:rsidR="00753C91" w:rsidRPr="007F700D">
        <w:rPr>
          <w:rFonts w:cs="Arial"/>
          <w:i/>
          <w:iCs/>
        </w:rPr>
        <w:t>malicious</w:t>
      </w:r>
      <w:r w:rsidR="00753C91" w:rsidRPr="007F700D">
        <w:rPr>
          <w:rFonts w:cs="Arial"/>
        </w:rPr>
        <w:t xml:space="preserve"> arrest and/or detention</w:t>
      </w:r>
      <w:r w:rsidR="009A22C1" w:rsidRPr="007F700D">
        <w:rPr>
          <w:rFonts w:cs="Arial"/>
        </w:rPr>
        <w:t xml:space="preserve">, but rather with a claim for </w:t>
      </w:r>
      <w:r w:rsidR="009A22C1" w:rsidRPr="007F700D">
        <w:rPr>
          <w:rFonts w:cs="Arial"/>
          <w:i/>
          <w:iCs/>
        </w:rPr>
        <w:t>unlawful arrest</w:t>
      </w:r>
      <w:r w:rsidR="009A22C1" w:rsidRPr="007F700D">
        <w:rPr>
          <w:rFonts w:cs="Arial"/>
        </w:rPr>
        <w:t xml:space="preserve"> and subsequent detention. </w:t>
      </w:r>
      <w:r w:rsidR="0045589F" w:rsidRPr="007F700D">
        <w:rPr>
          <w:rFonts w:cs="Arial"/>
        </w:rPr>
        <w:t xml:space="preserve"> </w:t>
      </w:r>
    </w:p>
    <w:p w14:paraId="7761B4EF" w14:textId="67503E5A" w:rsidR="00607A8D" w:rsidRPr="007F700D" w:rsidRDefault="007F700D" w:rsidP="007F700D">
      <w:pPr>
        <w:spacing w:before="360" w:after="120" w:line="480" w:lineRule="auto"/>
        <w:ind w:left="709" w:hanging="720"/>
        <w:rPr>
          <w:rFonts w:cs="Arial"/>
        </w:rPr>
      </w:pPr>
      <w:r>
        <w:rPr>
          <w:rFonts w:cs="Arial"/>
        </w:rPr>
        <w:t>[58]</w:t>
      </w:r>
      <w:r>
        <w:rPr>
          <w:rFonts w:cs="Arial"/>
        </w:rPr>
        <w:tab/>
      </w:r>
      <w:r w:rsidR="00607A8D" w:rsidRPr="007F700D">
        <w:rPr>
          <w:rFonts w:cs="Arial"/>
        </w:rPr>
        <w:t>The pa</w:t>
      </w:r>
      <w:r w:rsidR="00AA3FD0" w:rsidRPr="007F700D">
        <w:rPr>
          <w:rFonts w:cs="Arial"/>
        </w:rPr>
        <w:t xml:space="preserve">ssage quoted from the judgment in </w:t>
      </w:r>
      <w:proofErr w:type="spellStart"/>
      <w:r w:rsidR="00AA3FD0" w:rsidRPr="007F700D">
        <w:rPr>
          <w:rFonts w:cs="Arial"/>
          <w:b/>
          <w:bCs/>
          <w:i/>
          <w:iCs/>
        </w:rPr>
        <w:t>Yekiso</w:t>
      </w:r>
      <w:proofErr w:type="spellEnd"/>
      <w:r w:rsidR="00AA3FD0">
        <w:rPr>
          <w:rStyle w:val="FootnoteReference"/>
          <w:rFonts w:cs="Arial"/>
        </w:rPr>
        <w:footnoteReference w:id="125"/>
      </w:r>
      <w:r w:rsidR="00841F9A" w:rsidRPr="007F700D">
        <w:rPr>
          <w:rFonts w:cs="Arial"/>
        </w:rPr>
        <w:t xml:space="preserve"> </w:t>
      </w:r>
      <w:r w:rsidR="006F51ED" w:rsidRPr="007F700D">
        <w:rPr>
          <w:rFonts w:cs="Arial"/>
        </w:rPr>
        <w:t>relies on</w:t>
      </w:r>
      <w:r w:rsidR="007A676F" w:rsidRPr="007F700D">
        <w:rPr>
          <w:rFonts w:cs="Arial"/>
        </w:rPr>
        <w:t>, among others,</w:t>
      </w:r>
      <w:r w:rsidR="00841F9A" w:rsidRPr="007F700D">
        <w:rPr>
          <w:rFonts w:cs="Arial"/>
        </w:rPr>
        <w:t xml:space="preserve"> </w:t>
      </w:r>
      <w:r w:rsidR="00D2131F" w:rsidRPr="007F700D">
        <w:rPr>
          <w:rFonts w:cs="Arial"/>
        </w:rPr>
        <w:t xml:space="preserve">the SCA’s judgment in </w:t>
      </w:r>
      <w:proofErr w:type="spellStart"/>
      <w:r w:rsidR="00D2131F" w:rsidRPr="007F700D">
        <w:rPr>
          <w:rFonts w:cs="Arial"/>
          <w:b/>
          <w:bCs/>
          <w:i/>
          <w:iCs/>
        </w:rPr>
        <w:t>Lombo</w:t>
      </w:r>
      <w:proofErr w:type="spellEnd"/>
      <w:r w:rsidR="00BF49C3" w:rsidRPr="007F700D">
        <w:rPr>
          <w:rFonts w:cs="Arial"/>
        </w:rPr>
        <w:t>.</w:t>
      </w:r>
      <w:r w:rsidR="00D2131F">
        <w:rPr>
          <w:rStyle w:val="FootnoteReference"/>
          <w:rFonts w:cs="Arial"/>
        </w:rPr>
        <w:footnoteReference w:id="126"/>
      </w:r>
      <w:r w:rsidR="00D2131F" w:rsidRPr="007F700D">
        <w:rPr>
          <w:rFonts w:cs="Arial"/>
        </w:rPr>
        <w:t xml:space="preserve"> </w:t>
      </w:r>
      <w:r w:rsidR="00BF49C3" w:rsidRPr="007F700D">
        <w:rPr>
          <w:rFonts w:cs="Arial"/>
        </w:rPr>
        <w:t xml:space="preserve"> This is the second </w:t>
      </w:r>
      <w:r w:rsidR="00BC3FE0" w:rsidRPr="007F700D">
        <w:rPr>
          <w:rFonts w:cs="Arial"/>
        </w:rPr>
        <w:t xml:space="preserve">of the two </w:t>
      </w:r>
      <w:r w:rsidR="00BF49C3" w:rsidRPr="007F700D">
        <w:rPr>
          <w:rFonts w:cs="Arial"/>
        </w:rPr>
        <w:t>case</w:t>
      </w:r>
      <w:r w:rsidR="00BC3FE0" w:rsidRPr="007F700D">
        <w:rPr>
          <w:rFonts w:cs="Arial"/>
        </w:rPr>
        <w:t>s mentioned</w:t>
      </w:r>
      <w:r w:rsidR="00D40B31" w:rsidRPr="007F700D">
        <w:rPr>
          <w:rFonts w:cs="Arial"/>
        </w:rPr>
        <w:t xml:space="preserve">.  </w:t>
      </w:r>
      <w:r w:rsidR="00344941" w:rsidRPr="007F700D">
        <w:rPr>
          <w:rFonts w:cs="Arial"/>
        </w:rPr>
        <w:t xml:space="preserve">In </w:t>
      </w:r>
      <w:proofErr w:type="spellStart"/>
      <w:r w:rsidR="00AE5420" w:rsidRPr="007F700D">
        <w:rPr>
          <w:rFonts w:cs="Arial"/>
          <w:b/>
          <w:bCs/>
          <w:i/>
          <w:iCs/>
        </w:rPr>
        <w:t>Lombo</w:t>
      </w:r>
      <w:proofErr w:type="spellEnd"/>
      <w:r w:rsidR="00EE58AD" w:rsidRPr="007F700D">
        <w:rPr>
          <w:rFonts w:cs="Arial"/>
        </w:rPr>
        <w:t xml:space="preserve"> the </w:t>
      </w:r>
      <w:r w:rsidR="008C5B6C" w:rsidRPr="007F700D">
        <w:rPr>
          <w:rFonts w:cs="Arial"/>
        </w:rPr>
        <w:t>SCA (</w:t>
      </w:r>
      <w:r w:rsidR="008C5B6C" w:rsidRPr="007F700D">
        <w:rPr>
          <w:rFonts w:cs="Arial"/>
          <w:i/>
          <w:iCs/>
        </w:rPr>
        <w:t>per</w:t>
      </w:r>
      <w:r w:rsidR="008C5B6C" w:rsidRPr="007F700D">
        <w:rPr>
          <w:rFonts w:cs="Arial"/>
        </w:rPr>
        <w:t xml:space="preserve"> </w:t>
      </w:r>
      <w:proofErr w:type="spellStart"/>
      <w:r w:rsidR="008C5B6C" w:rsidRPr="007F700D">
        <w:rPr>
          <w:rFonts w:cs="Arial"/>
        </w:rPr>
        <w:t>Smalberger</w:t>
      </w:r>
      <w:proofErr w:type="spellEnd"/>
      <w:r w:rsidR="008C5B6C" w:rsidRPr="007F700D">
        <w:rPr>
          <w:rFonts w:cs="Arial"/>
        </w:rPr>
        <w:t xml:space="preserve"> </w:t>
      </w:r>
      <w:r w:rsidR="008941F7" w:rsidRPr="007F700D">
        <w:rPr>
          <w:rFonts w:cs="Arial"/>
        </w:rPr>
        <w:t xml:space="preserve">ADP, with whom Olivier JA, </w:t>
      </w:r>
      <w:proofErr w:type="spellStart"/>
      <w:r w:rsidR="008941F7" w:rsidRPr="007F700D">
        <w:rPr>
          <w:rFonts w:cs="Arial"/>
        </w:rPr>
        <w:t>Streicher</w:t>
      </w:r>
      <w:proofErr w:type="spellEnd"/>
      <w:r w:rsidR="008941F7" w:rsidRPr="007F700D">
        <w:rPr>
          <w:rFonts w:cs="Arial"/>
        </w:rPr>
        <w:t xml:space="preserve"> JA, </w:t>
      </w:r>
      <w:proofErr w:type="spellStart"/>
      <w:r w:rsidR="008941F7" w:rsidRPr="007F700D">
        <w:rPr>
          <w:rFonts w:cs="Arial"/>
        </w:rPr>
        <w:t>Farlam</w:t>
      </w:r>
      <w:proofErr w:type="spellEnd"/>
      <w:r w:rsidR="008941F7" w:rsidRPr="007F700D">
        <w:rPr>
          <w:rFonts w:cs="Arial"/>
        </w:rPr>
        <w:t xml:space="preserve"> JA and </w:t>
      </w:r>
      <w:proofErr w:type="spellStart"/>
      <w:r w:rsidR="008941F7" w:rsidRPr="007F700D">
        <w:rPr>
          <w:rFonts w:cs="Arial"/>
        </w:rPr>
        <w:t>Navsa</w:t>
      </w:r>
      <w:proofErr w:type="spellEnd"/>
      <w:r w:rsidR="008941F7" w:rsidRPr="007F700D">
        <w:rPr>
          <w:rFonts w:cs="Arial"/>
        </w:rPr>
        <w:t xml:space="preserve"> JA concurred)</w:t>
      </w:r>
      <w:r w:rsidR="004D029E" w:rsidRPr="007F700D">
        <w:rPr>
          <w:rFonts w:cs="Arial"/>
        </w:rPr>
        <w:t xml:space="preserve"> held that:</w:t>
      </w:r>
      <w:r w:rsidR="004D029E">
        <w:rPr>
          <w:rStyle w:val="FootnoteReference"/>
          <w:rFonts w:cs="Arial"/>
        </w:rPr>
        <w:footnoteReference w:id="127"/>
      </w:r>
    </w:p>
    <w:p w14:paraId="2C3F35CC" w14:textId="7BB248E5" w:rsidR="005369A9" w:rsidRPr="006F51ED" w:rsidRDefault="00D0037B" w:rsidP="006F51ED">
      <w:pPr>
        <w:pStyle w:val="ListParagraph"/>
        <w:spacing w:before="120" w:after="120"/>
        <w:ind w:left="1276" w:right="521"/>
        <w:contextualSpacing w:val="0"/>
        <w:rPr>
          <w:rFonts w:cs="Arial"/>
          <w:sz w:val="20"/>
          <w:szCs w:val="20"/>
        </w:rPr>
      </w:pPr>
      <w:r>
        <w:rPr>
          <w:rFonts w:cs="Arial"/>
        </w:rPr>
        <w:lastRenderedPageBreak/>
        <w:t>‘</w:t>
      </w:r>
      <w:r w:rsidR="005369A9" w:rsidRPr="006F51ED">
        <w:rPr>
          <w:rFonts w:cs="Arial"/>
          <w:sz w:val="20"/>
          <w:szCs w:val="20"/>
        </w:rPr>
        <w:t>[25</w:t>
      </w:r>
      <w:proofErr w:type="gramStart"/>
      <w:r w:rsidR="005369A9" w:rsidRPr="006F51ED">
        <w:rPr>
          <w:rFonts w:cs="Arial"/>
          <w:sz w:val="20"/>
          <w:szCs w:val="20"/>
        </w:rPr>
        <w:t>]</w:t>
      </w:r>
      <w:r w:rsidR="002A6799">
        <w:rPr>
          <w:rFonts w:cs="Arial"/>
          <w:sz w:val="20"/>
          <w:szCs w:val="20"/>
        </w:rPr>
        <w:t>  </w:t>
      </w:r>
      <w:r w:rsidR="005369A9" w:rsidRPr="006F51ED">
        <w:rPr>
          <w:rFonts w:cs="Arial"/>
          <w:sz w:val="20"/>
          <w:szCs w:val="20"/>
        </w:rPr>
        <w:t>The</w:t>
      </w:r>
      <w:proofErr w:type="gramEnd"/>
      <w:r w:rsidR="005369A9" w:rsidRPr="006F51ED">
        <w:rPr>
          <w:rFonts w:cs="Arial"/>
          <w:sz w:val="20"/>
          <w:szCs w:val="20"/>
        </w:rPr>
        <w:t xml:space="preserve"> physical detention of the appellant outside the Republic of South Africa in circumstances in which he was prevented from pursuing personally any action arising from the alleged assaults and maltreatment inflicted upon him, and totally denied access to anyone who could do so on his behalf, amounted to his being prevented by a superior force from interrupting the running of prescription as contemplated by s</w:t>
      </w:r>
      <w:r w:rsidR="006F51ED">
        <w:rPr>
          <w:rFonts w:cs="Arial"/>
          <w:sz w:val="20"/>
          <w:szCs w:val="20"/>
        </w:rPr>
        <w:t> </w:t>
      </w:r>
      <w:r w:rsidR="005369A9" w:rsidRPr="006F51ED">
        <w:rPr>
          <w:rFonts w:cs="Arial"/>
          <w:sz w:val="20"/>
          <w:szCs w:val="20"/>
        </w:rPr>
        <w:t xml:space="preserve">13(1)(a). </w:t>
      </w:r>
      <w:r w:rsidR="006F51ED">
        <w:rPr>
          <w:rFonts w:cs="Arial"/>
          <w:sz w:val="20"/>
          <w:szCs w:val="20"/>
        </w:rPr>
        <w:t xml:space="preserve"> </w:t>
      </w:r>
      <w:r w:rsidR="005369A9" w:rsidRPr="006F51ED">
        <w:rPr>
          <w:rFonts w:cs="Arial"/>
          <w:sz w:val="20"/>
          <w:szCs w:val="20"/>
        </w:rPr>
        <w:t>Consequently, he had one year from the time this impediment ceased to exist (his release from detention and return to this country) within which to institute action in respect of all causes of action arising from the alleged assaults and maltreatment to which he was subjected during his detention, and his property that was allegedly</w:t>
      </w:r>
      <w:r w:rsidR="008C60F6" w:rsidRPr="006F51ED">
        <w:rPr>
          <w:rFonts w:cs="Arial"/>
          <w:sz w:val="20"/>
          <w:szCs w:val="20"/>
        </w:rPr>
        <w:t xml:space="preserve"> </w:t>
      </w:r>
      <w:r w:rsidR="005369A9" w:rsidRPr="006F51ED">
        <w:rPr>
          <w:rFonts w:cs="Arial"/>
          <w:sz w:val="20"/>
          <w:szCs w:val="20"/>
        </w:rPr>
        <w:t xml:space="preserve">misappropriated. </w:t>
      </w:r>
      <w:r w:rsidR="00432EEF">
        <w:rPr>
          <w:rFonts w:cs="Arial"/>
          <w:sz w:val="20"/>
          <w:szCs w:val="20"/>
        </w:rPr>
        <w:t xml:space="preserve"> </w:t>
      </w:r>
      <w:r w:rsidR="005369A9" w:rsidRPr="006F51ED">
        <w:rPr>
          <w:rFonts w:cs="Arial"/>
          <w:sz w:val="20"/>
          <w:szCs w:val="20"/>
        </w:rPr>
        <w:t>The Act therefore made provision for his situation to the exclusion of the common law and the maxim invoked accordingly finds no application.</w:t>
      </w:r>
      <w:r w:rsidR="002A6799">
        <w:rPr>
          <w:rFonts w:cs="Arial"/>
          <w:sz w:val="20"/>
          <w:szCs w:val="20"/>
        </w:rPr>
        <w:t xml:space="preserve"> </w:t>
      </w:r>
      <w:r w:rsidR="005369A9" w:rsidRPr="006F51ED">
        <w:rPr>
          <w:rFonts w:cs="Arial"/>
          <w:sz w:val="20"/>
          <w:szCs w:val="20"/>
        </w:rPr>
        <w:t xml:space="preserve"> Unfortunately for the appellant he failed to institute action within the one-year period prescribed by s</w:t>
      </w:r>
      <w:r w:rsidR="002A6799">
        <w:rPr>
          <w:rFonts w:cs="Arial"/>
          <w:sz w:val="20"/>
          <w:szCs w:val="20"/>
        </w:rPr>
        <w:t> </w:t>
      </w:r>
      <w:r w:rsidR="005369A9" w:rsidRPr="006F51ED">
        <w:rPr>
          <w:rFonts w:cs="Arial"/>
          <w:sz w:val="20"/>
          <w:szCs w:val="20"/>
        </w:rPr>
        <w:t xml:space="preserve">13(1) and any claims he might have had in respect of the causes of action referred to have consequently been extinguished by prescription.  </w:t>
      </w:r>
    </w:p>
    <w:p w14:paraId="5CE5CB9B" w14:textId="456891E1" w:rsidR="005369A9" w:rsidRPr="006F51ED" w:rsidRDefault="005369A9" w:rsidP="006F51ED">
      <w:pPr>
        <w:pStyle w:val="ListParagraph"/>
        <w:spacing w:before="120" w:after="120"/>
        <w:ind w:left="1276" w:right="521"/>
        <w:contextualSpacing w:val="0"/>
        <w:rPr>
          <w:rFonts w:cs="Arial"/>
          <w:sz w:val="20"/>
          <w:szCs w:val="20"/>
        </w:rPr>
      </w:pPr>
      <w:r w:rsidRPr="006F51ED">
        <w:rPr>
          <w:rFonts w:cs="Arial"/>
          <w:sz w:val="20"/>
          <w:szCs w:val="20"/>
        </w:rPr>
        <w:t>[26</w:t>
      </w:r>
      <w:proofErr w:type="gramStart"/>
      <w:r w:rsidRPr="006F51ED">
        <w:rPr>
          <w:rFonts w:cs="Arial"/>
          <w:sz w:val="20"/>
          <w:szCs w:val="20"/>
        </w:rPr>
        <w:t>]</w:t>
      </w:r>
      <w:r w:rsidR="002A6799">
        <w:rPr>
          <w:rFonts w:cs="Arial"/>
          <w:sz w:val="20"/>
          <w:szCs w:val="20"/>
        </w:rPr>
        <w:t>  </w:t>
      </w:r>
      <w:r w:rsidRPr="00ED6CDE">
        <w:rPr>
          <w:rFonts w:cs="Arial"/>
          <w:b/>
          <w:bCs/>
          <w:sz w:val="20"/>
          <w:szCs w:val="20"/>
        </w:rPr>
        <w:t>The</w:t>
      </w:r>
      <w:proofErr w:type="gramEnd"/>
      <w:r w:rsidRPr="00ED6CDE">
        <w:rPr>
          <w:rFonts w:cs="Arial"/>
          <w:b/>
          <w:bCs/>
          <w:sz w:val="20"/>
          <w:szCs w:val="20"/>
        </w:rPr>
        <w:t xml:space="preserve"> appellant's position is somewhat different in regard to his claim for unlawful detention. </w:t>
      </w:r>
      <w:r w:rsidR="002A6799" w:rsidRPr="00ED6CDE">
        <w:rPr>
          <w:rFonts w:cs="Arial"/>
          <w:b/>
          <w:bCs/>
          <w:sz w:val="20"/>
          <w:szCs w:val="20"/>
        </w:rPr>
        <w:t xml:space="preserve"> </w:t>
      </w:r>
      <w:r w:rsidRPr="00ED6CDE">
        <w:rPr>
          <w:rFonts w:cs="Arial"/>
          <w:b/>
          <w:bCs/>
          <w:sz w:val="20"/>
          <w:szCs w:val="20"/>
        </w:rPr>
        <w:t xml:space="preserve">His cause of action in this respect did not arise once and for all on the day he was first detained, nor did it first arise on the day of his release from detention. </w:t>
      </w:r>
      <w:r w:rsidR="002A6799" w:rsidRPr="00ED6CDE">
        <w:rPr>
          <w:rFonts w:cs="Arial"/>
          <w:b/>
          <w:bCs/>
          <w:sz w:val="20"/>
          <w:szCs w:val="20"/>
        </w:rPr>
        <w:t xml:space="preserve"> </w:t>
      </w:r>
      <w:r w:rsidRPr="00ED6CDE">
        <w:rPr>
          <w:rFonts w:cs="Arial"/>
          <w:b/>
          <w:bCs/>
          <w:sz w:val="20"/>
          <w:szCs w:val="20"/>
        </w:rPr>
        <w:t>His continuing unlawful detention (if such it was) would notionally have given rise to a separate cause of action for each day he was so detained</w:t>
      </w:r>
      <w:r w:rsidRPr="006F51ED">
        <w:rPr>
          <w:rFonts w:cs="Arial"/>
          <w:sz w:val="20"/>
          <w:szCs w:val="20"/>
        </w:rPr>
        <w:t xml:space="preserve"> (</w:t>
      </w:r>
      <w:bookmarkStart w:id="71" w:name="_Hlk158717641"/>
      <w:proofErr w:type="spellStart"/>
      <w:r w:rsidRPr="002A6799">
        <w:rPr>
          <w:rFonts w:cs="Arial"/>
          <w:i/>
          <w:iCs/>
          <w:sz w:val="20"/>
          <w:szCs w:val="20"/>
        </w:rPr>
        <w:t>Ngcobo</w:t>
      </w:r>
      <w:proofErr w:type="spellEnd"/>
      <w:r w:rsidRPr="002A6799">
        <w:rPr>
          <w:rFonts w:cs="Arial"/>
          <w:i/>
          <w:iCs/>
          <w:sz w:val="20"/>
          <w:szCs w:val="20"/>
        </w:rPr>
        <w:t xml:space="preserve"> v Minister of Police</w:t>
      </w:r>
      <w:r w:rsidR="002A6799">
        <w:rPr>
          <w:rFonts w:cs="Arial"/>
          <w:sz w:val="20"/>
          <w:szCs w:val="20"/>
        </w:rPr>
        <w:t> </w:t>
      </w:r>
      <w:r w:rsidRPr="006F51ED">
        <w:rPr>
          <w:rFonts w:cs="Arial"/>
          <w:sz w:val="20"/>
          <w:szCs w:val="20"/>
        </w:rPr>
        <w:t>1978 (4) SA 930 (D)</w:t>
      </w:r>
      <w:bookmarkEnd w:id="71"/>
      <w:r w:rsidRPr="006F51ED">
        <w:rPr>
          <w:rFonts w:cs="Arial"/>
          <w:sz w:val="20"/>
          <w:szCs w:val="20"/>
        </w:rPr>
        <w:t xml:space="preserve">, following </w:t>
      </w:r>
      <w:proofErr w:type="spellStart"/>
      <w:r w:rsidRPr="002A6799">
        <w:rPr>
          <w:rFonts w:cs="Arial"/>
          <w:i/>
          <w:iCs/>
          <w:sz w:val="20"/>
          <w:szCs w:val="20"/>
        </w:rPr>
        <w:t>Slomowitz's</w:t>
      </w:r>
      <w:proofErr w:type="spellEnd"/>
      <w:r w:rsidRPr="006F51ED">
        <w:rPr>
          <w:rFonts w:cs="Arial"/>
          <w:sz w:val="20"/>
          <w:szCs w:val="20"/>
        </w:rPr>
        <w:t xml:space="preserve"> case </w:t>
      </w:r>
      <w:r w:rsidRPr="002A6799">
        <w:rPr>
          <w:rFonts w:cs="Arial"/>
          <w:i/>
          <w:iCs/>
          <w:sz w:val="20"/>
          <w:szCs w:val="20"/>
        </w:rPr>
        <w:t>supra</w:t>
      </w:r>
      <w:r w:rsidRPr="006F51ED">
        <w:rPr>
          <w:rFonts w:cs="Arial"/>
          <w:sz w:val="20"/>
          <w:szCs w:val="20"/>
        </w:rPr>
        <w:t xml:space="preserve">). </w:t>
      </w:r>
      <w:r w:rsidR="002A6799">
        <w:rPr>
          <w:rFonts w:cs="Arial"/>
          <w:sz w:val="20"/>
          <w:szCs w:val="20"/>
        </w:rPr>
        <w:t xml:space="preserve"> </w:t>
      </w:r>
      <w:r w:rsidRPr="006F51ED">
        <w:rPr>
          <w:rFonts w:cs="Arial"/>
          <w:sz w:val="20"/>
          <w:szCs w:val="20"/>
        </w:rPr>
        <w:t xml:space="preserve">The decision in </w:t>
      </w:r>
      <w:proofErr w:type="spellStart"/>
      <w:r w:rsidRPr="002A6799">
        <w:rPr>
          <w:rFonts w:cs="Arial"/>
          <w:i/>
          <w:iCs/>
          <w:sz w:val="20"/>
          <w:szCs w:val="20"/>
        </w:rPr>
        <w:t>Ramphele</w:t>
      </w:r>
      <w:proofErr w:type="spellEnd"/>
      <w:r w:rsidRPr="002A6799">
        <w:rPr>
          <w:rFonts w:cs="Arial"/>
          <w:i/>
          <w:iCs/>
          <w:sz w:val="20"/>
          <w:szCs w:val="20"/>
        </w:rPr>
        <w:t xml:space="preserve"> v Minister of Police</w:t>
      </w:r>
      <w:r w:rsidR="002A6799">
        <w:rPr>
          <w:rFonts w:cs="Arial"/>
          <w:sz w:val="20"/>
          <w:szCs w:val="20"/>
        </w:rPr>
        <w:t> </w:t>
      </w:r>
      <w:r w:rsidRPr="006F51ED">
        <w:rPr>
          <w:rFonts w:cs="Arial"/>
          <w:sz w:val="20"/>
          <w:szCs w:val="20"/>
        </w:rPr>
        <w:t>1979 (4) SA 902 (W), if not distinguishable on the facts, must be taken to have been wrongly decided.</w:t>
      </w:r>
    </w:p>
    <w:p w14:paraId="3AE3546C" w14:textId="593378FF" w:rsidR="00D0037B" w:rsidRDefault="005369A9" w:rsidP="006F51ED">
      <w:pPr>
        <w:pStyle w:val="ListParagraph"/>
        <w:spacing w:before="120" w:after="120"/>
        <w:ind w:left="1276" w:right="521"/>
        <w:contextualSpacing w:val="0"/>
        <w:rPr>
          <w:rFonts w:cs="Arial"/>
        </w:rPr>
      </w:pPr>
      <w:r w:rsidRPr="006F51ED">
        <w:rPr>
          <w:rFonts w:cs="Arial"/>
          <w:sz w:val="20"/>
          <w:szCs w:val="20"/>
        </w:rPr>
        <w:t>[27</w:t>
      </w:r>
      <w:proofErr w:type="gramStart"/>
      <w:r w:rsidRPr="006F51ED">
        <w:rPr>
          <w:rFonts w:cs="Arial"/>
          <w:sz w:val="20"/>
          <w:szCs w:val="20"/>
        </w:rPr>
        <w:t>]</w:t>
      </w:r>
      <w:r w:rsidR="00ED6CDE">
        <w:rPr>
          <w:rFonts w:cs="Arial"/>
          <w:sz w:val="20"/>
          <w:szCs w:val="20"/>
        </w:rPr>
        <w:t>  </w:t>
      </w:r>
      <w:r w:rsidRPr="006F51ED">
        <w:rPr>
          <w:rFonts w:cs="Arial"/>
          <w:sz w:val="20"/>
          <w:szCs w:val="20"/>
        </w:rPr>
        <w:t>On</w:t>
      </w:r>
      <w:proofErr w:type="gramEnd"/>
      <w:r w:rsidRPr="006F51ED">
        <w:rPr>
          <w:rFonts w:cs="Arial"/>
          <w:sz w:val="20"/>
          <w:szCs w:val="20"/>
        </w:rPr>
        <w:t xml:space="preserve"> his release in August 1991 the provisions of s</w:t>
      </w:r>
      <w:r w:rsidR="00ED6CDE">
        <w:rPr>
          <w:rFonts w:cs="Arial"/>
          <w:sz w:val="20"/>
          <w:szCs w:val="20"/>
        </w:rPr>
        <w:t> </w:t>
      </w:r>
      <w:r w:rsidRPr="006F51ED">
        <w:rPr>
          <w:rFonts w:cs="Arial"/>
          <w:sz w:val="20"/>
          <w:szCs w:val="20"/>
        </w:rPr>
        <w:t xml:space="preserve">13(1) would have entitled the appellant to claim damages for wrongful detention for the full period of his detention provided he instituted action within the prescribed one-year period, something he failed to do. </w:t>
      </w:r>
      <w:r w:rsidR="00ED6CDE">
        <w:rPr>
          <w:rFonts w:cs="Arial"/>
          <w:sz w:val="20"/>
          <w:szCs w:val="20"/>
        </w:rPr>
        <w:t xml:space="preserve"> </w:t>
      </w:r>
      <w:r w:rsidRPr="006F51ED">
        <w:rPr>
          <w:rFonts w:cs="Arial"/>
          <w:sz w:val="20"/>
          <w:szCs w:val="20"/>
        </w:rPr>
        <w:t>However, the three-year prescriptive period provided in s</w:t>
      </w:r>
      <w:r w:rsidR="009812E2">
        <w:rPr>
          <w:rFonts w:cs="Arial"/>
          <w:sz w:val="20"/>
          <w:szCs w:val="20"/>
        </w:rPr>
        <w:t> </w:t>
      </w:r>
      <w:r w:rsidRPr="006F51ED">
        <w:rPr>
          <w:rFonts w:cs="Arial"/>
          <w:sz w:val="20"/>
          <w:szCs w:val="20"/>
        </w:rPr>
        <w:t xml:space="preserve">11(d) of the Act preserved any claim for unlawful detention arising within the period of three years preceding the service of summons on 22 November 1993. </w:t>
      </w:r>
      <w:r w:rsidR="009812E2">
        <w:rPr>
          <w:rFonts w:cs="Arial"/>
          <w:sz w:val="20"/>
          <w:szCs w:val="20"/>
        </w:rPr>
        <w:t xml:space="preserve"> </w:t>
      </w:r>
      <w:r w:rsidRPr="006F51ED">
        <w:rPr>
          <w:rFonts w:cs="Arial"/>
          <w:sz w:val="20"/>
          <w:szCs w:val="20"/>
        </w:rPr>
        <w:t xml:space="preserve">His claim for unlawful detention for the period 23 November 1990 until his release in August 1991 would therefore still be extant. </w:t>
      </w:r>
      <w:r w:rsidR="009812E2">
        <w:rPr>
          <w:rFonts w:cs="Arial"/>
          <w:sz w:val="20"/>
          <w:szCs w:val="20"/>
        </w:rPr>
        <w:t xml:space="preserve"> </w:t>
      </w:r>
      <w:r w:rsidRPr="006F51ED">
        <w:rPr>
          <w:rFonts w:cs="Arial"/>
          <w:sz w:val="20"/>
          <w:szCs w:val="20"/>
        </w:rPr>
        <w:t>Any claim for wrongful detention arising before 23 November 1990 will have been extinguished by prescription in accordance with the principles enunciated above.</w:t>
      </w:r>
      <w:r w:rsidR="00D0037B">
        <w:rPr>
          <w:rFonts w:cs="Arial"/>
        </w:rPr>
        <w:t>’</w:t>
      </w:r>
    </w:p>
    <w:p w14:paraId="080A69FD" w14:textId="5077737A" w:rsidR="0060434C" w:rsidRDefault="0060434C" w:rsidP="0060434C">
      <w:pPr>
        <w:pStyle w:val="ListParagraph"/>
        <w:spacing w:before="360" w:after="120" w:line="480" w:lineRule="auto"/>
        <w:ind w:left="1276" w:right="521"/>
        <w:contextualSpacing w:val="0"/>
        <w:rPr>
          <w:rFonts w:cs="Arial"/>
        </w:rPr>
      </w:pPr>
      <w:r>
        <w:rPr>
          <w:rFonts w:cs="Arial"/>
        </w:rPr>
        <w:t>(Own emphasis).</w:t>
      </w:r>
    </w:p>
    <w:p w14:paraId="0B31C001" w14:textId="57FF58EB" w:rsidR="009650A5" w:rsidRPr="007F700D" w:rsidRDefault="007F700D" w:rsidP="007F700D">
      <w:pPr>
        <w:spacing w:before="360" w:after="120" w:line="480" w:lineRule="auto"/>
        <w:ind w:left="709" w:hanging="720"/>
        <w:rPr>
          <w:rFonts w:cs="Arial"/>
        </w:rPr>
      </w:pPr>
      <w:r>
        <w:rPr>
          <w:rFonts w:cs="Arial"/>
        </w:rPr>
        <w:t>[59]</w:t>
      </w:r>
      <w:r>
        <w:rPr>
          <w:rFonts w:cs="Arial"/>
        </w:rPr>
        <w:tab/>
      </w:r>
      <w:proofErr w:type="spellStart"/>
      <w:r w:rsidR="0089105A" w:rsidRPr="007F700D">
        <w:rPr>
          <w:rFonts w:cs="Arial"/>
          <w:b/>
          <w:bCs/>
          <w:i/>
          <w:iCs/>
        </w:rPr>
        <w:t>Yekiso</w:t>
      </w:r>
      <w:proofErr w:type="spellEnd"/>
      <w:r w:rsidR="0089105A" w:rsidRPr="007F700D">
        <w:rPr>
          <w:rFonts w:cs="Arial"/>
        </w:rPr>
        <w:t xml:space="preserve"> and </w:t>
      </w:r>
      <w:proofErr w:type="spellStart"/>
      <w:r w:rsidR="0089105A" w:rsidRPr="007F700D">
        <w:rPr>
          <w:rFonts w:cs="Arial"/>
          <w:b/>
          <w:bCs/>
          <w:i/>
          <w:iCs/>
        </w:rPr>
        <w:t>Lombo</w:t>
      </w:r>
      <w:proofErr w:type="spellEnd"/>
      <w:r w:rsidR="0089105A" w:rsidRPr="007F700D">
        <w:rPr>
          <w:rFonts w:cs="Arial"/>
        </w:rPr>
        <w:t xml:space="preserve"> </w:t>
      </w:r>
      <w:r w:rsidR="003364D1" w:rsidRPr="007F700D">
        <w:rPr>
          <w:rFonts w:cs="Arial"/>
        </w:rPr>
        <w:t>further</w:t>
      </w:r>
      <w:r w:rsidR="001F1103" w:rsidRPr="007F700D">
        <w:rPr>
          <w:rFonts w:cs="Arial"/>
        </w:rPr>
        <w:t xml:space="preserve"> </w:t>
      </w:r>
      <w:r w:rsidR="0089105A" w:rsidRPr="007F700D">
        <w:rPr>
          <w:rFonts w:cs="Arial"/>
        </w:rPr>
        <w:t xml:space="preserve">serve to illustrate that </w:t>
      </w:r>
      <w:r w:rsidR="005E203E" w:rsidRPr="007F700D">
        <w:rPr>
          <w:rFonts w:cs="Arial"/>
        </w:rPr>
        <w:t xml:space="preserve">in </w:t>
      </w:r>
      <w:r w:rsidR="0062745D" w:rsidRPr="007F700D">
        <w:rPr>
          <w:rFonts w:cs="Arial"/>
        </w:rPr>
        <w:t xml:space="preserve">respect of </w:t>
      </w:r>
      <w:r w:rsidR="005E203E" w:rsidRPr="007F700D">
        <w:rPr>
          <w:rFonts w:cs="Arial"/>
          <w:i/>
          <w:iCs/>
        </w:rPr>
        <w:t>unlawful</w:t>
      </w:r>
      <w:r w:rsidR="005E203E" w:rsidRPr="007F700D">
        <w:rPr>
          <w:rFonts w:cs="Arial"/>
        </w:rPr>
        <w:t xml:space="preserve"> detention</w:t>
      </w:r>
      <w:r w:rsidR="004A6DD1" w:rsidRPr="007F700D">
        <w:rPr>
          <w:rFonts w:cs="Arial"/>
        </w:rPr>
        <w:t xml:space="preserve"> each day spent in detention gives rise to a sepa</w:t>
      </w:r>
      <w:r w:rsidR="000E36F6" w:rsidRPr="007F700D">
        <w:rPr>
          <w:rFonts w:cs="Arial"/>
        </w:rPr>
        <w:t xml:space="preserve">rate claim.  Prescription </w:t>
      </w:r>
      <w:r w:rsidR="00B6570D" w:rsidRPr="007F700D">
        <w:rPr>
          <w:rFonts w:cs="Arial"/>
        </w:rPr>
        <w:t xml:space="preserve">for each such claim </w:t>
      </w:r>
      <w:r w:rsidR="000E36F6" w:rsidRPr="007F700D">
        <w:rPr>
          <w:rFonts w:cs="Arial"/>
        </w:rPr>
        <w:t xml:space="preserve">commences running </w:t>
      </w:r>
      <w:r w:rsidR="00C623F6" w:rsidRPr="007F700D">
        <w:rPr>
          <w:rFonts w:cs="Arial"/>
        </w:rPr>
        <w:t xml:space="preserve">separately </w:t>
      </w:r>
      <w:r w:rsidR="005B1F8C" w:rsidRPr="007F700D">
        <w:rPr>
          <w:rFonts w:cs="Arial"/>
        </w:rPr>
        <w:t xml:space="preserve">as each </w:t>
      </w:r>
      <w:r w:rsidR="001F1909" w:rsidRPr="007F700D">
        <w:rPr>
          <w:rFonts w:cs="Arial"/>
        </w:rPr>
        <w:t xml:space="preserve">day of detention passes.  </w:t>
      </w:r>
      <w:r w:rsidR="006627F8" w:rsidRPr="007F700D">
        <w:rPr>
          <w:rFonts w:cs="Arial"/>
        </w:rPr>
        <w:t xml:space="preserve">This </w:t>
      </w:r>
      <w:r w:rsidR="00A7310B" w:rsidRPr="007F700D">
        <w:rPr>
          <w:rFonts w:cs="Arial"/>
        </w:rPr>
        <w:t xml:space="preserve">is not comparable to the </w:t>
      </w:r>
      <w:r w:rsidR="00D15544" w:rsidRPr="007F700D">
        <w:rPr>
          <w:rFonts w:cs="Arial"/>
        </w:rPr>
        <w:t xml:space="preserve">situation </w:t>
      </w:r>
      <w:r w:rsidR="00C623F6" w:rsidRPr="007F700D">
        <w:rPr>
          <w:rFonts w:cs="Arial"/>
        </w:rPr>
        <w:t>where a</w:t>
      </w:r>
      <w:r w:rsidR="00CA33F8" w:rsidRPr="007F700D">
        <w:rPr>
          <w:rFonts w:cs="Arial"/>
        </w:rPr>
        <w:t xml:space="preserve"> </w:t>
      </w:r>
      <w:r w:rsidR="00CA33F8" w:rsidRPr="007F700D">
        <w:rPr>
          <w:rFonts w:cs="Arial"/>
          <w:i/>
          <w:iCs/>
        </w:rPr>
        <w:t>malicious</w:t>
      </w:r>
      <w:r w:rsidR="00CA33F8" w:rsidRPr="007F700D">
        <w:rPr>
          <w:rFonts w:cs="Arial"/>
        </w:rPr>
        <w:t xml:space="preserve"> arrest </w:t>
      </w:r>
      <w:r w:rsidR="00954506" w:rsidRPr="007F700D">
        <w:rPr>
          <w:rFonts w:cs="Arial"/>
        </w:rPr>
        <w:t xml:space="preserve">is effected </w:t>
      </w:r>
      <w:r w:rsidR="00CA33F8" w:rsidRPr="007F700D">
        <w:rPr>
          <w:rFonts w:cs="Arial"/>
        </w:rPr>
        <w:t xml:space="preserve">and </w:t>
      </w:r>
      <w:r w:rsidR="00954506" w:rsidRPr="007F700D">
        <w:rPr>
          <w:rFonts w:cs="Arial"/>
        </w:rPr>
        <w:t xml:space="preserve">(subsequent) </w:t>
      </w:r>
      <w:r w:rsidR="00CA33F8" w:rsidRPr="007F700D">
        <w:rPr>
          <w:rFonts w:cs="Arial"/>
        </w:rPr>
        <w:t xml:space="preserve">detention </w:t>
      </w:r>
      <w:r w:rsidR="0062219C" w:rsidRPr="007F700D">
        <w:rPr>
          <w:rFonts w:cs="Arial"/>
        </w:rPr>
        <w:t>occurs.  In this latter situat</w:t>
      </w:r>
      <w:r w:rsidR="00E154DA" w:rsidRPr="007F700D">
        <w:rPr>
          <w:rFonts w:cs="Arial"/>
        </w:rPr>
        <w:t xml:space="preserve">ion </w:t>
      </w:r>
      <w:r w:rsidR="00CA33F8" w:rsidRPr="007F700D">
        <w:rPr>
          <w:rFonts w:cs="Arial"/>
        </w:rPr>
        <w:t xml:space="preserve">the </w:t>
      </w:r>
      <w:r w:rsidR="00F71B5A" w:rsidRPr="007F700D">
        <w:rPr>
          <w:rFonts w:cs="Arial"/>
          <w:i/>
          <w:iCs/>
        </w:rPr>
        <w:t xml:space="preserve">period </w:t>
      </w:r>
      <w:r w:rsidR="00CA33F8" w:rsidRPr="007F700D">
        <w:rPr>
          <w:rFonts w:cs="Arial"/>
          <w:i/>
          <w:iCs/>
        </w:rPr>
        <w:t>from arrest to acquittal are regarded as continuous</w:t>
      </w:r>
      <w:r w:rsidR="00CA33F8" w:rsidRPr="007F700D">
        <w:rPr>
          <w:rFonts w:cs="Arial"/>
        </w:rPr>
        <w:t xml:space="preserve"> and no action for </w:t>
      </w:r>
      <w:r w:rsidR="00445395" w:rsidRPr="007F700D">
        <w:rPr>
          <w:rFonts w:cs="Arial"/>
        </w:rPr>
        <w:t xml:space="preserve">any </w:t>
      </w:r>
      <w:r w:rsidR="00CA33F8" w:rsidRPr="007F700D">
        <w:rPr>
          <w:rFonts w:cs="Arial"/>
        </w:rPr>
        <w:t xml:space="preserve">personal </w:t>
      </w:r>
      <w:r w:rsidR="00E57011" w:rsidRPr="007F700D">
        <w:rPr>
          <w:rFonts w:cs="Arial"/>
        </w:rPr>
        <w:t xml:space="preserve">wrong </w:t>
      </w:r>
      <w:r w:rsidR="00CA33F8" w:rsidRPr="007F700D">
        <w:rPr>
          <w:rFonts w:cs="Arial"/>
        </w:rPr>
        <w:t xml:space="preserve">done will arise until the </w:t>
      </w:r>
      <w:r w:rsidR="00424D31" w:rsidRPr="007F700D">
        <w:rPr>
          <w:rFonts w:cs="Arial"/>
        </w:rPr>
        <w:t xml:space="preserve">criminal </w:t>
      </w:r>
      <w:r w:rsidR="00CA33F8" w:rsidRPr="007F700D">
        <w:rPr>
          <w:rFonts w:cs="Arial"/>
        </w:rPr>
        <w:t xml:space="preserve">prosecution </w:t>
      </w:r>
      <w:r w:rsidR="00424D31" w:rsidRPr="007F700D">
        <w:rPr>
          <w:rFonts w:cs="Arial"/>
        </w:rPr>
        <w:t xml:space="preserve">of the </w:t>
      </w:r>
      <w:r w:rsidR="00E57011" w:rsidRPr="007F700D">
        <w:rPr>
          <w:rFonts w:cs="Arial"/>
        </w:rPr>
        <w:t xml:space="preserve">person </w:t>
      </w:r>
      <w:r w:rsidR="001C4CAF" w:rsidRPr="007F700D">
        <w:rPr>
          <w:rFonts w:cs="Arial"/>
        </w:rPr>
        <w:t xml:space="preserve">wronged or injured </w:t>
      </w:r>
      <w:r w:rsidR="00CA33F8" w:rsidRPr="007F700D">
        <w:rPr>
          <w:rFonts w:cs="Arial"/>
        </w:rPr>
        <w:t xml:space="preserve">has been determined by </w:t>
      </w:r>
      <w:r w:rsidR="0049635F" w:rsidRPr="007F700D">
        <w:rPr>
          <w:rFonts w:cs="Arial"/>
        </w:rPr>
        <w:t xml:space="preserve">a </w:t>
      </w:r>
      <w:r w:rsidR="00732B68" w:rsidRPr="007F700D">
        <w:rPr>
          <w:rFonts w:cs="Arial"/>
        </w:rPr>
        <w:t xml:space="preserve">favourable </w:t>
      </w:r>
      <w:r w:rsidR="00CA33F8" w:rsidRPr="007F700D">
        <w:rPr>
          <w:rFonts w:cs="Arial"/>
        </w:rPr>
        <w:t>discharge</w:t>
      </w:r>
      <w:r w:rsidR="00973541" w:rsidRPr="007F700D">
        <w:rPr>
          <w:rFonts w:cs="Arial"/>
        </w:rPr>
        <w:t xml:space="preserve"> in those </w:t>
      </w:r>
      <w:r w:rsidR="00973541" w:rsidRPr="007F700D">
        <w:rPr>
          <w:rFonts w:cs="Arial"/>
        </w:rPr>
        <w:lastRenderedPageBreak/>
        <w:t>proceedings</w:t>
      </w:r>
      <w:r w:rsidR="00732B68" w:rsidRPr="007F700D">
        <w:rPr>
          <w:rFonts w:cs="Arial"/>
        </w:rPr>
        <w:t>.</w:t>
      </w:r>
      <w:r w:rsidR="00FE3595" w:rsidRPr="007F700D">
        <w:rPr>
          <w:rFonts w:cs="Arial"/>
        </w:rPr>
        <w:t xml:space="preserve">  </w:t>
      </w:r>
      <w:r w:rsidR="007D5CB0" w:rsidRPr="007F700D">
        <w:rPr>
          <w:rFonts w:cs="Arial"/>
        </w:rPr>
        <w:t xml:space="preserve">This has </w:t>
      </w:r>
      <w:r w:rsidR="00F4248A" w:rsidRPr="007F700D">
        <w:rPr>
          <w:rFonts w:cs="Arial"/>
        </w:rPr>
        <w:t xml:space="preserve">authoritatively been decided by </w:t>
      </w:r>
      <w:r w:rsidR="00F4248A" w:rsidRPr="007F700D">
        <w:rPr>
          <w:rFonts w:cs="Arial"/>
          <w:b/>
          <w:bCs/>
          <w:i/>
          <w:iCs/>
        </w:rPr>
        <w:t>Thompson</w:t>
      </w:r>
      <w:r w:rsidR="00F4248A" w:rsidRPr="007F700D">
        <w:rPr>
          <w:rFonts w:cs="Arial"/>
        </w:rPr>
        <w:t xml:space="preserve">, </w:t>
      </w:r>
      <w:r w:rsidR="008E1E35" w:rsidRPr="007F700D">
        <w:rPr>
          <w:rFonts w:cs="Arial"/>
        </w:rPr>
        <w:t>as explained above</w:t>
      </w:r>
      <w:r w:rsidR="00C76E94" w:rsidRPr="007F700D">
        <w:rPr>
          <w:rFonts w:cs="Arial"/>
        </w:rPr>
        <w:t xml:space="preserve">.  </w:t>
      </w:r>
    </w:p>
    <w:p w14:paraId="393BB7D6" w14:textId="05CB32BB" w:rsidR="00FE73A0" w:rsidRPr="007F700D" w:rsidRDefault="007F700D" w:rsidP="007F700D">
      <w:pPr>
        <w:spacing w:before="360" w:after="120" w:line="480" w:lineRule="auto"/>
        <w:ind w:left="709" w:hanging="720"/>
        <w:rPr>
          <w:rFonts w:cs="Arial"/>
        </w:rPr>
      </w:pPr>
      <w:r w:rsidRPr="00A965ED">
        <w:rPr>
          <w:rFonts w:cs="Arial"/>
        </w:rPr>
        <w:t>[60]</w:t>
      </w:r>
      <w:r w:rsidRPr="00A965ED">
        <w:rPr>
          <w:rFonts w:cs="Arial"/>
        </w:rPr>
        <w:tab/>
      </w:r>
      <w:r w:rsidR="00C76E94" w:rsidRPr="007F700D">
        <w:rPr>
          <w:rFonts w:cs="Arial"/>
        </w:rPr>
        <w:t>In summary</w:t>
      </w:r>
      <w:r w:rsidR="00A91FC1" w:rsidRPr="007F700D">
        <w:rPr>
          <w:rFonts w:cs="Arial"/>
        </w:rPr>
        <w:t xml:space="preserve">, I conclude that </w:t>
      </w:r>
      <w:r w:rsidR="00305FDC" w:rsidRPr="007F700D">
        <w:rPr>
          <w:rFonts w:cs="Arial"/>
        </w:rPr>
        <w:t xml:space="preserve">Mr </w:t>
      </w:r>
      <w:proofErr w:type="spellStart"/>
      <w:r w:rsidR="00305FDC" w:rsidRPr="007F700D">
        <w:rPr>
          <w:rFonts w:cs="Arial"/>
        </w:rPr>
        <w:t>Mangasa’s</w:t>
      </w:r>
      <w:proofErr w:type="spellEnd"/>
      <w:r w:rsidR="00305FDC" w:rsidRPr="007F700D">
        <w:rPr>
          <w:rFonts w:cs="Arial"/>
        </w:rPr>
        <w:t xml:space="preserve"> claims for </w:t>
      </w:r>
      <w:r w:rsidR="00305FDC" w:rsidRPr="007F700D">
        <w:rPr>
          <w:rFonts w:cs="Arial"/>
          <w:i/>
          <w:iCs/>
        </w:rPr>
        <w:t>malicious</w:t>
      </w:r>
      <w:r w:rsidR="00305FDC" w:rsidRPr="007F700D">
        <w:rPr>
          <w:rFonts w:cs="Arial"/>
        </w:rPr>
        <w:t xml:space="preserve"> arrest and detention only became </w:t>
      </w:r>
      <w:r w:rsidR="00305FDC" w:rsidRPr="007F700D">
        <w:rPr>
          <w:rFonts w:cs="Arial"/>
          <w:i/>
          <w:iCs/>
        </w:rPr>
        <w:t>due</w:t>
      </w:r>
      <w:r w:rsidR="00305FDC" w:rsidRPr="007F700D">
        <w:rPr>
          <w:rFonts w:cs="Arial"/>
        </w:rPr>
        <w:t xml:space="preserve"> on </w:t>
      </w:r>
      <w:r w:rsidR="00EA77EE" w:rsidRPr="007F700D">
        <w:rPr>
          <w:rFonts w:cs="Arial"/>
        </w:rPr>
        <w:t>4 May 2021</w:t>
      </w:r>
      <w:r w:rsidR="009F6BE1" w:rsidRPr="007F700D">
        <w:rPr>
          <w:rFonts w:cs="Arial"/>
        </w:rPr>
        <w:t xml:space="preserve">, when the criminal proceedings instituted against </w:t>
      </w:r>
      <w:r w:rsidR="0058719A" w:rsidRPr="007F700D">
        <w:rPr>
          <w:rFonts w:cs="Arial"/>
        </w:rPr>
        <w:t xml:space="preserve">Mr </w:t>
      </w:r>
      <w:proofErr w:type="spellStart"/>
      <w:r w:rsidR="0058719A" w:rsidRPr="007F700D">
        <w:rPr>
          <w:rFonts w:cs="Arial"/>
        </w:rPr>
        <w:t>Mangasa</w:t>
      </w:r>
      <w:proofErr w:type="spellEnd"/>
      <w:r w:rsidR="009F6BE1" w:rsidRPr="007F700D">
        <w:rPr>
          <w:rFonts w:cs="Arial"/>
        </w:rPr>
        <w:t xml:space="preserve"> </w:t>
      </w:r>
      <w:r w:rsidR="0058719A" w:rsidRPr="007F700D">
        <w:rPr>
          <w:rFonts w:cs="Arial"/>
        </w:rPr>
        <w:t xml:space="preserve">were successfully terminated in </w:t>
      </w:r>
      <w:r w:rsidR="001233D0" w:rsidRPr="007F700D">
        <w:rPr>
          <w:rFonts w:cs="Arial"/>
        </w:rPr>
        <w:t xml:space="preserve">his </w:t>
      </w:r>
      <w:r w:rsidR="0058719A" w:rsidRPr="007F700D">
        <w:rPr>
          <w:rFonts w:cs="Arial"/>
        </w:rPr>
        <w:t>favour.</w:t>
      </w:r>
      <w:r w:rsidR="0058719A">
        <w:rPr>
          <w:rStyle w:val="FootnoteReference"/>
          <w:rFonts w:cs="Arial"/>
        </w:rPr>
        <w:footnoteReference w:id="128"/>
      </w:r>
      <w:r w:rsidR="001233D0" w:rsidRPr="007F700D">
        <w:rPr>
          <w:rFonts w:cs="Arial"/>
        </w:rPr>
        <w:t xml:space="preserve">  </w:t>
      </w:r>
      <w:r w:rsidR="00810638" w:rsidRPr="007F700D">
        <w:rPr>
          <w:rFonts w:cs="Arial"/>
        </w:rPr>
        <w:t xml:space="preserve">That is the date on which </w:t>
      </w:r>
      <w:r w:rsidR="00FA72AA" w:rsidRPr="007F700D">
        <w:rPr>
          <w:rFonts w:cs="Arial"/>
        </w:rPr>
        <w:t xml:space="preserve">Mr </w:t>
      </w:r>
      <w:proofErr w:type="spellStart"/>
      <w:r w:rsidR="00FA72AA" w:rsidRPr="007F700D">
        <w:rPr>
          <w:rFonts w:cs="Arial"/>
        </w:rPr>
        <w:t>Mangasa</w:t>
      </w:r>
      <w:proofErr w:type="spellEnd"/>
      <w:r w:rsidR="00FA72AA" w:rsidRPr="007F700D">
        <w:rPr>
          <w:rFonts w:cs="Arial"/>
        </w:rPr>
        <w:t xml:space="preserve"> </w:t>
      </w:r>
      <w:r w:rsidR="00C77564" w:rsidRPr="007F700D">
        <w:rPr>
          <w:rFonts w:cs="Arial"/>
        </w:rPr>
        <w:t xml:space="preserve">became </w:t>
      </w:r>
      <w:r w:rsidR="00FA72AA" w:rsidRPr="007F700D">
        <w:rPr>
          <w:rFonts w:cs="Arial"/>
        </w:rPr>
        <w:t xml:space="preserve">entitled </w:t>
      </w:r>
      <w:r w:rsidR="00A62E19" w:rsidRPr="007F700D">
        <w:rPr>
          <w:rFonts w:cs="Arial"/>
        </w:rPr>
        <w:t xml:space="preserve">to institute </w:t>
      </w:r>
      <w:r w:rsidR="00FA72AA" w:rsidRPr="007F700D">
        <w:rPr>
          <w:rFonts w:cs="Arial"/>
        </w:rPr>
        <w:t xml:space="preserve">the </w:t>
      </w:r>
      <w:proofErr w:type="spellStart"/>
      <w:r w:rsidR="00A62E19" w:rsidRPr="007F700D">
        <w:rPr>
          <w:rFonts w:cs="Arial"/>
          <w:i/>
          <w:iCs/>
        </w:rPr>
        <w:t>actio</w:t>
      </w:r>
      <w:proofErr w:type="spellEnd"/>
      <w:r w:rsidR="00FA72AA" w:rsidRPr="007F700D">
        <w:rPr>
          <w:rFonts w:cs="Arial"/>
          <w:i/>
          <w:iCs/>
        </w:rPr>
        <w:t xml:space="preserve"> </w:t>
      </w:r>
      <w:proofErr w:type="spellStart"/>
      <w:r w:rsidR="00FA72AA" w:rsidRPr="007F700D">
        <w:rPr>
          <w:rFonts w:cs="Arial"/>
          <w:i/>
          <w:iCs/>
        </w:rPr>
        <w:t>iniuriarum</w:t>
      </w:r>
      <w:proofErr w:type="spellEnd"/>
      <w:r w:rsidR="00A62E19" w:rsidRPr="007F700D">
        <w:rPr>
          <w:rFonts w:cs="Arial"/>
        </w:rPr>
        <w:t xml:space="preserve"> and to pursue his claim </w:t>
      </w:r>
      <w:r w:rsidR="000B124B" w:rsidRPr="007F700D">
        <w:rPr>
          <w:rFonts w:cs="Arial"/>
        </w:rPr>
        <w:t>against, among others, the Minister.</w:t>
      </w:r>
      <w:r w:rsidR="000B124B">
        <w:rPr>
          <w:rStyle w:val="FootnoteReference"/>
          <w:rFonts w:cs="Arial"/>
        </w:rPr>
        <w:footnoteReference w:id="129"/>
      </w:r>
      <w:r w:rsidR="00C77564" w:rsidRPr="007F700D">
        <w:rPr>
          <w:rFonts w:cs="Arial"/>
        </w:rPr>
        <w:t xml:space="preserve">  </w:t>
      </w:r>
      <w:r w:rsidR="00A965ED" w:rsidRPr="007F700D">
        <w:rPr>
          <w:rFonts w:cs="Arial"/>
        </w:rPr>
        <w:t xml:space="preserve">Consequently, </w:t>
      </w:r>
      <w:r w:rsidR="00542CA5" w:rsidRPr="007F700D">
        <w:rPr>
          <w:rFonts w:cs="Arial"/>
        </w:rPr>
        <w:t xml:space="preserve">I find </w:t>
      </w:r>
      <w:r w:rsidR="00E40834" w:rsidRPr="007F700D">
        <w:rPr>
          <w:rFonts w:cs="Arial"/>
        </w:rPr>
        <w:t xml:space="preserve">that </w:t>
      </w:r>
      <w:r w:rsidR="009E2DBB" w:rsidRPr="007F700D">
        <w:rPr>
          <w:rFonts w:cs="Arial"/>
        </w:rPr>
        <w:t xml:space="preserve">the earliest </w:t>
      </w:r>
      <w:r w:rsidR="00FA1491" w:rsidRPr="007F700D">
        <w:rPr>
          <w:rFonts w:cs="Arial"/>
        </w:rPr>
        <w:t xml:space="preserve">date on which Mr </w:t>
      </w:r>
      <w:proofErr w:type="spellStart"/>
      <w:r w:rsidR="00FA1491" w:rsidRPr="007F700D">
        <w:rPr>
          <w:rFonts w:cs="Arial"/>
        </w:rPr>
        <w:t>Mangasa’s</w:t>
      </w:r>
      <w:proofErr w:type="spellEnd"/>
      <w:r w:rsidR="009D329A" w:rsidRPr="007F700D">
        <w:rPr>
          <w:rFonts w:cs="Arial"/>
        </w:rPr>
        <w:t xml:space="preserve"> claim for</w:t>
      </w:r>
      <w:r w:rsidR="00FA1491" w:rsidRPr="007F700D">
        <w:rPr>
          <w:rFonts w:cs="Arial"/>
        </w:rPr>
        <w:t xml:space="preserve"> </w:t>
      </w:r>
      <w:r w:rsidR="009D329A" w:rsidRPr="007F700D">
        <w:rPr>
          <w:rFonts w:cs="Arial"/>
          <w:i/>
          <w:iCs/>
        </w:rPr>
        <w:t>malicious arrest, detention and prosecution</w:t>
      </w:r>
      <w:r w:rsidR="009D329A" w:rsidRPr="007F700D">
        <w:rPr>
          <w:rFonts w:cs="Arial"/>
        </w:rPr>
        <w:t xml:space="preserve"> – and, hence, the Min</w:t>
      </w:r>
      <w:r w:rsidR="00E429C5" w:rsidRPr="007F700D">
        <w:rPr>
          <w:rFonts w:cs="Arial"/>
        </w:rPr>
        <w:t>ister</w:t>
      </w:r>
      <w:r w:rsidR="00D73B84" w:rsidRPr="007F700D">
        <w:rPr>
          <w:rFonts w:cs="Arial"/>
        </w:rPr>
        <w:t xml:space="preserve">’s alleged </w:t>
      </w:r>
      <w:r w:rsidR="00D73B84" w:rsidRPr="007F700D">
        <w:rPr>
          <w:rFonts w:cs="Arial"/>
          <w:i/>
          <w:iCs/>
        </w:rPr>
        <w:t>debt</w:t>
      </w:r>
      <w:r w:rsidR="00D73B84" w:rsidRPr="007F700D">
        <w:rPr>
          <w:rFonts w:cs="Arial"/>
        </w:rPr>
        <w:t xml:space="preserve"> </w:t>
      </w:r>
      <w:r w:rsidR="00052DCE" w:rsidRPr="007F700D">
        <w:rPr>
          <w:rFonts w:cs="Arial"/>
        </w:rPr>
        <w:t xml:space="preserve">to </w:t>
      </w:r>
      <w:r w:rsidR="000A106F" w:rsidRPr="007F700D">
        <w:rPr>
          <w:rFonts w:cs="Arial"/>
        </w:rPr>
        <w:t xml:space="preserve">Mr </w:t>
      </w:r>
      <w:proofErr w:type="spellStart"/>
      <w:r w:rsidR="000A106F" w:rsidRPr="007F700D">
        <w:rPr>
          <w:rFonts w:cs="Arial"/>
        </w:rPr>
        <w:t>Mangasa</w:t>
      </w:r>
      <w:proofErr w:type="spellEnd"/>
      <w:r w:rsidR="00052DCE" w:rsidRPr="007F700D">
        <w:rPr>
          <w:rFonts w:cs="Arial"/>
        </w:rPr>
        <w:t xml:space="preserve"> </w:t>
      </w:r>
      <w:r w:rsidR="000A106F" w:rsidRPr="007F700D">
        <w:rPr>
          <w:rFonts w:cs="Arial"/>
        </w:rPr>
        <w:t>–</w:t>
      </w:r>
      <w:r w:rsidR="00F53257" w:rsidRPr="007F700D">
        <w:rPr>
          <w:rFonts w:cs="Arial"/>
        </w:rPr>
        <w:t xml:space="preserve"> will become </w:t>
      </w:r>
      <w:r w:rsidR="000A106F" w:rsidRPr="007F700D">
        <w:rPr>
          <w:rFonts w:cs="Arial"/>
        </w:rPr>
        <w:t>prescribed</w:t>
      </w:r>
      <w:r w:rsidR="003B22EC" w:rsidRPr="007F700D">
        <w:rPr>
          <w:rFonts w:cs="Arial"/>
        </w:rPr>
        <w:t xml:space="preserve">, is </w:t>
      </w:r>
      <w:r w:rsidR="0027205C" w:rsidRPr="007F700D">
        <w:rPr>
          <w:rFonts w:cs="Arial"/>
        </w:rPr>
        <w:t>3 May 2024.</w:t>
      </w:r>
      <w:r w:rsidR="00B57934" w:rsidRPr="007F700D">
        <w:rPr>
          <w:rFonts w:cs="Arial"/>
        </w:rPr>
        <w:t xml:space="preserve">  </w:t>
      </w:r>
      <w:r w:rsidR="00B4274B" w:rsidRPr="007F700D">
        <w:rPr>
          <w:rFonts w:cs="Arial"/>
        </w:rPr>
        <w:t>Th</w:t>
      </w:r>
      <w:r w:rsidR="00B83803" w:rsidRPr="007F700D">
        <w:rPr>
          <w:rFonts w:cs="Arial"/>
        </w:rPr>
        <w:t>is</w:t>
      </w:r>
      <w:r w:rsidR="00B4274B" w:rsidRPr="007F700D">
        <w:rPr>
          <w:rFonts w:cs="Arial"/>
        </w:rPr>
        <w:t xml:space="preserve"> de</w:t>
      </w:r>
      <w:r w:rsidR="00B83803" w:rsidRPr="007F700D">
        <w:rPr>
          <w:rFonts w:cs="Arial"/>
        </w:rPr>
        <w:t xml:space="preserve">bt is therefore still extant for purposes of </w:t>
      </w:r>
      <w:r w:rsidR="00B20A4F" w:rsidRPr="007F700D">
        <w:rPr>
          <w:rFonts w:cs="Arial"/>
        </w:rPr>
        <w:t xml:space="preserve">Mr </w:t>
      </w:r>
      <w:proofErr w:type="spellStart"/>
      <w:r w:rsidR="00B20A4F" w:rsidRPr="007F700D">
        <w:rPr>
          <w:rFonts w:cs="Arial"/>
        </w:rPr>
        <w:t>Mangasa’s</w:t>
      </w:r>
      <w:proofErr w:type="spellEnd"/>
      <w:r w:rsidR="00B20A4F" w:rsidRPr="007F700D">
        <w:rPr>
          <w:rFonts w:cs="Arial"/>
        </w:rPr>
        <w:t xml:space="preserve"> claim</w:t>
      </w:r>
      <w:r w:rsidR="00B83803" w:rsidRPr="007F700D">
        <w:rPr>
          <w:rFonts w:cs="Arial"/>
        </w:rPr>
        <w:t xml:space="preserve">, as the summons </w:t>
      </w:r>
      <w:r w:rsidR="00551B29" w:rsidRPr="007F700D">
        <w:rPr>
          <w:rFonts w:cs="Arial"/>
        </w:rPr>
        <w:t xml:space="preserve">already </w:t>
      </w:r>
      <w:r w:rsidR="00B83803" w:rsidRPr="007F700D">
        <w:rPr>
          <w:rFonts w:cs="Arial"/>
        </w:rPr>
        <w:t xml:space="preserve">was served on the Minister </w:t>
      </w:r>
      <w:r w:rsidR="0039362D" w:rsidRPr="007F700D">
        <w:rPr>
          <w:rFonts w:cs="Arial"/>
        </w:rPr>
        <w:t xml:space="preserve">on </w:t>
      </w:r>
      <w:r w:rsidR="00551B29" w:rsidRPr="007F700D">
        <w:rPr>
          <w:rFonts w:cs="Arial"/>
        </w:rPr>
        <w:t>23 February 2023</w:t>
      </w:r>
      <w:r w:rsidR="002A592A" w:rsidRPr="007F700D">
        <w:rPr>
          <w:rFonts w:cs="Arial"/>
        </w:rPr>
        <w:t xml:space="preserve">, </w:t>
      </w:r>
      <w:r w:rsidR="00044E05" w:rsidRPr="007F700D">
        <w:rPr>
          <w:rFonts w:cs="Arial"/>
        </w:rPr>
        <w:t xml:space="preserve">approximately </w:t>
      </w:r>
      <w:r w:rsidR="00E316B5" w:rsidRPr="007F700D">
        <w:rPr>
          <w:rFonts w:cs="Arial"/>
        </w:rPr>
        <w:t xml:space="preserve">some </w:t>
      </w:r>
      <w:r w:rsidR="00044E05" w:rsidRPr="007F700D">
        <w:rPr>
          <w:rFonts w:cs="Arial"/>
        </w:rPr>
        <w:t xml:space="preserve">fourteen (14) months prior to </w:t>
      </w:r>
      <w:r w:rsidR="007D7A56" w:rsidRPr="007F700D">
        <w:rPr>
          <w:rFonts w:cs="Arial"/>
        </w:rPr>
        <w:t>the expiry of the prescriptive period referred to in s 11(d) of the Pre</w:t>
      </w:r>
      <w:r w:rsidR="007C3DD9" w:rsidRPr="007F700D">
        <w:rPr>
          <w:rFonts w:cs="Arial"/>
        </w:rPr>
        <w:t xml:space="preserve">scription Act.  </w:t>
      </w:r>
    </w:p>
    <w:p w14:paraId="3C29D619" w14:textId="25DBA937" w:rsidR="00B37A53" w:rsidRPr="007F700D" w:rsidRDefault="007F700D" w:rsidP="007F700D">
      <w:pPr>
        <w:spacing w:before="360" w:after="120" w:line="480" w:lineRule="auto"/>
        <w:ind w:left="709" w:hanging="720"/>
        <w:rPr>
          <w:rFonts w:cs="Arial"/>
        </w:rPr>
      </w:pPr>
      <w:r>
        <w:rPr>
          <w:rFonts w:cs="Arial"/>
        </w:rPr>
        <w:t>[61]</w:t>
      </w:r>
      <w:r>
        <w:rPr>
          <w:rFonts w:cs="Arial"/>
        </w:rPr>
        <w:tab/>
      </w:r>
      <w:r w:rsidR="005D1F1A" w:rsidRPr="007F700D">
        <w:rPr>
          <w:rFonts w:cs="Arial"/>
        </w:rPr>
        <w:t xml:space="preserve">I now turn </w:t>
      </w:r>
      <w:r w:rsidR="009620A2" w:rsidRPr="007F700D">
        <w:rPr>
          <w:rFonts w:cs="Arial"/>
        </w:rPr>
        <w:t xml:space="preserve">to considering </w:t>
      </w:r>
      <w:r w:rsidR="000E4E8F" w:rsidRPr="007F700D">
        <w:rPr>
          <w:rFonts w:cs="Arial"/>
        </w:rPr>
        <w:t xml:space="preserve">– in </w:t>
      </w:r>
      <w:r w:rsidR="005D1F1A" w:rsidRPr="007F700D">
        <w:rPr>
          <w:rFonts w:cs="Arial"/>
        </w:rPr>
        <w:t>accord</w:t>
      </w:r>
      <w:r w:rsidR="000E4E8F" w:rsidRPr="007F700D">
        <w:rPr>
          <w:rFonts w:cs="Arial"/>
        </w:rPr>
        <w:t>ance</w:t>
      </w:r>
      <w:r w:rsidR="005D1F1A" w:rsidRPr="007F700D">
        <w:rPr>
          <w:rFonts w:cs="Arial"/>
        </w:rPr>
        <w:t xml:space="preserve"> </w:t>
      </w:r>
      <w:r w:rsidR="007B1CD0" w:rsidRPr="007F700D">
        <w:rPr>
          <w:rFonts w:cs="Arial"/>
        </w:rPr>
        <w:t xml:space="preserve">with </w:t>
      </w:r>
      <w:r w:rsidR="005D1F1A" w:rsidRPr="007F700D">
        <w:rPr>
          <w:rFonts w:cs="Arial"/>
        </w:rPr>
        <w:t xml:space="preserve">the approach approved of in </w:t>
      </w:r>
      <w:proofErr w:type="spellStart"/>
      <w:r w:rsidR="005D1F1A" w:rsidRPr="007F700D">
        <w:rPr>
          <w:rFonts w:cs="Arial"/>
          <w:b/>
          <w:bCs/>
          <w:i/>
          <w:iCs/>
        </w:rPr>
        <w:t>Madinda’s</w:t>
      </w:r>
      <w:proofErr w:type="spellEnd"/>
      <w:r w:rsidR="005D1F1A" w:rsidRPr="007F700D">
        <w:rPr>
          <w:rFonts w:cs="Arial"/>
        </w:rPr>
        <w:t xml:space="preserve"> case</w:t>
      </w:r>
      <w:r w:rsidR="007B1CD0" w:rsidRPr="007F700D">
        <w:rPr>
          <w:rFonts w:cs="Arial"/>
        </w:rPr>
        <w:t xml:space="preserve"> -</w:t>
      </w:r>
      <w:r w:rsidR="000E4E8F" w:rsidRPr="007F700D">
        <w:rPr>
          <w:rFonts w:cs="Arial"/>
        </w:rPr>
        <w:t xml:space="preserve"> the remaining two requirements</w:t>
      </w:r>
      <w:r w:rsidR="007B1CD0" w:rsidRPr="007F700D">
        <w:rPr>
          <w:rFonts w:cs="Arial"/>
        </w:rPr>
        <w:t xml:space="preserve"> stipulated in </w:t>
      </w:r>
      <w:r w:rsidR="00206A91" w:rsidRPr="007F700D">
        <w:rPr>
          <w:rFonts w:cs="Arial"/>
        </w:rPr>
        <w:t>s 3(4)</w:t>
      </w:r>
      <w:r w:rsidR="00361D9C" w:rsidRPr="007F700D">
        <w:rPr>
          <w:rFonts w:cs="Arial"/>
        </w:rPr>
        <w:t>(b)(ii</w:t>
      </w:r>
      <w:r w:rsidR="001041D5" w:rsidRPr="007F700D">
        <w:rPr>
          <w:rFonts w:cs="Arial"/>
        </w:rPr>
        <w:t>) and (iii)</w:t>
      </w:r>
      <w:r w:rsidR="006505D8" w:rsidRPr="007F700D">
        <w:rPr>
          <w:rFonts w:cs="Arial"/>
        </w:rPr>
        <w:t xml:space="preserve"> of the ILPA.</w:t>
      </w:r>
    </w:p>
    <w:p w14:paraId="41C09D37" w14:textId="77777777" w:rsidR="00013479" w:rsidRDefault="00013479">
      <w:pPr>
        <w:spacing w:after="160" w:line="259" w:lineRule="auto"/>
        <w:jc w:val="left"/>
        <w:rPr>
          <w:rFonts w:cs="Arial"/>
          <w:b/>
          <w:bCs/>
        </w:rPr>
      </w:pPr>
      <w:r>
        <w:rPr>
          <w:rFonts w:cs="Arial"/>
          <w:b/>
          <w:bCs/>
        </w:rPr>
        <w:br w:type="page"/>
      </w:r>
    </w:p>
    <w:p w14:paraId="3555F7B6" w14:textId="0B4A703D" w:rsidR="005A6955" w:rsidRPr="00083BB7" w:rsidRDefault="00672F58" w:rsidP="00083BB7">
      <w:pPr>
        <w:spacing w:before="360" w:after="120" w:line="480" w:lineRule="auto"/>
        <w:ind w:left="-11"/>
        <w:rPr>
          <w:rFonts w:cs="Arial"/>
        </w:rPr>
      </w:pPr>
      <w:bookmarkStart w:id="72" w:name="_Hlk159421803"/>
      <w:r w:rsidRPr="00672F58">
        <w:rPr>
          <w:rFonts w:cs="Arial"/>
          <w:b/>
          <w:bCs/>
        </w:rPr>
        <w:lastRenderedPageBreak/>
        <w:t>THE SECOND REQUIREMENT OF GOOD CAUSE</w:t>
      </w:r>
      <w:bookmarkEnd w:id="72"/>
    </w:p>
    <w:p w14:paraId="6C2A4C82" w14:textId="6BE0A9E5" w:rsidR="00083BB7" w:rsidRPr="007F700D" w:rsidRDefault="007F700D" w:rsidP="007F700D">
      <w:pPr>
        <w:spacing w:before="360" w:after="120" w:line="480" w:lineRule="auto"/>
        <w:ind w:left="709" w:hanging="720"/>
        <w:rPr>
          <w:rFonts w:cs="Arial"/>
        </w:rPr>
      </w:pPr>
      <w:r>
        <w:rPr>
          <w:rFonts w:cs="Arial"/>
        </w:rPr>
        <w:t>[62]</w:t>
      </w:r>
      <w:r>
        <w:rPr>
          <w:rFonts w:cs="Arial"/>
        </w:rPr>
        <w:tab/>
      </w:r>
      <w:r w:rsidR="002E462E" w:rsidRPr="007F700D">
        <w:rPr>
          <w:rFonts w:cs="Arial"/>
        </w:rPr>
        <w:t xml:space="preserve">It is apposite, prior to undertaking a discussion </w:t>
      </w:r>
      <w:r w:rsidR="007C5332" w:rsidRPr="007F700D">
        <w:rPr>
          <w:rFonts w:cs="Arial"/>
        </w:rPr>
        <w:t xml:space="preserve">on the second requirement, to take stock of </w:t>
      </w:r>
      <w:r w:rsidR="008D3960" w:rsidRPr="007F700D">
        <w:rPr>
          <w:rFonts w:cs="Arial"/>
        </w:rPr>
        <w:t xml:space="preserve">the Mr </w:t>
      </w:r>
      <w:proofErr w:type="spellStart"/>
      <w:r w:rsidR="008D3960" w:rsidRPr="007F700D">
        <w:rPr>
          <w:rFonts w:cs="Arial"/>
        </w:rPr>
        <w:t>Mangasa’s</w:t>
      </w:r>
      <w:proofErr w:type="spellEnd"/>
      <w:r w:rsidR="008D3960" w:rsidRPr="007F700D">
        <w:rPr>
          <w:rFonts w:cs="Arial"/>
        </w:rPr>
        <w:t xml:space="preserve"> claims </w:t>
      </w:r>
      <w:r w:rsidR="00013479" w:rsidRPr="007F700D">
        <w:rPr>
          <w:rFonts w:cs="Arial"/>
        </w:rPr>
        <w:t xml:space="preserve">at this stage in the light of the conclusions </w:t>
      </w:r>
      <w:r w:rsidR="00DE352B" w:rsidRPr="007F700D">
        <w:rPr>
          <w:rFonts w:cs="Arial"/>
        </w:rPr>
        <w:t>arrived at under the first requirement.</w:t>
      </w:r>
    </w:p>
    <w:p w14:paraId="2D730510" w14:textId="161AC318" w:rsidR="00BF058F" w:rsidRPr="007F700D" w:rsidRDefault="007F700D" w:rsidP="007F700D">
      <w:pPr>
        <w:spacing w:before="360" w:after="120" w:line="480" w:lineRule="auto"/>
        <w:ind w:left="709" w:hanging="720"/>
        <w:rPr>
          <w:rFonts w:cs="Arial"/>
        </w:rPr>
      </w:pPr>
      <w:r>
        <w:rPr>
          <w:rFonts w:cs="Arial"/>
        </w:rPr>
        <w:t>[63]</w:t>
      </w:r>
      <w:r>
        <w:rPr>
          <w:rFonts w:cs="Arial"/>
        </w:rPr>
        <w:tab/>
      </w:r>
      <w:r w:rsidR="00DE352B" w:rsidRPr="007F700D">
        <w:rPr>
          <w:rFonts w:cs="Arial"/>
        </w:rPr>
        <w:t xml:space="preserve">Mr </w:t>
      </w:r>
      <w:proofErr w:type="spellStart"/>
      <w:r w:rsidR="00DE352B" w:rsidRPr="007F700D">
        <w:rPr>
          <w:rFonts w:cs="Arial"/>
        </w:rPr>
        <w:t>Mangasa’s</w:t>
      </w:r>
      <w:proofErr w:type="spellEnd"/>
      <w:r w:rsidR="00DE352B" w:rsidRPr="007F700D">
        <w:rPr>
          <w:rFonts w:cs="Arial"/>
        </w:rPr>
        <w:t xml:space="preserve"> </w:t>
      </w:r>
      <w:r w:rsidR="004F2FB3" w:rsidRPr="007F700D">
        <w:rPr>
          <w:rFonts w:cs="Arial"/>
        </w:rPr>
        <w:t>claim for unlawful assault prescribed on 17 December 2021.</w:t>
      </w:r>
      <w:r w:rsidR="00455ACD" w:rsidRPr="007F700D">
        <w:rPr>
          <w:rFonts w:cs="Arial"/>
        </w:rPr>
        <w:t xml:space="preserve">  His claims for </w:t>
      </w:r>
      <w:bookmarkStart w:id="73" w:name="_Hlk159420951"/>
      <w:r w:rsidR="002E61DB" w:rsidRPr="007F700D">
        <w:rPr>
          <w:rFonts w:cs="Arial"/>
          <w:i/>
          <w:iCs/>
        </w:rPr>
        <w:t>malicious</w:t>
      </w:r>
      <w:r w:rsidR="002E61DB" w:rsidRPr="007F700D">
        <w:rPr>
          <w:rFonts w:cs="Arial"/>
        </w:rPr>
        <w:t xml:space="preserve"> arrest, detention and </w:t>
      </w:r>
      <w:r w:rsidR="002E61DB" w:rsidRPr="007F700D">
        <w:rPr>
          <w:rFonts w:cs="Arial"/>
          <w:i/>
          <w:iCs/>
        </w:rPr>
        <w:t>malicious</w:t>
      </w:r>
      <w:r w:rsidR="002E61DB" w:rsidRPr="007F700D">
        <w:rPr>
          <w:rFonts w:cs="Arial"/>
        </w:rPr>
        <w:t xml:space="preserve"> prosecution </w:t>
      </w:r>
      <w:bookmarkEnd w:id="73"/>
      <w:r w:rsidR="00867D5C" w:rsidRPr="007F700D">
        <w:rPr>
          <w:rFonts w:cs="Arial"/>
        </w:rPr>
        <w:t xml:space="preserve">only </w:t>
      </w:r>
      <w:r w:rsidR="002E61DB" w:rsidRPr="007F700D">
        <w:rPr>
          <w:rFonts w:cs="Arial"/>
        </w:rPr>
        <w:t xml:space="preserve">became due </w:t>
      </w:r>
      <w:r w:rsidR="00867D5C" w:rsidRPr="007F700D">
        <w:rPr>
          <w:rFonts w:cs="Arial"/>
        </w:rPr>
        <w:t>on 4 May 2021</w:t>
      </w:r>
      <w:r w:rsidR="00AF10D6" w:rsidRPr="007F700D">
        <w:rPr>
          <w:rFonts w:cs="Arial"/>
        </w:rPr>
        <w:t xml:space="preserve"> and have not yet prescribed.  </w:t>
      </w:r>
      <w:r w:rsidR="00CF57FA" w:rsidRPr="007F700D">
        <w:rPr>
          <w:rFonts w:cs="Arial"/>
        </w:rPr>
        <w:t xml:space="preserve">Had service of the summons on the Minister not </w:t>
      </w:r>
      <w:r w:rsidR="002A15BB" w:rsidRPr="007F700D">
        <w:rPr>
          <w:rFonts w:cs="Arial"/>
        </w:rPr>
        <w:t>occurred</w:t>
      </w:r>
      <w:r w:rsidR="00A508A2" w:rsidRPr="007F700D">
        <w:rPr>
          <w:rFonts w:cs="Arial"/>
        </w:rPr>
        <w:t xml:space="preserve"> as far back as 23 February 2023</w:t>
      </w:r>
      <w:r w:rsidR="002A15BB" w:rsidRPr="007F700D">
        <w:rPr>
          <w:rFonts w:cs="Arial"/>
        </w:rPr>
        <w:t>, t</w:t>
      </w:r>
      <w:r w:rsidR="00AF10D6" w:rsidRPr="007F700D">
        <w:rPr>
          <w:rFonts w:cs="Arial"/>
        </w:rPr>
        <w:t>he</w:t>
      </w:r>
      <w:r w:rsidR="00693711" w:rsidRPr="007F700D">
        <w:rPr>
          <w:rFonts w:cs="Arial"/>
        </w:rPr>
        <w:t>se claims – and the Minister’s cor</w:t>
      </w:r>
      <w:r w:rsidR="00385445" w:rsidRPr="007F700D">
        <w:rPr>
          <w:rFonts w:cs="Arial"/>
        </w:rPr>
        <w:t>r</w:t>
      </w:r>
      <w:r w:rsidR="00693711" w:rsidRPr="007F700D">
        <w:rPr>
          <w:rFonts w:cs="Arial"/>
        </w:rPr>
        <w:t>elative debts</w:t>
      </w:r>
      <w:r w:rsidR="008D78B5" w:rsidRPr="007F700D">
        <w:rPr>
          <w:rFonts w:cs="Arial"/>
        </w:rPr>
        <w:t xml:space="preserve"> –</w:t>
      </w:r>
      <w:r w:rsidR="00AF10D6" w:rsidRPr="007F700D">
        <w:rPr>
          <w:rFonts w:cs="Arial"/>
        </w:rPr>
        <w:t xml:space="preserve"> </w:t>
      </w:r>
      <w:r w:rsidR="008D78B5" w:rsidRPr="007F700D">
        <w:rPr>
          <w:rFonts w:cs="Arial"/>
        </w:rPr>
        <w:t xml:space="preserve">might </w:t>
      </w:r>
      <w:r w:rsidR="00385445" w:rsidRPr="007F700D">
        <w:rPr>
          <w:rFonts w:cs="Arial"/>
        </w:rPr>
        <w:t xml:space="preserve">otherwise </w:t>
      </w:r>
      <w:r w:rsidR="00E87FE6" w:rsidRPr="007F700D">
        <w:rPr>
          <w:rFonts w:cs="Arial"/>
        </w:rPr>
        <w:t xml:space="preserve">become </w:t>
      </w:r>
      <w:r w:rsidR="00AF10D6" w:rsidRPr="007F700D">
        <w:rPr>
          <w:rFonts w:cs="Arial"/>
        </w:rPr>
        <w:t>prescribed on 3</w:t>
      </w:r>
      <w:r w:rsidR="00466CB2" w:rsidRPr="007F700D">
        <w:rPr>
          <w:rFonts w:cs="Arial"/>
        </w:rPr>
        <w:t> </w:t>
      </w:r>
      <w:r w:rsidR="00AF10D6" w:rsidRPr="007F700D">
        <w:rPr>
          <w:rFonts w:cs="Arial"/>
        </w:rPr>
        <w:t>May 2024</w:t>
      </w:r>
      <w:r w:rsidR="00693711" w:rsidRPr="007F700D">
        <w:rPr>
          <w:rFonts w:cs="Arial"/>
        </w:rPr>
        <w:t>.</w:t>
      </w:r>
      <w:r w:rsidR="007627D4" w:rsidRPr="007F700D">
        <w:rPr>
          <w:rFonts w:cs="Arial"/>
        </w:rPr>
        <w:t xml:space="preserve"> </w:t>
      </w:r>
    </w:p>
    <w:p w14:paraId="0143F721" w14:textId="3A774026" w:rsidR="00DE352B" w:rsidRPr="007F700D" w:rsidRDefault="007F700D" w:rsidP="007F700D">
      <w:pPr>
        <w:spacing w:before="360" w:after="120" w:line="480" w:lineRule="auto"/>
        <w:ind w:left="709" w:hanging="720"/>
        <w:rPr>
          <w:rFonts w:cs="Arial"/>
        </w:rPr>
      </w:pPr>
      <w:r>
        <w:rPr>
          <w:rFonts w:cs="Arial"/>
        </w:rPr>
        <w:t>[64]</w:t>
      </w:r>
      <w:r>
        <w:rPr>
          <w:rFonts w:cs="Arial"/>
        </w:rPr>
        <w:tab/>
      </w:r>
      <w:r w:rsidR="00D07081" w:rsidRPr="007F700D">
        <w:rPr>
          <w:rFonts w:cs="Arial"/>
        </w:rPr>
        <w:t>T</w:t>
      </w:r>
      <w:r w:rsidR="007D45E0" w:rsidRPr="007F700D">
        <w:rPr>
          <w:rFonts w:cs="Arial"/>
        </w:rPr>
        <w:t>he s 3(1) and (2) w</w:t>
      </w:r>
      <w:r w:rsidR="00890824" w:rsidRPr="007F700D">
        <w:rPr>
          <w:rFonts w:cs="Arial"/>
        </w:rPr>
        <w:t>ritten notice w</w:t>
      </w:r>
      <w:r w:rsidR="008925CC" w:rsidRPr="007F700D">
        <w:rPr>
          <w:rFonts w:cs="Arial"/>
        </w:rPr>
        <w:t>as</w:t>
      </w:r>
      <w:r w:rsidR="00890824" w:rsidRPr="007F700D">
        <w:rPr>
          <w:rFonts w:cs="Arial"/>
        </w:rPr>
        <w:t xml:space="preserve"> </w:t>
      </w:r>
      <w:r w:rsidR="008670A0" w:rsidRPr="007F700D">
        <w:rPr>
          <w:rFonts w:cs="Arial"/>
        </w:rPr>
        <w:t>served on the</w:t>
      </w:r>
      <w:r w:rsidR="00890824" w:rsidRPr="007F700D">
        <w:rPr>
          <w:rFonts w:cs="Arial"/>
        </w:rPr>
        <w:t xml:space="preserve"> Minister </w:t>
      </w:r>
      <w:r w:rsidR="008670A0" w:rsidRPr="007F700D">
        <w:rPr>
          <w:rFonts w:cs="Arial"/>
        </w:rPr>
        <w:t xml:space="preserve">during </w:t>
      </w:r>
      <w:r w:rsidR="00BD30CD" w:rsidRPr="007F700D">
        <w:rPr>
          <w:rFonts w:cs="Arial"/>
        </w:rPr>
        <w:t>May and</w:t>
      </w:r>
      <w:r w:rsidR="005429DE" w:rsidRPr="007F700D">
        <w:rPr>
          <w:rFonts w:cs="Arial"/>
        </w:rPr>
        <w:t>/or</w:t>
      </w:r>
      <w:r w:rsidR="00BD30CD" w:rsidRPr="007F700D">
        <w:rPr>
          <w:rFonts w:cs="Arial"/>
        </w:rPr>
        <w:t xml:space="preserve"> June 2021</w:t>
      </w:r>
      <w:r w:rsidR="005429DE" w:rsidRPr="007F700D">
        <w:rPr>
          <w:rFonts w:cs="Arial"/>
        </w:rPr>
        <w:t>.</w:t>
      </w:r>
      <w:r w:rsidR="00BD30CD">
        <w:rPr>
          <w:rStyle w:val="FootnoteReference"/>
          <w:rFonts w:cs="Arial"/>
        </w:rPr>
        <w:footnoteReference w:id="130"/>
      </w:r>
      <w:r w:rsidR="00BD30CD" w:rsidRPr="007F700D">
        <w:rPr>
          <w:rFonts w:cs="Arial"/>
        </w:rPr>
        <w:t xml:space="preserve"> </w:t>
      </w:r>
      <w:r w:rsidR="005429DE" w:rsidRPr="007F700D">
        <w:rPr>
          <w:rFonts w:cs="Arial"/>
        </w:rPr>
        <w:t xml:space="preserve"> </w:t>
      </w:r>
      <w:r w:rsidR="0028500F" w:rsidRPr="007F700D">
        <w:rPr>
          <w:rFonts w:cs="Arial"/>
        </w:rPr>
        <w:t xml:space="preserve">As far as the Mr </w:t>
      </w:r>
      <w:proofErr w:type="spellStart"/>
      <w:r w:rsidR="0028500F" w:rsidRPr="007F700D">
        <w:rPr>
          <w:rFonts w:cs="Arial"/>
        </w:rPr>
        <w:t>Mangasa’s</w:t>
      </w:r>
      <w:proofErr w:type="spellEnd"/>
      <w:r w:rsidR="0028500F" w:rsidRPr="007F700D">
        <w:rPr>
          <w:rFonts w:cs="Arial"/>
        </w:rPr>
        <w:t xml:space="preserve"> claim for assault is concerned, the notice w</w:t>
      </w:r>
      <w:r w:rsidR="008925CC" w:rsidRPr="007F700D">
        <w:rPr>
          <w:rFonts w:cs="Arial"/>
        </w:rPr>
        <w:t>as</w:t>
      </w:r>
      <w:r w:rsidR="0028500F" w:rsidRPr="007F700D">
        <w:rPr>
          <w:rFonts w:cs="Arial"/>
        </w:rPr>
        <w:t xml:space="preserve"> </w:t>
      </w:r>
      <w:r w:rsidR="00F3073F" w:rsidRPr="007F700D">
        <w:rPr>
          <w:rFonts w:cs="Arial"/>
        </w:rPr>
        <w:t>served far</w:t>
      </w:r>
      <w:r w:rsidR="0028500F" w:rsidRPr="007F700D">
        <w:rPr>
          <w:rFonts w:cs="Arial"/>
        </w:rPr>
        <w:t xml:space="preserve"> to</w:t>
      </w:r>
      <w:r w:rsidR="00C05F95" w:rsidRPr="007F700D">
        <w:rPr>
          <w:rFonts w:cs="Arial"/>
        </w:rPr>
        <w:t xml:space="preserve">o late, but </w:t>
      </w:r>
      <w:r w:rsidR="00091795" w:rsidRPr="007F700D">
        <w:rPr>
          <w:rFonts w:cs="Arial"/>
        </w:rPr>
        <w:t>it</w:t>
      </w:r>
      <w:r w:rsidR="00C05F95" w:rsidRPr="007F700D">
        <w:rPr>
          <w:rFonts w:cs="Arial"/>
        </w:rPr>
        <w:t xml:space="preserve"> w</w:t>
      </w:r>
      <w:r w:rsidR="00091795" w:rsidRPr="007F700D">
        <w:rPr>
          <w:rFonts w:cs="Arial"/>
        </w:rPr>
        <w:t>as</w:t>
      </w:r>
      <w:r w:rsidR="00C05F95" w:rsidRPr="007F700D">
        <w:rPr>
          <w:rFonts w:cs="Arial"/>
        </w:rPr>
        <w:t xml:space="preserve"> not </w:t>
      </w:r>
      <w:r w:rsidR="00F3073F" w:rsidRPr="007F700D">
        <w:rPr>
          <w:rFonts w:cs="Arial"/>
        </w:rPr>
        <w:t>served</w:t>
      </w:r>
      <w:r w:rsidR="00C05F95" w:rsidRPr="007F700D">
        <w:rPr>
          <w:rFonts w:cs="Arial"/>
        </w:rPr>
        <w:t xml:space="preserve"> too late in respect of his claims for </w:t>
      </w:r>
      <w:r w:rsidR="00C05F95" w:rsidRPr="007F700D">
        <w:rPr>
          <w:rFonts w:cs="Arial"/>
          <w:i/>
          <w:iCs/>
        </w:rPr>
        <w:t>malicious</w:t>
      </w:r>
      <w:r w:rsidR="00C05F95" w:rsidRPr="007F700D">
        <w:rPr>
          <w:rFonts w:cs="Arial"/>
        </w:rPr>
        <w:t xml:space="preserve"> arrest, detention and </w:t>
      </w:r>
      <w:r w:rsidR="00C05F95" w:rsidRPr="007F700D">
        <w:rPr>
          <w:rFonts w:cs="Arial"/>
          <w:i/>
          <w:iCs/>
        </w:rPr>
        <w:t>malicious</w:t>
      </w:r>
      <w:r w:rsidR="00C05F95" w:rsidRPr="007F700D">
        <w:rPr>
          <w:rFonts w:cs="Arial"/>
        </w:rPr>
        <w:t xml:space="preserve"> prosecution.  </w:t>
      </w:r>
      <w:r w:rsidR="009F244E" w:rsidRPr="007F700D">
        <w:rPr>
          <w:rFonts w:cs="Arial"/>
        </w:rPr>
        <w:t xml:space="preserve">Since the debts arising from these claims only </w:t>
      </w:r>
      <w:r w:rsidR="005B5CB0" w:rsidRPr="007F700D">
        <w:rPr>
          <w:rFonts w:cs="Arial"/>
        </w:rPr>
        <w:t>became due on 4 May 2021, the</w:t>
      </w:r>
      <w:r w:rsidR="00CE1ABB" w:rsidRPr="007F700D">
        <w:rPr>
          <w:rFonts w:cs="Arial"/>
        </w:rPr>
        <w:t xml:space="preserve"> notices were self-evidently giv</w:t>
      </w:r>
      <w:r w:rsidR="005523DB" w:rsidRPr="007F700D">
        <w:rPr>
          <w:rFonts w:cs="Arial"/>
        </w:rPr>
        <w:t>en and served</w:t>
      </w:r>
      <w:r w:rsidR="00CE1ABB" w:rsidRPr="007F700D">
        <w:rPr>
          <w:rFonts w:cs="Arial"/>
        </w:rPr>
        <w:t xml:space="preserve"> </w:t>
      </w:r>
      <w:r w:rsidR="00074875" w:rsidRPr="007F700D">
        <w:rPr>
          <w:rFonts w:cs="Arial"/>
        </w:rPr>
        <w:t>timeously – i.e. well within</w:t>
      </w:r>
      <w:r w:rsidR="00D53CA6" w:rsidRPr="007F700D">
        <w:rPr>
          <w:rFonts w:cs="Arial"/>
        </w:rPr>
        <w:t xml:space="preserve"> six months from the date on which the debt became due</w:t>
      </w:r>
      <w:r w:rsidR="0070519D" w:rsidRPr="007F700D">
        <w:rPr>
          <w:rFonts w:cs="Arial"/>
        </w:rPr>
        <w:t>, as contemplated in s 3(2)(a) of the I</w:t>
      </w:r>
      <w:r w:rsidR="003B6417" w:rsidRPr="007F700D">
        <w:rPr>
          <w:rFonts w:cs="Arial"/>
        </w:rPr>
        <w:t xml:space="preserve">LPA.  </w:t>
      </w:r>
    </w:p>
    <w:p w14:paraId="4625E7E2" w14:textId="273329E5" w:rsidR="00EC596F" w:rsidRPr="007F700D" w:rsidRDefault="007F700D" w:rsidP="007F700D">
      <w:pPr>
        <w:spacing w:before="360" w:after="120" w:line="480" w:lineRule="auto"/>
        <w:ind w:left="709" w:hanging="720"/>
        <w:rPr>
          <w:rFonts w:cs="Arial"/>
        </w:rPr>
      </w:pPr>
      <w:r>
        <w:rPr>
          <w:rFonts w:cs="Arial"/>
        </w:rPr>
        <w:t>[65]</w:t>
      </w:r>
      <w:r>
        <w:rPr>
          <w:rFonts w:cs="Arial"/>
        </w:rPr>
        <w:tab/>
      </w:r>
      <w:r w:rsidR="00EC596F" w:rsidRPr="007F700D">
        <w:rPr>
          <w:rFonts w:cs="Arial"/>
        </w:rPr>
        <w:t xml:space="preserve">In the result, Mr </w:t>
      </w:r>
      <w:proofErr w:type="spellStart"/>
      <w:r w:rsidR="00EC596F" w:rsidRPr="007F700D">
        <w:rPr>
          <w:rFonts w:cs="Arial"/>
        </w:rPr>
        <w:t>Mangasa</w:t>
      </w:r>
      <w:proofErr w:type="spellEnd"/>
      <w:r w:rsidR="00EC596F" w:rsidRPr="007F700D">
        <w:rPr>
          <w:rFonts w:cs="Arial"/>
        </w:rPr>
        <w:t xml:space="preserve"> does not </w:t>
      </w:r>
      <w:r w:rsidR="001A4BD5" w:rsidRPr="007F700D">
        <w:rPr>
          <w:rFonts w:cs="Arial"/>
        </w:rPr>
        <w:t xml:space="preserve">require </w:t>
      </w:r>
      <w:r w:rsidR="00F405FF" w:rsidRPr="007F700D">
        <w:rPr>
          <w:rFonts w:cs="Arial"/>
        </w:rPr>
        <w:t xml:space="preserve">any </w:t>
      </w:r>
      <w:r w:rsidR="001A4BD5" w:rsidRPr="007F700D">
        <w:rPr>
          <w:rFonts w:cs="Arial"/>
        </w:rPr>
        <w:t xml:space="preserve">condonation for </w:t>
      </w:r>
      <w:r w:rsidR="00C66BC2" w:rsidRPr="007F700D">
        <w:rPr>
          <w:rFonts w:cs="Arial"/>
        </w:rPr>
        <w:t>(alleged</w:t>
      </w:r>
      <w:r w:rsidR="007A3A7A" w:rsidRPr="007F700D">
        <w:rPr>
          <w:rFonts w:cs="Arial"/>
        </w:rPr>
        <w:t xml:space="preserve">ly) </w:t>
      </w:r>
      <w:r w:rsidR="007607DF" w:rsidRPr="007F700D">
        <w:rPr>
          <w:rFonts w:cs="Arial"/>
        </w:rPr>
        <w:t>h</w:t>
      </w:r>
      <w:r w:rsidR="00CC079E" w:rsidRPr="007F700D">
        <w:rPr>
          <w:rFonts w:cs="Arial"/>
        </w:rPr>
        <w:t xml:space="preserve">aving </w:t>
      </w:r>
      <w:r w:rsidR="001A4BD5" w:rsidRPr="007F700D">
        <w:rPr>
          <w:rFonts w:cs="Arial"/>
        </w:rPr>
        <w:t>fail</w:t>
      </w:r>
      <w:r w:rsidR="00CC079E" w:rsidRPr="007F700D">
        <w:rPr>
          <w:rFonts w:cs="Arial"/>
        </w:rPr>
        <w:t>ed</w:t>
      </w:r>
      <w:r w:rsidR="001A4BD5" w:rsidRPr="007F700D">
        <w:rPr>
          <w:rFonts w:cs="Arial"/>
        </w:rPr>
        <w:t xml:space="preserve"> to </w:t>
      </w:r>
      <w:r w:rsidR="003A4E78" w:rsidRPr="007F700D">
        <w:rPr>
          <w:rFonts w:cs="Arial"/>
        </w:rPr>
        <w:t xml:space="preserve">timeously </w:t>
      </w:r>
      <w:r w:rsidR="00CC079E" w:rsidRPr="007F700D">
        <w:rPr>
          <w:rFonts w:cs="Arial"/>
        </w:rPr>
        <w:t>serve</w:t>
      </w:r>
      <w:r w:rsidR="009C43B6" w:rsidRPr="007F700D">
        <w:rPr>
          <w:rFonts w:cs="Arial"/>
        </w:rPr>
        <w:t xml:space="preserve"> the required </w:t>
      </w:r>
      <w:r w:rsidR="00C93BAA" w:rsidRPr="007F700D">
        <w:rPr>
          <w:rFonts w:cs="Arial"/>
        </w:rPr>
        <w:t xml:space="preserve">statutory </w:t>
      </w:r>
      <w:r w:rsidR="009C43B6" w:rsidRPr="007F700D">
        <w:rPr>
          <w:rFonts w:cs="Arial"/>
        </w:rPr>
        <w:t>notice</w:t>
      </w:r>
      <w:r w:rsidR="00C93BAA" w:rsidRPr="007F700D">
        <w:rPr>
          <w:rFonts w:cs="Arial"/>
        </w:rPr>
        <w:t xml:space="preserve"> </w:t>
      </w:r>
      <w:r w:rsidR="003A4E78" w:rsidRPr="007F700D">
        <w:rPr>
          <w:rFonts w:cs="Arial"/>
        </w:rPr>
        <w:t>on</w:t>
      </w:r>
      <w:r w:rsidR="00C93BAA" w:rsidRPr="007F700D">
        <w:rPr>
          <w:rFonts w:cs="Arial"/>
        </w:rPr>
        <w:t xml:space="preserve"> the Minister </w:t>
      </w:r>
      <w:r w:rsidR="00F405FF" w:rsidRPr="007F700D">
        <w:rPr>
          <w:rFonts w:cs="Arial"/>
        </w:rPr>
        <w:t xml:space="preserve">(or the </w:t>
      </w:r>
      <w:r w:rsidR="00A74CA6" w:rsidRPr="007F700D">
        <w:rPr>
          <w:rFonts w:cs="Arial"/>
        </w:rPr>
        <w:t xml:space="preserve">relevant Commissioners) </w:t>
      </w:r>
      <w:r w:rsidR="00C93BAA" w:rsidRPr="007F700D">
        <w:rPr>
          <w:rFonts w:cs="Arial"/>
        </w:rPr>
        <w:t>in terms of the ILPA</w:t>
      </w:r>
      <w:r w:rsidR="00CC079E" w:rsidRPr="007F700D">
        <w:rPr>
          <w:rFonts w:cs="Arial"/>
        </w:rPr>
        <w:t xml:space="preserve">.  </w:t>
      </w:r>
      <w:r w:rsidR="00FF326D" w:rsidRPr="007F700D">
        <w:rPr>
          <w:rFonts w:cs="Arial"/>
        </w:rPr>
        <w:t>The relevant notice w</w:t>
      </w:r>
      <w:r w:rsidR="005523DB" w:rsidRPr="007F700D">
        <w:rPr>
          <w:rFonts w:cs="Arial"/>
        </w:rPr>
        <w:t>as</w:t>
      </w:r>
      <w:r w:rsidR="00FF326D" w:rsidRPr="007F700D">
        <w:rPr>
          <w:rFonts w:cs="Arial"/>
        </w:rPr>
        <w:t xml:space="preserve"> </w:t>
      </w:r>
      <w:r w:rsidR="00FF326D" w:rsidRPr="007F700D">
        <w:rPr>
          <w:rFonts w:cs="Arial"/>
        </w:rPr>
        <w:lastRenderedPageBreak/>
        <w:t xml:space="preserve">timeously served </w:t>
      </w:r>
      <w:r w:rsidR="002D6859" w:rsidRPr="007F700D">
        <w:rPr>
          <w:rFonts w:cs="Arial"/>
        </w:rPr>
        <w:t>on the latter</w:t>
      </w:r>
      <w:r w:rsidR="000D6C22" w:rsidRPr="007F700D">
        <w:rPr>
          <w:rFonts w:cs="Arial"/>
        </w:rPr>
        <w:t xml:space="preserve"> in respect of </w:t>
      </w:r>
      <w:r w:rsidR="00513FD8" w:rsidRPr="007F700D">
        <w:rPr>
          <w:rFonts w:cs="Arial"/>
        </w:rPr>
        <w:t xml:space="preserve">Mr </w:t>
      </w:r>
      <w:proofErr w:type="spellStart"/>
      <w:r w:rsidR="00513FD8" w:rsidRPr="007F700D">
        <w:rPr>
          <w:rFonts w:cs="Arial"/>
        </w:rPr>
        <w:t>Mangasa’s</w:t>
      </w:r>
      <w:proofErr w:type="spellEnd"/>
      <w:r w:rsidR="000D6C22" w:rsidRPr="007F700D">
        <w:rPr>
          <w:rFonts w:cs="Arial"/>
        </w:rPr>
        <w:t xml:space="preserve"> claims for </w:t>
      </w:r>
      <w:r w:rsidR="000D6C22" w:rsidRPr="007F700D">
        <w:rPr>
          <w:rFonts w:cs="Arial"/>
          <w:i/>
          <w:iCs/>
        </w:rPr>
        <w:t>malicious</w:t>
      </w:r>
      <w:r w:rsidR="000D6C22" w:rsidRPr="007F700D">
        <w:rPr>
          <w:rFonts w:cs="Arial"/>
        </w:rPr>
        <w:t xml:space="preserve"> arrest</w:t>
      </w:r>
      <w:r w:rsidR="00513FD8" w:rsidRPr="007F700D">
        <w:rPr>
          <w:rFonts w:cs="Arial"/>
        </w:rPr>
        <w:t xml:space="preserve"> and</w:t>
      </w:r>
      <w:r w:rsidR="000D6C22" w:rsidRPr="007F700D">
        <w:rPr>
          <w:rFonts w:cs="Arial"/>
        </w:rPr>
        <w:t xml:space="preserve"> detention</w:t>
      </w:r>
      <w:r w:rsidR="002D6859" w:rsidRPr="007F700D">
        <w:rPr>
          <w:rFonts w:cs="Arial"/>
        </w:rPr>
        <w:t>.</w:t>
      </w:r>
      <w:r w:rsidR="00500D1F" w:rsidRPr="007F700D">
        <w:rPr>
          <w:rFonts w:cs="Arial"/>
        </w:rPr>
        <w:t xml:space="preserve">  </w:t>
      </w:r>
    </w:p>
    <w:p w14:paraId="7ACC5008" w14:textId="5EF51A78" w:rsidR="002D6859" w:rsidRDefault="002D6859" w:rsidP="004F6525">
      <w:pPr>
        <w:spacing w:before="360" w:after="120" w:line="480" w:lineRule="auto"/>
        <w:ind w:left="-11"/>
        <w:rPr>
          <w:rFonts w:cs="Arial"/>
          <w:b/>
          <w:bCs/>
        </w:rPr>
      </w:pPr>
      <w:r w:rsidRPr="002D6859">
        <w:rPr>
          <w:rFonts w:cs="Arial"/>
          <w:b/>
          <w:bCs/>
        </w:rPr>
        <w:t xml:space="preserve">THE </w:t>
      </w:r>
      <w:r>
        <w:rPr>
          <w:rFonts w:cs="Arial"/>
          <w:b/>
          <w:bCs/>
        </w:rPr>
        <w:t>THIR</w:t>
      </w:r>
      <w:r w:rsidRPr="002D6859">
        <w:rPr>
          <w:rFonts w:cs="Arial"/>
          <w:b/>
          <w:bCs/>
        </w:rPr>
        <w:t xml:space="preserve">D REQUIREMENT OF </w:t>
      </w:r>
      <w:r w:rsidR="004F6525" w:rsidRPr="004F6525">
        <w:rPr>
          <w:rFonts w:cs="Arial"/>
          <w:b/>
          <w:bCs/>
        </w:rPr>
        <w:t>ABSENCE OF UNREASONABLE PREJUDICE</w:t>
      </w:r>
    </w:p>
    <w:p w14:paraId="76AB4447" w14:textId="09DBAB41" w:rsidR="004F6525" w:rsidRPr="007F700D" w:rsidRDefault="007F700D" w:rsidP="007F700D">
      <w:pPr>
        <w:spacing w:before="360" w:after="120" w:line="480" w:lineRule="auto"/>
        <w:ind w:left="709" w:hanging="720"/>
        <w:rPr>
          <w:rFonts w:cs="Arial"/>
        </w:rPr>
      </w:pPr>
      <w:r>
        <w:rPr>
          <w:rFonts w:cs="Arial"/>
        </w:rPr>
        <w:t>[66]</w:t>
      </w:r>
      <w:r>
        <w:rPr>
          <w:rFonts w:cs="Arial"/>
        </w:rPr>
        <w:tab/>
      </w:r>
      <w:r w:rsidR="004A670F" w:rsidRPr="007F700D">
        <w:rPr>
          <w:rFonts w:cs="Arial"/>
        </w:rPr>
        <w:t xml:space="preserve">The issue of </w:t>
      </w:r>
      <w:r w:rsidR="00D90CB1" w:rsidRPr="007F700D">
        <w:rPr>
          <w:rFonts w:cs="Arial"/>
        </w:rPr>
        <w:t>‘</w:t>
      </w:r>
      <w:r w:rsidR="004A670F" w:rsidRPr="007F700D">
        <w:rPr>
          <w:rFonts w:cs="Arial"/>
          <w:i/>
          <w:iCs/>
        </w:rPr>
        <w:t>unreasonable prejudice</w:t>
      </w:r>
      <w:r w:rsidR="00D90CB1" w:rsidRPr="007F700D">
        <w:rPr>
          <w:rFonts w:cs="Arial"/>
        </w:rPr>
        <w:t xml:space="preserve">’ </w:t>
      </w:r>
      <w:r w:rsidR="00272465" w:rsidRPr="007F700D">
        <w:rPr>
          <w:rFonts w:cs="Arial"/>
        </w:rPr>
        <w:t xml:space="preserve">also </w:t>
      </w:r>
      <w:r w:rsidR="00D90CB1" w:rsidRPr="007F700D">
        <w:rPr>
          <w:rFonts w:cs="Arial"/>
        </w:rPr>
        <w:t>does not arise for consideration</w:t>
      </w:r>
      <w:r w:rsidR="00C1587E" w:rsidRPr="007F700D">
        <w:rPr>
          <w:rFonts w:cs="Arial"/>
        </w:rPr>
        <w:t xml:space="preserve">.  Although there </w:t>
      </w:r>
      <w:r w:rsidR="00272465" w:rsidRPr="007F700D">
        <w:rPr>
          <w:rFonts w:cs="Arial"/>
        </w:rPr>
        <w:t xml:space="preserve">was </w:t>
      </w:r>
      <w:r w:rsidR="00C1587E" w:rsidRPr="007F700D">
        <w:rPr>
          <w:rFonts w:cs="Arial"/>
        </w:rPr>
        <w:t xml:space="preserve">a failure to comply with the notice requirements </w:t>
      </w:r>
      <w:r w:rsidR="00F67C08" w:rsidRPr="007F700D">
        <w:rPr>
          <w:rFonts w:cs="Arial"/>
        </w:rPr>
        <w:t xml:space="preserve">of the ILPA </w:t>
      </w:r>
      <w:r w:rsidR="00C1587E" w:rsidRPr="007F700D">
        <w:rPr>
          <w:rFonts w:cs="Arial"/>
        </w:rPr>
        <w:t xml:space="preserve">in respect of Mr </w:t>
      </w:r>
      <w:proofErr w:type="spellStart"/>
      <w:r w:rsidR="00C1587E" w:rsidRPr="007F700D">
        <w:rPr>
          <w:rFonts w:cs="Arial"/>
        </w:rPr>
        <w:t>Mangasa’s</w:t>
      </w:r>
      <w:proofErr w:type="spellEnd"/>
      <w:r w:rsidR="00F67C08" w:rsidRPr="007F700D">
        <w:rPr>
          <w:rFonts w:cs="Arial"/>
        </w:rPr>
        <w:t xml:space="preserve"> claim for unlawful assault</w:t>
      </w:r>
      <w:r w:rsidR="00860949" w:rsidRPr="007F700D">
        <w:rPr>
          <w:rFonts w:cs="Arial"/>
        </w:rPr>
        <w:t>, condonation for such failure cannot be granted</w:t>
      </w:r>
      <w:r w:rsidR="00277E78" w:rsidRPr="007F700D">
        <w:rPr>
          <w:rFonts w:cs="Arial"/>
        </w:rPr>
        <w:t xml:space="preserve"> since that claim </w:t>
      </w:r>
      <w:r w:rsidR="005D5490" w:rsidRPr="007F700D">
        <w:rPr>
          <w:rFonts w:cs="Arial"/>
        </w:rPr>
        <w:t xml:space="preserve">already </w:t>
      </w:r>
      <w:r w:rsidR="00277E78" w:rsidRPr="007F700D">
        <w:rPr>
          <w:rFonts w:cs="Arial"/>
        </w:rPr>
        <w:t>has prescribed.</w:t>
      </w:r>
    </w:p>
    <w:p w14:paraId="00D5CD3B" w14:textId="68E55CE1" w:rsidR="00277E78" w:rsidRPr="007F700D" w:rsidRDefault="007F700D" w:rsidP="007F700D">
      <w:pPr>
        <w:spacing w:before="360" w:after="120" w:line="480" w:lineRule="auto"/>
        <w:ind w:left="709" w:hanging="720"/>
        <w:rPr>
          <w:rFonts w:cs="Arial"/>
        </w:rPr>
      </w:pPr>
      <w:r>
        <w:rPr>
          <w:rFonts w:cs="Arial"/>
        </w:rPr>
        <w:t>[67]</w:t>
      </w:r>
      <w:r>
        <w:rPr>
          <w:rFonts w:cs="Arial"/>
        </w:rPr>
        <w:tab/>
      </w:r>
      <w:r w:rsidR="00277E78" w:rsidRPr="007F700D">
        <w:rPr>
          <w:rFonts w:cs="Arial"/>
        </w:rPr>
        <w:t xml:space="preserve">However, in respect of Mr </w:t>
      </w:r>
      <w:proofErr w:type="spellStart"/>
      <w:r w:rsidR="00277E78" w:rsidRPr="007F700D">
        <w:rPr>
          <w:rFonts w:cs="Arial"/>
        </w:rPr>
        <w:t>Mangasa’s</w:t>
      </w:r>
      <w:proofErr w:type="spellEnd"/>
      <w:r w:rsidR="00277E78" w:rsidRPr="007F700D">
        <w:rPr>
          <w:rFonts w:cs="Arial"/>
        </w:rPr>
        <w:t xml:space="preserve"> claims for </w:t>
      </w:r>
      <w:r w:rsidR="00277E78" w:rsidRPr="007F700D">
        <w:rPr>
          <w:rFonts w:cs="Arial"/>
          <w:i/>
          <w:iCs/>
        </w:rPr>
        <w:t>malicious</w:t>
      </w:r>
      <w:r w:rsidR="00277E78" w:rsidRPr="007F700D">
        <w:rPr>
          <w:rFonts w:cs="Arial"/>
        </w:rPr>
        <w:t xml:space="preserve"> arrest</w:t>
      </w:r>
      <w:r w:rsidR="005D5490" w:rsidRPr="007F700D">
        <w:rPr>
          <w:rFonts w:cs="Arial"/>
        </w:rPr>
        <w:t xml:space="preserve">, </w:t>
      </w:r>
      <w:r w:rsidR="00277E78" w:rsidRPr="007F700D">
        <w:rPr>
          <w:rFonts w:cs="Arial"/>
        </w:rPr>
        <w:t>detention</w:t>
      </w:r>
      <w:r w:rsidR="005D5490" w:rsidRPr="007F700D">
        <w:rPr>
          <w:rFonts w:cs="Arial"/>
        </w:rPr>
        <w:t xml:space="preserve"> and prosecution</w:t>
      </w:r>
      <w:r w:rsidR="00C3646C" w:rsidRPr="007F700D">
        <w:rPr>
          <w:rFonts w:cs="Arial"/>
        </w:rPr>
        <w:t xml:space="preserve">, there has been no failure in respect of such </w:t>
      </w:r>
      <w:r w:rsidR="00BD5227" w:rsidRPr="007F700D">
        <w:rPr>
          <w:rFonts w:cs="Arial"/>
        </w:rPr>
        <w:t xml:space="preserve">notice </w:t>
      </w:r>
      <w:r w:rsidR="00C3646C" w:rsidRPr="007F700D">
        <w:rPr>
          <w:rFonts w:cs="Arial"/>
        </w:rPr>
        <w:t>requirements</w:t>
      </w:r>
      <w:r w:rsidR="003E4067" w:rsidRPr="007F700D">
        <w:rPr>
          <w:rFonts w:cs="Arial"/>
        </w:rPr>
        <w:t xml:space="preserve"> and, hence, the Minister</w:t>
      </w:r>
      <w:r w:rsidR="00594D10" w:rsidRPr="007F700D">
        <w:rPr>
          <w:rFonts w:cs="Arial"/>
        </w:rPr>
        <w:t xml:space="preserve"> could not have been prejudiced </w:t>
      </w:r>
      <w:r w:rsidR="00005BF5" w:rsidRPr="007F700D">
        <w:rPr>
          <w:rFonts w:cs="Arial"/>
        </w:rPr>
        <w:t>in respect</w:t>
      </w:r>
      <w:r w:rsidR="00B840CA" w:rsidRPr="007F700D">
        <w:rPr>
          <w:rFonts w:cs="Arial"/>
        </w:rPr>
        <w:t xml:space="preserve"> of these claims at all</w:t>
      </w:r>
      <w:r w:rsidR="00CE11D8" w:rsidRPr="007F700D">
        <w:rPr>
          <w:rFonts w:cs="Arial"/>
        </w:rPr>
        <w:t>.</w:t>
      </w:r>
    </w:p>
    <w:p w14:paraId="4D7CC633" w14:textId="2FB784D9" w:rsidR="004C40E9" w:rsidRDefault="0089740E" w:rsidP="00086A3A">
      <w:pPr>
        <w:spacing w:before="360" w:after="120" w:line="480" w:lineRule="auto"/>
        <w:ind w:left="-11"/>
        <w:rPr>
          <w:rFonts w:cs="Arial"/>
          <w:b/>
          <w:bCs/>
        </w:rPr>
      </w:pPr>
      <w:r>
        <w:rPr>
          <w:rFonts w:cs="Arial"/>
          <w:b/>
          <w:bCs/>
        </w:rPr>
        <w:t xml:space="preserve">AN </w:t>
      </w:r>
      <w:r w:rsidR="00086A3A" w:rsidRPr="005C7BD6">
        <w:rPr>
          <w:rFonts w:cs="Arial"/>
          <w:b/>
          <w:bCs/>
        </w:rPr>
        <w:t xml:space="preserve">ISSUE </w:t>
      </w:r>
      <w:r>
        <w:rPr>
          <w:rFonts w:cs="Arial"/>
          <w:b/>
          <w:bCs/>
        </w:rPr>
        <w:t>PERTAINING TO</w:t>
      </w:r>
      <w:r w:rsidR="00086A3A" w:rsidRPr="005C7BD6">
        <w:rPr>
          <w:rFonts w:cs="Arial"/>
          <w:b/>
          <w:bCs/>
        </w:rPr>
        <w:t xml:space="preserve"> COSTS</w:t>
      </w:r>
    </w:p>
    <w:p w14:paraId="3912F38B" w14:textId="4EA45282" w:rsidR="00B05C56" w:rsidRPr="007F700D" w:rsidRDefault="007F700D" w:rsidP="007F700D">
      <w:pPr>
        <w:spacing w:before="360" w:after="120" w:line="480" w:lineRule="auto"/>
        <w:ind w:left="709" w:hanging="720"/>
        <w:rPr>
          <w:rFonts w:cs="Arial"/>
        </w:rPr>
      </w:pPr>
      <w:r>
        <w:rPr>
          <w:rFonts w:cs="Arial"/>
        </w:rPr>
        <w:t>[68]</w:t>
      </w:r>
      <w:r>
        <w:rPr>
          <w:rFonts w:cs="Arial"/>
        </w:rPr>
        <w:tab/>
      </w:r>
      <w:r w:rsidR="00203C07" w:rsidRPr="007F700D">
        <w:rPr>
          <w:rFonts w:cs="Arial"/>
        </w:rPr>
        <w:t xml:space="preserve">Having regard to the </w:t>
      </w:r>
      <w:r w:rsidR="005820F3" w:rsidRPr="007F700D">
        <w:rPr>
          <w:rFonts w:cs="Arial"/>
        </w:rPr>
        <w:t>declaratory order</w:t>
      </w:r>
      <w:r w:rsidR="00203C07" w:rsidRPr="007F700D">
        <w:rPr>
          <w:rFonts w:cs="Arial"/>
        </w:rPr>
        <w:t xml:space="preserve"> I intend making</w:t>
      </w:r>
      <w:r w:rsidR="008824EA" w:rsidRPr="007F700D">
        <w:rPr>
          <w:rFonts w:cs="Arial"/>
        </w:rPr>
        <w:t xml:space="preserve">, it might be </w:t>
      </w:r>
      <w:r w:rsidR="00692ED4" w:rsidRPr="007F700D">
        <w:rPr>
          <w:rFonts w:cs="Arial"/>
        </w:rPr>
        <w:t>understoo</w:t>
      </w:r>
      <w:r w:rsidR="008824EA" w:rsidRPr="007F700D">
        <w:rPr>
          <w:rFonts w:cs="Arial"/>
        </w:rPr>
        <w:t>d</w:t>
      </w:r>
      <w:r w:rsidR="00D23D36" w:rsidRPr="007F700D">
        <w:rPr>
          <w:rFonts w:cs="Arial"/>
        </w:rPr>
        <w:t>, incorrectly so,</w:t>
      </w:r>
      <w:r w:rsidR="008824EA" w:rsidRPr="007F700D">
        <w:rPr>
          <w:rFonts w:cs="Arial"/>
        </w:rPr>
        <w:t xml:space="preserve"> that Mr </w:t>
      </w:r>
      <w:proofErr w:type="spellStart"/>
      <w:r w:rsidR="008824EA" w:rsidRPr="007F700D">
        <w:rPr>
          <w:rFonts w:cs="Arial"/>
        </w:rPr>
        <w:t>Mangasa</w:t>
      </w:r>
      <w:proofErr w:type="spellEnd"/>
      <w:r w:rsidR="008824EA" w:rsidRPr="007F700D">
        <w:rPr>
          <w:rFonts w:cs="Arial"/>
        </w:rPr>
        <w:t xml:space="preserve"> </w:t>
      </w:r>
      <w:r w:rsidR="00D23D36" w:rsidRPr="007F700D">
        <w:rPr>
          <w:rFonts w:cs="Arial"/>
        </w:rPr>
        <w:t>was the successful party</w:t>
      </w:r>
      <w:r w:rsidR="005820F3" w:rsidRPr="007F700D">
        <w:rPr>
          <w:rFonts w:cs="Arial"/>
        </w:rPr>
        <w:t xml:space="preserve">.  </w:t>
      </w:r>
      <w:r w:rsidR="00F3129F" w:rsidRPr="007F700D">
        <w:rPr>
          <w:rFonts w:cs="Arial"/>
        </w:rPr>
        <w:t xml:space="preserve">Such </w:t>
      </w:r>
      <w:r w:rsidR="005C129F" w:rsidRPr="007F700D">
        <w:rPr>
          <w:rFonts w:cs="Arial"/>
        </w:rPr>
        <w:t xml:space="preserve">an understanding will be </w:t>
      </w:r>
      <w:r w:rsidR="00696D8C" w:rsidRPr="007F700D">
        <w:rPr>
          <w:rFonts w:cs="Arial"/>
        </w:rPr>
        <w:t>misinformed</w:t>
      </w:r>
      <w:r w:rsidR="00692ED4" w:rsidRPr="007F700D">
        <w:rPr>
          <w:rFonts w:cs="Arial"/>
        </w:rPr>
        <w:t xml:space="preserve">.  The </w:t>
      </w:r>
      <w:r w:rsidR="00A36F2E" w:rsidRPr="007F700D">
        <w:rPr>
          <w:rFonts w:cs="Arial"/>
        </w:rPr>
        <w:t xml:space="preserve">intended </w:t>
      </w:r>
      <w:proofErr w:type="spellStart"/>
      <w:r w:rsidR="00692ED4" w:rsidRPr="007F700D">
        <w:rPr>
          <w:rFonts w:cs="Arial"/>
        </w:rPr>
        <w:t>declarator</w:t>
      </w:r>
      <w:proofErr w:type="spellEnd"/>
      <w:r w:rsidR="00692ED4" w:rsidRPr="007F700D">
        <w:rPr>
          <w:rFonts w:cs="Arial"/>
        </w:rPr>
        <w:t xml:space="preserve"> </w:t>
      </w:r>
      <w:r w:rsidR="00666B0B" w:rsidRPr="007F700D">
        <w:rPr>
          <w:rFonts w:cs="Arial"/>
        </w:rPr>
        <w:t xml:space="preserve">is made </w:t>
      </w:r>
      <w:r w:rsidR="00115BD1" w:rsidRPr="007F700D">
        <w:rPr>
          <w:rFonts w:cs="Arial"/>
        </w:rPr>
        <w:t xml:space="preserve">simply to ensure that </w:t>
      </w:r>
      <w:r w:rsidR="007D27CE" w:rsidRPr="007F700D">
        <w:rPr>
          <w:rFonts w:cs="Arial"/>
        </w:rPr>
        <w:t xml:space="preserve">the all the </w:t>
      </w:r>
      <w:proofErr w:type="gramStart"/>
      <w:r w:rsidR="007D27CE" w:rsidRPr="007F700D">
        <w:rPr>
          <w:rFonts w:cs="Arial"/>
        </w:rPr>
        <w:t>parties’</w:t>
      </w:r>
      <w:proofErr w:type="gramEnd"/>
      <w:r w:rsidR="007D27CE" w:rsidRPr="007F700D">
        <w:rPr>
          <w:rFonts w:cs="Arial"/>
        </w:rPr>
        <w:t xml:space="preserve"> </w:t>
      </w:r>
      <w:r w:rsidR="00C830C5" w:rsidRPr="007F700D">
        <w:rPr>
          <w:rFonts w:cs="Arial"/>
        </w:rPr>
        <w:t>appreciate what the</w:t>
      </w:r>
      <w:r w:rsidR="00416FFE" w:rsidRPr="007F700D">
        <w:rPr>
          <w:rFonts w:cs="Arial"/>
        </w:rPr>
        <w:t>ir</w:t>
      </w:r>
      <w:r w:rsidR="00C830C5" w:rsidRPr="007F700D">
        <w:rPr>
          <w:rFonts w:cs="Arial"/>
        </w:rPr>
        <w:t xml:space="preserve"> </w:t>
      </w:r>
      <w:r w:rsidR="00452CDD" w:rsidRPr="007F700D">
        <w:rPr>
          <w:rFonts w:cs="Arial"/>
        </w:rPr>
        <w:t xml:space="preserve">present </w:t>
      </w:r>
      <w:r w:rsidR="00C830C5" w:rsidRPr="007F700D">
        <w:rPr>
          <w:rFonts w:cs="Arial"/>
        </w:rPr>
        <w:t xml:space="preserve">legal position is </w:t>
      </w:r>
      <w:r w:rsidR="003A4D2A" w:rsidRPr="007F700D">
        <w:rPr>
          <w:rFonts w:cs="Arial"/>
          <w:i/>
          <w:iCs/>
        </w:rPr>
        <w:t>vis-à-vis</w:t>
      </w:r>
      <w:r w:rsidR="003A4D2A" w:rsidRPr="007F700D">
        <w:rPr>
          <w:rFonts w:cs="Arial"/>
        </w:rPr>
        <w:t xml:space="preserve"> </w:t>
      </w:r>
      <w:r w:rsidR="006766B5" w:rsidRPr="007F700D">
        <w:rPr>
          <w:rFonts w:cs="Arial"/>
        </w:rPr>
        <w:t xml:space="preserve">the </w:t>
      </w:r>
      <w:r w:rsidR="00E15E93" w:rsidRPr="007F700D">
        <w:rPr>
          <w:rFonts w:cs="Arial"/>
        </w:rPr>
        <w:t xml:space="preserve">written statutory </w:t>
      </w:r>
      <w:r w:rsidR="006766B5" w:rsidRPr="007F700D">
        <w:rPr>
          <w:rFonts w:cs="Arial"/>
        </w:rPr>
        <w:t>notice</w:t>
      </w:r>
      <w:r w:rsidR="009753BA" w:rsidRPr="007F700D">
        <w:rPr>
          <w:rFonts w:cs="Arial"/>
        </w:rPr>
        <w:t>(</w:t>
      </w:r>
      <w:r w:rsidR="006766B5" w:rsidRPr="007F700D">
        <w:rPr>
          <w:rFonts w:cs="Arial"/>
        </w:rPr>
        <w:t>s</w:t>
      </w:r>
      <w:r w:rsidR="009753BA" w:rsidRPr="007F700D">
        <w:rPr>
          <w:rFonts w:cs="Arial"/>
        </w:rPr>
        <w:t>)</w:t>
      </w:r>
      <w:r w:rsidR="006766B5" w:rsidRPr="007F700D">
        <w:rPr>
          <w:rFonts w:cs="Arial"/>
        </w:rPr>
        <w:t xml:space="preserve"> that were given </w:t>
      </w:r>
      <w:r w:rsidR="00E15E93" w:rsidRPr="007F700D">
        <w:rPr>
          <w:rFonts w:cs="Arial"/>
        </w:rPr>
        <w:t xml:space="preserve">by Mr </w:t>
      </w:r>
      <w:proofErr w:type="spellStart"/>
      <w:r w:rsidR="00E15E93" w:rsidRPr="007F700D">
        <w:rPr>
          <w:rFonts w:cs="Arial"/>
        </w:rPr>
        <w:t>Mangasa’s</w:t>
      </w:r>
      <w:proofErr w:type="spellEnd"/>
      <w:r w:rsidR="00E15E93" w:rsidRPr="007F700D">
        <w:rPr>
          <w:rFonts w:cs="Arial"/>
        </w:rPr>
        <w:t xml:space="preserve"> </w:t>
      </w:r>
      <w:r w:rsidR="00BB649E" w:rsidRPr="007F700D">
        <w:rPr>
          <w:rFonts w:cs="Arial"/>
        </w:rPr>
        <w:t xml:space="preserve">attorney of record in terms of s 3(1) of the ILPA.  </w:t>
      </w:r>
    </w:p>
    <w:p w14:paraId="56A1C8F8" w14:textId="52896F19" w:rsidR="005C7BD6" w:rsidRPr="007F700D" w:rsidRDefault="007F700D" w:rsidP="007F700D">
      <w:pPr>
        <w:spacing w:before="360" w:after="120" w:line="480" w:lineRule="auto"/>
        <w:ind w:left="709" w:hanging="720"/>
        <w:rPr>
          <w:rFonts w:cs="Arial"/>
        </w:rPr>
      </w:pPr>
      <w:r>
        <w:rPr>
          <w:rFonts w:cs="Arial"/>
        </w:rPr>
        <w:t>[69]</w:t>
      </w:r>
      <w:r>
        <w:rPr>
          <w:rFonts w:cs="Arial"/>
        </w:rPr>
        <w:tab/>
      </w:r>
      <w:r w:rsidR="00B05C56" w:rsidRPr="007F700D">
        <w:rPr>
          <w:rFonts w:cs="Arial"/>
        </w:rPr>
        <w:t xml:space="preserve">Since </w:t>
      </w:r>
      <w:r w:rsidR="00452CDD" w:rsidRPr="007F700D">
        <w:rPr>
          <w:rFonts w:cs="Arial"/>
        </w:rPr>
        <w:t>such notice w</w:t>
      </w:r>
      <w:r w:rsidR="003A4D2A" w:rsidRPr="007F700D">
        <w:rPr>
          <w:rFonts w:cs="Arial"/>
        </w:rPr>
        <w:t>as</w:t>
      </w:r>
      <w:r w:rsidR="00452CDD" w:rsidRPr="007F700D">
        <w:rPr>
          <w:rFonts w:cs="Arial"/>
        </w:rPr>
        <w:t xml:space="preserve"> given too late </w:t>
      </w:r>
      <w:r w:rsidR="00710BEA" w:rsidRPr="007F700D">
        <w:rPr>
          <w:rFonts w:cs="Arial"/>
        </w:rPr>
        <w:t xml:space="preserve">as far as </w:t>
      </w:r>
      <w:r w:rsidR="005B2C75" w:rsidRPr="007F700D">
        <w:rPr>
          <w:rFonts w:cs="Arial"/>
        </w:rPr>
        <w:t xml:space="preserve">Mr </w:t>
      </w:r>
      <w:proofErr w:type="spellStart"/>
      <w:r w:rsidR="005B2C75" w:rsidRPr="007F700D">
        <w:rPr>
          <w:rFonts w:cs="Arial"/>
        </w:rPr>
        <w:t>Mangasa’s</w:t>
      </w:r>
      <w:proofErr w:type="spellEnd"/>
      <w:r w:rsidR="00710BEA" w:rsidRPr="007F700D">
        <w:rPr>
          <w:rFonts w:cs="Arial"/>
        </w:rPr>
        <w:t xml:space="preserve"> claim for unlawful arrest is concerned</w:t>
      </w:r>
      <w:r w:rsidR="005B2C75" w:rsidRPr="007F700D">
        <w:rPr>
          <w:rFonts w:cs="Arial"/>
        </w:rPr>
        <w:t xml:space="preserve">, condonation </w:t>
      </w:r>
      <w:r w:rsidR="007F226E" w:rsidRPr="007F700D">
        <w:rPr>
          <w:rFonts w:cs="Arial"/>
        </w:rPr>
        <w:t>could</w:t>
      </w:r>
      <w:r w:rsidR="00013C4B" w:rsidRPr="007F700D">
        <w:rPr>
          <w:rFonts w:cs="Arial"/>
        </w:rPr>
        <w:t xml:space="preserve"> </w:t>
      </w:r>
      <w:r w:rsidR="007F226E" w:rsidRPr="007F700D">
        <w:rPr>
          <w:rFonts w:cs="Arial"/>
        </w:rPr>
        <w:t xml:space="preserve">not have been granted </w:t>
      </w:r>
      <w:r w:rsidR="008F1862" w:rsidRPr="007F700D">
        <w:rPr>
          <w:rFonts w:cs="Arial"/>
        </w:rPr>
        <w:t xml:space="preserve">in respect </w:t>
      </w:r>
      <w:r w:rsidR="00880093" w:rsidRPr="007F700D">
        <w:rPr>
          <w:rFonts w:cs="Arial"/>
        </w:rPr>
        <w:t xml:space="preserve">thereof since </w:t>
      </w:r>
      <w:r w:rsidR="008F1862" w:rsidRPr="007F700D">
        <w:rPr>
          <w:rFonts w:cs="Arial"/>
        </w:rPr>
        <w:t>it already h</w:t>
      </w:r>
      <w:r w:rsidR="007F226E" w:rsidRPr="007F700D">
        <w:rPr>
          <w:rFonts w:cs="Arial"/>
        </w:rPr>
        <w:t>a</w:t>
      </w:r>
      <w:r w:rsidR="00880093" w:rsidRPr="007F700D">
        <w:rPr>
          <w:rFonts w:cs="Arial"/>
        </w:rPr>
        <w:t>d</w:t>
      </w:r>
      <w:r w:rsidR="007F226E" w:rsidRPr="007F700D">
        <w:rPr>
          <w:rFonts w:cs="Arial"/>
        </w:rPr>
        <w:t xml:space="preserve"> pres</w:t>
      </w:r>
      <w:r w:rsidR="008F198E" w:rsidRPr="007F700D">
        <w:rPr>
          <w:rFonts w:cs="Arial"/>
        </w:rPr>
        <w:t>cribed.  In respect of his remaining claims</w:t>
      </w:r>
      <w:r w:rsidR="00C1125A" w:rsidRPr="007F700D">
        <w:rPr>
          <w:rFonts w:cs="Arial"/>
        </w:rPr>
        <w:t>,</w:t>
      </w:r>
      <w:r w:rsidR="008F198E" w:rsidRPr="007F700D">
        <w:rPr>
          <w:rFonts w:cs="Arial"/>
        </w:rPr>
        <w:t xml:space="preserve"> </w:t>
      </w:r>
      <w:r w:rsidR="00AF0819" w:rsidRPr="007F700D">
        <w:rPr>
          <w:rFonts w:cs="Arial"/>
        </w:rPr>
        <w:lastRenderedPageBreak/>
        <w:t xml:space="preserve">which had not prescribed, </w:t>
      </w:r>
      <w:r w:rsidR="008F198E" w:rsidRPr="007F700D">
        <w:rPr>
          <w:rFonts w:cs="Arial"/>
        </w:rPr>
        <w:t xml:space="preserve">Mr </w:t>
      </w:r>
      <w:proofErr w:type="spellStart"/>
      <w:r w:rsidR="008F198E" w:rsidRPr="007F700D">
        <w:rPr>
          <w:rFonts w:cs="Arial"/>
        </w:rPr>
        <w:t>Mangasa</w:t>
      </w:r>
      <w:proofErr w:type="spellEnd"/>
      <w:r w:rsidR="008F198E" w:rsidRPr="007F700D">
        <w:rPr>
          <w:rFonts w:cs="Arial"/>
        </w:rPr>
        <w:t xml:space="preserve"> did not require </w:t>
      </w:r>
      <w:r w:rsidR="00AF0819" w:rsidRPr="007F700D">
        <w:rPr>
          <w:rFonts w:cs="Arial"/>
        </w:rPr>
        <w:t xml:space="preserve">any </w:t>
      </w:r>
      <w:r w:rsidR="008F198E" w:rsidRPr="007F700D">
        <w:rPr>
          <w:rFonts w:cs="Arial"/>
        </w:rPr>
        <w:t>condonation</w:t>
      </w:r>
      <w:r w:rsidR="00E9736D" w:rsidRPr="007F700D">
        <w:rPr>
          <w:rFonts w:cs="Arial"/>
        </w:rPr>
        <w:t xml:space="preserve"> </w:t>
      </w:r>
      <w:r w:rsidR="006B60C2" w:rsidRPr="007F700D">
        <w:rPr>
          <w:rFonts w:cs="Arial"/>
        </w:rPr>
        <w:t xml:space="preserve">since </w:t>
      </w:r>
      <w:r w:rsidR="00E9736D" w:rsidRPr="007F700D">
        <w:rPr>
          <w:rFonts w:cs="Arial"/>
        </w:rPr>
        <w:t xml:space="preserve">the notice </w:t>
      </w:r>
      <w:r w:rsidR="00613693" w:rsidRPr="007F700D">
        <w:rPr>
          <w:rFonts w:cs="Arial"/>
        </w:rPr>
        <w:t xml:space="preserve">in respect thereof </w:t>
      </w:r>
      <w:r w:rsidR="00E9736D" w:rsidRPr="007F700D">
        <w:rPr>
          <w:rFonts w:cs="Arial"/>
        </w:rPr>
        <w:t>w</w:t>
      </w:r>
      <w:r w:rsidR="003028CB" w:rsidRPr="007F700D">
        <w:rPr>
          <w:rFonts w:cs="Arial"/>
        </w:rPr>
        <w:t>as</w:t>
      </w:r>
      <w:r w:rsidR="00E9736D" w:rsidRPr="007F700D">
        <w:rPr>
          <w:rFonts w:cs="Arial"/>
        </w:rPr>
        <w:t xml:space="preserve"> given timeously and properly.  </w:t>
      </w:r>
      <w:r w:rsidR="00FF5A4B" w:rsidRPr="007F700D">
        <w:rPr>
          <w:rFonts w:cs="Arial"/>
        </w:rPr>
        <w:t xml:space="preserve">An option </w:t>
      </w:r>
      <w:r w:rsidR="00FA17BB" w:rsidRPr="007F700D">
        <w:rPr>
          <w:rFonts w:cs="Arial"/>
        </w:rPr>
        <w:t xml:space="preserve">would have been </w:t>
      </w:r>
      <w:r w:rsidR="00FF5A4B" w:rsidRPr="007F700D">
        <w:rPr>
          <w:rFonts w:cs="Arial"/>
        </w:rPr>
        <w:t xml:space="preserve">to </w:t>
      </w:r>
      <w:r w:rsidR="00FA17BB" w:rsidRPr="007F700D">
        <w:rPr>
          <w:rFonts w:cs="Arial"/>
        </w:rPr>
        <w:t>simply dismiss the condonation</w:t>
      </w:r>
      <w:r w:rsidR="00FA6E57" w:rsidRPr="007F700D">
        <w:rPr>
          <w:rFonts w:cs="Arial"/>
        </w:rPr>
        <w:t xml:space="preserve"> </w:t>
      </w:r>
      <w:r w:rsidR="00476B11" w:rsidRPr="007F700D">
        <w:rPr>
          <w:rFonts w:cs="Arial"/>
        </w:rPr>
        <w:t xml:space="preserve">application </w:t>
      </w:r>
      <w:r w:rsidR="00FA6E57" w:rsidRPr="007F700D">
        <w:rPr>
          <w:rFonts w:cs="Arial"/>
        </w:rPr>
        <w:t xml:space="preserve">and </w:t>
      </w:r>
      <w:r w:rsidR="00073FCE" w:rsidRPr="007F700D">
        <w:rPr>
          <w:rFonts w:cs="Arial"/>
        </w:rPr>
        <w:t xml:space="preserve">then </w:t>
      </w:r>
      <w:r w:rsidR="00B21303" w:rsidRPr="007F700D">
        <w:rPr>
          <w:rFonts w:cs="Arial"/>
        </w:rPr>
        <w:t>to leave it to the parties to interpret what the</w:t>
      </w:r>
      <w:r w:rsidR="00017EED" w:rsidRPr="007F700D">
        <w:rPr>
          <w:rFonts w:cs="Arial"/>
        </w:rPr>
        <w:t>ir</w:t>
      </w:r>
      <w:r w:rsidR="00B21303" w:rsidRPr="007F700D">
        <w:rPr>
          <w:rFonts w:cs="Arial"/>
        </w:rPr>
        <w:t xml:space="preserve"> </w:t>
      </w:r>
      <w:r w:rsidR="00061A45" w:rsidRPr="007F700D">
        <w:rPr>
          <w:rFonts w:cs="Arial"/>
        </w:rPr>
        <w:t xml:space="preserve">respective </w:t>
      </w:r>
      <w:r w:rsidR="00B21303" w:rsidRPr="007F700D">
        <w:rPr>
          <w:rFonts w:cs="Arial"/>
        </w:rPr>
        <w:t>legal position</w:t>
      </w:r>
      <w:r w:rsidR="00061A45" w:rsidRPr="007F700D">
        <w:rPr>
          <w:rFonts w:cs="Arial"/>
        </w:rPr>
        <w:t>s</w:t>
      </w:r>
      <w:r w:rsidR="00B21303" w:rsidRPr="007F700D">
        <w:rPr>
          <w:rFonts w:cs="Arial"/>
        </w:rPr>
        <w:t xml:space="preserve"> </w:t>
      </w:r>
      <w:r w:rsidR="00061A45" w:rsidRPr="007F700D">
        <w:rPr>
          <w:rFonts w:cs="Arial"/>
        </w:rPr>
        <w:t>a</w:t>
      </w:r>
      <w:r w:rsidR="006B60C2" w:rsidRPr="007F700D">
        <w:rPr>
          <w:rFonts w:cs="Arial"/>
        </w:rPr>
        <w:t>r</w:t>
      </w:r>
      <w:r w:rsidR="00061A45" w:rsidRPr="007F700D">
        <w:rPr>
          <w:rFonts w:cs="Arial"/>
        </w:rPr>
        <w:t>e</w:t>
      </w:r>
      <w:r w:rsidR="00196640" w:rsidRPr="007F700D">
        <w:rPr>
          <w:rFonts w:cs="Arial"/>
        </w:rPr>
        <w:t xml:space="preserve"> going forward</w:t>
      </w:r>
      <w:r w:rsidR="005F64A3" w:rsidRPr="007F700D">
        <w:rPr>
          <w:rFonts w:cs="Arial"/>
        </w:rPr>
        <w:t xml:space="preserve">.  </w:t>
      </w:r>
      <w:r w:rsidR="0015464A" w:rsidRPr="007F700D">
        <w:rPr>
          <w:rFonts w:cs="Arial"/>
        </w:rPr>
        <w:t>Potentially, the latter</w:t>
      </w:r>
      <w:r w:rsidR="005F64A3" w:rsidRPr="007F700D">
        <w:rPr>
          <w:rFonts w:cs="Arial"/>
        </w:rPr>
        <w:t xml:space="preserve"> route could </w:t>
      </w:r>
      <w:r w:rsidR="0015464A" w:rsidRPr="007F700D">
        <w:rPr>
          <w:rFonts w:cs="Arial"/>
        </w:rPr>
        <w:t>cr</w:t>
      </w:r>
      <w:r w:rsidR="006C0EE5" w:rsidRPr="007F700D">
        <w:rPr>
          <w:rFonts w:cs="Arial"/>
        </w:rPr>
        <w:t xml:space="preserve">eate a productive </w:t>
      </w:r>
      <w:r w:rsidR="00403AA9" w:rsidRPr="007F700D">
        <w:rPr>
          <w:rFonts w:cs="Arial"/>
        </w:rPr>
        <w:t>area</w:t>
      </w:r>
      <w:r w:rsidR="006C0EE5" w:rsidRPr="007F700D">
        <w:rPr>
          <w:rFonts w:cs="Arial"/>
        </w:rPr>
        <w:t xml:space="preserve"> for </w:t>
      </w:r>
      <w:r w:rsidR="007C0609" w:rsidRPr="007F700D">
        <w:rPr>
          <w:rFonts w:cs="Arial"/>
        </w:rPr>
        <w:t xml:space="preserve">the </w:t>
      </w:r>
      <w:r w:rsidR="00994FC8" w:rsidRPr="007F700D">
        <w:rPr>
          <w:rFonts w:cs="Arial"/>
        </w:rPr>
        <w:t xml:space="preserve">emergence </w:t>
      </w:r>
      <w:r w:rsidR="007C0609" w:rsidRPr="007F700D">
        <w:rPr>
          <w:rFonts w:cs="Arial"/>
        </w:rPr>
        <w:t xml:space="preserve">of further disputes.  </w:t>
      </w:r>
      <w:r w:rsidR="00D326F6" w:rsidRPr="007F700D">
        <w:rPr>
          <w:rFonts w:cs="Arial"/>
        </w:rPr>
        <w:t xml:space="preserve">The </w:t>
      </w:r>
      <w:proofErr w:type="spellStart"/>
      <w:r w:rsidR="00D326F6" w:rsidRPr="007F700D">
        <w:rPr>
          <w:rFonts w:cs="Arial"/>
        </w:rPr>
        <w:t>declarator</w:t>
      </w:r>
      <w:proofErr w:type="spellEnd"/>
      <w:r w:rsidR="00D326F6" w:rsidRPr="007F700D">
        <w:rPr>
          <w:rFonts w:cs="Arial"/>
        </w:rPr>
        <w:t xml:space="preserve"> made below </w:t>
      </w:r>
      <w:r w:rsidR="00705EAF" w:rsidRPr="007F700D">
        <w:rPr>
          <w:rFonts w:cs="Arial"/>
        </w:rPr>
        <w:t>seem</w:t>
      </w:r>
      <w:r w:rsidR="00073FCE" w:rsidRPr="007F700D">
        <w:rPr>
          <w:rFonts w:cs="Arial"/>
        </w:rPr>
        <w:t xml:space="preserve">ed to me </w:t>
      </w:r>
      <w:r w:rsidR="00705EAF" w:rsidRPr="007F700D">
        <w:rPr>
          <w:rFonts w:cs="Arial"/>
        </w:rPr>
        <w:t xml:space="preserve">the better route to follow, because it informs the parties </w:t>
      </w:r>
      <w:r w:rsidR="00D72BBA" w:rsidRPr="007F700D">
        <w:rPr>
          <w:rFonts w:cs="Arial"/>
        </w:rPr>
        <w:t>as to the way forward</w:t>
      </w:r>
      <w:r w:rsidR="009D733D" w:rsidRPr="007F700D">
        <w:rPr>
          <w:rFonts w:cs="Arial"/>
        </w:rPr>
        <w:t xml:space="preserve"> and</w:t>
      </w:r>
      <w:r w:rsidR="006311EF" w:rsidRPr="007F700D">
        <w:rPr>
          <w:rFonts w:cs="Arial"/>
        </w:rPr>
        <w:t xml:space="preserve">, simultaneously, </w:t>
      </w:r>
      <w:r w:rsidR="00AC71BD" w:rsidRPr="007F700D">
        <w:rPr>
          <w:rFonts w:cs="Arial"/>
        </w:rPr>
        <w:t xml:space="preserve">serves to </w:t>
      </w:r>
      <w:r w:rsidR="00BA2F9D" w:rsidRPr="007F700D">
        <w:rPr>
          <w:rFonts w:cs="Arial"/>
        </w:rPr>
        <w:t xml:space="preserve">protect their </w:t>
      </w:r>
      <w:r w:rsidR="007B41F1" w:rsidRPr="007F700D">
        <w:rPr>
          <w:rFonts w:cs="Arial"/>
        </w:rPr>
        <w:t>respective rights and interests</w:t>
      </w:r>
      <w:r w:rsidR="00AC71BD" w:rsidRPr="007F700D">
        <w:rPr>
          <w:rFonts w:cs="Arial"/>
        </w:rPr>
        <w:t xml:space="preserve"> as to the current position</w:t>
      </w:r>
      <w:r w:rsidR="00923651" w:rsidRPr="007F700D">
        <w:rPr>
          <w:rFonts w:cs="Arial"/>
        </w:rPr>
        <w:t xml:space="preserve">.  </w:t>
      </w:r>
    </w:p>
    <w:p w14:paraId="5848F4F9" w14:textId="147A49B0" w:rsidR="001950A1" w:rsidRPr="007F700D" w:rsidRDefault="007F700D" w:rsidP="007F700D">
      <w:pPr>
        <w:spacing w:before="360" w:after="120" w:line="480" w:lineRule="auto"/>
        <w:ind w:left="709" w:hanging="720"/>
        <w:rPr>
          <w:rFonts w:cs="Arial"/>
        </w:rPr>
      </w:pPr>
      <w:r w:rsidRPr="005C7BD6">
        <w:rPr>
          <w:rFonts w:cs="Arial"/>
        </w:rPr>
        <w:t>[70]</w:t>
      </w:r>
      <w:r w:rsidRPr="005C7BD6">
        <w:rPr>
          <w:rFonts w:cs="Arial"/>
        </w:rPr>
        <w:tab/>
      </w:r>
      <w:r w:rsidR="00964832" w:rsidRPr="007F700D">
        <w:rPr>
          <w:rFonts w:cs="Arial"/>
        </w:rPr>
        <w:t xml:space="preserve">In addition, since this is an interlocutory application, </w:t>
      </w:r>
      <w:r w:rsidR="009324B9" w:rsidRPr="007F700D">
        <w:rPr>
          <w:rFonts w:cs="Arial"/>
        </w:rPr>
        <w:t>I consider that, in all the circumstances</w:t>
      </w:r>
      <w:r w:rsidR="00DD7EC7" w:rsidRPr="007F700D">
        <w:rPr>
          <w:rFonts w:cs="Arial"/>
        </w:rPr>
        <w:t>,</w:t>
      </w:r>
      <w:r w:rsidR="009324B9" w:rsidRPr="007F700D">
        <w:rPr>
          <w:rFonts w:cs="Arial"/>
        </w:rPr>
        <w:t xml:space="preserve"> </w:t>
      </w:r>
      <w:r w:rsidR="00BA52CE" w:rsidRPr="007F700D">
        <w:rPr>
          <w:rFonts w:cs="Arial"/>
        </w:rPr>
        <w:t>it is fai</w:t>
      </w:r>
      <w:r w:rsidR="00BC6FAB" w:rsidRPr="007F700D">
        <w:rPr>
          <w:rFonts w:cs="Arial"/>
        </w:rPr>
        <w:t xml:space="preserve">r and reasonable to both parties that </w:t>
      </w:r>
      <w:r w:rsidR="001950A1" w:rsidRPr="007F700D">
        <w:rPr>
          <w:rFonts w:cs="Arial"/>
        </w:rPr>
        <w:t xml:space="preserve">the costs </w:t>
      </w:r>
      <w:r w:rsidR="001B6AB5" w:rsidRPr="007F700D">
        <w:rPr>
          <w:rFonts w:cs="Arial"/>
        </w:rPr>
        <w:t>of the condonation</w:t>
      </w:r>
      <w:r w:rsidR="00F53E72" w:rsidRPr="007F700D">
        <w:rPr>
          <w:rFonts w:cs="Arial"/>
        </w:rPr>
        <w:t xml:space="preserve"> </w:t>
      </w:r>
      <w:r w:rsidR="00AC71BD" w:rsidRPr="007F700D">
        <w:rPr>
          <w:rFonts w:cs="Arial"/>
        </w:rPr>
        <w:t xml:space="preserve">application </w:t>
      </w:r>
      <w:r w:rsidR="00F53E72" w:rsidRPr="007F700D">
        <w:rPr>
          <w:rFonts w:cs="Arial"/>
        </w:rPr>
        <w:t>should be costs in the cause.</w:t>
      </w:r>
      <w:r w:rsidR="008A245D" w:rsidRPr="007F700D">
        <w:rPr>
          <w:rFonts w:cs="Arial"/>
        </w:rPr>
        <w:t xml:space="preserve">  </w:t>
      </w:r>
      <w:r w:rsidR="0095317B" w:rsidRPr="007F700D">
        <w:rPr>
          <w:rFonts w:cs="Arial"/>
        </w:rPr>
        <w:t>Ultimat</w:t>
      </w:r>
      <w:r w:rsidR="00901DDA" w:rsidRPr="007F700D">
        <w:rPr>
          <w:rFonts w:cs="Arial"/>
        </w:rPr>
        <w:t xml:space="preserve">ely, the issue of malice or </w:t>
      </w:r>
      <w:r w:rsidR="00901DDA" w:rsidRPr="007F700D">
        <w:rPr>
          <w:rFonts w:cs="Arial"/>
          <w:i/>
          <w:iCs/>
        </w:rPr>
        <w:t xml:space="preserve">animus </w:t>
      </w:r>
      <w:proofErr w:type="spellStart"/>
      <w:r w:rsidR="00901DDA" w:rsidRPr="007F700D">
        <w:rPr>
          <w:rFonts w:cs="Arial"/>
          <w:i/>
          <w:iCs/>
        </w:rPr>
        <w:t>iniuriandi</w:t>
      </w:r>
      <w:proofErr w:type="spellEnd"/>
      <w:r w:rsidR="00901DDA" w:rsidRPr="007F700D">
        <w:rPr>
          <w:rFonts w:cs="Arial"/>
        </w:rPr>
        <w:t>, whether established or not, m</w:t>
      </w:r>
      <w:r w:rsidR="003139C8" w:rsidRPr="007F700D">
        <w:rPr>
          <w:rFonts w:cs="Arial"/>
        </w:rPr>
        <w:t xml:space="preserve">ay further guide the correct decision </w:t>
      </w:r>
      <w:r w:rsidR="00730111" w:rsidRPr="007F700D">
        <w:rPr>
          <w:rFonts w:cs="Arial"/>
        </w:rPr>
        <w:t>to be made on this</w:t>
      </w:r>
      <w:r w:rsidR="007464B5" w:rsidRPr="007F700D">
        <w:rPr>
          <w:rFonts w:cs="Arial"/>
        </w:rPr>
        <w:t xml:space="preserve"> particular</w:t>
      </w:r>
      <w:r w:rsidR="00730111" w:rsidRPr="007F700D">
        <w:rPr>
          <w:rFonts w:cs="Arial"/>
        </w:rPr>
        <w:t xml:space="preserve"> issue.</w:t>
      </w:r>
    </w:p>
    <w:p w14:paraId="512ED5CE" w14:textId="679CBF06" w:rsidR="00EC5E8E" w:rsidRPr="00EC5E8E" w:rsidRDefault="00EC5E8E" w:rsidP="00EC5E8E">
      <w:pPr>
        <w:spacing w:before="360" w:after="120" w:line="480" w:lineRule="auto"/>
        <w:ind w:left="-11"/>
        <w:rPr>
          <w:rFonts w:cs="Arial"/>
          <w:b/>
          <w:bCs/>
        </w:rPr>
      </w:pPr>
      <w:r w:rsidRPr="00EC5E8E">
        <w:rPr>
          <w:rFonts w:cs="Arial"/>
          <w:b/>
          <w:bCs/>
        </w:rPr>
        <w:t>ORDER</w:t>
      </w:r>
    </w:p>
    <w:p w14:paraId="04838D15" w14:textId="703B7C8D" w:rsidR="005239A8" w:rsidRPr="007F700D" w:rsidRDefault="007F700D" w:rsidP="007F700D">
      <w:pPr>
        <w:spacing w:before="360" w:after="120" w:line="480" w:lineRule="auto"/>
        <w:ind w:left="709" w:hanging="720"/>
        <w:rPr>
          <w:rFonts w:cs="Arial"/>
        </w:rPr>
      </w:pPr>
      <w:r>
        <w:rPr>
          <w:rFonts w:cs="Arial"/>
        </w:rPr>
        <w:t>[71]</w:t>
      </w:r>
      <w:r>
        <w:rPr>
          <w:rFonts w:cs="Arial"/>
        </w:rPr>
        <w:tab/>
      </w:r>
      <w:r w:rsidR="00BA2F9D" w:rsidRPr="007F700D">
        <w:rPr>
          <w:rFonts w:cs="Arial"/>
        </w:rPr>
        <w:t>I</w:t>
      </w:r>
      <w:r w:rsidR="005239A8" w:rsidRPr="007F700D">
        <w:rPr>
          <w:rFonts w:cs="Arial"/>
        </w:rPr>
        <w:t xml:space="preserve">n the </w:t>
      </w:r>
      <w:proofErr w:type="spellStart"/>
      <w:r w:rsidR="005239A8" w:rsidRPr="007F700D">
        <w:rPr>
          <w:rFonts w:cs="Arial"/>
        </w:rPr>
        <w:t>aforegoing</w:t>
      </w:r>
      <w:proofErr w:type="spellEnd"/>
      <w:r w:rsidR="005239A8" w:rsidRPr="007F700D">
        <w:rPr>
          <w:rFonts w:cs="Arial"/>
        </w:rPr>
        <w:t xml:space="preserve"> premises, I make the following order:</w:t>
      </w:r>
    </w:p>
    <w:p w14:paraId="0400F0DC" w14:textId="4584BF2C" w:rsidR="002B5267" w:rsidRPr="007F700D" w:rsidRDefault="007F700D" w:rsidP="007F700D">
      <w:pPr>
        <w:spacing w:before="360" w:after="120" w:line="480" w:lineRule="auto"/>
        <w:ind w:left="1560" w:hanging="851"/>
        <w:rPr>
          <w:rFonts w:cs="Arial"/>
        </w:rPr>
      </w:pPr>
      <w:r>
        <w:rPr>
          <w:rFonts w:cs="Arial"/>
        </w:rPr>
        <w:t>[71.1]</w:t>
      </w:r>
      <w:r>
        <w:rPr>
          <w:rFonts w:cs="Arial"/>
        </w:rPr>
        <w:tab/>
      </w:r>
      <w:r w:rsidR="00964B98" w:rsidRPr="007F700D">
        <w:rPr>
          <w:rFonts w:cs="Arial"/>
        </w:rPr>
        <w:t xml:space="preserve">It is declared that </w:t>
      </w:r>
      <w:r w:rsidR="00E30232" w:rsidRPr="007F700D">
        <w:rPr>
          <w:rFonts w:cs="Arial"/>
        </w:rPr>
        <w:t xml:space="preserve">the </w:t>
      </w:r>
      <w:r w:rsidR="006D174A" w:rsidRPr="007F700D">
        <w:rPr>
          <w:rFonts w:cs="Arial"/>
        </w:rPr>
        <w:t xml:space="preserve">letter </w:t>
      </w:r>
      <w:r w:rsidR="00A52636" w:rsidRPr="007F700D">
        <w:rPr>
          <w:rFonts w:cs="Arial"/>
        </w:rPr>
        <w:t>dated ‘</w:t>
      </w:r>
      <w:r w:rsidR="00A52636" w:rsidRPr="007F700D">
        <w:rPr>
          <w:rFonts w:cs="Arial"/>
          <w:i/>
          <w:iCs/>
        </w:rPr>
        <w:t>May 2021</w:t>
      </w:r>
      <w:r w:rsidR="00A52636" w:rsidRPr="007F700D">
        <w:rPr>
          <w:rFonts w:cs="Arial"/>
        </w:rPr>
        <w:t xml:space="preserve">’, </w:t>
      </w:r>
      <w:r w:rsidR="006D174A" w:rsidRPr="007F700D">
        <w:rPr>
          <w:rFonts w:cs="Arial"/>
        </w:rPr>
        <w:t xml:space="preserve">written by the </w:t>
      </w:r>
      <w:r w:rsidR="00E30232" w:rsidRPr="007F700D">
        <w:rPr>
          <w:rFonts w:cs="Arial"/>
        </w:rPr>
        <w:t xml:space="preserve">applicant’s </w:t>
      </w:r>
      <w:r w:rsidR="005B3CCF" w:rsidRPr="007F700D">
        <w:rPr>
          <w:rFonts w:cs="Arial"/>
        </w:rPr>
        <w:t>attorney</w:t>
      </w:r>
      <w:r w:rsidR="00031423" w:rsidRPr="007F700D">
        <w:rPr>
          <w:rFonts w:cs="Arial"/>
        </w:rPr>
        <w:t xml:space="preserve">, Mr TT </w:t>
      </w:r>
      <w:proofErr w:type="spellStart"/>
      <w:r w:rsidR="00031423" w:rsidRPr="007F700D">
        <w:rPr>
          <w:rFonts w:cs="Arial"/>
        </w:rPr>
        <w:t>Thobane</w:t>
      </w:r>
      <w:proofErr w:type="spellEnd"/>
      <w:r w:rsidR="00A52636" w:rsidRPr="007F700D">
        <w:rPr>
          <w:rFonts w:cs="Arial"/>
        </w:rPr>
        <w:t>,</w:t>
      </w:r>
      <w:r w:rsidR="006F1B3E" w:rsidRPr="007F700D">
        <w:rPr>
          <w:rFonts w:cs="Arial"/>
        </w:rPr>
        <w:t xml:space="preserve"> was timeously</w:t>
      </w:r>
      <w:r w:rsidR="00447A1C" w:rsidRPr="007F700D">
        <w:rPr>
          <w:rFonts w:cs="Arial"/>
        </w:rPr>
        <w:t xml:space="preserve"> </w:t>
      </w:r>
      <w:r w:rsidR="00942545" w:rsidRPr="007F700D">
        <w:rPr>
          <w:rFonts w:cs="Arial"/>
        </w:rPr>
        <w:t xml:space="preserve">and properly </w:t>
      </w:r>
      <w:r w:rsidR="00447A1C" w:rsidRPr="007F700D">
        <w:rPr>
          <w:rFonts w:cs="Arial"/>
        </w:rPr>
        <w:t xml:space="preserve">given </w:t>
      </w:r>
      <w:r w:rsidR="00581273" w:rsidRPr="007F700D">
        <w:rPr>
          <w:rFonts w:cs="Arial"/>
        </w:rPr>
        <w:t>to</w:t>
      </w:r>
      <w:r w:rsidR="00E001E7" w:rsidRPr="007F700D">
        <w:rPr>
          <w:rFonts w:cs="Arial"/>
        </w:rPr>
        <w:t>,</w:t>
      </w:r>
      <w:r w:rsidR="00581273" w:rsidRPr="007F700D">
        <w:rPr>
          <w:rFonts w:cs="Arial"/>
        </w:rPr>
        <w:t xml:space="preserve"> </w:t>
      </w:r>
      <w:r w:rsidR="006C7BFE" w:rsidRPr="007F700D">
        <w:rPr>
          <w:rFonts w:cs="Arial"/>
        </w:rPr>
        <w:t>and served on</w:t>
      </w:r>
      <w:r w:rsidR="00E001E7" w:rsidRPr="007F700D">
        <w:rPr>
          <w:rFonts w:cs="Arial"/>
        </w:rPr>
        <w:t>,</w:t>
      </w:r>
      <w:r w:rsidR="006C7BFE" w:rsidRPr="007F700D">
        <w:rPr>
          <w:rFonts w:cs="Arial"/>
        </w:rPr>
        <w:t xml:space="preserve"> the first respondent (i.e., the Minister) </w:t>
      </w:r>
      <w:r w:rsidR="00447A1C" w:rsidRPr="007F700D">
        <w:rPr>
          <w:rFonts w:cs="Arial"/>
        </w:rPr>
        <w:t xml:space="preserve">as </w:t>
      </w:r>
      <w:r w:rsidR="006C7BFE" w:rsidRPr="007F700D">
        <w:rPr>
          <w:rFonts w:cs="Arial"/>
        </w:rPr>
        <w:t xml:space="preserve">a notice </w:t>
      </w:r>
      <w:r w:rsidR="00964B98" w:rsidRPr="007F700D">
        <w:rPr>
          <w:rFonts w:cs="Arial"/>
        </w:rPr>
        <w:t>to institute legal proceedings</w:t>
      </w:r>
      <w:r w:rsidR="002B5267" w:rsidRPr="007F700D">
        <w:rPr>
          <w:rFonts w:cs="Arial"/>
        </w:rPr>
        <w:t xml:space="preserve">: </w:t>
      </w:r>
    </w:p>
    <w:p w14:paraId="09F737F2" w14:textId="0C4FEE44" w:rsidR="002B5267" w:rsidRPr="007F700D" w:rsidRDefault="007F700D" w:rsidP="007F700D">
      <w:pPr>
        <w:spacing w:before="360" w:after="120" w:line="480" w:lineRule="auto"/>
        <w:ind w:left="2340" w:hanging="780"/>
        <w:rPr>
          <w:rFonts w:cs="Arial"/>
        </w:rPr>
      </w:pPr>
      <w:r>
        <w:rPr>
          <w:rFonts w:cs="Arial"/>
        </w:rPr>
        <w:t>(a)</w:t>
      </w:r>
      <w:r>
        <w:rPr>
          <w:rFonts w:cs="Arial"/>
        </w:rPr>
        <w:tab/>
      </w:r>
      <w:r w:rsidR="00964B98" w:rsidRPr="007F700D">
        <w:rPr>
          <w:rFonts w:cs="Arial"/>
        </w:rPr>
        <w:t>in terms of s</w:t>
      </w:r>
      <w:r w:rsidR="006C7BFE" w:rsidRPr="007F700D">
        <w:rPr>
          <w:rFonts w:cs="Arial"/>
        </w:rPr>
        <w:t> </w:t>
      </w:r>
      <w:r w:rsidR="00964B98" w:rsidRPr="007F700D">
        <w:rPr>
          <w:rFonts w:cs="Arial"/>
        </w:rPr>
        <w:t>3</w:t>
      </w:r>
      <w:r w:rsidR="00581273" w:rsidRPr="007F700D">
        <w:rPr>
          <w:rFonts w:cs="Arial"/>
        </w:rPr>
        <w:t>(1)</w:t>
      </w:r>
      <w:r w:rsidR="00964B98" w:rsidRPr="007F700D">
        <w:rPr>
          <w:rFonts w:cs="Arial"/>
        </w:rPr>
        <w:t>(a) of the Institution of Legal Proceedings against Certain Organs of State</w:t>
      </w:r>
      <w:r w:rsidR="00DF4914" w:rsidRPr="007F700D">
        <w:rPr>
          <w:rFonts w:cs="Arial"/>
        </w:rPr>
        <w:t>,</w:t>
      </w:r>
      <w:r w:rsidR="00964B98" w:rsidRPr="007F700D">
        <w:rPr>
          <w:rFonts w:cs="Arial"/>
        </w:rPr>
        <w:t xml:space="preserve"> Act 40 of 2002</w:t>
      </w:r>
      <w:r w:rsidR="002B5267" w:rsidRPr="007F700D">
        <w:rPr>
          <w:rFonts w:cs="Arial"/>
        </w:rPr>
        <w:t>; and</w:t>
      </w:r>
    </w:p>
    <w:p w14:paraId="52C89D8C" w14:textId="34A047F0" w:rsidR="00D54415" w:rsidRPr="007F700D" w:rsidRDefault="007F700D" w:rsidP="007F700D">
      <w:pPr>
        <w:spacing w:before="360" w:after="120" w:line="480" w:lineRule="auto"/>
        <w:ind w:left="2340" w:hanging="780"/>
        <w:rPr>
          <w:rFonts w:cs="Arial"/>
        </w:rPr>
      </w:pPr>
      <w:r>
        <w:rPr>
          <w:rFonts w:cs="Arial"/>
        </w:rPr>
        <w:lastRenderedPageBreak/>
        <w:t>(b)</w:t>
      </w:r>
      <w:r>
        <w:rPr>
          <w:rFonts w:cs="Arial"/>
        </w:rPr>
        <w:tab/>
      </w:r>
      <w:r w:rsidR="005C3F67" w:rsidRPr="007F700D">
        <w:rPr>
          <w:rFonts w:cs="Arial"/>
        </w:rPr>
        <w:t xml:space="preserve">in respect of the applicant’s claims for </w:t>
      </w:r>
      <w:r w:rsidR="00316F1D" w:rsidRPr="007F700D">
        <w:rPr>
          <w:rFonts w:cs="Arial"/>
          <w:i/>
          <w:iCs/>
        </w:rPr>
        <w:t>malicious</w:t>
      </w:r>
      <w:r w:rsidR="00316F1D" w:rsidRPr="007F700D">
        <w:rPr>
          <w:rFonts w:cs="Arial"/>
        </w:rPr>
        <w:t xml:space="preserve"> arrest, detention and prosecution</w:t>
      </w:r>
      <w:r w:rsidR="0018065F" w:rsidRPr="007F700D">
        <w:rPr>
          <w:rFonts w:cs="Arial"/>
        </w:rPr>
        <w:t>; and</w:t>
      </w:r>
      <w:r w:rsidR="00964B98" w:rsidRPr="007F700D">
        <w:rPr>
          <w:rFonts w:cs="Arial"/>
        </w:rPr>
        <w:t xml:space="preserve"> </w:t>
      </w:r>
    </w:p>
    <w:p w14:paraId="5E546936" w14:textId="3BDA407A" w:rsidR="00EC5E8E" w:rsidRPr="007F700D" w:rsidRDefault="007F700D" w:rsidP="007F700D">
      <w:pPr>
        <w:spacing w:before="360" w:after="120" w:line="480" w:lineRule="auto"/>
        <w:ind w:left="1560" w:hanging="851"/>
        <w:rPr>
          <w:rFonts w:cs="Arial"/>
        </w:rPr>
      </w:pPr>
      <w:r>
        <w:rPr>
          <w:rFonts w:cs="Arial"/>
        </w:rPr>
        <w:t>[71.2]</w:t>
      </w:r>
      <w:r>
        <w:rPr>
          <w:rFonts w:cs="Arial"/>
        </w:rPr>
        <w:tab/>
      </w:r>
      <w:r w:rsidR="0018065F" w:rsidRPr="007F700D">
        <w:rPr>
          <w:rFonts w:cs="Arial"/>
        </w:rPr>
        <w:t xml:space="preserve">the costs of this application are to be costs </w:t>
      </w:r>
      <w:r w:rsidR="004C40E9" w:rsidRPr="007F700D">
        <w:rPr>
          <w:rFonts w:cs="Arial"/>
        </w:rPr>
        <w:t>in the cause.</w:t>
      </w:r>
    </w:p>
    <w:p w14:paraId="185F7E24" w14:textId="77777777" w:rsidR="00C70D8E" w:rsidRPr="00EE010C" w:rsidRDefault="00C70D8E" w:rsidP="00C70D8E">
      <w:pPr>
        <w:ind w:left="4968"/>
        <w:jc w:val="right"/>
        <w:rPr>
          <w:rFonts w:cs="Arial"/>
        </w:rPr>
      </w:pPr>
      <w:r>
        <w:t>________________</w:t>
      </w:r>
    </w:p>
    <w:p w14:paraId="2276DA5C" w14:textId="77777777" w:rsidR="00C70D8E" w:rsidRPr="00EE010C" w:rsidRDefault="00C70D8E" w:rsidP="00C70D8E">
      <w:pPr>
        <w:ind w:left="4962"/>
        <w:jc w:val="right"/>
        <w:rPr>
          <w:rFonts w:cs="Arial"/>
          <w:b/>
          <w:bCs/>
        </w:rPr>
      </w:pPr>
      <w:r w:rsidRPr="00EE010C">
        <w:rPr>
          <w:rFonts w:cs="Arial"/>
          <w:b/>
          <w:bCs/>
        </w:rPr>
        <w:t>EW DUNN</w:t>
      </w:r>
    </w:p>
    <w:p w14:paraId="44A3C680" w14:textId="77777777" w:rsidR="00C70D8E" w:rsidRPr="00EE010C" w:rsidRDefault="00C70D8E" w:rsidP="00C70D8E">
      <w:pPr>
        <w:ind w:left="4962"/>
        <w:jc w:val="right"/>
        <w:rPr>
          <w:rFonts w:cs="Arial"/>
          <w:sz w:val="22"/>
          <w:szCs w:val="22"/>
        </w:rPr>
      </w:pPr>
      <w:r w:rsidRPr="00EE010C">
        <w:rPr>
          <w:rFonts w:cs="Arial"/>
          <w:sz w:val="22"/>
          <w:szCs w:val="22"/>
        </w:rPr>
        <w:t>Acting Judge of the High Court</w:t>
      </w:r>
    </w:p>
    <w:p w14:paraId="5A02F67D" w14:textId="367A4EEE" w:rsidR="00C70D8E" w:rsidRPr="00EE010C" w:rsidRDefault="00C70D8E" w:rsidP="00C70D8E">
      <w:pPr>
        <w:ind w:left="4962"/>
        <w:jc w:val="right"/>
        <w:rPr>
          <w:rFonts w:cs="Arial"/>
        </w:rPr>
      </w:pPr>
      <w:r w:rsidRPr="00EE010C">
        <w:rPr>
          <w:rFonts w:cs="Arial"/>
          <w:sz w:val="22"/>
          <w:szCs w:val="22"/>
        </w:rPr>
        <w:t>Gauteng Division, Johannesburg</w:t>
      </w:r>
    </w:p>
    <w:p w14:paraId="3EB6F905" w14:textId="753CC85B" w:rsidR="00C70D8E" w:rsidRPr="00EE010C" w:rsidRDefault="00DE4A43" w:rsidP="00AE0D9A">
      <w:pPr>
        <w:pStyle w:val="BodyText"/>
        <w:tabs>
          <w:tab w:val="left" w:pos="567"/>
        </w:tabs>
        <w:spacing w:before="240" w:after="120"/>
        <w:outlineLvl w:val="0"/>
        <w:rPr>
          <w:rFonts w:cs="Arial"/>
          <w:sz w:val="24"/>
          <w:szCs w:val="24"/>
        </w:rPr>
      </w:pPr>
      <w:bookmarkStart w:id="74" w:name="_Toc159432436"/>
      <w:r>
        <w:rPr>
          <w:rFonts w:cs="Arial"/>
          <w:sz w:val="24"/>
          <w:szCs w:val="24"/>
        </w:rPr>
        <w:t xml:space="preserve">Attorney </w:t>
      </w:r>
      <w:r w:rsidR="00C70D8E" w:rsidRPr="00EE010C">
        <w:rPr>
          <w:rFonts w:cs="Arial"/>
          <w:sz w:val="24"/>
          <w:szCs w:val="24"/>
        </w:rPr>
        <w:t xml:space="preserve">for the applicant: </w:t>
      </w:r>
      <w:r>
        <w:rPr>
          <w:rFonts w:cs="Arial"/>
          <w:sz w:val="24"/>
          <w:szCs w:val="24"/>
        </w:rPr>
        <w:t xml:space="preserve">Mr TT </w:t>
      </w:r>
      <w:proofErr w:type="spellStart"/>
      <w:r>
        <w:rPr>
          <w:rFonts w:cs="Arial"/>
          <w:sz w:val="24"/>
          <w:szCs w:val="24"/>
        </w:rPr>
        <w:t>Thobane</w:t>
      </w:r>
      <w:proofErr w:type="spellEnd"/>
      <w:r w:rsidR="00B31FD1">
        <w:rPr>
          <w:rFonts w:cs="Arial"/>
          <w:sz w:val="24"/>
          <w:szCs w:val="24"/>
        </w:rPr>
        <w:t>.</w:t>
      </w:r>
      <w:bookmarkEnd w:id="74"/>
      <w:r w:rsidR="00C70D8E" w:rsidRPr="00EE010C">
        <w:rPr>
          <w:rFonts w:cs="Arial"/>
          <w:sz w:val="24"/>
          <w:szCs w:val="24"/>
        </w:rPr>
        <w:t xml:space="preserve"> </w:t>
      </w:r>
    </w:p>
    <w:p w14:paraId="0C7C05F8" w14:textId="503E9F33" w:rsidR="00B82F1E" w:rsidRPr="00EE010C" w:rsidRDefault="00C70D8E" w:rsidP="00AE0D9A">
      <w:pPr>
        <w:pStyle w:val="BodyText"/>
        <w:tabs>
          <w:tab w:val="left" w:pos="567"/>
        </w:tabs>
        <w:spacing w:before="240" w:after="120"/>
        <w:outlineLvl w:val="0"/>
        <w:rPr>
          <w:rFonts w:cs="Arial"/>
          <w:sz w:val="24"/>
          <w:szCs w:val="24"/>
        </w:rPr>
      </w:pPr>
      <w:bookmarkStart w:id="75" w:name="_Toc159432437"/>
      <w:r w:rsidRPr="00EE010C">
        <w:rPr>
          <w:rFonts w:cs="Arial"/>
          <w:sz w:val="24"/>
          <w:szCs w:val="24"/>
        </w:rPr>
        <w:t>Instructed by:</w:t>
      </w:r>
      <w:r w:rsidR="00DE4A43">
        <w:rPr>
          <w:rFonts w:cs="Arial"/>
          <w:sz w:val="24"/>
          <w:szCs w:val="24"/>
        </w:rPr>
        <w:t xml:space="preserve"> </w:t>
      </w:r>
      <w:r w:rsidR="00ED4614">
        <w:rPr>
          <w:rFonts w:cs="Arial"/>
          <w:sz w:val="24"/>
          <w:szCs w:val="24"/>
        </w:rPr>
        <w:t xml:space="preserve">TT </w:t>
      </w:r>
      <w:proofErr w:type="spellStart"/>
      <w:r w:rsidR="00ED4614">
        <w:rPr>
          <w:rFonts w:cs="Arial"/>
          <w:sz w:val="24"/>
          <w:szCs w:val="24"/>
        </w:rPr>
        <w:t>Thobane</w:t>
      </w:r>
      <w:proofErr w:type="spellEnd"/>
      <w:r w:rsidR="00ED4614">
        <w:rPr>
          <w:rFonts w:cs="Arial"/>
          <w:sz w:val="24"/>
          <w:szCs w:val="24"/>
        </w:rPr>
        <w:t xml:space="preserve"> Attorneys,</w:t>
      </w:r>
      <w:bookmarkEnd w:id="75"/>
      <w:r w:rsidR="00ED4614">
        <w:rPr>
          <w:rFonts w:cs="Arial"/>
          <w:sz w:val="24"/>
          <w:szCs w:val="24"/>
        </w:rPr>
        <w:t xml:space="preserve"> </w:t>
      </w:r>
    </w:p>
    <w:p w14:paraId="0CFDA3B5" w14:textId="41BB79DB" w:rsidR="00C70D8E" w:rsidRPr="00EE010C" w:rsidRDefault="00D422C2" w:rsidP="00AE0D9A">
      <w:pPr>
        <w:pStyle w:val="BodyText"/>
        <w:tabs>
          <w:tab w:val="left" w:pos="567"/>
        </w:tabs>
        <w:spacing w:before="240" w:after="120"/>
        <w:ind w:left="1560"/>
        <w:outlineLvl w:val="0"/>
        <w:rPr>
          <w:rFonts w:cs="Arial"/>
          <w:sz w:val="24"/>
          <w:szCs w:val="24"/>
        </w:rPr>
      </w:pPr>
      <w:bookmarkStart w:id="76" w:name="_Toc159432438"/>
      <w:r>
        <w:rPr>
          <w:rFonts w:cs="Arial"/>
          <w:sz w:val="24"/>
          <w:szCs w:val="24"/>
        </w:rPr>
        <w:t>Care of</w:t>
      </w:r>
      <w:r w:rsidR="00E12A16">
        <w:rPr>
          <w:rFonts w:cs="Arial"/>
          <w:sz w:val="24"/>
          <w:szCs w:val="24"/>
        </w:rPr>
        <w:t xml:space="preserve">: </w:t>
      </w:r>
      <w:proofErr w:type="spellStart"/>
      <w:r w:rsidR="00E12A16">
        <w:rPr>
          <w:rFonts w:cs="Arial"/>
          <w:sz w:val="24"/>
          <w:szCs w:val="24"/>
        </w:rPr>
        <w:t>Mafenya</w:t>
      </w:r>
      <w:proofErr w:type="spellEnd"/>
      <w:r w:rsidR="00E12A16">
        <w:rPr>
          <w:rFonts w:cs="Arial"/>
          <w:sz w:val="24"/>
          <w:szCs w:val="24"/>
        </w:rPr>
        <w:t xml:space="preserve"> Attorneys, Howard House, </w:t>
      </w:r>
      <w:r w:rsidR="00E130A8">
        <w:rPr>
          <w:rFonts w:cs="Arial"/>
          <w:sz w:val="24"/>
          <w:szCs w:val="24"/>
        </w:rPr>
        <w:t>23 Loveday Street, Marshall</w:t>
      </w:r>
      <w:r w:rsidR="00995FBD">
        <w:rPr>
          <w:rFonts w:cs="Arial"/>
          <w:sz w:val="24"/>
          <w:szCs w:val="24"/>
        </w:rPr>
        <w:t>town</w:t>
      </w:r>
      <w:r w:rsidR="00C70D8E" w:rsidRPr="00EE010C">
        <w:rPr>
          <w:rFonts w:cs="Arial"/>
          <w:sz w:val="24"/>
          <w:szCs w:val="24"/>
        </w:rPr>
        <w:t>, Johannesburg</w:t>
      </w:r>
      <w:r w:rsidR="00995FBD">
        <w:rPr>
          <w:rFonts w:cs="Arial"/>
          <w:sz w:val="24"/>
          <w:szCs w:val="24"/>
        </w:rPr>
        <w:t>, 2001</w:t>
      </w:r>
      <w:r w:rsidR="00C70D8E" w:rsidRPr="00EE010C">
        <w:rPr>
          <w:rFonts w:cs="Arial"/>
          <w:sz w:val="24"/>
          <w:szCs w:val="24"/>
        </w:rPr>
        <w:t>.</w:t>
      </w:r>
      <w:bookmarkEnd w:id="76"/>
    </w:p>
    <w:p w14:paraId="797E1B76" w14:textId="25923660" w:rsidR="00C70D8E" w:rsidRPr="00EE010C" w:rsidRDefault="00C70D8E" w:rsidP="00AE0D9A">
      <w:pPr>
        <w:pStyle w:val="BodyText"/>
        <w:tabs>
          <w:tab w:val="left" w:pos="567"/>
        </w:tabs>
        <w:spacing w:before="240" w:after="120"/>
        <w:ind w:left="540" w:hanging="540"/>
        <w:rPr>
          <w:rFonts w:cs="Arial"/>
          <w:sz w:val="24"/>
          <w:szCs w:val="24"/>
        </w:rPr>
      </w:pPr>
      <w:r w:rsidRPr="00EE010C">
        <w:rPr>
          <w:rFonts w:cs="Arial"/>
          <w:sz w:val="24"/>
          <w:szCs w:val="24"/>
        </w:rPr>
        <w:t xml:space="preserve">Counsel for the respondent: </w:t>
      </w:r>
      <w:proofErr w:type="spellStart"/>
      <w:r w:rsidRPr="00EE010C">
        <w:rPr>
          <w:rFonts w:cs="Arial"/>
          <w:sz w:val="24"/>
          <w:szCs w:val="24"/>
        </w:rPr>
        <w:t>Adv</w:t>
      </w:r>
      <w:proofErr w:type="spellEnd"/>
      <w:r w:rsidRPr="00EE010C">
        <w:rPr>
          <w:rFonts w:cs="Arial"/>
          <w:sz w:val="24"/>
          <w:szCs w:val="24"/>
        </w:rPr>
        <w:t xml:space="preserve"> </w:t>
      </w:r>
      <w:r w:rsidR="005337A8">
        <w:rPr>
          <w:rFonts w:cs="Arial"/>
          <w:sz w:val="24"/>
          <w:szCs w:val="24"/>
        </w:rPr>
        <w:t xml:space="preserve">ZD </w:t>
      </w:r>
      <w:proofErr w:type="spellStart"/>
      <w:r w:rsidR="005337A8">
        <w:rPr>
          <w:rFonts w:cs="Arial"/>
          <w:sz w:val="24"/>
          <w:szCs w:val="24"/>
        </w:rPr>
        <w:t>Maluleke</w:t>
      </w:r>
      <w:proofErr w:type="spellEnd"/>
      <w:r w:rsidR="00B31FD1">
        <w:rPr>
          <w:rFonts w:cs="Arial"/>
          <w:sz w:val="24"/>
          <w:szCs w:val="24"/>
        </w:rPr>
        <w:t>.</w:t>
      </w:r>
    </w:p>
    <w:p w14:paraId="75F06D5C" w14:textId="43A4D528" w:rsidR="00C70D8E" w:rsidRPr="00EE010C" w:rsidRDefault="00C70D8E" w:rsidP="00AE0D9A">
      <w:pPr>
        <w:pStyle w:val="BodyText"/>
        <w:tabs>
          <w:tab w:val="left" w:pos="567"/>
        </w:tabs>
        <w:spacing w:before="240" w:after="120"/>
        <w:rPr>
          <w:rFonts w:cs="Arial"/>
          <w:sz w:val="24"/>
          <w:szCs w:val="24"/>
        </w:rPr>
      </w:pPr>
      <w:r w:rsidRPr="00EE010C">
        <w:rPr>
          <w:rFonts w:cs="Arial"/>
          <w:sz w:val="24"/>
          <w:szCs w:val="24"/>
        </w:rPr>
        <w:t>Instructed by:</w:t>
      </w:r>
      <w:r w:rsidR="00ED4614">
        <w:rPr>
          <w:rFonts w:cs="Arial"/>
          <w:sz w:val="24"/>
          <w:szCs w:val="24"/>
        </w:rPr>
        <w:t xml:space="preserve"> State Attorney</w:t>
      </w:r>
      <w:r w:rsidRPr="00EE010C">
        <w:rPr>
          <w:rFonts w:cs="Arial"/>
          <w:sz w:val="24"/>
          <w:szCs w:val="24"/>
        </w:rPr>
        <w:t>, Johannesburg</w:t>
      </w:r>
      <w:r w:rsidR="00B31FD1">
        <w:rPr>
          <w:rFonts w:cs="Arial"/>
          <w:sz w:val="24"/>
          <w:szCs w:val="24"/>
        </w:rPr>
        <w:t>.</w:t>
      </w:r>
    </w:p>
    <w:p w14:paraId="23A0470D" w14:textId="2E1D1625" w:rsidR="00C70D8E" w:rsidRPr="00EE010C" w:rsidRDefault="00C70D8E" w:rsidP="00AE0D9A">
      <w:pPr>
        <w:pStyle w:val="BodyText"/>
        <w:tabs>
          <w:tab w:val="left" w:pos="567"/>
        </w:tabs>
        <w:spacing w:before="240" w:after="120"/>
        <w:rPr>
          <w:rFonts w:cs="Arial"/>
          <w:sz w:val="24"/>
          <w:szCs w:val="24"/>
        </w:rPr>
      </w:pPr>
      <w:r w:rsidRPr="00EE010C">
        <w:rPr>
          <w:rFonts w:cs="Arial"/>
          <w:sz w:val="24"/>
          <w:szCs w:val="24"/>
        </w:rPr>
        <w:t xml:space="preserve">Date of hearing: Monday, </w:t>
      </w:r>
      <w:r w:rsidR="00B31FD1">
        <w:rPr>
          <w:rFonts w:cs="Arial"/>
          <w:sz w:val="24"/>
          <w:szCs w:val="24"/>
        </w:rPr>
        <w:t>5</w:t>
      </w:r>
      <w:r w:rsidRPr="00EE010C">
        <w:rPr>
          <w:rFonts w:cs="Arial"/>
          <w:sz w:val="24"/>
          <w:szCs w:val="24"/>
        </w:rPr>
        <w:t xml:space="preserve"> September 2023</w:t>
      </w:r>
      <w:r w:rsidR="00B31FD1">
        <w:rPr>
          <w:rFonts w:cs="Arial"/>
          <w:sz w:val="24"/>
          <w:szCs w:val="24"/>
        </w:rPr>
        <w:t>.</w:t>
      </w:r>
    </w:p>
    <w:p w14:paraId="56D29576" w14:textId="4E55ACE1" w:rsidR="00C70D8E" w:rsidRPr="00EE010C" w:rsidRDefault="00C70D8E" w:rsidP="00AE0D9A">
      <w:pPr>
        <w:tabs>
          <w:tab w:val="left" w:pos="4917"/>
        </w:tabs>
        <w:spacing w:before="240" w:after="120"/>
        <w:rPr>
          <w:rFonts w:cs="Arial"/>
        </w:rPr>
      </w:pPr>
      <w:r w:rsidRPr="00EE010C">
        <w:rPr>
          <w:rFonts w:cs="Arial"/>
        </w:rPr>
        <w:t xml:space="preserve">Date of Judgment: </w:t>
      </w:r>
      <w:r w:rsidR="00B82F1E">
        <w:rPr>
          <w:rFonts w:cs="Arial"/>
        </w:rPr>
        <w:t>Thursday</w:t>
      </w:r>
      <w:r w:rsidR="00445109">
        <w:rPr>
          <w:rFonts w:cs="Arial"/>
        </w:rPr>
        <w:t xml:space="preserve">, 22 February </w:t>
      </w:r>
      <w:r w:rsidRPr="00EE010C">
        <w:rPr>
          <w:rFonts w:cs="Arial"/>
        </w:rPr>
        <w:t>202</w:t>
      </w:r>
      <w:r w:rsidR="00445109">
        <w:rPr>
          <w:rFonts w:cs="Arial"/>
        </w:rPr>
        <w:t>4</w:t>
      </w:r>
      <w:r w:rsidRPr="00EE010C">
        <w:rPr>
          <w:rFonts w:cs="Arial"/>
        </w:rPr>
        <w:t>.</w:t>
      </w:r>
    </w:p>
    <w:p w14:paraId="30A3FE50" w14:textId="2CE761EF" w:rsidR="00C70D8E" w:rsidRPr="00EE010C" w:rsidRDefault="00C70D8E" w:rsidP="00AE0D9A">
      <w:pPr>
        <w:spacing w:before="240" w:after="120"/>
        <w:rPr>
          <w:rFonts w:cs="Arial"/>
        </w:rPr>
      </w:pPr>
      <w:r w:rsidRPr="00EE010C">
        <w:rPr>
          <w:rFonts w:cs="Arial"/>
        </w:rPr>
        <w:t>Judgment handed down electronically</w:t>
      </w:r>
      <w:r w:rsidR="00B31FD1">
        <w:rPr>
          <w:rFonts w:cs="Arial"/>
        </w:rPr>
        <w:t>.</w:t>
      </w:r>
    </w:p>
    <w:sectPr w:rsidR="00C70D8E" w:rsidRPr="00EE010C">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DA847" w14:textId="77777777" w:rsidR="00773A5A" w:rsidRDefault="00773A5A" w:rsidP="000039E8">
      <w:r>
        <w:separator/>
      </w:r>
    </w:p>
  </w:endnote>
  <w:endnote w:type="continuationSeparator" w:id="0">
    <w:p w14:paraId="1EA7F990" w14:textId="77777777" w:rsidR="00773A5A" w:rsidRDefault="00773A5A" w:rsidP="00003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B5C19" w14:textId="3213D64A" w:rsidR="000935A7" w:rsidRPr="00E20F81" w:rsidRDefault="00E20F81" w:rsidP="00E20F81">
    <w:pPr>
      <w:pStyle w:val="Footer"/>
      <w:rPr>
        <w:sz w:val="2"/>
        <w:szCs w:val="2"/>
      </w:rPr>
    </w:pPr>
    <w:r w:rsidRPr="00E20F81">
      <w:rPr>
        <w:sz w:val="2"/>
        <w:szCs w:val="2"/>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CDE80" w14:textId="77777777" w:rsidR="00773A5A" w:rsidRDefault="00773A5A" w:rsidP="000039E8">
      <w:r>
        <w:separator/>
      </w:r>
    </w:p>
  </w:footnote>
  <w:footnote w:type="continuationSeparator" w:id="0">
    <w:p w14:paraId="63D50900" w14:textId="77777777" w:rsidR="00773A5A" w:rsidRDefault="00773A5A" w:rsidP="000039E8">
      <w:r>
        <w:continuationSeparator/>
      </w:r>
    </w:p>
  </w:footnote>
  <w:footnote w:id="1">
    <w:p w14:paraId="372F2F15" w14:textId="3A813AC2" w:rsidR="00BE5F53" w:rsidRPr="008A0FFC" w:rsidRDefault="00BE5F53"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r w:rsidR="00762187" w:rsidRPr="008A0FFC">
        <w:rPr>
          <w:rFonts w:cs="Arial"/>
        </w:rPr>
        <w:t>T</w:t>
      </w:r>
      <w:r w:rsidR="00150427" w:rsidRPr="008A0FFC">
        <w:rPr>
          <w:rFonts w:cs="Arial"/>
        </w:rPr>
        <w:t xml:space="preserve">he </w:t>
      </w:r>
      <w:r w:rsidR="00C34798" w:rsidRPr="008A0FFC">
        <w:rPr>
          <w:rFonts w:cs="Arial"/>
        </w:rPr>
        <w:t xml:space="preserve">citation </w:t>
      </w:r>
      <w:r w:rsidR="004371AB" w:rsidRPr="008A0FFC">
        <w:rPr>
          <w:rFonts w:cs="Arial"/>
        </w:rPr>
        <w:t xml:space="preserve">of the National Prosecuting Authority </w:t>
      </w:r>
      <w:r w:rsidR="00C34798" w:rsidRPr="008A0FFC">
        <w:rPr>
          <w:rFonts w:cs="Arial"/>
        </w:rPr>
        <w:t>is self-evidently incorrect</w:t>
      </w:r>
      <w:r w:rsidR="00004742" w:rsidRPr="008A0FFC">
        <w:rPr>
          <w:rFonts w:cs="Arial"/>
        </w:rPr>
        <w:t>.</w:t>
      </w:r>
      <w:r w:rsidR="004371AB" w:rsidRPr="008A0FFC">
        <w:rPr>
          <w:rFonts w:cs="Arial"/>
        </w:rPr>
        <w:t xml:space="preserve"> </w:t>
      </w:r>
      <w:r w:rsidR="00004742" w:rsidRPr="008A0FFC">
        <w:rPr>
          <w:rFonts w:cs="Arial"/>
        </w:rPr>
        <w:t xml:space="preserve"> </w:t>
      </w:r>
      <w:r w:rsidR="005B6F20" w:rsidRPr="008A0FFC">
        <w:rPr>
          <w:rFonts w:cs="Arial"/>
        </w:rPr>
        <w:t xml:space="preserve">It is the </w:t>
      </w:r>
      <w:r w:rsidR="009F16B9" w:rsidRPr="008A0FFC">
        <w:rPr>
          <w:rFonts w:cs="Arial"/>
        </w:rPr>
        <w:t>‘</w:t>
      </w:r>
      <w:r w:rsidR="00762187" w:rsidRPr="008A0FFC">
        <w:rPr>
          <w:rFonts w:cs="Arial"/>
          <w:i/>
          <w:iCs/>
        </w:rPr>
        <w:t>National Director of Public Prosecutions</w:t>
      </w:r>
      <w:r w:rsidR="009F16B9" w:rsidRPr="008A0FFC">
        <w:rPr>
          <w:rFonts w:cs="Arial"/>
        </w:rPr>
        <w:t>’</w:t>
      </w:r>
      <w:r w:rsidR="00004742" w:rsidRPr="008A0FFC">
        <w:rPr>
          <w:rFonts w:cs="Arial"/>
        </w:rPr>
        <w:t xml:space="preserve"> </w:t>
      </w:r>
      <w:r w:rsidR="005721FF" w:rsidRPr="008A0FFC">
        <w:rPr>
          <w:rFonts w:cs="Arial"/>
        </w:rPr>
        <w:t xml:space="preserve">who </w:t>
      </w:r>
      <w:r w:rsidR="00004742" w:rsidRPr="008A0FFC">
        <w:rPr>
          <w:rFonts w:cs="Arial"/>
        </w:rPr>
        <w:t xml:space="preserve">should have </w:t>
      </w:r>
      <w:r w:rsidR="00A861F6" w:rsidRPr="008A0FFC">
        <w:rPr>
          <w:rFonts w:cs="Arial"/>
        </w:rPr>
        <w:t>been cited</w:t>
      </w:r>
      <w:r w:rsidR="005721FF" w:rsidRPr="008A0FFC">
        <w:rPr>
          <w:rFonts w:cs="Arial"/>
        </w:rPr>
        <w:t xml:space="preserve"> </w:t>
      </w:r>
      <w:r w:rsidR="005721FF" w:rsidRPr="008A0FFC">
        <w:rPr>
          <w:rFonts w:cs="Arial"/>
          <w:i/>
          <w:iCs/>
        </w:rPr>
        <w:t>nomine officio</w:t>
      </w:r>
      <w:r w:rsidR="00D007DE" w:rsidRPr="008A0FFC">
        <w:rPr>
          <w:rFonts w:cs="Arial"/>
        </w:rPr>
        <w:t>.</w:t>
      </w:r>
    </w:p>
  </w:footnote>
  <w:footnote w:id="2">
    <w:p w14:paraId="25DECECD" w14:textId="49BCB5AF" w:rsidR="00591F78" w:rsidRPr="008A0FFC" w:rsidRDefault="00591F78"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r w:rsidR="00560914" w:rsidRPr="008A0FFC">
        <w:rPr>
          <w:rFonts w:cs="Arial"/>
        </w:rPr>
        <w:t>Captain Zulu is n</w:t>
      </w:r>
      <w:r w:rsidR="009F16B9" w:rsidRPr="008A0FFC">
        <w:rPr>
          <w:rFonts w:cs="Arial"/>
        </w:rPr>
        <w:t>either</w:t>
      </w:r>
      <w:r w:rsidR="00560914" w:rsidRPr="008A0FFC">
        <w:rPr>
          <w:rFonts w:cs="Arial"/>
        </w:rPr>
        <w:t xml:space="preserve"> a party to these proceedings </w:t>
      </w:r>
      <w:r w:rsidR="009F16B9" w:rsidRPr="008A0FFC">
        <w:rPr>
          <w:rFonts w:cs="Arial"/>
        </w:rPr>
        <w:t>n</w:t>
      </w:r>
      <w:r w:rsidR="00560914" w:rsidRPr="008A0FFC">
        <w:rPr>
          <w:rFonts w:cs="Arial"/>
        </w:rPr>
        <w:t>or to the action for damages</w:t>
      </w:r>
      <w:r w:rsidR="00815762" w:rsidRPr="008A0FFC">
        <w:rPr>
          <w:rFonts w:cs="Arial"/>
        </w:rPr>
        <w:t xml:space="preserve"> that will shortly be referred to</w:t>
      </w:r>
      <w:r w:rsidR="00093884" w:rsidRPr="008A0FFC">
        <w:rPr>
          <w:rFonts w:cs="Arial"/>
        </w:rPr>
        <w:t>,</w:t>
      </w:r>
      <w:r w:rsidR="009865CF" w:rsidRPr="008A0FFC">
        <w:rPr>
          <w:rFonts w:cs="Arial"/>
        </w:rPr>
        <w:t xml:space="preserve"> because neither the </w:t>
      </w:r>
      <w:r w:rsidR="009F16B9" w:rsidRPr="008A0FFC">
        <w:rPr>
          <w:rFonts w:cs="Arial"/>
        </w:rPr>
        <w:t>condonation application</w:t>
      </w:r>
      <w:r w:rsidR="009865CF" w:rsidRPr="008A0FFC">
        <w:rPr>
          <w:rFonts w:cs="Arial"/>
        </w:rPr>
        <w:t xml:space="preserve"> nor the </w:t>
      </w:r>
      <w:r w:rsidR="00093884" w:rsidRPr="008A0FFC">
        <w:rPr>
          <w:rFonts w:cs="Arial"/>
        </w:rPr>
        <w:t xml:space="preserve">combined summons in </w:t>
      </w:r>
      <w:r w:rsidR="00540305" w:rsidRPr="008A0FFC">
        <w:rPr>
          <w:rFonts w:cs="Arial"/>
        </w:rPr>
        <w:t>that action were served on him</w:t>
      </w:r>
      <w:r w:rsidR="00AF1B1C" w:rsidRPr="008A0FFC">
        <w:rPr>
          <w:rFonts w:cs="Arial"/>
        </w:rPr>
        <w:t xml:space="preserve">.  </w:t>
      </w:r>
      <w:r w:rsidR="00560914" w:rsidRPr="008A0FFC">
        <w:rPr>
          <w:rFonts w:cs="Arial"/>
        </w:rPr>
        <w:t xml:space="preserve">The NPA has not opposed the </w:t>
      </w:r>
      <w:r w:rsidR="009F16B9" w:rsidRPr="008A0FFC">
        <w:rPr>
          <w:rFonts w:cs="Arial"/>
        </w:rPr>
        <w:t>condonation application</w:t>
      </w:r>
      <w:r w:rsidR="00560914" w:rsidRPr="008A0FFC">
        <w:rPr>
          <w:rFonts w:cs="Arial"/>
        </w:rPr>
        <w:t xml:space="preserve">, and for that reason it </w:t>
      </w:r>
      <w:r w:rsidR="009F16B9" w:rsidRPr="008A0FFC">
        <w:rPr>
          <w:rFonts w:cs="Arial"/>
        </w:rPr>
        <w:t xml:space="preserve">too </w:t>
      </w:r>
      <w:r w:rsidR="00560914" w:rsidRPr="008A0FFC">
        <w:rPr>
          <w:rFonts w:cs="Arial"/>
        </w:rPr>
        <w:t>is not a party to the present proceedings.</w:t>
      </w:r>
    </w:p>
  </w:footnote>
  <w:footnote w:id="3">
    <w:p w14:paraId="276B53E5" w14:textId="4AA4A1C7" w:rsidR="00F54FC5" w:rsidRPr="008A0FFC" w:rsidRDefault="00F54FC5"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proofErr w:type="spellStart"/>
      <w:r w:rsidRPr="008A0FFC">
        <w:rPr>
          <w:rFonts w:cs="Arial"/>
        </w:rPr>
        <w:t>CaseLines</w:t>
      </w:r>
      <w:proofErr w:type="spellEnd"/>
      <w:r w:rsidRPr="008A0FFC">
        <w:rPr>
          <w:rFonts w:cs="Arial"/>
        </w:rPr>
        <w:t xml:space="preserve">: Notice of opposition to the </w:t>
      </w:r>
      <w:r w:rsidR="009F16B9" w:rsidRPr="008A0FFC">
        <w:rPr>
          <w:rFonts w:cs="Arial"/>
        </w:rPr>
        <w:t>condonation application</w:t>
      </w:r>
      <w:r w:rsidRPr="008A0FFC">
        <w:rPr>
          <w:rFonts w:cs="Arial"/>
        </w:rPr>
        <w:t>: pp. 019-6 to 019-10.</w:t>
      </w:r>
    </w:p>
  </w:footnote>
  <w:footnote w:id="4">
    <w:p w14:paraId="335F6949" w14:textId="6D80D051" w:rsidR="005317D1" w:rsidRPr="008A0FFC" w:rsidRDefault="005317D1"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r w:rsidR="008A1A08" w:rsidRPr="008A0FFC">
        <w:rPr>
          <w:rFonts w:cs="Arial"/>
          <w:i/>
          <w:iCs/>
        </w:rPr>
        <w:t>Ibid</w:t>
      </w:r>
      <w:r w:rsidR="008A1A08" w:rsidRPr="008A0FFC">
        <w:rPr>
          <w:rFonts w:cs="Arial"/>
        </w:rPr>
        <w:t>., at paras 1 to 16, pp. 019-7 to 19-9.</w:t>
      </w:r>
    </w:p>
  </w:footnote>
  <w:footnote w:id="5">
    <w:p w14:paraId="1429B10E" w14:textId="1977228F" w:rsidR="000B6003" w:rsidRPr="008A0FFC" w:rsidRDefault="000B6003"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bookmarkStart w:id="6" w:name="_Hlk151047411"/>
      <w:proofErr w:type="spellStart"/>
      <w:r w:rsidR="008273B8" w:rsidRPr="008A0FFC">
        <w:rPr>
          <w:rFonts w:cs="Arial"/>
        </w:rPr>
        <w:t>CaseLines</w:t>
      </w:r>
      <w:proofErr w:type="spellEnd"/>
      <w:r w:rsidR="008273B8" w:rsidRPr="008A0FFC">
        <w:rPr>
          <w:rFonts w:cs="Arial"/>
        </w:rPr>
        <w:t>: Particulars of Claim (</w:t>
      </w:r>
      <w:r w:rsidR="008273B8" w:rsidRPr="008A0FFC">
        <w:rPr>
          <w:rFonts w:cs="Arial"/>
          <w:b/>
          <w:bCs/>
        </w:rPr>
        <w:t>POC</w:t>
      </w:r>
      <w:r w:rsidR="008273B8" w:rsidRPr="008A0FFC">
        <w:rPr>
          <w:rFonts w:cs="Arial"/>
        </w:rPr>
        <w:t xml:space="preserve">): </w:t>
      </w:r>
      <w:bookmarkStart w:id="7" w:name="_Hlk152776712"/>
      <w:r w:rsidR="008273B8" w:rsidRPr="008A0FFC">
        <w:rPr>
          <w:rFonts w:cs="Arial"/>
        </w:rPr>
        <w:t>paras 6 to 14 (there is no para 13), pp. 001-5 and 001-8</w:t>
      </w:r>
      <w:bookmarkEnd w:id="6"/>
      <w:bookmarkEnd w:id="7"/>
      <w:r w:rsidR="002631E5" w:rsidRPr="008A0FFC">
        <w:rPr>
          <w:rFonts w:cs="Arial"/>
        </w:rPr>
        <w:t xml:space="preserve">, </w:t>
      </w:r>
      <w:r w:rsidR="00E208A1" w:rsidRPr="008A0FFC">
        <w:rPr>
          <w:rFonts w:cs="Arial"/>
        </w:rPr>
        <w:t xml:space="preserve">especially </w:t>
      </w:r>
      <w:r w:rsidR="00A81897" w:rsidRPr="008A0FFC">
        <w:rPr>
          <w:rFonts w:cs="Arial"/>
        </w:rPr>
        <w:t xml:space="preserve">at </w:t>
      </w:r>
      <w:r w:rsidR="00E208A1" w:rsidRPr="008A0FFC">
        <w:rPr>
          <w:rFonts w:cs="Arial"/>
        </w:rPr>
        <w:t>para 6.1,</w:t>
      </w:r>
      <w:r w:rsidR="008D4290" w:rsidRPr="008A0FFC">
        <w:rPr>
          <w:rFonts w:cs="Arial"/>
        </w:rPr>
        <w:t xml:space="preserve"> p.</w:t>
      </w:r>
      <w:r w:rsidR="00A81897" w:rsidRPr="008A0FFC">
        <w:rPr>
          <w:rFonts w:cs="Arial"/>
        </w:rPr>
        <w:t xml:space="preserve"> 001-5.</w:t>
      </w:r>
    </w:p>
  </w:footnote>
  <w:footnote w:id="6">
    <w:p w14:paraId="09954D7B" w14:textId="6A76AB9D" w:rsidR="00821241" w:rsidRPr="008A0FFC" w:rsidRDefault="00821241"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r w:rsidRPr="008A0FFC">
        <w:rPr>
          <w:rFonts w:cs="Arial"/>
          <w:i/>
          <w:iCs/>
        </w:rPr>
        <w:t>I</w:t>
      </w:r>
      <w:r w:rsidR="00482C18" w:rsidRPr="008A0FFC">
        <w:rPr>
          <w:rFonts w:cs="Arial"/>
          <w:i/>
          <w:iCs/>
        </w:rPr>
        <w:t>bi</w:t>
      </w:r>
      <w:r w:rsidRPr="008A0FFC">
        <w:rPr>
          <w:rFonts w:cs="Arial"/>
          <w:i/>
          <w:iCs/>
        </w:rPr>
        <w:t>d</w:t>
      </w:r>
      <w:r w:rsidRPr="008A0FFC">
        <w:rPr>
          <w:rFonts w:cs="Arial"/>
        </w:rPr>
        <w:t>.</w:t>
      </w:r>
      <w:r w:rsidR="00371E0C" w:rsidRPr="008A0FFC">
        <w:rPr>
          <w:rFonts w:cs="Arial"/>
        </w:rPr>
        <w:t>, at paras 6.1 and 6.2.1</w:t>
      </w:r>
      <w:r w:rsidR="00554385" w:rsidRPr="008A0FFC">
        <w:rPr>
          <w:rFonts w:cs="Arial"/>
        </w:rPr>
        <w:t>, pp. 001-5 and 001-6.</w:t>
      </w:r>
    </w:p>
  </w:footnote>
  <w:footnote w:id="7">
    <w:p w14:paraId="1E443F9C" w14:textId="0F07D251" w:rsidR="009723FE" w:rsidRPr="008A0FFC" w:rsidRDefault="009723FE" w:rsidP="008A0FFC">
      <w:pPr>
        <w:pStyle w:val="Style1"/>
        <w:rPr>
          <w:rStyle w:val="FootnoteReference"/>
          <w:rFonts w:cs="Arial"/>
        </w:rPr>
      </w:pPr>
      <w:r w:rsidRPr="008A0FFC">
        <w:rPr>
          <w:rStyle w:val="FootnoteReference"/>
          <w:rFonts w:cs="Arial"/>
        </w:rPr>
        <w:footnoteRef/>
      </w:r>
      <w:r w:rsidRPr="008A0FFC">
        <w:rPr>
          <w:rStyle w:val="FootnoteReference"/>
          <w:rFonts w:cs="Arial"/>
        </w:rPr>
        <w:t xml:space="preserve"> </w:t>
      </w:r>
      <w:r w:rsidRPr="008A0FFC">
        <w:rPr>
          <w:rStyle w:val="FootnoteReference"/>
          <w:rFonts w:cs="Arial"/>
        </w:rPr>
        <w:tab/>
      </w:r>
      <w:r w:rsidR="00E9638C" w:rsidRPr="008A0FFC">
        <w:rPr>
          <w:rFonts w:cs="Arial"/>
          <w:i/>
          <w:iCs/>
        </w:rPr>
        <w:t>Ibid</w:t>
      </w:r>
      <w:r w:rsidR="00E9638C" w:rsidRPr="008A0FFC">
        <w:rPr>
          <w:rFonts w:cs="Arial"/>
        </w:rPr>
        <w:t xml:space="preserve">., paras 15 </w:t>
      </w:r>
      <w:r w:rsidR="005A2231" w:rsidRPr="008A0FFC">
        <w:rPr>
          <w:rFonts w:cs="Arial"/>
        </w:rPr>
        <w:t>and</w:t>
      </w:r>
      <w:r w:rsidR="00E9638C" w:rsidRPr="008A0FFC">
        <w:rPr>
          <w:rFonts w:cs="Arial"/>
        </w:rPr>
        <w:t xml:space="preserve"> 1</w:t>
      </w:r>
      <w:r w:rsidR="005A2231" w:rsidRPr="008A0FFC">
        <w:rPr>
          <w:rFonts w:cs="Arial"/>
        </w:rPr>
        <w:t>6</w:t>
      </w:r>
      <w:r w:rsidR="00E9638C" w:rsidRPr="008A0FFC">
        <w:rPr>
          <w:rFonts w:cs="Arial"/>
        </w:rPr>
        <w:t>, pp. 001-</w:t>
      </w:r>
      <w:r w:rsidR="005A2231" w:rsidRPr="008A0FFC">
        <w:rPr>
          <w:rFonts w:cs="Arial"/>
        </w:rPr>
        <w:t>8</w:t>
      </w:r>
      <w:r w:rsidR="00E9638C" w:rsidRPr="008A0FFC">
        <w:rPr>
          <w:rFonts w:cs="Arial"/>
        </w:rPr>
        <w:t xml:space="preserve"> and 001-</w:t>
      </w:r>
      <w:r w:rsidR="005A2231" w:rsidRPr="008A0FFC">
        <w:rPr>
          <w:rFonts w:cs="Arial"/>
        </w:rPr>
        <w:t>10</w:t>
      </w:r>
      <w:r w:rsidR="00E9638C" w:rsidRPr="008A0FFC">
        <w:rPr>
          <w:rFonts w:cs="Arial"/>
        </w:rPr>
        <w:t>.</w:t>
      </w:r>
    </w:p>
  </w:footnote>
  <w:footnote w:id="8">
    <w:p w14:paraId="56E91D10" w14:textId="0B4F5B7F" w:rsidR="00B75F3C" w:rsidRPr="008A0FFC" w:rsidRDefault="00B75F3C"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r w:rsidRPr="008A0FFC">
        <w:rPr>
          <w:rFonts w:cs="Arial"/>
          <w:i/>
          <w:iCs/>
        </w:rPr>
        <w:t>Ibid</w:t>
      </w:r>
      <w:r w:rsidRPr="008A0FFC">
        <w:rPr>
          <w:rFonts w:cs="Arial"/>
        </w:rPr>
        <w:t>., para 6.1, p. 001-5.</w:t>
      </w:r>
      <w:r w:rsidR="0095567A" w:rsidRPr="008A0FFC">
        <w:rPr>
          <w:rFonts w:cs="Arial"/>
        </w:rPr>
        <w:t xml:space="preserve">  In some documents th</w:t>
      </w:r>
      <w:r w:rsidR="005F2895" w:rsidRPr="008A0FFC">
        <w:rPr>
          <w:rFonts w:cs="Arial"/>
        </w:rPr>
        <w:t>is</w:t>
      </w:r>
      <w:r w:rsidR="0095567A" w:rsidRPr="008A0FFC">
        <w:rPr>
          <w:rFonts w:cs="Arial"/>
        </w:rPr>
        <w:t xml:space="preserve"> date is </w:t>
      </w:r>
      <w:r w:rsidR="00281715" w:rsidRPr="008A0FFC">
        <w:rPr>
          <w:rFonts w:cs="Arial"/>
        </w:rPr>
        <w:t>given as ’</w:t>
      </w:r>
      <w:r w:rsidR="00281715" w:rsidRPr="008A0FFC">
        <w:rPr>
          <w:rFonts w:cs="Arial"/>
          <w:i/>
          <w:iCs/>
        </w:rPr>
        <w:t>17 December 2018</w:t>
      </w:r>
      <w:r w:rsidR="00281715" w:rsidRPr="008A0FFC">
        <w:rPr>
          <w:rFonts w:cs="Arial"/>
        </w:rPr>
        <w:t xml:space="preserve">’, but nothing of major </w:t>
      </w:r>
      <w:r w:rsidR="00E3102C" w:rsidRPr="008A0FFC">
        <w:rPr>
          <w:rFonts w:cs="Arial"/>
        </w:rPr>
        <w:t>importance turns on this.</w:t>
      </w:r>
    </w:p>
  </w:footnote>
  <w:footnote w:id="9">
    <w:p w14:paraId="480CC79A" w14:textId="77777777" w:rsidR="00B75F3C" w:rsidRPr="008A0FFC" w:rsidRDefault="00B75F3C"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r w:rsidRPr="008A0FFC">
        <w:rPr>
          <w:rFonts w:cs="Arial"/>
          <w:i/>
          <w:iCs/>
        </w:rPr>
        <w:t>Ibid</w:t>
      </w:r>
      <w:r w:rsidRPr="008A0FFC">
        <w:rPr>
          <w:rFonts w:cs="Arial"/>
        </w:rPr>
        <w:t>., para 6.4, p. 001-5.</w:t>
      </w:r>
    </w:p>
  </w:footnote>
  <w:footnote w:id="10">
    <w:p w14:paraId="56A63928" w14:textId="45C2F1D3" w:rsidR="00013402" w:rsidRPr="008A0FFC" w:rsidRDefault="00013402"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r w:rsidR="008211B5" w:rsidRPr="008A0FFC">
        <w:rPr>
          <w:rFonts w:cs="Arial"/>
          <w:i/>
          <w:iCs/>
        </w:rPr>
        <w:t>Ibid</w:t>
      </w:r>
      <w:r w:rsidR="008211B5" w:rsidRPr="008A0FFC">
        <w:rPr>
          <w:rFonts w:cs="Arial"/>
        </w:rPr>
        <w:t>., para</w:t>
      </w:r>
      <w:r w:rsidR="008F2751" w:rsidRPr="008A0FFC">
        <w:rPr>
          <w:rFonts w:cs="Arial"/>
        </w:rPr>
        <w:t>s</w:t>
      </w:r>
      <w:r w:rsidR="008211B5" w:rsidRPr="008A0FFC">
        <w:rPr>
          <w:rFonts w:cs="Arial"/>
        </w:rPr>
        <w:t xml:space="preserve"> 15.</w:t>
      </w:r>
      <w:r w:rsidR="008F2751" w:rsidRPr="008A0FFC">
        <w:rPr>
          <w:rFonts w:cs="Arial"/>
        </w:rPr>
        <w:t>3 to 15.7</w:t>
      </w:r>
      <w:r w:rsidR="008211B5" w:rsidRPr="008A0FFC">
        <w:rPr>
          <w:rFonts w:cs="Arial"/>
        </w:rPr>
        <w:t>, p</w:t>
      </w:r>
      <w:r w:rsidR="008F2751" w:rsidRPr="008A0FFC">
        <w:rPr>
          <w:rFonts w:cs="Arial"/>
        </w:rPr>
        <w:t>p</w:t>
      </w:r>
      <w:r w:rsidR="008211B5" w:rsidRPr="008A0FFC">
        <w:rPr>
          <w:rFonts w:cs="Arial"/>
        </w:rPr>
        <w:t xml:space="preserve">. </w:t>
      </w:r>
      <w:r w:rsidR="00D6382F" w:rsidRPr="008A0FFC">
        <w:rPr>
          <w:rFonts w:cs="Arial"/>
        </w:rPr>
        <w:t xml:space="preserve">001-8 and </w:t>
      </w:r>
      <w:r w:rsidR="008211B5" w:rsidRPr="008A0FFC">
        <w:rPr>
          <w:rFonts w:cs="Arial"/>
        </w:rPr>
        <w:t>001-9.</w:t>
      </w:r>
    </w:p>
  </w:footnote>
  <w:footnote w:id="11">
    <w:p w14:paraId="2D524227" w14:textId="77777777" w:rsidR="00B75F3C" w:rsidRPr="008A0FFC" w:rsidRDefault="00B75F3C"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r w:rsidRPr="008A0FFC">
        <w:rPr>
          <w:rFonts w:cs="Arial"/>
          <w:i/>
          <w:iCs/>
        </w:rPr>
        <w:t>Ibid</w:t>
      </w:r>
      <w:r w:rsidRPr="008A0FFC">
        <w:rPr>
          <w:rFonts w:cs="Arial"/>
        </w:rPr>
        <w:t>., para 15.5, p. 001-9.</w:t>
      </w:r>
    </w:p>
  </w:footnote>
  <w:footnote w:id="12">
    <w:p w14:paraId="0B11C2AC" w14:textId="3E16CD02" w:rsidR="00AA4319" w:rsidRPr="008A0FFC" w:rsidRDefault="00AA4319" w:rsidP="008A0FFC">
      <w:pPr>
        <w:pStyle w:val="FootnoteText"/>
        <w:rPr>
          <w:rFonts w:cs="Arial"/>
        </w:rPr>
      </w:pPr>
      <w:r w:rsidRPr="008A0FFC">
        <w:rPr>
          <w:rStyle w:val="FootnoteReference"/>
          <w:rFonts w:cs="Arial"/>
        </w:rPr>
        <w:footnoteRef/>
      </w:r>
      <w:r w:rsidRPr="008A0FFC">
        <w:rPr>
          <w:rFonts w:cs="Arial"/>
        </w:rPr>
        <w:t xml:space="preserve"> </w:t>
      </w:r>
      <w:r w:rsidR="008B4447" w:rsidRPr="008A0FFC">
        <w:rPr>
          <w:rFonts w:cs="Arial"/>
        </w:rPr>
        <w:tab/>
      </w:r>
      <w:bookmarkStart w:id="10" w:name="_Hlk153033543"/>
      <w:proofErr w:type="spellStart"/>
      <w:r w:rsidR="008B4447" w:rsidRPr="008A0FFC">
        <w:rPr>
          <w:rFonts w:cs="Arial"/>
        </w:rPr>
        <w:t>CaseLines</w:t>
      </w:r>
      <w:proofErr w:type="spellEnd"/>
      <w:r w:rsidR="008B4447" w:rsidRPr="008A0FFC">
        <w:rPr>
          <w:rFonts w:cs="Arial"/>
        </w:rPr>
        <w:t xml:space="preserve">: </w:t>
      </w:r>
      <w:r w:rsidR="0016693C" w:rsidRPr="008A0FFC">
        <w:rPr>
          <w:rFonts w:cs="Arial"/>
        </w:rPr>
        <w:t xml:space="preserve">030: Annexures, at p. </w:t>
      </w:r>
      <w:r w:rsidR="00EC47E4" w:rsidRPr="008A0FFC">
        <w:rPr>
          <w:rFonts w:cs="Arial"/>
        </w:rPr>
        <w:t>030-</w:t>
      </w:r>
      <w:r w:rsidR="004E4CBA" w:rsidRPr="008A0FFC">
        <w:rPr>
          <w:rFonts w:cs="Arial"/>
        </w:rPr>
        <w:t>5.</w:t>
      </w:r>
      <w:bookmarkEnd w:id="10"/>
      <w:r w:rsidR="004E4CBA" w:rsidRPr="008A0FFC">
        <w:rPr>
          <w:rFonts w:cs="Arial"/>
        </w:rPr>
        <w:t xml:space="preserve">  </w:t>
      </w:r>
    </w:p>
  </w:footnote>
  <w:footnote w:id="13">
    <w:p w14:paraId="6FA4936C" w14:textId="7EE6343C" w:rsidR="00295411" w:rsidRPr="008A0FFC" w:rsidRDefault="00295411"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proofErr w:type="spellStart"/>
      <w:r w:rsidRPr="008A0FFC">
        <w:rPr>
          <w:rFonts w:cs="Arial"/>
        </w:rPr>
        <w:t>CaseLines</w:t>
      </w:r>
      <w:proofErr w:type="spellEnd"/>
      <w:r w:rsidRPr="008A0FFC">
        <w:rPr>
          <w:rFonts w:cs="Arial"/>
        </w:rPr>
        <w:t>: 030: Annexures, at p. 030-</w:t>
      </w:r>
      <w:r w:rsidR="00785D12" w:rsidRPr="008A0FFC">
        <w:rPr>
          <w:rFonts w:cs="Arial"/>
        </w:rPr>
        <w:t>9</w:t>
      </w:r>
      <w:r w:rsidRPr="008A0FFC">
        <w:rPr>
          <w:rFonts w:cs="Arial"/>
        </w:rPr>
        <w:t xml:space="preserve">.  </w:t>
      </w:r>
    </w:p>
  </w:footnote>
  <w:footnote w:id="14">
    <w:p w14:paraId="4A7C4430" w14:textId="3FC8EC05" w:rsidR="00B97006" w:rsidRPr="008A0FFC" w:rsidRDefault="00B97006"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bookmarkStart w:id="12" w:name="_Hlk156229167"/>
      <w:proofErr w:type="spellStart"/>
      <w:r w:rsidR="001A3426" w:rsidRPr="008A0FFC">
        <w:rPr>
          <w:rFonts w:cs="Arial"/>
        </w:rPr>
        <w:t>CaseLines</w:t>
      </w:r>
      <w:proofErr w:type="spellEnd"/>
      <w:r w:rsidR="001A3426" w:rsidRPr="008A0FFC">
        <w:rPr>
          <w:rFonts w:cs="Arial"/>
        </w:rPr>
        <w:t>: Defendants’ notice of intention to defend: pp. 0</w:t>
      </w:r>
      <w:r w:rsidR="00205774" w:rsidRPr="008A0FFC">
        <w:rPr>
          <w:rFonts w:cs="Arial"/>
        </w:rPr>
        <w:t>02</w:t>
      </w:r>
      <w:r w:rsidR="001A3426" w:rsidRPr="008A0FFC">
        <w:rPr>
          <w:rFonts w:cs="Arial"/>
        </w:rPr>
        <w:t>-1 and 0</w:t>
      </w:r>
      <w:r w:rsidR="00205774" w:rsidRPr="008A0FFC">
        <w:rPr>
          <w:rFonts w:cs="Arial"/>
        </w:rPr>
        <w:t>02</w:t>
      </w:r>
      <w:r w:rsidR="001A3426" w:rsidRPr="008A0FFC">
        <w:rPr>
          <w:rFonts w:cs="Arial"/>
        </w:rPr>
        <w:t>-</w:t>
      </w:r>
      <w:r w:rsidR="00205774" w:rsidRPr="008A0FFC">
        <w:rPr>
          <w:rFonts w:cs="Arial"/>
        </w:rPr>
        <w:t>2</w:t>
      </w:r>
      <w:r w:rsidR="001A3426" w:rsidRPr="008A0FFC">
        <w:rPr>
          <w:rFonts w:cs="Arial"/>
        </w:rPr>
        <w:t>.</w:t>
      </w:r>
      <w:bookmarkEnd w:id="12"/>
      <w:r w:rsidR="00B56A30" w:rsidRPr="008A0FFC">
        <w:rPr>
          <w:rFonts w:cs="Arial"/>
        </w:rPr>
        <w:t xml:space="preserve">  In her </w:t>
      </w:r>
      <w:r w:rsidR="001A46B7" w:rsidRPr="008A0FFC">
        <w:rPr>
          <w:rFonts w:cs="Arial"/>
        </w:rPr>
        <w:t>affidavit</w:t>
      </w:r>
      <w:r w:rsidR="00B56A30" w:rsidRPr="008A0FFC">
        <w:rPr>
          <w:rFonts w:cs="Arial"/>
        </w:rPr>
        <w:t xml:space="preserve"> concerning the reconstruction of the court file</w:t>
      </w:r>
      <w:r w:rsidR="002E2276" w:rsidRPr="008A0FFC">
        <w:rPr>
          <w:rFonts w:cs="Arial"/>
        </w:rPr>
        <w:t xml:space="preserve">, Ms </w:t>
      </w:r>
      <w:proofErr w:type="spellStart"/>
      <w:r w:rsidR="002E2276" w:rsidRPr="008A0FFC">
        <w:rPr>
          <w:rFonts w:cs="Arial"/>
        </w:rPr>
        <w:t>Ramsurjoo</w:t>
      </w:r>
      <w:proofErr w:type="spellEnd"/>
      <w:r w:rsidR="002E2276" w:rsidRPr="008A0FFC">
        <w:rPr>
          <w:rFonts w:cs="Arial"/>
        </w:rPr>
        <w:t xml:space="preserve"> explains how it came about that</w:t>
      </w:r>
      <w:r w:rsidR="00EF38B4" w:rsidRPr="008A0FFC">
        <w:rPr>
          <w:rFonts w:cs="Arial"/>
        </w:rPr>
        <w:t xml:space="preserve"> the notice of intention to defend was served on behalf of all three defendants.  In this regard</w:t>
      </w:r>
      <w:r w:rsidR="00806E00" w:rsidRPr="008A0FFC">
        <w:rPr>
          <w:rFonts w:cs="Arial"/>
        </w:rPr>
        <w:t xml:space="preserve">, Ms </w:t>
      </w:r>
      <w:proofErr w:type="spellStart"/>
      <w:r w:rsidR="00806E00" w:rsidRPr="008A0FFC">
        <w:rPr>
          <w:rFonts w:cs="Arial"/>
        </w:rPr>
        <w:t>Ramsurjoo</w:t>
      </w:r>
      <w:proofErr w:type="spellEnd"/>
      <w:r w:rsidR="00806E00" w:rsidRPr="008A0FFC">
        <w:rPr>
          <w:rFonts w:cs="Arial"/>
        </w:rPr>
        <w:t xml:space="preserve"> explains that: '</w:t>
      </w:r>
      <w:r w:rsidR="00E955B9" w:rsidRPr="008A0FFC">
        <w:rPr>
          <w:rFonts w:cs="Arial"/>
          <w:i/>
          <w:iCs/>
        </w:rPr>
        <w:t>U</w:t>
      </w:r>
      <w:r w:rsidR="00806E00" w:rsidRPr="008A0FFC">
        <w:rPr>
          <w:rFonts w:cs="Arial"/>
          <w:i/>
          <w:iCs/>
        </w:rPr>
        <w:t>pon the matter being allocated to me,</w:t>
      </w:r>
      <w:r w:rsidR="00E955B9" w:rsidRPr="008A0FFC">
        <w:rPr>
          <w:rFonts w:cs="Arial"/>
          <w:i/>
          <w:iCs/>
        </w:rPr>
        <w:t xml:space="preserve"> I proceeded to deliver a Notice of Intention to Defend.</w:t>
      </w:r>
      <w:r w:rsidR="00AC51B5" w:rsidRPr="008A0FFC">
        <w:rPr>
          <w:rFonts w:cs="Arial"/>
          <w:i/>
          <w:iCs/>
        </w:rPr>
        <w:t xml:space="preserve">  I did so on the </w:t>
      </w:r>
      <w:r w:rsidR="00827C09" w:rsidRPr="008A0FFC">
        <w:rPr>
          <w:rFonts w:cs="Arial"/>
          <w:i/>
          <w:iCs/>
        </w:rPr>
        <w:t>assumption that summons was already affected</w:t>
      </w:r>
      <w:r w:rsidR="005927A3" w:rsidRPr="008A0FFC">
        <w:rPr>
          <w:rFonts w:cs="Arial"/>
          <w:i/>
          <w:iCs/>
        </w:rPr>
        <w:t xml:space="preserve"> </w:t>
      </w:r>
      <w:r w:rsidR="005927A3" w:rsidRPr="008A0FFC">
        <w:rPr>
          <w:rFonts w:cs="Arial"/>
        </w:rPr>
        <w:t>[</w:t>
      </w:r>
      <w:r w:rsidR="005927A3" w:rsidRPr="008A0FFC">
        <w:rPr>
          <w:rFonts w:cs="Arial"/>
          <w:b/>
          <w:bCs/>
        </w:rPr>
        <w:t>sic</w:t>
      </w:r>
      <w:r w:rsidR="005927A3" w:rsidRPr="008A0FFC">
        <w:rPr>
          <w:rFonts w:cs="Arial"/>
        </w:rPr>
        <w:t xml:space="preserve">] </w:t>
      </w:r>
      <w:r w:rsidR="005927A3" w:rsidRPr="008A0FFC">
        <w:rPr>
          <w:rFonts w:cs="Arial"/>
          <w:i/>
          <w:iCs/>
        </w:rPr>
        <w:t>on the Applicant/</w:t>
      </w:r>
      <w:r w:rsidR="0006642A" w:rsidRPr="008A0FFC">
        <w:rPr>
          <w:rFonts w:cs="Arial"/>
          <w:i/>
          <w:iCs/>
        </w:rPr>
        <w:t>1</w:t>
      </w:r>
      <w:r w:rsidR="0006642A" w:rsidRPr="008A0FFC">
        <w:rPr>
          <w:rFonts w:cs="Arial"/>
          <w:i/>
          <w:iCs/>
          <w:vertAlign w:val="superscript"/>
        </w:rPr>
        <w:t>st</w:t>
      </w:r>
      <w:r w:rsidR="0006642A" w:rsidRPr="008A0FFC">
        <w:rPr>
          <w:rFonts w:cs="Arial"/>
          <w:i/>
          <w:iCs/>
        </w:rPr>
        <w:t xml:space="preserve"> defendant and the Third Defendant and that our offices were being served in accordance with Section 2</w:t>
      </w:r>
      <w:r w:rsidR="0095296B" w:rsidRPr="008A0FFC">
        <w:rPr>
          <w:rFonts w:cs="Arial"/>
          <w:i/>
          <w:iCs/>
        </w:rPr>
        <w:t> </w:t>
      </w:r>
      <w:r w:rsidR="0006642A" w:rsidRPr="008A0FFC">
        <w:rPr>
          <w:rFonts w:cs="Arial"/>
          <w:i/>
          <w:iCs/>
        </w:rPr>
        <w:t>(</w:t>
      </w:r>
      <w:r w:rsidR="001859F5" w:rsidRPr="008A0FFC">
        <w:rPr>
          <w:rFonts w:cs="Arial"/>
          <w:i/>
          <w:iCs/>
        </w:rPr>
        <w:t>2)</w:t>
      </w:r>
      <w:r w:rsidR="0095296B" w:rsidRPr="008A0FFC">
        <w:rPr>
          <w:rFonts w:cs="Arial"/>
          <w:i/>
          <w:iCs/>
        </w:rPr>
        <w:t> </w:t>
      </w:r>
      <w:r w:rsidR="001859F5" w:rsidRPr="008A0FFC">
        <w:rPr>
          <w:rFonts w:cs="Arial"/>
          <w:i/>
          <w:iCs/>
        </w:rPr>
        <w:t>(b) of Act 20 of 1957.  I did so on 1 October 2021</w:t>
      </w:r>
      <w:r w:rsidR="0095296B" w:rsidRPr="008A0FFC">
        <w:rPr>
          <w:rFonts w:cs="Arial"/>
          <w:i/>
          <w:iCs/>
        </w:rPr>
        <w:t xml:space="preserve"> </w:t>
      </w:r>
      <w:r w:rsidR="001859F5" w:rsidRPr="008A0FFC">
        <w:rPr>
          <w:rFonts w:cs="Arial"/>
        </w:rPr>
        <w:t>…</w:t>
      </w:r>
      <w:r w:rsidR="0077356F" w:rsidRPr="008A0FFC">
        <w:rPr>
          <w:rFonts w:cs="Arial"/>
        </w:rPr>
        <w:t>'</w:t>
      </w:r>
      <w:r w:rsidR="00174665" w:rsidRPr="008A0FFC">
        <w:rPr>
          <w:rFonts w:cs="Arial"/>
        </w:rPr>
        <w:t xml:space="preserve"> </w:t>
      </w:r>
      <w:r w:rsidR="00A50077" w:rsidRPr="008A0FFC">
        <w:rPr>
          <w:rFonts w:cs="Arial"/>
        </w:rPr>
        <w:t>(</w:t>
      </w:r>
      <w:r w:rsidR="00A50077" w:rsidRPr="008A0FFC">
        <w:rPr>
          <w:rFonts w:cs="Arial"/>
          <w:i/>
          <w:iCs/>
        </w:rPr>
        <w:t>Cf</w:t>
      </w:r>
      <w:r w:rsidR="00A50077" w:rsidRPr="008A0FFC">
        <w:rPr>
          <w:rFonts w:cs="Arial"/>
        </w:rPr>
        <w:t xml:space="preserve">. </w:t>
      </w:r>
      <w:proofErr w:type="spellStart"/>
      <w:r w:rsidR="00B923A3" w:rsidRPr="008A0FFC">
        <w:rPr>
          <w:rFonts w:cs="Arial"/>
        </w:rPr>
        <w:t>CaseLines</w:t>
      </w:r>
      <w:proofErr w:type="spellEnd"/>
      <w:r w:rsidR="00B923A3" w:rsidRPr="008A0FFC">
        <w:rPr>
          <w:rFonts w:cs="Arial"/>
        </w:rPr>
        <w:t>:</w:t>
      </w:r>
      <w:r w:rsidR="008A28A2" w:rsidRPr="008A0FFC">
        <w:rPr>
          <w:rFonts w:cs="Arial"/>
        </w:rPr>
        <w:t xml:space="preserve"> Affidavit - Reconstruction of Court File</w:t>
      </w:r>
      <w:r w:rsidR="00B923A3" w:rsidRPr="008A0FFC">
        <w:rPr>
          <w:rFonts w:cs="Arial"/>
        </w:rPr>
        <w:t>, at p. 0</w:t>
      </w:r>
      <w:r w:rsidR="008A28A2" w:rsidRPr="008A0FFC">
        <w:rPr>
          <w:rFonts w:cs="Arial"/>
        </w:rPr>
        <w:t>12</w:t>
      </w:r>
      <w:r w:rsidR="00B923A3" w:rsidRPr="008A0FFC">
        <w:rPr>
          <w:rFonts w:cs="Arial"/>
        </w:rPr>
        <w:t>-</w:t>
      </w:r>
      <w:r w:rsidR="008A28A2" w:rsidRPr="008A0FFC">
        <w:rPr>
          <w:rFonts w:cs="Arial"/>
        </w:rPr>
        <w:t xml:space="preserve">1 to 012-44, </w:t>
      </w:r>
      <w:r w:rsidR="006F5A13" w:rsidRPr="008A0FFC">
        <w:rPr>
          <w:rFonts w:cs="Arial"/>
        </w:rPr>
        <w:t>especially at paragraph 7, p.</w:t>
      </w:r>
      <w:r w:rsidR="00A50077" w:rsidRPr="008A0FFC">
        <w:rPr>
          <w:rFonts w:cs="Arial"/>
        </w:rPr>
        <w:t xml:space="preserve"> 012-5)</w:t>
      </w:r>
      <w:r w:rsidR="00B923A3" w:rsidRPr="008A0FFC">
        <w:rPr>
          <w:rFonts w:cs="Arial"/>
        </w:rPr>
        <w:t xml:space="preserve">.  </w:t>
      </w:r>
    </w:p>
  </w:footnote>
  <w:footnote w:id="15">
    <w:p w14:paraId="0121C423" w14:textId="709DF5A9" w:rsidR="00241124" w:rsidRPr="008A0FFC" w:rsidRDefault="00241124"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proofErr w:type="spellStart"/>
      <w:r w:rsidR="003078FD" w:rsidRPr="008A0FFC">
        <w:rPr>
          <w:rFonts w:cs="Arial"/>
        </w:rPr>
        <w:t>CaseLines</w:t>
      </w:r>
      <w:proofErr w:type="spellEnd"/>
      <w:r w:rsidR="003078FD" w:rsidRPr="008A0FFC">
        <w:rPr>
          <w:rFonts w:cs="Arial"/>
        </w:rPr>
        <w:t>: Minister’s notice of intention to defend: pp. 002-</w:t>
      </w:r>
      <w:r w:rsidR="00C05CC5" w:rsidRPr="008A0FFC">
        <w:rPr>
          <w:rFonts w:cs="Arial"/>
        </w:rPr>
        <w:t>7</w:t>
      </w:r>
      <w:r w:rsidR="003078FD" w:rsidRPr="008A0FFC">
        <w:rPr>
          <w:rFonts w:cs="Arial"/>
        </w:rPr>
        <w:t xml:space="preserve"> and 002-</w:t>
      </w:r>
      <w:r w:rsidR="00C05CC5" w:rsidRPr="008A0FFC">
        <w:rPr>
          <w:rFonts w:cs="Arial"/>
        </w:rPr>
        <w:t>8</w:t>
      </w:r>
      <w:r w:rsidR="003078FD" w:rsidRPr="008A0FFC">
        <w:rPr>
          <w:rFonts w:cs="Arial"/>
        </w:rPr>
        <w:t xml:space="preserve">. </w:t>
      </w:r>
      <w:r w:rsidR="00C05CC5" w:rsidRPr="008A0FFC">
        <w:rPr>
          <w:rFonts w:cs="Arial"/>
        </w:rPr>
        <w:t xml:space="preserve"> </w:t>
      </w:r>
      <w:r w:rsidR="00D166E9" w:rsidRPr="008A0FFC">
        <w:rPr>
          <w:rFonts w:cs="Arial"/>
        </w:rPr>
        <w:t>Regrettably,</w:t>
      </w:r>
      <w:r w:rsidR="00E60BD9" w:rsidRPr="008A0FFC">
        <w:rPr>
          <w:rFonts w:cs="Arial"/>
        </w:rPr>
        <w:t xml:space="preserve"> no return of service </w:t>
      </w:r>
      <w:r w:rsidR="00B47DD1" w:rsidRPr="008A0FFC">
        <w:rPr>
          <w:rFonts w:cs="Arial"/>
        </w:rPr>
        <w:t xml:space="preserve">was uploaded onto </w:t>
      </w:r>
      <w:proofErr w:type="spellStart"/>
      <w:r w:rsidR="00B47DD1" w:rsidRPr="008A0FFC">
        <w:rPr>
          <w:rFonts w:cs="Arial"/>
        </w:rPr>
        <w:t>CaseLines</w:t>
      </w:r>
      <w:proofErr w:type="spellEnd"/>
      <w:r w:rsidR="00840260" w:rsidRPr="008A0FFC">
        <w:rPr>
          <w:rFonts w:cs="Arial"/>
        </w:rPr>
        <w:t xml:space="preserve"> and the details of precisely when and </w:t>
      </w:r>
      <w:r w:rsidR="008F165F" w:rsidRPr="008A0FFC">
        <w:rPr>
          <w:rFonts w:cs="Arial"/>
        </w:rPr>
        <w:t>how such service took place are unknown.</w:t>
      </w:r>
    </w:p>
  </w:footnote>
  <w:footnote w:id="16">
    <w:p w14:paraId="1DB692BB" w14:textId="36D67D0F" w:rsidR="0009592D" w:rsidRPr="008A0FFC" w:rsidRDefault="0009592D"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bookmarkStart w:id="13" w:name="_Hlk153184860"/>
      <w:proofErr w:type="spellStart"/>
      <w:r w:rsidR="00D72F90" w:rsidRPr="008A0FFC">
        <w:rPr>
          <w:rFonts w:cs="Arial"/>
        </w:rPr>
        <w:t>CaseLines</w:t>
      </w:r>
      <w:proofErr w:type="spellEnd"/>
      <w:r w:rsidR="00D72F90" w:rsidRPr="008A0FFC">
        <w:rPr>
          <w:rFonts w:cs="Arial"/>
        </w:rPr>
        <w:t>:</w:t>
      </w:r>
      <w:r w:rsidR="00A37D68" w:rsidRPr="008A0FFC">
        <w:rPr>
          <w:rFonts w:cs="Arial"/>
        </w:rPr>
        <w:t xml:space="preserve"> </w:t>
      </w:r>
      <w:r w:rsidR="008775CC" w:rsidRPr="008A0FFC">
        <w:rPr>
          <w:rFonts w:cs="Arial"/>
        </w:rPr>
        <w:t>Minister</w:t>
      </w:r>
      <w:r w:rsidR="00D72F90" w:rsidRPr="008A0FFC">
        <w:rPr>
          <w:rFonts w:cs="Arial"/>
        </w:rPr>
        <w:t xml:space="preserve">’s application in terms of Rule </w:t>
      </w:r>
      <w:r w:rsidR="008775CC" w:rsidRPr="008A0FFC">
        <w:rPr>
          <w:rFonts w:cs="Arial"/>
        </w:rPr>
        <w:t>30 (1)</w:t>
      </w:r>
      <w:r w:rsidR="00D72F90" w:rsidRPr="008A0FFC">
        <w:rPr>
          <w:rFonts w:cs="Arial"/>
        </w:rPr>
        <w:t>: pp. 0</w:t>
      </w:r>
      <w:r w:rsidR="00316EC1" w:rsidRPr="008A0FFC">
        <w:rPr>
          <w:rFonts w:cs="Arial"/>
        </w:rPr>
        <w:t>0</w:t>
      </w:r>
      <w:r w:rsidR="00D72F90" w:rsidRPr="008A0FFC">
        <w:rPr>
          <w:rFonts w:cs="Arial"/>
        </w:rPr>
        <w:t>5-1 and 0</w:t>
      </w:r>
      <w:r w:rsidR="00012218" w:rsidRPr="008A0FFC">
        <w:rPr>
          <w:rFonts w:cs="Arial"/>
        </w:rPr>
        <w:t>0</w:t>
      </w:r>
      <w:r w:rsidR="00D72F90" w:rsidRPr="008A0FFC">
        <w:rPr>
          <w:rFonts w:cs="Arial"/>
        </w:rPr>
        <w:t>5-</w:t>
      </w:r>
      <w:r w:rsidR="00012218" w:rsidRPr="008A0FFC">
        <w:rPr>
          <w:rFonts w:cs="Arial"/>
        </w:rPr>
        <w:t>46</w:t>
      </w:r>
      <w:r w:rsidR="00D72F90" w:rsidRPr="008A0FFC">
        <w:rPr>
          <w:rFonts w:cs="Arial"/>
        </w:rPr>
        <w:t>.</w:t>
      </w:r>
      <w:bookmarkEnd w:id="13"/>
    </w:p>
  </w:footnote>
  <w:footnote w:id="17">
    <w:p w14:paraId="5C6ED1C0" w14:textId="0D2D1B3F" w:rsidR="00A37D68" w:rsidRPr="008A0FFC" w:rsidRDefault="00A37D68"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proofErr w:type="spellStart"/>
      <w:r w:rsidRPr="008A0FFC">
        <w:rPr>
          <w:rFonts w:cs="Arial"/>
        </w:rPr>
        <w:t>CaseLines</w:t>
      </w:r>
      <w:proofErr w:type="spellEnd"/>
      <w:r w:rsidRPr="008A0FFC">
        <w:rPr>
          <w:rFonts w:cs="Arial"/>
        </w:rPr>
        <w:t xml:space="preserve">: </w:t>
      </w:r>
      <w:r w:rsidR="00392993" w:rsidRPr="008A0FFC">
        <w:rPr>
          <w:rFonts w:cs="Arial"/>
        </w:rPr>
        <w:t xml:space="preserve">Mr </w:t>
      </w:r>
      <w:proofErr w:type="spellStart"/>
      <w:r w:rsidR="00392993" w:rsidRPr="008A0FFC">
        <w:rPr>
          <w:rFonts w:cs="Arial"/>
        </w:rPr>
        <w:t>Mangasa's</w:t>
      </w:r>
      <w:proofErr w:type="spellEnd"/>
      <w:r w:rsidR="00392993" w:rsidRPr="008A0FFC">
        <w:rPr>
          <w:rFonts w:cs="Arial"/>
        </w:rPr>
        <w:t xml:space="preserve"> answering affidavit: </w:t>
      </w:r>
      <w:r w:rsidR="003A668B" w:rsidRPr="008A0FFC">
        <w:rPr>
          <w:rFonts w:cs="Arial"/>
        </w:rPr>
        <w:t>pp. 005</w:t>
      </w:r>
      <w:r w:rsidR="007930AC" w:rsidRPr="008A0FFC">
        <w:rPr>
          <w:rFonts w:cs="Arial"/>
        </w:rPr>
        <w:t>-51 to 005-57.</w:t>
      </w:r>
    </w:p>
  </w:footnote>
  <w:footnote w:id="18">
    <w:p w14:paraId="6CBF313A" w14:textId="77777777" w:rsidR="00C119D2" w:rsidRPr="008A0FFC" w:rsidRDefault="00C119D2"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proofErr w:type="spellStart"/>
      <w:r w:rsidRPr="008A0FFC">
        <w:rPr>
          <w:rFonts w:cs="Arial"/>
        </w:rPr>
        <w:t>CaseLines</w:t>
      </w:r>
      <w:proofErr w:type="spellEnd"/>
      <w:r w:rsidRPr="008A0FFC">
        <w:rPr>
          <w:rFonts w:cs="Arial"/>
        </w:rPr>
        <w:t>: NPA’s plea: pp. 003-1 and 003-6.</w:t>
      </w:r>
    </w:p>
  </w:footnote>
  <w:footnote w:id="19">
    <w:p w14:paraId="5FD2797E" w14:textId="2482565B" w:rsidR="009E70A1" w:rsidRPr="008A0FFC" w:rsidRDefault="009E70A1"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r w:rsidR="00606B74" w:rsidRPr="008A0FFC">
        <w:rPr>
          <w:rFonts w:cs="Arial"/>
        </w:rPr>
        <w:t xml:space="preserve">That is two days after the Minister’s </w:t>
      </w:r>
      <w:r w:rsidR="000111A6" w:rsidRPr="008A0FFC">
        <w:rPr>
          <w:rFonts w:cs="Arial"/>
        </w:rPr>
        <w:t xml:space="preserve">notice of intention to defend, referred to in para [9] above, </w:t>
      </w:r>
      <w:r w:rsidR="00CB4556" w:rsidRPr="008A0FFC">
        <w:rPr>
          <w:rFonts w:cs="Arial"/>
        </w:rPr>
        <w:t>was delivered.</w:t>
      </w:r>
    </w:p>
  </w:footnote>
  <w:footnote w:id="20">
    <w:p w14:paraId="5988AE56" w14:textId="5851CE1A" w:rsidR="003F72A0" w:rsidRPr="008A0FFC" w:rsidRDefault="003F72A0"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proofErr w:type="spellStart"/>
      <w:r w:rsidR="005F2895" w:rsidRPr="008A0FFC">
        <w:rPr>
          <w:rFonts w:cs="Arial"/>
        </w:rPr>
        <w:t>CaseLines</w:t>
      </w:r>
      <w:proofErr w:type="spellEnd"/>
      <w:r w:rsidR="005F2895" w:rsidRPr="008A0FFC">
        <w:rPr>
          <w:rFonts w:cs="Arial"/>
        </w:rPr>
        <w:t xml:space="preserve">: </w:t>
      </w:r>
      <w:r w:rsidR="007930AC" w:rsidRPr="008A0FFC">
        <w:rPr>
          <w:rFonts w:cs="Arial"/>
        </w:rPr>
        <w:t>Minister</w:t>
      </w:r>
      <w:r w:rsidR="00425C7D" w:rsidRPr="008A0FFC">
        <w:rPr>
          <w:rFonts w:cs="Arial"/>
        </w:rPr>
        <w:t xml:space="preserve">’s </w:t>
      </w:r>
      <w:r w:rsidR="006C0685" w:rsidRPr="008A0FFC">
        <w:rPr>
          <w:rFonts w:cs="Arial"/>
        </w:rPr>
        <w:t>plea</w:t>
      </w:r>
      <w:r w:rsidR="005F2895" w:rsidRPr="008A0FFC">
        <w:rPr>
          <w:rFonts w:cs="Arial"/>
        </w:rPr>
        <w:t>:</w:t>
      </w:r>
      <w:r w:rsidR="006C0685" w:rsidRPr="008A0FFC">
        <w:rPr>
          <w:rFonts w:cs="Arial"/>
        </w:rPr>
        <w:t xml:space="preserve"> </w:t>
      </w:r>
      <w:r w:rsidR="005F2895" w:rsidRPr="008A0FFC">
        <w:rPr>
          <w:rFonts w:cs="Arial"/>
        </w:rPr>
        <w:t>pp. 01</w:t>
      </w:r>
      <w:r w:rsidR="006C0685" w:rsidRPr="008A0FFC">
        <w:rPr>
          <w:rFonts w:cs="Arial"/>
        </w:rPr>
        <w:t>5</w:t>
      </w:r>
      <w:r w:rsidR="005F2895" w:rsidRPr="008A0FFC">
        <w:rPr>
          <w:rFonts w:cs="Arial"/>
        </w:rPr>
        <w:t>-</w:t>
      </w:r>
      <w:r w:rsidR="006C0685" w:rsidRPr="008A0FFC">
        <w:rPr>
          <w:rFonts w:cs="Arial"/>
        </w:rPr>
        <w:t>1</w:t>
      </w:r>
      <w:r w:rsidR="005F2895" w:rsidRPr="008A0FFC">
        <w:rPr>
          <w:rFonts w:cs="Arial"/>
        </w:rPr>
        <w:t xml:space="preserve"> and 0</w:t>
      </w:r>
      <w:r w:rsidR="006C0685" w:rsidRPr="008A0FFC">
        <w:rPr>
          <w:rFonts w:cs="Arial"/>
        </w:rPr>
        <w:t>15</w:t>
      </w:r>
      <w:r w:rsidR="005F2895" w:rsidRPr="008A0FFC">
        <w:rPr>
          <w:rFonts w:cs="Arial"/>
        </w:rPr>
        <w:t>-</w:t>
      </w:r>
      <w:r w:rsidR="006C0685" w:rsidRPr="008A0FFC">
        <w:rPr>
          <w:rFonts w:cs="Arial"/>
        </w:rPr>
        <w:t>9</w:t>
      </w:r>
      <w:r w:rsidR="005F2895" w:rsidRPr="008A0FFC">
        <w:rPr>
          <w:rFonts w:cs="Arial"/>
        </w:rPr>
        <w:t>.</w:t>
      </w:r>
    </w:p>
  </w:footnote>
  <w:footnote w:id="21">
    <w:p w14:paraId="189BA508" w14:textId="13BB12C2" w:rsidR="004B7D70" w:rsidRPr="008A0FFC" w:rsidRDefault="004B7D70" w:rsidP="008A0FFC">
      <w:pPr>
        <w:pStyle w:val="FootnoteText"/>
        <w:rPr>
          <w:rFonts w:cs="Arial"/>
        </w:rPr>
      </w:pPr>
      <w:r w:rsidRPr="008A0FFC">
        <w:rPr>
          <w:rStyle w:val="FootnoteReference"/>
          <w:rFonts w:cs="Arial"/>
        </w:rPr>
        <w:footnoteRef/>
      </w:r>
      <w:r w:rsidRPr="008A0FFC">
        <w:rPr>
          <w:rFonts w:cs="Arial"/>
        </w:rPr>
        <w:t xml:space="preserve"> </w:t>
      </w:r>
      <w:r w:rsidR="00517D8A" w:rsidRPr="008A0FFC">
        <w:rPr>
          <w:rFonts w:cs="Arial"/>
        </w:rPr>
        <w:tab/>
      </w:r>
      <w:bookmarkStart w:id="16" w:name="_Hlk152938558"/>
      <w:r w:rsidR="004823D6" w:rsidRPr="008A0FFC">
        <w:rPr>
          <w:rFonts w:cs="Arial"/>
          <w:i/>
          <w:iCs/>
        </w:rPr>
        <w:t>Ibid</w:t>
      </w:r>
      <w:r w:rsidR="004823D6" w:rsidRPr="008A0FFC">
        <w:rPr>
          <w:rFonts w:cs="Arial"/>
        </w:rPr>
        <w:t xml:space="preserve">., para </w:t>
      </w:r>
      <w:r w:rsidR="001B43DC" w:rsidRPr="008A0FFC">
        <w:rPr>
          <w:rFonts w:cs="Arial"/>
        </w:rPr>
        <w:t>1 (</w:t>
      </w:r>
      <w:r w:rsidR="001B43DC" w:rsidRPr="008A0FFC">
        <w:rPr>
          <w:rFonts w:cs="Arial"/>
          <w:i/>
          <w:iCs/>
        </w:rPr>
        <w:t>inclusive</w:t>
      </w:r>
      <w:r w:rsidR="001B43DC" w:rsidRPr="008A0FFC">
        <w:rPr>
          <w:rFonts w:cs="Arial"/>
        </w:rPr>
        <w:t xml:space="preserve"> of </w:t>
      </w:r>
      <w:proofErr w:type="spellStart"/>
      <w:r w:rsidR="001B43DC" w:rsidRPr="008A0FFC">
        <w:rPr>
          <w:rFonts w:cs="Arial"/>
        </w:rPr>
        <w:t>subparas</w:t>
      </w:r>
      <w:proofErr w:type="spellEnd"/>
      <w:r w:rsidR="001B43DC" w:rsidRPr="008A0FFC">
        <w:rPr>
          <w:rFonts w:cs="Arial"/>
        </w:rPr>
        <w:t xml:space="preserve"> 1.1 to </w:t>
      </w:r>
      <w:r w:rsidR="009B45FC" w:rsidRPr="008A0FFC">
        <w:rPr>
          <w:rFonts w:cs="Arial"/>
        </w:rPr>
        <w:t>1.3</w:t>
      </w:r>
      <w:r w:rsidR="004823D6" w:rsidRPr="008A0FFC">
        <w:rPr>
          <w:rFonts w:cs="Arial"/>
        </w:rPr>
        <w:t>, p</w:t>
      </w:r>
      <w:r w:rsidR="009B45FC" w:rsidRPr="008A0FFC">
        <w:rPr>
          <w:rFonts w:cs="Arial"/>
        </w:rPr>
        <w:t>p</w:t>
      </w:r>
      <w:r w:rsidR="004823D6" w:rsidRPr="008A0FFC">
        <w:rPr>
          <w:rFonts w:cs="Arial"/>
        </w:rPr>
        <w:t>. 01</w:t>
      </w:r>
      <w:r w:rsidR="009B45FC" w:rsidRPr="008A0FFC">
        <w:rPr>
          <w:rFonts w:cs="Arial"/>
        </w:rPr>
        <w:t>5</w:t>
      </w:r>
      <w:r w:rsidR="004823D6" w:rsidRPr="008A0FFC">
        <w:rPr>
          <w:rFonts w:cs="Arial"/>
        </w:rPr>
        <w:t>-</w:t>
      </w:r>
      <w:r w:rsidR="009B45FC" w:rsidRPr="008A0FFC">
        <w:rPr>
          <w:rFonts w:cs="Arial"/>
        </w:rPr>
        <w:t>1 to 015</w:t>
      </w:r>
      <w:r w:rsidR="00A24200" w:rsidRPr="008A0FFC">
        <w:rPr>
          <w:rFonts w:cs="Arial"/>
        </w:rPr>
        <w:t>-3</w:t>
      </w:r>
      <w:r w:rsidR="004823D6" w:rsidRPr="008A0FFC">
        <w:rPr>
          <w:rFonts w:cs="Arial"/>
        </w:rPr>
        <w:t>.</w:t>
      </w:r>
      <w:bookmarkEnd w:id="16"/>
    </w:p>
  </w:footnote>
  <w:footnote w:id="22">
    <w:p w14:paraId="74A2BD46" w14:textId="2A99DB28" w:rsidR="00517D8A" w:rsidRPr="008A0FFC" w:rsidRDefault="00517D8A"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r w:rsidR="00A24200" w:rsidRPr="008A0FFC">
        <w:rPr>
          <w:rFonts w:cs="Arial"/>
          <w:i/>
          <w:iCs/>
        </w:rPr>
        <w:t>Ibid</w:t>
      </w:r>
      <w:r w:rsidR="00A24200" w:rsidRPr="008A0FFC">
        <w:rPr>
          <w:rFonts w:cs="Arial"/>
        </w:rPr>
        <w:t>., para 2 (</w:t>
      </w:r>
      <w:r w:rsidR="00A24200" w:rsidRPr="008A0FFC">
        <w:rPr>
          <w:rFonts w:cs="Arial"/>
          <w:i/>
          <w:iCs/>
        </w:rPr>
        <w:t>inclusive</w:t>
      </w:r>
      <w:r w:rsidR="00A24200" w:rsidRPr="008A0FFC">
        <w:rPr>
          <w:rFonts w:cs="Arial"/>
        </w:rPr>
        <w:t xml:space="preserve"> of </w:t>
      </w:r>
      <w:proofErr w:type="spellStart"/>
      <w:r w:rsidR="00A24200" w:rsidRPr="008A0FFC">
        <w:rPr>
          <w:rFonts w:cs="Arial"/>
        </w:rPr>
        <w:t>subparas</w:t>
      </w:r>
      <w:proofErr w:type="spellEnd"/>
      <w:r w:rsidR="00A24200" w:rsidRPr="008A0FFC">
        <w:rPr>
          <w:rFonts w:cs="Arial"/>
        </w:rPr>
        <w:t xml:space="preserve"> </w:t>
      </w:r>
      <w:r w:rsidR="006C6AB8" w:rsidRPr="008A0FFC">
        <w:rPr>
          <w:rFonts w:cs="Arial"/>
        </w:rPr>
        <w:t>2</w:t>
      </w:r>
      <w:r w:rsidR="00A24200" w:rsidRPr="008A0FFC">
        <w:rPr>
          <w:rFonts w:cs="Arial"/>
        </w:rPr>
        <w:t xml:space="preserve">.1 to </w:t>
      </w:r>
      <w:r w:rsidR="006C6AB8" w:rsidRPr="008A0FFC">
        <w:rPr>
          <w:rFonts w:cs="Arial"/>
        </w:rPr>
        <w:t>2</w:t>
      </w:r>
      <w:r w:rsidR="00A24200" w:rsidRPr="008A0FFC">
        <w:rPr>
          <w:rFonts w:cs="Arial"/>
        </w:rPr>
        <w:t>.</w:t>
      </w:r>
      <w:r w:rsidR="006C6AB8" w:rsidRPr="008A0FFC">
        <w:rPr>
          <w:rFonts w:cs="Arial"/>
        </w:rPr>
        <w:t>12</w:t>
      </w:r>
      <w:r w:rsidR="00A24200" w:rsidRPr="008A0FFC">
        <w:rPr>
          <w:rFonts w:cs="Arial"/>
        </w:rPr>
        <w:t>, pp. 015-</w:t>
      </w:r>
      <w:r w:rsidR="006C6AB8" w:rsidRPr="008A0FFC">
        <w:rPr>
          <w:rFonts w:cs="Arial"/>
        </w:rPr>
        <w:t>3</w:t>
      </w:r>
      <w:r w:rsidR="00A24200" w:rsidRPr="008A0FFC">
        <w:rPr>
          <w:rFonts w:cs="Arial"/>
        </w:rPr>
        <w:t xml:space="preserve"> to 015-</w:t>
      </w:r>
      <w:r w:rsidR="006C6AB8" w:rsidRPr="008A0FFC">
        <w:rPr>
          <w:rFonts w:cs="Arial"/>
        </w:rPr>
        <w:t>6</w:t>
      </w:r>
      <w:r w:rsidR="00A24200" w:rsidRPr="008A0FFC">
        <w:rPr>
          <w:rFonts w:cs="Arial"/>
        </w:rPr>
        <w:t>.</w:t>
      </w:r>
    </w:p>
  </w:footnote>
  <w:footnote w:id="23">
    <w:p w14:paraId="5EFA5121" w14:textId="530DBB5F" w:rsidR="00736735" w:rsidRPr="008A0FFC" w:rsidRDefault="00736735"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r w:rsidRPr="008A0FFC">
        <w:rPr>
          <w:rFonts w:cs="Arial"/>
          <w:i/>
          <w:iCs/>
        </w:rPr>
        <w:t>Ibid</w:t>
      </w:r>
      <w:r w:rsidRPr="008A0FFC">
        <w:rPr>
          <w:rFonts w:cs="Arial"/>
        </w:rPr>
        <w:t xml:space="preserve">., paras 1 to 5, pp. </w:t>
      </w:r>
      <w:r w:rsidR="00B0141E" w:rsidRPr="008A0FFC">
        <w:rPr>
          <w:rFonts w:cs="Arial"/>
        </w:rPr>
        <w:t xml:space="preserve">015-6 to </w:t>
      </w:r>
      <w:r w:rsidR="000F68DF" w:rsidRPr="008A0FFC">
        <w:rPr>
          <w:rFonts w:cs="Arial"/>
        </w:rPr>
        <w:t>015-9.</w:t>
      </w:r>
    </w:p>
  </w:footnote>
  <w:footnote w:id="24">
    <w:p w14:paraId="386C9CB2" w14:textId="7228EB01" w:rsidR="000878AC" w:rsidRPr="008A0FFC" w:rsidRDefault="000878AC"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bookmarkStart w:id="18" w:name="_Hlk152839049"/>
      <w:proofErr w:type="spellStart"/>
      <w:r w:rsidR="00753364" w:rsidRPr="008A0FFC">
        <w:rPr>
          <w:rFonts w:cs="Arial"/>
        </w:rPr>
        <w:t>CaseLines</w:t>
      </w:r>
      <w:proofErr w:type="spellEnd"/>
      <w:r w:rsidR="00753364" w:rsidRPr="008A0FFC">
        <w:rPr>
          <w:rFonts w:cs="Arial"/>
        </w:rPr>
        <w:t>: POC</w:t>
      </w:r>
      <w:r w:rsidR="00B71838" w:rsidRPr="008A0FFC">
        <w:rPr>
          <w:rFonts w:cs="Arial"/>
        </w:rPr>
        <w:t>:</w:t>
      </w:r>
      <w:r w:rsidR="009727D6" w:rsidRPr="008A0FFC">
        <w:rPr>
          <w:rFonts w:cs="Arial"/>
        </w:rPr>
        <w:t xml:space="preserve"> para 11, p. 001-</w:t>
      </w:r>
      <w:r w:rsidR="00E946A2" w:rsidRPr="008A0FFC">
        <w:rPr>
          <w:rFonts w:cs="Arial"/>
        </w:rPr>
        <w:t>7</w:t>
      </w:r>
      <w:r w:rsidR="009727D6" w:rsidRPr="008A0FFC">
        <w:rPr>
          <w:rFonts w:cs="Arial"/>
        </w:rPr>
        <w:t>.</w:t>
      </w:r>
      <w:bookmarkEnd w:id="18"/>
    </w:p>
  </w:footnote>
  <w:footnote w:id="25">
    <w:p w14:paraId="3DCDB435" w14:textId="5C903830" w:rsidR="00E44DEE" w:rsidRPr="008A0FFC" w:rsidRDefault="00E44DEE"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r w:rsidRPr="008A0FFC">
        <w:rPr>
          <w:rFonts w:cs="Arial"/>
          <w:i/>
          <w:iCs/>
        </w:rPr>
        <w:t>Ibid</w:t>
      </w:r>
      <w:r w:rsidRPr="008A0FFC">
        <w:rPr>
          <w:rFonts w:cs="Arial"/>
        </w:rPr>
        <w:t>., para 1</w:t>
      </w:r>
      <w:r w:rsidR="005B4F47" w:rsidRPr="008A0FFC">
        <w:rPr>
          <w:rFonts w:cs="Arial"/>
        </w:rPr>
        <w:t>5.11</w:t>
      </w:r>
      <w:r w:rsidRPr="008A0FFC">
        <w:rPr>
          <w:rFonts w:cs="Arial"/>
        </w:rPr>
        <w:t>, p. 001-</w:t>
      </w:r>
      <w:r w:rsidR="005B4F47" w:rsidRPr="008A0FFC">
        <w:rPr>
          <w:rFonts w:cs="Arial"/>
        </w:rPr>
        <w:t>10</w:t>
      </w:r>
      <w:r w:rsidRPr="008A0FFC">
        <w:rPr>
          <w:rFonts w:cs="Arial"/>
        </w:rPr>
        <w:t>.</w:t>
      </w:r>
    </w:p>
  </w:footnote>
  <w:footnote w:id="26">
    <w:p w14:paraId="1B6DC8A4" w14:textId="05C628CE" w:rsidR="005445DA" w:rsidRPr="008A0FFC" w:rsidRDefault="005445DA"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bookmarkStart w:id="19" w:name="_Hlk153034502"/>
      <w:proofErr w:type="spellStart"/>
      <w:r w:rsidR="00C53128" w:rsidRPr="008A0FFC">
        <w:rPr>
          <w:rFonts w:cs="Arial"/>
        </w:rPr>
        <w:t>CaseLines</w:t>
      </w:r>
      <w:proofErr w:type="spellEnd"/>
      <w:r w:rsidR="00C53128" w:rsidRPr="008A0FFC">
        <w:rPr>
          <w:rFonts w:cs="Arial"/>
        </w:rPr>
        <w:t>: 030: Annexures, at p. 030-</w:t>
      </w:r>
      <w:r w:rsidR="0071289E" w:rsidRPr="008A0FFC">
        <w:rPr>
          <w:rFonts w:cs="Arial"/>
        </w:rPr>
        <w:t>3</w:t>
      </w:r>
      <w:r w:rsidR="00C53128" w:rsidRPr="008A0FFC">
        <w:rPr>
          <w:rFonts w:cs="Arial"/>
        </w:rPr>
        <w:t>.</w:t>
      </w:r>
      <w:bookmarkEnd w:id="19"/>
    </w:p>
  </w:footnote>
  <w:footnote w:id="27">
    <w:p w14:paraId="3F98F6A0" w14:textId="69DF5CF0" w:rsidR="00C53128" w:rsidRPr="008A0FFC" w:rsidRDefault="00C53128"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r w:rsidR="0071289E" w:rsidRPr="008A0FFC">
        <w:rPr>
          <w:rFonts w:cs="Arial"/>
          <w:i/>
          <w:iCs/>
        </w:rPr>
        <w:t>Id</w:t>
      </w:r>
      <w:r w:rsidR="0071289E" w:rsidRPr="008A0FFC">
        <w:rPr>
          <w:rFonts w:cs="Arial"/>
        </w:rPr>
        <w:t>.</w:t>
      </w:r>
    </w:p>
  </w:footnote>
  <w:footnote w:id="28">
    <w:p w14:paraId="4414881E" w14:textId="0FD4EBB2" w:rsidR="00C53128" w:rsidRPr="008A0FFC" w:rsidRDefault="00C53128"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r w:rsidR="007F648E" w:rsidRPr="008A0FFC">
        <w:rPr>
          <w:rFonts w:cs="Arial"/>
          <w:i/>
          <w:iCs/>
        </w:rPr>
        <w:t>Ibid</w:t>
      </w:r>
      <w:r w:rsidR="007F648E" w:rsidRPr="008A0FFC">
        <w:rPr>
          <w:rFonts w:cs="Arial"/>
        </w:rPr>
        <w:t>., at pp. 030-</w:t>
      </w:r>
      <w:r w:rsidR="00642274" w:rsidRPr="008A0FFC">
        <w:rPr>
          <w:rFonts w:cs="Arial"/>
        </w:rPr>
        <w:t>3 and 030-4</w:t>
      </w:r>
      <w:r w:rsidR="007F648E" w:rsidRPr="008A0FFC">
        <w:rPr>
          <w:rFonts w:cs="Arial"/>
        </w:rPr>
        <w:t>.</w:t>
      </w:r>
    </w:p>
  </w:footnote>
  <w:footnote w:id="29">
    <w:p w14:paraId="1437F1B9" w14:textId="5FCD3338" w:rsidR="003C079F" w:rsidRPr="008A0FFC" w:rsidRDefault="003C079F"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proofErr w:type="spellStart"/>
      <w:r w:rsidRPr="008A0FFC">
        <w:rPr>
          <w:rFonts w:cs="Arial"/>
        </w:rPr>
        <w:t>CaseLines</w:t>
      </w:r>
      <w:proofErr w:type="spellEnd"/>
      <w:r w:rsidRPr="008A0FFC">
        <w:rPr>
          <w:rFonts w:cs="Arial"/>
        </w:rPr>
        <w:t>: 030: Annexures, at pp. 030-</w:t>
      </w:r>
      <w:r w:rsidR="00BF58AC" w:rsidRPr="008A0FFC">
        <w:rPr>
          <w:rFonts w:cs="Arial"/>
        </w:rPr>
        <w:t>7 and 030-8</w:t>
      </w:r>
      <w:r w:rsidRPr="008A0FFC">
        <w:rPr>
          <w:rFonts w:cs="Arial"/>
        </w:rPr>
        <w:t>.</w:t>
      </w:r>
    </w:p>
  </w:footnote>
  <w:footnote w:id="30">
    <w:p w14:paraId="10CE5B2A" w14:textId="70EB3B3C" w:rsidR="00905A47" w:rsidRPr="008A0FFC" w:rsidRDefault="00905A47"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r w:rsidRPr="008A0FFC">
        <w:rPr>
          <w:rFonts w:cs="Arial"/>
          <w:i/>
          <w:iCs/>
        </w:rPr>
        <w:t>Id</w:t>
      </w:r>
      <w:r w:rsidRPr="008A0FFC">
        <w:rPr>
          <w:rFonts w:cs="Arial"/>
        </w:rPr>
        <w:t>.</w:t>
      </w:r>
    </w:p>
  </w:footnote>
  <w:footnote w:id="31">
    <w:p w14:paraId="4FC5C113" w14:textId="1398D645" w:rsidR="008B2749" w:rsidRPr="008A0FFC" w:rsidRDefault="008B2749" w:rsidP="008A0FFC">
      <w:pPr>
        <w:pStyle w:val="FootnoteText"/>
        <w:rPr>
          <w:rFonts w:cs="Arial"/>
        </w:rPr>
      </w:pPr>
      <w:r w:rsidRPr="008A0FFC">
        <w:rPr>
          <w:rStyle w:val="FootnoteReference"/>
          <w:rFonts w:cs="Arial"/>
        </w:rPr>
        <w:footnoteRef/>
      </w:r>
      <w:r w:rsidRPr="008A0FFC">
        <w:rPr>
          <w:rFonts w:cs="Arial"/>
        </w:rPr>
        <w:t xml:space="preserve"> </w:t>
      </w:r>
      <w:r w:rsidR="00161F84" w:rsidRPr="008A0FFC">
        <w:rPr>
          <w:rFonts w:cs="Arial"/>
        </w:rPr>
        <w:tab/>
      </w:r>
      <w:bookmarkStart w:id="20" w:name="_Hlk153191609"/>
      <w:proofErr w:type="spellStart"/>
      <w:r w:rsidR="00161F84" w:rsidRPr="008A0FFC">
        <w:rPr>
          <w:rFonts w:cs="Arial"/>
        </w:rPr>
        <w:t>CaseLines</w:t>
      </w:r>
      <w:proofErr w:type="spellEnd"/>
      <w:r w:rsidR="00161F84" w:rsidRPr="008A0FFC">
        <w:rPr>
          <w:rFonts w:cs="Arial"/>
        </w:rPr>
        <w:t xml:space="preserve">: </w:t>
      </w:r>
      <w:r w:rsidR="009F16B9" w:rsidRPr="008A0FFC">
        <w:rPr>
          <w:rFonts w:cs="Arial"/>
        </w:rPr>
        <w:t>Condonation application</w:t>
      </w:r>
      <w:r w:rsidR="00EF4F15" w:rsidRPr="008A0FFC">
        <w:rPr>
          <w:rFonts w:cs="Arial"/>
        </w:rPr>
        <w:t>: Notice of motion</w:t>
      </w:r>
      <w:r w:rsidR="00161F84" w:rsidRPr="008A0FFC">
        <w:rPr>
          <w:rFonts w:cs="Arial"/>
        </w:rPr>
        <w:t>: pp. 0</w:t>
      </w:r>
      <w:r w:rsidR="00536B89" w:rsidRPr="008A0FFC">
        <w:rPr>
          <w:rFonts w:cs="Arial"/>
        </w:rPr>
        <w:t>17</w:t>
      </w:r>
      <w:r w:rsidR="00161F84" w:rsidRPr="008A0FFC">
        <w:rPr>
          <w:rFonts w:cs="Arial"/>
        </w:rPr>
        <w:t>-</w:t>
      </w:r>
      <w:r w:rsidR="00536B89" w:rsidRPr="008A0FFC">
        <w:rPr>
          <w:rFonts w:cs="Arial"/>
        </w:rPr>
        <w:t>3</w:t>
      </w:r>
      <w:r w:rsidR="00161F84" w:rsidRPr="008A0FFC">
        <w:rPr>
          <w:rFonts w:cs="Arial"/>
        </w:rPr>
        <w:t xml:space="preserve"> </w:t>
      </w:r>
      <w:r w:rsidR="00EF4F15" w:rsidRPr="008A0FFC">
        <w:rPr>
          <w:rFonts w:cs="Arial"/>
        </w:rPr>
        <w:t>to</w:t>
      </w:r>
      <w:r w:rsidR="00161F84" w:rsidRPr="008A0FFC">
        <w:rPr>
          <w:rFonts w:cs="Arial"/>
        </w:rPr>
        <w:t xml:space="preserve"> 0</w:t>
      </w:r>
      <w:r w:rsidR="00536B89" w:rsidRPr="008A0FFC">
        <w:rPr>
          <w:rFonts w:cs="Arial"/>
        </w:rPr>
        <w:t>17</w:t>
      </w:r>
      <w:r w:rsidR="00161F84" w:rsidRPr="008A0FFC">
        <w:rPr>
          <w:rFonts w:cs="Arial"/>
        </w:rPr>
        <w:t>-</w:t>
      </w:r>
      <w:r w:rsidR="0007116C" w:rsidRPr="008A0FFC">
        <w:rPr>
          <w:rFonts w:cs="Arial"/>
        </w:rPr>
        <w:t>5</w:t>
      </w:r>
      <w:r w:rsidR="00161F84" w:rsidRPr="008A0FFC">
        <w:rPr>
          <w:rFonts w:cs="Arial"/>
        </w:rPr>
        <w:t>.</w:t>
      </w:r>
      <w:bookmarkEnd w:id="20"/>
    </w:p>
  </w:footnote>
  <w:footnote w:id="32">
    <w:p w14:paraId="4652AE1C" w14:textId="42DD932D" w:rsidR="009F5A90" w:rsidRPr="008A0FFC" w:rsidRDefault="009F5A90" w:rsidP="008A0FFC">
      <w:pPr>
        <w:pStyle w:val="FootnoteText"/>
        <w:rPr>
          <w:rFonts w:cs="Arial"/>
        </w:rPr>
      </w:pPr>
      <w:r w:rsidRPr="008A0FFC">
        <w:rPr>
          <w:rStyle w:val="FootnoteReference"/>
          <w:rFonts w:cs="Arial"/>
        </w:rPr>
        <w:footnoteRef/>
      </w:r>
      <w:r w:rsidRPr="008A0FFC">
        <w:rPr>
          <w:rFonts w:cs="Arial"/>
        </w:rPr>
        <w:t xml:space="preserve"> </w:t>
      </w:r>
      <w:r w:rsidR="0007116C" w:rsidRPr="008A0FFC">
        <w:rPr>
          <w:rFonts w:cs="Arial"/>
        </w:rPr>
        <w:tab/>
      </w:r>
      <w:proofErr w:type="spellStart"/>
      <w:r w:rsidR="00B14322" w:rsidRPr="008A0FFC">
        <w:rPr>
          <w:rFonts w:cs="Arial"/>
        </w:rPr>
        <w:t>CaseLines</w:t>
      </w:r>
      <w:proofErr w:type="spellEnd"/>
      <w:r w:rsidR="00B14322" w:rsidRPr="008A0FFC">
        <w:rPr>
          <w:rFonts w:cs="Arial"/>
        </w:rPr>
        <w:t xml:space="preserve">: </w:t>
      </w:r>
      <w:r w:rsidR="00C806CD" w:rsidRPr="008A0FFC">
        <w:rPr>
          <w:rFonts w:cs="Arial"/>
        </w:rPr>
        <w:t xml:space="preserve">Mr </w:t>
      </w:r>
      <w:proofErr w:type="spellStart"/>
      <w:r w:rsidR="00C806CD" w:rsidRPr="008A0FFC">
        <w:rPr>
          <w:rFonts w:cs="Arial"/>
        </w:rPr>
        <w:t>Mangasa's</w:t>
      </w:r>
      <w:proofErr w:type="spellEnd"/>
      <w:r w:rsidR="00C806CD" w:rsidRPr="008A0FFC">
        <w:rPr>
          <w:rFonts w:cs="Arial"/>
        </w:rPr>
        <w:t xml:space="preserve"> founding affidavit:</w:t>
      </w:r>
      <w:r w:rsidR="00B14322" w:rsidRPr="008A0FFC">
        <w:rPr>
          <w:rFonts w:cs="Arial"/>
        </w:rPr>
        <w:t xml:space="preserve"> pp. </w:t>
      </w:r>
      <w:r w:rsidR="009C7825" w:rsidRPr="008A0FFC">
        <w:rPr>
          <w:rFonts w:cs="Arial"/>
        </w:rPr>
        <w:t xml:space="preserve">018-1 to 018-8, especially paras </w:t>
      </w:r>
      <w:r w:rsidR="00A96DA3" w:rsidRPr="008A0FFC">
        <w:rPr>
          <w:rFonts w:cs="Arial"/>
        </w:rPr>
        <w:t>5 to 8, p. 018-</w:t>
      </w:r>
      <w:r w:rsidR="001E1C81" w:rsidRPr="008A0FFC">
        <w:rPr>
          <w:rFonts w:cs="Arial"/>
        </w:rPr>
        <w:t>4</w:t>
      </w:r>
      <w:r w:rsidR="002B4156" w:rsidRPr="008A0FFC">
        <w:rPr>
          <w:rFonts w:cs="Arial"/>
        </w:rPr>
        <w:t>.</w:t>
      </w:r>
    </w:p>
  </w:footnote>
  <w:footnote w:id="33">
    <w:p w14:paraId="71829CC6" w14:textId="56F37D14" w:rsidR="00EA550C" w:rsidRPr="008A0FFC" w:rsidRDefault="00EA550C"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bookmarkStart w:id="21" w:name="_Hlk153186549"/>
      <w:r w:rsidR="003F2EDC" w:rsidRPr="008A0FFC">
        <w:rPr>
          <w:rFonts w:cs="Arial"/>
          <w:i/>
          <w:iCs/>
        </w:rPr>
        <w:t>Id</w:t>
      </w:r>
      <w:r w:rsidR="003F2EDC" w:rsidRPr="008A0FFC">
        <w:rPr>
          <w:rFonts w:cs="Arial"/>
        </w:rPr>
        <w:t>.</w:t>
      </w:r>
      <w:bookmarkEnd w:id="21"/>
    </w:p>
  </w:footnote>
  <w:footnote w:id="34">
    <w:p w14:paraId="693558A5" w14:textId="358EC9BD" w:rsidR="0038053B" w:rsidRPr="008A0FFC" w:rsidRDefault="0038053B" w:rsidP="008A0FFC">
      <w:pPr>
        <w:pStyle w:val="FootnoteText"/>
        <w:rPr>
          <w:rFonts w:cs="Arial"/>
        </w:rPr>
      </w:pPr>
      <w:r w:rsidRPr="008A0FFC">
        <w:rPr>
          <w:rStyle w:val="FootnoteReference"/>
          <w:rFonts w:cs="Arial"/>
        </w:rPr>
        <w:footnoteRef/>
      </w:r>
      <w:r w:rsidRPr="008A0FFC">
        <w:rPr>
          <w:rFonts w:cs="Arial"/>
        </w:rPr>
        <w:t xml:space="preserve"> </w:t>
      </w:r>
      <w:r w:rsidR="001E1C81" w:rsidRPr="008A0FFC">
        <w:rPr>
          <w:rFonts w:cs="Arial"/>
        </w:rPr>
        <w:tab/>
      </w:r>
      <w:r w:rsidR="001E1C81" w:rsidRPr="008A0FFC">
        <w:rPr>
          <w:rFonts w:cs="Arial"/>
          <w:i/>
          <w:iCs/>
        </w:rPr>
        <w:t>Ibid</w:t>
      </w:r>
      <w:r w:rsidR="001E1C81" w:rsidRPr="008A0FFC">
        <w:rPr>
          <w:rFonts w:cs="Arial"/>
        </w:rPr>
        <w:t>., at para 8, p. 018-4.</w:t>
      </w:r>
    </w:p>
  </w:footnote>
  <w:footnote w:id="35">
    <w:p w14:paraId="55D8CB44" w14:textId="39391996" w:rsidR="00D620E4" w:rsidRPr="008A0FFC" w:rsidRDefault="00D620E4"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bookmarkStart w:id="23" w:name="_Hlk153186864"/>
      <w:r w:rsidR="00996621" w:rsidRPr="008A0FFC">
        <w:rPr>
          <w:rFonts w:cs="Arial"/>
          <w:i/>
          <w:iCs/>
        </w:rPr>
        <w:t>Ibid</w:t>
      </w:r>
      <w:r w:rsidR="00996621" w:rsidRPr="008A0FFC">
        <w:rPr>
          <w:rFonts w:cs="Arial"/>
        </w:rPr>
        <w:t>., at para 9, p. 018-5.</w:t>
      </w:r>
      <w:bookmarkEnd w:id="23"/>
    </w:p>
  </w:footnote>
  <w:footnote w:id="36">
    <w:p w14:paraId="6CB266D5" w14:textId="334AF542" w:rsidR="00F1700B" w:rsidRPr="008A0FFC" w:rsidRDefault="00F1700B"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r w:rsidRPr="008A0FFC">
        <w:rPr>
          <w:rFonts w:cs="Arial"/>
          <w:i/>
          <w:iCs/>
        </w:rPr>
        <w:t>Ibid</w:t>
      </w:r>
      <w:r w:rsidRPr="008A0FFC">
        <w:rPr>
          <w:rFonts w:cs="Arial"/>
        </w:rPr>
        <w:t>., at paras 10 and 11</w:t>
      </w:r>
      <w:r w:rsidR="00171CB0" w:rsidRPr="008A0FFC">
        <w:rPr>
          <w:rFonts w:cs="Arial"/>
        </w:rPr>
        <w:t xml:space="preserve"> can</w:t>
      </w:r>
      <w:r w:rsidRPr="008A0FFC">
        <w:rPr>
          <w:rFonts w:cs="Arial"/>
        </w:rPr>
        <w:t>, p. 018-5.</w:t>
      </w:r>
    </w:p>
  </w:footnote>
  <w:footnote w:id="37">
    <w:p w14:paraId="54A7715C" w14:textId="3F2490C0" w:rsidR="00E778AB" w:rsidRPr="008A0FFC" w:rsidRDefault="00E778AB"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t xml:space="preserve">Mr </w:t>
      </w:r>
      <w:proofErr w:type="spellStart"/>
      <w:r w:rsidRPr="008A0FFC">
        <w:rPr>
          <w:rFonts w:cs="Arial"/>
        </w:rPr>
        <w:t>Thobane</w:t>
      </w:r>
      <w:proofErr w:type="spellEnd"/>
      <w:r w:rsidRPr="008A0FFC">
        <w:rPr>
          <w:rFonts w:cs="Arial"/>
        </w:rPr>
        <w:t xml:space="preserve"> was not his attorney in </w:t>
      </w:r>
      <w:r w:rsidR="00B068B9" w:rsidRPr="008A0FFC">
        <w:rPr>
          <w:rFonts w:cs="Arial"/>
        </w:rPr>
        <w:t xml:space="preserve">and during the </w:t>
      </w:r>
      <w:r w:rsidR="00B34938" w:rsidRPr="008A0FFC">
        <w:rPr>
          <w:rFonts w:cs="Arial"/>
        </w:rPr>
        <w:t xml:space="preserve">conduct of </w:t>
      </w:r>
      <w:r w:rsidRPr="008A0FFC">
        <w:rPr>
          <w:rFonts w:cs="Arial"/>
        </w:rPr>
        <w:t>the criminal case</w:t>
      </w:r>
      <w:r w:rsidR="00111BDF" w:rsidRPr="008A0FFC">
        <w:rPr>
          <w:rFonts w:cs="Arial"/>
        </w:rPr>
        <w:t xml:space="preserve"> that had been instituted against by the NPA, and </w:t>
      </w:r>
      <w:r w:rsidR="00A634F3" w:rsidRPr="008A0FFC">
        <w:rPr>
          <w:rFonts w:cs="Arial"/>
        </w:rPr>
        <w:t xml:space="preserve">in respect of which he </w:t>
      </w:r>
      <w:r w:rsidR="00B34938" w:rsidRPr="008A0FFC">
        <w:rPr>
          <w:rFonts w:cs="Arial"/>
        </w:rPr>
        <w:t xml:space="preserve">finally </w:t>
      </w:r>
      <w:r w:rsidR="00A634F3" w:rsidRPr="008A0FFC">
        <w:rPr>
          <w:rFonts w:cs="Arial"/>
        </w:rPr>
        <w:t>was acquitted on</w:t>
      </w:r>
      <w:r w:rsidR="003A43A7" w:rsidRPr="008A0FFC">
        <w:rPr>
          <w:rFonts w:cs="Arial"/>
        </w:rPr>
        <w:t xml:space="preserve"> 4 May 2021.</w:t>
      </w:r>
    </w:p>
  </w:footnote>
  <w:footnote w:id="38">
    <w:p w14:paraId="54E717EA" w14:textId="636CD47F" w:rsidR="00BE40E3" w:rsidRPr="008A0FFC" w:rsidRDefault="00BE40E3"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bookmarkStart w:id="24" w:name="_Hlk153187579"/>
      <w:r w:rsidRPr="008A0FFC">
        <w:rPr>
          <w:rFonts w:cs="Arial"/>
          <w:i/>
          <w:iCs/>
        </w:rPr>
        <w:t>Ibid</w:t>
      </w:r>
      <w:r w:rsidRPr="008A0FFC">
        <w:rPr>
          <w:rFonts w:cs="Arial"/>
        </w:rPr>
        <w:t>., at para 12, p. 018-5.</w:t>
      </w:r>
      <w:bookmarkEnd w:id="24"/>
    </w:p>
  </w:footnote>
  <w:footnote w:id="39">
    <w:p w14:paraId="6942A057" w14:textId="1CF4ACAA" w:rsidR="00423EED" w:rsidRPr="008A0FFC" w:rsidRDefault="00423EED"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r w:rsidRPr="008A0FFC">
        <w:rPr>
          <w:rFonts w:cs="Arial"/>
          <w:i/>
          <w:iCs/>
        </w:rPr>
        <w:t>Ibid</w:t>
      </w:r>
      <w:r w:rsidRPr="008A0FFC">
        <w:rPr>
          <w:rFonts w:cs="Arial"/>
        </w:rPr>
        <w:t>., at para 13, p. 018-5.</w:t>
      </w:r>
    </w:p>
  </w:footnote>
  <w:footnote w:id="40">
    <w:p w14:paraId="15519086" w14:textId="64486D93" w:rsidR="004B64A3" w:rsidRPr="008A0FFC" w:rsidRDefault="004B64A3"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r w:rsidRPr="008A0FFC">
        <w:rPr>
          <w:rFonts w:cs="Arial"/>
          <w:i/>
          <w:iCs/>
        </w:rPr>
        <w:t>Ibid</w:t>
      </w:r>
      <w:r w:rsidRPr="008A0FFC">
        <w:rPr>
          <w:rFonts w:cs="Arial"/>
        </w:rPr>
        <w:t>., at paras 14 and 15, p. 018-5.</w:t>
      </w:r>
    </w:p>
  </w:footnote>
  <w:footnote w:id="41">
    <w:p w14:paraId="09180F26" w14:textId="41000DE9" w:rsidR="00414FF7" w:rsidRPr="008A0FFC" w:rsidRDefault="00414FF7"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proofErr w:type="spellStart"/>
      <w:r w:rsidRPr="008A0FFC">
        <w:rPr>
          <w:rFonts w:cs="Arial"/>
        </w:rPr>
        <w:t>CaseLines</w:t>
      </w:r>
      <w:proofErr w:type="spellEnd"/>
      <w:r w:rsidRPr="008A0FFC">
        <w:rPr>
          <w:rFonts w:cs="Arial"/>
        </w:rPr>
        <w:t xml:space="preserve">: Notice of opposition to the </w:t>
      </w:r>
      <w:r w:rsidR="009F16B9" w:rsidRPr="008A0FFC">
        <w:rPr>
          <w:rFonts w:cs="Arial"/>
        </w:rPr>
        <w:t>condonation application</w:t>
      </w:r>
      <w:r w:rsidRPr="008A0FFC">
        <w:rPr>
          <w:rFonts w:cs="Arial"/>
        </w:rPr>
        <w:t>: pp. 01</w:t>
      </w:r>
      <w:r w:rsidR="005357C7" w:rsidRPr="008A0FFC">
        <w:rPr>
          <w:rFonts w:cs="Arial"/>
        </w:rPr>
        <w:t>9</w:t>
      </w:r>
      <w:r w:rsidRPr="008A0FFC">
        <w:rPr>
          <w:rFonts w:cs="Arial"/>
        </w:rPr>
        <w:t>-</w:t>
      </w:r>
      <w:r w:rsidR="005357C7" w:rsidRPr="008A0FFC">
        <w:rPr>
          <w:rFonts w:cs="Arial"/>
        </w:rPr>
        <w:t>6</w:t>
      </w:r>
      <w:r w:rsidRPr="008A0FFC">
        <w:rPr>
          <w:rFonts w:cs="Arial"/>
        </w:rPr>
        <w:t xml:space="preserve"> to 01</w:t>
      </w:r>
      <w:r w:rsidR="005357C7" w:rsidRPr="008A0FFC">
        <w:rPr>
          <w:rFonts w:cs="Arial"/>
        </w:rPr>
        <w:t>9</w:t>
      </w:r>
      <w:r w:rsidRPr="008A0FFC">
        <w:rPr>
          <w:rFonts w:cs="Arial"/>
        </w:rPr>
        <w:t>-</w:t>
      </w:r>
      <w:r w:rsidR="005357C7" w:rsidRPr="008A0FFC">
        <w:rPr>
          <w:rFonts w:cs="Arial"/>
        </w:rPr>
        <w:t>10</w:t>
      </w:r>
      <w:r w:rsidRPr="008A0FFC">
        <w:rPr>
          <w:rFonts w:cs="Arial"/>
        </w:rPr>
        <w:t>.</w:t>
      </w:r>
    </w:p>
  </w:footnote>
  <w:footnote w:id="42">
    <w:p w14:paraId="24EEC965" w14:textId="1F41D318" w:rsidR="008B36C3" w:rsidRPr="008A0FFC" w:rsidRDefault="008B36C3"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t>See para [2] above.</w:t>
      </w:r>
    </w:p>
  </w:footnote>
  <w:footnote w:id="43">
    <w:p w14:paraId="21088741" w14:textId="56E75EB8" w:rsidR="0040212E" w:rsidRPr="008A0FFC" w:rsidRDefault="0040212E" w:rsidP="008A0FFC">
      <w:pPr>
        <w:pStyle w:val="FootnoteText"/>
        <w:rPr>
          <w:rFonts w:cs="Arial"/>
        </w:rPr>
      </w:pPr>
      <w:r w:rsidRPr="008A0FFC">
        <w:rPr>
          <w:rStyle w:val="FootnoteReference"/>
          <w:rFonts w:cs="Arial"/>
        </w:rPr>
        <w:footnoteRef/>
      </w:r>
      <w:r w:rsidRPr="008A0FFC">
        <w:rPr>
          <w:rFonts w:cs="Arial"/>
        </w:rPr>
        <w:t xml:space="preserve"> </w:t>
      </w:r>
      <w:r w:rsidR="00F56C11" w:rsidRPr="008A0FFC">
        <w:rPr>
          <w:rFonts w:cs="Arial"/>
        </w:rPr>
        <w:tab/>
      </w:r>
      <w:proofErr w:type="spellStart"/>
      <w:r w:rsidR="00032359" w:rsidRPr="008A0FFC">
        <w:rPr>
          <w:rFonts w:cs="Arial"/>
        </w:rPr>
        <w:t>CaseLines</w:t>
      </w:r>
      <w:proofErr w:type="spellEnd"/>
      <w:r w:rsidR="00032359" w:rsidRPr="008A0FFC">
        <w:rPr>
          <w:rFonts w:cs="Arial"/>
        </w:rPr>
        <w:t xml:space="preserve">: Notice of opposition to the </w:t>
      </w:r>
      <w:r w:rsidR="009F16B9" w:rsidRPr="008A0FFC">
        <w:rPr>
          <w:rFonts w:cs="Arial"/>
        </w:rPr>
        <w:t>condonation application</w:t>
      </w:r>
      <w:r w:rsidR="00032359" w:rsidRPr="008A0FFC">
        <w:rPr>
          <w:rFonts w:cs="Arial"/>
        </w:rPr>
        <w:t xml:space="preserve">: </w:t>
      </w:r>
      <w:r w:rsidR="00F56C11" w:rsidRPr="008A0FFC">
        <w:rPr>
          <w:rFonts w:cs="Arial"/>
        </w:rPr>
        <w:t xml:space="preserve">paras 1 </w:t>
      </w:r>
      <w:r w:rsidR="008E427C" w:rsidRPr="008A0FFC">
        <w:rPr>
          <w:rFonts w:cs="Arial"/>
        </w:rPr>
        <w:t>to 16</w:t>
      </w:r>
      <w:r w:rsidR="00F56C11" w:rsidRPr="008A0FFC">
        <w:rPr>
          <w:rFonts w:cs="Arial"/>
        </w:rPr>
        <w:t>, p</w:t>
      </w:r>
      <w:r w:rsidR="008E427C" w:rsidRPr="008A0FFC">
        <w:rPr>
          <w:rFonts w:cs="Arial"/>
        </w:rPr>
        <w:t>p</w:t>
      </w:r>
      <w:r w:rsidR="00F56C11" w:rsidRPr="008A0FFC">
        <w:rPr>
          <w:rFonts w:cs="Arial"/>
        </w:rPr>
        <w:t>. 01</w:t>
      </w:r>
      <w:r w:rsidR="008E427C" w:rsidRPr="008A0FFC">
        <w:rPr>
          <w:rFonts w:cs="Arial"/>
        </w:rPr>
        <w:t>9</w:t>
      </w:r>
      <w:r w:rsidR="00F56C11" w:rsidRPr="008A0FFC">
        <w:rPr>
          <w:rFonts w:cs="Arial"/>
        </w:rPr>
        <w:t>-</w:t>
      </w:r>
      <w:r w:rsidR="008E427C" w:rsidRPr="008A0FFC">
        <w:rPr>
          <w:rFonts w:cs="Arial"/>
        </w:rPr>
        <w:t xml:space="preserve">7 to </w:t>
      </w:r>
      <w:r w:rsidR="001F594F" w:rsidRPr="008A0FFC">
        <w:rPr>
          <w:rFonts w:cs="Arial"/>
        </w:rPr>
        <w:t>19-9</w:t>
      </w:r>
      <w:r w:rsidR="00F56C11" w:rsidRPr="008A0FFC">
        <w:rPr>
          <w:rFonts w:cs="Arial"/>
        </w:rPr>
        <w:t>.</w:t>
      </w:r>
    </w:p>
  </w:footnote>
  <w:footnote w:id="44">
    <w:p w14:paraId="0E8C3074" w14:textId="17C72A4A" w:rsidR="002C5791" w:rsidRPr="008A0FFC" w:rsidRDefault="002C5791" w:rsidP="008A0FFC">
      <w:pPr>
        <w:pStyle w:val="FootnoteText"/>
        <w:rPr>
          <w:rFonts w:cs="Arial"/>
        </w:rPr>
      </w:pPr>
      <w:r w:rsidRPr="008A0FFC">
        <w:rPr>
          <w:rStyle w:val="FootnoteReference"/>
          <w:rFonts w:cs="Arial"/>
        </w:rPr>
        <w:footnoteRef/>
      </w:r>
      <w:r w:rsidRPr="008A0FFC">
        <w:rPr>
          <w:rFonts w:cs="Arial"/>
        </w:rPr>
        <w:t xml:space="preserve"> </w:t>
      </w:r>
      <w:r w:rsidR="003464C1" w:rsidRPr="008A0FFC">
        <w:rPr>
          <w:rFonts w:cs="Arial"/>
        </w:rPr>
        <w:tab/>
      </w:r>
      <w:bookmarkStart w:id="28" w:name="_Hlk156902381"/>
      <w:r w:rsidR="003464C1" w:rsidRPr="008A0FFC">
        <w:rPr>
          <w:rFonts w:cs="Arial"/>
          <w:i/>
          <w:iCs/>
        </w:rPr>
        <w:t>Ibid</w:t>
      </w:r>
      <w:r w:rsidR="003464C1" w:rsidRPr="008A0FFC">
        <w:rPr>
          <w:rFonts w:cs="Arial"/>
        </w:rPr>
        <w:t>.,</w:t>
      </w:r>
      <w:r w:rsidR="00731020" w:rsidRPr="008A0FFC">
        <w:rPr>
          <w:rFonts w:cs="Arial"/>
        </w:rPr>
        <w:t xml:space="preserve"> at paras </w:t>
      </w:r>
      <w:r w:rsidR="0018115E" w:rsidRPr="008A0FFC">
        <w:rPr>
          <w:rFonts w:cs="Arial"/>
        </w:rPr>
        <w:t>4</w:t>
      </w:r>
      <w:r w:rsidR="007251DE" w:rsidRPr="008A0FFC">
        <w:rPr>
          <w:rFonts w:cs="Arial"/>
        </w:rPr>
        <w:t xml:space="preserve">, </w:t>
      </w:r>
      <w:r w:rsidR="0018115E" w:rsidRPr="008A0FFC">
        <w:rPr>
          <w:rFonts w:cs="Arial"/>
        </w:rPr>
        <w:t>5</w:t>
      </w:r>
      <w:r w:rsidR="007251DE" w:rsidRPr="008A0FFC">
        <w:rPr>
          <w:rFonts w:cs="Arial"/>
        </w:rPr>
        <w:t xml:space="preserve"> and 8</w:t>
      </w:r>
      <w:r w:rsidR="0018115E" w:rsidRPr="008A0FFC">
        <w:rPr>
          <w:rFonts w:cs="Arial"/>
        </w:rPr>
        <w:t xml:space="preserve">, pp. </w:t>
      </w:r>
      <w:r w:rsidR="009B2A88" w:rsidRPr="008A0FFC">
        <w:rPr>
          <w:rFonts w:cs="Arial"/>
        </w:rPr>
        <w:t>019-7</w:t>
      </w:r>
      <w:r w:rsidR="00DB097C" w:rsidRPr="008A0FFC">
        <w:rPr>
          <w:rFonts w:cs="Arial"/>
        </w:rPr>
        <w:t xml:space="preserve"> and 019-8</w:t>
      </w:r>
      <w:r w:rsidR="009B2A88" w:rsidRPr="008A0FFC">
        <w:rPr>
          <w:rFonts w:cs="Arial"/>
        </w:rPr>
        <w:t>.</w:t>
      </w:r>
      <w:bookmarkEnd w:id="28"/>
    </w:p>
  </w:footnote>
  <w:footnote w:id="45">
    <w:p w14:paraId="021DDF90" w14:textId="74595ACE" w:rsidR="00BE4E08" w:rsidRPr="008A0FFC" w:rsidRDefault="00BE4E08"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bookmarkStart w:id="31" w:name="_Hlk156904212"/>
      <w:r w:rsidRPr="008A0FFC">
        <w:rPr>
          <w:rFonts w:cs="Arial"/>
          <w:i/>
          <w:iCs/>
        </w:rPr>
        <w:t>Ibid</w:t>
      </w:r>
      <w:r w:rsidRPr="008A0FFC">
        <w:rPr>
          <w:rFonts w:cs="Arial"/>
        </w:rPr>
        <w:t>., at para</w:t>
      </w:r>
      <w:r w:rsidR="00B80FCE" w:rsidRPr="008A0FFC">
        <w:rPr>
          <w:rFonts w:cs="Arial"/>
        </w:rPr>
        <w:t xml:space="preserve"> 7</w:t>
      </w:r>
      <w:r w:rsidR="00072F5C" w:rsidRPr="008A0FFC">
        <w:rPr>
          <w:rFonts w:cs="Arial"/>
        </w:rPr>
        <w:t xml:space="preserve">, </w:t>
      </w:r>
      <w:r w:rsidRPr="008A0FFC">
        <w:rPr>
          <w:rFonts w:cs="Arial"/>
        </w:rPr>
        <w:t>p. 019-8.</w:t>
      </w:r>
      <w:bookmarkEnd w:id="31"/>
    </w:p>
  </w:footnote>
  <w:footnote w:id="46">
    <w:p w14:paraId="6FEA5EB0" w14:textId="16B854AF" w:rsidR="002F5BCB" w:rsidRPr="008A0FFC" w:rsidRDefault="002F5BCB"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t xml:space="preserve">The reference to s 11 (c) </w:t>
      </w:r>
      <w:r w:rsidR="006F312E" w:rsidRPr="008A0FFC">
        <w:rPr>
          <w:rFonts w:cs="Arial"/>
        </w:rPr>
        <w:t xml:space="preserve">in the notice of opposition </w:t>
      </w:r>
      <w:r w:rsidR="00443105" w:rsidRPr="008A0FFC">
        <w:rPr>
          <w:rFonts w:cs="Arial"/>
        </w:rPr>
        <w:t xml:space="preserve">is self-evidently incorrect.  Ms </w:t>
      </w:r>
      <w:proofErr w:type="spellStart"/>
      <w:r w:rsidR="00443105" w:rsidRPr="008A0FFC">
        <w:rPr>
          <w:rFonts w:cs="Arial"/>
        </w:rPr>
        <w:t>Ramsurjoo</w:t>
      </w:r>
      <w:proofErr w:type="spellEnd"/>
      <w:r w:rsidR="00443105" w:rsidRPr="008A0FFC">
        <w:rPr>
          <w:rFonts w:cs="Arial"/>
        </w:rPr>
        <w:t xml:space="preserve"> </w:t>
      </w:r>
      <w:r w:rsidR="00F40DCC" w:rsidRPr="008A0FFC">
        <w:rPr>
          <w:rFonts w:cs="Arial"/>
        </w:rPr>
        <w:t>obviously intended to refer to s 11 (d) of the Prescription Act.</w:t>
      </w:r>
    </w:p>
  </w:footnote>
  <w:footnote w:id="47">
    <w:p w14:paraId="3E186B72" w14:textId="7F8C826A" w:rsidR="00E22A95" w:rsidRPr="008A0FFC" w:rsidRDefault="00E22A95"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r w:rsidRPr="008A0FFC">
        <w:rPr>
          <w:rFonts w:cs="Arial"/>
          <w:i/>
          <w:iCs/>
        </w:rPr>
        <w:t>Ibid</w:t>
      </w:r>
      <w:r w:rsidRPr="008A0FFC">
        <w:rPr>
          <w:rFonts w:cs="Arial"/>
        </w:rPr>
        <w:t xml:space="preserve">., at para </w:t>
      </w:r>
      <w:r w:rsidR="00EC7460" w:rsidRPr="008A0FFC">
        <w:rPr>
          <w:rFonts w:cs="Arial"/>
        </w:rPr>
        <w:t>6</w:t>
      </w:r>
      <w:r w:rsidRPr="008A0FFC">
        <w:rPr>
          <w:rFonts w:cs="Arial"/>
        </w:rPr>
        <w:t>, p. 019-</w:t>
      </w:r>
      <w:r w:rsidR="00EC7460" w:rsidRPr="008A0FFC">
        <w:rPr>
          <w:rFonts w:cs="Arial"/>
        </w:rPr>
        <w:t>7</w:t>
      </w:r>
      <w:r w:rsidRPr="008A0FFC">
        <w:rPr>
          <w:rFonts w:cs="Arial"/>
        </w:rPr>
        <w:t>.</w:t>
      </w:r>
    </w:p>
  </w:footnote>
  <w:footnote w:id="48">
    <w:p w14:paraId="564382CE" w14:textId="749375C1" w:rsidR="000F61ED" w:rsidRPr="008A0FFC" w:rsidRDefault="000F61ED"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r w:rsidRPr="008A0FFC">
        <w:rPr>
          <w:rFonts w:cs="Arial"/>
          <w:i/>
          <w:iCs/>
        </w:rPr>
        <w:t>Ibid</w:t>
      </w:r>
      <w:r w:rsidRPr="008A0FFC">
        <w:rPr>
          <w:rFonts w:cs="Arial"/>
        </w:rPr>
        <w:t xml:space="preserve">., at paras </w:t>
      </w:r>
      <w:r w:rsidR="007348BD" w:rsidRPr="008A0FFC">
        <w:rPr>
          <w:rFonts w:cs="Arial"/>
        </w:rPr>
        <w:t>9 to 15</w:t>
      </w:r>
      <w:r w:rsidRPr="008A0FFC">
        <w:rPr>
          <w:rFonts w:cs="Arial"/>
        </w:rPr>
        <w:t>, pp. 019-</w:t>
      </w:r>
      <w:r w:rsidR="007348BD" w:rsidRPr="008A0FFC">
        <w:rPr>
          <w:rFonts w:cs="Arial"/>
        </w:rPr>
        <w:t>8</w:t>
      </w:r>
      <w:r w:rsidRPr="008A0FFC">
        <w:rPr>
          <w:rFonts w:cs="Arial"/>
        </w:rPr>
        <w:t xml:space="preserve"> and 019-</w:t>
      </w:r>
      <w:r w:rsidR="007348BD" w:rsidRPr="008A0FFC">
        <w:rPr>
          <w:rFonts w:cs="Arial"/>
        </w:rPr>
        <w:t>9</w:t>
      </w:r>
      <w:r w:rsidRPr="008A0FFC">
        <w:rPr>
          <w:rFonts w:cs="Arial"/>
        </w:rPr>
        <w:t>.</w:t>
      </w:r>
      <w:r w:rsidR="007348BD" w:rsidRPr="008A0FFC">
        <w:rPr>
          <w:rFonts w:cs="Arial"/>
        </w:rPr>
        <w:t xml:space="preserve">  </w:t>
      </w:r>
      <w:r w:rsidR="00180C6A" w:rsidRPr="008A0FFC">
        <w:rPr>
          <w:rFonts w:cs="Arial"/>
        </w:rPr>
        <w:t>However</w:t>
      </w:r>
      <w:r w:rsidR="00A374D3" w:rsidRPr="008A0FFC">
        <w:rPr>
          <w:rFonts w:cs="Arial"/>
        </w:rPr>
        <w:t xml:space="preserve">, as mentioned in para [9] above, </w:t>
      </w:r>
      <w:r w:rsidR="00B537ED" w:rsidRPr="008A0FFC">
        <w:rPr>
          <w:rFonts w:cs="Arial"/>
        </w:rPr>
        <w:t xml:space="preserve">the summons was served on the Minister on 23 February 2023.  </w:t>
      </w:r>
      <w:r w:rsidR="00C5284E" w:rsidRPr="008A0FFC">
        <w:rPr>
          <w:rFonts w:cs="Arial"/>
        </w:rPr>
        <w:t xml:space="preserve">This being the case, it can only mean that </w:t>
      </w:r>
      <w:r w:rsidR="005025BC" w:rsidRPr="008A0FFC">
        <w:rPr>
          <w:rFonts w:cs="Arial"/>
        </w:rPr>
        <w:t xml:space="preserve">the notice of opposition was drawn by Ms </w:t>
      </w:r>
      <w:proofErr w:type="spellStart"/>
      <w:r w:rsidR="005025BC" w:rsidRPr="008A0FFC">
        <w:rPr>
          <w:rFonts w:cs="Arial"/>
        </w:rPr>
        <w:t>R</w:t>
      </w:r>
      <w:r w:rsidR="00285614" w:rsidRPr="008A0FFC">
        <w:rPr>
          <w:rFonts w:cs="Arial"/>
        </w:rPr>
        <w:t>amsurjoo</w:t>
      </w:r>
      <w:proofErr w:type="spellEnd"/>
      <w:r w:rsidR="00285614" w:rsidRPr="008A0FFC">
        <w:rPr>
          <w:rFonts w:cs="Arial"/>
        </w:rPr>
        <w:t xml:space="preserve"> prior to such service, alternatively that she was </w:t>
      </w:r>
      <w:r w:rsidR="00F3226B" w:rsidRPr="008A0FFC">
        <w:rPr>
          <w:rFonts w:cs="Arial"/>
        </w:rPr>
        <w:t>unaware of such service at the time she drew and finalised the notice of opposition.</w:t>
      </w:r>
    </w:p>
  </w:footnote>
  <w:footnote w:id="49">
    <w:p w14:paraId="028AC189" w14:textId="44C41D94" w:rsidR="000F5406" w:rsidRPr="008A0FFC" w:rsidRDefault="000F5406"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bookmarkStart w:id="37" w:name="_Hlk156640771"/>
      <w:r w:rsidR="00FE4A66" w:rsidRPr="008A0FFC">
        <w:rPr>
          <w:rFonts w:cs="Arial"/>
        </w:rPr>
        <w:t>The expression '</w:t>
      </w:r>
      <w:r w:rsidR="00B26096" w:rsidRPr="008A0FFC">
        <w:rPr>
          <w:rFonts w:cs="Arial"/>
          <w:i/>
          <w:iCs/>
        </w:rPr>
        <w:t>creditor</w:t>
      </w:r>
      <w:r w:rsidR="00B26096" w:rsidRPr="008A0FFC">
        <w:rPr>
          <w:rFonts w:cs="Arial"/>
        </w:rPr>
        <w:t>' is defined in s</w:t>
      </w:r>
      <w:r w:rsidR="00D3432D" w:rsidRPr="008A0FFC">
        <w:rPr>
          <w:rFonts w:cs="Arial"/>
        </w:rPr>
        <w:t> </w:t>
      </w:r>
      <w:r w:rsidR="00B26096" w:rsidRPr="008A0FFC">
        <w:rPr>
          <w:rFonts w:cs="Arial"/>
        </w:rPr>
        <w:t>1 of the</w:t>
      </w:r>
      <w:r w:rsidR="00D3432D" w:rsidRPr="008A0FFC">
        <w:rPr>
          <w:rFonts w:cs="Arial"/>
        </w:rPr>
        <w:t xml:space="preserve"> ILPA</w:t>
      </w:r>
      <w:r w:rsidR="00910864" w:rsidRPr="008A0FFC">
        <w:rPr>
          <w:rFonts w:cs="Arial"/>
        </w:rPr>
        <w:t xml:space="preserve"> to</w:t>
      </w:r>
      <w:r w:rsidR="00D3432D" w:rsidRPr="008A0FFC">
        <w:rPr>
          <w:rFonts w:cs="Arial"/>
        </w:rPr>
        <w:t xml:space="preserve"> </w:t>
      </w:r>
      <w:r w:rsidR="00394008" w:rsidRPr="008A0FFC">
        <w:rPr>
          <w:rFonts w:cs="Arial"/>
        </w:rPr>
        <w:t>mean</w:t>
      </w:r>
      <w:r w:rsidR="00910864" w:rsidRPr="008A0FFC">
        <w:rPr>
          <w:rFonts w:cs="Arial"/>
        </w:rPr>
        <w:t>: '…</w:t>
      </w:r>
      <w:r w:rsidR="00394008" w:rsidRPr="008A0FFC">
        <w:rPr>
          <w:rFonts w:cs="Arial"/>
        </w:rPr>
        <w:t xml:space="preserve"> </w:t>
      </w:r>
      <w:bookmarkEnd w:id="37"/>
      <w:r w:rsidR="00394008" w:rsidRPr="008A0FFC">
        <w:rPr>
          <w:rFonts w:cs="Arial"/>
          <w:b/>
          <w:bCs/>
        </w:rPr>
        <w:t>a person who intends to institute legal proceedings against an organ of state for the recovery of a debt</w:t>
      </w:r>
      <w:r w:rsidR="00394008" w:rsidRPr="008A0FFC">
        <w:rPr>
          <w:rFonts w:cs="Arial"/>
        </w:rPr>
        <w:t xml:space="preserve"> or </w:t>
      </w:r>
      <w:r w:rsidR="00394008" w:rsidRPr="008A0FFC">
        <w:rPr>
          <w:rFonts w:cs="Arial"/>
          <w:b/>
          <w:bCs/>
        </w:rPr>
        <w:t>who has instituted such proceedings</w:t>
      </w:r>
      <w:r w:rsidR="00DE3E6A" w:rsidRPr="008A0FFC">
        <w:rPr>
          <w:rFonts w:cs="Arial"/>
        </w:rPr>
        <w:t>,</w:t>
      </w:r>
      <w:r w:rsidR="00394008" w:rsidRPr="008A0FFC">
        <w:rPr>
          <w:rFonts w:cs="Arial"/>
        </w:rPr>
        <w:t xml:space="preserve"> and includes such person’s tutor or curator if such person is a minor or mentally ill or under curatorship, as the case may be</w:t>
      </w:r>
      <w:r w:rsidR="00FF381D" w:rsidRPr="008A0FFC">
        <w:rPr>
          <w:rFonts w:cs="Arial"/>
        </w:rPr>
        <w:t>.'</w:t>
      </w:r>
      <w:r w:rsidR="00CC6967" w:rsidRPr="008A0FFC">
        <w:rPr>
          <w:rFonts w:cs="Arial"/>
        </w:rPr>
        <w:t xml:space="preserve">  (Own emphasis).</w:t>
      </w:r>
    </w:p>
  </w:footnote>
  <w:footnote w:id="50">
    <w:p w14:paraId="0DFC09DF" w14:textId="7BEEB570" w:rsidR="00FF33FC" w:rsidRPr="008A0FFC" w:rsidRDefault="008A40E2"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r w:rsidR="00BA72C1" w:rsidRPr="008A0FFC">
        <w:rPr>
          <w:rFonts w:cs="Arial"/>
        </w:rPr>
        <w:t>The expression '</w:t>
      </w:r>
      <w:r w:rsidR="003B3C68" w:rsidRPr="008A0FFC">
        <w:rPr>
          <w:rFonts w:cs="Arial"/>
          <w:i/>
          <w:iCs/>
        </w:rPr>
        <w:t>organ of state</w:t>
      </w:r>
      <w:r w:rsidR="00BA72C1" w:rsidRPr="008A0FFC">
        <w:rPr>
          <w:rFonts w:cs="Arial"/>
        </w:rPr>
        <w:t>'</w:t>
      </w:r>
      <w:r w:rsidR="000765FA" w:rsidRPr="008A0FFC">
        <w:rPr>
          <w:rFonts w:cs="Arial"/>
        </w:rPr>
        <w:t xml:space="preserve"> </w:t>
      </w:r>
      <w:r w:rsidR="003E3BE4" w:rsidRPr="008A0FFC">
        <w:rPr>
          <w:rFonts w:cs="Arial"/>
        </w:rPr>
        <w:t xml:space="preserve">- insofar as it is relevant in the present matter - </w:t>
      </w:r>
      <w:r w:rsidR="000765FA" w:rsidRPr="008A0FFC">
        <w:rPr>
          <w:rFonts w:cs="Arial"/>
        </w:rPr>
        <w:t>is defined in s 1 of the ILPA to</w:t>
      </w:r>
      <w:r w:rsidR="003B3C68" w:rsidRPr="008A0FFC">
        <w:rPr>
          <w:rFonts w:cs="Arial"/>
        </w:rPr>
        <w:t xml:space="preserve"> mean</w:t>
      </w:r>
      <w:r w:rsidR="00FF33FC" w:rsidRPr="008A0FFC">
        <w:rPr>
          <w:rFonts w:cs="Arial"/>
        </w:rPr>
        <w:t xml:space="preserve"> </w:t>
      </w:r>
      <w:r w:rsidR="00AF6F98" w:rsidRPr="008A0FFC">
        <w:rPr>
          <w:rFonts w:cs="Arial"/>
        </w:rPr>
        <w:t xml:space="preserve">- </w:t>
      </w:r>
    </w:p>
    <w:p w14:paraId="2D723AB4" w14:textId="1859704F" w:rsidR="003B3C68" w:rsidRPr="008A0FFC" w:rsidRDefault="00056546" w:rsidP="008A0FFC">
      <w:pPr>
        <w:pStyle w:val="FootnoteText"/>
        <w:tabs>
          <w:tab w:val="clear" w:pos="426"/>
          <w:tab w:val="left" w:pos="709"/>
        </w:tabs>
        <w:ind w:left="709" w:firstLine="0"/>
        <w:rPr>
          <w:rFonts w:cs="Arial"/>
        </w:rPr>
      </w:pPr>
      <w:r w:rsidRPr="008A0FFC">
        <w:rPr>
          <w:rFonts w:cs="Arial"/>
          <w:i/>
          <w:iCs/>
        </w:rPr>
        <w:t>'(</w:t>
      </w:r>
      <w:r w:rsidR="00B32DE9" w:rsidRPr="008A0FFC">
        <w:rPr>
          <w:rFonts w:cs="Arial"/>
          <w:i/>
          <w:iCs/>
        </w:rPr>
        <w:t>a)</w:t>
      </w:r>
      <w:r w:rsidR="00B32DE9" w:rsidRPr="008A0FFC">
        <w:rPr>
          <w:rFonts w:cs="Arial"/>
          <w:i/>
          <w:iCs/>
        </w:rPr>
        <w:tab/>
      </w:r>
      <w:r w:rsidR="003B3C68" w:rsidRPr="008A0FFC">
        <w:rPr>
          <w:rFonts w:cs="Arial"/>
          <w:b/>
          <w:bCs/>
        </w:rPr>
        <w:t>any national or provincial department</w:t>
      </w:r>
      <w:r w:rsidR="003B3C68" w:rsidRPr="008A0FFC">
        <w:rPr>
          <w:rFonts w:cs="Arial"/>
        </w:rPr>
        <w:t>;</w:t>
      </w:r>
    </w:p>
    <w:p w14:paraId="6395A7CE" w14:textId="054AA078" w:rsidR="007C77C6" w:rsidRPr="008A0FFC" w:rsidRDefault="007F700D" w:rsidP="007F700D">
      <w:pPr>
        <w:pStyle w:val="FootnoteText"/>
        <w:tabs>
          <w:tab w:val="clear" w:pos="426"/>
          <w:tab w:val="left" w:pos="709"/>
        </w:tabs>
        <w:ind w:left="1418" w:hanging="709"/>
        <w:rPr>
          <w:rFonts w:cs="Arial"/>
        </w:rPr>
      </w:pPr>
      <w:r w:rsidRPr="008A0FFC">
        <w:rPr>
          <w:rFonts w:cs="Arial"/>
          <w:i/>
          <w:iCs/>
        </w:rPr>
        <w:t>(b)</w:t>
      </w:r>
      <w:r w:rsidRPr="008A0FFC">
        <w:rPr>
          <w:rFonts w:cs="Arial"/>
          <w:i/>
          <w:iCs/>
        </w:rPr>
        <w:tab/>
      </w:r>
      <w:r w:rsidR="007C77C6" w:rsidRPr="008A0FFC">
        <w:rPr>
          <w:rFonts w:cs="Arial"/>
        </w:rPr>
        <w:t>…;</w:t>
      </w:r>
    </w:p>
    <w:p w14:paraId="229EEAB3" w14:textId="5EC9F862" w:rsidR="003B3C68" w:rsidRPr="008A0FFC" w:rsidRDefault="007F700D" w:rsidP="007F700D">
      <w:pPr>
        <w:pStyle w:val="FootnoteText"/>
        <w:tabs>
          <w:tab w:val="clear" w:pos="426"/>
        </w:tabs>
        <w:ind w:left="1418" w:hanging="709"/>
        <w:rPr>
          <w:rFonts w:cs="Arial"/>
        </w:rPr>
      </w:pPr>
      <w:r w:rsidRPr="008A0FFC">
        <w:rPr>
          <w:rFonts w:cs="Arial"/>
          <w:i/>
          <w:iCs/>
        </w:rPr>
        <w:t>(c)</w:t>
      </w:r>
      <w:r w:rsidRPr="008A0FFC">
        <w:rPr>
          <w:rFonts w:cs="Arial"/>
          <w:i/>
          <w:iCs/>
        </w:rPr>
        <w:tab/>
      </w:r>
      <w:r w:rsidR="007C77C6" w:rsidRPr="008A0FFC">
        <w:rPr>
          <w:rFonts w:cs="Arial"/>
          <w:b/>
          <w:bCs/>
        </w:rPr>
        <w:t>a</w:t>
      </w:r>
      <w:r w:rsidR="003B3C68" w:rsidRPr="008A0FFC">
        <w:rPr>
          <w:rFonts w:cs="Arial"/>
          <w:b/>
          <w:bCs/>
        </w:rPr>
        <w:t>ny functionary or institution exercising a power or performing a function in terms of the Constitution</w:t>
      </w:r>
      <w:r w:rsidR="003B3C68" w:rsidRPr="008A0FFC">
        <w:rPr>
          <w:rFonts w:cs="Arial"/>
        </w:rPr>
        <w:t>, or a provincial constitution referred to in section 142 of the Constitution;</w:t>
      </w:r>
    </w:p>
    <w:p w14:paraId="77138318" w14:textId="304193A5" w:rsidR="00AE5D32" w:rsidRPr="008A0FFC" w:rsidRDefault="007F700D" w:rsidP="007F700D">
      <w:pPr>
        <w:pStyle w:val="FootnoteText"/>
        <w:tabs>
          <w:tab w:val="clear" w:pos="426"/>
        </w:tabs>
        <w:ind w:left="1418" w:hanging="709"/>
        <w:rPr>
          <w:rFonts w:cs="Arial"/>
        </w:rPr>
      </w:pPr>
      <w:r w:rsidRPr="008A0FFC">
        <w:rPr>
          <w:rFonts w:cs="Arial"/>
          <w:i/>
          <w:iCs/>
        </w:rPr>
        <w:t>(d)</w:t>
      </w:r>
      <w:r w:rsidRPr="008A0FFC">
        <w:rPr>
          <w:rFonts w:cs="Arial"/>
          <w:i/>
          <w:iCs/>
        </w:rPr>
        <w:tab/>
      </w:r>
      <w:r w:rsidR="00AE5D32" w:rsidRPr="008A0FFC">
        <w:rPr>
          <w:rFonts w:cs="Arial"/>
        </w:rPr>
        <w:t>…;</w:t>
      </w:r>
    </w:p>
    <w:p w14:paraId="7FA64C4D" w14:textId="7B882007" w:rsidR="00AA2CAB" w:rsidRPr="008A0FFC" w:rsidRDefault="007F700D" w:rsidP="007F700D">
      <w:pPr>
        <w:pStyle w:val="FootnoteText"/>
        <w:tabs>
          <w:tab w:val="clear" w:pos="426"/>
        </w:tabs>
        <w:ind w:left="1418" w:hanging="709"/>
        <w:rPr>
          <w:rFonts w:cs="Arial"/>
        </w:rPr>
      </w:pPr>
      <w:r w:rsidRPr="008A0FFC">
        <w:rPr>
          <w:rFonts w:cs="Arial"/>
          <w:i/>
          <w:iCs/>
        </w:rPr>
        <w:t>(e)</w:t>
      </w:r>
      <w:r w:rsidRPr="008A0FFC">
        <w:rPr>
          <w:rFonts w:cs="Arial"/>
          <w:i/>
          <w:iCs/>
        </w:rPr>
        <w:tab/>
      </w:r>
      <w:r w:rsidR="00AA2CAB" w:rsidRPr="008A0FFC">
        <w:rPr>
          <w:rFonts w:cs="Arial"/>
        </w:rPr>
        <w:t>…;</w:t>
      </w:r>
    </w:p>
    <w:p w14:paraId="35951CA3" w14:textId="1F50D856" w:rsidR="00DD433A" w:rsidRPr="008A0FFC" w:rsidRDefault="007F700D" w:rsidP="007F700D">
      <w:pPr>
        <w:pStyle w:val="FootnoteText"/>
        <w:tabs>
          <w:tab w:val="clear" w:pos="426"/>
        </w:tabs>
        <w:ind w:left="1418" w:hanging="709"/>
        <w:rPr>
          <w:rFonts w:cs="Arial"/>
        </w:rPr>
      </w:pPr>
      <w:r w:rsidRPr="008A0FFC">
        <w:rPr>
          <w:rFonts w:cs="Arial"/>
          <w:i/>
          <w:iCs/>
        </w:rPr>
        <w:t>(f)</w:t>
      </w:r>
      <w:r w:rsidRPr="008A0FFC">
        <w:rPr>
          <w:rFonts w:cs="Arial"/>
          <w:i/>
          <w:iCs/>
        </w:rPr>
        <w:tab/>
      </w:r>
      <w:r w:rsidR="00AA2CAB" w:rsidRPr="008A0FFC">
        <w:rPr>
          <w:rFonts w:cs="Arial"/>
        </w:rPr>
        <w:t>…; and</w:t>
      </w:r>
    </w:p>
    <w:p w14:paraId="7962D91A" w14:textId="023751FC" w:rsidR="00C709FB" w:rsidRPr="008A0FFC" w:rsidRDefault="007F700D" w:rsidP="007F700D">
      <w:pPr>
        <w:pStyle w:val="FootnoteText"/>
        <w:tabs>
          <w:tab w:val="clear" w:pos="426"/>
        </w:tabs>
        <w:ind w:left="1418" w:hanging="709"/>
        <w:rPr>
          <w:rFonts w:cs="Arial"/>
        </w:rPr>
      </w:pPr>
      <w:r w:rsidRPr="008A0FFC">
        <w:rPr>
          <w:rFonts w:cs="Arial"/>
          <w:i/>
          <w:iCs/>
        </w:rPr>
        <w:t>(g)</w:t>
      </w:r>
      <w:r w:rsidRPr="008A0FFC">
        <w:rPr>
          <w:rFonts w:cs="Arial"/>
          <w:i/>
          <w:iCs/>
        </w:rPr>
        <w:tab/>
      </w:r>
      <w:r w:rsidR="003B3C68" w:rsidRPr="008A0FFC">
        <w:rPr>
          <w:rFonts w:cs="Arial"/>
          <w:b/>
          <w:bCs/>
        </w:rPr>
        <w:t>any person for whose debt an organ of state contemplated in paragraphs (a) to (f) is liable</w:t>
      </w:r>
      <w:r w:rsidR="00DD433A" w:rsidRPr="008A0FFC">
        <w:rPr>
          <w:rFonts w:cs="Arial"/>
        </w:rPr>
        <w:t>.</w:t>
      </w:r>
      <w:r w:rsidR="003B5967" w:rsidRPr="008A0FFC">
        <w:rPr>
          <w:rFonts w:cs="Arial"/>
        </w:rPr>
        <w:t>'</w:t>
      </w:r>
      <w:r w:rsidR="00E51ACD" w:rsidRPr="008A0FFC">
        <w:rPr>
          <w:rFonts w:cs="Arial"/>
        </w:rPr>
        <w:t xml:space="preserve"> </w:t>
      </w:r>
    </w:p>
    <w:p w14:paraId="7C5020D8" w14:textId="07022C1C" w:rsidR="008A40E2" w:rsidRPr="008A0FFC" w:rsidRDefault="00E51ACD" w:rsidP="008A0FFC">
      <w:pPr>
        <w:pStyle w:val="FootnoteText"/>
        <w:tabs>
          <w:tab w:val="clear" w:pos="426"/>
        </w:tabs>
        <w:ind w:left="709" w:firstLine="0"/>
        <w:rPr>
          <w:rFonts w:cs="Arial"/>
        </w:rPr>
      </w:pPr>
      <w:r w:rsidRPr="008A0FFC">
        <w:rPr>
          <w:rFonts w:cs="Arial"/>
        </w:rPr>
        <w:t>(</w:t>
      </w:r>
      <w:r w:rsidR="002C6E66" w:rsidRPr="008A0FFC">
        <w:rPr>
          <w:rFonts w:cs="Arial"/>
        </w:rPr>
        <w:t xml:space="preserve">Own </w:t>
      </w:r>
      <w:r w:rsidRPr="008A0FFC">
        <w:rPr>
          <w:rFonts w:cs="Arial"/>
        </w:rPr>
        <w:t>emphasis</w:t>
      </w:r>
      <w:r w:rsidR="002C6E66" w:rsidRPr="008A0FFC">
        <w:rPr>
          <w:rFonts w:cs="Arial"/>
        </w:rPr>
        <w:t>)</w:t>
      </w:r>
      <w:r w:rsidR="00C709FB" w:rsidRPr="008A0FFC">
        <w:rPr>
          <w:rFonts w:cs="Arial"/>
        </w:rPr>
        <w:t>.</w:t>
      </w:r>
    </w:p>
  </w:footnote>
  <w:footnote w:id="51">
    <w:p w14:paraId="04DE5140" w14:textId="77777777" w:rsidR="00BB13BC" w:rsidRPr="008A0FFC" w:rsidRDefault="008A40E2"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r w:rsidR="009B41B4" w:rsidRPr="008A0FFC">
        <w:rPr>
          <w:rFonts w:cs="Arial"/>
        </w:rPr>
        <w:t>The expression '</w:t>
      </w:r>
      <w:r w:rsidR="009B41B4" w:rsidRPr="008A0FFC">
        <w:rPr>
          <w:rFonts w:cs="Arial"/>
          <w:i/>
          <w:iCs/>
        </w:rPr>
        <w:t>debt</w:t>
      </w:r>
      <w:r w:rsidR="009B41B4" w:rsidRPr="008A0FFC">
        <w:rPr>
          <w:rFonts w:cs="Arial"/>
        </w:rPr>
        <w:t xml:space="preserve">' is defined in s 1 of the ILPA to mean: </w:t>
      </w:r>
    </w:p>
    <w:p w14:paraId="3642AA3D" w14:textId="57A8E176" w:rsidR="009B41B4" w:rsidRPr="008A0FFC" w:rsidRDefault="009B41B4" w:rsidP="008A0FFC">
      <w:pPr>
        <w:pStyle w:val="FootnoteText"/>
        <w:ind w:firstLine="283"/>
        <w:rPr>
          <w:rFonts w:cs="Arial"/>
        </w:rPr>
      </w:pPr>
      <w:r w:rsidRPr="008A0FFC">
        <w:rPr>
          <w:rFonts w:cs="Arial"/>
        </w:rPr>
        <w:t xml:space="preserve">'… </w:t>
      </w:r>
      <w:r w:rsidRPr="008A0FFC">
        <w:rPr>
          <w:rFonts w:cs="Arial"/>
          <w:b/>
          <w:bCs/>
        </w:rPr>
        <w:t>any debt arising from any cause of action</w:t>
      </w:r>
      <w:r w:rsidRPr="008A0FFC">
        <w:rPr>
          <w:rFonts w:cs="Arial"/>
        </w:rPr>
        <w:t xml:space="preserve"> - </w:t>
      </w:r>
    </w:p>
    <w:p w14:paraId="3D30240B" w14:textId="6DF8F0B5" w:rsidR="009B41B4" w:rsidRPr="008A0FFC" w:rsidRDefault="007F700D" w:rsidP="007F700D">
      <w:pPr>
        <w:pStyle w:val="FootnoteText"/>
        <w:tabs>
          <w:tab w:val="clear" w:pos="426"/>
          <w:tab w:val="left" w:pos="1418"/>
        </w:tabs>
        <w:ind w:left="1418" w:hanging="709"/>
        <w:rPr>
          <w:rFonts w:cs="Arial"/>
        </w:rPr>
      </w:pPr>
      <w:r w:rsidRPr="008A0FFC">
        <w:rPr>
          <w:rFonts w:cs="Arial"/>
        </w:rPr>
        <w:t>(a)</w:t>
      </w:r>
      <w:r w:rsidRPr="008A0FFC">
        <w:rPr>
          <w:rFonts w:cs="Arial"/>
        </w:rPr>
        <w:tab/>
      </w:r>
      <w:r w:rsidR="009B41B4" w:rsidRPr="008A0FFC">
        <w:rPr>
          <w:rFonts w:cs="Arial"/>
        </w:rPr>
        <w:t xml:space="preserve">which arises from </w:t>
      </w:r>
      <w:proofErr w:type="spellStart"/>
      <w:r w:rsidR="009B41B4" w:rsidRPr="008A0FFC">
        <w:rPr>
          <w:rFonts w:cs="Arial"/>
        </w:rPr>
        <w:t>delictual</w:t>
      </w:r>
      <w:proofErr w:type="spellEnd"/>
      <w:r w:rsidR="009B41B4" w:rsidRPr="008A0FFC">
        <w:rPr>
          <w:rFonts w:cs="Arial"/>
        </w:rPr>
        <w:t>, contractual or any other liability, including a cause of action which relates to or arises from any—</w:t>
      </w:r>
    </w:p>
    <w:p w14:paraId="7EB5D879" w14:textId="40F76560" w:rsidR="009B41B4" w:rsidRPr="008A0FFC" w:rsidRDefault="007F700D" w:rsidP="007F700D">
      <w:pPr>
        <w:pStyle w:val="FootnoteText"/>
        <w:ind w:left="2138" w:hanging="720"/>
        <w:rPr>
          <w:rFonts w:cs="Arial"/>
        </w:rPr>
      </w:pPr>
      <w:r w:rsidRPr="008A0FFC">
        <w:rPr>
          <w:rFonts w:cs="Arial"/>
        </w:rPr>
        <w:t>(</w:t>
      </w:r>
      <w:proofErr w:type="spellStart"/>
      <w:r w:rsidRPr="008A0FFC">
        <w:rPr>
          <w:rFonts w:cs="Arial"/>
        </w:rPr>
        <w:t>i</w:t>
      </w:r>
      <w:proofErr w:type="spellEnd"/>
      <w:r w:rsidRPr="008A0FFC">
        <w:rPr>
          <w:rFonts w:cs="Arial"/>
        </w:rPr>
        <w:t>)</w:t>
      </w:r>
      <w:r w:rsidRPr="008A0FFC">
        <w:rPr>
          <w:rFonts w:cs="Arial"/>
        </w:rPr>
        <w:tab/>
      </w:r>
      <w:r w:rsidR="009B41B4" w:rsidRPr="008A0FFC">
        <w:rPr>
          <w:rFonts w:cs="Arial"/>
        </w:rPr>
        <w:t>act performed under or in terms of any law; or</w:t>
      </w:r>
    </w:p>
    <w:p w14:paraId="0E5D14DE" w14:textId="49BF0A35" w:rsidR="009B41B4" w:rsidRPr="008A0FFC" w:rsidRDefault="007F700D" w:rsidP="007F700D">
      <w:pPr>
        <w:pStyle w:val="FootnoteText"/>
        <w:ind w:left="2138" w:hanging="720"/>
        <w:rPr>
          <w:rFonts w:cs="Arial"/>
        </w:rPr>
      </w:pPr>
      <w:r w:rsidRPr="008A0FFC">
        <w:rPr>
          <w:rFonts w:cs="Arial"/>
        </w:rPr>
        <w:t>(ii)</w:t>
      </w:r>
      <w:r w:rsidRPr="008A0FFC">
        <w:rPr>
          <w:rFonts w:cs="Arial"/>
        </w:rPr>
        <w:tab/>
      </w:r>
      <w:r w:rsidR="009B41B4" w:rsidRPr="008A0FFC">
        <w:rPr>
          <w:rFonts w:cs="Arial"/>
        </w:rPr>
        <w:t>omission to do anything which should have been done under or in terms of any law; and</w:t>
      </w:r>
    </w:p>
    <w:p w14:paraId="33280B1F" w14:textId="53E31590" w:rsidR="009B41B4" w:rsidRPr="008A0FFC" w:rsidRDefault="007F700D" w:rsidP="007F700D">
      <w:pPr>
        <w:pStyle w:val="FootnoteText"/>
        <w:tabs>
          <w:tab w:val="clear" w:pos="426"/>
          <w:tab w:val="left" w:pos="1418"/>
        </w:tabs>
        <w:ind w:left="1418" w:hanging="709"/>
        <w:rPr>
          <w:rFonts w:cs="Arial"/>
        </w:rPr>
      </w:pPr>
      <w:r w:rsidRPr="008A0FFC">
        <w:rPr>
          <w:rFonts w:cs="Arial"/>
        </w:rPr>
        <w:t>(b)</w:t>
      </w:r>
      <w:r w:rsidRPr="008A0FFC">
        <w:rPr>
          <w:rFonts w:cs="Arial"/>
        </w:rPr>
        <w:tab/>
      </w:r>
      <w:r w:rsidR="009B41B4" w:rsidRPr="008A0FFC">
        <w:rPr>
          <w:rFonts w:cs="Arial"/>
          <w:b/>
          <w:bCs/>
        </w:rPr>
        <w:t>for which an organ of state is liable for payment of damages</w:t>
      </w:r>
      <w:r w:rsidR="009B41B4" w:rsidRPr="008A0FFC">
        <w:rPr>
          <w:rFonts w:cs="Arial"/>
        </w:rPr>
        <w:t>,</w:t>
      </w:r>
    </w:p>
    <w:p w14:paraId="34E948CD" w14:textId="672A5F55" w:rsidR="008A40E2" w:rsidRPr="008A0FFC" w:rsidRDefault="009B41B4" w:rsidP="008A0FFC">
      <w:pPr>
        <w:pStyle w:val="FootnoteText"/>
        <w:tabs>
          <w:tab w:val="clear" w:pos="426"/>
          <w:tab w:val="left" w:pos="851"/>
        </w:tabs>
        <w:ind w:left="1276" w:firstLine="141"/>
        <w:rPr>
          <w:rFonts w:cs="Arial"/>
        </w:rPr>
      </w:pPr>
      <w:r w:rsidRPr="008A0FFC">
        <w:rPr>
          <w:rFonts w:cs="Arial"/>
        </w:rPr>
        <w:t>whether such debt became due before or after the fixed date</w:t>
      </w:r>
      <w:r w:rsidR="009F4C2B" w:rsidRPr="008A0FFC">
        <w:rPr>
          <w:rFonts w:cs="Arial"/>
        </w:rPr>
        <w:t>.</w:t>
      </w:r>
      <w:r w:rsidR="00742ABA" w:rsidRPr="008A0FFC">
        <w:rPr>
          <w:rFonts w:cs="Arial"/>
        </w:rPr>
        <w:t>'</w:t>
      </w:r>
    </w:p>
    <w:p w14:paraId="2AF3105D" w14:textId="2F09EAEB" w:rsidR="0036389B" w:rsidRPr="008A0FFC" w:rsidRDefault="005F6AE1" w:rsidP="008A0FFC">
      <w:pPr>
        <w:pStyle w:val="FootnoteText"/>
        <w:tabs>
          <w:tab w:val="clear" w:pos="426"/>
          <w:tab w:val="left" w:pos="851"/>
        </w:tabs>
        <w:ind w:left="567" w:firstLine="141"/>
        <w:rPr>
          <w:rFonts w:cs="Arial"/>
        </w:rPr>
      </w:pPr>
      <w:r w:rsidRPr="008A0FFC">
        <w:rPr>
          <w:rFonts w:cs="Arial"/>
        </w:rPr>
        <w:t>(Own emphasis).</w:t>
      </w:r>
    </w:p>
  </w:footnote>
  <w:footnote w:id="52">
    <w:p w14:paraId="6CC7FAB8" w14:textId="32F21269" w:rsidR="00762397" w:rsidRPr="008A0FFC" w:rsidRDefault="00762397"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r w:rsidR="000F7D25" w:rsidRPr="008A0FFC">
        <w:rPr>
          <w:rFonts w:cs="Arial"/>
        </w:rPr>
        <w:t>S 3 (1) (b) </w:t>
      </w:r>
      <w:r w:rsidR="00825A98" w:rsidRPr="008A0FFC">
        <w:rPr>
          <w:rFonts w:cs="Arial"/>
        </w:rPr>
        <w:t>(</w:t>
      </w:r>
      <w:proofErr w:type="spellStart"/>
      <w:r w:rsidR="00825A98" w:rsidRPr="008A0FFC">
        <w:rPr>
          <w:rFonts w:cs="Arial"/>
        </w:rPr>
        <w:t>i</w:t>
      </w:r>
      <w:proofErr w:type="spellEnd"/>
      <w:r w:rsidR="00825A98" w:rsidRPr="008A0FFC">
        <w:rPr>
          <w:rFonts w:cs="Arial"/>
        </w:rPr>
        <w:t>) and (ii) of the ILPA.</w:t>
      </w:r>
    </w:p>
  </w:footnote>
  <w:footnote w:id="53">
    <w:p w14:paraId="016A13F7" w14:textId="33F97042" w:rsidR="002E19CF" w:rsidRPr="008A0FFC" w:rsidRDefault="002E19CF"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t>In terms of</w:t>
      </w:r>
      <w:r w:rsidR="009C58A0" w:rsidRPr="008A0FFC">
        <w:rPr>
          <w:rFonts w:cs="Arial"/>
        </w:rPr>
        <w:t xml:space="preserve"> s</w:t>
      </w:r>
      <w:r w:rsidR="00536C65" w:rsidRPr="008A0FFC">
        <w:rPr>
          <w:rFonts w:cs="Arial"/>
        </w:rPr>
        <w:t> 3</w:t>
      </w:r>
      <w:r w:rsidR="006D37EC" w:rsidRPr="008A0FFC">
        <w:rPr>
          <w:rFonts w:cs="Arial"/>
        </w:rPr>
        <w:t> </w:t>
      </w:r>
      <w:r w:rsidR="00536C65" w:rsidRPr="008A0FFC">
        <w:rPr>
          <w:rFonts w:cs="Arial"/>
        </w:rPr>
        <w:t>(2)</w:t>
      </w:r>
      <w:r w:rsidR="006D37EC" w:rsidRPr="008A0FFC">
        <w:rPr>
          <w:rFonts w:cs="Arial"/>
        </w:rPr>
        <w:t> </w:t>
      </w:r>
      <w:r w:rsidR="00536C65" w:rsidRPr="008A0FFC">
        <w:rPr>
          <w:rFonts w:cs="Arial"/>
        </w:rPr>
        <w:t>(b</w:t>
      </w:r>
      <w:r w:rsidR="00EA1DAC" w:rsidRPr="008A0FFC">
        <w:rPr>
          <w:rFonts w:cs="Arial"/>
        </w:rPr>
        <w:t>) of the ILPA, such notice</w:t>
      </w:r>
      <w:r w:rsidR="006D37EC" w:rsidRPr="008A0FFC">
        <w:rPr>
          <w:rFonts w:cs="Arial"/>
        </w:rPr>
        <w:t xml:space="preserve"> is required to briefly set out (</w:t>
      </w:r>
      <w:proofErr w:type="spellStart"/>
      <w:r w:rsidR="006D37EC" w:rsidRPr="008A0FFC">
        <w:rPr>
          <w:rFonts w:cs="Arial"/>
        </w:rPr>
        <w:t>i</w:t>
      </w:r>
      <w:proofErr w:type="spellEnd"/>
      <w:r w:rsidR="006D37EC" w:rsidRPr="008A0FFC">
        <w:rPr>
          <w:rFonts w:cs="Arial"/>
        </w:rPr>
        <w:t>) the facts giving rise to the debt; and (ii) such particulars of such debt as are within the knowledge of the creditor.</w:t>
      </w:r>
    </w:p>
  </w:footnote>
  <w:footnote w:id="54">
    <w:p w14:paraId="1B21AC1B" w14:textId="7222DDFB" w:rsidR="001C7875" w:rsidRPr="008A0FFC" w:rsidRDefault="001C7875"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t>S 3 (2)</w:t>
      </w:r>
      <w:r w:rsidR="00271C78" w:rsidRPr="008A0FFC">
        <w:rPr>
          <w:rFonts w:cs="Arial"/>
        </w:rPr>
        <w:t> (a) of the ILPA.</w:t>
      </w:r>
    </w:p>
  </w:footnote>
  <w:footnote w:id="55">
    <w:p w14:paraId="415AABB7" w14:textId="29823781" w:rsidR="00146EE2" w:rsidRPr="008A0FFC" w:rsidRDefault="00146EE2"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r w:rsidR="0083546F" w:rsidRPr="008A0FFC">
        <w:rPr>
          <w:rFonts w:cs="Arial"/>
        </w:rPr>
        <w:t xml:space="preserve">See, in this regard, </w:t>
      </w:r>
      <w:r w:rsidR="00243C5A" w:rsidRPr="008A0FFC">
        <w:rPr>
          <w:rFonts w:cs="Arial"/>
        </w:rPr>
        <w:t xml:space="preserve">paragraph (a) of the </w:t>
      </w:r>
      <w:r w:rsidR="009F40AF" w:rsidRPr="008A0FFC">
        <w:rPr>
          <w:rFonts w:cs="Arial"/>
        </w:rPr>
        <w:t xml:space="preserve">definition of </w:t>
      </w:r>
      <w:bookmarkStart w:id="42" w:name="_Hlk156646813"/>
      <w:r w:rsidR="00966450" w:rsidRPr="008A0FFC">
        <w:rPr>
          <w:rFonts w:cs="Arial"/>
        </w:rPr>
        <w:t>'</w:t>
      </w:r>
      <w:r w:rsidR="00966450" w:rsidRPr="008A0FFC">
        <w:rPr>
          <w:rFonts w:cs="Arial"/>
          <w:i/>
          <w:iCs/>
        </w:rPr>
        <w:t>organ of state</w:t>
      </w:r>
      <w:r w:rsidR="00966450" w:rsidRPr="008A0FFC">
        <w:rPr>
          <w:rFonts w:cs="Arial"/>
        </w:rPr>
        <w:t>'</w:t>
      </w:r>
      <w:r w:rsidR="00973076" w:rsidRPr="008A0FFC">
        <w:rPr>
          <w:rFonts w:cs="Arial"/>
        </w:rPr>
        <w:t xml:space="preserve"> in</w:t>
      </w:r>
      <w:r w:rsidR="00BF3263" w:rsidRPr="008A0FFC">
        <w:rPr>
          <w:rFonts w:cs="Arial"/>
        </w:rPr>
        <w:t xml:space="preserve"> s</w:t>
      </w:r>
      <w:r w:rsidR="00695AE0" w:rsidRPr="008A0FFC">
        <w:rPr>
          <w:rFonts w:cs="Arial"/>
        </w:rPr>
        <w:t> </w:t>
      </w:r>
      <w:r w:rsidR="00BF3263" w:rsidRPr="008A0FFC">
        <w:rPr>
          <w:rFonts w:cs="Arial"/>
        </w:rPr>
        <w:t>1 of the ILPA</w:t>
      </w:r>
      <w:bookmarkEnd w:id="42"/>
      <w:r w:rsidR="0073602D" w:rsidRPr="008A0FFC">
        <w:rPr>
          <w:rFonts w:cs="Arial"/>
        </w:rPr>
        <w:t>, which includes</w:t>
      </w:r>
      <w:r w:rsidR="00E400D4" w:rsidRPr="008A0FFC">
        <w:rPr>
          <w:rFonts w:cs="Arial"/>
        </w:rPr>
        <w:t>, among others, a '</w:t>
      </w:r>
      <w:r w:rsidR="00E400D4" w:rsidRPr="008A0FFC">
        <w:rPr>
          <w:rFonts w:cs="Arial"/>
          <w:i/>
          <w:iCs/>
        </w:rPr>
        <w:t>national department</w:t>
      </w:r>
      <w:r w:rsidR="00E400D4" w:rsidRPr="008A0FFC">
        <w:rPr>
          <w:rFonts w:cs="Arial"/>
        </w:rPr>
        <w:t>', which</w:t>
      </w:r>
      <w:r w:rsidR="00224EF4" w:rsidRPr="008A0FFC">
        <w:rPr>
          <w:rFonts w:cs="Arial"/>
        </w:rPr>
        <w:t xml:space="preserve"> latter expression</w:t>
      </w:r>
      <w:r w:rsidR="00695AE0" w:rsidRPr="008A0FFC">
        <w:rPr>
          <w:rFonts w:cs="Arial"/>
        </w:rPr>
        <w:t>, in turn,</w:t>
      </w:r>
      <w:r w:rsidR="00D32581" w:rsidRPr="008A0FFC">
        <w:rPr>
          <w:rFonts w:cs="Arial"/>
        </w:rPr>
        <w:t xml:space="preserve"> is defined </w:t>
      </w:r>
      <w:r w:rsidR="00CB581F" w:rsidRPr="008A0FFC">
        <w:rPr>
          <w:rFonts w:cs="Arial"/>
        </w:rPr>
        <w:t>with reference to</w:t>
      </w:r>
      <w:r w:rsidR="005927C5" w:rsidRPr="008A0FFC">
        <w:rPr>
          <w:rFonts w:cs="Arial"/>
        </w:rPr>
        <w:t xml:space="preserve"> the first column of Schedule 1 to the Public Service Act, 1994 (Proclamation No. 103 of 1994)</w:t>
      </w:r>
      <w:r w:rsidR="00224EF4" w:rsidRPr="008A0FFC">
        <w:rPr>
          <w:rFonts w:cs="Arial"/>
        </w:rPr>
        <w:t xml:space="preserve"> to include, among other national departments</w:t>
      </w:r>
      <w:r w:rsidR="002E4C56" w:rsidRPr="008A0FFC">
        <w:rPr>
          <w:rFonts w:cs="Arial"/>
        </w:rPr>
        <w:t xml:space="preserve">, </w:t>
      </w:r>
      <w:r w:rsidR="00703853" w:rsidRPr="008A0FFC">
        <w:rPr>
          <w:rFonts w:cs="Arial"/>
        </w:rPr>
        <w:t>the '</w:t>
      </w:r>
      <w:r w:rsidR="00703853" w:rsidRPr="008A0FFC">
        <w:rPr>
          <w:rFonts w:cs="Arial"/>
          <w:i/>
          <w:iCs/>
        </w:rPr>
        <w:t>Department of Police</w:t>
      </w:r>
      <w:r w:rsidR="00703853" w:rsidRPr="008A0FFC">
        <w:rPr>
          <w:rFonts w:cs="Arial"/>
        </w:rPr>
        <w:t xml:space="preserve">'.  </w:t>
      </w:r>
      <w:r w:rsidR="0017217E" w:rsidRPr="008A0FFC">
        <w:rPr>
          <w:rFonts w:cs="Arial"/>
        </w:rPr>
        <w:t xml:space="preserve">Although </w:t>
      </w:r>
      <w:r w:rsidR="00BA20F9" w:rsidRPr="008A0FFC">
        <w:rPr>
          <w:rFonts w:cs="Arial"/>
        </w:rPr>
        <w:t>Captain Zulu</w:t>
      </w:r>
      <w:r w:rsidR="00494C56" w:rsidRPr="008A0FFC">
        <w:rPr>
          <w:rFonts w:cs="Arial"/>
        </w:rPr>
        <w:t xml:space="preserve"> </w:t>
      </w:r>
      <w:r w:rsidR="00547070" w:rsidRPr="008A0FFC">
        <w:rPr>
          <w:rFonts w:cs="Arial"/>
        </w:rPr>
        <w:t xml:space="preserve">and the </w:t>
      </w:r>
      <w:bookmarkStart w:id="43" w:name="_Hlk156656341"/>
      <w:r w:rsidR="000706F0" w:rsidRPr="008A0FFC">
        <w:rPr>
          <w:rFonts w:cs="Arial"/>
        </w:rPr>
        <w:t>National Director of Public Prosecutions</w:t>
      </w:r>
      <w:bookmarkEnd w:id="43"/>
      <w:r w:rsidR="000706F0" w:rsidRPr="008A0FFC">
        <w:rPr>
          <w:rFonts w:cs="Arial"/>
        </w:rPr>
        <w:t xml:space="preserve"> (incorrectly cited </w:t>
      </w:r>
      <w:r w:rsidR="00F846BC" w:rsidRPr="008A0FFC">
        <w:rPr>
          <w:rFonts w:cs="Arial"/>
        </w:rPr>
        <w:t xml:space="preserve">by Mr </w:t>
      </w:r>
      <w:proofErr w:type="spellStart"/>
      <w:r w:rsidR="00F846BC" w:rsidRPr="008A0FFC">
        <w:rPr>
          <w:rFonts w:cs="Arial"/>
        </w:rPr>
        <w:t>Mangasa</w:t>
      </w:r>
      <w:proofErr w:type="spellEnd"/>
      <w:r w:rsidR="00F846BC" w:rsidRPr="008A0FFC">
        <w:rPr>
          <w:rFonts w:cs="Arial"/>
        </w:rPr>
        <w:t xml:space="preserve"> </w:t>
      </w:r>
      <w:r w:rsidR="000706F0" w:rsidRPr="008A0FFC">
        <w:rPr>
          <w:rFonts w:cs="Arial"/>
        </w:rPr>
        <w:t>as</w:t>
      </w:r>
      <w:r w:rsidR="00A14941" w:rsidRPr="008A0FFC">
        <w:rPr>
          <w:rFonts w:cs="Arial"/>
        </w:rPr>
        <w:t>,</w:t>
      </w:r>
      <w:r w:rsidR="000706F0" w:rsidRPr="008A0FFC">
        <w:rPr>
          <w:rFonts w:cs="Arial"/>
        </w:rPr>
        <w:t xml:space="preserve"> </w:t>
      </w:r>
      <w:r w:rsidR="00882104" w:rsidRPr="008A0FFC">
        <w:rPr>
          <w:rFonts w:cs="Arial"/>
        </w:rPr>
        <w:t>simply</w:t>
      </w:r>
      <w:r w:rsidR="00A14941" w:rsidRPr="008A0FFC">
        <w:rPr>
          <w:rFonts w:cs="Arial"/>
        </w:rPr>
        <w:t>,</w:t>
      </w:r>
      <w:r w:rsidR="00882104" w:rsidRPr="008A0FFC">
        <w:rPr>
          <w:rFonts w:cs="Arial"/>
        </w:rPr>
        <w:t xml:space="preserve"> '</w:t>
      </w:r>
      <w:r w:rsidR="00F846BC" w:rsidRPr="008A0FFC">
        <w:rPr>
          <w:rFonts w:cs="Arial"/>
          <w:i/>
          <w:iCs/>
        </w:rPr>
        <w:t>the NPA</w:t>
      </w:r>
      <w:r w:rsidR="00882104" w:rsidRPr="008A0FFC">
        <w:rPr>
          <w:rFonts w:cs="Arial"/>
        </w:rPr>
        <w:t>’</w:t>
      </w:r>
      <w:r w:rsidR="00C70E09" w:rsidRPr="008A0FFC">
        <w:rPr>
          <w:rFonts w:cs="Arial"/>
        </w:rPr>
        <w:t>)</w:t>
      </w:r>
      <w:r w:rsidR="00101446" w:rsidRPr="008A0FFC">
        <w:rPr>
          <w:rFonts w:cs="Arial"/>
        </w:rPr>
        <w:t xml:space="preserve"> play no active role in the </w:t>
      </w:r>
      <w:r w:rsidR="009F16B9" w:rsidRPr="008A0FFC">
        <w:rPr>
          <w:rFonts w:cs="Arial"/>
        </w:rPr>
        <w:t>condonation application</w:t>
      </w:r>
      <w:r w:rsidR="0073673C" w:rsidRPr="008A0FFC">
        <w:rPr>
          <w:rFonts w:cs="Arial"/>
        </w:rPr>
        <w:t xml:space="preserve">, </w:t>
      </w:r>
      <w:r w:rsidR="00156E27" w:rsidRPr="008A0FFC">
        <w:rPr>
          <w:rFonts w:cs="Arial"/>
        </w:rPr>
        <w:t xml:space="preserve">it </w:t>
      </w:r>
      <w:r w:rsidR="00BD454F" w:rsidRPr="008A0FFC">
        <w:rPr>
          <w:rFonts w:cs="Arial"/>
        </w:rPr>
        <w:t xml:space="preserve">should be noted that </w:t>
      </w:r>
      <w:r w:rsidR="0073673C" w:rsidRPr="008A0FFC">
        <w:rPr>
          <w:rFonts w:cs="Arial"/>
        </w:rPr>
        <w:t>the former</w:t>
      </w:r>
      <w:r w:rsidR="0050044A" w:rsidRPr="008A0FFC">
        <w:rPr>
          <w:rFonts w:cs="Arial"/>
        </w:rPr>
        <w:t xml:space="preserve"> </w:t>
      </w:r>
      <w:r w:rsidR="00494C56" w:rsidRPr="008A0FFC">
        <w:rPr>
          <w:rFonts w:cs="Arial"/>
        </w:rPr>
        <w:t>fall</w:t>
      </w:r>
      <w:r w:rsidR="00E4318C" w:rsidRPr="008A0FFC">
        <w:rPr>
          <w:rFonts w:cs="Arial"/>
        </w:rPr>
        <w:t>s</w:t>
      </w:r>
      <w:r w:rsidR="00494C56" w:rsidRPr="008A0FFC">
        <w:rPr>
          <w:rFonts w:cs="Arial"/>
        </w:rPr>
        <w:t xml:space="preserve"> within the definition of '</w:t>
      </w:r>
      <w:r w:rsidR="00494C56" w:rsidRPr="008A0FFC">
        <w:rPr>
          <w:rFonts w:cs="Arial"/>
          <w:i/>
          <w:iCs/>
        </w:rPr>
        <w:t>organ of state</w:t>
      </w:r>
      <w:r w:rsidR="00494C56" w:rsidRPr="008A0FFC">
        <w:rPr>
          <w:rFonts w:cs="Arial"/>
        </w:rPr>
        <w:t>' in s 1 of the ILPA</w:t>
      </w:r>
      <w:r w:rsidR="003C4927" w:rsidRPr="008A0FFC">
        <w:rPr>
          <w:rFonts w:cs="Arial"/>
        </w:rPr>
        <w:t xml:space="preserve"> by virtue of the provisions </w:t>
      </w:r>
      <w:bookmarkStart w:id="44" w:name="_Hlk156655997"/>
      <w:r w:rsidR="003C4927" w:rsidRPr="008A0FFC">
        <w:rPr>
          <w:rFonts w:cs="Arial"/>
        </w:rPr>
        <w:t>of paragraph (g)</w:t>
      </w:r>
      <w:r w:rsidR="003D333B" w:rsidRPr="008A0FFC">
        <w:rPr>
          <w:rFonts w:cs="Arial"/>
        </w:rPr>
        <w:t xml:space="preserve"> thereof</w:t>
      </w:r>
      <w:bookmarkEnd w:id="44"/>
      <w:r w:rsidR="003D333B" w:rsidRPr="008A0FFC">
        <w:rPr>
          <w:rFonts w:cs="Arial"/>
        </w:rPr>
        <w:t xml:space="preserve">, i.e., </w:t>
      </w:r>
      <w:r w:rsidR="00C70E09" w:rsidRPr="008A0FFC">
        <w:rPr>
          <w:rFonts w:cs="Arial"/>
        </w:rPr>
        <w:t>as</w:t>
      </w:r>
      <w:r w:rsidR="00365D50" w:rsidRPr="008A0FFC">
        <w:rPr>
          <w:rFonts w:cs="Arial"/>
        </w:rPr>
        <w:t xml:space="preserve"> someone </w:t>
      </w:r>
      <w:r w:rsidR="001C1078" w:rsidRPr="008A0FFC">
        <w:rPr>
          <w:rFonts w:cs="Arial"/>
        </w:rPr>
        <w:t>for whose debt</w:t>
      </w:r>
      <w:r w:rsidR="00365D50" w:rsidRPr="008A0FFC">
        <w:rPr>
          <w:rFonts w:cs="Arial"/>
        </w:rPr>
        <w:t xml:space="preserve"> the Department of Police</w:t>
      </w:r>
      <w:r w:rsidR="00367F6D" w:rsidRPr="008A0FFC">
        <w:rPr>
          <w:rFonts w:cs="Arial"/>
        </w:rPr>
        <w:t xml:space="preserve"> </w:t>
      </w:r>
      <w:r w:rsidR="0050044A" w:rsidRPr="008A0FFC">
        <w:rPr>
          <w:rFonts w:cs="Arial"/>
        </w:rPr>
        <w:t xml:space="preserve">could vicariously be </w:t>
      </w:r>
      <w:r w:rsidR="00137520" w:rsidRPr="008A0FFC">
        <w:rPr>
          <w:rFonts w:cs="Arial"/>
        </w:rPr>
        <w:t xml:space="preserve">held </w:t>
      </w:r>
      <w:r w:rsidR="00367F6D" w:rsidRPr="008A0FFC">
        <w:rPr>
          <w:rFonts w:cs="Arial"/>
        </w:rPr>
        <w:t>liable</w:t>
      </w:r>
      <w:r w:rsidR="0073673C" w:rsidRPr="008A0FFC">
        <w:rPr>
          <w:rFonts w:cs="Arial"/>
        </w:rPr>
        <w:t xml:space="preserve">, while the </w:t>
      </w:r>
      <w:r w:rsidR="00B16D6A" w:rsidRPr="008A0FFC">
        <w:rPr>
          <w:rFonts w:cs="Arial"/>
        </w:rPr>
        <w:t>National Director of Public Prosecutions</w:t>
      </w:r>
      <w:r w:rsidR="0073673C" w:rsidRPr="008A0FFC">
        <w:rPr>
          <w:rFonts w:cs="Arial"/>
        </w:rPr>
        <w:t xml:space="preserve"> </w:t>
      </w:r>
      <w:r w:rsidR="00137520" w:rsidRPr="008A0FFC">
        <w:rPr>
          <w:rFonts w:cs="Arial"/>
        </w:rPr>
        <w:t xml:space="preserve">would </w:t>
      </w:r>
      <w:r w:rsidR="0073673C" w:rsidRPr="008A0FFC">
        <w:rPr>
          <w:rFonts w:cs="Arial"/>
        </w:rPr>
        <w:t xml:space="preserve">fall within </w:t>
      </w:r>
      <w:r w:rsidR="00D55C68" w:rsidRPr="008A0FFC">
        <w:rPr>
          <w:rFonts w:cs="Arial"/>
        </w:rPr>
        <w:t xml:space="preserve">the same definition by virtue of the provisions </w:t>
      </w:r>
      <w:r w:rsidR="00BD454F" w:rsidRPr="008A0FFC">
        <w:rPr>
          <w:rFonts w:cs="Arial"/>
        </w:rPr>
        <w:t>of paragraph (</w:t>
      </w:r>
      <w:r w:rsidR="0016253A" w:rsidRPr="008A0FFC">
        <w:rPr>
          <w:rFonts w:cs="Arial"/>
        </w:rPr>
        <w:t>c</w:t>
      </w:r>
      <w:r w:rsidR="00BD454F" w:rsidRPr="008A0FFC">
        <w:rPr>
          <w:rFonts w:cs="Arial"/>
        </w:rPr>
        <w:t>) thereof</w:t>
      </w:r>
      <w:r w:rsidR="00B92F08" w:rsidRPr="008A0FFC">
        <w:rPr>
          <w:rFonts w:cs="Arial"/>
        </w:rPr>
        <w:t>,</w:t>
      </w:r>
      <w:r w:rsidR="00857366" w:rsidRPr="008A0FFC">
        <w:rPr>
          <w:rFonts w:cs="Arial"/>
        </w:rPr>
        <w:t xml:space="preserve"> i.e.,</w:t>
      </w:r>
      <w:r w:rsidR="00C47D30" w:rsidRPr="008A0FFC">
        <w:rPr>
          <w:rFonts w:cs="Arial"/>
        </w:rPr>
        <w:t xml:space="preserve"> as</w:t>
      </w:r>
      <w:r w:rsidR="00857366" w:rsidRPr="008A0FFC">
        <w:rPr>
          <w:rFonts w:cs="Arial"/>
        </w:rPr>
        <w:t xml:space="preserve"> </w:t>
      </w:r>
      <w:r w:rsidR="00C47D30" w:rsidRPr="008A0FFC">
        <w:rPr>
          <w:rFonts w:cs="Arial"/>
        </w:rPr>
        <w:t xml:space="preserve">a functionary </w:t>
      </w:r>
      <w:r w:rsidR="00D92D7F" w:rsidRPr="008A0FFC">
        <w:rPr>
          <w:rFonts w:cs="Arial"/>
        </w:rPr>
        <w:t xml:space="preserve">who </w:t>
      </w:r>
      <w:r w:rsidR="00C47D30" w:rsidRPr="008A0FFC">
        <w:rPr>
          <w:rFonts w:cs="Arial"/>
        </w:rPr>
        <w:t>exercis</w:t>
      </w:r>
      <w:r w:rsidR="00D92D7F" w:rsidRPr="008A0FFC">
        <w:rPr>
          <w:rFonts w:cs="Arial"/>
        </w:rPr>
        <w:t>es</w:t>
      </w:r>
      <w:r w:rsidR="00C47D30" w:rsidRPr="008A0FFC">
        <w:rPr>
          <w:rFonts w:cs="Arial"/>
        </w:rPr>
        <w:t xml:space="preserve"> a power or perform</w:t>
      </w:r>
      <w:r w:rsidR="00D92D7F" w:rsidRPr="008A0FFC">
        <w:rPr>
          <w:rFonts w:cs="Arial"/>
        </w:rPr>
        <w:t>s</w:t>
      </w:r>
      <w:r w:rsidR="00C47D30" w:rsidRPr="008A0FFC">
        <w:rPr>
          <w:rFonts w:cs="Arial"/>
        </w:rPr>
        <w:t xml:space="preserve"> a function in terms of </w:t>
      </w:r>
      <w:r w:rsidR="00D55C68" w:rsidRPr="008A0FFC">
        <w:rPr>
          <w:rFonts w:cs="Arial"/>
        </w:rPr>
        <w:t>s </w:t>
      </w:r>
      <w:r w:rsidR="00104C46" w:rsidRPr="008A0FFC">
        <w:rPr>
          <w:rFonts w:cs="Arial"/>
        </w:rPr>
        <w:t>179 of the</w:t>
      </w:r>
      <w:r w:rsidR="0069495B" w:rsidRPr="008A0FFC">
        <w:rPr>
          <w:rFonts w:cs="Arial"/>
        </w:rPr>
        <w:t xml:space="preserve"> </w:t>
      </w:r>
      <w:bookmarkStart w:id="45" w:name="_Hlk158818615"/>
      <w:r w:rsidR="0069495B" w:rsidRPr="008A0FFC">
        <w:rPr>
          <w:rFonts w:cs="Arial"/>
        </w:rPr>
        <w:t>Constitution of the Republic of South Africa, 1996</w:t>
      </w:r>
      <w:bookmarkEnd w:id="45"/>
      <w:r w:rsidR="001412D0" w:rsidRPr="008A0FFC">
        <w:rPr>
          <w:rFonts w:cs="Arial"/>
        </w:rPr>
        <w:t>, read wi</w:t>
      </w:r>
      <w:r w:rsidR="00B4375D" w:rsidRPr="008A0FFC">
        <w:rPr>
          <w:rFonts w:cs="Arial"/>
        </w:rPr>
        <w:t>th</w:t>
      </w:r>
      <w:r w:rsidR="000E56BB" w:rsidRPr="008A0FFC">
        <w:rPr>
          <w:rFonts w:cs="Arial"/>
        </w:rPr>
        <w:t xml:space="preserve"> </w:t>
      </w:r>
      <w:r w:rsidR="00F74999" w:rsidRPr="008A0FFC">
        <w:rPr>
          <w:rFonts w:cs="Arial"/>
        </w:rPr>
        <w:t>s 5 of the National Prosecuting Authority Act 32 of 1998</w:t>
      </w:r>
      <w:r w:rsidR="006425EE" w:rsidRPr="008A0FFC">
        <w:rPr>
          <w:rFonts w:cs="Arial"/>
        </w:rPr>
        <w:t>.</w:t>
      </w:r>
    </w:p>
  </w:footnote>
  <w:footnote w:id="56">
    <w:p w14:paraId="24FE0B4F" w14:textId="386D12F5" w:rsidR="009F591C" w:rsidRPr="008A0FFC" w:rsidRDefault="009F591C"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bookmarkStart w:id="46" w:name="_Hlk156657441"/>
      <w:r w:rsidR="00A64FC8" w:rsidRPr="008A0FFC">
        <w:rPr>
          <w:rFonts w:cs="Arial"/>
        </w:rPr>
        <w:t>S 5 (1) (a)</w:t>
      </w:r>
      <w:r w:rsidR="00215CA4" w:rsidRPr="008A0FFC">
        <w:rPr>
          <w:rFonts w:cs="Arial"/>
        </w:rPr>
        <w:t xml:space="preserve"> and (b) (ii)</w:t>
      </w:r>
      <w:r w:rsidR="00A86813" w:rsidRPr="008A0FFC">
        <w:rPr>
          <w:rFonts w:cs="Arial"/>
        </w:rPr>
        <w:t> (aa) and (bb)</w:t>
      </w:r>
      <w:r w:rsidR="00215CA4" w:rsidRPr="008A0FFC">
        <w:rPr>
          <w:rFonts w:cs="Arial"/>
        </w:rPr>
        <w:t xml:space="preserve"> of the ILPA</w:t>
      </w:r>
      <w:bookmarkEnd w:id="46"/>
      <w:r w:rsidR="00215CA4" w:rsidRPr="008A0FFC">
        <w:rPr>
          <w:rFonts w:cs="Arial"/>
        </w:rPr>
        <w:t xml:space="preserve">, read with </w:t>
      </w:r>
      <w:r w:rsidR="008B063E" w:rsidRPr="008A0FFC">
        <w:rPr>
          <w:rFonts w:cs="Arial"/>
        </w:rPr>
        <w:t>s 2</w:t>
      </w:r>
      <w:r w:rsidR="00A844E5" w:rsidRPr="008A0FFC">
        <w:rPr>
          <w:rFonts w:cs="Arial"/>
        </w:rPr>
        <w:t> (1</w:t>
      </w:r>
      <w:r w:rsidR="00A90F74" w:rsidRPr="008A0FFC">
        <w:rPr>
          <w:rFonts w:cs="Arial"/>
        </w:rPr>
        <w:t>) of the State Liability Act 20 of 1957</w:t>
      </w:r>
      <w:r w:rsidR="009834E1" w:rsidRPr="008A0FFC">
        <w:rPr>
          <w:rFonts w:cs="Arial"/>
        </w:rPr>
        <w:t>).</w:t>
      </w:r>
    </w:p>
  </w:footnote>
  <w:footnote w:id="57">
    <w:p w14:paraId="0C5F080D" w14:textId="797B8CA1" w:rsidR="00B82B27" w:rsidRPr="008A0FFC" w:rsidRDefault="00B82B27"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t>S </w:t>
      </w:r>
      <w:r w:rsidR="002C7E3A" w:rsidRPr="008A0FFC">
        <w:rPr>
          <w:rFonts w:cs="Arial"/>
        </w:rPr>
        <w:t>4</w:t>
      </w:r>
      <w:r w:rsidRPr="008A0FFC">
        <w:rPr>
          <w:rFonts w:cs="Arial"/>
        </w:rPr>
        <w:t> (1) (a) of the ILPA</w:t>
      </w:r>
      <w:r w:rsidR="002C7E3A" w:rsidRPr="008A0FFC">
        <w:rPr>
          <w:rFonts w:cs="Arial"/>
        </w:rPr>
        <w:t>.</w:t>
      </w:r>
    </w:p>
  </w:footnote>
  <w:footnote w:id="58">
    <w:p w14:paraId="3D358803" w14:textId="7129F8D3" w:rsidR="00DD7416" w:rsidRPr="008A0FFC" w:rsidRDefault="00DD7416"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t>S 5 (2) of the ILPA</w:t>
      </w:r>
      <w:r w:rsidR="002752D5" w:rsidRPr="008A0FFC">
        <w:rPr>
          <w:rFonts w:cs="Arial"/>
        </w:rPr>
        <w:t>,</w:t>
      </w:r>
      <w:r w:rsidRPr="008A0FFC">
        <w:rPr>
          <w:rFonts w:cs="Arial"/>
        </w:rPr>
        <w:t xml:space="preserve"> read with s 3 (2)</w:t>
      </w:r>
      <w:r w:rsidR="002752D5" w:rsidRPr="008A0FFC">
        <w:rPr>
          <w:rFonts w:cs="Arial"/>
        </w:rPr>
        <w:t> (a) and s 4</w:t>
      </w:r>
      <w:r w:rsidR="0090629A" w:rsidRPr="008A0FFC">
        <w:rPr>
          <w:rFonts w:cs="Arial"/>
        </w:rPr>
        <w:t xml:space="preserve"> (1) (a) </w:t>
      </w:r>
      <w:r w:rsidR="002752D5" w:rsidRPr="008A0FFC">
        <w:rPr>
          <w:rFonts w:cs="Arial"/>
        </w:rPr>
        <w:t>thereof.</w:t>
      </w:r>
    </w:p>
  </w:footnote>
  <w:footnote w:id="59">
    <w:p w14:paraId="025BFA73" w14:textId="11920771" w:rsidR="002F50F9" w:rsidRPr="008A0FFC" w:rsidRDefault="002F50F9" w:rsidP="008A0FFC">
      <w:pPr>
        <w:pStyle w:val="FootnoteText"/>
        <w:rPr>
          <w:rFonts w:cs="Arial"/>
        </w:rPr>
      </w:pPr>
      <w:r w:rsidRPr="008A0FFC">
        <w:rPr>
          <w:rStyle w:val="FootnoteReference"/>
          <w:rFonts w:cs="Arial"/>
        </w:rPr>
        <w:footnoteRef/>
      </w:r>
      <w:r w:rsidRPr="008A0FFC">
        <w:rPr>
          <w:rFonts w:cs="Arial"/>
        </w:rPr>
        <w:t xml:space="preserve"> </w:t>
      </w:r>
      <w:r w:rsidR="00361B65" w:rsidRPr="008A0FFC">
        <w:rPr>
          <w:rFonts w:cs="Arial"/>
        </w:rPr>
        <w:tab/>
      </w:r>
      <w:proofErr w:type="spellStart"/>
      <w:r w:rsidR="00A0549C" w:rsidRPr="008A0FFC">
        <w:rPr>
          <w:rFonts w:cs="Arial"/>
          <w:b/>
          <w:bCs/>
          <w:i/>
          <w:iCs/>
        </w:rPr>
        <w:t>Madinda</w:t>
      </w:r>
      <w:proofErr w:type="spellEnd"/>
      <w:r w:rsidR="00A0549C" w:rsidRPr="008A0FFC">
        <w:rPr>
          <w:rFonts w:cs="Arial"/>
          <w:b/>
          <w:bCs/>
          <w:i/>
          <w:iCs/>
        </w:rPr>
        <w:t xml:space="preserve"> v Minister of Safety and Security</w:t>
      </w:r>
      <w:r w:rsidR="00A0549C" w:rsidRPr="008A0FFC">
        <w:rPr>
          <w:rFonts w:cs="Arial"/>
        </w:rPr>
        <w:t> 2008</w:t>
      </w:r>
      <w:r w:rsidR="005863F8" w:rsidRPr="008A0FFC">
        <w:rPr>
          <w:rFonts w:cs="Arial"/>
        </w:rPr>
        <w:t xml:space="preserve"> (4) 312</w:t>
      </w:r>
      <w:r w:rsidR="00A0549C" w:rsidRPr="008A0FFC">
        <w:rPr>
          <w:rFonts w:cs="Arial"/>
        </w:rPr>
        <w:t xml:space="preserve"> (SCA)</w:t>
      </w:r>
      <w:r w:rsidR="005863F8" w:rsidRPr="008A0FFC">
        <w:rPr>
          <w:rFonts w:cs="Arial"/>
        </w:rPr>
        <w:t xml:space="preserve"> at para</w:t>
      </w:r>
      <w:r w:rsidR="001D03CF" w:rsidRPr="008A0FFC">
        <w:rPr>
          <w:rFonts w:cs="Arial"/>
        </w:rPr>
        <w:t xml:space="preserve"> [6], p. </w:t>
      </w:r>
      <w:r w:rsidR="008E779B" w:rsidRPr="008A0FFC">
        <w:rPr>
          <w:rFonts w:cs="Arial"/>
        </w:rPr>
        <w:t>315 E- G.</w:t>
      </w:r>
    </w:p>
  </w:footnote>
  <w:footnote w:id="60">
    <w:p w14:paraId="01F30013" w14:textId="241C1177" w:rsidR="00AB1ED4" w:rsidRPr="008A0FFC" w:rsidRDefault="00AB1ED4"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bookmarkStart w:id="49" w:name="_Hlk157500714"/>
      <w:r w:rsidR="00141259" w:rsidRPr="008A0FFC">
        <w:rPr>
          <w:rFonts w:cs="Arial"/>
          <w:i/>
          <w:iCs/>
        </w:rPr>
        <w:t>Ibid</w:t>
      </w:r>
      <w:r w:rsidR="00141259" w:rsidRPr="008A0FFC">
        <w:rPr>
          <w:rFonts w:cs="Arial"/>
        </w:rPr>
        <w:t>., at para [8], p. 316 C – D.</w:t>
      </w:r>
      <w:bookmarkEnd w:id="49"/>
    </w:p>
  </w:footnote>
  <w:footnote w:id="61">
    <w:p w14:paraId="6E733EDE" w14:textId="7F9C03F6" w:rsidR="00F64152" w:rsidRPr="008A0FFC" w:rsidRDefault="00F64152"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r w:rsidRPr="008A0FFC">
        <w:rPr>
          <w:rFonts w:cs="Arial"/>
          <w:i/>
          <w:iCs/>
        </w:rPr>
        <w:t>Ibid</w:t>
      </w:r>
      <w:r w:rsidRPr="008A0FFC">
        <w:rPr>
          <w:rFonts w:cs="Arial"/>
        </w:rPr>
        <w:t>., at para [16], p. 31</w:t>
      </w:r>
      <w:r w:rsidR="0002528D" w:rsidRPr="008A0FFC">
        <w:rPr>
          <w:rFonts w:cs="Arial"/>
        </w:rPr>
        <w:t>8</w:t>
      </w:r>
      <w:r w:rsidRPr="008A0FFC">
        <w:rPr>
          <w:rFonts w:cs="Arial"/>
        </w:rPr>
        <w:t> </w:t>
      </w:r>
      <w:r w:rsidR="0002528D" w:rsidRPr="008A0FFC">
        <w:rPr>
          <w:rFonts w:cs="Arial"/>
        </w:rPr>
        <w:t xml:space="preserve">C - </w:t>
      </w:r>
      <w:r w:rsidRPr="008A0FFC">
        <w:rPr>
          <w:rFonts w:cs="Arial"/>
        </w:rPr>
        <w:t>D.</w:t>
      </w:r>
    </w:p>
  </w:footnote>
  <w:footnote w:id="62">
    <w:p w14:paraId="7ACCE812" w14:textId="1D87316C" w:rsidR="001914A9" w:rsidRPr="008A0FFC" w:rsidRDefault="001914A9"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bookmarkStart w:id="50" w:name="_Hlk157501749"/>
      <w:r w:rsidRPr="008A0FFC">
        <w:rPr>
          <w:rFonts w:cs="Arial"/>
          <w:i/>
          <w:iCs/>
        </w:rPr>
        <w:t>Ibid</w:t>
      </w:r>
      <w:r w:rsidRPr="008A0FFC">
        <w:rPr>
          <w:rFonts w:cs="Arial"/>
        </w:rPr>
        <w:t>., at para [</w:t>
      </w:r>
      <w:r w:rsidR="00A4448A" w:rsidRPr="008A0FFC">
        <w:rPr>
          <w:rFonts w:cs="Arial"/>
        </w:rPr>
        <w:t>9</w:t>
      </w:r>
      <w:r w:rsidRPr="008A0FFC">
        <w:rPr>
          <w:rFonts w:cs="Arial"/>
        </w:rPr>
        <w:t>], p. 316 D.</w:t>
      </w:r>
      <w:bookmarkEnd w:id="50"/>
    </w:p>
  </w:footnote>
  <w:footnote w:id="63">
    <w:p w14:paraId="36CE8C4A" w14:textId="7C73E11F" w:rsidR="00B877F1" w:rsidRPr="008A0FFC" w:rsidRDefault="00B877F1"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bookmarkStart w:id="51" w:name="_Hlk157503520"/>
      <w:r w:rsidRPr="008A0FFC">
        <w:rPr>
          <w:rFonts w:cs="Arial"/>
          <w:i/>
          <w:iCs/>
        </w:rPr>
        <w:t>Ibid</w:t>
      </w:r>
      <w:r w:rsidRPr="008A0FFC">
        <w:rPr>
          <w:rFonts w:cs="Arial"/>
        </w:rPr>
        <w:t xml:space="preserve">., at para </w:t>
      </w:r>
      <w:r w:rsidR="004E7083" w:rsidRPr="008A0FFC">
        <w:rPr>
          <w:rFonts w:cs="Arial"/>
        </w:rPr>
        <w:t>[10</w:t>
      </w:r>
      <w:r w:rsidRPr="008A0FFC">
        <w:rPr>
          <w:rFonts w:cs="Arial"/>
        </w:rPr>
        <w:t>], p. 316 </w:t>
      </w:r>
      <w:r w:rsidR="004E7083" w:rsidRPr="008A0FFC">
        <w:rPr>
          <w:rFonts w:cs="Arial"/>
        </w:rPr>
        <w:t>E - G</w:t>
      </w:r>
      <w:r w:rsidRPr="008A0FFC">
        <w:rPr>
          <w:rFonts w:cs="Arial"/>
        </w:rPr>
        <w:t>.</w:t>
      </w:r>
      <w:bookmarkEnd w:id="51"/>
    </w:p>
  </w:footnote>
  <w:footnote w:id="64">
    <w:p w14:paraId="36C0708E" w14:textId="35D623EA" w:rsidR="007F641F" w:rsidRPr="008A0FFC" w:rsidRDefault="007F641F"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r w:rsidRPr="008A0FFC">
        <w:rPr>
          <w:rFonts w:cs="Arial"/>
          <w:i/>
          <w:iCs/>
        </w:rPr>
        <w:t>Ibid</w:t>
      </w:r>
      <w:r w:rsidRPr="008A0FFC">
        <w:rPr>
          <w:rFonts w:cs="Arial"/>
        </w:rPr>
        <w:t>., at para [1</w:t>
      </w:r>
      <w:r w:rsidR="00A71D7D" w:rsidRPr="008A0FFC">
        <w:rPr>
          <w:rFonts w:cs="Arial"/>
        </w:rPr>
        <w:t>2</w:t>
      </w:r>
      <w:r w:rsidRPr="008A0FFC">
        <w:rPr>
          <w:rFonts w:cs="Arial"/>
        </w:rPr>
        <w:t>], p. 31</w:t>
      </w:r>
      <w:r w:rsidR="00A71D7D" w:rsidRPr="008A0FFC">
        <w:rPr>
          <w:rFonts w:cs="Arial"/>
        </w:rPr>
        <w:t>7</w:t>
      </w:r>
      <w:r w:rsidRPr="008A0FFC">
        <w:rPr>
          <w:rFonts w:cs="Arial"/>
        </w:rPr>
        <w:t> </w:t>
      </w:r>
      <w:r w:rsidR="00A71D7D" w:rsidRPr="008A0FFC">
        <w:rPr>
          <w:rFonts w:cs="Arial"/>
        </w:rPr>
        <w:t>C</w:t>
      </w:r>
      <w:r w:rsidRPr="008A0FFC">
        <w:rPr>
          <w:rFonts w:cs="Arial"/>
        </w:rPr>
        <w:t xml:space="preserve"> - G.</w:t>
      </w:r>
    </w:p>
  </w:footnote>
  <w:footnote w:id="65">
    <w:p w14:paraId="3626372C" w14:textId="7499FA06" w:rsidR="00F010B3" w:rsidRPr="008A0FFC" w:rsidRDefault="00F010B3"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t xml:space="preserve">These qualifications are contained in </w:t>
      </w:r>
      <w:proofErr w:type="spellStart"/>
      <w:r w:rsidRPr="008A0FFC">
        <w:rPr>
          <w:rFonts w:cs="Arial"/>
        </w:rPr>
        <w:t>ss</w:t>
      </w:r>
      <w:proofErr w:type="spellEnd"/>
      <w:r w:rsidRPr="008A0FFC">
        <w:rPr>
          <w:rFonts w:cs="Arial"/>
        </w:rPr>
        <w:t> (2), (3) and (4) of s 12 of the Prescription Act.</w:t>
      </w:r>
    </w:p>
  </w:footnote>
  <w:footnote w:id="66">
    <w:p w14:paraId="2ED4DF57" w14:textId="67351602" w:rsidR="00F010B3" w:rsidRPr="008A0FFC" w:rsidRDefault="00F010B3"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proofErr w:type="spellStart"/>
      <w:r w:rsidR="00044941" w:rsidRPr="008A0FFC">
        <w:rPr>
          <w:rFonts w:cs="Arial"/>
          <w:b/>
          <w:bCs/>
          <w:i/>
          <w:iCs/>
        </w:rPr>
        <w:t>Truter</w:t>
      </w:r>
      <w:proofErr w:type="spellEnd"/>
      <w:r w:rsidR="00044941" w:rsidRPr="008A0FFC">
        <w:rPr>
          <w:rFonts w:cs="Arial"/>
          <w:b/>
          <w:bCs/>
          <w:i/>
          <w:iCs/>
        </w:rPr>
        <w:t xml:space="preserve"> and Another v </w:t>
      </w:r>
      <w:proofErr w:type="spellStart"/>
      <w:r w:rsidR="00044941" w:rsidRPr="008A0FFC">
        <w:rPr>
          <w:rFonts w:cs="Arial"/>
          <w:b/>
          <w:bCs/>
          <w:i/>
          <w:iCs/>
        </w:rPr>
        <w:t>Deysel</w:t>
      </w:r>
      <w:proofErr w:type="spellEnd"/>
      <w:r w:rsidR="00044941" w:rsidRPr="008A0FFC">
        <w:rPr>
          <w:rFonts w:cs="Arial"/>
        </w:rPr>
        <w:t xml:space="preserve"> 2006 (4) SA 168 (SCA) at paras [16] to [19], pp. 174 C – 175 A; </w:t>
      </w:r>
      <w:r w:rsidR="00044941" w:rsidRPr="008A0FFC">
        <w:rPr>
          <w:rFonts w:cs="Arial"/>
          <w:b/>
          <w:bCs/>
          <w:i/>
          <w:iCs/>
        </w:rPr>
        <w:t>Trinity Asset Management (Pty) Ltd v Grindstone Investments 132 (Pty) Ltd</w:t>
      </w:r>
      <w:r w:rsidR="00044941" w:rsidRPr="008A0FFC">
        <w:rPr>
          <w:rFonts w:cs="Arial"/>
        </w:rPr>
        <w:t> 2018 (1) SA 94 (CC) at (</w:t>
      </w:r>
      <w:r w:rsidR="00044941" w:rsidRPr="008A0FFC">
        <w:rPr>
          <w:rFonts w:cs="Arial"/>
          <w:u w:val="single"/>
        </w:rPr>
        <w:t>first</w:t>
      </w:r>
      <w:r w:rsidR="00044941" w:rsidRPr="008A0FFC">
        <w:rPr>
          <w:rFonts w:cs="Arial"/>
        </w:rPr>
        <w:t xml:space="preserve"> judgment) paras [36] to [38], p. 107 A – F, and (</w:t>
      </w:r>
      <w:r w:rsidR="00044941" w:rsidRPr="008A0FFC">
        <w:rPr>
          <w:rFonts w:cs="Arial"/>
          <w:u w:val="single"/>
        </w:rPr>
        <w:t>second</w:t>
      </w:r>
      <w:r w:rsidR="00044941" w:rsidRPr="008A0FFC">
        <w:rPr>
          <w:rFonts w:cs="Arial"/>
        </w:rPr>
        <w:t xml:space="preserve"> judgment) at paras [96] to [98], pp. 121 C – 122 D; </w:t>
      </w:r>
      <w:r w:rsidR="005844B6" w:rsidRPr="008A0FFC">
        <w:rPr>
          <w:rFonts w:cs="Arial"/>
          <w:b/>
          <w:bCs/>
          <w:i/>
          <w:iCs/>
        </w:rPr>
        <w:t>Standard Bank of South Africa Ltd v Miracle Mile Investments 67 (Pty) Ltd and Another</w:t>
      </w:r>
      <w:r w:rsidR="005844B6" w:rsidRPr="008A0FFC">
        <w:rPr>
          <w:rFonts w:cs="Arial"/>
        </w:rPr>
        <w:t> 2017 (1) SA 185 (SCA)</w:t>
      </w:r>
      <w:r w:rsidR="009E63D1" w:rsidRPr="008A0FFC">
        <w:rPr>
          <w:rFonts w:cs="Arial"/>
        </w:rPr>
        <w:t xml:space="preserve"> at para [24], pp. 193 I to 194 D; </w:t>
      </w:r>
      <w:r w:rsidRPr="008A0FFC">
        <w:rPr>
          <w:rFonts w:cs="Arial"/>
          <w:b/>
          <w:bCs/>
          <w:i/>
          <w:iCs/>
        </w:rPr>
        <w:t xml:space="preserve">Deloitte Haskins &amp; Sells Consultants (Pty) Ltd v </w:t>
      </w:r>
      <w:proofErr w:type="spellStart"/>
      <w:r w:rsidRPr="008A0FFC">
        <w:rPr>
          <w:rFonts w:cs="Arial"/>
          <w:b/>
          <w:bCs/>
          <w:i/>
          <w:iCs/>
        </w:rPr>
        <w:t>Bowthorpe</w:t>
      </w:r>
      <w:proofErr w:type="spellEnd"/>
      <w:r w:rsidRPr="008A0FFC">
        <w:rPr>
          <w:rFonts w:cs="Arial"/>
          <w:b/>
          <w:bCs/>
          <w:i/>
          <w:iCs/>
        </w:rPr>
        <w:t xml:space="preserve"> </w:t>
      </w:r>
      <w:proofErr w:type="spellStart"/>
      <w:r w:rsidRPr="008A0FFC">
        <w:rPr>
          <w:rFonts w:cs="Arial"/>
          <w:b/>
          <w:bCs/>
          <w:i/>
          <w:iCs/>
        </w:rPr>
        <w:t>Hellerman</w:t>
      </w:r>
      <w:proofErr w:type="spellEnd"/>
      <w:r w:rsidRPr="008A0FFC">
        <w:rPr>
          <w:rFonts w:cs="Arial"/>
          <w:b/>
          <w:bCs/>
          <w:i/>
          <w:iCs/>
        </w:rPr>
        <w:t xml:space="preserve"> Deutsch (Pty) Ltd</w:t>
      </w:r>
      <w:r w:rsidRPr="008A0FFC">
        <w:rPr>
          <w:rFonts w:cs="Arial"/>
        </w:rPr>
        <w:t> 1991 (1) SA 525 (A) at p. 532 H – I</w:t>
      </w:r>
      <w:bookmarkStart w:id="53" w:name="_Hlk159148448"/>
      <w:r w:rsidR="005844B6" w:rsidRPr="008A0FFC">
        <w:rPr>
          <w:rFonts w:cs="Arial"/>
        </w:rPr>
        <w:t>.</w:t>
      </w:r>
      <w:bookmarkEnd w:id="53"/>
    </w:p>
  </w:footnote>
  <w:footnote w:id="67">
    <w:p w14:paraId="1113864B" w14:textId="77777777" w:rsidR="009741D6" w:rsidRPr="008A0FFC" w:rsidRDefault="009741D6"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bookmarkStart w:id="54" w:name="_Hlk159418153"/>
      <w:proofErr w:type="spellStart"/>
      <w:r w:rsidRPr="008A0FFC">
        <w:rPr>
          <w:rFonts w:cs="Arial"/>
          <w:b/>
          <w:bCs/>
          <w:i/>
          <w:iCs/>
        </w:rPr>
        <w:t>Truter</w:t>
      </w:r>
      <w:proofErr w:type="spellEnd"/>
      <w:r w:rsidRPr="008A0FFC">
        <w:rPr>
          <w:rFonts w:cs="Arial"/>
        </w:rPr>
        <w:t xml:space="preserve">, </w:t>
      </w:r>
      <w:r w:rsidRPr="008A0FFC">
        <w:rPr>
          <w:rFonts w:cs="Arial"/>
          <w:i/>
          <w:iCs/>
        </w:rPr>
        <w:t>supra</w:t>
      </w:r>
      <w:r w:rsidRPr="008A0FFC">
        <w:rPr>
          <w:rFonts w:cs="Arial"/>
        </w:rPr>
        <w:t>, at para [16], p. 174 C – D.</w:t>
      </w:r>
      <w:bookmarkEnd w:id="54"/>
    </w:p>
  </w:footnote>
  <w:footnote w:id="68">
    <w:p w14:paraId="66BDA495" w14:textId="58F18138" w:rsidR="00EE48D2" w:rsidRPr="008A0FFC" w:rsidRDefault="00EE48D2"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r w:rsidRPr="008A0FFC">
        <w:rPr>
          <w:rFonts w:cs="Arial"/>
          <w:i/>
          <w:iCs/>
        </w:rPr>
        <w:t>Ibid</w:t>
      </w:r>
      <w:r w:rsidRPr="008A0FFC">
        <w:rPr>
          <w:rFonts w:cs="Arial"/>
        </w:rPr>
        <w:t>., para [17], p. 174 E – F.</w:t>
      </w:r>
    </w:p>
  </w:footnote>
  <w:footnote w:id="69">
    <w:p w14:paraId="2CDFEB6D" w14:textId="01070B48" w:rsidR="00355B62" w:rsidRPr="008A0FFC" w:rsidRDefault="00355B62"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t>1989 (3) 200 (A) at p. 216 D – E.</w:t>
      </w:r>
    </w:p>
  </w:footnote>
  <w:footnote w:id="70">
    <w:p w14:paraId="43DC797F" w14:textId="190D82B3" w:rsidR="007C37A9" w:rsidRPr="008A0FFC" w:rsidRDefault="007C37A9"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proofErr w:type="spellStart"/>
      <w:r w:rsidRPr="008A0FFC">
        <w:rPr>
          <w:rFonts w:cs="Arial"/>
          <w:b/>
          <w:bCs/>
          <w:i/>
          <w:iCs/>
        </w:rPr>
        <w:t>Truter</w:t>
      </w:r>
      <w:proofErr w:type="spellEnd"/>
      <w:r w:rsidR="005E461D" w:rsidRPr="008A0FFC">
        <w:rPr>
          <w:rFonts w:cs="Arial"/>
        </w:rPr>
        <w:t xml:space="preserve"> </w:t>
      </w:r>
      <w:r w:rsidRPr="008A0FFC">
        <w:rPr>
          <w:rFonts w:cs="Arial"/>
        </w:rPr>
        <w:t xml:space="preserve">at </w:t>
      </w:r>
      <w:bookmarkStart w:id="56" w:name="_Hlk159079757"/>
      <w:r w:rsidRPr="008A0FFC">
        <w:rPr>
          <w:rFonts w:cs="Arial"/>
        </w:rPr>
        <w:t>para [18], p. 174 G.</w:t>
      </w:r>
      <w:bookmarkEnd w:id="56"/>
      <w:r w:rsidR="00C32DE9" w:rsidRPr="008A0FFC">
        <w:rPr>
          <w:rFonts w:cs="Arial"/>
        </w:rPr>
        <w:t xml:space="preserve">  See too: </w:t>
      </w:r>
      <w:proofErr w:type="spellStart"/>
      <w:r w:rsidR="00B37A13" w:rsidRPr="008A0FFC">
        <w:rPr>
          <w:rFonts w:cs="Arial"/>
          <w:b/>
          <w:bCs/>
          <w:i/>
          <w:iCs/>
        </w:rPr>
        <w:t>Mtokonya</w:t>
      </w:r>
      <w:proofErr w:type="spellEnd"/>
      <w:r w:rsidR="00B37A13" w:rsidRPr="008A0FFC">
        <w:rPr>
          <w:rFonts w:cs="Arial"/>
          <w:b/>
          <w:bCs/>
          <w:i/>
          <w:iCs/>
        </w:rPr>
        <w:t xml:space="preserve"> v Minister of Police</w:t>
      </w:r>
      <w:r w:rsidR="00B37A13" w:rsidRPr="008A0FFC">
        <w:rPr>
          <w:rFonts w:cs="Arial"/>
        </w:rPr>
        <w:t> 2018 (5) SA 22 (CC) at para [62] and [63], p. 46 B – G.</w:t>
      </w:r>
    </w:p>
  </w:footnote>
  <w:footnote w:id="71">
    <w:p w14:paraId="7E05C747" w14:textId="4E1DDE77" w:rsidR="005E461D" w:rsidRPr="008A0FFC" w:rsidRDefault="005E461D"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r w:rsidRPr="008A0FFC">
        <w:rPr>
          <w:rFonts w:cs="Arial"/>
          <w:i/>
          <w:iCs/>
        </w:rPr>
        <w:t>Ibid</w:t>
      </w:r>
      <w:r w:rsidRPr="008A0FFC">
        <w:rPr>
          <w:rFonts w:cs="Arial"/>
        </w:rPr>
        <w:t xml:space="preserve">., at para [19], pp. 174 G – 175 A, citing </w:t>
      </w:r>
      <w:r w:rsidRPr="008A0FFC">
        <w:rPr>
          <w:rFonts w:cs="Arial"/>
          <w:b/>
          <w:bCs/>
          <w:i/>
          <w:iCs/>
        </w:rPr>
        <w:t xml:space="preserve">McKenzie v </w:t>
      </w:r>
      <w:proofErr w:type="spellStart"/>
      <w:r w:rsidRPr="008A0FFC">
        <w:rPr>
          <w:rFonts w:cs="Arial"/>
          <w:b/>
          <w:bCs/>
          <w:i/>
          <w:iCs/>
        </w:rPr>
        <w:t>Farmers</w:t>
      </w:r>
      <w:proofErr w:type="spellEnd"/>
      <w:r w:rsidRPr="008A0FFC">
        <w:rPr>
          <w:rFonts w:cs="Arial"/>
          <w:b/>
          <w:bCs/>
          <w:i/>
          <w:iCs/>
        </w:rPr>
        <w:t xml:space="preserve"> Co-Operative Meat Industries Ltd</w:t>
      </w:r>
      <w:r w:rsidRPr="008A0FFC">
        <w:rPr>
          <w:rFonts w:cs="Arial"/>
        </w:rPr>
        <w:t xml:space="preserve"> 1922 AD 16 at p. 23 (per </w:t>
      </w:r>
      <w:proofErr w:type="spellStart"/>
      <w:r w:rsidRPr="008A0FFC">
        <w:rPr>
          <w:rFonts w:cs="Arial"/>
        </w:rPr>
        <w:t>Maasdorp</w:t>
      </w:r>
      <w:proofErr w:type="spellEnd"/>
      <w:r w:rsidRPr="008A0FFC">
        <w:rPr>
          <w:rFonts w:cs="Arial"/>
        </w:rPr>
        <w:t xml:space="preserve"> JA, with Innes CJ, De Villiers JA, </w:t>
      </w:r>
      <w:proofErr w:type="spellStart"/>
      <w:r w:rsidRPr="008A0FFC">
        <w:rPr>
          <w:rFonts w:cs="Arial"/>
        </w:rPr>
        <w:t>Juta</w:t>
      </w:r>
      <w:proofErr w:type="spellEnd"/>
      <w:r w:rsidRPr="008A0FFC">
        <w:rPr>
          <w:rFonts w:cs="Arial"/>
        </w:rPr>
        <w:t xml:space="preserve"> JA, and JER de Villiers AJA concurring).</w:t>
      </w:r>
      <w:r w:rsidR="00CB79E0" w:rsidRPr="008A0FFC">
        <w:rPr>
          <w:rFonts w:cs="Arial"/>
        </w:rPr>
        <w:t xml:space="preserve"> See too: </w:t>
      </w:r>
      <w:proofErr w:type="spellStart"/>
      <w:r w:rsidR="00CB79E0" w:rsidRPr="008A0FFC">
        <w:rPr>
          <w:rFonts w:cs="Arial"/>
          <w:b/>
          <w:bCs/>
          <w:i/>
          <w:iCs/>
        </w:rPr>
        <w:t>Ascendis</w:t>
      </w:r>
      <w:proofErr w:type="spellEnd"/>
      <w:r w:rsidR="00CB79E0" w:rsidRPr="008A0FFC">
        <w:rPr>
          <w:rFonts w:cs="Arial"/>
          <w:b/>
          <w:bCs/>
          <w:i/>
          <w:iCs/>
        </w:rPr>
        <w:t xml:space="preserve"> Animal Health (Pty) Ltd v Merck Sharp </w:t>
      </w:r>
      <w:proofErr w:type="spellStart"/>
      <w:r w:rsidR="00CB79E0" w:rsidRPr="008A0FFC">
        <w:rPr>
          <w:rFonts w:cs="Arial"/>
          <w:b/>
          <w:bCs/>
          <w:i/>
          <w:iCs/>
        </w:rPr>
        <w:t>Dohme</w:t>
      </w:r>
      <w:proofErr w:type="spellEnd"/>
      <w:r w:rsidR="00CB79E0" w:rsidRPr="008A0FFC">
        <w:rPr>
          <w:rFonts w:cs="Arial"/>
          <w:b/>
          <w:bCs/>
          <w:i/>
          <w:iCs/>
        </w:rPr>
        <w:t xml:space="preserve"> Corporation and Others</w:t>
      </w:r>
      <w:r w:rsidR="00CB79E0" w:rsidRPr="008A0FFC">
        <w:rPr>
          <w:rFonts w:cs="Arial"/>
          <w:i/>
          <w:iCs/>
        </w:rPr>
        <w:t> </w:t>
      </w:r>
      <w:r w:rsidR="00CB79E0" w:rsidRPr="008A0FFC">
        <w:rPr>
          <w:rFonts w:cs="Arial"/>
        </w:rPr>
        <w:t>2020 (1) SA 327 (CC) at paras [50] to [53], pp. 343 and 344</w:t>
      </w:r>
      <w:r w:rsidR="00CB79E0" w:rsidRPr="008A0FFC">
        <w:rPr>
          <w:rFonts w:cs="Arial"/>
          <w:i/>
          <w:iCs/>
        </w:rPr>
        <w:t>.</w:t>
      </w:r>
    </w:p>
  </w:footnote>
  <w:footnote w:id="72">
    <w:p w14:paraId="306D927C" w14:textId="2C862E8E" w:rsidR="0021666F" w:rsidRPr="008A0FFC" w:rsidRDefault="0021666F"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t xml:space="preserve">John Saner SC, </w:t>
      </w:r>
      <w:r w:rsidRPr="008A0FFC">
        <w:rPr>
          <w:rFonts w:cs="Arial"/>
          <w:b/>
          <w:bCs/>
        </w:rPr>
        <w:t>Prescription in South African Law</w:t>
      </w:r>
      <w:r w:rsidRPr="008A0FFC">
        <w:rPr>
          <w:rFonts w:cs="Arial"/>
        </w:rPr>
        <w:t>, LexisNexis, Durban [Issue 34], p. 3-135.</w:t>
      </w:r>
    </w:p>
  </w:footnote>
  <w:footnote w:id="73">
    <w:p w14:paraId="58954B6B" w14:textId="1EA2D820" w:rsidR="008E4541" w:rsidRPr="008A0FFC" w:rsidRDefault="008E4541"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t>[2007] 1 All SA 375 (SCA).</w:t>
      </w:r>
    </w:p>
  </w:footnote>
  <w:footnote w:id="74">
    <w:p w14:paraId="3CB71BC8" w14:textId="36A26745" w:rsidR="00731082" w:rsidRPr="008A0FFC" w:rsidRDefault="00731082"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r w:rsidRPr="008A0FFC">
        <w:rPr>
          <w:rFonts w:cs="Arial"/>
          <w:i/>
          <w:iCs/>
        </w:rPr>
        <w:t>Ibid</w:t>
      </w:r>
      <w:r w:rsidRPr="008A0FFC">
        <w:rPr>
          <w:rFonts w:cs="Arial"/>
        </w:rPr>
        <w:t>., at paras [4] and [5], pp 377 and 378.</w:t>
      </w:r>
    </w:p>
  </w:footnote>
  <w:footnote w:id="75">
    <w:p w14:paraId="18442E7B" w14:textId="77777777" w:rsidR="00650813" w:rsidRPr="008A0FFC" w:rsidRDefault="00650813" w:rsidP="00650813">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r w:rsidRPr="008A0FFC">
        <w:rPr>
          <w:rFonts w:cs="Arial"/>
          <w:b/>
          <w:bCs/>
          <w:i/>
          <w:iCs/>
        </w:rPr>
        <w:t xml:space="preserve">Minister of Justice and Constitutional Development and others v </w:t>
      </w:r>
      <w:proofErr w:type="spellStart"/>
      <w:r w:rsidRPr="008A0FFC">
        <w:rPr>
          <w:rFonts w:cs="Arial"/>
          <w:b/>
          <w:bCs/>
          <w:i/>
          <w:iCs/>
        </w:rPr>
        <w:t>Moleko</w:t>
      </w:r>
      <w:proofErr w:type="spellEnd"/>
      <w:r w:rsidRPr="008A0FFC">
        <w:rPr>
          <w:rFonts w:cs="Arial"/>
        </w:rPr>
        <w:t xml:space="preserve"> [2008] 3 All SA 47 (SCA) at para [8], p. 46.  See too, in this regard, </w:t>
      </w:r>
      <w:r w:rsidRPr="008A0FFC">
        <w:rPr>
          <w:rFonts w:cs="Arial"/>
          <w:b/>
          <w:bCs/>
          <w:i/>
          <w:iCs/>
        </w:rPr>
        <w:t xml:space="preserve">Lederman v </w:t>
      </w:r>
      <w:proofErr w:type="spellStart"/>
      <w:r w:rsidRPr="008A0FFC">
        <w:rPr>
          <w:rFonts w:cs="Arial"/>
          <w:b/>
          <w:bCs/>
          <w:i/>
          <w:iCs/>
        </w:rPr>
        <w:t>Moharal</w:t>
      </w:r>
      <w:proofErr w:type="spellEnd"/>
      <w:r w:rsidRPr="008A0FFC">
        <w:rPr>
          <w:rFonts w:cs="Arial"/>
          <w:b/>
          <w:bCs/>
          <w:i/>
          <w:iCs/>
        </w:rPr>
        <w:t xml:space="preserve"> Investments (Pty) Ltd</w:t>
      </w:r>
      <w:r w:rsidRPr="008A0FFC">
        <w:rPr>
          <w:rFonts w:cs="Arial"/>
        </w:rPr>
        <w:t xml:space="preserve"> 1969 (1) SA 190 (A) at pp. 196 G – 197 F; and LTC Harms, </w:t>
      </w:r>
      <w:proofErr w:type="spellStart"/>
      <w:r w:rsidRPr="008A0FFC">
        <w:rPr>
          <w:rFonts w:cs="Arial"/>
          <w:b/>
          <w:bCs/>
        </w:rPr>
        <w:t>Amler’s</w:t>
      </w:r>
      <w:proofErr w:type="spellEnd"/>
      <w:r w:rsidRPr="008A0FFC">
        <w:rPr>
          <w:rFonts w:cs="Arial"/>
          <w:b/>
          <w:bCs/>
        </w:rPr>
        <w:t xml:space="preserve"> Precedents of Pleadings</w:t>
      </w:r>
      <w:r w:rsidRPr="008A0FFC">
        <w:rPr>
          <w:rFonts w:cs="Arial"/>
        </w:rPr>
        <w:t>, 2018 - Ninth Edition, LexisNexis (Durban), p. 256.</w:t>
      </w:r>
    </w:p>
  </w:footnote>
  <w:footnote w:id="76">
    <w:p w14:paraId="21B30A4D" w14:textId="77777777" w:rsidR="00E943F9" w:rsidRPr="008A0FFC" w:rsidRDefault="00E943F9"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r w:rsidRPr="008A0FFC">
        <w:rPr>
          <w:rFonts w:cs="Arial"/>
          <w:i/>
          <w:iCs/>
        </w:rPr>
        <w:t>Ibid</w:t>
      </w:r>
      <w:r w:rsidRPr="008A0FFC">
        <w:rPr>
          <w:rFonts w:cs="Arial"/>
        </w:rPr>
        <w:t>., at paras 6.1 and 6.2.1, pp. 001-5 and 001-6.</w:t>
      </w:r>
    </w:p>
  </w:footnote>
  <w:footnote w:id="77">
    <w:p w14:paraId="78FF4245" w14:textId="77777777" w:rsidR="00C85696" w:rsidRPr="008A0FFC" w:rsidRDefault="00C85696" w:rsidP="008A0FFC">
      <w:pPr>
        <w:pStyle w:val="FootnoteText"/>
        <w:rPr>
          <w:rFonts w:cs="Arial"/>
          <w:i/>
          <w:iCs/>
        </w:rPr>
      </w:pPr>
      <w:r w:rsidRPr="008A0FFC">
        <w:rPr>
          <w:rStyle w:val="FootnoteReference"/>
          <w:rFonts w:cs="Arial"/>
        </w:rPr>
        <w:footnoteRef/>
      </w:r>
      <w:r w:rsidRPr="008A0FFC">
        <w:rPr>
          <w:rFonts w:cs="Arial"/>
        </w:rPr>
        <w:t xml:space="preserve"> </w:t>
      </w:r>
      <w:r w:rsidRPr="008A0FFC">
        <w:rPr>
          <w:rFonts w:cs="Arial"/>
        </w:rPr>
        <w:tab/>
        <w:t>Ordinarily, an allegation of ‘</w:t>
      </w:r>
      <w:r w:rsidRPr="008A0FFC">
        <w:rPr>
          <w:rFonts w:cs="Arial"/>
          <w:i/>
          <w:iCs/>
        </w:rPr>
        <w:t>intention to injure</w:t>
      </w:r>
      <w:r w:rsidRPr="008A0FFC">
        <w:rPr>
          <w:rFonts w:cs="Arial"/>
        </w:rPr>
        <w:t xml:space="preserve">’ (i.e., </w:t>
      </w:r>
      <w:r w:rsidRPr="008A0FFC">
        <w:rPr>
          <w:rFonts w:cs="Arial"/>
          <w:i/>
          <w:iCs/>
        </w:rPr>
        <w:t xml:space="preserve">animus </w:t>
      </w:r>
      <w:proofErr w:type="spellStart"/>
      <w:r w:rsidRPr="008A0FFC">
        <w:rPr>
          <w:rFonts w:cs="Arial"/>
          <w:i/>
          <w:iCs/>
        </w:rPr>
        <w:t>injuriandi</w:t>
      </w:r>
      <w:proofErr w:type="spellEnd"/>
      <w:r w:rsidRPr="008A0FFC">
        <w:rPr>
          <w:rFonts w:cs="Arial"/>
          <w:i/>
          <w:iCs/>
        </w:rPr>
        <w:t xml:space="preserve">, </w:t>
      </w:r>
      <w:proofErr w:type="spellStart"/>
      <w:r w:rsidRPr="008A0FFC">
        <w:rPr>
          <w:rFonts w:cs="Arial"/>
          <w:i/>
          <w:iCs/>
        </w:rPr>
        <w:t>dolus</w:t>
      </w:r>
      <w:proofErr w:type="spellEnd"/>
      <w:r w:rsidRPr="008A0FFC">
        <w:rPr>
          <w:rFonts w:cs="Arial"/>
        </w:rPr>
        <w:t>) is necessary in an action for malicious arrest (</w:t>
      </w:r>
      <w:r w:rsidRPr="008A0FFC">
        <w:rPr>
          <w:rFonts w:cs="Arial"/>
          <w:i/>
          <w:iCs/>
        </w:rPr>
        <w:t>Cf</w:t>
      </w:r>
      <w:r w:rsidRPr="008A0FFC">
        <w:rPr>
          <w:rFonts w:cs="Arial"/>
        </w:rPr>
        <w:t xml:space="preserve">. </w:t>
      </w:r>
      <w:proofErr w:type="spellStart"/>
      <w:r w:rsidRPr="008A0FFC">
        <w:rPr>
          <w:rFonts w:cs="Arial"/>
          <w:b/>
          <w:bCs/>
          <w:i/>
          <w:iCs/>
        </w:rPr>
        <w:t>Tödt</w:t>
      </w:r>
      <w:proofErr w:type="spellEnd"/>
      <w:r w:rsidRPr="008A0FFC">
        <w:rPr>
          <w:rFonts w:cs="Arial"/>
          <w:b/>
          <w:bCs/>
          <w:i/>
          <w:iCs/>
        </w:rPr>
        <w:t xml:space="preserve"> v </w:t>
      </w:r>
      <w:proofErr w:type="spellStart"/>
      <w:r w:rsidRPr="008A0FFC">
        <w:rPr>
          <w:rFonts w:cs="Arial"/>
          <w:b/>
          <w:bCs/>
          <w:i/>
          <w:iCs/>
        </w:rPr>
        <w:t>Ipser</w:t>
      </w:r>
      <w:proofErr w:type="spellEnd"/>
      <w:r w:rsidRPr="008A0FFC">
        <w:rPr>
          <w:rFonts w:cs="Arial"/>
        </w:rPr>
        <w:t xml:space="preserve"> 1993 (3) SA 577 (A) at p. 586 F).  However, in </w:t>
      </w:r>
      <w:proofErr w:type="spellStart"/>
      <w:r w:rsidRPr="008A0FFC">
        <w:rPr>
          <w:rFonts w:cs="Arial"/>
          <w:b/>
          <w:bCs/>
          <w:i/>
          <w:iCs/>
        </w:rPr>
        <w:t>Moaki</w:t>
      </w:r>
      <w:proofErr w:type="spellEnd"/>
      <w:r w:rsidRPr="008A0FFC">
        <w:rPr>
          <w:rFonts w:cs="Arial"/>
          <w:b/>
          <w:bCs/>
          <w:i/>
          <w:iCs/>
        </w:rPr>
        <w:t xml:space="preserve"> v Reckitt and Colman (Africa) Ltd and Another</w:t>
      </w:r>
      <w:r w:rsidRPr="008A0FFC">
        <w:rPr>
          <w:rFonts w:cs="Arial"/>
        </w:rPr>
        <w:t xml:space="preserve"> 1968 (3) SA 98 (A) at pp. 103 G – 104 F, </w:t>
      </w:r>
      <w:proofErr w:type="spellStart"/>
      <w:r w:rsidRPr="008A0FFC">
        <w:rPr>
          <w:rFonts w:cs="Arial"/>
        </w:rPr>
        <w:t>Wessels</w:t>
      </w:r>
      <w:proofErr w:type="spellEnd"/>
      <w:r w:rsidRPr="008A0FFC">
        <w:rPr>
          <w:rFonts w:cs="Arial"/>
        </w:rPr>
        <w:t>, JA (writing for the court) acknowledged that the use of the term ‘</w:t>
      </w:r>
      <w:r w:rsidRPr="008A0FFC">
        <w:rPr>
          <w:rFonts w:cs="Arial"/>
          <w:i/>
          <w:iCs/>
        </w:rPr>
        <w:t>malice</w:t>
      </w:r>
      <w:r w:rsidRPr="008A0FFC">
        <w:rPr>
          <w:rFonts w:cs="Arial"/>
        </w:rPr>
        <w:t xml:space="preserve">’ had become customary to denote and intention to injure or </w:t>
      </w:r>
      <w:r w:rsidRPr="008A0FFC">
        <w:rPr>
          <w:rFonts w:cs="Arial"/>
          <w:i/>
          <w:iCs/>
        </w:rPr>
        <w:t xml:space="preserve">animus </w:t>
      </w:r>
      <w:proofErr w:type="spellStart"/>
      <w:r w:rsidRPr="008A0FFC">
        <w:rPr>
          <w:rFonts w:cs="Arial"/>
          <w:i/>
          <w:iCs/>
        </w:rPr>
        <w:t>iniuriandi</w:t>
      </w:r>
      <w:proofErr w:type="spellEnd"/>
      <w:r w:rsidRPr="008A0FFC">
        <w:rPr>
          <w:rFonts w:cs="Arial"/>
        </w:rPr>
        <w:t>.</w:t>
      </w:r>
    </w:p>
  </w:footnote>
  <w:footnote w:id="78">
    <w:p w14:paraId="739E45CD" w14:textId="77777777" w:rsidR="00C85696" w:rsidRPr="008A0FFC" w:rsidRDefault="00C85696"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proofErr w:type="spellStart"/>
      <w:r w:rsidRPr="008A0FFC">
        <w:rPr>
          <w:rFonts w:cs="Arial"/>
        </w:rPr>
        <w:t>CaseLines</w:t>
      </w:r>
      <w:proofErr w:type="spellEnd"/>
      <w:r w:rsidRPr="008A0FFC">
        <w:rPr>
          <w:rFonts w:cs="Arial"/>
        </w:rPr>
        <w:t>: POC, para 6.1, p. 001-5.</w:t>
      </w:r>
    </w:p>
  </w:footnote>
  <w:footnote w:id="79">
    <w:p w14:paraId="19E8C9AD" w14:textId="77777777" w:rsidR="00C85696" w:rsidRPr="008A0FFC" w:rsidRDefault="00C85696"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r w:rsidRPr="008A0FFC">
        <w:rPr>
          <w:rFonts w:cs="Arial"/>
          <w:i/>
          <w:iCs/>
        </w:rPr>
        <w:t>Id</w:t>
      </w:r>
      <w:r w:rsidRPr="008A0FFC">
        <w:rPr>
          <w:rFonts w:cs="Arial"/>
        </w:rPr>
        <w:t>.</w:t>
      </w:r>
    </w:p>
  </w:footnote>
  <w:footnote w:id="80">
    <w:p w14:paraId="128DC399" w14:textId="77777777" w:rsidR="00C85696" w:rsidRPr="008A0FFC" w:rsidRDefault="00C85696"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r w:rsidRPr="008A0FFC">
        <w:rPr>
          <w:rFonts w:cs="Arial"/>
          <w:i/>
          <w:iCs/>
        </w:rPr>
        <w:t>Ibid</w:t>
      </w:r>
      <w:r w:rsidRPr="008A0FFC">
        <w:rPr>
          <w:rFonts w:cs="Arial"/>
        </w:rPr>
        <w:t>., para 6.2, pp. 001-5 and 001-6.</w:t>
      </w:r>
    </w:p>
  </w:footnote>
  <w:footnote w:id="81">
    <w:p w14:paraId="63957E93" w14:textId="3D8FADDF" w:rsidR="00C85696" w:rsidRPr="008A0FFC" w:rsidRDefault="00C85696"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r w:rsidRPr="008A0FFC">
        <w:rPr>
          <w:rFonts w:cs="Arial"/>
          <w:i/>
          <w:iCs/>
        </w:rPr>
        <w:t>Ibid</w:t>
      </w:r>
      <w:r w:rsidRPr="008A0FFC">
        <w:rPr>
          <w:rFonts w:cs="Arial"/>
        </w:rPr>
        <w:t>., para 6.4, p. 001-6.  On a benevolent reading of the pleading, I consider that the pleader seeks to assert that the Minister (vicariously through the actions of Captain Zulu) ‘</w:t>
      </w:r>
      <w:r w:rsidRPr="008A0FFC">
        <w:rPr>
          <w:rFonts w:cs="Arial"/>
          <w:i/>
          <w:iCs/>
        </w:rPr>
        <w:t>set the law in motion (instigated or instituted the proceedings)</w:t>
      </w:r>
      <w:r w:rsidRPr="008A0FFC">
        <w:rPr>
          <w:rFonts w:cs="Arial"/>
        </w:rPr>
        <w:t>’ See</w:t>
      </w:r>
      <w:r w:rsidR="00057626" w:rsidRPr="008A0FFC">
        <w:rPr>
          <w:rFonts w:cs="Arial"/>
        </w:rPr>
        <w:t xml:space="preserve"> too</w:t>
      </w:r>
      <w:r w:rsidRPr="008A0FFC">
        <w:rPr>
          <w:rFonts w:cs="Arial"/>
        </w:rPr>
        <w:t xml:space="preserve">, </w:t>
      </w:r>
      <w:r w:rsidRPr="008A0FFC">
        <w:rPr>
          <w:rFonts w:cs="Arial"/>
          <w:b/>
          <w:bCs/>
          <w:i/>
          <w:iCs/>
        </w:rPr>
        <w:t>Lederman</w:t>
      </w:r>
      <w:r w:rsidRPr="008A0FFC">
        <w:rPr>
          <w:rFonts w:cs="Arial"/>
        </w:rPr>
        <w:t xml:space="preserve">, </w:t>
      </w:r>
      <w:r w:rsidR="00057626" w:rsidRPr="008A0FFC">
        <w:rPr>
          <w:rFonts w:cs="Arial"/>
          <w:i/>
          <w:iCs/>
        </w:rPr>
        <w:t>supra</w:t>
      </w:r>
      <w:r w:rsidR="00057626" w:rsidRPr="008A0FFC">
        <w:rPr>
          <w:rFonts w:cs="Arial"/>
        </w:rPr>
        <w:t xml:space="preserve">, </w:t>
      </w:r>
      <w:r w:rsidRPr="008A0FFC">
        <w:rPr>
          <w:rFonts w:cs="Arial"/>
        </w:rPr>
        <w:t>at p. 196 G – H.</w:t>
      </w:r>
    </w:p>
  </w:footnote>
  <w:footnote w:id="82">
    <w:p w14:paraId="2B7CADCF" w14:textId="1F413484" w:rsidR="00DF4B4C" w:rsidRPr="008A0FFC" w:rsidRDefault="00DF4B4C"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proofErr w:type="spellStart"/>
      <w:r w:rsidR="00C231B5" w:rsidRPr="008A0FFC">
        <w:rPr>
          <w:rFonts w:cs="Arial"/>
          <w:b/>
          <w:bCs/>
          <w:i/>
          <w:iCs/>
        </w:rPr>
        <w:t>Mabaso</w:t>
      </w:r>
      <w:proofErr w:type="spellEnd"/>
      <w:r w:rsidR="00C231B5" w:rsidRPr="008A0FFC">
        <w:rPr>
          <w:rFonts w:cs="Arial"/>
          <w:b/>
          <w:bCs/>
          <w:i/>
          <w:iCs/>
        </w:rPr>
        <w:t xml:space="preserve"> v Felix</w:t>
      </w:r>
      <w:r w:rsidR="00C231B5" w:rsidRPr="008A0FFC">
        <w:rPr>
          <w:rFonts w:cs="Arial"/>
        </w:rPr>
        <w:t> 1981 (3) SA 865 (A) at p. 873</w:t>
      </w:r>
      <w:r w:rsidR="007067FB" w:rsidRPr="008A0FFC">
        <w:rPr>
          <w:rFonts w:cs="Arial"/>
        </w:rPr>
        <w:t xml:space="preserve"> G </w:t>
      </w:r>
      <w:r w:rsidR="00D643A2" w:rsidRPr="008A0FFC">
        <w:rPr>
          <w:rFonts w:cs="Arial"/>
        </w:rPr>
        <w:t xml:space="preserve">- p. </w:t>
      </w:r>
      <w:r w:rsidR="00C231B5" w:rsidRPr="008A0FFC">
        <w:rPr>
          <w:rFonts w:cs="Arial"/>
        </w:rPr>
        <w:t>874</w:t>
      </w:r>
      <w:r w:rsidR="00D643A2" w:rsidRPr="008A0FFC">
        <w:rPr>
          <w:rFonts w:cs="Arial"/>
        </w:rPr>
        <w:t> E</w:t>
      </w:r>
      <w:r w:rsidR="00C231B5" w:rsidRPr="008A0FFC">
        <w:rPr>
          <w:rFonts w:cs="Arial"/>
        </w:rPr>
        <w:t>.</w:t>
      </w:r>
    </w:p>
  </w:footnote>
  <w:footnote w:id="83">
    <w:p w14:paraId="16858FF2" w14:textId="67DE6601" w:rsidR="00F4651D" w:rsidRPr="008A0FFC" w:rsidRDefault="00F4651D"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proofErr w:type="spellStart"/>
      <w:r w:rsidR="000F12A8" w:rsidRPr="008A0FFC">
        <w:rPr>
          <w:rFonts w:cs="Arial"/>
        </w:rPr>
        <w:t>CaseLines</w:t>
      </w:r>
      <w:proofErr w:type="spellEnd"/>
      <w:r w:rsidR="000F12A8" w:rsidRPr="008A0FFC">
        <w:rPr>
          <w:rFonts w:cs="Arial"/>
        </w:rPr>
        <w:t xml:space="preserve">: Mr </w:t>
      </w:r>
      <w:proofErr w:type="spellStart"/>
      <w:r w:rsidR="000F12A8" w:rsidRPr="008A0FFC">
        <w:rPr>
          <w:rFonts w:cs="Arial"/>
        </w:rPr>
        <w:t>Mangasa's</w:t>
      </w:r>
      <w:proofErr w:type="spellEnd"/>
      <w:r w:rsidR="000F12A8" w:rsidRPr="008A0FFC">
        <w:rPr>
          <w:rFonts w:cs="Arial"/>
        </w:rPr>
        <w:t xml:space="preserve"> founding affidavit: paras </w:t>
      </w:r>
      <w:r w:rsidR="00016DF8" w:rsidRPr="008A0FFC">
        <w:rPr>
          <w:rFonts w:cs="Arial"/>
        </w:rPr>
        <w:t>7 and</w:t>
      </w:r>
      <w:r w:rsidR="000F12A8" w:rsidRPr="008A0FFC">
        <w:rPr>
          <w:rFonts w:cs="Arial"/>
        </w:rPr>
        <w:t xml:space="preserve"> 8, p. 018-4.</w:t>
      </w:r>
    </w:p>
  </w:footnote>
  <w:footnote w:id="84">
    <w:p w14:paraId="76EA3565" w14:textId="795AC7C1" w:rsidR="003111D0" w:rsidRDefault="003111D0" w:rsidP="00824AFD">
      <w:pPr>
        <w:pStyle w:val="FootnoteText"/>
      </w:pPr>
      <w:r>
        <w:rPr>
          <w:rStyle w:val="FootnoteReference"/>
        </w:rPr>
        <w:footnoteRef/>
      </w:r>
      <w:r>
        <w:t xml:space="preserve"> </w:t>
      </w:r>
      <w:r>
        <w:tab/>
      </w:r>
      <w:r w:rsidRPr="003111D0">
        <w:t>E Cameron '</w:t>
      </w:r>
      <w:r w:rsidRPr="003111D0">
        <w:rPr>
          <w:i/>
          <w:iCs/>
        </w:rPr>
        <w:t>Time</w:t>
      </w:r>
      <w:r w:rsidRPr="003111D0">
        <w:t xml:space="preserve">', Volume 27, </w:t>
      </w:r>
      <w:r w:rsidRPr="003111D0">
        <w:rPr>
          <w:b/>
          <w:bCs/>
        </w:rPr>
        <w:t>Law of South Africa</w:t>
      </w:r>
      <w:r w:rsidRPr="003111D0">
        <w:t xml:space="preserve"> (‘</w:t>
      </w:r>
      <w:r w:rsidRPr="003111D0">
        <w:rPr>
          <w:b/>
          <w:bCs/>
        </w:rPr>
        <w:t>LAWSA</w:t>
      </w:r>
      <w:r w:rsidRPr="003111D0">
        <w:t xml:space="preserve">’), Second Edition, para 285.  According to the civilian method of computation ‘… </w:t>
      </w:r>
      <w:r w:rsidRPr="00EA57E0">
        <w:rPr>
          <w:i/>
          <w:iCs/>
        </w:rPr>
        <w:t>a period thus always commences at the start of the day in the later course of which the initiating event occurs. … the period must end at midnight at the end of the day before the day in the course of which the period would according to the natural method of calculation have expired</w:t>
      </w:r>
      <w:r w:rsidRPr="003111D0">
        <w:t xml:space="preserve">.’  </w:t>
      </w:r>
      <w:r w:rsidR="00824AFD">
        <w:t xml:space="preserve">See too: </w:t>
      </w:r>
      <w:r w:rsidR="00824AFD" w:rsidRPr="00824AFD">
        <w:rPr>
          <w:b/>
          <w:bCs/>
          <w:i/>
          <w:iCs/>
        </w:rPr>
        <w:t>Ex parte Minister of Social Development and Others</w:t>
      </w:r>
      <w:r w:rsidR="00824AFD">
        <w:t xml:space="preserve"> 2006 (4) SA 309 (CC) at para [24], p. </w:t>
      </w:r>
      <w:r w:rsidR="00652230">
        <w:t>316 G – I.</w:t>
      </w:r>
    </w:p>
  </w:footnote>
  <w:footnote w:id="85">
    <w:p w14:paraId="16F0FB4F" w14:textId="1A26A18D" w:rsidR="00A96146" w:rsidRPr="008A0FFC" w:rsidRDefault="00A96146"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t>(1896) 13 SC 403</w:t>
      </w:r>
      <w:r w:rsidR="00727111" w:rsidRPr="008A0FFC">
        <w:rPr>
          <w:rFonts w:cs="Arial"/>
        </w:rPr>
        <w:t xml:space="preserve">.  </w:t>
      </w:r>
    </w:p>
  </w:footnote>
  <w:footnote w:id="86">
    <w:p w14:paraId="1DDF0821" w14:textId="77777777" w:rsidR="00001791" w:rsidRPr="008A0FFC" w:rsidRDefault="00001791"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t>At p. 407.</w:t>
      </w:r>
    </w:p>
  </w:footnote>
  <w:footnote w:id="87">
    <w:p w14:paraId="6CCCE652" w14:textId="10460FC7" w:rsidR="008D1C89" w:rsidRPr="008A0FFC" w:rsidRDefault="008D1C89"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t>1993 (1) SA 12 (C).</w:t>
      </w:r>
    </w:p>
  </w:footnote>
  <w:footnote w:id="88">
    <w:p w14:paraId="11CDCE97" w14:textId="77777777" w:rsidR="001654B2" w:rsidRPr="008A0FFC" w:rsidRDefault="001654B2"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proofErr w:type="spellStart"/>
      <w:r w:rsidRPr="008A0FFC">
        <w:rPr>
          <w:rFonts w:cs="Arial"/>
          <w:b/>
          <w:bCs/>
          <w:i/>
          <w:iCs/>
        </w:rPr>
        <w:t>Els</w:t>
      </w:r>
      <w:proofErr w:type="spellEnd"/>
      <w:r w:rsidRPr="008A0FFC">
        <w:rPr>
          <w:rFonts w:cs="Arial"/>
        </w:rPr>
        <w:t xml:space="preserve">, </w:t>
      </w:r>
      <w:r w:rsidRPr="008A0FFC">
        <w:rPr>
          <w:rFonts w:cs="Arial"/>
          <w:i/>
          <w:iCs/>
        </w:rPr>
        <w:t>supra</w:t>
      </w:r>
      <w:r w:rsidRPr="008A0FFC">
        <w:rPr>
          <w:rFonts w:cs="Arial"/>
        </w:rPr>
        <w:t>, at pp. 15 J – 16 B, as well as at p. 16 I.</w:t>
      </w:r>
    </w:p>
  </w:footnote>
  <w:footnote w:id="89">
    <w:p w14:paraId="1F7B3C8B" w14:textId="77777777" w:rsidR="001654B2" w:rsidRPr="008A0FFC" w:rsidRDefault="001654B2"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bookmarkStart w:id="58" w:name="_Hlk159242816"/>
      <w:r w:rsidRPr="008A0FFC">
        <w:rPr>
          <w:rFonts w:cs="Arial"/>
          <w:i/>
          <w:iCs/>
        </w:rPr>
        <w:t>Ibid</w:t>
      </w:r>
      <w:r w:rsidRPr="008A0FFC">
        <w:rPr>
          <w:rFonts w:cs="Arial"/>
        </w:rPr>
        <w:t>., pp. 17 G – 18A.</w:t>
      </w:r>
      <w:bookmarkEnd w:id="58"/>
    </w:p>
  </w:footnote>
  <w:footnote w:id="90">
    <w:p w14:paraId="37CD653E" w14:textId="77AE12EB" w:rsidR="00D64E91" w:rsidRPr="008A0FFC" w:rsidRDefault="00D64E91"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bookmarkStart w:id="59" w:name="_Hlk159246070"/>
      <w:r w:rsidRPr="008A0FFC">
        <w:rPr>
          <w:rFonts w:cs="Arial"/>
          <w:i/>
          <w:iCs/>
        </w:rPr>
        <w:t>Ibid</w:t>
      </w:r>
      <w:r w:rsidRPr="008A0FFC">
        <w:rPr>
          <w:rFonts w:cs="Arial"/>
        </w:rPr>
        <w:t>., p. 15 G.</w:t>
      </w:r>
      <w:bookmarkEnd w:id="59"/>
    </w:p>
  </w:footnote>
  <w:footnote w:id="91">
    <w:p w14:paraId="74D5CAD0" w14:textId="1469CD5B" w:rsidR="006174C1" w:rsidRPr="008A0FFC" w:rsidRDefault="006174C1"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t>1971 (1) SA 371 (E).</w:t>
      </w:r>
    </w:p>
  </w:footnote>
  <w:footnote w:id="92">
    <w:p w14:paraId="06BD1815" w14:textId="7EBFA929" w:rsidR="008F2E57" w:rsidRPr="008A0FFC" w:rsidRDefault="008F2E57" w:rsidP="00AB27A1">
      <w:pPr>
        <w:pStyle w:val="FootnoteText"/>
        <w:ind w:left="425" w:hanging="425"/>
        <w:rPr>
          <w:rFonts w:cs="Arial"/>
        </w:rPr>
      </w:pPr>
      <w:r w:rsidRPr="008A0FFC">
        <w:rPr>
          <w:rStyle w:val="FootnoteReference"/>
          <w:rFonts w:cs="Arial"/>
        </w:rPr>
        <w:footnoteRef/>
      </w:r>
      <w:r w:rsidRPr="008A0FFC">
        <w:rPr>
          <w:rFonts w:cs="Arial"/>
        </w:rPr>
        <w:t xml:space="preserve"> </w:t>
      </w:r>
      <w:r w:rsidRPr="008A0FFC">
        <w:rPr>
          <w:rFonts w:cs="Arial"/>
        </w:rPr>
        <w:tab/>
      </w:r>
      <w:r w:rsidRPr="008A0FFC">
        <w:rPr>
          <w:rFonts w:cs="Arial"/>
          <w:b/>
          <w:bCs/>
          <w:i/>
          <w:iCs/>
        </w:rPr>
        <w:t>Thompson</w:t>
      </w:r>
      <w:r w:rsidRPr="008A0FFC">
        <w:rPr>
          <w:rFonts w:cs="Arial"/>
        </w:rPr>
        <w:t xml:space="preserve">, </w:t>
      </w:r>
      <w:r w:rsidRPr="008A0FFC">
        <w:rPr>
          <w:rFonts w:cs="Arial"/>
          <w:i/>
          <w:iCs/>
        </w:rPr>
        <w:t>supra</w:t>
      </w:r>
      <w:r w:rsidRPr="008A0FFC">
        <w:rPr>
          <w:rFonts w:cs="Arial"/>
        </w:rPr>
        <w:t xml:space="preserve">, at </w:t>
      </w:r>
      <w:r w:rsidR="007B24BD" w:rsidRPr="008A0FFC">
        <w:rPr>
          <w:rFonts w:cs="Arial"/>
        </w:rPr>
        <w:t>p. 372 E -H.</w:t>
      </w:r>
    </w:p>
  </w:footnote>
  <w:footnote w:id="93">
    <w:p w14:paraId="4326DE67" w14:textId="47E8EF91" w:rsidR="0092179D" w:rsidRPr="008A0FFC" w:rsidRDefault="0092179D" w:rsidP="00AB27A1">
      <w:pPr>
        <w:pStyle w:val="FootnoteText"/>
        <w:ind w:left="425" w:hanging="425"/>
        <w:rPr>
          <w:rFonts w:cs="Arial"/>
        </w:rPr>
      </w:pPr>
      <w:r w:rsidRPr="008A0FFC">
        <w:rPr>
          <w:rStyle w:val="FootnoteReference"/>
          <w:rFonts w:cs="Arial"/>
        </w:rPr>
        <w:footnoteRef/>
      </w:r>
      <w:r w:rsidRPr="008A0FFC">
        <w:rPr>
          <w:rFonts w:cs="Arial"/>
        </w:rPr>
        <w:t xml:space="preserve"> </w:t>
      </w:r>
      <w:r w:rsidR="00E5057D" w:rsidRPr="008A0FFC">
        <w:rPr>
          <w:rFonts w:cs="Arial"/>
        </w:rPr>
        <w:tab/>
      </w:r>
      <w:bookmarkStart w:id="62" w:name="_Hlk159316512"/>
      <w:r w:rsidR="00E5057D" w:rsidRPr="008A0FFC">
        <w:rPr>
          <w:rFonts w:cs="Arial"/>
          <w:i/>
          <w:iCs/>
        </w:rPr>
        <w:t>Ibid</w:t>
      </w:r>
      <w:r w:rsidR="00E5057D" w:rsidRPr="008A0FFC">
        <w:rPr>
          <w:rFonts w:cs="Arial"/>
        </w:rPr>
        <w:t xml:space="preserve">., p. </w:t>
      </w:r>
      <w:r w:rsidR="00DD7DB4" w:rsidRPr="008A0FFC">
        <w:rPr>
          <w:rFonts w:cs="Arial"/>
        </w:rPr>
        <w:t>376</w:t>
      </w:r>
      <w:r w:rsidR="00E5057D" w:rsidRPr="008A0FFC">
        <w:rPr>
          <w:rFonts w:cs="Arial"/>
        </w:rPr>
        <w:t> </w:t>
      </w:r>
      <w:r w:rsidR="00DD7DB4" w:rsidRPr="008A0FFC">
        <w:rPr>
          <w:rFonts w:cs="Arial"/>
        </w:rPr>
        <w:t>D</w:t>
      </w:r>
      <w:r w:rsidR="00E5057D" w:rsidRPr="008A0FFC">
        <w:rPr>
          <w:rFonts w:cs="Arial"/>
        </w:rPr>
        <w:t>.</w:t>
      </w:r>
      <w:bookmarkEnd w:id="62"/>
    </w:p>
  </w:footnote>
  <w:footnote w:id="94">
    <w:p w14:paraId="6F433D90" w14:textId="5E564632" w:rsidR="00E5057D" w:rsidRPr="008A0FFC" w:rsidRDefault="00E5057D" w:rsidP="00AB27A1">
      <w:pPr>
        <w:pStyle w:val="FootnoteText"/>
        <w:ind w:left="425" w:hanging="425"/>
        <w:rPr>
          <w:rFonts w:cs="Arial"/>
        </w:rPr>
      </w:pPr>
      <w:r w:rsidRPr="008A0FFC">
        <w:rPr>
          <w:rStyle w:val="FootnoteReference"/>
          <w:rFonts w:cs="Arial"/>
        </w:rPr>
        <w:footnoteRef/>
      </w:r>
      <w:r w:rsidRPr="008A0FFC">
        <w:rPr>
          <w:rFonts w:cs="Arial"/>
        </w:rPr>
        <w:t xml:space="preserve"> </w:t>
      </w:r>
      <w:r w:rsidRPr="008A0FFC">
        <w:rPr>
          <w:rFonts w:cs="Arial"/>
        </w:rPr>
        <w:tab/>
      </w:r>
      <w:r w:rsidRPr="008A0FFC">
        <w:rPr>
          <w:rFonts w:cs="Arial"/>
          <w:i/>
          <w:iCs/>
        </w:rPr>
        <w:t>Id</w:t>
      </w:r>
      <w:r w:rsidRPr="008A0FFC">
        <w:rPr>
          <w:rFonts w:cs="Arial"/>
        </w:rPr>
        <w:t>.</w:t>
      </w:r>
    </w:p>
  </w:footnote>
  <w:footnote w:id="95">
    <w:p w14:paraId="2183250B" w14:textId="7791E68B" w:rsidR="00E5239E" w:rsidRPr="008A0FFC" w:rsidRDefault="00E5239E" w:rsidP="00AB27A1">
      <w:pPr>
        <w:pStyle w:val="FootnoteText"/>
        <w:ind w:left="425" w:hanging="425"/>
        <w:rPr>
          <w:rFonts w:cs="Arial"/>
        </w:rPr>
      </w:pPr>
      <w:r w:rsidRPr="008A0FFC">
        <w:rPr>
          <w:rStyle w:val="FootnoteReference"/>
          <w:rFonts w:cs="Arial"/>
        </w:rPr>
        <w:footnoteRef/>
      </w:r>
      <w:r w:rsidRPr="008A0FFC">
        <w:rPr>
          <w:rFonts w:cs="Arial"/>
        </w:rPr>
        <w:t xml:space="preserve"> </w:t>
      </w:r>
      <w:r w:rsidRPr="008A0FFC">
        <w:rPr>
          <w:rFonts w:cs="Arial"/>
        </w:rPr>
        <w:tab/>
      </w:r>
      <w:r w:rsidR="007F32BB" w:rsidRPr="008A0FFC">
        <w:rPr>
          <w:rFonts w:cs="Arial"/>
          <w:i/>
          <w:iCs/>
        </w:rPr>
        <w:t>Ibid</w:t>
      </w:r>
      <w:r w:rsidR="007F32BB" w:rsidRPr="008A0FFC">
        <w:rPr>
          <w:rFonts w:cs="Arial"/>
        </w:rPr>
        <w:t>., p</w:t>
      </w:r>
      <w:r w:rsidR="00A30CE7" w:rsidRPr="008A0FFC">
        <w:rPr>
          <w:rFonts w:cs="Arial"/>
        </w:rPr>
        <w:t>p</w:t>
      </w:r>
      <w:r w:rsidR="007F32BB" w:rsidRPr="008A0FFC">
        <w:rPr>
          <w:rFonts w:cs="Arial"/>
        </w:rPr>
        <w:t>. 374 </w:t>
      </w:r>
      <w:r w:rsidR="00A30CE7" w:rsidRPr="008A0FFC">
        <w:rPr>
          <w:rFonts w:cs="Arial"/>
        </w:rPr>
        <w:t>G – 376 A/B</w:t>
      </w:r>
      <w:r w:rsidR="007F32BB" w:rsidRPr="008A0FFC">
        <w:rPr>
          <w:rFonts w:cs="Arial"/>
        </w:rPr>
        <w:t>.</w:t>
      </w:r>
    </w:p>
  </w:footnote>
  <w:footnote w:id="96">
    <w:p w14:paraId="4C20D449" w14:textId="27C36645" w:rsidR="00555BC3" w:rsidRPr="008A0FFC" w:rsidRDefault="00555BC3" w:rsidP="00AB27A1">
      <w:pPr>
        <w:pStyle w:val="FootnoteText"/>
        <w:ind w:left="425" w:hanging="425"/>
        <w:rPr>
          <w:rFonts w:cs="Arial"/>
        </w:rPr>
      </w:pPr>
      <w:r w:rsidRPr="008A0FFC">
        <w:rPr>
          <w:rStyle w:val="FootnoteReference"/>
          <w:rFonts w:cs="Arial"/>
        </w:rPr>
        <w:footnoteRef/>
      </w:r>
      <w:r w:rsidRPr="008A0FFC">
        <w:rPr>
          <w:rFonts w:cs="Arial"/>
        </w:rPr>
        <w:t xml:space="preserve"> </w:t>
      </w:r>
      <w:r w:rsidRPr="008A0FFC">
        <w:rPr>
          <w:rFonts w:cs="Arial"/>
        </w:rPr>
        <w:tab/>
      </w:r>
      <w:r w:rsidRPr="008A0FFC">
        <w:rPr>
          <w:rFonts w:cs="Arial"/>
          <w:i/>
          <w:iCs/>
        </w:rPr>
        <w:t>Ibid</w:t>
      </w:r>
      <w:r w:rsidRPr="008A0FFC">
        <w:rPr>
          <w:rFonts w:cs="Arial"/>
        </w:rPr>
        <w:t>., p. 375 G.</w:t>
      </w:r>
    </w:p>
  </w:footnote>
  <w:footnote w:id="97">
    <w:p w14:paraId="5E6D3C6E" w14:textId="6806CF6F" w:rsidR="00422809" w:rsidRPr="008A0FFC" w:rsidRDefault="00422809" w:rsidP="00AB27A1">
      <w:pPr>
        <w:pStyle w:val="FootnoteText"/>
        <w:ind w:left="425" w:hanging="425"/>
        <w:rPr>
          <w:rFonts w:cs="Arial"/>
        </w:rPr>
      </w:pPr>
      <w:r w:rsidRPr="008A0FFC">
        <w:rPr>
          <w:rStyle w:val="FootnoteReference"/>
          <w:rFonts w:cs="Arial"/>
        </w:rPr>
        <w:footnoteRef/>
      </w:r>
      <w:r w:rsidRPr="008A0FFC">
        <w:rPr>
          <w:rFonts w:cs="Arial"/>
        </w:rPr>
        <w:t xml:space="preserve"> </w:t>
      </w:r>
      <w:r w:rsidRPr="008A0FFC">
        <w:rPr>
          <w:rFonts w:cs="Arial"/>
        </w:rPr>
        <w:tab/>
      </w:r>
      <w:r w:rsidRPr="008A0FFC">
        <w:rPr>
          <w:rFonts w:cs="Arial"/>
          <w:i/>
          <w:iCs/>
        </w:rPr>
        <w:t>Ibid</w:t>
      </w:r>
      <w:r w:rsidRPr="008A0FFC">
        <w:rPr>
          <w:rFonts w:cs="Arial"/>
        </w:rPr>
        <w:t>., p. 375 C - D.</w:t>
      </w:r>
    </w:p>
  </w:footnote>
  <w:footnote w:id="98">
    <w:p w14:paraId="0F13972A" w14:textId="6FACC771" w:rsidR="00B11254" w:rsidRPr="008A0FFC" w:rsidRDefault="00B11254" w:rsidP="00AB27A1">
      <w:pPr>
        <w:pStyle w:val="FootnoteText"/>
        <w:ind w:left="425" w:hanging="425"/>
        <w:rPr>
          <w:rFonts w:cs="Arial"/>
        </w:rPr>
      </w:pPr>
      <w:r w:rsidRPr="008A0FFC">
        <w:rPr>
          <w:rStyle w:val="FootnoteReference"/>
          <w:rFonts w:cs="Arial"/>
        </w:rPr>
        <w:footnoteRef/>
      </w:r>
      <w:r w:rsidRPr="008A0FFC">
        <w:rPr>
          <w:rFonts w:cs="Arial"/>
        </w:rPr>
        <w:t xml:space="preserve"> </w:t>
      </w:r>
      <w:r w:rsidRPr="008A0FFC">
        <w:rPr>
          <w:rFonts w:cs="Arial"/>
        </w:rPr>
        <w:tab/>
        <w:t>DJ McQuoid-Mason</w:t>
      </w:r>
      <w:r w:rsidR="00092BDA" w:rsidRPr="008A0FFC">
        <w:rPr>
          <w:rFonts w:cs="Arial"/>
        </w:rPr>
        <w:t xml:space="preserve">, </w:t>
      </w:r>
      <w:r w:rsidR="00C76B93" w:rsidRPr="008A0FFC">
        <w:rPr>
          <w:rFonts w:cs="Arial"/>
        </w:rPr>
        <w:t>'</w:t>
      </w:r>
      <w:r w:rsidR="00C76B93" w:rsidRPr="008A0FFC">
        <w:rPr>
          <w:rFonts w:cs="Arial"/>
          <w:i/>
        </w:rPr>
        <w:t>Malicious Proceedings</w:t>
      </w:r>
      <w:r w:rsidR="00C76B93" w:rsidRPr="008A0FFC">
        <w:rPr>
          <w:rFonts w:cs="Arial"/>
        </w:rPr>
        <w:t>', Volume 2</w:t>
      </w:r>
      <w:r w:rsidR="003A00E4" w:rsidRPr="008A0FFC">
        <w:rPr>
          <w:rFonts w:cs="Arial"/>
        </w:rPr>
        <w:t>8(1)</w:t>
      </w:r>
      <w:r w:rsidR="00C76B93" w:rsidRPr="008A0FFC">
        <w:rPr>
          <w:rFonts w:cs="Arial"/>
        </w:rPr>
        <w:t xml:space="preserve">, </w:t>
      </w:r>
      <w:r w:rsidR="00C76B93" w:rsidRPr="008A0FFC">
        <w:rPr>
          <w:rFonts w:cs="Arial"/>
          <w:b/>
        </w:rPr>
        <w:t>L</w:t>
      </w:r>
      <w:r w:rsidR="00652230">
        <w:rPr>
          <w:rFonts w:cs="Arial"/>
          <w:b/>
        </w:rPr>
        <w:t>A</w:t>
      </w:r>
      <w:r w:rsidR="00376C1C">
        <w:rPr>
          <w:rFonts w:cs="Arial"/>
          <w:b/>
        </w:rPr>
        <w:t>WSA</w:t>
      </w:r>
      <w:r w:rsidR="00C76B93" w:rsidRPr="008A0FFC">
        <w:rPr>
          <w:rFonts w:cs="Arial"/>
        </w:rPr>
        <w:t xml:space="preserve">, </w:t>
      </w:r>
      <w:r w:rsidR="003A00E4" w:rsidRPr="008A0FFC">
        <w:rPr>
          <w:rFonts w:cs="Arial"/>
        </w:rPr>
        <w:t>Third</w:t>
      </w:r>
      <w:r w:rsidR="00C76B93" w:rsidRPr="008A0FFC">
        <w:rPr>
          <w:rFonts w:cs="Arial"/>
        </w:rPr>
        <w:t xml:space="preserve"> Edition, para </w:t>
      </w:r>
      <w:r w:rsidR="003A00E4" w:rsidRPr="008A0FFC">
        <w:rPr>
          <w:rFonts w:cs="Arial"/>
        </w:rPr>
        <w:t>38</w:t>
      </w:r>
      <w:r w:rsidR="00C76B93" w:rsidRPr="008A0FFC">
        <w:rPr>
          <w:rFonts w:cs="Arial"/>
        </w:rPr>
        <w:t xml:space="preserve">.  </w:t>
      </w:r>
      <w:r w:rsidR="009F4DB7">
        <w:rPr>
          <w:rFonts w:cs="Arial"/>
        </w:rPr>
        <w:t xml:space="preserve">See too: </w:t>
      </w:r>
      <w:r w:rsidR="009F4DB7" w:rsidRPr="009F4DB7">
        <w:rPr>
          <w:rFonts w:cs="Arial"/>
        </w:rPr>
        <w:t>D Bouwer</w:t>
      </w:r>
      <w:r w:rsidR="001A2385">
        <w:rPr>
          <w:rFonts w:cs="Arial"/>
        </w:rPr>
        <w:t xml:space="preserve"> </w:t>
      </w:r>
      <w:r w:rsidR="001A2385" w:rsidRPr="001A2385">
        <w:rPr>
          <w:rFonts w:cs="Arial"/>
          <w:i/>
          <w:iCs/>
        </w:rPr>
        <w:t>et al</w:t>
      </w:r>
      <w:r w:rsidR="009F4DB7">
        <w:rPr>
          <w:rFonts w:cs="Arial"/>
        </w:rPr>
        <w:t>,</w:t>
      </w:r>
      <w:r w:rsidR="009F4DB7" w:rsidRPr="009F4DB7">
        <w:rPr>
          <w:rFonts w:cs="Arial"/>
        </w:rPr>
        <w:t xml:space="preserve"> </w:t>
      </w:r>
      <w:r w:rsidR="003F2B8E">
        <w:rPr>
          <w:rFonts w:cs="Arial"/>
        </w:rPr>
        <w:t>‘</w:t>
      </w:r>
      <w:r w:rsidR="009F4DB7" w:rsidRPr="003F2B8E">
        <w:rPr>
          <w:rFonts w:cs="Arial"/>
          <w:i/>
          <w:iCs/>
        </w:rPr>
        <w:t>Police</w:t>
      </w:r>
      <w:r w:rsidR="003F2B8E">
        <w:rPr>
          <w:rFonts w:cs="Arial"/>
        </w:rPr>
        <w:t>’</w:t>
      </w:r>
      <w:r w:rsidR="00375E75">
        <w:rPr>
          <w:rFonts w:cs="Arial"/>
        </w:rPr>
        <w:t>,</w:t>
      </w:r>
      <w:r w:rsidR="003F2B8E">
        <w:rPr>
          <w:rFonts w:cs="Arial"/>
        </w:rPr>
        <w:t xml:space="preserve"> </w:t>
      </w:r>
      <w:r w:rsidR="009F4DB7" w:rsidRPr="009F4DB7">
        <w:rPr>
          <w:rFonts w:cs="Arial"/>
        </w:rPr>
        <w:t>Volume 20(2)</w:t>
      </w:r>
      <w:r w:rsidR="00375E75">
        <w:rPr>
          <w:rFonts w:cs="Arial"/>
        </w:rPr>
        <w:t xml:space="preserve">, </w:t>
      </w:r>
      <w:r w:rsidR="00375E75" w:rsidRPr="00375E75">
        <w:rPr>
          <w:rFonts w:cs="Arial"/>
          <w:b/>
          <w:bCs/>
        </w:rPr>
        <w:t>LAWSA</w:t>
      </w:r>
      <w:r w:rsidR="00375E75">
        <w:rPr>
          <w:rFonts w:cs="Arial"/>
        </w:rPr>
        <w:t xml:space="preserve">, </w:t>
      </w:r>
      <w:r w:rsidR="009F4DB7" w:rsidRPr="009F4DB7">
        <w:rPr>
          <w:rFonts w:cs="Arial"/>
        </w:rPr>
        <w:t>Second Edition)</w:t>
      </w:r>
      <w:r w:rsidR="00375E75">
        <w:rPr>
          <w:rFonts w:cs="Arial"/>
        </w:rPr>
        <w:t>, para 186</w:t>
      </w:r>
      <w:r w:rsidR="001A2385">
        <w:rPr>
          <w:rFonts w:cs="Arial"/>
        </w:rPr>
        <w:t>, where the authors</w:t>
      </w:r>
      <w:r w:rsidR="00CD46EB">
        <w:rPr>
          <w:rFonts w:cs="Arial"/>
        </w:rPr>
        <w:t xml:space="preserve"> state, with reference to </w:t>
      </w:r>
      <w:r w:rsidR="00CD46EB" w:rsidRPr="00CD46EB">
        <w:rPr>
          <w:rFonts w:cs="Arial"/>
          <w:b/>
          <w:bCs/>
          <w:i/>
          <w:iCs/>
        </w:rPr>
        <w:t>Thompson</w:t>
      </w:r>
      <w:r w:rsidR="00CD46EB">
        <w:rPr>
          <w:rFonts w:cs="Arial"/>
        </w:rPr>
        <w:t>, p. 375</w:t>
      </w:r>
      <w:r w:rsidR="00331802">
        <w:rPr>
          <w:rFonts w:cs="Arial"/>
        </w:rPr>
        <w:t>: ‘</w:t>
      </w:r>
      <w:r w:rsidR="00AB27A1" w:rsidRPr="00AB27A1">
        <w:rPr>
          <w:rFonts w:cs="Arial"/>
        </w:rPr>
        <w:t>A cause of action in respect of malicious prosecution commences to run from the date on which the plaintiff was informed that the criminal case is concluded in his or her favour or that the Director of Public Prosecutions decided not to prosecute him or her.</w:t>
      </w:r>
      <w:r w:rsidR="00AB27A1">
        <w:rPr>
          <w:rFonts w:cs="Arial"/>
        </w:rPr>
        <w:t xml:space="preserve">  </w:t>
      </w:r>
      <w:r w:rsidR="00AB27A1" w:rsidRPr="00AB27A1">
        <w:rPr>
          <w:rFonts w:cs="Arial"/>
          <w:b/>
          <w:bCs/>
        </w:rPr>
        <w:t xml:space="preserve">It has been held that the same principles must apply to an action based on malicious arrest and detention where a prosecution ensues. </w:t>
      </w:r>
      <w:r w:rsidR="00AB27A1">
        <w:rPr>
          <w:rFonts w:cs="Arial"/>
          <w:b/>
          <w:bCs/>
        </w:rPr>
        <w:t xml:space="preserve"> </w:t>
      </w:r>
      <w:bookmarkStart w:id="65" w:name="_Hlk159412301"/>
      <w:r w:rsidR="00AB27A1" w:rsidRPr="00AB27A1">
        <w:rPr>
          <w:rFonts w:cs="Arial"/>
          <w:b/>
          <w:bCs/>
        </w:rPr>
        <w:t>The proceedings from arrest to acquittal are regarded as continuous and no action for personal injury done to the accused person will arise until the prosecution has been determined by his or her discharge</w:t>
      </w:r>
      <w:bookmarkEnd w:id="65"/>
      <w:r w:rsidR="00AB27A1" w:rsidRPr="00AB27A1">
        <w:rPr>
          <w:rFonts w:cs="Arial"/>
        </w:rPr>
        <w:t>.</w:t>
      </w:r>
      <w:r w:rsidR="00331802">
        <w:rPr>
          <w:rFonts w:cs="Arial"/>
        </w:rPr>
        <w:t>’</w:t>
      </w:r>
      <w:r w:rsidR="00AB27A1">
        <w:rPr>
          <w:rFonts w:cs="Arial"/>
        </w:rPr>
        <w:t xml:space="preserve"> (Own emphasis).</w:t>
      </w:r>
    </w:p>
  </w:footnote>
  <w:footnote w:id="99">
    <w:p w14:paraId="069F3C6A" w14:textId="77777777" w:rsidR="00247CF8" w:rsidRDefault="00247CF8" w:rsidP="00AB27A1">
      <w:pPr>
        <w:pStyle w:val="FootnoteText"/>
        <w:ind w:left="425" w:hanging="425"/>
      </w:pPr>
      <w:r>
        <w:rPr>
          <w:rStyle w:val="FootnoteReference"/>
        </w:rPr>
        <w:footnoteRef/>
      </w:r>
      <w:r>
        <w:t xml:space="preserve"> </w:t>
      </w:r>
      <w:r>
        <w:tab/>
      </w:r>
      <w:r w:rsidRPr="008F5C8B">
        <w:t>2021 (6) SA 345 (SCA)</w:t>
      </w:r>
    </w:p>
  </w:footnote>
  <w:footnote w:id="100">
    <w:p w14:paraId="4240B18F" w14:textId="11E313A1" w:rsidR="00321A7B" w:rsidRDefault="00321A7B">
      <w:pPr>
        <w:pStyle w:val="FootnoteText"/>
      </w:pPr>
      <w:r>
        <w:rPr>
          <w:rStyle w:val="FootnoteReference"/>
        </w:rPr>
        <w:footnoteRef/>
      </w:r>
      <w:r>
        <w:t xml:space="preserve"> </w:t>
      </w:r>
      <w:r w:rsidR="00234362">
        <w:tab/>
      </w:r>
      <w:r w:rsidR="0028564A" w:rsidRPr="0028564A">
        <w:rPr>
          <w:b/>
          <w:bCs/>
          <w:i/>
          <w:iCs/>
        </w:rPr>
        <w:t>Holden</w:t>
      </w:r>
      <w:r w:rsidR="0028564A">
        <w:t xml:space="preserve"> a</w:t>
      </w:r>
      <w:r w:rsidR="00234362">
        <w:t xml:space="preserve">t </w:t>
      </w:r>
      <w:r w:rsidR="00102769">
        <w:t>para [4], p. 347.</w:t>
      </w:r>
    </w:p>
  </w:footnote>
  <w:footnote w:id="101">
    <w:p w14:paraId="781ACED1" w14:textId="630017C3" w:rsidR="00510AC2" w:rsidRDefault="00510AC2">
      <w:pPr>
        <w:pStyle w:val="FootnoteText"/>
      </w:pPr>
      <w:r>
        <w:rPr>
          <w:rStyle w:val="FootnoteReference"/>
        </w:rPr>
        <w:footnoteRef/>
      </w:r>
      <w:r>
        <w:t xml:space="preserve"> </w:t>
      </w:r>
      <w:r>
        <w:tab/>
      </w:r>
      <w:r w:rsidR="009335B8" w:rsidRPr="00F9580E">
        <w:rPr>
          <w:i/>
          <w:iCs/>
        </w:rPr>
        <w:t>Ibid</w:t>
      </w:r>
      <w:r w:rsidR="009335B8">
        <w:t>., at para [11], p. 349.</w:t>
      </w:r>
    </w:p>
  </w:footnote>
  <w:footnote w:id="102">
    <w:p w14:paraId="6A3C6414" w14:textId="0D4BEAF7" w:rsidR="0028564A" w:rsidRDefault="0028564A">
      <w:pPr>
        <w:pStyle w:val="FootnoteText"/>
      </w:pPr>
      <w:r>
        <w:rPr>
          <w:rStyle w:val="FootnoteReference"/>
        </w:rPr>
        <w:footnoteRef/>
      </w:r>
      <w:r>
        <w:t xml:space="preserve"> </w:t>
      </w:r>
      <w:r>
        <w:tab/>
      </w:r>
      <w:r w:rsidRPr="00F9580E">
        <w:rPr>
          <w:i/>
          <w:iCs/>
        </w:rPr>
        <w:t>Id</w:t>
      </w:r>
      <w:r>
        <w:t>.</w:t>
      </w:r>
    </w:p>
  </w:footnote>
  <w:footnote w:id="103">
    <w:p w14:paraId="76BD2266" w14:textId="39BE0539" w:rsidR="001E7E64" w:rsidRDefault="001E7E64">
      <w:pPr>
        <w:pStyle w:val="FootnoteText"/>
      </w:pPr>
      <w:r>
        <w:rPr>
          <w:rStyle w:val="FootnoteReference"/>
        </w:rPr>
        <w:footnoteRef/>
      </w:r>
      <w:r>
        <w:t xml:space="preserve"> </w:t>
      </w:r>
      <w:r>
        <w:tab/>
      </w:r>
      <w:r w:rsidR="000C5DDE" w:rsidRPr="00F9580E">
        <w:rPr>
          <w:i/>
          <w:iCs/>
        </w:rPr>
        <w:t>Ibid</w:t>
      </w:r>
      <w:r w:rsidR="000C5DDE">
        <w:t>., at para [12], p</w:t>
      </w:r>
      <w:r w:rsidR="00690F6E">
        <w:t>p</w:t>
      </w:r>
      <w:r w:rsidR="000C5DDE">
        <w:t>. 349</w:t>
      </w:r>
      <w:r w:rsidR="00690F6E">
        <w:t xml:space="preserve"> - 350</w:t>
      </w:r>
      <w:r w:rsidR="000C5DDE">
        <w:t>.</w:t>
      </w:r>
    </w:p>
  </w:footnote>
  <w:footnote w:id="104">
    <w:p w14:paraId="06DCD8F3" w14:textId="77777777" w:rsidR="00910B6D" w:rsidRDefault="00910B6D" w:rsidP="00910B6D">
      <w:pPr>
        <w:pStyle w:val="FootnoteText"/>
      </w:pPr>
      <w:r>
        <w:rPr>
          <w:rStyle w:val="FootnoteReference"/>
        </w:rPr>
        <w:footnoteRef/>
      </w:r>
      <w:r>
        <w:t xml:space="preserve"> </w:t>
      </w:r>
      <w:r>
        <w:tab/>
      </w:r>
      <w:proofErr w:type="spellStart"/>
      <w:r w:rsidRPr="0086324F">
        <w:t>Dlodlo</w:t>
      </w:r>
      <w:proofErr w:type="spellEnd"/>
      <w:r w:rsidRPr="0086324F">
        <w:t xml:space="preserve"> JA (</w:t>
      </w:r>
      <w:proofErr w:type="spellStart"/>
      <w:r w:rsidRPr="0086324F">
        <w:t>Ponnan</w:t>
      </w:r>
      <w:proofErr w:type="spellEnd"/>
      <w:r w:rsidRPr="0086324F">
        <w:t xml:space="preserve"> JA, </w:t>
      </w:r>
      <w:proofErr w:type="spellStart"/>
      <w:r w:rsidRPr="0086324F">
        <w:t>Molemela</w:t>
      </w:r>
      <w:proofErr w:type="spellEnd"/>
      <w:r w:rsidRPr="0086324F">
        <w:t xml:space="preserve"> JA, </w:t>
      </w:r>
      <w:proofErr w:type="spellStart"/>
      <w:r w:rsidRPr="0086324F">
        <w:t>Eksteen</w:t>
      </w:r>
      <w:proofErr w:type="spellEnd"/>
      <w:r w:rsidRPr="0086324F">
        <w:t xml:space="preserve"> AJA and </w:t>
      </w:r>
      <w:proofErr w:type="spellStart"/>
      <w:r w:rsidRPr="0086324F">
        <w:t>Unterhalter</w:t>
      </w:r>
      <w:proofErr w:type="spellEnd"/>
      <w:r w:rsidRPr="0086324F">
        <w:t xml:space="preserve"> AJA concurring)</w:t>
      </w:r>
      <w:r>
        <w:t>.</w:t>
      </w:r>
    </w:p>
  </w:footnote>
  <w:footnote w:id="105">
    <w:p w14:paraId="3444D355" w14:textId="7DE700F7" w:rsidR="00A2621A" w:rsidRPr="008A0FFC" w:rsidRDefault="00A2621A"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t>2017 (1) SA 274 (GJ)</w:t>
      </w:r>
      <w:r w:rsidR="0077114E">
        <w:rPr>
          <w:rFonts w:cs="Arial"/>
        </w:rPr>
        <w:t xml:space="preserve"> at paras </w:t>
      </w:r>
      <w:r w:rsidR="005E6467">
        <w:rPr>
          <w:rFonts w:cs="Arial"/>
        </w:rPr>
        <w:t>[60] and [61]</w:t>
      </w:r>
      <w:r w:rsidR="00B6601E">
        <w:rPr>
          <w:rFonts w:cs="Arial"/>
        </w:rPr>
        <w:t xml:space="preserve">, p. 290 A – </w:t>
      </w:r>
      <w:r w:rsidR="0028164B">
        <w:rPr>
          <w:rFonts w:cs="Arial"/>
        </w:rPr>
        <w:t>G.</w:t>
      </w:r>
    </w:p>
  </w:footnote>
  <w:footnote w:id="106">
    <w:p w14:paraId="5879B864" w14:textId="77777777" w:rsidR="00784AD2" w:rsidRPr="008A0FFC" w:rsidRDefault="00784AD2"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r w:rsidRPr="008A0FFC">
        <w:rPr>
          <w:rFonts w:cs="Arial"/>
          <w:i/>
          <w:iCs/>
        </w:rPr>
        <w:t>Ibid</w:t>
      </w:r>
      <w:r w:rsidRPr="008A0FFC">
        <w:rPr>
          <w:rFonts w:cs="Arial"/>
        </w:rPr>
        <w:t>., para [48], p. 284 H.</w:t>
      </w:r>
    </w:p>
  </w:footnote>
  <w:footnote w:id="107">
    <w:p w14:paraId="50A3CA57" w14:textId="77777777" w:rsidR="00784AD2" w:rsidRPr="008A0FFC" w:rsidRDefault="00784AD2"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r w:rsidRPr="008A0FFC">
        <w:rPr>
          <w:rFonts w:cs="Arial"/>
          <w:i/>
          <w:iCs/>
        </w:rPr>
        <w:t>Ibid</w:t>
      </w:r>
      <w:r w:rsidRPr="008A0FFC">
        <w:rPr>
          <w:rFonts w:cs="Arial"/>
        </w:rPr>
        <w:t>., para [49], p. 284 I.</w:t>
      </w:r>
    </w:p>
  </w:footnote>
  <w:footnote w:id="108">
    <w:p w14:paraId="369648AB" w14:textId="77777777" w:rsidR="00784AD2" w:rsidRPr="008A0FFC" w:rsidRDefault="00784AD2"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r w:rsidRPr="008A0FFC">
        <w:rPr>
          <w:rFonts w:cs="Arial"/>
          <w:i/>
          <w:iCs/>
        </w:rPr>
        <w:t>Ibid</w:t>
      </w:r>
      <w:r w:rsidRPr="008A0FFC">
        <w:rPr>
          <w:rFonts w:cs="Arial"/>
        </w:rPr>
        <w:t>., paras [50] to [53], pp. 285 J – 287 C.  The distinguishing features mentioned are: (</w:t>
      </w:r>
      <w:proofErr w:type="spellStart"/>
      <w:r w:rsidRPr="008A0FFC">
        <w:rPr>
          <w:rFonts w:cs="Arial"/>
        </w:rPr>
        <w:t>i</w:t>
      </w:r>
      <w:proofErr w:type="spellEnd"/>
      <w:r w:rsidRPr="008A0FFC">
        <w:rPr>
          <w:rFonts w:cs="Arial"/>
        </w:rPr>
        <w:t xml:space="preserve">) </w:t>
      </w:r>
      <w:r w:rsidRPr="008A0FFC">
        <w:rPr>
          <w:rFonts w:cs="Arial"/>
          <w:u w:val="single"/>
        </w:rPr>
        <w:t>first</w:t>
      </w:r>
      <w:r w:rsidRPr="008A0FFC">
        <w:rPr>
          <w:rFonts w:cs="Arial"/>
        </w:rPr>
        <w:t xml:space="preserve">, a debt becomes due when all the </w:t>
      </w:r>
      <w:r w:rsidRPr="008A0FFC">
        <w:rPr>
          <w:rFonts w:cs="Arial"/>
          <w:i/>
          <w:iCs/>
        </w:rPr>
        <w:t>material facts</w:t>
      </w:r>
      <w:r w:rsidRPr="008A0FFC">
        <w:rPr>
          <w:rFonts w:cs="Arial"/>
        </w:rPr>
        <w:t xml:space="preserve"> giving rise to it are known, or ought reasonably to have been known by the creditor, and all the creditor’s damages must be claimed in a single action covering both past and future damages (para [50], pp. 284 J – 285 F); (ii) </w:t>
      </w:r>
      <w:r w:rsidRPr="008A0FFC">
        <w:rPr>
          <w:rFonts w:cs="Arial"/>
          <w:u w:val="single"/>
        </w:rPr>
        <w:t>second</w:t>
      </w:r>
      <w:r w:rsidRPr="008A0FFC">
        <w:rPr>
          <w:rFonts w:cs="Arial"/>
        </w:rPr>
        <w:t xml:space="preserve">, knowledge of such </w:t>
      </w:r>
      <w:r w:rsidRPr="008A0FFC">
        <w:rPr>
          <w:rFonts w:cs="Arial"/>
          <w:i/>
          <w:iCs/>
        </w:rPr>
        <w:t>material facts</w:t>
      </w:r>
      <w:r w:rsidRPr="008A0FFC">
        <w:rPr>
          <w:rFonts w:cs="Arial"/>
        </w:rPr>
        <w:t xml:space="preserve"> does not require knowledge that the actions were culpable, as culpability, whether in the form of negligence or otherwise, is a conclusion of law drawn from the evidence (para [51], pp. 285 F – 286 H); and (iii) </w:t>
      </w:r>
      <w:r w:rsidRPr="008A0FFC">
        <w:rPr>
          <w:rFonts w:cs="Arial"/>
          <w:u w:val="single"/>
        </w:rPr>
        <w:t>third</w:t>
      </w:r>
      <w:r w:rsidRPr="008A0FFC">
        <w:rPr>
          <w:rFonts w:cs="Arial"/>
        </w:rPr>
        <w:t xml:space="preserve">, the debt is only due if it is immediately claimable and the debtor is obliged to perform immediately (para [52], p. 286 H – J).  These features are summarised, albeit not in this exact order, at para [53], p. 287 A -C.  </w:t>
      </w:r>
    </w:p>
  </w:footnote>
  <w:footnote w:id="109">
    <w:p w14:paraId="3E6E9286" w14:textId="77777777" w:rsidR="00784AD2" w:rsidRPr="008A0FFC" w:rsidRDefault="00784AD2"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r w:rsidRPr="008A0FFC">
        <w:rPr>
          <w:rFonts w:cs="Arial"/>
          <w:i/>
          <w:iCs/>
        </w:rPr>
        <w:t>Ibid</w:t>
      </w:r>
      <w:r w:rsidRPr="008A0FFC">
        <w:rPr>
          <w:rFonts w:cs="Arial"/>
        </w:rPr>
        <w:t xml:space="preserve">., paras [54] to [57], pp. 287 C – 288 G.  </w:t>
      </w:r>
    </w:p>
  </w:footnote>
  <w:footnote w:id="110">
    <w:p w14:paraId="32F806AE" w14:textId="77777777" w:rsidR="00784AD2" w:rsidRPr="008A0FFC" w:rsidRDefault="00784AD2"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r w:rsidRPr="008A0FFC">
        <w:rPr>
          <w:rFonts w:cs="Arial"/>
          <w:i/>
          <w:iCs/>
        </w:rPr>
        <w:t>Ibid</w:t>
      </w:r>
      <w:r w:rsidRPr="008A0FFC">
        <w:rPr>
          <w:rFonts w:cs="Arial"/>
        </w:rPr>
        <w:t xml:space="preserve">., para [58], p. 288 G - I.  </w:t>
      </w:r>
    </w:p>
  </w:footnote>
  <w:footnote w:id="111">
    <w:p w14:paraId="70251F8B" w14:textId="77777777" w:rsidR="00784AD2" w:rsidRPr="008A0FFC" w:rsidRDefault="00784AD2"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t>2007 (2) SA 347 (SCA).</w:t>
      </w:r>
    </w:p>
  </w:footnote>
  <w:footnote w:id="112">
    <w:p w14:paraId="5B380BA2" w14:textId="77777777" w:rsidR="00784AD2" w:rsidRPr="008A0FFC" w:rsidRDefault="00784AD2"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proofErr w:type="spellStart"/>
      <w:r w:rsidRPr="008A0FFC">
        <w:rPr>
          <w:rFonts w:cs="Arial"/>
          <w:b/>
          <w:bCs/>
          <w:i/>
          <w:iCs/>
        </w:rPr>
        <w:t>Makhwelo</w:t>
      </w:r>
      <w:proofErr w:type="spellEnd"/>
      <w:r w:rsidRPr="008A0FFC">
        <w:rPr>
          <w:rFonts w:cs="Arial"/>
        </w:rPr>
        <w:t xml:space="preserve"> at para [59], pp. 288 I – 290 A.</w:t>
      </w:r>
    </w:p>
  </w:footnote>
  <w:footnote w:id="113">
    <w:p w14:paraId="31A876C3" w14:textId="77777777" w:rsidR="00784AD2" w:rsidRPr="008A0FFC" w:rsidRDefault="00784AD2"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bookmarkStart w:id="67" w:name="_Hlk159337466"/>
      <w:proofErr w:type="spellStart"/>
      <w:r w:rsidRPr="008A0FFC">
        <w:rPr>
          <w:rFonts w:cs="Arial"/>
          <w:b/>
          <w:bCs/>
          <w:i/>
          <w:iCs/>
        </w:rPr>
        <w:t>Makhwelo</w:t>
      </w:r>
      <w:proofErr w:type="spellEnd"/>
      <w:r w:rsidRPr="008A0FFC">
        <w:rPr>
          <w:rFonts w:cs="Arial"/>
        </w:rPr>
        <w:t xml:space="preserve"> at para [62], pp. 290 G – 291 A.</w:t>
      </w:r>
      <w:bookmarkEnd w:id="67"/>
    </w:p>
  </w:footnote>
  <w:footnote w:id="114">
    <w:p w14:paraId="29E9A278" w14:textId="08D35572" w:rsidR="00925B6F" w:rsidRPr="008A0FFC" w:rsidRDefault="00925B6F" w:rsidP="00925B6F">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t>This delineation is discussed in para</w:t>
      </w:r>
      <w:r w:rsidR="002949A2">
        <w:rPr>
          <w:rFonts w:cs="Arial"/>
        </w:rPr>
        <w:t xml:space="preserve">graph </w:t>
      </w:r>
      <w:r w:rsidRPr="008A0FFC">
        <w:rPr>
          <w:rFonts w:cs="Arial"/>
        </w:rPr>
        <w:t>48 above.</w:t>
      </w:r>
    </w:p>
  </w:footnote>
  <w:footnote w:id="115">
    <w:p w14:paraId="229BE63E" w14:textId="098FC4FC" w:rsidR="00201B1A" w:rsidRPr="008A0FFC" w:rsidRDefault="00201B1A"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proofErr w:type="spellStart"/>
      <w:r w:rsidRPr="008A0FFC">
        <w:rPr>
          <w:rFonts w:cs="Arial"/>
        </w:rPr>
        <w:t>Farlam</w:t>
      </w:r>
      <w:proofErr w:type="spellEnd"/>
      <w:r w:rsidRPr="008A0FFC">
        <w:rPr>
          <w:rFonts w:cs="Arial"/>
        </w:rPr>
        <w:t xml:space="preserve">, JA, with whom Brand JA, Nugent JA, </w:t>
      </w:r>
      <w:proofErr w:type="spellStart"/>
      <w:r w:rsidRPr="008A0FFC">
        <w:rPr>
          <w:rFonts w:cs="Arial"/>
        </w:rPr>
        <w:t>Mlambo</w:t>
      </w:r>
      <w:proofErr w:type="spellEnd"/>
      <w:r w:rsidRPr="008A0FFC">
        <w:rPr>
          <w:rFonts w:cs="Arial"/>
        </w:rPr>
        <w:t xml:space="preserve"> JA and </w:t>
      </w:r>
      <w:proofErr w:type="spellStart"/>
      <w:r w:rsidRPr="008A0FFC">
        <w:rPr>
          <w:rFonts w:cs="Arial"/>
        </w:rPr>
        <w:t>Cachalia</w:t>
      </w:r>
      <w:proofErr w:type="spellEnd"/>
      <w:r w:rsidRPr="008A0FFC">
        <w:rPr>
          <w:rFonts w:cs="Arial"/>
        </w:rPr>
        <w:t xml:space="preserve"> AJA concurred</w:t>
      </w:r>
      <w:r w:rsidR="00D60ADA" w:rsidRPr="008A0FFC">
        <w:rPr>
          <w:rFonts w:cs="Arial"/>
        </w:rPr>
        <w:t>.</w:t>
      </w:r>
    </w:p>
  </w:footnote>
  <w:footnote w:id="116">
    <w:p w14:paraId="77F0BFAA" w14:textId="127C9FC2" w:rsidR="001936D1" w:rsidRPr="008A0FFC" w:rsidRDefault="001936D1"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proofErr w:type="spellStart"/>
      <w:r w:rsidRPr="008A0FFC">
        <w:rPr>
          <w:rFonts w:cs="Arial"/>
          <w:b/>
          <w:bCs/>
          <w:i/>
          <w:iCs/>
        </w:rPr>
        <w:t>Makhwelo</w:t>
      </w:r>
      <w:proofErr w:type="spellEnd"/>
      <w:r w:rsidRPr="008A0FFC">
        <w:rPr>
          <w:rFonts w:cs="Arial"/>
        </w:rPr>
        <w:t xml:space="preserve"> at para [62], pp. 290 G – 291 A.</w:t>
      </w:r>
    </w:p>
  </w:footnote>
  <w:footnote w:id="117">
    <w:p w14:paraId="09B73ED7" w14:textId="4AF4C602" w:rsidR="009918B2" w:rsidRPr="008A0FFC" w:rsidRDefault="009918B2"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r w:rsidRPr="008A0FFC">
        <w:rPr>
          <w:rFonts w:cs="Arial"/>
          <w:b/>
          <w:bCs/>
          <w:i/>
          <w:iCs/>
        </w:rPr>
        <w:t>Uni</w:t>
      </w:r>
      <w:r w:rsidR="002109D7" w:rsidRPr="008A0FFC">
        <w:rPr>
          <w:rFonts w:cs="Arial"/>
          <w:b/>
          <w:bCs/>
          <w:i/>
          <w:iCs/>
        </w:rPr>
        <w:t>lever</w:t>
      </w:r>
      <w:r w:rsidR="002109D7" w:rsidRPr="008A0FFC">
        <w:rPr>
          <w:rFonts w:cs="Arial"/>
        </w:rPr>
        <w:t xml:space="preserve"> at para</w:t>
      </w:r>
      <w:r w:rsidR="005B1D9E" w:rsidRPr="008A0FFC">
        <w:rPr>
          <w:rFonts w:cs="Arial"/>
        </w:rPr>
        <w:t>s</w:t>
      </w:r>
      <w:r w:rsidR="002109D7" w:rsidRPr="008A0FFC">
        <w:rPr>
          <w:rFonts w:cs="Arial"/>
        </w:rPr>
        <w:t xml:space="preserve"> [</w:t>
      </w:r>
      <w:r w:rsidR="001F60A5" w:rsidRPr="008A0FFC">
        <w:rPr>
          <w:rFonts w:cs="Arial"/>
        </w:rPr>
        <w:t>16] to [18], p</w:t>
      </w:r>
      <w:r w:rsidR="009B1A66" w:rsidRPr="008A0FFC">
        <w:rPr>
          <w:rFonts w:cs="Arial"/>
        </w:rPr>
        <w:t>p</w:t>
      </w:r>
      <w:r w:rsidR="001F60A5" w:rsidRPr="008A0FFC">
        <w:rPr>
          <w:rFonts w:cs="Arial"/>
        </w:rPr>
        <w:t>.</w:t>
      </w:r>
      <w:r w:rsidR="009B1A66" w:rsidRPr="008A0FFC">
        <w:rPr>
          <w:rFonts w:cs="Arial"/>
        </w:rPr>
        <w:t xml:space="preserve"> 358 I – 359 </w:t>
      </w:r>
      <w:r w:rsidR="003D32A1" w:rsidRPr="008A0FFC">
        <w:rPr>
          <w:rFonts w:cs="Arial"/>
        </w:rPr>
        <w:t xml:space="preserve">H, especially the </w:t>
      </w:r>
      <w:r w:rsidR="003D32A1" w:rsidRPr="008A0FFC">
        <w:rPr>
          <w:rFonts w:cs="Arial"/>
          <w:u w:val="single"/>
        </w:rPr>
        <w:t>first sentence</w:t>
      </w:r>
      <w:r w:rsidR="003D32A1" w:rsidRPr="008A0FFC">
        <w:rPr>
          <w:rFonts w:cs="Arial"/>
        </w:rPr>
        <w:t xml:space="preserve"> in para [18], p. 359</w:t>
      </w:r>
      <w:r w:rsidR="00C12901" w:rsidRPr="008A0FFC">
        <w:rPr>
          <w:rFonts w:cs="Arial"/>
        </w:rPr>
        <w:t> F.</w:t>
      </w:r>
    </w:p>
  </w:footnote>
  <w:footnote w:id="118">
    <w:p w14:paraId="67E2409F" w14:textId="0C79F5FA" w:rsidR="00930330" w:rsidRPr="008A0FFC" w:rsidRDefault="00930330"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t>2019 (2) SA 281 (WCC).</w:t>
      </w:r>
    </w:p>
  </w:footnote>
  <w:footnote w:id="119">
    <w:p w14:paraId="6DF6DFE3" w14:textId="77777777" w:rsidR="00670C3A" w:rsidRPr="008A0FFC" w:rsidRDefault="00670C3A" w:rsidP="00670C3A">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t>2002 (5) SA 668 (SCA).</w:t>
      </w:r>
    </w:p>
  </w:footnote>
  <w:footnote w:id="120">
    <w:p w14:paraId="4BBF010A" w14:textId="0B9D3A24" w:rsidR="00B432BD" w:rsidRPr="008A0FFC" w:rsidRDefault="00B432BD"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t xml:space="preserve">Davis J, with whom </w:t>
      </w:r>
      <w:proofErr w:type="spellStart"/>
      <w:r w:rsidRPr="008A0FFC">
        <w:rPr>
          <w:rFonts w:cs="Arial"/>
        </w:rPr>
        <w:t>Boqwana</w:t>
      </w:r>
      <w:proofErr w:type="spellEnd"/>
      <w:r w:rsidRPr="008A0FFC">
        <w:rPr>
          <w:rFonts w:cs="Arial"/>
        </w:rPr>
        <w:t xml:space="preserve"> J and </w:t>
      </w:r>
      <w:proofErr w:type="spellStart"/>
      <w:r w:rsidRPr="008A0FFC">
        <w:rPr>
          <w:rFonts w:cs="Arial"/>
        </w:rPr>
        <w:t>Nuku</w:t>
      </w:r>
      <w:proofErr w:type="spellEnd"/>
      <w:r w:rsidRPr="008A0FFC">
        <w:rPr>
          <w:rFonts w:cs="Arial"/>
        </w:rPr>
        <w:t xml:space="preserve"> J concurred. </w:t>
      </w:r>
    </w:p>
  </w:footnote>
  <w:footnote w:id="121">
    <w:p w14:paraId="3F9FC4D4" w14:textId="5FDE7EEC" w:rsidR="00EC5AF8" w:rsidRPr="008A0FFC" w:rsidRDefault="00EC5AF8"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proofErr w:type="spellStart"/>
      <w:r w:rsidRPr="008A0FFC">
        <w:rPr>
          <w:rFonts w:cs="Arial"/>
          <w:b/>
          <w:bCs/>
          <w:i/>
          <w:iCs/>
        </w:rPr>
        <w:t>Yekiso</w:t>
      </w:r>
      <w:proofErr w:type="spellEnd"/>
      <w:r w:rsidR="00120B0C" w:rsidRPr="008A0FFC">
        <w:rPr>
          <w:rFonts w:cs="Arial"/>
        </w:rPr>
        <w:t xml:space="preserve"> at para [</w:t>
      </w:r>
      <w:r w:rsidR="003C7E42" w:rsidRPr="008A0FFC">
        <w:rPr>
          <w:rFonts w:cs="Arial"/>
        </w:rPr>
        <w:t>9</w:t>
      </w:r>
      <w:r w:rsidR="00120B0C" w:rsidRPr="008A0FFC">
        <w:rPr>
          <w:rFonts w:cs="Arial"/>
        </w:rPr>
        <w:t xml:space="preserve">], p. </w:t>
      </w:r>
      <w:r w:rsidR="003C7E42" w:rsidRPr="008A0FFC">
        <w:rPr>
          <w:rFonts w:cs="Arial"/>
        </w:rPr>
        <w:t>284 E – G.</w:t>
      </w:r>
    </w:p>
  </w:footnote>
  <w:footnote w:id="122">
    <w:p w14:paraId="6202CC19" w14:textId="12A991E7" w:rsidR="00C25CEF" w:rsidRPr="008A0FFC" w:rsidRDefault="00C25CEF"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bookmarkStart w:id="68" w:name="_Hlk158129764"/>
      <w:r w:rsidRPr="008A0FFC">
        <w:rPr>
          <w:rFonts w:cs="Arial"/>
          <w:i/>
          <w:iCs/>
        </w:rPr>
        <w:t>Ibid</w:t>
      </w:r>
      <w:r w:rsidRPr="008A0FFC">
        <w:rPr>
          <w:rFonts w:cs="Arial"/>
        </w:rPr>
        <w:t xml:space="preserve">., at para </w:t>
      </w:r>
      <w:r w:rsidR="00A652D1" w:rsidRPr="008A0FFC">
        <w:rPr>
          <w:rFonts w:cs="Arial"/>
        </w:rPr>
        <w:t xml:space="preserve">[17], </w:t>
      </w:r>
      <w:r w:rsidR="001116F4" w:rsidRPr="008A0FFC">
        <w:rPr>
          <w:rFonts w:cs="Arial"/>
        </w:rPr>
        <w:t>p. 285 F – H.</w:t>
      </w:r>
      <w:bookmarkEnd w:id="68"/>
    </w:p>
  </w:footnote>
  <w:footnote w:id="123">
    <w:p w14:paraId="4B44E6DD" w14:textId="3E9AEBA2" w:rsidR="00117741" w:rsidRPr="008A0FFC" w:rsidRDefault="00117741"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r w:rsidRPr="008A0FFC">
        <w:rPr>
          <w:rFonts w:cs="Arial"/>
          <w:i/>
          <w:iCs/>
        </w:rPr>
        <w:t>Ibid</w:t>
      </w:r>
      <w:r w:rsidRPr="008A0FFC">
        <w:rPr>
          <w:rFonts w:cs="Arial"/>
        </w:rPr>
        <w:t>., at para [1</w:t>
      </w:r>
      <w:r w:rsidR="009F3E4F" w:rsidRPr="008A0FFC">
        <w:rPr>
          <w:rFonts w:cs="Arial"/>
        </w:rPr>
        <w:t>9</w:t>
      </w:r>
      <w:r w:rsidRPr="008A0FFC">
        <w:rPr>
          <w:rFonts w:cs="Arial"/>
        </w:rPr>
        <w:t>], p</w:t>
      </w:r>
      <w:r w:rsidR="007370B6" w:rsidRPr="008A0FFC">
        <w:rPr>
          <w:rFonts w:cs="Arial"/>
        </w:rPr>
        <w:t>p</w:t>
      </w:r>
      <w:r w:rsidRPr="008A0FFC">
        <w:rPr>
          <w:rFonts w:cs="Arial"/>
        </w:rPr>
        <w:t>. 285 </w:t>
      </w:r>
      <w:r w:rsidR="009F3E4F" w:rsidRPr="008A0FFC">
        <w:rPr>
          <w:rFonts w:cs="Arial"/>
        </w:rPr>
        <w:t>J</w:t>
      </w:r>
      <w:r w:rsidRPr="008A0FFC">
        <w:rPr>
          <w:rFonts w:cs="Arial"/>
        </w:rPr>
        <w:t xml:space="preserve"> </w:t>
      </w:r>
      <w:r w:rsidR="007370B6" w:rsidRPr="008A0FFC">
        <w:rPr>
          <w:rFonts w:cs="Arial"/>
        </w:rPr>
        <w:t>-</w:t>
      </w:r>
      <w:r w:rsidR="009F3E4F" w:rsidRPr="008A0FFC">
        <w:rPr>
          <w:rFonts w:cs="Arial"/>
        </w:rPr>
        <w:t xml:space="preserve"> 286 A.</w:t>
      </w:r>
    </w:p>
  </w:footnote>
  <w:footnote w:id="124">
    <w:p w14:paraId="6575AD79" w14:textId="046B3C3F" w:rsidR="008A3576" w:rsidRPr="008A0FFC" w:rsidRDefault="008A3576"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r>
      <w:r w:rsidR="00CD208F" w:rsidRPr="008A0FFC">
        <w:rPr>
          <w:rFonts w:cs="Arial"/>
          <w:i/>
          <w:iCs/>
        </w:rPr>
        <w:t>Ibid</w:t>
      </w:r>
      <w:r w:rsidR="00CD208F" w:rsidRPr="008A0FFC">
        <w:rPr>
          <w:rFonts w:cs="Arial"/>
        </w:rPr>
        <w:t>., at para [19], pp. 285 J - 286 D.</w:t>
      </w:r>
    </w:p>
  </w:footnote>
  <w:footnote w:id="125">
    <w:p w14:paraId="4CAABF8F" w14:textId="2D1B16EC" w:rsidR="00AA3FD0" w:rsidRPr="008A0FFC" w:rsidRDefault="00AA3FD0"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t xml:space="preserve">See </w:t>
      </w:r>
      <w:r w:rsidR="0079409F" w:rsidRPr="008A0FFC">
        <w:rPr>
          <w:rFonts w:cs="Arial"/>
        </w:rPr>
        <w:t>paragraph 36 above.</w:t>
      </w:r>
    </w:p>
  </w:footnote>
  <w:footnote w:id="126">
    <w:p w14:paraId="55316E54" w14:textId="79E74D16" w:rsidR="00D2131F" w:rsidRPr="008A0FFC" w:rsidRDefault="00D2131F" w:rsidP="008A0FFC">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t>2002 (5) SA 668 (SCA).</w:t>
      </w:r>
    </w:p>
  </w:footnote>
  <w:footnote w:id="127">
    <w:p w14:paraId="004B6EBF" w14:textId="457EA441" w:rsidR="004D029E" w:rsidRPr="008A0FFC" w:rsidRDefault="004D029E" w:rsidP="008A0FFC">
      <w:pPr>
        <w:pStyle w:val="FootnoteText"/>
        <w:rPr>
          <w:rFonts w:cs="Arial"/>
        </w:rPr>
      </w:pPr>
      <w:r w:rsidRPr="008A0FFC">
        <w:rPr>
          <w:rStyle w:val="FootnoteReference"/>
          <w:rFonts w:cs="Arial"/>
        </w:rPr>
        <w:footnoteRef/>
      </w:r>
      <w:r w:rsidRPr="008A0FFC">
        <w:rPr>
          <w:rFonts w:cs="Arial"/>
        </w:rPr>
        <w:t xml:space="preserve"> </w:t>
      </w:r>
      <w:r w:rsidR="002D3275" w:rsidRPr="008A0FFC">
        <w:rPr>
          <w:rFonts w:cs="Arial"/>
        </w:rPr>
        <w:tab/>
        <w:t xml:space="preserve">Ibid., at paras </w:t>
      </w:r>
      <w:r w:rsidR="00B21A89" w:rsidRPr="008A0FFC">
        <w:rPr>
          <w:rFonts w:cs="Arial"/>
        </w:rPr>
        <w:t>[25</w:t>
      </w:r>
      <w:r w:rsidR="00B36F52" w:rsidRPr="008A0FFC">
        <w:rPr>
          <w:rFonts w:cs="Arial"/>
        </w:rPr>
        <w:t>] to [27], pp. 6</w:t>
      </w:r>
      <w:r w:rsidR="00D0037B" w:rsidRPr="008A0FFC">
        <w:rPr>
          <w:rFonts w:cs="Arial"/>
        </w:rPr>
        <w:t>78 H – 679 F.</w:t>
      </w:r>
    </w:p>
  </w:footnote>
  <w:footnote w:id="128">
    <w:p w14:paraId="016671EE" w14:textId="77777777" w:rsidR="0058719A" w:rsidRPr="008A0FFC" w:rsidRDefault="0058719A" w:rsidP="0058719A">
      <w:pPr>
        <w:pStyle w:val="FootnoteText"/>
        <w:rPr>
          <w:rFonts w:cs="Arial"/>
        </w:rPr>
      </w:pPr>
      <w:r w:rsidRPr="008A0FFC">
        <w:rPr>
          <w:rStyle w:val="FootnoteReference"/>
          <w:rFonts w:cs="Arial"/>
        </w:rPr>
        <w:footnoteRef/>
      </w:r>
      <w:r w:rsidRPr="008A0FFC">
        <w:rPr>
          <w:rFonts w:cs="Arial"/>
        </w:rPr>
        <w:t xml:space="preserve"> </w:t>
      </w:r>
      <w:r w:rsidRPr="008A0FFC">
        <w:rPr>
          <w:rFonts w:cs="Arial"/>
        </w:rPr>
        <w:tab/>
        <w:t>See paragraph 5.3 above.</w:t>
      </w:r>
    </w:p>
  </w:footnote>
  <w:footnote w:id="129">
    <w:p w14:paraId="04060529" w14:textId="5C8A27FD" w:rsidR="000B124B" w:rsidRDefault="000B124B">
      <w:pPr>
        <w:pStyle w:val="FootnoteText"/>
      </w:pPr>
      <w:r>
        <w:rPr>
          <w:rStyle w:val="FootnoteReference"/>
        </w:rPr>
        <w:footnoteRef/>
      </w:r>
      <w:r>
        <w:t xml:space="preserve"> </w:t>
      </w:r>
      <w:r>
        <w:tab/>
      </w:r>
      <w:proofErr w:type="spellStart"/>
      <w:r w:rsidR="00C77564" w:rsidRPr="008A0FFC">
        <w:rPr>
          <w:rFonts w:cs="Arial"/>
          <w:b/>
          <w:bCs/>
          <w:i/>
          <w:iCs/>
        </w:rPr>
        <w:t>Truter</w:t>
      </w:r>
      <w:proofErr w:type="spellEnd"/>
      <w:r w:rsidR="00C77564" w:rsidRPr="008A0FFC">
        <w:rPr>
          <w:rFonts w:cs="Arial"/>
        </w:rPr>
        <w:t xml:space="preserve">, </w:t>
      </w:r>
      <w:r w:rsidR="00C77564" w:rsidRPr="008A0FFC">
        <w:rPr>
          <w:rFonts w:cs="Arial"/>
          <w:i/>
          <w:iCs/>
        </w:rPr>
        <w:t>supra</w:t>
      </w:r>
      <w:r w:rsidR="00C77564" w:rsidRPr="008A0FFC">
        <w:rPr>
          <w:rFonts w:cs="Arial"/>
        </w:rPr>
        <w:t>, at para [16], p. 174 C – D.</w:t>
      </w:r>
    </w:p>
  </w:footnote>
  <w:footnote w:id="130">
    <w:p w14:paraId="294A3EB1" w14:textId="375DAE38" w:rsidR="00BD30CD" w:rsidRDefault="00BD30CD">
      <w:pPr>
        <w:pStyle w:val="FootnoteText"/>
      </w:pPr>
      <w:r>
        <w:rPr>
          <w:rStyle w:val="FootnoteReference"/>
        </w:rPr>
        <w:footnoteRef/>
      </w:r>
      <w:r>
        <w:t xml:space="preserve"> </w:t>
      </w:r>
      <w:r>
        <w:tab/>
        <w:t xml:space="preserve">See, in this regard, </w:t>
      </w:r>
      <w:r w:rsidR="00960BFD">
        <w:t>paragraphs</w:t>
      </w:r>
      <w:r w:rsidR="009C796A">
        <w:t xml:space="preserve"> 16 and 17</w:t>
      </w:r>
      <w:r w:rsidR="007A2463">
        <w:t xml:space="preserve"> (as well as the source references mentioned therein) above.</w:t>
      </w:r>
      <w:r w:rsidR="00960BFD">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828576846"/>
      <w:docPartObj>
        <w:docPartGallery w:val="Page Numbers (Top of Page)"/>
        <w:docPartUnique/>
      </w:docPartObj>
    </w:sdtPr>
    <w:sdtEndPr>
      <w:rPr>
        <w:b/>
        <w:bCs/>
        <w:color w:val="auto"/>
        <w:spacing w:val="0"/>
      </w:rPr>
    </w:sdtEndPr>
    <w:sdtContent>
      <w:p w14:paraId="678035FA" w14:textId="5B8E8AA6" w:rsidR="00B6457A" w:rsidRDefault="00B6457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PAGE   \* MERGEFORMAT</w:instrText>
        </w:r>
        <w:r>
          <w:fldChar w:fldCharType="separate"/>
        </w:r>
        <w:r w:rsidR="000201B3" w:rsidRPr="000201B3">
          <w:rPr>
            <w:b/>
            <w:bCs/>
            <w:noProof/>
          </w:rPr>
          <w:t>20</w:t>
        </w:r>
        <w:r>
          <w:rPr>
            <w:b/>
            <w:bCs/>
          </w:rPr>
          <w:fldChar w:fldCharType="end"/>
        </w:r>
      </w:p>
    </w:sdtContent>
  </w:sdt>
  <w:p w14:paraId="563CF53F" w14:textId="77777777" w:rsidR="000935A7" w:rsidRDefault="000935A7" w:rsidP="00E20F81">
    <w:pPr>
      <w:pStyle w:val="Header"/>
      <w:jc w:val="right"/>
      <w:rPr>
        <w:sz w:val="2"/>
        <w:szCs w:val="2"/>
      </w:rPr>
    </w:pPr>
  </w:p>
  <w:p w14:paraId="5058C9D9" w14:textId="77777777" w:rsidR="005B38E9" w:rsidRPr="00E20F81" w:rsidRDefault="005B38E9" w:rsidP="00E20F81">
    <w:pPr>
      <w:pStyle w:val="Header"/>
      <w:jc w:val="right"/>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824"/>
        </w:tabs>
        <w:ind w:left="824" w:hanging="720"/>
      </w:pPr>
      <w:rPr>
        <w:rFonts w:hint="default"/>
      </w:rPr>
    </w:lvl>
    <w:lvl w:ilvl="1" w:tplc="08090019" w:tentative="1">
      <w:start w:val="1"/>
      <w:numFmt w:val="lowerLetter"/>
      <w:lvlText w:val="%2."/>
      <w:lvlJc w:val="left"/>
      <w:pPr>
        <w:tabs>
          <w:tab w:val="num" w:pos="1184"/>
        </w:tabs>
        <w:ind w:left="1184" w:hanging="360"/>
      </w:pPr>
    </w:lvl>
    <w:lvl w:ilvl="2" w:tplc="0809001B" w:tentative="1">
      <w:start w:val="1"/>
      <w:numFmt w:val="lowerRoman"/>
      <w:lvlText w:val="%3."/>
      <w:lvlJc w:val="right"/>
      <w:pPr>
        <w:tabs>
          <w:tab w:val="num" w:pos="1904"/>
        </w:tabs>
        <w:ind w:left="1904" w:hanging="180"/>
      </w:pPr>
    </w:lvl>
    <w:lvl w:ilvl="3" w:tplc="0809000F" w:tentative="1">
      <w:start w:val="1"/>
      <w:numFmt w:val="decimal"/>
      <w:lvlText w:val="%4."/>
      <w:lvlJc w:val="left"/>
      <w:pPr>
        <w:tabs>
          <w:tab w:val="num" w:pos="2624"/>
        </w:tabs>
        <w:ind w:left="2624" w:hanging="360"/>
      </w:pPr>
    </w:lvl>
    <w:lvl w:ilvl="4" w:tplc="08090019" w:tentative="1">
      <w:start w:val="1"/>
      <w:numFmt w:val="lowerLetter"/>
      <w:lvlText w:val="%5."/>
      <w:lvlJc w:val="left"/>
      <w:pPr>
        <w:tabs>
          <w:tab w:val="num" w:pos="3344"/>
        </w:tabs>
        <w:ind w:left="3344" w:hanging="360"/>
      </w:pPr>
    </w:lvl>
    <w:lvl w:ilvl="5" w:tplc="0809001B" w:tentative="1">
      <w:start w:val="1"/>
      <w:numFmt w:val="lowerRoman"/>
      <w:lvlText w:val="%6."/>
      <w:lvlJc w:val="right"/>
      <w:pPr>
        <w:tabs>
          <w:tab w:val="num" w:pos="4064"/>
        </w:tabs>
        <w:ind w:left="4064" w:hanging="180"/>
      </w:pPr>
    </w:lvl>
    <w:lvl w:ilvl="6" w:tplc="0809000F" w:tentative="1">
      <w:start w:val="1"/>
      <w:numFmt w:val="decimal"/>
      <w:lvlText w:val="%7."/>
      <w:lvlJc w:val="left"/>
      <w:pPr>
        <w:tabs>
          <w:tab w:val="num" w:pos="4784"/>
        </w:tabs>
        <w:ind w:left="4784" w:hanging="360"/>
      </w:pPr>
    </w:lvl>
    <w:lvl w:ilvl="7" w:tplc="08090019" w:tentative="1">
      <w:start w:val="1"/>
      <w:numFmt w:val="lowerLetter"/>
      <w:lvlText w:val="%8."/>
      <w:lvlJc w:val="left"/>
      <w:pPr>
        <w:tabs>
          <w:tab w:val="num" w:pos="5504"/>
        </w:tabs>
        <w:ind w:left="5504" w:hanging="360"/>
      </w:pPr>
    </w:lvl>
    <w:lvl w:ilvl="8" w:tplc="0809001B" w:tentative="1">
      <w:start w:val="1"/>
      <w:numFmt w:val="lowerRoman"/>
      <w:lvlText w:val="%9."/>
      <w:lvlJc w:val="right"/>
      <w:pPr>
        <w:tabs>
          <w:tab w:val="num" w:pos="6224"/>
        </w:tabs>
        <w:ind w:left="6224" w:hanging="180"/>
      </w:pPr>
    </w:lvl>
  </w:abstractNum>
  <w:abstractNum w:abstractNumId="1" w15:restartNumberingAfterBreak="0">
    <w:nsid w:val="13862156"/>
    <w:multiLevelType w:val="multilevel"/>
    <w:tmpl w:val="E8C0BCBE"/>
    <w:lvl w:ilvl="0">
      <w:start w:val="1"/>
      <w:numFmt w:val="decimal"/>
      <w:lvlText w:val="%1."/>
      <w:lvlJc w:val="left"/>
      <w:pPr>
        <w:tabs>
          <w:tab w:val="num" w:pos="709"/>
        </w:tabs>
        <w:ind w:left="709" w:hanging="709"/>
      </w:pPr>
      <w:rPr>
        <w:rFonts w:ascii="Times New Roman" w:hAnsi="Times New Roman" w:cs="Times New Roman" w:hint="default"/>
        <w:b w:val="0"/>
        <w:bCs w:val="0"/>
        <w:sz w:val="24"/>
      </w:rPr>
    </w:lvl>
    <w:lvl w:ilvl="1">
      <w:start w:val="1"/>
      <w:numFmt w:val="decimal"/>
      <w:lvlText w:val="%1.%2."/>
      <w:lvlJc w:val="left"/>
      <w:pPr>
        <w:tabs>
          <w:tab w:val="num" w:pos="1418"/>
        </w:tabs>
        <w:ind w:left="1418" w:hanging="709"/>
      </w:pPr>
      <w:rPr>
        <w:rFonts w:hint="default"/>
      </w:rPr>
    </w:lvl>
    <w:lvl w:ilvl="2">
      <w:start w:val="1"/>
      <w:numFmt w:val="decimal"/>
      <w:lvlText w:val="[%3]."/>
      <w:lvlJc w:val="left"/>
      <w:pPr>
        <w:ind w:left="720" w:hanging="360"/>
      </w:pPr>
      <w:rPr>
        <w:rFonts w:hint="default"/>
      </w:rPr>
    </w:lvl>
    <w:lvl w:ilvl="3">
      <w:start w:val="1"/>
      <w:numFmt w:val="lowerLetter"/>
      <w:lvlText w:val="(%4)"/>
      <w:lvlJc w:val="left"/>
      <w:pPr>
        <w:tabs>
          <w:tab w:val="num" w:pos="3119"/>
        </w:tabs>
        <w:ind w:left="3119" w:hanging="567"/>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righ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right"/>
      <w:pPr>
        <w:tabs>
          <w:tab w:val="num" w:pos="6381"/>
        </w:tabs>
        <w:ind w:left="6381" w:hanging="709"/>
      </w:pPr>
      <w:rPr>
        <w:rFonts w:hint="default"/>
      </w:rPr>
    </w:lvl>
  </w:abstractNum>
  <w:abstractNum w:abstractNumId="2" w15:restartNumberingAfterBreak="0">
    <w:nsid w:val="1F4A1341"/>
    <w:multiLevelType w:val="hybridMultilevel"/>
    <w:tmpl w:val="72860F22"/>
    <w:lvl w:ilvl="0" w:tplc="D9D8E4E2">
      <w:start w:val="1"/>
      <w:numFmt w:val="lowerLetter"/>
      <w:lvlText w:val="(%1)"/>
      <w:lvlJc w:val="left"/>
      <w:pPr>
        <w:ind w:left="1014" w:hanging="360"/>
      </w:pPr>
      <w:rPr>
        <w:rFonts w:hint="default"/>
        <w:i/>
        <w:iCs/>
      </w:rPr>
    </w:lvl>
    <w:lvl w:ilvl="1" w:tplc="1C090019" w:tentative="1">
      <w:start w:val="1"/>
      <w:numFmt w:val="lowerLetter"/>
      <w:lvlText w:val="%2."/>
      <w:lvlJc w:val="left"/>
      <w:pPr>
        <w:ind w:left="1734" w:hanging="360"/>
      </w:pPr>
    </w:lvl>
    <w:lvl w:ilvl="2" w:tplc="1C09001B" w:tentative="1">
      <w:start w:val="1"/>
      <w:numFmt w:val="lowerRoman"/>
      <w:lvlText w:val="%3."/>
      <w:lvlJc w:val="right"/>
      <w:pPr>
        <w:ind w:left="2454" w:hanging="180"/>
      </w:pPr>
    </w:lvl>
    <w:lvl w:ilvl="3" w:tplc="1C09000F" w:tentative="1">
      <w:start w:val="1"/>
      <w:numFmt w:val="decimal"/>
      <w:lvlText w:val="%4."/>
      <w:lvlJc w:val="left"/>
      <w:pPr>
        <w:ind w:left="3174" w:hanging="360"/>
      </w:pPr>
    </w:lvl>
    <w:lvl w:ilvl="4" w:tplc="1C090019" w:tentative="1">
      <w:start w:val="1"/>
      <w:numFmt w:val="lowerLetter"/>
      <w:lvlText w:val="%5."/>
      <w:lvlJc w:val="left"/>
      <w:pPr>
        <w:ind w:left="3894" w:hanging="360"/>
      </w:pPr>
    </w:lvl>
    <w:lvl w:ilvl="5" w:tplc="1C09001B" w:tentative="1">
      <w:start w:val="1"/>
      <w:numFmt w:val="lowerRoman"/>
      <w:lvlText w:val="%6."/>
      <w:lvlJc w:val="right"/>
      <w:pPr>
        <w:ind w:left="4614" w:hanging="180"/>
      </w:pPr>
    </w:lvl>
    <w:lvl w:ilvl="6" w:tplc="1C09000F" w:tentative="1">
      <w:start w:val="1"/>
      <w:numFmt w:val="decimal"/>
      <w:lvlText w:val="%7."/>
      <w:lvlJc w:val="left"/>
      <w:pPr>
        <w:ind w:left="5334" w:hanging="360"/>
      </w:pPr>
    </w:lvl>
    <w:lvl w:ilvl="7" w:tplc="1C090019" w:tentative="1">
      <w:start w:val="1"/>
      <w:numFmt w:val="lowerLetter"/>
      <w:lvlText w:val="%8."/>
      <w:lvlJc w:val="left"/>
      <w:pPr>
        <w:ind w:left="6054" w:hanging="360"/>
      </w:pPr>
    </w:lvl>
    <w:lvl w:ilvl="8" w:tplc="1C09001B" w:tentative="1">
      <w:start w:val="1"/>
      <w:numFmt w:val="lowerRoman"/>
      <w:lvlText w:val="%9."/>
      <w:lvlJc w:val="right"/>
      <w:pPr>
        <w:ind w:left="6774" w:hanging="180"/>
      </w:pPr>
    </w:lvl>
  </w:abstractNum>
  <w:abstractNum w:abstractNumId="3" w15:restartNumberingAfterBreak="0">
    <w:nsid w:val="23774605"/>
    <w:multiLevelType w:val="multilevel"/>
    <w:tmpl w:val="0E321490"/>
    <w:lvl w:ilvl="0">
      <w:start w:val="1"/>
      <w:numFmt w:val="decimal"/>
      <w:lvlText w:val="[%1]"/>
      <w:lvlJc w:val="left"/>
      <w:pPr>
        <w:ind w:left="709" w:hanging="709"/>
      </w:pPr>
      <w:rPr>
        <w:rFonts w:hint="default"/>
      </w:rPr>
    </w:lvl>
    <w:lvl w:ilvl="1">
      <w:start w:val="1"/>
      <w:numFmt w:val="decimal"/>
      <w:lvlText w:val="[%1.%2]"/>
      <w:lvlJc w:val="left"/>
      <w:pPr>
        <w:ind w:left="1559" w:hanging="85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46B6752"/>
    <w:multiLevelType w:val="multilevel"/>
    <w:tmpl w:val="6116F18C"/>
    <w:lvl w:ilvl="0">
      <w:start w:val="1"/>
      <w:numFmt w:val="decimal"/>
      <w:lvlText w:val="[%1]"/>
      <w:lvlJc w:val="left"/>
      <w:pPr>
        <w:ind w:left="709" w:hanging="349"/>
      </w:pPr>
      <w:rPr>
        <w:rFonts w:hint="default"/>
      </w:rPr>
    </w:lvl>
    <w:lvl w:ilvl="1">
      <w:start w:val="1"/>
      <w:numFmt w:val="decimal"/>
      <w:lvlText w:val="[%1.%2]"/>
      <w:lvlJc w:val="left"/>
      <w:pPr>
        <w:tabs>
          <w:tab w:val="num" w:pos="1559"/>
        </w:tabs>
        <w:ind w:left="1559" w:hanging="85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4D6514F"/>
    <w:multiLevelType w:val="multilevel"/>
    <w:tmpl w:val="EE06E14A"/>
    <w:lvl w:ilvl="0">
      <w:start w:val="1"/>
      <w:numFmt w:val="decimal"/>
      <w:lvlText w:val="[%1]"/>
      <w:lvlJc w:val="left"/>
      <w:pPr>
        <w:ind w:left="709" w:hanging="349"/>
      </w:pPr>
      <w:rPr>
        <w:rFonts w:hint="default"/>
        <w:b w:val="0"/>
        <w:bCs w:val="0"/>
        <w:i w:val="0"/>
        <w:iCs w:val="0"/>
      </w:rPr>
    </w:lvl>
    <w:lvl w:ilvl="1">
      <w:start w:val="1"/>
      <w:numFmt w:val="decimal"/>
      <w:lvlText w:val="[%1.%2]"/>
      <w:lvlJc w:val="left"/>
      <w:pPr>
        <w:ind w:left="1418" w:hanging="709"/>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96410D8"/>
    <w:multiLevelType w:val="hybridMultilevel"/>
    <w:tmpl w:val="8F88BFFC"/>
    <w:lvl w:ilvl="0" w:tplc="B0F2E8DC">
      <w:start w:val="2"/>
      <w:numFmt w:val="lowerLetter"/>
      <w:lvlText w:val="(%1)"/>
      <w:lvlJc w:val="left"/>
      <w:pPr>
        <w:ind w:left="1069" w:hanging="360"/>
      </w:pPr>
      <w:rPr>
        <w:rFonts w:hint="default"/>
        <w:i/>
        <w:iCs/>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2EC32EAB"/>
    <w:multiLevelType w:val="multilevel"/>
    <w:tmpl w:val="65B8AD06"/>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701"/>
        </w:tabs>
        <w:ind w:left="1701" w:hanging="1134"/>
      </w:pPr>
      <w:rPr>
        <w:rFonts w:hint="default"/>
        <w:b w:val="0"/>
        <w:i w:val="0"/>
      </w:rPr>
    </w:lvl>
    <w:lvl w:ilvl="2">
      <w:start w:val="1"/>
      <w:numFmt w:val="decimal"/>
      <w:pStyle w:val="3"/>
      <w:lvlText w:val="%1.%2.%3"/>
      <w:lvlJc w:val="left"/>
      <w:pPr>
        <w:tabs>
          <w:tab w:val="num" w:pos="2835"/>
        </w:tabs>
        <w:ind w:left="2835" w:hanging="1134"/>
      </w:pPr>
      <w:rPr>
        <w:rFonts w:hint="default"/>
        <w:b w:val="0"/>
        <w:i w:val="0"/>
      </w:rPr>
    </w:lvl>
    <w:lvl w:ilvl="3">
      <w:start w:val="1"/>
      <w:numFmt w:val="lowerLetter"/>
      <w:pStyle w:val="4"/>
      <w:lvlText w:val="(%4)"/>
      <w:lvlJc w:val="left"/>
      <w:pPr>
        <w:tabs>
          <w:tab w:val="num" w:pos="2268"/>
        </w:tabs>
        <w:ind w:left="2268" w:hanging="567"/>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8" w15:restartNumberingAfterBreak="0">
    <w:nsid w:val="440A70D4"/>
    <w:multiLevelType w:val="hybridMultilevel"/>
    <w:tmpl w:val="F8A80D32"/>
    <w:lvl w:ilvl="0" w:tplc="ECA05BD8">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9" w15:restartNumberingAfterBreak="0">
    <w:nsid w:val="58A206F8"/>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FC10379"/>
    <w:multiLevelType w:val="multilevel"/>
    <w:tmpl w:val="436CDF80"/>
    <w:lvl w:ilvl="0">
      <w:start w:val="1"/>
      <w:numFmt w:val="decimal"/>
      <w:lvlText w:val="[%1]"/>
      <w:lvlJc w:val="left"/>
      <w:pPr>
        <w:ind w:left="709" w:hanging="349"/>
      </w:pPr>
      <w:rPr>
        <w:rFonts w:hint="default"/>
      </w:rPr>
    </w:lvl>
    <w:lvl w:ilvl="1">
      <w:start w:val="1"/>
      <w:numFmt w:val="decimal"/>
      <w:lvlText w:val="[%1.%2]"/>
      <w:lvlJc w:val="left"/>
      <w:pPr>
        <w:ind w:left="1418"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DE10295"/>
    <w:multiLevelType w:val="hybridMultilevel"/>
    <w:tmpl w:val="9E40755E"/>
    <w:lvl w:ilvl="0" w:tplc="FCD2AC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1"/>
  </w:num>
  <w:num w:numId="5">
    <w:abstractNumId w:val="3"/>
  </w:num>
  <w:num w:numId="6">
    <w:abstractNumId w:val="5"/>
    <w:lvlOverride w:ilvl="0">
      <w:lvl w:ilvl="0">
        <w:start w:val="1"/>
        <w:numFmt w:val="decimal"/>
        <w:lvlText w:val="[%1]"/>
        <w:lvlJc w:val="left"/>
        <w:pPr>
          <w:ind w:left="709" w:hanging="349"/>
        </w:pPr>
        <w:rPr>
          <w:rFonts w:hint="default"/>
        </w:rPr>
      </w:lvl>
    </w:lvlOverride>
    <w:lvlOverride w:ilvl="1">
      <w:lvl w:ilvl="1">
        <w:start w:val="1"/>
        <w:numFmt w:val="decimal"/>
        <w:lvlText w:val="[%1.%2]"/>
        <w:lvlJc w:val="left"/>
        <w:pPr>
          <w:ind w:left="1559" w:hanging="85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abstractNumId w:val="4"/>
  </w:num>
  <w:num w:numId="8">
    <w:abstractNumId w:val="10"/>
  </w:num>
  <w:num w:numId="9">
    <w:abstractNumId w:val="2"/>
  </w:num>
  <w:num w:numId="10">
    <w:abstractNumId w:val="6"/>
  </w:num>
  <w:num w:numId="11">
    <w:abstractNumId w:val="1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awMLQ0NLE0NDU3sjBV0lEKTi0uzszPAykwrAUAf4wUISwAAAA="/>
  </w:docVars>
  <w:rsids>
    <w:rsidRoot w:val="00E66650"/>
    <w:rsid w:val="0000006B"/>
    <w:rsid w:val="0000024E"/>
    <w:rsid w:val="00001791"/>
    <w:rsid w:val="000027FF"/>
    <w:rsid w:val="0000329D"/>
    <w:rsid w:val="0000344A"/>
    <w:rsid w:val="000039E8"/>
    <w:rsid w:val="00004742"/>
    <w:rsid w:val="0000486D"/>
    <w:rsid w:val="00005BF5"/>
    <w:rsid w:val="000070EB"/>
    <w:rsid w:val="0000741C"/>
    <w:rsid w:val="000079EE"/>
    <w:rsid w:val="00007AD4"/>
    <w:rsid w:val="00007E39"/>
    <w:rsid w:val="000111A6"/>
    <w:rsid w:val="00011B10"/>
    <w:rsid w:val="00012218"/>
    <w:rsid w:val="0001291D"/>
    <w:rsid w:val="00013402"/>
    <w:rsid w:val="00013479"/>
    <w:rsid w:val="00013BBB"/>
    <w:rsid w:val="00013C4B"/>
    <w:rsid w:val="00015239"/>
    <w:rsid w:val="00016DF8"/>
    <w:rsid w:val="000174F8"/>
    <w:rsid w:val="00017EED"/>
    <w:rsid w:val="0002016E"/>
    <w:rsid w:val="000201B3"/>
    <w:rsid w:val="00020C6A"/>
    <w:rsid w:val="00020EBC"/>
    <w:rsid w:val="00021013"/>
    <w:rsid w:val="000210F1"/>
    <w:rsid w:val="00021DC6"/>
    <w:rsid w:val="00021EA0"/>
    <w:rsid w:val="0002528D"/>
    <w:rsid w:val="00025618"/>
    <w:rsid w:val="00025D45"/>
    <w:rsid w:val="000271A1"/>
    <w:rsid w:val="000276BA"/>
    <w:rsid w:val="00027DA8"/>
    <w:rsid w:val="00031423"/>
    <w:rsid w:val="000319B6"/>
    <w:rsid w:val="000322D9"/>
    <w:rsid w:val="00032359"/>
    <w:rsid w:val="00032A50"/>
    <w:rsid w:val="000333E4"/>
    <w:rsid w:val="0003385D"/>
    <w:rsid w:val="0003419B"/>
    <w:rsid w:val="0003426C"/>
    <w:rsid w:val="000342C3"/>
    <w:rsid w:val="000348F3"/>
    <w:rsid w:val="00036145"/>
    <w:rsid w:val="00040284"/>
    <w:rsid w:val="00040A6A"/>
    <w:rsid w:val="0004207A"/>
    <w:rsid w:val="00043577"/>
    <w:rsid w:val="00043AC1"/>
    <w:rsid w:val="00044941"/>
    <w:rsid w:val="00044E05"/>
    <w:rsid w:val="0004522C"/>
    <w:rsid w:val="0004606A"/>
    <w:rsid w:val="000465E5"/>
    <w:rsid w:val="0004698F"/>
    <w:rsid w:val="0005009F"/>
    <w:rsid w:val="0005122B"/>
    <w:rsid w:val="00051758"/>
    <w:rsid w:val="000527F6"/>
    <w:rsid w:val="00052DCE"/>
    <w:rsid w:val="0005485B"/>
    <w:rsid w:val="00054BF3"/>
    <w:rsid w:val="00054D6D"/>
    <w:rsid w:val="00055487"/>
    <w:rsid w:val="00055E4D"/>
    <w:rsid w:val="00055F87"/>
    <w:rsid w:val="00056021"/>
    <w:rsid w:val="00056546"/>
    <w:rsid w:val="00057626"/>
    <w:rsid w:val="0006017D"/>
    <w:rsid w:val="00060656"/>
    <w:rsid w:val="00060C8F"/>
    <w:rsid w:val="00061506"/>
    <w:rsid w:val="00061772"/>
    <w:rsid w:val="00061A45"/>
    <w:rsid w:val="0006209B"/>
    <w:rsid w:val="0006642A"/>
    <w:rsid w:val="000700FF"/>
    <w:rsid w:val="000706F0"/>
    <w:rsid w:val="00070EE5"/>
    <w:rsid w:val="0007116C"/>
    <w:rsid w:val="00071467"/>
    <w:rsid w:val="00071EF9"/>
    <w:rsid w:val="000720B5"/>
    <w:rsid w:val="0007235D"/>
    <w:rsid w:val="00072F5C"/>
    <w:rsid w:val="000730DB"/>
    <w:rsid w:val="00073FCE"/>
    <w:rsid w:val="00074875"/>
    <w:rsid w:val="00074C16"/>
    <w:rsid w:val="00075728"/>
    <w:rsid w:val="00075EBA"/>
    <w:rsid w:val="000765FA"/>
    <w:rsid w:val="000769B8"/>
    <w:rsid w:val="00077606"/>
    <w:rsid w:val="000779F3"/>
    <w:rsid w:val="00080131"/>
    <w:rsid w:val="00081EC5"/>
    <w:rsid w:val="000820C2"/>
    <w:rsid w:val="0008246C"/>
    <w:rsid w:val="00082DBD"/>
    <w:rsid w:val="000836C6"/>
    <w:rsid w:val="00083BB7"/>
    <w:rsid w:val="00085206"/>
    <w:rsid w:val="00086732"/>
    <w:rsid w:val="00086A3A"/>
    <w:rsid w:val="00086AA9"/>
    <w:rsid w:val="00086BD3"/>
    <w:rsid w:val="000871CC"/>
    <w:rsid w:val="000871D4"/>
    <w:rsid w:val="000878AC"/>
    <w:rsid w:val="000907D4"/>
    <w:rsid w:val="0009086A"/>
    <w:rsid w:val="00090A02"/>
    <w:rsid w:val="00090DA8"/>
    <w:rsid w:val="0009104D"/>
    <w:rsid w:val="00091795"/>
    <w:rsid w:val="00092BDA"/>
    <w:rsid w:val="000935A7"/>
    <w:rsid w:val="00093884"/>
    <w:rsid w:val="0009496E"/>
    <w:rsid w:val="0009499C"/>
    <w:rsid w:val="000957C2"/>
    <w:rsid w:val="0009592D"/>
    <w:rsid w:val="00095D91"/>
    <w:rsid w:val="00097757"/>
    <w:rsid w:val="00097EFC"/>
    <w:rsid w:val="000A01EF"/>
    <w:rsid w:val="000A106F"/>
    <w:rsid w:val="000A1240"/>
    <w:rsid w:val="000A1414"/>
    <w:rsid w:val="000A18F0"/>
    <w:rsid w:val="000A27BB"/>
    <w:rsid w:val="000A2B67"/>
    <w:rsid w:val="000A2D98"/>
    <w:rsid w:val="000A321E"/>
    <w:rsid w:val="000A3842"/>
    <w:rsid w:val="000A3E0F"/>
    <w:rsid w:val="000A4E79"/>
    <w:rsid w:val="000A54E5"/>
    <w:rsid w:val="000A6241"/>
    <w:rsid w:val="000A6B1C"/>
    <w:rsid w:val="000A730A"/>
    <w:rsid w:val="000A7C7A"/>
    <w:rsid w:val="000B124B"/>
    <w:rsid w:val="000B1669"/>
    <w:rsid w:val="000B1B91"/>
    <w:rsid w:val="000B1E65"/>
    <w:rsid w:val="000B2616"/>
    <w:rsid w:val="000B58D8"/>
    <w:rsid w:val="000B6003"/>
    <w:rsid w:val="000B69E9"/>
    <w:rsid w:val="000B6A4E"/>
    <w:rsid w:val="000B7089"/>
    <w:rsid w:val="000B72F7"/>
    <w:rsid w:val="000B7579"/>
    <w:rsid w:val="000B78BC"/>
    <w:rsid w:val="000C098A"/>
    <w:rsid w:val="000C11FB"/>
    <w:rsid w:val="000C13E1"/>
    <w:rsid w:val="000C27D7"/>
    <w:rsid w:val="000C2A9B"/>
    <w:rsid w:val="000C36BA"/>
    <w:rsid w:val="000C3D51"/>
    <w:rsid w:val="000C558B"/>
    <w:rsid w:val="000C5A18"/>
    <w:rsid w:val="000C5DDE"/>
    <w:rsid w:val="000C60C9"/>
    <w:rsid w:val="000C6A3B"/>
    <w:rsid w:val="000C6F45"/>
    <w:rsid w:val="000D153E"/>
    <w:rsid w:val="000D28EC"/>
    <w:rsid w:val="000D4461"/>
    <w:rsid w:val="000D5165"/>
    <w:rsid w:val="000D518E"/>
    <w:rsid w:val="000D56D9"/>
    <w:rsid w:val="000D6C22"/>
    <w:rsid w:val="000D6D88"/>
    <w:rsid w:val="000D727E"/>
    <w:rsid w:val="000D7409"/>
    <w:rsid w:val="000E066F"/>
    <w:rsid w:val="000E1464"/>
    <w:rsid w:val="000E181D"/>
    <w:rsid w:val="000E1C7F"/>
    <w:rsid w:val="000E36F6"/>
    <w:rsid w:val="000E3A9E"/>
    <w:rsid w:val="000E4E8F"/>
    <w:rsid w:val="000E51EE"/>
    <w:rsid w:val="000E56BB"/>
    <w:rsid w:val="000E6C18"/>
    <w:rsid w:val="000E6D4B"/>
    <w:rsid w:val="000E7AD5"/>
    <w:rsid w:val="000E7FD0"/>
    <w:rsid w:val="000F0FF6"/>
    <w:rsid w:val="000F12A8"/>
    <w:rsid w:val="000F14ED"/>
    <w:rsid w:val="000F1B8F"/>
    <w:rsid w:val="000F249A"/>
    <w:rsid w:val="000F2A26"/>
    <w:rsid w:val="000F3476"/>
    <w:rsid w:val="000F34B1"/>
    <w:rsid w:val="000F3FBA"/>
    <w:rsid w:val="000F5406"/>
    <w:rsid w:val="000F61ED"/>
    <w:rsid w:val="000F6511"/>
    <w:rsid w:val="000F68DF"/>
    <w:rsid w:val="000F7D25"/>
    <w:rsid w:val="001006FD"/>
    <w:rsid w:val="001008E5"/>
    <w:rsid w:val="00101446"/>
    <w:rsid w:val="00101D97"/>
    <w:rsid w:val="00102769"/>
    <w:rsid w:val="00102DC0"/>
    <w:rsid w:val="00102F59"/>
    <w:rsid w:val="001039E9"/>
    <w:rsid w:val="001041D5"/>
    <w:rsid w:val="001042BB"/>
    <w:rsid w:val="00104C46"/>
    <w:rsid w:val="001069D1"/>
    <w:rsid w:val="00106DC7"/>
    <w:rsid w:val="001110C8"/>
    <w:rsid w:val="0011137C"/>
    <w:rsid w:val="001116F4"/>
    <w:rsid w:val="00111BDF"/>
    <w:rsid w:val="001132BE"/>
    <w:rsid w:val="00115BD1"/>
    <w:rsid w:val="00116217"/>
    <w:rsid w:val="00117741"/>
    <w:rsid w:val="001200FC"/>
    <w:rsid w:val="0012014E"/>
    <w:rsid w:val="00120919"/>
    <w:rsid w:val="00120B0C"/>
    <w:rsid w:val="00121AD5"/>
    <w:rsid w:val="001229FD"/>
    <w:rsid w:val="001233D0"/>
    <w:rsid w:val="001233DF"/>
    <w:rsid w:val="001240D9"/>
    <w:rsid w:val="00125D2B"/>
    <w:rsid w:val="00125D32"/>
    <w:rsid w:val="00131E70"/>
    <w:rsid w:val="0013207D"/>
    <w:rsid w:val="00132357"/>
    <w:rsid w:val="00135227"/>
    <w:rsid w:val="00135CCC"/>
    <w:rsid w:val="00136019"/>
    <w:rsid w:val="00137080"/>
    <w:rsid w:val="001372CA"/>
    <w:rsid w:val="0013743E"/>
    <w:rsid w:val="00137520"/>
    <w:rsid w:val="001405E3"/>
    <w:rsid w:val="00141124"/>
    <w:rsid w:val="00141259"/>
    <w:rsid w:val="001412D0"/>
    <w:rsid w:val="001415BE"/>
    <w:rsid w:val="001419E7"/>
    <w:rsid w:val="001425E2"/>
    <w:rsid w:val="0014403C"/>
    <w:rsid w:val="00144B27"/>
    <w:rsid w:val="00146EAD"/>
    <w:rsid w:val="00146EE2"/>
    <w:rsid w:val="00147133"/>
    <w:rsid w:val="0014753D"/>
    <w:rsid w:val="00150240"/>
    <w:rsid w:val="00150427"/>
    <w:rsid w:val="00150884"/>
    <w:rsid w:val="00150C63"/>
    <w:rsid w:val="00151DD6"/>
    <w:rsid w:val="001520AD"/>
    <w:rsid w:val="00152F9E"/>
    <w:rsid w:val="00153677"/>
    <w:rsid w:val="00153EC0"/>
    <w:rsid w:val="0015447E"/>
    <w:rsid w:val="0015464A"/>
    <w:rsid w:val="0015496D"/>
    <w:rsid w:val="001564A4"/>
    <w:rsid w:val="001564CF"/>
    <w:rsid w:val="00156AEE"/>
    <w:rsid w:val="00156E27"/>
    <w:rsid w:val="00157331"/>
    <w:rsid w:val="001573C6"/>
    <w:rsid w:val="001574A7"/>
    <w:rsid w:val="001579BB"/>
    <w:rsid w:val="001602EB"/>
    <w:rsid w:val="00160D88"/>
    <w:rsid w:val="0016176C"/>
    <w:rsid w:val="0016183F"/>
    <w:rsid w:val="00161E07"/>
    <w:rsid w:val="00161F84"/>
    <w:rsid w:val="0016253A"/>
    <w:rsid w:val="00163DAD"/>
    <w:rsid w:val="001654B2"/>
    <w:rsid w:val="00165BA5"/>
    <w:rsid w:val="00166150"/>
    <w:rsid w:val="0016693C"/>
    <w:rsid w:val="001669F1"/>
    <w:rsid w:val="001677DE"/>
    <w:rsid w:val="0017032E"/>
    <w:rsid w:val="00171A53"/>
    <w:rsid w:val="00171CB0"/>
    <w:rsid w:val="00171E3E"/>
    <w:rsid w:val="0017217E"/>
    <w:rsid w:val="001721EA"/>
    <w:rsid w:val="00172F92"/>
    <w:rsid w:val="001734B2"/>
    <w:rsid w:val="00174665"/>
    <w:rsid w:val="00175018"/>
    <w:rsid w:val="00176539"/>
    <w:rsid w:val="00176B46"/>
    <w:rsid w:val="001778AE"/>
    <w:rsid w:val="001801C1"/>
    <w:rsid w:val="0018065F"/>
    <w:rsid w:val="00180C6A"/>
    <w:rsid w:val="0018115E"/>
    <w:rsid w:val="00182324"/>
    <w:rsid w:val="00182383"/>
    <w:rsid w:val="00182865"/>
    <w:rsid w:val="00183414"/>
    <w:rsid w:val="001834A1"/>
    <w:rsid w:val="00183B9D"/>
    <w:rsid w:val="00185651"/>
    <w:rsid w:val="001859F5"/>
    <w:rsid w:val="00185CF0"/>
    <w:rsid w:val="00187367"/>
    <w:rsid w:val="001906A1"/>
    <w:rsid w:val="0019085C"/>
    <w:rsid w:val="00190EC2"/>
    <w:rsid w:val="001914A9"/>
    <w:rsid w:val="00191695"/>
    <w:rsid w:val="001921AB"/>
    <w:rsid w:val="001932CE"/>
    <w:rsid w:val="001936D1"/>
    <w:rsid w:val="001950A1"/>
    <w:rsid w:val="00196640"/>
    <w:rsid w:val="00196951"/>
    <w:rsid w:val="001A1DE7"/>
    <w:rsid w:val="001A20D0"/>
    <w:rsid w:val="001A2385"/>
    <w:rsid w:val="001A3426"/>
    <w:rsid w:val="001A3748"/>
    <w:rsid w:val="001A399D"/>
    <w:rsid w:val="001A3CC5"/>
    <w:rsid w:val="001A46B7"/>
    <w:rsid w:val="001A4BD5"/>
    <w:rsid w:val="001A4F00"/>
    <w:rsid w:val="001A7A86"/>
    <w:rsid w:val="001A7B23"/>
    <w:rsid w:val="001B16F6"/>
    <w:rsid w:val="001B19E5"/>
    <w:rsid w:val="001B2357"/>
    <w:rsid w:val="001B349C"/>
    <w:rsid w:val="001B38FC"/>
    <w:rsid w:val="001B405A"/>
    <w:rsid w:val="001B43DC"/>
    <w:rsid w:val="001B4446"/>
    <w:rsid w:val="001B548B"/>
    <w:rsid w:val="001B5B28"/>
    <w:rsid w:val="001B6AB5"/>
    <w:rsid w:val="001B705E"/>
    <w:rsid w:val="001B744C"/>
    <w:rsid w:val="001B7530"/>
    <w:rsid w:val="001B7EB6"/>
    <w:rsid w:val="001C02DD"/>
    <w:rsid w:val="001C1078"/>
    <w:rsid w:val="001C15BF"/>
    <w:rsid w:val="001C2784"/>
    <w:rsid w:val="001C3205"/>
    <w:rsid w:val="001C42F3"/>
    <w:rsid w:val="001C4CAF"/>
    <w:rsid w:val="001C59BA"/>
    <w:rsid w:val="001C5BDE"/>
    <w:rsid w:val="001C6B61"/>
    <w:rsid w:val="001C7875"/>
    <w:rsid w:val="001D03CF"/>
    <w:rsid w:val="001D074D"/>
    <w:rsid w:val="001D1E7B"/>
    <w:rsid w:val="001D1F2A"/>
    <w:rsid w:val="001D1F42"/>
    <w:rsid w:val="001D26B8"/>
    <w:rsid w:val="001D27CF"/>
    <w:rsid w:val="001D2AFC"/>
    <w:rsid w:val="001D2FA6"/>
    <w:rsid w:val="001D40D0"/>
    <w:rsid w:val="001D6766"/>
    <w:rsid w:val="001D7178"/>
    <w:rsid w:val="001D7F01"/>
    <w:rsid w:val="001E0497"/>
    <w:rsid w:val="001E094F"/>
    <w:rsid w:val="001E0E72"/>
    <w:rsid w:val="001E1C81"/>
    <w:rsid w:val="001E2DD8"/>
    <w:rsid w:val="001E2EB7"/>
    <w:rsid w:val="001E32FE"/>
    <w:rsid w:val="001E351F"/>
    <w:rsid w:val="001E3AEC"/>
    <w:rsid w:val="001E3CC5"/>
    <w:rsid w:val="001E4516"/>
    <w:rsid w:val="001E498B"/>
    <w:rsid w:val="001E65E4"/>
    <w:rsid w:val="001E73A7"/>
    <w:rsid w:val="001E7DE0"/>
    <w:rsid w:val="001E7E64"/>
    <w:rsid w:val="001E7FF9"/>
    <w:rsid w:val="001F0162"/>
    <w:rsid w:val="001F0744"/>
    <w:rsid w:val="001F0911"/>
    <w:rsid w:val="001F1103"/>
    <w:rsid w:val="001F11BF"/>
    <w:rsid w:val="001F1909"/>
    <w:rsid w:val="001F1FFC"/>
    <w:rsid w:val="001F2CC8"/>
    <w:rsid w:val="001F2F8F"/>
    <w:rsid w:val="001F3087"/>
    <w:rsid w:val="001F4229"/>
    <w:rsid w:val="001F4881"/>
    <w:rsid w:val="001F50DD"/>
    <w:rsid w:val="001F594F"/>
    <w:rsid w:val="001F5974"/>
    <w:rsid w:val="001F60A5"/>
    <w:rsid w:val="001F6490"/>
    <w:rsid w:val="001F685B"/>
    <w:rsid w:val="001F6FE8"/>
    <w:rsid w:val="00201B1A"/>
    <w:rsid w:val="00202109"/>
    <w:rsid w:val="00202CC6"/>
    <w:rsid w:val="002030C8"/>
    <w:rsid w:val="002034DC"/>
    <w:rsid w:val="00203C07"/>
    <w:rsid w:val="00203DDE"/>
    <w:rsid w:val="002040DA"/>
    <w:rsid w:val="00204B3E"/>
    <w:rsid w:val="00204D3E"/>
    <w:rsid w:val="002053BD"/>
    <w:rsid w:val="00205774"/>
    <w:rsid w:val="00206959"/>
    <w:rsid w:val="00206A91"/>
    <w:rsid w:val="002109D7"/>
    <w:rsid w:val="00211112"/>
    <w:rsid w:val="00212A0D"/>
    <w:rsid w:val="00212A8D"/>
    <w:rsid w:val="00213967"/>
    <w:rsid w:val="00215CA4"/>
    <w:rsid w:val="002162F5"/>
    <w:rsid w:val="002165A9"/>
    <w:rsid w:val="0021666F"/>
    <w:rsid w:val="00216DA4"/>
    <w:rsid w:val="0021731A"/>
    <w:rsid w:val="002206F0"/>
    <w:rsid w:val="00221077"/>
    <w:rsid w:val="00222640"/>
    <w:rsid w:val="00223720"/>
    <w:rsid w:val="00223A40"/>
    <w:rsid w:val="00223ABA"/>
    <w:rsid w:val="0022428A"/>
    <w:rsid w:val="00224EF4"/>
    <w:rsid w:val="00226339"/>
    <w:rsid w:val="00230190"/>
    <w:rsid w:val="00232B47"/>
    <w:rsid w:val="002337D5"/>
    <w:rsid w:val="002339F0"/>
    <w:rsid w:val="00234362"/>
    <w:rsid w:val="00234450"/>
    <w:rsid w:val="002348A9"/>
    <w:rsid w:val="00234B84"/>
    <w:rsid w:val="002359D8"/>
    <w:rsid w:val="00235C13"/>
    <w:rsid w:val="0023705E"/>
    <w:rsid w:val="00237634"/>
    <w:rsid w:val="002401C1"/>
    <w:rsid w:val="00240811"/>
    <w:rsid w:val="00241124"/>
    <w:rsid w:val="00241DBC"/>
    <w:rsid w:val="0024205D"/>
    <w:rsid w:val="0024320E"/>
    <w:rsid w:val="00243C5A"/>
    <w:rsid w:val="002443D9"/>
    <w:rsid w:val="00246B73"/>
    <w:rsid w:val="00247CF8"/>
    <w:rsid w:val="00251E54"/>
    <w:rsid w:val="0025250F"/>
    <w:rsid w:val="00252A4A"/>
    <w:rsid w:val="00253A0C"/>
    <w:rsid w:val="002552F6"/>
    <w:rsid w:val="00255F4A"/>
    <w:rsid w:val="0025629D"/>
    <w:rsid w:val="00256885"/>
    <w:rsid w:val="00260255"/>
    <w:rsid w:val="0026106C"/>
    <w:rsid w:val="002631E5"/>
    <w:rsid w:val="00263943"/>
    <w:rsid w:val="002652DA"/>
    <w:rsid w:val="00265720"/>
    <w:rsid w:val="00266690"/>
    <w:rsid w:val="00267431"/>
    <w:rsid w:val="00270998"/>
    <w:rsid w:val="00271C78"/>
    <w:rsid w:val="0027205C"/>
    <w:rsid w:val="00272465"/>
    <w:rsid w:val="0027336B"/>
    <w:rsid w:val="00273435"/>
    <w:rsid w:val="0027519E"/>
    <w:rsid w:val="002752D5"/>
    <w:rsid w:val="00277CA7"/>
    <w:rsid w:val="00277E78"/>
    <w:rsid w:val="0028164B"/>
    <w:rsid w:val="002816F9"/>
    <w:rsid w:val="00281715"/>
    <w:rsid w:val="002824FE"/>
    <w:rsid w:val="00282C28"/>
    <w:rsid w:val="00282D14"/>
    <w:rsid w:val="00282F64"/>
    <w:rsid w:val="00284A53"/>
    <w:rsid w:val="00284B4D"/>
    <w:rsid w:val="00284B8E"/>
    <w:rsid w:val="0028500F"/>
    <w:rsid w:val="00285614"/>
    <w:rsid w:val="0028564A"/>
    <w:rsid w:val="002858C7"/>
    <w:rsid w:val="00286C5A"/>
    <w:rsid w:val="00286F9C"/>
    <w:rsid w:val="002879F5"/>
    <w:rsid w:val="00287BAA"/>
    <w:rsid w:val="00290026"/>
    <w:rsid w:val="002904A9"/>
    <w:rsid w:val="00290C18"/>
    <w:rsid w:val="002911F7"/>
    <w:rsid w:val="0029191C"/>
    <w:rsid w:val="00291D18"/>
    <w:rsid w:val="00292B53"/>
    <w:rsid w:val="00293AE2"/>
    <w:rsid w:val="00294690"/>
    <w:rsid w:val="002949A2"/>
    <w:rsid w:val="00295411"/>
    <w:rsid w:val="0029720B"/>
    <w:rsid w:val="002A0451"/>
    <w:rsid w:val="002A0C1E"/>
    <w:rsid w:val="002A15BB"/>
    <w:rsid w:val="002A1C66"/>
    <w:rsid w:val="002A4521"/>
    <w:rsid w:val="002A4A5B"/>
    <w:rsid w:val="002A592A"/>
    <w:rsid w:val="002A5EB7"/>
    <w:rsid w:val="002A61E7"/>
    <w:rsid w:val="002A6706"/>
    <w:rsid w:val="002A6799"/>
    <w:rsid w:val="002A6C2F"/>
    <w:rsid w:val="002A7550"/>
    <w:rsid w:val="002A7D83"/>
    <w:rsid w:val="002B39AF"/>
    <w:rsid w:val="002B4156"/>
    <w:rsid w:val="002B429D"/>
    <w:rsid w:val="002B5267"/>
    <w:rsid w:val="002B568E"/>
    <w:rsid w:val="002B7F42"/>
    <w:rsid w:val="002C0A3B"/>
    <w:rsid w:val="002C0B92"/>
    <w:rsid w:val="002C0B9D"/>
    <w:rsid w:val="002C0FAE"/>
    <w:rsid w:val="002C1155"/>
    <w:rsid w:val="002C1ECE"/>
    <w:rsid w:val="002C26CB"/>
    <w:rsid w:val="002C2C2A"/>
    <w:rsid w:val="002C2DEB"/>
    <w:rsid w:val="002C2F00"/>
    <w:rsid w:val="002C336F"/>
    <w:rsid w:val="002C37B1"/>
    <w:rsid w:val="002C481D"/>
    <w:rsid w:val="002C4CD9"/>
    <w:rsid w:val="002C50C7"/>
    <w:rsid w:val="002C5520"/>
    <w:rsid w:val="002C5791"/>
    <w:rsid w:val="002C6E66"/>
    <w:rsid w:val="002C7612"/>
    <w:rsid w:val="002C7E3A"/>
    <w:rsid w:val="002D17B9"/>
    <w:rsid w:val="002D3275"/>
    <w:rsid w:val="002D388C"/>
    <w:rsid w:val="002D40F8"/>
    <w:rsid w:val="002D4478"/>
    <w:rsid w:val="002D5BF7"/>
    <w:rsid w:val="002D6859"/>
    <w:rsid w:val="002D7D07"/>
    <w:rsid w:val="002E1001"/>
    <w:rsid w:val="002E1483"/>
    <w:rsid w:val="002E1989"/>
    <w:rsid w:val="002E19CF"/>
    <w:rsid w:val="002E2276"/>
    <w:rsid w:val="002E3CFD"/>
    <w:rsid w:val="002E4384"/>
    <w:rsid w:val="002E462E"/>
    <w:rsid w:val="002E4A1B"/>
    <w:rsid w:val="002E4C56"/>
    <w:rsid w:val="002E53BA"/>
    <w:rsid w:val="002E5559"/>
    <w:rsid w:val="002E561A"/>
    <w:rsid w:val="002E5D7E"/>
    <w:rsid w:val="002E61DB"/>
    <w:rsid w:val="002E66B8"/>
    <w:rsid w:val="002E72A1"/>
    <w:rsid w:val="002E7E07"/>
    <w:rsid w:val="002E7EAA"/>
    <w:rsid w:val="002F018A"/>
    <w:rsid w:val="002F05CE"/>
    <w:rsid w:val="002F137D"/>
    <w:rsid w:val="002F1FF7"/>
    <w:rsid w:val="002F2AA2"/>
    <w:rsid w:val="002F50F9"/>
    <w:rsid w:val="002F514D"/>
    <w:rsid w:val="002F591A"/>
    <w:rsid w:val="002F5BCB"/>
    <w:rsid w:val="002F5E9A"/>
    <w:rsid w:val="002F5F8C"/>
    <w:rsid w:val="002F6CCB"/>
    <w:rsid w:val="002F72DD"/>
    <w:rsid w:val="002F76A6"/>
    <w:rsid w:val="00300818"/>
    <w:rsid w:val="00302238"/>
    <w:rsid w:val="00302362"/>
    <w:rsid w:val="00302715"/>
    <w:rsid w:val="003028CB"/>
    <w:rsid w:val="003049F8"/>
    <w:rsid w:val="00304CBB"/>
    <w:rsid w:val="00305128"/>
    <w:rsid w:val="00305A45"/>
    <w:rsid w:val="00305FDC"/>
    <w:rsid w:val="00306309"/>
    <w:rsid w:val="0030688C"/>
    <w:rsid w:val="00306A15"/>
    <w:rsid w:val="003078FD"/>
    <w:rsid w:val="003079E6"/>
    <w:rsid w:val="003111D0"/>
    <w:rsid w:val="00311AE3"/>
    <w:rsid w:val="003139C8"/>
    <w:rsid w:val="00313AD4"/>
    <w:rsid w:val="00314063"/>
    <w:rsid w:val="00315557"/>
    <w:rsid w:val="00316EC1"/>
    <w:rsid w:val="00316F1D"/>
    <w:rsid w:val="00321600"/>
    <w:rsid w:val="00321A7B"/>
    <w:rsid w:val="0032276E"/>
    <w:rsid w:val="00323E27"/>
    <w:rsid w:val="00324268"/>
    <w:rsid w:val="00324E15"/>
    <w:rsid w:val="00324FA0"/>
    <w:rsid w:val="003259A0"/>
    <w:rsid w:val="00326226"/>
    <w:rsid w:val="00326496"/>
    <w:rsid w:val="003265CB"/>
    <w:rsid w:val="0032787A"/>
    <w:rsid w:val="0032791B"/>
    <w:rsid w:val="00330BF9"/>
    <w:rsid w:val="00331802"/>
    <w:rsid w:val="00331C38"/>
    <w:rsid w:val="00332CAF"/>
    <w:rsid w:val="003332A6"/>
    <w:rsid w:val="00335AF5"/>
    <w:rsid w:val="00335AF6"/>
    <w:rsid w:val="00336212"/>
    <w:rsid w:val="003364D1"/>
    <w:rsid w:val="003368F5"/>
    <w:rsid w:val="003372F6"/>
    <w:rsid w:val="0033754E"/>
    <w:rsid w:val="003401B1"/>
    <w:rsid w:val="00340B37"/>
    <w:rsid w:val="00340B6F"/>
    <w:rsid w:val="003418F1"/>
    <w:rsid w:val="00341C05"/>
    <w:rsid w:val="003424E2"/>
    <w:rsid w:val="00342A08"/>
    <w:rsid w:val="003434E0"/>
    <w:rsid w:val="00343591"/>
    <w:rsid w:val="00344319"/>
    <w:rsid w:val="00344941"/>
    <w:rsid w:val="00344C01"/>
    <w:rsid w:val="0034586A"/>
    <w:rsid w:val="003459F9"/>
    <w:rsid w:val="003464C1"/>
    <w:rsid w:val="00346CD6"/>
    <w:rsid w:val="00346ED9"/>
    <w:rsid w:val="003473CA"/>
    <w:rsid w:val="0034776A"/>
    <w:rsid w:val="00347EB5"/>
    <w:rsid w:val="00350630"/>
    <w:rsid w:val="0035080A"/>
    <w:rsid w:val="00353A16"/>
    <w:rsid w:val="0035496E"/>
    <w:rsid w:val="00354A4D"/>
    <w:rsid w:val="00354A6E"/>
    <w:rsid w:val="00354C39"/>
    <w:rsid w:val="00354DEB"/>
    <w:rsid w:val="003553B3"/>
    <w:rsid w:val="00355B62"/>
    <w:rsid w:val="003563EA"/>
    <w:rsid w:val="00356C4A"/>
    <w:rsid w:val="00357A60"/>
    <w:rsid w:val="00361B65"/>
    <w:rsid w:val="00361D9C"/>
    <w:rsid w:val="00362B26"/>
    <w:rsid w:val="00363463"/>
    <w:rsid w:val="0036389B"/>
    <w:rsid w:val="00363F7D"/>
    <w:rsid w:val="00363F87"/>
    <w:rsid w:val="00364A8A"/>
    <w:rsid w:val="00364ED0"/>
    <w:rsid w:val="00365933"/>
    <w:rsid w:val="00365D50"/>
    <w:rsid w:val="00365DEC"/>
    <w:rsid w:val="00366782"/>
    <w:rsid w:val="00366BD0"/>
    <w:rsid w:val="00366C0D"/>
    <w:rsid w:val="00367BB4"/>
    <w:rsid w:val="00367F6D"/>
    <w:rsid w:val="00370781"/>
    <w:rsid w:val="003707FC"/>
    <w:rsid w:val="00371B22"/>
    <w:rsid w:val="00371E0C"/>
    <w:rsid w:val="00373639"/>
    <w:rsid w:val="003736A5"/>
    <w:rsid w:val="0037554C"/>
    <w:rsid w:val="00375E75"/>
    <w:rsid w:val="003765D9"/>
    <w:rsid w:val="00376C1C"/>
    <w:rsid w:val="00377644"/>
    <w:rsid w:val="003800BC"/>
    <w:rsid w:val="0038053B"/>
    <w:rsid w:val="00380CD4"/>
    <w:rsid w:val="00381F10"/>
    <w:rsid w:val="00382A52"/>
    <w:rsid w:val="00382C28"/>
    <w:rsid w:val="00385445"/>
    <w:rsid w:val="00385CA9"/>
    <w:rsid w:val="00385F49"/>
    <w:rsid w:val="003868D2"/>
    <w:rsid w:val="00386A7E"/>
    <w:rsid w:val="00386CD1"/>
    <w:rsid w:val="00386FF7"/>
    <w:rsid w:val="0038730B"/>
    <w:rsid w:val="00391305"/>
    <w:rsid w:val="00391508"/>
    <w:rsid w:val="003918D6"/>
    <w:rsid w:val="00392617"/>
    <w:rsid w:val="00392993"/>
    <w:rsid w:val="00392BA9"/>
    <w:rsid w:val="003933AF"/>
    <w:rsid w:val="0039362D"/>
    <w:rsid w:val="003936CB"/>
    <w:rsid w:val="00394008"/>
    <w:rsid w:val="003963AC"/>
    <w:rsid w:val="00397466"/>
    <w:rsid w:val="00397996"/>
    <w:rsid w:val="003A0035"/>
    <w:rsid w:val="003A00E4"/>
    <w:rsid w:val="003A0CE6"/>
    <w:rsid w:val="003A1428"/>
    <w:rsid w:val="003A172F"/>
    <w:rsid w:val="003A241E"/>
    <w:rsid w:val="003A35FC"/>
    <w:rsid w:val="003A43A7"/>
    <w:rsid w:val="003A4D2A"/>
    <w:rsid w:val="003A4E78"/>
    <w:rsid w:val="003A551D"/>
    <w:rsid w:val="003A59F9"/>
    <w:rsid w:val="003A668B"/>
    <w:rsid w:val="003A6B06"/>
    <w:rsid w:val="003A79C2"/>
    <w:rsid w:val="003A7B79"/>
    <w:rsid w:val="003B0F5D"/>
    <w:rsid w:val="003B22EC"/>
    <w:rsid w:val="003B24CC"/>
    <w:rsid w:val="003B35CA"/>
    <w:rsid w:val="003B3C68"/>
    <w:rsid w:val="003B3D9A"/>
    <w:rsid w:val="003B5967"/>
    <w:rsid w:val="003B6417"/>
    <w:rsid w:val="003B6F95"/>
    <w:rsid w:val="003C0454"/>
    <w:rsid w:val="003C079F"/>
    <w:rsid w:val="003C09E5"/>
    <w:rsid w:val="003C19EE"/>
    <w:rsid w:val="003C41C3"/>
    <w:rsid w:val="003C4847"/>
    <w:rsid w:val="003C4927"/>
    <w:rsid w:val="003C78E7"/>
    <w:rsid w:val="003C7E42"/>
    <w:rsid w:val="003D0984"/>
    <w:rsid w:val="003D1311"/>
    <w:rsid w:val="003D32A1"/>
    <w:rsid w:val="003D333B"/>
    <w:rsid w:val="003D338C"/>
    <w:rsid w:val="003D3AC0"/>
    <w:rsid w:val="003D4387"/>
    <w:rsid w:val="003D484F"/>
    <w:rsid w:val="003D4DC9"/>
    <w:rsid w:val="003D5248"/>
    <w:rsid w:val="003D5AD1"/>
    <w:rsid w:val="003D5CC5"/>
    <w:rsid w:val="003D63BC"/>
    <w:rsid w:val="003D6D2B"/>
    <w:rsid w:val="003D6D6E"/>
    <w:rsid w:val="003D6E28"/>
    <w:rsid w:val="003E0046"/>
    <w:rsid w:val="003E1D94"/>
    <w:rsid w:val="003E29A3"/>
    <w:rsid w:val="003E3BE4"/>
    <w:rsid w:val="003E4067"/>
    <w:rsid w:val="003E4A2F"/>
    <w:rsid w:val="003E541C"/>
    <w:rsid w:val="003E5788"/>
    <w:rsid w:val="003E6653"/>
    <w:rsid w:val="003E68AA"/>
    <w:rsid w:val="003E6BBD"/>
    <w:rsid w:val="003E6C77"/>
    <w:rsid w:val="003E7304"/>
    <w:rsid w:val="003F1E38"/>
    <w:rsid w:val="003F24BC"/>
    <w:rsid w:val="003F2B8E"/>
    <w:rsid w:val="003F2EDC"/>
    <w:rsid w:val="003F5B04"/>
    <w:rsid w:val="003F6CAD"/>
    <w:rsid w:val="003F72A0"/>
    <w:rsid w:val="003F7E60"/>
    <w:rsid w:val="004002DF"/>
    <w:rsid w:val="004003A2"/>
    <w:rsid w:val="0040212E"/>
    <w:rsid w:val="00403070"/>
    <w:rsid w:val="00403AA9"/>
    <w:rsid w:val="0040485D"/>
    <w:rsid w:val="004052BD"/>
    <w:rsid w:val="00405388"/>
    <w:rsid w:val="00407E9B"/>
    <w:rsid w:val="004141A2"/>
    <w:rsid w:val="00414FF7"/>
    <w:rsid w:val="004156CD"/>
    <w:rsid w:val="00415853"/>
    <w:rsid w:val="00416FFE"/>
    <w:rsid w:val="0041738B"/>
    <w:rsid w:val="0041739B"/>
    <w:rsid w:val="00420F18"/>
    <w:rsid w:val="004211EF"/>
    <w:rsid w:val="00421229"/>
    <w:rsid w:val="00422809"/>
    <w:rsid w:val="00422B35"/>
    <w:rsid w:val="00423833"/>
    <w:rsid w:val="00423EED"/>
    <w:rsid w:val="00424D31"/>
    <w:rsid w:val="00425C7D"/>
    <w:rsid w:val="004300F8"/>
    <w:rsid w:val="0043077B"/>
    <w:rsid w:val="004316D9"/>
    <w:rsid w:val="004322A0"/>
    <w:rsid w:val="00432D23"/>
    <w:rsid w:val="00432DD1"/>
    <w:rsid w:val="00432EEF"/>
    <w:rsid w:val="00434196"/>
    <w:rsid w:val="0043533A"/>
    <w:rsid w:val="004354E0"/>
    <w:rsid w:val="00436653"/>
    <w:rsid w:val="00436D1E"/>
    <w:rsid w:val="00436E33"/>
    <w:rsid w:val="004371AB"/>
    <w:rsid w:val="00437636"/>
    <w:rsid w:val="004402C1"/>
    <w:rsid w:val="00440772"/>
    <w:rsid w:val="0044117E"/>
    <w:rsid w:val="00442452"/>
    <w:rsid w:val="004425DD"/>
    <w:rsid w:val="004428A9"/>
    <w:rsid w:val="00442F8B"/>
    <w:rsid w:val="00443105"/>
    <w:rsid w:val="0044424C"/>
    <w:rsid w:val="004445DC"/>
    <w:rsid w:val="00445109"/>
    <w:rsid w:val="00445395"/>
    <w:rsid w:val="00446130"/>
    <w:rsid w:val="00447A1C"/>
    <w:rsid w:val="00451BAA"/>
    <w:rsid w:val="0045257C"/>
    <w:rsid w:val="00452CDD"/>
    <w:rsid w:val="00454DD1"/>
    <w:rsid w:val="00454EB8"/>
    <w:rsid w:val="0045589F"/>
    <w:rsid w:val="00455ACD"/>
    <w:rsid w:val="00455BB8"/>
    <w:rsid w:val="00456480"/>
    <w:rsid w:val="004566B0"/>
    <w:rsid w:val="00457C61"/>
    <w:rsid w:val="004615A7"/>
    <w:rsid w:val="004618D9"/>
    <w:rsid w:val="00461B51"/>
    <w:rsid w:val="00461DE3"/>
    <w:rsid w:val="00463D37"/>
    <w:rsid w:val="00464108"/>
    <w:rsid w:val="004642E6"/>
    <w:rsid w:val="004648D2"/>
    <w:rsid w:val="00464CD4"/>
    <w:rsid w:val="00465A28"/>
    <w:rsid w:val="00465EDE"/>
    <w:rsid w:val="00465F7B"/>
    <w:rsid w:val="004669BE"/>
    <w:rsid w:val="00466C48"/>
    <w:rsid w:val="00466CB2"/>
    <w:rsid w:val="00466F0E"/>
    <w:rsid w:val="00466FF6"/>
    <w:rsid w:val="00467976"/>
    <w:rsid w:val="004719B0"/>
    <w:rsid w:val="00471FBF"/>
    <w:rsid w:val="00473718"/>
    <w:rsid w:val="00473875"/>
    <w:rsid w:val="0047430D"/>
    <w:rsid w:val="004763DC"/>
    <w:rsid w:val="0047650B"/>
    <w:rsid w:val="00476820"/>
    <w:rsid w:val="00476B11"/>
    <w:rsid w:val="00477104"/>
    <w:rsid w:val="004778A1"/>
    <w:rsid w:val="00480414"/>
    <w:rsid w:val="004812B6"/>
    <w:rsid w:val="004823D6"/>
    <w:rsid w:val="00482C18"/>
    <w:rsid w:val="00482EE7"/>
    <w:rsid w:val="00483DA5"/>
    <w:rsid w:val="00484976"/>
    <w:rsid w:val="00485477"/>
    <w:rsid w:val="004858F1"/>
    <w:rsid w:val="00485E76"/>
    <w:rsid w:val="004872B7"/>
    <w:rsid w:val="00487A07"/>
    <w:rsid w:val="00490B2C"/>
    <w:rsid w:val="004910D1"/>
    <w:rsid w:val="00491758"/>
    <w:rsid w:val="004919FF"/>
    <w:rsid w:val="00492546"/>
    <w:rsid w:val="004931D5"/>
    <w:rsid w:val="004938D7"/>
    <w:rsid w:val="00493D04"/>
    <w:rsid w:val="0049472C"/>
    <w:rsid w:val="00494C56"/>
    <w:rsid w:val="00495060"/>
    <w:rsid w:val="00495969"/>
    <w:rsid w:val="00496162"/>
    <w:rsid w:val="0049635F"/>
    <w:rsid w:val="00496B71"/>
    <w:rsid w:val="00496ED8"/>
    <w:rsid w:val="004975A2"/>
    <w:rsid w:val="00497C6A"/>
    <w:rsid w:val="004A0131"/>
    <w:rsid w:val="004A0399"/>
    <w:rsid w:val="004A081A"/>
    <w:rsid w:val="004A287E"/>
    <w:rsid w:val="004A28E6"/>
    <w:rsid w:val="004A3A6E"/>
    <w:rsid w:val="004A4567"/>
    <w:rsid w:val="004A5E22"/>
    <w:rsid w:val="004A670F"/>
    <w:rsid w:val="004A6DD1"/>
    <w:rsid w:val="004A76A4"/>
    <w:rsid w:val="004A78AA"/>
    <w:rsid w:val="004B0EDC"/>
    <w:rsid w:val="004B22AA"/>
    <w:rsid w:val="004B24CD"/>
    <w:rsid w:val="004B261C"/>
    <w:rsid w:val="004B2BC8"/>
    <w:rsid w:val="004B2E20"/>
    <w:rsid w:val="004B43CD"/>
    <w:rsid w:val="004B479A"/>
    <w:rsid w:val="004B64A3"/>
    <w:rsid w:val="004B691A"/>
    <w:rsid w:val="004B7D70"/>
    <w:rsid w:val="004C029B"/>
    <w:rsid w:val="004C0BE2"/>
    <w:rsid w:val="004C15C9"/>
    <w:rsid w:val="004C25CC"/>
    <w:rsid w:val="004C3751"/>
    <w:rsid w:val="004C3866"/>
    <w:rsid w:val="004C3D18"/>
    <w:rsid w:val="004C3D7A"/>
    <w:rsid w:val="004C40E9"/>
    <w:rsid w:val="004C459E"/>
    <w:rsid w:val="004C5188"/>
    <w:rsid w:val="004C525E"/>
    <w:rsid w:val="004C614F"/>
    <w:rsid w:val="004C6439"/>
    <w:rsid w:val="004C70D4"/>
    <w:rsid w:val="004D029E"/>
    <w:rsid w:val="004D0DB2"/>
    <w:rsid w:val="004D18B2"/>
    <w:rsid w:val="004D1CB0"/>
    <w:rsid w:val="004D2F4E"/>
    <w:rsid w:val="004D5AB9"/>
    <w:rsid w:val="004E1072"/>
    <w:rsid w:val="004E18B3"/>
    <w:rsid w:val="004E2A1A"/>
    <w:rsid w:val="004E2B7C"/>
    <w:rsid w:val="004E2D6D"/>
    <w:rsid w:val="004E2E11"/>
    <w:rsid w:val="004E3D28"/>
    <w:rsid w:val="004E44E9"/>
    <w:rsid w:val="004E45B8"/>
    <w:rsid w:val="004E4CBA"/>
    <w:rsid w:val="004E7083"/>
    <w:rsid w:val="004F0EBD"/>
    <w:rsid w:val="004F2E57"/>
    <w:rsid w:val="004F2FB3"/>
    <w:rsid w:val="004F3319"/>
    <w:rsid w:val="004F6525"/>
    <w:rsid w:val="0050044A"/>
    <w:rsid w:val="00500D1F"/>
    <w:rsid w:val="005025BC"/>
    <w:rsid w:val="00502D45"/>
    <w:rsid w:val="005032DD"/>
    <w:rsid w:val="0050464A"/>
    <w:rsid w:val="005109CE"/>
    <w:rsid w:val="00510AC2"/>
    <w:rsid w:val="00511469"/>
    <w:rsid w:val="00512740"/>
    <w:rsid w:val="00513FD8"/>
    <w:rsid w:val="005145A0"/>
    <w:rsid w:val="0051520D"/>
    <w:rsid w:val="0051525B"/>
    <w:rsid w:val="005159CB"/>
    <w:rsid w:val="005162BE"/>
    <w:rsid w:val="00517102"/>
    <w:rsid w:val="005177DC"/>
    <w:rsid w:val="00517C33"/>
    <w:rsid w:val="00517D8A"/>
    <w:rsid w:val="00520CCC"/>
    <w:rsid w:val="00520E95"/>
    <w:rsid w:val="00522591"/>
    <w:rsid w:val="005239A8"/>
    <w:rsid w:val="00525A4F"/>
    <w:rsid w:val="00526E4A"/>
    <w:rsid w:val="0053038E"/>
    <w:rsid w:val="005317D1"/>
    <w:rsid w:val="00531E85"/>
    <w:rsid w:val="00533222"/>
    <w:rsid w:val="005337A8"/>
    <w:rsid w:val="005355FF"/>
    <w:rsid w:val="005357C7"/>
    <w:rsid w:val="00536809"/>
    <w:rsid w:val="005369A9"/>
    <w:rsid w:val="00536B89"/>
    <w:rsid w:val="00536C65"/>
    <w:rsid w:val="00536DDE"/>
    <w:rsid w:val="0053760A"/>
    <w:rsid w:val="00540305"/>
    <w:rsid w:val="00541A4E"/>
    <w:rsid w:val="005424EB"/>
    <w:rsid w:val="005429DE"/>
    <w:rsid w:val="00542CA5"/>
    <w:rsid w:val="005434FD"/>
    <w:rsid w:val="00543B6C"/>
    <w:rsid w:val="005445DA"/>
    <w:rsid w:val="00544DBA"/>
    <w:rsid w:val="00544E8F"/>
    <w:rsid w:val="00546920"/>
    <w:rsid w:val="00547070"/>
    <w:rsid w:val="00547349"/>
    <w:rsid w:val="0054751E"/>
    <w:rsid w:val="005516CD"/>
    <w:rsid w:val="00551B29"/>
    <w:rsid w:val="00551B8D"/>
    <w:rsid w:val="005523DB"/>
    <w:rsid w:val="005524C1"/>
    <w:rsid w:val="005529CF"/>
    <w:rsid w:val="00553D47"/>
    <w:rsid w:val="00554385"/>
    <w:rsid w:val="0055552B"/>
    <w:rsid w:val="00555BC3"/>
    <w:rsid w:val="00556D38"/>
    <w:rsid w:val="005600FF"/>
    <w:rsid w:val="005603D7"/>
    <w:rsid w:val="00560914"/>
    <w:rsid w:val="00560F9B"/>
    <w:rsid w:val="00561561"/>
    <w:rsid w:val="00561908"/>
    <w:rsid w:val="00561A37"/>
    <w:rsid w:val="00561B15"/>
    <w:rsid w:val="005625AF"/>
    <w:rsid w:val="00562A0B"/>
    <w:rsid w:val="00562D09"/>
    <w:rsid w:val="00563266"/>
    <w:rsid w:val="0056510F"/>
    <w:rsid w:val="00570821"/>
    <w:rsid w:val="00571160"/>
    <w:rsid w:val="00571A7F"/>
    <w:rsid w:val="005721FF"/>
    <w:rsid w:val="00572393"/>
    <w:rsid w:val="0057329C"/>
    <w:rsid w:val="00575621"/>
    <w:rsid w:val="00581273"/>
    <w:rsid w:val="005820F3"/>
    <w:rsid w:val="00583792"/>
    <w:rsid w:val="005844B6"/>
    <w:rsid w:val="00585925"/>
    <w:rsid w:val="005863F8"/>
    <w:rsid w:val="0058719A"/>
    <w:rsid w:val="00587BEB"/>
    <w:rsid w:val="00590881"/>
    <w:rsid w:val="00591689"/>
    <w:rsid w:val="00591F78"/>
    <w:rsid w:val="00592457"/>
    <w:rsid w:val="005927A3"/>
    <w:rsid w:val="005927C5"/>
    <w:rsid w:val="005934EA"/>
    <w:rsid w:val="00593CF9"/>
    <w:rsid w:val="00594D10"/>
    <w:rsid w:val="00594F31"/>
    <w:rsid w:val="00595185"/>
    <w:rsid w:val="00596D86"/>
    <w:rsid w:val="00596E88"/>
    <w:rsid w:val="0059741C"/>
    <w:rsid w:val="00597B1E"/>
    <w:rsid w:val="005A0EA1"/>
    <w:rsid w:val="005A0F8F"/>
    <w:rsid w:val="005A11CB"/>
    <w:rsid w:val="005A2231"/>
    <w:rsid w:val="005A2398"/>
    <w:rsid w:val="005A2825"/>
    <w:rsid w:val="005A5D8B"/>
    <w:rsid w:val="005A67DD"/>
    <w:rsid w:val="005A6955"/>
    <w:rsid w:val="005A7011"/>
    <w:rsid w:val="005A7B71"/>
    <w:rsid w:val="005B1C96"/>
    <w:rsid w:val="005B1D9E"/>
    <w:rsid w:val="005B1E65"/>
    <w:rsid w:val="005B1F8C"/>
    <w:rsid w:val="005B2C75"/>
    <w:rsid w:val="005B35E2"/>
    <w:rsid w:val="005B38E9"/>
    <w:rsid w:val="005B3CCF"/>
    <w:rsid w:val="005B45F5"/>
    <w:rsid w:val="005B4F47"/>
    <w:rsid w:val="005B5131"/>
    <w:rsid w:val="005B5CB0"/>
    <w:rsid w:val="005B6852"/>
    <w:rsid w:val="005B6F20"/>
    <w:rsid w:val="005B7D11"/>
    <w:rsid w:val="005B7DFC"/>
    <w:rsid w:val="005C129F"/>
    <w:rsid w:val="005C1712"/>
    <w:rsid w:val="005C1C09"/>
    <w:rsid w:val="005C2B1C"/>
    <w:rsid w:val="005C3F67"/>
    <w:rsid w:val="005C42CC"/>
    <w:rsid w:val="005C50FC"/>
    <w:rsid w:val="005C51A7"/>
    <w:rsid w:val="005C53D0"/>
    <w:rsid w:val="005C7BD6"/>
    <w:rsid w:val="005D1C81"/>
    <w:rsid w:val="005D1F1A"/>
    <w:rsid w:val="005D289E"/>
    <w:rsid w:val="005D342F"/>
    <w:rsid w:val="005D44CD"/>
    <w:rsid w:val="005D4652"/>
    <w:rsid w:val="005D5332"/>
    <w:rsid w:val="005D53E5"/>
    <w:rsid w:val="005D5490"/>
    <w:rsid w:val="005D646B"/>
    <w:rsid w:val="005D70B1"/>
    <w:rsid w:val="005D7941"/>
    <w:rsid w:val="005E158F"/>
    <w:rsid w:val="005E203E"/>
    <w:rsid w:val="005E21B4"/>
    <w:rsid w:val="005E2808"/>
    <w:rsid w:val="005E3009"/>
    <w:rsid w:val="005E461D"/>
    <w:rsid w:val="005E5D11"/>
    <w:rsid w:val="005E6467"/>
    <w:rsid w:val="005F15E2"/>
    <w:rsid w:val="005F1858"/>
    <w:rsid w:val="005F2416"/>
    <w:rsid w:val="005F2895"/>
    <w:rsid w:val="005F2C15"/>
    <w:rsid w:val="005F31E5"/>
    <w:rsid w:val="005F38F8"/>
    <w:rsid w:val="005F3F53"/>
    <w:rsid w:val="005F56A7"/>
    <w:rsid w:val="005F5C62"/>
    <w:rsid w:val="005F605B"/>
    <w:rsid w:val="005F64A3"/>
    <w:rsid w:val="005F6AE1"/>
    <w:rsid w:val="005F71C4"/>
    <w:rsid w:val="005F7252"/>
    <w:rsid w:val="00600B23"/>
    <w:rsid w:val="00601006"/>
    <w:rsid w:val="00601A3B"/>
    <w:rsid w:val="006035BE"/>
    <w:rsid w:val="0060434C"/>
    <w:rsid w:val="0060505D"/>
    <w:rsid w:val="006057B9"/>
    <w:rsid w:val="00606B74"/>
    <w:rsid w:val="00607A8D"/>
    <w:rsid w:val="00607C62"/>
    <w:rsid w:val="006105F1"/>
    <w:rsid w:val="00610E75"/>
    <w:rsid w:val="006115C3"/>
    <w:rsid w:val="006118EC"/>
    <w:rsid w:val="0061314D"/>
    <w:rsid w:val="00613209"/>
    <w:rsid w:val="00613693"/>
    <w:rsid w:val="006139D9"/>
    <w:rsid w:val="00614137"/>
    <w:rsid w:val="00614310"/>
    <w:rsid w:val="00614FE9"/>
    <w:rsid w:val="00614FF0"/>
    <w:rsid w:val="0061703B"/>
    <w:rsid w:val="006174C1"/>
    <w:rsid w:val="00620671"/>
    <w:rsid w:val="00620C4F"/>
    <w:rsid w:val="00620F8D"/>
    <w:rsid w:val="00621FAB"/>
    <w:rsid w:val="0062219C"/>
    <w:rsid w:val="00622D82"/>
    <w:rsid w:val="00623022"/>
    <w:rsid w:val="0062407C"/>
    <w:rsid w:val="0062472E"/>
    <w:rsid w:val="00625D76"/>
    <w:rsid w:val="0062745D"/>
    <w:rsid w:val="006311EF"/>
    <w:rsid w:val="00632995"/>
    <w:rsid w:val="00632EBE"/>
    <w:rsid w:val="006337F6"/>
    <w:rsid w:val="00633D1B"/>
    <w:rsid w:val="00634188"/>
    <w:rsid w:val="00635725"/>
    <w:rsid w:val="00635F9F"/>
    <w:rsid w:val="006361FF"/>
    <w:rsid w:val="00636686"/>
    <w:rsid w:val="006370AA"/>
    <w:rsid w:val="006373CC"/>
    <w:rsid w:val="0063781E"/>
    <w:rsid w:val="00641F71"/>
    <w:rsid w:val="00642274"/>
    <w:rsid w:val="0064235C"/>
    <w:rsid w:val="006425EE"/>
    <w:rsid w:val="00642CF3"/>
    <w:rsid w:val="006432B5"/>
    <w:rsid w:val="006432D3"/>
    <w:rsid w:val="0064356A"/>
    <w:rsid w:val="00644F3D"/>
    <w:rsid w:val="00645181"/>
    <w:rsid w:val="0064581A"/>
    <w:rsid w:val="00645DD5"/>
    <w:rsid w:val="00646A93"/>
    <w:rsid w:val="00646DF8"/>
    <w:rsid w:val="0064745E"/>
    <w:rsid w:val="00647B98"/>
    <w:rsid w:val="006505D8"/>
    <w:rsid w:val="00650813"/>
    <w:rsid w:val="00651894"/>
    <w:rsid w:val="00651C0C"/>
    <w:rsid w:val="00652230"/>
    <w:rsid w:val="00652577"/>
    <w:rsid w:val="00653AAD"/>
    <w:rsid w:val="006549B0"/>
    <w:rsid w:val="00655CDD"/>
    <w:rsid w:val="00656A27"/>
    <w:rsid w:val="0065715F"/>
    <w:rsid w:val="00657521"/>
    <w:rsid w:val="0065794E"/>
    <w:rsid w:val="0066029D"/>
    <w:rsid w:val="006618A5"/>
    <w:rsid w:val="00661F3B"/>
    <w:rsid w:val="006627F8"/>
    <w:rsid w:val="006630D5"/>
    <w:rsid w:val="00663741"/>
    <w:rsid w:val="00663759"/>
    <w:rsid w:val="00664FCD"/>
    <w:rsid w:val="0066692C"/>
    <w:rsid w:val="00666B0B"/>
    <w:rsid w:val="00667D2C"/>
    <w:rsid w:val="00670C3A"/>
    <w:rsid w:val="00671FB4"/>
    <w:rsid w:val="00672F58"/>
    <w:rsid w:val="0067387A"/>
    <w:rsid w:val="00673BBF"/>
    <w:rsid w:val="00674380"/>
    <w:rsid w:val="006766B5"/>
    <w:rsid w:val="0068233D"/>
    <w:rsid w:val="006846C0"/>
    <w:rsid w:val="0068550E"/>
    <w:rsid w:val="00686687"/>
    <w:rsid w:val="0068785D"/>
    <w:rsid w:val="006879CA"/>
    <w:rsid w:val="00690605"/>
    <w:rsid w:val="00690F6E"/>
    <w:rsid w:val="00692384"/>
    <w:rsid w:val="006927A7"/>
    <w:rsid w:val="00692ED4"/>
    <w:rsid w:val="00693711"/>
    <w:rsid w:val="00694653"/>
    <w:rsid w:val="00694654"/>
    <w:rsid w:val="0069495B"/>
    <w:rsid w:val="006950E2"/>
    <w:rsid w:val="00695A73"/>
    <w:rsid w:val="00695AE0"/>
    <w:rsid w:val="00696BF9"/>
    <w:rsid w:val="00696D8C"/>
    <w:rsid w:val="00697E96"/>
    <w:rsid w:val="006A0644"/>
    <w:rsid w:val="006A0F09"/>
    <w:rsid w:val="006A11DA"/>
    <w:rsid w:val="006A2179"/>
    <w:rsid w:val="006A2A63"/>
    <w:rsid w:val="006A2CB0"/>
    <w:rsid w:val="006A2F35"/>
    <w:rsid w:val="006A437D"/>
    <w:rsid w:val="006A4DCD"/>
    <w:rsid w:val="006A63D4"/>
    <w:rsid w:val="006A664F"/>
    <w:rsid w:val="006A7F99"/>
    <w:rsid w:val="006B2018"/>
    <w:rsid w:val="006B24E3"/>
    <w:rsid w:val="006B25AE"/>
    <w:rsid w:val="006B2C19"/>
    <w:rsid w:val="006B4383"/>
    <w:rsid w:val="006B4AE5"/>
    <w:rsid w:val="006B4CC0"/>
    <w:rsid w:val="006B60C2"/>
    <w:rsid w:val="006B678A"/>
    <w:rsid w:val="006B6CC5"/>
    <w:rsid w:val="006B7A36"/>
    <w:rsid w:val="006C0685"/>
    <w:rsid w:val="006C0EE5"/>
    <w:rsid w:val="006C1649"/>
    <w:rsid w:val="006C1B81"/>
    <w:rsid w:val="006C2114"/>
    <w:rsid w:val="006C297B"/>
    <w:rsid w:val="006C2C3B"/>
    <w:rsid w:val="006C2F8B"/>
    <w:rsid w:val="006C318C"/>
    <w:rsid w:val="006C431D"/>
    <w:rsid w:val="006C4347"/>
    <w:rsid w:val="006C4762"/>
    <w:rsid w:val="006C4A06"/>
    <w:rsid w:val="006C4A66"/>
    <w:rsid w:val="006C4DA7"/>
    <w:rsid w:val="006C4FD6"/>
    <w:rsid w:val="006C5029"/>
    <w:rsid w:val="006C50F4"/>
    <w:rsid w:val="006C5E71"/>
    <w:rsid w:val="006C6AB8"/>
    <w:rsid w:val="006C6DE1"/>
    <w:rsid w:val="006C6F26"/>
    <w:rsid w:val="006C7BFE"/>
    <w:rsid w:val="006D10B0"/>
    <w:rsid w:val="006D174A"/>
    <w:rsid w:val="006D2735"/>
    <w:rsid w:val="006D2C80"/>
    <w:rsid w:val="006D30C8"/>
    <w:rsid w:val="006D37EC"/>
    <w:rsid w:val="006D3B1F"/>
    <w:rsid w:val="006D3E0F"/>
    <w:rsid w:val="006D498B"/>
    <w:rsid w:val="006D6C46"/>
    <w:rsid w:val="006D7D3B"/>
    <w:rsid w:val="006D7DD4"/>
    <w:rsid w:val="006D7E52"/>
    <w:rsid w:val="006E0CA5"/>
    <w:rsid w:val="006E18C4"/>
    <w:rsid w:val="006E2EF9"/>
    <w:rsid w:val="006E3126"/>
    <w:rsid w:val="006E3873"/>
    <w:rsid w:val="006E4042"/>
    <w:rsid w:val="006E4083"/>
    <w:rsid w:val="006E43EB"/>
    <w:rsid w:val="006E45C3"/>
    <w:rsid w:val="006E50FB"/>
    <w:rsid w:val="006E6875"/>
    <w:rsid w:val="006E7179"/>
    <w:rsid w:val="006E760E"/>
    <w:rsid w:val="006E7C91"/>
    <w:rsid w:val="006F0507"/>
    <w:rsid w:val="006F0600"/>
    <w:rsid w:val="006F1477"/>
    <w:rsid w:val="006F1B3E"/>
    <w:rsid w:val="006F1C24"/>
    <w:rsid w:val="006F1EC8"/>
    <w:rsid w:val="006F25DB"/>
    <w:rsid w:val="006F26F1"/>
    <w:rsid w:val="006F312E"/>
    <w:rsid w:val="006F4BFE"/>
    <w:rsid w:val="006F51E9"/>
    <w:rsid w:val="006F51ED"/>
    <w:rsid w:val="006F570A"/>
    <w:rsid w:val="006F5A13"/>
    <w:rsid w:val="006F6D56"/>
    <w:rsid w:val="0070044B"/>
    <w:rsid w:val="007009E3"/>
    <w:rsid w:val="007010AC"/>
    <w:rsid w:val="007011A4"/>
    <w:rsid w:val="007016B6"/>
    <w:rsid w:val="00702278"/>
    <w:rsid w:val="00703853"/>
    <w:rsid w:val="0070519D"/>
    <w:rsid w:val="0070580B"/>
    <w:rsid w:val="00705EAF"/>
    <w:rsid w:val="007067FB"/>
    <w:rsid w:val="00710A61"/>
    <w:rsid w:val="00710BEA"/>
    <w:rsid w:val="00710DFB"/>
    <w:rsid w:val="00712328"/>
    <w:rsid w:val="0071289E"/>
    <w:rsid w:val="00712FD9"/>
    <w:rsid w:val="007135CB"/>
    <w:rsid w:val="0071426A"/>
    <w:rsid w:val="00715A52"/>
    <w:rsid w:val="007160A3"/>
    <w:rsid w:val="007174CE"/>
    <w:rsid w:val="00723AC6"/>
    <w:rsid w:val="00723B52"/>
    <w:rsid w:val="007251DE"/>
    <w:rsid w:val="00725CA8"/>
    <w:rsid w:val="00727111"/>
    <w:rsid w:val="00727C8F"/>
    <w:rsid w:val="00730111"/>
    <w:rsid w:val="007302F7"/>
    <w:rsid w:val="00730771"/>
    <w:rsid w:val="00731020"/>
    <w:rsid w:val="00731082"/>
    <w:rsid w:val="00732384"/>
    <w:rsid w:val="00732B68"/>
    <w:rsid w:val="007348BD"/>
    <w:rsid w:val="0073521A"/>
    <w:rsid w:val="0073580D"/>
    <w:rsid w:val="007358A9"/>
    <w:rsid w:val="0073602D"/>
    <w:rsid w:val="00736735"/>
    <w:rsid w:val="0073673C"/>
    <w:rsid w:val="0073684F"/>
    <w:rsid w:val="00736DDF"/>
    <w:rsid w:val="007370B6"/>
    <w:rsid w:val="00737643"/>
    <w:rsid w:val="007404DF"/>
    <w:rsid w:val="00742248"/>
    <w:rsid w:val="00742563"/>
    <w:rsid w:val="00742724"/>
    <w:rsid w:val="007427C1"/>
    <w:rsid w:val="00742A3A"/>
    <w:rsid w:val="00742ABA"/>
    <w:rsid w:val="00742D82"/>
    <w:rsid w:val="00743A03"/>
    <w:rsid w:val="00743D53"/>
    <w:rsid w:val="00744A03"/>
    <w:rsid w:val="007464B5"/>
    <w:rsid w:val="007465F9"/>
    <w:rsid w:val="00746974"/>
    <w:rsid w:val="00747CEB"/>
    <w:rsid w:val="00747FF5"/>
    <w:rsid w:val="00751EAD"/>
    <w:rsid w:val="00751EE2"/>
    <w:rsid w:val="0075286F"/>
    <w:rsid w:val="00752FD1"/>
    <w:rsid w:val="00753364"/>
    <w:rsid w:val="00753C91"/>
    <w:rsid w:val="00754E91"/>
    <w:rsid w:val="00754F8B"/>
    <w:rsid w:val="007555E9"/>
    <w:rsid w:val="0075628A"/>
    <w:rsid w:val="0076004C"/>
    <w:rsid w:val="007607DF"/>
    <w:rsid w:val="00760CBC"/>
    <w:rsid w:val="00760FCB"/>
    <w:rsid w:val="00761981"/>
    <w:rsid w:val="007619CB"/>
    <w:rsid w:val="00762187"/>
    <w:rsid w:val="00762397"/>
    <w:rsid w:val="00762687"/>
    <w:rsid w:val="007627D4"/>
    <w:rsid w:val="0076367F"/>
    <w:rsid w:val="00763929"/>
    <w:rsid w:val="00763B22"/>
    <w:rsid w:val="007643C5"/>
    <w:rsid w:val="00764640"/>
    <w:rsid w:val="007647CD"/>
    <w:rsid w:val="00765046"/>
    <w:rsid w:val="00766525"/>
    <w:rsid w:val="007667D2"/>
    <w:rsid w:val="00766C43"/>
    <w:rsid w:val="00767938"/>
    <w:rsid w:val="007709C4"/>
    <w:rsid w:val="00770AF8"/>
    <w:rsid w:val="00770C66"/>
    <w:rsid w:val="0077114E"/>
    <w:rsid w:val="0077356F"/>
    <w:rsid w:val="00773A5A"/>
    <w:rsid w:val="00774619"/>
    <w:rsid w:val="007749BF"/>
    <w:rsid w:val="00774F4C"/>
    <w:rsid w:val="00775A28"/>
    <w:rsid w:val="00776085"/>
    <w:rsid w:val="007766BD"/>
    <w:rsid w:val="00776804"/>
    <w:rsid w:val="007773BC"/>
    <w:rsid w:val="0077775C"/>
    <w:rsid w:val="007827C9"/>
    <w:rsid w:val="00783D62"/>
    <w:rsid w:val="00783ED6"/>
    <w:rsid w:val="00784AD2"/>
    <w:rsid w:val="00785D12"/>
    <w:rsid w:val="00786395"/>
    <w:rsid w:val="00786C2B"/>
    <w:rsid w:val="00787D27"/>
    <w:rsid w:val="00787D85"/>
    <w:rsid w:val="00787F85"/>
    <w:rsid w:val="00790A63"/>
    <w:rsid w:val="00790C67"/>
    <w:rsid w:val="00791492"/>
    <w:rsid w:val="00791F33"/>
    <w:rsid w:val="007924BE"/>
    <w:rsid w:val="00792C66"/>
    <w:rsid w:val="007930AC"/>
    <w:rsid w:val="0079409F"/>
    <w:rsid w:val="007944A6"/>
    <w:rsid w:val="00794A9A"/>
    <w:rsid w:val="0079504A"/>
    <w:rsid w:val="0079525E"/>
    <w:rsid w:val="0079583F"/>
    <w:rsid w:val="00795C4F"/>
    <w:rsid w:val="00796005"/>
    <w:rsid w:val="0079603D"/>
    <w:rsid w:val="00796364"/>
    <w:rsid w:val="00796BEC"/>
    <w:rsid w:val="0079778A"/>
    <w:rsid w:val="007979DE"/>
    <w:rsid w:val="007A0B97"/>
    <w:rsid w:val="007A2463"/>
    <w:rsid w:val="007A2695"/>
    <w:rsid w:val="007A3599"/>
    <w:rsid w:val="007A3A7A"/>
    <w:rsid w:val="007A5661"/>
    <w:rsid w:val="007A580F"/>
    <w:rsid w:val="007A6180"/>
    <w:rsid w:val="007A676F"/>
    <w:rsid w:val="007A79CB"/>
    <w:rsid w:val="007A7EF4"/>
    <w:rsid w:val="007B0961"/>
    <w:rsid w:val="007B12B7"/>
    <w:rsid w:val="007B1CD0"/>
    <w:rsid w:val="007B1F30"/>
    <w:rsid w:val="007B22BB"/>
    <w:rsid w:val="007B23EF"/>
    <w:rsid w:val="007B24BD"/>
    <w:rsid w:val="007B2FD3"/>
    <w:rsid w:val="007B36E3"/>
    <w:rsid w:val="007B41F1"/>
    <w:rsid w:val="007B45D8"/>
    <w:rsid w:val="007B4670"/>
    <w:rsid w:val="007B6883"/>
    <w:rsid w:val="007B68DE"/>
    <w:rsid w:val="007B6C3D"/>
    <w:rsid w:val="007B6CF6"/>
    <w:rsid w:val="007C0609"/>
    <w:rsid w:val="007C1E18"/>
    <w:rsid w:val="007C3028"/>
    <w:rsid w:val="007C37A9"/>
    <w:rsid w:val="007C3DD9"/>
    <w:rsid w:val="007C400D"/>
    <w:rsid w:val="007C4E50"/>
    <w:rsid w:val="007C5332"/>
    <w:rsid w:val="007C6210"/>
    <w:rsid w:val="007C65DD"/>
    <w:rsid w:val="007C77C6"/>
    <w:rsid w:val="007D0150"/>
    <w:rsid w:val="007D0160"/>
    <w:rsid w:val="007D27CE"/>
    <w:rsid w:val="007D2C5D"/>
    <w:rsid w:val="007D40BA"/>
    <w:rsid w:val="007D44D1"/>
    <w:rsid w:val="007D45E0"/>
    <w:rsid w:val="007D5CB0"/>
    <w:rsid w:val="007D5D21"/>
    <w:rsid w:val="007D63C9"/>
    <w:rsid w:val="007D6DCB"/>
    <w:rsid w:val="007D711E"/>
    <w:rsid w:val="007D7A56"/>
    <w:rsid w:val="007D7BA8"/>
    <w:rsid w:val="007E0882"/>
    <w:rsid w:val="007E1929"/>
    <w:rsid w:val="007E1A78"/>
    <w:rsid w:val="007E2CD0"/>
    <w:rsid w:val="007E4599"/>
    <w:rsid w:val="007E4824"/>
    <w:rsid w:val="007E579F"/>
    <w:rsid w:val="007E6DA1"/>
    <w:rsid w:val="007E7D5A"/>
    <w:rsid w:val="007F0B40"/>
    <w:rsid w:val="007F123F"/>
    <w:rsid w:val="007F226E"/>
    <w:rsid w:val="007F23AB"/>
    <w:rsid w:val="007F2C50"/>
    <w:rsid w:val="007F32BB"/>
    <w:rsid w:val="007F3AD0"/>
    <w:rsid w:val="007F45B4"/>
    <w:rsid w:val="007F4F76"/>
    <w:rsid w:val="007F529E"/>
    <w:rsid w:val="007F5857"/>
    <w:rsid w:val="007F6366"/>
    <w:rsid w:val="007F641F"/>
    <w:rsid w:val="007F648E"/>
    <w:rsid w:val="007F6D03"/>
    <w:rsid w:val="007F700D"/>
    <w:rsid w:val="007F72C6"/>
    <w:rsid w:val="007F755A"/>
    <w:rsid w:val="007F760D"/>
    <w:rsid w:val="008013BB"/>
    <w:rsid w:val="00802B6B"/>
    <w:rsid w:val="00803CBD"/>
    <w:rsid w:val="00804A55"/>
    <w:rsid w:val="00804DA9"/>
    <w:rsid w:val="0080516D"/>
    <w:rsid w:val="00806E00"/>
    <w:rsid w:val="008105B1"/>
    <w:rsid w:val="00810638"/>
    <w:rsid w:val="00810B4C"/>
    <w:rsid w:val="008116B0"/>
    <w:rsid w:val="0081188F"/>
    <w:rsid w:val="00811AB4"/>
    <w:rsid w:val="00811F97"/>
    <w:rsid w:val="00812686"/>
    <w:rsid w:val="008126F7"/>
    <w:rsid w:val="00812AE9"/>
    <w:rsid w:val="008131AF"/>
    <w:rsid w:val="008135D7"/>
    <w:rsid w:val="00813CE8"/>
    <w:rsid w:val="00813FA5"/>
    <w:rsid w:val="0081467B"/>
    <w:rsid w:val="008156F0"/>
    <w:rsid w:val="00815762"/>
    <w:rsid w:val="00817274"/>
    <w:rsid w:val="00817A66"/>
    <w:rsid w:val="00820AE5"/>
    <w:rsid w:val="00820AEF"/>
    <w:rsid w:val="008211B5"/>
    <w:rsid w:val="00821241"/>
    <w:rsid w:val="008224D6"/>
    <w:rsid w:val="00824481"/>
    <w:rsid w:val="008247FC"/>
    <w:rsid w:val="00824AFD"/>
    <w:rsid w:val="00825A98"/>
    <w:rsid w:val="00825DA1"/>
    <w:rsid w:val="00826AF7"/>
    <w:rsid w:val="008273B8"/>
    <w:rsid w:val="00827C09"/>
    <w:rsid w:val="00830006"/>
    <w:rsid w:val="00830306"/>
    <w:rsid w:val="00830DFD"/>
    <w:rsid w:val="00830FB4"/>
    <w:rsid w:val="00830FE5"/>
    <w:rsid w:val="0083109A"/>
    <w:rsid w:val="0083206A"/>
    <w:rsid w:val="00832E55"/>
    <w:rsid w:val="00833114"/>
    <w:rsid w:val="008349E9"/>
    <w:rsid w:val="0083507C"/>
    <w:rsid w:val="0083546F"/>
    <w:rsid w:val="00835646"/>
    <w:rsid w:val="00835E46"/>
    <w:rsid w:val="00835E80"/>
    <w:rsid w:val="00836417"/>
    <w:rsid w:val="0083734C"/>
    <w:rsid w:val="00837CAB"/>
    <w:rsid w:val="00840260"/>
    <w:rsid w:val="00841672"/>
    <w:rsid w:val="00841F9A"/>
    <w:rsid w:val="00842466"/>
    <w:rsid w:val="0084270F"/>
    <w:rsid w:val="00844ED3"/>
    <w:rsid w:val="00845466"/>
    <w:rsid w:val="0084638F"/>
    <w:rsid w:val="0084678E"/>
    <w:rsid w:val="00846999"/>
    <w:rsid w:val="00847365"/>
    <w:rsid w:val="00847CA7"/>
    <w:rsid w:val="00851775"/>
    <w:rsid w:val="0085276B"/>
    <w:rsid w:val="008527B7"/>
    <w:rsid w:val="00852A93"/>
    <w:rsid w:val="00853C5C"/>
    <w:rsid w:val="00853D02"/>
    <w:rsid w:val="00854E65"/>
    <w:rsid w:val="00856529"/>
    <w:rsid w:val="00857361"/>
    <w:rsid w:val="00857366"/>
    <w:rsid w:val="008608E5"/>
    <w:rsid w:val="00860949"/>
    <w:rsid w:val="00860A5B"/>
    <w:rsid w:val="0086324F"/>
    <w:rsid w:val="00863EB5"/>
    <w:rsid w:val="00863F5A"/>
    <w:rsid w:val="008640E8"/>
    <w:rsid w:val="00865864"/>
    <w:rsid w:val="008670A0"/>
    <w:rsid w:val="00867618"/>
    <w:rsid w:val="00867D5C"/>
    <w:rsid w:val="00870048"/>
    <w:rsid w:val="008718AA"/>
    <w:rsid w:val="00874D5F"/>
    <w:rsid w:val="00875817"/>
    <w:rsid w:val="008758E8"/>
    <w:rsid w:val="00876C79"/>
    <w:rsid w:val="008775CC"/>
    <w:rsid w:val="008775D8"/>
    <w:rsid w:val="00880093"/>
    <w:rsid w:val="00880133"/>
    <w:rsid w:val="008807E0"/>
    <w:rsid w:val="00881282"/>
    <w:rsid w:val="00882104"/>
    <w:rsid w:val="008824EA"/>
    <w:rsid w:val="00882928"/>
    <w:rsid w:val="00882D17"/>
    <w:rsid w:val="00890824"/>
    <w:rsid w:val="00890DE9"/>
    <w:rsid w:val="0089105A"/>
    <w:rsid w:val="008925CC"/>
    <w:rsid w:val="008941F7"/>
    <w:rsid w:val="0089453C"/>
    <w:rsid w:val="00896954"/>
    <w:rsid w:val="00896C9E"/>
    <w:rsid w:val="00896CE0"/>
    <w:rsid w:val="0089740E"/>
    <w:rsid w:val="00897BB1"/>
    <w:rsid w:val="008A0AEE"/>
    <w:rsid w:val="008A0CB2"/>
    <w:rsid w:val="008A0F9E"/>
    <w:rsid w:val="008A0FFC"/>
    <w:rsid w:val="008A1A08"/>
    <w:rsid w:val="008A245D"/>
    <w:rsid w:val="008A26FD"/>
    <w:rsid w:val="008A28A2"/>
    <w:rsid w:val="008A3576"/>
    <w:rsid w:val="008A40E2"/>
    <w:rsid w:val="008A444D"/>
    <w:rsid w:val="008A57F7"/>
    <w:rsid w:val="008A5C5F"/>
    <w:rsid w:val="008A6A45"/>
    <w:rsid w:val="008A7B97"/>
    <w:rsid w:val="008A7D40"/>
    <w:rsid w:val="008B0563"/>
    <w:rsid w:val="008B063E"/>
    <w:rsid w:val="008B11F5"/>
    <w:rsid w:val="008B16CA"/>
    <w:rsid w:val="008B2749"/>
    <w:rsid w:val="008B2DDA"/>
    <w:rsid w:val="008B36C3"/>
    <w:rsid w:val="008B39BC"/>
    <w:rsid w:val="008B3D32"/>
    <w:rsid w:val="008B3F9D"/>
    <w:rsid w:val="008B4447"/>
    <w:rsid w:val="008B5284"/>
    <w:rsid w:val="008B5DAB"/>
    <w:rsid w:val="008B775B"/>
    <w:rsid w:val="008B7BF2"/>
    <w:rsid w:val="008C07B6"/>
    <w:rsid w:val="008C07BE"/>
    <w:rsid w:val="008C0C5C"/>
    <w:rsid w:val="008C2441"/>
    <w:rsid w:val="008C28CF"/>
    <w:rsid w:val="008C300D"/>
    <w:rsid w:val="008C33A8"/>
    <w:rsid w:val="008C3D26"/>
    <w:rsid w:val="008C45C1"/>
    <w:rsid w:val="008C501F"/>
    <w:rsid w:val="008C5285"/>
    <w:rsid w:val="008C5876"/>
    <w:rsid w:val="008C5B6C"/>
    <w:rsid w:val="008C5F3A"/>
    <w:rsid w:val="008C60F6"/>
    <w:rsid w:val="008C78E0"/>
    <w:rsid w:val="008D1C89"/>
    <w:rsid w:val="008D1CA8"/>
    <w:rsid w:val="008D3960"/>
    <w:rsid w:val="008D3D40"/>
    <w:rsid w:val="008D3D54"/>
    <w:rsid w:val="008D4290"/>
    <w:rsid w:val="008D4626"/>
    <w:rsid w:val="008D4E0C"/>
    <w:rsid w:val="008D5365"/>
    <w:rsid w:val="008D6393"/>
    <w:rsid w:val="008D67B1"/>
    <w:rsid w:val="008D69C4"/>
    <w:rsid w:val="008D6DA0"/>
    <w:rsid w:val="008D7665"/>
    <w:rsid w:val="008D78B5"/>
    <w:rsid w:val="008D799A"/>
    <w:rsid w:val="008D7E60"/>
    <w:rsid w:val="008E1E35"/>
    <w:rsid w:val="008E2623"/>
    <w:rsid w:val="008E2E23"/>
    <w:rsid w:val="008E427C"/>
    <w:rsid w:val="008E4332"/>
    <w:rsid w:val="008E433B"/>
    <w:rsid w:val="008E4541"/>
    <w:rsid w:val="008E6166"/>
    <w:rsid w:val="008E634A"/>
    <w:rsid w:val="008E6D9A"/>
    <w:rsid w:val="008E7385"/>
    <w:rsid w:val="008E779B"/>
    <w:rsid w:val="008E7B49"/>
    <w:rsid w:val="008F06E4"/>
    <w:rsid w:val="008F08CE"/>
    <w:rsid w:val="008F15A5"/>
    <w:rsid w:val="008F165F"/>
    <w:rsid w:val="008F1862"/>
    <w:rsid w:val="008F198E"/>
    <w:rsid w:val="008F2600"/>
    <w:rsid w:val="008F2751"/>
    <w:rsid w:val="008F2E57"/>
    <w:rsid w:val="008F3356"/>
    <w:rsid w:val="008F35FA"/>
    <w:rsid w:val="008F380B"/>
    <w:rsid w:val="008F5130"/>
    <w:rsid w:val="008F5C8B"/>
    <w:rsid w:val="008F6091"/>
    <w:rsid w:val="008F644F"/>
    <w:rsid w:val="008F6696"/>
    <w:rsid w:val="0090003A"/>
    <w:rsid w:val="00900077"/>
    <w:rsid w:val="00901DDA"/>
    <w:rsid w:val="00901E6A"/>
    <w:rsid w:val="00901F59"/>
    <w:rsid w:val="00902118"/>
    <w:rsid w:val="009028D5"/>
    <w:rsid w:val="00902AA7"/>
    <w:rsid w:val="00904B6A"/>
    <w:rsid w:val="0090588A"/>
    <w:rsid w:val="0090597B"/>
    <w:rsid w:val="00905A47"/>
    <w:rsid w:val="0090629A"/>
    <w:rsid w:val="00906BE6"/>
    <w:rsid w:val="009074C2"/>
    <w:rsid w:val="00907C83"/>
    <w:rsid w:val="0091005F"/>
    <w:rsid w:val="00910864"/>
    <w:rsid w:val="0091095F"/>
    <w:rsid w:val="00910B3A"/>
    <w:rsid w:val="00910B6D"/>
    <w:rsid w:val="00910E88"/>
    <w:rsid w:val="009126CC"/>
    <w:rsid w:val="00912701"/>
    <w:rsid w:val="009129A6"/>
    <w:rsid w:val="00912DAE"/>
    <w:rsid w:val="00912E8A"/>
    <w:rsid w:val="0091312C"/>
    <w:rsid w:val="00913A5C"/>
    <w:rsid w:val="00914845"/>
    <w:rsid w:val="00914B9B"/>
    <w:rsid w:val="00916F55"/>
    <w:rsid w:val="009171B5"/>
    <w:rsid w:val="00917D7C"/>
    <w:rsid w:val="00920A5C"/>
    <w:rsid w:val="0092179D"/>
    <w:rsid w:val="00921D56"/>
    <w:rsid w:val="0092231A"/>
    <w:rsid w:val="00922A36"/>
    <w:rsid w:val="00923651"/>
    <w:rsid w:val="00925910"/>
    <w:rsid w:val="00925A9F"/>
    <w:rsid w:val="00925B6F"/>
    <w:rsid w:val="00926094"/>
    <w:rsid w:val="00926E4B"/>
    <w:rsid w:val="00927205"/>
    <w:rsid w:val="00927B12"/>
    <w:rsid w:val="00927C05"/>
    <w:rsid w:val="00930330"/>
    <w:rsid w:val="00930F99"/>
    <w:rsid w:val="009314D5"/>
    <w:rsid w:val="0093214A"/>
    <w:rsid w:val="009324B9"/>
    <w:rsid w:val="009327D1"/>
    <w:rsid w:val="00932E0E"/>
    <w:rsid w:val="00933542"/>
    <w:rsid w:val="009335B8"/>
    <w:rsid w:val="00933685"/>
    <w:rsid w:val="00933834"/>
    <w:rsid w:val="00933E60"/>
    <w:rsid w:val="009357BB"/>
    <w:rsid w:val="00935E76"/>
    <w:rsid w:val="0093680A"/>
    <w:rsid w:val="00936D76"/>
    <w:rsid w:val="0093766C"/>
    <w:rsid w:val="009416A8"/>
    <w:rsid w:val="00942545"/>
    <w:rsid w:val="00942AB5"/>
    <w:rsid w:val="00942C59"/>
    <w:rsid w:val="00942E13"/>
    <w:rsid w:val="00944106"/>
    <w:rsid w:val="00945003"/>
    <w:rsid w:val="009461AB"/>
    <w:rsid w:val="00950CC4"/>
    <w:rsid w:val="00950F96"/>
    <w:rsid w:val="009522B5"/>
    <w:rsid w:val="00952444"/>
    <w:rsid w:val="009526C4"/>
    <w:rsid w:val="0095296B"/>
    <w:rsid w:val="0095317B"/>
    <w:rsid w:val="00953AD8"/>
    <w:rsid w:val="00954174"/>
    <w:rsid w:val="00954506"/>
    <w:rsid w:val="00954B27"/>
    <w:rsid w:val="00954BAE"/>
    <w:rsid w:val="009551F6"/>
    <w:rsid w:val="00955344"/>
    <w:rsid w:val="00955391"/>
    <w:rsid w:val="0095567A"/>
    <w:rsid w:val="00955CB6"/>
    <w:rsid w:val="009575B3"/>
    <w:rsid w:val="00960BFD"/>
    <w:rsid w:val="009620A2"/>
    <w:rsid w:val="0096267A"/>
    <w:rsid w:val="0096320C"/>
    <w:rsid w:val="009646A0"/>
    <w:rsid w:val="00964832"/>
    <w:rsid w:val="00964B98"/>
    <w:rsid w:val="009650A5"/>
    <w:rsid w:val="00965549"/>
    <w:rsid w:val="00966105"/>
    <w:rsid w:val="00966450"/>
    <w:rsid w:val="009666DF"/>
    <w:rsid w:val="0097020B"/>
    <w:rsid w:val="00970241"/>
    <w:rsid w:val="0097059A"/>
    <w:rsid w:val="009711BF"/>
    <w:rsid w:val="00971831"/>
    <w:rsid w:val="009723FE"/>
    <w:rsid w:val="009726D4"/>
    <w:rsid w:val="009727D6"/>
    <w:rsid w:val="0097282B"/>
    <w:rsid w:val="009729EA"/>
    <w:rsid w:val="00973076"/>
    <w:rsid w:val="00973541"/>
    <w:rsid w:val="009737C9"/>
    <w:rsid w:val="009741D6"/>
    <w:rsid w:val="009753BA"/>
    <w:rsid w:val="00975581"/>
    <w:rsid w:val="00976622"/>
    <w:rsid w:val="00977532"/>
    <w:rsid w:val="00977A64"/>
    <w:rsid w:val="00980D7B"/>
    <w:rsid w:val="00980FFB"/>
    <w:rsid w:val="009812E2"/>
    <w:rsid w:val="00981303"/>
    <w:rsid w:val="009815A2"/>
    <w:rsid w:val="00982320"/>
    <w:rsid w:val="0098275B"/>
    <w:rsid w:val="009834AB"/>
    <w:rsid w:val="009834E1"/>
    <w:rsid w:val="00983DFA"/>
    <w:rsid w:val="009844D1"/>
    <w:rsid w:val="0098470C"/>
    <w:rsid w:val="009863A0"/>
    <w:rsid w:val="009865CF"/>
    <w:rsid w:val="009876FE"/>
    <w:rsid w:val="00987FA5"/>
    <w:rsid w:val="0099152A"/>
    <w:rsid w:val="009918B2"/>
    <w:rsid w:val="00992FEC"/>
    <w:rsid w:val="0099331B"/>
    <w:rsid w:val="0099397A"/>
    <w:rsid w:val="00994FC8"/>
    <w:rsid w:val="00995C85"/>
    <w:rsid w:val="00995FBD"/>
    <w:rsid w:val="00996004"/>
    <w:rsid w:val="0099617F"/>
    <w:rsid w:val="00996621"/>
    <w:rsid w:val="00996CFE"/>
    <w:rsid w:val="0099731C"/>
    <w:rsid w:val="009A0BC5"/>
    <w:rsid w:val="009A1206"/>
    <w:rsid w:val="009A16EE"/>
    <w:rsid w:val="009A22C1"/>
    <w:rsid w:val="009A2F47"/>
    <w:rsid w:val="009A43A7"/>
    <w:rsid w:val="009A4BCC"/>
    <w:rsid w:val="009A52E0"/>
    <w:rsid w:val="009A5438"/>
    <w:rsid w:val="009A6D8A"/>
    <w:rsid w:val="009A7131"/>
    <w:rsid w:val="009A7147"/>
    <w:rsid w:val="009A7961"/>
    <w:rsid w:val="009B1246"/>
    <w:rsid w:val="009B1A66"/>
    <w:rsid w:val="009B1AD3"/>
    <w:rsid w:val="009B2A88"/>
    <w:rsid w:val="009B2D15"/>
    <w:rsid w:val="009B41B4"/>
    <w:rsid w:val="009B45FC"/>
    <w:rsid w:val="009B460E"/>
    <w:rsid w:val="009B48B1"/>
    <w:rsid w:val="009B5CB5"/>
    <w:rsid w:val="009B6024"/>
    <w:rsid w:val="009B63B7"/>
    <w:rsid w:val="009B6C8C"/>
    <w:rsid w:val="009B7115"/>
    <w:rsid w:val="009B739C"/>
    <w:rsid w:val="009C02DE"/>
    <w:rsid w:val="009C042C"/>
    <w:rsid w:val="009C0767"/>
    <w:rsid w:val="009C1328"/>
    <w:rsid w:val="009C1F77"/>
    <w:rsid w:val="009C3D72"/>
    <w:rsid w:val="009C43B6"/>
    <w:rsid w:val="009C58A0"/>
    <w:rsid w:val="009C6033"/>
    <w:rsid w:val="009C7825"/>
    <w:rsid w:val="009C796A"/>
    <w:rsid w:val="009C7A3B"/>
    <w:rsid w:val="009D0DFC"/>
    <w:rsid w:val="009D1A24"/>
    <w:rsid w:val="009D1CB9"/>
    <w:rsid w:val="009D329A"/>
    <w:rsid w:val="009D4676"/>
    <w:rsid w:val="009D5F6C"/>
    <w:rsid w:val="009D733D"/>
    <w:rsid w:val="009D7870"/>
    <w:rsid w:val="009D7DE1"/>
    <w:rsid w:val="009E173C"/>
    <w:rsid w:val="009E1D61"/>
    <w:rsid w:val="009E2DBB"/>
    <w:rsid w:val="009E4E66"/>
    <w:rsid w:val="009E53A3"/>
    <w:rsid w:val="009E5CAE"/>
    <w:rsid w:val="009E63D1"/>
    <w:rsid w:val="009E70A1"/>
    <w:rsid w:val="009E7656"/>
    <w:rsid w:val="009F16B9"/>
    <w:rsid w:val="009F244E"/>
    <w:rsid w:val="009F2B2D"/>
    <w:rsid w:val="009F33A3"/>
    <w:rsid w:val="009F3979"/>
    <w:rsid w:val="009F3AEC"/>
    <w:rsid w:val="009F3B82"/>
    <w:rsid w:val="009F3E4F"/>
    <w:rsid w:val="009F409A"/>
    <w:rsid w:val="009F40AF"/>
    <w:rsid w:val="009F4C2B"/>
    <w:rsid w:val="009F4DB7"/>
    <w:rsid w:val="009F57CD"/>
    <w:rsid w:val="009F591C"/>
    <w:rsid w:val="009F5A90"/>
    <w:rsid w:val="009F5FE1"/>
    <w:rsid w:val="009F684F"/>
    <w:rsid w:val="009F6BE1"/>
    <w:rsid w:val="00A00703"/>
    <w:rsid w:val="00A00E80"/>
    <w:rsid w:val="00A01847"/>
    <w:rsid w:val="00A018CF"/>
    <w:rsid w:val="00A0190C"/>
    <w:rsid w:val="00A01DD7"/>
    <w:rsid w:val="00A01E28"/>
    <w:rsid w:val="00A02108"/>
    <w:rsid w:val="00A02205"/>
    <w:rsid w:val="00A02249"/>
    <w:rsid w:val="00A02362"/>
    <w:rsid w:val="00A03CFB"/>
    <w:rsid w:val="00A0549C"/>
    <w:rsid w:val="00A05BDB"/>
    <w:rsid w:val="00A06CE0"/>
    <w:rsid w:val="00A0731F"/>
    <w:rsid w:val="00A0750A"/>
    <w:rsid w:val="00A077B2"/>
    <w:rsid w:val="00A07AB4"/>
    <w:rsid w:val="00A07B75"/>
    <w:rsid w:val="00A10319"/>
    <w:rsid w:val="00A10592"/>
    <w:rsid w:val="00A10DA4"/>
    <w:rsid w:val="00A11139"/>
    <w:rsid w:val="00A113F9"/>
    <w:rsid w:val="00A12904"/>
    <w:rsid w:val="00A12A61"/>
    <w:rsid w:val="00A12B25"/>
    <w:rsid w:val="00A12E37"/>
    <w:rsid w:val="00A146E9"/>
    <w:rsid w:val="00A14941"/>
    <w:rsid w:val="00A14BDF"/>
    <w:rsid w:val="00A154EB"/>
    <w:rsid w:val="00A16672"/>
    <w:rsid w:val="00A16D31"/>
    <w:rsid w:val="00A17EC7"/>
    <w:rsid w:val="00A2074F"/>
    <w:rsid w:val="00A210A6"/>
    <w:rsid w:val="00A217D9"/>
    <w:rsid w:val="00A21E32"/>
    <w:rsid w:val="00A21F4E"/>
    <w:rsid w:val="00A226B5"/>
    <w:rsid w:val="00A24200"/>
    <w:rsid w:val="00A24A65"/>
    <w:rsid w:val="00A252FD"/>
    <w:rsid w:val="00A25C2C"/>
    <w:rsid w:val="00A2621A"/>
    <w:rsid w:val="00A264E5"/>
    <w:rsid w:val="00A26CE9"/>
    <w:rsid w:val="00A272F1"/>
    <w:rsid w:val="00A3013E"/>
    <w:rsid w:val="00A3056E"/>
    <w:rsid w:val="00A30AA2"/>
    <w:rsid w:val="00A30CE7"/>
    <w:rsid w:val="00A323F4"/>
    <w:rsid w:val="00A32C0C"/>
    <w:rsid w:val="00A33633"/>
    <w:rsid w:val="00A35426"/>
    <w:rsid w:val="00A35B99"/>
    <w:rsid w:val="00A36B87"/>
    <w:rsid w:val="00A36F2E"/>
    <w:rsid w:val="00A374D3"/>
    <w:rsid w:val="00A37D68"/>
    <w:rsid w:val="00A37F74"/>
    <w:rsid w:val="00A402F7"/>
    <w:rsid w:val="00A40F52"/>
    <w:rsid w:val="00A425BC"/>
    <w:rsid w:val="00A42B76"/>
    <w:rsid w:val="00A44133"/>
    <w:rsid w:val="00A4448A"/>
    <w:rsid w:val="00A44CBB"/>
    <w:rsid w:val="00A50077"/>
    <w:rsid w:val="00A508A2"/>
    <w:rsid w:val="00A50B9E"/>
    <w:rsid w:val="00A52636"/>
    <w:rsid w:val="00A53AE9"/>
    <w:rsid w:val="00A543A7"/>
    <w:rsid w:val="00A5452D"/>
    <w:rsid w:val="00A54B48"/>
    <w:rsid w:val="00A55C61"/>
    <w:rsid w:val="00A55E0C"/>
    <w:rsid w:val="00A56818"/>
    <w:rsid w:val="00A578AA"/>
    <w:rsid w:val="00A57929"/>
    <w:rsid w:val="00A57979"/>
    <w:rsid w:val="00A60FE7"/>
    <w:rsid w:val="00A62004"/>
    <w:rsid w:val="00A62199"/>
    <w:rsid w:val="00A6280B"/>
    <w:rsid w:val="00A62E19"/>
    <w:rsid w:val="00A631A2"/>
    <w:rsid w:val="00A632C0"/>
    <w:rsid w:val="00A632CC"/>
    <w:rsid w:val="00A634F3"/>
    <w:rsid w:val="00A64B40"/>
    <w:rsid w:val="00A64C39"/>
    <w:rsid w:val="00A64FC8"/>
    <w:rsid w:val="00A65156"/>
    <w:rsid w:val="00A652D1"/>
    <w:rsid w:val="00A65E1A"/>
    <w:rsid w:val="00A668F8"/>
    <w:rsid w:val="00A66EDB"/>
    <w:rsid w:val="00A67E01"/>
    <w:rsid w:val="00A70433"/>
    <w:rsid w:val="00A71217"/>
    <w:rsid w:val="00A7142A"/>
    <w:rsid w:val="00A717FA"/>
    <w:rsid w:val="00A71BD5"/>
    <w:rsid w:val="00A71D7D"/>
    <w:rsid w:val="00A72272"/>
    <w:rsid w:val="00A7310B"/>
    <w:rsid w:val="00A740E6"/>
    <w:rsid w:val="00A742D9"/>
    <w:rsid w:val="00A74CA6"/>
    <w:rsid w:val="00A75EA6"/>
    <w:rsid w:val="00A761D7"/>
    <w:rsid w:val="00A81897"/>
    <w:rsid w:val="00A82D1A"/>
    <w:rsid w:val="00A838DF"/>
    <w:rsid w:val="00A83BB6"/>
    <w:rsid w:val="00A83C37"/>
    <w:rsid w:val="00A844E5"/>
    <w:rsid w:val="00A85410"/>
    <w:rsid w:val="00A861F6"/>
    <w:rsid w:val="00A86322"/>
    <w:rsid w:val="00A86813"/>
    <w:rsid w:val="00A87434"/>
    <w:rsid w:val="00A879BE"/>
    <w:rsid w:val="00A904CF"/>
    <w:rsid w:val="00A90A9D"/>
    <w:rsid w:val="00A90C7E"/>
    <w:rsid w:val="00A90F74"/>
    <w:rsid w:val="00A91FC1"/>
    <w:rsid w:val="00A92FC3"/>
    <w:rsid w:val="00A93AF3"/>
    <w:rsid w:val="00A948AC"/>
    <w:rsid w:val="00A95E30"/>
    <w:rsid w:val="00A96023"/>
    <w:rsid w:val="00A96146"/>
    <w:rsid w:val="00A964DA"/>
    <w:rsid w:val="00A965ED"/>
    <w:rsid w:val="00A967F7"/>
    <w:rsid w:val="00A96DA3"/>
    <w:rsid w:val="00A96F1B"/>
    <w:rsid w:val="00A9756C"/>
    <w:rsid w:val="00A976B5"/>
    <w:rsid w:val="00A97A26"/>
    <w:rsid w:val="00A97BFD"/>
    <w:rsid w:val="00AA030C"/>
    <w:rsid w:val="00AA12FA"/>
    <w:rsid w:val="00AA1A12"/>
    <w:rsid w:val="00AA2CAB"/>
    <w:rsid w:val="00AA2FAC"/>
    <w:rsid w:val="00AA3FD0"/>
    <w:rsid w:val="00AA4319"/>
    <w:rsid w:val="00AA504B"/>
    <w:rsid w:val="00AA7532"/>
    <w:rsid w:val="00AA7A40"/>
    <w:rsid w:val="00AB1819"/>
    <w:rsid w:val="00AB1ED4"/>
    <w:rsid w:val="00AB27A1"/>
    <w:rsid w:val="00AB2B22"/>
    <w:rsid w:val="00AB3695"/>
    <w:rsid w:val="00AB4119"/>
    <w:rsid w:val="00AB4317"/>
    <w:rsid w:val="00AB4E1C"/>
    <w:rsid w:val="00AB50ED"/>
    <w:rsid w:val="00AB59DC"/>
    <w:rsid w:val="00AB68F7"/>
    <w:rsid w:val="00AC13DC"/>
    <w:rsid w:val="00AC15F6"/>
    <w:rsid w:val="00AC167D"/>
    <w:rsid w:val="00AC1E16"/>
    <w:rsid w:val="00AC20C7"/>
    <w:rsid w:val="00AC2218"/>
    <w:rsid w:val="00AC2594"/>
    <w:rsid w:val="00AC51B5"/>
    <w:rsid w:val="00AC5309"/>
    <w:rsid w:val="00AC53FC"/>
    <w:rsid w:val="00AC63AC"/>
    <w:rsid w:val="00AC6D52"/>
    <w:rsid w:val="00AC71BD"/>
    <w:rsid w:val="00AC7851"/>
    <w:rsid w:val="00AD1CFF"/>
    <w:rsid w:val="00AD1EA8"/>
    <w:rsid w:val="00AD2091"/>
    <w:rsid w:val="00AD2A6F"/>
    <w:rsid w:val="00AD39A7"/>
    <w:rsid w:val="00AD7D23"/>
    <w:rsid w:val="00AD7D67"/>
    <w:rsid w:val="00AE0C4E"/>
    <w:rsid w:val="00AE0D9A"/>
    <w:rsid w:val="00AE441D"/>
    <w:rsid w:val="00AE5420"/>
    <w:rsid w:val="00AE5D32"/>
    <w:rsid w:val="00AE78D0"/>
    <w:rsid w:val="00AE7F27"/>
    <w:rsid w:val="00AF0004"/>
    <w:rsid w:val="00AF0819"/>
    <w:rsid w:val="00AF10D6"/>
    <w:rsid w:val="00AF171E"/>
    <w:rsid w:val="00AF1B1C"/>
    <w:rsid w:val="00AF27DB"/>
    <w:rsid w:val="00AF2F0F"/>
    <w:rsid w:val="00AF37CD"/>
    <w:rsid w:val="00AF4367"/>
    <w:rsid w:val="00AF5CAE"/>
    <w:rsid w:val="00AF5F94"/>
    <w:rsid w:val="00AF6F98"/>
    <w:rsid w:val="00AF77A4"/>
    <w:rsid w:val="00B0141E"/>
    <w:rsid w:val="00B01817"/>
    <w:rsid w:val="00B01F11"/>
    <w:rsid w:val="00B03DDC"/>
    <w:rsid w:val="00B03EC3"/>
    <w:rsid w:val="00B03F61"/>
    <w:rsid w:val="00B04B8A"/>
    <w:rsid w:val="00B05C56"/>
    <w:rsid w:val="00B068B9"/>
    <w:rsid w:val="00B06BE3"/>
    <w:rsid w:val="00B07010"/>
    <w:rsid w:val="00B07C42"/>
    <w:rsid w:val="00B07FEA"/>
    <w:rsid w:val="00B10795"/>
    <w:rsid w:val="00B10C6E"/>
    <w:rsid w:val="00B11254"/>
    <w:rsid w:val="00B11382"/>
    <w:rsid w:val="00B11662"/>
    <w:rsid w:val="00B129FF"/>
    <w:rsid w:val="00B12D17"/>
    <w:rsid w:val="00B137C7"/>
    <w:rsid w:val="00B14246"/>
    <w:rsid w:val="00B14322"/>
    <w:rsid w:val="00B14B89"/>
    <w:rsid w:val="00B154CB"/>
    <w:rsid w:val="00B15D8D"/>
    <w:rsid w:val="00B15FAF"/>
    <w:rsid w:val="00B16309"/>
    <w:rsid w:val="00B163D8"/>
    <w:rsid w:val="00B16D6A"/>
    <w:rsid w:val="00B1753D"/>
    <w:rsid w:val="00B179A8"/>
    <w:rsid w:val="00B20A4F"/>
    <w:rsid w:val="00B21303"/>
    <w:rsid w:val="00B219A4"/>
    <w:rsid w:val="00B21A89"/>
    <w:rsid w:val="00B24235"/>
    <w:rsid w:val="00B24B94"/>
    <w:rsid w:val="00B24C99"/>
    <w:rsid w:val="00B24F5A"/>
    <w:rsid w:val="00B26096"/>
    <w:rsid w:val="00B2669D"/>
    <w:rsid w:val="00B27EB7"/>
    <w:rsid w:val="00B27FEA"/>
    <w:rsid w:val="00B30D36"/>
    <w:rsid w:val="00B31FD1"/>
    <w:rsid w:val="00B32A61"/>
    <w:rsid w:val="00B32DE9"/>
    <w:rsid w:val="00B34938"/>
    <w:rsid w:val="00B355DA"/>
    <w:rsid w:val="00B35EE4"/>
    <w:rsid w:val="00B36583"/>
    <w:rsid w:val="00B36A90"/>
    <w:rsid w:val="00B36F52"/>
    <w:rsid w:val="00B37A13"/>
    <w:rsid w:val="00B37A53"/>
    <w:rsid w:val="00B426A4"/>
    <w:rsid w:val="00B4274B"/>
    <w:rsid w:val="00B429A6"/>
    <w:rsid w:val="00B429B2"/>
    <w:rsid w:val="00B432BD"/>
    <w:rsid w:val="00B4348F"/>
    <w:rsid w:val="00B4375D"/>
    <w:rsid w:val="00B43DDE"/>
    <w:rsid w:val="00B43E1C"/>
    <w:rsid w:val="00B44481"/>
    <w:rsid w:val="00B477DA"/>
    <w:rsid w:val="00B47823"/>
    <w:rsid w:val="00B47DD1"/>
    <w:rsid w:val="00B52209"/>
    <w:rsid w:val="00B536B6"/>
    <w:rsid w:val="00B537ED"/>
    <w:rsid w:val="00B538A3"/>
    <w:rsid w:val="00B54B60"/>
    <w:rsid w:val="00B55A1D"/>
    <w:rsid w:val="00B56A30"/>
    <w:rsid w:val="00B572EA"/>
    <w:rsid w:val="00B57934"/>
    <w:rsid w:val="00B60877"/>
    <w:rsid w:val="00B615E6"/>
    <w:rsid w:val="00B62A86"/>
    <w:rsid w:val="00B6457A"/>
    <w:rsid w:val="00B648EF"/>
    <w:rsid w:val="00B64CC1"/>
    <w:rsid w:val="00B6570D"/>
    <w:rsid w:val="00B659E0"/>
    <w:rsid w:val="00B65CD0"/>
    <w:rsid w:val="00B6601E"/>
    <w:rsid w:val="00B66844"/>
    <w:rsid w:val="00B67DC6"/>
    <w:rsid w:val="00B7090B"/>
    <w:rsid w:val="00B70A41"/>
    <w:rsid w:val="00B71838"/>
    <w:rsid w:val="00B72005"/>
    <w:rsid w:val="00B7326E"/>
    <w:rsid w:val="00B73648"/>
    <w:rsid w:val="00B748F6"/>
    <w:rsid w:val="00B7503B"/>
    <w:rsid w:val="00B75F3C"/>
    <w:rsid w:val="00B76D98"/>
    <w:rsid w:val="00B802D2"/>
    <w:rsid w:val="00B80FCE"/>
    <w:rsid w:val="00B817B1"/>
    <w:rsid w:val="00B81A65"/>
    <w:rsid w:val="00B820EB"/>
    <w:rsid w:val="00B828A1"/>
    <w:rsid w:val="00B82B27"/>
    <w:rsid w:val="00B82F1E"/>
    <w:rsid w:val="00B83803"/>
    <w:rsid w:val="00B840CA"/>
    <w:rsid w:val="00B85302"/>
    <w:rsid w:val="00B85E3F"/>
    <w:rsid w:val="00B877F1"/>
    <w:rsid w:val="00B87953"/>
    <w:rsid w:val="00B9046C"/>
    <w:rsid w:val="00B91326"/>
    <w:rsid w:val="00B923A3"/>
    <w:rsid w:val="00B92EAC"/>
    <w:rsid w:val="00B92F08"/>
    <w:rsid w:val="00B95191"/>
    <w:rsid w:val="00B95DED"/>
    <w:rsid w:val="00B95E00"/>
    <w:rsid w:val="00B96C09"/>
    <w:rsid w:val="00B97006"/>
    <w:rsid w:val="00B97257"/>
    <w:rsid w:val="00B97740"/>
    <w:rsid w:val="00BA01FF"/>
    <w:rsid w:val="00BA070C"/>
    <w:rsid w:val="00BA0EEE"/>
    <w:rsid w:val="00BA0F0F"/>
    <w:rsid w:val="00BA20F9"/>
    <w:rsid w:val="00BA2F9D"/>
    <w:rsid w:val="00BA36B2"/>
    <w:rsid w:val="00BA4B2C"/>
    <w:rsid w:val="00BA4F58"/>
    <w:rsid w:val="00BA52CE"/>
    <w:rsid w:val="00BA72C1"/>
    <w:rsid w:val="00BB089C"/>
    <w:rsid w:val="00BB13BC"/>
    <w:rsid w:val="00BB20BC"/>
    <w:rsid w:val="00BB29F9"/>
    <w:rsid w:val="00BB3D0B"/>
    <w:rsid w:val="00BB5627"/>
    <w:rsid w:val="00BB649E"/>
    <w:rsid w:val="00BB6EB9"/>
    <w:rsid w:val="00BC0873"/>
    <w:rsid w:val="00BC08ED"/>
    <w:rsid w:val="00BC2BD5"/>
    <w:rsid w:val="00BC2BF7"/>
    <w:rsid w:val="00BC2F81"/>
    <w:rsid w:val="00BC369B"/>
    <w:rsid w:val="00BC3FE0"/>
    <w:rsid w:val="00BC44B7"/>
    <w:rsid w:val="00BC4691"/>
    <w:rsid w:val="00BC4B4B"/>
    <w:rsid w:val="00BC52E7"/>
    <w:rsid w:val="00BC55FC"/>
    <w:rsid w:val="00BC6427"/>
    <w:rsid w:val="00BC6FAB"/>
    <w:rsid w:val="00BD01D0"/>
    <w:rsid w:val="00BD07B0"/>
    <w:rsid w:val="00BD097D"/>
    <w:rsid w:val="00BD0DC6"/>
    <w:rsid w:val="00BD0FA3"/>
    <w:rsid w:val="00BD1597"/>
    <w:rsid w:val="00BD1DE0"/>
    <w:rsid w:val="00BD1F1A"/>
    <w:rsid w:val="00BD27A7"/>
    <w:rsid w:val="00BD2EE7"/>
    <w:rsid w:val="00BD30CD"/>
    <w:rsid w:val="00BD3567"/>
    <w:rsid w:val="00BD454F"/>
    <w:rsid w:val="00BD4676"/>
    <w:rsid w:val="00BD48DB"/>
    <w:rsid w:val="00BD496C"/>
    <w:rsid w:val="00BD4D2F"/>
    <w:rsid w:val="00BD5227"/>
    <w:rsid w:val="00BD79C3"/>
    <w:rsid w:val="00BD7A52"/>
    <w:rsid w:val="00BE19F7"/>
    <w:rsid w:val="00BE2E5B"/>
    <w:rsid w:val="00BE3072"/>
    <w:rsid w:val="00BE39DF"/>
    <w:rsid w:val="00BE3A22"/>
    <w:rsid w:val="00BE40E3"/>
    <w:rsid w:val="00BE4604"/>
    <w:rsid w:val="00BE4E08"/>
    <w:rsid w:val="00BE54CD"/>
    <w:rsid w:val="00BE5F53"/>
    <w:rsid w:val="00BE74E4"/>
    <w:rsid w:val="00BF0151"/>
    <w:rsid w:val="00BF058F"/>
    <w:rsid w:val="00BF175B"/>
    <w:rsid w:val="00BF18DE"/>
    <w:rsid w:val="00BF2D3D"/>
    <w:rsid w:val="00BF2DA9"/>
    <w:rsid w:val="00BF3263"/>
    <w:rsid w:val="00BF49C3"/>
    <w:rsid w:val="00BF5618"/>
    <w:rsid w:val="00BF58AC"/>
    <w:rsid w:val="00BF621E"/>
    <w:rsid w:val="00BF68A2"/>
    <w:rsid w:val="00BF6E3C"/>
    <w:rsid w:val="00BF7AEF"/>
    <w:rsid w:val="00C010AF"/>
    <w:rsid w:val="00C0135C"/>
    <w:rsid w:val="00C01430"/>
    <w:rsid w:val="00C02420"/>
    <w:rsid w:val="00C0453B"/>
    <w:rsid w:val="00C056A9"/>
    <w:rsid w:val="00C05CC5"/>
    <w:rsid w:val="00C05F95"/>
    <w:rsid w:val="00C06DB2"/>
    <w:rsid w:val="00C078E3"/>
    <w:rsid w:val="00C07CAA"/>
    <w:rsid w:val="00C104A8"/>
    <w:rsid w:val="00C1125A"/>
    <w:rsid w:val="00C119D2"/>
    <w:rsid w:val="00C12901"/>
    <w:rsid w:val="00C138EF"/>
    <w:rsid w:val="00C14B53"/>
    <w:rsid w:val="00C155BF"/>
    <w:rsid w:val="00C1587E"/>
    <w:rsid w:val="00C15BBD"/>
    <w:rsid w:val="00C164EA"/>
    <w:rsid w:val="00C201D7"/>
    <w:rsid w:val="00C206E4"/>
    <w:rsid w:val="00C220E0"/>
    <w:rsid w:val="00C231B5"/>
    <w:rsid w:val="00C25812"/>
    <w:rsid w:val="00C25BF0"/>
    <w:rsid w:val="00C25CEF"/>
    <w:rsid w:val="00C318A7"/>
    <w:rsid w:val="00C31EC4"/>
    <w:rsid w:val="00C3221C"/>
    <w:rsid w:val="00C32BC6"/>
    <w:rsid w:val="00C32DE9"/>
    <w:rsid w:val="00C32FD8"/>
    <w:rsid w:val="00C335FB"/>
    <w:rsid w:val="00C33E68"/>
    <w:rsid w:val="00C3473C"/>
    <w:rsid w:val="00C34798"/>
    <w:rsid w:val="00C34A7F"/>
    <w:rsid w:val="00C35873"/>
    <w:rsid w:val="00C3587A"/>
    <w:rsid w:val="00C362F9"/>
    <w:rsid w:val="00C3646C"/>
    <w:rsid w:val="00C3781C"/>
    <w:rsid w:val="00C40380"/>
    <w:rsid w:val="00C40726"/>
    <w:rsid w:val="00C41396"/>
    <w:rsid w:val="00C420AE"/>
    <w:rsid w:val="00C4254D"/>
    <w:rsid w:val="00C438BE"/>
    <w:rsid w:val="00C44001"/>
    <w:rsid w:val="00C446A3"/>
    <w:rsid w:val="00C44A19"/>
    <w:rsid w:val="00C44C83"/>
    <w:rsid w:val="00C44D42"/>
    <w:rsid w:val="00C453EE"/>
    <w:rsid w:val="00C46BF5"/>
    <w:rsid w:val="00C47D30"/>
    <w:rsid w:val="00C5087D"/>
    <w:rsid w:val="00C50E3F"/>
    <w:rsid w:val="00C5111A"/>
    <w:rsid w:val="00C5284E"/>
    <w:rsid w:val="00C52DDD"/>
    <w:rsid w:val="00C53128"/>
    <w:rsid w:val="00C5382A"/>
    <w:rsid w:val="00C53DE4"/>
    <w:rsid w:val="00C53F52"/>
    <w:rsid w:val="00C53FED"/>
    <w:rsid w:val="00C563D9"/>
    <w:rsid w:val="00C56511"/>
    <w:rsid w:val="00C5779B"/>
    <w:rsid w:val="00C6019F"/>
    <w:rsid w:val="00C605F7"/>
    <w:rsid w:val="00C6107D"/>
    <w:rsid w:val="00C612C5"/>
    <w:rsid w:val="00C623F6"/>
    <w:rsid w:val="00C62A68"/>
    <w:rsid w:val="00C645BB"/>
    <w:rsid w:val="00C64C19"/>
    <w:rsid w:val="00C66A03"/>
    <w:rsid w:val="00C66BC2"/>
    <w:rsid w:val="00C709FB"/>
    <w:rsid w:val="00C70D8E"/>
    <w:rsid w:val="00C70DCF"/>
    <w:rsid w:val="00C70E09"/>
    <w:rsid w:val="00C70EC5"/>
    <w:rsid w:val="00C71288"/>
    <w:rsid w:val="00C722D3"/>
    <w:rsid w:val="00C72A38"/>
    <w:rsid w:val="00C7310B"/>
    <w:rsid w:val="00C73E26"/>
    <w:rsid w:val="00C74795"/>
    <w:rsid w:val="00C74C72"/>
    <w:rsid w:val="00C7506C"/>
    <w:rsid w:val="00C756F6"/>
    <w:rsid w:val="00C76B93"/>
    <w:rsid w:val="00C76E94"/>
    <w:rsid w:val="00C772DD"/>
    <w:rsid w:val="00C7745F"/>
    <w:rsid w:val="00C77564"/>
    <w:rsid w:val="00C806CD"/>
    <w:rsid w:val="00C81472"/>
    <w:rsid w:val="00C82B67"/>
    <w:rsid w:val="00C830C5"/>
    <w:rsid w:val="00C83AF7"/>
    <w:rsid w:val="00C85696"/>
    <w:rsid w:val="00C875F0"/>
    <w:rsid w:val="00C8780F"/>
    <w:rsid w:val="00C87AC2"/>
    <w:rsid w:val="00C902A0"/>
    <w:rsid w:val="00C9047D"/>
    <w:rsid w:val="00C910E1"/>
    <w:rsid w:val="00C917F2"/>
    <w:rsid w:val="00C93BAA"/>
    <w:rsid w:val="00C93CE9"/>
    <w:rsid w:val="00C93E36"/>
    <w:rsid w:val="00C93EB3"/>
    <w:rsid w:val="00C94A62"/>
    <w:rsid w:val="00C94A8A"/>
    <w:rsid w:val="00C94BC9"/>
    <w:rsid w:val="00C956D3"/>
    <w:rsid w:val="00C95916"/>
    <w:rsid w:val="00C95B52"/>
    <w:rsid w:val="00C96EB1"/>
    <w:rsid w:val="00C97125"/>
    <w:rsid w:val="00C97843"/>
    <w:rsid w:val="00C97BB7"/>
    <w:rsid w:val="00CA0008"/>
    <w:rsid w:val="00CA0AAF"/>
    <w:rsid w:val="00CA1F0C"/>
    <w:rsid w:val="00CA24FC"/>
    <w:rsid w:val="00CA2CFF"/>
    <w:rsid w:val="00CA33F8"/>
    <w:rsid w:val="00CA3A96"/>
    <w:rsid w:val="00CA4A6D"/>
    <w:rsid w:val="00CA556C"/>
    <w:rsid w:val="00CA6F2D"/>
    <w:rsid w:val="00CB0F95"/>
    <w:rsid w:val="00CB104F"/>
    <w:rsid w:val="00CB1AAA"/>
    <w:rsid w:val="00CB4556"/>
    <w:rsid w:val="00CB581F"/>
    <w:rsid w:val="00CB79E0"/>
    <w:rsid w:val="00CB7B91"/>
    <w:rsid w:val="00CB7C30"/>
    <w:rsid w:val="00CC079E"/>
    <w:rsid w:val="00CC14C2"/>
    <w:rsid w:val="00CC1BE7"/>
    <w:rsid w:val="00CC1CF2"/>
    <w:rsid w:val="00CC3711"/>
    <w:rsid w:val="00CC5477"/>
    <w:rsid w:val="00CC5E56"/>
    <w:rsid w:val="00CC6967"/>
    <w:rsid w:val="00CC7006"/>
    <w:rsid w:val="00CC7AD7"/>
    <w:rsid w:val="00CD00CA"/>
    <w:rsid w:val="00CD0394"/>
    <w:rsid w:val="00CD0D4B"/>
    <w:rsid w:val="00CD10FF"/>
    <w:rsid w:val="00CD1104"/>
    <w:rsid w:val="00CD208F"/>
    <w:rsid w:val="00CD284B"/>
    <w:rsid w:val="00CD2C71"/>
    <w:rsid w:val="00CD2DFF"/>
    <w:rsid w:val="00CD301D"/>
    <w:rsid w:val="00CD46EB"/>
    <w:rsid w:val="00CD6450"/>
    <w:rsid w:val="00CD7382"/>
    <w:rsid w:val="00CD787C"/>
    <w:rsid w:val="00CE01F5"/>
    <w:rsid w:val="00CE11D8"/>
    <w:rsid w:val="00CE1A81"/>
    <w:rsid w:val="00CE1ABB"/>
    <w:rsid w:val="00CE1C6F"/>
    <w:rsid w:val="00CE302E"/>
    <w:rsid w:val="00CE4254"/>
    <w:rsid w:val="00CE4FA0"/>
    <w:rsid w:val="00CE5114"/>
    <w:rsid w:val="00CE5B6E"/>
    <w:rsid w:val="00CE653A"/>
    <w:rsid w:val="00CE71C5"/>
    <w:rsid w:val="00CF0C60"/>
    <w:rsid w:val="00CF1CFE"/>
    <w:rsid w:val="00CF2A4E"/>
    <w:rsid w:val="00CF2DE6"/>
    <w:rsid w:val="00CF3995"/>
    <w:rsid w:val="00CF46A9"/>
    <w:rsid w:val="00CF5365"/>
    <w:rsid w:val="00CF57FA"/>
    <w:rsid w:val="00CF5BFD"/>
    <w:rsid w:val="00CF613A"/>
    <w:rsid w:val="00CF7640"/>
    <w:rsid w:val="00CF7ADE"/>
    <w:rsid w:val="00CF7D11"/>
    <w:rsid w:val="00D0037B"/>
    <w:rsid w:val="00D005BE"/>
    <w:rsid w:val="00D007DE"/>
    <w:rsid w:val="00D02280"/>
    <w:rsid w:val="00D027C5"/>
    <w:rsid w:val="00D03C2F"/>
    <w:rsid w:val="00D04B0A"/>
    <w:rsid w:val="00D04E3D"/>
    <w:rsid w:val="00D04EF9"/>
    <w:rsid w:val="00D06A63"/>
    <w:rsid w:val="00D06E8C"/>
    <w:rsid w:val="00D07081"/>
    <w:rsid w:val="00D11438"/>
    <w:rsid w:val="00D120BF"/>
    <w:rsid w:val="00D122F7"/>
    <w:rsid w:val="00D130F6"/>
    <w:rsid w:val="00D13E2F"/>
    <w:rsid w:val="00D14567"/>
    <w:rsid w:val="00D1523D"/>
    <w:rsid w:val="00D15544"/>
    <w:rsid w:val="00D15F4D"/>
    <w:rsid w:val="00D16101"/>
    <w:rsid w:val="00D166E9"/>
    <w:rsid w:val="00D17178"/>
    <w:rsid w:val="00D17DF7"/>
    <w:rsid w:val="00D200E8"/>
    <w:rsid w:val="00D201A7"/>
    <w:rsid w:val="00D2131F"/>
    <w:rsid w:val="00D2284B"/>
    <w:rsid w:val="00D23D36"/>
    <w:rsid w:val="00D242E0"/>
    <w:rsid w:val="00D24E6B"/>
    <w:rsid w:val="00D25273"/>
    <w:rsid w:val="00D25491"/>
    <w:rsid w:val="00D254A9"/>
    <w:rsid w:val="00D25561"/>
    <w:rsid w:val="00D25B62"/>
    <w:rsid w:val="00D25E78"/>
    <w:rsid w:val="00D303D2"/>
    <w:rsid w:val="00D305B7"/>
    <w:rsid w:val="00D30649"/>
    <w:rsid w:val="00D31C64"/>
    <w:rsid w:val="00D32581"/>
    <w:rsid w:val="00D326F6"/>
    <w:rsid w:val="00D32F75"/>
    <w:rsid w:val="00D336D6"/>
    <w:rsid w:val="00D34194"/>
    <w:rsid w:val="00D3432D"/>
    <w:rsid w:val="00D34B79"/>
    <w:rsid w:val="00D37366"/>
    <w:rsid w:val="00D375B0"/>
    <w:rsid w:val="00D377AC"/>
    <w:rsid w:val="00D37ACA"/>
    <w:rsid w:val="00D40B31"/>
    <w:rsid w:val="00D422C2"/>
    <w:rsid w:val="00D423BC"/>
    <w:rsid w:val="00D4301E"/>
    <w:rsid w:val="00D43D18"/>
    <w:rsid w:val="00D44266"/>
    <w:rsid w:val="00D44495"/>
    <w:rsid w:val="00D44E0C"/>
    <w:rsid w:val="00D4555F"/>
    <w:rsid w:val="00D457AE"/>
    <w:rsid w:val="00D47861"/>
    <w:rsid w:val="00D51B56"/>
    <w:rsid w:val="00D526E4"/>
    <w:rsid w:val="00D52ACB"/>
    <w:rsid w:val="00D532A8"/>
    <w:rsid w:val="00D53575"/>
    <w:rsid w:val="00D535A1"/>
    <w:rsid w:val="00D536DE"/>
    <w:rsid w:val="00D53CA6"/>
    <w:rsid w:val="00D543D8"/>
    <w:rsid w:val="00D54415"/>
    <w:rsid w:val="00D54E54"/>
    <w:rsid w:val="00D54FB6"/>
    <w:rsid w:val="00D55869"/>
    <w:rsid w:val="00D558CC"/>
    <w:rsid w:val="00D55C68"/>
    <w:rsid w:val="00D56370"/>
    <w:rsid w:val="00D5651C"/>
    <w:rsid w:val="00D56BC3"/>
    <w:rsid w:val="00D609D8"/>
    <w:rsid w:val="00D60ADA"/>
    <w:rsid w:val="00D60D8B"/>
    <w:rsid w:val="00D619F4"/>
    <w:rsid w:val="00D61EB4"/>
    <w:rsid w:val="00D620E4"/>
    <w:rsid w:val="00D6382F"/>
    <w:rsid w:val="00D643A2"/>
    <w:rsid w:val="00D64AAA"/>
    <w:rsid w:val="00D64E91"/>
    <w:rsid w:val="00D676EF"/>
    <w:rsid w:val="00D678E1"/>
    <w:rsid w:val="00D679B0"/>
    <w:rsid w:val="00D70403"/>
    <w:rsid w:val="00D704B5"/>
    <w:rsid w:val="00D71150"/>
    <w:rsid w:val="00D7276A"/>
    <w:rsid w:val="00D72BBA"/>
    <w:rsid w:val="00D72DA1"/>
    <w:rsid w:val="00D72F90"/>
    <w:rsid w:val="00D73905"/>
    <w:rsid w:val="00D73B84"/>
    <w:rsid w:val="00D73F26"/>
    <w:rsid w:val="00D7425D"/>
    <w:rsid w:val="00D7433B"/>
    <w:rsid w:val="00D748BF"/>
    <w:rsid w:val="00D75104"/>
    <w:rsid w:val="00D76E30"/>
    <w:rsid w:val="00D77C2F"/>
    <w:rsid w:val="00D8099B"/>
    <w:rsid w:val="00D80C47"/>
    <w:rsid w:val="00D80E68"/>
    <w:rsid w:val="00D82BAB"/>
    <w:rsid w:val="00D82FD5"/>
    <w:rsid w:val="00D83C10"/>
    <w:rsid w:val="00D844B7"/>
    <w:rsid w:val="00D861CF"/>
    <w:rsid w:val="00D879BD"/>
    <w:rsid w:val="00D9076B"/>
    <w:rsid w:val="00D90CB1"/>
    <w:rsid w:val="00D9128B"/>
    <w:rsid w:val="00D914C5"/>
    <w:rsid w:val="00D92CA5"/>
    <w:rsid w:val="00D92D7F"/>
    <w:rsid w:val="00D92F0F"/>
    <w:rsid w:val="00D93859"/>
    <w:rsid w:val="00D93CA6"/>
    <w:rsid w:val="00D942B6"/>
    <w:rsid w:val="00D94683"/>
    <w:rsid w:val="00D96B03"/>
    <w:rsid w:val="00D973E8"/>
    <w:rsid w:val="00DA00F8"/>
    <w:rsid w:val="00DA02D5"/>
    <w:rsid w:val="00DA02E2"/>
    <w:rsid w:val="00DA0515"/>
    <w:rsid w:val="00DA073E"/>
    <w:rsid w:val="00DA0F84"/>
    <w:rsid w:val="00DA1B45"/>
    <w:rsid w:val="00DA1E6A"/>
    <w:rsid w:val="00DA1F19"/>
    <w:rsid w:val="00DA3620"/>
    <w:rsid w:val="00DA5771"/>
    <w:rsid w:val="00DA5796"/>
    <w:rsid w:val="00DA6F1E"/>
    <w:rsid w:val="00DA6FC5"/>
    <w:rsid w:val="00DB05F2"/>
    <w:rsid w:val="00DB097C"/>
    <w:rsid w:val="00DB233A"/>
    <w:rsid w:val="00DB37EF"/>
    <w:rsid w:val="00DB4C91"/>
    <w:rsid w:val="00DB552F"/>
    <w:rsid w:val="00DB57A5"/>
    <w:rsid w:val="00DB715D"/>
    <w:rsid w:val="00DB7DB9"/>
    <w:rsid w:val="00DC028E"/>
    <w:rsid w:val="00DC3E59"/>
    <w:rsid w:val="00DC40E7"/>
    <w:rsid w:val="00DC6207"/>
    <w:rsid w:val="00DC6E3B"/>
    <w:rsid w:val="00DD0DD9"/>
    <w:rsid w:val="00DD1281"/>
    <w:rsid w:val="00DD3985"/>
    <w:rsid w:val="00DD3F3F"/>
    <w:rsid w:val="00DD428B"/>
    <w:rsid w:val="00DD433A"/>
    <w:rsid w:val="00DD544D"/>
    <w:rsid w:val="00DD54BC"/>
    <w:rsid w:val="00DD6EEB"/>
    <w:rsid w:val="00DD7124"/>
    <w:rsid w:val="00DD7416"/>
    <w:rsid w:val="00DD7DB4"/>
    <w:rsid w:val="00DD7EC7"/>
    <w:rsid w:val="00DE12B6"/>
    <w:rsid w:val="00DE1C0B"/>
    <w:rsid w:val="00DE32AD"/>
    <w:rsid w:val="00DE352B"/>
    <w:rsid w:val="00DE372F"/>
    <w:rsid w:val="00DE3E6A"/>
    <w:rsid w:val="00DE4A43"/>
    <w:rsid w:val="00DE4D6C"/>
    <w:rsid w:val="00DE4F61"/>
    <w:rsid w:val="00DE5A5E"/>
    <w:rsid w:val="00DE63EF"/>
    <w:rsid w:val="00DE7DE9"/>
    <w:rsid w:val="00DF0128"/>
    <w:rsid w:val="00DF0BB8"/>
    <w:rsid w:val="00DF214F"/>
    <w:rsid w:val="00DF348A"/>
    <w:rsid w:val="00DF4555"/>
    <w:rsid w:val="00DF4914"/>
    <w:rsid w:val="00DF4B4C"/>
    <w:rsid w:val="00E001E7"/>
    <w:rsid w:val="00E00233"/>
    <w:rsid w:val="00E02880"/>
    <w:rsid w:val="00E02CB4"/>
    <w:rsid w:val="00E033B2"/>
    <w:rsid w:val="00E0371F"/>
    <w:rsid w:val="00E03CDB"/>
    <w:rsid w:val="00E03EF5"/>
    <w:rsid w:val="00E048C8"/>
    <w:rsid w:val="00E04BA5"/>
    <w:rsid w:val="00E051D7"/>
    <w:rsid w:val="00E06581"/>
    <w:rsid w:val="00E06C0B"/>
    <w:rsid w:val="00E07653"/>
    <w:rsid w:val="00E10608"/>
    <w:rsid w:val="00E12171"/>
    <w:rsid w:val="00E12663"/>
    <w:rsid w:val="00E12677"/>
    <w:rsid w:val="00E12A16"/>
    <w:rsid w:val="00E130A8"/>
    <w:rsid w:val="00E13703"/>
    <w:rsid w:val="00E13C09"/>
    <w:rsid w:val="00E1432C"/>
    <w:rsid w:val="00E14941"/>
    <w:rsid w:val="00E14B7E"/>
    <w:rsid w:val="00E150E9"/>
    <w:rsid w:val="00E154DA"/>
    <w:rsid w:val="00E15E93"/>
    <w:rsid w:val="00E16789"/>
    <w:rsid w:val="00E16FAB"/>
    <w:rsid w:val="00E1752B"/>
    <w:rsid w:val="00E17804"/>
    <w:rsid w:val="00E200D2"/>
    <w:rsid w:val="00E208A1"/>
    <w:rsid w:val="00E20A9B"/>
    <w:rsid w:val="00E20ACD"/>
    <w:rsid w:val="00E20F81"/>
    <w:rsid w:val="00E21085"/>
    <w:rsid w:val="00E2163D"/>
    <w:rsid w:val="00E21728"/>
    <w:rsid w:val="00E21FED"/>
    <w:rsid w:val="00E22393"/>
    <w:rsid w:val="00E225EE"/>
    <w:rsid w:val="00E22A95"/>
    <w:rsid w:val="00E22C00"/>
    <w:rsid w:val="00E23B17"/>
    <w:rsid w:val="00E23CD1"/>
    <w:rsid w:val="00E24CD8"/>
    <w:rsid w:val="00E26118"/>
    <w:rsid w:val="00E26133"/>
    <w:rsid w:val="00E263BD"/>
    <w:rsid w:val="00E26E16"/>
    <w:rsid w:val="00E26E5E"/>
    <w:rsid w:val="00E2709A"/>
    <w:rsid w:val="00E273EE"/>
    <w:rsid w:val="00E277EF"/>
    <w:rsid w:val="00E30232"/>
    <w:rsid w:val="00E3102C"/>
    <w:rsid w:val="00E316B5"/>
    <w:rsid w:val="00E31928"/>
    <w:rsid w:val="00E32456"/>
    <w:rsid w:val="00E3268E"/>
    <w:rsid w:val="00E3301B"/>
    <w:rsid w:val="00E3378E"/>
    <w:rsid w:val="00E33848"/>
    <w:rsid w:val="00E33D44"/>
    <w:rsid w:val="00E3400D"/>
    <w:rsid w:val="00E3406D"/>
    <w:rsid w:val="00E347A1"/>
    <w:rsid w:val="00E348D8"/>
    <w:rsid w:val="00E34BC2"/>
    <w:rsid w:val="00E34E68"/>
    <w:rsid w:val="00E35D4B"/>
    <w:rsid w:val="00E36248"/>
    <w:rsid w:val="00E37B5E"/>
    <w:rsid w:val="00E400D4"/>
    <w:rsid w:val="00E40834"/>
    <w:rsid w:val="00E41326"/>
    <w:rsid w:val="00E429C5"/>
    <w:rsid w:val="00E4318C"/>
    <w:rsid w:val="00E44DEE"/>
    <w:rsid w:val="00E45317"/>
    <w:rsid w:val="00E457A0"/>
    <w:rsid w:val="00E463E7"/>
    <w:rsid w:val="00E4660D"/>
    <w:rsid w:val="00E5057D"/>
    <w:rsid w:val="00E50E9F"/>
    <w:rsid w:val="00E51ACD"/>
    <w:rsid w:val="00E52119"/>
    <w:rsid w:val="00E5239B"/>
    <w:rsid w:val="00E5239E"/>
    <w:rsid w:val="00E52413"/>
    <w:rsid w:val="00E52A63"/>
    <w:rsid w:val="00E53869"/>
    <w:rsid w:val="00E54B07"/>
    <w:rsid w:val="00E562CE"/>
    <w:rsid w:val="00E57011"/>
    <w:rsid w:val="00E579D1"/>
    <w:rsid w:val="00E57DBF"/>
    <w:rsid w:val="00E60BD9"/>
    <w:rsid w:val="00E6172B"/>
    <w:rsid w:val="00E6462F"/>
    <w:rsid w:val="00E650C4"/>
    <w:rsid w:val="00E66650"/>
    <w:rsid w:val="00E70A31"/>
    <w:rsid w:val="00E70AC8"/>
    <w:rsid w:val="00E71295"/>
    <w:rsid w:val="00E731EC"/>
    <w:rsid w:val="00E73BF1"/>
    <w:rsid w:val="00E76D42"/>
    <w:rsid w:val="00E76FEC"/>
    <w:rsid w:val="00E770DC"/>
    <w:rsid w:val="00E77421"/>
    <w:rsid w:val="00E7770B"/>
    <w:rsid w:val="00E778AB"/>
    <w:rsid w:val="00E80020"/>
    <w:rsid w:val="00E819FF"/>
    <w:rsid w:val="00E83455"/>
    <w:rsid w:val="00E83E7D"/>
    <w:rsid w:val="00E85AE8"/>
    <w:rsid w:val="00E86784"/>
    <w:rsid w:val="00E86B75"/>
    <w:rsid w:val="00E875AB"/>
    <w:rsid w:val="00E87F2A"/>
    <w:rsid w:val="00E87FE6"/>
    <w:rsid w:val="00E916BC"/>
    <w:rsid w:val="00E92693"/>
    <w:rsid w:val="00E93C0C"/>
    <w:rsid w:val="00E943F9"/>
    <w:rsid w:val="00E946A2"/>
    <w:rsid w:val="00E94B17"/>
    <w:rsid w:val="00E955B9"/>
    <w:rsid w:val="00E9638C"/>
    <w:rsid w:val="00E96C11"/>
    <w:rsid w:val="00E96D23"/>
    <w:rsid w:val="00E9736D"/>
    <w:rsid w:val="00E97C48"/>
    <w:rsid w:val="00EA0632"/>
    <w:rsid w:val="00EA0F2F"/>
    <w:rsid w:val="00EA1DAC"/>
    <w:rsid w:val="00EA2339"/>
    <w:rsid w:val="00EA25FD"/>
    <w:rsid w:val="00EA396B"/>
    <w:rsid w:val="00EA4417"/>
    <w:rsid w:val="00EA4556"/>
    <w:rsid w:val="00EA4D56"/>
    <w:rsid w:val="00EA550C"/>
    <w:rsid w:val="00EA57E0"/>
    <w:rsid w:val="00EA724B"/>
    <w:rsid w:val="00EA7673"/>
    <w:rsid w:val="00EA77EE"/>
    <w:rsid w:val="00EB0867"/>
    <w:rsid w:val="00EB0B61"/>
    <w:rsid w:val="00EB1C20"/>
    <w:rsid w:val="00EB1D0B"/>
    <w:rsid w:val="00EB1FDC"/>
    <w:rsid w:val="00EB2AE9"/>
    <w:rsid w:val="00EB36B5"/>
    <w:rsid w:val="00EB36C0"/>
    <w:rsid w:val="00EB425C"/>
    <w:rsid w:val="00EB42CF"/>
    <w:rsid w:val="00EB47BC"/>
    <w:rsid w:val="00EB4913"/>
    <w:rsid w:val="00EB5188"/>
    <w:rsid w:val="00EB54A9"/>
    <w:rsid w:val="00EB6462"/>
    <w:rsid w:val="00EB6C36"/>
    <w:rsid w:val="00EC03CA"/>
    <w:rsid w:val="00EC04DD"/>
    <w:rsid w:val="00EC078C"/>
    <w:rsid w:val="00EC0F69"/>
    <w:rsid w:val="00EC2661"/>
    <w:rsid w:val="00EC470F"/>
    <w:rsid w:val="00EC47E4"/>
    <w:rsid w:val="00EC4835"/>
    <w:rsid w:val="00EC580F"/>
    <w:rsid w:val="00EC596F"/>
    <w:rsid w:val="00EC5A94"/>
    <w:rsid w:val="00EC5AF8"/>
    <w:rsid w:val="00EC5B75"/>
    <w:rsid w:val="00EC5E8E"/>
    <w:rsid w:val="00EC6887"/>
    <w:rsid w:val="00EC6E53"/>
    <w:rsid w:val="00EC70F2"/>
    <w:rsid w:val="00EC7460"/>
    <w:rsid w:val="00EC7FC9"/>
    <w:rsid w:val="00ED03F0"/>
    <w:rsid w:val="00ED0C13"/>
    <w:rsid w:val="00ED1185"/>
    <w:rsid w:val="00ED169F"/>
    <w:rsid w:val="00ED2010"/>
    <w:rsid w:val="00ED38AA"/>
    <w:rsid w:val="00ED432E"/>
    <w:rsid w:val="00ED4614"/>
    <w:rsid w:val="00ED68D4"/>
    <w:rsid w:val="00ED6CDE"/>
    <w:rsid w:val="00ED6E0E"/>
    <w:rsid w:val="00ED7189"/>
    <w:rsid w:val="00ED7900"/>
    <w:rsid w:val="00ED7F23"/>
    <w:rsid w:val="00EE010C"/>
    <w:rsid w:val="00EE0699"/>
    <w:rsid w:val="00EE26DB"/>
    <w:rsid w:val="00EE29AE"/>
    <w:rsid w:val="00EE328E"/>
    <w:rsid w:val="00EE48B2"/>
    <w:rsid w:val="00EE48D2"/>
    <w:rsid w:val="00EE4AE6"/>
    <w:rsid w:val="00EE58AD"/>
    <w:rsid w:val="00EE5E6F"/>
    <w:rsid w:val="00EE7112"/>
    <w:rsid w:val="00EE7510"/>
    <w:rsid w:val="00EE777C"/>
    <w:rsid w:val="00EF0244"/>
    <w:rsid w:val="00EF04BE"/>
    <w:rsid w:val="00EF172C"/>
    <w:rsid w:val="00EF2A90"/>
    <w:rsid w:val="00EF2B9D"/>
    <w:rsid w:val="00EF38B4"/>
    <w:rsid w:val="00EF4BBD"/>
    <w:rsid w:val="00EF4D3E"/>
    <w:rsid w:val="00EF4F15"/>
    <w:rsid w:val="00EF6760"/>
    <w:rsid w:val="00EF7777"/>
    <w:rsid w:val="00F00762"/>
    <w:rsid w:val="00F010B3"/>
    <w:rsid w:val="00F016F5"/>
    <w:rsid w:val="00F01EDB"/>
    <w:rsid w:val="00F0334C"/>
    <w:rsid w:val="00F035D0"/>
    <w:rsid w:val="00F038DF"/>
    <w:rsid w:val="00F041F5"/>
    <w:rsid w:val="00F05E26"/>
    <w:rsid w:val="00F110A9"/>
    <w:rsid w:val="00F111D1"/>
    <w:rsid w:val="00F11B56"/>
    <w:rsid w:val="00F12684"/>
    <w:rsid w:val="00F13709"/>
    <w:rsid w:val="00F141BC"/>
    <w:rsid w:val="00F14AFC"/>
    <w:rsid w:val="00F1700B"/>
    <w:rsid w:val="00F17588"/>
    <w:rsid w:val="00F176EA"/>
    <w:rsid w:val="00F1789F"/>
    <w:rsid w:val="00F200D3"/>
    <w:rsid w:val="00F20B17"/>
    <w:rsid w:val="00F21273"/>
    <w:rsid w:val="00F2184E"/>
    <w:rsid w:val="00F2202D"/>
    <w:rsid w:val="00F232D8"/>
    <w:rsid w:val="00F23CB0"/>
    <w:rsid w:val="00F247BC"/>
    <w:rsid w:val="00F24EB5"/>
    <w:rsid w:val="00F271BA"/>
    <w:rsid w:val="00F276DB"/>
    <w:rsid w:val="00F27709"/>
    <w:rsid w:val="00F27E4C"/>
    <w:rsid w:val="00F30610"/>
    <w:rsid w:val="00F3073F"/>
    <w:rsid w:val="00F3129F"/>
    <w:rsid w:val="00F3204B"/>
    <w:rsid w:val="00F3226B"/>
    <w:rsid w:val="00F325BF"/>
    <w:rsid w:val="00F32A35"/>
    <w:rsid w:val="00F32B83"/>
    <w:rsid w:val="00F343B9"/>
    <w:rsid w:val="00F34854"/>
    <w:rsid w:val="00F3590D"/>
    <w:rsid w:val="00F362C6"/>
    <w:rsid w:val="00F363F8"/>
    <w:rsid w:val="00F405FF"/>
    <w:rsid w:val="00F40AAB"/>
    <w:rsid w:val="00F40DCC"/>
    <w:rsid w:val="00F420AD"/>
    <w:rsid w:val="00F4248A"/>
    <w:rsid w:val="00F42934"/>
    <w:rsid w:val="00F42BCD"/>
    <w:rsid w:val="00F43D41"/>
    <w:rsid w:val="00F44906"/>
    <w:rsid w:val="00F455DE"/>
    <w:rsid w:val="00F457BA"/>
    <w:rsid w:val="00F45E92"/>
    <w:rsid w:val="00F4623A"/>
    <w:rsid w:val="00F4651D"/>
    <w:rsid w:val="00F4787F"/>
    <w:rsid w:val="00F47BC8"/>
    <w:rsid w:val="00F47F9C"/>
    <w:rsid w:val="00F51CCC"/>
    <w:rsid w:val="00F51E1F"/>
    <w:rsid w:val="00F52072"/>
    <w:rsid w:val="00F521D7"/>
    <w:rsid w:val="00F522DA"/>
    <w:rsid w:val="00F53257"/>
    <w:rsid w:val="00F53E72"/>
    <w:rsid w:val="00F54FC5"/>
    <w:rsid w:val="00F55073"/>
    <w:rsid w:val="00F5525E"/>
    <w:rsid w:val="00F5633B"/>
    <w:rsid w:val="00F56AF7"/>
    <w:rsid w:val="00F56C11"/>
    <w:rsid w:val="00F56EA6"/>
    <w:rsid w:val="00F57654"/>
    <w:rsid w:val="00F57A63"/>
    <w:rsid w:val="00F57CAA"/>
    <w:rsid w:val="00F60393"/>
    <w:rsid w:val="00F60763"/>
    <w:rsid w:val="00F60D84"/>
    <w:rsid w:val="00F61329"/>
    <w:rsid w:val="00F6210A"/>
    <w:rsid w:val="00F62510"/>
    <w:rsid w:val="00F638D7"/>
    <w:rsid w:val="00F64152"/>
    <w:rsid w:val="00F64671"/>
    <w:rsid w:val="00F64863"/>
    <w:rsid w:val="00F6569F"/>
    <w:rsid w:val="00F663DD"/>
    <w:rsid w:val="00F66BDC"/>
    <w:rsid w:val="00F67ABA"/>
    <w:rsid w:val="00F67C08"/>
    <w:rsid w:val="00F70429"/>
    <w:rsid w:val="00F7167C"/>
    <w:rsid w:val="00F716A2"/>
    <w:rsid w:val="00F71B5A"/>
    <w:rsid w:val="00F7211A"/>
    <w:rsid w:val="00F72412"/>
    <w:rsid w:val="00F74999"/>
    <w:rsid w:val="00F74C07"/>
    <w:rsid w:val="00F75BA0"/>
    <w:rsid w:val="00F75E26"/>
    <w:rsid w:val="00F766E3"/>
    <w:rsid w:val="00F77EB9"/>
    <w:rsid w:val="00F80149"/>
    <w:rsid w:val="00F80C21"/>
    <w:rsid w:val="00F80E08"/>
    <w:rsid w:val="00F813AC"/>
    <w:rsid w:val="00F81EAF"/>
    <w:rsid w:val="00F82A8E"/>
    <w:rsid w:val="00F842F9"/>
    <w:rsid w:val="00F84300"/>
    <w:rsid w:val="00F846BC"/>
    <w:rsid w:val="00F84FB2"/>
    <w:rsid w:val="00F85630"/>
    <w:rsid w:val="00F85D6E"/>
    <w:rsid w:val="00F8679E"/>
    <w:rsid w:val="00F87225"/>
    <w:rsid w:val="00F91381"/>
    <w:rsid w:val="00F92D43"/>
    <w:rsid w:val="00F945F7"/>
    <w:rsid w:val="00F951F2"/>
    <w:rsid w:val="00F9580E"/>
    <w:rsid w:val="00F95FC6"/>
    <w:rsid w:val="00F966B9"/>
    <w:rsid w:val="00F9680D"/>
    <w:rsid w:val="00F96B41"/>
    <w:rsid w:val="00F9704C"/>
    <w:rsid w:val="00F9770B"/>
    <w:rsid w:val="00FA0D1F"/>
    <w:rsid w:val="00FA1491"/>
    <w:rsid w:val="00FA17BB"/>
    <w:rsid w:val="00FA17D0"/>
    <w:rsid w:val="00FA23CC"/>
    <w:rsid w:val="00FA3935"/>
    <w:rsid w:val="00FA5365"/>
    <w:rsid w:val="00FA53E9"/>
    <w:rsid w:val="00FA6E57"/>
    <w:rsid w:val="00FA72AA"/>
    <w:rsid w:val="00FA7D34"/>
    <w:rsid w:val="00FB0A3C"/>
    <w:rsid w:val="00FB3004"/>
    <w:rsid w:val="00FB3BBB"/>
    <w:rsid w:val="00FB3C13"/>
    <w:rsid w:val="00FB437F"/>
    <w:rsid w:val="00FB5A86"/>
    <w:rsid w:val="00FB5E6C"/>
    <w:rsid w:val="00FB6B23"/>
    <w:rsid w:val="00FB6EE8"/>
    <w:rsid w:val="00FC1BCE"/>
    <w:rsid w:val="00FC36BA"/>
    <w:rsid w:val="00FC3DD5"/>
    <w:rsid w:val="00FC47A6"/>
    <w:rsid w:val="00FC4970"/>
    <w:rsid w:val="00FC59C9"/>
    <w:rsid w:val="00FC636B"/>
    <w:rsid w:val="00FC6C6E"/>
    <w:rsid w:val="00FC71E4"/>
    <w:rsid w:val="00FC768F"/>
    <w:rsid w:val="00FD00F6"/>
    <w:rsid w:val="00FD2331"/>
    <w:rsid w:val="00FD24FA"/>
    <w:rsid w:val="00FD471F"/>
    <w:rsid w:val="00FD4764"/>
    <w:rsid w:val="00FD4CF1"/>
    <w:rsid w:val="00FD667E"/>
    <w:rsid w:val="00FE02D7"/>
    <w:rsid w:val="00FE332D"/>
    <w:rsid w:val="00FE3595"/>
    <w:rsid w:val="00FE376E"/>
    <w:rsid w:val="00FE4473"/>
    <w:rsid w:val="00FE45DC"/>
    <w:rsid w:val="00FE45E9"/>
    <w:rsid w:val="00FE47D1"/>
    <w:rsid w:val="00FE4A66"/>
    <w:rsid w:val="00FE4D65"/>
    <w:rsid w:val="00FE6710"/>
    <w:rsid w:val="00FE6AF9"/>
    <w:rsid w:val="00FE6B62"/>
    <w:rsid w:val="00FE6B7A"/>
    <w:rsid w:val="00FE6C19"/>
    <w:rsid w:val="00FE73A0"/>
    <w:rsid w:val="00FE7782"/>
    <w:rsid w:val="00FF013D"/>
    <w:rsid w:val="00FF05FE"/>
    <w:rsid w:val="00FF0C89"/>
    <w:rsid w:val="00FF12CE"/>
    <w:rsid w:val="00FF162F"/>
    <w:rsid w:val="00FF2641"/>
    <w:rsid w:val="00FF30A1"/>
    <w:rsid w:val="00FF326D"/>
    <w:rsid w:val="00FF33FC"/>
    <w:rsid w:val="00FF37E5"/>
    <w:rsid w:val="00FF381D"/>
    <w:rsid w:val="00FF4353"/>
    <w:rsid w:val="00FF496E"/>
    <w:rsid w:val="00FF5A4B"/>
    <w:rsid w:val="00FF61E6"/>
    <w:rsid w:val="00FF6478"/>
    <w:rsid w:val="00FF66C4"/>
    <w:rsid w:val="00FF6BEF"/>
    <w:rsid w:val="00FF7752"/>
    <w:rsid w:val="00FF78E7"/>
    <w:rsid w:val="00FF7A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45218"/>
  <w15:chartTrackingRefBased/>
  <w15:docId w15:val="{D60330FC-8AEC-4448-89E5-CCC15F55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650"/>
    <w:pPr>
      <w:spacing w:after="0" w:line="240" w:lineRule="auto"/>
      <w:jc w:val="both"/>
    </w:pPr>
    <w:rPr>
      <w:rFonts w:ascii="Arial" w:eastAsia="Times New Roman" w:hAnsi="Arial" w:cs="Times New Roman"/>
      <w:kern w:val="0"/>
      <w:sz w:val="24"/>
      <w:szCs w:val="24"/>
      <w:lang w:val="en-GB"/>
      <w14:ligatures w14:val="none"/>
    </w:rPr>
  </w:style>
  <w:style w:type="paragraph" w:styleId="Heading1">
    <w:name w:val="heading 1"/>
    <w:basedOn w:val="Normal"/>
    <w:next w:val="Normal"/>
    <w:link w:val="Heading1Char"/>
    <w:uiPriority w:val="9"/>
    <w:qFormat/>
    <w:rsid w:val="009844D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F4C"/>
    <w:pPr>
      <w:ind w:left="720"/>
      <w:contextualSpacing/>
    </w:pPr>
  </w:style>
  <w:style w:type="paragraph" w:styleId="FootnoteText">
    <w:name w:val="footnote text"/>
    <w:basedOn w:val="Normal"/>
    <w:link w:val="FootnoteTextChar"/>
    <w:autoRedefine/>
    <w:uiPriority w:val="99"/>
    <w:unhideWhenUsed/>
    <w:qFormat/>
    <w:rsid w:val="00F54FC5"/>
    <w:pPr>
      <w:tabs>
        <w:tab w:val="left" w:pos="426"/>
      </w:tabs>
      <w:spacing w:before="60" w:after="60"/>
      <w:ind w:left="426" w:right="425" w:hanging="426"/>
    </w:pPr>
    <w:rPr>
      <w:sz w:val="20"/>
      <w:szCs w:val="20"/>
    </w:rPr>
  </w:style>
  <w:style w:type="character" w:customStyle="1" w:styleId="FootnoteTextChar">
    <w:name w:val="Footnote Text Char"/>
    <w:basedOn w:val="DefaultParagraphFont"/>
    <w:link w:val="FootnoteText"/>
    <w:uiPriority w:val="99"/>
    <w:rsid w:val="00F54FC5"/>
    <w:rPr>
      <w:rFonts w:ascii="Arial" w:eastAsia="Times New Roman" w:hAnsi="Arial" w:cs="Times New Roman"/>
      <w:kern w:val="0"/>
      <w:sz w:val="20"/>
      <w:szCs w:val="20"/>
      <w:lang w:val="en-GB"/>
      <w14:ligatures w14:val="none"/>
    </w:rPr>
  </w:style>
  <w:style w:type="character" w:styleId="FootnoteReference">
    <w:name w:val="footnote reference"/>
    <w:basedOn w:val="DefaultParagraphFont"/>
    <w:uiPriority w:val="99"/>
    <w:unhideWhenUsed/>
    <w:rsid w:val="000039E8"/>
    <w:rPr>
      <w:vertAlign w:val="superscript"/>
    </w:rPr>
  </w:style>
  <w:style w:type="paragraph" w:customStyle="1" w:styleId="Style1">
    <w:name w:val="Style1"/>
    <w:basedOn w:val="FootnoteText"/>
    <w:autoRedefine/>
    <w:qFormat/>
    <w:rsid w:val="009723FE"/>
  </w:style>
  <w:style w:type="character" w:styleId="Hyperlink">
    <w:name w:val="Hyperlink"/>
    <w:basedOn w:val="DefaultParagraphFont"/>
    <w:uiPriority w:val="99"/>
    <w:unhideWhenUsed/>
    <w:rsid w:val="005434FD"/>
    <w:rPr>
      <w:color w:val="0563C1" w:themeColor="hyperlink"/>
      <w:u w:val="single"/>
    </w:rPr>
  </w:style>
  <w:style w:type="character" w:customStyle="1" w:styleId="UnresolvedMention">
    <w:name w:val="Unresolved Mention"/>
    <w:basedOn w:val="DefaultParagraphFont"/>
    <w:uiPriority w:val="99"/>
    <w:semiHidden/>
    <w:unhideWhenUsed/>
    <w:rsid w:val="005434FD"/>
    <w:rPr>
      <w:color w:val="605E5C"/>
      <w:shd w:val="clear" w:color="auto" w:fill="E1DFDD"/>
    </w:rPr>
  </w:style>
  <w:style w:type="paragraph" w:styleId="Header">
    <w:name w:val="header"/>
    <w:basedOn w:val="Normal"/>
    <w:link w:val="HeaderChar"/>
    <w:uiPriority w:val="99"/>
    <w:unhideWhenUsed/>
    <w:rsid w:val="000935A7"/>
    <w:pPr>
      <w:tabs>
        <w:tab w:val="center" w:pos="4513"/>
        <w:tab w:val="right" w:pos="9026"/>
      </w:tabs>
    </w:pPr>
  </w:style>
  <w:style w:type="character" w:customStyle="1" w:styleId="HeaderChar">
    <w:name w:val="Header Char"/>
    <w:basedOn w:val="DefaultParagraphFont"/>
    <w:link w:val="Header"/>
    <w:uiPriority w:val="99"/>
    <w:rsid w:val="000935A7"/>
    <w:rPr>
      <w:rFonts w:ascii="Arial" w:eastAsia="Times New Roman" w:hAnsi="Arial" w:cs="Times New Roman"/>
      <w:kern w:val="0"/>
      <w:sz w:val="24"/>
      <w:szCs w:val="24"/>
      <w:lang w:val="en-GB"/>
      <w14:ligatures w14:val="none"/>
    </w:rPr>
  </w:style>
  <w:style w:type="paragraph" w:styleId="Footer">
    <w:name w:val="footer"/>
    <w:basedOn w:val="Normal"/>
    <w:link w:val="FooterChar"/>
    <w:uiPriority w:val="99"/>
    <w:unhideWhenUsed/>
    <w:rsid w:val="000935A7"/>
    <w:pPr>
      <w:tabs>
        <w:tab w:val="center" w:pos="4513"/>
        <w:tab w:val="right" w:pos="9026"/>
      </w:tabs>
    </w:pPr>
  </w:style>
  <w:style w:type="character" w:customStyle="1" w:styleId="FooterChar">
    <w:name w:val="Footer Char"/>
    <w:basedOn w:val="DefaultParagraphFont"/>
    <w:link w:val="Footer"/>
    <w:uiPriority w:val="99"/>
    <w:rsid w:val="000935A7"/>
    <w:rPr>
      <w:rFonts w:ascii="Arial" w:eastAsia="Times New Roman" w:hAnsi="Arial" w:cs="Times New Roman"/>
      <w:kern w:val="0"/>
      <w:sz w:val="24"/>
      <w:szCs w:val="24"/>
      <w:lang w:val="en-GB"/>
      <w14:ligatures w14:val="none"/>
    </w:rPr>
  </w:style>
  <w:style w:type="character" w:customStyle="1" w:styleId="Heading1Char">
    <w:name w:val="Heading 1 Char"/>
    <w:basedOn w:val="DefaultParagraphFont"/>
    <w:link w:val="Heading1"/>
    <w:uiPriority w:val="9"/>
    <w:rsid w:val="009844D1"/>
    <w:rPr>
      <w:rFonts w:asciiTheme="majorHAnsi" w:eastAsiaTheme="majorEastAsia" w:hAnsiTheme="majorHAnsi" w:cstheme="majorBidi"/>
      <w:color w:val="2F5496" w:themeColor="accent1" w:themeShade="BF"/>
      <w:kern w:val="0"/>
      <w:sz w:val="32"/>
      <w:szCs w:val="32"/>
      <w:lang w:val="en-GB"/>
      <w14:ligatures w14:val="none"/>
    </w:rPr>
  </w:style>
  <w:style w:type="paragraph" w:styleId="TOCHeading">
    <w:name w:val="TOC Heading"/>
    <w:basedOn w:val="Heading1"/>
    <w:next w:val="Normal"/>
    <w:uiPriority w:val="39"/>
    <w:unhideWhenUsed/>
    <w:qFormat/>
    <w:rsid w:val="009844D1"/>
    <w:pPr>
      <w:spacing w:line="259" w:lineRule="auto"/>
      <w:jc w:val="left"/>
      <w:outlineLvl w:val="9"/>
    </w:pPr>
    <w:rPr>
      <w:lang w:val="en-ZA" w:eastAsia="en-ZA"/>
    </w:rPr>
  </w:style>
  <w:style w:type="paragraph" w:styleId="TOC2">
    <w:name w:val="toc 2"/>
    <w:basedOn w:val="Normal"/>
    <w:next w:val="Normal"/>
    <w:autoRedefine/>
    <w:uiPriority w:val="39"/>
    <w:unhideWhenUsed/>
    <w:rsid w:val="009844D1"/>
    <w:pPr>
      <w:spacing w:after="100" w:line="259" w:lineRule="auto"/>
      <w:ind w:left="220"/>
      <w:jc w:val="left"/>
    </w:pPr>
    <w:rPr>
      <w:rFonts w:asciiTheme="minorHAnsi" w:eastAsiaTheme="minorEastAsia" w:hAnsiTheme="minorHAnsi"/>
      <w:sz w:val="22"/>
      <w:szCs w:val="22"/>
      <w:lang w:val="en-ZA" w:eastAsia="en-ZA"/>
    </w:rPr>
  </w:style>
  <w:style w:type="paragraph" w:styleId="TOC1">
    <w:name w:val="toc 1"/>
    <w:basedOn w:val="Normal"/>
    <w:next w:val="Normal"/>
    <w:autoRedefine/>
    <w:uiPriority w:val="39"/>
    <w:unhideWhenUsed/>
    <w:rsid w:val="009844D1"/>
    <w:pPr>
      <w:spacing w:after="100" w:line="259" w:lineRule="auto"/>
      <w:jc w:val="left"/>
    </w:pPr>
    <w:rPr>
      <w:rFonts w:asciiTheme="minorHAnsi" w:eastAsiaTheme="minorEastAsia" w:hAnsiTheme="minorHAnsi"/>
      <w:sz w:val="22"/>
      <w:szCs w:val="22"/>
      <w:lang w:val="en-ZA" w:eastAsia="en-ZA"/>
    </w:rPr>
  </w:style>
  <w:style w:type="paragraph" w:styleId="TOC3">
    <w:name w:val="toc 3"/>
    <w:basedOn w:val="Normal"/>
    <w:next w:val="Normal"/>
    <w:autoRedefine/>
    <w:uiPriority w:val="39"/>
    <w:unhideWhenUsed/>
    <w:rsid w:val="009844D1"/>
    <w:pPr>
      <w:spacing w:after="100" w:line="259" w:lineRule="auto"/>
      <w:ind w:left="440"/>
      <w:jc w:val="left"/>
    </w:pPr>
    <w:rPr>
      <w:rFonts w:asciiTheme="minorHAnsi" w:eastAsiaTheme="minorEastAsia" w:hAnsiTheme="minorHAnsi"/>
      <w:sz w:val="22"/>
      <w:szCs w:val="22"/>
      <w:lang w:val="en-ZA" w:eastAsia="en-ZA"/>
    </w:rPr>
  </w:style>
  <w:style w:type="paragraph" w:customStyle="1" w:styleId="1">
    <w:name w:val="1"/>
    <w:basedOn w:val="Normal"/>
    <w:link w:val="1Char"/>
    <w:qFormat/>
    <w:rsid w:val="00C70D8E"/>
    <w:pPr>
      <w:numPr>
        <w:numId w:val="13"/>
      </w:numPr>
      <w:spacing w:before="240" w:line="480" w:lineRule="auto"/>
    </w:pPr>
    <w:rPr>
      <w:iCs/>
      <w:color w:val="000000"/>
      <w:szCs w:val="22"/>
    </w:rPr>
  </w:style>
  <w:style w:type="paragraph" w:customStyle="1" w:styleId="2">
    <w:name w:val="2"/>
    <w:basedOn w:val="1"/>
    <w:qFormat/>
    <w:rsid w:val="00C70D8E"/>
    <w:pPr>
      <w:numPr>
        <w:ilvl w:val="1"/>
      </w:numPr>
      <w:tabs>
        <w:tab w:val="clear" w:pos="1701"/>
        <w:tab w:val="num" w:pos="1184"/>
      </w:tabs>
      <w:ind w:left="1184" w:hanging="360"/>
    </w:pPr>
  </w:style>
  <w:style w:type="paragraph" w:customStyle="1" w:styleId="3">
    <w:name w:val="3"/>
    <w:basedOn w:val="2"/>
    <w:qFormat/>
    <w:rsid w:val="00C70D8E"/>
    <w:pPr>
      <w:numPr>
        <w:ilvl w:val="2"/>
      </w:numPr>
      <w:tabs>
        <w:tab w:val="clear" w:pos="2835"/>
        <w:tab w:val="num" w:pos="1904"/>
      </w:tabs>
      <w:ind w:left="1904" w:hanging="180"/>
    </w:pPr>
  </w:style>
  <w:style w:type="paragraph" w:customStyle="1" w:styleId="4">
    <w:name w:val="4"/>
    <w:basedOn w:val="2"/>
    <w:qFormat/>
    <w:rsid w:val="00C70D8E"/>
    <w:pPr>
      <w:numPr>
        <w:ilvl w:val="3"/>
      </w:numPr>
      <w:tabs>
        <w:tab w:val="clear" w:pos="2268"/>
        <w:tab w:val="num" w:pos="2624"/>
      </w:tabs>
      <w:ind w:left="2624" w:hanging="360"/>
    </w:pPr>
    <w:rPr>
      <w:iCs w:val="0"/>
    </w:rPr>
  </w:style>
  <w:style w:type="paragraph" w:customStyle="1" w:styleId="5">
    <w:name w:val="5"/>
    <w:basedOn w:val="4"/>
    <w:qFormat/>
    <w:rsid w:val="00C70D8E"/>
    <w:pPr>
      <w:numPr>
        <w:ilvl w:val="4"/>
      </w:numPr>
      <w:tabs>
        <w:tab w:val="clear" w:pos="5670"/>
        <w:tab w:val="num" w:pos="3344"/>
        <w:tab w:val="num" w:pos="3515"/>
      </w:tabs>
      <w:ind w:left="3515" w:hanging="453"/>
    </w:pPr>
    <w:rPr>
      <w:iCs/>
      <w:szCs w:val="16"/>
      <w:lang w:eastAsia="en-ZA"/>
    </w:rPr>
  </w:style>
  <w:style w:type="paragraph" w:styleId="BodyText">
    <w:name w:val="Body Text"/>
    <w:basedOn w:val="Normal"/>
    <w:link w:val="BodyTextChar"/>
    <w:unhideWhenUsed/>
    <w:rsid w:val="00C70D8E"/>
    <w:pPr>
      <w:spacing w:before="60" w:after="60"/>
      <w:jc w:val="left"/>
    </w:pPr>
    <w:rPr>
      <w:sz w:val="20"/>
      <w:szCs w:val="20"/>
    </w:rPr>
  </w:style>
  <w:style w:type="character" w:customStyle="1" w:styleId="BodyTextChar">
    <w:name w:val="Body Text Char"/>
    <w:basedOn w:val="DefaultParagraphFont"/>
    <w:link w:val="BodyText"/>
    <w:rsid w:val="00C70D8E"/>
    <w:rPr>
      <w:rFonts w:ascii="Arial" w:eastAsia="Times New Roman" w:hAnsi="Arial" w:cs="Times New Roman"/>
      <w:kern w:val="0"/>
      <w:sz w:val="20"/>
      <w:szCs w:val="20"/>
      <w:lang w:val="en-GB"/>
      <w14:ligatures w14:val="none"/>
    </w:rPr>
  </w:style>
  <w:style w:type="character" w:customStyle="1" w:styleId="1Char">
    <w:name w:val="1 Char"/>
    <w:link w:val="1"/>
    <w:rsid w:val="00C70D8E"/>
    <w:rPr>
      <w:rFonts w:ascii="Arial" w:eastAsia="Times New Roman" w:hAnsi="Arial" w:cs="Times New Roman"/>
      <w:iCs/>
      <w:color w:val="000000"/>
      <w:kern w:val="0"/>
      <w:sz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102A3.6AE5447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mylexisnexis.co.za/Library/IframeContent.aspx?dpath=zb/jilc/kilc/alrg/qqrg/rqrg/jqpi&amp;ismultiview=False&amp;caAu=" TargetMode="External"/><Relationship Id="rId2" Type="http://schemas.openxmlformats.org/officeDocument/2006/relationships/customXml" Target="../customXml/item2.xml"/><Relationship Id="rId16" Type="http://schemas.openxmlformats.org/officeDocument/2006/relationships/hyperlink" Target="https://www.mylexisnexis.co.za/Library/IframeContent.aspx?dpath=zb/jilc/kilc/alrg/qqrg/rqrg/jqpi&amp;ismultiview=False&amp;ca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ylexisnexis.co.za/Library/IframeContent.aspx?dpath=zb/jilc/kilc/alrg/qqrg/rqrg/jqpi&amp;ismultiview=False&amp;ca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ylexisnexis.co.za/Library/IframeContent.aspx?dpath=zb/jilc/kilc/alrg/qqrg/rqrg/jqpi&amp;ismultiview=False&amp;ca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802d2bf-d02a-4ab4-a7d4-a6d4a136618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5FB8BEBE2D8B449C30ED8F45B20702" ma:contentTypeVersion="18" ma:contentTypeDescription="Create a new document." ma:contentTypeScope="" ma:versionID="3d893c839074dde483324134dbb339be">
  <xsd:schema xmlns:xsd="http://www.w3.org/2001/XMLSchema" xmlns:xs="http://www.w3.org/2001/XMLSchema" xmlns:p="http://schemas.microsoft.com/office/2006/metadata/properties" xmlns:ns3="7802d2bf-d02a-4ab4-a7d4-a6d4a136618c" xmlns:ns4="52bfcacb-6c8e-4f21-94ea-21dd03adb3f7" targetNamespace="http://schemas.microsoft.com/office/2006/metadata/properties" ma:root="true" ma:fieldsID="6c29d85ff0b865cf4b116e141ad4a0ff" ns3:_="" ns4:_="">
    <xsd:import namespace="7802d2bf-d02a-4ab4-a7d4-a6d4a136618c"/>
    <xsd:import namespace="52bfcacb-6c8e-4f21-94ea-21dd03adb3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2d2bf-d02a-4ab4-a7d4-a6d4a1366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bfcacb-6c8e-4f21-94ea-21dd03adb3f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1F918-7337-483F-8292-12239ACB2082}">
  <ds:schemaRefs>
    <ds:schemaRef ds:uri="http://schemas.microsoft.com/office/2006/metadata/properties"/>
    <ds:schemaRef ds:uri="http://schemas.microsoft.com/office/infopath/2007/PartnerControls"/>
    <ds:schemaRef ds:uri="7802d2bf-d02a-4ab4-a7d4-a6d4a136618c"/>
  </ds:schemaRefs>
</ds:datastoreItem>
</file>

<file path=customXml/itemProps2.xml><?xml version="1.0" encoding="utf-8"?>
<ds:datastoreItem xmlns:ds="http://schemas.openxmlformats.org/officeDocument/2006/customXml" ds:itemID="{7C06777B-3B4F-46DA-A85E-A577D0BD0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2d2bf-d02a-4ab4-a7d4-a6d4a136618c"/>
    <ds:schemaRef ds:uri="52bfcacb-6c8e-4f21-94ea-21dd03adb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B73123-6EBB-4669-AD7D-53A25B3C846D}">
  <ds:schemaRefs>
    <ds:schemaRef ds:uri="http://schemas.microsoft.com/sharepoint/v3/contenttype/forms"/>
  </ds:schemaRefs>
</ds:datastoreItem>
</file>

<file path=customXml/itemProps4.xml><?xml version="1.0" encoding="utf-8"?>
<ds:datastoreItem xmlns:ds="http://schemas.openxmlformats.org/officeDocument/2006/customXml" ds:itemID="{6331A6EB-99D2-4DF3-8AEE-22F81EFD0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43</Pages>
  <Words>9798</Words>
  <Characters>55852</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Dunn</dc:creator>
  <cp:keywords/>
  <dc:description/>
  <cp:lastModifiedBy>Sathish</cp:lastModifiedBy>
  <cp:revision>4</cp:revision>
  <dcterms:created xsi:type="dcterms:W3CDTF">2024-02-22T13:29:00Z</dcterms:created>
  <dcterms:modified xsi:type="dcterms:W3CDTF">2024-02-22T18:28:00Z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0x010100A15FB8BEBE2D8B449C30ED8F45B20702</vt:lpwstr>
  </property>
</Properties>
</file>