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EB76D" w14:textId="5122A89E" w:rsidR="003750D8" w:rsidRDefault="003750D8" w:rsidP="003750D8">
      <w:pPr>
        <w:widowControl w:val="0"/>
        <w:spacing w:after="0" w:line="480" w:lineRule="auto"/>
        <w:rPr>
          <w:rFonts w:ascii="Arial" w:hAnsi="Arial" w:cs="Arial"/>
          <w:sz w:val="25"/>
          <w:szCs w:val="25"/>
          <w:lang w:val="en-GB"/>
        </w:rPr>
      </w:pPr>
      <w:r>
        <w:rPr>
          <w:noProof/>
        </w:rPr>
        <w:drawing>
          <wp:inline distT="0" distB="0" distL="0" distR="0" wp14:anchorId="188C2EA6" wp14:editId="069E7D01">
            <wp:extent cx="4286250" cy="466725"/>
            <wp:effectExtent l="0" t="0" r="0" b="9525"/>
            <wp:docPr id="1291118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249016D" w14:textId="036EE5B3" w:rsidR="00BB117B" w:rsidRPr="00182F9A" w:rsidRDefault="00386CF6" w:rsidP="00403ABF">
      <w:pPr>
        <w:widowControl w:val="0"/>
        <w:spacing w:after="0" w:line="480" w:lineRule="auto"/>
        <w:jc w:val="center"/>
        <w:rPr>
          <w:rFonts w:ascii="Arial" w:hAnsi="Arial" w:cs="Arial"/>
          <w:sz w:val="25"/>
          <w:szCs w:val="25"/>
          <w:lang w:val="en-GB"/>
        </w:rPr>
      </w:pPr>
      <w:r w:rsidRPr="00182F9A">
        <w:rPr>
          <w:rFonts w:ascii="Arial" w:hAnsi="Arial"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9">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182F9A" w:rsidRDefault="00386CF6" w:rsidP="00403ABF">
      <w:pPr>
        <w:widowControl w:val="0"/>
        <w:spacing w:after="0" w:line="480" w:lineRule="auto"/>
        <w:jc w:val="center"/>
        <w:rPr>
          <w:rFonts w:ascii="Verdana" w:hAnsi="Verdana" w:cs="Arial"/>
          <w:b/>
          <w:lang w:val="en-GB"/>
        </w:rPr>
      </w:pPr>
      <w:r w:rsidRPr="00182F9A">
        <w:rPr>
          <w:rFonts w:ascii="Verdana" w:hAnsi="Verdana" w:cs="Arial"/>
          <w:b/>
          <w:lang w:val="en-GB"/>
        </w:rPr>
        <w:t>IN THE HIGH COURT OF SOUTH AFRICA</w:t>
      </w:r>
    </w:p>
    <w:p w14:paraId="305AAA64" w14:textId="3A101DDC" w:rsidR="00386CF6" w:rsidRPr="00182F9A" w:rsidRDefault="00723BCA" w:rsidP="00403ABF">
      <w:pPr>
        <w:widowControl w:val="0"/>
        <w:spacing w:line="480" w:lineRule="auto"/>
        <w:jc w:val="center"/>
        <w:rPr>
          <w:rFonts w:ascii="Verdana" w:hAnsi="Verdana" w:cs="Arial"/>
          <w:b/>
          <w:lang w:val="en-GB"/>
        </w:rPr>
      </w:pPr>
      <w:r w:rsidRPr="00182F9A">
        <w:rPr>
          <w:rFonts w:ascii="Verdana" w:hAnsi="Verdana" w:cs="Arial"/>
          <w:b/>
          <w:lang w:val="en-GB"/>
        </w:rPr>
        <w:t>GAUTENG</w:t>
      </w:r>
      <w:r w:rsidR="0036664D" w:rsidRPr="00182F9A">
        <w:rPr>
          <w:rFonts w:ascii="Verdana" w:hAnsi="Verdana" w:cs="Arial"/>
          <w:b/>
          <w:lang w:val="en-GB"/>
        </w:rPr>
        <w:t xml:space="preserve"> </w:t>
      </w:r>
      <w:r w:rsidR="00386CF6" w:rsidRPr="00182F9A">
        <w:rPr>
          <w:rFonts w:ascii="Verdana" w:hAnsi="Verdana" w:cs="Arial"/>
          <w:b/>
          <w:lang w:val="en-GB"/>
        </w:rPr>
        <w:t xml:space="preserve">DIVISION, </w:t>
      </w:r>
      <w:r w:rsidR="0036664D" w:rsidRPr="00182F9A">
        <w:rPr>
          <w:rFonts w:ascii="Verdana" w:hAnsi="Verdana" w:cs="Arial"/>
          <w:b/>
          <w:lang w:val="en-GB"/>
        </w:rPr>
        <w:t>JOHANNESBURG</w:t>
      </w:r>
    </w:p>
    <w:p w14:paraId="59A5414C" w14:textId="696F579D" w:rsidR="00E614F3" w:rsidRPr="00182F9A" w:rsidRDefault="00545AB4" w:rsidP="00403ABF">
      <w:pPr>
        <w:widowControl w:val="0"/>
        <w:spacing w:after="0" w:line="480" w:lineRule="auto"/>
        <w:jc w:val="right"/>
        <w:rPr>
          <w:rFonts w:ascii="Verdana" w:hAnsi="Verdana" w:cs="Arial"/>
          <w:b/>
          <w:lang w:val="en-GB"/>
        </w:rPr>
      </w:pPr>
      <w:r w:rsidRPr="00182F9A">
        <w:rPr>
          <w:rFonts w:ascii="Verdana" w:hAnsi="Verdana" w:cs="Arial"/>
          <w:b/>
          <w:lang w:val="en-GB"/>
        </w:rPr>
        <w:t>CASE N</w:t>
      </w:r>
      <w:r w:rsidR="000733E2" w:rsidRPr="00182F9A">
        <w:rPr>
          <w:rFonts w:ascii="Verdana" w:hAnsi="Verdana" w:cs="Arial"/>
          <w:b/>
          <w:lang w:val="en-GB"/>
        </w:rPr>
        <w:t>UMBER</w:t>
      </w:r>
      <w:r w:rsidRPr="00182F9A">
        <w:rPr>
          <w:rFonts w:ascii="Verdana" w:hAnsi="Verdana" w:cs="Arial"/>
          <w:b/>
          <w:lang w:val="en-GB"/>
        </w:rPr>
        <w:t xml:space="preserve">: </w:t>
      </w:r>
      <w:r w:rsidR="0036664D" w:rsidRPr="00182F9A">
        <w:rPr>
          <w:rFonts w:ascii="Verdana" w:hAnsi="Verdana" w:cs="Arial"/>
          <w:b/>
          <w:lang w:val="en-GB"/>
        </w:rPr>
        <w:t xml:space="preserve"> </w:t>
      </w:r>
      <w:r w:rsidR="001D30F8">
        <w:rPr>
          <w:rFonts w:ascii="Verdana" w:hAnsi="Verdana" w:cs="Arial"/>
          <w:b/>
          <w:lang w:val="en-GB"/>
        </w:rPr>
        <w:t>004659/2022</w:t>
      </w:r>
    </w:p>
    <w:p w14:paraId="79FD3A76" w14:textId="61B64C87" w:rsidR="004D3F47" w:rsidRPr="00182F9A" w:rsidRDefault="004D3F47" w:rsidP="00403ABF">
      <w:pPr>
        <w:widowControl w:val="0"/>
        <w:spacing w:line="480" w:lineRule="auto"/>
        <w:jc w:val="right"/>
        <w:rPr>
          <w:rFonts w:ascii="Verdana" w:hAnsi="Verdana" w:cs="Arial"/>
          <w:b/>
          <w:lang w:val="en-GB"/>
        </w:rPr>
      </w:pPr>
      <w:r w:rsidRPr="00182F9A">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123CA083" w:rsidR="00490AC0" w:rsidRDefault="005B385E" w:rsidP="005B38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216747DD" w:rsidR="00490AC0" w:rsidRDefault="005B385E" w:rsidP="005B38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4DF74036" w:rsidR="00490AC0" w:rsidRDefault="005B385E" w:rsidP="005B38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26B067A3" w14:textId="77777777" w:rsidR="00717656" w:rsidRDefault="00717656" w:rsidP="00650EFA">
                            <w:pPr>
                              <w:spacing w:after="0" w:line="240" w:lineRule="auto"/>
                              <w:ind w:left="180"/>
                              <w:rPr>
                                <w:rFonts w:ascii="Century Gothic" w:hAnsi="Century Gothic"/>
                                <w:sz w:val="20"/>
                                <w:szCs w:val="20"/>
                              </w:rPr>
                            </w:pPr>
                          </w:p>
                          <w:p w14:paraId="75E0B5B2" w14:textId="70D496F7" w:rsidR="00490AC0" w:rsidRDefault="00490AC0"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941820">
                              <w:rPr>
                                <w:rFonts w:ascii="Century Gothic" w:hAnsi="Century Gothic"/>
                                <w:sz w:val="20"/>
                                <w:szCs w:val="20"/>
                              </w:rPr>
                              <w:t xml:space="preserve"> 15 July 2024</w:t>
                            </w:r>
                            <w:r w:rsidR="00030F60">
                              <w:rPr>
                                <w:rFonts w:ascii="Century Gothic" w:hAnsi="Century Gothic"/>
                                <w:sz w:val="20"/>
                                <w:szCs w:val="20"/>
                              </w:rPr>
                              <w:t xml:space="preserve"> </w:t>
                            </w:r>
                          </w:p>
                          <w:p w14:paraId="36001B1C" w14:textId="7E005D37" w:rsidR="00490AC0" w:rsidRPr="00717656" w:rsidRDefault="00490AC0" w:rsidP="00717656">
                            <w:pPr>
                              <w:spacing w:after="0" w:line="240" w:lineRule="auto"/>
                              <w:rPr>
                                <w:rFonts w:ascii="Blackadder ITC" w:hAnsi="Blackadder ITC"/>
                                <w:b/>
                                <w:bCs/>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">
                <v:textbox>
                  <w:txbxContent>
                    <w:p w14:paraId="7E208079" w14:textId="77777777" w:rsidR="00490AC0" w:rsidRDefault="00490AC0" w:rsidP="00386CF6">
                      <w:pPr>
                        <w:jc w:val="center"/>
                        <w:rPr>
                          <w:rFonts w:ascii="Century Gothic" w:hAnsi="Century Gothic"/>
                          <w:b/>
                          <w:sz w:val="20"/>
                          <w:szCs w:val="20"/>
                        </w:rPr>
                      </w:pPr>
                    </w:p>
                    <w:p w14:paraId="3FEDA994" w14:textId="123CA083" w:rsidR="00490AC0" w:rsidRDefault="005B385E" w:rsidP="005B38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216747DD" w:rsidR="00490AC0" w:rsidRDefault="005B385E" w:rsidP="005B38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4DF74036" w:rsidR="00490AC0" w:rsidRDefault="005B385E" w:rsidP="005B38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26B067A3" w14:textId="77777777" w:rsidR="00717656" w:rsidRDefault="00717656" w:rsidP="00650EFA">
                      <w:pPr>
                        <w:spacing w:after="0" w:line="240" w:lineRule="auto"/>
                        <w:ind w:left="180"/>
                        <w:rPr>
                          <w:rFonts w:ascii="Century Gothic" w:hAnsi="Century Gothic"/>
                          <w:sz w:val="20"/>
                          <w:szCs w:val="20"/>
                        </w:rPr>
                      </w:pPr>
                    </w:p>
                    <w:p w14:paraId="75E0B5B2" w14:textId="70D496F7" w:rsidR="00490AC0" w:rsidRDefault="00490AC0" w:rsidP="00650EFA">
                      <w:pPr>
                        <w:spacing w:after="0" w:line="240" w:lineRule="auto"/>
                        <w:ind w:left="180"/>
                        <w:rPr>
                          <w:rFonts w:ascii="Century Gothic" w:hAnsi="Century Gothic"/>
                          <w:sz w:val="20"/>
                          <w:szCs w:val="20"/>
                        </w:rPr>
                      </w:pPr>
                      <w:r>
                        <w:rPr>
                          <w:rFonts w:ascii="Century Gothic" w:hAnsi="Century Gothic"/>
                          <w:sz w:val="20"/>
                          <w:szCs w:val="20"/>
                        </w:rPr>
                        <w:t xml:space="preserve">DATE: </w:t>
                      </w:r>
                      <w:r w:rsidR="00941820">
                        <w:rPr>
                          <w:rFonts w:ascii="Century Gothic" w:hAnsi="Century Gothic"/>
                          <w:sz w:val="20"/>
                          <w:szCs w:val="20"/>
                        </w:rPr>
                        <w:t xml:space="preserve"> 15 July 2024</w:t>
                      </w:r>
                      <w:r w:rsidR="00030F60">
                        <w:rPr>
                          <w:rFonts w:ascii="Century Gothic" w:hAnsi="Century Gothic"/>
                          <w:sz w:val="20"/>
                          <w:szCs w:val="20"/>
                        </w:rPr>
                        <w:t xml:space="preserve"> </w:t>
                      </w:r>
                    </w:p>
                    <w:p w14:paraId="36001B1C" w14:textId="7E005D37" w:rsidR="00490AC0" w:rsidRPr="00717656" w:rsidRDefault="00490AC0" w:rsidP="00717656">
                      <w:pPr>
                        <w:spacing w:after="0" w:line="240" w:lineRule="auto"/>
                        <w:rPr>
                          <w:rFonts w:ascii="Blackadder ITC" w:hAnsi="Blackadder ITC"/>
                          <w:b/>
                          <w:bCs/>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182F9A" w:rsidRDefault="00386CF6" w:rsidP="00403ABF">
      <w:pPr>
        <w:widowControl w:val="0"/>
        <w:spacing w:line="480" w:lineRule="auto"/>
        <w:jc w:val="right"/>
        <w:rPr>
          <w:rFonts w:ascii="Verdana" w:hAnsi="Verdana" w:cs="Arial"/>
          <w:b/>
          <w:lang w:val="en-GB"/>
        </w:rPr>
      </w:pPr>
    </w:p>
    <w:p w14:paraId="6A916D32" w14:textId="77777777" w:rsidR="00386CF6" w:rsidRPr="00182F9A" w:rsidRDefault="00386CF6" w:rsidP="00403ABF">
      <w:pPr>
        <w:widowControl w:val="0"/>
        <w:spacing w:line="480" w:lineRule="auto"/>
        <w:jc w:val="center"/>
        <w:rPr>
          <w:rFonts w:ascii="Verdana" w:hAnsi="Verdana" w:cs="Arial"/>
          <w:b/>
          <w:lang w:val="en-GB"/>
        </w:rPr>
      </w:pPr>
    </w:p>
    <w:p w14:paraId="68170D40" w14:textId="77777777" w:rsidR="00386CF6" w:rsidRPr="00182F9A" w:rsidRDefault="00386CF6" w:rsidP="00403ABF">
      <w:pPr>
        <w:widowControl w:val="0"/>
        <w:spacing w:line="480" w:lineRule="auto"/>
        <w:jc w:val="center"/>
        <w:rPr>
          <w:rFonts w:ascii="Verdana" w:hAnsi="Verdana" w:cs="Arial"/>
          <w:b/>
          <w:lang w:val="en-GB"/>
        </w:rPr>
      </w:pPr>
    </w:p>
    <w:p w14:paraId="53C547D1" w14:textId="77777777" w:rsidR="004D3F47" w:rsidRPr="00182F9A" w:rsidRDefault="004D3F47" w:rsidP="00403ABF">
      <w:pPr>
        <w:widowControl w:val="0"/>
        <w:spacing w:after="0" w:line="240" w:lineRule="auto"/>
        <w:rPr>
          <w:rFonts w:ascii="Verdana" w:hAnsi="Verdana" w:cs="Arial"/>
          <w:lang w:val="en-GB"/>
        </w:rPr>
      </w:pPr>
    </w:p>
    <w:p w14:paraId="561DD510" w14:textId="77777777" w:rsidR="00386CF6" w:rsidRPr="00182F9A" w:rsidRDefault="00386CF6" w:rsidP="00467A6B">
      <w:pPr>
        <w:widowControl w:val="0"/>
        <w:spacing w:after="0" w:line="300" w:lineRule="auto"/>
        <w:rPr>
          <w:rFonts w:ascii="Verdana" w:hAnsi="Verdana" w:cs="Arial"/>
          <w:lang w:val="en-GB"/>
        </w:rPr>
      </w:pPr>
      <w:r w:rsidRPr="00182F9A">
        <w:rPr>
          <w:rFonts w:ascii="Verdana" w:hAnsi="Verdana" w:cs="Arial"/>
          <w:lang w:val="en-GB"/>
        </w:rPr>
        <w:t xml:space="preserve">In the </w:t>
      </w:r>
      <w:r w:rsidR="00545AB4" w:rsidRPr="00182F9A">
        <w:rPr>
          <w:rFonts w:ascii="Verdana" w:hAnsi="Verdana" w:cs="Arial"/>
          <w:lang w:val="en-GB"/>
        </w:rPr>
        <w:t xml:space="preserve">matter </w:t>
      </w:r>
      <w:r w:rsidRPr="00182F9A">
        <w:rPr>
          <w:rFonts w:ascii="Verdana" w:hAnsi="Verdana" w:cs="Arial"/>
          <w:lang w:val="en-GB"/>
        </w:rPr>
        <w:t>between:</w:t>
      </w:r>
      <w:r w:rsidR="003F5965" w:rsidRPr="00182F9A">
        <w:rPr>
          <w:rFonts w:ascii="Verdana" w:hAnsi="Verdana" w:cs="Arial"/>
          <w:lang w:val="en-GB"/>
        </w:rPr>
        <w:t xml:space="preserve"> -</w:t>
      </w:r>
    </w:p>
    <w:p w14:paraId="5183A1A0" w14:textId="77777777" w:rsidR="0036664D" w:rsidRPr="00182F9A" w:rsidRDefault="0036664D" w:rsidP="00467A6B">
      <w:pPr>
        <w:widowControl w:val="0"/>
        <w:spacing w:after="0" w:line="300" w:lineRule="auto"/>
        <w:rPr>
          <w:rFonts w:ascii="Verdana" w:hAnsi="Verdana" w:cs="Arial"/>
          <w:lang w:val="en-GB"/>
        </w:rPr>
      </w:pPr>
    </w:p>
    <w:p w14:paraId="41DC56A9" w14:textId="458EBC8F" w:rsidR="003F5965" w:rsidRDefault="001D30F8" w:rsidP="00467A6B">
      <w:pPr>
        <w:widowControl w:val="0"/>
        <w:tabs>
          <w:tab w:val="right" w:pos="9026"/>
        </w:tabs>
        <w:spacing w:after="120" w:line="300" w:lineRule="auto"/>
        <w:rPr>
          <w:rFonts w:ascii="Verdana" w:hAnsi="Verdana" w:cs="Arial"/>
          <w:lang w:val="en-GB"/>
        </w:rPr>
      </w:pPr>
      <w:r>
        <w:rPr>
          <w:rFonts w:ascii="Verdana" w:hAnsi="Verdana" w:cs="Arial"/>
          <w:b/>
          <w:lang w:val="en-GB"/>
        </w:rPr>
        <w:t>LOUIS HENDRIK VAN RENSBURG</w:t>
      </w:r>
      <w:r w:rsidR="003F5965" w:rsidRPr="00182F9A">
        <w:rPr>
          <w:rFonts w:ascii="Verdana" w:hAnsi="Verdana" w:cs="Arial"/>
          <w:lang w:val="en-GB"/>
        </w:rPr>
        <w:tab/>
      </w:r>
      <w:r>
        <w:rPr>
          <w:rFonts w:ascii="Verdana" w:hAnsi="Verdana" w:cs="Arial"/>
          <w:lang w:val="en-GB"/>
        </w:rPr>
        <w:t>First a</w:t>
      </w:r>
      <w:r w:rsidR="00D514B2">
        <w:rPr>
          <w:rFonts w:ascii="Verdana" w:hAnsi="Verdana" w:cs="Arial"/>
          <w:lang w:val="en-GB"/>
        </w:rPr>
        <w:t>pplicant</w:t>
      </w:r>
    </w:p>
    <w:p w14:paraId="179A1968" w14:textId="6D68E653" w:rsidR="001D30F8" w:rsidRDefault="001D30F8" w:rsidP="00467A6B">
      <w:pPr>
        <w:widowControl w:val="0"/>
        <w:tabs>
          <w:tab w:val="right" w:pos="9026"/>
        </w:tabs>
        <w:spacing w:after="120" w:line="300" w:lineRule="auto"/>
        <w:rPr>
          <w:rFonts w:ascii="Verdana" w:hAnsi="Verdana" w:cs="Arial"/>
          <w:lang w:val="en-GB"/>
        </w:rPr>
      </w:pPr>
      <w:r>
        <w:rPr>
          <w:rFonts w:ascii="Verdana" w:hAnsi="Verdana" w:cs="Arial"/>
          <w:b/>
          <w:bCs/>
          <w:lang w:val="en-GB"/>
        </w:rPr>
        <w:t>THEONETTE GROEN</w:t>
      </w:r>
      <w:r w:rsidR="00257B46">
        <w:rPr>
          <w:rFonts w:ascii="Verdana" w:hAnsi="Verdana" w:cs="Arial"/>
          <w:b/>
          <w:bCs/>
          <w:lang w:val="en-GB"/>
        </w:rPr>
        <w:t>E</w:t>
      </w:r>
      <w:r>
        <w:rPr>
          <w:rFonts w:ascii="Verdana" w:hAnsi="Verdana" w:cs="Arial"/>
          <w:b/>
          <w:bCs/>
          <w:lang w:val="en-GB"/>
        </w:rPr>
        <w:t>WALD</w:t>
      </w:r>
      <w:r>
        <w:rPr>
          <w:rFonts w:ascii="Verdana" w:hAnsi="Verdana" w:cs="Arial"/>
          <w:lang w:val="en-GB"/>
        </w:rPr>
        <w:tab/>
        <w:t>Second applicant</w:t>
      </w:r>
    </w:p>
    <w:p w14:paraId="28DF66E7" w14:textId="1A8597B8" w:rsidR="001D30F8" w:rsidRDefault="001D30F8" w:rsidP="00467A6B">
      <w:pPr>
        <w:widowControl w:val="0"/>
        <w:tabs>
          <w:tab w:val="right" w:pos="9026"/>
        </w:tabs>
        <w:spacing w:after="60" w:line="300" w:lineRule="auto"/>
        <w:rPr>
          <w:rFonts w:ascii="Verdana" w:hAnsi="Verdana" w:cs="Arial"/>
          <w:lang w:val="en-GB"/>
        </w:rPr>
      </w:pPr>
      <w:r>
        <w:rPr>
          <w:rFonts w:ascii="Verdana" w:hAnsi="Verdana" w:cs="Arial"/>
          <w:b/>
          <w:bCs/>
          <w:lang w:val="en-GB"/>
        </w:rPr>
        <w:t>GESINA JOHANNA VAN RENSBURG</w:t>
      </w:r>
      <w:r>
        <w:rPr>
          <w:rFonts w:ascii="Verdana" w:hAnsi="Verdana" w:cs="Arial"/>
          <w:lang w:val="en-GB"/>
        </w:rPr>
        <w:tab/>
        <w:t>Third applicant</w:t>
      </w:r>
    </w:p>
    <w:p w14:paraId="12711674" w14:textId="1549122F" w:rsidR="001D30F8" w:rsidRDefault="001D30F8" w:rsidP="00467A6B">
      <w:pPr>
        <w:widowControl w:val="0"/>
        <w:tabs>
          <w:tab w:val="right" w:pos="9026"/>
        </w:tabs>
        <w:spacing w:after="0" w:line="300" w:lineRule="auto"/>
        <w:rPr>
          <w:rFonts w:ascii="Verdana" w:hAnsi="Verdana" w:cs="Arial"/>
          <w:lang w:val="en-GB"/>
        </w:rPr>
      </w:pPr>
      <w:r>
        <w:rPr>
          <w:rFonts w:ascii="Verdana" w:hAnsi="Verdana" w:cs="Arial"/>
          <w:lang w:val="en-GB"/>
        </w:rPr>
        <w:t>(</w:t>
      </w:r>
      <w:proofErr w:type="gramStart"/>
      <w:r>
        <w:rPr>
          <w:rFonts w:ascii="Verdana" w:hAnsi="Verdana" w:cs="Arial"/>
          <w:lang w:val="en-GB"/>
        </w:rPr>
        <w:t>in</w:t>
      </w:r>
      <w:proofErr w:type="gramEnd"/>
      <w:r>
        <w:rPr>
          <w:rFonts w:ascii="Verdana" w:hAnsi="Verdana" w:cs="Arial"/>
          <w:lang w:val="en-GB"/>
        </w:rPr>
        <w:t xml:space="preserve"> their capacities as the trustees of the </w:t>
      </w:r>
    </w:p>
    <w:p w14:paraId="11B433F1" w14:textId="77777777" w:rsidR="001D30F8" w:rsidRPr="00941820" w:rsidRDefault="001D30F8" w:rsidP="00467A6B">
      <w:pPr>
        <w:widowControl w:val="0"/>
        <w:tabs>
          <w:tab w:val="right" w:pos="9026"/>
        </w:tabs>
        <w:spacing w:after="0" w:line="300" w:lineRule="auto"/>
        <w:rPr>
          <w:rFonts w:ascii="Verdana" w:hAnsi="Verdana" w:cs="Arial"/>
          <w:lang w:val="nl-NL"/>
        </w:rPr>
      </w:pPr>
      <w:r w:rsidRPr="00941820">
        <w:rPr>
          <w:rFonts w:ascii="Verdana" w:hAnsi="Verdana" w:cs="Arial"/>
          <w:lang w:val="nl-NL"/>
        </w:rPr>
        <w:t>PETRUS JACOBUS VAN RENSBURG TESTAMENTÊRE TRUST</w:t>
      </w:r>
    </w:p>
    <w:p w14:paraId="7542455E" w14:textId="3D23E4FA" w:rsidR="001D30F8" w:rsidRPr="001D30F8" w:rsidRDefault="001D30F8" w:rsidP="00467A6B">
      <w:pPr>
        <w:widowControl w:val="0"/>
        <w:tabs>
          <w:tab w:val="right" w:pos="9026"/>
        </w:tabs>
        <w:spacing w:after="0" w:line="300" w:lineRule="auto"/>
        <w:rPr>
          <w:rFonts w:ascii="Verdana" w:hAnsi="Verdana" w:cs="Arial"/>
          <w:lang w:val="en-GB"/>
        </w:rPr>
      </w:pPr>
      <w:r>
        <w:rPr>
          <w:rFonts w:ascii="Verdana" w:hAnsi="Verdana" w:cs="Arial"/>
          <w:lang w:val="en-GB"/>
        </w:rPr>
        <w:t>IT9317/96)</w:t>
      </w:r>
    </w:p>
    <w:p w14:paraId="32D55830" w14:textId="77777777" w:rsidR="00603F5C" w:rsidRPr="00182F9A" w:rsidRDefault="00603F5C" w:rsidP="00467A6B">
      <w:pPr>
        <w:widowControl w:val="0"/>
        <w:tabs>
          <w:tab w:val="right" w:pos="9026"/>
        </w:tabs>
        <w:spacing w:after="0" w:line="300" w:lineRule="auto"/>
        <w:rPr>
          <w:rFonts w:ascii="Verdana" w:hAnsi="Verdana" w:cs="Arial"/>
          <w:lang w:val="en-GB"/>
        </w:rPr>
      </w:pPr>
    </w:p>
    <w:p w14:paraId="08F897D7" w14:textId="36DD9BC8" w:rsidR="003F5965" w:rsidRPr="00182F9A" w:rsidRDefault="003F5965" w:rsidP="00467A6B">
      <w:pPr>
        <w:widowControl w:val="0"/>
        <w:tabs>
          <w:tab w:val="right" w:pos="9026"/>
        </w:tabs>
        <w:spacing w:after="0" w:line="300" w:lineRule="auto"/>
        <w:rPr>
          <w:rFonts w:ascii="Verdana" w:hAnsi="Verdana" w:cs="Arial"/>
          <w:lang w:val="en-GB"/>
        </w:rPr>
      </w:pPr>
      <w:r w:rsidRPr="00182F9A">
        <w:rPr>
          <w:rFonts w:ascii="Verdana" w:hAnsi="Verdana" w:cs="Arial"/>
          <w:lang w:val="en-GB"/>
        </w:rPr>
        <w:t>and</w:t>
      </w:r>
    </w:p>
    <w:p w14:paraId="43E5B965" w14:textId="66F32A2A" w:rsidR="0036664D" w:rsidRPr="00182F9A" w:rsidRDefault="0036664D" w:rsidP="00467A6B">
      <w:pPr>
        <w:widowControl w:val="0"/>
        <w:tabs>
          <w:tab w:val="right" w:pos="9026"/>
        </w:tabs>
        <w:spacing w:after="0" w:line="300" w:lineRule="auto"/>
        <w:rPr>
          <w:rFonts w:ascii="Verdana" w:hAnsi="Verdana" w:cs="Arial"/>
          <w:b/>
          <w:lang w:val="en-GB"/>
        </w:rPr>
      </w:pPr>
    </w:p>
    <w:p w14:paraId="5F062A8F" w14:textId="627DC591" w:rsidR="003F5965" w:rsidRDefault="00D514B2" w:rsidP="00467A6B">
      <w:pPr>
        <w:widowControl w:val="0"/>
        <w:tabs>
          <w:tab w:val="right" w:pos="9026"/>
        </w:tabs>
        <w:spacing w:after="120" w:line="300" w:lineRule="auto"/>
        <w:rPr>
          <w:rFonts w:ascii="Verdana" w:hAnsi="Verdana" w:cs="Arial"/>
          <w:bCs/>
          <w:lang w:val="en-GB"/>
        </w:rPr>
      </w:pPr>
      <w:r>
        <w:rPr>
          <w:rFonts w:ascii="Verdana" w:hAnsi="Verdana" w:cs="Arial"/>
          <w:b/>
          <w:lang w:val="en-GB"/>
        </w:rPr>
        <w:t>B</w:t>
      </w:r>
      <w:r w:rsidR="001D30F8">
        <w:rPr>
          <w:rFonts w:ascii="Verdana" w:hAnsi="Verdana" w:cs="Arial"/>
          <w:b/>
          <w:lang w:val="en-GB"/>
        </w:rPr>
        <w:t>ENGU MUTONGI</w:t>
      </w:r>
      <w:r w:rsidR="003F5965" w:rsidRPr="00182F9A">
        <w:rPr>
          <w:rFonts w:ascii="Verdana" w:hAnsi="Verdana" w:cs="Arial"/>
          <w:b/>
          <w:lang w:val="en-GB"/>
        </w:rPr>
        <w:tab/>
      </w:r>
      <w:r w:rsidR="001D30F8" w:rsidRPr="001D30F8">
        <w:rPr>
          <w:rFonts w:ascii="Verdana" w:hAnsi="Verdana" w:cs="Arial"/>
          <w:bCs/>
          <w:lang w:val="en-GB"/>
        </w:rPr>
        <w:t>First r</w:t>
      </w:r>
      <w:r>
        <w:rPr>
          <w:rFonts w:ascii="Verdana" w:hAnsi="Verdana" w:cs="Arial"/>
          <w:bCs/>
          <w:lang w:val="en-GB"/>
        </w:rPr>
        <w:t>espondent</w:t>
      </w:r>
    </w:p>
    <w:p w14:paraId="32188F40" w14:textId="4C2AF6B2" w:rsidR="00BA3AA2"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PESANI MIPIWI</w:t>
      </w:r>
      <w:r>
        <w:rPr>
          <w:rFonts w:ascii="Verdana" w:hAnsi="Verdana" w:cs="Arial"/>
          <w:bCs/>
          <w:lang w:val="en-GB"/>
        </w:rPr>
        <w:tab/>
        <w:t>Second respondent</w:t>
      </w:r>
    </w:p>
    <w:p w14:paraId="6629157D" w14:textId="18510999"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ERASMUS MASENDU</w:t>
      </w:r>
      <w:r>
        <w:rPr>
          <w:rFonts w:ascii="Verdana" w:hAnsi="Verdana" w:cs="Arial"/>
          <w:bCs/>
          <w:lang w:val="en-GB"/>
        </w:rPr>
        <w:tab/>
        <w:t>Third respondent</w:t>
      </w:r>
    </w:p>
    <w:p w14:paraId="620C2C0D" w14:textId="162CA0B2"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lastRenderedPageBreak/>
        <w:t>KUDAKWASHE CHINGEZI</w:t>
      </w:r>
      <w:r>
        <w:rPr>
          <w:rFonts w:ascii="Verdana" w:hAnsi="Verdana" w:cs="Arial"/>
          <w:bCs/>
          <w:lang w:val="en-GB"/>
        </w:rPr>
        <w:tab/>
        <w:t>Fourth respondent</w:t>
      </w:r>
    </w:p>
    <w:p w14:paraId="0C3CB195" w14:textId="46ED7FEE"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LLOYD MURADYA</w:t>
      </w:r>
      <w:r>
        <w:rPr>
          <w:rFonts w:ascii="Verdana" w:hAnsi="Verdana" w:cs="Arial"/>
          <w:bCs/>
          <w:lang w:val="en-GB"/>
        </w:rPr>
        <w:tab/>
        <w:t>Fifth respondent</w:t>
      </w:r>
    </w:p>
    <w:p w14:paraId="7555C01E" w14:textId="4BCD083A" w:rsidR="001D30F8" w:rsidRDefault="001D30F8" w:rsidP="00467A6B">
      <w:pPr>
        <w:widowControl w:val="0"/>
        <w:tabs>
          <w:tab w:val="right" w:pos="9026"/>
        </w:tabs>
        <w:spacing w:after="120" w:line="300" w:lineRule="auto"/>
        <w:rPr>
          <w:rFonts w:ascii="Verdana" w:hAnsi="Verdana" w:cs="Arial"/>
          <w:b/>
          <w:lang w:val="en-GB"/>
        </w:rPr>
      </w:pPr>
      <w:r>
        <w:rPr>
          <w:rFonts w:ascii="Verdana" w:hAnsi="Verdana" w:cs="Arial"/>
          <w:b/>
          <w:lang w:val="en-GB"/>
        </w:rPr>
        <w:t>CHARICE TSIKWAURERE</w:t>
      </w:r>
      <w:r>
        <w:rPr>
          <w:rFonts w:ascii="Verdana" w:hAnsi="Verdana" w:cs="Arial"/>
          <w:bCs/>
          <w:lang w:val="en-GB"/>
        </w:rPr>
        <w:tab/>
        <w:t>Sixth respondent</w:t>
      </w:r>
    </w:p>
    <w:p w14:paraId="00173E2C" w14:textId="65C434B5"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HLANGANANA MAPOSA</w:t>
      </w:r>
      <w:r>
        <w:rPr>
          <w:rFonts w:ascii="Verdana" w:hAnsi="Verdana" w:cs="Arial"/>
          <w:bCs/>
          <w:lang w:val="en-GB"/>
        </w:rPr>
        <w:tab/>
        <w:t>Seventh respondent</w:t>
      </w:r>
    </w:p>
    <w:p w14:paraId="77884570" w14:textId="6FBED425"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GIDIEON MPHOFU</w:t>
      </w:r>
      <w:r>
        <w:rPr>
          <w:rFonts w:ascii="Verdana" w:hAnsi="Verdana" w:cs="Arial"/>
          <w:bCs/>
          <w:lang w:val="en-GB"/>
        </w:rPr>
        <w:tab/>
        <w:t>Eighth respondent</w:t>
      </w:r>
    </w:p>
    <w:p w14:paraId="7C892283" w14:textId="3A6A3EAD"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JOHANNES LUPAHLA</w:t>
      </w:r>
      <w:r>
        <w:rPr>
          <w:rFonts w:ascii="Verdana" w:hAnsi="Verdana" w:cs="Arial"/>
          <w:bCs/>
          <w:lang w:val="en-GB"/>
        </w:rPr>
        <w:tab/>
        <w:t>Ninth respondent</w:t>
      </w:r>
    </w:p>
    <w:p w14:paraId="4958E788" w14:textId="00CA790A"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BHEKUMUZI MAPHOSA</w:t>
      </w:r>
      <w:r>
        <w:rPr>
          <w:rFonts w:ascii="Verdana" w:hAnsi="Verdana" w:cs="Arial"/>
          <w:bCs/>
          <w:lang w:val="en-GB"/>
        </w:rPr>
        <w:tab/>
        <w:t>Tenth respondent</w:t>
      </w:r>
    </w:p>
    <w:p w14:paraId="6D69DCB6" w14:textId="639F2F78"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CYNTHIA MASEKO</w:t>
      </w:r>
      <w:r>
        <w:rPr>
          <w:rFonts w:ascii="Verdana" w:hAnsi="Verdana" w:cs="Arial"/>
          <w:bCs/>
          <w:lang w:val="en-GB"/>
        </w:rPr>
        <w:tab/>
        <w:t>Eleventh respondent</w:t>
      </w:r>
    </w:p>
    <w:p w14:paraId="5D0AFD5F" w14:textId="15FD0808"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FAITH SIBANDA</w:t>
      </w:r>
      <w:r>
        <w:rPr>
          <w:rFonts w:ascii="Verdana" w:hAnsi="Verdana" w:cs="Arial"/>
          <w:bCs/>
          <w:lang w:val="en-GB"/>
        </w:rPr>
        <w:tab/>
        <w:t>Twelfth respondent</w:t>
      </w:r>
    </w:p>
    <w:p w14:paraId="0D37F0BD" w14:textId="36678FAF"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GLADYS LEBERE</w:t>
      </w:r>
      <w:r>
        <w:rPr>
          <w:rFonts w:ascii="Verdana" w:hAnsi="Verdana" w:cs="Arial"/>
          <w:bCs/>
          <w:lang w:val="en-GB"/>
        </w:rPr>
        <w:tab/>
        <w:t>Thirteenth respondent</w:t>
      </w:r>
    </w:p>
    <w:p w14:paraId="2161E96D" w14:textId="3537DF21"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LESEGO LEBERE</w:t>
      </w:r>
      <w:r>
        <w:rPr>
          <w:rFonts w:ascii="Verdana" w:hAnsi="Verdana" w:cs="Arial"/>
          <w:bCs/>
          <w:lang w:val="en-GB"/>
        </w:rPr>
        <w:tab/>
        <w:t>Fourteenth respondent</w:t>
      </w:r>
    </w:p>
    <w:p w14:paraId="7DAE138A" w14:textId="64C04A47"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LLOYD KANYONGWA</w:t>
      </w:r>
      <w:r>
        <w:rPr>
          <w:rFonts w:ascii="Verdana" w:hAnsi="Verdana" w:cs="Arial"/>
          <w:bCs/>
          <w:lang w:val="en-GB"/>
        </w:rPr>
        <w:tab/>
        <w:t>Fifteenth respondent</w:t>
      </w:r>
    </w:p>
    <w:p w14:paraId="37789448" w14:textId="3D06F1E1"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LOVEMORE ZIWEWE</w:t>
      </w:r>
      <w:r>
        <w:rPr>
          <w:rFonts w:ascii="Verdana" w:hAnsi="Verdana" w:cs="Arial"/>
          <w:bCs/>
          <w:lang w:val="en-GB"/>
        </w:rPr>
        <w:tab/>
        <w:t>Sixteenth respondent</w:t>
      </w:r>
    </w:p>
    <w:p w14:paraId="3D6CCB84" w14:textId="283CC512"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PROMISE NCUBA</w:t>
      </w:r>
      <w:r>
        <w:rPr>
          <w:rFonts w:ascii="Verdana" w:hAnsi="Verdana" w:cs="Arial"/>
          <w:b/>
          <w:lang w:val="en-GB"/>
        </w:rPr>
        <w:tab/>
      </w:r>
      <w:r>
        <w:rPr>
          <w:rFonts w:ascii="Verdana" w:hAnsi="Verdana" w:cs="Arial"/>
          <w:bCs/>
          <w:lang w:val="en-GB"/>
        </w:rPr>
        <w:t>Seventeenth respondent</w:t>
      </w:r>
    </w:p>
    <w:p w14:paraId="294D21FD" w14:textId="29892EEC"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MARIVEN MANGWANAZI</w:t>
      </w:r>
      <w:r>
        <w:rPr>
          <w:rFonts w:ascii="Verdana" w:hAnsi="Verdana" w:cs="Arial"/>
          <w:bCs/>
          <w:lang w:val="en-GB"/>
        </w:rPr>
        <w:tab/>
        <w:t>Eighteenth respondent</w:t>
      </w:r>
    </w:p>
    <w:p w14:paraId="575F8A63" w14:textId="05B517FD"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COLLECT MTHNGA</w:t>
      </w:r>
      <w:r>
        <w:rPr>
          <w:rFonts w:ascii="Verdana" w:hAnsi="Verdana" w:cs="Arial"/>
          <w:bCs/>
          <w:lang w:val="en-GB"/>
        </w:rPr>
        <w:tab/>
        <w:t>Nineteenth respondent</w:t>
      </w:r>
    </w:p>
    <w:p w14:paraId="554D2744" w14:textId="1B36AE91"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ELSIE NJAYA</w:t>
      </w:r>
      <w:r>
        <w:rPr>
          <w:rFonts w:ascii="Verdana" w:hAnsi="Verdana" w:cs="Arial"/>
          <w:bCs/>
          <w:lang w:val="en-GB"/>
        </w:rPr>
        <w:tab/>
        <w:t>Twentieth respondent</w:t>
      </w:r>
    </w:p>
    <w:p w14:paraId="21A09A17" w14:textId="35B26DD7"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MUSA MUKWADA</w:t>
      </w:r>
      <w:r>
        <w:rPr>
          <w:rFonts w:ascii="Verdana" w:hAnsi="Verdana" w:cs="Arial"/>
          <w:bCs/>
          <w:lang w:val="en-GB"/>
        </w:rPr>
        <w:tab/>
        <w:t>Twenty-first respondent</w:t>
      </w:r>
    </w:p>
    <w:p w14:paraId="617E9965" w14:textId="54B14923"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MMBANGO PHIRI</w:t>
      </w:r>
      <w:r>
        <w:rPr>
          <w:rFonts w:ascii="Verdana" w:hAnsi="Verdana" w:cs="Arial"/>
          <w:bCs/>
          <w:lang w:val="en-GB"/>
        </w:rPr>
        <w:tab/>
        <w:t>Twenty-second respondent</w:t>
      </w:r>
    </w:p>
    <w:p w14:paraId="79959FAB" w14:textId="22FCA8B0" w:rsidR="001D30F8" w:rsidRDefault="001D30F8" w:rsidP="00467A6B">
      <w:pPr>
        <w:widowControl w:val="0"/>
        <w:tabs>
          <w:tab w:val="right" w:pos="9026"/>
        </w:tabs>
        <w:spacing w:after="120" w:line="300" w:lineRule="auto"/>
        <w:rPr>
          <w:rFonts w:ascii="Verdana" w:hAnsi="Verdana" w:cs="Arial"/>
          <w:bCs/>
          <w:lang w:val="en-GB"/>
        </w:rPr>
      </w:pPr>
      <w:r w:rsidRPr="001D30F8">
        <w:rPr>
          <w:rFonts w:ascii="Verdana" w:hAnsi="Verdana" w:cs="Arial"/>
          <w:b/>
          <w:lang w:val="en-GB"/>
        </w:rPr>
        <w:t>PUMLA</w:t>
      </w:r>
      <w:r>
        <w:rPr>
          <w:rFonts w:ascii="Verdana" w:hAnsi="Verdana" w:cs="Arial"/>
          <w:b/>
          <w:lang w:val="en-GB"/>
        </w:rPr>
        <w:t xml:space="preserve"> NAKI</w:t>
      </w:r>
      <w:r>
        <w:rPr>
          <w:rFonts w:ascii="Verdana" w:hAnsi="Verdana" w:cs="Arial"/>
          <w:bCs/>
          <w:lang w:val="en-GB"/>
        </w:rPr>
        <w:tab/>
        <w:t>Twenty-third respondent</w:t>
      </w:r>
    </w:p>
    <w:p w14:paraId="1DEA3EC9" w14:textId="02E9ED74"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THULISWE SHONGWE</w:t>
      </w:r>
      <w:r>
        <w:rPr>
          <w:rFonts w:ascii="Verdana" w:hAnsi="Verdana" w:cs="Arial"/>
          <w:bCs/>
          <w:lang w:val="en-GB"/>
        </w:rPr>
        <w:tab/>
        <w:t>Twenty-fourth respondent</w:t>
      </w:r>
    </w:p>
    <w:p w14:paraId="3E442485" w14:textId="640F9BC9"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MALIBONGWE SHONGWE</w:t>
      </w:r>
      <w:r>
        <w:rPr>
          <w:rFonts w:ascii="Verdana" w:hAnsi="Verdana" w:cs="Arial"/>
          <w:bCs/>
          <w:lang w:val="en-GB"/>
        </w:rPr>
        <w:tab/>
        <w:t>Twenty-fifth respondent</w:t>
      </w:r>
    </w:p>
    <w:p w14:paraId="1A0F3DA2" w14:textId="5932F857"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PRINCE MDHULI</w:t>
      </w:r>
      <w:r>
        <w:rPr>
          <w:rFonts w:ascii="Verdana" w:hAnsi="Verdana" w:cs="Arial"/>
          <w:bCs/>
          <w:lang w:val="en-GB"/>
        </w:rPr>
        <w:tab/>
        <w:t>Twenty-sixth respondent</w:t>
      </w:r>
    </w:p>
    <w:p w14:paraId="752B1BE0" w14:textId="39FF2CB8"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TINWHE CHIMENI</w:t>
      </w:r>
      <w:r>
        <w:rPr>
          <w:rFonts w:ascii="Verdana" w:hAnsi="Verdana" w:cs="Arial"/>
          <w:bCs/>
          <w:lang w:val="en-GB"/>
        </w:rPr>
        <w:tab/>
        <w:t>Twenty-seventh respondent</w:t>
      </w:r>
    </w:p>
    <w:p w14:paraId="385AE2C4" w14:textId="4F55A20B" w:rsidR="001D30F8" w:rsidRDefault="001D30F8" w:rsidP="00467A6B">
      <w:pPr>
        <w:widowControl w:val="0"/>
        <w:tabs>
          <w:tab w:val="right" w:pos="9026"/>
        </w:tabs>
        <w:spacing w:after="120" w:line="300" w:lineRule="auto"/>
        <w:rPr>
          <w:rFonts w:ascii="Verdana" w:hAnsi="Verdana" w:cs="Arial"/>
          <w:bCs/>
          <w:lang w:val="en-GB"/>
        </w:rPr>
      </w:pPr>
      <w:r>
        <w:rPr>
          <w:rFonts w:ascii="Verdana" w:hAnsi="Verdana" w:cs="Arial"/>
          <w:b/>
          <w:lang w:val="en-GB"/>
        </w:rPr>
        <w:t>TREVOR MADANGWEALE</w:t>
      </w:r>
      <w:r>
        <w:rPr>
          <w:rFonts w:ascii="Verdana" w:hAnsi="Verdana" w:cs="Arial"/>
          <w:bCs/>
          <w:lang w:val="en-GB"/>
        </w:rPr>
        <w:tab/>
        <w:t>Twenty-eighth respondent</w:t>
      </w:r>
    </w:p>
    <w:p w14:paraId="7968BE28" w14:textId="3A55AE9B" w:rsidR="001D30F8" w:rsidRDefault="001D30F8" w:rsidP="00467A6B">
      <w:pPr>
        <w:widowControl w:val="0"/>
        <w:tabs>
          <w:tab w:val="right" w:pos="9026"/>
        </w:tabs>
        <w:spacing w:after="0" w:line="300" w:lineRule="auto"/>
        <w:rPr>
          <w:rFonts w:ascii="Verdana" w:hAnsi="Verdana" w:cs="Arial"/>
          <w:b/>
          <w:lang w:val="en-GB"/>
        </w:rPr>
      </w:pPr>
      <w:r w:rsidRPr="001D30F8">
        <w:rPr>
          <w:rFonts w:ascii="Verdana" w:hAnsi="Verdana" w:cs="Arial"/>
          <w:b/>
          <w:lang w:val="en-GB"/>
        </w:rPr>
        <w:t>THE UNLAWFUL</w:t>
      </w:r>
      <w:r>
        <w:rPr>
          <w:rFonts w:ascii="Verdana" w:hAnsi="Verdana" w:cs="Arial"/>
          <w:b/>
          <w:lang w:val="en-GB"/>
        </w:rPr>
        <w:t xml:space="preserve"> INVADERS OF HOLDING 2, </w:t>
      </w:r>
    </w:p>
    <w:p w14:paraId="3473D35F" w14:textId="369E770C" w:rsidR="001D30F8" w:rsidRDefault="00467A6B" w:rsidP="00467A6B">
      <w:pPr>
        <w:widowControl w:val="0"/>
        <w:tabs>
          <w:tab w:val="right" w:pos="9026"/>
        </w:tabs>
        <w:spacing w:after="120" w:line="300" w:lineRule="auto"/>
        <w:rPr>
          <w:rFonts w:ascii="Verdana" w:hAnsi="Verdana" w:cs="Arial"/>
          <w:bCs/>
          <w:lang w:val="en-GB"/>
        </w:rPr>
      </w:pPr>
      <w:r>
        <w:rPr>
          <w:rFonts w:ascii="Verdana" w:hAnsi="Verdana" w:cs="Arial"/>
          <w:b/>
          <w:lang w:val="en-GB"/>
        </w:rPr>
        <w:t>C</w:t>
      </w:r>
      <w:r w:rsidR="001D30F8">
        <w:rPr>
          <w:rFonts w:ascii="Verdana" w:hAnsi="Verdana" w:cs="Arial"/>
          <w:b/>
          <w:lang w:val="en-GB"/>
        </w:rPr>
        <w:t>ATHERINE ROAD, MOSTYN PARK</w:t>
      </w:r>
      <w:r w:rsidR="001D30F8">
        <w:rPr>
          <w:rFonts w:ascii="Verdana" w:hAnsi="Verdana" w:cs="Arial"/>
          <w:bCs/>
          <w:lang w:val="en-GB"/>
        </w:rPr>
        <w:tab/>
        <w:t>Twenty-ninth respondent</w:t>
      </w:r>
    </w:p>
    <w:p w14:paraId="20980E6C" w14:textId="65481CB9" w:rsidR="001D30F8" w:rsidRDefault="001D30F8" w:rsidP="00467A6B">
      <w:pPr>
        <w:widowControl w:val="0"/>
        <w:tabs>
          <w:tab w:val="right" w:pos="9026"/>
        </w:tabs>
        <w:spacing w:after="0" w:line="300" w:lineRule="auto"/>
        <w:rPr>
          <w:rFonts w:ascii="Verdana" w:hAnsi="Verdana" w:cs="Arial"/>
          <w:b/>
          <w:lang w:val="en-GB"/>
        </w:rPr>
      </w:pPr>
      <w:r>
        <w:rPr>
          <w:rFonts w:ascii="Verdana" w:hAnsi="Verdana" w:cs="Arial"/>
          <w:b/>
          <w:lang w:val="en-GB"/>
        </w:rPr>
        <w:t>THE CITY OF JOHANNESBURG METROPOLITAN</w:t>
      </w:r>
    </w:p>
    <w:p w14:paraId="29D30863" w14:textId="101E75B9" w:rsidR="001D30F8" w:rsidRPr="001D30F8" w:rsidRDefault="001D30F8" w:rsidP="00467A6B">
      <w:pPr>
        <w:widowControl w:val="0"/>
        <w:tabs>
          <w:tab w:val="right" w:pos="9026"/>
        </w:tabs>
        <w:spacing w:after="0" w:line="300" w:lineRule="auto"/>
        <w:rPr>
          <w:rFonts w:ascii="Verdana" w:hAnsi="Verdana" w:cs="Arial"/>
          <w:bCs/>
          <w:lang w:val="en-GB"/>
        </w:rPr>
      </w:pPr>
      <w:r>
        <w:rPr>
          <w:rFonts w:ascii="Verdana" w:hAnsi="Verdana" w:cs="Arial"/>
          <w:b/>
          <w:lang w:val="en-GB"/>
        </w:rPr>
        <w:t>MUNICIPALITY</w:t>
      </w:r>
      <w:r>
        <w:rPr>
          <w:rFonts w:ascii="Verdana" w:hAnsi="Verdana" w:cs="Arial"/>
          <w:bCs/>
          <w:lang w:val="en-GB"/>
        </w:rPr>
        <w:tab/>
        <w:t>Thirtieth respondent</w:t>
      </w:r>
    </w:p>
    <w:p w14:paraId="55ACA93C" w14:textId="77777777" w:rsidR="001D30F8" w:rsidRPr="001D30F8" w:rsidRDefault="001D30F8" w:rsidP="00467A6B">
      <w:pPr>
        <w:widowControl w:val="0"/>
        <w:tabs>
          <w:tab w:val="right" w:pos="9026"/>
        </w:tabs>
        <w:spacing w:after="0" w:line="312" w:lineRule="auto"/>
        <w:rPr>
          <w:rFonts w:ascii="Verdana" w:hAnsi="Verdana" w:cs="Arial"/>
          <w:bCs/>
          <w:lang w:val="en-GB"/>
        </w:rPr>
      </w:pPr>
    </w:p>
    <w:p w14:paraId="70970D0F" w14:textId="77777777" w:rsidR="00257B90" w:rsidRPr="00182F9A" w:rsidRDefault="00257B90"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182F9A" w14:paraId="20EB356B" w14:textId="77777777" w:rsidTr="00AE6AE3">
        <w:tc>
          <w:tcPr>
            <w:tcW w:w="9242" w:type="dxa"/>
          </w:tcPr>
          <w:p w14:paraId="4CD84C12" w14:textId="4C5666F6" w:rsidR="00AE6AE3" w:rsidRPr="00182F9A" w:rsidRDefault="00AE6AE3" w:rsidP="00403ABF">
            <w:pPr>
              <w:widowControl w:val="0"/>
              <w:spacing w:before="360" w:after="120" w:line="480" w:lineRule="auto"/>
              <w:jc w:val="center"/>
              <w:rPr>
                <w:rFonts w:ascii="Verdana" w:hAnsi="Verdana" w:cs="Arial"/>
                <w:b/>
                <w:sz w:val="24"/>
                <w:szCs w:val="24"/>
                <w:lang w:val="en-GB"/>
              </w:rPr>
            </w:pPr>
            <w:r w:rsidRPr="00182F9A">
              <w:rPr>
                <w:rFonts w:ascii="Verdana" w:hAnsi="Verdana" w:cs="Arial"/>
                <w:b/>
                <w:sz w:val="24"/>
                <w:szCs w:val="24"/>
                <w:lang w:val="en-GB"/>
              </w:rPr>
              <w:lastRenderedPageBreak/>
              <w:t>J</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U</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D</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G</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M</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E</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N</w:t>
            </w:r>
            <w:r w:rsidR="008F1271" w:rsidRPr="00182F9A">
              <w:rPr>
                <w:rFonts w:ascii="Verdana" w:hAnsi="Verdana" w:cs="Arial"/>
                <w:b/>
                <w:sz w:val="24"/>
                <w:szCs w:val="24"/>
                <w:lang w:val="en-GB"/>
              </w:rPr>
              <w:t xml:space="preserve"> </w:t>
            </w:r>
            <w:r w:rsidRPr="00182F9A">
              <w:rPr>
                <w:rFonts w:ascii="Verdana" w:hAnsi="Verdana" w:cs="Arial"/>
                <w:b/>
                <w:sz w:val="24"/>
                <w:szCs w:val="24"/>
                <w:lang w:val="en-GB"/>
              </w:rPr>
              <w:t>T</w:t>
            </w:r>
          </w:p>
        </w:tc>
      </w:tr>
    </w:tbl>
    <w:p w14:paraId="776B82AA" w14:textId="7E3E827E" w:rsidR="00E4432D" w:rsidRPr="00182F9A" w:rsidRDefault="00E4432D" w:rsidP="00DF5382">
      <w:pPr>
        <w:widowControl w:val="0"/>
        <w:spacing w:before="840" w:after="360" w:line="312" w:lineRule="auto"/>
        <w:jc w:val="both"/>
        <w:rPr>
          <w:rFonts w:ascii="Verdana" w:hAnsi="Verdana" w:cs="Arial"/>
          <w:b/>
          <w:bCs/>
          <w:lang w:val="en-GB"/>
        </w:rPr>
      </w:pPr>
      <w:r w:rsidRPr="00182F9A">
        <w:rPr>
          <w:rFonts w:ascii="Verdana" w:hAnsi="Verdana" w:cs="Arial"/>
          <w:b/>
          <w:bCs/>
          <w:u w:val="single"/>
          <w:lang w:val="en-GB"/>
        </w:rPr>
        <w:t>DELIVERED</w:t>
      </w:r>
      <w:r w:rsidRPr="00182F9A">
        <w:rPr>
          <w:rFonts w:ascii="Verdana" w:hAnsi="Verdana" w:cs="Arial"/>
          <w:b/>
          <w:bCs/>
          <w:lang w:val="en-GB"/>
        </w:rPr>
        <w:t xml:space="preserve">: </w:t>
      </w:r>
      <w:r w:rsidR="001356F3" w:rsidRPr="00182F9A">
        <w:rPr>
          <w:rFonts w:ascii="Verdana" w:hAnsi="Verdana" w:cs="Arial"/>
          <w:b/>
          <w:bCs/>
          <w:lang w:val="en-GB"/>
        </w:rPr>
        <w:t xml:space="preserve"> </w:t>
      </w:r>
      <w:r w:rsidRPr="00182F9A">
        <w:rPr>
          <w:rFonts w:ascii="Verdana" w:hAnsi="Verdana"/>
          <w:lang w:val="en-GB"/>
        </w:rPr>
        <w:t>This judgment was handed down electronically by circulation to the parties’ legal representatives by e</w:t>
      </w:r>
      <w:r w:rsidR="001356F3" w:rsidRPr="00182F9A">
        <w:rPr>
          <w:rFonts w:ascii="Verdana" w:hAnsi="Verdana"/>
          <w:lang w:val="en-GB"/>
        </w:rPr>
        <w:noBreakHyphen/>
      </w:r>
      <w:r w:rsidRPr="00182F9A">
        <w:rPr>
          <w:rFonts w:ascii="Verdana" w:hAnsi="Verdana"/>
          <w:lang w:val="en-GB"/>
        </w:rPr>
        <w:t xml:space="preserve">mail and publication on </w:t>
      </w:r>
      <w:proofErr w:type="spellStart"/>
      <w:r w:rsidRPr="00182F9A">
        <w:rPr>
          <w:rFonts w:ascii="Verdana" w:hAnsi="Verdana"/>
          <w:lang w:val="en-GB"/>
        </w:rPr>
        <w:t>CaseLines</w:t>
      </w:r>
      <w:proofErr w:type="spellEnd"/>
      <w:r w:rsidRPr="00182F9A">
        <w:rPr>
          <w:rFonts w:ascii="Verdana" w:hAnsi="Verdana"/>
          <w:lang w:val="en-GB"/>
        </w:rPr>
        <w:t xml:space="preserve">. </w:t>
      </w:r>
      <w:r w:rsidR="001356F3" w:rsidRPr="00182F9A">
        <w:rPr>
          <w:rFonts w:ascii="Verdana" w:hAnsi="Verdana"/>
          <w:lang w:val="en-GB"/>
        </w:rPr>
        <w:t xml:space="preserve"> </w:t>
      </w:r>
      <w:r w:rsidRPr="00182F9A">
        <w:rPr>
          <w:rFonts w:ascii="Verdana" w:hAnsi="Verdana"/>
          <w:lang w:val="en-GB"/>
        </w:rPr>
        <w:t xml:space="preserve">The date and time for hand-down is deemed to be </w:t>
      </w:r>
      <w:r w:rsidR="0000665E" w:rsidRPr="00182F9A">
        <w:rPr>
          <w:rFonts w:ascii="Verdana" w:hAnsi="Verdana"/>
          <w:lang w:val="en-GB"/>
        </w:rPr>
        <w:t>1</w:t>
      </w:r>
      <w:r w:rsidR="00941820">
        <w:rPr>
          <w:rFonts w:ascii="Verdana" w:hAnsi="Verdana"/>
          <w:lang w:val="en-GB"/>
        </w:rPr>
        <w:t>0</w:t>
      </w:r>
      <w:r w:rsidR="0000665E" w:rsidRPr="00182F9A">
        <w:rPr>
          <w:rFonts w:ascii="Verdana" w:hAnsi="Verdana"/>
          <w:lang w:val="en-GB"/>
        </w:rPr>
        <w:t xml:space="preserve">h00 </w:t>
      </w:r>
      <w:r w:rsidRPr="00182F9A">
        <w:rPr>
          <w:rFonts w:ascii="Verdana" w:hAnsi="Verdana"/>
          <w:lang w:val="en-GB"/>
        </w:rPr>
        <w:t>on</w:t>
      </w:r>
      <w:r w:rsidR="004D0E40" w:rsidRPr="00182F9A">
        <w:rPr>
          <w:rFonts w:ascii="Verdana" w:hAnsi="Verdana"/>
          <w:lang w:val="en-GB"/>
        </w:rPr>
        <w:t xml:space="preserve"> </w:t>
      </w:r>
      <w:r w:rsidR="00467A6B">
        <w:rPr>
          <w:rFonts w:ascii="Verdana" w:hAnsi="Verdana"/>
          <w:lang w:val="en-GB"/>
        </w:rPr>
        <w:t xml:space="preserve">15 July </w:t>
      </w:r>
      <w:r w:rsidR="00377485" w:rsidRPr="00182F9A">
        <w:rPr>
          <w:rFonts w:ascii="Verdana" w:hAnsi="Verdana"/>
          <w:lang w:val="en-GB"/>
        </w:rPr>
        <w:t>2024</w:t>
      </w:r>
      <w:r w:rsidR="00335840" w:rsidRPr="00182F9A">
        <w:rPr>
          <w:rFonts w:ascii="Verdana" w:hAnsi="Verdana"/>
          <w:lang w:val="en-GB"/>
        </w:rPr>
        <w:t>.</w:t>
      </w:r>
    </w:p>
    <w:p w14:paraId="4481D702" w14:textId="3C5D9D8D" w:rsidR="00386CF6" w:rsidRPr="00182F9A" w:rsidRDefault="00CC79D8" w:rsidP="00467A6B">
      <w:pPr>
        <w:keepNext/>
        <w:widowControl w:val="0"/>
        <w:spacing w:after="400" w:line="432" w:lineRule="auto"/>
        <w:rPr>
          <w:rFonts w:ascii="Verdana" w:hAnsi="Verdana" w:cs="Arial"/>
          <w:u w:val="single"/>
          <w:lang w:val="en-GB"/>
        </w:rPr>
      </w:pPr>
      <w:r w:rsidRPr="00182F9A">
        <w:rPr>
          <w:rFonts w:ascii="Verdana" w:hAnsi="Verdana" w:cs="Arial"/>
          <w:u w:val="single"/>
          <w:lang w:val="en-GB"/>
        </w:rPr>
        <w:t xml:space="preserve">F. </w:t>
      </w:r>
      <w:r w:rsidR="00F46B89" w:rsidRPr="00182F9A">
        <w:rPr>
          <w:rFonts w:ascii="Verdana" w:hAnsi="Verdana" w:cs="Arial"/>
          <w:u w:val="single"/>
          <w:lang w:val="en-GB"/>
        </w:rPr>
        <w:t xml:space="preserve">BEZUIDENHOUT </w:t>
      </w:r>
      <w:r w:rsidR="00225130" w:rsidRPr="00182F9A">
        <w:rPr>
          <w:rFonts w:ascii="Verdana" w:hAnsi="Verdana" w:cs="Arial"/>
          <w:u w:val="single"/>
          <w:lang w:val="en-GB"/>
        </w:rPr>
        <w:t>AJ:</w:t>
      </w:r>
    </w:p>
    <w:p w14:paraId="01117D13" w14:textId="3232FB8C" w:rsidR="00030F60" w:rsidRPr="00182F9A" w:rsidRDefault="00030F60" w:rsidP="008B2A4F">
      <w:pPr>
        <w:pStyle w:val="Indent"/>
        <w:keepNext/>
        <w:widowControl w:val="0"/>
        <w:spacing w:after="360" w:line="480" w:lineRule="auto"/>
        <w:jc w:val="both"/>
        <w:rPr>
          <w:rFonts w:ascii="Verdana" w:hAnsi="Verdana" w:cs="Arial"/>
          <w:b/>
          <w:bCs/>
          <w:sz w:val="22"/>
          <w:szCs w:val="22"/>
          <w:lang w:val="en-GB"/>
        </w:rPr>
      </w:pPr>
      <w:r w:rsidRPr="00182F9A">
        <w:rPr>
          <w:rFonts w:ascii="Verdana" w:hAnsi="Verdana" w:cs="Arial"/>
          <w:b/>
          <w:bCs/>
          <w:sz w:val="22"/>
          <w:szCs w:val="22"/>
          <w:lang w:val="en-GB"/>
        </w:rPr>
        <w:t>INTRODUCTION</w:t>
      </w:r>
    </w:p>
    <w:p w14:paraId="40859F98" w14:textId="6B013B3D" w:rsidR="001115DB"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w:t>
      </w:r>
      <w:r>
        <w:rPr>
          <w:rFonts w:ascii="Verdana" w:hAnsi="Verdana" w:cs="Arial"/>
          <w:color w:val="000000" w:themeColor="text1"/>
          <w:sz w:val="22"/>
          <w:szCs w:val="22"/>
          <w:lang w:val="en-GB"/>
        </w:rPr>
        <w:tab/>
      </w:r>
      <w:r w:rsidR="00E214BD">
        <w:rPr>
          <w:rFonts w:ascii="Verdana" w:hAnsi="Verdana" w:cs="Arial"/>
          <w:sz w:val="22"/>
          <w:szCs w:val="22"/>
          <w:lang w:val="en-GB"/>
        </w:rPr>
        <w:t>Th</w:t>
      </w:r>
      <w:r w:rsidR="00467A6B">
        <w:rPr>
          <w:rFonts w:ascii="Verdana" w:hAnsi="Verdana" w:cs="Arial"/>
          <w:sz w:val="22"/>
          <w:szCs w:val="22"/>
          <w:lang w:val="en-GB"/>
        </w:rPr>
        <w:t xml:space="preserve">is is an application for the eviction of the </w:t>
      </w:r>
      <w:r w:rsidR="00467A6B">
        <w:rPr>
          <w:rFonts w:ascii="Verdana" w:hAnsi="Verdana"/>
          <w:sz w:val="22"/>
          <w:szCs w:val="22"/>
          <w:lang w:val="en-GB"/>
        </w:rPr>
        <w:t>first to twenty-ninth respondents</w:t>
      </w:r>
      <w:r w:rsidR="001362AA">
        <w:rPr>
          <w:rFonts w:ascii="Verdana" w:hAnsi="Verdana"/>
          <w:sz w:val="22"/>
          <w:szCs w:val="22"/>
          <w:lang w:val="en-GB"/>
        </w:rPr>
        <w:t xml:space="preserve"> (“</w:t>
      </w:r>
      <w:r w:rsidR="001362AA">
        <w:rPr>
          <w:rFonts w:ascii="Verdana" w:hAnsi="Verdana"/>
          <w:b/>
          <w:bCs/>
          <w:sz w:val="22"/>
          <w:szCs w:val="22"/>
          <w:lang w:val="en-GB"/>
        </w:rPr>
        <w:t>the respondents</w:t>
      </w:r>
      <w:r w:rsidR="001362AA">
        <w:rPr>
          <w:rFonts w:ascii="Verdana" w:hAnsi="Verdana"/>
          <w:sz w:val="22"/>
          <w:szCs w:val="22"/>
          <w:lang w:val="en-GB"/>
        </w:rPr>
        <w:t>”)</w:t>
      </w:r>
      <w:r w:rsidR="00467A6B">
        <w:rPr>
          <w:rFonts w:ascii="Verdana" w:hAnsi="Verdana" w:cs="Arial"/>
          <w:sz w:val="22"/>
          <w:szCs w:val="22"/>
          <w:lang w:val="en-GB"/>
        </w:rPr>
        <w:t>, and those who reside through them, from the property known as Holding </w:t>
      </w:r>
      <w:r w:rsidR="005F3B9F">
        <w:rPr>
          <w:rFonts w:ascii="Verdana" w:hAnsi="Verdana" w:cs="Arial"/>
          <w:sz w:val="22"/>
          <w:szCs w:val="22"/>
          <w:lang w:val="en-GB"/>
        </w:rPr>
        <w:t>[…]</w:t>
      </w:r>
      <w:r w:rsidR="00467A6B">
        <w:rPr>
          <w:rFonts w:ascii="Verdana" w:hAnsi="Verdana" w:cs="Arial"/>
          <w:sz w:val="22"/>
          <w:szCs w:val="22"/>
          <w:lang w:val="en-GB"/>
        </w:rPr>
        <w:t>, Catherine Road, Mostyn Park</w:t>
      </w:r>
      <w:r w:rsidR="00495714">
        <w:rPr>
          <w:rFonts w:ascii="Verdana" w:hAnsi="Verdana" w:cs="Arial"/>
          <w:sz w:val="22"/>
          <w:szCs w:val="22"/>
          <w:lang w:val="en-GB"/>
        </w:rPr>
        <w:t xml:space="preserve"> (“</w:t>
      </w:r>
      <w:r w:rsidR="00495714">
        <w:rPr>
          <w:rFonts w:ascii="Verdana" w:hAnsi="Verdana" w:cs="Arial"/>
          <w:b/>
          <w:bCs/>
          <w:sz w:val="22"/>
          <w:szCs w:val="22"/>
          <w:lang w:val="en-GB"/>
        </w:rPr>
        <w:t>the property</w:t>
      </w:r>
      <w:r w:rsidR="00495714" w:rsidRPr="00495714">
        <w:rPr>
          <w:rFonts w:ascii="Verdana" w:hAnsi="Verdana" w:cs="Arial"/>
          <w:sz w:val="22"/>
          <w:szCs w:val="22"/>
          <w:lang w:val="en-GB"/>
        </w:rPr>
        <w:t>”)</w:t>
      </w:r>
      <w:r w:rsidR="00495714">
        <w:rPr>
          <w:rFonts w:ascii="Verdana" w:hAnsi="Verdana" w:cs="Arial"/>
          <w:sz w:val="22"/>
          <w:szCs w:val="22"/>
          <w:lang w:val="en-GB"/>
        </w:rPr>
        <w:t>, in terms of the Prevention of Illegal Eviction from and Unlawful Occupation of Land Act, 19 of 1998 (“</w:t>
      </w:r>
      <w:r w:rsidR="00495714">
        <w:rPr>
          <w:rFonts w:ascii="Verdana" w:hAnsi="Verdana" w:cs="Arial"/>
          <w:b/>
          <w:bCs/>
          <w:sz w:val="22"/>
          <w:szCs w:val="22"/>
          <w:lang w:val="en-GB"/>
        </w:rPr>
        <w:t>PIE</w:t>
      </w:r>
      <w:r w:rsidR="00495714">
        <w:rPr>
          <w:rFonts w:ascii="Verdana" w:hAnsi="Verdana" w:cs="Arial"/>
          <w:sz w:val="22"/>
          <w:szCs w:val="22"/>
          <w:lang w:val="en-GB"/>
        </w:rPr>
        <w:t>”)</w:t>
      </w:r>
      <w:r w:rsidR="00467A6B">
        <w:rPr>
          <w:rFonts w:ascii="Verdana" w:hAnsi="Verdana" w:cs="Arial"/>
          <w:sz w:val="22"/>
          <w:szCs w:val="22"/>
          <w:lang w:val="en-GB"/>
        </w:rPr>
        <w:t xml:space="preserve">. </w:t>
      </w:r>
    </w:p>
    <w:p w14:paraId="4B3B9675" w14:textId="73D8FA65" w:rsidR="00467A6B" w:rsidRPr="00495714" w:rsidRDefault="005B385E" w:rsidP="005B385E">
      <w:pPr>
        <w:pStyle w:val="Indent"/>
        <w:widowControl w:val="0"/>
        <w:spacing w:after="360" w:line="480" w:lineRule="auto"/>
        <w:ind w:left="720" w:hanging="720"/>
        <w:jc w:val="both"/>
        <w:rPr>
          <w:rFonts w:ascii="Verdana" w:hAnsi="Verdana" w:cs="Arial"/>
          <w:sz w:val="22"/>
          <w:szCs w:val="22"/>
          <w:lang w:val="en-GB"/>
        </w:rPr>
      </w:pPr>
      <w:r w:rsidRPr="00495714">
        <w:rPr>
          <w:rFonts w:ascii="Verdana" w:hAnsi="Verdana" w:cs="Arial"/>
          <w:color w:val="000000" w:themeColor="text1"/>
          <w:sz w:val="22"/>
          <w:szCs w:val="22"/>
          <w:lang w:val="en-GB"/>
        </w:rPr>
        <w:t>[2]</w:t>
      </w:r>
      <w:r w:rsidRPr="00495714">
        <w:rPr>
          <w:rFonts w:ascii="Verdana" w:hAnsi="Verdana" w:cs="Arial"/>
          <w:color w:val="000000" w:themeColor="text1"/>
          <w:sz w:val="22"/>
          <w:szCs w:val="22"/>
          <w:lang w:val="en-GB"/>
        </w:rPr>
        <w:tab/>
      </w:r>
      <w:r w:rsidR="00495714">
        <w:rPr>
          <w:rFonts w:ascii="Verdana" w:hAnsi="Verdana" w:cs="Arial"/>
          <w:sz w:val="22"/>
          <w:szCs w:val="22"/>
          <w:lang w:val="en-GB"/>
        </w:rPr>
        <w:t xml:space="preserve">In terms of the joint practice note filed by the parties, it is admitted that the applicants are the owners of the property and that the </w:t>
      </w:r>
      <w:r w:rsidR="00495714">
        <w:rPr>
          <w:rFonts w:ascii="Verdana" w:hAnsi="Verdana"/>
          <w:sz w:val="22"/>
          <w:szCs w:val="22"/>
          <w:lang w:val="en-GB"/>
        </w:rPr>
        <w:t xml:space="preserve">respondents received notice to vacate. </w:t>
      </w:r>
    </w:p>
    <w:p w14:paraId="2634CE3D" w14:textId="4B862226"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w:t>
      </w:r>
      <w:r>
        <w:rPr>
          <w:rFonts w:ascii="Verdana" w:hAnsi="Verdana" w:cs="Arial"/>
          <w:color w:val="000000" w:themeColor="text1"/>
          <w:sz w:val="22"/>
          <w:szCs w:val="22"/>
          <w:lang w:val="en-GB"/>
        </w:rPr>
        <w:tab/>
      </w:r>
      <w:r w:rsidR="00495714">
        <w:rPr>
          <w:rFonts w:ascii="Verdana" w:hAnsi="Verdana" w:cs="Arial"/>
          <w:sz w:val="22"/>
          <w:szCs w:val="22"/>
          <w:lang w:val="en-GB"/>
        </w:rPr>
        <w:t>This court was called upon to determine the following issues: -</w:t>
      </w:r>
    </w:p>
    <w:p w14:paraId="1D7A3908" w14:textId="472AAEF1" w:rsid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[3.1]</w:t>
      </w:r>
      <w:r>
        <w:rPr>
          <w:rFonts w:ascii="Verdana" w:hAnsi="Verdana" w:cs="Arial"/>
          <w:sz w:val="22"/>
          <w:szCs w:val="22"/>
          <w:lang w:val="en-GB"/>
        </w:rPr>
        <w:tab/>
      </w:r>
      <w:r w:rsidR="00495714">
        <w:rPr>
          <w:rFonts w:ascii="Verdana" w:hAnsi="Verdana" w:cs="Arial"/>
          <w:sz w:val="22"/>
          <w:szCs w:val="22"/>
          <w:lang w:val="en-GB"/>
        </w:rPr>
        <w:t>Whether PIE is applicable or whether the provisions of the Extension of Security of Tenure Act, 62 of 1997 (“</w:t>
      </w:r>
      <w:r w:rsidR="00495714">
        <w:rPr>
          <w:rFonts w:ascii="Verdana" w:hAnsi="Verdana" w:cs="Arial"/>
          <w:b/>
          <w:bCs/>
          <w:sz w:val="22"/>
          <w:szCs w:val="22"/>
          <w:lang w:val="en-GB"/>
        </w:rPr>
        <w:t>ESTA</w:t>
      </w:r>
      <w:r w:rsidR="00495714">
        <w:rPr>
          <w:rFonts w:ascii="Verdana" w:hAnsi="Verdana" w:cs="Arial"/>
          <w:sz w:val="22"/>
          <w:szCs w:val="22"/>
          <w:lang w:val="en-GB"/>
        </w:rPr>
        <w:t xml:space="preserve">”) are </w:t>
      </w:r>
      <w:proofErr w:type="gramStart"/>
      <w:r w:rsidR="00495714">
        <w:rPr>
          <w:rFonts w:ascii="Verdana" w:hAnsi="Verdana" w:cs="Arial"/>
          <w:sz w:val="22"/>
          <w:szCs w:val="22"/>
          <w:lang w:val="en-GB"/>
        </w:rPr>
        <w:t>applicable;</w:t>
      </w:r>
      <w:proofErr w:type="gramEnd"/>
    </w:p>
    <w:p w14:paraId="5009B026" w14:textId="6E7CDCAC" w:rsidR="00495714" w:rsidRP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sidRPr="00495714">
        <w:rPr>
          <w:rFonts w:ascii="Verdana" w:hAnsi="Verdana" w:cs="Arial"/>
          <w:sz w:val="22"/>
          <w:szCs w:val="22"/>
          <w:lang w:val="en-GB"/>
        </w:rPr>
        <w:t>[3.2]</w:t>
      </w:r>
      <w:r w:rsidRPr="00495714">
        <w:rPr>
          <w:rFonts w:ascii="Verdana" w:hAnsi="Verdana" w:cs="Arial"/>
          <w:sz w:val="22"/>
          <w:szCs w:val="22"/>
          <w:lang w:val="en-GB"/>
        </w:rPr>
        <w:tab/>
      </w:r>
      <w:r w:rsidR="00495714">
        <w:rPr>
          <w:rFonts w:ascii="Verdana" w:hAnsi="Verdana" w:cs="Arial"/>
          <w:sz w:val="22"/>
          <w:szCs w:val="22"/>
          <w:lang w:val="en-GB"/>
        </w:rPr>
        <w:t xml:space="preserve">Whether the </w:t>
      </w:r>
      <w:r w:rsidR="00495714">
        <w:rPr>
          <w:rFonts w:ascii="Verdana" w:hAnsi="Verdana"/>
          <w:sz w:val="22"/>
          <w:szCs w:val="22"/>
          <w:lang w:val="en-GB"/>
        </w:rPr>
        <w:t xml:space="preserve">respondents have demonstrated a right to </w:t>
      </w:r>
      <w:proofErr w:type="gramStart"/>
      <w:r w:rsidR="00495714">
        <w:rPr>
          <w:rFonts w:ascii="Verdana" w:hAnsi="Verdana"/>
          <w:sz w:val="22"/>
          <w:szCs w:val="22"/>
          <w:lang w:val="en-GB"/>
        </w:rPr>
        <w:t>occupy;</w:t>
      </w:r>
      <w:proofErr w:type="gramEnd"/>
      <w:r w:rsidR="00495714">
        <w:rPr>
          <w:rFonts w:ascii="Verdana" w:hAnsi="Verdana"/>
          <w:sz w:val="22"/>
          <w:szCs w:val="22"/>
          <w:lang w:val="en-GB"/>
        </w:rPr>
        <w:t xml:space="preserve"> </w:t>
      </w:r>
    </w:p>
    <w:p w14:paraId="4CAF43CE" w14:textId="0765FBE3" w:rsidR="00495714" w:rsidRP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sidRPr="00495714">
        <w:rPr>
          <w:rFonts w:ascii="Verdana" w:hAnsi="Verdana" w:cs="Arial"/>
          <w:sz w:val="22"/>
          <w:szCs w:val="22"/>
          <w:lang w:val="en-GB"/>
        </w:rPr>
        <w:t>[3.3]</w:t>
      </w:r>
      <w:r w:rsidRPr="00495714">
        <w:rPr>
          <w:rFonts w:ascii="Verdana" w:hAnsi="Verdana" w:cs="Arial"/>
          <w:sz w:val="22"/>
          <w:szCs w:val="22"/>
          <w:lang w:val="en-GB"/>
        </w:rPr>
        <w:tab/>
      </w:r>
      <w:r w:rsidR="00495714">
        <w:rPr>
          <w:rFonts w:ascii="Verdana" w:hAnsi="Verdana"/>
          <w:sz w:val="22"/>
          <w:szCs w:val="22"/>
          <w:lang w:val="en-GB"/>
        </w:rPr>
        <w:t xml:space="preserve">Whether the respondents hold a lien over the property for the </w:t>
      </w:r>
      <w:r w:rsidR="00495714">
        <w:rPr>
          <w:rFonts w:ascii="Verdana" w:hAnsi="Verdana"/>
          <w:sz w:val="22"/>
          <w:szCs w:val="22"/>
          <w:lang w:val="en-GB"/>
        </w:rPr>
        <w:lastRenderedPageBreak/>
        <w:t xml:space="preserve">security of deposit held by the </w:t>
      </w:r>
      <w:proofErr w:type="gramStart"/>
      <w:r w:rsidR="00495714">
        <w:rPr>
          <w:rFonts w:ascii="Verdana" w:hAnsi="Verdana"/>
          <w:sz w:val="22"/>
          <w:szCs w:val="22"/>
          <w:lang w:val="en-GB"/>
        </w:rPr>
        <w:t>applicants;</w:t>
      </w:r>
      <w:proofErr w:type="gramEnd"/>
      <w:r w:rsidR="00495714">
        <w:rPr>
          <w:rFonts w:ascii="Verdana" w:hAnsi="Verdana"/>
          <w:sz w:val="22"/>
          <w:szCs w:val="22"/>
          <w:lang w:val="en-GB"/>
        </w:rPr>
        <w:t xml:space="preserve"> </w:t>
      </w:r>
    </w:p>
    <w:p w14:paraId="5EC5BA96" w14:textId="47C5B964" w:rsidR="00495714" w:rsidRP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sidRPr="00495714">
        <w:rPr>
          <w:rFonts w:ascii="Verdana" w:hAnsi="Verdana" w:cs="Arial"/>
          <w:sz w:val="22"/>
          <w:szCs w:val="22"/>
          <w:lang w:val="en-GB"/>
        </w:rPr>
        <w:t>[3.4]</w:t>
      </w:r>
      <w:r w:rsidRPr="00495714">
        <w:rPr>
          <w:rFonts w:ascii="Verdana" w:hAnsi="Verdana" w:cs="Arial"/>
          <w:sz w:val="22"/>
          <w:szCs w:val="22"/>
          <w:lang w:val="en-GB"/>
        </w:rPr>
        <w:tab/>
      </w:r>
      <w:r w:rsidR="00495714">
        <w:rPr>
          <w:rFonts w:ascii="Verdana" w:hAnsi="Verdana"/>
          <w:sz w:val="22"/>
          <w:szCs w:val="22"/>
          <w:lang w:val="en-GB"/>
        </w:rPr>
        <w:t xml:space="preserve">Whether it is just and fair that an eviction order be </w:t>
      </w:r>
      <w:proofErr w:type="gramStart"/>
      <w:r w:rsidR="00495714">
        <w:rPr>
          <w:rFonts w:ascii="Verdana" w:hAnsi="Verdana"/>
          <w:sz w:val="22"/>
          <w:szCs w:val="22"/>
          <w:lang w:val="en-GB"/>
        </w:rPr>
        <w:t>granted;</w:t>
      </w:r>
      <w:proofErr w:type="gramEnd"/>
      <w:r w:rsidR="00495714">
        <w:rPr>
          <w:rFonts w:ascii="Verdana" w:hAnsi="Verdana"/>
          <w:sz w:val="22"/>
          <w:szCs w:val="22"/>
          <w:lang w:val="en-GB"/>
        </w:rPr>
        <w:t xml:space="preserve"> </w:t>
      </w:r>
    </w:p>
    <w:p w14:paraId="7581B310" w14:textId="0B474243" w:rsid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[3.5]</w:t>
      </w:r>
      <w:r>
        <w:rPr>
          <w:rFonts w:ascii="Verdana" w:hAnsi="Verdana" w:cs="Arial"/>
          <w:sz w:val="22"/>
          <w:szCs w:val="22"/>
          <w:lang w:val="en-GB"/>
        </w:rPr>
        <w:tab/>
      </w:r>
      <w:r w:rsidR="00495714">
        <w:rPr>
          <w:rFonts w:ascii="Verdana" w:hAnsi="Verdana"/>
          <w:sz w:val="22"/>
          <w:szCs w:val="22"/>
          <w:lang w:val="en-GB"/>
        </w:rPr>
        <w:t xml:space="preserve">Whether the respondents will be homeless if the order is granted. </w:t>
      </w:r>
    </w:p>
    <w:p w14:paraId="7CDF0CEC" w14:textId="2A5D7C7B" w:rsidR="004E2629" w:rsidRPr="00182F9A" w:rsidRDefault="00495714" w:rsidP="00E214BD">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DOES PIE OR ESTA APPLY?</w:t>
      </w:r>
    </w:p>
    <w:p w14:paraId="60124412" w14:textId="2661A6C3"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w:t>
      </w:r>
      <w:r>
        <w:rPr>
          <w:rFonts w:ascii="Verdana" w:hAnsi="Verdana" w:cs="Arial"/>
          <w:color w:val="000000" w:themeColor="text1"/>
          <w:sz w:val="22"/>
          <w:szCs w:val="22"/>
          <w:lang w:val="en-GB"/>
        </w:rPr>
        <w:tab/>
      </w:r>
      <w:r w:rsidR="00E214BD">
        <w:rPr>
          <w:rFonts w:ascii="Verdana" w:hAnsi="Verdana" w:cs="Arial"/>
          <w:sz w:val="22"/>
          <w:szCs w:val="22"/>
          <w:lang w:val="en-GB"/>
        </w:rPr>
        <w:t xml:space="preserve">The </w:t>
      </w:r>
      <w:r w:rsidR="00495714">
        <w:rPr>
          <w:rFonts w:ascii="Verdana" w:hAnsi="Verdana" w:cs="Arial"/>
          <w:sz w:val="22"/>
          <w:szCs w:val="22"/>
          <w:lang w:val="en-GB"/>
        </w:rPr>
        <w:t>primary defence raised by the respondents in this application is the contention that they are occupiers as contemplated in ESTA. The applicants do not dispute that the respondents occupied the property with consent. Is this sufficient though</w:t>
      </w:r>
      <w:r w:rsidR="00941820">
        <w:rPr>
          <w:rFonts w:ascii="Verdana" w:hAnsi="Verdana" w:cs="Arial"/>
          <w:sz w:val="22"/>
          <w:szCs w:val="22"/>
          <w:lang w:val="en-GB"/>
        </w:rPr>
        <w:t>,</w:t>
      </w:r>
      <w:r w:rsidR="00495714">
        <w:rPr>
          <w:rFonts w:ascii="Verdana" w:hAnsi="Verdana" w:cs="Arial"/>
          <w:sz w:val="22"/>
          <w:szCs w:val="22"/>
          <w:lang w:val="en-GB"/>
        </w:rPr>
        <w:t xml:space="preserve"> to establish their right to continued occupation in terms of ESTA? </w:t>
      </w:r>
    </w:p>
    <w:p w14:paraId="69025327" w14:textId="60D3549B" w:rsidR="00941820" w:rsidRPr="00941820" w:rsidRDefault="005B385E" w:rsidP="005B385E">
      <w:pPr>
        <w:pStyle w:val="Indent"/>
        <w:widowControl w:val="0"/>
        <w:spacing w:after="360" w:line="480" w:lineRule="auto"/>
        <w:ind w:left="720" w:hanging="720"/>
        <w:jc w:val="both"/>
        <w:rPr>
          <w:rFonts w:ascii="Verdana" w:hAnsi="Verdana" w:cs="Arial"/>
          <w:sz w:val="22"/>
          <w:szCs w:val="22"/>
          <w:lang w:val="en-GB"/>
        </w:rPr>
      </w:pPr>
      <w:r w:rsidRPr="00941820">
        <w:rPr>
          <w:rFonts w:ascii="Verdana" w:hAnsi="Verdana" w:cs="Arial"/>
          <w:color w:val="000000" w:themeColor="text1"/>
          <w:sz w:val="22"/>
          <w:szCs w:val="22"/>
          <w:lang w:val="en-GB"/>
        </w:rPr>
        <w:t>[5]</w:t>
      </w:r>
      <w:r w:rsidRPr="00941820">
        <w:rPr>
          <w:rFonts w:ascii="Verdana" w:hAnsi="Verdana" w:cs="Arial"/>
          <w:color w:val="000000" w:themeColor="text1"/>
          <w:sz w:val="22"/>
          <w:szCs w:val="22"/>
          <w:lang w:val="en-GB"/>
        </w:rPr>
        <w:tab/>
      </w:r>
      <w:r w:rsidR="00941820">
        <w:rPr>
          <w:rFonts w:ascii="Verdana" w:hAnsi="Verdana" w:cs="Arial"/>
          <w:sz w:val="22"/>
          <w:szCs w:val="22"/>
          <w:lang w:val="en-GB"/>
        </w:rPr>
        <w:t xml:space="preserve">From a reading of the answering papers and the heads of argument prepared on behalf of the </w:t>
      </w:r>
      <w:r w:rsidR="00941820">
        <w:rPr>
          <w:rFonts w:ascii="Verdana" w:hAnsi="Verdana"/>
          <w:sz w:val="22"/>
          <w:szCs w:val="22"/>
          <w:lang w:val="en-GB"/>
        </w:rPr>
        <w:t xml:space="preserve">respondents, the respondents profess that they quality as occupiers in terms of section 11 of ESTA in that they occupied the land in terms of agreements either written or verbally concluded between the parties. For this reason, the respondents argue, this court lacks jurisdiction to entertain this application in terms of section 20(2) and (3) of ESTA read with section 17 which excludes the jurisdiction of this court. </w:t>
      </w:r>
    </w:p>
    <w:p w14:paraId="2DCFFEEA" w14:textId="5300CD5D" w:rsidR="00941820"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w:t>
      </w:r>
      <w:r>
        <w:rPr>
          <w:rFonts w:ascii="Verdana" w:hAnsi="Verdana" w:cs="Arial"/>
          <w:color w:val="000000" w:themeColor="text1"/>
          <w:sz w:val="22"/>
          <w:szCs w:val="22"/>
          <w:lang w:val="en-GB"/>
        </w:rPr>
        <w:tab/>
      </w:r>
      <w:r w:rsidR="00941820">
        <w:rPr>
          <w:rFonts w:ascii="Verdana" w:hAnsi="Verdana" w:cs="Arial"/>
          <w:sz w:val="22"/>
          <w:szCs w:val="22"/>
          <w:lang w:val="en-GB"/>
        </w:rPr>
        <w:t xml:space="preserve">The </w:t>
      </w:r>
      <w:r w:rsidR="00941820">
        <w:rPr>
          <w:rFonts w:ascii="Verdana" w:hAnsi="Verdana"/>
          <w:sz w:val="22"/>
          <w:szCs w:val="22"/>
          <w:lang w:val="en-GB"/>
        </w:rPr>
        <w:t>respondents</w:t>
      </w:r>
      <w:r w:rsidR="00941820">
        <w:rPr>
          <w:rFonts w:ascii="Verdana" w:hAnsi="Verdana" w:cs="Arial"/>
          <w:sz w:val="22"/>
          <w:szCs w:val="22"/>
          <w:lang w:val="en-GB"/>
        </w:rPr>
        <w:t xml:space="preserve"> contend that ESTA is applicable for the following reasons: -</w:t>
      </w:r>
    </w:p>
    <w:p w14:paraId="1F731EF1" w14:textId="10A6330A" w:rsidR="00941820"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[6.1]</w:t>
      </w:r>
      <w:r>
        <w:rPr>
          <w:rFonts w:ascii="Verdana" w:hAnsi="Verdana" w:cs="Arial"/>
          <w:sz w:val="22"/>
          <w:szCs w:val="22"/>
          <w:lang w:val="en-GB"/>
        </w:rPr>
        <w:tab/>
      </w:r>
      <w:r w:rsidR="00941820">
        <w:rPr>
          <w:rFonts w:ascii="Verdana" w:hAnsi="Verdana" w:cs="Arial"/>
          <w:sz w:val="22"/>
          <w:szCs w:val="22"/>
          <w:lang w:val="en-GB"/>
        </w:rPr>
        <w:t xml:space="preserve">The property is designated as agricultural </w:t>
      </w:r>
      <w:proofErr w:type="gramStart"/>
      <w:r w:rsidR="00941820">
        <w:rPr>
          <w:rFonts w:ascii="Verdana" w:hAnsi="Verdana" w:cs="Arial"/>
          <w:sz w:val="22"/>
          <w:szCs w:val="22"/>
          <w:lang w:val="en-GB"/>
        </w:rPr>
        <w:t>holding;</w:t>
      </w:r>
      <w:proofErr w:type="gramEnd"/>
      <w:r w:rsidR="00941820">
        <w:rPr>
          <w:rFonts w:ascii="Verdana" w:hAnsi="Verdana" w:cs="Arial"/>
          <w:sz w:val="22"/>
          <w:szCs w:val="22"/>
          <w:lang w:val="en-GB"/>
        </w:rPr>
        <w:t xml:space="preserve"> </w:t>
      </w:r>
    </w:p>
    <w:p w14:paraId="1E76C56A" w14:textId="4EAAFC84" w:rsidR="00941820"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[6.2]</w:t>
      </w:r>
      <w:r>
        <w:rPr>
          <w:rFonts w:ascii="Verdana" w:hAnsi="Verdana" w:cs="Arial"/>
          <w:sz w:val="22"/>
          <w:szCs w:val="22"/>
          <w:lang w:val="en-GB"/>
        </w:rPr>
        <w:tab/>
      </w:r>
      <w:r w:rsidR="00941820">
        <w:rPr>
          <w:rFonts w:ascii="Verdana" w:hAnsi="Verdana" w:cs="Arial"/>
          <w:sz w:val="22"/>
          <w:szCs w:val="22"/>
          <w:lang w:val="en-GB"/>
        </w:rPr>
        <w:t xml:space="preserve">The </w:t>
      </w:r>
      <w:r w:rsidR="00941820">
        <w:rPr>
          <w:rFonts w:ascii="Verdana" w:hAnsi="Verdana"/>
          <w:sz w:val="22"/>
          <w:szCs w:val="22"/>
          <w:lang w:val="en-GB"/>
        </w:rPr>
        <w:t>respondents</w:t>
      </w:r>
      <w:r w:rsidR="00941820">
        <w:rPr>
          <w:rFonts w:ascii="Verdana" w:hAnsi="Verdana" w:cs="Arial"/>
          <w:sz w:val="22"/>
          <w:szCs w:val="22"/>
          <w:lang w:val="en-GB"/>
        </w:rPr>
        <w:t xml:space="preserve"> qualify as occupiers in terms of section 1 of </w:t>
      </w:r>
      <w:proofErr w:type="gramStart"/>
      <w:r w:rsidR="00941820">
        <w:rPr>
          <w:rFonts w:ascii="Verdana" w:hAnsi="Verdana" w:cs="Arial"/>
          <w:sz w:val="22"/>
          <w:szCs w:val="22"/>
          <w:lang w:val="en-GB"/>
        </w:rPr>
        <w:t>ESTA;</w:t>
      </w:r>
      <w:proofErr w:type="gramEnd"/>
      <w:r w:rsidR="00941820">
        <w:rPr>
          <w:rFonts w:ascii="Verdana" w:hAnsi="Verdana" w:cs="Arial"/>
          <w:sz w:val="22"/>
          <w:szCs w:val="22"/>
          <w:lang w:val="en-GB"/>
        </w:rPr>
        <w:t xml:space="preserve"> </w:t>
      </w:r>
    </w:p>
    <w:p w14:paraId="4D804062" w14:textId="11A6FFAB" w:rsidR="00941820" w:rsidRP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sidRPr="00495714">
        <w:rPr>
          <w:rFonts w:ascii="Verdana" w:hAnsi="Verdana" w:cs="Arial"/>
          <w:sz w:val="22"/>
          <w:szCs w:val="22"/>
          <w:lang w:val="en-GB"/>
        </w:rPr>
        <w:t>[6.3]</w:t>
      </w:r>
      <w:r w:rsidRPr="00495714">
        <w:rPr>
          <w:rFonts w:ascii="Verdana" w:hAnsi="Verdana" w:cs="Arial"/>
          <w:sz w:val="22"/>
          <w:szCs w:val="22"/>
          <w:lang w:val="en-GB"/>
        </w:rPr>
        <w:tab/>
      </w:r>
      <w:r w:rsidR="00941820">
        <w:rPr>
          <w:rFonts w:ascii="Verdana" w:hAnsi="Verdana" w:cs="Arial"/>
          <w:sz w:val="22"/>
          <w:szCs w:val="22"/>
          <w:lang w:val="en-GB"/>
        </w:rPr>
        <w:t xml:space="preserve">The </w:t>
      </w:r>
      <w:r w:rsidR="00941820">
        <w:rPr>
          <w:rFonts w:ascii="Verdana" w:hAnsi="Verdana"/>
          <w:sz w:val="22"/>
          <w:szCs w:val="22"/>
          <w:lang w:val="en-GB"/>
        </w:rPr>
        <w:t xml:space="preserve">respondents occupied the land in terms of written and verbal </w:t>
      </w:r>
      <w:r w:rsidR="00941820">
        <w:rPr>
          <w:rFonts w:ascii="Verdana" w:hAnsi="Verdana"/>
          <w:sz w:val="22"/>
          <w:szCs w:val="22"/>
          <w:lang w:val="en-GB"/>
        </w:rPr>
        <w:lastRenderedPageBreak/>
        <w:t xml:space="preserve">agreements concluded between the parties, and therefore they qualify in terms of section 11 of </w:t>
      </w:r>
      <w:proofErr w:type="gramStart"/>
      <w:r w:rsidR="00941820">
        <w:rPr>
          <w:rFonts w:ascii="Verdana" w:hAnsi="Verdana"/>
          <w:sz w:val="22"/>
          <w:szCs w:val="22"/>
          <w:lang w:val="en-GB"/>
        </w:rPr>
        <w:t>ESTA;</w:t>
      </w:r>
      <w:proofErr w:type="gramEnd"/>
      <w:r w:rsidR="00941820">
        <w:rPr>
          <w:rFonts w:ascii="Verdana" w:hAnsi="Verdana"/>
          <w:sz w:val="22"/>
          <w:szCs w:val="22"/>
          <w:lang w:val="en-GB"/>
        </w:rPr>
        <w:t xml:space="preserve"> </w:t>
      </w:r>
    </w:p>
    <w:p w14:paraId="4F2A88D4" w14:textId="0E6D4970" w:rsidR="00941820" w:rsidRPr="00941820"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sidRPr="00941820">
        <w:rPr>
          <w:rFonts w:ascii="Verdana" w:hAnsi="Verdana" w:cs="Arial"/>
          <w:sz w:val="22"/>
          <w:szCs w:val="22"/>
          <w:lang w:val="en-GB"/>
        </w:rPr>
        <w:t>[6.4]</w:t>
      </w:r>
      <w:r w:rsidRPr="00941820">
        <w:rPr>
          <w:rFonts w:ascii="Verdana" w:hAnsi="Verdana" w:cs="Arial"/>
          <w:sz w:val="22"/>
          <w:szCs w:val="22"/>
          <w:lang w:val="en-GB"/>
        </w:rPr>
        <w:tab/>
      </w:r>
      <w:r w:rsidR="00941820">
        <w:rPr>
          <w:rFonts w:ascii="Verdana" w:hAnsi="Verdana"/>
          <w:sz w:val="22"/>
          <w:szCs w:val="22"/>
          <w:lang w:val="en-GB"/>
        </w:rPr>
        <w:t xml:space="preserve">The average income per respondent is lower than the prescribed income of R13 625.00. </w:t>
      </w:r>
    </w:p>
    <w:p w14:paraId="0E09A041" w14:textId="41CDC78D"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w:t>
      </w:r>
      <w:r>
        <w:rPr>
          <w:rFonts w:ascii="Verdana" w:hAnsi="Verdana" w:cs="Arial"/>
          <w:color w:val="000000" w:themeColor="text1"/>
          <w:sz w:val="22"/>
          <w:szCs w:val="22"/>
          <w:lang w:val="en-GB"/>
        </w:rPr>
        <w:tab/>
      </w:r>
      <w:r w:rsidR="00495714">
        <w:rPr>
          <w:rFonts w:ascii="Verdana" w:hAnsi="Verdana" w:cs="Arial"/>
          <w:sz w:val="22"/>
          <w:szCs w:val="22"/>
          <w:lang w:val="en-GB"/>
        </w:rPr>
        <w:t>Section 1 of ESTA defines an occupier as: -</w:t>
      </w:r>
    </w:p>
    <w:p w14:paraId="64538FEC" w14:textId="4F1E0B9C" w:rsidR="00495714" w:rsidRDefault="00495714" w:rsidP="00495714">
      <w:pPr>
        <w:pStyle w:val="Indent"/>
        <w:widowControl w:val="0"/>
        <w:spacing w:after="120" w:line="360" w:lineRule="auto"/>
        <w:ind w:left="1440"/>
        <w:jc w:val="both"/>
        <w:rPr>
          <w:rFonts w:ascii="Verdana" w:hAnsi="Verdana" w:cs="Arial"/>
          <w:i/>
          <w:iCs/>
          <w:sz w:val="22"/>
          <w:szCs w:val="22"/>
          <w:lang w:val="en-GB"/>
        </w:rPr>
      </w:pPr>
      <w:r>
        <w:rPr>
          <w:rFonts w:ascii="Verdana" w:hAnsi="Verdana" w:cs="Arial"/>
          <w:i/>
          <w:iCs/>
          <w:sz w:val="22"/>
          <w:szCs w:val="22"/>
          <w:lang w:val="en-GB"/>
        </w:rPr>
        <w:t>“A person residing on land which belongs to another person, and who has or on 4 February 1997 or thereafter had consent or another right in law to do so, but excluding –</w:t>
      </w:r>
    </w:p>
    <w:p w14:paraId="51A1C948" w14:textId="4C262D2F" w:rsidR="00495714" w:rsidRDefault="00495714" w:rsidP="00495714">
      <w:pPr>
        <w:pStyle w:val="Indent"/>
        <w:widowControl w:val="0"/>
        <w:spacing w:after="120" w:line="360" w:lineRule="auto"/>
        <w:ind w:left="1440"/>
        <w:jc w:val="both"/>
        <w:rPr>
          <w:rFonts w:ascii="Verdana" w:hAnsi="Verdana" w:cs="Arial"/>
          <w:i/>
          <w:iCs/>
          <w:sz w:val="22"/>
          <w:szCs w:val="22"/>
          <w:lang w:val="en-GB"/>
        </w:rPr>
      </w:pPr>
      <w:r>
        <w:rPr>
          <w:rFonts w:ascii="Verdana" w:hAnsi="Verdana" w:cs="Arial"/>
          <w:i/>
          <w:iCs/>
          <w:sz w:val="22"/>
          <w:szCs w:val="22"/>
          <w:lang w:val="en-GB"/>
        </w:rPr>
        <w:t>…</w:t>
      </w:r>
    </w:p>
    <w:p w14:paraId="5FF03823" w14:textId="77777777" w:rsidR="00495714" w:rsidRDefault="00495714" w:rsidP="00495714">
      <w:pPr>
        <w:pStyle w:val="Indent"/>
        <w:widowControl w:val="0"/>
        <w:spacing w:after="240" w:line="360" w:lineRule="auto"/>
        <w:ind w:left="2160" w:hanging="720"/>
        <w:jc w:val="both"/>
        <w:rPr>
          <w:rFonts w:ascii="Verdana" w:hAnsi="Verdana" w:cs="Arial"/>
          <w:i/>
          <w:iCs/>
          <w:sz w:val="22"/>
          <w:szCs w:val="22"/>
          <w:lang w:val="en-GB"/>
        </w:rPr>
      </w:pPr>
      <w:r>
        <w:rPr>
          <w:rFonts w:ascii="Verdana" w:hAnsi="Verdana" w:cs="Arial"/>
          <w:i/>
          <w:iCs/>
          <w:sz w:val="22"/>
          <w:szCs w:val="22"/>
          <w:lang w:val="en-GB"/>
        </w:rPr>
        <w:t>(b) </w:t>
      </w:r>
      <w:r>
        <w:rPr>
          <w:rFonts w:ascii="Verdana" w:hAnsi="Verdana" w:cs="Arial"/>
          <w:i/>
          <w:iCs/>
          <w:sz w:val="22"/>
          <w:szCs w:val="22"/>
          <w:lang w:val="en-GB"/>
        </w:rPr>
        <w:tab/>
        <w:t xml:space="preserve">a person using or intending to use the land in question mainly for industrial, mining, commercial or commercial farming purposes, but including a person who works the land himself or herself and does not employ any person who </w:t>
      </w:r>
      <w:proofErr w:type="gramStart"/>
      <w:r>
        <w:rPr>
          <w:rFonts w:ascii="Verdana" w:hAnsi="Verdana" w:cs="Arial"/>
          <w:i/>
          <w:iCs/>
          <w:sz w:val="22"/>
          <w:szCs w:val="22"/>
          <w:lang w:val="en-GB"/>
        </w:rPr>
        <w:t>is not a member of</w:t>
      </w:r>
      <w:proofErr w:type="gramEnd"/>
      <w:r>
        <w:rPr>
          <w:rFonts w:ascii="Verdana" w:hAnsi="Verdana" w:cs="Arial"/>
          <w:i/>
          <w:iCs/>
          <w:sz w:val="22"/>
          <w:szCs w:val="22"/>
          <w:lang w:val="en-GB"/>
        </w:rPr>
        <w:t xml:space="preserve"> his or her family; and</w:t>
      </w:r>
    </w:p>
    <w:p w14:paraId="5E6B1F5A" w14:textId="2388A3F7" w:rsidR="00495714" w:rsidRPr="00495714" w:rsidRDefault="00495714" w:rsidP="00495714">
      <w:pPr>
        <w:pStyle w:val="Indent"/>
        <w:widowControl w:val="0"/>
        <w:spacing w:after="480" w:line="360" w:lineRule="auto"/>
        <w:ind w:left="2160" w:hanging="720"/>
        <w:jc w:val="both"/>
        <w:rPr>
          <w:rFonts w:ascii="Verdana" w:hAnsi="Verdana" w:cs="Arial"/>
          <w:i/>
          <w:iCs/>
          <w:sz w:val="22"/>
          <w:szCs w:val="22"/>
          <w:lang w:val="en-GB"/>
        </w:rPr>
      </w:pPr>
      <w:r>
        <w:rPr>
          <w:rFonts w:ascii="Verdana" w:hAnsi="Verdana" w:cs="Arial"/>
          <w:i/>
          <w:iCs/>
          <w:sz w:val="22"/>
          <w:szCs w:val="22"/>
          <w:lang w:val="en-GB"/>
        </w:rPr>
        <w:t>(c) </w:t>
      </w:r>
      <w:r>
        <w:rPr>
          <w:rFonts w:ascii="Verdana" w:hAnsi="Verdana" w:cs="Arial"/>
          <w:i/>
          <w:iCs/>
          <w:sz w:val="22"/>
          <w:szCs w:val="22"/>
          <w:lang w:val="en-GB"/>
        </w:rPr>
        <w:tab/>
        <w:t xml:space="preserve">a person who has an income </w:t>
      </w:r>
      <w:proofErr w:type="gramStart"/>
      <w:r>
        <w:rPr>
          <w:rFonts w:ascii="Verdana" w:hAnsi="Verdana" w:cs="Arial"/>
          <w:i/>
          <w:iCs/>
          <w:sz w:val="22"/>
          <w:szCs w:val="22"/>
          <w:lang w:val="en-GB"/>
        </w:rPr>
        <w:t>in excess of</w:t>
      </w:r>
      <w:proofErr w:type="gramEnd"/>
      <w:r>
        <w:rPr>
          <w:rFonts w:ascii="Verdana" w:hAnsi="Verdana" w:cs="Arial"/>
          <w:i/>
          <w:iCs/>
          <w:sz w:val="22"/>
          <w:szCs w:val="22"/>
          <w:lang w:val="en-GB"/>
        </w:rPr>
        <w:t xml:space="preserve"> the prescribed amount.”</w:t>
      </w:r>
    </w:p>
    <w:p w14:paraId="672152BB" w14:textId="3A0A8CF1"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w:t>
      </w:r>
      <w:r>
        <w:rPr>
          <w:rFonts w:ascii="Verdana" w:hAnsi="Verdana" w:cs="Arial"/>
          <w:color w:val="000000" w:themeColor="text1"/>
          <w:sz w:val="22"/>
          <w:szCs w:val="22"/>
          <w:lang w:val="en-GB"/>
        </w:rPr>
        <w:tab/>
      </w:r>
      <w:r w:rsidR="00495714">
        <w:rPr>
          <w:rFonts w:ascii="Verdana" w:hAnsi="Verdana" w:cs="Arial"/>
          <w:sz w:val="22"/>
          <w:szCs w:val="22"/>
          <w:lang w:val="en-GB"/>
        </w:rPr>
        <w:t>ESTA shall apply to all land other than land in a township established, approved or proclaimed or otherwise recognised as such in terms of any law, or encircled by such a township or townships, but including: -</w:t>
      </w:r>
    </w:p>
    <w:p w14:paraId="58F4F91F" w14:textId="452BBD50" w:rsid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[8.1]</w:t>
      </w:r>
      <w:r>
        <w:rPr>
          <w:rFonts w:ascii="Verdana" w:hAnsi="Verdana" w:cs="Arial"/>
          <w:sz w:val="22"/>
          <w:szCs w:val="22"/>
          <w:lang w:val="en-GB"/>
        </w:rPr>
        <w:tab/>
      </w:r>
      <w:r w:rsidR="00495714">
        <w:rPr>
          <w:rFonts w:ascii="Verdana" w:hAnsi="Verdana" w:cs="Arial"/>
          <w:sz w:val="22"/>
          <w:szCs w:val="22"/>
          <w:lang w:val="en-GB"/>
        </w:rPr>
        <w:t>any land within such a township which has been designated for agricultural purposes in terms of any law; and</w:t>
      </w:r>
    </w:p>
    <w:p w14:paraId="591ADA37" w14:textId="01A57FFD" w:rsidR="00495714" w:rsidRDefault="005B385E" w:rsidP="005B385E">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[8.2]</w:t>
      </w:r>
      <w:r>
        <w:rPr>
          <w:rFonts w:ascii="Verdana" w:hAnsi="Verdana" w:cs="Arial"/>
          <w:sz w:val="22"/>
          <w:szCs w:val="22"/>
          <w:lang w:val="en-GB"/>
        </w:rPr>
        <w:tab/>
      </w:r>
      <w:r w:rsidR="00495714">
        <w:rPr>
          <w:rFonts w:ascii="Verdana" w:hAnsi="Verdana" w:cs="Arial"/>
          <w:sz w:val="22"/>
          <w:szCs w:val="22"/>
          <w:lang w:val="en-GB"/>
        </w:rPr>
        <w:t xml:space="preserve">any land within such a township which has been established, approved, proclaimed or otherwise recognised after 4 February 1997, in respect only of a person who was an occupier </w:t>
      </w:r>
      <w:r w:rsidR="00495714">
        <w:rPr>
          <w:rFonts w:ascii="Verdana" w:hAnsi="Verdana" w:cs="Arial"/>
          <w:sz w:val="22"/>
          <w:szCs w:val="22"/>
          <w:lang w:val="en-GB"/>
        </w:rPr>
        <w:lastRenderedPageBreak/>
        <w:t xml:space="preserve">immediately prior to such established, approval, proclamation or recognition. </w:t>
      </w:r>
    </w:p>
    <w:p w14:paraId="3ECDE61C" w14:textId="542DF1E3"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w:t>
      </w:r>
      <w:r>
        <w:rPr>
          <w:rFonts w:ascii="Verdana" w:hAnsi="Verdana" w:cs="Arial"/>
          <w:color w:val="000000" w:themeColor="text1"/>
          <w:sz w:val="22"/>
          <w:szCs w:val="22"/>
          <w:lang w:val="en-GB"/>
        </w:rPr>
        <w:tab/>
      </w:r>
      <w:r w:rsidR="00495714">
        <w:rPr>
          <w:rFonts w:ascii="Verdana" w:hAnsi="Verdana" w:cs="Arial"/>
          <w:sz w:val="22"/>
          <w:szCs w:val="22"/>
          <w:lang w:val="en-GB"/>
        </w:rPr>
        <w:t xml:space="preserve">It is clear from a reading of section 1 of ESTA and the exclusions contained therein, that the enquiry encompasses far more than that of occupation with consent. Whether or not the persons so occupying, use the land for industrial, mining, commercial or commercial farming purposes is a further consideration. </w:t>
      </w:r>
    </w:p>
    <w:p w14:paraId="50BD1D9E" w14:textId="270DB6E3" w:rsidR="00495714" w:rsidRPr="00495714" w:rsidRDefault="005B385E" w:rsidP="005B385E">
      <w:pPr>
        <w:pStyle w:val="Indent"/>
        <w:widowControl w:val="0"/>
        <w:spacing w:after="360" w:line="480" w:lineRule="auto"/>
        <w:ind w:left="720" w:hanging="720"/>
        <w:jc w:val="both"/>
        <w:rPr>
          <w:rFonts w:ascii="Verdana" w:hAnsi="Verdana" w:cs="Arial"/>
          <w:sz w:val="22"/>
          <w:szCs w:val="22"/>
          <w:lang w:val="en-GB"/>
        </w:rPr>
      </w:pPr>
      <w:r w:rsidRPr="00495714">
        <w:rPr>
          <w:rFonts w:ascii="Verdana" w:hAnsi="Verdana" w:cs="Arial"/>
          <w:color w:val="000000" w:themeColor="text1"/>
          <w:sz w:val="22"/>
          <w:szCs w:val="22"/>
          <w:lang w:val="en-GB"/>
        </w:rPr>
        <w:t>[10]</w:t>
      </w:r>
      <w:r w:rsidRPr="00495714">
        <w:rPr>
          <w:rFonts w:ascii="Verdana" w:hAnsi="Verdana" w:cs="Arial"/>
          <w:color w:val="000000" w:themeColor="text1"/>
          <w:sz w:val="22"/>
          <w:szCs w:val="22"/>
          <w:lang w:val="en-GB"/>
        </w:rPr>
        <w:tab/>
      </w:r>
      <w:r w:rsidR="00941820">
        <w:rPr>
          <w:rFonts w:ascii="Verdana" w:hAnsi="Verdana" w:cs="Arial"/>
          <w:sz w:val="22"/>
          <w:szCs w:val="22"/>
          <w:lang w:val="en-GB"/>
        </w:rPr>
        <w:t>In their answering papers, the</w:t>
      </w:r>
      <w:r w:rsidR="00495714">
        <w:rPr>
          <w:rFonts w:ascii="Verdana" w:hAnsi="Verdana" w:cs="Arial"/>
          <w:sz w:val="22"/>
          <w:szCs w:val="22"/>
          <w:lang w:val="en-GB"/>
        </w:rPr>
        <w:t xml:space="preserve"> </w:t>
      </w:r>
      <w:r w:rsidR="00495714">
        <w:rPr>
          <w:rFonts w:ascii="Verdana" w:hAnsi="Verdana"/>
          <w:sz w:val="22"/>
          <w:szCs w:val="22"/>
          <w:lang w:val="en-GB"/>
        </w:rPr>
        <w:t>respondents</w:t>
      </w:r>
      <w:r w:rsidR="00495714">
        <w:rPr>
          <w:rFonts w:ascii="Verdana" w:hAnsi="Verdana" w:cs="Arial"/>
          <w:sz w:val="22"/>
          <w:szCs w:val="22"/>
          <w:lang w:val="en-GB"/>
        </w:rPr>
        <w:t xml:space="preserve"> did not exactly state for what purpose the property is used. It is common cause and not disputed that the property was utilised as business premises when it was purchased by the applicants in 1999. The property was used as a bus depot and the structures on the property consist of two office buildings and open undercover parking bays. The business ceased to </w:t>
      </w:r>
      <w:proofErr w:type="gramStart"/>
      <w:r w:rsidR="00495714">
        <w:rPr>
          <w:rFonts w:ascii="Verdana" w:hAnsi="Verdana" w:cs="Arial"/>
          <w:sz w:val="22"/>
          <w:szCs w:val="22"/>
          <w:lang w:val="en-GB"/>
        </w:rPr>
        <w:t>operate,</w:t>
      </w:r>
      <w:proofErr w:type="gramEnd"/>
      <w:r w:rsidR="00495714">
        <w:rPr>
          <w:rFonts w:ascii="Verdana" w:hAnsi="Verdana" w:cs="Arial"/>
          <w:sz w:val="22"/>
          <w:szCs w:val="22"/>
          <w:lang w:val="en-GB"/>
        </w:rPr>
        <w:t xml:space="preserve"> however the </w:t>
      </w:r>
      <w:r w:rsidR="00495714">
        <w:rPr>
          <w:rFonts w:ascii="Verdana" w:hAnsi="Verdana"/>
          <w:sz w:val="22"/>
          <w:szCs w:val="22"/>
          <w:lang w:val="en-GB"/>
        </w:rPr>
        <w:t>respondents are still utilising the property for commercial interest. They state as much in their answering papers at paragraph 8.1: -</w:t>
      </w:r>
    </w:p>
    <w:p w14:paraId="1EC1B3FF" w14:textId="6907000E" w:rsidR="00495714" w:rsidRPr="00495714" w:rsidRDefault="00495714" w:rsidP="00495714">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“Ten households on the property. Who reside and conduct business on the property.”</w:t>
      </w:r>
    </w:p>
    <w:p w14:paraId="5CAE5130" w14:textId="4848AC7B" w:rsidR="00495714" w:rsidRPr="001362AA" w:rsidRDefault="005B385E" w:rsidP="005B385E">
      <w:pPr>
        <w:pStyle w:val="Indent"/>
        <w:widowControl w:val="0"/>
        <w:spacing w:after="360" w:line="480" w:lineRule="auto"/>
        <w:ind w:left="720" w:hanging="720"/>
        <w:jc w:val="both"/>
        <w:rPr>
          <w:rFonts w:ascii="Verdana" w:hAnsi="Verdana" w:cs="Arial"/>
          <w:sz w:val="22"/>
          <w:szCs w:val="22"/>
          <w:lang w:val="en-GB"/>
        </w:rPr>
      </w:pPr>
      <w:r w:rsidRPr="001362AA">
        <w:rPr>
          <w:rFonts w:ascii="Verdana" w:hAnsi="Verdana" w:cs="Arial"/>
          <w:color w:val="000000" w:themeColor="text1"/>
          <w:sz w:val="22"/>
          <w:szCs w:val="22"/>
          <w:lang w:val="en-GB"/>
        </w:rPr>
        <w:t>[11]</w:t>
      </w:r>
      <w:r w:rsidRPr="001362AA">
        <w:rPr>
          <w:rFonts w:ascii="Verdana" w:hAnsi="Verdana" w:cs="Arial"/>
          <w:color w:val="000000" w:themeColor="text1"/>
          <w:sz w:val="22"/>
          <w:szCs w:val="22"/>
          <w:lang w:val="en-GB"/>
        </w:rPr>
        <w:tab/>
      </w:r>
      <w:r w:rsidR="00495714">
        <w:rPr>
          <w:rFonts w:ascii="Verdana" w:hAnsi="Verdana" w:cs="Arial"/>
          <w:sz w:val="22"/>
          <w:szCs w:val="22"/>
          <w:lang w:val="en-GB"/>
        </w:rPr>
        <w:t xml:space="preserve">After the deficiencies of the answering papers were pointed out in the applicants’ </w:t>
      </w:r>
      <w:proofErr w:type="gramStart"/>
      <w:r w:rsidR="00495714">
        <w:rPr>
          <w:rFonts w:ascii="Verdana" w:hAnsi="Verdana" w:cs="Arial"/>
          <w:sz w:val="22"/>
          <w:szCs w:val="22"/>
          <w:lang w:val="en-GB"/>
        </w:rPr>
        <w:t>replying</w:t>
      </w:r>
      <w:proofErr w:type="gramEnd"/>
      <w:r w:rsidR="00495714">
        <w:rPr>
          <w:rFonts w:ascii="Verdana" w:hAnsi="Verdana" w:cs="Arial"/>
          <w:sz w:val="22"/>
          <w:szCs w:val="22"/>
          <w:lang w:val="en-GB"/>
        </w:rPr>
        <w:t xml:space="preserve"> affidavit, the respondents filed a supplementary affidavit during September 2023. It </w:t>
      </w:r>
      <w:r w:rsidR="001362AA">
        <w:rPr>
          <w:rFonts w:ascii="Verdana" w:hAnsi="Verdana" w:cs="Arial"/>
          <w:sz w:val="22"/>
          <w:szCs w:val="22"/>
          <w:lang w:val="en-GB"/>
        </w:rPr>
        <w:t xml:space="preserve">however does not improve matters for the </w:t>
      </w:r>
      <w:r w:rsidR="001362AA">
        <w:rPr>
          <w:rFonts w:ascii="Verdana" w:hAnsi="Verdana"/>
          <w:sz w:val="22"/>
          <w:szCs w:val="22"/>
          <w:lang w:val="en-GB"/>
        </w:rPr>
        <w:t>respondents as the following paragraphs quoted from the supplementary affidavit demonstrate: -</w:t>
      </w:r>
    </w:p>
    <w:p w14:paraId="0D0E553E" w14:textId="58610FF1" w:rsidR="001362AA" w:rsidRDefault="001362AA" w:rsidP="001362AA">
      <w:pPr>
        <w:pStyle w:val="Indent"/>
        <w:widowControl w:val="0"/>
        <w:spacing w:line="360" w:lineRule="auto"/>
        <w:ind w:left="2160" w:hanging="720"/>
        <w:jc w:val="both"/>
        <w:rPr>
          <w:rFonts w:ascii="Verdana" w:hAnsi="Verdana" w:cs="Arial"/>
          <w:i/>
          <w:iCs/>
          <w:sz w:val="22"/>
          <w:szCs w:val="22"/>
          <w:lang w:val="en-GB"/>
        </w:rPr>
      </w:pPr>
      <w:r>
        <w:rPr>
          <w:rFonts w:ascii="Verdana" w:hAnsi="Verdana" w:cs="Arial"/>
          <w:i/>
          <w:iCs/>
          <w:sz w:val="22"/>
          <w:szCs w:val="22"/>
          <w:lang w:val="en-GB"/>
        </w:rPr>
        <w:t xml:space="preserve">“4. </w:t>
      </w:r>
      <w:r>
        <w:rPr>
          <w:rFonts w:ascii="Verdana" w:hAnsi="Verdana" w:cs="Arial"/>
          <w:i/>
          <w:iCs/>
          <w:sz w:val="22"/>
          <w:szCs w:val="22"/>
          <w:lang w:val="en-GB"/>
        </w:rPr>
        <w:tab/>
        <w:t xml:space="preserve">… Some of the respondents have signed written lease </w:t>
      </w:r>
      <w:r>
        <w:rPr>
          <w:rFonts w:ascii="Verdana" w:hAnsi="Verdana" w:cs="Arial"/>
          <w:i/>
          <w:iCs/>
          <w:sz w:val="22"/>
          <w:szCs w:val="22"/>
          <w:lang w:val="en-GB"/>
        </w:rPr>
        <w:lastRenderedPageBreak/>
        <w:t xml:space="preserve">agreements and the applicants though (sic) their agent collected security deposits. The agreements allowed them to reside and conduct (sic) only 4 of the respondents to conduct business on the property, as vehicle mechanics, painters, </w:t>
      </w:r>
      <w:proofErr w:type="spellStart"/>
      <w:r>
        <w:rPr>
          <w:rFonts w:ascii="Verdana" w:hAnsi="Verdana" w:cs="Arial"/>
          <w:i/>
          <w:iCs/>
          <w:sz w:val="22"/>
          <w:szCs w:val="22"/>
          <w:lang w:val="en-GB"/>
        </w:rPr>
        <w:t>panelbeaters</w:t>
      </w:r>
      <w:proofErr w:type="spellEnd"/>
      <w:r>
        <w:rPr>
          <w:rFonts w:ascii="Verdana" w:hAnsi="Verdana" w:cs="Arial"/>
          <w:i/>
          <w:iCs/>
          <w:sz w:val="22"/>
          <w:szCs w:val="22"/>
          <w:lang w:val="en-GB"/>
        </w:rPr>
        <w:t xml:space="preserve"> and a trailer maker.</w:t>
      </w:r>
    </w:p>
    <w:p w14:paraId="35EB7287" w14:textId="59F2FF55" w:rsidR="001362AA" w:rsidRDefault="001362AA" w:rsidP="001362AA">
      <w:pPr>
        <w:pStyle w:val="Indent"/>
        <w:widowControl w:val="0"/>
        <w:spacing w:after="240" w:line="360" w:lineRule="auto"/>
        <w:ind w:left="2880" w:hanging="720"/>
        <w:jc w:val="both"/>
        <w:rPr>
          <w:rFonts w:ascii="Verdana" w:hAnsi="Verdana" w:cs="Arial"/>
          <w:i/>
          <w:iCs/>
          <w:sz w:val="22"/>
          <w:szCs w:val="22"/>
          <w:lang w:val="en-GB"/>
        </w:rPr>
      </w:pPr>
      <w:r>
        <w:rPr>
          <w:rFonts w:ascii="Verdana" w:hAnsi="Verdana" w:cs="Arial"/>
          <w:i/>
          <w:iCs/>
          <w:sz w:val="22"/>
          <w:szCs w:val="22"/>
          <w:lang w:val="en-GB"/>
        </w:rPr>
        <w:t>…</w:t>
      </w:r>
    </w:p>
    <w:p w14:paraId="7CEB9A9A" w14:textId="02709BF9" w:rsidR="001362AA" w:rsidRPr="001362AA" w:rsidRDefault="001362AA" w:rsidP="001362AA">
      <w:pPr>
        <w:pStyle w:val="Indent"/>
        <w:widowControl w:val="0"/>
        <w:spacing w:after="480" w:line="360" w:lineRule="auto"/>
        <w:ind w:left="2160" w:hanging="720"/>
        <w:jc w:val="both"/>
        <w:rPr>
          <w:rFonts w:ascii="Verdana" w:hAnsi="Verdana" w:cs="Arial"/>
          <w:i/>
          <w:iCs/>
          <w:sz w:val="22"/>
          <w:szCs w:val="22"/>
          <w:lang w:val="en-GB"/>
        </w:rPr>
      </w:pPr>
      <w:r>
        <w:rPr>
          <w:rFonts w:ascii="Verdana" w:hAnsi="Verdana" w:cs="Arial"/>
          <w:i/>
          <w:iCs/>
          <w:sz w:val="22"/>
          <w:szCs w:val="22"/>
          <w:lang w:val="en-GB"/>
        </w:rPr>
        <w:t xml:space="preserve">6. </w:t>
      </w:r>
      <w:r>
        <w:rPr>
          <w:rFonts w:ascii="Verdana" w:hAnsi="Verdana" w:cs="Arial"/>
          <w:i/>
          <w:iCs/>
          <w:sz w:val="22"/>
          <w:szCs w:val="22"/>
          <w:lang w:val="en-GB"/>
        </w:rPr>
        <w:tab/>
        <w:t>The respondents earn a living through informal trades concluded on the property while some reside on the property.”</w:t>
      </w:r>
    </w:p>
    <w:p w14:paraId="6902240E" w14:textId="364676CF" w:rsidR="001362AA" w:rsidRPr="00495714" w:rsidRDefault="005B385E" w:rsidP="005B385E">
      <w:pPr>
        <w:pStyle w:val="Indent"/>
        <w:widowControl w:val="0"/>
        <w:spacing w:after="360" w:line="480" w:lineRule="auto"/>
        <w:ind w:left="720" w:hanging="720"/>
        <w:jc w:val="both"/>
        <w:rPr>
          <w:rFonts w:ascii="Verdana" w:hAnsi="Verdana" w:cs="Arial"/>
          <w:sz w:val="22"/>
          <w:szCs w:val="22"/>
          <w:lang w:val="en-GB"/>
        </w:rPr>
      </w:pPr>
      <w:r w:rsidRPr="00495714">
        <w:rPr>
          <w:rFonts w:ascii="Verdana" w:hAnsi="Verdana" w:cs="Arial"/>
          <w:color w:val="000000" w:themeColor="text1"/>
          <w:sz w:val="22"/>
          <w:szCs w:val="22"/>
          <w:lang w:val="en-GB"/>
        </w:rPr>
        <w:t>[12]</w:t>
      </w:r>
      <w:r w:rsidRPr="00495714">
        <w:rPr>
          <w:rFonts w:ascii="Verdana" w:hAnsi="Verdana" w:cs="Arial"/>
          <w:color w:val="000000" w:themeColor="text1"/>
          <w:sz w:val="22"/>
          <w:szCs w:val="22"/>
          <w:lang w:val="en-GB"/>
        </w:rPr>
        <w:tab/>
      </w:r>
      <w:r w:rsidR="001362AA">
        <w:rPr>
          <w:rFonts w:ascii="Verdana" w:hAnsi="Verdana" w:cs="Arial"/>
          <w:sz w:val="22"/>
          <w:szCs w:val="22"/>
          <w:lang w:val="en-GB"/>
        </w:rPr>
        <w:t xml:space="preserve">On the respondents’ own version, initially put forward in their answering papers and amplified in their supplementary papers, the respondents not only reside at the property but also use it for business purposes. Accordingly, on this ground I find that the provisions of ESTA do not apply. </w:t>
      </w:r>
    </w:p>
    <w:p w14:paraId="293E202E" w14:textId="4643E8CA"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[13]</w:t>
      </w:r>
      <w:r>
        <w:rPr>
          <w:rFonts w:ascii="Verdana" w:hAnsi="Verdana" w:cs="Arial"/>
          <w:color w:val="000000" w:themeColor="text1"/>
          <w:sz w:val="22"/>
          <w:szCs w:val="22"/>
          <w:lang w:val="en-GB"/>
        </w:rPr>
        <w:tab/>
      </w:r>
      <w:r w:rsidR="001362AA">
        <w:rPr>
          <w:rFonts w:ascii="Verdana" w:hAnsi="Verdana" w:cs="Arial"/>
          <w:sz w:val="22"/>
          <w:szCs w:val="22"/>
          <w:lang w:val="en-GB"/>
        </w:rPr>
        <w:t>I pause to state that the applicants opposed the submission of the supplementary affidavit into evidence. I allowed the supplementary affidavit in the interest of justice and Mr </w:t>
      </w:r>
      <w:proofErr w:type="spellStart"/>
      <w:r w:rsidR="001362AA">
        <w:rPr>
          <w:rFonts w:ascii="Verdana" w:hAnsi="Verdana" w:cs="Arial"/>
          <w:sz w:val="22"/>
          <w:szCs w:val="22"/>
          <w:lang w:val="en-GB"/>
        </w:rPr>
        <w:t>Kloek</w:t>
      </w:r>
      <w:proofErr w:type="spellEnd"/>
      <w:r w:rsidR="001362AA">
        <w:rPr>
          <w:rFonts w:ascii="Verdana" w:hAnsi="Verdana" w:cs="Arial"/>
          <w:sz w:val="22"/>
          <w:szCs w:val="22"/>
          <w:lang w:val="en-GB"/>
        </w:rPr>
        <w:t xml:space="preserve"> on behalf of the applicants elected to argue with mere reference to the supplementary affidavit and did not see it necessary to file a further </w:t>
      </w:r>
      <w:proofErr w:type="gramStart"/>
      <w:r w:rsidR="001362AA">
        <w:rPr>
          <w:rFonts w:ascii="Verdana" w:hAnsi="Verdana" w:cs="Arial"/>
          <w:sz w:val="22"/>
          <w:szCs w:val="22"/>
          <w:lang w:val="en-GB"/>
        </w:rPr>
        <w:t>replying</w:t>
      </w:r>
      <w:proofErr w:type="gramEnd"/>
      <w:r w:rsidR="001362AA">
        <w:rPr>
          <w:rFonts w:ascii="Verdana" w:hAnsi="Verdana" w:cs="Arial"/>
          <w:sz w:val="22"/>
          <w:szCs w:val="22"/>
          <w:lang w:val="en-GB"/>
        </w:rPr>
        <w:t xml:space="preserve"> affidavit. </w:t>
      </w:r>
    </w:p>
    <w:p w14:paraId="11A28817" w14:textId="5B1B6D7B" w:rsidR="001362AA"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[14]</w:t>
      </w:r>
      <w:r>
        <w:rPr>
          <w:rFonts w:ascii="Verdana" w:hAnsi="Verdana" w:cs="Arial"/>
          <w:color w:val="000000" w:themeColor="text1"/>
          <w:sz w:val="22"/>
          <w:szCs w:val="22"/>
          <w:lang w:val="en-GB"/>
        </w:rPr>
        <w:tab/>
      </w:r>
      <w:r w:rsidR="001362AA">
        <w:rPr>
          <w:rFonts w:ascii="Verdana" w:hAnsi="Verdana" w:cs="Arial"/>
          <w:sz w:val="22"/>
          <w:szCs w:val="22"/>
          <w:lang w:val="en-GB"/>
        </w:rPr>
        <w:t xml:space="preserve">As far as the income requirement is concerned, the respondents in their supplementary affidavit contend that the average income per household does not exceed R10 000.00 per month. A schedule of 27 occupiers and their income was attached to the supplementary affidavit. This was the only proof that was submitted on behalf of the respondents. Confirmatory affidavits and </w:t>
      </w:r>
      <w:r w:rsidR="00B60C3C">
        <w:rPr>
          <w:rFonts w:ascii="Verdana" w:hAnsi="Verdana" w:cs="Arial"/>
          <w:sz w:val="22"/>
          <w:szCs w:val="22"/>
          <w:lang w:val="en-GB"/>
        </w:rPr>
        <w:t xml:space="preserve">documentary proof of the earned income were glaringly absent. </w:t>
      </w:r>
    </w:p>
    <w:p w14:paraId="2ACA1C11" w14:textId="1E4BC042" w:rsidR="00B60C3C"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[15]</w:t>
      </w:r>
      <w:r>
        <w:rPr>
          <w:rFonts w:ascii="Verdana" w:hAnsi="Verdana" w:cs="Arial"/>
          <w:color w:val="000000" w:themeColor="text1"/>
          <w:sz w:val="22"/>
          <w:szCs w:val="22"/>
          <w:lang w:val="en-GB"/>
        </w:rPr>
        <w:tab/>
      </w:r>
      <w:r w:rsidR="00B60C3C">
        <w:rPr>
          <w:rFonts w:ascii="Verdana" w:hAnsi="Verdana" w:cs="Arial"/>
          <w:sz w:val="22"/>
          <w:szCs w:val="22"/>
          <w:lang w:val="en-GB"/>
        </w:rPr>
        <w:t xml:space="preserve">It was argued on behalf of the applicants that the threshold relied on by the </w:t>
      </w:r>
      <w:r w:rsidR="00B60C3C">
        <w:rPr>
          <w:rFonts w:ascii="Verdana" w:hAnsi="Verdana" w:cs="Arial"/>
          <w:sz w:val="22"/>
          <w:szCs w:val="22"/>
          <w:lang w:val="en-GB"/>
        </w:rPr>
        <w:lastRenderedPageBreak/>
        <w:t xml:space="preserve">respondents of R13 625.00 does not apply. According to the applicants, the threshold was increased to R13 625.00 per month during February 2018 whereas the previously threshold was R5 000.00 per month. </w:t>
      </w:r>
    </w:p>
    <w:p w14:paraId="2C966956" w14:textId="244C4DA7" w:rsidR="00B60C3C"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[16]</w:t>
      </w:r>
      <w:r>
        <w:rPr>
          <w:rFonts w:ascii="Verdana" w:hAnsi="Verdana" w:cs="Arial"/>
          <w:color w:val="000000" w:themeColor="text1"/>
          <w:sz w:val="22"/>
          <w:szCs w:val="22"/>
          <w:lang w:val="en-GB"/>
        </w:rPr>
        <w:tab/>
      </w:r>
      <w:r w:rsidR="00B60C3C">
        <w:rPr>
          <w:rFonts w:ascii="Verdana" w:hAnsi="Verdana" w:cs="Arial"/>
          <w:sz w:val="22"/>
          <w:szCs w:val="22"/>
          <w:lang w:val="en-GB"/>
        </w:rPr>
        <w:t>Regulation 1 of the regulations to ESTA stipulates how income is calculated: -</w:t>
      </w:r>
    </w:p>
    <w:p w14:paraId="214CA500" w14:textId="690A0A9A" w:rsidR="00B60C3C" w:rsidRDefault="00B60C3C" w:rsidP="00B60C3C">
      <w:pPr>
        <w:pStyle w:val="Indent"/>
        <w:widowControl w:val="0"/>
        <w:spacing w:after="240" w:line="360" w:lineRule="auto"/>
        <w:ind w:left="1440"/>
        <w:jc w:val="both"/>
        <w:rPr>
          <w:rFonts w:ascii="Verdana" w:hAnsi="Verdana" w:cs="Arial"/>
          <w:i/>
          <w:iCs/>
          <w:sz w:val="22"/>
          <w:szCs w:val="22"/>
          <w:lang w:val="en-GB"/>
        </w:rPr>
      </w:pPr>
      <w:r>
        <w:rPr>
          <w:rFonts w:ascii="Verdana" w:hAnsi="Verdana" w:cs="Arial"/>
          <w:i/>
          <w:iCs/>
          <w:sz w:val="22"/>
          <w:szCs w:val="22"/>
          <w:lang w:val="en-GB"/>
        </w:rPr>
        <w:t>“</w:t>
      </w:r>
      <w:r w:rsidRPr="00B60C3C">
        <w:rPr>
          <w:rFonts w:ascii="Verdana" w:hAnsi="Verdana" w:cs="Arial"/>
          <w:b/>
          <w:bCs/>
          <w:i/>
          <w:iCs/>
          <w:sz w:val="22"/>
          <w:szCs w:val="22"/>
          <w:lang w:val="en-GB"/>
        </w:rPr>
        <w:t xml:space="preserve">2. </w:t>
      </w:r>
      <w:r w:rsidRPr="00B60C3C">
        <w:rPr>
          <w:rFonts w:ascii="Verdana" w:hAnsi="Verdana" w:cs="Arial"/>
          <w:b/>
          <w:bCs/>
          <w:i/>
          <w:iCs/>
          <w:sz w:val="22"/>
          <w:szCs w:val="22"/>
          <w:lang w:val="en-GB"/>
        </w:rPr>
        <w:tab/>
        <w:t>Qualifying income</w:t>
      </w:r>
    </w:p>
    <w:p w14:paraId="7FC07A7B" w14:textId="098983AE" w:rsidR="00B60C3C" w:rsidRDefault="00B60C3C" w:rsidP="0044780B">
      <w:pPr>
        <w:pStyle w:val="Indent"/>
        <w:widowControl w:val="0"/>
        <w:spacing w:after="240" w:line="360" w:lineRule="auto"/>
        <w:ind w:left="2880" w:hanging="720"/>
        <w:jc w:val="both"/>
        <w:rPr>
          <w:rFonts w:ascii="Verdana" w:hAnsi="Verdana" w:cs="Arial"/>
          <w:i/>
          <w:iCs/>
          <w:sz w:val="22"/>
          <w:szCs w:val="22"/>
          <w:lang w:val="en-GB"/>
        </w:rPr>
      </w:pPr>
      <w:r>
        <w:rPr>
          <w:rFonts w:ascii="Verdana" w:hAnsi="Verdana" w:cs="Arial"/>
          <w:i/>
          <w:iCs/>
          <w:sz w:val="22"/>
          <w:szCs w:val="22"/>
          <w:lang w:val="en-GB"/>
        </w:rPr>
        <w:t>(1) </w:t>
      </w:r>
      <w:r>
        <w:rPr>
          <w:rFonts w:ascii="Verdana" w:hAnsi="Verdana" w:cs="Arial"/>
          <w:i/>
          <w:iCs/>
          <w:sz w:val="22"/>
          <w:szCs w:val="22"/>
          <w:lang w:val="en-GB"/>
        </w:rPr>
        <w:tab/>
        <w:t xml:space="preserve">The prescribed </w:t>
      </w:r>
      <w:r w:rsidR="0044780B">
        <w:rPr>
          <w:rFonts w:ascii="Verdana" w:hAnsi="Verdana" w:cs="Arial"/>
          <w:i/>
          <w:iCs/>
          <w:sz w:val="22"/>
          <w:szCs w:val="22"/>
          <w:lang w:val="en-GB"/>
        </w:rPr>
        <w:t>amount for the purpose of paragraph (c) of the definition of occupier in section 1(1) of the Act shall be an income of R3 625.00 per month.</w:t>
      </w:r>
    </w:p>
    <w:p w14:paraId="79139D52" w14:textId="0240D35F" w:rsidR="0044780B" w:rsidRDefault="0044780B" w:rsidP="0044780B">
      <w:pPr>
        <w:pStyle w:val="Indent"/>
        <w:widowControl w:val="0"/>
        <w:spacing w:after="240" w:line="360" w:lineRule="auto"/>
        <w:ind w:left="2880" w:hanging="720"/>
        <w:jc w:val="both"/>
        <w:rPr>
          <w:rFonts w:ascii="Verdana" w:hAnsi="Verdana" w:cs="Arial"/>
          <w:i/>
          <w:iCs/>
          <w:sz w:val="22"/>
          <w:szCs w:val="22"/>
          <w:lang w:val="en-GB"/>
        </w:rPr>
      </w:pPr>
      <w:r>
        <w:rPr>
          <w:rFonts w:ascii="Verdana" w:hAnsi="Verdana" w:cs="Arial"/>
          <w:i/>
          <w:iCs/>
          <w:sz w:val="22"/>
          <w:szCs w:val="22"/>
          <w:lang w:val="en-GB"/>
        </w:rPr>
        <w:t>(2) </w:t>
      </w:r>
      <w:r>
        <w:rPr>
          <w:rFonts w:ascii="Verdana" w:hAnsi="Verdana" w:cs="Arial"/>
          <w:i/>
          <w:iCs/>
          <w:sz w:val="22"/>
          <w:szCs w:val="22"/>
          <w:lang w:val="en-GB"/>
        </w:rPr>
        <w:tab/>
        <w:t>For the purpose of sub</w:t>
      </w:r>
      <w:r>
        <w:rPr>
          <w:rFonts w:ascii="Verdana" w:hAnsi="Verdana" w:cs="Arial"/>
          <w:i/>
          <w:iCs/>
          <w:sz w:val="22"/>
          <w:szCs w:val="22"/>
          <w:lang w:val="en-GB"/>
        </w:rPr>
        <w:noBreakHyphen/>
        <w:t>regulation (1) ‘income’ means –</w:t>
      </w:r>
    </w:p>
    <w:p w14:paraId="0B26F1D8" w14:textId="2BD3ECD2" w:rsidR="0044780B" w:rsidRDefault="0044780B" w:rsidP="0044780B">
      <w:pPr>
        <w:pStyle w:val="Indent"/>
        <w:widowControl w:val="0"/>
        <w:spacing w:after="240" w:line="360" w:lineRule="auto"/>
        <w:ind w:left="3600" w:hanging="720"/>
        <w:jc w:val="both"/>
        <w:rPr>
          <w:rFonts w:ascii="Verdana" w:hAnsi="Verdana" w:cs="Arial"/>
          <w:i/>
          <w:iCs/>
          <w:sz w:val="22"/>
          <w:szCs w:val="22"/>
          <w:lang w:val="en-GB"/>
        </w:rPr>
      </w:pPr>
      <w:r>
        <w:rPr>
          <w:rFonts w:ascii="Verdana" w:hAnsi="Verdana" w:cs="Arial"/>
          <w:i/>
          <w:iCs/>
          <w:sz w:val="22"/>
          <w:szCs w:val="22"/>
          <w:lang w:val="en-GB"/>
        </w:rPr>
        <w:t>(a) </w:t>
      </w:r>
      <w:r>
        <w:rPr>
          <w:rFonts w:ascii="Verdana" w:hAnsi="Verdana" w:cs="Arial"/>
          <w:i/>
          <w:iCs/>
          <w:sz w:val="22"/>
          <w:szCs w:val="22"/>
          <w:lang w:val="en-GB"/>
        </w:rPr>
        <w:tab/>
        <w:t>a person’s gross monthly cash, wage or salary; or where a person earns money –</w:t>
      </w:r>
    </w:p>
    <w:p w14:paraId="63707EC3" w14:textId="424EC440" w:rsidR="0044780B" w:rsidRDefault="0044780B" w:rsidP="0044780B">
      <w:pPr>
        <w:pStyle w:val="Indent"/>
        <w:widowControl w:val="0"/>
        <w:spacing w:after="240" w:line="360" w:lineRule="auto"/>
        <w:ind w:left="4320" w:hanging="720"/>
        <w:jc w:val="both"/>
        <w:rPr>
          <w:rFonts w:ascii="Verdana" w:hAnsi="Verdana" w:cs="Arial"/>
          <w:i/>
          <w:iCs/>
          <w:sz w:val="22"/>
          <w:szCs w:val="22"/>
          <w:lang w:val="en-GB"/>
        </w:rPr>
      </w:pPr>
      <w:r>
        <w:rPr>
          <w:rFonts w:ascii="Verdana" w:hAnsi="Verdana" w:cs="Arial"/>
          <w:i/>
          <w:iCs/>
          <w:sz w:val="22"/>
          <w:szCs w:val="22"/>
          <w:lang w:val="en-GB"/>
        </w:rPr>
        <w:t>(</w:t>
      </w:r>
      <w:proofErr w:type="spellStart"/>
      <w:r>
        <w:rPr>
          <w:rFonts w:ascii="Verdana" w:hAnsi="Verdana" w:cs="Arial"/>
          <w:i/>
          <w:iCs/>
          <w:sz w:val="22"/>
          <w:szCs w:val="22"/>
          <w:lang w:val="en-GB"/>
        </w:rPr>
        <w:t>i</w:t>
      </w:r>
      <w:proofErr w:type="spellEnd"/>
      <w:r>
        <w:rPr>
          <w:rFonts w:ascii="Verdana" w:hAnsi="Verdana" w:cs="Arial"/>
          <w:i/>
          <w:iCs/>
          <w:sz w:val="22"/>
          <w:szCs w:val="22"/>
          <w:lang w:val="en-GB"/>
        </w:rPr>
        <w:t>) </w:t>
      </w:r>
      <w:r>
        <w:rPr>
          <w:rFonts w:ascii="Verdana" w:hAnsi="Verdana" w:cs="Arial"/>
          <w:i/>
          <w:iCs/>
          <w:sz w:val="22"/>
          <w:szCs w:val="22"/>
          <w:lang w:val="en-GB"/>
        </w:rPr>
        <w:tab/>
        <w:t xml:space="preserve">other than in the form of a monthly cash, wage or salary, the average monthly amount of such person’s gross earnings during the </w:t>
      </w:r>
      <w:proofErr w:type="gramStart"/>
      <w:r>
        <w:rPr>
          <w:rFonts w:ascii="Verdana" w:hAnsi="Verdana" w:cs="Arial"/>
          <w:i/>
          <w:iCs/>
          <w:sz w:val="22"/>
          <w:szCs w:val="22"/>
          <w:lang w:val="en-GB"/>
        </w:rPr>
        <w:t>immediate</w:t>
      </w:r>
      <w:proofErr w:type="gramEnd"/>
      <w:r>
        <w:rPr>
          <w:rFonts w:ascii="Verdana" w:hAnsi="Verdana" w:cs="Arial"/>
          <w:i/>
          <w:iCs/>
          <w:sz w:val="22"/>
          <w:szCs w:val="22"/>
          <w:lang w:val="en-GB"/>
        </w:rPr>
        <w:t xml:space="preserve"> preceding year; or</w:t>
      </w:r>
    </w:p>
    <w:p w14:paraId="7412FF18" w14:textId="5D6F9DC9" w:rsidR="0044780B" w:rsidRDefault="0044780B" w:rsidP="0044780B">
      <w:pPr>
        <w:pStyle w:val="Indent"/>
        <w:widowControl w:val="0"/>
        <w:spacing w:after="240" w:line="360" w:lineRule="auto"/>
        <w:ind w:left="4320" w:hanging="720"/>
        <w:jc w:val="both"/>
        <w:rPr>
          <w:rFonts w:ascii="Verdana" w:hAnsi="Verdana" w:cs="Arial"/>
          <w:i/>
          <w:iCs/>
          <w:sz w:val="22"/>
          <w:szCs w:val="22"/>
          <w:lang w:val="en-GB"/>
        </w:rPr>
      </w:pPr>
      <w:r>
        <w:rPr>
          <w:rFonts w:ascii="Verdana" w:hAnsi="Verdana" w:cs="Arial"/>
          <w:i/>
          <w:iCs/>
          <w:sz w:val="22"/>
          <w:szCs w:val="22"/>
          <w:lang w:val="en-GB"/>
        </w:rPr>
        <w:t>(ii) </w:t>
      </w:r>
      <w:r>
        <w:rPr>
          <w:rFonts w:ascii="Verdana" w:hAnsi="Verdana" w:cs="Arial"/>
          <w:i/>
          <w:iCs/>
          <w:sz w:val="22"/>
          <w:szCs w:val="22"/>
          <w:lang w:val="en-GB"/>
        </w:rPr>
        <w:tab/>
        <w:t xml:space="preserve">in addition to the monthly cash, wage or salary, such person’s gross monthly cash, wage or salary together with the average monthly amount of such person’s additional gross earnings during the </w:t>
      </w:r>
      <w:proofErr w:type="gramStart"/>
      <w:r>
        <w:rPr>
          <w:rFonts w:ascii="Verdana" w:hAnsi="Verdana" w:cs="Arial"/>
          <w:i/>
          <w:iCs/>
          <w:sz w:val="22"/>
          <w:szCs w:val="22"/>
          <w:lang w:val="en-GB"/>
        </w:rPr>
        <w:t>immediate</w:t>
      </w:r>
      <w:proofErr w:type="gramEnd"/>
      <w:r>
        <w:rPr>
          <w:rFonts w:ascii="Verdana" w:hAnsi="Verdana" w:cs="Arial"/>
          <w:i/>
          <w:iCs/>
          <w:sz w:val="22"/>
          <w:szCs w:val="22"/>
          <w:lang w:val="en-GB"/>
        </w:rPr>
        <w:t xml:space="preserve"> preceding year;</w:t>
      </w:r>
    </w:p>
    <w:p w14:paraId="38194595" w14:textId="75F93EC0" w:rsidR="0044780B" w:rsidRDefault="0044780B" w:rsidP="0044780B">
      <w:pPr>
        <w:pStyle w:val="Indent"/>
        <w:widowControl w:val="0"/>
        <w:spacing w:after="480" w:line="360" w:lineRule="auto"/>
        <w:ind w:left="3600"/>
        <w:jc w:val="both"/>
        <w:rPr>
          <w:rFonts w:ascii="Verdana" w:hAnsi="Verdana" w:cs="Arial"/>
          <w:i/>
          <w:iCs/>
          <w:sz w:val="22"/>
          <w:szCs w:val="22"/>
          <w:lang w:val="en-GB"/>
        </w:rPr>
      </w:pPr>
      <w:r>
        <w:rPr>
          <w:rFonts w:ascii="Verdana" w:hAnsi="Verdana" w:cs="Arial"/>
          <w:i/>
          <w:iCs/>
          <w:sz w:val="22"/>
          <w:szCs w:val="22"/>
          <w:lang w:val="en-GB"/>
        </w:rPr>
        <w:t xml:space="preserve">providing that remuneration in kind </w:t>
      </w:r>
      <w:r w:rsidR="00257B46">
        <w:rPr>
          <w:rFonts w:ascii="Verdana" w:hAnsi="Verdana" w:cs="Arial"/>
          <w:i/>
          <w:iCs/>
          <w:sz w:val="22"/>
          <w:szCs w:val="22"/>
          <w:lang w:val="en-GB"/>
        </w:rPr>
        <w:t>shall</w:t>
      </w:r>
      <w:r>
        <w:rPr>
          <w:rFonts w:ascii="Verdana" w:hAnsi="Verdana" w:cs="Arial"/>
          <w:i/>
          <w:iCs/>
          <w:sz w:val="22"/>
          <w:szCs w:val="22"/>
          <w:lang w:val="en-GB"/>
        </w:rPr>
        <w:t xml:space="preserve"> not be </w:t>
      </w:r>
      <w:proofErr w:type="gramStart"/>
      <w:r>
        <w:rPr>
          <w:rFonts w:ascii="Verdana" w:hAnsi="Verdana" w:cs="Arial"/>
          <w:i/>
          <w:iCs/>
          <w:sz w:val="22"/>
          <w:szCs w:val="22"/>
          <w:lang w:val="en-GB"/>
        </w:rPr>
        <w:t>taken into account</w:t>
      </w:r>
      <w:proofErr w:type="gramEnd"/>
      <w:r>
        <w:rPr>
          <w:rFonts w:ascii="Verdana" w:hAnsi="Verdana" w:cs="Arial"/>
          <w:i/>
          <w:iCs/>
          <w:sz w:val="22"/>
          <w:szCs w:val="22"/>
          <w:lang w:val="en-GB"/>
        </w:rPr>
        <w:t>.”</w:t>
      </w:r>
    </w:p>
    <w:p w14:paraId="46C13266" w14:textId="0929D13A" w:rsidR="00B60C3C"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[17]</w:t>
      </w:r>
      <w:r>
        <w:rPr>
          <w:rFonts w:ascii="Verdana" w:hAnsi="Verdana" w:cs="Arial"/>
          <w:color w:val="000000" w:themeColor="text1"/>
          <w:sz w:val="22"/>
          <w:szCs w:val="22"/>
          <w:lang w:val="en-GB"/>
        </w:rPr>
        <w:tab/>
      </w:r>
      <w:r w:rsidR="0044780B">
        <w:rPr>
          <w:rFonts w:ascii="Verdana" w:hAnsi="Verdana" w:cs="Arial"/>
          <w:sz w:val="22"/>
          <w:szCs w:val="22"/>
          <w:lang w:val="en-GB"/>
        </w:rPr>
        <w:t xml:space="preserve">The respondents’ right to occupation and the consent to occupy was terminated with the notices that provided for a period of fourth months to </w:t>
      </w:r>
      <w:r w:rsidR="0044780B">
        <w:rPr>
          <w:rFonts w:ascii="Verdana" w:hAnsi="Verdana" w:cs="Arial"/>
          <w:sz w:val="22"/>
          <w:szCs w:val="22"/>
          <w:lang w:val="en-GB"/>
        </w:rPr>
        <w:lastRenderedPageBreak/>
        <w:t xml:space="preserve">vacate were served. That was during March 2021. In </w:t>
      </w:r>
      <w:proofErr w:type="spellStart"/>
      <w:r w:rsidR="0044780B">
        <w:rPr>
          <w:rFonts w:ascii="Verdana" w:hAnsi="Verdana" w:cs="Arial"/>
          <w:i/>
          <w:iCs/>
          <w:sz w:val="22"/>
          <w:szCs w:val="22"/>
          <w:lang w:val="en-GB"/>
        </w:rPr>
        <w:t>Lebowa</w:t>
      </w:r>
      <w:proofErr w:type="spellEnd"/>
      <w:r w:rsidR="0044780B">
        <w:rPr>
          <w:rFonts w:ascii="Verdana" w:hAnsi="Verdana" w:cs="Arial"/>
          <w:i/>
          <w:iCs/>
          <w:sz w:val="22"/>
          <w:szCs w:val="22"/>
          <w:lang w:val="en-GB"/>
        </w:rPr>
        <w:t xml:space="preserve"> Platinum Mines Ltd</w:t>
      </w:r>
      <w:r w:rsidR="0044780B">
        <w:rPr>
          <w:rStyle w:val="FootnoteReference"/>
          <w:rFonts w:ascii="Verdana" w:hAnsi="Verdana" w:cs="Arial"/>
          <w:i/>
          <w:iCs/>
          <w:sz w:val="22"/>
          <w:szCs w:val="22"/>
          <w:lang w:val="en-GB"/>
        </w:rPr>
        <w:footnoteReference w:id="1"/>
      </w:r>
      <w:r w:rsidR="0044780B">
        <w:rPr>
          <w:rFonts w:ascii="Verdana" w:hAnsi="Verdana" w:cs="Arial"/>
          <w:i/>
          <w:iCs/>
          <w:sz w:val="22"/>
          <w:szCs w:val="22"/>
          <w:lang w:val="en-GB"/>
        </w:rPr>
        <w:t xml:space="preserve"> </w:t>
      </w:r>
      <w:r w:rsidR="0044780B">
        <w:rPr>
          <w:rFonts w:ascii="Verdana" w:hAnsi="Verdana" w:cs="Arial"/>
          <w:sz w:val="22"/>
          <w:szCs w:val="22"/>
          <w:lang w:val="en-GB"/>
        </w:rPr>
        <w:t>the Supreme Court of Appeal found that the relevant time for calculating the qualifying income is on the plain meaning of the provisions when lawful occupation ceases. The increase in income only came into effect during February 2018.</w:t>
      </w:r>
      <w:r w:rsidR="0044780B">
        <w:rPr>
          <w:rStyle w:val="FootnoteReference"/>
          <w:rFonts w:ascii="Verdana" w:hAnsi="Verdana" w:cs="Arial"/>
          <w:sz w:val="22"/>
          <w:szCs w:val="22"/>
          <w:lang w:val="en-GB"/>
        </w:rPr>
        <w:footnoteReference w:id="2"/>
      </w:r>
      <w:r w:rsidR="0044780B">
        <w:rPr>
          <w:rFonts w:ascii="Verdana" w:hAnsi="Verdana" w:cs="Arial"/>
          <w:sz w:val="22"/>
          <w:szCs w:val="22"/>
          <w:lang w:val="en-GB"/>
        </w:rPr>
        <w:t xml:space="preserve"> </w:t>
      </w:r>
    </w:p>
    <w:p w14:paraId="358690F1" w14:textId="6AC0FFFF" w:rsidR="00495714"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[18]</w:t>
      </w:r>
      <w:r>
        <w:rPr>
          <w:rFonts w:ascii="Verdana" w:hAnsi="Verdana" w:cs="Arial"/>
          <w:color w:val="000000" w:themeColor="text1"/>
          <w:sz w:val="22"/>
          <w:szCs w:val="22"/>
          <w:lang w:val="en-GB"/>
        </w:rPr>
        <w:tab/>
      </w:r>
      <w:r w:rsidR="0044780B">
        <w:rPr>
          <w:rFonts w:ascii="Verdana" w:hAnsi="Verdana" w:cs="Arial"/>
          <w:sz w:val="22"/>
          <w:szCs w:val="22"/>
          <w:lang w:val="en-GB"/>
        </w:rPr>
        <w:t xml:space="preserve">In the answering papers no information relating to the </w:t>
      </w:r>
      <w:proofErr w:type="gramStart"/>
      <w:r w:rsidR="0044780B">
        <w:rPr>
          <w:rFonts w:ascii="Verdana" w:hAnsi="Verdana" w:cs="Arial"/>
          <w:sz w:val="22"/>
          <w:szCs w:val="22"/>
          <w:lang w:val="en-GB"/>
        </w:rPr>
        <w:t>respondents’</w:t>
      </w:r>
      <w:proofErr w:type="gramEnd"/>
      <w:r w:rsidR="0044780B">
        <w:rPr>
          <w:rFonts w:ascii="Verdana" w:hAnsi="Verdana" w:cs="Arial"/>
          <w:sz w:val="22"/>
          <w:szCs w:val="22"/>
          <w:lang w:val="en-GB"/>
        </w:rPr>
        <w:t xml:space="preserve"> was provided. An attempt was made to amplify this deficiency in the supplementary papers, but even in this instance it does not assist the respondents as the schedule attached was not accompanied by any corroboratory evidence. </w:t>
      </w:r>
    </w:p>
    <w:p w14:paraId="37977E86" w14:textId="4E6744A3" w:rsidR="0044780B"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[19]</w:t>
      </w:r>
      <w:r>
        <w:rPr>
          <w:rFonts w:ascii="Verdana" w:hAnsi="Verdana" w:cs="Arial"/>
          <w:color w:val="000000" w:themeColor="text1"/>
          <w:sz w:val="22"/>
          <w:szCs w:val="22"/>
          <w:lang w:val="en-GB"/>
        </w:rPr>
        <w:tab/>
      </w:r>
      <w:r w:rsidR="0044780B">
        <w:rPr>
          <w:rFonts w:ascii="Verdana" w:hAnsi="Verdana" w:cs="Arial"/>
          <w:sz w:val="22"/>
          <w:szCs w:val="22"/>
          <w:lang w:val="en-GB"/>
        </w:rPr>
        <w:t xml:space="preserve">In the circumstances the respondents have failed to satisfy the requirements of ESTA insofar as income is concerned. </w:t>
      </w:r>
    </w:p>
    <w:p w14:paraId="53B2D0D3" w14:textId="3EB20499" w:rsidR="0044780B"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[20]</w:t>
      </w:r>
      <w:r>
        <w:rPr>
          <w:rFonts w:ascii="Verdana" w:hAnsi="Verdana" w:cs="Arial"/>
          <w:color w:val="000000" w:themeColor="text1"/>
          <w:sz w:val="22"/>
          <w:szCs w:val="22"/>
          <w:lang w:val="en-GB"/>
        </w:rPr>
        <w:tab/>
      </w:r>
      <w:r w:rsidR="0044780B">
        <w:rPr>
          <w:rFonts w:ascii="Verdana" w:hAnsi="Verdana" w:cs="Arial"/>
          <w:sz w:val="22"/>
          <w:szCs w:val="22"/>
          <w:lang w:val="en-GB"/>
        </w:rPr>
        <w:t xml:space="preserve">It is pertinent that in the answering papers the defence advanced in terms of ESTA was premised only on the respondents’ contention that the land in question was described as agricultural holding. This is </w:t>
      </w:r>
      <w:r w:rsidR="00941820">
        <w:rPr>
          <w:rFonts w:ascii="Verdana" w:hAnsi="Verdana" w:cs="Arial"/>
          <w:sz w:val="22"/>
          <w:szCs w:val="22"/>
          <w:lang w:val="en-GB"/>
        </w:rPr>
        <w:t xml:space="preserve">also </w:t>
      </w:r>
      <w:r w:rsidR="0044780B">
        <w:rPr>
          <w:rFonts w:ascii="Verdana" w:hAnsi="Verdana" w:cs="Arial"/>
          <w:sz w:val="22"/>
          <w:szCs w:val="22"/>
          <w:lang w:val="en-GB"/>
        </w:rPr>
        <w:t xml:space="preserve">not enough. </w:t>
      </w:r>
    </w:p>
    <w:p w14:paraId="0A121E24" w14:textId="0B7FBE3E" w:rsidR="0044780B"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[21]</w:t>
      </w:r>
      <w:r>
        <w:rPr>
          <w:rFonts w:ascii="Verdana" w:hAnsi="Verdana" w:cs="Arial"/>
          <w:color w:val="000000" w:themeColor="text1"/>
          <w:sz w:val="22"/>
          <w:szCs w:val="22"/>
          <w:lang w:val="en-GB"/>
        </w:rPr>
        <w:tab/>
      </w:r>
      <w:r w:rsidR="0044780B">
        <w:rPr>
          <w:rFonts w:ascii="Verdana" w:hAnsi="Verdana" w:cs="Arial"/>
          <w:sz w:val="22"/>
          <w:szCs w:val="22"/>
          <w:lang w:val="en-GB"/>
        </w:rPr>
        <w:t xml:space="preserve">In </w:t>
      </w:r>
      <w:r w:rsidR="0044780B">
        <w:rPr>
          <w:rFonts w:ascii="Verdana" w:hAnsi="Verdana" w:cs="Arial"/>
          <w:i/>
          <w:iCs/>
          <w:sz w:val="22"/>
          <w:szCs w:val="22"/>
          <w:lang w:val="en-GB"/>
        </w:rPr>
        <w:t>Khuzwayo</w:t>
      </w:r>
      <w:r w:rsidR="0044780B">
        <w:rPr>
          <w:rStyle w:val="FootnoteReference"/>
          <w:rFonts w:ascii="Verdana" w:hAnsi="Verdana" w:cs="Arial"/>
          <w:i/>
          <w:iCs/>
          <w:sz w:val="22"/>
          <w:szCs w:val="22"/>
          <w:lang w:val="en-GB"/>
        </w:rPr>
        <w:footnoteReference w:id="3"/>
      </w:r>
      <w:r w:rsidR="0044780B">
        <w:rPr>
          <w:rFonts w:ascii="Verdana" w:hAnsi="Verdana" w:cs="Arial"/>
          <w:sz w:val="22"/>
          <w:szCs w:val="22"/>
          <w:lang w:val="en-GB"/>
        </w:rPr>
        <w:t xml:space="preserve"> the Land Claims Court specifically stated that: -</w:t>
      </w:r>
    </w:p>
    <w:p w14:paraId="2D83E64A" w14:textId="4B200CCC" w:rsidR="0044780B" w:rsidRPr="0044780B" w:rsidRDefault="0044780B" w:rsidP="0044780B">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“The fact that a property is described as a farm does not necessarily mean that it has not been proclaimed as a township.”</w:t>
      </w:r>
      <w:r>
        <w:rPr>
          <w:rStyle w:val="FootnoteReference"/>
          <w:rFonts w:ascii="Verdana" w:hAnsi="Verdana" w:cs="Arial"/>
          <w:i/>
          <w:iCs/>
          <w:sz w:val="22"/>
          <w:szCs w:val="22"/>
          <w:lang w:val="en-GB"/>
        </w:rPr>
        <w:footnoteReference w:id="4"/>
      </w:r>
    </w:p>
    <w:p w14:paraId="692F225C" w14:textId="2EF1C0D7" w:rsidR="0044780B"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lastRenderedPageBreak/>
        <w:t>[22]</w:t>
      </w:r>
      <w:r>
        <w:rPr>
          <w:rFonts w:ascii="Verdana" w:hAnsi="Verdana" w:cs="Arial"/>
          <w:color w:val="000000" w:themeColor="text1"/>
          <w:sz w:val="22"/>
          <w:szCs w:val="22"/>
          <w:lang w:val="en-GB"/>
        </w:rPr>
        <w:tab/>
      </w:r>
      <w:r w:rsidR="0072014A">
        <w:rPr>
          <w:rFonts w:ascii="Verdana" w:hAnsi="Verdana" w:cs="Arial"/>
          <w:sz w:val="22"/>
          <w:szCs w:val="22"/>
          <w:lang w:val="en-GB"/>
        </w:rPr>
        <w:t>The court held further that: -</w:t>
      </w:r>
    </w:p>
    <w:p w14:paraId="6C8AA311" w14:textId="0D5AFD0A" w:rsidR="0072014A" w:rsidRPr="0072014A" w:rsidRDefault="0072014A" w:rsidP="0072014A">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 xml:space="preserve">“In circumstances where the defendant wishes to defend an action, brought on the basis of a rei </w:t>
      </w:r>
      <w:proofErr w:type="spellStart"/>
      <w:r>
        <w:rPr>
          <w:rFonts w:ascii="Verdana" w:hAnsi="Verdana" w:cs="Arial"/>
          <w:i/>
          <w:iCs/>
          <w:sz w:val="22"/>
          <w:szCs w:val="22"/>
          <w:lang w:val="en-GB"/>
        </w:rPr>
        <w:t>vindicatio</w:t>
      </w:r>
      <w:proofErr w:type="spellEnd"/>
      <w:r>
        <w:rPr>
          <w:rFonts w:ascii="Verdana" w:hAnsi="Verdana" w:cs="Arial"/>
          <w:i/>
          <w:iCs/>
          <w:sz w:val="22"/>
          <w:szCs w:val="22"/>
          <w:lang w:val="en-GB"/>
        </w:rPr>
        <w:t>, on the grounds that he or she is a protected occupier under ESTA, the defendant bears the onus to prove that he or she complies with all components of the definition of an occupier.”</w:t>
      </w:r>
    </w:p>
    <w:p w14:paraId="7673C70D" w14:textId="0541233E" w:rsidR="0072014A" w:rsidRPr="0072014A" w:rsidRDefault="005B385E" w:rsidP="005B385E">
      <w:pPr>
        <w:pStyle w:val="Indent"/>
        <w:widowControl w:val="0"/>
        <w:spacing w:after="360" w:line="480" w:lineRule="auto"/>
        <w:ind w:left="720" w:hanging="720"/>
        <w:jc w:val="both"/>
        <w:rPr>
          <w:rFonts w:ascii="Verdana" w:hAnsi="Verdana" w:cs="Arial"/>
          <w:i/>
          <w:iCs/>
          <w:sz w:val="22"/>
          <w:szCs w:val="22"/>
          <w:lang w:val="en-GB"/>
        </w:rPr>
      </w:pPr>
      <w:r w:rsidRPr="0072014A">
        <w:rPr>
          <w:rFonts w:ascii="Verdana" w:hAnsi="Verdana" w:cs="Arial"/>
          <w:iCs/>
          <w:color w:val="000000" w:themeColor="text1"/>
          <w:sz w:val="22"/>
          <w:szCs w:val="22"/>
          <w:lang w:val="en-GB"/>
        </w:rPr>
        <w:t>[23]</w:t>
      </w:r>
      <w:r w:rsidRPr="0072014A">
        <w:rPr>
          <w:rFonts w:ascii="Verdana" w:hAnsi="Verdana" w:cs="Arial"/>
          <w:iCs/>
          <w:color w:val="000000" w:themeColor="text1"/>
          <w:sz w:val="22"/>
          <w:szCs w:val="22"/>
          <w:lang w:val="en-GB"/>
        </w:rPr>
        <w:tab/>
      </w:r>
      <w:proofErr w:type="spellStart"/>
      <w:r w:rsidR="0072014A" w:rsidRPr="0072014A">
        <w:rPr>
          <w:rFonts w:ascii="Verdana" w:hAnsi="Verdana" w:cs="Arial"/>
          <w:i/>
          <w:iCs/>
          <w:sz w:val="22"/>
          <w:szCs w:val="22"/>
          <w:lang w:val="en-GB"/>
        </w:rPr>
        <w:t>Esterhuyse</w:t>
      </w:r>
      <w:proofErr w:type="spellEnd"/>
      <w:r w:rsidR="0072014A">
        <w:rPr>
          <w:rStyle w:val="FootnoteReference"/>
          <w:rFonts w:ascii="Verdana" w:hAnsi="Verdana" w:cs="Arial"/>
          <w:i/>
          <w:iCs/>
          <w:sz w:val="22"/>
          <w:szCs w:val="22"/>
          <w:lang w:val="en-GB"/>
        </w:rPr>
        <w:footnoteReference w:id="5"/>
      </w:r>
      <w:r w:rsidR="0072014A">
        <w:rPr>
          <w:rFonts w:ascii="Verdana" w:hAnsi="Verdana" w:cs="Arial"/>
          <w:sz w:val="22"/>
          <w:szCs w:val="22"/>
          <w:lang w:val="en-GB"/>
        </w:rPr>
        <w:t xml:space="preserve"> went further by stating that: -</w:t>
      </w:r>
    </w:p>
    <w:p w14:paraId="30D30E0E" w14:textId="2F6D74B4" w:rsidR="0072014A" w:rsidRPr="0072014A" w:rsidRDefault="0072014A" w:rsidP="0072014A">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 xml:space="preserve">“… closer scrutiny of the definition of ‘occupier’ reveals that previous consent and farmland is not sufficient to render the defendant and occupier in terms of ESTA. There are three categories of consensual occupiers or rural land who are excluded from the definition. They are labour tenants, persons using the land for what might be described loosely as purposes other than substance, agricultural and persons earning </w:t>
      </w:r>
      <w:proofErr w:type="gramStart"/>
      <w:r>
        <w:rPr>
          <w:rFonts w:ascii="Verdana" w:hAnsi="Verdana" w:cs="Arial"/>
          <w:i/>
          <w:iCs/>
          <w:sz w:val="22"/>
          <w:szCs w:val="22"/>
          <w:lang w:val="en-GB"/>
        </w:rPr>
        <w:t>in excess of</w:t>
      </w:r>
      <w:proofErr w:type="gramEnd"/>
      <w:r>
        <w:rPr>
          <w:rFonts w:ascii="Verdana" w:hAnsi="Verdana" w:cs="Arial"/>
          <w:i/>
          <w:iCs/>
          <w:sz w:val="22"/>
          <w:szCs w:val="22"/>
          <w:lang w:val="en-GB"/>
        </w:rPr>
        <w:t xml:space="preserve"> R5 000.00 per month.”</w:t>
      </w:r>
    </w:p>
    <w:p w14:paraId="16AB9C4E" w14:textId="08CB95DE" w:rsidR="0072014A" w:rsidRPr="0072014A" w:rsidRDefault="005B385E" w:rsidP="005B385E">
      <w:pPr>
        <w:pStyle w:val="Indent"/>
        <w:widowControl w:val="0"/>
        <w:spacing w:after="360" w:line="480" w:lineRule="auto"/>
        <w:ind w:left="720" w:hanging="720"/>
        <w:jc w:val="both"/>
        <w:rPr>
          <w:rFonts w:ascii="Verdana" w:hAnsi="Verdana" w:cs="Arial"/>
          <w:sz w:val="22"/>
          <w:szCs w:val="22"/>
          <w:lang w:val="en-GB"/>
        </w:rPr>
      </w:pPr>
      <w:r w:rsidRPr="0072014A">
        <w:rPr>
          <w:rFonts w:ascii="Verdana" w:hAnsi="Verdana" w:cs="Arial"/>
          <w:color w:val="000000" w:themeColor="text1"/>
          <w:sz w:val="22"/>
          <w:szCs w:val="22"/>
          <w:lang w:val="en-GB"/>
        </w:rPr>
        <w:t>[24]</w:t>
      </w:r>
      <w:r w:rsidRPr="0072014A">
        <w:rPr>
          <w:rFonts w:ascii="Verdana" w:hAnsi="Verdana" w:cs="Arial"/>
          <w:color w:val="000000" w:themeColor="text1"/>
          <w:sz w:val="22"/>
          <w:szCs w:val="22"/>
          <w:lang w:val="en-GB"/>
        </w:rPr>
        <w:tab/>
      </w:r>
      <w:r w:rsidR="0072014A" w:rsidRPr="0072014A">
        <w:rPr>
          <w:rFonts w:ascii="Verdana" w:hAnsi="Verdana" w:cs="Arial"/>
          <w:sz w:val="22"/>
          <w:szCs w:val="22"/>
          <w:lang w:val="en-GB"/>
        </w:rPr>
        <w:t>In th</w:t>
      </w:r>
      <w:r w:rsidR="0072014A">
        <w:rPr>
          <w:rFonts w:ascii="Verdana" w:hAnsi="Verdana" w:cs="Arial"/>
          <w:sz w:val="22"/>
          <w:szCs w:val="22"/>
          <w:lang w:val="en-GB"/>
        </w:rPr>
        <w:t xml:space="preserve">e premises I find that the respondents have failed to discharge the onus of proving that ESTA </w:t>
      </w:r>
      <w:proofErr w:type="gramStart"/>
      <w:r w:rsidR="0072014A">
        <w:rPr>
          <w:rFonts w:ascii="Verdana" w:hAnsi="Verdana" w:cs="Arial"/>
          <w:sz w:val="22"/>
          <w:szCs w:val="22"/>
          <w:lang w:val="en-GB"/>
        </w:rPr>
        <w:t>applies</w:t>
      </w:r>
      <w:proofErr w:type="gramEnd"/>
      <w:r w:rsidR="00941820">
        <w:rPr>
          <w:rFonts w:ascii="Verdana" w:hAnsi="Verdana" w:cs="Arial"/>
          <w:sz w:val="22"/>
          <w:szCs w:val="22"/>
          <w:lang w:val="en-GB"/>
        </w:rPr>
        <w:t xml:space="preserve"> and I find that the provisions of PIE apply.</w:t>
      </w:r>
    </w:p>
    <w:p w14:paraId="2052DD05" w14:textId="15C33109" w:rsidR="003A7AF2" w:rsidRPr="003A7AF2" w:rsidRDefault="00601670" w:rsidP="003A7AF2">
      <w:pPr>
        <w:pStyle w:val="Indent"/>
        <w:keepNext/>
        <w:widowControl w:val="0"/>
        <w:spacing w:after="360" w:line="480" w:lineRule="auto"/>
        <w:jc w:val="both"/>
        <w:rPr>
          <w:rFonts w:ascii="Verdana" w:hAnsi="Verdana" w:cs="Arial"/>
          <w:sz w:val="22"/>
          <w:szCs w:val="22"/>
          <w:lang w:val="en-GB"/>
        </w:rPr>
      </w:pPr>
      <w:r>
        <w:rPr>
          <w:rFonts w:ascii="Verdana" w:hAnsi="Verdana" w:cs="Arial"/>
          <w:b/>
          <w:bCs/>
          <w:sz w:val="22"/>
          <w:szCs w:val="22"/>
          <w:lang w:val="en-GB"/>
        </w:rPr>
        <w:t>THE LIEN DEFENCE</w:t>
      </w:r>
    </w:p>
    <w:p w14:paraId="0AACB0AF" w14:textId="671AC384" w:rsidR="003A7AF2"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[25]</w:t>
      </w:r>
      <w:r>
        <w:rPr>
          <w:rFonts w:ascii="Verdana" w:hAnsi="Verdana" w:cs="Arial"/>
          <w:color w:val="000000" w:themeColor="text1"/>
          <w:sz w:val="22"/>
          <w:szCs w:val="22"/>
          <w:lang w:val="en-GB"/>
        </w:rPr>
        <w:tab/>
      </w:r>
      <w:r w:rsidR="00601670">
        <w:rPr>
          <w:rFonts w:ascii="Verdana" w:hAnsi="Verdana" w:cs="Arial"/>
          <w:sz w:val="22"/>
          <w:szCs w:val="22"/>
          <w:lang w:val="en-GB"/>
        </w:rPr>
        <w:t xml:space="preserve">The respondents rely on what they call a deposit hypothec. They allege that the applicants collected deposits from certain of the respondents and because of these payments, so the respondents argue, they are all entitled to occupation of the property until the total amount of R19 000.00 is reimbursed to them by the applicants. </w:t>
      </w:r>
    </w:p>
    <w:p w14:paraId="3E273019" w14:textId="0884BB86" w:rsidR="00601670"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lastRenderedPageBreak/>
        <w:t>[26]</w:t>
      </w:r>
      <w:r>
        <w:rPr>
          <w:rFonts w:ascii="Verdana" w:hAnsi="Verdana" w:cs="Arial"/>
          <w:color w:val="000000" w:themeColor="text1"/>
          <w:sz w:val="22"/>
          <w:szCs w:val="22"/>
          <w:lang w:val="en-GB"/>
        </w:rPr>
        <w:tab/>
      </w:r>
      <w:r w:rsidR="00601670">
        <w:rPr>
          <w:rFonts w:ascii="Verdana" w:hAnsi="Verdana" w:cs="Arial"/>
          <w:sz w:val="22"/>
          <w:szCs w:val="22"/>
          <w:lang w:val="en-GB"/>
        </w:rPr>
        <w:t xml:space="preserve">The hypothec defence again fails due to a lack of evidence. In the answering papers the respondents merely attached a letter dated 21 Jun 2021 which was addressed by their legal representatives to the applicants regarding the deposits. The applicants’ attorneys replied on 1 July 2021. All the letter states </w:t>
      </w:r>
      <w:proofErr w:type="gramStart"/>
      <w:r w:rsidR="00601670">
        <w:rPr>
          <w:rFonts w:ascii="Verdana" w:hAnsi="Verdana" w:cs="Arial"/>
          <w:sz w:val="22"/>
          <w:szCs w:val="22"/>
          <w:lang w:val="en-GB"/>
        </w:rPr>
        <w:t>is</w:t>
      </w:r>
      <w:proofErr w:type="gramEnd"/>
      <w:r w:rsidR="00601670">
        <w:rPr>
          <w:rFonts w:ascii="Verdana" w:hAnsi="Verdana" w:cs="Arial"/>
          <w:sz w:val="22"/>
          <w:szCs w:val="22"/>
          <w:lang w:val="en-GB"/>
        </w:rPr>
        <w:t xml:space="preserve"> that several occupants have paid security deposits and that on arrangements have been made to process these deposits. </w:t>
      </w:r>
    </w:p>
    <w:p w14:paraId="6051D864" w14:textId="39F509C6" w:rsidR="00601670" w:rsidRDefault="005B385E" w:rsidP="005B385E">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[27]</w:t>
      </w:r>
      <w:r>
        <w:rPr>
          <w:rFonts w:ascii="Verdana" w:hAnsi="Verdana" w:cs="Arial"/>
          <w:color w:val="000000" w:themeColor="text1"/>
          <w:sz w:val="22"/>
          <w:szCs w:val="22"/>
          <w:lang w:val="en-GB"/>
        </w:rPr>
        <w:tab/>
      </w:r>
      <w:r w:rsidR="00601670">
        <w:rPr>
          <w:rFonts w:ascii="Verdana" w:hAnsi="Verdana" w:cs="Arial"/>
          <w:sz w:val="22"/>
          <w:szCs w:val="22"/>
          <w:lang w:val="en-GB"/>
        </w:rPr>
        <w:t xml:space="preserve">Even if the respondents had made out a case and had proven the payment of security deposits, they have a further difficulty </w:t>
      </w:r>
      <w:r w:rsidR="00941820">
        <w:rPr>
          <w:rFonts w:ascii="Verdana" w:hAnsi="Verdana" w:cs="Arial"/>
          <w:sz w:val="22"/>
          <w:szCs w:val="22"/>
          <w:lang w:val="en-GB"/>
        </w:rPr>
        <w:t xml:space="preserve">in </w:t>
      </w:r>
      <w:r w:rsidR="00601670">
        <w:rPr>
          <w:rFonts w:ascii="Verdana" w:hAnsi="Verdana" w:cs="Arial"/>
          <w:sz w:val="22"/>
          <w:szCs w:val="22"/>
          <w:lang w:val="en-GB"/>
        </w:rPr>
        <w:t xml:space="preserve">that on their own version they concede that they stopped paying rentals. I am not persuaded that they are entitled to a reimbursement of the deposits or to raise a hypothec defence under circumstances where they, on their own version, breached the lease agreements due to non-payment. </w:t>
      </w:r>
    </w:p>
    <w:p w14:paraId="6D4EE161" w14:textId="3D7BC8B2" w:rsidR="00601670" w:rsidRPr="00601670" w:rsidRDefault="00601670" w:rsidP="00601670">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IS IT JUST AND EQUITABLE TO GRANT AN EVICTION?</w:t>
      </w:r>
    </w:p>
    <w:p w14:paraId="14DA5C6A" w14:textId="1304CB39" w:rsidR="00507F48" w:rsidRDefault="005B385E" w:rsidP="005B385E">
      <w:pPr>
        <w:pStyle w:val="Indent"/>
        <w:spacing w:after="360" w:line="480" w:lineRule="auto"/>
        <w:ind w:left="720" w:hanging="720"/>
        <w:jc w:val="both"/>
        <w:rPr>
          <w:rFonts w:ascii="Verdana Pro" w:hAnsi="Verdana Pro"/>
          <w:sz w:val="22"/>
          <w:szCs w:val="22"/>
          <w:lang w:val="en-GB"/>
        </w:rPr>
      </w:pPr>
      <w:r>
        <w:rPr>
          <w:rFonts w:ascii="Verdana Pro" w:hAnsi="Verdana Pro"/>
          <w:color w:val="000000" w:themeColor="text1"/>
          <w:sz w:val="22"/>
          <w:szCs w:val="22"/>
          <w:lang w:val="en-GB"/>
        </w:rPr>
        <w:t>[28]</w:t>
      </w:r>
      <w:r>
        <w:rPr>
          <w:rFonts w:ascii="Verdana Pro" w:hAnsi="Verdana Pro"/>
          <w:color w:val="000000" w:themeColor="text1"/>
          <w:sz w:val="22"/>
          <w:szCs w:val="22"/>
          <w:lang w:val="en-GB"/>
        </w:rPr>
        <w:tab/>
      </w:r>
      <w:r w:rsidR="00507F48">
        <w:rPr>
          <w:rFonts w:ascii="Verdana Pro" w:hAnsi="Verdana Pro"/>
          <w:sz w:val="22"/>
          <w:szCs w:val="22"/>
          <w:lang w:val="en-GB"/>
        </w:rPr>
        <w:t xml:space="preserve">Where a private landowner applies for eviction, a court </w:t>
      </w:r>
      <w:proofErr w:type="gramStart"/>
      <w:r w:rsidR="00507F48">
        <w:rPr>
          <w:rFonts w:ascii="Verdana Pro" w:hAnsi="Verdana Pro"/>
          <w:sz w:val="22"/>
          <w:szCs w:val="22"/>
          <w:lang w:val="en-GB"/>
        </w:rPr>
        <w:t>has to</w:t>
      </w:r>
      <w:proofErr w:type="gramEnd"/>
      <w:r w:rsidR="00507F48">
        <w:rPr>
          <w:rFonts w:ascii="Verdana Pro" w:hAnsi="Verdana Pro"/>
          <w:sz w:val="22"/>
          <w:szCs w:val="22"/>
          <w:lang w:val="en-GB"/>
        </w:rPr>
        <w:t xml:space="preserve"> make two enquiries. First it </w:t>
      </w:r>
      <w:proofErr w:type="gramStart"/>
      <w:r w:rsidR="00507F48">
        <w:rPr>
          <w:rFonts w:ascii="Verdana Pro" w:hAnsi="Verdana Pro"/>
          <w:sz w:val="22"/>
          <w:szCs w:val="22"/>
          <w:lang w:val="en-GB"/>
        </w:rPr>
        <w:t>has to</w:t>
      </w:r>
      <w:proofErr w:type="gramEnd"/>
      <w:r w:rsidR="00507F48">
        <w:rPr>
          <w:rFonts w:ascii="Verdana Pro" w:hAnsi="Verdana Pro"/>
          <w:sz w:val="22"/>
          <w:szCs w:val="22"/>
          <w:lang w:val="en-GB"/>
        </w:rPr>
        <w:t xml:space="preserve"> consider all relevant factors and decide if it is just and equitable to order eviction. If it decided it is just and equitable to evict, it </w:t>
      </w:r>
      <w:proofErr w:type="gramStart"/>
      <w:r w:rsidR="00507F48">
        <w:rPr>
          <w:rFonts w:ascii="Verdana Pro" w:hAnsi="Verdana Pro"/>
          <w:sz w:val="22"/>
          <w:szCs w:val="22"/>
          <w:lang w:val="en-GB"/>
        </w:rPr>
        <w:t>has to</w:t>
      </w:r>
      <w:proofErr w:type="gramEnd"/>
      <w:r w:rsidR="00507F48">
        <w:rPr>
          <w:rFonts w:ascii="Verdana Pro" w:hAnsi="Verdana Pro"/>
          <w:sz w:val="22"/>
          <w:szCs w:val="22"/>
          <w:lang w:val="en-GB"/>
        </w:rPr>
        <w:t xml:space="preserve"> make a second enquiry into what justice and equity require in respect of the date of eviction and conditions attaching to the order. Once the first and second enquiries are concluded, a single order is to be made.</w:t>
      </w:r>
      <w:r w:rsidR="00507F48">
        <w:rPr>
          <w:rStyle w:val="FootnoteReference"/>
          <w:rFonts w:ascii="Verdana Pro" w:hAnsi="Verdana Pro"/>
          <w:sz w:val="22"/>
          <w:szCs w:val="22"/>
          <w:lang w:val="en-GB"/>
        </w:rPr>
        <w:footnoteReference w:id="6"/>
      </w:r>
    </w:p>
    <w:p w14:paraId="181805BC" w14:textId="014D716B" w:rsidR="00507F48" w:rsidRDefault="005B385E" w:rsidP="005B385E">
      <w:pPr>
        <w:pStyle w:val="Indent"/>
        <w:spacing w:after="360" w:line="480" w:lineRule="auto"/>
        <w:ind w:left="720" w:hanging="720"/>
        <w:jc w:val="both"/>
        <w:rPr>
          <w:rFonts w:ascii="Verdana Pro" w:hAnsi="Verdana Pro"/>
          <w:sz w:val="22"/>
          <w:szCs w:val="22"/>
          <w:lang w:val="en-GB"/>
        </w:rPr>
      </w:pPr>
      <w:r>
        <w:rPr>
          <w:rFonts w:ascii="Verdana Pro" w:hAnsi="Verdana Pro"/>
          <w:color w:val="000000" w:themeColor="text1"/>
          <w:sz w:val="22"/>
          <w:szCs w:val="22"/>
          <w:lang w:val="en-GB"/>
        </w:rPr>
        <w:t>[29]</w:t>
      </w:r>
      <w:r>
        <w:rPr>
          <w:rFonts w:ascii="Verdana Pro" w:hAnsi="Verdana Pro"/>
          <w:color w:val="000000" w:themeColor="text1"/>
          <w:sz w:val="22"/>
          <w:szCs w:val="22"/>
          <w:lang w:val="en-GB"/>
        </w:rPr>
        <w:tab/>
      </w:r>
      <w:r w:rsidR="00507F48">
        <w:rPr>
          <w:rFonts w:ascii="Verdana Pro" w:hAnsi="Verdana Pro"/>
          <w:sz w:val="22"/>
          <w:szCs w:val="22"/>
          <w:lang w:val="en-GB"/>
        </w:rPr>
        <w:t xml:space="preserve">PIE imposed a new role on the courts in that they are required to hold a balance between legal eviction and unlawful occupation and ensure that </w:t>
      </w:r>
      <w:r w:rsidR="00507F48">
        <w:rPr>
          <w:rFonts w:ascii="Verdana Pro" w:hAnsi="Verdana Pro"/>
          <w:sz w:val="22"/>
          <w:szCs w:val="22"/>
          <w:lang w:val="en-GB"/>
        </w:rPr>
        <w:lastRenderedPageBreak/>
        <w:t>justice and equity prevail in relation to all concerned.</w:t>
      </w:r>
      <w:r w:rsidR="00507F48">
        <w:rPr>
          <w:rStyle w:val="FootnoteReference"/>
          <w:rFonts w:ascii="Verdana Pro" w:hAnsi="Verdana Pro"/>
          <w:sz w:val="22"/>
          <w:szCs w:val="22"/>
          <w:lang w:val="en-GB"/>
        </w:rPr>
        <w:footnoteReference w:id="7"/>
      </w:r>
      <w:r w:rsidR="00507F48">
        <w:rPr>
          <w:rFonts w:ascii="Verdana Pro" w:hAnsi="Verdana Pro"/>
          <w:sz w:val="22"/>
          <w:szCs w:val="22"/>
          <w:lang w:val="en-GB"/>
        </w:rPr>
        <w:t xml:space="preserve">  However, the extent to which the court must go beyond normal functions was also placed in perspective by the Supreme Court of Appeal in </w:t>
      </w:r>
      <w:r w:rsidR="00507F48" w:rsidRPr="00B27EB4">
        <w:rPr>
          <w:rFonts w:ascii="Verdana Pro" w:hAnsi="Verdana Pro"/>
          <w:i/>
          <w:iCs/>
          <w:sz w:val="22"/>
          <w:szCs w:val="22"/>
          <w:lang w:val="en-GB"/>
        </w:rPr>
        <w:t>Changing Tides</w:t>
      </w:r>
      <w:r w:rsidR="00507F48">
        <w:rPr>
          <w:rFonts w:ascii="Verdana Pro" w:hAnsi="Verdana Pro"/>
          <w:sz w:val="22"/>
          <w:szCs w:val="22"/>
          <w:lang w:val="en-GB"/>
        </w:rPr>
        <w:t>. It stated that this injunction must be seen in the context that courts are neither vested with powers of investigation, nor equipped with the staff and resources to engage in broad-ranging enquiries into socio-economic issues.</w:t>
      </w:r>
      <w:r w:rsidR="00507F48">
        <w:rPr>
          <w:rStyle w:val="FootnoteReference"/>
          <w:rFonts w:ascii="Verdana Pro" w:hAnsi="Verdana Pro"/>
          <w:sz w:val="22"/>
          <w:szCs w:val="22"/>
          <w:lang w:val="en-GB"/>
        </w:rPr>
        <w:footnoteReference w:id="8"/>
      </w:r>
      <w:r w:rsidR="00507F48">
        <w:rPr>
          <w:rFonts w:ascii="Verdana Pro" w:hAnsi="Verdana Pro"/>
          <w:sz w:val="22"/>
          <w:szCs w:val="22"/>
          <w:lang w:val="en-GB"/>
        </w:rPr>
        <w:t xml:space="preserve"> </w:t>
      </w:r>
    </w:p>
    <w:p w14:paraId="6CA0ABC0" w14:textId="68390C18" w:rsidR="00507F48" w:rsidRDefault="005B385E" w:rsidP="005B385E">
      <w:pPr>
        <w:pStyle w:val="Indent"/>
        <w:spacing w:after="360" w:line="480" w:lineRule="auto"/>
        <w:ind w:left="720" w:hanging="720"/>
        <w:jc w:val="both"/>
        <w:rPr>
          <w:rFonts w:ascii="Verdana Pro" w:hAnsi="Verdana Pro"/>
          <w:sz w:val="22"/>
          <w:szCs w:val="22"/>
          <w:lang w:val="en-GB"/>
        </w:rPr>
      </w:pPr>
      <w:r>
        <w:rPr>
          <w:rFonts w:ascii="Verdana Pro" w:hAnsi="Verdana Pro"/>
          <w:color w:val="000000" w:themeColor="text1"/>
          <w:sz w:val="22"/>
          <w:szCs w:val="22"/>
          <w:lang w:val="en-GB"/>
        </w:rPr>
        <w:t>[30]</w:t>
      </w:r>
      <w:r>
        <w:rPr>
          <w:rFonts w:ascii="Verdana Pro" w:hAnsi="Verdana Pro"/>
          <w:color w:val="000000" w:themeColor="text1"/>
          <w:sz w:val="22"/>
          <w:szCs w:val="22"/>
          <w:lang w:val="en-GB"/>
        </w:rPr>
        <w:tab/>
      </w:r>
      <w:r w:rsidR="00507F48">
        <w:rPr>
          <w:rFonts w:ascii="Verdana Pro" w:hAnsi="Verdana Pro"/>
          <w:sz w:val="22"/>
          <w:szCs w:val="22"/>
          <w:lang w:val="en-GB"/>
        </w:rPr>
        <w:t xml:space="preserve">Having considered the facts, I find that the respondents have failed to disclose a </w:t>
      </w:r>
      <w:r w:rsidR="00507F48">
        <w:rPr>
          <w:rFonts w:ascii="Verdana Pro" w:hAnsi="Verdana Pro"/>
          <w:i/>
          <w:iCs/>
          <w:sz w:val="22"/>
          <w:szCs w:val="22"/>
          <w:lang w:val="en-GB"/>
        </w:rPr>
        <w:t>bona fide</w:t>
      </w:r>
      <w:r w:rsidR="00507F48">
        <w:rPr>
          <w:rFonts w:ascii="Verdana Pro" w:hAnsi="Verdana Pro"/>
          <w:sz w:val="22"/>
          <w:szCs w:val="22"/>
          <w:lang w:val="en-GB"/>
        </w:rPr>
        <w:t xml:space="preserve"> defence and they are in unlawful occupation. </w:t>
      </w:r>
    </w:p>
    <w:p w14:paraId="6AE9D644" w14:textId="2426312B" w:rsidR="00507F48" w:rsidRDefault="005B385E" w:rsidP="005B385E">
      <w:pPr>
        <w:pStyle w:val="Indent"/>
        <w:widowControl w:val="0"/>
        <w:spacing w:after="360" w:line="456"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[31]</w:t>
      </w:r>
      <w:r>
        <w:rPr>
          <w:rFonts w:ascii="Verdana" w:hAnsi="Verdana" w:cs="Arial"/>
          <w:color w:val="000000" w:themeColor="text1"/>
          <w:sz w:val="22"/>
          <w:szCs w:val="22"/>
          <w:lang w:val="en-GB"/>
        </w:rPr>
        <w:tab/>
      </w:r>
      <w:r w:rsidR="00507F48">
        <w:rPr>
          <w:rFonts w:ascii="Verdana" w:hAnsi="Verdana" w:cs="Arial"/>
          <w:sz w:val="22"/>
          <w:szCs w:val="22"/>
          <w:lang w:val="en-GB"/>
        </w:rPr>
        <w:t xml:space="preserve">The personal circumstances furnished by the respondents are scant. At </w:t>
      </w:r>
      <w:r w:rsidR="00046991">
        <w:rPr>
          <w:rFonts w:ascii="Verdana" w:hAnsi="Verdana" w:cs="Arial"/>
          <w:sz w:val="22"/>
          <w:szCs w:val="22"/>
          <w:lang w:val="en-GB"/>
        </w:rPr>
        <w:t>t</w:t>
      </w:r>
      <w:r w:rsidR="00507F48">
        <w:rPr>
          <w:rFonts w:ascii="Verdana" w:hAnsi="Verdana" w:cs="Arial"/>
          <w:sz w:val="22"/>
          <w:szCs w:val="22"/>
          <w:lang w:val="en-GB"/>
        </w:rPr>
        <w:t>he</w:t>
      </w:r>
      <w:r w:rsidR="00046991">
        <w:rPr>
          <w:rFonts w:ascii="Verdana" w:hAnsi="Verdana" w:cs="Arial"/>
          <w:sz w:val="22"/>
          <w:szCs w:val="22"/>
          <w:lang w:val="en-GB"/>
        </w:rPr>
        <w:t>i</w:t>
      </w:r>
      <w:r w:rsidR="00507F48">
        <w:rPr>
          <w:rFonts w:ascii="Verdana" w:hAnsi="Verdana" w:cs="Arial"/>
          <w:sz w:val="22"/>
          <w:szCs w:val="22"/>
          <w:lang w:val="en-GB"/>
        </w:rPr>
        <w:t xml:space="preserve">r own peril </w:t>
      </w:r>
      <w:r w:rsidR="00046991">
        <w:rPr>
          <w:rFonts w:ascii="Verdana" w:hAnsi="Verdana" w:cs="Arial"/>
          <w:sz w:val="22"/>
          <w:szCs w:val="22"/>
          <w:lang w:val="en-GB"/>
        </w:rPr>
        <w:t xml:space="preserve">they failed to </w:t>
      </w:r>
      <w:r w:rsidR="00507F48">
        <w:rPr>
          <w:rFonts w:ascii="Verdana" w:hAnsi="Verdana" w:cs="Arial"/>
          <w:sz w:val="22"/>
          <w:szCs w:val="22"/>
          <w:lang w:val="en-GB"/>
        </w:rPr>
        <w:t xml:space="preserve">take the court into </w:t>
      </w:r>
      <w:r w:rsidR="00046991">
        <w:rPr>
          <w:rFonts w:ascii="Verdana" w:hAnsi="Verdana" w:cs="Arial"/>
          <w:sz w:val="22"/>
          <w:szCs w:val="22"/>
          <w:lang w:val="en-GB"/>
        </w:rPr>
        <w:t>t</w:t>
      </w:r>
      <w:r w:rsidR="00507F48">
        <w:rPr>
          <w:rFonts w:ascii="Verdana" w:hAnsi="Verdana" w:cs="Arial"/>
          <w:sz w:val="22"/>
          <w:szCs w:val="22"/>
          <w:lang w:val="en-GB"/>
        </w:rPr>
        <w:t>he</w:t>
      </w:r>
      <w:r w:rsidR="00046991">
        <w:rPr>
          <w:rFonts w:ascii="Verdana" w:hAnsi="Verdana" w:cs="Arial"/>
          <w:sz w:val="22"/>
          <w:szCs w:val="22"/>
          <w:lang w:val="en-GB"/>
        </w:rPr>
        <w:t>i</w:t>
      </w:r>
      <w:r w:rsidR="00507F48">
        <w:rPr>
          <w:rFonts w:ascii="Verdana" w:hAnsi="Verdana" w:cs="Arial"/>
          <w:sz w:val="22"/>
          <w:szCs w:val="22"/>
          <w:lang w:val="en-GB"/>
        </w:rPr>
        <w:t>r confidence</w:t>
      </w:r>
      <w:r w:rsidR="00046991">
        <w:rPr>
          <w:rFonts w:ascii="Verdana" w:hAnsi="Verdana" w:cs="Arial"/>
          <w:sz w:val="22"/>
          <w:szCs w:val="22"/>
          <w:lang w:val="en-GB"/>
        </w:rPr>
        <w:t>.</w:t>
      </w:r>
      <w:r w:rsidR="00507F48">
        <w:rPr>
          <w:rFonts w:ascii="Verdana" w:hAnsi="Verdana" w:cs="Arial"/>
          <w:sz w:val="22"/>
          <w:szCs w:val="22"/>
          <w:lang w:val="en-GB"/>
        </w:rPr>
        <w:t xml:space="preserve"> </w:t>
      </w:r>
      <w:r w:rsidR="00046991">
        <w:rPr>
          <w:rFonts w:ascii="Verdana" w:hAnsi="Verdana" w:cs="Arial"/>
          <w:sz w:val="22"/>
          <w:szCs w:val="22"/>
          <w:lang w:val="en-GB"/>
        </w:rPr>
        <w:t xml:space="preserve">Be that as it may, the supplementary affidavit in any event demonstrates that </w:t>
      </w:r>
      <w:r w:rsidR="00941820">
        <w:rPr>
          <w:rFonts w:ascii="Verdana" w:hAnsi="Verdana" w:cs="Arial"/>
          <w:sz w:val="22"/>
          <w:szCs w:val="22"/>
          <w:lang w:val="en-GB"/>
        </w:rPr>
        <w:t xml:space="preserve">at least </w:t>
      </w:r>
      <w:r w:rsidR="00046991">
        <w:rPr>
          <w:rFonts w:ascii="Verdana" w:hAnsi="Verdana" w:cs="Arial"/>
          <w:sz w:val="22"/>
          <w:szCs w:val="22"/>
          <w:lang w:val="en-GB"/>
        </w:rPr>
        <w:t>27 of the occupiers do earn an income and are therefore able to find suitable and affordable accommodation elsewhere</w:t>
      </w:r>
      <w:r w:rsidR="00507F48">
        <w:rPr>
          <w:rFonts w:ascii="Verdana" w:hAnsi="Verdana" w:cs="Arial"/>
          <w:sz w:val="22"/>
          <w:szCs w:val="22"/>
          <w:lang w:val="en-GB"/>
        </w:rPr>
        <w:t>.</w:t>
      </w:r>
      <w:r w:rsidR="00046991">
        <w:rPr>
          <w:rFonts w:ascii="Verdana" w:hAnsi="Verdana" w:cs="Arial"/>
          <w:sz w:val="22"/>
          <w:szCs w:val="22"/>
          <w:lang w:val="en-GB"/>
        </w:rPr>
        <w:t xml:space="preserve"> </w:t>
      </w:r>
    </w:p>
    <w:p w14:paraId="27CDCFBD" w14:textId="614B631D" w:rsidR="00507F48" w:rsidRDefault="005B385E" w:rsidP="005B385E">
      <w:pPr>
        <w:pStyle w:val="Indent"/>
        <w:spacing w:after="360" w:line="456" w:lineRule="auto"/>
        <w:ind w:left="720" w:hanging="720"/>
        <w:jc w:val="both"/>
        <w:rPr>
          <w:rFonts w:ascii="Verdana Pro" w:hAnsi="Verdana Pro"/>
          <w:sz w:val="22"/>
          <w:szCs w:val="22"/>
          <w:lang w:val="en-GB"/>
        </w:rPr>
      </w:pPr>
      <w:r>
        <w:rPr>
          <w:rFonts w:ascii="Verdana Pro" w:hAnsi="Verdana Pro"/>
          <w:color w:val="000000" w:themeColor="text1"/>
          <w:sz w:val="22"/>
          <w:szCs w:val="22"/>
          <w:lang w:val="en-GB"/>
        </w:rPr>
        <w:t>[32]</w:t>
      </w:r>
      <w:r>
        <w:rPr>
          <w:rFonts w:ascii="Verdana Pro" w:hAnsi="Verdana Pro"/>
          <w:color w:val="000000" w:themeColor="text1"/>
          <w:sz w:val="22"/>
          <w:szCs w:val="22"/>
          <w:lang w:val="en-GB"/>
        </w:rPr>
        <w:tab/>
      </w:r>
      <w:r w:rsidR="00507F48">
        <w:rPr>
          <w:rFonts w:ascii="Verdana Pro" w:hAnsi="Verdana Pro"/>
          <w:sz w:val="22"/>
          <w:szCs w:val="22"/>
          <w:lang w:val="en-GB"/>
        </w:rPr>
        <w:t xml:space="preserve">In the premises, the respondents failed to make out a case for homelessness. It has also not been suggested by the respondents that there is a shortage of immediately available accommodation for the occupiers. </w:t>
      </w:r>
    </w:p>
    <w:p w14:paraId="1DA741D4" w14:textId="50C644D4" w:rsidR="00507F48" w:rsidRDefault="005B385E" w:rsidP="005B385E">
      <w:pPr>
        <w:pStyle w:val="Indent"/>
        <w:spacing w:after="360" w:line="456" w:lineRule="auto"/>
        <w:ind w:left="720" w:hanging="720"/>
        <w:jc w:val="both"/>
        <w:rPr>
          <w:rFonts w:ascii="Verdana Pro" w:hAnsi="Verdana Pro"/>
          <w:sz w:val="22"/>
          <w:szCs w:val="22"/>
          <w:lang w:val="en-GB"/>
        </w:rPr>
      </w:pPr>
      <w:r>
        <w:rPr>
          <w:rFonts w:ascii="Verdana Pro" w:hAnsi="Verdana Pro"/>
          <w:color w:val="000000" w:themeColor="text1"/>
          <w:sz w:val="22"/>
          <w:szCs w:val="22"/>
          <w:lang w:val="en-GB"/>
        </w:rPr>
        <w:t>[33]</w:t>
      </w:r>
      <w:r>
        <w:rPr>
          <w:rFonts w:ascii="Verdana Pro" w:hAnsi="Verdana Pro"/>
          <w:color w:val="000000" w:themeColor="text1"/>
          <w:sz w:val="22"/>
          <w:szCs w:val="22"/>
          <w:lang w:val="en-GB"/>
        </w:rPr>
        <w:tab/>
      </w:r>
      <w:r w:rsidR="00507F48">
        <w:rPr>
          <w:rFonts w:ascii="Verdana Pro" w:hAnsi="Verdana Pro"/>
          <w:sz w:val="22"/>
          <w:szCs w:val="22"/>
          <w:lang w:val="en-GB"/>
        </w:rPr>
        <w:t>As a consequence of my finding that the respondents will not be rendered homeless in the event of their eviction, there is no reason for the thir</w:t>
      </w:r>
      <w:r w:rsidR="00046991">
        <w:rPr>
          <w:rFonts w:ascii="Verdana Pro" w:hAnsi="Verdana Pro"/>
          <w:sz w:val="22"/>
          <w:szCs w:val="22"/>
          <w:lang w:val="en-GB"/>
        </w:rPr>
        <w:t>tieth</w:t>
      </w:r>
      <w:r w:rsidR="00507F48">
        <w:rPr>
          <w:rFonts w:ascii="Verdana Pro" w:hAnsi="Verdana Pro"/>
          <w:sz w:val="22"/>
          <w:szCs w:val="22"/>
          <w:lang w:val="en-GB"/>
        </w:rPr>
        <w:t xml:space="preserve"> respondent to report. In the circumstances I consider it just and equitable to evict the respondents. </w:t>
      </w:r>
    </w:p>
    <w:p w14:paraId="63D11DBB" w14:textId="52959D74" w:rsidR="00601670" w:rsidRDefault="005B385E" w:rsidP="005B385E">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[34]</w:t>
      </w:r>
      <w:r>
        <w:rPr>
          <w:rFonts w:ascii="Verdana" w:hAnsi="Verdana" w:cs="Arial"/>
          <w:color w:val="000000" w:themeColor="text1"/>
          <w:sz w:val="22"/>
          <w:szCs w:val="22"/>
          <w:lang w:val="en-GB"/>
        </w:rPr>
        <w:tab/>
      </w:r>
      <w:r w:rsidR="00046991">
        <w:rPr>
          <w:rFonts w:ascii="Verdana" w:hAnsi="Verdana" w:cs="Arial"/>
          <w:sz w:val="22"/>
          <w:szCs w:val="22"/>
          <w:lang w:val="en-GB"/>
        </w:rPr>
        <w:t xml:space="preserve">Considering the fact that notice to vacate was given to the respondents as far back as March 2021, I find that a period of three months afforded to the </w:t>
      </w:r>
      <w:r w:rsidR="00046991">
        <w:rPr>
          <w:rFonts w:ascii="Verdana" w:hAnsi="Verdana" w:cs="Arial"/>
          <w:sz w:val="22"/>
          <w:szCs w:val="22"/>
          <w:lang w:val="en-GB"/>
        </w:rPr>
        <w:lastRenderedPageBreak/>
        <w:t xml:space="preserve">respondents within which to vacate the property would be just and equitable in the circumstances. </w:t>
      </w:r>
    </w:p>
    <w:p w14:paraId="60A5F3FB" w14:textId="11FA838E" w:rsidR="00941820" w:rsidRDefault="005B385E" w:rsidP="005B385E">
      <w:pPr>
        <w:pStyle w:val="Indent"/>
        <w:widowControl w:val="0"/>
        <w:spacing w:after="360" w:line="432"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[35]</w:t>
      </w:r>
      <w:r>
        <w:rPr>
          <w:rFonts w:ascii="Verdana" w:hAnsi="Verdana" w:cs="Arial"/>
          <w:color w:val="000000" w:themeColor="text1"/>
          <w:sz w:val="22"/>
          <w:szCs w:val="22"/>
          <w:lang w:val="en-GB"/>
        </w:rPr>
        <w:tab/>
      </w:r>
      <w:r w:rsidR="00941820">
        <w:rPr>
          <w:rFonts w:ascii="Verdana" w:hAnsi="Verdana" w:cs="Arial"/>
          <w:sz w:val="22"/>
          <w:szCs w:val="22"/>
          <w:lang w:val="en-GB"/>
        </w:rPr>
        <w:t>I am also satisfied that the statutory requirements of PIE have been met.</w:t>
      </w:r>
    </w:p>
    <w:p w14:paraId="467B836B" w14:textId="4FF13E90" w:rsidR="00834C7D" w:rsidRPr="00182F9A" w:rsidRDefault="00834C7D" w:rsidP="00FD077F">
      <w:pPr>
        <w:pStyle w:val="Indent"/>
        <w:keepNext/>
        <w:widowControl w:val="0"/>
        <w:spacing w:after="360" w:line="480" w:lineRule="auto"/>
        <w:jc w:val="both"/>
        <w:rPr>
          <w:rFonts w:ascii="Verdana" w:hAnsi="Verdana" w:cs="Arial"/>
          <w:b/>
          <w:bCs/>
          <w:sz w:val="22"/>
          <w:szCs w:val="22"/>
          <w:lang w:val="en-GB"/>
        </w:rPr>
      </w:pPr>
      <w:r w:rsidRPr="00182F9A">
        <w:rPr>
          <w:rFonts w:ascii="Verdana" w:hAnsi="Verdana" w:cs="Arial"/>
          <w:b/>
          <w:bCs/>
          <w:sz w:val="22"/>
          <w:szCs w:val="22"/>
          <w:lang w:val="en-GB"/>
        </w:rPr>
        <w:t>ORDER</w:t>
      </w:r>
    </w:p>
    <w:p w14:paraId="038A6DA5" w14:textId="7CFF0F9A" w:rsidR="00834C7D" w:rsidRPr="00182F9A" w:rsidRDefault="00EB6016" w:rsidP="00626A95">
      <w:pPr>
        <w:pStyle w:val="Indent"/>
        <w:widowControl w:val="0"/>
        <w:spacing w:after="360" w:line="480" w:lineRule="auto"/>
        <w:jc w:val="both"/>
        <w:rPr>
          <w:rFonts w:ascii="Verdana" w:hAnsi="Verdana" w:cs="Arial"/>
          <w:sz w:val="22"/>
          <w:szCs w:val="22"/>
          <w:lang w:val="en-GB"/>
        </w:rPr>
      </w:pPr>
      <w:r w:rsidRPr="00182F9A">
        <w:rPr>
          <w:rFonts w:ascii="Verdana" w:hAnsi="Verdana" w:cs="Arial"/>
          <w:sz w:val="22"/>
          <w:szCs w:val="22"/>
          <w:lang w:val="en-GB"/>
        </w:rPr>
        <w:t>I accordingly grant a</w:t>
      </w:r>
      <w:r w:rsidR="00834C7D" w:rsidRPr="00182F9A">
        <w:rPr>
          <w:rFonts w:ascii="Verdana" w:hAnsi="Verdana" w:cs="Arial"/>
          <w:sz w:val="22"/>
          <w:szCs w:val="22"/>
          <w:lang w:val="en-GB"/>
        </w:rPr>
        <w:t>n order in the following terms: -</w:t>
      </w:r>
    </w:p>
    <w:p w14:paraId="37F3D7D2" w14:textId="041780EC" w:rsidR="009E3E7C" w:rsidRPr="00182F9A" w:rsidRDefault="005B385E" w:rsidP="005B385E">
      <w:pPr>
        <w:pStyle w:val="Indent"/>
        <w:widowControl w:val="0"/>
        <w:spacing w:after="360" w:line="480" w:lineRule="auto"/>
        <w:ind w:left="709" w:hanging="709"/>
        <w:jc w:val="both"/>
        <w:rPr>
          <w:rFonts w:ascii="Verdana" w:hAnsi="Verdana" w:cs="Arial"/>
          <w:sz w:val="22"/>
          <w:szCs w:val="22"/>
          <w:lang w:val="en-GB"/>
        </w:rPr>
      </w:pPr>
      <w:r w:rsidRPr="00182F9A">
        <w:rPr>
          <w:rFonts w:ascii="Verdana" w:hAnsi="Verdana" w:cs="Arial"/>
          <w:sz w:val="22"/>
          <w:szCs w:val="22"/>
          <w:lang w:val="en-GB"/>
        </w:rPr>
        <w:t>1.</w:t>
      </w:r>
      <w:r w:rsidRPr="00182F9A">
        <w:rPr>
          <w:rFonts w:ascii="Verdana" w:hAnsi="Verdana" w:cs="Arial"/>
          <w:sz w:val="22"/>
          <w:szCs w:val="22"/>
          <w:lang w:val="en-GB"/>
        </w:rPr>
        <w:tab/>
      </w:r>
      <w:r w:rsidR="00467A6B">
        <w:rPr>
          <w:rFonts w:ascii="Verdana" w:hAnsi="Verdana"/>
          <w:sz w:val="22"/>
          <w:szCs w:val="22"/>
          <w:lang w:val="en-GB"/>
        </w:rPr>
        <w:t>The first to twenty-ninth respondents, as well as all other persons occupying the property through or under the first to twenty-ninth respondents’ authority are ordered to vacate the immovable property situated at Holding </w:t>
      </w:r>
      <w:r w:rsidR="005F3B9F">
        <w:rPr>
          <w:rFonts w:ascii="Verdana" w:hAnsi="Verdana"/>
          <w:sz w:val="22"/>
          <w:szCs w:val="22"/>
          <w:lang w:val="en-GB"/>
        </w:rPr>
        <w:t>[…]</w:t>
      </w:r>
      <w:r w:rsidR="00467A6B">
        <w:rPr>
          <w:rFonts w:ascii="Verdana" w:hAnsi="Verdana"/>
          <w:sz w:val="22"/>
          <w:szCs w:val="22"/>
          <w:lang w:val="en-GB"/>
        </w:rPr>
        <w:t>, Catherine Road, Mostyn Park (“</w:t>
      </w:r>
      <w:r w:rsidR="00467A6B">
        <w:rPr>
          <w:rFonts w:ascii="Verdana" w:hAnsi="Verdana"/>
          <w:b/>
          <w:bCs/>
          <w:sz w:val="22"/>
          <w:szCs w:val="22"/>
          <w:lang w:val="en-GB"/>
        </w:rPr>
        <w:t>the property</w:t>
      </w:r>
      <w:r w:rsidR="00467A6B">
        <w:rPr>
          <w:rFonts w:ascii="Verdana" w:hAnsi="Verdana"/>
          <w:sz w:val="22"/>
          <w:szCs w:val="22"/>
          <w:lang w:val="en-GB"/>
        </w:rPr>
        <w:t xml:space="preserve">”) on or before 30 September 2024. </w:t>
      </w:r>
    </w:p>
    <w:p w14:paraId="7D72988E" w14:textId="354DB890" w:rsidR="00AE5F10" w:rsidRPr="003A7AF2" w:rsidRDefault="005B385E" w:rsidP="005B385E">
      <w:pPr>
        <w:pStyle w:val="Indent"/>
        <w:widowControl w:val="0"/>
        <w:spacing w:after="360" w:line="480" w:lineRule="auto"/>
        <w:ind w:left="709" w:hanging="709"/>
        <w:jc w:val="both"/>
        <w:rPr>
          <w:rFonts w:ascii="Verdana" w:hAnsi="Verdana" w:cs="Arial"/>
          <w:sz w:val="22"/>
          <w:szCs w:val="22"/>
          <w:lang w:val="en-GB"/>
        </w:rPr>
      </w:pPr>
      <w:r w:rsidRPr="003A7AF2">
        <w:rPr>
          <w:rFonts w:ascii="Verdana" w:hAnsi="Verdana" w:cs="Arial"/>
          <w:sz w:val="22"/>
          <w:szCs w:val="22"/>
          <w:lang w:val="en-GB"/>
        </w:rPr>
        <w:t>2.</w:t>
      </w:r>
      <w:r w:rsidRPr="003A7AF2">
        <w:rPr>
          <w:rFonts w:ascii="Verdana" w:hAnsi="Verdana" w:cs="Arial"/>
          <w:sz w:val="22"/>
          <w:szCs w:val="22"/>
          <w:lang w:val="en-GB"/>
        </w:rPr>
        <w:tab/>
      </w:r>
      <w:r w:rsidR="00467A6B">
        <w:rPr>
          <w:rFonts w:ascii="Verdana" w:hAnsi="Verdana" w:cs="Arial"/>
          <w:sz w:val="22"/>
          <w:szCs w:val="22"/>
          <w:lang w:val="en-GB"/>
        </w:rPr>
        <w:t xml:space="preserve">Should the </w:t>
      </w:r>
      <w:r w:rsidR="00467A6B">
        <w:rPr>
          <w:rFonts w:ascii="Verdana" w:hAnsi="Verdana"/>
          <w:sz w:val="22"/>
          <w:szCs w:val="22"/>
          <w:lang w:val="en-GB"/>
        </w:rPr>
        <w:t xml:space="preserve">first to twenty-ninth respondents as well as all other persons occupying the property through or under the first to twenty-ninth respondents’ authority fail and/or refuse to vacate the property on or before 30 September 2024, the order may be carried out by the sheriff of this court on or after 1 October 2024. </w:t>
      </w:r>
    </w:p>
    <w:p w14:paraId="015F4F4E" w14:textId="676F5646" w:rsidR="00377485" w:rsidRPr="00467A6B" w:rsidRDefault="005B385E" w:rsidP="005B385E">
      <w:pPr>
        <w:pStyle w:val="Indent"/>
        <w:widowControl w:val="0"/>
        <w:spacing w:after="360" w:line="480" w:lineRule="auto"/>
        <w:ind w:left="720" w:hanging="720"/>
        <w:jc w:val="both"/>
        <w:rPr>
          <w:rFonts w:ascii="Verdana" w:hAnsi="Verdana" w:cs="Arial"/>
          <w:sz w:val="22"/>
          <w:szCs w:val="22"/>
          <w:lang w:val="en-GB"/>
        </w:rPr>
      </w:pPr>
      <w:r w:rsidRPr="00467A6B">
        <w:rPr>
          <w:rFonts w:ascii="Verdana" w:hAnsi="Verdana" w:cs="Arial"/>
          <w:sz w:val="22"/>
          <w:szCs w:val="22"/>
          <w:lang w:val="en-GB"/>
        </w:rPr>
        <w:t>3.</w:t>
      </w:r>
      <w:r w:rsidRPr="00467A6B">
        <w:rPr>
          <w:rFonts w:ascii="Verdana" w:hAnsi="Verdana" w:cs="Arial"/>
          <w:sz w:val="22"/>
          <w:szCs w:val="22"/>
          <w:lang w:val="en-GB"/>
        </w:rPr>
        <w:tab/>
      </w:r>
      <w:r w:rsidR="00467A6B">
        <w:rPr>
          <w:rFonts w:ascii="Verdana" w:hAnsi="Verdana" w:cs="Arial"/>
          <w:sz w:val="22"/>
          <w:szCs w:val="22"/>
          <w:lang w:val="en-GB"/>
        </w:rPr>
        <w:t xml:space="preserve">The </w:t>
      </w:r>
      <w:r w:rsidR="00467A6B">
        <w:rPr>
          <w:rFonts w:ascii="Verdana" w:hAnsi="Verdana"/>
          <w:sz w:val="22"/>
          <w:szCs w:val="22"/>
          <w:lang w:val="en-GB"/>
        </w:rPr>
        <w:t xml:space="preserve">first to twenty-ninth respondents and any other persons occupying the property through or under the first to twenty-ninth respondents’ authority, are interdicted and restrained from entering the property at any time after they have vacated the property or after they have been evicted therefrom by the sheriff of this court or his/her lawfully appointed deputy. </w:t>
      </w:r>
    </w:p>
    <w:p w14:paraId="76D30592" w14:textId="2541C6AB" w:rsidR="00467A6B" w:rsidRPr="00467A6B" w:rsidRDefault="005B385E" w:rsidP="005B385E">
      <w:pPr>
        <w:pStyle w:val="Indent"/>
        <w:widowControl w:val="0"/>
        <w:spacing w:after="360" w:line="480" w:lineRule="auto"/>
        <w:ind w:left="720" w:hanging="720"/>
        <w:jc w:val="both"/>
        <w:rPr>
          <w:rFonts w:ascii="Verdana" w:hAnsi="Verdana" w:cs="Arial"/>
          <w:sz w:val="22"/>
          <w:szCs w:val="22"/>
          <w:lang w:val="en-GB"/>
        </w:rPr>
      </w:pPr>
      <w:r w:rsidRPr="00467A6B">
        <w:rPr>
          <w:rFonts w:ascii="Verdana" w:hAnsi="Verdana" w:cs="Arial"/>
          <w:sz w:val="22"/>
          <w:szCs w:val="22"/>
          <w:lang w:val="en-GB"/>
        </w:rPr>
        <w:t>4.</w:t>
      </w:r>
      <w:r w:rsidRPr="00467A6B">
        <w:rPr>
          <w:rFonts w:ascii="Verdana" w:hAnsi="Verdana" w:cs="Arial"/>
          <w:sz w:val="22"/>
          <w:szCs w:val="22"/>
          <w:lang w:val="en-GB"/>
        </w:rPr>
        <w:tab/>
      </w:r>
      <w:r w:rsidR="00467A6B">
        <w:rPr>
          <w:rFonts w:ascii="Verdana" w:hAnsi="Verdana"/>
          <w:sz w:val="22"/>
          <w:szCs w:val="22"/>
          <w:lang w:val="en-GB"/>
        </w:rPr>
        <w:t xml:space="preserve">In the event of the first to twenty-ninth respondents, and/or any other persons occupying the property through or under the first to twenty-ninth </w:t>
      </w:r>
      <w:r w:rsidR="00467A6B">
        <w:rPr>
          <w:rFonts w:ascii="Verdana" w:hAnsi="Verdana"/>
          <w:sz w:val="22"/>
          <w:szCs w:val="22"/>
          <w:lang w:val="en-GB"/>
        </w:rPr>
        <w:lastRenderedPageBreak/>
        <w:t>respondents’ authority, contravene the order contained in paragraph</w:t>
      </w:r>
      <w:r w:rsidR="00941820">
        <w:rPr>
          <w:rFonts w:ascii="Verdana" w:hAnsi="Verdana"/>
          <w:sz w:val="22"/>
          <w:szCs w:val="22"/>
          <w:lang w:val="en-GB"/>
        </w:rPr>
        <w:t>s</w:t>
      </w:r>
      <w:r w:rsidR="00467A6B">
        <w:rPr>
          <w:rFonts w:ascii="Verdana" w:hAnsi="Verdana"/>
          <w:sz w:val="22"/>
          <w:szCs w:val="22"/>
          <w:lang w:val="en-GB"/>
        </w:rPr>
        <w:t> 1</w:t>
      </w:r>
      <w:r w:rsidR="00941820">
        <w:rPr>
          <w:rFonts w:ascii="Verdana" w:hAnsi="Verdana"/>
          <w:sz w:val="22"/>
          <w:szCs w:val="22"/>
          <w:lang w:val="en-GB"/>
        </w:rPr>
        <w:t xml:space="preserve"> and 3</w:t>
      </w:r>
      <w:r w:rsidR="00467A6B">
        <w:rPr>
          <w:rFonts w:ascii="Verdana" w:hAnsi="Verdana"/>
          <w:sz w:val="22"/>
          <w:szCs w:val="22"/>
          <w:lang w:val="en-GB"/>
        </w:rPr>
        <w:t xml:space="preserve"> above, the sheriff of this court or his/her lawfully appointed deputy is authorised to remove the first to twenty-ninth respondents and any other persons occupying the property through or under the first to twenty-ninth respondents’ authority, from the property as soon as possible after their reoccupation thereof. </w:t>
      </w:r>
    </w:p>
    <w:p w14:paraId="4DEFB925" w14:textId="659F2455" w:rsidR="00467A6B" w:rsidRPr="00467A6B" w:rsidRDefault="005B385E" w:rsidP="005B385E">
      <w:pPr>
        <w:pStyle w:val="Indent"/>
        <w:widowControl w:val="0"/>
        <w:spacing w:after="360" w:line="480" w:lineRule="auto"/>
        <w:ind w:left="720" w:hanging="720"/>
        <w:jc w:val="both"/>
        <w:rPr>
          <w:rFonts w:ascii="Verdana" w:hAnsi="Verdana" w:cs="Arial"/>
          <w:sz w:val="22"/>
          <w:szCs w:val="22"/>
          <w:lang w:val="en-GB"/>
        </w:rPr>
      </w:pPr>
      <w:r w:rsidRPr="00467A6B">
        <w:rPr>
          <w:rFonts w:ascii="Verdana" w:hAnsi="Verdana" w:cs="Arial"/>
          <w:sz w:val="22"/>
          <w:szCs w:val="22"/>
          <w:lang w:val="en-GB"/>
        </w:rPr>
        <w:t>5.</w:t>
      </w:r>
      <w:r w:rsidRPr="00467A6B">
        <w:rPr>
          <w:rFonts w:ascii="Verdana" w:hAnsi="Verdana" w:cs="Arial"/>
          <w:sz w:val="22"/>
          <w:szCs w:val="22"/>
          <w:lang w:val="en-GB"/>
        </w:rPr>
        <w:tab/>
      </w:r>
      <w:r w:rsidR="00467A6B">
        <w:rPr>
          <w:rFonts w:ascii="Verdana" w:hAnsi="Verdana"/>
          <w:sz w:val="22"/>
          <w:szCs w:val="22"/>
          <w:lang w:val="en-GB"/>
        </w:rPr>
        <w:t>The sheriff of this court or his/her lawfully appointed deputy is authorised to instruct the South African Police Service to accompany the sheriff or his/her lawfully appointed deputy, in the performance of their duties as set out in paragraphs 1</w:t>
      </w:r>
      <w:r w:rsidR="00941820">
        <w:rPr>
          <w:rFonts w:ascii="Verdana" w:hAnsi="Verdana"/>
          <w:sz w:val="22"/>
          <w:szCs w:val="22"/>
          <w:lang w:val="en-GB"/>
        </w:rPr>
        <w:t xml:space="preserve"> to 4</w:t>
      </w:r>
      <w:r w:rsidR="00467A6B">
        <w:rPr>
          <w:rFonts w:ascii="Verdana" w:hAnsi="Verdana"/>
          <w:sz w:val="22"/>
          <w:szCs w:val="22"/>
          <w:lang w:val="en-GB"/>
        </w:rPr>
        <w:t xml:space="preserve"> above. </w:t>
      </w:r>
    </w:p>
    <w:p w14:paraId="0994417F" w14:textId="3005B28A" w:rsidR="00467A6B" w:rsidRPr="00182F9A" w:rsidRDefault="005B385E" w:rsidP="005B385E">
      <w:pPr>
        <w:pStyle w:val="Indent"/>
        <w:widowControl w:val="0"/>
        <w:spacing w:after="360" w:line="480" w:lineRule="auto"/>
        <w:ind w:left="720" w:hanging="720"/>
        <w:jc w:val="both"/>
        <w:rPr>
          <w:rFonts w:ascii="Verdana" w:hAnsi="Verdana" w:cs="Arial"/>
          <w:sz w:val="22"/>
          <w:szCs w:val="22"/>
          <w:lang w:val="en-GB"/>
        </w:rPr>
      </w:pPr>
      <w:r w:rsidRPr="00182F9A">
        <w:rPr>
          <w:rFonts w:ascii="Verdana" w:hAnsi="Verdana" w:cs="Arial"/>
          <w:sz w:val="22"/>
          <w:szCs w:val="22"/>
          <w:lang w:val="en-GB"/>
        </w:rPr>
        <w:t>6.</w:t>
      </w:r>
      <w:r w:rsidRPr="00182F9A">
        <w:rPr>
          <w:rFonts w:ascii="Verdana" w:hAnsi="Verdana" w:cs="Arial"/>
          <w:sz w:val="22"/>
          <w:szCs w:val="22"/>
          <w:lang w:val="en-GB"/>
        </w:rPr>
        <w:tab/>
      </w:r>
      <w:r w:rsidR="00467A6B">
        <w:rPr>
          <w:rFonts w:ascii="Verdana" w:hAnsi="Verdana"/>
          <w:sz w:val="22"/>
          <w:szCs w:val="22"/>
          <w:lang w:val="en-GB"/>
        </w:rPr>
        <w:t xml:space="preserve">Each party shall pay their own costs. </w:t>
      </w:r>
    </w:p>
    <w:p w14:paraId="1E96BEAD" w14:textId="14B6CF67" w:rsidR="00D16AA1" w:rsidRPr="00182F9A" w:rsidRDefault="00CD05FE" w:rsidP="00403ABF">
      <w:pPr>
        <w:keepNext/>
        <w:widowControl w:val="0"/>
        <w:spacing w:after="0" w:line="360" w:lineRule="auto"/>
        <w:ind w:left="3600" w:firstLine="720"/>
        <w:rPr>
          <w:rFonts w:ascii="Verdana" w:hAnsi="Verdana" w:cs="Arial"/>
          <w:lang w:val="en-GB"/>
        </w:rPr>
      </w:pPr>
      <w:r w:rsidRPr="00182F9A">
        <w:rPr>
          <w:rFonts w:ascii="Verdana" w:hAnsi="Verdana" w:cs="Arial"/>
          <w:lang w:val="en-GB"/>
        </w:rPr>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182F9A" w14:paraId="78DE0AC8" w14:textId="77777777" w:rsidTr="00386CF6">
        <w:tc>
          <w:tcPr>
            <w:tcW w:w="4598" w:type="dxa"/>
            <w:tcBorders>
              <w:top w:val="single" w:sz="4" w:space="0" w:color="auto"/>
            </w:tcBorders>
          </w:tcPr>
          <w:p w14:paraId="2FAC1CEA" w14:textId="77777777" w:rsidR="00386CF6" w:rsidRPr="00182F9A" w:rsidRDefault="00386CF6" w:rsidP="00403ABF">
            <w:pPr>
              <w:keepNext/>
              <w:widowControl w:val="0"/>
              <w:jc w:val="center"/>
              <w:rPr>
                <w:rFonts w:ascii="Verdana" w:hAnsi="Verdana" w:cs="Arial"/>
                <w:b/>
                <w:lang w:val="en-GB"/>
              </w:rPr>
            </w:pPr>
          </w:p>
        </w:tc>
      </w:tr>
      <w:tr w:rsidR="007722EF" w:rsidRPr="00182F9A" w14:paraId="21B119EF" w14:textId="77777777" w:rsidTr="00386CF6">
        <w:tc>
          <w:tcPr>
            <w:tcW w:w="4598" w:type="dxa"/>
          </w:tcPr>
          <w:p w14:paraId="79508952" w14:textId="6B57DA6E" w:rsidR="00386CF6" w:rsidRPr="00182F9A" w:rsidRDefault="00CA7DFE" w:rsidP="00403ABF">
            <w:pPr>
              <w:keepNext/>
              <w:widowControl w:val="0"/>
              <w:jc w:val="center"/>
              <w:rPr>
                <w:rFonts w:ascii="Verdana" w:hAnsi="Verdana" w:cs="Arial"/>
                <w:b/>
                <w:lang w:val="en-GB"/>
              </w:rPr>
            </w:pPr>
            <w:r w:rsidRPr="00182F9A">
              <w:rPr>
                <w:rFonts w:ascii="Verdana" w:hAnsi="Verdana" w:cs="Arial"/>
                <w:b/>
                <w:lang w:val="en-GB"/>
              </w:rPr>
              <w:t>F BEZUIDENHOUT</w:t>
            </w:r>
          </w:p>
        </w:tc>
      </w:tr>
      <w:tr w:rsidR="007722EF" w:rsidRPr="00182F9A" w14:paraId="0B981C37" w14:textId="77777777" w:rsidTr="00386CF6">
        <w:tc>
          <w:tcPr>
            <w:tcW w:w="4598" w:type="dxa"/>
          </w:tcPr>
          <w:p w14:paraId="223CA524" w14:textId="77777777" w:rsidR="00386CF6" w:rsidRPr="00182F9A" w:rsidRDefault="00386CF6" w:rsidP="00403ABF">
            <w:pPr>
              <w:keepNext/>
              <w:widowControl w:val="0"/>
              <w:jc w:val="center"/>
              <w:rPr>
                <w:rFonts w:ascii="Verdana" w:hAnsi="Verdana" w:cs="Arial"/>
                <w:b/>
                <w:lang w:val="en-GB"/>
              </w:rPr>
            </w:pPr>
          </w:p>
        </w:tc>
      </w:tr>
      <w:tr w:rsidR="00386CF6" w:rsidRPr="00182F9A" w14:paraId="14E05DDE" w14:textId="77777777" w:rsidTr="00386CF6">
        <w:tc>
          <w:tcPr>
            <w:tcW w:w="4598" w:type="dxa"/>
          </w:tcPr>
          <w:p w14:paraId="657F1E0E" w14:textId="77777777" w:rsidR="00E478FD" w:rsidRPr="00182F9A" w:rsidRDefault="00E478FD" w:rsidP="00403ABF">
            <w:pPr>
              <w:keepNext/>
              <w:widowControl w:val="0"/>
              <w:jc w:val="center"/>
              <w:rPr>
                <w:rFonts w:ascii="Verdana" w:hAnsi="Verdana" w:cs="Arial"/>
                <w:b/>
                <w:lang w:val="en-GB"/>
              </w:rPr>
            </w:pPr>
            <w:r w:rsidRPr="00182F9A">
              <w:rPr>
                <w:rFonts w:ascii="Verdana" w:hAnsi="Verdana" w:cs="Arial"/>
                <w:b/>
                <w:lang w:val="en-GB"/>
              </w:rPr>
              <w:t xml:space="preserve">ACTING </w:t>
            </w:r>
            <w:r w:rsidR="00386CF6" w:rsidRPr="00182F9A">
              <w:rPr>
                <w:rFonts w:ascii="Verdana" w:hAnsi="Verdana" w:cs="Arial"/>
                <w:b/>
                <w:lang w:val="en-GB"/>
              </w:rPr>
              <w:t xml:space="preserve">JUDGE OF </w:t>
            </w:r>
          </w:p>
          <w:p w14:paraId="58B0E224" w14:textId="77777777" w:rsidR="00386CF6" w:rsidRPr="00182F9A" w:rsidRDefault="00386CF6" w:rsidP="00403ABF">
            <w:pPr>
              <w:keepNext/>
              <w:widowControl w:val="0"/>
              <w:jc w:val="center"/>
              <w:rPr>
                <w:rFonts w:ascii="Verdana" w:hAnsi="Verdana" w:cs="Arial"/>
                <w:lang w:val="en-GB"/>
              </w:rPr>
            </w:pPr>
            <w:r w:rsidRPr="00182F9A">
              <w:rPr>
                <w:rFonts w:ascii="Verdana" w:hAnsi="Verdana" w:cs="Arial"/>
                <w:b/>
                <w:lang w:val="en-GB"/>
              </w:rPr>
              <w:t>THE HIGH COURT</w:t>
            </w:r>
          </w:p>
        </w:tc>
      </w:tr>
    </w:tbl>
    <w:p w14:paraId="58D934C8" w14:textId="77777777" w:rsidR="00410D25" w:rsidRPr="00182F9A" w:rsidRDefault="00410D25" w:rsidP="00403ABF">
      <w:pPr>
        <w:widowControl w:val="0"/>
        <w:spacing w:after="360" w:line="240" w:lineRule="auto"/>
        <w:rPr>
          <w:rFonts w:ascii="Verdana" w:hAnsi="Verdana" w:cs="Arial"/>
          <w:b/>
          <w:lang w:val="en-GB"/>
        </w:rPr>
      </w:pPr>
    </w:p>
    <w:p w14:paraId="7C344E2A" w14:textId="51878102" w:rsidR="005E68B0" w:rsidRPr="00182F9A" w:rsidRDefault="005E68B0" w:rsidP="00403ABF">
      <w:pPr>
        <w:keepNext/>
        <w:widowControl w:val="0"/>
        <w:tabs>
          <w:tab w:val="left" w:pos="3969"/>
        </w:tabs>
        <w:spacing w:after="360" w:line="240" w:lineRule="auto"/>
        <w:rPr>
          <w:rFonts w:ascii="Verdana" w:hAnsi="Verdana" w:cs="Arial"/>
          <w:b/>
          <w:lang w:val="en-GB"/>
        </w:rPr>
      </w:pPr>
      <w:r w:rsidRPr="00182F9A">
        <w:rPr>
          <w:rFonts w:ascii="Verdana" w:hAnsi="Verdana" w:cs="Arial"/>
          <w:b/>
          <w:lang w:val="en-GB"/>
        </w:rPr>
        <w:t>DATE OF HEARING:</w:t>
      </w:r>
      <w:r w:rsidRPr="00182F9A">
        <w:rPr>
          <w:rFonts w:ascii="Verdana" w:hAnsi="Verdana" w:cs="Arial"/>
          <w:b/>
          <w:lang w:val="en-GB"/>
        </w:rPr>
        <w:tab/>
      </w:r>
      <w:r w:rsidR="00467A6B">
        <w:rPr>
          <w:rFonts w:ascii="Verdana" w:hAnsi="Verdana" w:cs="Arial"/>
          <w:b/>
          <w:lang w:val="en-GB"/>
        </w:rPr>
        <w:t>6</w:t>
      </w:r>
      <w:r w:rsidR="00E214BD">
        <w:rPr>
          <w:rFonts w:ascii="Verdana" w:hAnsi="Verdana" w:cs="Arial"/>
          <w:b/>
          <w:lang w:val="en-GB"/>
        </w:rPr>
        <w:t xml:space="preserve"> February </w:t>
      </w:r>
      <w:r w:rsidR="008E49CE" w:rsidRPr="00182F9A">
        <w:rPr>
          <w:rFonts w:ascii="Verdana" w:hAnsi="Verdana" w:cs="Arial"/>
          <w:b/>
          <w:lang w:val="en-GB"/>
        </w:rPr>
        <w:t>202</w:t>
      </w:r>
      <w:r w:rsidR="00E214BD">
        <w:rPr>
          <w:rFonts w:ascii="Verdana" w:hAnsi="Verdana" w:cs="Arial"/>
          <w:b/>
          <w:lang w:val="en-GB"/>
        </w:rPr>
        <w:t>4</w:t>
      </w:r>
    </w:p>
    <w:p w14:paraId="33BAE81D" w14:textId="4D7F527A" w:rsidR="005F12F1" w:rsidRPr="00182F9A" w:rsidRDefault="005F12F1" w:rsidP="006A5488">
      <w:pPr>
        <w:keepNext/>
        <w:widowControl w:val="0"/>
        <w:tabs>
          <w:tab w:val="left" w:pos="3969"/>
        </w:tabs>
        <w:spacing w:after="360" w:line="240" w:lineRule="auto"/>
        <w:rPr>
          <w:rFonts w:ascii="Verdana" w:hAnsi="Verdana" w:cs="Arial"/>
          <w:b/>
          <w:lang w:val="en-GB"/>
        </w:rPr>
      </w:pPr>
      <w:r w:rsidRPr="00182F9A">
        <w:rPr>
          <w:rFonts w:ascii="Verdana" w:hAnsi="Verdana" w:cs="Arial"/>
          <w:b/>
          <w:lang w:val="en-GB"/>
        </w:rPr>
        <w:t>DATE OF JUDGMENT:</w:t>
      </w:r>
      <w:r w:rsidR="004D0E40" w:rsidRPr="00182F9A">
        <w:rPr>
          <w:rFonts w:ascii="Verdana" w:hAnsi="Verdana" w:cs="Arial"/>
          <w:b/>
          <w:lang w:val="en-GB"/>
        </w:rPr>
        <w:tab/>
      </w:r>
      <w:r w:rsidR="00467A6B">
        <w:rPr>
          <w:rFonts w:ascii="Verdana" w:hAnsi="Verdana" w:cs="Arial"/>
          <w:b/>
          <w:lang w:val="en-GB"/>
        </w:rPr>
        <w:t xml:space="preserve">15 July </w:t>
      </w:r>
      <w:r w:rsidR="00AE5F10" w:rsidRPr="00182F9A">
        <w:rPr>
          <w:rFonts w:ascii="Verdana" w:hAnsi="Verdana" w:cs="Arial"/>
          <w:b/>
          <w:lang w:val="en-GB"/>
        </w:rPr>
        <w:t>2024</w:t>
      </w:r>
    </w:p>
    <w:p w14:paraId="32B78198" w14:textId="38653DC4" w:rsidR="00386CF6" w:rsidRPr="00182F9A" w:rsidRDefault="00386CF6" w:rsidP="00403ABF">
      <w:pPr>
        <w:keepNext/>
        <w:widowControl w:val="0"/>
        <w:spacing w:after="120" w:line="240" w:lineRule="auto"/>
        <w:rPr>
          <w:rFonts w:ascii="Verdana" w:hAnsi="Verdana" w:cs="Arial"/>
          <w:b/>
          <w:lang w:val="en-GB"/>
        </w:rPr>
      </w:pPr>
      <w:r w:rsidRPr="00182F9A">
        <w:rPr>
          <w:rFonts w:ascii="Verdana" w:hAnsi="Verdana" w:cs="Arial"/>
          <w:b/>
          <w:lang w:val="en-GB"/>
        </w:rPr>
        <w:t>APPEARANCES</w:t>
      </w:r>
      <w:r w:rsidR="00857F8F" w:rsidRPr="00182F9A">
        <w:rPr>
          <w:rFonts w:ascii="Verdana" w:hAnsi="Verdana" w:cs="Arial"/>
          <w:b/>
          <w:lang w:val="en-GB"/>
        </w:rPr>
        <w:t>:</w:t>
      </w:r>
    </w:p>
    <w:p w14:paraId="1EFF4B6B" w14:textId="77777777" w:rsidR="00410D25" w:rsidRPr="00182F9A" w:rsidRDefault="00410D25" w:rsidP="00403ABF">
      <w:pPr>
        <w:keepNext/>
        <w:widowControl w:val="0"/>
        <w:spacing w:after="120" w:line="240" w:lineRule="auto"/>
        <w:rPr>
          <w:rFonts w:ascii="Verdana" w:hAnsi="Verdana" w:cs="Arial"/>
          <w:b/>
          <w:lang w:val="en-GB"/>
        </w:rPr>
      </w:pPr>
    </w:p>
    <w:p w14:paraId="69D81D30" w14:textId="6C12F43B" w:rsidR="00FB39A4" w:rsidRPr="00182F9A" w:rsidRDefault="00386CF6" w:rsidP="00257B46">
      <w:pPr>
        <w:keepNext/>
        <w:widowControl w:val="0"/>
        <w:tabs>
          <w:tab w:val="left" w:pos="3969"/>
        </w:tabs>
        <w:spacing w:after="60" w:line="240" w:lineRule="auto"/>
        <w:rPr>
          <w:rFonts w:ascii="Verdana" w:hAnsi="Verdana" w:cs="Arial"/>
          <w:bCs/>
          <w:lang w:val="en-GB"/>
        </w:rPr>
      </w:pPr>
      <w:r w:rsidRPr="00182F9A">
        <w:rPr>
          <w:rFonts w:ascii="Verdana" w:hAnsi="Verdana" w:cs="Arial"/>
          <w:b/>
          <w:lang w:val="en-GB"/>
        </w:rPr>
        <w:t xml:space="preserve">On </w:t>
      </w:r>
      <w:r w:rsidR="00D136E5" w:rsidRPr="00182F9A">
        <w:rPr>
          <w:rFonts w:ascii="Verdana" w:hAnsi="Verdana" w:cs="Arial"/>
          <w:b/>
          <w:lang w:val="en-GB"/>
        </w:rPr>
        <w:t>b</w:t>
      </w:r>
      <w:r w:rsidRPr="00182F9A">
        <w:rPr>
          <w:rFonts w:ascii="Verdana" w:hAnsi="Verdana" w:cs="Arial"/>
          <w:b/>
          <w:lang w:val="en-GB"/>
        </w:rPr>
        <w:t xml:space="preserve">ehalf of </w:t>
      </w:r>
      <w:r w:rsidR="00E214BD">
        <w:rPr>
          <w:rFonts w:ascii="Verdana" w:hAnsi="Verdana" w:cs="Arial"/>
          <w:b/>
          <w:lang w:val="en-GB"/>
        </w:rPr>
        <w:t>applicant</w:t>
      </w:r>
      <w:r w:rsidR="00467A6B">
        <w:rPr>
          <w:rFonts w:ascii="Verdana" w:hAnsi="Verdana" w:cs="Arial"/>
          <w:b/>
          <w:lang w:val="en-GB"/>
        </w:rPr>
        <w:t>s</w:t>
      </w:r>
      <w:r w:rsidRPr="00182F9A">
        <w:rPr>
          <w:rFonts w:ascii="Verdana" w:hAnsi="Verdana" w:cs="Arial"/>
          <w:b/>
          <w:lang w:val="en-GB"/>
        </w:rPr>
        <w:t xml:space="preserve">: </w:t>
      </w:r>
      <w:r w:rsidRPr="00182F9A">
        <w:rPr>
          <w:rFonts w:ascii="Verdana" w:hAnsi="Verdana" w:cs="Arial"/>
          <w:b/>
          <w:lang w:val="en-GB"/>
        </w:rPr>
        <w:tab/>
      </w:r>
      <w:r w:rsidR="00834C7D" w:rsidRPr="00182F9A">
        <w:rPr>
          <w:rFonts w:ascii="Verdana" w:hAnsi="Verdana" w:cs="Arial"/>
          <w:bCs/>
          <w:lang w:val="en-GB"/>
        </w:rPr>
        <w:t xml:space="preserve">Adv </w:t>
      </w:r>
      <w:r w:rsidR="00467A6B">
        <w:rPr>
          <w:rFonts w:ascii="Verdana" w:hAnsi="Verdana" w:cs="Arial"/>
          <w:bCs/>
          <w:lang w:val="en-GB"/>
        </w:rPr>
        <w:t xml:space="preserve">J W </w:t>
      </w:r>
      <w:proofErr w:type="spellStart"/>
      <w:r w:rsidR="00467A6B">
        <w:rPr>
          <w:rFonts w:ascii="Verdana" w:hAnsi="Verdana" w:cs="Arial"/>
          <w:bCs/>
          <w:lang w:val="en-GB"/>
        </w:rPr>
        <w:t>Kloek</w:t>
      </w:r>
      <w:proofErr w:type="spellEnd"/>
      <w:r w:rsidR="00467A6B">
        <w:rPr>
          <w:rFonts w:ascii="Verdana" w:hAnsi="Verdana" w:cs="Arial"/>
          <w:bCs/>
          <w:lang w:val="en-GB"/>
        </w:rPr>
        <w:t xml:space="preserve"> </w:t>
      </w:r>
    </w:p>
    <w:p w14:paraId="74D896CE" w14:textId="7D4A85BB" w:rsidR="00FB39A4" w:rsidRPr="00182F9A" w:rsidRDefault="003750D8" w:rsidP="00257B46">
      <w:pPr>
        <w:keepNext/>
        <w:widowControl w:val="0"/>
        <w:tabs>
          <w:tab w:val="left" w:pos="3969"/>
        </w:tabs>
        <w:spacing w:after="60" w:line="240" w:lineRule="auto"/>
        <w:ind w:left="3969"/>
        <w:rPr>
          <w:rFonts w:ascii="Verdana" w:hAnsi="Verdana" w:cs="Arial"/>
          <w:bCs/>
          <w:lang w:val="en-GB"/>
        </w:rPr>
      </w:pPr>
      <w:hyperlink r:id="rId10" w:history="1">
        <w:r w:rsidR="00467A6B" w:rsidRPr="00E01EEB">
          <w:rPr>
            <w:rStyle w:val="Hyperlink"/>
            <w:rFonts w:ascii="Verdana" w:hAnsi="Verdana" w:cs="Arial"/>
            <w:bCs/>
            <w:lang w:val="en-GB"/>
          </w:rPr>
          <w:t>kloek@mweb.co.za</w:t>
        </w:r>
      </w:hyperlink>
      <w:r w:rsidR="00467A6B">
        <w:rPr>
          <w:rFonts w:ascii="Verdana" w:hAnsi="Verdana" w:cs="Arial"/>
          <w:bCs/>
          <w:lang w:val="en-GB"/>
        </w:rPr>
        <w:t xml:space="preserve"> </w:t>
      </w:r>
    </w:p>
    <w:p w14:paraId="0C678E42" w14:textId="4B9B1D79" w:rsidR="008B2A4F" w:rsidRPr="00182F9A" w:rsidRDefault="00E614F3" w:rsidP="00257B46">
      <w:pPr>
        <w:keepNext/>
        <w:widowControl w:val="0"/>
        <w:tabs>
          <w:tab w:val="left" w:pos="3969"/>
        </w:tabs>
        <w:spacing w:after="60" w:line="240" w:lineRule="auto"/>
        <w:ind w:left="3969"/>
        <w:rPr>
          <w:rFonts w:ascii="Verdana" w:hAnsi="Verdana" w:cs="Arial"/>
          <w:bCs/>
          <w:lang w:val="en-GB"/>
        </w:rPr>
      </w:pPr>
      <w:r w:rsidRPr="00182F9A">
        <w:rPr>
          <w:rFonts w:ascii="Verdana" w:hAnsi="Verdana" w:cs="Arial"/>
          <w:bCs/>
          <w:u w:val="single"/>
          <w:lang w:val="en-GB"/>
        </w:rPr>
        <w:t>Instructed by</w:t>
      </w:r>
      <w:r w:rsidRPr="00182F9A">
        <w:rPr>
          <w:rFonts w:ascii="Verdana" w:hAnsi="Verdana" w:cs="Arial"/>
          <w:bCs/>
          <w:lang w:val="en-GB"/>
        </w:rPr>
        <w:t>:</w:t>
      </w:r>
    </w:p>
    <w:p w14:paraId="6D19E8A9" w14:textId="27742B99" w:rsidR="00E614F3" w:rsidRPr="00941820" w:rsidRDefault="00467A6B" w:rsidP="00257B46">
      <w:pPr>
        <w:keepNext/>
        <w:widowControl w:val="0"/>
        <w:tabs>
          <w:tab w:val="left" w:pos="3969"/>
        </w:tabs>
        <w:spacing w:after="60" w:line="240" w:lineRule="auto"/>
        <w:ind w:left="3969"/>
        <w:rPr>
          <w:rFonts w:ascii="Verdana" w:hAnsi="Verdana" w:cs="Arial"/>
          <w:bCs/>
          <w:lang w:val="it-IT"/>
        </w:rPr>
      </w:pPr>
      <w:r w:rsidRPr="00941820">
        <w:rPr>
          <w:rFonts w:ascii="Verdana" w:hAnsi="Verdana" w:cs="Arial"/>
          <w:bCs/>
          <w:lang w:val="it-IT"/>
        </w:rPr>
        <w:t>Marianne Pretorius</w:t>
      </w:r>
    </w:p>
    <w:p w14:paraId="2653F01C" w14:textId="17C62D94" w:rsidR="00AE5F10" w:rsidRPr="00941820" w:rsidRDefault="00AE5F10" w:rsidP="00257B46">
      <w:pPr>
        <w:keepNext/>
        <w:widowControl w:val="0"/>
        <w:tabs>
          <w:tab w:val="left" w:pos="3969"/>
        </w:tabs>
        <w:spacing w:after="60" w:line="240" w:lineRule="auto"/>
        <w:ind w:left="3969"/>
        <w:rPr>
          <w:rFonts w:ascii="Verdana" w:hAnsi="Verdana" w:cs="Arial"/>
          <w:bCs/>
          <w:lang w:val="it-IT"/>
        </w:rPr>
      </w:pPr>
      <w:r w:rsidRPr="00941820">
        <w:rPr>
          <w:rFonts w:ascii="Verdana" w:hAnsi="Verdana" w:cs="Arial"/>
          <w:bCs/>
          <w:lang w:val="it-IT"/>
        </w:rPr>
        <w:t xml:space="preserve">(011) </w:t>
      </w:r>
      <w:r w:rsidR="00467A6B" w:rsidRPr="00941820">
        <w:rPr>
          <w:rFonts w:ascii="Verdana" w:hAnsi="Verdana" w:cs="Arial"/>
          <w:bCs/>
          <w:lang w:val="it-IT"/>
        </w:rPr>
        <w:t>764-1612</w:t>
      </w:r>
    </w:p>
    <w:p w14:paraId="3B4BE232" w14:textId="52FCDB88" w:rsidR="005D7F7B" w:rsidRPr="00941820" w:rsidRDefault="003750D8" w:rsidP="00257B46">
      <w:pPr>
        <w:widowControl w:val="0"/>
        <w:tabs>
          <w:tab w:val="left" w:pos="3969"/>
        </w:tabs>
        <w:spacing w:after="240" w:line="240" w:lineRule="auto"/>
        <w:ind w:left="3969"/>
        <w:rPr>
          <w:rFonts w:ascii="Verdana" w:hAnsi="Verdana" w:cs="Arial"/>
          <w:lang w:val="it-IT"/>
        </w:rPr>
      </w:pPr>
      <w:hyperlink r:id="rId11" w:history="1">
        <w:r w:rsidR="00467A6B" w:rsidRPr="00941820">
          <w:rPr>
            <w:rStyle w:val="Hyperlink"/>
            <w:rFonts w:ascii="Verdana" w:hAnsi="Verdana" w:cs="Arial"/>
            <w:lang w:val="it-IT"/>
          </w:rPr>
          <w:t>marianne@mpattorney.co.za</w:t>
        </w:r>
      </w:hyperlink>
      <w:r w:rsidR="00467A6B" w:rsidRPr="00941820">
        <w:rPr>
          <w:rFonts w:ascii="Verdana" w:hAnsi="Verdana" w:cs="Arial"/>
          <w:lang w:val="it-IT"/>
        </w:rPr>
        <w:t xml:space="preserve">. </w:t>
      </w:r>
    </w:p>
    <w:p w14:paraId="68E87A05" w14:textId="77777777" w:rsidR="00467A6B" w:rsidRDefault="00E214BD" w:rsidP="00257B46">
      <w:pPr>
        <w:keepNext/>
        <w:widowControl w:val="0"/>
        <w:tabs>
          <w:tab w:val="left" w:pos="3969"/>
        </w:tabs>
        <w:spacing w:after="60" w:line="240" w:lineRule="auto"/>
        <w:rPr>
          <w:rFonts w:ascii="Verdana" w:hAnsi="Verdana" w:cs="Arial"/>
          <w:lang w:val="en-GB"/>
        </w:rPr>
      </w:pPr>
      <w:r>
        <w:rPr>
          <w:rFonts w:ascii="Verdana" w:hAnsi="Verdana" w:cs="Arial"/>
          <w:b/>
          <w:lang w:val="en-GB"/>
        </w:rPr>
        <w:lastRenderedPageBreak/>
        <w:t>On behalf of respondent</w:t>
      </w:r>
      <w:r w:rsidR="00467A6B">
        <w:rPr>
          <w:rFonts w:ascii="Verdana" w:hAnsi="Verdana" w:cs="Arial"/>
          <w:b/>
          <w:lang w:val="en-GB"/>
        </w:rPr>
        <w:t>s</w:t>
      </w:r>
      <w:r w:rsidR="00CD282A" w:rsidRPr="00182F9A">
        <w:rPr>
          <w:rFonts w:ascii="Verdana" w:hAnsi="Verdana" w:cs="Arial"/>
          <w:b/>
          <w:lang w:val="en-GB"/>
        </w:rPr>
        <w:t>:</w:t>
      </w:r>
      <w:r w:rsidR="00CD282A" w:rsidRPr="00182F9A">
        <w:rPr>
          <w:rFonts w:ascii="Verdana" w:hAnsi="Verdana" w:cs="Arial"/>
          <w:lang w:val="en-GB"/>
        </w:rPr>
        <w:tab/>
      </w:r>
      <w:r w:rsidR="00467A6B">
        <w:rPr>
          <w:rFonts w:ascii="Verdana" w:hAnsi="Verdana" w:cs="Arial"/>
          <w:lang w:val="en-GB"/>
        </w:rPr>
        <w:t xml:space="preserve">Mr K Simango </w:t>
      </w:r>
    </w:p>
    <w:p w14:paraId="1A59CE60" w14:textId="512739FD" w:rsidR="00CD282A" w:rsidRDefault="00467A6B" w:rsidP="00257B46">
      <w:pPr>
        <w:keepNext/>
        <w:widowControl w:val="0"/>
        <w:tabs>
          <w:tab w:val="left" w:pos="3969"/>
        </w:tabs>
        <w:spacing w:after="60" w:line="240" w:lineRule="auto"/>
        <w:ind w:left="3969"/>
        <w:rPr>
          <w:rFonts w:ascii="Verdana" w:hAnsi="Verdana" w:cs="Arial"/>
          <w:lang w:val="en-GB"/>
        </w:rPr>
      </w:pPr>
      <w:r>
        <w:rPr>
          <w:rFonts w:ascii="Verdana" w:hAnsi="Verdana" w:cs="Arial"/>
          <w:lang w:val="en-GB"/>
        </w:rPr>
        <w:t>Memela KS Incorporated Attorneys</w:t>
      </w:r>
    </w:p>
    <w:p w14:paraId="33380F9A" w14:textId="5FFC90F5" w:rsidR="00467A6B" w:rsidRDefault="00467A6B" w:rsidP="00257B46">
      <w:pPr>
        <w:keepNext/>
        <w:widowControl w:val="0"/>
        <w:tabs>
          <w:tab w:val="left" w:pos="3969"/>
        </w:tabs>
        <w:spacing w:after="60" w:line="240" w:lineRule="auto"/>
        <w:ind w:left="3969"/>
        <w:rPr>
          <w:rFonts w:ascii="Verdana" w:hAnsi="Verdana" w:cs="Arial"/>
          <w:lang w:val="en-GB"/>
        </w:rPr>
      </w:pPr>
      <w:r>
        <w:rPr>
          <w:rFonts w:ascii="Verdana" w:hAnsi="Verdana" w:cs="Arial"/>
          <w:lang w:val="en-GB"/>
        </w:rPr>
        <w:t>078-196-5122 / (011) 086-1132</w:t>
      </w:r>
    </w:p>
    <w:p w14:paraId="300E2DFD" w14:textId="52C5E52A" w:rsidR="00834C7D" w:rsidRPr="00182F9A" w:rsidRDefault="00834C7D" w:rsidP="00257B46">
      <w:pPr>
        <w:widowControl w:val="0"/>
        <w:tabs>
          <w:tab w:val="left" w:pos="3969"/>
        </w:tabs>
        <w:spacing w:after="60" w:line="240" w:lineRule="auto"/>
        <w:rPr>
          <w:rFonts w:ascii="Verdana" w:hAnsi="Verdana" w:cs="Arial"/>
          <w:lang w:val="en-GB"/>
        </w:rPr>
      </w:pPr>
      <w:r w:rsidRPr="00182F9A">
        <w:rPr>
          <w:rFonts w:ascii="Verdana" w:hAnsi="Verdana" w:cs="Arial"/>
          <w:lang w:val="en-GB"/>
        </w:rPr>
        <w:tab/>
      </w:r>
      <w:hyperlink r:id="rId12" w:history="1">
        <w:r w:rsidR="00467A6B" w:rsidRPr="00E01EEB">
          <w:rPr>
            <w:rStyle w:val="Hyperlink"/>
            <w:rFonts w:ascii="Verdana" w:hAnsi="Verdana" w:cs="Arial"/>
            <w:lang w:val="en-GB"/>
          </w:rPr>
          <w:t>kelvin@mksinc.co.za</w:t>
        </w:r>
      </w:hyperlink>
      <w:r w:rsidR="00467A6B">
        <w:rPr>
          <w:rFonts w:ascii="Verdana" w:hAnsi="Verdana" w:cs="Arial"/>
          <w:lang w:val="en-GB"/>
        </w:rPr>
        <w:t xml:space="preserve">. </w:t>
      </w:r>
    </w:p>
    <w:sectPr w:rsidR="00834C7D" w:rsidRPr="00182F9A" w:rsidSect="006A5488">
      <w:headerReference w:type="default" r:id="rId13"/>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2BF55" w14:textId="77777777" w:rsidR="00B237F5" w:rsidRDefault="00B237F5" w:rsidP="009760D6">
      <w:pPr>
        <w:spacing w:after="0" w:line="240" w:lineRule="auto"/>
      </w:pPr>
      <w:r>
        <w:separator/>
      </w:r>
    </w:p>
  </w:endnote>
  <w:endnote w:type="continuationSeparator" w:id="0">
    <w:p w14:paraId="6ECE5F26" w14:textId="77777777" w:rsidR="00B237F5" w:rsidRDefault="00B237F5"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Pro">
    <w:altName w:val="Tahoma"/>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33F54" w14:textId="77777777" w:rsidR="00B237F5" w:rsidRDefault="00B237F5" w:rsidP="009760D6">
      <w:pPr>
        <w:spacing w:after="0" w:line="240" w:lineRule="auto"/>
      </w:pPr>
      <w:r>
        <w:separator/>
      </w:r>
    </w:p>
  </w:footnote>
  <w:footnote w:type="continuationSeparator" w:id="0">
    <w:p w14:paraId="05888E7E" w14:textId="77777777" w:rsidR="00B237F5" w:rsidRDefault="00B237F5" w:rsidP="009760D6">
      <w:pPr>
        <w:spacing w:after="0" w:line="240" w:lineRule="auto"/>
      </w:pPr>
      <w:r>
        <w:continuationSeparator/>
      </w:r>
    </w:p>
  </w:footnote>
  <w:footnote w:id="1">
    <w:p w14:paraId="2E711FCF" w14:textId="3EF70024" w:rsidR="0044780B" w:rsidRDefault="0044780B" w:rsidP="0044780B">
      <w:pPr>
        <w:pStyle w:val="FootnoteText"/>
        <w:ind w:left="720" w:hanging="720"/>
      </w:pPr>
      <w:r>
        <w:rPr>
          <w:rStyle w:val="FootnoteReference"/>
        </w:rPr>
        <w:footnoteRef/>
      </w:r>
      <w:r>
        <w:t xml:space="preserve"> </w:t>
      </w:r>
      <w:r>
        <w:tab/>
      </w:r>
      <w:proofErr w:type="spellStart"/>
      <w:r w:rsidRPr="0044780B">
        <w:rPr>
          <w:i/>
          <w:iCs/>
        </w:rPr>
        <w:t>Lebowa</w:t>
      </w:r>
      <w:proofErr w:type="spellEnd"/>
      <w:r w:rsidRPr="0044780B">
        <w:rPr>
          <w:i/>
          <w:iCs/>
        </w:rPr>
        <w:t xml:space="preserve"> Platinum Mines Ltd v Viljoen</w:t>
      </w:r>
      <w:r>
        <w:t xml:space="preserve"> 2009 (3) SA 511 (SCA). </w:t>
      </w:r>
    </w:p>
  </w:footnote>
  <w:footnote w:id="2">
    <w:p w14:paraId="34D67192" w14:textId="2F78F4A9" w:rsidR="0044780B" w:rsidRDefault="0044780B" w:rsidP="0044780B">
      <w:pPr>
        <w:pStyle w:val="FootnoteText"/>
        <w:ind w:left="720" w:hanging="720"/>
        <w:jc w:val="both"/>
      </w:pPr>
      <w:r>
        <w:rPr>
          <w:rStyle w:val="FootnoteReference"/>
        </w:rPr>
        <w:footnoteRef/>
      </w:r>
      <w:r>
        <w:t xml:space="preserve"> </w:t>
      </w:r>
      <w:r>
        <w:tab/>
        <w:t xml:space="preserve">Regulation 2 under Extension of Security of Tenure Act, 62 of 1997, sub-regulation (1) substituted by Government Gazette GN72 of 16 February 2018 and by GN84 of 23 February 2018 provide that the prescribed amount for the purpose of paragraph (c) of the definition of </w:t>
      </w:r>
      <w:r w:rsidRPr="0044780B">
        <w:rPr>
          <w:i/>
          <w:iCs/>
        </w:rPr>
        <w:t>“occupier”</w:t>
      </w:r>
      <w:r>
        <w:t xml:space="preserve"> shall be an income of R13 625.00 per month. </w:t>
      </w:r>
    </w:p>
  </w:footnote>
  <w:footnote w:id="3">
    <w:p w14:paraId="575985AC" w14:textId="3F83D693" w:rsidR="0044780B" w:rsidRPr="00941820" w:rsidRDefault="0044780B">
      <w:pPr>
        <w:pStyle w:val="FootnoteText"/>
        <w:rPr>
          <w:lang w:val="it-IT"/>
        </w:rPr>
      </w:pPr>
      <w:r>
        <w:rPr>
          <w:rStyle w:val="FootnoteReference"/>
        </w:rPr>
        <w:footnoteRef/>
      </w:r>
      <w:r w:rsidRPr="00941820">
        <w:rPr>
          <w:lang w:val="it-IT"/>
        </w:rPr>
        <w:t xml:space="preserve"> </w:t>
      </w:r>
      <w:r w:rsidRPr="00941820">
        <w:rPr>
          <w:lang w:val="it-IT"/>
        </w:rPr>
        <w:tab/>
      </w:r>
      <w:r w:rsidRPr="00941820">
        <w:rPr>
          <w:i/>
          <w:iCs/>
          <w:lang w:val="it-IT"/>
        </w:rPr>
        <w:t>Khuzwayo v Dludla</w:t>
      </w:r>
      <w:r w:rsidRPr="00941820">
        <w:rPr>
          <w:lang w:val="it-IT"/>
        </w:rPr>
        <w:t xml:space="preserve"> 2001 (1) SA 714 (LCC). </w:t>
      </w:r>
    </w:p>
  </w:footnote>
  <w:footnote w:id="4">
    <w:p w14:paraId="2797DA02" w14:textId="49D5F4F6" w:rsidR="0044780B" w:rsidRPr="00941820" w:rsidRDefault="0044780B">
      <w:pPr>
        <w:pStyle w:val="FootnoteText"/>
        <w:rPr>
          <w:lang w:val="it-IT"/>
        </w:rPr>
      </w:pPr>
      <w:r>
        <w:rPr>
          <w:rStyle w:val="FootnoteReference"/>
        </w:rPr>
        <w:footnoteRef/>
      </w:r>
      <w:r w:rsidRPr="00941820">
        <w:rPr>
          <w:lang w:val="it-IT"/>
        </w:rPr>
        <w:t xml:space="preserve"> </w:t>
      </w:r>
      <w:r w:rsidRPr="00941820">
        <w:rPr>
          <w:lang w:val="it-IT"/>
        </w:rPr>
        <w:tab/>
      </w:r>
      <w:r w:rsidR="0072014A" w:rsidRPr="00941820">
        <w:rPr>
          <w:lang w:val="it-IT"/>
        </w:rPr>
        <w:t xml:space="preserve">At </w:t>
      </w:r>
      <w:r w:rsidRPr="00941820">
        <w:rPr>
          <w:lang w:val="it-IT"/>
        </w:rPr>
        <w:t xml:space="preserve">717F. </w:t>
      </w:r>
    </w:p>
  </w:footnote>
  <w:footnote w:id="5">
    <w:p w14:paraId="78B9DDD7" w14:textId="2D880C2C" w:rsidR="0072014A" w:rsidRPr="00941820" w:rsidRDefault="0072014A">
      <w:pPr>
        <w:pStyle w:val="FootnoteText"/>
        <w:rPr>
          <w:lang w:val="it-IT"/>
        </w:rPr>
      </w:pPr>
      <w:r>
        <w:rPr>
          <w:rStyle w:val="FootnoteReference"/>
        </w:rPr>
        <w:footnoteRef/>
      </w:r>
      <w:r w:rsidRPr="00941820">
        <w:rPr>
          <w:lang w:val="it-IT"/>
        </w:rPr>
        <w:t xml:space="preserve"> </w:t>
      </w:r>
      <w:r w:rsidRPr="00941820">
        <w:rPr>
          <w:lang w:val="it-IT"/>
        </w:rPr>
        <w:tab/>
      </w:r>
      <w:r w:rsidRPr="00941820">
        <w:rPr>
          <w:i/>
          <w:iCs/>
          <w:lang w:val="it-IT"/>
        </w:rPr>
        <w:t xml:space="preserve">Esterhuyse </w:t>
      </w:r>
      <w:r w:rsidRPr="00941820">
        <w:rPr>
          <w:i/>
          <w:iCs/>
          <w:lang w:val="it-IT"/>
        </w:rPr>
        <w:t>v Khamadi</w:t>
      </w:r>
      <w:r w:rsidRPr="00941820">
        <w:rPr>
          <w:lang w:val="it-IT"/>
        </w:rPr>
        <w:t xml:space="preserve"> 2001 (1) SA 1024 (LCC). </w:t>
      </w:r>
    </w:p>
  </w:footnote>
  <w:footnote w:id="6">
    <w:p w14:paraId="498208CE" w14:textId="77777777" w:rsidR="00507F48" w:rsidRPr="00B27EB4" w:rsidRDefault="00507F48" w:rsidP="00507F48">
      <w:pPr>
        <w:pStyle w:val="FootnoteText"/>
        <w:ind w:left="720" w:hanging="720"/>
        <w:jc w:val="both"/>
      </w:pPr>
      <w:r>
        <w:rPr>
          <w:rStyle w:val="FootnoteReference"/>
        </w:rPr>
        <w:footnoteRef/>
      </w:r>
      <w:r>
        <w:t xml:space="preserve"> </w:t>
      </w:r>
      <w:r>
        <w:tab/>
      </w:r>
      <w:r>
        <w:rPr>
          <w:i/>
          <w:iCs/>
        </w:rPr>
        <w:t>City of Johannesburg v Changing Tides 74 (Pty) Ltd and Others</w:t>
      </w:r>
      <w:r>
        <w:t xml:space="preserve"> 2012 (6) SA 294 (SCA) at paragraph [25]. </w:t>
      </w:r>
    </w:p>
  </w:footnote>
  <w:footnote w:id="7">
    <w:p w14:paraId="1C98A014" w14:textId="77777777" w:rsidR="00507F48" w:rsidRPr="00B27EB4" w:rsidRDefault="00507F48" w:rsidP="00507F48">
      <w:pPr>
        <w:pStyle w:val="FootnoteText"/>
        <w:ind w:left="720" w:hanging="720"/>
        <w:jc w:val="both"/>
      </w:pPr>
      <w:r>
        <w:rPr>
          <w:rStyle w:val="FootnoteReference"/>
        </w:rPr>
        <w:footnoteRef/>
      </w:r>
      <w:r>
        <w:t xml:space="preserve"> </w:t>
      </w:r>
      <w:r>
        <w:tab/>
      </w:r>
      <w:r>
        <w:rPr>
          <w:i/>
          <w:iCs/>
        </w:rPr>
        <w:t>Port Elizabeth Municipality v Various Occupiers</w:t>
      </w:r>
      <w:r>
        <w:t xml:space="preserve"> 2005 (1) SA 217 (CC) paragraph [13]. </w:t>
      </w:r>
    </w:p>
  </w:footnote>
  <w:footnote w:id="8">
    <w:p w14:paraId="2641DF8E" w14:textId="77777777" w:rsidR="00507F48" w:rsidRPr="00A95316" w:rsidRDefault="00507F48" w:rsidP="00507F48">
      <w:pPr>
        <w:pStyle w:val="FootnoteText"/>
      </w:pPr>
      <w:r>
        <w:rPr>
          <w:rStyle w:val="FootnoteReference"/>
        </w:rPr>
        <w:footnoteRef/>
      </w:r>
      <w:r>
        <w:t xml:space="preserve"> </w:t>
      </w:r>
      <w:r>
        <w:tab/>
      </w:r>
      <w:r>
        <w:rPr>
          <w:i/>
          <w:iCs/>
        </w:rPr>
        <w:t>Changing Tides (supra)</w:t>
      </w:r>
      <w:r>
        <w:t xml:space="preserve"> paragraph [27] at 313.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575847"/>
      <w:docPartObj>
        <w:docPartGallery w:val="Page Numbers (Top of Page)"/>
        <w:docPartUnique/>
      </w:docPartObj>
    </w:sdtPr>
    <w:sdtEndPr>
      <w:rPr>
        <w:noProof/>
      </w:rPr>
    </w:sdtEndPr>
    <w:sdtContent>
      <w:p w14:paraId="07CE8E0A" w14:textId="79378295" w:rsidR="00490AC0" w:rsidRPr="006A5488" w:rsidRDefault="006A5488">
        <w:pPr>
          <w:pStyle w:val="Header"/>
          <w:jc w:val="center"/>
          <w:rPr>
            <w:rFonts w:ascii="Verdana" w:hAnsi="Verdana"/>
            <w:noProof/>
          </w:rPr>
        </w:pPr>
        <w:r w:rsidRPr="006A5488">
          <w:rPr>
            <w:rFonts w:ascii="Verdana" w:hAnsi="Verdana"/>
          </w:rPr>
          <w:t>- </w:t>
        </w:r>
        <w:r w:rsidR="00490AC0" w:rsidRPr="006A5488">
          <w:rPr>
            <w:rFonts w:ascii="Verdana" w:hAnsi="Verdana"/>
          </w:rPr>
          <w:fldChar w:fldCharType="begin"/>
        </w:r>
        <w:r w:rsidR="00490AC0" w:rsidRPr="006A5488">
          <w:rPr>
            <w:rFonts w:ascii="Verdana" w:hAnsi="Verdana"/>
          </w:rPr>
          <w:instrText xml:space="preserve"> PAGE   \* MERGEFORMAT </w:instrText>
        </w:r>
        <w:r w:rsidR="00490AC0" w:rsidRPr="006A5488">
          <w:rPr>
            <w:rFonts w:ascii="Verdana" w:hAnsi="Verdana"/>
          </w:rPr>
          <w:fldChar w:fldCharType="separate"/>
        </w:r>
        <w:r w:rsidR="00202EA5">
          <w:rPr>
            <w:rFonts w:ascii="Verdana" w:hAnsi="Verdana"/>
            <w:noProof/>
          </w:rPr>
          <w:t>2</w:t>
        </w:r>
        <w:r w:rsidR="00490AC0" w:rsidRPr="006A5488">
          <w:rPr>
            <w:rFonts w:ascii="Verdana" w:hAnsi="Verdana"/>
            <w:noProof/>
          </w:rPr>
          <w:fldChar w:fldCharType="end"/>
        </w:r>
        <w:r w:rsidRPr="006A5488">
          <w:rPr>
            <w:rFonts w:ascii="Verdana" w:hAnsi="Verdana"/>
            <w:noProof/>
          </w:rPr>
          <w:t> -</w:t>
        </w:r>
      </w:p>
      <w:p w14:paraId="1A2BCE82" w14:textId="77777777" w:rsidR="00490AC0" w:rsidRDefault="003750D8">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4EB55D8"/>
    <w:multiLevelType w:val="multilevel"/>
    <w:tmpl w:val="F252E514"/>
    <w:styleLink w:val="CurrentList1"/>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15:restartNumberingAfterBreak="0">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DF6D63"/>
    <w:multiLevelType w:val="hybridMultilevel"/>
    <w:tmpl w:val="6B948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677A9"/>
    <w:multiLevelType w:val="hybridMultilevel"/>
    <w:tmpl w:val="9C2E2398"/>
    <w:lvl w:ilvl="0" w:tplc="B4F6CB2A">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2"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3"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30C65A8B"/>
    <w:multiLevelType w:val="hybridMultilevel"/>
    <w:tmpl w:val="D2DE4884"/>
    <w:lvl w:ilvl="0" w:tplc="526E990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7DF5F51"/>
    <w:multiLevelType w:val="hybridMultilevel"/>
    <w:tmpl w:val="A9FE2816"/>
    <w:lvl w:ilvl="0" w:tplc="CF826192">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4"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5"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6" w15:restartNumberingAfterBreak="0">
    <w:nsid w:val="61A23D12"/>
    <w:multiLevelType w:val="multilevel"/>
    <w:tmpl w:val="1BD895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253"/>
        </w:tabs>
        <w:ind w:left="4253" w:hanging="851"/>
      </w:pPr>
      <w:rPr>
        <w:rFonts w:hint="default"/>
      </w:rPr>
    </w:lvl>
    <w:lvl w:ilvl="5">
      <w:start w:val="1"/>
      <w:numFmt w:val="decimal"/>
      <w:lvlRestart w:val="0"/>
      <w:lvlText w:val="%1.%2.%3.%4.%5.%6."/>
      <w:lvlJc w:val="left"/>
      <w:pPr>
        <w:tabs>
          <w:tab w:val="num" w:pos="4423"/>
        </w:tabs>
        <w:ind w:left="4423" w:hanging="73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0" w15:restartNumberingAfterBreak="0">
    <w:nsid w:val="6BF30A30"/>
    <w:multiLevelType w:val="hybridMultilevel"/>
    <w:tmpl w:val="185E364A"/>
    <w:lvl w:ilvl="0" w:tplc="242ABD4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3"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34"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5"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6" w15:restartNumberingAfterBreak="0">
    <w:nsid w:val="783A1C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16cid:durableId="616378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475564">
    <w:abstractNumId w:val="17"/>
  </w:num>
  <w:num w:numId="3" w16cid:durableId="816192927">
    <w:abstractNumId w:val="33"/>
  </w:num>
  <w:num w:numId="4" w16cid:durableId="786388161">
    <w:abstractNumId w:val="2"/>
  </w:num>
  <w:num w:numId="5" w16cid:durableId="1800997313">
    <w:abstractNumId w:val="9"/>
  </w:num>
  <w:num w:numId="6" w16cid:durableId="13178069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208794">
    <w:abstractNumId w:val="6"/>
  </w:num>
  <w:num w:numId="8" w16cid:durableId="253369270">
    <w:abstractNumId w:val="12"/>
  </w:num>
  <w:num w:numId="9" w16cid:durableId="295767140">
    <w:abstractNumId w:val="19"/>
  </w:num>
  <w:num w:numId="10" w16cid:durableId="1958364336">
    <w:abstractNumId w:val="23"/>
  </w:num>
  <w:num w:numId="11" w16cid:durableId="1683120801">
    <w:abstractNumId w:val="31"/>
  </w:num>
  <w:num w:numId="12" w16cid:durableId="616983082">
    <w:abstractNumId w:val="20"/>
  </w:num>
  <w:num w:numId="13" w16cid:durableId="548342418">
    <w:abstractNumId w:val="0"/>
  </w:num>
  <w:num w:numId="14" w16cid:durableId="1681815323">
    <w:abstractNumId w:val="29"/>
  </w:num>
  <w:num w:numId="15" w16cid:durableId="1094664163">
    <w:abstractNumId w:val="35"/>
  </w:num>
  <w:num w:numId="16" w16cid:durableId="554779722">
    <w:abstractNumId w:val="18"/>
  </w:num>
  <w:num w:numId="17" w16cid:durableId="1907063281">
    <w:abstractNumId w:val="32"/>
  </w:num>
  <w:num w:numId="18" w16cid:durableId="353383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553132">
    <w:abstractNumId w:val="27"/>
  </w:num>
  <w:num w:numId="20" w16cid:durableId="752702775">
    <w:abstractNumId w:val="4"/>
  </w:num>
  <w:num w:numId="21" w16cid:durableId="942997846">
    <w:abstractNumId w:val="22"/>
  </w:num>
  <w:num w:numId="22" w16cid:durableId="1114713512">
    <w:abstractNumId w:val="11"/>
  </w:num>
  <w:num w:numId="23" w16cid:durableId="1620987672">
    <w:abstractNumId w:val="15"/>
  </w:num>
  <w:num w:numId="24" w16cid:durableId="147022781">
    <w:abstractNumId w:val="16"/>
  </w:num>
  <w:num w:numId="25" w16cid:durableId="1952780044">
    <w:abstractNumId w:val="34"/>
  </w:num>
  <w:num w:numId="26" w16cid:durableId="767700412">
    <w:abstractNumId w:val="13"/>
  </w:num>
  <w:num w:numId="27" w16cid:durableId="597562626">
    <w:abstractNumId w:val="24"/>
  </w:num>
  <w:num w:numId="28" w16cid:durableId="205141561">
    <w:abstractNumId w:val="37"/>
  </w:num>
  <w:num w:numId="29" w16cid:durableId="884878416">
    <w:abstractNumId w:val="10"/>
  </w:num>
  <w:num w:numId="30" w16cid:durableId="652295440">
    <w:abstractNumId w:val="25"/>
  </w:num>
  <w:num w:numId="31" w16cid:durableId="383262133">
    <w:abstractNumId w:val="1"/>
  </w:num>
  <w:num w:numId="32" w16cid:durableId="920990950">
    <w:abstractNumId w:val="28"/>
  </w:num>
  <w:num w:numId="33" w16cid:durableId="583073988">
    <w:abstractNumId w:val="7"/>
  </w:num>
  <w:num w:numId="34" w16cid:durableId="879515666">
    <w:abstractNumId w:val="3"/>
  </w:num>
  <w:num w:numId="35" w16cid:durableId="459305900">
    <w:abstractNumId w:val="8"/>
  </w:num>
  <w:num w:numId="36" w16cid:durableId="34476443">
    <w:abstractNumId w:val="36"/>
  </w:num>
  <w:num w:numId="37" w16cid:durableId="791485671">
    <w:abstractNumId w:val="30"/>
  </w:num>
  <w:num w:numId="38" w16cid:durableId="915289385">
    <w:abstractNumId w:val="14"/>
  </w:num>
  <w:num w:numId="39" w16cid:durableId="255091713">
    <w:abstractNumId w:val="26"/>
  </w:num>
  <w:num w:numId="40" w16cid:durableId="7148200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1NDYzMTcwMjA2NDNU0lEKTi0uzszPAykwrAUA2JnYfSwAAAA="/>
  </w:docVars>
  <w:rsids>
    <w:rsidRoot w:val="00EF3517"/>
    <w:rsid w:val="00000B51"/>
    <w:rsid w:val="00003214"/>
    <w:rsid w:val="000036DC"/>
    <w:rsid w:val="00003925"/>
    <w:rsid w:val="0000418A"/>
    <w:rsid w:val="00005071"/>
    <w:rsid w:val="00005A42"/>
    <w:rsid w:val="000065EB"/>
    <w:rsid w:val="0000665E"/>
    <w:rsid w:val="00006D75"/>
    <w:rsid w:val="000077A4"/>
    <w:rsid w:val="0001066B"/>
    <w:rsid w:val="00013159"/>
    <w:rsid w:val="00013828"/>
    <w:rsid w:val="00015C94"/>
    <w:rsid w:val="000177BB"/>
    <w:rsid w:val="00026B84"/>
    <w:rsid w:val="00027707"/>
    <w:rsid w:val="000309D1"/>
    <w:rsid w:val="00030F60"/>
    <w:rsid w:val="0003153D"/>
    <w:rsid w:val="00032720"/>
    <w:rsid w:val="00032E28"/>
    <w:rsid w:val="00034C30"/>
    <w:rsid w:val="00036A31"/>
    <w:rsid w:val="000413C6"/>
    <w:rsid w:val="00043456"/>
    <w:rsid w:val="00044237"/>
    <w:rsid w:val="000442F6"/>
    <w:rsid w:val="0004658E"/>
    <w:rsid w:val="00046991"/>
    <w:rsid w:val="0004720C"/>
    <w:rsid w:val="00047960"/>
    <w:rsid w:val="00050546"/>
    <w:rsid w:val="00050CB2"/>
    <w:rsid w:val="00051A6D"/>
    <w:rsid w:val="000612F7"/>
    <w:rsid w:val="00061555"/>
    <w:rsid w:val="00061E3E"/>
    <w:rsid w:val="0006254A"/>
    <w:rsid w:val="000633E6"/>
    <w:rsid w:val="00063BCA"/>
    <w:rsid w:val="000653F2"/>
    <w:rsid w:val="00066329"/>
    <w:rsid w:val="00066FD7"/>
    <w:rsid w:val="0006790C"/>
    <w:rsid w:val="000713AC"/>
    <w:rsid w:val="000716E3"/>
    <w:rsid w:val="000725AD"/>
    <w:rsid w:val="00072C59"/>
    <w:rsid w:val="000733E2"/>
    <w:rsid w:val="00073600"/>
    <w:rsid w:val="00073B74"/>
    <w:rsid w:val="00074EC4"/>
    <w:rsid w:val="000760C8"/>
    <w:rsid w:val="000809BC"/>
    <w:rsid w:val="00081A1A"/>
    <w:rsid w:val="00081CE3"/>
    <w:rsid w:val="00081F44"/>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12B"/>
    <w:rsid w:val="000B426A"/>
    <w:rsid w:val="000B5D7B"/>
    <w:rsid w:val="000B6226"/>
    <w:rsid w:val="000B742D"/>
    <w:rsid w:val="000B7CDB"/>
    <w:rsid w:val="000C14B7"/>
    <w:rsid w:val="000C3CA5"/>
    <w:rsid w:val="000C4BB1"/>
    <w:rsid w:val="000C5758"/>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1AB"/>
    <w:rsid w:val="000D5729"/>
    <w:rsid w:val="000E4DAB"/>
    <w:rsid w:val="000E616B"/>
    <w:rsid w:val="000E661B"/>
    <w:rsid w:val="000F0D24"/>
    <w:rsid w:val="000F1383"/>
    <w:rsid w:val="000F1800"/>
    <w:rsid w:val="000F1D4E"/>
    <w:rsid w:val="000F4970"/>
    <w:rsid w:val="000F4A64"/>
    <w:rsid w:val="000F53D1"/>
    <w:rsid w:val="000F7427"/>
    <w:rsid w:val="00101D55"/>
    <w:rsid w:val="001025BA"/>
    <w:rsid w:val="00103202"/>
    <w:rsid w:val="0010425B"/>
    <w:rsid w:val="001047CF"/>
    <w:rsid w:val="00106258"/>
    <w:rsid w:val="00106C16"/>
    <w:rsid w:val="00107604"/>
    <w:rsid w:val="00110047"/>
    <w:rsid w:val="0011050D"/>
    <w:rsid w:val="001115DB"/>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2AA"/>
    <w:rsid w:val="00136B08"/>
    <w:rsid w:val="00137B73"/>
    <w:rsid w:val="00140ED4"/>
    <w:rsid w:val="0014164A"/>
    <w:rsid w:val="00142D3E"/>
    <w:rsid w:val="001435D7"/>
    <w:rsid w:val="00143B46"/>
    <w:rsid w:val="0014403E"/>
    <w:rsid w:val="00146CBA"/>
    <w:rsid w:val="001477EC"/>
    <w:rsid w:val="00150061"/>
    <w:rsid w:val="00152AEC"/>
    <w:rsid w:val="00152C73"/>
    <w:rsid w:val="00153841"/>
    <w:rsid w:val="001539DB"/>
    <w:rsid w:val="00153B91"/>
    <w:rsid w:val="00155981"/>
    <w:rsid w:val="001567BA"/>
    <w:rsid w:val="00156DAA"/>
    <w:rsid w:val="0015744E"/>
    <w:rsid w:val="00157ADF"/>
    <w:rsid w:val="001624F2"/>
    <w:rsid w:val="00162F9C"/>
    <w:rsid w:val="00163B86"/>
    <w:rsid w:val="001664B0"/>
    <w:rsid w:val="001671C9"/>
    <w:rsid w:val="0017007C"/>
    <w:rsid w:val="0017092C"/>
    <w:rsid w:val="00171847"/>
    <w:rsid w:val="00173680"/>
    <w:rsid w:val="00175A74"/>
    <w:rsid w:val="0017656B"/>
    <w:rsid w:val="001768C6"/>
    <w:rsid w:val="00176A42"/>
    <w:rsid w:val="00176B76"/>
    <w:rsid w:val="001800B1"/>
    <w:rsid w:val="00180D5D"/>
    <w:rsid w:val="00180DB8"/>
    <w:rsid w:val="001818D5"/>
    <w:rsid w:val="00182F9A"/>
    <w:rsid w:val="00185D78"/>
    <w:rsid w:val="0018685A"/>
    <w:rsid w:val="001878E2"/>
    <w:rsid w:val="00187994"/>
    <w:rsid w:val="00187A31"/>
    <w:rsid w:val="00190A4F"/>
    <w:rsid w:val="00190A6E"/>
    <w:rsid w:val="001944BB"/>
    <w:rsid w:val="0019653E"/>
    <w:rsid w:val="001967E4"/>
    <w:rsid w:val="001A51B8"/>
    <w:rsid w:val="001A69C7"/>
    <w:rsid w:val="001A7C41"/>
    <w:rsid w:val="001B07F4"/>
    <w:rsid w:val="001B5DAC"/>
    <w:rsid w:val="001C2696"/>
    <w:rsid w:val="001C356C"/>
    <w:rsid w:val="001C4E4D"/>
    <w:rsid w:val="001C648E"/>
    <w:rsid w:val="001C686D"/>
    <w:rsid w:val="001C6AFE"/>
    <w:rsid w:val="001C6E99"/>
    <w:rsid w:val="001D07BD"/>
    <w:rsid w:val="001D2694"/>
    <w:rsid w:val="001D30F8"/>
    <w:rsid w:val="001D3D4F"/>
    <w:rsid w:val="001D41D1"/>
    <w:rsid w:val="001D4298"/>
    <w:rsid w:val="001D52D8"/>
    <w:rsid w:val="001D719B"/>
    <w:rsid w:val="001E0AB9"/>
    <w:rsid w:val="001E256F"/>
    <w:rsid w:val="001E2685"/>
    <w:rsid w:val="001E4C66"/>
    <w:rsid w:val="001E68AE"/>
    <w:rsid w:val="001E7235"/>
    <w:rsid w:val="001F044B"/>
    <w:rsid w:val="001F38E9"/>
    <w:rsid w:val="001F4AA4"/>
    <w:rsid w:val="002004FA"/>
    <w:rsid w:val="00201123"/>
    <w:rsid w:val="00201AF2"/>
    <w:rsid w:val="00202C74"/>
    <w:rsid w:val="00202EA5"/>
    <w:rsid w:val="002033E0"/>
    <w:rsid w:val="0020518D"/>
    <w:rsid w:val="00206115"/>
    <w:rsid w:val="002061C5"/>
    <w:rsid w:val="0020722B"/>
    <w:rsid w:val="00207307"/>
    <w:rsid w:val="0020776E"/>
    <w:rsid w:val="002122ED"/>
    <w:rsid w:val="00214580"/>
    <w:rsid w:val="0021739E"/>
    <w:rsid w:val="002206E7"/>
    <w:rsid w:val="0022364B"/>
    <w:rsid w:val="00224629"/>
    <w:rsid w:val="00225130"/>
    <w:rsid w:val="002254BC"/>
    <w:rsid w:val="00226AB1"/>
    <w:rsid w:val="00230193"/>
    <w:rsid w:val="00230F2C"/>
    <w:rsid w:val="00233130"/>
    <w:rsid w:val="00236435"/>
    <w:rsid w:val="0023743A"/>
    <w:rsid w:val="0024207E"/>
    <w:rsid w:val="00243CAF"/>
    <w:rsid w:val="002441D3"/>
    <w:rsid w:val="00246C7C"/>
    <w:rsid w:val="00247D5E"/>
    <w:rsid w:val="002532C2"/>
    <w:rsid w:val="00257B46"/>
    <w:rsid w:val="00257B90"/>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456"/>
    <w:rsid w:val="00281683"/>
    <w:rsid w:val="0028396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196C"/>
    <w:rsid w:val="002A22D5"/>
    <w:rsid w:val="002A3B0E"/>
    <w:rsid w:val="002A3DF0"/>
    <w:rsid w:val="002A3DFA"/>
    <w:rsid w:val="002A6ABE"/>
    <w:rsid w:val="002A735A"/>
    <w:rsid w:val="002B01A6"/>
    <w:rsid w:val="002B0BA5"/>
    <w:rsid w:val="002B3390"/>
    <w:rsid w:val="002B3E4D"/>
    <w:rsid w:val="002B4AC4"/>
    <w:rsid w:val="002B5DAD"/>
    <w:rsid w:val="002B6CA1"/>
    <w:rsid w:val="002B722F"/>
    <w:rsid w:val="002B7E42"/>
    <w:rsid w:val="002C06F2"/>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1606"/>
    <w:rsid w:val="002D2073"/>
    <w:rsid w:val="002D2DD2"/>
    <w:rsid w:val="002D39F6"/>
    <w:rsid w:val="002D4B8F"/>
    <w:rsid w:val="002E2D18"/>
    <w:rsid w:val="002E30D0"/>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07577"/>
    <w:rsid w:val="003102F5"/>
    <w:rsid w:val="00311A05"/>
    <w:rsid w:val="00312ABF"/>
    <w:rsid w:val="00313F23"/>
    <w:rsid w:val="00313FF0"/>
    <w:rsid w:val="003151CA"/>
    <w:rsid w:val="003151CC"/>
    <w:rsid w:val="00315E14"/>
    <w:rsid w:val="0032067C"/>
    <w:rsid w:val="003207B3"/>
    <w:rsid w:val="00322364"/>
    <w:rsid w:val="003238F6"/>
    <w:rsid w:val="00323DF9"/>
    <w:rsid w:val="00323F46"/>
    <w:rsid w:val="003240E7"/>
    <w:rsid w:val="00324AC1"/>
    <w:rsid w:val="00325C04"/>
    <w:rsid w:val="00326D63"/>
    <w:rsid w:val="00330E68"/>
    <w:rsid w:val="003315E1"/>
    <w:rsid w:val="00333B12"/>
    <w:rsid w:val="00334617"/>
    <w:rsid w:val="00335840"/>
    <w:rsid w:val="003370EE"/>
    <w:rsid w:val="0034091B"/>
    <w:rsid w:val="00341F63"/>
    <w:rsid w:val="0034360B"/>
    <w:rsid w:val="00344CFC"/>
    <w:rsid w:val="00345155"/>
    <w:rsid w:val="00345545"/>
    <w:rsid w:val="00354917"/>
    <w:rsid w:val="0035771F"/>
    <w:rsid w:val="0035777B"/>
    <w:rsid w:val="00357EA3"/>
    <w:rsid w:val="00360DE4"/>
    <w:rsid w:val="00363C53"/>
    <w:rsid w:val="0036664D"/>
    <w:rsid w:val="00370530"/>
    <w:rsid w:val="00372017"/>
    <w:rsid w:val="0037223F"/>
    <w:rsid w:val="00372784"/>
    <w:rsid w:val="00372AF3"/>
    <w:rsid w:val="003750D8"/>
    <w:rsid w:val="00375366"/>
    <w:rsid w:val="00376791"/>
    <w:rsid w:val="00377485"/>
    <w:rsid w:val="00377962"/>
    <w:rsid w:val="00377EF5"/>
    <w:rsid w:val="00381233"/>
    <w:rsid w:val="003812AC"/>
    <w:rsid w:val="00382328"/>
    <w:rsid w:val="003831C0"/>
    <w:rsid w:val="003847AB"/>
    <w:rsid w:val="0038573C"/>
    <w:rsid w:val="003868B1"/>
    <w:rsid w:val="003868E0"/>
    <w:rsid w:val="0038697F"/>
    <w:rsid w:val="00386CBB"/>
    <w:rsid w:val="00386CF6"/>
    <w:rsid w:val="00387263"/>
    <w:rsid w:val="00387C80"/>
    <w:rsid w:val="00391362"/>
    <w:rsid w:val="00391DDE"/>
    <w:rsid w:val="00392194"/>
    <w:rsid w:val="00394DCB"/>
    <w:rsid w:val="003974EF"/>
    <w:rsid w:val="00397837"/>
    <w:rsid w:val="00397CA3"/>
    <w:rsid w:val="00397E16"/>
    <w:rsid w:val="003A06F6"/>
    <w:rsid w:val="003A19E8"/>
    <w:rsid w:val="003A1A70"/>
    <w:rsid w:val="003A3A3E"/>
    <w:rsid w:val="003A4FAA"/>
    <w:rsid w:val="003A50CA"/>
    <w:rsid w:val="003A5E99"/>
    <w:rsid w:val="003A7881"/>
    <w:rsid w:val="003A7AF2"/>
    <w:rsid w:val="003B0220"/>
    <w:rsid w:val="003B15A1"/>
    <w:rsid w:val="003B1E78"/>
    <w:rsid w:val="003B23AF"/>
    <w:rsid w:val="003B3F30"/>
    <w:rsid w:val="003B493E"/>
    <w:rsid w:val="003B5284"/>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4E8B"/>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3422"/>
    <w:rsid w:val="003F41F0"/>
    <w:rsid w:val="003F5965"/>
    <w:rsid w:val="003F72DE"/>
    <w:rsid w:val="00400342"/>
    <w:rsid w:val="0040068E"/>
    <w:rsid w:val="00400A1E"/>
    <w:rsid w:val="00401A0F"/>
    <w:rsid w:val="00401FC4"/>
    <w:rsid w:val="0040336E"/>
    <w:rsid w:val="00403ABF"/>
    <w:rsid w:val="004040C3"/>
    <w:rsid w:val="0040458C"/>
    <w:rsid w:val="00404B57"/>
    <w:rsid w:val="00404C53"/>
    <w:rsid w:val="00405F52"/>
    <w:rsid w:val="0041013C"/>
    <w:rsid w:val="00410D25"/>
    <w:rsid w:val="004153A5"/>
    <w:rsid w:val="004153D8"/>
    <w:rsid w:val="00416310"/>
    <w:rsid w:val="00416357"/>
    <w:rsid w:val="00416496"/>
    <w:rsid w:val="00416633"/>
    <w:rsid w:val="00420EBE"/>
    <w:rsid w:val="004214EF"/>
    <w:rsid w:val="004236CF"/>
    <w:rsid w:val="00424487"/>
    <w:rsid w:val="00424F9E"/>
    <w:rsid w:val="00425E6A"/>
    <w:rsid w:val="00430C67"/>
    <w:rsid w:val="004348BD"/>
    <w:rsid w:val="00434CBE"/>
    <w:rsid w:val="00436423"/>
    <w:rsid w:val="00436F3D"/>
    <w:rsid w:val="00437B2C"/>
    <w:rsid w:val="004429CE"/>
    <w:rsid w:val="00445736"/>
    <w:rsid w:val="00445D79"/>
    <w:rsid w:val="00445FCA"/>
    <w:rsid w:val="00446F53"/>
    <w:rsid w:val="004471F0"/>
    <w:rsid w:val="0044780B"/>
    <w:rsid w:val="00447F55"/>
    <w:rsid w:val="00450A56"/>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67A6B"/>
    <w:rsid w:val="0047039E"/>
    <w:rsid w:val="0047441B"/>
    <w:rsid w:val="004748F3"/>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358D"/>
    <w:rsid w:val="0049376C"/>
    <w:rsid w:val="00494DB1"/>
    <w:rsid w:val="00495714"/>
    <w:rsid w:val="004968B1"/>
    <w:rsid w:val="004A0E35"/>
    <w:rsid w:val="004A1490"/>
    <w:rsid w:val="004A200B"/>
    <w:rsid w:val="004A33AD"/>
    <w:rsid w:val="004A6929"/>
    <w:rsid w:val="004A7D81"/>
    <w:rsid w:val="004B20DB"/>
    <w:rsid w:val="004B3914"/>
    <w:rsid w:val="004B3ABA"/>
    <w:rsid w:val="004B584A"/>
    <w:rsid w:val="004B586F"/>
    <w:rsid w:val="004B62F8"/>
    <w:rsid w:val="004B7A47"/>
    <w:rsid w:val="004C0722"/>
    <w:rsid w:val="004C0D2C"/>
    <w:rsid w:val="004C2634"/>
    <w:rsid w:val="004C3228"/>
    <w:rsid w:val="004C34FC"/>
    <w:rsid w:val="004C448B"/>
    <w:rsid w:val="004C5131"/>
    <w:rsid w:val="004C7D90"/>
    <w:rsid w:val="004D0E40"/>
    <w:rsid w:val="004D0E50"/>
    <w:rsid w:val="004D2C6C"/>
    <w:rsid w:val="004D3F47"/>
    <w:rsid w:val="004D5220"/>
    <w:rsid w:val="004D6741"/>
    <w:rsid w:val="004D71E6"/>
    <w:rsid w:val="004D7935"/>
    <w:rsid w:val="004D794D"/>
    <w:rsid w:val="004E07EE"/>
    <w:rsid w:val="004E1923"/>
    <w:rsid w:val="004E238B"/>
    <w:rsid w:val="004E2629"/>
    <w:rsid w:val="004E320E"/>
    <w:rsid w:val="004E33A9"/>
    <w:rsid w:val="004E3D04"/>
    <w:rsid w:val="004E3E4F"/>
    <w:rsid w:val="004E5097"/>
    <w:rsid w:val="004E6248"/>
    <w:rsid w:val="004F1F8D"/>
    <w:rsid w:val="004F20D6"/>
    <w:rsid w:val="004F2C5E"/>
    <w:rsid w:val="004F3125"/>
    <w:rsid w:val="004F7163"/>
    <w:rsid w:val="004F72A5"/>
    <w:rsid w:val="00500D01"/>
    <w:rsid w:val="005011B8"/>
    <w:rsid w:val="005032BD"/>
    <w:rsid w:val="00504E7F"/>
    <w:rsid w:val="00507F48"/>
    <w:rsid w:val="00510081"/>
    <w:rsid w:val="005129FC"/>
    <w:rsid w:val="005138AD"/>
    <w:rsid w:val="00514564"/>
    <w:rsid w:val="00514649"/>
    <w:rsid w:val="00515A45"/>
    <w:rsid w:val="005177E3"/>
    <w:rsid w:val="00522D0B"/>
    <w:rsid w:val="00523250"/>
    <w:rsid w:val="0052498C"/>
    <w:rsid w:val="00524A02"/>
    <w:rsid w:val="00524CAA"/>
    <w:rsid w:val="00526A82"/>
    <w:rsid w:val="00526C49"/>
    <w:rsid w:val="00526E28"/>
    <w:rsid w:val="0053295D"/>
    <w:rsid w:val="00533CAD"/>
    <w:rsid w:val="0053490B"/>
    <w:rsid w:val="0053492C"/>
    <w:rsid w:val="00534C37"/>
    <w:rsid w:val="00535715"/>
    <w:rsid w:val="00541206"/>
    <w:rsid w:val="00541229"/>
    <w:rsid w:val="00543511"/>
    <w:rsid w:val="0054404B"/>
    <w:rsid w:val="005448FC"/>
    <w:rsid w:val="00544D58"/>
    <w:rsid w:val="00545858"/>
    <w:rsid w:val="00545AB4"/>
    <w:rsid w:val="00545BD2"/>
    <w:rsid w:val="00552AC3"/>
    <w:rsid w:val="005534FE"/>
    <w:rsid w:val="00554421"/>
    <w:rsid w:val="00560ECD"/>
    <w:rsid w:val="00561FC1"/>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F42"/>
    <w:rsid w:val="00580FDE"/>
    <w:rsid w:val="00581684"/>
    <w:rsid w:val="00582786"/>
    <w:rsid w:val="00583D07"/>
    <w:rsid w:val="00584706"/>
    <w:rsid w:val="00584FBA"/>
    <w:rsid w:val="005852C7"/>
    <w:rsid w:val="00585B3A"/>
    <w:rsid w:val="0059123A"/>
    <w:rsid w:val="00591C3C"/>
    <w:rsid w:val="00591FA8"/>
    <w:rsid w:val="00593702"/>
    <w:rsid w:val="00593983"/>
    <w:rsid w:val="00594961"/>
    <w:rsid w:val="005A1A09"/>
    <w:rsid w:val="005A2220"/>
    <w:rsid w:val="005A22F4"/>
    <w:rsid w:val="005A3D28"/>
    <w:rsid w:val="005A5268"/>
    <w:rsid w:val="005A6F8E"/>
    <w:rsid w:val="005A7D5F"/>
    <w:rsid w:val="005B2541"/>
    <w:rsid w:val="005B385E"/>
    <w:rsid w:val="005B39A2"/>
    <w:rsid w:val="005B3B13"/>
    <w:rsid w:val="005B47FC"/>
    <w:rsid w:val="005B4D10"/>
    <w:rsid w:val="005B5D94"/>
    <w:rsid w:val="005B64CD"/>
    <w:rsid w:val="005C173D"/>
    <w:rsid w:val="005C330D"/>
    <w:rsid w:val="005C6001"/>
    <w:rsid w:val="005C7381"/>
    <w:rsid w:val="005C7A27"/>
    <w:rsid w:val="005D0317"/>
    <w:rsid w:val="005D1729"/>
    <w:rsid w:val="005D28FE"/>
    <w:rsid w:val="005D2F7A"/>
    <w:rsid w:val="005D5065"/>
    <w:rsid w:val="005D57F1"/>
    <w:rsid w:val="005D64CC"/>
    <w:rsid w:val="005D70A5"/>
    <w:rsid w:val="005D7F7B"/>
    <w:rsid w:val="005E1121"/>
    <w:rsid w:val="005E19C0"/>
    <w:rsid w:val="005E3D73"/>
    <w:rsid w:val="005E6148"/>
    <w:rsid w:val="005E6780"/>
    <w:rsid w:val="005E68B0"/>
    <w:rsid w:val="005E7C92"/>
    <w:rsid w:val="005F024F"/>
    <w:rsid w:val="005F07EE"/>
    <w:rsid w:val="005F12F1"/>
    <w:rsid w:val="005F14E7"/>
    <w:rsid w:val="005F3B9F"/>
    <w:rsid w:val="005F481A"/>
    <w:rsid w:val="005F54C0"/>
    <w:rsid w:val="005F6CEB"/>
    <w:rsid w:val="005F7BC7"/>
    <w:rsid w:val="005F7F9D"/>
    <w:rsid w:val="00601670"/>
    <w:rsid w:val="006023C9"/>
    <w:rsid w:val="00603F5C"/>
    <w:rsid w:val="00604E8F"/>
    <w:rsid w:val="00605101"/>
    <w:rsid w:val="00607DF0"/>
    <w:rsid w:val="00610AF7"/>
    <w:rsid w:val="00614E3C"/>
    <w:rsid w:val="0061570E"/>
    <w:rsid w:val="00616347"/>
    <w:rsid w:val="00617261"/>
    <w:rsid w:val="00621DDA"/>
    <w:rsid w:val="00622349"/>
    <w:rsid w:val="0062438F"/>
    <w:rsid w:val="00624568"/>
    <w:rsid w:val="00625AFC"/>
    <w:rsid w:val="00625CAA"/>
    <w:rsid w:val="00625F6F"/>
    <w:rsid w:val="006266F7"/>
    <w:rsid w:val="00626A95"/>
    <w:rsid w:val="00627249"/>
    <w:rsid w:val="00627B69"/>
    <w:rsid w:val="00632E58"/>
    <w:rsid w:val="006339CF"/>
    <w:rsid w:val="006354B6"/>
    <w:rsid w:val="0063565C"/>
    <w:rsid w:val="0063603D"/>
    <w:rsid w:val="006369E5"/>
    <w:rsid w:val="0064120D"/>
    <w:rsid w:val="006431D0"/>
    <w:rsid w:val="00643885"/>
    <w:rsid w:val="00644147"/>
    <w:rsid w:val="00644741"/>
    <w:rsid w:val="00645344"/>
    <w:rsid w:val="00650245"/>
    <w:rsid w:val="00650EFA"/>
    <w:rsid w:val="00652230"/>
    <w:rsid w:val="00652801"/>
    <w:rsid w:val="00655AD0"/>
    <w:rsid w:val="006578F2"/>
    <w:rsid w:val="00657C00"/>
    <w:rsid w:val="00660DD8"/>
    <w:rsid w:val="0066162E"/>
    <w:rsid w:val="00661893"/>
    <w:rsid w:val="0066237F"/>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2BB7"/>
    <w:rsid w:val="00694610"/>
    <w:rsid w:val="00694720"/>
    <w:rsid w:val="00695B92"/>
    <w:rsid w:val="006A02F3"/>
    <w:rsid w:val="006A188A"/>
    <w:rsid w:val="006A1C99"/>
    <w:rsid w:val="006A286D"/>
    <w:rsid w:val="006A3026"/>
    <w:rsid w:val="006A4AA8"/>
    <w:rsid w:val="006A5488"/>
    <w:rsid w:val="006A5C7E"/>
    <w:rsid w:val="006B0A14"/>
    <w:rsid w:val="006B0CC1"/>
    <w:rsid w:val="006C0416"/>
    <w:rsid w:val="006C08C6"/>
    <w:rsid w:val="006C12C8"/>
    <w:rsid w:val="006C43E4"/>
    <w:rsid w:val="006C47BA"/>
    <w:rsid w:val="006C4FC1"/>
    <w:rsid w:val="006C5988"/>
    <w:rsid w:val="006C6384"/>
    <w:rsid w:val="006D0C59"/>
    <w:rsid w:val="006D0C89"/>
    <w:rsid w:val="006D1B25"/>
    <w:rsid w:val="006D28DC"/>
    <w:rsid w:val="006D2C1D"/>
    <w:rsid w:val="006D3232"/>
    <w:rsid w:val="006D6EF1"/>
    <w:rsid w:val="006E13BE"/>
    <w:rsid w:val="006E21A6"/>
    <w:rsid w:val="006E2294"/>
    <w:rsid w:val="006E2D94"/>
    <w:rsid w:val="006E53C6"/>
    <w:rsid w:val="006E602F"/>
    <w:rsid w:val="006E62C6"/>
    <w:rsid w:val="006E687B"/>
    <w:rsid w:val="006E6908"/>
    <w:rsid w:val="006E71BB"/>
    <w:rsid w:val="006E7470"/>
    <w:rsid w:val="006E7535"/>
    <w:rsid w:val="006E75E9"/>
    <w:rsid w:val="006F19E8"/>
    <w:rsid w:val="006F5E01"/>
    <w:rsid w:val="006F6837"/>
    <w:rsid w:val="006F6ADF"/>
    <w:rsid w:val="0070343F"/>
    <w:rsid w:val="00703C42"/>
    <w:rsid w:val="00703F9D"/>
    <w:rsid w:val="0070480F"/>
    <w:rsid w:val="00705BB7"/>
    <w:rsid w:val="00707B18"/>
    <w:rsid w:val="007100D5"/>
    <w:rsid w:val="007102C2"/>
    <w:rsid w:val="00711128"/>
    <w:rsid w:val="00711263"/>
    <w:rsid w:val="0071370A"/>
    <w:rsid w:val="00713B69"/>
    <w:rsid w:val="00715BD0"/>
    <w:rsid w:val="00716987"/>
    <w:rsid w:val="00717656"/>
    <w:rsid w:val="007177AC"/>
    <w:rsid w:val="0072014A"/>
    <w:rsid w:val="00720CA5"/>
    <w:rsid w:val="00721741"/>
    <w:rsid w:val="0072368D"/>
    <w:rsid w:val="00723BCA"/>
    <w:rsid w:val="0072458D"/>
    <w:rsid w:val="0072554C"/>
    <w:rsid w:val="0073040C"/>
    <w:rsid w:val="00731506"/>
    <w:rsid w:val="00731A93"/>
    <w:rsid w:val="00734F75"/>
    <w:rsid w:val="0073549B"/>
    <w:rsid w:val="007360BA"/>
    <w:rsid w:val="0074165F"/>
    <w:rsid w:val="00742076"/>
    <w:rsid w:val="00742CD3"/>
    <w:rsid w:val="00745928"/>
    <w:rsid w:val="00746FCD"/>
    <w:rsid w:val="00747737"/>
    <w:rsid w:val="007513FF"/>
    <w:rsid w:val="0075274E"/>
    <w:rsid w:val="007536BD"/>
    <w:rsid w:val="007541EE"/>
    <w:rsid w:val="007558FB"/>
    <w:rsid w:val="007571FE"/>
    <w:rsid w:val="00757466"/>
    <w:rsid w:val="00764BE5"/>
    <w:rsid w:val="00765686"/>
    <w:rsid w:val="007673D3"/>
    <w:rsid w:val="0077088C"/>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C4"/>
    <w:rsid w:val="00792CE4"/>
    <w:rsid w:val="00793046"/>
    <w:rsid w:val="00795C2D"/>
    <w:rsid w:val="007A28D0"/>
    <w:rsid w:val="007A66E0"/>
    <w:rsid w:val="007B1473"/>
    <w:rsid w:val="007B23ED"/>
    <w:rsid w:val="007B2F9C"/>
    <w:rsid w:val="007B4695"/>
    <w:rsid w:val="007B5138"/>
    <w:rsid w:val="007B5B10"/>
    <w:rsid w:val="007B6412"/>
    <w:rsid w:val="007B6E57"/>
    <w:rsid w:val="007B7632"/>
    <w:rsid w:val="007B7D71"/>
    <w:rsid w:val="007C4050"/>
    <w:rsid w:val="007C620D"/>
    <w:rsid w:val="007C69E7"/>
    <w:rsid w:val="007D090B"/>
    <w:rsid w:val="007D1F2A"/>
    <w:rsid w:val="007D2DF4"/>
    <w:rsid w:val="007D2DF5"/>
    <w:rsid w:val="007D3D2E"/>
    <w:rsid w:val="007D5D4E"/>
    <w:rsid w:val="007E019C"/>
    <w:rsid w:val="007E0396"/>
    <w:rsid w:val="007E0A01"/>
    <w:rsid w:val="007E1879"/>
    <w:rsid w:val="007E55F2"/>
    <w:rsid w:val="007E5891"/>
    <w:rsid w:val="007E5D9D"/>
    <w:rsid w:val="007E7797"/>
    <w:rsid w:val="007E7E29"/>
    <w:rsid w:val="007E7EFB"/>
    <w:rsid w:val="007F0256"/>
    <w:rsid w:val="007F0A3D"/>
    <w:rsid w:val="007F2DDC"/>
    <w:rsid w:val="007F46C9"/>
    <w:rsid w:val="007F65EE"/>
    <w:rsid w:val="007F6A06"/>
    <w:rsid w:val="007F755E"/>
    <w:rsid w:val="007F7B2F"/>
    <w:rsid w:val="008001A6"/>
    <w:rsid w:val="008045B8"/>
    <w:rsid w:val="00804A2E"/>
    <w:rsid w:val="00804D75"/>
    <w:rsid w:val="00805FFE"/>
    <w:rsid w:val="0080717D"/>
    <w:rsid w:val="008100FC"/>
    <w:rsid w:val="0081021D"/>
    <w:rsid w:val="008109A0"/>
    <w:rsid w:val="00810A54"/>
    <w:rsid w:val="008116D6"/>
    <w:rsid w:val="008117EA"/>
    <w:rsid w:val="00811E6B"/>
    <w:rsid w:val="0081556A"/>
    <w:rsid w:val="00815E05"/>
    <w:rsid w:val="00820348"/>
    <w:rsid w:val="008209D1"/>
    <w:rsid w:val="00821145"/>
    <w:rsid w:val="0082148B"/>
    <w:rsid w:val="00821680"/>
    <w:rsid w:val="00822B05"/>
    <w:rsid w:val="00822B8D"/>
    <w:rsid w:val="00822C71"/>
    <w:rsid w:val="00824C09"/>
    <w:rsid w:val="00826444"/>
    <w:rsid w:val="00826978"/>
    <w:rsid w:val="00831798"/>
    <w:rsid w:val="008326DF"/>
    <w:rsid w:val="00832A22"/>
    <w:rsid w:val="008346B5"/>
    <w:rsid w:val="00834C7D"/>
    <w:rsid w:val="00840050"/>
    <w:rsid w:val="0084035F"/>
    <w:rsid w:val="00843429"/>
    <w:rsid w:val="008442AC"/>
    <w:rsid w:val="00844406"/>
    <w:rsid w:val="00850841"/>
    <w:rsid w:val="008513C1"/>
    <w:rsid w:val="00851B08"/>
    <w:rsid w:val="0085228A"/>
    <w:rsid w:val="008524DD"/>
    <w:rsid w:val="00855B2E"/>
    <w:rsid w:val="008564F0"/>
    <w:rsid w:val="008566DC"/>
    <w:rsid w:val="00856C0B"/>
    <w:rsid w:val="00856E63"/>
    <w:rsid w:val="00857F8F"/>
    <w:rsid w:val="00860199"/>
    <w:rsid w:val="008615F0"/>
    <w:rsid w:val="008649E5"/>
    <w:rsid w:val="00865107"/>
    <w:rsid w:val="008705B3"/>
    <w:rsid w:val="008707E2"/>
    <w:rsid w:val="00871694"/>
    <w:rsid w:val="00871BE0"/>
    <w:rsid w:val="00873DB5"/>
    <w:rsid w:val="008748E9"/>
    <w:rsid w:val="00874EEF"/>
    <w:rsid w:val="00874F12"/>
    <w:rsid w:val="008752A2"/>
    <w:rsid w:val="00876724"/>
    <w:rsid w:val="00877748"/>
    <w:rsid w:val="00882AAD"/>
    <w:rsid w:val="00882B2B"/>
    <w:rsid w:val="00882BD8"/>
    <w:rsid w:val="0088384C"/>
    <w:rsid w:val="00884DD3"/>
    <w:rsid w:val="00890432"/>
    <w:rsid w:val="008915F5"/>
    <w:rsid w:val="008925B1"/>
    <w:rsid w:val="00893C26"/>
    <w:rsid w:val="008957EC"/>
    <w:rsid w:val="0089594D"/>
    <w:rsid w:val="00896454"/>
    <w:rsid w:val="00897754"/>
    <w:rsid w:val="008A04BD"/>
    <w:rsid w:val="008A13A6"/>
    <w:rsid w:val="008A16A5"/>
    <w:rsid w:val="008A38C5"/>
    <w:rsid w:val="008A6649"/>
    <w:rsid w:val="008A6664"/>
    <w:rsid w:val="008A7D52"/>
    <w:rsid w:val="008B0C82"/>
    <w:rsid w:val="008B1429"/>
    <w:rsid w:val="008B1845"/>
    <w:rsid w:val="008B2A4F"/>
    <w:rsid w:val="008B3BBC"/>
    <w:rsid w:val="008B45F2"/>
    <w:rsid w:val="008B50B3"/>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AD8"/>
    <w:rsid w:val="008F7DF3"/>
    <w:rsid w:val="009024F7"/>
    <w:rsid w:val="009025FC"/>
    <w:rsid w:val="0090545E"/>
    <w:rsid w:val="0090639B"/>
    <w:rsid w:val="00906FAA"/>
    <w:rsid w:val="00907804"/>
    <w:rsid w:val="00907FB5"/>
    <w:rsid w:val="00913544"/>
    <w:rsid w:val="0091585F"/>
    <w:rsid w:val="00916000"/>
    <w:rsid w:val="00917CAA"/>
    <w:rsid w:val="00920C13"/>
    <w:rsid w:val="00921B3C"/>
    <w:rsid w:val="00924657"/>
    <w:rsid w:val="00924699"/>
    <w:rsid w:val="009250EA"/>
    <w:rsid w:val="0092541F"/>
    <w:rsid w:val="0092579C"/>
    <w:rsid w:val="00926603"/>
    <w:rsid w:val="00926E18"/>
    <w:rsid w:val="009277E8"/>
    <w:rsid w:val="009301AC"/>
    <w:rsid w:val="009305F9"/>
    <w:rsid w:val="009307B5"/>
    <w:rsid w:val="00930B9D"/>
    <w:rsid w:val="00930FC3"/>
    <w:rsid w:val="00931920"/>
    <w:rsid w:val="009337A7"/>
    <w:rsid w:val="00934C98"/>
    <w:rsid w:val="00935FE8"/>
    <w:rsid w:val="00936B81"/>
    <w:rsid w:val="009402EA"/>
    <w:rsid w:val="009403B2"/>
    <w:rsid w:val="00940646"/>
    <w:rsid w:val="009408E0"/>
    <w:rsid w:val="00941820"/>
    <w:rsid w:val="00946E35"/>
    <w:rsid w:val="0095038D"/>
    <w:rsid w:val="00952A79"/>
    <w:rsid w:val="00952BA1"/>
    <w:rsid w:val="00953017"/>
    <w:rsid w:val="00953116"/>
    <w:rsid w:val="0095458D"/>
    <w:rsid w:val="00954770"/>
    <w:rsid w:val="00954D57"/>
    <w:rsid w:val="00956648"/>
    <w:rsid w:val="0095793F"/>
    <w:rsid w:val="00962AEB"/>
    <w:rsid w:val="00963053"/>
    <w:rsid w:val="009634C5"/>
    <w:rsid w:val="00964313"/>
    <w:rsid w:val="00964590"/>
    <w:rsid w:val="00964A38"/>
    <w:rsid w:val="0096527D"/>
    <w:rsid w:val="00967B21"/>
    <w:rsid w:val="009714A3"/>
    <w:rsid w:val="00971D1D"/>
    <w:rsid w:val="00972737"/>
    <w:rsid w:val="009744C0"/>
    <w:rsid w:val="00975DD1"/>
    <w:rsid w:val="009760D6"/>
    <w:rsid w:val="00976640"/>
    <w:rsid w:val="00977986"/>
    <w:rsid w:val="009779F2"/>
    <w:rsid w:val="00977E3F"/>
    <w:rsid w:val="00980FA1"/>
    <w:rsid w:val="00981557"/>
    <w:rsid w:val="009825E8"/>
    <w:rsid w:val="00987AAD"/>
    <w:rsid w:val="00992407"/>
    <w:rsid w:val="009929CE"/>
    <w:rsid w:val="00992AB6"/>
    <w:rsid w:val="00994D06"/>
    <w:rsid w:val="0099540D"/>
    <w:rsid w:val="00997B66"/>
    <w:rsid w:val="00997FD1"/>
    <w:rsid w:val="009A2697"/>
    <w:rsid w:val="009A3630"/>
    <w:rsid w:val="009A38C7"/>
    <w:rsid w:val="009A4B32"/>
    <w:rsid w:val="009A4C27"/>
    <w:rsid w:val="009A610D"/>
    <w:rsid w:val="009A679C"/>
    <w:rsid w:val="009A6BB7"/>
    <w:rsid w:val="009A77CE"/>
    <w:rsid w:val="009A7A47"/>
    <w:rsid w:val="009B08AA"/>
    <w:rsid w:val="009B1D55"/>
    <w:rsid w:val="009B645B"/>
    <w:rsid w:val="009C05AB"/>
    <w:rsid w:val="009C0E69"/>
    <w:rsid w:val="009C0F88"/>
    <w:rsid w:val="009C1191"/>
    <w:rsid w:val="009C4F73"/>
    <w:rsid w:val="009C5F24"/>
    <w:rsid w:val="009C6848"/>
    <w:rsid w:val="009D02F1"/>
    <w:rsid w:val="009D0776"/>
    <w:rsid w:val="009D0B6A"/>
    <w:rsid w:val="009D101F"/>
    <w:rsid w:val="009D1B13"/>
    <w:rsid w:val="009D1B22"/>
    <w:rsid w:val="009D1B9C"/>
    <w:rsid w:val="009D1E54"/>
    <w:rsid w:val="009D3C51"/>
    <w:rsid w:val="009D3DC1"/>
    <w:rsid w:val="009D4699"/>
    <w:rsid w:val="009D4DD5"/>
    <w:rsid w:val="009D4FF3"/>
    <w:rsid w:val="009D565D"/>
    <w:rsid w:val="009D773D"/>
    <w:rsid w:val="009E2FAD"/>
    <w:rsid w:val="009E3A03"/>
    <w:rsid w:val="009E3E7C"/>
    <w:rsid w:val="009F01A0"/>
    <w:rsid w:val="009F088B"/>
    <w:rsid w:val="009F4F38"/>
    <w:rsid w:val="009F5EF5"/>
    <w:rsid w:val="009F6615"/>
    <w:rsid w:val="009F7732"/>
    <w:rsid w:val="00A0030E"/>
    <w:rsid w:val="00A027C7"/>
    <w:rsid w:val="00A0288F"/>
    <w:rsid w:val="00A038A6"/>
    <w:rsid w:val="00A06374"/>
    <w:rsid w:val="00A07A88"/>
    <w:rsid w:val="00A100A7"/>
    <w:rsid w:val="00A103CF"/>
    <w:rsid w:val="00A11615"/>
    <w:rsid w:val="00A13CA4"/>
    <w:rsid w:val="00A157E6"/>
    <w:rsid w:val="00A15EC6"/>
    <w:rsid w:val="00A1646F"/>
    <w:rsid w:val="00A202F9"/>
    <w:rsid w:val="00A20807"/>
    <w:rsid w:val="00A21F3F"/>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5F7C"/>
    <w:rsid w:val="00A36080"/>
    <w:rsid w:val="00A363AD"/>
    <w:rsid w:val="00A37E01"/>
    <w:rsid w:val="00A4280A"/>
    <w:rsid w:val="00A4518E"/>
    <w:rsid w:val="00A45E0B"/>
    <w:rsid w:val="00A46078"/>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1E2C"/>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4A7E"/>
    <w:rsid w:val="00AE5F10"/>
    <w:rsid w:val="00AE6AE3"/>
    <w:rsid w:val="00AE6FCA"/>
    <w:rsid w:val="00AF03EA"/>
    <w:rsid w:val="00AF3219"/>
    <w:rsid w:val="00AF3F09"/>
    <w:rsid w:val="00AF439F"/>
    <w:rsid w:val="00AF5F95"/>
    <w:rsid w:val="00B01889"/>
    <w:rsid w:val="00B07024"/>
    <w:rsid w:val="00B0705F"/>
    <w:rsid w:val="00B07E47"/>
    <w:rsid w:val="00B107BD"/>
    <w:rsid w:val="00B149BE"/>
    <w:rsid w:val="00B1510B"/>
    <w:rsid w:val="00B175BD"/>
    <w:rsid w:val="00B21824"/>
    <w:rsid w:val="00B2329F"/>
    <w:rsid w:val="00B237F5"/>
    <w:rsid w:val="00B247CF"/>
    <w:rsid w:val="00B25D1A"/>
    <w:rsid w:val="00B26CAF"/>
    <w:rsid w:val="00B2733B"/>
    <w:rsid w:val="00B3024A"/>
    <w:rsid w:val="00B318F2"/>
    <w:rsid w:val="00B329BD"/>
    <w:rsid w:val="00B33585"/>
    <w:rsid w:val="00B34825"/>
    <w:rsid w:val="00B35F1B"/>
    <w:rsid w:val="00B40104"/>
    <w:rsid w:val="00B40671"/>
    <w:rsid w:val="00B41353"/>
    <w:rsid w:val="00B421C1"/>
    <w:rsid w:val="00B4227A"/>
    <w:rsid w:val="00B47C09"/>
    <w:rsid w:val="00B507BA"/>
    <w:rsid w:val="00B51B59"/>
    <w:rsid w:val="00B51D5B"/>
    <w:rsid w:val="00B53512"/>
    <w:rsid w:val="00B5368D"/>
    <w:rsid w:val="00B54049"/>
    <w:rsid w:val="00B54836"/>
    <w:rsid w:val="00B55450"/>
    <w:rsid w:val="00B5641B"/>
    <w:rsid w:val="00B57673"/>
    <w:rsid w:val="00B579D4"/>
    <w:rsid w:val="00B57C72"/>
    <w:rsid w:val="00B60A06"/>
    <w:rsid w:val="00B60C3C"/>
    <w:rsid w:val="00B625DB"/>
    <w:rsid w:val="00B628F7"/>
    <w:rsid w:val="00B63ED7"/>
    <w:rsid w:val="00B64501"/>
    <w:rsid w:val="00B65392"/>
    <w:rsid w:val="00B65BC6"/>
    <w:rsid w:val="00B66BD7"/>
    <w:rsid w:val="00B66EC7"/>
    <w:rsid w:val="00B67C87"/>
    <w:rsid w:val="00B71A7B"/>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0DD8"/>
    <w:rsid w:val="00BA3AA2"/>
    <w:rsid w:val="00BA44A5"/>
    <w:rsid w:val="00BA5F81"/>
    <w:rsid w:val="00BA6A5A"/>
    <w:rsid w:val="00BB05A0"/>
    <w:rsid w:val="00BB06C6"/>
    <w:rsid w:val="00BB0F5F"/>
    <w:rsid w:val="00BB10C9"/>
    <w:rsid w:val="00BB117B"/>
    <w:rsid w:val="00BB16BA"/>
    <w:rsid w:val="00BB1B72"/>
    <w:rsid w:val="00BC2977"/>
    <w:rsid w:val="00BC3822"/>
    <w:rsid w:val="00BC49DF"/>
    <w:rsid w:val="00BC696C"/>
    <w:rsid w:val="00BC6C45"/>
    <w:rsid w:val="00BC6FA3"/>
    <w:rsid w:val="00BC7DC8"/>
    <w:rsid w:val="00BD02B0"/>
    <w:rsid w:val="00BD0444"/>
    <w:rsid w:val="00BD11A9"/>
    <w:rsid w:val="00BD1A23"/>
    <w:rsid w:val="00BD1DD6"/>
    <w:rsid w:val="00BD1FCC"/>
    <w:rsid w:val="00BD23CC"/>
    <w:rsid w:val="00BD2668"/>
    <w:rsid w:val="00BD3FA4"/>
    <w:rsid w:val="00BD6342"/>
    <w:rsid w:val="00BD7CD9"/>
    <w:rsid w:val="00BE0DC0"/>
    <w:rsid w:val="00BE13C2"/>
    <w:rsid w:val="00BE15A1"/>
    <w:rsid w:val="00BE331D"/>
    <w:rsid w:val="00BE3593"/>
    <w:rsid w:val="00BE45FF"/>
    <w:rsid w:val="00BE4BFA"/>
    <w:rsid w:val="00BE507A"/>
    <w:rsid w:val="00BE5603"/>
    <w:rsid w:val="00BE62DF"/>
    <w:rsid w:val="00BE698D"/>
    <w:rsid w:val="00BE6BB7"/>
    <w:rsid w:val="00BE7CAA"/>
    <w:rsid w:val="00BF097E"/>
    <w:rsid w:val="00BF25CF"/>
    <w:rsid w:val="00BF25F5"/>
    <w:rsid w:val="00BF29E9"/>
    <w:rsid w:val="00BF568B"/>
    <w:rsid w:val="00BF5BD4"/>
    <w:rsid w:val="00BF6435"/>
    <w:rsid w:val="00BF6C4E"/>
    <w:rsid w:val="00C005DC"/>
    <w:rsid w:val="00C02119"/>
    <w:rsid w:val="00C02D91"/>
    <w:rsid w:val="00C044FE"/>
    <w:rsid w:val="00C051F0"/>
    <w:rsid w:val="00C05208"/>
    <w:rsid w:val="00C0558D"/>
    <w:rsid w:val="00C05839"/>
    <w:rsid w:val="00C05FB1"/>
    <w:rsid w:val="00C06EB3"/>
    <w:rsid w:val="00C0792B"/>
    <w:rsid w:val="00C10C95"/>
    <w:rsid w:val="00C13AE9"/>
    <w:rsid w:val="00C1546F"/>
    <w:rsid w:val="00C15D46"/>
    <w:rsid w:val="00C16361"/>
    <w:rsid w:val="00C169BE"/>
    <w:rsid w:val="00C16EBD"/>
    <w:rsid w:val="00C2190D"/>
    <w:rsid w:val="00C21DA0"/>
    <w:rsid w:val="00C235EC"/>
    <w:rsid w:val="00C240A5"/>
    <w:rsid w:val="00C24AE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19EA"/>
    <w:rsid w:val="00C540B7"/>
    <w:rsid w:val="00C55834"/>
    <w:rsid w:val="00C565C4"/>
    <w:rsid w:val="00C56C21"/>
    <w:rsid w:val="00C57257"/>
    <w:rsid w:val="00C573B1"/>
    <w:rsid w:val="00C57A59"/>
    <w:rsid w:val="00C60743"/>
    <w:rsid w:val="00C61626"/>
    <w:rsid w:val="00C61B9B"/>
    <w:rsid w:val="00C626C0"/>
    <w:rsid w:val="00C63683"/>
    <w:rsid w:val="00C63D8D"/>
    <w:rsid w:val="00C64627"/>
    <w:rsid w:val="00C66BCC"/>
    <w:rsid w:val="00C67371"/>
    <w:rsid w:val="00C67A4B"/>
    <w:rsid w:val="00C70683"/>
    <w:rsid w:val="00C706E9"/>
    <w:rsid w:val="00C72B96"/>
    <w:rsid w:val="00C732C3"/>
    <w:rsid w:val="00C76DD1"/>
    <w:rsid w:val="00C805E2"/>
    <w:rsid w:val="00C80731"/>
    <w:rsid w:val="00C87E5A"/>
    <w:rsid w:val="00C90423"/>
    <w:rsid w:val="00C90E55"/>
    <w:rsid w:val="00C91641"/>
    <w:rsid w:val="00C91F6B"/>
    <w:rsid w:val="00C927E4"/>
    <w:rsid w:val="00C93FAE"/>
    <w:rsid w:val="00C95890"/>
    <w:rsid w:val="00C96C10"/>
    <w:rsid w:val="00CA049F"/>
    <w:rsid w:val="00CA0763"/>
    <w:rsid w:val="00CA4BA8"/>
    <w:rsid w:val="00CA601F"/>
    <w:rsid w:val="00CA6258"/>
    <w:rsid w:val="00CA6ABF"/>
    <w:rsid w:val="00CA7DFE"/>
    <w:rsid w:val="00CB14BB"/>
    <w:rsid w:val="00CB182E"/>
    <w:rsid w:val="00CB4369"/>
    <w:rsid w:val="00CB5FF2"/>
    <w:rsid w:val="00CC128D"/>
    <w:rsid w:val="00CC1E5B"/>
    <w:rsid w:val="00CC3442"/>
    <w:rsid w:val="00CC34EB"/>
    <w:rsid w:val="00CC3626"/>
    <w:rsid w:val="00CC40CF"/>
    <w:rsid w:val="00CC43A0"/>
    <w:rsid w:val="00CC574A"/>
    <w:rsid w:val="00CC596D"/>
    <w:rsid w:val="00CC79D8"/>
    <w:rsid w:val="00CD040F"/>
    <w:rsid w:val="00CD05FE"/>
    <w:rsid w:val="00CD1E2B"/>
    <w:rsid w:val="00CD1EC8"/>
    <w:rsid w:val="00CD282A"/>
    <w:rsid w:val="00CD43AB"/>
    <w:rsid w:val="00CD6DF2"/>
    <w:rsid w:val="00CE18EC"/>
    <w:rsid w:val="00CE5C46"/>
    <w:rsid w:val="00CE7685"/>
    <w:rsid w:val="00CF5EF4"/>
    <w:rsid w:val="00CF643C"/>
    <w:rsid w:val="00CF7DBF"/>
    <w:rsid w:val="00D02D13"/>
    <w:rsid w:val="00D06143"/>
    <w:rsid w:val="00D07203"/>
    <w:rsid w:val="00D07823"/>
    <w:rsid w:val="00D1001F"/>
    <w:rsid w:val="00D1259C"/>
    <w:rsid w:val="00D12C4A"/>
    <w:rsid w:val="00D136E5"/>
    <w:rsid w:val="00D1534A"/>
    <w:rsid w:val="00D16AA1"/>
    <w:rsid w:val="00D20637"/>
    <w:rsid w:val="00D21421"/>
    <w:rsid w:val="00D21E91"/>
    <w:rsid w:val="00D22D36"/>
    <w:rsid w:val="00D25FE0"/>
    <w:rsid w:val="00D2651C"/>
    <w:rsid w:val="00D2666C"/>
    <w:rsid w:val="00D27D47"/>
    <w:rsid w:val="00D301A4"/>
    <w:rsid w:val="00D30754"/>
    <w:rsid w:val="00D30BBD"/>
    <w:rsid w:val="00D31E76"/>
    <w:rsid w:val="00D35C9A"/>
    <w:rsid w:val="00D37358"/>
    <w:rsid w:val="00D376DF"/>
    <w:rsid w:val="00D37D16"/>
    <w:rsid w:val="00D40798"/>
    <w:rsid w:val="00D43074"/>
    <w:rsid w:val="00D4345B"/>
    <w:rsid w:val="00D43E31"/>
    <w:rsid w:val="00D44D18"/>
    <w:rsid w:val="00D452A8"/>
    <w:rsid w:val="00D514B2"/>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3478"/>
    <w:rsid w:val="00D76391"/>
    <w:rsid w:val="00D773F5"/>
    <w:rsid w:val="00D82614"/>
    <w:rsid w:val="00D829BE"/>
    <w:rsid w:val="00D83C22"/>
    <w:rsid w:val="00D8461B"/>
    <w:rsid w:val="00D85A78"/>
    <w:rsid w:val="00D910A0"/>
    <w:rsid w:val="00D92F57"/>
    <w:rsid w:val="00D9574B"/>
    <w:rsid w:val="00D96A2A"/>
    <w:rsid w:val="00DA12B7"/>
    <w:rsid w:val="00DA2C33"/>
    <w:rsid w:val="00DA42F6"/>
    <w:rsid w:val="00DA593D"/>
    <w:rsid w:val="00DA7A74"/>
    <w:rsid w:val="00DB1440"/>
    <w:rsid w:val="00DB17E9"/>
    <w:rsid w:val="00DB3A65"/>
    <w:rsid w:val="00DB5409"/>
    <w:rsid w:val="00DB5DFF"/>
    <w:rsid w:val="00DB6095"/>
    <w:rsid w:val="00DB691E"/>
    <w:rsid w:val="00DB70B1"/>
    <w:rsid w:val="00DB71C9"/>
    <w:rsid w:val="00DC0D4E"/>
    <w:rsid w:val="00DC1130"/>
    <w:rsid w:val="00DC1B48"/>
    <w:rsid w:val="00DC3C42"/>
    <w:rsid w:val="00DC4B54"/>
    <w:rsid w:val="00DC5E44"/>
    <w:rsid w:val="00DC658F"/>
    <w:rsid w:val="00DC6AA6"/>
    <w:rsid w:val="00DC7144"/>
    <w:rsid w:val="00DD183F"/>
    <w:rsid w:val="00DD1D2C"/>
    <w:rsid w:val="00DD2FA9"/>
    <w:rsid w:val="00DD4068"/>
    <w:rsid w:val="00DD569C"/>
    <w:rsid w:val="00DE1B9D"/>
    <w:rsid w:val="00DE1EBD"/>
    <w:rsid w:val="00DE264D"/>
    <w:rsid w:val="00DE2F64"/>
    <w:rsid w:val="00DE66B6"/>
    <w:rsid w:val="00DE6B90"/>
    <w:rsid w:val="00DE7F68"/>
    <w:rsid w:val="00DF145E"/>
    <w:rsid w:val="00DF155D"/>
    <w:rsid w:val="00DF18FD"/>
    <w:rsid w:val="00DF1EA3"/>
    <w:rsid w:val="00DF3B15"/>
    <w:rsid w:val="00DF3F56"/>
    <w:rsid w:val="00DF5382"/>
    <w:rsid w:val="00DF6DB0"/>
    <w:rsid w:val="00DF73BB"/>
    <w:rsid w:val="00DF75A3"/>
    <w:rsid w:val="00E0094B"/>
    <w:rsid w:val="00E011F5"/>
    <w:rsid w:val="00E01415"/>
    <w:rsid w:val="00E02267"/>
    <w:rsid w:val="00E03070"/>
    <w:rsid w:val="00E03701"/>
    <w:rsid w:val="00E043EB"/>
    <w:rsid w:val="00E046AC"/>
    <w:rsid w:val="00E04BB5"/>
    <w:rsid w:val="00E053DD"/>
    <w:rsid w:val="00E056CE"/>
    <w:rsid w:val="00E0683D"/>
    <w:rsid w:val="00E079DC"/>
    <w:rsid w:val="00E104F7"/>
    <w:rsid w:val="00E113D6"/>
    <w:rsid w:val="00E11565"/>
    <w:rsid w:val="00E12DB4"/>
    <w:rsid w:val="00E16EDB"/>
    <w:rsid w:val="00E214BD"/>
    <w:rsid w:val="00E23392"/>
    <w:rsid w:val="00E26620"/>
    <w:rsid w:val="00E31DD5"/>
    <w:rsid w:val="00E32A7D"/>
    <w:rsid w:val="00E346ED"/>
    <w:rsid w:val="00E34B60"/>
    <w:rsid w:val="00E35629"/>
    <w:rsid w:val="00E359FC"/>
    <w:rsid w:val="00E3741F"/>
    <w:rsid w:val="00E375B6"/>
    <w:rsid w:val="00E40344"/>
    <w:rsid w:val="00E4104F"/>
    <w:rsid w:val="00E42A07"/>
    <w:rsid w:val="00E4432D"/>
    <w:rsid w:val="00E456B3"/>
    <w:rsid w:val="00E465B9"/>
    <w:rsid w:val="00E478FD"/>
    <w:rsid w:val="00E47ADB"/>
    <w:rsid w:val="00E507E9"/>
    <w:rsid w:val="00E511A4"/>
    <w:rsid w:val="00E53691"/>
    <w:rsid w:val="00E55140"/>
    <w:rsid w:val="00E55518"/>
    <w:rsid w:val="00E5594F"/>
    <w:rsid w:val="00E614F3"/>
    <w:rsid w:val="00E62774"/>
    <w:rsid w:val="00E62CA0"/>
    <w:rsid w:val="00E6327A"/>
    <w:rsid w:val="00E643F1"/>
    <w:rsid w:val="00E649AA"/>
    <w:rsid w:val="00E66175"/>
    <w:rsid w:val="00E672F3"/>
    <w:rsid w:val="00E71102"/>
    <w:rsid w:val="00E723A4"/>
    <w:rsid w:val="00E73C03"/>
    <w:rsid w:val="00E73E75"/>
    <w:rsid w:val="00E74D7C"/>
    <w:rsid w:val="00E75F7B"/>
    <w:rsid w:val="00E76A1E"/>
    <w:rsid w:val="00E806F5"/>
    <w:rsid w:val="00E81123"/>
    <w:rsid w:val="00E8498D"/>
    <w:rsid w:val="00E86BE9"/>
    <w:rsid w:val="00E91E52"/>
    <w:rsid w:val="00E929E1"/>
    <w:rsid w:val="00E94709"/>
    <w:rsid w:val="00E97EF2"/>
    <w:rsid w:val="00EA1BD3"/>
    <w:rsid w:val="00EA2D84"/>
    <w:rsid w:val="00EA3149"/>
    <w:rsid w:val="00EB085F"/>
    <w:rsid w:val="00EB0FD9"/>
    <w:rsid w:val="00EB1EA5"/>
    <w:rsid w:val="00EB3C65"/>
    <w:rsid w:val="00EB45FD"/>
    <w:rsid w:val="00EB48A1"/>
    <w:rsid w:val="00EB49D7"/>
    <w:rsid w:val="00EB52CC"/>
    <w:rsid w:val="00EB54F9"/>
    <w:rsid w:val="00EB6016"/>
    <w:rsid w:val="00EB6C14"/>
    <w:rsid w:val="00EB7FC8"/>
    <w:rsid w:val="00EC00CD"/>
    <w:rsid w:val="00EC3A23"/>
    <w:rsid w:val="00EC4844"/>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434C"/>
    <w:rsid w:val="00EF5C8E"/>
    <w:rsid w:val="00EF7169"/>
    <w:rsid w:val="00F02BDF"/>
    <w:rsid w:val="00F036F6"/>
    <w:rsid w:val="00F0463B"/>
    <w:rsid w:val="00F05915"/>
    <w:rsid w:val="00F06C8A"/>
    <w:rsid w:val="00F10BEF"/>
    <w:rsid w:val="00F10C31"/>
    <w:rsid w:val="00F11E94"/>
    <w:rsid w:val="00F161FE"/>
    <w:rsid w:val="00F21984"/>
    <w:rsid w:val="00F23A8C"/>
    <w:rsid w:val="00F23D63"/>
    <w:rsid w:val="00F244AA"/>
    <w:rsid w:val="00F246A4"/>
    <w:rsid w:val="00F25380"/>
    <w:rsid w:val="00F25542"/>
    <w:rsid w:val="00F25575"/>
    <w:rsid w:val="00F2711B"/>
    <w:rsid w:val="00F2736C"/>
    <w:rsid w:val="00F31097"/>
    <w:rsid w:val="00F335F7"/>
    <w:rsid w:val="00F33A98"/>
    <w:rsid w:val="00F347E9"/>
    <w:rsid w:val="00F3532C"/>
    <w:rsid w:val="00F35E96"/>
    <w:rsid w:val="00F36E71"/>
    <w:rsid w:val="00F42190"/>
    <w:rsid w:val="00F46B89"/>
    <w:rsid w:val="00F47386"/>
    <w:rsid w:val="00F53FEC"/>
    <w:rsid w:val="00F549A5"/>
    <w:rsid w:val="00F54AFD"/>
    <w:rsid w:val="00F55FF3"/>
    <w:rsid w:val="00F5669C"/>
    <w:rsid w:val="00F5769F"/>
    <w:rsid w:val="00F57891"/>
    <w:rsid w:val="00F607F7"/>
    <w:rsid w:val="00F60DED"/>
    <w:rsid w:val="00F612A7"/>
    <w:rsid w:val="00F633E6"/>
    <w:rsid w:val="00F65B1B"/>
    <w:rsid w:val="00F66568"/>
    <w:rsid w:val="00F67675"/>
    <w:rsid w:val="00F70386"/>
    <w:rsid w:val="00F70620"/>
    <w:rsid w:val="00F708D3"/>
    <w:rsid w:val="00F71A0F"/>
    <w:rsid w:val="00F71BDD"/>
    <w:rsid w:val="00F748CB"/>
    <w:rsid w:val="00F76DDB"/>
    <w:rsid w:val="00F770C8"/>
    <w:rsid w:val="00F7730B"/>
    <w:rsid w:val="00F81797"/>
    <w:rsid w:val="00F81831"/>
    <w:rsid w:val="00F822AC"/>
    <w:rsid w:val="00F83DCA"/>
    <w:rsid w:val="00F848B6"/>
    <w:rsid w:val="00F84A6F"/>
    <w:rsid w:val="00F84AC6"/>
    <w:rsid w:val="00F84F1D"/>
    <w:rsid w:val="00F8522A"/>
    <w:rsid w:val="00F85C13"/>
    <w:rsid w:val="00F85D43"/>
    <w:rsid w:val="00F87402"/>
    <w:rsid w:val="00F87916"/>
    <w:rsid w:val="00F932F5"/>
    <w:rsid w:val="00F93BAA"/>
    <w:rsid w:val="00F960A4"/>
    <w:rsid w:val="00F975CE"/>
    <w:rsid w:val="00F97ED8"/>
    <w:rsid w:val="00FA1657"/>
    <w:rsid w:val="00FA78D8"/>
    <w:rsid w:val="00FB0A97"/>
    <w:rsid w:val="00FB117D"/>
    <w:rsid w:val="00FB1E9B"/>
    <w:rsid w:val="00FB25B4"/>
    <w:rsid w:val="00FB2E68"/>
    <w:rsid w:val="00FB39A4"/>
    <w:rsid w:val="00FB4618"/>
    <w:rsid w:val="00FB48A7"/>
    <w:rsid w:val="00FB55A0"/>
    <w:rsid w:val="00FB6950"/>
    <w:rsid w:val="00FB7BEB"/>
    <w:rsid w:val="00FC210F"/>
    <w:rsid w:val="00FC3526"/>
    <w:rsid w:val="00FC47E5"/>
    <w:rsid w:val="00FC49D8"/>
    <w:rsid w:val="00FC5873"/>
    <w:rsid w:val="00FC63BE"/>
    <w:rsid w:val="00FC6FA2"/>
    <w:rsid w:val="00FC793D"/>
    <w:rsid w:val="00FC7AE0"/>
    <w:rsid w:val="00FC7B8E"/>
    <w:rsid w:val="00FC7CC0"/>
    <w:rsid w:val="00FD077F"/>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2C1"/>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2">
    <w:name w:val="Unresolved Mention2"/>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CurrentList1">
    <w:name w:val="Current List1"/>
    <w:uiPriority w:val="99"/>
    <w:rsid w:val="008B50B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vin@mksinc.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mpattorney.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oek@mweb.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EA70-EAB5-4434-8FD2-BA392AED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Template.dotx</Template>
  <TotalTime>7</TotalTime>
  <Pages>15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sathish sarshan  mohan</cp:lastModifiedBy>
  <cp:revision>5</cp:revision>
  <cp:lastPrinted>2024-07-15T08:14:00Z</cp:lastPrinted>
  <dcterms:created xsi:type="dcterms:W3CDTF">2024-07-15T10:47:00Z</dcterms:created>
  <dcterms:modified xsi:type="dcterms:W3CDTF">2024-07-15T20:03:00Z</dcterms:modified>
</cp:coreProperties>
</file>