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1421" w14:textId="568409F3" w:rsidR="006C43D7" w:rsidRPr="006C43D7" w:rsidRDefault="006C43D7" w:rsidP="006C43D7">
      <w:pPr>
        <w:spacing w:after="120" w:line="360" w:lineRule="auto"/>
        <w:jc w:val="center"/>
        <w:rPr>
          <w:rFonts w:cs="Arial"/>
          <w:b/>
          <w:bCs/>
        </w:rPr>
      </w:pPr>
      <w:bookmarkStart w:id="0" w:name="_GoBack"/>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6B27F133" w:rsidR="006C43D7" w:rsidRPr="006C43D7" w:rsidRDefault="006C43D7" w:rsidP="006C43D7">
      <w:pPr>
        <w:spacing w:line="360" w:lineRule="auto"/>
        <w:jc w:val="right"/>
        <w:rPr>
          <w:b/>
        </w:rPr>
      </w:pPr>
      <w:r w:rsidRPr="006C43D7">
        <w:rPr>
          <w:b/>
        </w:rPr>
        <w:t xml:space="preserve">CASE NO: </w:t>
      </w:r>
      <w:r w:rsidR="00A27A51">
        <w:rPr>
          <w:b/>
        </w:rPr>
        <w:t>20</w:t>
      </w:r>
      <w:r w:rsidR="00D15731">
        <w:rPr>
          <w:b/>
        </w:rPr>
        <w:t>19</w:t>
      </w:r>
      <w:r w:rsidR="00A27A51">
        <w:rPr>
          <w:b/>
        </w:rPr>
        <w:t>/</w:t>
      </w:r>
      <w:r w:rsidR="00D15731">
        <w:rPr>
          <w:b/>
        </w:rPr>
        <w:t>40372</w:t>
      </w:r>
    </w:p>
    <w:p w14:paraId="0AF8DD38" w14:textId="77777777" w:rsidR="006C43D7" w:rsidRPr="006C43D7" w:rsidRDefault="006C43D7" w:rsidP="006C43D7">
      <w:pPr>
        <w:spacing w:line="360" w:lineRule="auto"/>
        <w:jc w:val="right"/>
      </w:pPr>
      <w:r w:rsidRPr="006C43D7">
        <w:rPr>
          <w:noProof/>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38B5C39A" w:rsidR="00D645C6" w:rsidRDefault="00FA2B2A" w:rsidP="00FA2B2A">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26D0F0E2" w:rsidR="00D645C6" w:rsidRPr="001D3CC2" w:rsidRDefault="00FA2B2A" w:rsidP="00FA2B2A">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175051">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38B5C39A" w:rsidR="00D645C6" w:rsidRDefault="00FA2B2A" w:rsidP="00FA2B2A">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26D0F0E2" w:rsidR="00D645C6" w:rsidRPr="001D3CC2" w:rsidRDefault="00FA2B2A" w:rsidP="00FA2B2A">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175051">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65EE98C6" w14:textId="77777777" w:rsidR="00AA7A76" w:rsidRPr="006C43D7" w:rsidRDefault="00AA7A76" w:rsidP="00AA7A76">
      <w:pPr>
        <w:spacing w:line="480" w:lineRule="auto"/>
        <w:jc w:val="both"/>
        <w:rPr>
          <w:rFonts w:cs="Arial"/>
          <w:szCs w:val="22"/>
        </w:rPr>
      </w:pPr>
      <w:r w:rsidRPr="006C43D7">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7A1D60" w14:paraId="4E86F7E7" w14:textId="77777777" w:rsidTr="00F4468A">
        <w:tc>
          <w:tcPr>
            <w:tcW w:w="6305" w:type="dxa"/>
          </w:tcPr>
          <w:p w14:paraId="74EE3EDE" w14:textId="1047A6C1" w:rsidR="002104BF" w:rsidRPr="0089562F" w:rsidRDefault="00D15731" w:rsidP="00AA7A76">
            <w:pPr>
              <w:spacing w:line="480" w:lineRule="auto"/>
              <w:jc w:val="both"/>
              <w:rPr>
                <w:rFonts w:cs="Arial"/>
                <w:b/>
                <w:szCs w:val="22"/>
              </w:rPr>
            </w:pPr>
            <w:r>
              <w:rPr>
                <w:rFonts w:cs="Arial"/>
                <w:b/>
                <w:szCs w:val="22"/>
              </w:rPr>
              <w:t>MASEHLA, TEBOGO MATHIBENG</w:t>
            </w:r>
          </w:p>
        </w:tc>
        <w:tc>
          <w:tcPr>
            <w:tcW w:w="2246" w:type="dxa"/>
          </w:tcPr>
          <w:p w14:paraId="72EECEF8" w14:textId="415A9154" w:rsidR="002104BF" w:rsidRDefault="00C93FBD" w:rsidP="00E61081">
            <w:pPr>
              <w:spacing w:line="480" w:lineRule="auto"/>
              <w:rPr>
                <w:rFonts w:cs="Arial"/>
                <w:szCs w:val="22"/>
              </w:rPr>
            </w:pPr>
            <w:r>
              <w:rPr>
                <w:rFonts w:cs="Arial"/>
                <w:szCs w:val="22"/>
              </w:rPr>
              <w:t>Applicant</w:t>
            </w:r>
          </w:p>
        </w:tc>
      </w:tr>
      <w:tr w:rsidR="007A1D60" w14:paraId="64E42908" w14:textId="77777777" w:rsidTr="00F4468A">
        <w:tc>
          <w:tcPr>
            <w:tcW w:w="6305" w:type="dxa"/>
          </w:tcPr>
          <w:p w14:paraId="6E1E5BEB" w14:textId="50CB6C2A" w:rsidR="002104BF" w:rsidRPr="00A22A14" w:rsidRDefault="00A22A14" w:rsidP="00A22A14">
            <w:pPr>
              <w:spacing w:line="480" w:lineRule="auto"/>
              <w:jc w:val="both"/>
              <w:rPr>
                <w:szCs w:val="22"/>
              </w:rPr>
            </w:pPr>
            <w:r>
              <w:rPr>
                <w:szCs w:val="22"/>
              </w:rPr>
              <w:t>a</w:t>
            </w:r>
            <w:r w:rsidR="002104BF" w:rsidRPr="00A22A14">
              <w:rPr>
                <w:szCs w:val="22"/>
              </w:rPr>
              <w:t>nd</w:t>
            </w:r>
          </w:p>
        </w:tc>
        <w:tc>
          <w:tcPr>
            <w:tcW w:w="2246" w:type="dxa"/>
          </w:tcPr>
          <w:p w14:paraId="1DB932F2" w14:textId="77777777" w:rsidR="002104BF" w:rsidRDefault="002104BF" w:rsidP="007237D1">
            <w:pPr>
              <w:spacing w:line="480" w:lineRule="auto"/>
              <w:jc w:val="right"/>
              <w:rPr>
                <w:rFonts w:cs="Arial"/>
                <w:szCs w:val="22"/>
              </w:rPr>
            </w:pPr>
          </w:p>
        </w:tc>
      </w:tr>
      <w:tr w:rsidR="007A1D60" w14:paraId="3BCAF70A" w14:textId="77777777" w:rsidTr="00F4468A">
        <w:tc>
          <w:tcPr>
            <w:tcW w:w="6305" w:type="dxa"/>
          </w:tcPr>
          <w:p w14:paraId="0E8BF73D" w14:textId="632E3EA1" w:rsidR="002104BF" w:rsidRDefault="00D15731" w:rsidP="00C549F4">
            <w:pPr>
              <w:spacing w:line="480" w:lineRule="auto"/>
              <w:jc w:val="both"/>
              <w:rPr>
                <w:b/>
                <w:szCs w:val="22"/>
              </w:rPr>
            </w:pPr>
            <w:r>
              <w:rPr>
                <w:b/>
                <w:szCs w:val="22"/>
              </w:rPr>
              <w:t>GANCA, NOLUSIBA</w:t>
            </w:r>
          </w:p>
        </w:tc>
        <w:tc>
          <w:tcPr>
            <w:tcW w:w="2246" w:type="dxa"/>
          </w:tcPr>
          <w:p w14:paraId="2A989CFA" w14:textId="35C12180" w:rsidR="002104BF" w:rsidRDefault="00C93FBD" w:rsidP="00E61081">
            <w:pPr>
              <w:spacing w:line="480" w:lineRule="auto"/>
              <w:rPr>
                <w:rFonts w:cs="Arial"/>
                <w:szCs w:val="22"/>
              </w:rPr>
            </w:pPr>
            <w:r>
              <w:rPr>
                <w:rFonts w:cs="Arial"/>
                <w:szCs w:val="22"/>
              </w:rPr>
              <w:t>First Respondent</w:t>
            </w:r>
          </w:p>
        </w:tc>
      </w:tr>
      <w:tr w:rsidR="00466300" w:rsidRPr="00466300" w14:paraId="726EF528" w14:textId="77777777" w:rsidTr="00F4468A">
        <w:tc>
          <w:tcPr>
            <w:tcW w:w="6305" w:type="dxa"/>
          </w:tcPr>
          <w:p w14:paraId="2DFA29E9" w14:textId="0DDD9FA8" w:rsidR="00466300" w:rsidRPr="00D15731" w:rsidRDefault="00D15731" w:rsidP="00C549F4">
            <w:pPr>
              <w:spacing w:line="480" w:lineRule="auto"/>
              <w:jc w:val="both"/>
              <w:rPr>
                <w:b/>
              </w:rPr>
            </w:pPr>
            <w:r w:rsidRPr="00D15731">
              <w:rPr>
                <w:b/>
              </w:rPr>
              <w:t xml:space="preserve">GANCA, </w:t>
            </w:r>
            <w:r>
              <w:rPr>
                <w:b/>
              </w:rPr>
              <w:t>SIMO-SIHLE</w:t>
            </w:r>
          </w:p>
        </w:tc>
        <w:tc>
          <w:tcPr>
            <w:tcW w:w="2246" w:type="dxa"/>
          </w:tcPr>
          <w:p w14:paraId="7126A403" w14:textId="76719B85" w:rsidR="00466300" w:rsidRPr="00466300" w:rsidRDefault="00466300" w:rsidP="00E61081">
            <w:pPr>
              <w:spacing w:line="480" w:lineRule="auto"/>
              <w:rPr>
                <w:rFonts w:cs="Arial"/>
                <w:bCs/>
                <w:i/>
                <w:iCs/>
                <w:szCs w:val="22"/>
              </w:rPr>
            </w:pPr>
            <w:r>
              <w:rPr>
                <w:rFonts w:cs="Arial"/>
                <w:szCs w:val="22"/>
              </w:rPr>
              <w:t>Second Respondent</w:t>
            </w:r>
          </w:p>
        </w:tc>
      </w:tr>
      <w:tr w:rsidR="00C93FBD" w:rsidRPr="00466300" w14:paraId="4DF1DC9E" w14:textId="77777777" w:rsidTr="00F4468A">
        <w:tc>
          <w:tcPr>
            <w:tcW w:w="6305" w:type="dxa"/>
          </w:tcPr>
          <w:p w14:paraId="670A8D49" w14:textId="77777777" w:rsidR="00D15731" w:rsidRDefault="00D15731" w:rsidP="00C549F4">
            <w:pPr>
              <w:spacing w:line="480" w:lineRule="auto"/>
              <w:jc w:val="both"/>
              <w:rPr>
                <w:bCs/>
                <w:i/>
                <w:iCs/>
              </w:rPr>
            </w:pPr>
          </w:p>
          <w:p w14:paraId="2BA8D4C3" w14:textId="584841A0" w:rsidR="00C93FBD" w:rsidRPr="00466300" w:rsidRDefault="00466300" w:rsidP="00C549F4">
            <w:pPr>
              <w:spacing w:line="480" w:lineRule="auto"/>
              <w:jc w:val="both"/>
              <w:rPr>
                <w:bCs/>
                <w:i/>
                <w:iCs/>
              </w:rPr>
            </w:pPr>
            <w:r w:rsidRPr="00466300">
              <w:rPr>
                <w:bCs/>
                <w:i/>
                <w:iCs/>
              </w:rPr>
              <w:t>In re</w:t>
            </w:r>
          </w:p>
        </w:tc>
        <w:tc>
          <w:tcPr>
            <w:tcW w:w="2246" w:type="dxa"/>
          </w:tcPr>
          <w:p w14:paraId="06F707C6" w14:textId="67A31536" w:rsidR="00C93FBD" w:rsidRPr="00466300" w:rsidRDefault="00C93FBD" w:rsidP="00E61081">
            <w:pPr>
              <w:spacing w:line="480" w:lineRule="auto"/>
              <w:rPr>
                <w:rFonts w:cs="Arial"/>
                <w:bCs/>
                <w:i/>
                <w:iCs/>
                <w:szCs w:val="22"/>
              </w:rPr>
            </w:pPr>
          </w:p>
        </w:tc>
      </w:tr>
      <w:tr w:rsidR="00466300" w14:paraId="29F14DFC" w14:textId="77777777" w:rsidTr="00F4468A">
        <w:tc>
          <w:tcPr>
            <w:tcW w:w="6305" w:type="dxa"/>
          </w:tcPr>
          <w:p w14:paraId="4267104A" w14:textId="4716355A" w:rsidR="00466300" w:rsidRDefault="00D15731" w:rsidP="00C549F4">
            <w:pPr>
              <w:spacing w:line="480" w:lineRule="auto"/>
              <w:jc w:val="both"/>
              <w:rPr>
                <w:b/>
              </w:rPr>
            </w:pPr>
            <w:r>
              <w:rPr>
                <w:b/>
                <w:szCs w:val="22"/>
              </w:rPr>
              <w:t>GANCA, NOLUSIBA</w:t>
            </w:r>
          </w:p>
        </w:tc>
        <w:tc>
          <w:tcPr>
            <w:tcW w:w="2246" w:type="dxa"/>
          </w:tcPr>
          <w:p w14:paraId="06E8BEED" w14:textId="20132720" w:rsidR="00466300" w:rsidRDefault="00D15731" w:rsidP="00E61081">
            <w:pPr>
              <w:spacing w:line="480" w:lineRule="auto"/>
              <w:rPr>
                <w:rFonts w:cs="Arial"/>
                <w:szCs w:val="22"/>
              </w:rPr>
            </w:pPr>
            <w:r>
              <w:rPr>
                <w:rFonts w:cs="Arial"/>
                <w:szCs w:val="22"/>
              </w:rPr>
              <w:t>First Plaintiff</w:t>
            </w:r>
          </w:p>
        </w:tc>
      </w:tr>
      <w:tr w:rsidR="00D15731" w14:paraId="1048A529" w14:textId="77777777" w:rsidTr="00F4468A">
        <w:tc>
          <w:tcPr>
            <w:tcW w:w="6305" w:type="dxa"/>
          </w:tcPr>
          <w:p w14:paraId="444998D9" w14:textId="04767595" w:rsidR="00D15731" w:rsidRPr="00466300" w:rsidRDefault="00D15731" w:rsidP="00C549F4">
            <w:pPr>
              <w:spacing w:line="480" w:lineRule="auto"/>
              <w:jc w:val="both"/>
              <w:rPr>
                <w:bCs/>
              </w:rPr>
            </w:pPr>
            <w:r w:rsidRPr="00D15731">
              <w:rPr>
                <w:b/>
              </w:rPr>
              <w:t xml:space="preserve">GANCA, </w:t>
            </w:r>
            <w:r>
              <w:rPr>
                <w:b/>
              </w:rPr>
              <w:t>SIMO-SIHLE</w:t>
            </w:r>
          </w:p>
        </w:tc>
        <w:tc>
          <w:tcPr>
            <w:tcW w:w="2246" w:type="dxa"/>
          </w:tcPr>
          <w:p w14:paraId="56798DFA" w14:textId="388FD697" w:rsidR="00D15731" w:rsidRDefault="00D15731" w:rsidP="00E61081">
            <w:pPr>
              <w:spacing w:line="480" w:lineRule="auto"/>
              <w:rPr>
                <w:rFonts w:cs="Arial"/>
                <w:szCs w:val="22"/>
              </w:rPr>
            </w:pPr>
            <w:r>
              <w:rPr>
                <w:rFonts w:cs="Arial"/>
                <w:szCs w:val="22"/>
              </w:rPr>
              <w:t>Second Plaintiff</w:t>
            </w:r>
          </w:p>
        </w:tc>
      </w:tr>
      <w:tr w:rsidR="00466300" w14:paraId="6343A1BE" w14:textId="77777777" w:rsidTr="00F4468A">
        <w:tc>
          <w:tcPr>
            <w:tcW w:w="6305" w:type="dxa"/>
          </w:tcPr>
          <w:p w14:paraId="5B0FD28E" w14:textId="43A1E9F0" w:rsidR="00466300" w:rsidRDefault="00466300" w:rsidP="00C549F4">
            <w:pPr>
              <w:spacing w:line="480" w:lineRule="auto"/>
              <w:jc w:val="both"/>
              <w:rPr>
                <w:b/>
              </w:rPr>
            </w:pPr>
            <w:r w:rsidRPr="00466300">
              <w:rPr>
                <w:bCs/>
              </w:rPr>
              <w:t>and</w:t>
            </w:r>
          </w:p>
        </w:tc>
        <w:tc>
          <w:tcPr>
            <w:tcW w:w="2246" w:type="dxa"/>
          </w:tcPr>
          <w:p w14:paraId="090D6E0D" w14:textId="77777777" w:rsidR="00466300" w:rsidRDefault="00466300" w:rsidP="00E61081">
            <w:pPr>
              <w:spacing w:line="480" w:lineRule="auto"/>
              <w:rPr>
                <w:rFonts w:cs="Arial"/>
                <w:szCs w:val="22"/>
              </w:rPr>
            </w:pPr>
          </w:p>
        </w:tc>
      </w:tr>
      <w:tr w:rsidR="00466300" w14:paraId="4C0ECF7C" w14:textId="77777777" w:rsidTr="00F4468A">
        <w:tc>
          <w:tcPr>
            <w:tcW w:w="6305" w:type="dxa"/>
          </w:tcPr>
          <w:p w14:paraId="6CF35568" w14:textId="53CFBD8A" w:rsidR="00466300" w:rsidRDefault="00AD7010" w:rsidP="00C549F4">
            <w:pPr>
              <w:spacing w:line="480" w:lineRule="auto"/>
              <w:jc w:val="both"/>
              <w:rPr>
                <w:b/>
              </w:rPr>
            </w:pPr>
            <w:r>
              <w:rPr>
                <w:rFonts w:cs="Arial"/>
                <w:b/>
                <w:szCs w:val="22"/>
              </w:rPr>
              <w:t>MASEHLA, TEBOGO MATHIBENG</w:t>
            </w:r>
          </w:p>
        </w:tc>
        <w:tc>
          <w:tcPr>
            <w:tcW w:w="2246" w:type="dxa"/>
          </w:tcPr>
          <w:p w14:paraId="4E2066A6" w14:textId="0AF43CCF" w:rsidR="00466300" w:rsidRDefault="00D15731" w:rsidP="00E61081">
            <w:pPr>
              <w:spacing w:line="480" w:lineRule="auto"/>
              <w:rPr>
                <w:rFonts w:cs="Arial"/>
                <w:szCs w:val="22"/>
              </w:rPr>
            </w:pPr>
            <w:r>
              <w:rPr>
                <w:rFonts w:cs="Arial"/>
                <w:szCs w:val="22"/>
              </w:rPr>
              <w:t>First Defendant</w:t>
            </w:r>
          </w:p>
        </w:tc>
      </w:tr>
      <w:tr w:rsidR="00D15731" w14:paraId="161611D1" w14:textId="77777777" w:rsidTr="00F4468A">
        <w:tc>
          <w:tcPr>
            <w:tcW w:w="6305" w:type="dxa"/>
          </w:tcPr>
          <w:p w14:paraId="3DD6BD60" w14:textId="41661424" w:rsidR="00D15731" w:rsidRDefault="00D15731" w:rsidP="00C549F4">
            <w:pPr>
              <w:spacing w:line="480" w:lineRule="auto"/>
              <w:jc w:val="both"/>
              <w:rPr>
                <w:rFonts w:cs="Arial"/>
                <w:b/>
              </w:rPr>
            </w:pPr>
            <w:r>
              <w:rPr>
                <w:rFonts w:cs="Arial"/>
                <w:b/>
              </w:rPr>
              <w:t>MATHIBENG, ADAM CHINAME</w:t>
            </w:r>
          </w:p>
        </w:tc>
        <w:tc>
          <w:tcPr>
            <w:tcW w:w="2246" w:type="dxa"/>
          </w:tcPr>
          <w:p w14:paraId="722BD1A1" w14:textId="45050613" w:rsidR="00D15731" w:rsidRDefault="00D15731" w:rsidP="00E61081">
            <w:pPr>
              <w:spacing w:line="480" w:lineRule="auto"/>
              <w:rPr>
                <w:rFonts w:cs="Arial"/>
                <w:szCs w:val="22"/>
              </w:rPr>
            </w:pPr>
            <w:r>
              <w:rPr>
                <w:rFonts w:cs="Arial"/>
                <w:szCs w:val="22"/>
              </w:rPr>
              <w:t>Second Defendant</w:t>
            </w:r>
          </w:p>
        </w:tc>
      </w:tr>
      <w:tr w:rsidR="00D15731" w14:paraId="300CD645" w14:textId="77777777" w:rsidTr="00F4468A">
        <w:tc>
          <w:tcPr>
            <w:tcW w:w="6305" w:type="dxa"/>
          </w:tcPr>
          <w:p w14:paraId="36DAF473" w14:textId="417DF6D4" w:rsidR="00D15731" w:rsidRDefault="00D15731" w:rsidP="00C549F4">
            <w:pPr>
              <w:spacing w:line="480" w:lineRule="auto"/>
              <w:jc w:val="both"/>
              <w:rPr>
                <w:rFonts w:cs="Arial"/>
                <w:b/>
              </w:rPr>
            </w:pPr>
            <w:r>
              <w:rPr>
                <w:rFonts w:cs="Arial"/>
                <w:b/>
              </w:rPr>
              <w:t>MOODLEY, RHONA</w:t>
            </w:r>
          </w:p>
        </w:tc>
        <w:tc>
          <w:tcPr>
            <w:tcW w:w="2246" w:type="dxa"/>
          </w:tcPr>
          <w:p w14:paraId="08E0B859" w14:textId="4E46B3D2" w:rsidR="00D15731" w:rsidRDefault="00D15731" w:rsidP="00E61081">
            <w:pPr>
              <w:spacing w:line="480" w:lineRule="auto"/>
              <w:rPr>
                <w:rFonts w:cs="Arial"/>
                <w:szCs w:val="22"/>
              </w:rPr>
            </w:pPr>
            <w:r>
              <w:rPr>
                <w:rFonts w:cs="Arial"/>
                <w:szCs w:val="22"/>
              </w:rPr>
              <w:t>Third Defendant</w:t>
            </w:r>
          </w:p>
        </w:tc>
      </w:tr>
    </w:tbl>
    <w:p w14:paraId="64CFD117" w14:textId="77777777" w:rsidR="00CE6301" w:rsidRDefault="00CE6301" w:rsidP="006C43D7">
      <w:pPr>
        <w:pBdr>
          <w:bottom w:val="single" w:sz="4" w:space="1" w:color="auto"/>
        </w:pBdr>
        <w:spacing w:line="360" w:lineRule="auto"/>
        <w:jc w:val="both"/>
        <w:rPr>
          <w:rFonts w:cs="Arial"/>
          <w:szCs w:val="22"/>
        </w:rPr>
      </w:pPr>
    </w:p>
    <w:p w14:paraId="0B72B0BB" w14:textId="77777777" w:rsidR="00D15731" w:rsidRDefault="00D15731" w:rsidP="006C43D7">
      <w:pPr>
        <w:pBdr>
          <w:bottom w:val="single" w:sz="4" w:space="1" w:color="auto"/>
        </w:pBdr>
        <w:spacing w:line="360" w:lineRule="auto"/>
        <w:jc w:val="both"/>
        <w:rPr>
          <w:rFonts w:cs="Arial"/>
          <w:szCs w:val="22"/>
        </w:rPr>
      </w:pPr>
    </w:p>
    <w:p w14:paraId="29E52EFC" w14:textId="77777777" w:rsidR="00D15731" w:rsidRPr="006C43D7" w:rsidRDefault="00D15731"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0CA76DA1" w14:textId="77777777" w:rsidR="00DC621D" w:rsidRDefault="00DC621D" w:rsidP="00DC621D">
      <w:pPr>
        <w:spacing w:line="480" w:lineRule="auto"/>
        <w:jc w:val="both"/>
        <w:rPr>
          <w:rFonts w:cs="Arial"/>
          <w:b/>
          <w:szCs w:val="22"/>
        </w:rPr>
      </w:pPr>
    </w:p>
    <w:p w14:paraId="5BD82EFE" w14:textId="0F8FBF70" w:rsidR="00BE6AB8" w:rsidRPr="00BE6AB8" w:rsidRDefault="00C676F3" w:rsidP="00BE6AB8">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09239A78" w14:textId="202EF25D" w:rsidR="00C460A0" w:rsidRDefault="00C460A0" w:rsidP="00653BA4">
      <w:pPr>
        <w:keepNext/>
        <w:spacing w:after="480" w:line="480" w:lineRule="auto"/>
        <w:jc w:val="both"/>
        <w:rPr>
          <w:rFonts w:cs="Arial"/>
          <w:bCs/>
          <w:i/>
          <w:iCs/>
          <w:szCs w:val="20"/>
          <w:u w:val="single"/>
        </w:rPr>
      </w:pPr>
      <w:r w:rsidRPr="003D19C3">
        <w:rPr>
          <w:rFonts w:cs="Arial"/>
          <w:bCs/>
          <w:i/>
          <w:iCs/>
          <w:szCs w:val="20"/>
          <w:u w:val="single"/>
        </w:rPr>
        <w:t>Summary</w:t>
      </w:r>
    </w:p>
    <w:p w14:paraId="6F7BE16A" w14:textId="31E46BBA" w:rsidR="00B31510" w:rsidRDefault="00B31510" w:rsidP="00653BA4">
      <w:pPr>
        <w:keepNext/>
        <w:spacing w:after="480" w:line="480" w:lineRule="auto"/>
        <w:jc w:val="both"/>
        <w:rPr>
          <w:rFonts w:eastAsia="Calibri" w:cs="Arial"/>
          <w:i/>
          <w:iCs/>
          <w:szCs w:val="22"/>
        </w:rPr>
      </w:pPr>
      <w:r>
        <w:rPr>
          <w:rFonts w:cs="Arial"/>
          <w:bCs/>
          <w:i/>
          <w:iCs/>
          <w:szCs w:val="22"/>
        </w:rPr>
        <w:t xml:space="preserve">Application for leave to appeal – section </w:t>
      </w:r>
      <w:r w:rsidRPr="00B31510">
        <w:rPr>
          <w:rFonts w:eastAsia="Calibri" w:cs="Arial"/>
          <w:i/>
          <w:iCs/>
          <w:szCs w:val="22"/>
        </w:rPr>
        <w:t>17(1)(a)(i) and (ii) of the Superior Courts Act</w:t>
      </w:r>
      <w:r>
        <w:rPr>
          <w:rFonts w:eastAsia="Calibri" w:cs="Arial"/>
          <w:i/>
          <w:iCs/>
          <w:szCs w:val="22"/>
        </w:rPr>
        <w:t xml:space="preserve"> 10 of 2013 – reasonable prospects of success</w:t>
      </w:r>
      <w:r w:rsidR="00915ABF">
        <w:rPr>
          <w:rFonts w:eastAsia="Calibri" w:cs="Arial"/>
          <w:i/>
          <w:iCs/>
          <w:szCs w:val="22"/>
        </w:rPr>
        <w:t xml:space="preserve"> – absence of</w:t>
      </w:r>
    </w:p>
    <w:p w14:paraId="7B313046" w14:textId="77777777" w:rsidR="00B31510" w:rsidRPr="00B31510" w:rsidRDefault="00B31510" w:rsidP="00653BA4">
      <w:pPr>
        <w:keepNext/>
        <w:spacing w:after="480" w:line="480" w:lineRule="auto"/>
        <w:jc w:val="both"/>
        <w:rPr>
          <w:rFonts w:cs="Arial"/>
          <w:bCs/>
          <w:i/>
          <w:iCs/>
          <w:szCs w:val="22"/>
          <w:u w:val="single"/>
        </w:rPr>
      </w:pPr>
    </w:p>
    <w:p w14:paraId="18AFD427" w14:textId="514F6FAB"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25A66E53" w14:textId="369FAD87" w:rsidR="00DC6EF8" w:rsidRPr="005B696E" w:rsidRDefault="00FA2B2A" w:rsidP="00FA2B2A">
      <w:pPr>
        <w:tabs>
          <w:tab w:val="left" w:pos="567"/>
        </w:tabs>
        <w:spacing w:after="480" w:line="480" w:lineRule="auto"/>
        <w:jc w:val="both"/>
        <w:rPr>
          <w:rFonts w:cs="Arial"/>
          <w:bCs/>
          <w:szCs w:val="22"/>
        </w:rPr>
      </w:pPr>
      <w:r w:rsidRPr="005B696E">
        <w:rPr>
          <w:rFonts w:cs="Arial"/>
          <w:bCs/>
          <w:szCs w:val="22"/>
        </w:rPr>
        <w:t>[1]</w:t>
      </w:r>
      <w:r w:rsidRPr="005B696E">
        <w:rPr>
          <w:rFonts w:cs="Arial"/>
          <w:bCs/>
          <w:szCs w:val="22"/>
        </w:rPr>
        <w:tab/>
      </w:r>
      <w:r w:rsidR="003B4100">
        <w:rPr>
          <w:rFonts w:cs="Arial"/>
          <w:bCs/>
          <w:szCs w:val="22"/>
        </w:rPr>
        <w:t xml:space="preserve">In this </w:t>
      </w:r>
      <w:r w:rsidR="00B56906">
        <w:rPr>
          <w:rFonts w:cs="Arial"/>
          <w:bCs/>
          <w:szCs w:val="22"/>
        </w:rPr>
        <w:t xml:space="preserve">matter </w:t>
      </w:r>
      <w:r w:rsidR="00C460A0">
        <w:rPr>
          <w:rFonts w:cs="Arial"/>
          <w:bCs/>
          <w:szCs w:val="22"/>
        </w:rPr>
        <w:t>I ma</w:t>
      </w:r>
      <w:r w:rsidR="00DF5291">
        <w:rPr>
          <w:rFonts w:cs="Arial"/>
          <w:bCs/>
          <w:szCs w:val="22"/>
        </w:rPr>
        <w:t>k</w:t>
      </w:r>
      <w:r w:rsidR="00DC6EF8">
        <w:rPr>
          <w:rFonts w:cs="Arial"/>
          <w:bCs/>
          <w:szCs w:val="22"/>
        </w:rPr>
        <w:t>e</w:t>
      </w:r>
      <w:r w:rsidR="00C460A0">
        <w:rPr>
          <w:rFonts w:cs="Arial"/>
          <w:bCs/>
          <w:szCs w:val="22"/>
        </w:rPr>
        <w:t xml:space="preserve"> the following order:</w:t>
      </w:r>
    </w:p>
    <w:p w14:paraId="2C90C30F" w14:textId="7308E0A9" w:rsidR="00DF5291" w:rsidRPr="00FA2B2A" w:rsidRDefault="00FA2B2A" w:rsidP="00FA2B2A">
      <w:pPr>
        <w:spacing w:before="120" w:after="120"/>
        <w:ind w:left="360" w:hanging="360"/>
        <w:rPr>
          <w:i/>
          <w:iCs/>
        </w:rPr>
      </w:pPr>
      <w:r>
        <w:rPr>
          <w:i/>
          <w:iCs/>
        </w:rPr>
        <w:t>1.</w:t>
      </w:r>
      <w:r>
        <w:rPr>
          <w:i/>
          <w:iCs/>
        </w:rPr>
        <w:tab/>
      </w:r>
      <w:r w:rsidR="00466300" w:rsidRPr="00FA2B2A">
        <w:rPr>
          <w:i/>
          <w:iCs/>
        </w:rPr>
        <w:t>The application</w:t>
      </w:r>
      <w:r w:rsidR="007A3A5A" w:rsidRPr="00FA2B2A">
        <w:rPr>
          <w:i/>
          <w:iCs/>
        </w:rPr>
        <w:t xml:space="preserve"> for leave to appeal</w:t>
      </w:r>
      <w:r w:rsidR="00466300" w:rsidRPr="00FA2B2A">
        <w:rPr>
          <w:i/>
          <w:iCs/>
        </w:rPr>
        <w:t xml:space="preserve"> is dismissed;</w:t>
      </w:r>
    </w:p>
    <w:p w14:paraId="03582D32" w14:textId="4CDF0BE5" w:rsidR="00DF5291" w:rsidRPr="00FA2B2A" w:rsidRDefault="00FA2B2A" w:rsidP="00FA2B2A">
      <w:pPr>
        <w:spacing w:before="120" w:after="120"/>
        <w:ind w:left="360" w:hanging="360"/>
        <w:rPr>
          <w:i/>
          <w:iCs/>
        </w:rPr>
      </w:pPr>
      <w:r>
        <w:rPr>
          <w:i/>
          <w:iCs/>
        </w:rPr>
        <w:t>2.</w:t>
      </w:r>
      <w:r>
        <w:rPr>
          <w:i/>
          <w:iCs/>
        </w:rPr>
        <w:tab/>
      </w:r>
      <w:r w:rsidR="00466300" w:rsidRPr="00FA2B2A">
        <w:rPr>
          <w:i/>
          <w:iCs/>
        </w:rPr>
        <w:t xml:space="preserve">The </w:t>
      </w:r>
      <w:r w:rsidR="00915ABF" w:rsidRPr="00FA2B2A">
        <w:rPr>
          <w:i/>
          <w:iCs/>
        </w:rPr>
        <w:t>applicant in the application for leave to appeal</w:t>
      </w:r>
      <w:r w:rsidR="001B1D06" w:rsidRPr="00FA2B2A">
        <w:rPr>
          <w:i/>
          <w:iCs/>
        </w:rPr>
        <w:t xml:space="preserve"> i</w:t>
      </w:r>
      <w:r w:rsidR="00DE10C4" w:rsidRPr="00FA2B2A">
        <w:rPr>
          <w:i/>
          <w:iCs/>
        </w:rPr>
        <w:t>s</w:t>
      </w:r>
      <w:r w:rsidR="00466300" w:rsidRPr="00FA2B2A">
        <w:rPr>
          <w:i/>
          <w:iCs/>
        </w:rPr>
        <w:t xml:space="preserve"> ordered to pay the costs of the application</w:t>
      </w:r>
      <w:r w:rsidR="00D15731" w:rsidRPr="00FA2B2A">
        <w:rPr>
          <w:i/>
          <w:iCs/>
        </w:rPr>
        <w:t>.</w:t>
      </w:r>
    </w:p>
    <w:p w14:paraId="3B893A85" w14:textId="77777777" w:rsidR="00DF5291" w:rsidRPr="00466300" w:rsidRDefault="00DF5291" w:rsidP="00466300">
      <w:pPr>
        <w:spacing w:before="120" w:after="120"/>
        <w:rPr>
          <w:i/>
          <w:iCs/>
        </w:rPr>
      </w:pPr>
    </w:p>
    <w:p w14:paraId="5493FAA1" w14:textId="77777777" w:rsidR="00B16F69" w:rsidRPr="00B16F69" w:rsidRDefault="00B16F69" w:rsidP="00B16F69">
      <w:pPr>
        <w:spacing w:before="120" w:after="120"/>
        <w:rPr>
          <w:i/>
          <w:iCs/>
        </w:rPr>
      </w:pPr>
    </w:p>
    <w:p w14:paraId="08540072" w14:textId="1B46751E" w:rsidR="00C9310B" w:rsidRPr="00FA2B2A" w:rsidRDefault="00FA2B2A" w:rsidP="00FA2B2A">
      <w:pPr>
        <w:widowControl w:val="0"/>
        <w:tabs>
          <w:tab w:val="left" w:pos="567"/>
        </w:tabs>
        <w:spacing w:before="480" w:after="480" w:line="360" w:lineRule="auto"/>
        <w:jc w:val="both"/>
        <w:rPr>
          <w:rFonts w:cs="Arial"/>
          <w:bCs/>
          <w:szCs w:val="22"/>
          <w:u w:val="single"/>
        </w:rPr>
      </w:pPr>
      <w:r w:rsidRPr="00DC621D">
        <w:rPr>
          <w:rFonts w:cs="Arial"/>
          <w:bCs/>
          <w:szCs w:val="22"/>
        </w:rPr>
        <w:t>[2]</w:t>
      </w:r>
      <w:r w:rsidRPr="00DC621D">
        <w:rPr>
          <w:rFonts w:cs="Arial"/>
          <w:bCs/>
          <w:szCs w:val="22"/>
        </w:rPr>
        <w:tab/>
      </w:r>
      <w:r w:rsidR="00573FF9" w:rsidRPr="00FA2B2A">
        <w:rPr>
          <w:rFonts w:cs="Arial"/>
          <w:bCs/>
          <w:szCs w:val="22"/>
        </w:rPr>
        <w:t xml:space="preserve">The reasons for the order </w:t>
      </w:r>
      <w:r w:rsidR="00A63709" w:rsidRPr="00FA2B2A">
        <w:rPr>
          <w:rFonts w:cs="Arial"/>
          <w:bCs/>
          <w:szCs w:val="22"/>
        </w:rPr>
        <w:t>follow</w:t>
      </w:r>
      <w:r w:rsidR="00573FF9" w:rsidRPr="00FA2B2A">
        <w:rPr>
          <w:rFonts w:cs="Arial"/>
          <w:bCs/>
          <w:szCs w:val="22"/>
        </w:rPr>
        <w:t xml:space="preserve"> below.</w:t>
      </w:r>
    </w:p>
    <w:p w14:paraId="4D9C7018" w14:textId="77777777" w:rsidR="00856204" w:rsidRDefault="00856204" w:rsidP="00A3283B">
      <w:pPr>
        <w:widowControl w:val="0"/>
        <w:spacing w:before="480" w:after="480" w:line="360" w:lineRule="auto"/>
        <w:jc w:val="both"/>
        <w:rPr>
          <w:rFonts w:cs="Arial"/>
          <w:bCs/>
          <w:szCs w:val="22"/>
          <w:u w:val="single"/>
        </w:rPr>
      </w:pPr>
    </w:p>
    <w:p w14:paraId="50138F75" w14:textId="1322917F" w:rsidR="00EC38E3" w:rsidRPr="00143036" w:rsidRDefault="00466300" w:rsidP="00FE4133">
      <w:pPr>
        <w:keepNext/>
        <w:widowControl w:val="0"/>
        <w:spacing w:before="480" w:after="480" w:line="360" w:lineRule="auto"/>
        <w:jc w:val="both"/>
        <w:rPr>
          <w:rFonts w:cs="Arial"/>
          <w:bCs/>
          <w:szCs w:val="22"/>
          <w:u w:val="single"/>
        </w:rPr>
      </w:pPr>
      <w:r>
        <w:rPr>
          <w:rFonts w:cs="Arial"/>
          <w:bCs/>
          <w:szCs w:val="22"/>
          <w:u w:val="single"/>
        </w:rPr>
        <w:t>Introduction</w:t>
      </w:r>
    </w:p>
    <w:p w14:paraId="022F48E2" w14:textId="438E1AAA" w:rsidR="00B31510" w:rsidRPr="00B31510" w:rsidRDefault="00FA2B2A" w:rsidP="00FA2B2A">
      <w:pPr>
        <w:keepNext/>
        <w:widowControl w:val="0"/>
        <w:tabs>
          <w:tab w:val="left" w:pos="567"/>
        </w:tabs>
        <w:autoSpaceDE w:val="0"/>
        <w:autoSpaceDN w:val="0"/>
        <w:adjustRightInd w:val="0"/>
        <w:spacing w:before="480" w:after="480" w:line="360" w:lineRule="auto"/>
        <w:jc w:val="both"/>
        <w:rPr>
          <w:rFonts w:cs="Arial"/>
          <w:i/>
          <w:iCs/>
          <w:szCs w:val="22"/>
          <w:lang w:eastAsia="en-ZA"/>
        </w:rPr>
      </w:pPr>
      <w:r w:rsidRPr="00B31510">
        <w:rPr>
          <w:rFonts w:cs="Arial"/>
          <w:iCs/>
          <w:szCs w:val="22"/>
          <w:lang w:eastAsia="en-ZA"/>
        </w:rPr>
        <w:t>[3]</w:t>
      </w:r>
      <w:r w:rsidRPr="00B31510">
        <w:rPr>
          <w:rFonts w:cs="Arial"/>
          <w:iCs/>
          <w:szCs w:val="22"/>
          <w:lang w:eastAsia="en-ZA"/>
        </w:rPr>
        <w:tab/>
      </w:r>
      <w:r w:rsidR="003F31DC">
        <w:rPr>
          <w:rFonts w:cs="Arial"/>
          <w:szCs w:val="22"/>
          <w:lang w:val="en-GB" w:eastAsia="en-ZA"/>
        </w:rPr>
        <w:t>This is an application for leave to appeal a judgment</w:t>
      </w:r>
      <w:r w:rsidR="009867EA">
        <w:rPr>
          <w:rStyle w:val="FootnoteReference"/>
          <w:rFonts w:cs="Arial"/>
          <w:szCs w:val="22"/>
          <w:lang w:val="en-GB" w:eastAsia="en-ZA"/>
        </w:rPr>
        <w:footnoteReference w:id="1"/>
      </w:r>
      <w:r w:rsidR="003F31DC">
        <w:rPr>
          <w:rFonts w:cs="Arial"/>
          <w:szCs w:val="22"/>
          <w:lang w:val="en-GB" w:eastAsia="en-ZA"/>
        </w:rPr>
        <w:t xml:space="preserve"> handed down by me </w:t>
      </w:r>
      <w:r w:rsidR="00B31510">
        <w:rPr>
          <w:rFonts w:cs="Arial"/>
          <w:szCs w:val="22"/>
          <w:lang w:val="en-GB" w:eastAsia="en-ZA"/>
        </w:rPr>
        <w:t xml:space="preserve">on 16 </w:t>
      </w:r>
      <w:r w:rsidR="00B31510">
        <w:rPr>
          <w:rFonts w:cs="Arial"/>
          <w:szCs w:val="22"/>
          <w:lang w:val="en-GB" w:eastAsia="en-ZA"/>
        </w:rPr>
        <w:lastRenderedPageBreak/>
        <w:t>October 2023 in an application for the upliftment of a bar</w:t>
      </w:r>
      <w:r w:rsidR="003F31DC">
        <w:rPr>
          <w:rFonts w:cs="Arial"/>
          <w:szCs w:val="22"/>
          <w:lang w:val="en-GB" w:eastAsia="en-ZA"/>
        </w:rPr>
        <w:t xml:space="preserve">. </w:t>
      </w:r>
    </w:p>
    <w:p w14:paraId="5C560CA3" w14:textId="709E40F7" w:rsidR="00237633" w:rsidRPr="00A05D30" w:rsidRDefault="00AC7078" w:rsidP="00B31510">
      <w:pPr>
        <w:keepNext/>
        <w:widowControl w:val="0"/>
        <w:autoSpaceDE w:val="0"/>
        <w:autoSpaceDN w:val="0"/>
        <w:adjustRightInd w:val="0"/>
        <w:spacing w:before="480" w:after="480" w:line="360" w:lineRule="auto"/>
        <w:jc w:val="both"/>
        <w:rPr>
          <w:rFonts w:cs="Arial"/>
          <w:i/>
          <w:iCs/>
          <w:szCs w:val="22"/>
          <w:lang w:eastAsia="en-ZA"/>
        </w:rPr>
      </w:pPr>
      <w:r w:rsidRPr="00237633">
        <w:rPr>
          <w:rFonts w:cs="Arial"/>
          <w:szCs w:val="22"/>
          <w:lang w:val="en-GB" w:eastAsia="en-ZA"/>
        </w:rPr>
        <w:t xml:space="preserve">For the sake of convenience I refer </w:t>
      </w:r>
      <w:r w:rsidR="0054745F">
        <w:rPr>
          <w:rFonts w:cs="Arial"/>
          <w:szCs w:val="22"/>
          <w:lang w:val="en-GB" w:eastAsia="en-ZA"/>
        </w:rPr>
        <w:t xml:space="preserve">below </w:t>
      </w:r>
      <w:r w:rsidRPr="00237633">
        <w:rPr>
          <w:rFonts w:cs="Arial"/>
          <w:szCs w:val="22"/>
          <w:lang w:val="en-GB" w:eastAsia="en-ZA"/>
        </w:rPr>
        <w:t xml:space="preserve">to the parties as they </w:t>
      </w:r>
      <w:r w:rsidR="004763B3">
        <w:rPr>
          <w:rFonts w:cs="Arial"/>
          <w:szCs w:val="22"/>
          <w:lang w:val="en-GB" w:eastAsia="en-ZA"/>
        </w:rPr>
        <w:t>are</w:t>
      </w:r>
      <w:r w:rsidRPr="00237633">
        <w:rPr>
          <w:rFonts w:cs="Arial"/>
          <w:szCs w:val="22"/>
          <w:lang w:val="en-GB" w:eastAsia="en-ZA"/>
        </w:rPr>
        <w:t xml:space="preserve"> referred to in the</w:t>
      </w:r>
      <w:r w:rsidR="003F31DC">
        <w:rPr>
          <w:rFonts w:cs="Arial"/>
          <w:szCs w:val="22"/>
          <w:lang w:val="en-GB" w:eastAsia="en-ZA"/>
        </w:rPr>
        <w:t xml:space="preserve"> application and in the action:</w:t>
      </w:r>
      <w:r w:rsidRPr="00237633">
        <w:rPr>
          <w:rFonts w:cs="Arial"/>
          <w:szCs w:val="22"/>
          <w:lang w:val="en-GB" w:eastAsia="en-ZA"/>
        </w:rPr>
        <w:t xml:space="preserve"> </w:t>
      </w:r>
      <w:r w:rsidR="00BD1446" w:rsidRPr="00237633">
        <w:rPr>
          <w:rFonts w:cs="Arial"/>
          <w:szCs w:val="22"/>
          <w:lang w:val="en-GB" w:eastAsia="en-ZA"/>
        </w:rPr>
        <w:t>The applicant in this application is the first defendant in the action and is referred to as such.</w:t>
      </w:r>
    </w:p>
    <w:p w14:paraId="73242B0E" w14:textId="77777777" w:rsidR="003F31DC" w:rsidRDefault="003F31DC" w:rsidP="007A3A5A">
      <w:pPr>
        <w:keepNext/>
        <w:widowControl w:val="0"/>
        <w:spacing w:before="480" w:after="480" w:line="480" w:lineRule="auto"/>
        <w:jc w:val="both"/>
        <w:rPr>
          <w:rFonts w:cs="Arial"/>
          <w:bCs/>
          <w:szCs w:val="22"/>
          <w:u w:val="single"/>
        </w:rPr>
      </w:pPr>
      <w:bookmarkStart w:id="1" w:name="_Hlk146086241"/>
    </w:p>
    <w:p w14:paraId="7B520D25" w14:textId="3A3089D3" w:rsidR="007A3A5A" w:rsidRPr="00637554" w:rsidRDefault="007A3A5A" w:rsidP="007A3A5A">
      <w:pPr>
        <w:keepNext/>
        <w:widowControl w:val="0"/>
        <w:spacing w:before="480" w:after="480" w:line="480" w:lineRule="auto"/>
        <w:jc w:val="both"/>
        <w:rPr>
          <w:rFonts w:cs="Arial"/>
          <w:bCs/>
          <w:szCs w:val="22"/>
          <w:u w:val="single"/>
        </w:rPr>
      </w:pPr>
      <w:r w:rsidRPr="00637554">
        <w:rPr>
          <w:rFonts w:cs="Arial"/>
          <w:bCs/>
          <w:szCs w:val="22"/>
          <w:u w:val="single"/>
        </w:rPr>
        <w:t>The applicable principles in an application for leave to appeal</w:t>
      </w:r>
    </w:p>
    <w:p w14:paraId="15CF46F8" w14:textId="05D53481" w:rsidR="007A3A5A" w:rsidRPr="00637554" w:rsidRDefault="00FA2B2A" w:rsidP="00FA2B2A">
      <w:pPr>
        <w:keepNext/>
        <w:widowControl w:val="0"/>
        <w:tabs>
          <w:tab w:val="left" w:pos="567"/>
        </w:tabs>
        <w:spacing w:before="480" w:after="480" w:line="480" w:lineRule="auto"/>
        <w:jc w:val="both"/>
        <w:rPr>
          <w:rFonts w:cs="Arial"/>
          <w:bCs/>
          <w:szCs w:val="22"/>
        </w:rPr>
      </w:pPr>
      <w:r w:rsidRPr="00637554">
        <w:rPr>
          <w:rFonts w:cs="Arial"/>
          <w:bCs/>
          <w:szCs w:val="22"/>
        </w:rPr>
        <w:t>[4]</w:t>
      </w:r>
      <w:r w:rsidRPr="00637554">
        <w:rPr>
          <w:rFonts w:cs="Arial"/>
          <w:bCs/>
          <w:szCs w:val="22"/>
        </w:rPr>
        <w:tab/>
      </w:r>
      <w:r w:rsidR="007A3A5A" w:rsidRPr="00637554">
        <w:rPr>
          <w:rFonts w:eastAsia="Calibri" w:cs="Arial"/>
          <w:szCs w:val="22"/>
        </w:rPr>
        <w:t>Section 17(1)(a)(i) and (ii) of the Superior Courts Act</w:t>
      </w:r>
      <w:r w:rsidR="00B31510">
        <w:rPr>
          <w:rFonts w:eastAsia="Calibri" w:cs="Arial"/>
          <w:szCs w:val="22"/>
        </w:rPr>
        <w:t>, 10 of 2013</w:t>
      </w:r>
      <w:r w:rsidR="007A3A5A" w:rsidRPr="00637554">
        <w:rPr>
          <w:rFonts w:eastAsia="Calibri" w:cs="Arial"/>
          <w:szCs w:val="22"/>
        </w:rPr>
        <w:t xml:space="preserve"> provides that leave to appeal may only be given where the judge or judges concerned are of the opinion that the appeal would have a reasonable prospect of success or there is some other compelling reason why the appeal should be heard, including conflicting judgments on the matter under consideration.</w:t>
      </w:r>
      <w:r w:rsidR="007A3A5A" w:rsidRPr="00637554">
        <w:rPr>
          <w:rFonts w:cs="Arial"/>
          <w:szCs w:val="22"/>
        </w:rPr>
        <w:t xml:space="preserve"> Once such an opinion is formed leave may not be refused. Importantly, a </w:t>
      </w:r>
      <w:r w:rsidR="005C76EE">
        <w:rPr>
          <w:rFonts w:cs="Arial"/>
          <w:szCs w:val="22"/>
        </w:rPr>
        <w:t>j</w:t>
      </w:r>
      <w:r w:rsidR="007A3A5A" w:rsidRPr="00637554">
        <w:rPr>
          <w:rFonts w:cs="Arial"/>
          <w:szCs w:val="22"/>
        </w:rPr>
        <w:t>udge hearing an application for leave to appeal is not called upon to decide if his or her decision was right or wrong.</w:t>
      </w:r>
    </w:p>
    <w:p w14:paraId="4BE25BC1" w14:textId="1E60E245" w:rsidR="007A3A5A" w:rsidRPr="00637554" w:rsidRDefault="00FA2B2A" w:rsidP="00FA2B2A">
      <w:pPr>
        <w:tabs>
          <w:tab w:val="left" w:pos="567"/>
        </w:tabs>
        <w:spacing w:before="480" w:after="480" w:line="480" w:lineRule="auto"/>
        <w:jc w:val="both"/>
        <w:rPr>
          <w:rFonts w:cs="Arial"/>
          <w:bCs/>
          <w:szCs w:val="22"/>
        </w:rPr>
      </w:pPr>
      <w:r w:rsidRPr="00637554">
        <w:rPr>
          <w:rFonts w:cs="Arial"/>
          <w:bCs/>
          <w:szCs w:val="22"/>
        </w:rPr>
        <w:t>[5]</w:t>
      </w:r>
      <w:r w:rsidRPr="00637554">
        <w:rPr>
          <w:rFonts w:cs="Arial"/>
          <w:bCs/>
          <w:szCs w:val="22"/>
        </w:rPr>
        <w:tab/>
      </w:r>
      <w:r w:rsidR="007A3A5A" w:rsidRPr="00637554">
        <w:rPr>
          <w:rFonts w:eastAsia="Calibri" w:cs="Arial"/>
          <w:szCs w:val="22"/>
        </w:rPr>
        <w:t xml:space="preserve">In </w:t>
      </w:r>
      <w:r w:rsidR="007A3A5A" w:rsidRPr="00637554">
        <w:rPr>
          <w:rFonts w:eastAsia="Calibri" w:cs="Arial"/>
          <w:i/>
          <w:iCs/>
          <w:szCs w:val="22"/>
        </w:rPr>
        <w:t>KwaZulu-Natal Law Society v Sharma</w:t>
      </w:r>
      <w:r w:rsidR="007A3A5A" w:rsidRPr="00637554">
        <w:rPr>
          <w:rStyle w:val="FootnoteReference"/>
          <w:rFonts w:eastAsia="Calibri" w:cs="Arial"/>
          <w:i/>
          <w:iCs/>
          <w:szCs w:val="22"/>
        </w:rPr>
        <w:footnoteReference w:id="2"/>
      </w:r>
      <w:r w:rsidR="007A3A5A" w:rsidRPr="00637554">
        <w:rPr>
          <w:rFonts w:eastAsia="Calibri" w:cs="Arial"/>
          <w:szCs w:val="22"/>
        </w:rPr>
        <w:t xml:space="preserve"> Van Zyl J held that the test enunciated in </w:t>
      </w:r>
      <w:r w:rsidR="007A3A5A" w:rsidRPr="00637554">
        <w:rPr>
          <w:rFonts w:eastAsia="Calibri" w:cs="Arial"/>
          <w:i/>
          <w:iCs/>
          <w:szCs w:val="22"/>
        </w:rPr>
        <w:t>S v Smith</w:t>
      </w:r>
      <w:r w:rsidR="007A3A5A" w:rsidRPr="00637554">
        <w:rPr>
          <w:rStyle w:val="FootnoteReference"/>
          <w:rFonts w:eastAsia="Calibri" w:cs="Arial"/>
          <w:i/>
          <w:iCs/>
          <w:szCs w:val="22"/>
        </w:rPr>
        <w:footnoteReference w:id="3"/>
      </w:r>
      <w:r w:rsidR="007A3A5A" w:rsidRPr="00637554">
        <w:rPr>
          <w:rFonts w:eastAsia="Calibri" w:cs="Arial"/>
          <w:szCs w:val="22"/>
        </w:rPr>
        <w:t xml:space="preserve"> still holds good under the Act of 2013. An appellant must convince the court of appeal that the prospects of success are not remote but have a realistic chance of succeeding. A mere possibility of success is not enough. There must be a sound and rational basis for the conclusion that there are reasonable prospect of success on appeal.</w:t>
      </w:r>
    </w:p>
    <w:p w14:paraId="45E6D5C7" w14:textId="344035E8" w:rsidR="007A3A5A" w:rsidRPr="00637554" w:rsidRDefault="00FA2B2A" w:rsidP="00FA2B2A">
      <w:pPr>
        <w:tabs>
          <w:tab w:val="left" w:pos="567"/>
        </w:tabs>
        <w:spacing w:before="480" w:after="480" w:line="480" w:lineRule="auto"/>
        <w:jc w:val="both"/>
        <w:rPr>
          <w:rFonts w:cs="Arial"/>
          <w:bCs/>
          <w:szCs w:val="22"/>
        </w:rPr>
      </w:pPr>
      <w:r w:rsidRPr="00637554">
        <w:rPr>
          <w:rFonts w:cs="Arial"/>
          <w:bCs/>
          <w:szCs w:val="22"/>
        </w:rPr>
        <w:lastRenderedPageBreak/>
        <w:t>[6]</w:t>
      </w:r>
      <w:r w:rsidRPr="00637554">
        <w:rPr>
          <w:rFonts w:cs="Arial"/>
          <w:bCs/>
          <w:szCs w:val="22"/>
        </w:rPr>
        <w:tab/>
      </w:r>
      <w:r w:rsidR="007A3A5A" w:rsidRPr="00637554">
        <w:rPr>
          <w:rFonts w:eastAsia="Calibri" w:cs="Arial"/>
          <w:szCs w:val="22"/>
        </w:rPr>
        <w:t xml:space="preserve">In an </w:t>
      </w:r>
      <w:r w:rsidR="007A3A5A" w:rsidRPr="00637554">
        <w:rPr>
          <w:rFonts w:eastAsia="Calibri" w:cs="Arial"/>
          <w:i/>
          <w:iCs/>
          <w:szCs w:val="22"/>
        </w:rPr>
        <w:t>obiter dictum</w:t>
      </w:r>
      <w:r w:rsidR="007A3A5A" w:rsidRPr="00637554">
        <w:rPr>
          <w:rFonts w:eastAsia="Calibri" w:cs="Arial"/>
          <w:szCs w:val="22"/>
        </w:rPr>
        <w:t xml:space="preserve"> the Land Claims Court in </w:t>
      </w:r>
      <w:r w:rsidR="007A3A5A" w:rsidRPr="00637554">
        <w:rPr>
          <w:rFonts w:eastAsia="Calibri" w:cs="Arial"/>
          <w:i/>
          <w:iCs/>
          <w:szCs w:val="22"/>
        </w:rPr>
        <w:t xml:space="preserve">Mont Chevaux Trust </w:t>
      </w:r>
      <w:r w:rsidR="007A3A5A" w:rsidRPr="00637554">
        <w:rPr>
          <w:rFonts w:cs="Arial"/>
          <w:i/>
          <w:iCs/>
          <w:szCs w:val="22"/>
        </w:rPr>
        <w:t xml:space="preserve">(IT 2012/28) </w:t>
      </w:r>
      <w:r w:rsidR="007A3A5A" w:rsidRPr="00637554">
        <w:rPr>
          <w:rFonts w:eastAsia="Calibri" w:cs="Arial"/>
          <w:i/>
          <w:iCs/>
          <w:szCs w:val="22"/>
        </w:rPr>
        <w:t>v Tina Goosen</w:t>
      </w:r>
      <w:r w:rsidR="007A3A5A" w:rsidRPr="00637554">
        <w:rPr>
          <w:rStyle w:val="FootnoteReference"/>
          <w:rFonts w:eastAsia="Calibri" w:cs="Arial"/>
          <w:i/>
          <w:iCs/>
          <w:szCs w:val="22"/>
        </w:rPr>
        <w:footnoteReference w:id="4"/>
      </w:r>
      <w:r w:rsidR="007A3A5A" w:rsidRPr="00637554">
        <w:rPr>
          <w:rFonts w:eastAsia="Calibri" w:cs="Arial"/>
          <w:szCs w:val="22"/>
        </w:rPr>
        <w:t xml:space="preserve"> held that the test for leave to appeal is more stringent under the Superior Courts Act of 2013 than it was under the repealed Supreme Court Act, 59 of 1959. The sentiment in </w:t>
      </w:r>
      <w:r w:rsidR="007A3A5A" w:rsidRPr="00637554">
        <w:rPr>
          <w:rFonts w:eastAsia="Calibri" w:cs="Arial"/>
          <w:i/>
          <w:iCs/>
          <w:szCs w:val="22"/>
        </w:rPr>
        <w:t>Mont Chevaux Trust</w:t>
      </w:r>
      <w:r w:rsidR="007A3A5A" w:rsidRPr="00637554">
        <w:rPr>
          <w:rFonts w:eastAsia="Calibri" w:cs="Arial"/>
          <w:szCs w:val="22"/>
        </w:rPr>
        <w:t xml:space="preserve"> was echoed in the Supreme Court of Appeal by Shongwe JA in </w:t>
      </w:r>
      <w:r w:rsidR="007A3A5A" w:rsidRPr="00637554">
        <w:rPr>
          <w:rFonts w:eastAsia="Calibri" w:cs="Arial"/>
          <w:i/>
          <w:iCs/>
          <w:szCs w:val="22"/>
        </w:rPr>
        <w:t>S v Notshokovu</w:t>
      </w:r>
      <w:r w:rsidR="007A3A5A" w:rsidRPr="00637554">
        <w:rPr>
          <w:rStyle w:val="FootnoteReference"/>
          <w:rFonts w:eastAsia="Calibri" w:cs="Arial"/>
          <w:szCs w:val="22"/>
        </w:rPr>
        <w:footnoteReference w:id="5"/>
      </w:r>
      <w:r w:rsidR="007A3A5A" w:rsidRPr="00637554">
        <w:rPr>
          <w:rFonts w:eastAsia="Calibri" w:cs="Arial"/>
          <w:i/>
          <w:iCs/>
          <w:szCs w:val="22"/>
        </w:rPr>
        <w:t xml:space="preserve"> </w:t>
      </w:r>
      <w:r w:rsidR="007A3A5A" w:rsidRPr="00637554">
        <w:rPr>
          <w:rFonts w:eastAsia="Calibri" w:cs="Arial"/>
          <w:szCs w:val="22"/>
        </w:rPr>
        <w:t xml:space="preserve">and by </w:t>
      </w:r>
      <w:r w:rsidR="007A3A5A" w:rsidRPr="00637554">
        <w:rPr>
          <w:rFonts w:cs="Arial"/>
          <w:color w:val="000000"/>
          <w:szCs w:val="22"/>
          <w:shd w:val="clear" w:color="auto" w:fill="FFFFFF"/>
        </w:rPr>
        <w:t xml:space="preserve">Schippers AJA in </w:t>
      </w:r>
      <w:r w:rsidR="007A3A5A" w:rsidRPr="00637554">
        <w:rPr>
          <w:rFonts w:cs="Arial"/>
          <w:i/>
          <w:iCs/>
          <w:szCs w:val="22"/>
          <w:lang w:eastAsia="en-ZA"/>
        </w:rPr>
        <w:t>Member of the Executive Council for Health, Eastern Cape v Mkhitha and another,</w:t>
      </w:r>
      <w:r w:rsidR="007A3A5A" w:rsidRPr="00637554">
        <w:rPr>
          <w:rStyle w:val="FootnoteReference"/>
          <w:rFonts w:cs="Arial"/>
          <w:i/>
          <w:iCs/>
          <w:szCs w:val="22"/>
          <w:lang w:eastAsia="en-ZA"/>
        </w:rPr>
        <w:footnoteReference w:id="6"/>
      </w:r>
      <w:r w:rsidR="007A3A5A" w:rsidRPr="00637554">
        <w:rPr>
          <w:rFonts w:eastAsia="Calibri" w:cs="Arial"/>
          <w:szCs w:val="22"/>
        </w:rPr>
        <w:t xml:space="preserve"> where the learned Justice </w:t>
      </w:r>
      <w:r w:rsidR="007A3A5A" w:rsidRPr="00637554">
        <w:rPr>
          <w:rFonts w:cs="Arial"/>
          <w:color w:val="000000"/>
          <w:szCs w:val="22"/>
          <w:shd w:val="clear" w:color="auto" w:fill="FFFFFF"/>
        </w:rPr>
        <w:t>said:</w:t>
      </w:r>
    </w:p>
    <w:p w14:paraId="43A404E4" w14:textId="77777777" w:rsidR="007A3A5A" w:rsidRPr="00637554" w:rsidRDefault="007A3A5A" w:rsidP="007A3A5A">
      <w:pPr>
        <w:spacing w:before="480" w:after="480" w:line="360" w:lineRule="auto"/>
        <w:ind w:left="1440"/>
        <w:jc w:val="both"/>
        <w:rPr>
          <w:rFonts w:cs="Arial"/>
          <w:bCs/>
          <w:color w:val="000000" w:themeColor="text1"/>
          <w:szCs w:val="22"/>
        </w:rPr>
      </w:pPr>
      <w:r w:rsidRPr="00637554">
        <w:rPr>
          <w:rFonts w:cs="Arial"/>
          <w:i/>
          <w:iCs/>
          <w:color w:val="000000" w:themeColor="text1"/>
          <w:szCs w:val="22"/>
          <w:shd w:val="clear" w:color="auto" w:fill="FFFFFF"/>
        </w:rPr>
        <w:t>“[16]  Once again it is necessary to say that leave to appeal, especially to this Court, must not be granted unless there truly is a reasonable prospect of success. Section 17(1)(a) of the Superior Courts Act 10 of 2013 makes it clear that leave to appeal may only be given where the judge concerned is of the opinion that the appeal </w:t>
      </w:r>
      <w:r w:rsidRPr="003F31DC">
        <w:rPr>
          <w:rFonts w:cs="Arial"/>
          <w:i/>
          <w:iCs/>
          <w:color w:val="000000" w:themeColor="text1"/>
          <w:szCs w:val="22"/>
          <w:shd w:val="clear" w:color="auto" w:fill="FFFFFF"/>
        </w:rPr>
        <w:t>would</w:t>
      </w:r>
      <w:r w:rsidRPr="00637554">
        <w:rPr>
          <w:rFonts w:cs="Arial"/>
          <w:i/>
          <w:iCs/>
          <w:color w:val="000000" w:themeColor="text1"/>
          <w:szCs w:val="22"/>
          <w:shd w:val="clear" w:color="auto" w:fill="FFFFFF"/>
        </w:rPr>
        <w:t> have a reasonable prospect of success; or there is some other compelling reason why it should be heard.”</w:t>
      </w:r>
    </w:p>
    <w:p w14:paraId="065C7141" w14:textId="204FE63B" w:rsidR="007A3A5A" w:rsidRPr="00637554" w:rsidRDefault="00FA2B2A" w:rsidP="00FA2B2A">
      <w:pPr>
        <w:widowControl w:val="0"/>
        <w:tabs>
          <w:tab w:val="left" w:pos="567"/>
        </w:tabs>
        <w:spacing w:before="480" w:after="480" w:line="360" w:lineRule="auto"/>
        <w:jc w:val="both"/>
        <w:rPr>
          <w:rFonts w:cs="Arial"/>
          <w:bCs/>
          <w:szCs w:val="22"/>
        </w:rPr>
      </w:pPr>
      <w:r w:rsidRPr="00637554">
        <w:rPr>
          <w:rFonts w:cs="Arial"/>
          <w:bCs/>
          <w:szCs w:val="22"/>
        </w:rPr>
        <w:t>[7]</w:t>
      </w:r>
      <w:r w:rsidRPr="00637554">
        <w:rPr>
          <w:rFonts w:cs="Arial"/>
          <w:bCs/>
          <w:szCs w:val="22"/>
        </w:rPr>
        <w:tab/>
      </w:r>
      <w:r w:rsidR="007A3A5A" w:rsidRPr="00637554">
        <w:rPr>
          <w:rFonts w:cs="Arial"/>
          <w:bCs/>
          <w:szCs w:val="22"/>
        </w:rPr>
        <w:t xml:space="preserve">In </w:t>
      </w:r>
      <w:r w:rsidR="007A3A5A" w:rsidRPr="00637554">
        <w:rPr>
          <w:rStyle w:val="searchhit"/>
          <w:rFonts w:cs="Arial"/>
          <w:i/>
          <w:iCs/>
          <w:color w:val="000000"/>
          <w:szCs w:val="22"/>
          <w:bdr w:val="none" w:sz="0" w:space="0" w:color="auto" w:frame="1"/>
          <w:shd w:val="clear" w:color="auto" w:fill="F9F9F9"/>
        </w:rPr>
        <w:t>Ramakatsa</w:t>
      </w:r>
      <w:r w:rsidR="007A3A5A" w:rsidRPr="00637554">
        <w:rPr>
          <w:rFonts w:cs="Arial"/>
          <w:i/>
          <w:iCs/>
          <w:color w:val="000000"/>
          <w:szCs w:val="22"/>
          <w:shd w:val="clear" w:color="auto" w:fill="F9F9F9"/>
        </w:rPr>
        <w:t> and others v African National Congress and another</w:t>
      </w:r>
      <w:r w:rsidR="007A3A5A" w:rsidRPr="00637554">
        <w:rPr>
          <w:rStyle w:val="FootnoteReference"/>
          <w:rFonts w:cs="Arial"/>
          <w:bCs/>
          <w:i/>
          <w:iCs/>
          <w:szCs w:val="22"/>
        </w:rPr>
        <w:t xml:space="preserve"> </w:t>
      </w:r>
      <w:r w:rsidR="007A3A5A" w:rsidRPr="00637554">
        <w:rPr>
          <w:rStyle w:val="FootnoteReference"/>
          <w:rFonts w:cs="Arial"/>
          <w:bCs/>
          <w:i/>
          <w:iCs/>
          <w:szCs w:val="22"/>
        </w:rPr>
        <w:footnoteReference w:id="7"/>
      </w:r>
      <w:r w:rsidR="007A3A5A" w:rsidRPr="00637554">
        <w:rPr>
          <w:rFonts w:cs="Arial"/>
          <w:bCs/>
          <w:i/>
          <w:iCs/>
          <w:szCs w:val="22"/>
        </w:rPr>
        <w:t xml:space="preserve"> </w:t>
      </w:r>
      <w:r w:rsidR="007A3A5A" w:rsidRPr="00637554">
        <w:rPr>
          <w:rFonts w:cs="Arial"/>
          <w:bCs/>
          <w:szCs w:val="22"/>
        </w:rPr>
        <w:t xml:space="preserve"> Dlodlo JA placed the authorities in perspective. </w:t>
      </w:r>
      <w:r w:rsidR="007A3A5A">
        <w:rPr>
          <w:rFonts w:cs="Arial"/>
          <w:bCs/>
          <w:szCs w:val="22"/>
        </w:rPr>
        <w:t>The Learned Justice of Appeal</w:t>
      </w:r>
      <w:r w:rsidR="007A3A5A" w:rsidRPr="00637554">
        <w:rPr>
          <w:rFonts w:cs="Arial"/>
          <w:bCs/>
          <w:szCs w:val="22"/>
        </w:rPr>
        <w:t xml:space="preserve"> said:</w:t>
      </w:r>
    </w:p>
    <w:bookmarkEnd w:id="1"/>
    <w:p w14:paraId="23717699" w14:textId="77777777" w:rsidR="007A3A5A" w:rsidRPr="00637554" w:rsidRDefault="007A3A5A" w:rsidP="007A3A5A">
      <w:pPr>
        <w:widowControl w:val="0"/>
        <w:spacing w:before="480" w:after="480" w:line="360" w:lineRule="auto"/>
        <w:ind w:left="1440"/>
        <w:jc w:val="both"/>
        <w:rPr>
          <w:rFonts w:cs="Arial"/>
          <w:bCs/>
          <w:szCs w:val="22"/>
          <w:u w:val="single"/>
        </w:rPr>
      </w:pPr>
      <w:r w:rsidRPr="00637554">
        <w:rPr>
          <w:rFonts w:cs="Arial"/>
          <w:bCs/>
          <w:i/>
          <w:iCs/>
          <w:szCs w:val="22"/>
        </w:rPr>
        <w:t xml:space="preserve">“[10] </w:t>
      </w:r>
      <w:r w:rsidRPr="00637554">
        <w:rPr>
          <w:rFonts w:cs="Arial"/>
          <w:i/>
          <w:iCs/>
          <w:szCs w:val="22"/>
        </w:rPr>
        <w:t>..</w:t>
      </w:r>
      <w:r w:rsidRPr="00637554">
        <w:rPr>
          <w:rFonts w:cs="Arial"/>
          <w:bCs/>
          <w:i/>
          <w:iCs/>
          <w:szCs w:val="22"/>
        </w:rPr>
        <w:t xml:space="preserve"> </w:t>
      </w:r>
      <w:r w:rsidRPr="00637554">
        <w:rPr>
          <w:rFonts w:cs="Arial"/>
          <w:i/>
          <w:iCs/>
          <w:szCs w:val="22"/>
        </w:rPr>
        <w:t xml:space="preserve">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w:t>
      </w:r>
      <w:r w:rsidRPr="00637554">
        <w:rPr>
          <w:rFonts w:cs="Arial"/>
          <w:i/>
          <w:iCs/>
          <w:szCs w:val="22"/>
        </w:rPr>
        <w:lastRenderedPageBreak/>
        <w:t>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w:t>
      </w:r>
      <w:r w:rsidRPr="00637554">
        <w:rPr>
          <w:rFonts w:cs="Arial"/>
          <w:bCs/>
          <w:i/>
          <w:iCs/>
          <w:szCs w:val="22"/>
        </w:rPr>
        <w:t>”</w:t>
      </w:r>
    </w:p>
    <w:p w14:paraId="0AEAABA1" w14:textId="77777777" w:rsidR="00A05D30" w:rsidRDefault="00A05D30" w:rsidP="00A05D30">
      <w:pPr>
        <w:widowControl w:val="0"/>
        <w:autoSpaceDE w:val="0"/>
        <w:autoSpaceDN w:val="0"/>
        <w:adjustRightInd w:val="0"/>
        <w:spacing w:before="480" w:after="480" w:line="360" w:lineRule="auto"/>
        <w:jc w:val="both"/>
        <w:rPr>
          <w:rFonts w:cs="Arial"/>
          <w:szCs w:val="22"/>
          <w:lang w:val="en-GB" w:eastAsia="en-ZA"/>
        </w:rPr>
      </w:pPr>
    </w:p>
    <w:p w14:paraId="579471B1" w14:textId="212D1B24" w:rsidR="00A05D30" w:rsidRPr="004A45F1" w:rsidRDefault="00080BF7" w:rsidP="00A05D30">
      <w:pPr>
        <w:widowControl w:val="0"/>
        <w:autoSpaceDE w:val="0"/>
        <w:autoSpaceDN w:val="0"/>
        <w:adjustRightInd w:val="0"/>
        <w:spacing w:before="480" w:after="480" w:line="360" w:lineRule="auto"/>
        <w:jc w:val="both"/>
        <w:rPr>
          <w:rFonts w:cs="Arial"/>
          <w:i/>
          <w:iCs/>
          <w:szCs w:val="22"/>
          <w:u w:val="single"/>
          <w:lang w:eastAsia="en-ZA"/>
        </w:rPr>
      </w:pPr>
      <w:r>
        <w:rPr>
          <w:rFonts w:cs="Arial"/>
          <w:szCs w:val="22"/>
          <w:u w:val="single"/>
          <w:lang w:val="en-GB" w:eastAsia="en-ZA"/>
        </w:rPr>
        <w:t>The judgment</w:t>
      </w:r>
    </w:p>
    <w:p w14:paraId="214465BD" w14:textId="2D890748" w:rsidR="00080BF7" w:rsidRPr="00080BF7" w:rsidRDefault="00FA2B2A" w:rsidP="00FA2B2A">
      <w:pPr>
        <w:widowControl w:val="0"/>
        <w:tabs>
          <w:tab w:val="left" w:pos="567"/>
        </w:tabs>
        <w:autoSpaceDE w:val="0"/>
        <w:autoSpaceDN w:val="0"/>
        <w:adjustRightInd w:val="0"/>
        <w:spacing w:before="480" w:after="480" w:line="360" w:lineRule="auto"/>
        <w:jc w:val="both"/>
        <w:rPr>
          <w:rFonts w:cs="Arial"/>
          <w:i/>
          <w:iCs/>
          <w:szCs w:val="22"/>
          <w:lang w:eastAsia="en-ZA"/>
        </w:rPr>
      </w:pPr>
      <w:r w:rsidRPr="00080BF7">
        <w:rPr>
          <w:rFonts w:cs="Arial"/>
          <w:iCs/>
          <w:szCs w:val="22"/>
          <w:lang w:eastAsia="en-ZA"/>
        </w:rPr>
        <w:t>[8]</w:t>
      </w:r>
      <w:r w:rsidRPr="00080BF7">
        <w:rPr>
          <w:rFonts w:cs="Arial"/>
          <w:iCs/>
          <w:szCs w:val="22"/>
          <w:lang w:eastAsia="en-ZA"/>
        </w:rPr>
        <w:tab/>
      </w:r>
      <w:r w:rsidR="00080BF7" w:rsidRPr="00080BF7">
        <w:rPr>
          <w:rFonts w:cs="Arial"/>
          <w:szCs w:val="22"/>
          <w:lang w:val="en-GB" w:eastAsia="en-ZA"/>
        </w:rPr>
        <w:t>In the judgment of 16 October 2023 I dealt with the contract between the parties in paragraphs 4 to 6</w:t>
      </w:r>
      <w:r w:rsidR="00080BF7">
        <w:rPr>
          <w:rFonts w:cs="Arial"/>
          <w:szCs w:val="22"/>
          <w:lang w:val="en-GB" w:eastAsia="en-ZA"/>
        </w:rPr>
        <w:t xml:space="preserve">, </w:t>
      </w:r>
      <w:r w:rsidR="00B64957">
        <w:rPr>
          <w:rFonts w:cs="Arial"/>
          <w:szCs w:val="22"/>
          <w:lang w:val="en-GB" w:eastAsia="en-ZA"/>
        </w:rPr>
        <w:t>with the bar in paragraphs 7 to 8, with the application for removal of the bar in paragraphs 9 to 11</w:t>
      </w:r>
      <w:r w:rsidR="004D0F01">
        <w:rPr>
          <w:rFonts w:cs="Arial"/>
          <w:szCs w:val="22"/>
          <w:lang w:val="en-GB" w:eastAsia="en-ZA"/>
        </w:rPr>
        <w:t>, with rule 27(1) and the requirements of good cause in paragraphs 12 to 18, and with prescription in paragraph 19</w:t>
      </w:r>
      <w:r w:rsidR="00B64957">
        <w:rPr>
          <w:rFonts w:cs="Arial"/>
          <w:szCs w:val="22"/>
          <w:lang w:val="en-GB" w:eastAsia="en-ZA"/>
        </w:rPr>
        <w:t>.</w:t>
      </w:r>
      <w:r w:rsidR="003F31DC">
        <w:rPr>
          <w:rFonts w:cs="Arial"/>
          <w:szCs w:val="22"/>
          <w:lang w:val="en-GB" w:eastAsia="en-ZA"/>
        </w:rPr>
        <w:t xml:space="preserve"> I point out however that the reference to December 2016 in paragraph 4 of the judgment is incorrect and that the contract was entered into in September 2016.</w:t>
      </w:r>
    </w:p>
    <w:p w14:paraId="632028FE" w14:textId="06C0CD1A" w:rsidR="003F31DC" w:rsidRPr="003F31DC" w:rsidRDefault="00FA2B2A" w:rsidP="00FA2B2A">
      <w:pPr>
        <w:widowControl w:val="0"/>
        <w:tabs>
          <w:tab w:val="left" w:pos="567"/>
        </w:tabs>
        <w:autoSpaceDE w:val="0"/>
        <w:autoSpaceDN w:val="0"/>
        <w:adjustRightInd w:val="0"/>
        <w:spacing w:before="480" w:after="480" w:line="360" w:lineRule="auto"/>
        <w:jc w:val="both"/>
        <w:rPr>
          <w:rFonts w:cs="Arial"/>
          <w:i/>
          <w:iCs/>
          <w:szCs w:val="22"/>
          <w:lang w:eastAsia="en-ZA"/>
        </w:rPr>
      </w:pPr>
      <w:r w:rsidRPr="003F31DC">
        <w:rPr>
          <w:rFonts w:cs="Arial"/>
          <w:iCs/>
          <w:szCs w:val="22"/>
          <w:lang w:eastAsia="en-ZA"/>
        </w:rPr>
        <w:t>[9]</w:t>
      </w:r>
      <w:r w:rsidRPr="003F31DC">
        <w:rPr>
          <w:rFonts w:cs="Arial"/>
          <w:iCs/>
          <w:szCs w:val="22"/>
          <w:lang w:eastAsia="en-ZA"/>
        </w:rPr>
        <w:tab/>
      </w:r>
      <w:r w:rsidR="003F31DC">
        <w:rPr>
          <w:rFonts w:cs="Arial"/>
          <w:szCs w:val="22"/>
          <w:lang w:eastAsia="en-ZA"/>
        </w:rPr>
        <w:t>The following dates are important:</w:t>
      </w:r>
    </w:p>
    <w:p w14:paraId="59F3B268" w14:textId="73A7C86C" w:rsidR="003F31DC" w:rsidRPr="003F31DC" w:rsidRDefault="00FA2B2A" w:rsidP="00FA2B2A">
      <w:pPr>
        <w:widowControl w:val="0"/>
        <w:tabs>
          <w:tab w:val="left" w:pos="1418"/>
        </w:tabs>
        <w:autoSpaceDE w:val="0"/>
        <w:autoSpaceDN w:val="0"/>
        <w:adjustRightInd w:val="0"/>
        <w:spacing w:before="480" w:after="480" w:line="360" w:lineRule="auto"/>
        <w:ind w:left="1418" w:hanging="851"/>
        <w:jc w:val="both"/>
        <w:rPr>
          <w:rFonts w:cs="Arial"/>
          <w:szCs w:val="22"/>
          <w:lang w:eastAsia="en-ZA"/>
        </w:rPr>
      </w:pPr>
      <w:r w:rsidRPr="003F31DC">
        <w:rPr>
          <w:rFonts w:cs="Arial"/>
          <w:szCs w:val="22"/>
          <w:lang w:eastAsia="en-ZA"/>
        </w:rPr>
        <w:t>9.1</w:t>
      </w:r>
      <w:r w:rsidRPr="003F31DC">
        <w:rPr>
          <w:rFonts w:cs="Arial"/>
          <w:szCs w:val="22"/>
          <w:lang w:eastAsia="en-ZA"/>
        </w:rPr>
        <w:tab/>
      </w:r>
      <w:r w:rsidR="003F31DC" w:rsidRPr="003F31DC">
        <w:rPr>
          <w:rFonts w:cs="Arial"/>
          <w:szCs w:val="22"/>
          <w:lang w:val="en-GB" w:eastAsia="en-ZA"/>
        </w:rPr>
        <w:t xml:space="preserve">September 2016: </w:t>
      </w:r>
      <w:r w:rsidR="003F31DC">
        <w:rPr>
          <w:rFonts w:cs="Arial"/>
          <w:szCs w:val="22"/>
          <w:lang w:val="en-GB" w:eastAsia="en-ZA"/>
        </w:rPr>
        <w:t>Contract of sale concluded:</w:t>
      </w:r>
    </w:p>
    <w:p w14:paraId="66A89335" w14:textId="6453887B" w:rsidR="003F31DC" w:rsidRPr="00996178" w:rsidRDefault="00FA2B2A" w:rsidP="00FA2B2A">
      <w:pPr>
        <w:widowControl w:val="0"/>
        <w:tabs>
          <w:tab w:val="left" w:pos="1418"/>
        </w:tabs>
        <w:autoSpaceDE w:val="0"/>
        <w:autoSpaceDN w:val="0"/>
        <w:adjustRightInd w:val="0"/>
        <w:spacing w:before="480" w:after="480" w:line="360" w:lineRule="auto"/>
        <w:ind w:left="1418" w:hanging="851"/>
        <w:jc w:val="both"/>
        <w:rPr>
          <w:rFonts w:cs="Arial"/>
          <w:i/>
          <w:iCs/>
          <w:szCs w:val="22"/>
          <w:lang w:eastAsia="en-ZA"/>
        </w:rPr>
      </w:pPr>
      <w:r w:rsidRPr="00996178">
        <w:rPr>
          <w:rFonts w:cs="Arial"/>
          <w:i/>
          <w:iCs/>
          <w:szCs w:val="22"/>
          <w:lang w:eastAsia="en-ZA"/>
        </w:rPr>
        <w:t>9.2</w:t>
      </w:r>
      <w:r w:rsidRPr="00996178">
        <w:rPr>
          <w:rFonts w:cs="Arial"/>
          <w:i/>
          <w:iCs/>
          <w:szCs w:val="22"/>
          <w:lang w:eastAsia="en-ZA"/>
        </w:rPr>
        <w:tab/>
      </w:r>
      <w:r w:rsidR="003F31DC" w:rsidRPr="003F31DC">
        <w:rPr>
          <w:rFonts w:cs="Arial"/>
          <w:szCs w:val="22"/>
          <w:lang w:eastAsia="en-ZA"/>
        </w:rPr>
        <w:t>October 2016: Addendum concluded;</w:t>
      </w:r>
    </w:p>
    <w:p w14:paraId="1590D6B5" w14:textId="19AB867F" w:rsidR="00996178" w:rsidRPr="003F31DC" w:rsidRDefault="00FA2B2A" w:rsidP="00FA2B2A">
      <w:pPr>
        <w:widowControl w:val="0"/>
        <w:tabs>
          <w:tab w:val="left" w:pos="1418"/>
        </w:tabs>
        <w:autoSpaceDE w:val="0"/>
        <w:autoSpaceDN w:val="0"/>
        <w:adjustRightInd w:val="0"/>
        <w:spacing w:before="480" w:after="480" w:line="360" w:lineRule="auto"/>
        <w:ind w:left="1418" w:hanging="851"/>
        <w:jc w:val="both"/>
        <w:rPr>
          <w:rFonts w:cs="Arial"/>
          <w:i/>
          <w:iCs/>
          <w:szCs w:val="22"/>
          <w:lang w:eastAsia="en-ZA"/>
        </w:rPr>
      </w:pPr>
      <w:r w:rsidRPr="003F31DC">
        <w:rPr>
          <w:rFonts w:cs="Arial"/>
          <w:i/>
          <w:iCs/>
          <w:szCs w:val="22"/>
          <w:lang w:eastAsia="en-ZA"/>
        </w:rPr>
        <w:t>9.3</w:t>
      </w:r>
      <w:r w:rsidRPr="003F31DC">
        <w:rPr>
          <w:rFonts w:cs="Arial"/>
          <w:i/>
          <w:iCs/>
          <w:szCs w:val="22"/>
          <w:lang w:eastAsia="en-ZA"/>
        </w:rPr>
        <w:tab/>
      </w:r>
      <w:r w:rsidR="00996178">
        <w:rPr>
          <w:rFonts w:cs="Arial"/>
          <w:szCs w:val="22"/>
          <w:lang w:eastAsia="en-ZA"/>
        </w:rPr>
        <w:t xml:space="preserve">December 2016: Transfer of </w:t>
      </w:r>
      <w:r w:rsidR="00386F77">
        <w:rPr>
          <w:rFonts w:cs="Arial"/>
          <w:szCs w:val="22"/>
          <w:lang w:eastAsia="en-ZA"/>
        </w:rPr>
        <w:t>ownership;</w:t>
      </w:r>
    </w:p>
    <w:p w14:paraId="54B3D010" w14:textId="79DFCC3F" w:rsidR="003F31DC" w:rsidRPr="00956CAF" w:rsidRDefault="00FA2B2A" w:rsidP="00FA2B2A">
      <w:pPr>
        <w:widowControl w:val="0"/>
        <w:tabs>
          <w:tab w:val="left" w:pos="1418"/>
        </w:tabs>
        <w:autoSpaceDE w:val="0"/>
        <w:autoSpaceDN w:val="0"/>
        <w:adjustRightInd w:val="0"/>
        <w:spacing w:before="480" w:after="480" w:line="360" w:lineRule="auto"/>
        <w:ind w:left="1418" w:hanging="851"/>
        <w:jc w:val="both"/>
        <w:rPr>
          <w:rFonts w:cs="Arial"/>
          <w:szCs w:val="22"/>
          <w:lang w:eastAsia="en-ZA"/>
        </w:rPr>
      </w:pPr>
      <w:r w:rsidRPr="00956CAF">
        <w:rPr>
          <w:rFonts w:cs="Arial"/>
          <w:szCs w:val="22"/>
          <w:lang w:eastAsia="en-ZA"/>
        </w:rPr>
        <w:t>9.4</w:t>
      </w:r>
      <w:r w:rsidRPr="00956CAF">
        <w:rPr>
          <w:rFonts w:cs="Arial"/>
          <w:szCs w:val="22"/>
          <w:lang w:eastAsia="en-ZA"/>
        </w:rPr>
        <w:tab/>
      </w:r>
      <w:r w:rsidR="003F31DC" w:rsidRPr="003F31DC">
        <w:rPr>
          <w:rFonts w:cs="Arial"/>
          <w:szCs w:val="22"/>
          <w:lang w:val="en-GB" w:eastAsia="en-ZA"/>
        </w:rPr>
        <w:t>1 January 2017</w:t>
      </w:r>
      <w:r w:rsidR="003F31DC">
        <w:rPr>
          <w:rFonts w:cs="Arial"/>
          <w:szCs w:val="22"/>
          <w:lang w:val="en-GB" w:eastAsia="en-ZA"/>
        </w:rPr>
        <w:t>: Plaintiffs took occupation of the property;</w:t>
      </w:r>
    </w:p>
    <w:p w14:paraId="27B489B0" w14:textId="56E06717" w:rsidR="0054745F" w:rsidRPr="0054745F" w:rsidRDefault="00FA2B2A" w:rsidP="00FA2B2A">
      <w:pPr>
        <w:widowControl w:val="0"/>
        <w:tabs>
          <w:tab w:val="left" w:pos="1418"/>
        </w:tabs>
        <w:autoSpaceDE w:val="0"/>
        <w:autoSpaceDN w:val="0"/>
        <w:adjustRightInd w:val="0"/>
        <w:spacing w:before="480" w:after="480" w:line="360" w:lineRule="auto"/>
        <w:ind w:left="1418" w:hanging="851"/>
        <w:jc w:val="both"/>
        <w:rPr>
          <w:rFonts w:cs="Arial"/>
          <w:szCs w:val="22"/>
          <w:lang w:eastAsia="en-ZA"/>
        </w:rPr>
      </w:pPr>
      <w:r w:rsidRPr="0054745F">
        <w:rPr>
          <w:rFonts w:cs="Arial"/>
          <w:szCs w:val="22"/>
          <w:lang w:eastAsia="en-ZA"/>
        </w:rPr>
        <w:t>9.5</w:t>
      </w:r>
      <w:r w:rsidRPr="0054745F">
        <w:rPr>
          <w:rFonts w:cs="Arial"/>
          <w:szCs w:val="22"/>
          <w:lang w:eastAsia="en-ZA"/>
        </w:rPr>
        <w:tab/>
      </w:r>
      <w:r w:rsidR="005E0FAF">
        <w:rPr>
          <w:rFonts w:cs="Arial"/>
          <w:szCs w:val="22"/>
          <w:lang w:val="en-GB" w:eastAsia="en-ZA"/>
        </w:rPr>
        <w:t xml:space="preserve">January 2017: Plaintiffs became aware of </w:t>
      </w:r>
      <w:r w:rsidR="0054745F">
        <w:rPr>
          <w:rFonts w:cs="Arial"/>
          <w:szCs w:val="22"/>
          <w:lang w:val="en-GB" w:eastAsia="en-ZA"/>
        </w:rPr>
        <w:t>defects:</w:t>
      </w:r>
    </w:p>
    <w:p w14:paraId="5E0719B3" w14:textId="598B7A51" w:rsidR="003F31DC" w:rsidRPr="00956CAF" w:rsidRDefault="00FA2B2A" w:rsidP="00FA2B2A">
      <w:pPr>
        <w:widowControl w:val="0"/>
        <w:tabs>
          <w:tab w:val="left" w:pos="1418"/>
        </w:tabs>
        <w:autoSpaceDE w:val="0"/>
        <w:autoSpaceDN w:val="0"/>
        <w:adjustRightInd w:val="0"/>
        <w:spacing w:before="480" w:after="480" w:line="360" w:lineRule="auto"/>
        <w:ind w:left="1418" w:hanging="851"/>
        <w:jc w:val="both"/>
        <w:rPr>
          <w:rFonts w:cs="Arial"/>
          <w:szCs w:val="22"/>
          <w:lang w:eastAsia="en-ZA"/>
        </w:rPr>
      </w:pPr>
      <w:r w:rsidRPr="00956CAF">
        <w:rPr>
          <w:rFonts w:cs="Arial"/>
          <w:szCs w:val="22"/>
          <w:lang w:eastAsia="en-ZA"/>
        </w:rPr>
        <w:t>9.6</w:t>
      </w:r>
      <w:r w:rsidRPr="00956CAF">
        <w:rPr>
          <w:rFonts w:cs="Arial"/>
          <w:szCs w:val="22"/>
          <w:lang w:eastAsia="en-ZA"/>
        </w:rPr>
        <w:tab/>
      </w:r>
      <w:r w:rsidR="00956CAF">
        <w:rPr>
          <w:rFonts w:cs="Arial"/>
          <w:szCs w:val="22"/>
          <w:lang w:val="en-GB" w:eastAsia="en-ZA"/>
        </w:rPr>
        <w:t>20 November and 2</w:t>
      </w:r>
      <w:r w:rsidR="00956CAF" w:rsidRPr="00237633">
        <w:rPr>
          <w:rFonts w:cs="Arial"/>
          <w:szCs w:val="22"/>
          <w:lang w:val="en-GB" w:eastAsia="en-ZA"/>
        </w:rPr>
        <w:t xml:space="preserve"> December 2019</w:t>
      </w:r>
      <w:r w:rsidR="00956CAF">
        <w:rPr>
          <w:rFonts w:cs="Arial"/>
          <w:szCs w:val="22"/>
          <w:lang w:val="en-GB" w:eastAsia="en-ZA"/>
        </w:rPr>
        <w:t>: Service of summons;</w:t>
      </w:r>
    </w:p>
    <w:p w14:paraId="00B5E225" w14:textId="5FE7C55D" w:rsidR="00956CAF" w:rsidRPr="00956CAF" w:rsidRDefault="00FA2B2A" w:rsidP="00FA2B2A">
      <w:pPr>
        <w:widowControl w:val="0"/>
        <w:tabs>
          <w:tab w:val="left" w:pos="1418"/>
        </w:tabs>
        <w:autoSpaceDE w:val="0"/>
        <w:autoSpaceDN w:val="0"/>
        <w:adjustRightInd w:val="0"/>
        <w:spacing w:before="480" w:after="480" w:line="360" w:lineRule="auto"/>
        <w:ind w:left="1418" w:hanging="851"/>
        <w:jc w:val="both"/>
        <w:rPr>
          <w:rFonts w:cs="Arial"/>
          <w:szCs w:val="22"/>
          <w:lang w:eastAsia="en-ZA"/>
        </w:rPr>
      </w:pPr>
      <w:r w:rsidRPr="00956CAF">
        <w:rPr>
          <w:rFonts w:cs="Arial"/>
          <w:szCs w:val="22"/>
          <w:lang w:eastAsia="en-ZA"/>
        </w:rPr>
        <w:t>9.7</w:t>
      </w:r>
      <w:r w:rsidRPr="00956CAF">
        <w:rPr>
          <w:rFonts w:cs="Arial"/>
          <w:szCs w:val="22"/>
          <w:lang w:eastAsia="en-ZA"/>
        </w:rPr>
        <w:tab/>
      </w:r>
      <w:r w:rsidR="00956CAF">
        <w:rPr>
          <w:rFonts w:cs="Arial"/>
          <w:szCs w:val="22"/>
          <w:lang w:val="en-GB" w:eastAsia="en-ZA"/>
        </w:rPr>
        <w:t>6 December 2019: Notice of intention to defend:</w:t>
      </w:r>
    </w:p>
    <w:p w14:paraId="2D2B9848" w14:textId="68C4C5DE" w:rsidR="00956CAF" w:rsidRPr="00956CAF" w:rsidRDefault="00FA2B2A" w:rsidP="00FA2B2A">
      <w:pPr>
        <w:widowControl w:val="0"/>
        <w:tabs>
          <w:tab w:val="left" w:pos="1418"/>
        </w:tabs>
        <w:autoSpaceDE w:val="0"/>
        <w:autoSpaceDN w:val="0"/>
        <w:adjustRightInd w:val="0"/>
        <w:spacing w:before="480" w:after="480" w:line="360" w:lineRule="auto"/>
        <w:ind w:left="1418" w:hanging="851"/>
        <w:jc w:val="both"/>
        <w:rPr>
          <w:rFonts w:cs="Arial"/>
          <w:szCs w:val="22"/>
          <w:lang w:eastAsia="en-ZA"/>
        </w:rPr>
      </w:pPr>
      <w:r w:rsidRPr="00956CAF">
        <w:rPr>
          <w:rFonts w:cs="Arial"/>
          <w:szCs w:val="22"/>
          <w:lang w:eastAsia="en-ZA"/>
        </w:rPr>
        <w:lastRenderedPageBreak/>
        <w:t>9.8</w:t>
      </w:r>
      <w:r w:rsidRPr="00956CAF">
        <w:rPr>
          <w:rFonts w:cs="Arial"/>
          <w:szCs w:val="22"/>
          <w:lang w:eastAsia="en-ZA"/>
        </w:rPr>
        <w:tab/>
      </w:r>
      <w:r w:rsidR="00956CAF">
        <w:rPr>
          <w:rFonts w:cs="Arial"/>
          <w:szCs w:val="22"/>
          <w:lang w:val="en-GB" w:eastAsia="en-ZA"/>
        </w:rPr>
        <w:t>9 March 2019: Notice of bar;</w:t>
      </w:r>
    </w:p>
    <w:p w14:paraId="401FB651" w14:textId="73A05409" w:rsidR="004D0F01" w:rsidRDefault="00FA2B2A" w:rsidP="00FA2B2A">
      <w:pPr>
        <w:widowControl w:val="0"/>
        <w:tabs>
          <w:tab w:val="left" w:pos="1418"/>
        </w:tabs>
        <w:autoSpaceDE w:val="0"/>
        <w:autoSpaceDN w:val="0"/>
        <w:adjustRightInd w:val="0"/>
        <w:spacing w:before="480" w:after="480" w:line="360" w:lineRule="auto"/>
        <w:ind w:left="1418" w:hanging="851"/>
        <w:jc w:val="both"/>
        <w:rPr>
          <w:rFonts w:cs="Arial"/>
          <w:szCs w:val="22"/>
          <w:lang w:eastAsia="en-ZA"/>
        </w:rPr>
      </w:pPr>
      <w:r>
        <w:rPr>
          <w:rFonts w:cs="Arial"/>
          <w:szCs w:val="22"/>
          <w:lang w:eastAsia="en-ZA"/>
        </w:rPr>
        <w:t>9.9</w:t>
      </w:r>
      <w:r>
        <w:rPr>
          <w:rFonts w:cs="Arial"/>
          <w:szCs w:val="22"/>
          <w:lang w:eastAsia="en-ZA"/>
        </w:rPr>
        <w:tab/>
      </w:r>
      <w:r w:rsidR="00956CAF">
        <w:rPr>
          <w:rFonts w:cs="Arial"/>
          <w:szCs w:val="22"/>
          <w:lang w:eastAsia="en-ZA"/>
        </w:rPr>
        <w:t>April 2022: Application for default judgment removed from roll</w:t>
      </w:r>
      <w:r w:rsidR="004D0F01">
        <w:rPr>
          <w:rFonts w:cs="Arial"/>
          <w:szCs w:val="22"/>
          <w:lang w:eastAsia="en-ZA"/>
        </w:rPr>
        <w:t xml:space="preserve"> for lack of  compliance with enrolment requirements;</w:t>
      </w:r>
    </w:p>
    <w:p w14:paraId="3E0B1591" w14:textId="39B51982" w:rsidR="00956CAF" w:rsidRPr="00956CAF" w:rsidRDefault="00FA2B2A" w:rsidP="00FA2B2A">
      <w:pPr>
        <w:widowControl w:val="0"/>
        <w:tabs>
          <w:tab w:val="left" w:pos="1418"/>
        </w:tabs>
        <w:autoSpaceDE w:val="0"/>
        <w:autoSpaceDN w:val="0"/>
        <w:adjustRightInd w:val="0"/>
        <w:spacing w:before="480" w:after="480" w:line="360" w:lineRule="auto"/>
        <w:ind w:left="1418" w:hanging="851"/>
        <w:jc w:val="both"/>
        <w:rPr>
          <w:rFonts w:cs="Arial"/>
          <w:szCs w:val="22"/>
          <w:lang w:eastAsia="en-ZA"/>
        </w:rPr>
      </w:pPr>
      <w:r w:rsidRPr="00956CAF">
        <w:rPr>
          <w:rFonts w:cs="Arial"/>
          <w:szCs w:val="22"/>
          <w:lang w:eastAsia="en-ZA"/>
        </w:rPr>
        <w:t>9.10</w:t>
      </w:r>
      <w:r w:rsidRPr="00956CAF">
        <w:rPr>
          <w:rFonts w:cs="Arial"/>
          <w:szCs w:val="22"/>
          <w:lang w:eastAsia="en-ZA"/>
        </w:rPr>
        <w:tab/>
      </w:r>
      <w:r w:rsidR="004D0F01">
        <w:rPr>
          <w:rFonts w:cs="Arial"/>
          <w:szCs w:val="22"/>
          <w:lang w:eastAsia="en-ZA"/>
        </w:rPr>
        <w:t>12 September 2022: Application for default judgment removed from roll at request of the first defendant</w:t>
      </w:r>
      <w:r w:rsidR="00956CAF">
        <w:rPr>
          <w:rFonts w:cs="Arial"/>
          <w:szCs w:val="22"/>
          <w:lang w:eastAsia="en-ZA"/>
        </w:rPr>
        <w:t>;</w:t>
      </w:r>
    </w:p>
    <w:p w14:paraId="2D77F04F" w14:textId="6FCD8004" w:rsidR="00956CAF" w:rsidRPr="00956CAF" w:rsidRDefault="00FA2B2A" w:rsidP="00FA2B2A">
      <w:pPr>
        <w:widowControl w:val="0"/>
        <w:tabs>
          <w:tab w:val="left" w:pos="1418"/>
        </w:tabs>
        <w:autoSpaceDE w:val="0"/>
        <w:autoSpaceDN w:val="0"/>
        <w:adjustRightInd w:val="0"/>
        <w:spacing w:before="480" w:after="480" w:line="360" w:lineRule="auto"/>
        <w:ind w:left="1418" w:hanging="851"/>
        <w:jc w:val="both"/>
        <w:rPr>
          <w:rFonts w:cs="Arial"/>
          <w:szCs w:val="22"/>
          <w:lang w:eastAsia="en-ZA"/>
        </w:rPr>
      </w:pPr>
      <w:r w:rsidRPr="00956CAF">
        <w:rPr>
          <w:rFonts w:cs="Arial"/>
          <w:szCs w:val="22"/>
          <w:lang w:eastAsia="en-ZA"/>
        </w:rPr>
        <w:t>9.11</w:t>
      </w:r>
      <w:r w:rsidRPr="00956CAF">
        <w:rPr>
          <w:rFonts w:cs="Arial"/>
          <w:szCs w:val="22"/>
          <w:lang w:eastAsia="en-ZA"/>
        </w:rPr>
        <w:tab/>
      </w:r>
      <w:r w:rsidR="00956CAF">
        <w:rPr>
          <w:rFonts w:cs="Arial"/>
          <w:szCs w:val="22"/>
          <w:lang w:val="en-GB" w:eastAsia="en-ZA"/>
        </w:rPr>
        <w:t>January 2023: Request that plaintiffs remove bar</w:t>
      </w:r>
      <w:r w:rsidR="005C76EE">
        <w:rPr>
          <w:rFonts w:cs="Arial"/>
          <w:szCs w:val="22"/>
          <w:lang w:val="en-GB" w:eastAsia="en-ZA"/>
        </w:rPr>
        <w:t xml:space="preserve"> by agreement</w:t>
      </w:r>
      <w:r w:rsidR="00956CAF">
        <w:rPr>
          <w:rFonts w:cs="Arial"/>
          <w:szCs w:val="22"/>
          <w:lang w:val="en-GB" w:eastAsia="en-ZA"/>
        </w:rPr>
        <w:t>;</w:t>
      </w:r>
    </w:p>
    <w:p w14:paraId="28B0F1F9" w14:textId="73A082F9" w:rsidR="00956CAF" w:rsidRPr="00956CAF" w:rsidRDefault="00FA2B2A" w:rsidP="00FA2B2A">
      <w:pPr>
        <w:widowControl w:val="0"/>
        <w:tabs>
          <w:tab w:val="left" w:pos="1418"/>
        </w:tabs>
        <w:autoSpaceDE w:val="0"/>
        <w:autoSpaceDN w:val="0"/>
        <w:adjustRightInd w:val="0"/>
        <w:spacing w:before="480" w:after="480" w:line="360" w:lineRule="auto"/>
        <w:ind w:left="1418" w:hanging="851"/>
        <w:jc w:val="both"/>
        <w:rPr>
          <w:rFonts w:cs="Arial"/>
          <w:szCs w:val="22"/>
          <w:lang w:eastAsia="en-ZA"/>
        </w:rPr>
      </w:pPr>
      <w:r w:rsidRPr="00956CAF">
        <w:rPr>
          <w:rFonts w:cs="Arial"/>
          <w:szCs w:val="22"/>
          <w:lang w:eastAsia="en-ZA"/>
        </w:rPr>
        <w:t>9.12</w:t>
      </w:r>
      <w:r w:rsidRPr="00956CAF">
        <w:rPr>
          <w:rFonts w:cs="Arial"/>
          <w:szCs w:val="22"/>
          <w:lang w:eastAsia="en-ZA"/>
        </w:rPr>
        <w:tab/>
      </w:r>
      <w:r w:rsidR="00956CAF">
        <w:rPr>
          <w:rFonts w:cs="Arial"/>
          <w:szCs w:val="22"/>
          <w:lang w:val="en-GB" w:eastAsia="en-ZA"/>
        </w:rPr>
        <w:t>6 February 2023: Application to remove bar;</w:t>
      </w:r>
    </w:p>
    <w:p w14:paraId="21555EA8" w14:textId="36AF06B1" w:rsidR="003F31DC" w:rsidRPr="001B1D06" w:rsidRDefault="00FA2B2A" w:rsidP="00FA2B2A">
      <w:pPr>
        <w:widowControl w:val="0"/>
        <w:tabs>
          <w:tab w:val="left" w:pos="1418"/>
        </w:tabs>
        <w:autoSpaceDE w:val="0"/>
        <w:autoSpaceDN w:val="0"/>
        <w:adjustRightInd w:val="0"/>
        <w:spacing w:before="480" w:after="480" w:line="360" w:lineRule="auto"/>
        <w:ind w:left="1418" w:hanging="851"/>
        <w:jc w:val="both"/>
        <w:rPr>
          <w:rFonts w:cs="Arial"/>
          <w:i/>
          <w:iCs/>
          <w:szCs w:val="22"/>
          <w:lang w:eastAsia="en-ZA"/>
        </w:rPr>
      </w:pPr>
      <w:r w:rsidRPr="001B1D06">
        <w:rPr>
          <w:rFonts w:cs="Arial"/>
          <w:i/>
          <w:iCs/>
          <w:szCs w:val="22"/>
          <w:lang w:eastAsia="en-ZA"/>
        </w:rPr>
        <w:t>9.13</w:t>
      </w:r>
      <w:r w:rsidRPr="001B1D06">
        <w:rPr>
          <w:rFonts w:cs="Arial"/>
          <w:i/>
          <w:iCs/>
          <w:szCs w:val="22"/>
          <w:lang w:eastAsia="en-ZA"/>
        </w:rPr>
        <w:tab/>
      </w:r>
      <w:r w:rsidR="003F31DC">
        <w:rPr>
          <w:rFonts w:cs="Arial"/>
          <w:szCs w:val="22"/>
          <w:lang w:val="en-GB" w:eastAsia="en-ZA"/>
        </w:rPr>
        <w:t>25</w:t>
      </w:r>
      <w:r w:rsidR="003F31DC" w:rsidRPr="00237633">
        <w:rPr>
          <w:rFonts w:cs="Arial"/>
          <w:szCs w:val="22"/>
          <w:lang w:val="en-GB" w:eastAsia="en-ZA"/>
        </w:rPr>
        <w:t xml:space="preserve"> </w:t>
      </w:r>
      <w:r w:rsidR="003F31DC">
        <w:rPr>
          <w:rFonts w:cs="Arial"/>
          <w:szCs w:val="22"/>
          <w:lang w:val="en-GB" w:eastAsia="en-ZA"/>
        </w:rPr>
        <w:t>March</w:t>
      </w:r>
      <w:r w:rsidR="003F31DC" w:rsidRPr="00237633">
        <w:rPr>
          <w:rFonts w:cs="Arial"/>
          <w:szCs w:val="22"/>
          <w:lang w:val="en-GB" w:eastAsia="en-ZA"/>
        </w:rPr>
        <w:t xml:space="preserve"> 2023</w:t>
      </w:r>
      <w:r w:rsidR="00956CAF">
        <w:rPr>
          <w:rFonts w:cs="Arial"/>
          <w:szCs w:val="22"/>
          <w:lang w:val="en-GB" w:eastAsia="en-ZA"/>
        </w:rPr>
        <w:t>: Answering affidavit filed</w:t>
      </w:r>
      <w:r w:rsidR="0054745F">
        <w:rPr>
          <w:rFonts w:cs="Arial"/>
          <w:szCs w:val="22"/>
          <w:lang w:val="en-GB" w:eastAsia="en-ZA"/>
        </w:rPr>
        <w:t>.</w:t>
      </w:r>
    </w:p>
    <w:p w14:paraId="386A6354" w14:textId="0DF9794C" w:rsidR="005503BF" w:rsidRPr="00093FDA" w:rsidRDefault="00FA2B2A" w:rsidP="00FA2B2A">
      <w:pPr>
        <w:widowControl w:val="0"/>
        <w:tabs>
          <w:tab w:val="left" w:pos="567"/>
        </w:tabs>
        <w:autoSpaceDE w:val="0"/>
        <w:autoSpaceDN w:val="0"/>
        <w:adjustRightInd w:val="0"/>
        <w:spacing w:before="480" w:after="480" w:line="360" w:lineRule="auto"/>
        <w:jc w:val="both"/>
        <w:rPr>
          <w:rFonts w:cs="Arial"/>
          <w:szCs w:val="22"/>
          <w:lang w:eastAsia="en-ZA"/>
        </w:rPr>
      </w:pPr>
      <w:r w:rsidRPr="00093FDA">
        <w:rPr>
          <w:rFonts w:cs="Arial"/>
          <w:szCs w:val="22"/>
          <w:lang w:eastAsia="en-ZA"/>
        </w:rPr>
        <w:t>[10]</w:t>
      </w:r>
      <w:r w:rsidRPr="00093FDA">
        <w:rPr>
          <w:rFonts w:cs="Arial"/>
          <w:szCs w:val="22"/>
          <w:lang w:eastAsia="en-ZA"/>
        </w:rPr>
        <w:tab/>
      </w:r>
      <w:r w:rsidR="00093FDA" w:rsidRPr="00093FDA">
        <w:rPr>
          <w:rFonts w:cs="Arial"/>
          <w:szCs w:val="22"/>
          <w:lang w:eastAsia="en-ZA"/>
        </w:rPr>
        <w:t xml:space="preserve">It is in the interests of justice that litigation be concluded and not be delayed indefinitely. </w:t>
      </w:r>
      <w:r w:rsidR="0054745F" w:rsidRPr="00093FDA">
        <w:rPr>
          <w:rFonts w:cs="Arial"/>
          <w:szCs w:val="22"/>
          <w:lang w:eastAsia="en-ZA"/>
        </w:rPr>
        <w:t xml:space="preserve">I am satisfied that there is no reasonable prospect of success on appeal, and that a court of appeal will </w:t>
      </w:r>
      <w:r w:rsidR="00AA0138" w:rsidRPr="00093FDA">
        <w:rPr>
          <w:rFonts w:cs="Arial"/>
          <w:szCs w:val="22"/>
          <w:lang w:eastAsia="en-ZA"/>
        </w:rPr>
        <w:t xml:space="preserve">not </w:t>
      </w:r>
      <w:r w:rsidR="0054745F" w:rsidRPr="00093FDA">
        <w:rPr>
          <w:rFonts w:cs="Arial"/>
          <w:szCs w:val="22"/>
          <w:lang w:eastAsia="en-ZA"/>
        </w:rPr>
        <w:t xml:space="preserve">find that </w:t>
      </w:r>
      <w:r w:rsidR="00E47A19" w:rsidRPr="00093FDA">
        <w:rPr>
          <w:rFonts w:cs="Arial"/>
          <w:szCs w:val="22"/>
          <w:lang w:eastAsia="en-ZA"/>
        </w:rPr>
        <w:t>the first defendant had given a reasonable explanation for the default</w:t>
      </w:r>
      <w:r w:rsidR="001B4731" w:rsidRPr="00093FDA">
        <w:rPr>
          <w:rFonts w:cs="Arial"/>
          <w:szCs w:val="22"/>
          <w:lang w:eastAsia="en-ZA"/>
        </w:rPr>
        <w:t>.</w:t>
      </w:r>
      <w:r w:rsidR="002314E1" w:rsidRPr="00093FDA">
        <w:rPr>
          <w:rFonts w:cs="Arial"/>
          <w:szCs w:val="22"/>
          <w:lang w:eastAsia="en-ZA"/>
        </w:rPr>
        <w:t xml:space="preserve"> The first defendant failed to file a plea in or after January 2019, and when placed under bar did not act to remove the bar during the period March 2019 and</w:t>
      </w:r>
      <w:r w:rsidR="005503BF" w:rsidRPr="00093FDA">
        <w:rPr>
          <w:rFonts w:cs="Arial"/>
          <w:szCs w:val="22"/>
          <w:lang w:eastAsia="en-ZA"/>
        </w:rPr>
        <w:t xml:space="preserve"> January 2023</w:t>
      </w:r>
      <w:r w:rsidR="002314E1" w:rsidRPr="00093FDA">
        <w:rPr>
          <w:rFonts w:cs="Arial"/>
          <w:szCs w:val="22"/>
          <w:lang w:eastAsia="en-ZA"/>
        </w:rPr>
        <w:t xml:space="preserve">. </w:t>
      </w:r>
    </w:p>
    <w:p w14:paraId="2252B3C6" w14:textId="52D45FC1" w:rsidR="002314E1" w:rsidRDefault="002314E1" w:rsidP="005503BF">
      <w:pPr>
        <w:widowControl w:val="0"/>
        <w:autoSpaceDE w:val="0"/>
        <w:autoSpaceDN w:val="0"/>
        <w:adjustRightInd w:val="0"/>
        <w:spacing w:before="480" w:after="480" w:line="360" w:lineRule="auto"/>
        <w:jc w:val="both"/>
        <w:rPr>
          <w:rFonts w:cs="Arial"/>
          <w:szCs w:val="22"/>
          <w:lang w:eastAsia="en-ZA"/>
        </w:rPr>
      </w:pPr>
      <w:r>
        <w:rPr>
          <w:rFonts w:cs="Arial"/>
          <w:szCs w:val="22"/>
          <w:lang w:eastAsia="en-ZA"/>
        </w:rPr>
        <w:t>The first defendant did not take steps during the period September to December 2022 under circumstances where an application for default judgment was removed from the court roll in September 2022 to enable her to take steps to apply for the removal of the bar. She waited until January 2023 to request the removal of the bar by agreement, and only then applied in February 2023.</w:t>
      </w:r>
      <w:r w:rsidR="001B4731" w:rsidRPr="001B4731">
        <w:rPr>
          <w:rFonts w:cs="Arial"/>
          <w:szCs w:val="22"/>
          <w:lang w:eastAsia="en-ZA"/>
        </w:rPr>
        <w:t xml:space="preserve"> </w:t>
      </w:r>
    </w:p>
    <w:p w14:paraId="069F59E1" w14:textId="77777777" w:rsidR="001B1D06" w:rsidRDefault="001B1D06" w:rsidP="002F60E1">
      <w:pPr>
        <w:keepNext/>
        <w:widowControl w:val="0"/>
        <w:spacing w:before="480" w:after="480" w:line="360" w:lineRule="auto"/>
        <w:jc w:val="both"/>
        <w:rPr>
          <w:rFonts w:cs="Arial"/>
          <w:bCs/>
          <w:szCs w:val="22"/>
          <w:u w:val="single"/>
        </w:rPr>
      </w:pPr>
    </w:p>
    <w:p w14:paraId="2B632C8A" w14:textId="1F010EBE" w:rsidR="004F4D7D" w:rsidRPr="00972028" w:rsidRDefault="004F4D7D" w:rsidP="002F60E1">
      <w:pPr>
        <w:keepNext/>
        <w:widowControl w:val="0"/>
        <w:spacing w:before="480" w:after="480" w:line="360" w:lineRule="auto"/>
        <w:jc w:val="both"/>
        <w:rPr>
          <w:rFonts w:cs="Arial"/>
          <w:bCs/>
          <w:szCs w:val="22"/>
          <w:u w:val="single"/>
        </w:rPr>
      </w:pPr>
      <w:r w:rsidRPr="00972028">
        <w:rPr>
          <w:rFonts w:cs="Arial"/>
          <w:bCs/>
          <w:szCs w:val="22"/>
          <w:u w:val="single"/>
        </w:rPr>
        <w:t>Conclusion</w:t>
      </w:r>
    </w:p>
    <w:p w14:paraId="2123C4F6" w14:textId="181F908F" w:rsidR="00051A2B" w:rsidRPr="00BF4DDA" w:rsidRDefault="00FA2B2A" w:rsidP="00FA2B2A">
      <w:pPr>
        <w:keepNext/>
        <w:widowControl w:val="0"/>
        <w:tabs>
          <w:tab w:val="left" w:pos="567"/>
        </w:tabs>
        <w:spacing w:before="480" w:after="480" w:line="360" w:lineRule="auto"/>
        <w:jc w:val="both"/>
        <w:rPr>
          <w:rFonts w:cs="Arial"/>
          <w:bCs/>
          <w:szCs w:val="22"/>
        </w:rPr>
      </w:pPr>
      <w:r w:rsidRPr="00BF4DDA">
        <w:rPr>
          <w:rFonts w:cs="Arial"/>
          <w:bCs/>
          <w:szCs w:val="22"/>
        </w:rPr>
        <w:t>[11]</w:t>
      </w:r>
      <w:r w:rsidRPr="00BF4DDA">
        <w:rPr>
          <w:rFonts w:cs="Arial"/>
          <w:bCs/>
          <w:szCs w:val="22"/>
        </w:rPr>
        <w:tab/>
      </w:r>
      <w:r w:rsidR="00476DBE">
        <w:rPr>
          <w:rFonts w:cs="Arial"/>
          <w:bCs/>
          <w:szCs w:val="22"/>
        </w:rPr>
        <w:t xml:space="preserve">I conclude </w:t>
      </w:r>
      <w:r w:rsidR="001B4731">
        <w:rPr>
          <w:rFonts w:cs="Arial"/>
          <w:bCs/>
          <w:szCs w:val="22"/>
        </w:rPr>
        <w:t xml:space="preserve">therefore </w:t>
      </w:r>
      <w:r w:rsidR="00476DBE">
        <w:rPr>
          <w:rFonts w:cs="Arial"/>
          <w:bCs/>
          <w:szCs w:val="22"/>
        </w:rPr>
        <w:t xml:space="preserve">that </w:t>
      </w:r>
      <w:r w:rsidR="00080BF7">
        <w:rPr>
          <w:rFonts w:cs="Arial"/>
          <w:bCs/>
          <w:szCs w:val="22"/>
        </w:rPr>
        <w:t>there are no reasonable prospects of success on appeal and the application for leave to appeal stands to be dismissed.</w:t>
      </w:r>
      <w:r w:rsidR="00B31510">
        <w:rPr>
          <w:rFonts w:cs="Arial"/>
          <w:bCs/>
          <w:szCs w:val="22"/>
        </w:rPr>
        <w:t xml:space="preserve"> I therefore make the order </w:t>
      </w:r>
      <w:r w:rsidR="00B31510">
        <w:rPr>
          <w:rFonts w:cs="Arial"/>
          <w:bCs/>
          <w:szCs w:val="22"/>
        </w:rPr>
        <w:lastRenderedPageBreak/>
        <w:t>in paragraph 1 above.</w:t>
      </w:r>
    </w:p>
    <w:p w14:paraId="3E6BA7DA" w14:textId="43133B0D" w:rsidR="00AE287F" w:rsidRDefault="00AE287F" w:rsidP="00A3283B">
      <w:pPr>
        <w:tabs>
          <w:tab w:val="right" w:pos="0"/>
        </w:tabs>
        <w:spacing w:line="360" w:lineRule="auto"/>
        <w:contextualSpacing/>
        <w:jc w:val="both"/>
        <w:rPr>
          <w:rFonts w:cs="Arial"/>
          <w:b/>
        </w:rPr>
      </w:pPr>
    </w:p>
    <w:p w14:paraId="53CD27EE" w14:textId="672559CF" w:rsidR="00AE287F" w:rsidRDefault="00A649E6" w:rsidP="006C43D7">
      <w:pPr>
        <w:tabs>
          <w:tab w:val="right" w:pos="0"/>
        </w:tabs>
        <w:spacing w:line="360" w:lineRule="auto"/>
        <w:contextualSpacing/>
        <w:jc w:val="right"/>
        <w:rPr>
          <w:rFonts w:cs="Arial"/>
          <w:b/>
        </w:rPr>
      </w:pPr>
      <w:r>
        <w:rPr>
          <w:rFonts w:cs="Arial"/>
          <w:b/>
        </w:rPr>
        <w:t>______________</w:t>
      </w:r>
    </w:p>
    <w:p w14:paraId="0CCB9BFE" w14:textId="7ABE564D" w:rsidR="006C43D7" w:rsidRPr="006C43D7" w:rsidRDefault="00C676F3" w:rsidP="006C43D7">
      <w:pPr>
        <w:tabs>
          <w:tab w:val="right" w:pos="0"/>
        </w:tabs>
        <w:spacing w:line="360" w:lineRule="auto"/>
        <w:contextualSpacing/>
        <w:jc w:val="right"/>
        <w:rPr>
          <w:rFonts w:cs="Arial"/>
          <w:b/>
        </w:rPr>
      </w:pPr>
      <w:r>
        <w:rPr>
          <w:rFonts w:cs="Arial"/>
          <w:b/>
        </w:rPr>
        <w:t>J MOORCROFT</w:t>
      </w:r>
    </w:p>
    <w:p w14:paraId="7A2C1059" w14:textId="77777777" w:rsidR="006C43D7" w:rsidRPr="006C43D7" w:rsidRDefault="006C43D7" w:rsidP="006C43D7">
      <w:pPr>
        <w:tabs>
          <w:tab w:val="right" w:pos="0"/>
        </w:tabs>
        <w:spacing w:line="360" w:lineRule="auto"/>
        <w:contextualSpacing/>
        <w:jc w:val="right"/>
        <w:rPr>
          <w:rFonts w:cs="Arial"/>
          <w:b/>
        </w:rPr>
      </w:pPr>
      <w:r w:rsidRPr="006C43D7">
        <w:rPr>
          <w:rFonts w:cs="Arial"/>
          <w:b/>
        </w:rPr>
        <w:t>ACTING JUDGE OF THE HIGH COURT OF SOUTH AFRICA</w:t>
      </w:r>
    </w:p>
    <w:p w14:paraId="077C2590" w14:textId="7452355B"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GAUTENG DIVISION</w:t>
      </w:r>
    </w:p>
    <w:p w14:paraId="40B9C946" w14:textId="77777777"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JOHANNESBURG</w:t>
      </w:r>
    </w:p>
    <w:p w14:paraId="326B529B" w14:textId="77777777" w:rsidR="006C43D7" w:rsidRPr="006C43D7" w:rsidRDefault="006C43D7" w:rsidP="006C43D7">
      <w:pPr>
        <w:tabs>
          <w:tab w:val="right" w:pos="0"/>
          <w:tab w:val="left" w:pos="4253"/>
        </w:tabs>
        <w:spacing w:line="360" w:lineRule="auto"/>
        <w:contextualSpacing/>
        <w:jc w:val="center"/>
        <w:rPr>
          <w:rFonts w:cs="Arial"/>
          <w:b/>
        </w:rPr>
      </w:pPr>
    </w:p>
    <w:p w14:paraId="5A4CC56C" w14:textId="051C4E22" w:rsidR="006C43D7" w:rsidRPr="006C43D7" w:rsidRDefault="006C43D7" w:rsidP="006C43D7">
      <w:pPr>
        <w:spacing w:after="200" w:line="480" w:lineRule="auto"/>
        <w:contextualSpacing/>
        <w:jc w:val="right"/>
        <w:rPr>
          <w:rFonts w:cs="Arial"/>
          <w:b/>
          <w:i/>
          <w:iCs/>
        </w:rPr>
      </w:pPr>
      <w:r w:rsidRPr="006C43D7">
        <w:rPr>
          <w:rFonts w:cs="Arial"/>
          <w:b/>
          <w:i/>
          <w:iCs/>
        </w:rPr>
        <w:t>Electronically submitted</w:t>
      </w:r>
    </w:p>
    <w:p w14:paraId="4E3E9427" w14:textId="77777777" w:rsidR="006C43D7" w:rsidRPr="006C43D7" w:rsidRDefault="006C43D7" w:rsidP="006C43D7">
      <w:pPr>
        <w:spacing w:after="200" w:line="360" w:lineRule="auto"/>
        <w:contextualSpacing/>
        <w:jc w:val="both"/>
        <w:rPr>
          <w:rFonts w:eastAsia="Arial Unicode MS" w:cs="Arial"/>
          <w:bCs/>
        </w:rPr>
      </w:pPr>
    </w:p>
    <w:p w14:paraId="51C686CA" w14:textId="55DDB8F0" w:rsidR="006C43D7" w:rsidRPr="00051A2B" w:rsidRDefault="006C43D7" w:rsidP="006C43D7">
      <w:pPr>
        <w:spacing w:after="200" w:line="360" w:lineRule="auto"/>
        <w:contextualSpacing/>
        <w:jc w:val="both"/>
        <w:rPr>
          <w:rFonts w:eastAsia="Arial Unicode MS" w:cs="Arial"/>
          <w:bCs/>
        </w:rPr>
      </w:pPr>
      <w:r w:rsidRPr="006C43D7">
        <w:rPr>
          <w:rFonts w:eastAsia="Arial Unicode MS" w:cs="Arial"/>
          <w:bCs/>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Pr>
          <w:rFonts w:eastAsia="Arial Unicode MS" w:cs="Arial"/>
          <w:bCs/>
        </w:rPr>
        <w:t xml:space="preserve"> </w:t>
      </w:r>
      <w:r w:rsidR="00B31510">
        <w:rPr>
          <w:rFonts w:eastAsia="Arial Unicode MS" w:cs="Arial"/>
          <w:b/>
        </w:rPr>
        <w:t>22</w:t>
      </w:r>
      <w:r w:rsidR="00080BF7">
        <w:rPr>
          <w:rFonts w:eastAsia="Arial Unicode MS" w:cs="Arial"/>
          <w:b/>
        </w:rPr>
        <w:t xml:space="preserve"> FEBRUARY 2024.</w:t>
      </w:r>
    </w:p>
    <w:p w14:paraId="482DDF6E" w14:textId="77777777" w:rsidR="006C43D7" w:rsidRPr="006C43D7" w:rsidRDefault="006C43D7" w:rsidP="006C43D7">
      <w:pPr>
        <w:tabs>
          <w:tab w:val="right" w:pos="0"/>
          <w:tab w:val="left" w:pos="4253"/>
        </w:tabs>
        <w:spacing w:line="360" w:lineRule="auto"/>
        <w:contextualSpacing/>
        <w:jc w:val="center"/>
        <w:rPr>
          <w:rFonts w:cs="Arial"/>
          <w:b/>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878"/>
        <w:gridCol w:w="283"/>
        <w:gridCol w:w="2693"/>
      </w:tblGrid>
      <w:tr w:rsidR="009D35B5" w14:paraId="493AF0D7" w14:textId="77777777" w:rsidTr="0053293A">
        <w:tc>
          <w:tcPr>
            <w:tcW w:w="5529" w:type="dxa"/>
            <w:gridSpan w:val="2"/>
          </w:tcPr>
          <w:p w14:paraId="6A05541A" w14:textId="03E45768" w:rsidR="009D35B5" w:rsidRDefault="009D35B5" w:rsidP="00B31510">
            <w:pPr>
              <w:tabs>
                <w:tab w:val="right" w:pos="0"/>
                <w:tab w:val="left" w:pos="4253"/>
              </w:tabs>
              <w:spacing w:before="120"/>
              <w:rPr>
                <w:rFonts w:cs="Arial"/>
              </w:rPr>
            </w:pPr>
            <w:r>
              <w:rPr>
                <w:rFonts w:cs="Arial"/>
              </w:rPr>
              <w:t>COUNSEL</w:t>
            </w:r>
            <w:r w:rsidRPr="006C43D7">
              <w:rPr>
                <w:rFonts w:cs="Arial"/>
              </w:rPr>
              <w:t xml:space="preserve"> FOR </w:t>
            </w:r>
            <w:r w:rsidR="0053293A">
              <w:rPr>
                <w:rFonts w:cs="Arial"/>
              </w:rPr>
              <w:t xml:space="preserve">THE </w:t>
            </w:r>
            <w:r w:rsidR="00466300">
              <w:rPr>
                <w:rFonts w:cs="Arial"/>
              </w:rPr>
              <w:t>APPLICANT</w:t>
            </w:r>
            <w:r w:rsidR="00B31510">
              <w:rPr>
                <w:rFonts w:cs="Arial"/>
              </w:rPr>
              <w:t>/</w:t>
            </w:r>
            <w:r w:rsidR="005C76EE">
              <w:rPr>
                <w:rFonts w:cs="Arial"/>
              </w:rPr>
              <w:t>1</w:t>
            </w:r>
            <w:r w:rsidR="005C76EE" w:rsidRPr="005C76EE">
              <w:rPr>
                <w:rFonts w:cs="Arial"/>
                <w:vertAlign w:val="superscript"/>
              </w:rPr>
              <w:t>st</w:t>
            </w:r>
            <w:r w:rsidR="00B31510">
              <w:rPr>
                <w:rFonts w:cs="Arial"/>
              </w:rPr>
              <w:t xml:space="preserve"> DEFENDANT</w:t>
            </w:r>
            <w:r w:rsidRPr="006C43D7">
              <w:rPr>
                <w:rFonts w:cs="Arial"/>
              </w:rPr>
              <w:t>:</w:t>
            </w:r>
          </w:p>
        </w:tc>
        <w:tc>
          <w:tcPr>
            <w:tcW w:w="2976" w:type="dxa"/>
            <w:gridSpan w:val="2"/>
          </w:tcPr>
          <w:p w14:paraId="69785AA9" w14:textId="61122139" w:rsidR="00DC6EF8" w:rsidRDefault="00D15731" w:rsidP="00B31510">
            <w:pPr>
              <w:tabs>
                <w:tab w:val="right" w:pos="0"/>
                <w:tab w:val="left" w:pos="567"/>
                <w:tab w:val="right" w:pos="2727"/>
                <w:tab w:val="left" w:pos="4253"/>
              </w:tabs>
              <w:spacing w:before="120"/>
              <w:jc w:val="right"/>
              <w:rPr>
                <w:rFonts w:cs="Arial"/>
              </w:rPr>
            </w:pPr>
            <w:r>
              <w:rPr>
                <w:rFonts w:cs="Arial"/>
              </w:rPr>
              <w:t>T QHALI</w:t>
            </w:r>
          </w:p>
        </w:tc>
      </w:tr>
      <w:tr w:rsidR="009D35B5" w14:paraId="183C176D" w14:textId="77777777" w:rsidTr="0053293A">
        <w:tc>
          <w:tcPr>
            <w:tcW w:w="3651" w:type="dxa"/>
          </w:tcPr>
          <w:p w14:paraId="75365413" w14:textId="481747BC" w:rsidR="009D35B5" w:rsidRDefault="009D35B5" w:rsidP="00B31510">
            <w:pPr>
              <w:tabs>
                <w:tab w:val="right" w:pos="0"/>
                <w:tab w:val="left" w:pos="4253"/>
              </w:tabs>
              <w:spacing w:before="120"/>
              <w:rPr>
                <w:rFonts w:cs="Arial"/>
              </w:rPr>
            </w:pPr>
            <w:r w:rsidRPr="006C43D7">
              <w:rPr>
                <w:rFonts w:cs="Arial"/>
              </w:rPr>
              <w:t>INSTRUCTED BY:</w:t>
            </w:r>
          </w:p>
        </w:tc>
        <w:tc>
          <w:tcPr>
            <w:tcW w:w="4854" w:type="dxa"/>
            <w:gridSpan w:val="3"/>
          </w:tcPr>
          <w:p w14:paraId="4044534A" w14:textId="67023C38" w:rsidR="00762178" w:rsidRDefault="00D15731" w:rsidP="00B31510">
            <w:pPr>
              <w:tabs>
                <w:tab w:val="right" w:pos="0"/>
                <w:tab w:val="left" w:pos="4253"/>
              </w:tabs>
              <w:spacing w:before="120"/>
              <w:jc w:val="right"/>
              <w:rPr>
                <w:rFonts w:cs="Arial"/>
              </w:rPr>
            </w:pPr>
            <w:r>
              <w:rPr>
                <w:rFonts w:cs="Arial"/>
              </w:rPr>
              <w:t>NYAPOTSE INC</w:t>
            </w:r>
          </w:p>
        </w:tc>
      </w:tr>
      <w:tr w:rsidR="009D35B5" w14:paraId="6E2BF966" w14:textId="77777777" w:rsidTr="0053293A">
        <w:tc>
          <w:tcPr>
            <w:tcW w:w="5812" w:type="dxa"/>
            <w:gridSpan w:val="3"/>
          </w:tcPr>
          <w:p w14:paraId="545B6665" w14:textId="50329A17" w:rsidR="009D35B5" w:rsidRDefault="009D35B5" w:rsidP="00B31510">
            <w:pPr>
              <w:tabs>
                <w:tab w:val="right" w:pos="0"/>
                <w:tab w:val="left" w:pos="4253"/>
              </w:tabs>
              <w:spacing w:before="120"/>
              <w:rPr>
                <w:rFonts w:cs="Arial"/>
              </w:rPr>
            </w:pPr>
            <w:r>
              <w:rPr>
                <w:rFonts w:cs="Arial"/>
              </w:rPr>
              <w:t>COUNSEL</w:t>
            </w:r>
            <w:r w:rsidRPr="006C43D7">
              <w:rPr>
                <w:rFonts w:cs="Arial"/>
              </w:rPr>
              <w:t xml:space="preserve"> FOR </w:t>
            </w:r>
            <w:r w:rsidR="0053293A">
              <w:rPr>
                <w:rFonts w:cs="Arial"/>
              </w:rPr>
              <w:t xml:space="preserve">THE </w:t>
            </w:r>
            <w:r w:rsidR="00466300">
              <w:rPr>
                <w:rFonts w:cs="Arial"/>
              </w:rPr>
              <w:t>RESPONDENT</w:t>
            </w:r>
            <w:r w:rsidR="002B50C3">
              <w:rPr>
                <w:rFonts w:cs="Arial"/>
              </w:rPr>
              <w:t>S</w:t>
            </w:r>
            <w:r w:rsidR="00B31510">
              <w:rPr>
                <w:rFonts w:cs="Arial"/>
              </w:rPr>
              <w:t>/PLAINTIFFS</w:t>
            </w:r>
            <w:r w:rsidRPr="006C43D7">
              <w:rPr>
                <w:rFonts w:cs="Arial"/>
              </w:rPr>
              <w:t>:</w:t>
            </w:r>
          </w:p>
        </w:tc>
        <w:tc>
          <w:tcPr>
            <w:tcW w:w="2693" w:type="dxa"/>
          </w:tcPr>
          <w:p w14:paraId="51741A90" w14:textId="7A22FD14" w:rsidR="009D35B5" w:rsidRDefault="00D15731" w:rsidP="00B31510">
            <w:pPr>
              <w:tabs>
                <w:tab w:val="right" w:pos="0"/>
                <w:tab w:val="left" w:pos="4253"/>
              </w:tabs>
              <w:spacing w:before="120"/>
              <w:jc w:val="right"/>
              <w:rPr>
                <w:rFonts w:cs="Arial"/>
              </w:rPr>
            </w:pPr>
            <w:r>
              <w:rPr>
                <w:rFonts w:cs="Arial"/>
              </w:rPr>
              <w:t>N TERBLANC</w:t>
            </w:r>
            <w:r w:rsidR="002B50C3">
              <w:rPr>
                <w:rFonts w:cs="Arial"/>
              </w:rPr>
              <w:t>H</w:t>
            </w:r>
            <w:r>
              <w:rPr>
                <w:rFonts w:cs="Arial"/>
              </w:rPr>
              <w:t>E</w:t>
            </w:r>
          </w:p>
        </w:tc>
      </w:tr>
      <w:tr w:rsidR="009D35B5" w14:paraId="1EC4105A" w14:textId="77777777" w:rsidTr="0053293A">
        <w:tc>
          <w:tcPr>
            <w:tcW w:w="3651" w:type="dxa"/>
          </w:tcPr>
          <w:p w14:paraId="184EC2ED" w14:textId="1E42F28A" w:rsidR="009D35B5" w:rsidRDefault="009D35B5" w:rsidP="00B31510">
            <w:pPr>
              <w:tabs>
                <w:tab w:val="right" w:pos="0"/>
                <w:tab w:val="left" w:pos="4253"/>
              </w:tabs>
              <w:spacing w:before="120"/>
              <w:rPr>
                <w:rFonts w:cs="Arial"/>
              </w:rPr>
            </w:pPr>
            <w:r w:rsidRPr="006C43D7">
              <w:rPr>
                <w:rFonts w:cs="Arial"/>
              </w:rPr>
              <w:t>INSTRUCTED BY:</w:t>
            </w:r>
          </w:p>
        </w:tc>
        <w:tc>
          <w:tcPr>
            <w:tcW w:w="4854" w:type="dxa"/>
            <w:gridSpan w:val="3"/>
          </w:tcPr>
          <w:p w14:paraId="2098BE2A" w14:textId="05AF082A" w:rsidR="009D35B5" w:rsidRDefault="00D15731" w:rsidP="00B31510">
            <w:pPr>
              <w:tabs>
                <w:tab w:val="right" w:pos="0"/>
                <w:tab w:val="left" w:pos="4253"/>
              </w:tabs>
              <w:spacing w:before="120"/>
              <w:jc w:val="right"/>
              <w:rPr>
                <w:rFonts w:cs="Arial"/>
              </w:rPr>
            </w:pPr>
            <w:r>
              <w:rPr>
                <w:rFonts w:cs="Arial"/>
              </w:rPr>
              <w:t>COETZEE ATTORNEYS</w:t>
            </w:r>
          </w:p>
        </w:tc>
      </w:tr>
      <w:tr w:rsidR="009D35B5" w14:paraId="2A3FE2B1" w14:textId="77777777" w:rsidTr="0053293A">
        <w:tc>
          <w:tcPr>
            <w:tcW w:w="3651" w:type="dxa"/>
          </w:tcPr>
          <w:p w14:paraId="0767D0FE" w14:textId="5D8C7247" w:rsidR="009D35B5" w:rsidRPr="006C43D7" w:rsidRDefault="009D35B5" w:rsidP="00B31510">
            <w:pPr>
              <w:tabs>
                <w:tab w:val="right" w:pos="0"/>
                <w:tab w:val="left" w:pos="4253"/>
              </w:tabs>
              <w:spacing w:before="120"/>
              <w:rPr>
                <w:rFonts w:cs="Arial"/>
              </w:rPr>
            </w:pPr>
            <w:r w:rsidRPr="006C43D7">
              <w:rPr>
                <w:rFonts w:cs="Arial"/>
              </w:rPr>
              <w:t xml:space="preserve">DATE OF </w:t>
            </w:r>
            <w:r w:rsidR="00C93FBD">
              <w:rPr>
                <w:rFonts w:cs="Arial"/>
              </w:rPr>
              <w:t>HEARING</w:t>
            </w:r>
            <w:r w:rsidRPr="006C43D7">
              <w:rPr>
                <w:rFonts w:cs="Arial"/>
              </w:rPr>
              <w:t>:</w:t>
            </w:r>
          </w:p>
        </w:tc>
        <w:tc>
          <w:tcPr>
            <w:tcW w:w="4854" w:type="dxa"/>
            <w:gridSpan w:val="3"/>
          </w:tcPr>
          <w:p w14:paraId="34C95147" w14:textId="162F446D" w:rsidR="009D35B5" w:rsidRDefault="00080BF7" w:rsidP="00B31510">
            <w:pPr>
              <w:tabs>
                <w:tab w:val="right" w:pos="0"/>
                <w:tab w:val="left" w:pos="4253"/>
              </w:tabs>
              <w:spacing w:before="120"/>
              <w:jc w:val="right"/>
              <w:rPr>
                <w:rFonts w:cs="Arial"/>
              </w:rPr>
            </w:pPr>
            <w:r>
              <w:rPr>
                <w:rFonts w:cs="Arial"/>
              </w:rPr>
              <w:t>20 FEBRUARY 2024</w:t>
            </w:r>
          </w:p>
        </w:tc>
      </w:tr>
      <w:tr w:rsidR="009D35B5" w14:paraId="757AA656" w14:textId="77777777" w:rsidTr="0053293A">
        <w:tc>
          <w:tcPr>
            <w:tcW w:w="3651" w:type="dxa"/>
          </w:tcPr>
          <w:p w14:paraId="05387251" w14:textId="5A778948" w:rsidR="009D35B5" w:rsidRPr="006C43D7" w:rsidRDefault="009D35B5" w:rsidP="00B31510">
            <w:pPr>
              <w:tabs>
                <w:tab w:val="right" w:pos="0"/>
                <w:tab w:val="left" w:pos="4253"/>
              </w:tabs>
              <w:spacing w:before="120"/>
              <w:rPr>
                <w:rFonts w:cs="Arial"/>
              </w:rPr>
            </w:pPr>
            <w:r w:rsidRPr="006C43D7">
              <w:rPr>
                <w:rFonts w:cs="Arial"/>
              </w:rPr>
              <w:t>DATE OF JUDGMENT:</w:t>
            </w:r>
          </w:p>
        </w:tc>
        <w:tc>
          <w:tcPr>
            <w:tcW w:w="4854" w:type="dxa"/>
            <w:gridSpan w:val="3"/>
          </w:tcPr>
          <w:p w14:paraId="61863A62" w14:textId="63DA71E1" w:rsidR="009D35B5" w:rsidRPr="00080BF7" w:rsidRDefault="00B31510" w:rsidP="00B31510">
            <w:pPr>
              <w:pStyle w:val="ListParagraph"/>
              <w:tabs>
                <w:tab w:val="right" w:pos="0"/>
                <w:tab w:val="left" w:pos="4253"/>
              </w:tabs>
              <w:spacing w:before="120"/>
              <w:contextualSpacing w:val="0"/>
              <w:jc w:val="right"/>
              <w:rPr>
                <w:rFonts w:cs="Arial"/>
              </w:rPr>
            </w:pPr>
            <w:r>
              <w:rPr>
                <w:rFonts w:cs="Arial"/>
              </w:rPr>
              <w:t>22</w:t>
            </w:r>
            <w:r w:rsidR="005B696E" w:rsidRPr="00080BF7">
              <w:rPr>
                <w:rFonts w:cs="Arial"/>
              </w:rPr>
              <w:t xml:space="preserve"> </w:t>
            </w:r>
            <w:r w:rsidR="00080BF7">
              <w:rPr>
                <w:rFonts w:cs="Arial"/>
              </w:rPr>
              <w:t>FEBRUARY 2024</w:t>
            </w:r>
          </w:p>
        </w:tc>
      </w:tr>
      <w:bookmarkEnd w:id="0"/>
    </w:tbl>
    <w:p w14:paraId="1BD8F4EB" w14:textId="5263C90B" w:rsidR="00A402F6" w:rsidRPr="006C43D7" w:rsidRDefault="00A402F6" w:rsidP="00DC1DED">
      <w:pPr>
        <w:tabs>
          <w:tab w:val="right" w:pos="8647"/>
        </w:tabs>
        <w:spacing w:line="360" w:lineRule="auto"/>
        <w:contextualSpacing/>
        <w:jc w:val="both"/>
        <w:rPr>
          <w:rFonts w:cs="Arial"/>
        </w:rPr>
      </w:pPr>
    </w:p>
    <w:sectPr w:rsidR="00A402F6" w:rsidRPr="006C43D7" w:rsidSect="00A715A6">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D94CC" w14:textId="77777777" w:rsidR="00E3479C" w:rsidRDefault="00E3479C">
      <w:r>
        <w:separator/>
      </w:r>
    </w:p>
  </w:endnote>
  <w:endnote w:type="continuationSeparator" w:id="0">
    <w:p w14:paraId="4EFDDAD9" w14:textId="77777777" w:rsidR="00E3479C" w:rsidRDefault="00E3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1AA9A" w14:textId="77777777" w:rsidR="00E3479C" w:rsidRDefault="00E3479C">
      <w:r>
        <w:separator/>
      </w:r>
    </w:p>
  </w:footnote>
  <w:footnote w:type="continuationSeparator" w:id="0">
    <w:p w14:paraId="6F42AF50" w14:textId="77777777" w:rsidR="00E3479C" w:rsidRDefault="00E3479C">
      <w:r>
        <w:continuationSeparator/>
      </w:r>
    </w:p>
  </w:footnote>
  <w:footnote w:id="1">
    <w:p w14:paraId="7C584DD6" w14:textId="1F526704" w:rsidR="009867EA" w:rsidRDefault="009867EA">
      <w:pPr>
        <w:pStyle w:val="FootnoteText"/>
      </w:pPr>
      <w:r>
        <w:rPr>
          <w:rStyle w:val="FootnoteReference"/>
        </w:rPr>
        <w:footnoteRef/>
      </w:r>
      <w:r>
        <w:t xml:space="preserve"> Reported as </w:t>
      </w:r>
      <w:r w:rsidRPr="00BB342A">
        <w:rPr>
          <w:i/>
          <w:iCs/>
        </w:rPr>
        <w:t>Masehla v Ganca and another</w:t>
      </w:r>
      <w:r>
        <w:t xml:space="preserve"> </w:t>
      </w:r>
      <w:r w:rsidRPr="00BB342A">
        <w:t>2023 JDR 3901 (GJ)</w:t>
      </w:r>
      <w:r w:rsidR="00032CA0">
        <w:t>.</w:t>
      </w:r>
    </w:p>
  </w:footnote>
  <w:footnote w:id="2">
    <w:p w14:paraId="52DF96F6" w14:textId="77777777" w:rsidR="007A3A5A" w:rsidRDefault="007A3A5A" w:rsidP="007A3A5A">
      <w:pPr>
        <w:pStyle w:val="FootnoteText"/>
      </w:pPr>
      <w:r>
        <w:rPr>
          <w:rStyle w:val="FootnoteReference"/>
        </w:rPr>
        <w:footnoteRef/>
      </w:r>
      <w:r>
        <w:t xml:space="preserve"> </w:t>
      </w:r>
      <w:r>
        <w:tab/>
      </w:r>
      <w:r w:rsidRPr="00EA5B3C">
        <w:rPr>
          <w:rFonts w:eastAsia="Calibri"/>
          <w:i/>
          <w:iCs/>
        </w:rPr>
        <w:t>KwaZulu-Natal Law Society v Sharma</w:t>
      </w:r>
      <w:r w:rsidRPr="00E21A09">
        <w:rPr>
          <w:rFonts w:eastAsia="Calibri" w:cs="Arial"/>
          <w:color w:val="000000"/>
        </w:rPr>
        <w:t xml:space="preserve"> [2017] JOL 37724 (KZP) </w:t>
      </w:r>
      <w:r>
        <w:rPr>
          <w:rFonts w:eastAsia="Calibri" w:cs="Arial"/>
          <w:color w:val="000000"/>
        </w:rPr>
        <w:t>para</w:t>
      </w:r>
      <w:r w:rsidRPr="00E21A09">
        <w:rPr>
          <w:rFonts w:eastAsia="Calibri" w:cs="Arial"/>
          <w:color w:val="000000"/>
        </w:rPr>
        <w:t xml:space="preserve"> 29.</w:t>
      </w:r>
      <w:r>
        <w:rPr>
          <w:rFonts w:eastAsia="Calibri" w:cs="Arial"/>
          <w:color w:val="000000"/>
        </w:rPr>
        <w:t xml:space="preserve"> See also </w:t>
      </w:r>
      <w:r w:rsidRPr="00B83232">
        <w:rPr>
          <w:i/>
          <w:iCs/>
        </w:rPr>
        <w:t>Shinga v The State and another (Society of Advocates (Pietermaritzburg Bar) intervening as Amicus Curiae); S v O'Connell and others</w:t>
      </w:r>
      <w:r>
        <w:t xml:space="preserve"> 2007 (2) SACR 28 (CC).</w:t>
      </w:r>
    </w:p>
  </w:footnote>
  <w:footnote w:id="3">
    <w:p w14:paraId="66AF2ADD" w14:textId="77777777" w:rsidR="007A3A5A" w:rsidRDefault="007A3A5A" w:rsidP="007A3A5A">
      <w:pPr>
        <w:pStyle w:val="FootnoteText"/>
      </w:pPr>
      <w:r>
        <w:rPr>
          <w:rStyle w:val="FootnoteReference"/>
        </w:rPr>
        <w:footnoteRef/>
      </w:r>
      <w:r>
        <w:t xml:space="preserve"> </w:t>
      </w:r>
      <w:r>
        <w:tab/>
      </w:r>
      <w:r w:rsidRPr="00E21A09">
        <w:rPr>
          <w:rFonts w:eastAsia="Calibri"/>
          <w:i/>
          <w:iCs/>
        </w:rPr>
        <w:t>S v Smith</w:t>
      </w:r>
      <w:r w:rsidRPr="00E21A09">
        <w:rPr>
          <w:rFonts w:eastAsia="Calibri" w:cs="Arial"/>
          <w:color w:val="000000"/>
        </w:rPr>
        <w:t xml:space="preserve"> 2012 (1) SACR 567 (SCA) </w:t>
      </w:r>
      <w:r>
        <w:rPr>
          <w:rFonts w:eastAsia="Calibri" w:cs="Arial"/>
          <w:color w:val="000000"/>
        </w:rPr>
        <w:t>para</w:t>
      </w:r>
      <w:r w:rsidRPr="00E21A09">
        <w:rPr>
          <w:rFonts w:eastAsia="Calibri" w:cs="Arial"/>
          <w:color w:val="000000"/>
        </w:rPr>
        <w:t xml:space="preserve"> 7</w:t>
      </w:r>
      <w:r>
        <w:rPr>
          <w:rFonts w:eastAsia="Calibri" w:cs="Arial"/>
          <w:color w:val="000000"/>
        </w:rPr>
        <w:t>.</w:t>
      </w:r>
    </w:p>
  </w:footnote>
  <w:footnote w:id="4">
    <w:p w14:paraId="690C55C5" w14:textId="77777777" w:rsidR="007A3A5A" w:rsidRPr="00054474" w:rsidRDefault="007A3A5A" w:rsidP="007A3A5A">
      <w:pPr>
        <w:pStyle w:val="FootnoteText"/>
      </w:pPr>
      <w:r>
        <w:rPr>
          <w:rStyle w:val="FootnoteReference"/>
        </w:rPr>
        <w:footnoteRef/>
      </w:r>
      <w:r>
        <w:t xml:space="preserve"> </w:t>
      </w:r>
      <w:r>
        <w:tab/>
      </w:r>
      <w:r w:rsidRPr="00054474">
        <w:rPr>
          <w:rFonts w:eastAsia="Calibri"/>
          <w:i/>
          <w:iCs/>
        </w:rPr>
        <w:t xml:space="preserve">Mont Chevaux Trust </w:t>
      </w:r>
      <w:r>
        <w:rPr>
          <w:rFonts w:cs="Arial"/>
          <w:i/>
          <w:iCs/>
        </w:rPr>
        <w:t xml:space="preserve">(IT 2012/28) </w:t>
      </w:r>
      <w:r w:rsidRPr="00054474">
        <w:rPr>
          <w:rFonts w:eastAsia="Calibri"/>
          <w:i/>
          <w:iCs/>
        </w:rPr>
        <w:t xml:space="preserve">v </w:t>
      </w:r>
      <w:r>
        <w:rPr>
          <w:rFonts w:eastAsia="Calibri"/>
          <w:i/>
          <w:iCs/>
        </w:rPr>
        <w:t xml:space="preserve">Tina </w:t>
      </w:r>
      <w:r w:rsidRPr="00054474">
        <w:rPr>
          <w:rFonts w:eastAsia="Calibri"/>
          <w:i/>
          <w:iCs/>
        </w:rPr>
        <w:t>Goosen</w:t>
      </w:r>
      <w:r w:rsidRPr="00054474">
        <w:rPr>
          <w:rFonts w:eastAsia="Calibri" w:cs="Arial"/>
          <w:color w:val="000000"/>
        </w:rPr>
        <w:t xml:space="preserve"> 2014 JDR 2325 (LCC)</w:t>
      </w:r>
      <w:r>
        <w:rPr>
          <w:rFonts w:cs="Arial"/>
        </w:rPr>
        <w:t xml:space="preserve">, </w:t>
      </w:r>
      <w:r w:rsidRPr="00054474">
        <w:rPr>
          <w:rFonts w:cs="Arial"/>
        </w:rPr>
        <w:t xml:space="preserve">[2014] ZALCC 20 </w:t>
      </w:r>
      <w:r>
        <w:rPr>
          <w:rFonts w:cs="Arial"/>
        </w:rPr>
        <w:t>para</w:t>
      </w:r>
      <w:r w:rsidRPr="00054474">
        <w:rPr>
          <w:rFonts w:cs="Arial"/>
        </w:rPr>
        <w:t xml:space="preserve"> 6</w:t>
      </w:r>
      <w:r>
        <w:rPr>
          <w:rFonts w:cs="Arial"/>
        </w:rPr>
        <w:t>.</w:t>
      </w:r>
    </w:p>
  </w:footnote>
  <w:footnote w:id="5">
    <w:p w14:paraId="19435F94" w14:textId="77777777" w:rsidR="007A3A5A" w:rsidRPr="00B83232" w:rsidRDefault="007A3A5A" w:rsidP="007A3A5A">
      <w:pPr>
        <w:pStyle w:val="FootnoteText"/>
        <w:rPr>
          <w:rFonts w:cs="Arial"/>
        </w:rPr>
      </w:pPr>
      <w:r>
        <w:rPr>
          <w:rStyle w:val="FootnoteReference"/>
        </w:rPr>
        <w:footnoteRef/>
      </w:r>
      <w:r>
        <w:t xml:space="preserve"> </w:t>
      </w:r>
      <w:r>
        <w:tab/>
      </w:r>
      <w:r w:rsidRPr="00B83232">
        <w:rPr>
          <w:rFonts w:eastAsia="Calibri" w:cs="Arial"/>
          <w:i/>
          <w:iCs/>
        </w:rPr>
        <w:t>S v Notshokovu</w:t>
      </w:r>
      <w:r w:rsidRPr="00B83232">
        <w:rPr>
          <w:rFonts w:cs="Arial"/>
        </w:rPr>
        <w:t xml:space="preserve"> 2016 JDR 1647 (SCA),</w:t>
      </w:r>
      <w:r w:rsidRPr="00B83232">
        <w:rPr>
          <w:rFonts w:eastAsia="Calibri" w:cs="Arial"/>
          <w:color w:val="000000"/>
        </w:rPr>
        <w:t xml:space="preserve"> [2016] ZASCA 112 </w:t>
      </w:r>
      <w:r>
        <w:rPr>
          <w:rFonts w:eastAsia="Calibri" w:cs="Arial"/>
          <w:color w:val="000000"/>
        </w:rPr>
        <w:t>para</w:t>
      </w:r>
      <w:r w:rsidRPr="00B83232">
        <w:rPr>
          <w:rFonts w:eastAsia="Calibri" w:cs="Arial"/>
          <w:color w:val="000000"/>
        </w:rPr>
        <w:t xml:space="preserve"> 2.</w:t>
      </w:r>
    </w:p>
  </w:footnote>
  <w:footnote w:id="6">
    <w:p w14:paraId="48B671A7" w14:textId="77777777" w:rsidR="007A3A5A" w:rsidRDefault="007A3A5A" w:rsidP="007A3A5A">
      <w:pPr>
        <w:pStyle w:val="FootnoteText"/>
      </w:pPr>
      <w:r>
        <w:rPr>
          <w:rStyle w:val="FootnoteReference"/>
        </w:rPr>
        <w:footnoteRef/>
      </w:r>
      <w:r>
        <w:t xml:space="preserve"> </w:t>
      </w:r>
      <w:r>
        <w:tab/>
      </w:r>
      <w:r w:rsidRPr="008A2504">
        <w:rPr>
          <w:i/>
          <w:iCs/>
          <w:lang w:eastAsia="en-ZA"/>
        </w:rPr>
        <w:t>Member of the Executive Council</w:t>
      </w:r>
      <w:r>
        <w:rPr>
          <w:i/>
          <w:iCs/>
          <w:lang w:eastAsia="en-ZA"/>
        </w:rPr>
        <w:t xml:space="preserve"> </w:t>
      </w:r>
      <w:r w:rsidRPr="008A2504">
        <w:rPr>
          <w:i/>
          <w:iCs/>
          <w:lang w:eastAsia="en-ZA"/>
        </w:rPr>
        <w:t>for</w:t>
      </w:r>
      <w:r>
        <w:rPr>
          <w:i/>
          <w:iCs/>
          <w:lang w:eastAsia="en-ZA"/>
        </w:rPr>
        <w:t xml:space="preserve"> </w:t>
      </w:r>
      <w:r w:rsidRPr="008A2504">
        <w:rPr>
          <w:i/>
          <w:iCs/>
          <w:lang w:eastAsia="en-ZA"/>
        </w:rPr>
        <w:t>Health,</w:t>
      </w:r>
      <w:r>
        <w:rPr>
          <w:i/>
          <w:iCs/>
          <w:lang w:eastAsia="en-ZA"/>
        </w:rPr>
        <w:t xml:space="preserve"> </w:t>
      </w:r>
      <w:r w:rsidRPr="008A2504">
        <w:rPr>
          <w:i/>
          <w:iCs/>
          <w:lang w:eastAsia="en-ZA"/>
        </w:rPr>
        <w:t>Eastern</w:t>
      </w:r>
      <w:r>
        <w:rPr>
          <w:i/>
          <w:iCs/>
          <w:lang w:eastAsia="en-ZA"/>
        </w:rPr>
        <w:t xml:space="preserve"> </w:t>
      </w:r>
      <w:r w:rsidRPr="008A2504">
        <w:rPr>
          <w:i/>
          <w:iCs/>
          <w:lang w:eastAsia="en-ZA"/>
        </w:rPr>
        <w:t>Cape</w:t>
      </w:r>
      <w:r>
        <w:rPr>
          <w:i/>
          <w:iCs/>
          <w:lang w:eastAsia="en-ZA"/>
        </w:rPr>
        <w:t xml:space="preserve"> </w:t>
      </w:r>
      <w:r w:rsidRPr="008A2504">
        <w:rPr>
          <w:i/>
          <w:iCs/>
          <w:lang w:eastAsia="en-ZA"/>
        </w:rPr>
        <w:t>v</w:t>
      </w:r>
      <w:r>
        <w:rPr>
          <w:i/>
          <w:iCs/>
          <w:lang w:eastAsia="en-ZA"/>
        </w:rPr>
        <w:t xml:space="preserve"> </w:t>
      </w:r>
      <w:r w:rsidRPr="008A2504">
        <w:rPr>
          <w:i/>
          <w:iCs/>
          <w:lang w:eastAsia="en-ZA"/>
        </w:rPr>
        <w:t>Mkhitha</w:t>
      </w:r>
      <w:r>
        <w:rPr>
          <w:i/>
          <w:iCs/>
          <w:lang w:eastAsia="en-ZA"/>
        </w:rPr>
        <w:t xml:space="preserve"> </w:t>
      </w:r>
      <w:r w:rsidRPr="008A2504">
        <w:rPr>
          <w:i/>
          <w:iCs/>
          <w:lang w:eastAsia="en-ZA"/>
        </w:rPr>
        <w:t>and</w:t>
      </w:r>
      <w:r>
        <w:rPr>
          <w:i/>
          <w:iCs/>
          <w:lang w:eastAsia="en-ZA"/>
        </w:rPr>
        <w:t xml:space="preserve"> </w:t>
      </w:r>
      <w:r w:rsidRPr="008A2504">
        <w:rPr>
          <w:i/>
          <w:iCs/>
          <w:lang w:eastAsia="en-ZA"/>
        </w:rPr>
        <w:t>another</w:t>
      </w:r>
      <w:r w:rsidRPr="008A2504">
        <w:rPr>
          <w:lang w:eastAsia="en-ZA"/>
        </w:rPr>
        <w:t xml:space="preserve"> [2016] JOL 36940 (SCA)</w:t>
      </w:r>
      <w:r>
        <w:rPr>
          <w:lang w:eastAsia="en-ZA"/>
        </w:rPr>
        <w:t xml:space="preserve"> para 16. See also </w:t>
      </w:r>
      <w:r w:rsidRPr="00B83232">
        <w:rPr>
          <w:rFonts w:eastAsia="Calibri" w:cs="Arial"/>
          <w:color w:val="000000"/>
        </w:rPr>
        <w:t xml:space="preserve">See </w:t>
      </w:r>
      <w:r w:rsidRPr="00B83232">
        <w:rPr>
          <w:rFonts w:eastAsia="Calibri" w:cs="Arial"/>
        </w:rPr>
        <w:t xml:space="preserve">Van Loggerenberg </w:t>
      </w:r>
      <w:r w:rsidRPr="00B83232">
        <w:rPr>
          <w:rFonts w:eastAsia="Calibri" w:cs="Arial"/>
          <w:i/>
          <w:iCs/>
        </w:rPr>
        <w:t>Erasmus: Superior Court Practice</w:t>
      </w:r>
      <w:r w:rsidRPr="00B83232">
        <w:rPr>
          <w:rFonts w:eastAsia="Calibri" w:cs="Arial"/>
        </w:rPr>
        <w:t xml:space="preserve"> A2-55;</w:t>
      </w:r>
      <w:r w:rsidRPr="00B83232">
        <w:rPr>
          <w:rFonts w:eastAsia="Calibri" w:cs="Arial"/>
          <w:color w:val="000000"/>
        </w:rPr>
        <w:t xml:space="preserve"> </w:t>
      </w:r>
      <w:r w:rsidRPr="00B83232">
        <w:rPr>
          <w:rFonts w:eastAsia="Calibri" w:cs="Arial"/>
          <w:i/>
          <w:iCs/>
          <w:color w:val="000000"/>
        </w:rPr>
        <w:t xml:space="preserve">The Acting National Director of Public Prosecution v Democratic Alliance </w:t>
      </w:r>
      <w:r w:rsidRPr="00B83232">
        <w:rPr>
          <w:rFonts w:eastAsia="Calibri" w:cs="Arial"/>
          <w:color w:val="000000"/>
        </w:rPr>
        <w:t xml:space="preserve">[2016] ZAGPPHC 489, </w:t>
      </w:r>
      <w:r w:rsidRPr="00B83232">
        <w:rPr>
          <w:rFonts w:eastAsia="Calibri" w:cs="Arial"/>
        </w:rPr>
        <w:t xml:space="preserve">JOL 36123 (GP) </w:t>
      </w:r>
      <w:r>
        <w:rPr>
          <w:rFonts w:eastAsia="Calibri" w:cs="Arial"/>
          <w:color w:val="000000"/>
        </w:rPr>
        <w:t>para</w:t>
      </w:r>
      <w:r w:rsidRPr="00B83232">
        <w:rPr>
          <w:rFonts w:eastAsia="Calibri" w:cs="Arial"/>
          <w:color w:val="000000"/>
        </w:rPr>
        <w:t xml:space="preserve"> 25; </w:t>
      </w:r>
      <w:r w:rsidRPr="00B83232">
        <w:rPr>
          <w:rFonts w:eastAsia="Calibri" w:cs="Arial"/>
          <w:i/>
          <w:iCs/>
          <w:color w:val="000000"/>
        </w:rPr>
        <w:t xml:space="preserve">South African Breweries (Pty) Ltd v Commissioner of the South African Revenue Services </w:t>
      </w:r>
      <w:r w:rsidRPr="00B83232">
        <w:rPr>
          <w:rFonts w:eastAsia="Calibri" w:cs="Arial"/>
          <w:color w:val="000000"/>
        </w:rPr>
        <w:t xml:space="preserve">[2017] ZAGPPHC 340 </w:t>
      </w:r>
      <w:r>
        <w:rPr>
          <w:rFonts w:eastAsia="Calibri" w:cs="Arial"/>
          <w:color w:val="000000"/>
        </w:rPr>
        <w:t>para</w:t>
      </w:r>
      <w:r w:rsidRPr="00B83232">
        <w:rPr>
          <w:rFonts w:eastAsia="Calibri" w:cs="Arial"/>
          <w:color w:val="000000"/>
        </w:rPr>
        <w:t xml:space="preserve"> 5</w:t>
      </w:r>
      <w:r w:rsidRPr="00B83232">
        <w:rPr>
          <w:rFonts w:eastAsia="Calibri" w:cs="Arial"/>
        </w:rPr>
        <w:t xml:space="preserve">; </w:t>
      </w:r>
      <w:r w:rsidRPr="00B83232">
        <w:rPr>
          <w:rFonts w:eastAsia="Calibri" w:cs="Arial"/>
          <w:i/>
          <w:iCs/>
        </w:rPr>
        <w:t>Lakaje N.O v MEC: Department of Health</w:t>
      </w:r>
      <w:r w:rsidRPr="00B83232">
        <w:rPr>
          <w:rFonts w:eastAsia="Calibri" w:cs="Arial"/>
        </w:rPr>
        <w:t xml:space="preserve"> [2019] JOL 45564 (FB) </w:t>
      </w:r>
      <w:r>
        <w:rPr>
          <w:rFonts w:eastAsia="Calibri" w:cs="Arial"/>
          <w:color w:val="000000"/>
        </w:rPr>
        <w:t>para</w:t>
      </w:r>
      <w:r w:rsidRPr="00B83232">
        <w:rPr>
          <w:rFonts w:eastAsia="Calibri" w:cs="Arial"/>
          <w:color w:val="000000"/>
        </w:rPr>
        <w:t xml:space="preserve"> 5;</w:t>
      </w:r>
      <w:r w:rsidRPr="00B83232">
        <w:rPr>
          <w:rFonts w:eastAsia="Calibri" w:cs="Arial"/>
          <w:i/>
          <w:iCs/>
          <w:color w:val="000000"/>
        </w:rPr>
        <w:t xml:space="preserve"> Nwafor v Minister of Home Affairs </w:t>
      </w:r>
      <w:r w:rsidRPr="00B83232">
        <w:rPr>
          <w:rFonts w:eastAsia="Calibri" w:cs="Arial"/>
          <w:color w:val="000000"/>
        </w:rPr>
        <w:t>[2021] JOL 50310 (SCA),</w:t>
      </w:r>
      <w:r w:rsidRPr="00B83232">
        <w:rPr>
          <w:rFonts w:cs="Arial"/>
          <w:color w:val="000000"/>
          <w:shd w:val="clear" w:color="auto" w:fill="FFFFFF"/>
        </w:rPr>
        <w:t xml:space="preserve"> 2021 JDR 0948 (SCA)</w:t>
      </w:r>
      <w:r w:rsidRPr="00B83232">
        <w:rPr>
          <w:rFonts w:eastAsia="Calibri" w:cs="Arial"/>
          <w:color w:val="000000"/>
        </w:rPr>
        <w:t xml:space="preserve"> paras 25 and 26</w:t>
      </w:r>
      <w:r>
        <w:rPr>
          <w:rFonts w:eastAsia="Calibri" w:cs="Arial"/>
          <w:color w:val="000000"/>
        </w:rPr>
        <w:t xml:space="preserve">; and </w:t>
      </w:r>
      <w:r w:rsidRPr="00B83232">
        <w:rPr>
          <w:i/>
          <w:iCs/>
        </w:rPr>
        <w:t>Lephoi v Ramakarane</w:t>
      </w:r>
      <w:r>
        <w:t xml:space="preserve">  [2023] JOL 59548 (FB) para 4.</w:t>
      </w:r>
    </w:p>
  </w:footnote>
  <w:footnote w:id="7">
    <w:p w14:paraId="1A32F90C" w14:textId="77777777" w:rsidR="007A3A5A" w:rsidRPr="009A3ABB" w:rsidRDefault="007A3A5A" w:rsidP="007A3A5A">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r>
      <w:r w:rsidRPr="009A3ABB">
        <w:rPr>
          <w:rStyle w:val="searchhit"/>
          <w:rFonts w:cs="Arial"/>
          <w:i/>
          <w:iCs/>
          <w:color w:val="000000"/>
          <w:bdr w:val="none" w:sz="0" w:space="0" w:color="auto" w:frame="1"/>
          <w:shd w:val="clear" w:color="auto" w:fill="F9F9F9"/>
        </w:rPr>
        <w:t>Ramakatsa</w:t>
      </w:r>
      <w:r w:rsidRPr="009A3ABB">
        <w:rPr>
          <w:rFonts w:cs="Arial"/>
          <w:i/>
          <w:iCs/>
          <w:color w:val="000000"/>
          <w:shd w:val="clear" w:color="auto" w:fill="F9F9F9"/>
        </w:rPr>
        <w:t> and others v African National Congress and another</w:t>
      </w:r>
      <w:r w:rsidRPr="009A3ABB">
        <w:rPr>
          <w:rFonts w:cs="Arial"/>
          <w:color w:val="000000"/>
          <w:shd w:val="clear" w:color="auto" w:fill="F9F9F9"/>
        </w:rPr>
        <w:t xml:space="preserve"> [2021] JOL 49993 (SCA), also reported as </w:t>
      </w:r>
      <w:r w:rsidRPr="009A3ABB">
        <w:rPr>
          <w:rFonts w:cs="Arial"/>
          <w:i/>
          <w:iCs/>
        </w:rPr>
        <w:t>Ramakatsa v ANC</w:t>
      </w:r>
      <w:r w:rsidRPr="009A3ABB">
        <w:rPr>
          <w:rFonts w:cs="Arial"/>
        </w:rPr>
        <w:t xml:space="preserve"> 2021 ZASCA 31. See also </w:t>
      </w:r>
      <w:r w:rsidRPr="009A3ABB">
        <w:rPr>
          <w:rFonts w:cs="Arial"/>
          <w:i/>
          <w:iCs/>
        </w:rPr>
        <w:t>Mphahlele v Scheepers NO</w:t>
      </w:r>
      <w:r w:rsidRPr="009A3ABB">
        <w:rPr>
          <w:rFonts w:cs="Arial"/>
        </w:rPr>
        <w:t xml:space="preserve"> 2023 JDR 2899 (GP).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8A9B" w14:textId="09E8CC96"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FA2B2A">
      <w:rPr>
        <w:rFonts w:cs="Arial"/>
        <w:noProof/>
        <w:sz w:val="20"/>
        <w:szCs w:val="20"/>
        <w:lang w:val="en-GB"/>
      </w:rPr>
      <w:t>7</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88D10A8"/>
    <w:multiLevelType w:val="hybridMultilevel"/>
    <w:tmpl w:val="D73E1F9C"/>
    <w:lvl w:ilvl="0" w:tplc="30243AD8">
      <w:start w:val="20"/>
      <w:numFmt w:val="bullet"/>
      <w:lvlText w:val=""/>
      <w:lvlJc w:val="left"/>
      <w:pPr>
        <w:ind w:left="720" w:hanging="360"/>
      </w:pPr>
      <w:rPr>
        <w:rFonts w:ascii="Wingdings" w:eastAsia="Times New Roman"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8"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9"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12"/>
  </w:num>
  <w:num w:numId="4">
    <w:abstractNumId w:val="6"/>
  </w:num>
  <w:num w:numId="5">
    <w:abstractNumId w:val="11"/>
  </w:num>
  <w:num w:numId="6">
    <w:abstractNumId w:val="9"/>
  </w:num>
  <w:num w:numId="7">
    <w:abstractNumId w:val="0"/>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3"/>
  </w:num>
  <w:num w:numId="12">
    <w:abstractNumId w:val="4"/>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wMDQwMrAwtjA3NzRV0lEKTi0uzszPAykwrAUACBewFCwAAAA="/>
  </w:docVars>
  <w:rsids>
    <w:rsidRoot w:val="00C676F3"/>
    <w:rsid w:val="000004A3"/>
    <w:rsid w:val="00001138"/>
    <w:rsid w:val="00006113"/>
    <w:rsid w:val="0001111B"/>
    <w:rsid w:val="0001140A"/>
    <w:rsid w:val="00011522"/>
    <w:rsid w:val="00013B7F"/>
    <w:rsid w:val="00014506"/>
    <w:rsid w:val="00015D74"/>
    <w:rsid w:val="00024A29"/>
    <w:rsid w:val="000262B3"/>
    <w:rsid w:val="00030A89"/>
    <w:rsid w:val="000325E2"/>
    <w:rsid w:val="00032CA0"/>
    <w:rsid w:val="00044B5B"/>
    <w:rsid w:val="00047F26"/>
    <w:rsid w:val="00050086"/>
    <w:rsid w:val="000504F1"/>
    <w:rsid w:val="00051A2B"/>
    <w:rsid w:val="00063F7B"/>
    <w:rsid w:val="00072B36"/>
    <w:rsid w:val="000737E1"/>
    <w:rsid w:val="00073E30"/>
    <w:rsid w:val="00080BF7"/>
    <w:rsid w:val="00081716"/>
    <w:rsid w:val="000833BB"/>
    <w:rsid w:val="00087AE6"/>
    <w:rsid w:val="00092591"/>
    <w:rsid w:val="00093FDA"/>
    <w:rsid w:val="0009488C"/>
    <w:rsid w:val="00097968"/>
    <w:rsid w:val="000A1522"/>
    <w:rsid w:val="000A6AD8"/>
    <w:rsid w:val="000A7534"/>
    <w:rsid w:val="000B21DA"/>
    <w:rsid w:val="000C3DDE"/>
    <w:rsid w:val="000D5760"/>
    <w:rsid w:val="000D7D6A"/>
    <w:rsid w:val="000E1EC8"/>
    <w:rsid w:val="000E5343"/>
    <w:rsid w:val="000F376A"/>
    <w:rsid w:val="000F59F8"/>
    <w:rsid w:val="000F7039"/>
    <w:rsid w:val="001025B5"/>
    <w:rsid w:val="00104142"/>
    <w:rsid w:val="001142D1"/>
    <w:rsid w:val="00120C79"/>
    <w:rsid w:val="00120FB1"/>
    <w:rsid w:val="00130253"/>
    <w:rsid w:val="00133E81"/>
    <w:rsid w:val="00140CED"/>
    <w:rsid w:val="00141199"/>
    <w:rsid w:val="00147FF5"/>
    <w:rsid w:val="00152899"/>
    <w:rsid w:val="00154961"/>
    <w:rsid w:val="00155A21"/>
    <w:rsid w:val="001671C1"/>
    <w:rsid w:val="00171182"/>
    <w:rsid w:val="0017124B"/>
    <w:rsid w:val="00171D7F"/>
    <w:rsid w:val="00172DDF"/>
    <w:rsid w:val="00175051"/>
    <w:rsid w:val="00185ACF"/>
    <w:rsid w:val="00190579"/>
    <w:rsid w:val="001916C4"/>
    <w:rsid w:val="00192F78"/>
    <w:rsid w:val="00196E14"/>
    <w:rsid w:val="00196FD3"/>
    <w:rsid w:val="001A5145"/>
    <w:rsid w:val="001A522A"/>
    <w:rsid w:val="001A67C6"/>
    <w:rsid w:val="001A7904"/>
    <w:rsid w:val="001B1D06"/>
    <w:rsid w:val="001B1D39"/>
    <w:rsid w:val="001B4217"/>
    <w:rsid w:val="001B4731"/>
    <w:rsid w:val="001B498E"/>
    <w:rsid w:val="001B5D3E"/>
    <w:rsid w:val="001B606B"/>
    <w:rsid w:val="001B729C"/>
    <w:rsid w:val="001C0755"/>
    <w:rsid w:val="001C285B"/>
    <w:rsid w:val="001C7D7D"/>
    <w:rsid w:val="001D35F8"/>
    <w:rsid w:val="001D3CC2"/>
    <w:rsid w:val="001E2EED"/>
    <w:rsid w:val="001E518E"/>
    <w:rsid w:val="001F0A29"/>
    <w:rsid w:val="001F3DBD"/>
    <w:rsid w:val="001F648A"/>
    <w:rsid w:val="00201620"/>
    <w:rsid w:val="00205392"/>
    <w:rsid w:val="002104BF"/>
    <w:rsid w:val="00215824"/>
    <w:rsid w:val="00216BC8"/>
    <w:rsid w:val="002208C5"/>
    <w:rsid w:val="0022218D"/>
    <w:rsid w:val="00222343"/>
    <w:rsid w:val="00226926"/>
    <w:rsid w:val="002314E1"/>
    <w:rsid w:val="00232528"/>
    <w:rsid w:val="00235210"/>
    <w:rsid w:val="00235D20"/>
    <w:rsid w:val="00237633"/>
    <w:rsid w:val="00237FF9"/>
    <w:rsid w:val="002409CA"/>
    <w:rsid w:val="00241FCE"/>
    <w:rsid w:val="00250164"/>
    <w:rsid w:val="00253F38"/>
    <w:rsid w:val="002625C5"/>
    <w:rsid w:val="00262819"/>
    <w:rsid w:val="00263D07"/>
    <w:rsid w:val="00285040"/>
    <w:rsid w:val="00285062"/>
    <w:rsid w:val="00285F28"/>
    <w:rsid w:val="00290C5C"/>
    <w:rsid w:val="0029369B"/>
    <w:rsid w:val="00296959"/>
    <w:rsid w:val="002976B8"/>
    <w:rsid w:val="002A030C"/>
    <w:rsid w:val="002A4B7B"/>
    <w:rsid w:val="002B50C3"/>
    <w:rsid w:val="002C15AC"/>
    <w:rsid w:val="002C2E80"/>
    <w:rsid w:val="002C4687"/>
    <w:rsid w:val="002D2842"/>
    <w:rsid w:val="002D300B"/>
    <w:rsid w:val="002D47B3"/>
    <w:rsid w:val="002E1B51"/>
    <w:rsid w:val="002E5B57"/>
    <w:rsid w:val="002E6CD7"/>
    <w:rsid w:val="002E7F8D"/>
    <w:rsid w:val="002F1C4D"/>
    <w:rsid w:val="002F4115"/>
    <w:rsid w:val="002F60E1"/>
    <w:rsid w:val="002F72D3"/>
    <w:rsid w:val="00302290"/>
    <w:rsid w:val="00302C31"/>
    <w:rsid w:val="00303919"/>
    <w:rsid w:val="003047C2"/>
    <w:rsid w:val="0030653F"/>
    <w:rsid w:val="0030744F"/>
    <w:rsid w:val="003102C8"/>
    <w:rsid w:val="0031104B"/>
    <w:rsid w:val="0031117B"/>
    <w:rsid w:val="00312EBC"/>
    <w:rsid w:val="00313056"/>
    <w:rsid w:val="00323204"/>
    <w:rsid w:val="00337135"/>
    <w:rsid w:val="0034147B"/>
    <w:rsid w:val="00342E02"/>
    <w:rsid w:val="00345CED"/>
    <w:rsid w:val="003463D6"/>
    <w:rsid w:val="00346D31"/>
    <w:rsid w:val="00346DE6"/>
    <w:rsid w:val="003543C5"/>
    <w:rsid w:val="00354EF2"/>
    <w:rsid w:val="00357081"/>
    <w:rsid w:val="00357D35"/>
    <w:rsid w:val="00363FCD"/>
    <w:rsid w:val="00364C43"/>
    <w:rsid w:val="00364E6A"/>
    <w:rsid w:val="003676CF"/>
    <w:rsid w:val="00367720"/>
    <w:rsid w:val="00367778"/>
    <w:rsid w:val="0037029D"/>
    <w:rsid w:val="00373181"/>
    <w:rsid w:val="00381213"/>
    <w:rsid w:val="003832F7"/>
    <w:rsid w:val="003840EC"/>
    <w:rsid w:val="00386F77"/>
    <w:rsid w:val="00390891"/>
    <w:rsid w:val="00390C3F"/>
    <w:rsid w:val="00393127"/>
    <w:rsid w:val="003A7864"/>
    <w:rsid w:val="003B4100"/>
    <w:rsid w:val="003B57A4"/>
    <w:rsid w:val="003C1A16"/>
    <w:rsid w:val="003C1E91"/>
    <w:rsid w:val="003D12B2"/>
    <w:rsid w:val="003D19C3"/>
    <w:rsid w:val="003D36F9"/>
    <w:rsid w:val="003D77F1"/>
    <w:rsid w:val="003E0C31"/>
    <w:rsid w:val="003E562A"/>
    <w:rsid w:val="003E7A60"/>
    <w:rsid w:val="003F1F49"/>
    <w:rsid w:val="003F31DC"/>
    <w:rsid w:val="003F7448"/>
    <w:rsid w:val="00407F28"/>
    <w:rsid w:val="0041100A"/>
    <w:rsid w:val="004131C5"/>
    <w:rsid w:val="0042423E"/>
    <w:rsid w:val="00424BA6"/>
    <w:rsid w:val="004254E1"/>
    <w:rsid w:val="004339E6"/>
    <w:rsid w:val="0043683A"/>
    <w:rsid w:val="00437EB1"/>
    <w:rsid w:val="004405CE"/>
    <w:rsid w:val="00441422"/>
    <w:rsid w:val="00444ED6"/>
    <w:rsid w:val="00445DCB"/>
    <w:rsid w:val="0045044C"/>
    <w:rsid w:val="00460495"/>
    <w:rsid w:val="00460EEA"/>
    <w:rsid w:val="004630B6"/>
    <w:rsid w:val="00463106"/>
    <w:rsid w:val="00466300"/>
    <w:rsid w:val="00472150"/>
    <w:rsid w:val="00474607"/>
    <w:rsid w:val="00474910"/>
    <w:rsid w:val="004749AF"/>
    <w:rsid w:val="00475410"/>
    <w:rsid w:val="004763B3"/>
    <w:rsid w:val="00476DBE"/>
    <w:rsid w:val="00484116"/>
    <w:rsid w:val="0048424E"/>
    <w:rsid w:val="00485D6F"/>
    <w:rsid w:val="00486F42"/>
    <w:rsid w:val="00487D14"/>
    <w:rsid w:val="004A2C7E"/>
    <w:rsid w:val="004A45F1"/>
    <w:rsid w:val="004A6625"/>
    <w:rsid w:val="004A69D6"/>
    <w:rsid w:val="004A7DFE"/>
    <w:rsid w:val="004B21D9"/>
    <w:rsid w:val="004C0CE3"/>
    <w:rsid w:val="004C368B"/>
    <w:rsid w:val="004D0599"/>
    <w:rsid w:val="004D0F01"/>
    <w:rsid w:val="004D1A31"/>
    <w:rsid w:val="004D262A"/>
    <w:rsid w:val="004D2C6F"/>
    <w:rsid w:val="004D2E01"/>
    <w:rsid w:val="004E3305"/>
    <w:rsid w:val="004E568C"/>
    <w:rsid w:val="004E5AD8"/>
    <w:rsid w:val="004F0806"/>
    <w:rsid w:val="004F12D8"/>
    <w:rsid w:val="004F22A6"/>
    <w:rsid w:val="004F4A37"/>
    <w:rsid w:val="004F4D7D"/>
    <w:rsid w:val="004F7551"/>
    <w:rsid w:val="00500786"/>
    <w:rsid w:val="00504B53"/>
    <w:rsid w:val="00504FAF"/>
    <w:rsid w:val="00505202"/>
    <w:rsid w:val="0050692B"/>
    <w:rsid w:val="0051015D"/>
    <w:rsid w:val="0051292D"/>
    <w:rsid w:val="00513307"/>
    <w:rsid w:val="0051442D"/>
    <w:rsid w:val="0051622D"/>
    <w:rsid w:val="00517067"/>
    <w:rsid w:val="005219EB"/>
    <w:rsid w:val="005262C2"/>
    <w:rsid w:val="0052705A"/>
    <w:rsid w:val="0053293A"/>
    <w:rsid w:val="00535A58"/>
    <w:rsid w:val="00537A72"/>
    <w:rsid w:val="005405F8"/>
    <w:rsid w:val="00546878"/>
    <w:rsid w:val="0054745F"/>
    <w:rsid w:val="005503BF"/>
    <w:rsid w:val="005509BE"/>
    <w:rsid w:val="00560E18"/>
    <w:rsid w:val="00561C3C"/>
    <w:rsid w:val="00571E81"/>
    <w:rsid w:val="00571FEB"/>
    <w:rsid w:val="00573FF9"/>
    <w:rsid w:val="00576B16"/>
    <w:rsid w:val="005A313A"/>
    <w:rsid w:val="005A680F"/>
    <w:rsid w:val="005B07CB"/>
    <w:rsid w:val="005B0E76"/>
    <w:rsid w:val="005B2FF9"/>
    <w:rsid w:val="005B696E"/>
    <w:rsid w:val="005B6D81"/>
    <w:rsid w:val="005B7DD3"/>
    <w:rsid w:val="005C50F5"/>
    <w:rsid w:val="005C76EE"/>
    <w:rsid w:val="005C7FC2"/>
    <w:rsid w:val="005D2408"/>
    <w:rsid w:val="005D522E"/>
    <w:rsid w:val="005D6122"/>
    <w:rsid w:val="005D6E80"/>
    <w:rsid w:val="005E0FAF"/>
    <w:rsid w:val="005E23E3"/>
    <w:rsid w:val="005E2F7B"/>
    <w:rsid w:val="005E3C94"/>
    <w:rsid w:val="005E5C01"/>
    <w:rsid w:val="005E5DC1"/>
    <w:rsid w:val="005E7118"/>
    <w:rsid w:val="005F1CDA"/>
    <w:rsid w:val="005F37A4"/>
    <w:rsid w:val="005F6338"/>
    <w:rsid w:val="00602403"/>
    <w:rsid w:val="006041A4"/>
    <w:rsid w:val="006105B8"/>
    <w:rsid w:val="006109EC"/>
    <w:rsid w:val="00611D8A"/>
    <w:rsid w:val="00611F96"/>
    <w:rsid w:val="0061430D"/>
    <w:rsid w:val="006150CE"/>
    <w:rsid w:val="006165F4"/>
    <w:rsid w:val="006245EC"/>
    <w:rsid w:val="00625566"/>
    <w:rsid w:val="006309D5"/>
    <w:rsid w:val="00642664"/>
    <w:rsid w:val="00644BBE"/>
    <w:rsid w:val="006479F9"/>
    <w:rsid w:val="00647DDD"/>
    <w:rsid w:val="00650BFC"/>
    <w:rsid w:val="00653BA4"/>
    <w:rsid w:val="00654409"/>
    <w:rsid w:val="00656062"/>
    <w:rsid w:val="00657EDA"/>
    <w:rsid w:val="006609A2"/>
    <w:rsid w:val="00660C84"/>
    <w:rsid w:val="00661812"/>
    <w:rsid w:val="0066194B"/>
    <w:rsid w:val="00661FC4"/>
    <w:rsid w:val="00666D4D"/>
    <w:rsid w:val="00667EDC"/>
    <w:rsid w:val="00672205"/>
    <w:rsid w:val="006748BB"/>
    <w:rsid w:val="00683854"/>
    <w:rsid w:val="006858DA"/>
    <w:rsid w:val="006902F1"/>
    <w:rsid w:val="006918E9"/>
    <w:rsid w:val="006951CE"/>
    <w:rsid w:val="00695B2C"/>
    <w:rsid w:val="006A3B6B"/>
    <w:rsid w:val="006A438B"/>
    <w:rsid w:val="006A4F20"/>
    <w:rsid w:val="006B1E87"/>
    <w:rsid w:val="006B514A"/>
    <w:rsid w:val="006C31B7"/>
    <w:rsid w:val="006C4213"/>
    <w:rsid w:val="006C43D7"/>
    <w:rsid w:val="006C53ED"/>
    <w:rsid w:val="006C5694"/>
    <w:rsid w:val="006C59A9"/>
    <w:rsid w:val="006D29AA"/>
    <w:rsid w:val="006D3C5C"/>
    <w:rsid w:val="006D4128"/>
    <w:rsid w:val="006D5E57"/>
    <w:rsid w:val="006E2083"/>
    <w:rsid w:val="006E3064"/>
    <w:rsid w:val="006E64BE"/>
    <w:rsid w:val="006E68E6"/>
    <w:rsid w:val="006F042A"/>
    <w:rsid w:val="006F0D9B"/>
    <w:rsid w:val="006F2187"/>
    <w:rsid w:val="006F25E5"/>
    <w:rsid w:val="006F2FCE"/>
    <w:rsid w:val="006F415C"/>
    <w:rsid w:val="007112CA"/>
    <w:rsid w:val="007202BD"/>
    <w:rsid w:val="007205BF"/>
    <w:rsid w:val="007237D1"/>
    <w:rsid w:val="007241D4"/>
    <w:rsid w:val="00724D82"/>
    <w:rsid w:val="00730BF2"/>
    <w:rsid w:val="00732A6F"/>
    <w:rsid w:val="0074214D"/>
    <w:rsid w:val="00742764"/>
    <w:rsid w:val="00751452"/>
    <w:rsid w:val="0075156A"/>
    <w:rsid w:val="00751F90"/>
    <w:rsid w:val="007575E7"/>
    <w:rsid w:val="007619C5"/>
    <w:rsid w:val="00761C35"/>
    <w:rsid w:val="00762178"/>
    <w:rsid w:val="00766026"/>
    <w:rsid w:val="00772025"/>
    <w:rsid w:val="00780A2B"/>
    <w:rsid w:val="00781AA0"/>
    <w:rsid w:val="00781CF7"/>
    <w:rsid w:val="00782DE8"/>
    <w:rsid w:val="00792E10"/>
    <w:rsid w:val="00794575"/>
    <w:rsid w:val="007A1D60"/>
    <w:rsid w:val="007A3A5A"/>
    <w:rsid w:val="007B165A"/>
    <w:rsid w:val="007B2DAD"/>
    <w:rsid w:val="007B7246"/>
    <w:rsid w:val="007B78C2"/>
    <w:rsid w:val="007C1424"/>
    <w:rsid w:val="007C23FF"/>
    <w:rsid w:val="007C5008"/>
    <w:rsid w:val="007D1E79"/>
    <w:rsid w:val="007D27CF"/>
    <w:rsid w:val="007D4DAF"/>
    <w:rsid w:val="007D6F16"/>
    <w:rsid w:val="007D7194"/>
    <w:rsid w:val="007E1175"/>
    <w:rsid w:val="007E468A"/>
    <w:rsid w:val="007E5302"/>
    <w:rsid w:val="007E58FC"/>
    <w:rsid w:val="007E6B92"/>
    <w:rsid w:val="007F1517"/>
    <w:rsid w:val="007F207F"/>
    <w:rsid w:val="007F5B91"/>
    <w:rsid w:val="00803CEC"/>
    <w:rsid w:val="008076A4"/>
    <w:rsid w:val="00810CA3"/>
    <w:rsid w:val="00822050"/>
    <w:rsid w:val="00830952"/>
    <w:rsid w:val="00830F84"/>
    <w:rsid w:val="00837BEE"/>
    <w:rsid w:val="008443A9"/>
    <w:rsid w:val="008469B3"/>
    <w:rsid w:val="00852AB8"/>
    <w:rsid w:val="00856204"/>
    <w:rsid w:val="00860576"/>
    <w:rsid w:val="008605BF"/>
    <w:rsid w:val="00863041"/>
    <w:rsid w:val="008674AA"/>
    <w:rsid w:val="008675CC"/>
    <w:rsid w:val="0087609B"/>
    <w:rsid w:val="0088094C"/>
    <w:rsid w:val="00881004"/>
    <w:rsid w:val="00882C40"/>
    <w:rsid w:val="00883D7C"/>
    <w:rsid w:val="00884B89"/>
    <w:rsid w:val="008863E1"/>
    <w:rsid w:val="00892908"/>
    <w:rsid w:val="008942FC"/>
    <w:rsid w:val="0089562F"/>
    <w:rsid w:val="008A082A"/>
    <w:rsid w:val="008A4DF4"/>
    <w:rsid w:val="008B1DA9"/>
    <w:rsid w:val="008B6162"/>
    <w:rsid w:val="008C3EBC"/>
    <w:rsid w:val="008C57F6"/>
    <w:rsid w:val="008D33A3"/>
    <w:rsid w:val="008D4715"/>
    <w:rsid w:val="008D499C"/>
    <w:rsid w:val="008D6F1D"/>
    <w:rsid w:val="008F11CF"/>
    <w:rsid w:val="008F189C"/>
    <w:rsid w:val="008F1FE1"/>
    <w:rsid w:val="008F32FF"/>
    <w:rsid w:val="008F4486"/>
    <w:rsid w:val="008F4FC6"/>
    <w:rsid w:val="008F5518"/>
    <w:rsid w:val="008F66C0"/>
    <w:rsid w:val="00900DC1"/>
    <w:rsid w:val="00902179"/>
    <w:rsid w:val="00903877"/>
    <w:rsid w:val="009045D4"/>
    <w:rsid w:val="0091372B"/>
    <w:rsid w:val="0091544C"/>
    <w:rsid w:val="00915ABF"/>
    <w:rsid w:val="00921D03"/>
    <w:rsid w:val="00925CD2"/>
    <w:rsid w:val="00933065"/>
    <w:rsid w:val="00933569"/>
    <w:rsid w:val="009365B1"/>
    <w:rsid w:val="0093799C"/>
    <w:rsid w:val="009422A1"/>
    <w:rsid w:val="00942A7D"/>
    <w:rsid w:val="009444C5"/>
    <w:rsid w:val="00944804"/>
    <w:rsid w:val="0094634F"/>
    <w:rsid w:val="009473D8"/>
    <w:rsid w:val="00956CAF"/>
    <w:rsid w:val="00960ADF"/>
    <w:rsid w:val="00962EBE"/>
    <w:rsid w:val="00963A0C"/>
    <w:rsid w:val="00965EAF"/>
    <w:rsid w:val="009719EA"/>
    <w:rsid w:val="00972028"/>
    <w:rsid w:val="00974A92"/>
    <w:rsid w:val="00975270"/>
    <w:rsid w:val="00975BA1"/>
    <w:rsid w:val="009835E3"/>
    <w:rsid w:val="009837A6"/>
    <w:rsid w:val="009867EA"/>
    <w:rsid w:val="009869F2"/>
    <w:rsid w:val="00987CDB"/>
    <w:rsid w:val="00996178"/>
    <w:rsid w:val="009A2726"/>
    <w:rsid w:val="009A30E0"/>
    <w:rsid w:val="009A3619"/>
    <w:rsid w:val="009A66D0"/>
    <w:rsid w:val="009B08AF"/>
    <w:rsid w:val="009B0FF9"/>
    <w:rsid w:val="009B3DFC"/>
    <w:rsid w:val="009B793E"/>
    <w:rsid w:val="009C1EA6"/>
    <w:rsid w:val="009C37B9"/>
    <w:rsid w:val="009C38E7"/>
    <w:rsid w:val="009D32BD"/>
    <w:rsid w:val="009D35B5"/>
    <w:rsid w:val="009D4486"/>
    <w:rsid w:val="009D4AC1"/>
    <w:rsid w:val="009E1697"/>
    <w:rsid w:val="009E2A77"/>
    <w:rsid w:val="009F211E"/>
    <w:rsid w:val="009F2572"/>
    <w:rsid w:val="009F294E"/>
    <w:rsid w:val="009F30F1"/>
    <w:rsid w:val="009F37C7"/>
    <w:rsid w:val="009F50AB"/>
    <w:rsid w:val="00A005F6"/>
    <w:rsid w:val="00A0424F"/>
    <w:rsid w:val="00A04762"/>
    <w:rsid w:val="00A05D30"/>
    <w:rsid w:val="00A103FF"/>
    <w:rsid w:val="00A16C6E"/>
    <w:rsid w:val="00A17DB2"/>
    <w:rsid w:val="00A22A14"/>
    <w:rsid w:val="00A253D0"/>
    <w:rsid w:val="00A26214"/>
    <w:rsid w:val="00A27A51"/>
    <w:rsid w:val="00A3283B"/>
    <w:rsid w:val="00A332DE"/>
    <w:rsid w:val="00A37BA4"/>
    <w:rsid w:val="00A402F6"/>
    <w:rsid w:val="00A43739"/>
    <w:rsid w:val="00A451FC"/>
    <w:rsid w:val="00A47815"/>
    <w:rsid w:val="00A47A18"/>
    <w:rsid w:val="00A52ED5"/>
    <w:rsid w:val="00A539CB"/>
    <w:rsid w:val="00A54302"/>
    <w:rsid w:val="00A63709"/>
    <w:rsid w:val="00A649E6"/>
    <w:rsid w:val="00A660AF"/>
    <w:rsid w:val="00A70A95"/>
    <w:rsid w:val="00A70BDA"/>
    <w:rsid w:val="00A715A6"/>
    <w:rsid w:val="00A740B6"/>
    <w:rsid w:val="00A7621E"/>
    <w:rsid w:val="00A817D5"/>
    <w:rsid w:val="00A901F2"/>
    <w:rsid w:val="00A93351"/>
    <w:rsid w:val="00A95538"/>
    <w:rsid w:val="00A97BBC"/>
    <w:rsid w:val="00AA0013"/>
    <w:rsid w:val="00AA0138"/>
    <w:rsid w:val="00AA26FF"/>
    <w:rsid w:val="00AA6E8C"/>
    <w:rsid w:val="00AA6F19"/>
    <w:rsid w:val="00AA75E6"/>
    <w:rsid w:val="00AA79A8"/>
    <w:rsid w:val="00AA7A76"/>
    <w:rsid w:val="00AB0286"/>
    <w:rsid w:val="00AB4C6D"/>
    <w:rsid w:val="00AB55F7"/>
    <w:rsid w:val="00AB6BCE"/>
    <w:rsid w:val="00AB71C3"/>
    <w:rsid w:val="00AC163D"/>
    <w:rsid w:val="00AC2995"/>
    <w:rsid w:val="00AC4165"/>
    <w:rsid w:val="00AC556A"/>
    <w:rsid w:val="00AC7078"/>
    <w:rsid w:val="00AC76EA"/>
    <w:rsid w:val="00AD2631"/>
    <w:rsid w:val="00AD7010"/>
    <w:rsid w:val="00AE1220"/>
    <w:rsid w:val="00AE287F"/>
    <w:rsid w:val="00AE45B9"/>
    <w:rsid w:val="00AE63BD"/>
    <w:rsid w:val="00AF0B2B"/>
    <w:rsid w:val="00AF2914"/>
    <w:rsid w:val="00AF363F"/>
    <w:rsid w:val="00AF3E4F"/>
    <w:rsid w:val="00B05CC4"/>
    <w:rsid w:val="00B071FF"/>
    <w:rsid w:val="00B11505"/>
    <w:rsid w:val="00B11DC2"/>
    <w:rsid w:val="00B15142"/>
    <w:rsid w:val="00B16F69"/>
    <w:rsid w:val="00B1789D"/>
    <w:rsid w:val="00B273DC"/>
    <w:rsid w:val="00B279DF"/>
    <w:rsid w:val="00B31510"/>
    <w:rsid w:val="00B42807"/>
    <w:rsid w:val="00B428A6"/>
    <w:rsid w:val="00B43340"/>
    <w:rsid w:val="00B4461C"/>
    <w:rsid w:val="00B45476"/>
    <w:rsid w:val="00B53913"/>
    <w:rsid w:val="00B554D4"/>
    <w:rsid w:val="00B55F3A"/>
    <w:rsid w:val="00B56906"/>
    <w:rsid w:val="00B64957"/>
    <w:rsid w:val="00B67BEF"/>
    <w:rsid w:val="00B71CB5"/>
    <w:rsid w:val="00B72922"/>
    <w:rsid w:val="00B72A13"/>
    <w:rsid w:val="00B72ADA"/>
    <w:rsid w:val="00B84042"/>
    <w:rsid w:val="00B84DD5"/>
    <w:rsid w:val="00B9487E"/>
    <w:rsid w:val="00B95910"/>
    <w:rsid w:val="00BA29E7"/>
    <w:rsid w:val="00BA3A4C"/>
    <w:rsid w:val="00BB0F20"/>
    <w:rsid w:val="00BB7F08"/>
    <w:rsid w:val="00BC35CD"/>
    <w:rsid w:val="00BC415B"/>
    <w:rsid w:val="00BC7BBE"/>
    <w:rsid w:val="00BD1446"/>
    <w:rsid w:val="00BD2CDE"/>
    <w:rsid w:val="00BD41CF"/>
    <w:rsid w:val="00BE0164"/>
    <w:rsid w:val="00BE12BD"/>
    <w:rsid w:val="00BE2ED7"/>
    <w:rsid w:val="00BE6AB8"/>
    <w:rsid w:val="00BF040B"/>
    <w:rsid w:val="00BF086D"/>
    <w:rsid w:val="00BF2167"/>
    <w:rsid w:val="00BF43BC"/>
    <w:rsid w:val="00BF4DDA"/>
    <w:rsid w:val="00BF55C7"/>
    <w:rsid w:val="00BF7ED8"/>
    <w:rsid w:val="00C04139"/>
    <w:rsid w:val="00C044B1"/>
    <w:rsid w:val="00C0572E"/>
    <w:rsid w:val="00C21B3D"/>
    <w:rsid w:val="00C24267"/>
    <w:rsid w:val="00C2788D"/>
    <w:rsid w:val="00C322E9"/>
    <w:rsid w:val="00C33398"/>
    <w:rsid w:val="00C361F6"/>
    <w:rsid w:val="00C3669A"/>
    <w:rsid w:val="00C423E3"/>
    <w:rsid w:val="00C44BAC"/>
    <w:rsid w:val="00C45626"/>
    <w:rsid w:val="00C458AF"/>
    <w:rsid w:val="00C45AC9"/>
    <w:rsid w:val="00C460A0"/>
    <w:rsid w:val="00C4720D"/>
    <w:rsid w:val="00C50068"/>
    <w:rsid w:val="00C50C46"/>
    <w:rsid w:val="00C549F4"/>
    <w:rsid w:val="00C54B12"/>
    <w:rsid w:val="00C610F2"/>
    <w:rsid w:val="00C676F3"/>
    <w:rsid w:val="00C71AB8"/>
    <w:rsid w:val="00C7535D"/>
    <w:rsid w:val="00C75909"/>
    <w:rsid w:val="00C767D5"/>
    <w:rsid w:val="00C77EFD"/>
    <w:rsid w:val="00C81A10"/>
    <w:rsid w:val="00C82423"/>
    <w:rsid w:val="00C829DF"/>
    <w:rsid w:val="00C84021"/>
    <w:rsid w:val="00C875AE"/>
    <w:rsid w:val="00C9310B"/>
    <w:rsid w:val="00C93FBD"/>
    <w:rsid w:val="00CA3E24"/>
    <w:rsid w:val="00CA696D"/>
    <w:rsid w:val="00CA6B5A"/>
    <w:rsid w:val="00CB1536"/>
    <w:rsid w:val="00CB3907"/>
    <w:rsid w:val="00CB6167"/>
    <w:rsid w:val="00CC0C54"/>
    <w:rsid w:val="00CC1016"/>
    <w:rsid w:val="00CD1721"/>
    <w:rsid w:val="00CD4DDC"/>
    <w:rsid w:val="00CD6B80"/>
    <w:rsid w:val="00CE6301"/>
    <w:rsid w:val="00CE74A8"/>
    <w:rsid w:val="00CF2008"/>
    <w:rsid w:val="00CF3649"/>
    <w:rsid w:val="00CF4188"/>
    <w:rsid w:val="00CF4E9E"/>
    <w:rsid w:val="00CF7848"/>
    <w:rsid w:val="00D02ECA"/>
    <w:rsid w:val="00D058FC"/>
    <w:rsid w:val="00D06213"/>
    <w:rsid w:val="00D06732"/>
    <w:rsid w:val="00D10010"/>
    <w:rsid w:val="00D12BB7"/>
    <w:rsid w:val="00D1420E"/>
    <w:rsid w:val="00D15731"/>
    <w:rsid w:val="00D21601"/>
    <w:rsid w:val="00D31882"/>
    <w:rsid w:val="00D31BAB"/>
    <w:rsid w:val="00D31D27"/>
    <w:rsid w:val="00D34AFB"/>
    <w:rsid w:val="00D35A03"/>
    <w:rsid w:val="00D37377"/>
    <w:rsid w:val="00D41447"/>
    <w:rsid w:val="00D41830"/>
    <w:rsid w:val="00D45B8C"/>
    <w:rsid w:val="00D56058"/>
    <w:rsid w:val="00D567E0"/>
    <w:rsid w:val="00D56A09"/>
    <w:rsid w:val="00D577DC"/>
    <w:rsid w:val="00D61F2D"/>
    <w:rsid w:val="00D630DE"/>
    <w:rsid w:val="00D630E3"/>
    <w:rsid w:val="00D645C6"/>
    <w:rsid w:val="00D65905"/>
    <w:rsid w:val="00D7327A"/>
    <w:rsid w:val="00D74EC8"/>
    <w:rsid w:val="00D81AC9"/>
    <w:rsid w:val="00D858CC"/>
    <w:rsid w:val="00D9086C"/>
    <w:rsid w:val="00D9304D"/>
    <w:rsid w:val="00D94745"/>
    <w:rsid w:val="00D95DFF"/>
    <w:rsid w:val="00D963D5"/>
    <w:rsid w:val="00D96AF5"/>
    <w:rsid w:val="00DA41B2"/>
    <w:rsid w:val="00DA5D06"/>
    <w:rsid w:val="00DA7B20"/>
    <w:rsid w:val="00DB4FF5"/>
    <w:rsid w:val="00DB5727"/>
    <w:rsid w:val="00DC1DED"/>
    <w:rsid w:val="00DC52BC"/>
    <w:rsid w:val="00DC621D"/>
    <w:rsid w:val="00DC6A98"/>
    <w:rsid w:val="00DC6EF8"/>
    <w:rsid w:val="00DC7245"/>
    <w:rsid w:val="00DC730A"/>
    <w:rsid w:val="00DD12FC"/>
    <w:rsid w:val="00DD4A81"/>
    <w:rsid w:val="00DD69AF"/>
    <w:rsid w:val="00DE10C4"/>
    <w:rsid w:val="00DE130A"/>
    <w:rsid w:val="00DE1F21"/>
    <w:rsid w:val="00DE38B2"/>
    <w:rsid w:val="00DF2C9A"/>
    <w:rsid w:val="00DF5291"/>
    <w:rsid w:val="00DF6AC1"/>
    <w:rsid w:val="00E03B66"/>
    <w:rsid w:val="00E05572"/>
    <w:rsid w:val="00E16292"/>
    <w:rsid w:val="00E166FD"/>
    <w:rsid w:val="00E25706"/>
    <w:rsid w:val="00E25BDD"/>
    <w:rsid w:val="00E264BB"/>
    <w:rsid w:val="00E276DF"/>
    <w:rsid w:val="00E30596"/>
    <w:rsid w:val="00E33434"/>
    <w:rsid w:val="00E3479C"/>
    <w:rsid w:val="00E41CE8"/>
    <w:rsid w:val="00E41EA6"/>
    <w:rsid w:val="00E43C23"/>
    <w:rsid w:val="00E45E6A"/>
    <w:rsid w:val="00E47A19"/>
    <w:rsid w:val="00E50A42"/>
    <w:rsid w:val="00E5197A"/>
    <w:rsid w:val="00E54FA5"/>
    <w:rsid w:val="00E56D64"/>
    <w:rsid w:val="00E61081"/>
    <w:rsid w:val="00E65B9D"/>
    <w:rsid w:val="00E6777A"/>
    <w:rsid w:val="00E7122F"/>
    <w:rsid w:val="00E71CE6"/>
    <w:rsid w:val="00E71E16"/>
    <w:rsid w:val="00E76641"/>
    <w:rsid w:val="00E851E8"/>
    <w:rsid w:val="00E86DF2"/>
    <w:rsid w:val="00E879EC"/>
    <w:rsid w:val="00E934B6"/>
    <w:rsid w:val="00E95703"/>
    <w:rsid w:val="00EA0297"/>
    <w:rsid w:val="00EA2C29"/>
    <w:rsid w:val="00EA3F05"/>
    <w:rsid w:val="00EA5E85"/>
    <w:rsid w:val="00EB0B07"/>
    <w:rsid w:val="00EB144E"/>
    <w:rsid w:val="00EB17D3"/>
    <w:rsid w:val="00EB1B82"/>
    <w:rsid w:val="00EB635D"/>
    <w:rsid w:val="00EB6AA6"/>
    <w:rsid w:val="00EC2653"/>
    <w:rsid w:val="00EC38E3"/>
    <w:rsid w:val="00EC70BC"/>
    <w:rsid w:val="00ED018E"/>
    <w:rsid w:val="00ED07AD"/>
    <w:rsid w:val="00ED3B36"/>
    <w:rsid w:val="00EE55F9"/>
    <w:rsid w:val="00EE62A5"/>
    <w:rsid w:val="00EE63DE"/>
    <w:rsid w:val="00F03754"/>
    <w:rsid w:val="00F11454"/>
    <w:rsid w:val="00F14302"/>
    <w:rsid w:val="00F221FC"/>
    <w:rsid w:val="00F24025"/>
    <w:rsid w:val="00F30542"/>
    <w:rsid w:val="00F35CAE"/>
    <w:rsid w:val="00F36EE7"/>
    <w:rsid w:val="00F4468A"/>
    <w:rsid w:val="00F45F1C"/>
    <w:rsid w:val="00F57AFC"/>
    <w:rsid w:val="00F627E4"/>
    <w:rsid w:val="00F65DBD"/>
    <w:rsid w:val="00F669B9"/>
    <w:rsid w:val="00F725AC"/>
    <w:rsid w:val="00F773E6"/>
    <w:rsid w:val="00F80CEE"/>
    <w:rsid w:val="00F81F36"/>
    <w:rsid w:val="00F8493C"/>
    <w:rsid w:val="00F85468"/>
    <w:rsid w:val="00F86A45"/>
    <w:rsid w:val="00F86BC7"/>
    <w:rsid w:val="00F9202F"/>
    <w:rsid w:val="00F92AA4"/>
    <w:rsid w:val="00FA2B2A"/>
    <w:rsid w:val="00FA6B1E"/>
    <w:rsid w:val="00FB4165"/>
    <w:rsid w:val="00FB59A0"/>
    <w:rsid w:val="00FC42BD"/>
    <w:rsid w:val="00FD0D76"/>
    <w:rsid w:val="00FD2E9B"/>
    <w:rsid w:val="00FE065B"/>
    <w:rsid w:val="00FE17D2"/>
    <w:rsid w:val="00FE4133"/>
    <w:rsid w:val="00FF39DB"/>
    <w:rsid w:val="00FF6D2A"/>
    <w:rsid w:val="00FF71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E1F9935E-2E9F-4B13-8260-886E8E0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footnotes">
    <w:name w:val="footnotes"/>
    <w:basedOn w:val="Normal"/>
    <w:rsid w:val="00345CED"/>
    <w:pPr>
      <w:tabs>
        <w:tab w:val="right" w:pos="397"/>
        <w:tab w:val="left" w:pos="567"/>
      </w:tabs>
      <w:adjustRightInd w:val="0"/>
      <w:ind w:left="567" w:hanging="567"/>
      <w:jc w:val="both"/>
      <w:textAlignment w:val="baseline"/>
    </w:pPr>
    <w:rPr>
      <w:rFonts w:ascii="Verdana" w:hAnsi="Verdana"/>
      <w:sz w:val="16"/>
      <w:szCs w:val="20"/>
      <w:lang w:val="en-US" w:eastAsia="en-ZA"/>
    </w:rPr>
  </w:style>
  <w:style w:type="character" w:customStyle="1" w:styleId="apple-converted-space">
    <w:name w:val="apple-converted-space"/>
    <w:basedOn w:val="DefaultParagraphFont"/>
    <w:rsid w:val="00CD6B80"/>
  </w:style>
  <w:style w:type="character" w:customStyle="1" w:styleId="searchhit">
    <w:name w:val="searchhit"/>
    <w:basedOn w:val="DefaultParagraphFont"/>
    <w:rsid w:val="007A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463887362">
      <w:bodyDiv w:val="1"/>
      <w:marLeft w:val="0"/>
      <w:marRight w:val="0"/>
      <w:marTop w:val="0"/>
      <w:marBottom w:val="0"/>
      <w:divBdr>
        <w:top w:val="none" w:sz="0" w:space="0" w:color="auto"/>
        <w:left w:val="none" w:sz="0" w:space="0" w:color="auto"/>
        <w:bottom w:val="none" w:sz="0" w:space="0" w:color="auto"/>
        <w:right w:val="none" w:sz="0" w:space="0" w:color="auto"/>
      </w:divBdr>
      <w:divsChild>
        <w:div w:id="850796764">
          <w:marLeft w:val="0"/>
          <w:marRight w:val="0"/>
          <w:marTop w:val="120"/>
          <w:marBottom w:val="0"/>
          <w:divBdr>
            <w:top w:val="none" w:sz="0" w:space="0" w:color="auto"/>
            <w:left w:val="none" w:sz="0" w:space="0" w:color="auto"/>
            <w:bottom w:val="none" w:sz="0" w:space="0" w:color="auto"/>
            <w:right w:val="none" w:sz="0" w:space="0" w:color="auto"/>
          </w:divBdr>
        </w:div>
      </w:divsChild>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822624161">
      <w:bodyDiv w:val="1"/>
      <w:marLeft w:val="0"/>
      <w:marRight w:val="0"/>
      <w:marTop w:val="0"/>
      <w:marBottom w:val="0"/>
      <w:divBdr>
        <w:top w:val="none" w:sz="0" w:space="0" w:color="auto"/>
        <w:left w:val="none" w:sz="0" w:space="0" w:color="auto"/>
        <w:bottom w:val="none" w:sz="0" w:space="0" w:color="auto"/>
        <w:right w:val="none" w:sz="0" w:space="0" w:color="auto"/>
      </w:divBdr>
      <w:divsChild>
        <w:div w:id="1073314101">
          <w:marLeft w:val="0"/>
          <w:marRight w:val="0"/>
          <w:marTop w:val="120"/>
          <w:marBottom w:val="0"/>
          <w:divBdr>
            <w:top w:val="none" w:sz="0" w:space="0" w:color="auto"/>
            <w:left w:val="none" w:sz="0" w:space="0" w:color="auto"/>
            <w:bottom w:val="none" w:sz="0" w:space="0" w:color="auto"/>
            <w:right w:val="none" w:sz="0" w:space="0" w:color="auto"/>
          </w:divBdr>
        </w:div>
        <w:div w:id="148712595">
          <w:marLeft w:val="0"/>
          <w:marRight w:val="0"/>
          <w:marTop w:val="120"/>
          <w:marBottom w:val="0"/>
          <w:divBdr>
            <w:top w:val="none" w:sz="0" w:space="0" w:color="auto"/>
            <w:left w:val="none" w:sz="0" w:space="0" w:color="auto"/>
            <w:bottom w:val="none" w:sz="0" w:space="0" w:color="auto"/>
            <w:right w:val="none" w:sz="0" w:space="0" w:color="auto"/>
          </w:divBdr>
        </w:div>
        <w:div w:id="708187907">
          <w:marLeft w:val="0"/>
          <w:marRight w:val="0"/>
          <w:marTop w:val="60"/>
          <w:marBottom w:val="0"/>
          <w:divBdr>
            <w:top w:val="none" w:sz="0" w:space="0" w:color="auto"/>
            <w:left w:val="none" w:sz="0" w:space="0" w:color="auto"/>
            <w:bottom w:val="none" w:sz="0" w:space="0" w:color="auto"/>
            <w:right w:val="none" w:sz="0" w:space="0" w:color="auto"/>
          </w:divBdr>
        </w:div>
        <w:div w:id="1729719204">
          <w:marLeft w:val="0"/>
          <w:marRight w:val="0"/>
          <w:marTop w:val="60"/>
          <w:marBottom w:val="0"/>
          <w:divBdr>
            <w:top w:val="none" w:sz="0" w:space="0" w:color="auto"/>
            <w:left w:val="none" w:sz="0" w:space="0" w:color="auto"/>
            <w:bottom w:val="none" w:sz="0" w:space="0" w:color="auto"/>
            <w:right w:val="none" w:sz="0" w:space="0" w:color="auto"/>
          </w:divBdr>
        </w:div>
        <w:div w:id="518784028">
          <w:marLeft w:val="0"/>
          <w:marRight w:val="0"/>
          <w:marTop w:val="60"/>
          <w:marBottom w:val="0"/>
          <w:divBdr>
            <w:top w:val="none" w:sz="0" w:space="0" w:color="auto"/>
            <w:left w:val="none" w:sz="0" w:space="0" w:color="auto"/>
            <w:bottom w:val="none" w:sz="0" w:space="0" w:color="auto"/>
            <w:right w:val="none" w:sz="0" w:space="0" w:color="auto"/>
          </w:divBdr>
        </w:div>
      </w:divsChild>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2B17-20E3-4145-9086-B89547D5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2</TotalTime>
  <Pages>7</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Sathish</cp:lastModifiedBy>
  <cp:revision>3</cp:revision>
  <cp:lastPrinted>2023-10-13T11:02:00Z</cp:lastPrinted>
  <dcterms:created xsi:type="dcterms:W3CDTF">2024-02-22T13:14:00Z</dcterms:created>
  <dcterms:modified xsi:type="dcterms:W3CDTF">2024-02-22T18:49:00Z</dcterms:modified>
</cp:coreProperties>
</file>