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39D0" w14:textId="77777777" w:rsidR="000D6D36" w:rsidRDefault="000D6D36" w:rsidP="000D6D36">
      <w:pPr>
        <w:pStyle w:val="LegalTitle"/>
        <w:spacing w:after="120" w:line="360" w:lineRule="auto"/>
        <w:rPr>
          <w:u w:val="single"/>
        </w:rPr>
      </w:pPr>
      <w:bookmarkStart w:id="0" w:name="_GoBack"/>
      <w:r>
        <w:rPr>
          <w:u w:val="single"/>
        </w:rPr>
        <w:t>REPUBLIC OF SOUTH AFRICA</w:t>
      </w:r>
    </w:p>
    <w:p w14:paraId="6975A292" w14:textId="77777777" w:rsidR="000C3AF7" w:rsidRPr="000C3AF7" w:rsidRDefault="00E30837" w:rsidP="00027B5A">
      <w:pPr>
        <w:pStyle w:val="LegalNormal"/>
        <w:spacing w:after="0" w:line="360" w:lineRule="auto"/>
        <w:jc w:val="center"/>
      </w:pPr>
      <w:r>
        <w:rPr>
          <w:noProof/>
          <w:lang w:val="en-US" w:eastAsia="en-US"/>
        </w:rPr>
        <w:drawing>
          <wp:inline distT="0" distB="0" distL="0" distR="0" wp14:anchorId="053EBF2F" wp14:editId="533910C4">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0EABC37" w14:textId="77777777" w:rsidR="00781994" w:rsidRDefault="00781994" w:rsidP="00C33E77">
      <w:pPr>
        <w:pStyle w:val="LegalTitle"/>
        <w:spacing w:after="0" w:line="360" w:lineRule="auto"/>
        <w:rPr>
          <w:u w:val="single"/>
        </w:rPr>
      </w:pPr>
      <w:r>
        <w:rPr>
          <w:u w:val="single"/>
        </w:rPr>
        <w:t>IN THE HIGH COURT OF SOUTH AFRICA</w:t>
      </w:r>
    </w:p>
    <w:p w14:paraId="28436984" w14:textId="77777777"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4F450CDD" wp14:editId="270B5613">
                <wp:simplePos x="0" y="0"/>
                <wp:positionH relativeFrom="column">
                  <wp:posOffset>-51435</wp:posOffset>
                </wp:positionH>
                <wp:positionV relativeFrom="paragraph">
                  <wp:posOffset>274955</wp:posOffset>
                </wp:positionV>
                <wp:extent cx="2933700" cy="533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3400"/>
                        </a:xfrm>
                        <a:prstGeom prst="rect">
                          <a:avLst/>
                        </a:prstGeom>
                        <a:solidFill>
                          <a:srgbClr val="FFFFFF"/>
                        </a:solidFill>
                        <a:ln w="9525">
                          <a:solidFill>
                            <a:srgbClr val="000000"/>
                          </a:solidFill>
                          <a:miter lim="800000"/>
                          <a:headEnd/>
                          <a:tailEnd/>
                        </a:ln>
                      </wps:spPr>
                      <wps:txbx>
                        <w:txbxContent>
                          <w:p w14:paraId="322EBABD" w14:textId="6D20CB13" w:rsidR="00236346" w:rsidRPr="00D40FF0" w:rsidRDefault="000D4A94" w:rsidP="000D4A9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(1)</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REPORTABLE</w:t>
                            </w:r>
                          </w:p>
                          <w:p w14:paraId="45BEAB3E" w14:textId="7E85C699" w:rsidR="00236346" w:rsidRPr="00D40FF0" w:rsidRDefault="000D4A94" w:rsidP="000D4A9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(2)</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w:t>
                            </w:r>
                            <w:r w:rsidR="00236346" w:rsidRPr="00D40FF0">
                              <w:rPr>
                                <w:rFonts w:ascii="Century Gothic" w:hAnsi="Century Gothic"/>
                                <w:b/>
                                <w:bCs/>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50CDD" id="_x0000_t202" coordsize="21600,21600" o:spt="202" path="m,l,21600r21600,l21600,xe">
                <v:stroke joinstyle="miter"/>
                <v:path gradientshapeok="t" o:connecttype="rect"/>
              </v:shapetype>
              <v:shape id="Text Box 1" o:spid="_x0000_s1026" type="#_x0000_t202" style="position:absolute;left:0;text-align:left;margin-left:-4.05pt;margin-top:21.65pt;width:23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">
                <v:textbox>
                  <w:txbxContent>
                    <w:p w14:paraId="322EBABD" w14:textId="6D20CB13" w:rsidR="00236346" w:rsidRPr="00D40FF0" w:rsidRDefault="000D4A94" w:rsidP="000D4A9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(1)</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REPORTABLE</w:t>
                      </w:r>
                    </w:p>
                    <w:p w14:paraId="45BEAB3E" w14:textId="7E85C699" w:rsidR="00236346" w:rsidRPr="00D40FF0" w:rsidRDefault="000D4A94" w:rsidP="000D4A94">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(2)</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w:t>
                      </w:r>
                      <w:r w:rsidR="00236346" w:rsidRPr="00D40FF0">
                        <w:rPr>
                          <w:rFonts w:ascii="Century Gothic" w:hAnsi="Century Gothic"/>
                          <w:b/>
                          <w:bCs/>
                          <w:sz w:val="20"/>
                          <w:szCs w:val="20"/>
                        </w:rPr>
                        <w:t>OF INTEREST TO OTHER JUDGES</w:t>
                      </w:r>
                    </w:p>
                  </w:txbxContent>
                </v:textbox>
              </v:shape>
            </w:pict>
          </mc:Fallback>
        </mc:AlternateContent>
      </w:r>
      <w:r w:rsidR="00520591" w:rsidRPr="00520591">
        <w:rPr>
          <w:u w:val="single"/>
        </w:rPr>
        <w:t xml:space="preserve">GAUTENG DIVISION, </w:t>
      </w:r>
      <w:r w:rsidR="00027B5A">
        <w:rPr>
          <w:u w:val="single"/>
        </w:rPr>
        <w:t>JOHANNESBURG</w:t>
      </w:r>
    </w:p>
    <w:p w14:paraId="3D33B722" w14:textId="415380D8" w:rsidR="00934E22" w:rsidRDefault="00934E22" w:rsidP="00C33E77">
      <w:pPr>
        <w:pStyle w:val="LegalAnnexure"/>
        <w:spacing w:before="840" w:after="0" w:line="360" w:lineRule="auto"/>
      </w:pPr>
      <w:r>
        <w:rPr>
          <w:u w:val="single"/>
        </w:rPr>
        <w:t>DATE</w:t>
      </w:r>
      <w:r>
        <w:t xml:space="preserve">: </w:t>
      </w:r>
      <w:r w:rsidR="00BA34EF">
        <w:rPr>
          <w:b w:val="0"/>
        </w:rPr>
        <w:t>26</w:t>
      </w:r>
      <w:r w:rsidR="00BA34EF" w:rsidRPr="00BA34EF">
        <w:rPr>
          <w:b w:val="0"/>
          <w:vertAlign w:val="superscript"/>
        </w:rPr>
        <w:t>th</w:t>
      </w:r>
      <w:r w:rsidR="00BA34EF">
        <w:rPr>
          <w:b w:val="0"/>
        </w:rPr>
        <w:t xml:space="preserve"> </w:t>
      </w:r>
      <w:r w:rsidR="00864E4C">
        <w:rPr>
          <w:b w:val="0"/>
        </w:rPr>
        <w:t>February</w:t>
      </w:r>
      <w:r>
        <w:rPr>
          <w:b w:val="0"/>
        </w:rPr>
        <w:t xml:space="preserve"> 202</w:t>
      </w:r>
      <w:r w:rsidR="00864E4C">
        <w:rPr>
          <w:b w:val="0"/>
        </w:rPr>
        <w:t>4</w:t>
      </w:r>
    </w:p>
    <w:p w14:paraId="04056673" w14:textId="3ED4A334" w:rsidR="00934E22" w:rsidRDefault="000D4A94" w:rsidP="000D4A94">
      <w:pPr>
        <w:pStyle w:val="LegalAnnexure"/>
        <w:spacing w:after="0" w:line="360" w:lineRule="auto"/>
        <w:ind w:left="720" w:hanging="360"/>
      </w:pPr>
      <w:bookmarkStart w:id="1" w:name="_Hlk152267406"/>
      <w:r>
        <w:t>(1)</w:t>
      </w:r>
      <w:r>
        <w:tab/>
      </w:r>
      <w:r w:rsidR="00934E22">
        <w:rPr>
          <w:u w:val="single"/>
        </w:rPr>
        <w:t>CASE NO</w:t>
      </w:r>
      <w:r w:rsidR="00934E22">
        <w:t xml:space="preserve">: </w:t>
      </w:r>
      <w:r w:rsidR="00934E22">
        <w:rPr>
          <w:b w:val="0"/>
        </w:rPr>
        <w:t>2023-</w:t>
      </w:r>
      <w:r w:rsidR="00864E4C">
        <w:rPr>
          <w:b w:val="0"/>
        </w:rPr>
        <w:t>022639</w:t>
      </w:r>
    </w:p>
    <w:p w14:paraId="5E380E1C" w14:textId="77777777" w:rsidR="00934E22" w:rsidRDefault="00934E22" w:rsidP="00934E22">
      <w:pPr>
        <w:pStyle w:val="LegalNormal"/>
        <w:spacing w:after="120" w:line="360" w:lineRule="auto"/>
      </w:pPr>
      <w:r>
        <w:t>In the matter between:</w:t>
      </w:r>
    </w:p>
    <w:p w14:paraId="27823B30" w14:textId="7A734A8B" w:rsidR="00934E22" w:rsidRDefault="00864E4C" w:rsidP="00934E22">
      <w:pPr>
        <w:pStyle w:val="LegalPlainDef"/>
        <w:spacing w:after="120" w:line="360" w:lineRule="auto"/>
      </w:pPr>
      <w:r>
        <w:rPr>
          <w:b/>
          <w:bCs/>
          <w:lang w:val="en-US"/>
        </w:rPr>
        <w:t>FIRSTRAND BANK</w:t>
      </w:r>
      <w:r w:rsidR="00934E22">
        <w:rPr>
          <w:b/>
        </w:rPr>
        <w:t xml:space="preserve"> LIMITED</w:t>
      </w:r>
      <w:r w:rsidR="00934E22">
        <w:rPr>
          <w:b/>
        </w:rPr>
        <w:tab/>
      </w:r>
      <w:r w:rsidR="00934E22">
        <w:t>Applicant</w:t>
      </w:r>
    </w:p>
    <w:p w14:paraId="4A25734F" w14:textId="77777777" w:rsidR="00934E22" w:rsidRDefault="00934E22" w:rsidP="00934E22">
      <w:pPr>
        <w:pStyle w:val="LegalNormal"/>
        <w:spacing w:after="120" w:line="360" w:lineRule="auto"/>
      </w:pPr>
      <w:r>
        <w:t>And</w:t>
      </w:r>
    </w:p>
    <w:p w14:paraId="19C5737F" w14:textId="257FFFE3" w:rsidR="00934E22" w:rsidRDefault="00864E4C" w:rsidP="00864E4C">
      <w:pPr>
        <w:pStyle w:val="LegalPlainDef"/>
        <w:spacing w:after="120" w:line="360" w:lineRule="auto"/>
      </w:pPr>
      <w:r>
        <w:rPr>
          <w:b/>
          <w:bCs/>
          <w:u w:val="single"/>
          <w:lang w:val="en-US"/>
        </w:rPr>
        <w:t>NYONI</w:t>
      </w:r>
      <w:r>
        <w:rPr>
          <w:b/>
          <w:bCs/>
          <w:lang w:val="en-US"/>
        </w:rPr>
        <w:t>, PETEZAKE</w:t>
      </w:r>
      <w:r w:rsidR="00934E22">
        <w:rPr>
          <w:b/>
          <w:bCs/>
          <w:lang w:val="en-US"/>
        </w:rPr>
        <w:t xml:space="preserve"> </w:t>
      </w:r>
      <w:r w:rsidR="00934E22">
        <w:rPr>
          <w:b/>
        </w:rPr>
        <w:tab/>
      </w:r>
      <w:r w:rsidR="00934E22">
        <w:t>Respondent</w:t>
      </w:r>
    </w:p>
    <w:p w14:paraId="69117658" w14:textId="77777777" w:rsidR="006B6764" w:rsidRDefault="006B6764" w:rsidP="006B6764">
      <w:pPr>
        <w:pStyle w:val="LegalNormal"/>
        <w:pBdr>
          <w:bottom w:val="single" w:sz="6" w:space="1" w:color="auto"/>
        </w:pBdr>
        <w:spacing w:line="240" w:lineRule="auto"/>
      </w:pPr>
    </w:p>
    <w:bookmarkEnd w:id="1"/>
    <w:p w14:paraId="5DF5FE96" w14:textId="6E333DBE" w:rsidR="006B6764" w:rsidRDefault="000D4A94" w:rsidP="000D4A94">
      <w:pPr>
        <w:pStyle w:val="LegalAnnexure"/>
        <w:spacing w:after="0" w:line="360" w:lineRule="auto"/>
        <w:ind w:left="720" w:hanging="360"/>
      </w:pPr>
      <w:r>
        <w:t>(2)</w:t>
      </w:r>
      <w:r>
        <w:tab/>
      </w:r>
      <w:r w:rsidR="006B6764">
        <w:rPr>
          <w:u w:val="single"/>
        </w:rPr>
        <w:t>CASE NO</w:t>
      </w:r>
      <w:r w:rsidR="006B6764">
        <w:t xml:space="preserve">: </w:t>
      </w:r>
      <w:r w:rsidR="006B6764">
        <w:rPr>
          <w:b w:val="0"/>
        </w:rPr>
        <w:t>2023-</w:t>
      </w:r>
      <w:r w:rsidR="00864E4C">
        <w:rPr>
          <w:b w:val="0"/>
        </w:rPr>
        <w:t>24656</w:t>
      </w:r>
    </w:p>
    <w:p w14:paraId="41349A8E" w14:textId="77777777" w:rsidR="006B6764" w:rsidRDefault="006B6764" w:rsidP="006B6764">
      <w:pPr>
        <w:pStyle w:val="LegalNormal"/>
        <w:spacing w:after="120" w:line="360" w:lineRule="auto"/>
      </w:pPr>
      <w:r>
        <w:t>In the matter between:</w:t>
      </w:r>
    </w:p>
    <w:p w14:paraId="1A1A202A" w14:textId="52492327" w:rsidR="006B6764" w:rsidRDefault="00864E4C" w:rsidP="00864E4C">
      <w:pPr>
        <w:pStyle w:val="LegalPlainDef"/>
        <w:spacing w:after="120" w:line="360" w:lineRule="auto"/>
      </w:pPr>
      <w:r>
        <w:rPr>
          <w:b/>
          <w:bCs/>
          <w:lang w:val="en-US"/>
        </w:rPr>
        <w:t>FIRSTRAND BANK</w:t>
      </w:r>
      <w:r w:rsidR="006B6764">
        <w:rPr>
          <w:b/>
        </w:rPr>
        <w:t xml:space="preserve"> LIMITED</w:t>
      </w:r>
      <w:r w:rsidR="006B6764">
        <w:rPr>
          <w:b/>
        </w:rPr>
        <w:tab/>
      </w:r>
      <w:r w:rsidR="006B6764">
        <w:t>Applicant</w:t>
      </w:r>
    </w:p>
    <w:p w14:paraId="6EBA97DE" w14:textId="77777777" w:rsidR="006B6764" w:rsidRDefault="006B6764" w:rsidP="006B6764">
      <w:pPr>
        <w:pStyle w:val="LegalNormal"/>
        <w:spacing w:after="120" w:line="360" w:lineRule="auto"/>
      </w:pPr>
      <w:r>
        <w:t>And</w:t>
      </w:r>
    </w:p>
    <w:p w14:paraId="07610747" w14:textId="057B4801" w:rsidR="006B6764" w:rsidRDefault="00864E4C" w:rsidP="006B6764">
      <w:pPr>
        <w:pStyle w:val="LegalPlainDef"/>
        <w:spacing w:after="120" w:line="360" w:lineRule="auto"/>
      </w:pPr>
      <w:r>
        <w:rPr>
          <w:b/>
          <w:bCs/>
          <w:lang w:val="en-US"/>
        </w:rPr>
        <w:t>ALORA PALLETS (PTY) LIMITED</w:t>
      </w:r>
      <w:r w:rsidR="006B6764">
        <w:rPr>
          <w:b/>
          <w:bCs/>
          <w:lang w:val="en-US"/>
        </w:rPr>
        <w:t xml:space="preserve"> </w:t>
      </w:r>
      <w:r w:rsidR="006B6764">
        <w:rPr>
          <w:b/>
        </w:rPr>
        <w:tab/>
      </w:r>
      <w:r w:rsidR="006B6764">
        <w:t>Respondent</w:t>
      </w:r>
    </w:p>
    <w:p w14:paraId="3060EA5D" w14:textId="77777777" w:rsidR="006B6764" w:rsidRDefault="006B6764" w:rsidP="006B6764">
      <w:pPr>
        <w:pStyle w:val="LegalNormal"/>
        <w:pBdr>
          <w:bottom w:val="single" w:sz="6" w:space="1" w:color="auto"/>
        </w:pBdr>
        <w:spacing w:line="240" w:lineRule="auto"/>
      </w:pPr>
    </w:p>
    <w:p w14:paraId="110BB4C6" w14:textId="25ABB686" w:rsidR="00F2732E" w:rsidRDefault="00F2732E" w:rsidP="00F2732E">
      <w:pPr>
        <w:suppressAutoHyphens w:val="0"/>
        <w:spacing w:after="24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bookmarkStart w:id="2" w:name="_Hlk152267953"/>
      <w:r w:rsidR="00864E4C">
        <w:rPr>
          <w:rFonts w:cs="Arial"/>
          <w:i/>
          <w:lang w:val="en-ZA" w:eastAsia="en-US"/>
        </w:rPr>
        <w:t>FirstRand Bank v Nyoni</w:t>
      </w:r>
      <w:r>
        <w:rPr>
          <w:rFonts w:cs="Arial"/>
          <w:i/>
          <w:lang w:val="en-ZA" w:eastAsia="en-US"/>
        </w:rPr>
        <w:t xml:space="preserve"> (2023-</w:t>
      </w:r>
      <w:r w:rsidR="00864E4C">
        <w:rPr>
          <w:rFonts w:cs="Arial"/>
          <w:i/>
          <w:lang w:val="en-ZA" w:eastAsia="en-US"/>
        </w:rPr>
        <w:t>022639</w:t>
      </w:r>
      <w:r>
        <w:rPr>
          <w:rFonts w:cs="Arial"/>
          <w:i/>
          <w:lang w:val="en-ZA" w:eastAsia="en-US"/>
        </w:rPr>
        <w:t>)</w:t>
      </w:r>
      <w:bookmarkEnd w:id="2"/>
      <w:r>
        <w:rPr>
          <w:rFonts w:cs="Arial"/>
          <w:i/>
          <w:lang w:val="en-ZA" w:eastAsia="en-US"/>
        </w:rPr>
        <w:t xml:space="preserve">; </w:t>
      </w:r>
      <w:r w:rsidR="00864E4C">
        <w:rPr>
          <w:rFonts w:cs="Arial"/>
          <w:i/>
          <w:lang w:val="en-ZA" w:eastAsia="en-US"/>
        </w:rPr>
        <w:t>FirstRand Bank v Alora Pallets</w:t>
      </w:r>
      <w:r>
        <w:rPr>
          <w:rFonts w:cs="Arial"/>
          <w:i/>
          <w:lang w:val="en-ZA" w:eastAsia="en-US"/>
        </w:rPr>
        <w:t xml:space="preserve"> (2023-</w:t>
      </w:r>
      <w:r w:rsidR="00864E4C">
        <w:rPr>
          <w:rFonts w:cs="Arial"/>
          <w:i/>
          <w:lang w:val="en-ZA" w:eastAsia="en-US"/>
        </w:rPr>
        <w:t>024656</w:t>
      </w:r>
      <w:r>
        <w:rPr>
          <w:rFonts w:cs="Arial"/>
          <w:i/>
          <w:lang w:val="en-ZA" w:eastAsia="en-US"/>
        </w:rPr>
        <w:t xml:space="preserve">) </w:t>
      </w:r>
      <w:r>
        <w:rPr>
          <w:rFonts w:cs="Arial"/>
          <w:b/>
          <w:lang w:val="en-ZA" w:eastAsia="en-US"/>
        </w:rPr>
        <w:t>[202</w:t>
      </w:r>
      <w:r w:rsidR="00864E4C">
        <w:rPr>
          <w:rFonts w:cs="Arial"/>
          <w:b/>
          <w:lang w:val="en-ZA" w:eastAsia="en-US"/>
        </w:rPr>
        <w:t>4</w:t>
      </w:r>
      <w:r>
        <w:rPr>
          <w:rFonts w:cs="Arial"/>
          <w:b/>
          <w:lang w:val="en-ZA" w:eastAsia="en-US"/>
        </w:rPr>
        <w:t xml:space="preserve">] ZAGPJHC ---- </w:t>
      </w:r>
      <w:r>
        <w:rPr>
          <w:rFonts w:cs="Arial"/>
          <w:lang w:val="en-ZA" w:eastAsia="en-US"/>
        </w:rPr>
        <w:t>(</w:t>
      </w:r>
      <w:r w:rsidR="00BA34EF">
        <w:rPr>
          <w:rFonts w:cs="Arial"/>
          <w:lang w:val="en-ZA" w:eastAsia="en-US"/>
        </w:rPr>
        <w:t>26</w:t>
      </w:r>
      <w:r>
        <w:rPr>
          <w:rFonts w:cs="Arial"/>
          <w:lang w:val="en-ZA" w:eastAsia="en-US"/>
        </w:rPr>
        <w:t xml:space="preserve"> </w:t>
      </w:r>
      <w:r w:rsidR="00864E4C">
        <w:rPr>
          <w:rFonts w:cs="Arial"/>
          <w:lang w:val="en-ZA" w:eastAsia="en-US"/>
        </w:rPr>
        <w:t>February 2024</w:t>
      </w:r>
      <w:r>
        <w:rPr>
          <w:rFonts w:cs="Arial"/>
          <w:lang w:val="en-ZA" w:eastAsia="en-US"/>
        </w:rPr>
        <w:t>)</w:t>
      </w:r>
      <w:r>
        <w:rPr>
          <w:rFonts w:cs="Arial"/>
          <w:b/>
          <w:lang w:val="en-ZA" w:eastAsia="en-US"/>
        </w:rPr>
        <w:t xml:space="preserve"> </w:t>
      </w:r>
      <w:r>
        <w:rPr>
          <w:rFonts w:cs="Arial"/>
          <w:i/>
          <w:lang w:val="en-ZA" w:eastAsia="en-US"/>
        </w:rPr>
        <w:t xml:space="preserve"> </w:t>
      </w:r>
    </w:p>
    <w:p w14:paraId="0922D23F" w14:textId="77777777" w:rsidR="00DA3FFC" w:rsidRPr="00DA3FFC" w:rsidRDefault="00DA3FFC" w:rsidP="00C54E42">
      <w:pPr>
        <w:suppressAutoHyphens w:val="0"/>
        <w:spacing w:line="360" w:lineRule="auto"/>
        <w:ind w:left="1418" w:hanging="1418"/>
        <w:rPr>
          <w:rFonts w:cs="Arial"/>
          <w:lang w:val="en-ZA" w:eastAsia="en-US"/>
        </w:rPr>
      </w:pPr>
      <w:r w:rsidRPr="00DA3FFC">
        <w:rPr>
          <w:rFonts w:cs="Arial"/>
          <w:b/>
          <w:bCs/>
          <w:lang w:val="en-ZA" w:eastAsia="en-US"/>
        </w:rPr>
        <w:lastRenderedPageBreak/>
        <w:t>Coram:</w:t>
      </w:r>
      <w:r>
        <w:rPr>
          <w:rFonts w:cs="Arial"/>
          <w:lang w:val="en-ZA" w:eastAsia="en-US"/>
        </w:rPr>
        <w:tab/>
      </w:r>
      <w:r>
        <w:rPr>
          <w:rFonts w:cs="Arial"/>
          <w:lang w:val="en-ZA" w:eastAsia="en-US"/>
        </w:rPr>
        <w:tab/>
      </w:r>
      <w:r w:rsidR="007A7170">
        <w:rPr>
          <w:rFonts w:cs="Arial"/>
          <w:lang w:val="en-ZA" w:eastAsia="en-US"/>
        </w:rPr>
        <w:t>Adams J</w:t>
      </w:r>
    </w:p>
    <w:p w14:paraId="17E864D9" w14:textId="73D0111B" w:rsidR="00DA3FFC" w:rsidRPr="00DA3FFC" w:rsidRDefault="00DA3FFC" w:rsidP="00C54E42">
      <w:pPr>
        <w:suppressAutoHyphens w:val="0"/>
        <w:spacing w:line="360" w:lineRule="auto"/>
        <w:ind w:left="1418" w:hanging="1418"/>
        <w:rPr>
          <w:rFonts w:cs="Arial"/>
          <w:b/>
          <w:lang w:val="en-ZA" w:eastAsia="en-US"/>
        </w:rPr>
      </w:pPr>
      <w:r w:rsidRPr="00DA3FFC">
        <w:rPr>
          <w:rFonts w:cs="Arial"/>
          <w:b/>
          <w:bCs/>
          <w:lang w:val="en-ZA" w:eastAsia="en-US"/>
        </w:rPr>
        <w:t>Heard</w:t>
      </w:r>
      <w:r w:rsidRPr="00DA3FFC">
        <w:rPr>
          <w:rFonts w:cs="Arial"/>
          <w:lang w:val="en-ZA" w:eastAsia="en-US"/>
        </w:rPr>
        <w:t>:</w:t>
      </w:r>
      <w:r w:rsidRPr="00DA3FFC">
        <w:rPr>
          <w:rFonts w:cs="Arial"/>
          <w:lang w:val="en-ZA" w:eastAsia="en-US"/>
        </w:rPr>
        <w:tab/>
      </w:r>
      <w:r w:rsidRPr="00DA3FFC">
        <w:rPr>
          <w:rFonts w:cs="Arial"/>
          <w:lang w:val="en-ZA" w:eastAsia="en-US"/>
        </w:rPr>
        <w:tab/>
      </w:r>
      <w:r w:rsidR="00864E4C">
        <w:rPr>
          <w:rFonts w:cs="Arial"/>
          <w:lang w:val="en-ZA" w:eastAsia="en-US"/>
        </w:rPr>
        <w:t>13 and 14</w:t>
      </w:r>
      <w:r w:rsidR="00D1192E">
        <w:rPr>
          <w:rFonts w:cs="Arial"/>
          <w:lang w:val="en-ZA" w:eastAsia="en-US"/>
        </w:rPr>
        <w:t xml:space="preserve"> </w:t>
      </w:r>
      <w:r w:rsidR="00864E4C">
        <w:rPr>
          <w:rFonts w:cs="Arial"/>
          <w:lang w:val="en-ZA" w:eastAsia="en-US"/>
        </w:rPr>
        <w:t>February</w:t>
      </w:r>
      <w:r w:rsidR="001732C4">
        <w:rPr>
          <w:rFonts w:cs="Arial"/>
          <w:lang w:val="en-ZA" w:eastAsia="en-US"/>
        </w:rPr>
        <w:t xml:space="preserve"> 202</w:t>
      </w:r>
      <w:r w:rsidR="00864E4C">
        <w:rPr>
          <w:rFonts w:cs="Arial"/>
          <w:lang w:val="en-ZA" w:eastAsia="en-US"/>
        </w:rPr>
        <w:t>4</w:t>
      </w:r>
    </w:p>
    <w:p w14:paraId="4971A7E2" w14:textId="320277B8" w:rsidR="00DA3FFC" w:rsidRPr="00DA3FFC" w:rsidRDefault="00DA3FFC" w:rsidP="00C54E4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BA34EF">
        <w:rPr>
          <w:rFonts w:cs="Arial"/>
          <w:lang w:val="en-ZA" w:eastAsia="en-US"/>
        </w:rPr>
        <w:t>26</w:t>
      </w:r>
      <w:r w:rsidR="00864E4C">
        <w:rPr>
          <w:rFonts w:cs="Arial"/>
          <w:lang w:val="en-ZA" w:eastAsia="en-US"/>
        </w:rPr>
        <w:t xml:space="preserve"> February</w:t>
      </w:r>
      <w:r w:rsidR="001732C4">
        <w:rPr>
          <w:rFonts w:cs="Arial"/>
          <w:lang w:val="en-ZA" w:eastAsia="en-US"/>
        </w:rPr>
        <w:t xml:space="preserve"> 202</w:t>
      </w:r>
      <w:r w:rsidR="00864E4C">
        <w:rPr>
          <w:rFonts w:cs="Arial"/>
          <w:lang w:val="en-ZA" w:eastAsia="en-US"/>
        </w:rPr>
        <w:t>4</w:t>
      </w:r>
      <w:r w:rsidR="00C54E42">
        <w:rPr>
          <w:rFonts w:cs="Arial"/>
          <w:lang w:val="en-ZA" w:eastAsia="en-US"/>
        </w:rPr>
        <w:t xml:space="preserve"> – This judgment was handed down electronically by circulation to the parties' representatives by email, by being uploaded to </w:t>
      </w:r>
      <w:r w:rsidR="00C54E42">
        <w:rPr>
          <w:rFonts w:cs="Arial"/>
          <w:i/>
          <w:lang w:val="en-ZA" w:eastAsia="en-US"/>
        </w:rPr>
        <w:t>CaseLines</w:t>
      </w:r>
      <w:r w:rsidR="00C54E42">
        <w:rPr>
          <w:rFonts w:cs="Arial"/>
          <w:lang w:val="en-ZA" w:eastAsia="en-US"/>
        </w:rPr>
        <w:t xml:space="preserve"> and by release to SAFLII. The date and time for hand-down is deemed to be 1</w:t>
      </w:r>
      <w:r w:rsidR="00871569">
        <w:rPr>
          <w:rFonts w:cs="Arial"/>
          <w:lang w:val="en-ZA" w:eastAsia="en-US"/>
        </w:rPr>
        <w:t>0</w:t>
      </w:r>
      <w:r w:rsidR="00C54E42">
        <w:rPr>
          <w:rFonts w:cs="Arial"/>
          <w:lang w:val="en-ZA" w:eastAsia="en-US"/>
        </w:rPr>
        <w:t>:</w:t>
      </w:r>
      <w:r w:rsidR="00BA34EF">
        <w:rPr>
          <w:rFonts w:cs="Arial"/>
          <w:lang w:val="en-ZA" w:eastAsia="en-US"/>
        </w:rPr>
        <w:t>3</w:t>
      </w:r>
      <w:r w:rsidR="00C54E42">
        <w:rPr>
          <w:rFonts w:cs="Arial"/>
          <w:lang w:val="en-ZA" w:eastAsia="en-US"/>
        </w:rPr>
        <w:t xml:space="preserve">0 on </w:t>
      </w:r>
      <w:r w:rsidR="00BA34EF">
        <w:rPr>
          <w:rFonts w:cs="Arial"/>
          <w:lang w:val="en-ZA" w:eastAsia="en-US"/>
        </w:rPr>
        <w:t>26</w:t>
      </w:r>
      <w:r w:rsidR="00C54E42">
        <w:rPr>
          <w:rFonts w:cs="Arial"/>
          <w:lang w:val="en-ZA" w:eastAsia="en-US"/>
        </w:rPr>
        <w:t xml:space="preserve"> </w:t>
      </w:r>
      <w:r w:rsidR="00864E4C">
        <w:rPr>
          <w:rFonts w:cs="Arial"/>
          <w:lang w:val="en-ZA" w:eastAsia="en-US"/>
        </w:rPr>
        <w:t>February</w:t>
      </w:r>
      <w:r w:rsidR="00C54E42">
        <w:rPr>
          <w:rFonts w:cs="Arial"/>
          <w:lang w:val="en-ZA" w:eastAsia="en-US"/>
        </w:rPr>
        <w:t xml:space="preserve"> 202</w:t>
      </w:r>
      <w:r w:rsidR="00864E4C">
        <w:rPr>
          <w:rFonts w:cs="Arial"/>
          <w:lang w:val="en-ZA" w:eastAsia="en-US"/>
        </w:rPr>
        <w:t>4</w:t>
      </w:r>
      <w:r w:rsidR="00C54E42">
        <w:rPr>
          <w:rFonts w:cs="Arial"/>
          <w:lang w:val="en-ZA" w:eastAsia="en-US"/>
        </w:rPr>
        <w:t>.</w:t>
      </w:r>
    </w:p>
    <w:p w14:paraId="21249573" w14:textId="4171C302" w:rsidR="005051E9" w:rsidRDefault="00DA3FFC" w:rsidP="005051E9">
      <w:pPr>
        <w:spacing w:line="360" w:lineRule="auto"/>
        <w:jc w:val="both"/>
        <w:rPr>
          <w:rFonts w:cs="Arial"/>
        </w:rPr>
      </w:pPr>
      <w:r w:rsidRPr="00DA3FFC">
        <w:rPr>
          <w:rFonts w:cs="Arial"/>
          <w:b/>
          <w:bCs/>
          <w:lang w:val="en-ZA" w:eastAsia="en-US"/>
        </w:rPr>
        <w:t>Summary:</w:t>
      </w:r>
      <w:r w:rsidRPr="00DA3FFC">
        <w:rPr>
          <w:rFonts w:cs="Arial"/>
          <w:b/>
          <w:bCs/>
          <w:lang w:val="en-ZA" w:eastAsia="en-US"/>
        </w:rPr>
        <w:tab/>
      </w:r>
      <w:r w:rsidR="005051E9">
        <w:rPr>
          <w:rFonts w:cs="Arial"/>
        </w:rPr>
        <w:t>Suretyship</w:t>
      </w:r>
      <w:r w:rsidR="001732C4">
        <w:rPr>
          <w:rFonts w:cs="Arial"/>
        </w:rPr>
        <w:t xml:space="preserve"> – </w:t>
      </w:r>
      <w:r w:rsidR="005051E9">
        <w:rPr>
          <w:rFonts w:cs="Arial"/>
        </w:rPr>
        <w:t>application for judgment</w:t>
      </w:r>
      <w:r w:rsidR="005237CA">
        <w:rPr>
          <w:rFonts w:cs="Arial"/>
        </w:rPr>
        <w:t xml:space="preserve"> – </w:t>
      </w:r>
      <w:r w:rsidR="005051E9">
        <w:rPr>
          <w:rFonts w:cs="Arial"/>
        </w:rPr>
        <w:t>principal debtor breach</w:t>
      </w:r>
      <w:r w:rsidR="00C33E77">
        <w:rPr>
          <w:rFonts w:cs="Arial"/>
        </w:rPr>
        <w:t>d</w:t>
      </w:r>
      <w:r w:rsidR="005051E9">
        <w:rPr>
          <w:rFonts w:cs="Arial"/>
        </w:rPr>
        <w:t xml:space="preserve"> loan agreements</w:t>
      </w:r>
      <w:r w:rsidR="005237CA">
        <w:rPr>
          <w:rFonts w:cs="Arial"/>
        </w:rPr>
        <w:t xml:space="preserve"> – </w:t>
      </w:r>
      <w:r w:rsidR="005051E9">
        <w:rPr>
          <w:rFonts w:cs="Arial"/>
        </w:rPr>
        <w:t>acceleration clause</w:t>
      </w:r>
      <w:r w:rsidR="001732C4">
        <w:rPr>
          <w:rFonts w:cs="Arial"/>
        </w:rPr>
        <w:t xml:space="preserve"> – </w:t>
      </w:r>
      <w:r w:rsidR="005051E9">
        <w:rPr>
          <w:rFonts w:cs="Arial"/>
          <w:iCs/>
        </w:rPr>
        <w:t>whole amounts owing, due and payable after loans ‘called up’</w:t>
      </w:r>
      <w:r w:rsidR="00125C7B">
        <w:rPr>
          <w:rFonts w:cs="Arial"/>
        </w:rPr>
        <w:t xml:space="preserve"> – </w:t>
      </w:r>
      <w:r w:rsidR="005051E9">
        <w:rPr>
          <w:rFonts w:cs="Arial"/>
        </w:rPr>
        <w:t>not open to principal debtor and Surety to only pay up the arrears</w:t>
      </w:r>
      <w:r w:rsidR="00FE27ED">
        <w:rPr>
          <w:rFonts w:cs="Arial"/>
        </w:rPr>
        <w:t xml:space="preserve"> – </w:t>
      </w:r>
      <w:r w:rsidR="005051E9">
        <w:rPr>
          <w:rFonts w:cs="Arial"/>
        </w:rPr>
        <w:t>judgment granted against Surety –</w:t>
      </w:r>
    </w:p>
    <w:p w14:paraId="284254C8" w14:textId="7B361CE5" w:rsidR="00FE27ED" w:rsidRDefault="005051E9" w:rsidP="00FE0C0A">
      <w:pPr>
        <w:spacing w:after="240" w:line="360" w:lineRule="auto"/>
        <w:jc w:val="both"/>
        <w:rPr>
          <w:rFonts w:cs="Arial"/>
          <w:lang w:val="en-ZA"/>
        </w:rPr>
      </w:pPr>
      <w:r>
        <w:rPr>
          <w:rFonts w:cs="Arial"/>
          <w:lang w:val="en-ZA"/>
        </w:rPr>
        <w:t>Winding-up application</w:t>
      </w:r>
      <w:r w:rsidR="00FE0C0A">
        <w:rPr>
          <w:rFonts w:cs="Arial"/>
          <w:lang w:val="en-ZA"/>
        </w:rPr>
        <w:t xml:space="preserve"> </w:t>
      </w:r>
      <w:r w:rsidR="00B32378">
        <w:rPr>
          <w:rFonts w:cs="Arial"/>
          <w:lang w:val="en-ZA"/>
        </w:rPr>
        <w:t>–</w:t>
      </w:r>
      <w:r w:rsidR="00FE27ED">
        <w:rPr>
          <w:rFonts w:cs="Arial"/>
          <w:lang w:val="en-ZA"/>
        </w:rPr>
        <w:t xml:space="preserve"> </w:t>
      </w:r>
      <w:r>
        <w:rPr>
          <w:rFonts w:cs="Arial"/>
          <w:lang w:val="en-ZA"/>
        </w:rPr>
        <w:t xml:space="preserve">commercial insolvency ground for winding-up order – debt owing, due and payable in full after loan ‘called up’ – no longer open to </w:t>
      </w:r>
      <w:r w:rsidR="00794889">
        <w:rPr>
          <w:rFonts w:cs="Arial"/>
          <w:lang w:val="en-ZA"/>
        </w:rPr>
        <w:t xml:space="preserve">company to pay off loan in instalments – whole amount of loan should be paid </w:t>
      </w:r>
      <w:r>
        <w:rPr>
          <w:rFonts w:cs="Arial"/>
          <w:lang w:val="en-ZA"/>
        </w:rPr>
        <w:t>–</w:t>
      </w:r>
      <w:r w:rsidR="00794889">
        <w:rPr>
          <w:rFonts w:cs="Arial"/>
          <w:lang w:val="en-ZA"/>
        </w:rPr>
        <w:t xml:space="preserve"> if not, company deemed unable to pay its debts and is therefore commercially insolvent – winding-up order granted.</w:t>
      </w:r>
    </w:p>
    <w:p w14:paraId="13BB41AB" w14:textId="77777777"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14:paraId="11D2FBC4" w14:textId="0FC62BE1" w:rsidR="00D46047" w:rsidRDefault="000D4A94" w:rsidP="000D4A94">
      <w:pPr>
        <w:spacing w:after="120" w:line="360" w:lineRule="auto"/>
        <w:ind w:left="567" w:hanging="567"/>
        <w:jc w:val="both"/>
        <w:outlineLvl w:val="0"/>
      </w:pPr>
      <w:bookmarkStart w:id="3" w:name="_Hlk152364190"/>
      <w:r>
        <w:t>(1)</w:t>
      </w:r>
      <w:r>
        <w:tab/>
      </w:r>
      <w:r w:rsidR="001A505F">
        <w:t>In the matter u</w:t>
      </w:r>
      <w:r w:rsidR="00D46047">
        <w:t xml:space="preserve">nder </w:t>
      </w:r>
      <w:r w:rsidR="001A505F">
        <w:t>c</w:t>
      </w:r>
      <w:r w:rsidR="00D46047">
        <w:t xml:space="preserve">ase number: </w:t>
      </w:r>
      <w:r w:rsidR="00D46047" w:rsidRPr="000D4A94">
        <w:rPr>
          <w:b/>
          <w:bCs/>
        </w:rPr>
        <w:t>2023-</w:t>
      </w:r>
      <w:r w:rsidR="00BA34EF" w:rsidRPr="000D4A94">
        <w:rPr>
          <w:b/>
          <w:bCs/>
        </w:rPr>
        <w:t>022639</w:t>
      </w:r>
      <w:r w:rsidR="00D46047">
        <w:t xml:space="preserve">, </w:t>
      </w:r>
      <w:r w:rsidR="007D2EAF">
        <w:t>judgment is granted in favour of the applicant against the respondent for</w:t>
      </w:r>
      <w:r w:rsidR="00D46047">
        <w:t xml:space="preserve">: - </w:t>
      </w:r>
    </w:p>
    <w:p w14:paraId="33C1780F" w14:textId="696FC81C" w:rsidR="007D2EAF" w:rsidRDefault="000D4A94" w:rsidP="000D4A94">
      <w:pPr>
        <w:spacing w:after="120" w:line="360" w:lineRule="auto"/>
        <w:ind w:left="851" w:hanging="851"/>
        <w:jc w:val="both"/>
        <w:outlineLvl w:val="0"/>
      </w:pPr>
      <w:r>
        <w:t>(a)</w:t>
      </w:r>
      <w:r>
        <w:tab/>
      </w:r>
      <w:r w:rsidR="007D2EAF">
        <w:t>Payment of the sum of R8 495 755.87, together with interest thereon at 11.75% (the current prime interest rate) subject to change, calculated daily and compounded monthly in arrears, from 8 February 2024 to date of final payment, both days inclusive.</w:t>
      </w:r>
    </w:p>
    <w:p w14:paraId="297F26F5" w14:textId="6A1E2A33" w:rsidR="007D2EAF" w:rsidRDefault="000D4A94" w:rsidP="000D4A94">
      <w:pPr>
        <w:spacing w:after="120" w:line="360" w:lineRule="auto"/>
        <w:ind w:left="851" w:hanging="851"/>
        <w:jc w:val="both"/>
        <w:outlineLvl w:val="0"/>
      </w:pPr>
      <w:r>
        <w:t>(b)</w:t>
      </w:r>
      <w:r>
        <w:tab/>
      </w:r>
      <w:r w:rsidR="007D2EAF">
        <w:t>Payment of the sum of R863 984.35, together with interest thereon at 18.75% (the current prime interest rate plus 7%), subject to change, calculated daily and compounded monthly in arrears, from 8 February 2024 to date of final payment, both days inclusive.</w:t>
      </w:r>
    </w:p>
    <w:p w14:paraId="265195CF" w14:textId="2E409512" w:rsidR="007D2EAF" w:rsidRDefault="000D4A94" w:rsidP="000D4A94">
      <w:pPr>
        <w:spacing w:after="120" w:line="360" w:lineRule="auto"/>
        <w:ind w:left="851" w:hanging="851"/>
        <w:jc w:val="both"/>
        <w:outlineLvl w:val="0"/>
      </w:pPr>
      <w:r>
        <w:t>(c)</w:t>
      </w:r>
      <w:r>
        <w:tab/>
      </w:r>
      <w:r w:rsidR="007D2EAF">
        <w:t>Payment of the costs of this application on the scale as between attorney and own client scale.</w:t>
      </w:r>
    </w:p>
    <w:p w14:paraId="5B79AE33" w14:textId="6E1C50C3" w:rsidR="00D46047" w:rsidRDefault="000D4A94" w:rsidP="000D4A94">
      <w:pPr>
        <w:spacing w:after="120" w:line="360" w:lineRule="auto"/>
        <w:ind w:left="567" w:hanging="567"/>
        <w:jc w:val="both"/>
        <w:outlineLvl w:val="0"/>
      </w:pPr>
      <w:r>
        <w:lastRenderedPageBreak/>
        <w:t>(2)</w:t>
      </w:r>
      <w:r>
        <w:tab/>
      </w:r>
      <w:r w:rsidR="001A505F">
        <w:t>In the matter u</w:t>
      </w:r>
      <w:r w:rsidR="00D46047">
        <w:t xml:space="preserve">nder </w:t>
      </w:r>
      <w:r w:rsidR="001A505F">
        <w:t>c</w:t>
      </w:r>
      <w:r w:rsidR="00D46047">
        <w:t xml:space="preserve">ase number: </w:t>
      </w:r>
      <w:r w:rsidR="00D46047" w:rsidRPr="000D4A94">
        <w:rPr>
          <w:b/>
          <w:bCs/>
        </w:rPr>
        <w:t>2023-</w:t>
      </w:r>
      <w:r w:rsidR="00C33E77" w:rsidRPr="000D4A94">
        <w:rPr>
          <w:b/>
          <w:bCs/>
        </w:rPr>
        <w:t>0</w:t>
      </w:r>
      <w:r w:rsidR="00BA34EF" w:rsidRPr="000D4A94">
        <w:rPr>
          <w:b/>
          <w:bCs/>
        </w:rPr>
        <w:t>24656</w:t>
      </w:r>
      <w:r w:rsidR="00D46047">
        <w:t xml:space="preserve">, the following order is granted: - </w:t>
      </w:r>
    </w:p>
    <w:p w14:paraId="24ACF745" w14:textId="091C5410" w:rsidR="00F245F5" w:rsidRDefault="000D4A94" w:rsidP="000D4A94">
      <w:pPr>
        <w:spacing w:after="120" w:line="360" w:lineRule="auto"/>
        <w:ind w:left="851" w:hanging="851"/>
        <w:jc w:val="both"/>
        <w:outlineLvl w:val="0"/>
      </w:pPr>
      <w:r>
        <w:t>(a)</w:t>
      </w:r>
      <w:r>
        <w:tab/>
      </w:r>
      <w:r w:rsidR="00F245F5">
        <w:t>The respondent is placed under final winding-up in the hands of the Master of the High Court of South Africa.</w:t>
      </w:r>
    </w:p>
    <w:p w14:paraId="1BF1857D" w14:textId="6360B23E" w:rsidR="00F245F5" w:rsidRDefault="000D4A94" w:rsidP="000D4A94">
      <w:pPr>
        <w:spacing w:after="240" w:line="360" w:lineRule="auto"/>
        <w:ind w:left="851" w:hanging="851"/>
        <w:jc w:val="both"/>
        <w:outlineLvl w:val="0"/>
      </w:pPr>
      <w:r>
        <w:t>(b)</w:t>
      </w:r>
      <w:r>
        <w:tab/>
      </w:r>
      <w:r w:rsidR="00F245F5">
        <w:t xml:space="preserve">The costs of this application shall be costs in the winding-up of the respondent. </w:t>
      </w:r>
    </w:p>
    <w:bookmarkEnd w:id="3"/>
    <w:p w14:paraId="5923D89B" w14:textId="77777777" w:rsidR="009314F3" w:rsidRPr="00A84826" w:rsidRDefault="00F86558" w:rsidP="00AB71B9">
      <w:pPr>
        <w:pStyle w:val="LegalTramLines"/>
        <w:keepNext/>
        <w:spacing w:after="240"/>
      </w:pPr>
      <w:r>
        <w:t xml:space="preserve">JUDGMENT </w:t>
      </w:r>
    </w:p>
    <w:p w14:paraId="4F39A16D" w14:textId="77777777" w:rsidR="007D27AD" w:rsidRPr="007D27AD" w:rsidRDefault="007D27AD" w:rsidP="00630DF9">
      <w:pPr>
        <w:keepNext/>
        <w:spacing w:before="120" w:after="120" w:line="360" w:lineRule="auto"/>
        <w:jc w:val="both"/>
        <w:rPr>
          <w:b/>
          <w:caps/>
        </w:rPr>
      </w:pPr>
      <w:r w:rsidRPr="007D27AD">
        <w:rPr>
          <w:b/>
        </w:rPr>
        <w:t>Adams J:</w:t>
      </w:r>
    </w:p>
    <w:p w14:paraId="19E28E28" w14:textId="009B8A5A" w:rsidR="00AC5668" w:rsidRDefault="000D4A94" w:rsidP="000D4A94">
      <w:pPr>
        <w:pStyle w:val="LegalList1"/>
        <w:numPr>
          <w:ilvl w:val="0"/>
          <w:numId w:val="0"/>
        </w:numPr>
        <w:spacing w:after="120" w:line="360" w:lineRule="auto"/>
        <w:rPr>
          <w:color w:val="000000"/>
        </w:rPr>
      </w:pPr>
      <w:r>
        <w:rPr>
          <w:color w:val="000000"/>
        </w:rPr>
        <w:t>[1].</w:t>
      </w:r>
      <w:r>
        <w:rPr>
          <w:color w:val="000000"/>
        </w:rPr>
        <w:tab/>
      </w:r>
      <w:r w:rsidR="00963D79">
        <w:rPr>
          <w:color w:val="000000"/>
        </w:rPr>
        <w:t xml:space="preserve">On </w:t>
      </w:r>
      <w:r w:rsidR="00F245F5">
        <w:rPr>
          <w:color w:val="000000"/>
        </w:rPr>
        <w:t>13 and 14</w:t>
      </w:r>
      <w:r w:rsidR="00963D79">
        <w:rPr>
          <w:color w:val="000000"/>
        </w:rPr>
        <w:t xml:space="preserve"> </w:t>
      </w:r>
      <w:r w:rsidR="00F245F5">
        <w:rPr>
          <w:color w:val="000000"/>
        </w:rPr>
        <w:t>February</w:t>
      </w:r>
      <w:r w:rsidR="00963D79">
        <w:rPr>
          <w:color w:val="000000"/>
        </w:rPr>
        <w:t xml:space="preserve"> 202</w:t>
      </w:r>
      <w:r w:rsidR="00F245F5">
        <w:rPr>
          <w:color w:val="000000"/>
        </w:rPr>
        <w:t>4 respectively</w:t>
      </w:r>
      <w:r w:rsidR="00963D79">
        <w:rPr>
          <w:color w:val="000000"/>
        </w:rPr>
        <w:t xml:space="preserve"> the above two opposed applications</w:t>
      </w:r>
      <w:r w:rsidR="00D84DE6">
        <w:rPr>
          <w:color w:val="000000"/>
        </w:rPr>
        <w:t xml:space="preserve"> came before me in the </w:t>
      </w:r>
      <w:r w:rsidR="00D52053">
        <w:rPr>
          <w:color w:val="000000"/>
        </w:rPr>
        <w:t>o</w:t>
      </w:r>
      <w:r w:rsidR="00F245F5">
        <w:rPr>
          <w:color w:val="000000"/>
        </w:rPr>
        <w:t xml:space="preserve">pposed </w:t>
      </w:r>
      <w:r w:rsidR="00D52053">
        <w:rPr>
          <w:color w:val="000000"/>
        </w:rPr>
        <w:t>m</w:t>
      </w:r>
      <w:r w:rsidR="00F245F5">
        <w:rPr>
          <w:color w:val="000000"/>
        </w:rPr>
        <w:t>otion</w:t>
      </w:r>
      <w:r w:rsidR="00D84DE6">
        <w:rPr>
          <w:color w:val="000000"/>
        </w:rPr>
        <w:t xml:space="preserve"> </w:t>
      </w:r>
      <w:r w:rsidR="00D52053">
        <w:rPr>
          <w:color w:val="000000"/>
        </w:rPr>
        <w:t>c</w:t>
      </w:r>
      <w:r w:rsidR="00D84DE6">
        <w:rPr>
          <w:color w:val="000000"/>
        </w:rPr>
        <w:t xml:space="preserve">ourt of </w:t>
      </w:r>
      <w:r w:rsidR="00F245F5">
        <w:rPr>
          <w:color w:val="000000"/>
        </w:rPr>
        <w:t>that week</w:t>
      </w:r>
      <w:r w:rsidR="00D84DE6">
        <w:rPr>
          <w:color w:val="000000"/>
        </w:rPr>
        <w:t>. T</w:t>
      </w:r>
      <w:r w:rsidR="00963D79">
        <w:rPr>
          <w:color w:val="000000"/>
        </w:rPr>
        <w:t>he</w:t>
      </w:r>
      <w:r w:rsidR="00D84DE6">
        <w:rPr>
          <w:color w:val="000000"/>
        </w:rPr>
        <w:t xml:space="preserve"> </w:t>
      </w:r>
      <w:r w:rsidR="00F245F5">
        <w:rPr>
          <w:color w:val="000000"/>
        </w:rPr>
        <w:t xml:space="preserve">applicant in both matters is FirstRand Bank Limited (FirstRand Bank), which lent and advanced monies to the respondent in the second application (Alora Pallets) pursuant to and in terms of a loan agreement dated </w:t>
      </w:r>
      <w:r w:rsidR="00D52053">
        <w:rPr>
          <w:color w:val="000000"/>
        </w:rPr>
        <w:t>15 October 2019 / 18 November 2019</w:t>
      </w:r>
      <w:r w:rsidR="000C60E4">
        <w:rPr>
          <w:color w:val="000000"/>
        </w:rPr>
        <w:t xml:space="preserve">, </w:t>
      </w:r>
      <w:r w:rsidR="00D52053">
        <w:rPr>
          <w:color w:val="000000"/>
        </w:rPr>
        <w:t xml:space="preserve">a subsequent ‘Re-Advance and Future-Use Restatement Agreement’ dated 19 March 2020 and a facility agreement </w:t>
      </w:r>
      <w:r w:rsidR="000C60E4">
        <w:rPr>
          <w:color w:val="000000"/>
        </w:rPr>
        <w:t xml:space="preserve">dated 29 September 2022. On 15 October 2019 the respondent in the first application (Mr Nyoni) bound himself in favour of FirstRand Bank as surety </w:t>
      </w:r>
      <w:r w:rsidR="000C60E4" w:rsidRPr="00AC5668">
        <w:rPr>
          <w:i/>
          <w:iCs/>
          <w:color w:val="000000"/>
        </w:rPr>
        <w:t>in solidum</w:t>
      </w:r>
      <w:r w:rsidR="000C60E4">
        <w:rPr>
          <w:color w:val="000000"/>
        </w:rPr>
        <w:t xml:space="preserve"> and as co-principal debtor for the whole of Alora Pallets’ indebtedness to the bank. In the second application FirstRand Bank applies for the final </w:t>
      </w:r>
      <w:r w:rsidR="00615CD9">
        <w:rPr>
          <w:color w:val="000000"/>
        </w:rPr>
        <w:t xml:space="preserve">winding-up of Alora Pallets and in the first application the bank applies for a monetary judgment against the Mr Nyoni on the basis of the suretyship. </w:t>
      </w:r>
    </w:p>
    <w:p w14:paraId="4BC5A201" w14:textId="3BB7433F" w:rsidR="00AF5008" w:rsidRPr="00AC5668" w:rsidRDefault="000D4A94" w:rsidP="000D4A94">
      <w:pPr>
        <w:pStyle w:val="LegalList1"/>
        <w:numPr>
          <w:ilvl w:val="0"/>
          <w:numId w:val="0"/>
        </w:numPr>
        <w:spacing w:after="120" w:line="360" w:lineRule="auto"/>
        <w:rPr>
          <w:color w:val="000000"/>
        </w:rPr>
      </w:pPr>
      <w:r w:rsidRPr="00AC5668">
        <w:rPr>
          <w:color w:val="000000"/>
        </w:rPr>
        <w:t>[2].</w:t>
      </w:r>
      <w:r w:rsidRPr="00AC5668">
        <w:rPr>
          <w:color w:val="000000"/>
        </w:rPr>
        <w:tab/>
      </w:r>
      <w:r w:rsidR="00615CD9">
        <w:rPr>
          <w:color w:val="000000"/>
        </w:rPr>
        <w:t xml:space="preserve">Both these applications are grounded by Alora Pallets’ indebtedness to </w:t>
      </w:r>
      <w:r w:rsidR="00AC5668">
        <w:rPr>
          <w:color w:val="000000"/>
        </w:rPr>
        <w:t>FirstRand</w:t>
      </w:r>
      <w:r w:rsidR="00615CD9">
        <w:rPr>
          <w:color w:val="000000"/>
        </w:rPr>
        <w:t xml:space="preserve"> </w:t>
      </w:r>
      <w:r w:rsidR="00AC5668">
        <w:rPr>
          <w:color w:val="000000"/>
        </w:rPr>
        <w:t>B</w:t>
      </w:r>
      <w:r w:rsidR="00615CD9">
        <w:rPr>
          <w:color w:val="000000"/>
        </w:rPr>
        <w:t>ank.</w:t>
      </w:r>
      <w:r w:rsidR="000C60E4">
        <w:rPr>
          <w:color w:val="000000"/>
        </w:rPr>
        <w:t xml:space="preserve"> </w:t>
      </w:r>
      <w:r w:rsidR="00963D79" w:rsidRPr="00AC5668">
        <w:rPr>
          <w:color w:val="000000"/>
        </w:rPr>
        <w:t>It is accordingly convenient to deal with these</w:t>
      </w:r>
      <w:r w:rsidR="00AF5008" w:rsidRPr="00AC5668">
        <w:rPr>
          <w:color w:val="000000"/>
        </w:rPr>
        <w:t xml:space="preserve"> two</w:t>
      </w:r>
      <w:r w:rsidR="00963D79" w:rsidRPr="00AC5668">
        <w:rPr>
          <w:color w:val="000000"/>
        </w:rPr>
        <w:t xml:space="preserve"> matters in one judgment</w:t>
      </w:r>
      <w:r w:rsidR="00AC5668">
        <w:rPr>
          <w:color w:val="000000"/>
        </w:rPr>
        <w:t>, even though there has been no formal consolidation of the applications.</w:t>
      </w:r>
    </w:p>
    <w:p w14:paraId="39F888A7" w14:textId="5A3B9B07" w:rsidR="001162C4" w:rsidRDefault="000D4A94" w:rsidP="000D4A94">
      <w:pPr>
        <w:spacing w:after="120" w:line="360" w:lineRule="auto"/>
        <w:jc w:val="both"/>
        <w:outlineLvl w:val="0"/>
        <w:rPr>
          <w:color w:val="000000"/>
        </w:rPr>
      </w:pPr>
      <w:r>
        <w:rPr>
          <w:color w:val="000000"/>
        </w:rPr>
        <w:t>[3].</w:t>
      </w:r>
      <w:r>
        <w:rPr>
          <w:color w:val="000000"/>
        </w:rPr>
        <w:tab/>
      </w:r>
      <w:r w:rsidR="00AF2673">
        <w:rPr>
          <w:color w:val="000000"/>
        </w:rPr>
        <w:t xml:space="preserve">By September 2022, Alora Pallets had fallen into arrears with its account with the bank to the tune of about R127 000, and it was placed on terms by the bank to bring its arrears up to date within seven days. By 2 November 2022, the </w:t>
      </w:r>
      <w:r w:rsidR="00AF2673">
        <w:rPr>
          <w:color w:val="000000"/>
        </w:rPr>
        <w:lastRenderedPageBreak/>
        <w:t xml:space="preserve">amount of the arrears had increased to R260 000 and the bank, as per a letter of demand of that day, ‘called up’ both the loan agreement and the credit facility, as it was entitled to do, and demanded payment of the total amounts outstanding on both accounts, which, at that stage, amounted to a sum in excess of </w:t>
      </w:r>
      <w:r w:rsidR="00517B08">
        <w:rPr>
          <w:color w:val="000000"/>
        </w:rPr>
        <w:t>R9.6 million.</w:t>
      </w:r>
    </w:p>
    <w:p w14:paraId="77E4D062" w14:textId="11E00564" w:rsidR="00AF5008" w:rsidRDefault="000D4A94" w:rsidP="000D4A94">
      <w:pPr>
        <w:spacing w:after="120" w:line="360" w:lineRule="auto"/>
        <w:jc w:val="both"/>
        <w:outlineLvl w:val="0"/>
        <w:rPr>
          <w:color w:val="000000"/>
        </w:rPr>
      </w:pPr>
      <w:r>
        <w:rPr>
          <w:color w:val="000000"/>
        </w:rPr>
        <w:t>[4].</w:t>
      </w:r>
      <w:r>
        <w:rPr>
          <w:color w:val="000000"/>
        </w:rPr>
        <w:tab/>
      </w:r>
      <w:r w:rsidR="001162C4">
        <w:rPr>
          <w:color w:val="000000"/>
        </w:rPr>
        <w:t>On 6 December 2022 FirstRand Bank’s attorneys addressed to Alora Palettes a notice in terms of s 345(1)(a)(i)</w:t>
      </w:r>
      <w:r w:rsidR="00D46D79">
        <w:rPr>
          <w:rStyle w:val="FootnoteReference"/>
          <w:color w:val="000000"/>
        </w:rPr>
        <w:footnoteReference w:id="1"/>
      </w:r>
      <w:r w:rsidR="001162C4">
        <w:rPr>
          <w:color w:val="000000"/>
        </w:rPr>
        <w:t xml:space="preserve"> of the Companies Act</w:t>
      </w:r>
      <w:r w:rsidR="00D46D79">
        <w:rPr>
          <w:rStyle w:val="FootnoteReference"/>
          <w:color w:val="000000"/>
        </w:rPr>
        <w:footnoteReference w:id="2"/>
      </w:r>
      <w:r w:rsidR="00D46D79">
        <w:rPr>
          <w:color w:val="000000"/>
        </w:rPr>
        <w:t>,</w:t>
      </w:r>
      <w:r w:rsidR="00920C67">
        <w:rPr>
          <w:color w:val="000000"/>
        </w:rPr>
        <w:t xml:space="preserve"> demanding payment of the amounts payable in terms of the loan agreement and the credit facility, totalling over R9.7 million. On the same day a letter of demand was addressed to Mr Nyoni, demanding from him the said sum on the basis of the suretyship given by him in favour of FirstRand Bank.</w:t>
      </w:r>
      <w:r w:rsidR="006C1255">
        <w:rPr>
          <w:color w:val="000000"/>
        </w:rPr>
        <w:t xml:space="preserve"> Subsequent attempts by the parties and, in particular, Mr Nyoni, to resolve the impasse, came to naught. And during March</w:t>
      </w:r>
      <w:r w:rsidR="00D45D05">
        <w:rPr>
          <w:color w:val="000000"/>
        </w:rPr>
        <w:t xml:space="preserve"> and April</w:t>
      </w:r>
      <w:r w:rsidR="006C1255">
        <w:rPr>
          <w:color w:val="000000"/>
        </w:rPr>
        <w:t xml:space="preserve"> 2023, FirstRand Bank proceeded with the issue of the above applications against </w:t>
      </w:r>
      <w:r w:rsidR="008278B5">
        <w:rPr>
          <w:color w:val="000000"/>
        </w:rPr>
        <w:t>Mr Nyoni and Alora Pallets.</w:t>
      </w:r>
      <w:r w:rsidR="00CB7993">
        <w:rPr>
          <w:color w:val="000000"/>
        </w:rPr>
        <w:t xml:space="preserve"> At that point</w:t>
      </w:r>
      <w:r w:rsidR="00660729">
        <w:rPr>
          <w:color w:val="000000"/>
        </w:rPr>
        <w:t>,</w:t>
      </w:r>
      <w:r w:rsidR="00CB7993">
        <w:rPr>
          <w:color w:val="000000"/>
        </w:rPr>
        <w:t xml:space="preserve"> Alora Pallets was indebted to FirstRand Bank in the total sum of R</w:t>
      </w:r>
      <w:r w:rsidR="00660729">
        <w:rPr>
          <w:color w:val="000000"/>
        </w:rPr>
        <w:t>9 458 986.81 – R8 </w:t>
      </w:r>
      <w:r w:rsidR="00660729" w:rsidRPr="00660729">
        <w:t>573</w:t>
      </w:r>
      <w:r w:rsidR="00660729">
        <w:t> </w:t>
      </w:r>
      <w:r w:rsidR="00660729" w:rsidRPr="00660729">
        <w:t>783</w:t>
      </w:r>
      <w:r w:rsidR="00660729">
        <w:rPr>
          <w:color w:val="000000"/>
        </w:rPr>
        <w:t>.61 in respect of the loan account and R885 203.20 relating to the credit facility.</w:t>
      </w:r>
    </w:p>
    <w:p w14:paraId="0ABD42A0" w14:textId="3AEF8577" w:rsidR="00347F8E" w:rsidRDefault="000D4A94" w:rsidP="000D4A94">
      <w:pPr>
        <w:spacing w:after="120" w:line="360" w:lineRule="auto"/>
        <w:jc w:val="both"/>
        <w:outlineLvl w:val="0"/>
        <w:rPr>
          <w:color w:val="000000"/>
        </w:rPr>
      </w:pPr>
      <w:r>
        <w:rPr>
          <w:color w:val="000000"/>
        </w:rPr>
        <w:t>[5].</w:t>
      </w:r>
      <w:r>
        <w:rPr>
          <w:color w:val="000000"/>
        </w:rPr>
        <w:tab/>
      </w:r>
      <w:r w:rsidR="00347F8E">
        <w:rPr>
          <w:color w:val="000000"/>
        </w:rPr>
        <w:t xml:space="preserve">During the period from 6 December 2022, when the final demands were made by FirstRand Bank’s attorneys, to 14 June 2023, when the respondents’ answering affidavits in the two applications were deposed to by Mr Nyoni, Alora paid in total R1 245 384.94 on account of </w:t>
      </w:r>
      <w:r w:rsidR="00FF3147">
        <w:rPr>
          <w:color w:val="000000"/>
        </w:rPr>
        <w:t xml:space="preserve">its </w:t>
      </w:r>
      <w:r w:rsidR="00347F8E">
        <w:rPr>
          <w:color w:val="000000"/>
        </w:rPr>
        <w:t xml:space="preserve">indebtedness to FirstRand Bank. Those payments would have brought the accounts up to date at that stage, but for the fact both accounts had been ‘called up’. </w:t>
      </w:r>
    </w:p>
    <w:p w14:paraId="6A745024" w14:textId="2334C829" w:rsidR="00660729" w:rsidRDefault="000D4A94" w:rsidP="000D4A94">
      <w:pPr>
        <w:spacing w:after="240" w:line="360" w:lineRule="auto"/>
        <w:jc w:val="both"/>
        <w:outlineLvl w:val="0"/>
        <w:rPr>
          <w:color w:val="000000"/>
        </w:rPr>
      </w:pPr>
      <w:r>
        <w:rPr>
          <w:color w:val="000000"/>
        </w:rPr>
        <w:t>[6].</w:t>
      </w:r>
      <w:r>
        <w:rPr>
          <w:color w:val="000000"/>
        </w:rPr>
        <w:tab/>
      </w:r>
      <w:r w:rsidR="00CF313B">
        <w:rPr>
          <w:color w:val="000000"/>
        </w:rPr>
        <w:t xml:space="preserve">The issue to be decided in the </w:t>
      </w:r>
      <w:r w:rsidR="00660729">
        <w:rPr>
          <w:color w:val="000000"/>
        </w:rPr>
        <w:t>first</w:t>
      </w:r>
      <w:r w:rsidR="00CF313B">
        <w:rPr>
          <w:color w:val="000000"/>
        </w:rPr>
        <w:t xml:space="preserve"> application is simply whether </w:t>
      </w:r>
      <w:r w:rsidR="00660729">
        <w:rPr>
          <w:color w:val="000000"/>
        </w:rPr>
        <w:t>a case is made out on behalf of FirstRand Bank for judgment against M</w:t>
      </w:r>
      <w:r w:rsidR="00B1098F">
        <w:rPr>
          <w:color w:val="000000"/>
        </w:rPr>
        <w:t>r</w:t>
      </w:r>
      <w:r w:rsidR="00660729">
        <w:rPr>
          <w:color w:val="000000"/>
        </w:rPr>
        <w:t xml:space="preserve"> Nyoni on the basis of the suretyship signed by him in favour of the bank. In the second application, </w:t>
      </w:r>
      <w:r w:rsidR="00660729">
        <w:rPr>
          <w:color w:val="000000"/>
        </w:rPr>
        <w:lastRenderedPageBreak/>
        <w:t>the main question to be considered by the Court is whether Alora Pallets is commercially insolvent.</w:t>
      </w:r>
    </w:p>
    <w:p w14:paraId="201B3F82" w14:textId="0BFCB279" w:rsidR="00CF313B" w:rsidRPr="00B1098F" w:rsidRDefault="00B1098F" w:rsidP="00347F8E">
      <w:pPr>
        <w:keepNext/>
        <w:spacing w:after="120" w:line="360" w:lineRule="auto"/>
        <w:jc w:val="both"/>
        <w:outlineLvl w:val="0"/>
        <w:rPr>
          <w:b/>
          <w:bCs/>
          <w:color w:val="000000"/>
        </w:rPr>
      </w:pPr>
      <w:r>
        <w:rPr>
          <w:b/>
          <w:bCs/>
          <w:color w:val="000000"/>
        </w:rPr>
        <w:t>The First Application against Mr Nyoni</w:t>
      </w:r>
    </w:p>
    <w:p w14:paraId="275A4CED" w14:textId="4F2395C0" w:rsidR="007040D7" w:rsidRPr="00216E95" w:rsidRDefault="000D4A94" w:rsidP="000D4A94">
      <w:pPr>
        <w:spacing w:after="120" w:line="360" w:lineRule="auto"/>
        <w:jc w:val="both"/>
        <w:outlineLvl w:val="0"/>
        <w:rPr>
          <w:color w:val="000000"/>
        </w:rPr>
      </w:pPr>
      <w:r w:rsidRPr="00216E95">
        <w:rPr>
          <w:color w:val="000000"/>
        </w:rPr>
        <w:t>[7].</w:t>
      </w:r>
      <w:r w:rsidRPr="00216E95">
        <w:rPr>
          <w:color w:val="000000"/>
        </w:rPr>
        <w:tab/>
      </w:r>
      <w:r w:rsidR="00216E95">
        <w:rPr>
          <w:color w:val="000000"/>
        </w:rPr>
        <w:t xml:space="preserve">Mr Nyoni opposes the application for judgment against him on a number of bases, the most notable of which is his contention that </w:t>
      </w:r>
      <w:r w:rsidR="007040D7" w:rsidRPr="00216E95">
        <w:rPr>
          <w:color w:val="000000"/>
        </w:rPr>
        <w:t xml:space="preserve">Alora </w:t>
      </w:r>
      <w:r w:rsidR="001D06C5">
        <w:rPr>
          <w:color w:val="000000"/>
        </w:rPr>
        <w:t xml:space="preserve">Pallets </w:t>
      </w:r>
      <w:r w:rsidR="007040D7" w:rsidRPr="00216E95">
        <w:rPr>
          <w:color w:val="000000"/>
        </w:rPr>
        <w:t>has</w:t>
      </w:r>
      <w:r w:rsidR="00216E95">
        <w:rPr>
          <w:color w:val="000000"/>
        </w:rPr>
        <w:t>, before and since the launching of this application,</w:t>
      </w:r>
      <w:r w:rsidR="007040D7" w:rsidRPr="00216E95">
        <w:rPr>
          <w:color w:val="000000"/>
        </w:rPr>
        <w:t xml:space="preserve"> made payments</w:t>
      </w:r>
      <w:r w:rsidR="00216E95">
        <w:rPr>
          <w:color w:val="000000"/>
        </w:rPr>
        <w:t xml:space="preserve"> on account of its indebtedness to FirstRand Bank</w:t>
      </w:r>
      <w:r w:rsidR="007040D7" w:rsidRPr="00216E95">
        <w:rPr>
          <w:color w:val="000000"/>
        </w:rPr>
        <w:t xml:space="preserve">, thereby extinguishing the arrears.  </w:t>
      </w:r>
    </w:p>
    <w:p w14:paraId="4B7C9B3F" w14:textId="052A9F07" w:rsidR="00F80D0C" w:rsidRDefault="000D4A94" w:rsidP="000D4A94">
      <w:pPr>
        <w:spacing w:after="120" w:line="360" w:lineRule="auto"/>
        <w:jc w:val="both"/>
        <w:outlineLvl w:val="0"/>
        <w:rPr>
          <w:color w:val="000000"/>
        </w:rPr>
      </w:pPr>
      <w:r>
        <w:rPr>
          <w:color w:val="000000"/>
        </w:rPr>
        <w:t>[8].</w:t>
      </w:r>
      <w:r>
        <w:rPr>
          <w:color w:val="000000"/>
        </w:rPr>
        <w:tab/>
      </w:r>
      <w:r w:rsidR="001D06C5">
        <w:rPr>
          <w:color w:val="000000"/>
        </w:rPr>
        <w:t>As correctly submitted by Mr Horn, who appeared on behalf of FirstRand Bank in both applications, whilst these further payments should be taken into account in the amount of the monetary judgment to be granted against Mr Nyoni,</w:t>
      </w:r>
      <w:r w:rsidR="000A79F5">
        <w:rPr>
          <w:color w:val="000000"/>
        </w:rPr>
        <w:t xml:space="preserve"> it does not detract from the fact that, after the debts were ‘called up’ by the bank, the whole amounts outstanding on both accounts, became owing due and payable. In the absence of payment by Alora Pallets of the full amounts owing, due and payable, the bank was entitled to insist on payment of the full outstanding balances. This means that </w:t>
      </w:r>
      <w:r w:rsidR="007040D7" w:rsidRPr="000A79F5">
        <w:rPr>
          <w:color w:val="000000"/>
        </w:rPr>
        <w:t>it is no longer open to Alora</w:t>
      </w:r>
      <w:r w:rsidR="000A79F5">
        <w:rPr>
          <w:color w:val="000000"/>
        </w:rPr>
        <w:t xml:space="preserve"> Pallets</w:t>
      </w:r>
      <w:r w:rsidR="007040D7" w:rsidRPr="000A79F5">
        <w:rPr>
          <w:color w:val="000000"/>
        </w:rPr>
        <w:t xml:space="preserve"> to pay the debt in instalments. It is also no longer possible to extinguish the arrears. The entire debt is now payable, not only the arrears.</w:t>
      </w:r>
    </w:p>
    <w:p w14:paraId="75DCA6D8" w14:textId="79AD372C" w:rsidR="00F80D0C" w:rsidRDefault="000D4A94" w:rsidP="000D4A94">
      <w:pPr>
        <w:spacing w:after="120" w:line="360" w:lineRule="auto"/>
        <w:jc w:val="both"/>
        <w:outlineLvl w:val="0"/>
        <w:rPr>
          <w:color w:val="000000"/>
        </w:rPr>
      </w:pPr>
      <w:r>
        <w:rPr>
          <w:color w:val="000000"/>
        </w:rPr>
        <w:t>[9].</w:t>
      </w:r>
      <w:r>
        <w:rPr>
          <w:color w:val="000000"/>
        </w:rPr>
        <w:tab/>
      </w:r>
      <w:r w:rsidR="00F80D0C">
        <w:rPr>
          <w:color w:val="000000"/>
        </w:rPr>
        <w:t>This, in turn, means that the Mr Nyoni, as surety, is liable to the bank for payment of the total of the amounts outstanding on the two accounts.</w:t>
      </w:r>
    </w:p>
    <w:p w14:paraId="255AB2A1" w14:textId="7436E99E" w:rsidR="000579EB" w:rsidRDefault="000D4A94" w:rsidP="000D4A94">
      <w:pPr>
        <w:spacing w:after="120" w:line="360" w:lineRule="auto"/>
        <w:jc w:val="both"/>
        <w:outlineLvl w:val="0"/>
        <w:rPr>
          <w:color w:val="000000"/>
        </w:rPr>
      </w:pPr>
      <w:r>
        <w:rPr>
          <w:color w:val="000000"/>
        </w:rPr>
        <w:t>[10].</w:t>
      </w:r>
      <w:r>
        <w:rPr>
          <w:color w:val="000000"/>
        </w:rPr>
        <w:tab/>
      </w:r>
      <w:r w:rsidR="000579EB">
        <w:rPr>
          <w:color w:val="000000"/>
        </w:rPr>
        <w:t xml:space="preserve">The other grounds raised by Mr Nyoni in opposition to the application are, in sum, as follows: (a) </w:t>
      </w:r>
      <w:r w:rsidR="000579EB" w:rsidRPr="000579EB">
        <w:rPr>
          <w:color w:val="000000"/>
        </w:rPr>
        <w:t xml:space="preserve">First, </w:t>
      </w:r>
      <w:r w:rsidR="000579EB">
        <w:rPr>
          <w:color w:val="000000"/>
        </w:rPr>
        <w:t>he</w:t>
      </w:r>
      <w:r w:rsidR="000579EB" w:rsidRPr="000579EB">
        <w:rPr>
          <w:color w:val="000000"/>
        </w:rPr>
        <w:t xml:space="preserve"> contends that the application should be stayed pending the outcome of FirstRand’s application for Alora’s winding-up</w:t>
      </w:r>
      <w:r w:rsidR="000579EB">
        <w:rPr>
          <w:color w:val="000000"/>
        </w:rPr>
        <w:t xml:space="preserve"> </w:t>
      </w:r>
      <w:r w:rsidR="000579EB" w:rsidRPr="000579EB">
        <w:rPr>
          <w:color w:val="000000"/>
        </w:rPr>
        <w:t>premised on its inability to pay its debts</w:t>
      </w:r>
      <w:r w:rsidR="000579EB">
        <w:rPr>
          <w:color w:val="000000"/>
        </w:rPr>
        <w:t xml:space="preserve">; (b) </w:t>
      </w:r>
      <w:r w:rsidR="000579EB" w:rsidRPr="000579EB">
        <w:rPr>
          <w:color w:val="000000"/>
        </w:rPr>
        <w:t xml:space="preserve">Second, </w:t>
      </w:r>
      <w:r w:rsidR="000579EB">
        <w:rPr>
          <w:color w:val="000000"/>
        </w:rPr>
        <w:t>Mr Nyoni</w:t>
      </w:r>
      <w:r w:rsidR="000579EB" w:rsidRPr="000579EB">
        <w:rPr>
          <w:color w:val="000000"/>
        </w:rPr>
        <w:t xml:space="preserve"> contends that, should the liquidation application and the present application succeed, FirstRand will end up with two judgments for payment of the same debt – essentially a double recovery</w:t>
      </w:r>
      <w:r w:rsidR="000579EB">
        <w:rPr>
          <w:color w:val="000000"/>
        </w:rPr>
        <w:t>; (c) Third</w:t>
      </w:r>
      <w:r w:rsidR="000579EB" w:rsidRPr="000579EB">
        <w:rPr>
          <w:color w:val="000000"/>
        </w:rPr>
        <w:t xml:space="preserve">, </w:t>
      </w:r>
      <w:r w:rsidR="000579EB">
        <w:rPr>
          <w:color w:val="000000"/>
        </w:rPr>
        <w:t>Mr Nyoni</w:t>
      </w:r>
      <w:r w:rsidR="000579EB" w:rsidRPr="000579EB">
        <w:rPr>
          <w:color w:val="000000"/>
        </w:rPr>
        <w:t xml:space="preserve"> alleges that his liability as surety will only arise if Alora is liquidated and its assets are insufficient to pay its debts</w:t>
      </w:r>
      <w:r w:rsidR="000579EB">
        <w:rPr>
          <w:color w:val="000000"/>
        </w:rPr>
        <w:t xml:space="preserve">; </w:t>
      </w:r>
      <w:r w:rsidR="002653C0">
        <w:rPr>
          <w:color w:val="000000"/>
        </w:rPr>
        <w:t xml:space="preserve">and </w:t>
      </w:r>
      <w:r w:rsidR="000579EB">
        <w:rPr>
          <w:color w:val="000000"/>
        </w:rPr>
        <w:t>(d) Fourth</w:t>
      </w:r>
      <w:r w:rsidR="000579EB" w:rsidRPr="000579EB">
        <w:rPr>
          <w:color w:val="000000"/>
        </w:rPr>
        <w:t>,</w:t>
      </w:r>
      <w:r w:rsidR="002653C0">
        <w:rPr>
          <w:color w:val="000000"/>
        </w:rPr>
        <w:t xml:space="preserve"> Mr Nyoni </w:t>
      </w:r>
      <w:r w:rsidR="000579EB" w:rsidRPr="002653C0">
        <w:rPr>
          <w:color w:val="000000"/>
        </w:rPr>
        <w:t>claims that the National Credit Act</w:t>
      </w:r>
      <w:r w:rsidR="002653C0">
        <w:rPr>
          <w:rStyle w:val="FootnoteReference"/>
          <w:color w:val="000000"/>
        </w:rPr>
        <w:footnoteReference w:id="3"/>
      </w:r>
      <w:r w:rsidR="000579EB" w:rsidRPr="002653C0">
        <w:rPr>
          <w:color w:val="000000"/>
        </w:rPr>
        <w:t xml:space="preserve"> (</w:t>
      </w:r>
      <w:r w:rsidR="002653C0">
        <w:rPr>
          <w:color w:val="000000"/>
        </w:rPr>
        <w:t>‘</w:t>
      </w:r>
      <w:r w:rsidR="000579EB" w:rsidRPr="002653C0">
        <w:rPr>
          <w:color w:val="000000"/>
        </w:rPr>
        <w:t>the NCA</w:t>
      </w:r>
      <w:r w:rsidR="002653C0">
        <w:rPr>
          <w:color w:val="000000"/>
        </w:rPr>
        <w:t>’</w:t>
      </w:r>
      <w:r w:rsidR="000579EB" w:rsidRPr="002653C0">
        <w:rPr>
          <w:color w:val="000000"/>
        </w:rPr>
        <w:t>) applies to the facility agreement concluded between FirstRand and Alora</w:t>
      </w:r>
      <w:r w:rsidR="002653C0">
        <w:rPr>
          <w:color w:val="000000"/>
        </w:rPr>
        <w:t xml:space="preserve"> Pallets</w:t>
      </w:r>
      <w:r w:rsidR="000579EB" w:rsidRPr="002653C0">
        <w:rPr>
          <w:color w:val="000000"/>
        </w:rPr>
        <w:t xml:space="preserve"> and, therefore, to the suretyship </w:t>
      </w:r>
      <w:r w:rsidR="000579EB" w:rsidRPr="002653C0">
        <w:rPr>
          <w:color w:val="000000"/>
        </w:rPr>
        <w:lastRenderedPageBreak/>
        <w:t xml:space="preserve">too. If the Court finds that this is not so, </w:t>
      </w:r>
      <w:r w:rsidR="002653C0">
        <w:rPr>
          <w:color w:val="000000"/>
        </w:rPr>
        <w:t>then</w:t>
      </w:r>
      <w:r w:rsidR="000579EB" w:rsidRPr="002653C0">
        <w:rPr>
          <w:color w:val="000000"/>
        </w:rPr>
        <w:t xml:space="preserve"> </w:t>
      </w:r>
      <w:r w:rsidR="002653C0">
        <w:rPr>
          <w:color w:val="000000"/>
        </w:rPr>
        <w:t>Mr Nyoni</w:t>
      </w:r>
      <w:r w:rsidR="000579EB" w:rsidRPr="002653C0">
        <w:rPr>
          <w:color w:val="000000"/>
        </w:rPr>
        <w:t xml:space="preserve"> challenges the constitutionality of the </w:t>
      </w:r>
      <w:r w:rsidR="002653C0">
        <w:rPr>
          <w:color w:val="000000"/>
        </w:rPr>
        <w:t>applicable provisions of the NCA</w:t>
      </w:r>
      <w:r w:rsidR="000579EB" w:rsidRPr="002653C0">
        <w:rPr>
          <w:color w:val="000000"/>
        </w:rPr>
        <w:t>.</w:t>
      </w:r>
    </w:p>
    <w:p w14:paraId="25ECC909" w14:textId="6B63F18F" w:rsidR="002653C0" w:rsidRPr="002653C0" w:rsidRDefault="000D4A94" w:rsidP="000D4A94">
      <w:pPr>
        <w:spacing w:after="120" w:line="360" w:lineRule="auto"/>
        <w:jc w:val="both"/>
        <w:outlineLvl w:val="0"/>
        <w:rPr>
          <w:color w:val="000000"/>
        </w:rPr>
      </w:pPr>
      <w:r w:rsidRPr="002653C0">
        <w:rPr>
          <w:color w:val="000000"/>
        </w:rPr>
        <w:t>[11].</w:t>
      </w:r>
      <w:r w:rsidRPr="002653C0">
        <w:rPr>
          <w:color w:val="000000"/>
        </w:rPr>
        <w:tab/>
      </w:r>
      <w:r w:rsidR="002653C0">
        <w:rPr>
          <w:color w:val="000000"/>
        </w:rPr>
        <w:t xml:space="preserve">I shall make short thrift of these defences of Mr Nyoni and simply say that they are misguided and bad in law. </w:t>
      </w:r>
    </w:p>
    <w:p w14:paraId="0ED11D0B" w14:textId="3BF2C45D" w:rsidR="007040D7" w:rsidRDefault="000D4A94" w:rsidP="000D4A94">
      <w:pPr>
        <w:spacing w:line="360" w:lineRule="auto"/>
        <w:jc w:val="both"/>
        <w:outlineLvl w:val="0"/>
        <w:rPr>
          <w:color w:val="000000"/>
        </w:rPr>
      </w:pPr>
      <w:r>
        <w:rPr>
          <w:color w:val="000000"/>
        </w:rPr>
        <w:t>[12].</w:t>
      </w:r>
      <w:r>
        <w:rPr>
          <w:color w:val="000000"/>
        </w:rPr>
        <w:tab/>
      </w:r>
      <w:r w:rsidR="007040D7" w:rsidRPr="002653C0">
        <w:rPr>
          <w:color w:val="000000"/>
        </w:rPr>
        <w:t xml:space="preserve">The benefit of </w:t>
      </w:r>
      <w:r w:rsidR="007040D7" w:rsidRPr="002653C0">
        <w:rPr>
          <w:i/>
          <w:iCs/>
          <w:color w:val="000000"/>
        </w:rPr>
        <w:t>excussion</w:t>
      </w:r>
      <w:r w:rsidR="007040D7" w:rsidRPr="002653C0">
        <w:rPr>
          <w:color w:val="000000"/>
        </w:rPr>
        <w:t xml:space="preserve"> is the right of a surety (other than</w:t>
      </w:r>
      <w:r w:rsidR="00FF3147">
        <w:rPr>
          <w:color w:val="000000"/>
        </w:rPr>
        <w:t xml:space="preserve"> a</w:t>
      </w:r>
      <w:r w:rsidR="007040D7" w:rsidRPr="002653C0">
        <w:rPr>
          <w:color w:val="000000"/>
        </w:rPr>
        <w:t xml:space="preserve"> co-principal debtor) against the creditor to demand that the creditor first proceed against the principal debtor with a view to obtaining payment, if </w:t>
      </w:r>
      <w:r w:rsidR="002653C0" w:rsidRPr="002653C0">
        <w:rPr>
          <w:color w:val="000000"/>
        </w:rPr>
        <w:t>necessary,</w:t>
      </w:r>
      <w:r w:rsidR="007040D7" w:rsidRPr="002653C0">
        <w:rPr>
          <w:color w:val="000000"/>
        </w:rPr>
        <w:t xml:space="preserve"> by execution of assets, before turning to the surety for payment of the debt (or as much of it as remains unpaid).</w:t>
      </w:r>
      <w:r w:rsidR="002653C0">
        <w:rPr>
          <w:color w:val="000000"/>
        </w:rPr>
        <w:t xml:space="preserve"> </w:t>
      </w:r>
      <w:r w:rsidR="007040D7" w:rsidRPr="002653C0">
        <w:rPr>
          <w:color w:val="000000"/>
        </w:rPr>
        <w:t xml:space="preserve">By virtue of the fact that the benefit of excussion does not avail </w:t>
      </w:r>
      <w:r w:rsidR="002653C0">
        <w:rPr>
          <w:color w:val="000000"/>
        </w:rPr>
        <w:t>Mr Nyoni</w:t>
      </w:r>
      <w:r w:rsidR="007040D7" w:rsidRPr="002653C0">
        <w:rPr>
          <w:color w:val="000000"/>
        </w:rPr>
        <w:t>, he is immediately liable, jointly and severally, for the indebtedness of Alora</w:t>
      </w:r>
      <w:r w:rsidR="002653C0">
        <w:rPr>
          <w:color w:val="000000"/>
        </w:rPr>
        <w:t xml:space="preserve"> Pallets</w:t>
      </w:r>
      <w:r w:rsidR="007040D7" w:rsidRPr="002653C0">
        <w:rPr>
          <w:color w:val="000000"/>
        </w:rPr>
        <w:t xml:space="preserve"> to FirstRand</w:t>
      </w:r>
      <w:r w:rsidR="002653C0">
        <w:rPr>
          <w:color w:val="000000"/>
        </w:rPr>
        <w:t xml:space="preserve"> Bank</w:t>
      </w:r>
      <w:r w:rsidR="007040D7" w:rsidRPr="002653C0">
        <w:rPr>
          <w:color w:val="000000"/>
        </w:rPr>
        <w:t>.</w:t>
      </w:r>
      <w:r w:rsidR="002653C0">
        <w:rPr>
          <w:color w:val="000000"/>
        </w:rPr>
        <w:t xml:space="preserve"> This is so if regard </w:t>
      </w:r>
      <w:r w:rsidR="00FF3147">
        <w:rPr>
          <w:color w:val="000000"/>
        </w:rPr>
        <w:t>is</w:t>
      </w:r>
      <w:r w:rsidR="002653C0">
        <w:rPr>
          <w:color w:val="000000"/>
        </w:rPr>
        <w:t xml:space="preserve"> ha</w:t>
      </w:r>
      <w:r w:rsidR="00FF3147">
        <w:rPr>
          <w:color w:val="000000"/>
        </w:rPr>
        <w:t>d</w:t>
      </w:r>
      <w:r w:rsidR="002653C0">
        <w:rPr>
          <w:color w:val="000000"/>
        </w:rPr>
        <w:t xml:space="preserve"> to the express provisions of </w:t>
      </w:r>
      <w:r w:rsidR="00844B9E">
        <w:rPr>
          <w:color w:val="000000"/>
        </w:rPr>
        <w:t xml:space="preserve">the suretyship agreement, which provides in the relevant part of clause 11 as follows: - </w:t>
      </w:r>
    </w:p>
    <w:p w14:paraId="2D361257" w14:textId="79DFF10A" w:rsidR="007040D7" w:rsidRPr="00844B9E" w:rsidRDefault="00844B9E" w:rsidP="00844B9E">
      <w:pPr>
        <w:spacing w:after="120" w:line="360" w:lineRule="auto"/>
        <w:jc w:val="both"/>
        <w:outlineLvl w:val="0"/>
        <w:rPr>
          <w:color w:val="000000"/>
          <w:sz w:val="22"/>
          <w:szCs w:val="22"/>
        </w:rPr>
      </w:pPr>
      <w:r w:rsidRPr="00844B9E">
        <w:rPr>
          <w:color w:val="000000"/>
          <w:sz w:val="22"/>
          <w:szCs w:val="22"/>
        </w:rPr>
        <w:t>‘… [</w:t>
      </w:r>
      <w:r w:rsidR="007040D7" w:rsidRPr="00844B9E">
        <w:rPr>
          <w:color w:val="000000"/>
          <w:sz w:val="22"/>
          <w:szCs w:val="22"/>
        </w:rPr>
        <w:t>FirstRand] may demand that I/we immediately pay any amounts that are due and payable along with interest, costs and fees. If I/we do not either pay [FirstRand] or make arrangements with [FirstRand</w:t>
      </w:r>
      <w:r>
        <w:rPr>
          <w:color w:val="000000"/>
          <w:sz w:val="22"/>
          <w:szCs w:val="22"/>
        </w:rPr>
        <w:t>]</w:t>
      </w:r>
      <w:r w:rsidR="007040D7" w:rsidRPr="00844B9E">
        <w:rPr>
          <w:color w:val="000000"/>
          <w:sz w:val="22"/>
          <w:szCs w:val="22"/>
        </w:rPr>
        <w:t xml:space="preserve"> to its satisfaction</w:t>
      </w:r>
      <w:r>
        <w:rPr>
          <w:color w:val="000000"/>
          <w:sz w:val="22"/>
          <w:szCs w:val="22"/>
        </w:rPr>
        <w:t>,</w:t>
      </w:r>
      <w:r w:rsidR="007040D7" w:rsidRPr="00844B9E">
        <w:rPr>
          <w:color w:val="000000"/>
          <w:sz w:val="22"/>
          <w:szCs w:val="22"/>
        </w:rPr>
        <w:t xml:space="preserve"> [FirstRand] may take legal step</w:t>
      </w:r>
      <w:r w:rsidRPr="00844B9E">
        <w:rPr>
          <w:color w:val="000000"/>
          <w:sz w:val="22"/>
          <w:szCs w:val="22"/>
        </w:rPr>
        <w:t xml:space="preserve">s …’. </w:t>
      </w:r>
    </w:p>
    <w:p w14:paraId="53A3C120" w14:textId="64C02FB3" w:rsidR="007040D7" w:rsidRPr="00CD564C" w:rsidRDefault="000D4A94" w:rsidP="000D4A94">
      <w:pPr>
        <w:spacing w:after="120" w:line="360" w:lineRule="auto"/>
        <w:jc w:val="both"/>
        <w:outlineLvl w:val="0"/>
        <w:rPr>
          <w:color w:val="000000"/>
        </w:rPr>
      </w:pPr>
      <w:r w:rsidRPr="00CD564C">
        <w:rPr>
          <w:color w:val="000000"/>
        </w:rPr>
        <w:t>[13].</w:t>
      </w:r>
      <w:r w:rsidRPr="00CD564C">
        <w:rPr>
          <w:color w:val="000000"/>
        </w:rPr>
        <w:tab/>
      </w:r>
      <w:r w:rsidR="00CD564C">
        <w:rPr>
          <w:color w:val="000000"/>
        </w:rPr>
        <w:t xml:space="preserve">As for the constitutionality challenge to certain provisions of the </w:t>
      </w:r>
      <w:r w:rsidR="007040D7" w:rsidRPr="007040D7">
        <w:rPr>
          <w:color w:val="000000"/>
        </w:rPr>
        <w:t>NCA</w:t>
      </w:r>
      <w:r w:rsidR="00CD564C">
        <w:rPr>
          <w:color w:val="000000"/>
        </w:rPr>
        <w:t>, it was contended on behalf of FirstRand Bank that t</w:t>
      </w:r>
      <w:r w:rsidR="007040D7" w:rsidRPr="00CD564C">
        <w:rPr>
          <w:color w:val="000000"/>
        </w:rPr>
        <w:t xml:space="preserve">he purported constitutional challenge is defective. </w:t>
      </w:r>
      <w:r w:rsidR="00CD564C">
        <w:rPr>
          <w:color w:val="000000"/>
        </w:rPr>
        <w:t xml:space="preserve">I agree with these contentions. Firstly, Uniform </w:t>
      </w:r>
      <w:r w:rsidR="007040D7" w:rsidRPr="00CD564C">
        <w:rPr>
          <w:color w:val="000000"/>
        </w:rPr>
        <w:t>Rule</w:t>
      </w:r>
      <w:r w:rsidR="00CD564C">
        <w:rPr>
          <w:color w:val="000000"/>
        </w:rPr>
        <w:t xml:space="preserve"> of Court</w:t>
      </w:r>
      <w:r w:rsidR="007040D7" w:rsidRPr="00CD564C">
        <w:rPr>
          <w:color w:val="000000"/>
        </w:rPr>
        <w:t xml:space="preserve"> 16A was not complied with</w:t>
      </w:r>
      <w:r w:rsidR="00CD564C">
        <w:rPr>
          <w:color w:val="000000"/>
        </w:rPr>
        <w:t xml:space="preserve"> in that Mr Nyoni failed to </w:t>
      </w:r>
      <w:r w:rsidR="007040D7" w:rsidRPr="00CD564C">
        <w:rPr>
          <w:color w:val="000000"/>
        </w:rPr>
        <w:t>give notice to the registrar of the challenge at the time of filing his answering affidavit. This is to afford interested parties the opportunity to respond to the challenge.</w:t>
      </w:r>
      <w:r w:rsidR="00CD564C">
        <w:rPr>
          <w:color w:val="000000"/>
        </w:rPr>
        <w:t xml:space="preserve"> </w:t>
      </w:r>
      <w:r w:rsidR="007040D7" w:rsidRPr="00CD564C">
        <w:rPr>
          <w:color w:val="000000"/>
        </w:rPr>
        <w:t>Second</w:t>
      </w:r>
      <w:r w:rsidR="00CD564C">
        <w:rPr>
          <w:color w:val="000000"/>
        </w:rPr>
        <w:t>ly</w:t>
      </w:r>
      <w:r w:rsidR="007040D7" w:rsidRPr="00CD564C">
        <w:rPr>
          <w:color w:val="000000"/>
        </w:rPr>
        <w:t xml:space="preserve">, the challenge is impermissibly vague. </w:t>
      </w:r>
      <w:r w:rsidR="00CD564C">
        <w:rPr>
          <w:color w:val="000000"/>
        </w:rPr>
        <w:t>Mr Nyoni</w:t>
      </w:r>
      <w:r w:rsidR="007040D7" w:rsidRPr="00CD564C">
        <w:rPr>
          <w:color w:val="000000"/>
        </w:rPr>
        <w:t xml:space="preserve"> says that the constitutional challenge is aimed at section 129 of the NCA</w:t>
      </w:r>
      <w:r w:rsidR="00CD564C">
        <w:rPr>
          <w:color w:val="000000"/>
        </w:rPr>
        <w:t>, b</w:t>
      </w:r>
      <w:r w:rsidR="007040D7" w:rsidRPr="00CD564C">
        <w:rPr>
          <w:color w:val="000000"/>
        </w:rPr>
        <w:t xml:space="preserve">ut section 129 provides for notice to consumers prior to enforcement proceedings.  </w:t>
      </w:r>
    </w:p>
    <w:p w14:paraId="68995BE5" w14:textId="5ACC254F" w:rsidR="007040D7" w:rsidRPr="00CD564C" w:rsidRDefault="000D4A94" w:rsidP="000D4A94">
      <w:pPr>
        <w:spacing w:after="120" w:line="360" w:lineRule="auto"/>
        <w:jc w:val="both"/>
        <w:outlineLvl w:val="0"/>
        <w:rPr>
          <w:color w:val="000000"/>
        </w:rPr>
      </w:pPr>
      <w:r w:rsidRPr="00CD564C">
        <w:rPr>
          <w:color w:val="000000"/>
        </w:rPr>
        <w:t>[14].</w:t>
      </w:r>
      <w:r w:rsidRPr="00CD564C">
        <w:rPr>
          <w:color w:val="000000"/>
        </w:rPr>
        <w:tab/>
      </w:r>
      <w:r w:rsidR="007040D7" w:rsidRPr="007040D7">
        <w:rPr>
          <w:color w:val="000000"/>
        </w:rPr>
        <w:t xml:space="preserve">The challenge seems rather to be directed at the provisions which exclude the application of the NCA to certain agreements. Even if this can be discerned from a benevolent reading of the answering affidavit, the grounds of the challenge are not provided. Critically, </w:t>
      </w:r>
      <w:r w:rsidR="00CD564C">
        <w:rPr>
          <w:color w:val="000000"/>
        </w:rPr>
        <w:t>Mr Nyoni</w:t>
      </w:r>
      <w:r w:rsidR="007040D7" w:rsidRPr="007040D7">
        <w:rPr>
          <w:color w:val="000000"/>
        </w:rPr>
        <w:t xml:space="preserve"> fails to indicate which section of the Constitution he relies upon or how the relevant provisions of the NCA are in violation thereof.</w:t>
      </w:r>
      <w:r w:rsidR="00CD564C">
        <w:rPr>
          <w:color w:val="000000"/>
        </w:rPr>
        <w:t xml:space="preserve"> </w:t>
      </w:r>
      <w:r w:rsidR="007040D7" w:rsidRPr="00CD564C">
        <w:rPr>
          <w:color w:val="000000"/>
        </w:rPr>
        <w:t xml:space="preserve">A fundamental principle of constitutional litigation is that such a </w:t>
      </w:r>
      <w:r w:rsidR="007040D7" w:rsidRPr="00CD564C">
        <w:rPr>
          <w:color w:val="000000"/>
        </w:rPr>
        <w:lastRenderedPageBreak/>
        <w:t xml:space="preserve">challenge must be explicit and requires accuracy in the identification of the provision of legislation that is challenged on the basis that it is inconsistent with the Constitution. If these requirements are not complied with, the challenge must fail.  </w:t>
      </w:r>
    </w:p>
    <w:p w14:paraId="5E674678" w14:textId="51844807" w:rsidR="007040D7" w:rsidRPr="007040D7" w:rsidRDefault="000D4A94" w:rsidP="000D4A94">
      <w:pPr>
        <w:spacing w:after="120" w:line="360" w:lineRule="auto"/>
        <w:jc w:val="both"/>
        <w:outlineLvl w:val="0"/>
        <w:rPr>
          <w:color w:val="000000"/>
        </w:rPr>
      </w:pPr>
      <w:r w:rsidRPr="007040D7">
        <w:rPr>
          <w:color w:val="000000"/>
        </w:rPr>
        <w:t>[15].</w:t>
      </w:r>
      <w:r w:rsidRPr="007040D7">
        <w:rPr>
          <w:color w:val="000000"/>
        </w:rPr>
        <w:tab/>
      </w:r>
      <w:r w:rsidR="00CD564C">
        <w:rPr>
          <w:color w:val="000000"/>
        </w:rPr>
        <w:t>Accordingly, the constitutional validity challenge is still born</w:t>
      </w:r>
      <w:r w:rsidR="007B74EE">
        <w:rPr>
          <w:color w:val="000000"/>
        </w:rPr>
        <w:t>.</w:t>
      </w:r>
      <w:r w:rsidR="00CD564C">
        <w:rPr>
          <w:color w:val="000000"/>
        </w:rPr>
        <w:t xml:space="preserve"> </w:t>
      </w:r>
    </w:p>
    <w:p w14:paraId="6428002C" w14:textId="23997759" w:rsidR="000B4910" w:rsidRPr="001E7E2A" w:rsidRDefault="000D4A94" w:rsidP="000D4A94">
      <w:pPr>
        <w:spacing w:after="240" w:line="360" w:lineRule="auto"/>
        <w:jc w:val="both"/>
        <w:outlineLvl w:val="0"/>
        <w:rPr>
          <w:color w:val="000000"/>
        </w:rPr>
      </w:pPr>
      <w:r w:rsidRPr="001E7E2A">
        <w:rPr>
          <w:color w:val="000000"/>
        </w:rPr>
        <w:t>[16].</w:t>
      </w:r>
      <w:r w:rsidRPr="001E7E2A">
        <w:rPr>
          <w:color w:val="000000"/>
        </w:rPr>
        <w:tab/>
      </w:r>
      <w:r w:rsidR="00626D4D">
        <w:rPr>
          <w:color w:val="000000"/>
        </w:rPr>
        <w:t>For all these reasons, the application</w:t>
      </w:r>
      <w:r w:rsidR="00886118">
        <w:rPr>
          <w:color w:val="000000"/>
        </w:rPr>
        <w:t xml:space="preserve"> for judgment against Mr Nyoni</w:t>
      </w:r>
      <w:r w:rsidR="00626D4D">
        <w:rPr>
          <w:color w:val="000000"/>
        </w:rPr>
        <w:t xml:space="preserve"> should succeed.</w:t>
      </w:r>
      <w:r w:rsidR="001E7E2A">
        <w:rPr>
          <w:color w:val="000000"/>
        </w:rPr>
        <w:t xml:space="preserve"> </w:t>
      </w:r>
      <w:r w:rsidR="008E731C" w:rsidRPr="001E7E2A">
        <w:rPr>
          <w:color w:val="000000"/>
        </w:rPr>
        <w:t xml:space="preserve">  </w:t>
      </w:r>
    </w:p>
    <w:p w14:paraId="6D9B7831" w14:textId="1333C37F" w:rsidR="004A4B41" w:rsidRPr="004A4B41" w:rsidRDefault="00886118" w:rsidP="00C86619">
      <w:pPr>
        <w:spacing w:after="120" w:line="360" w:lineRule="auto"/>
        <w:jc w:val="both"/>
        <w:outlineLvl w:val="0"/>
        <w:rPr>
          <w:b/>
          <w:bCs/>
          <w:color w:val="000000"/>
        </w:rPr>
      </w:pPr>
      <w:r>
        <w:rPr>
          <w:b/>
          <w:bCs/>
          <w:color w:val="000000"/>
        </w:rPr>
        <w:t>The Second Application</w:t>
      </w:r>
      <w:r w:rsidR="00F660EC">
        <w:rPr>
          <w:b/>
          <w:bCs/>
          <w:color w:val="000000"/>
        </w:rPr>
        <w:t xml:space="preserve"> against Alora Pallets</w:t>
      </w:r>
    </w:p>
    <w:p w14:paraId="555848F5" w14:textId="34D3275A" w:rsidR="00C86619" w:rsidRDefault="000D4A94" w:rsidP="000D4A94">
      <w:pPr>
        <w:spacing w:after="120" w:line="360" w:lineRule="auto"/>
        <w:jc w:val="both"/>
        <w:outlineLvl w:val="0"/>
        <w:rPr>
          <w:color w:val="000000"/>
        </w:rPr>
      </w:pPr>
      <w:r>
        <w:rPr>
          <w:color w:val="000000"/>
        </w:rPr>
        <w:t>[17].</w:t>
      </w:r>
      <w:r>
        <w:rPr>
          <w:color w:val="000000"/>
        </w:rPr>
        <w:tab/>
      </w:r>
      <w:r w:rsidR="00C86619">
        <w:rPr>
          <w:color w:val="000000"/>
        </w:rPr>
        <w:t>In the second application, as I have already indicated, FirstRand Bank applies for the winding-up of Alora Pallets on the basis that it</w:t>
      </w:r>
      <w:r w:rsidR="00C86619" w:rsidRPr="00C86619">
        <w:rPr>
          <w:color w:val="000000"/>
        </w:rPr>
        <w:t xml:space="preserve"> is, and is deemed to be, unable to pay its debts as contemplated in s 345 read with </w:t>
      </w:r>
      <w:r w:rsidR="00F660EC">
        <w:rPr>
          <w:color w:val="000000"/>
        </w:rPr>
        <w:t xml:space="preserve">s </w:t>
      </w:r>
      <w:r w:rsidR="00C86619" w:rsidRPr="00C86619">
        <w:rPr>
          <w:color w:val="000000"/>
        </w:rPr>
        <w:t>344(f) of the Companies Act</w:t>
      </w:r>
      <w:r w:rsidR="00C86619">
        <w:rPr>
          <w:color w:val="000000"/>
        </w:rPr>
        <w:t>.</w:t>
      </w:r>
    </w:p>
    <w:p w14:paraId="7F713FDB" w14:textId="7914FA4C" w:rsidR="00C86619" w:rsidRDefault="000D4A94" w:rsidP="000D4A94">
      <w:pPr>
        <w:spacing w:after="120" w:line="360" w:lineRule="auto"/>
        <w:jc w:val="both"/>
        <w:outlineLvl w:val="0"/>
        <w:rPr>
          <w:color w:val="000000"/>
        </w:rPr>
      </w:pPr>
      <w:r>
        <w:rPr>
          <w:color w:val="000000"/>
        </w:rPr>
        <w:t>[18].</w:t>
      </w:r>
      <w:r>
        <w:rPr>
          <w:color w:val="000000"/>
        </w:rPr>
        <w:tab/>
      </w:r>
      <w:r w:rsidR="00C86619">
        <w:rPr>
          <w:color w:val="000000"/>
        </w:rPr>
        <w:t>Alora Pallets opposes the winding-up application on the basis of a number</w:t>
      </w:r>
      <w:r w:rsidR="007B7B91">
        <w:rPr>
          <w:color w:val="000000"/>
        </w:rPr>
        <w:t xml:space="preserve"> of </w:t>
      </w:r>
      <w:r w:rsidR="00C86619">
        <w:rPr>
          <w:color w:val="000000"/>
        </w:rPr>
        <w:t xml:space="preserve">defences. </w:t>
      </w:r>
      <w:r w:rsidR="007B7B91">
        <w:rPr>
          <w:color w:val="000000"/>
        </w:rPr>
        <w:t>These defences are bad in law and without meri</w:t>
      </w:r>
      <w:r w:rsidR="007B74EE">
        <w:rPr>
          <w:color w:val="000000"/>
        </w:rPr>
        <w:t>t</w:t>
      </w:r>
      <w:r w:rsidR="007B7B91">
        <w:rPr>
          <w:color w:val="000000"/>
        </w:rPr>
        <w:t>.</w:t>
      </w:r>
    </w:p>
    <w:p w14:paraId="07525AFF" w14:textId="41BFE084" w:rsidR="00C86619" w:rsidRPr="007B7B91" w:rsidRDefault="000D4A94" w:rsidP="000D4A94">
      <w:pPr>
        <w:spacing w:after="120" w:line="360" w:lineRule="auto"/>
        <w:jc w:val="both"/>
        <w:outlineLvl w:val="0"/>
        <w:rPr>
          <w:color w:val="000000"/>
        </w:rPr>
      </w:pPr>
      <w:r w:rsidRPr="007B7B91">
        <w:rPr>
          <w:color w:val="000000"/>
        </w:rPr>
        <w:t>[19].</w:t>
      </w:r>
      <w:r w:rsidRPr="007B7B91">
        <w:rPr>
          <w:color w:val="000000"/>
        </w:rPr>
        <w:tab/>
      </w:r>
      <w:r w:rsidR="007B7B91">
        <w:rPr>
          <w:color w:val="000000"/>
        </w:rPr>
        <w:t xml:space="preserve">So, for example, it is contended by Alora Pallets </w:t>
      </w:r>
      <w:r w:rsidR="00C86619" w:rsidRPr="00C86619">
        <w:rPr>
          <w:color w:val="000000"/>
        </w:rPr>
        <w:t>that the application for its winding-up should be stayed pending the outcome of an application for a money judgment</w:t>
      </w:r>
      <w:r w:rsidR="007B7B91">
        <w:rPr>
          <w:color w:val="000000"/>
        </w:rPr>
        <w:t xml:space="preserve"> </w:t>
      </w:r>
      <w:r w:rsidR="00C86619" w:rsidRPr="007B7B91">
        <w:rPr>
          <w:color w:val="000000"/>
        </w:rPr>
        <w:t>against its surety</w:t>
      </w:r>
      <w:r w:rsidR="007B7B91">
        <w:rPr>
          <w:color w:val="000000"/>
        </w:rPr>
        <w:t>, Mr Nyoni</w:t>
      </w:r>
      <w:r w:rsidR="00C86619" w:rsidRPr="007B7B91">
        <w:rPr>
          <w:color w:val="000000"/>
        </w:rPr>
        <w:t>.</w:t>
      </w:r>
      <w:r w:rsidR="007B7B91">
        <w:rPr>
          <w:color w:val="000000"/>
        </w:rPr>
        <w:t xml:space="preserve"> At a fundamental level, this stance is misguided. </w:t>
      </w:r>
      <w:r w:rsidR="00C86619" w:rsidRPr="007B7B91">
        <w:rPr>
          <w:color w:val="000000"/>
        </w:rPr>
        <w:t xml:space="preserve">There is no basis in law for staying the winding-up application pending the outcome of the application for a money judgment against </w:t>
      </w:r>
      <w:r w:rsidR="007B7B91">
        <w:rPr>
          <w:color w:val="000000"/>
        </w:rPr>
        <w:t>Mr Nyoni</w:t>
      </w:r>
      <w:r w:rsidR="00C86619" w:rsidRPr="007B7B91">
        <w:rPr>
          <w:color w:val="000000"/>
        </w:rPr>
        <w:t xml:space="preserve">. </w:t>
      </w:r>
    </w:p>
    <w:p w14:paraId="2EA0B16E" w14:textId="479F34F8" w:rsidR="0003210B" w:rsidRPr="0003210B" w:rsidRDefault="000D4A94" w:rsidP="000D4A94">
      <w:pPr>
        <w:spacing w:line="360" w:lineRule="auto"/>
        <w:jc w:val="both"/>
        <w:outlineLvl w:val="0"/>
        <w:rPr>
          <w:color w:val="000000"/>
        </w:rPr>
      </w:pPr>
      <w:r w:rsidRPr="0003210B">
        <w:rPr>
          <w:color w:val="000000"/>
        </w:rPr>
        <w:t>[20].</w:t>
      </w:r>
      <w:r w:rsidRPr="0003210B">
        <w:rPr>
          <w:color w:val="000000"/>
        </w:rPr>
        <w:tab/>
      </w:r>
      <w:r w:rsidR="0003210B">
        <w:rPr>
          <w:color w:val="000000"/>
        </w:rPr>
        <w:t>Moreover, A</w:t>
      </w:r>
      <w:r w:rsidR="00C86619" w:rsidRPr="00C86619">
        <w:rPr>
          <w:color w:val="000000"/>
        </w:rPr>
        <w:t>lora</w:t>
      </w:r>
      <w:r w:rsidR="0003210B">
        <w:rPr>
          <w:color w:val="000000"/>
        </w:rPr>
        <w:t xml:space="preserve"> Palettes</w:t>
      </w:r>
      <w:r w:rsidR="00C86619" w:rsidRPr="00C86619">
        <w:rPr>
          <w:color w:val="000000"/>
        </w:rPr>
        <w:t xml:space="preserve"> contends that it is factually and commercially solvent.</w:t>
      </w:r>
      <w:r w:rsidR="0003210B">
        <w:rPr>
          <w:color w:val="000000"/>
        </w:rPr>
        <w:t xml:space="preserve"> For purposes of this application, FirstRand Bank is required to demonstrate only commercial insolvency. In that regard, it was held by the SCA in </w:t>
      </w:r>
      <w:r w:rsidR="0003210B" w:rsidRPr="0003210B">
        <w:rPr>
          <w:i/>
          <w:iCs/>
          <w:color w:val="000000"/>
        </w:rPr>
        <w:t>Boschpoort Ondernemings (Pty) Ltd v Absa Bank Ltd</w:t>
      </w:r>
      <w:r w:rsidR="0003210B">
        <w:rPr>
          <w:rStyle w:val="FootnoteReference"/>
          <w:i/>
          <w:iCs/>
          <w:color w:val="000000"/>
        </w:rPr>
        <w:footnoteReference w:id="4"/>
      </w:r>
      <w:r w:rsidR="0003210B">
        <w:rPr>
          <w:color w:val="000000"/>
        </w:rPr>
        <w:t xml:space="preserve"> as follows: -</w:t>
      </w:r>
    </w:p>
    <w:p w14:paraId="0BCFB1D0" w14:textId="761ADF9C" w:rsidR="00C86619" w:rsidRPr="00217F08" w:rsidRDefault="0003210B" w:rsidP="0003210B">
      <w:pPr>
        <w:spacing w:after="120" w:line="360" w:lineRule="auto"/>
        <w:jc w:val="both"/>
        <w:outlineLvl w:val="0"/>
        <w:rPr>
          <w:color w:val="000000"/>
          <w:sz w:val="22"/>
          <w:szCs w:val="22"/>
        </w:rPr>
      </w:pPr>
      <w:r w:rsidRPr="00217F08">
        <w:rPr>
          <w:color w:val="000000"/>
          <w:sz w:val="22"/>
          <w:szCs w:val="22"/>
        </w:rPr>
        <w:t>‘</w:t>
      </w:r>
      <w:r w:rsidR="00C86619" w:rsidRPr="00217F08">
        <w:rPr>
          <w:color w:val="000000"/>
          <w:sz w:val="22"/>
          <w:szCs w:val="22"/>
        </w:rPr>
        <w:t xml:space="preserve">That a company's commercial insolvency is a ground that will justify an order for its liquidation has been a reality of law which has served us well through the passage of time. The reasons are not hard to find: the valuation of assets, other than cash, is a notoriously elastic and often highly subjective one; the liquidity of assets is often more viscous than recalcitrant debtors would have a court believe; more often than not, creditors do not have knowledge of the assets of a company that owes them money </w:t>
      </w:r>
      <w:r w:rsidR="00217F08">
        <w:rPr>
          <w:color w:val="000000"/>
          <w:sz w:val="22"/>
          <w:szCs w:val="22"/>
        </w:rPr>
        <w:t>–</w:t>
      </w:r>
      <w:r w:rsidR="00C86619" w:rsidRPr="00217F08">
        <w:rPr>
          <w:color w:val="000000"/>
          <w:sz w:val="22"/>
          <w:szCs w:val="22"/>
        </w:rPr>
        <w:t xml:space="preserve"> </w:t>
      </w:r>
      <w:r w:rsidR="00C86619" w:rsidRPr="00217F08">
        <w:rPr>
          <w:color w:val="000000"/>
          <w:sz w:val="22"/>
          <w:szCs w:val="22"/>
        </w:rPr>
        <w:lastRenderedPageBreak/>
        <w:t>and</w:t>
      </w:r>
      <w:r w:rsidR="00217F08">
        <w:rPr>
          <w:color w:val="000000"/>
          <w:sz w:val="22"/>
          <w:szCs w:val="22"/>
        </w:rPr>
        <w:t xml:space="preserve"> </w:t>
      </w:r>
      <w:r w:rsidR="00C86619" w:rsidRPr="00217F08">
        <w:rPr>
          <w:color w:val="000000"/>
          <w:sz w:val="22"/>
          <w:szCs w:val="22"/>
        </w:rPr>
        <w:t>cannot be expected to have; and courts are more comfortable with readily determinable and objective tests such as whether a company is able to meet its current liabilities than with abstruse economic exercises as to the valuation of a company's assets.</w:t>
      </w:r>
      <w:r w:rsidR="00217F08">
        <w:rPr>
          <w:color w:val="000000"/>
          <w:sz w:val="22"/>
          <w:szCs w:val="22"/>
        </w:rPr>
        <w:t>’</w:t>
      </w:r>
    </w:p>
    <w:p w14:paraId="262260F7" w14:textId="2B611CEB" w:rsidR="00C86619" w:rsidRPr="00217F08" w:rsidRDefault="000D4A94" w:rsidP="000D4A94">
      <w:pPr>
        <w:spacing w:after="120" w:line="360" w:lineRule="auto"/>
        <w:jc w:val="both"/>
        <w:outlineLvl w:val="0"/>
        <w:rPr>
          <w:color w:val="000000"/>
        </w:rPr>
      </w:pPr>
      <w:r w:rsidRPr="00217F08">
        <w:rPr>
          <w:color w:val="000000"/>
        </w:rPr>
        <w:t>[21].</w:t>
      </w:r>
      <w:r w:rsidRPr="00217F08">
        <w:rPr>
          <w:color w:val="000000"/>
        </w:rPr>
        <w:tab/>
      </w:r>
      <w:r w:rsidR="00C86619" w:rsidRPr="00C86619">
        <w:rPr>
          <w:color w:val="000000"/>
        </w:rPr>
        <w:t>A company is conclusively deemed unable to pay its debts when it fails to positively respond to a demand in terms of section 345 of the Companies</w:t>
      </w:r>
      <w:r w:rsidR="00217F08">
        <w:rPr>
          <w:color w:val="000000"/>
        </w:rPr>
        <w:t xml:space="preserve"> </w:t>
      </w:r>
      <w:r w:rsidR="00C86619" w:rsidRPr="00217F08">
        <w:rPr>
          <w:color w:val="000000"/>
        </w:rPr>
        <w:t xml:space="preserve">Act.  The phrase </w:t>
      </w:r>
      <w:r w:rsidR="00217F08">
        <w:rPr>
          <w:color w:val="000000"/>
        </w:rPr>
        <w:t>‘</w:t>
      </w:r>
      <w:r w:rsidR="00C86619" w:rsidRPr="00217F08">
        <w:rPr>
          <w:color w:val="000000"/>
        </w:rPr>
        <w:t>unable to pay its debts</w:t>
      </w:r>
      <w:r w:rsidR="00217F08">
        <w:rPr>
          <w:color w:val="000000"/>
        </w:rPr>
        <w:t>’</w:t>
      </w:r>
      <w:r w:rsidR="00C86619" w:rsidRPr="00217F08">
        <w:rPr>
          <w:color w:val="000000"/>
        </w:rPr>
        <w:t xml:space="preserve"> connotes insolvency in the commercial sense, namely an inability to meet its day-to-day liabilities, even though the company’s assets may exceed its liabilities.   </w:t>
      </w:r>
    </w:p>
    <w:p w14:paraId="600533EA" w14:textId="77379BCE" w:rsidR="00C86619" w:rsidRPr="00630816" w:rsidRDefault="000D4A94" w:rsidP="000D4A94">
      <w:pPr>
        <w:spacing w:after="120" w:line="360" w:lineRule="auto"/>
        <w:jc w:val="both"/>
        <w:outlineLvl w:val="0"/>
        <w:rPr>
          <w:color w:val="000000"/>
        </w:rPr>
      </w:pPr>
      <w:r w:rsidRPr="00630816">
        <w:rPr>
          <w:color w:val="000000"/>
        </w:rPr>
        <w:t>[22].</w:t>
      </w:r>
      <w:r w:rsidRPr="00630816">
        <w:rPr>
          <w:color w:val="000000"/>
        </w:rPr>
        <w:tab/>
      </w:r>
      <w:r w:rsidR="00217F08" w:rsidRPr="00217F08">
        <w:rPr>
          <w:i/>
          <w:iCs/>
          <w:color w:val="000000"/>
        </w:rPr>
        <w:t>In casu</w:t>
      </w:r>
      <w:r w:rsidR="00217F08">
        <w:rPr>
          <w:color w:val="000000"/>
        </w:rPr>
        <w:t xml:space="preserve">, an amount in excess of R9.6 million is presently owing, due and payable by Alora Pallets to FirstRand Bank. It is not able to pay this amount, which makes it commercially insolvent in that it is ‘unable to pay its debts’. What is more is that Alora Pallets, which failed to comply with the s 345 demand from the bank, </w:t>
      </w:r>
      <w:r w:rsidR="00630816">
        <w:rPr>
          <w:color w:val="000000"/>
        </w:rPr>
        <w:t xml:space="preserve">is conclusively deemed to </w:t>
      </w:r>
      <w:r w:rsidR="00C86619" w:rsidRPr="00630816">
        <w:rPr>
          <w:color w:val="000000"/>
        </w:rPr>
        <w:t xml:space="preserve">unable to pay its debts. </w:t>
      </w:r>
    </w:p>
    <w:p w14:paraId="29A6DEE2" w14:textId="1742C2CB" w:rsidR="00630816" w:rsidRPr="00630816" w:rsidRDefault="000D4A94" w:rsidP="000D4A94">
      <w:pPr>
        <w:spacing w:line="360" w:lineRule="auto"/>
        <w:jc w:val="both"/>
        <w:outlineLvl w:val="0"/>
        <w:rPr>
          <w:color w:val="000000"/>
        </w:rPr>
      </w:pPr>
      <w:r w:rsidRPr="00630816">
        <w:rPr>
          <w:color w:val="000000"/>
        </w:rPr>
        <w:t>[23].</w:t>
      </w:r>
      <w:r w:rsidRPr="00630816">
        <w:rPr>
          <w:color w:val="000000"/>
        </w:rPr>
        <w:tab/>
      </w:r>
      <w:r w:rsidR="00630816">
        <w:rPr>
          <w:color w:val="000000"/>
        </w:rPr>
        <w:t>Alora Pallets also contend that there exist</w:t>
      </w:r>
      <w:r w:rsidR="00C86619" w:rsidRPr="00C86619">
        <w:rPr>
          <w:color w:val="000000"/>
        </w:rPr>
        <w:t xml:space="preserve"> </w:t>
      </w:r>
      <w:r w:rsidR="00630816">
        <w:rPr>
          <w:color w:val="000000"/>
        </w:rPr>
        <w:t>e</w:t>
      </w:r>
      <w:r w:rsidR="00C86619" w:rsidRPr="00C86619">
        <w:rPr>
          <w:color w:val="000000"/>
        </w:rPr>
        <w:t xml:space="preserve">xceptional </w:t>
      </w:r>
      <w:r w:rsidR="00630816">
        <w:rPr>
          <w:color w:val="000000"/>
        </w:rPr>
        <w:t>c</w:t>
      </w:r>
      <w:r w:rsidR="00C86619" w:rsidRPr="00C86619">
        <w:rPr>
          <w:color w:val="000000"/>
        </w:rPr>
        <w:t xml:space="preserve">ircumstances </w:t>
      </w:r>
      <w:r w:rsidR="00630816">
        <w:rPr>
          <w:color w:val="000000"/>
        </w:rPr>
        <w:t xml:space="preserve">which would justify my exercising my discretion not to liquidate the company. In that regard, Mr Horn referred me to the SCA decision in </w:t>
      </w:r>
      <w:r w:rsidR="00630816" w:rsidRPr="00630816">
        <w:rPr>
          <w:i/>
          <w:iCs/>
          <w:color w:val="000000"/>
        </w:rPr>
        <w:t>Afgri Operations Ltd v Hamba Fleet Management (Pty) Ltd</w:t>
      </w:r>
      <w:r w:rsidR="00630816">
        <w:rPr>
          <w:rStyle w:val="FootnoteReference"/>
          <w:i/>
          <w:iCs/>
          <w:color w:val="000000"/>
        </w:rPr>
        <w:footnoteReference w:id="5"/>
      </w:r>
      <w:r w:rsidR="00630816">
        <w:rPr>
          <w:color w:val="000000"/>
        </w:rPr>
        <w:t xml:space="preserve">, in which it was held as follows: - </w:t>
      </w:r>
    </w:p>
    <w:p w14:paraId="57FCF192" w14:textId="6539541F" w:rsidR="00C86619" w:rsidRPr="00630816" w:rsidRDefault="00630816" w:rsidP="00630816">
      <w:pPr>
        <w:spacing w:after="120" w:line="360" w:lineRule="auto"/>
        <w:jc w:val="both"/>
        <w:outlineLvl w:val="0"/>
        <w:rPr>
          <w:color w:val="000000"/>
          <w:sz w:val="22"/>
          <w:szCs w:val="22"/>
        </w:rPr>
      </w:pPr>
      <w:r w:rsidRPr="00630816">
        <w:rPr>
          <w:color w:val="000000"/>
          <w:sz w:val="22"/>
          <w:szCs w:val="22"/>
        </w:rPr>
        <w:t xml:space="preserve">‘… </w:t>
      </w:r>
      <w:r w:rsidR="00C86619" w:rsidRPr="00630816">
        <w:rPr>
          <w:color w:val="000000"/>
          <w:sz w:val="22"/>
          <w:szCs w:val="22"/>
        </w:rPr>
        <w:t xml:space="preserve">generally speaking, an unpaid creditor has a right, </w:t>
      </w:r>
      <w:r w:rsidR="00C86619" w:rsidRPr="00630816">
        <w:rPr>
          <w:i/>
          <w:iCs/>
          <w:color w:val="000000"/>
          <w:sz w:val="22"/>
          <w:szCs w:val="22"/>
        </w:rPr>
        <w:t>ex debito justitiae</w:t>
      </w:r>
      <w:r w:rsidR="00C86619" w:rsidRPr="00630816">
        <w:rPr>
          <w:color w:val="000000"/>
          <w:sz w:val="22"/>
          <w:szCs w:val="22"/>
        </w:rPr>
        <w:t>, to a winding-up order against the respondent company that has not discharged that debt.</w:t>
      </w:r>
      <w:r w:rsidRPr="00630816">
        <w:rPr>
          <w:color w:val="000000"/>
          <w:sz w:val="22"/>
          <w:szCs w:val="22"/>
        </w:rPr>
        <w:t xml:space="preserve"> …</w:t>
      </w:r>
      <w:r w:rsidR="00C86619" w:rsidRPr="00630816">
        <w:rPr>
          <w:color w:val="000000"/>
          <w:sz w:val="22"/>
          <w:szCs w:val="22"/>
        </w:rPr>
        <w:t xml:space="preserve"> the discretion of a court to refuse to grant a winding-up order where an unpaid creditor applies therefor is a </w:t>
      </w:r>
      <w:r w:rsidRPr="00630816">
        <w:rPr>
          <w:color w:val="000000"/>
          <w:sz w:val="22"/>
          <w:szCs w:val="22"/>
        </w:rPr>
        <w:t>“</w:t>
      </w:r>
      <w:r w:rsidR="00C86619" w:rsidRPr="00630816">
        <w:rPr>
          <w:color w:val="000000"/>
          <w:sz w:val="22"/>
          <w:szCs w:val="22"/>
        </w:rPr>
        <w:t>very narrow one</w:t>
      </w:r>
      <w:r w:rsidRPr="00630816">
        <w:rPr>
          <w:color w:val="000000"/>
          <w:sz w:val="22"/>
          <w:szCs w:val="22"/>
        </w:rPr>
        <w:t>”</w:t>
      </w:r>
      <w:r w:rsidR="00C86619" w:rsidRPr="00630816">
        <w:rPr>
          <w:color w:val="000000"/>
          <w:sz w:val="22"/>
          <w:szCs w:val="22"/>
        </w:rPr>
        <w:t xml:space="preserve"> that is rarely exercised and then in special or unusual circumstances only.</w:t>
      </w:r>
      <w:r w:rsidRPr="00630816">
        <w:rPr>
          <w:color w:val="000000"/>
          <w:sz w:val="22"/>
          <w:szCs w:val="22"/>
        </w:rPr>
        <w:t>’</w:t>
      </w:r>
      <w:r w:rsidR="00C86619" w:rsidRPr="00630816">
        <w:rPr>
          <w:color w:val="000000"/>
          <w:sz w:val="22"/>
          <w:szCs w:val="22"/>
        </w:rPr>
        <w:t xml:space="preserve"> </w:t>
      </w:r>
    </w:p>
    <w:p w14:paraId="5D0EBA2A" w14:textId="26474585" w:rsidR="00B56937" w:rsidRDefault="000D4A94" w:rsidP="000D4A94">
      <w:pPr>
        <w:spacing w:after="120" w:line="360" w:lineRule="auto"/>
        <w:jc w:val="both"/>
        <w:outlineLvl w:val="0"/>
        <w:rPr>
          <w:color w:val="000000"/>
        </w:rPr>
      </w:pPr>
      <w:r>
        <w:rPr>
          <w:color w:val="000000"/>
        </w:rPr>
        <w:t>[24].</w:t>
      </w:r>
      <w:r>
        <w:rPr>
          <w:color w:val="000000"/>
        </w:rPr>
        <w:tab/>
      </w:r>
      <w:r w:rsidR="00630816">
        <w:rPr>
          <w:color w:val="000000"/>
        </w:rPr>
        <w:t xml:space="preserve">It is contended by </w:t>
      </w:r>
      <w:r w:rsidR="00C86619" w:rsidRPr="00C86619">
        <w:rPr>
          <w:color w:val="000000"/>
        </w:rPr>
        <w:t>Alora</w:t>
      </w:r>
      <w:r w:rsidR="00630816">
        <w:rPr>
          <w:color w:val="000000"/>
        </w:rPr>
        <w:t xml:space="preserve"> Pallets </w:t>
      </w:r>
      <w:r w:rsidR="00B56937">
        <w:rPr>
          <w:color w:val="000000"/>
        </w:rPr>
        <w:t xml:space="preserve">that the </w:t>
      </w:r>
      <w:r w:rsidR="00C86619" w:rsidRPr="00C86619">
        <w:rPr>
          <w:color w:val="000000"/>
        </w:rPr>
        <w:t xml:space="preserve">exceptional circumstances </w:t>
      </w:r>
      <w:r w:rsidR="00B56937">
        <w:rPr>
          <w:color w:val="000000"/>
        </w:rPr>
        <w:t xml:space="preserve">consist </w:t>
      </w:r>
      <w:r w:rsidR="00B56937" w:rsidRPr="00B56937">
        <w:rPr>
          <w:i/>
          <w:iCs/>
          <w:color w:val="000000"/>
        </w:rPr>
        <w:t>inter alia</w:t>
      </w:r>
      <w:r w:rsidR="00B56937">
        <w:rPr>
          <w:color w:val="000000"/>
        </w:rPr>
        <w:t xml:space="preserve"> of it being a </w:t>
      </w:r>
      <w:r w:rsidR="00C86619" w:rsidRPr="00B56937">
        <w:rPr>
          <w:color w:val="000000"/>
        </w:rPr>
        <w:t>black owned business</w:t>
      </w:r>
      <w:r w:rsidR="00B56937">
        <w:rPr>
          <w:color w:val="000000"/>
        </w:rPr>
        <w:t xml:space="preserve">, the fact that its </w:t>
      </w:r>
      <w:r w:rsidR="007B74EE">
        <w:rPr>
          <w:color w:val="000000"/>
        </w:rPr>
        <w:t>forty-seven</w:t>
      </w:r>
      <w:r w:rsidR="00B56937">
        <w:rPr>
          <w:color w:val="000000"/>
        </w:rPr>
        <w:t xml:space="preserve"> or so employees would be rendered unemployable by a winding-up order</w:t>
      </w:r>
      <w:r w:rsidR="007B74EE">
        <w:rPr>
          <w:color w:val="000000"/>
        </w:rPr>
        <w:t xml:space="preserve"> and the fact that its business was adversely affected by the Covid-19 pandemic.</w:t>
      </w:r>
    </w:p>
    <w:p w14:paraId="6037362A" w14:textId="1E9A7355" w:rsidR="00C86619" w:rsidRPr="00C86619" w:rsidRDefault="000D4A94" w:rsidP="000D4A94">
      <w:pPr>
        <w:spacing w:after="240" w:line="360" w:lineRule="auto"/>
        <w:jc w:val="both"/>
        <w:outlineLvl w:val="0"/>
        <w:rPr>
          <w:color w:val="000000"/>
        </w:rPr>
      </w:pPr>
      <w:r w:rsidRPr="00C86619">
        <w:rPr>
          <w:color w:val="000000"/>
        </w:rPr>
        <w:lastRenderedPageBreak/>
        <w:t>[25].</w:t>
      </w:r>
      <w:r w:rsidRPr="00C86619">
        <w:rPr>
          <w:color w:val="000000"/>
        </w:rPr>
        <w:tab/>
      </w:r>
      <w:r w:rsidR="007B74EE">
        <w:rPr>
          <w:color w:val="000000"/>
        </w:rPr>
        <w:t xml:space="preserve">In my view, these circumstances are not exceptional </w:t>
      </w:r>
      <w:r w:rsidR="00B74FAB">
        <w:rPr>
          <w:color w:val="000000"/>
        </w:rPr>
        <w:t xml:space="preserve">and definitely not so exceptional as to warrant the court exercising its discretion </w:t>
      </w:r>
      <w:r w:rsidR="00684F9C">
        <w:rPr>
          <w:color w:val="000000"/>
        </w:rPr>
        <w:t>in favour of Alora Pallets.</w:t>
      </w:r>
    </w:p>
    <w:p w14:paraId="4B22AE90" w14:textId="48309CBB" w:rsidR="007D27AD" w:rsidRPr="007D27AD" w:rsidRDefault="0093484E" w:rsidP="007D27AD">
      <w:pPr>
        <w:keepNext/>
        <w:spacing w:after="120" w:line="360" w:lineRule="auto"/>
        <w:jc w:val="both"/>
        <w:rPr>
          <w:b/>
          <w:caps/>
        </w:rPr>
      </w:pPr>
      <w:r>
        <w:rPr>
          <w:b/>
        </w:rPr>
        <w:t xml:space="preserve">Conclusion and </w:t>
      </w:r>
      <w:r w:rsidR="007D27AD" w:rsidRPr="007D27AD">
        <w:rPr>
          <w:b/>
        </w:rPr>
        <w:t>Costs</w:t>
      </w:r>
    </w:p>
    <w:p w14:paraId="0EF5BD18" w14:textId="00B443D2" w:rsidR="00B067BE" w:rsidRDefault="000D4A94" w:rsidP="000D4A94">
      <w:pPr>
        <w:spacing w:after="120" w:line="360" w:lineRule="auto"/>
        <w:jc w:val="both"/>
        <w:outlineLvl w:val="0"/>
        <w:rPr>
          <w:color w:val="000000"/>
        </w:rPr>
      </w:pPr>
      <w:r>
        <w:rPr>
          <w:color w:val="000000"/>
        </w:rPr>
        <w:t>[26].</w:t>
      </w:r>
      <w:r>
        <w:rPr>
          <w:color w:val="000000"/>
        </w:rPr>
        <w:tab/>
      </w:r>
      <w:r w:rsidR="00B067BE">
        <w:rPr>
          <w:color w:val="000000"/>
        </w:rPr>
        <w:t>Accordingly, t</w:t>
      </w:r>
      <w:r w:rsidR="00B067BE" w:rsidRPr="00C62247">
        <w:rPr>
          <w:color w:val="000000"/>
        </w:rPr>
        <w:t>he</w:t>
      </w:r>
      <w:r w:rsidR="00B067BE">
        <w:rPr>
          <w:color w:val="000000"/>
        </w:rPr>
        <w:t xml:space="preserve"> relief sought by </w:t>
      </w:r>
      <w:r w:rsidR="0006676B">
        <w:rPr>
          <w:color w:val="000000"/>
        </w:rPr>
        <w:t xml:space="preserve">FirstRand Bank </w:t>
      </w:r>
      <w:r w:rsidR="0004502C">
        <w:rPr>
          <w:color w:val="000000"/>
        </w:rPr>
        <w:t xml:space="preserve">in </w:t>
      </w:r>
      <w:r w:rsidR="0006676B">
        <w:rPr>
          <w:color w:val="000000"/>
        </w:rPr>
        <w:t xml:space="preserve">both </w:t>
      </w:r>
      <w:r w:rsidR="0004502C">
        <w:rPr>
          <w:color w:val="000000"/>
        </w:rPr>
        <w:t>application</w:t>
      </w:r>
      <w:r w:rsidR="0006676B">
        <w:rPr>
          <w:color w:val="000000"/>
        </w:rPr>
        <w:t xml:space="preserve">s </w:t>
      </w:r>
      <w:r w:rsidR="00B067BE">
        <w:rPr>
          <w:color w:val="000000"/>
        </w:rPr>
        <w:t>should be granted.</w:t>
      </w:r>
    </w:p>
    <w:p w14:paraId="0C8FB610" w14:textId="2F8AF3B5" w:rsidR="007D27AD" w:rsidRPr="007D27AD" w:rsidRDefault="000D4A94" w:rsidP="000D4A94">
      <w:pPr>
        <w:suppressAutoHyphens w:val="0"/>
        <w:autoSpaceDE w:val="0"/>
        <w:autoSpaceDN w:val="0"/>
        <w:adjustRightInd w:val="0"/>
        <w:spacing w:after="120" w:line="360" w:lineRule="auto"/>
        <w:jc w:val="both"/>
        <w:rPr>
          <w:rFonts w:cs="Arial"/>
          <w:lang w:eastAsia="en-ZA"/>
        </w:rPr>
      </w:pPr>
      <w:r w:rsidRPr="007D27AD">
        <w:rPr>
          <w:rFonts w:cs="Arial"/>
          <w:lang w:eastAsia="en-ZA"/>
        </w:rPr>
        <w:t>[27].</w:t>
      </w:r>
      <w:r w:rsidRPr="007D27AD">
        <w:rPr>
          <w:rFonts w:cs="Arial"/>
          <w:lang w:eastAsia="en-ZA"/>
        </w:rPr>
        <w:tab/>
      </w:r>
      <w:r w:rsidR="007D27AD" w:rsidRPr="007D27AD">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007D27AD" w:rsidRPr="007D27AD">
        <w:rPr>
          <w:rFonts w:cs="Arial"/>
          <w:i/>
        </w:rPr>
        <w:t>Myers v Abramson</w:t>
      </w:r>
      <w:r w:rsidR="003664C5">
        <w:rPr>
          <w:rStyle w:val="FootnoteReference"/>
          <w:i/>
        </w:rPr>
        <w:footnoteReference w:id="6"/>
      </w:r>
      <w:r w:rsidR="007D27AD" w:rsidRPr="007D27AD">
        <w:rPr>
          <w:rFonts w:cs="Arial"/>
        </w:rPr>
        <w:t>.</w:t>
      </w:r>
    </w:p>
    <w:p w14:paraId="04E43669" w14:textId="56232EC8" w:rsidR="0004502C" w:rsidRDefault="000D4A94" w:rsidP="000D4A94">
      <w:pPr>
        <w:suppressAutoHyphens w:val="0"/>
        <w:autoSpaceDE w:val="0"/>
        <w:autoSpaceDN w:val="0"/>
        <w:adjustRightInd w:val="0"/>
        <w:spacing w:after="120" w:line="360" w:lineRule="auto"/>
        <w:jc w:val="both"/>
        <w:rPr>
          <w:rFonts w:cs="Arial"/>
          <w:lang w:eastAsia="en-ZA"/>
        </w:rPr>
      </w:pPr>
      <w:r>
        <w:rPr>
          <w:rFonts w:cs="Arial"/>
          <w:lang w:eastAsia="en-ZA"/>
        </w:rPr>
        <w:t>[28].</w:t>
      </w:r>
      <w:r>
        <w:rPr>
          <w:rFonts w:cs="Arial"/>
          <w:lang w:eastAsia="en-ZA"/>
        </w:rPr>
        <w:tab/>
      </w:r>
      <w:r w:rsidR="007D27AD" w:rsidRPr="007D27AD">
        <w:rPr>
          <w:rFonts w:cs="Arial"/>
        </w:rPr>
        <w:t>I can think of no reason why I should deviate from this general rule</w:t>
      </w:r>
      <w:r w:rsidR="00D0268F">
        <w:rPr>
          <w:rFonts w:cs="Arial"/>
        </w:rPr>
        <w:t xml:space="preserve"> in the first application. The costs order in the second application should be in accordance with the standard costs order in liquidation applications.</w:t>
      </w:r>
    </w:p>
    <w:p w14:paraId="00483EEF" w14:textId="4DE1450F" w:rsidR="007D27AD" w:rsidRPr="007D27AD" w:rsidRDefault="000D4A94" w:rsidP="000D4A94">
      <w:pPr>
        <w:suppressAutoHyphens w:val="0"/>
        <w:autoSpaceDE w:val="0"/>
        <w:autoSpaceDN w:val="0"/>
        <w:adjustRightInd w:val="0"/>
        <w:spacing w:after="120" w:line="360" w:lineRule="auto"/>
        <w:jc w:val="both"/>
        <w:rPr>
          <w:rFonts w:cs="Arial"/>
          <w:lang w:eastAsia="en-ZA"/>
        </w:rPr>
      </w:pPr>
      <w:r w:rsidRPr="007D27AD">
        <w:rPr>
          <w:rFonts w:cs="Arial"/>
          <w:lang w:eastAsia="en-ZA"/>
        </w:rPr>
        <w:t>[29].</w:t>
      </w:r>
      <w:r w:rsidRPr="007D27AD">
        <w:rPr>
          <w:rFonts w:cs="Arial"/>
          <w:lang w:eastAsia="en-ZA"/>
        </w:rPr>
        <w:tab/>
      </w:r>
      <w:r w:rsidR="0006676B">
        <w:rPr>
          <w:rFonts w:cs="Arial"/>
        </w:rPr>
        <w:t xml:space="preserve">Furthermore, in the agreements in question provision was made for costs to be paid by </w:t>
      </w:r>
      <w:r w:rsidR="00D0268F">
        <w:rPr>
          <w:rFonts w:cs="Arial"/>
        </w:rPr>
        <w:t xml:space="preserve">Mr Nyoni </w:t>
      </w:r>
      <w:r w:rsidR="0006676B">
        <w:rPr>
          <w:rFonts w:cs="Arial"/>
        </w:rPr>
        <w:t xml:space="preserve">on the scale as between attorney and </w:t>
      </w:r>
      <w:r w:rsidR="00D0268F">
        <w:rPr>
          <w:rFonts w:cs="Arial"/>
        </w:rPr>
        <w:t xml:space="preserve">own </w:t>
      </w:r>
      <w:r w:rsidR="0006676B">
        <w:rPr>
          <w:rFonts w:cs="Arial"/>
        </w:rPr>
        <w:t>client in the event of the bank instituting legal proceedings to enforce its rights in terms of the said contracts.</w:t>
      </w:r>
    </w:p>
    <w:p w14:paraId="6EA3165C" w14:textId="20C2025C" w:rsidR="007D27AD" w:rsidRPr="007320C6" w:rsidRDefault="000D4A94" w:rsidP="000D4A94">
      <w:pPr>
        <w:suppressAutoHyphens w:val="0"/>
        <w:autoSpaceDE w:val="0"/>
        <w:autoSpaceDN w:val="0"/>
        <w:adjustRightInd w:val="0"/>
        <w:spacing w:after="240" w:line="360" w:lineRule="auto"/>
        <w:jc w:val="both"/>
        <w:rPr>
          <w:rFonts w:cs="Arial"/>
          <w:lang w:eastAsia="en-ZA"/>
        </w:rPr>
      </w:pPr>
      <w:r w:rsidRPr="007320C6">
        <w:rPr>
          <w:rFonts w:cs="Arial"/>
          <w:lang w:eastAsia="en-ZA"/>
        </w:rPr>
        <w:t>[30].</w:t>
      </w:r>
      <w:r w:rsidRPr="007320C6">
        <w:rPr>
          <w:rFonts w:cs="Arial"/>
          <w:lang w:eastAsia="en-ZA"/>
        </w:rPr>
        <w:tab/>
      </w:r>
      <w:r w:rsidR="007D27AD" w:rsidRPr="007D27AD">
        <w:t>I therefore intend awarding cost</w:t>
      </w:r>
      <w:r w:rsidR="00117E41">
        <w:t>s</w:t>
      </w:r>
      <w:r w:rsidR="007D27AD" w:rsidRPr="007D27AD">
        <w:t xml:space="preserve"> </w:t>
      </w:r>
      <w:r w:rsidR="00D0268F">
        <w:t xml:space="preserve">in the first application </w:t>
      </w:r>
      <w:r w:rsidR="007D27AD" w:rsidRPr="007D27AD">
        <w:t>against</w:t>
      </w:r>
      <w:r w:rsidR="00046717">
        <w:t xml:space="preserve"> </w:t>
      </w:r>
      <w:r w:rsidR="00D0268F">
        <w:t xml:space="preserve">Mr Nyoni </w:t>
      </w:r>
      <w:r w:rsidR="00046717">
        <w:t xml:space="preserve">in favour of the </w:t>
      </w:r>
      <w:r w:rsidR="00117E41">
        <w:t>applicant</w:t>
      </w:r>
      <w:r w:rsidR="0006676B">
        <w:t xml:space="preserve"> on the scale as between attorney and </w:t>
      </w:r>
      <w:r w:rsidR="00005F11">
        <w:t xml:space="preserve">own </w:t>
      </w:r>
      <w:r w:rsidR="0006676B">
        <w:t>client</w:t>
      </w:r>
      <w:r w:rsidR="00046717">
        <w:t xml:space="preserve">. </w:t>
      </w:r>
      <w:r w:rsidR="00D0268F">
        <w:t>The costs of the second application should be paid by the liquidated company.</w:t>
      </w:r>
    </w:p>
    <w:p w14:paraId="019DC8D4" w14:textId="77777777" w:rsidR="007D27AD" w:rsidRPr="007320C6" w:rsidRDefault="007D27AD" w:rsidP="007320C6">
      <w:pPr>
        <w:suppressAutoHyphens w:val="0"/>
        <w:autoSpaceDE w:val="0"/>
        <w:autoSpaceDN w:val="0"/>
        <w:adjustRightInd w:val="0"/>
        <w:spacing w:after="120" w:line="360" w:lineRule="auto"/>
        <w:jc w:val="both"/>
        <w:rPr>
          <w:rFonts w:cs="Arial"/>
          <w:lang w:eastAsia="en-ZA"/>
        </w:rPr>
      </w:pPr>
      <w:r w:rsidRPr="007320C6">
        <w:rPr>
          <w:b/>
          <w:lang w:val="en-ZA" w:eastAsia="en-ZA"/>
        </w:rPr>
        <w:t>Order</w:t>
      </w:r>
    </w:p>
    <w:p w14:paraId="1D2E2331" w14:textId="31303084" w:rsidR="007D27AD" w:rsidRPr="007320C6" w:rsidRDefault="000D4A94" w:rsidP="000D4A94">
      <w:pPr>
        <w:suppressAutoHyphens w:val="0"/>
        <w:autoSpaceDE w:val="0"/>
        <w:autoSpaceDN w:val="0"/>
        <w:adjustRightInd w:val="0"/>
        <w:spacing w:after="120" w:line="360" w:lineRule="auto"/>
        <w:jc w:val="both"/>
        <w:rPr>
          <w:rFonts w:cs="Arial"/>
          <w:lang w:eastAsia="en-ZA"/>
        </w:rPr>
      </w:pPr>
      <w:r w:rsidRPr="007320C6">
        <w:rPr>
          <w:rFonts w:cs="Arial"/>
          <w:lang w:eastAsia="en-ZA"/>
        </w:rPr>
        <w:t>[31].</w:t>
      </w:r>
      <w:r w:rsidRPr="007320C6">
        <w:rPr>
          <w:rFonts w:cs="Arial"/>
          <w:lang w:eastAsia="en-ZA"/>
        </w:rPr>
        <w:tab/>
      </w:r>
      <w:r w:rsidR="007D27AD" w:rsidRPr="007D27AD">
        <w:t xml:space="preserve">Accordingly, I make the following </w:t>
      </w:r>
      <w:r w:rsidR="00593B64" w:rsidRPr="007D27AD">
        <w:t>order</w:t>
      </w:r>
      <w:r w:rsidR="00005F11">
        <w:t>s</w:t>
      </w:r>
      <w:r w:rsidR="00593B64" w:rsidRPr="007D27AD">
        <w:t>: -</w:t>
      </w:r>
    </w:p>
    <w:p w14:paraId="09133A8C" w14:textId="23CE0205" w:rsidR="00C83537" w:rsidRDefault="000D4A94" w:rsidP="000D4A94">
      <w:pPr>
        <w:spacing w:after="120" w:line="360" w:lineRule="auto"/>
        <w:ind w:left="567" w:hanging="567"/>
        <w:jc w:val="both"/>
        <w:outlineLvl w:val="0"/>
      </w:pPr>
      <w:r>
        <w:t>(1)</w:t>
      </w:r>
      <w:r>
        <w:tab/>
      </w:r>
      <w:r w:rsidR="00C83537">
        <w:t xml:space="preserve">In the matter under case number: </w:t>
      </w:r>
      <w:r w:rsidR="00C83537" w:rsidRPr="000D4A94">
        <w:rPr>
          <w:b/>
          <w:bCs/>
        </w:rPr>
        <w:t>2023-022639</w:t>
      </w:r>
      <w:r w:rsidR="00C83537">
        <w:t xml:space="preserve">, judgment is granted in favour of the applicant against the respondent for: - </w:t>
      </w:r>
    </w:p>
    <w:p w14:paraId="41B9CEDF" w14:textId="2EEFF1F1" w:rsidR="00C83537" w:rsidRDefault="000D4A94" w:rsidP="000D4A94">
      <w:pPr>
        <w:spacing w:after="120" w:line="360" w:lineRule="auto"/>
        <w:ind w:left="851" w:hanging="720"/>
        <w:jc w:val="both"/>
        <w:outlineLvl w:val="0"/>
      </w:pPr>
      <w:r>
        <w:t>(a)</w:t>
      </w:r>
      <w:r>
        <w:tab/>
      </w:r>
      <w:r w:rsidR="00C83537">
        <w:t xml:space="preserve">Payment of the sum of R8 495 755.87, together with interest thereon at 11.75% (the current prime interest rate) subject to change, calculated </w:t>
      </w:r>
      <w:r w:rsidR="00C83537">
        <w:lastRenderedPageBreak/>
        <w:t>daily and compounded monthly in arrears, from 8 February 2024 to date of final payment, both days inclusive.</w:t>
      </w:r>
    </w:p>
    <w:p w14:paraId="10421BD4" w14:textId="34018DA8" w:rsidR="00C83537" w:rsidRDefault="000D4A94" w:rsidP="000D4A94">
      <w:pPr>
        <w:spacing w:after="120" w:line="360" w:lineRule="auto"/>
        <w:ind w:left="851" w:hanging="851"/>
        <w:jc w:val="both"/>
        <w:outlineLvl w:val="0"/>
      </w:pPr>
      <w:r>
        <w:t>(b)</w:t>
      </w:r>
      <w:r>
        <w:tab/>
      </w:r>
      <w:r w:rsidR="00C83537">
        <w:t>Payment of the sum of R863 984.35, together with interest thereon at 18.75% (the current prime interest rate plus 7%), subject to change, calculated daily and compounded monthly in arrears, from 8 February 2024 to date of final payment, both days inclusive.</w:t>
      </w:r>
    </w:p>
    <w:p w14:paraId="53324D2F" w14:textId="1A9BF7E5" w:rsidR="00C83537" w:rsidRDefault="000D4A94" w:rsidP="000D4A94">
      <w:pPr>
        <w:spacing w:after="120" w:line="360" w:lineRule="auto"/>
        <w:ind w:left="851" w:hanging="851"/>
        <w:jc w:val="both"/>
        <w:outlineLvl w:val="0"/>
      </w:pPr>
      <w:r>
        <w:t>(c)</w:t>
      </w:r>
      <w:r>
        <w:tab/>
      </w:r>
      <w:r w:rsidR="00C83537">
        <w:t>Payment of the costs of this application on the scale as between attorney and own client scale.</w:t>
      </w:r>
    </w:p>
    <w:p w14:paraId="4BC7F49E" w14:textId="59B5790B" w:rsidR="00C83537" w:rsidRDefault="000D4A94" w:rsidP="000D4A94">
      <w:pPr>
        <w:spacing w:after="120" w:line="360" w:lineRule="auto"/>
        <w:ind w:left="567" w:hanging="567"/>
        <w:jc w:val="both"/>
        <w:outlineLvl w:val="0"/>
      </w:pPr>
      <w:r>
        <w:t>(2)</w:t>
      </w:r>
      <w:r>
        <w:tab/>
      </w:r>
      <w:r w:rsidR="00C83537">
        <w:t xml:space="preserve">In the matter under case number: </w:t>
      </w:r>
      <w:r w:rsidR="00C83537" w:rsidRPr="000D4A94">
        <w:rPr>
          <w:b/>
          <w:bCs/>
        </w:rPr>
        <w:t>2023-</w:t>
      </w:r>
      <w:r w:rsidR="00005F11" w:rsidRPr="000D4A94">
        <w:rPr>
          <w:b/>
          <w:bCs/>
        </w:rPr>
        <w:t>0</w:t>
      </w:r>
      <w:r w:rsidR="00C83537" w:rsidRPr="000D4A94">
        <w:rPr>
          <w:b/>
          <w:bCs/>
        </w:rPr>
        <w:t>24656</w:t>
      </w:r>
      <w:r w:rsidR="00C83537">
        <w:t xml:space="preserve">, the following order is granted: - </w:t>
      </w:r>
    </w:p>
    <w:p w14:paraId="5100247E" w14:textId="6E757E13" w:rsidR="00C83537" w:rsidRDefault="000D4A94" w:rsidP="000D4A94">
      <w:pPr>
        <w:spacing w:after="120" w:line="360" w:lineRule="auto"/>
        <w:ind w:left="851" w:hanging="851"/>
        <w:jc w:val="both"/>
        <w:outlineLvl w:val="0"/>
      </w:pPr>
      <w:r>
        <w:t>(a)</w:t>
      </w:r>
      <w:r>
        <w:tab/>
      </w:r>
      <w:r w:rsidR="00C83537">
        <w:t>The respondent is placed under final winding-up in the hands of the Master of the High Court of South Africa.</w:t>
      </w:r>
    </w:p>
    <w:p w14:paraId="0D84E07A" w14:textId="6853B650" w:rsidR="00C83537" w:rsidRDefault="000D4A94" w:rsidP="000D4A94">
      <w:pPr>
        <w:spacing w:after="240" w:line="360" w:lineRule="auto"/>
        <w:ind w:left="851" w:hanging="851"/>
        <w:jc w:val="both"/>
        <w:outlineLvl w:val="0"/>
      </w:pPr>
      <w:r>
        <w:t>(b)</w:t>
      </w:r>
      <w:r>
        <w:tab/>
      </w:r>
      <w:r w:rsidR="00C83537">
        <w:t xml:space="preserve">The costs of this application shall be costs in the winding-up of the respondent. </w:t>
      </w:r>
    </w:p>
    <w:p w14:paraId="75D0A4FA" w14:textId="77777777" w:rsidR="009C20CE" w:rsidRDefault="009C20CE" w:rsidP="009C20CE">
      <w:pPr>
        <w:keepNext/>
        <w:keepLines/>
        <w:tabs>
          <w:tab w:val="left" w:pos="0"/>
        </w:tabs>
        <w:spacing w:before="1200" w:line="360" w:lineRule="auto"/>
        <w:jc w:val="right"/>
        <w:rPr>
          <w:b/>
          <w:u w:val="single"/>
        </w:rPr>
      </w:pPr>
      <w:r>
        <w:rPr>
          <w:b/>
          <w:u w:val="single"/>
        </w:rPr>
        <w:t>________________________________</w:t>
      </w:r>
    </w:p>
    <w:p w14:paraId="6055F764" w14:textId="77777777" w:rsidR="009C20CE" w:rsidRDefault="009C20CE" w:rsidP="009C20CE">
      <w:pPr>
        <w:keepNext/>
        <w:jc w:val="right"/>
        <w:rPr>
          <w:rFonts w:cs="Arial"/>
          <w:b/>
        </w:rPr>
      </w:pPr>
      <w:r>
        <w:rPr>
          <w:rFonts w:cs="Arial"/>
          <w:b/>
        </w:rPr>
        <w:t>L R ADAMS</w:t>
      </w:r>
    </w:p>
    <w:p w14:paraId="5D0098CF" w14:textId="77777777" w:rsidR="009C20CE" w:rsidRDefault="009C20CE" w:rsidP="009C20CE">
      <w:pPr>
        <w:keepNext/>
        <w:jc w:val="right"/>
        <w:rPr>
          <w:rFonts w:cs="Arial"/>
          <w:i/>
        </w:rPr>
      </w:pPr>
      <w:r>
        <w:rPr>
          <w:rFonts w:cs="Arial"/>
          <w:i/>
        </w:rPr>
        <w:t>Judge of the High Court of South Africa</w:t>
      </w:r>
    </w:p>
    <w:p w14:paraId="7AF32319" w14:textId="77777777" w:rsidR="009C20CE" w:rsidRDefault="009C20CE" w:rsidP="00C83537">
      <w:pPr>
        <w:pBdr>
          <w:bottom w:val="single" w:sz="6" w:space="1" w:color="auto"/>
        </w:pBdr>
        <w:spacing w:after="600" w:line="360" w:lineRule="auto"/>
        <w:jc w:val="right"/>
        <w:rPr>
          <w:rFonts w:cs="Arial"/>
          <w:i/>
        </w:rPr>
      </w:pPr>
      <w:r>
        <w:rPr>
          <w:rFonts w:cs="Arial"/>
          <w:i/>
        </w:rPr>
        <w:t>Gauteng Division, Johannesburg</w:t>
      </w:r>
    </w:p>
    <w:p w14:paraId="5C96777B" w14:textId="77777777" w:rsidR="009C20CE" w:rsidRDefault="009C20CE" w:rsidP="009C20CE">
      <w:pPr>
        <w:spacing w:line="360" w:lineRule="auto"/>
        <w:rPr>
          <w:rFonts w:cs="Arial"/>
          <w:i/>
        </w:rPr>
      </w:pPr>
    </w:p>
    <w:p w14:paraId="2BD536C1" w14:textId="77777777" w:rsidR="00C83537" w:rsidRDefault="00C83537">
      <w:r>
        <w:br w:type="page"/>
      </w:r>
    </w:p>
    <w:tbl>
      <w:tblPr>
        <w:tblW w:w="7621" w:type="dxa"/>
        <w:tblLook w:val="04A0" w:firstRow="1" w:lastRow="0" w:firstColumn="1" w:lastColumn="0" w:noHBand="0" w:noVBand="1"/>
      </w:tblPr>
      <w:tblGrid>
        <w:gridCol w:w="3794"/>
        <w:gridCol w:w="3827"/>
      </w:tblGrid>
      <w:tr w:rsidR="007D27AD" w:rsidRPr="007D27AD" w14:paraId="3EBD0029" w14:textId="77777777" w:rsidTr="007D27AD">
        <w:tc>
          <w:tcPr>
            <w:tcW w:w="3794" w:type="dxa"/>
            <w:tcMar>
              <w:top w:w="32" w:type="dxa"/>
              <w:left w:w="108" w:type="dxa"/>
              <w:bottom w:w="32" w:type="dxa"/>
              <w:right w:w="108" w:type="dxa"/>
            </w:tcMar>
            <w:vAlign w:val="center"/>
            <w:hideMark/>
          </w:tcPr>
          <w:p w14:paraId="13729E33" w14:textId="046B84E0" w:rsidR="007D27AD" w:rsidRPr="007D27AD" w:rsidRDefault="007D27AD" w:rsidP="009C20C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14:paraId="2F2BCF50" w14:textId="0C287D86" w:rsidR="007D27AD" w:rsidRPr="007D27AD" w:rsidRDefault="00864E4C" w:rsidP="00905D5D">
            <w:pPr>
              <w:keepNext/>
              <w:spacing w:before="120" w:after="120"/>
              <w:ind w:left="-108"/>
              <w:rPr>
                <w:sz w:val="22"/>
                <w:szCs w:val="22"/>
                <w:lang w:eastAsia="en-US"/>
              </w:rPr>
            </w:pPr>
            <w:r>
              <w:t>13</w:t>
            </w:r>
            <w:r w:rsidRPr="00864E4C">
              <w:rPr>
                <w:vertAlign w:val="superscript"/>
              </w:rPr>
              <w:t>th</w:t>
            </w:r>
            <w:r>
              <w:t xml:space="preserve"> and 14</w:t>
            </w:r>
            <w:r w:rsidRPr="00864E4C">
              <w:rPr>
                <w:vertAlign w:val="superscript"/>
              </w:rPr>
              <w:t>th</w:t>
            </w:r>
            <w:r w:rsidR="00E11E64">
              <w:t xml:space="preserve"> </w:t>
            </w:r>
            <w:r>
              <w:t>February</w:t>
            </w:r>
            <w:r w:rsidR="009C20CE">
              <w:t xml:space="preserve"> 202</w:t>
            </w:r>
            <w:r>
              <w:t>4</w:t>
            </w:r>
          </w:p>
        </w:tc>
      </w:tr>
      <w:tr w:rsidR="007D27AD" w:rsidRPr="007D27AD" w14:paraId="103F2AD5" w14:textId="77777777" w:rsidTr="007D27AD">
        <w:tc>
          <w:tcPr>
            <w:tcW w:w="3794" w:type="dxa"/>
            <w:tcMar>
              <w:top w:w="32" w:type="dxa"/>
              <w:left w:w="108" w:type="dxa"/>
              <w:bottom w:w="32" w:type="dxa"/>
              <w:right w:w="108" w:type="dxa"/>
            </w:tcMar>
            <w:vAlign w:val="center"/>
            <w:hideMark/>
          </w:tcPr>
          <w:p w14:paraId="73BC0566" w14:textId="77777777" w:rsidR="007D27AD" w:rsidRPr="007D27AD" w:rsidRDefault="007D27AD" w:rsidP="009C20C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14:paraId="0F281876" w14:textId="09DB853D" w:rsidR="007D27AD" w:rsidRPr="007D27AD" w:rsidRDefault="00C83537" w:rsidP="00905D5D">
            <w:pPr>
              <w:keepNext/>
              <w:spacing w:before="120" w:after="120"/>
              <w:ind w:left="-108"/>
            </w:pPr>
            <w:r>
              <w:t>26</w:t>
            </w:r>
            <w:r w:rsidRPr="00C83537">
              <w:rPr>
                <w:vertAlign w:val="superscript"/>
              </w:rPr>
              <w:t>th</w:t>
            </w:r>
            <w:r>
              <w:t xml:space="preserve"> </w:t>
            </w:r>
            <w:r w:rsidR="00864E4C">
              <w:t>February</w:t>
            </w:r>
            <w:r w:rsidR="007D27AD" w:rsidRPr="007D27AD">
              <w:t xml:space="preserve"> 20</w:t>
            </w:r>
            <w:r w:rsidR="004E644B">
              <w:t>2</w:t>
            </w:r>
            <w:r w:rsidR="00864E4C">
              <w:t>4</w:t>
            </w:r>
            <w:r w:rsidR="00C54E42">
              <w:t xml:space="preserve"> – judgment handed down electronically.</w:t>
            </w:r>
          </w:p>
        </w:tc>
      </w:tr>
      <w:tr w:rsidR="007D27AD" w:rsidRPr="007D27AD" w14:paraId="201A6BEE" w14:textId="77777777" w:rsidTr="007D27AD">
        <w:tc>
          <w:tcPr>
            <w:tcW w:w="3794" w:type="dxa"/>
            <w:tcMar>
              <w:top w:w="32" w:type="dxa"/>
              <w:left w:w="108" w:type="dxa"/>
              <w:bottom w:w="32" w:type="dxa"/>
              <w:right w:w="108" w:type="dxa"/>
            </w:tcMar>
            <w:vAlign w:val="center"/>
            <w:hideMark/>
          </w:tcPr>
          <w:p w14:paraId="625AD730" w14:textId="08E9BFAA" w:rsidR="007D27AD" w:rsidRPr="007D27AD" w:rsidRDefault="007D27AD" w:rsidP="009C20CE">
            <w:pPr>
              <w:keepNext/>
              <w:spacing w:before="120" w:after="120"/>
              <w:rPr>
                <w:sz w:val="22"/>
                <w:szCs w:val="22"/>
                <w:lang w:eastAsia="en-US"/>
              </w:rPr>
            </w:pPr>
            <w:r w:rsidRPr="007D27AD">
              <w:t xml:space="preserve">FOR </w:t>
            </w:r>
            <w:r w:rsidR="00864E4C">
              <w:t>FIRSTRAND BANK</w:t>
            </w:r>
            <w:r w:rsidR="00E11E64">
              <w:t xml:space="preserve"> (</w:t>
            </w:r>
            <w:r w:rsidR="009C20CE">
              <w:t>APPLICANT</w:t>
            </w:r>
            <w:r w:rsidR="00E11E64">
              <w:t xml:space="preserve"> IN </w:t>
            </w:r>
            <w:r w:rsidR="00864E4C">
              <w:t xml:space="preserve">BOTH </w:t>
            </w:r>
            <w:r w:rsidR="00E11E64">
              <w:t>MATTER</w:t>
            </w:r>
            <w:r w:rsidR="00864E4C">
              <w:t>S</w:t>
            </w:r>
            <w:r w:rsidR="00E11E64">
              <w:t>)</w:t>
            </w:r>
            <w:r w:rsidRPr="007D27AD">
              <w:t>: </w:t>
            </w:r>
          </w:p>
        </w:tc>
        <w:tc>
          <w:tcPr>
            <w:tcW w:w="0" w:type="auto"/>
            <w:tcMar>
              <w:top w:w="32" w:type="dxa"/>
              <w:left w:w="108" w:type="dxa"/>
              <w:bottom w:w="32" w:type="dxa"/>
              <w:right w:w="108" w:type="dxa"/>
            </w:tcMar>
            <w:vAlign w:val="center"/>
            <w:hideMark/>
          </w:tcPr>
          <w:p w14:paraId="51FE33EA" w14:textId="6A85B999" w:rsidR="00E11E64" w:rsidRPr="00E11E64" w:rsidRDefault="007D27AD" w:rsidP="00E11E64">
            <w:pPr>
              <w:keepNext/>
              <w:spacing w:before="120" w:after="120"/>
              <w:ind w:left="-108"/>
            </w:pPr>
            <w:r w:rsidRPr="007D27AD">
              <w:t>Adv</w:t>
            </w:r>
            <w:r w:rsidR="00E11E64">
              <w:t>ocate</w:t>
            </w:r>
            <w:r w:rsidRPr="007D27AD">
              <w:t xml:space="preserve"> </w:t>
            </w:r>
            <w:r w:rsidR="00864E4C">
              <w:t xml:space="preserve">N J </w:t>
            </w:r>
            <w:r w:rsidR="00C3064A">
              <w:t>Horn</w:t>
            </w:r>
          </w:p>
        </w:tc>
      </w:tr>
      <w:tr w:rsidR="007D27AD" w:rsidRPr="007D27AD" w14:paraId="1CF13CD3" w14:textId="77777777" w:rsidTr="007D27AD">
        <w:tc>
          <w:tcPr>
            <w:tcW w:w="3794" w:type="dxa"/>
            <w:tcMar>
              <w:top w:w="32" w:type="dxa"/>
              <w:left w:w="108" w:type="dxa"/>
              <w:bottom w:w="32" w:type="dxa"/>
              <w:right w:w="108" w:type="dxa"/>
            </w:tcMar>
            <w:vAlign w:val="center"/>
            <w:hideMark/>
          </w:tcPr>
          <w:p w14:paraId="30AB4DB9" w14:textId="77777777" w:rsidR="007D27AD" w:rsidRPr="007D27AD" w:rsidRDefault="007D27AD" w:rsidP="009C20C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14:paraId="36D177E4" w14:textId="4AAFDDFA" w:rsidR="007D27AD" w:rsidRPr="007D27AD" w:rsidRDefault="00C3064A" w:rsidP="00C54E42">
            <w:pPr>
              <w:keepNext/>
              <w:spacing w:before="120" w:after="120"/>
              <w:ind w:left="-108"/>
              <w:rPr>
                <w:sz w:val="22"/>
                <w:szCs w:val="22"/>
                <w:lang w:eastAsia="en-US"/>
              </w:rPr>
            </w:pPr>
            <w:r>
              <w:t>Werksmans Attorneys</w:t>
            </w:r>
            <w:r w:rsidR="009C20CE">
              <w:t>,</w:t>
            </w:r>
            <w:r>
              <w:t xml:space="preserve"> Sandton</w:t>
            </w:r>
          </w:p>
        </w:tc>
      </w:tr>
      <w:tr w:rsidR="00E11E64" w:rsidRPr="007D27AD" w14:paraId="613E2A4F" w14:textId="77777777" w:rsidTr="00102484">
        <w:tc>
          <w:tcPr>
            <w:tcW w:w="3794" w:type="dxa"/>
            <w:tcMar>
              <w:top w:w="32" w:type="dxa"/>
              <w:left w:w="108" w:type="dxa"/>
              <w:bottom w:w="32" w:type="dxa"/>
              <w:right w:w="108" w:type="dxa"/>
            </w:tcMar>
            <w:vAlign w:val="center"/>
            <w:hideMark/>
          </w:tcPr>
          <w:p w14:paraId="6DB719B4" w14:textId="14F10A0E" w:rsidR="00E11E64" w:rsidRPr="00102484" w:rsidRDefault="00E11E64" w:rsidP="00E11E64">
            <w:pPr>
              <w:keepNext/>
              <w:spacing w:before="120" w:after="120"/>
            </w:pPr>
            <w:r w:rsidRPr="007D27AD">
              <w:t xml:space="preserve">FOR THE </w:t>
            </w:r>
            <w:r w:rsidR="00C3064A">
              <w:t>RESPONDENTS IN BOTH APPLICATIONS</w:t>
            </w:r>
            <w:r w:rsidRPr="007D27AD">
              <w:t>: </w:t>
            </w:r>
          </w:p>
        </w:tc>
        <w:tc>
          <w:tcPr>
            <w:tcW w:w="0" w:type="auto"/>
            <w:tcMar>
              <w:top w:w="32" w:type="dxa"/>
              <w:left w:w="108" w:type="dxa"/>
              <w:bottom w:w="32" w:type="dxa"/>
              <w:right w:w="108" w:type="dxa"/>
            </w:tcMar>
            <w:vAlign w:val="center"/>
            <w:hideMark/>
          </w:tcPr>
          <w:p w14:paraId="2462114B" w14:textId="11CE20DB" w:rsidR="00E11E64" w:rsidRPr="00E11E64" w:rsidRDefault="00E11E64" w:rsidP="00E11E64">
            <w:pPr>
              <w:keepNext/>
              <w:spacing w:before="120" w:after="120"/>
              <w:ind w:left="-108"/>
            </w:pPr>
            <w:r w:rsidRPr="007D27AD">
              <w:t xml:space="preserve">Adv </w:t>
            </w:r>
            <w:r w:rsidR="00C3064A">
              <w:t>M Skhosana</w:t>
            </w:r>
            <w:r>
              <w:t xml:space="preserve">, together with Adv </w:t>
            </w:r>
            <w:r w:rsidR="00C3064A">
              <w:t>Sithole</w:t>
            </w:r>
          </w:p>
        </w:tc>
      </w:tr>
      <w:tr w:rsidR="00E11E64" w:rsidRPr="007D27AD" w14:paraId="192BFA48" w14:textId="77777777" w:rsidTr="00102484">
        <w:tc>
          <w:tcPr>
            <w:tcW w:w="3794" w:type="dxa"/>
            <w:tcMar>
              <w:top w:w="32" w:type="dxa"/>
              <w:left w:w="108" w:type="dxa"/>
              <w:bottom w:w="32" w:type="dxa"/>
              <w:right w:w="108" w:type="dxa"/>
            </w:tcMar>
            <w:vAlign w:val="center"/>
            <w:hideMark/>
          </w:tcPr>
          <w:p w14:paraId="28E9FE27" w14:textId="77777777" w:rsidR="00E11E64" w:rsidRPr="00102484" w:rsidRDefault="00E11E64" w:rsidP="00E11E64">
            <w:pPr>
              <w:keepNext/>
              <w:spacing w:before="120" w:after="120"/>
            </w:pPr>
            <w:r w:rsidRPr="007D27AD">
              <w:t>INSTRUCTED BY: </w:t>
            </w:r>
          </w:p>
        </w:tc>
        <w:tc>
          <w:tcPr>
            <w:tcW w:w="0" w:type="auto"/>
            <w:tcMar>
              <w:top w:w="32" w:type="dxa"/>
              <w:left w:w="108" w:type="dxa"/>
              <w:bottom w:w="32" w:type="dxa"/>
              <w:right w:w="108" w:type="dxa"/>
            </w:tcMar>
            <w:vAlign w:val="center"/>
            <w:hideMark/>
          </w:tcPr>
          <w:p w14:paraId="33C7F5C3" w14:textId="6338917E" w:rsidR="00E11E64" w:rsidRPr="007D27AD" w:rsidRDefault="00C3064A" w:rsidP="00E11E64">
            <w:pPr>
              <w:keepNext/>
              <w:spacing w:before="120" w:after="120"/>
              <w:ind w:left="-108"/>
              <w:rPr>
                <w:sz w:val="22"/>
                <w:szCs w:val="22"/>
                <w:lang w:eastAsia="en-US"/>
              </w:rPr>
            </w:pPr>
            <w:r>
              <w:t>M T Raselo Incorporated</w:t>
            </w:r>
            <w:r w:rsidR="00E11E64">
              <w:t xml:space="preserve">, </w:t>
            </w:r>
            <w:r>
              <w:t>Mondeor</w:t>
            </w:r>
            <w:r w:rsidR="00E11E64">
              <w:t xml:space="preserve">, Johannesburg </w:t>
            </w:r>
          </w:p>
        </w:tc>
      </w:tr>
      <w:bookmarkEnd w:id="0"/>
    </w:tbl>
    <w:p w14:paraId="2F5C5BE9" w14:textId="77777777" w:rsidR="002F15F5" w:rsidRPr="00D63801" w:rsidRDefault="002F15F5" w:rsidP="00C3064A">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CED25" w14:textId="77777777" w:rsidR="009F4BE6" w:rsidRDefault="009F4BE6">
      <w:pPr>
        <w:spacing w:line="20" w:lineRule="exact"/>
      </w:pPr>
    </w:p>
  </w:endnote>
  <w:endnote w:type="continuationSeparator" w:id="0">
    <w:p w14:paraId="2F4D8B62" w14:textId="77777777" w:rsidR="009F4BE6" w:rsidRDefault="009F4BE6">
      <w:r>
        <w:t xml:space="preserve"> </w:t>
      </w:r>
    </w:p>
  </w:endnote>
  <w:endnote w:type="continuationNotice" w:id="1">
    <w:p w14:paraId="2199D860" w14:textId="77777777" w:rsidR="009F4BE6" w:rsidRDefault="009F4B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710C" w14:textId="77777777" w:rsidR="009F4BE6" w:rsidRDefault="009F4BE6">
      <w:r>
        <w:separator/>
      </w:r>
    </w:p>
  </w:footnote>
  <w:footnote w:type="continuationSeparator" w:id="0">
    <w:p w14:paraId="3F1566A5" w14:textId="77777777" w:rsidR="009F4BE6" w:rsidRDefault="009F4BE6">
      <w:r>
        <w:continuationSeparator/>
      </w:r>
    </w:p>
  </w:footnote>
  <w:footnote w:id="1">
    <w:p w14:paraId="1984D81D" w14:textId="69D6DD4D" w:rsidR="00D46D79" w:rsidRPr="0048712D" w:rsidRDefault="00D46D79" w:rsidP="00920C67">
      <w:pPr>
        <w:suppressAutoHyphens w:val="0"/>
        <w:ind w:left="142" w:hanging="142"/>
        <w:jc w:val="both"/>
        <w:rPr>
          <w:rFonts w:cs="Arial"/>
          <w:color w:val="000000"/>
          <w:sz w:val="18"/>
          <w:szCs w:val="18"/>
          <w:lang w:val="en-ZA" w:eastAsia="en-ZA"/>
        </w:rPr>
      </w:pPr>
      <w:r w:rsidRPr="0048712D">
        <w:rPr>
          <w:rStyle w:val="FootnoteReference"/>
          <w:rFonts w:cs="Arial"/>
          <w:sz w:val="18"/>
          <w:szCs w:val="18"/>
        </w:rPr>
        <w:footnoteRef/>
      </w:r>
      <w:r w:rsidR="0048712D" w:rsidRPr="0048712D">
        <w:rPr>
          <w:rFonts w:cs="Arial"/>
          <w:color w:val="000000"/>
          <w:sz w:val="18"/>
          <w:szCs w:val="18"/>
          <w:lang w:val="en-ZA" w:eastAsia="en-ZA"/>
        </w:rPr>
        <w:t xml:space="preserve"> </w:t>
      </w:r>
      <w:r w:rsidRPr="0048712D">
        <w:rPr>
          <w:rFonts w:cs="Arial"/>
          <w:color w:val="000000"/>
          <w:sz w:val="18"/>
          <w:szCs w:val="18"/>
          <w:lang w:val="en-ZA" w:eastAsia="en-ZA"/>
        </w:rPr>
        <w:t xml:space="preserve">Section 345(1)(a)(i) provides that ‘[a] company … shall be deemed to be unable to pay its debts if – </w:t>
      </w:r>
    </w:p>
    <w:p w14:paraId="18639C84" w14:textId="46A4C5A0" w:rsidR="00D46D79" w:rsidRPr="00D46D79" w:rsidRDefault="00D46D79" w:rsidP="0048712D">
      <w:pPr>
        <w:suppressAutoHyphens w:val="0"/>
        <w:ind w:left="851" w:hanging="851"/>
        <w:jc w:val="both"/>
        <w:rPr>
          <w:rFonts w:cs="Arial"/>
          <w:sz w:val="18"/>
          <w:szCs w:val="18"/>
          <w:lang w:val="en-ZA" w:eastAsia="en-ZA"/>
        </w:rPr>
      </w:pPr>
      <w:r w:rsidRPr="00D46D79">
        <w:rPr>
          <w:rFonts w:cs="Arial"/>
          <w:sz w:val="18"/>
          <w:szCs w:val="18"/>
          <w:lang w:val="en-ZA" w:eastAsia="en-ZA"/>
        </w:rPr>
        <w:t>   </w:t>
      </w:r>
      <w:bookmarkStart w:id="4" w:name="0-0-0-56867"/>
      <w:bookmarkEnd w:id="4"/>
      <w:r w:rsidRPr="00D46D79">
        <w:rPr>
          <w:rFonts w:cs="Arial"/>
          <w:sz w:val="18"/>
          <w:szCs w:val="18"/>
          <w:lang w:val="en-ZA" w:eastAsia="en-ZA"/>
        </w:rPr>
        <w:fldChar w:fldCharType="begin"/>
      </w:r>
      <w:r w:rsidRPr="00D46D79">
        <w:rPr>
          <w:rFonts w:cs="Arial"/>
          <w:sz w:val="18"/>
          <w:szCs w:val="18"/>
          <w:lang w:val="en-ZA" w:eastAsia="en-ZA"/>
        </w:rPr>
        <w:instrText>HYPERLINK "https://jutastat.juta.co.za/nxt/foliolinks.asp?f=xhitlist&amp;xhitlist_x=Advanced&amp;xhitlist_vpc=first&amp;xhitlist_xsl=querylink.xsl&amp;xhitlist_sel=title;path;content-type;home-title&amp;xhitlist_d=%7bstatreg%7d&amp;xhitlist_q=%5bfield%20folio-destination-name:%27LJC_a61y1973s345(1)(a)%27%5d&amp;xhitlist_md=target-id=0-0-0-56869" \t "main"</w:instrText>
      </w:r>
      <w:r w:rsidRPr="00D46D79">
        <w:rPr>
          <w:rFonts w:cs="Arial"/>
          <w:sz w:val="18"/>
          <w:szCs w:val="18"/>
          <w:lang w:val="en-ZA" w:eastAsia="en-ZA"/>
        </w:rPr>
        <w:fldChar w:fldCharType="separate"/>
      </w:r>
      <w:r w:rsidRPr="00D46D79">
        <w:rPr>
          <w:rFonts w:cs="Arial"/>
          <w:sz w:val="18"/>
          <w:szCs w:val="18"/>
          <w:u w:val="single"/>
          <w:lang w:val="en-ZA" w:eastAsia="en-ZA"/>
        </w:rPr>
        <w:t>(a)</w:t>
      </w:r>
      <w:r w:rsidRPr="00D46D79">
        <w:rPr>
          <w:rFonts w:cs="Arial"/>
          <w:sz w:val="18"/>
          <w:szCs w:val="18"/>
          <w:lang w:val="en-ZA" w:eastAsia="en-ZA"/>
        </w:rPr>
        <w:fldChar w:fldCharType="end"/>
      </w:r>
      <w:r w:rsidRPr="00D46D79">
        <w:rPr>
          <w:rFonts w:cs="Arial"/>
          <w:sz w:val="18"/>
          <w:szCs w:val="18"/>
          <w:lang w:val="en-ZA" w:eastAsia="en-ZA"/>
        </w:rPr>
        <w:t>   a creditor</w:t>
      </w:r>
      <w:r w:rsidRPr="0048712D">
        <w:rPr>
          <w:rFonts w:cs="Arial"/>
          <w:sz w:val="18"/>
          <w:szCs w:val="18"/>
          <w:lang w:val="en-ZA" w:eastAsia="en-ZA"/>
        </w:rPr>
        <w:t xml:space="preserve"> …</w:t>
      </w:r>
      <w:r w:rsidRPr="00D46D79">
        <w:rPr>
          <w:rFonts w:cs="Arial"/>
          <w:sz w:val="18"/>
          <w:szCs w:val="18"/>
          <w:lang w:val="en-ZA" w:eastAsia="en-ZA"/>
        </w:rPr>
        <w:t>, to whom the company is indebted in a sum not less than one hundred rand then due</w:t>
      </w:r>
      <w:r w:rsidRPr="0048712D">
        <w:rPr>
          <w:rFonts w:cs="Arial"/>
          <w:sz w:val="18"/>
          <w:szCs w:val="18"/>
          <w:lang w:val="en-ZA" w:eastAsia="en-ZA"/>
        </w:rPr>
        <w:t xml:space="preserve"> – </w:t>
      </w:r>
    </w:p>
    <w:bookmarkStart w:id="5" w:name="0-0-0-56871"/>
    <w:bookmarkEnd w:id="5"/>
    <w:p w14:paraId="40782E79" w14:textId="4248CD40" w:rsidR="00D46D79" w:rsidRPr="00D46D79" w:rsidRDefault="00D46D79" w:rsidP="00671456">
      <w:pPr>
        <w:suppressAutoHyphens w:val="0"/>
        <w:ind w:left="851" w:hanging="567"/>
        <w:jc w:val="both"/>
        <w:rPr>
          <w:rFonts w:cs="Arial"/>
          <w:color w:val="000000"/>
          <w:sz w:val="18"/>
          <w:szCs w:val="18"/>
          <w:lang w:val="en-ZA" w:eastAsia="en-ZA"/>
        </w:rPr>
      </w:pPr>
      <w:r w:rsidRPr="00D46D79">
        <w:rPr>
          <w:rFonts w:cs="Arial"/>
          <w:sz w:val="18"/>
          <w:szCs w:val="18"/>
          <w:lang w:val="en-ZA" w:eastAsia="en-ZA"/>
        </w:rPr>
        <w:fldChar w:fldCharType="begin"/>
      </w:r>
      <w:r w:rsidRPr="00D46D79">
        <w:rPr>
          <w:rFonts w:cs="Arial"/>
          <w:sz w:val="18"/>
          <w:szCs w:val="18"/>
          <w:lang w:val="en-ZA" w:eastAsia="en-ZA"/>
        </w:rPr>
        <w:instrText>HYPERLINK "https://jutastat.juta.co.za/nxt/foliolinks.asp?f=xhitlist&amp;xhitlist_x=Advanced&amp;xhitlist_vpc=first&amp;xhitlist_xsl=querylink.xsl&amp;xhitlist_sel=title;path;content-type;home-title&amp;xhitlist_d=%7bstatreg%7d&amp;xhitlist_q=%5bfield%20folio-destination-name:%27LJC_a61y1973s345(1)(a)(i)%27%5d&amp;xhitlist_md=target-id=0-0-0-56873" \t "main"</w:instrText>
      </w:r>
      <w:r w:rsidRPr="00D46D79">
        <w:rPr>
          <w:rFonts w:cs="Arial"/>
          <w:sz w:val="18"/>
          <w:szCs w:val="18"/>
          <w:lang w:val="en-ZA" w:eastAsia="en-ZA"/>
        </w:rPr>
        <w:fldChar w:fldCharType="separate"/>
      </w:r>
      <w:r w:rsidRPr="00D46D79">
        <w:rPr>
          <w:rFonts w:cs="Arial"/>
          <w:sz w:val="18"/>
          <w:szCs w:val="18"/>
          <w:u w:val="single"/>
          <w:lang w:val="en-ZA" w:eastAsia="en-ZA"/>
        </w:rPr>
        <w:t>(i)</w:t>
      </w:r>
      <w:r w:rsidRPr="00D46D79">
        <w:rPr>
          <w:rFonts w:cs="Arial"/>
          <w:sz w:val="18"/>
          <w:szCs w:val="18"/>
          <w:lang w:val="en-ZA" w:eastAsia="en-ZA"/>
        </w:rPr>
        <w:fldChar w:fldCharType="end"/>
      </w:r>
      <w:r w:rsidRPr="00D46D79">
        <w:rPr>
          <w:rFonts w:cs="Arial"/>
          <w:sz w:val="18"/>
          <w:szCs w:val="18"/>
          <w:lang w:val="en-ZA" w:eastAsia="en-ZA"/>
        </w:rPr>
        <w:t>   </w:t>
      </w:r>
      <w:r w:rsidR="00671456">
        <w:rPr>
          <w:rFonts w:cs="Arial"/>
          <w:sz w:val="18"/>
          <w:szCs w:val="18"/>
          <w:lang w:val="en-ZA" w:eastAsia="en-ZA"/>
        </w:rPr>
        <w:tab/>
      </w:r>
      <w:r w:rsidRPr="00D46D79">
        <w:rPr>
          <w:rFonts w:cs="Arial"/>
          <w:sz w:val="18"/>
          <w:szCs w:val="18"/>
          <w:lang w:val="en-ZA" w:eastAsia="en-ZA"/>
        </w:rPr>
        <w:t xml:space="preserve">has served on the company, by leaving the same at its registered office, a demand requiring the </w:t>
      </w:r>
      <w:r w:rsidRPr="00D46D79">
        <w:rPr>
          <w:rFonts w:cs="Arial"/>
          <w:color w:val="000000"/>
          <w:sz w:val="18"/>
          <w:szCs w:val="18"/>
          <w:lang w:val="en-ZA" w:eastAsia="en-ZA"/>
        </w:rPr>
        <w:t>company to pay the sum so due; or</w:t>
      </w:r>
    </w:p>
    <w:p w14:paraId="5D9BAC7A" w14:textId="79A1D170" w:rsidR="00D46D79" w:rsidRPr="00D46D79" w:rsidRDefault="0048712D" w:rsidP="00671456">
      <w:pPr>
        <w:suppressAutoHyphens w:val="0"/>
        <w:ind w:left="851"/>
        <w:jc w:val="both"/>
        <w:rPr>
          <w:rFonts w:cs="Arial"/>
          <w:color w:val="000000"/>
          <w:sz w:val="18"/>
          <w:szCs w:val="18"/>
          <w:lang w:val="en-ZA" w:eastAsia="en-ZA"/>
        </w:rPr>
      </w:pPr>
      <w:bookmarkStart w:id="6" w:name="0-0-0-56875"/>
      <w:bookmarkEnd w:id="6"/>
      <w:r w:rsidRPr="0048712D">
        <w:rPr>
          <w:rFonts w:cs="Arial"/>
          <w:color w:val="000000"/>
          <w:sz w:val="18"/>
          <w:szCs w:val="18"/>
          <w:lang w:val="en-ZA" w:eastAsia="en-ZA"/>
        </w:rPr>
        <w:t xml:space="preserve">… … </w:t>
      </w:r>
    </w:p>
    <w:p w14:paraId="688B68B5" w14:textId="6CB0AFB3" w:rsidR="00D46D79" w:rsidRPr="00D46D79" w:rsidRDefault="00D46D79" w:rsidP="00920C67">
      <w:pPr>
        <w:suppressAutoHyphens w:val="0"/>
        <w:ind w:left="142"/>
        <w:jc w:val="both"/>
        <w:rPr>
          <w:lang w:val="en-ZA"/>
        </w:rPr>
      </w:pPr>
      <w:r w:rsidRPr="00D46D79">
        <w:rPr>
          <w:rFonts w:cs="Arial"/>
          <w:color w:val="000000"/>
          <w:sz w:val="18"/>
          <w:szCs w:val="18"/>
          <w:lang w:val="en-ZA" w:eastAsia="en-ZA"/>
        </w:rPr>
        <w:t xml:space="preserve">and the company </w:t>
      </w:r>
      <w:r w:rsidR="0048712D" w:rsidRPr="0048712D">
        <w:rPr>
          <w:rFonts w:cs="Arial"/>
          <w:color w:val="000000"/>
          <w:sz w:val="18"/>
          <w:szCs w:val="18"/>
          <w:lang w:val="en-ZA" w:eastAsia="en-ZA"/>
        </w:rPr>
        <w:t>…</w:t>
      </w:r>
      <w:r w:rsidRPr="00D46D79">
        <w:rPr>
          <w:rFonts w:cs="Arial"/>
          <w:color w:val="000000"/>
          <w:sz w:val="18"/>
          <w:szCs w:val="18"/>
          <w:lang w:val="en-ZA" w:eastAsia="en-ZA"/>
        </w:rPr>
        <w:t xml:space="preserve"> has for three weeks thereafter neglected to pay the sum, or to secure or compound for it to the reasonable satisfaction of the creditor; or</w:t>
      </w:r>
      <w:r w:rsidR="0048712D" w:rsidRPr="0048712D">
        <w:rPr>
          <w:rFonts w:cs="Arial"/>
          <w:color w:val="000000"/>
          <w:sz w:val="18"/>
          <w:szCs w:val="18"/>
          <w:lang w:val="en-ZA" w:eastAsia="en-ZA"/>
        </w:rPr>
        <w:t xml:space="preserve"> …’.</w:t>
      </w:r>
    </w:p>
  </w:footnote>
  <w:footnote w:id="2">
    <w:p w14:paraId="25B67502" w14:textId="4D1837A2" w:rsidR="00D46D79" w:rsidRPr="00D46D79" w:rsidRDefault="00D46D79">
      <w:pPr>
        <w:pStyle w:val="FootnoteText"/>
        <w:rPr>
          <w:lang w:val="en-ZA"/>
        </w:rPr>
      </w:pPr>
      <w:r>
        <w:rPr>
          <w:rStyle w:val="FootnoteReference"/>
        </w:rPr>
        <w:footnoteRef/>
      </w:r>
      <w:r>
        <w:t xml:space="preserve"> </w:t>
      </w:r>
      <w:r>
        <w:rPr>
          <w:color w:val="000000"/>
        </w:rPr>
        <w:t>Companies Act, Act 61 of 1973.</w:t>
      </w:r>
    </w:p>
  </w:footnote>
  <w:footnote w:id="3">
    <w:p w14:paraId="7F83575D" w14:textId="13565A77" w:rsidR="002653C0" w:rsidRPr="002653C0" w:rsidRDefault="002653C0">
      <w:pPr>
        <w:pStyle w:val="FootnoteText"/>
        <w:rPr>
          <w:lang w:val="en-ZA"/>
        </w:rPr>
      </w:pPr>
      <w:r>
        <w:rPr>
          <w:rStyle w:val="FootnoteReference"/>
        </w:rPr>
        <w:footnoteRef/>
      </w:r>
      <w:r>
        <w:t xml:space="preserve"> </w:t>
      </w:r>
      <w:r w:rsidRPr="002653C0">
        <w:rPr>
          <w:color w:val="000000"/>
        </w:rPr>
        <w:t>National Credit Act</w:t>
      </w:r>
      <w:r>
        <w:rPr>
          <w:color w:val="000000"/>
        </w:rPr>
        <w:t>, Act</w:t>
      </w:r>
      <w:r w:rsidRPr="002653C0">
        <w:rPr>
          <w:color w:val="000000"/>
        </w:rPr>
        <w:t xml:space="preserve"> 34 of 2005</w:t>
      </w:r>
      <w:r>
        <w:rPr>
          <w:color w:val="000000"/>
        </w:rPr>
        <w:t>.</w:t>
      </w:r>
    </w:p>
  </w:footnote>
  <w:footnote w:id="4">
    <w:p w14:paraId="78E52CEF" w14:textId="4C09608D" w:rsidR="0003210B" w:rsidRPr="0003210B" w:rsidRDefault="0003210B">
      <w:pPr>
        <w:pStyle w:val="FootnoteText"/>
        <w:rPr>
          <w:lang w:val="en-ZA"/>
        </w:rPr>
      </w:pPr>
      <w:r>
        <w:rPr>
          <w:rStyle w:val="FootnoteReference"/>
        </w:rPr>
        <w:footnoteRef/>
      </w:r>
      <w:r>
        <w:t xml:space="preserve"> </w:t>
      </w:r>
      <w:r w:rsidRPr="0003210B">
        <w:rPr>
          <w:i/>
          <w:iCs/>
          <w:color w:val="000000"/>
        </w:rPr>
        <w:t>Boschpoort Ondernemings (Pty) Ltd v Absa Bank Ltd</w:t>
      </w:r>
      <w:r w:rsidRPr="0003210B">
        <w:rPr>
          <w:color w:val="000000"/>
        </w:rPr>
        <w:t xml:space="preserve"> 2014 (2) SA 518 (SCA) at para 17</w:t>
      </w:r>
      <w:r>
        <w:rPr>
          <w:color w:val="000000"/>
        </w:rPr>
        <w:t>.</w:t>
      </w:r>
    </w:p>
  </w:footnote>
  <w:footnote w:id="5">
    <w:p w14:paraId="22F08082" w14:textId="48080158" w:rsidR="00630816" w:rsidRPr="00630816" w:rsidRDefault="00630816">
      <w:pPr>
        <w:pStyle w:val="FootnoteText"/>
        <w:rPr>
          <w:lang w:val="en-ZA"/>
        </w:rPr>
      </w:pPr>
      <w:r>
        <w:rPr>
          <w:rStyle w:val="FootnoteReference"/>
        </w:rPr>
        <w:footnoteRef/>
      </w:r>
      <w:r>
        <w:t xml:space="preserve"> </w:t>
      </w:r>
      <w:r w:rsidRPr="00630816">
        <w:rPr>
          <w:i/>
          <w:iCs/>
          <w:color w:val="000000"/>
        </w:rPr>
        <w:t>Afgri Operations Ltd v Hamba Fleet Management (Pty) Ltd</w:t>
      </w:r>
      <w:r w:rsidRPr="00630816">
        <w:rPr>
          <w:color w:val="000000"/>
        </w:rPr>
        <w:t xml:space="preserve"> 2022 (1) SA 19 (SCA) at para 12</w:t>
      </w:r>
      <w:r>
        <w:rPr>
          <w:color w:val="000000"/>
        </w:rPr>
        <w:t>.</w:t>
      </w:r>
    </w:p>
  </w:footnote>
  <w:footnote w:id="6">
    <w:p w14:paraId="04AF0C5A" w14:textId="77777777" w:rsidR="003664C5" w:rsidRDefault="003664C5">
      <w:pPr>
        <w:pStyle w:val="FootnoteText"/>
      </w:pPr>
      <w:r>
        <w:rPr>
          <w:rStyle w:val="FootnoteReference"/>
        </w:rPr>
        <w:footnoteRef/>
      </w:r>
      <w:r>
        <w:t xml:space="preserve"> </w:t>
      </w:r>
      <w:r w:rsidRPr="007D27AD">
        <w:rPr>
          <w:rFonts w:cs="Arial"/>
          <w:i/>
        </w:rPr>
        <w:t>Myers v Abramson</w:t>
      </w:r>
      <w:r w:rsidRPr="007D27AD">
        <w:rPr>
          <w:rFonts w:cs="Arial"/>
        </w:rPr>
        <w:t>, 1951(3) SA 438 (C) at 455</w:t>
      </w:r>
      <w:r>
        <w:rPr>
          <w:rFonts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682F"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8BD3F" w14:textId="77777777" w:rsidR="00236346" w:rsidRDefault="002363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14:paraId="7ED93EC3" w14:textId="2064B37E" w:rsidR="00236346" w:rsidRPr="00B45F72" w:rsidRDefault="00236346" w:rsidP="00766386">
        <w:pPr>
          <w:pStyle w:val="Header"/>
          <w:jc w:val="right"/>
        </w:pPr>
        <w:r>
          <w:fldChar w:fldCharType="begin"/>
        </w:r>
        <w:r>
          <w:instrText xml:space="preserve"> PAGE   \* MERGEFORMAT </w:instrText>
        </w:r>
        <w:r>
          <w:fldChar w:fldCharType="separate"/>
        </w:r>
        <w:r w:rsidR="000D4A94">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0653" w14:textId="77777777" w:rsidR="00236346" w:rsidRDefault="00236346">
    <w:pPr>
      <w:pStyle w:val="Header"/>
      <w:jc w:val="right"/>
    </w:pPr>
  </w:p>
  <w:p w14:paraId="12869B10" w14:textId="77777777" w:rsidR="00236346" w:rsidRDefault="002363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995"/>
    <w:multiLevelType w:val="hybridMultilevel"/>
    <w:tmpl w:val="945E8924"/>
    <w:lvl w:ilvl="0" w:tplc="AB4401B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7356294"/>
    <w:multiLevelType w:val="hybridMultilevel"/>
    <w:tmpl w:val="153E2AE6"/>
    <w:lvl w:ilvl="0" w:tplc="6B5891B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6C2C20"/>
    <w:multiLevelType w:val="hybridMultilevel"/>
    <w:tmpl w:val="EA101B4C"/>
    <w:lvl w:ilvl="0" w:tplc="F81CF0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464835"/>
    <w:multiLevelType w:val="hybridMultilevel"/>
    <w:tmpl w:val="B8B21BEC"/>
    <w:lvl w:ilvl="0" w:tplc="A1FA804E">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1A7A46"/>
    <w:multiLevelType w:val="hybridMultilevel"/>
    <w:tmpl w:val="592EA3EA"/>
    <w:lvl w:ilvl="0" w:tplc="FACE67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40774A8C"/>
    <w:multiLevelType w:val="hybridMultilevel"/>
    <w:tmpl w:val="5C42BC3C"/>
    <w:lvl w:ilvl="0" w:tplc="14602AF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B3610E9"/>
    <w:multiLevelType w:val="hybridMultilevel"/>
    <w:tmpl w:val="E08A9CF6"/>
    <w:lvl w:ilvl="0" w:tplc="CC6282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2164F59"/>
    <w:multiLevelType w:val="hybridMultilevel"/>
    <w:tmpl w:val="9790F762"/>
    <w:lvl w:ilvl="0" w:tplc="86669B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FE33ED"/>
    <w:multiLevelType w:val="hybridMultilevel"/>
    <w:tmpl w:val="4822B4D6"/>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1A1E94"/>
    <w:multiLevelType w:val="hybridMultilevel"/>
    <w:tmpl w:val="0650999A"/>
    <w:lvl w:ilvl="0" w:tplc="EAE88DF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3F77DF"/>
    <w:multiLevelType w:val="hybridMultilevel"/>
    <w:tmpl w:val="F2B23F02"/>
    <w:lvl w:ilvl="0" w:tplc="E5AEC7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5772A3"/>
    <w:multiLevelType w:val="hybridMultilevel"/>
    <w:tmpl w:val="2D52FA24"/>
    <w:lvl w:ilvl="0" w:tplc="26086C36">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4E5F5B"/>
    <w:multiLevelType w:val="hybridMultilevel"/>
    <w:tmpl w:val="C5469180"/>
    <w:lvl w:ilvl="0" w:tplc="6D96A2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8C33441"/>
    <w:multiLevelType w:val="hybridMultilevel"/>
    <w:tmpl w:val="506CD04C"/>
    <w:lvl w:ilvl="0" w:tplc="30D244E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96F61C5"/>
    <w:multiLevelType w:val="hybridMultilevel"/>
    <w:tmpl w:val="2CFE500C"/>
    <w:lvl w:ilvl="0" w:tplc="F79A88A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6"/>
  </w:num>
  <w:num w:numId="3">
    <w:abstractNumId w:val="2"/>
    <w:lvlOverride w:ilvl="0">
      <w:startOverride w:val="1"/>
    </w:lvlOverride>
  </w:num>
  <w:num w:numId="4">
    <w:abstractNumId w:val="1"/>
  </w:num>
  <w:num w:numId="5">
    <w:abstractNumId w:val="10"/>
  </w:num>
  <w:num w:numId="6">
    <w:abstractNumId w:val="9"/>
  </w:num>
  <w:num w:numId="7">
    <w:abstractNumId w:val="14"/>
  </w:num>
  <w:num w:numId="8">
    <w:abstractNumId w:val="5"/>
  </w:num>
  <w:num w:numId="9">
    <w:abstractNumId w:val="2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0"/>
  </w:num>
  <w:num w:numId="16">
    <w:abstractNumId w:val="11"/>
  </w:num>
  <w:num w:numId="17">
    <w:abstractNumId w:val="18"/>
  </w:num>
  <w:num w:numId="18">
    <w:abstractNumId w:val="21"/>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5"/>
  </w:num>
  <w:num w:numId="25">
    <w:abstractNumId w:val="17"/>
  </w:num>
  <w:num w:numId="26">
    <w:abstractNumId w:val="7"/>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zNzY3NzU2MDIEYiUdpeDU4uLM/DyQAsNaAM41IBMsAAAA"/>
  </w:docVars>
  <w:rsids>
    <w:rsidRoot w:val="00A84826"/>
    <w:rsid w:val="00001030"/>
    <w:rsid w:val="000023C5"/>
    <w:rsid w:val="000024F0"/>
    <w:rsid w:val="00002B00"/>
    <w:rsid w:val="000044DD"/>
    <w:rsid w:val="00005F11"/>
    <w:rsid w:val="00006C41"/>
    <w:rsid w:val="00010637"/>
    <w:rsid w:val="000201EB"/>
    <w:rsid w:val="00022460"/>
    <w:rsid w:val="00022583"/>
    <w:rsid w:val="00022C07"/>
    <w:rsid w:val="00022F88"/>
    <w:rsid w:val="00025EA8"/>
    <w:rsid w:val="00026237"/>
    <w:rsid w:val="0002792E"/>
    <w:rsid w:val="00027B5A"/>
    <w:rsid w:val="0003210B"/>
    <w:rsid w:val="0003241F"/>
    <w:rsid w:val="0003349A"/>
    <w:rsid w:val="00034856"/>
    <w:rsid w:val="000402A4"/>
    <w:rsid w:val="0004241B"/>
    <w:rsid w:val="00042885"/>
    <w:rsid w:val="000445C8"/>
    <w:rsid w:val="0004502C"/>
    <w:rsid w:val="000462E1"/>
    <w:rsid w:val="0004668A"/>
    <w:rsid w:val="00046699"/>
    <w:rsid w:val="00046717"/>
    <w:rsid w:val="0004728A"/>
    <w:rsid w:val="00053277"/>
    <w:rsid w:val="00053CA7"/>
    <w:rsid w:val="000542A1"/>
    <w:rsid w:val="000565DB"/>
    <w:rsid w:val="0005727B"/>
    <w:rsid w:val="000579EB"/>
    <w:rsid w:val="0006315B"/>
    <w:rsid w:val="000632FF"/>
    <w:rsid w:val="0006676B"/>
    <w:rsid w:val="00066884"/>
    <w:rsid w:val="00070D07"/>
    <w:rsid w:val="00071294"/>
    <w:rsid w:val="00071615"/>
    <w:rsid w:val="00081021"/>
    <w:rsid w:val="000814F0"/>
    <w:rsid w:val="00081D5F"/>
    <w:rsid w:val="0008219B"/>
    <w:rsid w:val="00083432"/>
    <w:rsid w:val="000844AE"/>
    <w:rsid w:val="00086BE3"/>
    <w:rsid w:val="00090F50"/>
    <w:rsid w:val="00095F0E"/>
    <w:rsid w:val="00096904"/>
    <w:rsid w:val="000A12C2"/>
    <w:rsid w:val="000A12C9"/>
    <w:rsid w:val="000A1606"/>
    <w:rsid w:val="000A3741"/>
    <w:rsid w:val="000A779C"/>
    <w:rsid w:val="000A78AB"/>
    <w:rsid w:val="000A79F5"/>
    <w:rsid w:val="000B4910"/>
    <w:rsid w:val="000B53AD"/>
    <w:rsid w:val="000B64EF"/>
    <w:rsid w:val="000C017F"/>
    <w:rsid w:val="000C2C18"/>
    <w:rsid w:val="000C3AF7"/>
    <w:rsid w:val="000C3B5F"/>
    <w:rsid w:val="000C3F2A"/>
    <w:rsid w:val="000C4A10"/>
    <w:rsid w:val="000C564F"/>
    <w:rsid w:val="000C60E4"/>
    <w:rsid w:val="000C6C30"/>
    <w:rsid w:val="000C7321"/>
    <w:rsid w:val="000D0AF6"/>
    <w:rsid w:val="000D3D74"/>
    <w:rsid w:val="000D4A94"/>
    <w:rsid w:val="000D5E2F"/>
    <w:rsid w:val="000D6D36"/>
    <w:rsid w:val="000D7B24"/>
    <w:rsid w:val="000E01DD"/>
    <w:rsid w:val="000E091F"/>
    <w:rsid w:val="000E1836"/>
    <w:rsid w:val="000E1955"/>
    <w:rsid w:val="000E1E64"/>
    <w:rsid w:val="000E1EAC"/>
    <w:rsid w:val="000E3A95"/>
    <w:rsid w:val="000E3AAB"/>
    <w:rsid w:val="000E3C9C"/>
    <w:rsid w:val="000F0DCE"/>
    <w:rsid w:val="000F1289"/>
    <w:rsid w:val="000F3B88"/>
    <w:rsid w:val="000F441B"/>
    <w:rsid w:val="001019A5"/>
    <w:rsid w:val="00102484"/>
    <w:rsid w:val="00102771"/>
    <w:rsid w:val="00102D9D"/>
    <w:rsid w:val="0010314E"/>
    <w:rsid w:val="00105056"/>
    <w:rsid w:val="00106C97"/>
    <w:rsid w:val="00107E81"/>
    <w:rsid w:val="001103E8"/>
    <w:rsid w:val="00110BD4"/>
    <w:rsid w:val="0011424F"/>
    <w:rsid w:val="00114D0F"/>
    <w:rsid w:val="0011574C"/>
    <w:rsid w:val="00115783"/>
    <w:rsid w:val="001162C4"/>
    <w:rsid w:val="00116675"/>
    <w:rsid w:val="00116EF2"/>
    <w:rsid w:val="00117E41"/>
    <w:rsid w:val="00117EE6"/>
    <w:rsid w:val="00120DE5"/>
    <w:rsid w:val="001218BA"/>
    <w:rsid w:val="001230FB"/>
    <w:rsid w:val="00123FBA"/>
    <w:rsid w:val="00124B7A"/>
    <w:rsid w:val="00124F00"/>
    <w:rsid w:val="00125C7B"/>
    <w:rsid w:val="00126288"/>
    <w:rsid w:val="001263C7"/>
    <w:rsid w:val="00130E55"/>
    <w:rsid w:val="0013390C"/>
    <w:rsid w:val="00133998"/>
    <w:rsid w:val="001348F0"/>
    <w:rsid w:val="00140558"/>
    <w:rsid w:val="0014119D"/>
    <w:rsid w:val="0014239A"/>
    <w:rsid w:val="00144A31"/>
    <w:rsid w:val="00147F04"/>
    <w:rsid w:val="00155F1F"/>
    <w:rsid w:val="00157F64"/>
    <w:rsid w:val="00160E8B"/>
    <w:rsid w:val="00163BA9"/>
    <w:rsid w:val="00163C01"/>
    <w:rsid w:val="0016529B"/>
    <w:rsid w:val="001654DE"/>
    <w:rsid w:val="00171416"/>
    <w:rsid w:val="001715FC"/>
    <w:rsid w:val="001730A8"/>
    <w:rsid w:val="001732C4"/>
    <w:rsid w:val="00175079"/>
    <w:rsid w:val="001751E0"/>
    <w:rsid w:val="00176117"/>
    <w:rsid w:val="00177C74"/>
    <w:rsid w:val="0018024F"/>
    <w:rsid w:val="00183726"/>
    <w:rsid w:val="00185055"/>
    <w:rsid w:val="00185197"/>
    <w:rsid w:val="00185298"/>
    <w:rsid w:val="00187DC3"/>
    <w:rsid w:val="00191CBC"/>
    <w:rsid w:val="00193988"/>
    <w:rsid w:val="0019694E"/>
    <w:rsid w:val="00196C48"/>
    <w:rsid w:val="00197892"/>
    <w:rsid w:val="001A505F"/>
    <w:rsid w:val="001A6747"/>
    <w:rsid w:val="001A7168"/>
    <w:rsid w:val="001A719F"/>
    <w:rsid w:val="001B04D1"/>
    <w:rsid w:val="001B182A"/>
    <w:rsid w:val="001B49F3"/>
    <w:rsid w:val="001C016E"/>
    <w:rsid w:val="001C0A0D"/>
    <w:rsid w:val="001C1E85"/>
    <w:rsid w:val="001C2344"/>
    <w:rsid w:val="001C2642"/>
    <w:rsid w:val="001C2BAA"/>
    <w:rsid w:val="001D06C5"/>
    <w:rsid w:val="001D18A7"/>
    <w:rsid w:val="001D4CB9"/>
    <w:rsid w:val="001D5D9C"/>
    <w:rsid w:val="001D5F2F"/>
    <w:rsid w:val="001D6ACD"/>
    <w:rsid w:val="001E2508"/>
    <w:rsid w:val="001E54EE"/>
    <w:rsid w:val="001E66C9"/>
    <w:rsid w:val="001E6B14"/>
    <w:rsid w:val="001E7E2A"/>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12D"/>
    <w:rsid w:val="0020582F"/>
    <w:rsid w:val="00206218"/>
    <w:rsid w:val="0020664E"/>
    <w:rsid w:val="00210E02"/>
    <w:rsid w:val="00210E35"/>
    <w:rsid w:val="00211E4E"/>
    <w:rsid w:val="0021225B"/>
    <w:rsid w:val="00213B9F"/>
    <w:rsid w:val="002149EC"/>
    <w:rsid w:val="00214A6C"/>
    <w:rsid w:val="00214E3A"/>
    <w:rsid w:val="00214FF0"/>
    <w:rsid w:val="0021531D"/>
    <w:rsid w:val="002161AB"/>
    <w:rsid w:val="00216E95"/>
    <w:rsid w:val="002178A0"/>
    <w:rsid w:val="00217CF7"/>
    <w:rsid w:val="00217F08"/>
    <w:rsid w:val="00220F12"/>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367E1"/>
    <w:rsid w:val="00241069"/>
    <w:rsid w:val="002423CB"/>
    <w:rsid w:val="002425E6"/>
    <w:rsid w:val="00247370"/>
    <w:rsid w:val="00247A06"/>
    <w:rsid w:val="00252145"/>
    <w:rsid w:val="00252153"/>
    <w:rsid w:val="00253951"/>
    <w:rsid w:val="00255FAD"/>
    <w:rsid w:val="00257D52"/>
    <w:rsid w:val="00257DCC"/>
    <w:rsid w:val="002601DD"/>
    <w:rsid w:val="00261222"/>
    <w:rsid w:val="00261C84"/>
    <w:rsid w:val="00262F54"/>
    <w:rsid w:val="00263337"/>
    <w:rsid w:val="002653C0"/>
    <w:rsid w:val="00267016"/>
    <w:rsid w:val="00270461"/>
    <w:rsid w:val="0027069E"/>
    <w:rsid w:val="002707D9"/>
    <w:rsid w:val="00271071"/>
    <w:rsid w:val="00272260"/>
    <w:rsid w:val="00273196"/>
    <w:rsid w:val="00273A58"/>
    <w:rsid w:val="00275F90"/>
    <w:rsid w:val="0028129B"/>
    <w:rsid w:val="00283E13"/>
    <w:rsid w:val="00284D9A"/>
    <w:rsid w:val="00285F6F"/>
    <w:rsid w:val="00286241"/>
    <w:rsid w:val="00286F5F"/>
    <w:rsid w:val="002910FD"/>
    <w:rsid w:val="002920DC"/>
    <w:rsid w:val="002924A9"/>
    <w:rsid w:val="002924E6"/>
    <w:rsid w:val="00293059"/>
    <w:rsid w:val="002935A3"/>
    <w:rsid w:val="0029407B"/>
    <w:rsid w:val="00296B4D"/>
    <w:rsid w:val="002A0339"/>
    <w:rsid w:val="002A183B"/>
    <w:rsid w:val="002A2443"/>
    <w:rsid w:val="002A24CE"/>
    <w:rsid w:val="002A4952"/>
    <w:rsid w:val="002A7B19"/>
    <w:rsid w:val="002B0F1B"/>
    <w:rsid w:val="002B1051"/>
    <w:rsid w:val="002B1ABA"/>
    <w:rsid w:val="002B3E3E"/>
    <w:rsid w:val="002B4B03"/>
    <w:rsid w:val="002B5A8F"/>
    <w:rsid w:val="002B6B65"/>
    <w:rsid w:val="002B6C0E"/>
    <w:rsid w:val="002C04E8"/>
    <w:rsid w:val="002C0FDD"/>
    <w:rsid w:val="002C15A4"/>
    <w:rsid w:val="002C2238"/>
    <w:rsid w:val="002C4309"/>
    <w:rsid w:val="002C4603"/>
    <w:rsid w:val="002C4AC3"/>
    <w:rsid w:val="002C4E65"/>
    <w:rsid w:val="002C6BC7"/>
    <w:rsid w:val="002C7929"/>
    <w:rsid w:val="002D3126"/>
    <w:rsid w:val="002D3996"/>
    <w:rsid w:val="002D5A72"/>
    <w:rsid w:val="002D693C"/>
    <w:rsid w:val="002D6E26"/>
    <w:rsid w:val="002E0905"/>
    <w:rsid w:val="002E0C7B"/>
    <w:rsid w:val="002E2102"/>
    <w:rsid w:val="002E26DB"/>
    <w:rsid w:val="002E3B35"/>
    <w:rsid w:val="002E47C9"/>
    <w:rsid w:val="002E49A9"/>
    <w:rsid w:val="002E5934"/>
    <w:rsid w:val="002E5CDA"/>
    <w:rsid w:val="002E654A"/>
    <w:rsid w:val="002E77E2"/>
    <w:rsid w:val="002F0534"/>
    <w:rsid w:val="002F15F5"/>
    <w:rsid w:val="002F3863"/>
    <w:rsid w:val="002F3A96"/>
    <w:rsid w:val="00300053"/>
    <w:rsid w:val="0030029A"/>
    <w:rsid w:val="003047A4"/>
    <w:rsid w:val="00305A05"/>
    <w:rsid w:val="00305A24"/>
    <w:rsid w:val="00310871"/>
    <w:rsid w:val="0031174A"/>
    <w:rsid w:val="00311A1A"/>
    <w:rsid w:val="003131F9"/>
    <w:rsid w:val="00313408"/>
    <w:rsid w:val="00314694"/>
    <w:rsid w:val="00314B8A"/>
    <w:rsid w:val="00314BF5"/>
    <w:rsid w:val="00314E0C"/>
    <w:rsid w:val="003156A9"/>
    <w:rsid w:val="00315F1D"/>
    <w:rsid w:val="003165C3"/>
    <w:rsid w:val="00316678"/>
    <w:rsid w:val="00317219"/>
    <w:rsid w:val="00317BE4"/>
    <w:rsid w:val="00320D52"/>
    <w:rsid w:val="00322EE5"/>
    <w:rsid w:val="00322F1E"/>
    <w:rsid w:val="00323F2A"/>
    <w:rsid w:val="00324E14"/>
    <w:rsid w:val="00330C8B"/>
    <w:rsid w:val="003321FE"/>
    <w:rsid w:val="00333850"/>
    <w:rsid w:val="003339AE"/>
    <w:rsid w:val="00334084"/>
    <w:rsid w:val="00340130"/>
    <w:rsid w:val="00340EBC"/>
    <w:rsid w:val="00341050"/>
    <w:rsid w:val="00342132"/>
    <w:rsid w:val="00342409"/>
    <w:rsid w:val="0034377D"/>
    <w:rsid w:val="00343A76"/>
    <w:rsid w:val="00345903"/>
    <w:rsid w:val="00347F8E"/>
    <w:rsid w:val="00352BA9"/>
    <w:rsid w:val="00353027"/>
    <w:rsid w:val="00353CE9"/>
    <w:rsid w:val="00353FA4"/>
    <w:rsid w:val="003564AA"/>
    <w:rsid w:val="00360565"/>
    <w:rsid w:val="003605E3"/>
    <w:rsid w:val="00363701"/>
    <w:rsid w:val="00364F91"/>
    <w:rsid w:val="0036594C"/>
    <w:rsid w:val="003664C5"/>
    <w:rsid w:val="00366643"/>
    <w:rsid w:val="0036670F"/>
    <w:rsid w:val="003704DC"/>
    <w:rsid w:val="0037249E"/>
    <w:rsid w:val="00374176"/>
    <w:rsid w:val="00374BEE"/>
    <w:rsid w:val="00375DD1"/>
    <w:rsid w:val="0037738F"/>
    <w:rsid w:val="00381B82"/>
    <w:rsid w:val="003829F1"/>
    <w:rsid w:val="00384277"/>
    <w:rsid w:val="00385FAB"/>
    <w:rsid w:val="003926BE"/>
    <w:rsid w:val="00392AC0"/>
    <w:rsid w:val="00392F03"/>
    <w:rsid w:val="00392FF5"/>
    <w:rsid w:val="00395AD7"/>
    <w:rsid w:val="00395E16"/>
    <w:rsid w:val="0039631A"/>
    <w:rsid w:val="00396786"/>
    <w:rsid w:val="003A1FE4"/>
    <w:rsid w:val="003A2810"/>
    <w:rsid w:val="003A460B"/>
    <w:rsid w:val="003A4D14"/>
    <w:rsid w:val="003A5867"/>
    <w:rsid w:val="003A65DE"/>
    <w:rsid w:val="003A7624"/>
    <w:rsid w:val="003B12D2"/>
    <w:rsid w:val="003B3030"/>
    <w:rsid w:val="003B58E9"/>
    <w:rsid w:val="003B649A"/>
    <w:rsid w:val="003C30DF"/>
    <w:rsid w:val="003C5E65"/>
    <w:rsid w:val="003C6237"/>
    <w:rsid w:val="003C6C62"/>
    <w:rsid w:val="003C6EE5"/>
    <w:rsid w:val="003C7670"/>
    <w:rsid w:val="003D1620"/>
    <w:rsid w:val="003D1632"/>
    <w:rsid w:val="003D2866"/>
    <w:rsid w:val="003D67EE"/>
    <w:rsid w:val="003E1497"/>
    <w:rsid w:val="003E23C2"/>
    <w:rsid w:val="003E33C4"/>
    <w:rsid w:val="003E4FBD"/>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3B01"/>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0C53"/>
    <w:rsid w:val="00430C77"/>
    <w:rsid w:val="0043118E"/>
    <w:rsid w:val="00431BFE"/>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46F"/>
    <w:rsid w:val="00474852"/>
    <w:rsid w:val="00475066"/>
    <w:rsid w:val="004754F7"/>
    <w:rsid w:val="004768DD"/>
    <w:rsid w:val="00476EF9"/>
    <w:rsid w:val="00477000"/>
    <w:rsid w:val="0047728D"/>
    <w:rsid w:val="00483010"/>
    <w:rsid w:val="004836A8"/>
    <w:rsid w:val="0048712D"/>
    <w:rsid w:val="00487478"/>
    <w:rsid w:val="0048792B"/>
    <w:rsid w:val="00487D66"/>
    <w:rsid w:val="00490E8F"/>
    <w:rsid w:val="004929FF"/>
    <w:rsid w:val="0049300C"/>
    <w:rsid w:val="004938E2"/>
    <w:rsid w:val="00494D5B"/>
    <w:rsid w:val="00495DFD"/>
    <w:rsid w:val="004972B5"/>
    <w:rsid w:val="004A0022"/>
    <w:rsid w:val="004A4B41"/>
    <w:rsid w:val="004A6401"/>
    <w:rsid w:val="004A64E2"/>
    <w:rsid w:val="004A69D3"/>
    <w:rsid w:val="004B17F2"/>
    <w:rsid w:val="004B20DB"/>
    <w:rsid w:val="004B4386"/>
    <w:rsid w:val="004B6987"/>
    <w:rsid w:val="004B6BF6"/>
    <w:rsid w:val="004B7E32"/>
    <w:rsid w:val="004C0C23"/>
    <w:rsid w:val="004C456F"/>
    <w:rsid w:val="004C487B"/>
    <w:rsid w:val="004C672F"/>
    <w:rsid w:val="004D124F"/>
    <w:rsid w:val="004D2006"/>
    <w:rsid w:val="004D2106"/>
    <w:rsid w:val="004D4CB5"/>
    <w:rsid w:val="004D5D47"/>
    <w:rsid w:val="004D5F5C"/>
    <w:rsid w:val="004D77DB"/>
    <w:rsid w:val="004D7D69"/>
    <w:rsid w:val="004E00FA"/>
    <w:rsid w:val="004E4CEF"/>
    <w:rsid w:val="004E4F3C"/>
    <w:rsid w:val="004E5DF9"/>
    <w:rsid w:val="004E644B"/>
    <w:rsid w:val="004E6692"/>
    <w:rsid w:val="004F017E"/>
    <w:rsid w:val="004F06FE"/>
    <w:rsid w:val="004F07C4"/>
    <w:rsid w:val="004F1C61"/>
    <w:rsid w:val="004F2B4D"/>
    <w:rsid w:val="004F33A2"/>
    <w:rsid w:val="004F7771"/>
    <w:rsid w:val="00501147"/>
    <w:rsid w:val="00501815"/>
    <w:rsid w:val="005038DD"/>
    <w:rsid w:val="00503A07"/>
    <w:rsid w:val="00503CE9"/>
    <w:rsid w:val="005045B5"/>
    <w:rsid w:val="00504AFC"/>
    <w:rsid w:val="005051E9"/>
    <w:rsid w:val="00505572"/>
    <w:rsid w:val="005118A6"/>
    <w:rsid w:val="00511A0B"/>
    <w:rsid w:val="00511BBC"/>
    <w:rsid w:val="00512916"/>
    <w:rsid w:val="00513653"/>
    <w:rsid w:val="00513719"/>
    <w:rsid w:val="00514B23"/>
    <w:rsid w:val="00517B08"/>
    <w:rsid w:val="0052022D"/>
    <w:rsid w:val="00520591"/>
    <w:rsid w:val="00521094"/>
    <w:rsid w:val="005220DE"/>
    <w:rsid w:val="005237CA"/>
    <w:rsid w:val="00523855"/>
    <w:rsid w:val="00523F39"/>
    <w:rsid w:val="00525DA6"/>
    <w:rsid w:val="005261D9"/>
    <w:rsid w:val="005264E8"/>
    <w:rsid w:val="005330A7"/>
    <w:rsid w:val="00533C08"/>
    <w:rsid w:val="0053743B"/>
    <w:rsid w:val="00540D08"/>
    <w:rsid w:val="00540D76"/>
    <w:rsid w:val="00540EF4"/>
    <w:rsid w:val="00542274"/>
    <w:rsid w:val="005425A5"/>
    <w:rsid w:val="00542869"/>
    <w:rsid w:val="00544DAD"/>
    <w:rsid w:val="00545D61"/>
    <w:rsid w:val="005464BD"/>
    <w:rsid w:val="00546620"/>
    <w:rsid w:val="0055313D"/>
    <w:rsid w:val="0055482B"/>
    <w:rsid w:val="005557AD"/>
    <w:rsid w:val="00555901"/>
    <w:rsid w:val="005567CB"/>
    <w:rsid w:val="00557477"/>
    <w:rsid w:val="00561B3A"/>
    <w:rsid w:val="005642BB"/>
    <w:rsid w:val="00564AF0"/>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55EA"/>
    <w:rsid w:val="00586028"/>
    <w:rsid w:val="00587EBB"/>
    <w:rsid w:val="005914A4"/>
    <w:rsid w:val="00591596"/>
    <w:rsid w:val="00591A4E"/>
    <w:rsid w:val="00592459"/>
    <w:rsid w:val="00593B64"/>
    <w:rsid w:val="005958D4"/>
    <w:rsid w:val="00597786"/>
    <w:rsid w:val="00597D8B"/>
    <w:rsid w:val="005A095D"/>
    <w:rsid w:val="005A0C73"/>
    <w:rsid w:val="005A216A"/>
    <w:rsid w:val="005A22DF"/>
    <w:rsid w:val="005A43A6"/>
    <w:rsid w:val="005A4524"/>
    <w:rsid w:val="005A59A3"/>
    <w:rsid w:val="005B0A20"/>
    <w:rsid w:val="005B17FC"/>
    <w:rsid w:val="005B618E"/>
    <w:rsid w:val="005B7DA7"/>
    <w:rsid w:val="005C0303"/>
    <w:rsid w:val="005C1410"/>
    <w:rsid w:val="005C3882"/>
    <w:rsid w:val="005C4F81"/>
    <w:rsid w:val="005C5220"/>
    <w:rsid w:val="005C5505"/>
    <w:rsid w:val="005C6FB7"/>
    <w:rsid w:val="005C763B"/>
    <w:rsid w:val="005C7C82"/>
    <w:rsid w:val="005D08DC"/>
    <w:rsid w:val="005D0C11"/>
    <w:rsid w:val="005D411C"/>
    <w:rsid w:val="005D7057"/>
    <w:rsid w:val="005E0584"/>
    <w:rsid w:val="005E0981"/>
    <w:rsid w:val="005E1975"/>
    <w:rsid w:val="005E2831"/>
    <w:rsid w:val="005E3FD6"/>
    <w:rsid w:val="005E6CE5"/>
    <w:rsid w:val="005F0553"/>
    <w:rsid w:val="005F2312"/>
    <w:rsid w:val="005F49F5"/>
    <w:rsid w:val="005F68FD"/>
    <w:rsid w:val="005F72E9"/>
    <w:rsid w:val="005F7DC2"/>
    <w:rsid w:val="006000C7"/>
    <w:rsid w:val="00600E49"/>
    <w:rsid w:val="00600F23"/>
    <w:rsid w:val="0061534E"/>
    <w:rsid w:val="00615CD9"/>
    <w:rsid w:val="0062393B"/>
    <w:rsid w:val="00623FF2"/>
    <w:rsid w:val="00625747"/>
    <w:rsid w:val="00626303"/>
    <w:rsid w:val="0062690C"/>
    <w:rsid w:val="00626D4D"/>
    <w:rsid w:val="006272EE"/>
    <w:rsid w:val="00627C4C"/>
    <w:rsid w:val="006302A9"/>
    <w:rsid w:val="00630816"/>
    <w:rsid w:val="00630DF9"/>
    <w:rsid w:val="006311BA"/>
    <w:rsid w:val="006313C9"/>
    <w:rsid w:val="00632181"/>
    <w:rsid w:val="00632E6C"/>
    <w:rsid w:val="00635BD5"/>
    <w:rsid w:val="00636A69"/>
    <w:rsid w:val="00640CF7"/>
    <w:rsid w:val="006413C3"/>
    <w:rsid w:val="00642074"/>
    <w:rsid w:val="00642CBF"/>
    <w:rsid w:val="00644813"/>
    <w:rsid w:val="00645334"/>
    <w:rsid w:val="00646160"/>
    <w:rsid w:val="00650507"/>
    <w:rsid w:val="00650743"/>
    <w:rsid w:val="00652E4B"/>
    <w:rsid w:val="00653587"/>
    <w:rsid w:val="0065360E"/>
    <w:rsid w:val="006544BC"/>
    <w:rsid w:val="00654B6D"/>
    <w:rsid w:val="00657245"/>
    <w:rsid w:val="00660729"/>
    <w:rsid w:val="0066114F"/>
    <w:rsid w:val="006625F0"/>
    <w:rsid w:val="006631E9"/>
    <w:rsid w:val="00665443"/>
    <w:rsid w:val="00665BBD"/>
    <w:rsid w:val="00665BE8"/>
    <w:rsid w:val="006677B0"/>
    <w:rsid w:val="00670AF7"/>
    <w:rsid w:val="00670BE0"/>
    <w:rsid w:val="00671456"/>
    <w:rsid w:val="00676D30"/>
    <w:rsid w:val="006815B3"/>
    <w:rsid w:val="00683015"/>
    <w:rsid w:val="0068348C"/>
    <w:rsid w:val="006835C8"/>
    <w:rsid w:val="00684F9C"/>
    <w:rsid w:val="00690ED4"/>
    <w:rsid w:val="00690F32"/>
    <w:rsid w:val="00696C18"/>
    <w:rsid w:val="00696E2A"/>
    <w:rsid w:val="006A0AA9"/>
    <w:rsid w:val="006A0B57"/>
    <w:rsid w:val="006A0FCA"/>
    <w:rsid w:val="006A1562"/>
    <w:rsid w:val="006A7A6C"/>
    <w:rsid w:val="006B1945"/>
    <w:rsid w:val="006B1F60"/>
    <w:rsid w:val="006B34E1"/>
    <w:rsid w:val="006B3518"/>
    <w:rsid w:val="006B45E7"/>
    <w:rsid w:val="006B5760"/>
    <w:rsid w:val="006B5C4C"/>
    <w:rsid w:val="006B6764"/>
    <w:rsid w:val="006B6D3A"/>
    <w:rsid w:val="006B7CDD"/>
    <w:rsid w:val="006C06CB"/>
    <w:rsid w:val="006C10F7"/>
    <w:rsid w:val="006C1255"/>
    <w:rsid w:val="006C75AB"/>
    <w:rsid w:val="006C7A8B"/>
    <w:rsid w:val="006D0461"/>
    <w:rsid w:val="006D063A"/>
    <w:rsid w:val="006D0990"/>
    <w:rsid w:val="006D43C4"/>
    <w:rsid w:val="006D4572"/>
    <w:rsid w:val="006D4C72"/>
    <w:rsid w:val="006D67A1"/>
    <w:rsid w:val="006D722B"/>
    <w:rsid w:val="006D7938"/>
    <w:rsid w:val="006E0E17"/>
    <w:rsid w:val="006E2A5F"/>
    <w:rsid w:val="006E2C4F"/>
    <w:rsid w:val="006E5E65"/>
    <w:rsid w:val="006E7150"/>
    <w:rsid w:val="006E79D5"/>
    <w:rsid w:val="006F16B8"/>
    <w:rsid w:val="006F3208"/>
    <w:rsid w:val="006F3DB5"/>
    <w:rsid w:val="006F4955"/>
    <w:rsid w:val="006F5DC2"/>
    <w:rsid w:val="006F6AF8"/>
    <w:rsid w:val="00700254"/>
    <w:rsid w:val="0070328E"/>
    <w:rsid w:val="007040D7"/>
    <w:rsid w:val="00705082"/>
    <w:rsid w:val="00705418"/>
    <w:rsid w:val="00705E2F"/>
    <w:rsid w:val="00706D4B"/>
    <w:rsid w:val="00707AC9"/>
    <w:rsid w:val="00710722"/>
    <w:rsid w:val="00712BFD"/>
    <w:rsid w:val="00713F36"/>
    <w:rsid w:val="007154DA"/>
    <w:rsid w:val="00720193"/>
    <w:rsid w:val="007204C5"/>
    <w:rsid w:val="00720DCC"/>
    <w:rsid w:val="007221E2"/>
    <w:rsid w:val="00722981"/>
    <w:rsid w:val="00726A81"/>
    <w:rsid w:val="00726C25"/>
    <w:rsid w:val="00727B75"/>
    <w:rsid w:val="00727C4C"/>
    <w:rsid w:val="007315AA"/>
    <w:rsid w:val="007320C6"/>
    <w:rsid w:val="00732BA3"/>
    <w:rsid w:val="00733068"/>
    <w:rsid w:val="007338D1"/>
    <w:rsid w:val="00733E81"/>
    <w:rsid w:val="00734A99"/>
    <w:rsid w:val="00735607"/>
    <w:rsid w:val="00736099"/>
    <w:rsid w:val="007458A7"/>
    <w:rsid w:val="00745C2A"/>
    <w:rsid w:val="007476CA"/>
    <w:rsid w:val="00755318"/>
    <w:rsid w:val="007569B6"/>
    <w:rsid w:val="007571C2"/>
    <w:rsid w:val="00757CF5"/>
    <w:rsid w:val="007610BA"/>
    <w:rsid w:val="00761D9E"/>
    <w:rsid w:val="00761FA7"/>
    <w:rsid w:val="00763355"/>
    <w:rsid w:val="00763D7C"/>
    <w:rsid w:val="007643D8"/>
    <w:rsid w:val="0076525B"/>
    <w:rsid w:val="00766386"/>
    <w:rsid w:val="00766BC0"/>
    <w:rsid w:val="00766C91"/>
    <w:rsid w:val="00766CF8"/>
    <w:rsid w:val="00772430"/>
    <w:rsid w:val="0077250A"/>
    <w:rsid w:val="0077388E"/>
    <w:rsid w:val="00773AAE"/>
    <w:rsid w:val="007745D6"/>
    <w:rsid w:val="00775758"/>
    <w:rsid w:val="00775826"/>
    <w:rsid w:val="007776FF"/>
    <w:rsid w:val="0077775C"/>
    <w:rsid w:val="00777DEB"/>
    <w:rsid w:val="00781994"/>
    <w:rsid w:val="00783C9A"/>
    <w:rsid w:val="00783E42"/>
    <w:rsid w:val="00786409"/>
    <w:rsid w:val="00787121"/>
    <w:rsid w:val="00787A4F"/>
    <w:rsid w:val="0079381A"/>
    <w:rsid w:val="00794889"/>
    <w:rsid w:val="007954F2"/>
    <w:rsid w:val="0079585B"/>
    <w:rsid w:val="00795974"/>
    <w:rsid w:val="00797161"/>
    <w:rsid w:val="007A0869"/>
    <w:rsid w:val="007A138E"/>
    <w:rsid w:val="007A1C5A"/>
    <w:rsid w:val="007A287B"/>
    <w:rsid w:val="007A3C61"/>
    <w:rsid w:val="007A5E12"/>
    <w:rsid w:val="007A7170"/>
    <w:rsid w:val="007A7B40"/>
    <w:rsid w:val="007B21BD"/>
    <w:rsid w:val="007B272D"/>
    <w:rsid w:val="007B3A9E"/>
    <w:rsid w:val="007B422D"/>
    <w:rsid w:val="007B5A0B"/>
    <w:rsid w:val="007B74EE"/>
    <w:rsid w:val="007B7919"/>
    <w:rsid w:val="007B7B91"/>
    <w:rsid w:val="007B7C1C"/>
    <w:rsid w:val="007C08D6"/>
    <w:rsid w:val="007C17FB"/>
    <w:rsid w:val="007C40FF"/>
    <w:rsid w:val="007C5738"/>
    <w:rsid w:val="007C7EA3"/>
    <w:rsid w:val="007D12AF"/>
    <w:rsid w:val="007D165A"/>
    <w:rsid w:val="007D1A12"/>
    <w:rsid w:val="007D247F"/>
    <w:rsid w:val="007D27AD"/>
    <w:rsid w:val="007D2A9D"/>
    <w:rsid w:val="007D2EAF"/>
    <w:rsid w:val="007D3873"/>
    <w:rsid w:val="007D3E94"/>
    <w:rsid w:val="007D4738"/>
    <w:rsid w:val="007D4F0C"/>
    <w:rsid w:val="007D600C"/>
    <w:rsid w:val="007D677C"/>
    <w:rsid w:val="007D7B75"/>
    <w:rsid w:val="007D7CB0"/>
    <w:rsid w:val="007E012D"/>
    <w:rsid w:val="007E2C1A"/>
    <w:rsid w:val="007E2C20"/>
    <w:rsid w:val="007E35AF"/>
    <w:rsid w:val="007E3F4C"/>
    <w:rsid w:val="007E418C"/>
    <w:rsid w:val="007E5976"/>
    <w:rsid w:val="007E66CE"/>
    <w:rsid w:val="007E6E8B"/>
    <w:rsid w:val="007E74C8"/>
    <w:rsid w:val="007E7C12"/>
    <w:rsid w:val="007E7DBC"/>
    <w:rsid w:val="007F049E"/>
    <w:rsid w:val="007F1C9A"/>
    <w:rsid w:val="007F2625"/>
    <w:rsid w:val="007F3DB4"/>
    <w:rsid w:val="007F4023"/>
    <w:rsid w:val="007F44E1"/>
    <w:rsid w:val="007F7AE1"/>
    <w:rsid w:val="007F7B3F"/>
    <w:rsid w:val="008002E0"/>
    <w:rsid w:val="008004D5"/>
    <w:rsid w:val="00800F99"/>
    <w:rsid w:val="0080126D"/>
    <w:rsid w:val="00802904"/>
    <w:rsid w:val="00804282"/>
    <w:rsid w:val="00804D29"/>
    <w:rsid w:val="00806FCA"/>
    <w:rsid w:val="008079AD"/>
    <w:rsid w:val="0081002B"/>
    <w:rsid w:val="0081170B"/>
    <w:rsid w:val="00812BA7"/>
    <w:rsid w:val="00813F01"/>
    <w:rsid w:val="008155F5"/>
    <w:rsid w:val="0081785F"/>
    <w:rsid w:val="0082139E"/>
    <w:rsid w:val="00821DF4"/>
    <w:rsid w:val="008233A8"/>
    <w:rsid w:val="008246AB"/>
    <w:rsid w:val="00824DEB"/>
    <w:rsid w:val="008274A6"/>
    <w:rsid w:val="008278B5"/>
    <w:rsid w:val="00831AB2"/>
    <w:rsid w:val="00834122"/>
    <w:rsid w:val="00834B98"/>
    <w:rsid w:val="00836245"/>
    <w:rsid w:val="00836B1F"/>
    <w:rsid w:val="00836C74"/>
    <w:rsid w:val="008378A3"/>
    <w:rsid w:val="00841BB6"/>
    <w:rsid w:val="0084371A"/>
    <w:rsid w:val="00844B9E"/>
    <w:rsid w:val="00845056"/>
    <w:rsid w:val="0084669D"/>
    <w:rsid w:val="00846F26"/>
    <w:rsid w:val="0084771B"/>
    <w:rsid w:val="0085095D"/>
    <w:rsid w:val="00851A68"/>
    <w:rsid w:val="008526BD"/>
    <w:rsid w:val="00854763"/>
    <w:rsid w:val="0085560F"/>
    <w:rsid w:val="00856B35"/>
    <w:rsid w:val="008574FB"/>
    <w:rsid w:val="0086121B"/>
    <w:rsid w:val="00862397"/>
    <w:rsid w:val="008628C4"/>
    <w:rsid w:val="00864E4C"/>
    <w:rsid w:val="00865470"/>
    <w:rsid w:val="008671AA"/>
    <w:rsid w:val="00867EAC"/>
    <w:rsid w:val="00871569"/>
    <w:rsid w:val="00872693"/>
    <w:rsid w:val="00875F01"/>
    <w:rsid w:val="00875F92"/>
    <w:rsid w:val="00876890"/>
    <w:rsid w:val="00876B1D"/>
    <w:rsid w:val="00880E23"/>
    <w:rsid w:val="008827A5"/>
    <w:rsid w:val="00883096"/>
    <w:rsid w:val="0088405B"/>
    <w:rsid w:val="00886118"/>
    <w:rsid w:val="00890603"/>
    <w:rsid w:val="00890D68"/>
    <w:rsid w:val="008948FF"/>
    <w:rsid w:val="0089565B"/>
    <w:rsid w:val="008958F2"/>
    <w:rsid w:val="008A0776"/>
    <w:rsid w:val="008A0E0A"/>
    <w:rsid w:val="008A472E"/>
    <w:rsid w:val="008A4A98"/>
    <w:rsid w:val="008A509C"/>
    <w:rsid w:val="008A632B"/>
    <w:rsid w:val="008A69B2"/>
    <w:rsid w:val="008B1556"/>
    <w:rsid w:val="008B326B"/>
    <w:rsid w:val="008B3FFD"/>
    <w:rsid w:val="008B4AA8"/>
    <w:rsid w:val="008B5038"/>
    <w:rsid w:val="008B6E91"/>
    <w:rsid w:val="008C19EE"/>
    <w:rsid w:val="008C308C"/>
    <w:rsid w:val="008C535C"/>
    <w:rsid w:val="008C5A3A"/>
    <w:rsid w:val="008C7E0F"/>
    <w:rsid w:val="008D03DA"/>
    <w:rsid w:val="008D1209"/>
    <w:rsid w:val="008D2CA9"/>
    <w:rsid w:val="008D2DA8"/>
    <w:rsid w:val="008D2E6F"/>
    <w:rsid w:val="008E040E"/>
    <w:rsid w:val="008E09B8"/>
    <w:rsid w:val="008E2DAB"/>
    <w:rsid w:val="008E3A95"/>
    <w:rsid w:val="008E4025"/>
    <w:rsid w:val="008E4A54"/>
    <w:rsid w:val="008E4DD4"/>
    <w:rsid w:val="008E6058"/>
    <w:rsid w:val="008E6A17"/>
    <w:rsid w:val="008E731C"/>
    <w:rsid w:val="008F2574"/>
    <w:rsid w:val="008F37BE"/>
    <w:rsid w:val="008F419F"/>
    <w:rsid w:val="008F4562"/>
    <w:rsid w:val="008F6ADE"/>
    <w:rsid w:val="008F7163"/>
    <w:rsid w:val="0090139D"/>
    <w:rsid w:val="009020BE"/>
    <w:rsid w:val="0090343D"/>
    <w:rsid w:val="00903BE2"/>
    <w:rsid w:val="00904BA1"/>
    <w:rsid w:val="00904C2E"/>
    <w:rsid w:val="009059FD"/>
    <w:rsid w:val="00905D5D"/>
    <w:rsid w:val="00906022"/>
    <w:rsid w:val="00910CE2"/>
    <w:rsid w:val="0091102F"/>
    <w:rsid w:val="009115DE"/>
    <w:rsid w:val="00913EDB"/>
    <w:rsid w:val="00915507"/>
    <w:rsid w:val="009169B6"/>
    <w:rsid w:val="0091748B"/>
    <w:rsid w:val="00920109"/>
    <w:rsid w:val="00920875"/>
    <w:rsid w:val="00920C67"/>
    <w:rsid w:val="009234DE"/>
    <w:rsid w:val="0092394C"/>
    <w:rsid w:val="00923A53"/>
    <w:rsid w:val="00923A6B"/>
    <w:rsid w:val="009240A7"/>
    <w:rsid w:val="00927C0C"/>
    <w:rsid w:val="009304A4"/>
    <w:rsid w:val="009314F3"/>
    <w:rsid w:val="00931B02"/>
    <w:rsid w:val="0093484E"/>
    <w:rsid w:val="00934E22"/>
    <w:rsid w:val="00935089"/>
    <w:rsid w:val="00935966"/>
    <w:rsid w:val="00940584"/>
    <w:rsid w:val="0094113B"/>
    <w:rsid w:val="00944F8F"/>
    <w:rsid w:val="0094538C"/>
    <w:rsid w:val="00946F23"/>
    <w:rsid w:val="00946F8A"/>
    <w:rsid w:val="00952064"/>
    <w:rsid w:val="009537B9"/>
    <w:rsid w:val="00953A0B"/>
    <w:rsid w:val="00954CE3"/>
    <w:rsid w:val="009603BB"/>
    <w:rsid w:val="00960A29"/>
    <w:rsid w:val="00960DCF"/>
    <w:rsid w:val="009610C4"/>
    <w:rsid w:val="009621CF"/>
    <w:rsid w:val="009626F0"/>
    <w:rsid w:val="00962749"/>
    <w:rsid w:val="0096333F"/>
    <w:rsid w:val="00963AE3"/>
    <w:rsid w:val="00963D79"/>
    <w:rsid w:val="009657B4"/>
    <w:rsid w:val="00966386"/>
    <w:rsid w:val="00966B92"/>
    <w:rsid w:val="00967D07"/>
    <w:rsid w:val="009704CC"/>
    <w:rsid w:val="00971499"/>
    <w:rsid w:val="009716CC"/>
    <w:rsid w:val="00973A1E"/>
    <w:rsid w:val="00973C02"/>
    <w:rsid w:val="0097497A"/>
    <w:rsid w:val="009757AD"/>
    <w:rsid w:val="00980229"/>
    <w:rsid w:val="00981DAF"/>
    <w:rsid w:val="00984E7A"/>
    <w:rsid w:val="00985B0B"/>
    <w:rsid w:val="00991BE6"/>
    <w:rsid w:val="0099237C"/>
    <w:rsid w:val="00993153"/>
    <w:rsid w:val="0099352B"/>
    <w:rsid w:val="00995500"/>
    <w:rsid w:val="0099681B"/>
    <w:rsid w:val="009A143F"/>
    <w:rsid w:val="009A3E79"/>
    <w:rsid w:val="009A5024"/>
    <w:rsid w:val="009A7E98"/>
    <w:rsid w:val="009B1265"/>
    <w:rsid w:val="009B15BA"/>
    <w:rsid w:val="009B1FF9"/>
    <w:rsid w:val="009B2E80"/>
    <w:rsid w:val="009B38B7"/>
    <w:rsid w:val="009B43DE"/>
    <w:rsid w:val="009B4708"/>
    <w:rsid w:val="009B4BB4"/>
    <w:rsid w:val="009B56E5"/>
    <w:rsid w:val="009B6537"/>
    <w:rsid w:val="009C20CE"/>
    <w:rsid w:val="009C2505"/>
    <w:rsid w:val="009C5162"/>
    <w:rsid w:val="009C6EAA"/>
    <w:rsid w:val="009C6F66"/>
    <w:rsid w:val="009D15B1"/>
    <w:rsid w:val="009D1B99"/>
    <w:rsid w:val="009D4766"/>
    <w:rsid w:val="009D5356"/>
    <w:rsid w:val="009D57A8"/>
    <w:rsid w:val="009D5AC0"/>
    <w:rsid w:val="009D5EA2"/>
    <w:rsid w:val="009D70B4"/>
    <w:rsid w:val="009D76F3"/>
    <w:rsid w:val="009D7A09"/>
    <w:rsid w:val="009E07F6"/>
    <w:rsid w:val="009E17B4"/>
    <w:rsid w:val="009E31C2"/>
    <w:rsid w:val="009E4764"/>
    <w:rsid w:val="009E515E"/>
    <w:rsid w:val="009E5CB7"/>
    <w:rsid w:val="009E64BB"/>
    <w:rsid w:val="009E66E8"/>
    <w:rsid w:val="009E7B20"/>
    <w:rsid w:val="009F2D0C"/>
    <w:rsid w:val="009F45E0"/>
    <w:rsid w:val="009F4BE6"/>
    <w:rsid w:val="009F5172"/>
    <w:rsid w:val="009F5D6E"/>
    <w:rsid w:val="009F6C26"/>
    <w:rsid w:val="00A00A33"/>
    <w:rsid w:val="00A03AB5"/>
    <w:rsid w:val="00A042B8"/>
    <w:rsid w:val="00A05C82"/>
    <w:rsid w:val="00A06BE7"/>
    <w:rsid w:val="00A11793"/>
    <w:rsid w:val="00A13D95"/>
    <w:rsid w:val="00A159C8"/>
    <w:rsid w:val="00A1750E"/>
    <w:rsid w:val="00A2126A"/>
    <w:rsid w:val="00A2171C"/>
    <w:rsid w:val="00A2271E"/>
    <w:rsid w:val="00A23A34"/>
    <w:rsid w:val="00A2434F"/>
    <w:rsid w:val="00A24C05"/>
    <w:rsid w:val="00A24FDD"/>
    <w:rsid w:val="00A258BD"/>
    <w:rsid w:val="00A25CBA"/>
    <w:rsid w:val="00A26A2F"/>
    <w:rsid w:val="00A30ADB"/>
    <w:rsid w:val="00A311D3"/>
    <w:rsid w:val="00A316B4"/>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7802"/>
    <w:rsid w:val="00A67E64"/>
    <w:rsid w:val="00A70430"/>
    <w:rsid w:val="00A70CDF"/>
    <w:rsid w:val="00A71EFE"/>
    <w:rsid w:val="00A73B4D"/>
    <w:rsid w:val="00A7536E"/>
    <w:rsid w:val="00A75FCD"/>
    <w:rsid w:val="00A774F3"/>
    <w:rsid w:val="00A77B2F"/>
    <w:rsid w:val="00A80D38"/>
    <w:rsid w:val="00A811F0"/>
    <w:rsid w:val="00A814AF"/>
    <w:rsid w:val="00A81EFD"/>
    <w:rsid w:val="00A82835"/>
    <w:rsid w:val="00A8327C"/>
    <w:rsid w:val="00A84826"/>
    <w:rsid w:val="00A850CE"/>
    <w:rsid w:val="00A85311"/>
    <w:rsid w:val="00A8540F"/>
    <w:rsid w:val="00A87399"/>
    <w:rsid w:val="00A87C30"/>
    <w:rsid w:val="00A900DE"/>
    <w:rsid w:val="00A903A4"/>
    <w:rsid w:val="00A90B05"/>
    <w:rsid w:val="00A93CA5"/>
    <w:rsid w:val="00A946DB"/>
    <w:rsid w:val="00A97871"/>
    <w:rsid w:val="00AA092F"/>
    <w:rsid w:val="00AA5F6D"/>
    <w:rsid w:val="00AB11CA"/>
    <w:rsid w:val="00AB1BD1"/>
    <w:rsid w:val="00AB1EFE"/>
    <w:rsid w:val="00AB3F07"/>
    <w:rsid w:val="00AB49DF"/>
    <w:rsid w:val="00AB70D9"/>
    <w:rsid w:val="00AB71B9"/>
    <w:rsid w:val="00AB74F0"/>
    <w:rsid w:val="00AC0562"/>
    <w:rsid w:val="00AC0E7E"/>
    <w:rsid w:val="00AC4F0A"/>
    <w:rsid w:val="00AC5668"/>
    <w:rsid w:val="00AC5A33"/>
    <w:rsid w:val="00AC6ED9"/>
    <w:rsid w:val="00AC6FCA"/>
    <w:rsid w:val="00AC7A58"/>
    <w:rsid w:val="00AC7FD0"/>
    <w:rsid w:val="00AD06C4"/>
    <w:rsid w:val="00AD24E6"/>
    <w:rsid w:val="00AD32FF"/>
    <w:rsid w:val="00AD3E8F"/>
    <w:rsid w:val="00AD41F8"/>
    <w:rsid w:val="00AD4E45"/>
    <w:rsid w:val="00AD7511"/>
    <w:rsid w:val="00AD7CD9"/>
    <w:rsid w:val="00AE4747"/>
    <w:rsid w:val="00AE654D"/>
    <w:rsid w:val="00AE69DC"/>
    <w:rsid w:val="00AF2673"/>
    <w:rsid w:val="00AF4BC8"/>
    <w:rsid w:val="00AF5008"/>
    <w:rsid w:val="00AF601F"/>
    <w:rsid w:val="00AF61C0"/>
    <w:rsid w:val="00B0058A"/>
    <w:rsid w:val="00B01D18"/>
    <w:rsid w:val="00B02383"/>
    <w:rsid w:val="00B03E45"/>
    <w:rsid w:val="00B04AD3"/>
    <w:rsid w:val="00B05E39"/>
    <w:rsid w:val="00B067BE"/>
    <w:rsid w:val="00B070B0"/>
    <w:rsid w:val="00B07D3A"/>
    <w:rsid w:val="00B07D41"/>
    <w:rsid w:val="00B1098F"/>
    <w:rsid w:val="00B11188"/>
    <w:rsid w:val="00B11363"/>
    <w:rsid w:val="00B14866"/>
    <w:rsid w:val="00B162AD"/>
    <w:rsid w:val="00B1686D"/>
    <w:rsid w:val="00B17416"/>
    <w:rsid w:val="00B20F4C"/>
    <w:rsid w:val="00B229CB"/>
    <w:rsid w:val="00B2528C"/>
    <w:rsid w:val="00B2782A"/>
    <w:rsid w:val="00B30389"/>
    <w:rsid w:val="00B318EF"/>
    <w:rsid w:val="00B32378"/>
    <w:rsid w:val="00B324BE"/>
    <w:rsid w:val="00B33307"/>
    <w:rsid w:val="00B34B54"/>
    <w:rsid w:val="00B359C2"/>
    <w:rsid w:val="00B36B5A"/>
    <w:rsid w:val="00B37A94"/>
    <w:rsid w:val="00B410AD"/>
    <w:rsid w:val="00B427FF"/>
    <w:rsid w:val="00B429B6"/>
    <w:rsid w:val="00B449DC"/>
    <w:rsid w:val="00B45957"/>
    <w:rsid w:val="00B45F72"/>
    <w:rsid w:val="00B52DB8"/>
    <w:rsid w:val="00B53C4C"/>
    <w:rsid w:val="00B5477F"/>
    <w:rsid w:val="00B55F2E"/>
    <w:rsid w:val="00B55F9D"/>
    <w:rsid w:val="00B56937"/>
    <w:rsid w:val="00B60E3D"/>
    <w:rsid w:val="00B63E74"/>
    <w:rsid w:val="00B64DDB"/>
    <w:rsid w:val="00B713E8"/>
    <w:rsid w:val="00B71A61"/>
    <w:rsid w:val="00B71DC2"/>
    <w:rsid w:val="00B7493D"/>
    <w:rsid w:val="00B74B43"/>
    <w:rsid w:val="00B74D6C"/>
    <w:rsid w:val="00B74FAB"/>
    <w:rsid w:val="00B84047"/>
    <w:rsid w:val="00B847F3"/>
    <w:rsid w:val="00B85096"/>
    <w:rsid w:val="00B8552F"/>
    <w:rsid w:val="00B86246"/>
    <w:rsid w:val="00B86D7B"/>
    <w:rsid w:val="00B9020E"/>
    <w:rsid w:val="00B92B7B"/>
    <w:rsid w:val="00B939C0"/>
    <w:rsid w:val="00B93A86"/>
    <w:rsid w:val="00B95F71"/>
    <w:rsid w:val="00B965F6"/>
    <w:rsid w:val="00B9693A"/>
    <w:rsid w:val="00B96E6F"/>
    <w:rsid w:val="00BA34EF"/>
    <w:rsid w:val="00BA362B"/>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467"/>
    <w:rsid w:val="00BC7CEB"/>
    <w:rsid w:val="00BD2198"/>
    <w:rsid w:val="00BD241C"/>
    <w:rsid w:val="00BD279E"/>
    <w:rsid w:val="00BD30FE"/>
    <w:rsid w:val="00BD351B"/>
    <w:rsid w:val="00BD35C6"/>
    <w:rsid w:val="00BD6F9F"/>
    <w:rsid w:val="00BD7C19"/>
    <w:rsid w:val="00BE253F"/>
    <w:rsid w:val="00BE3209"/>
    <w:rsid w:val="00BE34C3"/>
    <w:rsid w:val="00BE3FF2"/>
    <w:rsid w:val="00BE4BE4"/>
    <w:rsid w:val="00BE5508"/>
    <w:rsid w:val="00BE5C18"/>
    <w:rsid w:val="00BE6294"/>
    <w:rsid w:val="00BE7BC4"/>
    <w:rsid w:val="00BF1F90"/>
    <w:rsid w:val="00BF3770"/>
    <w:rsid w:val="00BF3809"/>
    <w:rsid w:val="00BF38D9"/>
    <w:rsid w:val="00BF3AE2"/>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75FD"/>
    <w:rsid w:val="00C22A64"/>
    <w:rsid w:val="00C237F1"/>
    <w:rsid w:val="00C243AE"/>
    <w:rsid w:val="00C2489B"/>
    <w:rsid w:val="00C2576D"/>
    <w:rsid w:val="00C26D57"/>
    <w:rsid w:val="00C274CB"/>
    <w:rsid w:val="00C27973"/>
    <w:rsid w:val="00C3064A"/>
    <w:rsid w:val="00C30AB3"/>
    <w:rsid w:val="00C31797"/>
    <w:rsid w:val="00C33E37"/>
    <w:rsid w:val="00C33E77"/>
    <w:rsid w:val="00C36137"/>
    <w:rsid w:val="00C374AB"/>
    <w:rsid w:val="00C422E3"/>
    <w:rsid w:val="00C4250C"/>
    <w:rsid w:val="00C437FB"/>
    <w:rsid w:val="00C460B6"/>
    <w:rsid w:val="00C46184"/>
    <w:rsid w:val="00C474E5"/>
    <w:rsid w:val="00C54E42"/>
    <w:rsid w:val="00C561B1"/>
    <w:rsid w:val="00C56E50"/>
    <w:rsid w:val="00C5766D"/>
    <w:rsid w:val="00C57975"/>
    <w:rsid w:val="00C57C9A"/>
    <w:rsid w:val="00C57E35"/>
    <w:rsid w:val="00C60C3E"/>
    <w:rsid w:val="00C61684"/>
    <w:rsid w:val="00C61E65"/>
    <w:rsid w:val="00C62247"/>
    <w:rsid w:val="00C624EB"/>
    <w:rsid w:val="00C62AAB"/>
    <w:rsid w:val="00C636A9"/>
    <w:rsid w:val="00C642CA"/>
    <w:rsid w:val="00C651D2"/>
    <w:rsid w:val="00C6578F"/>
    <w:rsid w:val="00C66738"/>
    <w:rsid w:val="00C66C79"/>
    <w:rsid w:val="00C70A93"/>
    <w:rsid w:val="00C71C93"/>
    <w:rsid w:val="00C747C7"/>
    <w:rsid w:val="00C75847"/>
    <w:rsid w:val="00C75943"/>
    <w:rsid w:val="00C7729D"/>
    <w:rsid w:val="00C77A9F"/>
    <w:rsid w:val="00C8037F"/>
    <w:rsid w:val="00C803E4"/>
    <w:rsid w:val="00C80A65"/>
    <w:rsid w:val="00C80BAB"/>
    <w:rsid w:val="00C80D5E"/>
    <w:rsid w:val="00C80DDA"/>
    <w:rsid w:val="00C815D7"/>
    <w:rsid w:val="00C82A9F"/>
    <w:rsid w:val="00C82B5B"/>
    <w:rsid w:val="00C82C88"/>
    <w:rsid w:val="00C82ECE"/>
    <w:rsid w:val="00C83537"/>
    <w:rsid w:val="00C8419E"/>
    <w:rsid w:val="00C86619"/>
    <w:rsid w:val="00C86D50"/>
    <w:rsid w:val="00C870DC"/>
    <w:rsid w:val="00C87933"/>
    <w:rsid w:val="00C91F36"/>
    <w:rsid w:val="00C941AE"/>
    <w:rsid w:val="00C9445F"/>
    <w:rsid w:val="00C95C34"/>
    <w:rsid w:val="00C96006"/>
    <w:rsid w:val="00C963F2"/>
    <w:rsid w:val="00C96903"/>
    <w:rsid w:val="00CA137A"/>
    <w:rsid w:val="00CA17AB"/>
    <w:rsid w:val="00CA2132"/>
    <w:rsid w:val="00CA2F29"/>
    <w:rsid w:val="00CA44D3"/>
    <w:rsid w:val="00CA4B4D"/>
    <w:rsid w:val="00CA4EAE"/>
    <w:rsid w:val="00CB20C0"/>
    <w:rsid w:val="00CB41BB"/>
    <w:rsid w:val="00CB465C"/>
    <w:rsid w:val="00CB5734"/>
    <w:rsid w:val="00CB5780"/>
    <w:rsid w:val="00CB629C"/>
    <w:rsid w:val="00CB7993"/>
    <w:rsid w:val="00CC1622"/>
    <w:rsid w:val="00CC2854"/>
    <w:rsid w:val="00CC37B5"/>
    <w:rsid w:val="00CC40E7"/>
    <w:rsid w:val="00CC49F7"/>
    <w:rsid w:val="00CC6058"/>
    <w:rsid w:val="00CC66F1"/>
    <w:rsid w:val="00CC7B5B"/>
    <w:rsid w:val="00CD06C7"/>
    <w:rsid w:val="00CD23BE"/>
    <w:rsid w:val="00CD564C"/>
    <w:rsid w:val="00CE02E1"/>
    <w:rsid w:val="00CE0657"/>
    <w:rsid w:val="00CE134C"/>
    <w:rsid w:val="00CE3785"/>
    <w:rsid w:val="00CE3B3E"/>
    <w:rsid w:val="00CE3EDF"/>
    <w:rsid w:val="00CE5F0E"/>
    <w:rsid w:val="00CF01CD"/>
    <w:rsid w:val="00CF05ED"/>
    <w:rsid w:val="00CF313B"/>
    <w:rsid w:val="00CF72F5"/>
    <w:rsid w:val="00D00887"/>
    <w:rsid w:val="00D01545"/>
    <w:rsid w:val="00D0268F"/>
    <w:rsid w:val="00D02B71"/>
    <w:rsid w:val="00D1192E"/>
    <w:rsid w:val="00D14696"/>
    <w:rsid w:val="00D153D4"/>
    <w:rsid w:val="00D16098"/>
    <w:rsid w:val="00D17BCE"/>
    <w:rsid w:val="00D20C7E"/>
    <w:rsid w:val="00D20CE2"/>
    <w:rsid w:val="00D23C19"/>
    <w:rsid w:val="00D25AB2"/>
    <w:rsid w:val="00D30A84"/>
    <w:rsid w:val="00D30E9F"/>
    <w:rsid w:val="00D31D26"/>
    <w:rsid w:val="00D33E0D"/>
    <w:rsid w:val="00D346AB"/>
    <w:rsid w:val="00D3618B"/>
    <w:rsid w:val="00D3646B"/>
    <w:rsid w:val="00D36C6D"/>
    <w:rsid w:val="00D36DD4"/>
    <w:rsid w:val="00D3701B"/>
    <w:rsid w:val="00D37C97"/>
    <w:rsid w:val="00D37D12"/>
    <w:rsid w:val="00D40FF0"/>
    <w:rsid w:val="00D42513"/>
    <w:rsid w:val="00D43F98"/>
    <w:rsid w:val="00D44DF6"/>
    <w:rsid w:val="00D45D05"/>
    <w:rsid w:val="00D46047"/>
    <w:rsid w:val="00D460FE"/>
    <w:rsid w:val="00D46D79"/>
    <w:rsid w:val="00D47D0F"/>
    <w:rsid w:val="00D509E5"/>
    <w:rsid w:val="00D52053"/>
    <w:rsid w:val="00D5330B"/>
    <w:rsid w:val="00D537B2"/>
    <w:rsid w:val="00D54C34"/>
    <w:rsid w:val="00D56B92"/>
    <w:rsid w:val="00D612D6"/>
    <w:rsid w:val="00D6327C"/>
    <w:rsid w:val="00D63801"/>
    <w:rsid w:val="00D656DA"/>
    <w:rsid w:val="00D66175"/>
    <w:rsid w:val="00D6777D"/>
    <w:rsid w:val="00D760BA"/>
    <w:rsid w:val="00D76D65"/>
    <w:rsid w:val="00D812F1"/>
    <w:rsid w:val="00D814DE"/>
    <w:rsid w:val="00D84443"/>
    <w:rsid w:val="00D84DE6"/>
    <w:rsid w:val="00D84E91"/>
    <w:rsid w:val="00D93D01"/>
    <w:rsid w:val="00D94C12"/>
    <w:rsid w:val="00D955E1"/>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B6F72"/>
    <w:rsid w:val="00DC2BF5"/>
    <w:rsid w:val="00DC3DF6"/>
    <w:rsid w:val="00DC3E47"/>
    <w:rsid w:val="00DC4C5F"/>
    <w:rsid w:val="00DC658B"/>
    <w:rsid w:val="00DC766D"/>
    <w:rsid w:val="00DD04BB"/>
    <w:rsid w:val="00DD1208"/>
    <w:rsid w:val="00DD2128"/>
    <w:rsid w:val="00DD26CC"/>
    <w:rsid w:val="00DD43A0"/>
    <w:rsid w:val="00DD5BA7"/>
    <w:rsid w:val="00DD5D1E"/>
    <w:rsid w:val="00DD649A"/>
    <w:rsid w:val="00DE25F1"/>
    <w:rsid w:val="00DE50B4"/>
    <w:rsid w:val="00DE5FBD"/>
    <w:rsid w:val="00DE6787"/>
    <w:rsid w:val="00DF188A"/>
    <w:rsid w:val="00DF19EE"/>
    <w:rsid w:val="00DF29D3"/>
    <w:rsid w:val="00DF6C04"/>
    <w:rsid w:val="00DF7585"/>
    <w:rsid w:val="00E005B2"/>
    <w:rsid w:val="00E02FB2"/>
    <w:rsid w:val="00E05383"/>
    <w:rsid w:val="00E0678B"/>
    <w:rsid w:val="00E06BC1"/>
    <w:rsid w:val="00E06CD4"/>
    <w:rsid w:val="00E0711D"/>
    <w:rsid w:val="00E11CBB"/>
    <w:rsid w:val="00E11E64"/>
    <w:rsid w:val="00E12691"/>
    <w:rsid w:val="00E1398A"/>
    <w:rsid w:val="00E149D0"/>
    <w:rsid w:val="00E1634B"/>
    <w:rsid w:val="00E2047B"/>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24F8"/>
    <w:rsid w:val="00E54DF1"/>
    <w:rsid w:val="00E553C5"/>
    <w:rsid w:val="00E5577D"/>
    <w:rsid w:val="00E55AE4"/>
    <w:rsid w:val="00E55E7E"/>
    <w:rsid w:val="00E563D8"/>
    <w:rsid w:val="00E56B73"/>
    <w:rsid w:val="00E57A09"/>
    <w:rsid w:val="00E62017"/>
    <w:rsid w:val="00E623A5"/>
    <w:rsid w:val="00E63A64"/>
    <w:rsid w:val="00E64075"/>
    <w:rsid w:val="00E64577"/>
    <w:rsid w:val="00E673E6"/>
    <w:rsid w:val="00E7139D"/>
    <w:rsid w:val="00E72FD1"/>
    <w:rsid w:val="00E741C6"/>
    <w:rsid w:val="00E750D6"/>
    <w:rsid w:val="00E761D9"/>
    <w:rsid w:val="00E84642"/>
    <w:rsid w:val="00E87AC5"/>
    <w:rsid w:val="00E909A2"/>
    <w:rsid w:val="00E91F60"/>
    <w:rsid w:val="00E92C2C"/>
    <w:rsid w:val="00E92CD7"/>
    <w:rsid w:val="00E9302B"/>
    <w:rsid w:val="00E94E04"/>
    <w:rsid w:val="00E95115"/>
    <w:rsid w:val="00E96407"/>
    <w:rsid w:val="00E96BD7"/>
    <w:rsid w:val="00EA13B5"/>
    <w:rsid w:val="00EA221B"/>
    <w:rsid w:val="00EA25C7"/>
    <w:rsid w:val="00EA26CF"/>
    <w:rsid w:val="00EA2900"/>
    <w:rsid w:val="00EA2FE2"/>
    <w:rsid w:val="00EA3C73"/>
    <w:rsid w:val="00EA4185"/>
    <w:rsid w:val="00EA689F"/>
    <w:rsid w:val="00EA6A8C"/>
    <w:rsid w:val="00EA72A9"/>
    <w:rsid w:val="00EB0615"/>
    <w:rsid w:val="00EB0FD8"/>
    <w:rsid w:val="00EB1D98"/>
    <w:rsid w:val="00EB241F"/>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0E9A"/>
    <w:rsid w:val="00ED1897"/>
    <w:rsid w:val="00ED3583"/>
    <w:rsid w:val="00ED4AFC"/>
    <w:rsid w:val="00ED51DC"/>
    <w:rsid w:val="00ED671E"/>
    <w:rsid w:val="00ED675B"/>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3999"/>
    <w:rsid w:val="00F05559"/>
    <w:rsid w:val="00F06C6E"/>
    <w:rsid w:val="00F06F65"/>
    <w:rsid w:val="00F07AE1"/>
    <w:rsid w:val="00F1065C"/>
    <w:rsid w:val="00F10692"/>
    <w:rsid w:val="00F12F81"/>
    <w:rsid w:val="00F20513"/>
    <w:rsid w:val="00F219AF"/>
    <w:rsid w:val="00F229F7"/>
    <w:rsid w:val="00F22B4C"/>
    <w:rsid w:val="00F23591"/>
    <w:rsid w:val="00F245F5"/>
    <w:rsid w:val="00F24830"/>
    <w:rsid w:val="00F24F96"/>
    <w:rsid w:val="00F252FE"/>
    <w:rsid w:val="00F2732E"/>
    <w:rsid w:val="00F31CF2"/>
    <w:rsid w:val="00F3226A"/>
    <w:rsid w:val="00F32E0B"/>
    <w:rsid w:val="00F33C62"/>
    <w:rsid w:val="00F34E17"/>
    <w:rsid w:val="00F35F53"/>
    <w:rsid w:val="00F36C53"/>
    <w:rsid w:val="00F36F65"/>
    <w:rsid w:val="00F37A90"/>
    <w:rsid w:val="00F40E6F"/>
    <w:rsid w:val="00F41882"/>
    <w:rsid w:val="00F46447"/>
    <w:rsid w:val="00F55DDF"/>
    <w:rsid w:val="00F573B4"/>
    <w:rsid w:val="00F575B2"/>
    <w:rsid w:val="00F578D2"/>
    <w:rsid w:val="00F6005B"/>
    <w:rsid w:val="00F6060C"/>
    <w:rsid w:val="00F64AB8"/>
    <w:rsid w:val="00F6511D"/>
    <w:rsid w:val="00F660EC"/>
    <w:rsid w:val="00F673B7"/>
    <w:rsid w:val="00F705C7"/>
    <w:rsid w:val="00F70CF8"/>
    <w:rsid w:val="00F72556"/>
    <w:rsid w:val="00F76392"/>
    <w:rsid w:val="00F77FCD"/>
    <w:rsid w:val="00F80D0C"/>
    <w:rsid w:val="00F81585"/>
    <w:rsid w:val="00F81DFE"/>
    <w:rsid w:val="00F848EE"/>
    <w:rsid w:val="00F85578"/>
    <w:rsid w:val="00F85A4F"/>
    <w:rsid w:val="00F85B5E"/>
    <w:rsid w:val="00F86558"/>
    <w:rsid w:val="00F865F1"/>
    <w:rsid w:val="00F86670"/>
    <w:rsid w:val="00F91F56"/>
    <w:rsid w:val="00F92406"/>
    <w:rsid w:val="00F92876"/>
    <w:rsid w:val="00F941F3"/>
    <w:rsid w:val="00F94A41"/>
    <w:rsid w:val="00F95715"/>
    <w:rsid w:val="00F9747E"/>
    <w:rsid w:val="00FA0273"/>
    <w:rsid w:val="00FA0DC7"/>
    <w:rsid w:val="00FA11D9"/>
    <w:rsid w:val="00FA21E7"/>
    <w:rsid w:val="00FA3645"/>
    <w:rsid w:val="00FA39A7"/>
    <w:rsid w:val="00FA3CC6"/>
    <w:rsid w:val="00FA59E0"/>
    <w:rsid w:val="00FA5FEE"/>
    <w:rsid w:val="00FB008A"/>
    <w:rsid w:val="00FB0530"/>
    <w:rsid w:val="00FB0FD6"/>
    <w:rsid w:val="00FB45CA"/>
    <w:rsid w:val="00FB5D57"/>
    <w:rsid w:val="00FB7489"/>
    <w:rsid w:val="00FC02FD"/>
    <w:rsid w:val="00FC0BCD"/>
    <w:rsid w:val="00FC14DF"/>
    <w:rsid w:val="00FC3428"/>
    <w:rsid w:val="00FC5C76"/>
    <w:rsid w:val="00FC7F35"/>
    <w:rsid w:val="00FD0496"/>
    <w:rsid w:val="00FD0EC9"/>
    <w:rsid w:val="00FD2959"/>
    <w:rsid w:val="00FD41A0"/>
    <w:rsid w:val="00FD422A"/>
    <w:rsid w:val="00FD56E5"/>
    <w:rsid w:val="00FD6FCF"/>
    <w:rsid w:val="00FD7282"/>
    <w:rsid w:val="00FE0C0A"/>
    <w:rsid w:val="00FE228D"/>
    <w:rsid w:val="00FE2697"/>
    <w:rsid w:val="00FE26AA"/>
    <w:rsid w:val="00FE27ED"/>
    <w:rsid w:val="00FE3403"/>
    <w:rsid w:val="00FE44B6"/>
    <w:rsid w:val="00FE57B0"/>
    <w:rsid w:val="00FE681F"/>
    <w:rsid w:val="00FE7075"/>
    <w:rsid w:val="00FF1A23"/>
    <w:rsid w:val="00FF2A30"/>
    <w:rsid w:val="00FF3147"/>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B1F5E"/>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6"/>
      </w:numPr>
      <w:tabs>
        <w:tab w:val="clear" w:pos="567"/>
        <w:tab w:val="num" w:pos="360"/>
      </w:tabs>
      <w:spacing w:before="480"/>
      <w:ind w:left="0" w:firstLine="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6"/>
      </w:numPr>
      <w:tabs>
        <w:tab w:val="clear" w:pos="1701"/>
        <w:tab w:val="num" w:pos="360"/>
        <w:tab w:val="left" w:pos="3969"/>
        <w:tab w:val="left" w:pos="4536"/>
      </w:tabs>
      <w:ind w:left="0" w:firstLine="0"/>
      <w:outlineLvl w:val="2"/>
    </w:pPr>
    <w:rPr>
      <w:b/>
    </w:rPr>
  </w:style>
  <w:style w:type="paragraph" w:customStyle="1" w:styleId="LegalHeading4">
    <w:name w:val="Legal_Heading4"/>
    <w:basedOn w:val="LegalNormal"/>
    <w:next w:val="LegalBodyText4"/>
    <w:semiHidden/>
    <w:rsid w:val="00422270"/>
    <w:pPr>
      <w:keepNext/>
      <w:numPr>
        <w:ilvl w:val="3"/>
        <w:numId w:val="6"/>
      </w:numPr>
      <w:tabs>
        <w:tab w:val="clear" w:pos="2268"/>
        <w:tab w:val="num" w:pos="360"/>
      </w:tabs>
      <w:spacing w:after="240"/>
      <w:ind w:left="0" w:firstLine="0"/>
      <w:outlineLvl w:val="3"/>
    </w:pPr>
    <w:rPr>
      <w:b/>
    </w:rPr>
  </w:style>
  <w:style w:type="paragraph" w:customStyle="1" w:styleId="LegalHeading5">
    <w:name w:val="Legal_Heading5"/>
    <w:basedOn w:val="LegalNormal"/>
    <w:next w:val="LegalBodyText5"/>
    <w:semiHidden/>
    <w:rsid w:val="00422270"/>
    <w:pPr>
      <w:keepNext/>
      <w:numPr>
        <w:ilvl w:val="4"/>
        <w:numId w:val="6"/>
      </w:numPr>
      <w:tabs>
        <w:tab w:val="clear" w:pos="2835"/>
        <w:tab w:val="num" w:pos="360"/>
      </w:tabs>
      <w:spacing w:after="240"/>
      <w:ind w:left="0" w:firstLine="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3"/>
      </w:numPr>
    </w:pPr>
    <w:rPr>
      <w:b/>
      <w:caps/>
      <w:spacing w:val="2"/>
    </w:rPr>
  </w:style>
  <w:style w:type="paragraph" w:customStyle="1" w:styleId="LegalCitation">
    <w:name w:val="Legal_Citation"/>
    <w:basedOn w:val="LegalNormal"/>
    <w:semiHidden/>
    <w:rsid w:val="00422270"/>
    <w:pPr>
      <w:numPr>
        <w:numId w:val="2"/>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5"/>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140930232">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21660502">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4593067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862742306">
      <w:bodyDiv w:val="1"/>
      <w:marLeft w:val="0"/>
      <w:marRight w:val="0"/>
      <w:marTop w:val="0"/>
      <w:marBottom w:val="0"/>
      <w:divBdr>
        <w:top w:val="none" w:sz="0" w:space="0" w:color="auto"/>
        <w:left w:val="none" w:sz="0" w:space="0" w:color="auto"/>
        <w:bottom w:val="none" w:sz="0" w:space="0" w:color="auto"/>
        <w:right w:val="none" w:sz="0" w:space="0" w:color="auto"/>
      </w:divBdr>
      <w:divsChild>
        <w:div w:id="1995910855">
          <w:marLeft w:val="0"/>
          <w:marRight w:val="0"/>
          <w:marTop w:val="120"/>
          <w:marBottom w:val="0"/>
          <w:divBdr>
            <w:top w:val="none" w:sz="0" w:space="0" w:color="auto"/>
            <w:left w:val="none" w:sz="0" w:space="0" w:color="auto"/>
            <w:bottom w:val="none" w:sz="0" w:space="0" w:color="auto"/>
            <w:right w:val="none" w:sz="0" w:space="0" w:color="auto"/>
          </w:divBdr>
        </w:div>
        <w:div w:id="553735328">
          <w:marLeft w:val="1134"/>
          <w:marRight w:val="0"/>
          <w:marTop w:val="60"/>
          <w:marBottom w:val="0"/>
          <w:divBdr>
            <w:top w:val="none" w:sz="0" w:space="0" w:color="auto"/>
            <w:left w:val="none" w:sz="0" w:space="0" w:color="auto"/>
            <w:bottom w:val="none" w:sz="0" w:space="0" w:color="auto"/>
            <w:right w:val="none" w:sz="0" w:space="0" w:color="auto"/>
          </w:divBdr>
        </w:div>
        <w:div w:id="734351015">
          <w:marLeft w:val="1985"/>
          <w:marRight w:val="0"/>
          <w:marTop w:val="60"/>
          <w:marBottom w:val="0"/>
          <w:divBdr>
            <w:top w:val="none" w:sz="0" w:space="0" w:color="auto"/>
            <w:left w:val="none" w:sz="0" w:space="0" w:color="auto"/>
            <w:bottom w:val="none" w:sz="0" w:space="0" w:color="auto"/>
            <w:right w:val="none" w:sz="0" w:space="0" w:color="auto"/>
          </w:divBdr>
        </w:div>
        <w:div w:id="1975483759">
          <w:marLeft w:val="1985"/>
          <w:marRight w:val="0"/>
          <w:marTop w:val="60"/>
          <w:marBottom w:val="0"/>
          <w:divBdr>
            <w:top w:val="none" w:sz="0" w:space="0" w:color="auto"/>
            <w:left w:val="none" w:sz="0" w:space="0" w:color="auto"/>
            <w:bottom w:val="none" w:sz="0" w:space="0" w:color="auto"/>
            <w:right w:val="none" w:sz="0" w:space="0" w:color="auto"/>
          </w:divBdr>
        </w:div>
        <w:div w:id="1140147339">
          <w:marLeft w:val="1134"/>
          <w:marRight w:val="0"/>
          <w:marTop w:val="60"/>
          <w:marBottom w:val="0"/>
          <w:divBdr>
            <w:top w:val="none" w:sz="0" w:space="0" w:color="auto"/>
            <w:left w:val="none" w:sz="0" w:space="0" w:color="auto"/>
            <w:bottom w:val="none" w:sz="0" w:space="0" w:color="auto"/>
            <w:right w:val="none" w:sz="0" w:space="0" w:color="auto"/>
          </w:divBdr>
        </w:div>
      </w:divsChild>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36210477">
      <w:bodyDiv w:val="1"/>
      <w:marLeft w:val="0"/>
      <w:marRight w:val="0"/>
      <w:marTop w:val="0"/>
      <w:marBottom w:val="0"/>
      <w:divBdr>
        <w:top w:val="none" w:sz="0" w:space="0" w:color="auto"/>
        <w:left w:val="none" w:sz="0" w:space="0" w:color="auto"/>
        <w:bottom w:val="none" w:sz="0" w:space="0" w:color="auto"/>
        <w:right w:val="none" w:sz="0" w:space="0" w:color="auto"/>
      </w:divBdr>
    </w:div>
    <w:div w:id="2045398942">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C2C4-45EE-42C9-8E24-BAC8CF32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TotalTime>
  <Pages>11</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Sathish</cp:lastModifiedBy>
  <cp:revision>4</cp:revision>
  <cp:lastPrinted>2022-08-16T05:41:00Z</cp:lastPrinted>
  <dcterms:created xsi:type="dcterms:W3CDTF">2024-02-29T09:57:00Z</dcterms:created>
  <dcterms:modified xsi:type="dcterms:W3CDTF">2024-02-29T12:13:00Z</dcterms:modified>
</cp:coreProperties>
</file>