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B587C" w14:textId="77777777" w:rsidR="00D67936" w:rsidRPr="008A3859" w:rsidRDefault="00D67936" w:rsidP="00D67936">
      <w:pPr>
        <w:spacing w:line="360" w:lineRule="auto"/>
        <w:ind w:leftChars="-38" w:left="-91"/>
        <w:jc w:val="center"/>
        <w:rPr>
          <w:rFonts w:cs="Arial"/>
          <w:b/>
        </w:rPr>
      </w:pPr>
      <w:bookmarkStart w:id="0" w:name="_GoBack"/>
      <w:r w:rsidRPr="008A3859">
        <w:rPr>
          <w:rFonts w:cs="Arial"/>
          <w:b/>
        </w:rPr>
        <w:t>REPUBLIC OF SOUTH AFRICA</w:t>
      </w:r>
    </w:p>
    <w:p w14:paraId="0DBE6E62" w14:textId="77777777" w:rsidR="00D67936" w:rsidRPr="008A3859" w:rsidRDefault="00D67936" w:rsidP="00D67936">
      <w:pPr>
        <w:spacing w:line="360" w:lineRule="auto"/>
        <w:ind w:leftChars="-38" w:left="-91"/>
        <w:jc w:val="center"/>
        <w:rPr>
          <w:rFonts w:cs="Arial"/>
          <w:b/>
        </w:rPr>
      </w:pPr>
      <w:r>
        <w:rPr>
          <w:rFonts w:cs="Arial"/>
          <w:b/>
          <w:noProof/>
          <w:lang w:val="en-US" w:eastAsia="en-US"/>
        </w:rPr>
        <w:drawing>
          <wp:inline distT="0" distB="0" distL="0" distR="0" wp14:anchorId="5BFA76CD" wp14:editId="32AC8930">
            <wp:extent cx="140017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14:paraId="5D9D5734" w14:textId="77777777" w:rsidR="00D67936" w:rsidRPr="008A3859" w:rsidRDefault="00D67936" w:rsidP="00D67936">
      <w:pPr>
        <w:spacing w:line="360" w:lineRule="auto"/>
        <w:ind w:leftChars="-38" w:left="-91"/>
        <w:jc w:val="center"/>
        <w:rPr>
          <w:rFonts w:cs="Arial"/>
          <w:b/>
        </w:rPr>
      </w:pPr>
      <w:r w:rsidRPr="008A3859">
        <w:rPr>
          <w:rFonts w:cs="Arial"/>
          <w:b/>
        </w:rPr>
        <w:t>IN THE HIGH COURT OF SOUTH AFRICA</w:t>
      </w:r>
    </w:p>
    <w:p w14:paraId="7827492B" w14:textId="77777777" w:rsidR="00D67936" w:rsidRPr="008A3859" w:rsidRDefault="00D67936" w:rsidP="00D67936">
      <w:pPr>
        <w:spacing w:line="360" w:lineRule="auto"/>
        <w:ind w:leftChars="-38" w:left="-91"/>
        <w:jc w:val="center"/>
        <w:rPr>
          <w:rFonts w:cs="Arial"/>
          <w:b/>
        </w:rPr>
      </w:pPr>
      <w:r w:rsidRPr="008A3859">
        <w:rPr>
          <w:rFonts w:cs="Arial"/>
          <w:b/>
        </w:rPr>
        <w:t>GAUTENG DIVISION, JOHANNESBURG</w:t>
      </w:r>
    </w:p>
    <w:p w14:paraId="162EEA50" w14:textId="77777777" w:rsidR="00D67936" w:rsidRDefault="00D67936" w:rsidP="00D67936">
      <w:pPr>
        <w:widowControl w:val="0"/>
        <w:jc w:val="center"/>
        <w:rPr>
          <w:rFonts w:cs="Arial"/>
        </w:rPr>
      </w:pPr>
    </w:p>
    <w:p w14:paraId="20DFC3ED" w14:textId="77777777" w:rsidR="00D67936" w:rsidRPr="00F04BA1" w:rsidRDefault="00D67936" w:rsidP="00D67936">
      <w:pPr>
        <w:widowControl w:val="0"/>
        <w:jc w:val="center"/>
        <w:rPr>
          <w:rFonts w:cs="Arial"/>
        </w:rPr>
      </w:pPr>
    </w:p>
    <w:p w14:paraId="436C0BCD" w14:textId="769ACCD1" w:rsidR="00D67936" w:rsidRDefault="00D67936" w:rsidP="00D67936">
      <w:pPr>
        <w:tabs>
          <w:tab w:val="left" w:pos="-720"/>
        </w:tabs>
        <w:suppressAutoHyphens/>
        <w:jc w:val="right"/>
        <w:rPr>
          <w:b/>
        </w:rPr>
      </w:pPr>
      <w:r>
        <w:rPr>
          <w:rFonts w:cs="Arial"/>
          <w:b/>
          <w:bCs/>
          <w:spacing w:val="-3"/>
        </w:rPr>
        <w:t xml:space="preserve">CASE NUMBER:  </w:t>
      </w:r>
      <w:r w:rsidRPr="00CF6DB4">
        <w:rPr>
          <w:b/>
        </w:rPr>
        <w:t>A</w:t>
      </w:r>
      <w:r>
        <w:rPr>
          <w:b/>
        </w:rPr>
        <w:t>3</w:t>
      </w:r>
      <w:r w:rsidRPr="00CF6DB4">
        <w:rPr>
          <w:b/>
        </w:rPr>
        <w:t>022/</w:t>
      </w:r>
      <w:r>
        <w:rPr>
          <w:b/>
        </w:rPr>
        <w:t>2021</w:t>
      </w:r>
    </w:p>
    <w:p w14:paraId="2A6C7A83" w14:textId="47496196" w:rsidR="00D67936" w:rsidRPr="00840C12" w:rsidRDefault="00D67936" w:rsidP="00D67936">
      <w:pPr>
        <w:tabs>
          <w:tab w:val="left" w:pos="-720"/>
        </w:tabs>
        <w:suppressAutoHyphens/>
        <w:jc w:val="right"/>
        <w:rPr>
          <w:rFonts w:cs="Arial"/>
          <w:b/>
          <w:bCs/>
          <w:spacing w:val="-3"/>
        </w:rPr>
      </w:pPr>
      <w:r>
        <w:rPr>
          <w:b/>
        </w:rPr>
        <w:t>Magistrates Court Case No: 557/2016</w:t>
      </w:r>
    </w:p>
    <w:p w14:paraId="230D93DD" w14:textId="77777777" w:rsidR="00D67936" w:rsidRPr="001750A3" w:rsidRDefault="00D67936" w:rsidP="00D67936">
      <w:pPr>
        <w:tabs>
          <w:tab w:val="left" w:pos="-720"/>
        </w:tabs>
        <w:suppressAutoHyphens/>
        <w:jc w:val="right"/>
        <w:rPr>
          <w:rFonts w:cs="Arial"/>
          <w:b/>
          <w:bCs/>
          <w:spacing w:val="-3"/>
        </w:rPr>
      </w:pPr>
    </w:p>
    <w:tbl>
      <w:tblPr>
        <w:tblW w:w="5812"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D67936" w:rsidRPr="00F04BA1" w14:paraId="15ED5ACC" w14:textId="77777777" w:rsidTr="00DD7735">
        <w:trPr>
          <w:trHeight w:val="2528"/>
        </w:trPr>
        <w:tc>
          <w:tcPr>
            <w:tcW w:w="5812" w:type="dxa"/>
            <w:tcBorders>
              <w:top w:val="single" w:sz="4" w:space="0" w:color="auto"/>
              <w:left w:val="single" w:sz="4" w:space="0" w:color="auto"/>
              <w:bottom w:val="single" w:sz="4" w:space="0" w:color="auto"/>
              <w:right w:val="single" w:sz="4" w:space="0" w:color="auto"/>
            </w:tcBorders>
          </w:tcPr>
          <w:p w14:paraId="5AEE3756" w14:textId="77777777" w:rsidR="00D67936" w:rsidRPr="00F04BA1" w:rsidRDefault="00D67936" w:rsidP="00DD7735">
            <w:pPr>
              <w:jc w:val="both"/>
              <w:rPr>
                <w:rFonts w:cs="Arial"/>
                <w:sz w:val="16"/>
                <w:szCs w:val="16"/>
              </w:rPr>
            </w:pPr>
          </w:p>
          <w:p w14:paraId="7FCDC4F7" w14:textId="77777777" w:rsidR="00D67936" w:rsidRPr="008B170D" w:rsidRDefault="00D67936" w:rsidP="00DD7735">
            <w:pPr>
              <w:ind w:left="180"/>
              <w:jc w:val="center"/>
              <w:rPr>
                <w:rFonts w:cs="Arial"/>
                <w:b/>
                <w:bCs/>
                <w:color w:val="FF0000"/>
                <w:sz w:val="18"/>
                <w:szCs w:val="18"/>
                <w:u w:val="single"/>
              </w:rPr>
            </w:pPr>
            <w:r w:rsidRPr="008B170D">
              <w:rPr>
                <w:rFonts w:cs="Arial"/>
                <w:b/>
                <w:bCs/>
                <w:color w:val="FF0000"/>
                <w:sz w:val="18"/>
                <w:szCs w:val="18"/>
                <w:u w:val="single"/>
              </w:rPr>
              <w:t>DELETE WHICHEVER IS NOT APPLICABLE</w:t>
            </w:r>
          </w:p>
          <w:p w14:paraId="140A390F" w14:textId="77777777" w:rsidR="00D67936" w:rsidRPr="008B170D" w:rsidRDefault="00D67936" w:rsidP="00DD7735">
            <w:pPr>
              <w:ind w:left="180"/>
              <w:jc w:val="center"/>
              <w:rPr>
                <w:rFonts w:cs="Arial"/>
                <w:b/>
                <w:bCs/>
                <w:color w:val="FF0000"/>
                <w:sz w:val="18"/>
                <w:szCs w:val="18"/>
                <w:u w:val="single"/>
              </w:rPr>
            </w:pPr>
          </w:p>
          <w:p w14:paraId="673BBB8E" w14:textId="77777777" w:rsidR="00D67936" w:rsidRPr="008B170D" w:rsidRDefault="00D67936" w:rsidP="00DD7735">
            <w:pPr>
              <w:spacing w:line="480" w:lineRule="auto"/>
              <w:ind w:left="180"/>
              <w:jc w:val="both"/>
              <w:rPr>
                <w:rFonts w:cs="Arial"/>
                <w:bCs/>
                <w:color w:val="FF0000"/>
                <w:sz w:val="18"/>
                <w:szCs w:val="18"/>
              </w:rPr>
            </w:pPr>
            <w:r w:rsidRPr="008B170D">
              <w:rPr>
                <w:rFonts w:cs="Arial"/>
                <w:bCs/>
                <w:color w:val="FF0000"/>
                <w:sz w:val="18"/>
                <w:szCs w:val="18"/>
              </w:rPr>
              <w:t xml:space="preserve">1.REPORTABLE:  </w:t>
            </w:r>
            <w:r>
              <w:rPr>
                <w:rFonts w:cs="Arial"/>
                <w:bCs/>
                <w:color w:val="FF0000"/>
                <w:sz w:val="18"/>
                <w:szCs w:val="18"/>
              </w:rPr>
              <w:t>NO</w:t>
            </w:r>
            <w:r w:rsidRPr="008B170D">
              <w:rPr>
                <w:rFonts w:cs="Arial"/>
                <w:bCs/>
                <w:color w:val="FF0000"/>
                <w:sz w:val="18"/>
                <w:szCs w:val="18"/>
              </w:rPr>
              <w:t xml:space="preserve">                                                               </w:t>
            </w:r>
            <w:r>
              <w:rPr>
                <w:rFonts w:cs="Arial"/>
                <w:bCs/>
                <w:color w:val="FF0000"/>
                <w:sz w:val="18"/>
                <w:szCs w:val="18"/>
              </w:rPr>
              <w:t xml:space="preserve"> </w:t>
            </w:r>
            <w:r w:rsidRPr="008B170D">
              <w:rPr>
                <w:rFonts w:cs="Arial"/>
                <w:bCs/>
                <w:color w:val="FF0000"/>
                <w:sz w:val="18"/>
                <w:szCs w:val="18"/>
              </w:rPr>
              <w:t xml:space="preserve"> </w:t>
            </w:r>
          </w:p>
          <w:p w14:paraId="79971EE2" w14:textId="77777777" w:rsidR="00D67936" w:rsidRPr="008B170D" w:rsidRDefault="00D67936" w:rsidP="00DD7735">
            <w:pPr>
              <w:spacing w:line="480" w:lineRule="auto"/>
              <w:ind w:left="180"/>
              <w:jc w:val="both"/>
              <w:rPr>
                <w:rFonts w:cs="Arial"/>
                <w:bCs/>
                <w:color w:val="FF0000"/>
                <w:sz w:val="18"/>
                <w:szCs w:val="18"/>
              </w:rPr>
            </w:pPr>
            <w:r w:rsidRPr="008B170D">
              <w:rPr>
                <w:rFonts w:cs="Arial"/>
                <w:bCs/>
                <w:color w:val="FF0000"/>
                <w:sz w:val="18"/>
                <w:szCs w:val="18"/>
              </w:rPr>
              <w:t>2.OF INTEREST TO OTHER JUDGES:</w:t>
            </w:r>
            <w:r>
              <w:rPr>
                <w:rFonts w:cs="Arial"/>
                <w:bCs/>
                <w:color w:val="FF0000"/>
                <w:sz w:val="18"/>
                <w:szCs w:val="18"/>
              </w:rPr>
              <w:t xml:space="preserve">  NO</w:t>
            </w:r>
            <w:r w:rsidRPr="008B170D">
              <w:rPr>
                <w:rFonts w:cs="Arial"/>
                <w:bCs/>
                <w:color w:val="FF0000"/>
                <w:sz w:val="18"/>
                <w:szCs w:val="18"/>
              </w:rPr>
              <w:t xml:space="preserve">                               </w:t>
            </w:r>
            <w:r>
              <w:rPr>
                <w:rFonts w:cs="Arial"/>
                <w:bCs/>
                <w:color w:val="FF0000"/>
                <w:sz w:val="18"/>
                <w:szCs w:val="18"/>
              </w:rPr>
              <w:t xml:space="preserve"> </w:t>
            </w:r>
          </w:p>
          <w:p w14:paraId="3588BE50" w14:textId="77777777" w:rsidR="00D67936" w:rsidRPr="008B170D" w:rsidRDefault="00D67936" w:rsidP="00DD7735">
            <w:pPr>
              <w:spacing w:line="480" w:lineRule="auto"/>
              <w:ind w:left="180"/>
              <w:jc w:val="both"/>
              <w:rPr>
                <w:rFonts w:cs="Arial"/>
                <w:bCs/>
                <w:color w:val="FF0000"/>
                <w:sz w:val="18"/>
                <w:szCs w:val="18"/>
              </w:rPr>
            </w:pPr>
            <w:r w:rsidRPr="008B170D">
              <w:rPr>
                <w:rFonts w:cs="Arial"/>
                <w:bCs/>
                <w:color w:val="FF0000"/>
                <w:sz w:val="18"/>
                <w:szCs w:val="18"/>
              </w:rPr>
              <w:t>3.REVISED</w:t>
            </w:r>
            <w:r>
              <w:rPr>
                <w:rFonts w:cs="Arial"/>
                <w:bCs/>
                <w:color w:val="FF0000"/>
                <w:sz w:val="18"/>
                <w:szCs w:val="18"/>
              </w:rPr>
              <w:t xml:space="preserve">:  NO                                                                           </w:t>
            </w:r>
          </w:p>
          <w:p w14:paraId="59F9C06D" w14:textId="77777777" w:rsidR="00D67936" w:rsidRPr="008B170D" w:rsidRDefault="00D67936" w:rsidP="00DD7735">
            <w:pPr>
              <w:spacing w:line="360" w:lineRule="auto"/>
              <w:ind w:left="180"/>
              <w:jc w:val="both"/>
              <w:rPr>
                <w:rFonts w:cs="Arial"/>
                <w:bCs/>
                <w:color w:val="FF0000"/>
                <w:sz w:val="18"/>
                <w:szCs w:val="18"/>
              </w:rPr>
            </w:pPr>
          </w:p>
          <w:p w14:paraId="5D580CBB" w14:textId="234A2F8B" w:rsidR="00D67936" w:rsidRPr="00F04BA1" w:rsidRDefault="00D67936" w:rsidP="00DD7735">
            <w:pPr>
              <w:spacing w:line="360" w:lineRule="auto"/>
              <w:ind w:left="180"/>
              <w:jc w:val="both"/>
              <w:rPr>
                <w:rFonts w:cs="Arial"/>
                <w:sz w:val="16"/>
                <w:szCs w:val="16"/>
              </w:rPr>
            </w:pPr>
            <w:r w:rsidRPr="008B170D">
              <w:rPr>
                <w:rFonts w:cs="Arial"/>
                <w:b/>
                <w:bCs/>
                <w:color w:val="FF0000"/>
                <w:sz w:val="18"/>
                <w:szCs w:val="18"/>
              </w:rPr>
              <w:t xml:space="preserve">                     </w:t>
            </w:r>
            <w:r>
              <w:rPr>
                <w:rFonts w:cs="Arial"/>
                <w:b/>
                <w:bCs/>
                <w:color w:val="FF0000"/>
                <w:sz w:val="18"/>
                <w:szCs w:val="18"/>
              </w:rPr>
              <w:t xml:space="preserve">                                              Acting Judge Goodman</w:t>
            </w:r>
          </w:p>
        </w:tc>
      </w:tr>
    </w:tbl>
    <w:p w14:paraId="4DC0F70F" w14:textId="77777777" w:rsidR="00D67936" w:rsidRDefault="00D67936" w:rsidP="00D67936">
      <w:pPr>
        <w:tabs>
          <w:tab w:val="left" w:pos="-720"/>
        </w:tabs>
        <w:suppressAutoHyphens/>
        <w:rPr>
          <w:rFonts w:cs="Arial"/>
          <w:bCs/>
          <w:spacing w:val="-3"/>
        </w:rPr>
      </w:pPr>
    </w:p>
    <w:p w14:paraId="7ED2E811" w14:textId="77777777" w:rsidR="00D67936" w:rsidRDefault="00D67936" w:rsidP="00D67936">
      <w:pPr>
        <w:tabs>
          <w:tab w:val="left" w:pos="-720"/>
        </w:tabs>
        <w:suppressAutoHyphens/>
        <w:rPr>
          <w:rFonts w:cs="Arial"/>
          <w:bCs/>
          <w:spacing w:val="-3"/>
        </w:rPr>
      </w:pPr>
    </w:p>
    <w:p w14:paraId="7C1DCA69" w14:textId="77777777" w:rsidR="00D67936" w:rsidRDefault="00D67936" w:rsidP="00D67936">
      <w:pPr>
        <w:tabs>
          <w:tab w:val="left" w:pos="-720"/>
        </w:tabs>
        <w:suppressAutoHyphens/>
        <w:rPr>
          <w:rFonts w:cs="Arial"/>
          <w:bCs/>
          <w:spacing w:val="-3"/>
        </w:rPr>
      </w:pPr>
    </w:p>
    <w:p w14:paraId="1DEB101D" w14:textId="77777777" w:rsidR="00D67936" w:rsidRDefault="00D67936" w:rsidP="00D67936">
      <w:pPr>
        <w:tabs>
          <w:tab w:val="left" w:pos="-720"/>
        </w:tabs>
        <w:suppressAutoHyphens/>
        <w:rPr>
          <w:rFonts w:cs="Arial"/>
          <w:bCs/>
          <w:spacing w:val="-3"/>
        </w:rPr>
      </w:pPr>
      <w:r w:rsidRPr="00F04BA1">
        <w:rPr>
          <w:rFonts w:cs="Arial"/>
          <w:bCs/>
          <w:spacing w:val="-3"/>
        </w:rPr>
        <w:t>In the matter between:</w:t>
      </w:r>
    </w:p>
    <w:p w14:paraId="5DD5E6A6" w14:textId="77777777" w:rsidR="00D67936" w:rsidRPr="000F64D9" w:rsidRDefault="00D67936" w:rsidP="00D67936">
      <w:pPr>
        <w:widowControl w:val="0"/>
        <w:tabs>
          <w:tab w:val="right" w:pos="9356"/>
        </w:tabs>
        <w:jc w:val="both"/>
        <w:rPr>
          <w:b/>
        </w:rPr>
      </w:pPr>
    </w:p>
    <w:p w14:paraId="71FE5E65" w14:textId="52CBC7C7" w:rsidR="00D67936" w:rsidRPr="00382F38" w:rsidRDefault="00B0173D" w:rsidP="00D67936">
      <w:pPr>
        <w:widowControl w:val="0"/>
        <w:tabs>
          <w:tab w:val="right" w:pos="9356"/>
        </w:tabs>
        <w:jc w:val="both"/>
        <w:rPr>
          <w:b/>
        </w:rPr>
      </w:pPr>
      <w:r>
        <w:rPr>
          <w:b/>
        </w:rPr>
        <w:t xml:space="preserve">JAN-NIS </w:t>
      </w:r>
      <w:r w:rsidR="00D67936">
        <w:rPr>
          <w:b/>
        </w:rPr>
        <w:t>GO</w:t>
      </w:r>
      <w:r>
        <w:rPr>
          <w:b/>
        </w:rPr>
        <w:t>RTZEN</w:t>
      </w:r>
      <w:r w:rsidR="00D67936">
        <w:rPr>
          <w:b/>
        </w:rPr>
        <w:t xml:space="preserve"> </w:t>
      </w:r>
      <w:r w:rsidR="00D67936" w:rsidRPr="00382F38">
        <w:rPr>
          <w:b/>
        </w:rPr>
        <w:t xml:space="preserve">                                                            </w:t>
      </w:r>
      <w:r>
        <w:rPr>
          <w:b/>
        </w:rPr>
        <w:tab/>
        <w:t xml:space="preserve">FIRST </w:t>
      </w:r>
      <w:r w:rsidR="00D67936" w:rsidRPr="00382F38">
        <w:rPr>
          <w:b/>
        </w:rPr>
        <w:t xml:space="preserve">APPELLANT </w:t>
      </w:r>
    </w:p>
    <w:p w14:paraId="651FD38E" w14:textId="77777777" w:rsidR="00B0173D" w:rsidRDefault="00B0173D" w:rsidP="00B0173D">
      <w:pPr>
        <w:widowControl w:val="0"/>
        <w:tabs>
          <w:tab w:val="right" w:pos="9356"/>
        </w:tabs>
        <w:jc w:val="both"/>
        <w:rPr>
          <w:b/>
        </w:rPr>
      </w:pPr>
    </w:p>
    <w:p w14:paraId="4CE8ADF3" w14:textId="42AB4893" w:rsidR="00B0173D" w:rsidRPr="00382F38" w:rsidRDefault="00B0173D" w:rsidP="00B0173D">
      <w:pPr>
        <w:widowControl w:val="0"/>
        <w:tabs>
          <w:tab w:val="right" w:pos="9356"/>
        </w:tabs>
        <w:jc w:val="both"/>
        <w:rPr>
          <w:b/>
        </w:rPr>
      </w:pPr>
      <w:r>
        <w:rPr>
          <w:b/>
        </w:rPr>
        <w:t xml:space="preserve">KATJA HANNA GORTZEN </w:t>
      </w:r>
      <w:r w:rsidRPr="00382F38">
        <w:rPr>
          <w:b/>
        </w:rPr>
        <w:t xml:space="preserve">   </w:t>
      </w:r>
      <w:r>
        <w:rPr>
          <w:b/>
        </w:rPr>
        <w:tab/>
        <w:t xml:space="preserve">SECOND </w:t>
      </w:r>
      <w:r w:rsidRPr="00382F38">
        <w:rPr>
          <w:b/>
        </w:rPr>
        <w:t xml:space="preserve">APPELLANT </w:t>
      </w:r>
    </w:p>
    <w:p w14:paraId="46783EB4" w14:textId="77777777" w:rsidR="00D67936" w:rsidRDefault="00D67936" w:rsidP="00D67936">
      <w:pPr>
        <w:widowControl w:val="0"/>
        <w:tabs>
          <w:tab w:val="right" w:pos="9356"/>
        </w:tabs>
        <w:jc w:val="both"/>
      </w:pPr>
    </w:p>
    <w:p w14:paraId="7C907515" w14:textId="77777777" w:rsidR="00B0173D" w:rsidRDefault="00B0173D" w:rsidP="00D67936">
      <w:pPr>
        <w:widowControl w:val="0"/>
        <w:tabs>
          <w:tab w:val="right" w:pos="9356"/>
        </w:tabs>
        <w:jc w:val="both"/>
      </w:pPr>
    </w:p>
    <w:p w14:paraId="0E0A5C88" w14:textId="77777777" w:rsidR="00D67936" w:rsidRDefault="00D67936" w:rsidP="00D67936">
      <w:pPr>
        <w:widowControl w:val="0"/>
        <w:tabs>
          <w:tab w:val="right" w:pos="9356"/>
        </w:tabs>
        <w:jc w:val="both"/>
      </w:pPr>
      <w:r>
        <w:t xml:space="preserve">and </w:t>
      </w:r>
    </w:p>
    <w:p w14:paraId="3E8C786A" w14:textId="77777777" w:rsidR="00D67936" w:rsidRDefault="00D67936" w:rsidP="00D67936">
      <w:pPr>
        <w:widowControl w:val="0"/>
        <w:tabs>
          <w:tab w:val="right" w:pos="9356"/>
        </w:tabs>
        <w:jc w:val="both"/>
      </w:pPr>
    </w:p>
    <w:p w14:paraId="2DF45E63" w14:textId="6A39611F" w:rsidR="00D67936" w:rsidRPr="00382F38" w:rsidRDefault="00B0173D" w:rsidP="00B0173D">
      <w:pPr>
        <w:widowControl w:val="0"/>
        <w:tabs>
          <w:tab w:val="right" w:pos="9356"/>
        </w:tabs>
        <w:ind w:left="7230" w:hanging="7230"/>
        <w:rPr>
          <w:b/>
        </w:rPr>
      </w:pPr>
      <w:r>
        <w:rPr>
          <w:b/>
        </w:rPr>
        <w:t xml:space="preserve">ARDYN MERYL MOOLMAN </w:t>
      </w:r>
      <w:r>
        <w:rPr>
          <w:b/>
        </w:rPr>
        <w:tab/>
        <w:t xml:space="preserve"> </w:t>
      </w:r>
      <w:r w:rsidR="00D67936" w:rsidRPr="00382F38">
        <w:rPr>
          <w:b/>
        </w:rPr>
        <w:t>RESPONDENT</w:t>
      </w:r>
      <w:r w:rsidR="00D67936" w:rsidRPr="00382F38">
        <w:rPr>
          <w:b/>
        </w:rPr>
        <w:tab/>
      </w:r>
      <w:r w:rsidR="00D67936" w:rsidRPr="00382F38">
        <w:rPr>
          <w:b/>
        </w:rPr>
        <w:tab/>
        <w:t xml:space="preserve">   </w:t>
      </w:r>
    </w:p>
    <w:p w14:paraId="12D5DAAD" w14:textId="77777777" w:rsidR="00D67936" w:rsidRPr="000F64D9" w:rsidRDefault="00D67936" w:rsidP="00D67936">
      <w:pPr>
        <w:pStyle w:val="Tramlines"/>
        <w:rPr>
          <w:rFonts w:cs="Arial"/>
          <w:lang w:val="en-US"/>
        </w:rPr>
      </w:pPr>
      <w:r>
        <w:rPr>
          <w:rFonts w:cs="Arial"/>
          <w:lang w:val="en-US"/>
        </w:rPr>
        <w:t>JUDG</w:t>
      </w:r>
      <w:r w:rsidRPr="00005B36">
        <w:rPr>
          <w:rFonts w:cs="Arial"/>
          <w:lang w:val="en-US"/>
        </w:rPr>
        <w:t>MENT</w:t>
      </w:r>
    </w:p>
    <w:p w14:paraId="3132E91A" w14:textId="77777777" w:rsidR="00D67936" w:rsidRDefault="00D67936" w:rsidP="00D67936">
      <w:pPr>
        <w:tabs>
          <w:tab w:val="left" w:pos="-720"/>
        </w:tabs>
        <w:suppressAutoHyphens/>
        <w:spacing w:line="360" w:lineRule="auto"/>
        <w:jc w:val="both"/>
        <w:rPr>
          <w:rFonts w:cs="Arial"/>
          <w:b/>
          <w:bCs/>
          <w:spacing w:val="-3"/>
        </w:rPr>
      </w:pPr>
    </w:p>
    <w:p w14:paraId="09256483" w14:textId="4685D6A8" w:rsidR="00D67936" w:rsidRPr="00382F38" w:rsidRDefault="00D67936" w:rsidP="00D67936">
      <w:pPr>
        <w:ind w:left="1440" w:hanging="1440"/>
        <w:jc w:val="both"/>
        <w:rPr>
          <w:rFonts w:cs="Arial"/>
          <w:kern w:val="0"/>
          <w:lang w:eastAsia="en-US"/>
        </w:rPr>
      </w:pPr>
      <w:r w:rsidRPr="003E152F">
        <w:rPr>
          <w:rFonts w:cs="Arial"/>
          <w:b/>
        </w:rPr>
        <w:t>Delivered:</w:t>
      </w:r>
      <w:r w:rsidRPr="003E152F">
        <w:rPr>
          <w:rFonts w:cs="Arial"/>
          <w:b/>
        </w:rPr>
        <w:tab/>
      </w:r>
      <w:r w:rsidRPr="003E152F">
        <w:rPr>
          <w:rFonts w:cs="Arial"/>
        </w:rPr>
        <w:t xml:space="preserve">This judgment was handed down electronically by circulation to the parties’ legal representatives by e-mail. The date and time for hand-down is deemed to be 10h00 on </w:t>
      </w:r>
      <w:r w:rsidR="004C52F4">
        <w:rPr>
          <w:rFonts w:cs="Arial"/>
        </w:rPr>
        <w:t>28</w:t>
      </w:r>
      <w:r>
        <w:rPr>
          <w:rFonts w:cs="Arial"/>
          <w:vertAlign w:val="superscript"/>
        </w:rPr>
        <w:t>th</w:t>
      </w:r>
      <w:r>
        <w:rPr>
          <w:rFonts w:cs="Arial"/>
        </w:rPr>
        <w:t xml:space="preserve"> of FEBRUARY </w:t>
      </w:r>
      <w:r w:rsidRPr="003E152F">
        <w:rPr>
          <w:rFonts w:cs="Arial"/>
        </w:rPr>
        <w:t>202</w:t>
      </w:r>
      <w:r>
        <w:rPr>
          <w:rFonts w:cs="Arial"/>
        </w:rPr>
        <w:t>4</w:t>
      </w:r>
      <w:r w:rsidRPr="003E152F">
        <w:rPr>
          <w:rFonts w:cs="Arial"/>
        </w:rPr>
        <w:t>.</w:t>
      </w:r>
    </w:p>
    <w:p w14:paraId="7A8DB5CD" w14:textId="6BA229E1" w:rsidR="00D67936" w:rsidRPr="00F5463C" w:rsidRDefault="00D67936" w:rsidP="00D67936">
      <w:pPr>
        <w:tabs>
          <w:tab w:val="left" w:pos="-720"/>
        </w:tabs>
        <w:suppressAutoHyphens/>
        <w:spacing w:line="360" w:lineRule="auto"/>
        <w:ind w:left="1440" w:hanging="1440"/>
        <w:jc w:val="both"/>
        <w:rPr>
          <w:rFonts w:cs="Arial"/>
          <w:b/>
          <w:bCs/>
          <w:spacing w:val="-3"/>
        </w:rPr>
      </w:pPr>
      <w:r w:rsidRPr="00F5463C">
        <w:rPr>
          <w:rFonts w:cs="Arial"/>
          <w:b/>
          <w:bCs/>
          <w:spacing w:val="-3"/>
        </w:rPr>
        <w:lastRenderedPageBreak/>
        <w:t>Summary:</w:t>
      </w:r>
      <w:r>
        <w:rPr>
          <w:rFonts w:cs="Arial"/>
          <w:b/>
          <w:bCs/>
          <w:spacing w:val="-3"/>
        </w:rPr>
        <w:tab/>
      </w:r>
      <w:r w:rsidRPr="00F5463C">
        <w:rPr>
          <w:rFonts w:cs="Arial"/>
          <w:bCs/>
          <w:spacing w:val="-3"/>
        </w:rPr>
        <w:t>Appeal against</w:t>
      </w:r>
      <w:r w:rsidR="00E46FBA">
        <w:rPr>
          <w:rFonts w:cs="Arial"/>
          <w:bCs/>
          <w:spacing w:val="-3"/>
        </w:rPr>
        <w:t xml:space="preserve"> award of damages for non-disclosure of defects</w:t>
      </w:r>
      <w:r w:rsidRPr="00F5463C">
        <w:rPr>
          <w:rFonts w:cs="Arial"/>
          <w:bCs/>
          <w:spacing w:val="-3"/>
        </w:rPr>
        <w:t xml:space="preserve"> </w:t>
      </w:r>
      <w:r>
        <w:rPr>
          <w:rFonts w:cs="Arial"/>
          <w:bCs/>
          <w:spacing w:val="-3"/>
        </w:rPr>
        <w:t>–</w:t>
      </w:r>
      <w:r w:rsidRPr="00F5463C">
        <w:rPr>
          <w:rFonts w:cs="Arial"/>
          <w:bCs/>
          <w:spacing w:val="-3"/>
        </w:rPr>
        <w:t xml:space="preserve"> </w:t>
      </w:r>
      <w:r w:rsidR="00E46FBA">
        <w:rPr>
          <w:rFonts w:cs="Arial"/>
          <w:bCs/>
          <w:spacing w:val="-3"/>
        </w:rPr>
        <w:t>applicability of voetstoots clause</w:t>
      </w:r>
      <w:r>
        <w:rPr>
          <w:rFonts w:cs="Arial"/>
          <w:bCs/>
          <w:spacing w:val="-3"/>
        </w:rPr>
        <w:t xml:space="preserve"> </w:t>
      </w:r>
      <w:r w:rsidR="00E46FBA">
        <w:rPr>
          <w:rFonts w:cs="Arial"/>
          <w:bCs/>
          <w:spacing w:val="-3"/>
        </w:rPr>
        <w:t>–</w:t>
      </w:r>
      <w:r>
        <w:rPr>
          <w:rFonts w:cs="Arial"/>
          <w:bCs/>
          <w:spacing w:val="-3"/>
        </w:rPr>
        <w:t xml:space="preserve"> </w:t>
      </w:r>
      <w:r w:rsidR="00E46FBA">
        <w:rPr>
          <w:rFonts w:cs="Arial"/>
          <w:bCs/>
          <w:spacing w:val="-3"/>
        </w:rPr>
        <w:t xml:space="preserve">joint and several liability </w:t>
      </w:r>
      <w:r>
        <w:rPr>
          <w:rFonts w:cs="Arial"/>
          <w:bCs/>
          <w:spacing w:val="-3"/>
        </w:rPr>
        <w:t>–</w:t>
      </w:r>
      <w:r w:rsidR="00E46FBA">
        <w:rPr>
          <w:rFonts w:cs="Arial"/>
          <w:bCs/>
          <w:spacing w:val="-3"/>
        </w:rPr>
        <w:t xml:space="preserve"> appeal dismissed </w:t>
      </w:r>
      <w:r>
        <w:rPr>
          <w:rFonts w:cs="Arial"/>
          <w:bCs/>
          <w:spacing w:val="-3"/>
        </w:rPr>
        <w:t xml:space="preserve">with costs. </w:t>
      </w:r>
    </w:p>
    <w:p w14:paraId="29846CDD" w14:textId="77777777" w:rsidR="00D67936" w:rsidRDefault="00D67936" w:rsidP="00D67936">
      <w:pPr>
        <w:tabs>
          <w:tab w:val="left" w:pos="-720"/>
        </w:tabs>
        <w:suppressAutoHyphens/>
        <w:spacing w:line="360" w:lineRule="auto"/>
        <w:jc w:val="both"/>
        <w:rPr>
          <w:rFonts w:cs="Arial"/>
          <w:b/>
          <w:bCs/>
          <w:spacing w:val="-3"/>
          <w:u w:val="single"/>
        </w:rPr>
      </w:pPr>
    </w:p>
    <w:p w14:paraId="5670314E" w14:textId="3A657738" w:rsidR="00D67936" w:rsidRDefault="00E46FBA" w:rsidP="00F73DF6">
      <w:pPr>
        <w:tabs>
          <w:tab w:val="left" w:pos="-720"/>
        </w:tabs>
        <w:suppressAutoHyphens/>
        <w:spacing w:line="360" w:lineRule="auto"/>
        <w:jc w:val="both"/>
        <w:rPr>
          <w:rFonts w:cs="Arial"/>
          <w:b/>
          <w:bCs/>
          <w:spacing w:val="-3"/>
          <w:u w:val="single"/>
        </w:rPr>
      </w:pPr>
      <w:r>
        <w:rPr>
          <w:rFonts w:cs="Arial"/>
          <w:b/>
          <w:bCs/>
          <w:spacing w:val="-3"/>
          <w:u w:val="single"/>
        </w:rPr>
        <w:t>GOODMAN A</w:t>
      </w:r>
      <w:r w:rsidR="00D67936" w:rsidRPr="00F4093B">
        <w:rPr>
          <w:rFonts w:cs="Arial"/>
          <w:b/>
          <w:bCs/>
          <w:spacing w:val="-3"/>
          <w:u w:val="single"/>
        </w:rPr>
        <w:t>J</w:t>
      </w:r>
      <w:r w:rsidR="00D67936">
        <w:rPr>
          <w:rFonts w:cs="Arial"/>
          <w:b/>
          <w:bCs/>
          <w:spacing w:val="-3"/>
          <w:u w:val="single"/>
        </w:rPr>
        <w:t xml:space="preserve"> ( ET </w:t>
      </w:r>
      <w:r>
        <w:rPr>
          <w:rFonts w:cs="Arial"/>
          <w:b/>
          <w:bCs/>
          <w:spacing w:val="-3"/>
          <w:u w:val="single"/>
        </w:rPr>
        <w:t xml:space="preserve"> DIPPENAAR </w:t>
      </w:r>
      <w:r w:rsidR="00D67936">
        <w:rPr>
          <w:rFonts w:cs="Arial"/>
          <w:b/>
          <w:bCs/>
          <w:spacing w:val="-3"/>
          <w:u w:val="single"/>
        </w:rPr>
        <w:t>J CONCURRING)</w:t>
      </w:r>
    </w:p>
    <w:p w14:paraId="6242BCB3" w14:textId="77777777" w:rsidR="00F73DF6" w:rsidRDefault="00F73DF6" w:rsidP="00F73DF6">
      <w:pPr>
        <w:tabs>
          <w:tab w:val="left" w:pos="-720"/>
        </w:tabs>
        <w:suppressAutoHyphens/>
        <w:spacing w:line="360" w:lineRule="auto"/>
        <w:jc w:val="both"/>
        <w:rPr>
          <w:rFonts w:cs="Arial"/>
          <w:b/>
          <w:bCs/>
          <w:spacing w:val="-3"/>
          <w:u w:val="single"/>
        </w:rPr>
      </w:pPr>
    </w:p>
    <w:p w14:paraId="0F536027" w14:textId="5D17EFF2" w:rsidR="00F73DF6" w:rsidRPr="00F73DF6" w:rsidRDefault="00F73DF6" w:rsidP="00F73DF6">
      <w:pPr>
        <w:tabs>
          <w:tab w:val="left" w:pos="-720"/>
        </w:tabs>
        <w:suppressAutoHyphens/>
        <w:spacing w:line="360" w:lineRule="auto"/>
        <w:jc w:val="both"/>
        <w:rPr>
          <w:rFonts w:cs="Arial"/>
          <w:b/>
          <w:bCs/>
          <w:spacing w:val="-3"/>
        </w:rPr>
      </w:pPr>
      <w:r w:rsidRPr="00F73DF6">
        <w:rPr>
          <w:rFonts w:cs="Arial"/>
          <w:b/>
          <w:bCs/>
          <w:spacing w:val="-3"/>
        </w:rPr>
        <w:t>INTRODUCTION</w:t>
      </w:r>
    </w:p>
    <w:p w14:paraId="2279A949" w14:textId="77777777" w:rsidR="00F73DF6" w:rsidRPr="00F73DF6" w:rsidRDefault="00F73DF6" w:rsidP="00F73DF6">
      <w:pPr>
        <w:tabs>
          <w:tab w:val="left" w:pos="-720"/>
        </w:tabs>
        <w:suppressAutoHyphens/>
        <w:spacing w:line="360" w:lineRule="auto"/>
        <w:jc w:val="both"/>
        <w:rPr>
          <w:rFonts w:cs="Arial"/>
          <w:b/>
          <w:bCs/>
          <w:spacing w:val="-3"/>
        </w:rPr>
      </w:pPr>
    </w:p>
    <w:p w14:paraId="27B84876" w14:textId="5692CFF4" w:rsidR="009117F8" w:rsidRDefault="00E55D0A" w:rsidP="00E55D0A">
      <w:pPr>
        <w:pStyle w:val="level1"/>
        <w:tabs>
          <w:tab w:val="left" w:pos="680"/>
        </w:tabs>
        <w:spacing w:after="480" w:line="360" w:lineRule="auto"/>
        <w:ind w:left="680" w:hanging="680"/>
        <w:jc w:val="both"/>
        <w:rPr>
          <w:lang w:val="en-US"/>
        </w:rPr>
      </w:pPr>
      <w:r>
        <w:rPr>
          <w:lang w:val="en-US"/>
        </w:rPr>
        <w:t>[1]</w:t>
      </w:r>
      <w:r>
        <w:rPr>
          <w:lang w:val="en-US"/>
        </w:rPr>
        <w:tab/>
      </w:r>
      <w:r w:rsidR="00D67936">
        <w:rPr>
          <w:lang w:val="en-US"/>
        </w:rPr>
        <w:t xml:space="preserve">This appeal arises </w:t>
      </w:r>
      <w:r w:rsidR="008F2406">
        <w:rPr>
          <w:lang w:val="en-US"/>
        </w:rPr>
        <w:t xml:space="preserve">out of a claim, brought by the respondent, for a reduction of the purchase price, alternatively damages, </w:t>
      </w:r>
      <w:r w:rsidR="00F73DF6">
        <w:rPr>
          <w:lang w:val="en-US"/>
        </w:rPr>
        <w:t xml:space="preserve">arising from </w:t>
      </w:r>
      <w:r w:rsidR="008F2406">
        <w:rPr>
          <w:lang w:val="en-US"/>
        </w:rPr>
        <w:t xml:space="preserve">undisclosed defects in the property that </w:t>
      </w:r>
      <w:r w:rsidR="00F73DF6">
        <w:rPr>
          <w:lang w:val="en-US"/>
        </w:rPr>
        <w:t xml:space="preserve">the respondent </w:t>
      </w:r>
      <w:r w:rsidR="008F2406">
        <w:rPr>
          <w:lang w:val="en-US"/>
        </w:rPr>
        <w:t xml:space="preserve">had bought from the appellants – namely, damp in </w:t>
      </w:r>
      <w:r w:rsidR="00006348">
        <w:rPr>
          <w:lang w:val="en-US"/>
        </w:rPr>
        <w:t xml:space="preserve">the internal and external walls of </w:t>
      </w:r>
      <w:r w:rsidR="008F2406">
        <w:rPr>
          <w:lang w:val="en-US"/>
        </w:rPr>
        <w:t>the property, as well as a crack in the swimming pool. The respondent also sought the return of certain specified fixtures that she said had been improperly removed from the property</w:t>
      </w:r>
      <w:r w:rsidR="00F73DF6">
        <w:rPr>
          <w:lang w:val="en-US"/>
        </w:rPr>
        <w:t xml:space="preserve"> prior to transfer</w:t>
      </w:r>
      <w:r w:rsidR="008F2406">
        <w:rPr>
          <w:lang w:val="en-US"/>
        </w:rPr>
        <w:t>.</w:t>
      </w:r>
    </w:p>
    <w:p w14:paraId="5D3B5D2E" w14:textId="559880D2" w:rsidR="009117F8" w:rsidRDefault="00E55D0A" w:rsidP="00E55D0A">
      <w:pPr>
        <w:pStyle w:val="level1"/>
        <w:tabs>
          <w:tab w:val="left" w:pos="680"/>
        </w:tabs>
        <w:spacing w:after="480" w:line="360" w:lineRule="auto"/>
        <w:ind w:left="680" w:hanging="680"/>
        <w:jc w:val="both"/>
        <w:rPr>
          <w:lang w:val="en-US"/>
        </w:rPr>
      </w:pPr>
      <w:r>
        <w:rPr>
          <w:lang w:val="en-US"/>
        </w:rPr>
        <w:t>[2]</w:t>
      </w:r>
      <w:r>
        <w:rPr>
          <w:lang w:val="en-US"/>
        </w:rPr>
        <w:tab/>
      </w:r>
      <w:r w:rsidR="008F2406" w:rsidRPr="009117F8">
        <w:rPr>
          <w:lang w:val="en-US"/>
        </w:rPr>
        <w:t>On 27 January 2021, t</w:t>
      </w:r>
      <w:r w:rsidR="00D67936" w:rsidRPr="009117F8">
        <w:rPr>
          <w:lang w:val="en-US"/>
        </w:rPr>
        <w:t xml:space="preserve">he </w:t>
      </w:r>
      <w:r w:rsidR="00E46FBA" w:rsidRPr="009117F8">
        <w:rPr>
          <w:lang w:val="en-US"/>
        </w:rPr>
        <w:t>Roodepoort</w:t>
      </w:r>
      <w:r w:rsidR="00D67936" w:rsidRPr="009117F8">
        <w:rPr>
          <w:lang w:val="en-US"/>
        </w:rPr>
        <w:t xml:space="preserve"> Magistrates Court (“the court </w:t>
      </w:r>
      <w:r w:rsidR="00D67936" w:rsidRPr="009117F8">
        <w:rPr>
          <w:i/>
          <w:lang w:val="en-US"/>
        </w:rPr>
        <w:t>a quo</w:t>
      </w:r>
      <w:r w:rsidR="00D67936" w:rsidRPr="009117F8">
        <w:rPr>
          <w:lang w:val="en-US"/>
        </w:rPr>
        <w:t xml:space="preserve">”) </w:t>
      </w:r>
      <w:r w:rsidR="008F2406" w:rsidRPr="009117F8">
        <w:rPr>
          <w:lang w:val="en-US"/>
        </w:rPr>
        <w:t xml:space="preserve">upheld the respondent’s claim in respect of damp (but not the swimming pool or the fixtures), and directed the </w:t>
      </w:r>
      <w:r w:rsidR="00E46FBA" w:rsidRPr="009117F8">
        <w:rPr>
          <w:lang w:val="en-US"/>
        </w:rPr>
        <w:t xml:space="preserve">first and second appellants, jointly and severally, </w:t>
      </w:r>
      <w:r w:rsidR="008F2406" w:rsidRPr="009117F8">
        <w:rPr>
          <w:lang w:val="en-US"/>
        </w:rPr>
        <w:t xml:space="preserve">to pay the respondents </w:t>
      </w:r>
      <w:r w:rsidR="00E46FBA" w:rsidRPr="009117F8">
        <w:rPr>
          <w:lang w:val="en-US"/>
        </w:rPr>
        <w:t xml:space="preserve">an amount of R244 855.00, plus interest, as well as </w:t>
      </w:r>
      <w:r w:rsidR="008F2406" w:rsidRPr="009117F8">
        <w:rPr>
          <w:lang w:val="en-US"/>
        </w:rPr>
        <w:t xml:space="preserve">the </w:t>
      </w:r>
      <w:r w:rsidR="00E46FBA" w:rsidRPr="009117F8">
        <w:rPr>
          <w:lang w:val="en-US"/>
        </w:rPr>
        <w:t xml:space="preserve">costs of suit, in respect </w:t>
      </w:r>
      <w:r w:rsidR="00006348" w:rsidRPr="009117F8">
        <w:rPr>
          <w:lang w:val="en-US"/>
        </w:rPr>
        <w:t>there</w:t>
      </w:r>
      <w:r w:rsidR="00E46FBA" w:rsidRPr="009117F8">
        <w:rPr>
          <w:lang w:val="en-US"/>
        </w:rPr>
        <w:t xml:space="preserve">of. </w:t>
      </w:r>
    </w:p>
    <w:p w14:paraId="5BC8B0EC" w14:textId="3783C7E5" w:rsidR="009117F8" w:rsidRDefault="00E55D0A" w:rsidP="00E55D0A">
      <w:pPr>
        <w:pStyle w:val="level1"/>
        <w:tabs>
          <w:tab w:val="left" w:pos="680"/>
        </w:tabs>
        <w:spacing w:after="480" w:line="360" w:lineRule="auto"/>
        <w:ind w:left="680" w:hanging="680"/>
        <w:jc w:val="both"/>
        <w:rPr>
          <w:lang w:val="en-US"/>
        </w:rPr>
      </w:pPr>
      <w:r>
        <w:rPr>
          <w:lang w:val="en-US"/>
        </w:rPr>
        <w:t>[3]</w:t>
      </w:r>
      <w:r>
        <w:rPr>
          <w:lang w:val="en-US"/>
        </w:rPr>
        <w:tab/>
      </w:r>
      <w:r w:rsidR="00E46FBA" w:rsidRPr="009117F8">
        <w:rPr>
          <w:lang w:val="en-US"/>
        </w:rPr>
        <w:t xml:space="preserve">The appellants each appeal the judgment and order insofar as it applies to them. </w:t>
      </w:r>
      <w:r w:rsidR="000A7AB7">
        <w:rPr>
          <w:lang w:val="en-US"/>
        </w:rPr>
        <w:t>T</w:t>
      </w:r>
      <w:r w:rsidR="00E46FBA" w:rsidRPr="009117F8">
        <w:rPr>
          <w:lang w:val="en-US"/>
        </w:rPr>
        <w:t xml:space="preserve">hey were separately represented both in the court </w:t>
      </w:r>
      <w:r w:rsidR="00E46FBA" w:rsidRPr="009117F8">
        <w:rPr>
          <w:i/>
          <w:iCs/>
          <w:lang w:val="en-US"/>
        </w:rPr>
        <w:t>a quo</w:t>
      </w:r>
      <w:r w:rsidR="00E46FBA" w:rsidRPr="009117F8">
        <w:rPr>
          <w:lang w:val="en-US"/>
        </w:rPr>
        <w:t xml:space="preserve"> and in this Court, and their grounds of appeal differ</w:t>
      </w:r>
      <w:r w:rsidR="009117F8">
        <w:rPr>
          <w:lang w:val="en-US"/>
        </w:rPr>
        <w:t>.</w:t>
      </w:r>
      <w:r w:rsidR="00325024">
        <w:rPr>
          <w:lang w:val="en-US"/>
        </w:rPr>
        <w:t xml:space="preserve"> The respondent did not cross-appeal, meaning that the damp claim is the only issue subject to appeal.</w:t>
      </w:r>
    </w:p>
    <w:p w14:paraId="7A213110" w14:textId="77777777" w:rsidR="009117F8" w:rsidRPr="00F73DF6" w:rsidRDefault="009117F8" w:rsidP="009117F8">
      <w:pPr>
        <w:pStyle w:val="level1"/>
        <w:spacing w:after="480" w:line="360" w:lineRule="auto"/>
        <w:jc w:val="both"/>
        <w:rPr>
          <w:b/>
          <w:bCs/>
          <w:lang w:val="en-US"/>
        </w:rPr>
      </w:pPr>
      <w:r w:rsidRPr="00F73DF6">
        <w:rPr>
          <w:b/>
          <w:bCs/>
          <w:lang w:val="en-US"/>
        </w:rPr>
        <w:t>LAPSING OF THE APPEA</w:t>
      </w:r>
      <w:r>
        <w:rPr>
          <w:b/>
          <w:bCs/>
          <w:lang w:val="en-US"/>
        </w:rPr>
        <w:t>L</w:t>
      </w:r>
    </w:p>
    <w:p w14:paraId="6C66400D" w14:textId="6A0406BF" w:rsidR="009117F8" w:rsidRDefault="00E55D0A" w:rsidP="00E55D0A">
      <w:pPr>
        <w:pStyle w:val="level1"/>
        <w:tabs>
          <w:tab w:val="left" w:pos="680"/>
        </w:tabs>
        <w:spacing w:after="480" w:line="360" w:lineRule="auto"/>
        <w:ind w:left="680" w:hanging="680"/>
        <w:jc w:val="both"/>
        <w:rPr>
          <w:lang w:val="en-US"/>
        </w:rPr>
      </w:pPr>
      <w:r>
        <w:rPr>
          <w:lang w:val="en-US"/>
        </w:rPr>
        <w:t>[4]</w:t>
      </w:r>
      <w:r>
        <w:rPr>
          <w:lang w:val="en-US"/>
        </w:rPr>
        <w:tab/>
      </w:r>
      <w:r w:rsidR="00F73DF6" w:rsidRPr="009117F8">
        <w:rPr>
          <w:lang w:val="en-US"/>
        </w:rPr>
        <w:t xml:space="preserve">At the outset, the respondent objected that the appeal had lapsed, and ought to be dismissed on that basis alone. That, it was submitted, was because the appeal had not been timeously prosecuted, within the meaning of Rule 50(1) of the Uniform Rules. </w:t>
      </w:r>
    </w:p>
    <w:p w14:paraId="04AF6EF3" w14:textId="00842ECC" w:rsidR="009117F8" w:rsidRDefault="00E55D0A" w:rsidP="00E55D0A">
      <w:pPr>
        <w:pStyle w:val="level1"/>
        <w:tabs>
          <w:tab w:val="left" w:pos="680"/>
        </w:tabs>
        <w:spacing w:after="480" w:line="360" w:lineRule="auto"/>
        <w:ind w:left="680" w:hanging="680"/>
        <w:jc w:val="both"/>
        <w:rPr>
          <w:lang w:val="en-US"/>
        </w:rPr>
      </w:pPr>
      <w:r>
        <w:rPr>
          <w:lang w:val="en-US"/>
        </w:rPr>
        <w:lastRenderedPageBreak/>
        <w:t>[5]</w:t>
      </w:r>
      <w:r>
        <w:rPr>
          <w:lang w:val="en-US"/>
        </w:rPr>
        <w:tab/>
      </w:r>
      <w:r w:rsidR="00006348" w:rsidRPr="009117F8">
        <w:rPr>
          <w:lang w:val="en-US"/>
        </w:rPr>
        <w:t>Rule 50(1) requires that an appe</w:t>
      </w:r>
      <w:r w:rsidR="00991D13" w:rsidRPr="009117F8">
        <w:rPr>
          <w:lang w:val="en-US"/>
        </w:rPr>
        <w:t>a</w:t>
      </w:r>
      <w:r w:rsidR="00006348" w:rsidRPr="009117F8">
        <w:rPr>
          <w:lang w:val="en-US"/>
        </w:rPr>
        <w:t>l be “</w:t>
      </w:r>
      <w:r w:rsidR="00006348" w:rsidRPr="009117F8">
        <w:rPr>
          <w:i/>
          <w:iCs/>
          <w:lang w:val="en-US"/>
        </w:rPr>
        <w:t xml:space="preserve">prosecuted” </w:t>
      </w:r>
      <w:r w:rsidR="00006348" w:rsidRPr="009117F8">
        <w:rPr>
          <w:lang w:val="en-US"/>
        </w:rPr>
        <w:t>within 60 days after it has been noted. To prosecute the appeal, an appellant must</w:t>
      </w:r>
      <w:r w:rsidR="00991D13" w:rsidRPr="009117F8">
        <w:rPr>
          <w:lang w:val="en-US"/>
        </w:rPr>
        <w:t xml:space="preserve"> lodge two copies of the re</w:t>
      </w:r>
      <w:r w:rsidR="00B83B42">
        <w:rPr>
          <w:lang w:val="en-US"/>
        </w:rPr>
        <w:t>c</w:t>
      </w:r>
      <w:r w:rsidR="00991D13" w:rsidRPr="009117F8">
        <w:rPr>
          <w:lang w:val="en-US"/>
        </w:rPr>
        <w:t>ord with the registrar</w:t>
      </w:r>
      <w:r w:rsidR="00991D13">
        <w:rPr>
          <w:rStyle w:val="FootnoteReference"/>
          <w:lang w:val="en-US"/>
        </w:rPr>
        <w:footnoteReference w:id="1"/>
      </w:r>
      <w:r w:rsidR="00991D13" w:rsidRPr="009117F8">
        <w:rPr>
          <w:lang w:val="en-US"/>
        </w:rPr>
        <w:t xml:space="preserve"> and</w:t>
      </w:r>
      <w:r w:rsidR="00006348" w:rsidRPr="009117F8">
        <w:rPr>
          <w:lang w:val="en-US"/>
        </w:rPr>
        <w:t xml:space="preserve"> apply, in writing, on notice to all parties, for a hearing date for the appeal.</w:t>
      </w:r>
      <w:r w:rsidR="00006348">
        <w:rPr>
          <w:rStyle w:val="FootnoteReference"/>
          <w:lang w:val="en-US"/>
        </w:rPr>
        <w:footnoteReference w:id="2"/>
      </w:r>
      <w:r w:rsidR="00006348" w:rsidRPr="009117F8">
        <w:rPr>
          <w:lang w:val="en-US"/>
        </w:rPr>
        <w:t xml:space="preserve"> </w:t>
      </w:r>
      <w:r w:rsidR="00F73DF6" w:rsidRPr="009117F8">
        <w:rPr>
          <w:lang w:val="en-US"/>
        </w:rPr>
        <w:t>The</w:t>
      </w:r>
      <w:r w:rsidR="00991D13" w:rsidRPr="009117F8">
        <w:rPr>
          <w:lang w:val="en-US"/>
        </w:rPr>
        <w:t xml:space="preserve"> registrar may not assign a hearing date unless the record has been filed in compliance with Rule 50(7).</w:t>
      </w:r>
      <w:r w:rsidR="00991D13">
        <w:rPr>
          <w:rStyle w:val="FootnoteReference"/>
          <w:lang w:val="en-US"/>
        </w:rPr>
        <w:footnoteReference w:id="3"/>
      </w:r>
    </w:p>
    <w:p w14:paraId="744360A2" w14:textId="5643C25C" w:rsidR="009117F8" w:rsidRDefault="00E55D0A" w:rsidP="00E55D0A">
      <w:pPr>
        <w:pStyle w:val="level1"/>
        <w:tabs>
          <w:tab w:val="left" w:pos="680"/>
        </w:tabs>
        <w:spacing w:after="480" w:line="360" w:lineRule="auto"/>
        <w:ind w:left="680" w:hanging="680"/>
        <w:jc w:val="both"/>
        <w:rPr>
          <w:lang w:val="en-US"/>
        </w:rPr>
      </w:pPr>
      <w:r>
        <w:rPr>
          <w:lang w:val="en-US"/>
        </w:rPr>
        <w:t>[6]</w:t>
      </w:r>
      <w:r>
        <w:rPr>
          <w:lang w:val="en-US"/>
        </w:rPr>
        <w:tab/>
      </w:r>
      <w:r w:rsidR="00991D13" w:rsidRPr="009117F8">
        <w:rPr>
          <w:lang w:val="en-US"/>
        </w:rPr>
        <w:t xml:space="preserve">It is common cause that the respondents in this case timeously noted an appeal, and then lodged a record and applied for a set down date within the requisite period. But the respondent submits that the record lodged did not comply with Rule 50(7), both because it was not properly indexed and paginated and because it was incomplete. That was </w:t>
      </w:r>
      <w:r w:rsidR="00B83B42">
        <w:rPr>
          <w:lang w:val="en-US"/>
        </w:rPr>
        <w:t xml:space="preserve">claimed to be </w:t>
      </w:r>
      <w:r w:rsidR="00991D13" w:rsidRPr="009117F8">
        <w:rPr>
          <w:lang w:val="en-US"/>
        </w:rPr>
        <w:t>clear from the issues raised in the July 202</w:t>
      </w:r>
      <w:r w:rsidR="00542DB6" w:rsidRPr="009117F8">
        <w:rPr>
          <w:lang w:val="en-US"/>
        </w:rPr>
        <w:t>2</w:t>
      </w:r>
      <w:r w:rsidR="00991D13" w:rsidRPr="009117F8">
        <w:rPr>
          <w:lang w:val="en-US"/>
        </w:rPr>
        <w:t xml:space="preserve"> directive of Adams J, which required certain corrections to</w:t>
      </w:r>
      <w:r w:rsidR="00542DB6" w:rsidRPr="009117F8">
        <w:rPr>
          <w:lang w:val="en-US"/>
        </w:rPr>
        <w:t xml:space="preserve"> be made to</w:t>
      </w:r>
      <w:r w:rsidR="00991D13" w:rsidRPr="009117F8">
        <w:rPr>
          <w:lang w:val="en-US"/>
        </w:rPr>
        <w:t xml:space="preserve"> the record before the matter could be heard. According to the respondent, it meant that the provisions of Rule 50(5) and (7) had not been complied with in the 60-day period</w:t>
      </w:r>
      <w:r w:rsidR="00845473">
        <w:rPr>
          <w:lang w:val="en-US"/>
        </w:rPr>
        <w:t xml:space="preserve"> and the appeal had therefore lapsed</w:t>
      </w:r>
      <w:r w:rsidR="00991D13" w:rsidRPr="009117F8">
        <w:rPr>
          <w:lang w:val="en-US"/>
        </w:rPr>
        <w:t xml:space="preserve">. There is, moreover, no adequate explanation for the delay in setting the appeal down after the record had been corrected and re-lodged. On either basis, the </w:t>
      </w:r>
      <w:r w:rsidR="00F73DF6" w:rsidRPr="009117F8">
        <w:rPr>
          <w:lang w:val="en-US"/>
        </w:rPr>
        <w:t xml:space="preserve">respondent </w:t>
      </w:r>
      <w:r w:rsidR="00991D13" w:rsidRPr="009117F8">
        <w:rPr>
          <w:lang w:val="en-US"/>
        </w:rPr>
        <w:t>submits that the appeal lapsed.</w:t>
      </w:r>
    </w:p>
    <w:p w14:paraId="2E0F8519" w14:textId="2B5E287B" w:rsidR="009117F8" w:rsidRDefault="00E55D0A" w:rsidP="00E55D0A">
      <w:pPr>
        <w:pStyle w:val="level1"/>
        <w:tabs>
          <w:tab w:val="left" w:pos="680"/>
        </w:tabs>
        <w:spacing w:after="480" w:line="360" w:lineRule="auto"/>
        <w:ind w:left="680" w:hanging="680"/>
        <w:jc w:val="both"/>
        <w:rPr>
          <w:lang w:val="en-US"/>
        </w:rPr>
      </w:pPr>
      <w:r>
        <w:rPr>
          <w:lang w:val="en-US"/>
        </w:rPr>
        <w:t>[7]</w:t>
      </w:r>
      <w:r>
        <w:rPr>
          <w:lang w:val="en-US"/>
        </w:rPr>
        <w:tab/>
      </w:r>
      <w:r w:rsidR="00991D13" w:rsidRPr="009117F8">
        <w:rPr>
          <w:lang w:val="en-US"/>
        </w:rPr>
        <w:t xml:space="preserve">The </w:t>
      </w:r>
      <w:r w:rsidR="00325024">
        <w:rPr>
          <w:lang w:val="en-US"/>
        </w:rPr>
        <w:t xml:space="preserve">appellants </w:t>
      </w:r>
      <w:r w:rsidR="00991D13" w:rsidRPr="009117F8">
        <w:rPr>
          <w:lang w:val="en-US"/>
        </w:rPr>
        <w:t xml:space="preserve">submit that a complete record </w:t>
      </w:r>
      <w:r w:rsidR="00991D13" w:rsidRPr="009117F8">
        <w:rPr>
          <w:i/>
          <w:iCs/>
          <w:lang w:val="en-US"/>
        </w:rPr>
        <w:t xml:space="preserve">was </w:t>
      </w:r>
      <w:r w:rsidR="00991D13" w:rsidRPr="009117F8">
        <w:rPr>
          <w:lang w:val="en-US"/>
        </w:rPr>
        <w:t xml:space="preserve">timeously lodged, and that Adams J merely required </w:t>
      </w:r>
      <w:r w:rsidR="00325024">
        <w:rPr>
          <w:lang w:val="en-US"/>
        </w:rPr>
        <w:t xml:space="preserve">extraneous material to be excised, documents to be </w:t>
      </w:r>
      <w:r w:rsidR="00991D13" w:rsidRPr="009117F8">
        <w:rPr>
          <w:lang w:val="en-US"/>
        </w:rPr>
        <w:t xml:space="preserve">paginated and bundled in </w:t>
      </w:r>
      <w:r w:rsidR="00542DB6" w:rsidRPr="009117F8">
        <w:rPr>
          <w:lang w:val="en-US"/>
        </w:rPr>
        <w:t>a manner that accorded with the requirements of Caselines, and for practice notes to be updated</w:t>
      </w:r>
      <w:r w:rsidR="00325024">
        <w:rPr>
          <w:lang w:val="en-US"/>
        </w:rPr>
        <w:t xml:space="preserve"> to refer to the relevant parts</w:t>
      </w:r>
      <w:r w:rsidR="00991D13" w:rsidRPr="009117F8">
        <w:rPr>
          <w:lang w:val="en-US"/>
        </w:rPr>
        <w:t xml:space="preserve">. </w:t>
      </w:r>
      <w:r w:rsidR="00890869" w:rsidRPr="009117F8">
        <w:rPr>
          <w:lang w:val="en-US"/>
        </w:rPr>
        <w:t xml:space="preserve">The </w:t>
      </w:r>
      <w:r w:rsidR="00991D13" w:rsidRPr="009117F8">
        <w:rPr>
          <w:lang w:val="en-US"/>
        </w:rPr>
        <w:t xml:space="preserve">appeal </w:t>
      </w:r>
      <w:r w:rsidR="00890869" w:rsidRPr="009117F8">
        <w:rPr>
          <w:lang w:val="en-US"/>
        </w:rPr>
        <w:t xml:space="preserve">consequently had to </w:t>
      </w:r>
      <w:r w:rsidR="00991D13" w:rsidRPr="009117F8">
        <w:rPr>
          <w:lang w:val="en-US"/>
        </w:rPr>
        <w:t xml:space="preserve">be removed from the roll, and revised heads of argument </w:t>
      </w:r>
      <w:r w:rsidR="00542DB6" w:rsidRPr="009117F8">
        <w:rPr>
          <w:lang w:val="en-US"/>
        </w:rPr>
        <w:t>submitted, as well as papers in the condonation application exchanged, before it was ripe to be set down again. They accordingly submitted that the appeal had been timeously prosecuted and had not lapsed, but</w:t>
      </w:r>
      <w:r w:rsidR="00B83B42">
        <w:rPr>
          <w:lang w:val="en-US"/>
        </w:rPr>
        <w:t xml:space="preserve"> they nevertheless</w:t>
      </w:r>
      <w:r w:rsidR="00542DB6" w:rsidRPr="009117F8">
        <w:rPr>
          <w:lang w:val="en-US"/>
        </w:rPr>
        <w:t xml:space="preserve"> sought condonation to the extent that it had.</w:t>
      </w:r>
    </w:p>
    <w:p w14:paraId="21BC9A3D" w14:textId="1BBC8C46" w:rsidR="00351BD5" w:rsidRPr="004C52F4" w:rsidRDefault="00E55D0A" w:rsidP="00E55D0A">
      <w:pPr>
        <w:pStyle w:val="level1"/>
        <w:tabs>
          <w:tab w:val="left" w:pos="680"/>
        </w:tabs>
        <w:spacing w:after="480" w:line="360" w:lineRule="auto"/>
        <w:ind w:left="680" w:hanging="680"/>
        <w:jc w:val="both"/>
        <w:rPr>
          <w:b/>
          <w:bCs/>
          <w:lang w:val="en-US"/>
        </w:rPr>
      </w:pPr>
      <w:r w:rsidRPr="004C52F4">
        <w:rPr>
          <w:lang w:val="en-US"/>
        </w:rPr>
        <w:lastRenderedPageBreak/>
        <w:t>[8]</w:t>
      </w:r>
      <w:r w:rsidRPr="004C52F4">
        <w:rPr>
          <w:lang w:val="en-US"/>
        </w:rPr>
        <w:tab/>
      </w:r>
      <w:r w:rsidR="00890869" w:rsidRPr="000A0C98">
        <w:rPr>
          <w:lang w:val="en-US"/>
        </w:rPr>
        <w:t>While the July 2022 directive identifies certain flaws in the manner in which the record was presented to the Court and referred to in the parties’ practice notes, it did not find the record to be defective, nor did it strike the appeal from the roll for non-compliance with the Rules. Instead, Adams J afford</w:t>
      </w:r>
      <w:r w:rsidR="00351BD5">
        <w:rPr>
          <w:lang w:val="en-US"/>
        </w:rPr>
        <w:t>ed</w:t>
      </w:r>
      <w:r w:rsidR="00890869" w:rsidRPr="000A0C98">
        <w:rPr>
          <w:lang w:val="en-US"/>
        </w:rPr>
        <w:t xml:space="preserve"> the parties an opportunity to </w:t>
      </w:r>
      <w:r w:rsidR="00786566" w:rsidRPr="000A0C98">
        <w:rPr>
          <w:lang w:val="en-US"/>
        </w:rPr>
        <w:t xml:space="preserve">remedy </w:t>
      </w:r>
      <w:r w:rsidR="00325024" w:rsidRPr="000A0C98">
        <w:rPr>
          <w:lang w:val="en-US"/>
        </w:rPr>
        <w:t xml:space="preserve">any </w:t>
      </w:r>
      <w:r w:rsidR="00786566" w:rsidRPr="000A0C98">
        <w:rPr>
          <w:lang w:val="en-US"/>
        </w:rPr>
        <w:t xml:space="preserve">defects. We cannot, in those circumstances, find that the appeal lapsed for non-compliance with Rule 50. Nor </w:t>
      </w:r>
      <w:r w:rsidR="00845473" w:rsidRPr="000A0C98">
        <w:rPr>
          <w:lang w:val="en-US"/>
        </w:rPr>
        <w:t>should</w:t>
      </w:r>
      <w:r w:rsidR="00786566" w:rsidRPr="000A0C98">
        <w:rPr>
          <w:lang w:val="en-US"/>
        </w:rPr>
        <w:t xml:space="preserve"> the appellants be non-suited for their failure to set the matter down more swiftly after it had been removed from the roll. Their explanation for the time taken in this regard is reasonable, and provides good cause for the delay. In any event, it was open to the respondent herself to seek to set the appeal down, if she considered it ripe.</w:t>
      </w:r>
      <w:r w:rsidR="000605A8" w:rsidRPr="000A0C98">
        <w:rPr>
          <w:lang w:val="en-US"/>
        </w:rPr>
        <w:t xml:space="preserve"> Having failed to do so, she cannot succeed in a complaint that the appeal has lapsed by virtue of delay.</w:t>
      </w:r>
    </w:p>
    <w:p w14:paraId="2164AAEC" w14:textId="666B96C4" w:rsidR="009117F8" w:rsidRPr="000A0C98" w:rsidRDefault="009117F8" w:rsidP="00351BD5">
      <w:pPr>
        <w:pStyle w:val="level1"/>
        <w:spacing w:after="480" w:line="360" w:lineRule="auto"/>
        <w:jc w:val="both"/>
        <w:rPr>
          <w:b/>
          <w:bCs/>
          <w:lang w:val="en-US"/>
        </w:rPr>
      </w:pPr>
      <w:r w:rsidRPr="000A0C98">
        <w:rPr>
          <w:b/>
          <w:bCs/>
          <w:lang w:val="en-US"/>
        </w:rPr>
        <w:t>MERITS</w:t>
      </w:r>
    </w:p>
    <w:p w14:paraId="355A351C" w14:textId="5702A68E" w:rsidR="009117F8" w:rsidRDefault="00E55D0A" w:rsidP="00E55D0A">
      <w:pPr>
        <w:pStyle w:val="level1"/>
        <w:tabs>
          <w:tab w:val="left" w:pos="680"/>
        </w:tabs>
        <w:spacing w:after="480" w:line="360" w:lineRule="auto"/>
        <w:ind w:left="680" w:hanging="680"/>
        <w:jc w:val="both"/>
        <w:rPr>
          <w:lang w:val="en-US"/>
        </w:rPr>
      </w:pPr>
      <w:r>
        <w:rPr>
          <w:lang w:val="en-US"/>
        </w:rPr>
        <w:t>[9]</w:t>
      </w:r>
      <w:r>
        <w:rPr>
          <w:lang w:val="en-US"/>
        </w:rPr>
        <w:tab/>
      </w:r>
      <w:r w:rsidR="00CF7142" w:rsidRPr="009117F8">
        <w:rPr>
          <w:lang w:val="en-US"/>
        </w:rPr>
        <w:t xml:space="preserve">The basic background facts to the matter were common cause. </w:t>
      </w:r>
    </w:p>
    <w:p w14:paraId="24312663" w14:textId="30BCD34B" w:rsidR="009D6948" w:rsidRDefault="00E55D0A" w:rsidP="00E55D0A">
      <w:pPr>
        <w:pStyle w:val="level1"/>
        <w:tabs>
          <w:tab w:val="left" w:pos="1361"/>
        </w:tabs>
        <w:spacing w:after="480" w:line="360" w:lineRule="auto"/>
        <w:ind w:left="1361" w:hanging="681"/>
        <w:jc w:val="both"/>
        <w:rPr>
          <w:lang w:val="en-US"/>
        </w:rPr>
      </w:pPr>
      <w:r>
        <w:rPr>
          <w:lang w:val="en-US"/>
        </w:rPr>
        <w:t>[9.1]</w:t>
      </w:r>
      <w:r>
        <w:rPr>
          <w:lang w:val="en-US"/>
        </w:rPr>
        <w:tab/>
      </w:r>
      <w:r w:rsidR="00CF7142" w:rsidRPr="009117F8">
        <w:rPr>
          <w:lang w:val="en-US"/>
        </w:rPr>
        <w:t xml:space="preserve">The first and second appellants had jointly </w:t>
      </w:r>
      <w:r w:rsidR="00097950" w:rsidRPr="009117F8">
        <w:rPr>
          <w:lang w:val="en-US"/>
        </w:rPr>
        <w:t xml:space="preserve">acquired and </w:t>
      </w:r>
      <w:r w:rsidR="00CF7142" w:rsidRPr="009117F8">
        <w:rPr>
          <w:lang w:val="en-US"/>
        </w:rPr>
        <w:t>owned the property at issue</w:t>
      </w:r>
      <w:r w:rsidR="00097950" w:rsidRPr="009117F8">
        <w:rPr>
          <w:lang w:val="en-US"/>
        </w:rPr>
        <w:t xml:space="preserve"> during the</w:t>
      </w:r>
      <w:r w:rsidR="00942A6D" w:rsidRPr="009117F8">
        <w:rPr>
          <w:lang w:val="en-US"/>
        </w:rPr>
        <w:t>ir</w:t>
      </w:r>
      <w:r w:rsidR="00097950" w:rsidRPr="009117F8">
        <w:rPr>
          <w:lang w:val="en-US"/>
        </w:rPr>
        <w:t xml:space="preserve"> marriage. Their relationship subsequently soured, and the first appellant moved out of the property in March 2013. The appellants later agreed to sell the property as part and parcel of their divorce</w:t>
      </w:r>
      <w:r w:rsidR="00325024">
        <w:rPr>
          <w:lang w:val="en-US"/>
        </w:rPr>
        <w:t xml:space="preserve"> settlement. That agreement provided, inter alia, that if the property was not sold by 1 November 2013, the appellants would be obliged to accept an offer R200 000 less than their initial asking price.</w:t>
      </w:r>
    </w:p>
    <w:p w14:paraId="10EEE032" w14:textId="5E20F0A5" w:rsidR="009D6948" w:rsidRDefault="00E55D0A" w:rsidP="00E55D0A">
      <w:pPr>
        <w:pStyle w:val="level1"/>
        <w:tabs>
          <w:tab w:val="left" w:pos="1361"/>
        </w:tabs>
        <w:spacing w:after="480" w:line="360" w:lineRule="auto"/>
        <w:ind w:left="1361" w:hanging="681"/>
        <w:jc w:val="both"/>
        <w:rPr>
          <w:lang w:val="en-US"/>
        </w:rPr>
      </w:pPr>
      <w:r>
        <w:rPr>
          <w:lang w:val="en-US"/>
        </w:rPr>
        <w:t>[9.2]</w:t>
      </w:r>
      <w:r>
        <w:rPr>
          <w:lang w:val="en-US"/>
        </w:rPr>
        <w:tab/>
      </w:r>
      <w:r w:rsidR="00DE6731">
        <w:rPr>
          <w:lang w:val="en-US"/>
        </w:rPr>
        <w:t>In</w:t>
      </w:r>
      <w:r w:rsidR="00835971">
        <w:rPr>
          <w:lang w:val="en-US"/>
        </w:rPr>
        <w:t xml:space="preserve"> late August or</w:t>
      </w:r>
      <w:r w:rsidR="00DE6731">
        <w:rPr>
          <w:lang w:val="en-US"/>
        </w:rPr>
        <w:t xml:space="preserve"> early </w:t>
      </w:r>
      <w:r w:rsidR="00097950" w:rsidRPr="009D6948">
        <w:rPr>
          <w:lang w:val="en-US"/>
        </w:rPr>
        <w:t xml:space="preserve">September 2013, the second appellant </w:t>
      </w:r>
      <w:r w:rsidR="00DD1DBD" w:rsidRPr="009D6948">
        <w:rPr>
          <w:lang w:val="en-US"/>
        </w:rPr>
        <w:t xml:space="preserve">(who had remained in occupation of the property) </w:t>
      </w:r>
      <w:r w:rsidR="00097950" w:rsidRPr="009D6948">
        <w:rPr>
          <w:lang w:val="en-US"/>
        </w:rPr>
        <w:t>retained Limbika Coatings and Painters (“Limbika”)</w:t>
      </w:r>
      <w:r w:rsidR="00942A6D" w:rsidRPr="009D6948">
        <w:rPr>
          <w:lang w:val="en-US"/>
        </w:rPr>
        <w:t xml:space="preserve"> </w:t>
      </w:r>
      <w:r w:rsidR="00097950" w:rsidRPr="009D6948">
        <w:rPr>
          <w:lang w:val="en-US"/>
        </w:rPr>
        <w:t xml:space="preserve">to attend to work on the property, in preparation for its sale. Limbika </w:t>
      </w:r>
      <w:r w:rsidR="00942A6D" w:rsidRPr="009D6948">
        <w:rPr>
          <w:lang w:val="en-US"/>
        </w:rPr>
        <w:t xml:space="preserve">are painting contractors, and they </w:t>
      </w:r>
      <w:r w:rsidR="00097950" w:rsidRPr="009D6948">
        <w:rPr>
          <w:lang w:val="en-US"/>
        </w:rPr>
        <w:t xml:space="preserve">undertook superficial repairs of the property – primarily by patching </w:t>
      </w:r>
      <w:r w:rsidR="00200218" w:rsidRPr="009D6948">
        <w:rPr>
          <w:lang w:val="en-US"/>
        </w:rPr>
        <w:t xml:space="preserve">and refilling cracks and marks in the paint, </w:t>
      </w:r>
      <w:r w:rsidR="00097950" w:rsidRPr="009D6948">
        <w:rPr>
          <w:lang w:val="en-US"/>
        </w:rPr>
        <w:t>and re-painting. The property was put on show shortly</w:t>
      </w:r>
      <w:r w:rsidR="00200218" w:rsidRPr="009D6948">
        <w:rPr>
          <w:lang w:val="en-US"/>
        </w:rPr>
        <w:t xml:space="preserve"> thereafter.  </w:t>
      </w:r>
    </w:p>
    <w:p w14:paraId="44D6529D" w14:textId="46BD1023" w:rsidR="009D6948" w:rsidRDefault="00E55D0A" w:rsidP="00E55D0A">
      <w:pPr>
        <w:pStyle w:val="level1"/>
        <w:tabs>
          <w:tab w:val="left" w:pos="1361"/>
        </w:tabs>
        <w:spacing w:after="480" w:line="360" w:lineRule="auto"/>
        <w:ind w:left="1361" w:hanging="681"/>
        <w:jc w:val="both"/>
        <w:rPr>
          <w:lang w:val="en-US"/>
        </w:rPr>
      </w:pPr>
      <w:r>
        <w:rPr>
          <w:lang w:val="en-US"/>
        </w:rPr>
        <w:lastRenderedPageBreak/>
        <w:t>[9.3]</w:t>
      </w:r>
      <w:r>
        <w:rPr>
          <w:lang w:val="en-US"/>
        </w:rPr>
        <w:tab/>
      </w:r>
      <w:r w:rsidR="00200218" w:rsidRPr="009D6948">
        <w:rPr>
          <w:lang w:val="en-US"/>
        </w:rPr>
        <w:t xml:space="preserve">The respondent viewed the property </w:t>
      </w:r>
      <w:r w:rsidR="00DD1DBD" w:rsidRPr="009D6948">
        <w:rPr>
          <w:lang w:val="en-US"/>
        </w:rPr>
        <w:t>a few</w:t>
      </w:r>
      <w:r w:rsidR="00200218" w:rsidRPr="009D6948">
        <w:rPr>
          <w:lang w:val="en-US"/>
        </w:rPr>
        <w:t xml:space="preserve"> times </w:t>
      </w:r>
      <w:r w:rsidR="00DE6731">
        <w:rPr>
          <w:lang w:val="en-US"/>
        </w:rPr>
        <w:t>during</w:t>
      </w:r>
      <w:r w:rsidR="00200218" w:rsidRPr="009D6948">
        <w:rPr>
          <w:lang w:val="en-US"/>
        </w:rPr>
        <w:t xml:space="preserve"> October 2013 and </w:t>
      </w:r>
      <w:r w:rsidR="00DE6731">
        <w:rPr>
          <w:lang w:val="en-US"/>
        </w:rPr>
        <w:t xml:space="preserve">made an </w:t>
      </w:r>
      <w:r w:rsidR="00200218" w:rsidRPr="009D6948">
        <w:rPr>
          <w:lang w:val="en-US"/>
        </w:rPr>
        <w:t>offer to purchase the property</w:t>
      </w:r>
      <w:r w:rsidR="00DE6731">
        <w:rPr>
          <w:lang w:val="en-US"/>
        </w:rPr>
        <w:t xml:space="preserve"> on 29 October 2013. A sale agreement was concluded between her and the </w:t>
      </w:r>
      <w:r w:rsidR="00200218" w:rsidRPr="009D6948">
        <w:rPr>
          <w:lang w:val="en-US"/>
        </w:rPr>
        <w:t>first and second appellants</w:t>
      </w:r>
      <w:r w:rsidR="00DE6731">
        <w:rPr>
          <w:lang w:val="en-US"/>
        </w:rPr>
        <w:t xml:space="preserve"> on 3 November 2013</w:t>
      </w:r>
      <w:r w:rsidR="00200218" w:rsidRPr="009D6948">
        <w:rPr>
          <w:lang w:val="en-US"/>
        </w:rPr>
        <w:t xml:space="preserve">. </w:t>
      </w:r>
      <w:r w:rsidR="00DE6731">
        <w:rPr>
          <w:lang w:val="en-US"/>
        </w:rPr>
        <w:t xml:space="preserve">It </w:t>
      </w:r>
      <w:r w:rsidR="00200218" w:rsidRPr="009D6948">
        <w:rPr>
          <w:lang w:val="en-US"/>
        </w:rPr>
        <w:t>included a voetstoots clause. It also contained a defects disclosure form, which stated “</w:t>
      </w:r>
      <w:r w:rsidR="00200218" w:rsidRPr="009D6948">
        <w:rPr>
          <w:i/>
          <w:iCs/>
          <w:lang w:val="en-US"/>
        </w:rPr>
        <w:t>the seller further confirms . . . that there are no latent defects in any of the following items unless likewise disclosed by placing a cross in the relevant blocks”</w:t>
      </w:r>
      <w:r w:rsidR="00200218" w:rsidRPr="009D6948">
        <w:rPr>
          <w:lang w:val="en-US"/>
        </w:rPr>
        <w:t xml:space="preserve">. </w:t>
      </w:r>
      <w:r w:rsidR="00DD1DBD" w:rsidRPr="009D6948">
        <w:rPr>
          <w:lang w:val="en-US"/>
        </w:rPr>
        <w:t xml:space="preserve">None of the items in the disclosure list was checked, including </w:t>
      </w:r>
      <w:r w:rsidR="00200218" w:rsidRPr="009D6948">
        <w:rPr>
          <w:lang w:val="en-US"/>
        </w:rPr>
        <w:t>the</w:t>
      </w:r>
      <w:r w:rsidR="00942A6D" w:rsidRPr="009D6948">
        <w:rPr>
          <w:lang w:val="en-US"/>
        </w:rPr>
        <w:t xml:space="preserve"> listed</w:t>
      </w:r>
      <w:r w:rsidR="00200218" w:rsidRPr="009D6948">
        <w:rPr>
          <w:lang w:val="en-US"/>
        </w:rPr>
        <w:t xml:space="preserve"> item “</w:t>
      </w:r>
      <w:r w:rsidR="00200218" w:rsidRPr="009D6948">
        <w:rPr>
          <w:i/>
          <w:iCs/>
          <w:lang w:val="en-US"/>
        </w:rPr>
        <w:t>dampness in walls/ floors”</w:t>
      </w:r>
      <w:r w:rsidR="00DD1DBD" w:rsidRPr="009D6948">
        <w:rPr>
          <w:lang w:val="en-US"/>
        </w:rPr>
        <w:t>.</w:t>
      </w:r>
    </w:p>
    <w:p w14:paraId="49EB8F46" w14:textId="19DCCD4F" w:rsidR="009D6948" w:rsidRDefault="00E55D0A" w:rsidP="00E55D0A">
      <w:pPr>
        <w:pStyle w:val="level1"/>
        <w:tabs>
          <w:tab w:val="left" w:pos="1361"/>
        </w:tabs>
        <w:spacing w:after="480" w:line="360" w:lineRule="auto"/>
        <w:ind w:left="1361" w:hanging="681"/>
        <w:jc w:val="both"/>
        <w:rPr>
          <w:lang w:val="en-US"/>
        </w:rPr>
      </w:pPr>
      <w:r>
        <w:rPr>
          <w:lang w:val="en-US"/>
        </w:rPr>
        <w:t>[9.4]</w:t>
      </w:r>
      <w:r>
        <w:rPr>
          <w:lang w:val="en-US"/>
        </w:rPr>
        <w:tab/>
      </w:r>
      <w:r w:rsidR="00DD1DBD" w:rsidRPr="009D6948">
        <w:rPr>
          <w:lang w:val="en-US"/>
        </w:rPr>
        <w:t>The respondent paid the</w:t>
      </w:r>
      <w:r w:rsidR="00942A6D" w:rsidRPr="009D6948">
        <w:rPr>
          <w:lang w:val="en-US"/>
        </w:rPr>
        <w:t xml:space="preserve"> full</w:t>
      </w:r>
      <w:r w:rsidR="00DD1DBD" w:rsidRPr="009D6948">
        <w:rPr>
          <w:lang w:val="en-US"/>
        </w:rPr>
        <w:t xml:space="preserve"> purchase price</w:t>
      </w:r>
      <w:r w:rsidR="00942A6D" w:rsidRPr="009D6948">
        <w:rPr>
          <w:lang w:val="en-US"/>
        </w:rPr>
        <w:t xml:space="preserve"> </w:t>
      </w:r>
      <w:r w:rsidR="00DD1DBD" w:rsidRPr="009D6948">
        <w:rPr>
          <w:lang w:val="en-US"/>
        </w:rPr>
        <w:t xml:space="preserve">during December 2013. Transfer was effected </w:t>
      </w:r>
      <w:r w:rsidR="009D3401" w:rsidRPr="009D6948">
        <w:rPr>
          <w:lang w:val="en-US"/>
        </w:rPr>
        <w:t>in late Feb</w:t>
      </w:r>
      <w:r w:rsidR="00115068">
        <w:rPr>
          <w:lang w:val="en-US"/>
        </w:rPr>
        <w:t>r</w:t>
      </w:r>
      <w:r w:rsidR="009D3401" w:rsidRPr="009D6948">
        <w:rPr>
          <w:lang w:val="en-US"/>
        </w:rPr>
        <w:t xml:space="preserve">uary 2014, and the respondent was given the keys to the property on 4 </w:t>
      </w:r>
      <w:r w:rsidR="00DD1DBD" w:rsidRPr="009D6948">
        <w:rPr>
          <w:lang w:val="en-US"/>
        </w:rPr>
        <w:t>March 2014</w:t>
      </w:r>
      <w:r w:rsidR="009D3401" w:rsidRPr="009D6948">
        <w:rPr>
          <w:lang w:val="en-US"/>
        </w:rPr>
        <w:t xml:space="preserve">. </w:t>
      </w:r>
      <w:r w:rsidR="00115068">
        <w:rPr>
          <w:lang w:val="en-US"/>
        </w:rPr>
        <w:t>In planning for renovations to the property, s</w:t>
      </w:r>
      <w:r w:rsidR="009D3401" w:rsidRPr="009D6948">
        <w:rPr>
          <w:lang w:val="en-US"/>
        </w:rPr>
        <w:t>he discovered damp</w:t>
      </w:r>
      <w:r w:rsidR="00115068">
        <w:rPr>
          <w:lang w:val="en-US"/>
        </w:rPr>
        <w:t xml:space="preserve">, triggering the present proceedings. </w:t>
      </w:r>
    </w:p>
    <w:p w14:paraId="2944B2BF" w14:textId="2EFC2323" w:rsidR="009D6948" w:rsidRDefault="00E55D0A" w:rsidP="00E55D0A">
      <w:pPr>
        <w:pStyle w:val="level1"/>
        <w:tabs>
          <w:tab w:val="left" w:pos="680"/>
        </w:tabs>
        <w:spacing w:after="480" w:line="360" w:lineRule="auto"/>
        <w:ind w:left="680" w:hanging="680"/>
        <w:jc w:val="both"/>
        <w:rPr>
          <w:lang w:val="en-US"/>
        </w:rPr>
      </w:pPr>
      <w:r>
        <w:rPr>
          <w:lang w:val="en-US"/>
        </w:rPr>
        <w:t>[10]</w:t>
      </w:r>
      <w:r>
        <w:rPr>
          <w:lang w:val="en-US"/>
        </w:rPr>
        <w:tab/>
      </w:r>
      <w:r w:rsidR="003F26DE" w:rsidRPr="009D6948">
        <w:rPr>
          <w:lang w:val="en-US"/>
        </w:rPr>
        <w:t xml:space="preserve">The crisp issue before the court </w:t>
      </w:r>
      <w:r w:rsidR="003F26DE" w:rsidRPr="009D6948">
        <w:rPr>
          <w:i/>
          <w:iCs/>
          <w:lang w:val="en-US"/>
        </w:rPr>
        <w:t xml:space="preserve">a quo </w:t>
      </w:r>
      <w:r w:rsidR="003F26DE" w:rsidRPr="009D6948">
        <w:rPr>
          <w:lang w:val="en-US"/>
        </w:rPr>
        <w:t>was whether (one or both of) the appellants w</w:t>
      </w:r>
      <w:r w:rsidR="00DF4DF2">
        <w:rPr>
          <w:lang w:val="en-US"/>
        </w:rPr>
        <w:t>ere</w:t>
      </w:r>
      <w:r w:rsidR="003F26DE" w:rsidRPr="009D6948">
        <w:rPr>
          <w:lang w:val="en-US"/>
        </w:rPr>
        <w:t xml:space="preserve"> liable for the cost of repairing damp</w:t>
      </w:r>
      <w:r w:rsidR="00115068">
        <w:rPr>
          <w:lang w:val="en-US"/>
        </w:rPr>
        <w:t xml:space="preserve"> in and around the property</w:t>
      </w:r>
      <w:r w:rsidR="003F26DE" w:rsidRPr="009D6948">
        <w:rPr>
          <w:lang w:val="en-US"/>
        </w:rPr>
        <w:t>, in light of the voetstoots clause in the sale agreement. To succeed in that claim, the respondent had to show that</w:t>
      </w:r>
      <w:r w:rsidR="008764E3">
        <w:rPr>
          <w:lang w:val="en-US"/>
        </w:rPr>
        <w:t>:</w:t>
      </w:r>
      <w:r w:rsidR="003F26DE" w:rsidRPr="009D6948">
        <w:rPr>
          <w:lang w:val="en-US"/>
        </w:rPr>
        <w:t xml:space="preserve"> (</w:t>
      </w:r>
      <w:r w:rsidR="003F26DE" w:rsidRPr="009D6948">
        <w:rPr>
          <w:i/>
          <w:iCs/>
          <w:lang w:val="en-US"/>
        </w:rPr>
        <w:t>a</w:t>
      </w:r>
      <w:r w:rsidR="003F26DE" w:rsidRPr="009D6948">
        <w:rPr>
          <w:lang w:val="en-US"/>
        </w:rPr>
        <w:t>) th</w:t>
      </w:r>
      <w:r w:rsidR="00115068">
        <w:rPr>
          <w:lang w:val="en-US"/>
        </w:rPr>
        <w:t xml:space="preserve">e damp constituted a latent </w:t>
      </w:r>
      <w:r w:rsidR="003F26DE" w:rsidRPr="009D6948">
        <w:rPr>
          <w:lang w:val="en-US"/>
        </w:rPr>
        <w:t xml:space="preserve">defect </w:t>
      </w:r>
      <w:r w:rsidR="00115068">
        <w:rPr>
          <w:lang w:val="en-US"/>
        </w:rPr>
        <w:t xml:space="preserve">that was </w:t>
      </w:r>
      <w:r w:rsidR="003F26DE" w:rsidRPr="009D6948">
        <w:rPr>
          <w:lang w:val="en-US"/>
        </w:rPr>
        <w:t>not obvious or patent to the respondent, (</w:t>
      </w:r>
      <w:r w:rsidR="003F26DE" w:rsidRPr="009D6948">
        <w:rPr>
          <w:i/>
          <w:iCs/>
          <w:lang w:val="en-US"/>
        </w:rPr>
        <w:t>b</w:t>
      </w:r>
      <w:r w:rsidR="003F26DE" w:rsidRPr="009D6948">
        <w:rPr>
          <w:lang w:val="en-US"/>
        </w:rPr>
        <w:t xml:space="preserve">) the appellants were aware of </w:t>
      </w:r>
      <w:r w:rsidR="00942A6D" w:rsidRPr="009D6948">
        <w:rPr>
          <w:lang w:val="en-US"/>
        </w:rPr>
        <w:t xml:space="preserve">the </w:t>
      </w:r>
      <w:r w:rsidR="003F26DE" w:rsidRPr="009D6948">
        <w:rPr>
          <w:lang w:val="en-US"/>
        </w:rPr>
        <w:t>defects</w:t>
      </w:r>
      <w:r w:rsidR="00942A6D" w:rsidRPr="009D6948">
        <w:rPr>
          <w:lang w:val="en-US"/>
        </w:rPr>
        <w:t xml:space="preserve"> and their consequences</w:t>
      </w:r>
      <w:r w:rsidR="003F26DE" w:rsidRPr="009D6948">
        <w:rPr>
          <w:lang w:val="en-US"/>
        </w:rPr>
        <w:t>, and (</w:t>
      </w:r>
      <w:r w:rsidR="003F26DE" w:rsidRPr="009D6948">
        <w:rPr>
          <w:i/>
          <w:iCs/>
          <w:lang w:val="en-US"/>
        </w:rPr>
        <w:t>c</w:t>
      </w:r>
      <w:r w:rsidR="003F26DE" w:rsidRPr="009D6948">
        <w:rPr>
          <w:lang w:val="en-US"/>
        </w:rPr>
        <w:t xml:space="preserve">) </w:t>
      </w:r>
      <w:r w:rsidR="00942A6D" w:rsidRPr="009D6948">
        <w:rPr>
          <w:lang w:val="en-US"/>
        </w:rPr>
        <w:t>they deliberately concealed it with the intention to defraud (</w:t>
      </w:r>
      <w:r w:rsidR="00942A6D" w:rsidRPr="009D6948">
        <w:rPr>
          <w:i/>
          <w:iCs/>
          <w:lang w:val="en-US"/>
        </w:rPr>
        <w:t>dolo malo</w:t>
      </w:r>
      <w:r w:rsidR="00942A6D" w:rsidRPr="009D6948">
        <w:rPr>
          <w:lang w:val="en-US"/>
        </w:rPr>
        <w:t>).</w:t>
      </w:r>
      <w:r w:rsidR="008F0F1E">
        <w:rPr>
          <w:rStyle w:val="FootnoteReference"/>
          <w:lang w:val="en-US"/>
        </w:rPr>
        <w:footnoteReference w:id="4"/>
      </w:r>
      <w:r w:rsidR="008F0F1E" w:rsidRPr="009D6948">
        <w:rPr>
          <w:lang w:val="en-US"/>
        </w:rPr>
        <w:t xml:space="preserve"> </w:t>
      </w:r>
      <w:r w:rsidR="00942A6D" w:rsidRPr="009D6948">
        <w:rPr>
          <w:lang w:val="en-US"/>
        </w:rPr>
        <w:t xml:space="preserve"> The court </w:t>
      </w:r>
      <w:r w:rsidR="00942A6D" w:rsidRPr="009D6948">
        <w:rPr>
          <w:i/>
          <w:iCs/>
          <w:lang w:val="en-US"/>
        </w:rPr>
        <w:t xml:space="preserve">a quo </w:t>
      </w:r>
      <w:r w:rsidR="00942A6D" w:rsidRPr="009D6948">
        <w:rPr>
          <w:lang w:val="en-US"/>
        </w:rPr>
        <w:t>found that the respondent had succeeded in proving each of these elements against both of the appellants in respect of the damp, and accordingly upheld her claim against both of them, jointly and severally.</w:t>
      </w:r>
      <w:r w:rsidR="00942A6D">
        <w:rPr>
          <w:rStyle w:val="FootnoteReference"/>
          <w:lang w:val="en-US"/>
        </w:rPr>
        <w:footnoteReference w:id="5"/>
      </w:r>
    </w:p>
    <w:p w14:paraId="0594792D" w14:textId="77777777" w:rsidR="00DE6731" w:rsidRDefault="00DE6731" w:rsidP="009D6948">
      <w:pPr>
        <w:pStyle w:val="level1"/>
        <w:spacing w:after="480" w:line="360" w:lineRule="auto"/>
        <w:jc w:val="both"/>
        <w:rPr>
          <w:b/>
          <w:bCs/>
          <w:i/>
          <w:iCs/>
          <w:lang w:val="en-US"/>
        </w:rPr>
      </w:pPr>
    </w:p>
    <w:p w14:paraId="3D00A822" w14:textId="6E6DCE69" w:rsidR="009D6948" w:rsidRDefault="00236D4A" w:rsidP="009D6948">
      <w:pPr>
        <w:pStyle w:val="level1"/>
        <w:spacing w:after="480" w:line="360" w:lineRule="auto"/>
        <w:jc w:val="both"/>
        <w:rPr>
          <w:lang w:val="en-US"/>
        </w:rPr>
      </w:pPr>
      <w:r w:rsidRPr="009D6948">
        <w:rPr>
          <w:b/>
          <w:bCs/>
          <w:i/>
          <w:iCs/>
          <w:lang w:val="en-US"/>
        </w:rPr>
        <w:lastRenderedPageBreak/>
        <w:t>Latent or patent defects</w:t>
      </w:r>
    </w:p>
    <w:p w14:paraId="4DA778F8" w14:textId="10051B7C" w:rsidR="009D6948" w:rsidRDefault="00E55D0A" w:rsidP="00E55D0A">
      <w:pPr>
        <w:pStyle w:val="level1"/>
        <w:tabs>
          <w:tab w:val="left" w:pos="680"/>
        </w:tabs>
        <w:spacing w:after="480" w:line="360" w:lineRule="auto"/>
        <w:ind w:left="680" w:hanging="680"/>
        <w:jc w:val="both"/>
        <w:rPr>
          <w:lang w:val="en-US"/>
        </w:rPr>
      </w:pPr>
      <w:r>
        <w:rPr>
          <w:lang w:val="en-US"/>
        </w:rPr>
        <w:t>[11]</w:t>
      </w:r>
      <w:r>
        <w:rPr>
          <w:lang w:val="en-US"/>
        </w:rPr>
        <w:tab/>
      </w:r>
      <w:r w:rsidR="00236D4A" w:rsidRPr="009D6948">
        <w:rPr>
          <w:lang w:val="en-US"/>
        </w:rPr>
        <w:t>The first appellant took issue with the court a quo’s findings on the first element – that is, that the</w:t>
      </w:r>
      <w:r w:rsidR="00A3533A" w:rsidRPr="009D6948">
        <w:rPr>
          <w:lang w:val="en-US"/>
        </w:rPr>
        <w:t xml:space="preserve">re was in fact damp across the property, and that this constituted a </w:t>
      </w:r>
      <w:r w:rsidR="00236D4A" w:rsidRPr="009D6948">
        <w:rPr>
          <w:lang w:val="en-US"/>
        </w:rPr>
        <w:t xml:space="preserve">latent </w:t>
      </w:r>
      <w:r w:rsidR="00A3533A" w:rsidRPr="009D6948">
        <w:rPr>
          <w:lang w:val="en-US"/>
        </w:rPr>
        <w:t xml:space="preserve">defect </w:t>
      </w:r>
      <w:r w:rsidR="00236D4A" w:rsidRPr="009D6948">
        <w:rPr>
          <w:lang w:val="en-US"/>
        </w:rPr>
        <w:t xml:space="preserve">amenable to claim. </w:t>
      </w:r>
      <w:r w:rsidR="00A3533A" w:rsidRPr="009D6948">
        <w:rPr>
          <w:lang w:val="en-US"/>
        </w:rPr>
        <w:t xml:space="preserve">The first appellant’s </w:t>
      </w:r>
      <w:r w:rsidR="00236D4A" w:rsidRPr="009D6948">
        <w:rPr>
          <w:lang w:val="en-US"/>
        </w:rPr>
        <w:t xml:space="preserve">version was that he was aware of damp in </w:t>
      </w:r>
      <w:r w:rsidR="00A3533A" w:rsidRPr="009D6948">
        <w:rPr>
          <w:lang w:val="en-US"/>
        </w:rPr>
        <w:t xml:space="preserve">only </w:t>
      </w:r>
      <w:r w:rsidR="00236D4A" w:rsidRPr="009D6948">
        <w:rPr>
          <w:lang w:val="en-US"/>
        </w:rPr>
        <w:t>two areas</w:t>
      </w:r>
      <w:r w:rsidR="00A3533A" w:rsidRPr="009D6948">
        <w:rPr>
          <w:lang w:val="en-US"/>
        </w:rPr>
        <w:t>,</w:t>
      </w:r>
      <w:r w:rsidR="00236D4A" w:rsidRPr="009D6948">
        <w:rPr>
          <w:lang w:val="en-US"/>
        </w:rPr>
        <w:t xml:space="preserve"> the kitchen and dining room</w:t>
      </w:r>
      <w:r w:rsidR="00A3533A" w:rsidRPr="009D6948">
        <w:rPr>
          <w:lang w:val="en-US"/>
        </w:rPr>
        <w:t>,</w:t>
      </w:r>
      <w:r w:rsidR="00236D4A" w:rsidRPr="009D6948">
        <w:rPr>
          <w:lang w:val="en-US"/>
        </w:rPr>
        <w:t xml:space="preserve"> but that </w:t>
      </w:r>
      <w:r w:rsidR="00A3533A" w:rsidRPr="009D6948">
        <w:rPr>
          <w:lang w:val="en-US"/>
        </w:rPr>
        <w:t xml:space="preserve">this was </w:t>
      </w:r>
      <w:r w:rsidR="00236D4A" w:rsidRPr="009D6948">
        <w:rPr>
          <w:lang w:val="en-US"/>
        </w:rPr>
        <w:t xml:space="preserve">readily </w:t>
      </w:r>
      <w:r w:rsidR="00A3533A" w:rsidRPr="009D6948">
        <w:rPr>
          <w:lang w:val="en-US"/>
        </w:rPr>
        <w:t xml:space="preserve">apparent from a damp smell in the former and bubbling paint in the latter. Because those issues were patent, a </w:t>
      </w:r>
      <w:r w:rsidR="00236D4A" w:rsidRPr="009D6948">
        <w:rPr>
          <w:lang w:val="en-US"/>
        </w:rPr>
        <w:t xml:space="preserve">claim in respect thereof was excluded by the </w:t>
      </w:r>
      <w:r w:rsidR="00236D4A" w:rsidRPr="009D6948">
        <w:rPr>
          <w:i/>
          <w:iCs/>
          <w:lang w:val="en-US"/>
        </w:rPr>
        <w:t xml:space="preserve">voetstoots </w:t>
      </w:r>
      <w:r w:rsidR="00236D4A" w:rsidRPr="009D6948">
        <w:rPr>
          <w:lang w:val="en-US"/>
        </w:rPr>
        <w:t>clause.</w:t>
      </w:r>
      <w:r w:rsidR="00A3533A">
        <w:rPr>
          <w:rStyle w:val="FootnoteReference"/>
          <w:lang w:val="en-US"/>
        </w:rPr>
        <w:footnoteReference w:id="6"/>
      </w:r>
    </w:p>
    <w:p w14:paraId="4E501322" w14:textId="62A5DC66" w:rsidR="009D6948" w:rsidRDefault="00E55D0A" w:rsidP="00E55D0A">
      <w:pPr>
        <w:pStyle w:val="level1"/>
        <w:tabs>
          <w:tab w:val="left" w:pos="680"/>
        </w:tabs>
        <w:spacing w:after="480" w:line="360" w:lineRule="auto"/>
        <w:ind w:left="680" w:hanging="680"/>
        <w:jc w:val="both"/>
        <w:rPr>
          <w:lang w:val="en-US"/>
        </w:rPr>
      </w:pPr>
      <w:r>
        <w:rPr>
          <w:lang w:val="en-US"/>
        </w:rPr>
        <w:t>[12]</w:t>
      </w:r>
      <w:r>
        <w:rPr>
          <w:lang w:val="en-US"/>
        </w:rPr>
        <w:tab/>
      </w:r>
      <w:r w:rsidR="00A3533A" w:rsidRPr="009D6948">
        <w:rPr>
          <w:lang w:val="en-US"/>
        </w:rPr>
        <w:t xml:space="preserve">The court </w:t>
      </w:r>
      <w:r w:rsidR="00A3533A" w:rsidRPr="009D6948">
        <w:rPr>
          <w:i/>
          <w:iCs/>
          <w:lang w:val="en-US"/>
        </w:rPr>
        <w:t>a quo</w:t>
      </w:r>
      <w:r w:rsidR="00115068">
        <w:rPr>
          <w:lang w:val="en-US"/>
        </w:rPr>
        <w:t xml:space="preserve">’s finding that </w:t>
      </w:r>
      <w:r w:rsidR="00A3533A" w:rsidRPr="009D6948">
        <w:rPr>
          <w:lang w:val="en-US"/>
        </w:rPr>
        <w:t>there was damp in and around the property</w:t>
      </w:r>
      <w:r w:rsidR="00115068">
        <w:rPr>
          <w:lang w:val="en-US"/>
        </w:rPr>
        <w:t xml:space="preserve"> cannot be gainsaid</w:t>
      </w:r>
      <w:r w:rsidR="00A3533A" w:rsidRPr="009D6948">
        <w:rPr>
          <w:lang w:val="en-US"/>
        </w:rPr>
        <w:t xml:space="preserve">. It was agreed between the respondent’s expert, Mr Bruckner, and the second appellant’s expert, Mr Gowans, that the interior walls of the garage, </w:t>
      </w:r>
      <w:r w:rsidR="00DE6731">
        <w:rPr>
          <w:lang w:val="en-US"/>
        </w:rPr>
        <w:t xml:space="preserve">the </w:t>
      </w:r>
      <w:r w:rsidR="00A3533A" w:rsidRPr="009D6948">
        <w:rPr>
          <w:lang w:val="en-US"/>
        </w:rPr>
        <w:t xml:space="preserve">entrance hall and </w:t>
      </w:r>
      <w:r w:rsidR="00DE6731">
        <w:rPr>
          <w:lang w:val="en-US"/>
        </w:rPr>
        <w:t xml:space="preserve">the </w:t>
      </w:r>
      <w:r w:rsidR="00A3533A" w:rsidRPr="009D6948">
        <w:rPr>
          <w:lang w:val="en-US"/>
        </w:rPr>
        <w:t>windows by the water feature, the entire perimeter wall, the west side exterior wall</w:t>
      </w:r>
      <w:r w:rsidR="00DE6731">
        <w:rPr>
          <w:lang w:val="en-US"/>
        </w:rPr>
        <w:t>,</w:t>
      </w:r>
      <w:r w:rsidR="00A3533A" w:rsidRPr="009D6948">
        <w:rPr>
          <w:lang w:val="en-US"/>
        </w:rPr>
        <w:t xml:space="preserve"> and the columns were affected by damp. </w:t>
      </w:r>
      <w:r w:rsidR="00A506AF" w:rsidRPr="009D6948">
        <w:rPr>
          <w:lang w:val="en-US"/>
        </w:rPr>
        <w:t xml:space="preserve">This damp </w:t>
      </w:r>
      <w:r w:rsidR="00115068">
        <w:rPr>
          <w:lang w:val="en-US"/>
        </w:rPr>
        <w:t xml:space="preserve">qualified as </w:t>
      </w:r>
      <w:r w:rsidR="00A506AF" w:rsidRPr="009D6948">
        <w:rPr>
          <w:lang w:val="en-US"/>
        </w:rPr>
        <w:t>a defect</w:t>
      </w:r>
      <w:r w:rsidR="00E672AF">
        <w:rPr>
          <w:lang w:val="en-US"/>
        </w:rPr>
        <w:t xml:space="preserve"> because it affected the use and value of the property.</w:t>
      </w:r>
      <w:r w:rsidR="00A506AF">
        <w:rPr>
          <w:rStyle w:val="FootnoteReference"/>
          <w:lang w:val="en-US"/>
        </w:rPr>
        <w:footnoteReference w:id="7"/>
      </w:r>
      <w:r w:rsidR="00A506AF" w:rsidRPr="009D6948">
        <w:rPr>
          <w:lang w:val="en-US"/>
        </w:rPr>
        <w:t xml:space="preserve"> </w:t>
      </w:r>
    </w:p>
    <w:p w14:paraId="117C185C" w14:textId="7F61B691" w:rsidR="00115068" w:rsidRDefault="00E55D0A" w:rsidP="00E55D0A">
      <w:pPr>
        <w:pStyle w:val="level1"/>
        <w:tabs>
          <w:tab w:val="left" w:pos="680"/>
        </w:tabs>
        <w:spacing w:after="480" w:line="360" w:lineRule="auto"/>
        <w:ind w:left="680" w:hanging="680"/>
        <w:jc w:val="both"/>
        <w:rPr>
          <w:lang w:val="en-US"/>
        </w:rPr>
      </w:pPr>
      <w:r>
        <w:rPr>
          <w:lang w:val="en-US"/>
        </w:rPr>
        <w:t>[13]</w:t>
      </w:r>
      <w:r>
        <w:rPr>
          <w:lang w:val="en-US"/>
        </w:rPr>
        <w:tab/>
      </w:r>
      <w:r w:rsidR="00A506AF" w:rsidRPr="009D6948">
        <w:rPr>
          <w:lang w:val="en-US"/>
        </w:rPr>
        <w:t xml:space="preserve">The court </w:t>
      </w:r>
      <w:r w:rsidR="00A506AF" w:rsidRPr="009D6948">
        <w:rPr>
          <w:i/>
          <w:iCs/>
          <w:lang w:val="en-US"/>
        </w:rPr>
        <w:t xml:space="preserve">a quo </w:t>
      </w:r>
      <w:r w:rsidR="00A506AF" w:rsidRPr="009D6948">
        <w:rPr>
          <w:lang w:val="en-US"/>
        </w:rPr>
        <w:t xml:space="preserve">also cannot be faulted for finding that the damp was latent. </w:t>
      </w:r>
    </w:p>
    <w:p w14:paraId="390CC01F" w14:textId="56AE7F97" w:rsidR="00115068" w:rsidRDefault="00E55D0A" w:rsidP="00E55D0A">
      <w:pPr>
        <w:pStyle w:val="level1"/>
        <w:tabs>
          <w:tab w:val="left" w:pos="1361"/>
        </w:tabs>
        <w:spacing w:after="480" w:line="360" w:lineRule="auto"/>
        <w:ind w:left="1361" w:hanging="681"/>
        <w:jc w:val="both"/>
        <w:rPr>
          <w:lang w:val="en-US"/>
        </w:rPr>
      </w:pPr>
      <w:r>
        <w:rPr>
          <w:lang w:val="en-US"/>
        </w:rPr>
        <w:t>[13.1]</w:t>
      </w:r>
      <w:r>
        <w:rPr>
          <w:lang w:val="en-US"/>
        </w:rPr>
        <w:tab/>
      </w:r>
      <w:r w:rsidR="00A506AF" w:rsidRPr="009D6948">
        <w:rPr>
          <w:lang w:val="en-US"/>
        </w:rPr>
        <w:t xml:space="preserve">In relation to the bubbling paint, Limbika had been retained to repair imperfections in the </w:t>
      </w:r>
      <w:r w:rsidR="006D267C" w:rsidRPr="009D6948">
        <w:rPr>
          <w:lang w:val="en-US"/>
        </w:rPr>
        <w:t>paintwork</w:t>
      </w:r>
      <w:r w:rsidR="00115068">
        <w:rPr>
          <w:lang w:val="en-US"/>
        </w:rPr>
        <w:t xml:space="preserve"> after the first appellant left the property. On</w:t>
      </w:r>
      <w:r w:rsidR="00236D4A" w:rsidRPr="009D6948">
        <w:rPr>
          <w:lang w:val="en-US"/>
        </w:rPr>
        <w:t xml:space="preserve"> </w:t>
      </w:r>
      <w:r w:rsidR="00115068">
        <w:rPr>
          <w:lang w:val="en-US"/>
        </w:rPr>
        <w:t xml:space="preserve">his </w:t>
      </w:r>
      <w:r w:rsidR="00236D4A" w:rsidRPr="009D6948">
        <w:rPr>
          <w:lang w:val="en-US"/>
        </w:rPr>
        <w:t xml:space="preserve">own version, </w:t>
      </w:r>
      <w:r w:rsidR="00115068">
        <w:rPr>
          <w:lang w:val="en-US"/>
        </w:rPr>
        <w:t>t</w:t>
      </w:r>
      <w:r w:rsidR="00236D4A" w:rsidRPr="009D6948">
        <w:rPr>
          <w:lang w:val="en-US"/>
        </w:rPr>
        <w:t xml:space="preserve">he </w:t>
      </w:r>
      <w:r w:rsidR="00115068">
        <w:rPr>
          <w:lang w:val="en-US"/>
        </w:rPr>
        <w:t xml:space="preserve">first appellant </w:t>
      </w:r>
      <w:r w:rsidR="00236D4A" w:rsidRPr="009D6948">
        <w:rPr>
          <w:lang w:val="en-US"/>
        </w:rPr>
        <w:t xml:space="preserve">did not attend at the property </w:t>
      </w:r>
      <w:r w:rsidR="00A3533A" w:rsidRPr="009D6948">
        <w:rPr>
          <w:lang w:val="en-US"/>
        </w:rPr>
        <w:t xml:space="preserve">in the period </w:t>
      </w:r>
      <w:r w:rsidR="00236D4A" w:rsidRPr="009D6948">
        <w:rPr>
          <w:lang w:val="en-US"/>
        </w:rPr>
        <w:t xml:space="preserve">after </w:t>
      </w:r>
      <w:r w:rsidR="00A3533A" w:rsidRPr="009D6948">
        <w:rPr>
          <w:lang w:val="en-US"/>
        </w:rPr>
        <w:t xml:space="preserve">Limbika undertook its work and before the sale agreement was concluded. He consequently could not attest to the state of the property at the time that the respondent saw it, and could not confirm that the bubbling paint or the damp smell </w:t>
      </w:r>
      <w:r w:rsidR="007A13FA" w:rsidRPr="009D6948">
        <w:rPr>
          <w:lang w:val="en-US"/>
        </w:rPr>
        <w:t xml:space="preserve">were still present </w:t>
      </w:r>
      <w:r w:rsidR="00DE6731">
        <w:rPr>
          <w:lang w:val="en-US"/>
        </w:rPr>
        <w:t xml:space="preserve">at </w:t>
      </w:r>
      <w:r w:rsidR="007A13FA" w:rsidRPr="009D6948">
        <w:rPr>
          <w:lang w:val="en-US"/>
        </w:rPr>
        <w:t>the time the property was sold</w:t>
      </w:r>
      <w:r w:rsidR="00A3533A" w:rsidRPr="009D6948">
        <w:rPr>
          <w:lang w:val="en-US"/>
        </w:rPr>
        <w:t xml:space="preserve">. </w:t>
      </w:r>
    </w:p>
    <w:p w14:paraId="5D69798D" w14:textId="1ECA6C6E" w:rsidR="00370BDF" w:rsidRDefault="00E55D0A" w:rsidP="00E55D0A">
      <w:pPr>
        <w:pStyle w:val="level1"/>
        <w:tabs>
          <w:tab w:val="left" w:pos="1361"/>
        </w:tabs>
        <w:spacing w:after="480" w:line="360" w:lineRule="auto"/>
        <w:ind w:left="1361" w:hanging="681"/>
        <w:jc w:val="both"/>
        <w:rPr>
          <w:lang w:val="en-US"/>
        </w:rPr>
      </w:pPr>
      <w:r>
        <w:rPr>
          <w:lang w:val="en-US"/>
        </w:rPr>
        <w:lastRenderedPageBreak/>
        <w:t>[13.2]</w:t>
      </w:r>
      <w:r>
        <w:rPr>
          <w:lang w:val="en-US"/>
        </w:rPr>
        <w:tab/>
      </w:r>
      <w:r w:rsidR="00115068" w:rsidRPr="00370BDF">
        <w:rPr>
          <w:lang w:val="en-US"/>
        </w:rPr>
        <w:t xml:space="preserve">The second appellant, the </w:t>
      </w:r>
      <w:r w:rsidR="00A3533A" w:rsidRPr="00370BDF">
        <w:rPr>
          <w:lang w:val="en-US"/>
        </w:rPr>
        <w:t xml:space="preserve">respondent </w:t>
      </w:r>
      <w:r w:rsidR="00115068" w:rsidRPr="00370BDF">
        <w:rPr>
          <w:lang w:val="en-US"/>
        </w:rPr>
        <w:t xml:space="preserve">and </w:t>
      </w:r>
      <w:r w:rsidR="00A3533A" w:rsidRPr="00370BDF">
        <w:rPr>
          <w:lang w:val="en-US"/>
        </w:rPr>
        <w:t xml:space="preserve">the estate agent </w:t>
      </w:r>
      <w:r w:rsidR="00115068" w:rsidRPr="00370BDF">
        <w:rPr>
          <w:lang w:val="en-US"/>
        </w:rPr>
        <w:t xml:space="preserve">all record that they were unaware of, and did not notice, </w:t>
      </w:r>
      <w:r w:rsidR="006D267C" w:rsidRPr="00370BDF">
        <w:rPr>
          <w:lang w:val="en-US"/>
        </w:rPr>
        <w:t>bubbling paint</w:t>
      </w:r>
      <w:r w:rsidR="00115068" w:rsidRPr="00370BDF">
        <w:rPr>
          <w:lang w:val="en-US"/>
        </w:rPr>
        <w:t xml:space="preserve"> </w:t>
      </w:r>
      <w:r w:rsidR="006D267C" w:rsidRPr="00370BDF">
        <w:rPr>
          <w:lang w:val="en-US"/>
        </w:rPr>
        <w:t xml:space="preserve">or </w:t>
      </w:r>
      <w:r w:rsidR="00A3533A" w:rsidRPr="00370BDF">
        <w:rPr>
          <w:lang w:val="en-US"/>
        </w:rPr>
        <w:t xml:space="preserve">a damp smell when the property </w:t>
      </w:r>
      <w:r w:rsidR="00115068" w:rsidRPr="00370BDF">
        <w:rPr>
          <w:lang w:val="en-US"/>
        </w:rPr>
        <w:t xml:space="preserve">was </w:t>
      </w:r>
      <w:r w:rsidR="00A3533A" w:rsidRPr="00370BDF">
        <w:rPr>
          <w:lang w:val="en-US"/>
        </w:rPr>
        <w:t xml:space="preserve">on show. </w:t>
      </w:r>
      <w:r w:rsidR="00370BDF" w:rsidRPr="00370BDF">
        <w:rPr>
          <w:lang w:val="en-US"/>
        </w:rPr>
        <w:t xml:space="preserve">That tallies with the testimony of both experts who </w:t>
      </w:r>
      <w:r w:rsidR="006D267C" w:rsidRPr="00370BDF">
        <w:rPr>
          <w:lang w:val="en-US"/>
        </w:rPr>
        <w:t xml:space="preserve">confirmed that damp </w:t>
      </w:r>
      <w:r w:rsidR="004C52F4">
        <w:rPr>
          <w:lang w:val="en-US"/>
        </w:rPr>
        <w:t xml:space="preserve">may not be </w:t>
      </w:r>
      <w:r w:rsidR="006D267C" w:rsidRPr="00370BDF">
        <w:rPr>
          <w:lang w:val="en-US"/>
        </w:rPr>
        <w:t xml:space="preserve">obvious to the untrained eye and without the use of measuring instruments. </w:t>
      </w:r>
    </w:p>
    <w:p w14:paraId="4048CF51" w14:textId="1FBC886C" w:rsidR="00370BDF" w:rsidRDefault="00E55D0A" w:rsidP="00E55D0A">
      <w:pPr>
        <w:pStyle w:val="level1"/>
        <w:tabs>
          <w:tab w:val="left" w:pos="1361"/>
        </w:tabs>
        <w:spacing w:after="480" w:line="360" w:lineRule="auto"/>
        <w:ind w:left="1361" w:hanging="681"/>
        <w:jc w:val="both"/>
        <w:rPr>
          <w:lang w:val="en-US"/>
        </w:rPr>
      </w:pPr>
      <w:r>
        <w:rPr>
          <w:lang w:val="en-US"/>
        </w:rPr>
        <w:t>[13.3]</w:t>
      </w:r>
      <w:r>
        <w:rPr>
          <w:lang w:val="en-US"/>
        </w:rPr>
        <w:tab/>
      </w:r>
      <w:r w:rsidR="00370BDF">
        <w:rPr>
          <w:lang w:val="en-US"/>
        </w:rPr>
        <w:t xml:space="preserve">For his part, </w:t>
      </w:r>
      <w:r w:rsidR="00370BDF" w:rsidRPr="009D6948">
        <w:rPr>
          <w:lang w:val="en-US"/>
        </w:rPr>
        <w:t>Mr Gowans did not accept that there was an</w:t>
      </w:r>
      <w:r w:rsidR="00370BDF">
        <w:rPr>
          <w:lang w:val="en-US"/>
        </w:rPr>
        <w:t>y</w:t>
      </w:r>
      <w:r w:rsidR="00370BDF" w:rsidRPr="009D6948">
        <w:rPr>
          <w:lang w:val="en-US"/>
        </w:rPr>
        <w:t xml:space="preserve"> actionable damp in the dining room. If </w:t>
      </w:r>
      <w:r w:rsidR="00370BDF">
        <w:rPr>
          <w:lang w:val="en-US"/>
        </w:rPr>
        <w:t>no damp was</w:t>
      </w:r>
      <w:r w:rsidR="00370BDF" w:rsidRPr="009D6948">
        <w:rPr>
          <w:lang w:val="en-US"/>
        </w:rPr>
        <w:t xml:space="preserve"> obvious to an expert damp- and waterproofer even after inspection, it </w:t>
      </w:r>
      <w:r w:rsidR="00370BDF">
        <w:rPr>
          <w:lang w:val="en-US"/>
        </w:rPr>
        <w:t>c</w:t>
      </w:r>
      <w:r w:rsidR="00370BDF" w:rsidRPr="009D6948">
        <w:rPr>
          <w:lang w:val="en-US"/>
        </w:rPr>
        <w:t>ould not have been patent to a layperson buyer at the time of purchase</w:t>
      </w:r>
      <w:r w:rsidR="00370BDF">
        <w:rPr>
          <w:lang w:val="en-US"/>
        </w:rPr>
        <w:t>.</w:t>
      </w:r>
    </w:p>
    <w:p w14:paraId="671B5CF4" w14:textId="5A80F179" w:rsidR="008206DF" w:rsidRDefault="00E55D0A" w:rsidP="00E55D0A">
      <w:pPr>
        <w:pStyle w:val="level1"/>
        <w:tabs>
          <w:tab w:val="left" w:pos="1361"/>
        </w:tabs>
        <w:spacing w:after="480" w:line="360" w:lineRule="auto"/>
        <w:ind w:left="1361" w:hanging="681"/>
        <w:jc w:val="both"/>
        <w:rPr>
          <w:lang w:val="en-US"/>
        </w:rPr>
      </w:pPr>
      <w:r>
        <w:rPr>
          <w:lang w:val="en-US"/>
        </w:rPr>
        <w:t>[13.4]</w:t>
      </w:r>
      <w:r>
        <w:rPr>
          <w:lang w:val="en-US"/>
        </w:rPr>
        <w:tab/>
      </w:r>
      <w:r w:rsidR="00370BDF">
        <w:rPr>
          <w:lang w:val="en-US"/>
        </w:rPr>
        <w:t xml:space="preserve">Indeed, the only person who confirmed that there were flaws in the dining room paintwork was Mr Bruckner. The second appellant’s counsel, Ms </w:t>
      </w:r>
      <w:r w:rsidR="008764E3">
        <w:rPr>
          <w:lang w:val="en-US"/>
        </w:rPr>
        <w:t>D</w:t>
      </w:r>
      <w:r w:rsidR="00370BDF">
        <w:rPr>
          <w:lang w:val="en-US"/>
        </w:rPr>
        <w:t xml:space="preserve">e Wet, argued that it reflected poorly on his credibility </w:t>
      </w:r>
      <w:r w:rsidR="008764E3">
        <w:rPr>
          <w:lang w:val="en-US"/>
        </w:rPr>
        <w:t xml:space="preserve">and </w:t>
      </w:r>
      <w:r w:rsidR="00370BDF">
        <w:rPr>
          <w:lang w:val="en-US"/>
        </w:rPr>
        <w:t xml:space="preserve">that his testimony on this score was at odds with that of the other witnesses. But that does not follow. Mr Bruckner </w:t>
      </w:r>
      <w:r w:rsidR="006D267C" w:rsidRPr="009D6948">
        <w:rPr>
          <w:lang w:val="en-US"/>
        </w:rPr>
        <w:t xml:space="preserve">stated that </w:t>
      </w:r>
      <w:r w:rsidR="00370BDF">
        <w:rPr>
          <w:lang w:val="en-US"/>
        </w:rPr>
        <w:t xml:space="preserve">the flaw in the paintwork </w:t>
      </w:r>
      <w:r w:rsidR="006D267C" w:rsidRPr="009D6948">
        <w:rPr>
          <w:lang w:val="en-US"/>
        </w:rPr>
        <w:t>was only visible from certain angles</w:t>
      </w:r>
      <w:r w:rsidR="00370BDF">
        <w:rPr>
          <w:lang w:val="en-US"/>
        </w:rPr>
        <w:t>,</w:t>
      </w:r>
      <w:r w:rsidR="006D267C" w:rsidRPr="009D6948">
        <w:rPr>
          <w:lang w:val="en-US"/>
        </w:rPr>
        <w:t xml:space="preserve"> due to the recent paint work. </w:t>
      </w:r>
      <w:r w:rsidR="00370BDF">
        <w:rPr>
          <w:lang w:val="en-US"/>
        </w:rPr>
        <w:t xml:space="preserve">It </w:t>
      </w:r>
      <w:r w:rsidR="00DE6731">
        <w:rPr>
          <w:lang w:val="en-US"/>
        </w:rPr>
        <w:t>may therefore have been obvious only under careful scrutiny by a trained eye</w:t>
      </w:r>
      <w:r w:rsidR="00370BDF">
        <w:rPr>
          <w:lang w:val="en-US"/>
        </w:rPr>
        <w:t xml:space="preserve">. </w:t>
      </w:r>
      <w:r w:rsidR="006D267C" w:rsidRPr="009D6948">
        <w:rPr>
          <w:lang w:val="en-US"/>
        </w:rPr>
        <w:t xml:space="preserve">Moreover, </w:t>
      </w:r>
      <w:r w:rsidR="00370BDF">
        <w:rPr>
          <w:lang w:val="en-US"/>
        </w:rPr>
        <w:t xml:space="preserve">Mr Bruckner inspected the </w:t>
      </w:r>
      <w:r w:rsidR="006D267C" w:rsidRPr="009D6948">
        <w:rPr>
          <w:lang w:val="en-US"/>
        </w:rPr>
        <w:t xml:space="preserve">property </w:t>
      </w:r>
      <w:r w:rsidR="00370BDF">
        <w:rPr>
          <w:lang w:val="en-US"/>
        </w:rPr>
        <w:t xml:space="preserve">some 5 months after </w:t>
      </w:r>
      <w:r w:rsidR="006D267C" w:rsidRPr="009D6948">
        <w:rPr>
          <w:lang w:val="en-US"/>
        </w:rPr>
        <w:t xml:space="preserve">the sale </w:t>
      </w:r>
      <w:r w:rsidR="00370BDF">
        <w:rPr>
          <w:lang w:val="en-US"/>
        </w:rPr>
        <w:t xml:space="preserve">was </w:t>
      </w:r>
      <w:r w:rsidR="006D267C" w:rsidRPr="009D6948">
        <w:rPr>
          <w:lang w:val="en-US"/>
        </w:rPr>
        <w:t>concluded.</w:t>
      </w:r>
      <w:r w:rsidR="007A13FA" w:rsidRPr="009D6948">
        <w:rPr>
          <w:lang w:val="en-US"/>
        </w:rPr>
        <w:t xml:space="preserve"> Both </w:t>
      </w:r>
      <w:r w:rsidR="006D267C" w:rsidRPr="009D6948">
        <w:rPr>
          <w:lang w:val="en-US"/>
        </w:rPr>
        <w:t xml:space="preserve">experts </w:t>
      </w:r>
      <w:r w:rsidR="007A13FA" w:rsidRPr="009D6948">
        <w:rPr>
          <w:lang w:val="en-US"/>
        </w:rPr>
        <w:t xml:space="preserve">testified </w:t>
      </w:r>
      <w:r w:rsidR="006D267C" w:rsidRPr="009D6948">
        <w:rPr>
          <w:lang w:val="en-US"/>
        </w:rPr>
        <w:t>that the state of the paintwork would deteriorate over time</w:t>
      </w:r>
      <w:r w:rsidR="00115068">
        <w:rPr>
          <w:lang w:val="en-US"/>
        </w:rPr>
        <w:t xml:space="preserve"> as a consequence of the </w:t>
      </w:r>
      <w:r w:rsidR="006D267C" w:rsidRPr="009D6948">
        <w:rPr>
          <w:lang w:val="en-US"/>
        </w:rPr>
        <w:t>underlying damp issue</w:t>
      </w:r>
      <w:r w:rsidR="00B17CF3">
        <w:rPr>
          <w:lang w:val="en-US"/>
        </w:rPr>
        <w:t>. Mr Sayenda of Limbika also confirmed that if a damp area were to be repaired with Polyfilla, it would only hold for a limited period of time and would then “</w:t>
      </w:r>
      <w:r w:rsidR="00B17CF3">
        <w:rPr>
          <w:i/>
          <w:iCs/>
          <w:lang w:val="en-US"/>
        </w:rPr>
        <w:t>begin to fall apart”</w:t>
      </w:r>
      <w:r w:rsidR="00B17CF3">
        <w:rPr>
          <w:lang w:val="en-US"/>
        </w:rPr>
        <w:t xml:space="preserve">. </w:t>
      </w:r>
      <w:r w:rsidR="00835971">
        <w:rPr>
          <w:lang w:val="en-US"/>
        </w:rPr>
        <w:t xml:space="preserve">Mr Gowans’ evidence was to the same effect. </w:t>
      </w:r>
      <w:r w:rsidR="0040177B">
        <w:rPr>
          <w:lang w:val="en-US"/>
        </w:rPr>
        <w:t xml:space="preserve">In this context, </w:t>
      </w:r>
      <w:r w:rsidR="00115068">
        <w:rPr>
          <w:lang w:val="en-US"/>
        </w:rPr>
        <w:t xml:space="preserve">the flawed paintwork identified by Mr Bruckner </w:t>
      </w:r>
      <w:r w:rsidR="00835971">
        <w:rPr>
          <w:lang w:val="en-US"/>
        </w:rPr>
        <w:t xml:space="preserve">could </w:t>
      </w:r>
      <w:r w:rsidR="00115068">
        <w:rPr>
          <w:lang w:val="en-US"/>
        </w:rPr>
        <w:t xml:space="preserve">have </w:t>
      </w:r>
      <w:r w:rsidR="006D267C" w:rsidRPr="009D6948">
        <w:rPr>
          <w:lang w:val="en-US"/>
        </w:rPr>
        <w:t xml:space="preserve">arisen </w:t>
      </w:r>
      <w:r w:rsidR="00835971">
        <w:rPr>
          <w:lang w:val="en-US"/>
        </w:rPr>
        <w:t xml:space="preserve">only </w:t>
      </w:r>
      <w:r w:rsidR="006D267C" w:rsidRPr="009D6948">
        <w:rPr>
          <w:lang w:val="en-US"/>
        </w:rPr>
        <w:t>in the intervening period</w:t>
      </w:r>
      <w:r w:rsidR="00835971">
        <w:rPr>
          <w:lang w:val="en-US"/>
        </w:rPr>
        <w:t xml:space="preserve"> (i</w:t>
      </w:r>
      <w:r w:rsidR="004C52F4">
        <w:rPr>
          <w:lang w:val="en-US"/>
        </w:rPr>
        <w:t>.</w:t>
      </w:r>
      <w:r w:rsidR="00835971">
        <w:rPr>
          <w:lang w:val="en-US"/>
        </w:rPr>
        <w:t>e</w:t>
      </w:r>
      <w:r w:rsidR="004C52F4">
        <w:rPr>
          <w:lang w:val="en-US"/>
        </w:rPr>
        <w:t>.</w:t>
      </w:r>
      <w:r w:rsidR="00835971">
        <w:rPr>
          <w:lang w:val="en-US"/>
        </w:rPr>
        <w:t xml:space="preserve"> between the date of sale and the date of inspection)</w:t>
      </w:r>
      <w:r w:rsidR="006D267C" w:rsidRPr="009D6948">
        <w:rPr>
          <w:lang w:val="en-US"/>
        </w:rPr>
        <w:t xml:space="preserve">. </w:t>
      </w:r>
      <w:r w:rsidR="00163861">
        <w:rPr>
          <w:lang w:val="en-US"/>
        </w:rPr>
        <w:t>Contrary to the second appellant’s claims, there is nothing inherently unreliable about his evidence in this regard.</w:t>
      </w:r>
    </w:p>
    <w:p w14:paraId="64C53F1B" w14:textId="06ED5921" w:rsidR="009D6948" w:rsidRDefault="00E55D0A" w:rsidP="00E55D0A">
      <w:pPr>
        <w:pStyle w:val="level1"/>
        <w:tabs>
          <w:tab w:val="left" w:pos="680"/>
        </w:tabs>
        <w:spacing w:after="480" w:line="360" w:lineRule="auto"/>
        <w:ind w:left="680" w:hanging="680"/>
        <w:jc w:val="both"/>
        <w:rPr>
          <w:lang w:val="en-US"/>
        </w:rPr>
      </w:pPr>
      <w:r>
        <w:rPr>
          <w:lang w:val="en-US"/>
        </w:rPr>
        <w:t>[14]</w:t>
      </w:r>
      <w:r>
        <w:rPr>
          <w:lang w:val="en-US"/>
        </w:rPr>
        <w:tab/>
      </w:r>
      <w:r w:rsidR="004F3E33">
        <w:rPr>
          <w:lang w:val="en-US"/>
        </w:rPr>
        <w:t>The evidence thus does not</w:t>
      </w:r>
      <w:r w:rsidR="00DE6731">
        <w:rPr>
          <w:lang w:val="en-US"/>
        </w:rPr>
        <w:t xml:space="preserve"> support the first appellant’s claim</w:t>
      </w:r>
      <w:r w:rsidR="004F3E33">
        <w:rPr>
          <w:lang w:val="en-US"/>
        </w:rPr>
        <w:t xml:space="preserve"> that the defects were apparent. </w:t>
      </w:r>
      <w:r w:rsidR="00DE6731">
        <w:rPr>
          <w:lang w:val="en-US"/>
        </w:rPr>
        <w:t xml:space="preserve">His </w:t>
      </w:r>
      <w:r w:rsidR="00EB37DC" w:rsidRPr="009D6948">
        <w:rPr>
          <w:lang w:val="en-US"/>
        </w:rPr>
        <w:t>grounds of appeal on this score must fail</w:t>
      </w:r>
      <w:r w:rsidR="009D6948">
        <w:rPr>
          <w:lang w:val="en-US"/>
        </w:rPr>
        <w:t>.</w:t>
      </w:r>
    </w:p>
    <w:p w14:paraId="405249C2" w14:textId="6FED8AA9" w:rsidR="009D6948" w:rsidRPr="0053364F" w:rsidRDefault="00E55D0A" w:rsidP="00E55D0A">
      <w:pPr>
        <w:pStyle w:val="level1"/>
        <w:tabs>
          <w:tab w:val="left" w:pos="680"/>
        </w:tabs>
        <w:spacing w:after="480" w:line="360" w:lineRule="auto"/>
        <w:ind w:left="680" w:hanging="680"/>
        <w:jc w:val="both"/>
        <w:rPr>
          <w:lang w:val="en-US"/>
        </w:rPr>
      </w:pPr>
      <w:r w:rsidRPr="0053364F">
        <w:rPr>
          <w:lang w:val="en-US"/>
        </w:rPr>
        <w:lastRenderedPageBreak/>
        <w:t>[15]</w:t>
      </w:r>
      <w:r w:rsidRPr="0053364F">
        <w:rPr>
          <w:lang w:val="en-US"/>
        </w:rPr>
        <w:tab/>
      </w:r>
      <w:r w:rsidR="009479AA" w:rsidRPr="009D6948">
        <w:rPr>
          <w:lang w:val="en-US"/>
        </w:rPr>
        <w:t>The second appellant accepted that damp constituted a latent defect in the property but took issue with the extent of the damp claimed for</w:t>
      </w:r>
      <w:r w:rsidR="005353BC" w:rsidRPr="009D6948">
        <w:rPr>
          <w:lang w:val="en-US"/>
        </w:rPr>
        <w:t xml:space="preserve"> – particularly in relation to the balcony repairs</w:t>
      </w:r>
      <w:r w:rsidR="009479AA" w:rsidRPr="009D6948">
        <w:rPr>
          <w:lang w:val="en-US"/>
        </w:rPr>
        <w:t>.</w:t>
      </w:r>
      <w:r w:rsidR="005353BC" w:rsidRPr="009D6948">
        <w:rPr>
          <w:lang w:val="en-US"/>
        </w:rPr>
        <w:t xml:space="preserve"> It was submitted that Mr Bruckner was the only witness who could (and did) testify to the need for repairs to the balcony, and he based his assessment on leaks apparent in the kitchen ceiling, </w:t>
      </w:r>
      <w:r w:rsidR="008206DF">
        <w:rPr>
          <w:lang w:val="en-US"/>
        </w:rPr>
        <w:t xml:space="preserve">in respect of which </w:t>
      </w:r>
      <w:r w:rsidR="005353BC" w:rsidRPr="009D6948">
        <w:rPr>
          <w:lang w:val="en-US"/>
        </w:rPr>
        <w:t xml:space="preserve">no photographs </w:t>
      </w:r>
      <w:r w:rsidR="008206DF">
        <w:rPr>
          <w:lang w:val="en-US"/>
        </w:rPr>
        <w:t xml:space="preserve">had been </w:t>
      </w:r>
      <w:r w:rsidR="005353BC" w:rsidRPr="009D6948">
        <w:rPr>
          <w:lang w:val="en-US"/>
        </w:rPr>
        <w:t xml:space="preserve">provided. </w:t>
      </w:r>
      <w:r w:rsidR="008206DF">
        <w:rPr>
          <w:lang w:val="en-US"/>
        </w:rPr>
        <w:t>It was</w:t>
      </w:r>
      <w:r w:rsidR="00151035">
        <w:rPr>
          <w:lang w:val="en-US"/>
        </w:rPr>
        <w:t xml:space="preserve"> further</w:t>
      </w:r>
      <w:r w:rsidR="008206DF">
        <w:rPr>
          <w:lang w:val="en-US"/>
        </w:rPr>
        <w:t xml:space="preserve"> argued that </w:t>
      </w:r>
      <w:r w:rsidR="005353BC" w:rsidRPr="009D6948">
        <w:rPr>
          <w:lang w:val="en-US"/>
        </w:rPr>
        <w:t xml:space="preserve">Mr Bruckner’s evidence </w:t>
      </w:r>
      <w:r w:rsidR="009479AA" w:rsidRPr="009D6948">
        <w:rPr>
          <w:lang w:val="en-US"/>
        </w:rPr>
        <w:t>should be treated with circumspection</w:t>
      </w:r>
      <w:r w:rsidR="005353BC" w:rsidRPr="009D6948">
        <w:rPr>
          <w:lang w:val="en-US"/>
        </w:rPr>
        <w:t>, both</w:t>
      </w:r>
      <w:r w:rsidR="009479AA" w:rsidRPr="009D6948">
        <w:rPr>
          <w:lang w:val="en-US"/>
        </w:rPr>
        <w:t xml:space="preserve"> because he </w:t>
      </w:r>
      <w:r w:rsidR="005353BC" w:rsidRPr="009D6948">
        <w:rPr>
          <w:lang w:val="en-US"/>
        </w:rPr>
        <w:t xml:space="preserve">received a commission on the work undertaken and thus had an interest in defending its extent, and because he </w:t>
      </w:r>
      <w:r w:rsidR="009479AA" w:rsidRPr="009D6948">
        <w:rPr>
          <w:lang w:val="en-US"/>
        </w:rPr>
        <w:t xml:space="preserve">had a relationship with the respondent that meant he was not independent. </w:t>
      </w:r>
      <w:r w:rsidR="005353BC" w:rsidRPr="009D6948">
        <w:rPr>
          <w:lang w:val="en-US"/>
        </w:rPr>
        <w:t>Mr Gowans</w:t>
      </w:r>
      <w:r w:rsidR="008206DF">
        <w:rPr>
          <w:lang w:val="en-US"/>
        </w:rPr>
        <w:t>, by contrast,</w:t>
      </w:r>
      <w:r w:rsidR="005353BC" w:rsidRPr="009D6948">
        <w:rPr>
          <w:lang w:val="en-US"/>
        </w:rPr>
        <w:t xml:space="preserve"> </w:t>
      </w:r>
      <w:r w:rsidR="005353BC" w:rsidRPr="009D6948">
        <w:rPr>
          <w:i/>
          <w:iCs/>
          <w:lang w:val="en-US"/>
        </w:rPr>
        <w:t xml:space="preserve">was </w:t>
      </w:r>
      <w:r w:rsidR="005353BC" w:rsidRPr="009D6948">
        <w:rPr>
          <w:lang w:val="en-US"/>
        </w:rPr>
        <w:t xml:space="preserve">independent but he </w:t>
      </w:r>
      <w:r w:rsidR="008206DF">
        <w:rPr>
          <w:lang w:val="en-US"/>
        </w:rPr>
        <w:t xml:space="preserve">had only been </w:t>
      </w:r>
      <w:r w:rsidR="009479AA" w:rsidRPr="009D6948">
        <w:rPr>
          <w:lang w:val="en-US"/>
        </w:rPr>
        <w:t xml:space="preserve">afforded access to inspect the property after remediation work had commenced – and after the balcony </w:t>
      </w:r>
      <w:r w:rsidR="004A26E3" w:rsidRPr="009D6948">
        <w:rPr>
          <w:lang w:val="en-US"/>
        </w:rPr>
        <w:t xml:space="preserve">tiling and </w:t>
      </w:r>
      <w:r w:rsidR="009479AA" w:rsidRPr="009D6948">
        <w:rPr>
          <w:lang w:val="en-US"/>
        </w:rPr>
        <w:t>waterproofing had been removed.</w:t>
      </w:r>
      <w:r w:rsidR="004A26E3" w:rsidRPr="009D6948">
        <w:rPr>
          <w:lang w:val="en-US"/>
        </w:rPr>
        <w:t xml:space="preserve"> He was thus unable to assess whether the balcony was indeed leaking</w:t>
      </w:r>
      <w:r w:rsidR="0053364F">
        <w:rPr>
          <w:lang w:val="en-US"/>
        </w:rPr>
        <w:t>,</w:t>
      </w:r>
      <w:r w:rsidR="004A26E3" w:rsidRPr="009D6948">
        <w:rPr>
          <w:lang w:val="en-US"/>
        </w:rPr>
        <w:t xml:space="preserve"> and </w:t>
      </w:r>
      <w:r w:rsidR="0053364F">
        <w:rPr>
          <w:lang w:val="en-US"/>
        </w:rPr>
        <w:t xml:space="preserve">whether </w:t>
      </w:r>
      <w:r w:rsidR="004A26E3" w:rsidRPr="009D6948">
        <w:rPr>
          <w:lang w:val="en-US"/>
        </w:rPr>
        <w:t xml:space="preserve">the repairs </w:t>
      </w:r>
      <w:r w:rsidR="0053364F">
        <w:rPr>
          <w:lang w:val="en-US"/>
        </w:rPr>
        <w:t xml:space="preserve">undertaken were in fact </w:t>
      </w:r>
      <w:r w:rsidR="004A26E3" w:rsidRPr="0053364F">
        <w:rPr>
          <w:lang w:val="en-US"/>
        </w:rPr>
        <w:t xml:space="preserve">required. </w:t>
      </w:r>
    </w:p>
    <w:p w14:paraId="013AFCB7" w14:textId="4CBC53F4" w:rsidR="009D6948" w:rsidRDefault="00E55D0A" w:rsidP="00E55D0A">
      <w:pPr>
        <w:pStyle w:val="level1"/>
        <w:tabs>
          <w:tab w:val="left" w:pos="680"/>
        </w:tabs>
        <w:spacing w:after="480" w:line="360" w:lineRule="auto"/>
        <w:ind w:left="680" w:hanging="680"/>
        <w:jc w:val="both"/>
        <w:rPr>
          <w:lang w:val="en-US"/>
        </w:rPr>
      </w:pPr>
      <w:r>
        <w:rPr>
          <w:lang w:val="en-US"/>
        </w:rPr>
        <w:t>[16]</w:t>
      </w:r>
      <w:r>
        <w:rPr>
          <w:lang w:val="en-US"/>
        </w:rPr>
        <w:tab/>
      </w:r>
      <w:r w:rsidR="004A26E3" w:rsidRPr="009D6948">
        <w:rPr>
          <w:lang w:val="en-US"/>
        </w:rPr>
        <w:t xml:space="preserve">The court </w:t>
      </w:r>
      <w:r w:rsidR="004A26E3" w:rsidRPr="009D6948">
        <w:rPr>
          <w:i/>
          <w:iCs/>
          <w:lang w:val="en-US"/>
        </w:rPr>
        <w:t>a quo</w:t>
      </w:r>
      <w:r w:rsidR="004A26E3" w:rsidRPr="009D6948">
        <w:rPr>
          <w:lang w:val="en-US"/>
        </w:rPr>
        <w:t xml:space="preserve"> accepted Mr Bruckner’s evidence on the extent of the damp </w:t>
      </w:r>
      <w:r w:rsidR="0053364F">
        <w:rPr>
          <w:lang w:val="en-US"/>
        </w:rPr>
        <w:t>and the flaws in the balcony</w:t>
      </w:r>
      <w:r w:rsidR="004A26E3" w:rsidRPr="009D6948">
        <w:rPr>
          <w:lang w:val="en-US"/>
        </w:rPr>
        <w:t xml:space="preserve">. </w:t>
      </w:r>
      <w:r w:rsidR="00303C9C" w:rsidRPr="009D6948">
        <w:rPr>
          <w:lang w:val="en-US"/>
        </w:rPr>
        <w:t>It cannot be faulted for doing so, for the following reasons</w:t>
      </w:r>
      <w:r w:rsidR="009D6948">
        <w:rPr>
          <w:lang w:val="en-US"/>
        </w:rPr>
        <w:t>:</w:t>
      </w:r>
    </w:p>
    <w:p w14:paraId="469F0C71" w14:textId="3CCAD78F" w:rsidR="009D6948" w:rsidRDefault="00E55D0A" w:rsidP="00E55D0A">
      <w:pPr>
        <w:pStyle w:val="level1"/>
        <w:tabs>
          <w:tab w:val="left" w:pos="1361"/>
        </w:tabs>
        <w:spacing w:after="480" w:line="360" w:lineRule="auto"/>
        <w:ind w:left="1361" w:hanging="681"/>
        <w:jc w:val="both"/>
        <w:rPr>
          <w:lang w:val="en-US"/>
        </w:rPr>
      </w:pPr>
      <w:r>
        <w:rPr>
          <w:lang w:val="en-US"/>
        </w:rPr>
        <w:t>[16.1]</w:t>
      </w:r>
      <w:r>
        <w:rPr>
          <w:lang w:val="en-US"/>
        </w:rPr>
        <w:tab/>
      </w:r>
      <w:r w:rsidR="00303C9C" w:rsidRPr="009D6948">
        <w:rPr>
          <w:lang w:val="en-US"/>
        </w:rPr>
        <w:t>First</w:t>
      </w:r>
      <w:r w:rsidR="00F67CF0" w:rsidRPr="009D6948">
        <w:rPr>
          <w:lang w:val="en-US"/>
        </w:rPr>
        <w:t xml:space="preserve"> and foremost, whilst the experts were at odds on the extent of the damp across the interior walls of the property,</w:t>
      </w:r>
      <w:r w:rsidR="00F67CF0">
        <w:rPr>
          <w:rStyle w:val="FootnoteReference"/>
          <w:lang w:val="en-US"/>
        </w:rPr>
        <w:footnoteReference w:id="8"/>
      </w:r>
      <w:r w:rsidR="00F67CF0" w:rsidRPr="009D6948">
        <w:rPr>
          <w:lang w:val="en-US"/>
        </w:rPr>
        <w:t xml:space="preserve"> they agreed that there was no threshold step between the balcony and the interior, and that this could result in water ingress </w:t>
      </w:r>
      <w:r w:rsidR="0053364F">
        <w:rPr>
          <w:lang w:val="en-US"/>
        </w:rPr>
        <w:t xml:space="preserve">resulting in </w:t>
      </w:r>
      <w:r w:rsidR="00F67CF0" w:rsidRPr="009D6948">
        <w:rPr>
          <w:lang w:val="en-US"/>
        </w:rPr>
        <w:t xml:space="preserve">damp or wetness in the walls. They disagreed on the best method for </w:t>
      </w:r>
      <w:r w:rsidR="0053364F">
        <w:rPr>
          <w:lang w:val="en-US"/>
        </w:rPr>
        <w:t>remedying that issue</w:t>
      </w:r>
      <w:r w:rsidR="00F67CF0" w:rsidRPr="009D6948">
        <w:rPr>
          <w:lang w:val="en-US"/>
        </w:rPr>
        <w:t xml:space="preserve"> – but not on the fact that the balcony structure </w:t>
      </w:r>
      <w:r w:rsidR="00163861">
        <w:rPr>
          <w:lang w:val="en-US"/>
        </w:rPr>
        <w:t xml:space="preserve">could cause </w:t>
      </w:r>
      <w:r w:rsidR="00DE6731">
        <w:rPr>
          <w:lang w:val="en-US"/>
        </w:rPr>
        <w:t xml:space="preserve">or contribute to </w:t>
      </w:r>
      <w:r w:rsidR="00F67CF0" w:rsidRPr="009D6948">
        <w:rPr>
          <w:lang w:val="en-US"/>
        </w:rPr>
        <w:t>damp</w:t>
      </w:r>
      <w:r w:rsidR="0053364F">
        <w:rPr>
          <w:lang w:val="en-US"/>
        </w:rPr>
        <w:t xml:space="preserve"> in the interior walls</w:t>
      </w:r>
      <w:r w:rsidR="00F67CF0" w:rsidRPr="009D6948">
        <w:rPr>
          <w:lang w:val="en-US"/>
        </w:rPr>
        <w:t>. Th</w:t>
      </w:r>
      <w:r w:rsidR="00DE6731">
        <w:rPr>
          <w:lang w:val="en-US"/>
        </w:rPr>
        <w:t>at evidence bore out the</w:t>
      </w:r>
      <w:r w:rsidR="00F67CF0" w:rsidRPr="009D6948">
        <w:rPr>
          <w:lang w:val="en-US"/>
        </w:rPr>
        <w:t xml:space="preserve"> respondent</w:t>
      </w:r>
      <w:r w:rsidR="00DE6731">
        <w:rPr>
          <w:lang w:val="en-US"/>
        </w:rPr>
        <w:t>’s</w:t>
      </w:r>
      <w:r w:rsidR="00F67CF0" w:rsidRPr="009D6948">
        <w:rPr>
          <w:lang w:val="en-US"/>
        </w:rPr>
        <w:t xml:space="preserve"> </w:t>
      </w:r>
      <w:r w:rsidR="00DE6731">
        <w:rPr>
          <w:lang w:val="en-US"/>
        </w:rPr>
        <w:t xml:space="preserve">case </w:t>
      </w:r>
      <w:r w:rsidR="00F67CF0" w:rsidRPr="009D6948">
        <w:rPr>
          <w:lang w:val="en-US"/>
        </w:rPr>
        <w:t>for defects arising from the balcony.</w:t>
      </w:r>
    </w:p>
    <w:p w14:paraId="58B1ACC4" w14:textId="3BFEE603" w:rsidR="009D6948" w:rsidRDefault="00E55D0A" w:rsidP="00E55D0A">
      <w:pPr>
        <w:pStyle w:val="level1"/>
        <w:tabs>
          <w:tab w:val="left" w:pos="1361"/>
        </w:tabs>
        <w:spacing w:after="480" w:line="360" w:lineRule="auto"/>
        <w:ind w:left="1361" w:hanging="681"/>
        <w:jc w:val="both"/>
        <w:rPr>
          <w:lang w:val="en-US"/>
        </w:rPr>
      </w:pPr>
      <w:r>
        <w:rPr>
          <w:lang w:val="en-US"/>
        </w:rPr>
        <w:lastRenderedPageBreak/>
        <w:t>[16.2]</w:t>
      </w:r>
      <w:r>
        <w:rPr>
          <w:lang w:val="en-US"/>
        </w:rPr>
        <w:tab/>
      </w:r>
      <w:r w:rsidR="00F67CF0" w:rsidRPr="009D6948">
        <w:rPr>
          <w:lang w:val="en-US"/>
        </w:rPr>
        <w:t>Second and in any event,</w:t>
      </w:r>
      <w:r w:rsidR="00303C9C" w:rsidRPr="009D6948">
        <w:rPr>
          <w:lang w:val="en-US"/>
        </w:rPr>
        <w:t xml:space="preserve"> it was not put to Mr Bruckner, let alone established, that he lacked independence or credibility. </w:t>
      </w:r>
      <w:r w:rsidR="00163861">
        <w:rPr>
          <w:lang w:val="en-US"/>
        </w:rPr>
        <w:t xml:space="preserve">Both his testimony, and that of the respondent, confirmed </w:t>
      </w:r>
      <w:r w:rsidR="00303C9C" w:rsidRPr="009D6948">
        <w:rPr>
          <w:lang w:val="en-US"/>
        </w:rPr>
        <w:t xml:space="preserve">that he </w:t>
      </w:r>
      <w:r w:rsidR="00151035">
        <w:rPr>
          <w:lang w:val="en-US"/>
        </w:rPr>
        <w:t xml:space="preserve">had previously </w:t>
      </w:r>
      <w:r w:rsidR="00163861">
        <w:rPr>
          <w:lang w:val="en-US"/>
        </w:rPr>
        <w:t xml:space="preserve">undertaken </w:t>
      </w:r>
      <w:r w:rsidR="00303C9C" w:rsidRPr="009D6948">
        <w:rPr>
          <w:lang w:val="en-US"/>
        </w:rPr>
        <w:t>work for the respondent</w:t>
      </w:r>
      <w:r w:rsidR="00163861">
        <w:rPr>
          <w:lang w:val="en-US"/>
        </w:rPr>
        <w:t xml:space="preserve">, but </w:t>
      </w:r>
      <w:r w:rsidR="00151035">
        <w:rPr>
          <w:lang w:val="en-US"/>
        </w:rPr>
        <w:t xml:space="preserve">their evidence </w:t>
      </w:r>
      <w:r w:rsidR="00163861">
        <w:rPr>
          <w:lang w:val="en-US"/>
        </w:rPr>
        <w:t xml:space="preserve">did not </w:t>
      </w:r>
      <w:r w:rsidR="00DE6731">
        <w:rPr>
          <w:lang w:val="en-US"/>
        </w:rPr>
        <w:t xml:space="preserve">point to a </w:t>
      </w:r>
      <w:r w:rsidR="00151035">
        <w:rPr>
          <w:lang w:val="en-US"/>
        </w:rPr>
        <w:t xml:space="preserve">sufficiently </w:t>
      </w:r>
      <w:r w:rsidR="00303C9C" w:rsidRPr="009D6948">
        <w:rPr>
          <w:lang w:val="en-US"/>
        </w:rPr>
        <w:t xml:space="preserve">close relationship that </w:t>
      </w:r>
      <w:r w:rsidR="00151035">
        <w:rPr>
          <w:lang w:val="en-US"/>
        </w:rPr>
        <w:t xml:space="preserve">it </w:t>
      </w:r>
      <w:r w:rsidR="00303C9C" w:rsidRPr="009D6948">
        <w:rPr>
          <w:lang w:val="en-US"/>
        </w:rPr>
        <w:t xml:space="preserve">would compromise his independence or the truthfulness of his testimony. That </w:t>
      </w:r>
      <w:r w:rsidR="00163861">
        <w:rPr>
          <w:lang w:val="en-US"/>
        </w:rPr>
        <w:t xml:space="preserve">also cannot be inferred from </w:t>
      </w:r>
      <w:r w:rsidR="00303C9C" w:rsidRPr="009D6948">
        <w:rPr>
          <w:lang w:val="en-US"/>
        </w:rPr>
        <w:t xml:space="preserve">the fact that </w:t>
      </w:r>
      <w:r w:rsidR="00151035">
        <w:rPr>
          <w:lang w:val="en-US"/>
        </w:rPr>
        <w:t xml:space="preserve">Mr Bruckner received </w:t>
      </w:r>
      <w:r w:rsidR="00303C9C" w:rsidRPr="009D6948">
        <w:rPr>
          <w:lang w:val="en-US"/>
        </w:rPr>
        <w:t xml:space="preserve">10% of the fees charged for the repairs. </w:t>
      </w:r>
      <w:r w:rsidR="00151035">
        <w:rPr>
          <w:lang w:val="en-US"/>
        </w:rPr>
        <w:t xml:space="preserve">The </w:t>
      </w:r>
      <w:r w:rsidR="00303C9C" w:rsidRPr="009D6948">
        <w:rPr>
          <w:lang w:val="en-US"/>
        </w:rPr>
        <w:t xml:space="preserve">work was completed and paid for in advance of the trial, so his payment was not contingent on its outcome. </w:t>
      </w:r>
    </w:p>
    <w:p w14:paraId="45E6F132" w14:textId="3D4FDDDB" w:rsidR="009D6948" w:rsidRDefault="00E55D0A" w:rsidP="00E55D0A">
      <w:pPr>
        <w:pStyle w:val="level1"/>
        <w:tabs>
          <w:tab w:val="left" w:pos="1361"/>
        </w:tabs>
        <w:spacing w:after="480" w:line="360" w:lineRule="auto"/>
        <w:ind w:left="1361" w:hanging="681"/>
        <w:jc w:val="both"/>
        <w:rPr>
          <w:lang w:val="en-US"/>
        </w:rPr>
      </w:pPr>
      <w:r>
        <w:rPr>
          <w:lang w:val="en-US"/>
        </w:rPr>
        <w:t>[16.3]</w:t>
      </w:r>
      <w:r>
        <w:rPr>
          <w:lang w:val="en-US"/>
        </w:rPr>
        <w:tab/>
      </w:r>
      <w:r w:rsidR="00F67CF0" w:rsidRPr="009D6948">
        <w:rPr>
          <w:lang w:val="en-US"/>
        </w:rPr>
        <w:t>Third</w:t>
      </w:r>
      <w:r w:rsidR="00303C9C" w:rsidRPr="009D6948">
        <w:rPr>
          <w:lang w:val="en-US"/>
        </w:rPr>
        <w:t>, the timing of Mr Gowans’ inspection of the property does not support the inference contended for – namely</w:t>
      </w:r>
      <w:r w:rsidR="00163861">
        <w:rPr>
          <w:lang w:val="en-US"/>
        </w:rPr>
        <w:t>,</w:t>
      </w:r>
      <w:r w:rsidR="00303C9C" w:rsidRPr="009D6948">
        <w:rPr>
          <w:lang w:val="en-US"/>
        </w:rPr>
        <w:t xml:space="preserve"> that the repair work was begun with unseemly haste to frustrate the appellants’ ability to inspect the property or dispute the defects claimed. Mr Bruckner first attended the property and quoted for repairs on about 6 March 2014. Pursuant to his report, the respondent’s attorneys wrote to the appellants on about 18 March 2014, calling upon them to inspect the property and tender </w:t>
      </w:r>
      <w:r w:rsidR="00163861">
        <w:rPr>
          <w:lang w:val="en-US"/>
        </w:rPr>
        <w:t xml:space="preserve">to </w:t>
      </w:r>
      <w:r w:rsidR="00303C9C" w:rsidRPr="009D6948">
        <w:rPr>
          <w:lang w:val="en-US"/>
        </w:rPr>
        <w:t>repair the identified defects within 7 days, failing which the respondent would herself attend to the repair</w:t>
      </w:r>
      <w:r w:rsidR="00B846ED" w:rsidRPr="009D6948">
        <w:rPr>
          <w:lang w:val="en-US"/>
        </w:rPr>
        <w:t>s</w:t>
      </w:r>
      <w:r w:rsidR="00303C9C" w:rsidRPr="009D6948">
        <w:rPr>
          <w:lang w:val="en-US"/>
        </w:rPr>
        <w:t xml:space="preserve"> and seek to recover the costs thereof from the appellants. Follow-up letters were sent on 26 March 2014 and 4 April 2014</w:t>
      </w:r>
      <w:r w:rsidR="00B846ED" w:rsidRPr="009D6948">
        <w:rPr>
          <w:lang w:val="en-US"/>
        </w:rPr>
        <w:t>, recording also that the respondent’s occupation of the property would be delayed by the repairs and that they were consequently urgent</w:t>
      </w:r>
      <w:r w:rsidR="00303C9C" w:rsidRPr="009D6948">
        <w:rPr>
          <w:lang w:val="en-US"/>
        </w:rPr>
        <w:t>. On 15 April 201</w:t>
      </w:r>
      <w:r w:rsidR="00B846ED" w:rsidRPr="009D6948">
        <w:rPr>
          <w:lang w:val="en-US"/>
        </w:rPr>
        <w:t>4 – almost a month after the initial letter –</w:t>
      </w:r>
      <w:r w:rsidR="00303C9C" w:rsidRPr="009D6948">
        <w:rPr>
          <w:lang w:val="en-US"/>
        </w:rPr>
        <w:t>the respondent’s attorneys notified the appellants that work had commenced at the property.</w:t>
      </w:r>
      <w:r w:rsidR="00B846ED" w:rsidRPr="009D6948">
        <w:rPr>
          <w:lang w:val="en-US"/>
        </w:rPr>
        <w:t xml:space="preserve"> </w:t>
      </w:r>
      <w:r w:rsidR="00303C9C" w:rsidRPr="009D6948">
        <w:rPr>
          <w:lang w:val="en-US"/>
        </w:rPr>
        <w:t>Mr Gowans</w:t>
      </w:r>
      <w:r w:rsidR="00B846ED" w:rsidRPr="009D6948">
        <w:rPr>
          <w:lang w:val="en-US"/>
        </w:rPr>
        <w:t xml:space="preserve"> inspected the </w:t>
      </w:r>
      <w:r w:rsidR="00303C9C" w:rsidRPr="009D6948">
        <w:rPr>
          <w:lang w:val="en-US"/>
        </w:rPr>
        <w:t xml:space="preserve">property on about 5 May 2014, by which stage work </w:t>
      </w:r>
      <w:r w:rsidR="00B846ED" w:rsidRPr="009D6948">
        <w:rPr>
          <w:lang w:val="en-US"/>
        </w:rPr>
        <w:t xml:space="preserve">was </w:t>
      </w:r>
      <w:r w:rsidR="00303C9C" w:rsidRPr="009D6948">
        <w:rPr>
          <w:lang w:val="en-US"/>
        </w:rPr>
        <w:t xml:space="preserve">already </w:t>
      </w:r>
      <w:r w:rsidR="00B846ED" w:rsidRPr="009D6948">
        <w:rPr>
          <w:lang w:val="en-US"/>
        </w:rPr>
        <w:t xml:space="preserve">well underway. There is insufficient basis, on the </w:t>
      </w:r>
      <w:r w:rsidR="00151035">
        <w:rPr>
          <w:lang w:val="en-US"/>
        </w:rPr>
        <w:t>evidence</w:t>
      </w:r>
      <w:r w:rsidR="00B846ED" w:rsidRPr="009D6948">
        <w:rPr>
          <w:lang w:val="en-US"/>
        </w:rPr>
        <w:t>, to impute bad faith to the respondent in respect of the timing of the repair work</w:t>
      </w:r>
      <w:r w:rsidR="009D6948">
        <w:rPr>
          <w:lang w:val="en-US"/>
        </w:rPr>
        <w:t>.</w:t>
      </w:r>
    </w:p>
    <w:p w14:paraId="243D265C" w14:textId="6E5B3D69" w:rsidR="009D6948" w:rsidRDefault="00E55D0A" w:rsidP="00E55D0A">
      <w:pPr>
        <w:pStyle w:val="level1"/>
        <w:tabs>
          <w:tab w:val="left" w:pos="680"/>
        </w:tabs>
        <w:spacing w:after="480" w:line="360" w:lineRule="auto"/>
        <w:ind w:left="680" w:hanging="680"/>
        <w:jc w:val="both"/>
        <w:rPr>
          <w:lang w:val="en-US"/>
        </w:rPr>
      </w:pPr>
      <w:r>
        <w:rPr>
          <w:lang w:val="en-US"/>
        </w:rPr>
        <w:t>[17]</w:t>
      </w:r>
      <w:r>
        <w:rPr>
          <w:lang w:val="en-US"/>
        </w:rPr>
        <w:tab/>
      </w:r>
      <w:r w:rsidR="00F67CF0" w:rsidRPr="009D6948">
        <w:rPr>
          <w:lang w:val="en-US"/>
        </w:rPr>
        <w:t xml:space="preserve">In all those circumstances, the second appellant’s grounds of appeal in respect of this element must also fail. </w:t>
      </w:r>
      <w:r w:rsidR="004A26E3" w:rsidRPr="009D6948">
        <w:rPr>
          <w:lang w:val="en-US"/>
        </w:rPr>
        <w:t>T</w:t>
      </w:r>
      <w:r w:rsidR="00F67CF0" w:rsidRPr="009D6948">
        <w:rPr>
          <w:lang w:val="en-US"/>
        </w:rPr>
        <w:t>he</w:t>
      </w:r>
      <w:r w:rsidR="006D267C" w:rsidRPr="009D6948">
        <w:rPr>
          <w:lang w:val="en-US"/>
        </w:rPr>
        <w:t xml:space="preserve"> court </w:t>
      </w:r>
      <w:r w:rsidR="006D267C" w:rsidRPr="009D6948">
        <w:rPr>
          <w:i/>
          <w:iCs/>
          <w:lang w:val="en-US"/>
        </w:rPr>
        <w:t xml:space="preserve">a quo’s </w:t>
      </w:r>
      <w:r w:rsidR="006D267C" w:rsidRPr="009D6948">
        <w:rPr>
          <w:lang w:val="en-US"/>
        </w:rPr>
        <w:t xml:space="preserve">finding that the </w:t>
      </w:r>
      <w:r w:rsidR="00F67CF0" w:rsidRPr="009D6948">
        <w:rPr>
          <w:lang w:val="en-US"/>
        </w:rPr>
        <w:t xml:space="preserve">damp was a latent </w:t>
      </w:r>
      <w:r w:rsidR="006D267C" w:rsidRPr="009D6948">
        <w:rPr>
          <w:lang w:val="en-US"/>
        </w:rPr>
        <w:t>defect</w:t>
      </w:r>
      <w:r w:rsidR="00F67CF0" w:rsidRPr="009D6948">
        <w:rPr>
          <w:lang w:val="en-US"/>
        </w:rPr>
        <w:t xml:space="preserve"> in respect of which a claim could be brought, </w:t>
      </w:r>
      <w:r w:rsidR="00B3699A">
        <w:rPr>
          <w:lang w:val="en-US"/>
        </w:rPr>
        <w:t>cannot be faulted</w:t>
      </w:r>
      <w:r w:rsidR="004C52F4">
        <w:rPr>
          <w:lang w:val="en-US"/>
        </w:rPr>
        <w:t xml:space="preserve"> and must stand</w:t>
      </w:r>
      <w:r w:rsidR="006D267C" w:rsidRPr="009D6948">
        <w:rPr>
          <w:lang w:val="en-US"/>
        </w:rPr>
        <w:t>.</w:t>
      </w:r>
    </w:p>
    <w:p w14:paraId="62F805C4" w14:textId="77777777" w:rsidR="009D6948" w:rsidRDefault="006D267C" w:rsidP="009D6948">
      <w:pPr>
        <w:pStyle w:val="level1"/>
        <w:spacing w:after="480" w:line="360" w:lineRule="auto"/>
        <w:jc w:val="both"/>
        <w:rPr>
          <w:lang w:val="en-US"/>
        </w:rPr>
      </w:pPr>
      <w:r w:rsidRPr="009D6948">
        <w:rPr>
          <w:b/>
          <w:bCs/>
          <w:i/>
          <w:iCs/>
          <w:lang w:val="en-US"/>
        </w:rPr>
        <w:lastRenderedPageBreak/>
        <w:t>Knowledge</w:t>
      </w:r>
      <w:r w:rsidR="0041032F" w:rsidRPr="009D6948">
        <w:rPr>
          <w:b/>
          <w:bCs/>
          <w:i/>
          <w:iCs/>
          <w:lang w:val="en-US"/>
        </w:rPr>
        <w:t xml:space="preserve"> and concealment</w:t>
      </w:r>
      <w:r w:rsidRPr="009D6948">
        <w:rPr>
          <w:b/>
          <w:bCs/>
          <w:i/>
          <w:iCs/>
          <w:lang w:val="en-US"/>
        </w:rPr>
        <w:t xml:space="preserve"> of the defects</w:t>
      </w:r>
    </w:p>
    <w:p w14:paraId="2B961704" w14:textId="4FA7AB16" w:rsidR="006D267C" w:rsidRDefault="00E55D0A" w:rsidP="00E55D0A">
      <w:pPr>
        <w:pStyle w:val="level1"/>
        <w:tabs>
          <w:tab w:val="left" w:pos="680"/>
        </w:tabs>
        <w:spacing w:after="480" w:line="360" w:lineRule="auto"/>
        <w:ind w:left="680" w:hanging="680"/>
        <w:jc w:val="both"/>
        <w:rPr>
          <w:lang w:val="en-US"/>
        </w:rPr>
      </w:pPr>
      <w:r>
        <w:rPr>
          <w:lang w:val="en-US"/>
        </w:rPr>
        <w:t>[18]</w:t>
      </w:r>
      <w:r>
        <w:rPr>
          <w:lang w:val="en-US"/>
        </w:rPr>
        <w:tab/>
      </w:r>
      <w:r w:rsidR="0041032F" w:rsidRPr="009D6948">
        <w:rPr>
          <w:lang w:val="en-US"/>
        </w:rPr>
        <w:t xml:space="preserve">Both </w:t>
      </w:r>
      <w:r w:rsidR="00163861">
        <w:rPr>
          <w:lang w:val="en-US"/>
        </w:rPr>
        <w:t xml:space="preserve">appellants disputed that they were aware of the defects at issue, and </w:t>
      </w:r>
      <w:r w:rsidR="008D7A51">
        <w:rPr>
          <w:lang w:val="en-US"/>
        </w:rPr>
        <w:t xml:space="preserve">that they </w:t>
      </w:r>
      <w:r w:rsidR="00163861">
        <w:rPr>
          <w:lang w:val="en-US"/>
        </w:rPr>
        <w:t>conceal</w:t>
      </w:r>
      <w:r w:rsidR="008D7A51">
        <w:rPr>
          <w:lang w:val="en-US"/>
        </w:rPr>
        <w:t>ed</w:t>
      </w:r>
      <w:r w:rsidR="00163861">
        <w:rPr>
          <w:lang w:val="en-US"/>
        </w:rPr>
        <w:t xml:space="preserve"> them from the respondent. In this Court, they appeal the court </w:t>
      </w:r>
      <w:r w:rsidR="00163861" w:rsidRPr="00163861">
        <w:rPr>
          <w:i/>
          <w:iCs/>
          <w:lang w:val="en-US"/>
        </w:rPr>
        <w:t>a quo</w:t>
      </w:r>
      <w:r w:rsidR="00163861">
        <w:rPr>
          <w:lang w:val="en-US"/>
        </w:rPr>
        <w:t xml:space="preserve">’s findings to the contrary. </w:t>
      </w:r>
    </w:p>
    <w:p w14:paraId="22B94408" w14:textId="33D00DA1" w:rsidR="008D7A51" w:rsidRDefault="00E55D0A" w:rsidP="00E55D0A">
      <w:pPr>
        <w:pStyle w:val="level1"/>
        <w:tabs>
          <w:tab w:val="left" w:pos="680"/>
        </w:tabs>
        <w:spacing w:after="480" w:line="360" w:lineRule="auto"/>
        <w:ind w:left="680" w:hanging="680"/>
        <w:jc w:val="both"/>
        <w:rPr>
          <w:lang w:val="en-US"/>
        </w:rPr>
      </w:pPr>
      <w:r>
        <w:rPr>
          <w:lang w:val="en-US"/>
        </w:rPr>
        <w:t>[19]</w:t>
      </w:r>
      <w:r>
        <w:rPr>
          <w:lang w:val="en-US"/>
        </w:rPr>
        <w:tab/>
      </w:r>
      <w:r w:rsidR="00163861">
        <w:rPr>
          <w:lang w:val="en-US"/>
        </w:rPr>
        <w:t>The second appellant</w:t>
      </w:r>
      <w:r w:rsidR="008D7A51">
        <w:rPr>
          <w:lang w:val="en-US"/>
        </w:rPr>
        <w:t>’s position was that, during the pendency of her marriage, she was not responsible for the maintenance of the property. It was attended to by the first appellant. He had not apprised her of either the bubbling paint in the dining room or the damp smell in the kitchen. She was consequently wholly unaware of any damp issues in or around the property</w:t>
      </w:r>
      <w:r w:rsidR="00E672AF">
        <w:rPr>
          <w:lang w:val="en-US"/>
        </w:rPr>
        <w:t xml:space="preserve"> – a position </w:t>
      </w:r>
      <w:r w:rsidR="00557860">
        <w:rPr>
          <w:lang w:val="en-US"/>
        </w:rPr>
        <w:t>she submitted was</w:t>
      </w:r>
      <w:r w:rsidR="00E672AF">
        <w:rPr>
          <w:lang w:val="en-US"/>
        </w:rPr>
        <w:t xml:space="preserve"> consistent with the experts’ evidence that damp can go undetected for years</w:t>
      </w:r>
      <w:r w:rsidR="008D7A51">
        <w:rPr>
          <w:lang w:val="en-US"/>
        </w:rPr>
        <w:t xml:space="preserve">. </w:t>
      </w:r>
      <w:r w:rsidR="00E672AF">
        <w:rPr>
          <w:lang w:val="en-US"/>
        </w:rPr>
        <w:t xml:space="preserve">The second appellant also testified that she </w:t>
      </w:r>
      <w:r w:rsidR="008D7A51">
        <w:rPr>
          <w:lang w:val="en-US"/>
        </w:rPr>
        <w:t xml:space="preserve">retained </w:t>
      </w:r>
      <w:r w:rsidR="0083155A">
        <w:rPr>
          <w:lang w:val="en-US"/>
        </w:rPr>
        <w:t>a number of contractors, including Limbika,</w:t>
      </w:r>
      <w:r w:rsidR="008D7A51">
        <w:rPr>
          <w:lang w:val="en-US"/>
        </w:rPr>
        <w:t xml:space="preserve"> to “</w:t>
      </w:r>
      <w:r w:rsidR="008D7A51">
        <w:rPr>
          <w:i/>
          <w:iCs/>
          <w:lang w:val="en-US"/>
        </w:rPr>
        <w:t>beautify”</w:t>
      </w:r>
      <w:r w:rsidR="008D7A51">
        <w:rPr>
          <w:lang w:val="en-US"/>
        </w:rPr>
        <w:t xml:space="preserve"> the property in advance of marketing it for sale in the hope that, by neatening it up, the appellants would sell </w:t>
      </w:r>
      <w:r w:rsidR="00B3699A">
        <w:rPr>
          <w:lang w:val="en-US"/>
        </w:rPr>
        <w:t xml:space="preserve">the property </w:t>
      </w:r>
      <w:r w:rsidR="008D7A51">
        <w:rPr>
          <w:lang w:val="en-US"/>
        </w:rPr>
        <w:t xml:space="preserve">as quickly as possible and fetch the best possible price. </w:t>
      </w:r>
      <w:r w:rsidR="00557860">
        <w:rPr>
          <w:lang w:val="en-US"/>
        </w:rPr>
        <w:t>It is commonplace for sellers to do so</w:t>
      </w:r>
      <w:r w:rsidR="0083155A">
        <w:rPr>
          <w:lang w:val="en-US"/>
        </w:rPr>
        <w:t>. She sought to put the house in “</w:t>
      </w:r>
      <w:r w:rsidR="0083155A" w:rsidRPr="003F4E46">
        <w:rPr>
          <w:i/>
          <w:iCs/>
          <w:lang w:val="en-US"/>
        </w:rPr>
        <w:t>showroom condition</w:t>
      </w:r>
      <w:r w:rsidR="0083155A">
        <w:rPr>
          <w:lang w:val="en-US"/>
        </w:rPr>
        <w:t xml:space="preserve">”, not to conceal any defects. </w:t>
      </w:r>
      <w:r w:rsidR="008D7A51">
        <w:rPr>
          <w:lang w:val="en-US"/>
        </w:rPr>
        <w:t>Because she was herself ignorant of the damp, she could not have sought to conceal it.</w:t>
      </w:r>
    </w:p>
    <w:p w14:paraId="7D847B52" w14:textId="72BC1073" w:rsidR="00163861" w:rsidRDefault="00E55D0A" w:rsidP="00E55D0A">
      <w:pPr>
        <w:pStyle w:val="level1"/>
        <w:tabs>
          <w:tab w:val="left" w:pos="680"/>
        </w:tabs>
        <w:spacing w:after="480" w:line="360" w:lineRule="auto"/>
        <w:ind w:left="680" w:hanging="680"/>
        <w:jc w:val="both"/>
        <w:rPr>
          <w:lang w:val="en-US"/>
        </w:rPr>
      </w:pPr>
      <w:r>
        <w:rPr>
          <w:lang w:val="en-US"/>
        </w:rPr>
        <w:t>[20]</w:t>
      </w:r>
      <w:r>
        <w:rPr>
          <w:lang w:val="en-US"/>
        </w:rPr>
        <w:tab/>
      </w:r>
      <w:r w:rsidR="00DE6731">
        <w:rPr>
          <w:lang w:val="en-US"/>
        </w:rPr>
        <w:t xml:space="preserve">The </w:t>
      </w:r>
      <w:r w:rsidR="0078224F">
        <w:rPr>
          <w:lang w:val="en-US"/>
        </w:rPr>
        <w:t xml:space="preserve">court </w:t>
      </w:r>
      <w:r w:rsidR="0078224F" w:rsidRPr="0078224F">
        <w:rPr>
          <w:i/>
          <w:iCs/>
          <w:lang w:val="en-US"/>
        </w:rPr>
        <w:t>a quo</w:t>
      </w:r>
      <w:r w:rsidR="0078224F">
        <w:rPr>
          <w:lang w:val="en-US"/>
        </w:rPr>
        <w:t xml:space="preserve"> </w:t>
      </w:r>
      <w:r w:rsidR="0083155A">
        <w:rPr>
          <w:lang w:val="en-US"/>
        </w:rPr>
        <w:t>found, on a balance of probabilities, that the second appellant had known of the damp and had designedly concealed it during the sale.</w:t>
      </w:r>
      <w:r w:rsidR="00725611">
        <w:rPr>
          <w:lang w:val="en-US"/>
        </w:rPr>
        <w:t xml:space="preserve"> While fraud is not lightly imputed,</w:t>
      </w:r>
      <w:r w:rsidR="00725611">
        <w:rPr>
          <w:rStyle w:val="FootnoteReference"/>
          <w:lang w:val="en-US"/>
        </w:rPr>
        <w:footnoteReference w:id="9"/>
      </w:r>
      <w:r w:rsidR="00725611">
        <w:rPr>
          <w:lang w:val="en-US"/>
        </w:rPr>
        <w:t xml:space="preserve"> it may nevertheless be inferred when such inference is supported by the objective facts revealed by the evidence.</w:t>
      </w:r>
      <w:r w:rsidR="00725611">
        <w:rPr>
          <w:rStyle w:val="FootnoteReference"/>
          <w:lang w:val="en-US"/>
        </w:rPr>
        <w:footnoteReference w:id="10"/>
      </w:r>
      <w:r w:rsidR="0083155A">
        <w:rPr>
          <w:lang w:val="en-US"/>
        </w:rPr>
        <w:t xml:space="preserve"> </w:t>
      </w:r>
      <w:r w:rsidR="00725611">
        <w:rPr>
          <w:lang w:val="en-US"/>
        </w:rPr>
        <w:t xml:space="preserve">The court </w:t>
      </w:r>
      <w:r w:rsidR="00725611" w:rsidRPr="00725611">
        <w:rPr>
          <w:i/>
          <w:iCs/>
          <w:lang w:val="en-US"/>
        </w:rPr>
        <w:t>a quo’s</w:t>
      </w:r>
      <w:r w:rsidR="00725611">
        <w:rPr>
          <w:lang w:val="en-US"/>
        </w:rPr>
        <w:t xml:space="preserve"> </w:t>
      </w:r>
      <w:r w:rsidR="0083155A">
        <w:rPr>
          <w:lang w:val="en-US"/>
        </w:rPr>
        <w:t>inference on that score was justified on the following facts:</w:t>
      </w:r>
    </w:p>
    <w:p w14:paraId="39238F70" w14:textId="1248178C" w:rsidR="00725611" w:rsidRDefault="00E55D0A" w:rsidP="00E55D0A">
      <w:pPr>
        <w:pStyle w:val="level1"/>
        <w:tabs>
          <w:tab w:val="left" w:pos="1361"/>
        </w:tabs>
        <w:spacing w:after="480" w:line="360" w:lineRule="auto"/>
        <w:ind w:left="1361" w:hanging="681"/>
        <w:jc w:val="both"/>
        <w:rPr>
          <w:lang w:val="en-US"/>
        </w:rPr>
      </w:pPr>
      <w:r>
        <w:rPr>
          <w:lang w:val="en-US"/>
        </w:rPr>
        <w:t>[20.1]</w:t>
      </w:r>
      <w:r>
        <w:rPr>
          <w:lang w:val="en-US"/>
        </w:rPr>
        <w:tab/>
      </w:r>
      <w:r w:rsidR="00725611">
        <w:rPr>
          <w:lang w:val="en-US"/>
        </w:rPr>
        <w:t xml:space="preserve">The evidence of Mr Bruckner was that the extent of damp in the property would have led to paint peeling within the two years prior to September 2013, and would have required repair. </w:t>
      </w:r>
    </w:p>
    <w:p w14:paraId="29AAC4F9" w14:textId="5C966FB3" w:rsidR="0083155A" w:rsidRDefault="00E55D0A" w:rsidP="00E55D0A">
      <w:pPr>
        <w:pStyle w:val="level1"/>
        <w:tabs>
          <w:tab w:val="left" w:pos="1361"/>
        </w:tabs>
        <w:spacing w:after="480" w:line="360" w:lineRule="auto"/>
        <w:ind w:left="1361" w:hanging="681"/>
        <w:jc w:val="both"/>
        <w:rPr>
          <w:lang w:val="en-US"/>
        </w:rPr>
      </w:pPr>
      <w:r>
        <w:rPr>
          <w:lang w:val="en-US"/>
        </w:rPr>
        <w:lastRenderedPageBreak/>
        <w:t>[20.2]</w:t>
      </w:r>
      <w:r>
        <w:rPr>
          <w:lang w:val="en-US"/>
        </w:rPr>
        <w:tab/>
      </w:r>
      <w:r w:rsidR="0083155A">
        <w:rPr>
          <w:lang w:val="en-US"/>
        </w:rPr>
        <w:t>The appellants had undertaken renovations on the property in 2010</w:t>
      </w:r>
      <w:r w:rsidR="00725611">
        <w:rPr>
          <w:lang w:val="en-US"/>
        </w:rPr>
        <w:t xml:space="preserve">. The second appellant </w:t>
      </w:r>
      <w:r w:rsidR="0083155A">
        <w:rPr>
          <w:lang w:val="en-US"/>
        </w:rPr>
        <w:t>had painted certain areas of the house again in early 2013, when the first appellant moved out. The house nevertheless, on her version, required re-painting again in September 2013 because certain areas were looking “</w:t>
      </w:r>
      <w:r w:rsidR="0083155A">
        <w:rPr>
          <w:i/>
          <w:iCs/>
          <w:lang w:val="en-US"/>
        </w:rPr>
        <w:t>tatty”</w:t>
      </w:r>
      <w:r w:rsidR="0083155A">
        <w:rPr>
          <w:lang w:val="en-US"/>
        </w:rPr>
        <w:t xml:space="preserve">. </w:t>
      </w:r>
      <w:r w:rsidR="00725611">
        <w:rPr>
          <w:lang w:val="en-US"/>
        </w:rPr>
        <w:t>These facts are consistent with repeated issues arising in respect of the state of the walls and the paint.</w:t>
      </w:r>
      <w:r w:rsidR="0097044B">
        <w:rPr>
          <w:lang w:val="en-US"/>
        </w:rPr>
        <w:t xml:space="preserve"> It is improbable that the second appellant was unaware of the damp, given these facts.</w:t>
      </w:r>
    </w:p>
    <w:p w14:paraId="704CB39D" w14:textId="6A085449" w:rsidR="0097044B" w:rsidRDefault="00E55D0A" w:rsidP="00E55D0A">
      <w:pPr>
        <w:pStyle w:val="level1"/>
        <w:tabs>
          <w:tab w:val="left" w:pos="1361"/>
        </w:tabs>
        <w:spacing w:after="480" w:line="360" w:lineRule="auto"/>
        <w:ind w:left="1361" w:hanging="681"/>
        <w:jc w:val="both"/>
        <w:rPr>
          <w:lang w:val="en-US"/>
        </w:rPr>
      </w:pPr>
      <w:r>
        <w:rPr>
          <w:lang w:val="en-US"/>
        </w:rPr>
        <w:t>[20.3]</w:t>
      </w:r>
      <w:r>
        <w:rPr>
          <w:lang w:val="en-US"/>
        </w:rPr>
        <w:tab/>
      </w:r>
      <w:r w:rsidR="0097044B">
        <w:rPr>
          <w:lang w:val="en-US"/>
        </w:rPr>
        <w:t>The cost of “</w:t>
      </w:r>
      <w:r w:rsidR="0097044B">
        <w:rPr>
          <w:i/>
          <w:iCs/>
          <w:lang w:val="en-US"/>
        </w:rPr>
        <w:t>beautifying”</w:t>
      </w:r>
      <w:r w:rsidR="0097044B">
        <w:rPr>
          <w:lang w:val="en-US"/>
        </w:rPr>
        <w:t xml:space="preserve"> the property came to R41 747.09. Limbika’s work was, of itself, relatively extensive. </w:t>
      </w:r>
      <w:r w:rsidR="003F4E46">
        <w:rPr>
          <w:lang w:val="en-US"/>
        </w:rPr>
        <w:t xml:space="preserve">Its </w:t>
      </w:r>
      <w:r w:rsidR="0097044B">
        <w:rPr>
          <w:lang w:val="en-US"/>
        </w:rPr>
        <w:t>quote and</w:t>
      </w:r>
      <w:r w:rsidR="003F4E46">
        <w:rPr>
          <w:lang w:val="en-US"/>
        </w:rPr>
        <w:t xml:space="preserve"> Mr Sayenda’s</w:t>
      </w:r>
      <w:r w:rsidR="0097044B">
        <w:rPr>
          <w:lang w:val="en-US"/>
        </w:rPr>
        <w:t xml:space="preserve"> testimony were to the effect that the ceilings, the staircase, the children’s bedrooms, the passage, the entrance, the patio, the study and the study passage, the guest toilet, the pillars around the staircase, the kitchen, the lounge windows and window frames, parts of the TV room, and the doorway into the garage, among others, were repaired and/or repainted.</w:t>
      </w:r>
    </w:p>
    <w:p w14:paraId="138C2FDC" w14:textId="5C55FE44" w:rsidR="006121A5" w:rsidRDefault="00E55D0A" w:rsidP="00E55D0A">
      <w:pPr>
        <w:pStyle w:val="level1"/>
        <w:tabs>
          <w:tab w:val="left" w:pos="1361"/>
        </w:tabs>
        <w:spacing w:after="480" w:line="360" w:lineRule="auto"/>
        <w:ind w:left="1361" w:hanging="681"/>
        <w:jc w:val="both"/>
        <w:rPr>
          <w:lang w:val="en-US"/>
        </w:rPr>
      </w:pPr>
      <w:r>
        <w:rPr>
          <w:lang w:val="en-US"/>
        </w:rPr>
        <w:t>[20.4]</w:t>
      </w:r>
      <w:r>
        <w:rPr>
          <w:lang w:val="en-US"/>
        </w:rPr>
        <w:tab/>
      </w:r>
      <w:r w:rsidR="0097044B">
        <w:rPr>
          <w:lang w:val="en-US"/>
        </w:rPr>
        <w:t xml:space="preserve">Both the second appellant and Mr Sayenda testified that Limbika was contracted to re-paint the house (not to undertake repairs), and that the second appellant pointed out and delineated the particular areas that were to be re-painted.  </w:t>
      </w:r>
      <w:r w:rsidR="00B17CF3">
        <w:rPr>
          <w:lang w:val="en-US"/>
        </w:rPr>
        <w:t xml:space="preserve">Mr Sayenda stated that he did not note any areas of damp but confirmed that the </w:t>
      </w:r>
      <w:r w:rsidR="00835971">
        <w:rPr>
          <w:lang w:val="en-US"/>
        </w:rPr>
        <w:t xml:space="preserve">plaster and </w:t>
      </w:r>
      <w:r w:rsidR="00B17CF3">
        <w:rPr>
          <w:lang w:val="en-US"/>
        </w:rPr>
        <w:t>paint was uneven and/or cracked in the identified</w:t>
      </w:r>
      <w:r w:rsidR="00C0112C">
        <w:rPr>
          <w:lang w:val="en-US"/>
        </w:rPr>
        <w:t xml:space="preserve"> internal</w:t>
      </w:r>
      <w:r w:rsidR="00B17CF3">
        <w:rPr>
          <w:lang w:val="en-US"/>
        </w:rPr>
        <w:t xml:space="preserve"> areas</w:t>
      </w:r>
      <w:r w:rsidR="00C0112C">
        <w:rPr>
          <w:lang w:val="en-US"/>
        </w:rPr>
        <w:t>, certain plugpoints and skirtings were loose or uneven, and the plaster on the exterior walls was lumpy and uneven</w:t>
      </w:r>
      <w:r w:rsidR="00835971">
        <w:rPr>
          <w:lang w:val="en-US"/>
        </w:rPr>
        <w:t xml:space="preserve">. </w:t>
      </w:r>
      <w:r w:rsidR="00C0112C">
        <w:rPr>
          <w:lang w:val="en-US"/>
        </w:rPr>
        <w:t xml:space="preserve">In respect of the internal walls, he sanded </w:t>
      </w:r>
      <w:r w:rsidR="00835971">
        <w:rPr>
          <w:lang w:val="en-US"/>
        </w:rPr>
        <w:t xml:space="preserve">them down, and used </w:t>
      </w:r>
      <w:r w:rsidR="00C0112C">
        <w:rPr>
          <w:lang w:val="en-US"/>
        </w:rPr>
        <w:t xml:space="preserve">Polyfilla, or </w:t>
      </w:r>
      <w:r w:rsidR="00835971">
        <w:rPr>
          <w:lang w:val="en-US"/>
        </w:rPr>
        <w:t>a mixture of Polyfilla and plaster key</w:t>
      </w:r>
      <w:r w:rsidR="00C0112C">
        <w:rPr>
          <w:lang w:val="en-US"/>
        </w:rPr>
        <w:t>,</w:t>
      </w:r>
      <w:r w:rsidR="00835971">
        <w:rPr>
          <w:lang w:val="en-US"/>
        </w:rPr>
        <w:t xml:space="preserve"> to </w:t>
      </w:r>
      <w:r w:rsidR="00B17CF3">
        <w:rPr>
          <w:lang w:val="en-US"/>
        </w:rPr>
        <w:t xml:space="preserve">skim them </w:t>
      </w:r>
      <w:r w:rsidR="00835971">
        <w:rPr>
          <w:lang w:val="en-US"/>
        </w:rPr>
        <w:t xml:space="preserve">and make them smooth, before painting over. </w:t>
      </w:r>
      <w:r w:rsidR="00C0112C">
        <w:rPr>
          <w:lang w:val="en-US"/>
        </w:rPr>
        <w:t>For the plugpoints and skirtings, he filled any gaps with silicone, and then skimmed and painted. He could not use Polyfilla on the external walls because the flaws ran too deep</w:t>
      </w:r>
      <w:r w:rsidR="009A1522">
        <w:rPr>
          <w:lang w:val="en-US"/>
        </w:rPr>
        <w:t xml:space="preserve"> and had to be replastered. H</w:t>
      </w:r>
      <w:r w:rsidR="00C0112C">
        <w:rPr>
          <w:lang w:val="en-US"/>
        </w:rPr>
        <w:t>e nevertheless smoothed and repainted them as best he could.</w:t>
      </w:r>
      <w:r w:rsidR="009A1522">
        <w:rPr>
          <w:lang w:val="en-US"/>
        </w:rPr>
        <w:t xml:space="preserve"> </w:t>
      </w:r>
    </w:p>
    <w:p w14:paraId="14A583CD" w14:textId="514B99BE" w:rsidR="006121A5" w:rsidRDefault="00E55D0A" w:rsidP="00E55D0A">
      <w:pPr>
        <w:pStyle w:val="level1"/>
        <w:tabs>
          <w:tab w:val="left" w:pos="1361"/>
        </w:tabs>
        <w:spacing w:after="480" w:line="360" w:lineRule="auto"/>
        <w:ind w:left="1361" w:hanging="681"/>
        <w:jc w:val="both"/>
        <w:rPr>
          <w:lang w:val="en-US"/>
        </w:rPr>
      </w:pPr>
      <w:r>
        <w:rPr>
          <w:lang w:val="en-US"/>
        </w:rPr>
        <w:lastRenderedPageBreak/>
        <w:t>[20.5]</w:t>
      </w:r>
      <w:r>
        <w:rPr>
          <w:lang w:val="en-US"/>
        </w:rPr>
        <w:tab/>
      </w:r>
      <w:r w:rsidR="006121A5">
        <w:rPr>
          <w:lang w:val="en-US"/>
        </w:rPr>
        <w:t xml:space="preserve">Receipts indicated that one drum of paint, and </w:t>
      </w:r>
      <w:r w:rsidR="00D651A7">
        <w:rPr>
          <w:lang w:val="en-US"/>
        </w:rPr>
        <w:t>24 kgs of Polyfilla</w:t>
      </w:r>
      <w:r w:rsidR="006121A5">
        <w:rPr>
          <w:lang w:val="en-US"/>
        </w:rPr>
        <w:t xml:space="preserve">, were purchased for Limibika’s repairs. </w:t>
      </w:r>
      <w:r w:rsidR="006E0BDE">
        <w:rPr>
          <w:lang w:val="en-US"/>
        </w:rPr>
        <w:t xml:space="preserve">It was not clear from Mr Sayenda’s evidence what area this would </w:t>
      </w:r>
      <w:r w:rsidR="002C6490">
        <w:rPr>
          <w:lang w:val="en-US"/>
        </w:rPr>
        <w:t xml:space="preserve">have </w:t>
      </w:r>
      <w:r w:rsidR="006E0BDE">
        <w:rPr>
          <w:lang w:val="en-US"/>
        </w:rPr>
        <w:t>cover</w:t>
      </w:r>
      <w:r w:rsidR="002C6490">
        <w:rPr>
          <w:lang w:val="en-US"/>
        </w:rPr>
        <w:t>ed</w:t>
      </w:r>
      <w:r w:rsidR="006E0BDE">
        <w:rPr>
          <w:lang w:val="en-US"/>
        </w:rPr>
        <w:t xml:space="preserve">, but </w:t>
      </w:r>
      <w:r w:rsidR="006121A5">
        <w:rPr>
          <w:lang w:val="en-US"/>
        </w:rPr>
        <w:t xml:space="preserve">Mr Bruckner testified that this </w:t>
      </w:r>
      <w:r w:rsidR="005E3640">
        <w:rPr>
          <w:lang w:val="en-US"/>
        </w:rPr>
        <w:t xml:space="preserve">indicated </w:t>
      </w:r>
      <w:r w:rsidR="006121A5">
        <w:rPr>
          <w:lang w:val="en-US"/>
        </w:rPr>
        <w:t xml:space="preserve">a lot of repair relative to the amount of paint purchased. Moreover, </w:t>
      </w:r>
      <w:r w:rsidR="006E0BDE">
        <w:rPr>
          <w:lang w:val="en-US"/>
        </w:rPr>
        <w:t xml:space="preserve">Mr Bruckner </w:t>
      </w:r>
      <w:r w:rsidR="006121A5">
        <w:rPr>
          <w:lang w:val="en-US"/>
        </w:rPr>
        <w:t>observed damp in the very areas where “</w:t>
      </w:r>
      <w:r w:rsidR="006121A5">
        <w:rPr>
          <w:i/>
          <w:iCs/>
          <w:lang w:val="en-US"/>
        </w:rPr>
        <w:t>a major amount of Polyfilla”</w:t>
      </w:r>
      <w:r w:rsidR="006121A5">
        <w:rPr>
          <w:lang w:val="en-US"/>
        </w:rPr>
        <w:t xml:space="preserve"> had been used.</w:t>
      </w:r>
      <w:r w:rsidR="002C6490">
        <w:rPr>
          <w:lang w:val="en-US"/>
        </w:rPr>
        <w:t xml:space="preserve"> Mr Sayenda’s evidence of the areas that had been repaired with Polyfilla also conform</w:t>
      </w:r>
      <w:r w:rsidR="003F4E46">
        <w:rPr>
          <w:lang w:val="en-US"/>
        </w:rPr>
        <w:t>ed</w:t>
      </w:r>
      <w:r w:rsidR="002C6490">
        <w:rPr>
          <w:lang w:val="en-US"/>
        </w:rPr>
        <w:t xml:space="preserve"> to the areas in respect of which the respondent claims.</w:t>
      </w:r>
      <w:r w:rsidR="006121A5">
        <w:rPr>
          <w:lang w:val="en-US"/>
        </w:rPr>
        <w:t xml:space="preserve"> Mr Gowans conceded that because damp can manifest through peeling or irregular paint, new paintwork would </w:t>
      </w:r>
      <w:r w:rsidR="006E0BDE">
        <w:rPr>
          <w:lang w:val="en-US"/>
        </w:rPr>
        <w:t xml:space="preserve">indeed </w:t>
      </w:r>
      <w:r w:rsidR="006121A5">
        <w:rPr>
          <w:lang w:val="en-US"/>
        </w:rPr>
        <w:t>make damp harder to detect.</w:t>
      </w:r>
    </w:p>
    <w:p w14:paraId="1056A6BB" w14:textId="2F970FF3" w:rsidR="006121A5" w:rsidRDefault="00E55D0A" w:rsidP="00E55D0A">
      <w:pPr>
        <w:pStyle w:val="level1"/>
        <w:tabs>
          <w:tab w:val="left" w:pos="680"/>
        </w:tabs>
        <w:spacing w:after="480" w:line="360" w:lineRule="auto"/>
        <w:ind w:left="680" w:hanging="680"/>
        <w:jc w:val="both"/>
        <w:rPr>
          <w:lang w:val="en-US"/>
        </w:rPr>
      </w:pPr>
      <w:r>
        <w:rPr>
          <w:lang w:val="en-US"/>
        </w:rPr>
        <w:t>[21]</w:t>
      </w:r>
      <w:r>
        <w:rPr>
          <w:lang w:val="en-US"/>
        </w:rPr>
        <w:tab/>
      </w:r>
      <w:r w:rsidR="006121A5">
        <w:rPr>
          <w:lang w:val="en-US"/>
        </w:rPr>
        <w:t>The evidence thus shows that the second appellant</w:t>
      </w:r>
      <w:r w:rsidR="0097044B">
        <w:rPr>
          <w:lang w:val="en-US"/>
        </w:rPr>
        <w:t xml:space="preserve"> </w:t>
      </w:r>
      <w:r w:rsidR="006121A5">
        <w:rPr>
          <w:lang w:val="en-US"/>
        </w:rPr>
        <w:t>caused extensive but cosmetic repairs to be undertaken to the very areas that were subsequently established to be damp very shortly before the property was put on sale</w:t>
      </w:r>
      <w:r w:rsidR="006E0BDE">
        <w:rPr>
          <w:lang w:val="en-US"/>
        </w:rPr>
        <w:t>, with the effect that such damp would be difficult, if not impossible, to detect</w:t>
      </w:r>
      <w:r w:rsidR="005C7401">
        <w:rPr>
          <w:lang w:val="en-US"/>
        </w:rPr>
        <w:t xml:space="preserve"> – but disclosed neither the underlying issues nor the repairs to the buyer</w:t>
      </w:r>
      <w:r w:rsidR="006121A5">
        <w:rPr>
          <w:lang w:val="en-US"/>
        </w:rPr>
        <w:t>. This is consistent with an inference that she knew there to be a</w:t>
      </w:r>
      <w:r w:rsidR="005E3640">
        <w:rPr>
          <w:lang w:val="en-US"/>
        </w:rPr>
        <w:t>n</w:t>
      </w:r>
      <w:r w:rsidR="006121A5">
        <w:rPr>
          <w:lang w:val="en-US"/>
        </w:rPr>
        <w:t xml:space="preserve"> issue in those areas, and sought actively to conceal it, so as to market the property as favourably as possible. </w:t>
      </w:r>
      <w:r w:rsidR="005C7401">
        <w:rPr>
          <w:lang w:val="en-US"/>
        </w:rPr>
        <w:t>At best for her, she remained wil</w:t>
      </w:r>
      <w:r w:rsidR="00951CBC">
        <w:rPr>
          <w:lang w:val="en-US"/>
        </w:rPr>
        <w:t>l</w:t>
      </w:r>
      <w:r w:rsidR="005C7401">
        <w:rPr>
          <w:lang w:val="en-US"/>
        </w:rPr>
        <w:t>fully ignorant of the underlying cause of the issues in the paintwork; she could not honestly have believed that the core issue had been remediated.</w:t>
      </w:r>
      <w:r w:rsidR="005C7401">
        <w:rPr>
          <w:rStyle w:val="FootnoteReference"/>
          <w:lang w:val="en-US"/>
        </w:rPr>
        <w:footnoteReference w:id="11"/>
      </w:r>
      <w:r w:rsidR="005C7401">
        <w:rPr>
          <w:lang w:val="en-US"/>
        </w:rPr>
        <w:t xml:space="preserve"> </w:t>
      </w:r>
      <w:r w:rsidR="006121A5">
        <w:rPr>
          <w:lang w:val="en-US"/>
        </w:rPr>
        <w:t xml:space="preserve">The court </w:t>
      </w:r>
      <w:r w:rsidR="006121A5" w:rsidRPr="00351BD5">
        <w:rPr>
          <w:i/>
          <w:lang w:val="en-US"/>
        </w:rPr>
        <w:t>a quo’s</w:t>
      </w:r>
      <w:r w:rsidR="006121A5">
        <w:rPr>
          <w:lang w:val="en-US"/>
        </w:rPr>
        <w:t xml:space="preserve"> finding that </w:t>
      </w:r>
      <w:r w:rsidR="005C7401">
        <w:rPr>
          <w:lang w:val="en-US"/>
        </w:rPr>
        <w:t>her conduct</w:t>
      </w:r>
      <w:r w:rsidR="006121A5">
        <w:rPr>
          <w:lang w:val="en-US"/>
        </w:rPr>
        <w:t xml:space="preserve"> was </w:t>
      </w:r>
      <w:r w:rsidR="006121A5">
        <w:rPr>
          <w:i/>
          <w:iCs/>
          <w:lang w:val="en-US"/>
        </w:rPr>
        <w:t>dolo malo</w:t>
      </w:r>
      <w:r w:rsidR="006121A5">
        <w:rPr>
          <w:lang w:val="en-US"/>
        </w:rPr>
        <w:t xml:space="preserve"> cannot be faulted.</w:t>
      </w:r>
    </w:p>
    <w:p w14:paraId="5FF187C2" w14:textId="75E6BABE" w:rsidR="006121A5" w:rsidRDefault="00E55D0A" w:rsidP="00E55D0A">
      <w:pPr>
        <w:pStyle w:val="level1"/>
        <w:tabs>
          <w:tab w:val="left" w:pos="680"/>
        </w:tabs>
        <w:spacing w:after="480" w:line="360" w:lineRule="auto"/>
        <w:ind w:left="680" w:hanging="680"/>
        <w:jc w:val="both"/>
        <w:rPr>
          <w:lang w:val="en-US"/>
        </w:rPr>
      </w:pPr>
      <w:r>
        <w:rPr>
          <w:lang w:val="en-US"/>
        </w:rPr>
        <w:t>[22]</w:t>
      </w:r>
      <w:r>
        <w:rPr>
          <w:lang w:val="en-US"/>
        </w:rPr>
        <w:tab/>
      </w:r>
      <w:r w:rsidR="005C7401">
        <w:rPr>
          <w:lang w:val="en-US"/>
        </w:rPr>
        <w:t>It is true, as contended for on behalf of the second appellant, that there is no evidence that she knew of the structural flaws in the balcony. But that does not absolve her of liability. If she was aware of the fact of the defect – that is, the damp – and concealed it, she is liable. That she was unaware of one or more of the causes of such defect matters not.</w:t>
      </w:r>
      <w:r w:rsidR="005C7401">
        <w:rPr>
          <w:rStyle w:val="FootnoteReference"/>
          <w:lang w:val="en-US"/>
        </w:rPr>
        <w:footnoteReference w:id="12"/>
      </w:r>
      <w:r w:rsidR="005C7401">
        <w:rPr>
          <w:lang w:val="en-US"/>
        </w:rPr>
        <w:t xml:space="preserve"> </w:t>
      </w:r>
    </w:p>
    <w:p w14:paraId="346B3CA7" w14:textId="0DC26699" w:rsidR="002C10F0" w:rsidRDefault="00E55D0A" w:rsidP="00E55D0A">
      <w:pPr>
        <w:pStyle w:val="level1"/>
        <w:tabs>
          <w:tab w:val="left" w:pos="680"/>
        </w:tabs>
        <w:spacing w:after="480" w:line="360" w:lineRule="auto"/>
        <w:ind w:left="680" w:hanging="680"/>
        <w:jc w:val="both"/>
        <w:rPr>
          <w:lang w:val="en-US"/>
        </w:rPr>
      </w:pPr>
      <w:r>
        <w:rPr>
          <w:lang w:val="en-US"/>
        </w:rPr>
        <w:t>[23]</w:t>
      </w:r>
      <w:r>
        <w:rPr>
          <w:lang w:val="en-US"/>
        </w:rPr>
        <w:tab/>
      </w:r>
      <w:r w:rsidR="006121A5">
        <w:rPr>
          <w:lang w:val="en-US"/>
        </w:rPr>
        <w:t>Inso</w:t>
      </w:r>
      <w:r w:rsidR="005C7401">
        <w:rPr>
          <w:lang w:val="en-US"/>
        </w:rPr>
        <w:t xml:space="preserve">far </w:t>
      </w:r>
      <w:r w:rsidR="005E3640">
        <w:rPr>
          <w:lang w:val="en-US"/>
        </w:rPr>
        <w:t xml:space="preserve">as the first appellant is concerned, </w:t>
      </w:r>
      <w:r w:rsidR="006E0BDE">
        <w:rPr>
          <w:lang w:val="en-US"/>
        </w:rPr>
        <w:t xml:space="preserve">he testified that he was aware of potential damp issues in the kitchen and dining room at the time he vacated the </w:t>
      </w:r>
      <w:r w:rsidR="006E0BDE">
        <w:rPr>
          <w:lang w:val="en-US"/>
        </w:rPr>
        <w:lastRenderedPageBreak/>
        <w:t>property in March 2013. He appears to have taken no steps to ascertain how extensive or serious those problems were</w:t>
      </w:r>
      <w:r w:rsidR="00A42653">
        <w:rPr>
          <w:lang w:val="en-US"/>
        </w:rPr>
        <w:t xml:space="preserve"> – but a wilful abstention from establishing the true facts does not </w:t>
      </w:r>
      <w:r w:rsidR="000A60D4">
        <w:rPr>
          <w:lang w:val="en-US"/>
        </w:rPr>
        <w:t xml:space="preserve">constitute a </w:t>
      </w:r>
      <w:r w:rsidR="00A42653">
        <w:rPr>
          <w:lang w:val="en-US"/>
        </w:rPr>
        <w:t>lack of knowledge</w:t>
      </w:r>
      <w:r w:rsidR="006E0BDE">
        <w:rPr>
          <w:lang w:val="en-US"/>
        </w:rPr>
        <w:t>.</w:t>
      </w:r>
      <w:r w:rsidR="00A42653">
        <w:rPr>
          <w:rStyle w:val="FootnoteReference"/>
          <w:lang w:val="en-US"/>
        </w:rPr>
        <w:footnoteReference w:id="13"/>
      </w:r>
      <w:r w:rsidR="006E0BDE">
        <w:rPr>
          <w:lang w:val="en-US"/>
        </w:rPr>
        <w:t xml:space="preserve"> </w:t>
      </w:r>
      <w:r w:rsidR="000A60D4">
        <w:rPr>
          <w:lang w:val="en-US"/>
        </w:rPr>
        <w:t xml:space="preserve">The court </w:t>
      </w:r>
      <w:r w:rsidR="000A60D4" w:rsidRPr="000A60D4">
        <w:rPr>
          <w:i/>
          <w:iCs/>
          <w:lang w:val="en-US"/>
        </w:rPr>
        <w:t>a quo</w:t>
      </w:r>
      <w:r w:rsidR="000A60D4">
        <w:rPr>
          <w:lang w:val="en-US"/>
        </w:rPr>
        <w:t xml:space="preserve"> </w:t>
      </w:r>
      <w:r w:rsidR="002C10F0">
        <w:rPr>
          <w:lang w:val="en-US"/>
        </w:rPr>
        <w:t>was thus justified in finding the first appellant knew of the defects at issue.</w:t>
      </w:r>
    </w:p>
    <w:p w14:paraId="17B1C634" w14:textId="6AF9D738" w:rsidR="002C10F0" w:rsidRPr="002C10F0" w:rsidRDefault="00E55D0A" w:rsidP="00E55D0A">
      <w:pPr>
        <w:pStyle w:val="level1"/>
        <w:tabs>
          <w:tab w:val="left" w:pos="680"/>
        </w:tabs>
        <w:spacing w:after="480" w:line="360" w:lineRule="auto"/>
        <w:ind w:left="680" w:hanging="680"/>
        <w:jc w:val="both"/>
        <w:rPr>
          <w:lang w:val="en-US"/>
        </w:rPr>
      </w:pPr>
      <w:r w:rsidRPr="002C10F0">
        <w:rPr>
          <w:lang w:val="en-US"/>
        </w:rPr>
        <w:t>[24]</w:t>
      </w:r>
      <w:r w:rsidRPr="002C10F0">
        <w:rPr>
          <w:lang w:val="en-US"/>
        </w:rPr>
        <w:tab/>
      </w:r>
      <w:r w:rsidR="005866FE">
        <w:rPr>
          <w:lang w:val="en-US"/>
        </w:rPr>
        <w:t>T</w:t>
      </w:r>
      <w:r w:rsidR="002C10F0">
        <w:rPr>
          <w:lang w:val="en-US"/>
        </w:rPr>
        <w:t xml:space="preserve">he first appellant </w:t>
      </w:r>
      <w:r w:rsidR="006E0BDE">
        <w:rPr>
          <w:lang w:val="en-US"/>
        </w:rPr>
        <w:t xml:space="preserve">signed </w:t>
      </w:r>
      <w:r w:rsidR="0097044B">
        <w:rPr>
          <w:lang w:val="en-US"/>
        </w:rPr>
        <w:t xml:space="preserve">off on </w:t>
      </w:r>
      <w:r w:rsidR="006E0BDE">
        <w:rPr>
          <w:lang w:val="en-US"/>
        </w:rPr>
        <w:t xml:space="preserve">the disclosure form </w:t>
      </w:r>
      <w:r w:rsidR="002C10F0">
        <w:rPr>
          <w:lang w:val="en-US"/>
        </w:rPr>
        <w:t>in the sale agreement which</w:t>
      </w:r>
      <w:r w:rsidR="006E0BDE">
        <w:rPr>
          <w:lang w:val="en-US"/>
        </w:rPr>
        <w:t xml:space="preserve"> recorded no latent defects in the property (including damp in the walls/</w:t>
      </w:r>
      <w:r w:rsidR="002C10F0">
        <w:rPr>
          <w:lang w:val="en-US"/>
        </w:rPr>
        <w:t xml:space="preserve">floors) – so, non-disclosure is also established. The question is whether this amounted to wilful concealment on the first appellant’s part, given his evidence that he believed the damp issues to be patent.  In this regard, the </w:t>
      </w:r>
      <w:r w:rsidR="005866FE">
        <w:rPr>
          <w:lang w:val="en-US"/>
        </w:rPr>
        <w:t xml:space="preserve">first appellant’s own </w:t>
      </w:r>
      <w:r w:rsidR="002C10F0">
        <w:rPr>
          <w:lang w:val="en-US"/>
        </w:rPr>
        <w:t xml:space="preserve">evidence shows that </w:t>
      </w:r>
      <w:r w:rsidR="005866FE">
        <w:rPr>
          <w:lang w:val="en-US"/>
        </w:rPr>
        <w:t xml:space="preserve">he </w:t>
      </w:r>
      <w:r w:rsidR="002C10F0">
        <w:rPr>
          <w:lang w:val="en-US"/>
        </w:rPr>
        <w:t>was aware that the second appellant had engaged Limbika to undertake cosmetic repairs and repainting, that he shared the costs of their work</w:t>
      </w:r>
      <w:r w:rsidR="005866FE">
        <w:rPr>
          <w:lang w:val="en-US"/>
        </w:rPr>
        <w:t>, but that h</w:t>
      </w:r>
      <w:r w:rsidR="002C10F0">
        <w:rPr>
          <w:lang w:val="en-US"/>
        </w:rPr>
        <w:t>e took no steps thereafter to establish whether the damp issues of which he was aware had been remediated, or whether they remained obvious to an ordinary buyer on inspection. He nevertheless failed to disclose the</w:t>
      </w:r>
      <w:r w:rsidR="005866FE">
        <w:rPr>
          <w:lang w:val="en-US"/>
        </w:rPr>
        <w:t xml:space="preserve"> damp issues </w:t>
      </w:r>
      <w:r w:rsidR="002C10F0">
        <w:rPr>
          <w:lang w:val="en-US"/>
        </w:rPr>
        <w:t xml:space="preserve">in the disclosure form, or raise their existence with the estate agent. I am satisfied that this is sufficient to establish </w:t>
      </w:r>
      <w:r w:rsidR="002C10F0">
        <w:rPr>
          <w:i/>
          <w:iCs/>
          <w:lang w:val="en-US"/>
        </w:rPr>
        <w:t xml:space="preserve">dolo </w:t>
      </w:r>
      <w:r w:rsidR="002C10F0" w:rsidRPr="002C10F0">
        <w:rPr>
          <w:i/>
          <w:iCs/>
          <w:lang w:val="en-US"/>
        </w:rPr>
        <w:t>malo</w:t>
      </w:r>
      <w:r w:rsidR="002C10F0">
        <w:rPr>
          <w:lang w:val="en-US"/>
        </w:rPr>
        <w:t xml:space="preserve"> on his part since “</w:t>
      </w:r>
      <w:r w:rsidR="002C10F0">
        <w:rPr>
          <w:i/>
          <w:iCs/>
        </w:rPr>
        <w:t>[w]</w:t>
      </w:r>
      <w:r w:rsidR="002C10F0" w:rsidRPr="002C10F0">
        <w:rPr>
          <w:i/>
          <w:iCs/>
        </w:rPr>
        <w:t>here a seller recklessly tells a half-truth or knows the facts but does not reveal them because he or she has not bothered to consider their significance, this may also amount to fraud</w:t>
      </w:r>
      <w:r w:rsidR="002C10F0">
        <w:rPr>
          <w:i/>
          <w:iCs/>
        </w:rPr>
        <w:t>”</w:t>
      </w:r>
      <w:r w:rsidR="002C10F0">
        <w:t>.</w:t>
      </w:r>
      <w:r w:rsidR="002C10F0">
        <w:rPr>
          <w:rStyle w:val="FootnoteReference"/>
        </w:rPr>
        <w:footnoteReference w:id="14"/>
      </w:r>
      <w:r w:rsidR="002C10F0">
        <w:t xml:space="preserve"> The court </w:t>
      </w:r>
      <w:r w:rsidR="002C10F0" w:rsidRPr="002C10F0">
        <w:rPr>
          <w:i/>
          <w:iCs/>
        </w:rPr>
        <w:t>a quo</w:t>
      </w:r>
      <w:r w:rsidR="002C10F0">
        <w:t>’s findings against him</w:t>
      </w:r>
      <w:r w:rsidR="00351BD5">
        <w:t xml:space="preserve"> therefore cannot be faulted and</w:t>
      </w:r>
      <w:r w:rsidR="002C10F0">
        <w:t xml:space="preserve"> must stand.</w:t>
      </w:r>
    </w:p>
    <w:p w14:paraId="1F46C889" w14:textId="358D1DCE" w:rsidR="002C10F0" w:rsidRPr="002C10F0" w:rsidRDefault="002C10F0" w:rsidP="002C10F0">
      <w:pPr>
        <w:pStyle w:val="level1"/>
        <w:spacing w:after="480" w:line="360" w:lineRule="auto"/>
        <w:jc w:val="both"/>
        <w:rPr>
          <w:b/>
          <w:bCs/>
          <w:i/>
          <w:iCs/>
          <w:lang w:val="en-US"/>
        </w:rPr>
      </w:pPr>
      <w:r>
        <w:rPr>
          <w:b/>
          <w:bCs/>
          <w:i/>
          <w:iCs/>
        </w:rPr>
        <w:t>Quantum</w:t>
      </w:r>
    </w:p>
    <w:p w14:paraId="0EEF303D" w14:textId="48FB47AF" w:rsidR="002C10F0" w:rsidRDefault="00E55D0A" w:rsidP="00E55D0A">
      <w:pPr>
        <w:pStyle w:val="level1"/>
        <w:tabs>
          <w:tab w:val="left" w:pos="680"/>
        </w:tabs>
        <w:spacing w:after="480" w:line="360" w:lineRule="auto"/>
        <w:ind w:left="680" w:hanging="680"/>
        <w:jc w:val="both"/>
        <w:rPr>
          <w:lang w:val="en-US"/>
        </w:rPr>
      </w:pPr>
      <w:r>
        <w:rPr>
          <w:lang w:val="en-US"/>
        </w:rPr>
        <w:t>[25]</w:t>
      </w:r>
      <w:r>
        <w:rPr>
          <w:lang w:val="en-US"/>
        </w:rPr>
        <w:tab/>
      </w:r>
      <w:r w:rsidR="0096105B">
        <w:rPr>
          <w:lang w:val="en-US"/>
        </w:rPr>
        <w:t xml:space="preserve">Finally, </w:t>
      </w:r>
      <w:r w:rsidR="0097044B">
        <w:rPr>
          <w:lang w:val="en-US"/>
        </w:rPr>
        <w:t xml:space="preserve">the </w:t>
      </w:r>
      <w:r w:rsidR="003F4E46">
        <w:rPr>
          <w:lang w:val="en-US"/>
        </w:rPr>
        <w:t xml:space="preserve">second </w:t>
      </w:r>
      <w:r w:rsidR="0097044B">
        <w:rPr>
          <w:lang w:val="en-US"/>
        </w:rPr>
        <w:t>appellant appealed the extent of the damages awarded contending</w:t>
      </w:r>
      <w:r w:rsidR="002C6490">
        <w:rPr>
          <w:lang w:val="en-US"/>
        </w:rPr>
        <w:t xml:space="preserve"> </w:t>
      </w:r>
      <w:r w:rsidR="0097044B">
        <w:rPr>
          <w:lang w:val="en-US"/>
        </w:rPr>
        <w:t>that:</w:t>
      </w:r>
    </w:p>
    <w:p w14:paraId="235D395B" w14:textId="25FBD3DB" w:rsidR="002C6490" w:rsidRDefault="00E55D0A" w:rsidP="00E55D0A">
      <w:pPr>
        <w:pStyle w:val="level1"/>
        <w:tabs>
          <w:tab w:val="left" w:pos="1361"/>
        </w:tabs>
        <w:spacing w:after="480" w:line="360" w:lineRule="auto"/>
        <w:ind w:left="1361" w:hanging="681"/>
        <w:jc w:val="both"/>
        <w:rPr>
          <w:lang w:val="en-US"/>
        </w:rPr>
      </w:pPr>
      <w:r>
        <w:rPr>
          <w:lang w:val="en-US"/>
        </w:rPr>
        <w:lastRenderedPageBreak/>
        <w:t>[25.1]</w:t>
      </w:r>
      <w:r>
        <w:rPr>
          <w:lang w:val="en-US"/>
        </w:rPr>
        <w:tab/>
      </w:r>
      <w:r w:rsidR="002C6490">
        <w:rPr>
          <w:lang w:val="en-US"/>
        </w:rPr>
        <w:t>The respondent had failed to prove that knowledge of the damp would have affected the price paid for the property – particularly since she intended to repaint the property in any event;</w:t>
      </w:r>
    </w:p>
    <w:p w14:paraId="2A306BCA" w14:textId="227CBA17" w:rsidR="0097044B" w:rsidRDefault="00E55D0A" w:rsidP="00E55D0A">
      <w:pPr>
        <w:pStyle w:val="level1"/>
        <w:tabs>
          <w:tab w:val="left" w:pos="1361"/>
        </w:tabs>
        <w:spacing w:after="480" w:line="360" w:lineRule="auto"/>
        <w:ind w:left="1361" w:hanging="681"/>
        <w:jc w:val="both"/>
        <w:rPr>
          <w:lang w:val="en-US"/>
        </w:rPr>
      </w:pPr>
      <w:r>
        <w:rPr>
          <w:lang w:val="en-US"/>
        </w:rPr>
        <w:t>[25.2]</w:t>
      </w:r>
      <w:r>
        <w:rPr>
          <w:lang w:val="en-US"/>
        </w:rPr>
        <w:tab/>
      </w:r>
      <w:r w:rsidR="0097044B">
        <w:rPr>
          <w:lang w:val="en-US"/>
        </w:rPr>
        <w:t xml:space="preserve">The cost of the balcony repairs ought to have been excluded because neither knowledge </w:t>
      </w:r>
      <w:r w:rsidR="00B3699A">
        <w:rPr>
          <w:lang w:val="en-US"/>
        </w:rPr>
        <w:t>n</w:t>
      </w:r>
      <w:r w:rsidR="0097044B">
        <w:rPr>
          <w:lang w:val="en-US"/>
        </w:rPr>
        <w:t xml:space="preserve">or concealment had been established in respect thereof; </w:t>
      </w:r>
    </w:p>
    <w:p w14:paraId="5B31A150" w14:textId="0F28922E" w:rsidR="002C6490" w:rsidRDefault="00E55D0A" w:rsidP="00E55D0A">
      <w:pPr>
        <w:pStyle w:val="level1"/>
        <w:tabs>
          <w:tab w:val="left" w:pos="1361"/>
        </w:tabs>
        <w:spacing w:after="480" w:line="360" w:lineRule="auto"/>
        <w:ind w:left="1361" w:hanging="681"/>
        <w:jc w:val="both"/>
        <w:rPr>
          <w:lang w:val="en-US"/>
        </w:rPr>
      </w:pPr>
      <w:r>
        <w:rPr>
          <w:lang w:val="en-US"/>
        </w:rPr>
        <w:t>[25.3]</w:t>
      </w:r>
      <w:r>
        <w:rPr>
          <w:lang w:val="en-US"/>
        </w:rPr>
        <w:tab/>
      </w:r>
      <w:r w:rsidR="002C6490">
        <w:rPr>
          <w:lang w:val="en-US"/>
        </w:rPr>
        <w:t xml:space="preserve">The cost of roof repairs should similarly have been excluded, both because this was general maintenance and because the need for roof maintenance was patent; </w:t>
      </w:r>
    </w:p>
    <w:p w14:paraId="3C7B85E1" w14:textId="3C5E77D9" w:rsidR="0097044B" w:rsidRDefault="00E55D0A" w:rsidP="00E55D0A">
      <w:pPr>
        <w:pStyle w:val="level1"/>
        <w:tabs>
          <w:tab w:val="left" w:pos="1361"/>
        </w:tabs>
        <w:spacing w:after="480" w:line="360" w:lineRule="auto"/>
        <w:ind w:left="1361" w:hanging="681"/>
        <w:jc w:val="both"/>
        <w:rPr>
          <w:lang w:val="en-US"/>
        </w:rPr>
      </w:pPr>
      <w:r>
        <w:rPr>
          <w:lang w:val="en-US"/>
        </w:rPr>
        <w:t>[25.4]</w:t>
      </w:r>
      <w:r>
        <w:rPr>
          <w:lang w:val="en-US"/>
        </w:rPr>
        <w:tab/>
      </w:r>
      <w:r w:rsidR="002C6490">
        <w:rPr>
          <w:lang w:val="en-US"/>
        </w:rPr>
        <w:t xml:space="preserve">The cost of the French drain should have been excluded because its need was not established; and </w:t>
      </w:r>
    </w:p>
    <w:p w14:paraId="042AA176" w14:textId="1ABF6A51" w:rsidR="002C6490" w:rsidRDefault="00E55D0A" w:rsidP="00E55D0A">
      <w:pPr>
        <w:pStyle w:val="level1"/>
        <w:tabs>
          <w:tab w:val="left" w:pos="1361"/>
        </w:tabs>
        <w:spacing w:after="480" w:line="360" w:lineRule="auto"/>
        <w:ind w:left="1361" w:hanging="681"/>
        <w:jc w:val="both"/>
        <w:rPr>
          <w:lang w:val="en-US"/>
        </w:rPr>
      </w:pPr>
      <w:r>
        <w:rPr>
          <w:lang w:val="en-US"/>
        </w:rPr>
        <w:t>[25.5]</w:t>
      </w:r>
      <w:r>
        <w:rPr>
          <w:lang w:val="en-US"/>
        </w:rPr>
        <w:tab/>
      </w:r>
      <w:r w:rsidR="002C6490">
        <w:rPr>
          <w:lang w:val="en-US"/>
        </w:rPr>
        <w:t>The cost of the repairs charged for the interior and exterior walls, and the windows, should not have been allowed because Mr Gowans did not have a proper opportunity to assess the extent of the damage and consequently the reasonable cost of repair.</w:t>
      </w:r>
    </w:p>
    <w:p w14:paraId="15256035" w14:textId="1A2F1182" w:rsidR="00FA1C5C" w:rsidRDefault="00E55D0A" w:rsidP="00E55D0A">
      <w:pPr>
        <w:pStyle w:val="level1"/>
        <w:tabs>
          <w:tab w:val="left" w:pos="680"/>
        </w:tabs>
        <w:spacing w:after="480" w:line="360" w:lineRule="auto"/>
        <w:ind w:left="680" w:hanging="680"/>
        <w:jc w:val="both"/>
        <w:rPr>
          <w:lang w:val="en-US"/>
        </w:rPr>
      </w:pPr>
      <w:r>
        <w:rPr>
          <w:lang w:val="en-US"/>
        </w:rPr>
        <w:t>[26]</w:t>
      </w:r>
      <w:r>
        <w:rPr>
          <w:lang w:val="en-US"/>
        </w:rPr>
        <w:tab/>
      </w:r>
      <w:r w:rsidR="00FA1C5C">
        <w:rPr>
          <w:lang w:val="en-US"/>
        </w:rPr>
        <w:t xml:space="preserve">The measure of damages for an undisclosed latent defect is the difference between </w:t>
      </w:r>
      <w:r w:rsidR="00B3699A">
        <w:rPr>
          <w:lang w:val="en-US"/>
        </w:rPr>
        <w:t xml:space="preserve">the </w:t>
      </w:r>
      <w:r w:rsidR="00FA1C5C">
        <w:rPr>
          <w:lang w:val="en-US"/>
        </w:rPr>
        <w:t>price that the respondent paid for the property, and the price that she would have paid for the house had she been aware of the damp. The estate agent testified that she sells high-end propert</w:t>
      </w:r>
      <w:r w:rsidR="003F4E46">
        <w:rPr>
          <w:lang w:val="en-US"/>
        </w:rPr>
        <w:t>ies</w:t>
      </w:r>
      <w:r w:rsidR="00FA1C5C">
        <w:rPr>
          <w:lang w:val="en-US"/>
        </w:rPr>
        <w:t xml:space="preserve"> with damp and that does not affect their price because a buyer is willing to assume the cost of repair. But that cannot be inferred here: the respondent was assiduous in procuring that the appellants repaired minor snags in the property when she discovered them; </w:t>
      </w:r>
      <w:r w:rsidR="00B3699A">
        <w:rPr>
          <w:lang w:val="en-US"/>
        </w:rPr>
        <w:t xml:space="preserve">and </w:t>
      </w:r>
      <w:r w:rsidR="00FA1C5C">
        <w:rPr>
          <w:lang w:val="en-US"/>
        </w:rPr>
        <w:t xml:space="preserve">it is inconceivable that she would not have factored extensive repairs required to address damp in the property into her offer price. </w:t>
      </w:r>
    </w:p>
    <w:p w14:paraId="3D32A302" w14:textId="0205237D" w:rsidR="002C6490" w:rsidRDefault="00E55D0A" w:rsidP="00E55D0A">
      <w:pPr>
        <w:pStyle w:val="level1"/>
        <w:tabs>
          <w:tab w:val="left" w:pos="680"/>
        </w:tabs>
        <w:spacing w:after="480" w:line="360" w:lineRule="auto"/>
        <w:ind w:left="680" w:hanging="680"/>
        <w:jc w:val="both"/>
        <w:rPr>
          <w:lang w:val="en-US"/>
        </w:rPr>
      </w:pPr>
      <w:r>
        <w:rPr>
          <w:lang w:val="en-US"/>
        </w:rPr>
        <w:t>[27]</w:t>
      </w:r>
      <w:r>
        <w:rPr>
          <w:lang w:val="en-US"/>
        </w:rPr>
        <w:tab/>
      </w:r>
      <w:r w:rsidR="00FA1C5C">
        <w:rPr>
          <w:lang w:val="en-US"/>
        </w:rPr>
        <w:t xml:space="preserve">Where no evidence is led as to the market price of the house with its defects, the court is entitled to fix damages at the sum for which the property could have been restored. The cost of repairs is thus a permissible measure of the award </w:t>
      </w:r>
      <w:r w:rsidR="00FA1C5C">
        <w:rPr>
          <w:lang w:val="en-US"/>
        </w:rPr>
        <w:lastRenderedPageBreak/>
        <w:t>to be made.</w:t>
      </w:r>
      <w:r w:rsidR="00FA1C5C">
        <w:rPr>
          <w:rStyle w:val="FootnoteReference"/>
          <w:lang w:val="en-US"/>
        </w:rPr>
        <w:footnoteReference w:id="15"/>
      </w:r>
      <w:r w:rsidR="00FA1C5C">
        <w:rPr>
          <w:lang w:val="en-US"/>
        </w:rPr>
        <w:t xml:space="preserve"> The court </w:t>
      </w:r>
      <w:r w:rsidR="00FA1C5C">
        <w:rPr>
          <w:i/>
          <w:iCs/>
          <w:lang w:val="en-US"/>
        </w:rPr>
        <w:t>a quo</w:t>
      </w:r>
      <w:r w:rsidR="00FA1C5C">
        <w:rPr>
          <w:lang w:val="en-US"/>
        </w:rPr>
        <w:t xml:space="preserve"> was thus entitled to use Virtua’s invoice, evidencing the actual cost of repairs, as the basis for its award.</w:t>
      </w:r>
    </w:p>
    <w:p w14:paraId="1CE6E312" w14:textId="68B06143" w:rsidR="00562CE8" w:rsidRDefault="00E55D0A" w:rsidP="00E55D0A">
      <w:pPr>
        <w:pStyle w:val="level1"/>
        <w:tabs>
          <w:tab w:val="left" w:pos="680"/>
        </w:tabs>
        <w:spacing w:after="480" w:line="360" w:lineRule="auto"/>
        <w:ind w:left="680" w:hanging="680"/>
        <w:jc w:val="both"/>
        <w:rPr>
          <w:lang w:val="en-US"/>
        </w:rPr>
      </w:pPr>
      <w:r>
        <w:rPr>
          <w:lang w:val="en-US"/>
        </w:rPr>
        <w:t>[28]</w:t>
      </w:r>
      <w:r>
        <w:rPr>
          <w:lang w:val="en-US"/>
        </w:rPr>
        <w:tab/>
      </w:r>
      <w:r w:rsidR="008C7ECA">
        <w:rPr>
          <w:lang w:val="en-US"/>
        </w:rPr>
        <w:t>Insofar as the items claimed for are concerned: t</w:t>
      </w:r>
      <w:r w:rsidR="00FA1C5C">
        <w:rPr>
          <w:lang w:val="en-US"/>
        </w:rPr>
        <w:t xml:space="preserve">he defect complained of </w:t>
      </w:r>
      <w:r w:rsidR="008C7ECA">
        <w:rPr>
          <w:lang w:val="en-US"/>
        </w:rPr>
        <w:t xml:space="preserve">was </w:t>
      </w:r>
      <w:r w:rsidR="00FA1C5C">
        <w:rPr>
          <w:lang w:val="en-US"/>
        </w:rPr>
        <w:t>the damp that manifested in interior and exterior walls across the property.</w:t>
      </w:r>
      <w:r w:rsidR="008C7ECA">
        <w:rPr>
          <w:lang w:val="en-US"/>
        </w:rPr>
        <w:t xml:space="preserve"> It was caused both by rising damp, and by water flowing down into the walls due to failed waterproofing. </w:t>
      </w:r>
      <w:r w:rsidR="00FA1C5C">
        <w:rPr>
          <w:lang w:val="en-US"/>
        </w:rPr>
        <w:t>The respondent was required to prove knowledge and concealment of that defect – not of the underlying cause</w:t>
      </w:r>
      <w:r w:rsidR="008C7ECA">
        <w:rPr>
          <w:lang w:val="en-US"/>
        </w:rPr>
        <w:t>s</w:t>
      </w:r>
      <w:r w:rsidR="00FA1C5C">
        <w:rPr>
          <w:lang w:val="en-US"/>
        </w:rPr>
        <w:t xml:space="preserve"> thereof. </w:t>
      </w:r>
      <w:r w:rsidR="008C7ECA">
        <w:rPr>
          <w:lang w:val="en-US"/>
        </w:rPr>
        <w:t>But s</w:t>
      </w:r>
      <w:r w:rsidR="00FA1C5C">
        <w:rPr>
          <w:lang w:val="en-US"/>
        </w:rPr>
        <w:t xml:space="preserve">he was entitled to be reimbursed the reasonable cost of remediating the defect, which necessarily includes attending to the </w:t>
      </w:r>
      <w:r w:rsidR="008C7ECA">
        <w:rPr>
          <w:lang w:val="en-US"/>
        </w:rPr>
        <w:t xml:space="preserve">various </w:t>
      </w:r>
      <w:r w:rsidR="00FA1C5C">
        <w:rPr>
          <w:lang w:val="en-US"/>
        </w:rPr>
        <w:t>causes thereof</w:t>
      </w:r>
      <w:r w:rsidR="008C7ECA">
        <w:rPr>
          <w:lang w:val="en-US"/>
        </w:rPr>
        <w:t xml:space="preserve"> (whether known to the appellants or not)</w:t>
      </w:r>
      <w:r w:rsidR="00FA1C5C">
        <w:rPr>
          <w:lang w:val="en-US"/>
        </w:rPr>
        <w:t>. As set out above, that required, among others, repairs to the balcony to remediate the risk of water ingress resulting from the low threshold step</w:t>
      </w:r>
      <w:r w:rsidR="008C7ECA">
        <w:rPr>
          <w:lang w:val="en-US"/>
        </w:rPr>
        <w:t>, and repairs to the waterproofing on the roo</w:t>
      </w:r>
      <w:r w:rsidR="00562CE8">
        <w:rPr>
          <w:lang w:val="en-US"/>
        </w:rPr>
        <w:t>f</w:t>
      </w:r>
      <w:r w:rsidR="00FA1C5C">
        <w:rPr>
          <w:lang w:val="en-US"/>
        </w:rPr>
        <w:t xml:space="preserve">. </w:t>
      </w:r>
      <w:r w:rsidR="00562CE8">
        <w:rPr>
          <w:lang w:val="en-US"/>
        </w:rPr>
        <w:t>Mr Bruckner testified that the French drain was necessary to prevent future rising damp along the exterior perimeter wall.  Mr Brachner of Virtua (which undertook the repairs) confirmed that all of the costs claimed for were “</w:t>
      </w:r>
      <w:r w:rsidR="00562CE8">
        <w:rPr>
          <w:i/>
          <w:iCs/>
          <w:lang w:val="en-US"/>
        </w:rPr>
        <w:t>effectively to remedy the damp . . . remedy the waterproofing”</w:t>
      </w:r>
      <w:r w:rsidR="00562CE8">
        <w:rPr>
          <w:lang w:val="en-US"/>
        </w:rPr>
        <w:t xml:space="preserve">. </w:t>
      </w:r>
    </w:p>
    <w:p w14:paraId="3F9B7DB5" w14:textId="2FFBC48F" w:rsidR="00562CE8" w:rsidRDefault="00E55D0A" w:rsidP="00E55D0A">
      <w:pPr>
        <w:pStyle w:val="level1"/>
        <w:tabs>
          <w:tab w:val="left" w:pos="680"/>
        </w:tabs>
        <w:spacing w:after="480" w:line="360" w:lineRule="auto"/>
        <w:ind w:left="680" w:hanging="680"/>
        <w:jc w:val="both"/>
        <w:rPr>
          <w:lang w:val="en-US"/>
        </w:rPr>
      </w:pPr>
      <w:r>
        <w:rPr>
          <w:lang w:val="en-US"/>
        </w:rPr>
        <w:t>[29]</w:t>
      </w:r>
      <w:r>
        <w:rPr>
          <w:lang w:val="en-US"/>
        </w:rPr>
        <w:tab/>
      </w:r>
      <w:r w:rsidR="00562CE8">
        <w:rPr>
          <w:lang w:val="en-US"/>
        </w:rPr>
        <w:t>Mr Gowans’ testimony was to the effect that he was unable to confirm that these repairs were necessary and, in his view, some of the work could have been done differently and would have cost less. But that does not establish that the costs of repairs actually incurred were unreasonable. In those circumstances, the respondent was entitled to recoup them.</w:t>
      </w:r>
    </w:p>
    <w:p w14:paraId="68C07E96" w14:textId="20DD9FFA" w:rsidR="00562CE8" w:rsidRPr="00562CE8" w:rsidRDefault="00562CE8" w:rsidP="00562CE8">
      <w:pPr>
        <w:pStyle w:val="level1"/>
        <w:spacing w:after="480" w:line="360" w:lineRule="auto"/>
        <w:jc w:val="both"/>
        <w:rPr>
          <w:b/>
          <w:bCs/>
          <w:lang w:val="en-US"/>
        </w:rPr>
      </w:pPr>
      <w:r>
        <w:rPr>
          <w:b/>
          <w:bCs/>
          <w:lang w:val="en-US"/>
        </w:rPr>
        <w:t>CONCLUSION</w:t>
      </w:r>
    </w:p>
    <w:p w14:paraId="7278A6D6" w14:textId="72B1F473" w:rsidR="00562CE8" w:rsidRDefault="00E55D0A" w:rsidP="00E55D0A">
      <w:pPr>
        <w:pStyle w:val="level1"/>
        <w:tabs>
          <w:tab w:val="left" w:pos="680"/>
        </w:tabs>
        <w:spacing w:after="480" w:line="360" w:lineRule="auto"/>
        <w:ind w:left="680" w:hanging="680"/>
        <w:jc w:val="both"/>
        <w:rPr>
          <w:lang w:val="en-US"/>
        </w:rPr>
      </w:pPr>
      <w:r>
        <w:rPr>
          <w:lang w:val="en-US"/>
        </w:rPr>
        <w:t>[30]</w:t>
      </w:r>
      <w:r>
        <w:rPr>
          <w:lang w:val="en-US"/>
        </w:rPr>
        <w:tab/>
      </w:r>
      <w:r w:rsidR="00562CE8">
        <w:rPr>
          <w:lang w:val="en-US"/>
        </w:rPr>
        <w:t xml:space="preserve">In the circumstances, the appellants have failed to establish a basis for overturning the court </w:t>
      </w:r>
      <w:r w:rsidR="00562CE8" w:rsidRPr="00562CE8">
        <w:rPr>
          <w:i/>
          <w:iCs/>
          <w:lang w:val="en-US"/>
        </w:rPr>
        <w:t>a quo’s</w:t>
      </w:r>
      <w:r w:rsidR="00562CE8">
        <w:rPr>
          <w:lang w:val="en-US"/>
        </w:rPr>
        <w:t xml:space="preserve"> </w:t>
      </w:r>
      <w:r w:rsidR="00562CE8" w:rsidRPr="00562CE8">
        <w:rPr>
          <w:lang w:val="en-US"/>
        </w:rPr>
        <w:t>judgment and order</w:t>
      </w:r>
      <w:r w:rsidR="00562CE8">
        <w:rPr>
          <w:lang w:val="en-US"/>
        </w:rPr>
        <w:t>.</w:t>
      </w:r>
      <w:r w:rsidR="005866FE">
        <w:rPr>
          <w:lang w:val="en-US"/>
        </w:rPr>
        <w:t xml:space="preserve"> There is no reason to deviate from the ordinary rule that costs follow the result.</w:t>
      </w:r>
    </w:p>
    <w:p w14:paraId="1BE84A85" w14:textId="66DE2157" w:rsidR="00562CE8" w:rsidRDefault="00E55D0A" w:rsidP="00E55D0A">
      <w:pPr>
        <w:pStyle w:val="level1"/>
        <w:tabs>
          <w:tab w:val="left" w:pos="680"/>
        </w:tabs>
        <w:spacing w:after="480" w:line="360" w:lineRule="auto"/>
        <w:ind w:left="680" w:hanging="680"/>
        <w:jc w:val="both"/>
        <w:rPr>
          <w:lang w:val="en-US"/>
        </w:rPr>
      </w:pPr>
      <w:r>
        <w:rPr>
          <w:lang w:val="en-US"/>
        </w:rPr>
        <w:lastRenderedPageBreak/>
        <w:t>[31]</w:t>
      </w:r>
      <w:r>
        <w:rPr>
          <w:lang w:val="en-US"/>
        </w:rPr>
        <w:tab/>
      </w:r>
      <w:r w:rsidR="00562CE8">
        <w:rPr>
          <w:lang w:val="en-US"/>
        </w:rPr>
        <w:t>In the result, the following order is made:</w:t>
      </w:r>
    </w:p>
    <w:p w14:paraId="09A6D320" w14:textId="58714017" w:rsidR="00562CE8" w:rsidRDefault="00562CE8" w:rsidP="00562CE8">
      <w:pPr>
        <w:pStyle w:val="level1"/>
        <w:spacing w:after="480" w:line="360" w:lineRule="auto"/>
        <w:ind w:left="680"/>
        <w:jc w:val="both"/>
        <w:rPr>
          <w:i/>
          <w:iCs/>
          <w:lang w:val="en-US"/>
        </w:rPr>
      </w:pPr>
      <w:r>
        <w:rPr>
          <w:i/>
          <w:iCs/>
          <w:lang w:val="en-US"/>
        </w:rPr>
        <w:t xml:space="preserve">The appeal is dismissed with costs jointly and severally against the first and second appellant, the one paying the other to be absolved. </w:t>
      </w:r>
    </w:p>
    <w:p w14:paraId="2C4D1F7B" w14:textId="77777777" w:rsidR="005866FE" w:rsidRDefault="005866FE" w:rsidP="00562CE8">
      <w:pPr>
        <w:pStyle w:val="level1"/>
        <w:spacing w:after="480" w:line="360" w:lineRule="auto"/>
        <w:ind w:left="680"/>
        <w:jc w:val="both"/>
        <w:rPr>
          <w:i/>
          <w:iCs/>
          <w:lang w:val="en-US"/>
        </w:rPr>
      </w:pPr>
    </w:p>
    <w:p w14:paraId="03E37116" w14:textId="77777777" w:rsidR="005866FE" w:rsidRDefault="005866FE" w:rsidP="005866FE">
      <w:pPr>
        <w:spacing w:line="360" w:lineRule="auto"/>
        <w:ind w:left="2880" w:firstLine="720"/>
      </w:pPr>
    </w:p>
    <w:p w14:paraId="47761C34" w14:textId="77777777" w:rsidR="005866FE" w:rsidRDefault="005866FE" w:rsidP="005866FE">
      <w:pPr>
        <w:spacing w:line="360" w:lineRule="auto"/>
        <w:ind w:left="2880" w:firstLine="720"/>
      </w:pPr>
    </w:p>
    <w:p w14:paraId="1924CE1C" w14:textId="77777777" w:rsidR="005866FE" w:rsidRDefault="005866FE" w:rsidP="005866FE">
      <w:pPr>
        <w:spacing w:line="360" w:lineRule="auto"/>
        <w:ind w:left="2880" w:firstLine="720"/>
      </w:pPr>
    </w:p>
    <w:p w14:paraId="3403CC22" w14:textId="547A247D" w:rsidR="005866FE" w:rsidRDefault="005866FE" w:rsidP="005866FE">
      <w:pPr>
        <w:spacing w:line="360" w:lineRule="auto"/>
        <w:ind w:left="2880" w:firstLine="720"/>
      </w:pPr>
      <w:r>
        <w:tab/>
        <w:t>___________________________________</w:t>
      </w:r>
    </w:p>
    <w:p w14:paraId="10BB0487" w14:textId="0B662046" w:rsidR="005866FE" w:rsidRDefault="005866FE" w:rsidP="005866FE">
      <w:pPr>
        <w:ind w:left="4395"/>
        <w:rPr>
          <w:b/>
        </w:rPr>
      </w:pPr>
      <w:r>
        <w:rPr>
          <w:b/>
        </w:rPr>
        <w:t>I GOODMAN</w:t>
      </w:r>
    </w:p>
    <w:p w14:paraId="71A97027" w14:textId="028D7E0B" w:rsidR="005866FE" w:rsidRPr="00FB1B0A" w:rsidRDefault="005866FE" w:rsidP="005866FE">
      <w:pPr>
        <w:ind w:left="4395"/>
        <w:rPr>
          <w:b/>
        </w:rPr>
      </w:pPr>
      <w:r>
        <w:rPr>
          <w:b/>
        </w:rPr>
        <w:t>ACTING JUDGE OF THE HIGH COURT JOHANNESBURG</w:t>
      </w:r>
    </w:p>
    <w:p w14:paraId="0C408274" w14:textId="77777777" w:rsidR="005866FE" w:rsidRDefault="005866FE" w:rsidP="005866FE">
      <w:pPr>
        <w:rPr>
          <w:b/>
          <w:u w:val="single"/>
        </w:rPr>
      </w:pPr>
    </w:p>
    <w:p w14:paraId="21D96067" w14:textId="77777777" w:rsidR="005866FE" w:rsidRDefault="005866FE" w:rsidP="005866FE">
      <w:pPr>
        <w:rPr>
          <w:b/>
          <w:u w:val="single"/>
        </w:rPr>
      </w:pPr>
    </w:p>
    <w:p w14:paraId="29BB1D67" w14:textId="77777777" w:rsidR="00FD7FFA" w:rsidRDefault="00FD7FFA" w:rsidP="005866FE">
      <w:pPr>
        <w:rPr>
          <w:b/>
          <w:u w:val="single"/>
        </w:rPr>
      </w:pPr>
    </w:p>
    <w:p w14:paraId="2B54151A" w14:textId="76CCCC00" w:rsidR="005866FE" w:rsidRPr="008B170D" w:rsidRDefault="005866FE" w:rsidP="005866FE">
      <w:pPr>
        <w:rPr>
          <w:b/>
          <w:u w:val="single"/>
        </w:rPr>
      </w:pPr>
      <w:r w:rsidRPr="008B170D">
        <w:rPr>
          <w:b/>
          <w:u w:val="single"/>
        </w:rPr>
        <w:t xml:space="preserve">APPEARANCES </w:t>
      </w:r>
    </w:p>
    <w:p w14:paraId="53BA5D70" w14:textId="77777777" w:rsidR="005866FE" w:rsidRDefault="005866FE" w:rsidP="005866FE">
      <w:pPr>
        <w:pStyle w:val="ListParagraph"/>
        <w:ind w:left="0"/>
      </w:pPr>
    </w:p>
    <w:p w14:paraId="2F9F671B" w14:textId="57D37268" w:rsidR="005866FE" w:rsidRDefault="005866FE" w:rsidP="005866FE">
      <w:r w:rsidRPr="008B170D">
        <w:rPr>
          <w:b/>
        </w:rPr>
        <w:t>DATE OF HEARING</w:t>
      </w:r>
      <w:r w:rsidRPr="008B170D">
        <w:rPr>
          <w:b/>
        </w:rPr>
        <w:tab/>
        <w:t xml:space="preserve"> </w:t>
      </w:r>
      <w:r w:rsidRPr="008B170D">
        <w:rPr>
          <w:b/>
        </w:rPr>
        <w:tab/>
      </w:r>
      <w:r w:rsidRPr="008B170D">
        <w:rPr>
          <w:b/>
        </w:rPr>
        <w:tab/>
        <w:t xml:space="preserve"> </w:t>
      </w:r>
      <w:r>
        <w:rPr>
          <w:b/>
        </w:rPr>
        <w:tab/>
      </w:r>
      <w:r w:rsidRPr="008B170D">
        <w:t>:</w:t>
      </w:r>
      <w:r>
        <w:t xml:space="preserve"> 1 FEBRUARY 2024</w:t>
      </w:r>
    </w:p>
    <w:p w14:paraId="11435359" w14:textId="77777777" w:rsidR="005866FE" w:rsidRPr="008B170D" w:rsidRDefault="005866FE" w:rsidP="005866FE">
      <w:pPr>
        <w:rPr>
          <w:b/>
        </w:rPr>
      </w:pPr>
    </w:p>
    <w:p w14:paraId="5EE13D52" w14:textId="155A1526" w:rsidR="005866FE" w:rsidRPr="008B170D" w:rsidRDefault="005866FE" w:rsidP="005866FE">
      <w:pPr>
        <w:rPr>
          <w:b/>
        </w:rPr>
      </w:pPr>
      <w:r w:rsidRPr="008B170D">
        <w:rPr>
          <w:b/>
        </w:rPr>
        <w:t xml:space="preserve">DATE OF JUDGMENT </w:t>
      </w:r>
      <w:r w:rsidRPr="008B170D">
        <w:rPr>
          <w:b/>
        </w:rPr>
        <w:tab/>
      </w:r>
      <w:r w:rsidRPr="008B170D">
        <w:rPr>
          <w:b/>
        </w:rPr>
        <w:tab/>
      </w:r>
      <w:r w:rsidRPr="008B170D">
        <w:rPr>
          <w:b/>
        </w:rPr>
        <w:tab/>
        <w:t xml:space="preserve"> </w:t>
      </w:r>
      <w:r>
        <w:rPr>
          <w:b/>
        </w:rPr>
        <w:tab/>
      </w:r>
      <w:r w:rsidRPr="008B170D">
        <w:t>:</w:t>
      </w:r>
      <w:r>
        <w:t xml:space="preserve">  </w:t>
      </w:r>
      <w:r w:rsidR="003F4E46">
        <w:t>28</w:t>
      </w:r>
      <w:r>
        <w:t>. FEBRUARY 2024</w:t>
      </w:r>
    </w:p>
    <w:p w14:paraId="01FA5147" w14:textId="77777777" w:rsidR="005866FE" w:rsidRPr="008B170D" w:rsidRDefault="005866FE" w:rsidP="005866FE">
      <w:pPr>
        <w:rPr>
          <w:b/>
        </w:rPr>
      </w:pPr>
      <w:r w:rsidRPr="008B170D">
        <w:rPr>
          <w:b/>
        </w:rPr>
        <w:tab/>
      </w:r>
      <w:r w:rsidRPr="008B170D">
        <w:rPr>
          <w:b/>
        </w:rPr>
        <w:tab/>
      </w:r>
      <w:r w:rsidRPr="008B170D">
        <w:rPr>
          <w:b/>
        </w:rPr>
        <w:tab/>
      </w:r>
      <w:r w:rsidRPr="008B170D">
        <w:rPr>
          <w:b/>
        </w:rPr>
        <w:tab/>
      </w:r>
    </w:p>
    <w:p w14:paraId="7B0CC623" w14:textId="4C87C7E7" w:rsidR="005866FE" w:rsidRDefault="005866FE" w:rsidP="005866FE">
      <w:pPr>
        <w:pStyle w:val="ListParagraph"/>
        <w:ind w:left="0"/>
      </w:pPr>
      <w:r>
        <w:rPr>
          <w:b/>
        </w:rPr>
        <w:t>FIRST APPELLANT’S COUNSEL</w:t>
      </w:r>
      <w:r>
        <w:rPr>
          <w:b/>
        </w:rPr>
        <w:tab/>
      </w:r>
      <w:r>
        <w:rPr>
          <w:b/>
        </w:rPr>
        <w:tab/>
      </w:r>
      <w:r w:rsidRPr="008B170D">
        <w:t>:</w:t>
      </w:r>
      <w:r>
        <w:t xml:space="preserve">  Adv. M. Rourke </w:t>
      </w:r>
    </w:p>
    <w:p w14:paraId="341A3982" w14:textId="77777777" w:rsidR="005866FE" w:rsidRDefault="005866FE" w:rsidP="005866FE">
      <w:pPr>
        <w:pStyle w:val="ListParagraph"/>
        <w:ind w:left="0"/>
        <w:rPr>
          <w:b/>
          <w:bCs/>
        </w:rPr>
      </w:pPr>
    </w:p>
    <w:p w14:paraId="6D1D0651" w14:textId="76A51EC5" w:rsidR="005866FE" w:rsidRDefault="005866FE" w:rsidP="005866FE">
      <w:pPr>
        <w:pStyle w:val="ListParagraph"/>
        <w:ind w:left="0"/>
      </w:pPr>
      <w:r>
        <w:rPr>
          <w:b/>
        </w:rPr>
        <w:t>FIRST</w:t>
      </w:r>
      <w:r>
        <w:rPr>
          <w:b/>
          <w:bCs/>
        </w:rPr>
        <w:t xml:space="preserve"> APPELLANT’</w:t>
      </w:r>
      <w:r w:rsidRPr="000F64D9">
        <w:rPr>
          <w:b/>
          <w:bCs/>
        </w:rPr>
        <w:t>S ATTORNEYS</w:t>
      </w:r>
      <w:r>
        <w:tab/>
      </w:r>
      <w:r>
        <w:tab/>
        <w:t xml:space="preserve">:  JWL Attorneys </w:t>
      </w:r>
    </w:p>
    <w:p w14:paraId="0D884651" w14:textId="6CFE994A" w:rsidR="005866FE" w:rsidRDefault="005866FE" w:rsidP="005866FE">
      <w:pPr>
        <w:pStyle w:val="ListParagraph"/>
        <w:ind w:left="0"/>
      </w:pPr>
      <w:r>
        <w:tab/>
      </w:r>
      <w:r>
        <w:tab/>
      </w:r>
      <w:r>
        <w:tab/>
      </w:r>
    </w:p>
    <w:p w14:paraId="0AB82F44" w14:textId="69451F97" w:rsidR="005866FE" w:rsidRDefault="005866FE" w:rsidP="005866FE">
      <w:pPr>
        <w:pStyle w:val="ListParagraph"/>
        <w:ind w:left="0"/>
      </w:pPr>
      <w:r>
        <w:rPr>
          <w:b/>
        </w:rPr>
        <w:t>SECOND APPELLANT’S COUNSEL</w:t>
      </w:r>
      <w:r>
        <w:rPr>
          <w:b/>
        </w:rPr>
        <w:tab/>
      </w:r>
      <w:r>
        <w:rPr>
          <w:b/>
        </w:rPr>
        <w:tab/>
      </w:r>
      <w:r w:rsidRPr="008B170D">
        <w:t>:</w:t>
      </w:r>
      <w:r>
        <w:t xml:space="preserve">  Adv. L. De Wet</w:t>
      </w:r>
    </w:p>
    <w:p w14:paraId="56F9E977" w14:textId="77777777" w:rsidR="005866FE" w:rsidRDefault="005866FE" w:rsidP="005866FE">
      <w:pPr>
        <w:pStyle w:val="ListParagraph"/>
        <w:ind w:left="0"/>
        <w:rPr>
          <w:b/>
          <w:bCs/>
        </w:rPr>
      </w:pPr>
    </w:p>
    <w:p w14:paraId="35835748" w14:textId="24125325" w:rsidR="005866FE" w:rsidRDefault="005866FE" w:rsidP="005866FE">
      <w:pPr>
        <w:pStyle w:val="ListParagraph"/>
        <w:ind w:left="0"/>
      </w:pPr>
      <w:r>
        <w:rPr>
          <w:b/>
        </w:rPr>
        <w:t xml:space="preserve">SECOND </w:t>
      </w:r>
      <w:r>
        <w:rPr>
          <w:b/>
          <w:bCs/>
        </w:rPr>
        <w:t>APPELLANT’</w:t>
      </w:r>
      <w:r w:rsidRPr="000F64D9">
        <w:rPr>
          <w:b/>
          <w:bCs/>
        </w:rPr>
        <w:t>S ATTORNEYS</w:t>
      </w:r>
      <w:r>
        <w:tab/>
      </w:r>
      <w:r>
        <w:tab/>
        <w:t>:  Fick-Haupt Inc. Attorneys</w:t>
      </w:r>
    </w:p>
    <w:p w14:paraId="28108044" w14:textId="77777777" w:rsidR="005866FE" w:rsidRDefault="005866FE" w:rsidP="005866FE">
      <w:pPr>
        <w:pStyle w:val="ListParagraph"/>
        <w:ind w:left="0"/>
        <w:rPr>
          <w:b/>
        </w:rPr>
      </w:pPr>
    </w:p>
    <w:p w14:paraId="3FFE52B0" w14:textId="797DEDD2" w:rsidR="005866FE" w:rsidRPr="00FE1115" w:rsidRDefault="005866FE" w:rsidP="005866FE">
      <w:pPr>
        <w:pStyle w:val="ListParagraph"/>
        <w:ind w:left="0"/>
      </w:pPr>
      <w:r>
        <w:rPr>
          <w:b/>
        </w:rPr>
        <w:t>RESPONDENT’S COUNSEL</w:t>
      </w:r>
      <w:r>
        <w:rPr>
          <w:b/>
        </w:rPr>
        <w:tab/>
      </w:r>
      <w:r>
        <w:rPr>
          <w:b/>
        </w:rPr>
        <w:tab/>
      </w:r>
      <w:r>
        <w:rPr>
          <w:b/>
        </w:rPr>
        <w:tab/>
      </w:r>
      <w:r w:rsidRPr="00B27F3B">
        <w:t>:</w:t>
      </w:r>
      <w:r>
        <w:t xml:space="preserve">  Adv. S. Cliff </w:t>
      </w:r>
    </w:p>
    <w:p w14:paraId="1AB70BCC" w14:textId="77777777" w:rsidR="005866FE" w:rsidRDefault="005866FE" w:rsidP="005866FE">
      <w:pPr>
        <w:pStyle w:val="ListParagraph"/>
        <w:ind w:left="0"/>
        <w:rPr>
          <w:bCs/>
        </w:rPr>
      </w:pPr>
      <w:r>
        <w:rPr>
          <w:bCs/>
        </w:rPr>
        <w:tab/>
      </w:r>
      <w:r>
        <w:rPr>
          <w:bCs/>
        </w:rPr>
        <w:tab/>
      </w:r>
      <w:r>
        <w:rPr>
          <w:bCs/>
        </w:rPr>
        <w:tab/>
      </w:r>
      <w:r>
        <w:rPr>
          <w:bCs/>
        </w:rPr>
        <w:tab/>
      </w:r>
      <w:r>
        <w:rPr>
          <w:bCs/>
        </w:rPr>
        <w:tab/>
      </w:r>
    </w:p>
    <w:p w14:paraId="7B4C4D20" w14:textId="5EA4CA33" w:rsidR="005866FE" w:rsidRPr="00FE1115" w:rsidRDefault="005866FE" w:rsidP="005866FE">
      <w:pPr>
        <w:pStyle w:val="ListParagraph"/>
        <w:ind w:left="0"/>
        <w:rPr>
          <w:b/>
        </w:rPr>
      </w:pPr>
      <w:r>
        <w:rPr>
          <w:b/>
        </w:rPr>
        <w:t>RESPONDENT’S ATTORNEYS</w:t>
      </w:r>
      <w:r>
        <w:rPr>
          <w:b/>
        </w:rPr>
        <w:tab/>
      </w:r>
      <w:r>
        <w:rPr>
          <w:b/>
        </w:rPr>
        <w:tab/>
      </w:r>
      <w:r>
        <w:rPr>
          <w:b/>
        </w:rPr>
        <w:tab/>
      </w:r>
      <w:r w:rsidRPr="00B27F3B">
        <w:t>:</w:t>
      </w:r>
      <w:r>
        <w:t xml:space="preserve">  Schindlers Attorneys </w:t>
      </w:r>
    </w:p>
    <w:p w14:paraId="6EB07E20" w14:textId="77777777" w:rsidR="005866FE" w:rsidRDefault="005866FE" w:rsidP="00562CE8">
      <w:pPr>
        <w:pStyle w:val="level1"/>
        <w:spacing w:after="480" w:line="360" w:lineRule="auto"/>
        <w:ind w:left="680"/>
        <w:jc w:val="both"/>
        <w:rPr>
          <w:lang w:val="en-US"/>
        </w:rPr>
      </w:pPr>
    </w:p>
    <w:p w14:paraId="29378C7A" w14:textId="77777777" w:rsidR="00562CE8" w:rsidRDefault="00562CE8" w:rsidP="00562CE8">
      <w:pPr>
        <w:pStyle w:val="level1"/>
        <w:spacing w:after="480" w:line="360" w:lineRule="auto"/>
        <w:jc w:val="both"/>
      </w:pPr>
    </w:p>
    <w:bookmarkEnd w:id="0"/>
    <w:p w14:paraId="4B1CC2CC" w14:textId="07856A33" w:rsidR="00571A5D" w:rsidRDefault="00571A5D" w:rsidP="00D67936"/>
    <w:sectPr w:rsidR="00571A5D" w:rsidSect="00FD7FFA">
      <w:footerReference w:type="even"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B0CE0" w14:textId="77777777" w:rsidR="003936E0" w:rsidRDefault="003936E0" w:rsidP="00006348">
      <w:r>
        <w:separator/>
      </w:r>
    </w:p>
  </w:endnote>
  <w:endnote w:type="continuationSeparator" w:id="0">
    <w:p w14:paraId="3B561E88" w14:textId="77777777" w:rsidR="003936E0" w:rsidRDefault="003936E0" w:rsidP="0000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altName w:val="Arial"/>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18541"/>
      <w:docPartObj>
        <w:docPartGallery w:val="Page Numbers (Bottom of Page)"/>
        <w:docPartUnique/>
      </w:docPartObj>
    </w:sdtPr>
    <w:sdtEndPr>
      <w:rPr>
        <w:rStyle w:val="PageNumber"/>
      </w:rPr>
    </w:sdtEndPr>
    <w:sdtContent>
      <w:p w14:paraId="6E8FA778" w14:textId="0211D0E6" w:rsidR="00FD7FFA" w:rsidRDefault="00FD7FFA" w:rsidP="00D71E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756AD0" w14:textId="77777777" w:rsidR="00FD7FFA" w:rsidRDefault="00FD7FFA" w:rsidP="00FD7FF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11753687"/>
      <w:docPartObj>
        <w:docPartGallery w:val="Page Numbers (Bottom of Page)"/>
        <w:docPartUnique/>
      </w:docPartObj>
    </w:sdtPr>
    <w:sdtEndPr>
      <w:rPr>
        <w:rStyle w:val="PageNumber"/>
      </w:rPr>
    </w:sdtEndPr>
    <w:sdtContent>
      <w:p w14:paraId="60836FA1" w14:textId="5E104F94" w:rsidR="00FD7FFA" w:rsidRDefault="00FD7FFA" w:rsidP="00D71E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55D0A">
          <w:rPr>
            <w:rStyle w:val="PageNumber"/>
            <w:noProof/>
          </w:rPr>
          <w:t>16</w:t>
        </w:r>
        <w:r>
          <w:rPr>
            <w:rStyle w:val="PageNumber"/>
          </w:rPr>
          <w:fldChar w:fldCharType="end"/>
        </w:r>
      </w:p>
    </w:sdtContent>
  </w:sdt>
  <w:p w14:paraId="1B888C84" w14:textId="77777777" w:rsidR="00FD7FFA" w:rsidRDefault="00FD7FFA" w:rsidP="00FD7FF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1B219" w14:textId="77777777" w:rsidR="003936E0" w:rsidRDefault="003936E0" w:rsidP="00006348">
      <w:r>
        <w:separator/>
      </w:r>
    </w:p>
  </w:footnote>
  <w:footnote w:type="continuationSeparator" w:id="0">
    <w:p w14:paraId="194B0546" w14:textId="77777777" w:rsidR="003936E0" w:rsidRDefault="003936E0" w:rsidP="00006348">
      <w:r>
        <w:continuationSeparator/>
      </w:r>
    </w:p>
  </w:footnote>
  <w:footnote w:id="1">
    <w:p w14:paraId="70E4D876" w14:textId="6EC96457" w:rsidR="00991D13" w:rsidRPr="00FA1C5C" w:rsidRDefault="00991D13" w:rsidP="005866FE">
      <w:pPr>
        <w:pStyle w:val="FootnoteText"/>
        <w:ind w:left="567" w:hanging="567"/>
        <w:jc w:val="both"/>
        <w:rPr>
          <w:lang w:val="en-US"/>
        </w:rPr>
      </w:pPr>
      <w:r w:rsidRPr="00FA1C5C">
        <w:rPr>
          <w:rStyle w:val="FootnoteReference"/>
        </w:rPr>
        <w:footnoteRef/>
      </w:r>
      <w:r w:rsidRPr="00FA1C5C">
        <w:t xml:space="preserve"> </w:t>
      </w:r>
      <w:r w:rsidRPr="00FA1C5C">
        <w:rPr>
          <w:lang w:val="en-US"/>
        </w:rPr>
        <w:tab/>
        <w:t>Rule 50(7)</w:t>
      </w:r>
    </w:p>
  </w:footnote>
  <w:footnote w:id="2">
    <w:p w14:paraId="19FDBEEC" w14:textId="3CEC6A5A" w:rsidR="00006348" w:rsidRPr="00FA1C5C" w:rsidRDefault="00006348" w:rsidP="005866FE">
      <w:pPr>
        <w:pStyle w:val="FootnoteText"/>
        <w:ind w:left="567" w:hanging="567"/>
        <w:jc w:val="both"/>
        <w:rPr>
          <w:lang w:val="en-US"/>
        </w:rPr>
      </w:pPr>
      <w:r w:rsidRPr="00FA1C5C">
        <w:rPr>
          <w:rStyle w:val="FootnoteReference"/>
        </w:rPr>
        <w:footnoteRef/>
      </w:r>
      <w:r w:rsidRPr="00FA1C5C">
        <w:t xml:space="preserve"> </w:t>
      </w:r>
      <w:r w:rsidRPr="00FA1C5C">
        <w:rPr>
          <w:lang w:val="en-US"/>
        </w:rPr>
        <w:tab/>
        <w:t>Rule 50(4)</w:t>
      </w:r>
    </w:p>
  </w:footnote>
  <w:footnote w:id="3">
    <w:p w14:paraId="06E835E7" w14:textId="61CC70DE" w:rsidR="00991D13" w:rsidRPr="00FA1C5C" w:rsidRDefault="00991D13" w:rsidP="005866FE">
      <w:pPr>
        <w:pStyle w:val="FootnoteText"/>
        <w:ind w:left="567" w:hanging="567"/>
        <w:jc w:val="both"/>
        <w:rPr>
          <w:lang w:val="en-US"/>
        </w:rPr>
      </w:pPr>
      <w:r w:rsidRPr="00FA1C5C">
        <w:rPr>
          <w:rStyle w:val="FootnoteReference"/>
        </w:rPr>
        <w:footnoteRef/>
      </w:r>
      <w:r w:rsidRPr="00FA1C5C">
        <w:t xml:space="preserve"> </w:t>
      </w:r>
      <w:r w:rsidRPr="00FA1C5C">
        <w:rPr>
          <w:lang w:val="en-US"/>
        </w:rPr>
        <w:tab/>
        <w:t>Rule 50(5)(b)</w:t>
      </w:r>
    </w:p>
  </w:footnote>
  <w:footnote w:id="4">
    <w:p w14:paraId="086909F3" w14:textId="77777777" w:rsidR="008F0F1E" w:rsidRPr="00FA1C5C" w:rsidRDefault="008F0F1E" w:rsidP="005866FE">
      <w:pPr>
        <w:ind w:left="567" w:hanging="567"/>
        <w:jc w:val="both"/>
        <w:rPr>
          <w:sz w:val="20"/>
          <w:szCs w:val="20"/>
        </w:rPr>
      </w:pPr>
      <w:r w:rsidRPr="00FA1C5C">
        <w:rPr>
          <w:rStyle w:val="FootnoteReference"/>
          <w:sz w:val="20"/>
          <w:szCs w:val="20"/>
        </w:rPr>
        <w:footnoteRef/>
      </w:r>
      <w:r w:rsidRPr="00FA1C5C">
        <w:rPr>
          <w:sz w:val="20"/>
          <w:szCs w:val="20"/>
        </w:rPr>
        <w:t xml:space="preserve"> </w:t>
      </w:r>
      <w:r w:rsidRPr="00FA1C5C">
        <w:rPr>
          <w:sz w:val="20"/>
          <w:szCs w:val="20"/>
          <w:lang w:val="en-US"/>
        </w:rPr>
        <w:tab/>
      </w:r>
      <w:r w:rsidRPr="00FA1C5C">
        <w:rPr>
          <w:sz w:val="20"/>
          <w:szCs w:val="20"/>
        </w:rPr>
        <w:t>Odendaal v Ferraris 2009 (4) SA 313 (SCA) para [29]; Banda and Another v Van der Spuy and Another 2013 (4) SA 77 (SCA) para [2]</w:t>
      </w:r>
    </w:p>
  </w:footnote>
  <w:footnote w:id="5">
    <w:p w14:paraId="378DDD1C" w14:textId="33CB9255" w:rsidR="00942A6D" w:rsidRPr="00FA1C5C" w:rsidRDefault="00942A6D" w:rsidP="005866FE">
      <w:pPr>
        <w:pStyle w:val="FootnoteText"/>
        <w:ind w:left="567" w:hanging="567"/>
        <w:jc w:val="both"/>
        <w:rPr>
          <w:lang w:val="en-US"/>
        </w:rPr>
      </w:pPr>
      <w:r w:rsidRPr="00FA1C5C">
        <w:rPr>
          <w:rStyle w:val="FootnoteReference"/>
        </w:rPr>
        <w:footnoteRef/>
      </w:r>
      <w:r w:rsidRPr="00FA1C5C">
        <w:t xml:space="preserve"> </w:t>
      </w:r>
      <w:r w:rsidRPr="00FA1C5C">
        <w:rPr>
          <w:lang w:val="en-US"/>
        </w:rPr>
        <w:tab/>
        <w:t>Judgment, para 7.</w:t>
      </w:r>
    </w:p>
  </w:footnote>
  <w:footnote w:id="6">
    <w:p w14:paraId="6E5351FB" w14:textId="3DAA6F55" w:rsidR="00A3533A" w:rsidRPr="00FA1C5C" w:rsidRDefault="00A3533A" w:rsidP="005866FE">
      <w:pPr>
        <w:pStyle w:val="FootnoteText"/>
        <w:ind w:left="567" w:hanging="567"/>
        <w:jc w:val="both"/>
        <w:rPr>
          <w:lang w:val="en-US"/>
        </w:rPr>
      </w:pPr>
      <w:r w:rsidRPr="00FA1C5C">
        <w:rPr>
          <w:rStyle w:val="FootnoteReference"/>
        </w:rPr>
        <w:footnoteRef/>
      </w:r>
      <w:r w:rsidRPr="00FA1C5C">
        <w:t xml:space="preserve"> </w:t>
      </w:r>
      <w:r w:rsidRPr="00FA1C5C">
        <w:rPr>
          <w:lang w:val="en-US"/>
        </w:rPr>
        <w:tab/>
        <w:t xml:space="preserve">See </w:t>
      </w:r>
      <w:r w:rsidR="00A506AF" w:rsidRPr="00FA1C5C">
        <w:t xml:space="preserve">Odendaal </w:t>
      </w:r>
      <w:r w:rsidRPr="00FA1C5C">
        <w:rPr>
          <w:lang w:val="en-US"/>
        </w:rPr>
        <w:t>para [35], confirming that a buyer who has an opportunity to inspect the property before purchase will not generally have a claim in respect of patent defects.</w:t>
      </w:r>
    </w:p>
  </w:footnote>
  <w:footnote w:id="7">
    <w:p w14:paraId="699C20D7" w14:textId="6D961D3E" w:rsidR="00A506AF" w:rsidRPr="00FA1C5C" w:rsidRDefault="00A506AF" w:rsidP="005866FE">
      <w:pPr>
        <w:pStyle w:val="FootnoteText"/>
        <w:ind w:left="567" w:hanging="567"/>
        <w:jc w:val="both"/>
        <w:rPr>
          <w:lang w:val="en-US"/>
        </w:rPr>
      </w:pPr>
      <w:r w:rsidRPr="00FA1C5C">
        <w:rPr>
          <w:rStyle w:val="FootnoteReference"/>
        </w:rPr>
        <w:footnoteRef/>
      </w:r>
      <w:r w:rsidRPr="00FA1C5C">
        <w:t xml:space="preserve"> </w:t>
      </w:r>
      <w:r w:rsidRPr="00FA1C5C">
        <w:rPr>
          <w:lang w:val="en-US"/>
        </w:rPr>
        <w:tab/>
        <w:t xml:space="preserve">See </w:t>
      </w:r>
      <w:r w:rsidR="00E672AF" w:rsidRPr="00FA1C5C">
        <w:t xml:space="preserve">Odendaal </w:t>
      </w:r>
      <w:r w:rsidRPr="00FA1C5C">
        <w:t>para [</w:t>
      </w:r>
      <w:r w:rsidR="00E672AF" w:rsidRPr="00FA1C5C">
        <w:t>25</w:t>
      </w:r>
      <w:r w:rsidRPr="00FA1C5C">
        <w:t>]</w:t>
      </w:r>
      <w:r w:rsidR="00E672AF" w:rsidRPr="00FA1C5C">
        <w:t xml:space="preserve">; Dibley v Furter </w:t>
      </w:r>
      <w:r w:rsidR="00E672AF" w:rsidRPr="00FA1C5C">
        <w:rPr>
          <w:rFonts w:eastAsiaTheme="majorEastAsia"/>
        </w:rPr>
        <w:t>1951 (4) SA 73 (C)</w:t>
      </w:r>
      <w:r w:rsidR="004F3E33" w:rsidRPr="00FA1C5C">
        <w:t xml:space="preserve"> </w:t>
      </w:r>
      <w:r w:rsidR="00E672AF" w:rsidRPr="00FA1C5C">
        <w:t>at 81A - 82E.</w:t>
      </w:r>
    </w:p>
  </w:footnote>
  <w:footnote w:id="8">
    <w:p w14:paraId="47F80C11" w14:textId="77777777" w:rsidR="00F67CF0" w:rsidRPr="00FA1C5C" w:rsidRDefault="00F67CF0" w:rsidP="005866FE">
      <w:pPr>
        <w:pStyle w:val="FootnoteText"/>
        <w:ind w:left="567" w:hanging="567"/>
        <w:jc w:val="both"/>
        <w:rPr>
          <w:lang w:val="en-US"/>
        </w:rPr>
      </w:pPr>
      <w:r w:rsidRPr="00FA1C5C">
        <w:rPr>
          <w:rStyle w:val="FootnoteReference"/>
        </w:rPr>
        <w:footnoteRef/>
      </w:r>
      <w:r w:rsidRPr="00FA1C5C">
        <w:t xml:space="preserve"> </w:t>
      </w:r>
      <w:r w:rsidRPr="00FA1C5C">
        <w:rPr>
          <w:lang w:val="en-US"/>
        </w:rPr>
        <w:tab/>
        <w:t xml:space="preserve">In particular, they did not agree on whether the downstairs guest bedroom, open plan lounge, TV room and kitchen were affected by unacceptable levels of damp. They also disagreed on whether the damage to the bamboo flooring adjacent to the balcony was caused by the balcony leak – but the respondent excluded the repairs to the bamboo floor from her claim and so this issue was irrelevant. </w:t>
      </w:r>
    </w:p>
  </w:footnote>
  <w:footnote w:id="9">
    <w:p w14:paraId="083A8D02" w14:textId="6AFC9189" w:rsidR="00725611" w:rsidRPr="00FA1C5C" w:rsidRDefault="00725611" w:rsidP="005866FE">
      <w:pPr>
        <w:pStyle w:val="FootnoteText"/>
        <w:ind w:left="567" w:hanging="567"/>
        <w:jc w:val="both"/>
        <w:rPr>
          <w:lang w:val="en-US"/>
        </w:rPr>
      </w:pPr>
      <w:r w:rsidRPr="00FA1C5C">
        <w:rPr>
          <w:rStyle w:val="FootnoteReference"/>
        </w:rPr>
        <w:footnoteRef/>
      </w:r>
      <w:r w:rsidRPr="00FA1C5C">
        <w:t xml:space="preserve"> </w:t>
      </w:r>
      <w:r w:rsidRPr="00FA1C5C">
        <w:rPr>
          <w:lang w:val="en-US"/>
        </w:rPr>
        <w:tab/>
        <w:t>Odendaal para [29]</w:t>
      </w:r>
    </w:p>
  </w:footnote>
  <w:footnote w:id="10">
    <w:p w14:paraId="4D3755AE" w14:textId="5A9D4FB4" w:rsidR="00725611" w:rsidRPr="00FA1C5C" w:rsidRDefault="00725611" w:rsidP="005866FE">
      <w:pPr>
        <w:pStyle w:val="FootnoteText"/>
        <w:ind w:left="567" w:hanging="567"/>
        <w:jc w:val="both"/>
        <w:rPr>
          <w:lang w:val="en-US"/>
        </w:rPr>
      </w:pPr>
      <w:r w:rsidRPr="00FA1C5C">
        <w:rPr>
          <w:rStyle w:val="FootnoteReference"/>
        </w:rPr>
        <w:footnoteRef/>
      </w:r>
      <w:r w:rsidRPr="00FA1C5C">
        <w:t xml:space="preserve"> </w:t>
      </w:r>
      <w:r w:rsidRPr="00FA1C5C">
        <w:rPr>
          <w:lang w:val="en-US"/>
        </w:rPr>
        <w:tab/>
        <w:t>Banda para [11] and the cases cited therein.</w:t>
      </w:r>
    </w:p>
  </w:footnote>
  <w:footnote w:id="11">
    <w:p w14:paraId="23B20BC3" w14:textId="451ABFBB" w:rsidR="005C7401" w:rsidRPr="00FA1C5C" w:rsidRDefault="005C7401" w:rsidP="005866FE">
      <w:pPr>
        <w:pStyle w:val="FootnoteText"/>
        <w:ind w:left="567" w:hanging="567"/>
        <w:jc w:val="both"/>
        <w:rPr>
          <w:lang w:val="en-US"/>
        </w:rPr>
      </w:pPr>
      <w:r w:rsidRPr="00FA1C5C">
        <w:rPr>
          <w:rStyle w:val="FootnoteReference"/>
        </w:rPr>
        <w:footnoteRef/>
      </w:r>
      <w:r w:rsidRPr="00FA1C5C">
        <w:t xml:space="preserve"> </w:t>
      </w:r>
      <w:r w:rsidRPr="00FA1C5C">
        <w:rPr>
          <w:lang w:val="en-US"/>
        </w:rPr>
        <w:tab/>
        <w:t>See, by analogy, Banda para [21]-[22]</w:t>
      </w:r>
    </w:p>
  </w:footnote>
  <w:footnote w:id="12">
    <w:p w14:paraId="37795FA8" w14:textId="16FEFA38" w:rsidR="005C7401" w:rsidRPr="00FA1C5C" w:rsidRDefault="005C7401" w:rsidP="005866FE">
      <w:pPr>
        <w:pStyle w:val="FootnoteText"/>
        <w:ind w:left="567" w:hanging="567"/>
        <w:jc w:val="both"/>
        <w:rPr>
          <w:lang w:val="en-US"/>
        </w:rPr>
      </w:pPr>
      <w:r w:rsidRPr="00FA1C5C">
        <w:rPr>
          <w:rStyle w:val="FootnoteReference"/>
        </w:rPr>
        <w:footnoteRef/>
      </w:r>
      <w:r w:rsidRPr="00FA1C5C">
        <w:t xml:space="preserve"> </w:t>
      </w:r>
      <w:r w:rsidRPr="00FA1C5C">
        <w:rPr>
          <w:lang w:val="en-US"/>
        </w:rPr>
        <w:tab/>
        <w:t>Banda para [24]</w:t>
      </w:r>
    </w:p>
  </w:footnote>
  <w:footnote w:id="13">
    <w:p w14:paraId="7612A6AB" w14:textId="02BF1285" w:rsidR="00A42653" w:rsidRPr="00FA1C5C" w:rsidRDefault="00A42653" w:rsidP="005866FE">
      <w:pPr>
        <w:pStyle w:val="FootnoteText"/>
        <w:ind w:left="567" w:hanging="567"/>
        <w:jc w:val="both"/>
        <w:rPr>
          <w:lang w:val="en-US"/>
        </w:rPr>
      </w:pPr>
      <w:r w:rsidRPr="00FA1C5C">
        <w:rPr>
          <w:rStyle w:val="FootnoteReference"/>
        </w:rPr>
        <w:footnoteRef/>
      </w:r>
      <w:r w:rsidRPr="00FA1C5C">
        <w:t xml:space="preserve"> </w:t>
      </w:r>
      <w:r w:rsidRPr="00FA1C5C">
        <w:rPr>
          <w:lang w:val="en-US"/>
        </w:rPr>
        <w:tab/>
        <w:t xml:space="preserve">Banda para [20], quoting </w:t>
      </w:r>
      <w:r w:rsidRPr="00FA1C5C">
        <w:t>R v Myers </w:t>
      </w:r>
      <w:r w:rsidRPr="00FA1C5C">
        <w:rPr>
          <w:rFonts w:eastAsiaTheme="majorEastAsia"/>
        </w:rPr>
        <w:t>1948 (1) SA 375 (A)</w:t>
      </w:r>
      <w:r w:rsidRPr="00FA1C5C">
        <w:t xml:space="preserve"> at 383.</w:t>
      </w:r>
    </w:p>
  </w:footnote>
  <w:footnote w:id="14">
    <w:p w14:paraId="326BCC63" w14:textId="39E8EDF2" w:rsidR="002C10F0" w:rsidRPr="00FA1C5C" w:rsidRDefault="002C10F0" w:rsidP="005866FE">
      <w:pPr>
        <w:pStyle w:val="FootnoteText"/>
        <w:ind w:left="567" w:hanging="567"/>
        <w:jc w:val="both"/>
        <w:rPr>
          <w:lang w:val="en-US"/>
        </w:rPr>
      </w:pPr>
      <w:r w:rsidRPr="00FA1C5C">
        <w:rPr>
          <w:rStyle w:val="FootnoteReference"/>
        </w:rPr>
        <w:footnoteRef/>
      </w:r>
      <w:r w:rsidRPr="00FA1C5C">
        <w:t xml:space="preserve"> </w:t>
      </w:r>
      <w:r w:rsidRPr="00FA1C5C">
        <w:rPr>
          <w:lang w:val="en-US"/>
        </w:rPr>
        <w:tab/>
        <w:t xml:space="preserve">Odendaal para [29] citing </w:t>
      </w:r>
      <w:r w:rsidRPr="00FA1C5C">
        <w:t xml:space="preserve">Christie </w:t>
      </w:r>
      <w:r w:rsidRPr="005866FE">
        <w:rPr>
          <w:u w:val="single"/>
        </w:rPr>
        <w:t>The Law of Contract in South Africa</w:t>
      </w:r>
      <w:r w:rsidRPr="00FA1C5C">
        <w:t xml:space="preserve"> 5 ed (2006) at p 295; Van Der Merwe v Meades </w:t>
      </w:r>
      <w:r w:rsidRPr="00FA1C5C">
        <w:rPr>
          <w:rFonts w:eastAsiaTheme="majorEastAsia"/>
        </w:rPr>
        <w:t>1991 (2) SA 1 (A)</w:t>
      </w:r>
      <w:r w:rsidRPr="00FA1C5C">
        <w:t xml:space="preserve"> at 8E-F.</w:t>
      </w:r>
    </w:p>
  </w:footnote>
  <w:footnote w:id="15">
    <w:p w14:paraId="50E2E829" w14:textId="0BEE7570" w:rsidR="00FA1C5C" w:rsidRPr="00FA1C5C" w:rsidRDefault="00FA1C5C" w:rsidP="005866FE">
      <w:pPr>
        <w:pStyle w:val="FootnoteText"/>
        <w:ind w:left="567" w:hanging="567"/>
        <w:jc w:val="both"/>
        <w:rPr>
          <w:lang w:val="en-US"/>
        </w:rPr>
      </w:pPr>
      <w:r w:rsidRPr="00FA1C5C">
        <w:rPr>
          <w:rStyle w:val="FootnoteReference"/>
        </w:rPr>
        <w:footnoteRef/>
      </w:r>
      <w:r w:rsidRPr="00FA1C5C">
        <w:t xml:space="preserve"> </w:t>
      </w:r>
      <w:r w:rsidRPr="00FA1C5C">
        <w:rPr>
          <w:lang w:val="en-US"/>
        </w:rPr>
        <w:tab/>
        <w:t xml:space="preserve">Banda para [25], citing </w:t>
      </w:r>
      <w:r w:rsidRPr="00FA1C5C">
        <w:t>Labuschagne Broers v Spring Farm (Pty) Ltd </w:t>
      </w:r>
      <w:r w:rsidRPr="00FA1C5C">
        <w:rPr>
          <w:rFonts w:eastAsiaTheme="majorEastAsia"/>
        </w:rPr>
        <w:t>1976 (2) SA 824 (T)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80879"/>
    <w:multiLevelType w:val="multilevel"/>
    <w:tmpl w:val="DBC6C680"/>
    <w:lvl w:ilvl="0">
      <w:start w:val="1"/>
      <w:numFmt w:val="decimal"/>
      <w:lvlText w:val="[%1]"/>
      <w:lvlJc w:val="left"/>
      <w:pPr>
        <w:tabs>
          <w:tab w:val="num" w:pos="680"/>
        </w:tabs>
        <w:ind w:left="680" w:hanging="680"/>
      </w:pPr>
      <w:rPr>
        <w:rFonts w:hint="default"/>
        <w:b w:val="0"/>
        <w:bCs w:val="0"/>
        <w:i w:val="0"/>
      </w:rPr>
    </w:lvl>
    <w:lvl w:ilvl="1">
      <w:start w:val="1"/>
      <w:numFmt w:val="decimal"/>
      <w:lvlText w:val="[%1.%2]"/>
      <w:lvlJc w:val="left"/>
      <w:pPr>
        <w:tabs>
          <w:tab w:val="num" w:pos="1361"/>
        </w:tabs>
        <w:ind w:left="1361" w:hanging="68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BD17F80"/>
    <w:multiLevelType w:val="multilevel"/>
    <w:tmpl w:val="E462305A"/>
    <w:lvl w:ilvl="0">
      <w:start w:val="1"/>
      <w:numFmt w:val="decimal"/>
      <w:lvlText w:val="[%1]"/>
      <w:lvlJc w:val="left"/>
      <w:pPr>
        <w:tabs>
          <w:tab w:val="num" w:pos="680"/>
        </w:tabs>
        <w:ind w:left="680" w:hanging="680"/>
      </w:pPr>
      <w:rPr>
        <w:rFonts w:hint="default"/>
        <w:i w:val="0"/>
      </w:rPr>
    </w:lvl>
    <w:lvl w:ilvl="1">
      <w:start w:val="1"/>
      <w:numFmt w:val="decimal"/>
      <w:lvlText w:val="[%1.%2]"/>
      <w:lvlJc w:val="left"/>
      <w:pPr>
        <w:tabs>
          <w:tab w:val="num" w:pos="1361"/>
        </w:tabs>
        <w:ind w:left="1361" w:hanging="68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azMDA0MjA0MzEzMDZQ0lEKTi0uzszPAykwrAUAuh4rNSwAAAA="/>
  </w:docVars>
  <w:rsids>
    <w:rsidRoot w:val="00D67936"/>
    <w:rsid w:val="00001ED0"/>
    <w:rsid w:val="00006348"/>
    <w:rsid w:val="000605A8"/>
    <w:rsid w:val="00097950"/>
    <w:rsid w:val="000A0C98"/>
    <w:rsid w:val="000A60D4"/>
    <w:rsid w:val="000A7AB7"/>
    <w:rsid w:val="00102987"/>
    <w:rsid w:val="00115068"/>
    <w:rsid w:val="00151035"/>
    <w:rsid w:val="00156432"/>
    <w:rsid w:val="00163861"/>
    <w:rsid w:val="00200218"/>
    <w:rsid w:val="00236D4A"/>
    <w:rsid w:val="00283CFC"/>
    <w:rsid w:val="002C10F0"/>
    <w:rsid w:val="002C6490"/>
    <w:rsid w:val="00303C9C"/>
    <w:rsid w:val="00325024"/>
    <w:rsid w:val="00351BD5"/>
    <w:rsid w:val="00370BDF"/>
    <w:rsid w:val="003918E1"/>
    <w:rsid w:val="003936E0"/>
    <w:rsid w:val="003D7A4B"/>
    <w:rsid w:val="003F26DE"/>
    <w:rsid w:val="003F4E46"/>
    <w:rsid w:val="0040177B"/>
    <w:rsid w:val="0041032F"/>
    <w:rsid w:val="004A26E3"/>
    <w:rsid w:val="004C52F4"/>
    <w:rsid w:val="004F3E33"/>
    <w:rsid w:val="0053364F"/>
    <w:rsid w:val="005353BC"/>
    <w:rsid w:val="00542DB6"/>
    <w:rsid w:val="00557860"/>
    <w:rsid w:val="00562CE8"/>
    <w:rsid w:val="00571508"/>
    <w:rsid w:val="00571A5D"/>
    <w:rsid w:val="005866FE"/>
    <w:rsid w:val="005A3A52"/>
    <w:rsid w:val="005A7909"/>
    <w:rsid w:val="005C7401"/>
    <w:rsid w:val="005E3640"/>
    <w:rsid w:val="006121A5"/>
    <w:rsid w:val="006956FF"/>
    <w:rsid w:val="006B4F6A"/>
    <w:rsid w:val="006B6F6B"/>
    <w:rsid w:val="006D267C"/>
    <w:rsid w:val="006E0BDE"/>
    <w:rsid w:val="00725611"/>
    <w:rsid w:val="0078224F"/>
    <w:rsid w:val="00786566"/>
    <w:rsid w:val="007A13FA"/>
    <w:rsid w:val="008058BA"/>
    <w:rsid w:val="008206DF"/>
    <w:rsid w:val="0083155A"/>
    <w:rsid w:val="00835971"/>
    <w:rsid w:val="00845473"/>
    <w:rsid w:val="008764E3"/>
    <w:rsid w:val="00890869"/>
    <w:rsid w:val="008C7ECA"/>
    <w:rsid w:val="008D07BF"/>
    <w:rsid w:val="008D7A51"/>
    <w:rsid w:val="008F0F1E"/>
    <w:rsid w:val="008F2406"/>
    <w:rsid w:val="009117F8"/>
    <w:rsid w:val="00942A6D"/>
    <w:rsid w:val="009479AA"/>
    <w:rsid w:val="00951CBC"/>
    <w:rsid w:val="0096105B"/>
    <w:rsid w:val="0097044B"/>
    <w:rsid w:val="00991D13"/>
    <w:rsid w:val="009A1522"/>
    <w:rsid w:val="009D3401"/>
    <w:rsid w:val="009D6948"/>
    <w:rsid w:val="009F2EA5"/>
    <w:rsid w:val="00A3533A"/>
    <w:rsid w:val="00A42653"/>
    <w:rsid w:val="00A506AF"/>
    <w:rsid w:val="00B0173D"/>
    <w:rsid w:val="00B17CF3"/>
    <w:rsid w:val="00B3699A"/>
    <w:rsid w:val="00B83B42"/>
    <w:rsid w:val="00B846ED"/>
    <w:rsid w:val="00C0112C"/>
    <w:rsid w:val="00CF7142"/>
    <w:rsid w:val="00D651A7"/>
    <w:rsid w:val="00D67936"/>
    <w:rsid w:val="00DB69C0"/>
    <w:rsid w:val="00DC60C8"/>
    <w:rsid w:val="00DD1DBD"/>
    <w:rsid w:val="00DE6731"/>
    <w:rsid w:val="00DF4DF2"/>
    <w:rsid w:val="00E46FBA"/>
    <w:rsid w:val="00E55D0A"/>
    <w:rsid w:val="00E672AF"/>
    <w:rsid w:val="00EB37DC"/>
    <w:rsid w:val="00EF19D0"/>
    <w:rsid w:val="00F67CF0"/>
    <w:rsid w:val="00F73DF6"/>
    <w:rsid w:val="00FA1C5C"/>
    <w:rsid w:val="00FC6D69"/>
    <w:rsid w:val="00FD7FFA"/>
    <w:rsid w:val="00FE68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37E85"/>
  <w15:chartTrackingRefBased/>
  <w15:docId w15:val="{96B0685A-487D-974C-9BBA-95ECD408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936"/>
    <w:rPr>
      <w:rFonts w:ascii="Arial" w:eastAsia="Times New Roman" w:hAnsi="Arial" w:cs="Times New Roman"/>
      <w:kern w:val="28"/>
      <w:lang w:eastAsia="en-GB"/>
      <w14:ligatures w14:val="none"/>
    </w:rPr>
  </w:style>
  <w:style w:type="paragraph" w:styleId="Heading1">
    <w:name w:val="heading 1"/>
    <w:basedOn w:val="Normal"/>
    <w:next w:val="Normal"/>
    <w:link w:val="Heading1Char"/>
    <w:uiPriority w:val="9"/>
    <w:qFormat/>
    <w:rsid w:val="00D679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679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6793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6793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6793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6793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6793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6793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6793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93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679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6793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6793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6793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679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679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679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67936"/>
    <w:rPr>
      <w:rFonts w:eastAsiaTheme="majorEastAsia" w:cstheme="majorBidi"/>
      <w:color w:val="272727" w:themeColor="text1" w:themeTint="D8"/>
    </w:rPr>
  </w:style>
  <w:style w:type="paragraph" w:styleId="Title">
    <w:name w:val="Title"/>
    <w:basedOn w:val="Normal"/>
    <w:next w:val="Normal"/>
    <w:link w:val="TitleChar"/>
    <w:uiPriority w:val="10"/>
    <w:qFormat/>
    <w:rsid w:val="00D67936"/>
    <w:pPr>
      <w:spacing w:after="80"/>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D679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6793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679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6793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67936"/>
    <w:rPr>
      <w:i/>
      <w:iCs/>
      <w:color w:val="404040" w:themeColor="text1" w:themeTint="BF"/>
    </w:rPr>
  </w:style>
  <w:style w:type="paragraph" w:styleId="ListParagraph">
    <w:name w:val="List Paragraph"/>
    <w:basedOn w:val="Normal"/>
    <w:link w:val="ListParagraphChar"/>
    <w:uiPriority w:val="34"/>
    <w:qFormat/>
    <w:rsid w:val="00D67936"/>
    <w:pPr>
      <w:ind w:left="720"/>
      <w:contextualSpacing/>
    </w:pPr>
  </w:style>
  <w:style w:type="character" w:styleId="IntenseEmphasis">
    <w:name w:val="Intense Emphasis"/>
    <w:basedOn w:val="DefaultParagraphFont"/>
    <w:uiPriority w:val="21"/>
    <w:qFormat/>
    <w:rsid w:val="00D67936"/>
    <w:rPr>
      <w:i/>
      <w:iCs/>
      <w:color w:val="0F4761" w:themeColor="accent1" w:themeShade="BF"/>
    </w:rPr>
  </w:style>
  <w:style w:type="paragraph" w:styleId="IntenseQuote">
    <w:name w:val="Intense Quote"/>
    <w:basedOn w:val="Normal"/>
    <w:next w:val="Normal"/>
    <w:link w:val="IntenseQuoteChar"/>
    <w:uiPriority w:val="30"/>
    <w:qFormat/>
    <w:rsid w:val="00D679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67936"/>
    <w:rPr>
      <w:i/>
      <w:iCs/>
      <w:color w:val="0F4761" w:themeColor="accent1" w:themeShade="BF"/>
    </w:rPr>
  </w:style>
  <w:style w:type="character" w:styleId="IntenseReference">
    <w:name w:val="Intense Reference"/>
    <w:basedOn w:val="DefaultParagraphFont"/>
    <w:uiPriority w:val="32"/>
    <w:qFormat/>
    <w:rsid w:val="00D67936"/>
    <w:rPr>
      <w:b/>
      <w:bCs/>
      <w:smallCaps/>
      <w:color w:val="0F4761" w:themeColor="accent1" w:themeShade="BF"/>
      <w:spacing w:val="5"/>
    </w:rPr>
  </w:style>
  <w:style w:type="paragraph" w:customStyle="1" w:styleId="Tramlines">
    <w:name w:val="Tramlines"/>
    <w:basedOn w:val="Normal"/>
    <w:next w:val="Normal"/>
    <w:rsid w:val="00D67936"/>
    <w:pPr>
      <w:widowControl w:val="0"/>
      <w:pBdr>
        <w:top w:val="single" w:sz="4" w:space="12" w:color="auto"/>
        <w:bottom w:val="single" w:sz="4" w:space="12" w:color="auto"/>
      </w:pBdr>
      <w:jc w:val="center"/>
    </w:pPr>
    <w:rPr>
      <w:b/>
      <w:kern w:val="0"/>
      <w:lang w:eastAsia="en-US"/>
    </w:rPr>
  </w:style>
  <w:style w:type="paragraph" w:customStyle="1" w:styleId="level1">
    <w:name w:val="level1"/>
    <w:basedOn w:val="Normal"/>
    <w:rsid w:val="00D67936"/>
  </w:style>
  <w:style w:type="paragraph" w:styleId="FootnoteText">
    <w:name w:val="footnote text"/>
    <w:basedOn w:val="Normal"/>
    <w:link w:val="FootnoteTextChar"/>
    <w:uiPriority w:val="99"/>
    <w:semiHidden/>
    <w:unhideWhenUsed/>
    <w:rsid w:val="00006348"/>
    <w:rPr>
      <w:sz w:val="20"/>
      <w:szCs w:val="20"/>
    </w:rPr>
  </w:style>
  <w:style w:type="character" w:customStyle="1" w:styleId="FootnoteTextChar">
    <w:name w:val="Footnote Text Char"/>
    <w:basedOn w:val="DefaultParagraphFont"/>
    <w:link w:val="FootnoteText"/>
    <w:uiPriority w:val="99"/>
    <w:semiHidden/>
    <w:rsid w:val="00006348"/>
    <w:rPr>
      <w:rFonts w:ascii="Arial" w:eastAsia="Times New Roman" w:hAnsi="Arial" w:cs="Times New Roman"/>
      <w:kern w:val="28"/>
      <w:sz w:val="20"/>
      <w:szCs w:val="20"/>
      <w:lang w:eastAsia="en-GB"/>
      <w14:ligatures w14:val="none"/>
    </w:rPr>
  </w:style>
  <w:style w:type="character" w:styleId="FootnoteReference">
    <w:name w:val="footnote reference"/>
    <w:basedOn w:val="DefaultParagraphFont"/>
    <w:uiPriority w:val="99"/>
    <w:semiHidden/>
    <w:unhideWhenUsed/>
    <w:rsid w:val="00006348"/>
    <w:rPr>
      <w:vertAlign w:val="superscript"/>
    </w:rPr>
  </w:style>
  <w:style w:type="character" w:styleId="Hyperlink">
    <w:name w:val="Hyperlink"/>
    <w:basedOn w:val="DefaultParagraphFont"/>
    <w:uiPriority w:val="99"/>
    <w:semiHidden/>
    <w:unhideWhenUsed/>
    <w:rsid w:val="00E672AF"/>
    <w:rPr>
      <w:color w:val="0000FF"/>
      <w:u w:val="single"/>
    </w:rPr>
  </w:style>
  <w:style w:type="character" w:customStyle="1" w:styleId="mc">
    <w:name w:val="mc"/>
    <w:basedOn w:val="DefaultParagraphFont"/>
    <w:rsid w:val="002C10F0"/>
  </w:style>
  <w:style w:type="character" w:customStyle="1" w:styleId="ListParagraphChar">
    <w:name w:val="List Paragraph Char"/>
    <w:basedOn w:val="DefaultParagraphFont"/>
    <w:link w:val="ListParagraph"/>
    <w:uiPriority w:val="34"/>
    <w:rsid w:val="005866FE"/>
    <w:rPr>
      <w:rFonts w:ascii="Arial" w:eastAsia="Times New Roman" w:hAnsi="Arial" w:cs="Times New Roman"/>
      <w:kern w:val="28"/>
      <w:lang w:eastAsia="en-GB"/>
      <w14:ligatures w14:val="none"/>
    </w:rPr>
  </w:style>
  <w:style w:type="paragraph" w:styleId="Footer">
    <w:name w:val="footer"/>
    <w:basedOn w:val="Normal"/>
    <w:link w:val="FooterChar"/>
    <w:uiPriority w:val="99"/>
    <w:unhideWhenUsed/>
    <w:rsid w:val="00FD7FFA"/>
    <w:pPr>
      <w:tabs>
        <w:tab w:val="center" w:pos="4513"/>
        <w:tab w:val="right" w:pos="9026"/>
      </w:tabs>
    </w:pPr>
  </w:style>
  <w:style w:type="character" w:customStyle="1" w:styleId="FooterChar">
    <w:name w:val="Footer Char"/>
    <w:basedOn w:val="DefaultParagraphFont"/>
    <w:link w:val="Footer"/>
    <w:uiPriority w:val="99"/>
    <w:rsid w:val="00FD7FFA"/>
    <w:rPr>
      <w:rFonts w:ascii="Arial" w:eastAsia="Times New Roman" w:hAnsi="Arial" w:cs="Times New Roman"/>
      <w:kern w:val="28"/>
      <w:lang w:eastAsia="en-GB"/>
      <w14:ligatures w14:val="none"/>
    </w:rPr>
  </w:style>
  <w:style w:type="character" w:styleId="PageNumber">
    <w:name w:val="page number"/>
    <w:basedOn w:val="DefaultParagraphFont"/>
    <w:uiPriority w:val="99"/>
    <w:semiHidden/>
    <w:unhideWhenUsed/>
    <w:rsid w:val="00FD7FFA"/>
  </w:style>
  <w:style w:type="character" w:styleId="CommentReference">
    <w:name w:val="annotation reference"/>
    <w:basedOn w:val="DefaultParagraphFont"/>
    <w:uiPriority w:val="99"/>
    <w:semiHidden/>
    <w:unhideWhenUsed/>
    <w:rsid w:val="00DF4DF2"/>
    <w:rPr>
      <w:sz w:val="16"/>
      <w:szCs w:val="16"/>
    </w:rPr>
  </w:style>
  <w:style w:type="paragraph" w:styleId="CommentText">
    <w:name w:val="annotation text"/>
    <w:basedOn w:val="Normal"/>
    <w:link w:val="CommentTextChar"/>
    <w:uiPriority w:val="99"/>
    <w:semiHidden/>
    <w:unhideWhenUsed/>
    <w:rsid w:val="00DF4DF2"/>
    <w:rPr>
      <w:sz w:val="20"/>
      <w:szCs w:val="20"/>
    </w:rPr>
  </w:style>
  <w:style w:type="character" w:customStyle="1" w:styleId="CommentTextChar">
    <w:name w:val="Comment Text Char"/>
    <w:basedOn w:val="DefaultParagraphFont"/>
    <w:link w:val="CommentText"/>
    <w:uiPriority w:val="99"/>
    <w:semiHidden/>
    <w:rsid w:val="00DF4DF2"/>
    <w:rPr>
      <w:rFonts w:ascii="Arial" w:eastAsia="Times New Roman" w:hAnsi="Arial" w:cs="Times New Roman"/>
      <w:kern w:val="28"/>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DF4DF2"/>
    <w:rPr>
      <w:b/>
      <w:bCs/>
    </w:rPr>
  </w:style>
  <w:style w:type="character" w:customStyle="1" w:styleId="CommentSubjectChar">
    <w:name w:val="Comment Subject Char"/>
    <w:basedOn w:val="CommentTextChar"/>
    <w:link w:val="CommentSubject"/>
    <w:uiPriority w:val="99"/>
    <w:semiHidden/>
    <w:rsid w:val="00DF4DF2"/>
    <w:rPr>
      <w:rFonts w:ascii="Arial" w:eastAsia="Times New Roman" w:hAnsi="Arial" w:cs="Times New Roman"/>
      <w:b/>
      <w:bCs/>
      <w:kern w:val="28"/>
      <w:sz w:val="20"/>
      <w:szCs w:val="20"/>
      <w:lang w:eastAsia="en-GB"/>
      <w14:ligatures w14:val="none"/>
    </w:rPr>
  </w:style>
  <w:style w:type="paragraph" w:styleId="BalloonText">
    <w:name w:val="Balloon Text"/>
    <w:basedOn w:val="Normal"/>
    <w:link w:val="BalloonTextChar"/>
    <w:uiPriority w:val="99"/>
    <w:semiHidden/>
    <w:unhideWhenUsed/>
    <w:rsid w:val="00DF4D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DF2"/>
    <w:rPr>
      <w:rFonts w:ascii="Segoe UI" w:eastAsia="Times New Roman" w:hAnsi="Segoe UI" w:cs="Segoe UI"/>
      <w:kern w:val="28"/>
      <w:sz w:val="18"/>
      <w:szCs w:val="18"/>
      <w:lang w:eastAsia="en-GB"/>
      <w14:ligatures w14:val="none"/>
    </w:rPr>
  </w:style>
  <w:style w:type="paragraph" w:styleId="Revision">
    <w:name w:val="Revision"/>
    <w:hidden/>
    <w:uiPriority w:val="99"/>
    <w:semiHidden/>
    <w:rsid w:val="00351BD5"/>
    <w:rPr>
      <w:rFonts w:ascii="Arial" w:eastAsia="Times New Roman" w:hAnsi="Arial" w:cs="Times New Roman"/>
      <w:kern w:val="28"/>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092FA-6333-4F42-8DE7-451F9B425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4095</Words>
  <Characters>23345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Goodman</dc:creator>
  <cp:keywords/>
  <dc:description/>
  <cp:lastModifiedBy>Sathish</cp:lastModifiedBy>
  <cp:revision>3</cp:revision>
  <dcterms:created xsi:type="dcterms:W3CDTF">2024-02-29T11:42:00Z</dcterms:created>
  <dcterms:modified xsi:type="dcterms:W3CDTF">2024-02-29T13:35:00Z</dcterms:modified>
</cp:coreProperties>
</file>