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54564" w14:textId="77777777" w:rsidR="00734ADD" w:rsidRPr="001D363C" w:rsidRDefault="00734ADD" w:rsidP="00476A69">
      <w:pPr>
        <w:spacing w:line="276" w:lineRule="auto"/>
        <w:jc w:val="center"/>
        <w:rPr>
          <w:rFonts w:ascii="Arial" w:hAnsi="Arial" w:cs="Arial"/>
          <w:b/>
          <w:szCs w:val="24"/>
          <w:lang w:val="en-GB"/>
        </w:rPr>
      </w:pPr>
      <w:bookmarkStart w:id="0" w:name="_GoBack"/>
      <w:r w:rsidRPr="001D363C">
        <w:rPr>
          <w:rFonts w:ascii="Arial" w:hAnsi="Arial" w:cs="Arial"/>
          <w:b/>
          <w:szCs w:val="24"/>
          <w:lang w:val="en-GB"/>
        </w:rPr>
        <w:t>REPUBLIC OF SOUTH AFRICA</w:t>
      </w:r>
    </w:p>
    <w:p w14:paraId="44E3CBD1" w14:textId="6CD11520" w:rsidR="00734ADD" w:rsidRPr="001D363C" w:rsidRDefault="009128BB" w:rsidP="00476A69">
      <w:pPr>
        <w:spacing w:line="276" w:lineRule="auto"/>
        <w:jc w:val="center"/>
        <w:rPr>
          <w:rFonts w:ascii="Arial" w:hAnsi="Arial" w:cs="Arial"/>
          <w:b/>
          <w:color w:val="000000"/>
          <w:szCs w:val="24"/>
          <w:lang w:val="en-GB"/>
        </w:rPr>
      </w:pPr>
      <w:r>
        <w:rPr>
          <w:rFonts w:ascii="Arial" w:hAnsi="Arial" w:cs="Arial"/>
          <w:b/>
          <w:noProof/>
          <w:szCs w:val="24"/>
        </w:rPr>
        <w:drawing>
          <wp:inline distT="0" distB="0" distL="0" distR="0" wp14:anchorId="540005F4" wp14:editId="3402DC7A">
            <wp:extent cx="1122680" cy="112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p w14:paraId="720EFD7F" w14:textId="77777777" w:rsidR="00734ADD" w:rsidRPr="001D363C" w:rsidRDefault="00734ADD" w:rsidP="00476A69">
      <w:pPr>
        <w:spacing w:line="276" w:lineRule="auto"/>
        <w:jc w:val="center"/>
        <w:rPr>
          <w:rFonts w:ascii="Arial" w:hAnsi="Arial" w:cs="Arial"/>
          <w:b/>
          <w:szCs w:val="24"/>
          <w:lang w:val="en-GB"/>
        </w:rPr>
      </w:pPr>
      <w:r w:rsidRPr="001D363C">
        <w:rPr>
          <w:rFonts w:ascii="Arial" w:hAnsi="Arial" w:cs="Arial"/>
          <w:b/>
          <w:szCs w:val="24"/>
          <w:lang w:val="en-GB"/>
        </w:rPr>
        <w:t>IN THE HIGH COURT OF SOUTH AFRICA</w:t>
      </w:r>
    </w:p>
    <w:p w14:paraId="441FD28B" w14:textId="05CBC041" w:rsidR="00734ADD" w:rsidRDefault="00734ADD" w:rsidP="00476A69">
      <w:pPr>
        <w:spacing w:line="276" w:lineRule="auto"/>
        <w:jc w:val="center"/>
        <w:rPr>
          <w:rFonts w:ascii="Arial" w:hAnsi="Arial" w:cs="Arial"/>
          <w:b/>
          <w:szCs w:val="24"/>
          <w:lang w:val="en-GB"/>
        </w:rPr>
      </w:pPr>
      <w:r w:rsidRPr="001D363C">
        <w:rPr>
          <w:rFonts w:ascii="Arial" w:hAnsi="Arial" w:cs="Arial"/>
          <w:b/>
          <w:szCs w:val="24"/>
          <w:lang w:val="en-GB"/>
        </w:rPr>
        <w:t>GAUTENG DIVISION, JOHANNESBURG</w:t>
      </w:r>
    </w:p>
    <w:p w14:paraId="749B2A1E" w14:textId="77777777" w:rsidR="00A03B14" w:rsidRPr="001D363C" w:rsidRDefault="00A03B14" w:rsidP="00476A69">
      <w:pPr>
        <w:spacing w:line="276" w:lineRule="auto"/>
        <w:jc w:val="center"/>
        <w:rPr>
          <w:rFonts w:ascii="Arial" w:hAnsi="Arial" w:cs="Arial"/>
          <w:b/>
          <w:szCs w:val="24"/>
          <w:lang w:val="en-GB" w:eastAsia="en-ZA"/>
        </w:rPr>
      </w:pPr>
    </w:p>
    <w:p w14:paraId="6E679A8F" w14:textId="17FDDD47" w:rsidR="00A03B14" w:rsidRDefault="00A03B14" w:rsidP="00476A69">
      <w:pPr>
        <w:spacing w:line="276" w:lineRule="auto"/>
        <w:jc w:val="right"/>
        <w:rPr>
          <w:rFonts w:ascii="Arial" w:hAnsi="Arial" w:cs="Arial"/>
          <w:b/>
          <w:bCs/>
          <w:sz w:val="25"/>
          <w:u w:val="single"/>
        </w:rPr>
      </w:pPr>
      <w:r w:rsidRPr="004A6139">
        <w:rPr>
          <w:rFonts w:ascii="Arial" w:hAnsi="Arial" w:cs="Arial"/>
          <w:b/>
          <w:sz w:val="25"/>
        </w:rPr>
        <w:t>CASE NUMBER</w:t>
      </w:r>
      <w:r>
        <w:rPr>
          <w:rFonts w:ascii="Arial" w:hAnsi="Arial" w:cs="Arial"/>
          <w:b/>
          <w:sz w:val="25"/>
        </w:rPr>
        <w:t>S</w:t>
      </w:r>
      <w:r w:rsidRPr="004A6139">
        <w:rPr>
          <w:rFonts w:ascii="Arial" w:hAnsi="Arial" w:cs="Arial"/>
          <w:b/>
          <w:sz w:val="25"/>
        </w:rPr>
        <w:t xml:space="preserve">: </w:t>
      </w:r>
      <w:r w:rsidRPr="004A6139">
        <w:rPr>
          <w:rFonts w:ascii="Arial" w:hAnsi="Arial" w:cs="Arial"/>
          <w:b/>
          <w:sz w:val="25"/>
          <w:u w:val="single"/>
        </w:rPr>
        <w:t>2014/</w:t>
      </w:r>
      <w:r w:rsidRPr="004A6139">
        <w:rPr>
          <w:rFonts w:ascii="Arial" w:hAnsi="Arial" w:cs="Arial"/>
          <w:b/>
          <w:bCs/>
          <w:sz w:val="25"/>
          <w:u w:val="single"/>
        </w:rPr>
        <w:t>40058</w:t>
      </w:r>
    </w:p>
    <w:p w14:paraId="4F100B02" w14:textId="534BD891" w:rsidR="00A03B14" w:rsidRDefault="00A03B14" w:rsidP="00476A69">
      <w:pPr>
        <w:spacing w:line="276" w:lineRule="auto"/>
        <w:jc w:val="right"/>
        <w:rPr>
          <w:rFonts w:ascii="Arial" w:hAnsi="Arial" w:cs="Arial"/>
          <w:b/>
          <w:bCs/>
          <w:sz w:val="25"/>
          <w:u w:val="single"/>
        </w:rPr>
      </w:pPr>
      <w:r w:rsidRPr="004A6139">
        <w:rPr>
          <w:rFonts w:ascii="Arial" w:hAnsi="Arial" w:cs="Arial"/>
          <w:b/>
          <w:bCs/>
          <w:u w:val="single"/>
          <w:lang w:val="en-GB"/>
        </w:rPr>
        <w:t>2014/40054</w:t>
      </w:r>
    </w:p>
    <w:p w14:paraId="24469FBD" w14:textId="1FC015A9" w:rsidR="00A03B14" w:rsidRDefault="00A03B14" w:rsidP="00476A69">
      <w:pPr>
        <w:spacing w:line="276" w:lineRule="auto"/>
        <w:jc w:val="right"/>
        <w:rPr>
          <w:rFonts w:ascii="Arial" w:hAnsi="Arial" w:cs="Arial"/>
          <w:b/>
          <w:bCs/>
          <w:sz w:val="25"/>
          <w:u w:val="single"/>
        </w:rPr>
      </w:pPr>
      <w:r>
        <w:rPr>
          <w:rFonts w:ascii="Arial" w:hAnsi="Arial" w:cs="Arial"/>
          <w:noProof/>
          <w:u w:val="single"/>
        </w:rPr>
        <mc:AlternateContent>
          <mc:Choice Requires="wps">
            <w:drawing>
              <wp:anchor distT="0" distB="0" distL="114300" distR="114300" simplePos="0" relativeHeight="251658752" behindDoc="0" locked="0" layoutInCell="1" allowOverlap="1" wp14:anchorId="5F92634A" wp14:editId="43402234">
                <wp:simplePos x="0" y="0"/>
                <wp:positionH relativeFrom="margin">
                  <wp:posOffset>22860</wp:posOffset>
                </wp:positionH>
                <wp:positionV relativeFrom="page">
                  <wp:posOffset>3338959</wp:posOffset>
                </wp:positionV>
                <wp:extent cx="3220720" cy="1138555"/>
                <wp:effectExtent l="0" t="0" r="17780" b="2349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0720" cy="1138555"/>
                        </a:xfrm>
                        <a:prstGeom prst="rect">
                          <a:avLst/>
                        </a:prstGeom>
                        <a:solidFill>
                          <a:srgbClr val="FFFFFF"/>
                        </a:solidFill>
                        <a:ln w="9525">
                          <a:solidFill>
                            <a:srgbClr val="000000"/>
                          </a:solidFill>
                          <a:miter lim="800000"/>
                          <a:headEnd/>
                          <a:tailEnd/>
                        </a:ln>
                      </wps:spPr>
                      <wps:txbx>
                        <w:txbxContent>
                          <w:p w14:paraId="6A8F4E41" w14:textId="77777777" w:rsidR="00734ADD" w:rsidRPr="00E756C0" w:rsidRDefault="00734ADD" w:rsidP="00734ADD">
                            <w:pPr>
                              <w:jc w:val="center"/>
                              <w:rPr>
                                <w:rFonts w:ascii="Arial" w:hAnsi="Arial" w:cs="Arial"/>
                                <w:b/>
                                <w:sz w:val="2"/>
                                <w:szCs w:val="18"/>
                              </w:rPr>
                            </w:pPr>
                          </w:p>
                          <w:p w14:paraId="5004FC61" w14:textId="77777777" w:rsidR="00A03B14" w:rsidRDefault="00A03B14" w:rsidP="00A03B14">
                            <w:pPr>
                              <w:widowControl/>
                              <w:autoSpaceDE/>
                              <w:autoSpaceDN/>
                              <w:adjustRightInd/>
                              <w:ind w:left="900"/>
                              <w:rPr>
                                <w:rFonts w:ascii="Arial" w:hAnsi="Arial" w:cs="Arial"/>
                                <w:sz w:val="18"/>
                                <w:szCs w:val="18"/>
                              </w:rPr>
                            </w:pPr>
                          </w:p>
                          <w:p w14:paraId="16BA03EF" w14:textId="5AD66415"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7935A603" w14:textId="26991C10"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A2EB827" w14:textId="593A248D"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0D5B7BC6" w14:textId="77777777" w:rsidR="00734ADD" w:rsidRPr="00E756C0" w:rsidRDefault="00734ADD" w:rsidP="00734ADD">
                            <w:pPr>
                              <w:rPr>
                                <w:rFonts w:ascii="Arial" w:hAnsi="Arial" w:cs="Arial"/>
                                <w:b/>
                                <w:sz w:val="18"/>
                                <w:szCs w:val="18"/>
                              </w:rPr>
                            </w:pPr>
                          </w:p>
                          <w:p w14:paraId="10D2CB39"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1CAF71E" w14:textId="522609F8"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F43F27" w:rsidRPr="004A6139">
                              <w:rPr>
                                <w:rFonts w:ascii="Arial" w:hAnsi="Arial" w:cs="Arial"/>
                                <w:b/>
                                <w:sz w:val="18"/>
                                <w:szCs w:val="18"/>
                              </w:rPr>
                              <w:t>A</w:t>
                            </w:r>
                            <w:r w:rsidR="004A6139" w:rsidRPr="004A6139">
                              <w:rPr>
                                <w:rFonts w:ascii="Arial" w:hAnsi="Arial" w:cs="Arial"/>
                                <w:b/>
                                <w:sz w:val="18"/>
                                <w:szCs w:val="18"/>
                              </w:rPr>
                              <w:t>.</w:t>
                            </w:r>
                            <w:r w:rsidR="00F43F27" w:rsidRPr="004A6139">
                              <w:rPr>
                                <w:rFonts w:ascii="Arial" w:hAnsi="Arial" w:cs="Arial"/>
                                <w:b/>
                                <w:sz w:val="18"/>
                                <w:szCs w:val="18"/>
                              </w:rPr>
                              <w:t>D</w:t>
                            </w:r>
                            <w:r w:rsidR="004A6139" w:rsidRPr="004A6139">
                              <w:rPr>
                                <w:rFonts w:ascii="Arial" w:hAnsi="Arial" w:cs="Arial"/>
                                <w:b/>
                                <w:sz w:val="18"/>
                                <w:szCs w:val="18"/>
                              </w:rPr>
                              <w:t>.</w:t>
                            </w:r>
                            <w:r w:rsidR="00F43F27" w:rsidRPr="004A6139">
                              <w:rPr>
                                <w:rFonts w:ascii="Arial" w:hAnsi="Arial" w:cs="Arial"/>
                                <w:b/>
                                <w:sz w:val="18"/>
                                <w:szCs w:val="18"/>
                              </w:rPr>
                              <w:t xml:space="preserve"> STEIN</w:t>
                            </w:r>
                            <w:r w:rsidR="002C676E">
                              <w:rPr>
                                <w:rFonts w:ascii="Arial" w:hAnsi="Arial" w:cs="Arial"/>
                                <w:b/>
                                <w:sz w:val="18"/>
                                <w:szCs w:val="18"/>
                              </w:rPr>
                              <w:tab/>
                            </w:r>
                            <w:r w:rsidR="00DF7D9C">
                              <w:rPr>
                                <w:rFonts w:ascii="Arial" w:hAnsi="Arial" w:cs="Arial"/>
                                <w:b/>
                                <w:sz w:val="18"/>
                                <w:szCs w:val="18"/>
                              </w:rPr>
                              <w:t xml:space="preserve">             </w:t>
                            </w:r>
                            <w:r w:rsidR="004A6139">
                              <w:rPr>
                                <w:rFonts w:ascii="Arial" w:hAnsi="Arial" w:cs="Arial"/>
                                <w:b/>
                                <w:sz w:val="18"/>
                                <w:szCs w:val="18"/>
                              </w:rPr>
                              <w:tab/>
                            </w:r>
                            <w:r w:rsidR="004A6139">
                              <w:rPr>
                                <w:rFonts w:ascii="Arial" w:hAnsi="Arial" w:cs="Arial"/>
                                <w:b/>
                                <w:sz w:val="18"/>
                                <w:szCs w:val="18"/>
                              </w:rPr>
                              <w:tab/>
                              <w:t xml:space="preserve">28 FEBRUARY </w:t>
                            </w:r>
                            <w:r w:rsidR="003E6939">
                              <w:rPr>
                                <w:rFonts w:ascii="Arial" w:hAnsi="Arial" w:cs="Arial"/>
                                <w:b/>
                                <w:sz w:val="18"/>
                                <w:szCs w:val="18"/>
                              </w:rPr>
                              <w:t>2024</w:t>
                            </w:r>
                          </w:p>
                          <w:p w14:paraId="6276F038" w14:textId="77777777" w:rsidR="00734ADD" w:rsidRPr="00E756C0" w:rsidRDefault="00734ADD" w:rsidP="00734ADD">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2634A" id="_x0000_t202" coordsize="21600,21600" o:spt="202" path="m,l,21600r21600,l21600,xe">
                <v:stroke joinstyle="miter"/>
                <v:path gradientshapeok="t" o:connecttype="rect"/>
              </v:shapetype>
              <v:shape id="Text Box 1" o:spid="_x0000_s1026" type="#_x0000_t202" style="position:absolute;left:0;text-align:left;margin-left:1.8pt;margin-top:262.9pt;width:253.6pt;height:89.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">
                <v:path arrowok="t"/>
                <v:textbox>
                  <w:txbxContent>
                    <w:p w14:paraId="6A8F4E41" w14:textId="77777777" w:rsidR="00734ADD" w:rsidRPr="00E756C0" w:rsidRDefault="00734ADD" w:rsidP="00734ADD">
                      <w:pPr>
                        <w:jc w:val="center"/>
                        <w:rPr>
                          <w:rFonts w:ascii="Arial" w:hAnsi="Arial" w:cs="Arial"/>
                          <w:b/>
                          <w:sz w:val="2"/>
                          <w:szCs w:val="18"/>
                        </w:rPr>
                      </w:pPr>
                    </w:p>
                    <w:p w14:paraId="5004FC61" w14:textId="77777777" w:rsidR="00A03B14" w:rsidRDefault="00A03B14" w:rsidP="00A03B14">
                      <w:pPr>
                        <w:widowControl/>
                        <w:autoSpaceDE/>
                        <w:autoSpaceDN/>
                        <w:adjustRightInd/>
                        <w:ind w:left="900"/>
                        <w:rPr>
                          <w:rFonts w:ascii="Arial" w:hAnsi="Arial" w:cs="Arial"/>
                          <w:sz w:val="18"/>
                          <w:szCs w:val="18"/>
                        </w:rPr>
                      </w:pPr>
                    </w:p>
                    <w:p w14:paraId="16BA03EF" w14:textId="5AD66415"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7935A603" w14:textId="26991C10"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A2EB827" w14:textId="593A248D" w:rsidR="00734ADD" w:rsidRPr="00E756C0" w:rsidRDefault="00131FAB" w:rsidP="00131FA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0D5B7BC6" w14:textId="77777777" w:rsidR="00734ADD" w:rsidRPr="00E756C0" w:rsidRDefault="00734ADD" w:rsidP="00734ADD">
                      <w:pPr>
                        <w:rPr>
                          <w:rFonts w:ascii="Arial" w:hAnsi="Arial" w:cs="Arial"/>
                          <w:b/>
                          <w:sz w:val="18"/>
                          <w:szCs w:val="18"/>
                        </w:rPr>
                      </w:pPr>
                    </w:p>
                    <w:p w14:paraId="10D2CB39"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1CAF71E" w14:textId="522609F8"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F43F27" w:rsidRPr="004A6139">
                        <w:rPr>
                          <w:rFonts w:ascii="Arial" w:hAnsi="Arial" w:cs="Arial"/>
                          <w:b/>
                          <w:sz w:val="18"/>
                          <w:szCs w:val="18"/>
                        </w:rPr>
                        <w:t>A</w:t>
                      </w:r>
                      <w:r w:rsidR="004A6139" w:rsidRPr="004A6139">
                        <w:rPr>
                          <w:rFonts w:ascii="Arial" w:hAnsi="Arial" w:cs="Arial"/>
                          <w:b/>
                          <w:sz w:val="18"/>
                          <w:szCs w:val="18"/>
                        </w:rPr>
                        <w:t>.</w:t>
                      </w:r>
                      <w:r w:rsidR="00F43F27" w:rsidRPr="004A6139">
                        <w:rPr>
                          <w:rFonts w:ascii="Arial" w:hAnsi="Arial" w:cs="Arial"/>
                          <w:b/>
                          <w:sz w:val="18"/>
                          <w:szCs w:val="18"/>
                        </w:rPr>
                        <w:t>D</w:t>
                      </w:r>
                      <w:r w:rsidR="004A6139" w:rsidRPr="004A6139">
                        <w:rPr>
                          <w:rFonts w:ascii="Arial" w:hAnsi="Arial" w:cs="Arial"/>
                          <w:b/>
                          <w:sz w:val="18"/>
                          <w:szCs w:val="18"/>
                        </w:rPr>
                        <w:t>.</w:t>
                      </w:r>
                      <w:r w:rsidR="00F43F27" w:rsidRPr="004A6139">
                        <w:rPr>
                          <w:rFonts w:ascii="Arial" w:hAnsi="Arial" w:cs="Arial"/>
                          <w:b/>
                          <w:sz w:val="18"/>
                          <w:szCs w:val="18"/>
                        </w:rPr>
                        <w:t xml:space="preserve"> STEIN</w:t>
                      </w:r>
                      <w:r w:rsidR="002C676E">
                        <w:rPr>
                          <w:rFonts w:ascii="Arial" w:hAnsi="Arial" w:cs="Arial"/>
                          <w:b/>
                          <w:sz w:val="18"/>
                          <w:szCs w:val="18"/>
                        </w:rPr>
                        <w:tab/>
                      </w:r>
                      <w:r w:rsidR="00DF7D9C">
                        <w:rPr>
                          <w:rFonts w:ascii="Arial" w:hAnsi="Arial" w:cs="Arial"/>
                          <w:b/>
                          <w:sz w:val="18"/>
                          <w:szCs w:val="18"/>
                        </w:rPr>
                        <w:t xml:space="preserve">             </w:t>
                      </w:r>
                      <w:r w:rsidR="004A6139">
                        <w:rPr>
                          <w:rFonts w:ascii="Arial" w:hAnsi="Arial" w:cs="Arial"/>
                          <w:b/>
                          <w:sz w:val="18"/>
                          <w:szCs w:val="18"/>
                        </w:rPr>
                        <w:tab/>
                      </w:r>
                      <w:r w:rsidR="004A6139">
                        <w:rPr>
                          <w:rFonts w:ascii="Arial" w:hAnsi="Arial" w:cs="Arial"/>
                          <w:b/>
                          <w:sz w:val="18"/>
                          <w:szCs w:val="18"/>
                        </w:rPr>
                        <w:tab/>
                        <w:t xml:space="preserve">28 FEBRUARY </w:t>
                      </w:r>
                      <w:r w:rsidR="003E6939">
                        <w:rPr>
                          <w:rFonts w:ascii="Arial" w:hAnsi="Arial" w:cs="Arial"/>
                          <w:b/>
                          <w:sz w:val="18"/>
                          <w:szCs w:val="18"/>
                        </w:rPr>
                        <w:t>2024</w:t>
                      </w:r>
                    </w:p>
                    <w:p w14:paraId="6276F038" w14:textId="77777777" w:rsidR="00734ADD" w:rsidRPr="00E756C0" w:rsidRDefault="00734ADD" w:rsidP="00734ADD">
                      <w:pPr>
                        <w:rPr>
                          <w:rFonts w:ascii="Arial" w:hAnsi="Arial" w:cs="Arial"/>
                          <w:b/>
                          <w:sz w:val="2"/>
                          <w:szCs w:val="18"/>
                        </w:rPr>
                      </w:pPr>
                    </w:p>
                  </w:txbxContent>
                </v:textbox>
                <w10:wrap type="square" anchorx="margin" anchory="page"/>
              </v:shape>
            </w:pict>
          </mc:Fallback>
        </mc:AlternateContent>
      </w:r>
    </w:p>
    <w:p w14:paraId="49DDF662" w14:textId="54D70810" w:rsidR="00A03B14" w:rsidRDefault="00A03B14" w:rsidP="00476A69">
      <w:pPr>
        <w:spacing w:line="276" w:lineRule="auto"/>
        <w:jc w:val="right"/>
        <w:rPr>
          <w:rFonts w:ascii="Arial" w:hAnsi="Arial" w:cs="Arial"/>
          <w:b/>
          <w:lang w:val="en-GB" w:eastAsia="en-GB"/>
        </w:rPr>
      </w:pPr>
    </w:p>
    <w:p w14:paraId="73F69919" w14:textId="5C7AFEDB" w:rsidR="00A03B14" w:rsidRDefault="00A03B14" w:rsidP="00476A69">
      <w:pPr>
        <w:spacing w:line="276" w:lineRule="auto"/>
        <w:jc w:val="right"/>
        <w:rPr>
          <w:rFonts w:ascii="Arial" w:hAnsi="Arial" w:cs="Arial"/>
          <w:b/>
          <w:lang w:val="en-GB" w:eastAsia="en-GB"/>
        </w:rPr>
      </w:pPr>
    </w:p>
    <w:p w14:paraId="2C572615" w14:textId="77777777" w:rsidR="00A03B14" w:rsidRDefault="00A03B14" w:rsidP="00476A69">
      <w:pPr>
        <w:spacing w:line="276" w:lineRule="auto"/>
        <w:jc w:val="right"/>
        <w:rPr>
          <w:rFonts w:ascii="Arial" w:hAnsi="Arial" w:cs="Arial"/>
          <w:b/>
          <w:lang w:val="en-GB" w:eastAsia="en-GB"/>
        </w:rPr>
      </w:pPr>
    </w:p>
    <w:p w14:paraId="4EF04109" w14:textId="77777777" w:rsidR="00A03B14" w:rsidRDefault="00A03B14" w:rsidP="00476A69">
      <w:pPr>
        <w:spacing w:line="276" w:lineRule="auto"/>
        <w:jc w:val="right"/>
        <w:rPr>
          <w:rFonts w:ascii="Arial" w:hAnsi="Arial" w:cs="Arial"/>
          <w:b/>
          <w:lang w:val="en-GB" w:eastAsia="en-GB"/>
        </w:rPr>
      </w:pPr>
    </w:p>
    <w:p w14:paraId="022692B5" w14:textId="6F1C5A2D" w:rsidR="004A6139" w:rsidRDefault="004A6139" w:rsidP="00476A69">
      <w:pPr>
        <w:spacing w:line="276" w:lineRule="auto"/>
        <w:jc w:val="right"/>
        <w:rPr>
          <w:rFonts w:ascii="Arial" w:hAnsi="Arial" w:cs="Arial"/>
          <w:b/>
          <w:lang w:val="en-GB" w:eastAsia="en-GB"/>
        </w:rPr>
      </w:pPr>
    </w:p>
    <w:p w14:paraId="2DBC58CD" w14:textId="77777777" w:rsidR="00476A69" w:rsidRPr="00A03B14" w:rsidRDefault="00476A69" w:rsidP="00476A69">
      <w:pPr>
        <w:spacing w:line="276" w:lineRule="auto"/>
        <w:jc w:val="right"/>
        <w:rPr>
          <w:rFonts w:ascii="Arial" w:hAnsi="Arial" w:cs="Arial"/>
          <w:b/>
          <w:lang w:val="en-GB" w:eastAsia="en-GB"/>
        </w:rPr>
      </w:pPr>
    </w:p>
    <w:p w14:paraId="1A2C6C30" w14:textId="77777777" w:rsidR="00A03B14" w:rsidRDefault="00A03B14" w:rsidP="00476A69">
      <w:pPr>
        <w:spacing w:line="276" w:lineRule="auto"/>
        <w:jc w:val="right"/>
        <w:rPr>
          <w:rFonts w:ascii="Arial" w:hAnsi="Arial" w:cs="Arial"/>
          <w:b/>
          <w:sz w:val="25"/>
        </w:rPr>
      </w:pPr>
    </w:p>
    <w:p w14:paraId="1CD6D8A9" w14:textId="79C1C841" w:rsidR="004A6139" w:rsidRPr="004A6139" w:rsidRDefault="004A6139" w:rsidP="00476A69">
      <w:pPr>
        <w:jc w:val="right"/>
        <w:rPr>
          <w:rFonts w:ascii="Arial" w:hAnsi="Arial" w:cs="Arial"/>
          <w:b/>
          <w:bCs/>
          <w:sz w:val="25"/>
          <w:u w:val="single"/>
        </w:rPr>
      </w:pPr>
      <w:r w:rsidRPr="004A6139">
        <w:rPr>
          <w:rFonts w:ascii="Arial" w:hAnsi="Arial" w:cs="Arial"/>
          <w:b/>
          <w:sz w:val="25"/>
        </w:rPr>
        <w:t xml:space="preserve">CASE NUMBER: </w:t>
      </w:r>
      <w:r w:rsidRPr="004A6139">
        <w:rPr>
          <w:rFonts w:ascii="Arial" w:hAnsi="Arial" w:cs="Arial"/>
          <w:b/>
          <w:sz w:val="25"/>
          <w:u w:val="single"/>
        </w:rPr>
        <w:t>2014/</w:t>
      </w:r>
      <w:r w:rsidRPr="004A6139">
        <w:rPr>
          <w:rFonts w:ascii="Arial" w:hAnsi="Arial" w:cs="Arial"/>
          <w:b/>
          <w:bCs/>
          <w:sz w:val="25"/>
          <w:u w:val="single"/>
        </w:rPr>
        <w:t>40058</w:t>
      </w:r>
    </w:p>
    <w:p w14:paraId="44042C17" w14:textId="77777777" w:rsidR="00476A69" w:rsidRDefault="00476A69" w:rsidP="00476A69">
      <w:pPr>
        <w:widowControl/>
        <w:jc w:val="both"/>
        <w:rPr>
          <w:rFonts w:ascii="Arial" w:hAnsi="Arial" w:cs="Arial"/>
          <w:lang w:val="en-GB"/>
        </w:rPr>
      </w:pPr>
    </w:p>
    <w:p w14:paraId="481EDC00" w14:textId="6ACC8B2D" w:rsidR="00475AF2" w:rsidRPr="00DC7AFE" w:rsidRDefault="00475AF2" w:rsidP="00476A69">
      <w:pPr>
        <w:widowControl/>
        <w:jc w:val="both"/>
        <w:rPr>
          <w:rFonts w:ascii="Arial" w:hAnsi="Arial" w:cs="Arial"/>
          <w:lang w:val="en-GB"/>
        </w:rPr>
      </w:pPr>
      <w:r w:rsidRPr="00DC7AFE">
        <w:rPr>
          <w:rFonts w:ascii="Arial" w:hAnsi="Arial" w:cs="Arial"/>
          <w:lang w:val="en-GB"/>
        </w:rPr>
        <w:t>In the matter between:</w:t>
      </w:r>
    </w:p>
    <w:p w14:paraId="19329366" w14:textId="77777777" w:rsidR="00EC7430" w:rsidRDefault="00EC7430" w:rsidP="00476A69">
      <w:pPr>
        <w:ind w:left="5040" w:firstLine="720"/>
        <w:rPr>
          <w:rFonts w:ascii="Arial" w:hAnsi="Arial" w:cs="Arial"/>
          <w:b/>
          <w:bCs/>
          <w:sz w:val="25"/>
        </w:rPr>
      </w:pPr>
    </w:p>
    <w:p w14:paraId="07C47CD4" w14:textId="77777777" w:rsidR="00F43F27" w:rsidRDefault="00F43F27" w:rsidP="00476A69">
      <w:pPr>
        <w:tabs>
          <w:tab w:val="right" w:pos="9072"/>
        </w:tabs>
        <w:rPr>
          <w:rFonts w:ascii="Arial" w:hAnsi="Arial" w:cs="Arial"/>
          <w:sz w:val="25"/>
        </w:rPr>
      </w:pPr>
      <w:r>
        <w:rPr>
          <w:rFonts w:ascii="Arial" w:hAnsi="Arial" w:cs="Arial"/>
          <w:b/>
          <w:bCs/>
          <w:sz w:val="25"/>
        </w:rPr>
        <w:t xml:space="preserve">THE NATIONAL EMPOWERMENT FUND </w:t>
      </w:r>
      <w:r>
        <w:rPr>
          <w:rFonts w:ascii="Arial" w:hAnsi="Arial" w:cs="Arial"/>
          <w:b/>
          <w:bCs/>
          <w:sz w:val="25"/>
        </w:rPr>
        <w:tab/>
      </w:r>
      <w:r>
        <w:rPr>
          <w:rFonts w:ascii="Arial" w:hAnsi="Arial" w:cs="Arial"/>
          <w:sz w:val="25"/>
        </w:rPr>
        <w:t>Applicant</w:t>
      </w:r>
    </w:p>
    <w:p w14:paraId="0791B0CE" w14:textId="77777777" w:rsidR="00A03B14" w:rsidRDefault="00A03B14" w:rsidP="00476A69">
      <w:pPr>
        <w:tabs>
          <w:tab w:val="right" w:pos="9072"/>
        </w:tabs>
        <w:rPr>
          <w:rFonts w:ascii="Arial" w:hAnsi="Arial" w:cs="Arial"/>
          <w:sz w:val="25"/>
        </w:rPr>
      </w:pPr>
    </w:p>
    <w:p w14:paraId="17F57F2D" w14:textId="0E6D0627" w:rsidR="00F43F27" w:rsidRDefault="00F43F27" w:rsidP="00476A69">
      <w:pPr>
        <w:tabs>
          <w:tab w:val="right" w:pos="9072"/>
        </w:tabs>
        <w:rPr>
          <w:rFonts w:ascii="Arial" w:hAnsi="Arial" w:cs="Arial"/>
          <w:sz w:val="25"/>
        </w:rPr>
      </w:pPr>
      <w:r>
        <w:rPr>
          <w:rFonts w:ascii="Arial" w:hAnsi="Arial" w:cs="Arial"/>
          <w:sz w:val="25"/>
        </w:rPr>
        <w:t>and</w:t>
      </w:r>
    </w:p>
    <w:p w14:paraId="43F45154" w14:textId="77777777" w:rsidR="00A03B14" w:rsidRDefault="00A03B14" w:rsidP="00476A69">
      <w:pPr>
        <w:tabs>
          <w:tab w:val="right" w:pos="9072"/>
        </w:tabs>
        <w:rPr>
          <w:rFonts w:ascii="Arial" w:hAnsi="Arial" w:cs="Arial"/>
          <w:b/>
          <w:bCs/>
          <w:sz w:val="25"/>
        </w:rPr>
      </w:pPr>
    </w:p>
    <w:p w14:paraId="401C90A1" w14:textId="7B388FDF" w:rsidR="00F43F27" w:rsidRDefault="00EC7E2B" w:rsidP="00476A69">
      <w:pPr>
        <w:tabs>
          <w:tab w:val="right" w:pos="9072"/>
        </w:tabs>
        <w:rPr>
          <w:rFonts w:ascii="Arial" w:hAnsi="Arial" w:cs="Arial"/>
          <w:sz w:val="25"/>
        </w:rPr>
      </w:pPr>
      <w:r>
        <w:rPr>
          <w:rFonts w:ascii="Arial" w:hAnsi="Arial" w:cs="Arial"/>
          <w:b/>
          <w:bCs/>
          <w:sz w:val="25"/>
        </w:rPr>
        <w:t xml:space="preserve">CLOVERLEAF </w:t>
      </w:r>
      <w:r w:rsidR="00F43F27">
        <w:rPr>
          <w:rFonts w:ascii="Arial" w:hAnsi="Arial" w:cs="Arial"/>
          <w:b/>
          <w:bCs/>
          <w:sz w:val="25"/>
        </w:rPr>
        <w:t xml:space="preserve">FILMS (PTY) LTD </w:t>
      </w:r>
      <w:r w:rsidR="00F43F27">
        <w:rPr>
          <w:rFonts w:ascii="Arial" w:hAnsi="Arial" w:cs="Arial"/>
          <w:b/>
          <w:bCs/>
          <w:sz w:val="25"/>
        </w:rPr>
        <w:tab/>
      </w:r>
      <w:r w:rsidR="00F43F27">
        <w:rPr>
          <w:rFonts w:ascii="Arial" w:hAnsi="Arial" w:cs="Arial"/>
          <w:sz w:val="25"/>
        </w:rPr>
        <w:t>First respondent</w:t>
      </w:r>
    </w:p>
    <w:p w14:paraId="29D84D0B" w14:textId="77777777" w:rsidR="00A03B14" w:rsidRDefault="00A03B14" w:rsidP="00476A69">
      <w:pPr>
        <w:tabs>
          <w:tab w:val="right" w:pos="9072"/>
        </w:tabs>
        <w:rPr>
          <w:rFonts w:ascii="Arial" w:hAnsi="Arial" w:cs="Arial"/>
          <w:b/>
          <w:bCs/>
          <w:sz w:val="25"/>
        </w:rPr>
      </w:pPr>
    </w:p>
    <w:p w14:paraId="22E53B92" w14:textId="405C23DB" w:rsidR="00F43F27" w:rsidRDefault="00F43F27" w:rsidP="00476A69">
      <w:pPr>
        <w:tabs>
          <w:tab w:val="right" w:pos="9072"/>
        </w:tabs>
        <w:rPr>
          <w:rFonts w:ascii="Arial" w:hAnsi="Arial" w:cs="Arial"/>
          <w:sz w:val="25"/>
        </w:rPr>
      </w:pPr>
      <w:r>
        <w:rPr>
          <w:rFonts w:ascii="Arial" w:hAnsi="Arial" w:cs="Arial"/>
          <w:b/>
          <w:bCs/>
          <w:sz w:val="25"/>
        </w:rPr>
        <w:t xml:space="preserve">PIETERSE, ANDRE </w:t>
      </w:r>
      <w:r>
        <w:rPr>
          <w:rFonts w:ascii="Arial" w:hAnsi="Arial" w:cs="Arial"/>
          <w:b/>
          <w:bCs/>
          <w:sz w:val="25"/>
        </w:rPr>
        <w:tab/>
      </w:r>
      <w:r>
        <w:rPr>
          <w:rFonts w:ascii="Arial" w:hAnsi="Arial" w:cs="Arial"/>
          <w:sz w:val="25"/>
        </w:rPr>
        <w:t>Second respondent</w:t>
      </w:r>
    </w:p>
    <w:p w14:paraId="15153A20" w14:textId="77777777" w:rsidR="00A03B14" w:rsidRDefault="00A03B14" w:rsidP="00476A69">
      <w:pPr>
        <w:tabs>
          <w:tab w:val="right" w:pos="9072"/>
        </w:tabs>
        <w:rPr>
          <w:rFonts w:ascii="Arial" w:hAnsi="Arial" w:cs="Arial"/>
          <w:b/>
          <w:bCs/>
          <w:sz w:val="25"/>
        </w:rPr>
      </w:pPr>
    </w:p>
    <w:p w14:paraId="4F2B03AA" w14:textId="6A107995" w:rsidR="00F43F27" w:rsidRDefault="00F43F27" w:rsidP="00476A69">
      <w:pPr>
        <w:tabs>
          <w:tab w:val="right" w:pos="9072"/>
        </w:tabs>
        <w:rPr>
          <w:rFonts w:ascii="Arial" w:hAnsi="Arial" w:cs="Arial"/>
          <w:sz w:val="25"/>
        </w:rPr>
      </w:pPr>
      <w:r>
        <w:rPr>
          <w:rFonts w:ascii="Arial" w:hAnsi="Arial" w:cs="Arial"/>
          <w:b/>
          <w:bCs/>
          <w:sz w:val="25"/>
        </w:rPr>
        <w:t xml:space="preserve">MA-AFRIKA FILMS (PTY) LTD </w:t>
      </w:r>
      <w:r>
        <w:rPr>
          <w:rFonts w:ascii="Arial" w:hAnsi="Arial" w:cs="Arial"/>
          <w:b/>
          <w:bCs/>
          <w:sz w:val="25"/>
        </w:rPr>
        <w:tab/>
      </w:r>
      <w:r>
        <w:rPr>
          <w:rFonts w:ascii="Arial" w:hAnsi="Arial" w:cs="Arial"/>
          <w:sz w:val="25"/>
        </w:rPr>
        <w:t>Third respondent</w:t>
      </w:r>
    </w:p>
    <w:p w14:paraId="0843E9D0" w14:textId="77777777" w:rsidR="00A03B14" w:rsidRDefault="00A03B14" w:rsidP="00476A69">
      <w:pPr>
        <w:tabs>
          <w:tab w:val="right" w:pos="9072"/>
        </w:tabs>
        <w:rPr>
          <w:rFonts w:ascii="Arial" w:hAnsi="Arial" w:cs="Arial"/>
          <w:b/>
          <w:bCs/>
          <w:sz w:val="25"/>
        </w:rPr>
      </w:pPr>
    </w:p>
    <w:p w14:paraId="4038705E" w14:textId="6A638DCD" w:rsidR="00F43F27" w:rsidRDefault="00F43F27" w:rsidP="00476A69">
      <w:pPr>
        <w:tabs>
          <w:tab w:val="right" w:pos="9072"/>
        </w:tabs>
        <w:rPr>
          <w:rFonts w:ascii="Arial" w:hAnsi="Arial" w:cs="Arial"/>
          <w:sz w:val="25"/>
        </w:rPr>
      </w:pPr>
      <w:r>
        <w:rPr>
          <w:rFonts w:ascii="Arial" w:hAnsi="Arial" w:cs="Arial"/>
          <w:b/>
          <w:bCs/>
          <w:sz w:val="25"/>
        </w:rPr>
        <w:t xml:space="preserve">CLIDET NO 962 (PTY) LTD </w:t>
      </w:r>
      <w:r>
        <w:rPr>
          <w:rFonts w:ascii="Arial" w:hAnsi="Arial" w:cs="Arial"/>
          <w:b/>
          <w:bCs/>
          <w:sz w:val="25"/>
        </w:rPr>
        <w:tab/>
      </w:r>
      <w:r>
        <w:rPr>
          <w:rFonts w:ascii="Arial" w:hAnsi="Arial" w:cs="Arial"/>
          <w:sz w:val="25"/>
        </w:rPr>
        <w:t>Fourth respondent</w:t>
      </w:r>
    </w:p>
    <w:p w14:paraId="72CB982F" w14:textId="77777777" w:rsidR="00A03B14" w:rsidRDefault="00A03B14" w:rsidP="00476A69">
      <w:pPr>
        <w:tabs>
          <w:tab w:val="right" w:pos="9072"/>
        </w:tabs>
        <w:rPr>
          <w:rFonts w:ascii="Arial" w:hAnsi="Arial" w:cs="Arial"/>
          <w:b/>
          <w:bCs/>
          <w:sz w:val="25"/>
        </w:rPr>
      </w:pPr>
    </w:p>
    <w:p w14:paraId="503B974C" w14:textId="306D791A" w:rsidR="00F43F27" w:rsidRDefault="00F43F27" w:rsidP="00476A69">
      <w:pPr>
        <w:tabs>
          <w:tab w:val="right" w:pos="9072"/>
        </w:tabs>
        <w:rPr>
          <w:rFonts w:ascii="Arial" w:hAnsi="Arial" w:cs="Arial"/>
          <w:sz w:val="25"/>
        </w:rPr>
      </w:pPr>
      <w:r>
        <w:rPr>
          <w:rFonts w:ascii="Arial" w:hAnsi="Arial" w:cs="Arial"/>
          <w:b/>
          <w:bCs/>
          <w:sz w:val="25"/>
        </w:rPr>
        <w:t xml:space="preserve">GWAGWA, NOLULAMO NOBANBISWANO </w:t>
      </w:r>
      <w:r>
        <w:rPr>
          <w:rFonts w:ascii="Arial" w:hAnsi="Arial" w:cs="Arial"/>
          <w:b/>
          <w:bCs/>
          <w:sz w:val="25"/>
        </w:rPr>
        <w:tab/>
      </w:r>
      <w:r>
        <w:rPr>
          <w:rFonts w:ascii="Arial" w:hAnsi="Arial" w:cs="Arial"/>
          <w:sz w:val="25"/>
        </w:rPr>
        <w:t>Fifth respondent</w:t>
      </w:r>
    </w:p>
    <w:p w14:paraId="4230E244" w14:textId="77777777" w:rsidR="00A03B14" w:rsidRDefault="00A03B14" w:rsidP="00476A69">
      <w:pPr>
        <w:tabs>
          <w:tab w:val="right" w:pos="9072"/>
        </w:tabs>
        <w:rPr>
          <w:rFonts w:ascii="Arial" w:hAnsi="Arial" w:cs="Arial"/>
          <w:b/>
          <w:bCs/>
          <w:sz w:val="25"/>
        </w:rPr>
      </w:pPr>
    </w:p>
    <w:p w14:paraId="19280D96" w14:textId="079A36B1" w:rsidR="00F43F27" w:rsidRDefault="00F43F27" w:rsidP="00476A69">
      <w:pPr>
        <w:tabs>
          <w:tab w:val="right" w:pos="9072"/>
        </w:tabs>
        <w:rPr>
          <w:rFonts w:ascii="Arial" w:hAnsi="Arial" w:cs="Arial"/>
          <w:sz w:val="25"/>
        </w:rPr>
      </w:pPr>
      <w:r>
        <w:rPr>
          <w:rFonts w:ascii="Arial" w:hAnsi="Arial" w:cs="Arial"/>
          <w:b/>
          <w:bCs/>
          <w:sz w:val="25"/>
        </w:rPr>
        <w:t xml:space="preserve">DAKILE-HLONGWANE, SALUKAZI </w:t>
      </w:r>
      <w:r>
        <w:rPr>
          <w:rFonts w:ascii="Arial" w:hAnsi="Arial" w:cs="Arial"/>
          <w:b/>
          <w:bCs/>
          <w:sz w:val="25"/>
        </w:rPr>
        <w:tab/>
      </w:r>
      <w:r>
        <w:rPr>
          <w:rFonts w:ascii="Arial" w:hAnsi="Arial" w:cs="Arial"/>
          <w:sz w:val="25"/>
        </w:rPr>
        <w:t>Sixth respondent</w:t>
      </w:r>
    </w:p>
    <w:p w14:paraId="0C76CBD1" w14:textId="77777777" w:rsidR="00A03B14" w:rsidRDefault="00A03B14" w:rsidP="00476A69">
      <w:pPr>
        <w:tabs>
          <w:tab w:val="right" w:pos="9072"/>
        </w:tabs>
        <w:rPr>
          <w:rFonts w:ascii="Arial" w:hAnsi="Arial" w:cs="Arial"/>
          <w:b/>
          <w:bCs/>
          <w:sz w:val="25"/>
        </w:rPr>
      </w:pPr>
    </w:p>
    <w:p w14:paraId="309DF834" w14:textId="68652CDB" w:rsidR="00F43F27" w:rsidRDefault="00F43F27" w:rsidP="00476A69">
      <w:pPr>
        <w:tabs>
          <w:tab w:val="right" w:pos="9072"/>
        </w:tabs>
        <w:rPr>
          <w:rFonts w:ascii="Arial" w:hAnsi="Arial" w:cs="Arial"/>
          <w:sz w:val="25"/>
        </w:rPr>
      </w:pPr>
      <w:r>
        <w:rPr>
          <w:rFonts w:ascii="Arial" w:hAnsi="Arial" w:cs="Arial"/>
          <w:b/>
          <w:bCs/>
          <w:sz w:val="25"/>
        </w:rPr>
        <w:t xml:space="preserve">MTHEMBI-MAHANYELE, SANKIE DOLLY THEMBI </w:t>
      </w:r>
      <w:r>
        <w:rPr>
          <w:rFonts w:ascii="Arial" w:hAnsi="Arial" w:cs="Arial"/>
          <w:b/>
          <w:bCs/>
          <w:sz w:val="25"/>
        </w:rPr>
        <w:tab/>
      </w:r>
      <w:r>
        <w:rPr>
          <w:rFonts w:ascii="Arial" w:hAnsi="Arial" w:cs="Arial"/>
          <w:sz w:val="25"/>
        </w:rPr>
        <w:t>Seventh respondent</w:t>
      </w:r>
    </w:p>
    <w:p w14:paraId="4B0D30E5" w14:textId="3EBDFFBE" w:rsidR="00A03B14" w:rsidRDefault="00A03B14" w:rsidP="00476A69">
      <w:pPr>
        <w:tabs>
          <w:tab w:val="right" w:pos="9072"/>
        </w:tabs>
        <w:rPr>
          <w:rFonts w:ascii="Arial" w:hAnsi="Arial" w:cs="Arial"/>
          <w:sz w:val="25"/>
        </w:rPr>
      </w:pPr>
    </w:p>
    <w:p w14:paraId="1A0904DA" w14:textId="670BD717" w:rsidR="00476A69" w:rsidRDefault="00476A69" w:rsidP="00476A69">
      <w:pPr>
        <w:tabs>
          <w:tab w:val="right" w:pos="9072"/>
        </w:tabs>
        <w:rPr>
          <w:rFonts w:ascii="Arial" w:hAnsi="Arial" w:cs="Arial"/>
          <w:sz w:val="25"/>
        </w:rPr>
      </w:pPr>
    </w:p>
    <w:p w14:paraId="4C477A87" w14:textId="77777777" w:rsidR="00476A69" w:rsidRDefault="00476A69" w:rsidP="00476A69">
      <w:pPr>
        <w:tabs>
          <w:tab w:val="right" w:pos="9072"/>
        </w:tabs>
        <w:rPr>
          <w:rFonts w:ascii="Arial" w:hAnsi="Arial" w:cs="Arial"/>
          <w:sz w:val="25"/>
        </w:rPr>
      </w:pPr>
    </w:p>
    <w:p w14:paraId="5475A588" w14:textId="2DA76C0B" w:rsidR="00A03B14" w:rsidRDefault="00A03B14" w:rsidP="00476A69">
      <w:pPr>
        <w:tabs>
          <w:tab w:val="right" w:pos="9072"/>
        </w:tabs>
        <w:rPr>
          <w:rFonts w:ascii="Arial" w:hAnsi="Arial" w:cs="Arial"/>
          <w:sz w:val="25"/>
        </w:rPr>
      </w:pPr>
    </w:p>
    <w:p w14:paraId="0AE8A4FC" w14:textId="77777777" w:rsidR="00476A69" w:rsidRDefault="00476A69" w:rsidP="00476A69">
      <w:pPr>
        <w:tabs>
          <w:tab w:val="right" w:pos="9072"/>
        </w:tabs>
        <w:rPr>
          <w:rFonts w:ascii="Arial" w:hAnsi="Arial" w:cs="Arial"/>
          <w:sz w:val="25"/>
        </w:rPr>
      </w:pPr>
    </w:p>
    <w:p w14:paraId="26726012" w14:textId="77777777" w:rsidR="004A6139" w:rsidRPr="004A6139" w:rsidRDefault="004A6139" w:rsidP="00476A69">
      <w:pPr>
        <w:widowControl/>
        <w:tabs>
          <w:tab w:val="right" w:pos="8220"/>
        </w:tabs>
        <w:jc w:val="right"/>
        <w:rPr>
          <w:rFonts w:ascii="Arial" w:hAnsi="Arial" w:cs="Arial"/>
          <w:b/>
          <w:bCs/>
          <w:lang w:val="en-GB"/>
        </w:rPr>
      </w:pPr>
      <w:r w:rsidRPr="004A6139">
        <w:rPr>
          <w:rFonts w:ascii="Arial" w:hAnsi="Arial" w:cs="Arial"/>
          <w:b/>
          <w:lang w:val="en-GB"/>
        </w:rPr>
        <w:lastRenderedPageBreak/>
        <w:t>CASE NUMBER:</w:t>
      </w:r>
      <w:r w:rsidRPr="004A6139">
        <w:rPr>
          <w:rFonts w:ascii="Arial" w:hAnsi="Arial" w:cs="Arial"/>
          <w:b/>
          <w:bCs/>
          <w:lang w:val="en-GB"/>
        </w:rPr>
        <w:t xml:space="preserve"> </w:t>
      </w:r>
      <w:bookmarkStart w:id="1" w:name="_Hlk159943651"/>
      <w:r w:rsidRPr="004A6139">
        <w:rPr>
          <w:rFonts w:ascii="Arial" w:hAnsi="Arial" w:cs="Arial"/>
          <w:b/>
          <w:bCs/>
          <w:u w:val="single"/>
          <w:lang w:val="en-GB"/>
        </w:rPr>
        <w:t>2014/40054</w:t>
      </w:r>
      <w:r w:rsidRPr="004A6139">
        <w:rPr>
          <w:rFonts w:ascii="Arial" w:hAnsi="Arial" w:cs="Arial"/>
          <w:b/>
          <w:bCs/>
          <w:lang w:val="en-GB"/>
        </w:rPr>
        <w:t xml:space="preserve"> </w:t>
      </w:r>
      <w:bookmarkEnd w:id="1"/>
    </w:p>
    <w:p w14:paraId="12FAB10B" w14:textId="2750CEB3" w:rsidR="00554012" w:rsidRDefault="00554012" w:rsidP="00476A69">
      <w:pPr>
        <w:tabs>
          <w:tab w:val="right" w:pos="9072"/>
        </w:tabs>
        <w:rPr>
          <w:rFonts w:ascii="Arial" w:hAnsi="Arial" w:cs="Arial"/>
          <w:b/>
          <w:bCs/>
          <w:sz w:val="25"/>
        </w:rPr>
      </w:pPr>
    </w:p>
    <w:p w14:paraId="621661F9" w14:textId="0FB96919" w:rsidR="00554012" w:rsidRDefault="00554012" w:rsidP="00476A69">
      <w:pPr>
        <w:tabs>
          <w:tab w:val="right" w:pos="9072"/>
        </w:tabs>
        <w:rPr>
          <w:rFonts w:ascii="Arial" w:hAnsi="Arial" w:cs="Arial"/>
          <w:b/>
          <w:bCs/>
          <w:sz w:val="25"/>
        </w:rPr>
      </w:pPr>
      <w:r>
        <w:rPr>
          <w:rFonts w:ascii="Arial" w:hAnsi="Arial" w:cs="Arial"/>
          <w:sz w:val="25"/>
        </w:rPr>
        <w:t>In the matter between:</w:t>
      </w:r>
    </w:p>
    <w:p w14:paraId="46F4167C" w14:textId="77777777" w:rsidR="00EC7430" w:rsidRDefault="00EC7430" w:rsidP="00476A69">
      <w:pPr>
        <w:tabs>
          <w:tab w:val="right" w:pos="9072"/>
        </w:tabs>
        <w:rPr>
          <w:rFonts w:ascii="Arial" w:hAnsi="Arial" w:cs="Arial"/>
          <w:b/>
          <w:bCs/>
          <w:sz w:val="25"/>
        </w:rPr>
      </w:pPr>
    </w:p>
    <w:p w14:paraId="1D0F75BB" w14:textId="77777777" w:rsidR="00EC7430" w:rsidRDefault="00EC7430" w:rsidP="00476A69">
      <w:pPr>
        <w:tabs>
          <w:tab w:val="right" w:pos="9072"/>
        </w:tabs>
        <w:rPr>
          <w:rFonts w:ascii="Arial" w:hAnsi="Arial" w:cs="Arial"/>
          <w:sz w:val="25"/>
        </w:rPr>
      </w:pPr>
      <w:r>
        <w:rPr>
          <w:rFonts w:ascii="Arial" w:hAnsi="Arial" w:cs="Arial"/>
          <w:b/>
          <w:bCs/>
          <w:sz w:val="25"/>
        </w:rPr>
        <w:t xml:space="preserve">THE NATIONAL EMPOWERMENT FUND </w:t>
      </w:r>
      <w:r>
        <w:rPr>
          <w:rFonts w:ascii="Arial" w:hAnsi="Arial" w:cs="Arial"/>
          <w:b/>
          <w:bCs/>
          <w:sz w:val="25"/>
        </w:rPr>
        <w:tab/>
      </w:r>
      <w:r>
        <w:rPr>
          <w:rFonts w:ascii="Arial" w:hAnsi="Arial" w:cs="Arial"/>
          <w:sz w:val="25"/>
        </w:rPr>
        <w:t>Applicant</w:t>
      </w:r>
    </w:p>
    <w:p w14:paraId="50FEFCD8" w14:textId="77777777" w:rsidR="00A03B14" w:rsidRDefault="00A03B14" w:rsidP="00476A69">
      <w:pPr>
        <w:tabs>
          <w:tab w:val="right" w:pos="9072"/>
        </w:tabs>
        <w:rPr>
          <w:rFonts w:ascii="Arial" w:hAnsi="Arial" w:cs="Arial"/>
          <w:sz w:val="25"/>
        </w:rPr>
      </w:pPr>
    </w:p>
    <w:p w14:paraId="752442E0" w14:textId="739FB566" w:rsidR="00EC7430" w:rsidRDefault="00EC7430" w:rsidP="00476A69">
      <w:pPr>
        <w:tabs>
          <w:tab w:val="right" w:pos="9072"/>
        </w:tabs>
        <w:rPr>
          <w:rFonts w:ascii="Arial" w:hAnsi="Arial" w:cs="Arial"/>
          <w:sz w:val="25"/>
        </w:rPr>
      </w:pPr>
      <w:r>
        <w:rPr>
          <w:rFonts w:ascii="Arial" w:hAnsi="Arial" w:cs="Arial"/>
          <w:sz w:val="25"/>
        </w:rPr>
        <w:t>and</w:t>
      </w:r>
    </w:p>
    <w:p w14:paraId="0EA84A45" w14:textId="77777777" w:rsidR="00A03B14" w:rsidRDefault="00A03B14" w:rsidP="00476A69">
      <w:pPr>
        <w:tabs>
          <w:tab w:val="right" w:pos="9072"/>
        </w:tabs>
        <w:rPr>
          <w:rFonts w:ascii="Arial" w:hAnsi="Arial" w:cs="Arial"/>
          <w:b/>
          <w:bCs/>
          <w:sz w:val="25"/>
        </w:rPr>
      </w:pPr>
    </w:p>
    <w:p w14:paraId="0B267135" w14:textId="6136CECC" w:rsidR="00EC7430" w:rsidRDefault="00EC7430" w:rsidP="00476A69">
      <w:pPr>
        <w:tabs>
          <w:tab w:val="right" w:pos="9072"/>
        </w:tabs>
        <w:rPr>
          <w:rFonts w:ascii="Arial" w:hAnsi="Arial" w:cs="Arial"/>
          <w:sz w:val="25"/>
        </w:rPr>
      </w:pPr>
      <w:r>
        <w:rPr>
          <w:rFonts w:ascii="Arial" w:hAnsi="Arial" w:cs="Arial"/>
          <w:b/>
          <w:bCs/>
          <w:sz w:val="25"/>
        </w:rPr>
        <w:t xml:space="preserve">IRONWOOD FILMS (PTY) LTD </w:t>
      </w:r>
      <w:r>
        <w:rPr>
          <w:rFonts w:ascii="Arial" w:hAnsi="Arial" w:cs="Arial"/>
          <w:b/>
          <w:bCs/>
          <w:sz w:val="25"/>
        </w:rPr>
        <w:tab/>
      </w:r>
      <w:r>
        <w:rPr>
          <w:rFonts w:ascii="Arial" w:hAnsi="Arial" w:cs="Arial"/>
          <w:sz w:val="25"/>
        </w:rPr>
        <w:t>First respondent</w:t>
      </w:r>
    </w:p>
    <w:p w14:paraId="755B50D2" w14:textId="77777777" w:rsidR="00A03B14" w:rsidRDefault="00A03B14" w:rsidP="00476A69">
      <w:pPr>
        <w:tabs>
          <w:tab w:val="right" w:pos="9072"/>
        </w:tabs>
        <w:rPr>
          <w:rFonts w:ascii="Arial" w:hAnsi="Arial" w:cs="Arial"/>
          <w:b/>
          <w:bCs/>
          <w:sz w:val="25"/>
        </w:rPr>
      </w:pPr>
    </w:p>
    <w:p w14:paraId="5CD1AC09" w14:textId="4475C6E0" w:rsidR="00EC7430" w:rsidRDefault="00EC7430" w:rsidP="00476A69">
      <w:pPr>
        <w:tabs>
          <w:tab w:val="right" w:pos="9072"/>
        </w:tabs>
        <w:rPr>
          <w:rFonts w:ascii="Arial" w:hAnsi="Arial" w:cs="Arial"/>
          <w:sz w:val="25"/>
        </w:rPr>
      </w:pPr>
      <w:r>
        <w:rPr>
          <w:rFonts w:ascii="Arial" w:hAnsi="Arial" w:cs="Arial"/>
          <w:b/>
          <w:bCs/>
          <w:sz w:val="25"/>
        </w:rPr>
        <w:t xml:space="preserve">PIETERSE, ANDRE </w:t>
      </w:r>
      <w:r>
        <w:rPr>
          <w:rFonts w:ascii="Arial" w:hAnsi="Arial" w:cs="Arial"/>
          <w:b/>
          <w:bCs/>
          <w:sz w:val="25"/>
        </w:rPr>
        <w:tab/>
      </w:r>
      <w:r>
        <w:rPr>
          <w:rFonts w:ascii="Arial" w:hAnsi="Arial" w:cs="Arial"/>
          <w:sz w:val="25"/>
        </w:rPr>
        <w:t>Second respondent</w:t>
      </w:r>
    </w:p>
    <w:p w14:paraId="4FA5E074" w14:textId="77777777" w:rsidR="00A03B14" w:rsidRDefault="00A03B14" w:rsidP="00476A69">
      <w:pPr>
        <w:tabs>
          <w:tab w:val="right" w:pos="9072"/>
        </w:tabs>
        <w:rPr>
          <w:rFonts w:ascii="Arial" w:hAnsi="Arial" w:cs="Arial"/>
          <w:b/>
          <w:bCs/>
          <w:sz w:val="25"/>
        </w:rPr>
      </w:pPr>
    </w:p>
    <w:p w14:paraId="72C1AE6E" w14:textId="4B387323" w:rsidR="00EC7430" w:rsidRDefault="00EC7430" w:rsidP="00476A69">
      <w:pPr>
        <w:tabs>
          <w:tab w:val="right" w:pos="9072"/>
        </w:tabs>
        <w:rPr>
          <w:rFonts w:ascii="Arial" w:hAnsi="Arial" w:cs="Arial"/>
          <w:sz w:val="25"/>
        </w:rPr>
      </w:pPr>
      <w:r>
        <w:rPr>
          <w:rFonts w:ascii="Arial" w:hAnsi="Arial" w:cs="Arial"/>
          <w:b/>
          <w:bCs/>
          <w:sz w:val="25"/>
        </w:rPr>
        <w:t xml:space="preserve">MA-AFRIKA FILMS (PTY) LTD </w:t>
      </w:r>
      <w:r>
        <w:rPr>
          <w:rFonts w:ascii="Arial" w:hAnsi="Arial" w:cs="Arial"/>
          <w:b/>
          <w:bCs/>
          <w:sz w:val="25"/>
        </w:rPr>
        <w:tab/>
      </w:r>
      <w:r>
        <w:rPr>
          <w:rFonts w:ascii="Arial" w:hAnsi="Arial" w:cs="Arial"/>
          <w:sz w:val="25"/>
        </w:rPr>
        <w:t>Third respondent</w:t>
      </w:r>
    </w:p>
    <w:p w14:paraId="115BE00F" w14:textId="77777777" w:rsidR="00A03B14" w:rsidRDefault="00A03B14" w:rsidP="00476A69">
      <w:pPr>
        <w:tabs>
          <w:tab w:val="right" w:pos="9072"/>
        </w:tabs>
        <w:rPr>
          <w:rFonts w:ascii="Arial" w:hAnsi="Arial" w:cs="Arial"/>
          <w:b/>
          <w:bCs/>
          <w:sz w:val="25"/>
        </w:rPr>
      </w:pPr>
    </w:p>
    <w:p w14:paraId="0B4DB803" w14:textId="29A09AB5" w:rsidR="00EC7430" w:rsidRDefault="00EC7430" w:rsidP="00476A69">
      <w:pPr>
        <w:tabs>
          <w:tab w:val="right" w:pos="9072"/>
        </w:tabs>
        <w:rPr>
          <w:rFonts w:ascii="Arial" w:hAnsi="Arial" w:cs="Arial"/>
          <w:sz w:val="25"/>
        </w:rPr>
      </w:pPr>
      <w:r>
        <w:rPr>
          <w:rFonts w:ascii="Arial" w:hAnsi="Arial" w:cs="Arial"/>
          <w:b/>
          <w:bCs/>
          <w:sz w:val="25"/>
        </w:rPr>
        <w:t xml:space="preserve">CLIDET NO 962 (PTY) LTD </w:t>
      </w:r>
      <w:r>
        <w:rPr>
          <w:rFonts w:ascii="Arial" w:hAnsi="Arial" w:cs="Arial"/>
          <w:b/>
          <w:bCs/>
          <w:sz w:val="25"/>
        </w:rPr>
        <w:tab/>
      </w:r>
      <w:r>
        <w:rPr>
          <w:rFonts w:ascii="Arial" w:hAnsi="Arial" w:cs="Arial"/>
          <w:sz w:val="25"/>
        </w:rPr>
        <w:t>Fourth respondent</w:t>
      </w:r>
    </w:p>
    <w:p w14:paraId="3BFC0C0E" w14:textId="77777777" w:rsidR="00A03B14" w:rsidRDefault="00A03B14" w:rsidP="00476A69">
      <w:pPr>
        <w:tabs>
          <w:tab w:val="right" w:pos="9072"/>
        </w:tabs>
        <w:rPr>
          <w:rFonts w:ascii="Arial" w:hAnsi="Arial" w:cs="Arial"/>
          <w:b/>
          <w:bCs/>
          <w:sz w:val="25"/>
        </w:rPr>
      </w:pPr>
    </w:p>
    <w:p w14:paraId="3F98FCEB" w14:textId="0CAF4BCF" w:rsidR="00EC7430" w:rsidRDefault="00EC7430" w:rsidP="00476A69">
      <w:pPr>
        <w:tabs>
          <w:tab w:val="right" w:pos="9072"/>
        </w:tabs>
        <w:rPr>
          <w:rFonts w:ascii="Arial" w:hAnsi="Arial" w:cs="Arial"/>
          <w:sz w:val="25"/>
        </w:rPr>
      </w:pPr>
      <w:r>
        <w:rPr>
          <w:rFonts w:ascii="Arial" w:hAnsi="Arial" w:cs="Arial"/>
          <w:b/>
          <w:bCs/>
          <w:sz w:val="25"/>
        </w:rPr>
        <w:t xml:space="preserve">GWAGWA, NOLULAMO NOBANBISWANO </w:t>
      </w:r>
      <w:r>
        <w:rPr>
          <w:rFonts w:ascii="Arial" w:hAnsi="Arial" w:cs="Arial"/>
          <w:b/>
          <w:bCs/>
          <w:sz w:val="25"/>
        </w:rPr>
        <w:tab/>
      </w:r>
      <w:r>
        <w:rPr>
          <w:rFonts w:ascii="Arial" w:hAnsi="Arial" w:cs="Arial"/>
          <w:sz w:val="25"/>
        </w:rPr>
        <w:t>Fifth respondent</w:t>
      </w:r>
    </w:p>
    <w:p w14:paraId="4A683EF7" w14:textId="77777777" w:rsidR="00A03B14" w:rsidRDefault="00A03B14" w:rsidP="00476A69">
      <w:pPr>
        <w:tabs>
          <w:tab w:val="right" w:pos="9072"/>
        </w:tabs>
        <w:rPr>
          <w:rFonts w:ascii="Arial" w:hAnsi="Arial" w:cs="Arial"/>
          <w:b/>
          <w:bCs/>
          <w:sz w:val="25"/>
        </w:rPr>
      </w:pPr>
    </w:p>
    <w:p w14:paraId="6B2B9531" w14:textId="4F675658" w:rsidR="00EC7430" w:rsidRDefault="00EC7430" w:rsidP="00476A69">
      <w:pPr>
        <w:tabs>
          <w:tab w:val="right" w:pos="9072"/>
        </w:tabs>
        <w:rPr>
          <w:rFonts w:ascii="Arial" w:hAnsi="Arial" w:cs="Arial"/>
          <w:sz w:val="25"/>
        </w:rPr>
      </w:pPr>
      <w:r>
        <w:rPr>
          <w:rFonts w:ascii="Arial" w:hAnsi="Arial" w:cs="Arial"/>
          <w:b/>
          <w:bCs/>
          <w:sz w:val="25"/>
        </w:rPr>
        <w:t xml:space="preserve">DAKILE-HLONGWANE, SALUKAZI </w:t>
      </w:r>
      <w:r>
        <w:rPr>
          <w:rFonts w:ascii="Arial" w:hAnsi="Arial" w:cs="Arial"/>
          <w:b/>
          <w:bCs/>
          <w:sz w:val="25"/>
        </w:rPr>
        <w:tab/>
      </w:r>
      <w:r>
        <w:rPr>
          <w:rFonts w:ascii="Arial" w:hAnsi="Arial" w:cs="Arial"/>
          <w:sz w:val="25"/>
        </w:rPr>
        <w:t>Sixth respondent</w:t>
      </w:r>
    </w:p>
    <w:p w14:paraId="08B4F24E" w14:textId="77777777" w:rsidR="00A03B14" w:rsidRDefault="00A03B14" w:rsidP="00476A69">
      <w:pPr>
        <w:tabs>
          <w:tab w:val="right" w:pos="9072"/>
        </w:tabs>
        <w:rPr>
          <w:rFonts w:ascii="Arial" w:hAnsi="Arial" w:cs="Arial"/>
          <w:b/>
          <w:bCs/>
          <w:sz w:val="25"/>
        </w:rPr>
      </w:pPr>
    </w:p>
    <w:p w14:paraId="02076022" w14:textId="1C447122" w:rsidR="00EC7430" w:rsidRDefault="00EC7430" w:rsidP="00476A69">
      <w:pPr>
        <w:tabs>
          <w:tab w:val="right" w:pos="9072"/>
        </w:tabs>
      </w:pPr>
      <w:r>
        <w:rPr>
          <w:rFonts w:ascii="Arial" w:hAnsi="Arial" w:cs="Arial"/>
          <w:b/>
          <w:bCs/>
          <w:sz w:val="25"/>
        </w:rPr>
        <w:t xml:space="preserve">MTHEMBI-MAHANYELE, SANKIE DOLLY THEMBI </w:t>
      </w:r>
      <w:r>
        <w:rPr>
          <w:rFonts w:ascii="Arial" w:hAnsi="Arial" w:cs="Arial"/>
          <w:b/>
          <w:bCs/>
          <w:sz w:val="25"/>
        </w:rPr>
        <w:tab/>
      </w:r>
      <w:r>
        <w:rPr>
          <w:rFonts w:ascii="Arial" w:hAnsi="Arial" w:cs="Arial"/>
          <w:sz w:val="25"/>
        </w:rPr>
        <w:t>Seventh respondent</w:t>
      </w:r>
    </w:p>
    <w:p w14:paraId="6FFF980B" w14:textId="77777777" w:rsidR="00EC7430" w:rsidRDefault="00EC7430" w:rsidP="00476A69">
      <w:pPr>
        <w:widowControl/>
        <w:jc w:val="both"/>
        <w:rPr>
          <w:rFonts w:ascii="Arial" w:hAnsi="Arial" w:cs="Arial"/>
          <w:b/>
          <w:bCs/>
          <w:lang w:val="en-GB"/>
        </w:rPr>
      </w:pPr>
    </w:p>
    <w:p w14:paraId="0839832F" w14:textId="77777777" w:rsidR="00E14398" w:rsidRDefault="00E14398" w:rsidP="00476A69">
      <w:pPr>
        <w:widowControl/>
        <w:tabs>
          <w:tab w:val="right" w:pos="9026"/>
        </w:tabs>
        <w:spacing w:line="276" w:lineRule="auto"/>
        <w:ind w:right="-285"/>
        <w:jc w:val="both"/>
        <w:rPr>
          <w:rFonts w:ascii="Arial" w:hAnsi="Arial" w:cs="Arial"/>
          <w:lang w:val="en-GB"/>
        </w:rPr>
      </w:pPr>
    </w:p>
    <w:p w14:paraId="216A6164" w14:textId="714D1AD7" w:rsidR="006738FB" w:rsidRDefault="00E14398" w:rsidP="00476A69">
      <w:pPr>
        <w:widowControl/>
        <w:tabs>
          <w:tab w:val="right" w:pos="8222"/>
          <w:tab w:val="right" w:pos="8505"/>
        </w:tabs>
        <w:spacing w:line="276" w:lineRule="auto"/>
        <w:jc w:val="both"/>
        <w:rPr>
          <w:rFonts w:ascii="Arial" w:hAnsi="Arial" w:cs="Arial"/>
          <w:lang w:val="en-GB"/>
        </w:rPr>
      </w:pPr>
      <w:r>
        <w:rPr>
          <w:rFonts w:ascii="Arial" w:hAnsi="Arial" w:cs="Arial"/>
          <w:i/>
          <w:sz w:val="22"/>
          <w:szCs w:val="24"/>
        </w:rPr>
        <w:t>This</w:t>
      </w:r>
      <w:r w:rsidRPr="00A5212B">
        <w:rPr>
          <w:rFonts w:ascii="Arial" w:hAnsi="Arial" w:cs="Arial"/>
          <w:i/>
          <w:sz w:val="22"/>
          <w:szCs w:val="24"/>
        </w:rPr>
        <w:t xml:space="preserve"> </w:t>
      </w:r>
      <w:r>
        <w:rPr>
          <w:rFonts w:ascii="Arial" w:hAnsi="Arial" w:cs="Arial"/>
          <w:i/>
          <w:sz w:val="22"/>
          <w:szCs w:val="24"/>
        </w:rPr>
        <w:t>judgment</w:t>
      </w:r>
      <w:r w:rsidRPr="00A5212B">
        <w:rPr>
          <w:rFonts w:ascii="Arial" w:hAnsi="Arial" w:cs="Arial"/>
          <w:i/>
          <w:sz w:val="22"/>
          <w:szCs w:val="24"/>
        </w:rPr>
        <w:t xml:space="preserve"> </w:t>
      </w:r>
      <w:r>
        <w:rPr>
          <w:rFonts w:ascii="Arial" w:hAnsi="Arial" w:cs="Arial"/>
          <w:i/>
          <w:sz w:val="22"/>
          <w:szCs w:val="24"/>
        </w:rPr>
        <w:t xml:space="preserve">was </w:t>
      </w:r>
      <w:r w:rsidRPr="00A5212B">
        <w:rPr>
          <w:rFonts w:ascii="Arial" w:hAnsi="Arial" w:cs="Arial"/>
          <w:i/>
          <w:sz w:val="22"/>
          <w:szCs w:val="24"/>
        </w:rPr>
        <w:t>handed down electronically by circulation to the parties' and/or the parties' representatives by emai</w:t>
      </w:r>
      <w:r>
        <w:rPr>
          <w:rFonts w:ascii="Arial" w:hAnsi="Arial" w:cs="Arial"/>
          <w:i/>
          <w:sz w:val="22"/>
          <w:szCs w:val="24"/>
        </w:rPr>
        <w:t>l and by being uploaded onto Case</w:t>
      </w:r>
      <w:r w:rsidRPr="00A5212B">
        <w:rPr>
          <w:rFonts w:ascii="Arial" w:hAnsi="Arial" w:cs="Arial"/>
          <w:i/>
          <w:sz w:val="22"/>
          <w:szCs w:val="24"/>
        </w:rPr>
        <w:t xml:space="preserve">Lines. The date and time for hand-down is deemed to be </w:t>
      </w:r>
      <w:r w:rsidR="004A6139">
        <w:rPr>
          <w:rFonts w:ascii="Arial" w:hAnsi="Arial" w:cs="Arial"/>
          <w:i/>
          <w:sz w:val="22"/>
          <w:szCs w:val="24"/>
        </w:rPr>
        <w:t xml:space="preserve">28 February </w:t>
      </w:r>
      <w:r w:rsidRPr="00A5212B">
        <w:rPr>
          <w:rFonts w:ascii="Arial" w:hAnsi="Arial" w:cs="Arial"/>
          <w:i/>
          <w:sz w:val="22"/>
          <w:szCs w:val="24"/>
        </w:rPr>
        <w:t>202</w:t>
      </w:r>
      <w:r w:rsidR="00697CF0">
        <w:rPr>
          <w:rFonts w:ascii="Arial" w:hAnsi="Arial" w:cs="Arial"/>
          <w:i/>
          <w:sz w:val="22"/>
          <w:szCs w:val="24"/>
        </w:rPr>
        <w:t>4</w:t>
      </w:r>
      <w:r w:rsidRPr="00A5212B">
        <w:rPr>
          <w:rFonts w:ascii="Arial" w:hAnsi="Arial" w:cs="Arial"/>
          <w:i/>
          <w:sz w:val="22"/>
          <w:szCs w:val="24"/>
        </w:rPr>
        <w:t>.</w:t>
      </w:r>
      <w:r w:rsidR="00E535AB">
        <w:rPr>
          <w:rFonts w:ascii="Arial" w:hAnsi="Arial" w:cs="Arial"/>
          <w:lang w:val="en-GB"/>
        </w:rPr>
        <w:tab/>
      </w:r>
    </w:p>
    <w:p w14:paraId="0926FF77" w14:textId="698AE1CD" w:rsidR="00CE31B5" w:rsidRDefault="00734ADD" w:rsidP="00476A69">
      <w:pPr>
        <w:widowControl/>
        <w:tabs>
          <w:tab w:val="right" w:pos="8222"/>
          <w:tab w:val="right" w:pos="8505"/>
        </w:tabs>
        <w:spacing w:line="276" w:lineRule="auto"/>
        <w:jc w:val="both"/>
      </w:pPr>
      <w:r>
        <w:t>___________________________________________________________________________</w:t>
      </w:r>
    </w:p>
    <w:p w14:paraId="38232C4E" w14:textId="77777777" w:rsidR="00BC5E1D" w:rsidRDefault="00416C87" w:rsidP="00476A69">
      <w:pPr>
        <w:widowControl/>
        <w:tabs>
          <w:tab w:val="center" w:pos="4278"/>
        </w:tabs>
        <w:spacing w:line="276" w:lineRule="auto"/>
        <w:jc w:val="both"/>
        <w:rPr>
          <w:rFonts w:ascii="Arial" w:hAnsi="Arial" w:cs="Arial"/>
          <w:b/>
          <w:bCs/>
          <w:lang w:val="en-GB"/>
        </w:rPr>
      </w:pPr>
      <w:r w:rsidRPr="00DC7AFE">
        <w:rPr>
          <w:rFonts w:ascii="Arial" w:hAnsi="Arial" w:cs="Arial"/>
          <w:b/>
          <w:bCs/>
          <w:lang w:val="en-GB"/>
        </w:rPr>
        <w:tab/>
      </w:r>
    </w:p>
    <w:p w14:paraId="38678F64" w14:textId="77777777" w:rsidR="00475AF2" w:rsidRPr="00DC7AFE" w:rsidRDefault="00416C87" w:rsidP="00476A69">
      <w:pPr>
        <w:widowControl/>
        <w:tabs>
          <w:tab w:val="center" w:pos="4278"/>
        </w:tabs>
        <w:spacing w:line="276" w:lineRule="auto"/>
        <w:jc w:val="center"/>
        <w:rPr>
          <w:rFonts w:ascii="Arial" w:hAnsi="Arial" w:cs="Arial"/>
          <w:b/>
          <w:bCs/>
          <w:lang w:val="en-GB"/>
        </w:rPr>
      </w:pPr>
      <w:r w:rsidRPr="00DC7AFE">
        <w:rPr>
          <w:rFonts w:ascii="Arial" w:hAnsi="Arial" w:cs="Arial"/>
          <w:b/>
          <w:bCs/>
          <w:lang w:val="en-GB"/>
        </w:rPr>
        <w:t>JUDGMENT</w:t>
      </w:r>
    </w:p>
    <w:p w14:paraId="77F4CE1C" w14:textId="68EEB0B4" w:rsidR="00CE31B5" w:rsidRDefault="00734ADD" w:rsidP="00476A69">
      <w:pPr>
        <w:spacing w:line="276" w:lineRule="auto"/>
      </w:pPr>
      <w:r>
        <w:t>___________________________________________________________________________</w:t>
      </w:r>
    </w:p>
    <w:p w14:paraId="0593FFC3" w14:textId="77777777" w:rsidR="00C44C06" w:rsidRPr="00DC7AFE" w:rsidRDefault="00C44C06" w:rsidP="00476A69">
      <w:pPr>
        <w:widowControl/>
        <w:tabs>
          <w:tab w:val="left" w:pos="851"/>
          <w:tab w:val="left" w:pos="1701"/>
          <w:tab w:val="left" w:pos="2835"/>
          <w:tab w:val="left" w:pos="3969"/>
          <w:tab w:val="right" w:pos="8222"/>
        </w:tabs>
        <w:autoSpaceDE/>
        <w:autoSpaceDN/>
        <w:adjustRightInd/>
        <w:spacing w:line="276" w:lineRule="auto"/>
        <w:jc w:val="both"/>
        <w:rPr>
          <w:rFonts w:ascii="Arial" w:hAnsi="Arial" w:cs="Arial"/>
          <w:lang w:val="en-GB"/>
        </w:rPr>
      </w:pPr>
    </w:p>
    <w:p w14:paraId="19C78B6C" w14:textId="01825F39" w:rsidR="00D879AE" w:rsidRPr="009900DF" w:rsidRDefault="009E44AD" w:rsidP="00476A69">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A03B14">
        <w:rPr>
          <w:rFonts w:ascii="Arial" w:hAnsi="Arial" w:cs="Arial"/>
          <w:b/>
          <w:caps/>
          <w:u w:val="single"/>
          <w:lang w:val="en-GB"/>
        </w:rPr>
        <w:t xml:space="preserve">STEIN </w:t>
      </w:r>
      <w:r w:rsidR="007D2580" w:rsidRPr="00A03B14">
        <w:rPr>
          <w:rFonts w:ascii="Arial" w:hAnsi="Arial" w:cs="Arial"/>
          <w:b/>
          <w:caps/>
          <w:u w:val="single"/>
          <w:lang w:val="en-GB"/>
        </w:rPr>
        <w:t>AJ</w:t>
      </w:r>
      <w:r w:rsidR="00734ADD">
        <w:rPr>
          <w:rFonts w:ascii="Arial" w:hAnsi="Arial" w:cs="Arial"/>
          <w:caps/>
          <w:lang w:val="en-GB"/>
        </w:rPr>
        <w:t>:</w:t>
      </w:r>
    </w:p>
    <w:p w14:paraId="173C6ED3" w14:textId="77777777" w:rsidR="00E14398" w:rsidRDefault="00E14398"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4745E29" w14:textId="6C9E3137" w:rsidR="00DD5973" w:rsidRPr="00620661" w:rsidRDefault="00DD5973" w:rsidP="00476A69">
      <w:pPr>
        <w:widowControl/>
        <w:tabs>
          <w:tab w:val="left" w:pos="851"/>
          <w:tab w:val="left" w:pos="1701"/>
          <w:tab w:val="left" w:pos="2835"/>
          <w:tab w:val="left" w:pos="3969"/>
          <w:tab w:val="right" w:pos="8222"/>
        </w:tabs>
        <w:autoSpaceDE/>
        <w:autoSpaceDN/>
        <w:adjustRightInd/>
        <w:spacing w:line="276" w:lineRule="auto"/>
        <w:jc w:val="both"/>
        <w:rPr>
          <w:rFonts w:ascii="Arial" w:hAnsi="Arial" w:cs="Arial"/>
          <w:b/>
          <w:bCs/>
          <w:caps/>
          <w:szCs w:val="24"/>
          <w:lang w:val="en-GB"/>
        </w:rPr>
      </w:pPr>
      <w:r w:rsidRPr="00620661">
        <w:rPr>
          <w:rFonts w:ascii="Arial" w:hAnsi="Arial" w:cs="Arial"/>
          <w:b/>
          <w:bCs/>
          <w:caps/>
          <w:szCs w:val="24"/>
          <w:lang w:val="en-GB"/>
        </w:rPr>
        <w:t>introduction</w:t>
      </w:r>
      <w:r w:rsidR="009E44AD">
        <w:rPr>
          <w:rFonts w:ascii="Arial" w:hAnsi="Arial" w:cs="Arial"/>
          <w:b/>
          <w:bCs/>
          <w:caps/>
          <w:szCs w:val="24"/>
          <w:lang w:val="en-GB"/>
        </w:rPr>
        <w:t xml:space="preserve"> and preliminary matters </w:t>
      </w:r>
    </w:p>
    <w:p w14:paraId="7F4D05A3" w14:textId="77777777" w:rsidR="00DD5973" w:rsidRPr="00620661" w:rsidRDefault="00DD5973" w:rsidP="00476A69">
      <w:pPr>
        <w:widowControl/>
        <w:tabs>
          <w:tab w:val="left" w:pos="851"/>
          <w:tab w:val="left" w:pos="1701"/>
          <w:tab w:val="left" w:pos="2835"/>
          <w:tab w:val="left" w:pos="3969"/>
          <w:tab w:val="right" w:pos="8222"/>
        </w:tabs>
        <w:autoSpaceDE/>
        <w:autoSpaceDN/>
        <w:adjustRightInd/>
        <w:spacing w:line="276" w:lineRule="auto"/>
        <w:jc w:val="both"/>
        <w:rPr>
          <w:rFonts w:ascii="Arial" w:hAnsi="Arial" w:cs="Arial"/>
          <w:b/>
          <w:bCs/>
          <w:caps/>
          <w:szCs w:val="24"/>
          <w:lang w:val="en-GB"/>
        </w:rPr>
      </w:pPr>
    </w:p>
    <w:p w14:paraId="6513B83B" w14:textId="1495FDE6" w:rsidR="00A23DF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w:t>
      </w:r>
      <w:r>
        <w:rPr>
          <w:rFonts w:ascii="Arial" w:hAnsi="Arial" w:cs="Arial"/>
          <w:szCs w:val="24"/>
          <w:lang w:val="en-GB"/>
        </w:rPr>
        <w:tab/>
      </w:r>
      <w:r w:rsidR="009E44AD" w:rsidRPr="00061A74">
        <w:rPr>
          <w:rFonts w:ascii="Arial" w:hAnsi="Arial" w:cs="Arial"/>
          <w:lang w:val="en-GB"/>
        </w:rPr>
        <w:t xml:space="preserve">In the two applications that are before me, the applicant, which is the same in both applications, seeks leave to amend its </w:t>
      </w:r>
      <w:r w:rsidR="00341F2B">
        <w:rPr>
          <w:rFonts w:ascii="Arial" w:hAnsi="Arial" w:cs="Arial"/>
          <w:lang w:val="en-GB"/>
        </w:rPr>
        <w:t>particulars of claim</w:t>
      </w:r>
      <w:r w:rsidR="009E44AD" w:rsidRPr="00061A74">
        <w:rPr>
          <w:rFonts w:ascii="Arial" w:hAnsi="Arial" w:cs="Arial"/>
          <w:lang w:val="en-GB"/>
        </w:rPr>
        <w:t xml:space="preserve"> in each of the respective underlying action proceedings.  The applicant is the plaintiff in both proceedings</w:t>
      </w:r>
      <w:r w:rsidR="00A23DF7" w:rsidRPr="00061A74">
        <w:rPr>
          <w:rFonts w:ascii="Arial" w:hAnsi="Arial" w:cs="Arial"/>
          <w:lang w:val="en-GB"/>
        </w:rPr>
        <w:t xml:space="preserve"> and the respondents are the respective defendants. The respondents in the respective proceedings have objected to the proposed amendments on a variety of grounds</w:t>
      </w:r>
      <w:r w:rsidR="00337C51">
        <w:rPr>
          <w:rFonts w:ascii="Arial" w:hAnsi="Arial" w:cs="Arial"/>
          <w:lang w:val="en-GB"/>
        </w:rPr>
        <w:t xml:space="preserve"> under Rule 28(3)</w:t>
      </w:r>
      <w:r w:rsidR="00A23DF7" w:rsidRPr="00061A74">
        <w:rPr>
          <w:rFonts w:ascii="Arial" w:hAnsi="Arial" w:cs="Arial"/>
          <w:lang w:val="en-GB"/>
        </w:rPr>
        <w:t xml:space="preserve">. For convenience, I refer to the application of the </w:t>
      </w:r>
      <w:r w:rsidR="00A23DF7" w:rsidRPr="00061A74">
        <w:rPr>
          <w:rFonts w:ascii="Arial" w:hAnsi="Arial" w:cs="Arial"/>
          <w:i/>
          <w:iCs/>
          <w:lang w:val="en-GB"/>
        </w:rPr>
        <w:t>National Empowerment Fund and Cloverleaf Films (Pty) Limited and Others</w:t>
      </w:r>
      <w:r w:rsidR="00A23DF7" w:rsidRPr="00061A74">
        <w:rPr>
          <w:rFonts w:ascii="Arial" w:hAnsi="Arial" w:cs="Arial"/>
          <w:lang w:val="en-GB"/>
        </w:rPr>
        <w:t xml:space="preserve"> </w:t>
      </w:r>
      <w:r w:rsidR="00461FC2">
        <w:rPr>
          <w:rFonts w:ascii="Arial" w:hAnsi="Arial" w:cs="Arial"/>
          <w:lang w:val="en-GB"/>
        </w:rPr>
        <w:t xml:space="preserve">(case no. </w:t>
      </w:r>
      <w:r w:rsidR="00AA3F12">
        <w:rPr>
          <w:rFonts w:ascii="Arial" w:hAnsi="Arial" w:cs="Arial"/>
          <w:lang w:val="en-GB"/>
        </w:rPr>
        <w:t>2014/</w:t>
      </w:r>
      <w:r w:rsidR="00461FC2">
        <w:rPr>
          <w:rFonts w:ascii="Arial" w:hAnsi="Arial" w:cs="Arial"/>
          <w:lang w:val="en-GB"/>
        </w:rPr>
        <w:t xml:space="preserve">40058) </w:t>
      </w:r>
      <w:r w:rsidR="00A23DF7" w:rsidRPr="00061A74">
        <w:rPr>
          <w:rFonts w:ascii="Arial" w:hAnsi="Arial" w:cs="Arial"/>
          <w:lang w:val="en-GB"/>
        </w:rPr>
        <w:t>as the “</w:t>
      </w:r>
      <w:r w:rsidR="00A23DF7" w:rsidRPr="00461FC2">
        <w:rPr>
          <w:rFonts w:ascii="Arial" w:hAnsi="Arial" w:cs="Arial"/>
          <w:b/>
          <w:bCs/>
          <w:lang w:val="en-GB"/>
        </w:rPr>
        <w:t>Cloverleaf Films application</w:t>
      </w:r>
      <w:r w:rsidR="00A23DF7" w:rsidRPr="00061A74">
        <w:rPr>
          <w:rFonts w:ascii="Arial" w:hAnsi="Arial" w:cs="Arial"/>
          <w:lang w:val="en-GB"/>
        </w:rPr>
        <w:t xml:space="preserve">” and the application of the </w:t>
      </w:r>
      <w:r w:rsidR="00A23DF7" w:rsidRPr="00061A74">
        <w:rPr>
          <w:rFonts w:ascii="Arial" w:hAnsi="Arial" w:cs="Arial"/>
          <w:i/>
          <w:iCs/>
          <w:lang w:val="en-GB"/>
        </w:rPr>
        <w:t xml:space="preserve">National Empowerment Fund and </w:t>
      </w:r>
      <w:r w:rsidR="00061A74" w:rsidRPr="00061A74">
        <w:rPr>
          <w:rFonts w:ascii="Arial" w:hAnsi="Arial" w:cs="Arial"/>
          <w:i/>
          <w:iCs/>
          <w:lang w:val="en-GB"/>
        </w:rPr>
        <w:t xml:space="preserve">Ironwood </w:t>
      </w:r>
      <w:r w:rsidR="00A23DF7" w:rsidRPr="00061A74">
        <w:rPr>
          <w:rFonts w:ascii="Arial" w:hAnsi="Arial" w:cs="Arial"/>
          <w:i/>
          <w:iCs/>
          <w:lang w:val="en-GB"/>
        </w:rPr>
        <w:t>Films (Pty) Limited and Others</w:t>
      </w:r>
      <w:r w:rsidR="00A23DF7" w:rsidRPr="00061A74">
        <w:rPr>
          <w:rFonts w:ascii="Arial" w:hAnsi="Arial" w:cs="Arial"/>
          <w:lang w:val="en-GB"/>
        </w:rPr>
        <w:t xml:space="preserve"> </w:t>
      </w:r>
      <w:r w:rsidR="00461FC2">
        <w:rPr>
          <w:rFonts w:ascii="Arial" w:hAnsi="Arial" w:cs="Arial"/>
          <w:lang w:val="en-GB"/>
        </w:rPr>
        <w:t xml:space="preserve">(case no. </w:t>
      </w:r>
      <w:r w:rsidR="00AA3F12">
        <w:rPr>
          <w:rFonts w:ascii="Arial" w:hAnsi="Arial" w:cs="Arial"/>
          <w:lang w:val="en-GB"/>
        </w:rPr>
        <w:t>2014/</w:t>
      </w:r>
      <w:r w:rsidR="00461FC2">
        <w:rPr>
          <w:rFonts w:ascii="Arial" w:hAnsi="Arial" w:cs="Arial"/>
          <w:lang w:val="en-GB"/>
        </w:rPr>
        <w:t xml:space="preserve">40054) </w:t>
      </w:r>
      <w:r w:rsidR="00A23DF7" w:rsidRPr="00061A74">
        <w:rPr>
          <w:rFonts w:ascii="Arial" w:hAnsi="Arial" w:cs="Arial"/>
          <w:lang w:val="en-GB"/>
        </w:rPr>
        <w:t>as the</w:t>
      </w:r>
      <w:r w:rsidR="00061A74" w:rsidRPr="00061A74">
        <w:rPr>
          <w:rFonts w:ascii="Arial" w:hAnsi="Arial" w:cs="Arial"/>
          <w:lang w:val="en-GB"/>
        </w:rPr>
        <w:t xml:space="preserve"> </w:t>
      </w:r>
      <w:r w:rsidR="00061A74" w:rsidRPr="00061A74">
        <w:rPr>
          <w:rFonts w:ascii="Arial" w:hAnsi="Arial" w:cs="Arial"/>
          <w:lang w:val="en-GB"/>
        </w:rPr>
        <w:lastRenderedPageBreak/>
        <w:t>“</w:t>
      </w:r>
      <w:r w:rsidR="00061A74" w:rsidRPr="00461FC2">
        <w:rPr>
          <w:rFonts w:ascii="Arial" w:hAnsi="Arial" w:cs="Arial"/>
          <w:b/>
          <w:bCs/>
          <w:lang w:val="en-GB"/>
        </w:rPr>
        <w:t>Ironwood Films application</w:t>
      </w:r>
      <w:r w:rsidR="00061A74" w:rsidRPr="00061A74">
        <w:rPr>
          <w:rFonts w:ascii="Arial" w:hAnsi="Arial" w:cs="Arial"/>
          <w:lang w:val="en-GB"/>
        </w:rPr>
        <w:t>”.</w:t>
      </w:r>
      <w:r w:rsidR="00061A74">
        <w:rPr>
          <w:rFonts w:ascii="Arial" w:hAnsi="Arial" w:cs="Arial"/>
          <w:lang w:val="en-GB"/>
        </w:rPr>
        <w:t xml:space="preserve">  I will refer to the respective parties by their designations in the present application proceedings.  </w:t>
      </w:r>
    </w:p>
    <w:p w14:paraId="7E4BE92C"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2C48673" w14:textId="1B833BB3" w:rsidR="00061A74"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w:t>
      </w:r>
      <w:r>
        <w:rPr>
          <w:rFonts w:ascii="Arial" w:hAnsi="Arial" w:cs="Arial"/>
          <w:szCs w:val="24"/>
          <w:lang w:val="en-GB"/>
        </w:rPr>
        <w:tab/>
      </w:r>
      <w:r w:rsidR="00061A74">
        <w:rPr>
          <w:rFonts w:ascii="Arial" w:hAnsi="Arial" w:cs="Arial"/>
          <w:lang w:val="en-GB"/>
        </w:rPr>
        <w:t>By Notice of Withdrawal the applicant withdrew its claim against the second and third defendants (second and third respondents in the present applications) and accordingly where I refer to the respondents</w:t>
      </w:r>
      <w:r w:rsidR="00F24FF8">
        <w:rPr>
          <w:rFonts w:ascii="Arial" w:hAnsi="Arial" w:cs="Arial"/>
          <w:lang w:val="en-GB"/>
        </w:rPr>
        <w:t xml:space="preserve"> collectively and unless otherwise indicated, this does not include the second and third respondents in each of the applications.</w:t>
      </w:r>
    </w:p>
    <w:p w14:paraId="772DD732"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BB7FAD5" w14:textId="0175B3E6" w:rsidR="00F24FF8"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w:t>
      </w:r>
      <w:r>
        <w:rPr>
          <w:rFonts w:ascii="Arial" w:hAnsi="Arial" w:cs="Arial"/>
          <w:szCs w:val="24"/>
          <w:lang w:val="en-GB"/>
        </w:rPr>
        <w:tab/>
      </w:r>
      <w:r w:rsidR="00F24FF8">
        <w:rPr>
          <w:rFonts w:ascii="Arial" w:hAnsi="Arial" w:cs="Arial"/>
          <w:lang w:val="en-GB"/>
        </w:rPr>
        <w:t xml:space="preserve">At the outset of the hearing I was informed that both parties agree that the issues raised in each of these applications for leave to amend, and the objections which give rise to them, are identical in all material respects. </w:t>
      </w:r>
      <w:r w:rsidR="00461FC2">
        <w:rPr>
          <w:rFonts w:ascii="Arial" w:hAnsi="Arial" w:cs="Arial"/>
          <w:lang w:val="en-GB"/>
        </w:rPr>
        <w:t>F</w:t>
      </w:r>
      <w:r w:rsidR="00F24FF8">
        <w:rPr>
          <w:rFonts w:ascii="Arial" w:hAnsi="Arial" w:cs="Arial"/>
          <w:lang w:val="en-GB"/>
        </w:rPr>
        <w:t xml:space="preserve">or the most part, </w:t>
      </w:r>
      <w:r w:rsidR="00461FC2">
        <w:rPr>
          <w:rFonts w:ascii="Arial" w:hAnsi="Arial" w:cs="Arial"/>
          <w:lang w:val="en-GB"/>
        </w:rPr>
        <w:t xml:space="preserve">argument was confined to the </w:t>
      </w:r>
      <w:r w:rsidR="00F24FF8">
        <w:rPr>
          <w:rFonts w:ascii="Arial" w:hAnsi="Arial" w:cs="Arial"/>
          <w:lang w:val="en-GB"/>
        </w:rPr>
        <w:t>Cloverleaf Films application and the applications were argued on the basis of that application alone.  It was indicated to me</w:t>
      </w:r>
      <w:r w:rsidR="00461FC2">
        <w:rPr>
          <w:rFonts w:ascii="Arial" w:hAnsi="Arial" w:cs="Arial"/>
          <w:lang w:val="en-GB"/>
        </w:rPr>
        <w:t xml:space="preserve"> by counsel who appeared for both parties</w:t>
      </w:r>
      <w:r w:rsidR="00F24FF8">
        <w:rPr>
          <w:rFonts w:ascii="Arial" w:hAnsi="Arial" w:cs="Arial"/>
          <w:lang w:val="en-GB"/>
        </w:rPr>
        <w:t xml:space="preserve"> that what was argued in respect of the Cloverleaf Films application</w:t>
      </w:r>
      <w:r w:rsidR="00571F3F">
        <w:rPr>
          <w:rFonts w:ascii="Arial" w:hAnsi="Arial" w:cs="Arial"/>
          <w:lang w:val="en-GB"/>
        </w:rPr>
        <w:t xml:space="preserve"> applied to the Ironwood Films application and that I could</w:t>
      </w:r>
      <w:r w:rsidR="00461FC2">
        <w:rPr>
          <w:rFonts w:ascii="Arial" w:hAnsi="Arial" w:cs="Arial"/>
          <w:lang w:val="en-GB"/>
        </w:rPr>
        <w:t>,</w:t>
      </w:r>
      <w:r w:rsidR="00571F3F">
        <w:rPr>
          <w:rFonts w:ascii="Arial" w:hAnsi="Arial" w:cs="Arial"/>
          <w:lang w:val="en-GB"/>
        </w:rPr>
        <w:t xml:space="preserve"> and should</w:t>
      </w:r>
      <w:r w:rsidR="00461FC2">
        <w:rPr>
          <w:rFonts w:ascii="Arial" w:hAnsi="Arial" w:cs="Arial"/>
          <w:lang w:val="en-GB"/>
        </w:rPr>
        <w:t>,</w:t>
      </w:r>
      <w:r w:rsidR="00571F3F">
        <w:rPr>
          <w:rFonts w:ascii="Arial" w:hAnsi="Arial" w:cs="Arial"/>
          <w:lang w:val="en-GB"/>
        </w:rPr>
        <w:t xml:space="preserve"> consider and hand down judgment in respect of both of these applications together.  I consider that to be sensible and appropriate</w:t>
      </w:r>
      <w:r w:rsidR="00461FC2">
        <w:rPr>
          <w:rFonts w:ascii="Arial" w:hAnsi="Arial" w:cs="Arial"/>
          <w:lang w:val="en-GB"/>
        </w:rPr>
        <w:t>.</w:t>
      </w:r>
      <w:r w:rsidR="00571F3F">
        <w:rPr>
          <w:rFonts w:ascii="Arial" w:hAnsi="Arial" w:cs="Arial"/>
          <w:lang w:val="en-GB"/>
        </w:rPr>
        <w:t xml:space="preserve"> </w:t>
      </w:r>
      <w:r w:rsidR="00461FC2">
        <w:rPr>
          <w:rFonts w:ascii="Arial" w:hAnsi="Arial" w:cs="Arial"/>
          <w:lang w:val="en-GB"/>
        </w:rPr>
        <w:t>A</w:t>
      </w:r>
      <w:r w:rsidR="00571F3F">
        <w:rPr>
          <w:rFonts w:ascii="Arial" w:hAnsi="Arial" w:cs="Arial"/>
          <w:lang w:val="en-GB"/>
        </w:rPr>
        <w:t>ccordingly</w:t>
      </w:r>
      <w:r w:rsidR="00461FC2">
        <w:rPr>
          <w:rFonts w:ascii="Arial" w:hAnsi="Arial" w:cs="Arial"/>
          <w:lang w:val="en-GB"/>
        </w:rPr>
        <w:t>,</w:t>
      </w:r>
      <w:r w:rsidR="00571F3F">
        <w:rPr>
          <w:rFonts w:ascii="Arial" w:hAnsi="Arial" w:cs="Arial"/>
          <w:lang w:val="en-GB"/>
        </w:rPr>
        <w:t xml:space="preserve"> my reasoning in respect the Cloverleaf Films application should be taken to apply to the Ironwood Films application, unless the contrary is stated.</w:t>
      </w:r>
    </w:p>
    <w:p w14:paraId="672D177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3BED4AF" w14:textId="67E2C392" w:rsidR="00571F3F"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w:t>
      </w:r>
      <w:r>
        <w:rPr>
          <w:rFonts w:ascii="Arial" w:hAnsi="Arial" w:cs="Arial"/>
          <w:szCs w:val="24"/>
          <w:lang w:val="en-GB"/>
        </w:rPr>
        <w:tab/>
      </w:r>
      <w:r w:rsidR="00571F3F">
        <w:rPr>
          <w:rFonts w:ascii="Arial" w:hAnsi="Arial" w:cs="Arial"/>
          <w:lang w:val="en-GB"/>
        </w:rPr>
        <w:t>The action proceedings were instituted in October 2014.  Since then the matter has had a lengthy procedural history, including exceptions, amendments and an application to dismiss the action for want of its prosecution brought by the respondents, which</w:t>
      </w:r>
      <w:r w:rsidR="00461FC2">
        <w:rPr>
          <w:rFonts w:ascii="Arial" w:hAnsi="Arial" w:cs="Arial"/>
          <w:lang w:val="en-GB"/>
        </w:rPr>
        <w:t xml:space="preserve"> application</w:t>
      </w:r>
      <w:r w:rsidR="00571F3F">
        <w:rPr>
          <w:rFonts w:ascii="Arial" w:hAnsi="Arial" w:cs="Arial"/>
          <w:lang w:val="en-GB"/>
        </w:rPr>
        <w:t xml:space="preserve"> remains pending.  I refer to this procedural </w:t>
      </w:r>
      <w:r w:rsidR="008564EB">
        <w:rPr>
          <w:rFonts w:ascii="Arial" w:hAnsi="Arial" w:cs="Arial"/>
          <w:lang w:val="en-GB"/>
        </w:rPr>
        <w:t>history where apposite below.  Suffice to observe for the present purposes that delay is not one of the grounds of objection raised by the respondents and the matter has not as yet proceeded to trial nor</w:t>
      </w:r>
      <w:r w:rsidR="00461FC2">
        <w:rPr>
          <w:rFonts w:ascii="Arial" w:hAnsi="Arial" w:cs="Arial"/>
          <w:lang w:val="en-GB"/>
        </w:rPr>
        <w:t xml:space="preserve"> does it appear that</w:t>
      </w:r>
      <w:r w:rsidR="008564EB">
        <w:rPr>
          <w:rFonts w:ascii="Arial" w:hAnsi="Arial" w:cs="Arial"/>
          <w:lang w:val="en-GB"/>
        </w:rPr>
        <w:t xml:space="preserve"> any of the procedural antecedents to trial, such as discovery or requests for further particulars, </w:t>
      </w:r>
      <w:r w:rsidR="002F02C7">
        <w:rPr>
          <w:rFonts w:ascii="Arial" w:hAnsi="Arial" w:cs="Arial"/>
          <w:lang w:val="en-GB"/>
        </w:rPr>
        <w:t xml:space="preserve">has </w:t>
      </w:r>
      <w:r w:rsidR="008564EB">
        <w:rPr>
          <w:rFonts w:ascii="Arial" w:hAnsi="Arial" w:cs="Arial"/>
          <w:lang w:val="en-GB"/>
        </w:rPr>
        <w:t>occurred.</w:t>
      </w:r>
    </w:p>
    <w:p w14:paraId="20B577E0"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70DB7FA" w14:textId="1716FC89" w:rsidR="008564E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[5]</w:t>
      </w:r>
      <w:r>
        <w:rPr>
          <w:rFonts w:ascii="Arial" w:hAnsi="Arial" w:cs="Arial"/>
          <w:szCs w:val="24"/>
          <w:lang w:val="en-GB"/>
        </w:rPr>
        <w:tab/>
      </w:r>
      <w:r w:rsidR="008564EB">
        <w:rPr>
          <w:rFonts w:ascii="Arial" w:hAnsi="Arial" w:cs="Arial"/>
          <w:lang w:val="en-GB"/>
        </w:rPr>
        <w:t xml:space="preserve">Before addressing each of the </w:t>
      </w:r>
      <w:r w:rsidR="00461FC2">
        <w:rPr>
          <w:rFonts w:ascii="Arial" w:hAnsi="Arial" w:cs="Arial"/>
          <w:lang w:val="en-GB"/>
        </w:rPr>
        <w:t xml:space="preserve">particular </w:t>
      </w:r>
      <w:r w:rsidR="008564EB">
        <w:rPr>
          <w:rFonts w:ascii="Arial" w:hAnsi="Arial" w:cs="Arial"/>
          <w:lang w:val="en-GB"/>
        </w:rPr>
        <w:t>objections raised by the respondents, it is necessary briefly to traverse the relevant legal principles pertaining to applications for amendment and objections to proposed amendments.</w:t>
      </w:r>
    </w:p>
    <w:p w14:paraId="492782D7"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3BE9C278" w14:textId="6CC47E20" w:rsidR="00697CF0" w:rsidRPr="00697CF0" w:rsidRDefault="00697CF0"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697CF0">
        <w:rPr>
          <w:rFonts w:ascii="Arial" w:hAnsi="Arial" w:cs="Arial"/>
          <w:b/>
          <w:bCs/>
          <w:lang w:val="en-GB"/>
        </w:rPr>
        <w:t>RELEVANT LEGAL PRINCIPLES</w:t>
      </w:r>
    </w:p>
    <w:p w14:paraId="46BBB611"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52D70F3" w14:textId="140B7868" w:rsidR="008564EB" w:rsidRPr="006C5164"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6C5164">
        <w:rPr>
          <w:rFonts w:ascii="Arial" w:hAnsi="Arial" w:cs="Arial"/>
          <w:szCs w:val="24"/>
          <w:lang w:val="en-GB"/>
        </w:rPr>
        <w:t>[6]</w:t>
      </w:r>
      <w:r w:rsidRPr="006C5164">
        <w:rPr>
          <w:rFonts w:ascii="Arial" w:hAnsi="Arial" w:cs="Arial"/>
          <w:szCs w:val="24"/>
          <w:lang w:val="en-GB"/>
        </w:rPr>
        <w:tab/>
      </w:r>
      <w:r w:rsidR="00697CF0">
        <w:rPr>
          <w:rFonts w:ascii="Arial" w:hAnsi="Arial" w:cs="Arial"/>
          <w:lang w:val="en-GB"/>
        </w:rPr>
        <w:t>The fundamental princ</w:t>
      </w:r>
      <w:r w:rsidR="00886758">
        <w:rPr>
          <w:rFonts w:ascii="Arial" w:hAnsi="Arial" w:cs="Arial"/>
          <w:lang w:val="en-GB"/>
        </w:rPr>
        <w:t>iples governing amendments to pleadings are well</w:t>
      </w:r>
      <w:r w:rsidR="00A63539">
        <w:rPr>
          <w:rFonts w:ascii="Arial" w:hAnsi="Arial" w:cs="Arial"/>
          <w:lang w:val="en-GB"/>
        </w:rPr>
        <w:t>-</w:t>
      </w:r>
      <w:r w:rsidR="00886758">
        <w:rPr>
          <w:rFonts w:ascii="Arial" w:hAnsi="Arial" w:cs="Arial"/>
          <w:lang w:val="en-GB"/>
        </w:rPr>
        <w:t xml:space="preserve"> developed.</w:t>
      </w:r>
      <w:r w:rsidR="00886758">
        <w:rPr>
          <w:rStyle w:val="FootnoteReference"/>
        </w:rPr>
        <w:footnoteReference w:id="1"/>
      </w:r>
      <w:r w:rsidR="00612840">
        <w:rPr>
          <w:rFonts w:ascii="Arial" w:hAnsi="Arial" w:cs="Arial"/>
          <w:lang w:val="en-GB"/>
        </w:rPr>
        <w:t xml:space="preserve"> </w:t>
      </w:r>
      <w:r w:rsidR="00A63539">
        <w:rPr>
          <w:rFonts w:ascii="Arial" w:hAnsi="Arial" w:cs="Arial"/>
          <w:lang w:val="en-GB"/>
        </w:rPr>
        <w:t xml:space="preserve"> The </w:t>
      </w:r>
      <w:r w:rsidR="00684173">
        <w:rPr>
          <w:rFonts w:ascii="Arial" w:hAnsi="Arial" w:cs="Arial"/>
          <w:lang w:val="en-GB"/>
        </w:rPr>
        <w:t xml:space="preserve">court </w:t>
      </w:r>
      <w:r w:rsidR="00A63539">
        <w:rPr>
          <w:rFonts w:ascii="Arial" w:hAnsi="Arial" w:cs="Arial"/>
          <w:lang w:val="en-GB"/>
        </w:rPr>
        <w:t xml:space="preserve">may at any stage before judgment grant leave to </w:t>
      </w:r>
      <w:r w:rsidR="00A63539">
        <w:rPr>
          <w:rFonts w:ascii="Arial" w:hAnsi="Arial" w:cs="Arial"/>
          <w:lang w:val="en-GB"/>
        </w:rPr>
        <w:lastRenderedPageBreak/>
        <w:t>amend a pleading, subject to an appropriate order as to costs.</w:t>
      </w:r>
      <w:r w:rsidR="00A63539">
        <w:rPr>
          <w:rStyle w:val="FootnoteReference"/>
        </w:rPr>
        <w:footnoteReference w:id="2"/>
      </w:r>
      <w:r w:rsidR="008F3D93">
        <w:rPr>
          <w:rFonts w:ascii="Arial" w:hAnsi="Arial" w:cs="Arial"/>
          <w:lang w:val="en-GB"/>
        </w:rPr>
        <w:t xml:space="preserve"> In exceptional circumstances</w:t>
      </w:r>
      <w:r w:rsidR="002C7575">
        <w:rPr>
          <w:rFonts w:ascii="Arial" w:hAnsi="Arial" w:cs="Arial"/>
          <w:lang w:val="en-GB"/>
        </w:rPr>
        <w:t>, courts have even entertained and allowed amendments to pleadings on appeal.</w:t>
      </w:r>
      <w:r w:rsidR="002C7575">
        <w:rPr>
          <w:rStyle w:val="FootnoteReference"/>
        </w:rPr>
        <w:footnoteReference w:id="3"/>
      </w:r>
      <w:r w:rsidR="002C7BF4">
        <w:rPr>
          <w:rFonts w:ascii="Arial" w:hAnsi="Arial" w:cs="Arial"/>
          <w:lang w:val="en-GB"/>
        </w:rPr>
        <w:t xml:space="preserve">  The reason for this is fundamental and was expressed as follows in the memorable passage from </w:t>
      </w:r>
      <w:r w:rsidR="002C7BF4" w:rsidRPr="002C7BF4">
        <w:rPr>
          <w:rFonts w:ascii="Arial" w:hAnsi="Arial" w:cs="Arial"/>
          <w:i/>
          <w:iCs/>
          <w:lang w:val="en-GB"/>
        </w:rPr>
        <w:t>Whittaker v Roos</w:t>
      </w:r>
      <w:r w:rsidR="002C7BF4" w:rsidRPr="006F5B36">
        <w:rPr>
          <w:rFonts w:ascii="Arial" w:hAnsi="Arial" w:cs="Arial"/>
          <w:lang w:val="en-GB"/>
        </w:rPr>
        <w:t>:</w:t>
      </w:r>
      <w:r w:rsidR="00AF1317" w:rsidRPr="006F5B36">
        <w:rPr>
          <w:rStyle w:val="FootnoteReference"/>
        </w:rPr>
        <w:footnoteReference w:id="4"/>
      </w:r>
    </w:p>
    <w:p w14:paraId="550F6751" w14:textId="77777777" w:rsidR="00A03B14" w:rsidRDefault="006C5164" w:rsidP="00476A69">
      <w:pPr>
        <w:pStyle w:val="ListParagraph"/>
        <w:tabs>
          <w:tab w:val="left" w:pos="1418"/>
        </w:tabs>
        <w:spacing w:line="276" w:lineRule="auto"/>
        <w:ind w:left="1418" w:hanging="567"/>
        <w:jc w:val="both"/>
        <w:rPr>
          <w:rFonts w:ascii="Arial" w:hAnsi="Arial" w:cs="Arial"/>
          <w:iCs/>
          <w:sz w:val="22"/>
          <w:szCs w:val="24"/>
        </w:rPr>
      </w:pPr>
      <w:r w:rsidRPr="00930359">
        <w:rPr>
          <w:rFonts w:ascii="Arial" w:hAnsi="Arial" w:cs="Arial"/>
          <w:iCs/>
          <w:sz w:val="22"/>
          <w:szCs w:val="24"/>
        </w:rPr>
        <w:tab/>
      </w:r>
    </w:p>
    <w:p w14:paraId="6ECF2D19" w14:textId="4AFB81AA" w:rsidR="006C5164" w:rsidRPr="00930359" w:rsidRDefault="00A03B14" w:rsidP="00476A69">
      <w:pPr>
        <w:pStyle w:val="ListParagraph"/>
        <w:tabs>
          <w:tab w:val="left" w:pos="1418"/>
        </w:tabs>
        <w:spacing w:line="276" w:lineRule="auto"/>
        <w:ind w:left="1418" w:hanging="567"/>
        <w:jc w:val="both"/>
        <w:rPr>
          <w:rFonts w:ascii="Arial" w:hAnsi="Arial" w:cs="Arial"/>
          <w:iCs/>
          <w:sz w:val="22"/>
          <w:szCs w:val="24"/>
        </w:rPr>
      </w:pPr>
      <w:r>
        <w:rPr>
          <w:rFonts w:ascii="Arial" w:hAnsi="Arial" w:cs="Arial"/>
          <w:iCs/>
          <w:sz w:val="22"/>
          <w:szCs w:val="24"/>
        </w:rPr>
        <w:tab/>
      </w:r>
      <w:r w:rsidR="006C5164" w:rsidRPr="00930359">
        <w:rPr>
          <w:rFonts w:ascii="Arial" w:hAnsi="Arial" w:cs="Arial"/>
          <w:iCs/>
          <w:sz w:val="22"/>
          <w:szCs w:val="24"/>
        </w:rPr>
        <w:t>“This Court has the greatest latitude in granting amendments, and it is very necessary that it should have. The object of the Court is to do justice between the parties.   It is not a game we are playing, in which, if some mistake is made, the forfeit is claimed.   We are here for the purpose of seeing that we have a true account of what actually took place, and we are not going to give a decision upon what we know to be wrong facts.</w:t>
      </w:r>
      <w:r w:rsidR="0040352D" w:rsidRPr="00930359">
        <w:rPr>
          <w:rFonts w:ascii="Arial" w:hAnsi="Arial" w:cs="Arial"/>
          <w:iCs/>
          <w:sz w:val="22"/>
          <w:szCs w:val="24"/>
        </w:rPr>
        <w:t xml:space="preserve"> …  </w:t>
      </w:r>
      <w:r w:rsidR="006C5164" w:rsidRPr="00930359">
        <w:rPr>
          <w:rFonts w:ascii="Arial" w:hAnsi="Arial" w:cs="Arial"/>
          <w:iCs/>
          <w:sz w:val="22"/>
          <w:szCs w:val="24"/>
        </w:rPr>
        <w:t xml:space="preserve">Therefore, the </w:t>
      </w:r>
      <w:r w:rsidR="00461FC2">
        <w:rPr>
          <w:rFonts w:ascii="Arial" w:hAnsi="Arial" w:cs="Arial"/>
          <w:iCs/>
          <w:sz w:val="22"/>
          <w:szCs w:val="24"/>
        </w:rPr>
        <w:t>C</w:t>
      </w:r>
      <w:r w:rsidR="006C5164" w:rsidRPr="00930359">
        <w:rPr>
          <w:rFonts w:ascii="Arial" w:hAnsi="Arial" w:cs="Arial"/>
          <w:iCs/>
          <w:sz w:val="22"/>
          <w:szCs w:val="24"/>
        </w:rPr>
        <w:t>ourt will not look to technicalities, but will see what the real position is between the parties.</w:t>
      </w:r>
      <w:r w:rsidR="0040352D" w:rsidRPr="00930359">
        <w:rPr>
          <w:rFonts w:ascii="Arial" w:hAnsi="Arial" w:cs="Arial"/>
          <w:iCs/>
          <w:sz w:val="22"/>
          <w:szCs w:val="24"/>
        </w:rPr>
        <w:t>”</w:t>
      </w:r>
    </w:p>
    <w:p w14:paraId="2A02DD3F" w14:textId="77777777" w:rsidR="00476A69" w:rsidRDefault="00476A6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B6C181A" w14:textId="7C74486D" w:rsidR="00D36461"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[7]</w:t>
      </w:r>
      <w:r>
        <w:rPr>
          <w:rFonts w:ascii="Arial" w:hAnsi="Arial" w:cs="Arial"/>
          <w:szCs w:val="24"/>
          <w:lang w:val="en-GB"/>
        </w:rPr>
        <w:tab/>
      </w:r>
      <w:r w:rsidR="00495E90">
        <w:rPr>
          <w:rFonts w:ascii="Arial" w:hAnsi="Arial" w:cs="Arial"/>
          <w:lang w:val="en-GB"/>
        </w:rPr>
        <w:t xml:space="preserve">The </w:t>
      </w:r>
      <w:r w:rsidR="00461FC2">
        <w:rPr>
          <w:rFonts w:ascii="Arial" w:hAnsi="Arial" w:cs="Arial"/>
          <w:lang w:val="en-GB"/>
        </w:rPr>
        <w:t>c</w:t>
      </w:r>
      <w:r w:rsidR="00495E90">
        <w:rPr>
          <w:rFonts w:ascii="Arial" w:hAnsi="Arial" w:cs="Arial"/>
          <w:lang w:val="en-GB"/>
        </w:rPr>
        <w:t xml:space="preserve">ourt expressed it as follows in </w:t>
      </w:r>
      <w:r w:rsidR="00495E90" w:rsidRPr="00C45FB2">
        <w:rPr>
          <w:rFonts w:ascii="Arial" w:hAnsi="Arial" w:cs="Arial"/>
          <w:i/>
          <w:iCs/>
          <w:lang w:val="en-GB"/>
        </w:rPr>
        <w:t>Rishton v Rishton</w:t>
      </w:r>
      <w:r w:rsidR="00C45FB2">
        <w:rPr>
          <w:rFonts w:ascii="Arial" w:hAnsi="Arial" w:cs="Arial"/>
          <w:lang w:val="en-GB"/>
        </w:rPr>
        <w:t>:</w:t>
      </w:r>
    </w:p>
    <w:p w14:paraId="7AC66591"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518E5D4" w14:textId="36A3DB21" w:rsidR="005A3424" w:rsidRPr="005A3424" w:rsidRDefault="007A60DB" w:rsidP="00476A69">
      <w:pPr>
        <w:widowControl/>
        <w:tabs>
          <w:tab w:val="left" w:pos="1418"/>
          <w:tab w:val="left" w:pos="2835"/>
          <w:tab w:val="left" w:pos="3969"/>
          <w:tab w:val="right" w:pos="8222"/>
        </w:tabs>
        <w:autoSpaceDE/>
        <w:autoSpaceDN/>
        <w:adjustRightInd/>
        <w:spacing w:line="276" w:lineRule="auto"/>
        <w:ind w:left="1418" w:hanging="567"/>
        <w:jc w:val="both"/>
        <w:rPr>
          <w:rFonts w:ascii="Arial" w:hAnsi="Arial" w:cs="Arial"/>
          <w:sz w:val="22"/>
          <w:szCs w:val="24"/>
          <w:lang w:val="en-GB"/>
        </w:rPr>
      </w:pPr>
      <w:r>
        <w:rPr>
          <w:rFonts w:ascii="Arial" w:hAnsi="Arial" w:cs="Arial"/>
          <w:sz w:val="22"/>
          <w:szCs w:val="24"/>
        </w:rPr>
        <w:tab/>
      </w:r>
      <w:r w:rsidR="005A3424" w:rsidRPr="005A3424">
        <w:rPr>
          <w:rFonts w:ascii="Arial" w:hAnsi="Arial" w:cs="Arial"/>
          <w:sz w:val="22"/>
          <w:szCs w:val="24"/>
        </w:rPr>
        <w:t>There is, however, another principle in our practice, and that is</w:t>
      </w:r>
      <w:r w:rsidR="00461FC2">
        <w:rPr>
          <w:rFonts w:ascii="Arial" w:hAnsi="Arial" w:cs="Arial"/>
          <w:sz w:val="22"/>
          <w:szCs w:val="24"/>
        </w:rPr>
        <w:t xml:space="preserve"> </w:t>
      </w:r>
      <w:r w:rsidR="005A3424" w:rsidRPr="005A3424">
        <w:rPr>
          <w:rFonts w:ascii="Arial" w:hAnsi="Arial" w:cs="Arial"/>
          <w:sz w:val="22"/>
          <w:szCs w:val="24"/>
        </w:rPr>
        <w:t>to allow a party, up to the very last stage of the case, the full right to amend, so that the Court may not be deceived or judgment may not be wrongly given against the party, and also to enable the Court to know exactly the nature o</w:t>
      </w:r>
      <w:r w:rsidR="00B0270C">
        <w:rPr>
          <w:rFonts w:ascii="Arial" w:hAnsi="Arial" w:cs="Arial"/>
          <w:sz w:val="22"/>
          <w:szCs w:val="24"/>
        </w:rPr>
        <w:t>f</w:t>
      </w:r>
      <w:r w:rsidR="005A3424" w:rsidRPr="005A3424">
        <w:rPr>
          <w:rFonts w:ascii="Arial" w:hAnsi="Arial" w:cs="Arial"/>
          <w:sz w:val="22"/>
          <w:szCs w:val="24"/>
        </w:rPr>
        <w:t xml:space="preserve"> the dispute and the facts of the dispute in a particular case.</w:t>
      </w:r>
      <w:r w:rsidR="00B0270C">
        <w:rPr>
          <w:rStyle w:val="FootnoteReference"/>
        </w:rPr>
        <w:footnoteReference w:id="5"/>
      </w:r>
    </w:p>
    <w:p w14:paraId="1F72B72F"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3018FDD" w14:textId="3F3C040D" w:rsidR="00A23DF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[8]</w:t>
      </w:r>
      <w:r>
        <w:rPr>
          <w:rFonts w:ascii="Arial" w:hAnsi="Arial" w:cs="Arial"/>
          <w:szCs w:val="24"/>
          <w:lang w:val="en-GB"/>
        </w:rPr>
        <w:tab/>
      </w:r>
      <w:r w:rsidR="007A60DB">
        <w:rPr>
          <w:rFonts w:ascii="Arial" w:hAnsi="Arial" w:cs="Arial"/>
          <w:lang w:val="en-GB"/>
        </w:rPr>
        <w:t>These old authorities have repeat</w:t>
      </w:r>
      <w:r w:rsidR="00EE5C48">
        <w:rPr>
          <w:rFonts w:ascii="Arial" w:hAnsi="Arial" w:cs="Arial"/>
          <w:lang w:val="en-GB"/>
        </w:rPr>
        <w:t xml:space="preserve">edly been reaffirmed by our </w:t>
      </w:r>
      <w:r w:rsidR="005D1205">
        <w:rPr>
          <w:rFonts w:ascii="Arial" w:hAnsi="Arial" w:cs="Arial"/>
          <w:lang w:val="en-GB"/>
        </w:rPr>
        <w:t>court</w:t>
      </w:r>
      <w:r w:rsidR="00EE5C48">
        <w:rPr>
          <w:rFonts w:ascii="Arial" w:hAnsi="Arial" w:cs="Arial"/>
          <w:lang w:val="en-GB"/>
        </w:rPr>
        <w:t>s and</w:t>
      </w:r>
      <w:r w:rsidR="00581D19">
        <w:rPr>
          <w:rFonts w:ascii="Arial" w:hAnsi="Arial" w:cs="Arial"/>
          <w:lang w:val="en-GB"/>
        </w:rPr>
        <w:t xml:space="preserve"> the principles</w:t>
      </w:r>
      <w:r w:rsidR="00EE5C48">
        <w:rPr>
          <w:rFonts w:ascii="Arial" w:hAnsi="Arial" w:cs="Arial"/>
          <w:lang w:val="en-GB"/>
        </w:rPr>
        <w:t xml:space="preserve"> were recently conveniently restated by the Supreme Court of Appeal in the as yet unreported case of </w:t>
      </w:r>
      <w:r w:rsidR="00825863">
        <w:rPr>
          <w:rFonts w:ascii="Arial" w:hAnsi="Arial" w:cs="Arial"/>
          <w:i/>
          <w:iCs/>
          <w:lang w:val="en-GB"/>
        </w:rPr>
        <w:t>Media 24 (Pty) Ltd v Nhleko</w:t>
      </w:r>
      <w:r w:rsidR="00581D19">
        <w:rPr>
          <w:rFonts w:ascii="Arial" w:hAnsi="Arial" w:cs="Arial"/>
          <w:i/>
          <w:iCs/>
          <w:lang w:val="en-GB"/>
        </w:rPr>
        <w:t xml:space="preserve"> </w:t>
      </w:r>
      <w:r w:rsidR="00581D19" w:rsidRPr="00581D19">
        <w:rPr>
          <w:rFonts w:ascii="Arial" w:hAnsi="Arial" w:cs="Arial"/>
          <w:i/>
          <w:iCs/>
          <w:lang w:val="en-ZA"/>
        </w:rPr>
        <w:t>(“</w:t>
      </w:r>
      <w:r w:rsidR="00581D19" w:rsidRPr="00581D19">
        <w:rPr>
          <w:rFonts w:ascii="Arial" w:hAnsi="Arial" w:cs="Arial"/>
          <w:b/>
          <w:bCs/>
          <w:i/>
          <w:iCs/>
          <w:lang w:val="en-ZA"/>
        </w:rPr>
        <w:t>Media 24</w:t>
      </w:r>
      <w:r w:rsidR="00581D19" w:rsidRPr="00581D19">
        <w:rPr>
          <w:rFonts w:ascii="Arial" w:hAnsi="Arial" w:cs="Arial"/>
          <w:i/>
          <w:iCs/>
          <w:lang w:val="en-ZA"/>
        </w:rPr>
        <w:t>”)</w:t>
      </w:r>
      <w:r w:rsidR="00825863">
        <w:rPr>
          <w:rFonts w:ascii="Arial" w:hAnsi="Arial" w:cs="Arial"/>
          <w:lang w:val="en-GB"/>
        </w:rPr>
        <w:t>.</w:t>
      </w:r>
      <w:r w:rsidR="00825863">
        <w:rPr>
          <w:rStyle w:val="FootnoteReference"/>
        </w:rPr>
        <w:footnoteReference w:id="6"/>
      </w:r>
    </w:p>
    <w:p w14:paraId="4A80A9F7"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8FE8991" w14:textId="59196B73" w:rsidR="004B0CB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[9]</w:t>
      </w:r>
      <w:r>
        <w:rPr>
          <w:rFonts w:ascii="Arial" w:hAnsi="Arial" w:cs="Arial"/>
          <w:szCs w:val="24"/>
          <w:lang w:val="en-GB"/>
        </w:rPr>
        <w:tab/>
      </w:r>
      <w:r w:rsidR="004B0CBB">
        <w:rPr>
          <w:rFonts w:ascii="Arial" w:hAnsi="Arial" w:cs="Arial"/>
          <w:lang w:val="en-GB"/>
        </w:rPr>
        <w:t>Where the trial process is at an advanced stage</w:t>
      </w:r>
      <w:r w:rsidR="00581D19">
        <w:rPr>
          <w:rFonts w:ascii="Arial" w:hAnsi="Arial" w:cs="Arial"/>
          <w:lang w:val="en-GB"/>
        </w:rPr>
        <w:t>,</w:t>
      </w:r>
      <w:r w:rsidR="004B0CBB">
        <w:rPr>
          <w:rFonts w:ascii="Arial" w:hAnsi="Arial" w:cs="Arial"/>
          <w:lang w:val="en-GB"/>
        </w:rPr>
        <w:t xml:space="preserve"> and one of the parties seeks to amend its pleadings</w:t>
      </w:r>
      <w:r w:rsidR="00581D19">
        <w:rPr>
          <w:rFonts w:ascii="Arial" w:hAnsi="Arial" w:cs="Arial"/>
          <w:lang w:val="en-GB"/>
        </w:rPr>
        <w:t>;</w:t>
      </w:r>
      <w:r w:rsidR="004B0CBB">
        <w:rPr>
          <w:rFonts w:ascii="Arial" w:hAnsi="Arial" w:cs="Arial"/>
          <w:lang w:val="en-GB"/>
        </w:rPr>
        <w:t xml:space="preserve"> such as where the trial has already commenced, evidence has been led, there has been judgment on a separated issue or, in rare cases</w:t>
      </w:r>
      <w:r w:rsidR="00581D19">
        <w:rPr>
          <w:rFonts w:ascii="Arial" w:hAnsi="Arial" w:cs="Arial"/>
          <w:lang w:val="en-GB"/>
        </w:rPr>
        <w:t>,</w:t>
      </w:r>
      <w:r w:rsidR="004B0CBB">
        <w:rPr>
          <w:rFonts w:ascii="Arial" w:hAnsi="Arial" w:cs="Arial"/>
          <w:lang w:val="en-GB"/>
        </w:rPr>
        <w:t xml:space="preserve"> where the matter is already on appeal, our </w:t>
      </w:r>
      <w:r w:rsidR="005D1205">
        <w:rPr>
          <w:rFonts w:ascii="Arial" w:hAnsi="Arial" w:cs="Arial"/>
          <w:lang w:val="en-GB"/>
        </w:rPr>
        <w:t>court</w:t>
      </w:r>
      <w:r w:rsidR="004B0CBB">
        <w:rPr>
          <w:rFonts w:ascii="Arial" w:hAnsi="Arial" w:cs="Arial"/>
          <w:lang w:val="en-GB"/>
        </w:rPr>
        <w:t>s have developed</w:t>
      </w:r>
      <w:r w:rsidR="00D91B14">
        <w:rPr>
          <w:rFonts w:ascii="Arial" w:hAnsi="Arial" w:cs="Arial"/>
          <w:lang w:val="en-GB"/>
        </w:rPr>
        <w:t xml:space="preserve"> particular principles to guide the exercise of the </w:t>
      </w:r>
      <w:r w:rsidR="005D1205">
        <w:rPr>
          <w:rFonts w:ascii="Arial" w:hAnsi="Arial" w:cs="Arial"/>
          <w:lang w:val="en-GB"/>
        </w:rPr>
        <w:t>court</w:t>
      </w:r>
      <w:r w:rsidR="00D91B14">
        <w:rPr>
          <w:rFonts w:ascii="Arial" w:hAnsi="Arial" w:cs="Arial"/>
          <w:lang w:val="en-GB"/>
        </w:rPr>
        <w:t xml:space="preserve">’s discretion </w:t>
      </w:r>
      <w:r w:rsidR="00581D19">
        <w:rPr>
          <w:rFonts w:ascii="Arial" w:hAnsi="Arial" w:cs="Arial"/>
          <w:lang w:val="en-GB"/>
        </w:rPr>
        <w:t>as</w:t>
      </w:r>
      <w:r w:rsidR="0040679E">
        <w:rPr>
          <w:rFonts w:ascii="Arial" w:hAnsi="Arial" w:cs="Arial"/>
          <w:lang w:val="en-GB"/>
        </w:rPr>
        <w:t xml:space="preserve"> to</w:t>
      </w:r>
      <w:r w:rsidR="00581D19">
        <w:rPr>
          <w:rFonts w:ascii="Arial" w:hAnsi="Arial" w:cs="Arial"/>
          <w:lang w:val="en-GB"/>
        </w:rPr>
        <w:t xml:space="preserve"> whether </w:t>
      </w:r>
      <w:r w:rsidR="00D91B14">
        <w:rPr>
          <w:rFonts w:ascii="Arial" w:hAnsi="Arial" w:cs="Arial"/>
          <w:lang w:val="en-GB"/>
        </w:rPr>
        <w:t xml:space="preserve">to allow the amendment.  </w:t>
      </w:r>
      <w:r w:rsidR="001E31F6">
        <w:rPr>
          <w:rFonts w:ascii="Arial" w:hAnsi="Arial" w:cs="Arial"/>
          <w:lang w:val="en-GB"/>
        </w:rPr>
        <w:t>Again, t</w:t>
      </w:r>
      <w:r w:rsidR="00D91B14">
        <w:rPr>
          <w:rFonts w:ascii="Arial" w:hAnsi="Arial" w:cs="Arial"/>
          <w:lang w:val="en-GB"/>
        </w:rPr>
        <w:t>here is good reason for this.  The deeper the parties are in the trial proceedings, the greater the risk of prejudice to the other party which cannot be remedied through a costs order alone.</w:t>
      </w:r>
      <w:r w:rsidR="00880C9D">
        <w:rPr>
          <w:rFonts w:ascii="Arial" w:hAnsi="Arial" w:cs="Arial"/>
          <w:lang w:val="en-GB"/>
        </w:rPr>
        <w:t xml:space="preserve">  In </w:t>
      </w:r>
      <w:r w:rsidR="00880C9D" w:rsidRPr="00880C9D">
        <w:rPr>
          <w:rFonts w:ascii="Arial" w:hAnsi="Arial" w:cs="Arial"/>
          <w:i/>
          <w:iCs/>
          <w:lang w:val="en-GB"/>
        </w:rPr>
        <w:t>Caxton v Reeva Forman</w:t>
      </w:r>
      <w:r w:rsidR="00F77142">
        <w:rPr>
          <w:rFonts w:ascii="Arial" w:hAnsi="Arial" w:cs="Arial"/>
          <w:i/>
          <w:iCs/>
          <w:lang w:val="en-GB"/>
        </w:rPr>
        <w:t>,</w:t>
      </w:r>
      <w:r w:rsidR="0018133C" w:rsidRPr="001E31F6">
        <w:rPr>
          <w:rStyle w:val="FootnoteReference"/>
        </w:rPr>
        <w:footnoteReference w:id="7"/>
      </w:r>
      <w:r w:rsidR="00F77142">
        <w:rPr>
          <w:rFonts w:ascii="Arial" w:hAnsi="Arial" w:cs="Arial"/>
          <w:i/>
          <w:iCs/>
          <w:lang w:val="en-GB"/>
        </w:rPr>
        <w:t xml:space="preserve"> </w:t>
      </w:r>
      <w:r w:rsidR="00F77142">
        <w:rPr>
          <w:rFonts w:ascii="Arial" w:hAnsi="Arial" w:cs="Arial"/>
          <w:lang w:val="en-GB"/>
        </w:rPr>
        <w:t xml:space="preserve">Corbett CJ endorsed the statement of the </w:t>
      </w:r>
      <w:r w:rsidR="005D1205">
        <w:rPr>
          <w:rFonts w:ascii="Arial" w:hAnsi="Arial" w:cs="Arial"/>
          <w:lang w:val="en-GB"/>
        </w:rPr>
        <w:t>court</w:t>
      </w:r>
      <w:r w:rsidR="00F77142">
        <w:rPr>
          <w:rFonts w:ascii="Arial" w:hAnsi="Arial" w:cs="Arial"/>
          <w:lang w:val="en-GB"/>
        </w:rPr>
        <w:t xml:space="preserve"> in </w:t>
      </w:r>
      <w:r w:rsidR="00F77142" w:rsidRPr="00BB3A45">
        <w:rPr>
          <w:rFonts w:ascii="Arial" w:hAnsi="Arial" w:cs="Arial"/>
          <w:i/>
          <w:iCs/>
          <w:lang w:val="en-GB"/>
        </w:rPr>
        <w:lastRenderedPageBreak/>
        <w:t>Trans-Drakensberg</w:t>
      </w:r>
      <w:r w:rsidR="00CF3E71">
        <w:rPr>
          <w:rFonts w:ascii="Arial" w:hAnsi="Arial" w:cs="Arial"/>
          <w:i/>
          <w:iCs/>
          <w:lang w:val="en-GB"/>
        </w:rPr>
        <w:t xml:space="preserve"> Bank</w:t>
      </w:r>
      <w:r w:rsidR="00F77142">
        <w:rPr>
          <w:rFonts w:ascii="Arial" w:hAnsi="Arial" w:cs="Arial"/>
          <w:lang w:val="en-GB"/>
        </w:rPr>
        <w:t xml:space="preserve"> </w:t>
      </w:r>
      <w:r w:rsidR="00BB3A45">
        <w:rPr>
          <w:rFonts w:ascii="Arial" w:hAnsi="Arial" w:cs="Arial"/>
          <w:lang w:val="en-GB"/>
        </w:rPr>
        <w:t>pertaining to late amendments to pleadings as follows:</w:t>
      </w:r>
    </w:p>
    <w:p w14:paraId="7428801B" w14:textId="77777777" w:rsidR="004A6139" w:rsidRDefault="004A6139" w:rsidP="00476A69">
      <w:pPr>
        <w:pStyle w:val="ListParagraph"/>
        <w:spacing w:line="276" w:lineRule="auto"/>
        <w:ind w:left="1418" w:firstLine="23"/>
        <w:jc w:val="both"/>
        <w:rPr>
          <w:rFonts w:ascii="Arial" w:hAnsi="Arial" w:cs="Arial"/>
          <w:sz w:val="22"/>
          <w:szCs w:val="20"/>
        </w:rPr>
      </w:pPr>
    </w:p>
    <w:p w14:paraId="6151DC4E" w14:textId="45053755" w:rsidR="00B00F16" w:rsidRDefault="00135AF1" w:rsidP="00476A69">
      <w:pPr>
        <w:pStyle w:val="ListParagraph"/>
        <w:spacing w:line="276" w:lineRule="auto"/>
        <w:ind w:left="1418" w:firstLine="23"/>
        <w:jc w:val="both"/>
        <w:rPr>
          <w:rFonts w:ascii="Arial" w:hAnsi="Arial" w:cs="Arial"/>
          <w:sz w:val="22"/>
          <w:szCs w:val="20"/>
        </w:rPr>
      </w:pPr>
      <w:r>
        <w:rPr>
          <w:rFonts w:ascii="Arial" w:hAnsi="Arial" w:cs="Arial"/>
          <w:sz w:val="22"/>
          <w:szCs w:val="20"/>
        </w:rPr>
        <w:t>“</w:t>
      </w:r>
      <w:r w:rsidR="00AD1672" w:rsidRPr="00AD1672">
        <w:rPr>
          <w:rFonts w:ascii="Arial" w:hAnsi="Arial" w:cs="Arial"/>
          <w:sz w:val="22"/>
          <w:szCs w:val="20"/>
        </w:rPr>
        <w:t xml:space="preserve">Although the decision whether to grant or refuse an application to amend a pleading rests in the discretion of the </w:t>
      </w:r>
      <w:r w:rsidR="001E31F6">
        <w:rPr>
          <w:rFonts w:ascii="Arial" w:hAnsi="Arial" w:cs="Arial"/>
          <w:sz w:val="22"/>
          <w:szCs w:val="20"/>
        </w:rPr>
        <w:t>C</w:t>
      </w:r>
      <w:r w:rsidR="00AD1672" w:rsidRPr="00AD1672">
        <w:rPr>
          <w:rFonts w:ascii="Arial" w:hAnsi="Arial" w:cs="Arial"/>
          <w:sz w:val="22"/>
          <w:szCs w:val="20"/>
        </w:rPr>
        <w:t xml:space="preserve">ourt, this discretion must be exercised with due regard to certain basic principles. These principles are well summed up in the judgment of Caney J in </w:t>
      </w:r>
      <w:r w:rsidR="00AD1672" w:rsidRPr="001E31F6">
        <w:rPr>
          <w:rFonts w:ascii="Arial" w:hAnsi="Arial" w:cs="Arial"/>
          <w:i/>
          <w:iCs/>
          <w:sz w:val="22"/>
          <w:szCs w:val="20"/>
        </w:rPr>
        <w:t>Trans-Drakensberg Bank</w:t>
      </w:r>
      <w:r w:rsidR="00CF3E71">
        <w:rPr>
          <w:rFonts w:ascii="Arial" w:hAnsi="Arial" w:cs="Arial"/>
          <w:sz w:val="22"/>
          <w:szCs w:val="20"/>
        </w:rPr>
        <w:t xml:space="preserve"> [cited above] </w:t>
      </w:r>
      <w:r w:rsidR="00AD1672" w:rsidRPr="00AD1672">
        <w:rPr>
          <w:rFonts w:ascii="Arial" w:hAnsi="Arial" w:cs="Arial"/>
          <w:sz w:val="22"/>
          <w:szCs w:val="20"/>
        </w:rPr>
        <w:t xml:space="preserve">at 640H - 641C. In portion of the passage referred to Caney J states (at 641A) </w:t>
      </w:r>
      <w:r w:rsidR="008D2F75">
        <w:rPr>
          <w:rFonts w:ascii="Arial" w:hAnsi="Arial" w:cs="Arial"/>
          <w:sz w:val="22"/>
          <w:szCs w:val="20"/>
        </w:rPr>
        <w:t>–</w:t>
      </w:r>
      <w:r w:rsidR="00AD1672" w:rsidRPr="00AD1672">
        <w:rPr>
          <w:rFonts w:ascii="Arial" w:hAnsi="Arial" w:cs="Arial"/>
          <w:sz w:val="22"/>
          <w:szCs w:val="20"/>
        </w:rPr>
        <w:t xml:space="preserve"> </w:t>
      </w:r>
    </w:p>
    <w:p w14:paraId="3C082ADE" w14:textId="77777777" w:rsidR="00476A69" w:rsidRDefault="00476A69" w:rsidP="00476A69">
      <w:pPr>
        <w:pStyle w:val="ListParagraph"/>
        <w:spacing w:line="276" w:lineRule="auto"/>
        <w:ind w:left="1985"/>
        <w:jc w:val="both"/>
        <w:rPr>
          <w:rFonts w:ascii="Arial" w:hAnsi="Arial" w:cs="Arial"/>
          <w:sz w:val="22"/>
          <w:szCs w:val="20"/>
        </w:rPr>
      </w:pPr>
    </w:p>
    <w:p w14:paraId="23E2E847" w14:textId="4AEE88F0" w:rsidR="00AD1672" w:rsidRPr="008D2F75" w:rsidRDefault="00474E3B" w:rsidP="00476A69">
      <w:pPr>
        <w:pStyle w:val="ListParagraph"/>
        <w:spacing w:line="276" w:lineRule="auto"/>
        <w:ind w:left="1985"/>
        <w:jc w:val="both"/>
        <w:rPr>
          <w:rFonts w:ascii="Arial" w:hAnsi="Arial" w:cs="Arial"/>
          <w:sz w:val="22"/>
          <w:szCs w:val="20"/>
        </w:rPr>
      </w:pPr>
      <w:r>
        <w:rPr>
          <w:rFonts w:ascii="Arial" w:hAnsi="Arial" w:cs="Arial"/>
          <w:sz w:val="22"/>
          <w:szCs w:val="20"/>
        </w:rPr>
        <w:t>‘</w:t>
      </w:r>
      <w:r w:rsidR="00AD1672" w:rsidRPr="008D2F75">
        <w:rPr>
          <w:rFonts w:ascii="Arial" w:hAnsi="Arial" w:cs="Arial"/>
          <w:sz w:val="22"/>
          <w:szCs w:val="20"/>
        </w:rPr>
        <w:t xml:space="preserve">Having already made his case in his pleading, if he wishes to change or add to this, he must explain the reason and show </w:t>
      </w:r>
      <w:r w:rsidR="00AD1672" w:rsidRPr="001E31F6">
        <w:rPr>
          <w:rFonts w:ascii="Arial" w:hAnsi="Arial" w:cs="Arial"/>
          <w:i/>
          <w:iCs/>
          <w:sz w:val="22"/>
          <w:szCs w:val="20"/>
        </w:rPr>
        <w:t>prima facie</w:t>
      </w:r>
      <w:r w:rsidR="00AD1672" w:rsidRPr="008D2F75">
        <w:rPr>
          <w:rFonts w:ascii="Arial" w:hAnsi="Arial" w:cs="Arial"/>
          <w:sz w:val="22"/>
          <w:szCs w:val="20"/>
        </w:rPr>
        <w:t xml:space="preserve"> that he has something deserving of consideration, a triable issue; he cannot be allowed to harass his opponent by an amendment which has no foundation. He cannot place on the record an issue for which he has no supporting evidence, where evidence is required, or, save perhaps in exceptional circumstances, introduce an amendment which would make the pleading excipiable</w:t>
      </w:r>
      <w:r>
        <w:rPr>
          <w:rFonts w:ascii="Arial" w:hAnsi="Arial" w:cs="Arial"/>
          <w:sz w:val="22"/>
          <w:szCs w:val="20"/>
        </w:rPr>
        <w:t>’</w:t>
      </w:r>
      <w:r w:rsidR="00AD1672" w:rsidRPr="008D2F75">
        <w:rPr>
          <w:rFonts w:ascii="Arial" w:hAnsi="Arial" w:cs="Arial"/>
          <w:sz w:val="22"/>
          <w:szCs w:val="20"/>
        </w:rPr>
        <w:t>.</w:t>
      </w:r>
      <w:r>
        <w:rPr>
          <w:rFonts w:ascii="Arial" w:hAnsi="Arial" w:cs="Arial"/>
          <w:sz w:val="22"/>
          <w:szCs w:val="20"/>
        </w:rPr>
        <w:t>”</w:t>
      </w:r>
      <w:r w:rsidR="00631C68">
        <w:rPr>
          <w:rStyle w:val="FootnoteReference"/>
        </w:rPr>
        <w:footnoteReference w:id="8"/>
      </w:r>
    </w:p>
    <w:p w14:paraId="12E89A1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71BC183" w14:textId="6B488B6B" w:rsidR="00A23DF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[10]</w:t>
      </w:r>
      <w:r>
        <w:rPr>
          <w:rFonts w:ascii="Arial" w:hAnsi="Arial" w:cs="Arial"/>
          <w:szCs w:val="24"/>
          <w:lang w:val="en-GB"/>
        </w:rPr>
        <w:tab/>
      </w:r>
      <w:r w:rsidR="00891489">
        <w:rPr>
          <w:rFonts w:ascii="Arial" w:hAnsi="Arial" w:cs="Arial"/>
          <w:lang w:val="en-GB"/>
        </w:rPr>
        <w:t xml:space="preserve">The Supreme Court of Appeal in </w:t>
      </w:r>
      <w:r w:rsidR="00891489" w:rsidRPr="00891489">
        <w:rPr>
          <w:rFonts w:ascii="Arial" w:hAnsi="Arial" w:cs="Arial"/>
          <w:i/>
          <w:iCs/>
          <w:lang w:val="en-GB"/>
        </w:rPr>
        <w:t>Ci</w:t>
      </w:r>
      <w:r w:rsidR="00B2307D">
        <w:rPr>
          <w:rFonts w:ascii="Arial" w:hAnsi="Arial" w:cs="Arial"/>
          <w:i/>
          <w:iCs/>
          <w:lang w:val="en-GB"/>
        </w:rPr>
        <w:t>b</w:t>
      </w:r>
      <w:r w:rsidR="00891489" w:rsidRPr="00891489">
        <w:rPr>
          <w:rFonts w:ascii="Arial" w:hAnsi="Arial" w:cs="Arial"/>
          <w:i/>
          <w:iCs/>
          <w:lang w:val="en-GB"/>
        </w:rPr>
        <w:t>a-Geigy</w:t>
      </w:r>
      <w:r w:rsidR="00891489">
        <w:rPr>
          <w:rFonts w:ascii="Arial" w:hAnsi="Arial" w:cs="Arial"/>
          <w:i/>
          <w:iCs/>
          <w:lang w:val="en-GB"/>
        </w:rPr>
        <w:t>,</w:t>
      </w:r>
      <w:r w:rsidR="00891489">
        <w:rPr>
          <w:rFonts w:ascii="Arial" w:hAnsi="Arial" w:cs="Arial"/>
          <w:lang w:val="en-GB"/>
        </w:rPr>
        <w:t xml:space="preserve"> relying on both </w:t>
      </w:r>
      <w:r w:rsidR="00891489" w:rsidRPr="003541BD">
        <w:rPr>
          <w:rFonts w:ascii="Arial" w:hAnsi="Arial" w:cs="Arial"/>
          <w:i/>
          <w:iCs/>
          <w:lang w:val="en-GB"/>
        </w:rPr>
        <w:t>Caxton v Reeva Forman</w:t>
      </w:r>
      <w:r w:rsidR="003541BD">
        <w:rPr>
          <w:rFonts w:ascii="Arial" w:hAnsi="Arial" w:cs="Arial"/>
          <w:lang w:val="en-GB"/>
        </w:rPr>
        <w:t xml:space="preserve"> and </w:t>
      </w:r>
      <w:r w:rsidR="003541BD" w:rsidRPr="003541BD">
        <w:rPr>
          <w:rFonts w:ascii="Arial" w:hAnsi="Arial" w:cs="Arial"/>
          <w:i/>
          <w:iCs/>
          <w:lang w:val="en-GB"/>
        </w:rPr>
        <w:t>Trans-Drakensberg Bank</w:t>
      </w:r>
      <w:r w:rsidR="003541BD">
        <w:rPr>
          <w:rFonts w:ascii="Arial" w:hAnsi="Arial" w:cs="Arial"/>
          <w:lang w:val="en-GB"/>
        </w:rPr>
        <w:t xml:space="preserve"> summarised the considerations that apply when a party wishes to amend his pleadings </w:t>
      </w:r>
      <w:r w:rsidR="003541BD" w:rsidRPr="001B4C9B">
        <w:rPr>
          <w:rFonts w:ascii="Arial" w:hAnsi="Arial" w:cs="Arial"/>
          <w:u w:val="single"/>
          <w:lang w:val="en-GB"/>
        </w:rPr>
        <w:t>at an advanced stage of the proceedings</w:t>
      </w:r>
      <w:r w:rsidR="003541BD">
        <w:rPr>
          <w:rFonts w:ascii="Arial" w:hAnsi="Arial" w:cs="Arial"/>
          <w:lang w:val="en-GB"/>
        </w:rPr>
        <w:t>.</w:t>
      </w:r>
      <w:r w:rsidR="001B4C9B">
        <w:rPr>
          <w:rFonts w:ascii="Arial" w:hAnsi="Arial" w:cs="Arial"/>
          <w:lang w:val="en-GB"/>
        </w:rPr>
        <w:t xml:space="preserve">  First, the applicant must show that it did not delay its application after it became aware of the evidentiary material upon which is proposes to rely</w:t>
      </w:r>
      <w:r w:rsidR="00A83A83">
        <w:rPr>
          <w:rFonts w:ascii="Arial" w:hAnsi="Arial" w:cs="Arial"/>
          <w:lang w:val="en-GB"/>
        </w:rPr>
        <w:t xml:space="preserve">.  Second, it must explain the reason for the amendment and show </w:t>
      </w:r>
      <w:r w:rsidR="00A83A83" w:rsidRPr="00A83A83">
        <w:rPr>
          <w:rFonts w:ascii="Arial" w:hAnsi="Arial" w:cs="Arial"/>
          <w:i/>
          <w:iCs/>
          <w:lang w:val="en-GB"/>
        </w:rPr>
        <w:t>prima facie</w:t>
      </w:r>
      <w:r w:rsidR="00A83A83">
        <w:rPr>
          <w:rFonts w:ascii="Arial" w:hAnsi="Arial" w:cs="Arial"/>
          <w:lang w:val="en-GB"/>
        </w:rPr>
        <w:t xml:space="preserve"> that it has something deserving of consideration, a triable issue.  The </w:t>
      </w:r>
      <w:r w:rsidR="005D1205">
        <w:rPr>
          <w:rFonts w:ascii="Arial" w:hAnsi="Arial" w:cs="Arial"/>
          <w:lang w:val="en-GB"/>
        </w:rPr>
        <w:t>court</w:t>
      </w:r>
      <w:r w:rsidR="00A83A83">
        <w:rPr>
          <w:rFonts w:ascii="Arial" w:hAnsi="Arial" w:cs="Arial"/>
          <w:lang w:val="en-GB"/>
        </w:rPr>
        <w:t xml:space="preserve"> explained further what is meant by a “triable issue”; namely: (a) a dispute which if it is proved on the basis of the evidence foreshadowed by the applicant in his application, will be viable or relevant or (b)</w:t>
      </w:r>
      <w:r w:rsidR="00317038">
        <w:rPr>
          <w:rFonts w:ascii="Arial" w:hAnsi="Arial" w:cs="Arial"/>
          <w:lang w:val="en-GB"/>
        </w:rPr>
        <w:t xml:space="preserve"> a dispute which will probably be established by the evidence thus foreshadowed.  It is important to note that the </w:t>
      </w:r>
      <w:r w:rsidR="005D1205">
        <w:rPr>
          <w:rFonts w:ascii="Arial" w:hAnsi="Arial" w:cs="Arial"/>
          <w:lang w:val="en-GB"/>
        </w:rPr>
        <w:t>court</w:t>
      </w:r>
      <w:r w:rsidR="00317038">
        <w:rPr>
          <w:rFonts w:ascii="Arial" w:hAnsi="Arial" w:cs="Arial"/>
          <w:lang w:val="en-GB"/>
        </w:rPr>
        <w:t xml:space="preserve"> emphasised that in a case of a timeous and less disruptive application, it will </w:t>
      </w:r>
      <w:r w:rsidR="001E31F6">
        <w:rPr>
          <w:rFonts w:ascii="Arial" w:hAnsi="Arial" w:cs="Arial"/>
          <w:lang w:val="en-GB"/>
        </w:rPr>
        <w:t xml:space="preserve">usually </w:t>
      </w:r>
      <w:r w:rsidR="00317038">
        <w:rPr>
          <w:rFonts w:ascii="Arial" w:hAnsi="Arial" w:cs="Arial"/>
          <w:lang w:val="en-GB"/>
        </w:rPr>
        <w:t xml:space="preserve">not be appropriate to require the applicant to indicate how he proposes to establish his amended case.  The </w:t>
      </w:r>
      <w:r w:rsidR="005D1205">
        <w:rPr>
          <w:rFonts w:ascii="Arial" w:hAnsi="Arial" w:cs="Arial"/>
          <w:lang w:val="en-GB"/>
        </w:rPr>
        <w:t>court</w:t>
      </w:r>
      <w:r w:rsidR="00317038">
        <w:rPr>
          <w:rFonts w:ascii="Arial" w:hAnsi="Arial" w:cs="Arial"/>
          <w:lang w:val="en-GB"/>
        </w:rPr>
        <w:t xml:space="preserve"> emphasised further that </w:t>
      </w:r>
      <w:r w:rsidR="00785BCE">
        <w:rPr>
          <w:rFonts w:ascii="Arial" w:hAnsi="Arial" w:cs="Arial"/>
          <w:lang w:val="en-GB"/>
        </w:rPr>
        <w:t>the</w:t>
      </w:r>
      <w:r w:rsidR="00317038">
        <w:rPr>
          <w:rFonts w:ascii="Arial" w:hAnsi="Arial" w:cs="Arial"/>
          <w:lang w:val="en-GB"/>
        </w:rPr>
        <w:t xml:space="preserve"> applicant’s prospects of succeeding with its cause of action as amended will properly only be an element in the exercise of </w:t>
      </w:r>
      <w:r w:rsidR="00294881">
        <w:rPr>
          <w:rFonts w:ascii="Arial" w:hAnsi="Arial" w:cs="Arial"/>
          <w:lang w:val="en-GB"/>
        </w:rPr>
        <w:t xml:space="preserve">the </w:t>
      </w:r>
      <w:r w:rsidR="005D1205">
        <w:rPr>
          <w:rFonts w:ascii="Arial" w:hAnsi="Arial" w:cs="Arial"/>
          <w:lang w:val="en-GB"/>
        </w:rPr>
        <w:t>court</w:t>
      </w:r>
      <w:r w:rsidR="00294881">
        <w:rPr>
          <w:rFonts w:ascii="Arial" w:hAnsi="Arial" w:cs="Arial"/>
          <w:lang w:val="en-GB"/>
        </w:rPr>
        <w:t xml:space="preserve">’s discretion where the amendment is sought at an advanced stage of the proceedings.  The greater the disruption caused by an amendment, the greater the indulgence sought and, accordingly, </w:t>
      </w:r>
      <w:r w:rsidR="00785BCE">
        <w:rPr>
          <w:rFonts w:ascii="Arial" w:hAnsi="Arial" w:cs="Arial"/>
          <w:lang w:val="en-GB"/>
        </w:rPr>
        <w:t xml:space="preserve">the burden upon the applicant to convince the </w:t>
      </w:r>
      <w:r w:rsidR="005D1205">
        <w:rPr>
          <w:rFonts w:ascii="Arial" w:hAnsi="Arial" w:cs="Arial"/>
          <w:lang w:val="en-GB"/>
        </w:rPr>
        <w:t>court</w:t>
      </w:r>
      <w:r w:rsidR="00785BCE">
        <w:rPr>
          <w:rFonts w:ascii="Arial" w:hAnsi="Arial" w:cs="Arial"/>
          <w:lang w:val="en-GB"/>
        </w:rPr>
        <w:t xml:space="preserve"> to allow the amendment.</w:t>
      </w:r>
      <w:r w:rsidR="00785BCE">
        <w:rPr>
          <w:rStyle w:val="FootnoteReference"/>
        </w:rPr>
        <w:footnoteReference w:id="9"/>
      </w:r>
      <w:r w:rsidR="001E31F6">
        <w:rPr>
          <w:rFonts w:ascii="Arial" w:hAnsi="Arial" w:cs="Arial"/>
          <w:lang w:val="en-GB"/>
        </w:rPr>
        <w:t xml:space="preserve"> These principles were again applied in</w:t>
      </w:r>
      <w:r w:rsidR="00704CCE">
        <w:rPr>
          <w:rFonts w:ascii="Arial" w:hAnsi="Arial" w:cs="Arial"/>
          <w:lang w:val="en-GB"/>
        </w:rPr>
        <w:t xml:space="preserve"> </w:t>
      </w:r>
      <w:r w:rsidR="00704CCE" w:rsidRPr="00704CCE">
        <w:rPr>
          <w:rFonts w:ascii="Arial" w:hAnsi="Arial" w:cs="Arial"/>
          <w:i/>
          <w:iCs/>
          <w:lang w:val="en-GB"/>
        </w:rPr>
        <w:t>Consol Glass v Twee</w:t>
      </w:r>
      <w:r w:rsidR="00704CCE">
        <w:rPr>
          <w:rFonts w:ascii="Arial" w:hAnsi="Arial" w:cs="Arial"/>
          <w:i/>
          <w:iCs/>
          <w:lang w:val="en-GB"/>
        </w:rPr>
        <w:t xml:space="preserve"> </w:t>
      </w:r>
      <w:r w:rsidR="00704CCE" w:rsidRPr="00704CCE">
        <w:rPr>
          <w:rFonts w:ascii="Arial" w:hAnsi="Arial" w:cs="Arial"/>
          <w:i/>
          <w:iCs/>
          <w:lang w:val="en-GB"/>
        </w:rPr>
        <w:t>Jonge</w:t>
      </w:r>
      <w:r w:rsidR="00704CCE">
        <w:rPr>
          <w:rFonts w:ascii="Arial" w:hAnsi="Arial" w:cs="Arial"/>
          <w:i/>
          <w:iCs/>
          <w:lang w:val="en-GB"/>
        </w:rPr>
        <w:t xml:space="preserve"> </w:t>
      </w:r>
      <w:r w:rsidR="00704CCE" w:rsidRPr="00704CCE">
        <w:rPr>
          <w:rFonts w:ascii="Arial" w:hAnsi="Arial" w:cs="Arial"/>
          <w:i/>
          <w:iCs/>
          <w:lang w:val="en-GB"/>
        </w:rPr>
        <w:t>Gezellen</w:t>
      </w:r>
      <w:r w:rsidR="00704CCE">
        <w:rPr>
          <w:rFonts w:ascii="Arial" w:hAnsi="Arial" w:cs="Arial"/>
          <w:i/>
          <w:iCs/>
          <w:lang w:val="en-GB"/>
        </w:rPr>
        <w:t xml:space="preserve"> </w:t>
      </w:r>
      <w:r w:rsidR="00704CCE" w:rsidRPr="00704CCE">
        <w:rPr>
          <w:rFonts w:ascii="Arial" w:hAnsi="Arial" w:cs="Arial"/>
          <w:lang w:val="en-GB"/>
        </w:rPr>
        <w:t xml:space="preserve">relying on the </w:t>
      </w:r>
      <w:r w:rsidR="00704CCE">
        <w:rPr>
          <w:rFonts w:ascii="Arial" w:hAnsi="Arial" w:cs="Arial"/>
          <w:lang w:val="en-GB"/>
        </w:rPr>
        <w:t>above authorities</w:t>
      </w:r>
      <w:r w:rsidR="00911834">
        <w:rPr>
          <w:rFonts w:ascii="Arial" w:hAnsi="Arial" w:cs="Arial"/>
          <w:lang w:val="en-GB"/>
        </w:rPr>
        <w:t>.</w:t>
      </w:r>
      <w:r w:rsidR="00911834">
        <w:rPr>
          <w:rStyle w:val="FootnoteReference"/>
        </w:rPr>
        <w:footnoteReference w:id="10"/>
      </w:r>
    </w:p>
    <w:p w14:paraId="73B50417" w14:textId="77777777" w:rsidR="004A6139" w:rsidRP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83538EB" w14:textId="34A9A5C0" w:rsidR="0061615F"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[11]</w:t>
      </w:r>
      <w:r>
        <w:rPr>
          <w:rFonts w:ascii="Arial" w:hAnsi="Arial" w:cs="Arial"/>
          <w:szCs w:val="24"/>
          <w:lang w:val="en-GB"/>
        </w:rPr>
        <w:tab/>
      </w:r>
      <w:r w:rsidR="0061615F">
        <w:rPr>
          <w:rFonts w:ascii="Arial" w:hAnsi="Arial" w:cs="Arial"/>
          <w:caps/>
          <w:lang w:val="en-GB"/>
        </w:rPr>
        <w:t>A</w:t>
      </w:r>
      <w:r w:rsidR="0061615F">
        <w:rPr>
          <w:rFonts w:ascii="Arial" w:hAnsi="Arial" w:cs="Arial"/>
          <w:lang w:val="en-GB"/>
        </w:rPr>
        <w:t xml:space="preserve">gainst these principles, I consider the objections raised by the respondents to the proposed amendments to the </w:t>
      </w:r>
      <w:r w:rsidR="00341F2B">
        <w:rPr>
          <w:rFonts w:ascii="Arial" w:hAnsi="Arial" w:cs="Arial"/>
          <w:lang w:val="en-GB"/>
        </w:rPr>
        <w:t>particulars of claim</w:t>
      </w:r>
      <w:r w:rsidR="0061615F">
        <w:rPr>
          <w:rFonts w:ascii="Arial" w:hAnsi="Arial" w:cs="Arial"/>
          <w:lang w:val="en-GB"/>
        </w:rPr>
        <w:t xml:space="preserve">. </w:t>
      </w:r>
    </w:p>
    <w:p w14:paraId="59EB8362" w14:textId="77777777" w:rsidR="004C3A85" w:rsidRDefault="004C3A85"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4A94BC64" w14:textId="44A3C5E4" w:rsidR="001D0D53" w:rsidRPr="00E836C9" w:rsidRDefault="00E836C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E836C9">
        <w:rPr>
          <w:rFonts w:ascii="Arial" w:hAnsi="Arial" w:cs="Arial"/>
          <w:b/>
          <w:bCs/>
          <w:lang w:val="en-GB"/>
        </w:rPr>
        <w:t>THE RESPONDENTS’ OBJECTIONS</w:t>
      </w:r>
    </w:p>
    <w:p w14:paraId="595B41D3"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1CB9C87" w14:textId="206DF055" w:rsidR="00A23DF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[12]</w:t>
      </w:r>
      <w:r>
        <w:rPr>
          <w:rFonts w:ascii="Arial" w:hAnsi="Arial" w:cs="Arial"/>
          <w:szCs w:val="24"/>
          <w:lang w:val="en-GB"/>
        </w:rPr>
        <w:tab/>
      </w:r>
      <w:r w:rsidR="0012367A">
        <w:rPr>
          <w:rFonts w:ascii="Arial" w:hAnsi="Arial" w:cs="Arial"/>
          <w:lang w:val="en-GB"/>
        </w:rPr>
        <w:t>The objections raised by the respondents rest on the contention that the proposed amendments do not</w:t>
      </w:r>
      <w:r w:rsidR="004C3A85">
        <w:rPr>
          <w:rFonts w:ascii="Arial" w:hAnsi="Arial" w:cs="Arial"/>
          <w:lang w:val="en-GB"/>
        </w:rPr>
        <w:t>,</w:t>
      </w:r>
      <w:r w:rsidR="0012367A">
        <w:rPr>
          <w:rFonts w:ascii="Arial" w:hAnsi="Arial" w:cs="Arial"/>
          <w:lang w:val="en-GB"/>
        </w:rPr>
        <w:t xml:space="preserve"> in certain specified respects, raise a triable issue because were they to be allowed they would render the </w:t>
      </w:r>
      <w:r w:rsidR="004C3A85">
        <w:rPr>
          <w:rFonts w:ascii="Arial" w:hAnsi="Arial" w:cs="Arial"/>
          <w:lang w:val="en-GB"/>
        </w:rPr>
        <w:t>p</w:t>
      </w:r>
      <w:r w:rsidR="0012367A">
        <w:rPr>
          <w:rFonts w:ascii="Arial" w:hAnsi="Arial" w:cs="Arial"/>
          <w:lang w:val="en-GB"/>
        </w:rPr>
        <w:t xml:space="preserve">articulars of </w:t>
      </w:r>
      <w:r w:rsidR="004C3A85">
        <w:rPr>
          <w:rFonts w:ascii="Arial" w:hAnsi="Arial" w:cs="Arial"/>
          <w:lang w:val="en-GB"/>
        </w:rPr>
        <w:t>c</w:t>
      </w:r>
      <w:r w:rsidR="0012367A">
        <w:rPr>
          <w:rFonts w:ascii="Arial" w:hAnsi="Arial" w:cs="Arial"/>
          <w:lang w:val="en-GB"/>
        </w:rPr>
        <w:t>laim</w:t>
      </w:r>
      <w:r w:rsidR="0047510A">
        <w:rPr>
          <w:rFonts w:ascii="Arial" w:hAnsi="Arial" w:cs="Arial"/>
          <w:lang w:val="en-GB"/>
        </w:rPr>
        <w:t xml:space="preserve"> excipiable.  As the respondents correctly point out, our </w:t>
      </w:r>
      <w:r w:rsidR="004C3A85">
        <w:rPr>
          <w:rFonts w:ascii="Arial" w:hAnsi="Arial" w:cs="Arial"/>
          <w:lang w:val="en-GB"/>
        </w:rPr>
        <w:t>c</w:t>
      </w:r>
      <w:r w:rsidR="0047510A">
        <w:rPr>
          <w:rFonts w:ascii="Arial" w:hAnsi="Arial" w:cs="Arial"/>
          <w:lang w:val="en-GB"/>
        </w:rPr>
        <w:t xml:space="preserve">ourts will not generally </w:t>
      </w:r>
      <w:r w:rsidR="00FB4155">
        <w:rPr>
          <w:rFonts w:ascii="Arial" w:hAnsi="Arial" w:cs="Arial"/>
          <w:lang w:val="en-GB"/>
        </w:rPr>
        <w:t>a</w:t>
      </w:r>
      <w:r w:rsidR="0047510A">
        <w:rPr>
          <w:rFonts w:ascii="Arial" w:hAnsi="Arial" w:cs="Arial"/>
          <w:lang w:val="en-GB"/>
        </w:rPr>
        <w:t>llow an amendment which would render a pleading excipiable.</w:t>
      </w:r>
      <w:r w:rsidR="0047510A">
        <w:rPr>
          <w:rStyle w:val="FootnoteReference"/>
        </w:rPr>
        <w:footnoteReference w:id="11"/>
      </w:r>
    </w:p>
    <w:p w14:paraId="497D1956"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0EDA5E5" w14:textId="1DD8C799" w:rsidR="00FB4155"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[13]</w:t>
      </w:r>
      <w:r>
        <w:rPr>
          <w:rFonts w:ascii="Arial" w:hAnsi="Arial" w:cs="Arial"/>
          <w:szCs w:val="24"/>
          <w:lang w:val="en-GB"/>
        </w:rPr>
        <w:tab/>
      </w:r>
      <w:r w:rsidR="00FB4155">
        <w:rPr>
          <w:rFonts w:ascii="Arial" w:hAnsi="Arial" w:cs="Arial"/>
          <w:lang w:val="en-GB"/>
        </w:rPr>
        <w:t xml:space="preserve">This is not an exception.  Accordingly, the </w:t>
      </w:r>
      <w:r w:rsidR="004C3A85">
        <w:rPr>
          <w:rFonts w:ascii="Arial" w:hAnsi="Arial" w:cs="Arial"/>
          <w:lang w:val="en-GB"/>
        </w:rPr>
        <w:t>c</w:t>
      </w:r>
      <w:r w:rsidR="00FB4155">
        <w:rPr>
          <w:rFonts w:ascii="Arial" w:hAnsi="Arial" w:cs="Arial"/>
          <w:lang w:val="en-GB"/>
        </w:rPr>
        <w:t>ourt presented with an objection on this basis must make a preliminary finding on whether there is a likelihoo</w:t>
      </w:r>
      <w:r w:rsidR="0053614D">
        <w:rPr>
          <w:rFonts w:ascii="Arial" w:hAnsi="Arial" w:cs="Arial"/>
          <w:lang w:val="en-GB"/>
        </w:rPr>
        <w:t>d that the proposed amendments</w:t>
      </w:r>
      <w:r w:rsidR="004C3A85">
        <w:rPr>
          <w:rFonts w:ascii="Arial" w:hAnsi="Arial" w:cs="Arial"/>
          <w:lang w:val="en-GB"/>
        </w:rPr>
        <w:t xml:space="preserve">, if allowed, </w:t>
      </w:r>
      <w:r w:rsidR="0053614D">
        <w:rPr>
          <w:rFonts w:ascii="Arial" w:hAnsi="Arial" w:cs="Arial"/>
          <w:lang w:val="en-GB"/>
        </w:rPr>
        <w:t xml:space="preserve">would render the </w:t>
      </w:r>
      <w:r w:rsidR="00341F2B">
        <w:rPr>
          <w:rFonts w:ascii="Arial" w:hAnsi="Arial" w:cs="Arial"/>
          <w:lang w:val="en-GB"/>
        </w:rPr>
        <w:t>particulars of claim</w:t>
      </w:r>
      <w:r w:rsidR="0053614D">
        <w:rPr>
          <w:rFonts w:ascii="Arial" w:hAnsi="Arial" w:cs="Arial"/>
          <w:lang w:val="en-GB"/>
        </w:rPr>
        <w:t xml:space="preserve"> excipiable on the grounds advanced by the objecting party. The approach of the </w:t>
      </w:r>
      <w:r w:rsidR="005D1205">
        <w:rPr>
          <w:rFonts w:ascii="Arial" w:hAnsi="Arial" w:cs="Arial"/>
          <w:lang w:val="en-GB"/>
        </w:rPr>
        <w:t>court</w:t>
      </w:r>
      <w:r w:rsidR="0053614D">
        <w:rPr>
          <w:rFonts w:ascii="Arial" w:hAnsi="Arial" w:cs="Arial"/>
          <w:lang w:val="en-GB"/>
        </w:rPr>
        <w:t xml:space="preserve"> in deciding exceptions is well known and it is not necessary to set out the relevant principles exhaustively here</w:t>
      </w:r>
      <w:r w:rsidR="009513FC">
        <w:rPr>
          <w:rFonts w:ascii="Arial" w:hAnsi="Arial" w:cs="Arial"/>
          <w:lang w:val="en-GB"/>
        </w:rPr>
        <w:t>.  The approach was encapsulated by the Constitutional Court as follows:</w:t>
      </w:r>
    </w:p>
    <w:p w14:paraId="4B7CDFB4" w14:textId="77777777" w:rsidR="004A6139" w:rsidRDefault="004A6139" w:rsidP="00476A69">
      <w:pPr>
        <w:widowControl/>
        <w:tabs>
          <w:tab w:val="left" w:pos="1701"/>
          <w:tab w:val="left" w:pos="2835"/>
          <w:tab w:val="left" w:pos="3969"/>
          <w:tab w:val="right" w:pos="8222"/>
        </w:tabs>
        <w:autoSpaceDE/>
        <w:autoSpaceDN/>
        <w:adjustRightInd/>
        <w:spacing w:line="276" w:lineRule="auto"/>
        <w:ind w:left="1418"/>
        <w:jc w:val="both"/>
        <w:rPr>
          <w:rFonts w:ascii="Arial" w:hAnsi="Arial" w:cs="Arial"/>
          <w:sz w:val="22"/>
          <w:szCs w:val="24"/>
          <w:lang w:val="en-GB"/>
        </w:rPr>
      </w:pPr>
    </w:p>
    <w:p w14:paraId="3B0CDFCC" w14:textId="684573EB" w:rsidR="009513FC" w:rsidRPr="00022C39" w:rsidRDefault="009513FC" w:rsidP="00476A69">
      <w:pPr>
        <w:widowControl/>
        <w:tabs>
          <w:tab w:val="left" w:pos="1701"/>
          <w:tab w:val="left" w:pos="2835"/>
          <w:tab w:val="left" w:pos="3969"/>
          <w:tab w:val="right" w:pos="8222"/>
        </w:tabs>
        <w:autoSpaceDE/>
        <w:autoSpaceDN/>
        <w:adjustRightInd/>
        <w:spacing w:line="276" w:lineRule="auto"/>
        <w:ind w:left="1418"/>
        <w:jc w:val="both"/>
        <w:rPr>
          <w:rFonts w:ascii="Arial" w:hAnsi="Arial" w:cs="Arial"/>
          <w:sz w:val="22"/>
          <w:szCs w:val="24"/>
          <w:lang w:val="en-GB"/>
        </w:rPr>
      </w:pPr>
      <w:r w:rsidRPr="00022C39">
        <w:rPr>
          <w:rFonts w:ascii="Arial" w:hAnsi="Arial" w:cs="Arial"/>
          <w:sz w:val="22"/>
          <w:szCs w:val="24"/>
          <w:lang w:val="en-GB"/>
        </w:rPr>
        <w:t>“In deciding an exception a court must accept all allegations of fact made in the Particulars of Claim as true; may not have regard to any other extraneous facts or documents; and may uphold the</w:t>
      </w:r>
      <w:r w:rsidR="00E01C51" w:rsidRPr="00022C39">
        <w:rPr>
          <w:rFonts w:ascii="Arial" w:hAnsi="Arial" w:cs="Arial"/>
          <w:sz w:val="22"/>
          <w:szCs w:val="24"/>
          <w:lang w:val="en-GB"/>
        </w:rPr>
        <w:t xml:space="preserve"> </w:t>
      </w:r>
      <w:r w:rsidR="00A358FB">
        <w:rPr>
          <w:rFonts w:ascii="Arial" w:hAnsi="Arial" w:cs="Arial"/>
          <w:sz w:val="22"/>
          <w:szCs w:val="24"/>
          <w:lang w:val="en-GB"/>
        </w:rPr>
        <w:t xml:space="preserve">exception to the pleading only when the excipient has satisfied the court that the cause of action or conclusion of law in the pleading cannot be supported on every interpretation that can be put on the facts.  The purpose of an exception is to protect litigants against claims that are bad in law or against an embarrassment which is so serious as to </w:t>
      </w:r>
      <w:r w:rsidR="007C00C7">
        <w:rPr>
          <w:rFonts w:ascii="Arial" w:hAnsi="Arial" w:cs="Arial"/>
          <w:sz w:val="22"/>
          <w:szCs w:val="24"/>
          <w:lang w:val="en-GB"/>
        </w:rPr>
        <w:t>merit the costs even of an exception.  It is a useful procedural tool to weed out bad claims at an early stage, but an overly technical approach must be avoided.”</w:t>
      </w:r>
      <w:r w:rsidR="007C00C7">
        <w:rPr>
          <w:rStyle w:val="FootnoteReference"/>
        </w:rPr>
        <w:footnoteReference w:id="12"/>
      </w:r>
    </w:p>
    <w:p w14:paraId="38458A57"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1D020E7" w14:textId="103D61AC" w:rsidR="009513FC"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[14]</w:t>
      </w:r>
      <w:r>
        <w:rPr>
          <w:rFonts w:ascii="Arial" w:hAnsi="Arial" w:cs="Arial"/>
          <w:szCs w:val="24"/>
          <w:lang w:val="en-GB"/>
        </w:rPr>
        <w:tab/>
      </w:r>
      <w:r w:rsidR="00F95ED0">
        <w:rPr>
          <w:rFonts w:ascii="Arial" w:hAnsi="Arial" w:cs="Arial"/>
          <w:lang w:val="en-GB"/>
        </w:rPr>
        <w:t>The respondents raise four essential grounds of objection and I address these in turn.</w:t>
      </w:r>
    </w:p>
    <w:p w14:paraId="6D625045" w14:textId="77777777" w:rsidR="008241C4" w:rsidRDefault="008241C4"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3F8D331E" w14:textId="74DEB2C1" w:rsidR="00F95ED0" w:rsidRPr="00BB14B6" w:rsidRDefault="00F95ED0"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BB14B6">
        <w:rPr>
          <w:rFonts w:ascii="Arial" w:hAnsi="Arial" w:cs="Arial"/>
          <w:b/>
          <w:bCs/>
          <w:lang w:val="en-GB"/>
        </w:rPr>
        <w:t xml:space="preserve">First </w:t>
      </w:r>
      <w:r w:rsidR="00E117CA">
        <w:rPr>
          <w:rFonts w:ascii="Arial" w:hAnsi="Arial" w:cs="Arial"/>
          <w:b/>
          <w:bCs/>
          <w:lang w:val="en-GB"/>
        </w:rPr>
        <w:t xml:space="preserve">ground of </w:t>
      </w:r>
      <w:r w:rsidRPr="00BB14B6">
        <w:rPr>
          <w:rFonts w:ascii="Arial" w:hAnsi="Arial" w:cs="Arial"/>
          <w:b/>
          <w:bCs/>
          <w:lang w:val="en-GB"/>
        </w:rPr>
        <w:t>objection:</w:t>
      </w:r>
      <w:r w:rsidR="00BB14B6" w:rsidRPr="00BB14B6">
        <w:rPr>
          <w:rFonts w:ascii="Arial" w:hAnsi="Arial" w:cs="Arial"/>
          <w:b/>
          <w:bCs/>
          <w:lang w:val="en-GB"/>
        </w:rPr>
        <w:t xml:space="preserve"> The absence of </w:t>
      </w:r>
      <w:r w:rsidR="00BB14B6">
        <w:rPr>
          <w:rFonts w:ascii="Arial" w:hAnsi="Arial" w:cs="Arial"/>
          <w:b/>
          <w:bCs/>
          <w:lang w:val="en-GB"/>
        </w:rPr>
        <w:t>M</w:t>
      </w:r>
      <w:r w:rsidR="00BB14B6" w:rsidRPr="00BB14B6">
        <w:rPr>
          <w:rFonts w:ascii="Arial" w:hAnsi="Arial" w:cs="Arial"/>
          <w:b/>
          <w:bCs/>
          <w:lang w:val="en-GB"/>
        </w:rPr>
        <w:t>inisterial approval</w:t>
      </w:r>
    </w:p>
    <w:p w14:paraId="44D2ADAF"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FF8CD0A" w14:textId="214286E2" w:rsidR="0012367A"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[15]</w:t>
      </w:r>
      <w:r>
        <w:rPr>
          <w:rFonts w:ascii="Arial" w:hAnsi="Arial" w:cs="Arial"/>
          <w:szCs w:val="24"/>
          <w:lang w:val="en-GB"/>
        </w:rPr>
        <w:tab/>
      </w:r>
      <w:r w:rsidR="001040BA">
        <w:rPr>
          <w:rFonts w:ascii="Arial" w:hAnsi="Arial" w:cs="Arial"/>
          <w:lang w:val="en-GB"/>
        </w:rPr>
        <w:t>The applicant’s primary cause of action is premised on a so-called “</w:t>
      </w:r>
      <w:r w:rsidR="00395F14">
        <w:rPr>
          <w:rFonts w:ascii="Arial" w:hAnsi="Arial" w:cs="Arial"/>
          <w:lang w:val="en-GB"/>
        </w:rPr>
        <w:t>F</w:t>
      </w:r>
      <w:r w:rsidR="00CB18C0">
        <w:rPr>
          <w:rFonts w:ascii="Arial" w:hAnsi="Arial" w:cs="Arial"/>
          <w:lang w:val="en-GB"/>
        </w:rPr>
        <w:t xml:space="preserve">acility </w:t>
      </w:r>
      <w:r w:rsidR="00395F14">
        <w:rPr>
          <w:rFonts w:ascii="Arial" w:hAnsi="Arial" w:cs="Arial"/>
          <w:lang w:val="en-GB"/>
        </w:rPr>
        <w:t>A</w:t>
      </w:r>
      <w:r w:rsidR="00CB18C0">
        <w:rPr>
          <w:rFonts w:ascii="Arial" w:hAnsi="Arial" w:cs="Arial"/>
          <w:lang w:val="en-GB"/>
        </w:rPr>
        <w:t>greement</w:t>
      </w:r>
      <w:r w:rsidR="001040BA">
        <w:rPr>
          <w:rFonts w:ascii="Arial" w:hAnsi="Arial" w:cs="Arial"/>
          <w:lang w:val="en-GB"/>
        </w:rPr>
        <w:t>” allegedly entered into between the applicant and the respondents whereby the applicant</w:t>
      </w:r>
      <w:r w:rsidR="00CF6743">
        <w:rPr>
          <w:rFonts w:ascii="Arial" w:hAnsi="Arial" w:cs="Arial"/>
          <w:lang w:val="en-GB"/>
        </w:rPr>
        <w:t xml:space="preserve">, on certain terms, extended </w:t>
      </w:r>
      <w:r w:rsidR="00690087">
        <w:rPr>
          <w:rFonts w:ascii="Arial" w:hAnsi="Arial" w:cs="Arial"/>
          <w:lang w:val="en-GB"/>
        </w:rPr>
        <w:t xml:space="preserve">loan </w:t>
      </w:r>
      <w:r w:rsidR="00CF6743">
        <w:rPr>
          <w:rFonts w:ascii="Arial" w:hAnsi="Arial" w:cs="Arial"/>
          <w:lang w:val="en-GB"/>
        </w:rPr>
        <w:t xml:space="preserve">funding for film productions. The applicant is a public funding entity whose establishment, objects and </w:t>
      </w:r>
      <w:r w:rsidR="00690087">
        <w:rPr>
          <w:rFonts w:ascii="Arial" w:hAnsi="Arial" w:cs="Arial"/>
          <w:lang w:val="en-GB"/>
        </w:rPr>
        <w:t>operation</w:t>
      </w:r>
      <w:r w:rsidR="00CF6743">
        <w:rPr>
          <w:rFonts w:ascii="Arial" w:hAnsi="Arial" w:cs="Arial"/>
          <w:lang w:val="en-GB"/>
        </w:rPr>
        <w:t xml:space="preserve"> are governed by the National Empowerment Fund Act (“</w:t>
      </w:r>
      <w:r w:rsidR="00CF6743" w:rsidRPr="00CF6743">
        <w:rPr>
          <w:rFonts w:ascii="Arial" w:hAnsi="Arial" w:cs="Arial"/>
          <w:b/>
          <w:bCs/>
          <w:lang w:val="en-GB"/>
        </w:rPr>
        <w:t>the Act</w:t>
      </w:r>
      <w:r w:rsidR="00CF6743">
        <w:rPr>
          <w:rFonts w:ascii="Arial" w:hAnsi="Arial" w:cs="Arial"/>
          <w:lang w:val="en-GB"/>
        </w:rPr>
        <w:t>”).</w:t>
      </w:r>
      <w:r w:rsidR="00CF6743">
        <w:rPr>
          <w:rStyle w:val="FootnoteReference"/>
        </w:rPr>
        <w:footnoteReference w:id="13"/>
      </w:r>
    </w:p>
    <w:p w14:paraId="2994961F"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DB76443" w14:textId="13F10B13" w:rsidR="00CF6743"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[16]</w:t>
      </w:r>
      <w:r>
        <w:rPr>
          <w:rFonts w:ascii="Arial" w:hAnsi="Arial" w:cs="Arial"/>
          <w:szCs w:val="24"/>
          <w:lang w:val="en-GB"/>
        </w:rPr>
        <w:tab/>
      </w:r>
      <w:r w:rsidR="00CF6743">
        <w:rPr>
          <w:rFonts w:ascii="Arial" w:hAnsi="Arial" w:cs="Arial"/>
          <w:lang w:val="en-GB"/>
        </w:rPr>
        <w:t>In terms of the Act, the governance of the applicant is vested in its trustees.</w:t>
      </w:r>
      <w:r w:rsidR="00B43DAB">
        <w:rPr>
          <w:rFonts w:ascii="Arial" w:hAnsi="Arial" w:cs="Arial"/>
          <w:lang w:val="en-GB"/>
        </w:rPr>
        <w:t xml:space="preserve"> The trustees have the power to advance funding in accordance with the objects of the applicant.</w:t>
      </w:r>
      <w:r w:rsidR="00B43DAB">
        <w:rPr>
          <w:rStyle w:val="FootnoteReference"/>
        </w:rPr>
        <w:footnoteReference w:id="14"/>
      </w:r>
      <w:r w:rsidR="00B43DAB">
        <w:rPr>
          <w:rFonts w:ascii="Arial" w:hAnsi="Arial" w:cs="Arial"/>
          <w:lang w:val="en-GB"/>
        </w:rPr>
        <w:t xml:space="preserve">  Amongst other statutory powers</w:t>
      </w:r>
      <w:r w:rsidR="00A44AD6">
        <w:rPr>
          <w:rFonts w:ascii="Arial" w:hAnsi="Arial" w:cs="Arial"/>
          <w:lang w:val="en-GB"/>
        </w:rPr>
        <w:t>, in terms of section 16(2)(k) of the Act, the trustees have the power to:</w:t>
      </w:r>
    </w:p>
    <w:p w14:paraId="7F2D389F"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E0DE88F" w14:textId="5385DC95" w:rsidR="00C81658" w:rsidRPr="00C81658" w:rsidRDefault="00C81658" w:rsidP="00476A69">
      <w:pPr>
        <w:widowControl/>
        <w:tabs>
          <w:tab w:val="left" w:pos="1701"/>
          <w:tab w:val="left" w:pos="2835"/>
          <w:tab w:val="left" w:pos="3969"/>
          <w:tab w:val="right" w:pos="8222"/>
        </w:tabs>
        <w:autoSpaceDE/>
        <w:autoSpaceDN/>
        <w:adjustRightInd/>
        <w:spacing w:line="276" w:lineRule="auto"/>
        <w:ind w:left="1418" w:hanging="567"/>
        <w:jc w:val="both"/>
        <w:rPr>
          <w:rFonts w:ascii="Arial" w:hAnsi="Arial" w:cs="Arial"/>
          <w:sz w:val="22"/>
          <w:szCs w:val="24"/>
          <w:lang w:val="en-GB"/>
        </w:rPr>
      </w:pPr>
      <w:r w:rsidRPr="00C81658">
        <w:rPr>
          <w:rFonts w:ascii="Arial" w:hAnsi="Arial" w:cs="Arial"/>
          <w:sz w:val="22"/>
          <w:szCs w:val="24"/>
          <w:lang w:val="en-GB"/>
        </w:rPr>
        <w:tab/>
        <w:t xml:space="preserve">“enter </w:t>
      </w:r>
      <w:r w:rsidRPr="00C81658">
        <w:rPr>
          <w:rFonts w:ascii="Arial" w:hAnsi="Arial" w:cs="Arial"/>
          <w:sz w:val="22"/>
          <w:szCs w:val="24"/>
        </w:rPr>
        <w:t xml:space="preserve">into an agreement or arrangement regarding the terms and conditions of payment of money due to the Trust and the abandonment of any claims by the 50 Trust, subject to the approval of the Minister </w:t>
      </w:r>
      <w:r>
        <w:rPr>
          <w:rFonts w:ascii="Arial" w:hAnsi="Arial" w:cs="Arial"/>
          <w:sz w:val="22"/>
          <w:szCs w:val="24"/>
        </w:rPr>
        <w:t xml:space="preserve">[of Trade and Industry] </w:t>
      </w:r>
      <w:r w:rsidRPr="00C81658">
        <w:rPr>
          <w:rFonts w:ascii="Arial" w:hAnsi="Arial" w:cs="Arial"/>
          <w:sz w:val="22"/>
          <w:szCs w:val="24"/>
        </w:rPr>
        <w:t>with the concurrence of the Minister of Finance;”</w:t>
      </w:r>
      <w:r w:rsidR="002947E1">
        <w:rPr>
          <w:rStyle w:val="FootnoteReference"/>
        </w:rPr>
        <w:footnoteReference w:id="15"/>
      </w:r>
    </w:p>
    <w:p w14:paraId="2B0DACB7"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B014D12" w14:textId="51C52A35" w:rsidR="00D6574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[17]</w:t>
      </w:r>
      <w:r>
        <w:rPr>
          <w:rFonts w:ascii="Arial" w:hAnsi="Arial" w:cs="Arial"/>
          <w:szCs w:val="24"/>
          <w:lang w:val="en-GB"/>
        </w:rPr>
        <w:tab/>
      </w:r>
      <w:r w:rsidR="002947E1">
        <w:rPr>
          <w:rFonts w:ascii="Arial" w:hAnsi="Arial" w:cs="Arial"/>
          <w:lang w:val="en-GB"/>
        </w:rPr>
        <w:t xml:space="preserve">The first objection raised by the respondents, in essence, is that the applicant has not demonstrated that </w:t>
      </w:r>
      <w:r w:rsidR="0020253C">
        <w:rPr>
          <w:rFonts w:ascii="Arial" w:hAnsi="Arial" w:cs="Arial"/>
          <w:lang w:val="en-GB"/>
        </w:rPr>
        <w:t xml:space="preserve">the approval and concurrence of the respective Ministers was obtained prior to the applicant extending funding to the respondents in terms of the </w:t>
      </w:r>
      <w:r w:rsidR="00CB18C0">
        <w:rPr>
          <w:rFonts w:ascii="Arial" w:hAnsi="Arial" w:cs="Arial"/>
          <w:lang w:val="en-GB"/>
        </w:rPr>
        <w:t xml:space="preserve">Facility </w:t>
      </w:r>
      <w:r w:rsidR="0040679E">
        <w:rPr>
          <w:rFonts w:ascii="Arial" w:hAnsi="Arial" w:cs="Arial"/>
          <w:lang w:val="en-GB"/>
        </w:rPr>
        <w:t>A</w:t>
      </w:r>
      <w:r w:rsidR="00CB18C0">
        <w:rPr>
          <w:rFonts w:ascii="Arial" w:hAnsi="Arial" w:cs="Arial"/>
          <w:lang w:val="en-GB"/>
        </w:rPr>
        <w:t>greement</w:t>
      </w:r>
      <w:r w:rsidR="00CB06F2">
        <w:rPr>
          <w:rFonts w:ascii="Arial" w:hAnsi="Arial" w:cs="Arial"/>
          <w:lang w:val="en-GB"/>
        </w:rPr>
        <w:t>.  The respondents explain this ground of objection as follows in the answering affidavit:</w:t>
      </w:r>
    </w:p>
    <w:p w14:paraId="2A6F7123"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3FD780F" w14:textId="1118D30D" w:rsidR="00CB06F2" w:rsidRDefault="00CB06F2" w:rsidP="00476A69">
      <w:pPr>
        <w:widowControl/>
        <w:tabs>
          <w:tab w:val="left" w:pos="1701"/>
          <w:tab w:val="left" w:pos="2835"/>
          <w:tab w:val="left" w:pos="3969"/>
          <w:tab w:val="right" w:pos="8222"/>
        </w:tabs>
        <w:autoSpaceDE/>
        <w:autoSpaceDN/>
        <w:adjustRightInd/>
        <w:spacing w:line="276" w:lineRule="auto"/>
        <w:ind w:left="1418" w:hanging="567"/>
        <w:jc w:val="both"/>
        <w:rPr>
          <w:rFonts w:ascii="Arial" w:hAnsi="Arial" w:cs="Arial"/>
          <w:lang w:val="en-GB"/>
        </w:rPr>
      </w:pPr>
      <w:r>
        <w:rPr>
          <w:rFonts w:ascii="Arial" w:hAnsi="Arial" w:cs="Arial"/>
          <w:lang w:val="en-GB"/>
        </w:rPr>
        <w:tab/>
      </w:r>
      <w:r w:rsidRPr="004B3FFA">
        <w:rPr>
          <w:rFonts w:ascii="Arial" w:hAnsi="Arial" w:cs="Arial"/>
          <w:sz w:val="22"/>
          <w:szCs w:val="22"/>
          <w:lang w:val="en-GB"/>
        </w:rPr>
        <w:t>“The principal basis upon which the respondents oppose</w:t>
      </w:r>
      <w:r w:rsidR="00181E41" w:rsidRPr="004B3FFA">
        <w:rPr>
          <w:rFonts w:ascii="Arial" w:hAnsi="Arial" w:cs="Arial"/>
          <w:sz w:val="22"/>
          <w:szCs w:val="22"/>
          <w:lang w:val="en-GB"/>
        </w:rPr>
        <w:t xml:space="preserve"> the application to amend the Particulars of Claim is that the applicant (“</w:t>
      </w:r>
      <w:r w:rsidR="00181E41" w:rsidRPr="004B3FFA">
        <w:rPr>
          <w:rFonts w:ascii="Arial" w:hAnsi="Arial" w:cs="Arial"/>
          <w:i/>
          <w:iCs/>
          <w:sz w:val="22"/>
          <w:szCs w:val="22"/>
          <w:lang w:val="en-GB"/>
        </w:rPr>
        <w:t>the NEF</w:t>
      </w:r>
      <w:r w:rsidR="00181E41" w:rsidRPr="004B3FFA">
        <w:rPr>
          <w:rFonts w:ascii="Arial" w:hAnsi="Arial" w:cs="Arial"/>
          <w:sz w:val="22"/>
          <w:szCs w:val="22"/>
          <w:lang w:val="en-GB"/>
        </w:rPr>
        <w:t xml:space="preserve">”) has not shown that a triable issue exists in that it has not put up any evidence to demonstrate that the NEF obtained the prior approval of the Minister of Trade and Industry and </w:t>
      </w:r>
      <w:r w:rsidR="00B100F4" w:rsidRPr="004B3FFA">
        <w:rPr>
          <w:rFonts w:ascii="Arial" w:hAnsi="Arial" w:cs="Arial"/>
          <w:sz w:val="22"/>
          <w:szCs w:val="22"/>
          <w:lang w:val="en-GB"/>
        </w:rPr>
        <w:t xml:space="preserve">the </w:t>
      </w:r>
      <w:r w:rsidR="00181E41" w:rsidRPr="004B3FFA">
        <w:rPr>
          <w:rFonts w:ascii="Arial" w:hAnsi="Arial" w:cs="Arial"/>
          <w:sz w:val="22"/>
          <w:szCs w:val="22"/>
          <w:lang w:val="en-GB"/>
        </w:rPr>
        <w:t xml:space="preserve">Minister of Finance </w:t>
      </w:r>
      <w:r w:rsidR="00B100F4" w:rsidRPr="004B3FFA">
        <w:rPr>
          <w:rFonts w:ascii="Arial" w:hAnsi="Arial" w:cs="Arial"/>
          <w:sz w:val="22"/>
          <w:szCs w:val="22"/>
          <w:lang w:val="en-GB"/>
        </w:rPr>
        <w:t xml:space="preserve">before purporting to conclude the </w:t>
      </w:r>
      <w:r w:rsidR="00CB18C0" w:rsidRPr="004B3FFA">
        <w:rPr>
          <w:rFonts w:ascii="Arial" w:hAnsi="Arial" w:cs="Arial"/>
          <w:sz w:val="22"/>
          <w:szCs w:val="22"/>
          <w:lang w:val="en-GB"/>
        </w:rPr>
        <w:t xml:space="preserve">Facility </w:t>
      </w:r>
      <w:r w:rsidR="004B3FFA">
        <w:rPr>
          <w:rFonts w:ascii="Arial" w:hAnsi="Arial" w:cs="Arial"/>
          <w:sz w:val="22"/>
          <w:szCs w:val="22"/>
          <w:lang w:val="en-GB"/>
        </w:rPr>
        <w:t>A</w:t>
      </w:r>
      <w:r w:rsidR="00CB18C0" w:rsidRPr="004B3FFA">
        <w:rPr>
          <w:rFonts w:ascii="Arial" w:hAnsi="Arial" w:cs="Arial"/>
          <w:sz w:val="22"/>
          <w:szCs w:val="22"/>
          <w:lang w:val="en-GB"/>
        </w:rPr>
        <w:t>greement</w:t>
      </w:r>
      <w:r w:rsidR="00B100F4" w:rsidRPr="004B3FFA">
        <w:rPr>
          <w:rFonts w:ascii="Arial" w:hAnsi="Arial" w:cs="Arial"/>
          <w:sz w:val="22"/>
          <w:szCs w:val="22"/>
          <w:lang w:val="en-GB"/>
        </w:rPr>
        <w:t>, on which agreement the NEF relies as its cause of action.”</w:t>
      </w:r>
      <w:r w:rsidR="00B100F4">
        <w:rPr>
          <w:rStyle w:val="FootnoteReference"/>
        </w:rPr>
        <w:footnoteReference w:id="16"/>
      </w:r>
    </w:p>
    <w:p w14:paraId="070F0BD0"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98993FD" w14:textId="5BD33C82" w:rsidR="00CB06F2"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[18]</w:t>
      </w:r>
      <w:r>
        <w:rPr>
          <w:rFonts w:ascii="Arial" w:hAnsi="Arial" w:cs="Arial"/>
          <w:szCs w:val="24"/>
          <w:lang w:val="en-GB"/>
        </w:rPr>
        <w:tab/>
      </w:r>
      <w:r w:rsidR="00DD633B">
        <w:rPr>
          <w:rFonts w:ascii="Arial" w:hAnsi="Arial" w:cs="Arial"/>
          <w:lang w:val="en-GB"/>
        </w:rPr>
        <w:t>Elsewhere in the answering affidavit the respondents reinforce this ground of objection as follows:</w:t>
      </w:r>
    </w:p>
    <w:p w14:paraId="3822584E"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F442C50" w14:textId="4CDEA634" w:rsidR="00DD633B" w:rsidRPr="002E5A0F" w:rsidRDefault="00DD633B" w:rsidP="00476A69">
      <w:pPr>
        <w:widowControl/>
        <w:tabs>
          <w:tab w:val="left" w:pos="1418"/>
          <w:tab w:val="left" w:pos="1701"/>
          <w:tab w:val="left" w:pos="2835"/>
          <w:tab w:val="left" w:pos="3969"/>
          <w:tab w:val="right" w:pos="8222"/>
        </w:tabs>
        <w:autoSpaceDE/>
        <w:autoSpaceDN/>
        <w:adjustRightInd/>
        <w:spacing w:line="276" w:lineRule="auto"/>
        <w:ind w:left="1418" w:hanging="567"/>
        <w:jc w:val="both"/>
        <w:rPr>
          <w:rFonts w:ascii="Arial" w:hAnsi="Arial" w:cs="Arial"/>
          <w:sz w:val="22"/>
          <w:szCs w:val="24"/>
          <w:lang w:val="en-GB"/>
        </w:rPr>
      </w:pPr>
      <w:r w:rsidRPr="002E5A0F">
        <w:rPr>
          <w:rFonts w:ascii="Arial" w:hAnsi="Arial" w:cs="Arial"/>
          <w:sz w:val="22"/>
          <w:szCs w:val="24"/>
          <w:lang w:val="en-GB"/>
        </w:rPr>
        <w:tab/>
        <w:t>“It will be argued at the hearing of this application that the failure by the NEF to put up any evidence to show that it obtained the prior approval</w:t>
      </w:r>
      <w:r w:rsidR="00EB6594" w:rsidRPr="002E5A0F">
        <w:rPr>
          <w:rFonts w:ascii="Arial" w:hAnsi="Arial" w:cs="Arial"/>
          <w:sz w:val="22"/>
          <w:szCs w:val="24"/>
          <w:lang w:val="en-GB"/>
        </w:rPr>
        <w:t xml:space="preserve"> of the Minister of Trade and Industry and the Minister of Finance before purporting to concluded the </w:t>
      </w:r>
      <w:r w:rsidR="00CB18C0">
        <w:rPr>
          <w:rFonts w:ascii="Arial" w:hAnsi="Arial" w:cs="Arial"/>
          <w:sz w:val="22"/>
          <w:szCs w:val="24"/>
          <w:lang w:val="en-GB"/>
        </w:rPr>
        <w:t xml:space="preserve">Facility </w:t>
      </w:r>
      <w:r w:rsidR="004B3FFA">
        <w:rPr>
          <w:rFonts w:ascii="Arial" w:hAnsi="Arial" w:cs="Arial"/>
          <w:sz w:val="22"/>
          <w:szCs w:val="24"/>
          <w:lang w:val="en-GB"/>
        </w:rPr>
        <w:t>A</w:t>
      </w:r>
      <w:r w:rsidR="00CB18C0">
        <w:rPr>
          <w:rFonts w:ascii="Arial" w:hAnsi="Arial" w:cs="Arial"/>
          <w:sz w:val="22"/>
          <w:szCs w:val="24"/>
          <w:lang w:val="en-GB"/>
        </w:rPr>
        <w:t>greement</w:t>
      </w:r>
      <w:r w:rsidR="00EB6594" w:rsidRPr="002E5A0F">
        <w:rPr>
          <w:rFonts w:ascii="Arial" w:hAnsi="Arial" w:cs="Arial"/>
          <w:sz w:val="22"/>
          <w:szCs w:val="24"/>
          <w:lang w:val="en-GB"/>
        </w:rPr>
        <w:t xml:space="preserve"> with the first, third and fourth respondents, results in the inability of the NEF to</w:t>
      </w:r>
      <w:r w:rsidR="00296DB7" w:rsidRPr="002E5A0F">
        <w:rPr>
          <w:rFonts w:ascii="Arial" w:hAnsi="Arial" w:cs="Arial"/>
          <w:sz w:val="22"/>
          <w:szCs w:val="24"/>
          <w:lang w:val="en-GB"/>
        </w:rPr>
        <w:t xml:space="preserve"> show that a triable issue</w:t>
      </w:r>
      <w:r w:rsidR="002E5A0F" w:rsidRPr="002E5A0F">
        <w:rPr>
          <w:rFonts w:ascii="Arial" w:hAnsi="Arial" w:cs="Arial"/>
          <w:sz w:val="22"/>
          <w:szCs w:val="24"/>
          <w:lang w:val="en-GB"/>
        </w:rPr>
        <w:t xml:space="preserve"> exists. For this reason alone, the amendment should be refused.”</w:t>
      </w:r>
      <w:r w:rsidR="002E5A0F">
        <w:rPr>
          <w:rStyle w:val="FootnoteReference"/>
        </w:rPr>
        <w:footnoteReference w:id="17"/>
      </w:r>
    </w:p>
    <w:p w14:paraId="599F24F0"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A68E9B6" w14:textId="252D744C" w:rsidR="003417FD"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[19]</w:t>
      </w:r>
      <w:r>
        <w:rPr>
          <w:rFonts w:ascii="Arial" w:hAnsi="Arial" w:cs="Arial"/>
          <w:szCs w:val="24"/>
          <w:lang w:val="en-GB"/>
        </w:rPr>
        <w:tab/>
      </w:r>
      <w:r w:rsidR="002E5A0F">
        <w:rPr>
          <w:rFonts w:ascii="Arial" w:hAnsi="Arial" w:cs="Arial"/>
          <w:lang w:val="en-GB"/>
        </w:rPr>
        <w:t xml:space="preserve">In my </w:t>
      </w:r>
      <w:r w:rsidR="007C222A">
        <w:rPr>
          <w:rFonts w:ascii="Arial" w:hAnsi="Arial" w:cs="Arial"/>
          <w:lang w:val="en-GB"/>
        </w:rPr>
        <w:t xml:space="preserve">view there are at least three fundamental difficulties with this objection. In order to appreciate these difficulties, it is necessary to have regard to the relevant portions of the proposed </w:t>
      </w:r>
      <w:r w:rsidR="00951E17">
        <w:rPr>
          <w:rFonts w:ascii="Arial" w:hAnsi="Arial" w:cs="Arial"/>
          <w:lang w:val="en-GB"/>
        </w:rPr>
        <w:t xml:space="preserve">amended </w:t>
      </w:r>
      <w:r w:rsidR="00341F2B">
        <w:rPr>
          <w:rFonts w:ascii="Arial" w:hAnsi="Arial" w:cs="Arial"/>
          <w:lang w:val="en-GB"/>
        </w:rPr>
        <w:t>particulars of claim</w:t>
      </w:r>
      <w:r w:rsidR="00951E17">
        <w:rPr>
          <w:rFonts w:ascii="Arial" w:hAnsi="Arial" w:cs="Arial"/>
          <w:lang w:val="en-GB"/>
        </w:rPr>
        <w:t xml:space="preserve">. </w:t>
      </w:r>
      <w:r w:rsidR="004B3FFA">
        <w:rPr>
          <w:rFonts w:ascii="Arial" w:hAnsi="Arial" w:cs="Arial"/>
          <w:lang w:val="en-GB"/>
        </w:rPr>
        <w:t xml:space="preserve"> </w:t>
      </w:r>
    </w:p>
    <w:p w14:paraId="768FDE96"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62E0F4C" w14:textId="47766C81" w:rsidR="00DD633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[20]</w:t>
      </w:r>
      <w:r>
        <w:rPr>
          <w:rFonts w:ascii="Arial" w:hAnsi="Arial" w:cs="Arial"/>
          <w:szCs w:val="24"/>
          <w:lang w:val="en-GB"/>
        </w:rPr>
        <w:tab/>
      </w:r>
      <w:r w:rsidR="004B3FFA">
        <w:rPr>
          <w:rFonts w:ascii="Arial" w:hAnsi="Arial" w:cs="Arial"/>
          <w:lang w:val="en-GB"/>
        </w:rPr>
        <w:t>In paragraph 3 of the particulars of claim</w:t>
      </w:r>
      <w:r w:rsidR="002B413C">
        <w:rPr>
          <w:rFonts w:ascii="Arial" w:hAnsi="Arial" w:cs="Arial"/>
          <w:lang w:val="en-GB"/>
        </w:rPr>
        <w:t xml:space="preserve">, the applicant pleads that on the specified date, the applicant with the approval and concurrence of the </w:t>
      </w:r>
      <w:r w:rsidR="002B413C">
        <w:rPr>
          <w:rFonts w:ascii="Arial" w:hAnsi="Arial" w:cs="Arial"/>
          <w:lang w:val="en-GB"/>
        </w:rPr>
        <w:lastRenderedPageBreak/>
        <w:t>respective Ministers, entered into the facility agreement with the first respondent.</w:t>
      </w:r>
      <w:r w:rsidR="00951E17">
        <w:rPr>
          <w:rFonts w:ascii="Arial" w:hAnsi="Arial" w:cs="Arial"/>
          <w:lang w:val="en-GB"/>
        </w:rPr>
        <w:t xml:space="preserve"> In paragraph 8 of the proposed amendment, the applicant pleads:</w:t>
      </w:r>
    </w:p>
    <w:p w14:paraId="28B1F90E"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lang w:val="en-GB"/>
        </w:rPr>
      </w:pPr>
    </w:p>
    <w:p w14:paraId="4B653926" w14:textId="1E6D1FEA" w:rsidR="00951E17" w:rsidRPr="00B311A9" w:rsidRDefault="00951E17" w:rsidP="00476A69">
      <w:pPr>
        <w:widowControl/>
        <w:tabs>
          <w:tab w:val="left" w:pos="1418"/>
          <w:tab w:val="left" w:pos="1701"/>
          <w:tab w:val="left" w:pos="2835"/>
          <w:tab w:val="left" w:pos="3969"/>
          <w:tab w:val="right" w:pos="8222"/>
        </w:tabs>
        <w:autoSpaceDE/>
        <w:autoSpaceDN/>
        <w:adjustRightInd/>
        <w:spacing w:line="276" w:lineRule="auto"/>
        <w:ind w:left="1418" w:hanging="567"/>
        <w:jc w:val="both"/>
        <w:rPr>
          <w:rFonts w:ascii="Arial" w:hAnsi="Arial" w:cs="Arial"/>
          <w:sz w:val="22"/>
          <w:szCs w:val="24"/>
          <w:lang w:val="en-GB"/>
        </w:rPr>
      </w:pPr>
      <w:r w:rsidRPr="00B311A9">
        <w:rPr>
          <w:rFonts w:ascii="Arial" w:hAnsi="Arial" w:cs="Arial"/>
          <w:sz w:val="22"/>
          <w:szCs w:val="24"/>
          <w:lang w:val="en-GB"/>
        </w:rPr>
        <w:tab/>
        <w:t>“Prior to the capital amount being loaned and advanced, as aforesaid, the advanced</w:t>
      </w:r>
      <w:r w:rsidR="00B311A9" w:rsidRPr="00B311A9">
        <w:rPr>
          <w:rFonts w:ascii="Arial" w:hAnsi="Arial" w:cs="Arial"/>
          <w:sz w:val="22"/>
          <w:szCs w:val="24"/>
          <w:lang w:val="en-GB"/>
        </w:rPr>
        <w:t xml:space="preserve"> conditions – as set out in annexure “A” to the </w:t>
      </w:r>
      <w:r w:rsidR="006F348F">
        <w:rPr>
          <w:rFonts w:ascii="Arial" w:hAnsi="Arial" w:cs="Arial"/>
          <w:sz w:val="22"/>
          <w:szCs w:val="24"/>
          <w:lang w:val="en-GB"/>
        </w:rPr>
        <w:t xml:space="preserve">Facility Agreement </w:t>
      </w:r>
      <w:r w:rsidR="00B311A9" w:rsidRPr="00B311A9">
        <w:rPr>
          <w:rFonts w:ascii="Arial" w:hAnsi="Arial" w:cs="Arial"/>
          <w:sz w:val="22"/>
          <w:szCs w:val="24"/>
          <w:lang w:val="en-GB"/>
        </w:rPr>
        <w:t xml:space="preserve">– including the conditions precedent to the facility agreement, were duly fulfilled, </w:t>
      </w:r>
      <w:r w:rsidR="00B311A9" w:rsidRPr="00B311A9">
        <w:rPr>
          <w:rFonts w:ascii="Arial" w:hAnsi="Arial" w:cs="Arial"/>
          <w:sz w:val="22"/>
          <w:szCs w:val="24"/>
          <w:u w:val="single"/>
          <w:lang w:val="en-GB"/>
        </w:rPr>
        <w:t>alternatively</w:t>
      </w:r>
      <w:r w:rsidR="00B311A9" w:rsidRPr="00B311A9">
        <w:rPr>
          <w:rFonts w:ascii="Arial" w:hAnsi="Arial" w:cs="Arial"/>
          <w:sz w:val="22"/>
          <w:szCs w:val="24"/>
          <w:lang w:val="en-GB"/>
        </w:rPr>
        <w:t xml:space="preserve"> waived.”</w:t>
      </w:r>
      <w:r w:rsidR="00B311A9">
        <w:rPr>
          <w:rFonts w:ascii="Arial" w:hAnsi="Arial" w:cs="Arial"/>
          <w:sz w:val="22"/>
          <w:szCs w:val="24"/>
          <w:lang w:val="en-GB"/>
        </w:rPr>
        <w:t xml:space="preserve">   (emphasis added)</w:t>
      </w:r>
    </w:p>
    <w:p w14:paraId="19777CB8"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F2146F1" w14:textId="37E42BF0" w:rsidR="004A6139"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[21]</w:t>
      </w:r>
      <w:r>
        <w:rPr>
          <w:rFonts w:ascii="Arial" w:hAnsi="Arial" w:cs="Arial"/>
          <w:szCs w:val="24"/>
          <w:lang w:val="en-GB"/>
        </w:rPr>
        <w:tab/>
      </w:r>
      <w:r w:rsidR="00B311A9">
        <w:rPr>
          <w:rFonts w:ascii="Arial" w:hAnsi="Arial" w:cs="Arial"/>
          <w:lang w:val="en-GB"/>
        </w:rPr>
        <w:t xml:space="preserve">In paragraph 11 of the proposed amended </w:t>
      </w:r>
      <w:r w:rsidR="00341F2B">
        <w:rPr>
          <w:rFonts w:ascii="Arial" w:hAnsi="Arial" w:cs="Arial"/>
          <w:lang w:val="en-GB"/>
        </w:rPr>
        <w:t>particulars of claim</w:t>
      </w:r>
      <w:r w:rsidR="00B311A9">
        <w:rPr>
          <w:rFonts w:ascii="Arial" w:hAnsi="Arial" w:cs="Arial"/>
          <w:lang w:val="en-GB"/>
        </w:rPr>
        <w:t>, the applicant pleads:</w:t>
      </w:r>
    </w:p>
    <w:p w14:paraId="6B3C7D72" w14:textId="77777777" w:rsidR="004A6139" w:rsidRPr="004A6139" w:rsidRDefault="004A6139" w:rsidP="00476A69">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p>
    <w:p w14:paraId="2B1F8AEC" w14:textId="545E25A2" w:rsidR="00C470DD" w:rsidRDefault="00B311A9" w:rsidP="00476A69">
      <w:pPr>
        <w:widowControl/>
        <w:tabs>
          <w:tab w:val="left" w:pos="1418"/>
          <w:tab w:val="left" w:pos="1701"/>
          <w:tab w:val="left" w:pos="2835"/>
          <w:tab w:val="left" w:pos="3969"/>
          <w:tab w:val="right" w:pos="8222"/>
        </w:tabs>
        <w:autoSpaceDE/>
        <w:autoSpaceDN/>
        <w:adjustRightInd/>
        <w:spacing w:line="276" w:lineRule="auto"/>
        <w:ind w:left="1418" w:hanging="1418"/>
        <w:jc w:val="both"/>
        <w:rPr>
          <w:rFonts w:ascii="Arial" w:hAnsi="Arial" w:cs="Arial"/>
          <w:sz w:val="22"/>
          <w:szCs w:val="24"/>
          <w:lang w:val="en-GB"/>
        </w:rPr>
      </w:pPr>
      <w:r>
        <w:rPr>
          <w:rFonts w:ascii="Arial" w:hAnsi="Arial" w:cs="Arial"/>
          <w:sz w:val="22"/>
          <w:szCs w:val="24"/>
          <w:lang w:val="en-GB"/>
        </w:rPr>
        <w:tab/>
      </w:r>
      <w:r w:rsidRPr="00B311A9">
        <w:rPr>
          <w:rFonts w:ascii="Arial" w:hAnsi="Arial" w:cs="Arial"/>
          <w:sz w:val="22"/>
          <w:szCs w:val="24"/>
          <w:lang w:val="en-GB"/>
        </w:rPr>
        <w:t>“</w:t>
      </w:r>
      <w:r>
        <w:rPr>
          <w:rFonts w:ascii="Arial" w:hAnsi="Arial" w:cs="Arial"/>
          <w:sz w:val="22"/>
          <w:szCs w:val="24"/>
          <w:lang w:val="en-GB"/>
        </w:rPr>
        <w:t>Alternatively</w:t>
      </w:r>
      <w:r w:rsidR="00C470DD">
        <w:rPr>
          <w:rFonts w:ascii="Arial" w:hAnsi="Arial" w:cs="Arial"/>
          <w:sz w:val="22"/>
          <w:szCs w:val="24"/>
          <w:lang w:val="en-GB"/>
        </w:rPr>
        <w:t xml:space="preserve"> to paragraph 3 above:</w:t>
      </w:r>
    </w:p>
    <w:p w14:paraId="3AD68A33" w14:textId="77777777" w:rsidR="00AA3F12" w:rsidRDefault="00AA3F12" w:rsidP="00476A69">
      <w:pPr>
        <w:widowControl/>
        <w:tabs>
          <w:tab w:val="left" w:pos="1418"/>
          <w:tab w:val="left" w:pos="1701"/>
          <w:tab w:val="left" w:pos="2835"/>
          <w:tab w:val="left" w:pos="3969"/>
          <w:tab w:val="right" w:pos="8222"/>
        </w:tabs>
        <w:autoSpaceDE/>
        <w:autoSpaceDN/>
        <w:adjustRightInd/>
        <w:spacing w:line="276" w:lineRule="auto"/>
        <w:ind w:left="1418" w:hanging="1418"/>
        <w:jc w:val="both"/>
        <w:rPr>
          <w:rFonts w:ascii="Arial" w:hAnsi="Arial" w:cs="Arial"/>
          <w:sz w:val="22"/>
          <w:szCs w:val="24"/>
          <w:lang w:val="en-GB"/>
        </w:rPr>
      </w:pPr>
    </w:p>
    <w:p w14:paraId="043BCF0C" w14:textId="01C357BC" w:rsidR="00B311A9" w:rsidRPr="00B311A9" w:rsidRDefault="00C470DD" w:rsidP="00476A69">
      <w:pPr>
        <w:widowControl/>
        <w:tabs>
          <w:tab w:val="left" w:pos="1418"/>
          <w:tab w:val="left" w:pos="1985"/>
          <w:tab w:val="left" w:pos="2835"/>
          <w:tab w:val="left" w:pos="3969"/>
          <w:tab w:val="right" w:pos="8222"/>
        </w:tabs>
        <w:autoSpaceDE/>
        <w:autoSpaceDN/>
        <w:adjustRightInd/>
        <w:spacing w:line="276" w:lineRule="auto"/>
        <w:ind w:left="1985" w:hanging="1985"/>
        <w:jc w:val="both"/>
        <w:rPr>
          <w:rFonts w:ascii="Arial" w:hAnsi="Arial" w:cs="Arial"/>
          <w:sz w:val="22"/>
          <w:szCs w:val="24"/>
          <w:lang w:val="en-GB"/>
        </w:rPr>
      </w:pPr>
      <w:r>
        <w:rPr>
          <w:rFonts w:ascii="Arial" w:hAnsi="Arial" w:cs="Arial"/>
          <w:sz w:val="22"/>
          <w:szCs w:val="24"/>
          <w:lang w:val="en-GB"/>
        </w:rPr>
        <w:tab/>
        <w:t>11.1</w:t>
      </w:r>
      <w:r>
        <w:rPr>
          <w:rFonts w:ascii="Arial" w:hAnsi="Arial" w:cs="Arial"/>
          <w:sz w:val="22"/>
          <w:szCs w:val="24"/>
          <w:lang w:val="en-GB"/>
        </w:rPr>
        <w:tab/>
        <w:t xml:space="preserve">in the event of </w:t>
      </w:r>
      <w:r w:rsidR="00BB7F84">
        <w:rPr>
          <w:rFonts w:ascii="Arial" w:hAnsi="Arial" w:cs="Arial"/>
          <w:sz w:val="22"/>
          <w:szCs w:val="24"/>
          <w:lang w:val="en-GB"/>
        </w:rPr>
        <w:t xml:space="preserve">the court finding that the Minister of Trade and Industry, either with or without the concurrence of </w:t>
      </w:r>
      <w:r w:rsidR="00F64C04">
        <w:rPr>
          <w:rFonts w:ascii="Arial" w:hAnsi="Arial" w:cs="Arial"/>
          <w:sz w:val="22"/>
          <w:szCs w:val="24"/>
          <w:lang w:val="en-GB"/>
        </w:rPr>
        <w:t>Minister of Finance</w:t>
      </w:r>
      <w:r w:rsidR="00BB7F84">
        <w:rPr>
          <w:rFonts w:ascii="Arial" w:hAnsi="Arial" w:cs="Arial"/>
          <w:sz w:val="22"/>
          <w:szCs w:val="24"/>
          <w:lang w:val="en-GB"/>
        </w:rPr>
        <w:t xml:space="preserve">, did not approve of the conclusion of the </w:t>
      </w:r>
      <w:r w:rsidR="006F348F">
        <w:rPr>
          <w:rFonts w:ascii="Arial" w:hAnsi="Arial" w:cs="Arial"/>
          <w:sz w:val="22"/>
          <w:szCs w:val="24"/>
          <w:lang w:val="en-GB"/>
        </w:rPr>
        <w:t xml:space="preserve">Facility Agreement </w:t>
      </w:r>
      <w:r w:rsidR="00BB7F84">
        <w:rPr>
          <w:rFonts w:ascii="Arial" w:hAnsi="Arial" w:cs="Arial"/>
          <w:sz w:val="22"/>
          <w:szCs w:val="24"/>
          <w:lang w:val="en-GB"/>
        </w:rPr>
        <w:t xml:space="preserve">or that the loan amount to loaned and advanced to the first defendant, then and in such event it is </w:t>
      </w:r>
      <w:r w:rsidR="00F64C04">
        <w:rPr>
          <w:rFonts w:ascii="Arial" w:hAnsi="Arial" w:cs="Arial"/>
          <w:sz w:val="22"/>
          <w:szCs w:val="24"/>
          <w:lang w:val="en-GB"/>
        </w:rPr>
        <w:t xml:space="preserve">alleged that the </w:t>
      </w:r>
      <w:r w:rsidR="006F348F">
        <w:rPr>
          <w:rFonts w:ascii="Arial" w:hAnsi="Arial" w:cs="Arial"/>
          <w:sz w:val="22"/>
          <w:szCs w:val="24"/>
          <w:lang w:val="en-GB"/>
        </w:rPr>
        <w:t xml:space="preserve">Facility Agreement </w:t>
      </w:r>
      <w:r w:rsidR="00F64C04">
        <w:rPr>
          <w:rFonts w:ascii="Arial" w:hAnsi="Arial" w:cs="Arial"/>
          <w:sz w:val="22"/>
          <w:szCs w:val="24"/>
          <w:lang w:val="en-GB"/>
        </w:rPr>
        <w:t>is and remains valid and binding, irrespective thereof whether the Minister of Finance gave prior approval, with or without the con</w:t>
      </w:r>
      <w:r w:rsidR="006C0B44">
        <w:rPr>
          <w:rFonts w:ascii="Arial" w:hAnsi="Arial" w:cs="Arial"/>
          <w:sz w:val="22"/>
          <w:szCs w:val="24"/>
          <w:lang w:val="en-GB"/>
        </w:rPr>
        <w:t>currence of the Minister of Trade and Industry for the finance agreement to be concluded or the loan amount to be loaned and advanced to the first defendant</w:t>
      </w:r>
      <w:r w:rsidR="00B311A9" w:rsidRPr="00B311A9">
        <w:rPr>
          <w:rFonts w:ascii="Arial" w:hAnsi="Arial" w:cs="Arial"/>
          <w:sz w:val="22"/>
          <w:szCs w:val="24"/>
          <w:lang w:val="en-GB"/>
        </w:rPr>
        <w:t>.</w:t>
      </w:r>
      <w:r w:rsidR="006C0B44">
        <w:rPr>
          <w:rFonts w:ascii="Arial" w:hAnsi="Arial" w:cs="Arial"/>
          <w:sz w:val="22"/>
          <w:szCs w:val="24"/>
          <w:lang w:val="en-GB"/>
        </w:rPr>
        <w:t xml:space="preserve"> ...</w:t>
      </w:r>
      <w:r w:rsidR="00B311A9" w:rsidRPr="00B311A9">
        <w:rPr>
          <w:rFonts w:ascii="Arial" w:hAnsi="Arial" w:cs="Arial"/>
          <w:sz w:val="22"/>
          <w:szCs w:val="24"/>
          <w:lang w:val="en-GB"/>
        </w:rPr>
        <w:t xml:space="preserve">”   </w:t>
      </w:r>
    </w:p>
    <w:p w14:paraId="0611D1F3"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A1A9ED0" w14:textId="431280CE" w:rsidR="00B311A9"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[22]</w:t>
      </w:r>
      <w:r>
        <w:rPr>
          <w:rFonts w:ascii="Arial" w:hAnsi="Arial" w:cs="Arial"/>
          <w:szCs w:val="24"/>
          <w:lang w:val="en-GB"/>
        </w:rPr>
        <w:tab/>
      </w:r>
      <w:r w:rsidR="00633FE4">
        <w:rPr>
          <w:rFonts w:ascii="Arial" w:hAnsi="Arial" w:cs="Arial"/>
          <w:lang w:val="en-GB"/>
        </w:rPr>
        <w:t xml:space="preserve">Having regard to </w:t>
      </w:r>
      <w:r w:rsidR="00280289">
        <w:rPr>
          <w:rFonts w:ascii="Arial" w:hAnsi="Arial" w:cs="Arial"/>
          <w:lang w:val="en-GB"/>
        </w:rPr>
        <w:t xml:space="preserve">the actual wording of the proposed amended </w:t>
      </w:r>
      <w:r w:rsidR="00341F2B">
        <w:rPr>
          <w:rFonts w:ascii="Arial" w:hAnsi="Arial" w:cs="Arial"/>
          <w:lang w:val="en-GB"/>
        </w:rPr>
        <w:t>particulars of claim</w:t>
      </w:r>
      <w:r w:rsidR="00280289">
        <w:rPr>
          <w:rFonts w:ascii="Arial" w:hAnsi="Arial" w:cs="Arial"/>
          <w:lang w:val="en-GB"/>
        </w:rPr>
        <w:t xml:space="preserve">, the first difficulty with this objection is that it is contrary to the well-established approach to excipiability as set out above. The </w:t>
      </w:r>
      <w:r w:rsidR="005D1205">
        <w:rPr>
          <w:rFonts w:ascii="Arial" w:hAnsi="Arial" w:cs="Arial"/>
          <w:lang w:val="en-GB"/>
        </w:rPr>
        <w:t>court</w:t>
      </w:r>
      <w:r w:rsidR="00280289">
        <w:rPr>
          <w:rFonts w:ascii="Arial" w:hAnsi="Arial" w:cs="Arial"/>
          <w:lang w:val="en-GB"/>
        </w:rPr>
        <w:t xml:space="preserve"> at the exception stage will take the pleaded allegations as proved. The plaintiff is required only to plead the essential allegations necessary to sustain a cause of action, and not the underlying evidence.</w:t>
      </w:r>
      <w:r w:rsidR="00280289">
        <w:rPr>
          <w:rStyle w:val="FootnoteReference"/>
        </w:rPr>
        <w:footnoteReference w:id="18"/>
      </w:r>
      <w:r w:rsidR="00DD02A2">
        <w:rPr>
          <w:rFonts w:ascii="Arial" w:hAnsi="Arial" w:cs="Arial"/>
          <w:lang w:val="en-GB"/>
        </w:rPr>
        <w:t xml:space="preserve"> </w:t>
      </w:r>
    </w:p>
    <w:p w14:paraId="221D6E54"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5E437EB" w14:textId="21A49C72" w:rsidR="00977312"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[23]</w:t>
      </w:r>
      <w:r>
        <w:rPr>
          <w:rFonts w:ascii="Arial" w:hAnsi="Arial" w:cs="Arial"/>
          <w:szCs w:val="24"/>
          <w:lang w:val="en-GB"/>
        </w:rPr>
        <w:tab/>
      </w:r>
      <w:r w:rsidR="0061140A">
        <w:rPr>
          <w:rFonts w:ascii="Arial" w:hAnsi="Arial" w:cs="Arial"/>
          <w:lang w:val="en-GB"/>
        </w:rPr>
        <w:t>As appears from the relevant portion</w:t>
      </w:r>
      <w:r w:rsidR="003417FD">
        <w:rPr>
          <w:rFonts w:ascii="Arial" w:hAnsi="Arial" w:cs="Arial"/>
          <w:lang w:val="en-GB"/>
        </w:rPr>
        <w:t>s</w:t>
      </w:r>
      <w:r w:rsidR="0061140A">
        <w:rPr>
          <w:rFonts w:ascii="Arial" w:hAnsi="Arial" w:cs="Arial"/>
          <w:lang w:val="en-GB"/>
        </w:rPr>
        <w:t xml:space="preserve"> of the pleading</w:t>
      </w:r>
      <w:r w:rsidR="003417FD">
        <w:rPr>
          <w:rFonts w:ascii="Arial" w:hAnsi="Arial" w:cs="Arial"/>
          <w:lang w:val="en-GB"/>
        </w:rPr>
        <w:t xml:space="preserve"> (particularly paragraphs 3 and 8)</w:t>
      </w:r>
      <w:r w:rsidR="0061140A">
        <w:rPr>
          <w:rFonts w:ascii="Arial" w:hAnsi="Arial" w:cs="Arial"/>
          <w:lang w:val="en-GB"/>
        </w:rPr>
        <w:t>, the applicant’s primary allegation in this regard is that the funds were advanced</w:t>
      </w:r>
      <w:r w:rsidR="003417FD">
        <w:rPr>
          <w:rFonts w:ascii="Arial" w:hAnsi="Arial" w:cs="Arial"/>
          <w:lang w:val="en-GB"/>
        </w:rPr>
        <w:t xml:space="preserve"> with the relevant Ministerial approval and concurrence and</w:t>
      </w:r>
      <w:r w:rsidR="0061140A">
        <w:rPr>
          <w:rFonts w:ascii="Arial" w:hAnsi="Arial" w:cs="Arial"/>
          <w:lang w:val="en-GB"/>
        </w:rPr>
        <w:t xml:space="preserve"> “pursuant to and acting in terms of the facility agreement”,</w:t>
      </w:r>
      <w:r w:rsidR="0061140A">
        <w:rPr>
          <w:rStyle w:val="FootnoteReference"/>
        </w:rPr>
        <w:footnoteReference w:id="19"/>
      </w:r>
      <w:r w:rsidR="00911629">
        <w:rPr>
          <w:rFonts w:ascii="Arial" w:hAnsi="Arial" w:cs="Arial"/>
          <w:lang w:val="en-GB"/>
        </w:rPr>
        <w:t xml:space="preserve"> and that all conditions were duly fulfilled. This necessarily </w:t>
      </w:r>
      <w:r w:rsidR="00476A69">
        <w:rPr>
          <w:rFonts w:ascii="Arial" w:hAnsi="Arial" w:cs="Arial"/>
          <w:lang w:val="en-GB"/>
        </w:rPr>
        <w:t>includes statutory</w:t>
      </w:r>
      <w:r w:rsidR="00554C40">
        <w:rPr>
          <w:rFonts w:ascii="Arial" w:hAnsi="Arial" w:cs="Arial"/>
          <w:lang w:val="en-GB"/>
        </w:rPr>
        <w:t xml:space="preserve"> conditions.  The </w:t>
      </w:r>
      <w:r w:rsidR="005D1205">
        <w:rPr>
          <w:rFonts w:ascii="Arial" w:hAnsi="Arial" w:cs="Arial"/>
          <w:lang w:val="en-GB"/>
        </w:rPr>
        <w:t>court</w:t>
      </w:r>
      <w:r w:rsidR="00554C40">
        <w:rPr>
          <w:rFonts w:ascii="Arial" w:hAnsi="Arial" w:cs="Arial"/>
          <w:lang w:val="en-GB"/>
        </w:rPr>
        <w:t xml:space="preserve"> will not at the exception stage </w:t>
      </w:r>
      <w:r w:rsidR="00977312">
        <w:rPr>
          <w:rFonts w:ascii="Arial" w:hAnsi="Arial" w:cs="Arial"/>
          <w:lang w:val="en-GB"/>
        </w:rPr>
        <w:t xml:space="preserve">go behind the pleadings in order to assess the evidence in support of the pleaded case. That is a matter for the </w:t>
      </w:r>
      <w:r w:rsidR="00754F90">
        <w:rPr>
          <w:rFonts w:ascii="Arial" w:hAnsi="Arial" w:cs="Arial"/>
          <w:lang w:val="en-GB"/>
        </w:rPr>
        <w:t>trial</w:t>
      </w:r>
      <w:r w:rsidR="00977312">
        <w:rPr>
          <w:rFonts w:ascii="Arial" w:hAnsi="Arial" w:cs="Arial"/>
          <w:lang w:val="en-GB"/>
        </w:rPr>
        <w:t xml:space="preserve"> </w:t>
      </w:r>
      <w:r w:rsidR="005D1205">
        <w:rPr>
          <w:rFonts w:ascii="Arial" w:hAnsi="Arial" w:cs="Arial"/>
          <w:lang w:val="en-GB"/>
        </w:rPr>
        <w:t>court</w:t>
      </w:r>
      <w:r w:rsidR="00977312">
        <w:rPr>
          <w:rFonts w:ascii="Arial" w:hAnsi="Arial" w:cs="Arial"/>
          <w:lang w:val="en-GB"/>
        </w:rPr>
        <w:t>.</w:t>
      </w:r>
    </w:p>
    <w:p w14:paraId="4C58649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ED66FA8" w14:textId="197E6991" w:rsidR="0061140A"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[24]</w:t>
      </w:r>
      <w:r>
        <w:rPr>
          <w:rFonts w:ascii="Arial" w:hAnsi="Arial" w:cs="Arial"/>
          <w:szCs w:val="24"/>
          <w:lang w:val="en-GB"/>
        </w:rPr>
        <w:tab/>
      </w:r>
      <w:r w:rsidR="00977312">
        <w:rPr>
          <w:rFonts w:ascii="Arial" w:hAnsi="Arial" w:cs="Arial"/>
          <w:lang w:val="en-GB"/>
        </w:rPr>
        <w:t xml:space="preserve">In the course of </w:t>
      </w:r>
      <w:r w:rsidR="00476A69">
        <w:rPr>
          <w:rFonts w:ascii="Arial" w:hAnsi="Arial" w:cs="Arial"/>
          <w:lang w:val="en-GB"/>
        </w:rPr>
        <w:t>argument,</w:t>
      </w:r>
      <w:r w:rsidR="00977312">
        <w:rPr>
          <w:rFonts w:ascii="Arial" w:hAnsi="Arial" w:cs="Arial"/>
          <w:lang w:val="en-GB"/>
        </w:rPr>
        <w:t xml:space="preserve"> it was strongly impressed upon me by counsel for the respondents that in assessing whether the proposed pleadings raise a triable issue</w:t>
      </w:r>
      <w:r w:rsidR="00320D45">
        <w:rPr>
          <w:rFonts w:ascii="Arial" w:hAnsi="Arial" w:cs="Arial"/>
          <w:lang w:val="en-GB"/>
        </w:rPr>
        <w:t xml:space="preserve"> I may, and should, in the exercise of my discretion, have regard </w:t>
      </w:r>
      <w:r w:rsidR="00320D45">
        <w:rPr>
          <w:rFonts w:ascii="Arial" w:hAnsi="Arial" w:cs="Arial"/>
          <w:lang w:val="en-GB"/>
        </w:rPr>
        <w:lastRenderedPageBreak/>
        <w:t xml:space="preserve">to the failure by the applicant to produce evidence of the alleged Ministerial approval and concurrence in terms of the Act. In this regard, it was </w:t>
      </w:r>
      <w:r w:rsidR="00FF460F">
        <w:rPr>
          <w:rFonts w:ascii="Arial" w:hAnsi="Arial" w:cs="Arial"/>
          <w:lang w:val="en-GB"/>
        </w:rPr>
        <w:t xml:space="preserve">submitted that the applicant had had ample opportunity to present such evidence including in the answering affidavit in the application to dismiss brought by the respondents as well as in the affidavits in the present application for leave to amend.  In this regard, counsel for the respondent placed particular reliance on </w:t>
      </w:r>
      <w:r w:rsidR="00EF42FD">
        <w:rPr>
          <w:rFonts w:ascii="Arial" w:hAnsi="Arial" w:cs="Arial"/>
          <w:lang w:val="en-GB"/>
        </w:rPr>
        <w:t xml:space="preserve">the </w:t>
      </w:r>
      <w:r w:rsidR="00EF42FD" w:rsidRPr="00806944">
        <w:rPr>
          <w:rFonts w:ascii="Arial" w:hAnsi="Arial" w:cs="Arial"/>
          <w:i/>
          <w:iCs/>
          <w:lang w:val="en-GB"/>
        </w:rPr>
        <w:t>Con</w:t>
      </w:r>
      <w:r w:rsidR="00534DC1" w:rsidRPr="00806944">
        <w:rPr>
          <w:rFonts w:ascii="Arial" w:hAnsi="Arial" w:cs="Arial"/>
          <w:i/>
          <w:iCs/>
          <w:lang w:val="en-GB"/>
        </w:rPr>
        <w:t>s</w:t>
      </w:r>
      <w:r w:rsidR="00EF42FD" w:rsidRPr="00806944">
        <w:rPr>
          <w:rFonts w:ascii="Arial" w:hAnsi="Arial" w:cs="Arial"/>
          <w:i/>
          <w:iCs/>
          <w:lang w:val="en-GB"/>
        </w:rPr>
        <w:t>ol v Twee Jonge</w:t>
      </w:r>
      <w:r w:rsidR="0059783C" w:rsidRPr="00806944">
        <w:rPr>
          <w:rFonts w:ascii="Arial" w:hAnsi="Arial" w:cs="Arial"/>
          <w:i/>
          <w:iCs/>
          <w:lang w:val="en-GB"/>
        </w:rPr>
        <w:t xml:space="preserve"> Ge</w:t>
      </w:r>
      <w:r w:rsidR="00EF42FD" w:rsidRPr="00806944">
        <w:rPr>
          <w:rFonts w:ascii="Arial" w:hAnsi="Arial" w:cs="Arial"/>
          <w:i/>
          <w:iCs/>
          <w:lang w:val="en-GB"/>
        </w:rPr>
        <w:t>zellen</w:t>
      </w:r>
      <w:r w:rsidR="00EF42FD">
        <w:rPr>
          <w:rFonts w:ascii="Arial" w:hAnsi="Arial" w:cs="Arial"/>
          <w:lang w:val="en-GB"/>
        </w:rPr>
        <w:t xml:space="preserve"> case</w:t>
      </w:r>
      <w:r w:rsidR="003417FD">
        <w:rPr>
          <w:rFonts w:ascii="Arial" w:hAnsi="Arial" w:cs="Arial"/>
          <w:lang w:val="en-GB"/>
        </w:rPr>
        <w:t xml:space="preserve"> (cited above)</w:t>
      </w:r>
      <w:r w:rsidR="00806944">
        <w:rPr>
          <w:rFonts w:ascii="Arial" w:hAnsi="Arial" w:cs="Arial"/>
          <w:lang w:val="en-GB"/>
        </w:rPr>
        <w:t>.</w:t>
      </w:r>
      <w:r w:rsidR="00806944">
        <w:rPr>
          <w:rStyle w:val="FootnoteReference"/>
        </w:rPr>
        <w:footnoteReference w:id="20"/>
      </w:r>
      <w:r w:rsidR="0059783C">
        <w:rPr>
          <w:rFonts w:ascii="Arial" w:hAnsi="Arial" w:cs="Arial"/>
          <w:lang w:val="en-GB"/>
        </w:rPr>
        <w:t xml:space="preserve"> </w:t>
      </w:r>
    </w:p>
    <w:p w14:paraId="2DA33E41"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37EC84F" w14:textId="59868A8F" w:rsidR="00D8785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[25]</w:t>
      </w:r>
      <w:r>
        <w:rPr>
          <w:rFonts w:ascii="Arial" w:hAnsi="Arial" w:cs="Arial"/>
          <w:szCs w:val="24"/>
          <w:lang w:val="en-GB"/>
        </w:rPr>
        <w:tab/>
      </w:r>
      <w:r w:rsidR="00D87857">
        <w:rPr>
          <w:rFonts w:ascii="Arial" w:hAnsi="Arial" w:cs="Arial"/>
          <w:lang w:val="en-GB"/>
        </w:rPr>
        <w:t xml:space="preserve">The reliance on </w:t>
      </w:r>
      <w:r w:rsidR="007F238B" w:rsidRPr="00806944">
        <w:rPr>
          <w:rFonts w:ascii="Arial" w:hAnsi="Arial" w:cs="Arial"/>
          <w:i/>
          <w:iCs/>
          <w:lang w:val="en-GB"/>
        </w:rPr>
        <w:t>Twee Jonge Gezellen</w:t>
      </w:r>
      <w:r w:rsidR="007F238B">
        <w:rPr>
          <w:rFonts w:ascii="Arial" w:hAnsi="Arial" w:cs="Arial"/>
          <w:lang w:val="en-GB"/>
        </w:rPr>
        <w:t xml:space="preserve"> is, in the present circumstances, in my view misplaced.  As appears from my discussion of the relevant legal principles above, </w:t>
      </w:r>
      <w:r w:rsidR="007F238B" w:rsidRPr="00806944">
        <w:rPr>
          <w:rFonts w:ascii="Arial" w:hAnsi="Arial" w:cs="Arial"/>
          <w:i/>
          <w:iCs/>
          <w:lang w:val="en-GB"/>
        </w:rPr>
        <w:t>Twee Jonge Gezellen</w:t>
      </w:r>
      <w:r w:rsidR="007F238B">
        <w:rPr>
          <w:rFonts w:ascii="Arial" w:hAnsi="Arial" w:cs="Arial"/>
          <w:lang w:val="en-GB"/>
        </w:rPr>
        <w:t xml:space="preserve">, like </w:t>
      </w:r>
      <w:r w:rsidR="007F238B" w:rsidRPr="007F238B">
        <w:rPr>
          <w:rFonts w:ascii="Arial" w:hAnsi="Arial" w:cs="Arial"/>
          <w:i/>
          <w:iCs/>
          <w:lang w:val="en-GB"/>
        </w:rPr>
        <w:t>Ciba-Geigy</w:t>
      </w:r>
      <w:r w:rsidR="007F238B">
        <w:rPr>
          <w:rFonts w:ascii="Arial" w:hAnsi="Arial" w:cs="Arial"/>
          <w:lang w:val="en-GB"/>
        </w:rPr>
        <w:t xml:space="preserve"> and </w:t>
      </w:r>
      <w:r w:rsidR="007F238B" w:rsidRPr="007F238B">
        <w:rPr>
          <w:rFonts w:ascii="Arial" w:hAnsi="Arial" w:cs="Arial"/>
          <w:i/>
          <w:iCs/>
          <w:lang w:val="en-GB"/>
        </w:rPr>
        <w:t>Caxton v Reeva Forman</w:t>
      </w:r>
      <w:r w:rsidR="007F238B">
        <w:rPr>
          <w:rFonts w:ascii="Arial" w:hAnsi="Arial" w:cs="Arial"/>
          <w:lang w:val="en-GB"/>
        </w:rPr>
        <w:t xml:space="preserve"> are all cases which deal with the special circumstances</w:t>
      </w:r>
      <w:r w:rsidR="00D12783">
        <w:rPr>
          <w:rFonts w:ascii="Arial" w:hAnsi="Arial" w:cs="Arial"/>
          <w:lang w:val="en-GB"/>
        </w:rPr>
        <w:t xml:space="preserve"> where an amendment is sought at an advanced stage of the trial proceedings.</w:t>
      </w:r>
      <w:r w:rsidR="00AF2810">
        <w:rPr>
          <w:rFonts w:ascii="Arial" w:hAnsi="Arial" w:cs="Arial"/>
          <w:lang w:val="en-GB"/>
        </w:rPr>
        <w:t xml:space="preserve"> In </w:t>
      </w:r>
      <w:r w:rsidR="00AF2810" w:rsidRPr="00806944">
        <w:rPr>
          <w:rFonts w:ascii="Arial" w:hAnsi="Arial" w:cs="Arial"/>
          <w:i/>
          <w:iCs/>
          <w:lang w:val="en-GB"/>
        </w:rPr>
        <w:t>Twee Jonge Gezellen</w:t>
      </w:r>
      <w:r w:rsidR="00AF2810">
        <w:rPr>
          <w:rFonts w:ascii="Arial" w:hAnsi="Arial" w:cs="Arial"/>
          <w:lang w:val="en-GB"/>
        </w:rPr>
        <w:t xml:space="preserve">, for example, there had already been a trial </w:t>
      </w:r>
      <w:r w:rsidR="006228E1">
        <w:rPr>
          <w:rFonts w:ascii="Arial" w:hAnsi="Arial" w:cs="Arial"/>
          <w:lang w:val="en-GB"/>
        </w:rPr>
        <w:t xml:space="preserve">on </w:t>
      </w:r>
      <w:r w:rsidR="00FF02DE">
        <w:rPr>
          <w:rFonts w:ascii="Arial" w:hAnsi="Arial" w:cs="Arial"/>
          <w:lang w:val="en-GB"/>
        </w:rPr>
        <w:t xml:space="preserve">a separated issue and evidence had already been led.  In </w:t>
      </w:r>
      <w:r w:rsidR="00FF02DE" w:rsidRPr="00FF02DE">
        <w:rPr>
          <w:rFonts w:ascii="Arial" w:hAnsi="Arial" w:cs="Arial"/>
          <w:i/>
          <w:iCs/>
          <w:lang w:val="en-GB"/>
        </w:rPr>
        <w:t>Ciba-Geigy</w:t>
      </w:r>
      <w:r w:rsidR="00FF02DE">
        <w:rPr>
          <w:rFonts w:ascii="Arial" w:hAnsi="Arial" w:cs="Arial"/>
          <w:lang w:val="en-GB"/>
        </w:rPr>
        <w:t xml:space="preserve">, the matter was already on appeal.  In such cases </w:t>
      </w:r>
      <w:r w:rsidR="003417FD">
        <w:rPr>
          <w:rFonts w:ascii="Arial" w:hAnsi="Arial" w:cs="Arial"/>
          <w:lang w:val="en-GB"/>
        </w:rPr>
        <w:t>particular</w:t>
      </w:r>
      <w:r w:rsidR="00FF02DE">
        <w:rPr>
          <w:rFonts w:ascii="Arial" w:hAnsi="Arial" w:cs="Arial"/>
          <w:lang w:val="en-GB"/>
        </w:rPr>
        <w:t xml:space="preserve"> considerations </w:t>
      </w:r>
      <w:r w:rsidR="003417FD">
        <w:rPr>
          <w:rFonts w:ascii="Arial" w:hAnsi="Arial" w:cs="Arial"/>
          <w:lang w:val="en-GB"/>
        </w:rPr>
        <w:t>are relevant to the exercise of the court’s discretion,</w:t>
      </w:r>
      <w:r w:rsidR="00FF02DE">
        <w:rPr>
          <w:rFonts w:ascii="Arial" w:hAnsi="Arial" w:cs="Arial"/>
          <w:lang w:val="en-GB"/>
        </w:rPr>
        <w:t xml:space="preserve"> and the </w:t>
      </w:r>
      <w:r w:rsidR="005D1205">
        <w:rPr>
          <w:rFonts w:ascii="Arial" w:hAnsi="Arial" w:cs="Arial"/>
          <w:lang w:val="en-GB"/>
        </w:rPr>
        <w:t>court</w:t>
      </w:r>
      <w:r w:rsidR="00FF02DE">
        <w:rPr>
          <w:rFonts w:ascii="Arial" w:hAnsi="Arial" w:cs="Arial"/>
          <w:lang w:val="en-GB"/>
        </w:rPr>
        <w:t xml:space="preserve"> may, depending on the nature of the objection, have regard to reasons for the delay</w:t>
      </w:r>
      <w:r w:rsidR="003E15EC">
        <w:rPr>
          <w:rFonts w:ascii="Arial" w:hAnsi="Arial" w:cs="Arial"/>
          <w:lang w:val="en-GB"/>
        </w:rPr>
        <w:t xml:space="preserve"> as well as whether evidence has been advanced to sustain a </w:t>
      </w:r>
      <w:r w:rsidR="003E15EC" w:rsidRPr="003E15EC">
        <w:rPr>
          <w:rFonts w:ascii="Arial" w:hAnsi="Arial" w:cs="Arial"/>
          <w:i/>
          <w:iCs/>
          <w:lang w:val="en-GB"/>
        </w:rPr>
        <w:t>prima facie</w:t>
      </w:r>
      <w:r w:rsidR="003E15EC">
        <w:rPr>
          <w:rFonts w:ascii="Arial" w:hAnsi="Arial" w:cs="Arial"/>
          <w:lang w:val="en-GB"/>
        </w:rPr>
        <w:t xml:space="preserve"> case on the proposed amended pleadings.</w:t>
      </w:r>
    </w:p>
    <w:p w14:paraId="7DFBD626"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F264D7A" w14:textId="611ABB0B" w:rsidR="003E15EC"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[26]</w:t>
      </w:r>
      <w:r>
        <w:rPr>
          <w:rFonts w:ascii="Arial" w:hAnsi="Arial" w:cs="Arial"/>
          <w:szCs w:val="24"/>
          <w:lang w:val="en-GB"/>
        </w:rPr>
        <w:tab/>
      </w:r>
      <w:r w:rsidR="003E15EC">
        <w:rPr>
          <w:rFonts w:ascii="Arial" w:hAnsi="Arial" w:cs="Arial"/>
          <w:lang w:val="en-GB"/>
        </w:rPr>
        <w:t xml:space="preserve">This, however, is not such a case. Whatever the reasons for </w:t>
      </w:r>
      <w:r w:rsidR="007C2FC4">
        <w:rPr>
          <w:rFonts w:ascii="Arial" w:hAnsi="Arial" w:cs="Arial"/>
          <w:lang w:val="en-GB"/>
        </w:rPr>
        <w:t>the long procedural history, the trial has not commenced, no trial date has been set and none of the trial preliminaries have even occurred.  Accordingly, in my view, this is a case where the default principle pertaining to objections applies</w:t>
      </w:r>
      <w:r w:rsidR="000134BA">
        <w:rPr>
          <w:rFonts w:ascii="Arial" w:hAnsi="Arial" w:cs="Arial"/>
          <w:lang w:val="en-GB"/>
        </w:rPr>
        <w:t xml:space="preserve">; namely, that a </w:t>
      </w:r>
      <w:r w:rsidR="005D1205">
        <w:rPr>
          <w:rFonts w:ascii="Arial" w:hAnsi="Arial" w:cs="Arial"/>
          <w:lang w:val="en-GB"/>
        </w:rPr>
        <w:t>court</w:t>
      </w:r>
      <w:r w:rsidR="000134BA">
        <w:rPr>
          <w:rFonts w:ascii="Arial" w:hAnsi="Arial" w:cs="Arial"/>
          <w:lang w:val="en-GB"/>
        </w:rPr>
        <w:t xml:space="preserve"> will facilitate ventilation of the true issue between the parties.</w:t>
      </w:r>
    </w:p>
    <w:p w14:paraId="66E2D181"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567FFD6" w14:textId="79B648FB" w:rsidR="00EC4F35"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[27]</w:t>
      </w:r>
      <w:r>
        <w:rPr>
          <w:rFonts w:ascii="Arial" w:hAnsi="Arial" w:cs="Arial"/>
          <w:szCs w:val="24"/>
          <w:lang w:val="en-GB"/>
        </w:rPr>
        <w:tab/>
      </w:r>
      <w:r w:rsidR="000134BA">
        <w:rPr>
          <w:rFonts w:ascii="Arial" w:hAnsi="Arial" w:cs="Arial"/>
          <w:lang w:val="en-GB"/>
        </w:rPr>
        <w:t>The second fundamental difficulty with this objection is that it is premised on a specific interpretation of the Act, and in particular the provision for Ministerial approval</w:t>
      </w:r>
      <w:r w:rsidR="00817A32">
        <w:rPr>
          <w:rFonts w:ascii="Arial" w:hAnsi="Arial" w:cs="Arial"/>
          <w:lang w:val="en-GB"/>
        </w:rPr>
        <w:t xml:space="preserve"> and concurrence in section 16(2)(k). In this regard, the objection rests on the premise that the concurrence and approval is peremptory in respect of the validity of the agreement, that </w:t>
      </w:r>
      <w:r w:rsidR="00675DE1">
        <w:rPr>
          <w:rFonts w:ascii="Arial" w:hAnsi="Arial" w:cs="Arial"/>
          <w:lang w:val="en-GB"/>
        </w:rPr>
        <w:t>such concurrence and approval must be extended by the respective Ministers</w:t>
      </w:r>
      <w:r w:rsidR="007D614E">
        <w:rPr>
          <w:rFonts w:ascii="Arial" w:hAnsi="Arial" w:cs="Arial"/>
          <w:lang w:val="en-GB"/>
        </w:rPr>
        <w:t xml:space="preserve"> in respect of each and every funding agreement which the applicant enters into and must be given in advance.  </w:t>
      </w:r>
      <w:r w:rsidR="003417FD">
        <w:rPr>
          <w:rFonts w:ascii="Arial" w:hAnsi="Arial" w:cs="Arial"/>
          <w:lang w:val="en-GB"/>
        </w:rPr>
        <w:t>These are all questions regarding the ultimate interpretation of the relevant provisions of the Act.</w:t>
      </w:r>
    </w:p>
    <w:p w14:paraId="69124E6C"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BB79D30" w14:textId="0FDF0457" w:rsidR="00EC4F35"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[28]</w:t>
      </w:r>
      <w:r>
        <w:rPr>
          <w:rFonts w:ascii="Arial" w:hAnsi="Arial" w:cs="Arial"/>
          <w:szCs w:val="24"/>
          <w:lang w:val="en-GB"/>
        </w:rPr>
        <w:tab/>
      </w:r>
      <w:r w:rsidR="007D614E">
        <w:rPr>
          <w:rFonts w:ascii="Arial" w:hAnsi="Arial" w:cs="Arial"/>
          <w:lang w:val="en-GB"/>
        </w:rPr>
        <w:t>In argument, counsel for the respondents rightly conceded that the ultimate interpretation of th</w:t>
      </w:r>
      <w:r w:rsidR="003417FD">
        <w:rPr>
          <w:rFonts w:ascii="Arial" w:hAnsi="Arial" w:cs="Arial"/>
          <w:lang w:val="en-GB"/>
        </w:rPr>
        <w:t>ese</w:t>
      </w:r>
      <w:r w:rsidR="007D614E">
        <w:rPr>
          <w:rFonts w:ascii="Arial" w:hAnsi="Arial" w:cs="Arial"/>
          <w:lang w:val="en-GB"/>
        </w:rPr>
        <w:t xml:space="preserve"> provision</w:t>
      </w:r>
      <w:r w:rsidR="003417FD">
        <w:rPr>
          <w:rFonts w:ascii="Arial" w:hAnsi="Arial" w:cs="Arial"/>
          <w:lang w:val="en-GB"/>
        </w:rPr>
        <w:t>s</w:t>
      </w:r>
      <w:r w:rsidR="007D614E">
        <w:rPr>
          <w:rFonts w:ascii="Arial" w:hAnsi="Arial" w:cs="Arial"/>
          <w:lang w:val="en-GB"/>
        </w:rPr>
        <w:t xml:space="preserve"> of the Act is not a question for this </w:t>
      </w:r>
      <w:r w:rsidR="005D1205">
        <w:rPr>
          <w:rFonts w:ascii="Arial" w:hAnsi="Arial" w:cs="Arial"/>
          <w:lang w:val="en-GB"/>
        </w:rPr>
        <w:t>court</w:t>
      </w:r>
      <w:r w:rsidR="007D614E">
        <w:rPr>
          <w:rFonts w:ascii="Arial" w:hAnsi="Arial" w:cs="Arial"/>
          <w:lang w:val="en-GB"/>
        </w:rPr>
        <w:t xml:space="preserve"> in the amendment application. That concession was rightly made. In </w:t>
      </w:r>
      <w:r w:rsidR="007D614E" w:rsidRPr="00806944">
        <w:rPr>
          <w:rFonts w:ascii="Arial" w:hAnsi="Arial" w:cs="Arial"/>
          <w:i/>
          <w:iCs/>
          <w:lang w:val="en-GB"/>
        </w:rPr>
        <w:t xml:space="preserve">Twee Jonge </w:t>
      </w:r>
      <w:r w:rsidR="007D614E" w:rsidRPr="00806944">
        <w:rPr>
          <w:rFonts w:ascii="Arial" w:hAnsi="Arial" w:cs="Arial"/>
          <w:i/>
          <w:iCs/>
          <w:lang w:val="en-GB"/>
        </w:rPr>
        <w:lastRenderedPageBreak/>
        <w:t>Gezellen</w:t>
      </w:r>
      <w:r w:rsidR="007D614E">
        <w:rPr>
          <w:rFonts w:ascii="Arial" w:hAnsi="Arial" w:cs="Arial"/>
          <w:lang w:val="en-GB"/>
        </w:rPr>
        <w:t xml:space="preserve"> </w:t>
      </w:r>
      <w:r w:rsidR="003417FD">
        <w:rPr>
          <w:rFonts w:ascii="Arial" w:hAnsi="Arial" w:cs="Arial"/>
          <w:lang w:val="en-GB"/>
        </w:rPr>
        <w:t xml:space="preserve">itself </w:t>
      </w:r>
      <w:r w:rsidR="003B4716">
        <w:rPr>
          <w:rFonts w:ascii="Arial" w:hAnsi="Arial" w:cs="Arial"/>
          <w:lang w:val="en-GB"/>
        </w:rPr>
        <w:t xml:space="preserve">the </w:t>
      </w:r>
      <w:r w:rsidR="005D1205">
        <w:rPr>
          <w:rFonts w:ascii="Arial" w:hAnsi="Arial" w:cs="Arial"/>
          <w:lang w:val="en-GB"/>
        </w:rPr>
        <w:t>court</w:t>
      </w:r>
      <w:r w:rsidR="003B4716">
        <w:rPr>
          <w:rFonts w:ascii="Arial" w:hAnsi="Arial" w:cs="Arial"/>
          <w:lang w:val="en-GB"/>
        </w:rPr>
        <w:t xml:space="preserve"> reaffirmed that </w:t>
      </w:r>
      <w:r w:rsidR="005D1205">
        <w:rPr>
          <w:rFonts w:ascii="Arial" w:hAnsi="Arial" w:cs="Arial"/>
          <w:lang w:val="en-GB"/>
        </w:rPr>
        <w:t>court</w:t>
      </w:r>
      <w:r w:rsidR="003B4716">
        <w:rPr>
          <w:rFonts w:ascii="Arial" w:hAnsi="Arial" w:cs="Arial"/>
          <w:lang w:val="en-GB"/>
        </w:rPr>
        <w:t xml:space="preserve">s are reluctant to deal with ultimate questions of </w:t>
      </w:r>
      <w:r w:rsidR="00266232">
        <w:rPr>
          <w:rFonts w:ascii="Arial" w:hAnsi="Arial" w:cs="Arial"/>
          <w:lang w:val="en-GB"/>
        </w:rPr>
        <w:t>interpretation at the objection stage when an amendment of a pleading is being sought.</w:t>
      </w:r>
      <w:r w:rsidR="00266232">
        <w:rPr>
          <w:rStyle w:val="FootnoteReference"/>
        </w:rPr>
        <w:footnoteReference w:id="21"/>
      </w:r>
      <w:r w:rsidR="00EC4F35">
        <w:rPr>
          <w:rFonts w:ascii="Arial" w:hAnsi="Arial" w:cs="Arial"/>
          <w:lang w:val="en-GB"/>
        </w:rPr>
        <w:t xml:space="preserve">  In that case the </w:t>
      </w:r>
      <w:r w:rsidR="005D1205">
        <w:rPr>
          <w:rFonts w:ascii="Arial" w:hAnsi="Arial" w:cs="Arial"/>
          <w:lang w:val="en-GB"/>
        </w:rPr>
        <w:t>court</w:t>
      </w:r>
      <w:r w:rsidR="00EC4F35">
        <w:rPr>
          <w:rFonts w:ascii="Arial" w:hAnsi="Arial" w:cs="Arial"/>
          <w:lang w:val="en-GB"/>
        </w:rPr>
        <w:t xml:space="preserve"> was prepared to consider the interpretative issue </w:t>
      </w:r>
      <w:r w:rsidR="003417FD">
        <w:rPr>
          <w:rFonts w:ascii="Arial" w:hAnsi="Arial" w:cs="Arial"/>
          <w:lang w:val="en-GB"/>
        </w:rPr>
        <w:t xml:space="preserve">only because </w:t>
      </w:r>
      <w:r w:rsidR="00EC4F35">
        <w:rPr>
          <w:rFonts w:ascii="Arial" w:hAnsi="Arial" w:cs="Arial"/>
          <w:lang w:val="en-GB"/>
        </w:rPr>
        <w:t xml:space="preserve">evidence had already been led.  </w:t>
      </w:r>
    </w:p>
    <w:p w14:paraId="2A46A31F"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789C41C" w14:textId="0C901E17" w:rsidR="000134BA"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[29]</w:t>
      </w:r>
      <w:r>
        <w:rPr>
          <w:rFonts w:ascii="Arial" w:hAnsi="Arial" w:cs="Arial"/>
          <w:szCs w:val="24"/>
          <w:lang w:val="en-GB"/>
        </w:rPr>
        <w:tab/>
      </w:r>
      <w:r w:rsidR="00EC4F35">
        <w:rPr>
          <w:rFonts w:ascii="Arial" w:hAnsi="Arial" w:cs="Arial"/>
          <w:lang w:val="en-GB"/>
        </w:rPr>
        <w:t xml:space="preserve">Accordingly, unless the construction urged by the respondents is the only </w:t>
      </w:r>
      <w:r w:rsidR="00A80A40">
        <w:rPr>
          <w:rFonts w:ascii="Arial" w:hAnsi="Arial" w:cs="Arial"/>
          <w:lang w:val="en-GB"/>
        </w:rPr>
        <w:t xml:space="preserve">plausible construction of the relevant provision, this </w:t>
      </w:r>
      <w:r w:rsidR="005D1205">
        <w:rPr>
          <w:rFonts w:ascii="Arial" w:hAnsi="Arial" w:cs="Arial"/>
          <w:lang w:val="en-GB"/>
        </w:rPr>
        <w:t>court</w:t>
      </w:r>
      <w:r w:rsidR="00A80A40">
        <w:rPr>
          <w:rFonts w:ascii="Arial" w:hAnsi="Arial" w:cs="Arial"/>
          <w:lang w:val="en-GB"/>
        </w:rPr>
        <w:t xml:space="preserve"> will not readily make a final determination on this issue. As appears from the portio</w:t>
      </w:r>
      <w:r w:rsidR="00C3753F">
        <w:rPr>
          <w:rFonts w:ascii="Arial" w:hAnsi="Arial" w:cs="Arial"/>
          <w:lang w:val="en-GB"/>
        </w:rPr>
        <w:t>n</w:t>
      </w:r>
      <w:r w:rsidR="00A80A40">
        <w:rPr>
          <w:rFonts w:ascii="Arial" w:hAnsi="Arial" w:cs="Arial"/>
          <w:lang w:val="en-GB"/>
        </w:rPr>
        <w:t xml:space="preserve"> of the pleadings quoted above, the applicant </w:t>
      </w:r>
      <w:r w:rsidR="00C3753F">
        <w:rPr>
          <w:rFonts w:ascii="Arial" w:hAnsi="Arial" w:cs="Arial"/>
          <w:lang w:val="en-GB"/>
        </w:rPr>
        <w:t xml:space="preserve">in the proposed amended </w:t>
      </w:r>
      <w:r w:rsidR="00341F2B">
        <w:rPr>
          <w:rFonts w:ascii="Arial" w:hAnsi="Arial" w:cs="Arial"/>
          <w:lang w:val="en-GB"/>
        </w:rPr>
        <w:t>particulars of claim</w:t>
      </w:r>
      <w:r w:rsidR="00C3753F">
        <w:rPr>
          <w:rFonts w:ascii="Arial" w:hAnsi="Arial" w:cs="Arial"/>
          <w:lang w:val="en-GB"/>
        </w:rPr>
        <w:t xml:space="preserve"> has pleaded in the alternative that on a proper construction of the Act, the absence of prior Ministerial approval </w:t>
      </w:r>
      <w:r w:rsidR="001F2C64">
        <w:rPr>
          <w:rFonts w:ascii="Arial" w:hAnsi="Arial" w:cs="Arial"/>
          <w:lang w:val="en-GB"/>
        </w:rPr>
        <w:t>and concurrence is not fatal to the agreement.</w:t>
      </w:r>
      <w:r w:rsidR="001F2C64">
        <w:rPr>
          <w:rStyle w:val="FootnoteReference"/>
        </w:rPr>
        <w:footnoteReference w:id="22"/>
      </w:r>
    </w:p>
    <w:p w14:paraId="7ABE985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87A97F0" w14:textId="19632BB2" w:rsidR="00817A32"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[30]</w:t>
      </w:r>
      <w:r>
        <w:rPr>
          <w:rFonts w:ascii="Arial" w:hAnsi="Arial" w:cs="Arial"/>
          <w:szCs w:val="24"/>
          <w:lang w:val="en-GB"/>
        </w:rPr>
        <w:tab/>
      </w:r>
      <w:r w:rsidR="001F2C64">
        <w:rPr>
          <w:rFonts w:ascii="Arial" w:hAnsi="Arial" w:cs="Arial"/>
          <w:lang w:val="en-GB"/>
        </w:rPr>
        <w:t>On the face of it, the applicant</w:t>
      </w:r>
      <w:r w:rsidR="00F558BD">
        <w:rPr>
          <w:rFonts w:ascii="Arial" w:hAnsi="Arial" w:cs="Arial"/>
          <w:lang w:val="en-GB"/>
        </w:rPr>
        <w:t xml:space="preserve">’s is not an implausible interpretation.  Our </w:t>
      </w:r>
      <w:r w:rsidR="005D1205">
        <w:rPr>
          <w:rFonts w:ascii="Arial" w:hAnsi="Arial" w:cs="Arial"/>
          <w:lang w:val="en-GB"/>
        </w:rPr>
        <w:t>court</w:t>
      </w:r>
      <w:r w:rsidR="00F558BD">
        <w:rPr>
          <w:rFonts w:ascii="Arial" w:hAnsi="Arial" w:cs="Arial"/>
          <w:lang w:val="en-GB"/>
        </w:rPr>
        <w:t xml:space="preserve">s have previously held in relation to such statutory provisions that a subsequent contract is not necessarily invalidated by </w:t>
      </w:r>
      <w:r w:rsidR="00147B07">
        <w:rPr>
          <w:rFonts w:ascii="Arial" w:hAnsi="Arial" w:cs="Arial"/>
          <w:lang w:val="en-GB"/>
        </w:rPr>
        <w:t>the failure of the requirement of authorisation</w:t>
      </w:r>
      <w:r w:rsidR="00E117CA">
        <w:rPr>
          <w:rFonts w:ascii="Arial" w:hAnsi="Arial" w:cs="Arial"/>
          <w:lang w:val="en-GB"/>
        </w:rPr>
        <w:t xml:space="preserve"> and that a private party cannot opportunistically rely on the absence of such authorisations or approvals to escape its obligations</w:t>
      </w:r>
      <w:r w:rsidR="00147B07">
        <w:rPr>
          <w:rFonts w:ascii="Arial" w:hAnsi="Arial" w:cs="Arial"/>
          <w:lang w:val="en-GB"/>
        </w:rPr>
        <w:t>.</w:t>
      </w:r>
      <w:r w:rsidR="00147B07">
        <w:rPr>
          <w:rStyle w:val="FootnoteReference"/>
        </w:rPr>
        <w:footnoteReference w:id="23"/>
      </w:r>
      <w:r w:rsidR="00147B07">
        <w:rPr>
          <w:rFonts w:ascii="Arial" w:hAnsi="Arial" w:cs="Arial"/>
          <w:lang w:val="en-GB"/>
        </w:rPr>
        <w:t xml:space="preserve"> </w:t>
      </w:r>
      <w:r w:rsidR="000F47C1">
        <w:rPr>
          <w:rFonts w:ascii="Arial" w:hAnsi="Arial" w:cs="Arial"/>
          <w:lang w:val="en-GB"/>
        </w:rPr>
        <w:t>The question of whether the absence of concurrence and consent by the relevant Ministers is peremptory and would invalidate any subsequent</w:t>
      </w:r>
      <w:r w:rsidR="00DE4FF9">
        <w:rPr>
          <w:rFonts w:ascii="Arial" w:hAnsi="Arial" w:cs="Arial"/>
          <w:lang w:val="en-GB"/>
        </w:rPr>
        <w:t xml:space="preserve"> </w:t>
      </w:r>
      <w:r w:rsidR="000F47C1">
        <w:rPr>
          <w:rFonts w:ascii="Arial" w:hAnsi="Arial" w:cs="Arial"/>
          <w:lang w:val="en-GB"/>
        </w:rPr>
        <w:t xml:space="preserve">contract, as well as the form that such concurrence and consent must take (whether it is required to be given in each instance of funding or may be given on a more general basis; </w:t>
      </w:r>
      <w:r w:rsidR="00AA3F12">
        <w:rPr>
          <w:rFonts w:ascii="Arial" w:hAnsi="Arial" w:cs="Arial"/>
          <w:lang w:val="en-GB"/>
        </w:rPr>
        <w:t>e.g.</w:t>
      </w:r>
      <w:r w:rsidR="000F47C1">
        <w:rPr>
          <w:rFonts w:ascii="Arial" w:hAnsi="Arial" w:cs="Arial"/>
          <w:lang w:val="en-GB"/>
        </w:rPr>
        <w:t xml:space="preserve"> by approval of the applicant’s budget or funding plans) is a question of the proper construction of the relevant provisions of th</w:t>
      </w:r>
      <w:r w:rsidR="00E117CA">
        <w:rPr>
          <w:rFonts w:ascii="Arial" w:hAnsi="Arial" w:cs="Arial"/>
          <w:lang w:val="en-GB"/>
        </w:rPr>
        <w:t>is particular</w:t>
      </w:r>
      <w:r w:rsidR="000F47C1">
        <w:rPr>
          <w:rFonts w:ascii="Arial" w:hAnsi="Arial" w:cs="Arial"/>
          <w:lang w:val="en-GB"/>
        </w:rPr>
        <w:t xml:space="preserve"> Act. The proper construction of this particular provision must be determined with reference to the wording of the provision itself but read in the context of the Act as a whole and with due regard to the purpose of the provisions. This will be a question for the court seized with finally determining the issue and in respect of which evidence may be relevant and admissible.  </w:t>
      </w:r>
      <w:r w:rsidR="00DE4FF9">
        <w:rPr>
          <w:rFonts w:ascii="Arial" w:hAnsi="Arial" w:cs="Arial"/>
          <w:lang w:val="en-GB"/>
        </w:rPr>
        <w:t>I am reinforced in this view by the</w:t>
      </w:r>
      <w:r w:rsidR="000F47C1">
        <w:rPr>
          <w:rFonts w:ascii="Arial" w:hAnsi="Arial" w:cs="Arial"/>
          <w:lang w:val="en-GB"/>
        </w:rPr>
        <w:t xml:space="preserve"> more recent restatements</w:t>
      </w:r>
      <w:r w:rsidR="00DE4FF9">
        <w:rPr>
          <w:rFonts w:ascii="Arial" w:hAnsi="Arial" w:cs="Arial"/>
          <w:lang w:val="en-GB"/>
        </w:rPr>
        <w:t xml:space="preserve"> of our </w:t>
      </w:r>
      <w:r w:rsidR="005D1205">
        <w:rPr>
          <w:rFonts w:ascii="Arial" w:hAnsi="Arial" w:cs="Arial"/>
          <w:lang w:val="en-GB"/>
        </w:rPr>
        <w:t>court</w:t>
      </w:r>
      <w:r w:rsidR="00DE4FF9">
        <w:rPr>
          <w:rFonts w:ascii="Arial" w:hAnsi="Arial" w:cs="Arial"/>
          <w:lang w:val="en-GB"/>
        </w:rPr>
        <w:t>s regarding the proper approach to interpretation</w:t>
      </w:r>
      <w:r w:rsidR="00345B4B">
        <w:rPr>
          <w:rFonts w:ascii="Arial" w:hAnsi="Arial" w:cs="Arial"/>
          <w:lang w:val="en-GB"/>
        </w:rPr>
        <w:t>.</w:t>
      </w:r>
      <w:r w:rsidR="00323515">
        <w:rPr>
          <w:rStyle w:val="FootnoteReference"/>
        </w:rPr>
        <w:footnoteReference w:id="24"/>
      </w:r>
      <w:r w:rsidR="000F47C1">
        <w:rPr>
          <w:rFonts w:ascii="Arial" w:hAnsi="Arial" w:cs="Arial"/>
          <w:lang w:val="en-GB"/>
        </w:rPr>
        <w:t xml:space="preserve"> </w:t>
      </w:r>
    </w:p>
    <w:p w14:paraId="6DBB100A"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E325D37" w14:textId="3F64CEED" w:rsidR="00280289"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[31]</w:t>
      </w:r>
      <w:r>
        <w:rPr>
          <w:rFonts w:ascii="Arial" w:hAnsi="Arial" w:cs="Arial"/>
          <w:szCs w:val="24"/>
          <w:lang w:val="en-GB"/>
        </w:rPr>
        <w:tab/>
      </w:r>
      <w:r w:rsidR="00D60BC0">
        <w:rPr>
          <w:rFonts w:ascii="Arial" w:hAnsi="Arial" w:cs="Arial"/>
          <w:lang w:val="en-GB"/>
        </w:rPr>
        <w:t xml:space="preserve">The third and final reason that this objection cannot be sustained in my view is that the primary cause of action as pleaded by the applicant in the proposed amended </w:t>
      </w:r>
      <w:r w:rsidR="00341F2B">
        <w:rPr>
          <w:rFonts w:ascii="Arial" w:hAnsi="Arial" w:cs="Arial"/>
          <w:lang w:val="en-GB"/>
        </w:rPr>
        <w:t>particulars of claim</w:t>
      </w:r>
      <w:r w:rsidR="00D60BC0">
        <w:rPr>
          <w:rFonts w:ascii="Arial" w:hAnsi="Arial" w:cs="Arial"/>
          <w:lang w:val="en-GB"/>
        </w:rPr>
        <w:t xml:space="preserve">, as appears above, </w:t>
      </w:r>
      <w:r w:rsidR="005812B3">
        <w:rPr>
          <w:rFonts w:ascii="Arial" w:hAnsi="Arial" w:cs="Arial"/>
          <w:lang w:val="en-GB"/>
        </w:rPr>
        <w:t xml:space="preserve">is that the requisite conditions, including the statutory consents, were satisfied.  The allegations </w:t>
      </w:r>
      <w:r w:rsidR="005812B3">
        <w:rPr>
          <w:rFonts w:ascii="Arial" w:hAnsi="Arial" w:cs="Arial"/>
          <w:lang w:val="en-GB"/>
        </w:rPr>
        <w:lastRenderedPageBreak/>
        <w:t xml:space="preserve">that Ministerial consent and approval was not required is pleaded in the alternative.  As already indicated, it is not for this </w:t>
      </w:r>
      <w:r w:rsidR="005D1205">
        <w:rPr>
          <w:rFonts w:ascii="Arial" w:hAnsi="Arial" w:cs="Arial"/>
          <w:lang w:val="en-GB"/>
        </w:rPr>
        <w:t>court</w:t>
      </w:r>
      <w:r w:rsidR="005812B3">
        <w:rPr>
          <w:rFonts w:ascii="Arial" w:hAnsi="Arial" w:cs="Arial"/>
          <w:lang w:val="en-GB"/>
        </w:rPr>
        <w:t xml:space="preserve"> to go behind that primary allegation.  Accordingly, even if the applicant is ultimately wrong in the contention that </w:t>
      </w:r>
      <w:r w:rsidR="00FB58B2">
        <w:rPr>
          <w:rFonts w:ascii="Arial" w:hAnsi="Arial" w:cs="Arial"/>
          <w:lang w:val="en-GB"/>
        </w:rPr>
        <w:t xml:space="preserve">Ministerial approval and consent was not a peremptory precondition to the agreement, that forms part of the alternative cause of action and its failure would not be fatal to the </w:t>
      </w:r>
      <w:r w:rsidR="00341F2B">
        <w:rPr>
          <w:rFonts w:ascii="Arial" w:hAnsi="Arial" w:cs="Arial"/>
          <w:lang w:val="en-GB"/>
        </w:rPr>
        <w:t>particulars of claim</w:t>
      </w:r>
      <w:r w:rsidR="00013C2C">
        <w:rPr>
          <w:rFonts w:ascii="Arial" w:hAnsi="Arial" w:cs="Arial"/>
          <w:lang w:val="en-GB"/>
        </w:rPr>
        <w:t xml:space="preserve"> in their proposed amended form.</w:t>
      </w:r>
    </w:p>
    <w:p w14:paraId="465FB47E"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2386F50" w14:textId="7AC3AA2F" w:rsidR="00013C2C"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[32]</w:t>
      </w:r>
      <w:r>
        <w:rPr>
          <w:rFonts w:ascii="Arial" w:hAnsi="Arial" w:cs="Arial"/>
          <w:szCs w:val="24"/>
          <w:lang w:val="en-GB"/>
        </w:rPr>
        <w:tab/>
      </w:r>
      <w:r w:rsidR="00013C2C">
        <w:rPr>
          <w:rFonts w:ascii="Arial" w:hAnsi="Arial" w:cs="Arial"/>
          <w:lang w:val="en-GB"/>
        </w:rPr>
        <w:t>For each of the above reasons, I consider that the first objection cannot be sustained.</w:t>
      </w:r>
    </w:p>
    <w:p w14:paraId="60FCB5A1"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632FAAE9" w14:textId="59D0B901" w:rsidR="001E5F7A" w:rsidRDefault="001E5F7A"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Pr>
          <w:rFonts w:ascii="Arial" w:hAnsi="Arial" w:cs="Arial"/>
          <w:b/>
          <w:bCs/>
          <w:lang w:val="en-GB"/>
        </w:rPr>
        <w:t>Second</w:t>
      </w:r>
      <w:r w:rsidRPr="00BB14B6">
        <w:rPr>
          <w:rFonts w:ascii="Arial" w:hAnsi="Arial" w:cs="Arial"/>
          <w:b/>
          <w:bCs/>
          <w:lang w:val="en-GB"/>
        </w:rPr>
        <w:t xml:space="preserve"> </w:t>
      </w:r>
      <w:r w:rsidR="00E117CA">
        <w:rPr>
          <w:rFonts w:ascii="Arial" w:hAnsi="Arial" w:cs="Arial"/>
          <w:b/>
          <w:bCs/>
          <w:lang w:val="en-GB"/>
        </w:rPr>
        <w:t xml:space="preserve">ground of </w:t>
      </w:r>
      <w:r w:rsidRPr="00BB14B6">
        <w:rPr>
          <w:rFonts w:ascii="Arial" w:hAnsi="Arial" w:cs="Arial"/>
          <w:b/>
          <w:bCs/>
          <w:lang w:val="en-GB"/>
        </w:rPr>
        <w:t>objection:</w:t>
      </w:r>
      <w:r w:rsidR="00577E5F">
        <w:rPr>
          <w:rFonts w:ascii="Arial" w:hAnsi="Arial" w:cs="Arial"/>
          <w:b/>
          <w:bCs/>
          <w:lang w:val="en-GB"/>
        </w:rPr>
        <w:t xml:space="preserve">  The pleaded waiver</w:t>
      </w:r>
    </w:p>
    <w:p w14:paraId="37563B33"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lang w:val="en-GB"/>
        </w:rPr>
      </w:pPr>
    </w:p>
    <w:p w14:paraId="413B315B" w14:textId="63818477" w:rsidR="00013C2C"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[33]</w:t>
      </w:r>
      <w:r>
        <w:rPr>
          <w:rFonts w:ascii="Arial" w:hAnsi="Arial" w:cs="Arial"/>
          <w:szCs w:val="24"/>
          <w:lang w:val="en-GB"/>
        </w:rPr>
        <w:tab/>
      </w:r>
      <w:r w:rsidR="00577E5F">
        <w:rPr>
          <w:rFonts w:ascii="Arial" w:hAnsi="Arial" w:cs="Arial"/>
          <w:lang w:val="en-GB"/>
        </w:rPr>
        <w:t xml:space="preserve">As appears from paragraph 8 of the proposed amended </w:t>
      </w:r>
      <w:r w:rsidR="00341F2B">
        <w:rPr>
          <w:rFonts w:ascii="Arial" w:hAnsi="Arial" w:cs="Arial"/>
          <w:lang w:val="en-GB"/>
        </w:rPr>
        <w:t>particulars of claim</w:t>
      </w:r>
      <w:r w:rsidR="008A795F">
        <w:rPr>
          <w:rFonts w:ascii="Arial" w:hAnsi="Arial" w:cs="Arial"/>
          <w:lang w:val="en-GB"/>
        </w:rPr>
        <w:t xml:space="preserve"> (quoted above)</w:t>
      </w:r>
      <w:r w:rsidR="00577E5F">
        <w:rPr>
          <w:rFonts w:ascii="Arial" w:hAnsi="Arial" w:cs="Arial"/>
          <w:lang w:val="en-GB"/>
        </w:rPr>
        <w:t>, the applicant</w:t>
      </w:r>
      <w:r w:rsidR="0048094B">
        <w:rPr>
          <w:rFonts w:ascii="Arial" w:hAnsi="Arial" w:cs="Arial"/>
          <w:lang w:val="en-GB"/>
        </w:rPr>
        <w:t xml:space="preserve"> pleads that </w:t>
      </w:r>
      <w:r w:rsidR="00BF2A6D">
        <w:rPr>
          <w:rFonts w:ascii="Arial" w:hAnsi="Arial" w:cs="Arial"/>
          <w:lang w:val="en-GB"/>
        </w:rPr>
        <w:t xml:space="preserve">the conditions precedent to the </w:t>
      </w:r>
      <w:r w:rsidR="006F348F">
        <w:rPr>
          <w:rFonts w:ascii="Arial" w:hAnsi="Arial" w:cs="Arial"/>
          <w:lang w:val="en-GB"/>
        </w:rPr>
        <w:t xml:space="preserve">Facility Agreement </w:t>
      </w:r>
      <w:r w:rsidR="00BF2A6D">
        <w:rPr>
          <w:rFonts w:ascii="Arial" w:hAnsi="Arial" w:cs="Arial"/>
          <w:lang w:val="en-GB"/>
        </w:rPr>
        <w:t>were duly fulfilled</w:t>
      </w:r>
      <w:r w:rsidR="00CB18C0">
        <w:rPr>
          <w:rFonts w:ascii="Arial" w:hAnsi="Arial" w:cs="Arial"/>
          <w:lang w:val="en-GB"/>
        </w:rPr>
        <w:t xml:space="preserve">.  In the alternative, the applicant pleads that these conditions were waived. </w:t>
      </w:r>
    </w:p>
    <w:p w14:paraId="1998CDF5"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C29B450" w14:textId="3FB37AF9" w:rsidR="00CB18C0"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[34]</w:t>
      </w:r>
      <w:r>
        <w:rPr>
          <w:rFonts w:ascii="Arial" w:hAnsi="Arial" w:cs="Arial"/>
          <w:szCs w:val="24"/>
          <w:lang w:val="en-GB"/>
        </w:rPr>
        <w:tab/>
      </w:r>
      <w:r w:rsidR="00CB18C0">
        <w:rPr>
          <w:rFonts w:ascii="Arial" w:hAnsi="Arial" w:cs="Arial"/>
          <w:lang w:val="en-GB"/>
        </w:rPr>
        <w:t xml:space="preserve">The respondents’ second objection is that the </w:t>
      </w:r>
      <w:r w:rsidR="0040679E">
        <w:rPr>
          <w:rFonts w:ascii="Arial" w:hAnsi="Arial" w:cs="Arial"/>
          <w:lang w:val="en-GB"/>
        </w:rPr>
        <w:t>F</w:t>
      </w:r>
      <w:r w:rsidR="00CB18C0">
        <w:rPr>
          <w:rFonts w:ascii="Arial" w:hAnsi="Arial" w:cs="Arial"/>
          <w:lang w:val="en-GB"/>
        </w:rPr>
        <w:t xml:space="preserve">acility </w:t>
      </w:r>
      <w:r w:rsidR="0040679E">
        <w:rPr>
          <w:rFonts w:ascii="Arial" w:hAnsi="Arial" w:cs="Arial"/>
          <w:lang w:val="en-GB"/>
        </w:rPr>
        <w:t>A</w:t>
      </w:r>
      <w:r w:rsidR="00CB18C0">
        <w:rPr>
          <w:rFonts w:ascii="Arial" w:hAnsi="Arial" w:cs="Arial"/>
          <w:lang w:val="en-GB"/>
        </w:rPr>
        <w:t>greement</w:t>
      </w:r>
      <w:r w:rsidR="00CB18C0">
        <w:rPr>
          <w:rStyle w:val="FootnoteReference"/>
        </w:rPr>
        <w:footnoteReference w:id="25"/>
      </w:r>
      <w:r w:rsidR="00CB18C0">
        <w:rPr>
          <w:rFonts w:ascii="Arial" w:hAnsi="Arial" w:cs="Arial"/>
          <w:lang w:val="en-GB"/>
        </w:rPr>
        <w:t xml:space="preserve"> requires that any such waiver must be delivered by written notice at any time.  The applicant has not alleged in its </w:t>
      </w:r>
      <w:r w:rsidR="00341F2B">
        <w:rPr>
          <w:rFonts w:ascii="Arial" w:hAnsi="Arial" w:cs="Arial"/>
          <w:lang w:val="en-GB"/>
        </w:rPr>
        <w:t>particulars of claim</w:t>
      </w:r>
      <w:r w:rsidR="00CB18C0">
        <w:rPr>
          <w:rFonts w:ascii="Arial" w:hAnsi="Arial" w:cs="Arial"/>
          <w:lang w:val="en-GB"/>
        </w:rPr>
        <w:t xml:space="preserve"> that it delivered such written notice of waiver and accordingly</w:t>
      </w:r>
      <w:r w:rsidR="008A795F">
        <w:rPr>
          <w:rFonts w:ascii="Arial" w:hAnsi="Arial" w:cs="Arial"/>
          <w:lang w:val="en-GB"/>
        </w:rPr>
        <w:t>, on the respondents’ objection,</w:t>
      </w:r>
      <w:r w:rsidR="00CB18C0">
        <w:rPr>
          <w:rFonts w:ascii="Arial" w:hAnsi="Arial" w:cs="Arial"/>
          <w:lang w:val="en-GB"/>
        </w:rPr>
        <w:t xml:space="preserve"> the </w:t>
      </w:r>
      <w:r w:rsidR="006F348F">
        <w:rPr>
          <w:rFonts w:ascii="Arial" w:hAnsi="Arial" w:cs="Arial"/>
          <w:lang w:val="en-GB"/>
        </w:rPr>
        <w:t xml:space="preserve">Facility Agreement </w:t>
      </w:r>
      <w:r w:rsidR="00CB18C0">
        <w:rPr>
          <w:rFonts w:ascii="Arial" w:hAnsi="Arial" w:cs="Arial"/>
          <w:lang w:val="en-GB"/>
        </w:rPr>
        <w:t>never came into existence.</w:t>
      </w:r>
      <w:r w:rsidR="00CB18C0">
        <w:rPr>
          <w:rStyle w:val="FootnoteReference"/>
        </w:rPr>
        <w:footnoteReference w:id="26"/>
      </w:r>
    </w:p>
    <w:p w14:paraId="2FE10EA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3EBD94D" w14:textId="032BBB0C" w:rsidR="00A44AD6"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[35]</w:t>
      </w:r>
      <w:r>
        <w:rPr>
          <w:rFonts w:ascii="Arial" w:hAnsi="Arial" w:cs="Arial"/>
          <w:szCs w:val="24"/>
          <w:lang w:val="en-GB"/>
        </w:rPr>
        <w:tab/>
      </w:r>
      <w:r w:rsidR="00CB18C0">
        <w:rPr>
          <w:rFonts w:ascii="Arial" w:hAnsi="Arial" w:cs="Arial"/>
          <w:lang w:val="en-GB"/>
        </w:rPr>
        <w:t xml:space="preserve">In my view this second ground of objection fails for similar reasons that pertain to the first ground of objection.  First, the waiver is plainly pleaded as an alternative cause of action.  Our </w:t>
      </w:r>
      <w:r w:rsidR="005D1205">
        <w:rPr>
          <w:rFonts w:ascii="Arial" w:hAnsi="Arial" w:cs="Arial"/>
          <w:lang w:val="en-GB"/>
        </w:rPr>
        <w:t>court</w:t>
      </w:r>
      <w:r w:rsidR="00CB18C0">
        <w:rPr>
          <w:rFonts w:ascii="Arial" w:hAnsi="Arial" w:cs="Arial"/>
          <w:lang w:val="en-GB"/>
        </w:rPr>
        <w:t>s have repeatedly held that exceptions which strike only at an alternative cause of action will generally not be allowed.</w:t>
      </w:r>
      <w:r w:rsidR="00CB18C0">
        <w:rPr>
          <w:rStyle w:val="FootnoteReference"/>
        </w:rPr>
        <w:footnoteReference w:id="27"/>
      </w:r>
      <w:r w:rsidR="00CB18C0">
        <w:rPr>
          <w:rFonts w:ascii="Arial" w:hAnsi="Arial" w:cs="Arial"/>
          <w:lang w:val="en-GB"/>
        </w:rPr>
        <w:t xml:space="preserve"> The purpose of an exception is to short-circuit the conduct of an unnecessary trial and to obviate the leading of unnecessary evidence.</w:t>
      </w:r>
      <w:r w:rsidR="008A795F">
        <w:rPr>
          <w:rStyle w:val="FootnoteReference"/>
        </w:rPr>
        <w:footnoteReference w:id="28"/>
      </w:r>
      <w:r w:rsidR="00CB18C0">
        <w:rPr>
          <w:rFonts w:ascii="Arial" w:hAnsi="Arial" w:cs="Arial"/>
          <w:lang w:val="en-GB"/>
        </w:rPr>
        <w:t xml:space="preserve">  An exception to an alternative cause of action will rarely achieve this purpose.  That is certainly so in the present case.  Even if one were to excise the waiver cause of action, that would not remove the need for a trial on the main cause of action.  Accordingly, the reliance on this alternative cause of action is unlikely to render the pleadings excipiable.</w:t>
      </w:r>
    </w:p>
    <w:p w14:paraId="6769831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2EF8331" w14:textId="521177BF" w:rsidR="00CB18C0"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[36]</w:t>
      </w:r>
      <w:r>
        <w:rPr>
          <w:rFonts w:ascii="Arial" w:hAnsi="Arial" w:cs="Arial"/>
          <w:szCs w:val="24"/>
          <w:lang w:val="en-GB"/>
        </w:rPr>
        <w:tab/>
      </w:r>
      <w:r w:rsidR="00CB18C0">
        <w:rPr>
          <w:rFonts w:ascii="Arial" w:hAnsi="Arial" w:cs="Arial"/>
          <w:lang w:val="en-GB"/>
        </w:rPr>
        <w:t>In any event, in my view, the requirement of written notice of waiver is a matter for evidence at trial. Should the applicant be unable to prove such written waiver in accordance with the agreement</w:t>
      </w:r>
      <w:r w:rsidR="00F36A7A">
        <w:rPr>
          <w:rFonts w:ascii="Arial" w:hAnsi="Arial" w:cs="Arial"/>
          <w:lang w:val="en-GB"/>
        </w:rPr>
        <w:t xml:space="preserve"> </w:t>
      </w:r>
      <w:r w:rsidR="002B5FC7">
        <w:rPr>
          <w:rFonts w:ascii="Arial" w:hAnsi="Arial" w:cs="Arial"/>
          <w:lang w:val="en-GB"/>
        </w:rPr>
        <w:t>then the alternative cause of action is unlikely to succeed</w:t>
      </w:r>
      <w:r w:rsidR="00581743">
        <w:rPr>
          <w:rFonts w:ascii="Arial" w:hAnsi="Arial" w:cs="Arial"/>
          <w:lang w:val="en-GB"/>
        </w:rPr>
        <w:t>, though I obviously express no final view on this</w:t>
      </w:r>
      <w:r w:rsidR="002B5FC7">
        <w:rPr>
          <w:rFonts w:ascii="Arial" w:hAnsi="Arial" w:cs="Arial"/>
          <w:lang w:val="en-GB"/>
        </w:rPr>
        <w:t xml:space="preserve">.  The </w:t>
      </w:r>
      <w:r w:rsidR="002B5FC7">
        <w:rPr>
          <w:rFonts w:ascii="Arial" w:hAnsi="Arial" w:cs="Arial"/>
          <w:lang w:val="en-GB"/>
        </w:rPr>
        <w:lastRenderedPageBreak/>
        <w:t xml:space="preserve">respondents contend that the applicant has had ample opportunity to produce evidence of the written waiver either as an annexure to the </w:t>
      </w:r>
      <w:r w:rsidR="00341F2B">
        <w:rPr>
          <w:rFonts w:ascii="Arial" w:hAnsi="Arial" w:cs="Arial"/>
          <w:lang w:val="en-GB"/>
        </w:rPr>
        <w:t>particulars of claim</w:t>
      </w:r>
      <w:r w:rsidR="002B5FC7">
        <w:rPr>
          <w:rFonts w:ascii="Arial" w:hAnsi="Arial" w:cs="Arial"/>
          <w:lang w:val="en-GB"/>
        </w:rPr>
        <w:t xml:space="preserve"> or </w:t>
      </w:r>
      <w:r w:rsidR="00B602E3">
        <w:rPr>
          <w:rFonts w:ascii="Arial" w:hAnsi="Arial" w:cs="Arial"/>
          <w:lang w:val="en-GB"/>
        </w:rPr>
        <w:t>in their affidavits in the various interlocutory applications, including the present application, and that the applicant therefore has failed to raise a triable issue in this respect.</w:t>
      </w:r>
      <w:r w:rsidR="00F66362">
        <w:rPr>
          <w:rFonts w:ascii="Arial" w:hAnsi="Arial" w:cs="Arial"/>
          <w:lang w:val="en-GB"/>
        </w:rPr>
        <w:t xml:space="preserve">  For the reasons articulated in relation to the first objection, I disagree.  This is not an instance where amendment is sought in the advanced stages of trial proceedings</w:t>
      </w:r>
      <w:r w:rsidR="00F0653F">
        <w:rPr>
          <w:rFonts w:ascii="Arial" w:hAnsi="Arial" w:cs="Arial"/>
          <w:lang w:val="en-GB"/>
        </w:rPr>
        <w:t>.  Accordingly, the applicant was</w:t>
      </w:r>
      <w:r w:rsidR="009A16FB">
        <w:rPr>
          <w:rFonts w:ascii="Arial" w:hAnsi="Arial" w:cs="Arial"/>
          <w:lang w:val="en-GB"/>
        </w:rPr>
        <w:t>,</w:t>
      </w:r>
      <w:r w:rsidR="00F0653F">
        <w:rPr>
          <w:rFonts w:ascii="Arial" w:hAnsi="Arial" w:cs="Arial"/>
          <w:lang w:val="en-GB"/>
        </w:rPr>
        <w:t xml:space="preserve"> and is</w:t>
      </w:r>
      <w:r w:rsidR="009A16FB">
        <w:rPr>
          <w:rFonts w:ascii="Arial" w:hAnsi="Arial" w:cs="Arial"/>
          <w:lang w:val="en-GB"/>
        </w:rPr>
        <w:t>,</w:t>
      </w:r>
      <w:r w:rsidR="00F0653F">
        <w:rPr>
          <w:rFonts w:ascii="Arial" w:hAnsi="Arial" w:cs="Arial"/>
          <w:lang w:val="en-GB"/>
        </w:rPr>
        <w:t xml:space="preserve"> under no obligation to produce its evidence, which is a matter for trial.</w:t>
      </w:r>
    </w:p>
    <w:p w14:paraId="5324303C"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64D61199" w14:textId="55D7CEC5" w:rsidR="00CB18C0" w:rsidRDefault="006641CD"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b/>
          <w:bCs/>
          <w:lang w:val="en-GB"/>
        </w:rPr>
        <w:t>Third</w:t>
      </w:r>
      <w:r w:rsidR="009A16FB">
        <w:rPr>
          <w:rFonts w:ascii="Arial" w:hAnsi="Arial" w:cs="Arial"/>
          <w:b/>
          <w:bCs/>
          <w:lang w:val="en-GB"/>
        </w:rPr>
        <w:t xml:space="preserve"> ground of</w:t>
      </w:r>
      <w:r w:rsidRPr="00BB14B6">
        <w:rPr>
          <w:rFonts w:ascii="Arial" w:hAnsi="Arial" w:cs="Arial"/>
          <w:b/>
          <w:bCs/>
          <w:lang w:val="en-GB"/>
        </w:rPr>
        <w:t xml:space="preserve"> objection:</w:t>
      </w:r>
      <w:r>
        <w:rPr>
          <w:rFonts w:ascii="Arial" w:hAnsi="Arial" w:cs="Arial"/>
          <w:b/>
          <w:bCs/>
          <w:lang w:val="en-GB"/>
        </w:rPr>
        <w:t xml:space="preserve">  </w:t>
      </w:r>
      <w:r w:rsidR="00FA727C">
        <w:rPr>
          <w:rFonts w:ascii="Arial" w:hAnsi="Arial" w:cs="Arial"/>
          <w:b/>
          <w:bCs/>
          <w:lang w:val="en-GB"/>
        </w:rPr>
        <w:t>Prescription</w:t>
      </w:r>
    </w:p>
    <w:p w14:paraId="004DB914"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778D840" w14:textId="1D68A1BC" w:rsidR="00CF6743"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[37]</w:t>
      </w:r>
      <w:r>
        <w:rPr>
          <w:rFonts w:ascii="Arial" w:hAnsi="Arial" w:cs="Arial"/>
          <w:szCs w:val="24"/>
          <w:lang w:val="en-GB"/>
        </w:rPr>
        <w:tab/>
      </w:r>
      <w:r w:rsidR="00FA727C">
        <w:rPr>
          <w:rFonts w:ascii="Arial" w:hAnsi="Arial" w:cs="Arial"/>
          <w:lang w:val="en-GB"/>
        </w:rPr>
        <w:t xml:space="preserve">In paragraph 11.2 of the proposed </w:t>
      </w:r>
      <w:r w:rsidR="00341F2B">
        <w:rPr>
          <w:rFonts w:ascii="Arial" w:hAnsi="Arial" w:cs="Arial"/>
          <w:lang w:val="en-GB"/>
        </w:rPr>
        <w:t>a</w:t>
      </w:r>
      <w:r w:rsidR="00FA727C">
        <w:rPr>
          <w:rFonts w:ascii="Arial" w:hAnsi="Arial" w:cs="Arial"/>
          <w:lang w:val="en-GB"/>
        </w:rPr>
        <w:t xml:space="preserve">mended </w:t>
      </w:r>
      <w:r w:rsidR="00341F2B">
        <w:rPr>
          <w:rFonts w:ascii="Arial" w:hAnsi="Arial" w:cs="Arial"/>
          <w:lang w:val="en-GB"/>
        </w:rPr>
        <w:t>particulars of claim</w:t>
      </w:r>
      <w:r w:rsidR="009C0C9C">
        <w:rPr>
          <w:rFonts w:ascii="Arial" w:hAnsi="Arial" w:cs="Arial"/>
          <w:lang w:val="en-GB"/>
        </w:rPr>
        <w:t xml:space="preserve">, the applicant introduces a further alternative cause of action based on enrichment. In essence it is pleaded that in the event that the </w:t>
      </w:r>
      <w:r w:rsidR="00754F90">
        <w:rPr>
          <w:rFonts w:ascii="Arial" w:hAnsi="Arial" w:cs="Arial"/>
          <w:lang w:val="en-GB"/>
        </w:rPr>
        <w:t>trial</w:t>
      </w:r>
      <w:r w:rsidR="009C0C9C">
        <w:rPr>
          <w:rFonts w:ascii="Arial" w:hAnsi="Arial" w:cs="Arial"/>
          <w:lang w:val="en-GB"/>
        </w:rPr>
        <w:t xml:space="preserve"> </w:t>
      </w:r>
      <w:r w:rsidR="005D1205">
        <w:rPr>
          <w:rFonts w:ascii="Arial" w:hAnsi="Arial" w:cs="Arial"/>
          <w:lang w:val="en-GB"/>
        </w:rPr>
        <w:t>court</w:t>
      </w:r>
      <w:r w:rsidR="009C0C9C">
        <w:rPr>
          <w:rFonts w:ascii="Arial" w:hAnsi="Arial" w:cs="Arial"/>
          <w:lang w:val="en-GB"/>
        </w:rPr>
        <w:t xml:space="preserve"> were to find that </w:t>
      </w:r>
      <w:r w:rsidR="005911BA">
        <w:rPr>
          <w:rFonts w:ascii="Arial" w:hAnsi="Arial" w:cs="Arial"/>
          <w:lang w:val="en-GB"/>
        </w:rPr>
        <w:t xml:space="preserve">the Facility Agreement fails for want of Ministerial approval and concurrence then </w:t>
      </w:r>
      <w:r w:rsidR="00F16488">
        <w:rPr>
          <w:rFonts w:ascii="Arial" w:hAnsi="Arial" w:cs="Arial"/>
          <w:lang w:val="en-GB"/>
        </w:rPr>
        <w:t xml:space="preserve">the applicant entered into the </w:t>
      </w:r>
      <w:r w:rsidR="006F348F">
        <w:rPr>
          <w:rFonts w:ascii="Arial" w:hAnsi="Arial" w:cs="Arial"/>
          <w:lang w:val="en-GB"/>
        </w:rPr>
        <w:t>a</w:t>
      </w:r>
      <w:r w:rsidR="00F16488">
        <w:rPr>
          <w:rFonts w:ascii="Arial" w:hAnsi="Arial" w:cs="Arial"/>
          <w:lang w:val="en-GB"/>
        </w:rPr>
        <w:t>greement in the bona fide but mist</w:t>
      </w:r>
      <w:r w:rsidR="006F348F">
        <w:rPr>
          <w:rFonts w:ascii="Arial" w:hAnsi="Arial" w:cs="Arial"/>
          <w:lang w:val="en-GB"/>
        </w:rPr>
        <w:t>a</w:t>
      </w:r>
      <w:r w:rsidR="00F16488">
        <w:rPr>
          <w:rFonts w:ascii="Arial" w:hAnsi="Arial" w:cs="Arial"/>
          <w:lang w:val="en-GB"/>
        </w:rPr>
        <w:t xml:space="preserve">ken belief that the agreement was valid </w:t>
      </w:r>
      <w:r w:rsidR="006F348F">
        <w:rPr>
          <w:rFonts w:ascii="Arial" w:hAnsi="Arial" w:cs="Arial"/>
          <w:lang w:val="en-GB"/>
        </w:rPr>
        <w:t>and binding, that the first respondent took receipt of and retained the loaned funds, and that the first respondent was accordingly unjustifiable enriched</w:t>
      </w:r>
      <w:r w:rsidR="002E07FB">
        <w:rPr>
          <w:rFonts w:ascii="Arial" w:hAnsi="Arial" w:cs="Arial"/>
          <w:lang w:val="en-GB"/>
        </w:rPr>
        <w:t xml:space="preserve"> by its receipt and retention of the loaned funds (“</w:t>
      </w:r>
      <w:r w:rsidR="002E07FB" w:rsidRPr="002E07FB">
        <w:rPr>
          <w:rFonts w:ascii="Arial" w:hAnsi="Arial" w:cs="Arial"/>
          <w:b/>
          <w:bCs/>
          <w:lang w:val="en-GB"/>
        </w:rPr>
        <w:t>the enrichment claim</w:t>
      </w:r>
      <w:r w:rsidR="002E07FB">
        <w:rPr>
          <w:rFonts w:ascii="Arial" w:hAnsi="Arial" w:cs="Arial"/>
          <w:lang w:val="en-GB"/>
        </w:rPr>
        <w:t>”).</w:t>
      </w:r>
    </w:p>
    <w:p w14:paraId="74476357"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697EBD3" w14:textId="04A08706" w:rsidR="002E07F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[38]</w:t>
      </w:r>
      <w:r>
        <w:rPr>
          <w:rFonts w:ascii="Arial" w:hAnsi="Arial" w:cs="Arial"/>
          <w:szCs w:val="24"/>
          <w:lang w:val="en-GB"/>
        </w:rPr>
        <w:tab/>
      </w:r>
      <w:r w:rsidR="002E07FB">
        <w:rPr>
          <w:rFonts w:ascii="Arial" w:hAnsi="Arial" w:cs="Arial"/>
          <w:lang w:val="en-GB"/>
        </w:rPr>
        <w:t xml:space="preserve">The respondents object to </w:t>
      </w:r>
      <w:r w:rsidR="00781787">
        <w:rPr>
          <w:rFonts w:ascii="Arial" w:hAnsi="Arial" w:cs="Arial"/>
          <w:lang w:val="en-GB"/>
        </w:rPr>
        <w:t xml:space="preserve">the introduction of this alternative enrichment claim on the basis that it is a new cause of action that </w:t>
      </w:r>
      <w:r w:rsidR="0049320E">
        <w:rPr>
          <w:rFonts w:ascii="Arial" w:hAnsi="Arial" w:cs="Arial"/>
          <w:lang w:val="en-GB"/>
        </w:rPr>
        <w:t>“was not interrupted by service of summons in this action, which took place in November 2014”, and that the enrichment claim has prescribed.</w:t>
      </w:r>
      <w:r w:rsidR="0056056E">
        <w:rPr>
          <w:rStyle w:val="FootnoteReference"/>
        </w:rPr>
        <w:footnoteReference w:id="29"/>
      </w:r>
    </w:p>
    <w:p w14:paraId="6A06B425"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3855DF2" w14:textId="43BB545F" w:rsidR="0056056E"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[39]</w:t>
      </w:r>
      <w:r>
        <w:rPr>
          <w:rFonts w:ascii="Arial" w:hAnsi="Arial" w:cs="Arial"/>
          <w:szCs w:val="24"/>
          <w:lang w:val="en-GB"/>
        </w:rPr>
        <w:tab/>
      </w:r>
      <w:r w:rsidR="0056056E">
        <w:rPr>
          <w:rFonts w:ascii="Arial" w:hAnsi="Arial" w:cs="Arial"/>
          <w:lang w:val="en-GB"/>
        </w:rPr>
        <w:t xml:space="preserve">In argument this objection was expanded to include the complaint that no evidence is foreshadowed in the application that the applicant entered into the Facility Agreement and advanced the funding under the </w:t>
      </w:r>
      <w:r w:rsidR="0056056E" w:rsidRPr="0056056E">
        <w:rPr>
          <w:rFonts w:ascii="Arial" w:hAnsi="Arial" w:cs="Arial"/>
          <w:i/>
          <w:iCs/>
          <w:lang w:val="en-GB"/>
        </w:rPr>
        <w:t>bona fide</w:t>
      </w:r>
      <w:r w:rsidR="0056056E">
        <w:rPr>
          <w:rFonts w:ascii="Arial" w:hAnsi="Arial" w:cs="Arial"/>
          <w:lang w:val="en-GB"/>
        </w:rPr>
        <w:t xml:space="preserve"> but mistaken belief that the agreement had been validly concluded.</w:t>
      </w:r>
      <w:r w:rsidR="0056056E">
        <w:rPr>
          <w:rStyle w:val="FootnoteReference"/>
        </w:rPr>
        <w:footnoteReference w:id="30"/>
      </w:r>
    </w:p>
    <w:p w14:paraId="2A58DBEA"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78E73BA" w14:textId="60E17110" w:rsidR="0056056E"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[40]</w:t>
      </w:r>
      <w:r>
        <w:rPr>
          <w:rFonts w:ascii="Arial" w:hAnsi="Arial" w:cs="Arial"/>
          <w:szCs w:val="24"/>
          <w:lang w:val="en-GB"/>
        </w:rPr>
        <w:tab/>
      </w:r>
      <w:r w:rsidR="0056056E">
        <w:rPr>
          <w:rFonts w:ascii="Arial" w:hAnsi="Arial" w:cs="Arial"/>
          <w:lang w:val="en-GB"/>
        </w:rPr>
        <w:t xml:space="preserve">In my view, as counsel for the applicant contended, this ground of objection confuses the cause of action with the underlying debt.  As the </w:t>
      </w:r>
      <w:r w:rsidR="005D1205">
        <w:rPr>
          <w:rFonts w:ascii="Arial" w:hAnsi="Arial" w:cs="Arial"/>
          <w:lang w:val="en-GB"/>
        </w:rPr>
        <w:t>court</w:t>
      </w:r>
      <w:r w:rsidR="0056056E">
        <w:rPr>
          <w:rFonts w:ascii="Arial" w:hAnsi="Arial" w:cs="Arial"/>
          <w:lang w:val="en-GB"/>
        </w:rPr>
        <w:t xml:space="preserve"> in </w:t>
      </w:r>
      <w:r w:rsidR="0056056E" w:rsidRPr="0056056E">
        <w:rPr>
          <w:rFonts w:ascii="Arial" w:hAnsi="Arial" w:cs="Arial"/>
          <w:i/>
          <w:iCs/>
          <w:lang w:val="en-GB"/>
        </w:rPr>
        <w:t>Allied</w:t>
      </w:r>
      <w:r w:rsidR="0056056E">
        <w:rPr>
          <w:rFonts w:ascii="Arial" w:hAnsi="Arial" w:cs="Arial"/>
          <w:i/>
          <w:iCs/>
          <w:lang w:val="en-GB"/>
        </w:rPr>
        <w:t xml:space="preserve"> Steelrode</w:t>
      </w:r>
      <w:r w:rsidR="00222866">
        <w:rPr>
          <w:rFonts w:ascii="Arial" w:hAnsi="Arial" w:cs="Arial"/>
          <w:i/>
          <w:iCs/>
          <w:lang w:val="en-GB"/>
        </w:rPr>
        <w:t xml:space="preserve"> (Pty) Ltd v Dreyer</w:t>
      </w:r>
      <w:r w:rsidR="00222866">
        <w:rPr>
          <w:rFonts w:ascii="Arial" w:hAnsi="Arial" w:cs="Arial"/>
          <w:lang w:val="en-GB"/>
        </w:rPr>
        <w:t xml:space="preserve"> (per Van der Linde J) stated</w:t>
      </w:r>
      <w:r w:rsidR="003B7696">
        <w:rPr>
          <w:rFonts w:ascii="Arial" w:hAnsi="Arial" w:cs="Arial"/>
          <w:lang w:val="en-GB"/>
        </w:rPr>
        <w:t>:</w:t>
      </w:r>
    </w:p>
    <w:p w14:paraId="563A51B6"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lang w:val="en-GB"/>
        </w:rPr>
      </w:pPr>
    </w:p>
    <w:p w14:paraId="46E0C4FC" w14:textId="54B38773" w:rsidR="003B7696" w:rsidRDefault="003B7696" w:rsidP="00476A69">
      <w:pPr>
        <w:widowControl/>
        <w:tabs>
          <w:tab w:val="left" w:pos="1701"/>
          <w:tab w:val="left" w:pos="2835"/>
          <w:tab w:val="left" w:pos="3969"/>
          <w:tab w:val="right" w:pos="8222"/>
        </w:tabs>
        <w:autoSpaceDE/>
        <w:autoSpaceDN/>
        <w:adjustRightInd/>
        <w:spacing w:line="276" w:lineRule="auto"/>
        <w:ind w:left="1276"/>
        <w:jc w:val="both"/>
        <w:rPr>
          <w:rFonts w:ascii="Arial" w:hAnsi="Arial" w:cs="Arial"/>
          <w:lang w:val="en-GB"/>
        </w:rPr>
      </w:pPr>
      <w:r w:rsidRPr="005538F8">
        <w:rPr>
          <w:rFonts w:ascii="Arial" w:hAnsi="Arial" w:cs="Arial"/>
          <w:sz w:val="22"/>
          <w:szCs w:val="24"/>
          <w:lang w:val="en-GB"/>
        </w:rPr>
        <w:t>“For the purposes of prescription, one is not concerned with the cause of action but instead one is concerned with a debt. That is a concept which is wide</w:t>
      </w:r>
      <w:r w:rsidR="00761785" w:rsidRPr="005538F8">
        <w:rPr>
          <w:rFonts w:ascii="Arial" w:hAnsi="Arial" w:cs="Arial"/>
          <w:sz w:val="22"/>
          <w:szCs w:val="24"/>
          <w:lang w:val="en-GB"/>
        </w:rPr>
        <w:t>r than a cause of action.  It has been held to encompass ‘</w:t>
      </w:r>
      <w:r w:rsidR="00761785" w:rsidRPr="005538F8">
        <w:rPr>
          <w:rFonts w:ascii="Arial" w:hAnsi="Arial" w:cs="Arial"/>
          <w:i/>
          <w:iCs/>
          <w:sz w:val="22"/>
          <w:szCs w:val="24"/>
          <w:lang w:val="en-GB"/>
        </w:rPr>
        <w:t>whatever is due under any obligation, an obligation to do something or refrain from doing something</w:t>
      </w:r>
      <w:r w:rsidR="00761785" w:rsidRPr="005538F8">
        <w:rPr>
          <w:rFonts w:ascii="Arial" w:hAnsi="Arial" w:cs="Arial"/>
          <w:sz w:val="22"/>
          <w:szCs w:val="24"/>
          <w:lang w:val="en-GB"/>
        </w:rPr>
        <w:t>’</w:t>
      </w:r>
      <w:r w:rsidR="00E6335E" w:rsidRPr="005538F8">
        <w:rPr>
          <w:rFonts w:ascii="Arial" w:hAnsi="Arial" w:cs="Arial"/>
          <w:sz w:val="22"/>
          <w:szCs w:val="24"/>
          <w:lang w:val="en-GB"/>
        </w:rPr>
        <w:t>.</w:t>
      </w:r>
      <w:r w:rsidR="00E6335E">
        <w:rPr>
          <w:rFonts w:ascii="Arial" w:hAnsi="Arial" w:cs="Arial"/>
          <w:lang w:val="en-GB"/>
        </w:rPr>
        <w:t>”</w:t>
      </w:r>
      <w:r w:rsidR="00E6335E">
        <w:rPr>
          <w:rStyle w:val="FootnoteReference"/>
        </w:rPr>
        <w:footnoteReference w:id="31"/>
      </w:r>
    </w:p>
    <w:p w14:paraId="02093707"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85C63E7" w14:textId="5DD57474" w:rsidR="0049320E"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[41]</w:t>
      </w:r>
      <w:r>
        <w:rPr>
          <w:rFonts w:ascii="Arial" w:hAnsi="Arial" w:cs="Arial"/>
          <w:szCs w:val="24"/>
          <w:lang w:val="en-GB"/>
        </w:rPr>
        <w:tab/>
      </w:r>
      <w:r w:rsidR="009A16FB">
        <w:rPr>
          <w:rFonts w:ascii="Arial" w:hAnsi="Arial" w:cs="Arial"/>
          <w:lang w:val="en-GB"/>
        </w:rPr>
        <w:t>I</w:t>
      </w:r>
      <w:r w:rsidR="00614E4F">
        <w:rPr>
          <w:rFonts w:ascii="Arial" w:hAnsi="Arial" w:cs="Arial"/>
          <w:lang w:val="en-GB"/>
        </w:rPr>
        <w:t xml:space="preserve">n my view, the alternative enrichment claim which the applicant now seeks to introduce rests on the same alleged underlying debt as </w:t>
      </w:r>
      <w:r w:rsidR="007A779A">
        <w:rPr>
          <w:rFonts w:ascii="Arial" w:hAnsi="Arial" w:cs="Arial"/>
          <w:lang w:val="en-GB"/>
        </w:rPr>
        <w:t>the main claim which interrupted prescription.</w:t>
      </w:r>
    </w:p>
    <w:p w14:paraId="76AF45E0" w14:textId="77777777" w:rsidR="00A03B14" w:rsidRDefault="00A03B1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588B154" w14:textId="2CA8ABD9" w:rsidR="007A779A"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[42]</w:t>
      </w:r>
      <w:r>
        <w:rPr>
          <w:rFonts w:ascii="Arial" w:hAnsi="Arial" w:cs="Arial"/>
          <w:szCs w:val="24"/>
          <w:lang w:val="en-GB"/>
        </w:rPr>
        <w:tab/>
      </w:r>
      <w:r w:rsidR="007A779A">
        <w:rPr>
          <w:rFonts w:ascii="Arial" w:hAnsi="Arial" w:cs="Arial"/>
          <w:lang w:val="en-GB"/>
        </w:rPr>
        <w:t xml:space="preserve">In addition, the further complaints regarding the failure by the applicant to produce evidence in the application in support of the alternative enrichment claim, cannot be sustained for the same reasons articulated in respect of the first two grounds of objection. </w:t>
      </w:r>
      <w:r w:rsidR="00D857AF">
        <w:rPr>
          <w:rFonts w:ascii="Arial" w:hAnsi="Arial" w:cs="Arial"/>
          <w:lang w:val="en-GB"/>
        </w:rPr>
        <w:t>The applicant was not obliged to produce evidence at this stage of the pleadings or in support of the application for leave to amend.  That is a matter for trial.  Moreover, in that the enrichment claim which is sought to be introduced is an alternative claim, its excision is unlikely materially to curtail any subsequent trial proceedings.</w:t>
      </w:r>
    </w:p>
    <w:p w14:paraId="68C84779" w14:textId="77777777" w:rsidR="004A6139" w:rsidRDefault="004A613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35A3832A" w14:textId="3690B6F9" w:rsidR="00992A29" w:rsidRPr="0054244A" w:rsidRDefault="00992A29"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54244A">
        <w:rPr>
          <w:rFonts w:ascii="Arial" w:hAnsi="Arial" w:cs="Arial"/>
          <w:b/>
          <w:bCs/>
          <w:lang w:val="en-GB"/>
        </w:rPr>
        <w:t xml:space="preserve">Fourth </w:t>
      </w:r>
      <w:r w:rsidR="009A16FB">
        <w:rPr>
          <w:rFonts w:ascii="Arial" w:hAnsi="Arial" w:cs="Arial"/>
          <w:b/>
          <w:bCs/>
          <w:lang w:val="en-GB"/>
        </w:rPr>
        <w:t xml:space="preserve">ground of </w:t>
      </w:r>
      <w:r w:rsidRPr="0054244A">
        <w:rPr>
          <w:rFonts w:ascii="Arial" w:hAnsi="Arial" w:cs="Arial"/>
          <w:b/>
          <w:bCs/>
          <w:lang w:val="en-GB"/>
        </w:rPr>
        <w:t>obj</w:t>
      </w:r>
      <w:r w:rsidR="0054244A" w:rsidRPr="0054244A">
        <w:rPr>
          <w:rFonts w:ascii="Arial" w:hAnsi="Arial" w:cs="Arial"/>
          <w:b/>
          <w:bCs/>
          <w:lang w:val="en-GB"/>
        </w:rPr>
        <w:t>ection: The calculation of interest</w:t>
      </w:r>
    </w:p>
    <w:p w14:paraId="2B95580C"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17D70D6" w14:textId="2BE288D9" w:rsidR="0012367A"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[43]</w:t>
      </w:r>
      <w:r>
        <w:rPr>
          <w:rFonts w:ascii="Arial" w:hAnsi="Arial" w:cs="Arial"/>
          <w:szCs w:val="24"/>
          <w:lang w:val="en-GB"/>
        </w:rPr>
        <w:tab/>
      </w:r>
      <w:r w:rsidR="002A65A1">
        <w:rPr>
          <w:rFonts w:ascii="Arial" w:hAnsi="Arial" w:cs="Arial"/>
          <w:lang w:val="en-GB"/>
        </w:rPr>
        <w:t xml:space="preserve">The final ground of objection raised by the respondents is that the calculation of interest as pleaded does not accord with the provisions for calculation of interest under the </w:t>
      </w:r>
      <w:r w:rsidR="009A16FB">
        <w:rPr>
          <w:rFonts w:ascii="Arial" w:hAnsi="Arial" w:cs="Arial"/>
          <w:lang w:val="en-GB"/>
        </w:rPr>
        <w:t>F</w:t>
      </w:r>
      <w:r w:rsidR="002A65A1">
        <w:rPr>
          <w:rFonts w:ascii="Arial" w:hAnsi="Arial" w:cs="Arial"/>
          <w:lang w:val="en-GB"/>
        </w:rPr>
        <w:t xml:space="preserve">acility </w:t>
      </w:r>
      <w:r w:rsidR="009A16FB">
        <w:rPr>
          <w:rFonts w:ascii="Arial" w:hAnsi="Arial" w:cs="Arial"/>
          <w:lang w:val="en-GB"/>
        </w:rPr>
        <w:t>A</w:t>
      </w:r>
      <w:r w:rsidR="002A65A1">
        <w:rPr>
          <w:rFonts w:ascii="Arial" w:hAnsi="Arial" w:cs="Arial"/>
          <w:lang w:val="en-GB"/>
        </w:rPr>
        <w:t>greement.</w:t>
      </w:r>
    </w:p>
    <w:p w14:paraId="3C08D5F0"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541678C" w14:textId="578BDE78" w:rsidR="00494C49" w:rsidRPr="00A03B14"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A03B14">
        <w:rPr>
          <w:rFonts w:ascii="Arial" w:hAnsi="Arial" w:cs="Arial"/>
          <w:szCs w:val="24"/>
          <w:lang w:val="en-GB"/>
        </w:rPr>
        <w:t>[44]</w:t>
      </w:r>
      <w:r w:rsidRPr="00A03B14">
        <w:rPr>
          <w:rFonts w:ascii="Arial" w:hAnsi="Arial" w:cs="Arial"/>
          <w:szCs w:val="24"/>
          <w:lang w:val="en-GB"/>
        </w:rPr>
        <w:tab/>
      </w:r>
      <w:r w:rsidR="002A65A1">
        <w:rPr>
          <w:rFonts w:ascii="Arial" w:hAnsi="Arial" w:cs="Arial"/>
          <w:lang w:val="en-GB"/>
        </w:rPr>
        <w:t xml:space="preserve">I note in passing that this is a curious ground of objection, premised as it is on the validity of the Facility Agreement, whereas the respondents’ other objections rest on the </w:t>
      </w:r>
      <w:r w:rsidR="00BE2034">
        <w:rPr>
          <w:rFonts w:ascii="Arial" w:hAnsi="Arial" w:cs="Arial"/>
          <w:lang w:val="en-GB"/>
        </w:rPr>
        <w:t xml:space="preserve">alleged </w:t>
      </w:r>
      <w:r w:rsidR="002A65A1">
        <w:rPr>
          <w:rFonts w:ascii="Arial" w:hAnsi="Arial" w:cs="Arial"/>
          <w:lang w:val="en-GB"/>
        </w:rPr>
        <w:t>invalidity of the Agreement.  Be that as it may, I do not consider that this is a valid ground for objecting.  The</w:t>
      </w:r>
      <w:r w:rsidR="008310A8">
        <w:rPr>
          <w:rFonts w:ascii="Arial" w:hAnsi="Arial" w:cs="Arial"/>
          <w:lang w:val="en-GB"/>
        </w:rPr>
        <w:t xml:space="preserve"> </w:t>
      </w:r>
      <w:r w:rsidR="002A65A1">
        <w:rPr>
          <w:rFonts w:ascii="Arial" w:hAnsi="Arial" w:cs="Arial"/>
          <w:lang w:val="en-GB"/>
        </w:rPr>
        <w:t xml:space="preserve">question of the correct determination of interest is a matter for </w:t>
      </w:r>
      <w:r w:rsidR="008310A8">
        <w:rPr>
          <w:rFonts w:ascii="Arial" w:hAnsi="Arial" w:cs="Arial"/>
          <w:lang w:val="en-GB"/>
        </w:rPr>
        <w:t xml:space="preserve">the pleadings and ultimately a question of quantum at trial.  This is therefore quintessentially an issue for the respondents to raise in their </w:t>
      </w:r>
      <w:r w:rsidR="00BE2034">
        <w:rPr>
          <w:rFonts w:ascii="Arial" w:hAnsi="Arial" w:cs="Arial"/>
          <w:lang w:val="en-GB"/>
        </w:rPr>
        <w:t>p</w:t>
      </w:r>
      <w:r w:rsidR="008310A8">
        <w:rPr>
          <w:rFonts w:ascii="Arial" w:hAnsi="Arial" w:cs="Arial"/>
          <w:lang w:val="en-GB"/>
        </w:rPr>
        <w:t>lea should they see fit to do so.  It cannot be determined at the objection stage.</w:t>
      </w:r>
    </w:p>
    <w:p w14:paraId="49B675C9" w14:textId="26819FD3" w:rsidR="002A65A1" w:rsidRDefault="002A65A1"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lang w:val="en-GB"/>
        </w:rPr>
      </w:pPr>
    </w:p>
    <w:p w14:paraId="595078BF" w14:textId="18D3CE9D" w:rsidR="00714C62" w:rsidRPr="00714C62" w:rsidRDefault="00714C62" w:rsidP="00476A69">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714C62">
        <w:rPr>
          <w:rFonts w:ascii="Arial" w:hAnsi="Arial" w:cs="Arial"/>
          <w:b/>
          <w:bCs/>
          <w:lang w:val="en-GB"/>
        </w:rPr>
        <w:t>CONCLUSION</w:t>
      </w:r>
      <w:r>
        <w:rPr>
          <w:rFonts w:ascii="Arial" w:hAnsi="Arial" w:cs="Arial"/>
          <w:b/>
          <w:bCs/>
          <w:lang w:val="en-GB"/>
        </w:rPr>
        <w:t xml:space="preserve"> AND COSTS</w:t>
      </w:r>
    </w:p>
    <w:p w14:paraId="4A59D23F"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682E7E3" w14:textId="603E77EE" w:rsidR="002A65A1"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[45]</w:t>
      </w:r>
      <w:r>
        <w:rPr>
          <w:rFonts w:ascii="Arial" w:hAnsi="Arial" w:cs="Arial"/>
          <w:szCs w:val="24"/>
          <w:lang w:val="en-GB"/>
        </w:rPr>
        <w:tab/>
      </w:r>
      <w:r w:rsidR="00714C62">
        <w:rPr>
          <w:rFonts w:ascii="Arial" w:hAnsi="Arial" w:cs="Arial"/>
          <w:lang w:val="en-GB"/>
        </w:rPr>
        <w:t xml:space="preserve">I find, </w:t>
      </w:r>
      <w:r w:rsidR="00043909">
        <w:rPr>
          <w:rFonts w:ascii="Arial" w:hAnsi="Arial" w:cs="Arial"/>
          <w:lang w:val="en-GB"/>
        </w:rPr>
        <w:t xml:space="preserve">for the reasons set out above, that none of the respondents’ objections are sustainable.  It follows that the applicant must be granted leave to amend its </w:t>
      </w:r>
      <w:r w:rsidR="00341F2B">
        <w:rPr>
          <w:rFonts w:ascii="Arial" w:hAnsi="Arial" w:cs="Arial"/>
          <w:lang w:val="en-GB"/>
        </w:rPr>
        <w:t>particulars of claim</w:t>
      </w:r>
      <w:r w:rsidR="00E05264">
        <w:rPr>
          <w:rFonts w:ascii="Arial" w:hAnsi="Arial" w:cs="Arial"/>
          <w:lang w:val="en-GB"/>
        </w:rPr>
        <w:t>.</w:t>
      </w:r>
    </w:p>
    <w:p w14:paraId="1F3ADBD7"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2C70C71" w14:textId="6F06502B" w:rsidR="00E05264"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[46]</w:t>
      </w:r>
      <w:r>
        <w:rPr>
          <w:rFonts w:ascii="Arial" w:hAnsi="Arial" w:cs="Arial"/>
          <w:szCs w:val="24"/>
          <w:lang w:val="en-GB"/>
        </w:rPr>
        <w:tab/>
      </w:r>
      <w:r w:rsidR="00E05264">
        <w:rPr>
          <w:rFonts w:ascii="Arial" w:hAnsi="Arial" w:cs="Arial"/>
          <w:lang w:val="en-GB"/>
        </w:rPr>
        <w:t xml:space="preserve">The default position in respect of costs </w:t>
      </w:r>
      <w:r w:rsidR="00BE2034">
        <w:rPr>
          <w:rFonts w:ascii="Arial" w:hAnsi="Arial" w:cs="Arial"/>
          <w:lang w:val="en-GB"/>
        </w:rPr>
        <w:t xml:space="preserve">is </w:t>
      </w:r>
      <w:r w:rsidR="00E05264">
        <w:rPr>
          <w:rFonts w:ascii="Arial" w:hAnsi="Arial" w:cs="Arial"/>
          <w:lang w:val="en-GB"/>
        </w:rPr>
        <w:t xml:space="preserve">that the amending party will ordinarily bear the costs of the amendment unless this is opposed.  The applicant duly tendered the costs of the amendment.  The opposition to </w:t>
      </w:r>
      <w:r w:rsidR="00476042">
        <w:rPr>
          <w:rFonts w:ascii="Arial" w:hAnsi="Arial" w:cs="Arial"/>
          <w:lang w:val="en-GB"/>
        </w:rPr>
        <w:t>the amendment and the objections raised have occasioned costs that would not otherwise have been incurred. The question is which party is to bear these costs. The applicant contended that costs should follow the result.</w:t>
      </w:r>
    </w:p>
    <w:p w14:paraId="05ED58C4"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E46ADEE" w14:textId="1FD5FAE1" w:rsidR="006648E0"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[47]</w:t>
      </w:r>
      <w:r>
        <w:rPr>
          <w:rFonts w:ascii="Arial" w:hAnsi="Arial" w:cs="Arial"/>
          <w:szCs w:val="24"/>
          <w:lang w:val="en-GB"/>
        </w:rPr>
        <w:tab/>
      </w:r>
      <w:r w:rsidR="006648E0">
        <w:rPr>
          <w:rFonts w:ascii="Arial" w:hAnsi="Arial" w:cs="Arial"/>
          <w:lang w:val="en-GB"/>
        </w:rPr>
        <w:t xml:space="preserve">It was urged upon me by the respondents that should I decline to uphold one or more of the objections and allow the amendment, then I should reserve the </w:t>
      </w:r>
      <w:r w:rsidR="006648E0">
        <w:rPr>
          <w:rFonts w:ascii="Arial" w:hAnsi="Arial" w:cs="Arial"/>
          <w:lang w:val="en-GB"/>
        </w:rPr>
        <w:lastRenderedPageBreak/>
        <w:t xml:space="preserve">question of costs for the trial because it may in due course, when the issues are fully ventilated at trial, become apparent that a ground of objection was not unreasonable.  I do not consider that this is the correct approach. The question as to whether the objections to the application for amendment </w:t>
      </w:r>
      <w:r w:rsidR="00692AEC">
        <w:rPr>
          <w:rFonts w:ascii="Arial" w:hAnsi="Arial" w:cs="Arial"/>
          <w:lang w:val="en-GB"/>
        </w:rPr>
        <w:t xml:space="preserve">are reasonable </w:t>
      </w:r>
      <w:r w:rsidR="00976ED2">
        <w:rPr>
          <w:rFonts w:ascii="Arial" w:hAnsi="Arial" w:cs="Arial"/>
          <w:lang w:val="en-GB"/>
        </w:rPr>
        <w:t xml:space="preserve">is to be assessed by this </w:t>
      </w:r>
      <w:r w:rsidR="005D1205">
        <w:rPr>
          <w:rFonts w:ascii="Arial" w:hAnsi="Arial" w:cs="Arial"/>
          <w:lang w:val="en-GB"/>
        </w:rPr>
        <w:t>court</w:t>
      </w:r>
      <w:r w:rsidR="00976ED2">
        <w:rPr>
          <w:rFonts w:ascii="Arial" w:hAnsi="Arial" w:cs="Arial"/>
          <w:lang w:val="en-GB"/>
        </w:rPr>
        <w:t xml:space="preserve"> in the present circumstances</w:t>
      </w:r>
      <w:r w:rsidR="00E721AC">
        <w:rPr>
          <w:rFonts w:ascii="Arial" w:hAnsi="Arial" w:cs="Arial"/>
          <w:lang w:val="en-GB"/>
        </w:rPr>
        <w:t>.</w:t>
      </w:r>
      <w:r w:rsidR="00E721AC">
        <w:rPr>
          <w:rStyle w:val="FootnoteReference"/>
        </w:rPr>
        <w:footnoteReference w:id="32"/>
      </w:r>
    </w:p>
    <w:p w14:paraId="429E392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7506B6B" w14:textId="191A8101" w:rsidR="001222EB"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[48]</w:t>
      </w:r>
      <w:r>
        <w:rPr>
          <w:rFonts w:ascii="Arial" w:hAnsi="Arial" w:cs="Arial"/>
          <w:szCs w:val="24"/>
          <w:lang w:val="en-GB"/>
        </w:rPr>
        <w:tab/>
      </w:r>
      <w:r w:rsidR="001222EB">
        <w:rPr>
          <w:rFonts w:ascii="Arial" w:hAnsi="Arial" w:cs="Arial"/>
          <w:lang w:val="en-GB"/>
        </w:rPr>
        <w:t xml:space="preserve">I do not, therefore, see that it is appropriate to defer this question of costs in the present application for the </w:t>
      </w:r>
      <w:r w:rsidR="00754F90">
        <w:rPr>
          <w:rFonts w:ascii="Arial" w:hAnsi="Arial" w:cs="Arial"/>
          <w:lang w:val="en-GB"/>
        </w:rPr>
        <w:t>trial</w:t>
      </w:r>
      <w:r w:rsidR="001222EB">
        <w:rPr>
          <w:rFonts w:ascii="Arial" w:hAnsi="Arial" w:cs="Arial"/>
          <w:lang w:val="en-GB"/>
        </w:rPr>
        <w:t xml:space="preserve"> </w:t>
      </w:r>
      <w:r w:rsidR="00754F90">
        <w:rPr>
          <w:rFonts w:ascii="Arial" w:hAnsi="Arial" w:cs="Arial"/>
          <w:lang w:val="en-GB"/>
        </w:rPr>
        <w:t>j</w:t>
      </w:r>
      <w:r w:rsidR="001222EB">
        <w:rPr>
          <w:rFonts w:ascii="Arial" w:hAnsi="Arial" w:cs="Arial"/>
          <w:lang w:val="en-GB"/>
        </w:rPr>
        <w:t xml:space="preserve">udge who will not have had the benefit of full argument on the merits </w:t>
      </w:r>
      <w:r w:rsidR="00581743">
        <w:rPr>
          <w:rFonts w:ascii="Arial" w:hAnsi="Arial" w:cs="Arial"/>
          <w:lang w:val="en-GB"/>
        </w:rPr>
        <w:t xml:space="preserve">of the application, </w:t>
      </w:r>
      <w:r w:rsidR="001222EB">
        <w:rPr>
          <w:rFonts w:ascii="Arial" w:hAnsi="Arial" w:cs="Arial"/>
          <w:lang w:val="en-GB"/>
        </w:rPr>
        <w:t xml:space="preserve">as I have.  Accordingly, I believe the appropriate order is that the costs of </w:t>
      </w:r>
      <w:r w:rsidR="004F38F7">
        <w:rPr>
          <w:rFonts w:ascii="Arial" w:hAnsi="Arial" w:cs="Arial"/>
          <w:lang w:val="en-GB"/>
        </w:rPr>
        <w:t>the amendment are to be borne by the applicant up until</w:t>
      </w:r>
      <w:r w:rsidR="00BE2034">
        <w:rPr>
          <w:rFonts w:ascii="Arial" w:hAnsi="Arial" w:cs="Arial"/>
          <w:lang w:val="en-GB"/>
        </w:rPr>
        <w:t xml:space="preserve"> time of</w:t>
      </w:r>
      <w:r w:rsidR="004F38F7">
        <w:rPr>
          <w:rFonts w:ascii="Arial" w:hAnsi="Arial" w:cs="Arial"/>
          <w:lang w:val="en-GB"/>
        </w:rPr>
        <w:t xml:space="preserve"> objection and opposition to the proposed amendments.  Thereafter, costs are for the unsuccessful party, namely the respondents.</w:t>
      </w:r>
    </w:p>
    <w:p w14:paraId="7CC7967D" w14:textId="77777777" w:rsidR="004A6139" w:rsidRDefault="004A6139"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116CE94" w14:textId="4DB44DD3" w:rsidR="004F38F7" w:rsidRDefault="00131FAB" w:rsidP="00131FAB">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[49]</w:t>
      </w:r>
      <w:r>
        <w:rPr>
          <w:rFonts w:ascii="Arial" w:hAnsi="Arial" w:cs="Arial"/>
          <w:szCs w:val="24"/>
          <w:lang w:val="en-GB"/>
        </w:rPr>
        <w:tab/>
      </w:r>
      <w:r w:rsidR="004F38F7">
        <w:rPr>
          <w:rFonts w:ascii="Arial" w:hAnsi="Arial" w:cs="Arial"/>
          <w:lang w:val="en-GB"/>
        </w:rPr>
        <w:t>In accordance with the agreement between the parties which I mentioned at the outset to this judgment, my reasoning in respect of the Cloverleaf Films application applies in all material respects to the Ironwood Films application. I accordingly make the following orders in each of the applications respectively</w:t>
      </w:r>
      <w:r w:rsidR="001E0E78">
        <w:rPr>
          <w:rFonts w:ascii="Arial" w:hAnsi="Arial" w:cs="Arial"/>
          <w:lang w:val="en-GB"/>
        </w:rPr>
        <w:t> –</w:t>
      </w:r>
    </w:p>
    <w:p w14:paraId="7989CE2E" w14:textId="77777777" w:rsidR="00BE2034" w:rsidRDefault="00BE2034" w:rsidP="00476A6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82FE03F" w14:textId="77777777" w:rsidR="00357993" w:rsidRDefault="001E0E78" w:rsidP="00476A69">
      <w:pPr>
        <w:widowControl/>
        <w:tabs>
          <w:tab w:val="left" w:pos="2835"/>
          <w:tab w:val="left" w:pos="3969"/>
          <w:tab w:val="right" w:pos="8222"/>
        </w:tabs>
        <w:autoSpaceDE/>
        <w:autoSpaceDN/>
        <w:adjustRightInd/>
        <w:spacing w:line="276" w:lineRule="auto"/>
        <w:contextualSpacing/>
        <w:jc w:val="both"/>
        <w:rPr>
          <w:rFonts w:ascii="Arial" w:hAnsi="Arial" w:cs="Arial"/>
          <w:lang w:val="en-GB"/>
        </w:rPr>
      </w:pPr>
      <w:r w:rsidRPr="007704E3">
        <w:rPr>
          <w:rFonts w:ascii="Arial" w:hAnsi="Arial" w:cs="Arial"/>
          <w:b/>
          <w:bCs/>
          <w:lang w:val="en-GB"/>
        </w:rPr>
        <w:t xml:space="preserve">Order in </w:t>
      </w:r>
      <w:r w:rsidR="00357993" w:rsidRPr="007704E3">
        <w:rPr>
          <w:rFonts w:ascii="Arial" w:hAnsi="Arial" w:cs="Arial"/>
          <w:b/>
          <w:bCs/>
          <w:lang w:val="en-GB"/>
        </w:rPr>
        <w:t>the Cloverleaf Films application</w:t>
      </w:r>
      <w:r w:rsidR="00357993">
        <w:rPr>
          <w:rFonts w:ascii="Arial" w:hAnsi="Arial" w:cs="Arial"/>
          <w:lang w:val="en-GB"/>
        </w:rPr>
        <w:t>:</w:t>
      </w:r>
    </w:p>
    <w:p w14:paraId="6750543F" w14:textId="77777777" w:rsidR="004A6139" w:rsidRDefault="004A6139"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70705DEA" w14:textId="15A3F32A" w:rsidR="00BE2034" w:rsidRPr="00131FAB" w:rsidRDefault="00131FAB" w:rsidP="00131FAB">
      <w:pPr>
        <w:widowControl/>
        <w:tabs>
          <w:tab w:val="left" w:pos="2835"/>
          <w:tab w:val="left" w:pos="3969"/>
          <w:tab w:val="right" w:pos="8222"/>
        </w:tabs>
        <w:autoSpaceDE/>
        <w:autoSpaceDN/>
        <w:adjustRightInd/>
        <w:spacing w:line="276" w:lineRule="auto"/>
        <w:ind w:left="1530" w:hanging="720"/>
        <w:contextualSpacing/>
        <w:jc w:val="both"/>
        <w:rPr>
          <w:rFonts w:ascii="Arial" w:hAnsi="Arial" w:cs="Arial"/>
          <w:lang w:val="en-GB"/>
        </w:rPr>
      </w:pPr>
      <w:r w:rsidRPr="00476A69">
        <w:rPr>
          <w:rFonts w:ascii="Arial" w:hAnsi="Arial" w:cs="Arial"/>
          <w:lang w:val="en-GB"/>
        </w:rPr>
        <w:t>1.</w:t>
      </w:r>
      <w:r w:rsidRPr="00476A69">
        <w:rPr>
          <w:rFonts w:ascii="Arial" w:hAnsi="Arial" w:cs="Arial"/>
          <w:lang w:val="en-GB"/>
        </w:rPr>
        <w:tab/>
      </w:r>
      <w:r w:rsidR="007704E3" w:rsidRPr="00131FAB">
        <w:rPr>
          <w:rFonts w:ascii="Arial" w:hAnsi="Arial" w:cs="Arial"/>
          <w:lang w:val="en-GB"/>
        </w:rPr>
        <w:t xml:space="preserve">The applicant (plaintiff in the trial action) is granted leave to amend </w:t>
      </w:r>
      <w:r w:rsidR="00C53A09" w:rsidRPr="00131FAB">
        <w:rPr>
          <w:rFonts w:ascii="Arial" w:hAnsi="Arial" w:cs="Arial"/>
          <w:lang w:val="en-GB"/>
        </w:rPr>
        <w:t xml:space="preserve">its </w:t>
      </w:r>
      <w:r w:rsidR="00341F2B" w:rsidRPr="00131FAB">
        <w:rPr>
          <w:rFonts w:ascii="Arial" w:hAnsi="Arial" w:cs="Arial"/>
          <w:lang w:val="en-GB"/>
        </w:rPr>
        <w:t>particulars of claim</w:t>
      </w:r>
      <w:r w:rsidR="00C53A09" w:rsidRPr="00131FAB">
        <w:rPr>
          <w:rFonts w:ascii="Arial" w:hAnsi="Arial" w:cs="Arial"/>
          <w:lang w:val="en-GB"/>
        </w:rPr>
        <w:t>.</w:t>
      </w:r>
    </w:p>
    <w:p w14:paraId="5C6FC36B" w14:textId="77777777" w:rsidR="004A6139" w:rsidRDefault="004A6139"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74CBA84A" w14:textId="56EF3E7A" w:rsidR="00BE2034" w:rsidRPr="00131FAB" w:rsidRDefault="00131FAB" w:rsidP="00131FAB">
      <w:pPr>
        <w:widowControl/>
        <w:tabs>
          <w:tab w:val="left" w:pos="2835"/>
          <w:tab w:val="left" w:pos="3969"/>
          <w:tab w:val="right" w:pos="8222"/>
        </w:tabs>
        <w:autoSpaceDE/>
        <w:autoSpaceDN/>
        <w:adjustRightInd/>
        <w:spacing w:line="276" w:lineRule="auto"/>
        <w:ind w:left="1530" w:hanging="720"/>
        <w:contextualSpacing/>
        <w:jc w:val="both"/>
        <w:rPr>
          <w:rFonts w:ascii="Arial" w:hAnsi="Arial" w:cs="Arial"/>
          <w:lang w:val="en-GB"/>
        </w:rPr>
      </w:pPr>
      <w:r>
        <w:rPr>
          <w:rFonts w:ascii="Arial" w:hAnsi="Arial" w:cs="Arial"/>
          <w:lang w:val="en-GB"/>
        </w:rPr>
        <w:t>2.</w:t>
      </w:r>
      <w:r>
        <w:rPr>
          <w:rFonts w:ascii="Arial" w:hAnsi="Arial" w:cs="Arial"/>
          <w:lang w:val="en-GB"/>
        </w:rPr>
        <w:tab/>
      </w:r>
      <w:r w:rsidR="00C53A09" w:rsidRPr="00131FAB">
        <w:rPr>
          <w:rFonts w:ascii="Arial" w:hAnsi="Arial" w:cs="Arial"/>
          <w:lang w:val="en-GB"/>
        </w:rPr>
        <w:t xml:space="preserve">The </w:t>
      </w:r>
      <w:r w:rsidR="00341F2B" w:rsidRPr="00131FAB">
        <w:rPr>
          <w:rFonts w:ascii="Arial" w:hAnsi="Arial" w:cs="Arial"/>
          <w:lang w:val="en-GB"/>
        </w:rPr>
        <w:t>particulars of claim</w:t>
      </w:r>
      <w:r w:rsidR="00C53A09" w:rsidRPr="00131FAB">
        <w:rPr>
          <w:rFonts w:ascii="Arial" w:hAnsi="Arial" w:cs="Arial"/>
          <w:lang w:val="en-GB"/>
        </w:rPr>
        <w:t xml:space="preserve"> are amended in accordance with the plaintiff’s notice of intention to amend dated 9 May 2022.</w:t>
      </w:r>
    </w:p>
    <w:p w14:paraId="533F5D66" w14:textId="77777777" w:rsidR="004A6139" w:rsidRDefault="004A6139"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0BC45276" w14:textId="3AC091DC" w:rsidR="00740629" w:rsidRPr="00131FAB" w:rsidRDefault="00131FAB" w:rsidP="00131FAB">
      <w:pPr>
        <w:widowControl/>
        <w:tabs>
          <w:tab w:val="left" w:pos="2835"/>
          <w:tab w:val="left" w:pos="3969"/>
          <w:tab w:val="right" w:pos="8222"/>
        </w:tabs>
        <w:autoSpaceDE/>
        <w:autoSpaceDN/>
        <w:adjustRightInd/>
        <w:spacing w:line="276" w:lineRule="auto"/>
        <w:ind w:left="1530" w:hanging="720"/>
        <w:contextualSpacing/>
        <w:jc w:val="both"/>
        <w:rPr>
          <w:rFonts w:ascii="Arial" w:hAnsi="Arial" w:cs="Arial"/>
          <w:lang w:val="en-GB"/>
        </w:rPr>
      </w:pPr>
      <w:r>
        <w:rPr>
          <w:rFonts w:ascii="Arial" w:hAnsi="Arial" w:cs="Arial"/>
          <w:lang w:val="en-GB"/>
        </w:rPr>
        <w:t>3.</w:t>
      </w:r>
      <w:r>
        <w:rPr>
          <w:rFonts w:ascii="Arial" w:hAnsi="Arial" w:cs="Arial"/>
          <w:lang w:val="en-GB"/>
        </w:rPr>
        <w:tab/>
      </w:r>
      <w:r w:rsidR="00740629" w:rsidRPr="00131FAB">
        <w:rPr>
          <w:rFonts w:ascii="Arial" w:hAnsi="Arial" w:cs="Arial"/>
          <w:lang w:val="en-GB"/>
        </w:rPr>
        <w:t>The respondents are directed to pay the costs of the application, such costs to include the costs of two counsel</w:t>
      </w:r>
      <w:r w:rsidR="00BE2034" w:rsidRPr="00131FAB">
        <w:rPr>
          <w:rFonts w:ascii="Arial" w:hAnsi="Arial" w:cs="Arial"/>
          <w:lang w:val="en-GB"/>
        </w:rPr>
        <w:t>,</w:t>
      </w:r>
      <w:r w:rsidR="00740629" w:rsidRPr="00131FAB">
        <w:rPr>
          <w:rFonts w:ascii="Arial" w:hAnsi="Arial" w:cs="Arial"/>
          <w:lang w:val="en-GB"/>
        </w:rPr>
        <w:t xml:space="preserve"> where employed.</w:t>
      </w:r>
    </w:p>
    <w:p w14:paraId="6E62B291" w14:textId="77777777" w:rsidR="00BE2034" w:rsidRPr="00BE2034" w:rsidRDefault="00BE2034"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1FF8D87A" w14:textId="2B4FC39C" w:rsidR="00357993" w:rsidRDefault="00357993" w:rsidP="00476A69">
      <w:pPr>
        <w:widowControl/>
        <w:tabs>
          <w:tab w:val="left" w:pos="2835"/>
          <w:tab w:val="left" w:pos="3969"/>
          <w:tab w:val="right" w:pos="8222"/>
        </w:tabs>
        <w:autoSpaceDE/>
        <w:autoSpaceDN/>
        <w:adjustRightInd/>
        <w:spacing w:line="276" w:lineRule="auto"/>
        <w:contextualSpacing/>
        <w:jc w:val="both"/>
        <w:rPr>
          <w:rFonts w:ascii="Arial" w:hAnsi="Arial" w:cs="Arial"/>
          <w:b/>
          <w:bCs/>
          <w:lang w:val="en-GB"/>
        </w:rPr>
      </w:pPr>
      <w:r w:rsidRPr="00AF2974">
        <w:rPr>
          <w:rFonts w:ascii="Arial" w:hAnsi="Arial" w:cs="Arial"/>
          <w:b/>
          <w:bCs/>
          <w:lang w:val="en-GB"/>
        </w:rPr>
        <w:t xml:space="preserve">Order in the </w:t>
      </w:r>
      <w:r w:rsidR="00AF2974">
        <w:rPr>
          <w:rFonts w:ascii="Arial" w:hAnsi="Arial" w:cs="Arial"/>
          <w:b/>
          <w:bCs/>
          <w:lang w:val="en-GB"/>
        </w:rPr>
        <w:t xml:space="preserve">Ironwood </w:t>
      </w:r>
      <w:r w:rsidRPr="00AF2974">
        <w:rPr>
          <w:rFonts w:ascii="Arial" w:hAnsi="Arial" w:cs="Arial"/>
          <w:b/>
          <w:bCs/>
          <w:lang w:val="en-GB"/>
        </w:rPr>
        <w:t>Films application</w:t>
      </w:r>
    </w:p>
    <w:p w14:paraId="2E0FF08B" w14:textId="77777777" w:rsidR="00BE2034" w:rsidRPr="00AF2974" w:rsidRDefault="00BE2034" w:rsidP="00476A69">
      <w:pPr>
        <w:widowControl/>
        <w:tabs>
          <w:tab w:val="left" w:pos="2835"/>
          <w:tab w:val="left" w:pos="3969"/>
          <w:tab w:val="right" w:pos="8222"/>
        </w:tabs>
        <w:autoSpaceDE/>
        <w:autoSpaceDN/>
        <w:adjustRightInd/>
        <w:spacing w:line="276" w:lineRule="auto"/>
        <w:contextualSpacing/>
        <w:jc w:val="both"/>
        <w:rPr>
          <w:rFonts w:ascii="Arial" w:hAnsi="Arial" w:cs="Arial"/>
          <w:b/>
          <w:bCs/>
          <w:lang w:val="en-GB"/>
        </w:rPr>
      </w:pPr>
    </w:p>
    <w:p w14:paraId="54650102" w14:textId="5977E702" w:rsidR="00BE2034" w:rsidRPr="00131FAB" w:rsidRDefault="00131FAB" w:rsidP="00131FAB">
      <w:pPr>
        <w:widowControl/>
        <w:tabs>
          <w:tab w:val="left" w:pos="2835"/>
          <w:tab w:val="left" w:pos="3969"/>
          <w:tab w:val="right" w:pos="8222"/>
        </w:tabs>
        <w:autoSpaceDE/>
        <w:autoSpaceDN/>
        <w:adjustRightInd/>
        <w:spacing w:line="276" w:lineRule="auto"/>
        <w:ind w:left="1440" w:hanging="630"/>
        <w:contextualSpacing/>
        <w:jc w:val="both"/>
        <w:rPr>
          <w:rFonts w:ascii="Arial" w:hAnsi="Arial" w:cs="Arial"/>
          <w:lang w:val="en-GB"/>
        </w:rPr>
      </w:pPr>
      <w:r w:rsidRPr="00476A69">
        <w:rPr>
          <w:rFonts w:ascii="Arial" w:hAnsi="Arial" w:cs="Arial"/>
          <w:lang w:val="en-GB"/>
        </w:rPr>
        <w:t>1.</w:t>
      </w:r>
      <w:r w:rsidRPr="00476A69">
        <w:rPr>
          <w:rFonts w:ascii="Arial" w:hAnsi="Arial" w:cs="Arial"/>
          <w:lang w:val="en-GB"/>
        </w:rPr>
        <w:tab/>
      </w:r>
      <w:r w:rsidR="00736230" w:rsidRPr="00131FAB">
        <w:rPr>
          <w:rFonts w:ascii="Arial" w:hAnsi="Arial" w:cs="Arial"/>
          <w:lang w:val="en-GB"/>
        </w:rPr>
        <w:t xml:space="preserve">The applicant (plaintiff in the trial action) is granted leave to amend its </w:t>
      </w:r>
      <w:r w:rsidR="00341F2B" w:rsidRPr="00131FAB">
        <w:rPr>
          <w:rFonts w:ascii="Arial" w:hAnsi="Arial" w:cs="Arial"/>
          <w:lang w:val="en-GB"/>
        </w:rPr>
        <w:t>particulars of claim</w:t>
      </w:r>
      <w:r w:rsidR="00736230" w:rsidRPr="00131FAB">
        <w:rPr>
          <w:rFonts w:ascii="Arial" w:hAnsi="Arial" w:cs="Arial"/>
          <w:lang w:val="en-GB"/>
        </w:rPr>
        <w:t>.</w:t>
      </w:r>
    </w:p>
    <w:p w14:paraId="7F3B1AF7" w14:textId="77777777" w:rsidR="00A03B14" w:rsidRDefault="00A03B14"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31C3458B" w14:textId="11D76068" w:rsidR="00BE2034" w:rsidRPr="00131FAB" w:rsidRDefault="00131FAB" w:rsidP="00131FAB">
      <w:pPr>
        <w:widowControl/>
        <w:tabs>
          <w:tab w:val="left" w:pos="2835"/>
          <w:tab w:val="left" w:pos="3969"/>
          <w:tab w:val="right" w:pos="8222"/>
        </w:tabs>
        <w:autoSpaceDE/>
        <w:autoSpaceDN/>
        <w:adjustRightInd/>
        <w:spacing w:line="276" w:lineRule="auto"/>
        <w:ind w:left="1440" w:hanging="630"/>
        <w:contextualSpacing/>
        <w:jc w:val="both"/>
        <w:rPr>
          <w:rFonts w:ascii="Arial" w:hAnsi="Arial" w:cs="Arial"/>
          <w:lang w:val="en-GB"/>
        </w:rPr>
      </w:pPr>
      <w:r>
        <w:rPr>
          <w:rFonts w:ascii="Arial" w:hAnsi="Arial" w:cs="Arial"/>
          <w:lang w:val="en-GB"/>
        </w:rPr>
        <w:t>2.</w:t>
      </w:r>
      <w:r>
        <w:rPr>
          <w:rFonts w:ascii="Arial" w:hAnsi="Arial" w:cs="Arial"/>
          <w:lang w:val="en-GB"/>
        </w:rPr>
        <w:tab/>
      </w:r>
      <w:r w:rsidR="00736230" w:rsidRPr="00131FAB">
        <w:rPr>
          <w:rFonts w:ascii="Arial" w:hAnsi="Arial" w:cs="Arial"/>
          <w:lang w:val="en-GB"/>
        </w:rPr>
        <w:t xml:space="preserve">The </w:t>
      </w:r>
      <w:r w:rsidR="00341F2B" w:rsidRPr="00131FAB">
        <w:rPr>
          <w:rFonts w:ascii="Arial" w:hAnsi="Arial" w:cs="Arial"/>
          <w:lang w:val="en-GB"/>
        </w:rPr>
        <w:t>particulars of claim</w:t>
      </w:r>
      <w:r w:rsidR="00736230" w:rsidRPr="00131FAB">
        <w:rPr>
          <w:rFonts w:ascii="Arial" w:hAnsi="Arial" w:cs="Arial"/>
          <w:lang w:val="en-GB"/>
        </w:rPr>
        <w:t xml:space="preserve"> are amended in accordance with the plaintiff’s notice of intention to amend dated 9 May 2022.</w:t>
      </w:r>
    </w:p>
    <w:p w14:paraId="2A0A5449" w14:textId="77777777" w:rsidR="004A6139" w:rsidRDefault="004A6139" w:rsidP="00476A69">
      <w:pPr>
        <w:pStyle w:val="ListParagraph"/>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3DEC55C8" w14:textId="7BE0211C" w:rsidR="00736230" w:rsidRPr="00131FAB" w:rsidRDefault="00131FAB" w:rsidP="00131FAB">
      <w:pPr>
        <w:widowControl/>
        <w:tabs>
          <w:tab w:val="left" w:pos="2835"/>
          <w:tab w:val="left" w:pos="3969"/>
          <w:tab w:val="right" w:pos="8222"/>
        </w:tabs>
        <w:autoSpaceDE/>
        <w:autoSpaceDN/>
        <w:adjustRightInd/>
        <w:spacing w:line="276" w:lineRule="auto"/>
        <w:ind w:left="1440" w:hanging="630"/>
        <w:contextualSpacing/>
        <w:jc w:val="both"/>
        <w:rPr>
          <w:rFonts w:ascii="Arial" w:hAnsi="Arial" w:cs="Arial"/>
          <w:lang w:val="en-GB"/>
        </w:rPr>
      </w:pPr>
      <w:r>
        <w:rPr>
          <w:rFonts w:ascii="Arial" w:hAnsi="Arial" w:cs="Arial"/>
          <w:lang w:val="en-GB"/>
        </w:rPr>
        <w:t>3.</w:t>
      </w:r>
      <w:r>
        <w:rPr>
          <w:rFonts w:ascii="Arial" w:hAnsi="Arial" w:cs="Arial"/>
          <w:lang w:val="en-GB"/>
        </w:rPr>
        <w:tab/>
      </w:r>
      <w:r w:rsidR="00736230" w:rsidRPr="00131FAB">
        <w:rPr>
          <w:rFonts w:ascii="Arial" w:hAnsi="Arial" w:cs="Arial"/>
          <w:lang w:val="en-GB"/>
        </w:rPr>
        <w:t>The respondents are directed to pay the costs of the application, such costs to include the costs of two counsel</w:t>
      </w:r>
      <w:r w:rsidR="00BE2034" w:rsidRPr="00131FAB">
        <w:rPr>
          <w:rFonts w:ascii="Arial" w:hAnsi="Arial" w:cs="Arial"/>
          <w:lang w:val="en-GB"/>
        </w:rPr>
        <w:t>,</w:t>
      </w:r>
      <w:r w:rsidR="00736230" w:rsidRPr="00131FAB">
        <w:rPr>
          <w:rFonts w:ascii="Arial" w:hAnsi="Arial" w:cs="Arial"/>
          <w:lang w:val="en-GB"/>
        </w:rPr>
        <w:t xml:space="preserve"> where employed.</w:t>
      </w:r>
    </w:p>
    <w:p w14:paraId="170D9838" w14:textId="77777777" w:rsidR="004A6139" w:rsidRPr="004A6139" w:rsidRDefault="004A6139" w:rsidP="00476A69">
      <w:pPr>
        <w:pStyle w:val="ListParagraph"/>
        <w:spacing w:line="276" w:lineRule="auto"/>
        <w:rPr>
          <w:rFonts w:ascii="Arial" w:hAnsi="Arial" w:cs="Arial"/>
          <w:lang w:val="en-GB"/>
        </w:rPr>
      </w:pPr>
    </w:p>
    <w:p w14:paraId="51431F1E" w14:textId="77777777" w:rsidR="004A6139" w:rsidRPr="004A6139" w:rsidRDefault="004A6139" w:rsidP="00476A69">
      <w:pPr>
        <w:widowControl/>
        <w:tabs>
          <w:tab w:val="left" w:pos="2835"/>
          <w:tab w:val="left" w:pos="3969"/>
          <w:tab w:val="right" w:pos="8222"/>
        </w:tabs>
        <w:autoSpaceDE/>
        <w:autoSpaceDN/>
        <w:adjustRightInd/>
        <w:spacing w:line="276" w:lineRule="auto"/>
        <w:contextualSpacing/>
        <w:jc w:val="both"/>
        <w:rPr>
          <w:rFonts w:ascii="Arial" w:hAnsi="Arial" w:cs="Arial"/>
          <w:lang w:val="en-GB"/>
        </w:rPr>
      </w:pPr>
    </w:p>
    <w:p w14:paraId="58749055" w14:textId="470E022B" w:rsidR="00BC5E1D" w:rsidRDefault="00BC5E1D" w:rsidP="00476A69">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p>
    <w:p w14:paraId="7F75FB91" w14:textId="77777777" w:rsidR="00957AB2" w:rsidRDefault="00957AB2" w:rsidP="00476A69">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p>
    <w:p w14:paraId="0AD1E260" w14:textId="1F15907C" w:rsidR="00FE392A" w:rsidRPr="00DC7AFE" w:rsidRDefault="00FE392A" w:rsidP="00476A69">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r>
        <w:rPr>
          <w:rFonts w:ascii="Arial" w:hAnsi="Arial" w:cs="Arial"/>
          <w:lang w:val="en-GB"/>
        </w:rPr>
        <w:t xml:space="preserve"> ___</w:t>
      </w:r>
      <w:r w:rsidR="004A6139">
        <w:rPr>
          <w:rFonts w:ascii="Arial" w:hAnsi="Arial" w:cs="Arial"/>
          <w:lang w:val="en-GB"/>
        </w:rPr>
        <w:t>__</w:t>
      </w:r>
      <w:r w:rsidR="00B92A3F">
        <w:rPr>
          <w:rFonts w:ascii="Arial" w:hAnsi="Arial" w:cs="Arial"/>
          <w:lang w:val="en-GB"/>
        </w:rPr>
        <w:t>_</w:t>
      </w:r>
      <w:r w:rsidRPr="00DC7AFE">
        <w:rPr>
          <w:rFonts w:ascii="Arial" w:hAnsi="Arial" w:cs="Arial"/>
          <w:lang w:val="en-GB"/>
        </w:rPr>
        <w:t>_</w:t>
      </w:r>
      <w:r w:rsidR="00017ABB">
        <w:rPr>
          <w:rFonts w:ascii="Arial" w:hAnsi="Arial" w:cs="Arial"/>
          <w:lang w:val="en-GB"/>
        </w:rPr>
        <w:t>__</w:t>
      </w:r>
      <w:r w:rsidRPr="00DC7AFE">
        <w:rPr>
          <w:rFonts w:ascii="Arial" w:hAnsi="Arial" w:cs="Arial"/>
          <w:lang w:val="en-GB"/>
        </w:rPr>
        <w:t>___</w:t>
      </w:r>
      <w:r w:rsidR="00734ADD">
        <w:rPr>
          <w:rFonts w:ascii="Arial" w:hAnsi="Arial" w:cs="Arial"/>
          <w:lang w:val="en-GB"/>
        </w:rPr>
        <w:t>_</w:t>
      </w:r>
      <w:r w:rsidRPr="00DC7AFE">
        <w:rPr>
          <w:rFonts w:ascii="Arial" w:hAnsi="Arial" w:cs="Arial"/>
          <w:lang w:val="en-GB"/>
        </w:rPr>
        <w:t>_______________</w:t>
      </w:r>
    </w:p>
    <w:p w14:paraId="30E63A05" w14:textId="472EA45D" w:rsidR="00FE392A" w:rsidRPr="004A6139" w:rsidRDefault="00FE392A" w:rsidP="00476A69">
      <w:pPr>
        <w:tabs>
          <w:tab w:val="left" w:pos="4536"/>
        </w:tabs>
        <w:spacing w:line="276" w:lineRule="auto"/>
        <w:ind w:left="851"/>
        <w:jc w:val="right"/>
        <w:rPr>
          <w:rFonts w:ascii="Arial" w:hAnsi="Arial" w:cs="Arial"/>
          <w:b/>
          <w:lang w:val="en-GB"/>
        </w:rPr>
      </w:pPr>
      <w:r w:rsidRPr="004A6139">
        <w:rPr>
          <w:rFonts w:ascii="Arial" w:hAnsi="Arial" w:cs="Arial"/>
          <w:b/>
          <w:lang w:val="en-GB"/>
        </w:rPr>
        <w:tab/>
      </w:r>
      <w:r w:rsidR="00612840" w:rsidRPr="004A6139">
        <w:rPr>
          <w:rFonts w:ascii="Arial" w:hAnsi="Arial" w:cs="Arial"/>
          <w:b/>
          <w:lang w:val="en-GB"/>
        </w:rPr>
        <w:t>A</w:t>
      </w:r>
      <w:r w:rsidR="004A6139">
        <w:rPr>
          <w:rFonts w:ascii="Arial" w:hAnsi="Arial" w:cs="Arial"/>
          <w:b/>
          <w:lang w:val="en-GB"/>
        </w:rPr>
        <w:t>.</w:t>
      </w:r>
      <w:r w:rsidR="00612840" w:rsidRPr="004A6139">
        <w:rPr>
          <w:rFonts w:ascii="Arial" w:hAnsi="Arial" w:cs="Arial"/>
          <w:b/>
          <w:lang w:val="en-GB"/>
        </w:rPr>
        <w:t xml:space="preserve"> D</w:t>
      </w:r>
      <w:r w:rsidR="004A6139">
        <w:rPr>
          <w:rFonts w:ascii="Arial" w:hAnsi="Arial" w:cs="Arial"/>
          <w:b/>
          <w:lang w:val="en-GB"/>
        </w:rPr>
        <w:t>.</w:t>
      </w:r>
      <w:r w:rsidR="00612840" w:rsidRPr="004A6139">
        <w:rPr>
          <w:rFonts w:ascii="Arial" w:hAnsi="Arial" w:cs="Arial"/>
          <w:b/>
          <w:lang w:val="en-GB"/>
        </w:rPr>
        <w:t xml:space="preserve"> STEIN</w:t>
      </w:r>
      <w:r w:rsidR="009D1AC1" w:rsidRPr="004A6139">
        <w:rPr>
          <w:rFonts w:ascii="Arial" w:hAnsi="Arial" w:cs="Arial"/>
          <w:b/>
          <w:lang w:val="en-GB"/>
        </w:rPr>
        <w:t xml:space="preserve"> </w:t>
      </w:r>
    </w:p>
    <w:p w14:paraId="0B4C8DB0" w14:textId="77777777" w:rsidR="00FE392A" w:rsidRDefault="00FE392A" w:rsidP="00476A69">
      <w:pPr>
        <w:tabs>
          <w:tab w:val="left" w:pos="4536"/>
        </w:tabs>
        <w:spacing w:line="276" w:lineRule="auto"/>
        <w:ind w:left="851"/>
        <w:jc w:val="right"/>
        <w:rPr>
          <w:rFonts w:ascii="Arial" w:hAnsi="Arial" w:cs="Arial"/>
          <w:lang w:val="en-GB"/>
        </w:rPr>
      </w:pPr>
      <w:r>
        <w:rPr>
          <w:rFonts w:ascii="Arial" w:hAnsi="Arial" w:cs="Arial"/>
          <w:lang w:val="en-GB"/>
        </w:rPr>
        <w:tab/>
      </w:r>
      <w:r w:rsidRPr="00DC7AFE">
        <w:rPr>
          <w:rFonts w:ascii="Arial" w:hAnsi="Arial" w:cs="Arial"/>
          <w:lang w:val="en-GB"/>
        </w:rPr>
        <w:t>Acting Judge of the High Court</w:t>
      </w:r>
    </w:p>
    <w:p w14:paraId="12E45170" w14:textId="77777777" w:rsidR="00734ADD" w:rsidRPr="00DC7AFE" w:rsidRDefault="00734ADD" w:rsidP="00476A69">
      <w:pPr>
        <w:tabs>
          <w:tab w:val="left" w:pos="4536"/>
        </w:tabs>
        <w:spacing w:line="276" w:lineRule="auto"/>
        <w:ind w:left="851"/>
        <w:jc w:val="right"/>
        <w:rPr>
          <w:rFonts w:ascii="Arial" w:hAnsi="Arial" w:cs="Arial"/>
          <w:lang w:val="en-GB"/>
        </w:rPr>
      </w:pPr>
      <w:r>
        <w:rPr>
          <w:rFonts w:ascii="Arial" w:hAnsi="Arial" w:cs="Arial"/>
          <w:lang w:val="en-GB"/>
        </w:rPr>
        <w:t>Gauteng Division, Johannesburg</w:t>
      </w:r>
    </w:p>
    <w:p w14:paraId="5C14E783" w14:textId="77777777" w:rsidR="00FE392A" w:rsidRDefault="00FE392A" w:rsidP="00476A69">
      <w:pPr>
        <w:spacing w:line="276" w:lineRule="auto"/>
        <w:rPr>
          <w:rFonts w:ascii="Arial" w:hAnsi="Arial" w:cs="Arial"/>
          <w:lang w:val="en-GB"/>
        </w:rPr>
      </w:pPr>
    </w:p>
    <w:p w14:paraId="345CD310" w14:textId="77777777" w:rsidR="00D95819" w:rsidRDefault="00D95819" w:rsidP="00476A69">
      <w:pPr>
        <w:spacing w:line="276" w:lineRule="auto"/>
        <w:rPr>
          <w:rFonts w:ascii="Arial" w:hAnsi="Arial" w:cs="Arial"/>
          <w:b/>
          <w:bCs/>
          <w:lang w:val="en-GB"/>
        </w:rPr>
      </w:pPr>
    </w:p>
    <w:p w14:paraId="79278458" w14:textId="77777777" w:rsidR="00957AB2" w:rsidRDefault="00957AB2" w:rsidP="00476A69">
      <w:pPr>
        <w:spacing w:line="276" w:lineRule="auto"/>
        <w:rPr>
          <w:rFonts w:ascii="Arial" w:hAnsi="Arial" w:cs="Arial"/>
          <w:b/>
          <w:bCs/>
          <w:lang w:val="en-GB"/>
        </w:rPr>
      </w:pPr>
    </w:p>
    <w:p w14:paraId="1F3FDD03" w14:textId="77777777" w:rsidR="00957AB2" w:rsidRDefault="00957AB2" w:rsidP="00476A69">
      <w:pPr>
        <w:spacing w:line="276" w:lineRule="auto"/>
        <w:rPr>
          <w:rFonts w:ascii="Arial" w:hAnsi="Arial" w:cs="Arial"/>
          <w:b/>
          <w:bCs/>
          <w:lang w:val="en-GB"/>
        </w:rPr>
      </w:pPr>
    </w:p>
    <w:p w14:paraId="7775C157" w14:textId="77777777" w:rsidR="00957AB2" w:rsidRDefault="00957AB2" w:rsidP="00476A69">
      <w:pPr>
        <w:spacing w:line="276" w:lineRule="auto"/>
        <w:rPr>
          <w:rFonts w:ascii="Arial" w:hAnsi="Arial" w:cs="Arial"/>
          <w:b/>
          <w:bCs/>
          <w:lang w:val="en-GB"/>
        </w:rPr>
      </w:pPr>
    </w:p>
    <w:p w14:paraId="60AC8741" w14:textId="700E80F2" w:rsidR="00681CA1" w:rsidRPr="001F06DB" w:rsidRDefault="00FE392A" w:rsidP="00476A69">
      <w:pPr>
        <w:spacing w:line="276" w:lineRule="auto"/>
        <w:rPr>
          <w:rFonts w:ascii="Arial" w:hAnsi="Arial" w:cs="Arial"/>
          <w:bCs/>
          <w:lang w:val="en-GB"/>
        </w:rPr>
      </w:pPr>
      <w:r w:rsidRPr="00017ABB">
        <w:rPr>
          <w:rFonts w:ascii="Arial" w:hAnsi="Arial" w:cs="Arial"/>
          <w:b/>
          <w:bCs/>
          <w:lang w:val="en-GB"/>
        </w:rPr>
        <w:t>Heard</w:t>
      </w:r>
      <w:r w:rsidRPr="001F06DB">
        <w:rPr>
          <w:rFonts w:ascii="Arial" w:hAnsi="Arial" w:cs="Arial"/>
          <w:bCs/>
          <w:lang w:val="en-GB"/>
        </w:rPr>
        <w:t xml:space="preserve">: </w:t>
      </w:r>
      <w:r w:rsidRPr="001F06DB">
        <w:rPr>
          <w:rFonts w:ascii="Arial" w:hAnsi="Arial" w:cs="Arial"/>
          <w:bCs/>
          <w:lang w:val="en-GB"/>
        </w:rPr>
        <w:tab/>
      </w:r>
      <w:r w:rsidRPr="001F06DB">
        <w:rPr>
          <w:rFonts w:ascii="Arial" w:hAnsi="Arial" w:cs="Arial"/>
          <w:bCs/>
          <w:lang w:val="en-GB"/>
        </w:rPr>
        <w:tab/>
      </w:r>
      <w:r w:rsidR="00476A69">
        <w:rPr>
          <w:rFonts w:ascii="Arial" w:hAnsi="Arial" w:cs="Arial"/>
          <w:bCs/>
          <w:lang w:val="en-GB"/>
        </w:rPr>
        <w:tab/>
      </w:r>
      <w:r w:rsidR="003D46B6">
        <w:rPr>
          <w:rFonts w:ascii="Arial" w:hAnsi="Arial" w:cs="Arial"/>
          <w:bCs/>
          <w:lang w:val="en-GB"/>
        </w:rPr>
        <w:t>20 February 2023</w:t>
      </w:r>
      <w:r w:rsidR="009D1AC1" w:rsidRPr="001F06DB">
        <w:rPr>
          <w:rFonts w:ascii="Arial" w:hAnsi="Arial" w:cs="Arial"/>
          <w:bCs/>
          <w:lang w:val="en-GB"/>
        </w:rPr>
        <w:t xml:space="preserve"> </w:t>
      </w:r>
    </w:p>
    <w:p w14:paraId="55CDB4F5" w14:textId="2D2CE646" w:rsidR="00FE392A" w:rsidRPr="001F06DB" w:rsidRDefault="00681CA1" w:rsidP="00476A69">
      <w:pPr>
        <w:spacing w:line="276" w:lineRule="auto"/>
        <w:rPr>
          <w:rFonts w:ascii="Arial" w:hAnsi="Arial" w:cs="Arial"/>
          <w:bCs/>
          <w:lang w:val="en-GB"/>
        </w:rPr>
      </w:pPr>
      <w:r w:rsidRPr="00017ABB">
        <w:rPr>
          <w:rFonts w:ascii="Arial" w:hAnsi="Arial" w:cs="Arial"/>
          <w:b/>
          <w:bCs/>
          <w:lang w:val="en-GB"/>
        </w:rPr>
        <w:t>J</w:t>
      </w:r>
      <w:r w:rsidR="00671193" w:rsidRPr="00017ABB">
        <w:rPr>
          <w:rFonts w:ascii="Arial" w:hAnsi="Arial" w:cs="Arial"/>
          <w:b/>
          <w:bCs/>
          <w:lang w:val="en-GB"/>
        </w:rPr>
        <w:t>udgment</w:t>
      </w:r>
      <w:r w:rsidR="00671193" w:rsidRPr="001F06DB">
        <w:rPr>
          <w:rFonts w:ascii="Arial" w:hAnsi="Arial" w:cs="Arial"/>
          <w:bCs/>
          <w:lang w:val="en-GB"/>
        </w:rPr>
        <w:t>:</w:t>
      </w:r>
      <w:r w:rsidR="00734ADD" w:rsidRPr="001F06DB">
        <w:rPr>
          <w:rFonts w:ascii="Arial" w:hAnsi="Arial" w:cs="Arial"/>
          <w:bCs/>
          <w:lang w:val="en-GB"/>
        </w:rPr>
        <w:tab/>
      </w:r>
      <w:r w:rsidR="00734ADD" w:rsidRPr="001F06DB">
        <w:rPr>
          <w:rFonts w:ascii="Arial" w:hAnsi="Arial" w:cs="Arial"/>
          <w:bCs/>
          <w:lang w:val="en-GB"/>
        </w:rPr>
        <w:tab/>
      </w:r>
      <w:r w:rsidR="00476A69">
        <w:rPr>
          <w:rFonts w:ascii="Arial" w:hAnsi="Arial" w:cs="Arial"/>
          <w:bCs/>
          <w:lang w:val="en-GB"/>
        </w:rPr>
        <w:tab/>
      </w:r>
      <w:r w:rsidR="003D46B6">
        <w:rPr>
          <w:rFonts w:ascii="Arial" w:hAnsi="Arial" w:cs="Arial"/>
          <w:bCs/>
          <w:lang w:val="en-GB"/>
        </w:rPr>
        <w:t>2</w:t>
      </w:r>
      <w:r w:rsidR="00017ABB">
        <w:rPr>
          <w:rFonts w:ascii="Arial" w:hAnsi="Arial" w:cs="Arial"/>
          <w:bCs/>
          <w:lang w:val="en-GB"/>
        </w:rPr>
        <w:t>8</w:t>
      </w:r>
      <w:r w:rsidR="003D46B6">
        <w:rPr>
          <w:rFonts w:ascii="Arial" w:hAnsi="Arial" w:cs="Arial"/>
          <w:bCs/>
          <w:lang w:val="en-GB"/>
        </w:rPr>
        <w:t xml:space="preserve"> February 2024</w:t>
      </w:r>
      <w:r w:rsidR="009D1AC1" w:rsidRPr="001F06DB">
        <w:rPr>
          <w:rFonts w:ascii="Arial" w:hAnsi="Arial" w:cs="Arial"/>
          <w:bCs/>
          <w:lang w:val="en-GB"/>
        </w:rPr>
        <w:t xml:space="preserve"> </w:t>
      </w:r>
    </w:p>
    <w:p w14:paraId="31EC1E22" w14:textId="77777777" w:rsidR="00494C49" w:rsidRDefault="00494C49" w:rsidP="00476A69">
      <w:pPr>
        <w:spacing w:line="276" w:lineRule="auto"/>
        <w:rPr>
          <w:rFonts w:ascii="Arial" w:hAnsi="Arial" w:cs="Arial"/>
          <w:bCs/>
          <w:u w:val="single"/>
          <w:lang w:val="en-GB"/>
        </w:rPr>
      </w:pPr>
    </w:p>
    <w:p w14:paraId="63B4E8F2" w14:textId="692E57D3" w:rsidR="00FE392A" w:rsidRPr="001F06DB" w:rsidRDefault="00FE392A" w:rsidP="00476A69">
      <w:pPr>
        <w:spacing w:line="276" w:lineRule="auto"/>
        <w:rPr>
          <w:rFonts w:ascii="Arial" w:hAnsi="Arial" w:cs="Arial"/>
          <w:bCs/>
          <w:lang w:val="en-GB"/>
        </w:rPr>
      </w:pPr>
      <w:r w:rsidRPr="001F06DB">
        <w:rPr>
          <w:rFonts w:ascii="Arial" w:hAnsi="Arial" w:cs="Arial"/>
          <w:bCs/>
          <w:u w:val="single"/>
          <w:lang w:val="en-GB"/>
        </w:rPr>
        <w:t>Appearances</w:t>
      </w:r>
      <w:r w:rsidRPr="001F06DB">
        <w:rPr>
          <w:rFonts w:ascii="Arial" w:hAnsi="Arial" w:cs="Arial"/>
          <w:bCs/>
          <w:lang w:val="en-GB"/>
        </w:rPr>
        <w:t>:</w:t>
      </w:r>
    </w:p>
    <w:p w14:paraId="5B068C5B" w14:textId="77777777" w:rsidR="00017ABB" w:rsidRDefault="00017ABB" w:rsidP="00476A69">
      <w:pPr>
        <w:spacing w:line="276" w:lineRule="auto"/>
        <w:rPr>
          <w:rFonts w:ascii="Arial" w:hAnsi="Arial" w:cs="Arial"/>
          <w:bCs/>
          <w:lang w:val="en-GB"/>
        </w:rPr>
      </w:pPr>
    </w:p>
    <w:p w14:paraId="3742678B" w14:textId="2E8AC833" w:rsidR="00F15023" w:rsidRPr="001F06DB" w:rsidRDefault="00FE392A" w:rsidP="00476A69">
      <w:pPr>
        <w:spacing w:line="276" w:lineRule="auto"/>
        <w:rPr>
          <w:rFonts w:ascii="Arial" w:hAnsi="Arial" w:cs="Arial"/>
          <w:bCs/>
          <w:lang w:val="en-GB"/>
        </w:rPr>
      </w:pPr>
      <w:r w:rsidRPr="00017ABB">
        <w:rPr>
          <w:rFonts w:ascii="Arial" w:hAnsi="Arial" w:cs="Arial"/>
          <w:b/>
          <w:bCs/>
          <w:lang w:val="en-GB"/>
        </w:rPr>
        <w:t>For Applicant</w:t>
      </w:r>
      <w:r w:rsidRPr="001F06DB">
        <w:rPr>
          <w:rFonts w:ascii="Arial" w:hAnsi="Arial" w:cs="Arial"/>
          <w:bCs/>
          <w:lang w:val="en-GB"/>
        </w:rPr>
        <w:t>:</w:t>
      </w:r>
      <w:r w:rsidR="00F15023" w:rsidRPr="001F06DB">
        <w:rPr>
          <w:rFonts w:ascii="Arial" w:hAnsi="Arial" w:cs="Arial"/>
          <w:bCs/>
          <w:lang w:val="en-GB"/>
        </w:rPr>
        <w:t xml:space="preserve"> </w:t>
      </w:r>
      <w:r w:rsidR="00BC764E" w:rsidRPr="001F06DB">
        <w:rPr>
          <w:rFonts w:ascii="Arial" w:hAnsi="Arial" w:cs="Arial"/>
          <w:bCs/>
          <w:lang w:val="en-GB"/>
        </w:rPr>
        <w:tab/>
      </w:r>
      <w:r w:rsidR="00476A69">
        <w:rPr>
          <w:rFonts w:ascii="Arial" w:hAnsi="Arial" w:cs="Arial"/>
          <w:bCs/>
          <w:lang w:val="en-GB"/>
        </w:rPr>
        <w:tab/>
      </w:r>
      <w:r w:rsidR="009421A0">
        <w:rPr>
          <w:rFonts w:ascii="ArialMT" w:hAnsi="ArialMT" w:cs="ArialMT"/>
          <w:sz w:val="25"/>
          <w:lang w:val="en-GB" w:eastAsia="en-GB"/>
        </w:rPr>
        <w:t>Adv R Stockwell SC</w:t>
      </w:r>
      <w:r w:rsidR="00447E44">
        <w:rPr>
          <w:rFonts w:ascii="ArialMT" w:hAnsi="ArialMT" w:cs="ArialMT"/>
          <w:sz w:val="25"/>
          <w:lang w:val="en-GB" w:eastAsia="en-GB"/>
        </w:rPr>
        <w:t xml:space="preserve"> and </w:t>
      </w:r>
      <w:r w:rsidR="009421A0">
        <w:rPr>
          <w:rFonts w:ascii="ArialMT" w:hAnsi="ArialMT" w:cs="ArialMT"/>
          <w:sz w:val="25"/>
          <w:lang w:val="en-GB" w:eastAsia="en-GB"/>
        </w:rPr>
        <w:t>Adv L Franck</w:t>
      </w:r>
      <w:r w:rsidR="00734ADD" w:rsidRPr="001F06DB">
        <w:rPr>
          <w:rFonts w:ascii="Arial" w:hAnsi="Arial" w:cs="Arial"/>
          <w:bCs/>
          <w:lang w:val="en-GB"/>
        </w:rPr>
        <w:tab/>
      </w:r>
    </w:p>
    <w:p w14:paraId="098B184A" w14:textId="1D2F0BEB" w:rsidR="00FE392A" w:rsidRDefault="004F6311" w:rsidP="00476A69">
      <w:pPr>
        <w:spacing w:line="276" w:lineRule="auto"/>
        <w:rPr>
          <w:rFonts w:ascii="Arial" w:hAnsi="Arial" w:cs="Arial"/>
          <w:bCs/>
          <w:lang w:val="en-GB"/>
        </w:rPr>
      </w:pPr>
      <w:r w:rsidRPr="00017ABB">
        <w:rPr>
          <w:rFonts w:ascii="Arial" w:hAnsi="Arial" w:cs="Arial"/>
          <w:b/>
          <w:bCs/>
          <w:lang w:val="en-GB"/>
        </w:rPr>
        <w:t>Instructed by</w:t>
      </w:r>
      <w:r w:rsidRPr="001F06DB">
        <w:rPr>
          <w:rFonts w:ascii="Arial" w:hAnsi="Arial" w:cs="Arial"/>
          <w:bCs/>
          <w:lang w:val="en-GB"/>
        </w:rPr>
        <w:t>:</w:t>
      </w:r>
      <w:r w:rsidRPr="001F06DB">
        <w:rPr>
          <w:rFonts w:ascii="Arial" w:hAnsi="Arial" w:cs="Arial"/>
          <w:bCs/>
          <w:lang w:val="en-GB"/>
        </w:rPr>
        <w:tab/>
      </w:r>
      <w:r w:rsidR="00476A69">
        <w:rPr>
          <w:rFonts w:ascii="Arial" w:hAnsi="Arial" w:cs="Arial"/>
          <w:bCs/>
          <w:lang w:val="en-GB"/>
        </w:rPr>
        <w:tab/>
      </w:r>
      <w:r w:rsidR="00B4561E">
        <w:rPr>
          <w:rFonts w:ascii="Arial" w:hAnsi="Arial" w:cs="Arial"/>
          <w:bCs/>
          <w:lang w:val="en-GB"/>
        </w:rPr>
        <w:t xml:space="preserve">Madhlopa &amp; </w:t>
      </w:r>
      <w:r w:rsidR="00B278E4">
        <w:rPr>
          <w:rFonts w:ascii="Arial" w:hAnsi="Arial" w:cs="Arial"/>
          <w:bCs/>
          <w:lang w:val="en-GB"/>
        </w:rPr>
        <w:t>Thenga Inc.</w:t>
      </w:r>
      <w:r w:rsidRPr="001F06DB">
        <w:rPr>
          <w:rFonts w:ascii="Arial" w:hAnsi="Arial" w:cs="Arial"/>
          <w:bCs/>
          <w:lang w:val="en-GB"/>
        </w:rPr>
        <w:tab/>
      </w:r>
    </w:p>
    <w:p w14:paraId="09DF611E" w14:textId="77777777" w:rsidR="00494C49" w:rsidRPr="001F06DB" w:rsidRDefault="00494C49" w:rsidP="00476A69">
      <w:pPr>
        <w:spacing w:line="276" w:lineRule="auto"/>
        <w:rPr>
          <w:rFonts w:ascii="Arial" w:hAnsi="Arial" w:cs="Arial"/>
          <w:bCs/>
          <w:lang w:val="en-GB"/>
        </w:rPr>
      </w:pPr>
    </w:p>
    <w:p w14:paraId="131024EE" w14:textId="30E90379" w:rsidR="00B528A5" w:rsidRPr="001F06DB" w:rsidRDefault="00FE392A" w:rsidP="00476A69">
      <w:pPr>
        <w:spacing w:line="276" w:lineRule="auto"/>
        <w:rPr>
          <w:rFonts w:ascii="Arial" w:hAnsi="Arial" w:cs="Arial"/>
          <w:bCs/>
          <w:lang w:val="en-GB"/>
        </w:rPr>
      </w:pPr>
      <w:r w:rsidRPr="00476A69">
        <w:rPr>
          <w:rFonts w:ascii="Arial" w:hAnsi="Arial" w:cs="Arial"/>
          <w:b/>
          <w:bCs/>
          <w:lang w:val="en-GB"/>
        </w:rPr>
        <w:t xml:space="preserve">For </w:t>
      </w:r>
      <w:r w:rsidR="00BC764E" w:rsidRPr="00476A69">
        <w:rPr>
          <w:rFonts w:ascii="Arial" w:hAnsi="Arial" w:cs="Arial"/>
          <w:b/>
          <w:bCs/>
          <w:lang w:val="en-GB"/>
        </w:rPr>
        <w:t>Respondent</w:t>
      </w:r>
      <w:r w:rsidR="006C3AC4" w:rsidRPr="00476A69">
        <w:rPr>
          <w:rFonts w:ascii="Arial" w:hAnsi="Arial" w:cs="Arial"/>
          <w:b/>
          <w:bCs/>
          <w:lang w:val="en-GB"/>
        </w:rPr>
        <w:t>s</w:t>
      </w:r>
      <w:r w:rsidR="00734ADD" w:rsidRPr="001F06DB">
        <w:rPr>
          <w:rFonts w:ascii="Arial" w:hAnsi="Arial" w:cs="Arial"/>
          <w:bCs/>
          <w:lang w:val="en-GB"/>
        </w:rPr>
        <w:t>:</w:t>
      </w:r>
      <w:r w:rsidR="00BC764E" w:rsidRPr="001F06DB">
        <w:rPr>
          <w:rFonts w:ascii="Arial" w:hAnsi="Arial" w:cs="Arial"/>
          <w:bCs/>
          <w:lang w:val="en-GB"/>
        </w:rPr>
        <w:t xml:space="preserve"> </w:t>
      </w:r>
      <w:r w:rsidR="00BC764E" w:rsidRPr="001F06DB">
        <w:rPr>
          <w:rFonts w:ascii="Arial" w:hAnsi="Arial" w:cs="Arial"/>
          <w:bCs/>
          <w:lang w:val="en-GB"/>
        </w:rPr>
        <w:tab/>
      </w:r>
      <w:r w:rsidR="00476A69">
        <w:rPr>
          <w:rFonts w:ascii="Arial" w:hAnsi="Arial" w:cs="Arial"/>
          <w:bCs/>
          <w:lang w:val="en-GB"/>
        </w:rPr>
        <w:tab/>
      </w:r>
      <w:r w:rsidR="00CA540E">
        <w:rPr>
          <w:rFonts w:ascii="ArialMT" w:hAnsi="ArialMT" w:cs="ArialMT"/>
          <w:sz w:val="25"/>
          <w:lang w:val="en-GB" w:eastAsia="en-GB"/>
        </w:rPr>
        <w:t>Adv G Elliott SC</w:t>
      </w:r>
      <w:r w:rsidR="00734ADD" w:rsidRPr="001F06DB">
        <w:rPr>
          <w:rFonts w:ascii="Arial" w:hAnsi="Arial" w:cs="Arial"/>
          <w:bCs/>
          <w:lang w:val="en-GB"/>
        </w:rPr>
        <w:tab/>
      </w:r>
      <w:r w:rsidR="00BC764E" w:rsidRPr="001F06DB">
        <w:rPr>
          <w:rFonts w:ascii="Arial" w:hAnsi="Arial" w:cs="Arial"/>
          <w:bCs/>
          <w:lang w:val="en-GB"/>
        </w:rPr>
        <w:t xml:space="preserve"> </w:t>
      </w:r>
    </w:p>
    <w:p w14:paraId="0251DD82" w14:textId="185AAF3A" w:rsidR="00B528A5" w:rsidRPr="00DC7AFE" w:rsidRDefault="004F6311" w:rsidP="00476A69">
      <w:pPr>
        <w:spacing w:line="276" w:lineRule="auto"/>
        <w:rPr>
          <w:rFonts w:ascii="Arial" w:hAnsi="Arial" w:cs="Arial"/>
          <w:lang w:val="en-GB"/>
        </w:rPr>
      </w:pPr>
      <w:r w:rsidRPr="00476A69">
        <w:rPr>
          <w:rFonts w:ascii="Arial" w:hAnsi="Arial" w:cs="Arial"/>
          <w:b/>
          <w:bCs/>
          <w:lang w:val="en-GB"/>
        </w:rPr>
        <w:t>Instructed by</w:t>
      </w:r>
      <w:r w:rsidRPr="001F06DB">
        <w:rPr>
          <w:rFonts w:ascii="Arial" w:hAnsi="Arial" w:cs="Arial"/>
          <w:bCs/>
          <w:lang w:val="en-GB"/>
        </w:rPr>
        <w:t>:</w:t>
      </w:r>
      <w:r w:rsidRPr="001F06DB">
        <w:rPr>
          <w:rFonts w:ascii="Arial" w:hAnsi="Arial" w:cs="Arial"/>
          <w:bCs/>
          <w:lang w:val="en-GB"/>
        </w:rPr>
        <w:tab/>
      </w:r>
      <w:r w:rsidR="00476A69">
        <w:rPr>
          <w:rFonts w:ascii="Arial" w:hAnsi="Arial" w:cs="Arial"/>
          <w:bCs/>
          <w:lang w:val="en-GB"/>
        </w:rPr>
        <w:tab/>
      </w:r>
      <w:r w:rsidR="00576619">
        <w:rPr>
          <w:rFonts w:ascii="Arial" w:hAnsi="Arial" w:cs="Arial"/>
          <w:bCs/>
          <w:lang w:val="en-GB"/>
        </w:rPr>
        <w:t xml:space="preserve">Thomson Wilks </w:t>
      </w:r>
      <w:r w:rsidR="00AA3F12">
        <w:rPr>
          <w:rFonts w:ascii="Arial" w:hAnsi="Arial" w:cs="Arial"/>
          <w:bCs/>
          <w:lang w:val="en-GB"/>
        </w:rPr>
        <w:t>I</w:t>
      </w:r>
      <w:r w:rsidR="00576619">
        <w:rPr>
          <w:rFonts w:ascii="Arial" w:hAnsi="Arial" w:cs="Arial"/>
          <w:bCs/>
          <w:lang w:val="en-GB"/>
        </w:rPr>
        <w:t>nc.</w:t>
      </w:r>
    </w:p>
    <w:bookmarkEnd w:id="0"/>
    <w:p w14:paraId="19AB66C5" w14:textId="77777777" w:rsidR="00B528A5" w:rsidRPr="00DC7AFE" w:rsidRDefault="00B528A5" w:rsidP="00476A69">
      <w:pPr>
        <w:spacing w:line="276" w:lineRule="auto"/>
        <w:rPr>
          <w:rFonts w:ascii="Arial" w:hAnsi="Arial" w:cs="Arial"/>
          <w:lang w:val="en-GB"/>
        </w:rPr>
      </w:pPr>
    </w:p>
    <w:sectPr w:rsidR="00B528A5" w:rsidRPr="00DC7AFE" w:rsidSect="00560C2A">
      <w:headerReference w:type="default" r:id="rId9"/>
      <w:footerReference w:type="default" r:id="rId10"/>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F93B" w14:textId="77777777" w:rsidR="007D7442" w:rsidRDefault="007D7442">
      <w:pPr>
        <w:spacing w:line="20" w:lineRule="exact"/>
        <w:rPr>
          <w:rFonts w:cs="Times New Roman"/>
          <w:szCs w:val="24"/>
        </w:rPr>
      </w:pPr>
    </w:p>
  </w:endnote>
  <w:endnote w:type="continuationSeparator" w:id="0">
    <w:p w14:paraId="36E91D1A" w14:textId="77777777" w:rsidR="007D7442" w:rsidRDefault="007D7442" w:rsidP="00023FA2">
      <w:r>
        <w:rPr>
          <w:rFonts w:cs="Times New Roman"/>
          <w:szCs w:val="24"/>
        </w:rPr>
        <w:t xml:space="preserve"> </w:t>
      </w:r>
    </w:p>
  </w:endnote>
  <w:endnote w:type="continuationNotice" w:id="1">
    <w:p w14:paraId="46E6AAF8" w14:textId="77777777" w:rsidR="007D7442" w:rsidRDefault="007D7442"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rigold">
    <w:altName w:val="Mistral"/>
    <w:charset w:val="00"/>
    <w:family w:val="script"/>
    <w:pitch w:val="variable"/>
    <w:sig w:usb0="00000007"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161905"/>
      <w:docPartObj>
        <w:docPartGallery w:val="Page Numbers (Bottom of Page)"/>
        <w:docPartUnique/>
      </w:docPartObj>
    </w:sdtPr>
    <w:sdtEndPr>
      <w:rPr>
        <w:noProof/>
      </w:rPr>
    </w:sdtEndPr>
    <w:sdtContent>
      <w:p w14:paraId="29D6B708" w14:textId="5F2E99AF" w:rsidR="004A6139" w:rsidRDefault="004A6139">
        <w:pPr>
          <w:pStyle w:val="Footer"/>
          <w:jc w:val="right"/>
        </w:pPr>
        <w:r>
          <w:fldChar w:fldCharType="begin"/>
        </w:r>
        <w:r>
          <w:instrText xml:space="preserve"> PAGE   \* MERGEFORMAT </w:instrText>
        </w:r>
        <w:r>
          <w:fldChar w:fldCharType="separate"/>
        </w:r>
        <w:r w:rsidR="00131FAB">
          <w:rPr>
            <w:noProof/>
          </w:rPr>
          <w:t>14</w:t>
        </w:r>
        <w:r>
          <w:rPr>
            <w:noProof/>
          </w:rPr>
          <w:fldChar w:fldCharType="end"/>
        </w:r>
      </w:p>
    </w:sdtContent>
  </w:sdt>
  <w:p w14:paraId="6E9BDE46" w14:textId="77777777" w:rsidR="004A6139" w:rsidRDefault="004A61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5EDE" w14:textId="77777777" w:rsidR="007D7442" w:rsidRDefault="007D7442" w:rsidP="00023FA2">
      <w:r>
        <w:rPr>
          <w:rFonts w:cs="Times New Roman"/>
          <w:szCs w:val="24"/>
        </w:rPr>
        <w:separator/>
      </w:r>
    </w:p>
  </w:footnote>
  <w:footnote w:type="continuationSeparator" w:id="0">
    <w:p w14:paraId="17D9C19A" w14:textId="77777777" w:rsidR="007D7442" w:rsidRDefault="007D7442">
      <w:r>
        <w:continuationSeparator/>
      </w:r>
    </w:p>
  </w:footnote>
  <w:footnote w:id="1">
    <w:p w14:paraId="6A6E70B2" w14:textId="5DD9177E" w:rsidR="00886758" w:rsidRPr="00A03B14" w:rsidRDefault="00886758" w:rsidP="00AF1317">
      <w:pPr>
        <w:pStyle w:val="FootnoteText"/>
        <w:ind w:left="567" w:hanging="567"/>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See generally </w:t>
      </w:r>
      <w:r w:rsidRPr="00A03B14">
        <w:rPr>
          <w:rFonts w:ascii="Arial" w:hAnsi="Arial" w:cs="Arial"/>
          <w:i/>
          <w:iCs/>
          <w:sz w:val="20"/>
          <w:lang w:val="en-ZA"/>
        </w:rPr>
        <w:t>Affordable Medicines Trust and Others v Minister of Health and Another</w:t>
      </w:r>
      <w:r w:rsidR="00612840" w:rsidRPr="00A03B14">
        <w:rPr>
          <w:rFonts w:ascii="Arial" w:hAnsi="Arial" w:cs="Arial"/>
          <w:i/>
          <w:iCs/>
          <w:sz w:val="20"/>
          <w:lang w:val="en-ZA"/>
        </w:rPr>
        <w:t xml:space="preserve"> </w:t>
      </w:r>
      <w:r w:rsidR="00612840" w:rsidRPr="00A03B14">
        <w:rPr>
          <w:rFonts w:ascii="Arial" w:hAnsi="Arial" w:cs="Arial"/>
          <w:sz w:val="20"/>
          <w:lang w:val="en-ZA"/>
        </w:rPr>
        <w:t xml:space="preserve">2006 (3) SA 247 (CC); </w:t>
      </w:r>
      <w:r w:rsidR="00612840" w:rsidRPr="00A03B14">
        <w:rPr>
          <w:rFonts w:ascii="Arial" w:hAnsi="Arial" w:cs="Arial"/>
          <w:i/>
          <w:iCs/>
          <w:sz w:val="20"/>
          <w:lang w:val="en-ZA"/>
        </w:rPr>
        <w:t>Moolman v Estate Moolman</w:t>
      </w:r>
      <w:r w:rsidR="00612840" w:rsidRPr="00A03B14">
        <w:rPr>
          <w:rFonts w:ascii="Arial" w:hAnsi="Arial" w:cs="Arial"/>
          <w:sz w:val="20"/>
          <w:lang w:val="en-ZA"/>
        </w:rPr>
        <w:t xml:space="preserve"> 1927 CPD 27.</w:t>
      </w:r>
    </w:p>
  </w:footnote>
  <w:footnote w:id="2">
    <w:p w14:paraId="36F7F5C6" w14:textId="7FCF33E7" w:rsidR="00A63539" w:rsidRPr="00A03B14" w:rsidRDefault="00A63539" w:rsidP="008F3D93">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008F3D93" w:rsidRPr="00A03B14">
        <w:rPr>
          <w:rFonts w:ascii="Arial" w:hAnsi="Arial" w:cs="Arial"/>
          <w:sz w:val="20"/>
          <w:lang w:val="en-ZA"/>
        </w:rPr>
        <w:t>Uniform Rules of Court, Rule 28(10).</w:t>
      </w:r>
    </w:p>
  </w:footnote>
  <w:footnote w:id="3">
    <w:p w14:paraId="681DB757" w14:textId="1B13B5C1" w:rsidR="002C7575" w:rsidRPr="00A03B14" w:rsidRDefault="002C7575" w:rsidP="002C7BF4">
      <w:pPr>
        <w:pStyle w:val="FootnoteText"/>
        <w:ind w:left="567" w:hanging="567"/>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003425BB" w:rsidRPr="00A03B14">
        <w:rPr>
          <w:rFonts w:ascii="Arial" w:hAnsi="Arial" w:cs="Arial"/>
          <w:sz w:val="20"/>
          <w:lang w:val="en-ZA"/>
        </w:rPr>
        <w:t xml:space="preserve">Superior Courts Act, 10 of 2013, section 19(d); </w:t>
      </w:r>
      <w:r w:rsidR="003A2ED7" w:rsidRPr="00A03B14">
        <w:rPr>
          <w:rFonts w:ascii="Arial" w:hAnsi="Arial" w:cs="Arial"/>
          <w:i/>
          <w:iCs/>
          <w:sz w:val="20"/>
          <w:lang w:val="en-ZA"/>
        </w:rPr>
        <w:t>Ciba-Geigy</w:t>
      </w:r>
      <w:r w:rsidR="00CB2532" w:rsidRPr="00A03B14">
        <w:rPr>
          <w:rFonts w:ascii="Arial" w:hAnsi="Arial" w:cs="Arial"/>
          <w:i/>
          <w:iCs/>
          <w:sz w:val="20"/>
          <w:lang w:val="en-ZA"/>
        </w:rPr>
        <w:t xml:space="preserve"> (Pty) Ltd v Lusshof Farms</w:t>
      </w:r>
      <w:r w:rsidR="00CB2532" w:rsidRPr="00A03B14">
        <w:rPr>
          <w:rFonts w:ascii="Arial" w:hAnsi="Arial" w:cs="Arial"/>
          <w:sz w:val="20"/>
          <w:lang w:val="en-ZA"/>
        </w:rPr>
        <w:t xml:space="preserve"> </w:t>
      </w:r>
      <w:r w:rsidR="00CB2532" w:rsidRPr="00A03B14">
        <w:rPr>
          <w:rFonts w:ascii="Arial" w:hAnsi="Arial" w:cs="Arial"/>
          <w:i/>
          <w:iCs/>
          <w:sz w:val="20"/>
          <w:lang w:val="en-ZA"/>
        </w:rPr>
        <w:t>(Pty) Ltd en ‘n Ander</w:t>
      </w:r>
      <w:r w:rsidR="002C7BF4" w:rsidRPr="00A03B14">
        <w:rPr>
          <w:rFonts w:ascii="Arial" w:hAnsi="Arial" w:cs="Arial"/>
          <w:sz w:val="20"/>
          <w:lang w:val="en-ZA"/>
        </w:rPr>
        <w:t xml:space="preserve"> 2002 (2) SA 447 (SCA) (“</w:t>
      </w:r>
      <w:r w:rsidR="002C7BF4" w:rsidRPr="00A03B14">
        <w:rPr>
          <w:rFonts w:ascii="Arial" w:hAnsi="Arial" w:cs="Arial"/>
          <w:b/>
          <w:bCs/>
          <w:sz w:val="20"/>
          <w:lang w:val="en-ZA"/>
        </w:rPr>
        <w:t>Ciba-Geigy</w:t>
      </w:r>
      <w:r w:rsidR="002C7BF4" w:rsidRPr="00A03B14">
        <w:rPr>
          <w:rFonts w:ascii="Arial" w:hAnsi="Arial" w:cs="Arial"/>
          <w:sz w:val="20"/>
          <w:lang w:val="en-ZA"/>
        </w:rPr>
        <w:t>”).</w:t>
      </w:r>
    </w:p>
  </w:footnote>
  <w:footnote w:id="4">
    <w:p w14:paraId="7CC3D5E3" w14:textId="0B43CF0C" w:rsidR="00AF1317" w:rsidRPr="00A03B14" w:rsidRDefault="00AF1317" w:rsidP="00AF1317">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Whittaker v Roos</w:t>
      </w:r>
      <w:r w:rsidR="00E85B23" w:rsidRPr="00A03B14">
        <w:rPr>
          <w:rFonts w:ascii="Arial" w:hAnsi="Arial" w:cs="Arial"/>
          <w:i/>
          <w:iCs/>
          <w:sz w:val="20"/>
          <w:lang w:val="en-ZA"/>
        </w:rPr>
        <w:t xml:space="preserve"> and Another</w:t>
      </w:r>
      <w:r w:rsidR="00E85B23" w:rsidRPr="00A03B14">
        <w:rPr>
          <w:rFonts w:ascii="Arial" w:hAnsi="Arial" w:cs="Arial"/>
          <w:sz w:val="20"/>
          <w:lang w:val="en-ZA"/>
        </w:rPr>
        <w:t xml:space="preserve"> 1911 TPD 1092 at 1102.</w:t>
      </w:r>
    </w:p>
  </w:footnote>
  <w:footnote w:id="5">
    <w:p w14:paraId="3846104B" w14:textId="1663352C" w:rsidR="00B0270C" w:rsidRPr="00A03B14" w:rsidRDefault="00B0270C" w:rsidP="00B14711">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002F4E47" w:rsidRPr="00A03B14">
        <w:rPr>
          <w:rFonts w:ascii="Arial" w:hAnsi="Arial" w:cs="Arial"/>
          <w:sz w:val="20"/>
        </w:rPr>
        <w:tab/>
      </w:r>
      <w:r w:rsidR="002F4E47" w:rsidRPr="00A03B14">
        <w:rPr>
          <w:rFonts w:ascii="Arial" w:hAnsi="Arial" w:cs="Arial"/>
          <w:i/>
          <w:iCs/>
          <w:sz w:val="20"/>
          <w:lang w:val="en-GB"/>
        </w:rPr>
        <w:t>Rishton v Rishton</w:t>
      </w:r>
      <w:r w:rsidR="00B14711" w:rsidRPr="00A03B14">
        <w:rPr>
          <w:rFonts w:ascii="Arial" w:hAnsi="Arial" w:cs="Arial"/>
          <w:sz w:val="20"/>
          <w:lang w:val="en-GB"/>
        </w:rPr>
        <w:t xml:space="preserve"> 1912 TPD 718 at 719.</w:t>
      </w:r>
    </w:p>
  </w:footnote>
  <w:footnote w:id="6">
    <w:p w14:paraId="2924ECB7" w14:textId="5981BD39" w:rsidR="00825863" w:rsidRPr="00A03B14" w:rsidRDefault="00825863" w:rsidP="002A73A6">
      <w:pPr>
        <w:pStyle w:val="FootnoteText"/>
        <w:ind w:left="567" w:hanging="567"/>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006E7632" w:rsidRPr="00A03B14">
        <w:rPr>
          <w:rFonts w:ascii="Arial" w:hAnsi="Arial" w:cs="Arial"/>
          <w:i/>
          <w:iCs/>
          <w:sz w:val="20"/>
          <w:lang w:val="en-GB"/>
        </w:rPr>
        <w:t>Media 24 (Pty) Ltd v Nhleko</w:t>
      </w:r>
      <w:r w:rsidR="006E7632" w:rsidRPr="00A03B14">
        <w:rPr>
          <w:rFonts w:ascii="Arial" w:hAnsi="Arial" w:cs="Arial"/>
          <w:sz w:val="20"/>
          <w:lang w:val="en-ZA"/>
        </w:rPr>
        <w:t xml:space="preserve"> (Nicholls JA, Gorven, Hughes and</w:t>
      </w:r>
      <w:r w:rsidR="00A56993" w:rsidRPr="00A03B14">
        <w:rPr>
          <w:rFonts w:ascii="Arial" w:hAnsi="Arial" w:cs="Arial"/>
          <w:sz w:val="20"/>
          <w:lang w:val="en-ZA"/>
        </w:rPr>
        <w:t xml:space="preserve"> Goosen </w:t>
      </w:r>
      <w:r w:rsidR="006E7632" w:rsidRPr="00A03B14">
        <w:rPr>
          <w:rFonts w:ascii="Arial" w:hAnsi="Arial" w:cs="Arial"/>
          <w:sz w:val="20"/>
          <w:lang w:val="en-ZA"/>
        </w:rPr>
        <w:t>J</w:t>
      </w:r>
      <w:r w:rsidR="00A56993" w:rsidRPr="00A03B14">
        <w:rPr>
          <w:rFonts w:ascii="Arial" w:hAnsi="Arial" w:cs="Arial"/>
          <w:sz w:val="20"/>
          <w:lang w:val="en-ZA"/>
        </w:rPr>
        <w:t>JA and Unterhalter AJA</w:t>
      </w:r>
      <w:r w:rsidR="006E7632" w:rsidRPr="00A03B14">
        <w:rPr>
          <w:rFonts w:ascii="Arial" w:hAnsi="Arial" w:cs="Arial"/>
          <w:sz w:val="20"/>
          <w:lang w:val="en-ZA"/>
        </w:rPr>
        <w:t>) 2023 ZASCA 77</w:t>
      </w:r>
      <w:r w:rsidR="00A56993" w:rsidRPr="00A03B14">
        <w:rPr>
          <w:rFonts w:ascii="Arial" w:hAnsi="Arial" w:cs="Arial"/>
          <w:sz w:val="20"/>
          <w:lang w:val="en-ZA"/>
        </w:rPr>
        <w:t xml:space="preserve"> (29 May 2023)</w:t>
      </w:r>
      <w:r w:rsidR="006E7632" w:rsidRPr="00A03B14">
        <w:rPr>
          <w:rFonts w:ascii="Arial" w:hAnsi="Arial" w:cs="Arial"/>
          <w:sz w:val="20"/>
          <w:lang w:val="en-ZA"/>
        </w:rPr>
        <w:t>,</w:t>
      </w:r>
      <w:r w:rsidR="00A56993" w:rsidRPr="00A03B14">
        <w:rPr>
          <w:rFonts w:ascii="Arial" w:hAnsi="Arial" w:cs="Arial"/>
          <w:sz w:val="20"/>
          <w:lang w:val="en-ZA"/>
        </w:rPr>
        <w:t xml:space="preserve"> paras [16]-[19]</w:t>
      </w:r>
      <w:r w:rsidR="0093031C" w:rsidRPr="00A03B14">
        <w:rPr>
          <w:rFonts w:ascii="Arial" w:hAnsi="Arial" w:cs="Arial"/>
          <w:sz w:val="20"/>
          <w:lang w:val="en-ZA"/>
        </w:rPr>
        <w:t xml:space="preserve"> (“</w:t>
      </w:r>
      <w:r w:rsidR="0093031C" w:rsidRPr="00A03B14">
        <w:rPr>
          <w:rFonts w:ascii="Arial" w:hAnsi="Arial" w:cs="Arial"/>
          <w:b/>
          <w:bCs/>
          <w:sz w:val="20"/>
          <w:lang w:val="en-ZA"/>
        </w:rPr>
        <w:t>Media 24</w:t>
      </w:r>
      <w:r w:rsidR="0093031C" w:rsidRPr="00A03B14">
        <w:rPr>
          <w:rFonts w:ascii="Arial" w:hAnsi="Arial" w:cs="Arial"/>
          <w:sz w:val="20"/>
          <w:lang w:val="en-ZA"/>
        </w:rPr>
        <w:t>”)</w:t>
      </w:r>
      <w:r w:rsidR="006E7632" w:rsidRPr="00A03B14">
        <w:rPr>
          <w:rFonts w:ascii="Arial" w:hAnsi="Arial" w:cs="Arial"/>
          <w:sz w:val="20"/>
          <w:lang w:val="en-ZA"/>
        </w:rPr>
        <w:t>;</w:t>
      </w:r>
      <w:r w:rsidR="00A56993" w:rsidRPr="00A03B14">
        <w:rPr>
          <w:rFonts w:ascii="Arial" w:hAnsi="Arial" w:cs="Arial"/>
          <w:sz w:val="20"/>
          <w:lang w:val="en-ZA"/>
        </w:rPr>
        <w:t xml:space="preserve"> and see </w:t>
      </w:r>
      <w:r w:rsidR="00A56993" w:rsidRPr="00A03B14">
        <w:rPr>
          <w:rFonts w:ascii="Arial" w:hAnsi="Arial" w:cs="Arial"/>
          <w:i/>
          <w:iCs/>
          <w:sz w:val="20"/>
          <w:lang w:val="en-ZA"/>
        </w:rPr>
        <w:t>Trans</w:t>
      </w:r>
      <w:r w:rsidR="002A73A6" w:rsidRPr="00A03B14">
        <w:rPr>
          <w:rFonts w:ascii="Arial" w:hAnsi="Arial" w:cs="Arial"/>
          <w:i/>
          <w:iCs/>
          <w:sz w:val="20"/>
          <w:lang w:val="en-ZA"/>
        </w:rPr>
        <w:t>-Drakensberg Bank Ltd (under judicial management) v Combined Engineering (Pty) Ltd</w:t>
      </w:r>
      <w:r w:rsidR="002A73A6" w:rsidRPr="00A03B14">
        <w:rPr>
          <w:rFonts w:ascii="Arial" w:hAnsi="Arial" w:cs="Arial"/>
          <w:sz w:val="20"/>
          <w:lang w:val="en-ZA"/>
        </w:rPr>
        <w:t xml:space="preserve"> 1967 (3) SA 632 (D) at 638B and 641</w:t>
      </w:r>
      <w:r w:rsidR="004B0CBB" w:rsidRPr="00A03B14">
        <w:rPr>
          <w:rFonts w:ascii="Arial" w:hAnsi="Arial" w:cs="Arial"/>
          <w:sz w:val="20"/>
          <w:lang w:val="en-ZA"/>
        </w:rPr>
        <w:t>B (“</w:t>
      </w:r>
      <w:r w:rsidR="004B0CBB" w:rsidRPr="00A03B14">
        <w:rPr>
          <w:rFonts w:ascii="Arial" w:hAnsi="Arial" w:cs="Arial"/>
          <w:b/>
          <w:bCs/>
          <w:sz w:val="20"/>
          <w:lang w:val="en-ZA"/>
        </w:rPr>
        <w:t>Trans-Drakensberg</w:t>
      </w:r>
      <w:r w:rsidR="001859F6" w:rsidRPr="00A03B14">
        <w:rPr>
          <w:rFonts w:ascii="Arial" w:hAnsi="Arial" w:cs="Arial"/>
          <w:b/>
          <w:bCs/>
          <w:sz w:val="20"/>
          <w:lang w:val="en-ZA"/>
        </w:rPr>
        <w:t xml:space="preserve"> Bank</w:t>
      </w:r>
      <w:r w:rsidR="004B0CBB" w:rsidRPr="00A03B14">
        <w:rPr>
          <w:rFonts w:ascii="Arial" w:hAnsi="Arial" w:cs="Arial"/>
          <w:sz w:val="20"/>
          <w:lang w:val="en-ZA"/>
        </w:rPr>
        <w:t>”).</w:t>
      </w:r>
    </w:p>
  </w:footnote>
  <w:footnote w:id="7">
    <w:p w14:paraId="7751B55B" w14:textId="2A7E24FE" w:rsidR="0018133C" w:rsidRPr="00A03B14" w:rsidRDefault="0018133C" w:rsidP="004F3314">
      <w:pPr>
        <w:pStyle w:val="FootnoteText"/>
        <w:ind w:left="567" w:hanging="567"/>
        <w:jc w:val="both"/>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Caxton Ltd and Others v Reeva Forman (Pty) Ltd and Another</w:t>
      </w:r>
      <w:r w:rsidRPr="00A03B14">
        <w:rPr>
          <w:rFonts w:ascii="Arial" w:hAnsi="Arial" w:cs="Arial"/>
          <w:sz w:val="20"/>
          <w:lang w:val="en-ZA"/>
        </w:rPr>
        <w:t xml:space="preserve"> 19</w:t>
      </w:r>
      <w:r w:rsidR="004F3314" w:rsidRPr="00A03B14">
        <w:rPr>
          <w:rFonts w:ascii="Arial" w:hAnsi="Arial" w:cs="Arial"/>
          <w:sz w:val="20"/>
          <w:lang w:val="en-ZA"/>
        </w:rPr>
        <w:t>90 (3) SA 547 (A) (“</w:t>
      </w:r>
      <w:r w:rsidR="004F3314" w:rsidRPr="00A03B14">
        <w:rPr>
          <w:rFonts w:ascii="Arial" w:hAnsi="Arial" w:cs="Arial"/>
          <w:b/>
          <w:bCs/>
          <w:sz w:val="20"/>
          <w:lang w:val="en-ZA"/>
        </w:rPr>
        <w:t>Caxton v Reeva Forman</w:t>
      </w:r>
      <w:r w:rsidR="004F3314" w:rsidRPr="00A03B14">
        <w:rPr>
          <w:rFonts w:ascii="Arial" w:hAnsi="Arial" w:cs="Arial"/>
          <w:sz w:val="20"/>
          <w:lang w:val="en-ZA"/>
        </w:rPr>
        <w:t>”).</w:t>
      </w:r>
    </w:p>
  </w:footnote>
  <w:footnote w:id="8">
    <w:p w14:paraId="10D6D9E0" w14:textId="79CE1607" w:rsidR="00631C68" w:rsidRPr="00A03B14" w:rsidRDefault="00631C68">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Caxton v Reeva Forman</w:t>
      </w:r>
      <w:r w:rsidRPr="00A03B14">
        <w:rPr>
          <w:rFonts w:ascii="Arial" w:hAnsi="Arial" w:cs="Arial"/>
          <w:sz w:val="20"/>
          <w:lang w:val="en-ZA"/>
        </w:rPr>
        <w:t xml:space="preserve"> at 565G-I</w:t>
      </w:r>
      <w:r w:rsidR="00891489" w:rsidRPr="00A03B14">
        <w:rPr>
          <w:rFonts w:ascii="Arial" w:hAnsi="Arial" w:cs="Arial"/>
          <w:sz w:val="20"/>
          <w:lang w:val="en-ZA"/>
        </w:rPr>
        <w:t>.</w:t>
      </w:r>
    </w:p>
  </w:footnote>
  <w:footnote w:id="9">
    <w:p w14:paraId="7614DEA7" w14:textId="5D3EE82F" w:rsidR="00785BCE" w:rsidRPr="00A03B14" w:rsidRDefault="00785BCE">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Ciba-Geigy</w:t>
      </w:r>
      <w:r w:rsidRPr="00A03B14">
        <w:rPr>
          <w:rFonts w:ascii="Arial" w:hAnsi="Arial" w:cs="Arial"/>
          <w:sz w:val="20"/>
          <w:lang w:val="en-ZA"/>
        </w:rPr>
        <w:t xml:space="preserve"> paras [34]</w:t>
      </w:r>
      <w:r w:rsidR="0061615F" w:rsidRPr="00A03B14">
        <w:rPr>
          <w:rFonts w:ascii="Arial" w:hAnsi="Arial" w:cs="Arial"/>
          <w:sz w:val="20"/>
          <w:lang w:val="en-ZA"/>
        </w:rPr>
        <w:t>-[43].</w:t>
      </w:r>
    </w:p>
  </w:footnote>
  <w:footnote w:id="10">
    <w:p w14:paraId="5BC7063E" w14:textId="7106AEAB" w:rsidR="00911834" w:rsidRPr="00A03B14" w:rsidRDefault="00911834" w:rsidP="004A6139">
      <w:pPr>
        <w:tabs>
          <w:tab w:val="left" w:pos="567"/>
        </w:tabs>
        <w:ind w:left="567" w:hanging="567"/>
        <w:rPr>
          <w:rFonts w:ascii="Arial" w:hAnsi="Arial" w:cs="Arial"/>
          <w:sz w:val="20"/>
          <w:lang w:val="en-GB"/>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rPr>
        <w:tab/>
      </w:r>
      <w:r w:rsidRPr="00A03B14">
        <w:rPr>
          <w:rFonts w:ascii="Arial" w:hAnsi="Arial" w:cs="Arial"/>
          <w:i/>
          <w:iCs/>
          <w:sz w:val="20"/>
          <w:lang w:val="en-GB"/>
        </w:rPr>
        <w:t>Consol Ltd t/a Consol Glass v Twee Jonge Gezellen (Pty) Ltd and Another</w:t>
      </w:r>
      <w:r w:rsidRPr="00A03B14">
        <w:rPr>
          <w:rFonts w:ascii="Arial" w:hAnsi="Arial" w:cs="Arial"/>
          <w:sz w:val="20"/>
          <w:lang w:val="en-GB"/>
        </w:rPr>
        <w:t xml:space="preserve"> (2) 2005 (6) SA 23 (C)</w:t>
      </w:r>
      <w:r w:rsidR="008241C4" w:rsidRPr="00A03B14">
        <w:rPr>
          <w:rFonts w:ascii="Arial" w:hAnsi="Arial" w:cs="Arial"/>
          <w:sz w:val="20"/>
          <w:lang w:val="en-GB"/>
        </w:rPr>
        <w:t xml:space="preserve"> at [21]</w:t>
      </w:r>
      <w:r w:rsidR="00D95819">
        <w:rPr>
          <w:rFonts w:ascii="Arial" w:hAnsi="Arial" w:cs="Arial"/>
          <w:sz w:val="20"/>
          <w:lang w:val="en-GB"/>
        </w:rPr>
        <w:t>.</w:t>
      </w:r>
    </w:p>
  </w:footnote>
  <w:footnote w:id="11">
    <w:p w14:paraId="5B074C4E" w14:textId="26A916F9" w:rsidR="0047510A" w:rsidRPr="00A03B14" w:rsidRDefault="0047510A">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See, for example, </w:t>
      </w:r>
      <w:r w:rsidRPr="00A03B14">
        <w:rPr>
          <w:rFonts w:ascii="Arial" w:hAnsi="Arial" w:cs="Arial"/>
          <w:i/>
          <w:iCs/>
          <w:sz w:val="20"/>
          <w:lang w:val="en-ZA"/>
        </w:rPr>
        <w:t>Krishke v Road Accident Fund</w:t>
      </w:r>
      <w:r w:rsidR="00FB4155" w:rsidRPr="00A03B14">
        <w:rPr>
          <w:rFonts w:ascii="Arial" w:hAnsi="Arial" w:cs="Arial"/>
          <w:sz w:val="20"/>
          <w:lang w:val="en-ZA"/>
        </w:rPr>
        <w:t xml:space="preserve"> 2004 (4) SA 358 (W) at 363B.</w:t>
      </w:r>
    </w:p>
  </w:footnote>
  <w:footnote w:id="12">
    <w:p w14:paraId="4266D3F6" w14:textId="12215B18" w:rsidR="007C00C7" w:rsidRPr="00A03B14" w:rsidRDefault="007C00C7" w:rsidP="00F95ED0">
      <w:pPr>
        <w:pStyle w:val="FootnoteText"/>
        <w:ind w:left="567" w:hanging="567"/>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Pretorius and Another v Transport</w:t>
      </w:r>
      <w:r w:rsidR="00F95ED0" w:rsidRPr="00A03B14">
        <w:rPr>
          <w:rFonts w:ascii="Arial" w:hAnsi="Arial" w:cs="Arial"/>
          <w:i/>
          <w:iCs/>
          <w:sz w:val="20"/>
          <w:lang w:val="en-ZA"/>
        </w:rPr>
        <w:t xml:space="preserve"> Pension Fund and Others</w:t>
      </w:r>
      <w:r w:rsidR="00F95ED0" w:rsidRPr="00A03B14">
        <w:rPr>
          <w:rFonts w:ascii="Arial" w:hAnsi="Arial" w:cs="Arial"/>
          <w:sz w:val="20"/>
          <w:lang w:val="en-ZA"/>
        </w:rPr>
        <w:t xml:space="preserve"> 2019 (2) SA 37 (CC), para [15].</w:t>
      </w:r>
    </w:p>
  </w:footnote>
  <w:footnote w:id="13">
    <w:p w14:paraId="5102ED0E" w14:textId="48AAA027" w:rsidR="00CF6743" w:rsidRPr="00A03B14" w:rsidRDefault="00CF6743">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National Empowerment Fund Act 105 of 1998.</w:t>
      </w:r>
    </w:p>
  </w:footnote>
  <w:footnote w:id="14">
    <w:p w14:paraId="4148EC24" w14:textId="5D17F4AA" w:rsidR="00B43DAB" w:rsidRPr="00A03B14" w:rsidRDefault="00B43DAB">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Act, sections 3, 4 and 16.</w:t>
      </w:r>
    </w:p>
  </w:footnote>
  <w:footnote w:id="15">
    <w:p w14:paraId="516C2F66" w14:textId="793DC463" w:rsidR="002947E1" w:rsidRPr="00A03B14" w:rsidRDefault="002947E1">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Act, section 116(2)(k).</w:t>
      </w:r>
    </w:p>
  </w:footnote>
  <w:footnote w:id="16">
    <w:p w14:paraId="637B388F" w14:textId="3036DDE6" w:rsidR="00B100F4" w:rsidRPr="00A03B14" w:rsidRDefault="00B100F4">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00DD633B" w:rsidRPr="00A03B14">
        <w:rPr>
          <w:rFonts w:ascii="Arial" w:hAnsi="Arial" w:cs="Arial"/>
          <w:sz w:val="20"/>
          <w:lang w:val="en-ZA"/>
        </w:rPr>
        <w:t>Answering affidavit: para 6.</w:t>
      </w:r>
    </w:p>
  </w:footnote>
  <w:footnote w:id="17">
    <w:p w14:paraId="7E9CFB72" w14:textId="0E0AB0E9" w:rsidR="002E5A0F" w:rsidRPr="00A03B14" w:rsidRDefault="002E5A0F" w:rsidP="002E5A0F">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Answering affidavit: para 45.</w:t>
      </w:r>
    </w:p>
    <w:p w14:paraId="74369586" w14:textId="676736E7" w:rsidR="002E5A0F" w:rsidRPr="00A03B14" w:rsidRDefault="002E5A0F">
      <w:pPr>
        <w:pStyle w:val="FootnoteText"/>
        <w:rPr>
          <w:rFonts w:ascii="Arial" w:hAnsi="Arial" w:cs="Arial"/>
          <w:sz w:val="20"/>
          <w:lang w:val="en-ZA"/>
        </w:rPr>
      </w:pPr>
    </w:p>
  </w:footnote>
  <w:footnote w:id="18">
    <w:p w14:paraId="47D313B9" w14:textId="37074D32" w:rsidR="00280289" w:rsidRPr="00A03B14" w:rsidRDefault="00280289" w:rsidP="0073081C">
      <w:pPr>
        <w:pStyle w:val="FootnoteText"/>
        <w:ind w:left="567" w:hanging="567"/>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McKenzie v Farmers’ Co-operative Meat Industries Ltd</w:t>
      </w:r>
      <w:r w:rsidRPr="00A03B14">
        <w:rPr>
          <w:rFonts w:ascii="Arial" w:hAnsi="Arial" w:cs="Arial"/>
          <w:sz w:val="20"/>
          <w:lang w:val="en-ZA"/>
        </w:rPr>
        <w:t xml:space="preserve"> 1922 AD 16 at 23</w:t>
      </w:r>
      <w:r w:rsidR="0073081C" w:rsidRPr="00A03B14">
        <w:rPr>
          <w:rFonts w:ascii="Arial" w:hAnsi="Arial" w:cs="Arial"/>
          <w:sz w:val="20"/>
          <w:lang w:val="en-ZA"/>
        </w:rPr>
        <w:t xml:space="preserve">; see also </w:t>
      </w:r>
      <w:r w:rsidR="0073081C" w:rsidRPr="00A03B14">
        <w:rPr>
          <w:rFonts w:ascii="Arial" w:hAnsi="Arial" w:cs="Arial"/>
          <w:i/>
          <w:iCs/>
          <w:sz w:val="20"/>
          <w:lang w:val="en-ZA"/>
        </w:rPr>
        <w:t>Goosen v Reed</w:t>
      </w:r>
      <w:r w:rsidR="00DD02A2" w:rsidRPr="00A03B14">
        <w:rPr>
          <w:rFonts w:ascii="Arial" w:hAnsi="Arial" w:cs="Arial"/>
          <w:sz w:val="20"/>
          <w:lang w:val="en-ZA"/>
        </w:rPr>
        <w:t xml:space="preserve"> 1955 (2) SA 468 (T) at 481.</w:t>
      </w:r>
    </w:p>
  </w:footnote>
  <w:footnote w:id="19">
    <w:p w14:paraId="08EA8757" w14:textId="52B1D9E1" w:rsidR="0061140A" w:rsidRPr="00A03B14" w:rsidRDefault="0061140A">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00911629" w:rsidRPr="00A03B14">
        <w:rPr>
          <w:rFonts w:ascii="Arial" w:hAnsi="Arial" w:cs="Arial"/>
          <w:sz w:val="20"/>
          <w:lang w:val="en-ZA"/>
        </w:rPr>
        <w:tab/>
        <w:t xml:space="preserve">Proposed </w:t>
      </w:r>
      <w:r w:rsidR="00341F2B" w:rsidRPr="00A03B14">
        <w:rPr>
          <w:rFonts w:ascii="Arial" w:hAnsi="Arial" w:cs="Arial"/>
          <w:sz w:val="20"/>
          <w:lang w:val="en-ZA"/>
        </w:rPr>
        <w:t>a</w:t>
      </w:r>
      <w:r w:rsidR="00911629" w:rsidRPr="00A03B14">
        <w:rPr>
          <w:rFonts w:ascii="Arial" w:hAnsi="Arial" w:cs="Arial"/>
          <w:sz w:val="20"/>
          <w:lang w:val="en-ZA"/>
        </w:rPr>
        <w:t xml:space="preserve">mended </w:t>
      </w:r>
      <w:r w:rsidR="00341F2B" w:rsidRPr="00A03B14">
        <w:rPr>
          <w:rFonts w:ascii="Arial" w:hAnsi="Arial" w:cs="Arial"/>
          <w:sz w:val="20"/>
          <w:lang w:val="en-ZA"/>
        </w:rPr>
        <w:t>particulars of claim</w:t>
      </w:r>
      <w:r w:rsidR="00911629" w:rsidRPr="00A03B14">
        <w:rPr>
          <w:rFonts w:ascii="Arial" w:hAnsi="Arial" w:cs="Arial"/>
          <w:sz w:val="20"/>
          <w:lang w:val="en-ZA"/>
        </w:rPr>
        <w:t xml:space="preserve">, para 7. </w:t>
      </w:r>
    </w:p>
  </w:footnote>
  <w:footnote w:id="20">
    <w:p w14:paraId="2FB70340" w14:textId="04EE6C33" w:rsidR="003138FE" w:rsidRPr="00A03B14" w:rsidRDefault="00806944" w:rsidP="00D87857">
      <w:pPr>
        <w:pStyle w:val="Heading2"/>
        <w:tabs>
          <w:tab w:val="clear" w:pos="0"/>
          <w:tab w:val="clear" w:pos="720"/>
          <w:tab w:val="left" w:pos="567"/>
        </w:tabs>
        <w:ind w:left="567" w:hanging="567"/>
        <w:jc w:val="left"/>
        <w:rPr>
          <w:rFonts w:ascii="Arial" w:hAnsi="Arial" w:cs="Arial"/>
          <w:color w:val="64473A"/>
          <w:sz w:val="28"/>
          <w:szCs w:val="36"/>
          <w:lang w:eastAsia="en-GB"/>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 xml:space="preserve">Consol Ltd t/a Consol Glass v </w:t>
      </w:r>
      <w:r w:rsidRPr="00A03B14">
        <w:rPr>
          <w:rFonts w:ascii="Arial" w:hAnsi="Arial" w:cs="Arial"/>
          <w:i/>
          <w:iCs/>
          <w:sz w:val="20"/>
        </w:rPr>
        <w:t>Twee Jonge Gezellen</w:t>
      </w:r>
      <w:r w:rsidR="00D87857" w:rsidRPr="00A03B14">
        <w:rPr>
          <w:rFonts w:ascii="Arial" w:hAnsi="Arial" w:cs="Arial"/>
          <w:i/>
          <w:iCs/>
          <w:sz w:val="20"/>
        </w:rPr>
        <w:t xml:space="preserve"> (Pty) Ltd</w:t>
      </w:r>
      <w:r w:rsidRPr="00A03B14">
        <w:rPr>
          <w:rFonts w:ascii="Arial" w:hAnsi="Arial" w:cs="Arial"/>
          <w:sz w:val="20"/>
        </w:rPr>
        <w:t xml:space="preserve"> </w:t>
      </w:r>
      <w:r w:rsidR="003138FE" w:rsidRPr="00A03B14">
        <w:rPr>
          <w:rFonts w:ascii="Arial" w:hAnsi="Arial" w:cs="Arial"/>
          <w:sz w:val="20"/>
        </w:rPr>
        <w:t>2005 (6) SA 23 (SCA) </w:t>
      </w:r>
    </w:p>
    <w:p w14:paraId="6D0E2E4D" w14:textId="2867C3AB" w:rsidR="00806944" w:rsidRPr="00A03B14" w:rsidRDefault="00806944">
      <w:pPr>
        <w:pStyle w:val="FootnoteText"/>
        <w:rPr>
          <w:rFonts w:ascii="Arial" w:hAnsi="Arial" w:cs="Arial"/>
          <w:sz w:val="20"/>
          <w:lang w:val="en-ZA"/>
        </w:rPr>
      </w:pPr>
      <w:r w:rsidRPr="00A03B14">
        <w:rPr>
          <w:rFonts w:ascii="Arial" w:hAnsi="Arial" w:cs="Arial"/>
          <w:sz w:val="20"/>
        </w:rPr>
        <w:t xml:space="preserve"> </w:t>
      </w:r>
      <w:r w:rsidR="00D87857" w:rsidRPr="00A03B14">
        <w:rPr>
          <w:rFonts w:ascii="Arial" w:hAnsi="Arial" w:cs="Arial"/>
          <w:sz w:val="20"/>
        </w:rPr>
        <w:tab/>
      </w:r>
      <w:r w:rsidRPr="00A03B14">
        <w:rPr>
          <w:rFonts w:ascii="Arial" w:hAnsi="Arial" w:cs="Arial"/>
          <w:sz w:val="20"/>
        </w:rPr>
        <w:t>(“</w:t>
      </w:r>
      <w:r w:rsidRPr="00A03B14">
        <w:rPr>
          <w:rFonts w:ascii="Arial" w:hAnsi="Arial" w:cs="Arial"/>
          <w:b/>
          <w:bCs/>
          <w:sz w:val="20"/>
        </w:rPr>
        <w:t>Twee Jonge Gezellen</w:t>
      </w:r>
      <w:r w:rsidRPr="00A03B14">
        <w:rPr>
          <w:rFonts w:ascii="Arial" w:hAnsi="Arial" w:cs="Arial"/>
          <w:sz w:val="20"/>
        </w:rPr>
        <w:t>”)</w:t>
      </w:r>
      <w:r w:rsidR="00D95819">
        <w:rPr>
          <w:rFonts w:ascii="Arial" w:hAnsi="Arial" w:cs="Arial"/>
          <w:sz w:val="20"/>
        </w:rPr>
        <w:t>.</w:t>
      </w:r>
    </w:p>
  </w:footnote>
  <w:footnote w:id="21">
    <w:p w14:paraId="2199DC82" w14:textId="2FCA402D" w:rsidR="00266232" w:rsidRPr="00A03B14" w:rsidRDefault="00266232" w:rsidP="00EC4F35">
      <w:pPr>
        <w:pStyle w:val="FootnoteText"/>
        <w:ind w:left="567" w:hanging="567"/>
        <w:jc w:val="both"/>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rPr>
        <w:tab/>
      </w:r>
      <w:r w:rsidRPr="00A03B14">
        <w:rPr>
          <w:rFonts w:ascii="Arial" w:hAnsi="Arial" w:cs="Arial"/>
          <w:i/>
          <w:iCs/>
          <w:sz w:val="20"/>
        </w:rPr>
        <w:t>Twee Jonge Gezellen</w:t>
      </w:r>
      <w:r w:rsidRPr="00A03B14">
        <w:rPr>
          <w:rFonts w:ascii="Arial" w:hAnsi="Arial" w:cs="Arial"/>
          <w:sz w:val="20"/>
        </w:rPr>
        <w:t xml:space="preserve"> at para 59.</w:t>
      </w:r>
      <w:r w:rsidR="00EC4F35" w:rsidRPr="00A03B14">
        <w:rPr>
          <w:rFonts w:ascii="Arial" w:hAnsi="Arial" w:cs="Arial"/>
          <w:sz w:val="20"/>
        </w:rPr>
        <w:t xml:space="preserve"> In that case the </w:t>
      </w:r>
      <w:r w:rsidR="005D1205" w:rsidRPr="00A03B14">
        <w:rPr>
          <w:rFonts w:ascii="Arial" w:hAnsi="Arial" w:cs="Arial"/>
          <w:sz w:val="20"/>
        </w:rPr>
        <w:t>court</w:t>
      </w:r>
      <w:r w:rsidR="00EC4F35" w:rsidRPr="00A03B14">
        <w:rPr>
          <w:rFonts w:ascii="Arial" w:hAnsi="Arial" w:cs="Arial"/>
          <w:sz w:val="20"/>
        </w:rPr>
        <w:t xml:space="preserve"> was prepared to consider the interpretative issue as evidence had already been led.</w:t>
      </w:r>
    </w:p>
  </w:footnote>
  <w:footnote w:id="22">
    <w:p w14:paraId="5B6FF198" w14:textId="0A0C83AB" w:rsidR="001F2C64" w:rsidRPr="00A03B14" w:rsidRDefault="001F2C64">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Proposed amended </w:t>
      </w:r>
      <w:r w:rsidR="00341F2B" w:rsidRPr="00A03B14">
        <w:rPr>
          <w:rFonts w:ascii="Arial" w:hAnsi="Arial" w:cs="Arial"/>
          <w:sz w:val="20"/>
          <w:lang w:val="en-ZA"/>
        </w:rPr>
        <w:t>particulars of claim</w:t>
      </w:r>
      <w:r w:rsidRPr="00A03B14">
        <w:rPr>
          <w:rFonts w:ascii="Arial" w:hAnsi="Arial" w:cs="Arial"/>
          <w:sz w:val="20"/>
          <w:lang w:val="en-ZA"/>
        </w:rPr>
        <w:t>, para 11.1.</w:t>
      </w:r>
    </w:p>
  </w:footnote>
  <w:footnote w:id="23">
    <w:p w14:paraId="78BE1CF6" w14:textId="317EC0B6" w:rsidR="00147B07" w:rsidRPr="00A03B14" w:rsidRDefault="00147B07" w:rsidP="00DE4FF9">
      <w:pPr>
        <w:pStyle w:val="FootnoteText"/>
        <w:ind w:left="567" w:hanging="567"/>
        <w:rPr>
          <w:rFonts w:ascii="Arial" w:hAnsi="Arial" w:cs="Arial"/>
          <w:iCs/>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See, for example, </w:t>
      </w:r>
      <w:r w:rsidRPr="00A03B14">
        <w:rPr>
          <w:rFonts w:ascii="Arial" w:hAnsi="Arial" w:cs="Arial"/>
          <w:i/>
          <w:iCs/>
          <w:sz w:val="20"/>
          <w:lang w:val="en-ZA"/>
        </w:rPr>
        <w:t>Oil</w:t>
      </w:r>
      <w:r w:rsidR="004418AB" w:rsidRPr="00A03B14">
        <w:rPr>
          <w:rFonts w:ascii="Arial" w:hAnsi="Arial" w:cs="Arial"/>
          <w:i/>
          <w:iCs/>
          <w:sz w:val="20"/>
          <w:lang w:val="en-ZA"/>
        </w:rPr>
        <w:t>w</w:t>
      </w:r>
      <w:r w:rsidRPr="00A03B14">
        <w:rPr>
          <w:rFonts w:ascii="Arial" w:hAnsi="Arial" w:cs="Arial"/>
          <w:i/>
          <w:iCs/>
          <w:sz w:val="20"/>
          <w:lang w:val="en-ZA"/>
        </w:rPr>
        <w:t xml:space="preserve">ell (Pty) Ltd v Protec International </w:t>
      </w:r>
      <w:r w:rsidR="00DE4FF9" w:rsidRPr="00A03B14">
        <w:rPr>
          <w:rFonts w:ascii="Arial" w:hAnsi="Arial" w:cs="Arial"/>
          <w:i/>
          <w:iCs/>
          <w:sz w:val="20"/>
          <w:lang w:val="en-ZA"/>
        </w:rPr>
        <w:t>Ltd</w:t>
      </w:r>
      <w:r w:rsidR="00DE4FF9" w:rsidRPr="00A03B14">
        <w:rPr>
          <w:rFonts w:ascii="Arial" w:hAnsi="Arial" w:cs="Arial"/>
          <w:sz w:val="20"/>
          <w:lang w:val="en-ZA"/>
        </w:rPr>
        <w:t xml:space="preserve"> 2001 (4) SA 394 (SCA), paras [15]-[25].</w:t>
      </w:r>
      <w:r w:rsidR="004418AB" w:rsidRPr="00A03B14">
        <w:rPr>
          <w:rFonts w:ascii="Arial" w:hAnsi="Arial" w:cs="Arial"/>
          <w:sz w:val="20"/>
          <w:lang w:val="en-ZA"/>
        </w:rPr>
        <w:t xml:space="preserve"> See also</w:t>
      </w:r>
      <w:r w:rsidR="000F47C1" w:rsidRPr="00A03B14">
        <w:rPr>
          <w:rFonts w:ascii="Arial" w:hAnsi="Arial" w:cs="Arial"/>
          <w:sz w:val="20"/>
          <w:lang w:val="en-ZA"/>
        </w:rPr>
        <w:t>,</w:t>
      </w:r>
      <w:r w:rsidR="004418AB" w:rsidRPr="00A03B14">
        <w:rPr>
          <w:rFonts w:ascii="Arial" w:hAnsi="Arial" w:cs="Arial"/>
          <w:sz w:val="20"/>
          <w:lang w:val="en-ZA"/>
        </w:rPr>
        <w:t xml:space="preserve"> </w:t>
      </w:r>
      <w:r w:rsidR="004444A0" w:rsidRPr="00A03B14">
        <w:rPr>
          <w:rFonts w:ascii="Arial" w:hAnsi="Arial" w:cs="Arial"/>
          <w:i/>
          <w:color w:val="080808"/>
          <w:sz w:val="20"/>
        </w:rPr>
        <w:t>Nokeng Tsa Taemane Local Municipality v Dinokeng Properly Owners Association and Other</w:t>
      </w:r>
      <w:r w:rsidR="004444A0" w:rsidRPr="00A03B14">
        <w:rPr>
          <w:rFonts w:ascii="Arial" w:hAnsi="Arial" w:cs="Arial"/>
          <w:i/>
          <w:color w:val="080808"/>
          <w:sz w:val="20"/>
          <w:szCs w:val="24"/>
        </w:rPr>
        <w:t xml:space="preserve">s </w:t>
      </w:r>
      <w:r w:rsidR="004444A0" w:rsidRPr="00A03B14">
        <w:rPr>
          <w:rFonts w:ascii="Arial" w:hAnsi="Arial" w:cs="Arial"/>
          <w:color w:val="080808"/>
          <w:sz w:val="20"/>
          <w:szCs w:val="24"/>
        </w:rPr>
        <w:t>[2011]</w:t>
      </w:r>
      <w:r w:rsidR="004444A0" w:rsidRPr="00A03B14">
        <w:rPr>
          <w:rFonts w:ascii="Arial" w:hAnsi="Arial" w:cs="Arial"/>
          <w:color w:val="080808"/>
          <w:spacing w:val="2"/>
          <w:sz w:val="20"/>
          <w:szCs w:val="24"/>
        </w:rPr>
        <w:t xml:space="preserve"> </w:t>
      </w:r>
      <w:r w:rsidR="004444A0" w:rsidRPr="00A03B14">
        <w:rPr>
          <w:rFonts w:ascii="Arial" w:hAnsi="Arial" w:cs="Arial"/>
          <w:color w:val="080808"/>
          <w:sz w:val="20"/>
          <w:szCs w:val="24"/>
        </w:rPr>
        <w:t>2</w:t>
      </w:r>
      <w:r w:rsidR="004444A0" w:rsidRPr="00A03B14">
        <w:rPr>
          <w:rFonts w:ascii="Arial" w:hAnsi="Arial" w:cs="Arial"/>
          <w:color w:val="080808"/>
          <w:spacing w:val="2"/>
          <w:sz w:val="20"/>
          <w:szCs w:val="24"/>
        </w:rPr>
        <w:t xml:space="preserve"> </w:t>
      </w:r>
      <w:r w:rsidR="004444A0" w:rsidRPr="00A03B14">
        <w:rPr>
          <w:rFonts w:ascii="Arial" w:hAnsi="Arial" w:cs="Arial"/>
          <w:color w:val="080808"/>
          <w:sz w:val="20"/>
          <w:szCs w:val="24"/>
        </w:rPr>
        <w:t>All</w:t>
      </w:r>
      <w:r w:rsidR="004444A0" w:rsidRPr="00A03B14">
        <w:rPr>
          <w:rFonts w:ascii="Arial" w:hAnsi="Arial" w:cs="Arial"/>
          <w:color w:val="080808"/>
          <w:spacing w:val="-4"/>
          <w:sz w:val="20"/>
          <w:szCs w:val="24"/>
        </w:rPr>
        <w:t xml:space="preserve"> </w:t>
      </w:r>
      <w:r w:rsidR="004444A0" w:rsidRPr="00A03B14">
        <w:rPr>
          <w:rFonts w:ascii="Arial" w:hAnsi="Arial" w:cs="Arial"/>
          <w:color w:val="080808"/>
          <w:sz w:val="20"/>
          <w:szCs w:val="24"/>
        </w:rPr>
        <w:t>SA</w:t>
      </w:r>
      <w:r w:rsidR="004444A0" w:rsidRPr="00A03B14">
        <w:rPr>
          <w:rFonts w:ascii="Arial" w:hAnsi="Arial" w:cs="Arial"/>
          <w:color w:val="080808"/>
          <w:spacing w:val="-3"/>
          <w:sz w:val="20"/>
          <w:szCs w:val="24"/>
        </w:rPr>
        <w:t xml:space="preserve"> </w:t>
      </w:r>
      <w:r w:rsidR="004444A0" w:rsidRPr="00A03B14">
        <w:rPr>
          <w:rFonts w:ascii="Arial" w:hAnsi="Arial" w:cs="Arial"/>
          <w:color w:val="080808"/>
          <w:sz w:val="20"/>
          <w:szCs w:val="24"/>
        </w:rPr>
        <w:t>46</w:t>
      </w:r>
      <w:r w:rsidR="004444A0" w:rsidRPr="00A03B14">
        <w:rPr>
          <w:rFonts w:ascii="Arial" w:hAnsi="Arial" w:cs="Arial"/>
          <w:color w:val="080808"/>
          <w:spacing w:val="-7"/>
          <w:sz w:val="20"/>
          <w:szCs w:val="24"/>
        </w:rPr>
        <w:t xml:space="preserve"> </w:t>
      </w:r>
      <w:r w:rsidR="004444A0" w:rsidRPr="00A03B14">
        <w:rPr>
          <w:rFonts w:ascii="Arial" w:hAnsi="Arial" w:cs="Arial"/>
          <w:color w:val="080808"/>
          <w:spacing w:val="-2"/>
          <w:sz w:val="20"/>
          <w:szCs w:val="24"/>
        </w:rPr>
        <w:t xml:space="preserve">(SCA) </w:t>
      </w:r>
      <w:r w:rsidR="004444A0" w:rsidRPr="00A03B14">
        <w:rPr>
          <w:rFonts w:ascii="Arial" w:hAnsi="Arial" w:cs="Arial"/>
          <w:iCs/>
          <w:color w:val="080808"/>
          <w:sz w:val="20"/>
          <w:szCs w:val="24"/>
        </w:rPr>
        <w:t>at para [14]</w:t>
      </w:r>
      <w:r w:rsidR="00BF1149" w:rsidRPr="00A03B14">
        <w:rPr>
          <w:rFonts w:ascii="Arial" w:hAnsi="Arial" w:cs="Arial"/>
          <w:iCs/>
          <w:color w:val="080808"/>
          <w:sz w:val="20"/>
          <w:szCs w:val="24"/>
        </w:rPr>
        <w:t xml:space="preserve">; </w:t>
      </w:r>
      <w:r w:rsidR="00BF1149" w:rsidRPr="00A03B14">
        <w:rPr>
          <w:rFonts w:ascii="Arial" w:hAnsi="Arial" w:cs="Arial"/>
          <w:i/>
          <w:color w:val="080808"/>
          <w:sz w:val="20"/>
          <w:szCs w:val="24"/>
        </w:rPr>
        <w:t>Merry</w:t>
      </w:r>
      <w:r w:rsidR="00BF1149" w:rsidRPr="00A03B14">
        <w:rPr>
          <w:rFonts w:ascii="Arial" w:hAnsi="Arial" w:cs="Arial"/>
          <w:i/>
          <w:color w:val="080808"/>
          <w:spacing w:val="40"/>
          <w:sz w:val="20"/>
          <w:szCs w:val="24"/>
        </w:rPr>
        <w:t xml:space="preserve"> </w:t>
      </w:r>
      <w:r w:rsidR="00BF1149" w:rsidRPr="00A03B14">
        <w:rPr>
          <w:rFonts w:ascii="Arial" w:hAnsi="Arial" w:cs="Arial"/>
          <w:i/>
          <w:color w:val="080808"/>
          <w:sz w:val="20"/>
          <w:szCs w:val="24"/>
        </w:rPr>
        <w:t>Hill</w:t>
      </w:r>
      <w:r w:rsidR="00BF1149" w:rsidRPr="00A03B14">
        <w:rPr>
          <w:rFonts w:ascii="Arial" w:hAnsi="Arial" w:cs="Arial"/>
          <w:i/>
          <w:color w:val="080808"/>
          <w:spacing w:val="40"/>
          <w:sz w:val="20"/>
          <w:szCs w:val="24"/>
        </w:rPr>
        <w:t xml:space="preserve"> </w:t>
      </w:r>
      <w:r w:rsidR="00BF1149" w:rsidRPr="00A03B14">
        <w:rPr>
          <w:rFonts w:ascii="Arial" w:hAnsi="Arial" w:cs="Arial"/>
          <w:i/>
          <w:color w:val="080808"/>
          <w:sz w:val="20"/>
          <w:szCs w:val="24"/>
        </w:rPr>
        <w:t>(Ply)</w:t>
      </w:r>
      <w:r w:rsidR="00BF1149" w:rsidRPr="00A03B14">
        <w:rPr>
          <w:rFonts w:ascii="Arial" w:hAnsi="Arial" w:cs="Arial"/>
          <w:i/>
          <w:color w:val="080808"/>
          <w:spacing w:val="40"/>
          <w:sz w:val="20"/>
          <w:szCs w:val="24"/>
        </w:rPr>
        <w:t xml:space="preserve"> </w:t>
      </w:r>
      <w:r w:rsidR="00BF1149" w:rsidRPr="00A03B14">
        <w:rPr>
          <w:rFonts w:ascii="Arial" w:hAnsi="Arial" w:cs="Arial"/>
          <w:i/>
          <w:color w:val="080808"/>
          <w:sz w:val="20"/>
          <w:szCs w:val="24"/>
        </w:rPr>
        <w:t>Limited</w:t>
      </w:r>
      <w:r w:rsidR="00BF1149" w:rsidRPr="00A03B14">
        <w:rPr>
          <w:rFonts w:ascii="Arial" w:hAnsi="Arial" w:cs="Arial"/>
          <w:i/>
          <w:color w:val="080808"/>
          <w:spacing w:val="40"/>
          <w:sz w:val="20"/>
          <w:szCs w:val="24"/>
        </w:rPr>
        <w:t xml:space="preserve"> </w:t>
      </w:r>
      <w:r w:rsidR="00BF1149" w:rsidRPr="00A03B14">
        <w:rPr>
          <w:rFonts w:ascii="Arial" w:hAnsi="Arial" w:cs="Arial"/>
          <w:i/>
          <w:color w:val="080808"/>
          <w:sz w:val="20"/>
          <w:szCs w:val="24"/>
        </w:rPr>
        <w:t>v</w:t>
      </w:r>
      <w:r w:rsidR="00BF1149" w:rsidRPr="00A03B14">
        <w:rPr>
          <w:rFonts w:ascii="Arial" w:hAnsi="Arial" w:cs="Arial"/>
          <w:i/>
          <w:color w:val="080808"/>
          <w:spacing w:val="40"/>
          <w:sz w:val="20"/>
          <w:szCs w:val="24"/>
        </w:rPr>
        <w:t xml:space="preserve"> </w:t>
      </w:r>
      <w:r w:rsidR="00BF1149" w:rsidRPr="00A03B14">
        <w:rPr>
          <w:rFonts w:ascii="Arial" w:hAnsi="Arial" w:cs="Arial"/>
          <w:i/>
          <w:color w:val="080808"/>
          <w:sz w:val="20"/>
          <w:szCs w:val="24"/>
        </w:rPr>
        <w:t>Engelbrecht</w:t>
      </w:r>
      <w:r w:rsidR="00BF1149" w:rsidRPr="00A03B14">
        <w:rPr>
          <w:rFonts w:ascii="Arial" w:hAnsi="Arial" w:cs="Arial"/>
          <w:iCs/>
          <w:color w:val="080808"/>
          <w:sz w:val="20"/>
          <w:szCs w:val="24"/>
        </w:rPr>
        <w:t xml:space="preserve"> </w:t>
      </w:r>
      <w:r w:rsidR="00BF1149" w:rsidRPr="00A03B14">
        <w:rPr>
          <w:rFonts w:ascii="Arial" w:hAnsi="Arial" w:cs="Arial"/>
          <w:color w:val="080808"/>
          <w:sz w:val="20"/>
          <w:szCs w:val="24"/>
        </w:rPr>
        <w:t>2008</w:t>
      </w:r>
      <w:r w:rsidR="00BF1149" w:rsidRPr="00A03B14">
        <w:rPr>
          <w:rFonts w:ascii="Arial" w:hAnsi="Arial" w:cs="Arial"/>
          <w:color w:val="080808"/>
          <w:spacing w:val="5"/>
          <w:sz w:val="20"/>
          <w:szCs w:val="24"/>
        </w:rPr>
        <w:t xml:space="preserve"> </w:t>
      </w:r>
      <w:r w:rsidR="00BF1149" w:rsidRPr="00A03B14">
        <w:rPr>
          <w:rFonts w:ascii="Arial" w:hAnsi="Arial" w:cs="Arial"/>
          <w:color w:val="080808"/>
          <w:sz w:val="20"/>
          <w:szCs w:val="24"/>
        </w:rPr>
        <w:t>(2)</w:t>
      </w:r>
      <w:r w:rsidR="00BF1149" w:rsidRPr="00A03B14">
        <w:rPr>
          <w:rFonts w:ascii="Arial" w:hAnsi="Arial" w:cs="Arial"/>
          <w:color w:val="080808"/>
          <w:spacing w:val="5"/>
          <w:sz w:val="20"/>
          <w:szCs w:val="24"/>
        </w:rPr>
        <w:t xml:space="preserve"> </w:t>
      </w:r>
      <w:r w:rsidR="00BF1149" w:rsidRPr="00A03B14">
        <w:rPr>
          <w:rFonts w:ascii="Arial" w:hAnsi="Arial" w:cs="Arial"/>
          <w:color w:val="080808"/>
          <w:sz w:val="20"/>
          <w:szCs w:val="24"/>
        </w:rPr>
        <w:t>SA</w:t>
      </w:r>
      <w:r w:rsidR="00BF1149" w:rsidRPr="00A03B14">
        <w:rPr>
          <w:rFonts w:ascii="Arial" w:hAnsi="Arial" w:cs="Arial"/>
          <w:color w:val="080808"/>
          <w:spacing w:val="-6"/>
          <w:sz w:val="20"/>
          <w:szCs w:val="24"/>
        </w:rPr>
        <w:t xml:space="preserve"> </w:t>
      </w:r>
      <w:r w:rsidR="00BF1149" w:rsidRPr="00A03B14">
        <w:rPr>
          <w:rFonts w:ascii="Arial" w:hAnsi="Arial" w:cs="Arial"/>
          <w:color w:val="080808"/>
          <w:sz w:val="20"/>
          <w:szCs w:val="24"/>
        </w:rPr>
        <w:t>544</w:t>
      </w:r>
      <w:r w:rsidR="00BF1149" w:rsidRPr="00A03B14">
        <w:rPr>
          <w:rFonts w:ascii="Arial" w:hAnsi="Arial" w:cs="Arial"/>
          <w:color w:val="080808"/>
          <w:spacing w:val="-1"/>
          <w:sz w:val="20"/>
          <w:szCs w:val="24"/>
        </w:rPr>
        <w:t xml:space="preserve"> </w:t>
      </w:r>
      <w:r w:rsidR="00BF1149" w:rsidRPr="00A03B14">
        <w:rPr>
          <w:rFonts w:ascii="Arial" w:hAnsi="Arial" w:cs="Arial"/>
          <w:color w:val="080808"/>
          <w:sz w:val="20"/>
          <w:szCs w:val="24"/>
        </w:rPr>
        <w:t>(SCA)</w:t>
      </w:r>
      <w:r w:rsidR="00BF1149" w:rsidRPr="00A03B14">
        <w:rPr>
          <w:rFonts w:ascii="Arial" w:hAnsi="Arial" w:cs="Arial"/>
          <w:color w:val="080808"/>
          <w:spacing w:val="13"/>
          <w:sz w:val="20"/>
          <w:szCs w:val="24"/>
        </w:rPr>
        <w:t xml:space="preserve"> </w:t>
      </w:r>
      <w:r w:rsidR="00BF1149" w:rsidRPr="00A03B14">
        <w:rPr>
          <w:rFonts w:ascii="Arial" w:hAnsi="Arial" w:cs="Arial"/>
          <w:color w:val="080808"/>
          <w:sz w:val="20"/>
          <w:szCs w:val="24"/>
        </w:rPr>
        <w:t>at</w:t>
      </w:r>
      <w:r w:rsidR="00BF1149" w:rsidRPr="00A03B14">
        <w:rPr>
          <w:rFonts w:ascii="Arial" w:hAnsi="Arial" w:cs="Arial"/>
          <w:color w:val="080808"/>
          <w:spacing w:val="-10"/>
          <w:sz w:val="20"/>
          <w:szCs w:val="24"/>
        </w:rPr>
        <w:t xml:space="preserve"> </w:t>
      </w:r>
      <w:r w:rsidR="00BF1149" w:rsidRPr="00A03B14">
        <w:rPr>
          <w:rFonts w:ascii="Arial" w:hAnsi="Arial" w:cs="Arial"/>
          <w:color w:val="080808"/>
          <w:sz w:val="20"/>
          <w:szCs w:val="24"/>
        </w:rPr>
        <w:t>para</w:t>
      </w:r>
      <w:r w:rsidR="00BF1149" w:rsidRPr="00A03B14">
        <w:rPr>
          <w:rFonts w:ascii="Arial" w:hAnsi="Arial" w:cs="Arial"/>
          <w:color w:val="080808"/>
          <w:spacing w:val="9"/>
          <w:sz w:val="20"/>
          <w:szCs w:val="24"/>
        </w:rPr>
        <w:t xml:space="preserve"> </w:t>
      </w:r>
      <w:r w:rsidR="00BF1149" w:rsidRPr="00A03B14">
        <w:rPr>
          <w:rFonts w:ascii="Arial" w:hAnsi="Arial" w:cs="Arial"/>
          <w:color w:val="080808"/>
          <w:sz w:val="20"/>
          <w:szCs w:val="24"/>
        </w:rPr>
        <w:t>[23]</w:t>
      </w:r>
      <w:r w:rsidR="00AA3F12">
        <w:rPr>
          <w:rFonts w:ascii="Arial" w:hAnsi="Arial" w:cs="Arial"/>
          <w:color w:val="080808"/>
          <w:sz w:val="20"/>
          <w:szCs w:val="24"/>
        </w:rPr>
        <w:t>.</w:t>
      </w:r>
    </w:p>
  </w:footnote>
  <w:footnote w:id="24">
    <w:p w14:paraId="052847F0" w14:textId="6FFD9F3A" w:rsidR="005958EE" w:rsidRPr="00A03B14" w:rsidRDefault="00323515" w:rsidP="005958EE">
      <w:pPr>
        <w:tabs>
          <w:tab w:val="left" w:pos="567"/>
        </w:tabs>
        <w:spacing w:after="58"/>
        <w:rPr>
          <w:rFonts w:ascii="Arial" w:hAnsi="Arial" w:cs="Arial"/>
          <w:bCs/>
          <w:sz w:val="20"/>
          <w:lang w:val="en-GB"/>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005958EE" w:rsidRPr="00A03B14">
        <w:rPr>
          <w:rFonts w:ascii="Arial" w:hAnsi="Arial" w:cs="Arial"/>
          <w:bCs/>
          <w:i/>
          <w:sz w:val="20"/>
          <w:lang w:val="en-GB"/>
        </w:rPr>
        <w:t>Natal Joint Municipal Pension Fund v Endumeni Municipality</w:t>
      </w:r>
      <w:r w:rsidR="005958EE" w:rsidRPr="00A03B14">
        <w:rPr>
          <w:rFonts w:ascii="Arial" w:hAnsi="Arial" w:cs="Arial"/>
          <w:bCs/>
          <w:sz w:val="20"/>
          <w:lang w:val="en-GB"/>
        </w:rPr>
        <w:t xml:space="preserve"> 2012 (4) SA 593 (SCA)</w:t>
      </w:r>
      <w:r w:rsidR="00D60BC0" w:rsidRPr="00A03B14">
        <w:rPr>
          <w:rFonts w:ascii="Arial" w:hAnsi="Arial" w:cs="Arial"/>
          <w:bCs/>
          <w:sz w:val="20"/>
          <w:lang w:val="en-GB"/>
        </w:rPr>
        <w:t>.</w:t>
      </w:r>
    </w:p>
    <w:p w14:paraId="20601904" w14:textId="755C6540" w:rsidR="00323515" w:rsidRPr="00A03B14" w:rsidRDefault="00323515">
      <w:pPr>
        <w:pStyle w:val="FootnoteText"/>
        <w:rPr>
          <w:rFonts w:ascii="Arial" w:hAnsi="Arial" w:cs="Arial"/>
          <w:sz w:val="20"/>
          <w:lang w:val="en-ZA"/>
        </w:rPr>
      </w:pPr>
    </w:p>
  </w:footnote>
  <w:footnote w:id="25">
    <w:p w14:paraId="0FBAE0B5" w14:textId="6D0AEB5F" w:rsidR="00CB18C0" w:rsidRPr="00A03B14" w:rsidRDefault="00CB18C0">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Clause 4.2.</w:t>
      </w:r>
    </w:p>
  </w:footnote>
  <w:footnote w:id="26">
    <w:p w14:paraId="6BCC1AA8" w14:textId="1BF73EF3" w:rsidR="00CB18C0" w:rsidRPr="00A03B14" w:rsidRDefault="00CB18C0">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Objection: paras 2 </w:t>
      </w:r>
      <w:r w:rsidR="00AA3F12">
        <w:rPr>
          <w:rFonts w:ascii="Arial" w:hAnsi="Arial" w:cs="Arial"/>
          <w:sz w:val="20"/>
          <w:lang w:val="en-ZA"/>
        </w:rPr>
        <w:t>-</w:t>
      </w:r>
      <w:r w:rsidRPr="00A03B14">
        <w:rPr>
          <w:rFonts w:ascii="Arial" w:hAnsi="Arial" w:cs="Arial"/>
          <w:sz w:val="20"/>
          <w:lang w:val="en-ZA"/>
        </w:rPr>
        <w:t xml:space="preserve"> 4.</w:t>
      </w:r>
    </w:p>
  </w:footnote>
  <w:footnote w:id="27">
    <w:p w14:paraId="4B00AAD2" w14:textId="06E9B6D6" w:rsidR="00CB18C0" w:rsidRPr="00A03B14" w:rsidRDefault="00CB18C0">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Dharumpal Transport (Pty) Ltd v Dharumpal</w:t>
      </w:r>
      <w:r w:rsidRPr="00A03B14">
        <w:rPr>
          <w:rFonts w:ascii="Arial" w:hAnsi="Arial" w:cs="Arial"/>
          <w:sz w:val="20"/>
          <w:lang w:val="en-ZA"/>
        </w:rPr>
        <w:t xml:space="preserve"> 1956 (1) SA 700 (A) at 796.</w:t>
      </w:r>
    </w:p>
  </w:footnote>
  <w:footnote w:id="28">
    <w:p w14:paraId="4667996F" w14:textId="7736A386" w:rsidR="008A795F" w:rsidRPr="00A03B14" w:rsidRDefault="008A795F">
      <w:pPr>
        <w:pStyle w:val="FootnoteText"/>
        <w:rPr>
          <w:rFonts w:ascii="Arial" w:hAnsi="Arial" w:cs="Arial"/>
          <w:sz w:val="20"/>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rPr>
        <w:tab/>
      </w:r>
      <w:r w:rsidRPr="00A03B14">
        <w:rPr>
          <w:rFonts w:ascii="Arial" w:hAnsi="Arial" w:cs="Arial"/>
          <w:i/>
          <w:sz w:val="20"/>
        </w:rPr>
        <w:t xml:space="preserve">Barclays National Bank Ltd v Thompson </w:t>
      </w:r>
      <w:r w:rsidRPr="00A03B14">
        <w:rPr>
          <w:rFonts w:ascii="Arial" w:hAnsi="Arial" w:cs="Arial"/>
          <w:sz w:val="20"/>
        </w:rPr>
        <w:t>1989 (1) SA 547 (A) at 553F-I</w:t>
      </w:r>
      <w:r w:rsidR="00AA3F12">
        <w:rPr>
          <w:rFonts w:ascii="Arial" w:hAnsi="Arial" w:cs="Arial"/>
          <w:sz w:val="20"/>
        </w:rPr>
        <w:t>.</w:t>
      </w:r>
    </w:p>
  </w:footnote>
  <w:footnote w:id="29">
    <w:p w14:paraId="49627AC6" w14:textId="6DCC5ECF" w:rsidR="0056056E" w:rsidRPr="00A03B14" w:rsidRDefault="0056056E">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 xml:space="preserve">Objection: paras 13 </w:t>
      </w:r>
      <w:r w:rsidR="00AA3F12">
        <w:rPr>
          <w:rFonts w:ascii="Arial" w:hAnsi="Arial" w:cs="Arial"/>
          <w:sz w:val="20"/>
          <w:lang w:val="en-ZA"/>
        </w:rPr>
        <w:t>-</w:t>
      </w:r>
      <w:r w:rsidRPr="00A03B14">
        <w:rPr>
          <w:rFonts w:ascii="Arial" w:hAnsi="Arial" w:cs="Arial"/>
          <w:sz w:val="20"/>
          <w:lang w:val="en-ZA"/>
        </w:rPr>
        <w:t xml:space="preserve"> 15.</w:t>
      </w:r>
    </w:p>
  </w:footnote>
  <w:footnote w:id="30">
    <w:p w14:paraId="4D65C8CC" w14:textId="38C3D44E" w:rsidR="0056056E" w:rsidRPr="00A03B14" w:rsidRDefault="0056056E">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t>Respondents’ heads of argument: paras 28 and 29.</w:t>
      </w:r>
    </w:p>
  </w:footnote>
  <w:footnote w:id="31">
    <w:p w14:paraId="29AC0D27" w14:textId="32EA2719" w:rsidR="00E6335E" w:rsidRPr="00A03B14" w:rsidRDefault="00E6335E" w:rsidP="00AA2B53">
      <w:pPr>
        <w:pStyle w:val="FootnoteText"/>
        <w:ind w:left="567" w:hanging="567"/>
        <w:jc w:val="both"/>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Allied Steelrode (Pty) Ltd v Dreyer</w:t>
      </w:r>
      <w:r w:rsidRPr="00A03B14">
        <w:rPr>
          <w:rFonts w:ascii="Arial" w:hAnsi="Arial" w:cs="Arial"/>
          <w:sz w:val="20"/>
          <w:lang w:val="en-ZA"/>
        </w:rPr>
        <w:t xml:space="preserve"> </w:t>
      </w:r>
      <w:r w:rsidR="005538F8" w:rsidRPr="00A03B14">
        <w:rPr>
          <w:rFonts w:ascii="Arial" w:hAnsi="Arial" w:cs="Arial"/>
          <w:sz w:val="20"/>
          <w:lang w:val="en-ZA"/>
        </w:rPr>
        <w:t xml:space="preserve">2019 JDR 1973 (GJ), para [25]; see also </w:t>
      </w:r>
      <w:r w:rsidR="005538F8" w:rsidRPr="00A03B14">
        <w:rPr>
          <w:rFonts w:ascii="Arial" w:hAnsi="Arial" w:cs="Arial"/>
          <w:i/>
          <w:iCs/>
          <w:sz w:val="20"/>
          <w:lang w:val="en-ZA"/>
        </w:rPr>
        <w:t>Evins v Shield Insurance Co Ltd</w:t>
      </w:r>
      <w:r w:rsidR="005538F8" w:rsidRPr="00A03B14">
        <w:rPr>
          <w:rFonts w:ascii="Arial" w:hAnsi="Arial" w:cs="Arial"/>
          <w:sz w:val="20"/>
          <w:lang w:val="en-ZA"/>
        </w:rPr>
        <w:t xml:space="preserve"> 1980 (2) SA 814 (A) at 825F-G</w:t>
      </w:r>
      <w:r w:rsidR="00AA2B53" w:rsidRPr="00A03B14">
        <w:rPr>
          <w:rFonts w:ascii="Arial" w:hAnsi="Arial" w:cs="Arial"/>
          <w:sz w:val="20"/>
          <w:lang w:val="en-ZA"/>
        </w:rPr>
        <w:t xml:space="preserve"> and </w:t>
      </w:r>
      <w:r w:rsidR="00AA2B53" w:rsidRPr="00A03B14">
        <w:rPr>
          <w:rFonts w:ascii="Arial" w:hAnsi="Arial" w:cs="Arial"/>
          <w:i/>
          <w:iCs/>
          <w:sz w:val="20"/>
          <w:lang w:val="en-ZA"/>
        </w:rPr>
        <w:t>CGU Insurance Ltd v Rumdel Construction</w:t>
      </w:r>
      <w:r w:rsidR="00443762" w:rsidRPr="00A03B14">
        <w:rPr>
          <w:rFonts w:ascii="Arial" w:hAnsi="Arial" w:cs="Arial"/>
          <w:i/>
          <w:iCs/>
          <w:sz w:val="20"/>
          <w:lang w:val="en-ZA"/>
        </w:rPr>
        <w:t xml:space="preserve"> (Pty) Ltd</w:t>
      </w:r>
      <w:r w:rsidR="00443762" w:rsidRPr="00A03B14">
        <w:rPr>
          <w:rFonts w:ascii="Arial" w:hAnsi="Arial" w:cs="Arial"/>
          <w:sz w:val="20"/>
          <w:lang w:val="en-ZA"/>
        </w:rPr>
        <w:t xml:space="preserve"> 2004 (2) SA 622 (SCA), para [6].</w:t>
      </w:r>
    </w:p>
  </w:footnote>
  <w:footnote w:id="32">
    <w:p w14:paraId="23689D03" w14:textId="47524CDB" w:rsidR="00E721AC" w:rsidRPr="00A03B14" w:rsidRDefault="00E721AC">
      <w:pPr>
        <w:pStyle w:val="FootnoteText"/>
        <w:rPr>
          <w:rFonts w:ascii="Arial" w:hAnsi="Arial" w:cs="Arial"/>
          <w:sz w:val="20"/>
          <w:lang w:val="en-ZA"/>
        </w:rPr>
      </w:pPr>
      <w:r w:rsidRPr="00A03B14">
        <w:rPr>
          <w:rStyle w:val="FootnoteReference"/>
          <w:rFonts w:ascii="Arial" w:hAnsi="Arial" w:cs="Arial"/>
          <w:sz w:val="20"/>
        </w:rPr>
        <w:footnoteRef/>
      </w:r>
      <w:r w:rsidRPr="00A03B14">
        <w:rPr>
          <w:rFonts w:ascii="Arial" w:hAnsi="Arial" w:cs="Arial"/>
          <w:sz w:val="20"/>
        </w:rPr>
        <w:t xml:space="preserve"> </w:t>
      </w:r>
      <w:r w:rsidRPr="00A03B14">
        <w:rPr>
          <w:rFonts w:ascii="Arial" w:hAnsi="Arial" w:cs="Arial"/>
          <w:sz w:val="20"/>
          <w:lang w:val="en-ZA"/>
        </w:rPr>
        <w:tab/>
      </w:r>
      <w:r w:rsidRPr="00A03B14">
        <w:rPr>
          <w:rFonts w:ascii="Arial" w:hAnsi="Arial" w:cs="Arial"/>
          <w:i/>
          <w:iCs/>
          <w:sz w:val="20"/>
          <w:lang w:val="en-ZA"/>
        </w:rPr>
        <w:t>Media 24</w:t>
      </w:r>
      <w:r w:rsidRPr="00A03B14">
        <w:rPr>
          <w:rFonts w:ascii="Arial" w:hAnsi="Arial" w:cs="Arial"/>
          <w:sz w:val="20"/>
          <w:lang w:val="en-ZA"/>
        </w:rPr>
        <w:t xml:space="preserve"> para [21]</w:t>
      </w:r>
      <w:r w:rsidR="001222EB" w:rsidRPr="00A03B14">
        <w:rPr>
          <w:rFonts w:ascii="Arial" w:hAnsi="Arial" w:cs="Arial"/>
          <w:sz w:val="20"/>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FF23" w14:textId="02B42E3F"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r>
    <w:r w:rsidRPr="00D879AE">
      <w:rPr>
        <w:rFonts w:ascii="Arial" w:hAnsi="Arial"/>
        <w:spacing w:val="-2"/>
        <w:szCs w:val="22"/>
        <w:lang w:val="en-GB"/>
      </w:rPr>
      <w:tab/>
    </w:r>
  </w:p>
  <w:p w14:paraId="17D2DF1C"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0FC5FAEF" w14:textId="4326E72C" w:rsidR="003135AC" w:rsidRDefault="009128BB">
    <w:pPr>
      <w:spacing w:after="140" w:line="100" w:lineRule="exact"/>
      <w:rPr>
        <w:rFonts w:cs="Times New Roman"/>
        <w:sz w:val="10"/>
        <w:szCs w:val="10"/>
      </w:rPr>
    </w:pPr>
    <w:r>
      <w:rPr>
        <w:rFonts w:cs="Times New Roman"/>
        <w:noProof/>
        <w:sz w:val="10"/>
        <w:szCs w:val="10"/>
      </w:rPr>
      <mc:AlternateContent>
        <mc:Choice Requires="wps">
          <w:drawing>
            <wp:anchor distT="0" distB="0" distL="114300" distR="114300" simplePos="0" relativeHeight="251657728" behindDoc="0" locked="0" layoutInCell="1" allowOverlap="1" wp14:anchorId="705AE851" wp14:editId="39EFE4BD">
              <wp:simplePos x="0" y="0"/>
              <wp:positionH relativeFrom="column">
                <wp:posOffset>5298440</wp:posOffset>
              </wp:positionH>
              <wp:positionV relativeFrom="paragraph">
                <wp:posOffset>105410</wp:posOffset>
              </wp:positionV>
              <wp:extent cx="532130" cy="9405620"/>
              <wp:effectExtent l="0" t="0" r="0" b="0"/>
              <wp:wrapNone/>
              <wp:docPr id="7239130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3E7A" w14:textId="77777777" w:rsidR="003135AC" w:rsidRPr="00B528A5" w:rsidRDefault="003135AC" w:rsidP="00457EB0">
                          <w:pPr>
                            <w:spacing w:line="480" w:lineRule="auto"/>
                            <w:rPr>
                              <w:rFonts w:ascii="Arial" w:hAnsi="Arial" w:cs="Arial"/>
                              <w:sz w:val="28"/>
                              <w:szCs w:val="28"/>
                            </w:rPr>
                          </w:pPr>
                        </w:p>
                        <w:p w14:paraId="733EAE87"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05AE851"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lv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" filled="f" stroked="f">
              <v:textbox>
                <w:txbxContent>
                  <w:p w14:paraId="52D93E7A" w14:textId="77777777" w:rsidR="003135AC" w:rsidRPr="00B528A5" w:rsidRDefault="003135AC" w:rsidP="00457EB0">
                    <w:pPr>
                      <w:spacing w:line="480" w:lineRule="auto"/>
                      <w:rPr>
                        <w:rFonts w:ascii="Arial" w:hAnsi="Arial" w:cs="Arial"/>
                        <w:sz w:val="28"/>
                        <w:szCs w:val="28"/>
                      </w:rPr>
                    </w:pPr>
                  </w:p>
                  <w:p w14:paraId="733EAE87"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5C37CA3"/>
    <w:multiLevelType w:val="hybridMultilevel"/>
    <w:tmpl w:val="5A12CDD6"/>
    <w:lvl w:ilvl="0" w:tplc="D6B09A78">
      <w:start w:val="1"/>
      <w:numFmt w:val="decimal"/>
      <w:lvlText w:val="%1."/>
      <w:lvlJc w:val="left"/>
      <w:pPr>
        <w:ind w:left="144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196B5AD0"/>
    <w:multiLevelType w:val="multilevel"/>
    <w:tmpl w:val="73F26C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9" w15:restartNumberingAfterBreak="0">
    <w:nsid w:val="52C76379"/>
    <w:multiLevelType w:val="hybridMultilevel"/>
    <w:tmpl w:val="70CE0E78"/>
    <w:lvl w:ilvl="0" w:tplc="BCF21BB0">
      <w:start w:val="1"/>
      <w:numFmt w:val="decimal"/>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6FF734A5"/>
    <w:multiLevelType w:val="hybridMultilevel"/>
    <w:tmpl w:val="13FCF25E"/>
    <w:lvl w:ilvl="0" w:tplc="561A88A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72CE19D0"/>
    <w:multiLevelType w:val="hybridMultilevel"/>
    <w:tmpl w:val="7DB27E6C"/>
    <w:lvl w:ilvl="0" w:tplc="4F7A848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6"/>
  </w:num>
  <w:num w:numId="8">
    <w:abstractNumId w:val="10"/>
  </w:num>
  <w:num w:numId="9">
    <w:abstractNumId w:val="1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MDQ2MbYwMDA3szBW0lEKTi0uzszPAykwrAUAbGQc0CwAAAA="/>
  </w:docVars>
  <w:rsids>
    <w:rsidRoot w:val="00023FA2"/>
    <w:rsid w:val="00006876"/>
    <w:rsid w:val="00006B60"/>
    <w:rsid w:val="00006D80"/>
    <w:rsid w:val="000134BA"/>
    <w:rsid w:val="00013A00"/>
    <w:rsid w:val="00013C2C"/>
    <w:rsid w:val="000174A4"/>
    <w:rsid w:val="00017ABB"/>
    <w:rsid w:val="00021183"/>
    <w:rsid w:val="00022C39"/>
    <w:rsid w:val="00023FA2"/>
    <w:rsid w:val="0002536B"/>
    <w:rsid w:val="0003022A"/>
    <w:rsid w:val="000323CD"/>
    <w:rsid w:val="00035159"/>
    <w:rsid w:val="000354B2"/>
    <w:rsid w:val="000373DD"/>
    <w:rsid w:val="00043909"/>
    <w:rsid w:val="00046136"/>
    <w:rsid w:val="00054013"/>
    <w:rsid w:val="0005627D"/>
    <w:rsid w:val="00057B29"/>
    <w:rsid w:val="00061A74"/>
    <w:rsid w:val="00064A9E"/>
    <w:rsid w:val="00065F9A"/>
    <w:rsid w:val="00071782"/>
    <w:rsid w:val="000748A0"/>
    <w:rsid w:val="00082008"/>
    <w:rsid w:val="00083FE0"/>
    <w:rsid w:val="00085B98"/>
    <w:rsid w:val="00086DBA"/>
    <w:rsid w:val="00092257"/>
    <w:rsid w:val="000927A1"/>
    <w:rsid w:val="0009446F"/>
    <w:rsid w:val="00097DD1"/>
    <w:rsid w:val="000A272B"/>
    <w:rsid w:val="000B06CB"/>
    <w:rsid w:val="000C3AC3"/>
    <w:rsid w:val="000C71D4"/>
    <w:rsid w:val="000D411B"/>
    <w:rsid w:val="000D54CE"/>
    <w:rsid w:val="000E01B4"/>
    <w:rsid w:val="000E4DCF"/>
    <w:rsid w:val="000F3F48"/>
    <w:rsid w:val="000F47C1"/>
    <w:rsid w:val="001036D3"/>
    <w:rsid w:val="001040BA"/>
    <w:rsid w:val="001041E9"/>
    <w:rsid w:val="00107028"/>
    <w:rsid w:val="00110492"/>
    <w:rsid w:val="001222EB"/>
    <w:rsid w:val="00122B11"/>
    <w:rsid w:val="00123325"/>
    <w:rsid w:val="0012367A"/>
    <w:rsid w:val="00131FAB"/>
    <w:rsid w:val="0013265A"/>
    <w:rsid w:val="00134356"/>
    <w:rsid w:val="001357DA"/>
    <w:rsid w:val="00135AF1"/>
    <w:rsid w:val="00136C15"/>
    <w:rsid w:val="00143A09"/>
    <w:rsid w:val="001453F6"/>
    <w:rsid w:val="001462CD"/>
    <w:rsid w:val="00147991"/>
    <w:rsid w:val="00147B07"/>
    <w:rsid w:val="0015009B"/>
    <w:rsid w:val="00152150"/>
    <w:rsid w:val="00156753"/>
    <w:rsid w:val="00172BE9"/>
    <w:rsid w:val="0018133C"/>
    <w:rsid w:val="00181E41"/>
    <w:rsid w:val="001855AA"/>
    <w:rsid w:val="001859F6"/>
    <w:rsid w:val="0019026D"/>
    <w:rsid w:val="0019167A"/>
    <w:rsid w:val="0019548F"/>
    <w:rsid w:val="00197F64"/>
    <w:rsid w:val="001A4416"/>
    <w:rsid w:val="001A5628"/>
    <w:rsid w:val="001B10F2"/>
    <w:rsid w:val="001B16C3"/>
    <w:rsid w:val="001B3F3F"/>
    <w:rsid w:val="001B4C9B"/>
    <w:rsid w:val="001B5171"/>
    <w:rsid w:val="001B632F"/>
    <w:rsid w:val="001C2147"/>
    <w:rsid w:val="001C3CB8"/>
    <w:rsid w:val="001D0D53"/>
    <w:rsid w:val="001E0E78"/>
    <w:rsid w:val="001E31F6"/>
    <w:rsid w:val="001E38F9"/>
    <w:rsid w:val="001E4E85"/>
    <w:rsid w:val="001E5F7A"/>
    <w:rsid w:val="001F06DB"/>
    <w:rsid w:val="001F1553"/>
    <w:rsid w:val="001F28E4"/>
    <w:rsid w:val="001F2BE4"/>
    <w:rsid w:val="001F2C64"/>
    <w:rsid w:val="001F3369"/>
    <w:rsid w:val="0020253C"/>
    <w:rsid w:val="002202B1"/>
    <w:rsid w:val="00221EF1"/>
    <w:rsid w:val="00222866"/>
    <w:rsid w:val="0022609E"/>
    <w:rsid w:val="0022679C"/>
    <w:rsid w:val="00227651"/>
    <w:rsid w:val="0023372B"/>
    <w:rsid w:val="00234A8E"/>
    <w:rsid w:val="00244287"/>
    <w:rsid w:val="00254665"/>
    <w:rsid w:val="00254C8E"/>
    <w:rsid w:val="00266232"/>
    <w:rsid w:val="00266D2A"/>
    <w:rsid w:val="0026754F"/>
    <w:rsid w:val="00271F3C"/>
    <w:rsid w:val="00280289"/>
    <w:rsid w:val="00283C67"/>
    <w:rsid w:val="00287A19"/>
    <w:rsid w:val="002935EC"/>
    <w:rsid w:val="002947E1"/>
    <w:rsid w:val="00294881"/>
    <w:rsid w:val="00296DB7"/>
    <w:rsid w:val="00297176"/>
    <w:rsid w:val="002A238F"/>
    <w:rsid w:val="002A2C6D"/>
    <w:rsid w:val="002A31B8"/>
    <w:rsid w:val="002A65A1"/>
    <w:rsid w:val="002A73A6"/>
    <w:rsid w:val="002B10BC"/>
    <w:rsid w:val="002B404B"/>
    <w:rsid w:val="002B413C"/>
    <w:rsid w:val="002B4A15"/>
    <w:rsid w:val="002B5FC7"/>
    <w:rsid w:val="002C26AF"/>
    <w:rsid w:val="002C54C2"/>
    <w:rsid w:val="002C676E"/>
    <w:rsid w:val="002C6BD3"/>
    <w:rsid w:val="002C7575"/>
    <w:rsid w:val="002C7BF4"/>
    <w:rsid w:val="002D271C"/>
    <w:rsid w:val="002D344B"/>
    <w:rsid w:val="002D4648"/>
    <w:rsid w:val="002D64D2"/>
    <w:rsid w:val="002E07FB"/>
    <w:rsid w:val="002E276E"/>
    <w:rsid w:val="002E481F"/>
    <w:rsid w:val="002E5A0F"/>
    <w:rsid w:val="002E6A12"/>
    <w:rsid w:val="002F02C7"/>
    <w:rsid w:val="002F106F"/>
    <w:rsid w:val="002F4E47"/>
    <w:rsid w:val="002F635E"/>
    <w:rsid w:val="002F6D18"/>
    <w:rsid w:val="002F7CFB"/>
    <w:rsid w:val="00311771"/>
    <w:rsid w:val="00312B53"/>
    <w:rsid w:val="003135AC"/>
    <w:rsid w:val="003138FE"/>
    <w:rsid w:val="00313979"/>
    <w:rsid w:val="00314759"/>
    <w:rsid w:val="00317038"/>
    <w:rsid w:val="00320D45"/>
    <w:rsid w:val="00320F07"/>
    <w:rsid w:val="00323515"/>
    <w:rsid w:val="0032664E"/>
    <w:rsid w:val="00331016"/>
    <w:rsid w:val="00337C51"/>
    <w:rsid w:val="00340CED"/>
    <w:rsid w:val="0034160F"/>
    <w:rsid w:val="003417FD"/>
    <w:rsid w:val="00341F2B"/>
    <w:rsid w:val="00341FFE"/>
    <w:rsid w:val="003425BB"/>
    <w:rsid w:val="00345B4B"/>
    <w:rsid w:val="003463CC"/>
    <w:rsid w:val="00347936"/>
    <w:rsid w:val="0035081A"/>
    <w:rsid w:val="003518DA"/>
    <w:rsid w:val="00352982"/>
    <w:rsid w:val="00352B68"/>
    <w:rsid w:val="003541BD"/>
    <w:rsid w:val="0035594C"/>
    <w:rsid w:val="00357993"/>
    <w:rsid w:val="00371F32"/>
    <w:rsid w:val="003750F5"/>
    <w:rsid w:val="003775BD"/>
    <w:rsid w:val="0038084F"/>
    <w:rsid w:val="00381755"/>
    <w:rsid w:val="00392DA7"/>
    <w:rsid w:val="00393A1C"/>
    <w:rsid w:val="00394B85"/>
    <w:rsid w:val="00395F14"/>
    <w:rsid w:val="00396019"/>
    <w:rsid w:val="003A0F30"/>
    <w:rsid w:val="003A2ED7"/>
    <w:rsid w:val="003A2FD7"/>
    <w:rsid w:val="003B4716"/>
    <w:rsid w:val="003B7696"/>
    <w:rsid w:val="003D46B6"/>
    <w:rsid w:val="003E15EC"/>
    <w:rsid w:val="003E6939"/>
    <w:rsid w:val="003E734E"/>
    <w:rsid w:val="003F0ACA"/>
    <w:rsid w:val="003F2D6A"/>
    <w:rsid w:val="003F76CB"/>
    <w:rsid w:val="0040352D"/>
    <w:rsid w:val="0040679E"/>
    <w:rsid w:val="004112E8"/>
    <w:rsid w:val="00416C87"/>
    <w:rsid w:val="0042293B"/>
    <w:rsid w:val="00431B40"/>
    <w:rsid w:val="00432888"/>
    <w:rsid w:val="004353C4"/>
    <w:rsid w:val="00440EE5"/>
    <w:rsid w:val="0044105C"/>
    <w:rsid w:val="004418AB"/>
    <w:rsid w:val="00443762"/>
    <w:rsid w:val="004444A0"/>
    <w:rsid w:val="00447E44"/>
    <w:rsid w:val="0045397A"/>
    <w:rsid w:val="00454667"/>
    <w:rsid w:val="004555BB"/>
    <w:rsid w:val="00456FF0"/>
    <w:rsid w:val="004576A2"/>
    <w:rsid w:val="00457EB0"/>
    <w:rsid w:val="00461FC2"/>
    <w:rsid w:val="00462A89"/>
    <w:rsid w:val="004656CA"/>
    <w:rsid w:val="00473DAF"/>
    <w:rsid w:val="00474E3B"/>
    <w:rsid w:val="0047510A"/>
    <w:rsid w:val="00475AF2"/>
    <w:rsid w:val="00476042"/>
    <w:rsid w:val="00476A69"/>
    <w:rsid w:val="0047744D"/>
    <w:rsid w:val="0048094B"/>
    <w:rsid w:val="0048171E"/>
    <w:rsid w:val="00482EDB"/>
    <w:rsid w:val="00484463"/>
    <w:rsid w:val="004852ED"/>
    <w:rsid w:val="00487E38"/>
    <w:rsid w:val="0049320E"/>
    <w:rsid w:val="00494C49"/>
    <w:rsid w:val="00495E90"/>
    <w:rsid w:val="00495F71"/>
    <w:rsid w:val="00496D4D"/>
    <w:rsid w:val="00497ABA"/>
    <w:rsid w:val="004A0BDA"/>
    <w:rsid w:val="004A1957"/>
    <w:rsid w:val="004A352E"/>
    <w:rsid w:val="004A6139"/>
    <w:rsid w:val="004A6318"/>
    <w:rsid w:val="004B0CBB"/>
    <w:rsid w:val="004B281C"/>
    <w:rsid w:val="004B2EAB"/>
    <w:rsid w:val="004B32DD"/>
    <w:rsid w:val="004B3FFA"/>
    <w:rsid w:val="004B5AB6"/>
    <w:rsid w:val="004B6353"/>
    <w:rsid w:val="004B7AAA"/>
    <w:rsid w:val="004C3A85"/>
    <w:rsid w:val="004C3D9C"/>
    <w:rsid w:val="004C4548"/>
    <w:rsid w:val="004C5FA2"/>
    <w:rsid w:val="004D14C8"/>
    <w:rsid w:val="004D1DAF"/>
    <w:rsid w:val="004E33B6"/>
    <w:rsid w:val="004E414D"/>
    <w:rsid w:val="004F218A"/>
    <w:rsid w:val="004F3314"/>
    <w:rsid w:val="004F38F7"/>
    <w:rsid w:val="004F3FA8"/>
    <w:rsid w:val="004F60F1"/>
    <w:rsid w:val="004F6311"/>
    <w:rsid w:val="004F6A9F"/>
    <w:rsid w:val="004F7B15"/>
    <w:rsid w:val="0050076B"/>
    <w:rsid w:val="00512320"/>
    <w:rsid w:val="0051409B"/>
    <w:rsid w:val="00520777"/>
    <w:rsid w:val="00521E39"/>
    <w:rsid w:val="00522469"/>
    <w:rsid w:val="00534229"/>
    <w:rsid w:val="00534DC1"/>
    <w:rsid w:val="0053614D"/>
    <w:rsid w:val="005371CA"/>
    <w:rsid w:val="0054244A"/>
    <w:rsid w:val="00553354"/>
    <w:rsid w:val="005538F8"/>
    <w:rsid w:val="00554012"/>
    <w:rsid w:val="00554C40"/>
    <w:rsid w:val="00557D98"/>
    <w:rsid w:val="0056056E"/>
    <w:rsid w:val="00560C2A"/>
    <w:rsid w:val="00562060"/>
    <w:rsid w:val="00563E3E"/>
    <w:rsid w:val="00567752"/>
    <w:rsid w:val="00571F3F"/>
    <w:rsid w:val="00572C66"/>
    <w:rsid w:val="00573C6B"/>
    <w:rsid w:val="005765E1"/>
    <w:rsid w:val="00576619"/>
    <w:rsid w:val="00577E5F"/>
    <w:rsid w:val="005812B3"/>
    <w:rsid w:val="00581743"/>
    <w:rsid w:val="00581D19"/>
    <w:rsid w:val="005843FF"/>
    <w:rsid w:val="005850DB"/>
    <w:rsid w:val="00585D76"/>
    <w:rsid w:val="005906D7"/>
    <w:rsid w:val="005911BA"/>
    <w:rsid w:val="005958EE"/>
    <w:rsid w:val="0059783C"/>
    <w:rsid w:val="005A16A3"/>
    <w:rsid w:val="005A2E3E"/>
    <w:rsid w:val="005A3424"/>
    <w:rsid w:val="005A4B12"/>
    <w:rsid w:val="005B23D5"/>
    <w:rsid w:val="005B2865"/>
    <w:rsid w:val="005B79BB"/>
    <w:rsid w:val="005C48CF"/>
    <w:rsid w:val="005D1205"/>
    <w:rsid w:val="005D65E3"/>
    <w:rsid w:val="005E2A58"/>
    <w:rsid w:val="005F22FE"/>
    <w:rsid w:val="005F28D4"/>
    <w:rsid w:val="005F2CB0"/>
    <w:rsid w:val="005F3296"/>
    <w:rsid w:val="005F3C91"/>
    <w:rsid w:val="005F5640"/>
    <w:rsid w:val="005F6053"/>
    <w:rsid w:val="005F761C"/>
    <w:rsid w:val="005F7CC9"/>
    <w:rsid w:val="00600C74"/>
    <w:rsid w:val="006016A9"/>
    <w:rsid w:val="0060398B"/>
    <w:rsid w:val="0060759E"/>
    <w:rsid w:val="0061140A"/>
    <w:rsid w:val="00612840"/>
    <w:rsid w:val="00612E41"/>
    <w:rsid w:val="00614E4F"/>
    <w:rsid w:val="0061615F"/>
    <w:rsid w:val="00620A4B"/>
    <w:rsid w:val="006215CD"/>
    <w:rsid w:val="00621EC2"/>
    <w:rsid w:val="006228E1"/>
    <w:rsid w:val="00624848"/>
    <w:rsid w:val="0062745A"/>
    <w:rsid w:val="00631C68"/>
    <w:rsid w:val="00633BDE"/>
    <w:rsid w:val="00633FE4"/>
    <w:rsid w:val="00642EB1"/>
    <w:rsid w:val="0064334A"/>
    <w:rsid w:val="006564E2"/>
    <w:rsid w:val="00660DE4"/>
    <w:rsid w:val="006629C6"/>
    <w:rsid w:val="00663544"/>
    <w:rsid w:val="00663909"/>
    <w:rsid w:val="006641CD"/>
    <w:rsid w:val="0066456C"/>
    <w:rsid w:val="006647DD"/>
    <w:rsid w:val="006648E0"/>
    <w:rsid w:val="00664D69"/>
    <w:rsid w:val="00670F6E"/>
    <w:rsid w:val="00671193"/>
    <w:rsid w:val="006738FB"/>
    <w:rsid w:val="00675DE1"/>
    <w:rsid w:val="0067680A"/>
    <w:rsid w:val="00681CA1"/>
    <w:rsid w:val="00683324"/>
    <w:rsid w:val="00684173"/>
    <w:rsid w:val="0068590A"/>
    <w:rsid w:val="00690087"/>
    <w:rsid w:val="006907D6"/>
    <w:rsid w:val="00692AEC"/>
    <w:rsid w:val="006951C1"/>
    <w:rsid w:val="00697CF0"/>
    <w:rsid w:val="006A0243"/>
    <w:rsid w:val="006A2214"/>
    <w:rsid w:val="006B1AF7"/>
    <w:rsid w:val="006B494B"/>
    <w:rsid w:val="006C0B44"/>
    <w:rsid w:val="006C3AC4"/>
    <w:rsid w:val="006C5164"/>
    <w:rsid w:val="006C6B2F"/>
    <w:rsid w:val="006D0D48"/>
    <w:rsid w:val="006D2C75"/>
    <w:rsid w:val="006E7632"/>
    <w:rsid w:val="006F1752"/>
    <w:rsid w:val="006F26C4"/>
    <w:rsid w:val="006F348F"/>
    <w:rsid w:val="006F5826"/>
    <w:rsid w:val="006F5B36"/>
    <w:rsid w:val="006F7960"/>
    <w:rsid w:val="00700866"/>
    <w:rsid w:val="00703898"/>
    <w:rsid w:val="00704CCE"/>
    <w:rsid w:val="007137C8"/>
    <w:rsid w:val="007142DE"/>
    <w:rsid w:val="00714498"/>
    <w:rsid w:val="00714C62"/>
    <w:rsid w:val="0071663B"/>
    <w:rsid w:val="007229B5"/>
    <w:rsid w:val="00724570"/>
    <w:rsid w:val="0073081C"/>
    <w:rsid w:val="00733CFA"/>
    <w:rsid w:val="00734ADD"/>
    <w:rsid w:val="00736230"/>
    <w:rsid w:val="00740629"/>
    <w:rsid w:val="00741CE4"/>
    <w:rsid w:val="007428B5"/>
    <w:rsid w:val="007511A8"/>
    <w:rsid w:val="007515C3"/>
    <w:rsid w:val="007526CC"/>
    <w:rsid w:val="00754F90"/>
    <w:rsid w:val="007576DD"/>
    <w:rsid w:val="00761785"/>
    <w:rsid w:val="00763E23"/>
    <w:rsid w:val="007704E3"/>
    <w:rsid w:val="007709EB"/>
    <w:rsid w:val="007763A2"/>
    <w:rsid w:val="00781787"/>
    <w:rsid w:val="00782036"/>
    <w:rsid w:val="00783725"/>
    <w:rsid w:val="00785BCE"/>
    <w:rsid w:val="00791FAB"/>
    <w:rsid w:val="007A0D29"/>
    <w:rsid w:val="007A591E"/>
    <w:rsid w:val="007A60DB"/>
    <w:rsid w:val="007A6C68"/>
    <w:rsid w:val="007A779A"/>
    <w:rsid w:val="007C00C7"/>
    <w:rsid w:val="007C222A"/>
    <w:rsid w:val="007C2FC4"/>
    <w:rsid w:val="007C4856"/>
    <w:rsid w:val="007D1748"/>
    <w:rsid w:val="007D2580"/>
    <w:rsid w:val="007D3455"/>
    <w:rsid w:val="007D614E"/>
    <w:rsid w:val="007D7442"/>
    <w:rsid w:val="007E4D16"/>
    <w:rsid w:val="007E50D2"/>
    <w:rsid w:val="007E6D03"/>
    <w:rsid w:val="007E7C9D"/>
    <w:rsid w:val="007F08FA"/>
    <w:rsid w:val="007F238B"/>
    <w:rsid w:val="007F2F1E"/>
    <w:rsid w:val="007F7457"/>
    <w:rsid w:val="008004CA"/>
    <w:rsid w:val="008029E6"/>
    <w:rsid w:val="00803EEC"/>
    <w:rsid w:val="00804CD3"/>
    <w:rsid w:val="00805413"/>
    <w:rsid w:val="00806944"/>
    <w:rsid w:val="0081376E"/>
    <w:rsid w:val="00817A32"/>
    <w:rsid w:val="00820AC5"/>
    <w:rsid w:val="008241C4"/>
    <w:rsid w:val="00824748"/>
    <w:rsid w:val="008251E1"/>
    <w:rsid w:val="00825863"/>
    <w:rsid w:val="008310A8"/>
    <w:rsid w:val="008319CF"/>
    <w:rsid w:val="00833B39"/>
    <w:rsid w:val="00837949"/>
    <w:rsid w:val="008508A1"/>
    <w:rsid w:val="008548D7"/>
    <w:rsid w:val="00855403"/>
    <w:rsid w:val="008564EB"/>
    <w:rsid w:val="00862B87"/>
    <w:rsid w:val="0086644A"/>
    <w:rsid w:val="00874606"/>
    <w:rsid w:val="00875FF3"/>
    <w:rsid w:val="00877381"/>
    <w:rsid w:val="00880C9D"/>
    <w:rsid w:val="0088157F"/>
    <w:rsid w:val="0088452B"/>
    <w:rsid w:val="00886758"/>
    <w:rsid w:val="008879DD"/>
    <w:rsid w:val="00891489"/>
    <w:rsid w:val="008A231A"/>
    <w:rsid w:val="008A2626"/>
    <w:rsid w:val="008A795F"/>
    <w:rsid w:val="008B10B8"/>
    <w:rsid w:val="008B640F"/>
    <w:rsid w:val="008B77FF"/>
    <w:rsid w:val="008D2F75"/>
    <w:rsid w:val="008D7BC8"/>
    <w:rsid w:val="008D7EB2"/>
    <w:rsid w:val="008E5D71"/>
    <w:rsid w:val="008E68C8"/>
    <w:rsid w:val="008F0F02"/>
    <w:rsid w:val="008F3D93"/>
    <w:rsid w:val="008F6767"/>
    <w:rsid w:val="009007EC"/>
    <w:rsid w:val="009016A3"/>
    <w:rsid w:val="00906121"/>
    <w:rsid w:val="009066D8"/>
    <w:rsid w:val="00911629"/>
    <w:rsid w:val="00911834"/>
    <w:rsid w:val="009128BB"/>
    <w:rsid w:val="00912E93"/>
    <w:rsid w:val="009215D9"/>
    <w:rsid w:val="00923952"/>
    <w:rsid w:val="009257D0"/>
    <w:rsid w:val="009267B5"/>
    <w:rsid w:val="0093031C"/>
    <w:rsid w:val="00930359"/>
    <w:rsid w:val="00933FE0"/>
    <w:rsid w:val="009347C8"/>
    <w:rsid w:val="00935283"/>
    <w:rsid w:val="009421A0"/>
    <w:rsid w:val="00945754"/>
    <w:rsid w:val="009506A1"/>
    <w:rsid w:val="009513FC"/>
    <w:rsid w:val="00951E17"/>
    <w:rsid w:val="00957AB2"/>
    <w:rsid w:val="00961EE9"/>
    <w:rsid w:val="009631D3"/>
    <w:rsid w:val="009636A2"/>
    <w:rsid w:val="00965755"/>
    <w:rsid w:val="00971F7B"/>
    <w:rsid w:val="00973871"/>
    <w:rsid w:val="0097634E"/>
    <w:rsid w:val="0097636B"/>
    <w:rsid w:val="00976ED2"/>
    <w:rsid w:val="00977312"/>
    <w:rsid w:val="00983053"/>
    <w:rsid w:val="00984A27"/>
    <w:rsid w:val="009860F4"/>
    <w:rsid w:val="00986ADE"/>
    <w:rsid w:val="009900DF"/>
    <w:rsid w:val="00992A29"/>
    <w:rsid w:val="009A1138"/>
    <w:rsid w:val="009A16FB"/>
    <w:rsid w:val="009A1FC2"/>
    <w:rsid w:val="009A3C1F"/>
    <w:rsid w:val="009A3FE8"/>
    <w:rsid w:val="009A6B16"/>
    <w:rsid w:val="009A79E2"/>
    <w:rsid w:val="009B1A89"/>
    <w:rsid w:val="009B658C"/>
    <w:rsid w:val="009C09B1"/>
    <w:rsid w:val="009C0C9C"/>
    <w:rsid w:val="009C4956"/>
    <w:rsid w:val="009C4ABE"/>
    <w:rsid w:val="009D1AC1"/>
    <w:rsid w:val="009D320D"/>
    <w:rsid w:val="009D7F0A"/>
    <w:rsid w:val="009E047D"/>
    <w:rsid w:val="009E3BEF"/>
    <w:rsid w:val="009E44AD"/>
    <w:rsid w:val="009F09C0"/>
    <w:rsid w:val="009F0E8D"/>
    <w:rsid w:val="009F39D3"/>
    <w:rsid w:val="00A029D8"/>
    <w:rsid w:val="00A03B14"/>
    <w:rsid w:val="00A05EC2"/>
    <w:rsid w:val="00A13490"/>
    <w:rsid w:val="00A23DF7"/>
    <w:rsid w:val="00A32272"/>
    <w:rsid w:val="00A3479A"/>
    <w:rsid w:val="00A358FB"/>
    <w:rsid w:val="00A40321"/>
    <w:rsid w:val="00A4110D"/>
    <w:rsid w:val="00A44AD6"/>
    <w:rsid w:val="00A46B7C"/>
    <w:rsid w:val="00A46C98"/>
    <w:rsid w:val="00A47AF3"/>
    <w:rsid w:val="00A53EFC"/>
    <w:rsid w:val="00A56993"/>
    <w:rsid w:val="00A63539"/>
    <w:rsid w:val="00A66E48"/>
    <w:rsid w:val="00A729DB"/>
    <w:rsid w:val="00A730A4"/>
    <w:rsid w:val="00A76FBE"/>
    <w:rsid w:val="00A80A40"/>
    <w:rsid w:val="00A83A83"/>
    <w:rsid w:val="00A85680"/>
    <w:rsid w:val="00A957AE"/>
    <w:rsid w:val="00AA1F13"/>
    <w:rsid w:val="00AA2B53"/>
    <w:rsid w:val="00AA3DF8"/>
    <w:rsid w:val="00AA3F12"/>
    <w:rsid w:val="00AB0B8C"/>
    <w:rsid w:val="00AC23A1"/>
    <w:rsid w:val="00AC6666"/>
    <w:rsid w:val="00AC6F78"/>
    <w:rsid w:val="00AD1672"/>
    <w:rsid w:val="00AE1FC2"/>
    <w:rsid w:val="00AF0567"/>
    <w:rsid w:val="00AF1317"/>
    <w:rsid w:val="00AF1FC7"/>
    <w:rsid w:val="00AF2810"/>
    <w:rsid w:val="00AF2974"/>
    <w:rsid w:val="00AF5EF1"/>
    <w:rsid w:val="00B00F16"/>
    <w:rsid w:val="00B0270C"/>
    <w:rsid w:val="00B100F4"/>
    <w:rsid w:val="00B11081"/>
    <w:rsid w:val="00B128F2"/>
    <w:rsid w:val="00B14711"/>
    <w:rsid w:val="00B16F5B"/>
    <w:rsid w:val="00B2307D"/>
    <w:rsid w:val="00B25782"/>
    <w:rsid w:val="00B278E4"/>
    <w:rsid w:val="00B311A9"/>
    <w:rsid w:val="00B33714"/>
    <w:rsid w:val="00B3491E"/>
    <w:rsid w:val="00B37E29"/>
    <w:rsid w:val="00B43DAB"/>
    <w:rsid w:val="00B45077"/>
    <w:rsid w:val="00B4561E"/>
    <w:rsid w:val="00B45D8F"/>
    <w:rsid w:val="00B528A5"/>
    <w:rsid w:val="00B53817"/>
    <w:rsid w:val="00B602E3"/>
    <w:rsid w:val="00B6330F"/>
    <w:rsid w:val="00B66166"/>
    <w:rsid w:val="00B70FFE"/>
    <w:rsid w:val="00B71E2B"/>
    <w:rsid w:val="00B72826"/>
    <w:rsid w:val="00B72E6F"/>
    <w:rsid w:val="00B7733F"/>
    <w:rsid w:val="00B8049B"/>
    <w:rsid w:val="00B84E0E"/>
    <w:rsid w:val="00B86DD0"/>
    <w:rsid w:val="00B92A3F"/>
    <w:rsid w:val="00B93FAD"/>
    <w:rsid w:val="00BA2913"/>
    <w:rsid w:val="00BA3D56"/>
    <w:rsid w:val="00BB14B6"/>
    <w:rsid w:val="00BB3A45"/>
    <w:rsid w:val="00BB3FC5"/>
    <w:rsid w:val="00BB7F84"/>
    <w:rsid w:val="00BC5E1D"/>
    <w:rsid w:val="00BC764E"/>
    <w:rsid w:val="00BD59EE"/>
    <w:rsid w:val="00BD75DF"/>
    <w:rsid w:val="00BE2034"/>
    <w:rsid w:val="00BE2B2B"/>
    <w:rsid w:val="00BE7217"/>
    <w:rsid w:val="00BF0579"/>
    <w:rsid w:val="00BF1149"/>
    <w:rsid w:val="00BF2A6D"/>
    <w:rsid w:val="00C06FC0"/>
    <w:rsid w:val="00C135BC"/>
    <w:rsid w:val="00C13B26"/>
    <w:rsid w:val="00C14E14"/>
    <w:rsid w:val="00C21646"/>
    <w:rsid w:val="00C23668"/>
    <w:rsid w:val="00C372DD"/>
    <w:rsid w:val="00C3753F"/>
    <w:rsid w:val="00C403C3"/>
    <w:rsid w:val="00C40671"/>
    <w:rsid w:val="00C44C06"/>
    <w:rsid w:val="00C45B3F"/>
    <w:rsid w:val="00C45FB2"/>
    <w:rsid w:val="00C470DD"/>
    <w:rsid w:val="00C501F2"/>
    <w:rsid w:val="00C516E1"/>
    <w:rsid w:val="00C53A09"/>
    <w:rsid w:val="00C54742"/>
    <w:rsid w:val="00C6318E"/>
    <w:rsid w:val="00C653B5"/>
    <w:rsid w:val="00C81658"/>
    <w:rsid w:val="00C8478A"/>
    <w:rsid w:val="00C848E5"/>
    <w:rsid w:val="00C8759C"/>
    <w:rsid w:val="00C91106"/>
    <w:rsid w:val="00C93165"/>
    <w:rsid w:val="00C94DDC"/>
    <w:rsid w:val="00CA059B"/>
    <w:rsid w:val="00CA164B"/>
    <w:rsid w:val="00CA18D4"/>
    <w:rsid w:val="00CA540E"/>
    <w:rsid w:val="00CB06F2"/>
    <w:rsid w:val="00CB18C0"/>
    <w:rsid w:val="00CB2532"/>
    <w:rsid w:val="00CD2773"/>
    <w:rsid w:val="00CD2EE3"/>
    <w:rsid w:val="00CD675D"/>
    <w:rsid w:val="00CE31B5"/>
    <w:rsid w:val="00CF3C34"/>
    <w:rsid w:val="00CF3E71"/>
    <w:rsid w:val="00CF59B6"/>
    <w:rsid w:val="00CF6743"/>
    <w:rsid w:val="00CF6FB6"/>
    <w:rsid w:val="00D075CC"/>
    <w:rsid w:val="00D12783"/>
    <w:rsid w:val="00D14DB1"/>
    <w:rsid w:val="00D16FAE"/>
    <w:rsid w:val="00D17271"/>
    <w:rsid w:val="00D205A8"/>
    <w:rsid w:val="00D22661"/>
    <w:rsid w:val="00D251D6"/>
    <w:rsid w:val="00D34DE5"/>
    <w:rsid w:val="00D34ED7"/>
    <w:rsid w:val="00D36461"/>
    <w:rsid w:val="00D41C99"/>
    <w:rsid w:val="00D47BF9"/>
    <w:rsid w:val="00D518DC"/>
    <w:rsid w:val="00D5192D"/>
    <w:rsid w:val="00D60BC0"/>
    <w:rsid w:val="00D63480"/>
    <w:rsid w:val="00D64D2C"/>
    <w:rsid w:val="00D6574B"/>
    <w:rsid w:val="00D72E3E"/>
    <w:rsid w:val="00D73139"/>
    <w:rsid w:val="00D741E0"/>
    <w:rsid w:val="00D746A3"/>
    <w:rsid w:val="00D857AF"/>
    <w:rsid w:val="00D8713D"/>
    <w:rsid w:val="00D87857"/>
    <w:rsid w:val="00D879AE"/>
    <w:rsid w:val="00D91B14"/>
    <w:rsid w:val="00D95819"/>
    <w:rsid w:val="00DB02E5"/>
    <w:rsid w:val="00DB1EA2"/>
    <w:rsid w:val="00DC4C5F"/>
    <w:rsid w:val="00DC589B"/>
    <w:rsid w:val="00DC7AFE"/>
    <w:rsid w:val="00DD02A2"/>
    <w:rsid w:val="00DD5973"/>
    <w:rsid w:val="00DD5EB2"/>
    <w:rsid w:val="00DD633B"/>
    <w:rsid w:val="00DE040D"/>
    <w:rsid w:val="00DE1379"/>
    <w:rsid w:val="00DE4FF9"/>
    <w:rsid w:val="00DE61F0"/>
    <w:rsid w:val="00DF309B"/>
    <w:rsid w:val="00DF7D9C"/>
    <w:rsid w:val="00E01C51"/>
    <w:rsid w:val="00E051F8"/>
    <w:rsid w:val="00E05264"/>
    <w:rsid w:val="00E05D4F"/>
    <w:rsid w:val="00E06D9A"/>
    <w:rsid w:val="00E07458"/>
    <w:rsid w:val="00E117CA"/>
    <w:rsid w:val="00E1275D"/>
    <w:rsid w:val="00E13008"/>
    <w:rsid w:val="00E14398"/>
    <w:rsid w:val="00E172EB"/>
    <w:rsid w:val="00E20312"/>
    <w:rsid w:val="00E31429"/>
    <w:rsid w:val="00E32ED0"/>
    <w:rsid w:val="00E340B1"/>
    <w:rsid w:val="00E3523A"/>
    <w:rsid w:val="00E36CC8"/>
    <w:rsid w:val="00E44E5C"/>
    <w:rsid w:val="00E52AC3"/>
    <w:rsid w:val="00E535AB"/>
    <w:rsid w:val="00E542FC"/>
    <w:rsid w:val="00E566A5"/>
    <w:rsid w:val="00E575CD"/>
    <w:rsid w:val="00E6335E"/>
    <w:rsid w:val="00E654AF"/>
    <w:rsid w:val="00E67A05"/>
    <w:rsid w:val="00E7080B"/>
    <w:rsid w:val="00E70D26"/>
    <w:rsid w:val="00E7134E"/>
    <w:rsid w:val="00E71FF4"/>
    <w:rsid w:val="00E721AC"/>
    <w:rsid w:val="00E74D59"/>
    <w:rsid w:val="00E7551C"/>
    <w:rsid w:val="00E759D8"/>
    <w:rsid w:val="00E75E54"/>
    <w:rsid w:val="00E77730"/>
    <w:rsid w:val="00E836C9"/>
    <w:rsid w:val="00E8405B"/>
    <w:rsid w:val="00E856EA"/>
    <w:rsid w:val="00E85B23"/>
    <w:rsid w:val="00E86278"/>
    <w:rsid w:val="00E90FA2"/>
    <w:rsid w:val="00E92197"/>
    <w:rsid w:val="00E9664B"/>
    <w:rsid w:val="00EA036A"/>
    <w:rsid w:val="00EA1FAE"/>
    <w:rsid w:val="00EB55E0"/>
    <w:rsid w:val="00EB5970"/>
    <w:rsid w:val="00EB6594"/>
    <w:rsid w:val="00EC0B7D"/>
    <w:rsid w:val="00EC2B65"/>
    <w:rsid w:val="00EC4F35"/>
    <w:rsid w:val="00EC56C7"/>
    <w:rsid w:val="00EC5BDB"/>
    <w:rsid w:val="00EC7430"/>
    <w:rsid w:val="00EC7E2B"/>
    <w:rsid w:val="00ED4514"/>
    <w:rsid w:val="00ED76E1"/>
    <w:rsid w:val="00EE3FEC"/>
    <w:rsid w:val="00EE5C48"/>
    <w:rsid w:val="00EE5E5E"/>
    <w:rsid w:val="00EF1C30"/>
    <w:rsid w:val="00EF2A4F"/>
    <w:rsid w:val="00EF2C5D"/>
    <w:rsid w:val="00EF42FD"/>
    <w:rsid w:val="00F0653F"/>
    <w:rsid w:val="00F10940"/>
    <w:rsid w:val="00F14954"/>
    <w:rsid w:val="00F15023"/>
    <w:rsid w:val="00F15B79"/>
    <w:rsid w:val="00F15C2D"/>
    <w:rsid w:val="00F16488"/>
    <w:rsid w:val="00F2208D"/>
    <w:rsid w:val="00F24FF8"/>
    <w:rsid w:val="00F31A08"/>
    <w:rsid w:val="00F36A7A"/>
    <w:rsid w:val="00F41E21"/>
    <w:rsid w:val="00F43F27"/>
    <w:rsid w:val="00F44A4E"/>
    <w:rsid w:val="00F53B5E"/>
    <w:rsid w:val="00F558BD"/>
    <w:rsid w:val="00F5643A"/>
    <w:rsid w:val="00F56BEC"/>
    <w:rsid w:val="00F6161C"/>
    <w:rsid w:val="00F61B4F"/>
    <w:rsid w:val="00F64C04"/>
    <w:rsid w:val="00F65450"/>
    <w:rsid w:val="00F66362"/>
    <w:rsid w:val="00F77142"/>
    <w:rsid w:val="00F80C43"/>
    <w:rsid w:val="00F86C73"/>
    <w:rsid w:val="00F86C91"/>
    <w:rsid w:val="00F90793"/>
    <w:rsid w:val="00F95ED0"/>
    <w:rsid w:val="00F96EC8"/>
    <w:rsid w:val="00FA727C"/>
    <w:rsid w:val="00FB338F"/>
    <w:rsid w:val="00FB4149"/>
    <w:rsid w:val="00FB4155"/>
    <w:rsid w:val="00FB52D2"/>
    <w:rsid w:val="00FB58B2"/>
    <w:rsid w:val="00FC4CD1"/>
    <w:rsid w:val="00FD2895"/>
    <w:rsid w:val="00FE02A2"/>
    <w:rsid w:val="00FE392A"/>
    <w:rsid w:val="00FE3FA2"/>
    <w:rsid w:val="00FE4BB6"/>
    <w:rsid w:val="00FF02DE"/>
    <w:rsid w:val="00FF460F"/>
    <w:rsid w:val="00FF5AF0"/>
    <w:rsid w:val="00FF63B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720392"/>
  <w15:chartTrackingRefBased/>
  <w15:docId w15:val="{1D020377-D285-4EA1-932B-CEBF16B3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rsid w:val="00D87857"/>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Calibri" w:hAnsi="Calibri" w:cs="Times New Roman"/>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AF1317"/>
    <w:pPr>
      <w:tabs>
        <w:tab w:val="left" w:pos="-720"/>
        <w:tab w:val="left" w:pos="567"/>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link w:val="FooterChar"/>
    <w:uiPriority w:val="99"/>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EndnoteTextChar">
    <w:name w:val="Endnote Text Char"/>
    <w:link w:val="EndnoteText"/>
    <w:rsid w:val="00E7080B"/>
    <w:rPr>
      <w:rFonts w:ascii="Optima" w:hAnsi="Optima" w:cs="Univers"/>
      <w:sz w:val="24"/>
      <w:szCs w:val="25"/>
      <w:lang w:val="en-US" w:eastAsia="en-US"/>
    </w:rPr>
  </w:style>
  <w:style w:type="paragraph" w:styleId="ListParagraph">
    <w:name w:val="List Paragraph"/>
    <w:basedOn w:val="Normal"/>
    <w:uiPriority w:val="34"/>
    <w:qFormat/>
    <w:rsid w:val="00DE61F0"/>
    <w:pPr>
      <w:ind w:left="720"/>
    </w:pPr>
  </w:style>
  <w:style w:type="character" w:customStyle="1" w:styleId="FooterChar">
    <w:name w:val="Footer Char"/>
    <w:basedOn w:val="DefaultParagraphFont"/>
    <w:link w:val="Footer"/>
    <w:uiPriority w:val="99"/>
    <w:rsid w:val="004A6139"/>
    <w:rPr>
      <w:rFonts w:ascii="Optima" w:hAnsi="Optima" w:cs="Univers"/>
      <w:sz w:val="24"/>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9197">
      <w:bodyDiv w:val="1"/>
      <w:marLeft w:val="0"/>
      <w:marRight w:val="0"/>
      <w:marTop w:val="0"/>
      <w:marBottom w:val="0"/>
      <w:divBdr>
        <w:top w:val="none" w:sz="0" w:space="0" w:color="auto"/>
        <w:left w:val="none" w:sz="0" w:space="0" w:color="auto"/>
        <w:bottom w:val="none" w:sz="0" w:space="0" w:color="auto"/>
        <w:right w:val="none" w:sz="0" w:space="0" w:color="auto"/>
      </w:divBdr>
    </w:div>
    <w:div w:id="18618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0A08-FBC9-4F5E-A499-8579B577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Sathish</cp:lastModifiedBy>
  <cp:revision>3</cp:revision>
  <cp:lastPrinted>2023-10-25T09:12:00Z</cp:lastPrinted>
  <dcterms:created xsi:type="dcterms:W3CDTF">2024-02-29T12:02:00Z</dcterms:created>
  <dcterms:modified xsi:type="dcterms:W3CDTF">2024-02-29T14:06:00Z</dcterms:modified>
</cp:coreProperties>
</file>