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0D05" w14:textId="2C4D511C" w:rsidR="001D593F" w:rsidRDefault="001D593F" w:rsidP="001D593F">
      <w:pPr>
        <w:tabs>
          <w:tab w:val="left" w:pos="2342"/>
          <w:tab w:val="center" w:pos="4513"/>
        </w:tabs>
        <w:spacing w:after="0" w:line="240" w:lineRule="auto"/>
        <w:outlineLvl w:val="0"/>
        <w:rPr>
          <w:rFonts w:ascii="Arial" w:eastAsia="Times New Roman" w:hAnsi="Arial" w:cs="Arial"/>
          <w:b/>
          <w:noProof/>
          <w:kern w:val="0"/>
          <w:lang w:eastAsia="en-ZA"/>
          <w14:ligatures w14:val="none"/>
        </w:rPr>
      </w:pPr>
      <w:bookmarkStart w:id="0" w:name="_GoBack"/>
      <w:r>
        <w:rPr>
          <w:rFonts w:ascii="Arial" w:eastAsia="Times New Roman" w:hAnsi="Arial" w:cs="Arial"/>
          <w:b/>
          <w:noProof/>
          <w:kern w:val="0"/>
          <w:lang w:val="en-US"/>
          <w14:ligatures w14:val="none"/>
        </w:rPr>
        <w:drawing>
          <wp:inline distT="0" distB="0" distL="0" distR="0" wp14:anchorId="5D62EC3D" wp14:editId="6E51B2CB">
            <wp:extent cx="4286250" cy="466725"/>
            <wp:effectExtent l="0" t="0" r="0" b="9525"/>
            <wp:docPr id="1" name="Picture 1"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A142203" w14:textId="4E24306F" w:rsidR="009E5E2D" w:rsidRPr="009E5E2D" w:rsidRDefault="009E5E2D" w:rsidP="009E5E2D">
      <w:pPr>
        <w:tabs>
          <w:tab w:val="left" w:pos="2342"/>
          <w:tab w:val="center" w:pos="4513"/>
        </w:tabs>
        <w:spacing w:after="0" w:line="240" w:lineRule="auto"/>
        <w:jc w:val="center"/>
        <w:outlineLvl w:val="0"/>
        <w:rPr>
          <w:rFonts w:ascii="Arial" w:eastAsia="Times New Roman" w:hAnsi="Arial" w:cs="Arial"/>
          <w:b/>
          <w:noProof/>
          <w:kern w:val="0"/>
          <w:lang w:eastAsia="en-ZA"/>
          <w14:ligatures w14:val="none"/>
        </w:rPr>
      </w:pPr>
      <w:r w:rsidRPr="009E5E2D">
        <w:rPr>
          <w:rFonts w:ascii="Arial" w:eastAsia="Times New Roman" w:hAnsi="Arial" w:cs="Arial"/>
          <w:b/>
          <w:noProof/>
          <w:kern w:val="0"/>
          <w:lang w:eastAsia="en-ZA"/>
          <w14:ligatures w14:val="none"/>
        </w:rPr>
        <w:t>REPUBLIC OF SOUTH AFRICA</w:t>
      </w:r>
    </w:p>
    <w:p w14:paraId="7169D169" w14:textId="77777777" w:rsidR="009E5E2D" w:rsidRPr="009E5E2D" w:rsidRDefault="009E5E2D" w:rsidP="009E5E2D">
      <w:pPr>
        <w:tabs>
          <w:tab w:val="left" w:pos="2342"/>
          <w:tab w:val="center" w:pos="4513"/>
        </w:tabs>
        <w:spacing w:after="0" w:line="240" w:lineRule="auto"/>
        <w:jc w:val="center"/>
        <w:outlineLvl w:val="0"/>
        <w:rPr>
          <w:rFonts w:ascii="Arial" w:eastAsia="Times New Roman" w:hAnsi="Arial" w:cs="Arial"/>
          <w:b/>
          <w:noProof/>
          <w:kern w:val="0"/>
          <w:lang w:eastAsia="en-ZA"/>
          <w14:ligatures w14:val="none"/>
        </w:rPr>
      </w:pPr>
    </w:p>
    <w:p w14:paraId="0393A0F5" w14:textId="77777777" w:rsidR="009E5E2D" w:rsidRPr="009E5E2D" w:rsidRDefault="009E5E2D" w:rsidP="009E5E2D">
      <w:pPr>
        <w:tabs>
          <w:tab w:val="left" w:pos="2342"/>
          <w:tab w:val="center" w:pos="4513"/>
        </w:tabs>
        <w:spacing w:after="0" w:line="240" w:lineRule="auto"/>
        <w:jc w:val="center"/>
        <w:outlineLvl w:val="0"/>
        <w:rPr>
          <w:rFonts w:ascii="Arial" w:eastAsia="Times New Roman" w:hAnsi="Arial" w:cs="Arial"/>
          <w:kern w:val="0"/>
          <w14:ligatures w14:val="none"/>
        </w:rPr>
      </w:pPr>
      <w:r w:rsidRPr="009E5E2D">
        <w:rPr>
          <w:rFonts w:ascii="Arial" w:eastAsia="Times New Roman" w:hAnsi="Arial" w:cs="Arial"/>
          <w:noProof/>
          <w:kern w:val="0"/>
          <w:lang w:val="en-US"/>
          <w14:ligatures w14:val="none"/>
        </w:rPr>
        <w:drawing>
          <wp:inline distT="0" distB="0" distL="0" distR="0" wp14:anchorId="0EED5C22" wp14:editId="42F430C9">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1929B90" w14:textId="77777777" w:rsidR="009E5E2D" w:rsidRPr="009E5E2D" w:rsidRDefault="009E5E2D" w:rsidP="009E5E2D">
      <w:pPr>
        <w:spacing w:after="0" w:line="240" w:lineRule="auto"/>
        <w:jc w:val="center"/>
        <w:outlineLvl w:val="0"/>
        <w:rPr>
          <w:rFonts w:ascii="Arial" w:eastAsia="Times New Roman" w:hAnsi="Arial" w:cs="Arial"/>
          <w:b/>
          <w:kern w:val="0"/>
          <w14:ligatures w14:val="none"/>
        </w:rPr>
      </w:pPr>
    </w:p>
    <w:p w14:paraId="0066C4E0" w14:textId="77777777" w:rsidR="009E5E2D" w:rsidRPr="009E5E2D" w:rsidRDefault="009E5E2D" w:rsidP="009E5E2D">
      <w:pPr>
        <w:spacing w:after="0" w:line="240" w:lineRule="auto"/>
        <w:jc w:val="center"/>
        <w:outlineLvl w:val="0"/>
        <w:rPr>
          <w:rFonts w:ascii="Arial" w:eastAsia="Times New Roman" w:hAnsi="Arial" w:cs="Arial"/>
          <w:b/>
          <w:kern w:val="0"/>
          <w14:ligatures w14:val="none"/>
        </w:rPr>
      </w:pPr>
      <w:r w:rsidRPr="009E5E2D">
        <w:rPr>
          <w:rFonts w:ascii="Arial" w:eastAsia="Times New Roman" w:hAnsi="Arial" w:cs="Arial"/>
          <w:b/>
          <w:kern w:val="0"/>
          <w14:ligatures w14:val="none"/>
        </w:rPr>
        <w:t>IN THE HIGH COURT OF SOUTH AFRICA</w:t>
      </w:r>
    </w:p>
    <w:p w14:paraId="019B6586" w14:textId="77777777" w:rsidR="009E5E2D" w:rsidRPr="009E5E2D" w:rsidRDefault="009E5E2D" w:rsidP="009E5E2D">
      <w:pPr>
        <w:spacing w:after="0" w:line="240" w:lineRule="auto"/>
        <w:jc w:val="center"/>
        <w:outlineLvl w:val="0"/>
        <w:rPr>
          <w:rFonts w:ascii="Arial" w:eastAsia="Times New Roman" w:hAnsi="Arial" w:cs="Arial"/>
          <w:b/>
          <w:kern w:val="0"/>
          <w14:ligatures w14:val="none"/>
        </w:rPr>
      </w:pPr>
      <w:r w:rsidRPr="009E5E2D">
        <w:rPr>
          <w:rFonts w:ascii="Arial" w:eastAsia="Times New Roman" w:hAnsi="Arial" w:cs="Arial"/>
          <w:b/>
          <w:kern w:val="0"/>
          <w14:ligatures w14:val="none"/>
        </w:rPr>
        <w:t>GAUTENG DIVISION, JOHANNESBURG</w:t>
      </w:r>
    </w:p>
    <w:p w14:paraId="4192763C" w14:textId="77777777" w:rsidR="009E5E2D" w:rsidRPr="009E5E2D" w:rsidRDefault="009E5E2D" w:rsidP="009E5E2D">
      <w:pPr>
        <w:spacing w:after="0" w:line="240" w:lineRule="auto"/>
        <w:jc w:val="both"/>
        <w:rPr>
          <w:rFonts w:ascii="Arial" w:eastAsia="Times New Roman" w:hAnsi="Arial" w:cs="Arial"/>
          <w:kern w:val="0"/>
          <w14:ligatures w14:val="none"/>
        </w:rPr>
      </w:pPr>
    </w:p>
    <w:p w14:paraId="2ACEB89F" w14:textId="77777777" w:rsidR="009E5E2D" w:rsidRPr="009E5E2D" w:rsidRDefault="009E5E2D" w:rsidP="009E5E2D">
      <w:pPr>
        <w:spacing w:after="0" w:line="240" w:lineRule="auto"/>
        <w:jc w:val="both"/>
        <w:rPr>
          <w:rFonts w:ascii="Arial" w:eastAsia="Times New Roman" w:hAnsi="Arial" w:cs="Arial"/>
          <w:kern w:val="0"/>
          <w14:ligatures w14:val="none"/>
        </w:rPr>
      </w:pPr>
    </w:p>
    <w:p w14:paraId="578D7C3C" w14:textId="54B2B80D" w:rsidR="009E5E2D" w:rsidRPr="009E5E2D" w:rsidRDefault="009E5E2D" w:rsidP="009E5E2D">
      <w:pPr>
        <w:tabs>
          <w:tab w:val="right" w:pos="9029"/>
        </w:tabs>
        <w:spacing w:after="0" w:line="240" w:lineRule="auto"/>
        <w:jc w:val="both"/>
        <w:rPr>
          <w:rFonts w:ascii="Arial" w:eastAsia="Times New Roman" w:hAnsi="Arial" w:cs="Arial"/>
          <w:bCs/>
          <w:kern w:val="0"/>
          <w14:ligatures w14:val="none"/>
        </w:rPr>
      </w:pPr>
      <w:r w:rsidRPr="009E5E2D">
        <w:rPr>
          <w:rFonts w:ascii="Arial" w:eastAsia="Times New Roman" w:hAnsi="Arial" w:cs="Arial"/>
          <w:kern w:val="0"/>
          <w14:ligatures w14:val="none"/>
        </w:rPr>
        <w:tab/>
      </w:r>
      <w:r w:rsidRPr="009E5E2D">
        <w:rPr>
          <w:rFonts w:ascii="Arial" w:eastAsia="Times New Roman" w:hAnsi="Arial" w:cs="Arial"/>
          <w:bCs/>
          <w:kern w:val="0"/>
          <w14:ligatures w14:val="none"/>
        </w:rPr>
        <w:t>Case Number: 2</w:t>
      </w:r>
      <w:r w:rsidR="0022511A">
        <w:rPr>
          <w:rFonts w:ascii="Arial" w:eastAsia="Times New Roman" w:hAnsi="Arial" w:cs="Arial"/>
          <w:bCs/>
          <w:kern w:val="0"/>
          <w14:ligatures w14:val="none"/>
        </w:rPr>
        <w:t>98</w:t>
      </w:r>
      <w:r w:rsidRPr="009E5E2D">
        <w:rPr>
          <w:rFonts w:ascii="Arial" w:eastAsia="Times New Roman" w:hAnsi="Arial" w:cs="Arial"/>
          <w:bCs/>
          <w:kern w:val="0"/>
          <w14:ligatures w14:val="none"/>
        </w:rPr>
        <w:t>5/2019</w:t>
      </w:r>
    </w:p>
    <w:p w14:paraId="69E3E6C8" w14:textId="77777777" w:rsidR="009E5E2D" w:rsidRPr="009E5E2D" w:rsidRDefault="009E5E2D" w:rsidP="009E5E2D">
      <w:pPr>
        <w:tabs>
          <w:tab w:val="right" w:pos="9029"/>
        </w:tabs>
        <w:spacing w:after="0" w:line="240" w:lineRule="auto"/>
        <w:jc w:val="both"/>
        <w:rPr>
          <w:rFonts w:ascii="Arial" w:eastAsia="Times New Roman" w:hAnsi="Arial" w:cs="Arial"/>
          <w:kern w:val="0"/>
          <w14:ligatures w14:val="none"/>
        </w:rPr>
      </w:pPr>
      <w:r w:rsidRPr="009E5E2D">
        <w:rPr>
          <w:rFonts w:ascii="Arial" w:eastAsia="Calibri" w:hAnsi="Arial" w:cs="Arial"/>
          <w:noProof/>
          <w:kern w:val="0"/>
          <w:lang w:val="en-US"/>
          <w14:ligatures w14:val="none"/>
        </w:rPr>
        <mc:AlternateContent>
          <mc:Choice Requires="wps">
            <w:drawing>
              <wp:anchor distT="0" distB="0" distL="114300" distR="114300" simplePos="0" relativeHeight="251659264" behindDoc="0" locked="0" layoutInCell="1" allowOverlap="1" wp14:anchorId="2D005DD8" wp14:editId="021D049C">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005883F" w14:textId="541AC49E" w:rsidR="009E5E2D" w:rsidRPr="00C344A5" w:rsidRDefault="004E47D1" w:rsidP="004E47D1">
                            <w:pPr>
                              <w:tabs>
                                <w:tab w:val="left" w:pos="900"/>
                              </w:tabs>
                              <w:spacing w:before="240"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9E5E2D" w:rsidRPr="00C344A5">
                              <w:rPr>
                                <w:rFonts w:ascii="Arial" w:hAnsi="Arial" w:cs="Arial"/>
                                <w:sz w:val="18"/>
                                <w:szCs w:val="20"/>
                              </w:rPr>
                              <w:t>REPORTABLE: YES / NO</w:t>
                            </w:r>
                          </w:p>
                          <w:p w14:paraId="7F48AA1B" w14:textId="11F3E166" w:rsidR="009E5E2D" w:rsidRPr="00C344A5" w:rsidRDefault="004E47D1" w:rsidP="004E47D1">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9E5E2D" w:rsidRPr="00C344A5">
                              <w:rPr>
                                <w:rFonts w:ascii="Arial" w:hAnsi="Arial" w:cs="Arial"/>
                                <w:sz w:val="18"/>
                                <w:szCs w:val="20"/>
                              </w:rPr>
                              <w:t xml:space="preserve">OF INTEREST TO OTHER JUDGES: </w:t>
                            </w:r>
                            <w:r w:rsidR="009E5E2D">
                              <w:rPr>
                                <w:rFonts w:ascii="Arial" w:hAnsi="Arial" w:cs="Arial"/>
                                <w:sz w:val="18"/>
                                <w:szCs w:val="20"/>
                              </w:rPr>
                              <w:t xml:space="preserve">YES / </w:t>
                            </w:r>
                            <w:r w:rsidR="009E5E2D" w:rsidRPr="00C344A5">
                              <w:rPr>
                                <w:rFonts w:ascii="Arial" w:hAnsi="Arial" w:cs="Arial"/>
                                <w:sz w:val="18"/>
                                <w:szCs w:val="20"/>
                              </w:rPr>
                              <w:t>NO</w:t>
                            </w:r>
                          </w:p>
                          <w:p w14:paraId="21B2CA1E" w14:textId="3788B0D0" w:rsidR="009E5E2D" w:rsidRPr="00C344A5" w:rsidRDefault="004E47D1" w:rsidP="004E47D1">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9E5E2D" w:rsidRPr="00C344A5">
                              <w:rPr>
                                <w:rFonts w:ascii="Arial" w:hAnsi="Arial" w:cs="Arial"/>
                                <w:sz w:val="18"/>
                                <w:szCs w:val="20"/>
                              </w:rPr>
                              <w:t xml:space="preserve">REVISED: </w:t>
                            </w:r>
                            <w:r w:rsidR="009E5E2D">
                              <w:rPr>
                                <w:rFonts w:ascii="Arial" w:hAnsi="Arial" w:cs="Arial"/>
                                <w:sz w:val="18"/>
                                <w:szCs w:val="20"/>
                              </w:rPr>
                              <w:t xml:space="preserve">YES / </w:t>
                            </w:r>
                            <w:r w:rsidR="009E5E2D" w:rsidRPr="00C344A5">
                              <w:rPr>
                                <w:rFonts w:ascii="Arial" w:hAnsi="Arial" w:cs="Arial"/>
                                <w:sz w:val="18"/>
                                <w:szCs w:val="20"/>
                              </w:rPr>
                              <w:t>NO</w:t>
                            </w:r>
                          </w:p>
                          <w:p w14:paraId="6300A18F" w14:textId="77777777" w:rsidR="009E5E2D" w:rsidRPr="00C344A5" w:rsidRDefault="009E5E2D" w:rsidP="009E5E2D">
                            <w:pPr>
                              <w:rPr>
                                <w:rFonts w:ascii="Arial" w:hAnsi="Arial" w:cs="Arial"/>
                                <w:b/>
                                <w:sz w:val="18"/>
                                <w:szCs w:val="20"/>
                              </w:rPr>
                            </w:pPr>
                          </w:p>
                          <w:p w14:paraId="2A42E1CA" w14:textId="77777777" w:rsidR="009E5E2D" w:rsidRPr="00C344A5" w:rsidRDefault="009E5E2D" w:rsidP="009E5E2D">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2DCB901" w14:textId="77777777" w:rsidR="009E5E2D" w:rsidRPr="00C344A5" w:rsidRDefault="009E5E2D" w:rsidP="009E5E2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5DD8"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5005883F" w14:textId="541AC49E" w:rsidR="009E5E2D" w:rsidRPr="00C344A5" w:rsidRDefault="004E47D1" w:rsidP="004E47D1">
                      <w:pPr>
                        <w:tabs>
                          <w:tab w:val="left" w:pos="900"/>
                        </w:tabs>
                        <w:spacing w:before="240"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9E5E2D" w:rsidRPr="00C344A5">
                        <w:rPr>
                          <w:rFonts w:ascii="Arial" w:hAnsi="Arial" w:cs="Arial"/>
                          <w:sz w:val="18"/>
                          <w:szCs w:val="20"/>
                        </w:rPr>
                        <w:t>REPORTABLE: YES / NO</w:t>
                      </w:r>
                    </w:p>
                    <w:p w14:paraId="7F48AA1B" w14:textId="11F3E166" w:rsidR="009E5E2D" w:rsidRPr="00C344A5" w:rsidRDefault="004E47D1" w:rsidP="004E47D1">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9E5E2D" w:rsidRPr="00C344A5">
                        <w:rPr>
                          <w:rFonts w:ascii="Arial" w:hAnsi="Arial" w:cs="Arial"/>
                          <w:sz w:val="18"/>
                          <w:szCs w:val="20"/>
                        </w:rPr>
                        <w:t xml:space="preserve">OF INTEREST TO OTHER JUDGES: </w:t>
                      </w:r>
                      <w:r w:rsidR="009E5E2D">
                        <w:rPr>
                          <w:rFonts w:ascii="Arial" w:hAnsi="Arial" w:cs="Arial"/>
                          <w:sz w:val="18"/>
                          <w:szCs w:val="20"/>
                        </w:rPr>
                        <w:t xml:space="preserve">YES / </w:t>
                      </w:r>
                      <w:r w:rsidR="009E5E2D" w:rsidRPr="00C344A5">
                        <w:rPr>
                          <w:rFonts w:ascii="Arial" w:hAnsi="Arial" w:cs="Arial"/>
                          <w:sz w:val="18"/>
                          <w:szCs w:val="20"/>
                        </w:rPr>
                        <w:t>NO</w:t>
                      </w:r>
                    </w:p>
                    <w:p w14:paraId="21B2CA1E" w14:textId="3788B0D0" w:rsidR="009E5E2D" w:rsidRPr="00C344A5" w:rsidRDefault="004E47D1" w:rsidP="004E47D1">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9E5E2D" w:rsidRPr="00C344A5">
                        <w:rPr>
                          <w:rFonts w:ascii="Arial" w:hAnsi="Arial" w:cs="Arial"/>
                          <w:sz w:val="18"/>
                          <w:szCs w:val="20"/>
                        </w:rPr>
                        <w:t xml:space="preserve">REVISED: </w:t>
                      </w:r>
                      <w:r w:rsidR="009E5E2D">
                        <w:rPr>
                          <w:rFonts w:ascii="Arial" w:hAnsi="Arial" w:cs="Arial"/>
                          <w:sz w:val="18"/>
                          <w:szCs w:val="20"/>
                        </w:rPr>
                        <w:t xml:space="preserve">YES / </w:t>
                      </w:r>
                      <w:r w:rsidR="009E5E2D" w:rsidRPr="00C344A5">
                        <w:rPr>
                          <w:rFonts w:ascii="Arial" w:hAnsi="Arial" w:cs="Arial"/>
                          <w:sz w:val="18"/>
                          <w:szCs w:val="20"/>
                        </w:rPr>
                        <w:t>NO</w:t>
                      </w:r>
                    </w:p>
                    <w:p w14:paraId="6300A18F" w14:textId="77777777" w:rsidR="009E5E2D" w:rsidRPr="00C344A5" w:rsidRDefault="009E5E2D" w:rsidP="009E5E2D">
                      <w:pPr>
                        <w:rPr>
                          <w:rFonts w:ascii="Arial" w:hAnsi="Arial" w:cs="Arial"/>
                          <w:b/>
                          <w:sz w:val="18"/>
                          <w:szCs w:val="20"/>
                        </w:rPr>
                      </w:pPr>
                    </w:p>
                    <w:p w14:paraId="2A42E1CA" w14:textId="77777777" w:rsidR="009E5E2D" w:rsidRPr="00C344A5" w:rsidRDefault="009E5E2D" w:rsidP="009E5E2D">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2DCB901" w14:textId="77777777" w:rsidR="009E5E2D" w:rsidRPr="00C344A5" w:rsidRDefault="009E5E2D" w:rsidP="009E5E2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67197074" w14:textId="77777777" w:rsidR="009E5E2D" w:rsidRPr="009E5E2D" w:rsidRDefault="009E5E2D" w:rsidP="009E5E2D">
      <w:pPr>
        <w:tabs>
          <w:tab w:val="left" w:pos="8998"/>
        </w:tabs>
        <w:spacing w:after="0" w:line="240" w:lineRule="auto"/>
        <w:jc w:val="both"/>
        <w:rPr>
          <w:rFonts w:ascii="Arial" w:eastAsia="Times New Roman" w:hAnsi="Arial" w:cs="Arial"/>
          <w:kern w:val="0"/>
          <w14:ligatures w14:val="none"/>
        </w:rPr>
      </w:pPr>
    </w:p>
    <w:p w14:paraId="55FBFE43" w14:textId="77777777" w:rsidR="009E5E2D" w:rsidRPr="009E5E2D" w:rsidRDefault="009E5E2D" w:rsidP="009E5E2D">
      <w:pPr>
        <w:tabs>
          <w:tab w:val="left" w:pos="8998"/>
        </w:tabs>
        <w:spacing w:after="0" w:line="240" w:lineRule="auto"/>
        <w:jc w:val="both"/>
        <w:rPr>
          <w:rFonts w:ascii="Arial" w:eastAsia="Times New Roman" w:hAnsi="Arial" w:cs="Arial"/>
          <w:kern w:val="0"/>
          <w14:ligatures w14:val="none"/>
        </w:rPr>
      </w:pPr>
    </w:p>
    <w:p w14:paraId="3F562E4D" w14:textId="77777777" w:rsidR="009E5E2D" w:rsidRPr="009E5E2D" w:rsidRDefault="009E5E2D" w:rsidP="009E5E2D">
      <w:pPr>
        <w:tabs>
          <w:tab w:val="left" w:pos="8998"/>
        </w:tabs>
        <w:spacing w:after="0" w:line="240" w:lineRule="auto"/>
        <w:jc w:val="both"/>
        <w:rPr>
          <w:rFonts w:ascii="Arial" w:eastAsia="Times New Roman" w:hAnsi="Arial" w:cs="Arial"/>
          <w:kern w:val="0"/>
          <w14:ligatures w14:val="none"/>
        </w:rPr>
      </w:pPr>
      <w:r w:rsidRPr="009E5E2D">
        <w:rPr>
          <w:rFonts w:ascii="Arial" w:eastAsia="Times New Roman" w:hAnsi="Arial" w:cs="Arial"/>
          <w:kern w:val="0"/>
          <w14:ligatures w14:val="none"/>
        </w:rPr>
        <w:t>In the matter between:</w:t>
      </w:r>
    </w:p>
    <w:p w14:paraId="683B1145" w14:textId="77777777" w:rsidR="009E5E2D" w:rsidRPr="009E5E2D" w:rsidRDefault="009E5E2D" w:rsidP="009E5E2D">
      <w:pPr>
        <w:tabs>
          <w:tab w:val="right" w:pos="9029"/>
        </w:tabs>
        <w:spacing w:after="0" w:line="240" w:lineRule="auto"/>
        <w:jc w:val="both"/>
        <w:rPr>
          <w:rFonts w:ascii="Arial" w:eastAsia="Times New Roman" w:hAnsi="Arial" w:cs="Arial"/>
          <w:kern w:val="0"/>
          <w14:ligatures w14:val="none"/>
        </w:rPr>
      </w:pPr>
    </w:p>
    <w:p w14:paraId="3D1260FA" w14:textId="77777777" w:rsidR="009E5E2D" w:rsidRPr="009E5E2D" w:rsidRDefault="009E5E2D" w:rsidP="009E5E2D">
      <w:pPr>
        <w:tabs>
          <w:tab w:val="right" w:pos="9029"/>
        </w:tabs>
        <w:spacing w:after="0" w:line="240" w:lineRule="auto"/>
        <w:jc w:val="both"/>
        <w:rPr>
          <w:rFonts w:ascii="Arial" w:eastAsia="Times New Roman" w:hAnsi="Arial" w:cs="Arial"/>
          <w:kern w:val="0"/>
          <w14:ligatures w14:val="none"/>
        </w:rPr>
      </w:pPr>
    </w:p>
    <w:p w14:paraId="051F39A8" w14:textId="77777777" w:rsidR="009E5E2D" w:rsidRPr="009E5E2D" w:rsidRDefault="009E5E2D" w:rsidP="009E5E2D">
      <w:pPr>
        <w:tabs>
          <w:tab w:val="right" w:pos="9029"/>
        </w:tabs>
        <w:spacing w:after="0" w:line="240" w:lineRule="auto"/>
        <w:contextualSpacing/>
        <w:jc w:val="both"/>
        <w:rPr>
          <w:rFonts w:ascii="Arial" w:eastAsia="Times New Roman" w:hAnsi="Arial" w:cs="Arial"/>
          <w:b/>
          <w:kern w:val="0"/>
          <w14:ligatures w14:val="none"/>
        </w:rPr>
      </w:pPr>
    </w:p>
    <w:p w14:paraId="19F3858D" w14:textId="77777777" w:rsidR="009E5E2D" w:rsidRPr="009E5E2D" w:rsidRDefault="009E5E2D" w:rsidP="009E5E2D">
      <w:pPr>
        <w:tabs>
          <w:tab w:val="right" w:pos="9029"/>
        </w:tabs>
        <w:spacing w:after="0" w:line="240" w:lineRule="auto"/>
        <w:contextualSpacing/>
        <w:jc w:val="both"/>
        <w:rPr>
          <w:rFonts w:ascii="Arial" w:eastAsia="Times New Roman" w:hAnsi="Arial" w:cs="Arial"/>
          <w:b/>
          <w:kern w:val="0"/>
          <w14:ligatures w14:val="none"/>
        </w:rPr>
      </w:pPr>
    </w:p>
    <w:p w14:paraId="2E572972" w14:textId="77777777" w:rsidR="009E5E2D" w:rsidRPr="009E5E2D" w:rsidRDefault="009E5E2D" w:rsidP="009E5E2D">
      <w:pPr>
        <w:tabs>
          <w:tab w:val="right" w:pos="9029"/>
        </w:tabs>
        <w:spacing w:after="0" w:line="240" w:lineRule="auto"/>
        <w:contextualSpacing/>
        <w:jc w:val="both"/>
        <w:rPr>
          <w:rFonts w:ascii="Arial" w:eastAsia="Times New Roman" w:hAnsi="Arial" w:cs="Arial"/>
          <w:b/>
          <w:kern w:val="0"/>
          <w14:ligatures w14:val="none"/>
        </w:rPr>
      </w:pPr>
    </w:p>
    <w:p w14:paraId="60DDCF3B" w14:textId="77777777" w:rsidR="009E5E2D" w:rsidRPr="009E5E2D" w:rsidRDefault="009E5E2D" w:rsidP="009E5E2D">
      <w:pPr>
        <w:tabs>
          <w:tab w:val="right" w:pos="9029"/>
        </w:tabs>
        <w:spacing w:after="0" w:line="240" w:lineRule="auto"/>
        <w:contextualSpacing/>
        <w:jc w:val="both"/>
        <w:rPr>
          <w:rFonts w:ascii="Arial" w:eastAsia="Times New Roman" w:hAnsi="Arial" w:cs="Arial"/>
          <w:b/>
          <w:kern w:val="0"/>
          <w14:ligatures w14:val="none"/>
        </w:rPr>
      </w:pPr>
    </w:p>
    <w:p w14:paraId="3863FBF3" w14:textId="77777777" w:rsidR="009E5E2D" w:rsidRPr="009E5E2D" w:rsidRDefault="009E5E2D" w:rsidP="009E5E2D">
      <w:pPr>
        <w:tabs>
          <w:tab w:val="right" w:pos="9029"/>
        </w:tabs>
        <w:spacing w:after="0" w:line="240" w:lineRule="auto"/>
        <w:contextualSpacing/>
        <w:jc w:val="both"/>
        <w:rPr>
          <w:rFonts w:ascii="Arial" w:eastAsia="Times New Roman" w:hAnsi="Arial" w:cs="Arial"/>
          <w:kern w:val="0"/>
          <w14:ligatures w14:val="none"/>
        </w:rPr>
      </w:pPr>
      <w:r w:rsidRPr="009E5E2D">
        <w:rPr>
          <w:rFonts w:ascii="Arial" w:eastAsia="Times New Roman" w:hAnsi="Arial" w:cs="Arial"/>
          <w:kern w:val="0"/>
          <w14:ligatures w14:val="none"/>
        </w:rPr>
        <w:t>In the matter between:</w:t>
      </w:r>
    </w:p>
    <w:p w14:paraId="6EC57A3B" w14:textId="77777777" w:rsidR="009E5E2D" w:rsidRPr="009E5E2D" w:rsidRDefault="009E5E2D" w:rsidP="009E5E2D">
      <w:pPr>
        <w:tabs>
          <w:tab w:val="right" w:pos="9029"/>
        </w:tabs>
        <w:spacing w:after="0" w:line="240" w:lineRule="auto"/>
        <w:contextualSpacing/>
        <w:jc w:val="both"/>
        <w:rPr>
          <w:rFonts w:ascii="Arial" w:eastAsia="Times New Roman" w:hAnsi="Arial" w:cs="Arial"/>
          <w:b/>
          <w:kern w:val="0"/>
          <w14:ligatures w14:val="none"/>
        </w:rPr>
      </w:pPr>
    </w:p>
    <w:p w14:paraId="28EF2B49" w14:textId="77777777" w:rsidR="009E5E2D" w:rsidRPr="009E5E2D" w:rsidRDefault="009E5E2D" w:rsidP="009E5E2D">
      <w:pPr>
        <w:tabs>
          <w:tab w:val="right" w:pos="9029"/>
        </w:tabs>
        <w:spacing w:after="0" w:line="240" w:lineRule="auto"/>
        <w:contextualSpacing/>
        <w:jc w:val="both"/>
        <w:rPr>
          <w:rFonts w:ascii="Arial" w:eastAsia="Times New Roman" w:hAnsi="Arial" w:cs="Arial"/>
          <w:b/>
          <w:kern w:val="0"/>
          <w14:ligatures w14:val="none"/>
        </w:rPr>
      </w:pPr>
    </w:p>
    <w:p w14:paraId="7A5C611D" w14:textId="77777777" w:rsidR="009E5E2D" w:rsidRPr="009E5E2D" w:rsidRDefault="009E5E2D" w:rsidP="009E5E2D">
      <w:pPr>
        <w:tabs>
          <w:tab w:val="right" w:pos="9029"/>
        </w:tabs>
        <w:spacing w:after="0" w:line="240" w:lineRule="auto"/>
        <w:contextualSpacing/>
        <w:jc w:val="both"/>
        <w:rPr>
          <w:rFonts w:ascii="Arial" w:eastAsia="Times New Roman" w:hAnsi="Arial" w:cs="Arial"/>
          <w:kern w:val="0"/>
          <w14:ligatures w14:val="none"/>
        </w:rPr>
      </w:pPr>
      <w:r w:rsidRPr="009E5E2D">
        <w:rPr>
          <w:rFonts w:ascii="Arial" w:eastAsia="Times New Roman" w:hAnsi="Arial" w:cs="Times New Roman"/>
          <w:b/>
          <w:kern w:val="28"/>
          <w:lang w:eastAsia="en-GB"/>
          <w14:ligatures w14:val="none"/>
        </w:rPr>
        <w:t>CARIKE MEIRING N.O.</w:t>
      </w:r>
      <w:r w:rsidRPr="009E5E2D">
        <w:rPr>
          <w:rFonts w:ascii="Arial" w:eastAsia="Times New Roman" w:hAnsi="Arial" w:cs="Arial"/>
          <w:b/>
          <w:kern w:val="0"/>
          <w14:ligatures w14:val="none"/>
        </w:rPr>
        <w:tab/>
      </w:r>
      <w:r w:rsidRPr="009E5E2D">
        <w:rPr>
          <w:rFonts w:ascii="Arial" w:eastAsia="Times New Roman" w:hAnsi="Arial" w:cs="Arial"/>
          <w:kern w:val="0"/>
          <w14:ligatures w14:val="none"/>
        </w:rPr>
        <w:t>First</w:t>
      </w:r>
      <w:r w:rsidRPr="009E5E2D">
        <w:rPr>
          <w:rFonts w:ascii="Arial" w:eastAsia="Times New Roman" w:hAnsi="Arial" w:cs="Arial"/>
          <w:b/>
          <w:kern w:val="0"/>
          <w14:ligatures w14:val="none"/>
        </w:rPr>
        <w:t xml:space="preserve"> </w:t>
      </w:r>
      <w:r w:rsidRPr="009E5E2D">
        <w:rPr>
          <w:rFonts w:ascii="Arial" w:eastAsia="Times New Roman" w:hAnsi="Arial" w:cs="Arial"/>
          <w:kern w:val="0"/>
          <w14:ligatures w14:val="none"/>
        </w:rPr>
        <w:t>Applicant</w:t>
      </w:r>
    </w:p>
    <w:p w14:paraId="45068E52" w14:textId="77777777" w:rsidR="009E5E2D" w:rsidRPr="009E5E2D" w:rsidRDefault="009E5E2D" w:rsidP="009E5E2D">
      <w:pPr>
        <w:tabs>
          <w:tab w:val="right" w:pos="9029"/>
        </w:tabs>
        <w:spacing w:after="0" w:line="240" w:lineRule="auto"/>
        <w:contextualSpacing/>
        <w:jc w:val="both"/>
        <w:rPr>
          <w:rFonts w:ascii="Arial" w:eastAsia="Times New Roman" w:hAnsi="Arial" w:cs="Arial"/>
          <w:kern w:val="0"/>
          <w14:ligatures w14:val="none"/>
        </w:rPr>
      </w:pPr>
    </w:p>
    <w:p w14:paraId="278EB223" w14:textId="77777777" w:rsidR="009E5E2D" w:rsidRPr="009E5E2D" w:rsidRDefault="009E5E2D" w:rsidP="009E5E2D">
      <w:pPr>
        <w:tabs>
          <w:tab w:val="right" w:pos="9029"/>
        </w:tabs>
        <w:spacing w:after="0" w:line="240" w:lineRule="auto"/>
        <w:contextualSpacing/>
        <w:jc w:val="both"/>
        <w:rPr>
          <w:rFonts w:ascii="Arial" w:eastAsia="Times New Roman" w:hAnsi="Arial" w:cs="Arial"/>
          <w:kern w:val="0"/>
          <w14:ligatures w14:val="none"/>
        </w:rPr>
      </w:pPr>
      <w:r w:rsidRPr="009E5E2D">
        <w:rPr>
          <w:rFonts w:ascii="Arial" w:eastAsia="Times New Roman" w:hAnsi="Arial" w:cs="Arial"/>
          <w:b/>
          <w:kern w:val="0"/>
          <w14:ligatures w14:val="none"/>
        </w:rPr>
        <w:t>NISHAN MAIBCHUND N.O.</w:t>
      </w:r>
      <w:r w:rsidRPr="009E5E2D">
        <w:rPr>
          <w:rFonts w:ascii="Arial" w:eastAsia="Times New Roman" w:hAnsi="Arial" w:cs="Arial"/>
          <w:kern w:val="0"/>
          <w14:ligatures w14:val="none"/>
        </w:rPr>
        <w:tab/>
        <w:t>Second Applicant</w:t>
      </w:r>
    </w:p>
    <w:p w14:paraId="2854B418" w14:textId="77777777" w:rsidR="009E5E2D" w:rsidRPr="009E5E2D" w:rsidRDefault="009E5E2D" w:rsidP="009E5E2D">
      <w:pPr>
        <w:tabs>
          <w:tab w:val="right" w:pos="9029"/>
        </w:tabs>
        <w:spacing w:after="0" w:line="240" w:lineRule="auto"/>
        <w:contextualSpacing/>
        <w:jc w:val="both"/>
        <w:rPr>
          <w:rFonts w:ascii="Arial" w:eastAsia="Times New Roman" w:hAnsi="Arial" w:cs="Arial"/>
          <w:kern w:val="0"/>
          <w14:ligatures w14:val="none"/>
        </w:rPr>
      </w:pPr>
    </w:p>
    <w:p w14:paraId="548DCC37" w14:textId="77777777" w:rsidR="009E5E2D" w:rsidRPr="009E5E2D" w:rsidRDefault="009E5E2D" w:rsidP="009E5E2D">
      <w:pPr>
        <w:tabs>
          <w:tab w:val="right" w:pos="9029"/>
        </w:tabs>
        <w:spacing w:after="0" w:line="240" w:lineRule="auto"/>
        <w:contextualSpacing/>
        <w:jc w:val="both"/>
        <w:rPr>
          <w:rFonts w:ascii="Arial" w:eastAsia="Times New Roman" w:hAnsi="Arial" w:cs="Arial"/>
          <w:kern w:val="0"/>
          <w14:ligatures w14:val="none"/>
        </w:rPr>
      </w:pPr>
      <w:r w:rsidRPr="009E5E2D">
        <w:rPr>
          <w:rFonts w:ascii="Arial" w:eastAsia="Times New Roman" w:hAnsi="Arial" w:cs="Arial"/>
          <w:kern w:val="0"/>
          <w14:ligatures w14:val="none"/>
        </w:rPr>
        <w:t>and</w:t>
      </w:r>
    </w:p>
    <w:p w14:paraId="5EE04F77" w14:textId="77777777" w:rsidR="009E5E2D" w:rsidRPr="009E5E2D" w:rsidRDefault="009E5E2D" w:rsidP="009E5E2D">
      <w:pPr>
        <w:tabs>
          <w:tab w:val="right" w:pos="9029"/>
        </w:tabs>
        <w:spacing w:after="0" w:line="240" w:lineRule="auto"/>
        <w:contextualSpacing/>
        <w:jc w:val="both"/>
        <w:rPr>
          <w:rFonts w:ascii="Arial" w:eastAsia="Times New Roman" w:hAnsi="Arial" w:cs="Arial"/>
          <w:kern w:val="0"/>
          <w14:ligatures w14:val="none"/>
        </w:rPr>
      </w:pPr>
    </w:p>
    <w:p w14:paraId="5E55813D" w14:textId="77777777" w:rsidR="009E5E2D" w:rsidRPr="009E5E2D" w:rsidRDefault="009E5E2D" w:rsidP="009E5E2D">
      <w:pPr>
        <w:tabs>
          <w:tab w:val="right" w:pos="9029"/>
        </w:tabs>
        <w:spacing w:after="0" w:line="240" w:lineRule="auto"/>
        <w:contextualSpacing/>
        <w:jc w:val="both"/>
        <w:rPr>
          <w:rFonts w:ascii="Arial" w:eastAsia="Times New Roman" w:hAnsi="Arial" w:cs="Arial"/>
          <w:kern w:val="0"/>
          <w14:ligatures w14:val="none"/>
        </w:rPr>
      </w:pPr>
      <w:r w:rsidRPr="009E5E2D">
        <w:rPr>
          <w:rFonts w:ascii="Arial" w:eastAsia="Calibri" w:hAnsi="Arial" w:cs="Arial"/>
          <w:b/>
          <w:kern w:val="0"/>
          <w14:ligatures w14:val="none"/>
        </w:rPr>
        <w:t>CARLA MARIA JONES (formerly JANMAAT)</w:t>
      </w:r>
      <w:r w:rsidRPr="009E5E2D">
        <w:rPr>
          <w:rFonts w:ascii="Arial" w:eastAsia="Calibri" w:hAnsi="Arial" w:cs="Arial"/>
          <w:b/>
          <w:kern w:val="0"/>
          <w14:ligatures w14:val="none"/>
        </w:rPr>
        <w:tab/>
      </w:r>
      <w:r w:rsidRPr="009E5E2D">
        <w:rPr>
          <w:rFonts w:ascii="Arial" w:eastAsia="Times New Roman" w:hAnsi="Arial" w:cs="Arial"/>
          <w:kern w:val="0"/>
          <w14:ligatures w14:val="none"/>
        </w:rPr>
        <w:t>Respondent</w:t>
      </w:r>
    </w:p>
    <w:p w14:paraId="114BE86A" w14:textId="77777777" w:rsidR="009E5E2D" w:rsidRPr="009E5E2D" w:rsidRDefault="009E5E2D" w:rsidP="009E5E2D">
      <w:pPr>
        <w:spacing w:after="0" w:line="240" w:lineRule="auto"/>
        <w:contextualSpacing/>
        <w:jc w:val="both"/>
        <w:rPr>
          <w:rFonts w:ascii="Arial" w:eastAsia="Times New Roman" w:hAnsi="Arial" w:cs="Arial"/>
          <w:kern w:val="0"/>
          <w14:ligatures w14:val="none"/>
        </w:rPr>
      </w:pPr>
    </w:p>
    <w:p w14:paraId="281FE986" w14:textId="77777777" w:rsidR="009E5E2D" w:rsidRPr="009E5E2D" w:rsidRDefault="009E5E2D" w:rsidP="009E5E2D">
      <w:pPr>
        <w:pBdr>
          <w:bottom w:val="single" w:sz="12" w:space="1" w:color="auto"/>
        </w:pBdr>
        <w:spacing w:after="0" w:line="240" w:lineRule="auto"/>
        <w:rPr>
          <w:rFonts w:ascii="Arial" w:eastAsia="Calibri" w:hAnsi="Arial" w:cs="Arial"/>
          <w:b/>
          <w:kern w:val="0"/>
          <w14:ligatures w14:val="none"/>
        </w:rPr>
      </w:pPr>
    </w:p>
    <w:p w14:paraId="6B4E8A4D" w14:textId="77777777" w:rsidR="009E5E2D" w:rsidRPr="009E5E2D" w:rsidRDefault="009E5E2D" w:rsidP="009E5E2D">
      <w:pPr>
        <w:spacing w:after="0" w:line="240" w:lineRule="auto"/>
        <w:ind w:left="1440" w:hanging="1440"/>
        <w:rPr>
          <w:rFonts w:ascii="Arial" w:eastAsia="Calibri" w:hAnsi="Arial" w:cs="Arial"/>
          <w:b/>
          <w:kern w:val="0"/>
          <w:lang w:val="en-GB"/>
          <w14:ligatures w14:val="none"/>
        </w:rPr>
      </w:pPr>
    </w:p>
    <w:p w14:paraId="3F1C96E5" w14:textId="77777777" w:rsidR="009E5E2D" w:rsidRPr="009E5E2D" w:rsidRDefault="009E5E2D" w:rsidP="009E5E2D">
      <w:pPr>
        <w:pBdr>
          <w:bottom w:val="single" w:sz="12" w:space="1" w:color="auto"/>
        </w:pBdr>
        <w:spacing w:after="240" w:line="480" w:lineRule="auto"/>
        <w:jc w:val="center"/>
        <w:rPr>
          <w:rFonts w:ascii="Arial" w:eastAsia="Calibri" w:hAnsi="Arial" w:cs="Arial"/>
          <w:b/>
          <w:kern w:val="0"/>
          <w14:ligatures w14:val="none"/>
        </w:rPr>
      </w:pPr>
      <w:r w:rsidRPr="009E5E2D">
        <w:rPr>
          <w:rFonts w:ascii="Arial" w:eastAsia="Calibri" w:hAnsi="Arial" w:cs="Arial"/>
          <w:b/>
          <w:kern w:val="0"/>
          <w14:ligatures w14:val="none"/>
        </w:rPr>
        <w:t>JUDGMENT</w:t>
      </w:r>
    </w:p>
    <w:p w14:paraId="46D5B0D3" w14:textId="77777777" w:rsidR="009E5E2D" w:rsidRPr="009E5E2D" w:rsidRDefault="009E5E2D" w:rsidP="009E5E2D">
      <w:pPr>
        <w:spacing w:after="0" w:line="240" w:lineRule="auto"/>
        <w:rPr>
          <w:rFonts w:ascii="Arial" w:eastAsia="Calibri" w:hAnsi="Arial" w:cs="Arial"/>
          <w:kern w:val="0"/>
          <w:lang w:val="en-GB"/>
          <w14:ligatures w14:val="none"/>
        </w:rPr>
      </w:pPr>
      <w:r w:rsidRPr="009E5E2D">
        <w:rPr>
          <w:rFonts w:ascii="Arial" w:eastAsia="Calibri" w:hAnsi="Arial" w:cs="Arial"/>
          <w:kern w:val="0"/>
          <w14:ligatures w14:val="none"/>
        </w:rPr>
        <w:t>D T v R DU PLESSIS, AJ</w:t>
      </w:r>
    </w:p>
    <w:p w14:paraId="1C94C833" w14:textId="77777777" w:rsidR="00E13560" w:rsidRDefault="00E13560" w:rsidP="00E13560">
      <w:pPr>
        <w:spacing w:line="240" w:lineRule="auto"/>
        <w:jc w:val="both"/>
        <w:rPr>
          <w:rFonts w:ascii="Arial" w:hAnsi="Arial" w:cs="Arial"/>
        </w:rPr>
      </w:pPr>
    </w:p>
    <w:p w14:paraId="6DF4D48A" w14:textId="230FFDCF" w:rsidR="004349DC" w:rsidRPr="004E47D1" w:rsidRDefault="004E47D1" w:rsidP="004E47D1">
      <w:pPr>
        <w:spacing w:after="0" w:line="360" w:lineRule="auto"/>
        <w:ind w:left="720" w:hanging="720"/>
        <w:jc w:val="both"/>
        <w:rPr>
          <w:rFonts w:ascii="Arial" w:hAnsi="Arial" w:cs="Arial"/>
        </w:rPr>
      </w:pPr>
      <w:r w:rsidRPr="00DC4C6E">
        <w:rPr>
          <w:rFonts w:ascii="Arial" w:hAnsi="Arial" w:cs="Arial"/>
        </w:rPr>
        <w:t>[1]</w:t>
      </w:r>
      <w:r w:rsidRPr="00DC4C6E">
        <w:rPr>
          <w:rFonts w:ascii="Arial" w:hAnsi="Arial" w:cs="Arial"/>
        </w:rPr>
        <w:tab/>
      </w:r>
      <w:r w:rsidR="00E13560" w:rsidRPr="004E47D1">
        <w:rPr>
          <w:rFonts w:ascii="Arial" w:hAnsi="Arial" w:cs="Arial"/>
        </w:rPr>
        <w:t>The applicant</w:t>
      </w:r>
      <w:r w:rsidR="00E2457A" w:rsidRPr="004E47D1">
        <w:rPr>
          <w:rFonts w:ascii="Arial" w:hAnsi="Arial" w:cs="Arial"/>
        </w:rPr>
        <w:t>s</w:t>
      </w:r>
      <w:r w:rsidR="009429B0" w:rsidRPr="004E47D1">
        <w:rPr>
          <w:rFonts w:ascii="Arial" w:hAnsi="Arial" w:cs="Arial"/>
        </w:rPr>
        <w:t xml:space="preserve">, in their capacities as the joint executors of the estate </w:t>
      </w:r>
      <w:r w:rsidR="00FB6402" w:rsidRPr="004E47D1">
        <w:rPr>
          <w:rFonts w:ascii="Arial" w:hAnsi="Arial" w:cs="Arial"/>
        </w:rPr>
        <w:t xml:space="preserve">of the </w:t>
      </w:r>
      <w:r w:rsidR="009429B0" w:rsidRPr="004E47D1">
        <w:rPr>
          <w:rFonts w:ascii="Arial" w:hAnsi="Arial" w:cs="Arial"/>
        </w:rPr>
        <w:t xml:space="preserve">late </w:t>
      </w:r>
      <w:r w:rsidR="00C204B3" w:rsidRPr="004E47D1">
        <w:rPr>
          <w:rFonts w:ascii="Arial" w:hAnsi="Arial" w:cs="Arial"/>
        </w:rPr>
        <w:t xml:space="preserve">BAREND MEIRING, </w:t>
      </w:r>
      <w:r w:rsidR="00E13560" w:rsidRPr="004E47D1">
        <w:rPr>
          <w:rFonts w:ascii="Arial" w:hAnsi="Arial" w:cs="Arial"/>
        </w:rPr>
        <w:t>appl</w:t>
      </w:r>
      <w:r w:rsidR="00CD210C" w:rsidRPr="004E47D1">
        <w:rPr>
          <w:rFonts w:ascii="Arial" w:hAnsi="Arial" w:cs="Arial"/>
        </w:rPr>
        <w:t>y</w:t>
      </w:r>
      <w:r w:rsidR="00E13560" w:rsidRPr="004E47D1">
        <w:rPr>
          <w:rFonts w:ascii="Arial" w:hAnsi="Arial" w:cs="Arial"/>
        </w:rPr>
        <w:t xml:space="preserve"> for</w:t>
      </w:r>
      <w:r w:rsidR="00CD210C" w:rsidRPr="004E47D1">
        <w:rPr>
          <w:rFonts w:ascii="Arial" w:hAnsi="Arial" w:cs="Arial"/>
        </w:rPr>
        <w:t xml:space="preserve"> the variation of a court order granted on </w:t>
      </w:r>
      <w:r w:rsidR="00CD210C" w:rsidRPr="004E47D1">
        <w:rPr>
          <w:rFonts w:ascii="Arial" w:hAnsi="Arial" w:cs="Arial"/>
        </w:rPr>
        <w:lastRenderedPageBreak/>
        <w:t>12</w:t>
      </w:r>
      <w:r w:rsidR="00FB6402" w:rsidRPr="004E47D1">
        <w:rPr>
          <w:rFonts w:ascii="Arial" w:hAnsi="Arial" w:cs="Arial"/>
        </w:rPr>
        <w:t> </w:t>
      </w:r>
      <w:r w:rsidR="00CD210C" w:rsidRPr="004E47D1">
        <w:rPr>
          <w:rFonts w:ascii="Arial" w:hAnsi="Arial" w:cs="Arial"/>
        </w:rPr>
        <w:t>September 2019</w:t>
      </w:r>
      <w:r w:rsidR="00B27F77" w:rsidRPr="004E47D1">
        <w:rPr>
          <w:rFonts w:ascii="Arial" w:hAnsi="Arial" w:cs="Arial"/>
        </w:rPr>
        <w:t xml:space="preserve"> to reflect the correct policy number</w:t>
      </w:r>
      <w:r w:rsidR="00054325" w:rsidRPr="004E47D1">
        <w:rPr>
          <w:rFonts w:ascii="Arial" w:hAnsi="Arial" w:cs="Arial"/>
        </w:rPr>
        <w:t xml:space="preserve">. </w:t>
      </w:r>
      <w:r w:rsidR="00FB6402" w:rsidRPr="004E47D1">
        <w:rPr>
          <w:rFonts w:ascii="Arial" w:hAnsi="Arial" w:cs="Arial"/>
        </w:rPr>
        <w:t xml:space="preserve"> </w:t>
      </w:r>
      <w:r w:rsidR="00054325" w:rsidRPr="004E47D1">
        <w:rPr>
          <w:rFonts w:ascii="Arial" w:hAnsi="Arial" w:cs="Arial"/>
        </w:rPr>
        <w:t>In terms of the said order</w:t>
      </w:r>
      <w:r w:rsidR="00FB6402" w:rsidRPr="004E47D1">
        <w:rPr>
          <w:rFonts w:ascii="Arial" w:hAnsi="Arial" w:cs="Arial"/>
        </w:rPr>
        <w:t>,</w:t>
      </w:r>
      <w:r w:rsidR="00054325" w:rsidRPr="004E47D1">
        <w:rPr>
          <w:rFonts w:ascii="Arial" w:hAnsi="Arial" w:cs="Arial"/>
        </w:rPr>
        <w:t xml:space="preserve"> </w:t>
      </w:r>
      <w:r w:rsidR="00D7799E" w:rsidRPr="004E47D1">
        <w:rPr>
          <w:rFonts w:ascii="Arial" w:hAnsi="Arial" w:cs="Arial"/>
        </w:rPr>
        <w:t xml:space="preserve">the respondent was ordered to pay the proceeds of a </w:t>
      </w:r>
      <w:r w:rsidR="008563F8" w:rsidRPr="004E47D1">
        <w:rPr>
          <w:rFonts w:ascii="Arial" w:hAnsi="Arial" w:cs="Arial"/>
        </w:rPr>
        <w:t>Brightrock buy and sell agreement policy</w:t>
      </w:r>
      <w:r w:rsidR="00F254EA" w:rsidRPr="004E47D1">
        <w:rPr>
          <w:rFonts w:ascii="Arial" w:hAnsi="Arial" w:cs="Arial"/>
        </w:rPr>
        <w:t xml:space="preserve"> in the sum of R</w:t>
      </w:r>
      <w:r w:rsidR="008D7DE3" w:rsidRPr="004E47D1">
        <w:rPr>
          <w:rFonts w:ascii="Arial" w:hAnsi="Arial" w:cs="Arial"/>
        </w:rPr>
        <w:t>2 215 428,00</w:t>
      </w:r>
      <w:r w:rsidR="008563F8" w:rsidRPr="004E47D1">
        <w:rPr>
          <w:rFonts w:ascii="Arial" w:hAnsi="Arial" w:cs="Arial"/>
        </w:rPr>
        <w:t xml:space="preserve"> </w:t>
      </w:r>
      <w:r w:rsidR="00AA0DAA" w:rsidRPr="004E47D1">
        <w:rPr>
          <w:rFonts w:ascii="Arial" w:hAnsi="Arial" w:cs="Arial"/>
        </w:rPr>
        <w:t>to the banking account of the estate within five days of the date of the order.</w:t>
      </w:r>
    </w:p>
    <w:p w14:paraId="5B7546E5" w14:textId="77777777" w:rsidR="00FB6402" w:rsidRPr="00DC4C6E" w:rsidRDefault="00FB6402" w:rsidP="00400104">
      <w:pPr>
        <w:pStyle w:val="ListParagraph"/>
        <w:spacing w:after="0" w:line="360" w:lineRule="auto"/>
        <w:jc w:val="both"/>
        <w:rPr>
          <w:rFonts w:ascii="Arial" w:hAnsi="Arial" w:cs="Arial"/>
        </w:rPr>
      </w:pPr>
    </w:p>
    <w:p w14:paraId="2DCD6F94" w14:textId="7B1F71B4" w:rsidR="00084AE4" w:rsidRPr="004E47D1" w:rsidRDefault="004E47D1" w:rsidP="004E47D1">
      <w:pPr>
        <w:spacing w:after="0" w:line="360" w:lineRule="auto"/>
        <w:ind w:left="720" w:hanging="720"/>
        <w:jc w:val="both"/>
        <w:rPr>
          <w:rFonts w:ascii="Arial" w:hAnsi="Arial" w:cs="Arial"/>
        </w:rPr>
      </w:pPr>
      <w:r w:rsidRPr="00DC4C6E">
        <w:rPr>
          <w:rFonts w:ascii="Arial" w:hAnsi="Arial" w:cs="Arial"/>
        </w:rPr>
        <w:t>[2]</w:t>
      </w:r>
      <w:r w:rsidRPr="00DC4C6E">
        <w:rPr>
          <w:rFonts w:ascii="Arial" w:hAnsi="Arial" w:cs="Arial"/>
        </w:rPr>
        <w:tab/>
      </w:r>
      <w:r w:rsidR="00545FC4" w:rsidRPr="004E47D1">
        <w:rPr>
          <w:rFonts w:ascii="Arial" w:hAnsi="Arial" w:cs="Arial"/>
        </w:rPr>
        <w:t>The deceased and the respondent jointly owned a company named Nouveatopia (Pty) Ltd (“the company”)</w:t>
      </w:r>
      <w:r w:rsidR="00BC1C81" w:rsidRPr="004E47D1">
        <w:rPr>
          <w:rFonts w:ascii="Arial" w:hAnsi="Arial" w:cs="Arial"/>
        </w:rPr>
        <w:t xml:space="preserve"> with each owning 50% of the shares. </w:t>
      </w:r>
      <w:r w:rsidR="00FB6402" w:rsidRPr="004E47D1">
        <w:rPr>
          <w:rFonts w:ascii="Arial" w:hAnsi="Arial" w:cs="Arial"/>
        </w:rPr>
        <w:t xml:space="preserve"> </w:t>
      </w:r>
      <w:r w:rsidR="00BC1C81" w:rsidRPr="004E47D1">
        <w:rPr>
          <w:rFonts w:ascii="Arial" w:hAnsi="Arial" w:cs="Arial"/>
        </w:rPr>
        <w:t xml:space="preserve">During or about 2016 the deceased and the respondent </w:t>
      </w:r>
      <w:r w:rsidR="00183FC6" w:rsidRPr="004E47D1">
        <w:rPr>
          <w:rFonts w:ascii="Arial" w:hAnsi="Arial" w:cs="Arial"/>
        </w:rPr>
        <w:t xml:space="preserve">entered into an oral buy and sell agreement in terms whereof each would </w:t>
      </w:r>
      <w:r w:rsidR="005815B1" w:rsidRPr="004E47D1">
        <w:rPr>
          <w:rFonts w:ascii="Arial" w:hAnsi="Arial" w:cs="Arial"/>
        </w:rPr>
        <w:t xml:space="preserve">take out a buy and sell policy on the life of the other. </w:t>
      </w:r>
      <w:r w:rsidR="00FB6402" w:rsidRPr="004E47D1">
        <w:rPr>
          <w:rFonts w:ascii="Arial" w:hAnsi="Arial" w:cs="Arial"/>
        </w:rPr>
        <w:t xml:space="preserve"> </w:t>
      </w:r>
      <w:r w:rsidR="005815B1" w:rsidRPr="004E47D1">
        <w:rPr>
          <w:rFonts w:ascii="Arial" w:hAnsi="Arial" w:cs="Arial"/>
        </w:rPr>
        <w:t xml:space="preserve">The intention was </w:t>
      </w:r>
      <w:r w:rsidR="00466A2A" w:rsidRPr="004E47D1">
        <w:rPr>
          <w:rFonts w:ascii="Arial" w:hAnsi="Arial" w:cs="Arial"/>
        </w:rPr>
        <w:t>to provide the surviving co</w:t>
      </w:r>
      <w:r w:rsidR="00FB6402" w:rsidRPr="004E47D1">
        <w:rPr>
          <w:rFonts w:ascii="Arial" w:hAnsi="Arial" w:cs="Arial"/>
        </w:rPr>
        <w:noBreakHyphen/>
      </w:r>
      <w:r w:rsidR="00466A2A" w:rsidRPr="004E47D1">
        <w:rPr>
          <w:rFonts w:ascii="Arial" w:hAnsi="Arial" w:cs="Arial"/>
        </w:rPr>
        <w:t xml:space="preserve">owner with enough money to buy the shares of the </w:t>
      </w:r>
      <w:r w:rsidR="00084AE4" w:rsidRPr="004E47D1">
        <w:rPr>
          <w:rFonts w:ascii="Arial" w:hAnsi="Arial" w:cs="Arial"/>
        </w:rPr>
        <w:t>other in the event of one passing away.</w:t>
      </w:r>
    </w:p>
    <w:p w14:paraId="75F97378" w14:textId="77777777" w:rsidR="00FB6402" w:rsidRPr="00DC4C6E" w:rsidRDefault="00FB6402" w:rsidP="00400104">
      <w:pPr>
        <w:pStyle w:val="ListParagraph"/>
        <w:spacing w:after="0" w:line="360" w:lineRule="auto"/>
        <w:jc w:val="both"/>
        <w:rPr>
          <w:rFonts w:ascii="Arial" w:hAnsi="Arial" w:cs="Arial"/>
        </w:rPr>
      </w:pPr>
    </w:p>
    <w:p w14:paraId="2520AFAC" w14:textId="43ACF27C" w:rsidR="008740BA" w:rsidRPr="004E47D1" w:rsidRDefault="004E47D1" w:rsidP="004E47D1">
      <w:pPr>
        <w:spacing w:after="0" w:line="360" w:lineRule="auto"/>
        <w:ind w:left="720" w:hanging="720"/>
        <w:jc w:val="both"/>
        <w:rPr>
          <w:rFonts w:ascii="Arial" w:hAnsi="Arial" w:cs="Arial"/>
        </w:rPr>
      </w:pPr>
      <w:r w:rsidRPr="00DC4C6E">
        <w:rPr>
          <w:rFonts w:ascii="Arial" w:hAnsi="Arial" w:cs="Arial"/>
        </w:rPr>
        <w:t>[3]</w:t>
      </w:r>
      <w:r w:rsidRPr="00DC4C6E">
        <w:rPr>
          <w:rFonts w:ascii="Arial" w:hAnsi="Arial" w:cs="Arial"/>
        </w:rPr>
        <w:tab/>
      </w:r>
      <w:r w:rsidR="00084AE4" w:rsidRPr="004E47D1">
        <w:rPr>
          <w:rFonts w:ascii="Arial" w:hAnsi="Arial" w:cs="Arial"/>
        </w:rPr>
        <w:t xml:space="preserve">In order to achieve that intention </w:t>
      </w:r>
      <w:r w:rsidR="00F1404E" w:rsidRPr="004E47D1">
        <w:rPr>
          <w:rFonts w:ascii="Arial" w:hAnsi="Arial" w:cs="Arial"/>
        </w:rPr>
        <w:t xml:space="preserve">each nominated the other as the beneficiary. </w:t>
      </w:r>
      <w:r w:rsidR="00FB6402" w:rsidRPr="004E47D1">
        <w:rPr>
          <w:rFonts w:ascii="Arial" w:hAnsi="Arial" w:cs="Arial"/>
        </w:rPr>
        <w:t xml:space="preserve"> </w:t>
      </w:r>
      <w:r w:rsidR="00F1404E" w:rsidRPr="004E47D1">
        <w:rPr>
          <w:rFonts w:ascii="Arial" w:hAnsi="Arial" w:cs="Arial"/>
        </w:rPr>
        <w:t>The premiums of both policies were paid by the company.</w:t>
      </w:r>
    </w:p>
    <w:p w14:paraId="19A41938" w14:textId="77777777" w:rsidR="00FB6402" w:rsidRPr="00DC4C6E" w:rsidRDefault="00FB6402" w:rsidP="00400104">
      <w:pPr>
        <w:pStyle w:val="ListParagraph"/>
        <w:spacing w:after="0" w:line="360" w:lineRule="auto"/>
        <w:jc w:val="both"/>
        <w:rPr>
          <w:rFonts w:ascii="Arial" w:hAnsi="Arial" w:cs="Arial"/>
        </w:rPr>
      </w:pPr>
    </w:p>
    <w:p w14:paraId="7F9AA101" w14:textId="7BFDE77F" w:rsidR="00340E6D" w:rsidRPr="004E47D1" w:rsidRDefault="004E47D1" w:rsidP="004E47D1">
      <w:pPr>
        <w:spacing w:after="0" w:line="360" w:lineRule="auto"/>
        <w:ind w:left="720" w:hanging="720"/>
        <w:jc w:val="both"/>
        <w:rPr>
          <w:rFonts w:ascii="Arial" w:hAnsi="Arial" w:cs="Arial"/>
        </w:rPr>
      </w:pPr>
      <w:r w:rsidRPr="00DC4C6E">
        <w:rPr>
          <w:rFonts w:ascii="Arial" w:hAnsi="Arial" w:cs="Arial"/>
        </w:rPr>
        <w:t>[4]</w:t>
      </w:r>
      <w:r w:rsidRPr="00DC4C6E">
        <w:rPr>
          <w:rFonts w:ascii="Arial" w:hAnsi="Arial" w:cs="Arial"/>
        </w:rPr>
        <w:tab/>
      </w:r>
      <w:r w:rsidR="00D61789" w:rsidRPr="004E47D1">
        <w:rPr>
          <w:rFonts w:ascii="Arial" w:hAnsi="Arial" w:cs="Arial"/>
        </w:rPr>
        <w:t xml:space="preserve">The deceased passed away before the respondent and </w:t>
      </w:r>
      <w:r w:rsidR="00FB25C9" w:rsidRPr="004E47D1">
        <w:rPr>
          <w:rFonts w:ascii="Arial" w:hAnsi="Arial" w:cs="Arial"/>
        </w:rPr>
        <w:t xml:space="preserve">the applicants, as the appointed executors of his estate, </w:t>
      </w:r>
      <w:r w:rsidR="00F7414A" w:rsidRPr="004E47D1">
        <w:rPr>
          <w:rFonts w:ascii="Arial" w:hAnsi="Arial" w:cs="Arial"/>
        </w:rPr>
        <w:t>demanded payment of the full proceeds of the policy of which the deceased was the beneficiary</w:t>
      </w:r>
      <w:r w:rsidR="00A864B4" w:rsidRPr="004E47D1">
        <w:rPr>
          <w:rFonts w:ascii="Arial" w:hAnsi="Arial" w:cs="Arial"/>
        </w:rPr>
        <w:t xml:space="preserve">. </w:t>
      </w:r>
      <w:r w:rsidR="00FB6402" w:rsidRPr="004E47D1">
        <w:rPr>
          <w:rFonts w:ascii="Arial" w:hAnsi="Arial" w:cs="Arial"/>
        </w:rPr>
        <w:t xml:space="preserve"> </w:t>
      </w:r>
      <w:r w:rsidR="00A864B4" w:rsidRPr="004E47D1">
        <w:rPr>
          <w:rFonts w:ascii="Arial" w:hAnsi="Arial" w:cs="Arial"/>
        </w:rPr>
        <w:t xml:space="preserve">The respondent disputed that the estate was entitled to the full proceeds but argued that </w:t>
      </w:r>
      <w:r w:rsidR="00340E6D" w:rsidRPr="004E47D1">
        <w:rPr>
          <w:rFonts w:ascii="Arial" w:hAnsi="Arial" w:cs="Arial"/>
        </w:rPr>
        <w:t>the value of the shares had to be determined at the share market value on the date of death of the deceased.</w:t>
      </w:r>
    </w:p>
    <w:p w14:paraId="02D4D9CB" w14:textId="4F6497E8" w:rsidR="00D61789" w:rsidRPr="00DC4C6E" w:rsidRDefault="00D61789" w:rsidP="00400104">
      <w:pPr>
        <w:spacing w:after="0" w:line="360" w:lineRule="auto"/>
        <w:ind w:left="360"/>
        <w:jc w:val="both"/>
        <w:rPr>
          <w:rFonts w:ascii="Arial" w:hAnsi="Arial" w:cs="Arial"/>
        </w:rPr>
      </w:pPr>
    </w:p>
    <w:p w14:paraId="5C741446" w14:textId="6A34B4CC" w:rsidR="003A175D" w:rsidRPr="004E47D1" w:rsidRDefault="004E47D1" w:rsidP="004E47D1">
      <w:pPr>
        <w:spacing w:after="0" w:line="360" w:lineRule="auto"/>
        <w:ind w:left="720" w:hanging="720"/>
        <w:jc w:val="both"/>
        <w:rPr>
          <w:rFonts w:ascii="Arial" w:hAnsi="Arial" w:cs="Arial"/>
        </w:rPr>
      </w:pPr>
      <w:r w:rsidRPr="00DC4C6E">
        <w:rPr>
          <w:rFonts w:ascii="Arial" w:hAnsi="Arial" w:cs="Arial"/>
        </w:rPr>
        <w:t>[5]</w:t>
      </w:r>
      <w:r w:rsidRPr="00DC4C6E">
        <w:rPr>
          <w:rFonts w:ascii="Arial" w:hAnsi="Arial" w:cs="Arial"/>
        </w:rPr>
        <w:tab/>
      </w:r>
      <w:r w:rsidR="004349DC" w:rsidRPr="004E47D1">
        <w:rPr>
          <w:rFonts w:ascii="Arial" w:hAnsi="Arial" w:cs="Arial"/>
        </w:rPr>
        <w:t xml:space="preserve">The </w:t>
      </w:r>
      <w:r w:rsidR="005A2444" w:rsidRPr="004E47D1">
        <w:rPr>
          <w:rFonts w:ascii="Arial" w:hAnsi="Arial" w:cs="Arial"/>
        </w:rPr>
        <w:t xml:space="preserve">applicants then launched the main application where the issue </w:t>
      </w:r>
      <w:r w:rsidR="00C93687" w:rsidRPr="004E47D1">
        <w:rPr>
          <w:rFonts w:ascii="Arial" w:hAnsi="Arial" w:cs="Arial"/>
        </w:rPr>
        <w:t>on the papers</w:t>
      </w:r>
      <w:r w:rsidR="00647CB3" w:rsidRPr="004E47D1">
        <w:rPr>
          <w:rFonts w:ascii="Arial" w:hAnsi="Arial" w:cs="Arial"/>
        </w:rPr>
        <w:t xml:space="preserve"> was </w:t>
      </w:r>
      <w:r w:rsidR="000A5F92" w:rsidRPr="004E47D1">
        <w:rPr>
          <w:rFonts w:ascii="Arial" w:hAnsi="Arial" w:cs="Arial"/>
        </w:rPr>
        <w:t>the amount that had to be paid to the estate</w:t>
      </w:r>
      <w:r w:rsidR="00C93687" w:rsidRPr="004E47D1">
        <w:rPr>
          <w:rFonts w:ascii="Arial" w:hAnsi="Arial" w:cs="Arial"/>
        </w:rPr>
        <w:t xml:space="preserve">. </w:t>
      </w:r>
      <w:r w:rsidR="008D5B66" w:rsidRPr="004E47D1">
        <w:rPr>
          <w:rFonts w:ascii="Arial" w:hAnsi="Arial" w:cs="Arial"/>
        </w:rPr>
        <w:t xml:space="preserve"> </w:t>
      </w:r>
      <w:r w:rsidR="00C93687" w:rsidRPr="004E47D1">
        <w:rPr>
          <w:rFonts w:ascii="Arial" w:hAnsi="Arial" w:cs="Arial"/>
        </w:rPr>
        <w:t xml:space="preserve">The </w:t>
      </w:r>
      <w:r w:rsidR="004349DC" w:rsidRPr="004E47D1">
        <w:rPr>
          <w:rFonts w:ascii="Arial" w:hAnsi="Arial" w:cs="Arial"/>
        </w:rPr>
        <w:t xml:space="preserve">respondent opposed the application </w:t>
      </w:r>
      <w:r w:rsidR="005A2444" w:rsidRPr="004E47D1">
        <w:rPr>
          <w:rFonts w:ascii="Arial" w:hAnsi="Arial" w:cs="Arial"/>
        </w:rPr>
        <w:t>o</w:t>
      </w:r>
      <w:r w:rsidR="00C93687" w:rsidRPr="004E47D1">
        <w:rPr>
          <w:rFonts w:ascii="Arial" w:hAnsi="Arial" w:cs="Arial"/>
        </w:rPr>
        <w:t xml:space="preserve">n that basis but the learned Judge found that the parties intended for the full proceeds </w:t>
      </w:r>
      <w:r w:rsidR="00B57F06" w:rsidRPr="004E47D1">
        <w:rPr>
          <w:rFonts w:ascii="Arial" w:hAnsi="Arial" w:cs="Arial"/>
        </w:rPr>
        <w:t xml:space="preserve">of the respective policies </w:t>
      </w:r>
      <w:r w:rsidR="00C93687" w:rsidRPr="004E47D1">
        <w:rPr>
          <w:rFonts w:ascii="Arial" w:hAnsi="Arial" w:cs="Arial"/>
        </w:rPr>
        <w:t xml:space="preserve">to be paid to the </w:t>
      </w:r>
      <w:r w:rsidR="00B57F06" w:rsidRPr="004E47D1">
        <w:rPr>
          <w:rFonts w:ascii="Arial" w:hAnsi="Arial" w:cs="Arial"/>
        </w:rPr>
        <w:t xml:space="preserve">estate of the party who </w:t>
      </w:r>
      <w:r w:rsidR="003A175D" w:rsidRPr="004E47D1">
        <w:rPr>
          <w:rFonts w:ascii="Arial" w:hAnsi="Arial" w:cs="Arial"/>
        </w:rPr>
        <w:t>passed away first</w:t>
      </w:r>
      <w:r w:rsidR="00C93687" w:rsidRPr="004E47D1">
        <w:rPr>
          <w:rFonts w:ascii="Arial" w:hAnsi="Arial" w:cs="Arial"/>
        </w:rPr>
        <w:t>.</w:t>
      </w:r>
      <w:r w:rsidR="003A175D" w:rsidRPr="004E47D1">
        <w:rPr>
          <w:rFonts w:ascii="Arial" w:hAnsi="Arial" w:cs="Arial"/>
        </w:rPr>
        <w:t xml:space="preserve"> </w:t>
      </w:r>
      <w:r w:rsidR="008D5B66" w:rsidRPr="004E47D1">
        <w:rPr>
          <w:rFonts w:ascii="Arial" w:hAnsi="Arial" w:cs="Arial"/>
        </w:rPr>
        <w:t xml:space="preserve"> </w:t>
      </w:r>
      <w:r w:rsidR="003A175D" w:rsidRPr="004E47D1">
        <w:rPr>
          <w:rFonts w:ascii="Arial" w:hAnsi="Arial" w:cs="Arial"/>
        </w:rPr>
        <w:t>The order was granted on that basis.</w:t>
      </w:r>
    </w:p>
    <w:p w14:paraId="6C3AA4DB" w14:textId="77777777" w:rsidR="003A175D" w:rsidRPr="00DC4C6E" w:rsidRDefault="003A175D" w:rsidP="00400104">
      <w:pPr>
        <w:pStyle w:val="ListParagraph"/>
        <w:spacing w:after="0" w:line="360" w:lineRule="auto"/>
        <w:rPr>
          <w:rFonts w:ascii="Arial" w:hAnsi="Arial" w:cs="Arial"/>
        </w:rPr>
      </w:pPr>
    </w:p>
    <w:p w14:paraId="4B97FBB0" w14:textId="640E4878" w:rsidR="005F58D1" w:rsidRPr="004E47D1" w:rsidRDefault="004E47D1" w:rsidP="004E47D1">
      <w:pPr>
        <w:spacing w:after="0" w:line="360" w:lineRule="auto"/>
        <w:ind w:left="720" w:hanging="720"/>
        <w:jc w:val="both"/>
        <w:rPr>
          <w:rFonts w:ascii="Arial" w:hAnsi="Arial" w:cs="Arial"/>
        </w:rPr>
      </w:pPr>
      <w:r w:rsidRPr="00400104">
        <w:rPr>
          <w:rFonts w:ascii="Arial" w:hAnsi="Arial" w:cs="Arial"/>
        </w:rPr>
        <w:t>[6]</w:t>
      </w:r>
      <w:r w:rsidRPr="00400104">
        <w:rPr>
          <w:rFonts w:ascii="Arial" w:hAnsi="Arial" w:cs="Arial"/>
        </w:rPr>
        <w:tab/>
      </w:r>
      <w:r w:rsidR="00123243" w:rsidRPr="004E47D1">
        <w:rPr>
          <w:rFonts w:ascii="Arial" w:hAnsi="Arial" w:cs="Arial"/>
        </w:rPr>
        <w:t>After the order was granted, the respondent filed an application for leave to appeal</w:t>
      </w:r>
      <w:r w:rsidR="00D31259" w:rsidRPr="004E47D1">
        <w:rPr>
          <w:rFonts w:ascii="Arial" w:hAnsi="Arial" w:cs="Arial"/>
        </w:rPr>
        <w:t xml:space="preserve"> but withdrew the application on the day before it was to be heard.</w:t>
      </w:r>
      <w:r w:rsidR="008D5B66" w:rsidRPr="004E47D1">
        <w:rPr>
          <w:rFonts w:ascii="Arial" w:hAnsi="Arial" w:cs="Arial"/>
        </w:rPr>
        <w:t xml:space="preserve"> </w:t>
      </w:r>
      <w:r w:rsidR="00565A63" w:rsidRPr="004E47D1">
        <w:rPr>
          <w:rFonts w:ascii="Arial" w:hAnsi="Arial" w:cs="Arial"/>
        </w:rPr>
        <w:t xml:space="preserve"> It is important to note that it was not a ground for the application that the order referred to the incorrect policy number.</w:t>
      </w:r>
    </w:p>
    <w:p w14:paraId="731AE2E1" w14:textId="77777777" w:rsidR="005F58D1" w:rsidRPr="00400104" w:rsidRDefault="005F58D1" w:rsidP="00400104">
      <w:pPr>
        <w:pStyle w:val="NoSpacing"/>
        <w:spacing w:line="360" w:lineRule="auto"/>
        <w:rPr>
          <w:rFonts w:ascii="Arial" w:hAnsi="Arial" w:cs="Arial"/>
        </w:rPr>
      </w:pPr>
    </w:p>
    <w:p w14:paraId="73D94FC4" w14:textId="70AC72C8" w:rsidR="00E71174" w:rsidRPr="004E47D1" w:rsidRDefault="004E47D1" w:rsidP="004E47D1">
      <w:pPr>
        <w:spacing w:after="0" w:line="360" w:lineRule="auto"/>
        <w:ind w:left="720" w:hanging="720"/>
        <w:jc w:val="both"/>
        <w:rPr>
          <w:rFonts w:ascii="Arial" w:hAnsi="Arial" w:cs="Arial"/>
        </w:rPr>
      </w:pPr>
      <w:r w:rsidRPr="00DC4C6E">
        <w:rPr>
          <w:rFonts w:ascii="Arial" w:hAnsi="Arial" w:cs="Arial"/>
        </w:rPr>
        <w:lastRenderedPageBreak/>
        <w:t>[7]</w:t>
      </w:r>
      <w:r w:rsidRPr="00DC4C6E">
        <w:rPr>
          <w:rFonts w:ascii="Arial" w:hAnsi="Arial" w:cs="Arial"/>
        </w:rPr>
        <w:tab/>
      </w:r>
      <w:r w:rsidR="00565A63" w:rsidRPr="004E47D1">
        <w:rPr>
          <w:rFonts w:ascii="Arial" w:hAnsi="Arial" w:cs="Arial"/>
        </w:rPr>
        <w:t>Wh</w:t>
      </w:r>
      <w:r w:rsidR="005B4597" w:rsidRPr="004E47D1">
        <w:rPr>
          <w:rFonts w:ascii="Arial" w:hAnsi="Arial" w:cs="Arial"/>
        </w:rPr>
        <w:t xml:space="preserve">en the respondent failed to comply with the order, the applicants launched an application for contempt of court </w:t>
      </w:r>
      <w:r w:rsidR="00C35D9D" w:rsidRPr="004E47D1">
        <w:rPr>
          <w:rFonts w:ascii="Arial" w:hAnsi="Arial" w:cs="Arial"/>
        </w:rPr>
        <w:t xml:space="preserve">about a year after the order was made, i.e. during September 2020. </w:t>
      </w:r>
      <w:r w:rsidR="008D5B66" w:rsidRPr="004E47D1">
        <w:rPr>
          <w:rFonts w:ascii="Arial" w:hAnsi="Arial" w:cs="Arial"/>
        </w:rPr>
        <w:t xml:space="preserve"> </w:t>
      </w:r>
      <w:r w:rsidR="00C9038C" w:rsidRPr="004E47D1">
        <w:rPr>
          <w:rFonts w:ascii="Arial" w:hAnsi="Arial" w:cs="Arial"/>
        </w:rPr>
        <w:t>In response to the application t</w:t>
      </w:r>
      <w:r w:rsidR="00C35D9D" w:rsidRPr="004E47D1">
        <w:rPr>
          <w:rFonts w:ascii="Arial" w:hAnsi="Arial" w:cs="Arial"/>
        </w:rPr>
        <w:t xml:space="preserve">he respondent </w:t>
      </w:r>
      <w:r w:rsidR="00C15145" w:rsidRPr="004E47D1">
        <w:rPr>
          <w:rFonts w:ascii="Arial" w:hAnsi="Arial" w:cs="Arial"/>
        </w:rPr>
        <w:t>addressed a</w:t>
      </w:r>
      <w:r w:rsidR="00EA1F9B" w:rsidRPr="004E47D1">
        <w:rPr>
          <w:rFonts w:ascii="Arial" w:hAnsi="Arial" w:cs="Arial"/>
        </w:rPr>
        <w:t>n email</w:t>
      </w:r>
      <w:r w:rsidR="00C15145" w:rsidRPr="004E47D1">
        <w:rPr>
          <w:rFonts w:ascii="Arial" w:hAnsi="Arial" w:cs="Arial"/>
        </w:rPr>
        <w:t xml:space="preserve"> to </w:t>
      </w:r>
      <w:r w:rsidR="00C9038C" w:rsidRPr="004E47D1">
        <w:rPr>
          <w:rFonts w:ascii="Arial" w:hAnsi="Arial" w:cs="Arial"/>
        </w:rPr>
        <w:t xml:space="preserve">the applicants’ attorney of record on </w:t>
      </w:r>
      <w:r w:rsidR="003A2D3B" w:rsidRPr="004E47D1">
        <w:rPr>
          <w:rFonts w:ascii="Arial" w:hAnsi="Arial" w:cs="Arial"/>
        </w:rPr>
        <w:t xml:space="preserve">1 October 2020 in terms whereof she </w:t>
      </w:r>
      <w:r w:rsidR="003A2D3B" w:rsidRPr="004E47D1">
        <w:rPr>
          <w:rFonts w:ascii="Arial" w:hAnsi="Arial" w:cs="Arial"/>
          <w:i/>
          <w:iCs/>
        </w:rPr>
        <w:t>inter alia</w:t>
      </w:r>
      <w:r w:rsidR="003A2D3B" w:rsidRPr="004E47D1">
        <w:rPr>
          <w:rFonts w:ascii="Arial" w:hAnsi="Arial" w:cs="Arial"/>
        </w:rPr>
        <w:t xml:space="preserve"> stated that </w:t>
      </w:r>
      <w:r w:rsidR="00CC49B0" w:rsidRPr="004E47D1">
        <w:rPr>
          <w:rFonts w:ascii="Arial" w:hAnsi="Arial" w:cs="Arial"/>
        </w:rPr>
        <w:t xml:space="preserve">she intended to fully perform her obligations in </w:t>
      </w:r>
      <w:r w:rsidR="005E565E" w:rsidRPr="004E47D1">
        <w:rPr>
          <w:rFonts w:ascii="Arial" w:hAnsi="Arial" w:cs="Arial"/>
        </w:rPr>
        <w:t>law and that it was never her intention to disobey the judgment of the court.</w:t>
      </w:r>
    </w:p>
    <w:p w14:paraId="071B6FC7" w14:textId="77777777" w:rsidR="00E71174" w:rsidRPr="00400104" w:rsidRDefault="00E71174" w:rsidP="00400104">
      <w:pPr>
        <w:pStyle w:val="NoSpacing"/>
        <w:spacing w:line="360" w:lineRule="auto"/>
        <w:rPr>
          <w:rFonts w:ascii="Arial" w:hAnsi="Arial" w:cs="Arial"/>
        </w:rPr>
      </w:pPr>
    </w:p>
    <w:p w14:paraId="17229452" w14:textId="6E6EB0D5" w:rsidR="005529FD" w:rsidRPr="004E47D1" w:rsidRDefault="004E47D1" w:rsidP="004E47D1">
      <w:pPr>
        <w:spacing w:after="0" w:line="360" w:lineRule="auto"/>
        <w:ind w:left="720" w:hanging="720"/>
        <w:jc w:val="both"/>
        <w:rPr>
          <w:rFonts w:ascii="Arial" w:hAnsi="Arial" w:cs="Arial"/>
        </w:rPr>
      </w:pPr>
      <w:r w:rsidRPr="00DC4C6E">
        <w:rPr>
          <w:rFonts w:ascii="Arial" w:hAnsi="Arial" w:cs="Arial"/>
        </w:rPr>
        <w:t>[8]</w:t>
      </w:r>
      <w:r w:rsidRPr="00DC4C6E">
        <w:rPr>
          <w:rFonts w:ascii="Arial" w:hAnsi="Arial" w:cs="Arial"/>
        </w:rPr>
        <w:tab/>
      </w:r>
      <w:r w:rsidR="0013124D" w:rsidRPr="004E47D1">
        <w:rPr>
          <w:rFonts w:ascii="Arial" w:hAnsi="Arial" w:cs="Arial"/>
        </w:rPr>
        <w:t>Some further correspondence followed</w:t>
      </w:r>
      <w:r w:rsidR="00D555F7" w:rsidRPr="004E47D1">
        <w:rPr>
          <w:rFonts w:ascii="Arial" w:hAnsi="Arial" w:cs="Arial"/>
        </w:rPr>
        <w:t xml:space="preserve"> in terms whereof the respondent </w:t>
      </w:r>
      <w:r w:rsidR="00D555F7" w:rsidRPr="004E47D1">
        <w:rPr>
          <w:rFonts w:ascii="Arial" w:hAnsi="Arial" w:cs="Arial"/>
          <w:i/>
          <w:iCs/>
        </w:rPr>
        <w:t>inter</w:t>
      </w:r>
      <w:r w:rsidR="008D5B66" w:rsidRPr="004E47D1">
        <w:rPr>
          <w:rFonts w:ascii="Arial" w:hAnsi="Arial" w:cs="Arial"/>
          <w:i/>
          <w:iCs/>
        </w:rPr>
        <w:t> </w:t>
      </w:r>
      <w:r w:rsidR="00D555F7" w:rsidRPr="004E47D1">
        <w:rPr>
          <w:rFonts w:ascii="Arial" w:hAnsi="Arial" w:cs="Arial"/>
          <w:i/>
          <w:iCs/>
        </w:rPr>
        <w:t xml:space="preserve">alia </w:t>
      </w:r>
      <w:r w:rsidR="00D555F7" w:rsidRPr="004E47D1">
        <w:rPr>
          <w:rFonts w:ascii="Arial" w:hAnsi="Arial" w:cs="Arial"/>
        </w:rPr>
        <w:t>made certain settlement proposals.</w:t>
      </w:r>
      <w:r w:rsidR="008D5B66" w:rsidRPr="004E47D1">
        <w:rPr>
          <w:rFonts w:ascii="Arial" w:hAnsi="Arial" w:cs="Arial"/>
        </w:rPr>
        <w:t xml:space="preserve"> </w:t>
      </w:r>
      <w:r w:rsidR="00D555F7" w:rsidRPr="004E47D1">
        <w:rPr>
          <w:rFonts w:ascii="Arial" w:hAnsi="Arial" w:cs="Arial"/>
        </w:rPr>
        <w:t xml:space="preserve"> </w:t>
      </w:r>
      <w:r w:rsidR="00D46DAD" w:rsidRPr="004E47D1">
        <w:rPr>
          <w:rFonts w:ascii="Arial" w:hAnsi="Arial" w:cs="Arial"/>
        </w:rPr>
        <w:t>On about 26 November 2020 the respondent caused R75 000.00 to be paid into the tr</w:t>
      </w:r>
      <w:r w:rsidR="00F254EA" w:rsidRPr="004E47D1">
        <w:rPr>
          <w:rFonts w:ascii="Arial" w:hAnsi="Arial" w:cs="Arial"/>
        </w:rPr>
        <w:t>ust account of the applicants’ attorney of record.</w:t>
      </w:r>
    </w:p>
    <w:p w14:paraId="34B11A31" w14:textId="77777777" w:rsidR="00DA7CE2" w:rsidRPr="00DC4C6E" w:rsidRDefault="00DA7CE2" w:rsidP="00400104">
      <w:pPr>
        <w:pStyle w:val="ListParagraph"/>
        <w:spacing w:after="0" w:line="360" w:lineRule="auto"/>
        <w:rPr>
          <w:rFonts w:ascii="Arial" w:hAnsi="Arial" w:cs="Arial"/>
        </w:rPr>
      </w:pPr>
    </w:p>
    <w:p w14:paraId="1B75D283" w14:textId="56AF7B38" w:rsidR="004D3C5E" w:rsidRPr="004E47D1" w:rsidRDefault="004E47D1" w:rsidP="004E47D1">
      <w:pPr>
        <w:spacing w:after="0" w:line="360" w:lineRule="auto"/>
        <w:ind w:left="720" w:hanging="720"/>
        <w:jc w:val="both"/>
        <w:rPr>
          <w:rFonts w:ascii="Arial" w:hAnsi="Arial" w:cs="Arial"/>
        </w:rPr>
      </w:pPr>
      <w:r w:rsidRPr="00DC4C6E">
        <w:rPr>
          <w:rFonts w:ascii="Arial" w:hAnsi="Arial" w:cs="Arial"/>
        </w:rPr>
        <w:t>[9]</w:t>
      </w:r>
      <w:r w:rsidRPr="00DC4C6E">
        <w:rPr>
          <w:rFonts w:ascii="Arial" w:hAnsi="Arial" w:cs="Arial"/>
        </w:rPr>
        <w:tab/>
      </w:r>
      <w:r w:rsidR="00DA7CE2" w:rsidRPr="004E47D1">
        <w:rPr>
          <w:rFonts w:ascii="Arial" w:hAnsi="Arial" w:cs="Arial"/>
        </w:rPr>
        <w:t xml:space="preserve">During </w:t>
      </w:r>
      <w:r w:rsidR="006D16C6" w:rsidRPr="004E47D1">
        <w:rPr>
          <w:rFonts w:ascii="Arial" w:hAnsi="Arial" w:cs="Arial"/>
        </w:rPr>
        <w:t xml:space="preserve">about </w:t>
      </w:r>
      <w:r w:rsidR="00DA7CE2" w:rsidRPr="004E47D1">
        <w:rPr>
          <w:rFonts w:ascii="Arial" w:hAnsi="Arial" w:cs="Arial"/>
        </w:rPr>
        <w:t xml:space="preserve">December 2020 the respondent apparently obtained legal advice </w:t>
      </w:r>
      <w:r w:rsidR="006D16C6" w:rsidRPr="004E47D1">
        <w:rPr>
          <w:rFonts w:ascii="Arial" w:hAnsi="Arial" w:cs="Arial"/>
        </w:rPr>
        <w:t xml:space="preserve">to the effect that the policy number on the order was incorrect and it was therefore impossible for </w:t>
      </w:r>
      <w:r w:rsidR="00042C4D" w:rsidRPr="004E47D1">
        <w:rPr>
          <w:rFonts w:ascii="Arial" w:hAnsi="Arial" w:cs="Arial"/>
        </w:rPr>
        <w:t>her</w:t>
      </w:r>
      <w:r w:rsidR="006D16C6" w:rsidRPr="004E47D1">
        <w:rPr>
          <w:rFonts w:ascii="Arial" w:hAnsi="Arial" w:cs="Arial"/>
        </w:rPr>
        <w:t xml:space="preserve"> to </w:t>
      </w:r>
      <w:r w:rsidR="0083251B" w:rsidRPr="004E47D1">
        <w:rPr>
          <w:rFonts w:ascii="Arial" w:hAnsi="Arial" w:cs="Arial"/>
        </w:rPr>
        <w:t>comply with the order.</w:t>
      </w:r>
      <w:r w:rsidR="00D04F93" w:rsidRPr="004E47D1">
        <w:rPr>
          <w:rFonts w:ascii="Arial" w:hAnsi="Arial" w:cs="Arial"/>
        </w:rPr>
        <w:t xml:space="preserve"> </w:t>
      </w:r>
      <w:r w:rsidR="008D5B66" w:rsidRPr="004E47D1">
        <w:rPr>
          <w:rFonts w:ascii="Arial" w:hAnsi="Arial" w:cs="Arial"/>
        </w:rPr>
        <w:t xml:space="preserve"> </w:t>
      </w:r>
      <w:r w:rsidR="00D04F93" w:rsidRPr="004E47D1">
        <w:rPr>
          <w:rFonts w:ascii="Arial" w:hAnsi="Arial" w:cs="Arial"/>
        </w:rPr>
        <w:t>A letter to that effect was addressed by her attorneys to the applicants’ attorneys on 17 December 2020.</w:t>
      </w:r>
    </w:p>
    <w:p w14:paraId="14574C51" w14:textId="77777777" w:rsidR="001C6B15" w:rsidRPr="00DC4C6E" w:rsidRDefault="001C6B15" w:rsidP="00400104">
      <w:pPr>
        <w:spacing w:after="0" w:line="360" w:lineRule="auto"/>
        <w:ind w:left="360"/>
        <w:jc w:val="both"/>
        <w:rPr>
          <w:rFonts w:ascii="Arial" w:hAnsi="Arial" w:cs="Arial"/>
        </w:rPr>
      </w:pPr>
    </w:p>
    <w:p w14:paraId="53A4CFCA" w14:textId="03733F9A" w:rsidR="004D3C5E" w:rsidRPr="004E47D1" w:rsidRDefault="004E47D1" w:rsidP="004E47D1">
      <w:pPr>
        <w:spacing w:after="0" w:line="360" w:lineRule="auto"/>
        <w:ind w:left="720" w:hanging="720"/>
        <w:jc w:val="both"/>
        <w:rPr>
          <w:rFonts w:ascii="Arial" w:hAnsi="Arial" w:cs="Arial"/>
        </w:rPr>
      </w:pPr>
      <w:r w:rsidRPr="00400104">
        <w:rPr>
          <w:rFonts w:ascii="Arial" w:hAnsi="Arial" w:cs="Arial"/>
        </w:rPr>
        <w:t>[10]</w:t>
      </w:r>
      <w:r w:rsidRPr="00400104">
        <w:rPr>
          <w:rFonts w:ascii="Arial" w:hAnsi="Arial" w:cs="Arial"/>
        </w:rPr>
        <w:tab/>
      </w:r>
      <w:r w:rsidR="00847C7F" w:rsidRPr="004E47D1">
        <w:rPr>
          <w:rFonts w:ascii="Arial" w:hAnsi="Arial" w:cs="Arial"/>
        </w:rPr>
        <w:t xml:space="preserve">The policy of which the deceased was the beneficiary was numbered </w:t>
      </w:r>
      <w:r w:rsidR="00FA60E6" w:rsidRPr="004E47D1">
        <w:rPr>
          <w:rFonts w:ascii="Arial" w:hAnsi="Arial" w:cs="Arial"/>
        </w:rPr>
        <w:t>[...]</w:t>
      </w:r>
      <w:r w:rsidR="003C55E3" w:rsidRPr="004E47D1">
        <w:rPr>
          <w:rFonts w:ascii="Arial" w:hAnsi="Arial" w:cs="Arial"/>
        </w:rPr>
        <w:t xml:space="preserve"> </w:t>
      </w:r>
      <w:r w:rsidR="00331FDC" w:rsidRPr="004E47D1">
        <w:rPr>
          <w:rFonts w:ascii="Arial" w:hAnsi="Arial" w:cs="Arial"/>
        </w:rPr>
        <w:t xml:space="preserve">(“the correct </w:t>
      </w:r>
      <w:r w:rsidR="00A63A41" w:rsidRPr="004E47D1">
        <w:rPr>
          <w:rFonts w:ascii="Arial" w:hAnsi="Arial" w:cs="Arial"/>
        </w:rPr>
        <w:t xml:space="preserve">policy </w:t>
      </w:r>
      <w:r w:rsidR="00331FDC" w:rsidRPr="004E47D1">
        <w:rPr>
          <w:rFonts w:ascii="Arial" w:hAnsi="Arial" w:cs="Arial"/>
        </w:rPr>
        <w:t xml:space="preserve">number”) </w:t>
      </w:r>
      <w:r w:rsidR="003C55E3" w:rsidRPr="004E47D1">
        <w:rPr>
          <w:rFonts w:ascii="Arial" w:hAnsi="Arial" w:cs="Arial"/>
        </w:rPr>
        <w:t xml:space="preserve">and the other was numbered </w:t>
      </w:r>
      <w:r w:rsidR="00FA60E6" w:rsidRPr="004E47D1">
        <w:rPr>
          <w:rFonts w:ascii="Arial" w:hAnsi="Arial" w:cs="Arial"/>
        </w:rPr>
        <w:t>[...]</w:t>
      </w:r>
      <w:r w:rsidR="00331FDC" w:rsidRPr="004E47D1">
        <w:rPr>
          <w:rFonts w:ascii="Arial" w:hAnsi="Arial" w:cs="Arial"/>
        </w:rPr>
        <w:t xml:space="preserve"> (“the incorrect </w:t>
      </w:r>
      <w:r w:rsidR="00A63A41" w:rsidRPr="004E47D1">
        <w:rPr>
          <w:rFonts w:ascii="Arial" w:hAnsi="Arial" w:cs="Arial"/>
        </w:rPr>
        <w:t xml:space="preserve">policy </w:t>
      </w:r>
      <w:r w:rsidR="00331FDC" w:rsidRPr="004E47D1">
        <w:rPr>
          <w:rFonts w:ascii="Arial" w:hAnsi="Arial" w:cs="Arial"/>
        </w:rPr>
        <w:t>number”)</w:t>
      </w:r>
      <w:r w:rsidR="000669EF" w:rsidRPr="004E47D1">
        <w:rPr>
          <w:rFonts w:ascii="Arial" w:hAnsi="Arial" w:cs="Arial"/>
        </w:rPr>
        <w:t xml:space="preserve">. </w:t>
      </w:r>
      <w:r w:rsidR="008D5B66" w:rsidRPr="004E47D1">
        <w:rPr>
          <w:rFonts w:ascii="Arial" w:hAnsi="Arial" w:cs="Arial"/>
        </w:rPr>
        <w:t xml:space="preserve"> </w:t>
      </w:r>
      <w:r w:rsidR="008A18B9" w:rsidRPr="004E47D1">
        <w:rPr>
          <w:rFonts w:ascii="Arial" w:hAnsi="Arial" w:cs="Arial"/>
        </w:rPr>
        <w:t xml:space="preserve">The order contained the incorrect </w:t>
      </w:r>
      <w:r w:rsidR="00A63A41" w:rsidRPr="004E47D1">
        <w:rPr>
          <w:rFonts w:ascii="Arial" w:hAnsi="Arial" w:cs="Arial"/>
        </w:rPr>
        <w:t xml:space="preserve">policy </w:t>
      </w:r>
      <w:r w:rsidR="008A18B9" w:rsidRPr="004E47D1">
        <w:rPr>
          <w:rFonts w:ascii="Arial" w:hAnsi="Arial" w:cs="Arial"/>
        </w:rPr>
        <w:t>number</w:t>
      </w:r>
      <w:r w:rsidR="003A5DCB" w:rsidRPr="004E47D1">
        <w:rPr>
          <w:rFonts w:ascii="Arial" w:hAnsi="Arial" w:cs="Arial"/>
        </w:rPr>
        <w:t xml:space="preserve"> which corresponded with the relief sought in the notice of motion</w:t>
      </w:r>
      <w:r w:rsidR="008A18B9" w:rsidRPr="004E47D1">
        <w:rPr>
          <w:rFonts w:ascii="Arial" w:hAnsi="Arial" w:cs="Arial"/>
        </w:rPr>
        <w:t xml:space="preserve">, although the respondent had </w:t>
      </w:r>
      <w:r w:rsidR="003A5DCB" w:rsidRPr="004E47D1">
        <w:rPr>
          <w:rFonts w:ascii="Arial" w:hAnsi="Arial" w:cs="Arial"/>
        </w:rPr>
        <w:t xml:space="preserve">referred to the correct </w:t>
      </w:r>
      <w:r w:rsidR="00A63A41" w:rsidRPr="004E47D1">
        <w:rPr>
          <w:rFonts w:ascii="Arial" w:hAnsi="Arial" w:cs="Arial"/>
        </w:rPr>
        <w:t xml:space="preserve">policy </w:t>
      </w:r>
      <w:r w:rsidR="003A5DCB" w:rsidRPr="004E47D1">
        <w:rPr>
          <w:rFonts w:ascii="Arial" w:hAnsi="Arial" w:cs="Arial"/>
        </w:rPr>
        <w:t>number in her answering affidavit.</w:t>
      </w:r>
    </w:p>
    <w:p w14:paraId="470DB61A" w14:textId="77777777" w:rsidR="00E60329" w:rsidRPr="00400104" w:rsidRDefault="00E60329" w:rsidP="00400104">
      <w:pPr>
        <w:pStyle w:val="NoSpacing"/>
        <w:spacing w:line="360" w:lineRule="auto"/>
        <w:rPr>
          <w:rFonts w:ascii="Arial" w:hAnsi="Arial" w:cs="Arial"/>
        </w:rPr>
      </w:pPr>
    </w:p>
    <w:p w14:paraId="45265B32" w14:textId="6043DDD6" w:rsidR="00BB4980" w:rsidRPr="004E47D1" w:rsidRDefault="004E47D1" w:rsidP="004E47D1">
      <w:pPr>
        <w:spacing w:after="0" w:line="360" w:lineRule="auto"/>
        <w:ind w:left="720" w:hanging="720"/>
        <w:jc w:val="both"/>
        <w:rPr>
          <w:rFonts w:ascii="Arial" w:hAnsi="Arial" w:cs="Arial"/>
        </w:rPr>
      </w:pPr>
      <w:r w:rsidRPr="00DC4C6E">
        <w:rPr>
          <w:rFonts w:ascii="Arial" w:hAnsi="Arial" w:cs="Arial"/>
        </w:rPr>
        <w:t>[11]</w:t>
      </w:r>
      <w:r w:rsidRPr="00DC4C6E">
        <w:rPr>
          <w:rFonts w:ascii="Arial" w:hAnsi="Arial" w:cs="Arial"/>
        </w:rPr>
        <w:tab/>
      </w:r>
      <w:r w:rsidR="004D3C5E" w:rsidRPr="004E47D1">
        <w:rPr>
          <w:rFonts w:ascii="Arial" w:hAnsi="Arial" w:cs="Arial"/>
        </w:rPr>
        <w:t xml:space="preserve">The applicants’ attorneys maintained that the </w:t>
      </w:r>
      <w:r w:rsidR="00FC3CF4" w:rsidRPr="004E47D1">
        <w:rPr>
          <w:rFonts w:ascii="Arial" w:hAnsi="Arial" w:cs="Arial"/>
        </w:rPr>
        <w:t>error on the order was simply typographical and that the respondent was bound thereto.</w:t>
      </w:r>
      <w:r w:rsidR="00F24419" w:rsidRPr="004E47D1">
        <w:rPr>
          <w:rFonts w:ascii="Arial" w:hAnsi="Arial" w:cs="Arial"/>
        </w:rPr>
        <w:t xml:space="preserve"> </w:t>
      </w:r>
      <w:r w:rsidR="008D5B66" w:rsidRPr="004E47D1">
        <w:rPr>
          <w:rFonts w:ascii="Arial" w:hAnsi="Arial" w:cs="Arial"/>
        </w:rPr>
        <w:t xml:space="preserve"> </w:t>
      </w:r>
      <w:r w:rsidR="00F24419" w:rsidRPr="004E47D1">
        <w:rPr>
          <w:rFonts w:ascii="Arial" w:hAnsi="Arial" w:cs="Arial"/>
        </w:rPr>
        <w:t>On or about 11</w:t>
      </w:r>
      <w:r w:rsidR="008D5B66" w:rsidRPr="004E47D1">
        <w:rPr>
          <w:rFonts w:ascii="Arial" w:hAnsi="Arial" w:cs="Arial"/>
        </w:rPr>
        <w:t> </w:t>
      </w:r>
      <w:r w:rsidR="00F24419" w:rsidRPr="004E47D1">
        <w:rPr>
          <w:rFonts w:ascii="Arial" w:hAnsi="Arial" w:cs="Arial"/>
        </w:rPr>
        <w:t xml:space="preserve">March 2021 </w:t>
      </w:r>
      <w:r w:rsidR="00D1280A" w:rsidRPr="004E47D1">
        <w:rPr>
          <w:rFonts w:ascii="Arial" w:hAnsi="Arial" w:cs="Arial"/>
        </w:rPr>
        <w:t>the applicants launched an application for the variation of the order</w:t>
      </w:r>
      <w:r w:rsidR="009B338C" w:rsidRPr="004E47D1">
        <w:rPr>
          <w:rFonts w:ascii="Arial" w:hAnsi="Arial" w:cs="Arial"/>
        </w:rPr>
        <w:t xml:space="preserve"> to reflect the correct policy number. </w:t>
      </w:r>
      <w:r w:rsidR="008D5B66" w:rsidRPr="004E47D1">
        <w:rPr>
          <w:rFonts w:ascii="Arial" w:hAnsi="Arial" w:cs="Arial"/>
        </w:rPr>
        <w:t xml:space="preserve"> </w:t>
      </w:r>
      <w:r w:rsidR="009B338C" w:rsidRPr="004E47D1">
        <w:rPr>
          <w:rFonts w:ascii="Arial" w:hAnsi="Arial" w:cs="Arial"/>
        </w:rPr>
        <w:t>This application was opposed by the respondent and</w:t>
      </w:r>
      <w:r w:rsidR="00BB4980" w:rsidRPr="004E47D1">
        <w:rPr>
          <w:rFonts w:ascii="Arial" w:hAnsi="Arial" w:cs="Arial"/>
        </w:rPr>
        <w:t xml:space="preserve"> was argued as an opposed application before the Honourable acting Judge Movshovich on about 21 February 2022.</w:t>
      </w:r>
    </w:p>
    <w:p w14:paraId="5ACE6537" w14:textId="77777777" w:rsidR="00A06FEC" w:rsidRPr="00DC4C6E" w:rsidRDefault="00A06FEC" w:rsidP="00400104">
      <w:pPr>
        <w:pStyle w:val="ListParagraph"/>
        <w:spacing w:after="0" w:line="360" w:lineRule="auto"/>
        <w:rPr>
          <w:rFonts w:ascii="Arial" w:hAnsi="Arial" w:cs="Arial"/>
        </w:rPr>
      </w:pPr>
    </w:p>
    <w:p w14:paraId="000D9284" w14:textId="44126E85" w:rsidR="00D36108" w:rsidRPr="004E47D1" w:rsidRDefault="004E47D1" w:rsidP="004E47D1">
      <w:pPr>
        <w:spacing w:after="0" w:line="360" w:lineRule="auto"/>
        <w:ind w:left="720" w:hanging="720"/>
        <w:jc w:val="both"/>
        <w:rPr>
          <w:rFonts w:ascii="Arial" w:hAnsi="Arial" w:cs="Arial"/>
        </w:rPr>
      </w:pPr>
      <w:r w:rsidRPr="00400104">
        <w:rPr>
          <w:rFonts w:ascii="Arial" w:hAnsi="Arial" w:cs="Arial"/>
        </w:rPr>
        <w:t>[12]</w:t>
      </w:r>
      <w:r w:rsidRPr="00400104">
        <w:rPr>
          <w:rFonts w:ascii="Arial" w:hAnsi="Arial" w:cs="Arial"/>
        </w:rPr>
        <w:tab/>
      </w:r>
      <w:r w:rsidR="007F29AF" w:rsidRPr="004E47D1">
        <w:rPr>
          <w:rFonts w:ascii="Arial" w:hAnsi="Arial" w:cs="Arial"/>
        </w:rPr>
        <w:t xml:space="preserve">The learned acting Judge found that </w:t>
      </w:r>
      <w:r w:rsidR="00A06FEC" w:rsidRPr="004E47D1">
        <w:rPr>
          <w:rFonts w:ascii="Arial" w:hAnsi="Arial" w:cs="Arial"/>
        </w:rPr>
        <w:t xml:space="preserve">Rule 42(1)(c) was not applicable as </w:t>
      </w:r>
      <w:r w:rsidR="00550B5D" w:rsidRPr="004E47D1">
        <w:rPr>
          <w:rFonts w:ascii="Arial" w:hAnsi="Arial" w:cs="Arial"/>
        </w:rPr>
        <w:t xml:space="preserve">the order was not the product of a mistake common between the parties. </w:t>
      </w:r>
      <w:r w:rsidR="008D5B66" w:rsidRPr="004E47D1">
        <w:rPr>
          <w:rFonts w:ascii="Arial" w:hAnsi="Arial" w:cs="Arial"/>
        </w:rPr>
        <w:t xml:space="preserve"> </w:t>
      </w:r>
      <w:r w:rsidR="00DE4031" w:rsidRPr="004E47D1">
        <w:rPr>
          <w:rFonts w:ascii="Arial" w:hAnsi="Arial" w:cs="Arial"/>
        </w:rPr>
        <w:t xml:space="preserve">The application was dismissed on the basis that it was brought in terms of the said </w:t>
      </w:r>
      <w:r w:rsidR="00FD7D19" w:rsidRPr="004E47D1">
        <w:rPr>
          <w:rFonts w:ascii="Arial" w:hAnsi="Arial" w:cs="Arial"/>
        </w:rPr>
        <w:lastRenderedPageBreak/>
        <w:t>sub</w:t>
      </w:r>
      <w:r w:rsidR="008D5B66" w:rsidRPr="004E47D1">
        <w:rPr>
          <w:rFonts w:ascii="Arial" w:hAnsi="Arial" w:cs="Arial"/>
        </w:rPr>
        <w:t>-</w:t>
      </w:r>
      <w:r w:rsidR="00DE4031" w:rsidRPr="004E47D1">
        <w:rPr>
          <w:rFonts w:ascii="Arial" w:hAnsi="Arial" w:cs="Arial"/>
        </w:rPr>
        <w:t xml:space="preserve">rule </w:t>
      </w:r>
      <w:r w:rsidR="00EB2EF5" w:rsidRPr="004E47D1">
        <w:rPr>
          <w:rFonts w:ascii="Arial" w:hAnsi="Arial" w:cs="Arial"/>
        </w:rPr>
        <w:t xml:space="preserve">but the learned acting Judge </w:t>
      </w:r>
      <w:r w:rsidR="0058726B" w:rsidRPr="004E47D1">
        <w:rPr>
          <w:rFonts w:ascii="Arial" w:hAnsi="Arial" w:cs="Arial"/>
        </w:rPr>
        <w:t>mentioned that he did not exclude the possibility that there may be other grounds on which the judgment may be varied or rescinded.</w:t>
      </w:r>
    </w:p>
    <w:p w14:paraId="2CBBA54F" w14:textId="77777777" w:rsidR="00597EDC" w:rsidRPr="00400104" w:rsidRDefault="00597EDC" w:rsidP="00400104">
      <w:pPr>
        <w:pStyle w:val="NoSpacing"/>
        <w:spacing w:line="360" w:lineRule="auto"/>
        <w:rPr>
          <w:rFonts w:ascii="Arial" w:hAnsi="Arial" w:cs="Arial"/>
        </w:rPr>
      </w:pPr>
    </w:p>
    <w:p w14:paraId="1F025529" w14:textId="320C904A" w:rsidR="002B36CD" w:rsidRPr="004E47D1" w:rsidRDefault="004E47D1" w:rsidP="004E47D1">
      <w:pPr>
        <w:spacing w:after="0" w:line="360" w:lineRule="auto"/>
        <w:ind w:left="720" w:hanging="720"/>
        <w:jc w:val="both"/>
        <w:rPr>
          <w:rFonts w:ascii="Arial" w:hAnsi="Arial" w:cs="Arial"/>
        </w:rPr>
      </w:pPr>
      <w:r w:rsidRPr="00DC4C6E">
        <w:rPr>
          <w:rFonts w:ascii="Arial" w:hAnsi="Arial" w:cs="Arial"/>
        </w:rPr>
        <w:t>[13]</w:t>
      </w:r>
      <w:r w:rsidRPr="00DC4C6E">
        <w:rPr>
          <w:rFonts w:ascii="Arial" w:hAnsi="Arial" w:cs="Arial"/>
        </w:rPr>
        <w:tab/>
      </w:r>
      <w:r w:rsidR="000F56C1" w:rsidRPr="004E47D1">
        <w:rPr>
          <w:rFonts w:ascii="Arial" w:hAnsi="Arial" w:cs="Arial"/>
        </w:rPr>
        <w:t>The present application was then launched on 3 May 2023</w:t>
      </w:r>
      <w:r w:rsidR="00597EDC" w:rsidRPr="004E47D1">
        <w:rPr>
          <w:rFonts w:ascii="Arial" w:hAnsi="Arial" w:cs="Arial"/>
        </w:rPr>
        <w:t xml:space="preserve">. </w:t>
      </w:r>
      <w:r w:rsidR="008D5B66" w:rsidRPr="004E47D1">
        <w:rPr>
          <w:rFonts w:ascii="Arial" w:hAnsi="Arial" w:cs="Arial"/>
        </w:rPr>
        <w:t xml:space="preserve"> </w:t>
      </w:r>
      <w:r w:rsidR="00597EDC" w:rsidRPr="004E47D1">
        <w:rPr>
          <w:rFonts w:ascii="Arial" w:hAnsi="Arial" w:cs="Arial"/>
        </w:rPr>
        <w:t xml:space="preserve">The basis of this application is Rule 42(1)(b), alternatively the common law, </w:t>
      </w:r>
      <w:r w:rsidR="00E60329" w:rsidRPr="004E47D1">
        <w:rPr>
          <w:rFonts w:ascii="Arial" w:hAnsi="Arial" w:cs="Arial"/>
        </w:rPr>
        <w:t>alternatively such other basis as the court may deem fit.</w:t>
      </w:r>
    </w:p>
    <w:p w14:paraId="78E05F7F" w14:textId="77777777" w:rsidR="002B36CD" w:rsidRPr="00DC4C6E" w:rsidRDefault="002B36CD" w:rsidP="00400104">
      <w:pPr>
        <w:spacing w:after="0" w:line="360" w:lineRule="auto"/>
        <w:jc w:val="both"/>
        <w:rPr>
          <w:rFonts w:ascii="Arial" w:hAnsi="Arial" w:cs="Arial"/>
        </w:rPr>
      </w:pPr>
    </w:p>
    <w:p w14:paraId="57D73808" w14:textId="0CAAB79D" w:rsidR="001B38DF" w:rsidRPr="004E47D1" w:rsidRDefault="004E47D1" w:rsidP="004E47D1">
      <w:pPr>
        <w:spacing w:after="0" w:line="360" w:lineRule="auto"/>
        <w:ind w:left="720" w:hanging="720"/>
        <w:jc w:val="both"/>
        <w:rPr>
          <w:rFonts w:ascii="Arial" w:hAnsi="Arial" w:cs="Arial"/>
        </w:rPr>
      </w:pPr>
      <w:r w:rsidRPr="00DC4C6E">
        <w:rPr>
          <w:rFonts w:ascii="Arial" w:hAnsi="Arial" w:cs="Arial"/>
        </w:rPr>
        <w:t>[14]</w:t>
      </w:r>
      <w:r w:rsidRPr="00DC4C6E">
        <w:rPr>
          <w:rFonts w:ascii="Arial" w:hAnsi="Arial" w:cs="Arial"/>
        </w:rPr>
        <w:tab/>
      </w:r>
      <w:r w:rsidR="002B36CD" w:rsidRPr="004E47D1">
        <w:rPr>
          <w:rFonts w:ascii="Arial" w:hAnsi="Arial" w:cs="Arial"/>
        </w:rPr>
        <w:t xml:space="preserve">From the history set out above it is clear that </w:t>
      </w:r>
      <w:r w:rsidR="00DC2027" w:rsidRPr="004E47D1">
        <w:rPr>
          <w:rFonts w:ascii="Arial" w:hAnsi="Arial" w:cs="Arial"/>
        </w:rPr>
        <w:t xml:space="preserve">all </w:t>
      </w:r>
      <w:r w:rsidR="002B36CD" w:rsidRPr="004E47D1">
        <w:rPr>
          <w:rFonts w:ascii="Arial" w:hAnsi="Arial" w:cs="Arial"/>
        </w:rPr>
        <w:t xml:space="preserve">the parties </w:t>
      </w:r>
      <w:r w:rsidR="00DC2027" w:rsidRPr="004E47D1">
        <w:rPr>
          <w:rFonts w:ascii="Arial" w:hAnsi="Arial" w:cs="Arial"/>
        </w:rPr>
        <w:t>were aware which policy the main application related to</w:t>
      </w:r>
      <w:r w:rsidR="00BB0E5B" w:rsidRPr="004E47D1">
        <w:rPr>
          <w:rFonts w:ascii="Arial" w:hAnsi="Arial" w:cs="Arial"/>
        </w:rPr>
        <w:t>, namely the policy of which the deceased was the beneficiary</w:t>
      </w:r>
      <w:r w:rsidR="00DC2027" w:rsidRPr="004E47D1">
        <w:rPr>
          <w:rFonts w:ascii="Arial" w:hAnsi="Arial" w:cs="Arial"/>
        </w:rPr>
        <w:t>.</w:t>
      </w:r>
      <w:r w:rsidR="00BB0E5B" w:rsidRPr="004E47D1">
        <w:rPr>
          <w:rFonts w:ascii="Arial" w:hAnsi="Arial" w:cs="Arial"/>
        </w:rPr>
        <w:t xml:space="preserve"> </w:t>
      </w:r>
      <w:r w:rsidR="00D0693A" w:rsidRPr="004E47D1">
        <w:rPr>
          <w:rFonts w:ascii="Arial" w:hAnsi="Arial" w:cs="Arial"/>
        </w:rPr>
        <w:t xml:space="preserve"> </w:t>
      </w:r>
      <w:r w:rsidR="003435A6" w:rsidRPr="004E47D1">
        <w:rPr>
          <w:rFonts w:ascii="Arial" w:hAnsi="Arial" w:cs="Arial"/>
        </w:rPr>
        <w:t>The respondent did not oppose the application on the basis that the incorrect poli</w:t>
      </w:r>
      <w:r w:rsidR="00A14A8E" w:rsidRPr="004E47D1">
        <w:rPr>
          <w:rFonts w:ascii="Arial" w:hAnsi="Arial" w:cs="Arial"/>
        </w:rPr>
        <w:t>c</w:t>
      </w:r>
      <w:r w:rsidR="003435A6" w:rsidRPr="004E47D1">
        <w:rPr>
          <w:rFonts w:ascii="Arial" w:hAnsi="Arial" w:cs="Arial"/>
        </w:rPr>
        <w:t>y was</w:t>
      </w:r>
      <w:r w:rsidR="00A14A8E" w:rsidRPr="004E47D1">
        <w:rPr>
          <w:rFonts w:ascii="Arial" w:hAnsi="Arial" w:cs="Arial"/>
        </w:rPr>
        <w:t xml:space="preserve"> being referred to in the notice of motion and founding affidavit, </w:t>
      </w:r>
      <w:r w:rsidR="00404270" w:rsidRPr="004E47D1">
        <w:rPr>
          <w:rFonts w:ascii="Arial" w:hAnsi="Arial" w:cs="Arial"/>
        </w:rPr>
        <w:t xml:space="preserve">nor was this the basis of her application for leave to appeal. </w:t>
      </w:r>
      <w:r w:rsidR="00D0693A" w:rsidRPr="004E47D1">
        <w:rPr>
          <w:rFonts w:ascii="Arial" w:hAnsi="Arial" w:cs="Arial"/>
        </w:rPr>
        <w:t xml:space="preserve"> </w:t>
      </w:r>
      <w:r w:rsidR="00404270" w:rsidRPr="004E47D1">
        <w:rPr>
          <w:rFonts w:ascii="Arial" w:hAnsi="Arial" w:cs="Arial"/>
        </w:rPr>
        <w:t xml:space="preserve">The first time any mention was made of the fact that the order referred to the incorrect policy number was in December </w:t>
      </w:r>
      <w:r w:rsidR="00E448A9" w:rsidRPr="004E47D1">
        <w:rPr>
          <w:rFonts w:ascii="Arial" w:hAnsi="Arial" w:cs="Arial"/>
        </w:rPr>
        <w:t xml:space="preserve">2020 when her attorneys addressed a letter to that effect to the </w:t>
      </w:r>
      <w:r w:rsidR="001B38DF" w:rsidRPr="004E47D1">
        <w:rPr>
          <w:rFonts w:ascii="Arial" w:hAnsi="Arial" w:cs="Arial"/>
        </w:rPr>
        <w:t>applicants’ attorneys.</w:t>
      </w:r>
    </w:p>
    <w:p w14:paraId="340B6AB0" w14:textId="77777777" w:rsidR="001B38DF" w:rsidRPr="00DC4C6E" w:rsidRDefault="001B38DF" w:rsidP="00400104">
      <w:pPr>
        <w:pStyle w:val="ListParagraph"/>
        <w:spacing w:after="0" w:line="360" w:lineRule="auto"/>
        <w:rPr>
          <w:rFonts w:ascii="Arial" w:hAnsi="Arial" w:cs="Arial"/>
        </w:rPr>
      </w:pPr>
    </w:p>
    <w:p w14:paraId="22515E55" w14:textId="3136AC17" w:rsidR="0028394A" w:rsidRPr="004E47D1" w:rsidRDefault="004E47D1" w:rsidP="004E47D1">
      <w:pPr>
        <w:spacing w:after="0" w:line="360" w:lineRule="auto"/>
        <w:ind w:left="720" w:hanging="720"/>
        <w:jc w:val="both"/>
        <w:rPr>
          <w:rFonts w:ascii="Arial" w:hAnsi="Arial" w:cs="Arial"/>
        </w:rPr>
      </w:pPr>
      <w:r w:rsidRPr="00400104">
        <w:rPr>
          <w:rFonts w:ascii="Arial" w:hAnsi="Arial" w:cs="Arial"/>
        </w:rPr>
        <w:t>[15]</w:t>
      </w:r>
      <w:r w:rsidRPr="00400104">
        <w:rPr>
          <w:rFonts w:ascii="Arial" w:hAnsi="Arial" w:cs="Arial"/>
        </w:rPr>
        <w:tab/>
      </w:r>
      <w:r w:rsidR="001B38DF" w:rsidRPr="004E47D1">
        <w:rPr>
          <w:rFonts w:ascii="Arial" w:hAnsi="Arial" w:cs="Arial"/>
        </w:rPr>
        <w:t xml:space="preserve">If one has regard to the judgment of </w:t>
      </w:r>
      <w:r w:rsidR="00B1656F" w:rsidRPr="004E47D1">
        <w:rPr>
          <w:rFonts w:ascii="Arial" w:hAnsi="Arial" w:cs="Arial"/>
        </w:rPr>
        <w:t xml:space="preserve">the Honourable acting Judge Sibuyi, </w:t>
      </w:r>
      <w:r w:rsidR="00606436" w:rsidRPr="004E47D1">
        <w:rPr>
          <w:rFonts w:ascii="Arial" w:hAnsi="Arial" w:cs="Arial"/>
        </w:rPr>
        <w:t>who granted the order, it is clear that</w:t>
      </w:r>
      <w:r w:rsidR="00E75818" w:rsidRPr="004E47D1">
        <w:rPr>
          <w:rFonts w:ascii="Arial" w:hAnsi="Arial" w:cs="Arial"/>
        </w:rPr>
        <w:t xml:space="preserve"> the only issue was how much </w:t>
      </w:r>
      <w:r w:rsidR="00656BFF" w:rsidRPr="004E47D1">
        <w:rPr>
          <w:rFonts w:ascii="Arial" w:hAnsi="Arial" w:cs="Arial"/>
        </w:rPr>
        <w:t xml:space="preserve">of the respective policies had to be paid to the estate of the deceased in return for the deceased’s 50% </w:t>
      </w:r>
      <w:r w:rsidR="00AB587B" w:rsidRPr="004E47D1">
        <w:rPr>
          <w:rFonts w:ascii="Arial" w:hAnsi="Arial" w:cs="Arial"/>
        </w:rPr>
        <w:t>shareholding in the company.</w:t>
      </w:r>
      <w:r w:rsidR="00656BFF" w:rsidRPr="004E47D1">
        <w:rPr>
          <w:rFonts w:ascii="Arial" w:hAnsi="Arial" w:cs="Arial"/>
        </w:rPr>
        <w:t xml:space="preserve"> </w:t>
      </w:r>
      <w:r w:rsidR="00D0693A" w:rsidRPr="004E47D1">
        <w:rPr>
          <w:rFonts w:ascii="Arial" w:hAnsi="Arial" w:cs="Arial"/>
        </w:rPr>
        <w:t xml:space="preserve"> </w:t>
      </w:r>
      <w:r w:rsidR="00595E4B" w:rsidRPr="004E47D1">
        <w:rPr>
          <w:rFonts w:ascii="Arial" w:hAnsi="Arial" w:cs="Arial"/>
        </w:rPr>
        <w:t xml:space="preserve">He granted the order on the basis that the full proceeds of the </w:t>
      </w:r>
      <w:r w:rsidR="0028394A" w:rsidRPr="004E47D1">
        <w:rPr>
          <w:rFonts w:ascii="Arial" w:hAnsi="Arial" w:cs="Arial"/>
        </w:rPr>
        <w:t>policy had to be paid to the estate of the deceased.</w:t>
      </w:r>
    </w:p>
    <w:p w14:paraId="1971FC37" w14:textId="77777777" w:rsidR="0028394A" w:rsidRPr="00400104" w:rsidRDefault="0028394A" w:rsidP="00400104">
      <w:pPr>
        <w:pStyle w:val="NoSpacing"/>
        <w:spacing w:line="360" w:lineRule="auto"/>
        <w:rPr>
          <w:rFonts w:ascii="Arial" w:hAnsi="Arial" w:cs="Arial"/>
        </w:rPr>
      </w:pPr>
    </w:p>
    <w:p w14:paraId="63FF83EC" w14:textId="3F4457F5" w:rsidR="00BF6563" w:rsidRPr="004E47D1" w:rsidRDefault="004E47D1" w:rsidP="004E47D1">
      <w:pPr>
        <w:spacing w:after="0" w:line="360" w:lineRule="auto"/>
        <w:ind w:left="720" w:hanging="720"/>
        <w:jc w:val="both"/>
        <w:rPr>
          <w:rFonts w:ascii="Arial" w:hAnsi="Arial" w:cs="Arial"/>
        </w:rPr>
      </w:pPr>
      <w:r w:rsidRPr="00DC4C6E">
        <w:rPr>
          <w:rFonts w:ascii="Arial" w:hAnsi="Arial" w:cs="Arial"/>
        </w:rPr>
        <w:t>[16]</w:t>
      </w:r>
      <w:r w:rsidRPr="00DC4C6E">
        <w:rPr>
          <w:rFonts w:ascii="Arial" w:hAnsi="Arial" w:cs="Arial"/>
        </w:rPr>
        <w:tab/>
      </w:r>
      <w:r w:rsidR="00A67A3D" w:rsidRPr="004E47D1">
        <w:rPr>
          <w:rFonts w:ascii="Arial" w:hAnsi="Arial" w:cs="Arial"/>
        </w:rPr>
        <w:t xml:space="preserve">In </w:t>
      </w:r>
      <w:r w:rsidR="00970A46" w:rsidRPr="004E47D1">
        <w:rPr>
          <w:rFonts w:ascii="Arial" w:hAnsi="Arial" w:cs="Arial"/>
          <w:i/>
          <w:iCs/>
        </w:rPr>
        <w:t>Firestone South Africa (Pty) Ltd v Genti</w:t>
      </w:r>
      <w:r w:rsidR="00D0693A" w:rsidRPr="004E47D1">
        <w:rPr>
          <w:rFonts w:ascii="Arial" w:hAnsi="Arial" w:cs="Arial"/>
          <w:i/>
          <w:iCs/>
        </w:rPr>
        <w:t>c</w:t>
      </w:r>
      <w:r w:rsidR="00970A46" w:rsidRPr="004E47D1">
        <w:rPr>
          <w:rFonts w:ascii="Arial" w:hAnsi="Arial" w:cs="Arial"/>
          <w:i/>
          <w:iCs/>
        </w:rPr>
        <w:t>u</w:t>
      </w:r>
      <w:r w:rsidR="00D0693A" w:rsidRPr="004E47D1">
        <w:rPr>
          <w:rFonts w:ascii="Arial" w:hAnsi="Arial" w:cs="Arial"/>
          <w:i/>
          <w:iCs/>
        </w:rPr>
        <w:t>r</w:t>
      </w:r>
      <w:r w:rsidR="00970A46" w:rsidRPr="004E47D1">
        <w:rPr>
          <w:rFonts w:ascii="Arial" w:hAnsi="Arial" w:cs="Arial"/>
          <w:i/>
          <w:iCs/>
        </w:rPr>
        <w:t>o AG</w:t>
      </w:r>
      <w:r w:rsidR="00DC4C6E" w:rsidRPr="004E47D1">
        <w:rPr>
          <w:rFonts w:ascii="Arial" w:hAnsi="Arial" w:cs="Arial"/>
          <w:i/>
          <w:iCs/>
        </w:rPr>
        <w:t xml:space="preserve"> </w:t>
      </w:r>
      <w:r w:rsidR="00DC4C6E" w:rsidRPr="004E47D1">
        <w:rPr>
          <w:rFonts w:ascii="Arial" w:hAnsi="Arial" w:cs="Arial"/>
          <w:iCs/>
        </w:rPr>
        <w:t>(“</w:t>
      </w:r>
      <w:r w:rsidR="00DC4C6E" w:rsidRPr="004E47D1">
        <w:rPr>
          <w:rFonts w:ascii="Arial" w:hAnsi="Arial" w:cs="Arial"/>
          <w:i/>
          <w:iCs/>
        </w:rPr>
        <w:t>Firestone</w:t>
      </w:r>
      <w:r w:rsidR="00DC4C6E" w:rsidRPr="004E47D1">
        <w:rPr>
          <w:rFonts w:ascii="Arial" w:hAnsi="Arial" w:cs="Arial"/>
          <w:iCs/>
        </w:rPr>
        <w:t>”)</w:t>
      </w:r>
      <w:r w:rsidR="00970A46" w:rsidRPr="00DC4C6E">
        <w:rPr>
          <w:rStyle w:val="FootnoteReference"/>
          <w:rFonts w:ascii="Arial" w:hAnsi="Arial" w:cs="Arial"/>
        </w:rPr>
        <w:footnoteReference w:id="1"/>
      </w:r>
      <w:r w:rsidR="00970A46" w:rsidRPr="004E47D1">
        <w:rPr>
          <w:rFonts w:ascii="Arial" w:hAnsi="Arial" w:cs="Arial"/>
        </w:rPr>
        <w:t xml:space="preserve"> </w:t>
      </w:r>
      <w:r w:rsidR="00E047F8" w:rsidRPr="004E47D1">
        <w:rPr>
          <w:rFonts w:ascii="Arial" w:hAnsi="Arial" w:cs="Arial"/>
        </w:rPr>
        <w:t xml:space="preserve">it was found that in interpreting court orders, the same principles </w:t>
      </w:r>
      <w:r w:rsidR="00BF6563" w:rsidRPr="004E47D1">
        <w:rPr>
          <w:rFonts w:ascii="Arial" w:hAnsi="Arial" w:cs="Arial"/>
        </w:rPr>
        <w:t>apply as for construing documents. Thus</w:t>
      </w:r>
      <w:r w:rsidR="00D0693A" w:rsidRPr="004E47D1">
        <w:rPr>
          <w:rFonts w:ascii="Arial" w:hAnsi="Arial" w:cs="Arial"/>
        </w:rPr>
        <w:t>:</w:t>
      </w:r>
    </w:p>
    <w:p w14:paraId="7309F291" w14:textId="362BC2F7" w:rsidR="00D0693A" w:rsidRPr="00DC4C6E" w:rsidRDefault="00BF6563" w:rsidP="00D0693A">
      <w:pPr>
        <w:spacing w:before="240" w:after="0" w:line="360" w:lineRule="auto"/>
        <w:ind w:left="1440"/>
        <w:jc w:val="both"/>
        <w:rPr>
          <w:rFonts w:ascii="Arial" w:hAnsi="Arial" w:cs="Arial"/>
          <w:iCs/>
          <w:sz w:val="22"/>
          <w:szCs w:val="22"/>
        </w:rPr>
      </w:pPr>
      <w:r w:rsidRPr="00400104">
        <w:rPr>
          <w:rFonts w:ascii="Arial" w:hAnsi="Arial" w:cs="Arial"/>
          <w:iCs/>
          <w:sz w:val="22"/>
          <w:szCs w:val="22"/>
        </w:rPr>
        <w:t>“</w:t>
      </w:r>
      <w:r w:rsidR="00D0693A" w:rsidRPr="00DC4C6E">
        <w:rPr>
          <w:rFonts w:ascii="Arial" w:hAnsi="Arial" w:cs="Arial"/>
          <w:iCs/>
          <w:sz w:val="22"/>
          <w:szCs w:val="22"/>
        </w:rPr>
        <w:t>… [</w:t>
      </w:r>
      <w:r w:rsidR="001E01BE" w:rsidRPr="00400104">
        <w:rPr>
          <w:rFonts w:ascii="Arial" w:hAnsi="Arial" w:cs="Arial"/>
          <w:iCs/>
          <w:sz w:val="22"/>
          <w:szCs w:val="22"/>
        </w:rPr>
        <w:t>T</w:t>
      </w:r>
      <w:r w:rsidR="00D0693A" w:rsidRPr="00DC4C6E">
        <w:rPr>
          <w:rFonts w:ascii="Arial" w:hAnsi="Arial" w:cs="Arial"/>
          <w:iCs/>
          <w:sz w:val="22"/>
          <w:szCs w:val="22"/>
        </w:rPr>
        <w:t>]</w:t>
      </w:r>
      <w:r w:rsidR="001E01BE" w:rsidRPr="00400104">
        <w:rPr>
          <w:rFonts w:ascii="Arial" w:hAnsi="Arial" w:cs="Arial"/>
          <w:iCs/>
          <w:sz w:val="22"/>
          <w:szCs w:val="22"/>
        </w:rPr>
        <w:t>he court’s intention is to be ascertained</w:t>
      </w:r>
      <w:r w:rsidR="00D0693A" w:rsidRPr="00DC4C6E">
        <w:rPr>
          <w:rFonts w:ascii="Arial" w:hAnsi="Arial" w:cs="Arial"/>
          <w:iCs/>
          <w:sz w:val="22"/>
          <w:szCs w:val="22"/>
        </w:rPr>
        <w:t xml:space="preserve"> primarily</w:t>
      </w:r>
      <w:r w:rsidR="001E01BE" w:rsidRPr="00400104">
        <w:rPr>
          <w:rFonts w:ascii="Arial" w:hAnsi="Arial" w:cs="Arial"/>
          <w:iCs/>
          <w:sz w:val="22"/>
          <w:szCs w:val="22"/>
        </w:rPr>
        <w:t xml:space="preserve"> from the language of the judgment or order as construed according to the usual, well-known rule</w:t>
      </w:r>
      <w:r w:rsidR="00D0693A" w:rsidRPr="00DC4C6E">
        <w:rPr>
          <w:rFonts w:ascii="Arial" w:hAnsi="Arial" w:cs="Arial"/>
          <w:iCs/>
          <w:sz w:val="22"/>
          <w:szCs w:val="22"/>
        </w:rPr>
        <w:t>s.</w:t>
      </w:r>
    </w:p>
    <w:p w14:paraId="42567202" w14:textId="0AF28BA5" w:rsidR="00D0693A" w:rsidRPr="00DC4C6E" w:rsidRDefault="00D0693A" w:rsidP="00400104">
      <w:pPr>
        <w:spacing w:after="0" w:line="360" w:lineRule="auto"/>
        <w:ind w:left="1440"/>
        <w:jc w:val="both"/>
        <w:rPr>
          <w:rFonts w:ascii="Arial" w:hAnsi="Arial" w:cs="Arial"/>
          <w:iCs/>
          <w:sz w:val="22"/>
          <w:szCs w:val="22"/>
        </w:rPr>
      </w:pPr>
      <w:r w:rsidRPr="00DC4C6E">
        <w:rPr>
          <w:rFonts w:ascii="Arial" w:hAnsi="Arial" w:cs="Arial"/>
          <w:iCs/>
          <w:sz w:val="22"/>
          <w:szCs w:val="22"/>
        </w:rPr>
        <w:t>…</w:t>
      </w:r>
    </w:p>
    <w:p w14:paraId="650B8CF4" w14:textId="55779072" w:rsidR="00BF6563" w:rsidRPr="00400104" w:rsidRDefault="002A3943" w:rsidP="00400104">
      <w:pPr>
        <w:spacing w:after="0" w:line="360" w:lineRule="auto"/>
        <w:ind w:left="1440"/>
        <w:jc w:val="both"/>
        <w:rPr>
          <w:rFonts w:ascii="Arial" w:hAnsi="Arial" w:cs="Arial"/>
          <w:sz w:val="22"/>
          <w:szCs w:val="22"/>
        </w:rPr>
      </w:pPr>
      <w:r w:rsidRPr="00400104">
        <w:rPr>
          <w:rFonts w:ascii="Arial" w:hAnsi="Arial" w:cs="Arial"/>
          <w:iCs/>
          <w:sz w:val="22"/>
          <w:szCs w:val="22"/>
        </w:rPr>
        <w:t xml:space="preserve">Thus, as in the case of a document, the judgment or order and the court’s reasons for giving it must be read as a whole </w:t>
      </w:r>
      <w:r w:rsidR="00D0693A" w:rsidRPr="00DC4C6E">
        <w:rPr>
          <w:rFonts w:ascii="Arial" w:hAnsi="Arial" w:cs="Arial"/>
          <w:iCs/>
          <w:sz w:val="22"/>
          <w:szCs w:val="22"/>
        </w:rPr>
        <w:t xml:space="preserve">in order </w:t>
      </w:r>
      <w:r w:rsidRPr="00400104">
        <w:rPr>
          <w:rFonts w:ascii="Arial" w:hAnsi="Arial" w:cs="Arial"/>
          <w:iCs/>
          <w:sz w:val="22"/>
          <w:szCs w:val="22"/>
        </w:rPr>
        <w:t>to ascertain its intention</w:t>
      </w:r>
      <w:r w:rsidRPr="00400104">
        <w:rPr>
          <w:rFonts w:ascii="Arial" w:hAnsi="Arial" w:cs="Arial"/>
          <w:sz w:val="22"/>
          <w:szCs w:val="22"/>
        </w:rPr>
        <w:t>.”</w:t>
      </w:r>
    </w:p>
    <w:p w14:paraId="01A04A66" w14:textId="386C5D98" w:rsidR="00A67A3D" w:rsidRPr="00DC4C6E" w:rsidRDefault="00A67A3D" w:rsidP="00400104">
      <w:pPr>
        <w:spacing w:after="0" w:line="360" w:lineRule="auto"/>
        <w:ind w:left="720"/>
        <w:jc w:val="both"/>
        <w:rPr>
          <w:rFonts w:ascii="Arial" w:hAnsi="Arial" w:cs="Arial"/>
        </w:rPr>
      </w:pPr>
    </w:p>
    <w:p w14:paraId="54294F9B" w14:textId="02DBEA6B" w:rsidR="006F33EF" w:rsidRPr="00400104" w:rsidRDefault="004E47D1" w:rsidP="004E47D1">
      <w:pPr>
        <w:spacing w:after="0" w:line="360" w:lineRule="auto"/>
        <w:ind w:left="720" w:hanging="720"/>
        <w:jc w:val="both"/>
        <w:rPr>
          <w:rFonts w:ascii="Arial" w:hAnsi="Arial" w:cs="Arial"/>
        </w:rPr>
      </w:pPr>
      <w:r w:rsidRPr="00400104">
        <w:rPr>
          <w:rFonts w:ascii="Arial" w:hAnsi="Arial" w:cs="Arial"/>
        </w:rPr>
        <w:lastRenderedPageBreak/>
        <w:t>[17]</w:t>
      </w:r>
      <w:r w:rsidRPr="00400104">
        <w:rPr>
          <w:rFonts w:ascii="Arial" w:hAnsi="Arial" w:cs="Arial"/>
        </w:rPr>
        <w:tab/>
      </w:r>
      <w:r w:rsidR="00CE7F78" w:rsidRPr="00DC4C6E">
        <w:rPr>
          <w:rFonts w:ascii="Arial" w:hAnsi="Arial" w:cs="Arial"/>
        </w:rPr>
        <w:t xml:space="preserve">In </w:t>
      </w:r>
      <w:r w:rsidR="006F33EF" w:rsidRPr="00DC4C6E">
        <w:rPr>
          <w:rFonts w:ascii="Arial" w:hAnsi="Arial" w:cs="Arial"/>
          <w:i/>
        </w:rPr>
        <w:t>Natal Joint Municipal Pension Fund v Endumeni Municipality</w:t>
      </w:r>
      <w:r w:rsidR="00CE7F78" w:rsidRPr="00400104">
        <w:rPr>
          <w:rStyle w:val="FootnoteReference"/>
          <w:rFonts w:ascii="Arial" w:hAnsi="Arial" w:cs="Arial"/>
        </w:rPr>
        <w:footnoteReference w:id="2"/>
      </w:r>
      <w:r w:rsidR="00CE7F78" w:rsidRPr="00DC4C6E">
        <w:rPr>
          <w:rFonts w:ascii="Arial" w:hAnsi="Arial" w:cs="Arial"/>
        </w:rPr>
        <w:t xml:space="preserve"> the following was held:</w:t>
      </w:r>
    </w:p>
    <w:p w14:paraId="4942B7E8" w14:textId="77777777" w:rsidR="006F33EF" w:rsidRPr="00DC4C6E" w:rsidRDefault="006F33EF" w:rsidP="00400104">
      <w:pPr>
        <w:spacing w:after="0" w:line="360" w:lineRule="auto"/>
        <w:ind w:left="720"/>
        <w:jc w:val="both"/>
        <w:rPr>
          <w:rFonts w:ascii="Arial" w:hAnsi="Arial" w:cs="Arial"/>
        </w:rPr>
      </w:pPr>
    </w:p>
    <w:p w14:paraId="2C7A692B" w14:textId="3729C32C" w:rsidR="00CE7F78" w:rsidRPr="00400104" w:rsidRDefault="00CE7F78" w:rsidP="00400104">
      <w:pPr>
        <w:spacing w:after="0" w:line="360" w:lineRule="auto"/>
        <w:ind w:left="720"/>
        <w:jc w:val="both"/>
        <w:rPr>
          <w:rFonts w:ascii="Arial" w:hAnsi="Arial" w:cs="Arial"/>
          <w:sz w:val="22"/>
          <w:szCs w:val="22"/>
        </w:rPr>
      </w:pPr>
      <w:r w:rsidRPr="00400104">
        <w:rPr>
          <w:rFonts w:ascii="Arial" w:hAnsi="Arial" w:cs="Arial"/>
          <w:sz w:val="22"/>
          <w:szCs w:val="22"/>
        </w:rPr>
        <w:t xml:space="preserve">“Interpretation is the process of attributing meaning to the word used in a document, be it legislation, some other statutory instrument, or contract, having regard to the context provided by reading the particular provision or provisions in the light of the document as a whole </w:t>
      </w:r>
      <w:r w:rsidRPr="00400104">
        <w:rPr>
          <w:rFonts w:ascii="Arial" w:hAnsi="Arial" w:cs="Arial"/>
          <w:bCs/>
          <w:sz w:val="22"/>
          <w:szCs w:val="22"/>
        </w:rPr>
        <w:t>and the circumstances attendant upon its coming into existence.</w:t>
      </w:r>
      <w:r w:rsidR="006F33EF" w:rsidRPr="00DC4C6E">
        <w:rPr>
          <w:rFonts w:ascii="Arial" w:hAnsi="Arial" w:cs="Arial"/>
          <w:bCs/>
          <w:sz w:val="22"/>
          <w:szCs w:val="22"/>
        </w:rPr>
        <w:t xml:space="preserve"> </w:t>
      </w:r>
      <w:r w:rsidRPr="00400104">
        <w:rPr>
          <w:rFonts w:ascii="Arial" w:hAnsi="Arial" w:cs="Arial"/>
          <w:sz w:val="22"/>
          <w:szCs w:val="22"/>
        </w:rPr>
        <w:t xml:space="preserve">Whatever the nature of the document, consideration must be given to the language used in the light of the ordinary rules of grammar and syntax; the context in which the provision appears; the apparent purpose to which it is directed </w:t>
      </w:r>
      <w:r w:rsidRPr="00400104">
        <w:rPr>
          <w:rFonts w:ascii="Arial" w:hAnsi="Arial" w:cs="Arial"/>
          <w:bCs/>
          <w:sz w:val="22"/>
          <w:szCs w:val="22"/>
        </w:rPr>
        <w:t>and the material known to those responsible for its production</w:t>
      </w:r>
      <w:r w:rsidRPr="00400104">
        <w:rPr>
          <w:rFonts w:ascii="Arial" w:hAnsi="Arial" w:cs="Arial"/>
          <w:sz w:val="22"/>
          <w:szCs w:val="22"/>
        </w:rPr>
        <w:t>.</w:t>
      </w:r>
      <w:r w:rsidR="006F33EF" w:rsidRPr="00DC4C6E">
        <w:rPr>
          <w:rFonts w:ascii="Arial" w:hAnsi="Arial" w:cs="Arial"/>
          <w:sz w:val="22"/>
          <w:szCs w:val="22"/>
        </w:rPr>
        <w:t xml:space="preserve"> </w:t>
      </w:r>
      <w:r w:rsidRPr="00400104">
        <w:rPr>
          <w:rFonts w:ascii="Arial" w:hAnsi="Arial" w:cs="Arial"/>
          <w:sz w:val="22"/>
          <w:szCs w:val="22"/>
        </w:rPr>
        <w:t>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w:t>
      </w:r>
      <w:r w:rsidR="006F33EF" w:rsidRPr="00DC4C6E">
        <w:rPr>
          <w:rFonts w:ascii="Arial" w:hAnsi="Arial" w:cs="Arial"/>
          <w:sz w:val="22"/>
          <w:szCs w:val="22"/>
        </w:rPr>
        <w:t xml:space="preserve"> </w:t>
      </w:r>
      <w:r w:rsidRPr="00400104">
        <w:rPr>
          <w:rFonts w:ascii="Arial" w:hAnsi="Arial" w:cs="Arial"/>
          <w:sz w:val="22"/>
          <w:szCs w:val="22"/>
        </w:rPr>
        <w:t xml:space="preserve">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w:t>
      </w:r>
      <w:r w:rsidR="006F33EF" w:rsidRPr="00400104">
        <w:rPr>
          <w:rFonts w:ascii="Arial" w:hAnsi="Arial" w:cs="Arial"/>
          <w:sz w:val="22"/>
          <w:szCs w:val="22"/>
        </w:rPr>
        <w:t>‘</w:t>
      </w:r>
      <w:r w:rsidRPr="00400104">
        <w:rPr>
          <w:rFonts w:ascii="Arial" w:hAnsi="Arial" w:cs="Arial"/>
          <w:sz w:val="22"/>
          <w:szCs w:val="22"/>
        </w:rPr>
        <w:t>inevitable point of departure is the language of the provision itself</w:t>
      </w:r>
      <w:r w:rsidR="006F33EF" w:rsidRPr="00DC4C6E">
        <w:rPr>
          <w:rFonts w:ascii="Arial" w:hAnsi="Arial" w:cs="Arial"/>
          <w:sz w:val="22"/>
          <w:szCs w:val="22"/>
        </w:rPr>
        <w:t>’,</w:t>
      </w:r>
      <w:r w:rsidR="006F33EF" w:rsidRPr="00DC4C6E">
        <w:rPr>
          <w:rStyle w:val="FootnoteReference"/>
          <w:rFonts w:ascii="Arial" w:hAnsi="Arial" w:cs="Arial"/>
          <w:sz w:val="22"/>
          <w:szCs w:val="22"/>
        </w:rPr>
        <w:footnoteReference w:id="3"/>
      </w:r>
      <w:r w:rsidRPr="00400104">
        <w:rPr>
          <w:rFonts w:ascii="Arial" w:hAnsi="Arial" w:cs="Arial"/>
          <w:sz w:val="22"/>
          <w:szCs w:val="22"/>
        </w:rPr>
        <w:t xml:space="preserve"> read in context and having regard to the purpose of the provision and the background to the preparation and production of the document.”</w:t>
      </w:r>
    </w:p>
    <w:p w14:paraId="6F2155B5" w14:textId="583151F7" w:rsidR="00CE7F78" w:rsidRPr="00400104" w:rsidRDefault="00CE7F78" w:rsidP="00400104">
      <w:pPr>
        <w:pStyle w:val="NoSpacing"/>
        <w:spacing w:line="360" w:lineRule="auto"/>
        <w:rPr>
          <w:rFonts w:ascii="Arial" w:hAnsi="Arial" w:cs="Arial"/>
        </w:rPr>
      </w:pPr>
    </w:p>
    <w:p w14:paraId="05E17AEC" w14:textId="55F0683E" w:rsidR="00513B14" w:rsidRPr="004E47D1" w:rsidRDefault="004E47D1" w:rsidP="004E47D1">
      <w:pPr>
        <w:spacing w:after="0" w:line="360" w:lineRule="auto"/>
        <w:ind w:left="720" w:hanging="720"/>
        <w:jc w:val="both"/>
        <w:rPr>
          <w:rFonts w:ascii="Arial" w:hAnsi="Arial" w:cs="Arial"/>
        </w:rPr>
      </w:pPr>
      <w:r w:rsidRPr="00DC4C6E">
        <w:rPr>
          <w:rFonts w:ascii="Arial" w:hAnsi="Arial" w:cs="Arial"/>
        </w:rPr>
        <w:t>[18]</w:t>
      </w:r>
      <w:r w:rsidRPr="00DC4C6E">
        <w:rPr>
          <w:rFonts w:ascii="Arial" w:hAnsi="Arial" w:cs="Arial"/>
        </w:rPr>
        <w:tab/>
      </w:r>
      <w:r w:rsidR="007102A6" w:rsidRPr="004E47D1">
        <w:rPr>
          <w:rFonts w:ascii="Arial" w:hAnsi="Arial" w:cs="Arial"/>
        </w:rPr>
        <w:t>Taking the abovementioned authorities into account i</w:t>
      </w:r>
      <w:r w:rsidR="0028394A" w:rsidRPr="004E47D1">
        <w:rPr>
          <w:rFonts w:ascii="Arial" w:hAnsi="Arial" w:cs="Arial"/>
        </w:rPr>
        <w:t xml:space="preserve">t would, in my view, make a mockery of the judgment and the order if the learned acting Judge in the main application in fact </w:t>
      </w:r>
      <w:r w:rsidR="000A7B82" w:rsidRPr="004E47D1">
        <w:rPr>
          <w:rFonts w:ascii="Arial" w:hAnsi="Arial" w:cs="Arial"/>
        </w:rPr>
        <w:t>intended the respondent to pay the proceeds of the policy of which she was the beneficiary to the estate.</w:t>
      </w:r>
      <w:r w:rsidR="00712167" w:rsidRPr="004E47D1">
        <w:rPr>
          <w:rFonts w:ascii="Arial" w:hAnsi="Arial" w:cs="Arial"/>
        </w:rPr>
        <w:t xml:space="preserve"> </w:t>
      </w:r>
      <w:r w:rsidR="00D25DC1" w:rsidRPr="004E47D1">
        <w:rPr>
          <w:rFonts w:ascii="Arial" w:hAnsi="Arial" w:cs="Arial"/>
        </w:rPr>
        <w:t xml:space="preserve"> </w:t>
      </w:r>
      <w:r w:rsidR="00712167" w:rsidRPr="004E47D1">
        <w:rPr>
          <w:rFonts w:ascii="Arial" w:hAnsi="Arial" w:cs="Arial"/>
        </w:rPr>
        <w:t xml:space="preserve">That policy has not been paid out as the respondent is still alive. </w:t>
      </w:r>
      <w:r w:rsidR="00D25DC1" w:rsidRPr="004E47D1">
        <w:rPr>
          <w:rFonts w:ascii="Arial" w:hAnsi="Arial" w:cs="Arial"/>
        </w:rPr>
        <w:t xml:space="preserve"> </w:t>
      </w:r>
      <w:r w:rsidR="00712167" w:rsidRPr="004E47D1">
        <w:rPr>
          <w:rFonts w:ascii="Arial" w:hAnsi="Arial" w:cs="Arial"/>
        </w:rPr>
        <w:t xml:space="preserve">It will only have proceeds on her death. </w:t>
      </w:r>
      <w:r w:rsidR="00D25DC1" w:rsidRPr="004E47D1">
        <w:rPr>
          <w:rFonts w:ascii="Arial" w:hAnsi="Arial" w:cs="Arial"/>
        </w:rPr>
        <w:t xml:space="preserve"> </w:t>
      </w:r>
      <w:r w:rsidR="00712167" w:rsidRPr="004E47D1">
        <w:rPr>
          <w:rFonts w:ascii="Arial" w:hAnsi="Arial" w:cs="Arial"/>
        </w:rPr>
        <w:t xml:space="preserve">It must therefore follow that </w:t>
      </w:r>
      <w:r w:rsidR="0094512E" w:rsidRPr="004E47D1">
        <w:rPr>
          <w:rFonts w:ascii="Arial" w:hAnsi="Arial" w:cs="Arial"/>
        </w:rPr>
        <w:t>the learned Judge made an error in referring to the incorrect</w:t>
      </w:r>
      <w:r w:rsidR="00513B14" w:rsidRPr="004E47D1">
        <w:rPr>
          <w:rFonts w:ascii="Arial" w:hAnsi="Arial" w:cs="Arial"/>
        </w:rPr>
        <w:t xml:space="preserve"> policy number in the order.</w:t>
      </w:r>
    </w:p>
    <w:p w14:paraId="082C4717" w14:textId="77777777" w:rsidR="00513B14" w:rsidRPr="00400104" w:rsidRDefault="00513B14" w:rsidP="00400104">
      <w:pPr>
        <w:pStyle w:val="NoSpacing"/>
        <w:spacing w:line="360" w:lineRule="auto"/>
        <w:rPr>
          <w:rFonts w:ascii="Arial" w:hAnsi="Arial" w:cs="Arial"/>
        </w:rPr>
      </w:pPr>
    </w:p>
    <w:p w14:paraId="03998A3B" w14:textId="16F22A29" w:rsidR="00073B94" w:rsidRPr="004E47D1" w:rsidRDefault="004E47D1" w:rsidP="004E47D1">
      <w:pPr>
        <w:spacing w:after="0" w:line="360" w:lineRule="auto"/>
        <w:ind w:left="720" w:hanging="720"/>
        <w:jc w:val="both"/>
        <w:rPr>
          <w:rFonts w:ascii="Arial" w:hAnsi="Arial" w:cs="Arial"/>
        </w:rPr>
      </w:pPr>
      <w:r w:rsidRPr="00DC4C6E">
        <w:rPr>
          <w:rFonts w:ascii="Arial" w:hAnsi="Arial" w:cs="Arial"/>
        </w:rPr>
        <w:t>[19]</w:t>
      </w:r>
      <w:r w:rsidRPr="00DC4C6E">
        <w:rPr>
          <w:rFonts w:ascii="Arial" w:hAnsi="Arial" w:cs="Arial"/>
        </w:rPr>
        <w:tab/>
      </w:r>
      <w:r w:rsidR="00513B14" w:rsidRPr="004E47D1">
        <w:rPr>
          <w:rFonts w:ascii="Arial" w:hAnsi="Arial" w:cs="Arial"/>
        </w:rPr>
        <w:t xml:space="preserve">It matters not that </w:t>
      </w:r>
      <w:r w:rsidR="00D33733" w:rsidRPr="004E47D1">
        <w:rPr>
          <w:rFonts w:ascii="Arial" w:hAnsi="Arial" w:cs="Arial"/>
        </w:rPr>
        <w:t>the learned Judge followed the wording of the notice of motion when granting the order.</w:t>
      </w:r>
      <w:r w:rsidR="005A5E0C" w:rsidRPr="004E47D1">
        <w:rPr>
          <w:rFonts w:ascii="Arial" w:hAnsi="Arial" w:cs="Arial"/>
        </w:rPr>
        <w:t xml:space="preserve"> </w:t>
      </w:r>
      <w:r w:rsidR="00D25DC1" w:rsidRPr="004E47D1">
        <w:rPr>
          <w:rFonts w:ascii="Arial" w:hAnsi="Arial" w:cs="Arial"/>
        </w:rPr>
        <w:t xml:space="preserve"> </w:t>
      </w:r>
      <w:r w:rsidR="005A5E0C" w:rsidRPr="004E47D1">
        <w:rPr>
          <w:rFonts w:ascii="Arial" w:hAnsi="Arial" w:cs="Arial"/>
        </w:rPr>
        <w:t xml:space="preserve">What </w:t>
      </w:r>
      <w:r w:rsidR="00111094" w:rsidRPr="004E47D1">
        <w:rPr>
          <w:rFonts w:ascii="Arial" w:hAnsi="Arial" w:cs="Arial"/>
        </w:rPr>
        <w:t>matters is what he intended when making the order.</w:t>
      </w:r>
      <w:r w:rsidR="00D25DC1" w:rsidRPr="004E47D1">
        <w:rPr>
          <w:rFonts w:ascii="Arial" w:hAnsi="Arial" w:cs="Arial"/>
        </w:rPr>
        <w:t xml:space="preserve"> </w:t>
      </w:r>
      <w:r w:rsidR="00111094" w:rsidRPr="004E47D1">
        <w:rPr>
          <w:rFonts w:ascii="Arial" w:hAnsi="Arial" w:cs="Arial"/>
        </w:rPr>
        <w:t xml:space="preserve"> The intention was clearly to order the respondent to </w:t>
      </w:r>
      <w:r w:rsidR="001D7D26" w:rsidRPr="004E47D1">
        <w:rPr>
          <w:rFonts w:ascii="Arial" w:hAnsi="Arial" w:cs="Arial"/>
        </w:rPr>
        <w:t xml:space="preserve">pay the proceeds of </w:t>
      </w:r>
      <w:r w:rsidR="001D7D26" w:rsidRPr="004E47D1">
        <w:rPr>
          <w:rFonts w:ascii="Arial" w:hAnsi="Arial" w:cs="Arial"/>
        </w:rPr>
        <w:lastRenderedPageBreak/>
        <w:t xml:space="preserve">the policy with the correct policy number, as that was the policy in terms whereof the deceased was the beneficiary and </w:t>
      </w:r>
      <w:r w:rsidR="00073B94" w:rsidRPr="004E47D1">
        <w:rPr>
          <w:rFonts w:ascii="Arial" w:hAnsi="Arial" w:cs="Arial"/>
        </w:rPr>
        <w:t>that was in fact paid out on the deceased’s death.</w:t>
      </w:r>
    </w:p>
    <w:p w14:paraId="033CAFE2" w14:textId="77777777" w:rsidR="00763488" w:rsidRPr="00400104" w:rsidRDefault="00763488" w:rsidP="00400104">
      <w:pPr>
        <w:pStyle w:val="NoSpacing"/>
        <w:spacing w:line="360" w:lineRule="auto"/>
        <w:rPr>
          <w:rFonts w:ascii="Arial" w:hAnsi="Arial" w:cs="Arial"/>
        </w:rPr>
      </w:pPr>
    </w:p>
    <w:p w14:paraId="12B9C24D" w14:textId="61499280" w:rsidR="00220B62" w:rsidRPr="004E47D1" w:rsidRDefault="004E47D1" w:rsidP="004E47D1">
      <w:pPr>
        <w:spacing w:after="0" w:line="360" w:lineRule="auto"/>
        <w:ind w:left="720" w:hanging="720"/>
        <w:jc w:val="both"/>
        <w:rPr>
          <w:rFonts w:ascii="Arial" w:hAnsi="Arial" w:cs="Arial"/>
        </w:rPr>
      </w:pPr>
      <w:r w:rsidRPr="00DC4C6E">
        <w:rPr>
          <w:rFonts w:ascii="Arial" w:hAnsi="Arial" w:cs="Arial"/>
        </w:rPr>
        <w:t>[20]</w:t>
      </w:r>
      <w:r w:rsidRPr="00DC4C6E">
        <w:rPr>
          <w:rFonts w:ascii="Arial" w:hAnsi="Arial" w:cs="Arial"/>
        </w:rPr>
        <w:tab/>
      </w:r>
      <w:r w:rsidR="00BC0CB2" w:rsidRPr="004E47D1">
        <w:rPr>
          <w:rFonts w:ascii="Arial" w:hAnsi="Arial" w:cs="Arial"/>
        </w:rPr>
        <w:t xml:space="preserve">The order therefore </w:t>
      </w:r>
      <w:r w:rsidR="009E434C" w:rsidRPr="004E47D1">
        <w:rPr>
          <w:rFonts w:ascii="Arial" w:hAnsi="Arial" w:cs="Arial"/>
        </w:rPr>
        <w:t>contains a patent error, which falls squarely within the provisions of Rule 42(1)(b).</w:t>
      </w:r>
    </w:p>
    <w:p w14:paraId="59A9787B" w14:textId="77777777" w:rsidR="00220B62" w:rsidRPr="00400104" w:rsidRDefault="00220B62" w:rsidP="00400104">
      <w:pPr>
        <w:pStyle w:val="NoSpacing"/>
        <w:spacing w:line="360" w:lineRule="auto"/>
        <w:rPr>
          <w:rFonts w:ascii="Arial" w:hAnsi="Arial" w:cs="Arial"/>
        </w:rPr>
      </w:pPr>
    </w:p>
    <w:p w14:paraId="7F80F611" w14:textId="288936F8" w:rsidR="008E7CB0" w:rsidRPr="004E47D1" w:rsidRDefault="004E47D1" w:rsidP="004E47D1">
      <w:pPr>
        <w:spacing w:after="0" w:line="360" w:lineRule="auto"/>
        <w:ind w:left="720" w:hanging="720"/>
        <w:jc w:val="both"/>
        <w:rPr>
          <w:rFonts w:ascii="Arial" w:hAnsi="Arial" w:cs="Arial"/>
        </w:rPr>
      </w:pPr>
      <w:r w:rsidRPr="00DC4C6E">
        <w:rPr>
          <w:rFonts w:ascii="Arial" w:hAnsi="Arial" w:cs="Arial"/>
        </w:rPr>
        <w:t>[21]</w:t>
      </w:r>
      <w:r w:rsidRPr="00DC4C6E">
        <w:rPr>
          <w:rFonts w:ascii="Arial" w:hAnsi="Arial" w:cs="Arial"/>
        </w:rPr>
        <w:tab/>
      </w:r>
      <w:r w:rsidR="00220B62" w:rsidRPr="004E47D1">
        <w:rPr>
          <w:rFonts w:ascii="Arial" w:hAnsi="Arial" w:cs="Arial"/>
        </w:rPr>
        <w:t xml:space="preserve">Adv Schafer, who appeared for the respondent before me, </w:t>
      </w:r>
      <w:r w:rsidR="008E7CB0" w:rsidRPr="004E47D1">
        <w:rPr>
          <w:rFonts w:ascii="Arial" w:hAnsi="Arial" w:cs="Arial"/>
        </w:rPr>
        <w:t>argued the opposition to the variation order on three bases, namely:</w:t>
      </w:r>
    </w:p>
    <w:p w14:paraId="5C85B43B" w14:textId="77777777" w:rsidR="008E7CB0" w:rsidRPr="00400104" w:rsidRDefault="008E7CB0" w:rsidP="00400104">
      <w:pPr>
        <w:pStyle w:val="NoSpacing"/>
        <w:spacing w:line="360" w:lineRule="auto"/>
        <w:rPr>
          <w:rFonts w:ascii="Arial" w:hAnsi="Arial" w:cs="Arial"/>
        </w:rPr>
      </w:pPr>
    </w:p>
    <w:p w14:paraId="32F491C7" w14:textId="545618C9" w:rsidR="00355272" w:rsidRPr="004E47D1" w:rsidRDefault="004E47D1" w:rsidP="004E47D1">
      <w:pPr>
        <w:spacing w:after="0" w:line="360" w:lineRule="auto"/>
        <w:ind w:left="1440" w:hanging="720"/>
        <w:jc w:val="both"/>
        <w:rPr>
          <w:rFonts w:ascii="Arial" w:hAnsi="Arial" w:cs="Arial"/>
        </w:rPr>
      </w:pPr>
      <w:r w:rsidRPr="00DC4C6E">
        <w:rPr>
          <w:rFonts w:ascii="Arial" w:hAnsi="Arial" w:cs="Arial"/>
        </w:rPr>
        <w:t>21.1.</w:t>
      </w:r>
      <w:r w:rsidRPr="00DC4C6E">
        <w:rPr>
          <w:rFonts w:ascii="Arial" w:hAnsi="Arial" w:cs="Arial"/>
        </w:rPr>
        <w:tab/>
      </w:r>
      <w:r w:rsidR="00D0711F" w:rsidRPr="004E47D1">
        <w:rPr>
          <w:rFonts w:ascii="Arial" w:hAnsi="Arial" w:cs="Arial"/>
        </w:rPr>
        <w:t xml:space="preserve">The application is out of time and the only explanation for the delay is contained in the </w:t>
      </w:r>
      <w:r w:rsidR="00355272" w:rsidRPr="004E47D1">
        <w:rPr>
          <w:rFonts w:ascii="Arial" w:hAnsi="Arial" w:cs="Arial"/>
        </w:rPr>
        <w:t xml:space="preserve">replying affidavit. </w:t>
      </w:r>
      <w:r w:rsidR="00D25DC1" w:rsidRPr="004E47D1">
        <w:rPr>
          <w:rFonts w:ascii="Arial" w:hAnsi="Arial" w:cs="Arial"/>
        </w:rPr>
        <w:t xml:space="preserve"> </w:t>
      </w:r>
      <w:r w:rsidR="00355272" w:rsidRPr="004E47D1">
        <w:rPr>
          <w:rFonts w:ascii="Arial" w:hAnsi="Arial" w:cs="Arial"/>
        </w:rPr>
        <w:t>In terms of the common law such an application has to be brought on the same day that the order was granted;</w:t>
      </w:r>
    </w:p>
    <w:p w14:paraId="1367FA31" w14:textId="4FDCCA37" w:rsidR="00095ED8" w:rsidRPr="004E47D1" w:rsidRDefault="004E47D1" w:rsidP="004E47D1">
      <w:pPr>
        <w:spacing w:after="0" w:line="360" w:lineRule="auto"/>
        <w:ind w:left="1440" w:hanging="720"/>
        <w:jc w:val="both"/>
        <w:rPr>
          <w:rFonts w:ascii="Arial" w:hAnsi="Arial" w:cs="Arial"/>
        </w:rPr>
      </w:pPr>
      <w:r w:rsidRPr="00DC4C6E">
        <w:rPr>
          <w:rFonts w:ascii="Arial" w:hAnsi="Arial" w:cs="Arial"/>
        </w:rPr>
        <w:t>21.2.</w:t>
      </w:r>
      <w:r w:rsidRPr="00DC4C6E">
        <w:rPr>
          <w:rFonts w:ascii="Arial" w:hAnsi="Arial" w:cs="Arial"/>
        </w:rPr>
        <w:tab/>
      </w:r>
      <w:r w:rsidR="00E30942" w:rsidRPr="004E47D1">
        <w:rPr>
          <w:rFonts w:ascii="Arial" w:hAnsi="Arial" w:cs="Arial"/>
        </w:rPr>
        <w:t xml:space="preserve">No case was made out in terms of Rule 42 or the common law and the </w:t>
      </w:r>
      <w:r w:rsidR="00095ED8" w:rsidRPr="004E47D1">
        <w:rPr>
          <w:rFonts w:ascii="Arial" w:hAnsi="Arial" w:cs="Arial"/>
        </w:rPr>
        <w:t xml:space="preserve">applicants cannot rely on </w:t>
      </w:r>
      <w:r w:rsidR="00095ED8" w:rsidRPr="004E47D1">
        <w:rPr>
          <w:rFonts w:ascii="Arial" w:hAnsi="Arial" w:cs="Arial"/>
          <w:i/>
          <w:iCs/>
        </w:rPr>
        <w:t>iustus error</w:t>
      </w:r>
      <w:r w:rsidR="00095ED8" w:rsidRPr="004E47D1">
        <w:rPr>
          <w:rFonts w:ascii="Arial" w:hAnsi="Arial" w:cs="Arial"/>
        </w:rPr>
        <w:t xml:space="preserve"> for a variation;</w:t>
      </w:r>
    </w:p>
    <w:p w14:paraId="4F00489A" w14:textId="0920237F" w:rsidR="00825089" w:rsidRPr="004E47D1" w:rsidRDefault="004E47D1" w:rsidP="004E47D1">
      <w:pPr>
        <w:spacing w:after="0" w:line="360" w:lineRule="auto"/>
        <w:ind w:left="1440" w:hanging="720"/>
        <w:jc w:val="both"/>
        <w:rPr>
          <w:rFonts w:ascii="Arial" w:hAnsi="Arial" w:cs="Arial"/>
        </w:rPr>
      </w:pPr>
      <w:r w:rsidRPr="00DC4C6E">
        <w:rPr>
          <w:rFonts w:ascii="Arial" w:hAnsi="Arial" w:cs="Arial"/>
        </w:rPr>
        <w:t>21.3.</w:t>
      </w:r>
      <w:r w:rsidRPr="00DC4C6E">
        <w:rPr>
          <w:rFonts w:ascii="Arial" w:hAnsi="Arial" w:cs="Arial"/>
        </w:rPr>
        <w:tab/>
      </w:r>
      <w:r w:rsidR="007D61B2" w:rsidRPr="004E47D1">
        <w:rPr>
          <w:rFonts w:ascii="Arial" w:hAnsi="Arial" w:cs="Arial"/>
        </w:rPr>
        <w:t xml:space="preserve">The applicants cannot rely on the court’s discretion </w:t>
      </w:r>
      <w:r w:rsidR="00D73452" w:rsidRPr="004E47D1">
        <w:rPr>
          <w:rFonts w:ascii="Arial" w:hAnsi="Arial" w:cs="Arial"/>
        </w:rPr>
        <w:t xml:space="preserve">as there is no </w:t>
      </w:r>
      <w:r w:rsidR="00825089" w:rsidRPr="004E47D1">
        <w:rPr>
          <w:rFonts w:ascii="Arial" w:hAnsi="Arial" w:cs="Arial"/>
        </w:rPr>
        <w:t xml:space="preserve">inherent </w:t>
      </w:r>
      <w:r w:rsidR="00D73452" w:rsidRPr="004E47D1">
        <w:rPr>
          <w:rFonts w:ascii="Arial" w:hAnsi="Arial" w:cs="Arial"/>
        </w:rPr>
        <w:t xml:space="preserve">discretion to rectify a judgment. </w:t>
      </w:r>
      <w:r w:rsidR="00D25DC1" w:rsidRPr="004E47D1">
        <w:rPr>
          <w:rFonts w:ascii="Arial" w:hAnsi="Arial" w:cs="Arial"/>
        </w:rPr>
        <w:t xml:space="preserve"> </w:t>
      </w:r>
      <w:r w:rsidR="00D73452" w:rsidRPr="004E47D1">
        <w:rPr>
          <w:rFonts w:ascii="Arial" w:hAnsi="Arial" w:cs="Arial"/>
        </w:rPr>
        <w:t>The interest in the finality of judgment</w:t>
      </w:r>
      <w:r w:rsidR="00B541D5" w:rsidRPr="004E47D1">
        <w:rPr>
          <w:rFonts w:ascii="Arial" w:hAnsi="Arial" w:cs="Arial"/>
        </w:rPr>
        <w:t>s</w:t>
      </w:r>
      <w:r w:rsidR="00D73452" w:rsidRPr="004E47D1">
        <w:rPr>
          <w:rFonts w:ascii="Arial" w:hAnsi="Arial" w:cs="Arial"/>
        </w:rPr>
        <w:t xml:space="preserve"> is also </w:t>
      </w:r>
      <w:r w:rsidR="00B541D5" w:rsidRPr="004E47D1">
        <w:rPr>
          <w:rFonts w:ascii="Arial" w:hAnsi="Arial" w:cs="Arial"/>
        </w:rPr>
        <w:t>paramount and should trump any interference at such a late stage.</w:t>
      </w:r>
    </w:p>
    <w:p w14:paraId="01557B2F" w14:textId="77777777" w:rsidR="00F14123" w:rsidRPr="00400104" w:rsidRDefault="00F14123" w:rsidP="00400104">
      <w:pPr>
        <w:pStyle w:val="NoSpacing"/>
        <w:spacing w:line="360" w:lineRule="auto"/>
        <w:rPr>
          <w:rFonts w:ascii="Arial" w:hAnsi="Arial" w:cs="Arial"/>
        </w:rPr>
      </w:pPr>
    </w:p>
    <w:p w14:paraId="7C004CE9" w14:textId="16845FB2" w:rsidR="000B47CF" w:rsidRPr="004E47D1" w:rsidRDefault="004E47D1" w:rsidP="004E47D1">
      <w:pPr>
        <w:spacing w:after="0" w:line="360" w:lineRule="auto"/>
        <w:ind w:left="720" w:hanging="720"/>
        <w:jc w:val="both"/>
        <w:rPr>
          <w:rFonts w:ascii="Arial" w:hAnsi="Arial" w:cs="Arial"/>
        </w:rPr>
      </w:pPr>
      <w:r w:rsidRPr="00DC4C6E">
        <w:rPr>
          <w:rFonts w:ascii="Arial" w:hAnsi="Arial" w:cs="Arial"/>
        </w:rPr>
        <w:t>[22]</w:t>
      </w:r>
      <w:r w:rsidRPr="00DC4C6E">
        <w:rPr>
          <w:rFonts w:ascii="Arial" w:hAnsi="Arial" w:cs="Arial"/>
        </w:rPr>
        <w:tab/>
      </w:r>
      <w:r w:rsidR="00476AB8" w:rsidRPr="004E47D1">
        <w:rPr>
          <w:rFonts w:ascii="Arial" w:hAnsi="Arial" w:cs="Arial"/>
        </w:rPr>
        <w:t xml:space="preserve">In respect of the </w:t>
      </w:r>
      <w:r w:rsidR="00F14123" w:rsidRPr="004E47D1">
        <w:rPr>
          <w:rFonts w:ascii="Arial" w:hAnsi="Arial" w:cs="Arial"/>
        </w:rPr>
        <w:t xml:space="preserve">time that has elapsed before the present application was launched, </w:t>
      </w:r>
      <w:r w:rsidR="001A4E3B" w:rsidRPr="004E47D1">
        <w:rPr>
          <w:rFonts w:ascii="Arial" w:hAnsi="Arial" w:cs="Arial"/>
        </w:rPr>
        <w:t xml:space="preserve">the respondent relied on </w:t>
      </w:r>
      <w:r w:rsidR="001A4E3B" w:rsidRPr="004E47D1">
        <w:rPr>
          <w:rFonts w:ascii="Arial" w:hAnsi="Arial" w:cs="Arial"/>
          <w:i/>
          <w:iCs/>
        </w:rPr>
        <w:t>First National Bank of Southern Africa Ltd v Van Rensburg</w:t>
      </w:r>
      <w:r w:rsidR="00D16583" w:rsidRPr="004E47D1">
        <w:rPr>
          <w:rFonts w:ascii="Arial" w:hAnsi="Arial" w:cs="Arial"/>
          <w:i/>
          <w:iCs/>
        </w:rPr>
        <w:t xml:space="preserve"> NO and </w:t>
      </w:r>
      <w:r w:rsidR="00040770" w:rsidRPr="004E47D1">
        <w:rPr>
          <w:rFonts w:ascii="Arial" w:hAnsi="Arial" w:cs="Arial"/>
          <w:i/>
          <w:iCs/>
        </w:rPr>
        <w:t>O</w:t>
      </w:r>
      <w:r w:rsidR="00D16583" w:rsidRPr="004E47D1">
        <w:rPr>
          <w:rFonts w:ascii="Arial" w:hAnsi="Arial" w:cs="Arial"/>
          <w:i/>
          <w:iCs/>
        </w:rPr>
        <w:t>thers</w:t>
      </w:r>
      <w:r w:rsidR="00040770" w:rsidRPr="004E47D1">
        <w:rPr>
          <w:rFonts w:ascii="Arial" w:hAnsi="Arial" w:cs="Arial"/>
          <w:i/>
          <w:iCs/>
        </w:rPr>
        <w:t>:</w:t>
      </w:r>
      <w:r w:rsidR="00D16583" w:rsidRPr="004E47D1">
        <w:rPr>
          <w:rFonts w:ascii="Arial" w:hAnsi="Arial" w:cs="Arial"/>
          <w:i/>
          <w:iCs/>
        </w:rPr>
        <w:t xml:space="preserve"> In </w:t>
      </w:r>
      <w:r w:rsidR="00040770" w:rsidRPr="004E47D1">
        <w:rPr>
          <w:rFonts w:ascii="Arial" w:hAnsi="Arial" w:cs="Arial"/>
          <w:i/>
          <w:iCs/>
        </w:rPr>
        <w:t>R</w:t>
      </w:r>
      <w:r w:rsidR="00D16583" w:rsidRPr="004E47D1">
        <w:rPr>
          <w:rFonts w:ascii="Arial" w:hAnsi="Arial" w:cs="Arial"/>
          <w:i/>
          <w:iCs/>
        </w:rPr>
        <w:t xml:space="preserve">e First National Bank of Southern Africa Ltd v Jurgens and </w:t>
      </w:r>
      <w:r w:rsidR="00040770" w:rsidRPr="004E47D1">
        <w:rPr>
          <w:rFonts w:ascii="Arial" w:hAnsi="Arial" w:cs="Arial"/>
          <w:i/>
          <w:iCs/>
        </w:rPr>
        <w:t>O</w:t>
      </w:r>
      <w:r w:rsidR="00D16583" w:rsidRPr="004E47D1">
        <w:rPr>
          <w:rFonts w:ascii="Arial" w:hAnsi="Arial" w:cs="Arial"/>
          <w:i/>
          <w:iCs/>
        </w:rPr>
        <w:t>thers</w:t>
      </w:r>
      <w:r w:rsidR="00D16583" w:rsidRPr="00DC4C6E">
        <w:rPr>
          <w:rStyle w:val="FootnoteReference"/>
          <w:rFonts w:ascii="Arial" w:hAnsi="Arial" w:cs="Arial"/>
        </w:rPr>
        <w:footnoteReference w:id="4"/>
      </w:r>
      <w:r w:rsidR="008E7CB0" w:rsidRPr="004E47D1">
        <w:rPr>
          <w:rFonts w:ascii="Arial" w:hAnsi="Arial" w:cs="Arial"/>
        </w:rPr>
        <w:t xml:space="preserve"> </w:t>
      </w:r>
      <w:r w:rsidR="00A456C5" w:rsidRPr="004E47D1">
        <w:rPr>
          <w:rFonts w:ascii="Arial" w:hAnsi="Arial" w:cs="Arial"/>
        </w:rPr>
        <w:t xml:space="preserve">where Eloff JP </w:t>
      </w:r>
      <w:r w:rsidR="00C1488D" w:rsidRPr="004E47D1">
        <w:rPr>
          <w:rFonts w:ascii="Arial" w:hAnsi="Arial" w:cs="Arial"/>
        </w:rPr>
        <w:t xml:space="preserve">concluded that </w:t>
      </w:r>
      <w:r w:rsidR="00C1488D" w:rsidRPr="004E47D1">
        <w:rPr>
          <w:rFonts w:ascii="Arial" w:hAnsi="Arial" w:cs="Arial"/>
          <w:iCs/>
        </w:rPr>
        <w:t>“[a] reasonable time in this case is substantially less than the three years referred to</w:t>
      </w:r>
      <w:r w:rsidR="000B47CF" w:rsidRPr="004E47D1">
        <w:rPr>
          <w:rFonts w:ascii="Arial" w:hAnsi="Arial" w:cs="Arial"/>
          <w:iCs/>
        </w:rPr>
        <w:t>”</w:t>
      </w:r>
      <w:r w:rsidR="000B47CF" w:rsidRPr="004E47D1">
        <w:rPr>
          <w:rFonts w:ascii="Arial" w:hAnsi="Arial" w:cs="Arial"/>
        </w:rPr>
        <w:t>.</w:t>
      </w:r>
      <w:r w:rsidR="000B47CF" w:rsidRPr="00DC4C6E">
        <w:rPr>
          <w:rStyle w:val="FootnoteReference"/>
          <w:rFonts w:ascii="Arial" w:hAnsi="Arial" w:cs="Arial"/>
        </w:rPr>
        <w:footnoteReference w:id="5"/>
      </w:r>
    </w:p>
    <w:p w14:paraId="6D7558D2" w14:textId="77777777" w:rsidR="000B47CF" w:rsidRPr="00400104" w:rsidRDefault="000B47CF" w:rsidP="00400104">
      <w:pPr>
        <w:pStyle w:val="NoSpacing"/>
        <w:spacing w:line="360" w:lineRule="auto"/>
        <w:rPr>
          <w:rFonts w:ascii="Arial" w:hAnsi="Arial" w:cs="Arial"/>
        </w:rPr>
      </w:pPr>
    </w:p>
    <w:p w14:paraId="5DFB44B9" w14:textId="2B114639" w:rsidR="00E41D94" w:rsidRPr="004E47D1" w:rsidRDefault="004E47D1" w:rsidP="004E47D1">
      <w:pPr>
        <w:spacing w:after="0" w:line="360" w:lineRule="auto"/>
        <w:ind w:left="720" w:hanging="720"/>
        <w:jc w:val="both"/>
        <w:rPr>
          <w:rFonts w:ascii="Arial" w:hAnsi="Arial" w:cs="Arial"/>
        </w:rPr>
      </w:pPr>
      <w:r w:rsidRPr="00DC4C6E">
        <w:rPr>
          <w:rFonts w:ascii="Arial" w:hAnsi="Arial" w:cs="Arial"/>
        </w:rPr>
        <w:t>[23]</w:t>
      </w:r>
      <w:r w:rsidRPr="00DC4C6E">
        <w:rPr>
          <w:rFonts w:ascii="Arial" w:hAnsi="Arial" w:cs="Arial"/>
        </w:rPr>
        <w:tab/>
      </w:r>
      <w:r w:rsidR="00482ABD" w:rsidRPr="004E47D1">
        <w:rPr>
          <w:rFonts w:ascii="Arial" w:hAnsi="Arial" w:cs="Arial"/>
        </w:rPr>
        <w:t xml:space="preserve">The full bench in </w:t>
      </w:r>
      <w:r w:rsidR="00482ABD" w:rsidRPr="004E47D1">
        <w:rPr>
          <w:rFonts w:ascii="Arial" w:hAnsi="Arial" w:cs="Arial"/>
          <w:i/>
          <w:iCs/>
        </w:rPr>
        <w:t xml:space="preserve">Money Box Investments </w:t>
      </w:r>
      <w:r w:rsidR="0072244B" w:rsidRPr="004E47D1">
        <w:rPr>
          <w:rFonts w:ascii="Arial" w:hAnsi="Arial" w:cs="Arial"/>
          <w:i/>
          <w:iCs/>
        </w:rPr>
        <w:t>268 (Pty) Ltd v Easy Green</w:t>
      </w:r>
      <w:r w:rsidR="00040770" w:rsidRPr="004E47D1">
        <w:rPr>
          <w:rFonts w:ascii="Arial" w:hAnsi="Arial" w:cs="Arial"/>
          <w:i/>
          <w:iCs/>
        </w:rPr>
        <w:t>s</w:t>
      </w:r>
      <w:r w:rsidR="0072244B" w:rsidRPr="004E47D1">
        <w:rPr>
          <w:rFonts w:ascii="Arial" w:hAnsi="Arial" w:cs="Arial"/>
          <w:i/>
          <w:iCs/>
        </w:rPr>
        <w:t xml:space="preserve"> Farming and Farm Produce CC</w:t>
      </w:r>
      <w:r w:rsidR="0094512E" w:rsidRPr="004E47D1">
        <w:rPr>
          <w:rFonts w:ascii="Arial" w:hAnsi="Arial" w:cs="Arial"/>
        </w:rPr>
        <w:t xml:space="preserve"> </w:t>
      </w:r>
      <w:r w:rsidR="0072244B" w:rsidRPr="00DC4C6E">
        <w:rPr>
          <w:rStyle w:val="FootnoteReference"/>
          <w:rFonts w:ascii="Arial" w:hAnsi="Arial" w:cs="Arial"/>
        </w:rPr>
        <w:footnoteReference w:id="6"/>
      </w:r>
      <w:r w:rsidR="0028394A" w:rsidRPr="004E47D1">
        <w:rPr>
          <w:rFonts w:ascii="Arial" w:hAnsi="Arial" w:cs="Arial"/>
        </w:rPr>
        <w:t xml:space="preserve"> </w:t>
      </w:r>
      <w:r w:rsidR="007451C3" w:rsidRPr="004E47D1">
        <w:rPr>
          <w:rFonts w:ascii="Arial" w:hAnsi="Arial" w:cs="Arial"/>
        </w:rPr>
        <w:t xml:space="preserve">held, in an application under </w:t>
      </w:r>
      <w:r w:rsidR="00040770" w:rsidRPr="004E47D1">
        <w:rPr>
          <w:rFonts w:ascii="Arial" w:hAnsi="Arial" w:cs="Arial"/>
        </w:rPr>
        <w:t>R</w:t>
      </w:r>
      <w:r w:rsidR="007451C3" w:rsidRPr="004E47D1">
        <w:rPr>
          <w:rFonts w:ascii="Arial" w:hAnsi="Arial" w:cs="Arial"/>
        </w:rPr>
        <w:t>ule 42</w:t>
      </w:r>
      <w:r w:rsidR="00C15E46" w:rsidRPr="004E47D1">
        <w:rPr>
          <w:rFonts w:ascii="Arial" w:hAnsi="Arial" w:cs="Arial"/>
        </w:rPr>
        <w:t xml:space="preserve"> launched some six months after the applicant had obtained knowledge of a default judgment</w:t>
      </w:r>
      <w:r w:rsidR="00E41D94" w:rsidRPr="004E47D1">
        <w:rPr>
          <w:rFonts w:ascii="Arial" w:hAnsi="Arial" w:cs="Arial"/>
        </w:rPr>
        <w:t>:</w:t>
      </w:r>
    </w:p>
    <w:p w14:paraId="46E0CA27" w14:textId="77777777" w:rsidR="001250CD" w:rsidRPr="00400104" w:rsidRDefault="001250CD" w:rsidP="00400104">
      <w:pPr>
        <w:pStyle w:val="NoSpacing"/>
        <w:spacing w:line="360" w:lineRule="auto"/>
        <w:rPr>
          <w:rFonts w:ascii="Arial" w:hAnsi="Arial" w:cs="Arial"/>
        </w:rPr>
      </w:pPr>
    </w:p>
    <w:p w14:paraId="662D5AD6" w14:textId="0A53BCD1" w:rsidR="00B27F77" w:rsidRPr="00400104" w:rsidRDefault="00E41D94" w:rsidP="00400104">
      <w:pPr>
        <w:spacing w:after="0" w:line="360" w:lineRule="auto"/>
        <w:ind w:left="1429"/>
        <w:jc w:val="both"/>
        <w:rPr>
          <w:rFonts w:ascii="Arial" w:hAnsi="Arial" w:cs="Arial"/>
          <w:iCs/>
          <w:sz w:val="22"/>
          <w:szCs w:val="22"/>
        </w:rPr>
      </w:pPr>
      <w:r w:rsidRPr="00400104">
        <w:rPr>
          <w:rFonts w:ascii="Arial" w:hAnsi="Arial" w:cs="Arial"/>
          <w:iCs/>
          <w:sz w:val="22"/>
          <w:szCs w:val="22"/>
        </w:rPr>
        <w:lastRenderedPageBreak/>
        <w:t xml:space="preserve">“I agree with the respondent that in bringing an application for rescission of the judgment under Rule 42(1) and </w:t>
      </w:r>
      <w:r w:rsidR="00040770" w:rsidRPr="00DC4C6E">
        <w:rPr>
          <w:rFonts w:ascii="Arial" w:hAnsi="Arial" w:cs="Arial"/>
          <w:iCs/>
          <w:sz w:val="22"/>
          <w:szCs w:val="22"/>
        </w:rPr>
        <w:t>at</w:t>
      </w:r>
      <w:r w:rsidRPr="00400104">
        <w:rPr>
          <w:rFonts w:ascii="Arial" w:hAnsi="Arial" w:cs="Arial"/>
          <w:iCs/>
          <w:sz w:val="22"/>
          <w:szCs w:val="22"/>
        </w:rPr>
        <w:t xml:space="preserve"> common law, the appellant had to bring the application within a reasonable time. The appellant brought the application more than 6 (six) months after it became aware of the judgment. The appellant concedes that the application was not brought within a reasonable time</w:t>
      </w:r>
      <w:r w:rsidR="001250CD" w:rsidRPr="00400104">
        <w:rPr>
          <w:rFonts w:ascii="Arial" w:hAnsi="Arial" w:cs="Arial"/>
          <w:iCs/>
          <w:sz w:val="22"/>
          <w:szCs w:val="22"/>
        </w:rPr>
        <w:t>, the reason why it applied for condonation for the late filing of the application.”</w:t>
      </w:r>
      <w:r w:rsidR="001250CD" w:rsidRPr="00400104">
        <w:rPr>
          <w:rStyle w:val="FootnoteReference"/>
          <w:rFonts w:ascii="Arial" w:hAnsi="Arial" w:cs="Arial"/>
          <w:iCs/>
          <w:sz w:val="22"/>
          <w:szCs w:val="22"/>
        </w:rPr>
        <w:footnoteReference w:id="7"/>
      </w:r>
    </w:p>
    <w:p w14:paraId="54A2F150" w14:textId="77777777" w:rsidR="00222C26" w:rsidRPr="00400104" w:rsidRDefault="00222C26" w:rsidP="00400104">
      <w:pPr>
        <w:pStyle w:val="NoSpacing"/>
        <w:spacing w:line="360" w:lineRule="auto"/>
        <w:rPr>
          <w:rFonts w:ascii="Arial" w:hAnsi="Arial" w:cs="Arial"/>
        </w:rPr>
      </w:pPr>
    </w:p>
    <w:p w14:paraId="69A27FF7" w14:textId="409C0570" w:rsidR="00222C26" w:rsidRPr="004E47D1" w:rsidRDefault="004E47D1" w:rsidP="004E47D1">
      <w:pPr>
        <w:spacing w:after="0" w:line="360" w:lineRule="auto"/>
        <w:ind w:left="720" w:hanging="720"/>
        <w:jc w:val="both"/>
        <w:rPr>
          <w:rFonts w:ascii="Arial" w:hAnsi="Arial" w:cs="Arial"/>
        </w:rPr>
      </w:pPr>
      <w:r w:rsidRPr="00DC4C6E">
        <w:rPr>
          <w:rFonts w:ascii="Arial" w:hAnsi="Arial" w:cs="Arial"/>
        </w:rPr>
        <w:t>[24]</w:t>
      </w:r>
      <w:r w:rsidRPr="00DC4C6E">
        <w:rPr>
          <w:rFonts w:ascii="Arial" w:hAnsi="Arial" w:cs="Arial"/>
        </w:rPr>
        <w:tab/>
      </w:r>
      <w:r w:rsidR="00B057AD" w:rsidRPr="004E47D1">
        <w:rPr>
          <w:rFonts w:ascii="Arial" w:hAnsi="Arial" w:cs="Arial"/>
        </w:rPr>
        <w:t xml:space="preserve">On the basis of these judgments the respondent </w:t>
      </w:r>
      <w:r w:rsidR="00702C0C" w:rsidRPr="004E47D1">
        <w:rPr>
          <w:rFonts w:ascii="Arial" w:hAnsi="Arial" w:cs="Arial"/>
        </w:rPr>
        <w:t>argued that the court should exercise its discretion to dismiss the application.</w:t>
      </w:r>
    </w:p>
    <w:p w14:paraId="2B94F72D" w14:textId="77777777" w:rsidR="00FD1AE0" w:rsidRPr="00DC4C6E" w:rsidRDefault="00FD1AE0" w:rsidP="00400104">
      <w:pPr>
        <w:spacing w:after="0" w:line="360" w:lineRule="auto"/>
        <w:ind w:left="360"/>
        <w:jc w:val="both"/>
        <w:rPr>
          <w:rFonts w:ascii="Arial" w:hAnsi="Arial" w:cs="Arial"/>
        </w:rPr>
      </w:pPr>
    </w:p>
    <w:p w14:paraId="08AD87B9" w14:textId="7219CB87" w:rsidR="00414091" w:rsidRPr="004E47D1" w:rsidRDefault="004E47D1" w:rsidP="004E47D1">
      <w:pPr>
        <w:spacing w:after="0" w:line="360" w:lineRule="auto"/>
        <w:ind w:left="720" w:hanging="720"/>
        <w:jc w:val="both"/>
        <w:rPr>
          <w:rFonts w:ascii="Arial" w:hAnsi="Arial" w:cs="Arial"/>
        </w:rPr>
      </w:pPr>
      <w:r w:rsidRPr="00DC4C6E">
        <w:rPr>
          <w:rFonts w:ascii="Arial" w:hAnsi="Arial" w:cs="Arial"/>
        </w:rPr>
        <w:t>[25]</w:t>
      </w:r>
      <w:r w:rsidRPr="00DC4C6E">
        <w:rPr>
          <w:rFonts w:ascii="Arial" w:hAnsi="Arial" w:cs="Arial"/>
        </w:rPr>
        <w:tab/>
      </w:r>
      <w:r w:rsidR="00C00D0C" w:rsidRPr="004E47D1">
        <w:rPr>
          <w:rFonts w:ascii="Arial" w:hAnsi="Arial" w:cs="Arial"/>
        </w:rPr>
        <w:t xml:space="preserve">I have set out above the history to the present application. </w:t>
      </w:r>
      <w:r w:rsidR="0006660E" w:rsidRPr="004E47D1">
        <w:rPr>
          <w:rFonts w:ascii="Arial" w:hAnsi="Arial" w:cs="Arial"/>
        </w:rPr>
        <w:t xml:space="preserve"> </w:t>
      </w:r>
      <w:r w:rsidR="008617E9" w:rsidRPr="004E47D1">
        <w:rPr>
          <w:rFonts w:ascii="Arial" w:hAnsi="Arial" w:cs="Arial"/>
        </w:rPr>
        <w:t xml:space="preserve">This is not an application for the rescission of a judgment, but one to vary an order that clearly contains a patent error. </w:t>
      </w:r>
      <w:r w:rsidR="0006660E" w:rsidRPr="004E47D1">
        <w:rPr>
          <w:rFonts w:ascii="Arial" w:hAnsi="Arial" w:cs="Arial"/>
        </w:rPr>
        <w:t xml:space="preserve"> </w:t>
      </w:r>
      <w:r w:rsidR="008617E9" w:rsidRPr="004E47D1">
        <w:rPr>
          <w:rFonts w:ascii="Arial" w:hAnsi="Arial" w:cs="Arial"/>
        </w:rPr>
        <w:t>The</w:t>
      </w:r>
      <w:r w:rsidR="00B34646" w:rsidRPr="004E47D1">
        <w:rPr>
          <w:rFonts w:ascii="Arial" w:hAnsi="Arial" w:cs="Arial"/>
        </w:rPr>
        <w:t xml:space="preserve"> applicants first became aware of the error when it was brought to their attention </w:t>
      </w:r>
      <w:r w:rsidR="00916857" w:rsidRPr="004E47D1">
        <w:rPr>
          <w:rFonts w:ascii="Arial" w:hAnsi="Arial" w:cs="Arial"/>
        </w:rPr>
        <w:t>in terms of the letter on 17 December 2020.</w:t>
      </w:r>
      <w:r w:rsidR="0006660E" w:rsidRPr="004E47D1">
        <w:rPr>
          <w:rFonts w:ascii="Arial" w:hAnsi="Arial" w:cs="Arial"/>
        </w:rPr>
        <w:t xml:space="preserve"> </w:t>
      </w:r>
      <w:r w:rsidR="00916857" w:rsidRPr="004E47D1">
        <w:rPr>
          <w:rFonts w:ascii="Arial" w:hAnsi="Arial" w:cs="Arial"/>
        </w:rPr>
        <w:t xml:space="preserve"> In fact, it seems as if the respondent also only became aware thereof during about December 2020</w:t>
      </w:r>
      <w:r w:rsidR="001345C1" w:rsidRPr="004E47D1">
        <w:rPr>
          <w:rFonts w:ascii="Arial" w:hAnsi="Arial" w:cs="Arial"/>
        </w:rPr>
        <w:t xml:space="preserve"> when </w:t>
      </w:r>
      <w:r w:rsidR="009D64B6" w:rsidRPr="004E47D1">
        <w:rPr>
          <w:rFonts w:ascii="Arial" w:hAnsi="Arial" w:cs="Arial"/>
        </w:rPr>
        <w:t>there was an application for contempt of court pending</w:t>
      </w:r>
      <w:r w:rsidR="00916857" w:rsidRPr="004E47D1">
        <w:rPr>
          <w:rFonts w:ascii="Arial" w:hAnsi="Arial" w:cs="Arial"/>
        </w:rPr>
        <w:t xml:space="preserve">. </w:t>
      </w:r>
      <w:r w:rsidR="0006660E" w:rsidRPr="004E47D1">
        <w:rPr>
          <w:rFonts w:ascii="Arial" w:hAnsi="Arial" w:cs="Arial"/>
        </w:rPr>
        <w:t xml:space="preserve"> </w:t>
      </w:r>
      <w:r w:rsidR="00916857" w:rsidRPr="004E47D1">
        <w:rPr>
          <w:rFonts w:ascii="Arial" w:hAnsi="Arial" w:cs="Arial"/>
        </w:rPr>
        <w:t xml:space="preserve">Prior to that all the parties </w:t>
      </w:r>
      <w:r w:rsidR="00414091" w:rsidRPr="004E47D1">
        <w:rPr>
          <w:rFonts w:ascii="Arial" w:hAnsi="Arial" w:cs="Arial"/>
        </w:rPr>
        <w:t>assumed the order to be correct and acted on such assumption.</w:t>
      </w:r>
    </w:p>
    <w:p w14:paraId="54E32ABC" w14:textId="77777777" w:rsidR="00414091" w:rsidRPr="00400104" w:rsidRDefault="00414091" w:rsidP="00400104">
      <w:pPr>
        <w:pStyle w:val="NoSpacing"/>
        <w:spacing w:line="360" w:lineRule="auto"/>
        <w:rPr>
          <w:rFonts w:ascii="Arial" w:hAnsi="Arial" w:cs="Arial"/>
        </w:rPr>
      </w:pPr>
    </w:p>
    <w:p w14:paraId="178F5B13" w14:textId="1B63A6CF" w:rsidR="00D24F2D" w:rsidRPr="004E47D1" w:rsidRDefault="004E47D1" w:rsidP="004E47D1">
      <w:pPr>
        <w:spacing w:after="0" w:line="360" w:lineRule="auto"/>
        <w:ind w:left="720" w:hanging="720"/>
        <w:jc w:val="both"/>
        <w:rPr>
          <w:rFonts w:ascii="Arial" w:hAnsi="Arial" w:cs="Arial"/>
        </w:rPr>
      </w:pPr>
      <w:r w:rsidRPr="00DC4C6E">
        <w:rPr>
          <w:rFonts w:ascii="Arial" w:hAnsi="Arial" w:cs="Arial"/>
        </w:rPr>
        <w:t>[26]</w:t>
      </w:r>
      <w:r w:rsidRPr="00DC4C6E">
        <w:rPr>
          <w:rFonts w:ascii="Arial" w:hAnsi="Arial" w:cs="Arial"/>
        </w:rPr>
        <w:tab/>
      </w:r>
      <w:r w:rsidR="00FA64CF" w:rsidRPr="004E47D1">
        <w:rPr>
          <w:rFonts w:ascii="Arial" w:hAnsi="Arial" w:cs="Arial"/>
        </w:rPr>
        <w:t>The first application was launched on 11 March 2021</w:t>
      </w:r>
      <w:r w:rsidR="00602959" w:rsidRPr="004E47D1">
        <w:rPr>
          <w:rFonts w:ascii="Arial" w:hAnsi="Arial" w:cs="Arial"/>
        </w:rPr>
        <w:t xml:space="preserve"> when it became clear that the respondent had no intention of honouring the order</w:t>
      </w:r>
      <w:r w:rsidR="00900240" w:rsidRPr="004E47D1">
        <w:rPr>
          <w:rFonts w:ascii="Arial" w:hAnsi="Arial" w:cs="Arial"/>
        </w:rPr>
        <w:t xml:space="preserve"> and that her reason for this stance was the incorrect policy number in the order.</w:t>
      </w:r>
      <w:r w:rsidR="0006660E" w:rsidRPr="004E47D1">
        <w:rPr>
          <w:rFonts w:ascii="Arial" w:hAnsi="Arial" w:cs="Arial"/>
        </w:rPr>
        <w:t xml:space="preserve"> </w:t>
      </w:r>
      <w:r w:rsidR="00900240" w:rsidRPr="004E47D1">
        <w:rPr>
          <w:rFonts w:ascii="Arial" w:hAnsi="Arial" w:cs="Arial"/>
        </w:rPr>
        <w:t xml:space="preserve"> </w:t>
      </w:r>
      <w:r w:rsidR="000956D0" w:rsidRPr="004E47D1">
        <w:rPr>
          <w:rFonts w:ascii="Arial" w:hAnsi="Arial" w:cs="Arial"/>
        </w:rPr>
        <w:t>In my view this was within a reasonable time after the applicants became aware of the error</w:t>
      </w:r>
      <w:r w:rsidR="009312D2" w:rsidRPr="004E47D1">
        <w:rPr>
          <w:rFonts w:ascii="Arial" w:hAnsi="Arial" w:cs="Arial"/>
        </w:rPr>
        <w:t xml:space="preserve">, especially as the respective attorneys </w:t>
      </w:r>
      <w:r w:rsidR="009E0360" w:rsidRPr="004E47D1">
        <w:rPr>
          <w:rFonts w:ascii="Arial" w:hAnsi="Arial" w:cs="Arial"/>
        </w:rPr>
        <w:t>were exchanging correspondence in the interim period</w:t>
      </w:r>
      <w:r w:rsidR="00D24F2D" w:rsidRPr="004E47D1">
        <w:rPr>
          <w:rFonts w:ascii="Arial" w:hAnsi="Arial" w:cs="Arial"/>
        </w:rPr>
        <w:t xml:space="preserve"> in an attempt to resolve the dispute</w:t>
      </w:r>
      <w:r w:rsidR="000956D0" w:rsidRPr="004E47D1">
        <w:rPr>
          <w:rFonts w:ascii="Arial" w:hAnsi="Arial" w:cs="Arial"/>
        </w:rPr>
        <w:t>.</w:t>
      </w:r>
    </w:p>
    <w:p w14:paraId="110D9231" w14:textId="77777777" w:rsidR="00D24F2D" w:rsidRPr="00400104" w:rsidRDefault="00D24F2D" w:rsidP="00400104">
      <w:pPr>
        <w:pStyle w:val="NoSpacing"/>
        <w:spacing w:line="360" w:lineRule="auto"/>
        <w:rPr>
          <w:rFonts w:ascii="Arial" w:hAnsi="Arial" w:cs="Arial"/>
        </w:rPr>
      </w:pPr>
    </w:p>
    <w:p w14:paraId="3A9CABF8" w14:textId="1DC032F7" w:rsidR="00777F58" w:rsidRPr="004E47D1" w:rsidRDefault="004E47D1" w:rsidP="004E47D1">
      <w:pPr>
        <w:spacing w:after="0" w:line="360" w:lineRule="auto"/>
        <w:ind w:left="720" w:hanging="720"/>
        <w:jc w:val="both"/>
        <w:rPr>
          <w:rFonts w:ascii="Arial" w:hAnsi="Arial" w:cs="Arial"/>
        </w:rPr>
      </w:pPr>
      <w:r w:rsidRPr="00DC4C6E">
        <w:rPr>
          <w:rFonts w:ascii="Arial" w:hAnsi="Arial" w:cs="Arial"/>
        </w:rPr>
        <w:t>[27]</w:t>
      </w:r>
      <w:r w:rsidRPr="00DC4C6E">
        <w:rPr>
          <w:rFonts w:ascii="Arial" w:hAnsi="Arial" w:cs="Arial"/>
        </w:rPr>
        <w:tab/>
      </w:r>
      <w:r w:rsidR="00DB3198" w:rsidRPr="004E47D1">
        <w:rPr>
          <w:rFonts w:ascii="Arial" w:hAnsi="Arial" w:cs="Arial"/>
        </w:rPr>
        <w:t xml:space="preserve">The judgment in that application was </w:t>
      </w:r>
      <w:r w:rsidR="00FB13F5" w:rsidRPr="004E47D1">
        <w:rPr>
          <w:rFonts w:ascii="Arial" w:hAnsi="Arial" w:cs="Arial"/>
        </w:rPr>
        <w:t>handed down on 13 July 2022 and the present application was launched on 3 May 2023.</w:t>
      </w:r>
      <w:r w:rsidR="008E4F90" w:rsidRPr="004E47D1">
        <w:rPr>
          <w:rFonts w:ascii="Arial" w:hAnsi="Arial" w:cs="Arial"/>
        </w:rPr>
        <w:t xml:space="preserve"> </w:t>
      </w:r>
      <w:r w:rsidR="0006660E" w:rsidRPr="004E47D1">
        <w:rPr>
          <w:rFonts w:ascii="Arial" w:hAnsi="Arial" w:cs="Arial"/>
        </w:rPr>
        <w:t xml:space="preserve"> </w:t>
      </w:r>
      <w:r w:rsidR="008E4F90" w:rsidRPr="004E47D1">
        <w:rPr>
          <w:rFonts w:ascii="Arial" w:hAnsi="Arial" w:cs="Arial"/>
        </w:rPr>
        <w:t>Th</w:t>
      </w:r>
      <w:r w:rsidR="00A65157" w:rsidRPr="004E47D1">
        <w:rPr>
          <w:rFonts w:ascii="Arial" w:hAnsi="Arial" w:cs="Arial"/>
        </w:rPr>
        <w:t>is delay is explained in the applicants’ replying affidavit</w:t>
      </w:r>
      <w:r w:rsidR="001C6828" w:rsidRPr="004E47D1">
        <w:rPr>
          <w:rFonts w:ascii="Arial" w:hAnsi="Arial" w:cs="Arial"/>
        </w:rPr>
        <w:t>.</w:t>
      </w:r>
      <w:r w:rsidR="0006660E" w:rsidRPr="004E47D1">
        <w:rPr>
          <w:rFonts w:ascii="Arial" w:hAnsi="Arial" w:cs="Arial"/>
        </w:rPr>
        <w:t xml:space="preserve"> </w:t>
      </w:r>
      <w:r w:rsidR="001C6828" w:rsidRPr="004E47D1">
        <w:rPr>
          <w:rFonts w:ascii="Arial" w:hAnsi="Arial" w:cs="Arial"/>
        </w:rPr>
        <w:t xml:space="preserve"> It seems </w:t>
      </w:r>
      <w:r w:rsidR="00040DFA" w:rsidRPr="004E47D1">
        <w:rPr>
          <w:rFonts w:ascii="Arial" w:hAnsi="Arial" w:cs="Arial"/>
        </w:rPr>
        <w:t>that the applicants</w:t>
      </w:r>
      <w:r w:rsidR="00FC0232" w:rsidRPr="004E47D1">
        <w:rPr>
          <w:rFonts w:ascii="Arial" w:hAnsi="Arial" w:cs="Arial"/>
        </w:rPr>
        <w:t xml:space="preserve"> did not have the funds to continue with the litigation after the dismissal of the first variation application</w:t>
      </w:r>
      <w:r w:rsidR="003869EC" w:rsidRPr="004E47D1">
        <w:rPr>
          <w:rFonts w:ascii="Arial" w:hAnsi="Arial" w:cs="Arial"/>
        </w:rPr>
        <w:t xml:space="preserve"> and that the present application was only launched after their</w:t>
      </w:r>
      <w:r w:rsidR="00040DFA" w:rsidRPr="004E47D1">
        <w:rPr>
          <w:rFonts w:ascii="Arial" w:hAnsi="Arial" w:cs="Arial"/>
        </w:rPr>
        <w:t xml:space="preserve"> attorney and counsel </w:t>
      </w:r>
      <w:r w:rsidR="003869EC" w:rsidRPr="004E47D1">
        <w:rPr>
          <w:rFonts w:ascii="Arial" w:hAnsi="Arial" w:cs="Arial"/>
        </w:rPr>
        <w:t xml:space="preserve">agreed to act on a </w:t>
      </w:r>
      <w:r w:rsidR="003869EC" w:rsidRPr="004E47D1">
        <w:rPr>
          <w:rFonts w:ascii="Arial" w:hAnsi="Arial" w:cs="Arial"/>
          <w:i/>
          <w:iCs/>
        </w:rPr>
        <w:t>pro bono</w:t>
      </w:r>
      <w:r w:rsidR="003869EC" w:rsidRPr="004E47D1">
        <w:rPr>
          <w:rFonts w:ascii="Arial" w:hAnsi="Arial" w:cs="Arial"/>
        </w:rPr>
        <w:t xml:space="preserve"> basis.</w:t>
      </w:r>
      <w:r w:rsidR="0006660E" w:rsidRPr="004E47D1">
        <w:rPr>
          <w:rFonts w:ascii="Arial" w:hAnsi="Arial" w:cs="Arial"/>
        </w:rPr>
        <w:t xml:space="preserve"> </w:t>
      </w:r>
      <w:r w:rsidR="007A216A" w:rsidRPr="004E47D1">
        <w:rPr>
          <w:rFonts w:ascii="Arial" w:hAnsi="Arial" w:cs="Arial"/>
        </w:rPr>
        <w:t xml:space="preserve"> The process commenced in about October 2022</w:t>
      </w:r>
      <w:r w:rsidR="00777F58" w:rsidRPr="004E47D1">
        <w:rPr>
          <w:rFonts w:ascii="Arial" w:hAnsi="Arial" w:cs="Arial"/>
        </w:rPr>
        <w:t xml:space="preserve"> and the application was only finalised in </w:t>
      </w:r>
      <w:r w:rsidR="00777F58" w:rsidRPr="004E47D1">
        <w:rPr>
          <w:rFonts w:ascii="Arial" w:hAnsi="Arial" w:cs="Arial"/>
        </w:rPr>
        <w:lastRenderedPageBreak/>
        <w:t>about April 2023</w:t>
      </w:r>
      <w:r w:rsidR="00A6627C" w:rsidRPr="004E47D1">
        <w:rPr>
          <w:rFonts w:ascii="Arial" w:hAnsi="Arial" w:cs="Arial"/>
        </w:rPr>
        <w:t xml:space="preserve"> due to, </w:t>
      </w:r>
      <w:r w:rsidR="00A6627C" w:rsidRPr="004E47D1">
        <w:rPr>
          <w:rFonts w:ascii="Arial" w:hAnsi="Arial" w:cs="Arial"/>
          <w:i/>
          <w:iCs/>
        </w:rPr>
        <w:t>inter alia</w:t>
      </w:r>
      <w:r w:rsidR="00A6627C" w:rsidRPr="004E47D1">
        <w:rPr>
          <w:rFonts w:ascii="Arial" w:hAnsi="Arial" w:cs="Arial"/>
        </w:rPr>
        <w:t xml:space="preserve">, the fact that </w:t>
      </w:r>
      <w:r w:rsidR="00B83D49" w:rsidRPr="004E47D1">
        <w:rPr>
          <w:rFonts w:ascii="Arial" w:hAnsi="Arial" w:cs="Arial"/>
        </w:rPr>
        <w:t xml:space="preserve">counsel who was involved in the matter from the outset was on maternity leave </w:t>
      </w:r>
      <w:r w:rsidR="00C731B1" w:rsidRPr="004E47D1">
        <w:rPr>
          <w:rFonts w:ascii="Arial" w:hAnsi="Arial" w:cs="Arial"/>
        </w:rPr>
        <w:t>during December 2022</w:t>
      </w:r>
      <w:r w:rsidR="00777F58" w:rsidRPr="004E47D1">
        <w:rPr>
          <w:rFonts w:ascii="Arial" w:hAnsi="Arial" w:cs="Arial"/>
        </w:rPr>
        <w:t>.</w:t>
      </w:r>
    </w:p>
    <w:p w14:paraId="5C9117B5" w14:textId="77777777" w:rsidR="00777F58" w:rsidRPr="00DC4C6E" w:rsidRDefault="00777F58" w:rsidP="00400104">
      <w:pPr>
        <w:spacing w:after="0" w:line="360" w:lineRule="auto"/>
        <w:jc w:val="both"/>
        <w:rPr>
          <w:rFonts w:ascii="Arial" w:hAnsi="Arial" w:cs="Arial"/>
        </w:rPr>
      </w:pPr>
    </w:p>
    <w:p w14:paraId="114BB4E7" w14:textId="7CC1EA4D" w:rsidR="00702C0C" w:rsidRPr="004E47D1" w:rsidRDefault="004E47D1" w:rsidP="004E47D1">
      <w:pPr>
        <w:spacing w:after="0" w:line="360" w:lineRule="auto"/>
        <w:ind w:left="720" w:hanging="720"/>
        <w:jc w:val="both"/>
        <w:rPr>
          <w:rFonts w:ascii="Arial" w:hAnsi="Arial" w:cs="Arial"/>
        </w:rPr>
      </w:pPr>
      <w:r w:rsidRPr="00DC4C6E">
        <w:rPr>
          <w:rFonts w:ascii="Arial" w:hAnsi="Arial" w:cs="Arial"/>
        </w:rPr>
        <w:t>[28]</w:t>
      </w:r>
      <w:r w:rsidRPr="00DC4C6E">
        <w:rPr>
          <w:rFonts w:ascii="Arial" w:hAnsi="Arial" w:cs="Arial"/>
        </w:rPr>
        <w:tab/>
      </w:r>
      <w:r w:rsidR="00777F58" w:rsidRPr="004E47D1">
        <w:rPr>
          <w:rFonts w:ascii="Arial" w:hAnsi="Arial" w:cs="Arial"/>
        </w:rPr>
        <w:t xml:space="preserve">It is unfortunate that this explanation only appears in the replying affidavit, but </w:t>
      </w:r>
      <w:r w:rsidR="00E25456" w:rsidRPr="004E47D1">
        <w:rPr>
          <w:rFonts w:ascii="Arial" w:hAnsi="Arial" w:cs="Arial"/>
        </w:rPr>
        <w:t xml:space="preserve">it was done in response to the respondent’s criticism </w:t>
      </w:r>
      <w:r w:rsidR="008B0D30" w:rsidRPr="004E47D1">
        <w:rPr>
          <w:rFonts w:ascii="Arial" w:hAnsi="Arial" w:cs="Arial"/>
        </w:rPr>
        <w:t>about the expiry of time.</w:t>
      </w:r>
      <w:r w:rsidR="00867B6A" w:rsidRPr="004E47D1">
        <w:rPr>
          <w:rFonts w:ascii="Arial" w:hAnsi="Arial" w:cs="Arial"/>
        </w:rPr>
        <w:t xml:space="preserve"> </w:t>
      </w:r>
      <w:r w:rsidR="0006660E" w:rsidRPr="004E47D1">
        <w:rPr>
          <w:rFonts w:ascii="Arial" w:hAnsi="Arial" w:cs="Arial"/>
        </w:rPr>
        <w:t xml:space="preserve"> </w:t>
      </w:r>
      <w:r w:rsidR="00867B6A" w:rsidRPr="004E47D1">
        <w:rPr>
          <w:rFonts w:ascii="Arial" w:hAnsi="Arial" w:cs="Arial"/>
        </w:rPr>
        <w:t xml:space="preserve">The applicants </w:t>
      </w:r>
      <w:r w:rsidR="00311D9A" w:rsidRPr="004E47D1">
        <w:rPr>
          <w:rFonts w:ascii="Arial" w:hAnsi="Arial" w:cs="Arial"/>
        </w:rPr>
        <w:t>apply for condonation insofar as it is necessary.</w:t>
      </w:r>
    </w:p>
    <w:p w14:paraId="5FC8A92C" w14:textId="77777777" w:rsidR="000956D0" w:rsidRPr="00400104" w:rsidRDefault="000956D0" w:rsidP="00400104">
      <w:pPr>
        <w:pStyle w:val="NoSpacing"/>
        <w:spacing w:line="360" w:lineRule="auto"/>
        <w:rPr>
          <w:rFonts w:ascii="Arial" w:hAnsi="Arial" w:cs="Arial"/>
        </w:rPr>
      </w:pPr>
    </w:p>
    <w:p w14:paraId="2F536CE8" w14:textId="0885CA58" w:rsidR="00F83C83" w:rsidRPr="00DC4C6E" w:rsidRDefault="004E47D1" w:rsidP="004E47D1">
      <w:pPr>
        <w:pStyle w:val="cm-para1quad"/>
        <w:shd w:val="clear" w:color="auto" w:fill="FFFFFF"/>
        <w:spacing w:before="0" w:beforeAutospacing="0" w:after="0" w:afterAutospacing="0" w:line="360" w:lineRule="auto"/>
        <w:ind w:left="720" w:hanging="720"/>
        <w:jc w:val="both"/>
        <w:rPr>
          <w:rFonts w:ascii="Arial" w:hAnsi="Arial" w:cs="Arial"/>
          <w:color w:val="000000"/>
        </w:rPr>
      </w:pPr>
      <w:r w:rsidRPr="00DC4C6E">
        <w:rPr>
          <w:rFonts w:ascii="Arial" w:hAnsi="Arial" w:cs="Arial"/>
          <w:color w:val="000000"/>
        </w:rPr>
        <w:t>[29]</w:t>
      </w:r>
      <w:r w:rsidRPr="00DC4C6E">
        <w:rPr>
          <w:rFonts w:ascii="Arial" w:hAnsi="Arial" w:cs="Arial"/>
          <w:color w:val="000000"/>
        </w:rPr>
        <w:tab/>
      </w:r>
      <w:r w:rsidR="00882B35" w:rsidRPr="00DC4C6E">
        <w:rPr>
          <w:rFonts w:ascii="Arial" w:hAnsi="Arial" w:cs="Arial"/>
        </w:rPr>
        <w:t xml:space="preserve">It is trite that </w:t>
      </w:r>
      <w:r w:rsidR="003009AE" w:rsidRPr="00DC4C6E">
        <w:rPr>
          <w:rFonts w:ascii="Arial" w:hAnsi="Arial" w:cs="Arial"/>
        </w:rPr>
        <w:t xml:space="preserve">a court has a discretion to grant condonation, which must be exercised judicially </w:t>
      </w:r>
      <w:r w:rsidR="00175236" w:rsidRPr="00DC4C6E">
        <w:rPr>
          <w:rFonts w:ascii="Arial" w:hAnsi="Arial" w:cs="Arial"/>
        </w:rPr>
        <w:t xml:space="preserve">on a consideration of the facts of each case. </w:t>
      </w:r>
      <w:r w:rsidR="0006660E" w:rsidRPr="00DC4C6E">
        <w:rPr>
          <w:rFonts w:ascii="Arial" w:hAnsi="Arial" w:cs="Arial"/>
        </w:rPr>
        <w:t xml:space="preserve"> </w:t>
      </w:r>
      <w:r w:rsidR="002C24C5" w:rsidRPr="00DC4C6E">
        <w:rPr>
          <w:rFonts w:ascii="Arial" w:hAnsi="Arial" w:cs="Arial"/>
        </w:rPr>
        <w:t>I</w:t>
      </w:r>
      <w:r w:rsidR="00F83C83" w:rsidRPr="00DC4C6E">
        <w:rPr>
          <w:rFonts w:ascii="Arial" w:hAnsi="Arial" w:cs="Arial"/>
          <w:color w:val="000000"/>
        </w:rPr>
        <w:t>n essence it is a matter of fairness to both sides.</w:t>
      </w:r>
      <w:r w:rsidR="0006660E" w:rsidRPr="00DC4C6E">
        <w:rPr>
          <w:rFonts w:ascii="Arial" w:hAnsi="Arial" w:cs="Arial"/>
          <w:color w:val="000000"/>
        </w:rPr>
        <w:t xml:space="preserve">  </w:t>
      </w:r>
      <w:r w:rsidR="00F83C83" w:rsidRPr="00DC4C6E">
        <w:rPr>
          <w:rFonts w:ascii="Arial" w:hAnsi="Arial" w:cs="Arial"/>
          <w:color w:val="000000"/>
        </w:rPr>
        <w:t>A judicial discretion is not an absolute or unqualified discretion but must be exercised in accordance with recognised principles.</w:t>
      </w:r>
    </w:p>
    <w:p w14:paraId="6A5AF23D" w14:textId="77777777" w:rsidR="00617C18" w:rsidRPr="00DC4C6E" w:rsidRDefault="00617C18" w:rsidP="00400104">
      <w:pPr>
        <w:pStyle w:val="cm-para1quad"/>
        <w:shd w:val="clear" w:color="auto" w:fill="FFFFFF"/>
        <w:spacing w:before="180" w:beforeAutospacing="0" w:after="0" w:afterAutospacing="0" w:line="360" w:lineRule="auto"/>
        <w:ind w:left="360"/>
        <w:jc w:val="both"/>
        <w:rPr>
          <w:rFonts w:ascii="Arial" w:hAnsi="Arial" w:cs="Arial"/>
          <w:color w:val="000000"/>
        </w:rPr>
      </w:pPr>
    </w:p>
    <w:p w14:paraId="2E85D8D9" w14:textId="5B989B2C" w:rsidR="00F83C83" w:rsidRPr="00DC4C6E" w:rsidRDefault="004E47D1" w:rsidP="004E47D1">
      <w:pPr>
        <w:pStyle w:val="cm-para1quad"/>
        <w:shd w:val="clear" w:color="auto" w:fill="FFFFFF"/>
        <w:spacing w:before="0" w:beforeAutospacing="0" w:after="0" w:afterAutospacing="0" w:line="360" w:lineRule="auto"/>
        <w:ind w:left="720" w:hanging="720"/>
        <w:jc w:val="both"/>
        <w:rPr>
          <w:rFonts w:ascii="Arial" w:hAnsi="Arial" w:cs="Arial"/>
          <w:color w:val="000000"/>
        </w:rPr>
      </w:pPr>
      <w:r w:rsidRPr="00DC4C6E">
        <w:rPr>
          <w:rFonts w:ascii="Arial" w:hAnsi="Arial" w:cs="Arial"/>
          <w:color w:val="000000"/>
        </w:rPr>
        <w:t>[30]</w:t>
      </w:r>
      <w:r w:rsidRPr="00DC4C6E">
        <w:rPr>
          <w:rFonts w:ascii="Arial" w:hAnsi="Arial" w:cs="Arial"/>
          <w:color w:val="000000"/>
        </w:rPr>
        <w:tab/>
      </w:r>
      <w:r w:rsidR="00F83C83" w:rsidRPr="00DC4C6E">
        <w:rPr>
          <w:rFonts w:ascii="Arial" w:hAnsi="Arial" w:cs="Arial"/>
          <w:color w:val="000000"/>
        </w:rPr>
        <w:t xml:space="preserve">Certain factors </w:t>
      </w:r>
      <w:r w:rsidR="00693339" w:rsidRPr="00DC4C6E">
        <w:rPr>
          <w:rFonts w:ascii="Arial" w:hAnsi="Arial" w:cs="Arial"/>
          <w:color w:val="000000"/>
        </w:rPr>
        <w:t xml:space="preserve">are </w:t>
      </w:r>
      <w:r w:rsidR="00F83C83" w:rsidRPr="00DC4C6E">
        <w:rPr>
          <w:rFonts w:ascii="Arial" w:hAnsi="Arial" w:cs="Arial"/>
          <w:color w:val="000000"/>
        </w:rPr>
        <w:t>usually relevant but the weight to be given to any factor depends on the particular circumstances of each case.</w:t>
      </w:r>
      <w:r w:rsidR="0006660E" w:rsidRPr="00DC4C6E">
        <w:rPr>
          <w:rFonts w:ascii="Arial" w:hAnsi="Arial" w:cs="Arial"/>
          <w:color w:val="000000"/>
        </w:rPr>
        <w:t xml:space="preserve">  </w:t>
      </w:r>
      <w:r w:rsidR="00F83C83" w:rsidRPr="00DC4C6E">
        <w:rPr>
          <w:rFonts w:ascii="Arial" w:hAnsi="Arial" w:cs="Arial"/>
          <w:color w:val="000000"/>
        </w:rPr>
        <w:t xml:space="preserve">These factors are not individually decisive but must be weighed against </w:t>
      </w:r>
      <w:r w:rsidR="0006660E" w:rsidRPr="00DC4C6E">
        <w:rPr>
          <w:rFonts w:ascii="Arial" w:hAnsi="Arial" w:cs="Arial"/>
          <w:color w:val="000000"/>
        </w:rPr>
        <w:t xml:space="preserve">each </w:t>
      </w:r>
      <w:r w:rsidR="00F83C83" w:rsidRPr="00DC4C6E">
        <w:rPr>
          <w:rFonts w:ascii="Arial" w:hAnsi="Arial" w:cs="Arial"/>
          <w:color w:val="000000"/>
        </w:rPr>
        <w:t>other.</w:t>
      </w:r>
      <w:r w:rsidR="0006660E" w:rsidRPr="00DC4C6E">
        <w:rPr>
          <w:rFonts w:ascii="Arial" w:hAnsi="Arial" w:cs="Arial"/>
          <w:color w:val="000000"/>
        </w:rPr>
        <w:t xml:space="preserve">  </w:t>
      </w:r>
      <w:r w:rsidR="00F83C83" w:rsidRPr="00DC4C6E">
        <w:rPr>
          <w:rFonts w:ascii="Arial" w:hAnsi="Arial" w:cs="Arial"/>
          <w:color w:val="000000"/>
        </w:rPr>
        <w:t>In each case the question is whether good or sufficient cause has been shown for the relief sought.</w:t>
      </w:r>
      <w:r w:rsidR="0006660E" w:rsidRPr="00DC4C6E">
        <w:rPr>
          <w:rFonts w:ascii="Arial" w:hAnsi="Arial" w:cs="Arial"/>
          <w:color w:val="000000"/>
        </w:rPr>
        <w:t xml:space="preserve">  </w:t>
      </w:r>
      <w:r w:rsidR="00F83C83" w:rsidRPr="00DC4C6E">
        <w:rPr>
          <w:rFonts w:ascii="Arial" w:hAnsi="Arial" w:cs="Arial"/>
          <w:color w:val="000000"/>
        </w:rPr>
        <w:t>Sufficient cause includes the applicant’s prospects of success.</w:t>
      </w:r>
      <w:r w:rsidR="007D2821" w:rsidRPr="00DC4C6E">
        <w:rPr>
          <w:rStyle w:val="FootnoteReference"/>
          <w:rFonts w:ascii="Arial" w:hAnsi="Arial" w:cs="Arial"/>
          <w:color w:val="000000"/>
        </w:rPr>
        <w:footnoteReference w:id="8"/>
      </w:r>
    </w:p>
    <w:p w14:paraId="0A9A0ACF" w14:textId="77777777" w:rsidR="002D2755" w:rsidRPr="00DC4C6E" w:rsidRDefault="002D2755" w:rsidP="00400104">
      <w:pPr>
        <w:pStyle w:val="cm-para1quad"/>
        <w:shd w:val="clear" w:color="auto" w:fill="FFFFFF"/>
        <w:spacing w:before="0" w:beforeAutospacing="0" w:after="0" w:afterAutospacing="0" w:line="360" w:lineRule="auto"/>
        <w:ind w:firstLine="284"/>
        <w:jc w:val="both"/>
        <w:rPr>
          <w:rFonts w:ascii="Arial" w:hAnsi="Arial" w:cs="Arial"/>
          <w:color w:val="000000"/>
        </w:rPr>
      </w:pPr>
    </w:p>
    <w:p w14:paraId="5FDCCB21" w14:textId="510583A8" w:rsidR="00F83C83" w:rsidRPr="00DC4C6E" w:rsidRDefault="004E47D1" w:rsidP="004E47D1">
      <w:pPr>
        <w:pStyle w:val="cm-para1quad"/>
        <w:shd w:val="clear" w:color="auto" w:fill="FFFFFF"/>
        <w:spacing w:before="0" w:beforeAutospacing="0" w:after="0" w:afterAutospacing="0" w:line="360" w:lineRule="auto"/>
        <w:ind w:left="720" w:hanging="720"/>
        <w:jc w:val="both"/>
        <w:rPr>
          <w:rFonts w:ascii="Arial" w:hAnsi="Arial" w:cs="Arial"/>
          <w:color w:val="000000"/>
        </w:rPr>
      </w:pPr>
      <w:r w:rsidRPr="00DC4C6E">
        <w:rPr>
          <w:rFonts w:ascii="Arial" w:hAnsi="Arial" w:cs="Arial"/>
          <w:color w:val="000000"/>
        </w:rPr>
        <w:t>[31]</w:t>
      </w:r>
      <w:r w:rsidRPr="00DC4C6E">
        <w:rPr>
          <w:rFonts w:ascii="Arial" w:hAnsi="Arial" w:cs="Arial"/>
          <w:color w:val="000000"/>
        </w:rPr>
        <w:tab/>
      </w:r>
      <w:r w:rsidR="00F83C83" w:rsidRPr="00DC4C6E">
        <w:rPr>
          <w:rFonts w:ascii="Arial" w:hAnsi="Arial" w:cs="Arial"/>
          <w:color w:val="000000"/>
        </w:rPr>
        <w:t>Among the factors that the court has regard to are</w:t>
      </w:r>
      <w:r w:rsidR="001A6CE4" w:rsidRPr="00DC4C6E">
        <w:rPr>
          <w:rFonts w:ascii="Arial" w:hAnsi="Arial" w:cs="Arial"/>
          <w:color w:val="000000"/>
        </w:rPr>
        <w:t xml:space="preserve"> </w:t>
      </w:r>
      <w:r w:rsidR="00F83C83" w:rsidRPr="00DC4C6E">
        <w:rPr>
          <w:rFonts w:ascii="Arial" w:hAnsi="Arial" w:cs="Arial"/>
          <w:color w:val="000000"/>
        </w:rPr>
        <w:t>the degree of non</w:t>
      </w:r>
      <w:r w:rsidR="001A6CE4" w:rsidRPr="00DC4C6E">
        <w:rPr>
          <w:rFonts w:ascii="Arial" w:hAnsi="Arial" w:cs="Arial"/>
          <w:color w:val="000000"/>
        </w:rPr>
        <w:noBreakHyphen/>
      </w:r>
      <w:r w:rsidR="00F83C83" w:rsidRPr="00DC4C6E">
        <w:rPr>
          <w:rFonts w:ascii="Arial" w:hAnsi="Arial" w:cs="Arial"/>
          <w:color w:val="000000"/>
        </w:rPr>
        <w:t>compliance</w:t>
      </w:r>
      <w:r w:rsidR="001A6CE4" w:rsidRPr="00DC4C6E">
        <w:rPr>
          <w:rFonts w:ascii="Arial" w:hAnsi="Arial" w:cs="Arial"/>
          <w:color w:val="000000"/>
        </w:rPr>
        <w:t>;</w:t>
      </w:r>
      <w:r w:rsidR="00F83C83" w:rsidRPr="00DC4C6E">
        <w:rPr>
          <w:rFonts w:ascii="Arial" w:hAnsi="Arial" w:cs="Arial"/>
          <w:color w:val="000000"/>
        </w:rPr>
        <w:t xml:space="preserve"> the explanation of the delay</w:t>
      </w:r>
      <w:r w:rsidR="001A6CE4" w:rsidRPr="00DC4C6E">
        <w:rPr>
          <w:rFonts w:ascii="Arial" w:hAnsi="Arial" w:cs="Arial"/>
          <w:color w:val="000000"/>
        </w:rPr>
        <w:t xml:space="preserve">; </w:t>
      </w:r>
      <w:r w:rsidR="00F83C83" w:rsidRPr="00DC4C6E">
        <w:rPr>
          <w:rFonts w:ascii="Arial" w:hAnsi="Arial" w:cs="Arial"/>
          <w:color w:val="000000"/>
        </w:rPr>
        <w:t>the prospects of success</w:t>
      </w:r>
      <w:r w:rsidR="001A6CE4" w:rsidRPr="00DC4C6E">
        <w:rPr>
          <w:rFonts w:ascii="Arial" w:hAnsi="Arial" w:cs="Arial"/>
          <w:color w:val="000000"/>
        </w:rPr>
        <w:t xml:space="preserve">; </w:t>
      </w:r>
      <w:r w:rsidR="00F83C83" w:rsidRPr="00DC4C6E">
        <w:rPr>
          <w:rFonts w:ascii="Arial" w:hAnsi="Arial" w:cs="Arial"/>
          <w:color w:val="000000"/>
        </w:rPr>
        <w:t>the importance of the case</w:t>
      </w:r>
      <w:r w:rsidR="001A6CE4" w:rsidRPr="00DC4C6E">
        <w:rPr>
          <w:rFonts w:ascii="Arial" w:hAnsi="Arial" w:cs="Arial"/>
          <w:color w:val="000000"/>
        </w:rPr>
        <w:t xml:space="preserve">; </w:t>
      </w:r>
      <w:r w:rsidR="00F83C83" w:rsidRPr="00DC4C6E">
        <w:rPr>
          <w:rFonts w:ascii="Arial" w:hAnsi="Arial" w:cs="Arial"/>
          <w:color w:val="000000"/>
        </w:rPr>
        <w:t>the nature of the relief</w:t>
      </w:r>
      <w:r w:rsidR="001A6CE4" w:rsidRPr="00DC4C6E">
        <w:rPr>
          <w:rFonts w:ascii="Arial" w:hAnsi="Arial" w:cs="Arial"/>
          <w:color w:val="000000"/>
        </w:rPr>
        <w:t xml:space="preserve">; </w:t>
      </w:r>
      <w:r w:rsidR="00F83C83" w:rsidRPr="00DC4C6E">
        <w:rPr>
          <w:rFonts w:ascii="Arial" w:hAnsi="Arial" w:cs="Arial"/>
          <w:color w:val="000000"/>
        </w:rPr>
        <w:t>the other party’s interest in finality (an inordinate delay induces a reasonable belief that the order had become unassailable)</w:t>
      </w:r>
      <w:r w:rsidR="001A6CE4" w:rsidRPr="00DC4C6E">
        <w:rPr>
          <w:rFonts w:ascii="Arial" w:hAnsi="Arial" w:cs="Arial"/>
          <w:color w:val="000000"/>
        </w:rPr>
        <w:t xml:space="preserve">; </w:t>
      </w:r>
      <w:r w:rsidR="00F83C83" w:rsidRPr="00DC4C6E">
        <w:rPr>
          <w:rFonts w:ascii="Arial" w:hAnsi="Arial" w:cs="Arial"/>
          <w:color w:val="000000"/>
        </w:rPr>
        <w:t>prejudice to the other side</w:t>
      </w:r>
      <w:r w:rsidR="001A6CE4" w:rsidRPr="00DC4C6E">
        <w:rPr>
          <w:rFonts w:ascii="Arial" w:hAnsi="Arial" w:cs="Arial"/>
          <w:color w:val="000000"/>
        </w:rPr>
        <w:t xml:space="preserve">; </w:t>
      </w:r>
      <w:r w:rsidR="00F83C83" w:rsidRPr="00DC4C6E">
        <w:rPr>
          <w:rFonts w:ascii="Arial" w:hAnsi="Arial" w:cs="Arial"/>
          <w:color w:val="000000"/>
        </w:rPr>
        <w:t>the convenience of the court</w:t>
      </w:r>
      <w:r w:rsidR="001A6CE4" w:rsidRPr="00DC4C6E">
        <w:rPr>
          <w:rFonts w:ascii="Arial" w:hAnsi="Arial" w:cs="Arial"/>
          <w:color w:val="000000"/>
        </w:rPr>
        <w:t>;</w:t>
      </w:r>
      <w:r w:rsidR="00F83C83" w:rsidRPr="00DC4C6E">
        <w:rPr>
          <w:rFonts w:ascii="Arial" w:hAnsi="Arial" w:cs="Arial"/>
          <w:color w:val="000000"/>
        </w:rPr>
        <w:t xml:space="preserve"> the avoidance of unnecessary delay in the administration of justice</w:t>
      </w:r>
      <w:r w:rsidR="001A6CE4" w:rsidRPr="00DC4C6E">
        <w:rPr>
          <w:rFonts w:ascii="Arial" w:hAnsi="Arial" w:cs="Arial"/>
          <w:color w:val="000000"/>
        </w:rPr>
        <w:t>;</w:t>
      </w:r>
      <w:r w:rsidR="00F83C83" w:rsidRPr="00DC4C6E">
        <w:rPr>
          <w:rFonts w:ascii="Arial" w:hAnsi="Arial" w:cs="Arial"/>
          <w:color w:val="000000"/>
        </w:rPr>
        <w:t xml:space="preserve"> and the degree of negligence of the persons responsible for the non-compliance.</w:t>
      </w:r>
    </w:p>
    <w:p w14:paraId="7A3E78AA" w14:textId="77777777" w:rsidR="002D2755" w:rsidRPr="00DC4C6E" w:rsidRDefault="002D2755" w:rsidP="00400104">
      <w:pPr>
        <w:pStyle w:val="cm-para1quad"/>
        <w:shd w:val="clear" w:color="auto" w:fill="FFFFFF"/>
        <w:spacing w:before="0" w:beforeAutospacing="0" w:after="0" w:afterAutospacing="0" w:line="360" w:lineRule="auto"/>
        <w:ind w:firstLine="284"/>
        <w:jc w:val="both"/>
        <w:rPr>
          <w:rFonts w:ascii="Arial" w:hAnsi="Arial" w:cs="Arial"/>
          <w:color w:val="000000"/>
        </w:rPr>
      </w:pPr>
    </w:p>
    <w:p w14:paraId="34CE1CF5" w14:textId="5C3AA62A" w:rsidR="005F6AE9" w:rsidRPr="00DC4C6E" w:rsidRDefault="004E47D1" w:rsidP="004E47D1">
      <w:pPr>
        <w:pStyle w:val="cm-para1quad"/>
        <w:shd w:val="clear" w:color="auto" w:fill="FFFFFF"/>
        <w:spacing w:before="0" w:beforeAutospacing="0" w:after="0" w:afterAutospacing="0" w:line="360" w:lineRule="auto"/>
        <w:ind w:left="720" w:hanging="720"/>
        <w:jc w:val="both"/>
        <w:rPr>
          <w:rFonts w:ascii="Arial" w:hAnsi="Arial" w:cs="Arial"/>
          <w:color w:val="000000"/>
        </w:rPr>
      </w:pPr>
      <w:r w:rsidRPr="00DC4C6E">
        <w:rPr>
          <w:rFonts w:ascii="Arial" w:hAnsi="Arial" w:cs="Arial"/>
          <w:color w:val="000000"/>
        </w:rPr>
        <w:t>[32]</w:t>
      </w:r>
      <w:r w:rsidRPr="00DC4C6E">
        <w:rPr>
          <w:rFonts w:ascii="Arial" w:hAnsi="Arial" w:cs="Arial"/>
          <w:color w:val="000000"/>
        </w:rPr>
        <w:tab/>
      </w:r>
      <w:r w:rsidR="00F83C83" w:rsidRPr="00DC4C6E">
        <w:rPr>
          <w:rFonts w:ascii="Arial" w:hAnsi="Arial" w:cs="Arial"/>
          <w:color w:val="000000"/>
        </w:rPr>
        <w:t>A court may condone non-compliance with time limits even where no application for</w:t>
      </w:r>
      <w:r w:rsidR="00DC4C6E">
        <w:rPr>
          <w:rFonts w:ascii="Arial" w:hAnsi="Arial" w:cs="Arial"/>
          <w:color w:val="000000"/>
        </w:rPr>
        <w:t xml:space="preserve"> </w:t>
      </w:r>
      <w:r w:rsidR="00965404" w:rsidRPr="00DC4C6E">
        <w:rPr>
          <w:rFonts w:ascii="Arial" w:hAnsi="Arial" w:cs="Arial"/>
          <w:color w:val="000000"/>
        </w:rPr>
        <w:t xml:space="preserve">condonation </w:t>
      </w:r>
      <w:r w:rsidR="00F83C83" w:rsidRPr="00DC4C6E">
        <w:rPr>
          <w:rFonts w:ascii="Arial" w:hAnsi="Arial" w:cs="Arial"/>
          <w:color w:val="000000"/>
        </w:rPr>
        <w:t>has been brought.</w:t>
      </w:r>
      <w:r w:rsidR="00965404" w:rsidRPr="00DC4C6E">
        <w:rPr>
          <w:rStyle w:val="FootnoteReference"/>
          <w:rFonts w:ascii="Arial" w:hAnsi="Arial" w:cs="Arial"/>
          <w:color w:val="000000"/>
        </w:rPr>
        <w:footnoteReference w:id="9"/>
      </w:r>
      <w:r w:rsidR="00DC4C6E">
        <w:rPr>
          <w:rFonts w:ascii="Arial" w:hAnsi="Arial" w:cs="Arial"/>
          <w:color w:val="000000"/>
        </w:rPr>
        <w:t xml:space="preserve">  </w:t>
      </w:r>
      <w:r w:rsidR="00BC1A23" w:rsidRPr="00DC4C6E">
        <w:rPr>
          <w:rFonts w:ascii="Arial" w:hAnsi="Arial" w:cs="Arial"/>
          <w:color w:val="000000"/>
        </w:rPr>
        <w:t xml:space="preserve">Condonation </w:t>
      </w:r>
      <w:r w:rsidR="00F83C83" w:rsidRPr="00DC4C6E">
        <w:rPr>
          <w:rFonts w:ascii="Arial" w:hAnsi="Arial" w:cs="Arial"/>
          <w:color w:val="000000"/>
        </w:rPr>
        <w:t>will be granted if it is in the interests of justice to do so</w:t>
      </w:r>
      <w:r w:rsidR="00BC1A23" w:rsidRPr="00DC4C6E">
        <w:rPr>
          <w:rFonts w:ascii="Arial" w:hAnsi="Arial" w:cs="Arial"/>
          <w:color w:val="000000"/>
        </w:rPr>
        <w:t>.</w:t>
      </w:r>
      <w:r w:rsidR="00DC4C6E">
        <w:rPr>
          <w:rFonts w:ascii="Arial" w:hAnsi="Arial" w:cs="Arial"/>
          <w:color w:val="000000"/>
        </w:rPr>
        <w:t xml:space="preserve">  </w:t>
      </w:r>
      <w:r w:rsidR="00F83C83" w:rsidRPr="00DC4C6E">
        <w:rPr>
          <w:rFonts w:ascii="Arial" w:hAnsi="Arial" w:cs="Arial"/>
          <w:color w:val="000000"/>
        </w:rPr>
        <w:t xml:space="preserve">It is trite that the interests of justice </w:t>
      </w:r>
      <w:r w:rsidR="00F83C83" w:rsidRPr="00DC4C6E">
        <w:rPr>
          <w:rFonts w:ascii="Arial" w:hAnsi="Arial" w:cs="Arial"/>
          <w:color w:val="000000"/>
        </w:rPr>
        <w:lastRenderedPageBreak/>
        <w:t>require that all issues pertaining to a matter be ventilated fully and for all parties to be given the opportunity to state their case as comprehensively as possible.</w:t>
      </w:r>
    </w:p>
    <w:p w14:paraId="23870FAA" w14:textId="77777777" w:rsidR="00842578" w:rsidRPr="00DC4C6E" w:rsidRDefault="00842578" w:rsidP="00400104">
      <w:pPr>
        <w:pStyle w:val="ListParagraph"/>
        <w:spacing w:after="0" w:line="360" w:lineRule="auto"/>
        <w:rPr>
          <w:rFonts w:ascii="Arial" w:hAnsi="Arial" w:cs="Arial"/>
          <w:color w:val="000000"/>
        </w:rPr>
      </w:pPr>
    </w:p>
    <w:p w14:paraId="0A8CE86A" w14:textId="3C3BC67E" w:rsidR="00C50A96" w:rsidRPr="00DC4C6E" w:rsidRDefault="004E47D1" w:rsidP="004E47D1">
      <w:pPr>
        <w:pStyle w:val="cm-para1quad"/>
        <w:shd w:val="clear" w:color="auto" w:fill="FFFFFF"/>
        <w:spacing w:before="0" w:beforeAutospacing="0" w:after="0" w:afterAutospacing="0" w:line="360" w:lineRule="auto"/>
        <w:ind w:left="720" w:hanging="720"/>
        <w:jc w:val="both"/>
        <w:rPr>
          <w:rFonts w:ascii="Arial" w:hAnsi="Arial" w:cs="Arial"/>
          <w:color w:val="000000"/>
        </w:rPr>
      </w:pPr>
      <w:r w:rsidRPr="00DC4C6E">
        <w:rPr>
          <w:rFonts w:ascii="Arial" w:hAnsi="Arial" w:cs="Arial"/>
          <w:color w:val="000000"/>
        </w:rPr>
        <w:t>[33]</w:t>
      </w:r>
      <w:r w:rsidRPr="00DC4C6E">
        <w:rPr>
          <w:rFonts w:ascii="Arial" w:hAnsi="Arial" w:cs="Arial"/>
          <w:color w:val="000000"/>
        </w:rPr>
        <w:tab/>
      </w:r>
      <w:r w:rsidR="005F6AE9" w:rsidRPr="00DC4C6E">
        <w:rPr>
          <w:rFonts w:ascii="Arial" w:hAnsi="Arial" w:cs="Arial"/>
          <w:color w:val="000000"/>
        </w:rPr>
        <w:t>In my view the delay has been explained</w:t>
      </w:r>
      <w:r w:rsidR="00842578" w:rsidRPr="00DC4C6E">
        <w:rPr>
          <w:rFonts w:ascii="Arial" w:hAnsi="Arial" w:cs="Arial"/>
          <w:color w:val="000000"/>
        </w:rPr>
        <w:t>.</w:t>
      </w:r>
      <w:r w:rsidR="00BC1A23" w:rsidRPr="00DC4C6E">
        <w:rPr>
          <w:rFonts w:ascii="Arial" w:hAnsi="Arial" w:cs="Arial"/>
          <w:color w:val="000000"/>
        </w:rPr>
        <w:t xml:space="preserve"> </w:t>
      </w:r>
      <w:r w:rsidR="00DC4C6E">
        <w:rPr>
          <w:rFonts w:ascii="Arial" w:hAnsi="Arial" w:cs="Arial"/>
          <w:color w:val="000000"/>
        </w:rPr>
        <w:t xml:space="preserve"> </w:t>
      </w:r>
      <w:r w:rsidR="00842578" w:rsidRPr="00DC4C6E">
        <w:rPr>
          <w:rFonts w:ascii="Arial" w:hAnsi="Arial" w:cs="Arial"/>
          <w:color w:val="000000"/>
        </w:rPr>
        <w:t xml:space="preserve">I am also convinced that </w:t>
      </w:r>
      <w:r w:rsidR="00C9135C" w:rsidRPr="00DC4C6E">
        <w:rPr>
          <w:rFonts w:ascii="Arial" w:hAnsi="Arial" w:cs="Arial"/>
          <w:color w:val="000000"/>
        </w:rPr>
        <w:t xml:space="preserve">in light of </w:t>
      </w:r>
      <w:r w:rsidR="00842578" w:rsidRPr="00DC4C6E">
        <w:rPr>
          <w:rFonts w:ascii="Arial" w:hAnsi="Arial" w:cs="Arial"/>
          <w:color w:val="000000"/>
        </w:rPr>
        <w:t xml:space="preserve">the applicants’ prospects of success </w:t>
      </w:r>
      <w:r w:rsidR="00C9135C" w:rsidRPr="00DC4C6E">
        <w:rPr>
          <w:rFonts w:ascii="Arial" w:hAnsi="Arial" w:cs="Arial"/>
          <w:color w:val="000000"/>
        </w:rPr>
        <w:t xml:space="preserve">in this matter it will be in the </w:t>
      </w:r>
      <w:r w:rsidR="00842578" w:rsidRPr="00DC4C6E">
        <w:rPr>
          <w:rFonts w:ascii="Arial" w:hAnsi="Arial" w:cs="Arial"/>
          <w:color w:val="000000"/>
        </w:rPr>
        <w:t>interests of justice</w:t>
      </w:r>
      <w:r w:rsidR="00C9135C" w:rsidRPr="00DC4C6E">
        <w:rPr>
          <w:rFonts w:ascii="Arial" w:hAnsi="Arial" w:cs="Arial"/>
          <w:color w:val="000000"/>
        </w:rPr>
        <w:t xml:space="preserve"> to grant condonation.</w:t>
      </w:r>
      <w:r w:rsidR="00DC4C6E">
        <w:rPr>
          <w:rFonts w:ascii="Arial" w:hAnsi="Arial" w:cs="Arial"/>
          <w:color w:val="000000"/>
        </w:rPr>
        <w:t xml:space="preserve"> </w:t>
      </w:r>
      <w:r w:rsidR="00C9135C" w:rsidRPr="00DC4C6E">
        <w:rPr>
          <w:rFonts w:ascii="Arial" w:hAnsi="Arial" w:cs="Arial"/>
          <w:color w:val="000000"/>
        </w:rPr>
        <w:t xml:space="preserve"> </w:t>
      </w:r>
      <w:r w:rsidR="005239A1" w:rsidRPr="00DC4C6E">
        <w:rPr>
          <w:rFonts w:ascii="Arial" w:hAnsi="Arial" w:cs="Arial"/>
          <w:color w:val="000000"/>
        </w:rPr>
        <w:t xml:space="preserve">It will be a travesty of justice if the </w:t>
      </w:r>
      <w:r w:rsidR="00922150" w:rsidRPr="00DC4C6E">
        <w:rPr>
          <w:rFonts w:ascii="Arial" w:hAnsi="Arial" w:cs="Arial"/>
          <w:color w:val="000000"/>
        </w:rPr>
        <w:t>respondent escapes her obligations in terms of an agreement reached with the deceased</w:t>
      </w:r>
      <w:r w:rsidR="00F47FDA" w:rsidRPr="00DC4C6E">
        <w:rPr>
          <w:rFonts w:ascii="Arial" w:hAnsi="Arial" w:cs="Arial"/>
          <w:color w:val="000000"/>
        </w:rPr>
        <w:t xml:space="preserve"> and a court order granted thereafter, only on the basis that the applicants have taken too long to enforce their rights.</w:t>
      </w:r>
      <w:r w:rsidR="00C50A96" w:rsidRPr="00DC4C6E">
        <w:rPr>
          <w:rFonts w:ascii="Arial" w:hAnsi="Arial" w:cs="Arial"/>
          <w:color w:val="000000"/>
        </w:rPr>
        <w:t xml:space="preserve"> </w:t>
      </w:r>
      <w:r w:rsidR="00DC4C6E">
        <w:rPr>
          <w:rFonts w:ascii="Arial" w:hAnsi="Arial" w:cs="Arial"/>
          <w:color w:val="000000"/>
        </w:rPr>
        <w:t xml:space="preserve"> </w:t>
      </w:r>
      <w:r w:rsidR="00C50A96" w:rsidRPr="00DC4C6E">
        <w:rPr>
          <w:rFonts w:ascii="Arial" w:hAnsi="Arial" w:cs="Arial"/>
          <w:color w:val="000000"/>
        </w:rPr>
        <w:t>Any prejudice that the respondent may have suffered as a result of the delay is of her own doing.</w:t>
      </w:r>
    </w:p>
    <w:p w14:paraId="3469AA13" w14:textId="7DD14002" w:rsidR="00F83C83" w:rsidRPr="00DC4C6E" w:rsidRDefault="00F83C83" w:rsidP="00400104">
      <w:pPr>
        <w:pStyle w:val="cm-para1quad"/>
        <w:shd w:val="clear" w:color="auto" w:fill="FFFFFF"/>
        <w:spacing w:before="0" w:beforeAutospacing="0" w:after="0" w:afterAutospacing="0" w:line="360" w:lineRule="auto"/>
        <w:jc w:val="both"/>
        <w:rPr>
          <w:rFonts w:ascii="Arial" w:hAnsi="Arial" w:cs="Arial"/>
          <w:color w:val="000000"/>
        </w:rPr>
      </w:pPr>
    </w:p>
    <w:p w14:paraId="189A7256" w14:textId="0F4DF1A3" w:rsidR="000956D0" w:rsidRPr="004E47D1" w:rsidRDefault="004E47D1" w:rsidP="004E47D1">
      <w:pPr>
        <w:spacing w:after="0" w:line="360" w:lineRule="auto"/>
        <w:ind w:left="720" w:hanging="720"/>
        <w:jc w:val="both"/>
        <w:rPr>
          <w:rFonts w:ascii="Arial" w:hAnsi="Arial" w:cs="Arial"/>
        </w:rPr>
      </w:pPr>
      <w:r w:rsidRPr="00DC4C6E">
        <w:rPr>
          <w:rFonts w:ascii="Arial" w:hAnsi="Arial" w:cs="Arial"/>
        </w:rPr>
        <w:t>[34]</w:t>
      </w:r>
      <w:r w:rsidRPr="00DC4C6E">
        <w:rPr>
          <w:rFonts w:ascii="Arial" w:hAnsi="Arial" w:cs="Arial"/>
        </w:rPr>
        <w:tab/>
      </w:r>
      <w:r w:rsidR="00967529" w:rsidRPr="004E47D1">
        <w:rPr>
          <w:rFonts w:ascii="Arial" w:hAnsi="Arial" w:cs="Arial"/>
        </w:rPr>
        <w:t>For these reasons I grant condonation to the applicants for the delay in launching the present application.</w:t>
      </w:r>
    </w:p>
    <w:p w14:paraId="04A81A7E" w14:textId="77777777" w:rsidR="00F03273" w:rsidRPr="00DC4C6E" w:rsidRDefault="00F03273" w:rsidP="00400104">
      <w:pPr>
        <w:widowControl w:val="0"/>
        <w:spacing w:after="0" w:line="360" w:lineRule="auto"/>
        <w:ind w:left="360"/>
        <w:jc w:val="both"/>
        <w:rPr>
          <w:rFonts w:ascii="Arial" w:hAnsi="Arial" w:cs="Arial"/>
        </w:rPr>
      </w:pPr>
    </w:p>
    <w:p w14:paraId="17606AA6" w14:textId="720F9508" w:rsidR="00D471A3" w:rsidRPr="004E47D1" w:rsidRDefault="004E47D1" w:rsidP="004E47D1">
      <w:pPr>
        <w:widowControl w:val="0"/>
        <w:spacing w:after="0" w:line="360" w:lineRule="auto"/>
        <w:ind w:left="720" w:hanging="720"/>
        <w:jc w:val="both"/>
        <w:rPr>
          <w:rFonts w:ascii="Arial" w:hAnsi="Arial" w:cs="Arial"/>
        </w:rPr>
      </w:pPr>
      <w:r w:rsidRPr="00DC4C6E">
        <w:rPr>
          <w:rFonts w:ascii="Arial" w:hAnsi="Arial" w:cs="Arial"/>
        </w:rPr>
        <w:t>[35]</w:t>
      </w:r>
      <w:r w:rsidRPr="00DC4C6E">
        <w:rPr>
          <w:rFonts w:ascii="Arial" w:hAnsi="Arial" w:cs="Arial"/>
        </w:rPr>
        <w:tab/>
      </w:r>
      <w:r w:rsidR="00FF3E38" w:rsidRPr="004E47D1">
        <w:rPr>
          <w:rFonts w:ascii="Arial" w:hAnsi="Arial" w:cs="Arial"/>
        </w:rPr>
        <w:t xml:space="preserve">As far as a case based on Rule 42(1)(b) is concerned, I have already </w:t>
      </w:r>
      <w:r w:rsidR="003F314C" w:rsidRPr="004E47D1">
        <w:rPr>
          <w:rFonts w:ascii="Arial" w:hAnsi="Arial" w:cs="Arial"/>
        </w:rPr>
        <w:t xml:space="preserve">set the reasons why such a case has been made out above. </w:t>
      </w:r>
      <w:r w:rsidR="00DC4C6E" w:rsidRPr="004E47D1">
        <w:rPr>
          <w:rFonts w:ascii="Arial" w:hAnsi="Arial" w:cs="Arial"/>
        </w:rPr>
        <w:t xml:space="preserve"> </w:t>
      </w:r>
      <w:r w:rsidR="00962CC2" w:rsidRPr="004E47D1">
        <w:rPr>
          <w:rFonts w:ascii="Arial" w:hAnsi="Arial" w:cs="Arial"/>
        </w:rPr>
        <w:t>The error in the order is clearly a patent error and the court may va</w:t>
      </w:r>
      <w:r w:rsidR="00D471A3" w:rsidRPr="004E47D1">
        <w:rPr>
          <w:rFonts w:ascii="Arial" w:hAnsi="Arial" w:cs="Arial"/>
        </w:rPr>
        <w:t>ry same in terms of the said sub</w:t>
      </w:r>
      <w:r w:rsidR="00DC4C6E" w:rsidRPr="004E47D1">
        <w:rPr>
          <w:rFonts w:ascii="Arial" w:hAnsi="Arial" w:cs="Arial"/>
        </w:rPr>
        <w:t>-</w:t>
      </w:r>
      <w:r w:rsidR="00D471A3" w:rsidRPr="004E47D1">
        <w:rPr>
          <w:rFonts w:ascii="Arial" w:hAnsi="Arial" w:cs="Arial"/>
        </w:rPr>
        <w:t>rule.</w:t>
      </w:r>
    </w:p>
    <w:p w14:paraId="6139DB9F" w14:textId="77777777" w:rsidR="00D471A3" w:rsidRPr="00400104" w:rsidRDefault="00D471A3" w:rsidP="00400104">
      <w:pPr>
        <w:pStyle w:val="NoSpacing"/>
        <w:spacing w:line="360" w:lineRule="auto"/>
        <w:rPr>
          <w:rFonts w:ascii="Arial" w:hAnsi="Arial" w:cs="Arial"/>
        </w:rPr>
      </w:pPr>
    </w:p>
    <w:p w14:paraId="06340A18" w14:textId="1271FDEB" w:rsidR="009C0271" w:rsidRPr="004E47D1" w:rsidRDefault="004E47D1" w:rsidP="004E47D1">
      <w:pPr>
        <w:spacing w:after="0" w:line="360" w:lineRule="auto"/>
        <w:ind w:left="720" w:hanging="720"/>
        <w:jc w:val="both"/>
        <w:rPr>
          <w:rFonts w:ascii="Arial" w:hAnsi="Arial" w:cs="Arial"/>
        </w:rPr>
      </w:pPr>
      <w:r w:rsidRPr="00DC4C6E">
        <w:rPr>
          <w:rFonts w:ascii="Arial" w:hAnsi="Arial" w:cs="Arial"/>
        </w:rPr>
        <w:t>[36]</w:t>
      </w:r>
      <w:r w:rsidRPr="00DC4C6E">
        <w:rPr>
          <w:rFonts w:ascii="Arial" w:hAnsi="Arial" w:cs="Arial"/>
        </w:rPr>
        <w:tab/>
      </w:r>
      <w:r w:rsidR="00554C52" w:rsidRPr="004E47D1">
        <w:rPr>
          <w:rFonts w:ascii="Arial" w:hAnsi="Arial" w:cs="Arial"/>
        </w:rPr>
        <w:t xml:space="preserve">The discretion </w:t>
      </w:r>
      <w:r w:rsidR="004D723D" w:rsidRPr="004E47D1">
        <w:rPr>
          <w:rFonts w:ascii="Arial" w:hAnsi="Arial" w:cs="Arial"/>
        </w:rPr>
        <w:t xml:space="preserve">that the applicants want the court to exercise is the one </w:t>
      </w:r>
      <w:r w:rsidR="00484DAB" w:rsidRPr="004E47D1">
        <w:rPr>
          <w:rFonts w:ascii="Arial" w:hAnsi="Arial" w:cs="Arial"/>
        </w:rPr>
        <w:t xml:space="preserve">granted to a court in terms of Rule 42. </w:t>
      </w:r>
      <w:r w:rsidR="00DC4C6E" w:rsidRPr="004E47D1">
        <w:rPr>
          <w:rFonts w:ascii="Arial" w:hAnsi="Arial" w:cs="Arial"/>
        </w:rPr>
        <w:t xml:space="preserve"> </w:t>
      </w:r>
      <w:r w:rsidR="00484DAB" w:rsidRPr="004E47D1">
        <w:rPr>
          <w:rFonts w:ascii="Arial" w:hAnsi="Arial" w:cs="Arial"/>
        </w:rPr>
        <w:t xml:space="preserve">Once the applicants have made out a case that </w:t>
      </w:r>
      <w:r w:rsidR="00A234E6" w:rsidRPr="004E47D1">
        <w:rPr>
          <w:rFonts w:ascii="Arial" w:hAnsi="Arial" w:cs="Arial"/>
        </w:rPr>
        <w:t xml:space="preserve">the order contained a patent error and that all parties whose interests may be affected have notice of the proposed order, </w:t>
      </w:r>
      <w:r w:rsidR="001F528D" w:rsidRPr="004E47D1">
        <w:rPr>
          <w:rFonts w:ascii="Arial" w:hAnsi="Arial" w:cs="Arial"/>
        </w:rPr>
        <w:t xml:space="preserve">the court may vary the order. </w:t>
      </w:r>
      <w:r w:rsidR="00DC4C6E" w:rsidRPr="004E47D1">
        <w:rPr>
          <w:rFonts w:ascii="Arial" w:hAnsi="Arial" w:cs="Arial"/>
        </w:rPr>
        <w:t xml:space="preserve"> </w:t>
      </w:r>
      <w:r w:rsidR="00122F57" w:rsidRPr="004E47D1">
        <w:rPr>
          <w:rFonts w:ascii="Arial" w:hAnsi="Arial" w:cs="Arial"/>
        </w:rPr>
        <w:t xml:space="preserve">In </w:t>
      </w:r>
      <w:r w:rsidR="00122F57" w:rsidRPr="004E47D1">
        <w:rPr>
          <w:rFonts w:ascii="Arial" w:hAnsi="Arial" w:cs="Arial"/>
          <w:i/>
          <w:iCs/>
        </w:rPr>
        <w:t>Firestone</w:t>
      </w:r>
      <w:r w:rsidR="009C0271" w:rsidRPr="00DC4C6E">
        <w:rPr>
          <w:rStyle w:val="FootnoteReference"/>
          <w:rFonts w:ascii="Arial" w:hAnsi="Arial" w:cs="Arial"/>
        </w:rPr>
        <w:footnoteReference w:id="10"/>
      </w:r>
      <w:r w:rsidR="009C0271" w:rsidRPr="004E47D1">
        <w:rPr>
          <w:rFonts w:ascii="Arial" w:hAnsi="Arial" w:cs="Arial"/>
        </w:rPr>
        <w:t xml:space="preserve"> the following was said:</w:t>
      </w:r>
    </w:p>
    <w:p w14:paraId="101DFB0D" w14:textId="77777777" w:rsidR="009C0271" w:rsidRPr="00400104" w:rsidRDefault="009C0271" w:rsidP="00400104">
      <w:pPr>
        <w:pStyle w:val="NoSpacing"/>
        <w:spacing w:line="360" w:lineRule="auto"/>
        <w:rPr>
          <w:rFonts w:ascii="Arial" w:hAnsi="Arial" w:cs="Arial"/>
          <w:sz w:val="22"/>
          <w:szCs w:val="22"/>
        </w:rPr>
      </w:pPr>
    </w:p>
    <w:p w14:paraId="67DECDD8" w14:textId="15148B40" w:rsidR="007B6803" w:rsidRPr="00400104" w:rsidRDefault="009C0271" w:rsidP="00400104">
      <w:pPr>
        <w:spacing w:after="0" w:line="360" w:lineRule="auto"/>
        <w:ind w:left="1429"/>
        <w:jc w:val="both"/>
        <w:rPr>
          <w:rFonts w:ascii="Arial" w:hAnsi="Arial" w:cs="Arial"/>
          <w:iCs/>
          <w:sz w:val="22"/>
          <w:szCs w:val="22"/>
        </w:rPr>
      </w:pPr>
      <w:r w:rsidRPr="00400104">
        <w:rPr>
          <w:rFonts w:ascii="Arial" w:hAnsi="Arial" w:cs="Arial"/>
          <w:iCs/>
          <w:sz w:val="22"/>
          <w:szCs w:val="22"/>
        </w:rPr>
        <w:t xml:space="preserve">“The general principle, now well established in our law, is that, once a court has duly pronounced </w:t>
      </w:r>
      <w:r w:rsidR="007F00BF" w:rsidRPr="00400104">
        <w:rPr>
          <w:rFonts w:ascii="Arial" w:hAnsi="Arial" w:cs="Arial"/>
          <w:iCs/>
          <w:sz w:val="22"/>
          <w:szCs w:val="22"/>
        </w:rPr>
        <w:t xml:space="preserve">a final judgment or order, it has itself no authority to correct, alter, or supplement it. The reason is that </w:t>
      </w:r>
      <w:r w:rsidR="001B4FBF" w:rsidRPr="00400104">
        <w:rPr>
          <w:rFonts w:ascii="Arial" w:hAnsi="Arial" w:cs="Arial"/>
          <w:iCs/>
          <w:sz w:val="22"/>
          <w:szCs w:val="22"/>
        </w:rPr>
        <w:t xml:space="preserve">it thereupon becomes </w:t>
      </w:r>
      <w:r w:rsidR="001B4FBF" w:rsidRPr="00400104">
        <w:rPr>
          <w:rFonts w:ascii="Arial" w:hAnsi="Arial" w:cs="Arial"/>
          <w:i/>
          <w:iCs/>
          <w:sz w:val="22"/>
          <w:szCs w:val="22"/>
        </w:rPr>
        <w:t>functus officio</w:t>
      </w:r>
      <w:r w:rsidR="001B4FBF" w:rsidRPr="00400104">
        <w:rPr>
          <w:rFonts w:ascii="Arial" w:hAnsi="Arial" w:cs="Arial"/>
          <w:iCs/>
          <w:sz w:val="22"/>
          <w:szCs w:val="22"/>
        </w:rPr>
        <w:t xml:space="preserve">: its jurisdiction in the case having been </w:t>
      </w:r>
      <w:r w:rsidR="000C00CB" w:rsidRPr="00400104">
        <w:rPr>
          <w:rFonts w:ascii="Arial" w:hAnsi="Arial" w:cs="Arial"/>
          <w:iCs/>
          <w:sz w:val="22"/>
          <w:szCs w:val="22"/>
        </w:rPr>
        <w:t>fully and finally exercised, its authority over the subject-matter has ceased</w:t>
      </w:r>
      <w:r w:rsidR="007919F6" w:rsidRPr="00400104">
        <w:rPr>
          <w:rFonts w:ascii="Arial" w:hAnsi="Arial" w:cs="Arial"/>
          <w:iCs/>
          <w:sz w:val="22"/>
          <w:szCs w:val="22"/>
        </w:rPr>
        <w:t xml:space="preserve">. See </w:t>
      </w:r>
      <w:r w:rsidR="007919F6" w:rsidRPr="00400104">
        <w:rPr>
          <w:rFonts w:ascii="Arial" w:hAnsi="Arial" w:cs="Arial"/>
          <w:i/>
          <w:iCs/>
          <w:sz w:val="22"/>
          <w:szCs w:val="22"/>
        </w:rPr>
        <w:t>West Rand Estates Ltd v New Zealand Insurance Co Ltd</w:t>
      </w:r>
      <w:r w:rsidR="006F64C7" w:rsidRPr="00400104">
        <w:rPr>
          <w:rFonts w:ascii="Arial" w:hAnsi="Arial" w:cs="Arial"/>
          <w:iCs/>
          <w:sz w:val="22"/>
          <w:szCs w:val="22"/>
        </w:rPr>
        <w:t xml:space="preserve">., 1926 AD 173 at pp 176, 178, 186–7 and 192; </w:t>
      </w:r>
      <w:r w:rsidR="006F64C7" w:rsidRPr="00400104">
        <w:rPr>
          <w:rFonts w:ascii="Arial" w:hAnsi="Arial" w:cs="Arial"/>
          <w:i/>
          <w:iCs/>
          <w:sz w:val="22"/>
          <w:szCs w:val="22"/>
        </w:rPr>
        <w:t xml:space="preserve">Estate Garlick v Commissioner </w:t>
      </w:r>
      <w:r w:rsidR="007B6803" w:rsidRPr="00400104">
        <w:rPr>
          <w:rFonts w:ascii="Arial" w:hAnsi="Arial" w:cs="Arial"/>
          <w:i/>
          <w:iCs/>
          <w:sz w:val="22"/>
          <w:szCs w:val="22"/>
        </w:rPr>
        <w:t>of Inland Revenue</w:t>
      </w:r>
      <w:r w:rsidR="007B6803" w:rsidRPr="00400104">
        <w:rPr>
          <w:rFonts w:ascii="Arial" w:hAnsi="Arial" w:cs="Arial"/>
          <w:iCs/>
          <w:sz w:val="22"/>
          <w:szCs w:val="22"/>
        </w:rPr>
        <w:t>, 1934 AD 499 at p. 502.</w:t>
      </w:r>
    </w:p>
    <w:p w14:paraId="4F2A7AFC" w14:textId="05DDA789" w:rsidR="009C4868" w:rsidRDefault="007B6803" w:rsidP="003852F0">
      <w:pPr>
        <w:spacing w:before="240" w:after="0" w:line="360" w:lineRule="auto"/>
        <w:ind w:left="1429"/>
        <w:jc w:val="both"/>
        <w:rPr>
          <w:rFonts w:ascii="Arial" w:hAnsi="Arial" w:cs="Arial"/>
          <w:iCs/>
          <w:sz w:val="22"/>
          <w:szCs w:val="22"/>
        </w:rPr>
      </w:pPr>
      <w:r w:rsidRPr="00400104">
        <w:rPr>
          <w:rFonts w:ascii="Arial" w:hAnsi="Arial" w:cs="Arial"/>
          <w:iCs/>
          <w:sz w:val="22"/>
          <w:szCs w:val="22"/>
        </w:rPr>
        <w:lastRenderedPageBreak/>
        <w:t xml:space="preserve">There are, however, a few exceptions to that rule which are mentioned in the old </w:t>
      </w:r>
      <w:r w:rsidR="002B3C2C" w:rsidRPr="00400104">
        <w:rPr>
          <w:rFonts w:ascii="Arial" w:hAnsi="Arial" w:cs="Arial"/>
          <w:iCs/>
          <w:sz w:val="22"/>
          <w:szCs w:val="22"/>
        </w:rPr>
        <w:t xml:space="preserve">authorities and have been authoritatively accepted by this Court. Thus, provided the court is approached within a reasonable time of its pronouncing </w:t>
      </w:r>
      <w:r w:rsidR="00E01937" w:rsidRPr="00400104">
        <w:rPr>
          <w:rFonts w:ascii="Arial" w:hAnsi="Arial" w:cs="Arial"/>
          <w:iCs/>
          <w:sz w:val="22"/>
          <w:szCs w:val="22"/>
        </w:rPr>
        <w:t>the judgment or order, it may correct, alter, or supplement it in one or more of the following cases:</w:t>
      </w:r>
    </w:p>
    <w:p w14:paraId="2370F7EE" w14:textId="009900B0" w:rsidR="003852F0" w:rsidRPr="00400104" w:rsidRDefault="003852F0" w:rsidP="00400104">
      <w:pPr>
        <w:spacing w:before="240" w:after="0" w:line="360" w:lineRule="auto"/>
        <w:ind w:left="1429"/>
        <w:jc w:val="both"/>
        <w:rPr>
          <w:rFonts w:ascii="Arial" w:hAnsi="Arial" w:cs="Arial"/>
          <w:iCs/>
          <w:sz w:val="22"/>
          <w:szCs w:val="22"/>
        </w:rPr>
      </w:pPr>
      <w:r>
        <w:rPr>
          <w:rFonts w:ascii="Arial" w:hAnsi="Arial" w:cs="Arial"/>
          <w:iCs/>
          <w:sz w:val="22"/>
          <w:szCs w:val="22"/>
        </w:rPr>
        <w:t>…</w:t>
      </w:r>
    </w:p>
    <w:p w14:paraId="36ED0C48" w14:textId="0DFE0E12" w:rsidR="001C167A" w:rsidRPr="004E47D1" w:rsidRDefault="004E47D1" w:rsidP="004E47D1">
      <w:pPr>
        <w:spacing w:before="240" w:after="0" w:line="360" w:lineRule="auto"/>
        <w:ind w:left="2149" w:hanging="720"/>
        <w:jc w:val="both"/>
        <w:rPr>
          <w:rFonts w:ascii="Arial" w:hAnsi="Arial" w:cs="Arial"/>
          <w:iCs/>
          <w:sz w:val="22"/>
          <w:szCs w:val="22"/>
        </w:rPr>
      </w:pPr>
      <w:r w:rsidRPr="00400104">
        <w:rPr>
          <w:rFonts w:ascii="Arial" w:hAnsi="Arial" w:cs="Arial"/>
          <w:iCs/>
          <w:sz w:val="22"/>
          <w:szCs w:val="22"/>
        </w:rPr>
        <w:t>(iii)</w:t>
      </w:r>
      <w:r w:rsidRPr="00400104">
        <w:rPr>
          <w:rFonts w:ascii="Arial" w:hAnsi="Arial" w:cs="Arial"/>
          <w:iCs/>
          <w:sz w:val="22"/>
          <w:szCs w:val="22"/>
        </w:rPr>
        <w:tab/>
      </w:r>
      <w:r w:rsidR="009C4868" w:rsidRPr="004E47D1">
        <w:rPr>
          <w:rFonts w:ascii="Arial" w:hAnsi="Arial" w:cs="Arial"/>
          <w:iCs/>
          <w:sz w:val="22"/>
          <w:szCs w:val="22"/>
        </w:rPr>
        <w:t>The Court may correct a clerical, arithmetical or other error in it</w:t>
      </w:r>
      <w:r w:rsidR="00E53E34" w:rsidRPr="004E47D1">
        <w:rPr>
          <w:rFonts w:ascii="Arial" w:hAnsi="Arial" w:cs="Arial"/>
          <w:iCs/>
          <w:sz w:val="22"/>
          <w:szCs w:val="22"/>
        </w:rPr>
        <w:t xml:space="preserve"> (sic) judgment or order so as to give effect to its true intention (see, for example, </w:t>
      </w:r>
      <w:r w:rsidR="00E53E34" w:rsidRPr="004E47D1">
        <w:rPr>
          <w:rFonts w:ascii="Arial" w:hAnsi="Arial" w:cs="Arial"/>
          <w:i/>
          <w:iCs/>
          <w:sz w:val="22"/>
          <w:szCs w:val="22"/>
        </w:rPr>
        <w:t>Wessels &amp; Co. v De Beer</w:t>
      </w:r>
      <w:r w:rsidR="009D0441" w:rsidRPr="004E47D1">
        <w:rPr>
          <w:rFonts w:ascii="Arial" w:hAnsi="Arial" w:cs="Arial"/>
          <w:iCs/>
          <w:sz w:val="22"/>
          <w:szCs w:val="22"/>
        </w:rPr>
        <w:t xml:space="preserve">, 1919 AD 172; </w:t>
      </w:r>
      <w:r w:rsidR="009D0441" w:rsidRPr="004E47D1">
        <w:rPr>
          <w:rFonts w:ascii="Arial" w:hAnsi="Arial" w:cs="Arial"/>
          <w:i/>
          <w:iCs/>
          <w:sz w:val="22"/>
          <w:szCs w:val="22"/>
        </w:rPr>
        <w:t>Randfontein Estates Ltd v Robinson</w:t>
      </w:r>
      <w:r w:rsidR="009D0441" w:rsidRPr="004E47D1">
        <w:rPr>
          <w:rFonts w:ascii="Arial" w:hAnsi="Arial" w:cs="Arial"/>
          <w:iCs/>
          <w:sz w:val="22"/>
          <w:szCs w:val="22"/>
        </w:rPr>
        <w:t>, 1921 AD 515 at p. 520</w:t>
      </w:r>
      <w:r w:rsidR="00A471C1" w:rsidRPr="004E47D1">
        <w:rPr>
          <w:rFonts w:ascii="Arial" w:hAnsi="Arial" w:cs="Arial"/>
          <w:iCs/>
          <w:sz w:val="22"/>
          <w:szCs w:val="22"/>
        </w:rPr>
        <w:t xml:space="preserve">; the </w:t>
      </w:r>
      <w:r w:rsidR="00A471C1" w:rsidRPr="004E47D1">
        <w:rPr>
          <w:rFonts w:ascii="Arial" w:hAnsi="Arial" w:cs="Arial"/>
          <w:i/>
          <w:iCs/>
          <w:sz w:val="22"/>
          <w:szCs w:val="22"/>
        </w:rPr>
        <w:t>West Ran</w:t>
      </w:r>
      <w:r w:rsidR="00A471C1" w:rsidRPr="004E47D1">
        <w:rPr>
          <w:rFonts w:ascii="Arial" w:hAnsi="Arial" w:cs="Arial"/>
          <w:iCs/>
          <w:sz w:val="22"/>
          <w:szCs w:val="22"/>
        </w:rPr>
        <w:t xml:space="preserve">d case, supra at pp. 186 – 7). This exception is confined to the mere correction of an error in expressing the judgment or order, </w:t>
      </w:r>
      <w:r w:rsidR="000A5D35" w:rsidRPr="004E47D1">
        <w:rPr>
          <w:rFonts w:ascii="Arial" w:hAnsi="Arial" w:cs="Arial"/>
          <w:iCs/>
          <w:sz w:val="22"/>
          <w:szCs w:val="22"/>
        </w:rPr>
        <w:t>it does not extend to altering its intended sense or substance. KOTZ</w:t>
      </w:r>
      <w:r w:rsidR="003852F0" w:rsidRPr="004E47D1">
        <w:rPr>
          <w:rFonts w:ascii="Arial" w:hAnsi="Arial" w:cs="Arial"/>
          <w:iCs/>
          <w:sz w:val="22"/>
          <w:szCs w:val="22"/>
        </w:rPr>
        <w:t>É</w:t>
      </w:r>
      <w:r w:rsidR="000A5D35" w:rsidRPr="004E47D1">
        <w:rPr>
          <w:rFonts w:ascii="Arial" w:hAnsi="Arial" w:cs="Arial"/>
          <w:iCs/>
          <w:sz w:val="22"/>
          <w:szCs w:val="22"/>
        </w:rPr>
        <w:t xml:space="preserve">, J.A., made this </w:t>
      </w:r>
      <w:r w:rsidR="004C257C" w:rsidRPr="004E47D1">
        <w:rPr>
          <w:rFonts w:ascii="Arial" w:hAnsi="Arial" w:cs="Arial"/>
          <w:iCs/>
          <w:sz w:val="22"/>
          <w:szCs w:val="22"/>
        </w:rPr>
        <w:t xml:space="preserve">distinction manifestly </w:t>
      </w:r>
      <w:r w:rsidR="000A5D35" w:rsidRPr="004E47D1">
        <w:rPr>
          <w:rFonts w:ascii="Arial" w:hAnsi="Arial" w:cs="Arial"/>
          <w:iCs/>
          <w:sz w:val="22"/>
          <w:szCs w:val="22"/>
        </w:rPr>
        <w:t>clear</w:t>
      </w:r>
      <w:r w:rsidR="004C257C" w:rsidRPr="004E47D1">
        <w:rPr>
          <w:rFonts w:ascii="Arial" w:hAnsi="Arial" w:cs="Arial"/>
          <w:iCs/>
          <w:sz w:val="22"/>
          <w:szCs w:val="22"/>
        </w:rPr>
        <w:t xml:space="preserve"> in the </w:t>
      </w:r>
      <w:r w:rsidR="004C257C" w:rsidRPr="004E47D1">
        <w:rPr>
          <w:rFonts w:ascii="Arial" w:hAnsi="Arial" w:cs="Arial"/>
          <w:i/>
          <w:iCs/>
          <w:sz w:val="22"/>
          <w:szCs w:val="22"/>
        </w:rPr>
        <w:t>West Rand</w:t>
      </w:r>
      <w:r w:rsidR="004C257C" w:rsidRPr="004E47D1">
        <w:rPr>
          <w:rFonts w:ascii="Arial" w:hAnsi="Arial" w:cs="Arial"/>
          <w:iCs/>
          <w:sz w:val="22"/>
          <w:szCs w:val="22"/>
        </w:rPr>
        <w:t xml:space="preserve"> case, supra at pp. 186 – 7, when, with reference to old authorities</w:t>
      </w:r>
      <w:r w:rsidR="001C167A" w:rsidRPr="004E47D1">
        <w:rPr>
          <w:rFonts w:ascii="Arial" w:hAnsi="Arial" w:cs="Arial"/>
          <w:iCs/>
          <w:sz w:val="22"/>
          <w:szCs w:val="22"/>
        </w:rPr>
        <w:t>, he said:</w:t>
      </w:r>
    </w:p>
    <w:p w14:paraId="4FCBF0BB" w14:textId="0C8864C5" w:rsidR="00A22847" w:rsidRPr="00400104" w:rsidRDefault="003852F0" w:rsidP="00400104">
      <w:pPr>
        <w:spacing w:before="240" w:after="0" w:line="360" w:lineRule="auto"/>
        <w:ind w:left="2869" w:firstLine="11"/>
        <w:jc w:val="both"/>
        <w:rPr>
          <w:rFonts w:ascii="Arial" w:hAnsi="Arial" w:cs="Arial"/>
          <w:iCs/>
          <w:sz w:val="22"/>
          <w:szCs w:val="22"/>
        </w:rPr>
      </w:pPr>
      <w:r>
        <w:rPr>
          <w:rFonts w:ascii="Arial" w:hAnsi="Arial" w:cs="Arial"/>
          <w:iCs/>
          <w:sz w:val="22"/>
          <w:szCs w:val="22"/>
        </w:rPr>
        <w:t>‘</w:t>
      </w:r>
      <w:r w:rsidR="001C167A" w:rsidRPr="00400104">
        <w:rPr>
          <w:rFonts w:ascii="Arial" w:hAnsi="Arial" w:cs="Arial"/>
          <w:iCs/>
          <w:sz w:val="22"/>
          <w:szCs w:val="22"/>
        </w:rPr>
        <w:t>The Court can, however, declare and interpret its own order or sentence</w:t>
      </w:r>
      <w:r w:rsidR="00782ACB" w:rsidRPr="00400104">
        <w:rPr>
          <w:rFonts w:ascii="Arial" w:hAnsi="Arial" w:cs="Arial"/>
          <w:iCs/>
          <w:sz w:val="22"/>
          <w:szCs w:val="22"/>
        </w:rPr>
        <w:t>, and likewise correct the wording of it, by substituting more accurate or intelligent language so long as the sense and substance of the sentence are in no way affected by such correction</w:t>
      </w:r>
      <w:r w:rsidR="00DE0C4F" w:rsidRPr="00400104">
        <w:rPr>
          <w:rFonts w:ascii="Arial" w:hAnsi="Arial" w:cs="Arial"/>
          <w:iCs/>
          <w:sz w:val="22"/>
          <w:szCs w:val="22"/>
        </w:rPr>
        <w:t>; for to interpret or correct is held not to be equivalent to altering or amending a definiti</w:t>
      </w:r>
      <w:r w:rsidR="00A22847" w:rsidRPr="00400104">
        <w:rPr>
          <w:rFonts w:ascii="Arial" w:hAnsi="Arial" w:cs="Arial"/>
          <w:iCs/>
          <w:sz w:val="22"/>
          <w:szCs w:val="22"/>
        </w:rPr>
        <w:t>v</w:t>
      </w:r>
      <w:r w:rsidR="00DE0C4F" w:rsidRPr="00400104">
        <w:rPr>
          <w:rFonts w:ascii="Arial" w:hAnsi="Arial" w:cs="Arial"/>
          <w:iCs/>
          <w:sz w:val="22"/>
          <w:szCs w:val="22"/>
        </w:rPr>
        <w:t>e</w:t>
      </w:r>
      <w:r w:rsidR="00A22847" w:rsidRPr="00400104">
        <w:rPr>
          <w:rFonts w:ascii="Arial" w:hAnsi="Arial" w:cs="Arial"/>
          <w:iCs/>
          <w:sz w:val="22"/>
          <w:szCs w:val="22"/>
        </w:rPr>
        <w:t xml:space="preserve"> sentence once pronounced.</w:t>
      </w:r>
      <w:r>
        <w:rPr>
          <w:rFonts w:ascii="Arial" w:hAnsi="Arial" w:cs="Arial"/>
          <w:iCs/>
          <w:sz w:val="22"/>
          <w:szCs w:val="22"/>
        </w:rPr>
        <w:t>’</w:t>
      </w:r>
    </w:p>
    <w:p w14:paraId="3DCD1776" w14:textId="1E927EF0" w:rsidR="001C167A" w:rsidRPr="00400104" w:rsidRDefault="00A22847" w:rsidP="00400104">
      <w:pPr>
        <w:spacing w:before="240" w:after="0" w:line="360" w:lineRule="auto"/>
        <w:ind w:left="2127"/>
        <w:jc w:val="both"/>
        <w:rPr>
          <w:rFonts w:ascii="Arial" w:hAnsi="Arial" w:cs="Arial"/>
          <w:sz w:val="22"/>
          <w:szCs w:val="22"/>
        </w:rPr>
      </w:pPr>
      <w:r w:rsidRPr="00400104">
        <w:rPr>
          <w:rFonts w:ascii="Arial" w:hAnsi="Arial" w:cs="Arial"/>
          <w:iCs/>
          <w:sz w:val="22"/>
          <w:szCs w:val="22"/>
        </w:rPr>
        <w:t>Again, this exception is inapplicable in the present proceedings since neither the T.P.D. nor this court committed any error in expressing its relevant orders</w:t>
      </w:r>
      <w:r w:rsidR="005D452C" w:rsidRPr="00400104">
        <w:rPr>
          <w:rFonts w:ascii="Arial" w:hAnsi="Arial" w:cs="Arial"/>
          <w:iCs/>
          <w:sz w:val="22"/>
          <w:szCs w:val="22"/>
        </w:rPr>
        <w:t xml:space="preserve">; those orders reflected respectively the intention of each Court. The error related to the sense or substance of the relevant orders </w:t>
      </w:r>
      <w:r w:rsidR="00A14931" w:rsidRPr="00400104">
        <w:rPr>
          <w:rFonts w:ascii="Arial" w:hAnsi="Arial" w:cs="Arial"/>
          <w:iCs/>
          <w:sz w:val="22"/>
          <w:szCs w:val="22"/>
        </w:rPr>
        <w:t>due to the T.P.D.’s erroneously assuming, and this Court’s erroneously affirming, that the Fourth Sched</w:t>
      </w:r>
      <w:r w:rsidR="00C87768" w:rsidRPr="00400104">
        <w:rPr>
          <w:rFonts w:ascii="Arial" w:hAnsi="Arial" w:cs="Arial"/>
          <w:iCs/>
          <w:sz w:val="22"/>
          <w:szCs w:val="22"/>
        </w:rPr>
        <w:t>ule does prescribe a tariff for counsel’s fees.</w:t>
      </w:r>
      <w:r w:rsidR="00C87768" w:rsidRPr="00400104">
        <w:rPr>
          <w:rFonts w:ascii="Arial" w:hAnsi="Arial" w:cs="Arial"/>
          <w:sz w:val="22"/>
          <w:szCs w:val="22"/>
        </w:rPr>
        <w:t>”</w:t>
      </w:r>
    </w:p>
    <w:p w14:paraId="5505B5D0" w14:textId="77777777" w:rsidR="003F45FB" w:rsidRPr="00400104" w:rsidRDefault="003F45FB" w:rsidP="00400104">
      <w:pPr>
        <w:pStyle w:val="NoSpacing"/>
        <w:spacing w:line="360" w:lineRule="auto"/>
        <w:rPr>
          <w:rFonts w:ascii="Arial" w:hAnsi="Arial" w:cs="Arial"/>
        </w:rPr>
      </w:pPr>
    </w:p>
    <w:p w14:paraId="27155542" w14:textId="3EBCEA7D" w:rsidR="00D2505B" w:rsidRPr="004E47D1" w:rsidRDefault="004E47D1" w:rsidP="004E47D1">
      <w:pPr>
        <w:spacing w:after="0" w:line="360" w:lineRule="auto"/>
        <w:ind w:left="720" w:hanging="720"/>
        <w:jc w:val="both"/>
        <w:rPr>
          <w:rFonts w:ascii="Arial" w:hAnsi="Arial" w:cs="Arial"/>
        </w:rPr>
      </w:pPr>
      <w:r w:rsidRPr="008D5B66">
        <w:rPr>
          <w:rFonts w:ascii="Arial" w:hAnsi="Arial" w:cs="Arial"/>
        </w:rPr>
        <w:t>[37]</w:t>
      </w:r>
      <w:r w:rsidRPr="008D5B66">
        <w:rPr>
          <w:rFonts w:ascii="Arial" w:hAnsi="Arial" w:cs="Arial"/>
        </w:rPr>
        <w:tab/>
      </w:r>
      <w:r w:rsidR="003F45FB" w:rsidRPr="004E47D1">
        <w:rPr>
          <w:rFonts w:ascii="Arial" w:hAnsi="Arial" w:cs="Arial"/>
        </w:rPr>
        <w:t xml:space="preserve">The </w:t>
      </w:r>
      <w:r w:rsidR="00BE7D3D" w:rsidRPr="004E47D1">
        <w:rPr>
          <w:rFonts w:ascii="Arial" w:hAnsi="Arial" w:cs="Arial"/>
        </w:rPr>
        <w:t>in</w:t>
      </w:r>
      <w:r w:rsidR="00CB5486" w:rsidRPr="004E47D1">
        <w:rPr>
          <w:rFonts w:ascii="Arial" w:hAnsi="Arial" w:cs="Arial"/>
        </w:rPr>
        <w:t>correct policy number in the order is a clerical error</w:t>
      </w:r>
      <w:r w:rsidR="00FF7038" w:rsidRPr="004E47D1">
        <w:rPr>
          <w:rFonts w:ascii="Arial" w:hAnsi="Arial" w:cs="Arial"/>
        </w:rPr>
        <w:t xml:space="preserve"> </w:t>
      </w:r>
      <w:r w:rsidR="00BE7D3D" w:rsidRPr="004E47D1">
        <w:rPr>
          <w:rFonts w:ascii="Arial" w:hAnsi="Arial" w:cs="Arial"/>
        </w:rPr>
        <w:t xml:space="preserve">and the correction thereof is </w:t>
      </w:r>
      <w:r w:rsidR="00FF7038" w:rsidRPr="004E47D1">
        <w:rPr>
          <w:rFonts w:ascii="Arial" w:hAnsi="Arial" w:cs="Arial"/>
        </w:rPr>
        <w:t>so as to give effect to the true intention of the court that granted it.</w:t>
      </w:r>
      <w:r w:rsidR="00D72D06" w:rsidRPr="00FB6402">
        <w:rPr>
          <w:rStyle w:val="FootnoteReference"/>
          <w:rFonts w:ascii="Arial" w:hAnsi="Arial" w:cs="Arial"/>
        </w:rPr>
        <w:footnoteReference w:id="11"/>
      </w:r>
      <w:r w:rsidR="00BE7D3D" w:rsidRPr="004E47D1">
        <w:rPr>
          <w:rFonts w:ascii="Arial" w:hAnsi="Arial" w:cs="Arial"/>
        </w:rPr>
        <w:t xml:space="preserve"> </w:t>
      </w:r>
      <w:r w:rsidR="00C9016B" w:rsidRPr="004E47D1">
        <w:rPr>
          <w:rFonts w:ascii="Arial" w:hAnsi="Arial" w:cs="Arial"/>
        </w:rPr>
        <w:t xml:space="preserve"> </w:t>
      </w:r>
      <w:r w:rsidR="00BE7D3D" w:rsidRPr="004E47D1">
        <w:rPr>
          <w:rFonts w:ascii="Arial" w:hAnsi="Arial" w:cs="Arial"/>
        </w:rPr>
        <w:t>This falls squarely within the exception to the general rule as set out above.</w:t>
      </w:r>
    </w:p>
    <w:p w14:paraId="412D4A95" w14:textId="77777777" w:rsidR="00D2505B" w:rsidRPr="008D5B66" w:rsidRDefault="00D2505B" w:rsidP="00400104">
      <w:pPr>
        <w:spacing w:after="0" w:line="360" w:lineRule="auto"/>
        <w:jc w:val="both"/>
        <w:rPr>
          <w:rFonts w:ascii="Arial" w:hAnsi="Arial" w:cs="Arial"/>
        </w:rPr>
      </w:pPr>
    </w:p>
    <w:p w14:paraId="64D7037D" w14:textId="0ED4EACF" w:rsidR="009E6BE4" w:rsidRPr="004E47D1" w:rsidRDefault="004E47D1" w:rsidP="004E47D1">
      <w:pPr>
        <w:spacing w:after="0" w:line="360" w:lineRule="auto"/>
        <w:ind w:left="720" w:hanging="720"/>
        <w:jc w:val="both"/>
        <w:rPr>
          <w:rFonts w:ascii="Arial" w:hAnsi="Arial" w:cs="Arial"/>
        </w:rPr>
      </w:pPr>
      <w:r w:rsidRPr="008D5B66">
        <w:rPr>
          <w:rFonts w:ascii="Arial" w:hAnsi="Arial" w:cs="Arial"/>
        </w:rPr>
        <w:t>[38]</w:t>
      </w:r>
      <w:r w:rsidRPr="008D5B66">
        <w:rPr>
          <w:rFonts w:ascii="Arial" w:hAnsi="Arial" w:cs="Arial"/>
        </w:rPr>
        <w:tab/>
      </w:r>
      <w:r w:rsidR="009E6BE4" w:rsidRPr="004E47D1">
        <w:rPr>
          <w:rFonts w:ascii="Arial" w:hAnsi="Arial" w:cs="Arial"/>
        </w:rPr>
        <w:t>For the reasons set out herein it follows that the applicants are entitled to an order as sought in the notice of motion.</w:t>
      </w:r>
      <w:r w:rsidR="00C9016B" w:rsidRPr="004E47D1">
        <w:rPr>
          <w:rFonts w:ascii="Arial" w:hAnsi="Arial" w:cs="Arial"/>
        </w:rPr>
        <w:t xml:space="preserve"> </w:t>
      </w:r>
      <w:r w:rsidR="009E6BE4" w:rsidRPr="004E47D1">
        <w:rPr>
          <w:rFonts w:ascii="Arial" w:hAnsi="Arial" w:cs="Arial"/>
        </w:rPr>
        <w:t xml:space="preserve"> I accordingly make an order in the following terms:</w:t>
      </w:r>
    </w:p>
    <w:p w14:paraId="5CEDF789" w14:textId="77777777" w:rsidR="00A374EB" w:rsidRPr="008D5B66" w:rsidRDefault="00A374EB" w:rsidP="00400104">
      <w:pPr>
        <w:pStyle w:val="ListParagraph"/>
        <w:spacing w:after="0" w:line="360" w:lineRule="auto"/>
        <w:rPr>
          <w:rFonts w:ascii="Arial" w:hAnsi="Arial" w:cs="Arial"/>
        </w:rPr>
      </w:pPr>
    </w:p>
    <w:p w14:paraId="5FCBAD0B" w14:textId="43BD63E5" w:rsidR="00C9512A" w:rsidRPr="004E47D1" w:rsidRDefault="004E47D1" w:rsidP="004E47D1">
      <w:pPr>
        <w:spacing w:after="0" w:line="360" w:lineRule="auto"/>
        <w:ind w:left="1440" w:hanging="720"/>
        <w:jc w:val="both"/>
        <w:rPr>
          <w:rFonts w:ascii="Arial" w:hAnsi="Arial" w:cs="Arial"/>
        </w:rPr>
      </w:pPr>
      <w:r w:rsidRPr="008D5B66">
        <w:rPr>
          <w:rFonts w:ascii="Arial" w:hAnsi="Arial" w:cs="Arial"/>
        </w:rPr>
        <w:t>38.1.</w:t>
      </w:r>
      <w:r w:rsidRPr="008D5B66">
        <w:rPr>
          <w:rFonts w:ascii="Arial" w:hAnsi="Arial" w:cs="Arial"/>
        </w:rPr>
        <w:tab/>
      </w:r>
      <w:r w:rsidR="00A374EB" w:rsidRPr="004E47D1">
        <w:rPr>
          <w:rFonts w:ascii="Arial" w:hAnsi="Arial" w:cs="Arial"/>
        </w:rPr>
        <w:t>The incorrect policy number in paragraph 1 of the Court Order handed down on 12 September 2019</w:t>
      </w:r>
      <w:r w:rsidR="00D156CE" w:rsidRPr="004E47D1">
        <w:rPr>
          <w:rFonts w:ascii="Arial" w:hAnsi="Arial" w:cs="Arial"/>
        </w:rPr>
        <w:t xml:space="preserve"> under the abovementioned case number is varied to reflect the correct policy number</w:t>
      </w:r>
      <w:r w:rsidR="00C9512A" w:rsidRPr="004E47D1">
        <w:rPr>
          <w:rFonts w:ascii="Arial" w:hAnsi="Arial" w:cs="Arial"/>
        </w:rPr>
        <w:t xml:space="preserve">, being </w:t>
      </w:r>
      <w:r w:rsidR="00FA60E6" w:rsidRPr="004E47D1">
        <w:rPr>
          <w:rFonts w:ascii="Arial" w:hAnsi="Arial" w:cs="Arial"/>
        </w:rPr>
        <w:t>[...]</w:t>
      </w:r>
      <w:r w:rsidR="00C9512A" w:rsidRPr="004E47D1">
        <w:rPr>
          <w:rFonts w:ascii="Arial" w:hAnsi="Arial" w:cs="Arial"/>
        </w:rPr>
        <w:t>.</w:t>
      </w:r>
    </w:p>
    <w:p w14:paraId="5394F928" w14:textId="77777777" w:rsidR="00C9512A" w:rsidRPr="008D5B66" w:rsidRDefault="00C9512A" w:rsidP="00400104">
      <w:pPr>
        <w:spacing w:after="0" w:line="360" w:lineRule="auto"/>
        <w:jc w:val="both"/>
        <w:rPr>
          <w:rFonts w:ascii="Arial" w:hAnsi="Arial" w:cs="Arial"/>
        </w:rPr>
      </w:pPr>
    </w:p>
    <w:p w14:paraId="6384F51B" w14:textId="3126EEB0" w:rsidR="00967529" w:rsidRPr="004E47D1" w:rsidRDefault="004E47D1" w:rsidP="004E47D1">
      <w:pPr>
        <w:spacing w:after="0" w:line="360" w:lineRule="auto"/>
        <w:ind w:left="1440" w:hanging="720"/>
        <w:jc w:val="both"/>
        <w:rPr>
          <w:rFonts w:ascii="Arial" w:hAnsi="Arial" w:cs="Arial"/>
        </w:rPr>
      </w:pPr>
      <w:r w:rsidRPr="008D5B66">
        <w:rPr>
          <w:rFonts w:ascii="Arial" w:hAnsi="Arial" w:cs="Arial"/>
        </w:rPr>
        <w:t>38.2.</w:t>
      </w:r>
      <w:r w:rsidRPr="008D5B66">
        <w:rPr>
          <w:rFonts w:ascii="Arial" w:hAnsi="Arial" w:cs="Arial"/>
        </w:rPr>
        <w:tab/>
      </w:r>
      <w:r w:rsidR="00C9512A" w:rsidRPr="004E47D1">
        <w:rPr>
          <w:rFonts w:ascii="Arial" w:hAnsi="Arial" w:cs="Arial"/>
        </w:rPr>
        <w:t>The respondent is ordered to pay the costs of the application.</w:t>
      </w:r>
    </w:p>
    <w:p w14:paraId="31721E93" w14:textId="77777777" w:rsidR="00C9016B" w:rsidRPr="008B26CD" w:rsidRDefault="00C9016B" w:rsidP="00400104">
      <w:pPr>
        <w:widowControl w:val="0"/>
        <w:spacing w:before="240" w:after="0" w:line="360" w:lineRule="auto"/>
        <w:ind w:left="720"/>
        <w:jc w:val="both"/>
        <w:rPr>
          <w:rFonts w:ascii="Arial" w:hAnsi="Arial" w:cs="Arial"/>
        </w:rPr>
      </w:pPr>
    </w:p>
    <w:p w14:paraId="020BA959" w14:textId="77777777" w:rsidR="00C9016B" w:rsidRDefault="00C9016B" w:rsidP="00C9016B">
      <w:pPr>
        <w:pStyle w:val="ListParagraph"/>
        <w:spacing w:after="0" w:line="360" w:lineRule="auto"/>
        <w:ind w:left="1429"/>
        <w:jc w:val="right"/>
        <w:rPr>
          <w:rFonts w:ascii="Arial" w:hAnsi="Arial" w:cs="Arial"/>
        </w:rPr>
      </w:pPr>
      <w:r>
        <w:rPr>
          <w:rFonts w:ascii="Arial" w:hAnsi="Arial" w:cs="Arial"/>
        </w:rPr>
        <w:t>______________________________</w:t>
      </w:r>
    </w:p>
    <w:p w14:paraId="146C7ACD" w14:textId="77777777" w:rsidR="00C9016B" w:rsidRPr="00FF4A70" w:rsidRDefault="00C9016B" w:rsidP="00C9016B">
      <w:pPr>
        <w:pStyle w:val="ListParagraph"/>
        <w:spacing w:after="0" w:line="360" w:lineRule="auto"/>
        <w:ind w:left="1429"/>
        <w:jc w:val="right"/>
        <w:rPr>
          <w:rFonts w:ascii="Arial" w:hAnsi="Arial"/>
          <w:b/>
        </w:rPr>
      </w:pPr>
      <w:r w:rsidRPr="00FF4A70">
        <w:rPr>
          <w:rFonts w:ascii="Arial" w:hAnsi="Arial"/>
          <w:b/>
        </w:rPr>
        <w:t>D T v R DU PLESSIS</w:t>
      </w:r>
    </w:p>
    <w:p w14:paraId="20AFB82F" w14:textId="77777777" w:rsidR="00C9016B" w:rsidRPr="009E7ABE" w:rsidRDefault="00C9016B" w:rsidP="00C9016B">
      <w:pPr>
        <w:pStyle w:val="ListParagraph"/>
        <w:spacing w:after="0" w:line="360" w:lineRule="auto"/>
        <w:ind w:left="1429"/>
        <w:jc w:val="right"/>
        <w:rPr>
          <w:rFonts w:ascii="Arial" w:hAnsi="Arial" w:cs="Arial"/>
        </w:rPr>
      </w:pPr>
      <w:r w:rsidRPr="008B26CD">
        <w:rPr>
          <w:rFonts w:ascii="Arial" w:hAnsi="Arial" w:cs="Arial"/>
        </w:rPr>
        <w:t>Acting Judge of The High Court</w:t>
      </w:r>
    </w:p>
    <w:p w14:paraId="1039A5EA" w14:textId="77777777" w:rsidR="00C9016B" w:rsidRPr="009E7ABE" w:rsidRDefault="00C9016B" w:rsidP="00C9016B">
      <w:pPr>
        <w:pStyle w:val="ListParagraph"/>
        <w:spacing w:after="0" w:line="360" w:lineRule="auto"/>
        <w:ind w:left="1429"/>
        <w:jc w:val="right"/>
        <w:rPr>
          <w:rFonts w:ascii="Arial" w:hAnsi="Arial" w:cs="Arial"/>
        </w:rPr>
      </w:pPr>
      <w:r w:rsidRPr="008B26CD">
        <w:rPr>
          <w:rFonts w:ascii="Arial" w:hAnsi="Arial" w:cs="Arial"/>
        </w:rPr>
        <w:t>Johannesburg</w:t>
      </w:r>
    </w:p>
    <w:p w14:paraId="782EB64B" w14:textId="77777777" w:rsidR="00605624" w:rsidRPr="008D5B66" w:rsidRDefault="00605624" w:rsidP="00400104">
      <w:pPr>
        <w:spacing w:line="360" w:lineRule="auto"/>
        <w:rPr>
          <w:rFonts w:ascii="Arial" w:hAnsi="Arial" w:cs="Arial"/>
        </w:rPr>
      </w:pPr>
    </w:p>
    <w:p w14:paraId="3004F0F1" w14:textId="06D5444B" w:rsidR="00605624" w:rsidRPr="008D5B66" w:rsidRDefault="00C9016B" w:rsidP="00400104">
      <w:pPr>
        <w:spacing w:line="360" w:lineRule="auto"/>
        <w:rPr>
          <w:rFonts w:ascii="Arial" w:hAnsi="Arial" w:cs="Arial"/>
        </w:rPr>
      </w:pPr>
      <w:r w:rsidRPr="008D5B66">
        <w:rPr>
          <w:rFonts w:ascii="Arial" w:hAnsi="Arial" w:cs="Arial"/>
        </w:rPr>
        <w:t>Date of Hearing</w:t>
      </w:r>
      <w:r w:rsidR="00605624" w:rsidRPr="008D5B66">
        <w:rPr>
          <w:rFonts w:ascii="Arial" w:hAnsi="Arial" w:cs="Arial"/>
        </w:rPr>
        <w:t>:</w:t>
      </w:r>
      <w:r>
        <w:rPr>
          <w:rFonts w:ascii="Arial" w:hAnsi="Arial" w:cs="Arial"/>
        </w:rPr>
        <w:tab/>
      </w:r>
      <w:r>
        <w:rPr>
          <w:rFonts w:ascii="Arial" w:hAnsi="Arial" w:cs="Arial"/>
        </w:rPr>
        <w:tab/>
      </w:r>
      <w:r>
        <w:rPr>
          <w:rFonts w:ascii="Arial" w:hAnsi="Arial" w:cs="Arial"/>
        </w:rPr>
        <w:tab/>
      </w:r>
      <w:r w:rsidR="005C6682" w:rsidRPr="008D5B66">
        <w:rPr>
          <w:rFonts w:ascii="Arial" w:hAnsi="Arial" w:cs="Arial"/>
        </w:rPr>
        <w:t>3</w:t>
      </w:r>
      <w:r w:rsidR="00CF59E3" w:rsidRPr="008D5B66">
        <w:rPr>
          <w:rFonts w:ascii="Arial" w:hAnsi="Arial" w:cs="Arial"/>
        </w:rPr>
        <w:t>1</w:t>
      </w:r>
      <w:r w:rsidR="00605624" w:rsidRPr="008D5B66">
        <w:rPr>
          <w:rFonts w:ascii="Arial" w:hAnsi="Arial" w:cs="Arial"/>
        </w:rPr>
        <w:t xml:space="preserve"> January 2024</w:t>
      </w:r>
    </w:p>
    <w:p w14:paraId="489C1170" w14:textId="1F14DC6E" w:rsidR="00605624" w:rsidRPr="008D5B66" w:rsidRDefault="00C9016B" w:rsidP="00400104">
      <w:pPr>
        <w:spacing w:line="360" w:lineRule="auto"/>
        <w:rPr>
          <w:rFonts w:ascii="Arial" w:hAnsi="Arial" w:cs="Arial"/>
        </w:rPr>
      </w:pPr>
      <w:r w:rsidRPr="008D5B66">
        <w:rPr>
          <w:rFonts w:ascii="Arial" w:hAnsi="Arial" w:cs="Arial"/>
        </w:rPr>
        <w:t>Date of Judgment</w:t>
      </w:r>
      <w:r w:rsidR="00605624" w:rsidRPr="008D5B66">
        <w:rPr>
          <w:rFonts w:ascii="Arial" w:hAnsi="Arial" w:cs="Arial"/>
        </w:rPr>
        <w:t>:</w:t>
      </w:r>
      <w:r>
        <w:rPr>
          <w:rFonts w:ascii="Arial" w:hAnsi="Arial" w:cs="Arial"/>
        </w:rPr>
        <w:tab/>
      </w:r>
      <w:r>
        <w:rPr>
          <w:rFonts w:ascii="Arial" w:hAnsi="Arial" w:cs="Arial"/>
        </w:rPr>
        <w:tab/>
      </w:r>
      <w:r>
        <w:rPr>
          <w:rFonts w:ascii="Arial" w:hAnsi="Arial" w:cs="Arial"/>
        </w:rPr>
        <w:tab/>
      </w:r>
      <w:r w:rsidR="00AA35CD">
        <w:rPr>
          <w:rFonts w:ascii="Arial" w:hAnsi="Arial" w:cs="Arial"/>
        </w:rPr>
        <w:t>2</w:t>
      </w:r>
      <w:r w:rsidR="00CF59E3" w:rsidRPr="008D5B66">
        <w:rPr>
          <w:rFonts w:ascii="Arial" w:hAnsi="Arial" w:cs="Arial"/>
        </w:rPr>
        <w:t>6</w:t>
      </w:r>
      <w:r w:rsidR="00605624" w:rsidRPr="008D5B66">
        <w:rPr>
          <w:rFonts w:ascii="Arial" w:hAnsi="Arial" w:cs="Arial"/>
        </w:rPr>
        <w:t xml:space="preserve"> February 2024</w:t>
      </w:r>
    </w:p>
    <w:p w14:paraId="1599A87F" w14:textId="77777777" w:rsidR="00C9016B" w:rsidRDefault="00C9016B" w:rsidP="009E5E2D">
      <w:pPr>
        <w:spacing w:line="360" w:lineRule="auto"/>
        <w:rPr>
          <w:rFonts w:ascii="Arial" w:hAnsi="Arial" w:cs="Arial"/>
        </w:rPr>
      </w:pPr>
    </w:p>
    <w:p w14:paraId="2655BEE5" w14:textId="4225F724" w:rsidR="00605624" w:rsidRPr="008D5B66" w:rsidRDefault="00C9016B" w:rsidP="00400104">
      <w:pPr>
        <w:spacing w:line="360" w:lineRule="auto"/>
        <w:rPr>
          <w:rFonts w:ascii="Arial" w:hAnsi="Arial" w:cs="Arial"/>
        </w:rPr>
      </w:pPr>
      <w:r w:rsidRPr="008D5B66">
        <w:rPr>
          <w:rFonts w:ascii="Arial" w:hAnsi="Arial" w:cs="Arial"/>
        </w:rPr>
        <w:t>Counsel for Applicant</w:t>
      </w:r>
      <w:r w:rsidR="00605624" w:rsidRPr="008D5B66">
        <w:rPr>
          <w:rFonts w:ascii="Arial" w:hAnsi="Arial" w:cs="Arial"/>
        </w:rPr>
        <w:t>:</w:t>
      </w:r>
      <w:r>
        <w:rPr>
          <w:rFonts w:ascii="Arial" w:hAnsi="Arial" w:cs="Arial"/>
        </w:rPr>
        <w:tab/>
      </w:r>
      <w:r>
        <w:rPr>
          <w:rFonts w:ascii="Arial" w:hAnsi="Arial" w:cs="Arial"/>
        </w:rPr>
        <w:tab/>
      </w:r>
      <w:r w:rsidR="00605624" w:rsidRPr="008D5B66">
        <w:rPr>
          <w:rFonts w:ascii="Arial" w:hAnsi="Arial" w:cs="Arial"/>
        </w:rPr>
        <w:t xml:space="preserve">Adv </w:t>
      </w:r>
      <w:r w:rsidR="007C0F27" w:rsidRPr="008D5B66">
        <w:rPr>
          <w:rFonts w:ascii="Arial" w:hAnsi="Arial" w:cs="Arial"/>
        </w:rPr>
        <w:t>R Andrews</w:t>
      </w:r>
    </w:p>
    <w:p w14:paraId="42891C6D" w14:textId="4586EF34" w:rsidR="00605624" w:rsidRPr="008D5B66" w:rsidRDefault="00C9016B" w:rsidP="00400104">
      <w:pPr>
        <w:spacing w:line="360" w:lineRule="auto"/>
        <w:rPr>
          <w:rFonts w:ascii="Arial" w:hAnsi="Arial" w:cs="Arial"/>
        </w:rPr>
      </w:pPr>
      <w:r w:rsidRPr="008D5B66">
        <w:rPr>
          <w:rFonts w:ascii="Arial" w:hAnsi="Arial" w:cs="Arial"/>
        </w:rPr>
        <w:t>Instructed By</w:t>
      </w:r>
      <w:r w:rsidR="00605624" w:rsidRPr="008D5B66">
        <w:rPr>
          <w:rFonts w:ascii="Arial" w:hAnsi="Arial" w:cs="Arial"/>
        </w:rPr>
        <w:t>:</w:t>
      </w:r>
      <w:r>
        <w:rPr>
          <w:rFonts w:ascii="Arial" w:hAnsi="Arial" w:cs="Arial"/>
        </w:rPr>
        <w:tab/>
      </w:r>
      <w:r>
        <w:rPr>
          <w:rFonts w:ascii="Arial" w:hAnsi="Arial" w:cs="Arial"/>
        </w:rPr>
        <w:tab/>
      </w:r>
      <w:r>
        <w:rPr>
          <w:rFonts w:ascii="Arial" w:hAnsi="Arial" w:cs="Arial"/>
        </w:rPr>
        <w:tab/>
      </w:r>
      <w:r w:rsidR="0033419A" w:rsidRPr="008D5B66">
        <w:rPr>
          <w:rFonts w:ascii="Arial" w:hAnsi="Arial" w:cs="Arial"/>
        </w:rPr>
        <w:t>HJW</w:t>
      </w:r>
      <w:r w:rsidR="006F4BF5" w:rsidRPr="008D5B66">
        <w:rPr>
          <w:rFonts w:ascii="Arial" w:hAnsi="Arial" w:cs="Arial"/>
        </w:rPr>
        <w:t xml:space="preserve"> Attorneys</w:t>
      </w:r>
    </w:p>
    <w:p w14:paraId="30243E3D" w14:textId="77777777" w:rsidR="00C9016B" w:rsidRDefault="00C9016B" w:rsidP="00400104">
      <w:pPr>
        <w:spacing w:after="0" w:line="360" w:lineRule="auto"/>
        <w:rPr>
          <w:rFonts w:ascii="Arial" w:hAnsi="Arial" w:cs="Arial"/>
        </w:rPr>
      </w:pPr>
    </w:p>
    <w:p w14:paraId="21145525" w14:textId="07511F06" w:rsidR="00605624" w:rsidRPr="008D5B66" w:rsidRDefault="00C9016B" w:rsidP="00400104">
      <w:pPr>
        <w:spacing w:before="240" w:line="360" w:lineRule="auto"/>
        <w:rPr>
          <w:rFonts w:ascii="Arial" w:hAnsi="Arial" w:cs="Arial"/>
        </w:rPr>
      </w:pPr>
      <w:r w:rsidRPr="008D5B66">
        <w:rPr>
          <w:rFonts w:ascii="Arial" w:hAnsi="Arial" w:cs="Arial"/>
        </w:rPr>
        <w:t>Counsel for Respondents</w:t>
      </w:r>
      <w:r w:rsidR="00605624" w:rsidRPr="008D5B66">
        <w:rPr>
          <w:rFonts w:ascii="Arial" w:hAnsi="Arial" w:cs="Arial"/>
        </w:rPr>
        <w:t>:</w:t>
      </w:r>
      <w:r>
        <w:rPr>
          <w:rFonts w:ascii="Arial" w:hAnsi="Arial" w:cs="Arial"/>
        </w:rPr>
        <w:tab/>
      </w:r>
      <w:r>
        <w:rPr>
          <w:rFonts w:ascii="Arial" w:hAnsi="Arial" w:cs="Arial"/>
        </w:rPr>
        <w:tab/>
      </w:r>
      <w:r w:rsidR="00605624" w:rsidRPr="008D5B66">
        <w:rPr>
          <w:rFonts w:ascii="Arial" w:hAnsi="Arial" w:cs="Arial"/>
        </w:rPr>
        <w:t xml:space="preserve">Adv </w:t>
      </w:r>
      <w:r w:rsidR="009047E3" w:rsidRPr="008D5B66">
        <w:rPr>
          <w:rFonts w:ascii="Arial" w:hAnsi="Arial" w:cs="Arial"/>
        </w:rPr>
        <w:t>L Schafer</w:t>
      </w:r>
    </w:p>
    <w:p w14:paraId="7CFEEB5C" w14:textId="391B96CA" w:rsidR="00F121A5" w:rsidRPr="008D5B66" w:rsidRDefault="00C9016B" w:rsidP="00400104">
      <w:pPr>
        <w:spacing w:line="360" w:lineRule="auto"/>
        <w:rPr>
          <w:rFonts w:ascii="Arial" w:hAnsi="Arial" w:cs="Arial"/>
        </w:rPr>
      </w:pPr>
      <w:r w:rsidRPr="008D5B66">
        <w:rPr>
          <w:rFonts w:ascii="Arial" w:hAnsi="Arial" w:cs="Arial"/>
        </w:rPr>
        <w:t>Instructed By:</w:t>
      </w:r>
      <w:r>
        <w:rPr>
          <w:rFonts w:ascii="Arial" w:hAnsi="Arial" w:cs="Arial"/>
        </w:rPr>
        <w:tab/>
      </w:r>
      <w:r>
        <w:rPr>
          <w:rFonts w:ascii="Arial" w:hAnsi="Arial" w:cs="Arial"/>
        </w:rPr>
        <w:tab/>
      </w:r>
      <w:r>
        <w:rPr>
          <w:rFonts w:ascii="Arial" w:hAnsi="Arial" w:cs="Arial"/>
        </w:rPr>
        <w:tab/>
      </w:r>
      <w:r w:rsidRPr="008D5B66">
        <w:rPr>
          <w:rFonts w:ascii="Arial" w:hAnsi="Arial" w:cs="Arial"/>
        </w:rPr>
        <w:t>Amod &amp; Van Schalk Attorneys</w:t>
      </w:r>
      <w:bookmarkEnd w:id="0"/>
    </w:p>
    <w:sectPr w:rsidR="00F121A5" w:rsidRPr="008D5B66" w:rsidSect="00965F08">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88E1" w14:textId="77777777" w:rsidR="001600F5" w:rsidRDefault="001600F5" w:rsidP="00E13560">
      <w:pPr>
        <w:spacing w:after="0" w:line="240" w:lineRule="auto"/>
      </w:pPr>
      <w:r>
        <w:separator/>
      </w:r>
    </w:p>
  </w:endnote>
  <w:endnote w:type="continuationSeparator" w:id="0">
    <w:p w14:paraId="1127C964" w14:textId="77777777" w:rsidR="001600F5" w:rsidRDefault="001600F5" w:rsidP="00E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668875"/>
      <w:docPartObj>
        <w:docPartGallery w:val="Page Numbers (Bottom of Page)"/>
        <w:docPartUnique/>
      </w:docPartObj>
    </w:sdtPr>
    <w:sdtEndPr>
      <w:rPr>
        <w:rFonts w:ascii="Arial" w:hAnsi="Arial" w:cs="Arial"/>
        <w:noProof/>
      </w:rPr>
    </w:sdtEndPr>
    <w:sdtContent>
      <w:p w14:paraId="2CD13EEC" w14:textId="5936C324" w:rsidR="009E5E2D" w:rsidRPr="00400104" w:rsidRDefault="009E5E2D">
        <w:pPr>
          <w:pStyle w:val="Footer"/>
          <w:jc w:val="right"/>
          <w:rPr>
            <w:rFonts w:ascii="Arial" w:hAnsi="Arial" w:cs="Arial"/>
          </w:rPr>
        </w:pPr>
        <w:r w:rsidRPr="00400104">
          <w:rPr>
            <w:rFonts w:ascii="Arial" w:hAnsi="Arial" w:cs="Arial"/>
          </w:rPr>
          <w:fldChar w:fldCharType="begin"/>
        </w:r>
        <w:r w:rsidRPr="00400104">
          <w:rPr>
            <w:rFonts w:ascii="Arial" w:hAnsi="Arial" w:cs="Arial"/>
          </w:rPr>
          <w:instrText xml:space="preserve"> PAGE   \* MERGEFORMAT </w:instrText>
        </w:r>
        <w:r w:rsidRPr="00400104">
          <w:rPr>
            <w:rFonts w:ascii="Arial" w:hAnsi="Arial" w:cs="Arial"/>
          </w:rPr>
          <w:fldChar w:fldCharType="separate"/>
        </w:r>
        <w:r w:rsidR="004E47D1">
          <w:rPr>
            <w:rFonts w:ascii="Arial" w:hAnsi="Arial" w:cs="Arial"/>
            <w:noProof/>
          </w:rPr>
          <w:t>10</w:t>
        </w:r>
        <w:r w:rsidRPr="00400104">
          <w:rPr>
            <w:rFonts w:ascii="Arial" w:hAnsi="Arial" w:cs="Arial"/>
            <w:noProof/>
          </w:rPr>
          <w:fldChar w:fldCharType="end"/>
        </w:r>
      </w:p>
    </w:sdtContent>
  </w:sdt>
  <w:p w14:paraId="088DDD10" w14:textId="77777777" w:rsidR="009E5E2D" w:rsidRDefault="009E5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581F" w14:textId="77777777" w:rsidR="001600F5" w:rsidRDefault="001600F5" w:rsidP="00E13560">
      <w:pPr>
        <w:spacing w:after="0" w:line="240" w:lineRule="auto"/>
      </w:pPr>
      <w:r>
        <w:separator/>
      </w:r>
    </w:p>
  </w:footnote>
  <w:footnote w:type="continuationSeparator" w:id="0">
    <w:p w14:paraId="4F9F2A3D" w14:textId="77777777" w:rsidR="001600F5" w:rsidRDefault="001600F5" w:rsidP="00E13560">
      <w:pPr>
        <w:spacing w:after="0" w:line="240" w:lineRule="auto"/>
      </w:pPr>
      <w:r>
        <w:continuationSeparator/>
      </w:r>
    </w:p>
  </w:footnote>
  <w:footnote w:id="1">
    <w:p w14:paraId="7650E666" w14:textId="6FF22FA3" w:rsidR="00970A46" w:rsidRPr="00400104" w:rsidRDefault="00970A46"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sz w:val="18"/>
          <w:szCs w:val="18"/>
        </w:rPr>
        <w:t xml:space="preserve"> </w:t>
      </w:r>
      <w:r w:rsidR="00AB23A0" w:rsidRPr="00400104">
        <w:rPr>
          <w:rFonts w:ascii="Arial" w:hAnsi="Arial" w:cs="Arial"/>
          <w:sz w:val="18"/>
          <w:szCs w:val="18"/>
        </w:rPr>
        <w:t>1977 (4) SA 298 (A)</w:t>
      </w:r>
      <w:r w:rsidR="00D0693A" w:rsidRPr="006F33EF">
        <w:rPr>
          <w:rFonts w:ascii="Arial" w:hAnsi="Arial" w:cs="Arial"/>
          <w:sz w:val="18"/>
          <w:szCs w:val="18"/>
        </w:rPr>
        <w:t xml:space="preserve"> at 298E and 304E.</w:t>
      </w:r>
    </w:p>
  </w:footnote>
  <w:footnote w:id="2">
    <w:p w14:paraId="09297EC6" w14:textId="2DD4DFA1" w:rsidR="00CE7F78" w:rsidRPr="00400104" w:rsidRDefault="00CE7F78"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sz w:val="18"/>
          <w:szCs w:val="18"/>
        </w:rPr>
        <w:t xml:space="preserve"> </w:t>
      </w:r>
      <w:r w:rsidR="006F33EF" w:rsidRPr="006F33EF">
        <w:rPr>
          <w:rFonts w:ascii="Arial" w:hAnsi="Arial" w:cs="Arial"/>
          <w:sz w:val="18"/>
          <w:szCs w:val="18"/>
        </w:rPr>
        <w:t>[2012] ZASCA 13; 2012 (4) SA 593 (SCA)</w:t>
      </w:r>
      <w:r w:rsidRPr="00400104">
        <w:rPr>
          <w:rFonts w:ascii="Arial" w:hAnsi="Arial" w:cs="Arial"/>
          <w:sz w:val="18"/>
          <w:szCs w:val="18"/>
        </w:rPr>
        <w:t xml:space="preserve"> </w:t>
      </w:r>
      <w:r w:rsidR="00D0693A" w:rsidRPr="006F33EF">
        <w:rPr>
          <w:rFonts w:ascii="Arial" w:hAnsi="Arial" w:cs="Arial"/>
          <w:sz w:val="18"/>
          <w:szCs w:val="18"/>
        </w:rPr>
        <w:t xml:space="preserve">at </w:t>
      </w:r>
      <w:r w:rsidR="006F33EF" w:rsidRPr="006F33EF">
        <w:rPr>
          <w:rFonts w:ascii="Arial" w:hAnsi="Arial" w:cs="Arial"/>
          <w:sz w:val="18"/>
          <w:szCs w:val="18"/>
        </w:rPr>
        <w:t>para 18</w:t>
      </w:r>
      <w:r w:rsidRPr="00400104">
        <w:rPr>
          <w:rFonts w:ascii="Arial" w:hAnsi="Arial" w:cs="Arial"/>
          <w:sz w:val="18"/>
          <w:szCs w:val="18"/>
        </w:rPr>
        <w:t>.</w:t>
      </w:r>
    </w:p>
  </w:footnote>
  <w:footnote w:id="3">
    <w:p w14:paraId="66F4C452" w14:textId="2E817DD0" w:rsidR="006F33EF" w:rsidRPr="00400104" w:rsidRDefault="006F33EF" w:rsidP="00400104">
      <w:pPr>
        <w:pStyle w:val="FootnoteText"/>
        <w:jc w:val="both"/>
        <w:rPr>
          <w:rFonts w:ascii="Arial" w:hAnsi="Arial" w:cs="Arial"/>
          <w:sz w:val="18"/>
          <w:szCs w:val="18"/>
          <w:lang w:val="en-GB"/>
        </w:rPr>
      </w:pPr>
      <w:r w:rsidRPr="00400104">
        <w:rPr>
          <w:rStyle w:val="FootnoteReference"/>
          <w:rFonts w:ascii="Arial" w:hAnsi="Arial" w:cs="Arial"/>
          <w:sz w:val="18"/>
          <w:szCs w:val="18"/>
        </w:rPr>
        <w:footnoteRef/>
      </w:r>
      <w:r w:rsidRPr="00400104">
        <w:rPr>
          <w:rFonts w:ascii="Arial" w:hAnsi="Arial" w:cs="Arial"/>
          <w:sz w:val="18"/>
          <w:szCs w:val="18"/>
        </w:rPr>
        <w:t xml:space="preserve"> </w:t>
      </w:r>
      <w:r w:rsidRPr="00400104">
        <w:rPr>
          <w:rFonts w:ascii="Arial" w:hAnsi="Arial" w:cs="Arial"/>
          <w:i/>
          <w:sz w:val="18"/>
          <w:szCs w:val="18"/>
        </w:rPr>
        <w:t xml:space="preserve">Re Sigma Finance Corp </w:t>
      </w:r>
      <w:r w:rsidRPr="00400104">
        <w:rPr>
          <w:rFonts w:ascii="Arial" w:hAnsi="Arial" w:cs="Arial"/>
          <w:sz w:val="18"/>
          <w:szCs w:val="18"/>
        </w:rPr>
        <w:t>[2008] EWCA Civ 1303 (CA) at para 98.</w:t>
      </w:r>
    </w:p>
  </w:footnote>
  <w:footnote w:id="4">
    <w:p w14:paraId="4B56201A" w14:textId="5A93E92C" w:rsidR="00D16583" w:rsidRPr="00400104" w:rsidRDefault="00D16583"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sz w:val="18"/>
          <w:szCs w:val="18"/>
        </w:rPr>
        <w:t xml:space="preserve"> </w:t>
      </w:r>
      <w:r w:rsidR="00A456C5" w:rsidRPr="00400104">
        <w:rPr>
          <w:rFonts w:ascii="Arial" w:hAnsi="Arial" w:cs="Arial"/>
          <w:sz w:val="18"/>
          <w:szCs w:val="18"/>
        </w:rPr>
        <w:t>1994 (1) SA 677 (T)</w:t>
      </w:r>
      <w:r w:rsidR="00040770">
        <w:rPr>
          <w:rFonts w:ascii="Arial" w:hAnsi="Arial" w:cs="Arial"/>
          <w:sz w:val="18"/>
          <w:szCs w:val="18"/>
        </w:rPr>
        <w:t>.</w:t>
      </w:r>
    </w:p>
  </w:footnote>
  <w:footnote w:id="5">
    <w:p w14:paraId="56C7B470" w14:textId="776513F9" w:rsidR="000B47CF" w:rsidRPr="00400104" w:rsidRDefault="000B47CF"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sz w:val="18"/>
          <w:szCs w:val="18"/>
        </w:rPr>
        <w:t xml:space="preserve"> At 681G</w:t>
      </w:r>
      <w:r w:rsidR="00040770">
        <w:rPr>
          <w:rFonts w:ascii="Arial" w:hAnsi="Arial" w:cs="Arial"/>
          <w:sz w:val="18"/>
          <w:szCs w:val="18"/>
        </w:rPr>
        <w:t>.</w:t>
      </w:r>
    </w:p>
  </w:footnote>
  <w:footnote w:id="6">
    <w:p w14:paraId="391C5635" w14:textId="7BBC333C" w:rsidR="0072244B" w:rsidRPr="00400104" w:rsidRDefault="0072244B"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sz w:val="18"/>
          <w:szCs w:val="18"/>
        </w:rPr>
        <w:t xml:space="preserve"> </w:t>
      </w:r>
      <w:r w:rsidR="007451C3" w:rsidRPr="00400104">
        <w:rPr>
          <w:rFonts w:ascii="Arial" w:hAnsi="Arial" w:cs="Arial"/>
          <w:sz w:val="18"/>
          <w:szCs w:val="18"/>
        </w:rPr>
        <w:t>[2021] ZAGPPHC 599</w:t>
      </w:r>
      <w:r w:rsidR="00040770">
        <w:rPr>
          <w:rFonts w:ascii="Arial" w:hAnsi="Arial" w:cs="Arial"/>
          <w:sz w:val="18"/>
          <w:szCs w:val="18"/>
        </w:rPr>
        <w:t>.</w:t>
      </w:r>
    </w:p>
  </w:footnote>
  <w:footnote w:id="7">
    <w:p w14:paraId="4E6AA421" w14:textId="560DBDE2" w:rsidR="001250CD" w:rsidRPr="00400104" w:rsidRDefault="001250CD"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sz w:val="18"/>
          <w:szCs w:val="18"/>
        </w:rPr>
        <w:t xml:space="preserve"> At </w:t>
      </w:r>
      <w:r w:rsidR="00040770">
        <w:rPr>
          <w:rFonts w:ascii="Arial" w:hAnsi="Arial" w:cs="Arial"/>
          <w:sz w:val="18"/>
          <w:szCs w:val="18"/>
        </w:rPr>
        <w:t xml:space="preserve">para </w:t>
      </w:r>
      <w:r w:rsidRPr="00400104">
        <w:rPr>
          <w:rFonts w:ascii="Arial" w:hAnsi="Arial" w:cs="Arial"/>
          <w:sz w:val="18"/>
          <w:szCs w:val="18"/>
        </w:rPr>
        <w:t>7</w:t>
      </w:r>
      <w:r w:rsidR="00040770">
        <w:rPr>
          <w:rFonts w:ascii="Arial" w:hAnsi="Arial" w:cs="Arial"/>
          <w:sz w:val="18"/>
          <w:szCs w:val="18"/>
        </w:rPr>
        <w:t>.</w:t>
      </w:r>
    </w:p>
  </w:footnote>
  <w:footnote w:id="8">
    <w:p w14:paraId="6DB443C8" w14:textId="235AE714" w:rsidR="007D2821" w:rsidRPr="00400104" w:rsidRDefault="007D2821"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sz w:val="18"/>
          <w:szCs w:val="18"/>
        </w:rPr>
        <w:t xml:space="preserve"> </w:t>
      </w:r>
      <w:r w:rsidR="000E7EBB" w:rsidRPr="00400104">
        <w:rPr>
          <w:rFonts w:ascii="Arial" w:hAnsi="Arial" w:cs="Arial"/>
          <w:i/>
          <w:sz w:val="18"/>
          <w:szCs w:val="18"/>
        </w:rPr>
        <w:t>Express Model Trading 289 CC v Dolphin Ridge Body Corporate</w:t>
      </w:r>
      <w:r w:rsidR="002D2755" w:rsidRPr="00400104">
        <w:rPr>
          <w:rFonts w:ascii="Arial" w:hAnsi="Arial" w:cs="Arial"/>
          <w:sz w:val="18"/>
          <w:szCs w:val="18"/>
        </w:rPr>
        <w:t xml:space="preserve"> </w:t>
      </w:r>
      <w:r w:rsidR="0006660E">
        <w:rPr>
          <w:rFonts w:ascii="Arial" w:hAnsi="Arial" w:cs="Arial"/>
          <w:sz w:val="18"/>
          <w:szCs w:val="18"/>
        </w:rPr>
        <w:t>[2014] ZASCA 17; 2015 (6) SA 224 (SCA).</w:t>
      </w:r>
    </w:p>
  </w:footnote>
  <w:footnote w:id="9">
    <w:p w14:paraId="3EFD7930" w14:textId="2094072C" w:rsidR="00965404" w:rsidRPr="00400104" w:rsidRDefault="00965404"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sz w:val="18"/>
          <w:szCs w:val="18"/>
        </w:rPr>
        <w:t xml:space="preserve"> </w:t>
      </w:r>
      <w:r w:rsidRPr="00400104">
        <w:rPr>
          <w:rFonts w:ascii="Arial" w:hAnsi="Arial" w:cs="Arial"/>
          <w:i/>
          <w:sz w:val="18"/>
          <w:szCs w:val="18"/>
        </w:rPr>
        <w:t xml:space="preserve">De Lange and </w:t>
      </w:r>
      <w:r w:rsidR="00DC4C6E">
        <w:rPr>
          <w:rFonts w:ascii="Arial" w:hAnsi="Arial" w:cs="Arial"/>
          <w:i/>
          <w:sz w:val="18"/>
          <w:szCs w:val="18"/>
        </w:rPr>
        <w:t>A</w:t>
      </w:r>
      <w:r w:rsidRPr="00400104">
        <w:rPr>
          <w:rFonts w:ascii="Arial" w:hAnsi="Arial" w:cs="Arial"/>
          <w:i/>
          <w:sz w:val="18"/>
          <w:szCs w:val="18"/>
        </w:rPr>
        <w:t xml:space="preserve">nother v Eskom Holdings Ltd and </w:t>
      </w:r>
      <w:r w:rsidR="00DC4C6E">
        <w:rPr>
          <w:rFonts w:ascii="Arial" w:hAnsi="Arial" w:cs="Arial"/>
          <w:i/>
          <w:sz w:val="18"/>
          <w:szCs w:val="18"/>
        </w:rPr>
        <w:t>O</w:t>
      </w:r>
      <w:r w:rsidRPr="00400104">
        <w:rPr>
          <w:rFonts w:ascii="Arial" w:hAnsi="Arial" w:cs="Arial"/>
          <w:i/>
          <w:sz w:val="18"/>
          <w:szCs w:val="18"/>
        </w:rPr>
        <w:t>thers</w:t>
      </w:r>
      <w:r w:rsidRPr="00400104">
        <w:rPr>
          <w:rFonts w:ascii="Arial" w:hAnsi="Arial" w:cs="Arial"/>
          <w:sz w:val="18"/>
          <w:szCs w:val="18"/>
        </w:rPr>
        <w:t xml:space="preserve"> </w:t>
      </w:r>
      <w:r w:rsidR="00BC1A23" w:rsidRPr="00400104">
        <w:rPr>
          <w:rFonts w:ascii="Arial" w:hAnsi="Arial" w:cs="Arial"/>
          <w:sz w:val="18"/>
          <w:szCs w:val="18"/>
        </w:rPr>
        <w:t xml:space="preserve">2012 (1) SA 280 (GSJ) at </w:t>
      </w:r>
      <w:r w:rsidR="00DC4C6E">
        <w:rPr>
          <w:rFonts w:ascii="Arial" w:hAnsi="Arial" w:cs="Arial"/>
          <w:sz w:val="18"/>
          <w:szCs w:val="18"/>
        </w:rPr>
        <w:t>para 27.</w:t>
      </w:r>
    </w:p>
  </w:footnote>
  <w:footnote w:id="10">
    <w:p w14:paraId="0237D57B" w14:textId="6692C86C" w:rsidR="009C0271" w:rsidRPr="00400104" w:rsidRDefault="009C0271"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sz w:val="18"/>
          <w:szCs w:val="18"/>
        </w:rPr>
        <w:t xml:space="preserve"> </w:t>
      </w:r>
      <w:r w:rsidR="00DC4C6E">
        <w:rPr>
          <w:rFonts w:ascii="Arial" w:hAnsi="Arial" w:cs="Arial"/>
          <w:sz w:val="18"/>
          <w:szCs w:val="18"/>
        </w:rPr>
        <w:t xml:space="preserve">Above n 1 at </w:t>
      </w:r>
      <w:r w:rsidR="003852F0">
        <w:rPr>
          <w:rFonts w:ascii="Arial" w:hAnsi="Arial" w:cs="Arial"/>
          <w:sz w:val="18"/>
          <w:szCs w:val="18"/>
        </w:rPr>
        <w:t>306F-307G.</w:t>
      </w:r>
    </w:p>
  </w:footnote>
  <w:footnote w:id="11">
    <w:p w14:paraId="364508B0" w14:textId="281FC8D4" w:rsidR="00D72D06" w:rsidRPr="00400104" w:rsidRDefault="00D72D06" w:rsidP="00400104">
      <w:pPr>
        <w:pStyle w:val="FootnoteText"/>
        <w:jc w:val="both"/>
        <w:rPr>
          <w:rFonts w:ascii="Arial" w:hAnsi="Arial" w:cs="Arial"/>
          <w:sz w:val="18"/>
          <w:szCs w:val="18"/>
        </w:rPr>
      </w:pPr>
      <w:r w:rsidRPr="00400104">
        <w:rPr>
          <w:rStyle w:val="FootnoteReference"/>
          <w:rFonts w:ascii="Arial" w:hAnsi="Arial" w:cs="Arial"/>
          <w:sz w:val="18"/>
          <w:szCs w:val="18"/>
        </w:rPr>
        <w:footnoteRef/>
      </w:r>
      <w:r w:rsidRPr="00400104">
        <w:rPr>
          <w:rFonts w:ascii="Arial" w:hAnsi="Arial" w:cs="Arial"/>
          <w:i/>
          <w:sz w:val="18"/>
          <w:szCs w:val="18"/>
        </w:rPr>
        <w:t xml:space="preserve"> Mostert NO v Old Mutual Life Assurance Co (SA) Ltd</w:t>
      </w:r>
      <w:r w:rsidRPr="00400104">
        <w:rPr>
          <w:rFonts w:ascii="Arial" w:hAnsi="Arial" w:cs="Arial"/>
          <w:sz w:val="18"/>
          <w:szCs w:val="18"/>
        </w:rPr>
        <w:t xml:space="preserve"> </w:t>
      </w:r>
      <w:r w:rsidR="003852F0">
        <w:rPr>
          <w:rFonts w:ascii="Arial" w:hAnsi="Arial" w:cs="Arial"/>
          <w:sz w:val="18"/>
          <w:szCs w:val="18"/>
        </w:rPr>
        <w:t xml:space="preserve">[2001] ZASCA 101; </w:t>
      </w:r>
      <w:r w:rsidRPr="00400104">
        <w:rPr>
          <w:rFonts w:ascii="Arial" w:hAnsi="Arial" w:cs="Arial"/>
          <w:sz w:val="18"/>
          <w:szCs w:val="18"/>
        </w:rPr>
        <w:t xml:space="preserve">2002 (1) </w:t>
      </w:r>
      <w:r w:rsidR="003852F0">
        <w:rPr>
          <w:rFonts w:ascii="Arial" w:hAnsi="Arial" w:cs="Arial"/>
          <w:sz w:val="18"/>
          <w:szCs w:val="18"/>
        </w:rPr>
        <w:t xml:space="preserve">SA </w:t>
      </w:r>
      <w:r w:rsidRPr="00400104">
        <w:rPr>
          <w:rFonts w:ascii="Arial" w:hAnsi="Arial" w:cs="Arial"/>
          <w:sz w:val="18"/>
          <w:szCs w:val="18"/>
        </w:rPr>
        <w:t>82 (SCA) at para [5]</w:t>
      </w:r>
      <w:r w:rsidR="00FA7CA3">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AE66A8D"/>
    <w:multiLevelType w:val="hybridMultilevel"/>
    <w:tmpl w:val="CB143BF2"/>
    <w:lvl w:ilvl="0" w:tplc="6A6AF190">
      <w:start w:val="1"/>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 w15:restartNumberingAfterBreak="0">
    <w:nsid w:val="43BF4B3B"/>
    <w:multiLevelType w:val="multilevel"/>
    <w:tmpl w:val="BD18B9C4"/>
    <w:lvl w:ilvl="0">
      <w:start w:val="48"/>
      <w:numFmt w:val="decimal"/>
      <w:lvlText w:val="%1."/>
      <w:lvlJc w:val="left"/>
      <w:pPr>
        <w:ind w:left="566"/>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abstractNum>
  <w:abstractNum w:abstractNumId="3" w15:restartNumberingAfterBreak="0">
    <w:nsid w:val="43CB0E9B"/>
    <w:multiLevelType w:val="hybridMultilevel"/>
    <w:tmpl w:val="F5B4B526"/>
    <w:lvl w:ilvl="0" w:tplc="FE68608E">
      <w:start w:val="3"/>
      <w:numFmt w:val="lowerRoman"/>
      <w:lvlText w:val="(%1)"/>
      <w:lvlJc w:val="left"/>
      <w:pPr>
        <w:ind w:left="2149"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06B3742"/>
    <w:multiLevelType w:val="multilevel"/>
    <w:tmpl w:val="C6680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66E5492"/>
    <w:multiLevelType w:val="hybridMultilevel"/>
    <w:tmpl w:val="C988E2A8"/>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zMDYwNDIwMTE1MTVX0lEKTi0uzszPAykwrAUAAEx4UCwAAAA="/>
  </w:docVars>
  <w:rsids>
    <w:rsidRoot w:val="00E13560"/>
    <w:rsid w:val="0000031D"/>
    <w:rsid w:val="00040770"/>
    <w:rsid w:val="00040DFA"/>
    <w:rsid w:val="00040EC5"/>
    <w:rsid w:val="00042C4D"/>
    <w:rsid w:val="00043154"/>
    <w:rsid w:val="00054325"/>
    <w:rsid w:val="0006660E"/>
    <w:rsid w:val="000669EF"/>
    <w:rsid w:val="00073B94"/>
    <w:rsid w:val="00083076"/>
    <w:rsid w:val="00084AE4"/>
    <w:rsid w:val="00085063"/>
    <w:rsid w:val="000956D0"/>
    <w:rsid w:val="00095ED8"/>
    <w:rsid w:val="000A5D35"/>
    <w:rsid w:val="000A5F92"/>
    <w:rsid w:val="000A7B82"/>
    <w:rsid w:val="000B47CF"/>
    <w:rsid w:val="000C00CB"/>
    <w:rsid w:val="000E7EBB"/>
    <w:rsid w:val="000E7FA3"/>
    <w:rsid w:val="000F56C1"/>
    <w:rsid w:val="00103FBC"/>
    <w:rsid w:val="00111094"/>
    <w:rsid w:val="00122F57"/>
    <w:rsid w:val="00123243"/>
    <w:rsid w:val="001250CD"/>
    <w:rsid w:val="00125487"/>
    <w:rsid w:val="0013124D"/>
    <w:rsid w:val="001345C1"/>
    <w:rsid w:val="00134959"/>
    <w:rsid w:val="00155DB0"/>
    <w:rsid w:val="001600F5"/>
    <w:rsid w:val="00175236"/>
    <w:rsid w:val="00183FC6"/>
    <w:rsid w:val="00193BEB"/>
    <w:rsid w:val="001A4E3B"/>
    <w:rsid w:val="001A6CE4"/>
    <w:rsid w:val="001B38DF"/>
    <w:rsid w:val="001B4FBF"/>
    <w:rsid w:val="001C167A"/>
    <w:rsid w:val="001C1A9B"/>
    <w:rsid w:val="001C6828"/>
    <w:rsid w:val="001C6B15"/>
    <w:rsid w:val="001D593F"/>
    <w:rsid w:val="001D7D26"/>
    <w:rsid w:val="001E01BE"/>
    <w:rsid w:val="001F528D"/>
    <w:rsid w:val="00220B62"/>
    <w:rsid w:val="00221A81"/>
    <w:rsid w:val="00222C26"/>
    <w:rsid w:val="00223C56"/>
    <w:rsid w:val="0022511A"/>
    <w:rsid w:val="00226B91"/>
    <w:rsid w:val="00242B7F"/>
    <w:rsid w:val="00245697"/>
    <w:rsid w:val="0028394A"/>
    <w:rsid w:val="002A3943"/>
    <w:rsid w:val="002A472C"/>
    <w:rsid w:val="002B36CD"/>
    <w:rsid w:val="002B3C2C"/>
    <w:rsid w:val="002B6120"/>
    <w:rsid w:val="002C169E"/>
    <w:rsid w:val="002C24C5"/>
    <w:rsid w:val="002D2755"/>
    <w:rsid w:val="002F4230"/>
    <w:rsid w:val="003009AE"/>
    <w:rsid w:val="00302448"/>
    <w:rsid w:val="00311D9A"/>
    <w:rsid w:val="0032552E"/>
    <w:rsid w:val="00331FDC"/>
    <w:rsid w:val="0033419A"/>
    <w:rsid w:val="00340E6D"/>
    <w:rsid w:val="003435A6"/>
    <w:rsid w:val="0034493A"/>
    <w:rsid w:val="00355272"/>
    <w:rsid w:val="003852F0"/>
    <w:rsid w:val="003869EC"/>
    <w:rsid w:val="00392B46"/>
    <w:rsid w:val="003A175D"/>
    <w:rsid w:val="003A2D3B"/>
    <w:rsid w:val="003A4B20"/>
    <w:rsid w:val="003A5DCB"/>
    <w:rsid w:val="003C55E3"/>
    <w:rsid w:val="003F16A0"/>
    <w:rsid w:val="003F1AC4"/>
    <w:rsid w:val="003F314C"/>
    <w:rsid w:val="003F45FB"/>
    <w:rsid w:val="00400104"/>
    <w:rsid w:val="00404270"/>
    <w:rsid w:val="00407334"/>
    <w:rsid w:val="00414091"/>
    <w:rsid w:val="004349DC"/>
    <w:rsid w:val="004362A9"/>
    <w:rsid w:val="00446B7A"/>
    <w:rsid w:val="00447620"/>
    <w:rsid w:val="00466A2A"/>
    <w:rsid w:val="00475AAC"/>
    <w:rsid w:val="0047625A"/>
    <w:rsid w:val="00476AB8"/>
    <w:rsid w:val="00482ABD"/>
    <w:rsid w:val="00484DAB"/>
    <w:rsid w:val="004C0BFB"/>
    <w:rsid w:val="004C257C"/>
    <w:rsid w:val="004D3C5E"/>
    <w:rsid w:val="004D723D"/>
    <w:rsid w:val="004E47D1"/>
    <w:rsid w:val="00513B14"/>
    <w:rsid w:val="005230EB"/>
    <w:rsid w:val="005239A1"/>
    <w:rsid w:val="00545FC4"/>
    <w:rsid w:val="00550B5D"/>
    <w:rsid w:val="005529FD"/>
    <w:rsid w:val="00554C52"/>
    <w:rsid w:val="005616C0"/>
    <w:rsid w:val="005635C2"/>
    <w:rsid w:val="00565A63"/>
    <w:rsid w:val="00567897"/>
    <w:rsid w:val="005815B1"/>
    <w:rsid w:val="0058726B"/>
    <w:rsid w:val="00595E4B"/>
    <w:rsid w:val="00597EDC"/>
    <w:rsid w:val="005A2444"/>
    <w:rsid w:val="005A5E0C"/>
    <w:rsid w:val="005B4597"/>
    <w:rsid w:val="005B49D6"/>
    <w:rsid w:val="005C6682"/>
    <w:rsid w:val="005D452C"/>
    <w:rsid w:val="005E565E"/>
    <w:rsid w:val="005E7ADD"/>
    <w:rsid w:val="005F58D1"/>
    <w:rsid w:val="005F6AE9"/>
    <w:rsid w:val="00602959"/>
    <w:rsid w:val="00605624"/>
    <w:rsid w:val="00606436"/>
    <w:rsid w:val="00617C18"/>
    <w:rsid w:val="00647CB3"/>
    <w:rsid w:val="00650216"/>
    <w:rsid w:val="00656BFF"/>
    <w:rsid w:val="00664C03"/>
    <w:rsid w:val="00693339"/>
    <w:rsid w:val="0069374A"/>
    <w:rsid w:val="006D16C6"/>
    <w:rsid w:val="006E016A"/>
    <w:rsid w:val="006E28B7"/>
    <w:rsid w:val="006F33EF"/>
    <w:rsid w:val="006F4BF5"/>
    <w:rsid w:val="006F64C7"/>
    <w:rsid w:val="00702347"/>
    <w:rsid w:val="00702C0C"/>
    <w:rsid w:val="007102A6"/>
    <w:rsid w:val="00712167"/>
    <w:rsid w:val="0072244B"/>
    <w:rsid w:val="007451C3"/>
    <w:rsid w:val="00763488"/>
    <w:rsid w:val="00764226"/>
    <w:rsid w:val="00777F58"/>
    <w:rsid w:val="00782ACB"/>
    <w:rsid w:val="007919F6"/>
    <w:rsid w:val="007A216A"/>
    <w:rsid w:val="007A3409"/>
    <w:rsid w:val="007B6803"/>
    <w:rsid w:val="007C0F27"/>
    <w:rsid w:val="007C18A8"/>
    <w:rsid w:val="007D2821"/>
    <w:rsid w:val="007D61B2"/>
    <w:rsid w:val="007F00BF"/>
    <w:rsid w:val="007F29AF"/>
    <w:rsid w:val="00804150"/>
    <w:rsid w:val="00804A48"/>
    <w:rsid w:val="00825089"/>
    <w:rsid w:val="0083251B"/>
    <w:rsid w:val="00842578"/>
    <w:rsid w:val="00847C7F"/>
    <w:rsid w:val="008528B8"/>
    <w:rsid w:val="008563F8"/>
    <w:rsid w:val="008617E9"/>
    <w:rsid w:val="00867B6A"/>
    <w:rsid w:val="008740BA"/>
    <w:rsid w:val="008800F7"/>
    <w:rsid w:val="00882B35"/>
    <w:rsid w:val="008A18B9"/>
    <w:rsid w:val="008B0D30"/>
    <w:rsid w:val="008B5A45"/>
    <w:rsid w:val="008D2C26"/>
    <w:rsid w:val="008D5B66"/>
    <w:rsid w:val="008D68E7"/>
    <w:rsid w:val="008D6CA4"/>
    <w:rsid w:val="008D7DE3"/>
    <w:rsid w:val="008E0134"/>
    <w:rsid w:val="008E4F90"/>
    <w:rsid w:val="008E7CB0"/>
    <w:rsid w:val="00900240"/>
    <w:rsid w:val="009047E3"/>
    <w:rsid w:val="00906415"/>
    <w:rsid w:val="00913F59"/>
    <w:rsid w:val="00916857"/>
    <w:rsid w:val="00922150"/>
    <w:rsid w:val="009312D2"/>
    <w:rsid w:val="009429B0"/>
    <w:rsid w:val="0094512E"/>
    <w:rsid w:val="00962CC2"/>
    <w:rsid w:val="00965404"/>
    <w:rsid w:val="00965F08"/>
    <w:rsid w:val="00967529"/>
    <w:rsid w:val="00970274"/>
    <w:rsid w:val="00970A46"/>
    <w:rsid w:val="009922C8"/>
    <w:rsid w:val="00996BE7"/>
    <w:rsid w:val="009A589A"/>
    <w:rsid w:val="009B338C"/>
    <w:rsid w:val="009C0271"/>
    <w:rsid w:val="009C4868"/>
    <w:rsid w:val="009D0441"/>
    <w:rsid w:val="009D4E45"/>
    <w:rsid w:val="009D51E1"/>
    <w:rsid w:val="009D64B6"/>
    <w:rsid w:val="009E0360"/>
    <w:rsid w:val="009E434C"/>
    <w:rsid w:val="009E5E2D"/>
    <w:rsid w:val="009E6BE4"/>
    <w:rsid w:val="00A06FEC"/>
    <w:rsid w:val="00A10B75"/>
    <w:rsid w:val="00A12547"/>
    <w:rsid w:val="00A14931"/>
    <w:rsid w:val="00A14A8E"/>
    <w:rsid w:val="00A22847"/>
    <w:rsid w:val="00A234E6"/>
    <w:rsid w:val="00A374EB"/>
    <w:rsid w:val="00A406EB"/>
    <w:rsid w:val="00A456C5"/>
    <w:rsid w:val="00A471C1"/>
    <w:rsid w:val="00A6153A"/>
    <w:rsid w:val="00A63A41"/>
    <w:rsid w:val="00A65157"/>
    <w:rsid w:val="00A6627C"/>
    <w:rsid w:val="00A67A3D"/>
    <w:rsid w:val="00A7156B"/>
    <w:rsid w:val="00A74219"/>
    <w:rsid w:val="00A864B4"/>
    <w:rsid w:val="00AA0DAA"/>
    <w:rsid w:val="00AA35CD"/>
    <w:rsid w:val="00AB23A0"/>
    <w:rsid w:val="00AB587B"/>
    <w:rsid w:val="00B057AD"/>
    <w:rsid w:val="00B1656F"/>
    <w:rsid w:val="00B27F77"/>
    <w:rsid w:val="00B34646"/>
    <w:rsid w:val="00B43605"/>
    <w:rsid w:val="00B46848"/>
    <w:rsid w:val="00B541D5"/>
    <w:rsid w:val="00B54D43"/>
    <w:rsid w:val="00B57F06"/>
    <w:rsid w:val="00B708B7"/>
    <w:rsid w:val="00B83D49"/>
    <w:rsid w:val="00BA302E"/>
    <w:rsid w:val="00BB0E5B"/>
    <w:rsid w:val="00BB4980"/>
    <w:rsid w:val="00BC0CB2"/>
    <w:rsid w:val="00BC1A23"/>
    <w:rsid w:val="00BC1C81"/>
    <w:rsid w:val="00BE7D3D"/>
    <w:rsid w:val="00BF6563"/>
    <w:rsid w:val="00BF7C62"/>
    <w:rsid w:val="00C00D0C"/>
    <w:rsid w:val="00C1488D"/>
    <w:rsid w:val="00C15145"/>
    <w:rsid w:val="00C15E46"/>
    <w:rsid w:val="00C204B3"/>
    <w:rsid w:val="00C35D9D"/>
    <w:rsid w:val="00C378A7"/>
    <w:rsid w:val="00C4006A"/>
    <w:rsid w:val="00C41552"/>
    <w:rsid w:val="00C50A96"/>
    <w:rsid w:val="00C61FB8"/>
    <w:rsid w:val="00C65FEC"/>
    <w:rsid w:val="00C731B1"/>
    <w:rsid w:val="00C87768"/>
    <w:rsid w:val="00C9016B"/>
    <w:rsid w:val="00C9038C"/>
    <w:rsid w:val="00C9135C"/>
    <w:rsid w:val="00C93687"/>
    <w:rsid w:val="00C9512A"/>
    <w:rsid w:val="00CB5486"/>
    <w:rsid w:val="00CC49B0"/>
    <w:rsid w:val="00CC62C7"/>
    <w:rsid w:val="00CD0796"/>
    <w:rsid w:val="00CD210C"/>
    <w:rsid w:val="00CE7F78"/>
    <w:rsid w:val="00CF50A5"/>
    <w:rsid w:val="00CF59E3"/>
    <w:rsid w:val="00D049C2"/>
    <w:rsid w:val="00D04F93"/>
    <w:rsid w:val="00D0693A"/>
    <w:rsid w:val="00D0711F"/>
    <w:rsid w:val="00D1280A"/>
    <w:rsid w:val="00D156CE"/>
    <w:rsid w:val="00D16583"/>
    <w:rsid w:val="00D24F2D"/>
    <w:rsid w:val="00D2505B"/>
    <w:rsid w:val="00D25DC1"/>
    <w:rsid w:val="00D30512"/>
    <w:rsid w:val="00D31259"/>
    <w:rsid w:val="00D33733"/>
    <w:rsid w:val="00D36108"/>
    <w:rsid w:val="00D46DAD"/>
    <w:rsid w:val="00D471A3"/>
    <w:rsid w:val="00D4762A"/>
    <w:rsid w:val="00D555F7"/>
    <w:rsid w:val="00D61789"/>
    <w:rsid w:val="00D70931"/>
    <w:rsid w:val="00D7149B"/>
    <w:rsid w:val="00D72D06"/>
    <w:rsid w:val="00D73452"/>
    <w:rsid w:val="00D7799E"/>
    <w:rsid w:val="00D90204"/>
    <w:rsid w:val="00DA7CE2"/>
    <w:rsid w:val="00DB3198"/>
    <w:rsid w:val="00DC2027"/>
    <w:rsid w:val="00DC4C6E"/>
    <w:rsid w:val="00DE0C4F"/>
    <w:rsid w:val="00DE4031"/>
    <w:rsid w:val="00DF3124"/>
    <w:rsid w:val="00E00926"/>
    <w:rsid w:val="00E01937"/>
    <w:rsid w:val="00E047F8"/>
    <w:rsid w:val="00E13560"/>
    <w:rsid w:val="00E2457A"/>
    <w:rsid w:val="00E25456"/>
    <w:rsid w:val="00E30942"/>
    <w:rsid w:val="00E336A2"/>
    <w:rsid w:val="00E4175D"/>
    <w:rsid w:val="00E41D94"/>
    <w:rsid w:val="00E448A9"/>
    <w:rsid w:val="00E539BC"/>
    <w:rsid w:val="00E53E34"/>
    <w:rsid w:val="00E60329"/>
    <w:rsid w:val="00E624F1"/>
    <w:rsid w:val="00E71174"/>
    <w:rsid w:val="00E75818"/>
    <w:rsid w:val="00EA1F9B"/>
    <w:rsid w:val="00EB2EF5"/>
    <w:rsid w:val="00EB5627"/>
    <w:rsid w:val="00EB6618"/>
    <w:rsid w:val="00EE0DEE"/>
    <w:rsid w:val="00EF0862"/>
    <w:rsid w:val="00F03273"/>
    <w:rsid w:val="00F047B6"/>
    <w:rsid w:val="00F048AC"/>
    <w:rsid w:val="00F121A5"/>
    <w:rsid w:val="00F1404E"/>
    <w:rsid w:val="00F14123"/>
    <w:rsid w:val="00F24419"/>
    <w:rsid w:val="00F254EA"/>
    <w:rsid w:val="00F47FDA"/>
    <w:rsid w:val="00F6465B"/>
    <w:rsid w:val="00F67332"/>
    <w:rsid w:val="00F7297C"/>
    <w:rsid w:val="00F7414A"/>
    <w:rsid w:val="00F83C83"/>
    <w:rsid w:val="00FA60E6"/>
    <w:rsid w:val="00FA64CF"/>
    <w:rsid w:val="00FA7CA3"/>
    <w:rsid w:val="00FB13F5"/>
    <w:rsid w:val="00FB25C9"/>
    <w:rsid w:val="00FB6402"/>
    <w:rsid w:val="00FC0232"/>
    <w:rsid w:val="00FC3CF4"/>
    <w:rsid w:val="00FD1AE0"/>
    <w:rsid w:val="00FD7D19"/>
    <w:rsid w:val="00FE0A1E"/>
    <w:rsid w:val="00FE437F"/>
    <w:rsid w:val="00FF054B"/>
    <w:rsid w:val="00FF3E38"/>
    <w:rsid w:val="00FF70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09DD"/>
  <w15:chartTrackingRefBased/>
  <w15:docId w15:val="{224C0048-2509-473D-9A29-56114F9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5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35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35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35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35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35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35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35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35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5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35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35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35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35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35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35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35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3560"/>
    <w:rPr>
      <w:rFonts w:eastAsiaTheme="majorEastAsia" w:cstheme="majorBidi"/>
      <w:color w:val="272727" w:themeColor="text1" w:themeTint="D8"/>
    </w:rPr>
  </w:style>
  <w:style w:type="paragraph" w:styleId="Title">
    <w:name w:val="Title"/>
    <w:basedOn w:val="Normal"/>
    <w:next w:val="Normal"/>
    <w:link w:val="TitleChar"/>
    <w:uiPriority w:val="10"/>
    <w:qFormat/>
    <w:rsid w:val="00E135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5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35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35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3560"/>
    <w:pPr>
      <w:spacing w:before="160"/>
      <w:jc w:val="center"/>
    </w:pPr>
    <w:rPr>
      <w:i/>
      <w:iCs/>
      <w:color w:val="404040" w:themeColor="text1" w:themeTint="BF"/>
    </w:rPr>
  </w:style>
  <w:style w:type="character" w:customStyle="1" w:styleId="QuoteChar">
    <w:name w:val="Quote Char"/>
    <w:basedOn w:val="DefaultParagraphFont"/>
    <w:link w:val="Quote"/>
    <w:uiPriority w:val="29"/>
    <w:rsid w:val="00E13560"/>
    <w:rPr>
      <w:i/>
      <w:iCs/>
      <w:color w:val="404040" w:themeColor="text1" w:themeTint="BF"/>
    </w:rPr>
  </w:style>
  <w:style w:type="paragraph" w:styleId="ListParagraph">
    <w:name w:val="List Paragraph"/>
    <w:basedOn w:val="Normal"/>
    <w:uiPriority w:val="34"/>
    <w:qFormat/>
    <w:rsid w:val="00E13560"/>
    <w:pPr>
      <w:ind w:left="720"/>
      <w:contextualSpacing/>
    </w:pPr>
  </w:style>
  <w:style w:type="character" w:styleId="IntenseEmphasis">
    <w:name w:val="Intense Emphasis"/>
    <w:basedOn w:val="DefaultParagraphFont"/>
    <w:uiPriority w:val="21"/>
    <w:qFormat/>
    <w:rsid w:val="00E13560"/>
    <w:rPr>
      <w:i/>
      <w:iCs/>
      <w:color w:val="0F4761" w:themeColor="accent1" w:themeShade="BF"/>
    </w:rPr>
  </w:style>
  <w:style w:type="paragraph" w:styleId="IntenseQuote">
    <w:name w:val="Intense Quote"/>
    <w:basedOn w:val="Normal"/>
    <w:next w:val="Normal"/>
    <w:link w:val="IntenseQuoteChar"/>
    <w:uiPriority w:val="30"/>
    <w:qFormat/>
    <w:rsid w:val="00E135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3560"/>
    <w:rPr>
      <w:i/>
      <w:iCs/>
      <w:color w:val="0F4761" w:themeColor="accent1" w:themeShade="BF"/>
    </w:rPr>
  </w:style>
  <w:style w:type="character" w:styleId="IntenseReference">
    <w:name w:val="Intense Reference"/>
    <w:basedOn w:val="DefaultParagraphFont"/>
    <w:uiPriority w:val="32"/>
    <w:qFormat/>
    <w:rsid w:val="00E13560"/>
    <w:rPr>
      <w:b/>
      <w:bCs/>
      <w:smallCaps/>
      <w:color w:val="0F4761" w:themeColor="accent1" w:themeShade="BF"/>
      <w:spacing w:val="5"/>
    </w:rPr>
  </w:style>
  <w:style w:type="paragraph" w:styleId="Header">
    <w:name w:val="header"/>
    <w:basedOn w:val="Normal"/>
    <w:link w:val="HeaderChar"/>
    <w:uiPriority w:val="99"/>
    <w:unhideWhenUsed/>
    <w:rsid w:val="00E13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560"/>
  </w:style>
  <w:style w:type="paragraph" w:styleId="Footer">
    <w:name w:val="footer"/>
    <w:basedOn w:val="Normal"/>
    <w:link w:val="FooterChar"/>
    <w:uiPriority w:val="99"/>
    <w:unhideWhenUsed/>
    <w:rsid w:val="00E13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560"/>
  </w:style>
  <w:style w:type="paragraph" w:styleId="NoSpacing">
    <w:name w:val="No Spacing"/>
    <w:uiPriority w:val="1"/>
    <w:qFormat/>
    <w:rsid w:val="00F121A5"/>
    <w:pPr>
      <w:spacing w:after="0" w:line="240" w:lineRule="auto"/>
    </w:pPr>
  </w:style>
  <w:style w:type="paragraph" w:styleId="FootnoteText">
    <w:name w:val="footnote text"/>
    <w:basedOn w:val="Normal"/>
    <w:link w:val="FootnoteTextChar"/>
    <w:uiPriority w:val="99"/>
    <w:semiHidden/>
    <w:unhideWhenUsed/>
    <w:rsid w:val="00D16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83"/>
    <w:rPr>
      <w:sz w:val="20"/>
      <w:szCs w:val="20"/>
    </w:rPr>
  </w:style>
  <w:style w:type="character" w:styleId="FootnoteReference">
    <w:name w:val="footnote reference"/>
    <w:basedOn w:val="DefaultParagraphFont"/>
    <w:uiPriority w:val="99"/>
    <w:semiHidden/>
    <w:unhideWhenUsed/>
    <w:rsid w:val="00D16583"/>
    <w:rPr>
      <w:vertAlign w:val="superscript"/>
    </w:rPr>
  </w:style>
  <w:style w:type="paragraph" w:customStyle="1" w:styleId="cm-para1quad">
    <w:name w:val="cm-para1quad"/>
    <w:basedOn w:val="Normal"/>
    <w:rsid w:val="00F83C83"/>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Hyperlink">
    <w:name w:val="Hyperlink"/>
    <w:basedOn w:val="DefaultParagraphFont"/>
    <w:uiPriority w:val="99"/>
    <w:semiHidden/>
    <w:unhideWhenUsed/>
    <w:rsid w:val="00F83C83"/>
    <w:rPr>
      <w:color w:val="0000FF"/>
      <w:u w:val="single"/>
    </w:rPr>
  </w:style>
  <w:style w:type="character" w:customStyle="1" w:styleId="lphit">
    <w:name w:val="lphit"/>
    <w:basedOn w:val="DefaultParagraphFont"/>
    <w:rsid w:val="00F83C83"/>
  </w:style>
  <w:style w:type="paragraph" w:styleId="EndnoteText">
    <w:name w:val="endnote text"/>
    <w:basedOn w:val="Normal"/>
    <w:link w:val="EndnoteTextChar"/>
    <w:uiPriority w:val="99"/>
    <w:semiHidden/>
    <w:unhideWhenUsed/>
    <w:rsid w:val="007919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9F6"/>
    <w:rPr>
      <w:sz w:val="20"/>
      <w:szCs w:val="20"/>
    </w:rPr>
  </w:style>
  <w:style w:type="character" w:styleId="EndnoteReference">
    <w:name w:val="endnote reference"/>
    <w:basedOn w:val="DefaultParagraphFont"/>
    <w:uiPriority w:val="99"/>
    <w:semiHidden/>
    <w:unhideWhenUsed/>
    <w:rsid w:val="007919F6"/>
    <w:rPr>
      <w:vertAlign w:val="superscript"/>
    </w:rPr>
  </w:style>
  <w:style w:type="paragraph" w:styleId="BalloonText">
    <w:name w:val="Balloon Text"/>
    <w:basedOn w:val="Normal"/>
    <w:link w:val="BalloonTextChar"/>
    <w:uiPriority w:val="99"/>
    <w:semiHidden/>
    <w:unhideWhenUsed/>
    <w:rsid w:val="00FB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02"/>
    <w:rPr>
      <w:rFonts w:ascii="Segoe UI" w:hAnsi="Segoe UI" w:cs="Segoe UI"/>
      <w:sz w:val="18"/>
      <w:szCs w:val="18"/>
    </w:rPr>
  </w:style>
  <w:style w:type="character" w:styleId="CommentReference">
    <w:name w:val="annotation reference"/>
    <w:basedOn w:val="DefaultParagraphFont"/>
    <w:uiPriority w:val="99"/>
    <w:semiHidden/>
    <w:unhideWhenUsed/>
    <w:rsid w:val="008D5B66"/>
    <w:rPr>
      <w:sz w:val="16"/>
      <w:szCs w:val="16"/>
    </w:rPr>
  </w:style>
  <w:style w:type="paragraph" w:styleId="CommentText">
    <w:name w:val="annotation text"/>
    <w:basedOn w:val="Normal"/>
    <w:link w:val="CommentTextChar"/>
    <w:uiPriority w:val="99"/>
    <w:semiHidden/>
    <w:unhideWhenUsed/>
    <w:rsid w:val="008D5B66"/>
    <w:pPr>
      <w:spacing w:line="240" w:lineRule="auto"/>
    </w:pPr>
    <w:rPr>
      <w:sz w:val="20"/>
      <w:szCs w:val="20"/>
    </w:rPr>
  </w:style>
  <w:style w:type="character" w:customStyle="1" w:styleId="CommentTextChar">
    <w:name w:val="Comment Text Char"/>
    <w:basedOn w:val="DefaultParagraphFont"/>
    <w:link w:val="CommentText"/>
    <w:uiPriority w:val="99"/>
    <w:semiHidden/>
    <w:rsid w:val="008D5B66"/>
    <w:rPr>
      <w:sz w:val="20"/>
      <w:szCs w:val="20"/>
    </w:rPr>
  </w:style>
  <w:style w:type="paragraph" w:styleId="CommentSubject">
    <w:name w:val="annotation subject"/>
    <w:basedOn w:val="CommentText"/>
    <w:next w:val="CommentText"/>
    <w:link w:val="CommentSubjectChar"/>
    <w:uiPriority w:val="99"/>
    <w:semiHidden/>
    <w:unhideWhenUsed/>
    <w:rsid w:val="008D5B66"/>
    <w:rPr>
      <w:b/>
      <w:bCs/>
    </w:rPr>
  </w:style>
  <w:style w:type="character" w:customStyle="1" w:styleId="CommentSubjectChar">
    <w:name w:val="Comment Subject Char"/>
    <w:basedOn w:val="CommentTextChar"/>
    <w:link w:val="CommentSubject"/>
    <w:uiPriority w:val="99"/>
    <w:semiHidden/>
    <w:rsid w:val="008D5B66"/>
    <w:rPr>
      <w:b/>
      <w:bCs/>
      <w:sz w:val="20"/>
      <w:szCs w:val="20"/>
    </w:rPr>
  </w:style>
  <w:style w:type="paragraph" w:styleId="Revision">
    <w:name w:val="Revision"/>
    <w:hidden/>
    <w:uiPriority w:val="99"/>
    <w:semiHidden/>
    <w:rsid w:val="008D5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14EF-3B40-48C9-A9A7-C3E93990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du Plessis</dc:creator>
  <cp:keywords/>
  <dc:description/>
  <cp:lastModifiedBy>Sathish</cp:lastModifiedBy>
  <cp:revision>6</cp:revision>
  <dcterms:created xsi:type="dcterms:W3CDTF">2024-02-29T12:24:00Z</dcterms:created>
  <dcterms:modified xsi:type="dcterms:W3CDTF">2024-02-29T14:18:00Z</dcterms:modified>
</cp:coreProperties>
</file>