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01E6" w14:textId="7A28524C" w:rsidR="00AD5454" w:rsidRPr="00CE2DBA" w:rsidRDefault="00AD5454" w:rsidP="00727555">
      <w:pPr>
        <w:jc w:val="center"/>
        <w:rPr>
          <w:rFonts w:ascii="Arial" w:hAnsi="Arial" w:cs="Arial"/>
          <w:sz w:val="24"/>
          <w:szCs w:val="24"/>
        </w:rPr>
      </w:pPr>
      <w:bookmarkStart w:id="0" w:name="_GoBack"/>
      <w:r w:rsidRPr="00CE2DBA">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5F9FC983" w:rsidR="00785B72" w:rsidRDefault="00797AC8" w:rsidP="00797AC8">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E1791D">
                              <w:rPr>
                                <w:rFonts w:ascii="Century Gothic" w:hAnsi="Century Gothic"/>
                                <w:sz w:val="20"/>
                                <w:szCs w:val="20"/>
                              </w:rPr>
                              <w:t>Yes</w:t>
                            </w:r>
                          </w:p>
                          <w:p w14:paraId="0DFA1D15" w14:textId="53F7AC74" w:rsidR="00785B72" w:rsidRPr="009F2490" w:rsidRDefault="00797AC8" w:rsidP="00797AC8">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E1791D">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5F9FC983" w:rsidR="00785B72" w:rsidRDefault="00797AC8" w:rsidP="00797AC8">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E1791D">
                        <w:rPr>
                          <w:rFonts w:ascii="Century Gothic" w:hAnsi="Century Gothic"/>
                          <w:sz w:val="20"/>
                          <w:szCs w:val="20"/>
                        </w:rPr>
                        <w:t>Yes</w:t>
                      </w:r>
                    </w:p>
                    <w:p w14:paraId="0DFA1D15" w14:textId="53F7AC74" w:rsidR="00785B72" w:rsidRPr="009F2490" w:rsidRDefault="00797AC8" w:rsidP="00797AC8">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E1791D">
                        <w:rPr>
                          <w:rFonts w:ascii="Century Gothic" w:hAnsi="Century Gothic"/>
                          <w:sz w:val="20"/>
                          <w:szCs w:val="20"/>
                        </w:rPr>
                        <w:t>Yes</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4F322C58"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6D91C25A" w:rsidR="009141CF" w:rsidRPr="00DD1B08" w:rsidRDefault="00261CA5" w:rsidP="00B60508">
      <w:pPr>
        <w:spacing w:after="0"/>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 xml:space="preserve">Case No: </w:t>
      </w:r>
      <w:r w:rsidR="00D43497">
        <w:rPr>
          <w:rFonts w:ascii="Arial" w:hAnsi="Arial" w:cs="Arial"/>
          <w:sz w:val="24"/>
          <w:szCs w:val="24"/>
        </w:rPr>
        <w:t>2023-034575</w:t>
      </w:r>
    </w:p>
    <w:p w14:paraId="77B1110B" w14:textId="26CED49E"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6E56950A" w:rsidR="00F50CA1" w:rsidRPr="00DD1B08" w:rsidRDefault="00D43497" w:rsidP="00B60508">
      <w:pPr>
        <w:tabs>
          <w:tab w:val="right" w:pos="8789"/>
        </w:tabs>
        <w:spacing w:before="600" w:after="0"/>
        <w:ind w:right="117"/>
        <w:rPr>
          <w:rFonts w:ascii="Arial" w:hAnsi="Arial" w:cs="Arial"/>
          <w:sz w:val="24"/>
          <w:szCs w:val="24"/>
        </w:rPr>
      </w:pPr>
      <w:bookmarkStart w:id="1" w:name="_Hlk47643505"/>
      <w:r>
        <w:rPr>
          <w:rFonts w:ascii="Arial" w:hAnsi="Arial" w:cs="Arial"/>
          <w:sz w:val="24"/>
          <w:szCs w:val="24"/>
        </w:rPr>
        <w:t>NEDBANK LIMITED</w:t>
      </w:r>
      <w:r>
        <w:rPr>
          <w:rFonts w:ascii="Arial" w:hAnsi="Arial" w:cs="Arial"/>
          <w:sz w:val="24"/>
          <w:szCs w:val="24"/>
        </w:rPr>
        <w:tab/>
      </w:r>
      <w:r w:rsidR="00B81BB3">
        <w:rPr>
          <w:rFonts w:ascii="Arial" w:hAnsi="Arial" w:cs="Arial"/>
          <w:sz w:val="24"/>
          <w:szCs w:val="24"/>
        </w:rPr>
        <w:t xml:space="preserve">Applicant </w:t>
      </w:r>
    </w:p>
    <w:p w14:paraId="3B4FBA8C" w14:textId="77777777" w:rsidR="00CE2DBA" w:rsidRDefault="00CE2DBA" w:rsidP="00CE2DBA">
      <w:pPr>
        <w:spacing w:after="0" w:line="240" w:lineRule="auto"/>
        <w:ind w:right="119"/>
        <w:rPr>
          <w:rFonts w:ascii="Arial" w:hAnsi="Arial" w:cs="Arial"/>
          <w:sz w:val="24"/>
          <w:szCs w:val="24"/>
        </w:rPr>
      </w:pPr>
    </w:p>
    <w:p w14:paraId="32EB15E0" w14:textId="447799AF" w:rsidR="00CE2DBA" w:rsidRDefault="00CE2DBA" w:rsidP="00CE2DBA">
      <w:pPr>
        <w:spacing w:after="0" w:line="240" w:lineRule="auto"/>
        <w:ind w:right="119"/>
        <w:rPr>
          <w:rFonts w:ascii="Arial" w:hAnsi="Arial" w:cs="Arial"/>
          <w:sz w:val="24"/>
          <w:szCs w:val="24"/>
        </w:rPr>
      </w:pPr>
      <w:r>
        <w:rPr>
          <w:rFonts w:ascii="Arial" w:hAnsi="Arial" w:cs="Arial"/>
          <w:sz w:val="24"/>
          <w:szCs w:val="24"/>
        </w:rPr>
        <w:tab/>
      </w:r>
    </w:p>
    <w:p w14:paraId="7D33ED91" w14:textId="7FB3120E"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5FBF88F6" w:rsidR="00352518" w:rsidRDefault="00D43497" w:rsidP="00352518">
      <w:pPr>
        <w:tabs>
          <w:tab w:val="right" w:pos="8787"/>
        </w:tabs>
        <w:spacing w:before="60" w:after="60"/>
        <w:ind w:right="119"/>
        <w:rPr>
          <w:rFonts w:ascii="Arial" w:hAnsi="Arial" w:cs="Arial"/>
          <w:sz w:val="24"/>
          <w:szCs w:val="24"/>
        </w:rPr>
      </w:pPr>
      <w:r w:rsidRPr="00D43497">
        <w:rPr>
          <w:rFonts w:ascii="Arial" w:hAnsi="Arial" w:cs="Arial"/>
          <w:sz w:val="24"/>
          <w:szCs w:val="24"/>
          <w:u w:val="single"/>
        </w:rPr>
        <w:t>MASHABA</w:t>
      </w:r>
      <w:r w:rsidRPr="00D43497">
        <w:rPr>
          <w:rFonts w:ascii="Arial" w:hAnsi="Arial" w:cs="Arial"/>
          <w:sz w:val="24"/>
          <w:szCs w:val="24"/>
        </w:rPr>
        <w:t>, ERIC</w:t>
      </w:r>
      <w:r>
        <w:rPr>
          <w:rFonts w:ascii="Arial" w:hAnsi="Arial" w:cs="Arial"/>
          <w:sz w:val="24"/>
          <w:szCs w:val="24"/>
        </w:rPr>
        <w:t xml:space="preserve">K </w:t>
      </w:r>
      <w:r w:rsidR="00F811C3">
        <w:rPr>
          <w:rFonts w:ascii="Arial" w:hAnsi="Arial" w:cs="Arial"/>
          <w:sz w:val="24"/>
          <w:szCs w:val="24"/>
        </w:rPr>
        <w:tab/>
      </w:r>
      <w:r w:rsidR="00B81BB3">
        <w:rPr>
          <w:rFonts w:ascii="Arial" w:hAnsi="Arial" w:cs="Arial"/>
          <w:sz w:val="24"/>
          <w:szCs w:val="24"/>
        </w:rPr>
        <w:t>Respondent</w:t>
      </w:r>
    </w:p>
    <w:p w14:paraId="45B7BF4A" w14:textId="77777777" w:rsidR="00352518" w:rsidRDefault="00352518" w:rsidP="00352518">
      <w:pPr>
        <w:tabs>
          <w:tab w:val="right" w:pos="8787"/>
        </w:tabs>
        <w:spacing w:before="60" w:after="60"/>
        <w:ind w:right="119"/>
        <w:rPr>
          <w:rFonts w:ascii="Arial" w:hAnsi="Arial" w:cs="Arial"/>
          <w:sz w:val="24"/>
          <w:szCs w:val="24"/>
        </w:rPr>
      </w:pPr>
    </w:p>
    <w:p w14:paraId="37CBA918" w14:textId="77777777" w:rsidR="00D43497" w:rsidRDefault="00D43497" w:rsidP="00352518">
      <w:pPr>
        <w:tabs>
          <w:tab w:val="right" w:pos="8787"/>
        </w:tabs>
        <w:spacing w:before="60" w:after="60"/>
        <w:ind w:right="119"/>
        <w:rPr>
          <w:rFonts w:ascii="Arial" w:hAnsi="Arial" w:cs="Arial"/>
          <w:sz w:val="24"/>
          <w:szCs w:val="24"/>
        </w:rPr>
      </w:pPr>
    </w:p>
    <w:p w14:paraId="42639A5E" w14:textId="16A2DEEF" w:rsidR="00D43497" w:rsidRDefault="00D43497" w:rsidP="005D47BE">
      <w:pPr>
        <w:tabs>
          <w:tab w:val="right" w:pos="8787"/>
        </w:tabs>
        <w:spacing w:before="60" w:after="60"/>
        <w:ind w:right="119"/>
        <w:rPr>
          <w:rFonts w:ascii="Arial" w:hAnsi="Arial" w:cs="Arial"/>
          <w:sz w:val="24"/>
          <w:szCs w:val="24"/>
        </w:rPr>
      </w:pPr>
      <w:r>
        <w:rPr>
          <w:rFonts w:ascii="Arial" w:hAnsi="Arial" w:cs="Arial"/>
          <w:sz w:val="24"/>
          <w:szCs w:val="24"/>
        </w:rPr>
        <w:t>AND</w:t>
      </w:r>
      <w:r w:rsidRPr="00DD1B08">
        <w:rPr>
          <w:rFonts w:ascii="Arial" w:hAnsi="Arial" w:cs="Arial"/>
          <w:sz w:val="24"/>
          <w:szCs w:val="24"/>
        </w:rPr>
        <w:t xml:space="preserve"> </w:t>
      </w:r>
    </w:p>
    <w:p w14:paraId="792C5C7D" w14:textId="7CB45CE1"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2023-047197</w:t>
      </w:r>
    </w:p>
    <w:p w14:paraId="2DEC2504" w14:textId="77777777" w:rsidR="00D43497" w:rsidRPr="00DD1B08" w:rsidRDefault="00D43497" w:rsidP="00D43497">
      <w:pPr>
        <w:spacing w:after="0"/>
        <w:ind w:left="5760" w:right="117"/>
        <w:jc w:val="right"/>
        <w:rPr>
          <w:rFonts w:ascii="Arial" w:hAnsi="Arial" w:cs="Arial"/>
          <w:sz w:val="24"/>
          <w:szCs w:val="24"/>
        </w:rPr>
      </w:pPr>
    </w:p>
    <w:p w14:paraId="35E51EC6"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31DA530B"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1FB0A0EB" w14:textId="0F6DEA68" w:rsidR="00D43497" w:rsidRDefault="00D43497" w:rsidP="00D43497">
      <w:pPr>
        <w:spacing w:after="0" w:line="240" w:lineRule="auto"/>
        <w:ind w:right="119"/>
        <w:rPr>
          <w:rFonts w:ascii="Arial" w:hAnsi="Arial" w:cs="Arial"/>
          <w:sz w:val="24"/>
          <w:szCs w:val="24"/>
        </w:rPr>
      </w:pPr>
    </w:p>
    <w:p w14:paraId="561A1BA1" w14:textId="77777777" w:rsidR="00D43497" w:rsidRDefault="00D43497" w:rsidP="00D43497">
      <w:pPr>
        <w:spacing w:after="0" w:line="240" w:lineRule="auto"/>
        <w:ind w:right="119"/>
        <w:rPr>
          <w:rFonts w:ascii="Arial" w:hAnsi="Arial" w:cs="Arial"/>
          <w:sz w:val="24"/>
          <w:szCs w:val="24"/>
        </w:rPr>
      </w:pPr>
    </w:p>
    <w:p w14:paraId="42A2DB89"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7CCCEDC2" w14:textId="77777777" w:rsidR="00D43497" w:rsidRDefault="00D43497" w:rsidP="00D43497">
      <w:pPr>
        <w:tabs>
          <w:tab w:val="right" w:pos="8339"/>
        </w:tabs>
        <w:spacing w:after="0" w:line="240" w:lineRule="auto"/>
        <w:ind w:right="119"/>
        <w:rPr>
          <w:rFonts w:ascii="Arial" w:hAnsi="Arial" w:cs="Arial"/>
          <w:sz w:val="24"/>
          <w:szCs w:val="24"/>
          <w:u w:val="single"/>
        </w:rPr>
      </w:pPr>
    </w:p>
    <w:p w14:paraId="5CCA2742"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5250EB83" w14:textId="3C2C30F7"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u w:val="single"/>
        </w:rPr>
        <w:t>MAMADI</w:t>
      </w:r>
      <w:r w:rsidRPr="00D43497">
        <w:rPr>
          <w:rFonts w:ascii="Arial" w:hAnsi="Arial" w:cs="Arial"/>
          <w:sz w:val="24"/>
          <w:szCs w:val="24"/>
        </w:rPr>
        <w:t xml:space="preserve">, </w:t>
      </w:r>
      <w:r>
        <w:rPr>
          <w:rFonts w:ascii="Arial" w:hAnsi="Arial" w:cs="Arial"/>
          <w:sz w:val="24"/>
          <w:szCs w:val="24"/>
        </w:rPr>
        <w:t>M</w:t>
      </w:r>
      <w:r w:rsidR="00A640E9">
        <w:rPr>
          <w:rFonts w:ascii="Arial" w:hAnsi="Arial" w:cs="Arial"/>
          <w:sz w:val="24"/>
          <w:szCs w:val="24"/>
        </w:rPr>
        <w:t>OYAHABO</w:t>
      </w:r>
      <w:r>
        <w:rPr>
          <w:rFonts w:ascii="Arial" w:hAnsi="Arial" w:cs="Arial"/>
          <w:sz w:val="24"/>
          <w:szCs w:val="24"/>
        </w:rPr>
        <w:t xml:space="preserve"> JONATHAN </w:t>
      </w:r>
      <w:r>
        <w:rPr>
          <w:rFonts w:ascii="Arial" w:hAnsi="Arial" w:cs="Arial"/>
          <w:sz w:val="24"/>
          <w:szCs w:val="24"/>
        </w:rPr>
        <w:tab/>
        <w:t>Respondent</w:t>
      </w:r>
    </w:p>
    <w:p w14:paraId="0B2113AD" w14:textId="0273839D"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lastRenderedPageBreak/>
        <w:t xml:space="preserve">AND </w:t>
      </w:r>
      <w:r w:rsidRPr="00DD1B08">
        <w:rPr>
          <w:rFonts w:ascii="Arial" w:hAnsi="Arial" w:cs="Arial"/>
          <w:sz w:val="24"/>
          <w:szCs w:val="24"/>
        </w:rPr>
        <w:t xml:space="preserve">  </w:t>
      </w:r>
    </w:p>
    <w:p w14:paraId="0EFC9305" w14:textId="2E5C23A4"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2023-047199</w:t>
      </w:r>
    </w:p>
    <w:p w14:paraId="0AA0CFA6" w14:textId="77777777" w:rsidR="00D43497" w:rsidRPr="00DD1B08" w:rsidRDefault="00D43497" w:rsidP="00D43497">
      <w:pPr>
        <w:spacing w:after="0"/>
        <w:ind w:left="5760" w:right="117"/>
        <w:jc w:val="right"/>
        <w:rPr>
          <w:rFonts w:ascii="Arial" w:hAnsi="Arial" w:cs="Arial"/>
          <w:sz w:val="24"/>
          <w:szCs w:val="24"/>
        </w:rPr>
      </w:pPr>
    </w:p>
    <w:p w14:paraId="564AB74F"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0B67230A"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0EB7DD73" w14:textId="1FD026D1" w:rsidR="00D43497" w:rsidRDefault="00D43497" w:rsidP="00D43497">
      <w:pPr>
        <w:spacing w:after="0" w:line="240" w:lineRule="auto"/>
        <w:ind w:right="119"/>
        <w:rPr>
          <w:rFonts w:ascii="Arial" w:hAnsi="Arial" w:cs="Arial"/>
          <w:sz w:val="24"/>
          <w:szCs w:val="24"/>
        </w:rPr>
      </w:pPr>
    </w:p>
    <w:p w14:paraId="3EB73BB3" w14:textId="77777777" w:rsidR="00D43497" w:rsidRDefault="00D43497" w:rsidP="00D43497">
      <w:pPr>
        <w:spacing w:after="0" w:line="240" w:lineRule="auto"/>
        <w:ind w:right="119"/>
        <w:rPr>
          <w:rFonts w:ascii="Arial" w:hAnsi="Arial" w:cs="Arial"/>
          <w:sz w:val="24"/>
          <w:szCs w:val="24"/>
        </w:rPr>
      </w:pPr>
    </w:p>
    <w:p w14:paraId="167A2157"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665DBBE1" w14:textId="77777777" w:rsidR="00D43497" w:rsidRDefault="00D43497" w:rsidP="00D43497">
      <w:pPr>
        <w:tabs>
          <w:tab w:val="right" w:pos="8339"/>
        </w:tabs>
        <w:spacing w:after="0" w:line="240" w:lineRule="auto"/>
        <w:ind w:right="119"/>
        <w:rPr>
          <w:rFonts w:ascii="Arial" w:hAnsi="Arial" w:cs="Arial"/>
          <w:sz w:val="24"/>
          <w:szCs w:val="24"/>
          <w:u w:val="single"/>
        </w:rPr>
      </w:pPr>
    </w:p>
    <w:p w14:paraId="34FD8633"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7D1215BC" w14:textId="374349FC"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u w:val="single"/>
        </w:rPr>
        <w:t>MASHABA</w:t>
      </w:r>
      <w:r w:rsidRPr="00D43497">
        <w:rPr>
          <w:rFonts w:ascii="Arial" w:hAnsi="Arial" w:cs="Arial"/>
          <w:sz w:val="24"/>
          <w:szCs w:val="24"/>
        </w:rPr>
        <w:t xml:space="preserve">, </w:t>
      </w:r>
      <w:r>
        <w:rPr>
          <w:rFonts w:ascii="Arial" w:hAnsi="Arial" w:cs="Arial"/>
          <w:sz w:val="24"/>
          <w:szCs w:val="24"/>
        </w:rPr>
        <w:t xml:space="preserve">VINCENT </w:t>
      </w:r>
      <w:r>
        <w:rPr>
          <w:rFonts w:ascii="Arial" w:hAnsi="Arial" w:cs="Arial"/>
          <w:sz w:val="24"/>
          <w:szCs w:val="24"/>
        </w:rPr>
        <w:tab/>
        <w:t>Respondent</w:t>
      </w:r>
    </w:p>
    <w:p w14:paraId="0567E6F2" w14:textId="77777777" w:rsidR="00D43497" w:rsidRDefault="00D43497" w:rsidP="00D43497">
      <w:pPr>
        <w:tabs>
          <w:tab w:val="right" w:pos="8787"/>
        </w:tabs>
        <w:spacing w:before="60" w:after="60"/>
        <w:ind w:right="119"/>
        <w:rPr>
          <w:rFonts w:ascii="Arial" w:hAnsi="Arial" w:cs="Arial"/>
          <w:sz w:val="24"/>
          <w:szCs w:val="24"/>
        </w:rPr>
      </w:pPr>
    </w:p>
    <w:p w14:paraId="52EBD067" w14:textId="77777777" w:rsidR="00D43497" w:rsidRDefault="00D43497" w:rsidP="00D43497">
      <w:pPr>
        <w:tabs>
          <w:tab w:val="right" w:pos="8787"/>
        </w:tabs>
        <w:spacing w:before="60" w:after="60"/>
        <w:ind w:right="119"/>
        <w:rPr>
          <w:rFonts w:ascii="Arial" w:hAnsi="Arial" w:cs="Arial"/>
          <w:sz w:val="24"/>
          <w:szCs w:val="24"/>
        </w:rPr>
      </w:pPr>
    </w:p>
    <w:p w14:paraId="076C22CE" w14:textId="06076375"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 xml:space="preserve">AND </w:t>
      </w:r>
      <w:r w:rsidRPr="00DD1B08">
        <w:rPr>
          <w:rFonts w:ascii="Arial" w:hAnsi="Arial" w:cs="Arial"/>
          <w:sz w:val="24"/>
          <w:szCs w:val="24"/>
        </w:rPr>
        <w:t xml:space="preserve">  </w:t>
      </w:r>
    </w:p>
    <w:p w14:paraId="5A7FEA96" w14:textId="06C66064"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2023-048901</w:t>
      </w:r>
    </w:p>
    <w:p w14:paraId="78576DB5" w14:textId="77777777" w:rsidR="00D43497" w:rsidRPr="00DD1B08" w:rsidRDefault="00D43497" w:rsidP="00D43497">
      <w:pPr>
        <w:spacing w:after="0"/>
        <w:ind w:left="5760" w:right="117"/>
        <w:jc w:val="right"/>
        <w:rPr>
          <w:rFonts w:ascii="Arial" w:hAnsi="Arial" w:cs="Arial"/>
          <w:sz w:val="24"/>
          <w:szCs w:val="24"/>
        </w:rPr>
      </w:pPr>
    </w:p>
    <w:p w14:paraId="4D18A433"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456024A6"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146AD245" w14:textId="036C902F" w:rsidR="00D43497" w:rsidRDefault="00D43497" w:rsidP="00D43497">
      <w:pPr>
        <w:spacing w:after="0" w:line="240" w:lineRule="auto"/>
        <w:ind w:right="119"/>
        <w:rPr>
          <w:rFonts w:ascii="Arial" w:hAnsi="Arial" w:cs="Arial"/>
          <w:sz w:val="24"/>
          <w:szCs w:val="24"/>
        </w:rPr>
      </w:pPr>
    </w:p>
    <w:p w14:paraId="61114C00" w14:textId="77777777" w:rsidR="00D43497" w:rsidRDefault="00D43497" w:rsidP="00D43497">
      <w:pPr>
        <w:spacing w:after="0" w:line="240" w:lineRule="auto"/>
        <w:ind w:right="119"/>
        <w:rPr>
          <w:rFonts w:ascii="Arial" w:hAnsi="Arial" w:cs="Arial"/>
          <w:sz w:val="24"/>
          <w:szCs w:val="24"/>
        </w:rPr>
      </w:pPr>
    </w:p>
    <w:p w14:paraId="6F9D78E9"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0734657B" w14:textId="77777777" w:rsidR="00D43497" w:rsidRDefault="00D43497" w:rsidP="00D43497">
      <w:pPr>
        <w:tabs>
          <w:tab w:val="right" w:pos="8339"/>
        </w:tabs>
        <w:spacing w:after="0" w:line="240" w:lineRule="auto"/>
        <w:ind w:right="119"/>
        <w:rPr>
          <w:rFonts w:ascii="Arial" w:hAnsi="Arial" w:cs="Arial"/>
          <w:sz w:val="24"/>
          <w:szCs w:val="24"/>
          <w:u w:val="single"/>
        </w:rPr>
      </w:pPr>
    </w:p>
    <w:p w14:paraId="0025C347"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43C138FC" w14:textId="2875D31A"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u w:val="single"/>
        </w:rPr>
        <w:t>TSHOFELA</w:t>
      </w:r>
      <w:r w:rsidRPr="00D43497">
        <w:rPr>
          <w:rFonts w:ascii="Arial" w:hAnsi="Arial" w:cs="Arial"/>
          <w:sz w:val="24"/>
          <w:szCs w:val="24"/>
        </w:rPr>
        <w:t xml:space="preserve">, </w:t>
      </w:r>
      <w:r>
        <w:rPr>
          <w:rFonts w:ascii="Arial" w:hAnsi="Arial" w:cs="Arial"/>
          <w:sz w:val="24"/>
          <w:szCs w:val="24"/>
        </w:rPr>
        <w:t xml:space="preserve">THOBELA </w:t>
      </w:r>
      <w:r>
        <w:rPr>
          <w:rFonts w:ascii="Arial" w:hAnsi="Arial" w:cs="Arial"/>
          <w:sz w:val="24"/>
          <w:szCs w:val="24"/>
        </w:rPr>
        <w:tab/>
        <w:t>Respondent</w:t>
      </w:r>
    </w:p>
    <w:p w14:paraId="79CC381D" w14:textId="77777777" w:rsidR="00352518" w:rsidRDefault="00352518" w:rsidP="00352518">
      <w:pPr>
        <w:tabs>
          <w:tab w:val="right" w:pos="8787"/>
        </w:tabs>
        <w:spacing w:before="60" w:after="60"/>
        <w:ind w:right="119"/>
        <w:rPr>
          <w:rFonts w:ascii="Arial" w:hAnsi="Arial" w:cs="Arial"/>
          <w:sz w:val="24"/>
          <w:szCs w:val="24"/>
        </w:rPr>
      </w:pPr>
    </w:p>
    <w:p w14:paraId="7C191847" w14:textId="77777777" w:rsidR="00D43497" w:rsidRDefault="00D43497" w:rsidP="00D43497">
      <w:pPr>
        <w:tabs>
          <w:tab w:val="right" w:pos="8787"/>
        </w:tabs>
        <w:spacing w:before="60" w:after="60"/>
        <w:ind w:right="119"/>
        <w:rPr>
          <w:rFonts w:ascii="Arial" w:hAnsi="Arial" w:cs="Arial"/>
          <w:sz w:val="24"/>
          <w:szCs w:val="24"/>
        </w:rPr>
      </w:pPr>
    </w:p>
    <w:p w14:paraId="0C3A51C4" w14:textId="56FE3B4A"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 xml:space="preserve">AND </w:t>
      </w:r>
      <w:r w:rsidRPr="00DD1B08">
        <w:rPr>
          <w:rFonts w:ascii="Arial" w:hAnsi="Arial" w:cs="Arial"/>
          <w:sz w:val="24"/>
          <w:szCs w:val="24"/>
        </w:rPr>
        <w:t xml:space="preserve">  </w:t>
      </w:r>
    </w:p>
    <w:p w14:paraId="345F70C5" w14:textId="76E402DC"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2023-053583</w:t>
      </w:r>
    </w:p>
    <w:p w14:paraId="4C76019E" w14:textId="77777777" w:rsidR="00D43497" w:rsidRPr="00DD1B08" w:rsidRDefault="00D43497" w:rsidP="00D43497">
      <w:pPr>
        <w:spacing w:after="0"/>
        <w:ind w:left="5760" w:right="117"/>
        <w:jc w:val="right"/>
        <w:rPr>
          <w:rFonts w:ascii="Arial" w:hAnsi="Arial" w:cs="Arial"/>
          <w:sz w:val="24"/>
          <w:szCs w:val="24"/>
        </w:rPr>
      </w:pPr>
    </w:p>
    <w:p w14:paraId="6628F23F"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4BE251A6"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44632353" w14:textId="244E9D12" w:rsidR="00D43497" w:rsidRDefault="00D43497" w:rsidP="00D43497">
      <w:pPr>
        <w:spacing w:after="0" w:line="240" w:lineRule="auto"/>
        <w:ind w:right="119"/>
        <w:rPr>
          <w:rFonts w:ascii="Arial" w:hAnsi="Arial" w:cs="Arial"/>
          <w:sz w:val="24"/>
          <w:szCs w:val="24"/>
        </w:rPr>
      </w:pPr>
    </w:p>
    <w:p w14:paraId="2A4EEEB6" w14:textId="77777777" w:rsidR="00D43497" w:rsidRDefault="00D43497" w:rsidP="00D43497">
      <w:pPr>
        <w:spacing w:after="0" w:line="240" w:lineRule="auto"/>
        <w:ind w:right="119"/>
        <w:rPr>
          <w:rFonts w:ascii="Arial" w:hAnsi="Arial" w:cs="Arial"/>
          <w:sz w:val="24"/>
          <w:szCs w:val="24"/>
        </w:rPr>
      </w:pPr>
    </w:p>
    <w:p w14:paraId="31288181"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79FCECFA" w14:textId="77777777" w:rsidR="00D43497" w:rsidRDefault="00D43497" w:rsidP="00D43497">
      <w:pPr>
        <w:tabs>
          <w:tab w:val="right" w:pos="8339"/>
        </w:tabs>
        <w:spacing w:after="0" w:line="240" w:lineRule="auto"/>
        <w:ind w:right="119"/>
        <w:rPr>
          <w:rFonts w:ascii="Arial" w:hAnsi="Arial" w:cs="Arial"/>
          <w:sz w:val="24"/>
          <w:szCs w:val="24"/>
          <w:u w:val="single"/>
        </w:rPr>
      </w:pPr>
    </w:p>
    <w:p w14:paraId="771C3F15"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11AD0A09" w14:textId="2690FDDB"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THE MARKETING AND MEDIA GUYS (PTY) LIMITED</w:t>
      </w:r>
      <w:r>
        <w:rPr>
          <w:rFonts w:ascii="Arial" w:hAnsi="Arial" w:cs="Arial"/>
          <w:sz w:val="24"/>
          <w:szCs w:val="24"/>
        </w:rPr>
        <w:tab/>
        <w:t>Respondent</w:t>
      </w:r>
    </w:p>
    <w:p w14:paraId="5253FCAC" w14:textId="2D2431EE"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lastRenderedPageBreak/>
        <w:t xml:space="preserve">AND </w:t>
      </w:r>
      <w:r w:rsidRPr="00DD1B08">
        <w:rPr>
          <w:rFonts w:ascii="Arial" w:hAnsi="Arial" w:cs="Arial"/>
          <w:sz w:val="24"/>
          <w:szCs w:val="24"/>
        </w:rPr>
        <w:t xml:space="preserve">  </w:t>
      </w:r>
    </w:p>
    <w:p w14:paraId="7B113D54" w14:textId="76EC8BC9"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2023-059144</w:t>
      </w:r>
    </w:p>
    <w:p w14:paraId="5F6AC077" w14:textId="77777777" w:rsidR="00D43497" w:rsidRPr="00DD1B08" w:rsidRDefault="00D43497" w:rsidP="00D43497">
      <w:pPr>
        <w:spacing w:after="0"/>
        <w:ind w:left="5760" w:right="117"/>
        <w:jc w:val="right"/>
        <w:rPr>
          <w:rFonts w:ascii="Arial" w:hAnsi="Arial" w:cs="Arial"/>
          <w:sz w:val="24"/>
          <w:szCs w:val="24"/>
        </w:rPr>
      </w:pPr>
    </w:p>
    <w:p w14:paraId="1D66864D"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013AEF20"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4CF4461D" w14:textId="6BBB8C76" w:rsidR="00D43497" w:rsidRDefault="00D43497" w:rsidP="00D43497">
      <w:pPr>
        <w:spacing w:after="0" w:line="240" w:lineRule="auto"/>
        <w:ind w:right="119"/>
        <w:rPr>
          <w:rFonts w:ascii="Arial" w:hAnsi="Arial" w:cs="Arial"/>
          <w:sz w:val="24"/>
          <w:szCs w:val="24"/>
        </w:rPr>
      </w:pPr>
    </w:p>
    <w:p w14:paraId="523295CF" w14:textId="77777777" w:rsidR="00D43497" w:rsidRDefault="00D43497" w:rsidP="00D43497">
      <w:pPr>
        <w:spacing w:after="0" w:line="240" w:lineRule="auto"/>
        <w:ind w:right="119"/>
        <w:rPr>
          <w:rFonts w:ascii="Arial" w:hAnsi="Arial" w:cs="Arial"/>
          <w:sz w:val="24"/>
          <w:szCs w:val="24"/>
        </w:rPr>
      </w:pPr>
    </w:p>
    <w:p w14:paraId="79AA123E"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0C8AD1E2" w14:textId="77777777" w:rsidR="00D43497" w:rsidRDefault="00D43497" w:rsidP="00D43497">
      <w:pPr>
        <w:tabs>
          <w:tab w:val="right" w:pos="8339"/>
        </w:tabs>
        <w:spacing w:after="0" w:line="240" w:lineRule="auto"/>
        <w:ind w:right="119"/>
        <w:rPr>
          <w:rFonts w:ascii="Arial" w:hAnsi="Arial" w:cs="Arial"/>
          <w:sz w:val="24"/>
          <w:szCs w:val="24"/>
          <w:u w:val="single"/>
        </w:rPr>
      </w:pPr>
    </w:p>
    <w:p w14:paraId="44A27A3B"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28380CF1" w14:textId="5328A23B"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u w:val="single"/>
        </w:rPr>
        <w:t>MDLADLA</w:t>
      </w:r>
      <w:r w:rsidRPr="00D43497">
        <w:rPr>
          <w:rFonts w:ascii="Arial" w:hAnsi="Arial" w:cs="Arial"/>
          <w:sz w:val="24"/>
          <w:szCs w:val="24"/>
        </w:rPr>
        <w:t xml:space="preserve">, </w:t>
      </w:r>
      <w:r>
        <w:rPr>
          <w:rFonts w:ascii="Arial" w:hAnsi="Arial" w:cs="Arial"/>
          <w:sz w:val="24"/>
          <w:szCs w:val="24"/>
        </w:rPr>
        <w:t>A</w:t>
      </w:r>
      <w:r w:rsidR="00A640E9">
        <w:rPr>
          <w:rFonts w:ascii="Arial" w:hAnsi="Arial" w:cs="Arial"/>
          <w:sz w:val="24"/>
          <w:szCs w:val="24"/>
        </w:rPr>
        <w:t>RCHIBALDE</w:t>
      </w:r>
      <w:r>
        <w:rPr>
          <w:rFonts w:ascii="Arial" w:hAnsi="Arial" w:cs="Arial"/>
          <w:sz w:val="24"/>
          <w:szCs w:val="24"/>
        </w:rPr>
        <w:t xml:space="preserve"> HLAKANIPHANI </w:t>
      </w:r>
      <w:r>
        <w:rPr>
          <w:rFonts w:ascii="Arial" w:hAnsi="Arial" w:cs="Arial"/>
          <w:sz w:val="24"/>
          <w:szCs w:val="24"/>
        </w:rPr>
        <w:tab/>
        <w:t>Respondent</w:t>
      </w:r>
    </w:p>
    <w:p w14:paraId="26BFAA75" w14:textId="77777777" w:rsidR="00BF7B20" w:rsidRDefault="00BF7B20" w:rsidP="00352518">
      <w:pPr>
        <w:tabs>
          <w:tab w:val="right" w:pos="8787"/>
        </w:tabs>
        <w:spacing w:before="60" w:after="60"/>
        <w:ind w:right="119"/>
        <w:rPr>
          <w:rFonts w:ascii="Arial" w:hAnsi="Arial" w:cs="Arial"/>
          <w:sz w:val="24"/>
          <w:szCs w:val="24"/>
        </w:rPr>
      </w:pPr>
    </w:p>
    <w:bookmarkEnd w:id="1"/>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32D071E2" w:rsidR="004A1F2B" w:rsidRPr="006F23B9" w:rsidRDefault="004A1F2B" w:rsidP="00B9725B">
      <w:pPr>
        <w:spacing w:after="0" w:line="360" w:lineRule="auto"/>
        <w:ind w:right="117"/>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is</w:t>
      </w:r>
      <w:r w:rsidR="00B161BD">
        <w:rPr>
          <w:rFonts w:ascii="Arial" w:eastAsia="Times New Roman" w:hAnsi="Arial" w:cs="Arial"/>
          <w:i/>
          <w:iCs/>
          <w:color w:val="242121"/>
          <w:sz w:val="24"/>
          <w:szCs w:val="24"/>
          <w:shd w:val="clear" w:color="auto" w:fill="FFFFFF"/>
        </w:rPr>
        <w:t xml:space="preserve"> a revised version of the judgment </w:t>
      </w:r>
      <w:r w:rsidR="00F811C3">
        <w:rPr>
          <w:rFonts w:ascii="Arial" w:eastAsia="Times New Roman" w:hAnsi="Arial" w:cs="Arial"/>
          <w:i/>
          <w:iCs/>
          <w:color w:val="242121"/>
          <w:sz w:val="24"/>
          <w:szCs w:val="24"/>
          <w:shd w:val="clear" w:color="auto" w:fill="FFFFFF"/>
        </w:rPr>
        <w:t xml:space="preserve">handed </w:t>
      </w:r>
      <w:r w:rsidRPr="006F23B9">
        <w:rPr>
          <w:rFonts w:ascii="Arial" w:eastAsia="Times New Roman" w:hAnsi="Arial" w:cs="Arial"/>
          <w:i/>
          <w:iCs/>
          <w:color w:val="242121"/>
          <w:sz w:val="24"/>
          <w:szCs w:val="24"/>
          <w:shd w:val="clear" w:color="auto" w:fill="FFFFFF"/>
        </w:rPr>
        <w:t xml:space="preserve">down </w:t>
      </w:r>
      <w:r w:rsidR="00B161BD">
        <w:rPr>
          <w:rFonts w:ascii="Arial" w:eastAsia="Times New Roman" w:hAnsi="Arial" w:cs="Arial"/>
          <w:i/>
          <w:iCs/>
          <w:color w:val="242121"/>
          <w:sz w:val="24"/>
          <w:szCs w:val="24"/>
          <w:shd w:val="clear" w:color="auto" w:fill="FFFFFF"/>
        </w:rPr>
        <w:t>on 12 Janua</w:t>
      </w:r>
      <w:r w:rsidR="005E5E7B">
        <w:rPr>
          <w:rFonts w:ascii="Arial" w:eastAsia="Times New Roman" w:hAnsi="Arial" w:cs="Arial"/>
          <w:i/>
          <w:iCs/>
          <w:color w:val="242121"/>
          <w:sz w:val="24"/>
          <w:szCs w:val="24"/>
          <w:shd w:val="clear" w:color="auto" w:fill="FFFFFF"/>
        </w:rPr>
        <w:t>r</w:t>
      </w:r>
      <w:r w:rsidR="00B161BD">
        <w:rPr>
          <w:rFonts w:ascii="Arial" w:eastAsia="Times New Roman" w:hAnsi="Arial" w:cs="Arial"/>
          <w:i/>
          <w:iCs/>
          <w:color w:val="242121"/>
          <w:sz w:val="24"/>
          <w:szCs w:val="24"/>
          <w:shd w:val="clear" w:color="auto" w:fill="FFFFFF"/>
        </w:rPr>
        <w:t>y 2024</w:t>
      </w:r>
      <w:r w:rsidR="005E5E7B">
        <w:rPr>
          <w:rFonts w:ascii="Arial" w:eastAsia="Times New Roman" w:hAnsi="Arial" w:cs="Arial"/>
          <w:i/>
          <w:iCs/>
          <w:color w:val="242121"/>
          <w:sz w:val="24"/>
          <w:szCs w:val="24"/>
          <w:shd w:val="clear" w:color="auto" w:fill="FFFFFF"/>
        </w:rPr>
        <w:t>, correcting certain typographical errors.</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B9725B">
      <w:pPr>
        <w:tabs>
          <w:tab w:val="left" w:pos="-426"/>
        </w:tabs>
        <w:spacing w:before="240" w:after="240" w:line="480" w:lineRule="auto"/>
        <w:ind w:right="117"/>
        <w:contextualSpacing/>
        <w:jc w:val="both"/>
        <w:rPr>
          <w:rFonts w:ascii="Arial" w:hAnsi="Arial" w:cs="Arial"/>
          <w:sz w:val="24"/>
          <w:szCs w:val="24"/>
        </w:rPr>
      </w:pPr>
      <w:r w:rsidRPr="00DD1B08">
        <w:rPr>
          <w:rFonts w:ascii="Arial" w:hAnsi="Arial" w:cs="Arial"/>
          <w:sz w:val="24"/>
          <w:szCs w:val="24"/>
          <w:u w:val="single"/>
        </w:rPr>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70FA14C3" w14:textId="50BBE972" w:rsidR="001F6F23" w:rsidRPr="00797AC8" w:rsidRDefault="00797AC8" w:rsidP="00797AC8">
      <w:pPr>
        <w:spacing w:before="360" w:after="360" w:line="480" w:lineRule="auto"/>
        <w:ind w:left="624" w:right="117" w:hanging="624"/>
        <w:jc w:val="both"/>
        <w:rPr>
          <w:rFonts w:ascii="Arial" w:hAnsi="Arial" w:cs="Arial"/>
          <w:sz w:val="24"/>
          <w:szCs w:val="24"/>
        </w:rPr>
      </w:pPr>
      <w:r w:rsidRPr="001F6F23">
        <w:rPr>
          <w:rFonts w:ascii="Arial" w:hAnsi="Arial" w:cs="Arial"/>
          <w:sz w:val="24"/>
          <w:szCs w:val="24"/>
        </w:rPr>
        <w:t>1.</w:t>
      </w:r>
      <w:r w:rsidRPr="001F6F23">
        <w:rPr>
          <w:rFonts w:ascii="Arial" w:hAnsi="Arial" w:cs="Arial"/>
          <w:sz w:val="24"/>
          <w:szCs w:val="24"/>
        </w:rPr>
        <w:tab/>
      </w:r>
      <w:r w:rsidR="005D5B25" w:rsidRPr="00797AC8">
        <w:rPr>
          <w:rFonts w:ascii="Arial" w:hAnsi="Arial" w:cs="Arial"/>
          <w:sz w:val="24"/>
          <w:szCs w:val="24"/>
        </w:rPr>
        <w:t>The</w:t>
      </w:r>
      <w:r w:rsidR="00D37645" w:rsidRPr="00797AC8">
        <w:rPr>
          <w:rFonts w:ascii="Arial" w:hAnsi="Arial" w:cs="Arial"/>
          <w:sz w:val="24"/>
          <w:szCs w:val="24"/>
        </w:rPr>
        <w:t xml:space="preserve"> applicant </w:t>
      </w:r>
      <w:r w:rsidR="00D333D0" w:rsidRPr="00797AC8">
        <w:rPr>
          <w:rFonts w:ascii="Arial" w:hAnsi="Arial" w:cs="Arial"/>
          <w:sz w:val="24"/>
          <w:szCs w:val="24"/>
        </w:rPr>
        <w:t xml:space="preserve">in each of the actions seeks default judgment </w:t>
      </w:r>
      <w:r w:rsidR="00D37645" w:rsidRPr="00797AC8">
        <w:rPr>
          <w:rFonts w:ascii="Arial" w:hAnsi="Arial" w:cs="Arial"/>
          <w:sz w:val="24"/>
          <w:szCs w:val="24"/>
        </w:rPr>
        <w:t xml:space="preserve">on instalment agreements </w:t>
      </w:r>
      <w:r w:rsidR="00D333D0" w:rsidRPr="00797AC8">
        <w:rPr>
          <w:rFonts w:ascii="Arial" w:hAnsi="Arial" w:cs="Arial"/>
          <w:sz w:val="24"/>
          <w:szCs w:val="24"/>
        </w:rPr>
        <w:t xml:space="preserve">concluded </w:t>
      </w:r>
      <w:r w:rsidR="00D37645" w:rsidRPr="00797AC8">
        <w:rPr>
          <w:rFonts w:ascii="Arial" w:hAnsi="Arial" w:cs="Arial"/>
          <w:sz w:val="24"/>
          <w:szCs w:val="24"/>
        </w:rPr>
        <w:t xml:space="preserve">between it and the </w:t>
      </w:r>
      <w:r w:rsidR="001F6F23" w:rsidRPr="00797AC8">
        <w:rPr>
          <w:rFonts w:ascii="Arial" w:hAnsi="Arial" w:cs="Arial"/>
          <w:sz w:val="24"/>
          <w:szCs w:val="24"/>
        </w:rPr>
        <w:t xml:space="preserve">respondent </w:t>
      </w:r>
      <w:r w:rsidR="00D37645" w:rsidRPr="00797AC8">
        <w:rPr>
          <w:rFonts w:ascii="Arial" w:hAnsi="Arial" w:cs="Arial"/>
          <w:sz w:val="24"/>
          <w:szCs w:val="24"/>
        </w:rPr>
        <w:t>for the financing of motor vehicles</w:t>
      </w:r>
      <w:r w:rsidR="00D333D0" w:rsidRPr="00797AC8">
        <w:rPr>
          <w:rFonts w:ascii="Arial" w:hAnsi="Arial" w:cs="Arial"/>
          <w:sz w:val="24"/>
          <w:szCs w:val="24"/>
        </w:rPr>
        <w:t xml:space="preserve">. </w:t>
      </w:r>
      <w:r w:rsidR="001F6F23" w:rsidRPr="00797AC8">
        <w:rPr>
          <w:rFonts w:ascii="Arial" w:hAnsi="Arial" w:cs="Arial"/>
          <w:sz w:val="24"/>
          <w:szCs w:val="24"/>
        </w:rPr>
        <w:t>The applicant bank is the same in all the matters, and the same attorneys and same counsel were briefed in each matter by the applicant.</w:t>
      </w:r>
    </w:p>
    <w:p w14:paraId="73661EE3" w14:textId="7DF47327" w:rsidR="000B6D56" w:rsidRPr="00797AC8" w:rsidRDefault="00797AC8" w:rsidP="00797AC8">
      <w:pPr>
        <w:spacing w:before="360" w:after="360" w:line="480" w:lineRule="auto"/>
        <w:ind w:left="624" w:right="117" w:hanging="624"/>
        <w:jc w:val="both"/>
        <w:rPr>
          <w:rFonts w:ascii="Arial" w:hAnsi="Arial" w:cs="Arial"/>
          <w:sz w:val="24"/>
          <w:szCs w:val="24"/>
        </w:rPr>
      </w:pPr>
      <w:r w:rsidRPr="001F6F23">
        <w:rPr>
          <w:rFonts w:ascii="Arial" w:hAnsi="Arial" w:cs="Arial"/>
          <w:sz w:val="24"/>
          <w:szCs w:val="24"/>
        </w:rPr>
        <w:t>2.</w:t>
      </w:r>
      <w:r w:rsidRPr="001F6F23">
        <w:rPr>
          <w:rFonts w:ascii="Arial" w:hAnsi="Arial" w:cs="Arial"/>
          <w:sz w:val="24"/>
          <w:szCs w:val="24"/>
        </w:rPr>
        <w:tab/>
      </w:r>
      <w:r w:rsidR="001F6F23" w:rsidRPr="00797AC8">
        <w:rPr>
          <w:rFonts w:ascii="Arial" w:hAnsi="Arial" w:cs="Arial"/>
          <w:sz w:val="24"/>
          <w:szCs w:val="24"/>
        </w:rPr>
        <w:t xml:space="preserve">The instalment agreements fall within the ambit of the National Credit Act, 2005 (“the NCA”). </w:t>
      </w:r>
      <w:r w:rsidR="000B6D56" w:rsidRPr="00797AC8">
        <w:rPr>
          <w:rFonts w:ascii="Arial" w:hAnsi="Arial" w:cs="Arial"/>
          <w:sz w:val="24"/>
          <w:szCs w:val="24"/>
        </w:rPr>
        <w:t>The applicant</w:t>
      </w:r>
      <w:r w:rsidR="001F6F23" w:rsidRPr="00797AC8">
        <w:rPr>
          <w:rFonts w:ascii="Arial" w:hAnsi="Arial" w:cs="Arial"/>
          <w:sz w:val="24"/>
          <w:szCs w:val="24"/>
        </w:rPr>
        <w:t xml:space="preserve"> as credit provider</w:t>
      </w:r>
      <w:r w:rsidR="000B6D56" w:rsidRPr="00797AC8">
        <w:rPr>
          <w:rFonts w:ascii="Arial" w:hAnsi="Arial" w:cs="Arial"/>
          <w:sz w:val="24"/>
          <w:szCs w:val="24"/>
        </w:rPr>
        <w:t xml:space="preserve"> either seeks cancellation of the particular instalment agreement and the return of the motor vehicle that had been financed under the agreement or, where the term of the instalment </w:t>
      </w:r>
      <w:r w:rsidR="000B6D56" w:rsidRPr="00797AC8">
        <w:rPr>
          <w:rFonts w:ascii="Arial" w:hAnsi="Arial" w:cs="Arial"/>
          <w:sz w:val="24"/>
          <w:szCs w:val="24"/>
        </w:rPr>
        <w:lastRenderedPageBreak/>
        <w:t>agreement has already expired, payment of the outstanding balance</w:t>
      </w:r>
      <w:r w:rsidR="001F6F23" w:rsidRPr="00797AC8">
        <w:rPr>
          <w:rFonts w:ascii="Arial" w:hAnsi="Arial" w:cs="Arial"/>
          <w:sz w:val="24"/>
          <w:szCs w:val="24"/>
        </w:rPr>
        <w:t xml:space="preserve"> by the consumer</w:t>
      </w:r>
      <w:r w:rsidR="000B6D56" w:rsidRPr="00797AC8">
        <w:rPr>
          <w:rFonts w:ascii="Arial" w:hAnsi="Arial" w:cs="Arial"/>
          <w:sz w:val="24"/>
          <w:szCs w:val="24"/>
        </w:rPr>
        <w:t xml:space="preserve">. </w:t>
      </w:r>
    </w:p>
    <w:p w14:paraId="31A8F969" w14:textId="325A9DA2" w:rsidR="00BE2A48" w:rsidRPr="00797AC8" w:rsidRDefault="00797AC8" w:rsidP="00797AC8">
      <w:pPr>
        <w:spacing w:before="360" w:after="360" w:line="480" w:lineRule="auto"/>
        <w:ind w:left="624" w:right="117" w:hanging="624"/>
        <w:jc w:val="both"/>
        <w:rPr>
          <w:rFonts w:ascii="Arial" w:hAnsi="Arial" w:cs="Arial"/>
          <w:sz w:val="24"/>
          <w:szCs w:val="24"/>
        </w:rPr>
      </w:pPr>
      <w:r w:rsidRPr="00BE2A48">
        <w:rPr>
          <w:rFonts w:ascii="Arial" w:hAnsi="Arial" w:cs="Arial"/>
          <w:sz w:val="24"/>
          <w:szCs w:val="24"/>
        </w:rPr>
        <w:t>3.</w:t>
      </w:r>
      <w:r w:rsidRPr="00BE2A48">
        <w:rPr>
          <w:rFonts w:ascii="Arial" w:hAnsi="Arial" w:cs="Arial"/>
          <w:sz w:val="24"/>
          <w:szCs w:val="24"/>
        </w:rPr>
        <w:tab/>
      </w:r>
      <w:r w:rsidR="000B6D56" w:rsidRPr="00797AC8">
        <w:rPr>
          <w:rFonts w:ascii="Arial" w:hAnsi="Arial" w:cs="Arial"/>
          <w:sz w:val="24"/>
          <w:szCs w:val="24"/>
        </w:rPr>
        <w:t xml:space="preserve">As the claims </w:t>
      </w:r>
      <w:r w:rsidR="003F2C73" w:rsidRPr="00797AC8">
        <w:rPr>
          <w:rFonts w:ascii="Arial" w:hAnsi="Arial" w:cs="Arial"/>
          <w:sz w:val="24"/>
          <w:szCs w:val="24"/>
        </w:rPr>
        <w:t xml:space="preserve">are </w:t>
      </w:r>
      <w:r w:rsidR="00937F9C" w:rsidRPr="00797AC8">
        <w:rPr>
          <w:rFonts w:ascii="Arial" w:hAnsi="Arial" w:cs="Arial"/>
          <w:sz w:val="24"/>
          <w:szCs w:val="24"/>
        </w:rPr>
        <w:t xml:space="preserve">each </w:t>
      </w:r>
      <w:r w:rsidR="000B6D56" w:rsidRPr="00797AC8">
        <w:rPr>
          <w:rFonts w:ascii="Arial" w:hAnsi="Arial" w:cs="Arial"/>
          <w:sz w:val="24"/>
          <w:szCs w:val="24"/>
        </w:rPr>
        <w:t>for ‘a debt or a liquidated demand’,</w:t>
      </w:r>
      <w:r w:rsidR="00F77C3C">
        <w:rPr>
          <w:rStyle w:val="FootnoteReference"/>
          <w:rFonts w:ascii="Arial" w:hAnsi="Arial" w:cs="Arial"/>
          <w:sz w:val="24"/>
          <w:szCs w:val="24"/>
        </w:rPr>
        <w:footnoteReference w:id="2"/>
      </w:r>
      <w:r w:rsidR="000B6D56" w:rsidRPr="00797AC8">
        <w:rPr>
          <w:rFonts w:ascii="Arial" w:hAnsi="Arial" w:cs="Arial"/>
          <w:sz w:val="24"/>
          <w:szCs w:val="24"/>
        </w:rPr>
        <w:t xml:space="preserve"> ordinarily application would be made to the registrar for default judgment in terms of Uniform Rule 31(5). The applicant in these actions has not sought default judgment from the registrar. Instead the applicant has enrolled these matters</w:t>
      </w:r>
      <w:r w:rsidR="00BE2A48" w:rsidRPr="00797AC8">
        <w:rPr>
          <w:rFonts w:ascii="Arial" w:hAnsi="Arial" w:cs="Arial"/>
          <w:sz w:val="24"/>
          <w:szCs w:val="24"/>
        </w:rPr>
        <w:t xml:space="preserve"> for default judgment in the unopposed motion court. These are not instances where the registrar had in the exercise of its powers in terms of </w:t>
      </w:r>
      <w:r w:rsidR="00A93F6E" w:rsidRPr="00797AC8">
        <w:rPr>
          <w:rFonts w:ascii="Arial" w:hAnsi="Arial" w:cs="Arial"/>
          <w:sz w:val="24"/>
          <w:szCs w:val="24"/>
        </w:rPr>
        <w:t>rule</w:t>
      </w:r>
      <w:r w:rsidR="00BE2A48" w:rsidRPr="00797AC8">
        <w:rPr>
          <w:rFonts w:ascii="Arial" w:hAnsi="Arial" w:cs="Arial"/>
          <w:sz w:val="24"/>
          <w:szCs w:val="24"/>
        </w:rPr>
        <w:t xml:space="preserve"> 31(5)(b)(vi) required the applications to be set down for hearing in open court.</w:t>
      </w:r>
    </w:p>
    <w:p w14:paraId="156C9384" w14:textId="6347C509" w:rsidR="00F77C3C" w:rsidRPr="00797AC8" w:rsidRDefault="00797AC8" w:rsidP="00797AC8">
      <w:pPr>
        <w:spacing w:before="360" w:after="360" w:line="480" w:lineRule="auto"/>
        <w:ind w:left="624" w:right="117" w:hanging="624"/>
        <w:jc w:val="both"/>
        <w:rPr>
          <w:rFonts w:ascii="Arial" w:hAnsi="Arial" w:cs="Arial"/>
          <w:sz w:val="24"/>
          <w:szCs w:val="24"/>
        </w:rPr>
      </w:pPr>
      <w:r w:rsidRPr="00F77C3C">
        <w:rPr>
          <w:rFonts w:ascii="Arial" w:hAnsi="Arial" w:cs="Arial"/>
          <w:sz w:val="24"/>
          <w:szCs w:val="24"/>
        </w:rPr>
        <w:t>4.</w:t>
      </w:r>
      <w:r w:rsidRPr="00F77C3C">
        <w:rPr>
          <w:rFonts w:ascii="Arial" w:hAnsi="Arial" w:cs="Arial"/>
          <w:sz w:val="24"/>
          <w:szCs w:val="24"/>
        </w:rPr>
        <w:tab/>
      </w:r>
      <w:r w:rsidR="001F6F23" w:rsidRPr="00797AC8">
        <w:rPr>
          <w:rFonts w:ascii="Arial" w:hAnsi="Arial" w:cs="Arial"/>
          <w:sz w:val="24"/>
          <w:szCs w:val="24"/>
        </w:rPr>
        <w:t xml:space="preserve">Upon the matters being called before me on the unopposed roll, I enquired of applicant’s </w:t>
      </w:r>
      <w:r w:rsidR="00F77C3C" w:rsidRPr="00797AC8">
        <w:rPr>
          <w:rFonts w:ascii="Arial" w:hAnsi="Arial" w:cs="Arial"/>
          <w:sz w:val="24"/>
          <w:szCs w:val="24"/>
        </w:rPr>
        <w:t xml:space="preserve">then </w:t>
      </w:r>
      <w:r w:rsidR="001F6F23" w:rsidRPr="00797AC8">
        <w:rPr>
          <w:rFonts w:ascii="Arial" w:hAnsi="Arial" w:cs="Arial"/>
          <w:sz w:val="24"/>
          <w:szCs w:val="24"/>
        </w:rPr>
        <w:t xml:space="preserve">counsel whether the registrar should have been approached, as provided for in </w:t>
      </w:r>
      <w:r w:rsidR="00A93F6E" w:rsidRPr="00797AC8">
        <w:rPr>
          <w:rFonts w:ascii="Arial" w:hAnsi="Arial" w:cs="Arial"/>
          <w:sz w:val="24"/>
          <w:szCs w:val="24"/>
        </w:rPr>
        <w:t>rule</w:t>
      </w:r>
      <w:r w:rsidR="001F6F23" w:rsidRPr="00797AC8">
        <w:rPr>
          <w:rFonts w:ascii="Arial" w:hAnsi="Arial" w:cs="Arial"/>
          <w:sz w:val="24"/>
          <w:szCs w:val="24"/>
        </w:rPr>
        <w:t xml:space="preserve"> 31(5)</w:t>
      </w:r>
      <w:r w:rsidR="00F77C3C" w:rsidRPr="00797AC8">
        <w:rPr>
          <w:rFonts w:ascii="Arial" w:hAnsi="Arial" w:cs="Arial"/>
          <w:sz w:val="24"/>
          <w:szCs w:val="24"/>
        </w:rPr>
        <w:t>, rather than enrolled for hearing in open court.</w:t>
      </w:r>
    </w:p>
    <w:p w14:paraId="328B6CDB" w14:textId="0E762611" w:rsidR="003F2C73"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5.</w:t>
      </w:r>
      <w:r>
        <w:rPr>
          <w:rFonts w:ascii="Arial" w:hAnsi="Arial" w:cs="Arial"/>
          <w:sz w:val="24"/>
          <w:szCs w:val="24"/>
        </w:rPr>
        <w:tab/>
      </w:r>
      <w:r w:rsidR="003F2C73" w:rsidRPr="00797AC8">
        <w:rPr>
          <w:rFonts w:ascii="Arial" w:hAnsi="Arial" w:cs="Arial"/>
          <w:sz w:val="24"/>
          <w:szCs w:val="24"/>
        </w:rPr>
        <w:t>A</w:t>
      </w:r>
      <w:r w:rsidR="00C07872" w:rsidRPr="00797AC8">
        <w:rPr>
          <w:rFonts w:ascii="Arial" w:hAnsi="Arial" w:cs="Arial"/>
          <w:sz w:val="24"/>
          <w:szCs w:val="24"/>
        </w:rPr>
        <w:t xml:space="preserve">lthough each of the </w:t>
      </w:r>
      <w:r w:rsidR="00F77C3C" w:rsidRPr="00797AC8">
        <w:rPr>
          <w:rFonts w:ascii="Arial" w:hAnsi="Arial" w:cs="Arial"/>
          <w:sz w:val="24"/>
          <w:szCs w:val="24"/>
        </w:rPr>
        <w:t>claims</w:t>
      </w:r>
      <w:r w:rsidR="00C07872" w:rsidRPr="00797AC8">
        <w:rPr>
          <w:rFonts w:ascii="Arial" w:hAnsi="Arial" w:cs="Arial"/>
          <w:sz w:val="24"/>
          <w:szCs w:val="24"/>
        </w:rPr>
        <w:t xml:space="preserve"> fall within the jurisdiction of the</w:t>
      </w:r>
      <w:r w:rsidR="003F2C73" w:rsidRPr="00797AC8">
        <w:rPr>
          <w:rFonts w:ascii="Arial" w:hAnsi="Arial" w:cs="Arial"/>
          <w:sz w:val="24"/>
          <w:szCs w:val="24"/>
        </w:rPr>
        <w:t xml:space="preserve"> magistrates’ courts</w:t>
      </w:r>
      <w:r w:rsidR="00C07872" w:rsidRPr="00797AC8">
        <w:rPr>
          <w:rFonts w:ascii="Arial" w:hAnsi="Arial" w:cs="Arial"/>
          <w:sz w:val="24"/>
          <w:szCs w:val="24"/>
        </w:rPr>
        <w:t>, the High Court, as it has concurrent jurisdiction, cannot decline to entertain the matters.</w:t>
      </w:r>
      <w:r w:rsidR="00C07872">
        <w:rPr>
          <w:rStyle w:val="FootnoteReference"/>
          <w:rFonts w:ascii="Arial" w:hAnsi="Arial" w:cs="Arial"/>
          <w:sz w:val="24"/>
          <w:szCs w:val="24"/>
        </w:rPr>
        <w:footnoteReference w:id="3"/>
      </w:r>
      <w:r w:rsidR="00C07872" w:rsidRPr="00797AC8">
        <w:rPr>
          <w:rFonts w:ascii="Arial" w:hAnsi="Arial" w:cs="Arial"/>
          <w:sz w:val="24"/>
          <w:szCs w:val="24"/>
        </w:rPr>
        <w:t xml:space="preserve"> But what is not clear is whether the registrar </w:t>
      </w:r>
      <w:r w:rsidR="003F2C73" w:rsidRPr="00797AC8">
        <w:rPr>
          <w:rFonts w:ascii="Arial" w:hAnsi="Arial" w:cs="Arial"/>
          <w:sz w:val="24"/>
          <w:szCs w:val="24"/>
        </w:rPr>
        <w:t xml:space="preserve">may grant  </w:t>
      </w:r>
      <w:r w:rsidR="00C07872" w:rsidRPr="00797AC8">
        <w:rPr>
          <w:rFonts w:ascii="Arial" w:hAnsi="Arial" w:cs="Arial"/>
          <w:sz w:val="24"/>
          <w:szCs w:val="24"/>
        </w:rPr>
        <w:t xml:space="preserve"> </w:t>
      </w:r>
      <w:r w:rsidR="003F2C73" w:rsidRPr="00797AC8">
        <w:rPr>
          <w:rFonts w:ascii="Arial" w:hAnsi="Arial" w:cs="Arial"/>
          <w:sz w:val="24"/>
          <w:szCs w:val="24"/>
        </w:rPr>
        <w:t xml:space="preserve">default judgment </w:t>
      </w:r>
      <w:r w:rsidR="00C07872" w:rsidRPr="00797AC8">
        <w:rPr>
          <w:rFonts w:ascii="Arial" w:hAnsi="Arial" w:cs="Arial"/>
          <w:sz w:val="24"/>
          <w:szCs w:val="24"/>
        </w:rPr>
        <w:t xml:space="preserve">in terms of </w:t>
      </w:r>
      <w:r w:rsidR="00A93F6E" w:rsidRPr="00797AC8">
        <w:rPr>
          <w:rFonts w:ascii="Arial" w:hAnsi="Arial" w:cs="Arial"/>
          <w:sz w:val="24"/>
          <w:szCs w:val="24"/>
        </w:rPr>
        <w:t>rule</w:t>
      </w:r>
      <w:r w:rsidR="00C07872" w:rsidRPr="00797AC8">
        <w:rPr>
          <w:rFonts w:ascii="Arial" w:hAnsi="Arial" w:cs="Arial"/>
          <w:sz w:val="24"/>
          <w:szCs w:val="24"/>
        </w:rPr>
        <w:t xml:space="preserve"> 31(5</w:t>
      </w:r>
      <w:r w:rsidR="003F2C73" w:rsidRPr="00797AC8">
        <w:rPr>
          <w:rFonts w:ascii="Arial" w:hAnsi="Arial" w:cs="Arial"/>
          <w:sz w:val="24"/>
          <w:szCs w:val="24"/>
        </w:rPr>
        <w:t xml:space="preserve">) where the </w:t>
      </w:r>
      <w:r w:rsidR="00F77C3C" w:rsidRPr="00797AC8">
        <w:rPr>
          <w:rFonts w:ascii="Arial" w:hAnsi="Arial" w:cs="Arial"/>
          <w:sz w:val="24"/>
          <w:szCs w:val="24"/>
        </w:rPr>
        <w:t>proceedings</w:t>
      </w:r>
      <w:r w:rsidR="003F2C73" w:rsidRPr="00797AC8">
        <w:rPr>
          <w:rFonts w:ascii="Arial" w:hAnsi="Arial" w:cs="Arial"/>
          <w:sz w:val="24"/>
          <w:szCs w:val="24"/>
        </w:rPr>
        <w:t xml:space="preserve"> fall within the ambit of the </w:t>
      </w:r>
      <w:r w:rsidR="00F77C3C" w:rsidRPr="00797AC8">
        <w:rPr>
          <w:rFonts w:ascii="Arial" w:hAnsi="Arial" w:cs="Arial"/>
          <w:sz w:val="24"/>
          <w:szCs w:val="24"/>
        </w:rPr>
        <w:t xml:space="preserve">debt enforcement procedures prescribed in the </w:t>
      </w:r>
      <w:r w:rsidR="003F2C73" w:rsidRPr="00797AC8">
        <w:rPr>
          <w:rFonts w:ascii="Arial" w:hAnsi="Arial" w:cs="Arial"/>
          <w:sz w:val="24"/>
          <w:szCs w:val="24"/>
        </w:rPr>
        <w:t xml:space="preserve">NCA. If the registrar cannot </w:t>
      </w:r>
      <w:r w:rsidR="00D65A1A" w:rsidRPr="00797AC8">
        <w:rPr>
          <w:rFonts w:ascii="Arial" w:hAnsi="Arial" w:cs="Arial"/>
          <w:sz w:val="24"/>
          <w:szCs w:val="24"/>
        </w:rPr>
        <w:t xml:space="preserve">do so, then the applications for default judgment were appropriately enrolled in open court. On the other hand, if the registrar </w:t>
      </w:r>
      <w:r w:rsidR="00F77C3C" w:rsidRPr="00797AC8">
        <w:rPr>
          <w:rFonts w:ascii="Arial" w:hAnsi="Arial" w:cs="Arial"/>
          <w:sz w:val="24"/>
          <w:szCs w:val="24"/>
        </w:rPr>
        <w:t>can</w:t>
      </w:r>
      <w:r w:rsidR="00B1138E" w:rsidRPr="00797AC8">
        <w:rPr>
          <w:rFonts w:ascii="Arial" w:hAnsi="Arial" w:cs="Arial"/>
          <w:sz w:val="24"/>
          <w:szCs w:val="24"/>
        </w:rPr>
        <w:t xml:space="preserve"> </w:t>
      </w:r>
      <w:r w:rsidR="00D65A1A" w:rsidRPr="00797AC8">
        <w:rPr>
          <w:rFonts w:ascii="Arial" w:hAnsi="Arial" w:cs="Arial"/>
          <w:sz w:val="24"/>
          <w:szCs w:val="24"/>
        </w:rPr>
        <w:t xml:space="preserve">do </w:t>
      </w:r>
      <w:r w:rsidR="00D65A1A" w:rsidRPr="00797AC8">
        <w:rPr>
          <w:rFonts w:ascii="Arial" w:hAnsi="Arial" w:cs="Arial"/>
          <w:sz w:val="24"/>
          <w:szCs w:val="24"/>
        </w:rPr>
        <w:lastRenderedPageBreak/>
        <w:t>so, then</w:t>
      </w:r>
      <w:r w:rsidR="00937F9C" w:rsidRPr="00797AC8">
        <w:rPr>
          <w:rFonts w:ascii="Arial" w:hAnsi="Arial" w:cs="Arial"/>
          <w:sz w:val="24"/>
          <w:szCs w:val="24"/>
        </w:rPr>
        <w:t xml:space="preserve"> consideration needs to be given to whether</w:t>
      </w:r>
      <w:r w:rsidR="00D65A1A" w:rsidRPr="00797AC8">
        <w:rPr>
          <w:rFonts w:ascii="Arial" w:hAnsi="Arial" w:cs="Arial"/>
          <w:sz w:val="24"/>
          <w:szCs w:val="24"/>
        </w:rPr>
        <w:t xml:space="preserve"> the registrar should first have been approached, rather than open court burdened with applications that can be competently decided by the registrar.</w:t>
      </w:r>
    </w:p>
    <w:p w14:paraId="34C20B8A" w14:textId="71DE777B" w:rsidR="003F2C73"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3F2C73" w:rsidRPr="00797AC8">
        <w:rPr>
          <w:rFonts w:ascii="Arial" w:hAnsi="Arial" w:cs="Arial"/>
          <w:sz w:val="24"/>
          <w:szCs w:val="24"/>
        </w:rPr>
        <w:t xml:space="preserve">Section 130 of the NCA </w:t>
      </w:r>
      <w:r w:rsidR="00D65A1A" w:rsidRPr="00797AC8">
        <w:rPr>
          <w:rFonts w:ascii="Arial" w:hAnsi="Arial" w:cs="Arial"/>
          <w:sz w:val="24"/>
          <w:szCs w:val="24"/>
        </w:rPr>
        <w:t>is</w:t>
      </w:r>
      <w:r w:rsidR="003F2C73" w:rsidRPr="00797AC8">
        <w:rPr>
          <w:rFonts w:ascii="Arial" w:hAnsi="Arial" w:cs="Arial"/>
          <w:sz w:val="24"/>
          <w:szCs w:val="24"/>
        </w:rPr>
        <w:t xml:space="preserve"> head</w:t>
      </w:r>
      <w:r w:rsidR="00D65A1A" w:rsidRPr="00797AC8">
        <w:rPr>
          <w:rFonts w:ascii="Arial" w:hAnsi="Arial" w:cs="Arial"/>
          <w:sz w:val="24"/>
          <w:szCs w:val="24"/>
        </w:rPr>
        <w:t>ed</w:t>
      </w:r>
      <w:r w:rsidR="003F2C73" w:rsidRPr="00797AC8">
        <w:rPr>
          <w:rFonts w:ascii="Arial" w:hAnsi="Arial" w:cs="Arial"/>
          <w:sz w:val="24"/>
          <w:szCs w:val="24"/>
        </w:rPr>
        <w:t xml:space="preserve"> </w:t>
      </w:r>
      <w:r w:rsidR="00D65A1A" w:rsidRPr="00797AC8">
        <w:rPr>
          <w:rFonts w:ascii="Arial" w:hAnsi="Arial" w:cs="Arial"/>
          <w:sz w:val="24"/>
          <w:szCs w:val="24"/>
        </w:rPr>
        <w:t>‘</w:t>
      </w:r>
      <w:r w:rsidR="003F2C73" w:rsidRPr="00797AC8">
        <w:rPr>
          <w:rFonts w:ascii="Arial" w:hAnsi="Arial" w:cs="Arial"/>
          <w:sz w:val="24"/>
          <w:szCs w:val="24"/>
        </w:rPr>
        <w:t>Debt Procedures in a Court</w:t>
      </w:r>
      <w:r w:rsidR="00D65A1A" w:rsidRPr="00797AC8">
        <w:rPr>
          <w:rFonts w:ascii="Arial" w:hAnsi="Arial" w:cs="Arial"/>
          <w:sz w:val="24"/>
          <w:szCs w:val="24"/>
        </w:rPr>
        <w:t>’. Sections</w:t>
      </w:r>
      <w:r w:rsidR="003F2C73" w:rsidRPr="00797AC8">
        <w:rPr>
          <w:rFonts w:ascii="Arial" w:hAnsi="Arial" w:cs="Arial"/>
          <w:sz w:val="24"/>
          <w:szCs w:val="24"/>
        </w:rPr>
        <w:t xml:space="preserve"> 130(1) and (2) </w:t>
      </w:r>
      <w:r w:rsidR="00D65A1A" w:rsidRPr="00797AC8">
        <w:rPr>
          <w:rFonts w:ascii="Arial" w:hAnsi="Arial" w:cs="Arial"/>
          <w:sz w:val="24"/>
          <w:szCs w:val="24"/>
        </w:rPr>
        <w:t xml:space="preserve">provide for </w:t>
      </w:r>
      <w:r w:rsidR="003F2C73" w:rsidRPr="00797AC8">
        <w:rPr>
          <w:rFonts w:ascii="Arial" w:hAnsi="Arial" w:cs="Arial"/>
          <w:sz w:val="24"/>
          <w:szCs w:val="24"/>
        </w:rPr>
        <w:t xml:space="preserve">the circumstances in which a credit provider can approach the court to enforce a credit agreement. Section 130(3) provides for what </w:t>
      </w:r>
      <w:r w:rsidR="00D65A1A" w:rsidRPr="00797AC8">
        <w:rPr>
          <w:rFonts w:ascii="Arial" w:hAnsi="Arial" w:cs="Arial"/>
          <w:sz w:val="24"/>
          <w:szCs w:val="24"/>
        </w:rPr>
        <w:t>‘</w:t>
      </w:r>
      <w:r w:rsidR="003F2C73" w:rsidRPr="00797AC8">
        <w:rPr>
          <w:rFonts w:ascii="Arial" w:hAnsi="Arial" w:cs="Arial"/>
          <w:sz w:val="24"/>
          <w:szCs w:val="24"/>
        </w:rPr>
        <w:t>the court</w:t>
      </w:r>
      <w:r w:rsidR="00D65A1A" w:rsidRPr="00797AC8">
        <w:rPr>
          <w:rFonts w:ascii="Arial" w:hAnsi="Arial" w:cs="Arial"/>
          <w:sz w:val="24"/>
          <w:szCs w:val="24"/>
        </w:rPr>
        <w:t>’</w:t>
      </w:r>
      <w:r w:rsidR="003F2C73" w:rsidRPr="00797AC8">
        <w:rPr>
          <w:rFonts w:ascii="Arial" w:hAnsi="Arial" w:cs="Arial"/>
          <w:sz w:val="24"/>
          <w:szCs w:val="24"/>
        </w:rPr>
        <w:t xml:space="preserve"> must be satisfied of before it determines the matter. Section 130(4) provides for what </w:t>
      </w:r>
      <w:r w:rsidR="00D65A1A" w:rsidRPr="00797AC8">
        <w:rPr>
          <w:rFonts w:ascii="Arial" w:hAnsi="Arial" w:cs="Arial"/>
          <w:sz w:val="24"/>
          <w:szCs w:val="24"/>
        </w:rPr>
        <w:t>‘</w:t>
      </w:r>
      <w:r w:rsidR="003F2C73" w:rsidRPr="00797AC8">
        <w:rPr>
          <w:rFonts w:ascii="Arial" w:hAnsi="Arial" w:cs="Arial"/>
          <w:sz w:val="24"/>
          <w:szCs w:val="24"/>
        </w:rPr>
        <w:t>the court</w:t>
      </w:r>
      <w:r w:rsidR="00D65A1A" w:rsidRPr="00797AC8">
        <w:rPr>
          <w:rFonts w:ascii="Arial" w:hAnsi="Arial" w:cs="Arial"/>
          <w:sz w:val="24"/>
          <w:szCs w:val="24"/>
        </w:rPr>
        <w:t>’</w:t>
      </w:r>
      <w:r w:rsidR="003F2C73" w:rsidRPr="00797AC8">
        <w:rPr>
          <w:rFonts w:ascii="Arial" w:hAnsi="Arial" w:cs="Arial"/>
          <w:sz w:val="24"/>
          <w:szCs w:val="24"/>
        </w:rPr>
        <w:t xml:space="preserve"> either must or may do if it makes certain determinations.</w:t>
      </w:r>
    </w:p>
    <w:p w14:paraId="13417930" w14:textId="7E444316" w:rsidR="003F2C73"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D65A1A" w:rsidRPr="00797AC8">
        <w:rPr>
          <w:rFonts w:ascii="Arial" w:hAnsi="Arial" w:cs="Arial"/>
          <w:sz w:val="24"/>
          <w:szCs w:val="24"/>
        </w:rPr>
        <w:t>As section 130(3) requires that the ‘</w:t>
      </w:r>
      <w:r w:rsidR="00F807F6" w:rsidRPr="00797AC8">
        <w:rPr>
          <w:rFonts w:ascii="Arial" w:hAnsi="Arial" w:cs="Arial"/>
          <w:sz w:val="24"/>
          <w:szCs w:val="24"/>
        </w:rPr>
        <w:t xml:space="preserve">the </w:t>
      </w:r>
      <w:r w:rsidR="00D65A1A" w:rsidRPr="00797AC8">
        <w:rPr>
          <w:rFonts w:ascii="Arial" w:hAnsi="Arial" w:cs="Arial"/>
          <w:sz w:val="24"/>
          <w:szCs w:val="24"/>
        </w:rPr>
        <w:t>court’ be so satisfied, the</w:t>
      </w:r>
      <w:r w:rsidR="003F2C73" w:rsidRPr="00797AC8">
        <w:rPr>
          <w:rFonts w:ascii="Arial" w:hAnsi="Arial" w:cs="Arial"/>
          <w:sz w:val="24"/>
          <w:szCs w:val="24"/>
        </w:rPr>
        <w:t xml:space="preserve"> </w:t>
      </w:r>
      <w:r w:rsidR="00937F9C" w:rsidRPr="00797AC8">
        <w:rPr>
          <w:rFonts w:ascii="Arial" w:hAnsi="Arial" w:cs="Arial"/>
          <w:sz w:val="24"/>
          <w:szCs w:val="24"/>
        </w:rPr>
        <w:t>issue</w:t>
      </w:r>
      <w:r w:rsidR="003F2C73" w:rsidRPr="00797AC8">
        <w:rPr>
          <w:rFonts w:ascii="Arial" w:hAnsi="Arial" w:cs="Arial"/>
          <w:sz w:val="24"/>
          <w:szCs w:val="24"/>
        </w:rPr>
        <w:t xml:space="preserve"> that arises is whether the </w:t>
      </w:r>
      <w:r w:rsidR="00D65A1A" w:rsidRPr="00797AC8">
        <w:rPr>
          <w:rFonts w:ascii="Arial" w:hAnsi="Arial" w:cs="Arial"/>
          <w:sz w:val="24"/>
          <w:szCs w:val="24"/>
        </w:rPr>
        <w:t>r</w:t>
      </w:r>
      <w:r w:rsidR="003F2C73" w:rsidRPr="00797AC8">
        <w:rPr>
          <w:rFonts w:ascii="Arial" w:hAnsi="Arial" w:cs="Arial"/>
          <w:sz w:val="24"/>
          <w:szCs w:val="24"/>
        </w:rPr>
        <w:t xml:space="preserve">egistrar can fulfil the role of </w:t>
      </w:r>
      <w:r w:rsidR="00D65A1A" w:rsidRPr="00797AC8">
        <w:rPr>
          <w:rFonts w:ascii="Arial" w:hAnsi="Arial" w:cs="Arial"/>
          <w:sz w:val="24"/>
          <w:szCs w:val="24"/>
        </w:rPr>
        <w:t>‘t</w:t>
      </w:r>
      <w:r w:rsidR="003F2C73" w:rsidRPr="00797AC8">
        <w:rPr>
          <w:rFonts w:ascii="Arial" w:hAnsi="Arial" w:cs="Arial"/>
          <w:sz w:val="24"/>
          <w:szCs w:val="24"/>
        </w:rPr>
        <w:t>he court</w:t>
      </w:r>
      <w:r w:rsidR="00D65A1A" w:rsidRPr="00797AC8">
        <w:rPr>
          <w:rFonts w:ascii="Arial" w:hAnsi="Arial" w:cs="Arial"/>
          <w:sz w:val="24"/>
          <w:szCs w:val="24"/>
        </w:rPr>
        <w:t xml:space="preserve">’, and so determine the matter and grant default judgment, </w:t>
      </w:r>
      <w:r w:rsidR="00A7132D" w:rsidRPr="00797AC8">
        <w:rPr>
          <w:rFonts w:ascii="Arial" w:hAnsi="Arial" w:cs="Arial"/>
          <w:sz w:val="24"/>
          <w:szCs w:val="24"/>
        </w:rPr>
        <w:t xml:space="preserve">or whether it is an </w:t>
      </w:r>
      <w:r w:rsidR="003F2C73" w:rsidRPr="00797AC8">
        <w:rPr>
          <w:rFonts w:ascii="Arial" w:hAnsi="Arial" w:cs="Arial"/>
          <w:sz w:val="24"/>
          <w:szCs w:val="24"/>
        </w:rPr>
        <w:t xml:space="preserve">open court </w:t>
      </w:r>
      <w:r w:rsidR="00A7132D" w:rsidRPr="00797AC8">
        <w:rPr>
          <w:rFonts w:ascii="Arial" w:hAnsi="Arial" w:cs="Arial"/>
          <w:sz w:val="24"/>
          <w:szCs w:val="24"/>
        </w:rPr>
        <w:t>that is required to do so.</w:t>
      </w:r>
    </w:p>
    <w:p w14:paraId="7BD0DFB3" w14:textId="67BECA79" w:rsidR="00C07872"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C07872" w:rsidRPr="00797AC8">
        <w:rPr>
          <w:rFonts w:ascii="Arial" w:hAnsi="Arial" w:cs="Arial"/>
          <w:sz w:val="24"/>
          <w:szCs w:val="24"/>
        </w:rPr>
        <w:t>There are conflicting decisions across the Divisions of the High Court</w:t>
      </w:r>
      <w:r w:rsidR="00A7132D" w:rsidRPr="00797AC8">
        <w:rPr>
          <w:rFonts w:ascii="Arial" w:hAnsi="Arial" w:cs="Arial"/>
          <w:sz w:val="24"/>
          <w:szCs w:val="24"/>
        </w:rPr>
        <w:t>, and, as will appear below, there is no binding precedent in this Division.</w:t>
      </w:r>
    </w:p>
    <w:p w14:paraId="1722D4BC" w14:textId="0CC1341F" w:rsidR="00C07872" w:rsidRPr="00797AC8" w:rsidRDefault="00797AC8" w:rsidP="00797AC8">
      <w:pPr>
        <w:spacing w:before="360" w:after="360" w:line="480" w:lineRule="auto"/>
        <w:ind w:left="624" w:right="117" w:hanging="624"/>
        <w:jc w:val="both"/>
        <w:rPr>
          <w:rFonts w:ascii="Arial" w:hAnsi="Arial" w:cs="Arial"/>
          <w:sz w:val="24"/>
          <w:szCs w:val="24"/>
        </w:rPr>
      </w:pPr>
      <w:r w:rsidRPr="00883598">
        <w:rPr>
          <w:rFonts w:ascii="Arial" w:hAnsi="Arial" w:cs="Arial"/>
          <w:sz w:val="24"/>
          <w:szCs w:val="24"/>
        </w:rPr>
        <w:t>9.</w:t>
      </w:r>
      <w:r w:rsidRPr="00883598">
        <w:rPr>
          <w:rFonts w:ascii="Arial" w:hAnsi="Arial" w:cs="Arial"/>
          <w:sz w:val="24"/>
          <w:szCs w:val="24"/>
        </w:rPr>
        <w:tab/>
      </w:r>
      <w:r w:rsidR="00C07872" w:rsidRPr="00797AC8">
        <w:rPr>
          <w:rFonts w:ascii="Arial" w:hAnsi="Arial" w:cs="Arial"/>
          <w:sz w:val="24"/>
          <w:szCs w:val="24"/>
        </w:rPr>
        <w:t>In light of the importance of the issue</w:t>
      </w:r>
      <w:r w:rsidR="004A51E1" w:rsidRPr="00797AC8">
        <w:rPr>
          <w:rFonts w:ascii="Arial" w:hAnsi="Arial" w:cs="Arial"/>
          <w:sz w:val="24"/>
          <w:szCs w:val="24"/>
        </w:rPr>
        <w:t xml:space="preserve"> and the prevalence of these types of matters</w:t>
      </w:r>
      <w:r w:rsidR="00C07872" w:rsidRPr="00797AC8">
        <w:rPr>
          <w:rFonts w:ascii="Arial" w:hAnsi="Arial" w:cs="Arial"/>
          <w:sz w:val="24"/>
          <w:szCs w:val="24"/>
        </w:rPr>
        <w:t xml:space="preserve">, the applications were </w:t>
      </w:r>
      <w:r w:rsidR="00A7132D" w:rsidRPr="00797AC8">
        <w:rPr>
          <w:rFonts w:ascii="Arial" w:hAnsi="Arial" w:cs="Arial"/>
          <w:sz w:val="24"/>
          <w:szCs w:val="24"/>
        </w:rPr>
        <w:t xml:space="preserve">adjourned </w:t>
      </w:r>
      <w:r w:rsidR="00C07872" w:rsidRPr="00797AC8">
        <w:rPr>
          <w:rFonts w:ascii="Arial" w:hAnsi="Arial" w:cs="Arial"/>
          <w:sz w:val="24"/>
          <w:szCs w:val="24"/>
        </w:rPr>
        <w:t>to enable the applicant to make written submissions.</w:t>
      </w:r>
    </w:p>
    <w:p w14:paraId="2E47E9C5" w14:textId="16ADFA0C" w:rsidR="00C07872"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07872" w:rsidRPr="00797AC8">
        <w:rPr>
          <w:rFonts w:ascii="Arial" w:hAnsi="Arial" w:cs="Arial"/>
          <w:sz w:val="24"/>
          <w:szCs w:val="24"/>
        </w:rPr>
        <w:t xml:space="preserve">The Banking Association of South Africa (“BASA”) subsequently </w:t>
      </w:r>
      <w:r w:rsidR="00A7132D" w:rsidRPr="00797AC8">
        <w:rPr>
          <w:rFonts w:ascii="Arial" w:hAnsi="Arial" w:cs="Arial"/>
          <w:sz w:val="24"/>
          <w:szCs w:val="24"/>
        </w:rPr>
        <w:t>obtained</w:t>
      </w:r>
      <w:r w:rsidR="00C07872" w:rsidRPr="00797AC8">
        <w:rPr>
          <w:rFonts w:ascii="Arial" w:hAnsi="Arial" w:cs="Arial"/>
          <w:sz w:val="24"/>
          <w:szCs w:val="24"/>
        </w:rPr>
        <w:t xml:space="preserve"> leave to be admitted as </w:t>
      </w:r>
      <w:r w:rsidR="00C07872" w:rsidRPr="00797AC8">
        <w:rPr>
          <w:rFonts w:ascii="Arial" w:hAnsi="Arial" w:cs="Arial"/>
          <w:i/>
          <w:iCs/>
          <w:sz w:val="24"/>
          <w:szCs w:val="24"/>
        </w:rPr>
        <w:t>amicus curiae</w:t>
      </w:r>
      <w:r w:rsidR="00C07872" w:rsidRPr="00797AC8">
        <w:rPr>
          <w:rFonts w:ascii="Arial" w:hAnsi="Arial" w:cs="Arial"/>
          <w:sz w:val="24"/>
          <w:szCs w:val="24"/>
        </w:rPr>
        <w:t xml:space="preserve"> given the importance of the issue to the banking industry. </w:t>
      </w:r>
    </w:p>
    <w:p w14:paraId="17DFEA42" w14:textId="1F125CA9" w:rsidR="00C07872"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C07872" w:rsidRPr="00797AC8">
        <w:rPr>
          <w:rFonts w:ascii="Arial" w:hAnsi="Arial" w:cs="Arial"/>
          <w:sz w:val="24"/>
          <w:szCs w:val="24"/>
        </w:rPr>
        <w:t>Both the applicant bank and BASA made extensive written submissions as well as oral submissions</w:t>
      </w:r>
      <w:r w:rsidR="00A7132D" w:rsidRPr="00797AC8">
        <w:rPr>
          <w:rFonts w:ascii="Arial" w:hAnsi="Arial" w:cs="Arial"/>
          <w:sz w:val="24"/>
          <w:szCs w:val="24"/>
        </w:rPr>
        <w:t xml:space="preserve"> at a</w:t>
      </w:r>
      <w:r w:rsidR="00937F9C" w:rsidRPr="00797AC8">
        <w:rPr>
          <w:rFonts w:ascii="Arial" w:hAnsi="Arial" w:cs="Arial"/>
          <w:sz w:val="24"/>
          <w:szCs w:val="24"/>
        </w:rPr>
        <w:t xml:space="preserve"> subsequent</w:t>
      </w:r>
      <w:r w:rsidR="00A7132D" w:rsidRPr="00797AC8">
        <w:rPr>
          <w:rFonts w:ascii="Arial" w:hAnsi="Arial" w:cs="Arial"/>
          <w:sz w:val="24"/>
          <w:szCs w:val="24"/>
        </w:rPr>
        <w:t xml:space="preserve"> hearing</w:t>
      </w:r>
      <w:r w:rsidR="00C07872" w:rsidRPr="00797AC8">
        <w:rPr>
          <w:rFonts w:ascii="Arial" w:hAnsi="Arial" w:cs="Arial"/>
          <w:sz w:val="24"/>
          <w:szCs w:val="24"/>
        </w:rPr>
        <w:t>. I am indebted to them</w:t>
      </w:r>
      <w:r w:rsidR="00A7132D" w:rsidRPr="00797AC8">
        <w:rPr>
          <w:rFonts w:ascii="Arial" w:hAnsi="Arial" w:cs="Arial"/>
          <w:sz w:val="24"/>
          <w:szCs w:val="24"/>
        </w:rPr>
        <w:t xml:space="preserve"> and their legal teams</w:t>
      </w:r>
      <w:r w:rsidR="00C07872" w:rsidRPr="00797AC8">
        <w:rPr>
          <w:rFonts w:ascii="Arial" w:hAnsi="Arial" w:cs="Arial"/>
          <w:sz w:val="24"/>
          <w:szCs w:val="24"/>
        </w:rPr>
        <w:t xml:space="preserve"> for their useful contributions.</w:t>
      </w:r>
    </w:p>
    <w:p w14:paraId="799F2D0C" w14:textId="1BB41828" w:rsidR="00B80D0A"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80D0A" w:rsidRPr="00797AC8">
        <w:rPr>
          <w:rFonts w:ascii="Arial" w:hAnsi="Arial" w:cs="Arial"/>
          <w:sz w:val="24"/>
          <w:szCs w:val="24"/>
        </w:rPr>
        <w:t>I first consider by way of an overview of the various decisions whether there is binding precedent in this Division</w:t>
      </w:r>
      <w:r w:rsidR="004E6938" w:rsidRPr="00797AC8">
        <w:rPr>
          <w:rFonts w:ascii="Arial" w:hAnsi="Arial" w:cs="Arial"/>
          <w:sz w:val="24"/>
          <w:szCs w:val="24"/>
        </w:rPr>
        <w:t>.</w:t>
      </w:r>
      <w:r w:rsidR="00B80D0A" w:rsidRPr="00797AC8">
        <w:rPr>
          <w:rFonts w:ascii="Arial" w:hAnsi="Arial" w:cs="Arial"/>
          <w:sz w:val="24"/>
          <w:szCs w:val="24"/>
        </w:rPr>
        <w:t xml:space="preserve"> </w:t>
      </w:r>
    </w:p>
    <w:p w14:paraId="788C9E03" w14:textId="076EED32" w:rsidR="004E6938"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37F9C" w:rsidRPr="00797AC8">
        <w:rPr>
          <w:rFonts w:ascii="Arial" w:hAnsi="Arial" w:cs="Arial"/>
          <w:sz w:val="24"/>
          <w:szCs w:val="24"/>
        </w:rPr>
        <w:t>In</w:t>
      </w:r>
      <w:r w:rsidR="00C07872" w:rsidRPr="00797AC8">
        <w:rPr>
          <w:rFonts w:ascii="Arial" w:hAnsi="Arial" w:cs="Arial"/>
          <w:sz w:val="24"/>
          <w:szCs w:val="24"/>
        </w:rPr>
        <w:t xml:space="preserve"> </w:t>
      </w:r>
      <w:r w:rsidR="00C07872" w:rsidRPr="00797AC8">
        <w:rPr>
          <w:rFonts w:ascii="Arial" w:hAnsi="Arial" w:cs="Arial"/>
          <w:i/>
          <w:iCs/>
          <w:sz w:val="24"/>
          <w:szCs w:val="24"/>
        </w:rPr>
        <w:t>Du Plessis v Firstrand Bank Limited t</w:t>
      </w:r>
      <w:r w:rsidR="00937F9C" w:rsidRPr="00797AC8">
        <w:rPr>
          <w:rFonts w:ascii="Arial" w:hAnsi="Arial" w:cs="Arial"/>
          <w:i/>
          <w:iCs/>
          <w:sz w:val="24"/>
          <w:szCs w:val="24"/>
        </w:rPr>
        <w:t>rading as</w:t>
      </w:r>
      <w:r w:rsidR="00C07872" w:rsidRPr="00797AC8">
        <w:rPr>
          <w:rFonts w:ascii="Arial" w:hAnsi="Arial" w:cs="Arial"/>
          <w:i/>
          <w:iCs/>
          <w:sz w:val="24"/>
          <w:szCs w:val="24"/>
        </w:rPr>
        <w:t xml:space="preserve"> Wesbank</w:t>
      </w:r>
      <w:r w:rsidR="00C07872">
        <w:rPr>
          <w:rStyle w:val="FootnoteReference"/>
          <w:rFonts w:ascii="Arial" w:hAnsi="Arial" w:cs="Arial"/>
          <w:i/>
          <w:iCs/>
          <w:sz w:val="24"/>
          <w:szCs w:val="24"/>
        </w:rPr>
        <w:footnoteReference w:id="4"/>
      </w:r>
      <w:r w:rsidR="00C07872" w:rsidRPr="00797AC8">
        <w:rPr>
          <w:rFonts w:ascii="Arial" w:hAnsi="Arial" w:cs="Arial"/>
          <w:sz w:val="24"/>
          <w:szCs w:val="24"/>
        </w:rPr>
        <w:t xml:space="preserve"> </w:t>
      </w:r>
      <w:r w:rsidR="00937F9C" w:rsidRPr="00797AC8">
        <w:rPr>
          <w:rFonts w:ascii="Arial" w:hAnsi="Arial" w:cs="Arial"/>
          <w:sz w:val="24"/>
          <w:szCs w:val="24"/>
        </w:rPr>
        <w:t>t</w:t>
      </w:r>
      <w:r w:rsidR="004E6938" w:rsidRPr="00797AC8">
        <w:rPr>
          <w:rFonts w:ascii="Arial" w:hAnsi="Arial" w:cs="Arial"/>
          <w:sz w:val="24"/>
          <w:szCs w:val="24"/>
        </w:rPr>
        <w:t>he consumer defendant applied for rescission of default judgment granted by the registrar on the basis that the registrar was not competent to do so as it was not ‘</w:t>
      </w:r>
      <w:r w:rsidR="00B1373B" w:rsidRPr="00797AC8">
        <w:rPr>
          <w:rFonts w:ascii="Arial" w:hAnsi="Arial" w:cs="Arial"/>
          <w:sz w:val="24"/>
          <w:szCs w:val="24"/>
        </w:rPr>
        <w:t xml:space="preserve">the </w:t>
      </w:r>
      <w:r w:rsidR="004E6938" w:rsidRPr="00797AC8">
        <w:rPr>
          <w:rFonts w:ascii="Arial" w:hAnsi="Arial" w:cs="Arial"/>
          <w:sz w:val="24"/>
          <w:szCs w:val="24"/>
        </w:rPr>
        <w:t>court’ as required by section 130 of the NCA. Tlhapi J</w:t>
      </w:r>
      <w:r w:rsidR="001A1F7C" w:rsidRPr="00797AC8">
        <w:rPr>
          <w:rFonts w:ascii="Arial" w:hAnsi="Arial" w:cs="Arial"/>
          <w:sz w:val="24"/>
          <w:szCs w:val="24"/>
        </w:rPr>
        <w:t xml:space="preserve"> for this Division</w:t>
      </w:r>
      <w:r w:rsidR="004E6938" w:rsidRPr="00797AC8">
        <w:rPr>
          <w:rFonts w:ascii="Arial" w:hAnsi="Arial" w:cs="Arial"/>
          <w:sz w:val="24"/>
          <w:szCs w:val="24"/>
        </w:rPr>
        <w:t xml:space="preserve"> </w:t>
      </w:r>
      <w:r w:rsidR="00A80AE3" w:rsidRPr="00797AC8">
        <w:rPr>
          <w:rFonts w:ascii="Arial" w:hAnsi="Arial" w:cs="Arial"/>
          <w:sz w:val="24"/>
          <w:szCs w:val="24"/>
        </w:rPr>
        <w:t xml:space="preserve">found </w:t>
      </w:r>
      <w:r w:rsidR="004E6938" w:rsidRPr="00797AC8">
        <w:rPr>
          <w:rFonts w:ascii="Arial" w:hAnsi="Arial" w:cs="Arial"/>
          <w:sz w:val="24"/>
          <w:szCs w:val="24"/>
        </w:rPr>
        <w:t>that the registrar was competent to grant default judgment, and so refused to rescind the default judgment.</w:t>
      </w:r>
      <w:r w:rsidR="00A80AE3" w:rsidRPr="00797AC8">
        <w:rPr>
          <w:rFonts w:ascii="Arial" w:hAnsi="Arial" w:cs="Arial"/>
          <w:sz w:val="24"/>
          <w:szCs w:val="24"/>
        </w:rPr>
        <w:t xml:space="preserve"> The court did so after considering section 23 of the Superior Courts Act, 2013</w:t>
      </w:r>
      <w:r w:rsidR="0005246C" w:rsidRPr="00797AC8">
        <w:rPr>
          <w:rFonts w:ascii="Arial" w:hAnsi="Arial" w:cs="Arial"/>
          <w:sz w:val="24"/>
          <w:szCs w:val="24"/>
        </w:rPr>
        <w:t xml:space="preserve"> and rejecting submissions on behalf of the defendant for rescission that Jafta J in a minority </w:t>
      </w:r>
      <w:r w:rsidR="00B1373B" w:rsidRPr="00797AC8">
        <w:rPr>
          <w:rFonts w:ascii="Arial" w:hAnsi="Arial" w:cs="Arial"/>
          <w:sz w:val="24"/>
          <w:szCs w:val="24"/>
        </w:rPr>
        <w:t xml:space="preserve">judgment </w:t>
      </w:r>
      <w:r w:rsidR="0005246C" w:rsidRPr="00797AC8">
        <w:rPr>
          <w:rFonts w:ascii="Arial" w:hAnsi="Arial" w:cs="Arial"/>
          <w:sz w:val="24"/>
          <w:szCs w:val="24"/>
        </w:rPr>
        <w:t xml:space="preserve">in </w:t>
      </w:r>
      <w:r w:rsidR="0005246C" w:rsidRPr="00797AC8">
        <w:rPr>
          <w:rFonts w:ascii="Arial" w:hAnsi="Arial" w:cs="Arial"/>
          <w:i/>
          <w:iCs/>
          <w:sz w:val="24"/>
          <w:szCs w:val="24"/>
        </w:rPr>
        <w:t xml:space="preserve">Nkata v FirstRand Bank </w:t>
      </w:r>
      <w:r w:rsidR="0005246C" w:rsidRPr="00797AC8">
        <w:rPr>
          <w:rFonts w:ascii="Arial" w:hAnsi="Arial" w:cs="Arial"/>
          <w:sz w:val="24"/>
          <w:szCs w:val="24"/>
        </w:rPr>
        <w:t>2016 (4) SA 25</w:t>
      </w:r>
      <w:r w:rsidR="00D74B80" w:rsidRPr="00797AC8">
        <w:rPr>
          <w:rFonts w:ascii="Arial" w:hAnsi="Arial" w:cs="Arial"/>
          <w:sz w:val="24"/>
          <w:szCs w:val="24"/>
        </w:rPr>
        <w:t>7</w:t>
      </w:r>
      <w:r w:rsidR="0005246C" w:rsidRPr="00797AC8">
        <w:rPr>
          <w:rFonts w:ascii="Arial" w:hAnsi="Arial" w:cs="Arial"/>
          <w:sz w:val="24"/>
          <w:szCs w:val="24"/>
        </w:rPr>
        <w:t xml:space="preserve"> (CC) and again in</w:t>
      </w:r>
      <w:r w:rsidR="001A1F7C" w:rsidRPr="00797AC8">
        <w:rPr>
          <w:rFonts w:ascii="Arial" w:hAnsi="Arial" w:cs="Arial"/>
          <w:sz w:val="24"/>
          <w:szCs w:val="24"/>
        </w:rPr>
        <w:t xml:space="preserve"> a minority judgment in</w:t>
      </w:r>
      <w:r w:rsidR="0005246C" w:rsidRPr="00797AC8">
        <w:rPr>
          <w:rFonts w:ascii="Arial" w:hAnsi="Arial" w:cs="Arial"/>
          <w:sz w:val="24"/>
          <w:szCs w:val="24"/>
        </w:rPr>
        <w:t xml:space="preserve"> </w:t>
      </w:r>
      <w:r w:rsidR="0005246C" w:rsidRPr="00797AC8">
        <w:rPr>
          <w:rFonts w:ascii="Arial" w:hAnsi="Arial" w:cs="Arial"/>
          <w:i/>
          <w:iCs/>
          <w:sz w:val="24"/>
          <w:szCs w:val="24"/>
        </w:rPr>
        <w:t>University of Stellenbosch Legal Aid Clinic and Others v Minister of Justice and Correctional Services and Others</w:t>
      </w:r>
      <w:r w:rsidR="0005246C" w:rsidRPr="00797AC8">
        <w:rPr>
          <w:rFonts w:ascii="Arial" w:hAnsi="Arial" w:cs="Arial"/>
          <w:sz w:val="24"/>
          <w:szCs w:val="24"/>
        </w:rPr>
        <w:t xml:space="preserve"> 2016 (6) SA 596 (CC) </w:t>
      </w:r>
      <w:r w:rsidR="00B1373B" w:rsidRPr="00797AC8">
        <w:rPr>
          <w:rFonts w:ascii="Arial" w:hAnsi="Arial" w:cs="Arial"/>
          <w:sz w:val="24"/>
          <w:szCs w:val="24"/>
        </w:rPr>
        <w:t xml:space="preserve">had found that </w:t>
      </w:r>
      <w:r w:rsidR="0005246C" w:rsidRPr="00797AC8">
        <w:rPr>
          <w:rFonts w:ascii="Arial" w:hAnsi="Arial" w:cs="Arial"/>
          <w:sz w:val="24"/>
          <w:szCs w:val="24"/>
        </w:rPr>
        <w:t>it was only for a court, and not the registrar, to determine NCA claims as required by section 130</w:t>
      </w:r>
      <w:r w:rsidR="001A1F7C" w:rsidRPr="00797AC8">
        <w:rPr>
          <w:rFonts w:ascii="Arial" w:hAnsi="Arial" w:cs="Arial"/>
          <w:sz w:val="24"/>
          <w:szCs w:val="24"/>
        </w:rPr>
        <w:t xml:space="preserve"> of the NCA.</w:t>
      </w:r>
      <w:r w:rsidR="0005246C" w:rsidRPr="00797AC8">
        <w:rPr>
          <w:rFonts w:ascii="Arial" w:hAnsi="Arial" w:cs="Arial"/>
          <w:sz w:val="24"/>
          <w:szCs w:val="24"/>
        </w:rPr>
        <w:t xml:space="preserve">  </w:t>
      </w:r>
    </w:p>
    <w:p w14:paraId="5F3AB161" w14:textId="6D1CEA39" w:rsidR="001A1F7C"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1A1F7C" w:rsidRPr="00797AC8">
        <w:rPr>
          <w:rFonts w:ascii="Arial" w:hAnsi="Arial" w:cs="Arial"/>
          <w:sz w:val="24"/>
          <w:szCs w:val="24"/>
        </w:rPr>
        <w:t>But decisions would then follow in this, and other, Divisions that went the other way and found that the registrar was not competent to grant default judgment in NCA actions.</w:t>
      </w:r>
    </w:p>
    <w:p w14:paraId="6545A825" w14:textId="0CC27441" w:rsidR="001A1F7C" w:rsidRPr="00797AC8" w:rsidRDefault="00797AC8" w:rsidP="00797AC8">
      <w:pPr>
        <w:spacing w:before="360" w:after="360" w:line="480" w:lineRule="auto"/>
        <w:ind w:left="624" w:right="117" w:hanging="624"/>
        <w:jc w:val="both"/>
        <w:rPr>
          <w:rFonts w:ascii="Arial" w:hAnsi="Arial" w:cs="Arial"/>
          <w:sz w:val="24"/>
          <w:szCs w:val="24"/>
        </w:rPr>
      </w:pPr>
      <w:r w:rsidRPr="001A1F7C">
        <w:rPr>
          <w:rFonts w:ascii="Arial" w:hAnsi="Arial" w:cs="Arial"/>
          <w:sz w:val="24"/>
          <w:szCs w:val="24"/>
        </w:rPr>
        <w:t>15.</w:t>
      </w:r>
      <w:r w:rsidRPr="001A1F7C">
        <w:rPr>
          <w:rFonts w:ascii="Arial" w:hAnsi="Arial" w:cs="Arial"/>
          <w:sz w:val="24"/>
          <w:szCs w:val="24"/>
        </w:rPr>
        <w:tab/>
      </w:r>
      <w:r w:rsidR="001A1F7C" w:rsidRPr="00797AC8">
        <w:rPr>
          <w:rFonts w:ascii="Arial" w:hAnsi="Arial" w:cs="Arial"/>
          <w:sz w:val="24"/>
          <w:szCs w:val="24"/>
        </w:rPr>
        <w:t>In</w:t>
      </w:r>
      <w:r w:rsidR="001A1F7C" w:rsidRPr="00797AC8">
        <w:rPr>
          <w:rFonts w:ascii="Arial" w:hAnsi="Arial" w:cs="Arial"/>
          <w:i/>
          <w:iCs/>
          <w:sz w:val="24"/>
          <w:szCs w:val="24"/>
        </w:rPr>
        <w:t xml:space="preserve"> Theu v First Rand Auto Receivables (RF) Limited</w:t>
      </w:r>
      <w:r w:rsidR="001A1F7C" w:rsidRPr="001A1F7C">
        <w:rPr>
          <w:rStyle w:val="FootnoteReference"/>
          <w:rFonts w:ascii="Arial" w:hAnsi="Arial" w:cs="Arial"/>
          <w:i/>
          <w:iCs/>
          <w:sz w:val="24"/>
          <w:szCs w:val="24"/>
        </w:rPr>
        <w:footnoteReference w:id="5"/>
      </w:r>
      <w:r w:rsidR="001A1F7C" w:rsidRPr="00797AC8">
        <w:rPr>
          <w:rFonts w:ascii="Arial" w:hAnsi="Arial" w:cs="Arial"/>
          <w:i/>
          <w:iCs/>
          <w:sz w:val="24"/>
          <w:szCs w:val="24"/>
        </w:rPr>
        <w:t xml:space="preserve"> </w:t>
      </w:r>
      <w:r w:rsidR="001A1F7C" w:rsidRPr="00797AC8">
        <w:rPr>
          <w:rFonts w:ascii="Arial" w:hAnsi="Arial" w:cs="Arial"/>
          <w:sz w:val="24"/>
          <w:szCs w:val="24"/>
        </w:rPr>
        <w:t xml:space="preserve">Matebese AJ </w:t>
      </w:r>
      <w:r w:rsidR="00B1373B" w:rsidRPr="00797AC8">
        <w:rPr>
          <w:rFonts w:ascii="Arial" w:hAnsi="Arial" w:cs="Arial"/>
          <w:sz w:val="24"/>
          <w:szCs w:val="24"/>
        </w:rPr>
        <w:t xml:space="preserve">in this Division </w:t>
      </w:r>
      <w:r w:rsidR="001A1F7C" w:rsidRPr="00797AC8">
        <w:rPr>
          <w:rFonts w:ascii="Arial" w:hAnsi="Arial" w:cs="Arial"/>
          <w:sz w:val="24"/>
          <w:szCs w:val="24"/>
        </w:rPr>
        <w:t>reasoned</w:t>
      </w:r>
      <w:r w:rsidR="001629D4" w:rsidRPr="00797AC8">
        <w:rPr>
          <w:rFonts w:ascii="Arial" w:hAnsi="Arial" w:cs="Arial"/>
          <w:sz w:val="24"/>
          <w:szCs w:val="24"/>
        </w:rPr>
        <w:t xml:space="preserve">, having raised the issue </w:t>
      </w:r>
      <w:r w:rsidR="001629D4" w:rsidRPr="00797AC8">
        <w:rPr>
          <w:rFonts w:ascii="Arial" w:hAnsi="Arial" w:cs="Arial"/>
          <w:i/>
          <w:iCs/>
          <w:sz w:val="24"/>
          <w:szCs w:val="24"/>
        </w:rPr>
        <w:t xml:space="preserve">mero motu </w:t>
      </w:r>
      <w:r w:rsidR="001629D4" w:rsidRPr="00797AC8">
        <w:rPr>
          <w:rFonts w:ascii="Arial" w:hAnsi="Arial" w:cs="Arial"/>
          <w:sz w:val="24"/>
          <w:szCs w:val="24"/>
        </w:rPr>
        <w:t xml:space="preserve">and having subsequently received written submissions from the parties, </w:t>
      </w:r>
      <w:r w:rsidR="001A1F7C" w:rsidRPr="00797AC8">
        <w:rPr>
          <w:rFonts w:ascii="Arial" w:hAnsi="Arial" w:cs="Arial"/>
          <w:sz w:val="24"/>
          <w:szCs w:val="24"/>
        </w:rPr>
        <w:t>with particular reference to the</w:t>
      </w:r>
      <w:r w:rsidR="001629D4" w:rsidRPr="00797AC8">
        <w:rPr>
          <w:rFonts w:ascii="Arial" w:hAnsi="Arial" w:cs="Arial"/>
          <w:sz w:val="24"/>
          <w:szCs w:val="24"/>
        </w:rPr>
        <w:t xml:space="preserve"> statements made by </w:t>
      </w:r>
      <w:r w:rsidR="001A1F7C" w:rsidRPr="00797AC8">
        <w:rPr>
          <w:rFonts w:ascii="Arial" w:hAnsi="Arial" w:cs="Arial"/>
          <w:sz w:val="24"/>
          <w:szCs w:val="24"/>
        </w:rPr>
        <w:t xml:space="preserve"> Jafta J in</w:t>
      </w:r>
      <w:r w:rsidR="001629D4" w:rsidRPr="00797AC8">
        <w:rPr>
          <w:rFonts w:ascii="Arial" w:hAnsi="Arial" w:cs="Arial"/>
          <w:sz w:val="24"/>
          <w:szCs w:val="24"/>
        </w:rPr>
        <w:t xml:space="preserve"> his minority judgment in</w:t>
      </w:r>
      <w:r w:rsidR="001A1F7C" w:rsidRPr="00797AC8">
        <w:rPr>
          <w:rFonts w:ascii="Arial" w:hAnsi="Arial" w:cs="Arial"/>
          <w:sz w:val="24"/>
          <w:szCs w:val="24"/>
        </w:rPr>
        <w:t xml:space="preserve"> </w:t>
      </w:r>
      <w:r w:rsidR="001A1F7C" w:rsidRPr="00797AC8">
        <w:rPr>
          <w:rFonts w:ascii="Arial" w:hAnsi="Arial" w:cs="Arial"/>
          <w:i/>
          <w:iCs/>
          <w:sz w:val="24"/>
          <w:szCs w:val="24"/>
        </w:rPr>
        <w:t>Nkata</w:t>
      </w:r>
      <w:r w:rsidR="001A1F7C" w:rsidRPr="00797AC8">
        <w:rPr>
          <w:rFonts w:ascii="Arial" w:hAnsi="Arial" w:cs="Arial"/>
          <w:sz w:val="24"/>
          <w:szCs w:val="24"/>
        </w:rPr>
        <w:t xml:space="preserve">, that the oversight function </w:t>
      </w:r>
      <w:r w:rsidR="00B1373B" w:rsidRPr="00797AC8">
        <w:rPr>
          <w:rFonts w:ascii="Arial" w:hAnsi="Arial" w:cs="Arial"/>
          <w:sz w:val="24"/>
          <w:szCs w:val="24"/>
        </w:rPr>
        <w:t xml:space="preserve">required </w:t>
      </w:r>
      <w:r w:rsidR="001A1F7C" w:rsidRPr="00797AC8">
        <w:rPr>
          <w:rFonts w:ascii="Arial" w:hAnsi="Arial" w:cs="Arial"/>
          <w:sz w:val="24"/>
          <w:szCs w:val="24"/>
        </w:rPr>
        <w:t>by section 130 requires much interpretative exercise and so could not be done by the registrar but must be done by the court.</w:t>
      </w:r>
      <w:r w:rsidR="001A1F7C" w:rsidRPr="001A1F7C">
        <w:rPr>
          <w:rStyle w:val="FootnoteReference"/>
          <w:rFonts w:ascii="Arial" w:hAnsi="Arial" w:cs="Arial"/>
          <w:sz w:val="24"/>
          <w:szCs w:val="24"/>
        </w:rPr>
        <w:footnoteReference w:id="6"/>
      </w:r>
      <w:r w:rsidR="001A1F7C" w:rsidRPr="00797AC8">
        <w:rPr>
          <w:rFonts w:ascii="Arial" w:hAnsi="Arial" w:cs="Arial"/>
          <w:sz w:val="24"/>
          <w:szCs w:val="24"/>
        </w:rPr>
        <w:t xml:space="preserve"> In that matter too the consumer had approached the court to rescind a default judgment that had been granted against her by the registrar. As the court found that the registrar had no power to grant the default judgment, it declared the default judgment a nullity and set aside the warrant issued pursuant to that default judgment. In addition the credit provider was ordered to pay the costs of the rescission application.</w:t>
      </w:r>
    </w:p>
    <w:p w14:paraId="2B637A61" w14:textId="10A4D0DD" w:rsidR="00BA4116" w:rsidRPr="00797AC8" w:rsidRDefault="00797AC8" w:rsidP="00797AC8">
      <w:pPr>
        <w:spacing w:before="360" w:after="360" w:line="480" w:lineRule="auto"/>
        <w:ind w:left="624" w:right="117" w:hanging="624"/>
        <w:jc w:val="both"/>
        <w:rPr>
          <w:rFonts w:ascii="Arial" w:hAnsi="Arial" w:cs="Arial"/>
          <w:sz w:val="24"/>
          <w:szCs w:val="24"/>
        </w:rPr>
      </w:pPr>
      <w:r w:rsidRPr="00BA4116">
        <w:rPr>
          <w:rFonts w:ascii="Arial" w:hAnsi="Arial" w:cs="Arial"/>
          <w:sz w:val="24"/>
          <w:szCs w:val="24"/>
        </w:rPr>
        <w:t>16.</w:t>
      </w:r>
      <w:r w:rsidRPr="00BA4116">
        <w:rPr>
          <w:rFonts w:ascii="Arial" w:hAnsi="Arial" w:cs="Arial"/>
          <w:sz w:val="24"/>
          <w:szCs w:val="24"/>
        </w:rPr>
        <w:tab/>
      </w:r>
      <w:r w:rsidR="00BA4116" w:rsidRPr="00797AC8">
        <w:rPr>
          <w:rFonts w:ascii="Arial" w:hAnsi="Arial" w:cs="Arial"/>
          <w:sz w:val="24"/>
          <w:szCs w:val="24"/>
        </w:rPr>
        <w:t xml:space="preserve">Thereafter Mabuse J in </w:t>
      </w:r>
      <w:r w:rsidR="00BA4116" w:rsidRPr="00797AC8">
        <w:rPr>
          <w:rFonts w:ascii="Arial" w:hAnsi="Arial" w:cs="Arial"/>
          <w:i/>
          <w:iCs/>
          <w:sz w:val="24"/>
          <w:szCs w:val="24"/>
        </w:rPr>
        <w:t>Seleka v Fast Issuer SPV (RF) Limited and Another</w:t>
      </w:r>
      <w:r w:rsidR="00BA4116" w:rsidRPr="00BA4116">
        <w:rPr>
          <w:rStyle w:val="FootnoteReference"/>
          <w:rFonts w:ascii="Arial" w:hAnsi="Arial" w:cs="Arial"/>
          <w:i/>
          <w:iCs/>
          <w:sz w:val="24"/>
          <w:szCs w:val="24"/>
        </w:rPr>
        <w:footnoteReference w:id="7"/>
      </w:r>
      <w:r w:rsidR="00BA4116" w:rsidRPr="00797AC8">
        <w:rPr>
          <w:rFonts w:ascii="Arial" w:hAnsi="Arial" w:cs="Arial"/>
          <w:sz w:val="24"/>
          <w:szCs w:val="24"/>
        </w:rPr>
        <w:t xml:space="preserve"> </w:t>
      </w:r>
      <w:r w:rsidR="000E685A" w:rsidRPr="00797AC8">
        <w:rPr>
          <w:rFonts w:ascii="Arial" w:hAnsi="Arial" w:cs="Arial"/>
          <w:sz w:val="24"/>
          <w:szCs w:val="24"/>
        </w:rPr>
        <w:t xml:space="preserve">for this Division </w:t>
      </w:r>
      <w:r w:rsidR="00BA4116" w:rsidRPr="00797AC8">
        <w:rPr>
          <w:rFonts w:ascii="Arial" w:hAnsi="Arial" w:cs="Arial"/>
          <w:sz w:val="24"/>
          <w:szCs w:val="24"/>
        </w:rPr>
        <w:t xml:space="preserve">similarly rescinded a default judgment that had been granted by the registrar, again with the credit provider to pay the costs. Again the court relied upon the remarks made by Jafta J in </w:t>
      </w:r>
      <w:r w:rsidR="00BA4116" w:rsidRPr="00797AC8">
        <w:rPr>
          <w:rFonts w:ascii="Arial" w:hAnsi="Arial" w:cs="Arial"/>
          <w:i/>
          <w:iCs/>
          <w:sz w:val="24"/>
          <w:szCs w:val="24"/>
        </w:rPr>
        <w:t>Nkata</w:t>
      </w:r>
      <w:r w:rsidR="00B1373B" w:rsidRPr="00797AC8">
        <w:rPr>
          <w:rFonts w:ascii="Arial" w:hAnsi="Arial" w:cs="Arial"/>
          <w:i/>
          <w:iCs/>
          <w:sz w:val="24"/>
          <w:szCs w:val="24"/>
        </w:rPr>
        <w:t>.</w:t>
      </w:r>
      <w:r w:rsidR="00BA4116" w:rsidRPr="00BA4116">
        <w:rPr>
          <w:rStyle w:val="FootnoteReference"/>
          <w:rFonts w:ascii="Arial" w:hAnsi="Arial" w:cs="Arial"/>
          <w:i/>
          <w:iCs/>
          <w:sz w:val="24"/>
          <w:szCs w:val="24"/>
        </w:rPr>
        <w:footnoteReference w:id="8"/>
      </w:r>
    </w:p>
    <w:p w14:paraId="6FA417D1" w14:textId="00B195DF" w:rsidR="000E685A" w:rsidRPr="00797AC8" w:rsidRDefault="00797AC8" w:rsidP="00797AC8">
      <w:pPr>
        <w:spacing w:before="360" w:after="360" w:line="480" w:lineRule="auto"/>
        <w:ind w:left="624" w:right="117" w:hanging="624"/>
        <w:jc w:val="both"/>
        <w:rPr>
          <w:rFonts w:ascii="Arial" w:hAnsi="Arial" w:cs="Arial"/>
          <w:sz w:val="24"/>
          <w:szCs w:val="24"/>
        </w:rPr>
      </w:pPr>
      <w:r w:rsidRPr="000E685A">
        <w:rPr>
          <w:rFonts w:ascii="Arial" w:hAnsi="Arial" w:cs="Arial"/>
          <w:sz w:val="24"/>
          <w:szCs w:val="24"/>
        </w:rPr>
        <w:lastRenderedPageBreak/>
        <w:t>17.</w:t>
      </w:r>
      <w:r w:rsidRPr="000E685A">
        <w:rPr>
          <w:rFonts w:ascii="Arial" w:hAnsi="Arial" w:cs="Arial"/>
          <w:sz w:val="24"/>
          <w:szCs w:val="24"/>
        </w:rPr>
        <w:tab/>
      </w:r>
      <w:r w:rsidR="000E685A" w:rsidRPr="00797AC8">
        <w:rPr>
          <w:rFonts w:ascii="Arial" w:hAnsi="Arial" w:cs="Arial"/>
          <w:sz w:val="24"/>
          <w:szCs w:val="24"/>
        </w:rPr>
        <w:t xml:space="preserve">It is not only this Division that has found that the registrar cannot grant default judgment. Nkosi J  in the KwaZulu-Natal </w:t>
      </w:r>
      <w:r w:rsidR="00B46CD8" w:rsidRPr="00797AC8">
        <w:rPr>
          <w:rFonts w:ascii="Arial" w:hAnsi="Arial" w:cs="Arial"/>
          <w:sz w:val="24"/>
          <w:szCs w:val="24"/>
        </w:rPr>
        <w:t>Division</w:t>
      </w:r>
      <w:r w:rsidR="000E685A" w:rsidRPr="00797AC8">
        <w:rPr>
          <w:rFonts w:ascii="Arial" w:hAnsi="Arial" w:cs="Arial"/>
          <w:sz w:val="24"/>
          <w:szCs w:val="24"/>
        </w:rPr>
        <w:t xml:space="preserve">, Pietermaritzburg in </w:t>
      </w:r>
      <w:r w:rsidR="000E685A" w:rsidRPr="00797AC8">
        <w:rPr>
          <w:rFonts w:ascii="Arial" w:hAnsi="Arial" w:cs="Arial"/>
          <w:i/>
          <w:iCs/>
          <w:sz w:val="24"/>
          <w:szCs w:val="24"/>
        </w:rPr>
        <w:t>Xulu v Standard Bank of South Africa Limited and Others</w:t>
      </w:r>
      <w:r w:rsidR="000E685A" w:rsidRPr="000E685A">
        <w:rPr>
          <w:rStyle w:val="FootnoteReference"/>
          <w:rFonts w:ascii="Arial" w:hAnsi="Arial" w:cs="Arial"/>
          <w:i/>
          <w:iCs/>
          <w:sz w:val="24"/>
          <w:szCs w:val="24"/>
        </w:rPr>
        <w:footnoteReference w:id="9"/>
      </w:r>
      <w:r w:rsidR="000E685A" w:rsidRPr="00797AC8">
        <w:rPr>
          <w:rFonts w:ascii="Arial" w:hAnsi="Arial" w:cs="Arial"/>
          <w:sz w:val="24"/>
          <w:szCs w:val="24"/>
        </w:rPr>
        <w:t xml:space="preserve"> similarly set aside a default judgment because the registrar had granted the default judgment. </w:t>
      </w:r>
      <w:r w:rsidR="00BC75F0" w:rsidRPr="00797AC8">
        <w:rPr>
          <w:rFonts w:ascii="Arial" w:hAnsi="Arial" w:cs="Arial"/>
          <w:sz w:val="24"/>
          <w:szCs w:val="24"/>
        </w:rPr>
        <w:t xml:space="preserve">The court, with reference to Jafta J’s minority judgment in </w:t>
      </w:r>
      <w:r w:rsidR="00BC75F0" w:rsidRPr="00797AC8">
        <w:rPr>
          <w:rFonts w:ascii="Arial" w:hAnsi="Arial" w:cs="Arial"/>
          <w:i/>
          <w:iCs/>
          <w:sz w:val="24"/>
          <w:szCs w:val="24"/>
        </w:rPr>
        <w:t>Nkata</w:t>
      </w:r>
      <w:r w:rsidR="00BC75F0" w:rsidRPr="00797AC8">
        <w:rPr>
          <w:rFonts w:ascii="Arial" w:hAnsi="Arial" w:cs="Arial"/>
          <w:sz w:val="24"/>
          <w:szCs w:val="24"/>
        </w:rPr>
        <w:t xml:space="preserve"> and also to the judgments in </w:t>
      </w:r>
      <w:r w:rsidR="00BC75F0" w:rsidRPr="00797AC8">
        <w:rPr>
          <w:rFonts w:ascii="Arial" w:hAnsi="Arial" w:cs="Arial"/>
          <w:i/>
          <w:iCs/>
          <w:sz w:val="24"/>
          <w:szCs w:val="24"/>
        </w:rPr>
        <w:t xml:space="preserve">Theu </w:t>
      </w:r>
      <w:r w:rsidR="00BC75F0" w:rsidRPr="00797AC8">
        <w:rPr>
          <w:rFonts w:ascii="Arial" w:hAnsi="Arial" w:cs="Arial"/>
          <w:sz w:val="24"/>
          <w:szCs w:val="24"/>
        </w:rPr>
        <w:t xml:space="preserve">and </w:t>
      </w:r>
      <w:r w:rsidR="00BC75F0" w:rsidRPr="00797AC8">
        <w:rPr>
          <w:rFonts w:ascii="Arial" w:hAnsi="Arial" w:cs="Arial"/>
          <w:i/>
          <w:iCs/>
          <w:sz w:val="24"/>
          <w:szCs w:val="24"/>
        </w:rPr>
        <w:t>Seleka</w:t>
      </w:r>
      <w:r w:rsidR="00B1373B" w:rsidRPr="00797AC8">
        <w:rPr>
          <w:rFonts w:ascii="Arial" w:hAnsi="Arial" w:cs="Arial"/>
          <w:i/>
          <w:iCs/>
          <w:sz w:val="24"/>
          <w:szCs w:val="24"/>
        </w:rPr>
        <w:t>,</w:t>
      </w:r>
      <w:r w:rsidR="00BC75F0" w:rsidRPr="00797AC8">
        <w:rPr>
          <w:rFonts w:ascii="Arial" w:hAnsi="Arial" w:cs="Arial"/>
          <w:i/>
          <w:iCs/>
          <w:sz w:val="24"/>
          <w:szCs w:val="24"/>
        </w:rPr>
        <w:t xml:space="preserve"> </w:t>
      </w:r>
      <w:r w:rsidR="00BC75F0" w:rsidRPr="00797AC8">
        <w:rPr>
          <w:rFonts w:ascii="Arial" w:hAnsi="Arial" w:cs="Arial"/>
          <w:sz w:val="24"/>
          <w:szCs w:val="24"/>
        </w:rPr>
        <w:t>considered the issue to be settled that the registrar was not competent to grant default judgments in NCA actions as section 130 required that ‘</w:t>
      </w:r>
      <w:r w:rsidR="00B1373B" w:rsidRPr="00797AC8">
        <w:rPr>
          <w:rFonts w:ascii="Arial" w:hAnsi="Arial" w:cs="Arial"/>
          <w:sz w:val="24"/>
          <w:szCs w:val="24"/>
        </w:rPr>
        <w:t xml:space="preserve">the </w:t>
      </w:r>
      <w:r w:rsidR="00BC75F0" w:rsidRPr="00797AC8">
        <w:rPr>
          <w:rFonts w:ascii="Arial" w:hAnsi="Arial" w:cs="Arial"/>
          <w:sz w:val="24"/>
          <w:szCs w:val="24"/>
        </w:rPr>
        <w:t>court’ determine the matter.</w:t>
      </w:r>
    </w:p>
    <w:p w14:paraId="177CD77C" w14:textId="57E6AAF3" w:rsidR="00BA4116"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65D27" w:rsidRPr="00797AC8">
        <w:rPr>
          <w:rFonts w:ascii="Arial" w:hAnsi="Arial" w:cs="Arial"/>
          <w:sz w:val="24"/>
          <w:szCs w:val="24"/>
        </w:rPr>
        <w:t xml:space="preserve">None of </w:t>
      </w:r>
      <w:r w:rsidR="00065D27" w:rsidRPr="00797AC8">
        <w:rPr>
          <w:rFonts w:ascii="Arial" w:hAnsi="Arial" w:cs="Arial"/>
          <w:i/>
          <w:iCs/>
          <w:sz w:val="24"/>
          <w:szCs w:val="24"/>
        </w:rPr>
        <w:t>Theu</w:t>
      </w:r>
      <w:r w:rsidR="00065D27" w:rsidRPr="00797AC8">
        <w:rPr>
          <w:rFonts w:ascii="Arial" w:hAnsi="Arial" w:cs="Arial"/>
          <w:sz w:val="24"/>
          <w:szCs w:val="24"/>
        </w:rPr>
        <w:t xml:space="preserve">, </w:t>
      </w:r>
      <w:r w:rsidR="00065D27" w:rsidRPr="00797AC8">
        <w:rPr>
          <w:rFonts w:ascii="Arial" w:hAnsi="Arial" w:cs="Arial"/>
          <w:i/>
          <w:iCs/>
          <w:sz w:val="24"/>
          <w:szCs w:val="24"/>
        </w:rPr>
        <w:t xml:space="preserve">Seleka </w:t>
      </w:r>
      <w:r w:rsidR="00065D27" w:rsidRPr="00797AC8">
        <w:rPr>
          <w:rFonts w:ascii="Arial" w:hAnsi="Arial" w:cs="Arial"/>
          <w:sz w:val="24"/>
          <w:szCs w:val="24"/>
        </w:rPr>
        <w:t xml:space="preserve">or </w:t>
      </w:r>
      <w:r w:rsidR="00065D27" w:rsidRPr="00797AC8">
        <w:rPr>
          <w:rFonts w:ascii="Arial" w:hAnsi="Arial" w:cs="Arial"/>
          <w:i/>
          <w:iCs/>
          <w:sz w:val="24"/>
          <w:szCs w:val="24"/>
        </w:rPr>
        <w:t>Xulu</w:t>
      </w:r>
      <w:r w:rsidR="00065D27" w:rsidRPr="00797AC8">
        <w:rPr>
          <w:rFonts w:ascii="Arial" w:hAnsi="Arial" w:cs="Arial"/>
          <w:sz w:val="24"/>
          <w:szCs w:val="24"/>
        </w:rPr>
        <w:t xml:space="preserve"> referred to the earlier decision of </w:t>
      </w:r>
      <w:r w:rsidR="00065D27" w:rsidRPr="00797AC8">
        <w:rPr>
          <w:rFonts w:ascii="Arial" w:hAnsi="Arial" w:cs="Arial"/>
          <w:i/>
          <w:iCs/>
          <w:sz w:val="24"/>
          <w:szCs w:val="24"/>
        </w:rPr>
        <w:t>Du Plessis</w:t>
      </w:r>
      <w:r w:rsidR="00065D27" w:rsidRPr="00797AC8">
        <w:rPr>
          <w:rFonts w:ascii="Arial" w:hAnsi="Arial" w:cs="Arial"/>
          <w:sz w:val="24"/>
          <w:szCs w:val="24"/>
        </w:rPr>
        <w:t xml:space="preserve"> and its reasoning.</w:t>
      </w:r>
    </w:p>
    <w:p w14:paraId="479DDE7C" w14:textId="240E037A" w:rsidR="00FE0E85" w:rsidRPr="00797AC8" w:rsidRDefault="00797AC8" w:rsidP="00797AC8">
      <w:pPr>
        <w:spacing w:before="360" w:after="360" w:line="480" w:lineRule="auto"/>
        <w:ind w:left="624" w:right="117" w:hanging="624"/>
        <w:jc w:val="both"/>
        <w:rPr>
          <w:rFonts w:ascii="Arial" w:hAnsi="Arial" w:cs="Arial"/>
          <w:strike/>
          <w:sz w:val="24"/>
          <w:szCs w:val="24"/>
        </w:rPr>
      </w:pPr>
      <w:r w:rsidRPr="003D1E15">
        <w:rPr>
          <w:rFonts w:ascii="Arial" w:hAnsi="Arial" w:cs="Arial"/>
          <w:sz w:val="24"/>
          <w:szCs w:val="24"/>
        </w:rPr>
        <w:t>19.</w:t>
      </w:r>
      <w:r w:rsidRPr="003D1E15">
        <w:rPr>
          <w:rFonts w:ascii="Arial" w:hAnsi="Arial" w:cs="Arial"/>
          <w:sz w:val="24"/>
          <w:szCs w:val="24"/>
        </w:rPr>
        <w:tab/>
      </w:r>
      <w:r w:rsidR="00065D27" w:rsidRPr="00797AC8">
        <w:rPr>
          <w:rFonts w:ascii="Arial" w:hAnsi="Arial" w:cs="Arial"/>
          <w:sz w:val="24"/>
          <w:szCs w:val="24"/>
        </w:rPr>
        <w:t>The full court decision of the Mpumalanga Division in</w:t>
      </w:r>
      <w:r w:rsidR="00065D27" w:rsidRPr="00797AC8">
        <w:rPr>
          <w:rFonts w:ascii="Arial" w:hAnsi="Arial" w:cs="Arial"/>
          <w:i/>
          <w:iCs/>
          <w:sz w:val="24"/>
          <w:szCs w:val="24"/>
        </w:rPr>
        <w:t xml:space="preserve"> Mollentze</w:t>
      </w:r>
      <w:r w:rsidR="00010EA1">
        <w:rPr>
          <w:rStyle w:val="FootnoteReference"/>
          <w:rFonts w:ascii="Arial" w:hAnsi="Arial" w:cs="Arial"/>
          <w:i/>
          <w:iCs/>
          <w:sz w:val="24"/>
          <w:szCs w:val="24"/>
        </w:rPr>
        <w:footnoteReference w:id="10"/>
      </w:r>
      <w:r w:rsidR="00065D27" w:rsidRPr="00797AC8">
        <w:rPr>
          <w:rFonts w:ascii="Arial" w:hAnsi="Arial" w:cs="Arial"/>
          <w:sz w:val="24"/>
          <w:szCs w:val="24"/>
        </w:rPr>
        <w:t xml:space="preserve"> followed. The decision is important for several reasons. Firstly, </w:t>
      </w:r>
      <w:r w:rsidR="00F807F6" w:rsidRPr="00797AC8">
        <w:rPr>
          <w:rFonts w:ascii="Arial" w:hAnsi="Arial" w:cs="Arial"/>
          <w:sz w:val="24"/>
          <w:szCs w:val="24"/>
        </w:rPr>
        <w:t>as</w:t>
      </w:r>
      <w:r w:rsidR="00065D27" w:rsidRPr="00797AC8">
        <w:rPr>
          <w:rFonts w:ascii="Arial" w:hAnsi="Arial" w:cs="Arial"/>
          <w:sz w:val="24"/>
          <w:szCs w:val="24"/>
        </w:rPr>
        <w:t xml:space="preserve"> a decision of the full court, while not binding</w:t>
      </w:r>
      <w:r w:rsidR="00B1373B" w:rsidRPr="00797AC8">
        <w:rPr>
          <w:rFonts w:ascii="Arial" w:hAnsi="Arial" w:cs="Arial"/>
          <w:sz w:val="24"/>
          <w:szCs w:val="24"/>
        </w:rPr>
        <w:t xml:space="preserve"> in this Division</w:t>
      </w:r>
      <w:r w:rsidR="00065D27" w:rsidRPr="00797AC8">
        <w:rPr>
          <w:rFonts w:ascii="Arial" w:hAnsi="Arial" w:cs="Arial"/>
          <w:sz w:val="24"/>
          <w:szCs w:val="24"/>
        </w:rPr>
        <w:t xml:space="preserve">, from the perspective of precedent </w:t>
      </w:r>
      <w:r w:rsidR="00F807F6" w:rsidRPr="00797AC8">
        <w:rPr>
          <w:rFonts w:ascii="Arial" w:hAnsi="Arial" w:cs="Arial"/>
          <w:sz w:val="24"/>
          <w:szCs w:val="24"/>
        </w:rPr>
        <w:t xml:space="preserve">it </w:t>
      </w:r>
      <w:r w:rsidR="00065D27" w:rsidRPr="00797AC8">
        <w:rPr>
          <w:rFonts w:ascii="Arial" w:hAnsi="Arial" w:cs="Arial"/>
          <w:sz w:val="24"/>
          <w:szCs w:val="24"/>
        </w:rPr>
        <w:t>is to be considered highly persuasive.</w:t>
      </w:r>
      <w:r w:rsidR="00FE0E85" w:rsidRPr="00797AC8">
        <w:rPr>
          <w:rFonts w:ascii="Arial" w:hAnsi="Arial" w:cs="Arial"/>
          <w:sz w:val="24"/>
          <w:szCs w:val="24"/>
        </w:rPr>
        <w:t xml:space="preserve"> Secondly, whereas in the preceding matters the issue had been decided in the context of rescission proceedings,</w:t>
      </w:r>
      <w:r w:rsidR="00D32BA4" w:rsidRPr="00797AC8">
        <w:rPr>
          <w:rFonts w:ascii="Arial" w:hAnsi="Arial" w:cs="Arial"/>
          <w:sz w:val="24"/>
          <w:szCs w:val="24"/>
        </w:rPr>
        <w:t xml:space="preserve"> </w:t>
      </w:r>
      <w:r w:rsidR="00B1373B" w:rsidRPr="00797AC8">
        <w:rPr>
          <w:rFonts w:ascii="Arial" w:hAnsi="Arial" w:cs="Arial"/>
          <w:sz w:val="24"/>
          <w:szCs w:val="24"/>
        </w:rPr>
        <w:t>the</w:t>
      </w:r>
      <w:r w:rsidR="00FE0E85" w:rsidRPr="00797AC8">
        <w:rPr>
          <w:rFonts w:ascii="Arial" w:hAnsi="Arial" w:cs="Arial"/>
          <w:sz w:val="24"/>
          <w:szCs w:val="24"/>
        </w:rPr>
        <w:t xml:space="preserve"> </w:t>
      </w:r>
      <w:r w:rsidR="00D32BA4" w:rsidRPr="00797AC8">
        <w:rPr>
          <w:rFonts w:ascii="Arial" w:hAnsi="Arial" w:cs="Arial"/>
          <w:sz w:val="24"/>
          <w:szCs w:val="24"/>
        </w:rPr>
        <w:t xml:space="preserve">full </w:t>
      </w:r>
      <w:r w:rsidR="00FE0E85" w:rsidRPr="00797AC8">
        <w:rPr>
          <w:rFonts w:ascii="Arial" w:hAnsi="Arial" w:cs="Arial"/>
          <w:sz w:val="24"/>
          <w:szCs w:val="24"/>
        </w:rPr>
        <w:t xml:space="preserve">court </w:t>
      </w:r>
      <w:r w:rsidR="00D32BA4" w:rsidRPr="00797AC8">
        <w:rPr>
          <w:rFonts w:ascii="Arial" w:hAnsi="Arial" w:cs="Arial"/>
          <w:sz w:val="24"/>
          <w:szCs w:val="24"/>
        </w:rPr>
        <w:t>had been</w:t>
      </w:r>
      <w:r w:rsidR="00FE0E85" w:rsidRPr="00797AC8">
        <w:rPr>
          <w:rFonts w:ascii="Arial" w:hAnsi="Arial" w:cs="Arial"/>
          <w:sz w:val="24"/>
          <w:szCs w:val="24"/>
        </w:rPr>
        <w:t xml:space="preserve"> specifically constituted to squarely consider </w:t>
      </w:r>
      <w:r w:rsidR="00FE0E85" w:rsidRPr="00797AC8">
        <w:rPr>
          <w:rFonts w:ascii="Arial" w:hAnsi="Arial" w:cs="Arial"/>
          <w:i/>
          <w:iCs/>
          <w:sz w:val="24"/>
          <w:szCs w:val="24"/>
        </w:rPr>
        <w:t>inter alia</w:t>
      </w:r>
      <w:r w:rsidR="00FE0E85" w:rsidRPr="00797AC8">
        <w:rPr>
          <w:rFonts w:ascii="Arial" w:hAnsi="Arial" w:cs="Arial"/>
          <w:sz w:val="24"/>
          <w:szCs w:val="24"/>
        </w:rPr>
        <w:t xml:space="preserve"> whether the registrar was competent to grant default judgments in NCA matters in terms of </w:t>
      </w:r>
      <w:r w:rsidR="003E64DF" w:rsidRPr="00797AC8">
        <w:rPr>
          <w:rFonts w:ascii="Arial" w:hAnsi="Arial" w:cs="Arial"/>
          <w:sz w:val="24"/>
          <w:szCs w:val="24"/>
        </w:rPr>
        <w:t xml:space="preserve">rule </w:t>
      </w:r>
      <w:r w:rsidR="00FE0E85" w:rsidRPr="00797AC8">
        <w:rPr>
          <w:rFonts w:ascii="Arial" w:hAnsi="Arial" w:cs="Arial"/>
          <w:sz w:val="24"/>
          <w:szCs w:val="24"/>
        </w:rPr>
        <w:t>31(5</w:t>
      </w:r>
      <w:r w:rsidR="003E64DF" w:rsidRPr="00797AC8">
        <w:rPr>
          <w:rFonts w:ascii="Arial" w:hAnsi="Arial" w:cs="Arial"/>
          <w:sz w:val="24"/>
          <w:szCs w:val="24"/>
        </w:rPr>
        <w:t>)</w:t>
      </w:r>
      <w:r w:rsidR="00FE0E85" w:rsidRPr="00797AC8">
        <w:rPr>
          <w:rFonts w:ascii="Arial" w:hAnsi="Arial" w:cs="Arial"/>
          <w:sz w:val="24"/>
          <w:szCs w:val="24"/>
        </w:rPr>
        <w:t xml:space="preserve">, and which it did </w:t>
      </w:r>
      <w:r w:rsidR="00065D27" w:rsidRPr="00797AC8">
        <w:rPr>
          <w:rFonts w:ascii="Arial" w:hAnsi="Arial" w:cs="Arial"/>
          <w:sz w:val="24"/>
          <w:szCs w:val="24"/>
        </w:rPr>
        <w:t xml:space="preserve">after hearing argument </w:t>
      </w:r>
      <w:r w:rsidR="00FE0E85" w:rsidRPr="00797AC8">
        <w:rPr>
          <w:rFonts w:ascii="Arial" w:hAnsi="Arial" w:cs="Arial"/>
          <w:sz w:val="24"/>
          <w:szCs w:val="24"/>
        </w:rPr>
        <w:t xml:space="preserve">from both the </w:t>
      </w:r>
      <w:r w:rsidR="00D32BA4" w:rsidRPr="00797AC8">
        <w:rPr>
          <w:rFonts w:ascii="Arial" w:hAnsi="Arial" w:cs="Arial"/>
          <w:sz w:val="24"/>
          <w:szCs w:val="24"/>
        </w:rPr>
        <w:t>applicants</w:t>
      </w:r>
      <w:r w:rsidR="00FE0E85" w:rsidRPr="00797AC8">
        <w:rPr>
          <w:rFonts w:ascii="Arial" w:hAnsi="Arial" w:cs="Arial"/>
          <w:sz w:val="24"/>
          <w:szCs w:val="24"/>
        </w:rPr>
        <w:t xml:space="preserve"> in that matter and B</w:t>
      </w:r>
      <w:r w:rsidR="00D32BA4" w:rsidRPr="00797AC8">
        <w:rPr>
          <w:rFonts w:ascii="Arial" w:hAnsi="Arial" w:cs="Arial"/>
          <w:sz w:val="24"/>
          <w:szCs w:val="24"/>
        </w:rPr>
        <w:t xml:space="preserve">ASA.  Thirdly, the full court specifically considered the earlier decisions of </w:t>
      </w:r>
      <w:r w:rsidR="00D32BA4" w:rsidRPr="00797AC8">
        <w:rPr>
          <w:rFonts w:ascii="Arial" w:hAnsi="Arial" w:cs="Arial"/>
          <w:i/>
          <w:iCs/>
          <w:sz w:val="24"/>
          <w:szCs w:val="24"/>
        </w:rPr>
        <w:t>Theu</w:t>
      </w:r>
      <w:r w:rsidR="00D32BA4" w:rsidRPr="00797AC8">
        <w:rPr>
          <w:rFonts w:ascii="Arial" w:hAnsi="Arial" w:cs="Arial"/>
          <w:sz w:val="24"/>
          <w:szCs w:val="24"/>
        </w:rPr>
        <w:t xml:space="preserve">, </w:t>
      </w:r>
      <w:r w:rsidR="00D32BA4" w:rsidRPr="00797AC8">
        <w:rPr>
          <w:rFonts w:ascii="Arial" w:hAnsi="Arial" w:cs="Arial"/>
          <w:i/>
          <w:iCs/>
          <w:sz w:val="24"/>
          <w:szCs w:val="24"/>
        </w:rPr>
        <w:t xml:space="preserve">Seleka </w:t>
      </w:r>
      <w:r w:rsidR="00D32BA4" w:rsidRPr="00797AC8">
        <w:rPr>
          <w:rFonts w:ascii="Arial" w:hAnsi="Arial" w:cs="Arial"/>
          <w:sz w:val="24"/>
          <w:szCs w:val="24"/>
        </w:rPr>
        <w:t xml:space="preserve">and </w:t>
      </w:r>
      <w:r w:rsidR="00D32BA4" w:rsidRPr="00797AC8">
        <w:rPr>
          <w:rFonts w:ascii="Arial" w:hAnsi="Arial" w:cs="Arial"/>
          <w:i/>
          <w:iCs/>
          <w:sz w:val="24"/>
          <w:szCs w:val="24"/>
        </w:rPr>
        <w:t xml:space="preserve">Xulu </w:t>
      </w:r>
      <w:r w:rsidR="00D32BA4" w:rsidRPr="00797AC8">
        <w:rPr>
          <w:rFonts w:ascii="Arial" w:hAnsi="Arial" w:cs="Arial"/>
          <w:sz w:val="24"/>
          <w:szCs w:val="24"/>
        </w:rPr>
        <w:t xml:space="preserve">and their reliance on Jafta J’s </w:t>
      </w:r>
      <w:r w:rsidR="00D32BA4" w:rsidRPr="00797AC8">
        <w:rPr>
          <w:rFonts w:ascii="Arial" w:hAnsi="Arial" w:cs="Arial"/>
          <w:sz w:val="24"/>
          <w:szCs w:val="24"/>
        </w:rPr>
        <w:lastRenderedPageBreak/>
        <w:t xml:space="preserve">minority judgment in </w:t>
      </w:r>
      <w:r w:rsidR="00D32BA4" w:rsidRPr="00797AC8">
        <w:rPr>
          <w:rFonts w:ascii="Arial" w:hAnsi="Arial" w:cs="Arial"/>
          <w:i/>
          <w:iCs/>
          <w:sz w:val="24"/>
          <w:szCs w:val="24"/>
        </w:rPr>
        <w:t>Nkata</w:t>
      </w:r>
      <w:r w:rsidR="00D32BA4" w:rsidRPr="00797AC8">
        <w:rPr>
          <w:rFonts w:ascii="Arial" w:hAnsi="Arial" w:cs="Arial"/>
          <w:sz w:val="24"/>
          <w:szCs w:val="24"/>
        </w:rPr>
        <w:t xml:space="preserve">, as well as the decision to the contrary in </w:t>
      </w:r>
      <w:r w:rsidR="00D32BA4" w:rsidRPr="00797AC8">
        <w:rPr>
          <w:rFonts w:ascii="Arial" w:hAnsi="Arial" w:cs="Arial"/>
          <w:i/>
          <w:iCs/>
          <w:sz w:val="24"/>
          <w:szCs w:val="24"/>
        </w:rPr>
        <w:t>Du Plessis.</w:t>
      </w:r>
    </w:p>
    <w:p w14:paraId="62DE2F88" w14:textId="595111BE" w:rsidR="00ED028C"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32BA4" w:rsidRPr="00797AC8">
        <w:rPr>
          <w:rFonts w:ascii="Arial" w:hAnsi="Arial" w:cs="Arial"/>
          <w:sz w:val="24"/>
          <w:szCs w:val="24"/>
        </w:rPr>
        <w:t xml:space="preserve">The full court, having considered these various decisions, preferred the reasoning in </w:t>
      </w:r>
      <w:r w:rsidR="00ED028C" w:rsidRPr="00797AC8">
        <w:rPr>
          <w:rFonts w:ascii="Arial" w:hAnsi="Arial" w:cs="Arial"/>
          <w:i/>
          <w:iCs/>
          <w:sz w:val="24"/>
          <w:szCs w:val="24"/>
        </w:rPr>
        <w:t>Du Plessis</w:t>
      </w:r>
      <w:r w:rsidR="00ED028C" w:rsidRPr="00797AC8">
        <w:rPr>
          <w:rFonts w:ascii="Arial" w:hAnsi="Arial" w:cs="Arial"/>
          <w:sz w:val="24"/>
          <w:szCs w:val="24"/>
        </w:rPr>
        <w:t>, and found that the registrar was both able (who should be suitably skilled) and competent in terms of section 130 to grant default judgments pursuant to rule 31(5). The full court found</w:t>
      </w:r>
      <w:r w:rsidR="009926F7" w:rsidRPr="00797AC8">
        <w:rPr>
          <w:rFonts w:ascii="Arial" w:hAnsi="Arial" w:cs="Arial"/>
          <w:sz w:val="24"/>
          <w:szCs w:val="24"/>
        </w:rPr>
        <w:t xml:space="preserve"> in paragraphs 14 and 15</w:t>
      </w:r>
      <w:r w:rsidR="00ED028C" w:rsidRPr="00797AC8">
        <w:rPr>
          <w:rFonts w:ascii="Arial" w:hAnsi="Arial" w:cs="Arial"/>
          <w:sz w:val="24"/>
          <w:szCs w:val="24"/>
        </w:rPr>
        <w:t xml:space="preserve"> that the statements that had been made by Jafta J in his minority judgment in </w:t>
      </w:r>
      <w:r w:rsidR="00ED028C" w:rsidRPr="00797AC8">
        <w:rPr>
          <w:rFonts w:ascii="Arial" w:hAnsi="Arial" w:cs="Arial"/>
          <w:i/>
          <w:iCs/>
          <w:sz w:val="24"/>
          <w:szCs w:val="24"/>
        </w:rPr>
        <w:t>Nkata</w:t>
      </w:r>
      <w:r w:rsidR="00ED028C" w:rsidRPr="00797AC8">
        <w:rPr>
          <w:rFonts w:ascii="Arial" w:hAnsi="Arial" w:cs="Arial"/>
          <w:sz w:val="24"/>
          <w:szCs w:val="24"/>
        </w:rPr>
        <w:t xml:space="preserve"> were</w:t>
      </w:r>
      <w:r w:rsidR="009926F7" w:rsidRPr="00797AC8">
        <w:rPr>
          <w:rFonts w:ascii="Arial" w:hAnsi="Arial" w:cs="Arial"/>
          <w:sz w:val="24"/>
          <w:szCs w:val="24"/>
        </w:rPr>
        <w:t xml:space="preserve"> effectively</w:t>
      </w:r>
      <w:r w:rsidR="00ED028C" w:rsidRPr="00797AC8">
        <w:rPr>
          <w:rFonts w:ascii="Arial" w:hAnsi="Arial" w:cs="Arial"/>
          <w:sz w:val="24"/>
          <w:szCs w:val="24"/>
        </w:rPr>
        <w:t xml:space="preserve"> distinguishable</w:t>
      </w:r>
      <w:r w:rsidR="009926F7" w:rsidRPr="00797AC8">
        <w:rPr>
          <w:rFonts w:ascii="Arial" w:hAnsi="Arial" w:cs="Arial"/>
          <w:sz w:val="24"/>
          <w:szCs w:val="24"/>
        </w:rPr>
        <w:t xml:space="preserve">, and </w:t>
      </w:r>
      <w:r w:rsidR="009926F7" w:rsidRPr="00797AC8">
        <w:rPr>
          <w:rFonts w:ascii="Arial" w:hAnsi="Arial" w:cs="Arial"/>
          <w:i/>
          <w:iCs/>
          <w:sz w:val="24"/>
          <w:szCs w:val="24"/>
        </w:rPr>
        <w:t>obiter</w:t>
      </w:r>
      <w:r w:rsidR="009926F7" w:rsidRPr="00797AC8">
        <w:rPr>
          <w:rFonts w:ascii="Arial" w:hAnsi="Arial" w:cs="Arial"/>
          <w:sz w:val="24"/>
          <w:szCs w:val="24"/>
        </w:rPr>
        <w:t>.</w:t>
      </w:r>
    </w:p>
    <w:p w14:paraId="50775995" w14:textId="42CC1029" w:rsidR="009926F7" w:rsidRPr="00797AC8" w:rsidRDefault="00797AC8" w:rsidP="00797AC8">
      <w:pPr>
        <w:spacing w:before="360" w:after="360" w:line="480" w:lineRule="auto"/>
        <w:ind w:left="624" w:right="117" w:hanging="624"/>
        <w:jc w:val="both"/>
        <w:rPr>
          <w:rFonts w:ascii="Arial" w:hAnsi="Arial" w:cs="Arial"/>
          <w:sz w:val="24"/>
          <w:szCs w:val="24"/>
        </w:rPr>
      </w:pPr>
      <w:r w:rsidRPr="004B6980">
        <w:rPr>
          <w:rFonts w:ascii="Arial" w:hAnsi="Arial" w:cs="Arial"/>
          <w:sz w:val="24"/>
          <w:szCs w:val="24"/>
        </w:rPr>
        <w:t>21.</w:t>
      </w:r>
      <w:r w:rsidRPr="004B6980">
        <w:rPr>
          <w:rFonts w:ascii="Arial" w:hAnsi="Arial" w:cs="Arial"/>
          <w:sz w:val="24"/>
          <w:szCs w:val="24"/>
        </w:rPr>
        <w:tab/>
      </w:r>
      <w:r w:rsidR="009926F7" w:rsidRPr="00797AC8">
        <w:rPr>
          <w:rFonts w:ascii="Arial" w:hAnsi="Arial" w:cs="Arial"/>
          <w:sz w:val="24"/>
          <w:szCs w:val="24"/>
        </w:rPr>
        <w:t xml:space="preserve">Notwithstanding the persuasively pragmatic view adopted by the full court in </w:t>
      </w:r>
      <w:r w:rsidR="009926F7" w:rsidRPr="00797AC8">
        <w:rPr>
          <w:rFonts w:ascii="Arial" w:hAnsi="Arial" w:cs="Arial"/>
          <w:i/>
          <w:iCs/>
          <w:sz w:val="24"/>
          <w:szCs w:val="24"/>
        </w:rPr>
        <w:t>Mollentze</w:t>
      </w:r>
      <w:r w:rsidR="009926F7" w:rsidRPr="00797AC8">
        <w:rPr>
          <w:rFonts w:ascii="Arial" w:hAnsi="Arial" w:cs="Arial"/>
          <w:sz w:val="24"/>
          <w:szCs w:val="24"/>
        </w:rPr>
        <w:t xml:space="preserve">, Snellenburg AJ in </w:t>
      </w:r>
      <w:r w:rsidR="009926F7" w:rsidRPr="00797AC8">
        <w:rPr>
          <w:rFonts w:ascii="Arial" w:hAnsi="Arial" w:cs="Arial"/>
          <w:i/>
          <w:iCs/>
          <w:sz w:val="24"/>
          <w:szCs w:val="24"/>
        </w:rPr>
        <w:t>Gcasamba</w:t>
      </w:r>
      <w:r w:rsidR="00010EA1">
        <w:rPr>
          <w:rStyle w:val="FootnoteReference"/>
          <w:rFonts w:ascii="Arial" w:hAnsi="Arial" w:cs="Arial"/>
          <w:i/>
          <w:iCs/>
          <w:sz w:val="24"/>
          <w:szCs w:val="24"/>
        </w:rPr>
        <w:footnoteReference w:id="11"/>
      </w:r>
      <w:r w:rsidR="009926F7" w:rsidRPr="00797AC8">
        <w:rPr>
          <w:rFonts w:ascii="Arial" w:hAnsi="Arial" w:cs="Arial"/>
          <w:sz w:val="24"/>
          <w:szCs w:val="24"/>
        </w:rPr>
        <w:t xml:space="preserve"> declined to follow </w:t>
      </w:r>
      <w:r w:rsidR="009926F7" w:rsidRPr="00797AC8">
        <w:rPr>
          <w:rFonts w:ascii="Arial" w:hAnsi="Arial" w:cs="Arial"/>
          <w:i/>
          <w:iCs/>
          <w:sz w:val="24"/>
          <w:szCs w:val="24"/>
        </w:rPr>
        <w:t>Mollentze</w:t>
      </w:r>
      <w:r w:rsidR="009926F7" w:rsidRPr="00797AC8">
        <w:rPr>
          <w:rFonts w:ascii="Arial" w:hAnsi="Arial" w:cs="Arial"/>
          <w:sz w:val="24"/>
          <w:szCs w:val="24"/>
        </w:rPr>
        <w:t xml:space="preserve">.  </w:t>
      </w:r>
      <w:r w:rsidR="004B6980" w:rsidRPr="00797AC8">
        <w:rPr>
          <w:rFonts w:ascii="Arial" w:hAnsi="Arial" w:cs="Arial"/>
          <w:sz w:val="24"/>
          <w:szCs w:val="24"/>
        </w:rPr>
        <w:t>The court</w:t>
      </w:r>
      <w:r w:rsidR="009926F7" w:rsidRPr="00797AC8">
        <w:rPr>
          <w:rFonts w:ascii="Arial" w:hAnsi="Arial" w:cs="Arial"/>
          <w:sz w:val="24"/>
          <w:szCs w:val="24"/>
        </w:rPr>
        <w:t xml:space="preserve"> </w:t>
      </w:r>
      <w:r w:rsidR="005D5B25" w:rsidRPr="00797AC8">
        <w:rPr>
          <w:rFonts w:ascii="Arial" w:hAnsi="Arial" w:cs="Arial"/>
          <w:sz w:val="24"/>
          <w:szCs w:val="24"/>
        </w:rPr>
        <w:t xml:space="preserve">in </w:t>
      </w:r>
      <w:r w:rsidR="005D5B25" w:rsidRPr="00797AC8">
        <w:rPr>
          <w:rFonts w:ascii="Arial" w:hAnsi="Arial" w:cs="Arial"/>
          <w:i/>
          <w:iCs/>
          <w:sz w:val="24"/>
          <w:szCs w:val="24"/>
        </w:rPr>
        <w:t>Gcasamba</w:t>
      </w:r>
      <w:r w:rsidR="005D5B25" w:rsidRPr="00797AC8">
        <w:rPr>
          <w:rFonts w:ascii="Arial" w:hAnsi="Arial"/>
          <w:i/>
          <w:sz w:val="24"/>
        </w:rPr>
        <w:t xml:space="preserve"> </w:t>
      </w:r>
      <w:r w:rsidR="00145E97" w:rsidRPr="00797AC8">
        <w:rPr>
          <w:rFonts w:ascii="Arial" w:hAnsi="Arial" w:cs="Arial"/>
          <w:sz w:val="24"/>
          <w:szCs w:val="24"/>
        </w:rPr>
        <w:t xml:space="preserve">reasoned </w:t>
      </w:r>
      <w:r w:rsidR="004B6980" w:rsidRPr="00797AC8">
        <w:rPr>
          <w:rFonts w:ascii="Arial" w:hAnsi="Arial" w:cs="Arial"/>
          <w:sz w:val="24"/>
          <w:szCs w:val="24"/>
        </w:rPr>
        <w:t xml:space="preserve">in paragraphs 45 and 46 </w:t>
      </w:r>
      <w:r w:rsidR="00145E97" w:rsidRPr="00797AC8">
        <w:rPr>
          <w:rFonts w:ascii="Arial" w:hAnsi="Arial" w:cs="Arial"/>
          <w:sz w:val="24"/>
          <w:szCs w:val="24"/>
        </w:rPr>
        <w:t xml:space="preserve">that the issue had </w:t>
      </w:r>
      <w:r w:rsidR="009926F7" w:rsidRPr="00797AC8">
        <w:rPr>
          <w:rFonts w:ascii="Arial" w:hAnsi="Arial" w:cs="Arial"/>
          <w:sz w:val="24"/>
          <w:szCs w:val="24"/>
        </w:rPr>
        <w:t xml:space="preserve">been resolved by </w:t>
      </w:r>
      <w:r w:rsidR="00145E97" w:rsidRPr="00797AC8">
        <w:rPr>
          <w:rFonts w:ascii="Arial" w:hAnsi="Arial" w:cs="Arial"/>
          <w:sz w:val="24"/>
          <w:szCs w:val="24"/>
        </w:rPr>
        <w:t xml:space="preserve">Jafta J’s </w:t>
      </w:r>
      <w:r w:rsidR="009926F7" w:rsidRPr="00797AC8">
        <w:rPr>
          <w:rFonts w:ascii="Arial" w:hAnsi="Arial" w:cs="Arial"/>
          <w:sz w:val="24"/>
          <w:szCs w:val="24"/>
        </w:rPr>
        <w:t xml:space="preserve">judgment </w:t>
      </w:r>
      <w:r w:rsidR="00145E97" w:rsidRPr="00797AC8">
        <w:rPr>
          <w:rFonts w:ascii="Arial" w:hAnsi="Arial" w:cs="Arial"/>
          <w:sz w:val="24"/>
          <w:szCs w:val="24"/>
        </w:rPr>
        <w:t>in</w:t>
      </w:r>
      <w:r w:rsidR="009926F7" w:rsidRPr="00797AC8">
        <w:rPr>
          <w:rFonts w:ascii="Arial" w:hAnsi="Arial" w:cs="Arial"/>
          <w:sz w:val="24"/>
          <w:szCs w:val="24"/>
        </w:rPr>
        <w:t xml:space="preserve"> </w:t>
      </w:r>
      <w:r w:rsidR="009926F7" w:rsidRPr="00797AC8">
        <w:rPr>
          <w:rFonts w:ascii="Arial" w:hAnsi="Arial" w:cs="Arial"/>
          <w:i/>
          <w:iCs/>
          <w:sz w:val="24"/>
          <w:szCs w:val="24"/>
        </w:rPr>
        <w:t>University of Stellenbosch</w:t>
      </w:r>
      <w:r w:rsidR="009926F7" w:rsidRPr="00797AC8">
        <w:rPr>
          <w:rFonts w:ascii="Arial" w:hAnsi="Arial" w:cs="Arial"/>
          <w:sz w:val="24"/>
          <w:szCs w:val="24"/>
        </w:rPr>
        <w:t xml:space="preserve">, which </w:t>
      </w:r>
      <w:r w:rsidR="004B6980" w:rsidRPr="00797AC8">
        <w:rPr>
          <w:rFonts w:ascii="Arial" w:hAnsi="Arial" w:cs="Arial"/>
          <w:sz w:val="24"/>
          <w:szCs w:val="24"/>
        </w:rPr>
        <w:t xml:space="preserve">the preceding judgments, including the full court judgment in </w:t>
      </w:r>
      <w:r w:rsidR="004B6980" w:rsidRPr="00797AC8">
        <w:rPr>
          <w:rFonts w:ascii="Arial" w:hAnsi="Arial" w:cs="Arial"/>
          <w:i/>
          <w:iCs/>
          <w:sz w:val="24"/>
          <w:szCs w:val="24"/>
        </w:rPr>
        <w:t>Mollentze</w:t>
      </w:r>
      <w:r w:rsidR="004B6980" w:rsidRPr="00797AC8">
        <w:rPr>
          <w:rFonts w:ascii="Arial" w:hAnsi="Arial" w:cs="Arial"/>
          <w:sz w:val="24"/>
          <w:szCs w:val="24"/>
        </w:rPr>
        <w:t xml:space="preserve">, had not considered, and which was </w:t>
      </w:r>
      <w:r w:rsidR="009926F7" w:rsidRPr="00797AC8">
        <w:rPr>
          <w:rFonts w:ascii="Arial" w:hAnsi="Arial" w:cs="Arial"/>
          <w:sz w:val="24"/>
          <w:szCs w:val="24"/>
        </w:rPr>
        <w:t>consistent with</w:t>
      </w:r>
      <w:r w:rsidR="004B6980" w:rsidRPr="00797AC8">
        <w:rPr>
          <w:rFonts w:ascii="Arial" w:hAnsi="Arial" w:cs="Arial"/>
          <w:sz w:val="24"/>
          <w:szCs w:val="24"/>
        </w:rPr>
        <w:t xml:space="preserve"> Jafta J’s earlier</w:t>
      </w:r>
      <w:r w:rsidR="009926F7" w:rsidRPr="00797AC8">
        <w:rPr>
          <w:rFonts w:ascii="Arial" w:hAnsi="Arial" w:cs="Arial"/>
          <w:sz w:val="24"/>
          <w:szCs w:val="24"/>
        </w:rPr>
        <w:t xml:space="preserve"> </w:t>
      </w:r>
      <w:r w:rsidR="00145E97" w:rsidRPr="00797AC8">
        <w:rPr>
          <w:rFonts w:ascii="Arial" w:hAnsi="Arial" w:cs="Arial"/>
          <w:sz w:val="24"/>
          <w:szCs w:val="24"/>
        </w:rPr>
        <w:t xml:space="preserve">minority </w:t>
      </w:r>
      <w:r w:rsidR="009926F7" w:rsidRPr="00797AC8">
        <w:rPr>
          <w:rFonts w:ascii="Arial" w:hAnsi="Arial" w:cs="Arial"/>
          <w:sz w:val="24"/>
          <w:szCs w:val="24"/>
        </w:rPr>
        <w:t xml:space="preserve">judgment in </w:t>
      </w:r>
      <w:r w:rsidR="009926F7" w:rsidRPr="00797AC8">
        <w:rPr>
          <w:rFonts w:ascii="Arial" w:hAnsi="Arial" w:cs="Arial"/>
          <w:i/>
          <w:iCs/>
          <w:sz w:val="24"/>
          <w:szCs w:val="24"/>
        </w:rPr>
        <w:t>Nkata</w:t>
      </w:r>
      <w:r w:rsidR="005D5B25" w:rsidRPr="00797AC8">
        <w:rPr>
          <w:rFonts w:ascii="Arial" w:hAnsi="Arial" w:cs="Arial"/>
          <w:sz w:val="24"/>
          <w:szCs w:val="24"/>
        </w:rPr>
        <w:t xml:space="preserve"> </w:t>
      </w:r>
      <w:r w:rsidR="00F807F6" w:rsidRPr="00797AC8">
        <w:rPr>
          <w:rFonts w:ascii="Arial" w:hAnsi="Arial" w:cs="Arial"/>
          <w:sz w:val="24"/>
          <w:szCs w:val="24"/>
        </w:rPr>
        <w:t xml:space="preserve">that it </w:t>
      </w:r>
      <w:r w:rsidR="009926F7" w:rsidRPr="00797AC8">
        <w:rPr>
          <w:rFonts w:ascii="Arial" w:hAnsi="Arial" w:cs="Arial"/>
          <w:sz w:val="24"/>
          <w:szCs w:val="24"/>
        </w:rPr>
        <w:t xml:space="preserve">is only a court, and </w:t>
      </w:r>
      <w:r w:rsidR="00145E97" w:rsidRPr="00797AC8">
        <w:rPr>
          <w:rFonts w:ascii="Arial" w:hAnsi="Arial" w:cs="Arial"/>
          <w:sz w:val="24"/>
          <w:szCs w:val="24"/>
        </w:rPr>
        <w:t>not the registrar</w:t>
      </w:r>
      <w:r w:rsidR="009926F7" w:rsidRPr="00797AC8">
        <w:rPr>
          <w:rFonts w:ascii="Arial" w:hAnsi="Arial" w:cs="Arial"/>
          <w:sz w:val="24"/>
          <w:szCs w:val="24"/>
        </w:rPr>
        <w:t xml:space="preserve">, that </w:t>
      </w:r>
      <w:r w:rsidR="00F807F6" w:rsidRPr="00797AC8">
        <w:rPr>
          <w:rFonts w:ascii="Arial" w:hAnsi="Arial" w:cs="Arial"/>
          <w:sz w:val="24"/>
          <w:szCs w:val="24"/>
        </w:rPr>
        <w:t>may</w:t>
      </w:r>
      <w:r w:rsidR="009926F7" w:rsidRPr="00797AC8">
        <w:rPr>
          <w:rFonts w:ascii="Arial" w:hAnsi="Arial" w:cs="Arial"/>
          <w:sz w:val="24"/>
          <w:szCs w:val="24"/>
        </w:rPr>
        <w:t xml:space="preserve"> carry out the section 130(3) </w:t>
      </w:r>
      <w:r w:rsidR="00145E97" w:rsidRPr="00797AC8">
        <w:rPr>
          <w:rFonts w:ascii="Arial" w:hAnsi="Arial" w:cs="Arial"/>
          <w:sz w:val="24"/>
          <w:szCs w:val="24"/>
        </w:rPr>
        <w:t>determination.</w:t>
      </w:r>
    </w:p>
    <w:p w14:paraId="0DB4854B" w14:textId="4A20CD86" w:rsidR="009926F7" w:rsidRPr="00797AC8" w:rsidRDefault="00797AC8" w:rsidP="00797AC8">
      <w:pPr>
        <w:spacing w:before="360" w:after="360" w:line="480" w:lineRule="auto"/>
        <w:ind w:left="624" w:right="117" w:hanging="624"/>
        <w:jc w:val="both"/>
        <w:rPr>
          <w:rFonts w:ascii="Arial" w:hAnsi="Arial" w:cs="Arial"/>
          <w:sz w:val="24"/>
          <w:szCs w:val="24"/>
        </w:rPr>
      </w:pPr>
      <w:r w:rsidRPr="0036566B">
        <w:rPr>
          <w:rFonts w:ascii="Arial" w:hAnsi="Arial" w:cs="Arial"/>
          <w:sz w:val="24"/>
          <w:szCs w:val="24"/>
        </w:rPr>
        <w:t>22.</w:t>
      </w:r>
      <w:r w:rsidRPr="0036566B">
        <w:rPr>
          <w:rFonts w:ascii="Arial" w:hAnsi="Arial" w:cs="Arial"/>
          <w:sz w:val="24"/>
          <w:szCs w:val="24"/>
        </w:rPr>
        <w:tab/>
      </w:r>
      <w:r w:rsidR="009926F7" w:rsidRPr="00797AC8">
        <w:rPr>
          <w:rFonts w:ascii="Arial" w:hAnsi="Arial" w:cs="Arial"/>
          <w:sz w:val="24"/>
          <w:szCs w:val="24"/>
        </w:rPr>
        <w:t xml:space="preserve">Snellenburg AJ </w:t>
      </w:r>
      <w:r w:rsidR="004B6980" w:rsidRPr="00797AC8">
        <w:rPr>
          <w:rFonts w:ascii="Arial" w:hAnsi="Arial" w:cs="Arial"/>
          <w:sz w:val="24"/>
          <w:szCs w:val="24"/>
        </w:rPr>
        <w:t xml:space="preserve">further </w:t>
      </w:r>
      <w:r w:rsidR="009926F7" w:rsidRPr="00797AC8">
        <w:rPr>
          <w:rFonts w:ascii="Arial" w:hAnsi="Arial" w:cs="Arial"/>
          <w:sz w:val="24"/>
          <w:szCs w:val="24"/>
        </w:rPr>
        <w:t xml:space="preserve">found </w:t>
      </w:r>
      <w:r w:rsidR="0036566B" w:rsidRPr="00797AC8">
        <w:rPr>
          <w:rFonts w:ascii="Arial" w:hAnsi="Arial" w:cs="Arial"/>
          <w:sz w:val="24"/>
          <w:szCs w:val="24"/>
        </w:rPr>
        <w:t xml:space="preserve">in paragraph 48 </w:t>
      </w:r>
      <w:r w:rsidR="009926F7" w:rsidRPr="00797AC8">
        <w:rPr>
          <w:rFonts w:ascii="Arial" w:hAnsi="Arial" w:cs="Arial"/>
          <w:sz w:val="24"/>
          <w:szCs w:val="24"/>
        </w:rPr>
        <w:t xml:space="preserve">that even if Jafta J’s findings in </w:t>
      </w:r>
      <w:r w:rsidR="009926F7" w:rsidRPr="00797AC8">
        <w:rPr>
          <w:rFonts w:ascii="Arial" w:hAnsi="Arial" w:cs="Arial"/>
          <w:i/>
          <w:iCs/>
          <w:sz w:val="24"/>
          <w:szCs w:val="24"/>
        </w:rPr>
        <w:t xml:space="preserve">University of Stellenbosch </w:t>
      </w:r>
      <w:r w:rsidR="009926F7" w:rsidRPr="00797AC8">
        <w:rPr>
          <w:rFonts w:ascii="Arial" w:hAnsi="Arial" w:cs="Arial"/>
          <w:sz w:val="24"/>
          <w:szCs w:val="24"/>
        </w:rPr>
        <w:t xml:space="preserve">were not </w:t>
      </w:r>
      <w:r w:rsidR="00E857E8" w:rsidRPr="00797AC8">
        <w:rPr>
          <w:rFonts w:ascii="Arial" w:hAnsi="Arial" w:cs="Arial"/>
          <w:sz w:val="24"/>
          <w:szCs w:val="24"/>
        </w:rPr>
        <w:t>decisive</w:t>
      </w:r>
      <w:r w:rsidR="009926F7" w:rsidRPr="00797AC8">
        <w:rPr>
          <w:rFonts w:ascii="Arial" w:hAnsi="Arial" w:cs="Arial"/>
          <w:sz w:val="24"/>
          <w:szCs w:val="24"/>
        </w:rPr>
        <w:t xml:space="preserve">, that he in any event agreed with Jafta J that section 130(3) is </w:t>
      </w:r>
      <w:r w:rsidR="0036566B" w:rsidRPr="00797AC8">
        <w:rPr>
          <w:rFonts w:ascii="Arial" w:hAnsi="Arial" w:cs="Arial"/>
          <w:sz w:val="24"/>
          <w:szCs w:val="24"/>
        </w:rPr>
        <w:t xml:space="preserve">in </w:t>
      </w:r>
      <w:r w:rsidR="009926F7" w:rsidRPr="00797AC8">
        <w:rPr>
          <w:rFonts w:ascii="Arial" w:hAnsi="Arial" w:cs="Arial"/>
          <w:sz w:val="24"/>
          <w:szCs w:val="24"/>
        </w:rPr>
        <w:t xml:space="preserve">mandatory terms and </w:t>
      </w:r>
      <w:r w:rsidR="0036566B" w:rsidRPr="00797AC8">
        <w:rPr>
          <w:rFonts w:ascii="Arial" w:hAnsi="Arial" w:cs="Arial"/>
          <w:sz w:val="24"/>
          <w:szCs w:val="24"/>
        </w:rPr>
        <w:t>it is</w:t>
      </w:r>
      <w:r w:rsidR="009926F7" w:rsidRPr="00797AC8">
        <w:rPr>
          <w:rFonts w:ascii="Arial" w:hAnsi="Arial" w:cs="Arial"/>
          <w:sz w:val="24"/>
          <w:szCs w:val="24"/>
        </w:rPr>
        <w:t xml:space="preserve"> the court, and </w:t>
      </w:r>
      <w:r w:rsidR="0036566B" w:rsidRPr="00797AC8">
        <w:rPr>
          <w:rFonts w:ascii="Arial" w:hAnsi="Arial" w:cs="Arial"/>
          <w:sz w:val="24"/>
          <w:szCs w:val="24"/>
        </w:rPr>
        <w:t xml:space="preserve">not </w:t>
      </w:r>
      <w:r w:rsidR="0036566B" w:rsidRPr="00797AC8">
        <w:rPr>
          <w:rFonts w:ascii="Arial" w:hAnsi="Arial" w:cs="Arial"/>
          <w:sz w:val="24"/>
          <w:szCs w:val="24"/>
        </w:rPr>
        <w:lastRenderedPageBreak/>
        <w:t>the registrar</w:t>
      </w:r>
      <w:r w:rsidR="009926F7" w:rsidRPr="00797AC8">
        <w:rPr>
          <w:rFonts w:ascii="Arial" w:hAnsi="Arial" w:cs="Arial"/>
          <w:sz w:val="24"/>
          <w:szCs w:val="24"/>
        </w:rPr>
        <w:t>,</w:t>
      </w:r>
      <w:r w:rsidR="0036566B" w:rsidRPr="00797AC8">
        <w:rPr>
          <w:rFonts w:ascii="Arial" w:hAnsi="Arial" w:cs="Arial"/>
          <w:sz w:val="24"/>
          <w:szCs w:val="24"/>
        </w:rPr>
        <w:t xml:space="preserve"> that</w:t>
      </w:r>
      <w:r w:rsidR="009926F7" w:rsidRPr="00797AC8">
        <w:rPr>
          <w:rFonts w:ascii="Arial" w:hAnsi="Arial" w:cs="Arial"/>
          <w:sz w:val="24"/>
          <w:szCs w:val="24"/>
        </w:rPr>
        <w:t xml:space="preserve"> must satisfy itself that there has been compliance </w:t>
      </w:r>
      <w:r w:rsidR="0036566B" w:rsidRPr="00797AC8">
        <w:rPr>
          <w:rFonts w:ascii="Arial" w:hAnsi="Arial" w:cs="Arial"/>
          <w:sz w:val="24"/>
          <w:szCs w:val="24"/>
        </w:rPr>
        <w:t>as required by section 130</w:t>
      </w:r>
      <w:r w:rsidR="00E857E8" w:rsidRPr="00797AC8">
        <w:rPr>
          <w:rFonts w:ascii="Arial" w:hAnsi="Arial" w:cs="Arial"/>
          <w:sz w:val="24"/>
          <w:szCs w:val="24"/>
        </w:rPr>
        <w:t>(3)</w:t>
      </w:r>
      <w:r w:rsidR="0036566B" w:rsidRPr="00797AC8">
        <w:rPr>
          <w:rFonts w:ascii="Arial" w:hAnsi="Arial" w:cs="Arial"/>
          <w:sz w:val="24"/>
          <w:szCs w:val="24"/>
        </w:rPr>
        <w:t>.</w:t>
      </w:r>
    </w:p>
    <w:p w14:paraId="616A51C1" w14:textId="3B5954F1" w:rsidR="009926F7" w:rsidRPr="00797AC8" w:rsidRDefault="00797AC8" w:rsidP="00797AC8">
      <w:pPr>
        <w:spacing w:before="360" w:after="360" w:line="480" w:lineRule="auto"/>
        <w:ind w:left="624" w:right="117" w:hanging="624"/>
        <w:jc w:val="both"/>
        <w:rPr>
          <w:rFonts w:ascii="Arial" w:hAnsi="Arial" w:cs="Arial"/>
          <w:sz w:val="24"/>
          <w:szCs w:val="24"/>
        </w:rPr>
      </w:pPr>
      <w:r w:rsidRPr="00145E97">
        <w:rPr>
          <w:rFonts w:ascii="Arial" w:hAnsi="Arial" w:cs="Arial"/>
          <w:sz w:val="24"/>
          <w:szCs w:val="24"/>
        </w:rPr>
        <w:t>23.</w:t>
      </w:r>
      <w:r w:rsidRPr="00145E97">
        <w:rPr>
          <w:rFonts w:ascii="Arial" w:hAnsi="Arial" w:cs="Arial"/>
          <w:sz w:val="24"/>
          <w:szCs w:val="24"/>
        </w:rPr>
        <w:tab/>
      </w:r>
      <w:r w:rsidR="00DD2A99" w:rsidRPr="00797AC8">
        <w:rPr>
          <w:rFonts w:ascii="Arial" w:hAnsi="Arial" w:cs="Arial"/>
          <w:sz w:val="24"/>
          <w:szCs w:val="24"/>
        </w:rPr>
        <w:t>Subsequently</w:t>
      </w:r>
      <w:r w:rsidR="009926F7" w:rsidRPr="00797AC8">
        <w:rPr>
          <w:rFonts w:ascii="Arial" w:hAnsi="Arial" w:cs="Arial"/>
          <w:sz w:val="24"/>
          <w:szCs w:val="24"/>
        </w:rPr>
        <w:t xml:space="preserve"> Dreyer AJ </w:t>
      </w:r>
      <w:r w:rsidR="00DD2A99" w:rsidRPr="00797AC8">
        <w:rPr>
          <w:rFonts w:ascii="Arial" w:hAnsi="Arial" w:cs="Arial"/>
          <w:sz w:val="24"/>
          <w:szCs w:val="24"/>
        </w:rPr>
        <w:t xml:space="preserve">for the Eastern Cape Division </w:t>
      </w:r>
      <w:r w:rsidR="009926F7" w:rsidRPr="00797AC8">
        <w:rPr>
          <w:rFonts w:ascii="Arial" w:hAnsi="Arial" w:cs="Arial"/>
          <w:sz w:val="24"/>
          <w:szCs w:val="24"/>
        </w:rPr>
        <w:t xml:space="preserve">in </w:t>
      </w:r>
      <w:r w:rsidR="009926F7" w:rsidRPr="00797AC8">
        <w:rPr>
          <w:rFonts w:ascii="Arial" w:hAnsi="Arial" w:cs="Arial"/>
          <w:i/>
          <w:iCs/>
          <w:sz w:val="24"/>
          <w:szCs w:val="24"/>
        </w:rPr>
        <w:t>Ngandela v ABSA Bank Limited and Another</w:t>
      </w:r>
      <w:r w:rsidR="009926F7" w:rsidRPr="00145E97">
        <w:rPr>
          <w:rStyle w:val="FootnoteReference"/>
          <w:rFonts w:ascii="Arial" w:hAnsi="Arial" w:cs="Arial"/>
          <w:i/>
          <w:iCs/>
          <w:sz w:val="24"/>
          <w:szCs w:val="24"/>
        </w:rPr>
        <w:footnoteReference w:id="12"/>
      </w:r>
      <w:r w:rsidR="009926F7" w:rsidRPr="00797AC8">
        <w:rPr>
          <w:rFonts w:ascii="Arial" w:hAnsi="Arial" w:cs="Arial"/>
          <w:sz w:val="24"/>
          <w:szCs w:val="24"/>
        </w:rPr>
        <w:t xml:space="preserve"> </w:t>
      </w:r>
      <w:r w:rsidR="00E042E4" w:rsidRPr="00797AC8">
        <w:rPr>
          <w:rFonts w:ascii="Arial" w:hAnsi="Arial" w:cs="Arial"/>
          <w:sz w:val="24"/>
          <w:szCs w:val="24"/>
        </w:rPr>
        <w:t>agreed with</w:t>
      </w:r>
      <w:r w:rsidR="00E042E4" w:rsidRPr="00797AC8">
        <w:rPr>
          <w:rFonts w:ascii="Arial" w:hAnsi="Arial" w:cs="Arial"/>
          <w:i/>
          <w:iCs/>
          <w:sz w:val="24"/>
          <w:szCs w:val="24"/>
        </w:rPr>
        <w:t xml:space="preserve"> Gcasamba</w:t>
      </w:r>
      <w:r w:rsidR="00E042E4" w:rsidRPr="00797AC8">
        <w:rPr>
          <w:rFonts w:ascii="Arial" w:hAnsi="Arial" w:cs="Arial"/>
          <w:sz w:val="24"/>
          <w:szCs w:val="24"/>
        </w:rPr>
        <w:t xml:space="preserve"> and </w:t>
      </w:r>
      <w:r w:rsidR="009926F7" w:rsidRPr="00797AC8">
        <w:rPr>
          <w:rFonts w:ascii="Arial" w:hAnsi="Arial" w:cs="Arial"/>
          <w:sz w:val="24"/>
          <w:szCs w:val="24"/>
        </w:rPr>
        <w:t xml:space="preserve">declined to follow </w:t>
      </w:r>
      <w:r w:rsidR="009926F7" w:rsidRPr="00797AC8">
        <w:rPr>
          <w:rFonts w:ascii="Arial" w:hAnsi="Arial" w:cs="Arial"/>
          <w:i/>
          <w:iCs/>
          <w:sz w:val="24"/>
          <w:szCs w:val="24"/>
        </w:rPr>
        <w:t>Mollentze</w:t>
      </w:r>
      <w:r w:rsidR="00E042E4" w:rsidRPr="00797AC8">
        <w:rPr>
          <w:rFonts w:ascii="Arial" w:hAnsi="Arial" w:cs="Arial"/>
          <w:sz w:val="24"/>
          <w:szCs w:val="24"/>
        </w:rPr>
        <w:t xml:space="preserve">. </w:t>
      </w:r>
      <w:r w:rsidR="00DD2A99" w:rsidRPr="00797AC8">
        <w:rPr>
          <w:rFonts w:ascii="Arial" w:hAnsi="Arial" w:cs="Arial"/>
          <w:sz w:val="24"/>
          <w:szCs w:val="24"/>
        </w:rPr>
        <w:t xml:space="preserve"> </w:t>
      </w:r>
      <w:r w:rsidR="00E042E4" w:rsidRPr="00797AC8">
        <w:rPr>
          <w:rFonts w:ascii="Arial" w:hAnsi="Arial" w:cs="Arial"/>
          <w:sz w:val="24"/>
          <w:szCs w:val="24"/>
        </w:rPr>
        <w:t xml:space="preserve">The court </w:t>
      </w:r>
      <w:r w:rsidR="005D5B25" w:rsidRPr="00797AC8">
        <w:rPr>
          <w:rFonts w:ascii="Arial" w:hAnsi="Arial" w:cs="Arial"/>
          <w:sz w:val="24"/>
          <w:szCs w:val="24"/>
        </w:rPr>
        <w:t xml:space="preserve">in </w:t>
      </w:r>
      <w:r w:rsidR="005D5B25" w:rsidRPr="00797AC8">
        <w:rPr>
          <w:rFonts w:ascii="Arial" w:hAnsi="Arial" w:cs="Arial"/>
          <w:i/>
          <w:iCs/>
          <w:sz w:val="24"/>
          <w:szCs w:val="24"/>
        </w:rPr>
        <w:t>Ngandela</w:t>
      </w:r>
      <w:r w:rsidR="005D5B25" w:rsidRPr="00797AC8">
        <w:rPr>
          <w:rFonts w:ascii="Arial" w:hAnsi="Arial"/>
          <w:i/>
          <w:sz w:val="24"/>
        </w:rPr>
        <w:t xml:space="preserve"> </w:t>
      </w:r>
      <w:r w:rsidR="00DD2A99" w:rsidRPr="00797AC8">
        <w:rPr>
          <w:rFonts w:ascii="Arial" w:hAnsi="Arial" w:cs="Arial"/>
          <w:sz w:val="24"/>
          <w:szCs w:val="24"/>
        </w:rPr>
        <w:t xml:space="preserve">described the full court decision in </w:t>
      </w:r>
      <w:r w:rsidR="00DD2A99" w:rsidRPr="00797AC8">
        <w:rPr>
          <w:rFonts w:ascii="Arial" w:hAnsi="Arial" w:cs="Arial"/>
          <w:i/>
          <w:iCs/>
          <w:sz w:val="24"/>
          <w:szCs w:val="24"/>
        </w:rPr>
        <w:t>Mollentze</w:t>
      </w:r>
      <w:r w:rsidR="00DD2A99" w:rsidRPr="00797AC8">
        <w:rPr>
          <w:rFonts w:ascii="Arial" w:hAnsi="Arial" w:cs="Arial"/>
          <w:sz w:val="24"/>
          <w:szCs w:val="24"/>
        </w:rPr>
        <w:t xml:space="preserve"> as an outlier</w:t>
      </w:r>
      <w:r w:rsidR="00E042E4" w:rsidRPr="00797AC8">
        <w:rPr>
          <w:rFonts w:ascii="Arial" w:hAnsi="Arial" w:cs="Arial"/>
          <w:sz w:val="24"/>
          <w:szCs w:val="24"/>
        </w:rPr>
        <w:t xml:space="preserve"> and incorrect in its decision that what was stated in </w:t>
      </w:r>
      <w:r w:rsidR="00E042E4" w:rsidRPr="00797AC8">
        <w:rPr>
          <w:rFonts w:ascii="Arial" w:hAnsi="Arial" w:cs="Arial"/>
          <w:i/>
          <w:iCs/>
          <w:sz w:val="24"/>
          <w:szCs w:val="24"/>
        </w:rPr>
        <w:t>Nkata</w:t>
      </w:r>
      <w:r w:rsidR="00E042E4" w:rsidRPr="00797AC8">
        <w:rPr>
          <w:rFonts w:ascii="Arial" w:hAnsi="Arial" w:cs="Arial"/>
          <w:sz w:val="24"/>
          <w:szCs w:val="24"/>
        </w:rPr>
        <w:t xml:space="preserve"> was </w:t>
      </w:r>
      <w:r w:rsidR="00E042E4" w:rsidRPr="00797AC8">
        <w:rPr>
          <w:rFonts w:ascii="Arial" w:hAnsi="Arial" w:cs="Arial"/>
          <w:i/>
          <w:iCs/>
          <w:sz w:val="24"/>
          <w:szCs w:val="24"/>
        </w:rPr>
        <w:t>obiter</w:t>
      </w:r>
      <w:r w:rsidR="00E042E4" w:rsidRPr="00797AC8">
        <w:rPr>
          <w:rFonts w:ascii="Arial" w:hAnsi="Arial" w:cs="Arial"/>
          <w:sz w:val="24"/>
          <w:szCs w:val="24"/>
        </w:rPr>
        <w:t xml:space="preserve">. The court found that what was stated by Jafta J in </w:t>
      </w:r>
      <w:r w:rsidR="00E042E4" w:rsidRPr="00797AC8">
        <w:rPr>
          <w:rFonts w:ascii="Arial" w:hAnsi="Arial" w:cs="Arial"/>
          <w:i/>
          <w:iCs/>
          <w:sz w:val="24"/>
          <w:szCs w:val="24"/>
        </w:rPr>
        <w:t>Nkata</w:t>
      </w:r>
      <w:r w:rsidR="00E042E4" w:rsidRPr="00797AC8">
        <w:rPr>
          <w:rFonts w:ascii="Arial" w:hAnsi="Arial" w:cs="Arial"/>
          <w:sz w:val="24"/>
          <w:szCs w:val="24"/>
        </w:rPr>
        <w:t xml:space="preserve"> was binding.</w:t>
      </w:r>
      <w:r w:rsidR="00452BE3" w:rsidRPr="00797AC8">
        <w:rPr>
          <w:rFonts w:ascii="Arial" w:hAnsi="Arial" w:cs="Arial"/>
          <w:sz w:val="24"/>
          <w:szCs w:val="24"/>
        </w:rPr>
        <w:t xml:space="preserve"> The court too aligned itself with the decisions of </w:t>
      </w:r>
      <w:r w:rsidR="00452BE3" w:rsidRPr="00797AC8">
        <w:rPr>
          <w:rFonts w:ascii="Arial" w:hAnsi="Arial" w:cs="Arial"/>
          <w:i/>
          <w:iCs/>
          <w:sz w:val="24"/>
          <w:szCs w:val="24"/>
        </w:rPr>
        <w:t>T</w:t>
      </w:r>
      <w:r w:rsidR="000C0982" w:rsidRPr="00797AC8">
        <w:rPr>
          <w:rFonts w:ascii="Arial" w:hAnsi="Arial" w:cs="Arial"/>
          <w:i/>
          <w:iCs/>
          <w:sz w:val="24"/>
          <w:szCs w:val="24"/>
        </w:rPr>
        <w:t>h</w:t>
      </w:r>
      <w:r w:rsidR="00452BE3" w:rsidRPr="00797AC8">
        <w:rPr>
          <w:rFonts w:ascii="Arial" w:hAnsi="Arial" w:cs="Arial"/>
          <w:i/>
          <w:iCs/>
          <w:sz w:val="24"/>
          <w:szCs w:val="24"/>
        </w:rPr>
        <w:t>eu</w:t>
      </w:r>
      <w:r w:rsidR="00452BE3" w:rsidRPr="00797AC8">
        <w:rPr>
          <w:rFonts w:ascii="Arial" w:hAnsi="Arial" w:cs="Arial"/>
          <w:sz w:val="24"/>
          <w:szCs w:val="24"/>
        </w:rPr>
        <w:t xml:space="preserve">, </w:t>
      </w:r>
      <w:r w:rsidR="00452BE3" w:rsidRPr="00797AC8">
        <w:rPr>
          <w:rFonts w:ascii="Arial" w:hAnsi="Arial" w:cs="Arial"/>
          <w:i/>
          <w:iCs/>
          <w:sz w:val="24"/>
          <w:szCs w:val="24"/>
        </w:rPr>
        <w:t xml:space="preserve">Seleka </w:t>
      </w:r>
      <w:r w:rsidR="00452BE3" w:rsidRPr="00797AC8">
        <w:rPr>
          <w:rFonts w:ascii="Arial" w:hAnsi="Arial" w:cs="Arial"/>
          <w:sz w:val="24"/>
          <w:szCs w:val="24"/>
        </w:rPr>
        <w:t xml:space="preserve">and </w:t>
      </w:r>
      <w:r w:rsidR="00452BE3" w:rsidRPr="00797AC8">
        <w:rPr>
          <w:rFonts w:ascii="Arial" w:hAnsi="Arial" w:cs="Arial"/>
          <w:i/>
          <w:iCs/>
          <w:sz w:val="24"/>
          <w:szCs w:val="24"/>
        </w:rPr>
        <w:t>Xulu</w:t>
      </w:r>
      <w:r w:rsidR="00452BE3" w:rsidRPr="00797AC8">
        <w:rPr>
          <w:rFonts w:ascii="Arial" w:hAnsi="Arial" w:cs="Arial"/>
          <w:sz w:val="24"/>
          <w:szCs w:val="24"/>
        </w:rPr>
        <w:t>.</w:t>
      </w:r>
    </w:p>
    <w:p w14:paraId="46CF4C34" w14:textId="5EB93605" w:rsidR="009926F7" w:rsidRPr="00797AC8" w:rsidRDefault="00797AC8" w:rsidP="00797AC8">
      <w:pPr>
        <w:spacing w:before="360" w:after="360" w:line="480" w:lineRule="auto"/>
        <w:ind w:left="624" w:right="117" w:hanging="624"/>
        <w:jc w:val="both"/>
        <w:rPr>
          <w:rFonts w:ascii="Arial" w:hAnsi="Arial" w:cs="Arial"/>
          <w:sz w:val="24"/>
          <w:szCs w:val="24"/>
        </w:rPr>
      </w:pPr>
      <w:r w:rsidRPr="00452BE3">
        <w:rPr>
          <w:rFonts w:ascii="Arial" w:hAnsi="Arial" w:cs="Arial"/>
          <w:sz w:val="24"/>
          <w:szCs w:val="24"/>
        </w:rPr>
        <w:t>24.</w:t>
      </w:r>
      <w:r w:rsidRPr="00452BE3">
        <w:rPr>
          <w:rFonts w:ascii="Arial" w:hAnsi="Arial" w:cs="Arial"/>
          <w:sz w:val="24"/>
          <w:szCs w:val="24"/>
        </w:rPr>
        <w:tab/>
      </w:r>
      <w:r w:rsidR="009926F7" w:rsidRPr="00797AC8">
        <w:rPr>
          <w:rFonts w:ascii="Arial" w:hAnsi="Arial" w:cs="Arial"/>
          <w:sz w:val="24"/>
          <w:szCs w:val="24"/>
        </w:rPr>
        <w:t>Insofar as our Gauteng Division is concerned</w:t>
      </w:r>
      <w:r w:rsidR="005D5B25" w:rsidRPr="00797AC8">
        <w:rPr>
          <w:rFonts w:ascii="Arial" w:hAnsi="Arial" w:cs="Arial"/>
          <w:sz w:val="24"/>
          <w:szCs w:val="24"/>
        </w:rPr>
        <w:t>,</w:t>
      </w:r>
      <w:r w:rsidR="00452BE3" w:rsidRPr="00797AC8">
        <w:rPr>
          <w:rFonts w:ascii="Arial" w:hAnsi="Arial" w:cs="Arial"/>
          <w:sz w:val="24"/>
          <w:szCs w:val="24"/>
        </w:rPr>
        <w:t xml:space="preserve"> following </w:t>
      </w:r>
      <w:r w:rsidR="00452BE3" w:rsidRPr="00797AC8">
        <w:rPr>
          <w:rFonts w:ascii="Arial" w:hAnsi="Arial" w:cs="Arial"/>
          <w:i/>
          <w:iCs/>
          <w:sz w:val="24"/>
          <w:szCs w:val="24"/>
        </w:rPr>
        <w:t>Mollentze</w:t>
      </w:r>
      <w:r w:rsidR="005D5B25" w:rsidRPr="00797AC8">
        <w:rPr>
          <w:rFonts w:ascii="Arial" w:hAnsi="Arial" w:cs="Arial"/>
          <w:i/>
          <w:iCs/>
          <w:sz w:val="24"/>
          <w:szCs w:val="24"/>
        </w:rPr>
        <w:t xml:space="preserve"> </w:t>
      </w:r>
      <w:r w:rsidR="005D5B25" w:rsidRPr="00797AC8">
        <w:rPr>
          <w:rFonts w:ascii="Arial" w:hAnsi="Arial" w:cs="Arial"/>
          <w:sz w:val="24"/>
          <w:szCs w:val="24"/>
        </w:rPr>
        <w:t xml:space="preserve">the </w:t>
      </w:r>
      <w:r w:rsidR="000C0982" w:rsidRPr="00797AC8">
        <w:rPr>
          <w:rFonts w:ascii="Arial" w:hAnsi="Arial" w:cs="Arial"/>
          <w:sz w:val="24"/>
          <w:szCs w:val="24"/>
        </w:rPr>
        <w:t>court in</w:t>
      </w:r>
      <w:r w:rsidR="009926F7" w:rsidRPr="00797AC8">
        <w:rPr>
          <w:rFonts w:ascii="Arial" w:hAnsi="Arial" w:cs="Arial"/>
          <w:sz w:val="24"/>
          <w:szCs w:val="24"/>
        </w:rPr>
        <w:t xml:space="preserve"> </w:t>
      </w:r>
      <w:r w:rsidR="009926F7" w:rsidRPr="00797AC8">
        <w:rPr>
          <w:rFonts w:ascii="Arial" w:hAnsi="Arial" w:cs="Arial"/>
          <w:i/>
          <w:iCs/>
          <w:sz w:val="24"/>
          <w:szCs w:val="24"/>
        </w:rPr>
        <w:t>Nonyane v Nedbank</w:t>
      </w:r>
      <w:r w:rsidR="009926F7" w:rsidRPr="00452BE3">
        <w:rPr>
          <w:rStyle w:val="FootnoteReference"/>
          <w:rFonts w:ascii="Arial" w:hAnsi="Arial" w:cs="Arial"/>
          <w:sz w:val="24"/>
          <w:szCs w:val="24"/>
        </w:rPr>
        <w:footnoteReference w:id="13"/>
      </w:r>
      <w:r w:rsidR="009926F7" w:rsidRPr="00797AC8">
        <w:rPr>
          <w:rFonts w:ascii="Arial" w:hAnsi="Arial" w:cs="Arial"/>
          <w:sz w:val="24"/>
          <w:szCs w:val="24"/>
        </w:rPr>
        <w:t xml:space="preserve"> </w:t>
      </w:r>
      <w:r w:rsidR="00452BE3" w:rsidRPr="00797AC8">
        <w:rPr>
          <w:rFonts w:ascii="Arial" w:hAnsi="Arial" w:cs="Arial"/>
          <w:sz w:val="24"/>
          <w:szCs w:val="24"/>
        </w:rPr>
        <w:t xml:space="preserve">was of the view </w:t>
      </w:r>
      <w:r w:rsidR="009926F7" w:rsidRPr="00797AC8">
        <w:rPr>
          <w:rFonts w:ascii="Arial" w:hAnsi="Arial" w:cs="Arial"/>
          <w:sz w:val="24"/>
          <w:szCs w:val="24"/>
        </w:rPr>
        <w:t xml:space="preserve">that it was </w:t>
      </w:r>
      <w:r w:rsidR="009B59B7" w:rsidRPr="00797AC8">
        <w:rPr>
          <w:rFonts w:ascii="Arial" w:hAnsi="Arial" w:cs="Arial"/>
          <w:sz w:val="24"/>
          <w:szCs w:val="24"/>
        </w:rPr>
        <w:t xml:space="preserve">so </w:t>
      </w:r>
      <w:r w:rsidR="009926F7" w:rsidRPr="00797AC8">
        <w:rPr>
          <w:rFonts w:ascii="Arial" w:hAnsi="Arial" w:cs="Arial"/>
          <w:sz w:val="24"/>
          <w:szCs w:val="24"/>
        </w:rPr>
        <w:t>clear</w:t>
      </w:r>
      <w:r w:rsidR="009B59B7" w:rsidRPr="00797AC8">
        <w:rPr>
          <w:rFonts w:ascii="Arial" w:hAnsi="Arial" w:cs="Arial"/>
          <w:sz w:val="24"/>
          <w:szCs w:val="24"/>
        </w:rPr>
        <w:t xml:space="preserve">, based upon what Jafta J had said in </w:t>
      </w:r>
      <w:r w:rsidR="009B59B7" w:rsidRPr="00797AC8">
        <w:rPr>
          <w:rFonts w:ascii="Arial" w:hAnsi="Arial" w:cs="Arial"/>
          <w:i/>
          <w:iCs/>
          <w:sz w:val="24"/>
          <w:szCs w:val="24"/>
        </w:rPr>
        <w:t>Nkata</w:t>
      </w:r>
      <w:r w:rsidR="009B59B7" w:rsidRPr="00797AC8">
        <w:rPr>
          <w:rFonts w:ascii="Arial" w:hAnsi="Arial" w:cs="Arial"/>
          <w:sz w:val="24"/>
          <w:szCs w:val="24"/>
        </w:rPr>
        <w:t>,</w:t>
      </w:r>
      <w:r w:rsidR="009926F7" w:rsidRPr="00797AC8">
        <w:rPr>
          <w:rFonts w:ascii="Arial" w:hAnsi="Arial" w:cs="Arial"/>
          <w:sz w:val="24"/>
          <w:szCs w:val="24"/>
        </w:rPr>
        <w:t xml:space="preserve"> that the registrar could not grant default judgment, that when the court rescinded </w:t>
      </w:r>
      <w:r w:rsidR="005D5B25" w:rsidRPr="00797AC8">
        <w:rPr>
          <w:rFonts w:ascii="Arial" w:hAnsi="Arial" w:cs="Arial"/>
          <w:sz w:val="24"/>
          <w:szCs w:val="24"/>
        </w:rPr>
        <w:t xml:space="preserve">the </w:t>
      </w:r>
      <w:r w:rsidR="009926F7" w:rsidRPr="00797AC8">
        <w:rPr>
          <w:rFonts w:ascii="Arial" w:hAnsi="Arial" w:cs="Arial"/>
          <w:sz w:val="24"/>
          <w:szCs w:val="24"/>
        </w:rPr>
        <w:t>default judgment that had been granted by the registrar</w:t>
      </w:r>
      <w:r w:rsidR="00E857E8" w:rsidRPr="00797AC8">
        <w:rPr>
          <w:rFonts w:ascii="Arial" w:hAnsi="Arial" w:cs="Arial"/>
          <w:sz w:val="24"/>
          <w:szCs w:val="24"/>
        </w:rPr>
        <w:t xml:space="preserve"> in that matter</w:t>
      </w:r>
      <w:r w:rsidR="009926F7" w:rsidRPr="00797AC8">
        <w:rPr>
          <w:rFonts w:ascii="Arial" w:hAnsi="Arial" w:cs="Arial"/>
          <w:sz w:val="24"/>
          <w:szCs w:val="24"/>
        </w:rPr>
        <w:t xml:space="preserve">, it ordered the </w:t>
      </w:r>
      <w:r w:rsidR="00452BE3" w:rsidRPr="00797AC8">
        <w:rPr>
          <w:rFonts w:ascii="Arial" w:hAnsi="Arial" w:cs="Arial"/>
          <w:sz w:val="24"/>
          <w:szCs w:val="24"/>
        </w:rPr>
        <w:t>credit provider</w:t>
      </w:r>
      <w:r w:rsidR="009926F7" w:rsidRPr="00797AC8">
        <w:rPr>
          <w:rFonts w:ascii="Arial" w:hAnsi="Arial" w:cs="Arial"/>
          <w:sz w:val="24"/>
          <w:szCs w:val="24"/>
        </w:rPr>
        <w:t xml:space="preserve"> to pay costs on a punitive scale because in the court’s view the credit provider’s opposition </w:t>
      </w:r>
      <w:r w:rsidR="00E857E8" w:rsidRPr="00797AC8">
        <w:rPr>
          <w:rFonts w:ascii="Arial" w:hAnsi="Arial" w:cs="Arial"/>
          <w:sz w:val="24"/>
          <w:szCs w:val="24"/>
        </w:rPr>
        <w:t xml:space="preserve">to the rescission </w:t>
      </w:r>
      <w:r w:rsidR="009926F7" w:rsidRPr="00797AC8">
        <w:rPr>
          <w:rFonts w:ascii="Arial" w:hAnsi="Arial" w:cs="Arial"/>
          <w:sz w:val="24"/>
          <w:szCs w:val="24"/>
        </w:rPr>
        <w:t xml:space="preserve">was frivolous or unreasonable. </w:t>
      </w:r>
      <w:r w:rsidR="00452BE3" w:rsidRPr="00797AC8">
        <w:rPr>
          <w:rFonts w:ascii="Arial" w:hAnsi="Arial" w:cs="Arial"/>
          <w:sz w:val="24"/>
          <w:szCs w:val="24"/>
        </w:rPr>
        <w:t>No</w:t>
      </w:r>
      <w:r w:rsidR="009926F7" w:rsidRPr="00797AC8">
        <w:rPr>
          <w:rFonts w:ascii="Arial" w:hAnsi="Arial" w:cs="Arial"/>
          <w:sz w:val="24"/>
          <w:szCs w:val="24"/>
        </w:rPr>
        <w:t xml:space="preserve"> reference </w:t>
      </w:r>
      <w:r w:rsidR="00452BE3" w:rsidRPr="00797AC8">
        <w:rPr>
          <w:rFonts w:ascii="Arial" w:hAnsi="Arial" w:cs="Arial"/>
          <w:sz w:val="24"/>
          <w:szCs w:val="24"/>
        </w:rPr>
        <w:t>was</w:t>
      </w:r>
      <w:r w:rsidR="009926F7" w:rsidRPr="00797AC8">
        <w:rPr>
          <w:rFonts w:ascii="Arial" w:hAnsi="Arial" w:cs="Arial"/>
          <w:sz w:val="24"/>
          <w:szCs w:val="24"/>
        </w:rPr>
        <w:t xml:space="preserve"> made in the short judgment to the full court decision in </w:t>
      </w:r>
      <w:r w:rsidR="009926F7" w:rsidRPr="00797AC8">
        <w:rPr>
          <w:rFonts w:ascii="Arial" w:hAnsi="Arial" w:cs="Arial"/>
          <w:i/>
          <w:iCs/>
          <w:sz w:val="24"/>
          <w:szCs w:val="24"/>
        </w:rPr>
        <w:t>Mollentz</w:t>
      </w:r>
      <w:r w:rsidR="00452BE3" w:rsidRPr="00797AC8">
        <w:rPr>
          <w:rFonts w:ascii="Arial" w:hAnsi="Arial" w:cs="Arial"/>
          <w:i/>
          <w:iCs/>
          <w:sz w:val="24"/>
          <w:szCs w:val="24"/>
        </w:rPr>
        <w:t>e,</w:t>
      </w:r>
      <w:r w:rsidR="009926F7" w:rsidRPr="00797AC8">
        <w:rPr>
          <w:rFonts w:ascii="Arial" w:hAnsi="Arial" w:cs="Arial"/>
          <w:i/>
          <w:iCs/>
          <w:sz w:val="24"/>
          <w:szCs w:val="24"/>
        </w:rPr>
        <w:t xml:space="preserve"> </w:t>
      </w:r>
      <w:r w:rsidR="009926F7" w:rsidRPr="00797AC8">
        <w:rPr>
          <w:rFonts w:ascii="Arial" w:hAnsi="Arial" w:cs="Arial"/>
          <w:sz w:val="24"/>
          <w:szCs w:val="24"/>
        </w:rPr>
        <w:t>which supported the credit provider’s position</w:t>
      </w:r>
      <w:r w:rsidR="00452BE3" w:rsidRPr="00797AC8">
        <w:rPr>
          <w:rFonts w:ascii="Arial" w:hAnsi="Arial" w:cs="Arial"/>
          <w:sz w:val="24"/>
          <w:szCs w:val="24"/>
        </w:rPr>
        <w:t>.</w:t>
      </w:r>
    </w:p>
    <w:p w14:paraId="61ADF709" w14:textId="305D31FD" w:rsidR="007A17B2"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7A17B2" w:rsidRPr="00797AC8">
        <w:rPr>
          <w:rFonts w:ascii="Arial" w:hAnsi="Arial" w:cs="Arial"/>
          <w:sz w:val="24"/>
          <w:szCs w:val="24"/>
        </w:rPr>
        <w:t xml:space="preserve">I am required to follow those decisions of this Division of a single judge unless I am of the view that they are clearly wrong. In the present instance, </w:t>
      </w:r>
      <w:r w:rsidR="0037105D" w:rsidRPr="00797AC8">
        <w:rPr>
          <w:rFonts w:ascii="Arial" w:hAnsi="Arial" w:cs="Arial"/>
          <w:sz w:val="24"/>
          <w:szCs w:val="24"/>
        </w:rPr>
        <w:t xml:space="preserve">those decisions are not consistent. The reasoned decision of </w:t>
      </w:r>
      <w:r w:rsidR="0037105D" w:rsidRPr="00797AC8">
        <w:rPr>
          <w:rFonts w:ascii="Arial" w:hAnsi="Arial" w:cs="Arial"/>
          <w:i/>
          <w:iCs/>
          <w:sz w:val="24"/>
          <w:szCs w:val="24"/>
        </w:rPr>
        <w:t>Du Plessis</w:t>
      </w:r>
      <w:r w:rsidR="0037105D" w:rsidRPr="00797AC8">
        <w:rPr>
          <w:rFonts w:ascii="Arial" w:hAnsi="Arial" w:cs="Arial"/>
          <w:sz w:val="24"/>
          <w:szCs w:val="24"/>
        </w:rPr>
        <w:t xml:space="preserve"> goes on</w:t>
      </w:r>
      <w:r w:rsidR="005D5B25" w:rsidRPr="00797AC8">
        <w:rPr>
          <w:rFonts w:ascii="Arial" w:hAnsi="Arial" w:cs="Arial"/>
          <w:sz w:val="24"/>
          <w:szCs w:val="24"/>
        </w:rPr>
        <w:t>e</w:t>
      </w:r>
      <w:r w:rsidR="0037105D" w:rsidRPr="00797AC8">
        <w:rPr>
          <w:rFonts w:ascii="Arial" w:hAnsi="Arial" w:cs="Arial"/>
          <w:sz w:val="24"/>
          <w:szCs w:val="24"/>
        </w:rPr>
        <w:t xml:space="preserve"> way. The subsequent decisions of </w:t>
      </w:r>
      <w:r w:rsidR="0037105D" w:rsidRPr="00797AC8">
        <w:rPr>
          <w:rFonts w:ascii="Arial" w:hAnsi="Arial" w:cs="Arial"/>
          <w:i/>
          <w:iCs/>
          <w:sz w:val="24"/>
          <w:szCs w:val="24"/>
        </w:rPr>
        <w:t>Theu, Seleka and Nonyane</w:t>
      </w:r>
      <w:r w:rsidR="0037105D" w:rsidRPr="00797AC8">
        <w:rPr>
          <w:rFonts w:ascii="Arial" w:hAnsi="Arial" w:cs="Arial"/>
          <w:sz w:val="24"/>
          <w:szCs w:val="24"/>
        </w:rPr>
        <w:t xml:space="preserve"> go the other </w:t>
      </w:r>
      <w:r w:rsidR="0037105D" w:rsidRPr="00797AC8">
        <w:rPr>
          <w:rFonts w:ascii="Arial" w:hAnsi="Arial" w:cs="Arial"/>
          <w:sz w:val="24"/>
          <w:szCs w:val="24"/>
        </w:rPr>
        <w:lastRenderedPageBreak/>
        <w:t xml:space="preserve">way. Although the latter decisions are more recent, the earlier decision of </w:t>
      </w:r>
      <w:r w:rsidR="0037105D" w:rsidRPr="00797AC8">
        <w:rPr>
          <w:rFonts w:ascii="Arial" w:hAnsi="Arial" w:cs="Arial"/>
          <w:i/>
          <w:iCs/>
          <w:sz w:val="24"/>
          <w:szCs w:val="24"/>
        </w:rPr>
        <w:t>Du Plessis</w:t>
      </w:r>
      <w:r w:rsidR="0037105D" w:rsidRPr="00797AC8">
        <w:rPr>
          <w:rFonts w:ascii="Arial" w:hAnsi="Arial" w:cs="Arial"/>
          <w:sz w:val="24"/>
          <w:szCs w:val="24"/>
        </w:rPr>
        <w:t xml:space="preserve"> is affirmed by what must be </w:t>
      </w:r>
      <w:r w:rsidR="009663DC" w:rsidRPr="00797AC8">
        <w:rPr>
          <w:rFonts w:ascii="Arial" w:hAnsi="Arial" w:cs="Arial"/>
          <w:sz w:val="24"/>
          <w:szCs w:val="24"/>
        </w:rPr>
        <w:t>treated as</w:t>
      </w:r>
      <w:r w:rsidR="0037105D" w:rsidRPr="00797AC8">
        <w:rPr>
          <w:rFonts w:ascii="Arial" w:hAnsi="Arial" w:cs="Arial"/>
          <w:sz w:val="24"/>
          <w:szCs w:val="24"/>
        </w:rPr>
        <w:t xml:space="preserve"> the highly persuasive full court decision in </w:t>
      </w:r>
      <w:r w:rsidR="0037105D" w:rsidRPr="00797AC8">
        <w:rPr>
          <w:rFonts w:ascii="Arial" w:hAnsi="Arial" w:cs="Arial"/>
          <w:i/>
          <w:iCs/>
          <w:sz w:val="24"/>
          <w:szCs w:val="24"/>
        </w:rPr>
        <w:t>Mollentze</w:t>
      </w:r>
      <w:r w:rsidR="0037105D" w:rsidRPr="00797AC8">
        <w:rPr>
          <w:rFonts w:ascii="Arial" w:hAnsi="Arial" w:cs="Arial"/>
          <w:sz w:val="24"/>
          <w:szCs w:val="24"/>
        </w:rPr>
        <w:t xml:space="preserve">. In the circumstances, in my view, I am not </w:t>
      </w:r>
      <w:r w:rsidR="004B6980" w:rsidRPr="00797AC8">
        <w:rPr>
          <w:rFonts w:ascii="Arial" w:hAnsi="Arial" w:cs="Arial"/>
          <w:sz w:val="24"/>
          <w:szCs w:val="24"/>
        </w:rPr>
        <w:t xml:space="preserve">required </w:t>
      </w:r>
      <w:r w:rsidR="0037105D" w:rsidRPr="00797AC8">
        <w:rPr>
          <w:rFonts w:ascii="Arial" w:hAnsi="Arial" w:cs="Arial"/>
          <w:sz w:val="24"/>
          <w:szCs w:val="24"/>
        </w:rPr>
        <w:t>to, nor am I able to, decide that one or other</w:t>
      </w:r>
      <w:r w:rsidR="004B6980" w:rsidRPr="00797AC8">
        <w:rPr>
          <w:rFonts w:ascii="Arial" w:hAnsi="Arial" w:cs="Arial"/>
          <w:sz w:val="24"/>
          <w:szCs w:val="24"/>
        </w:rPr>
        <w:t xml:space="preserve"> of the</w:t>
      </w:r>
      <w:r w:rsidR="0037105D" w:rsidRPr="00797AC8">
        <w:rPr>
          <w:rFonts w:ascii="Arial" w:hAnsi="Arial" w:cs="Arial"/>
          <w:sz w:val="24"/>
          <w:szCs w:val="24"/>
        </w:rPr>
        <w:t xml:space="preserve"> line of decisions</w:t>
      </w:r>
      <w:r w:rsidR="009663DC" w:rsidRPr="00797AC8">
        <w:rPr>
          <w:rFonts w:ascii="Arial" w:hAnsi="Arial" w:cs="Arial"/>
          <w:sz w:val="24"/>
          <w:szCs w:val="24"/>
        </w:rPr>
        <w:t xml:space="preserve"> in this Division</w:t>
      </w:r>
      <w:r w:rsidR="0037105D" w:rsidRPr="00797AC8">
        <w:rPr>
          <w:rFonts w:ascii="Arial" w:hAnsi="Arial" w:cs="Arial"/>
          <w:sz w:val="24"/>
          <w:szCs w:val="24"/>
        </w:rPr>
        <w:t xml:space="preserve"> is clearly wrong</w:t>
      </w:r>
      <w:r w:rsidR="0082052F" w:rsidRPr="00797AC8">
        <w:rPr>
          <w:rFonts w:ascii="Arial" w:hAnsi="Arial" w:cs="Arial"/>
          <w:sz w:val="24"/>
          <w:szCs w:val="24"/>
        </w:rPr>
        <w:t>.</w:t>
      </w:r>
    </w:p>
    <w:p w14:paraId="2905B0D5" w14:textId="493675E7" w:rsidR="0082052F"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2052F" w:rsidRPr="00797AC8">
        <w:rPr>
          <w:rFonts w:ascii="Arial" w:hAnsi="Arial" w:cs="Arial"/>
          <w:sz w:val="24"/>
          <w:szCs w:val="24"/>
        </w:rPr>
        <w:t xml:space="preserve">It </w:t>
      </w:r>
      <w:r w:rsidR="009663DC" w:rsidRPr="00797AC8">
        <w:rPr>
          <w:rFonts w:ascii="Arial" w:hAnsi="Arial" w:cs="Arial"/>
          <w:sz w:val="24"/>
          <w:szCs w:val="24"/>
        </w:rPr>
        <w:t xml:space="preserve">remains </w:t>
      </w:r>
      <w:r w:rsidR="0082052F" w:rsidRPr="00797AC8">
        <w:rPr>
          <w:rFonts w:ascii="Arial" w:hAnsi="Arial" w:cs="Arial"/>
          <w:sz w:val="24"/>
          <w:szCs w:val="24"/>
        </w:rPr>
        <w:t xml:space="preserve">necessary to consider whether what was stated by Jafta J in his minority judgments in </w:t>
      </w:r>
      <w:r w:rsidR="0082052F" w:rsidRPr="00797AC8">
        <w:rPr>
          <w:rFonts w:ascii="Arial" w:hAnsi="Arial" w:cs="Arial"/>
          <w:i/>
          <w:iCs/>
          <w:sz w:val="24"/>
          <w:szCs w:val="24"/>
        </w:rPr>
        <w:t>Nkata</w:t>
      </w:r>
      <w:r w:rsidR="0082052F" w:rsidRPr="00797AC8">
        <w:rPr>
          <w:rFonts w:ascii="Arial" w:hAnsi="Arial" w:cs="Arial"/>
          <w:sz w:val="24"/>
          <w:szCs w:val="24"/>
        </w:rPr>
        <w:t xml:space="preserve"> and </w:t>
      </w:r>
      <w:r w:rsidR="0082052F" w:rsidRPr="00797AC8">
        <w:rPr>
          <w:rFonts w:ascii="Arial" w:hAnsi="Arial" w:cs="Arial"/>
          <w:i/>
          <w:iCs/>
          <w:sz w:val="24"/>
          <w:szCs w:val="24"/>
        </w:rPr>
        <w:t>University of Stellenbosch</w:t>
      </w:r>
      <w:r w:rsidR="0082052F" w:rsidRPr="00797AC8">
        <w:rPr>
          <w:rFonts w:ascii="Arial" w:hAnsi="Arial" w:cs="Arial"/>
          <w:sz w:val="24"/>
          <w:szCs w:val="24"/>
        </w:rPr>
        <w:t xml:space="preserve"> is decisive of the issue. As appears above, </w:t>
      </w:r>
      <w:r w:rsidR="0082052F" w:rsidRPr="00797AC8">
        <w:rPr>
          <w:rFonts w:ascii="Arial" w:hAnsi="Arial" w:cs="Arial"/>
          <w:i/>
          <w:iCs/>
          <w:sz w:val="24"/>
          <w:szCs w:val="24"/>
        </w:rPr>
        <w:t xml:space="preserve">Gcasamba </w:t>
      </w:r>
      <w:r w:rsidR="0082052F" w:rsidRPr="00797AC8">
        <w:rPr>
          <w:rFonts w:ascii="Arial" w:hAnsi="Arial" w:cs="Arial"/>
          <w:sz w:val="24"/>
          <w:szCs w:val="24"/>
        </w:rPr>
        <w:t xml:space="preserve">and </w:t>
      </w:r>
      <w:r w:rsidR="0082052F" w:rsidRPr="00797AC8">
        <w:rPr>
          <w:rFonts w:ascii="Arial" w:hAnsi="Arial" w:cs="Arial"/>
          <w:i/>
          <w:iCs/>
          <w:sz w:val="24"/>
          <w:szCs w:val="24"/>
        </w:rPr>
        <w:t>Ngandela</w:t>
      </w:r>
      <w:r w:rsidR="00AE551B" w:rsidRPr="00797AC8">
        <w:rPr>
          <w:rFonts w:ascii="Arial" w:hAnsi="Arial" w:cs="Arial"/>
          <w:i/>
          <w:iCs/>
          <w:sz w:val="24"/>
          <w:szCs w:val="24"/>
        </w:rPr>
        <w:t xml:space="preserve"> </w:t>
      </w:r>
      <w:r w:rsidR="00AE551B" w:rsidRPr="00797AC8">
        <w:rPr>
          <w:rFonts w:ascii="Arial" w:hAnsi="Arial" w:cs="Arial"/>
          <w:sz w:val="24"/>
          <w:szCs w:val="24"/>
        </w:rPr>
        <w:t xml:space="preserve">for the Free State and </w:t>
      </w:r>
      <w:r w:rsidR="00E857E8" w:rsidRPr="00797AC8">
        <w:rPr>
          <w:rFonts w:ascii="Arial" w:hAnsi="Arial" w:cs="Arial"/>
          <w:sz w:val="24"/>
          <w:szCs w:val="24"/>
        </w:rPr>
        <w:t>Eastern Cape</w:t>
      </w:r>
      <w:r w:rsidR="00AE551B" w:rsidRPr="00797AC8">
        <w:rPr>
          <w:rFonts w:ascii="Arial" w:hAnsi="Arial" w:cs="Arial"/>
          <w:sz w:val="24"/>
          <w:szCs w:val="24"/>
        </w:rPr>
        <w:t xml:space="preserve"> Divisions respectively found this to be so. On the other hand, the full court in </w:t>
      </w:r>
      <w:r w:rsidR="00AE551B" w:rsidRPr="00797AC8">
        <w:rPr>
          <w:rFonts w:ascii="Arial" w:hAnsi="Arial" w:cs="Arial"/>
          <w:i/>
          <w:iCs/>
          <w:sz w:val="24"/>
          <w:szCs w:val="24"/>
        </w:rPr>
        <w:t xml:space="preserve">Mollentze </w:t>
      </w:r>
      <w:r w:rsidR="00AE551B" w:rsidRPr="00797AC8">
        <w:rPr>
          <w:rFonts w:ascii="Arial" w:hAnsi="Arial" w:cs="Arial"/>
          <w:sz w:val="24"/>
          <w:szCs w:val="24"/>
        </w:rPr>
        <w:t>found not</w:t>
      </w:r>
      <w:r w:rsidR="00E76CCC" w:rsidRPr="00797AC8">
        <w:rPr>
          <w:rFonts w:ascii="Arial" w:hAnsi="Arial" w:cs="Arial"/>
          <w:sz w:val="24"/>
          <w:szCs w:val="24"/>
        </w:rPr>
        <w:t xml:space="preserve">, as had previously this Division in </w:t>
      </w:r>
      <w:r w:rsidR="00E76CCC" w:rsidRPr="00797AC8">
        <w:rPr>
          <w:rFonts w:ascii="Arial" w:hAnsi="Arial" w:cs="Arial"/>
          <w:i/>
          <w:iCs/>
          <w:sz w:val="24"/>
          <w:szCs w:val="24"/>
        </w:rPr>
        <w:t>Du Plessis</w:t>
      </w:r>
      <w:r w:rsidR="00E76CCC" w:rsidRPr="00797AC8">
        <w:rPr>
          <w:rFonts w:ascii="Arial" w:hAnsi="Arial" w:cs="Arial"/>
          <w:sz w:val="24"/>
          <w:szCs w:val="24"/>
        </w:rPr>
        <w:t>.</w:t>
      </w:r>
    </w:p>
    <w:p w14:paraId="05AFBE48" w14:textId="1A7D5D2D" w:rsidR="00AE551B" w:rsidRPr="00797AC8" w:rsidRDefault="00797AC8" w:rsidP="00797AC8">
      <w:pPr>
        <w:spacing w:before="360" w:after="360" w:line="480" w:lineRule="auto"/>
        <w:ind w:left="624" w:right="117" w:hanging="624"/>
        <w:jc w:val="both"/>
        <w:rPr>
          <w:rFonts w:ascii="Arial" w:hAnsi="Arial" w:cs="Arial"/>
          <w:sz w:val="24"/>
          <w:szCs w:val="24"/>
        </w:rPr>
      </w:pPr>
      <w:r w:rsidRPr="00BC2EE8">
        <w:rPr>
          <w:rFonts w:ascii="Arial" w:hAnsi="Arial" w:cs="Arial"/>
          <w:sz w:val="24"/>
          <w:szCs w:val="24"/>
        </w:rPr>
        <w:t>27.</w:t>
      </w:r>
      <w:r w:rsidRPr="00BC2EE8">
        <w:rPr>
          <w:rFonts w:ascii="Arial" w:hAnsi="Arial" w:cs="Arial"/>
          <w:sz w:val="24"/>
          <w:szCs w:val="24"/>
        </w:rPr>
        <w:tab/>
      </w:r>
      <w:r w:rsidR="00AE551B" w:rsidRPr="00797AC8">
        <w:rPr>
          <w:rFonts w:ascii="Arial" w:hAnsi="Arial" w:cs="Arial"/>
          <w:i/>
          <w:iCs/>
          <w:sz w:val="24"/>
          <w:szCs w:val="24"/>
        </w:rPr>
        <w:t>Nkata</w:t>
      </w:r>
      <w:r w:rsidR="00AE551B" w:rsidRPr="00797AC8">
        <w:rPr>
          <w:rFonts w:ascii="Arial" w:hAnsi="Arial" w:cs="Arial"/>
          <w:sz w:val="24"/>
          <w:szCs w:val="24"/>
        </w:rPr>
        <w:t xml:space="preserve"> was </w:t>
      </w:r>
      <w:r w:rsidR="0083670D" w:rsidRPr="00797AC8">
        <w:rPr>
          <w:rFonts w:ascii="Arial" w:hAnsi="Arial" w:cs="Arial"/>
          <w:sz w:val="24"/>
          <w:szCs w:val="24"/>
        </w:rPr>
        <w:t xml:space="preserve">concerned with </w:t>
      </w:r>
      <w:r w:rsidR="00AE551B" w:rsidRPr="00797AC8">
        <w:rPr>
          <w:rFonts w:ascii="Arial" w:hAnsi="Arial" w:cs="Arial"/>
          <w:sz w:val="24"/>
          <w:szCs w:val="24"/>
        </w:rPr>
        <w:t xml:space="preserve">the correct interpretation </w:t>
      </w:r>
      <w:r w:rsidR="0083670D" w:rsidRPr="00797AC8">
        <w:rPr>
          <w:rFonts w:ascii="Arial" w:hAnsi="Arial" w:cs="Arial"/>
          <w:sz w:val="24"/>
          <w:szCs w:val="24"/>
        </w:rPr>
        <w:t>of sections 129(3) and 129(4)(b) of the NCA. An issue was whether it was necessary for the consumer to have paid certain legal costs before a credit agreement was re</w:t>
      </w:r>
      <w:r w:rsidR="00BC2EE8" w:rsidRPr="00797AC8">
        <w:rPr>
          <w:rFonts w:ascii="Arial" w:hAnsi="Arial" w:cs="Arial"/>
          <w:sz w:val="24"/>
          <w:szCs w:val="24"/>
        </w:rPr>
        <w:t>-</w:t>
      </w:r>
      <w:r w:rsidR="0083670D" w:rsidRPr="00797AC8">
        <w:rPr>
          <w:rFonts w:ascii="Arial" w:hAnsi="Arial" w:cs="Arial"/>
          <w:sz w:val="24"/>
          <w:szCs w:val="24"/>
        </w:rPr>
        <w:t>instated</w:t>
      </w:r>
      <w:r w:rsidR="00C7300A" w:rsidRPr="00797AC8">
        <w:rPr>
          <w:rFonts w:ascii="Arial" w:hAnsi="Arial" w:cs="Arial"/>
          <w:sz w:val="24"/>
          <w:szCs w:val="24"/>
        </w:rPr>
        <w:t xml:space="preserve">. Section 129(3) provides that </w:t>
      </w:r>
      <w:r w:rsidR="00C7300A" w:rsidRPr="00797AC8">
        <w:rPr>
          <w:rFonts w:ascii="Arial" w:hAnsi="Arial" w:cs="Arial"/>
          <w:color w:val="000000" w:themeColor="text1"/>
          <w:sz w:val="24"/>
          <w:szCs w:val="24"/>
          <w:shd w:val="clear" w:color="auto" w:fill="FFFFFF"/>
        </w:rPr>
        <w:t xml:space="preserve">a consumer may </w:t>
      </w:r>
      <w:r w:rsidR="00BC2EE8" w:rsidRPr="00797AC8">
        <w:rPr>
          <w:rFonts w:ascii="Arial" w:hAnsi="Arial" w:cs="Arial"/>
          <w:color w:val="000000" w:themeColor="text1"/>
          <w:sz w:val="24"/>
          <w:szCs w:val="24"/>
          <w:shd w:val="clear" w:color="auto" w:fill="FFFFFF"/>
        </w:rPr>
        <w:t>remedy a default under the</w:t>
      </w:r>
      <w:r w:rsidR="00C7300A" w:rsidRPr="00797AC8">
        <w:rPr>
          <w:rFonts w:ascii="Arial" w:hAnsi="Arial" w:cs="Arial"/>
          <w:color w:val="000000" w:themeColor="text1"/>
          <w:sz w:val="24"/>
          <w:szCs w:val="24"/>
          <w:shd w:val="clear" w:color="auto" w:fill="FFFFFF"/>
        </w:rPr>
        <w:t xml:space="preserve"> credit agreement by payment</w:t>
      </w:r>
      <w:r w:rsidR="00BC2EE8" w:rsidRPr="00797AC8">
        <w:rPr>
          <w:rFonts w:ascii="Arial" w:hAnsi="Arial" w:cs="Arial"/>
          <w:color w:val="000000" w:themeColor="text1"/>
          <w:sz w:val="24"/>
          <w:szCs w:val="24"/>
          <w:shd w:val="clear" w:color="auto" w:fill="FFFFFF"/>
        </w:rPr>
        <w:t xml:space="preserve"> to the credit provider</w:t>
      </w:r>
      <w:r w:rsidR="00C7300A" w:rsidRPr="00797AC8">
        <w:rPr>
          <w:rFonts w:ascii="Arial" w:hAnsi="Arial" w:cs="Arial"/>
          <w:color w:val="000000" w:themeColor="text1"/>
          <w:sz w:val="24"/>
          <w:szCs w:val="24"/>
          <w:shd w:val="clear" w:color="auto" w:fill="FFFFFF"/>
        </w:rPr>
        <w:t>, at any time prior to its cancellation, of 'all amounts that are</w:t>
      </w:r>
      <w:r w:rsidR="00C7300A" w:rsidRPr="00797AC8">
        <w:rPr>
          <w:rStyle w:val="apple-converted-space"/>
          <w:rFonts w:ascii="Arial" w:hAnsi="Arial" w:cs="Arial"/>
          <w:color w:val="000000" w:themeColor="text1"/>
          <w:sz w:val="24"/>
          <w:szCs w:val="24"/>
          <w:shd w:val="clear" w:color="auto" w:fill="FFFFFF"/>
        </w:rPr>
        <w:t> </w:t>
      </w:r>
      <w:r w:rsidR="00C7300A" w:rsidRPr="00797AC8">
        <w:rPr>
          <w:rFonts w:ascii="Arial" w:hAnsi="Arial" w:cs="Arial"/>
          <w:color w:val="000000" w:themeColor="text1"/>
          <w:sz w:val="24"/>
          <w:szCs w:val="24"/>
          <w:shd w:val="clear" w:color="auto" w:fill="FFFFFF"/>
        </w:rPr>
        <w:t>overdue, together with the credit provider's permitted default charges and reasonable costs of enforcing the agreement up to the time of re-instatement’</w:t>
      </w:r>
      <w:r w:rsidR="0083670D" w:rsidRPr="00797AC8">
        <w:rPr>
          <w:rFonts w:ascii="Arial" w:hAnsi="Arial" w:cs="Arial"/>
          <w:color w:val="000000" w:themeColor="text1"/>
          <w:sz w:val="24"/>
          <w:szCs w:val="24"/>
        </w:rPr>
        <w:t xml:space="preserve">. </w:t>
      </w:r>
      <w:r w:rsidR="0083670D" w:rsidRPr="00797AC8">
        <w:rPr>
          <w:rFonts w:ascii="Arial" w:hAnsi="Arial" w:cs="Arial"/>
          <w:sz w:val="24"/>
          <w:szCs w:val="24"/>
        </w:rPr>
        <w:t>The legal costs at issue</w:t>
      </w:r>
      <w:r w:rsidR="00BC2EE8" w:rsidRPr="00797AC8">
        <w:rPr>
          <w:rFonts w:ascii="Arial" w:hAnsi="Arial" w:cs="Arial"/>
          <w:sz w:val="24"/>
          <w:szCs w:val="24"/>
        </w:rPr>
        <w:t xml:space="preserve"> as claimed by the credit provider</w:t>
      </w:r>
      <w:r w:rsidR="0083670D" w:rsidRPr="00797AC8">
        <w:rPr>
          <w:rFonts w:ascii="Arial" w:hAnsi="Arial" w:cs="Arial"/>
          <w:sz w:val="24"/>
          <w:szCs w:val="24"/>
        </w:rPr>
        <w:t xml:space="preserve"> included the costs of the credit provider obtaining default judgment from the registrar in terms of rule 31(5). </w:t>
      </w:r>
    </w:p>
    <w:p w14:paraId="6F78BE87" w14:textId="4E021E55" w:rsidR="0083670D"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65323D" w:rsidRPr="00797AC8">
        <w:rPr>
          <w:rFonts w:ascii="Arial" w:hAnsi="Arial" w:cs="Arial"/>
          <w:sz w:val="24"/>
          <w:szCs w:val="24"/>
        </w:rPr>
        <w:t xml:space="preserve">The majority judgment </w:t>
      </w:r>
      <w:r w:rsidR="00C7300A" w:rsidRPr="00797AC8">
        <w:rPr>
          <w:rFonts w:ascii="Arial" w:hAnsi="Arial" w:cs="Arial"/>
          <w:sz w:val="24"/>
          <w:szCs w:val="24"/>
        </w:rPr>
        <w:t>written by Moseneke DCJ</w:t>
      </w:r>
      <w:r w:rsidR="0065323D" w:rsidRPr="00797AC8">
        <w:rPr>
          <w:rFonts w:ascii="Arial" w:hAnsi="Arial" w:cs="Arial"/>
          <w:sz w:val="24"/>
          <w:szCs w:val="24"/>
        </w:rPr>
        <w:t xml:space="preserve"> upheld the appeal, finding  </w:t>
      </w:r>
      <w:r w:rsidR="00C7300A" w:rsidRPr="00797AC8">
        <w:rPr>
          <w:rFonts w:ascii="Arial" w:hAnsi="Arial" w:cs="Arial"/>
          <w:sz w:val="24"/>
          <w:szCs w:val="24"/>
        </w:rPr>
        <w:t xml:space="preserve">in paragraph 123 that the legal costs would become due and payable only </w:t>
      </w:r>
      <w:r w:rsidR="00C7300A" w:rsidRPr="00797AC8">
        <w:rPr>
          <w:rFonts w:ascii="Arial" w:hAnsi="Arial" w:cs="Arial"/>
          <w:sz w:val="24"/>
          <w:szCs w:val="24"/>
        </w:rPr>
        <w:lastRenderedPageBreak/>
        <w:t>when they are reasonable, agreed or taxed, and on due notice to the consumer.</w:t>
      </w:r>
      <w:r w:rsidR="00A06426" w:rsidRPr="00797AC8">
        <w:rPr>
          <w:rFonts w:ascii="Arial" w:hAnsi="Arial" w:cs="Arial"/>
          <w:sz w:val="24"/>
          <w:szCs w:val="24"/>
        </w:rPr>
        <w:t xml:space="preserve"> As this had not taken place, </w:t>
      </w:r>
      <w:r w:rsidR="00BC2EE8" w:rsidRPr="00797AC8">
        <w:rPr>
          <w:rFonts w:ascii="Arial" w:hAnsi="Arial" w:cs="Arial"/>
          <w:sz w:val="24"/>
          <w:szCs w:val="24"/>
        </w:rPr>
        <w:t xml:space="preserve">the majority judgment found that </w:t>
      </w:r>
      <w:r w:rsidR="00B46CD8" w:rsidRPr="00797AC8">
        <w:rPr>
          <w:rFonts w:ascii="Arial" w:hAnsi="Arial" w:cs="Arial"/>
          <w:sz w:val="24"/>
          <w:szCs w:val="24"/>
        </w:rPr>
        <w:t xml:space="preserve">it </w:t>
      </w:r>
      <w:r w:rsidR="00A06426" w:rsidRPr="00797AC8">
        <w:rPr>
          <w:rFonts w:ascii="Arial" w:hAnsi="Arial" w:cs="Arial"/>
          <w:sz w:val="24"/>
          <w:szCs w:val="24"/>
        </w:rPr>
        <w:t>was not necessary for the consumer to have paid them before by the operation of law the credit agreement was re-instated in terms of section 129(3). Nothing was said in th</w:t>
      </w:r>
      <w:r w:rsidR="0065323D" w:rsidRPr="00797AC8">
        <w:rPr>
          <w:rFonts w:ascii="Arial" w:hAnsi="Arial" w:cs="Arial"/>
          <w:sz w:val="24"/>
          <w:szCs w:val="24"/>
        </w:rPr>
        <w:t>e majority</w:t>
      </w:r>
      <w:r w:rsidR="00A06426" w:rsidRPr="00797AC8">
        <w:rPr>
          <w:rFonts w:ascii="Arial" w:hAnsi="Arial" w:cs="Arial"/>
          <w:sz w:val="24"/>
          <w:szCs w:val="24"/>
        </w:rPr>
        <w:t xml:space="preserve"> judgment </w:t>
      </w:r>
      <w:r w:rsidR="005D5B25" w:rsidRPr="00797AC8">
        <w:rPr>
          <w:rFonts w:ascii="Arial" w:hAnsi="Arial" w:cs="Arial"/>
          <w:sz w:val="24"/>
          <w:szCs w:val="24"/>
        </w:rPr>
        <w:t xml:space="preserve">on </w:t>
      </w:r>
      <w:r w:rsidR="00A06426" w:rsidRPr="00797AC8">
        <w:rPr>
          <w:rFonts w:ascii="Arial" w:hAnsi="Arial" w:cs="Arial"/>
          <w:sz w:val="24"/>
          <w:szCs w:val="24"/>
        </w:rPr>
        <w:t>whether the registrar was competent to grant judgment in terms of section 130, and so</w:t>
      </w:r>
      <w:r w:rsidR="0065323D" w:rsidRPr="00797AC8">
        <w:rPr>
          <w:rFonts w:ascii="Arial" w:hAnsi="Arial" w:cs="Arial"/>
          <w:sz w:val="24"/>
          <w:szCs w:val="24"/>
        </w:rPr>
        <w:t xml:space="preserve"> whether the costs of obtaining such default judgment were costs lawfully </w:t>
      </w:r>
      <w:r w:rsidR="00A06426" w:rsidRPr="00797AC8">
        <w:rPr>
          <w:rFonts w:ascii="Arial" w:hAnsi="Arial" w:cs="Arial"/>
          <w:sz w:val="24"/>
          <w:szCs w:val="24"/>
        </w:rPr>
        <w:t>incurred by the credit provider in obtaining that default judgment.</w:t>
      </w:r>
    </w:p>
    <w:p w14:paraId="4E53D31C" w14:textId="4652FB13" w:rsidR="003A3EE9"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A3EE9" w:rsidRPr="00797AC8">
        <w:rPr>
          <w:rFonts w:ascii="Arial" w:hAnsi="Arial" w:cs="Arial"/>
          <w:sz w:val="24"/>
          <w:szCs w:val="24"/>
        </w:rPr>
        <w:t xml:space="preserve">Jafta J in his separate judgment </w:t>
      </w:r>
      <w:r w:rsidR="0065323D" w:rsidRPr="00797AC8">
        <w:rPr>
          <w:rFonts w:ascii="Arial" w:hAnsi="Arial" w:cs="Arial"/>
          <w:sz w:val="24"/>
          <w:szCs w:val="24"/>
        </w:rPr>
        <w:t xml:space="preserve">concurring that </w:t>
      </w:r>
      <w:r w:rsidR="003A3EE9" w:rsidRPr="00797AC8">
        <w:rPr>
          <w:rFonts w:ascii="Arial" w:hAnsi="Arial" w:cs="Arial"/>
          <w:sz w:val="24"/>
          <w:szCs w:val="24"/>
        </w:rPr>
        <w:t>the appeal should be upheld</w:t>
      </w:r>
      <w:r w:rsidR="0065323D" w:rsidRPr="00797AC8">
        <w:rPr>
          <w:rFonts w:ascii="Arial" w:hAnsi="Arial" w:cs="Arial"/>
          <w:sz w:val="24"/>
          <w:szCs w:val="24"/>
        </w:rPr>
        <w:t xml:space="preserve"> agreed that</w:t>
      </w:r>
      <w:r w:rsidR="003A3EE9" w:rsidRPr="00797AC8">
        <w:rPr>
          <w:rFonts w:ascii="Arial" w:hAnsi="Arial" w:cs="Arial"/>
          <w:sz w:val="24"/>
          <w:szCs w:val="24"/>
        </w:rPr>
        <w:t xml:space="preserve"> the legal costs were not due but for reasons different to that advanced in the main judgment of Moseneke DCJ. Jafta J found that for a variety of reasons, which are specified in paragraph 173 of his judgment, costs that had been incurred by the credit provider </w:t>
      </w:r>
      <w:r w:rsidR="00EB1F6D" w:rsidRPr="00797AC8">
        <w:rPr>
          <w:rFonts w:ascii="Arial" w:hAnsi="Arial" w:cs="Arial"/>
          <w:sz w:val="24"/>
          <w:szCs w:val="24"/>
        </w:rPr>
        <w:t>were not recoverable as they had not been lawfully incurred, and so the consumer did not have to pay them to have the credit agreement re-instated in terms of section 129(3).</w:t>
      </w:r>
    </w:p>
    <w:p w14:paraId="4A4046E7" w14:textId="4A54C959" w:rsidR="00EB1F6D"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B1F6D" w:rsidRPr="00797AC8">
        <w:rPr>
          <w:rFonts w:ascii="Arial" w:hAnsi="Arial" w:cs="Arial"/>
          <w:sz w:val="24"/>
          <w:szCs w:val="24"/>
        </w:rPr>
        <w:t xml:space="preserve">One of those reasons specified </w:t>
      </w:r>
      <w:r w:rsidR="0065323D" w:rsidRPr="00797AC8">
        <w:rPr>
          <w:rFonts w:ascii="Arial" w:hAnsi="Arial" w:cs="Arial"/>
          <w:sz w:val="24"/>
          <w:szCs w:val="24"/>
        </w:rPr>
        <w:t xml:space="preserve">by Jafta J </w:t>
      </w:r>
      <w:r w:rsidR="00EB1F6D" w:rsidRPr="00797AC8">
        <w:rPr>
          <w:rFonts w:ascii="Arial" w:hAnsi="Arial" w:cs="Arial"/>
          <w:sz w:val="24"/>
          <w:szCs w:val="24"/>
        </w:rPr>
        <w:t xml:space="preserve">in paragraph 173 of this judgment, is that the credit provider </w:t>
      </w:r>
      <w:r w:rsidR="00EB1F6D" w:rsidRPr="00797AC8">
        <w:rPr>
          <w:rFonts w:ascii="Arial" w:hAnsi="Arial" w:cs="Arial"/>
          <w:i/>
          <w:iCs/>
          <w:sz w:val="24"/>
          <w:szCs w:val="24"/>
        </w:rPr>
        <w:t>‘sought and obtained a default judgment from the registrar of the High Court, something that is incompatible with s 130(3) which requires such matters to be determined by the court’.</w:t>
      </w:r>
      <w:r w:rsidR="00585DF2" w:rsidRPr="00797AC8">
        <w:rPr>
          <w:rFonts w:ascii="Arial" w:hAnsi="Arial" w:cs="Arial"/>
          <w:sz w:val="24"/>
          <w:szCs w:val="24"/>
        </w:rPr>
        <w:t xml:space="preserve"> This </w:t>
      </w:r>
      <w:r w:rsidR="00B46CD8" w:rsidRPr="00797AC8">
        <w:rPr>
          <w:rFonts w:ascii="Arial" w:hAnsi="Arial" w:cs="Arial"/>
          <w:sz w:val="24"/>
          <w:szCs w:val="24"/>
        </w:rPr>
        <w:t>statement</w:t>
      </w:r>
      <w:r w:rsidR="00585DF2" w:rsidRPr="00797AC8">
        <w:rPr>
          <w:rFonts w:ascii="Arial" w:hAnsi="Arial" w:cs="Arial"/>
          <w:sz w:val="24"/>
          <w:szCs w:val="24"/>
        </w:rPr>
        <w:t xml:space="preserve"> features centrally in decisions such as </w:t>
      </w:r>
      <w:r w:rsidR="00585DF2" w:rsidRPr="00797AC8">
        <w:rPr>
          <w:rFonts w:ascii="Arial" w:hAnsi="Arial" w:cs="Arial"/>
          <w:i/>
          <w:iCs/>
          <w:sz w:val="24"/>
          <w:szCs w:val="24"/>
        </w:rPr>
        <w:t>Gcasamba</w:t>
      </w:r>
      <w:r w:rsidR="00585DF2" w:rsidRPr="00797AC8">
        <w:rPr>
          <w:rFonts w:ascii="Arial" w:hAnsi="Arial" w:cs="Arial"/>
          <w:sz w:val="24"/>
          <w:szCs w:val="24"/>
        </w:rPr>
        <w:t xml:space="preserve"> that the findings by Jafta J are decisive and binding in relation to the </w:t>
      </w:r>
      <w:r w:rsidR="00B46CD8" w:rsidRPr="00797AC8">
        <w:rPr>
          <w:rFonts w:ascii="Arial" w:hAnsi="Arial" w:cs="Arial"/>
          <w:sz w:val="24"/>
          <w:szCs w:val="24"/>
        </w:rPr>
        <w:t xml:space="preserve">present </w:t>
      </w:r>
      <w:r w:rsidR="00585DF2" w:rsidRPr="00797AC8">
        <w:rPr>
          <w:rFonts w:ascii="Arial" w:hAnsi="Arial" w:cs="Arial"/>
          <w:sz w:val="24"/>
          <w:szCs w:val="24"/>
        </w:rPr>
        <w:t>issue.</w:t>
      </w:r>
    </w:p>
    <w:p w14:paraId="034F3BB5" w14:textId="5DDE0E9E" w:rsidR="00585DF2" w:rsidRPr="00797AC8" w:rsidRDefault="00797AC8" w:rsidP="00797AC8">
      <w:pPr>
        <w:spacing w:before="360" w:after="360" w:line="480" w:lineRule="auto"/>
        <w:ind w:left="624" w:right="117" w:hanging="624"/>
        <w:jc w:val="both"/>
        <w:rPr>
          <w:rFonts w:ascii="Arial" w:hAnsi="Arial" w:cs="Arial"/>
          <w:sz w:val="24"/>
          <w:szCs w:val="24"/>
        </w:rPr>
      </w:pPr>
      <w:r w:rsidRPr="00585DF2">
        <w:rPr>
          <w:rFonts w:ascii="Arial" w:hAnsi="Arial" w:cs="Arial"/>
          <w:sz w:val="24"/>
          <w:szCs w:val="24"/>
        </w:rPr>
        <w:t>31.</w:t>
      </w:r>
      <w:r w:rsidRPr="00585DF2">
        <w:rPr>
          <w:rFonts w:ascii="Arial" w:hAnsi="Arial" w:cs="Arial"/>
          <w:sz w:val="24"/>
          <w:szCs w:val="24"/>
        </w:rPr>
        <w:tab/>
      </w:r>
      <w:r w:rsidR="00585DF2" w:rsidRPr="00797AC8">
        <w:rPr>
          <w:rFonts w:ascii="Arial" w:hAnsi="Arial" w:cs="Arial"/>
          <w:sz w:val="24"/>
          <w:szCs w:val="24"/>
        </w:rPr>
        <w:t>For the sake of completeness, in a dissenting judgment dismissing the appea</w:t>
      </w:r>
      <w:r w:rsidR="00695A71" w:rsidRPr="00797AC8">
        <w:rPr>
          <w:rFonts w:ascii="Arial" w:hAnsi="Arial" w:cs="Arial"/>
          <w:sz w:val="24"/>
          <w:szCs w:val="24"/>
        </w:rPr>
        <w:t>l</w:t>
      </w:r>
      <w:r w:rsidR="00585DF2" w:rsidRPr="00797AC8">
        <w:rPr>
          <w:rFonts w:ascii="Arial" w:hAnsi="Arial" w:cs="Arial"/>
          <w:sz w:val="24"/>
          <w:szCs w:val="24"/>
        </w:rPr>
        <w:t xml:space="preserve">, Cameron J (in which Nugent AJ concurred and who wrote his own separate </w:t>
      </w:r>
      <w:r w:rsidR="00585DF2" w:rsidRPr="00797AC8">
        <w:rPr>
          <w:rFonts w:ascii="Arial" w:hAnsi="Arial" w:cs="Arial"/>
          <w:sz w:val="24"/>
          <w:szCs w:val="24"/>
        </w:rPr>
        <w:lastRenderedPageBreak/>
        <w:t xml:space="preserve">judgment), found that it was necessary for the consumer to first pay, or at least tender, payment of the costs before the credit agreement would be re-instated. They disagreed with the majority judgment that the legal costs would become due and payable only when they are reasonable, agreed or taxed, and on due notice to the consumer, and so need not be paid for the credit agreement to be re-instated. Cameron J in his judgment said nothing about the competence of the registrar to grant default judgment. As appears below, Nugent J in his separate judgment expressed reservations about </w:t>
      </w:r>
      <w:r w:rsidR="00585DF1" w:rsidRPr="00797AC8">
        <w:rPr>
          <w:rFonts w:ascii="Arial" w:hAnsi="Arial" w:cs="Arial"/>
          <w:sz w:val="24"/>
          <w:szCs w:val="24"/>
        </w:rPr>
        <w:t>Jafta J’s findings.</w:t>
      </w:r>
    </w:p>
    <w:p w14:paraId="5FB78410" w14:textId="65AD642A" w:rsidR="00EB1F6D" w:rsidRPr="00797AC8" w:rsidRDefault="00797AC8" w:rsidP="00797AC8">
      <w:pPr>
        <w:spacing w:before="360" w:after="360" w:line="480" w:lineRule="auto"/>
        <w:ind w:left="624" w:right="117" w:hanging="624"/>
        <w:jc w:val="both"/>
        <w:rPr>
          <w:rFonts w:ascii="Arial" w:hAnsi="Arial" w:cs="Arial"/>
          <w:sz w:val="24"/>
          <w:szCs w:val="24"/>
        </w:rPr>
      </w:pPr>
      <w:r w:rsidRPr="00210EE3">
        <w:rPr>
          <w:rFonts w:ascii="Arial" w:hAnsi="Arial" w:cs="Arial"/>
          <w:sz w:val="24"/>
          <w:szCs w:val="24"/>
        </w:rPr>
        <w:t>32.</w:t>
      </w:r>
      <w:r w:rsidRPr="00210EE3">
        <w:rPr>
          <w:rFonts w:ascii="Arial" w:hAnsi="Arial" w:cs="Arial"/>
          <w:sz w:val="24"/>
          <w:szCs w:val="24"/>
        </w:rPr>
        <w:tab/>
      </w:r>
      <w:r w:rsidR="00EB1F6D" w:rsidRPr="00797AC8">
        <w:rPr>
          <w:rFonts w:ascii="Arial" w:hAnsi="Arial" w:cs="Arial"/>
          <w:sz w:val="24"/>
          <w:szCs w:val="24"/>
        </w:rPr>
        <w:t xml:space="preserve">The full court in </w:t>
      </w:r>
      <w:r w:rsidR="00EB1F6D" w:rsidRPr="00797AC8">
        <w:rPr>
          <w:rFonts w:ascii="Arial" w:hAnsi="Arial" w:cs="Arial"/>
          <w:i/>
          <w:iCs/>
          <w:sz w:val="24"/>
          <w:szCs w:val="24"/>
        </w:rPr>
        <w:t xml:space="preserve">Mollentze </w:t>
      </w:r>
      <w:r w:rsidR="00EB1F6D" w:rsidRPr="00797AC8">
        <w:rPr>
          <w:rFonts w:ascii="Arial" w:hAnsi="Arial" w:cs="Arial"/>
          <w:sz w:val="24"/>
          <w:szCs w:val="24"/>
        </w:rPr>
        <w:t xml:space="preserve">was of the view that </w:t>
      </w:r>
      <w:r w:rsidR="00E76CCC" w:rsidRPr="00797AC8">
        <w:rPr>
          <w:rFonts w:ascii="Arial" w:hAnsi="Arial" w:cs="Arial"/>
          <w:sz w:val="24"/>
          <w:szCs w:val="24"/>
        </w:rPr>
        <w:t xml:space="preserve">what was stated by Jafta J in his minority judgment was not binding. It agreed with submissions made by the applicant  that </w:t>
      </w:r>
      <w:r w:rsidR="00210EE3" w:rsidRPr="00797AC8">
        <w:rPr>
          <w:rFonts w:ascii="Arial" w:hAnsi="Arial" w:cs="Arial"/>
          <w:sz w:val="24"/>
          <w:szCs w:val="24"/>
        </w:rPr>
        <w:t xml:space="preserve">the court </w:t>
      </w:r>
      <w:r w:rsidR="00E76CCC" w:rsidRPr="00797AC8">
        <w:rPr>
          <w:rFonts w:ascii="Arial" w:hAnsi="Arial" w:cs="Arial"/>
          <w:sz w:val="24"/>
          <w:szCs w:val="24"/>
        </w:rPr>
        <w:t xml:space="preserve">in </w:t>
      </w:r>
      <w:r w:rsidR="00E76CCC" w:rsidRPr="00797AC8">
        <w:rPr>
          <w:rFonts w:ascii="Arial" w:hAnsi="Arial"/>
          <w:i/>
          <w:sz w:val="24"/>
        </w:rPr>
        <w:t>Nkata</w:t>
      </w:r>
      <w:r w:rsidR="00E76CCC" w:rsidRPr="00797AC8">
        <w:rPr>
          <w:rFonts w:ascii="Arial" w:hAnsi="Arial" w:cs="Arial"/>
          <w:sz w:val="24"/>
          <w:szCs w:val="24"/>
        </w:rPr>
        <w:t xml:space="preserve"> </w:t>
      </w:r>
      <w:r w:rsidR="00210EE3" w:rsidRPr="00797AC8">
        <w:rPr>
          <w:rFonts w:ascii="Arial" w:hAnsi="Arial" w:cs="Arial"/>
          <w:sz w:val="24"/>
          <w:szCs w:val="24"/>
        </w:rPr>
        <w:t>was not called upon to answer whether section 130(3) prohibited the registrar from granting default judgment in NCA matters.</w:t>
      </w:r>
      <w:r w:rsidR="00210EE3">
        <w:rPr>
          <w:rStyle w:val="FootnoteReference"/>
          <w:rFonts w:ascii="Arial" w:hAnsi="Arial" w:cs="Arial"/>
          <w:sz w:val="24"/>
          <w:szCs w:val="24"/>
        </w:rPr>
        <w:footnoteReference w:id="14"/>
      </w:r>
      <w:r w:rsidR="00210EE3" w:rsidRPr="00797AC8">
        <w:rPr>
          <w:rFonts w:ascii="Arial" w:hAnsi="Arial" w:cs="Arial"/>
          <w:sz w:val="24"/>
          <w:szCs w:val="24"/>
        </w:rPr>
        <w:t xml:space="preserve"> </w:t>
      </w:r>
      <w:r w:rsidR="00E76CCC" w:rsidRPr="00797AC8">
        <w:rPr>
          <w:rFonts w:ascii="Arial" w:hAnsi="Arial" w:cs="Arial"/>
          <w:sz w:val="24"/>
          <w:szCs w:val="24"/>
        </w:rPr>
        <w:t>It appears that</w:t>
      </w:r>
      <w:r w:rsidR="00210EE3" w:rsidRPr="00797AC8">
        <w:rPr>
          <w:rFonts w:ascii="Arial" w:hAnsi="Arial" w:cs="Arial"/>
          <w:sz w:val="24"/>
          <w:szCs w:val="24"/>
        </w:rPr>
        <w:t xml:space="preserve"> full court was </w:t>
      </w:r>
      <w:r w:rsidR="00E76CCC" w:rsidRPr="00797AC8">
        <w:rPr>
          <w:rFonts w:ascii="Arial" w:hAnsi="Arial" w:cs="Arial"/>
          <w:sz w:val="24"/>
          <w:szCs w:val="24"/>
        </w:rPr>
        <w:t xml:space="preserve">therefore </w:t>
      </w:r>
      <w:r w:rsidR="00210EE3" w:rsidRPr="00797AC8">
        <w:rPr>
          <w:rFonts w:ascii="Arial" w:hAnsi="Arial" w:cs="Arial"/>
          <w:sz w:val="24"/>
          <w:szCs w:val="24"/>
        </w:rPr>
        <w:t>of the view that it was unnecessary for the court to have made any findings in relation to the registrar’s powers in terms of section 130(3)</w:t>
      </w:r>
      <w:r w:rsidR="00E76CCC" w:rsidRPr="00797AC8">
        <w:rPr>
          <w:rFonts w:ascii="Arial" w:hAnsi="Arial" w:cs="Arial"/>
          <w:sz w:val="24"/>
          <w:szCs w:val="24"/>
        </w:rPr>
        <w:t>,</w:t>
      </w:r>
      <w:r w:rsidR="00210EE3">
        <w:rPr>
          <w:rStyle w:val="FootnoteReference"/>
          <w:rFonts w:ascii="Arial" w:hAnsi="Arial" w:cs="Arial"/>
          <w:sz w:val="24"/>
          <w:szCs w:val="24"/>
        </w:rPr>
        <w:footnoteReference w:id="15"/>
      </w:r>
      <w:r w:rsidR="00210EE3" w:rsidRPr="00797AC8">
        <w:rPr>
          <w:rFonts w:ascii="Arial" w:hAnsi="Arial" w:cs="Arial"/>
          <w:sz w:val="24"/>
          <w:szCs w:val="24"/>
        </w:rPr>
        <w:t xml:space="preserve"> </w:t>
      </w:r>
      <w:r w:rsidR="00E76CCC" w:rsidRPr="00797AC8">
        <w:rPr>
          <w:rFonts w:ascii="Arial" w:hAnsi="Arial" w:cs="Arial"/>
          <w:sz w:val="24"/>
          <w:szCs w:val="24"/>
        </w:rPr>
        <w:t xml:space="preserve">and so </w:t>
      </w:r>
      <w:r w:rsidR="00210EE3" w:rsidRPr="00797AC8">
        <w:rPr>
          <w:rFonts w:ascii="Arial" w:hAnsi="Arial" w:cs="Arial"/>
          <w:sz w:val="24"/>
          <w:szCs w:val="24"/>
        </w:rPr>
        <w:t xml:space="preserve">what was said by Jafta J </w:t>
      </w:r>
      <w:r w:rsidR="00E76CCC" w:rsidRPr="00797AC8">
        <w:rPr>
          <w:rFonts w:ascii="Arial" w:hAnsi="Arial" w:cs="Arial"/>
          <w:sz w:val="24"/>
          <w:szCs w:val="24"/>
        </w:rPr>
        <w:t xml:space="preserve">in </w:t>
      </w:r>
      <w:r w:rsidR="00E76CCC" w:rsidRPr="00797AC8">
        <w:rPr>
          <w:rFonts w:ascii="Arial" w:hAnsi="Arial" w:cs="Arial"/>
          <w:i/>
          <w:iCs/>
          <w:sz w:val="24"/>
          <w:szCs w:val="24"/>
        </w:rPr>
        <w:t>Nkata</w:t>
      </w:r>
      <w:r w:rsidR="00E76CCC" w:rsidRPr="00797AC8">
        <w:rPr>
          <w:rFonts w:ascii="Arial" w:hAnsi="Arial" w:cs="Arial"/>
          <w:sz w:val="24"/>
          <w:szCs w:val="24"/>
        </w:rPr>
        <w:t xml:space="preserve"> </w:t>
      </w:r>
      <w:r w:rsidR="00210EE3" w:rsidRPr="00797AC8">
        <w:rPr>
          <w:rFonts w:ascii="Arial" w:hAnsi="Arial" w:cs="Arial"/>
          <w:sz w:val="24"/>
          <w:szCs w:val="24"/>
        </w:rPr>
        <w:t xml:space="preserve">was effectively </w:t>
      </w:r>
      <w:r w:rsidR="00210EE3" w:rsidRPr="00797AC8">
        <w:rPr>
          <w:rFonts w:ascii="Arial" w:hAnsi="Arial" w:cs="Arial"/>
          <w:i/>
          <w:iCs/>
          <w:sz w:val="24"/>
          <w:szCs w:val="24"/>
        </w:rPr>
        <w:t>obiter</w:t>
      </w:r>
      <w:r w:rsidR="00210EE3" w:rsidRPr="00797AC8">
        <w:rPr>
          <w:rFonts w:ascii="Arial" w:hAnsi="Arial" w:cs="Arial"/>
          <w:sz w:val="24"/>
          <w:szCs w:val="24"/>
        </w:rPr>
        <w:t>.</w:t>
      </w:r>
      <w:r w:rsidR="00E76CCC" w:rsidRPr="00797AC8">
        <w:rPr>
          <w:rFonts w:ascii="Arial" w:hAnsi="Arial" w:cs="Arial"/>
          <w:sz w:val="24"/>
          <w:szCs w:val="24"/>
        </w:rPr>
        <w:t xml:space="preserve"> </w:t>
      </w:r>
      <w:r w:rsidR="00B46CD8" w:rsidRPr="00797AC8">
        <w:rPr>
          <w:rFonts w:ascii="Arial" w:hAnsi="Arial" w:cs="Arial"/>
          <w:sz w:val="24"/>
          <w:szCs w:val="24"/>
        </w:rPr>
        <w:t xml:space="preserve">Similarly </w:t>
      </w:r>
      <w:r w:rsidR="009E0439" w:rsidRPr="00797AC8">
        <w:rPr>
          <w:rFonts w:ascii="Arial" w:hAnsi="Arial" w:cs="Arial"/>
          <w:sz w:val="24"/>
          <w:szCs w:val="24"/>
        </w:rPr>
        <w:t>counsel</w:t>
      </w:r>
      <w:r w:rsidR="00B2191E" w:rsidRPr="00797AC8">
        <w:rPr>
          <w:rFonts w:ascii="Arial" w:hAnsi="Arial" w:cs="Arial"/>
          <w:sz w:val="24"/>
          <w:szCs w:val="24"/>
        </w:rPr>
        <w:t xml:space="preserve"> in this matter</w:t>
      </w:r>
      <w:r w:rsidR="009E0439" w:rsidRPr="00797AC8">
        <w:rPr>
          <w:rFonts w:ascii="Arial" w:hAnsi="Arial" w:cs="Arial"/>
          <w:sz w:val="24"/>
          <w:szCs w:val="24"/>
        </w:rPr>
        <w:t xml:space="preserve"> submit that the issue of whether the registrar could grant default judgment was not an issue before the court.</w:t>
      </w:r>
    </w:p>
    <w:p w14:paraId="0085B8A6" w14:textId="4CC07545" w:rsidR="007F1D7C"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7F1D7C" w:rsidRPr="00797AC8">
        <w:rPr>
          <w:rFonts w:ascii="Arial" w:hAnsi="Arial" w:cs="Arial"/>
          <w:sz w:val="24"/>
          <w:szCs w:val="24"/>
        </w:rPr>
        <w:t>I</w:t>
      </w:r>
      <w:r w:rsidR="00003016" w:rsidRPr="00797AC8">
        <w:rPr>
          <w:rFonts w:ascii="Arial" w:hAnsi="Arial" w:cs="Arial"/>
          <w:sz w:val="24"/>
          <w:szCs w:val="24"/>
        </w:rPr>
        <w:t xml:space="preserve"> </w:t>
      </w:r>
      <w:r w:rsidR="00585DF1" w:rsidRPr="00797AC8">
        <w:rPr>
          <w:rFonts w:ascii="Arial" w:hAnsi="Arial" w:cs="Arial"/>
          <w:sz w:val="24"/>
          <w:szCs w:val="24"/>
        </w:rPr>
        <w:t>have doubt about th</w:t>
      </w:r>
      <w:r w:rsidR="009E0439" w:rsidRPr="00797AC8">
        <w:rPr>
          <w:rFonts w:ascii="Arial" w:hAnsi="Arial" w:cs="Arial"/>
          <w:sz w:val="24"/>
          <w:szCs w:val="24"/>
        </w:rPr>
        <w:t>ese</w:t>
      </w:r>
      <w:r w:rsidR="00B2191E" w:rsidRPr="00797AC8">
        <w:rPr>
          <w:rFonts w:ascii="Arial" w:hAnsi="Arial" w:cs="Arial"/>
          <w:sz w:val="24"/>
          <w:szCs w:val="24"/>
        </w:rPr>
        <w:t xml:space="preserve"> particular</w:t>
      </w:r>
      <w:r w:rsidR="00585DF1" w:rsidRPr="00797AC8">
        <w:rPr>
          <w:rFonts w:ascii="Arial" w:hAnsi="Arial" w:cs="Arial"/>
          <w:sz w:val="24"/>
          <w:szCs w:val="24"/>
        </w:rPr>
        <w:t xml:space="preserve"> reason</w:t>
      </w:r>
      <w:r w:rsidR="009E0439" w:rsidRPr="00797AC8">
        <w:rPr>
          <w:rFonts w:ascii="Arial" w:hAnsi="Arial" w:cs="Arial"/>
          <w:sz w:val="24"/>
          <w:szCs w:val="24"/>
        </w:rPr>
        <w:t>s</w:t>
      </w:r>
      <w:r w:rsidR="00585DF1" w:rsidRPr="00797AC8">
        <w:rPr>
          <w:rFonts w:ascii="Arial" w:hAnsi="Arial" w:cs="Arial"/>
          <w:sz w:val="24"/>
          <w:szCs w:val="24"/>
        </w:rPr>
        <w:t xml:space="preserve"> why </w:t>
      </w:r>
      <w:r w:rsidR="007F1D7C" w:rsidRPr="00797AC8">
        <w:rPr>
          <w:rFonts w:ascii="Arial" w:hAnsi="Arial" w:cs="Arial"/>
          <w:sz w:val="24"/>
          <w:szCs w:val="24"/>
        </w:rPr>
        <w:t>what Jafta J sa</w:t>
      </w:r>
      <w:r w:rsidR="00585DF1" w:rsidRPr="00797AC8">
        <w:rPr>
          <w:rFonts w:ascii="Arial" w:hAnsi="Arial" w:cs="Arial"/>
          <w:sz w:val="24"/>
          <w:szCs w:val="24"/>
        </w:rPr>
        <w:t xml:space="preserve">id </w:t>
      </w:r>
      <w:r w:rsidR="00DC3921" w:rsidRPr="00797AC8">
        <w:rPr>
          <w:rFonts w:ascii="Arial" w:hAnsi="Arial" w:cs="Arial"/>
          <w:sz w:val="24"/>
          <w:szCs w:val="24"/>
        </w:rPr>
        <w:t xml:space="preserve">is </w:t>
      </w:r>
      <w:r w:rsidR="007F1D7C" w:rsidRPr="00797AC8">
        <w:rPr>
          <w:rFonts w:ascii="Arial" w:hAnsi="Arial" w:cs="Arial"/>
          <w:i/>
          <w:iCs/>
          <w:sz w:val="24"/>
          <w:szCs w:val="24"/>
        </w:rPr>
        <w:t>obiter</w:t>
      </w:r>
      <w:r w:rsidR="007F1D7C" w:rsidRPr="00797AC8">
        <w:rPr>
          <w:rFonts w:ascii="Arial" w:hAnsi="Arial" w:cs="Arial"/>
          <w:sz w:val="24"/>
          <w:szCs w:val="24"/>
        </w:rPr>
        <w:t xml:space="preserve">. His finding that the registrar could not have granted judgment was a central part of his reasoning in finding that the costs that had been incurred by the </w:t>
      </w:r>
      <w:r w:rsidR="007F1D7C" w:rsidRPr="00797AC8">
        <w:rPr>
          <w:rFonts w:ascii="Arial" w:hAnsi="Arial" w:cs="Arial"/>
          <w:sz w:val="24"/>
          <w:szCs w:val="24"/>
        </w:rPr>
        <w:lastRenderedPageBreak/>
        <w:t xml:space="preserve">credit provider were not recoverable and so need not be paid in terms of section 129(3) before the credit agreement was re-instated. Depending on </w:t>
      </w:r>
      <w:r w:rsidR="007058A4" w:rsidRPr="00797AC8">
        <w:rPr>
          <w:rFonts w:ascii="Arial" w:hAnsi="Arial" w:cs="Arial"/>
          <w:sz w:val="24"/>
          <w:szCs w:val="24"/>
        </w:rPr>
        <w:t>the method</w:t>
      </w:r>
      <w:r w:rsidR="007F1D7C" w:rsidRPr="00797AC8">
        <w:rPr>
          <w:rFonts w:ascii="Arial" w:hAnsi="Arial" w:cs="Arial"/>
          <w:sz w:val="24"/>
          <w:szCs w:val="24"/>
        </w:rPr>
        <w:t xml:space="preserve"> </w:t>
      </w:r>
      <w:r w:rsidR="007058A4" w:rsidRPr="00797AC8">
        <w:rPr>
          <w:rFonts w:ascii="Arial" w:hAnsi="Arial" w:cs="Arial"/>
          <w:sz w:val="24"/>
          <w:szCs w:val="24"/>
        </w:rPr>
        <w:t xml:space="preserve">of abstracting </w:t>
      </w:r>
      <w:r w:rsidR="007F1D7C" w:rsidRPr="00797AC8">
        <w:rPr>
          <w:rFonts w:ascii="Arial" w:hAnsi="Arial" w:cs="Arial"/>
          <w:sz w:val="24"/>
          <w:szCs w:val="24"/>
        </w:rPr>
        <w:t>the</w:t>
      </w:r>
      <w:r w:rsidR="007F1D7C" w:rsidRPr="00797AC8">
        <w:rPr>
          <w:rFonts w:ascii="Arial" w:hAnsi="Arial" w:cs="Arial"/>
          <w:i/>
          <w:iCs/>
          <w:sz w:val="24"/>
          <w:szCs w:val="24"/>
        </w:rPr>
        <w:t xml:space="preserve"> ratio</w:t>
      </w:r>
      <w:r w:rsidR="006B698B" w:rsidRPr="00797AC8">
        <w:rPr>
          <w:rFonts w:ascii="Arial" w:hAnsi="Arial" w:cs="Arial"/>
          <w:i/>
          <w:iCs/>
          <w:sz w:val="24"/>
          <w:szCs w:val="24"/>
        </w:rPr>
        <w:t>nes</w:t>
      </w:r>
      <w:r w:rsidR="007F1D7C" w:rsidRPr="00797AC8">
        <w:rPr>
          <w:rFonts w:ascii="Arial" w:hAnsi="Arial" w:cs="Arial"/>
          <w:i/>
          <w:iCs/>
          <w:sz w:val="24"/>
          <w:szCs w:val="24"/>
        </w:rPr>
        <w:t xml:space="preserve"> decidendi </w:t>
      </w:r>
      <w:r w:rsidR="007058A4" w:rsidRPr="00797AC8">
        <w:rPr>
          <w:rFonts w:ascii="Arial" w:hAnsi="Arial" w:cs="Arial"/>
          <w:sz w:val="24"/>
          <w:szCs w:val="24"/>
        </w:rPr>
        <w:t xml:space="preserve">from a </w:t>
      </w:r>
      <w:r w:rsidR="007F1D7C" w:rsidRPr="00797AC8">
        <w:rPr>
          <w:rFonts w:ascii="Arial" w:hAnsi="Arial" w:cs="Arial"/>
          <w:sz w:val="24"/>
          <w:szCs w:val="24"/>
        </w:rPr>
        <w:t>judgment</w:t>
      </w:r>
      <w:r w:rsidR="007058A4" w:rsidRPr="00797AC8">
        <w:rPr>
          <w:rFonts w:ascii="Arial" w:hAnsi="Arial" w:cs="Arial"/>
          <w:sz w:val="24"/>
          <w:szCs w:val="24"/>
        </w:rPr>
        <w:t xml:space="preserve"> (or in the case of courts of more than one judge, the judgments, if more than one judgment has been delivered)</w:t>
      </w:r>
      <w:r w:rsidR="007F1D7C" w:rsidRPr="00797AC8">
        <w:rPr>
          <w:rFonts w:ascii="Arial" w:hAnsi="Arial" w:cs="Arial"/>
          <w:sz w:val="24"/>
          <w:szCs w:val="24"/>
        </w:rPr>
        <w:t xml:space="preserve">, </w:t>
      </w:r>
      <w:r w:rsidR="00DC3921" w:rsidRPr="00797AC8">
        <w:rPr>
          <w:rFonts w:ascii="Arial" w:hAnsi="Arial" w:cs="Arial"/>
          <w:sz w:val="24"/>
          <w:szCs w:val="24"/>
        </w:rPr>
        <w:t>which is</w:t>
      </w:r>
      <w:r w:rsidR="007F1D7C" w:rsidRPr="00797AC8">
        <w:rPr>
          <w:rFonts w:ascii="Arial" w:hAnsi="Arial" w:cs="Arial"/>
          <w:sz w:val="24"/>
          <w:szCs w:val="24"/>
        </w:rPr>
        <w:t xml:space="preserve"> not </w:t>
      </w:r>
      <w:r w:rsidR="00DC3921" w:rsidRPr="00797AC8">
        <w:rPr>
          <w:rFonts w:ascii="Arial" w:hAnsi="Arial" w:cs="Arial"/>
          <w:sz w:val="24"/>
          <w:szCs w:val="24"/>
        </w:rPr>
        <w:t xml:space="preserve">a </w:t>
      </w:r>
      <w:r w:rsidR="007F1D7C" w:rsidRPr="00797AC8">
        <w:rPr>
          <w:rFonts w:ascii="Arial" w:hAnsi="Arial" w:cs="Arial"/>
          <w:sz w:val="24"/>
          <w:szCs w:val="24"/>
        </w:rPr>
        <w:t xml:space="preserve">straight-forward issue </w:t>
      </w:r>
      <w:r w:rsidR="00DC3921" w:rsidRPr="00797AC8">
        <w:rPr>
          <w:rFonts w:ascii="Arial" w:hAnsi="Arial" w:cs="Arial"/>
          <w:sz w:val="24"/>
          <w:szCs w:val="24"/>
        </w:rPr>
        <w:t xml:space="preserve">and </w:t>
      </w:r>
      <w:r w:rsidR="007F1D7C" w:rsidRPr="00797AC8">
        <w:rPr>
          <w:rFonts w:ascii="Arial" w:hAnsi="Arial" w:cs="Arial"/>
          <w:sz w:val="24"/>
          <w:szCs w:val="24"/>
        </w:rPr>
        <w:t>about which there are differing views</w:t>
      </w:r>
      <w:r w:rsidR="00EC50AB" w:rsidRPr="00797AC8">
        <w:rPr>
          <w:rFonts w:ascii="Arial" w:hAnsi="Arial" w:cs="Arial"/>
          <w:sz w:val="24"/>
          <w:szCs w:val="24"/>
        </w:rPr>
        <w:t>,</w:t>
      </w:r>
      <w:r w:rsidR="00610C7C">
        <w:rPr>
          <w:rStyle w:val="FootnoteReference"/>
          <w:rFonts w:ascii="Arial" w:hAnsi="Arial" w:cs="Arial"/>
          <w:sz w:val="24"/>
          <w:szCs w:val="24"/>
        </w:rPr>
        <w:footnoteReference w:id="16"/>
      </w:r>
      <w:r w:rsidR="007F1D7C" w:rsidRPr="00797AC8">
        <w:rPr>
          <w:rFonts w:ascii="Arial" w:hAnsi="Arial" w:cs="Arial"/>
          <w:sz w:val="24"/>
          <w:szCs w:val="24"/>
        </w:rPr>
        <w:t xml:space="preserve"> </w:t>
      </w:r>
      <w:r w:rsidR="00610C7C" w:rsidRPr="00797AC8">
        <w:rPr>
          <w:rFonts w:ascii="Arial" w:hAnsi="Arial" w:cs="Arial"/>
          <w:sz w:val="24"/>
          <w:szCs w:val="24"/>
        </w:rPr>
        <w:t>Jafta J’s</w:t>
      </w:r>
      <w:r w:rsidR="007F1D7C" w:rsidRPr="00797AC8">
        <w:rPr>
          <w:rFonts w:ascii="Arial" w:hAnsi="Arial" w:cs="Arial"/>
          <w:sz w:val="24"/>
          <w:szCs w:val="24"/>
        </w:rPr>
        <w:t xml:space="preserve"> finding</w:t>
      </w:r>
      <w:r w:rsidR="006B698B" w:rsidRPr="00797AC8">
        <w:rPr>
          <w:rFonts w:ascii="Arial" w:hAnsi="Arial" w:cs="Arial"/>
          <w:sz w:val="24"/>
          <w:szCs w:val="24"/>
        </w:rPr>
        <w:t>s</w:t>
      </w:r>
      <w:r w:rsidR="003D1E15" w:rsidRPr="00797AC8">
        <w:rPr>
          <w:rFonts w:ascii="Arial" w:hAnsi="Arial" w:cs="Arial"/>
          <w:sz w:val="24"/>
          <w:szCs w:val="24"/>
        </w:rPr>
        <w:t xml:space="preserve"> may</w:t>
      </w:r>
      <w:r w:rsidR="007F1D7C" w:rsidRPr="00797AC8">
        <w:rPr>
          <w:rFonts w:ascii="Arial" w:hAnsi="Arial" w:cs="Arial"/>
          <w:sz w:val="24"/>
          <w:szCs w:val="24"/>
        </w:rPr>
        <w:t xml:space="preserve"> constitute </w:t>
      </w:r>
      <w:r w:rsidR="007F1D7C" w:rsidRPr="00797AC8">
        <w:rPr>
          <w:rFonts w:ascii="Arial" w:hAnsi="Arial" w:cs="Arial"/>
          <w:i/>
          <w:iCs/>
          <w:sz w:val="24"/>
          <w:szCs w:val="24"/>
        </w:rPr>
        <w:t>ratio</w:t>
      </w:r>
      <w:r w:rsidR="006B698B" w:rsidRPr="00797AC8">
        <w:rPr>
          <w:rFonts w:ascii="Arial" w:hAnsi="Arial" w:cs="Arial"/>
          <w:i/>
          <w:iCs/>
          <w:sz w:val="24"/>
          <w:szCs w:val="24"/>
        </w:rPr>
        <w:t>nes</w:t>
      </w:r>
      <w:r w:rsidR="007F1D7C" w:rsidRPr="00797AC8">
        <w:rPr>
          <w:rFonts w:ascii="Arial" w:hAnsi="Arial" w:cs="Arial"/>
          <w:i/>
          <w:iCs/>
          <w:sz w:val="24"/>
          <w:szCs w:val="24"/>
        </w:rPr>
        <w:t xml:space="preserve"> decidendi</w:t>
      </w:r>
      <w:r w:rsidR="004507C0">
        <w:rPr>
          <w:rStyle w:val="FootnoteReference"/>
          <w:rFonts w:ascii="Arial" w:hAnsi="Arial" w:cs="Arial"/>
          <w:i/>
          <w:iCs/>
          <w:sz w:val="24"/>
          <w:szCs w:val="24"/>
        </w:rPr>
        <w:footnoteReference w:id="17"/>
      </w:r>
      <w:r w:rsidR="003D1E15" w:rsidRPr="00797AC8">
        <w:rPr>
          <w:rFonts w:ascii="Arial" w:hAnsi="Arial" w:cs="Arial"/>
          <w:sz w:val="24"/>
          <w:szCs w:val="24"/>
        </w:rPr>
        <w:t xml:space="preserve"> </w:t>
      </w:r>
      <w:r w:rsidR="003D1E15" w:rsidRPr="00797AC8">
        <w:rPr>
          <w:rFonts w:ascii="Arial" w:hAnsi="Arial" w:cs="Arial"/>
          <w:i/>
          <w:iCs/>
          <w:sz w:val="24"/>
          <w:szCs w:val="24"/>
        </w:rPr>
        <w:t xml:space="preserve">if </w:t>
      </w:r>
      <w:r w:rsidR="003D1E15" w:rsidRPr="00797AC8">
        <w:rPr>
          <w:rFonts w:ascii="Arial" w:hAnsi="Arial" w:cs="Arial"/>
          <w:sz w:val="24"/>
          <w:szCs w:val="24"/>
        </w:rPr>
        <w:t xml:space="preserve">it was </w:t>
      </w:r>
      <w:r w:rsidR="005D5B25" w:rsidRPr="00797AC8">
        <w:rPr>
          <w:rFonts w:ascii="Arial" w:hAnsi="Arial" w:cs="Arial"/>
          <w:sz w:val="24"/>
          <w:szCs w:val="24"/>
        </w:rPr>
        <w:t xml:space="preserve">the </w:t>
      </w:r>
      <w:r w:rsidR="003D1E15" w:rsidRPr="00797AC8">
        <w:rPr>
          <w:rFonts w:ascii="Arial" w:hAnsi="Arial" w:cs="Arial"/>
          <w:sz w:val="24"/>
          <w:szCs w:val="24"/>
        </w:rPr>
        <w:t>only judgment of the court in the matter.</w:t>
      </w:r>
      <w:r w:rsidR="00E1720C" w:rsidRPr="00797AC8">
        <w:rPr>
          <w:rFonts w:ascii="Arial" w:hAnsi="Arial" w:cs="Arial"/>
          <w:sz w:val="24"/>
          <w:szCs w:val="24"/>
        </w:rPr>
        <w:t xml:space="preserve"> That this was one of several reasons</w:t>
      </w:r>
      <w:r w:rsidR="00A06440" w:rsidRPr="00797AC8">
        <w:rPr>
          <w:rFonts w:ascii="Arial" w:hAnsi="Arial" w:cs="Arial"/>
          <w:sz w:val="24"/>
          <w:szCs w:val="24"/>
        </w:rPr>
        <w:t xml:space="preserve"> </w:t>
      </w:r>
      <w:r w:rsidR="00585DF1" w:rsidRPr="00797AC8">
        <w:rPr>
          <w:rFonts w:ascii="Arial" w:hAnsi="Arial" w:cs="Arial"/>
          <w:sz w:val="24"/>
          <w:szCs w:val="24"/>
        </w:rPr>
        <w:t>underpinning his finding that the costs incurred were unlawful</w:t>
      </w:r>
      <w:r w:rsidR="00A06440" w:rsidRPr="00797AC8">
        <w:rPr>
          <w:rFonts w:ascii="Arial" w:hAnsi="Arial" w:cs="Arial"/>
          <w:sz w:val="24"/>
          <w:szCs w:val="24"/>
        </w:rPr>
        <w:t>, each of which may be dispositive</w:t>
      </w:r>
      <w:r w:rsidR="00585DF1" w:rsidRPr="00797AC8">
        <w:rPr>
          <w:rFonts w:ascii="Arial" w:hAnsi="Arial" w:cs="Arial"/>
          <w:sz w:val="24"/>
          <w:szCs w:val="24"/>
        </w:rPr>
        <w:t xml:space="preserve"> </w:t>
      </w:r>
      <w:r w:rsidR="00A06440" w:rsidRPr="00797AC8">
        <w:rPr>
          <w:rFonts w:ascii="Arial" w:hAnsi="Arial" w:cs="Arial"/>
          <w:sz w:val="24"/>
          <w:szCs w:val="24"/>
        </w:rPr>
        <w:t xml:space="preserve">and which </w:t>
      </w:r>
      <w:r w:rsidR="00585DF1" w:rsidRPr="00797AC8">
        <w:rPr>
          <w:rFonts w:ascii="Arial" w:hAnsi="Arial" w:cs="Arial"/>
          <w:sz w:val="24"/>
          <w:szCs w:val="24"/>
        </w:rPr>
        <w:t>were</w:t>
      </w:r>
      <w:r w:rsidR="00A06440" w:rsidRPr="00797AC8">
        <w:rPr>
          <w:rFonts w:ascii="Arial" w:hAnsi="Arial" w:cs="Arial"/>
          <w:sz w:val="24"/>
          <w:szCs w:val="24"/>
        </w:rPr>
        <w:t xml:space="preserve"> not subsidiary</w:t>
      </w:r>
      <w:r w:rsidR="00585DF1" w:rsidRPr="00797AC8">
        <w:rPr>
          <w:rFonts w:ascii="Arial" w:hAnsi="Arial" w:cs="Arial"/>
          <w:sz w:val="24"/>
          <w:szCs w:val="24"/>
        </w:rPr>
        <w:t>,</w:t>
      </w:r>
      <w:r w:rsidR="00A06440" w:rsidRPr="00797AC8">
        <w:rPr>
          <w:rFonts w:ascii="Arial" w:hAnsi="Arial" w:cs="Arial"/>
          <w:sz w:val="24"/>
          <w:szCs w:val="24"/>
        </w:rPr>
        <w:t xml:space="preserve"> </w:t>
      </w:r>
      <w:r w:rsidR="00E1720C" w:rsidRPr="00797AC8">
        <w:rPr>
          <w:rFonts w:ascii="Arial" w:hAnsi="Arial" w:cs="Arial"/>
          <w:sz w:val="24"/>
          <w:szCs w:val="24"/>
        </w:rPr>
        <w:t xml:space="preserve">does not </w:t>
      </w:r>
      <w:r w:rsidR="00585DF1" w:rsidRPr="00797AC8">
        <w:rPr>
          <w:rFonts w:ascii="Arial" w:hAnsi="Arial" w:cs="Arial"/>
          <w:sz w:val="24"/>
          <w:szCs w:val="24"/>
        </w:rPr>
        <w:t xml:space="preserve">preclude that reason from being </w:t>
      </w:r>
      <w:r w:rsidR="00E1720C" w:rsidRPr="00797AC8">
        <w:rPr>
          <w:rFonts w:ascii="Arial" w:hAnsi="Arial" w:cs="Arial"/>
          <w:sz w:val="24"/>
          <w:szCs w:val="24"/>
        </w:rPr>
        <w:t xml:space="preserve">a </w:t>
      </w:r>
      <w:r w:rsidR="00E1720C" w:rsidRPr="00797AC8">
        <w:rPr>
          <w:rFonts w:ascii="Arial" w:hAnsi="Arial" w:cs="Arial"/>
          <w:i/>
          <w:iCs/>
          <w:sz w:val="24"/>
          <w:szCs w:val="24"/>
        </w:rPr>
        <w:t>ratio decidendi</w:t>
      </w:r>
      <w:r w:rsidR="00E1720C" w:rsidRPr="00797AC8">
        <w:rPr>
          <w:rFonts w:ascii="Arial" w:hAnsi="Arial" w:cs="Arial"/>
          <w:sz w:val="24"/>
          <w:szCs w:val="24"/>
        </w:rPr>
        <w:t xml:space="preserve"> </w:t>
      </w:r>
      <w:r w:rsidR="00D76C68" w:rsidRPr="00797AC8">
        <w:rPr>
          <w:rFonts w:ascii="Arial" w:hAnsi="Arial" w:cs="Arial"/>
          <w:sz w:val="24"/>
          <w:szCs w:val="24"/>
        </w:rPr>
        <w:t>abstracted</w:t>
      </w:r>
      <w:r w:rsidR="00E1720C" w:rsidRPr="00797AC8">
        <w:rPr>
          <w:rFonts w:ascii="Arial" w:hAnsi="Arial" w:cs="Arial"/>
          <w:sz w:val="24"/>
          <w:szCs w:val="24"/>
        </w:rPr>
        <w:t xml:space="preserve"> from the case.</w:t>
      </w:r>
      <w:r w:rsidR="00E1720C">
        <w:rPr>
          <w:rStyle w:val="FootnoteReference"/>
          <w:rFonts w:ascii="Arial" w:hAnsi="Arial" w:cs="Arial"/>
          <w:sz w:val="24"/>
          <w:szCs w:val="24"/>
        </w:rPr>
        <w:footnoteReference w:id="18"/>
      </w:r>
    </w:p>
    <w:p w14:paraId="6B237C99" w14:textId="24F3CA93" w:rsidR="00695A71"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D1E15" w:rsidRPr="00797AC8">
        <w:rPr>
          <w:rFonts w:ascii="Arial" w:hAnsi="Arial" w:cs="Arial"/>
          <w:sz w:val="24"/>
          <w:szCs w:val="24"/>
        </w:rPr>
        <w:t xml:space="preserve">But </w:t>
      </w:r>
      <w:r w:rsidR="00EC50AB" w:rsidRPr="00797AC8">
        <w:rPr>
          <w:rFonts w:ascii="Arial" w:hAnsi="Arial" w:cs="Arial"/>
          <w:sz w:val="24"/>
          <w:szCs w:val="24"/>
        </w:rPr>
        <w:t>Jafta J judgment</w:t>
      </w:r>
      <w:r w:rsidR="003D1E15" w:rsidRPr="00797AC8">
        <w:rPr>
          <w:rFonts w:ascii="Arial" w:hAnsi="Arial" w:cs="Arial"/>
          <w:sz w:val="24"/>
          <w:szCs w:val="24"/>
        </w:rPr>
        <w:t xml:space="preserve"> is not the only judgment</w:t>
      </w:r>
      <w:r w:rsidR="009E0439" w:rsidRPr="00797AC8">
        <w:rPr>
          <w:rFonts w:ascii="Arial" w:hAnsi="Arial" w:cs="Arial"/>
          <w:sz w:val="24"/>
          <w:szCs w:val="24"/>
        </w:rPr>
        <w:t xml:space="preserve"> in </w:t>
      </w:r>
      <w:r w:rsidR="009E0439" w:rsidRPr="00797AC8">
        <w:rPr>
          <w:rFonts w:ascii="Arial" w:hAnsi="Arial" w:cs="Arial"/>
          <w:i/>
          <w:iCs/>
          <w:sz w:val="24"/>
          <w:szCs w:val="24"/>
        </w:rPr>
        <w:t>Nkata</w:t>
      </w:r>
      <w:r w:rsidR="003D1E15" w:rsidRPr="00797AC8">
        <w:rPr>
          <w:rFonts w:ascii="Arial" w:hAnsi="Arial" w:cs="Arial"/>
          <w:sz w:val="24"/>
          <w:szCs w:val="24"/>
        </w:rPr>
        <w:t xml:space="preserve">. </w:t>
      </w:r>
      <w:r w:rsidR="00B00526" w:rsidRPr="00797AC8">
        <w:rPr>
          <w:rFonts w:ascii="Arial" w:hAnsi="Arial" w:cs="Arial"/>
          <w:sz w:val="24"/>
          <w:szCs w:val="24"/>
        </w:rPr>
        <w:t xml:space="preserve">I agree with the submissions </w:t>
      </w:r>
      <w:r w:rsidR="00EC7B61" w:rsidRPr="00797AC8">
        <w:rPr>
          <w:rFonts w:ascii="Arial" w:hAnsi="Arial" w:cs="Arial"/>
          <w:sz w:val="24"/>
          <w:szCs w:val="24"/>
        </w:rPr>
        <w:t xml:space="preserve"> by </w:t>
      </w:r>
      <w:r w:rsidR="00B2191E" w:rsidRPr="00797AC8">
        <w:rPr>
          <w:rFonts w:ascii="Arial" w:hAnsi="Arial" w:cs="Arial"/>
          <w:sz w:val="24"/>
          <w:szCs w:val="24"/>
        </w:rPr>
        <w:t>counsel</w:t>
      </w:r>
      <w:r w:rsidR="00B00526" w:rsidRPr="00797AC8">
        <w:rPr>
          <w:rFonts w:ascii="Arial" w:hAnsi="Arial" w:cs="Arial"/>
          <w:sz w:val="24"/>
          <w:szCs w:val="24"/>
        </w:rPr>
        <w:t>, and as found by T</w:t>
      </w:r>
      <w:r w:rsidR="00C35025" w:rsidRPr="00797AC8">
        <w:rPr>
          <w:rFonts w:ascii="Arial" w:hAnsi="Arial" w:cs="Arial"/>
          <w:sz w:val="24"/>
          <w:szCs w:val="24"/>
        </w:rPr>
        <w:t>lhapi</w:t>
      </w:r>
      <w:r w:rsidR="00B00526" w:rsidRPr="00797AC8">
        <w:rPr>
          <w:rFonts w:ascii="Arial" w:hAnsi="Arial" w:cs="Arial"/>
          <w:sz w:val="24"/>
          <w:szCs w:val="24"/>
        </w:rPr>
        <w:t xml:space="preserve"> J in </w:t>
      </w:r>
      <w:r w:rsidR="00B00526" w:rsidRPr="00797AC8">
        <w:rPr>
          <w:rFonts w:ascii="Arial" w:hAnsi="Arial" w:cs="Arial"/>
          <w:i/>
          <w:iCs/>
          <w:sz w:val="24"/>
          <w:szCs w:val="24"/>
        </w:rPr>
        <w:t>Du Plessis</w:t>
      </w:r>
      <w:r w:rsidR="00B00526">
        <w:rPr>
          <w:rStyle w:val="FootnoteReference"/>
          <w:rFonts w:ascii="Arial" w:hAnsi="Arial" w:cs="Arial"/>
          <w:sz w:val="24"/>
          <w:szCs w:val="24"/>
        </w:rPr>
        <w:footnoteReference w:id="19"/>
      </w:r>
      <w:r w:rsidR="00B00526" w:rsidRPr="00797AC8">
        <w:rPr>
          <w:rFonts w:ascii="Arial" w:hAnsi="Arial" w:cs="Arial"/>
          <w:sz w:val="24"/>
          <w:szCs w:val="24"/>
        </w:rPr>
        <w:t xml:space="preserve"> and then subsequently in </w:t>
      </w:r>
      <w:r w:rsidR="00B00526" w:rsidRPr="00797AC8">
        <w:rPr>
          <w:rFonts w:ascii="Arial" w:hAnsi="Arial" w:cs="Arial"/>
          <w:i/>
          <w:iCs/>
          <w:sz w:val="24"/>
          <w:szCs w:val="24"/>
        </w:rPr>
        <w:t>Mollentze</w:t>
      </w:r>
      <w:r w:rsidR="005D5B25" w:rsidRPr="00797AC8">
        <w:rPr>
          <w:rFonts w:ascii="Arial" w:hAnsi="Arial" w:cs="Arial"/>
          <w:i/>
          <w:iCs/>
          <w:sz w:val="24"/>
          <w:szCs w:val="24"/>
        </w:rPr>
        <w:t>,</w:t>
      </w:r>
      <w:r w:rsidR="00B00526">
        <w:rPr>
          <w:rStyle w:val="FootnoteReference"/>
          <w:rFonts w:ascii="Arial" w:hAnsi="Arial" w:cs="Arial"/>
          <w:i/>
          <w:iCs/>
          <w:sz w:val="24"/>
          <w:szCs w:val="24"/>
        </w:rPr>
        <w:footnoteReference w:id="20"/>
      </w:r>
      <w:r w:rsidR="00B00526" w:rsidRPr="00797AC8">
        <w:rPr>
          <w:rFonts w:ascii="Arial" w:hAnsi="Arial" w:cs="Arial"/>
          <w:sz w:val="24"/>
          <w:szCs w:val="24"/>
        </w:rPr>
        <w:t xml:space="preserve"> that the fact that the majority judgment in paragraph 75 of its judgment ‘noted’ the additional reasons given by Jafta J in his minority judgment does not make those additional reasons part of the binding </w:t>
      </w:r>
      <w:r w:rsidR="00B00526" w:rsidRPr="00797AC8">
        <w:rPr>
          <w:rFonts w:ascii="Arial" w:hAnsi="Arial" w:cs="Arial"/>
          <w:i/>
          <w:iCs/>
          <w:sz w:val="24"/>
          <w:szCs w:val="24"/>
        </w:rPr>
        <w:t>ratio</w:t>
      </w:r>
      <w:r w:rsidR="005F7721" w:rsidRPr="00797AC8">
        <w:rPr>
          <w:rFonts w:ascii="Arial" w:hAnsi="Arial" w:cs="Arial"/>
          <w:i/>
          <w:iCs/>
          <w:sz w:val="24"/>
          <w:szCs w:val="24"/>
        </w:rPr>
        <w:t>nes</w:t>
      </w:r>
      <w:r w:rsidR="00B00526" w:rsidRPr="00797AC8">
        <w:rPr>
          <w:rFonts w:ascii="Arial" w:hAnsi="Arial" w:cs="Arial"/>
          <w:i/>
          <w:iCs/>
          <w:sz w:val="24"/>
          <w:szCs w:val="24"/>
        </w:rPr>
        <w:t xml:space="preserve"> decidendi</w:t>
      </w:r>
      <w:r w:rsidR="00B00526" w:rsidRPr="00797AC8">
        <w:rPr>
          <w:rFonts w:ascii="Arial" w:hAnsi="Arial" w:cs="Arial"/>
          <w:sz w:val="24"/>
          <w:szCs w:val="24"/>
        </w:rPr>
        <w:t xml:space="preserve"> to be taken from the decision. </w:t>
      </w:r>
    </w:p>
    <w:p w14:paraId="2B45DDA7" w14:textId="1186BFB6" w:rsidR="00B00526" w:rsidRPr="00797AC8" w:rsidRDefault="00797AC8" w:rsidP="00797AC8">
      <w:pPr>
        <w:spacing w:before="360" w:after="360" w:line="480" w:lineRule="auto"/>
        <w:ind w:left="624" w:right="117" w:hanging="624"/>
        <w:jc w:val="both"/>
        <w:rPr>
          <w:rFonts w:ascii="Arial" w:hAnsi="Arial" w:cs="Arial"/>
          <w:sz w:val="24"/>
          <w:szCs w:val="24"/>
        </w:rPr>
      </w:pPr>
      <w:r w:rsidRPr="00B00526">
        <w:rPr>
          <w:rFonts w:ascii="Arial" w:hAnsi="Arial" w:cs="Arial"/>
          <w:sz w:val="24"/>
          <w:szCs w:val="24"/>
        </w:rPr>
        <w:lastRenderedPageBreak/>
        <w:t>35.</w:t>
      </w:r>
      <w:r w:rsidRPr="00B00526">
        <w:rPr>
          <w:rFonts w:ascii="Arial" w:hAnsi="Arial" w:cs="Arial"/>
          <w:sz w:val="24"/>
          <w:szCs w:val="24"/>
        </w:rPr>
        <w:tab/>
      </w:r>
      <w:r w:rsidR="00695A71" w:rsidRPr="00797AC8">
        <w:rPr>
          <w:rFonts w:ascii="Arial" w:hAnsi="Arial" w:cs="Arial"/>
          <w:sz w:val="24"/>
          <w:szCs w:val="24"/>
        </w:rPr>
        <w:t>As</w:t>
      </w:r>
      <w:r w:rsidR="00B00526" w:rsidRPr="00797AC8">
        <w:rPr>
          <w:rFonts w:ascii="Arial" w:hAnsi="Arial" w:cs="Arial"/>
          <w:sz w:val="24"/>
          <w:szCs w:val="24"/>
        </w:rPr>
        <w:t xml:space="preserve"> pointed out in </w:t>
      </w:r>
      <w:r w:rsidR="00B00526" w:rsidRPr="00797AC8">
        <w:rPr>
          <w:rFonts w:ascii="Arial" w:hAnsi="Arial" w:cs="Arial"/>
          <w:i/>
          <w:iCs/>
          <w:sz w:val="24"/>
          <w:szCs w:val="24"/>
        </w:rPr>
        <w:t>Du Plessis</w:t>
      </w:r>
      <w:r w:rsidR="00695A71">
        <w:rPr>
          <w:rStyle w:val="FootnoteReference"/>
          <w:rFonts w:ascii="Arial" w:hAnsi="Arial" w:cs="Arial"/>
          <w:sz w:val="24"/>
          <w:szCs w:val="24"/>
        </w:rPr>
        <w:footnoteReference w:id="21"/>
      </w:r>
      <w:r w:rsidR="00695A71" w:rsidRPr="00797AC8">
        <w:rPr>
          <w:rFonts w:ascii="Arial" w:hAnsi="Arial" w:cs="Arial"/>
          <w:sz w:val="24"/>
          <w:szCs w:val="24"/>
        </w:rPr>
        <w:t xml:space="preserve"> and </w:t>
      </w:r>
      <w:r w:rsidR="00B2191E" w:rsidRPr="00797AC8">
        <w:rPr>
          <w:rFonts w:ascii="Arial" w:hAnsi="Arial" w:cs="Arial"/>
          <w:sz w:val="24"/>
          <w:szCs w:val="24"/>
        </w:rPr>
        <w:t xml:space="preserve">by </w:t>
      </w:r>
      <w:r w:rsidR="00695A71" w:rsidRPr="00797AC8">
        <w:rPr>
          <w:rFonts w:ascii="Arial" w:hAnsi="Arial" w:cs="Arial"/>
          <w:sz w:val="24"/>
          <w:szCs w:val="24"/>
        </w:rPr>
        <w:t xml:space="preserve">counsel, </w:t>
      </w:r>
      <w:r w:rsidR="00B00526" w:rsidRPr="00797AC8">
        <w:rPr>
          <w:rFonts w:ascii="Arial" w:hAnsi="Arial" w:cs="Arial"/>
          <w:sz w:val="24"/>
          <w:szCs w:val="24"/>
        </w:rPr>
        <w:t xml:space="preserve">Nugent AJ in paragraph 158 of his separate judgment in </w:t>
      </w:r>
      <w:r w:rsidR="00B00526" w:rsidRPr="00797AC8">
        <w:rPr>
          <w:rFonts w:ascii="Arial" w:hAnsi="Arial" w:cs="Arial"/>
          <w:i/>
          <w:iCs/>
          <w:sz w:val="24"/>
          <w:szCs w:val="24"/>
        </w:rPr>
        <w:t>Nkata</w:t>
      </w:r>
      <w:r w:rsidR="00B00526" w:rsidRPr="00797AC8">
        <w:rPr>
          <w:rFonts w:ascii="Arial" w:hAnsi="Arial" w:cs="Arial"/>
          <w:sz w:val="24"/>
          <w:szCs w:val="24"/>
        </w:rPr>
        <w:t xml:space="preserve"> cautions that Jafta J’s statement that the default judgment is null and void including for the reason that the registrar could not grant judgment is going down ‘untrodden paths’.</w:t>
      </w:r>
    </w:p>
    <w:p w14:paraId="3A6D4D16" w14:textId="682B1F46" w:rsidR="00156243"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404B9" w:rsidRPr="00797AC8">
        <w:rPr>
          <w:rFonts w:ascii="Arial" w:hAnsi="Arial" w:cs="Arial"/>
          <w:sz w:val="24"/>
          <w:szCs w:val="24"/>
        </w:rPr>
        <w:t xml:space="preserve">Whatever may be concluded in relation to </w:t>
      </w:r>
      <w:r w:rsidR="00B00526" w:rsidRPr="00797AC8">
        <w:rPr>
          <w:rFonts w:ascii="Arial" w:hAnsi="Arial" w:cs="Arial"/>
          <w:sz w:val="24"/>
          <w:szCs w:val="24"/>
        </w:rPr>
        <w:t>w</w:t>
      </w:r>
      <w:r w:rsidR="005404B9" w:rsidRPr="00797AC8">
        <w:rPr>
          <w:rFonts w:ascii="Arial" w:hAnsi="Arial" w:cs="Arial"/>
          <w:sz w:val="24"/>
          <w:szCs w:val="24"/>
        </w:rPr>
        <w:t xml:space="preserve">hether </w:t>
      </w:r>
      <w:r w:rsidR="00B00526" w:rsidRPr="00797AC8">
        <w:rPr>
          <w:rFonts w:ascii="Arial" w:hAnsi="Arial" w:cs="Arial"/>
          <w:sz w:val="24"/>
          <w:szCs w:val="24"/>
        </w:rPr>
        <w:t>Jafta J’s</w:t>
      </w:r>
      <w:r w:rsidR="000175A1" w:rsidRPr="00797AC8">
        <w:rPr>
          <w:rFonts w:ascii="Arial" w:hAnsi="Arial" w:cs="Arial"/>
          <w:sz w:val="24"/>
          <w:szCs w:val="24"/>
        </w:rPr>
        <w:t xml:space="preserve"> statements </w:t>
      </w:r>
      <w:r w:rsidR="005404B9" w:rsidRPr="00797AC8">
        <w:rPr>
          <w:rFonts w:ascii="Arial" w:hAnsi="Arial" w:cs="Arial"/>
          <w:sz w:val="24"/>
          <w:szCs w:val="24"/>
        </w:rPr>
        <w:t>would constitute</w:t>
      </w:r>
      <w:r w:rsidR="00B00526" w:rsidRPr="00797AC8">
        <w:rPr>
          <w:rFonts w:ascii="Arial" w:hAnsi="Arial" w:cs="Arial"/>
          <w:sz w:val="24"/>
          <w:szCs w:val="24"/>
        </w:rPr>
        <w:t xml:space="preserve"> </w:t>
      </w:r>
      <w:r w:rsidR="005404B9" w:rsidRPr="00797AC8">
        <w:rPr>
          <w:rFonts w:ascii="Arial" w:hAnsi="Arial" w:cs="Arial"/>
          <w:i/>
          <w:iCs/>
          <w:sz w:val="24"/>
          <w:szCs w:val="24"/>
        </w:rPr>
        <w:t>ratio</w:t>
      </w:r>
      <w:r w:rsidR="000175A1" w:rsidRPr="00797AC8">
        <w:rPr>
          <w:rFonts w:ascii="Arial" w:hAnsi="Arial" w:cs="Arial"/>
          <w:i/>
          <w:iCs/>
          <w:sz w:val="24"/>
          <w:szCs w:val="24"/>
        </w:rPr>
        <w:t>nes</w:t>
      </w:r>
      <w:r w:rsidR="005404B9" w:rsidRPr="00797AC8">
        <w:rPr>
          <w:rFonts w:ascii="Arial" w:hAnsi="Arial" w:cs="Arial"/>
          <w:i/>
          <w:iCs/>
          <w:sz w:val="24"/>
          <w:szCs w:val="24"/>
        </w:rPr>
        <w:t xml:space="preserve"> decidendi</w:t>
      </w:r>
      <w:r w:rsidR="005404B9" w:rsidRPr="00797AC8">
        <w:rPr>
          <w:rFonts w:ascii="Arial" w:hAnsi="Arial" w:cs="Arial"/>
          <w:sz w:val="24"/>
          <w:szCs w:val="24"/>
        </w:rPr>
        <w:t xml:space="preserve"> if his judgment was the only judgment, in the present instance</w:t>
      </w:r>
      <w:r w:rsidR="003D1E15" w:rsidRPr="00797AC8">
        <w:rPr>
          <w:rFonts w:ascii="Arial" w:hAnsi="Arial" w:cs="Arial"/>
          <w:sz w:val="24"/>
          <w:szCs w:val="24"/>
        </w:rPr>
        <w:t xml:space="preserve"> what Jafta J said</w:t>
      </w:r>
      <w:r w:rsidR="005404B9" w:rsidRPr="00797AC8">
        <w:rPr>
          <w:rFonts w:ascii="Arial" w:hAnsi="Arial" w:cs="Arial"/>
          <w:sz w:val="24"/>
          <w:szCs w:val="24"/>
        </w:rPr>
        <w:t xml:space="preserve"> is not part of the majority judgment.</w:t>
      </w:r>
      <w:r w:rsidR="00DC3921" w:rsidRPr="00797AC8">
        <w:rPr>
          <w:rFonts w:ascii="Arial" w:hAnsi="Arial" w:cs="Arial"/>
          <w:sz w:val="24"/>
          <w:szCs w:val="24"/>
        </w:rPr>
        <w:t xml:space="preserve"> </w:t>
      </w:r>
      <w:r w:rsidR="005404B9" w:rsidRPr="00797AC8">
        <w:rPr>
          <w:rFonts w:ascii="Arial" w:hAnsi="Arial" w:cs="Arial"/>
          <w:sz w:val="24"/>
          <w:szCs w:val="24"/>
        </w:rPr>
        <w:t xml:space="preserve">Although Jafta J agreed with the majority judgment that legal costs were not payable, he did so for different reasons. His reasons, </w:t>
      </w:r>
      <w:r w:rsidR="00A455FE" w:rsidRPr="00797AC8">
        <w:rPr>
          <w:rFonts w:ascii="Arial" w:hAnsi="Arial" w:cs="Arial"/>
          <w:sz w:val="24"/>
          <w:szCs w:val="24"/>
        </w:rPr>
        <w:t>including</w:t>
      </w:r>
      <w:r w:rsidR="005404B9" w:rsidRPr="00797AC8">
        <w:rPr>
          <w:rFonts w:ascii="Arial" w:hAnsi="Arial" w:cs="Arial"/>
          <w:sz w:val="24"/>
          <w:szCs w:val="24"/>
        </w:rPr>
        <w:t xml:space="preserve"> that the registrar was unable to competently grant default judgment because of section 130, were not adopted by the majority.</w:t>
      </w:r>
      <w:r w:rsidR="003F2797" w:rsidRPr="00797AC8">
        <w:rPr>
          <w:rFonts w:ascii="Arial" w:hAnsi="Arial" w:cs="Arial"/>
          <w:sz w:val="24"/>
          <w:szCs w:val="24"/>
        </w:rPr>
        <w:t xml:space="preserve"> </w:t>
      </w:r>
      <w:r w:rsidR="000175A1" w:rsidRPr="00797AC8">
        <w:rPr>
          <w:rFonts w:ascii="Arial" w:hAnsi="Arial" w:cs="Arial"/>
          <w:sz w:val="24"/>
          <w:szCs w:val="24"/>
        </w:rPr>
        <w:t xml:space="preserve">Jafta J’s </w:t>
      </w:r>
      <w:r w:rsidR="003F2797" w:rsidRPr="00797AC8">
        <w:rPr>
          <w:rFonts w:ascii="Arial" w:hAnsi="Arial" w:cs="Arial"/>
          <w:sz w:val="24"/>
          <w:szCs w:val="24"/>
        </w:rPr>
        <w:t xml:space="preserve">concurrence that legal costs were not payable were not necessary for the </w:t>
      </w:r>
      <w:r w:rsidR="005F7721" w:rsidRPr="00797AC8">
        <w:rPr>
          <w:rFonts w:ascii="Arial" w:hAnsi="Arial" w:cs="Arial"/>
          <w:sz w:val="24"/>
          <w:szCs w:val="24"/>
        </w:rPr>
        <w:t xml:space="preserve">majority </w:t>
      </w:r>
      <w:r w:rsidR="003F2797" w:rsidRPr="00797AC8">
        <w:rPr>
          <w:rFonts w:ascii="Arial" w:hAnsi="Arial" w:cs="Arial"/>
          <w:sz w:val="24"/>
          <w:szCs w:val="24"/>
        </w:rPr>
        <w:t xml:space="preserve">judgment of Moseneke DCJ to constitute the </w:t>
      </w:r>
      <w:r w:rsidR="005F7721" w:rsidRPr="00797AC8">
        <w:rPr>
          <w:rFonts w:ascii="Arial" w:hAnsi="Arial" w:cs="Arial"/>
          <w:sz w:val="24"/>
          <w:szCs w:val="24"/>
        </w:rPr>
        <w:t>order of the appeal court</w:t>
      </w:r>
      <w:r w:rsidR="00A455FE" w:rsidRPr="00797AC8">
        <w:rPr>
          <w:rFonts w:ascii="Arial" w:hAnsi="Arial" w:cs="Arial"/>
          <w:sz w:val="24"/>
          <w:szCs w:val="24"/>
        </w:rPr>
        <w:t xml:space="preserve"> upholding the appeal i.e. even if Jafta J had not concurred in the judgment of Moseneke JA, that judgment would still constitute the judgment of the majority of the court</w:t>
      </w:r>
      <w:r w:rsidR="005F7721" w:rsidRPr="00797AC8">
        <w:rPr>
          <w:rFonts w:ascii="Arial" w:hAnsi="Arial" w:cs="Arial"/>
          <w:sz w:val="24"/>
          <w:szCs w:val="24"/>
        </w:rPr>
        <w:t>, resulting in the order upholding the appeal.</w:t>
      </w:r>
      <w:r w:rsidR="003F2797" w:rsidRPr="00797AC8">
        <w:rPr>
          <w:rFonts w:ascii="Arial" w:hAnsi="Arial" w:cs="Arial"/>
          <w:sz w:val="24"/>
          <w:szCs w:val="24"/>
        </w:rPr>
        <w:t xml:space="preserve"> </w:t>
      </w:r>
      <w:r w:rsidR="00A455FE" w:rsidRPr="00797AC8">
        <w:rPr>
          <w:rFonts w:ascii="Arial" w:hAnsi="Arial" w:cs="Arial"/>
          <w:sz w:val="24"/>
          <w:szCs w:val="24"/>
        </w:rPr>
        <w:t>Accordingly Jafta J’s</w:t>
      </w:r>
      <w:r w:rsidR="003F2797" w:rsidRPr="00797AC8">
        <w:rPr>
          <w:rFonts w:ascii="Arial" w:hAnsi="Arial" w:cs="Arial"/>
          <w:sz w:val="24"/>
          <w:szCs w:val="24"/>
        </w:rPr>
        <w:t xml:space="preserve"> reasons</w:t>
      </w:r>
      <w:r w:rsidR="005F7721" w:rsidRPr="00797AC8">
        <w:rPr>
          <w:rFonts w:ascii="Arial" w:hAnsi="Arial" w:cs="Arial"/>
          <w:sz w:val="24"/>
          <w:szCs w:val="24"/>
        </w:rPr>
        <w:t xml:space="preserve"> are not included in the</w:t>
      </w:r>
      <w:r w:rsidR="003F2797" w:rsidRPr="00797AC8">
        <w:rPr>
          <w:rFonts w:ascii="Arial" w:hAnsi="Arial" w:cs="Arial"/>
          <w:sz w:val="24"/>
          <w:szCs w:val="24"/>
        </w:rPr>
        <w:t xml:space="preserve"> </w:t>
      </w:r>
      <w:r w:rsidR="003F2797" w:rsidRPr="00797AC8">
        <w:rPr>
          <w:rFonts w:ascii="Arial" w:hAnsi="Arial" w:cs="Arial"/>
          <w:i/>
          <w:iCs/>
          <w:sz w:val="24"/>
          <w:szCs w:val="24"/>
        </w:rPr>
        <w:t>ratio</w:t>
      </w:r>
      <w:r w:rsidR="005F7721" w:rsidRPr="00797AC8">
        <w:rPr>
          <w:rFonts w:ascii="Arial" w:hAnsi="Arial" w:cs="Arial"/>
          <w:i/>
          <w:iCs/>
          <w:sz w:val="24"/>
          <w:szCs w:val="24"/>
        </w:rPr>
        <w:t>nes</w:t>
      </w:r>
      <w:r w:rsidR="003F2797" w:rsidRPr="00797AC8">
        <w:rPr>
          <w:rFonts w:ascii="Arial" w:hAnsi="Arial" w:cs="Arial"/>
          <w:i/>
          <w:iCs/>
          <w:sz w:val="24"/>
          <w:szCs w:val="24"/>
        </w:rPr>
        <w:t xml:space="preserve"> decidendi</w:t>
      </w:r>
      <w:r w:rsidR="003F2797" w:rsidRPr="00797AC8">
        <w:rPr>
          <w:rFonts w:ascii="Arial" w:hAnsi="Arial" w:cs="Arial"/>
          <w:sz w:val="24"/>
          <w:szCs w:val="24"/>
        </w:rPr>
        <w:t xml:space="preserve"> of the decision.</w:t>
      </w:r>
      <w:r w:rsidR="00646784">
        <w:rPr>
          <w:rStyle w:val="FootnoteReference"/>
          <w:rFonts w:ascii="Arial" w:hAnsi="Arial" w:cs="Arial"/>
          <w:sz w:val="24"/>
          <w:szCs w:val="24"/>
        </w:rPr>
        <w:footnoteReference w:id="22"/>
      </w:r>
      <w:r w:rsidR="003F2797" w:rsidRPr="00797AC8">
        <w:rPr>
          <w:rFonts w:ascii="Arial" w:hAnsi="Arial" w:cs="Arial"/>
          <w:sz w:val="24"/>
          <w:szCs w:val="24"/>
        </w:rPr>
        <w:t xml:space="preserve"> </w:t>
      </w:r>
    </w:p>
    <w:p w14:paraId="560EC4CC" w14:textId="505FC9FE" w:rsidR="00156243" w:rsidRPr="00797AC8" w:rsidRDefault="00797AC8" w:rsidP="00797AC8">
      <w:pPr>
        <w:spacing w:before="360" w:after="360" w:line="480" w:lineRule="auto"/>
        <w:ind w:left="624" w:right="117" w:hanging="624"/>
        <w:jc w:val="both"/>
        <w:rPr>
          <w:rFonts w:ascii="Arial" w:hAnsi="Arial" w:cs="Arial"/>
          <w:sz w:val="24"/>
          <w:szCs w:val="24"/>
        </w:rPr>
      </w:pPr>
      <w:r w:rsidRPr="006220EE">
        <w:rPr>
          <w:rFonts w:ascii="Arial" w:hAnsi="Arial" w:cs="Arial"/>
          <w:sz w:val="24"/>
          <w:szCs w:val="24"/>
        </w:rPr>
        <w:lastRenderedPageBreak/>
        <w:t>37.</w:t>
      </w:r>
      <w:r w:rsidRPr="006220EE">
        <w:rPr>
          <w:rFonts w:ascii="Arial" w:hAnsi="Arial" w:cs="Arial"/>
          <w:sz w:val="24"/>
          <w:szCs w:val="24"/>
        </w:rPr>
        <w:tab/>
      </w:r>
      <w:r w:rsidR="00156243" w:rsidRPr="00797AC8">
        <w:rPr>
          <w:rFonts w:ascii="Arial" w:hAnsi="Arial" w:cs="Arial"/>
          <w:sz w:val="24"/>
          <w:szCs w:val="24"/>
        </w:rPr>
        <w:t>I</w:t>
      </w:r>
      <w:r w:rsidR="00632137" w:rsidRPr="00797AC8">
        <w:rPr>
          <w:rFonts w:ascii="Arial" w:hAnsi="Arial" w:cs="Arial"/>
          <w:sz w:val="24"/>
          <w:szCs w:val="24"/>
        </w:rPr>
        <w:t>t follows that I</w:t>
      </w:r>
      <w:r w:rsidR="00156243" w:rsidRPr="00797AC8">
        <w:rPr>
          <w:rFonts w:ascii="Arial" w:hAnsi="Arial" w:cs="Arial"/>
          <w:sz w:val="24"/>
          <w:szCs w:val="24"/>
        </w:rPr>
        <w:t xml:space="preserve"> disagree with </w:t>
      </w:r>
      <w:r w:rsidR="00156243" w:rsidRPr="00797AC8">
        <w:rPr>
          <w:rFonts w:ascii="Arial" w:hAnsi="Arial" w:cs="Arial"/>
          <w:i/>
          <w:iCs/>
          <w:sz w:val="24"/>
          <w:szCs w:val="24"/>
        </w:rPr>
        <w:t>Ngandela</w:t>
      </w:r>
      <w:r w:rsidR="00156243">
        <w:rPr>
          <w:rStyle w:val="FootnoteReference"/>
          <w:rFonts w:ascii="Arial" w:hAnsi="Arial" w:cs="Arial"/>
          <w:sz w:val="24"/>
          <w:szCs w:val="24"/>
        </w:rPr>
        <w:footnoteReference w:id="23"/>
      </w:r>
      <w:r w:rsidR="00156243" w:rsidRPr="00797AC8">
        <w:rPr>
          <w:rFonts w:ascii="Arial" w:hAnsi="Arial" w:cs="Arial"/>
          <w:sz w:val="24"/>
          <w:szCs w:val="24"/>
        </w:rPr>
        <w:t xml:space="preserve"> </w:t>
      </w:r>
      <w:r w:rsidR="005750A9" w:rsidRPr="00797AC8">
        <w:rPr>
          <w:rFonts w:ascii="Arial" w:hAnsi="Arial" w:cs="Arial"/>
          <w:sz w:val="24"/>
          <w:szCs w:val="24"/>
        </w:rPr>
        <w:t xml:space="preserve">and </w:t>
      </w:r>
      <w:r w:rsidR="005750A9" w:rsidRPr="00797AC8">
        <w:rPr>
          <w:rFonts w:ascii="Arial" w:hAnsi="Arial" w:cs="Arial"/>
          <w:i/>
          <w:iCs/>
          <w:sz w:val="24"/>
          <w:szCs w:val="24"/>
        </w:rPr>
        <w:t>Nonyane</w:t>
      </w:r>
      <w:r w:rsidR="005750A9">
        <w:rPr>
          <w:rStyle w:val="FootnoteReference"/>
          <w:rFonts w:ascii="Arial" w:hAnsi="Arial" w:cs="Arial"/>
          <w:i/>
          <w:iCs/>
          <w:sz w:val="24"/>
          <w:szCs w:val="24"/>
        </w:rPr>
        <w:footnoteReference w:id="24"/>
      </w:r>
      <w:r w:rsidR="005750A9" w:rsidRPr="00797AC8">
        <w:rPr>
          <w:rFonts w:ascii="Arial" w:hAnsi="Arial" w:cs="Arial"/>
          <w:sz w:val="24"/>
          <w:szCs w:val="24"/>
        </w:rPr>
        <w:t xml:space="preserve"> </w:t>
      </w:r>
      <w:r w:rsidR="00156243" w:rsidRPr="00797AC8">
        <w:rPr>
          <w:rFonts w:ascii="Arial" w:hAnsi="Arial" w:cs="Arial"/>
          <w:sz w:val="24"/>
          <w:szCs w:val="24"/>
        </w:rPr>
        <w:t xml:space="preserve">that what was found by Jafta J in </w:t>
      </w:r>
      <w:r w:rsidR="00156243" w:rsidRPr="00797AC8">
        <w:rPr>
          <w:rFonts w:ascii="Arial" w:hAnsi="Arial" w:cs="Arial"/>
          <w:i/>
          <w:iCs/>
          <w:sz w:val="24"/>
          <w:szCs w:val="24"/>
        </w:rPr>
        <w:t>Nkata</w:t>
      </w:r>
      <w:r w:rsidR="00156243" w:rsidRPr="00797AC8">
        <w:rPr>
          <w:rFonts w:ascii="Arial" w:hAnsi="Arial" w:cs="Arial"/>
          <w:sz w:val="24"/>
          <w:szCs w:val="24"/>
        </w:rPr>
        <w:t xml:space="preserve"> is binding and decisive</w:t>
      </w:r>
      <w:r w:rsidR="00B00526" w:rsidRPr="00797AC8">
        <w:rPr>
          <w:rFonts w:ascii="Arial" w:hAnsi="Arial" w:cs="Arial"/>
          <w:sz w:val="24"/>
          <w:szCs w:val="24"/>
        </w:rPr>
        <w:t>. I agree with</w:t>
      </w:r>
      <w:r w:rsidR="00156243" w:rsidRPr="00797AC8">
        <w:rPr>
          <w:rFonts w:ascii="Arial" w:hAnsi="Arial" w:cs="Arial"/>
          <w:sz w:val="24"/>
          <w:szCs w:val="24"/>
        </w:rPr>
        <w:t xml:space="preserve"> the full court decision in </w:t>
      </w:r>
      <w:r w:rsidR="00156243" w:rsidRPr="00797AC8">
        <w:rPr>
          <w:rFonts w:ascii="Arial" w:hAnsi="Arial" w:cs="Arial"/>
          <w:i/>
          <w:iCs/>
          <w:sz w:val="24"/>
          <w:szCs w:val="24"/>
        </w:rPr>
        <w:t xml:space="preserve">Mollentze </w:t>
      </w:r>
      <w:r w:rsidR="00156243" w:rsidRPr="00797AC8">
        <w:rPr>
          <w:rFonts w:ascii="Arial" w:hAnsi="Arial" w:cs="Arial"/>
          <w:sz w:val="24"/>
          <w:szCs w:val="24"/>
        </w:rPr>
        <w:t xml:space="preserve">that </w:t>
      </w:r>
      <w:r w:rsidR="009B0600" w:rsidRPr="00797AC8">
        <w:rPr>
          <w:rFonts w:ascii="Arial" w:hAnsi="Arial" w:cs="Arial"/>
          <w:sz w:val="24"/>
          <w:szCs w:val="24"/>
        </w:rPr>
        <w:t>Jafta J’s s</w:t>
      </w:r>
      <w:r w:rsidR="00156243" w:rsidRPr="00797AC8">
        <w:rPr>
          <w:rFonts w:ascii="Arial" w:hAnsi="Arial" w:cs="Arial"/>
          <w:sz w:val="24"/>
          <w:szCs w:val="24"/>
        </w:rPr>
        <w:t>tatements are not binding, albeit not entirely for the same reasons</w:t>
      </w:r>
      <w:r w:rsidR="009B0600" w:rsidRPr="00797AC8">
        <w:rPr>
          <w:rFonts w:ascii="Arial" w:hAnsi="Arial" w:cs="Arial"/>
          <w:sz w:val="24"/>
          <w:szCs w:val="24"/>
        </w:rPr>
        <w:t>.</w:t>
      </w:r>
    </w:p>
    <w:p w14:paraId="595A9E7B" w14:textId="328DAE51" w:rsidR="00963F99"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963F99" w:rsidRPr="00797AC8">
        <w:rPr>
          <w:rFonts w:ascii="Arial" w:hAnsi="Arial" w:cs="Arial"/>
          <w:sz w:val="24"/>
          <w:szCs w:val="24"/>
        </w:rPr>
        <w:t xml:space="preserve">I </w:t>
      </w:r>
      <w:r w:rsidR="00B1138E" w:rsidRPr="00797AC8">
        <w:rPr>
          <w:rFonts w:ascii="Arial" w:hAnsi="Arial" w:cs="Arial"/>
          <w:sz w:val="24"/>
          <w:szCs w:val="24"/>
        </w:rPr>
        <w:t xml:space="preserve">also </w:t>
      </w:r>
      <w:r w:rsidR="00963F99" w:rsidRPr="00797AC8">
        <w:rPr>
          <w:rFonts w:ascii="Arial" w:hAnsi="Arial" w:cs="Arial"/>
          <w:sz w:val="24"/>
          <w:szCs w:val="24"/>
        </w:rPr>
        <w:t>disagree with</w:t>
      </w:r>
      <w:r w:rsidR="00963F99" w:rsidRPr="00797AC8">
        <w:rPr>
          <w:rFonts w:ascii="Arial" w:hAnsi="Arial" w:cs="Arial"/>
          <w:i/>
          <w:iCs/>
          <w:sz w:val="24"/>
          <w:szCs w:val="24"/>
        </w:rPr>
        <w:t xml:space="preserve"> Gcasamba</w:t>
      </w:r>
      <w:r w:rsidR="00963F99">
        <w:rPr>
          <w:rStyle w:val="FootnoteReference"/>
          <w:rFonts w:ascii="Arial" w:hAnsi="Arial" w:cs="Arial"/>
          <w:i/>
          <w:iCs/>
          <w:sz w:val="24"/>
          <w:szCs w:val="24"/>
        </w:rPr>
        <w:footnoteReference w:id="25"/>
      </w:r>
      <w:r w:rsidR="00963F99" w:rsidRPr="00797AC8">
        <w:rPr>
          <w:rFonts w:ascii="Arial" w:hAnsi="Arial" w:cs="Arial"/>
          <w:sz w:val="24"/>
          <w:szCs w:val="24"/>
        </w:rPr>
        <w:t xml:space="preserve"> and </w:t>
      </w:r>
      <w:r w:rsidR="00963F99" w:rsidRPr="00797AC8">
        <w:rPr>
          <w:rFonts w:ascii="Arial" w:hAnsi="Arial" w:cs="Arial"/>
          <w:i/>
          <w:iCs/>
          <w:sz w:val="24"/>
          <w:szCs w:val="24"/>
        </w:rPr>
        <w:t>Ngandela</w:t>
      </w:r>
      <w:r w:rsidR="00963F99">
        <w:rPr>
          <w:rStyle w:val="FootnoteReference"/>
          <w:rFonts w:ascii="Arial" w:hAnsi="Arial" w:cs="Arial"/>
          <w:i/>
          <w:iCs/>
          <w:sz w:val="24"/>
          <w:szCs w:val="24"/>
        </w:rPr>
        <w:footnoteReference w:id="26"/>
      </w:r>
      <w:r w:rsidR="00963F99" w:rsidRPr="00797AC8">
        <w:rPr>
          <w:rFonts w:ascii="Arial" w:hAnsi="Arial" w:cs="Arial"/>
          <w:i/>
          <w:iCs/>
          <w:sz w:val="24"/>
          <w:szCs w:val="24"/>
        </w:rPr>
        <w:t xml:space="preserve"> </w:t>
      </w:r>
      <w:r w:rsidR="00963F99" w:rsidRPr="00797AC8">
        <w:rPr>
          <w:rFonts w:ascii="Arial" w:hAnsi="Arial" w:cs="Arial"/>
          <w:sz w:val="24"/>
          <w:szCs w:val="24"/>
        </w:rPr>
        <w:t xml:space="preserve">that was said by Jafta J in </w:t>
      </w:r>
      <w:r w:rsidR="00963F99" w:rsidRPr="00797AC8">
        <w:rPr>
          <w:rFonts w:ascii="Arial" w:hAnsi="Arial" w:cs="Arial"/>
          <w:i/>
          <w:iCs/>
          <w:sz w:val="24"/>
          <w:szCs w:val="24"/>
        </w:rPr>
        <w:t>University of Stellenbosch</w:t>
      </w:r>
      <w:r w:rsidR="00963F99" w:rsidRPr="00797AC8">
        <w:rPr>
          <w:rFonts w:ascii="Arial" w:hAnsi="Arial" w:cs="Arial"/>
          <w:sz w:val="24"/>
          <w:szCs w:val="24"/>
        </w:rPr>
        <w:t xml:space="preserve"> in relation to section 130 is decisive and binding. </w:t>
      </w:r>
      <w:r w:rsidR="00484D43" w:rsidRPr="00797AC8">
        <w:rPr>
          <w:rFonts w:ascii="Arial" w:hAnsi="Arial" w:cs="Arial"/>
          <w:sz w:val="24"/>
          <w:szCs w:val="24"/>
        </w:rPr>
        <w:t xml:space="preserve">I am of the view that was said by Jafta J as to the registrar’s inability to grant default judgment in NCA matters do not constitute </w:t>
      </w:r>
      <w:r w:rsidR="00484D43" w:rsidRPr="00797AC8">
        <w:rPr>
          <w:rFonts w:ascii="Arial" w:hAnsi="Arial" w:cs="Arial"/>
          <w:i/>
          <w:iCs/>
          <w:sz w:val="24"/>
          <w:szCs w:val="24"/>
        </w:rPr>
        <w:t>ratio</w:t>
      </w:r>
      <w:r w:rsidR="000175A1" w:rsidRPr="00797AC8">
        <w:rPr>
          <w:rFonts w:ascii="Arial" w:hAnsi="Arial" w:cs="Arial"/>
          <w:i/>
          <w:iCs/>
          <w:sz w:val="24"/>
          <w:szCs w:val="24"/>
        </w:rPr>
        <w:t>nes</w:t>
      </w:r>
      <w:r w:rsidR="00484D43" w:rsidRPr="00797AC8">
        <w:rPr>
          <w:rFonts w:ascii="Arial" w:hAnsi="Arial" w:cs="Arial"/>
          <w:i/>
          <w:iCs/>
          <w:sz w:val="24"/>
          <w:szCs w:val="24"/>
        </w:rPr>
        <w:t xml:space="preserve"> decidendi</w:t>
      </w:r>
      <w:r w:rsidR="00484D43" w:rsidRPr="00797AC8">
        <w:rPr>
          <w:rFonts w:ascii="Arial" w:hAnsi="Arial" w:cs="Arial"/>
          <w:sz w:val="24"/>
          <w:szCs w:val="24"/>
        </w:rPr>
        <w:t>.</w:t>
      </w:r>
      <w:r w:rsidR="004E2842" w:rsidRPr="00797AC8">
        <w:rPr>
          <w:rFonts w:ascii="Arial" w:hAnsi="Arial" w:cs="Arial"/>
          <w:sz w:val="24"/>
          <w:szCs w:val="24"/>
        </w:rPr>
        <w:t xml:space="preserve"> </w:t>
      </w:r>
      <w:r w:rsidR="00B1138E" w:rsidRPr="00797AC8">
        <w:rPr>
          <w:rFonts w:ascii="Arial" w:hAnsi="Arial" w:cs="Arial"/>
          <w:sz w:val="24"/>
          <w:szCs w:val="24"/>
        </w:rPr>
        <w:t xml:space="preserve">As appears above, this is consistent with the decision of </w:t>
      </w:r>
      <w:r w:rsidR="00B1138E" w:rsidRPr="00797AC8">
        <w:rPr>
          <w:rFonts w:ascii="Arial" w:hAnsi="Arial" w:cs="Arial"/>
          <w:i/>
          <w:iCs/>
          <w:sz w:val="24"/>
          <w:szCs w:val="24"/>
        </w:rPr>
        <w:t>Du Plessis</w:t>
      </w:r>
      <w:r w:rsidR="00B1138E" w:rsidRPr="00797AC8">
        <w:rPr>
          <w:rFonts w:ascii="Arial" w:hAnsi="Arial" w:cs="Arial"/>
          <w:sz w:val="24"/>
          <w:szCs w:val="24"/>
        </w:rPr>
        <w:t xml:space="preserve"> in this Division.</w:t>
      </w:r>
    </w:p>
    <w:p w14:paraId="49ACFA8F" w14:textId="0F69148D" w:rsidR="00484D43" w:rsidRPr="00797AC8" w:rsidRDefault="00797AC8" w:rsidP="00797AC8">
      <w:pPr>
        <w:spacing w:before="360" w:after="360" w:line="480" w:lineRule="auto"/>
        <w:ind w:left="624" w:right="117" w:hanging="624"/>
        <w:jc w:val="both"/>
        <w:rPr>
          <w:rFonts w:ascii="Arial" w:hAnsi="Arial" w:cs="Arial"/>
          <w:sz w:val="24"/>
          <w:szCs w:val="24"/>
        </w:rPr>
      </w:pPr>
      <w:r w:rsidRPr="00963F99">
        <w:rPr>
          <w:rFonts w:ascii="Arial" w:hAnsi="Arial" w:cs="Arial"/>
          <w:sz w:val="24"/>
          <w:szCs w:val="24"/>
        </w:rPr>
        <w:t>39.</w:t>
      </w:r>
      <w:r w:rsidRPr="00963F99">
        <w:rPr>
          <w:rFonts w:ascii="Arial" w:hAnsi="Arial" w:cs="Arial"/>
          <w:sz w:val="24"/>
          <w:szCs w:val="24"/>
        </w:rPr>
        <w:tab/>
      </w:r>
      <w:r w:rsidR="004E2842" w:rsidRPr="00797AC8">
        <w:rPr>
          <w:rFonts w:ascii="Arial" w:hAnsi="Arial" w:cs="Arial"/>
          <w:sz w:val="24"/>
          <w:szCs w:val="24"/>
        </w:rPr>
        <w:t xml:space="preserve">In </w:t>
      </w:r>
      <w:r w:rsidR="00B1138E" w:rsidRPr="00797AC8">
        <w:rPr>
          <w:rFonts w:ascii="Arial" w:hAnsi="Arial" w:cs="Arial"/>
          <w:i/>
          <w:iCs/>
          <w:sz w:val="24"/>
          <w:szCs w:val="24"/>
        </w:rPr>
        <w:t>University of Stellenbosch</w:t>
      </w:r>
      <w:r w:rsidR="004E2842" w:rsidRPr="00797AC8">
        <w:rPr>
          <w:rFonts w:ascii="Arial" w:hAnsi="Arial" w:cs="Arial"/>
          <w:sz w:val="24"/>
          <w:szCs w:val="24"/>
        </w:rPr>
        <w:t xml:space="preserve"> the court was concerned with the constitutionality of sections in the Magistrates’ Courts Act 1944 dealing with the issue of </w:t>
      </w:r>
      <w:r w:rsidR="00766ADF" w:rsidRPr="00797AC8">
        <w:rPr>
          <w:rFonts w:ascii="Arial" w:hAnsi="Arial" w:cs="Arial"/>
          <w:sz w:val="24"/>
          <w:szCs w:val="24"/>
        </w:rPr>
        <w:t>emolument attachment orders, and particularly whether judicial supervision of execution by the court was required. In</w:t>
      </w:r>
      <w:r w:rsidR="00976586" w:rsidRPr="00797AC8">
        <w:rPr>
          <w:rFonts w:ascii="Arial" w:hAnsi="Arial" w:cs="Arial"/>
          <w:sz w:val="24"/>
          <w:szCs w:val="24"/>
        </w:rPr>
        <w:t xml:space="preserve"> </w:t>
      </w:r>
      <w:r w:rsidR="00AE2987" w:rsidRPr="00797AC8">
        <w:rPr>
          <w:rFonts w:ascii="Arial" w:hAnsi="Arial" w:cs="Arial"/>
          <w:sz w:val="24"/>
          <w:szCs w:val="24"/>
        </w:rPr>
        <w:t xml:space="preserve">two </w:t>
      </w:r>
      <w:r w:rsidR="00766ADF" w:rsidRPr="00797AC8">
        <w:rPr>
          <w:rFonts w:ascii="Arial" w:hAnsi="Arial" w:cs="Arial"/>
          <w:sz w:val="24"/>
          <w:szCs w:val="24"/>
        </w:rPr>
        <w:t>concurring judgment</w:t>
      </w:r>
      <w:r w:rsidR="00AE2987" w:rsidRPr="00797AC8">
        <w:rPr>
          <w:rFonts w:ascii="Arial" w:hAnsi="Arial" w:cs="Arial"/>
          <w:sz w:val="24"/>
          <w:szCs w:val="24"/>
        </w:rPr>
        <w:t>s</w:t>
      </w:r>
      <w:r w:rsidR="00766ADF" w:rsidRPr="00797AC8">
        <w:rPr>
          <w:rFonts w:ascii="Arial" w:hAnsi="Arial" w:cs="Arial"/>
          <w:sz w:val="24"/>
          <w:szCs w:val="24"/>
        </w:rPr>
        <w:t xml:space="preserve"> </w:t>
      </w:r>
      <w:r w:rsidR="00976586" w:rsidRPr="00797AC8">
        <w:rPr>
          <w:rFonts w:ascii="Arial" w:hAnsi="Arial" w:cs="Arial"/>
          <w:sz w:val="24"/>
          <w:szCs w:val="24"/>
        </w:rPr>
        <w:t xml:space="preserve">the majority </w:t>
      </w:r>
      <w:r w:rsidR="00766ADF" w:rsidRPr="00797AC8">
        <w:rPr>
          <w:rFonts w:ascii="Arial" w:hAnsi="Arial" w:cs="Arial"/>
          <w:sz w:val="24"/>
          <w:szCs w:val="24"/>
        </w:rPr>
        <w:t xml:space="preserve">found that judicial supervision was required and that as the relevant sections, properly interpreted, did not provide such judicial supervision by the court as it was the clerk of the court that issued the attachment orders and not the court, the relevant provisions were unconstitutional.  Jafta J in </w:t>
      </w:r>
      <w:r w:rsidR="00976586" w:rsidRPr="00797AC8">
        <w:rPr>
          <w:rFonts w:ascii="Arial" w:hAnsi="Arial" w:cs="Arial"/>
          <w:sz w:val="24"/>
          <w:szCs w:val="24"/>
        </w:rPr>
        <w:t xml:space="preserve">a third </w:t>
      </w:r>
      <w:r w:rsidR="00766ADF" w:rsidRPr="00797AC8">
        <w:rPr>
          <w:rFonts w:ascii="Arial" w:hAnsi="Arial" w:cs="Arial"/>
          <w:sz w:val="24"/>
          <w:szCs w:val="24"/>
        </w:rPr>
        <w:t xml:space="preserve">judgment differed from the concurring majority judgments in that </w:t>
      </w:r>
      <w:r w:rsidR="00AE2987" w:rsidRPr="00797AC8">
        <w:rPr>
          <w:rFonts w:ascii="Arial" w:hAnsi="Arial" w:cs="Arial"/>
          <w:sz w:val="24"/>
          <w:szCs w:val="24"/>
        </w:rPr>
        <w:t xml:space="preserve">he accepted that </w:t>
      </w:r>
      <w:r w:rsidR="00766ADF" w:rsidRPr="00797AC8">
        <w:rPr>
          <w:rFonts w:ascii="Arial" w:hAnsi="Arial" w:cs="Arial"/>
          <w:sz w:val="24"/>
          <w:szCs w:val="24"/>
        </w:rPr>
        <w:t xml:space="preserve">judicial supervision was required, </w:t>
      </w:r>
      <w:r w:rsidR="000175A1" w:rsidRPr="00797AC8">
        <w:rPr>
          <w:rFonts w:ascii="Arial" w:hAnsi="Arial" w:cs="Arial"/>
          <w:sz w:val="24"/>
          <w:szCs w:val="24"/>
        </w:rPr>
        <w:t xml:space="preserve">but </w:t>
      </w:r>
      <w:r w:rsidR="00766ADF" w:rsidRPr="00797AC8">
        <w:rPr>
          <w:rFonts w:ascii="Arial" w:hAnsi="Arial" w:cs="Arial"/>
          <w:sz w:val="24"/>
          <w:szCs w:val="24"/>
        </w:rPr>
        <w:t xml:space="preserve">the sections could, and should, be </w:t>
      </w:r>
      <w:r w:rsidR="00766ADF" w:rsidRPr="00797AC8">
        <w:rPr>
          <w:rFonts w:ascii="Arial" w:hAnsi="Arial" w:cs="Arial"/>
          <w:sz w:val="24"/>
          <w:szCs w:val="24"/>
        </w:rPr>
        <w:lastRenderedPageBreak/>
        <w:t>interpreted t</w:t>
      </w:r>
      <w:r w:rsidR="00BF5A4C" w:rsidRPr="00797AC8">
        <w:rPr>
          <w:rFonts w:ascii="Arial" w:hAnsi="Arial" w:cs="Arial"/>
          <w:sz w:val="24"/>
          <w:szCs w:val="24"/>
        </w:rPr>
        <w:t>hat it was the court</w:t>
      </w:r>
      <w:r w:rsidR="00AE2987" w:rsidRPr="00797AC8">
        <w:rPr>
          <w:rFonts w:ascii="Arial" w:hAnsi="Arial" w:cs="Arial"/>
          <w:sz w:val="24"/>
          <w:szCs w:val="24"/>
        </w:rPr>
        <w:t>, and not the clerk of the court,</w:t>
      </w:r>
      <w:r w:rsidR="00BF5A4C" w:rsidRPr="00797AC8">
        <w:rPr>
          <w:rFonts w:ascii="Arial" w:hAnsi="Arial" w:cs="Arial"/>
          <w:sz w:val="24"/>
          <w:szCs w:val="24"/>
        </w:rPr>
        <w:t xml:space="preserve"> that issued the orders and so the sections did provide for judicial supervision. </w:t>
      </w:r>
    </w:p>
    <w:p w14:paraId="6EB84746" w14:textId="7D87B80A" w:rsidR="004507C0" w:rsidRPr="00797AC8" w:rsidRDefault="00797AC8" w:rsidP="00797AC8">
      <w:pPr>
        <w:spacing w:before="360" w:after="360" w:line="480" w:lineRule="auto"/>
        <w:ind w:left="624" w:right="117" w:hanging="624"/>
        <w:jc w:val="both"/>
        <w:rPr>
          <w:rFonts w:ascii="Arial" w:hAnsi="Arial" w:cs="Arial"/>
          <w:sz w:val="24"/>
          <w:szCs w:val="24"/>
        </w:rPr>
      </w:pPr>
      <w:r w:rsidRPr="004507C0">
        <w:rPr>
          <w:rFonts w:ascii="Arial" w:hAnsi="Arial" w:cs="Arial"/>
          <w:sz w:val="24"/>
          <w:szCs w:val="24"/>
        </w:rPr>
        <w:t>40.</w:t>
      </w:r>
      <w:r w:rsidRPr="004507C0">
        <w:rPr>
          <w:rFonts w:ascii="Arial" w:hAnsi="Arial" w:cs="Arial"/>
          <w:sz w:val="24"/>
          <w:szCs w:val="24"/>
        </w:rPr>
        <w:tab/>
      </w:r>
      <w:r w:rsidR="00BF5A4C" w:rsidRPr="00797AC8">
        <w:rPr>
          <w:rFonts w:ascii="Arial" w:hAnsi="Arial" w:cs="Arial"/>
          <w:sz w:val="24"/>
          <w:szCs w:val="24"/>
        </w:rPr>
        <w:t xml:space="preserve">During the course of his judgment, Jafta J made various </w:t>
      </w:r>
      <w:r w:rsidR="00976586" w:rsidRPr="00797AC8">
        <w:rPr>
          <w:rFonts w:ascii="Arial" w:hAnsi="Arial" w:cs="Arial"/>
          <w:sz w:val="24"/>
          <w:szCs w:val="24"/>
        </w:rPr>
        <w:t xml:space="preserve">introductory </w:t>
      </w:r>
      <w:r w:rsidR="00BF5A4C" w:rsidRPr="00797AC8">
        <w:rPr>
          <w:rFonts w:ascii="Arial" w:hAnsi="Arial" w:cs="Arial"/>
          <w:sz w:val="24"/>
          <w:szCs w:val="24"/>
        </w:rPr>
        <w:t>statements in relation to the manner in which the NCA as a form of consumer protection legislation must be interpreted in order to advance its purposes. It was during the course of doing so that Jafta J said in relation to section 130</w:t>
      </w:r>
      <w:r w:rsidR="00976586" w:rsidRPr="00797AC8">
        <w:rPr>
          <w:rFonts w:ascii="Arial" w:hAnsi="Arial" w:cs="Arial"/>
          <w:sz w:val="24"/>
          <w:szCs w:val="24"/>
        </w:rPr>
        <w:t xml:space="preserve">, including </w:t>
      </w:r>
      <w:r w:rsidR="00BF5A4C" w:rsidRPr="00797AC8">
        <w:rPr>
          <w:rFonts w:ascii="Arial" w:hAnsi="Arial" w:cs="Arial"/>
          <w:sz w:val="24"/>
          <w:szCs w:val="24"/>
        </w:rPr>
        <w:t xml:space="preserve">in paragraph </w:t>
      </w:r>
      <w:r w:rsidR="004A7C19" w:rsidRPr="00797AC8">
        <w:rPr>
          <w:rFonts w:ascii="Arial" w:hAnsi="Arial" w:cs="Arial"/>
          <w:sz w:val="24"/>
          <w:szCs w:val="24"/>
        </w:rPr>
        <w:t>2</w:t>
      </w:r>
      <w:r w:rsidR="00976586" w:rsidRPr="00797AC8">
        <w:rPr>
          <w:rFonts w:ascii="Arial" w:hAnsi="Arial" w:cs="Arial"/>
          <w:sz w:val="24"/>
          <w:szCs w:val="24"/>
        </w:rPr>
        <w:t>5</w:t>
      </w:r>
      <w:r w:rsidR="004A7C19" w:rsidRPr="00797AC8">
        <w:rPr>
          <w:rFonts w:ascii="Arial" w:hAnsi="Arial" w:cs="Arial"/>
          <w:sz w:val="24"/>
          <w:szCs w:val="24"/>
        </w:rPr>
        <w:t xml:space="preserve"> </w:t>
      </w:r>
      <w:r w:rsidR="00BF5A4C" w:rsidRPr="00797AC8">
        <w:rPr>
          <w:rFonts w:ascii="Arial" w:hAnsi="Arial" w:cs="Arial"/>
          <w:sz w:val="24"/>
          <w:szCs w:val="24"/>
        </w:rPr>
        <w:t>that</w:t>
      </w:r>
      <w:r w:rsidR="00BF5A4C" w:rsidRPr="00797AC8">
        <w:rPr>
          <w:rFonts w:ascii="Arial" w:hAnsi="Arial" w:cs="Arial"/>
          <w:i/>
          <w:iCs/>
          <w:sz w:val="24"/>
          <w:szCs w:val="24"/>
        </w:rPr>
        <w:t xml:space="preserve"> </w:t>
      </w:r>
      <w:r w:rsidR="00BF5A4C" w:rsidRPr="00797AC8">
        <w:rPr>
          <w:rFonts w:ascii="Arial" w:hAnsi="Arial" w:cs="Arial"/>
          <w:i/>
          <w:iCs/>
          <w:color w:val="000000" w:themeColor="text1"/>
          <w:sz w:val="24"/>
          <w:szCs w:val="24"/>
        </w:rPr>
        <w:t>‘(n)</w:t>
      </w:r>
      <w:r w:rsidR="00BF5A4C" w:rsidRPr="00797AC8">
        <w:rPr>
          <w:rFonts w:ascii="Arial" w:hAnsi="Arial" w:cs="Arial"/>
          <w:i/>
          <w:iCs/>
          <w:color w:val="000000" w:themeColor="text1"/>
          <w:sz w:val="24"/>
          <w:szCs w:val="24"/>
          <w:shd w:val="clear" w:color="auto" w:fill="FFFFFF"/>
        </w:rPr>
        <w:t>otably it must be the court and the court alone that is satisfied that there was compliance. Furthermore, it must only be the court that determines the case and grants judgment. The court's satisfaction that there was compliance constitutes a jurisdictional fact which must exist before the court may continue with the hearing’</w:t>
      </w:r>
      <w:r w:rsidR="004A7C19" w:rsidRPr="00797AC8">
        <w:rPr>
          <w:rFonts w:ascii="Arial" w:hAnsi="Arial" w:cs="Arial"/>
          <w:color w:val="000000" w:themeColor="text1"/>
          <w:sz w:val="24"/>
          <w:szCs w:val="24"/>
          <w:shd w:val="clear" w:color="auto" w:fill="FFFFFF"/>
        </w:rPr>
        <w:t>.</w:t>
      </w:r>
    </w:p>
    <w:p w14:paraId="42B15D1E" w14:textId="78E9F242" w:rsidR="00706617"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63F99" w:rsidRPr="00797AC8">
        <w:rPr>
          <w:rFonts w:ascii="Arial" w:hAnsi="Arial" w:cs="Arial"/>
          <w:sz w:val="24"/>
          <w:szCs w:val="24"/>
        </w:rPr>
        <w:t>A</w:t>
      </w:r>
      <w:r w:rsidR="004A7C19" w:rsidRPr="00797AC8">
        <w:rPr>
          <w:rFonts w:ascii="Arial" w:hAnsi="Arial" w:cs="Arial"/>
          <w:sz w:val="24"/>
          <w:szCs w:val="24"/>
        </w:rPr>
        <w:t>part from Jafta J’s statements not forming part of the ma</w:t>
      </w:r>
      <w:r w:rsidR="003F28E5" w:rsidRPr="00797AC8">
        <w:rPr>
          <w:rFonts w:ascii="Arial" w:hAnsi="Arial" w:cs="Arial"/>
          <w:sz w:val="24"/>
          <w:szCs w:val="24"/>
        </w:rPr>
        <w:t>jority</w:t>
      </w:r>
      <w:r w:rsidR="004A7C19" w:rsidRPr="00797AC8">
        <w:rPr>
          <w:rFonts w:ascii="Arial" w:hAnsi="Arial" w:cs="Arial"/>
          <w:sz w:val="24"/>
          <w:szCs w:val="24"/>
        </w:rPr>
        <w:t xml:space="preserve"> judgment</w:t>
      </w:r>
      <w:r w:rsidR="003F28E5" w:rsidRPr="00797AC8">
        <w:rPr>
          <w:rFonts w:ascii="Arial" w:hAnsi="Arial" w:cs="Arial"/>
          <w:sz w:val="24"/>
          <w:szCs w:val="24"/>
        </w:rPr>
        <w:t xml:space="preserve"> and for that reason not constituting </w:t>
      </w:r>
      <w:r w:rsidR="003F28E5" w:rsidRPr="00797AC8">
        <w:rPr>
          <w:rFonts w:ascii="Arial" w:hAnsi="Arial" w:cs="Arial"/>
          <w:i/>
          <w:iCs/>
          <w:sz w:val="24"/>
          <w:szCs w:val="24"/>
        </w:rPr>
        <w:t>ratio</w:t>
      </w:r>
      <w:r w:rsidR="000175A1" w:rsidRPr="00797AC8">
        <w:rPr>
          <w:rFonts w:ascii="Arial" w:hAnsi="Arial" w:cs="Arial"/>
          <w:i/>
          <w:iCs/>
          <w:sz w:val="24"/>
          <w:szCs w:val="24"/>
        </w:rPr>
        <w:t>nes</w:t>
      </w:r>
      <w:r w:rsidR="003F28E5" w:rsidRPr="00797AC8">
        <w:rPr>
          <w:rFonts w:ascii="Arial" w:hAnsi="Arial" w:cs="Arial"/>
          <w:i/>
          <w:iCs/>
          <w:sz w:val="24"/>
          <w:szCs w:val="24"/>
        </w:rPr>
        <w:t xml:space="preserve"> decidendi</w:t>
      </w:r>
      <w:r w:rsidR="004A7C19" w:rsidRPr="00797AC8">
        <w:rPr>
          <w:rFonts w:ascii="Arial" w:hAnsi="Arial" w:cs="Arial"/>
          <w:sz w:val="24"/>
          <w:szCs w:val="24"/>
        </w:rPr>
        <w:t xml:space="preserve">, they were not </w:t>
      </w:r>
      <w:r w:rsidR="00687155" w:rsidRPr="00797AC8">
        <w:rPr>
          <w:rFonts w:ascii="Arial" w:hAnsi="Arial" w:cs="Arial"/>
          <w:sz w:val="24"/>
          <w:szCs w:val="24"/>
        </w:rPr>
        <w:t>necessary for the decision that he reached and</w:t>
      </w:r>
      <w:r w:rsidR="00963F99" w:rsidRPr="00797AC8">
        <w:rPr>
          <w:rFonts w:ascii="Arial" w:hAnsi="Arial" w:cs="Arial"/>
          <w:sz w:val="24"/>
          <w:szCs w:val="24"/>
        </w:rPr>
        <w:t xml:space="preserve">, with respect, </w:t>
      </w:r>
      <w:r w:rsidR="00687155" w:rsidRPr="00797AC8">
        <w:rPr>
          <w:rFonts w:ascii="Arial" w:hAnsi="Arial" w:cs="Arial"/>
          <w:sz w:val="24"/>
          <w:szCs w:val="24"/>
        </w:rPr>
        <w:t>constitute</w:t>
      </w:r>
      <w:r w:rsidR="002D2186" w:rsidRPr="00797AC8">
        <w:rPr>
          <w:rFonts w:ascii="Arial" w:hAnsi="Arial" w:cs="Arial"/>
          <w:sz w:val="24"/>
          <w:szCs w:val="24"/>
        </w:rPr>
        <w:t xml:space="preserve"> material extraneous to the essential reasoning for </w:t>
      </w:r>
      <w:r w:rsidR="004507C0" w:rsidRPr="00797AC8">
        <w:rPr>
          <w:rFonts w:ascii="Arial" w:hAnsi="Arial" w:cs="Arial"/>
          <w:sz w:val="24"/>
          <w:szCs w:val="24"/>
        </w:rPr>
        <w:t>his</w:t>
      </w:r>
      <w:r w:rsidR="002D2186" w:rsidRPr="00797AC8">
        <w:rPr>
          <w:rFonts w:ascii="Arial" w:hAnsi="Arial" w:cs="Arial"/>
          <w:sz w:val="24"/>
          <w:szCs w:val="24"/>
        </w:rPr>
        <w:t xml:space="preserve"> finding</w:t>
      </w:r>
      <w:r w:rsidR="004507C0" w:rsidRPr="00797AC8">
        <w:rPr>
          <w:rFonts w:ascii="Arial" w:hAnsi="Arial" w:cs="Arial"/>
          <w:sz w:val="24"/>
          <w:szCs w:val="24"/>
        </w:rPr>
        <w:t>.</w:t>
      </w:r>
      <w:r w:rsidR="002D2186" w:rsidRPr="004507C0">
        <w:rPr>
          <w:rStyle w:val="FootnoteReference"/>
          <w:rFonts w:ascii="Arial" w:hAnsi="Arial" w:cs="Arial"/>
          <w:sz w:val="24"/>
          <w:szCs w:val="24"/>
        </w:rPr>
        <w:footnoteReference w:id="27"/>
      </w:r>
      <w:r w:rsidR="004507C0" w:rsidRPr="00797AC8">
        <w:rPr>
          <w:rFonts w:ascii="Arial" w:hAnsi="Arial" w:cs="Arial"/>
          <w:sz w:val="24"/>
          <w:szCs w:val="24"/>
        </w:rPr>
        <w:t xml:space="preserve"> </w:t>
      </w:r>
      <w:r w:rsidR="00CF6789" w:rsidRPr="00797AC8">
        <w:rPr>
          <w:rFonts w:ascii="Arial" w:hAnsi="Arial" w:cs="Arial"/>
          <w:sz w:val="24"/>
          <w:szCs w:val="24"/>
        </w:rPr>
        <w:t xml:space="preserve">Section 130 of the NCA is concerned with the judicial process resulting in judgment, as distinct from execution. </w:t>
      </w:r>
      <w:r w:rsidR="004966EE" w:rsidRPr="00797AC8">
        <w:rPr>
          <w:rFonts w:ascii="Arial" w:hAnsi="Arial" w:cs="Arial"/>
          <w:sz w:val="24"/>
          <w:szCs w:val="24"/>
        </w:rPr>
        <w:t xml:space="preserve">Jafta </w:t>
      </w:r>
      <w:r w:rsidR="00CF6789" w:rsidRPr="00797AC8">
        <w:rPr>
          <w:rFonts w:ascii="Arial" w:hAnsi="Arial" w:cs="Arial"/>
          <w:sz w:val="24"/>
          <w:szCs w:val="24"/>
        </w:rPr>
        <w:t xml:space="preserve">J himself recognised this distinction, as appears from paragraphs 33 and 34 of his judgment. </w:t>
      </w:r>
      <w:r w:rsidR="00706617" w:rsidRPr="00797AC8">
        <w:rPr>
          <w:rFonts w:ascii="Arial" w:hAnsi="Arial" w:cs="Arial"/>
          <w:sz w:val="24"/>
          <w:szCs w:val="24"/>
        </w:rPr>
        <w:t xml:space="preserve">The former is the subject of these proceedings, particularly whether the registrar is able to carry out the judicial process required by section 130. In contrast, </w:t>
      </w:r>
      <w:r w:rsidR="00706617" w:rsidRPr="00797AC8">
        <w:rPr>
          <w:rFonts w:ascii="Arial" w:hAnsi="Arial" w:cs="Arial"/>
          <w:i/>
          <w:iCs/>
          <w:sz w:val="24"/>
          <w:szCs w:val="24"/>
        </w:rPr>
        <w:t>University of Stellenbosch</w:t>
      </w:r>
      <w:r w:rsidR="00706617" w:rsidRPr="00797AC8">
        <w:rPr>
          <w:rFonts w:ascii="Arial" w:hAnsi="Arial" w:cs="Arial"/>
          <w:sz w:val="24"/>
          <w:szCs w:val="24"/>
        </w:rPr>
        <w:t xml:space="preserve"> was concerned with the latter, which is execution, and particularly in the form of emoluments attachment orders issued in terms of the Magistrates’ Courts Act</w:t>
      </w:r>
      <w:r w:rsidR="000175A1" w:rsidRPr="00797AC8">
        <w:rPr>
          <w:rFonts w:ascii="Arial" w:hAnsi="Arial" w:cs="Arial"/>
          <w:sz w:val="24"/>
          <w:szCs w:val="24"/>
        </w:rPr>
        <w:t>,</w:t>
      </w:r>
    </w:p>
    <w:p w14:paraId="70726B5E" w14:textId="52BF5BD4" w:rsidR="00687155" w:rsidRPr="00797AC8" w:rsidRDefault="00797AC8" w:rsidP="00797AC8">
      <w:pPr>
        <w:spacing w:before="360" w:after="360" w:line="480" w:lineRule="auto"/>
        <w:ind w:left="624" w:right="117" w:hanging="624"/>
        <w:jc w:val="both"/>
        <w:rPr>
          <w:rFonts w:ascii="Arial" w:hAnsi="Arial" w:cs="Arial"/>
          <w:sz w:val="24"/>
          <w:szCs w:val="24"/>
        </w:rPr>
      </w:pPr>
      <w:r w:rsidRPr="004507C0">
        <w:rPr>
          <w:rFonts w:ascii="Arial" w:hAnsi="Arial" w:cs="Arial"/>
          <w:sz w:val="24"/>
          <w:szCs w:val="24"/>
        </w:rPr>
        <w:lastRenderedPageBreak/>
        <w:t>42.</w:t>
      </w:r>
      <w:r w:rsidRPr="004507C0">
        <w:rPr>
          <w:rFonts w:ascii="Arial" w:hAnsi="Arial" w:cs="Arial"/>
          <w:sz w:val="24"/>
          <w:szCs w:val="24"/>
        </w:rPr>
        <w:tab/>
      </w:r>
      <w:r w:rsidR="004507C0" w:rsidRPr="00797AC8">
        <w:rPr>
          <w:rFonts w:ascii="Arial" w:hAnsi="Arial" w:cs="Arial"/>
          <w:sz w:val="24"/>
          <w:szCs w:val="24"/>
        </w:rPr>
        <w:t xml:space="preserve">To use the phraseology of Cameron JA in </w:t>
      </w:r>
      <w:r w:rsidR="004507C0" w:rsidRPr="00797AC8">
        <w:rPr>
          <w:rFonts w:ascii="Arial" w:hAnsi="Arial" w:cs="Arial"/>
          <w:i/>
          <w:iCs/>
          <w:sz w:val="24"/>
          <w:szCs w:val="24"/>
        </w:rPr>
        <w:t>True Motives 84 (Pty) Ltd v Mahdi and another</w:t>
      </w:r>
      <w:r w:rsidR="004507C0" w:rsidRPr="00797AC8">
        <w:rPr>
          <w:rFonts w:ascii="Arial" w:hAnsi="Arial" w:cs="Arial"/>
          <w:sz w:val="24"/>
          <w:szCs w:val="24"/>
        </w:rPr>
        <w:t xml:space="preserve"> 2009 (4) SA 153 (SCA) in paragraph 102</w:t>
      </w:r>
      <w:r w:rsidR="004507C0" w:rsidRPr="00797AC8">
        <w:rPr>
          <w:rFonts w:ascii="Arial" w:hAnsi="Arial" w:cs="Arial"/>
          <w:color w:val="000000" w:themeColor="text1"/>
          <w:sz w:val="24"/>
          <w:szCs w:val="24"/>
        </w:rPr>
        <w:t xml:space="preserve"> </w:t>
      </w:r>
      <w:r w:rsidR="004507C0" w:rsidRPr="00797AC8">
        <w:rPr>
          <w:rFonts w:ascii="Arial" w:hAnsi="Arial" w:cs="Arial"/>
          <w:i/>
          <w:iCs/>
          <w:color w:val="000000" w:themeColor="text1"/>
          <w:sz w:val="24"/>
          <w:szCs w:val="24"/>
        </w:rPr>
        <w:t>“[a]nything in a judgment that is subsidiary is considered to be 'said along the wayside',</w:t>
      </w:r>
      <w:r w:rsidR="004507C0" w:rsidRPr="00797AC8">
        <w:rPr>
          <w:rStyle w:val="apple-converted-space"/>
          <w:rFonts w:ascii="Arial" w:hAnsi="Arial" w:cs="Arial"/>
          <w:i/>
          <w:iCs/>
          <w:color w:val="000000" w:themeColor="text1"/>
          <w:sz w:val="24"/>
          <w:szCs w:val="24"/>
        </w:rPr>
        <w:t xml:space="preserve"> </w:t>
      </w:r>
      <w:r w:rsidR="004507C0" w:rsidRPr="00797AC8">
        <w:rPr>
          <w:rFonts w:ascii="Arial" w:hAnsi="Arial" w:cs="Arial"/>
          <w:i/>
          <w:iCs/>
          <w:color w:val="000000" w:themeColor="text1"/>
          <w:sz w:val="24"/>
          <w:szCs w:val="24"/>
        </w:rPr>
        <w:t>or 'stated as part of the journey' (obiter dictum), and is not binding on subsequent courts</w:t>
      </w:r>
      <w:r w:rsidR="004507C0" w:rsidRPr="00797AC8">
        <w:rPr>
          <w:rFonts w:ascii="Arial" w:hAnsi="Arial" w:cs="Arial"/>
          <w:i/>
          <w:iCs/>
          <w:color w:val="2C3E50"/>
          <w:sz w:val="24"/>
          <w:szCs w:val="24"/>
        </w:rPr>
        <w:t>”.</w:t>
      </w:r>
    </w:p>
    <w:p w14:paraId="6CC9E606" w14:textId="6AC333D7" w:rsidR="003D1E15"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43.</w:t>
      </w:r>
      <w:r>
        <w:rPr>
          <w:rFonts w:ascii="Arial" w:hAnsi="Arial" w:cs="Arial"/>
          <w:sz w:val="24"/>
          <w:szCs w:val="24"/>
        </w:rPr>
        <w:tab/>
      </w:r>
      <w:r w:rsidR="003D1E15" w:rsidRPr="00797AC8">
        <w:rPr>
          <w:rFonts w:ascii="Arial" w:hAnsi="Arial" w:cs="Arial"/>
          <w:sz w:val="24"/>
          <w:szCs w:val="24"/>
        </w:rPr>
        <w:t>As there is no binding precedent in this Division on the issue</w:t>
      </w:r>
      <w:r w:rsidR="00632137" w:rsidRPr="00797AC8">
        <w:rPr>
          <w:rFonts w:ascii="Arial" w:hAnsi="Arial" w:cs="Arial"/>
          <w:sz w:val="24"/>
          <w:szCs w:val="24"/>
        </w:rPr>
        <w:t xml:space="preserve"> (as the decisions of single judges </w:t>
      </w:r>
      <w:r w:rsidR="00695A71" w:rsidRPr="00797AC8">
        <w:rPr>
          <w:rFonts w:ascii="Arial" w:hAnsi="Arial" w:cs="Arial"/>
          <w:sz w:val="24"/>
          <w:szCs w:val="24"/>
        </w:rPr>
        <w:t>of</w:t>
      </w:r>
      <w:r w:rsidR="00632137" w:rsidRPr="00797AC8">
        <w:rPr>
          <w:rFonts w:ascii="Arial" w:hAnsi="Arial" w:cs="Arial"/>
          <w:sz w:val="24"/>
          <w:szCs w:val="24"/>
        </w:rPr>
        <w:t xml:space="preserve"> this Division are conflicting, </w:t>
      </w:r>
      <w:r w:rsidR="00695A71" w:rsidRPr="00797AC8">
        <w:rPr>
          <w:rFonts w:ascii="Arial" w:hAnsi="Arial" w:cs="Arial"/>
          <w:sz w:val="24"/>
          <w:szCs w:val="24"/>
        </w:rPr>
        <w:t xml:space="preserve">as </w:t>
      </w:r>
      <w:r w:rsidR="00632137" w:rsidRPr="00797AC8">
        <w:rPr>
          <w:rFonts w:ascii="Arial" w:hAnsi="Arial" w:cs="Arial"/>
          <w:sz w:val="24"/>
          <w:szCs w:val="24"/>
        </w:rPr>
        <w:t xml:space="preserve">the full court decision in </w:t>
      </w:r>
      <w:r w:rsidR="00632137" w:rsidRPr="00797AC8">
        <w:rPr>
          <w:rFonts w:ascii="Arial" w:hAnsi="Arial" w:cs="Arial"/>
          <w:i/>
          <w:iCs/>
          <w:sz w:val="24"/>
          <w:szCs w:val="24"/>
        </w:rPr>
        <w:t>Mollentze</w:t>
      </w:r>
      <w:r w:rsidR="00632137" w:rsidRPr="00797AC8">
        <w:rPr>
          <w:rFonts w:ascii="Arial" w:hAnsi="Arial" w:cs="Arial"/>
          <w:sz w:val="24"/>
          <w:szCs w:val="24"/>
        </w:rPr>
        <w:t xml:space="preserve"> although highly persuasive is not binding and as the statements by Jafta J in his minority judgments in </w:t>
      </w:r>
      <w:r w:rsidR="00632137" w:rsidRPr="00797AC8">
        <w:rPr>
          <w:rFonts w:ascii="Arial" w:hAnsi="Arial" w:cs="Arial"/>
          <w:i/>
          <w:iCs/>
          <w:sz w:val="24"/>
          <w:szCs w:val="24"/>
        </w:rPr>
        <w:t>Nkata</w:t>
      </w:r>
      <w:r w:rsidR="00632137" w:rsidRPr="00797AC8">
        <w:rPr>
          <w:rFonts w:ascii="Arial" w:hAnsi="Arial" w:cs="Arial"/>
          <w:sz w:val="24"/>
          <w:szCs w:val="24"/>
        </w:rPr>
        <w:t xml:space="preserve"> and </w:t>
      </w:r>
      <w:r w:rsidR="00632137" w:rsidRPr="00797AC8">
        <w:rPr>
          <w:rFonts w:ascii="Arial" w:hAnsi="Arial" w:cs="Arial"/>
          <w:i/>
          <w:iCs/>
          <w:sz w:val="24"/>
          <w:szCs w:val="24"/>
        </w:rPr>
        <w:t>University of Stellenbosch</w:t>
      </w:r>
      <w:r w:rsidR="00632137" w:rsidRPr="00797AC8">
        <w:rPr>
          <w:rFonts w:ascii="Arial" w:hAnsi="Arial" w:cs="Arial"/>
          <w:sz w:val="24"/>
          <w:szCs w:val="24"/>
        </w:rPr>
        <w:t xml:space="preserve"> are </w:t>
      </w:r>
      <w:r w:rsidR="00695A71" w:rsidRPr="00797AC8">
        <w:rPr>
          <w:rFonts w:ascii="Arial" w:hAnsi="Arial" w:cs="Arial"/>
          <w:i/>
          <w:iCs/>
          <w:sz w:val="24"/>
          <w:szCs w:val="24"/>
        </w:rPr>
        <w:t>obiter</w:t>
      </w:r>
      <w:r w:rsidR="00632137" w:rsidRPr="00797AC8">
        <w:rPr>
          <w:rFonts w:ascii="Arial" w:hAnsi="Arial" w:cs="Arial"/>
          <w:sz w:val="24"/>
          <w:szCs w:val="24"/>
        </w:rPr>
        <w:t>)</w:t>
      </w:r>
      <w:r w:rsidR="003D1E15" w:rsidRPr="00797AC8">
        <w:rPr>
          <w:rFonts w:ascii="Arial" w:hAnsi="Arial" w:cs="Arial"/>
          <w:sz w:val="24"/>
          <w:szCs w:val="24"/>
        </w:rPr>
        <w:t xml:space="preserve">, I am </w:t>
      </w:r>
      <w:r w:rsidR="000D451F" w:rsidRPr="00797AC8">
        <w:rPr>
          <w:rFonts w:ascii="Arial" w:hAnsi="Arial" w:cs="Arial"/>
          <w:sz w:val="24"/>
          <w:szCs w:val="24"/>
        </w:rPr>
        <w:t xml:space="preserve">required </w:t>
      </w:r>
      <w:r w:rsidR="003D1E15" w:rsidRPr="00797AC8">
        <w:rPr>
          <w:rFonts w:ascii="Arial" w:hAnsi="Arial" w:cs="Arial"/>
          <w:sz w:val="24"/>
          <w:szCs w:val="24"/>
        </w:rPr>
        <w:t>to determine the issue.</w:t>
      </w:r>
      <w:r w:rsidR="000F7F9D" w:rsidRPr="00797AC8">
        <w:rPr>
          <w:rFonts w:ascii="Arial" w:hAnsi="Arial" w:cs="Arial"/>
          <w:sz w:val="24"/>
          <w:szCs w:val="24"/>
        </w:rPr>
        <w:t xml:space="preserve"> I do so cognisant that </w:t>
      </w:r>
      <w:r w:rsidR="000F7F9D" w:rsidRPr="00797AC8">
        <w:rPr>
          <w:rFonts w:ascii="Arial" w:hAnsi="Arial" w:cs="Arial"/>
          <w:i/>
          <w:iCs/>
          <w:sz w:val="24"/>
          <w:szCs w:val="24"/>
        </w:rPr>
        <w:t>obiter</w:t>
      </w:r>
      <w:r w:rsidR="00431480" w:rsidRPr="00797AC8">
        <w:rPr>
          <w:rFonts w:ascii="Arial" w:hAnsi="Arial" w:cs="Arial"/>
          <w:i/>
          <w:iCs/>
          <w:sz w:val="24"/>
          <w:szCs w:val="24"/>
        </w:rPr>
        <w:t xml:space="preserve"> </w:t>
      </w:r>
      <w:r w:rsidR="00431480" w:rsidRPr="00797AC8">
        <w:rPr>
          <w:rFonts w:ascii="Arial" w:hAnsi="Arial" w:cs="Arial"/>
          <w:sz w:val="24"/>
          <w:szCs w:val="24"/>
        </w:rPr>
        <w:t>stat</w:t>
      </w:r>
      <w:r w:rsidR="009663DC" w:rsidRPr="00797AC8">
        <w:rPr>
          <w:rFonts w:ascii="Arial" w:hAnsi="Arial" w:cs="Arial"/>
          <w:sz w:val="24"/>
          <w:szCs w:val="24"/>
        </w:rPr>
        <w:t>e</w:t>
      </w:r>
      <w:r w:rsidR="00431480" w:rsidRPr="00797AC8">
        <w:rPr>
          <w:rFonts w:ascii="Arial" w:hAnsi="Arial" w:cs="Arial"/>
          <w:sz w:val="24"/>
          <w:szCs w:val="24"/>
        </w:rPr>
        <w:t>ments</w:t>
      </w:r>
      <w:r w:rsidR="009663DC" w:rsidRPr="00797AC8">
        <w:rPr>
          <w:rFonts w:ascii="Arial" w:hAnsi="Arial" w:cs="Arial"/>
          <w:sz w:val="24"/>
          <w:szCs w:val="24"/>
        </w:rPr>
        <w:t xml:space="preserve"> from higher courts</w:t>
      </w:r>
      <w:r w:rsidR="000F7F9D" w:rsidRPr="00797AC8">
        <w:rPr>
          <w:rFonts w:ascii="Arial" w:hAnsi="Arial" w:cs="Arial"/>
          <w:sz w:val="24"/>
          <w:szCs w:val="24"/>
        </w:rPr>
        <w:t>, particularly emanating from the Constitutional Court, are highly persuasive</w:t>
      </w:r>
      <w:r w:rsidR="00695A71" w:rsidRPr="00797AC8">
        <w:rPr>
          <w:rFonts w:ascii="Arial" w:hAnsi="Arial" w:cs="Arial"/>
          <w:sz w:val="24"/>
          <w:szCs w:val="24"/>
        </w:rPr>
        <w:t>.</w:t>
      </w:r>
      <w:r w:rsidR="000F7F9D">
        <w:rPr>
          <w:rStyle w:val="FootnoteReference"/>
          <w:rFonts w:ascii="Arial" w:hAnsi="Arial" w:cs="Arial"/>
          <w:sz w:val="24"/>
          <w:szCs w:val="24"/>
        </w:rPr>
        <w:footnoteReference w:id="28"/>
      </w:r>
      <w:r w:rsidR="000F7F9D" w:rsidRPr="00797AC8">
        <w:rPr>
          <w:rFonts w:ascii="Arial" w:hAnsi="Arial" w:cs="Arial"/>
          <w:sz w:val="24"/>
          <w:szCs w:val="24"/>
        </w:rPr>
        <w:t xml:space="preserve"> </w:t>
      </w:r>
      <w:r w:rsidR="00695A71" w:rsidRPr="00797AC8">
        <w:rPr>
          <w:rFonts w:ascii="Arial" w:hAnsi="Arial" w:cs="Arial"/>
          <w:sz w:val="24"/>
          <w:szCs w:val="24"/>
        </w:rPr>
        <w:t xml:space="preserve">That though </w:t>
      </w:r>
      <w:r w:rsidR="000F7F9D" w:rsidRPr="00797AC8">
        <w:rPr>
          <w:rFonts w:ascii="Arial" w:hAnsi="Arial" w:cs="Arial"/>
          <w:sz w:val="24"/>
          <w:szCs w:val="24"/>
        </w:rPr>
        <w:t>begs the question</w:t>
      </w:r>
      <w:r w:rsidR="003F28E5" w:rsidRPr="00797AC8">
        <w:rPr>
          <w:rFonts w:ascii="Arial" w:hAnsi="Arial" w:cs="Arial"/>
          <w:sz w:val="24"/>
          <w:szCs w:val="24"/>
        </w:rPr>
        <w:t xml:space="preserve"> </w:t>
      </w:r>
      <w:r w:rsidR="000F7F9D" w:rsidRPr="00797AC8">
        <w:rPr>
          <w:rFonts w:ascii="Arial" w:hAnsi="Arial" w:cs="Arial"/>
          <w:sz w:val="24"/>
          <w:szCs w:val="24"/>
        </w:rPr>
        <w:t>what would constitute the</w:t>
      </w:r>
      <w:r w:rsidR="000F7F9D" w:rsidRPr="00797AC8">
        <w:rPr>
          <w:rFonts w:ascii="Arial" w:hAnsi="Arial" w:cs="Arial"/>
          <w:i/>
          <w:iCs/>
          <w:sz w:val="24"/>
          <w:szCs w:val="24"/>
        </w:rPr>
        <w:t xml:space="preserve"> obiter</w:t>
      </w:r>
      <w:r w:rsidR="000F7F9D" w:rsidRPr="00797AC8">
        <w:rPr>
          <w:rFonts w:ascii="Arial" w:hAnsi="Arial" w:cs="Arial"/>
          <w:sz w:val="24"/>
          <w:szCs w:val="24"/>
        </w:rPr>
        <w:t xml:space="preserve"> of th</w:t>
      </w:r>
      <w:r w:rsidR="003F28E5" w:rsidRPr="00797AC8">
        <w:rPr>
          <w:rFonts w:ascii="Arial" w:hAnsi="Arial" w:cs="Arial"/>
          <w:sz w:val="24"/>
          <w:szCs w:val="24"/>
        </w:rPr>
        <w:t xml:space="preserve">at </w:t>
      </w:r>
      <w:r w:rsidR="000F7F9D" w:rsidRPr="00797AC8">
        <w:rPr>
          <w:rFonts w:ascii="Arial" w:hAnsi="Arial" w:cs="Arial"/>
          <w:sz w:val="24"/>
          <w:szCs w:val="24"/>
        </w:rPr>
        <w:t xml:space="preserve">court when </w:t>
      </w:r>
      <w:r w:rsidR="00695A71" w:rsidRPr="00797AC8">
        <w:rPr>
          <w:rFonts w:ascii="Arial" w:hAnsi="Arial" w:cs="Arial"/>
          <w:sz w:val="24"/>
          <w:szCs w:val="24"/>
        </w:rPr>
        <w:t xml:space="preserve">the statements do not </w:t>
      </w:r>
      <w:r w:rsidR="000F7F9D" w:rsidRPr="00797AC8">
        <w:rPr>
          <w:rFonts w:ascii="Arial" w:hAnsi="Arial" w:cs="Arial"/>
          <w:sz w:val="24"/>
          <w:szCs w:val="24"/>
        </w:rPr>
        <w:t>emanate</w:t>
      </w:r>
      <w:r w:rsidR="00695A71" w:rsidRPr="00797AC8">
        <w:rPr>
          <w:rFonts w:ascii="Arial" w:hAnsi="Arial" w:cs="Arial"/>
          <w:sz w:val="24"/>
          <w:szCs w:val="24"/>
        </w:rPr>
        <w:t xml:space="preserve"> </w:t>
      </w:r>
      <w:r w:rsidR="000F7F9D" w:rsidRPr="00797AC8">
        <w:rPr>
          <w:rFonts w:ascii="Arial" w:hAnsi="Arial" w:cs="Arial"/>
          <w:sz w:val="24"/>
          <w:szCs w:val="24"/>
        </w:rPr>
        <w:t>from the ma</w:t>
      </w:r>
      <w:r w:rsidR="003F28E5" w:rsidRPr="00797AC8">
        <w:rPr>
          <w:rFonts w:ascii="Arial" w:hAnsi="Arial" w:cs="Arial"/>
          <w:sz w:val="24"/>
          <w:szCs w:val="24"/>
        </w:rPr>
        <w:t>jority</w:t>
      </w:r>
      <w:r w:rsidR="000F7F9D" w:rsidRPr="00797AC8">
        <w:rPr>
          <w:rFonts w:ascii="Arial" w:hAnsi="Arial" w:cs="Arial"/>
          <w:sz w:val="24"/>
          <w:szCs w:val="24"/>
        </w:rPr>
        <w:t xml:space="preserve"> judgment.</w:t>
      </w:r>
    </w:p>
    <w:p w14:paraId="434AF3D3" w14:textId="7E0F5A52" w:rsidR="000D451F"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44.</w:t>
      </w:r>
      <w:r>
        <w:rPr>
          <w:rFonts w:ascii="Arial" w:hAnsi="Arial" w:cs="Arial"/>
          <w:sz w:val="24"/>
          <w:szCs w:val="24"/>
        </w:rPr>
        <w:tab/>
      </w:r>
      <w:r w:rsidR="000D451F" w:rsidRPr="00797AC8">
        <w:rPr>
          <w:rFonts w:ascii="Arial" w:hAnsi="Arial" w:cs="Arial"/>
          <w:sz w:val="24"/>
          <w:szCs w:val="24"/>
        </w:rPr>
        <w:t xml:space="preserve">The position adopted by the applicant and BASA, consistent with </w:t>
      </w:r>
      <w:r w:rsidR="000D451F" w:rsidRPr="00797AC8">
        <w:rPr>
          <w:rFonts w:ascii="Arial" w:hAnsi="Arial" w:cs="Arial"/>
          <w:i/>
          <w:iCs/>
          <w:sz w:val="24"/>
          <w:szCs w:val="24"/>
        </w:rPr>
        <w:t>Mollentze</w:t>
      </w:r>
      <w:r w:rsidR="000D451F" w:rsidRPr="00797AC8">
        <w:rPr>
          <w:rFonts w:ascii="Arial" w:hAnsi="Arial" w:cs="Arial"/>
          <w:sz w:val="24"/>
          <w:szCs w:val="24"/>
        </w:rPr>
        <w:t xml:space="preserve">, </w:t>
      </w:r>
      <w:r w:rsidR="004479DB" w:rsidRPr="00797AC8">
        <w:rPr>
          <w:rFonts w:ascii="Arial" w:hAnsi="Arial" w:cs="Arial"/>
          <w:sz w:val="24"/>
          <w:szCs w:val="24"/>
        </w:rPr>
        <w:t>is</w:t>
      </w:r>
      <w:r w:rsidR="000D451F" w:rsidRPr="00797AC8">
        <w:rPr>
          <w:rFonts w:ascii="Arial" w:hAnsi="Arial" w:cs="Arial"/>
          <w:sz w:val="24"/>
          <w:szCs w:val="24"/>
        </w:rPr>
        <w:t xml:space="preserve"> that the registrar does have the power to grant default judgments in NCA matters and that the full court decision of </w:t>
      </w:r>
      <w:r w:rsidR="000D451F" w:rsidRPr="00797AC8">
        <w:rPr>
          <w:rFonts w:ascii="Arial" w:hAnsi="Arial" w:cs="Arial"/>
          <w:i/>
          <w:iCs/>
          <w:sz w:val="24"/>
          <w:szCs w:val="24"/>
        </w:rPr>
        <w:t xml:space="preserve">Mollentze </w:t>
      </w:r>
      <w:r w:rsidR="000D451F" w:rsidRPr="00797AC8">
        <w:rPr>
          <w:rFonts w:ascii="Arial" w:hAnsi="Arial" w:cs="Arial"/>
          <w:sz w:val="24"/>
          <w:szCs w:val="24"/>
        </w:rPr>
        <w:t>should be followed.</w:t>
      </w:r>
    </w:p>
    <w:p w14:paraId="2625EE0B" w14:textId="3613842D" w:rsidR="00084E06"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6052C" w:rsidRPr="00797AC8">
        <w:rPr>
          <w:rFonts w:ascii="Arial" w:hAnsi="Arial" w:cs="Arial"/>
          <w:i/>
          <w:iCs/>
          <w:sz w:val="24"/>
          <w:szCs w:val="24"/>
        </w:rPr>
        <w:t>Mollentze</w:t>
      </w:r>
      <w:r w:rsidR="0086052C" w:rsidRPr="00797AC8">
        <w:rPr>
          <w:rFonts w:ascii="Arial" w:hAnsi="Arial" w:cs="Arial"/>
          <w:sz w:val="24"/>
          <w:szCs w:val="24"/>
        </w:rPr>
        <w:t xml:space="preserve"> is persuasive, particularly in its pragmatism. My reservation with the decision, as raised with counsel, was that if section 130 of the NCA did require judicial oversight, numerous decisions ha</w:t>
      </w:r>
      <w:r w:rsidR="000175A1" w:rsidRPr="00797AC8">
        <w:rPr>
          <w:rFonts w:ascii="Arial" w:hAnsi="Arial" w:cs="Arial"/>
          <w:sz w:val="24"/>
          <w:szCs w:val="24"/>
        </w:rPr>
        <w:t>ve</w:t>
      </w:r>
      <w:r w:rsidR="0086052C" w:rsidRPr="00797AC8">
        <w:rPr>
          <w:rFonts w:ascii="Arial" w:hAnsi="Arial" w:cs="Arial"/>
          <w:sz w:val="24"/>
          <w:szCs w:val="24"/>
        </w:rPr>
        <w:t xml:space="preserve"> held </w:t>
      </w:r>
      <w:r w:rsidR="009E247F" w:rsidRPr="00797AC8">
        <w:rPr>
          <w:rFonts w:ascii="Arial" w:hAnsi="Arial" w:cs="Arial"/>
          <w:sz w:val="24"/>
          <w:szCs w:val="24"/>
        </w:rPr>
        <w:t xml:space="preserve">in relation to other instances </w:t>
      </w:r>
      <w:r w:rsidR="0086052C" w:rsidRPr="00797AC8">
        <w:rPr>
          <w:rFonts w:ascii="Arial" w:hAnsi="Arial" w:cs="Arial"/>
          <w:sz w:val="24"/>
          <w:szCs w:val="24"/>
        </w:rPr>
        <w:t>that it was for the court to exercise judicial oversight</w:t>
      </w:r>
      <w:r w:rsidR="00B1138E" w:rsidRPr="00797AC8">
        <w:rPr>
          <w:rFonts w:ascii="Arial" w:hAnsi="Arial" w:cs="Arial"/>
          <w:sz w:val="24"/>
          <w:szCs w:val="24"/>
        </w:rPr>
        <w:t>,</w:t>
      </w:r>
      <w:r w:rsidR="0086052C" w:rsidRPr="00797AC8">
        <w:rPr>
          <w:rFonts w:ascii="Arial" w:hAnsi="Arial" w:cs="Arial"/>
          <w:sz w:val="24"/>
          <w:szCs w:val="24"/>
        </w:rPr>
        <w:t xml:space="preserve"> and that</w:t>
      </w:r>
      <w:r w:rsidR="00B1138E" w:rsidRPr="00797AC8">
        <w:rPr>
          <w:rFonts w:ascii="Arial" w:hAnsi="Arial" w:cs="Arial"/>
          <w:sz w:val="24"/>
          <w:szCs w:val="24"/>
        </w:rPr>
        <w:t xml:space="preserve"> someone else, </w:t>
      </w:r>
      <w:r w:rsidR="00B1138E" w:rsidRPr="00797AC8">
        <w:rPr>
          <w:rFonts w:ascii="Arial" w:hAnsi="Arial" w:cs="Arial"/>
          <w:sz w:val="24"/>
          <w:szCs w:val="24"/>
        </w:rPr>
        <w:lastRenderedPageBreak/>
        <w:t>such as</w:t>
      </w:r>
      <w:r w:rsidR="0086052C" w:rsidRPr="00797AC8">
        <w:rPr>
          <w:rFonts w:ascii="Arial" w:hAnsi="Arial" w:cs="Arial"/>
          <w:sz w:val="24"/>
          <w:szCs w:val="24"/>
        </w:rPr>
        <w:t xml:space="preserve"> the registrar</w:t>
      </w:r>
      <w:r w:rsidR="00B1138E" w:rsidRPr="00797AC8">
        <w:rPr>
          <w:rFonts w:ascii="Arial" w:hAnsi="Arial" w:cs="Arial"/>
          <w:sz w:val="24"/>
          <w:szCs w:val="24"/>
        </w:rPr>
        <w:t>,</w:t>
      </w:r>
      <w:r w:rsidR="0086052C" w:rsidRPr="00797AC8">
        <w:rPr>
          <w:rFonts w:ascii="Arial" w:hAnsi="Arial" w:cs="Arial"/>
          <w:sz w:val="24"/>
          <w:szCs w:val="24"/>
        </w:rPr>
        <w:t xml:space="preserve"> could not do so.</w:t>
      </w:r>
      <w:r w:rsidR="0086052C">
        <w:rPr>
          <w:rStyle w:val="FootnoteReference"/>
          <w:rFonts w:ascii="Arial" w:hAnsi="Arial" w:cs="Arial"/>
          <w:sz w:val="24"/>
          <w:szCs w:val="24"/>
        </w:rPr>
        <w:footnoteReference w:id="29"/>
      </w:r>
      <w:r w:rsidR="0086052C" w:rsidRPr="00797AC8">
        <w:rPr>
          <w:rFonts w:ascii="Arial" w:hAnsi="Arial" w:cs="Arial"/>
          <w:sz w:val="24"/>
          <w:szCs w:val="24"/>
        </w:rPr>
        <w:t xml:space="preserve">  </w:t>
      </w:r>
      <w:r w:rsidR="00084E06" w:rsidRPr="00797AC8">
        <w:rPr>
          <w:rFonts w:ascii="Arial" w:hAnsi="Arial" w:cs="Arial"/>
          <w:sz w:val="24"/>
          <w:szCs w:val="24"/>
        </w:rPr>
        <w:t xml:space="preserve">That a judgment by default granted by the registrar in terms of the Uniform Rules is deemed to be a judgment of the court in terms of section 23 of the Superior Courts Act does </w:t>
      </w:r>
      <w:r w:rsidR="009E247F" w:rsidRPr="00797AC8">
        <w:rPr>
          <w:rFonts w:ascii="Arial" w:hAnsi="Arial" w:cs="Arial"/>
          <w:sz w:val="24"/>
          <w:szCs w:val="24"/>
        </w:rPr>
        <w:t xml:space="preserve">not </w:t>
      </w:r>
      <w:r w:rsidR="00084E06" w:rsidRPr="00797AC8">
        <w:rPr>
          <w:rFonts w:ascii="Arial" w:hAnsi="Arial" w:cs="Arial"/>
          <w:sz w:val="24"/>
          <w:szCs w:val="24"/>
        </w:rPr>
        <w:t>equate to the registrar’s determination being the same as the judicial oversight required by those decisions.</w:t>
      </w:r>
    </w:p>
    <w:p w14:paraId="216770A1" w14:textId="2C163297" w:rsidR="009E247F" w:rsidRPr="00797AC8" w:rsidRDefault="00797AC8" w:rsidP="00797AC8">
      <w:pPr>
        <w:spacing w:before="360" w:after="360" w:line="480" w:lineRule="auto"/>
        <w:ind w:left="624" w:right="117" w:hanging="624"/>
        <w:jc w:val="both"/>
        <w:rPr>
          <w:rFonts w:ascii="Arial" w:hAnsi="Arial" w:cs="Arial"/>
          <w:strike/>
          <w:sz w:val="24"/>
          <w:szCs w:val="24"/>
        </w:rPr>
      </w:pPr>
      <w:bookmarkStart w:id="2" w:name="_Ref155194537"/>
      <w:r w:rsidRPr="00B867EF">
        <w:rPr>
          <w:rFonts w:ascii="Arial" w:hAnsi="Arial" w:cs="Arial"/>
          <w:sz w:val="24"/>
          <w:szCs w:val="24"/>
        </w:rPr>
        <w:t>46.</w:t>
      </w:r>
      <w:r w:rsidRPr="00B867EF">
        <w:rPr>
          <w:rFonts w:ascii="Arial" w:hAnsi="Arial" w:cs="Arial"/>
          <w:sz w:val="24"/>
          <w:szCs w:val="24"/>
        </w:rPr>
        <w:tab/>
      </w:r>
      <w:r w:rsidR="009E247F" w:rsidRPr="00797AC8">
        <w:rPr>
          <w:rFonts w:ascii="Arial" w:hAnsi="Arial" w:cs="Arial"/>
          <w:sz w:val="24"/>
          <w:szCs w:val="24"/>
        </w:rPr>
        <w:t>I also expressed some reservation whether the obligations and powers of the court as referred to in section 130(4) could meaningfully and appropriate</w:t>
      </w:r>
      <w:r w:rsidR="00B867EF" w:rsidRPr="00797AC8">
        <w:rPr>
          <w:rFonts w:ascii="Arial" w:hAnsi="Arial" w:cs="Arial"/>
          <w:sz w:val="24"/>
          <w:szCs w:val="24"/>
        </w:rPr>
        <w:t>ly</w:t>
      </w:r>
      <w:r w:rsidR="009E247F" w:rsidRPr="00797AC8">
        <w:rPr>
          <w:rFonts w:ascii="Arial" w:hAnsi="Arial" w:cs="Arial"/>
          <w:sz w:val="24"/>
          <w:szCs w:val="24"/>
        </w:rPr>
        <w:t xml:space="preserve"> be undertaken</w:t>
      </w:r>
      <w:r w:rsidR="009471D6" w:rsidRPr="00797AC8">
        <w:rPr>
          <w:rFonts w:ascii="Arial" w:hAnsi="Arial" w:cs="Arial"/>
          <w:sz w:val="24"/>
          <w:szCs w:val="24"/>
        </w:rPr>
        <w:t xml:space="preserve"> and exercised</w:t>
      </w:r>
      <w:r w:rsidR="009E247F" w:rsidRPr="00797AC8">
        <w:rPr>
          <w:rFonts w:ascii="Arial" w:hAnsi="Arial" w:cs="Arial"/>
          <w:sz w:val="24"/>
          <w:szCs w:val="24"/>
        </w:rPr>
        <w:t xml:space="preserve"> by the registrar, rather than in open court.</w:t>
      </w:r>
      <w:r w:rsidR="00B867EF" w:rsidRPr="00797AC8">
        <w:rPr>
          <w:rFonts w:ascii="Arial" w:hAnsi="Arial" w:cs="Arial"/>
          <w:sz w:val="24"/>
          <w:szCs w:val="24"/>
        </w:rPr>
        <w:t xml:space="preserve"> </w:t>
      </w:r>
      <w:r w:rsidR="009471D6" w:rsidRPr="00797AC8">
        <w:rPr>
          <w:rFonts w:ascii="Arial" w:hAnsi="Arial" w:cs="Arial"/>
          <w:sz w:val="24"/>
          <w:szCs w:val="24"/>
        </w:rPr>
        <w:t>Section</w:t>
      </w:r>
      <w:r w:rsidR="009E247F" w:rsidRPr="00797AC8">
        <w:rPr>
          <w:rFonts w:ascii="Arial" w:hAnsi="Arial" w:cs="Arial"/>
          <w:sz w:val="24"/>
          <w:szCs w:val="24"/>
        </w:rPr>
        <w:t xml:space="preserve"> 130(4)(a) provides that if the court determines that the credit agreement </w:t>
      </w:r>
      <w:r w:rsidR="00B867EF" w:rsidRPr="00797AC8">
        <w:rPr>
          <w:rFonts w:ascii="Arial" w:hAnsi="Arial" w:cs="Arial"/>
          <w:sz w:val="24"/>
          <w:szCs w:val="24"/>
        </w:rPr>
        <w:t xml:space="preserve">is </w:t>
      </w:r>
      <w:r w:rsidR="009E247F" w:rsidRPr="00797AC8">
        <w:rPr>
          <w:rFonts w:ascii="Arial" w:hAnsi="Arial" w:cs="Arial"/>
          <w:sz w:val="24"/>
          <w:szCs w:val="24"/>
        </w:rPr>
        <w:t xml:space="preserve">reckless as described in section </w:t>
      </w:r>
      <w:r w:rsidR="00B867EF" w:rsidRPr="00797AC8">
        <w:rPr>
          <w:rFonts w:ascii="Arial" w:hAnsi="Arial" w:cs="Arial"/>
          <w:sz w:val="24"/>
          <w:szCs w:val="24"/>
        </w:rPr>
        <w:t>8</w:t>
      </w:r>
      <w:r w:rsidR="009E247F" w:rsidRPr="00797AC8">
        <w:rPr>
          <w:rFonts w:ascii="Arial" w:hAnsi="Arial" w:cs="Arial"/>
          <w:sz w:val="24"/>
          <w:szCs w:val="24"/>
        </w:rPr>
        <w:t xml:space="preserve">0 of the NCA, the court must make an order </w:t>
      </w:r>
      <w:r w:rsidR="009471D6" w:rsidRPr="00797AC8">
        <w:rPr>
          <w:rFonts w:ascii="Arial" w:hAnsi="Arial" w:cs="Arial"/>
          <w:sz w:val="24"/>
          <w:szCs w:val="24"/>
        </w:rPr>
        <w:t>declaring</w:t>
      </w:r>
      <w:r w:rsidR="009E247F" w:rsidRPr="00797AC8">
        <w:rPr>
          <w:rFonts w:ascii="Arial" w:hAnsi="Arial" w:cs="Arial"/>
          <w:sz w:val="24"/>
          <w:szCs w:val="24"/>
        </w:rPr>
        <w:t xml:space="preserve"> the credit agreement reckless</w:t>
      </w:r>
      <w:r w:rsidR="009471D6" w:rsidRPr="00797AC8">
        <w:rPr>
          <w:rFonts w:ascii="Arial" w:hAnsi="Arial" w:cs="Arial"/>
          <w:sz w:val="24"/>
          <w:szCs w:val="24"/>
        </w:rPr>
        <w:t xml:space="preserve"> and may</w:t>
      </w:r>
      <w:r w:rsidR="009E247F" w:rsidRPr="00797AC8">
        <w:rPr>
          <w:rFonts w:ascii="Arial" w:hAnsi="Arial" w:cs="Arial"/>
          <w:sz w:val="24"/>
          <w:szCs w:val="24"/>
        </w:rPr>
        <w:t xml:space="preserve"> together with </w:t>
      </w:r>
      <w:r w:rsidR="009471D6" w:rsidRPr="00797AC8">
        <w:rPr>
          <w:rFonts w:ascii="Arial" w:hAnsi="Arial" w:cs="Arial"/>
          <w:sz w:val="24"/>
          <w:szCs w:val="24"/>
        </w:rPr>
        <w:t xml:space="preserve">that </w:t>
      </w:r>
      <w:r w:rsidR="009E247F" w:rsidRPr="00797AC8">
        <w:rPr>
          <w:rFonts w:ascii="Arial" w:hAnsi="Arial" w:cs="Arial"/>
          <w:sz w:val="24"/>
          <w:szCs w:val="24"/>
        </w:rPr>
        <w:t>order set aside all or part of the consumer’s rights and obligations under the agreement as the court determines just and reasonable in the circumstances, or suspend</w:t>
      </w:r>
      <w:r w:rsidR="00250086" w:rsidRPr="00797AC8">
        <w:rPr>
          <w:rFonts w:ascii="Arial" w:hAnsi="Arial" w:cs="Arial"/>
          <w:sz w:val="24"/>
          <w:szCs w:val="24"/>
        </w:rPr>
        <w:t xml:space="preserve"> the</w:t>
      </w:r>
      <w:r w:rsidR="009E247F" w:rsidRPr="00797AC8">
        <w:rPr>
          <w:rFonts w:ascii="Arial" w:hAnsi="Arial" w:cs="Arial"/>
          <w:sz w:val="24"/>
          <w:szCs w:val="24"/>
        </w:rPr>
        <w:t xml:space="preserve"> terms and effect of that credit agreement. This does not appear to be a</w:t>
      </w:r>
      <w:r w:rsidR="00B867EF" w:rsidRPr="00797AC8">
        <w:rPr>
          <w:rFonts w:ascii="Arial" w:hAnsi="Arial" w:cs="Arial"/>
          <w:sz w:val="24"/>
          <w:szCs w:val="24"/>
        </w:rPr>
        <w:t xml:space="preserve"> duty or</w:t>
      </w:r>
      <w:r w:rsidR="009E247F" w:rsidRPr="00797AC8">
        <w:rPr>
          <w:rFonts w:ascii="Arial" w:hAnsi="Arial" w:cs="Arial"/>
          <w:sz w:val="24"/>
          <w:szCs w:val="24"/>
        </w:rPr>
        <w:t xml:space="preserve"> power that is </w:t>
      </w:r>
      <w:r w:rsidR="000175A1" w:rsidRPr="00797AC8">
        <w:rPr>
          <w:rFonts w:ascii="Arial" w:hAnsi="Arial" w:cs="Arial"/>
          <w:sz w:val="24"/>
          <w:szCs w:val="24"/>
        </w:rPr>
        <w:t xml:space="preserve">readily </w:t>
      </w:r>
      <w:r w:rsidR="009E247F" w:rsidRPr="00797AC8">
        <w:rPr>
          <w:rFonts w:ascii="Arial" w:hAnsi="Arial" w:cs="Arial"/>
          <w:sz w:val="24"/>
          <w:szCs w:val="24"/>
        </w:rPr>
        <w:t xml:space="preserve">capable of being </w:t>
      </w:r>
      <w:r w:rsidR="00B867EF" w:rsidRPr="00797AC8">
        <w:rPr>
          <w:rFonts w:ascii="Arial" w:hAnsi="Arial" w:cs="Arial"/>
          <w:sz w:val="24"/>
          <w:szCs w:val="24"/>
        </w:rPr>
        <w:t xml:space="preserve">discharged or </w:t>
      </w:r>
      <w:r w:rsidR="009E247F" w:rsidRPr="00797AC8">
        <w:rPr>
          <w:rFonts w:ascii="Arial" w:hAnsi="Arial" w:cs="Arial"/>
          <w:sz w:val="24"/>
          <w:szCs w:val="24"/>
        </w:rPr>
        <w:t>exercised by the registrar.</w:t>
      </w:r>
      <w:r w:rsidR="00B867EF" w:rsidRPr="00797AC8">
        <w:rPr>
          <w:rFonts w:ascii="Arial" w:hAnsi="Arial" w:cs="Arial"/>
          <w:sz w:val="24"/>
          <w:szCs w:val="24"/>
        </w:rPr>
        <w:t xml:space="preserve"> So too in relation to several of the other powers of the court as referred to in terms of section 130(4), such as where the credit agreement is subject to a pending debt review</w:t>
      </w:r>
      <w:r w:rsidR="009471D6" w:rsidRPr="00797AC8">
        <w:rPr>
          <w:rFonts w:ascii="Arial" w:hAnsi="Arial" w:cs="Arial"/>
          <w:sz w:val="24"/>
          <w:szCs w:val="24"/>
        </w:rPr>
        <w:t xml:space="preserve"> or debt re-arrangement order or agreement</w:t>
      </w:r>
      <w:r w:rsidR="00B867EF" w:rsidRPr="00797AC8">
        <w:rPr>
          <w:rFonts w:ascii="Arial" w:hAnsi="Arial" w:cs="Arial"/>
          <w:sz w:val="24"/>
          <w:szCs w:val="24"/>
        </w:rPr>
        <w:t xml:space="preserve"> or where the matter </w:t>
      </w:r>
      <w:r w:rsidR="009471D6" w:rsidRPr="00797AC8">
        <w:rPr>
          <w:rFonts w:ascii="Arial" w:hAnsi="Arial" w:cs="Arial"/>
          <w:sz w:val="24"/>
          <w:szCs w:val="24"/>
        </w:rPr>
        <w:t>is</w:t>
      </w:r>
      <w:r w:rsidR="00B867EF" w:rsidRPr="00797AC8">
        <w:rPr>
          <w:rFonts w:ascii="Arial" w:hAnsi="Arial" w:cs="Arial"/>
          <w:sz w:val="24"/>
          <w:szCs w:val="24"/>
        </w:rPr>
        <w:t xml:space="preserve"> pending before the </w:t>
      </w:r>
      <w:r w:rsidR="009471D6" w:rsidRPr="00797AC8">
        <w:rPr>
          <w:rFonts w:ascii="Arial" w:hAnsi="Arial" w:cs="Arial"/>
          <w:sz w:val="24"/>
          <w:szCs w:val="24"/>
        </w:rPr>
        <w:t>National Consumer Tribunal.</w:t>
      </w:r>
      <w:bookmarkEnd w:id="2"/>
    </w:p>
    <w:p w14:paraId="29BF69F9" w14:textId="72797829" w:rsidR="009B7B64"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009471D6" w:rsidRPr="00797AC8">
        <w:rPr>
          <w:rFonts w:ascii="Arial" w:hAnsi="Arial" w:cs="Arial"/>
          <w:sz w:val="24"/>
          <w:szCs w:val="24"/>
        </w:rPr>
        <w:t xml:space="preserve">In response to these reservations, </w:t>
      </w:r>
      <w:r w:rsidR="009B7B64" w:rsidRPr="00797AC8">
        <w:rPr>
          <w:rFonts w:ascii="Arial" w:hAnsi="Arial" w:cs="Arial"/>
          <w:sz w:val="24"/>
          <w:szCs w:val="24"/>
        </w:rPr>
        <w:t xml:space="preserve">BASA </w:t>
      </w:r>
      <w:r w:rsidR="009471D6" w:rsidRPr="00797AC8">
        <w:rPr>
          <w:rFonts w:ascii="Arial" w:hAnsi="Arial" w:cs="Arial"/>
          <w:sz w:val="24"/>
          <w:szCs w:val="24"/>
        </w:rPr>
        <w:t xml:space="preserve">in particular </w:t>
      </w:r>
      <w:r w:rsidR="000D451F" w:rsidRPr="00797AC8">
        <w:rPr>
          <w:rFonts w:ascii="Arial" w:hAnsi="Arial" w:cs="Arial"/>
          <w:sz w:val="24"/>
          <w:szCs w:val="24"/>
        </w:rPr>
        <w:t xml:space="preserve">developed its argument </w:t>
      </w:r>
      <w:r w:rsidR="009B7B64" w:rsidRPr="00797AC8">
        <w:rPr>
          <w:rFonts w:ascii="Arial" w:hAnsi="Arial" w:cs="Arial"/>
          <w:sz w:val="24"/>
          <w:szCs w:val="24"/>
        </w:rPr>
        <w:t xml:space="preserve">as follows: </w:t>
      </w:r>
    </w:p>
    <w:p w14:paraId="70C86198" w14:textId="2D762192" w:rsidR="009B7B64" w:rsidRPr="00797AC8" w:rsidRDefault="00797AC8" w:rsidP="00797AC8">
      <w:pPr>
        <w:spacing w:before="360" w:after="360" w:line="480" w:lineRule="auto"/>
        <w:ind w:left="1418" w:right="117" w:hanging="794"/>
        <w:jc w:val="both"/>
        <w:rPr>
          <w:rFonts w:ascii="Arial" w:hAnsi="Arial" w:cs="Arial"/>
          <w:sz w:val="24"/>
          <w:szCs w:val="24"/>
        </w:rPr>
      </w:pPr>
      <w:r>
        <w:rPr>
          <w:rFonts w:ascii="Arial" w:hAnsi="Arial" w:cs="Arial"/>
          <w:sz w:val="24"/>
          <w:szCs w:val="24"/>
        </w:rPr>
        <w:t>47.1.</w:t>
      </w:r>
      <w:r>
        <w:rPr>
          <w:rFonts w:ascii="Arial" w:hAnsi="Arial" w:cs="Arial"/>
          <w:sz w:val="24"/>
          <w:szCs w:val="24"/>
        </w:rPr>
        <w:tab/>
      </w:r>
      <w:r w:rsidR="009B7B64" w:rsidRPr="00797AC8">
        <w:rPr>
          <w:rFonts w:ascii="Arial" w:hAnsi="Arial" w:cs="Arial"/>
          <w:sz w:val="24"/>
          <w:szCs w:val="24"/>
        </w:rPr>
        <w:t xml:space="preserve">section 130 of the NCA does require an oversight role but that role is </w:t>
      </w:r>
      <w:r w:rsidR="009D2D28" w:rsidRPr="00797AC8">
        <w:rPr>
          <w:rFonts w:ascii="Arial" w:hAnsi="Arial" w:cs="Arial"/>
          <w:sz w:val="24"/>
          <w:szCs w:val="24"/>
        </w:rPr>
        <w:t xml:space="preserve">not that of ‘judicial oversight’ in the form of a judge in open court; </w:t>
      </w:r>
    </w:p>
    <w:p w14:paraId="3280DB58" w14:textId="0C7149D0" w:rsidR="00501919" w:rsidRPr="00797AC8" w:rsidRDefault="00797AC8" w:rsidP="00797AC8">
      <w:pPr>
        <w:spacing w:before="360" w:after="360" w:line="480" w:lineRule="auto"/>
        <w:ind w:left="1418" w:right="117" w:hanging="794"/>
        <w:jc w:val="both"/>
        <w:rPr>
          <w:rFonts w:ascii="Arial" w:hAnsi="Arial" w:cs="Arial"/>
          <w:sz w:val="24"/>
          <w:szCs w:val="24"/>
        </w:rPr>
      </w:pPr>
      <w:r>
        <w:rPr>
          <w:rFonts w:ascii="Arial" w:hAnsi="Arial" w:cs="Arial"/>
          <w:sz w:val="24"/>
          <w:szCs w:val="24"/>
        </w:rPr>
        <w:t>47.2.</w:t>
      </w:r>
      <w:r>
        <w:rPr>
          <w:rFonts w:ascii="Arial" w:hAnsi="Arial" w:cs="Arial"/>
          <w:sz w:val="24"/>
          <w:szCs w:val="24"/>
        </w:rPr>
        <w:tab/>
      </w:r>
      <w:r w:rsidR="00501919" w:rsidRPr="00797AC8">
        <w:rPr>
          <w:rFonts w:ascii="Arial" w:hAnsi="Arial" w:cs="Arial"/>
          <w:sz w:val="24"/>
          <w:szCs w:val="24"/>
        </w:rPr>
        <w:t>there is no constitutional imperative that requires the oversight function to be fulfilled under section 130 to be confined to that of a judge in open court. This in contrast to the judicial oversight function as is required</w:t>
      </w:r>
      <w:r w:rsidR="00955F49" w:rsidRPr="00797AC8">
        <w:rPr>
          <w:rFonts w:ascii="Arial" w:hAnsi="Arial" w:cs="Arial"/>
          <w:sz w:val="24"/>
          <w:szCs w:val="24"/>
        </w:rPr>
        <w:t xml:space="preserve"> when the order is in relation to the execution </w:t>
      </w:r>
      <w:r w:rsidR="00DB0FB5" w:rsidRPr="00797AC8">
        <w:rPr>
          <w:rFonts w:ascii="Arial" w:hAnsi="Arial" w:cs="Arial"/>
          <w:sz w:val="24"/>
          <w:szCs w:val="24"/>
        </w:rPr>
        <w:t>against</w:t>
      </w:r>
      <w:r w:rsidR="00AE01FB" w:rsidRPr="00797AC8">
        <w:rPr>
          <w:rFonts w:ascii="Arial" w:hAnsi="Arial" w:cs="Arial"/>
          <w:sz w:val="24"/>
          <w:szCs w:val="24"/>
        </w:rPr>
        <w:t xml:space="preserve"> the debtor’s</w:t>
      </w:r>
      <w:r w:rsidR="00955F49" w:rsidRPr="00797AC8">
        <w:rPr>
          <w:rFonts w:ascii="Arial" w:hAnsi="Arial" w:cs="Arial"/>
          <w:sz w:val="24"/>
          <w:szCs w:val="24"/>
        </w:rPr>
        <w:t xml:space="preserve"> property</w:t>
      </w:r>
      <w:r w:rsidR="00501919" w:rsidRPr="00797AC8">
        <w:rPr>
          <w:rFonts w:ascii="Arial" w:hAnsi="Arial" w:cs="Arial"/>
          <w:sz w:val="24"/>
          <w:szCs w:val="24"/>
        </w:rPr>
        <w:t>, for example</w:t>
      </w:r>
      <w:r w:rsidR="00955F49" w:rsidRPr="00797AC8">
        <w:rPr>
          <w:rFonts w:ascii="Arial" w:hAnsi="Arial" w:cs="Arial"/>
          <w:sz w:val="24"/>
          <w:szCs w:val="24"/>
        </w:rPr>
        <w:t xml:space="preserve"> </w:t>
      </w:r>
      <w:r w:rsidR="00501919" w:rsidRPr="00797AC8">
        <w:rPr>
          <w:rFonts w:ascii="Arial" w:hAnsi="Arial" w:cs="Arial"/>
          <w:sz w:val="24"/>
          <w:szCs w:val="24"/>
        </w:rPr>
        <w:t xml:space="preserve">in </w:t>
      </w:r>
      <w:r w:rsidR="00955F49" w:rsidRPr="00797AC8">
        <w:rPr>
          <w:rFonts w:ascii="Arial" w:hAnsi="Arial" w:cs="Arial"/>
          <w:sz w:val="24"/>
          <w:szCs w:val="24"/>
        </w:rPr>
        <w:t>orders declaring residential property executable or</w:t>
      </w:r>
      <w:r w:rsidR="00DB0FB5" w:rsidRPr="00797AC8">
        <w:rPr>
          <w:rFonts w:ascii="Arial" w:hAnsi="Arial" w:cs="Arial"/>
          <w:sz w:val="24"/>
          <w:szCs w:val="24"/>
        </w:rPr>
        <w:t xml:space="preserve"> </w:t>
      </w:r>
      <w:r w:rsidR="00955F49" w:rsidRPr="00797AC8">
        <w:rPr>
          <w:rFonts w:ascii="Arial" w:hAnsi="Arial" w:cs="Arial"/>
          <w:sz w:val="24"/>
          <w:szCs w:val="24"/>
        </w:rPr>
        <w:t>emoluments attachment orders</w:t>
      </w:r>
      <w:r w:rsidR="000066BD" w:rsidRPr="00797AC8">
        <w:rPr>
          <w:rFonts w:ascii="Arial" w:hAnsi="Arial" w:cs="Arial"/>
          <w:sz w:val="24"/>
          <w:szCs w:val="24"/>
        </w:rPr>
        <w:t>. This, so the submissions go, is why the reliance on</w:t>
      </w:r>
      <w:r w:rsidR="000066BD" w:rsidRPr="00797AC8">
        <w:rPr>
          <w:rFonts w:ascii="Arial" w:hAnsi="Arial" w:cs="Arial"/>
          <w:i/>
          <w:iCs/>
          <w:sz w:val="24"/>
          <w:szCs w:val="24"/>
        </w:rPr>
        <w:t xml:space="preserve"> Nkata </w:t>
      </w:r>
      <w:r w:rsidR="000066BD" w:rsidRPr="00797AC8">
        <w:rPr>
          <w:rFonts w:ascii="Arial" w:hAnsi="Arial" w:cs="Arial"/>
          <w:sz w:val="24"/>
          <w:szCs w:val="24"/>
        </w:rPr>
        <w:t xml:space="preserve">and </w:t>
      </w:r>
      <w:r w:rsidR="000066BD" w:rsidRPr="00797AC8">
        <w:rPr>
          <w:rFonts w:ascii="Arial" w:hAnsi="Arial" w:cs="Arial"/>
          <w:i/>
          <w:iCs/>
          <w:sz w:val="24"/>
          <w:szCs w:val="24"/>
        </w:rPr>
        <w:t xml:space="preserve">University of Stellenbosch </w:t>
      </w:r>
      <w:r w:rsidR="000066BD" w:rsidRPr="00797AC8">
        <w:rPr>
          <w:rFonts w:ascii="Arial" w:hAnsi="Arial" w:cs="Arial"/>
          <w:sz w:val="24"/>
          <w:szCs w:val="24"/>
        </w:rPr>
        <w:t>is misplaced</w:t>
      </w:r>
      <w:r w:rsidR="00AE01FB" w:rsidRPr="00797AC8">
        <w:rPr>
          <w:rFonts w:ascii="Arial" w:hAnsi="Arial" w:cs="Arial"/>
          <w:sz w:val="24"/>
          <w:szCs w:val="24"/>
        </w:rPr>
        <w:t>.</w:t>
      </w:r>
    </w:p>
    <w:p w14:paraId="48AE4946" w14:textId="5A032FD2" w:rsidR="000066BD" w:rsidRPr="00797AC8" w:rsidRDefault="00797AC8" w:rsidP="00797AC8">
      <w:pPr>
        <w:spacing w:before="360" w:after="360" w:line="480" w:lineRule="auto"/>
        <w:ind w:left="1418" w:right="117" w:hanging="794"/>
        <w:jc w:val="both"/>
        <w:rPr>
          <w:rFonts w:ascii="Arial" w:hAnsi="Arial" w:cs="Arial"/>
          <w:sz w:val="24"/>
          <w:szCs w:val="24"/>
        </w:rPr>
      </w:pPr>
      <w:r w:rsidRPr="000066BD">
        <w:rPr>
          <w:rFonts w:ascii="Arial" w:hAnsi="Arial" w:cs="Arial"/>
          <w:sz w:val="24"/>
          <w:szCs w:val="24"/>
        </w:rPr>
        <w:t>47.3.</w:t>
      </w:r>
      <w:r w:rsidRPr="000066BD">
        <w:rPr>
          <w:rFonts w:ascii="Arial" w:hAnsi="Arial" w:cs="Arial"/>
          <w:sz w:val="24"/>
          <w:szCs w:val="24"/>
        </w:rPr>
        <w:tab/>
      </w:r>
      <w:r w:rsidR="000066BD" w:rsidRPr="00797AC8">
        <w:rPr>
          <w:rFonts w:ascii="Arial" w:hAnsi="Arial" w:cs="Arial"/>
          <w:sz w:val="24"/>
          <w:szCs w:val="24"/>
        </w:rPr>
        <w:t xml:space="preserve">the references to </w:t>
      </w:r>
      <w:r w:rsidR="00DB0FB5" w:rsidRPr="00797AC8">
        <w:rPr>
          <w:rFonts w:ascii="Arial" w:hAnsi="Arial" w:cs="Arial"/>
          <w:sz w:val="24"/>
          <w:szCs w:val="24"/>
        </w:rPr>
        <w:t>t</w:t>
      </w:r>
      <w:r w:rsidR="000066BD" w:rsidRPr="00797AC8">
        <w:rPr>
          <w:rFonts w:ascii="Arial" w:hAnsi="Arial" w:cs="Arial"/>
          <w:sz w:val="24"/>
          <w:szCs w:val="24"/>
        </w:rPr>
        <w:t xml:space="preserve">he </w:t>
      </w:r>
      <w:r w:rsidR="00DB0FB5" w:rsidRPr="00797AC8">
        <w:rPr>
          <w:rFonts w:ascii="Arial" w:hAnsi="Arial" w:cs="Arial"/>
          <w:sz w:val="24"/>
          <w:szCs w:val="24"/>
        </w:rPr>
        <w:t>‘</w:t>
      </w:r>
      <w:r w:rsidR="000066BD" w:rsidRPr="00797AC8">
        <w:rPr>
          <w:rFonts w:ascii="Arial" w:hAnsi="Arial" w:cs="Arial"/>
          <w:sz w:val="24"/>
          <w:szCs w:val="24"/>
        </w:rPr>
        <w:t xml:space="preserve">court’ in section 130 are </w:t>
      </w:r>
      <w:r w:rsidR="009D1837" w:rsidRPr="00797AC8">
        <w:rPr>
          <w:rFonts w:ascii="Arial" w:hAnsi="Arial" w:cs="Arial"/>
          <w:sz w:val="24"/>
          <w:szCs w:val="24"/>
        </w:rPr>
        <w:t xml:space="preserve">necessarily </w:t>
      </w:r>
      <w:r w:rsidR="000066BD" w:rsidRPr="00797AC8">
        <w:rPr>
          <w:rFonts w:ascii="Arial" w:hAnsi="Arial" w:cs="Arial"/>
          <w:sz w:val="24"/>
          <w:szCs w:val="24"/>
        </w:rPr>
        <w:t>to be interpreted as including the registrar</w:t>
      </w:r>
      <w:r w:rsidR="009D1837" w:rsidRPr="00797AC8">
        <w:rPr>
          <w:rFonts w:ascii="Arial" w:hAnsi="Arial" w:cs="Arial"/>
          <w:sz w:val="24"/>
          <w:szCs w:val="24"/>
        </w:rPr>
        <w:t xml:space="preserve">, based </w:t>
      </w:r>
      <w:r w:rsidR="006262A1" w:rsidRPr="00797AC8">
        <w:rPr>
          <w:rFonts w:ascii="Arial" w:hAnsi="Arial" w:cs="Arial"/>
          <w:i/>
          <w:iCs/>
          <w:sz w:val="24"/>
          <w:szCs w:val="24"/>
        </w:rPr>
        <w:t>inter alia</w:t>
      </w:r>
      <w:r w:rsidR="006262A1" w:rsidRPr="00797AC8">
        <w:rPr>
          <w:rFonts w:ascii="Arial" w:hAnsi="Arial" w:cs="Arial"/>
          <w:sz w:val="24"/>
          <w:szCs w:val="24"/>
        </w:rPr>
        <w:t xml:space="preserve"> </w:t>
      </w:r>
      <w:r w:rsidR="009D1837" w:rsidRPr="00797AC8">
        <w:rPr>
          <w:rFonts w:ascii="Arial" w:hAnsi="Arial" w:cs="Arial"/>
          <w:sz w:val="24"/>
          <w:szCs w:val="24"/>
        </w:rPr>
        <w:t>upon the ordinary meaning of the word and that the registrar</w:t>
      </w:r>
      <w:r w:rsidR="000066BD" w:rsidRPr="00797AC8">
        <w:rPr>
          <w:rFonts w:ascii="Arial" w:hAnsi="Arial" w:cs="Arial"/>
          <w:sz w:val="24"/>
          <w:szCs w:val="24"/>
        </w:rPr>
        <w:t xml:space="preserve"> </w:t>
      </w:r>
      <w:r w:rsidR="009D1837" w:rsidRPr="00797AC8">
        <w:rPr>
          <w:rFonts w:ascii="Arial" w:hAnsi="Arial" w:cs="Arial"/>
          <w:sz w:val="24"/>
          <w:szCs w:val="24"/>
        </w:rPr>
        <w:t xml:space="preserve">is </w:t>
      </w:r>
      <w:r w:rsidR="000066BD" w:rsidRPr="00797AC8">
        <w:rPr>
          <w:rFonts w:ascii="Arial" w:hAnsi="Arial" w:cs="Arial"/>
          <w:sz w:val="24"/>
          <w:szCs w:val="24"/>
        </w:rPr>
        <w:t xml:space="preserve">as part of the court. </w:t>
      </w:r>
      <w:r w:rsidR="00DB0FB5" w:rsidRPr="00797AC8">
        <w:rPr>
          <w:rFonts w:ascii="Arial" w:hAnsi="Arial" w:cs="Arial"/>
          <w:sz w:val="24"/>
          <w:szCs w:val="24"/>
        </w:rPr>
        <w:t>The submissions further rely on s</w:t>
      </w:r>
      <w:r w:rsidR="000066BD" w:rsidRPr="00797AC8">
        <w:rPr>
          <w:rFonts w:ascii="Arial" w:hAnsi="Arial" w:cs="Arial"/>
          <w:sz w:val="24"/>
          <w:szCs w:val="24"/>
        </w:rPr>
        <w:t>ection 11(1)(a) of the Superior Courts Act, which provides that a registrar must be appointed for each Division and describ</w:t>
      </w:r>
      <w:r w:rsidR="00DB0FB5" w:rsidRPr="00797AC8">
        <w:rPr>
          <w:rFonts w:ascii="Arial" w:hAnsi="Arial" w:cs="Arial"/>
          <w:sz w:val="24"/>
          <w:szCs w:val="24"/>
        </w:rPr>
        <w:t>es</w:t>
      </w:r>
      <w:r w:rsidR="000066BD" w:rsidRPr="00797AC8">
        <w:rPr>
          <w:rFonts w:ascii="Arial" w:hAnsi="Arial" w:cs="Arial"/>
          <w:sz w:val="24"/>
          <w:szCs w:val="24"/>
        </w:rPr>
        <w:t xml:space="preserve"> what is required of a registrar</w:t>
      </w:r>
      <w:r w:rsidR="00DB0FB5" w:rsidRPr="00797AC8">
        <w:rPr>
          <w:rFonts w:ascii="Arial" w:hAnsi="Arial" w:cs="Arial"/>
          <w:sz w:val="24"/>
          <w:szCs w:val="24"/>
        </w:rPr>
        <w:t>, including</w:t>
      </w:r>
      <w:r w:rsidR="000066BD" w:rsidRPr="00797AC8">
        <w:rPr>
          <w:rFonts w:ascii="Arial" w:hAnsi="Arial" w:cs="Arial"/>
          <w:sz w:val="24"/>
          <w:szCs w:val="24"/>
        </w:rPr>
        <w:t xml:space="preserve"> to do “</w:t>
      </w:r>
      <w:r w:rsidR="000066BD" w:rsidRPr="00797AC8">
        <w:rPr>
          <w:rFonts w:ascii="Arial" w:hAnsi="Arial" w:cs="Arial"/>
          <w:i/>
          <w:iCs/>
          <w:sz w:val="24"/>
          <w:szCs w:val="24"/>
        </w:rPr>
        <w:t>whatever may be required for the administration of justice or the execution of the powers and authorities of the said court</w:t>
      </w:r>
      <w:r w:rsidR="000066BD" w:rsidRPr="00797AC8">
        <w:rPr>
          <w:rFonts w:ascii="Arial" w:hAnsi="Arial" w:cs="Arial"/>
          <w:sz w:val="24"/>
          <w:szCs w:val="24"/>
        </w:rPr>
        <w:t xml:space="preserve">”; </w:t>
      </w:r>
    </w:p>
    <w:p w14:paraId="24D5A0A7" w14:textId="3CF6E7CB" w:rsidR="00501919" w:rsidRPr="00797AC8" w:rsidRDefault="00797AC8" w:rsidP="00797AC8">
      <w:pPr>
        <w:spacing w:before="360" w:after="360" w:line="480" w:lineRule="auto"/>
        <w:ind w:left="1418" w:right="117" w:hanging="794"/>
        <w:jc w:val="both"/>
        <w:rPr>
          <w:rFonts w:ascii="Arial" w:hAnsi="Arial" w:cs="Arial"/>
          <w:sz w:val="24"/>
          <w:szCs w:val="24"/>
        </w:rPr>
      </w:pPr>
      <w:r w:rsidRPr="00955F49">
        <w:rPr>
          <w:rFonts w:ascii="Arial" w:hAnsi="Arial" w:cs="Arial"/>
          <w:sz w:val="24"/>
          <w:szCs w:val="24"/>
        </w:rPr>
        <w:t>47.4.</w:t>
      </w:r>
      <w:r w:rsidRPr="00955F49">
        <w:rPr>
          <w:rFonts w:ascii="Arial" w:hAnsi="Arial" w:cs="Arial"/>
          <w:sz w:val="24"/>
          <w:szCs w:val="24"/>
        </w:rPr>
        <w:tab/>
      </w:r>
      <w:r w:rsidR="00955F49" w:rsidRPr="00797AC8">
        <w:rPr>
          <w:rFonts w:ascii="Arial" w:hAnsi="Arial" w:cs="Arial"/>
          <w:sz w:val="24"/>
          <w:szCs w:val="24"/>
        </w:rPr>
        <w:t xml:space="preserve">that the powers conferred upon the registrar in terms of </w:t>
      </w:r>
      <w:r w:rsidR="00A93F6E" w:rsidRPr="00797AC8">
        <w:rPr>
          <w:rFonts w:ascii="Arial" w:hAnsi="Arial" w:cs="Arial"/>
          <w:sz w:val="24"/>
          <w:szCs w:val="24"/>
        </w:rPr>
        <w:t>rule</w:t>
      </w:r>
      <w:r w:rsidR="00955F49" w:rsidRPr="00797AC8">
        <w:rPr>
          <w:rFonts w:ascii="Arial" w:hAnsi="Arial" w:cs="Arial"/>
          <w:sz w:val="24"/>
          <w:szCs w:val="24"/>
        </w:rPr>
        <w:t xml:space="preserve"> 31(5)(b) are wide enough to enable the registrar as part of the court to fulfil the functions required of </w:t>
      </w:r>
      <w:r w:rsidR="000066BD" w:rsidRPr="00797AC8">
        <w:rPr>
          <w:rFonts w:ascii="Arial" w:hAnsi="Arial" w:cs="Arial"/>
          <w:sz w:val="24"/>
          <w:szCs w:val="24"/>
        </w:rPr>
        <w:t>‘</w:t>
      </w:r>
      <w:r w:rsidR="00955F49" w:rsidRPr="00797AC8">
        <w:rPr>
          <w:rFonts w:ascii="Arial" w:hAnsi="Arial" w:cs="Arial"/>
          <w:sz w:val="24"/>
          <w:szCs w:val="24"/>
        </w:rPr>
        <w:t xml:space="preserve">the court’ in terms of section 130; </w:t>
      </w:r>
    </w:p>
    <w:p w14:paraId="04D2C81A" w14:textId="40F7071E" w:rsidR="00955F49" w:rsidRPr="00797AC8" w:rsidRDefault="00797AC8" w:rsidP="00797AC8">
      <w:pPr>
        <w:spacing w:before="360" w:after="360" w:line="480" w:lineRule="auto"/>
        <w:ind w:left="1418" w:right="117" w:hanging="794"/>
        <w:jc w:val="both"/>
        <w:rPr>
          <w:rFonts w:ascii="Arial" w:hAnsi="Arial" w:cs="Arial"/>
          <w:strike/>
          <w:sz w:val="24"/>
          <w:szCs w:val="24"/>
        </w:rPr>
      </w:pPr>
      <w:r w:rsidRPr="0022745C">
        <w:rPr>
          <w:rFonts w:ascii="Arial" w:hAnsi="Arial" w:cs="Arial"/>
          <w:sz w:val="24"/>
          <w:szCs w:val="24"/>
        </w:rPr>
        <w:lastRenderedPageBreak/>
        <w:t>47.5.</w:t>
      </w:r>
      <w:r w:rsidRPr="0022745C">
        <w:rPr>
          <w:rFonts w:ascii="Arial" w:hAnsi="Arial" w:cs="Arial"/>
          <w:sz w:val="24"/>
          <w:szCs w:val="24"/>
        </w:rPr>
        <w:tab/>
      </w:r>
      <w:r w:rsidR="00955F49" w:rsidRPr="00797AC8">
        <w:rPr>
          <w:rFonts w:ascii="Arial" w:hAnsi="Arial" w:cs="Arial"/>
          <w:sz w:val="24"/>
          <w:szCs w:val="24"/>
        </w:rPr>
        <w:t xml:space="preserve">as the registrar had no power to grant judgments other than in respect of default judgments, the fulfilment by the registrar </w:t>
      </w:r>
      <w:r w:rsidR="000066BD" w:rsidRPr="00797AC8">
        <w:rPr>
          <w:rFonts w:ascii="Arial" w:hAnsi="Arial" w:cs="Arial"/>
          <w:sz w:val="24"/>
          <w:szCs w:val="24"/>
        </w:rPr>
        <w:t xml:space="preserve">of its section 130 oversight function as </w:t>
      </w:r>
      <w:r w:rsidR="00955F49" w:rsidRPr="00797AC8">
        <w:rPr>
          <w:rFonts w:ascii="Arial" w:hAnsi="Arial" w:cs="Arial"/>
          <w:sz w:val="24"/>
          <w:szCs w:val="24"/>
        </w:rPr>
        <w:t xml:space="preserve">‘the court’ </w:t>
      </w:r>
      <w:r w:rsidR="00250086" w:rsidRPr="00797AC8">
        <w:rPr>
          <w:rFonts w:ascii="Arial" w:hAnsi="Arial" w:cs="Arial"/>
          <w:sz w:val="24"/>
          <w:szCs w:val="24"/>
        </w:rPr>
        <w:t xml:space="preserve">must be considered in that </w:t>
      </w:r>
      <w:r w:rsidR="000066BD" w:rsidRPr="00797AC8">
        <w:rPr>
          <w:rFonts w:ascii="Arial" w:hAnsi="Arial" w:cs="Arial"/>
          <w:sz w:val="24"/>
          <w:szCs w:val="24"/>
        </w:rPr>
        <w:t>context.</w:t>
      </w:r>
      <w:r w:rsidR="00250086" w:rsidRPr="00797AC8">
        <w:rPr>
          <w:rFonts w:ascii="Arial" w:hAnsi="Arial" w:cs="Arial"/>
          <w:sz w:val="24"/>
          <w:szCs w:val="24"/>
        </w:rPr>
        <w:t xml:space="preserve"> Issues such as whether the credit agreement is reckless, subject to a pending debt review or a debt re-arrangement order or agreement or whether the matter is pending before the National Consumer Tribunal, and the appropriate order to be made in those circumstances in terms of section 130(4) would not ordinarily arise in default judgment applications as typically that is something that would be placed before the court by the defendant consumer.</w:t>
      </w:r>
      <w:r w:rsidR="00610CCF" w:rsidRPr="00797AC8">
        <w:rPr>
          <w:rFonts w:ascii="Arial" w:hAnsi="Arial" w:cs="Arial"/>
          <w:sz w:val="24"/>
          <w:szCs w:val="24"/>
        </w:rPr>
        <w:t xml:space="preserve"> As the defendant consumer is in default of appearance to defend or of delivery</w:t>
      </w:r>
      <w:r w:rsidR="00DB0FB5" w:rsidRPr="00797AC8">
        <w:rPr>
          <w:rFonts w:ascii="Arial" w:hAnsi="Arial" w:cs="Arial"/>
          <w:sz w:val="24"/>
          <w:szCs w:val="24"/>
        </w:rPr>
        <w:t xml:space="preserve"> of</w:t>
      </w:r>
      <w:r w:rsidR="00610CCF" w:rsidRPr="00797AC8">
        <w:rPr>
          <w:rFonts w:ascii="Arial" w:hAnsi="Arial" w:cs="Arial"/>
          <w:sz w:val="24"/>
          <w:szCs w:val="24"/>
        </w:rPr>
        <w:t xml:space="preserve"> a plea, these issues would not ordinarily arise in applications for default judgment in terms of rule 31(5)(a).</w:t>
      </w:r>
      <w:r w:rsidR="00250086" w:rsidRPr="00797AC8">
        <w:rPr>
          <w:rFonts w:ascii="Arial" w:hAnsi="Arial" w:cs="Arial"/>
          <w:sz w:val="24"/>
          <w:szCs w:val="24"/>
        </w:rPr>
        <w:t xml:space="preserve"> In any event, the credit provider is required to place before the court certain information that would disavow the existence of at least</w:t>
      </w:r>
      <w:r w:rsidR="00DB0FB5" w:rsidRPr="00797AC8">
        <w:rPr>
          <w:rFonts w:ascii="Arial" w:hAnsi="Arial" w:cs="Arial"/>
          <w:sz w:val="24"/>
          <w:szCs w:val="24"/>
        </w:rPr>
        <w:t xml:space="preserve"> some</w:t>
      </w:r>
      <w:r w:rsidR="00250086" w:rsidRPr="00797AC8">
        <w:rPr>
          <w:rFonts w:ascii="Arial" w:hAnsi="Arial" w:cs="Arial"/>
          <w:sz w:val="24"/>
          <w:szCs w:val="24"/>
        </w:rPr>
        <w:t xml:space="preserve"> of </w:t>
      </w:r>
      <w:r w:rsidR="00610CCF" w:rsidRPr="00797AC8">
        <w:rPr>
          <w:rFonts w:ascii="Arial" w:hAnsi="Arial" w:cs="Arial"/>
          <w:sz w:val="24"/>
          <w:szCs w:val="24"/>
        </w:rPr>
        <w:t>th</w:t>
      </w:r>
      <w:r w:rsidR="0022745C" w:rsidRPr="00797AC8">
        <w:rPr>
          <w:rFonts w:ascii="Arial" w:hAnsi="Arial" w:cs="Arial"/>
          <w:sz w:val="24"/>
          <w:szCs w:val="24"/>
        </w:rPr>
        <w:t>es</w:t>
      </w:r>
      <w:r w:rsidR="00610CCF" w:rsidRPr="00797AC8">
        <w:rPr>
          <w:rFonts w:ascii="Arial" w:hAnsi="Arial" w:cs="Arial"/>
          <w:sz w:val="24"/>
          <w:szCs w:val="24"/>
        </w:rPr>
        <w:t>e</w:t>
      </w:r>
      <w:r w:rsidR="00250086" w:rsidRPr="00797AC8">
        <w:rPr>
          <w:rFonts w:ascii="Arial" w:hAnsi="Arial" w:cs="Arial"/>
          <w:sz w:val="24"/>
          <w:szCs w:val="24"/>
        </w:rPr>
        <w:t xml:space="preserve"> instances</w:t>
      </w:r>
      <w:r w:rsidR="00610CCF" w:rsidRPr="00797AC8">
        <w:rPr>
          <w:rFonts w:ascii="Arial" w:hAnsi="Arial" w:cs="Arial"/>
          <w:sz w:val="24"/>
          <w:szCs w:val="24"/>
        </w:rPr>
        <w:t>, such as appears from section 129(3)(b). Should these issues arise, then the registrar has sufficient powers in terms of rule 31(5)(b), including to require the matter to be set down in open court</w:t>
      </w:r>
      <w:r w:rsidR="0022745C" w:rsidRPr="00797AC8">
        <w:rPr>
          <w:rFonts w:ascii="Arial" w:hAnsi="Arial" w:cs="Arial"/>
          <w:sz w:val="24"/>
          <w:szCs w:val="24"/>
        </w:rPr>
        <w:t>.</w:t>
      </w:r>
    </w:p>
    <w:p w14:paraId="5D284E74" w14:textId="61719DFB" w:rsidR="00356943" w:rsidRPr="00797AC8" w:rsidRDefault="00797AC8" w:rsidP="00797AC8">
      <w:pPr>
        <w:spacing w:before="360" w:after="360" w:line="480" w:lineRule="auto"/>
        <w:ind w:left="624" w:right="117" w:hanging="624"/>
        <w:jc w:val="both"/>
        <w:rPr>
          <w:rFonts w:ascii="Arial" w:hAnsi="Arial" w:cs="Arial"/>
          <w:strike/>
          <w:sz w:val="24"/>
          <w:szCs w:val="24"/>
        </w:rPr>
      </w:pPr>
      <w:r w:rsidRPr="00356943">
        <w:rPr>
          <w:rFonts w:ascii="Arial" w:hAnsi="Arial" w:cs="Arial"/>
          <w:sz w:val="24"/>
          <w:szCs w:val="24"/>
        </w:rPr>
        <w:t>48.</w:t>
      </w:r>
      <w:r w:rsidRPr="00356943">
        <w:rPr>
          <w:rFonts w:ascii="Arial" w:hAnsi="Arial" w:cs="Arial"/>
          <w:sz w:val="24"/>
          <w:szCs w:val="24"/>
        </w:rPr>
        <w:tab/>
      </w:r>
      <w:r w:rsidR="0022745C" w:rsidRPr="00797AC8">
        <w:rPr>
          <w:rFonts w:ascii="Arial" w:hAnsi="Arial" w:cs="Arial"/>
          <w:sz w:val="24"/>
          <w:szCs w:val="24"/>
        </w:rPr>
        <w:t xml:space="preserve">I </w:t>
      </w:r>
      <w:r w:rsidR="00EA5EB0" w:rsidRPr="00797AC8">
        <w:rPr>
          <w:rFonts w:ascii="Arial" w:hAnsi="Arial" w:cs="Arial"/>
          <w:sz w:val="24"/>
          <w:szCs w:val="24"/>
        </w:rPr>
        <w:t>have doubts</w:t>
      </w:r>
      <w:r w:rsidR="0022745C" w:rsidRPr="00797AC8">
        <w:rPr>
          <w:rFonts w:ascii="Arial" w:hAnsi="Arial" w:cs="Arial"/>
          <w:sz w:val="24"/>
          <w:szCs w:val="24"/>
        </w:rPr>
        <w:t xml:space="preserve"> that the registrar </w:t>
      </w:r>
      <w:r w:rsidR="00EA5EB0" w:rsidRPr="00797AC8">
        <w:rPr>
          <w:rFonts w:ascii="Arial" w:hAnsi="Arial" w:cs="Arial"/>
          <w:sz w:val="24"/>
          <w:szCs w:val="24"/>
        </w:rPr>
        <w:t>is structurally part of</w:t>
      </w:r>
      <w:r w:rsidR="0022745C" w:rsidRPr="00797AC8">
        <w:rPr>
          <w:rFonts w:ascii="Arial" w:hAnsi="Arial" w:cs="Arial"/>
          <w:sz w:val="24"/>
          <w:szCs w:val="24"/>
        </w:rPr>
        <w:t xml:space="preserve"> the court</w:t>
      </w:r>
      <w:r w:rsidR="00EA5EB0" w:rsidRPr="00797AC8">
        <w:rPr>
          <w:rFonts w:ascii="Arial" w:hAnsi="Arial" w:cs="Arial"/>
          <w:sz w:val="24"/>
          <w:szCs w:val="24"/>
        </w:rPr>
        <w:t xml:space="preserve"> </w:t>
      </w:r>
      <w:r w:rsidR="0022745C" w:rsidRPr="00797AC8">
        <w:rPr>
          <w:rFonts w:ascii="Arial" w:hAnsi="Arial" w:cs="Arial"/>
          <w:sz w:val="24"/>
          <w:szCs w:val="24"/>
        </w:rPr>
        <w:t>in the sense submitted by BASA</w:t>
      </w:r>
      <w:r w:rsidR="004A7C3B" w:rsidRPr="00797AC8">
        <w:rPr>
          <w:rFonts w:ascii="Arial" w:hAnsi="Arial" w:cs="Arial"/>
          <w:sz w:val="24"/>
          <w:szCs w:val="24"/>
        </w:rPr>
        <w:t xml:space="preserve"> upon its interpretation of the Superior Courts Act</w:t>
      </w:r>
      <w:r w:rsidR="00481709" w:rsidRPr="00797AC8">
        <w:rPr>
          <w:rFonts w:ascii="Arial" w:hAnsi="Arial" w:cs="Arial"/>
          <w:sz w:val="24"/>
          <w:szCs w:val="24"/>
        </w:rPr>
        <w:t xml:space="preserve">. But </w:t>
      </w:r>
      <w:r w:rsidR="0022745C" w:rsidRPr="00797AC8">
        <w:rPr>
          <w:rFonts w:ascii="Arial" w:hAnsi="Arial" w:cs="Arial"/>
          <w:sz w:val="24"/>
          <w:szCs w:val="24"/>
        </w:rPr>
        <w:t>I do favour the submission</w:t>
      </w:r>
      <w:r w:rsidR="00481709" w:rsidRPr="00797AC8">
        <w:rPr>
          <w:rFonts w:ascii="Arial" w:hAnsi="Arial" w:cs="Arial"/>
          <w:sz w:val="24"/>
          <w:szCs w:val="24"/>
        </w:rPr>
        <w:t xml:space="preserve">s, which </w:t>
      </w:r>
      <w:r w:rsidR="00DB0FB5" w:rsidRPr="00797AC8">
        <w:rPr>
          <w:rFonts w:ascii="Arial" w:hAnsi="Arial" w:cs="Arial"/>
          <w:sz w:val="24"/>
          <w:szCs w:val="24"/>
        </w:rPr>
        <w:t>align</w:t>
      </w:r>
      <w:r w:rsidR="00481709" w:rsidRPr="00797AC8">
        <w:rPr>
          <w:rFonts w:ascii="Arial" w:hAnsi="Arial" w:cs="Arial"/>
          <w:sz w:val="24"/>
          <w:szCs w:val="24"/>
        </w:rPr>
        <w:t xml:space="preserve"> with those of the applicant,</w:t>
      </w:r>
      <w:r w:rsidR="0022745C" w:rsidRPr="00797AC8">
        <w:rPr>
          <w:rFonts w:ascii="Arial" w:hAnsi="Arial" w:cs="Arial"/>
          <w:sz w:val="24"/>
          <w:szCs w:val="24"/>
        </w:rPr>
        <w:t xml:space="preserve"> that the oversight required by section 130 is not the kind of ‘judicial </w:t>
      </w:r>
      <w:r w:rsidR="00AE01FB" w:rsidRPr="00797AC8">
        <w:rPr>
          <w:rFonts w:ascii="Arial" w:hAnsi="Arial" w:cs="Arial"/>
          <w:sz w:val="24"/>
          <w:szCs w:val="24"/>
        </w:rPr>
        <w:t>supervision</w:t>
      </w:r>
      <w:r w:rsidR="0022745C" w:rsidRPr="00797AC8">
        <w:rPr>
          <w:rFonts w:ascii="Arial" w:hAnsi="Arial" w:cs="Arial"/>
          <w:sz w:val="24"/>
          <w:szCs w:val="24"/>
        </w:rPr>
        <w:t>’ as contemplated in</w:t>
      </w:r>
      <w:r w:rsidR="00AE01FB" w:rsidRPr="00797AC8">
        <w:rPr>
          <w:rFonts w:ascii="Arial" w:hAnsi="Arial" w:cs="Arial"/>
          <w:sz w:val="24"/>
          <w:szCs w:val="24"/>
        </w:rPr>
        <w:t xml:space="preserve"> the judgments</w:t>
      </w:r>
      <w:r w:rsidR="0022745C" w:rsidRPr="00797AC8">
        <w:rPr>
          <w:rFonts w:ascii="Arial" w:hAnsi="Arial" w:cs="Arial"/>
          <w:sz w:val="24"/>
          <w:szCs w:val="24"/>
        </w:rPr>
        <w:t xml:space="preserve"> that deal with judicial </w:t>
      </w:r>
      <w:r w:rsidR="00FE5D19" w:rsidRPr="00797AC8">
        <w:rPr>
          <w:rFonts w:ascii="Arial" w:hAnsi="Arial" w:cs="Arial"/>
          <w:sz w:val="24"/>
          <w:szCs w:val="24"/>
        </w:rPr>
        <w:t>supervision</w:t>
      </w:r>
      <w:r w:rsidR="0022745C" w:rsidRPr="00797AC8">
        <w:rPr>
          <w:rFonts w:ascii="Arial" w:hAnsi="Arial" w:cs="Arial"/>
          <w:sz w:val="24"/>
          <w:szCs w:val="24"/>
        </w:rPr>
        <w:t xml:space="preserve"> of execution orders</w:t>
      </w:r>
      <w:r w:rsidR="00481709" w:rsidRPr="00797AC8">
        <w:rPr>
          <w:rFonts w:ascii="Arial" w:hAnsi="Arial" w:cs="Arial"/>
          <w:sz w:val="24"/>
          <w:szCs w:val="24"/>
        </w:rPr>
        <w:t>, and which oversight can be adequately performed by the register using its prescribed powers in terms of rule 31(5)(b)(i) to (vi)</w:t>
      </w:r>
      <w:r w:rsidR="00356943" w:rsidRPr="00797AC8">
        <w:rPr>
          <w:rFonts w:ascii="Arial" w:hAnsi="Arial" w:cs="Arial"/>
          <w:sz w:val="24"/>
          <w:szCs w:val="24"/>
        </w:rPr>
        <w:t xml:space="preserve">. This appears to </w:t>
      </w:r>
      <w:r w:rsidR="00356943" w:rsidRPr="00797AC8">
        <w:rPr>
          <w:rFonts w:ascii="Arial" w:hAnsi="Arial" w:cs="Arial"/>
          <w:sz w:val="24"/>
          <w:szCs w:val="24"/>
        </w:rPr>
        <w:lastRenderedPageBreak/>
        <w:t>accord with what Tl</w:t>
      </w:r>
      <w:r w:rsidR="00C35025" w:rsidRPr="00797AC8">
        <w:rPr>
          <w:rFonts w:ascii="Arial" w:hAnsi="Arial" w:cs="Arial"/>
          <w:sz w:val="24"/>
          <w:szCs w:val="24"/>
        </w:rPr>
        <w:t>h</w:t>
      </w:r>
      <w:r w:rsidR="00356943" w:rsidRPr="00797AC8">
        <w:rPr>
          <w:rFonts w:ascii="Arial" w:hAnsi="Arial" w:cs="Arial"/>
          <w:sz w:val="24"/>
          <w:szCs w:val="24"/>
        </w:rPr>
        <w:t xml:space="preserve">api J </w:t>
      </w:r>
      <w:r w:rsidR="00481709" w:rsidRPr="00797AC8">
        <w:rPr>
          <w:rFonts w:ascii="Arial" w:hAnsi="Arial" w:cs="Arial"/>
          <w:sz w:val="24"/>
          <w:szCs w:val="24"/>
        </w:rPr>
        <w:t xml:space="preserve">was </w:t>
      </w:r>
      <w:r w:rsidR="009D68A7" w:rsidRPr="00797AC8">
        <w:rPr>
          <w:rFonts w:ascii="Arial" w:hAnsi="Arial" w:cs="Arial"/>
          <w:sz w:val="24"/>
          <w:szCs w:val="24"/>
        </w:rPr>
        <w:t xml:space="preserve">expressing in paragraph 15 of her judgment </w:t>
      </w:r>
      <w:r w:rsidR="000C0982" w:rsidRPr="00797AC8">
        <w:rPr>
          <w:rFonts w:ascii="Arial" w:hAnsi="Arial" w:cs="Arial"/>
          <w:sz w:val="24"/>
          <w:szCs w:val="24"/>
        </w:rPr>
        <w:t xml:space="preserve">of </w:t>
      </w:r>
      <w:r w:rsidR="00356943" w:rsidRPr="00797AC8">
        <w:rPr>
          <w:rFonts w:ascii="Arial" w:hAnsi="Arial" w:cs="Arial"/>
          <w:sz w:val="24"/>
          <w:szCs w:val="24"/>
        </w:rPr>
        <w:t xml:space="preserve">this Division </w:t>
      </w:r>
      <w:r w:rsidR="000C0982" w:rsidRPr="00797AC8">
        <w:rPr>
          <w:rFonts w:ascii="Arial" w:hAnsi="Arial" w:cs="Arial"/>
          <w:sz w:val="24"/>
          <w:szCs w:val="24"/>
        </w:rPr>
        <w:t xml:space="preserve">in </w:t>
      </w:r>
      <w:r w:rsidR="00356943" w:rsidRPr="00797AC8">
        <w:rPr>
          <w:rFonts w:ascii="Arial" w:hAnsi="Arial" w:cs="Arial"/>
          <w:i/>
          <w:iCs/>
          <w:sz w:val="24"/>
          <w:szCs w:val="24"/>
        </w:rPr>
        <w:t>Du Plessis</w:t>
      </w:r>
      <w:r w:rsidR="009D68A7" w:rsidRPr="00797AC8">
        <w:rPr>
          <w:rFonts w:ascii="Arial" w:hAnsi="Arial" w:cs="Arial"/>
          <w:sz w:val="24"/>
          <w:szCs w:val="24"/>
        </w:rPr>
        <w:t xml:space="preserve">, which is that the function undertaken by the registrar is administrative and which the registrar is able to effectively discharge by having the necessary knowledge to make decisions </w:t>
      </w:r>
      <w:r w:rsidR="004A3831" w:rsidRPr="00797AC8">
        <w:rPr>
          <w:rFonts w:ascii="Arial" w:hAnsi="Arial" w:cs="Arial"/>
          <w:sz w:val="24"/>
          <w:szCs w:val="24"/>
        </w:rPr>
        <w:t xml:space="preserve">and </w:t>
      </w:r>
      <w:r w:rsidR="009D68A7" w:rsidRPr="00797AC8">
        <w:rPr>
          <w:rFonts w:ascii="Arial" w:hAnsi="Arial" w:cs="Arial"/>
          <w:sz w:val="24"/>
          <w:szCs w:val="24"/>
        </w:rPr>
        <w:t xml:space="preserve">by exercising </w:t>
      </w:r>
      <w:r w:rsidR="004A3831" w:rsidRPr="00797AC8">
        <w:rPr>
          <w:rFonts w:ascii="Arial" w:hAnsi="Arial" w:cs="Arial"/>
          <w:sz w:val="24"/>
          <w:szCs w:val="24"/>
        </w:rPr>
        <w:t>its prescribed</w:t>
      </w:r>
      <w:r w:rsidR="009D68A7" w:rsidRPr="00797AC8">
        <w:rPr>
          <w:rFonts w:ascii="Arial" w:hAnsi="Arial" w:cs="Arial"/>
          <w:sz w:val="24"/>
          <w:szCs w:val="24"/>
        </w:rPr>
        <w:t xml:space="preserve"> powers in terms of rule 31(5)(b)(i) to (vi).</w:t>
      </w:r>
      <w:r w:rsidR="006262A1" w:rsidRPr="00797AC8">
        <w:rPr>
          <w:rFonts w:ascii="Arial" w:hAnsi="Arial" w:cs="Arial"/>
          <w:sz w:val="24"/>
          <w:szCs w:val="24"/>
        </w:rPr>
        <w:t xml:space="preserve"> This was also found in </w:t>
      </w:r>
      <w:r w:rsidR="006262A1" w:rsidRPr="00797AC8">
        <w:rPr>
          <w:rFonts w:ascii="Arial" w:hAnsi="Arial" w:cs="Arial"/>
          <w:i/>
          <w:iCs/>
          <w:sz w:val="24"/>
          <w:szCs w:val="24"/>
        </w:rPr>
        <w:t xml:space="preserve">Mollentze </w:t>
      </w:r>
      <w:r w:rsidR="006262A1" w:rsidRPr="00797AC8">
        <w:rPr>
          <w:rFonts w:ascii="Arial" w:hAnsi="Arial" w:cs="Arial"/>
          <w:sz w:val="24"/>
          <w:szCs w:val="24"/>
        </w:rPr>
        <w:t>in paragraphs 30 and 31 that the nature of the work of the registrar in considering the granting of default judgment is about procedural compliance.</w:t>
      </w:r>
    </w:p>
    <w:p w14:paraId="4C194B01" w14:textId="52F30493" w:rsidR="00FC5F93"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E01FB" w:rsidRPr="00797AC8">
        <w:rPr>
          <w:rFonts w:ascii="Arial" w:hAnsi="Arial" w:cs="Arial"/>
          <w:sz w:val="24"/>
          <w:szCs w:val="24"/>
        </w:rPr>
        <w:t xml:space="preserve">The majority judgment in </w:t>
      </w:r>
      <w:r w:rsidR="00AE01FB" w:rsidRPr="00797AC8">
        <w:rPr>
          <w:rFonts w:ascii="Arial" w:hAnsi="Arial" w:cs="Arial"/>
          <w:i/>
          <w:iCs/>
          <w:sz w:val="24"/>
          <w:szCs w:val="24"/>
        </w:rPr>
        <w:t>University of Stellenbosch</w:t>
      </w:r>
      <w:r w:rsidR="00AE01FB" w:rsidRPr="00797AC8">
        <w:rPr>
          <w:rFonts w:ascii="Arial" w:hAnsi="Arial" w:cs="Arial"/>
          <w:sz w:val="24"/>
          <w:szCs w:val="24"/>
        </w:rPr>
        <w:t xml:space="preserve"> </w:t>
      </w:r>
      <w:r w:rsidR="00FE5D19" w:rsidRPr="00797AC8">
        <w:rPr>
          <w:rFonts w:ascii="Arial" w:hAnsi="Arial" w:cs="Arial"/>
          <w:sz w:val="24"/>
          <w:szCs w:val="24"/>
        </w:rPr>
        <w:t xml:space="preserve">affirmed in paragraph 129 </w:t>
      </w:r>
      <w:r w:rsidR="00AE01FB" w:rsidRPr="00797AC8">
        <w:rPr>
          <w:rFonts w:ascii="Arial" w:hAnsi="Arial" w:cs="Arial"/>
          <w:sz w:val="24"/>
          <w:szCs w:val="24"/>
        </w:rPr>
        <w:t>that</w:t>
      </w:r>
      <w:r w:rsidR="00FE5D19" w:rsidRPr="00797AC8">
        <w:rPr>
          <w:rFonts w:ascii="Arial" w:hAnsi="Arial" w:cs="Arial"/>
          <w:sz w:val="24"/>
          <w:szCs w:val="24"/>
        </w:rPr>
        <w:t xml:space="preserve"> the Constitution</w:t>
      </w:r>
      <w:r w:rsidR="00976586" w:rsidRPr="00797AC8">
        <w:rPr>
          <w:rFonts w:ascii="Arial" w:hAnsi="Arial" w:cs="Arial"/>
          <w:sz w:val="24"/>
          <w:szCs w:val="24"/>
        </w:rPr>
        <w:t xml:space="preserve"> </w:t>
      </w:r>
      <w:r w:rsidR="00DB0FB5" w:rsidRPr="00797AC8">
        <w:rPr>
          <w:rFonts w:ascii="Arial" w:hAnsi="Arial" w:cs="Arial"/>
          <w:sz w:val="24"/>
          <w:szCs w:val="24"/>
        </w:rPr>
        <w:t>requires</w:t>
      </w:r>
      <w:r w:rsidR="00AE01FB" w:rsidRPr="00797AC8">
        <w:rPr>
          <w:rFonts w:ascii="Arial" w:hAnsi="Arial" w:cs="Arial"/>
          <w:sz w:val="24"/>
          <w:szCs w:val="24"/>
        </w:rPr>
        <w:t xml:space="preserve"> judicial </w:t>
      </w:r>
      <w:r w:rsidR="00FE5D19" w:rsidRPr="00797AC8">
        <w:rPr>
          <w:rFonts w:ascii="Arial" w:hAnsi="Arial" w:cs="Arial"/>
          <w:sz w:val="24"/>
          <w:szCs w:val="24"/>
        </w:rPr>
        <w:t xml:space="preserve">supervision where an applicant seeks an order to execute against or seize control of the property of another person. In that matter, the emoluments attachment orders that were the subject of the decision were execution orders against the debtor’s wages. In foreclosure proceedings, the execution orders are against the debtor’s home. </w:t>
      </w:r>
      <w:r w:rsidR="008F5388" w:rsidRPr="00797AC8">
        <w:rPr>
          <w:rFonts w:ascii="Arial" w:hAnsi="Arial" w:cs="Arial"/>
          <w:i/>
          <w:iCs/>
          <w:sz w:val="24"/>
          <w:szCs w:val="24"/>
        </w:rPr>
        <w:t>Nkata</w:t>
      </w:r>
      <w:r w:rsidR="008F5388" w:rsidRPr="00797AC8">
        <w:rPr>
          <w:rFonts w:ascii="Arial" w:hAnsi="Arial" w:cs="Arial"/>
          <w:sz w:val="24"/>
          <w:szCs w:val="24"/>
        </w:rPr>
        <w:t xml:space="preserve"> was a matter relating to the execution on the debtor’s home.  In contrast, in the present instance</w:t>
      </w:r>
      <w:r w:rsidR="00FC5F93" w:rsidRPr="00797AC8">
        <w:rPr>
          <w:rFonts w:ascii="Arial" w:hAnsi="Arial" w:cs="Arial"/>
          <w:sz w:val="24"/>
          <w:szCs w:val="24"/>
        </w:rPr>
        <w:t xml:space="preserve"> in those matters where the applicant seeks the return of the vehicle, the order relates not to the debtor’s property but to the applicant’s property as the applicant as the credit provider</w:t>
      </w:r>
      <w:r w:rsidR="00DB0FB5" w:rsidRPr="00797AC8">
        <w:rPr>
          <w:rFonts w:ascii="Arial" w:hAnsi="Arial" w:cs="Arial"/>
          <w:sz w:val="24"/>
          <w:szCs w:val="24"/>
        </w:rPr>
        <w:t xml:space="preserve"> has</w:t>
      </w:r>
      <w:r w:rsidR="00FC5F93" w:rsidRPr="00797AC8">
        <w:rPr>
          <w:rFonts w:ascii="Arial" w:hAnsi="Arial" w:cs="Arial"/>
          <w:sz w:val="24"/>
          <w:szCs w:val="24"/>
        </w:rPr>
        <w:t xml:space="preserve"> reserved ownership of the vehicle until it is paid.</w:t>
      </w:r>
    </w:p>
    <w:p w14:paraId="29ABD36B" w14:textId="41C88C56" w:rsidR="003A2A93" w:rsidRPr="00797AC8" w:rsidRDefault="00797AC8" w:rsidP="00797AC8">
      <w:pPr>
        <w:spacing w:before="360" w:after="360" w:line="480" w:lineRule="auto"/>
        <w:ind w:left="624" w:right="117" w:hanging="624"/>
        <w:jc w:val="both"/>
        <w:rPr>
          <w:rFonts w:ascii="Arial" w:hAnsi="Arial" w:cs="Arial"/>
          <w:sz w:val="24"/>
          <w:szCs w:val="24"/>
        </w:rPr>
      </w:pPr>
      <w:r w:rsidRPr="00006CBC">
        <w:rPr>
          <w:rFonts w:ascii="Arial" w:hAnsi="Arial" w:cs="Arial"/>
          <w:sz w:val="24"/>
          <w:szCs w:val="24"/>
        </w:rPr>
        <w:t>50.</w:t>
      </w:r>
      <w:r w:rsidRPr="00006CBC">
        <w:rPr>
          <w:rFonts w:ascii="Arial" w:hAnsi="Arial" w:cs="Arial"/>
          <w:sz w:val="24"/>
          <w:szCs w:val="24"/>
        </w:rPr>
        <w:tab/>
      </w:r>
      <w:r w:rsidR="003A2A93" w:rsidRPr="00797AC8">
        <w:rPr>
          <w:rFonts w:ascii="Arial" w:hAnsi="Arial" w:cs="Arial"/>
          <w:sz w:val="24"/>
          <w:szCs w:val="24"/>
        </w:rPr>
        <w:t xml:space="preserve">The parties </w:t>
      </w:r>
      <w:r w:rsidR="00A93F6E" w:rsidRPr="00797AC8">
        <w:rPr>
          <w:rFonts w:ascii="Arial" w:hAnsi="Arial" w:cs="Arial"/>
          <w:sz w:val="24"/>
          <w:szCs w:val="24"/>
        </w:rPr>
        <w:t xml:space="preserve">have not placed before me </w:t>
      </w:r>
      <w:r w:rsidR="003A2A93" w:rsidRPr="00797AC8">
        <w:rPr>
          <w:rFonts w:ascii="Arial" w:hAnsi="Arial" w:cs="Arial"/>
          <w:sz w:val="24"/>
          <w:szCs w:val="24"/>
        </w:rPr>
        <w:t xml:space="preserve">any facts why a particular interpretation would be contrary to the purpose of the NCA, or prejudicial to the banking industry. The facts would have to have been in affidavits </w:t>
      </w:r>
      <w:r w:rsidR="00D836C7" w:rsidRPr="00797AC8">
        <w:rPr>
          <w:rFonts w:ascii="Arial" w:hAnsi="Arial" w:cs="Arial"/>
          <w:sz w:val="24"/>
          <w:szCs w:val="24"/>
        </w:rPr>
        <w:t xml:space="preserve">filed </w:t>
      </w:r>
      <w:r w:rsidR="003A2A93" w:rsidRPr="00797AC8">
        <w:rPr>
          <w:rFonts w:ascii="Arial" w:hAnsi="Arial" w:cs="Arial"/>
          <w:sz w:val="24"/>
          <w:szCs w:val="24"/>
        </w:rPr>
        <w:t xml:space="preserve">by the parties. The applicant bank in each of the matters did not file any affidavits. In any event, the averments in their </w:t>
      </w:r>
      <w:r w:rsidR="00006CBC" w:rsidRPr="00797AC8">
        <w:rPr>
          <w:rFonts w:ascii="Arial" w:hAnsi="Arial" w:cs="Arial"/>
          <w:sz w:val="24"/>
          <w:szCs w:val="24"/>
        </w:rPr>
        <w:t xml:space="preserve">particulars of claim </w:t>
      </w:r>
      <w:r w:rsidR="003A2A93" w:rsidRPr="00797AC8">
        <w:rPr>
          <w:rFonts w:ascii="Arial" w:hAnsi="Arial" w:cs="Arial"/>
          <w:sz w:val="24"/>
          <w:szCs w:val="24"/>
        </w:rPr>
        <w:t xml:space="preserve">went no further than the </w:t>
      </w:r>
      <w:r w:rsidR="00D836C7" w:rsidRPr="00797AC8">
        <w:rPr>
          <w:rFonts w:ascii="Arial" w:hAnsi="Arial" w:cs="Arial"/>
          <w:sz w:val="24"/>
          <w:szCs w:val="24"/>
        </w:rPr>
        <w:t xml:space="preserve">usual </w:t>
      </w:r>
      <w:r w:rsidR="003A2A93" w:rsidRPr="00797AC8">
        <w:rPr>
          <w:rFonts w:ascii="Arial" w:hAnsi="Arial" w:cs="Arial"/>
          <w:sz w:val="24"/>
          <w:szCs w:val="24"/>
        </w:rPr>
        <w:lastRenderedPageBreak/>
        <w:t xml:space="preserve">averments relating to their cause of action. BASA in their only affidavit, being that in support of being admitted as an </w:t>
      </w:r>
      <w:r w:rsidR="003A2A93" w:rsidRPr="00797AC8">
        <w:rPr>
          <w:rFonts w:ascii="Arial" w:hAnsi="Arial" w:cs="Arial"/>
          <w:i/>
          <w:iCs/>
          <w:sz w:val="24"/>
          <w:szCs w:val="24"/>
        </w:rPr>
        <w:t>amicus</w:t>
      </w:r>
      <w:r w:rsidR="003A2A93" w:rsidRPr="00797AC8">
        <w:rPr>
          <w:rFonts w:ascii="Arial" w:hAnsi="Arial" w:cs="Arial"/>
          <w:sz w:val="24"/>
          <w:szCs w:val="24"/>
        </w:rPr>
        <w:t>, did not advance any facts</w:t>
      </w:r>
      <w:r w:rsidR="00006CBC" w:rsidRPr="00797AC8">
        <w:rPr>
          <w:rFonts w:ascii="Arial" w:hAnsi="Arial" w:cs="Arial"/>
          <w:sz w:val="24"/>
          <w:szCs w:val="24"/>
        </w:rPr>
        <w:t xml:space="preserve">. </w:t>
      </w:r>
      <w:r w:rsidR="003A2A93" w:rsidRPr="00797AC8">
        <w:rPr>
          <w:rFonts w:ascii="Arial" w:hAnsi="Arial" w:cs="Arial"/>
          <w:sz w:val="24"/>
          <w:szCs w:val="24"/>
        </w:rPr>
        <w:t xml:space="preserve">The Supreme Court of Appeal in </w:t>
      </w:r>
      <w:r w:rsidR="003A2A93" w:rsidRPr="00797AC8">
        <w:rPr>
          <w:rFonts w:ascii="Arial" w:hAnsi="Arial" w:cs="Arial"/>
          <w:i/>
          <w:iCs/>
          <w:sz w:val="24"/>
          <w:szCs w:val="24"/>
        </w:rPr>
        <w:t xml:space="preserve">Mpongo </w:t>
      </w:r>
      <w:r w:rsidR="003A2A93" w:rsidRPr="00797AC8">
        <w:rPr>
          <w:rFonts w:ascii="Arial" w:hAnsi="Arial" w:cs="Arial"/>
          <w:sz w:val="24"/>
          <w:szCs w:val="24"/>
        </w:rPr>
        <w:t>emphasised in paragraphs 11 to 14 that material facts needed to be adduced to support arguments presented about litigation dynamics and their supposed implications for constitutional values, such as section 34 of the Constitution.</w:t>
      </w:r>
    </w:p>
    <w:p w14:paraId="5059377B" w14:textId="016DEBC8" w:rsidR="004A3831" w:rsidRPr="00797AC8" w:rsidRDefault="00797AC8" w:rsidP="00797AC8">
      <w:pPr>
        <w:spacing w:before="360" w:after="360" w:line="480" w:lineRule="auto"/>
        <w:ind w:left="624" w:right="117" w:hanging="624"/>
        <w:jc w:val="both"/>
        <w:rPr>
          <w:rFonts w:ascii="Arial" w:hAnsi="Arial" w:cs="Arial"/>
          <w:strike/>
          <w:sz w:val="24"/>
          <w:szCs w:val="24"/>
        </w:rPr>
      </w:pPr>
      <w:r w:rsidRPr="00431480">
        <w:rPr>
          <w:rFonts w:ascii="Arial" w:hAnsi="Arial" w:cs="Arial"/>
          <w:sz w:val="24"/>
          <w:szCs w:val="24"/>
        </w:rPr>
        <w:t>51.</w:t>
      </w:r>
      <w:r w:rsidRPr="00431480">
        <w:rPr>
          <w:rFonts w:ascii="Arial" w:hAnsi="Arial" w:cs="Arial"/>
          <w:sz w:val="24"/>
          <w:szCs w:val="24"/>
        </w:rPr>
        <w:tab/>
      </w:r>
      <w:r w:rsidR="00006CBC" w:rsidRPr="00797AC8">
        <w:rPr>
          <w:rFonts w:ascii="Arial" w:hAnsi="Arial" w:cs="Arial"/>
          <w:sz w:val="24"/>
          <w:szCs w:val="24"/>
        </w:rPr>
        <w:t xml:space="preserve">Based on </w:t>
      </w:r>
      <w:r w:rsidR="00431480" w:rsidRPr="00797AC8">
        <w:rPr>
          <w:rFonts w:ascii="Arial" w:hAnsi="Arial" w:cs="Arial"/>
          <w:sz w:val="24"/>
          <w:szCs w:val="24"/>
        </w:rPr>
        <w:t>what is</w:t>
      </w:r>
      <w:r w:rsidR="00006CBC" w:rsidRPr="00797AC8">
        <w:rPr>
          <w:rFonts w:ascii="Arial" w:hAnsi="Arial" w:cs="Arial"/>
          <w:sz w:val="24"/>
          <w:szCs w:val="24"/>
        </w:rPr>
        <w:t xml:space="preserve"> before me, </w:t>
      </w:r>
      <w:r w:rsidR="0022745C" w:rsidRPr="00797AC8">
        <w:rPr>
          <w:rFonts w:ascii="Arial" w:hAnsi="Arial" w:cs="Arial"/>
          <w:sz w:val="24"/>
          <w:szCs w:val="24"/>
        </w:rPr>
        <w:t xml:space="preserve">I agree with the reasoning in </w:t>
      </w:r>
      <w:r w:rsidR="00803590" w:rsidRPr="00797AC8">
        <w:rPr>
          <w:rFonts w:ascii="Arial" w:hAnsi="Arial" w:cs="Arial"/>
          <w:i/>
          <w:iCs/>
          <w:sz w:val="24"/>
          <w:szCs w:val="24"/>
        </w:rPr>
        <w:t>Du Plessis</w:t>
      </w:r>
      <w:r w:rsidR="00356943">
        <w:rPr>
          <w:rStyle w:val="FootnoteReference"/>
          <w:rFonts w:ascii="Arial" w:hAnsi="Arial" w:cs="Arial"/>
          <w:i/>
          <w:iCs/>
          <w:sz w:val="24"/>
          <w:szCs w:val="24"/>
        </w:rPr>
        <w:footnoteReference w:id="30"/>
      </w:r>
      <w:r w:rsidR="00803590" w:rsidRPr="00797AC8">
        <w:rPr>
          <w:rFonts w:ascii="Arial" w:hAnsi="Arial" w:cs="Arial"/>
          <w:sz w:val="24"/>
          <w:szCs w:val="24"/>
        </w:rPr>
        <w:t xml:space="preserve"> and </w:t>
      </w:r>
      <w:r w:rsidR="00803590" w:rsidRPr="00797AC8">
        <w:rPr>
          <w:rFonts w:ascii="Arial" w:hAnsi="Arial" w:cs="Arial"/>
          <w:i/>
          <w:iCs/>
          <w:sz w:val="24"/>
          <w:szCs w:val="24"/>
        </w:rPr>
        <w:t>Mollentze</w:t>
      </w:r>
      <w:r w:rsidR="00803590">
        <w:rPr>
          <w:rStyle w:val="FootnoteReference"/>
          <w:rFonts w:ascii="Arial" w:hAnsi="Arial" w:cs="Arial"/>
          <w:i/>
          <w:iCs/>
          <w:sz w:val="24"/>
          <w:szCs w:val="24"/>
        </w:rPr>
        <w:footnoteReference w:id="31"/>
      </w:r>
      <w:r w:rsidR="00803590" w:rsidRPr="00797AC8">
        <w:rPr>
          <w:rFonts w:ascii="Arial" w:hAnsi="Arial" w:cs="Arial"/>
          <w:sz w:val="24"/>
          <w:szCs w:val="24"/>
        </w:rPr>
        <w:t xml:space="preserve"> that the purposes of the NCA will not be undermined by the registrar fulfil</w:t>
      </w:r>
      <w:r w:rsidR="00D836C7" w:rsidRPr="00797AC8">
        <w:rPr>
          <w:rFonts w:ascii="Arial" w:hAnsi="Arial" w:cs="Arial"/>
          <w:sz w:val="24"/>
          <w:szCs w:val="24"/>
        </w:rPr>
        <w:t>ling</w:t>
      </w:r>
      <w:r w:rsidR="00803590" w:rsidRPr="00797AC8">
        <w:rPr>
          <w:rFonts w:ascii="Arial" w:hAnsi="Arial" w:cs="Arial"/>
          <w:sz w:val="24"/>
          <w:szCs w:val="24"/>
        </w:rPr>
        <w:t xml:space="preserve"> the role of the court as required in section 130, and that the powers conferred upon the registrar in terms of rule 31(5)(b) are sufficient to enable it to effectively fulfil that role</w:t>
      </w:r>
      <w:r w:rsidR="009D68A7" w:rsidRPr="00797AC8">
        <w:rPr>
          <w:rFonts w:ascii="Arial" w:hAnsi="Arial" w:cs="Arial"/>
          <w:sz w:val="24"/>
          <w:szCs w:val="24"/>
        </w:rPr>
        <w:t>.</w:t>
      </w:r>
    </w:p>
    <w:p w14:paraId="43403511" w14:textId="09E31A15" w:rsidR="001E42F2" w:rsidRPr="00797AC8" w:rsidRDefault="00797AC8" w:rsidP="00797AC8">
      <w:pPr>
        <w:spacing w:before="360" w:after="360" w:line="480" w:lineRule="auto"/>
        <w:ind w:left="624" w:right="117" w:hanging="624"/>
        <w:jc w:val="both"/>
        <w:rPr>
          <w:rFonts w:ascii="Arial" w:hAnsi="Arial" w:cs="Arial"/>
          <w:strike/>
          <w:sz w:val="24"/>
          <w:szCs w:val="24"/>
        </w:rPr>
      </w:pPr>
      <w:r w:rsidRPr="00047CFE">
        <w:rPr>
          <w:rFonts w:ascii="Arial" w:hAnsi="Arial" w:cs="Arial"/>
          <w:sz w:val="24"/>
          <w:szCs w:val="24"/>
        </w:rPr>
        <w:t>52.</w:t>
      </w:r>
      <w:r w:rsidRPr="00047CFE">
        <w:rPr>
          <w:rFonts w:ascii="Arial" w:hAnsi="Arial" w:cs="Arial"/>
          <w:sz w:val="24"/>
          <w:szCs w:val="24"/>
        </w:rPr>
        <w:tab/>
      </w:r>
      <w:r w:rsidR="009D68A7" w:rsidRPr="00797AC8">
        <w:rPr>
          <w:rFonts w:ascii="Arial" w:hAnsi="Arial" w:cs="Arial"/>
          <w:sz w:val="24"/>
          <w:szCs w:val="24"/>
        </w:rPr>
        <w:t xml:space="preserve">The decisions to the contrary, such as </w:t>
      </w:r>
      <w:r w:rsidR="009D68A7" w:rsidRPr="00797AC8">
        <w:rPr>
          <w:rFonts w:ascii="Arial" w:hAnsi="Arial" w:cs="Arial"/>
          <w:i/>
          <w:iCs/>
          <w:sz w:val="24"/>
          <w:szCs w:val="24"/>
        </w:rPr>
        <w:t>Theu</w:t>
      </w:r>
      <w:r w:rsidR="009D68A7" w:rsidRPr="00797AC8">
        <w:rPr>
          <w:rFonts w:ascii="Arial" w:hAnsi="Arial" w:cs="Arial"/>
          <w:sz w:val="24"/>
          <w:szCs w:val="24"/>
        </w:rPr>
        <w:t xml:space="preserve"> and </w:t>
      </w:r>
      <w:r w:rsidR="009D68A7" w:rsidRPr="00797AC8">
        <w:rPr>
          <w:rFonts w:ascii="Arial" w:hAnsi="Arial" w:cs="Arial"/>
          <w:i/>
          <w:iCs/>
          <w:sz w:val="24"/>
          <w:szCs w:val="24"/>
        </w:rPr>
        <w:t xml:space="preserve">Seleka </w:t>
      </w:r>
      <w:r w:rsidR="009D68A7" w:rsidRPr="00797AC8">
        <w:rPr>
          <w:rFonts w:ascii="Arial" w:hAnsi="Arial"/>
          <w:sz w:val="24"/>
        </w:rPr>
        <w:t>in</w:t>
      </w:r>
      <w:r w:rsidR="009D68A7" w:rsidRPr="00797AC8">
        <w:rPr>
          <w:rFonts w:ascii="Arial" w:hAnsi="Arial" w:cs="Arial"/>
          <w:sz w:val="24"/>
          <w:szCs w:val="24"/>
        </w:rPr>
        <w:t xml:space="preserve"> this Division, and </w:t>
      </w:r>
      <w:r w:rsidR="0070359A" w:rsidRPr="00797AC8">
        <w:rPr>
          <w:rFonts w:ascii="Arial" w:hAnsi="Arial" w:cs="Arial"/>
          <w:i/>
          <w:iCs/>
          <w:sz w:val="24"/>
          <w:szCs w:val="24"/>
        </w:rPr>
        <w:t>Gcasamba</w:t>
      </w:r>
      <w:r w:rsidR="0070359A" w:rsidRPr="00797AC8">
        <w:rPr>
          <w:rFonts w:ascii="Arial" w:hAnsi="Arial" w:cs="Arial"/>
          <w:sz w:val="24"/>
          <w:szCs w:val="24"/>
        </w:rPr>
        <w:t xml:space="preserve"> and </w:t>
      </w:r>
      <w:r w:rsidR="0070359A" w:rsidRPr="00797AC8">
        <w:rPr>
          <w:rFonts w:ascii="Arial" w:hAnsi="Arial" w:cs="Arial"/>
          <w:i/>
          <w:iCs/>
          <w:sz w:val="24"/>
          <w:szCs w:val="24"/>
        </w:rPr>
        <w:t>Ngandela</w:t>
      </w:r>
      <w:r w:rsidR="0070359A" w:rsidRPr="00797AC8">
        <w:rPr>
          <w:rFonts w:ascii="Arial" w:hAnsi="Arial" w:cs="Arial"/>
          <w:sz w:val="24"/>
          <w:szCs w:val="24"/>
        </w:rPr>
        <w:t xml:space="preserve"> decided after </w:t>
      </w:r>
      <w:r w:rsidR="0070359A" w:rsidRPr="00797AC8">
        <w:rPr>
          <w:rFonts w:ascii="Arial" w:hAnsi="Arial" w:cs="Arial"/>
          <w:i/>
          <w:iCs/>
          <w:sz w:val="24"/>
          <w:szCs w:val="24"/>
        </w:rPr>
        <w:t>Mollentze</w:t>
      </w:r>
      <w:r w:rsidR="0070359A" w:rsidRPr="00797AC8">
        <w:rPr>
          <w:rFonts w:ascii="Arial" w:hAnsi="Arial" w:cs="Arial"/>
          <w:sz w:val="24"/>
          <w:szCs w:val="24"/>
        </w:rPr>
        <w:t xml:space="preserve">, rely heavily on what was said by Jafta J in </w:t>
      </w:r>
      <w:r w:rsidR="0070359A" w:rsidRPr="00797AC8">
        <w:rPr>
          <w:rFonts w:ascii="Arial" w:hAnsi="Arial" w:cs="Arial"/>
          <w:i/>
          <w:iCs/>
          <w:sz w:val="24"/>
          <w:szCs w:val="24"/>
        </w:rPr>
        <w:t>Nkata</w:t>
      </w:r>
      <w:r w:rsidR="0070359A" w:rsidRPr="00797AC8">
        <w:rPr>
          <w:rFonts w:ascii="Arial" w:hAnsi="Arial" w:cs="Arial"/>
          <w:sz w:val="24"/>
          <w:szCs w:val="24"/>
        </w:rPr>
        <w:t xml:space="preserve"> and </w:t>
      </w:r>
      <w:r w:rsidR="0070359A" w:rsidRPr="00797AC8">
        <w:rPr>
          <w:rFonts w:ascii="Arial" w:hAnsi="Arial" w:cs="Arial"/>
          <w:i/>
          <w:iCs/>
          <w:sz w:val="24"/>
          <w:szCs w:val="24"/>
        </w:rPr>
        <w:t xml:space="preserve">University of Stellenbosch. </w:t>
      </w:r>
      <w:r w:rsidR="00FC5F93" w:rsidRPr="00797AC8">
        <w:rPr>
          <w:rFonts w:ascii="Arial" w:hAnsi="Arial" w:cs="Arial"/>
          <w:sz w:val="24"/>
          <w:szCs w:val="24"/>
        </w:rPr>
        <w:t>For the reasons given above</w:t>
      </w:r>
      <w:r w:rsidR="0070359A" w:rsidRPr="00797AC8">
        <w:rPr>
          <w:rFonts w:ascii="Arial" w:hAnsi="Arial" w:cs="Arial"/>
          <w:sz w:val="24"/>
          <w:szCs w:val="24"/>
        </w:rPr>
        <w:t xml:space="preserve">, I do not find these statements </w:t>
      </w:r>
      <w:r w:rsidR="00D1348C" w:rsidRPr="00797AC8">
        <w:rPr>
          <w:rFonts w:ascii="Arial" w:hAnsi="Arial" w:cs="Arial"/>
          <w:sz w:val="24"/>
          <w:szCs w:val="24"/>
        </w:rPr>
        <w:t>binding</w:t>
      </w:r>
      <w:r w:rsidR="009663DC" w:rsidRPr="00797AC8">
        <w:rPr>
          <w:rFonts w:ascii="Arial" w:hAnsi="Arial" w:cs="Arial"/>
          <w:sz w:val="24"/>
          <w:szCs w:val="24"/>
        </w:rPr>
        <w:t xml:space="preserve">. I am not alone in this, as appears from </w:t>
      </w:r>
      <w:r w:rsidR="009663DC" w:rsidRPr="00797AC8">
        <w:rPr>
          <w:rFonts w:ascii="Arial" w:hAnsi="Arial" w:cs="Arial"/>
          <w:i/>
          <w:iCs/>
          <w:sz w:val="24"/>
          <w:szCs w:val="24"/>
        </w:rPr>
        <w:t>Du Plessis</w:t>
      </w:r>
      <w:r w:rsidR="009663DC" w:rsidRPr="00797AC8">
        <w:rPr>
          <w:rFonts w:ascii="Arial" w:hAnsi="Arial" w:cs="Arial"/>
          <w:sz w:val="24"/>
          <w:szCs w:val="24"/>
        </w:rPr>
        <w:t xml:space="preserve"> in this Division and the full court decision in </w:t>
      </w:r>
      <w:r w:rsidR="009663DC" w:rsidRPr="00797AC8">
        <w:rPr>
          <w:rFonts w:ascii="Arial" w:hAnsi="Arial" w:cs="Arial"/>
          <w:i/>
          <w:iCs/>
          <w:sz w:val="24"/>
          <w:szCs w:val="24"/>
        </w:rPr>
        <w:t>Mollentze</w:t>
      </w:r>
      <w:r w:rsidR="009663DC" w:rsidRPr="00797AC8">
        <w:rPr>
          <w:rFonts w:ascii="Arial" w:hAnsi="Arial" w:cs="Arial"/>
          <w:sz w:val="24"/>
          <w:szCs w:val="24"/>
        </w:rPr>
        <w:t>.</w:t>
      </w:r>
      <w:r w:rsidR="002931A1" w:rsidRPr="00797AC8">
        <w:rPr>
          <w:rFonts w:ascii="Arial" w:hAnsi="Arial" w:cs="Arial"/>
          <w:sz w:val="24"/>
          <w:szCs w:val="24"/>
        </w:rPr>
        <w:t xml:space="preserve"> </w:t>
      </w:r>
      <w:r w:rsidR="00EC7B61" w:rsidRPr="00797AC8">
        <w:rPr>
          <w:rFonts w:ascii="Arial" w:hAnsi="Arial" w:cs="Arial"/>
          <w:sz w:val="24"/>
          <w:szCs w:val="24"/>
        </w:rPr>
        <w:t xml:space="preserve">Nugent AJ in paragraph 75 of his separate judgment in </w:t>
      </w:r>
      <w:r w:rsidR="00EC7B61" w:rsidRPr="00797AC8">
        <w:rPr>
          <w:rFonts w:ascii="Arial" w:hAnsi="Arial" w:cs="Arial"/>
          <w:i/>
          <w:iCs/>
          <w:sz w:val="24"/>
          <w:szCs w:val="24"/>
        </w:rPr>
        <w:t>Nkata</w:t>
      </w:r>
      <w:r w:rsidR="00EC7B61" w:rsidRPr="00797AC8">
        <w:rPr>
          <w:rFonts w:ascii="Arial" w:hAnsi="Arial" w:cs="Arial"/>
          <w:sz w:val="24"/>
          <w:szCs w:val="24"/>
        </w:rPr>
        <w:t xml:space="preserve"> had his reservations about Jafta J going down </w:t>
      </w:r>
      <w:r w:rsidR="00D025DD" w:rsidRPr="00797AC8">
        <w:rPr>
          <w:rFonts w:ascii="Arial" w:hAnsi="Arial" w:cs="Arial"/>
          <w:sz w:val="24"/>
          <w:szCs w:val="24"/>
        </w:rPr>
        <w:t>‘untrodden paths</w:t>
      </w:r>
      <w:r w:rsidR="004966EE" w:rsidRPr="00797AC8">
        <w:rPr>
          <w:rFonts w:ascii="Arial" w:hAnsi="Arial" w:cs="Arial"/>
          <w:sz w:val="24"/>
          <w:szCs w:val="24"/>
        </w:rPr>
        <w:t>’</w:t>
      </w:r>
      <w:r w:rsidR="00D025DD" w:rsidRPr="00797AC8">
        <w:rPr>
          <w:rFonts w:ascii="Arial" w:hAnsi="Arial" w:cs="Arial"/>
          <w:sz w:val="24"/>
          <w:szCs w:val="24"/>
        </w:rPr>
        <w:t xml:space="preserve">. Cameron J in paragraph 128 of his concurring majority judgment in </w:t>
      </w:r>
      <w:r w:rsidR="00D025DD" w:rsidRPr="00797AC8">
        <w:rPr>
          <w:rFonts w:ascii="Arial" w:hAnsi="Arial" w:cs="Arial"/>
          <w:i/>
          <w:iCs/>
          <w:sz w:val="24"/>
          <w:szCs w:val="24"/>
        </w:rPr>
        <w:t xml:space="preserve">University of Stellenbosch </w:t>
      </w:r>
      <w:r w:rsidR="00D025DD" w:rsidRPr="00797AC8">
        <w:rPr>
          <w:rFonts w:ascii="Arial" w:hAnsi="Arial" w:cs="Arial"/>
          <w:sz w:val="24"/>
          <w:szCs w:val="24"/>
        </w:rPr>
        <w:t xml:space="preserve">expressed his disagreement with the overall approach of Jafta J in that matter. </w:t>
      </w:r>
      <w:r w:rsidR="009663DC" w:rsidRPr="00797AC8">
        <w:rPr>
          <w:rFonts w:ascii="Arial" w:hAnsi="Arial" w:cs="Arial"/>
          <w:sz w:val="24"/>
          <w:szCs w:val="24"/>
        </w:rPr>
        <w:t>Further,</w:t>
      </w:r>
      <w:r w:rsidR="002931A1" w:rsidRPr="00797AC8">
        <w:rPr>
          <w:rFonts w:ascii="Arial" w:hAnsi="Arial" w:cs="Arial"/>
          <w:sz w:val="24"/>
          <w:szCs w:val="24"/>
        </w:rPr>
        <w:t xml:space="preserve"> as submitted by the applicant and BASA, </w:t>
      </w:r>
      <w:r w:rsidR="009663DC" w:rsidRPr="00797AC8">
        <w:rPr>
          <w:rFonts w:ascii="Arial" w:hAnsi="Arial" w:cs="Arial"/>
          <w:i/>
          <w:iCs/>
          <w:sz w:val="24"/>
          <w:szCs w:val="24"/>
        </w:rPr>
        <w:t>Nkata</w:t>
      </w:r>
      <w:r w:rsidR="009663DC" w:rsidRPr="00797AC8">
        <w:rPr>
          <w:rFonts w:ascii="Arial" w:hAnsi="Arial" w:cs="Arial"/>
          <w:sz w:val="24"/>
          <w:szCs w:val="24"/>
        </w:rPr>
        <w:t xml:space="preserve"> and </w:t>
      </w:r>
      <w:r w:rsidR="009663DC" w:rsidRPr="00797AC8">
        <w:rPr>
          <w:rFonts w:ascii="Arial" w:hAnsi="Arial" w:cs="Arial"/>
          <w:i/>
          <w:iCs/>
          <w:sz w:val="24"/>
          <w:szCs w:val="24"/>
        </w:rPr>
        <w:lastRenderedPageBreak/>
        <w:t>University of Stellenbosch</w:t>
      </w:r>
      <w:r w:rsidR="009663DC" w:rsidRPr="00797AC8">
        <w:rPr>
          <w:rFonts w:ascii="Arial" w:hAnsi="Arial" w:cs="Arial"/>
          <w:sz w:val="24"/>
          <w:szCs w:val="24"/>
        </w:rPr>
        <w:t xml:space="preserve"> are </w:t>
      </w:r>
      <w:r w:rsidR="0070359A" w:rsidRPr="00797AC8">
        <w:rPr>
          <w:rFonts w:ascii="Arial" w:hAnsi="Arial" w:cs="Arial"/>
          <w:sz w:val="24"/>
          <w:szCs w:val="24"/>
        </w:rPr>
        <w:t xml:space="preserve">distinguishable as </w:t>
      </w:r>
      <w:r w:rsidR="002931A1" w:rsidRPr="00797AC8">
        <w:rPr>
          <w:rFonts w:ascii="Arial" w:hAnsi="Arial" w:cs="Arial"/>
          <w:sz w:val="24"/>
          <w:szCs w:val="24"/>
        </w:rPr>
        <w:t>those matters dealt</w:t>
      </w:r>
      <w:r w:rsidR="0070359A" w:rsidRPr="00797AC8">
        <w:rPr>
          <w:rFonts w:ascii="Arial" w:hAnsi="Arial" w:cs="Arial"/>
          <w:sz w:val="24"/>
          <w:szCs w:val="24"/>
        </w:rPr>
        <w:t xml:space="preserve"> with constitutive imperatives in the context of </w:t>
      </w:r>
      <w:r w:rsidR="00006CBC" w:rsidRPr="00797AC8">
        <w:rPr>
          <w:rFonts w:ascii="Arial" w:hAnsi="Arial" w:cs="Arial"/>
          <w:sz w:val="24"/>
          <w:szCs w:val="24"/>
        </w:rPr>
        <w:t>execution orders</w:t>
      </w:r>
      <w:r w:rsidR="002931A1" w:rsidRPr="00797AC8">
        <w:rPr>
          <w:rFonts w:ascii="Arial" w:hAnsi="Arial" w:cs="Arial"/>
          <w:sz w:val="24"/>
          <w:szCs w:val="24"/>
        </w:rPr>
        <w:t xml:space="preserve"> on the property of a person other than the credit provider, such as the debtor.</w:t>
      </w:r>
    </w:p>
    <w:p w14:paraId="6E157D2B" w14:textId="0BD08A65" w:rsidR="00276405" w:rsidRPr="00797AC8" w:rsidRDefault="00797AC8" w:rsidP="00797AC8">
      <w:pPr>
        <w:spacing w:before="360" w:after="360" w:line="480" w:lineRule="auto"/>
        <w:ind w:left="624" w:right="117" w:hanging="624"/>
        <w:jc w:val="both"/>
        <w:rPr>
          <w:rFonts w:ascii="Arial" w:hAnsi="Arial" w:cs="Arial"/>
          <w:strike/>
          <w:sz w:val="24"/>
          <w:szCs w:val="24"/>
        </w:rPr>
      </w:pPr>
      <w:r w:rsidRPr="00276405">
        <w:rPr>
          <w:rFonts w:ascii="Arial" w:hAnsi="Arial" w:cs="Arial"/>
          <w:sz w:val="24"/>
          <w:szCs w:val="24"/>
        </w:rPr>
        <w:t>53.</w:t>
      </w:r>
      <w:r w:rsidRPr="00276405">
        <w:rPr>
          <w:rFonts w:ascii="Arial" w:hAnsi="Arial" w:cs="Arial"/>
          <w:sz w:val="24"/>
          <w:szCs w:val="24"/>
        </w:rPr>
        <w:tab/>
      </w:r>
      <w:r w:rsidR="00A14589" w:rsidRPr="00797AC8">
        <w:rPr>
          <w:rFonts w:ascii="Arial" w:hAnsi="Arial" w:cs="Arial"/>
          <w:sz w:val="24"/>
          <w:szCs w:val="24"/>
        </w:rPr>
        <w:t>A</w:t>
      </w:r>
      <w:r w:rsidR="002931A1" w:rsidRPr="00797AC8">
        <w:rPr>
          <w:rFonts w:ascii="Arial" w:hAnsi="Arial" w:cs="Arial"/>
          <w:sz w:val="24"/>
          <w:szCs w:val="24"/>
        </w:rPr>
        <w:t>pplicant’s counsel</w:t>
      </w:r>
      <w:r w:rsidR="00A14589" w:rsidRPr="00797AC8">
        <w:rPr>
          <w:rFonts w:ascii="Arial" w:hAnsi="Arial" w:cs="Arial"/>
          <w:sz w:val="24"/>
          <w:szCs w:val="24"/>
        </w:rPr>
        <w:t xml:space="preserve">, relying on </w:t>
      </w:r>
      <w:r w:rsidR="00A14589" w:rsidRPr="00797AC8">
        <w:rPr>
          <w:rFonts w:ascii="Arial" w:hAnsi="Arial" w:cs="Arial"/>
          <w:i/>
          <w:iCs/>
          <w:sz w:val="24"/>
          <w:szCs w:val="24"/>
        </w:rPr>
        <w:t>Du Plessis</w:t>
      </w:r>
      <w:r w:rsidR="00481709" w:rsidRPr="00797AC8">
        <w:rPr>
          <w:rFonts w:ascii="Arial" w:hAnsi="Arial" w:cs="Arial"/>
          <w:i/>
          <w:iCs/>
          <w:sz w:val="24"/>
          <w:szCs w:val="24"/>
        </w:rPr>
        <w:t>,</w:t>
      </w:r>
      <w:r w:rsidR="00A14589">
        <w:rPr>
          <w:rStyle w:val="FootnoteReference"/>
          <w:rFonts w:ascii="Arial" w:hAnsi="Arial" w:cs="Arial"/>
          <w:sz w:val="24"/>
          <w:szCs w:val="24"/>
        </w:rPr>
        <w:footnoteReference w:id="32"/>
      </w:r>
      <w:r w:rsidR="002931A1" w:rsidRPr="00797AC8">
        <w:rPr>
          <w:rFonts w:ascii="Arial" w:hAnsi="Arial" w:cs="Arial"/>
          <w:sz w:val="24"/>
          <w:szCs w:val="24"/>
        </w:rPr>
        <w:t xml:space="preserve"> ma</w:t>
      </w:r>
      <w:r w:rsidR="00276405" w:rsidRPr="00797AC8">
        <w:rPr>
          <w:rFonts w:ascii="Arial" w:hAnsi="Arial" w:cs="Arial"/>
          <w:sz w:val="24"/>
          <w:szCs w:val="24"/>
        </w:rPr>
        <w:t>kes</w:t>
      </w:r>
      <w:r w:rsidR="002931A1" w:rsidRPr="00797AC8">
        <w:rPr>
          <w:rFonts w:ascii="Arial" w:hAnsi="Arial" w:cs="Arial"/>
          <w:sz w:val="24"/>
          <w:szCs w:val="24"/>
        </w:rPr>
        <w:t xml:space="preserve"> the point that the NCA does not divest of the </w:t>
      </w:r>
      <w:r w:rsidR="00440E58" w:rsidRPr="00797AC8">
        <w:rPr>
          <w:rFonts w:ascii="Arial" w:hAnsi="Arial" w:cs="Arial"/>
          <w:sz w:val="24"/>
          <w:szCs w:val="24"/>
        </w:rPr>
        <w:t xml:space="preserve">registrar of the powers conferred upon it by the Superior Courts Act. </w:t>
      </w:r>
      <w:r w:rsidR="00481709" w:rsidRPr="00797AC8">
        <w:rPr>
          <w:rFonts w:ascii="Arial" w:hAnsi="Arial" w:cs="Arial"/>
          <w:sz w:val="24"/>
          <w:szCs w:val="24"/>
        </w:rPr>
        <w:t xml:space="preserve">There is merit in this. </w:t>
      </w:r>
      <w:r w:rsidR="00440E58" w:rsidRPr="00797AC8">
        <w:rPr>
          <w:rFonts w:ascii="Arial" w:hAnsi="Arial" w:cs="Arial"/>
          <w:sz w:val="24"/>
          <w:szCs w:val="24"/>
        </w:rPr>
        <w:t>Section 23 of the Superior Courts Act</w:t>
      </w:r>
      <w:r w:rsidR="00276405">
        <w:rPr>
          <w:rStyle w:val="FootnoteReference"/>
          <w:rFonts w:ascii="Arial" w:hAnsi="Arial" w:cs="Arial"/>
          <w:sz w:val="24"/>
          <w:szCs w:val="24"/>
        </w:rPr>
        <w:footnoteReference w:id="33"/>
      </w:r>
      <w:r w:rsidR="00440E58" w:rsidRPr="00797AC8">
        <w:rPr>
          <w:rFonts w:ascii="Arial" w:hAnsi="Arial" w:cs="Arial"/>
          <w:sz w:val="24"/>
          <w:szCs w:val="24"/>
        </w:rPr>
        <w:t xml:space="preserve"> expressly provides for the registrar to grant default judgment in certain instances, being those that fall within the ambit of rule 31(5)(a). </w:t>
      </w:r>
    </w:p>
    <w:p w14:paraId="46F9DBD5" w14:textId="28B01F2D" w:rsidR="00276405" w:rsidRPr="00797AC8" w:rsidRDefault="00797AC8" w:rsidP="00797AC8">
      <w:pPr>
        <w:spacing w:before="360" w:after="360" w:line="480" w:lineRule="auto"/>
        <w:ind w:left="624" w:right="117" w:hanging="624"/>
        <w:jc w:val="both"/>
        <w:rPr>
          <w:rFonts w:ascii="Arial" w:hAnsi="Arial" w:cs="Arial"/>
          <w:strike/>
          <w:sz w:val="24"/>
          <w:szCs w:val="24"/>
        </w:rPr>
      </w:pPr>
      <w:r w:rsidRPr="00276405">
        <w:rPr>
          <w:rFonts w:ascii="Arial" w:hAnsi="Arial" w:cs="Arial"/>
          <w:sz w:val="24"/>
          <w:szCs w:val="24"/>
        </w:rPr>
        <w:t>54.</w:t>
      </w:r>
      <w:r w:rsidRPr="00276405">
        <w:rPr>
          <w:rFonts w:ascii="Arial" w:hAnsi="Arial" w:cs="Arial"/>
          <w:sz w:val="24"/>
          <w:szCs w:val="24"/>
        </w:rPr>
        <w:tab/>
      </w:r>
      <w:r w:rsidR="00276405" w:rsidRPr="00797AC8">
        <w:rPr>
          <w:rFonts w:ascii="Arial" w:hAnsi="Arial" w:cs="Arial"/>
          <w:sz w:val="24"/>
          <w:szCs w:val="24"/>
        </w:rPr>
        <w:t>Section 172(1) of the NCA specifies when the NCA will prevail over other legislation in the event of a conflict. The Superior Courts Act is not one of the listed instances in section 172(1) where the NCA will prevail.</w:t>
      </w:r>
    </w:p>
    <w:p w14:paraId="5F58FD4B" w14:textId="63D48490" w:rsidR="002931A1" w:rsidRPr="00797AC8" w:rsidRDefault="00797AC8" w:rsidP="00797AC8">
      <w:pPr>
        <w:spacing w:before="360" w:after="360" w:line="480" w:lineRule="auto"/>
        <w:ind w:left="624" w:right="117" w:hanging="624"/>
        <w:jc w:val="both"/>
        <w:rPr>
          <w:rFonts w:ascii="Arial" w:hAnsi="Arial" w:cs="Arial"/>
          <w:strike/>
          <w:sz w:val="24"/>
          <w:szCs w:val="24"/>
        </w:rPr>
      </w:pPr>
      <w:r w:rsidRPr="00276405">
        <w:rPr>
          <w:rFonts w:ascii="Arial" w:hAnsi="Arial" w:cs="Arial"/>
          <w:sz w:val="24"/>
          <w:szCs w:val="24"/>
        </w:rPr>
        <w:t>55.</w:t>
      </w:r>
      <w:r w:rsidRPr="00276405">
        <w:rPr>
          <w:rFonts w:ascii="Arial" w:hAnsi="Arial" w:cs="Arial"/>
          <w:sz w:val="24"/>
          <w:szCs w:val="24"/>
        </w:rPr>
        <w:tab/>
      </w:r>
      <w:r w:rsidR="00276405" w:rsidRPr="00797AC8">
        <w:rPr>
          <w:rFonts w:ascii="Arial" w:hAnsi="Arial" w:cs="Arial"/>
          <w:sz w:val="24"/>
          <w:szCs w:val="24"/>
        </w:rPr>
        <w:t xml:space="preserve">In any event, there is no conflict. </w:t>
      </w:r>
      <w:r w:rsidR="00440E58" w:rsidRPr="00797AC8">
        <w:rPr>
          <w:rFonts w:ascii="Arial" w:hAnsi="Arial" w:cs="Arial"/>
          <w:sz w:val="24"/>
          <w:szCs w:val="24"/>
        </w:rPr>
        <w:t xml:space="preserve">Section 2(7)(a) of the NCA expressly provides that </w:t>
      </w:r>
      <w:r w:rsidR="00440E58" w:rsidRPr="00797AC8">
        <w:rPr>
          <w:rFonts w:ascii="Arial" w:hAnsi="Arial" w:cs="Arial"/>
          <w:i/>
          <w:iCs/>
          <w:sz w:val="24"/>
          <w:szCs w:val="24"/>
        </w:rPr>
        <w:t xml:space="preserve">“(e)xcept as specifically set out in, or necessarily implied by, this Act, the provisions of this Act are not to be construed as … limiting, amending, repealing or otherwise altering the provision of any other Act”. </w:t>
      </w:r>
      <w:r w:rsidR="004A7C3B" w:rsidRPr="00797AC8">
        <w:rPr>
          <w:rFonts w:ascii="Arial" w:hAnsi="Arial" w:cs="Arial"/>
          <w:sz w:val="24"/>
          <w:szCs w:val="24"/>
        </w:rPr>
        <w:t xml:space="preserve">This would in any event accord with the usual principles relating to the interpretations of statutes. </w:t>
      </w:r>
      <w:r w:rsidR="00473470" w:rsidRPr="00797AC8">
        <w:rPr>
          <w:rFonts w:ascii="Arial" w:hAnsi="Arial" w:cs="Arial"/>
          <w:sz w:val="24"/>
          <w:szCs w:val="24"/>
        </w:rPr>
        <w:t>When</w:t>
      </w:r>
      <w:r w:rsidR="00334D13" w:rsidRPr="00797AC8">
        <w:rPr>
          <w:rFonts w:ascii="Arial" w:hAnsi="Arial" w:cs="Arial"/>
          <w:sz w:val="24"/>
          <w:szCs w:val="24"/>
        </w:rPr>
        <w:t xml:space="preserve"> interpreting section 130 of the NCA, </w:t>
      </w:r>
      <w:r w:rsidR="00276405" w:rsidRPr="00797AC8">
        <w:rPr>
          <w:rFonts w:ascii="Arial" w:hAnsi="Arial" w:cs="Arial"/>
          <w:sz w:val="24"/>
          <w:szCs w:val="24"/>
        </w:rPr>
        <w:t>the section</w:t>
      </w:r>
      <w:r w:rsidR="00334D13" w:rsidRPr="00797AC8">
        <w:rPr>
          <w:rFonts w:ascii="Arial" w:hAnsi="Arial" w:cs="Arial"/>
          <w:sz w:val="24"/>
          <w:szCs w:val="24"/>
        </w:rPr>
        <w:t xml:space="preserve"> is to be read in a manner that is consistent with and does not give rise to a conflict with section 23</w:t>
      </w:r>
      <w:r w:rsidR="00276405" w:rsidRPr="00797AC8">
        <w:rPr>
          <w:rFonts w:ascii="Arial" w:hAnsi="Arial" w:cs="Arial"/>
          <w:sz w:val="24"/>
          <w:szCs w:val="24"/>
        </w:rPr>
        <w:t xml:space="preserve"> of the Superior Courts Act. This can be done by interpreting the reference to ‘the court’ in section 130</w:t>
      </w:r>
      <w:r w:rsidR="00D836C7" w:rsidRPr="00797AC8">
        <w:rPr>
          <w:rFonts w:ascii="Arial" w:hAnsi="Arial" w:cs="Arial"/>
          <w:sz w:val="24"/>
          <w:szCs w:val="24"/>
        </w:rPr>
        <w:t>(3)</w:t>
      </w:r>
      <w:r w:rsidR="00276405" w:rsidRPr="00797AC8">
        <w:rPr>
          <w:rFonts w:ascii="Arial" w:hAnsi="Arial" w:cs="Arial"/>
          <w:sz w:val="24"/>
          <w:szCs w:val="24"/>
        </w:rPr>
        <w:t xml:space="preserve"> of the NCA as including the registrar.</w:t>
      </w:r>
    </w:p>
    <w:p w14:paraId="04CD9147" w14:textId="5AA33E82" w:rsidR="00473470" w:rsidRPr="00797AC8" w:rsidRDefault="00797AC8" w:rsidP="00797AC8">
      <w:pPr>
        <w:spacing w:before="360" w:after="360" w:line="480" w:lineRule="auto"/>
        <w:ind w:left="624" w:right="117" w:hanging="624"/>
        <w:jc w:val="both"/>
        <w:rPr>
          <w:rFonts w:ascii="Arial" w:hAnsi="Arial" w:cs="Arial"/>
          <w:strike/>
          <w:sz w:val="24"/>
          <w:szCs w:val="24"/>
        </w:rPr>
      </w:pPr>
      <w:r w:rsidRPr="00473470">
        <w:rPr>
          <w:rFonts w:ascii="Arial" w:hAnsi="Arial" w:cs="Arial"/>
          <w:sz w:val="24"/>
          <w:szCs w:val="24"/>
        </w:rPr>
        <w:lastRenderedPageBreak/>
        <w:t>56.</w:t>
      </w:r>
      <w:r w:rsidRPr="00473470">
        <w:rPr>
          <w:rFonts w:ascii="Arial" w:hAnsi="Arial" w:cs="Arial"/>
          <w:sz w:val="24"/>
          <w:szCs w:val="24"/>
        </w:rPr>
        <w:tab/>
      </w:r>
      <w:r w:rsidR="008E2F52" w:rsidRPr="00797AC8">
        <w:rPr>
          <w:rFonts w:ascii="Arial" w:hAnsi="Arial" w:cs="Arial"/>
          <w:sz w:val="24"/>
          <w:szCs w:val="24"/>
        </w:rPr>
        <w:t>The</w:t>
      </w:r>
      <w:r w:rsidR="00473470" w:rsidRPr="00797AC8">
        <w:rPr>
          <w:rFonts w:ascii="Arial" w:hAnsi="Arial" w:cs="Arial"/>
          <w:sz w:val="24"/>
          <w:szCs w:val="24"/>
        </w:rPr>
        <w:t xml:space="preserve"> opening words of section 130(3)</w:t>
      </w:r>
      <w:r w:rsidR="008E2F52" w:rsidRPr="00797AC8">
        <w:rPr>
          <w:rFonts w:ascii="Arial" w:hAnsi="Arial" w:cs="Arial"/>
          <w:sz w:val="24"/>
          <w:szCs w:val="24"/>
        </w:rPr>
        <w:t xml:space="preserve"> require that ‘the court’ determine the matter</w:t>
      </w:r>
      <w:r w:rsidR="00D836C7" w:rsidRPr="00797AC8">
        <w:rPr>
          <w:rFonts w:ascii="Arial" w:hAnsi="Arial" w:cs="Arial"/>
          <w:sz w:val="24"/>
          <w:szCs w:val="24"/>
        </w:rPr>
        <w:t xml:space="preserve"> </w:t>
      </w:r>
      <w:r w:rsidR="008E2F52" w:rsidRPr="00797AC8">
        <w:rPr>
          <w:rFonts w:ascii="Arial" w:hAnsi="Arial" w:cs="Arial"/>
          <w:i/>
          <w:iCs/>
          <w:sz w:val="24"/>
          <w:szCs w:val="24"/>
        </w:rPr>
        <w:t>‘</w:t>
      </w:r>
      <w:r w:rsidR="005B4951" w:rsidRPr="00797AC8">
        <w:rPr>
          <w:rFonts w:ascii="Arial" w:hAnsi="Arial" w:cs="Arial"/>
          <w:i/>
          <w:iCs/>
          <w:sz w:val="24"/>
          <w:szCs w:val="24"/>
        </w:rPr>
        <w:t>(d)espite any provision of law or contract to the contrary</w:t>
      </w:r>
      <w:r w:rsidR="008E2F52" w:rsidRPr="00797AC8">
        <w:rPr>
          <w:rFonts w:ascii="Arial" w:hAnsi="Arial" w:cs="Arial"/>
          <w:i/>
          <w:iCs/>
          <w:sz w:val="24"/>
          <w:szCs w:val="24"/>
        </w:rPr>
        <w:t>’</w:t>
      </w:r>
      <w:r w:rsidR="008E2F52" w:rsidRPr="00797AC8">
        <w:rPr>
          <w:rFonts w:ascii="Arial" w:hAnsi="Arial" w:cs="Arial"/>
          <w:sz w:val="24"/>
          <w:szCs w:val="24"/>
        </w:rPr>
        <w:t>. This admittedly</w:t>
      </w:r>
      <w:r w:rsidR="005B4951" w:rsidRPr="00797AC8">
        <w:rPr>
          <w:rFonts w:ascii="Arial" w:hAnsi="Arial" w:cs="Arial"/>
          <w:sz w:val="24"/>
          <w:szCs w:val="24"/>
        </w:rPr>
        <w:t xml:space="preserve"> gives scope for an argument that section 130(3) prevails over section 23 of the Superior Courts Act, and so </w:t>
      </w:r>
      <w:r w:rsidR="00D836C7" w:rsidRPr="00797AC8">
        <w:rPr>
          <w:rFonts w:ascii="Arial" w:hAnsi="Arial" w:cs="Arial"/>
          <w:sz w:val="24"/>
          <w:szCs w:val="24"/>
        </w:rPr>
        <w:t xml:space="preserve">the </w:t>
      </w:r>
      <w:r w:rsidR="005B4951" w:rsidRPr="00797AC8">
        <w:rPr>
          <w:rFonts w:ascii="Arial" w:hAnsi="Arial" w:cs="Arial"/>
          <w:sz w:val="24"/>
          <w:szCs w:val="24"/>
        </w:rPr>
        <w:t>determination</w:t>
      </w:r>
      <w:r w:rsidR="00902F2F" w:rsidRPr="00797AC8">
        <w:rPr>
          <w:rFonts w:ascii="Arial" w:hAnsi="Arial" w:cs="Arial"/>
          <w:sz w:val="24"/>
          <w:szCs w:val="24"/>
        </w:rPr>
        <w:t xml:space="preserve"> required by the section must be</w:t>
      </w:r>
      <w:r w:rsidR="005B4951" w:rsidRPr="00797AC8">
        <w:rPr>
          <w:rFonts w:ascii="Arial" w:hAnsi="Arial" w:cs="Arial"/>
          <w:sz w:val="24"/>
          <w:szCs w:val="24"/>
        </w:rPr>
        <w:t xml:space="preserve"> in open court. But once it is accepted that the kind of oversight required is not the kind of ‘judicial supervision’ such as is required over the granting of execution orders</w:t>
      </w:r>
      <w:r w:rsidR="008E2F52" w:rsidRPr="00797AC8">
        <w:rPr>
          <w:rFonts w:ascii="Arial" w:hAnsi="Arial" w:cs="Arial"/>
          <w:sz w:val="24"/>
          <w:szCs w:val="24"/>
        </w:rPr>
        <w:t xml:space="preserve"> and that the purposes of the NCA can be advanced without requiring every application for default judgment in an NCA matter to be heard in open court</w:t>
      </w:r>
      <w:r w:rsidR="005B4951" w:rsidRPr="00797AC8">
        <w:rPr>
          <w:rFonts w:ascii="Arial" w:hAnsi="Arial" w:cs="Arial"/>
          <w:sz w:val="24"/>
          <w:szCs w:val="24"/>
        </w:rPr>
        <w:t>,</w:t>
      </w:r>
      <w:r w:rsidR="008E2F52">
        <w:rPr>
          <w:rStyle w:val="FootnoteReference"/>
          <w:rFonts w:ascii="Arial" w:hAnsi="Arial" w:cs="Arial"/>
          <w:sz w:val="24"/>
          <w:szCs w:val="24"/>
        </w:rPr>
        <w:footnoteReference w:id="34"/>
      </w:r>
      <w:r w:rsidR="005B4951" w:rsidRPr="00797AC8">
        <w:rPr>
          <w:rFonts w:ascii="Arial" w:hAnsi="Arial" w:cs="Arial"/>
          <w:sz w:val="24"/>
          <w:szCs w:val="24"/>
        </w:rPr>
        <w:t xml:space="preserve"> there is no need to read section 130(3) </w:t>
      </w:r>
      <w:r w:rsidR="008E2F52" w:rsidRPr="00797AC8">
        <w:rPr>
          <w:rFonts w:ascii="Arial" w:hAnsi="Arial" w:cs="Arial"/>
          <w:sz w:val="24"/>
          <w:szCs w:val="24"/>
        </w:rPr>
        <w:t xml:space="preserve">of the NCA </w:t>
      </w:r>
      <w:r w:rsidR="00902F2F" w:rsidRPr="00797AC8">
        <w:rPr>
          <w:rFonts w:ascii="Arial" w:hAnsi="Arial" w:cs="Arial"/>
          <w:sz w:val="24"/>
          <w:szCs w:val="24"/>
        </w:rPr>
        <w:t>as being in conflict with</w:t>
      </w:r>
      <w:r w:rsidR="005B4951" w:rsidRPr="00797AC8">
        <w:rPr>
          <w:rFonts w:ascii="Arial" w:hAnsi="Arial" w:cs="Arial"/>
          <w:sz w:val="24"/>
          <w:szCs w:val="24"/>
        </w:rPr>
        <w:t xml:space="preserve"> section 23 of the Superior Courts Act, rather </w:t>
      </w:r>
      <w:r w:rsidR="008E2F52" w:rsidRPr="00797AC8">
        <w:rPr>
          <w:rFonts w:ascii="Arial" w:hAnsi="Arial" w:cs="Arial"/>
          <w:sz w:val="24"/>
          <w:szCs w:val="24"/>
        </w:rPr>
        <w:t>than consonant with it.</w:t>
      </w:r>
    </w:p>
    <w:p w14:paraId="24265282" w14:textId="5B5CAAC9" w:rsidR="00902F2F" w:rsidRPr="00797AC8" w:rsidRDefault="00797AC8" w:rsidP="00797AC8">
      <w:pPr>
        <w:spacing w:before="360" w:after="360" w:line="480" w:lineRule="auto"/>
        <w:ind w:left="624" w:right="117" w:hanging="624"/>
        <w:jc w:val="both"/>
        <w:rPr>
          <w:rFonts w:ascii="Arial" w:hAnsi="Arial" w:cs="Arial"/>
          <w:strike/>
          <w:sz w:val="24"/>
          <w:szCs w:val="24"/>
        </w:rPr>
      </w:pPr>
      <w:r w:rsidRPr="00902F2F">
        <w:rPr>
          <w:rFonts w:ascii="Arial" w:hAnsi="Arial" w:cs="Arial"/>
          <w:sz w:val="24"/>
          <w:szCs w:val="24"/>
        </w:rPr>
        <w:t>57.</w:t>
      </w:r>
      <w:r w:rsidRPr="00902F2F">
        <w:rPr>
          <w:rFonts w:ascii="Arial" w:hAnsi="Arial" w:cs="Arial"/>
          <w:sz w:val="24"/>
          <w:szCs w:val="24"/>
        </w:rPr>
        <w:tab/>
      </w:r>
      <w:r w:rsidR="00902F2F" w:rsidRPr="00797AC8">
        <w:rPr>
          <w:rFonts w:ascii="Arial" w:hAnsi="Arial" w:cs="Arial"/>
          <w:sz w:val="24"/>
          <w:szCs w:val="24"/>
        </w:rPr>
        <w:t>I therefore find that the registrar can in terms of rule 31(5) grant default judgments, or otherwise deal with applications for default judgment as provided for in rule 31(5)(b)</w:t>
      </w:r>
      <w:r w:rsidR="0015725A" w:rsidRPr="00797AC8">
        <w:rPr>
          <w:rFonts w:ascii="Arial" w:hAnsi="Arial" w:cs="Arial"/>
          <w:sz w:val="24"/>
          <w:szCs w:val="24"/>
        </w:rPr>
        <w:t xml:space="preserve">, in those NCA matters where the High Court has jurisdiction. In doing so, I have particularly had regard to what I must accept as the highly persuasive nature of the full court decision of </w:t>
      </w:r>
      <w:r w:rsidR="0015725A" w:rsidRPr="00797AC8">
        <w:rPr>
          <w:rFonts w:ascii="Arial" w:hAnsi="Arial" w:cs="Arial"/>
          <w:i/>
          <w:iCs/>
          <w:sz w:val="24"/>
          <w:szCs w:val="24"/>
        </w:rPr>
        <w:t xml:space="preserve">Mollentze, </w:t>
      </w:r>
      <w:r w:rsidR="0015725A" w:rsidRPr="00797AC8">
        <w:rPr>
          <w:rFonts w:ascii="Arial" w:hAnsi="Arial" w:cs="Arial"/>
          <w:sz w:val="24"/>
          <w:szCs w:val="24"/>
        </w:rPr>
        <w:t xml:space="preserve">where the court was squarely called upon to deal with the issue, and which prevails over the </w:t>
      </w:r>
      <w:r w:rsidR="0015725A" w:rsidRPr="00797AC8">
        <w:rPr>
          <w:rFonts w:ascii="Arial" w:hAnsi="Arial" w:cs="Arial"/>
          <w:i/>
          <w:iCs/>
          <w:sz w:val="24"/>
          <w:szCs w:val="24"/>
        </w:rPr>
        <w:t>obiter</w:t>
      </w:r>
      <w:r w:rsidR="0015725A" w:rsidRPr="00797AC8">
        <w:rPr>
          <w:rFonts w:ascii="Arial" w:hAnsi="Arial" w:cs="Arial"/>
          <w:sz w:val="24"/>
          <w:szCs w:val="24"/>
        </w:rPr>
        <w:t xml:space="preserve"> statements that were made by Jafta J </w:t>
      </w:r>
      <w:r w:rsidR="00B2191E" w:rsidRPr="00797AC8">
        <w:rPr>
          <w:rFonts w:ascii="Arial" w:hAnsi="Arial" w:cs="Arial"/>
          <w:sz w:val="24"/>
          <w:szCs w:val="24"/>
        </w:rPr>
        <w:t>during the course of</w:t>
      </w:r>
      <w:r w:rsidR="0015725A" w:rsidRPr="00797AC8">
        <w:rPr>
          <w:rFonts w:ascii="Arial" w:hAnsi="Arial" w:cs="Arial"/>
          <w:sz w:val="24"/>
          <w:szCs w:val="24"/>
        </w:rPr>
        <w:t xml:space="preserve"> his </w:t>
      </w:r>
      <w:r w:rsidR="00D836C7" w:rsidRPr="00797AC8">
        <w:rPr>
          <w:rFonts w:ascii="Arial" w:hAnsi="Arial" w:cs="Arial"/>
          <w:sz w:val="24"/>
          <w:szCs w:val="24"/>
        </w:rPr>
        <w:t xml:space="preserve">minority </w:t>
      </w:r>
      <w:r w:rsidR="0015725A" w:rsidRPr="00797AC8">
        <w:rPr>
          <w:rFonts w:ascii="Arial" w:hAnsi="Arial" w:cs="Arial"/>
          <w:sz w:val="24"/>
          <w:szCs w:val="24"/>
        </w:rPr>
        <w:t xml:space="preserve">judgments in </w:t>
      </w:r>
      <w:r w:rsidR="0015725A" w:rsidRPr="00797AC8">
        <w:rPr>
          <w:rFonts w:ascii="Arial" w:hAnsi="Arial" w:cs="Arial"/>
          <w:i/>
          <w:iCs/>
          <w:sz w:val="24"/>
          <w:szCs w:val="24"/>
        </w:rPr>
        <w:t>Nkata</w:t>
      </w:r>
      <w:r w:rsidR="0015725A" w:rsidRPr="00797AC8">
        <w:rPr>
          <w:rFonts w:ascii="Arial" w:hAnsi="Arial" w:cs="Arial"/>
          <w:sz w:val="24"/>
          <w:szCs w:val="24"/>
        </w:rPr>
        <w:t xml:space="preserve"> and </w:t>
      </w:r>
      <w:r w:rsidR="0015725A" w:rsidRPr="00797AC8">
        <w:rPr>
          <w:rFonts w:ascii="Arial" w:hAnsi="Arial" w:cs="Arial"/>
          <w:i/>
          <w:iCs/>
          <w:sz w:val="24"/>
          <w:szCs w:val="24"/>
        </w:rPr>
        <w:t>University of Stellenbosch</w:t>
      </w:r>
      <w:r w:rsidR="00B2191E" w:rsidRPr="00797AC8">
        <w:rPr>
          <w:rFonts w:ascii="Arial" w:hAnsi="Arial" w:cs="Arial"/>
          <w:sz w:val="24"/>
          <w:szCs w:val="24"/>
        </w:rPr>
        <w:t>.</w:t>
      </w:r>
    </w:p>
    <w:p w14:paraId="1140B674" w14:textId="41B44232" w:rsidR="001E42F2" w:rsidRPr="00797AC8" w:rsidRDefault="00797AC8" w:rsidP="00797AC8">
      <w:pPr>
        <w:spacing w:before="360" w:after="360" w:line="480" w:lineRule="auto"/>
        <w:ind w:left="624" w:right="117" w:hanging="624"/>
        <w:jc w:val="both"/>
        <w:rPr>
          <w:rFonts w:ascii="Arial" w:hAnsi="Arial" w:cs="Arial"/>
          <w:strike/>
          <w:sz w:val="24"/>
          <w:szCs w:val="24"/>
        </w:rPr>
      </w:pPr>
      <w:r w:rsidRPr="00047CFE">
        <w:rPr>
          <w:rFonts w:ascii="Arial" w:hAnsi="Arial" w:cs="Arial"/>
          <w:sz w:val="24"/>
          <w:szCs w:val="24"/>
        </w:rPr>
        <w:t>58.</w:t>
      </w:r>
      <w:r w:rsidRPr="00047CFE">
        <w:rPr>
          <w:rFonts w:ascii="Arial" w:hAnsi="Arial" w:cs="Arial"/>
          <w:sz w:val="24"/>
          <w:szCs w:val="24"/>
        </w:rPr>
        <w:tab/>
      </w:r>
      <w:r w:rsidR="00DA16D4" w:rsidRPr="00797AC8">
        <w:rPr>
          <w:rFonts w:ascii="Arial" w:hAnsi="Arial" w:cs="Arial"/>
          <w:sz w:val="24"/>
          <w:szCs w:val="24"/>
        </w:rPr>
        <w:t xml:space="preserve">The applicant submitted that if I should </w:t>
      </w:r>
      <w:r w:rsidR="004A3831" w:rsidRPr="00797AC8">
        <w:rPr>
          <w:rFonts w:ascii="Arial" w:hAnsi="Arial" w:cs="Arial"/>
          <w:sz w:val="24"/>
          <w:szCs w:val="24"/>
        </w:rPr>
        <w:t xml:space="preserve">find </w:t>
      </w:r>
      <w:r w:rsidR="00DA16D4" w:rsidRPr="00797AC8">
        <w:rPr>
          <w:rFonts w:ascii="Arial" w:hAnsi="Arial" w:cs="Arial"/>
          <w:sz w:val="24"/>
          <w:szCs w:val="24"/>
        </w:rPr>
        <w:t>that the registrar does have the power to grant default judgments in NCA matters in terms of rule 31(5), the court should nevertheless grant default judgment</w:t>
      </w:r>
      <w:r w:rsidR="00783C1C" w:rsidRPr="00797AC8">
        <w:rPr>
          <w:rFonts w:ascii="Arial" w:hAnsi="Arial" w:cs="Arial"/>
          <w:sz w:val="24"/>
          <w:szCs w:val="24"/>
        </w:rPr>
        <w:t>.</w:t>
      </w:r>
      <w:r w:rsidR="00660749" w:rsidRPr="00797AC8">
        <w:rPr>
          <w:rFonts w:ascii="Arial" w:hAnsi="Arial" w:cs="Arial"/>
          <w:sz w:val="24"/>
          <w:szCs w:val="24"/>
        </w:rPr>
        <w:t xml:space="preserve"> BASA submitted that the </w:t>
      </w:r>
      <w:r w:rsidR="00660749" w:rsidRPr="00797AC8">
        <w:rPr>
          <w:rFonts w:ascii="Arial" w:hAnsi="Arial" w:cs="Arial"/>
          <w:sz w:val="24"/>
          <w:szCs w:val="24"/>
        </w:rPr>
        <w:lastRenderedPageBreak/>
        <w:t xml:space="preserve">applicant for default judgment </w:t>
      </w:r>
      <w:r w:rsidR="00AA56CF" w:rsidRPr="00797AC8">
        <w:rPr>
          <w:rFonts w:ascii="Arial" w:hAnsi="Arial" w:cs="Arial"/>
          <w:sz w:val="24"/>
          <w:szCs w:val="24"/>
        </w:rPr>
        <w:t>should have an election whether to approach the registrar or set down the application in open court.</w:t>
      </w:r>
    </w:p>
    <w:p w14:paraId="25269CEE" w14:textId="425B2A9E" w:rsidR="006326F3" w:rsidRPr="00797AC8" w:rsidRDefault="00797AC8" w:rsidP="00797AC8">
      <w:pPr>
        <w:spacing w:before="360" w:after="360" w:line="480" w:lineRule="auto"/>
        <w:ind w:left="624" w:right="117" w:hanging="624"/>
        <w:jc w:val="both"/>
        <w:rPr>
          <w:rFonts w:ascii="Arial" w:hAnsi="Arial" w:cs="Arial"/>
          <w:strike/>
          <w:sz w:val="24"/>
          <w:szCs w:val="24"/>
        </w:rPr>
      </w:pPr>
      <w:r w:rsidRPr="006326F3">
        <w:rPr>
          <w:rFonts w:ascii="Arial" w:hAnsi="Arial" w:cs="Arial"/>
          <w:sz w:val="24"/>
          <w:szCs w:val="24"/>
        </w:rPr>
        <w:t>59.</w:t>
      </w:r>
      <w:r w:rsidRPr="006326F3">
        <w:rPr>
          <w:rFonts w:ascii="Arial" w:hAnsi="Arial" w:cs="Arial"/>
          <w:sz w:val="24"/>
          <w:szCs w:val="24"/>
        </w:rPr>
        <w:tab/>
      </w:r>
      <w:r w:rsidR="006326F3" w:rsidRPr="00797AC8">
        <w:rPr>
          <w:rFonts w:ascii="Arial" w:hAnsi="Arial" w:cs="Arial"/>
          <w:sz w:val="24"/>
          <w:szCs w:val="24"/>
        </w:rPr>
        <w:t xml:space="preserve">Madlanga J for the Constitutional Court in </w:t>
      </w:r>
      <w:r w:rsidR="006326F3" w:rsidRPr="00797AC8">
        <w:rPr>
          <w:rFonts w:ascii="Arial" w:hAnsi="Arial" w:cs="Arial"/>
          <w:i/>
          <w:iCs/>
          <w:sz w:val="24"/>
          <w:szCs w:val="24"/>
        </w:rPr>
        <w:t xml:space="preserve">SAHRC </w:t>
      </w:r>
      <w:r w:rsidR="006326F3" w:rsidRPr="00797AC8">
        <w:rPr>
          <w:rFonts w:ascii="Arial" w:hAnsi="Arial" w:cs="Arial"/>
          <w:sz w:val="24"/>
          <w:szCs w:val="24"/>
        </w:rPr>
        <w:t xml:space="preserve">in paragraph 42 recognised </w:t>
      </w:r>
      <w:r w:rsidR="00D836C7" w:rsidRPr="00797AC8">
        <w:rPr>
          <w:rFonts w:ascii="Arial" w:hAnsi="Arial" w:cs="Arial"/>
          <w:sz w:val="24"/>
          <w:szCs w:val="24"/>
        </w:rPr>
        <w:t>the</w:t>
      </w:r>
      <w:r w:rsidR="006326F3" w:rsidRPr="00797AC8">
        <w:rPr>
          <w:rFonts w:ascii="Arial" w:hAnsi="Arial" w:cs="Arial"/>
          <w:sz w:val="24"/>
          <w:szCs w:val="24"/>
        </w:rPr>
        <w:t xml:space="preserve"> “</w:t>
      </w:r>
      <w:r w:rsidR="006326F3" w:rsidRPr="00797AC8">
        <w:rPr>
          <w:rFonts w:ascii="Arial" w:hAnsi="Arial" w:cs="Arial"/>
          <w:i/>
          <w:iCs/>
          <w:sz w:val="24"/>
          <w:szCs w:val="24"/>
        </w:rPr>
        <w:t>huge problem</w:t>
      </w:r>
      <w:r w:rsidR="006326F3" w:rsidRPr="00797AC8">
        <w:rPr>
          <w:rFonts w:ascii="Arial" w:hAnsi="Arial" w:cs="Arial"/>
          <w:sz w:val="24"/>
          <w:szCs w:val="24"/>
        </w:rPr>
        <w:t>” arising from the clogging up of High Court rolls with matters falling within the jurisdiction of the magistrates’ courts. While the default judgments in NCA actions to be considered by the registrar in terms of rule 31(5) are not confined to matters falling within the jurisdiction of the magistrates’ courts, the point made about the clogging up of High Court rolls with matters that may appropriately be determined elsewhere, such as</w:t>
      </w:r>
      <w:r w:rsidR="00724AAF" w:rsidRPr="00797AC8">
        <w:rPr>
          <w:rFonts w:ascii="Arial" w:hAnsi="Arial" w:cs="Arial"/>
          <w:sz w:val="24"/>
          <w:szCs w:val="24"/>
        </w:rPr>
        <w:t xml:space="preserve"> in this instance</w:t>
      </w:r>
      <w:r w:rsidR="006326F3" w:rsidRPr="00797AC8">
        <w:rPr>
          <w:rFonts w:ascii="Arial" w:hAnsi="Arial" w:cs="Arial"/>
          <w:sz w:val="24"/>
          <w:szCs w:val="24"/>
        </w:rPr>
        <w:t xml:space="preserve"> the registrar, remains good. </w:t>
      </w:r>
      <w:r w:rsidR="00724AAF" w:rsidRPr="00797AC8">
        <w:rPr>
          <w:rFonts w:ascii="Arial" w:hAnsi="Arial" w:cs="Arial"/>
          <w:sz w:val="24"/>
          <w:szCs w:val="24"/>
        </w:rPr>
        <w:t xml:space="preserve">The full court in </w:t>
      </w:r>
      <w:r w:rsidR="00724AAF" w:rsidRPr="00797AC8">
        <w:rPr>
          <w:rFonts w:ascii="Arial" w:hAnsi="Arial" w:cs="Arial"/>
          <w:i/>
          <w:iCs/>
          <w:sz w:val="24"/>
          <w:szCs w:val="24"/>
        </w:rPr>
        <w:t>Mollentze</w:t>
      </w:r>
      <w:r w:rsidR="00724AAF" w:rsidRPr="00797AC8">
        <w:rPr>
          <w:rFonts w:ascii="Arial" w:hAnsi="Arial" w:cs="Arial"/>
          <w:sz w:val="24"/>
          <w:szCs w:val="24"/>
        </w:rPr>
        <w:t xml:space="preserve"> also described why it was pragmatically appropriate for the registrar in performing its quasi-judicial functions to determine the applications rather than in open court, including from a costs perspective and in </w:t>
      </w:r>
      <w:r w:rsidR="00D836C7" w:rsidRPr="00797AC8">
        <w:rPr>
          <w:rFonts w:ascii="Arial" w:hAnsi="Arial" w:cs="Arial"/>
          <w:sz w:val="24"/>
          <w:szCs w:val="24"/>
        </w:rPr>
        <w:t>relieving</w:t>
      </w:r>
      <w:r w:rsidR="00724AAF" w:rsidRPr="00797AC8">
        <w:rPr>
          <w:rFonts w:ascii="Arial" w:hAnsi="Arial" w:cs="Arial"/>
          <w:sz w:val="24"/>
          <w:szCs w:val="24"/>
        </w:rPr>
        <w:t xml:space="preserve"> an open court </w:t>
      </w:r>
      <w:r w:rsidR="009B0600" w:rsidRPr="00797AC8">
        <w:rPr>
          <w:rFonts w:ascii="Arial" w:hAnsi="Arial" w:cs="Arial"/>
          <w:sz w:val="24"/>
          <w:szCs w:val="24"/>
        </w:rPr>
        <w:t>from</w:t>
      </w:r>
      <w:r w:rsidR="00724AAF" w:rsidRPr="00797AC8">
        <w:rPr>
          <w:rFonts w:ascii="Arial" w:hAnsi="Arial" w:cs="Arial"/>
          <w:sz w:val="24"/>
          <w:szCs w:val="24"/>
        </w:rPr>
        <w:t xml:space="preserve"> having to do so.</w:t>
      </w:r>
    </w:p>
    <w:p w14:paraId="4856F8C8" w14:textId="5023C634" w:rsidR="009A02CF"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60.</w:t>
      </w:r>
      <w:r>
        <w:rPr>
          <w:rFonts w:ascii="Arial" w:hAnsi="Arial" w:cs="Arial"/>
          <w:sz w:val="24"/>
          <w:szCs w:val="24"/>
        </w:rPr>
        <w:tab/>
      </w:r>
      <w:r w:rsidR="001E42F2" w:rsidRPr="00797AC8">
        <w:rPr>
          <w:rFonts w:ascii="Arial" w:hAnsi="Arial" w:cs="Arial"/>
          <w:sz w:val="24"/>
          <w:szCs w:val="24"/>
        </w:rPr>
        <w:t xml:space="preserve">Madlanga J </w:t>
      </w:r>
      <w:r w:rsidR="009A02CF" w:rsidRPr="00797AC8">
        <w:rPr>
          <w:rFonts w:ascii="Arial" w:hAnsi="Arial" w:cs="Arial"/>
          <w:sz w:val="24"/>
          <w:szCs w:val="24"/>
        </w:rPr>
        <w:t xml:space="preserve">further </w:t>
      </w:r>
      <w:r w:rsidR="001E42F2" w:rsidRPr="00797AC8">
        <w:rPr>
          <w:rFonts w:ascii="Arial" w:hAnsi="Arial" w:cs="Arial"/>
          <w:sz w:val="24"/>
          <w:szCs w:val="24"/>
        </w:rPr>
        <w:t>pointed out</w:t>
      </w:r>
      <w:r w:rsidR="009A02CF" w:rsidRPr="00797AC8">
        <w:rPr>
          <w:rFonts w:ascii="Arial" w:hAnsi="Arial" w:cs="Arial"/>
          <w:sz w:val="24"/>
          <w:szCs w:val="24"/>
        </w:rPr>
        <w:t xml:space="preserve"> in paragraph 36 of </w:t>
      </w:r>
      <w:r w:rsidR="009A02CF" w:rsidRPr="00797AC8">
        <w:rPr>
          <w:rFonts w:ascii="Arial" w:hAnsi="Arial" w:cs="Arial"/>
          <w:i/>
          <w:iCs/>
          <w:sz w:val="24"/>
          <w:szCs w:val="24"/>
        </w:rPr>
        <w:t>SAHRC</w:t>
      </w:r>
      <w:r w:rsidR="001E42F2" w:rsidRPr="00797AC8">
        <w:rPr>
          <w:rFonts w:ascii="Arial" w:hAnsi="Arial" w:cs="Arial"/>
          <w:sz w:val="24"/>
          <w:szCs w:val="24"/>
        </w:rPr>
        <w:t xml:space="preserve"> that </w:t>
      </w:r>
      <w:r w:rsidR="009A02CF" w:rsidRPr="00797AC8">
        <w:rPr>
          <w:rFonts w:ascii="Arial" w:hAnsi="Arial" w:cs="Arial"/>
          <w:sz w:val="24"/>
          <w:szCs w:val="24"/>
        </w:rPr>
        <w:t>in the absence of</w:t>
      </w:r>
      <w:r w:rsidR="001E42F2" w:rsidRPr="00797AC8">
        <w:rPr>
          <w:rFonts w:ascii="Arial" w:hAnsi="Arial" w:cs="Arial"/>
          <w:sz w:val="24"/>
          <w:szCs w:val="24"/>
        </w:rPr>
        <w:t xml:space="preserve"> </w:t>
      </w:r>
      <w:r w:rsidR="009A02CF" w:rsidRPr="00797AC8">
        <w:rPr>
          <w:rFonts w:ascii="Arial" w:hAnsi="Arial" w:cs="Arial"/>
          <w:sz w:val="24"/>
          <w:szCs w:val="24"/>
        </w:rPr>
        <w:t xml:space="preserve">a </w:t>
      </w:r>
      <w:r w:rsidR="001E42F2" w:rsidRPr="00797AC8">
        <w:rPr>
          <w:rFonts w:ascii="Arial" w:hAnsi="Arial" w:cs="Arial"/>
          <w:sz w:val="24"/>
          <w:szCs w:val="24"/>
        </w:rPr>
        <w:t>constitutional challeng</w:t>
      </w:r>
      <w:r w:rsidR="009A02CF" w:rsidRPr="00797AC8">
        <w:rPr>
          <w:rFonts w:ascii="Arial" w:hAnsi="Arial" w:cs="Arial"/>
          <w:sz w:val="24"/>
          <w:szCs w:val="24"/>
        </w:rPr>
        <w:t>e</w:t>
      </w:r>
      <w:r w:rsidR="001E42F2" w:rsidRPr="00797AC8">
        <w:rPr>
          <w:rFonts w:ascii="Arial" w:hAnsi="Arial" w:cs="Arial"/>
          <w:i/>
          <w:iCs/>
          <w:sz w:val="24"/>
          <w:szCs w:val="24"/>
        </w:rPr>
        <w:t>,</w:t>
      </w:r>
      <w:r w:rsidR="009A02CF" w:rsidRPr="00797AC8">
        <w:rPr>
          <w:rFonts w:ascii="Arial" w:hAnsi="Arial" w:cs="Arial"/>
          <w:i/>
          <w:iCs/>
          <w:sz w:val="24"/>
          <w:szCs w:val="24"/>
        </w:rPr>
        <w:t xml:space="preserve"> ‘</w:t>
      </w:r>
      <w:r w:rsidR="001E42F2" w:rsidRPr="00797AC8">
        <w:rPr>
          <w:rFonts w:ascii="Arial" w:hAnsi="Arial" w:cs="Arial"/>
          <w:i/>
          <w:iCs/>
          <w:sz w:val="24"/>
          <w:szCs w:val="24"/>
        </w:rPr>
        <w:t>the division of labour mandated by the Legislature between courts in respect of their jurisdiction must be honoured</w:t>
      </w:r>
      <w:r w:rsidR="00AA56CF" w:rsidRPr="00797AC8">
        <w:rPr>
          <w:rFonts w:ascii="Arial" w:hAnsi="Arial" w:cs="Arial"/>
          <w:i/>
          <w:iCs/>
          <w:sz w:val="24"/>
          <w:szCs w:val="24"/>
        </w:rPr>
        <w:t>.</w:t>
      </w:r>
      <w:r w:rsidR="001E42F2" w:rsidRPr="00797AC8">
        <w:rPr>
          <w:rFonts w:ascii="Arial" w:hAnsi="Arial" w:cs="Arial"/>
          <w:sz w:val="24"/>
          <w:szCs w:val="24"/>
        </w:rPr>
        <w:t>”</w:t>
      </w:r>
      <w:r w:rsidR="00AA56CF" w:rsidRPr="00797AC8">
        <w:rPr>
          <w:rFonts w:ascii="Arial" w:hAnsi="Arial" w:cs="Arial"/>
          <w:sz w:val="24"/>
          <w:szCs w:val="24"/>
        </w:rPr>
        <w:t xml:space="preserve"> S</w:t>
      </w:r>
      <w:r w:rsidR="009A02CF" w:rsidRPr="00797AC8">
        <w:rPr>
          <w:rFonts w:ascii="Arial" w:hAnsi="Arial" w:cs="Arial"/>
          <w:sz w:val="24"/>
          <w:szCs w:val="24"/>
        </w:rPr>
        <w:t xml:space="preserve">hould a court </w:t>
      </w:r>
      <w:r w:rsidR="00AA56CF" w:rsidRPr="00797AC8">
        <w:rPr>
          <w:rFonts w:ascii="Arial" w:hAnsi="Arial" w:cs="Arial"/>
          <w:sz w:val="24"/>
          <w:szCs w:val="24"/>
        </w:rPr>
        <w:t>have jurisdiction such as in terms of</w:t>
      </w:r>
      <w:r w:rsidR="009A02CF" w:rsidRPr="00797AC8">
        <w:rPr>
          <w:rFonts w:ascii="Arial" w:hAnsi="Arial" w:cs="Arial"/>
          <w:sz w:val="24"/>
          <w:szCs w:val="24"/>
        </w:rPr>
        <w:t xml:space="preserve"> section 21 of the Superior Court Act to decide a matter, then it cannot decline to do so on the basis that it </w:t>
      </w:r>
      <w:r w:rsidR="00AA56CF" w:rsidRPr="00797AC8">
        <w:rPr>
          <w:rFonts w:ascii="Arial" w:hAnsi="Arial" w:cs="Arial"/>
          <w:sz w:val="24"/>
          <w:szCs w:val="24"/>
        </w:rPr>
        <w:t>is</w:t>
      </w:r>
      <w:r w:rsidR="009A02CF" w:rsidRPr="00797AC8">
        <w:rPr>
          <w:rFonts w:ascii="Arial" w:hAnsi="Arial" w:cs="Arial"/>
          <w:sz w:val="24"/>
          <w:szCs w:val="24"/>
        </w:rPr>
        <w:t xml:space="preserve"> over-burdened and the parties</w:t>
      </w:r>
      <w:r w:rsidR="009B0600" w:rsidRPr="00797AC8">
        <w:rPr>
          <w:rFonts w:ascii="Arial" w:hAnsi="Arial" w:cs="Arial"/>
          <w:sz w:val="24"/>
          <w:szCs w:val="24"/>
        </w:rPr>
        <w:t xml:space="preserve"> should </w:t>
      </w:r>
      <w:r w:rsidR="009A02CF" w:rsidRPr="00797AC8">
        <w:rPr>
          <w:rFonts w:ascii="Arial" w:hAnsi="Arial" w:cs="Arial"/>
          <w:sz w:val="24"/>
          <w:szCs w:val="24"/>
        </w:rPr>
        <w:t xml:space="preserve">go elsewhere. </w:t>
      </w:r>
    </w:p>
    <w:p w14:paraId="42B25525" w14:textId="5F55E3A5" w:rsidR="00E41966"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61.</w:t>
      </w:r>
      <w:r>
        <w:rPr>
          <w:rFonts w:ascii="Arial" w:hAnsi="Arial" w:cs="Arial"/>
          <w:sz w:val="24"/>
          <w:szCs w:val="24"/>
        </w:rPr>
        <w:tab/>
      </w:r>
      <w:r w:rsidR="009A02CF" w:rsidRPr="00797AC8">
        <w:rPr>
          <w:rFonts w:ascii="Arial" w:hAnsi="Arial" w:cs="Arial"/>
          <w:sz w:val="24"/>
          <w:szCs w:val="24"/>
        </w:rPr>
        <w:t xml:space="preserve">Analogously in the present instance. The division of labour mandated </w:t>
      </w:r>
      <w:r w:rsidR="00E41966" w:rsidRPr="00797AC8">
        <w:rPr>
          <w:rFonts w:ascii="Arial" w:hAnsi="Arial" w:cs="Arial"/>
          <w:sz w:val="24"/>
          <w:szCs w:val="24"/>
        </w:rPr>
        <w:t>between open court and the registrar must be respected, including by the attorneys representing the credit providers in NCA matters and by the registrar.</w:t>
      </w:r>
    </w:p>
    <w:p w14:paraId="411B7B96" w14:textId="1D4BEDCF" w:rsidR="009A02CF"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E41966" w:rsidRPr="00797AC8">
        <w:rPr>
          <w:rFonts w:ascii="Arial" w:hAnsi="Arial" w:cs="Arial"/>
          <w:sz w:val="24"/>
          <w:szCs w:val="24"/>
        </w:rPr>
        <w:t>The attorneys are first to approach the registrar for default judgment – not because the court does not have jurisdiction or competence to hear application for default judgment but because of the described division of labour</w:t>
      </w:r>
      <w:r w:rsidR="009B0600" w:rsidRPr="00797AC8">
        <w:rPr>
          <w:rFonts w:ascii="Arial" w:hAnsi="Arial" w:cs="Arial"/>
          <w:sz w:val="24"/>
          <w:szCs w:val="24"/>
        </w:rPr>
        <w:t xml:space="preserve"> between open court and the registrar.</w:t>
      </w:r>
      <w:r w:rsidR="00E41966" w:rsidRPr="00797AC8">
        <w:rPr>
          <w:rFonts w:ascii="Arial" w:hAnsi="Arial" w:cs="Arial"/>
          <w:sz w:val="24"/>
          <w:szCs w:val="24"/>
        </w:rPr>
        <w:t xml:space="preserve"> Should the applicant for default judgment seek to approach open court directly, without first placing the matter before the registrar in terms of rule 31(5), it must have good reason to do so, supported where necessary by the appropriate facts, as cautioned in </w:t>
      </w:r>
      <w:r w:rsidR="00E41966" w:rsidRPr="00797AC8">
        <w:rPr>
          <w:rFonts w:ascii="Arial" w:hAnsi="Arial" w:cs="Arial"/>
          <w:i/>
          <w:iCs/>
          <w:sz w:val="24"/>
          <w:szCs w:val="24"/>
        </w:rPr>
        <w:t>Mpongo</w:t>
      </w:r>
      <w:r w:rsidR="00E41966" w:rsidRPr="00797AC8">
        <w:rPr>
          <w:rFonts w:ascii="Arial" w:hAnsi="Arial" w:cs="Arial"/>
          <w:sz w:val="24"/>
          <w:szCs w:val="24"/>
        </w:rPr>
        <w:t>. What may constitute good reason is not something to be decided now.</w:t>
      </w:r>
    </w:p>
    <w:p w14:paraId="6692AC9D" w14:textId="5C8D0FDE" w:rsidR="00E41966" w:rsidRPr="00797AC8" w:rsidRDefault="00797AC8" w:rsidP="00797AC8">
      <w:pPr>
        <w:spacing w:before="360" w:after="360" w:line="480" w:lineRule="auto"/>
        <w:ind w:left="624" w:right="117" w:hanging="624"/>
        <w:jc w:val="both"/>
        <w:rPr>
          <w:rFonts w:ascii="Arial" w:hAnsi="Arial" w:cs="Arial"/>
          <w:sz w:val="24"/>
          <w:szCs w:val="24"/>
        </w:rPr>
      </w:pPr>
      <w:r>
        <w:rPr>
          <w:rFonts w:ascii="Arial" w:hAnsi="Arial" w:cs="Arial"/>
          <w:sz w:val="24"/>
          <w:szCs w:val="24"/>
        </w:rPr>
        <w:t>63.</w:t>
      </w:r>
      <w:r>
        <w:rPr>
          <w:rFonts w:ascii="Arial" w:hAnsi="Arial" w:cs="Arial"/>
          <w:sz w:val="24"/>
          <w:szCs w:val="24"/>
        </w:rPr>
        <w:tab/>
      </w:r>
      <w:r w:rsidR="009E4BCB" w:rsidRPr="00797AC8">
        <w:rPr>
          <w:rFonts w:ascii="Arial" w:hAnsi="Arial" w:cs="Arial"/>
          <w:sz w:val="24"/>
          <w:szCs w:val="24"/>
        </w:rPr>
        <w:t>The</w:t>
      </w:r>
      <w:r w:rsidR="00E41966" w:rsidRPr="00797AC8">
        <w:rPr>
          <w:rFonts w:ascii="Arial" w:hAnsi="Arial" w:cs="Arial"/>
          <w:sz w:val="24"/>
          <w:szCs w:val="24"/>
        </w:rPr>
        <w:t xml:space="preserve"> registrar</w:t>
      </w:r>
      <w:r w:rsidR="009E4BCB" w:rsidRPr="00797AC8">
        <w:rPr>
          <w:rFonts w:ascii="Arial" w:hAnsi="Arial" w:cs="Arial"/>
          <w:sz w:val="24"/>
          <w:szCs w:val="24"/>
        </w:rPr>
        <w:t xml:space="preserve"> too</w:t>
      </w:r>
      <w:r w:rsidR="00E41966" w:rsidRPr="00797AC8">
        <w:rPr>
          <w:rFonts w:ascii="Arial" w:hAnsi="Arial" w:cs="Arial"/>
          <w:sz w:val="24"/>
          <w:szCs w:val="24"/>
        </w:rPr>
        <w:t xml:space="preserve"> must fulfil its part of the mandate. The registrar cannot</w:t>
      </w:r>
      <w:r w:rsidR="0061100A" w:rsidRPr="00797AC8">
        <w:rPr>
          <w:rFonts w:ascii="Arial" w:hAnsi="Arial" w:cs="Arial"/>
          <w:sz w:val="24"/>
          <w:szCs w:val="24"/>
        </w:rPr>
        <w:t>,</w:t>
      </w:r>
      <w:r w:rsidR="00E41966" w:rsidRPr="00797AC8">
        <w:rPr>
          <w:rFonts w:ascii="Arial" w:hAnsi="Arial" w:cs="Arial"/>
          <w:sz w:val="24"/>
          <w:szCs w:val="24"/>
        </w:rPr>
        <w:t xml:space="preserve"> </w:t>
      </w:r>
      <w:r w:rsidR="0009663D" w:rsidRPr="00797AC8">
        <w:rPr>
          <w:rFonts w:ascii="Arial" w:hAnsi="Arial" w:cs="Arial"/>
          <w:sz w:val="24"/>
          <w:szCs w:val="24"/>
        </w:rPr>
        <w:t>routinely,</w:t>
      </w:r>
      <w:r w:rsidR="00E41966" w:rsidRPr="00797AC8">
        <w:rPr>
          <w:rFonts w:ascii="Arial" w:hAnsi="Arial" w:cs="Arial"/>
          <w:sz w:val="24"/>
          <w:szCs w:val="24"/>
        </w:rPr>
        <w:t xml:space="preserve"> require the matter to be heard in open court</w:t>
      </w:r>
      <w:r w:rsidR="0061100A" w:rsidRPr="00797AC8">
        <w:rPr>
          <w:rFonts w:ascii="Arial" w:hAnsi="Arial" w:cs="Arial"/>
          <w:sz w:val="24"/>
          <w:szCs w:val="24"/>
        </w:rPr>
        <w:t xml:space="preserve"> simply</w:t>
      </w:r>
      <w:r w:rsidR="00E41966" w:rsidRPr="00797AC8">
        <w:rPr>
          <w:rFonts w:ascii="Arial" w:hAnsi="Arial" w:cs="Arial"/>
          <w:sz w:val="24"/>
          <w:szCs w:val="24"/>
        </w:rPr>
        <w:t xml:space="preserve"> </w:t>
      </w:r>
      <w:r w:rsidR="0009663D" w:rsidRPr="00797AC8">
        <w:rPr>
          <w:rFonts w:ascii="Arial" w:hAnsi="Arial" w:cs="Arial"/>
          <w:sz w:val="24"/>
          <w:szCs w:val="24"/>
        </w:rPr>
        <w:t>because it is an NCA matter</w:t>
      </w:r>
      <w:r w:rsidR="00AA56CF" w:rsidRPr="00797AC8">
        <w:rPr>
          <w:rFonts w:ascii="Arial" w:hAnsi="Arial" w:cs="Arial"/>
          <w:sz w:val="24"/>
          <w:szCs w:val="24"/>
        </w:rPr>
        <w:t>. Nor can it do so</w:t>
      </w:r>
      <w:r w:rsidR="0061100A" w:rsidRPr="00797AC8">
        <w:rPr>
          <w:rFonts w:ascii="Arial" w:hAnsi="Arial" w:cs="Arial"/>
          <w:sz w:val="24"/>
          <w:szCs w:val="24"/>
        </w:rPr>
        <w:t xml:space="preserve"> because it </w:t>
      </w:r>
      <w:r w:rsidR="0017291A" w:rsidRPr="00797AC8">
        <w:rPr>
          <w:rFonts w:ascii="Arial" w:hAnsi="Arial" w:cs="Arial"/>
          <w:sz w:val="24"/>
          <w:szCs w:val="24"/>
        </w:rPr>
        <w:t>may be</w:t>
      </w:r>
      <w:r w:rsidR="0061100A" w:rsidRPr="00797AC8">
        <w:rPr>
          <w:rFonts w:ascii="Arial" w:hAnsi="Arial" w:cs="Arial"/>
          <w:sz w:val="24"/>
          <w:szCs w:val="24"/>
        </w:rPr>
        <w:t xml:space="preserve"> over-burdened</w:t>
      </w:r>
      <w:r w:rsidR="0009663D" w:rsidRPr="00797AC8">
        <w:rPr>
          <w:rFonts w:ascii="Arial" w:hAnsi="Arial" w:cs="Arial"/>
          <w:sz w:val="24"/>
          <w:szCs w:val="24"/>
        </w:rPr>
        <w:t>.</w:t>
      </w:r>
      <w:r w:rsidR="004674FD">
        <w:rPr>
          <w:rStyle w:val="FootnoteReference"/>
          <w:rFonts w:ascii="Arial" w:hAnsi="Arial" w:cs="Arial"/>
          <w:sz w:val="24"/>
          <w:szCs w:val="24"/>
        </w:rPr>
        <w:footnoteReference w:id="35"/>
      </w:r>
      <w:r w:rsidR="0009663D" w:rsidRPr="00797AC8">
        <w:rPr>
          <w:rFonts w:ascii="Arial" w:hAnsi="Arial" w:cs="Arial"/>
          <w:sz w:val="24"/>
          <w:szCs w:val="24"/>
        </w:rPr>
        <w:t xml:space="preserve"> </w:t>
      </w:r>
      <w:r w:rsidR="0061100A" w:rsidRPr="00797AC8">
        <w:rPr>
          <w:rFonts w:ascii="Arial" w:hAnsi="Arial" w:cs="Arial"/>
          <w:sz w:val="24"/>
          <w:szCs w:val="24"/>
        </w:rPr>
        <w:t>The</w:t>
      </w:r>
      <w:r w:rsidR="0009663D" w:rsidRPr="00797AC8">
        <w:rPr>
          <w:rFonts w:ascii="Arial" w:hAnsi="Arial" w:cs="Arial"/>
          <w:sz w:val="24"/>
          <w:szCs w:val="24"/>
        </w:rPr>
        <w:t xml:space="preserve"> registrar</w:t>
      </w:r>
      <w:r w:rsidR="00FE3478" w:rsidRPr="00797AC8">
        <w:rPr>
          <w:rFonts w:ascii="Arial" w:hAnsi="Arial" w:cs="Arial"/>
          <w:sz w:val="24"/>
          <w:szCs w:val="24"/>
        </w:rPr>
        <w:t xml:space="preserve"> is permitted </w:t>
      </w:r>
      <w:r w:rsidR="0009663D" w:rsidRPr="00797AC8">
        <w:rPr>
          <w:rFonts w:ascii="Arial" w:hAnsi="Arial" w:cs="Arial"/>
          <w:sz w:val="24"/>
          <w:szCs w:val="24"/>
        </w:rPr>
        <w:t>to consider NCA actions</w:t>
      </w:r>
      <w:r w:rsidR="00FE3478" w:rsidRPr="00797AC8">
        <w:rPr>
          <w:rFonts w:ascii="Arial" w:hAnsi="Arial" w:cs="Arial"/>
          <w:sz w:val="24"/>
          <w:szCs w:val="24"/>
        </w:rPr>
        <w:t xml:space="preserve"> where they fall within the ambit </w:t>
      </w:r>
      <w:r w:rsidR="0009663D" w:rsidRPr="00797AC8">
        <w:rPr>
          <w:rFonts w:ascii="Arial" w:hAnsi="Arial" w:cs="Arial"/>
          <w:sz w:val="24"/>
          <w:szCs w:val="24"/>
        </w:rPr>
        <w:t>of rule 31(5)</w:t>
      </w:r>
      <w:r w:rsidR="00FE3478" w:rsidRPr="00797AC8">
        <w:rPr>
          <w:rFonts w:ascii="Arial" w:hAnsi="Arial" w:cs="Arial"/>
          <w:sz w:val="24"/>
          <w:szCs w:val="24"/>
        </w:rPr>
        <w:t>,</w:t>
      </w:r>
      <w:r w:rsidR="0009663D" w:rsidRPr="00797AC8">
        <w:rPr>
          <w:rFonts w:ascii="Arial" w:hAnsi="Arial" w:cs="Arial"/>
          <w:sz w:val="24"/>
          <w:szCs w:val="24"/>
        </w:rPr>
        <w:t xml:space="preserve"> and to perform the oversight function required by section 130 of the NCA, including to appropriately exercise the powers that it has in terms of rule 31(5)(b)(i) to (vi), and it should do so. Should the registrar require </w:t>
      </w:r>
      <w:r w:rsidR="00AA56CF" w:rsidRPr="00797AC8">
        <w:rPr>
          <w:rFonts w:ascii="Arial" w:hAnsi="Arial" w:cs="Arial"/>
          <w:sz w:val="24"/>
          <w:szCs w:val="24"/>
        </w:rPr>
        <w:t>a</w:t>
      </w:r>
      <w:r w:rsidR="0009663D" w:rsidRPr="00797AC8">
        <w:rPr>
          <w:rFonts w:ascii="Arial" w:hAnsi="Arial" w:cs="Arial"/>
          <w:sz w:val="24"/>
          <w:szCs w:val="24"/>
        </w:rPr>
        <w:t xml:space="preserve"> matter to be heard in open court in terms of rule 31(5)(b)(iv), it should give sufficient reasons.</w:t>
      </w:r>
      <w:r w:rsidR="00783C1C" w:rsidRPr="00797AC8">
        <w:rPr>
          <w:rFonts w:ascii="Arial" w:hAnsi="Arial" w:cs="Arial"/>
          <w:sz w:val="24"/>
          <w:szCs w:val="24"/>
        </w:rPr>
        <w:t xml:space="preserve"> Although the applicants’ counsel in his heads of argument and during his oral submissions sought specific relief in relation to the performance by the registrar of its functions, this is not an appropriate occasion to do so.</w:t>
      </w:r>
    </w:p>
    <w:p w14:paraId="098AD87F" w14:textId="22F9E910" w:rsidR="001E42F2" w:rsidRPr="00797AC8" w:rsidRDefault="00797AC8" w:rsidP="00797AC8">
      <w:pPr>
        <w:spacing w:before="360" w:after="360" w:line="480" w:lineRule="auto"/>
        <w:ind w:left="624" w:right="117" w:hanging="624"/>
        <w:jc w:val="both"/>
        <w:rPr>
          <w:rFonts w:ascii="Arial" w:hAnsi="Arial" w:cs="Arial"/>
          <w:sz w:val="24"/>
          <w:szCs w:val="24"/>
        </w:rPr>
      </w:pPr>
      <w:r w:rsidRPr="00382909">
        <w:rPr>
          <w:rFonts w:ascii="Arial" w:hAnsi="Arial" w:cs="Arial"/>
          <w:sz w:val="24"/>
          <w:szCs w:val="24"/>
        </w:rPr>
        <w:lastRenderedPageBreak/>
        <w:t>64.</w:t>
      </w:r>
      <w:r w:rsidRPr="00382909">
        <w:rPr>
          <w:rFonts w:ascii="Arial" w:hAnsi="Arial" w:cs="Arial"/>
          <w:sz w:val="24"/>
          <w:szCs w:val="24"/>
        </w:rPr>
        <w:tab/>
      </w:r>
      <w:r w:rsidR="0009663D" w:rsidRPr="00797AC8">
        <w:rPr>
          <w:rFonts w:ascii="Arial" w:hAnsi="Arial" w:cs="Arial"/>
          <w:sz w:val="24"/>
          <w:szCs w:val="24"/>
        </w:rPr>
        <w:t xml:space="preserve">Accordingly, the matters are </w:t>
      </w:r>
      <w:r w:rsidR="00D3655F" w:rsidRPr="00797AC8">
        <w:rPr>
          <w:rFonts w:ascii="Arial" w:hAnsi="Arial" w:cs="Arial"/>
          <w:sz w:val="24"/>
          <w:szCs w:val="24"/>
        </w:rPr>
        <w:t xml:space="preserve">to be </w:t>
      </w:r>
      <w:r w:rsidR="0009663D" w:rsidRPr="00797AC8">
        <w:rPr>
          <w:rFonts w:ascii="Arial" w:hAnsi="Arial" w:cs="Arial"/>
          <w:sz w:val="24"/>
          <w:szCs w:val="24"/>
        </w:rPr>
        <w:t>removed from the roll</w:t>
      </w:r>
      <w:r w:rsidR="001F44A2" w:rsidRPr="00797AC8">
        <w:rPr>
          <w:rFonts w:ascii="Arial" w:hAnsi="Arial" w:cs="Arial"/>
          <w:sz w:val="24"/>
          <w:szCs w:val="24"/>
        </w:rPr>
        <w:t xml:space="preserve"> and so</w:t>
      </w:r>
      <w:r w:rsidR="0009663D" w:rsidRPr="00797AC8">
        <w:rPr>
          <w:rFonts w:ascii="Arial" w:hAnsi="Arial" w:cs="Arial"/>
          <w:sz w:val="24"/>
          <w:szCs w:val="24"/>
        </w:rPr>
        <w:t xml:space="preserve"> </w:t>
      </w:r>
      <w:r w:rsidR="001F44A2" w:rsidRPr="00797AC8">
        <w:rPr>
          <w:rFonts w:ascii="Arial" w:hAnsi="Arial" w:cs="Arial"/>
          <w:sz w:val="24"/>
          <w:szCs w:val="24"/>
        </w:rPr>
        <w:t>enable the applicant to approach the registrar in terms of rule 31(5)(a).</w:t>
      </w:r>
    </w:p>
    <w:p w14:paraId="559AEAAB" w14:textId="7951EF74" w:rsidR="001F44A2" w:rsidRPr="00797AC8" w:rsidRDefault="00797AC8" w:rsidP="00797AC8">
      <w:pPr>
        <w:spacing w:before="360" w:after="360" w:line="480" w:lineRule="auto"/>
        <w:ind w:left="624" w:right="117" w:hanging="624"/>
        <w:jc w:val="both"/>
        <w:rPr>
          <w:rFonts w:ascii="Arial" w:hAnsi="Arial" w:cs="Arial"/>
          <w:sz w:val="24"/>
          <w:szCs w:val="24"/>
        </w:rPr>
      </w:pPr>
      <w:r w:rsidRPr="009A02CF">
        <w:rPr>
          <w:rFonts w:ascii="Arial" w:hAnsi="Arial" w:cs="Arial"/>
          <w:sz w:val="24"/>
          <w:szCs w:val="24"/>
        </w:rPr>
        <w:t>65.</w:t>
      </w:r>
      <w:r w:rsidRPr="009A02CF">
        <w:rPr>
          <w:rFonts w:ascii="Arial" w:hAnsi="Arial" w:cs="Arial"/>
          <w:sz w:val="24"/>
          <w:szCs w:val="24"/>
        </w:rPr>
        <w:tab/>
      </w:r>
      <w:r w:rsidR="001F44A2" w:rsidRPr="00797AC8">
        <w:rPr>
          <w:rFonts w:ascii="Arial" w:hAnsi="Arial" w:cs="Arial"/>
          <w:sz w:val="24"/>
          <w:szCs w:val="24"/>
        </w:rPr>
        <w:t>Accordingly, in each of the matters, the applications are removed from the roll, with no order as to costs.</w:t>
      </w:r>
    </w:p>
    <w:p w14:paraId="07D712AE" w14:textId="77777777" w:rsidR="00696B20" w:rsidRDefault="00696B20" w:rsidP="00B9725B">
      <w:pPr>
        <w:keepNext/>
        <w:keepLines/>
        <w:tabs>
          <w:tab w:val="left" w:pos="-426"/>
        </w:tabs>
        <w:spacing w:after="240" w:line="480" w:lineRule="auto"/>
        <w:ind w:right="117"/>
        <w:contextualSpacing/>
        <w:jc w:val="both"/>
        <w:rPr>
          <w:rFonts w:ascii="Arial" w:hAnsi="Arial" w:cs="Arial"/>
          <w:sz w:val="24"/>
          <w:szCs w:val="24"/>
        </w:rPr>
      </w:pPr>
    </w:p>
    <w:p w14:paraId="3953A938" w14:textId="77777777" w:rsidR="00460D9D" w:rsidRDefault="00460D9D" w:rsidP="00B9725B">
      <w:pPr>
        <w:keepNext/>
        <w:keepLines/>
        <w:tabs>
          <w:tab w:val="left" w:pos="-426"/>
        </w:tabs>
        <w:spacing w:after="240" w:line="480" w:lineRule="auto"/>
        <w:ind w:right="117"/>
        <w:contextualSpacing/>
        <w:jc w:val="both"/>
        <w:rPr>
          <w:rFonts w:ascii="Arial" w:hAnsi="Arial" w:cs="Arial"/>
          <w:sz w:val="24"/>
          <w:szCs w:val="24"/>
        </w:rPr>
      </w:pPr>
    </w:p>
    <w:p w14:paraId="63901FD2" w14:textId="344E4256" w:rsidR="00AD5454" w:rsidRPr="00DD1B08" w:rsidRDefault="00AD5454" w:rsidP="00B9725B">
      <w:pPr>
        <w:keepNext/>
        <w:keepLines/>
        <w:tabs>
          <w:tab w:val="left" w:pos="-426"/>
        </w:tabs>
        <w:spacing w:after="240" w:line="480" w:lineRule="auto"/>
        <w:ind w:right="11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43B1C165" w:rsidR="00AD5454" w:rsidRDefault="00487882"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B M </w:t>
      </w:r>
      <w:r w:rsidR="00BF7B20" w:rsidRPr="00DD1B08">
        <w:rPr>
          <w:rFonts w:ascii="Arial" w:hAnsi="Arial" w:cs="Arial"/>
          <w:sz w:val="24"/>
          <w:szCs w:val="24"/>
        </w:rPr>
        <w:t>GILBERT</w:t>
      </w:r>
    </w:p>
    <w:p w14:paraId="4E042853" w14:textId="24E02D0D" w:rsidR="00D43497" w:rsidRDefault="00D43497"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Acting Judge of the High Court </w:t>
      </w:r>
    </w:p>
    <w:p w14:paraId="24C87362" w14:textId="4E15D738" w:rsidR="00D43497" w:rsidRDefault="00D43497"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Gauteng Division, Johannesburg </w:t>
      </w:r>
    </w:p>
    <w:p w14:paraId="7147AD16" w14:textId="77777777" w:rsidR="00D43497" w:rsidRPr="00DD1B08" w:rsidRDefault="00D43497" w:rsidP="00140EB0">
      <w:pPr>
        <w:keepNext/>
        <w:keepLines/>
        <w:tabs>
          <w:tab w:val="left" w:pos="-426"/>
        </w:tabs>
        <w:spacing w:after="240" w:line="480" w:lineRule="auto"/>
        <w:ind w:right="567"/>
        <w:contextualSpacing/>
        <w:jc w:val="both"/>
        <w:rPr>
          <w:rFonts w:ascii="Arial" w:hAnsi="Arial" w:cs="Arial"/>
          <w:sz w:val="24"/>
          <w:szCs w:val="24"/>
        </w:rPr>
      </w:pPr>
    </w:p>
    <w:p w14:paraId="440691C7" w14:textId="7CB74719" w:rsidR="00AD5454" w:rsidRDefault="00AD5454" w:rsidP="005F2FF2">
      <w:pPr>
        <w:keepNext/>
        <w:keepLines/>
        <w:tabs>
          <w:tab w:val="left" w:pos="-426"/>
          <w:tab w:val="left" w:pos="3969"/>
        </w:tabs>
        <w:spacing w:before="120" w:after="120" w:line="360" w:lineRule="auto"/>
        <w:ind w:left="5760" w:right="117" w:hanging="5760"/>
        <w:jc w:val="both"/>
        <w:rPr>
          <w:rFonts w:ascii="Arial" w:hAnsi="Arial" w:cs="Arial"/>
          <w:sz w:val="24"/>
          <w:szCs w:val="24"/>
        </w:rPr>
      </w:pPr>
      <w:r w:rsidRPr="00DD1B08">
        <w:rPr>
          <w:rFonts w:ascii="Arial" w:hAnsi="Arial" w:cs="Arial"/>
          <w:sz w:val="24"/>
          <w:szCs w:val="24"/>
        </w:rPr>
        <w:t>Date</w:t>
      </w:r>
      <w:r w:rsidR="00487882">
        <w:rPr>
          <w:rFonts w:ascii="Arial" w:hAnsi="Arial" w:cs="Arial"/>
          <w:sz w:val="24"/>
          <w:szCs w:val="24"/>
        </w:rPr>
        <w:t>s</w:t>
      </w:r>
      <w:r w:rsidRPr="00DD1B08">
        <w:rPr>
          <w:rFonts w:ascii="Arial" w:hAnsi="Arial" w:cs="Arial"/>
          <w:sz w:val="24"/>
          <w:szCs w:val="24"/>
        </w:rPr>
        <w:t xml:space="preserve"> of </w:t>
      </w:r>
      <w:r w:rsidR="008E60BE" w:rsidRPr="00DD1B08">
        <w:rPr>
          <w:rFonts w:ascii="Arial" w:hAnsi="Arial" w:cs="Arial"/>
          <w:sz w:val="24"/>
          <w:szCs w:val="24"/>
        </w:rPr>
        <w:t>hearing</w:t>
      </w:r>
      <w:r w:rsidR="00487882">
        <w:rPr>
          <w:rFonts w:ascii="Arial" w:hAnsi="Arial" w:cs="Arial"/>
          <w:sz w:val="24"/>
          <w:szCs w:val="24"/>
        </w:rPr>
        <w:t>s</w:t>
      </w:r>
      <w:r w:rsidRPr="00DD1B08">
        <w:rPr>
          <w:rFonts w:ascii="Arial" w:hAnsi="Arial" w:cs="Arial"/>
          <w:sz w:val="24"/>
          <w:szCs w:val="24"/>
        </w:rPr>
        <w:t>:</w:t>
      </w:r>
      <w:r w:rsidR="001156A9" w:rsidRPr="00DD1B08">
        <w:rPr>
          <w:rFonts w:ascii="Arial" w:hAnsi="Arial" w:cs="Arial"/>
          <w:sz w:val="24"/>
          <w:szCs w:val="24"/>
        </w:rPr>
        <w:tab/>
      </w:r>
      <w:r w:rsidR="00460D9D">
        <w:rPr>
          <w:rFonts w:ascii="Arial" w:hAnsi="Arial" w:cs="Arial"/>
          <w:sz w:val="24"/>
          <w:szCs w:val="24"/>
        </w:rPr>
        <w:tab/>
      </w:r>
      <w:r w:rsidR="00D43497">
        <w:rPr>
          <w:rFonts w:ascii="Arial" w:hAnsi="Arial" w:cs="Arial"/>
          <w:sz w:val="24"/>
          <w:szCs w:val="24"/>
        </w:rPr>
        <w:t xml:space="preserve">06 September 2023 </w:t>
      </w:r>
      <w:r w:rsidR="00487882">
        <w:rPr>
          <w:rFonts w:ascii="Arial" w:hAnsi="Arial" w:cs="Arial"/>
          <w:sz w:val="24"/>
          <w:szCs w:val="24"/>
        </w:rPr>
        <w:t>&amp; 29 November 2023</w:t>
      </w:r>
    </w:p>
    <w:p w14:paraId="6C3D0FCE" w14:textId="772BF0A5" w:rsidR="00460D9D" w:rsidRPr="00460D9D" w:rsidRDefault="00AD5454" w:rsidP="005F2FF2">
      <w:pPr>
        <w:keepNext/>
        <w:keepLines/>
        <w:tabs>
          <w:tab w:val="left" w:pos="-426"/>
          <w:tab w:val="left" w:pos="3969"/>
        </w:tabs>
        <w:spacing w:before="120" w:after="120" w:line="360" w:lineRule="auto"/>
        <w:ind w:right="117"/>
        <w:jc w:val="both"/>
        <w:rPr>
          <w:rFonts w:ascii="Arial" w:hAnsi="Arial" w:cs="Arial"/>
          <w:b/>
          <w:bCs/>
          <w:sz w:val="24"/>
          <w:szCs w:val="24"/>
        </w:rPr>
      </w:pPr>
      <w:r w:rsidRPr="00DD1B08">
        <w:rPr>
          <w:rFonts w:ascii="Arial" w:hAnsi="Arial" w:cs="Arial"/>
          <w:sz w:val="24"/>
          <w:szCs w:val="24"/>
        </w:rPr>
        <w:t xml:space="preserve">Date of judgment: </w:t>
      </w:r>
      <w:r w:rsidR="00C23CBE" w:rsidRPr="00DD1B08">
        <w:rPr>
          <w:rFonts w:ascii="Arial" w:hAnsi="Arial" w:cs="Arial"/>
          <w:sz w:val="24"/>
          <w:szCs w:val="24"/>
        </w:rPr>
        <w:tab/>
      </w:r>
      <w:r w:rsidR="00C23CBE" w:rsidRPr="00DD1B08">
        <w:rPr>
          <w:rFonts w:ascii="Arial" w:hAnsi="Arial" w:cs="Arial"/>
          <w:sz w:val="24"/>
          <w:szCs w:val="24"/>
        </w:rPr>
        <w:tab/>
      </w:r>
      <w:r w:rsidR="00DD0348" w:rsidRPr="00DD1B08">
        <w:rPr>
          <w:rFonts w:ascii="Arial" w:hAnsi="Arial" w:cs="Arial"/>
          <w:sz w:val="24"/>
          <w:szCs w:val="24"/>
        </w:rPr>
        <w:t xml:space="preserve"> </w:t>
      </w:r>
      <w:r w:rsidR="00460D9D">
        <w:rPr>
          <w:rFonts w:ascii="Arial" w:hAnsi="Arial" w:cs="Arial"/>
          <w:sz w:val="24"/>
          <w:szCs w:val="24"/>
        </w:rPr>
        <w:tab/>
      </w:r>
      <w:r w:rsidR="00460D9D">
        <w:rPr>
          <w:rFonts w:ascii="Arial" w:hAnsi="Arial" w:cs="Arial"/>
          <w:sz w:val="24"/>
          <w:szCs w:val="24"/>
        </w:rPr>
        <w:tab/>
      </w:r>
      <w:r w:rsidR="00C947EB">
        <w:rPr>
          <w:rFonts w:ascii="Arial" w:hAnsi="Arial" w:cs="Arial"/>
          <w:sz w:val="24"/>
          <w:szCs w:val="24"/>
        </w:rPr>
        <w:t xml:space="preserve">12 </w:t>
      </w:r>
      <w:r w:rsidR="001F44A2" w:rsidRPr="001F44A2">
        <w:rPr>
          <w:rFonts w:ascii="Arial" w:hAnsi="Arial" w:cs="Arial"/>
          <w:sz w:val="24"/>
          <w:szCs w:val="24"/>
        </w:rPr>
        <w:t>January 2024</w:t>
      </w:r>
    </w:p>
    <w:p w14:paraId="061E10AB" w14:textId="77777777" w:rsidR="00F51E73" w:rsidRDefault="00F51E73" w:rsidP="005F2FF2">
      <w:pPr>
        <w:tabs>
          <w:tab w:val="left" w:pos="-426"/>
          <w:tab w:val="left" w:pos="3969"/>
        </w:tabs>
        <w:spacing w:before="120" w:after="120" w:line="360" w:lineRule="auto"/>
        <w:ind w:right="117"/>
        <w:jc w:val="both"/>
        <w:rPr>
          <w:rFonts w:ascii="Arial" w:hAnsi="Arial" w:cs="Arial"/>
          <w:sz w:val="24"/>
          <w:szCs w:val="24"/>
        </w:rPr>
      </w:pPr>
    </w:p>
    <w:p w14:paraId="68BB0591" w14:textId="09583216" w:rsidR="00460D9D" w:rsidRDefault="00696B20" w:rsidP="005F2FF2">
      <w:pPr>
        <w:tabs>
          <w:tab w:val="left" w:pos="-426"/>
          <w:tab w:val="left" w:pos="3969"/>
        </w:tabs>
        <w:spacing w:before="120" w:after="120" w:line="360" w:lineRule="auto"/>
        <w:ind w:right="119"/>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C50A58">
        <w:rPr>
          <w:rFonts w:ascii="Arial" w:hAnsi="Arial" w:cs="Arial"/>
          <w:sz w:val="24"/>
          <w:szCs w:val="24"/>
        </w:rPr>
        <w:t xml:space="preserve"> </w:t>
      </w:r>
      <w:r w:rsidR="00BF7B20">
        <w:rPr>
          <w:rFonts w:ascii="Arial" w:hAnsi="Arial" w:cs="Arial"/>
          <w:sz w:val="24"/>
          <w:szCs w:val="24"/>
        </w:rPr>
        <w:t>a</w:t>
      </w:r>
      <w:r w:rsidR="00C50A58">
        <w:rPr>
          <w:rFonts w:ascii="Arial" w:hAnsi="Arial" w:cs="Arial"/>
          <w:sz w:val="24"/>
          <w:szCs w:val="24"/>
        </w:rPr>
        <w:t>pplicant</w:t>
      </w:r>
      <w:r w:rsidR="00236C9B">
        <w:rPr>
          <w:rFonts w:ascii="Arial" w:hAnsi="Arial" w:cs="Arial"/>
          <w:sz w:val="24"/>
          <w:szCs w:val="24"/>
        </w:rPr>
        <w:t xml:space="preserve"> in each matter</w:t>
      </w:r>
      <w:r w:rsidR="00C50A58">
        <w:rPr>
          <w:rFonts w:ascii="Arial" w:hAnsi="Arial" w:cs="Arial"/>
          <w:sz w:val="24"/>
          <w:szCs w:val="24"/>
        </w:rPr>
        <w:t xml:space="preserve">: </w:t>
      </w:r>
      <w:r w:rsidR="00C50A58">
        <w:rPr>
          <w:rFonts w:ascii="Arial" w:hAnsi="Arial" w:cs="Arial"/>
          <w:sz w:val="24"/>
          <w:szCs w:val="24"/>
        </w:rPr>
        <w:tab/>
      </w:r>
      <w:r w:rsidR="00C50A58">
        <w:rPr>
          <w:rFonts w:ascii="Arial" w:hAnsi="Arial" w:cs="Arial"/>
          <w:sz w:val="24"/>
          <w:szCs w:val="24"/>
        </w:rPr>
        <w:tab/>
      </w:r>
      <w:r w:rsidR="00236C9B">
        <w:rPr>
          <w:rFonts w:ascii="Arial" w:hAnsi="Arial" w:cs="Arial"/>
          <w:sz w:val="24"/>
          <w:szCs w:val="24"/>
        </w:rPr>
        <w:t>M Reineke</w:t>
      </w:r>
      <w:r w:rsidR="00D43497">
        <w:rPr>
          <w:rFonts w:ascii="Arial" w:hAnsi="Arial" w:cs="Arial"/>
          <w:sz w:val="24"/>
          <w:szCs w:val="24"/>
        </w:rPr>
        <w:t xml:space="preserve"> </w:t>
      </w:r>
    </w:p>
    <w:p w14:paraId="36C22ADC" w14:textId="745F6AB6" w:rsidR="00460D9D" w:rsidRDefault="00D02D59" w:rsidP="005F2FF2">
      <w:pPr>
        <w:tabs>
          <w:tab w:val="left" w:pos="-426"/>
          <w:tab w:val="left" w:pos="3969"/>
        </w:tabs>
        <w:spacing w:before="120" w:after="120" w:line="360" w:lineRule="auto"/>
        <w:ind w:left="5760" w:right="119" w:hanging="5760"/>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00460D9D">
        <w:rPr>
          <w:rFonts w:ascii="Arial" w:hAnsi="Arial" w:cs="Arial"/>
          <w:sz w:val="24"/>
          <w:szCs w:val="24"/>
        </w:rPr>
        <w:tab/>
      </w:r>
      <w:r w:rsidR="00236C9B">
        <w:rPr>
          <w:rFonts w:ascii="Arial" w:hAnsi="Arial" w:cs="Arial"/>
          <w:sz w:val="24"/>
          <w:szCs w:val="24"/>
        </w:rPr>
        <w:t>Hainsworth Koopman Inc, Pietermaritzburg</w:t>
      </w:r>
    </w:p>
    <w:p w14:paraId="67695AFE" w14:textId="0444C39B" w:rsidR="00B11930" w:rsidRDefault="00B11930" w:rsidP="005F2FF2">
      <w:pPr>
        <w:tabs>
          <w:tab w:val="left" w:pos="-426"/>
          <w:tab w:val="left" w:pos="3969"/>
        </w:tabs>
        <w:spacing w:before="120" w:after="120" w:line="360" w:lineRule="auto"/>
        <w:ind w:left="5760" w:right="119" w:hanging="5760"/>
        <w:rPr>
          <w:rFonts w:ascii="Arial" w:hAnsi="Arial" w:cs="Arial"/>
          <w:sz w:val="24"/>
          <w:szCs w:val="24"/>
        </w:rPr>
      </w:pPr>
      <w:r>
        <w:rPr>
          <w:rFonts w:ascii="Arial" w:hAnsi="Arial" w:cs="Arial"/>
          <w:sz w:val="24"/>
          <w:szCs w:val="24"/>
        </w:rPr>
        <w:tab/>
      </w:r>
      <w:r>
        <w:rPr>
          <w:rFonts w:ascii="Arial" w:hAnsi="Arial" w:cs="Arial"/>
          <w:sz w:val="24"/>
          <w:szCs w:val="24"/>
        </w:rPr>
        <w:tab/>
        <w:t>c/o Nkotzoe Attorneys, Midrand</w:t>
      </w:r>
    </w:p>
    <w:p w14:paraId="742D5E50" w14:textId="77777777" w:rsidR="00460D9D" w:rsidRDefault="00460D9D" w:rsidP="005F2FF2">
      <w:pPr>
        <w:tabs>
          <w:tab w:val="left" w:pos="-426"/>
          <w:tab w:val="left" w:pos="3969"/>
        </w:tabs>
        <w:spacing w:before="120" w:after="120" w:line="360" w:lineRule="auto"/>
        <w:ind w:left="4320" w:right="117" w:hanging="4320"/>
        <w:jc w:val="both"/>
        <w:rPr>
          <w:rFonts w:ascii="Arial" w:hAnsi="Arial" w:cs="Arial"/>
          <w:sz w:val="24"/>
          <w:szCs w:val="24"/>
        </w:rPr>
      </w:pPr>
    </w:p>
    <w:p w14:paraId="15389C89" w14:textId="77777777" w:rsidR="00460D9D" w:rsidRDefault="00696B20" w:rsidP="005F2FF2">
      <w:pPr>
        <w:keepNext/>
        <w:tabs>
          <w:tab w:val="left" w:pos="-426"/>
          <w:tab w:val="left" w:pos="3969"/>
        </w:tabs>
        <w:spacing w:before="120" w:after="120" w:line="360" w:lineRule="auto"/>
        <w:ind w:left="4321" w:right="119" w:hanging="4321"/>
        <w:jc w:val="both"/>
        <w:rPr>
          <w:rFonts w:ascii="Arial" w:hAnsi="Arial" w:cs="Arial"/>
          <w:sz w:val="24"/>
          <w:szCs w:val="24"/>
        </w:rPr>
      </w:pPr>
      <w:r w:rsidRPr="00DD1B08">
        <w:rPr>
          <w:rFonts w:ascii="Arial" w:hAnsi="Arial" w:cs="Arial"/>
          <w:sz w:val="24"/>
          <w:szCs w:val="24"/>
        </w:rPr>
        <w:lastRenderedPageBreak/>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BF7B20">
        <w:rPr>
          <w:rFonts w:ascii="Arial" w:hAnsi="Arial" w:cs="Arial"/>
          <w:sz w:val="24"/>
          <w:szCs w:val="24"/>
        </w:rPr>
        <w:t>r</w:t>
      </w:r>
      <w:r w:rsidR="00C50A58">
        <w:rPr>
          <w:rFonts w:ascii="Arial" w:hAnsi="Arial" w:cs="Arial"/>
          <w:sz w:val="24"/>
          <w:szCs w:val="24"/>
        </w:rPr>
        <w:t>espondents:</w:t>
      </w:r>
      <w:r w:rsidR="00C50A58">
        <w:rPr>
          <w:rFonts w:ascii="Arial" w:hAnsi="Arial" w:cs="Arial"/>
          <w:sz w:val="24"/>
          <w:szCs w:val="24"/>
        </w:rPr>
        <w:tab/>
      </w:r>
      <w:r w:rsidR="00C50A58">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D43497">
        <w:rPr>
          <w:rFonts w:ascii="Arial" w:hAnsi="Arial" w:cs="Arial"/>
          <w:sz w:val="24"/>
          <w:szCs w:val="24"/>
        </w:rPr>
        <w:t>No appearance for any</w:t>
      </w:r>
    </w:p>
    <w:p w14:paraId="5FB38347" w14:textId="2D742657" w:rsidR="00C50A58" w:rsidRDefault="00460D9D" w:rsidP="005F2FF2">
      <w:pPr>
        <w:keepNext/>
        <w:tabs>
          <w:tab w:val="left" w:pos="-426"/>
          <w:tab w:val="left" w:pos="3969"/>
        </w:tabs>
        <w:spacing w:before="120" w:after="120" w:line="360" w:lineRule="auto"/>
        <w:ind w:left="4320" w:right="117" w:hanging="43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3497">
        <w:rPr>
          <w:rFonts w:ascii="Arial" w:hAnsi="Arial" w:cs="Arial"/>
          <w:sz w:val="24"/>
          <w:szCs w:val="24"/>
        </w:rPr>
        <w:t>of the respondents</w:t>
      </w:r>
    </w:p>
    <w:p w14:paraId="1E232A3B" w14:textId="77777777" w:rsidR="00236C9B" w:rsidRDefault="00236C9B" w:rsidP="005F2FF2">
      <w:pPr>
        <w:keepNext/>
        <w:tabs>
          <w:tab w:val="left" w:pos="-426"/>
          <w:tab w:val="left" w:pos="3969"/>
          <w:tab w:val="left" w:pos="5670"/>
        </w:tabs>
        <w:spacing w:before="120" w:after="120" w:line="360" w:lineRule="auto"/>
        <w:ind w:right="117"/>
        <w:jc w:val="both"/>
        <w:rPr>
          <w:rFonts w:ascii="Arial" w:hAnsi="Arial" w:cs="Arial"/>
          <w:sz w:val="24"/>
          <w:szCs w:val="24"/>
        </w:rPr>
      </w:pPr>
    </w:p>
    <w:p w14:paraId="65A91374" w14:textId="77777777" w:rsidR="005F2FF2" w:rsidRDefault="00236C9B" w:rsidP="005F2FF2">
      <w:pPr>
        <w:keepNext/>
        <w:tabs>
          <w:tab w:val="left" w:pos="-426"/>
          <w:tab w:val="left" w:pos="3969"/>
          <w:tab w:val="left" w:pos="5670"/>
        </w:tabs>
        <w:spacing w:before="120" w:after="120" w:line="360" w:lineRule="auto"/>
        <w:ind w:right="119"/>
        <w:jc w:val="both"/>
        <w:rPr>
          <w:rFonts w:ascii="Arial" w:hAnsi="Arial" w:cs="Arial"/>
          <w:sz w:val="24"/>
          <w:szCs w:val="24"/>
        </w:rPr>
      </w:pPr>
      <w:r>
        <w:rPr>
          <w:rFonts w:ascii="Arial" w:hAnsi="Arial" w:cs="Arial"/>
          <w:sz w:val="24"/>
          <w:szCs w:val="24"/>
        </w:rPr>
        <w:t>Counsel for Banking Association of South Africa:</w:t>
      </w:r>
      <w:r>
        <w:rPr>
          <w:rFonts w:ascii="Arial" w:hAnsi="Arial" w:cs="Arial"/>
          <w:sz w:val="24"/>
          <w:szCs w:val="24"/>
        </w:rPr>
        <w:tab/>
        <w:t>I Green SC</w:t>
      </w:r>
      <w:r>
        <w:rPr>
          <w:rFonts w:ascii="Arial" w:hAnsi="Arial" w:cs="Arial"/>
          <w:sz w:val="24"/>
          <w:szCs w:val="24"/>
        </w:rPr>
        <w:tab/>
      </w:r>
    </w:p>
    <w:p w14:paraId="136E5788" w14:textId="46D5CEE4" w:rsidR="00236C9B" w:rsidRDefault="005F2FF2" w:rsidP="005F2FF2">
      <w:pPr>
        <w:keepNext/>
        <w:tabs>
          <w:tab w:val="left" w:pos="-426"/>
          <w:tab w:val="left" w:pos="3969"/>
          <w:tab w:val="left" w:pos="5670"/>
        </w:tabs>
        <w:spacing w:before="120" w:after="120" w:line="360" w:lineRule="auto"/>
        <w:ind w:right="119"/>
        <w:jc w:val="both"/>
        <w:rPr>
          <w:rFonts w:ascii="Arial" w:hAnsi="Arial" w:cs="Arial"/>
          <w:sz w:val="24"/>
          <w:szCs w:val="24"/>
        </w:rPr>
      </w:pPr>
      <w:r>
        <w:rPr>
          <w:rFonts w:ascii="Arial" w:hAnsi="Arial" w:cs="Arial"/>
          <w:sz w:val="24"/>
          <w:szCs w:val="24"/>
        </w:rPr>
        <w:tab/>
      </w:r>
      <w:r>
        <w:rPr>
          <w:rFonts w:ascii="Arial" w:hAnsi="Arial" w:cs="Arial"/>
          <w:sz w:val="24"/>
          <w:szCs w:val="24"/>
        </w:rPr>
        <w:tab/>
      </w:r>
      <w:r w:rsidR="00236C9B">
        <w:rPr>
          <w:rFonts w:ascii="Arial" w:hAnsi="Arial" w:cs="Arial"/>
          <w:sz w:val="24"/>
          <w:szCs w:val="24"/>
        </w:rPr>
        <w:t>P N</w:t>
      </w:r>
      <w:r w:rsidR="00D74B80">
        <w:rPr>
          <w:rFonts w:ascii="Arial" w:hAnsi="Arial" w:cs="Arial"/>
          <w:sz w:val="24"/>
          <w:szCs w:val="24"/>
        </w:rPr>
        <w:t>g</w:t>
      </w:r>
      <w:r w:rsidR="00236C9B">
        <w:rPr>
          <w:rFonts w:ascii="Arial" w:hAnsi="Arial" w:cs="Arial"/>
          <w:sz w:val="24"/>
          <w:szCs w:val="24"/>
        </w:rPr>
        <w:t>congo</w:t>
      </w:r>
    </w:p>
    <w:p w14:paraId="0D704C0E" w14:textId="77777777" w:rsidR="00236C9B" w:rsidRDefault="00236C9B" w:rsidP="005F2FF2">
      <w:pPr>
        <w:keepNext/>
        <w:tabs>
          <w:tab w:val="left" w:pos="-426"/>
          <w:tab w:val="left" w:pos="3969"/>
          <w:tab w:val="left" w:pos="5670"/>
        </w:tabs>
        <w:spacing w:before="120" w:after="120" w:line="480" w:lineRule="auto"/>
        <w:ind w:right="117"/>
        <w:jc w:val="both"/>
        <w:rPr>
          <w:rFonts w:ascii="Arial" w:hAnsi="Arial" w:cs="Arial"/>
          <w:sz w:val="24"/>
          <w:szCs w:val="24"/>
        </w:rPr>
      </w:pPr>
      <w:r>
        <w:rPr>
          <w:rFonts w:ascii="Arial" w:hAnsi="Arial" w:cs="Arial"/>
          <w:sz w:val="24"/>
          <w:szCs w:val="24"/>
        </w:rPr>
        <w:tab/>
      </w:r>
      <w:r>
        <w:rPr>
          <w:rFonts w:ascii="Arial" w:hAnsi="Arial" w:cs="Arial"/>
          <w:sz w:val="24"/>
          <w:szCs w:val="24"/>
        </w:rPr>
        <w:tab/>
        <w:t>I Hayath</w:t>
      </w:r>
    </w:p>
    <w:p w14:paraId="42F05C2E" w14:textId="799567D4" w:rsidR="00C50A58" w:rsidRDefault="00236C9B" w:rsidP="005F2FF2">
      <w:pPr>
        <w:keepNext/>
        <w:tabs>
          <w:tab w:val="left" w:pos="-426"/>
          <w:tab w:val="left" w:pos="3969"/>
          <w:tab w:val="left" w:pos="5670"/>
        </w:tabs>
        <w:spacing w:before="120" w:after="120" w:line="480" w:lineRule="auto"/>
        <w:ind w:left="5680" w:right="-450" w:hanging="5680"/>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Edward Nathan </w:t>
      </w:r>
      <w:r w:rsidR="005F2FF2">
        <w:rPr>
          <w:rFonts w:ascii="Arial" w:hAnsi="Arial" w:cs="Arial"/>
          <w:sz w:val="24"/>
          <w:szCs w:val="24"/>
        </w:rPr>
        <w:t>S</w:t>
      </w:r>
      <w:r>
        <w:rPr>
          <w:rFonts w:ascii="Arial" w:hAnsi="Arial" w:cs="Arial"/>
          <w:sz w:val="24"/>
          <w:szCs w:val="24"/>
        </w:rPr>
        <w:t>onnenbergs Inc</w:t>
      </w:r>
      <w:bookmarkEnd w:id="0"/>
    </w:p>
    <w:sectPr w:rsidR="00C50A58" w:rsidSect="0038599E">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E9DB" w14:textId="77777777" w:rsidR="002C11B0" w:rsidRDefault="002C11B0" w:rsidP="00AD5454">
      <w:pPr>
        <w:spacing w:after="0" w:line="240" w:lineRule="auto"/>
      </w:pPr>
      <w:r>
        <w:separator/>
      </w:r>
    </w:p>
  </w:endnote>
  <w:endnote w:type="continuationSeparator" w:id="0">
    <w:p w14:paraId="5FFFA71B" w14:textId="77777777" w:rsidR="002C11B0" w:rsidRDefault="002C11B0" w:rsidP="00AD5454">
      <w:pPr>
        <w:spacing w:after="0" w:line="240" w:lineRule="auto"/>
      </w:pPr>
      <w:r>
        <w:continuationSeparator/>
      </w:r>
    </w:p>
  </w:endnote>
  <w:endnote w:type="continuationNotice" w:id="1">
    <w:p w14:paraId="292F4346" w14:textId="77777777" w:rsidR="002C11B0" w:rsidRDefault="002C1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D59F" w14:textId="77777777" w:rsidR="002C11B0" w:rsidRDefault="002C11B0" w:rsidP="00AD5454">
      <w:pPr>
        <w:spacing w:after="0" w:line="240" w:lineRule="auto"/>
      </w:pPr>
      <w:r>
        <w:separator/>
      </w:r>
    </w:p>
  </w:footnote>
  <w:footnote w:type="continuationSeparator" w:id="0">
    <w:p w14:paraId="3A133BEF" w14:textId="77777777" w:rsidR="002C11B0" w:rsidRDefault="002C11B0" w:rsidP="00AD5454">
      <w:pPr>
        <w:spacing w:after="0" w:line="240" w:lineRule="auto"/>
      </w:pPr>
      <w:r>
        <w:continuationSeparator/>
      </w:r>
    </w:p>
  </w:footnote>
  <w:footnote w:type="continuationNotice" w:id="1">
    <w:p w14:paraId="03D57629" w14:textId="77777777" w:rsidR="002C11B0" w:rsidRDefault="002C11B0">
      <w:pPr>
        <w:spacing w:after="0" w:line="240" w:lineRule="auto"/>
      </w:pPr>
    </w:p>
  </w:footnote>
  <w:footnote w:id="2">
    <w:p w14:paraId="371DAF34" w14:textId="77777777" w:rsidR="00F77C3C" w:rsidRPr="00010EA1" w:rsidRDefault="00F77C3C" w:rsidP="00F77C3C">
      <w:pPr>
        <w:pStyle w:val="FootnoteText"/>
        <w:rPr>
          <w:lang w:val="en-US"/>
        </w:rPr>
      </w:pPr>
      <w:r>
        <w:rPr>
          <w:rStyle w:val="FootnoteReference"/>
        </w:rPr>
        <w:footnoteRef/>
      </w:r>
      <w:r>
        <w:t xml:space="preserve">  </w:t>
      </w:r>
      <w:r w:rsidRPr="00010EA1">
        <w:rPr>
          <w:rFonts w:cs="Arial"/>
          <w:i/>
          <w:iCs/>
          <w:szCs w:val="18"/>
        </w:rPr>
        <w:t xml:space="preserve">Nedbank Limited v Mollentze </w:t>
      </w:r>
      <w:r w:rsidRPr="00010EA1">
        <w:rPr>
          <w:rFonts w:cs="Arial"/>
          <w:szCs w:val="18"/>
        </w:rPr>
        <w:t xml:space="preserve">2022 (4) SA 597 (ML) (“Mollentze”) at para 47; </w:t>
      </w:r>
      <w:r w:rsidRPr="00010EA1">
        <w:rPr>
          <w:rFonts w:cs="Arial"/>
          <w:i/>
          <w:iCs/>
          <w:szCs w:val="18"/>
        </w:rPr>
        <w:t xml:space="preserve">Gcasamba v Mercedes-Benz Financial Services SA (Pty) Limited and Another </w:t>
      </w:r>
      <w:r w:rsidRPr="00010EA1">
        <w:rPr>
          <w:rFonts w:cs="Arial"/>
          <w:szCs w:val="18"/>
        </w:rPr>
        <w:t>2023 (1) SA 141 (FB) (</w:t>
      </w:r>
      <w:r>
        <w:rPr>
          <w:rFonts w:cs="Arial"/>
          <w:szCs w:val="18"/>
        </w:rPr>
        <w:t>“</w:t>
      </w:r>
      <w:r w:rsidRPr="00010EA1">
        <w:rPr>
          <w:rFonts w:cs="Arial"/>
          <w:i/>
          <w:iCs/>
          <w:szCs w:val="18"/>
        </w:rPr>
        <w:t>Gcasamba</w:t>
      </w:r>
      <w:r>
        <w:rPr>
          <w:rFonts w:cs="Arial"/>
          <w:szCs w:val="18"/>
        </w:rPr>
        <w:t>”</w:t>
      </w:r>
      <w:r w:rsidRPr="00010EA1">
        <w:rPr>
          <w:rFonts w:cs="Arial"/>
          <w:szCs w:val="18"/>
        </w:rPr>
        <w:t>) at para 37.</w:t>
      </w:r>
    </w:p>
  </w:footnote>
  <w:footnote w:id="3">
    <w:p w14:paraId="73926EB0" w14:textId="77777777" w:rsidR="00C07872" w:rsidRPr="00BF7B20" w:rsidRDefault="00C07872" w:rsidP="00C07872">
      <w:pPr>
        <w:pStyle w:val="FootnoteText"/>
      </w:pPr>
      <w:r w:rsidRPr="00BF7B20">
        <w:rPr>
          <w:rStyle w:val="FootnoteReference"/>
        </w:rPr>
        <w:footnoteRef/>
      </w:r>
      <w:r w:rsidRPr="00BF7B20">
        <w:t xml:space="preserve"> </w:t>
      </w:r>
      <w:r w:rsidRPr="00BF7B20">
        <w:rPr>
          <w:i/>
          <w:iCs/>
        </w:rPr>
        <w:t>Standard Bank of South Africa Limited and Others v Mpongo and Others</w:t>
      </w:r>
      <w:r w:rsidRPr="00BF7B20">
        <w:t xml:space="preserve"> 2021 (6) SA 403 (SCA) (“</w:t>
      </w:r>
      <w:r w:rsidRPr="00BF7B20">
        <w:rPr>
          <w:i/>
          <w:iCs/>
        </w:rPr>
        <w:t>Mpongo</w:t>
      </w:r>
      <w:r w:rsidRPr="00BF7B20">
        <w:t xml:space="preserve">”) and subsequently affirmed on appeal to the Constitutional Court in </w:t>
      </w:r>
      <w:r w:rsidRPr="00BF7B20">
        <w:rPr>
          <w:i/>
          <w:iCs/>
        </w:rPr>
        <w:t xml:space="preserve">South African Human Rights Commission v Standard Bank of South Africa Limited and Others </w:t>
      </w:r>
      <w:r w:rsidRPr="00BF7B20">
        <w:t>2023 (3) SA 36 (CC) (“</w:t>
      </w:r>
      <w:r w:rsidRPr="00BF7B20">
        <w:rPr>
          <w:i/>
          <w:iCs/>
        </w:rPr>
        <w:t>SAHRC”)</w:t>
      </w:r>
      <w:r w:rsidRPr="00BF7B20">
        <w:t xml:space="preserve">. </w:t>
      </w:r>
    </w:p>
  </w:footnote>
  <w:footnote w:id="4">
    <w:p w14:paraId="7FC16618" w14:textId="3FD8AA07" w:rsidR="00C07872" w:rsidRDefault="00C07872">
      <w:pPr>
        <w:pStyle w:val="FootnoteText"/>
      </w:pPr>
      <w:r>
        <w:rPr>
          <w:rStyle w:val="FootnoteReference"/>
        </w:rPr>
        <w:footnoteRef/>
      </w:r>
      <w:r>
        <w:t xml:space="preserve"> [2018] ZAGPPHC 286 (2 May 2018). </w:t>
      </w:r>
    </w:p>
  </w:footnote>
  <w:footnote w:id="5">
    <w:p w14:paraId="7903B7B6" w14:textId="77777777" w:rsidR="001A1F7C" w:rsidRDefault="001A1F7C" w:rsidP="001A1F7C">
      <w:pPr>
        <w:pStyle w:val="FootnoteText"/>
      </w:pPr>
      <w:r>
        <w:rPr>
          <w:rStyle w:val="FootnoteReference"/>
        </w:rPr>
        <w:footnoteRef/>
      </w:r>
      <w:r>
        <w:t xml:space="preserve"> [2020] ZAGPPHC 319 (12 June 2020). </w:t>
      </w:r>
    </w:p>
  </w:footnote>
  <w:footnote w:id="6">
    <w:p w14:paraId="3B0ADC3B" w14:textId="5D6E9A8B" w:rsidR="001A1F7C" w:rsidRDefault="001A1F7C" w:rsidP="001A1F7C">
      <w:pPr>
        <w:pStyle w:val="FootnoteText"/>
      </w:pPr>
      <w:r>
        <w:rPr>
          <w:rStyle w:val="FootnoteReference"/>
        </w:rPr>
        <w:footnoteRef/>
      </w:r>
      <w:r>
        <w:t xml:space="preserve"> Paras 45 to 49</w:t>
      </w:r>
      <w:r w:rsidR="00BA4116">
        <w:t xml:space="preserve">, with reference to paragraph 173 of </w:t>
      </w:r>
      <w:r w:rsidR="00BA4116" w:rsidRPr="00BA4116">
        <w:rPr>
          <w:i/>
          <w:iCs/>
        </w:rPr>
        <w:t>Nkata</w:t>
      </w:r>
      <w:r w:rsidR="00BA4116">
        <w:t>.</w:t>
      </w:r>
    </w:p>
  </w:footnote>
  <w:footnote w:id="7">
    <w:p w14:paraId="225A95E9" w14:textId="77777777" w:rsidR="00BA4116" w:rsidRDefault="00BA4116" w:rsidP="00BA4116">
      <w:pPr>
        <w:pStyle w:val="FootnoteText"/>
      </w:pPr>
      <w:r>
        <w:rPr>
          <w:rStyle w:val="FootnoteReference"/>
        </w:rPr>
        <w:footnoteRef/>
      </w:r>
      <w:r>
        <w:t xml:space="preserve"> [2021] ZAGPPHC 128 (10 March 2021). </w:t>
      </w:r>
    </w:p>
  </w:footnote>
  <w:footnote w:id="8">
    <w:p w14:paraId="0835C7BE" w14:textId="77777777" w:rsidR="00BA4116" w:rsidRPr="004B46EF" w:rsidRDefault="00BA4116" w:rsidP="00BA4116">
      <w:pPr>
        <w:pStyle w:val="FootnoteText"/>
      </w:pPr>
      <w:r>
        <w:rPr>
          <w:rStyle w:val="FootnoteReference"/>
        </w:rPr>
        <w:footnoteRef/>
      </w:r>
      <w:r>
        <w:t xml:space="preserve"> </w:t>
      </w:r>
      <w:r>
        <w:rPr>
          <w:i/>
          <w:iCs/>
        </w:rPr>
        <w:t xml:space="preserve">Nkata supra </w:t>
      </w:r>
      <w:r>
        <w:t xml:space="preserve">at para 173. </w:t>
      </w:r>
    </w:p>
  </w:footnote>
  <w:footnote w:id="9">
    <w:p w14:paraId="05329681" w14:textId="77777777" w:rsidR="000E685A" w:rsidRDefault="000E685A" w:rsidP="000E685A">
      <w:pPr>
        <w:pStyle w:val="FootnoteText"/>
      </w:pPr>
      <w:r>
        <w:rPr>
          <w:rStyle w:val="FootnoteReference"/>
        </w:rPr>
        <w:footnoteRef/>
      </w:r>
      <w:r>
        <w:t xml:space="preserve"> [2021] ZAKZPHC 51 (23 August 2021). </w:t>
      </w:r>
    </w:p>
  </w:footnote>
  <w:footnote w:id="10">
    <w:p w14:paraId="0DB63F24" w14:textId="05B7D19F" w:rsidR="00010EA1" w:rsidRPr="00010EA1" w:rsidRDefault="00010EA1">
      <w:pPr>
        <w:pStyle w:val="FootnoteText"/>
        <w:rPr>
          <w:lang w:val="en-US"/>
        </w:rPr>
      </w:pPr>
      <w:r>
        <w:rPr>
          <w:rStyle w:val="FootnoteReference"/>
        </w:rPr>
        <w:footnoteRef/>
      </w:r>
      <w:r>
        <w:t xml:space="preserve"> </w:t>
      </w:r>
      <w:r>
        <w:rPr>
          <w:lang w:val="en-US"/>
        </w:rPr>
        <w:t>Above.</w:t>
      </w:r>
    </w:p>
  </w:footnote>
  <w:footnote w:id="11">
    <w:p w14:paraId="7FAFA519" w14:textId="3EDF3A3F" w:rsidR="00010EA1" w:rsidRPr="00010EA1" w:rsidRDefault="00010EA1">
      <w:pPr>
        <w:pStyle w:val="FootnoteText"/>
        <w:rPr>
          <w:lang w:val="en-US"/>
        </w:rPr>
      </w:pPr>
      <w:r>
        <w:rPr>
          <w:rStyle w:val="FootnoteReference"/>
        </w:rPr>
        <w:footnoteRef/>
      </w:r>
      <w:r>
        <w:t xml:space="preserve"> </w:t>
      </w:r>
      <w:r>
        <w:rPr>
          <w:lang w:val="en-US"/>
        </w:rPr>
        <w:t>Above.</w:t>
      </w:r>
    </w:p>
  </w:footnote>
  <w:footnote w:id="12">
    <w:p w14:paraId="5E996EB2" w14:textId="77777777" w:rsidR="009926F7" w:rsidRDefault="009926F7" w:rsidP="009926F7">
      <w:pPr>
        <w:pStyle w:val="FootnoteText"/>
      </w:pPr>
      <w:r>
        <w:rPr>
          <w:rStyle w:val="FootnoteReference"/>
        </w:rPr>
        <w:footnoteRef/>
      </w:r>
      <w:r>
        <w:t xml:space="preserve"> [2023] ZAECELLC 6 (31 March 2023). </w:t>
      </w:r>
    </w:p>
  </w:footnote>
  <w:footnote w:id="13">
    <w:p w14:paraId="3F389741" w14:textId="77777777" w:rsidR="009926F7" w:rsidRDefault="009926F7" w:rsidP="009926F7">
      <w:pPr>
        <w:pStyle w:val="FootnoteText"/>
      </w:pPr>
      <w:r>
        <w:rPr>
          <w:rStyle w:val="FootnoteReference"/>
        </w:rPr>
        <w:footnoteRef/>
      </w:r>
      <w:r>
        <w:t xml:space="preserve"> [2023] ZAGPPHC 367 (6 March 2023). </w:t>
      </w:r>
    </w:p>
  </w:footnote>
  <w:footnote w:id="14">
    <w:p w14:paraId="148558B9" w14:textId="5EBF9C85" w:rsidR="00210EE3" w:rsidRPr="00210EE3" w:rsidRDefault="00210EE3">
      <w:pPr>
        <w:pStyle w:val="FootnoteText"/>
        <w:rPr>
          <w:lang w:val="en-US"/>
        </w:rPr>
      </w:pPr>
      <w:r>
        <w:rPr>
          <w:rStyle w:val="FootnoteReference"/>
        </w:rPr>
        <w:footnoteRef/>
      </w:r>
      <w:r>
        <w:t xml:space="preserve"> </w:t>
      </w:r>
      <w:r>
        <w:rPr>
          <w:lang w:val="en-US"/>
        </w:rPr>
        <w:t>Para 14</w:t>
      </w:r>
      <w:r w:rsidR="00003016">
        <w:rPr>
          <w:lang w:val="en-US"/>
        </w:rPr>
        <w:t xml:space="preserve"> and 33.</w:t>
      </w:r>
    </w:p>
  </w:footnote>
  <w:footnote w:id="15">
    <w:p w14:paraId="20553001" w14:textId="1B4B124F" w:rsidR="00210EE3" w:rsidRPr="00210EE3" w:rsidRDefault="00210EE3">
      <w:pPr>
        <w:pStyle w:val="FootnoteText"/>
        <w:rPr>
          <w:lang w:val="en-US"/>
        </w:rPr>
      </w:pPr>
      <w:r>
        <w:rPr>
          <w:rStyle w:val="FootnoteReference"/>
        </w:rPr>
        <w:footnoteRef/>
      </w:r>
      <w:r>
        <w:t xml:space="preserve"> </w:t>
      </w:r>
      <w:r>
        <w:rPr>
          <w:lang w:val="en-US"/>
        </w:rPr>
        <w:t>Para 15.</w:t>
      </w:r>
    </w:p>
  </w:footnote>
  <w:footnote w:id="16">
    <w:p w14:paraId="2B942887" w14:textId="162E3586" w:rsidR="00610C7C" w:rsidRPr="00610C7C" w:rsidRDefault="00610C7C">
      <w:pPr>
        <w:pStyle w:val="FootnoteText"/>
        <w:rPr>
          <w:lang w:val="en-US"/>
        </w:rPr>
      </w:pPr>
      <w:r>
        <w:rPr>
          <w:rStyle w:val="FootnoteReference"/>
        </w:rPr>
        <w:footnoteRef/>
      </w:r>
      <w:r w:rsidR="007058A4">
        <w:t xml:space="preserve"> Hahlo &amp; Kahn </w:t>
      </w:r>
      <w:r w:rsidR="007058A4" w:rsidRPr="007058A4">
        <w:rPr>
          <w:i/>
          <w:iCs/>
        </w:rPr>
        <w:t>The South African Legal System and its Background</w:t>
      </w:r>
      <w:r w:rsidR="007058A4">
        <w:t xml:space="preserve"> (Juta) 1968 at p 260.</w:t>
      </w:r>
      <w:r>
        <w:t xml:space="preserve"> See</w:t>
      </w:r>
      <w:r w:rsidR="007058A4">
        <w:t xml:space="preserve"> also</w:t>
      </w:r>
      <w:r>
        <w:t xml:space="preserve"> the discussion in </w:t>
      </w:r>
      <w:r w:rsidRPr="00F17BA4">
        <w:rPr>
          <w:i/>
          <w:iCs/>
          <w:lang w:val="en-US"/>
        </w:rPr>
        <w:t>Pretoria City Council v Levinson</w:t>
      </w:r>
      <w:r>
        <w:rPr>
          <w:lang w:val="en-US"/>
        </w:rPr>
        <w:t xml:space="preserve"> 1949 (3) SA 305 (AD) at pp 316 and 317</w:t>
      </w:r>
      <w:r w:rsidR="007058A4">
        <w:rPr>
          <w:lang w:val="en-US"/>
        </w:rPr>
        <w:t>.</w:t>
      </w:r>
    </w:p>
  </w:footnote>
  <w:footnote w:id="17">
    <w:p w14:paraId="6637D9B2" w14:textId="6B17A53D" w:rsidR="004507C0" w:rsidRPr="004507C0" w:rsidRDefault="004507C0">
      <w:pPr>
        <w:pStyle w:val="FootnoteText"/>
        <w:rPr>
          <w:lang w:val="en-US"/>
        </w:rPr>
      </w:pPr>
      <w:r>
        <w:rPr>
          <w:rStyle w:val="FootnoteReference"/>
        </w:rPr>
        <w:footnoteRef/>
      </w:r>
      <w:r>
        <w:t xml:space="preserve"> </w:t>
      </w:r>
      <w:r>
        <w:rPr>
          <w:lang w:val="en-US"/>
        </w:rPr>
        <w:t>A</w:t>
      </w:r>
      <w:r w:rsidR="00D43058">
        <w:rPr>
          <w:lang w:val="en-US"/>
        </w:rPr>
        <w:t xml:space="preserve">pplying </w:t>
      </w:r>
      <w:r>
        <w:rPr>
          <w:lang w:val="en-US"/>
        </w:rPr>
        <w:t xml:space="preserve">what appears to be preferred </w:t>
      </w:r>
      <w:r w:rsidR="00D43058">
        <w:rPr>
          <w:lang w:val="en-US"/>
        </w:rPr>
        <w:t xml:space="preserve">approach by Schreiner JA, as he then was, in </w:t>
      </w:r>
      <w:r w:rsidR="00D43058" w:rsidRPr="00D43058">
        <w:rPr>
          <w:i/>
          <w:iCs/>
          <w:lang w:val="en-US"/>
        </w:rPr>
        <w:t xml:space="preserve">Pretoria City Council </w:t>
      </w:r>
      <w:r w:rsidR="00D43058">
        <w:rPr>
          <w:lang w:val="en-US"/>
        </w:rPr>
        <w:t>above, at 317.</w:t>
      </w:r>
    </w:p>
  </w:footnote>
  <w:footnote w:id="18">
    <w:p w14:paraId="251BBB54" w14:textId="62BA4F30" w:rsidR="00E1720C" w:rsidRPr="00E1720C" w:rsidRDefault="00E1720C">
      <w:pPr>
        <w:pStyle w:val="FootnoteText"/>
        <w:rPr>
          <w:lang w:val="en-US"/>
        </w:rPr>
      </w:pPr>
      <w:r>
        <w:rPr>
          <w:rStyle w:val="FootnoteReference"/>
        </w:rPr>
        <w:footnoteRef/>
      </w:r>
      <w:r>
        <w:t xml:space="preserve"> </w:t>
      </w:r>
      <w:r w:rsidR="00E94B3D" w:rsidRPr="000F7F9D">
        <w:rPr>
          <w:i/>
          <w:iCs/>
          <w:lang w:val="en-US"/>
        </w:rPr>
        <w:t>Turnbull-Jackson v Hibiscus Coast Municipality</w:t>
      </w:r>
      <w:r w:rsidR="00E94B3D">
        <w:rPr>
          <w:lang w:val="en-US"/>
        </w:rPr>
        <w:t xml:space="preserve"> 2014 (6) SA 592 (CC) at 619C/D.</w:t>
      </w:r>
    </w:p>
  </w:footnote>
  <w:footnote w:id="19">
    <w:p w14:paraId="15CED83E" w14:textId="77777777" w:rsidR="00B00526" w:rsidRPr="006220EE" w:rsidRDefault="00B00526" w:rsidP="00B00526">
      <w:pPr>
        <w:pStyle w:val="FootnoteText"/>
        <w:rPr>
          <w:lang w:val="en-US"/>
        </w:rPr>
      </w:pPr>
      <w:r>
        <w:rPr>
          <w:rStyle w:val="FootnoteReference"/>
        </w:rPr>
        <w:footnoteRef/>
      </w:r>
      <w:r>
        <w:t xml:space="preserve"> </w:t>
      </w:r>
      <w:r>
        <w:rPr>
          <w:lang w:val="en-US"/>
        </w:rPr>
        <w:t>Above, para 12.</w:t>
      </w:r>
    </w:p>
  </w:footnote>
  <w:footnote w:id="20">
    <w:p w14:paraId="3B4A7DDF" w14:textId="77777777" w:rsidR="00B00526" w:rsidRPr="00DC3921" w:rsidRDefault="00B00526" w:rsidP="00B00526">
      <w:pPr>
        <w:pStyle w:val="FootnoteText"/>
        <w:rPr>
          <w:lang w:val="en-US"/>
        </w:rPr>
      </w:pPr>
      <w:r>
        <w:rPr>
          <w:rStyle w:val="FootnoteReference"/>
        </w:rPr>
        <w:footnoteRef/>
      </w:r>
      <w:r>
        <w:t xml:space="preserve"> </w:t>
      </w:r>
      <w:r>
        <w:rPr>
          <w:lang w:val="en-US"/>
        </w:rPr>
        <w:t>Para 33.</w:t>
      </w:r>
    </w:p>
  </w:footnote>
  <w:footnote w:id="21">
    <w:p w14:paraId="20DDBA94" w14:textId="77777777" w:rsidR="00695A71" w:rsidRPr="006220EE" w:rsidRDefault="00695A71" w:rsidP="00695A71">
      <w:pPr>
        <w:pStyle w:val="FootnoteText"/>
        <w:rPr>
          <w:lang w:val="en-US"/>
        </w:rPr>
      </w:pPr>
      <w:r>
        <w:rPr>
          <w:rStyle w:val="FootnoteReference"/>
        </w:rPr>
        <w:footnoteRef/>
      </w:r>
      <w:r>
        <w:t xml:space="preserve"> </w:t>
      </w:r>
      <w:r>
        <w:rPr>
          <w:lang w:val="en-US"/>
        </w:rPr>
        <w:t>Para 14.</w:t>
      </w:r>
    </w:p>
  </w:footnote>
  <w:footnote w:id="22">
    <w:p w14:paraId="6E257F7E" w14:textId="0E899821" w:rsidR="00646784" w:rsidRPr="00646784" w:rsidRDefault="00646784">
      <w:pPr>
        <w:pStyle w:val="FootnoteText"/>
        <w:rPr>
          <w:lang w:val="en-US"/>
        </w:rPr>
      </w:pPr>
      <w:r>
        <w:rPr>
          <w:rStyle w:val="FootnoteReference"/>
        </w:rPr>
        <w:footnoteRef/>
      </w:r>
      <w:r>
        <w:t xml:space="preserve"> </w:t>
      </w:r>
      <w:r>
        <w:rPr>
          <w:lang w:val="en-US"/>
        </w:rPr>
        <w:t>Per Greenberg JA in</w:t>
      </w:r>
      <w:r w:rsidR="00E94B3D">
        <w:rPr>
          <w:lang w:val="en-US"/>
        </w:rPr>
        <w:t xml:space="preserve"> </w:t>
      </w:r>
      <w:r w:rsidR="00E94B3D" w:rsidRPr="00646784">
        <w:rPr>
          <w:i/>
          <w:iCs/>
          <w:lang w:val="en-US"/>
        </w:rPr>
        <w:t>Fellner v Minister of the Interior</w:t>
      </w:r>
      <w:r w:rsidR="00E94B3D">
        <w:rPr>
          <w:lang w:val="en-US"/>
        </w:rPr>
        <w:t xml:space="preserve"> 1954 (4) SA 523 (A) </w:t>
      </w:r>
      <w:r w:rsidR="00E1720C">
        <w:rPr>
          <w:lang w:val="en-US"/>
        </w:rPr>
        <w:t xml:space="preserve">above, </w:t>
      </w:r>
      <w:r w:rsidR="00556A53">
        <w:rPr>
          <w:lang w:val="en-US"/>
        </w:rPr>
        <w:t>at 538E to 539C</w:t>
      </w:r>
      <w:r>
        <w:rPr>
          <w:lang w:val="en-US"/>
        </w:rPr>
        <w:t xml:space="preserve">, which applied in this instance </w:t>
      </w:r>
      <w:r w:rsidR="0032663B">
        <w:rPr>
          <w:lang w:val="en-US"/>
        </w:rPr>
        <w:t xml:space="preserve">appears to </w:t>
      </w:r>
      <w:r>
        <w:rPr>
          <w:lang w:val="en-US"/>
        </w:rPr>
        <w:t xml:space="preserve">be consistent with what was held by the majority judgment of Centlivres CJ (Fagan JA concurring) </w:t>
      </w:r>
      <w:r w:rsidR="0032663B">
        <w:rPr>
          <w:lang w:val="en-US"/>
        </w:rPr>
        <w:t xml:space="preserve">at 532D to 533A </w:t>
      </w:r>
      <w:r>
        <w:rPr>
          <w:lang w:val="en-US"/>
        </w:rPr>
        <w:t>in that matter</w:t>
      </w:r>
      <w:r w:rsidR="00B00526">
        <w:rPr>
          <w:lang w:val="en-US"/>
        </w:rPr>
        <w:t>.</w:t>
      </w:r>
      <w:r w:rsidR="00AE06EF">
        <w:rPr>
          <w:lang w:val="en-US"/>
        </w:rPr>
        <w:t xml:space="preserve"> See also the discussion in Hahlo &amp; Kahn above, at 274, 275.</w:t>
      </w:r>
    </w:p>
  </w:footnote>
  <w:footnote w:id="23">
    <w:p w14:paraId="0DA2B2AE" w14:textId="427275E4" w:rsidR="00156243" w:rsidRPr="00156243" w:rsidRDefault="00156243">
      <w:pPr>
        <w:pStyle w:val="FootnoteText"/>
        <w:rPr>
          <w:lang w:val="en-US"/>
        </w:rPr>
      </w:pPr>
      <w:r>
        <w:rPr>
          <w:rStyle w:val="FootnoteReference"/>
        </w:rPr>
        <w:footnoteRef/>
      </w:r>
      <w:r>
        <w:t xml:space="preserve"> </w:t>
      </w:r>
      <w:r w:rsidR="003D1E15">
        <w:rPr>
          <w:lang w:val="en-US"/>
        </w:rPr>
        <w:t>Para</w:t>
      </w:r>
      <w:r>
        <w:rPr>
          <w:lang w:val="en-US"/>
        </w:rPr>
        <w:t xml:space="preserve"> 6 to 11.</w:t>
      </w:r>
    </w:p>
  </w:footnote>
  <w:footnote w:id="24">
    <w:p w14:paraId="3FE42922" w14:textId="226CF668" w:rsidR="005750A9" w:rsidRPr="005750A9" w:rsidRDefault="005750A9">
      <w:pPr>
        <w:pStyle w:val="FootnoteText"/>
        <w:rPr>
          <w:lang w:val="en-US"/>
        </w:rPr>
      </w:pPr>
      <w:r>
        <w:rPr>
          <w:rStyle w:val="FootnoteReference"/>
        </w:rPr>
        <w:footnoteRef/>
      </w:r>
      <w:r>
        <w:t xml:space="preserve"> </w:t>
      </w:r>
      <w:r>
        <w:rPr>
          <w:lang w:val="en-US"/>
        </w:rPr>
        <w:t>Para 5</w:t>
      </w:r>
      <w:r w:rsidR="00716BCC">
        <w:rPr>
          <w:lang w:val="en-US"/>
        </w:rPr>
        <w:t xml:space="preserve"> to 7.</w:t>
      </w:r>
    </w:p>
  </w:footnote>
  <w:footnote w:id="25">
    <w:p w14:paraId="68BA8DCA" w14:textId="77777777" w:rsidR="00963F99" w:rsidRPr="003D1E15" w:rsidRDefault="00963F99" w:rsidP="00963F99">
      <w:pPr>
        <w:pStyle w:val="FootnoteText"/>
        <w:rPr>
          <w:lang w:val="en-US"/>
        </w:rPr>
      </w:pPr>
      <w:r>
        <w:rPr>
          <w:rStyle w:val="FootnoteReference"/>
        </w:rPr>
        <w:footnoteRef/>
      </w:r>
      <w:r>
        <w:t xml:space="preserve"> </w:t>
      </w:r>
      <w:r>
        <w:rPr>
          <w:lang w:val="en-US"/>
        </w:rPr>
        <w:t>Para 46.</w:t>
      </w:r>
    </w:p>
  </w:footnote>
  <w:footnote w:id="26">
    <w:p w14:paraId="57DE6269" w14:textId="77777777" w:rsidR="00963F99" w:rsidRPr="003D1E15" w:rsidRDefault="00963F99" w:rsidP="00963F99">
      <w:pPr>
        <w:pStyle w:val="FootnoteText"/>
        <w:rPr>
          <w:lang w:val="en-US"/>
        </w:rPr>
      </w:pPr>
      <w:r>
        <w:rPr>
          <w:rStyle w:val="FootnoteReference"/>
        </w:rPr>
        <w:footnoteRef/>
      </w:r>
      <w:r>
        <w:t xml:space="preserve"> </w:t>
      </w:r>
      <w:r>
        <w:rPr>
          <w:lang w:val="en-US"/>
        </w:rPr>
        <w:t>Para 18.</w:t>
      </w:r>
    </w:p>
  </w:footnote>
  <w:footnote w:id="27">
    <w:p w14:paraId="4C166A55" w14:textId="6CAAF330" w:rsidR="002D2186" w:rsidRPr="002D2186" w:rsidRDefault="002D2186">
      <w:pPr>
        <w:pStyle w:val="FootnoteText"/>
        <w:rPr>
          <w:lang w:val="en-US"/>
        </w:rPr>
      </w:pPr>
      <w:r>
        <w:rPr>
          <w:rStyle w:val="FootnoteReference"/>
        </w:rPr>
        <w:footnoteRef/>
      </w:r>
      <w:r>
        <w:t xml:space="preserve"> </w:t>
      </w:r>
      <w:r w:rsidRPr="002D2186">
        <w:rPr>
          <w:rFonts w:cs="Arial"/>
          <w:i/>
          <w:iCs/>
          <w:szCs w:val="18"/>
          <w:lang w:val="en-US"/>
        </w:rPr>
        <w:t>R v Crause</w:t>
      </w:r>
      <w:r w:rsidRPr="002D2186">
        <w:rPr>
          <w:rFonts w:cs="Arial"/>
          <w:szCs w:val="18"/>
          <w:lang w:val="en-US"/>
        </w:rPr>
        <w:t xml:space="preserve"> 1959 (1) SA 272 (A) at 281B/C.</w:t>
      </w:r>
    </w:p>
  </w:footnote>
  <w:footnote w:id="28">
    <w:p w14:paraId="1CAE90DD" w14:textId="63311A66" w:rsidR="000F7F9D" w:rsidRPr="000F7F9D" w:rsidRDefault="000F7F9D">
      <w:pPr>
        <w:pStyle w:val="FootnoteText"/>
        <w:rPr>
          <w:lang w:val="en-US"/>
        </w:rPr>
      </w:pPr>
      <w:r>
        <w:rPr>
          <w:rStyle w:val="FootnoteReference"/>
        </w:rPr>
        <w:footnoteRef/>
      </w:r>
      <w:r>
        <w:t xml:space="preserve"> </w:t>
      </w:r>
      <w:r w:rsidRPr="000F7F9D">
        <w:rPr>
          <w:i/>
          <w:iCs/>
          <w:lang w:val="en-US"/>
        </w:rPr>
        <w:t>Turnbull-Jackson</w:t>
      </w:r>
      <w:r w:rsidR="00E94B3D">
        <w:rPr>
          <w:i/>
          <w:iCs/>
          <w:lang w:val="en-US"/>
        </w:rPr>
        <w:t xml:space="preserve"> </w:t>
      </w:r>
      <w:r w:rsidR="00E94B3D">
        <w:rPr>
          <w:lang w:val="en-US"/>
        </w:rPr>
        <w:t xml:space="preserve">above, </w:t>
      </w:r>
      <w:r>
        <w:rPr>
          <w:lang w:val="en-US"/>
        </w:rPr>
        <w:t>at 616B.</w:t>
      </w:r>
    </w:p>
  </w:footnote>
  <w:footnote w:id="29">
    <w:p w14:paraId="72BA063B" w14:textId="6B905EA7" w:rsidR="0086052C" w:rsidRPr="0086052C" w:rsidRDefault="0086052C">
      <w:pPr>
        <w:pStyle w:val="FootnoteText"/>
        <w:rPr>
          <w:lang w:val="en-US"/>
        </w:rPr>
      </w:pPr>
      <w:r>
        <w:rPr>
          <w:rStyle w:val="FootnoteReference"/>
        </w:rPr>
        <w:footnoteRef/>
      </w:r>
      <w:r>
        <w:t xml:space="preserve"> </w:t>
      </w:r>
      <w:r>
        <w:rPr>
          <w:lang w:val="en-US"/>
        </w:rPr>
        <w:t xml:space="preserve">As in the many cases </w:t>
      </w:r>
      <w:r w:rsidR="00EA5EB0">
        <w:rPr>
          <w:lang w:val="en-US"/>
        </w:rPr>
        <w:t>precluding</w:t>
      </w:r>
      <w:r>
        <w:rPr>
          <w:lang w:val="en-US"/>
        </w:rPr>
        <w:t xml:space="preserve"> the registrar </w:t>
      </w:r>
      <w:r w:rsidR="00EA5EB0">
        <w:rPr>
          <w:lang w:val="en-US"/>
        </w:rPr>
        <w:t>from</w:t>
      </w:r>
      <w:r>
        <w:rPr>
          <w:lang w:val="en-US"/>
        </w:rPr>
        <w:t xml:space="preserve"> grant </w:t>
      </w:r>
      <w:r w:rsidR="009E247F">
        <w:rPr>
          <w:lang w:val="en-US"/>
        </w:rPr>
        <w:t xml:space="preserve">default </w:t>
      </w:r>
      <w:r>
        <w:rPr>
          <w:lang w:val="en-US"/>
        </w:rPr>
        <w:t xml:space="preserve">judgments and execution </w:t>
      </w:r>
      <w:r w:rsidR="00EA5EB0">
        <w:rPr>
          <w:lang w:val="en-US"/>
        </w:rPr>
        <w:t xml:space="preserve">orders </w:t>
      </w:r>
      <w:r>
        <w:rPr>
          <w:lang w:val="en-US"/>
        </w:rPr>
        <w:t xml:space="preserve">in foreclosures </w:t>
      </w:r>
      <w:r w:rsidR="009E247F">
        <w:rPr>
          <w:lang w:val="en-US"/>
        </w:rPr>
        <w:t>on</w:t>
      </w:r>
      <w:r w:rsidR="00EA5EB0">
        <w:rPr>
          <w:lang w:val="en-US"/>
        </w:rPr>
        <w:t xml:space="preserve"> residential immovable</w:t>
      </w:r>
      <w:r w:rsidRPr="0086052C">
        <w:rPr>
          <w:lang w:val="en-US"/>
        </w:rPr>
        <w:t xml:space="preserve"> property</w:t>
      </w:r>
      <w:r>
        <w:rPr>
          <w:lang w:val="en-US"/>
        </w:rPr>
        <w:t xml:space="preserve">. Or, as held in </w:t>
      </w:r>
      <w:r w:rsidRPr="0086052C">
        <w:rPr>
          <w:i/>
          <w:iCs/>
          <w:lang w:val="en-US"/>
        </w:rPr>
        <w:t>University of Stellenbosch</w:t>
      </w:r>
      <w:r>
        <w:rPr>
          <w:lang w:val="en-US"/>
        </w:rPr>
        <w:t xml:space="preserve">, in the context of </w:t>
      </w:r>
      <w:r w:rsidR="009E247F">
        <w:rPr>
          <w:lang w:val="en-US"/>
        </w:rPr>
        <w:t>the</w:t>
      </w:r>
      <w:r>
        <w:rPr>
          <w:lang w:val="en-US"/>
        </w:rPr>
        <w:t xml:space="preserve"> issue of emoluments attachment orders</w:t>
      </w:r>
      <w:r w:rsidR="009E247F">
        <w:rPr>
          <w:lang w:val="en-US"/>
        </w:rPr>
        <w:t xml:space="preserve">, which could not be done by </w:t>
      </w:r>
      <w:r>
        <w:rPr>
          <w:lang w:val="en-US"/>
        </w:rPr>
        <w:t>the clerk of the magistrates’ court</w:t>
      </w:r>
      <w:r w:rsidR="009E247F">
        <w:rPr>
          <w:lang w:val="en-US"/>
        </w:rPr>
        <w:t>.</w:t>
      </w:r>
    </w:p>
  </w:footnote>
  <w:footnote w:id="30">
    <w:p w14:paraId="03D922A2" w14:textId="05D21F29" w:rsidR="00356943" w:rsidRPr="00356943" w:rsidRDefault="00356943">
      <w:pPr>
        <w:pStyle w:val="FootnoteText"/>
        <w:rPr>
          <w:lang w:val="en-US"/>
        </w:rPr>
      </w:pPr>
      <w:r>
        <w:rPr>
          <w:rStyle w:val="FootnoteReference"/>
        </w:rPr>
        <w:footnoteRef/>
      </w:r>
      <w:r>
        <w:t xml:space="preserve"> </w:t>
      </w:r>
      <w:r>
        <w:rPr>
          <w:lang w:val="en-US"/>
        </w:rPr>
        <w:t>Para 15.</w:t>
      </w:r>
    </w:p>
  </w:footnote>
  <w:footnote w:id="31">
    <w:p w14:paraId="53E1BD8B" w14:textId="49465DF9" w:rsidR="00803590" w:rsidRPr="00803590" w:rsidRDefault="00803590">
      <w:pPr>
        <w:pStyle w:val="FootnoteText"/>
        <w:rPr>
          <w:lang w:val="en-US"/>
        </w:rPr>
      </w:pPr>
      <w:r>
        <w:rPr>
          <w:rStyle w:val="FootnoteReference"/>
        </w:rPr>
        <w:footnoteRef/>
      </w:r>
      <w:r>
        <w:t xml:space="preserve"> </w:t>
      </w:r>
      <w:r>
        <w:rPr>
          <w:lang w:val="en-US"/>
        </w:rPr>
        <w:t>Para 27.</w:t>
      </w:r>
    </w:p>
  </w:footnote>
  <w:footnote w:id="32">
    <w:p w14:paraId="5084F35C" w14:textId="1AA02C6C" w:rsidR="00A14589" w:rsidRPr="00A14589" w:rsidRDefault="00A14589">
      <w:pPr>
        <w:pStyle w:val="FootnoteText"/>
        <w:rPr>
          <w:lang w:val="en-US"/>
        </w:rPr>
      </w:pPr>
      <w:r>
        <w:rPr>
          <w:rStyle w:val="FootnoteReference"/>
        </w:rPr>
        <w:footnoteRef/>
      </w:r>
      <w:r>
        <w:t xml:space="preserve"> </w:t>
      </w:r>
      <w:r>
        <w:rPr>
          <w:lang w:val="en-US"/>
        </w:rPr>
        <w:t>Para 8.</w:t>
      </w:r>
    </w:p>
  </w:footnote>
  <w:footnote w:id="33">
    <w:p w14:paraId="6821165F" w14:textId="19DC227F" w:rsidR="00276405" w:rsidRPr="00276405" w:rsidRDefault="00276405">
      <w:pPr>
        <w:pStyle w:val="FootnoteText"/>
        <w:rPr>
          <w:lang w:val="en-US"/>
        </w:rPr>
      </w:pPr>
      <w:r>
        <w:rPr>
          <w:rStyle w:val="FootnoteReference"/>
        </w:rPr>
        <w:footnoteRef/>
      </w:r>
      <w:r>
        <w:t xml:space="preserve"> </w:t>
      </w:r>
      <w:r>
        <w:rPr>
          <w:lang w:val="en-US"/>
        </w:rPr>
        <w:t>And its predecessor, section 27A of the Supreme Court Act</w:t>
      </w:r>
      <w:r w:rsidR="00431480">
        <w:rPr>
          <w:lang w:val="en-US"/>
        </w:rPr>
        <w:t>, 1959, which was in force when the NCA came into effect on 1 June 2007.</w:t>
      </w:r>
    </w:p>
  </w:footnote>
  <w:footnote w:id="34">
    <w:p w14:paraId="101849C5" w14:textId="71D1ED1A" w:rsidR="008E2F52" w:rsidRPr="008E2F52" w:rsidRDefault="008E2F52">
      <w:pPr>
        <w:pStyle w:val="FootnoteText"/>
        <w:rPr>
          <w:lang w:val="en-US"/>
        </w:rPr>
      </w:pPr>
      <w:r>
        <w:rPr>
          <w:rStyle w:val="FootnoteReference"/>
        </w:rPr>
        <w:footnoteRef/>
      </w:r>
      <w:r>
        <w:t xml:space="preserve"> </w:t>
      </w:r>
      <w:r w:rsidRPr="008E2F52">
        <w:rPr>
          <w:i/>
          <w:iCs/>
          <w:lang w:val="en-US"/>
        </w:rPr>
        <w:t>Mollentze</w:t>
      </w:r>
      <w:r>
        <w:rPr>
          <w:lang w:val="en-US"/>
        </w:rPr>
        <w:t xml:space="preserve"> at para </w:t>
      </w:r>
      <w:r w:rsidR="00902F2F">
        <w:rPr>
          <w:lang w:val="en-US"/>
        </w:rPr>
        <w:t xml:space="preserve">19, 27 to 29, </w:t>
      </w:r>
      <w:r>
        <w:rPr>
          <w:lang w:val="en-US"/>
        </w:rPr>
        <w:t>59 and 60.</w:t>
      </w:r>
    </w:p>
  </w:footnote>
  <w:footnote w:id="35">
    <w:p w14:paraId="7AF591BB" w14:textId="343501BC" w:rsidR="004674FD" w:rsidRPr="004674FD" w:rsidRDefault="004674FD">
      <w:pPr>
        <w:pStyle w:val="FootnoteText"/>
        <w:rPr>
          <w:lang w:val="en-US"/>
        </w:rPr>
      </w:pPr>
      <w:r>
        <w:rPr>
          <w:rStyle w:val="FootnoteReference"/>
        </w:rPr>
        <w:footnoteRef/>
      </w:r>
      <w:r>
        <w:t xml:space="preserve"> </w:t>
      </w:r>
      <w:r>
        <w:rPr>
          <w:lang w:val="en-US"/>
        </w:rPr>
        <w:t xml:space="preserve">The full court of this Division in </w:t>
      </w:r>
      <w:r w:rsidRPr="004674FD">
        <w:rPr>
          <w:i/>
          <w:iCs/>
          <w:lang w:val="en-US"/>
        </w:rPr>
        <w:t>Nedbank Ltd v Mateman</w:t>
      </w:r>
      <w:r>
        <w:rPr>
          <w:lang w:val="en-US"/>
        </w:rPr>
        <w:t xml:space="preserve"> 2008 (4) SA 276 (T) at </w:t>
      </w:r>
      <w:r w:rsidR="0073099D">
        <w:rPr>
          <w:lang w:val="en-US"/>
        </w:rPr>
        <w:t>286</w:t>
      </w:r>
      <w:r>
        <w:rPr>
          <w:lang w:val="en-US"/>
        </w:rPr>
        <w:t>B-D rejected an argument initiated by the registrar that the workload of the court, and by implication by the registrar, constitutes a valid reason for refusing to hear a matter that falls within its jurisdiction. This was subsequently affirmed by the Supreme Court of Appeal in</w:t>
      </w:r>
      <w:r w:rsidRPr="004674FD">
        <w:rPr>
          <w:i/>
          <w:iCs/>
          <w:lang w:val="en-US"/>
        </w:rPr>
        <w:t xml:space="preserve"> Mpongo</w:t>
      </w:r>
      <w:r>
        <w:rPr>
          <w:lang w:val="en-US"/>
        </w:rPr>
        <w:t xml:space="preserve"> and then on </w:t>
      </w:r>
      <w:r w:rsidR="00D3655F">
        <w:rPr>
          <w:lang w:val="en-US"/>
        </w:rPr>
        <w:t xml:space="preserve">further </w:t>
      </w:r>
      <w:r>
        <w:rPr>
          <w:lang w:val="en-US"/>
        </w:rPr>
        <w:t xml:space="preserve">appeal by the Constitutional Court in </w:t>
      </w:r>
      <w:r w:rsidRPr="004674FD">
        <w:rPr>
          <w:i/>
          <w:iCs/>
          <w:lang w:val="en-US"/>
        </w:rPr>
        <w:t>SAHRC</w:t>
      </w:r>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63A437EC"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797AC8">
          <w:rPr>
            <w:rFonts w:ascii="Arial" w:hAnsi="Arial" w:cs="Arial"/>
            <w:noProof/>
            <w:sz w:val="24"/>
            <w:szCs w:val="24"/>
          </w:rPr>
          <w:t>3</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15:restartNumberingAfterBreak="0">
    <w:nsid w:val="47F13AE5"/>
    <w:multiLevelType w:val="hybridMultilevel"/>
    <w:tmpl w:val="84761338"/>
    <w:lvl w:ilvl="0" w:tplc="C334214A">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5"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6"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15:restartNumberingAfterBreak="0">
    <w:nsid w:val="536349A0"/>
    <w:multiLevelType w:val="hybridMultilevel"/>
    <w:tmpl w:val="155E2D86"/>
    <w:lvl w:ilvl="0" w:tplc="930A84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9"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31"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2"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5"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AE77543"/>
    <w:multiLevelType w:val="multilevel"/>
    <w:tmpl w:val="A40A8C48"/>
    <w:lvl w:ilvl="0">
      <w:start w:val="1"/>
      <w:numFmt w:val="decimal"/>
      <w:lvlText w:val="%1."/>
      <w:lvlJc w:val="left"/>
      <w:pPr>
        <w:ind w:left="624" w:hanging="624"/>
      </w:pPr>
      <w:rPr>
        <w:rFonts w:hint="default"/>
        <w:strike w:val="0"/>
      </w:rPr>
    </w:lvl>
    <w:lvl w:ilvl="1">
      <w:start w:val="1"/>
      <w:numFmt w:val="decimal"/>
      <w:lvlText w:val="%1.%2."/>
      <w:lvlJc w:val="left"/>
      <w:pPr>
        <w:ind w:left="1418" w:hanging="794"/>
      </w:pPr>
      <w:rPr>
        <w:rFonts w:ascii="Arial" w:hAnsi="Arial" w:cs="Arial" w:hint="default"/>
        <w:strike w:val="0"/>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8" w15:restartNumberingAfterBreak="0">
    <w:nsid w:val="727E09A7"/>
    <w:multiLevelType w:val="hybridMultilevel"/>
    <w:tmpl w:val="62C471CC"/>
    <w:lvl w:ilvl="0" w:tplc="1AF44D9A">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3"/>
  </w:num>
  <w:num w:numId="3">
    <w:abstractNumId w:val="7"/>
  </w:num>
  <w:num w:numId="4">
    <w:abstractNumId w:val="4"/>
  </w:num>
  <w:num w:numId="5">
    <w:abstractNumId w:val="3"/>
  </w:num>
  <w:num w:numId="6">
    <w:abstractNumId w:val="29"/>
  </w:num>
  <w:num w:numId="7">
    <w:abstractNumId w:val="25"/>
  </w:num>
  <w:num w:numId="8">
    <w:abstractNumId w:val="28"/>
  </w:num>
  <w:num w:numId="9">
    <w:abstractNumId w:val="10"/>
  </w:num>
  <w:num w:numId="10">
    <w:abstractNumId w:val="18"/>
  </w:num>
  <w:num w:numId="11">
    <w:abstractNumId w:val="16"/>
  </w:num>
  <w:num w:numId="12">
    <w:abstractNumId w:val="6"/>
  </w:num>
  <w:num w:numId="13">
    <w:abstractNumId w:val="5"/>
  </w:num>
  <w:num w:numId="14">
    <w:abstractNumId w:val="26"/>
  </w:num>
  <w:num w:numId="15">
    <w:abstractNumId w:val="1"/>
  </w:num>
  <w:num w:numId="16">
    <w:abstractNumId w:val="12"/>
  </w:num>
  <w:num w:numId="17">
    <w:abstractNumId w:val="19"/>
  </w:num>
  <w:num w:numId="18">
    <w:abstractNumId w:val="8"/>
  </w:num>
  <w:num w:numId="19">
    <w:abstractNumId w:val="21"/>
  </w:num>
  <w:num w:numId="20">
    <w:abstractNumId w:val="22"/>
  </w:num>
  <w:num w:numId="21">
    <w:abstractNumId w:val="11"/>
  </w:num>
  <w:num w:numId="22">
    <w:abstractNumId w:val="0"/>
  </w:num>
  <w:num w:numId="23">
    <w:abstractNumId w:val="31"/>
  </w:num>
  <w:num w:numId="24">
    <w:abstractNumId w:val="13"/>
  </w:num>
  <w:num w:numId="25">
    <w:abstractNumId w:val="9"/>
  </w:num>
  <w:num w:numId="26">
    <w:abstractNumId w:val="35"/>
  </w:num>
  <w:num w:numId="27">
    <w:abstractNumId w:val="36"/>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4"/>
  </w:num>
  <w:num w:numId="35">
    <w:abstractNumId w:val="32"/>
  </w:num>
  <w:num w:numId="36">
    <w:abstractNumId w:val="20"/>
  </w:num>
  <w:num w:numId="37">
    <w:abstractNumId w:val="37"/>
  </w:num>
  <w:num w:numId="38">
    <w:abstractNumId w:val="27"/>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Q0N7AwNAGSBobmZko6SsGpxcWZ+XkgBYa1ACcEjTosAAAA"/>
  </w:docVars>
  <w:rsids>
    <w:rsidRoot w:val="00AD5454"/>
    <w:rsid w:val="00001340"/>
    <w:rsid w:val="00002530"/>
    <w:rsid w:val="00002D4E"/>
    <w:rsid w:val="00003016"/>
    <w:rsid w:val="000051DB"/>
    <w:rsid w:val="000057A7"/>
    <w:rsid w:val="0000635F"/>
    <w:rsid w:val="000066BD"/>
    <w:rsid w:val="00006C88"/>
    <w:rsid w:val="00006CBC"/>
    <w:rsid w:val="00007149"/>
    <w:rsid w:val="000103C5"/>
    <w:rsid w:val="00010EA1"/>
    <w:rsid w:val="00012717"/>
    <w:rsid w:val="00013614"/>
    <w:rsid w:val="00014EC0"/>
    <w:rsid w:val="000162A6"/>
    <w:rsid w:val="000167EF"/>
    <w:rsid w:val="000171C5"/>
    <w:rsid w:val="000175A1"/>
    <w:rsid w:val="00020E27"/>
    <w:rsid w:val="00020F18"/>
    <w:rsid w:val="000247CF"/>
    <w:rsid w:val="000248AB"/>
    <w:rsid w:val="00024978"/>
    <w:rsid w:val="000249CF"/>
    <w:rsid w:val="00024AF6"/>
    <w:rsid w:val="0002506C"/>
    <w:rsid w:val="00026A27"/>
    <w:rsid w:val="00027164"/>
    <w:rsid w:val="000277C2"/>
    <w:rsid w:val="0003036A"/>
    <w:rsid w:val="00031012"/>
    <w:rsid w:val="00033361"/>
    <w:rsid w:val="00033D1D"/>
    <w:rsid w:val="00034FA8"/>
    <w:rsid w:val="000354D4"/>
    <w:rsid w:val="00035F31"/>
    <w:rsid w:val="00036130"/>
    <w:rsid w:val="000362DB"/>
    <w:rsid w:val="000363BD"/>
    <w:rsid w:val="00037059"/>
    <w:rsid w:val="00037E60"/>
    <w:rsid w:val="00041C82"/>
    <w:rsid w:val="00041E3B"/>
    <w:rsid w:val="00042A5C"/>
    <w:rsid w:val="00043835"/>
    <w:rsid w:val="00045449"/>
    <w:rsid w:val="000464A3"/>
    <w:rsid w:val="000479E6"/>
    <w:rsid w:val="00047CFE"/>
    <w:rsid w:val="0005047F"/>
    <w:rsid w:val="000504F9"/>
    <w:rsid w:val="0005246C"/>
    <w:rsid w:val="0005318E"/>
    <w:rsid w:val="00053384"/>
    <w:rsid w:val="00053B61"/>
    <w:rsid w:val="00055E5A"/>
    <w:rsid w:val="000561D6"/>
    <w:rsid w:val="000562B4"/>
    <w:rsid w:val="00060019"/>
    <w:rsid w:val="00060214"/>
    <w:rsid w:val="00061700"/>
    <w:rsid w:val="0006183F"/>
    <w:rsid w:val="00061B03"/>
    <w:rsid w:val="00063AA1"/>
    <w:rsid w:val="00063F04"/>
    <w:rsid w:val="00064BDC"/>
    <w:rsid w:val="0006503E"/>
    <w:rsid w:val="00065D27"/>
    <w:rsid w:val="0006799E"/>
    <w:rsid w:val="00072827"/>
    <w:rsid w:val="0007355B"/>
    <w:rsid w:val="000751AA"/>
    <w:rsid w:val="00076604"/>
    <w:rsid w:val="00076A81"/>
    <w:rsid w:val="00077882"/>
    <w:rsid w:val="00080096"/>
    <w:rsid w:val="00080BE4"/>
    <w:rsid w:val="00081E44"/>
    <w:rsid w:val="0008244B"/>
    <w:rsid w:val="00083284"/>
    <w:rsid w:val="00083F1D"/>
    <w:rsid w:val="00084E06"/>
    <w:rsid w:val="00084FF7"/>
    <w:rsid w:val="00085BA2"/>
    <w:rsid w:val="00085BBD"/>
    <w:rsid w:val="00086297"/>
    <w:rsid w:val="00086C80"/>
    <w:rsid w:val="000877FD"/>
    <w:rsid w:val="000900BB"/>
    <w:rsid w:val="00091058"/>
    <w:rsid w:val="000917ED"/>
    <w:rsid w:val="000936BB"/>
    <w:rsid w:val="00093EF0"/>
    <w:rsid w:val="00094A84"/>
    <w:rsid w:val="00095889"/>
    <w:rsid w:val="0009663D"/>
    <w:rsid w:val="00096794"/>
    <w:rsid w:val="00096809"/>
    <w:rsid w:val="000A0821"/>
    <w:rsid w:val="000A08C4"/>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5B27"/>
    <w:rsid w:val="000B6D56"/>
    <w:rsid w:val="000C0982"/>
    <w:rsid w:val="000C09A4"/>
    <w:rsid w:val="000C323D"/>
    <w:rsid w:val="000C32C3"/>
    <w:rsid w:val="000C353B"/>
    <w:rsid w:val="000C3F7C"/>
    <w:rsid w:val="000C463B"/>
    <w:rsid w:val="000C5B47"/>
    <w:rsid w:val="000C6B78"/>
    <w:rsid w:val="000C7C1D"/>
    <w:rsid w:val="000D19DE"/>
    <w:rsid w:val="000D1A25"/>
    <w:rsid w:val="000D3205"/>
    <w:rsid w:val="000D451F"/>
    <w:rsid w:val="000D52CD"/>
    <w:rsid w:val="000D5DF2"/>
    <w:rsid w:val="000D63DB"/>
    <w:rsid w:val="000D7379"/>
    <w:rsid w:val="000D77E5"/>
    <w:rsid w:val="000E071E"/>
    <w:rsid w:val="000E211A"/>
    <w:rsid w:val="000E2600"/>
    <w:rsid w:val="000E2703"/>
    <w:rsid w:val="000E48A4"/>
    <w:rsid w:val="000E55B0"/>
    <w:rsid w:val="000E685A"/>
    <w:rsid w:val="000F0DFC"/>
    <w:rsid w:val="000F14E8"/>
    <w:rsid w:val="000F15DF"/>
    <w:rsid w:val="000F256A"/>
    <w:rsid w:val="000F2A50"/>
    <w:rsid w:val="000F3502"/>
    <w:rsid w:val="000F36EC"/>
    <w:rsid w:val="000F3A7A"/>
    <w:rsid w:val="000F4342"/>
    <w:rsid w:val="000F5B4D"/>
    <w:rsid w:val="000F5FFD"/>
    <w:rsid w:val="000F6A7B"/>
    <w:rsid w:val="000F6DFE"/>
    <w:rsid w:val="000F7F9D"/>
    <w:rsid w:val="001029E5"/>
    <w:rsid w:val="00106019"/>
    <w:rsid w:val="001060E7"/>
    <w:rsid w:val="001067C5"/>
    <w:rsid w:val="001117FE"/>
    <w:rsid w:val="00111CC2"/>
    <w:rsid w:val="00112075"/>
    <w:rsid w:val="001154E5"/>
    <w:rsid w:val="001156A9"/>
    <w:rsid w:val="00115E80"/>
    <w:rsid w:val="00116270"/>
    <w:rsid w:val="00116DCF"/>
    <w:rsid w:val="001227DD"/>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5E97"/>
    <w:rsid w:val="001461D1"/>
    <w:rsid w:val="00146A5B"/>
    <w:rsid w:val="00147533"/>
    <w:rsid w:val="00150144"/>
    <w:rsid w:val="00150160"/>
    <w:rsid w:val="00150DEB"/>
    <w:rsid w:val="001516F3"/>
    <w:rsid w:val="00151ACB"/>
    <w:rsid w:val="00152D75"/>
    <w:rsid w:val="001547D7"/>
    <w:rsid w:val="00154935"/>
    <w:rsid w:val="001552D5"/>
    <w:rsid w:val="001557C1"/>
    <w:rsid w:val="00156243"/>
    <w:rsid w:val="001562E9"/>
    <w:rsid w:val="00156D6D"/>
    <w:rsid w:val="0015725A"/>
    <w:rsid w:val="00162123"/>
    <w:rsid w:val="001629D4"/>
    <w:rsid w:val="00163206"/>
    <w:rsid w:val="00163356"/>
    <w:rsid w:val="00164305"/>
    <w:rsid w:val="00164461"/>
    <w:rsid w:val="0016490E"/>
    <w:rsid w:val="0016642E"/>
    <w:rsid w:val="00166769"/>
    <w:rsid w:val="001673C5"/>
    <w:rsid w:val="00171524"/>
    <w:rsid w:val="0017291A"/>
    <w:rsid w:val="00172B81"/>
    <w:rsid w:val="00173946"/>
    <w:rsid w:val="00174C2B"/>
    <w:rsid w:val="00180265"/>
    <w:rsid w:val="001802CA"/>
    <w:rsid w:val="00180D04"/>
    <w:rsid w:val="00181193"/>
    <w:rsid w:val="0018146D"/>
    <w:rsid w:val="00182C8F"/>
    <w:rsid w:val="00183059"/>
    <w:rsid w:val="00184211"/>
    <w:rsid w:val="00184688"/>
    <w:rsid w:val="00186E3C"/>
    <w:rsid w:val="001876CC"/>
    <w:rsid w:val="00187CFC"/>
    <w:rsid w:val="00187D0F"/>
    <w:rsid w:val="00187E09"/>
    <w:rsid w:val="0019071D"/>
    <w:rsid w:val="00190EB7"/>
    <w:rsid w:val="00191A86"/>
    <w:rsid w:val="0019512E"/>
    <w:rsid w:val="00195163"/>
    <w:rsid w:val="001A0515"/>
    <w:rsid w:val="001A068E"/>
    <w:rsid w:val="001A09B6"/>
    <w:rsid w:val="001A0A03"/>
    <w:rsid w:val="001A0CE5"/>
    <w:rsid w:val="001A15B5"/>
    <w:rsid w:val="001A1F7C"/>
    <w:rsid w:val="001A2CBE"/>
    <w:rsid w:val="001A321E"/>
    <w:rsid w:val="001A3C9E"/>
    <w:rsid w:val="001A4CD5"/>
    <w:rsid w:val="001A597B"/>
    <w:rsid w:val="001A6086"/>
    <w:rsid w:val="001A69AE"/>
    <w:rsid w:val="001A6F44"/>
    <w:rsid w:val="001A77F5"/>
    <w:rsid w:val="001A7806"/>
    <w:rsid w:val="001B3E48"/>
    <w:rsid w:val="001B4019"/>
    <w:rsid w:val="001B4444"/>
    <w:rsid w:val="001B5C0E"/>
    <w:rsid w:val="001B689E"/>
    <w:rsid w:val="001B716F"/>
    <w:rsid w:val="001B7585"/>
    <w:rsid w:val="001C0097"/>
    <w:rsid w:val="001C10F3"/>
    <w:rsid w:val="001C1219"/>
    <w:rsid w:val="001C2DDC"/>
    <w:rsid w:val="001C626D"/>
    <w:rsid w:val="001C68F0"/>
    <w:rsid w:val="001C6B80"/>
    <w:rsid w:val="001C78FE"/>
    <w:rsid w:val="001D3843"/>
    <w:rsid w:val="001D60E9"/>
    <w:rsid w:val="001D7E2D"/>
    <w:rsid w:val="001E10AD"/>
    <w:rsid w:val="001E3216"/>
    <w:rsid w:val="001E42F2"/>
    <w:rsid w:val="001E4DEF"/>
    <w:rsid w:val="001E564E"/>
    <w:rsid w:val="001E77F0"/>
    <w:rsid w:val="001E7BF2"/>
    <w:rsid w:val="001E7DE7"/>
    <w:rsid w:val="001F0ABA"/>
    <w:rsid w:val="001F17A7"/>
    <w:rsid w:val="001F1C4F"/>
    <w:rsid w:val="001F3B24"/>
    <w:rsid w:val="001F44A2"/>
    <w:rsid w:val="001F6F23"/>
    <w:rsid w:val="001F76ED"/>
    <w:rsid w:val="00200446"/>
    <w:rsid w:val="00200953"/>
    <w:rsid w:val="002054DD"/>
    <w:rsid w:val="00205BF4"/>
    <w:rsid w:val="00206729"/>
    <w:rsid w:val="002069ED"/>
    <w:rsid w:val="00207DFA"/>
    <w:rsid w:val="00210292"/>
    <w:rsid w:val="00210463"/>
    <w:rsid w:val="00210C28"/>
    <w:rsid w:val="00210EE3"/>
    <w:rsid w:val="0021129B"/>
    <w:rsid w:val="002130D1"/>
    <w:rsid w:val="002139D3"/>
    <w:rsid w:val="00213DE3"/>
    <w:rsid w:val="002204C4"/>
    <w:rsid w:val="00222CCA"/>
    <w:rsid w:val="00222D58"/>
    <w:rsid w:val="0022745C"/>
    <w:rsid w:val="00230586"/>
    <w:rsid w:val="00230763"/>
    <w:rsid w:val="00232619"/>
    <w:rsid w:val="00233DCE"/>
    <w:rsid w:val="00234539"/>
    <w:rsid w:val="00235E10"/>
    <w:rsid w:val="00236C9B"/>
    <w:rsid w:val="00237C41"/>
    <w:rsid w:val="002409BA"/>
    <w:rsid w:val="00240C7D"/>
    <w:rsid w:val="00241A9F"/>
    <w:rsid w:val="00242A4F"/>
    <w:rsid w:val="002437C0"/>
    <w:rsid w:val="00243F04"/>
    <w:rsid w:val="00244D2E"/>
    <w:rsid w:val="002462DC"/>
    <w:rsid w:val="002463EA"/>
    <w:rsid w:val="00246F85"/>
    <w:rsid w:val="00247B8B"/>
    <w:rsid w:val="00250054"/>
    <w:rsid w:val="00250086"/>
    <w:rsid w:val="00252472"/>
    <w:rsid w:val="00252C5D"/>
    <w:rsid w:val="00253805"/>
    <w:rsid w:val="002603E8"/>
    <w:rsid w:val="002605B6"/>
    <w:rsid w:val="002607C6"/>
    <w:rsid w:val="00260FB6"/>
    <w:rsid w:val="00261CA5"/>
    <w:rsid w:val="0026217C"/>
    <w:rsid w:val="002628C1"/>
    <w:rsid w:val="00263366"/>
    <w:rsid w:val="0026721F"/>
    <w:rsid w:val="002719AA"/>
    <w:rsid w:val="00271DC9"/>
    <w:rsid w:val="0027204F"/>
    <w:rsid w:val="00272CD0"/>
    <w:rsid w:val="00276405"/>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31A1"/>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1F58"/>
    <w:rsid w:val="002B281D"/>
    <w:rsid w:val="002B297A"/>
    <w:rsid w:val="002B4EF1"/>
    <w:rsid w:val="002B526B"/>
    <w:rsid w:val="002B5CBD"/>
    <w:rsid w:val="002B5EAB"/>
    <w:rsid w:val="002B61C0"/>
    <w:rsid w:val="002C11B0"/>
    <w:rsid w:val="002C2AF6"/>
    <w:rsid w:val="002C383C"/>
    <w:rsid w:val="002C3E13"/>
    <w:rsid w:val="002C668E"/>
    <w:rsid w:val="002C7673"/>
    <w:rsid w:val="002D0198"/>
    <w:rsid w:val="002D0284"/>
    <w:rsid w:val="002D0786"/>
    <w:rsid w:val="002D0D22"/>
    <w:rsid w:val="002D188C"/>
    <w:rsid w:val="002D2186"/>
    <w:rsid w:val="002D2351"/>
    <w:rsid w:val="002D2FF7"/>
    <w:rsid w:val="002D40AE"/>
    <w:rsid w:val="002D466A"/>
    <w:rsid w:val="002D4BBB"/>
    <w:rsid w:val="002D5424"/>
    <w:rsid w:val="002D6C4B"/>
    <w:rsid w:val="002E0DB5"/>
    <w:rsid w:val="002E1433"/>
    <w:rsid w:val="002E2399"/>
    <w:rsid w:val="002E64AD"/>
    <w:rsid w:val="002F0645"/>
    <w:rsid w:val="002F1231"/>
    <w:rsid w:val="002F1A28"/>
    <w:rsid w:val="002F220C"/>
    <w:rsid w:val="002F40FC"/>
    <w:rsid w:val="002F5BD0"/>
    <w:rsid w:val="002F6105"/>
    <w:rsid w:val="002F6E56"/>
    <w:rsid w:val="00300CAF"/>
    <w:rsid w:val="00303C6D"/>
    <w:rsid w:val="0030448F"/>
    <w:rsid w:val="00305E4B"/>
    <w:rsid w:val="00306063"/>
    <w:rsid w:val="00310D49"/>
    <w:rsid w:val="00312030"/>
    <w:rsid w:val="003122D4"/>
    <w:rsid w:val="003142ED"/>
    <w:rsid w:val="00314333"/>
    <w:rsid w:val="0031568E"/>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63B"/>
    <w:rsid w:val="00326E21"/>
    <w:rsid w:val="00326E3E"/>
    <w:rsid w:val="00327206"/>
    <w:rsid w:val="003279FB"/>
    <w:rsid w:val="00327A45"/>
    <w:rsid w:val="003316C7"/>
    <w:rsid w:val="00332CBB"/>
    <w:rsid w:val="00334D13"/>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56943"/>
    <w:rsid w:val="00360034"/>
    <w:rsid w:val="00362D6D"/>
    <w:rsid w:val="0036566B"/>
    <w:rsid w:val="00370D9D"/>
    <w:rsid w:val="0037105D"/>
    <w:rsid w:val="00372A21"/>
    <w:rsid w:val="0037479C"/>
    <w:rsid w:val="003769F9"/>
    <w:rsid w:val="00376F5E"/>
    <w:rsid w:val="00377FBF"/>
    <w:rsid w:val="00380A0F"/>
    <w:rsid w:val="00382909"/>
    <w:rsid w:val="003834F6"/>
    <w:rsid w:val="0038351A"/>
    <w:rsid w:val="00383ACA"/>
    <w:rsid w:val="00383B36"/>
    <w:rsid w:val="0038599E"/>
    <w:rsid w:val="00385CF6"/>
    <w:rsid w:val="00386B59"/>
    <w:rsid w:val="003872D3"/>
    <w:rsid w:val="003876CA"/>
    <w:rsid w:val="00387C6F"/>
    <w:rsid w:val="00387FF5"/>
    <w:rsid w:val="0039140A"/>
    <w:rsid w:val="00392A75"/>
    <w:rsid w:val="003945E8"/>
    <w:rsid w:val="003A21BD"/>
    <w:rsid w:val="003A2A93"/>
    <w:rsid w:val="003A2AF5"/>
    <w:rsid w:val="003A3BD2"/>
    <w:rsid w:val="003A3D15"/>
    <w:rsid w:val="003A3EE9"/>
    <w:rsid w:val="003A4524"/>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766D"/>
    <w:rsid w:val="003C7883"/>
    <w:rsid w:val="003D0064"/>
    <w:rsid w:val="003D1340"/>
    <w:rsid w:val="003D1356"/>
    <w:rsid w:val="003D1565"/>
    <w:rsid w:val="003D1E15"/>
    <w:rsid w:val="003D2A10"/>
    <w:rsid w:val="003D500A"/>
    <w:rsid w:val="003D5268"/>
    <w:rsid w:val="003D57DA"/>
    <w:rsid w:val="003D5F3C"/>
    <w:rsid w:val="003D6DA6"/>
    <w:rsid w:val="003E01A4"/>
    <w:rsid w:val="003E0505"/>
    <w:rsid w:val="003E2220"/>
    <w:rsid w:val="003E32C8"/>
    <w:rsid w:val="003E4447"/>
    <w:rsid w:val="003E450C"/>
    <w:rsid w:val="003E4E08"/>
    <w:rsid w:val="003E520A"/>
    <w:rsid w:val="003E561F"/>
    <w:rsid w:val="003E64BF"/>
    <w:rsid w:val="003E64DF"/>
    <w:rsid w:val="003E66F6"/>
    <w:rsid w:val="003E6F56"/>
    <w:rsid w:val="003E7897"/>
    <w:rsid w:val="003F02DB"/>
    <w:rsid w:val="003F0DB3"/>
    <w:rsid w:val="003F2797"/>
    <w:rsid w:val="003F28E5"/>
    <w:rsid w:val="003F28FA"/>
    <w:rsid w:val="003F2C73"/>
    <w:rsid w:val="003F2C91"/>
    <w:rsid w:val="003F7365"/>
    <w:rsid w:val="004008DC"/>
    <w:rsid w:val="00401B2F"/>
    <w:rsid w:val="00401FEB"/>
    <w:rsid w:val="0040381A"/>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2747"/>
    <w:rsid w:val="00423779"/>
    <w:rsid w:val="00425F0B"/>
    <w:rsid w:val="00426AF2"/>
    <w:rsid w:val="004276DC"/>
    <w:rsid w:val="00427D2A"/>
    <w:rsid w:val="00427D55"/>
    <w:rsid w:val="00431480"/>
    <w:rsid w:val="00431CAD"/>
    <w:rsid w:val="00432B11"/>
    <w:rsid w:val="00433A44"/>
    <w:rsid w:val="004347F9"/>
    <w:rsid w:val="00434991"/>
    <w:rsid w:val="00436781"/>
    <w:rsid w:val="00436AE4"/>
    <w:rsid w:val="00440017"/>
    <w:rsid w:val="0044014D"/>
    <w:rsid w:val="00440220"/>
    <w:rsid w:val="00440D46"/>
    <w:rsid w:val="00440E58"/>
    <w:rsid w:val="004412A6"/>
    <w:rsid w:val="0044161D"/>
    <w:rsid w:val="00441D04"/>
    <w:rsid w:val="004430D7"/>
    <w:rsid w:val="00443682"/>
    <w:rsid w:val="00443CEA"/>
    <w:rsid w:val="00443E6A"/>
    <w:rsid w:val="00444C2F"/>
    <w:rsid w:val="004475CE"/>
    <w:rsid w:val="004475D1"/>
    <w:rsid w:val="004478CD"/>
    <w:rsid w:val="004479DB"/>
    <w:rsid w:val="004507C0"/>
    <w:rsid w:val="0045263D"/>
    <w:rsid w:val="00452BE3"/>
    <w:rsid w:val="00452E78"/>
    <w:rsid w:val="004535A0"/>
    <w:rsid w:val="004535E8"/>
    <w:rsid w:val="004538A3"/>
    <w:rsid w:val="004547E8"/>
    <w:rsid w:val="004578D9"/>
    <w:rsid w:val="004601D7"/>
    <w:rsid w:val="004604B6"/>
    <w:rsid w:val="0046083F"/>
    <w:rsid w:val="00460D9D"/>
    <w:rsid w:val="004610FD"/>
    <w:rsid w:val="0046266A"/>
    <w:rsid w:val="004634B3"/>
    <w:rsid w:val="00463707"/>
    <w:rsid w:val="00466336"/>
    <w:rsid w:val="004674FD"/>
    <w:rsid w:val="00473303"/>
    <w:rsid w:val="00473470"/>
    <w:rsid w:val="0047403D"/>
    <w:rsid w:val="00475A48"/>
    <w:rsid w:val="0047705D"/>
    <w:rsid w:val="00480C8B"/>
    <w:rsid w:val="00481709"/>
    <w:rsid w:val="00481985"/>
    <w:rsid w:val="0048212B"/>
    <w:rsid w:val="004835AF"/>
    <w:rsid w:val="00484B6D"/>
    <w:rsid w:val="00484D43"/>
    <w:rsid w:val="0048554B"/>
    <w:rsid w:val="00485EAC"/>
    <w:rsid w:val="004865ED"/>
    <w:rsid w:val="00487882"/>
    <w:rsid w:val="00487CEB"/>
    <w:rsid w:val="00487EB3"/>
    <w:rsid w:val="00492161"/>
    <w:rsid w:val="0049238A"/>
    <w:rsid w:val="00492919"/>
    <w:rsid w:val="004931E8"/>
    <w:rsid w:val="004956CD"/>
    <w:rsid w:val="00495FB7"/>
    <w:rsid w:val="004966EE"/>
    <w:rsid w:val="004A1F2B"/>
    <w:rsid w:val="004A28B6"/>
    <w:rsid w:val="004A3831"/>
    <w:rsid w:val="004A3909"/>
    <w:rsid w:val="004A4611"/>
    <w:rsid w:val="004A4627"/>
    <w:rsid w:val="004A4EEE"/>
    <w:rsid w:val="004A51E1"/>
    <w:rsid w:val="004A552B"/>
    <w:rsid w:val="004A64FE"/>
    <w:rsid w:val="004A6940"/>
    <w:rsid w:val="004A6CE6"/>
    <w:rsid w:val="004A7C19"/>
    <w:rsid w:val="004A7C3B"/>
    <w:rsid w:val="004B0145"/>
    <w:rsid w:val="004B0E02"/>
    <w:rsid w:val="004B24E1"/>
    <w:rsid w:val="004B2837"/>
    <w:rsid w:val="004B3F06"/>
    <w:rsid w:val="004B46EF"/>
    <w:rsid w:val="004B5528"/>
    <w:rsid w:val="004B56BF"/>
    <w:rsid w:val="004B5BC4"/>
    <w:rsid w:val="004B6980"/>
    <w:rsid w:val="004C0C07"/>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2842"/>
    <w:rsid w:val="004E3CE5"/>
    <w:rsid w:val="004E62C7"/>
    <w:rsid w:val="004E6938"/>
    <w:rsid w:val="004E7C8C"/>
    <w:rsid w:val="004F1055"/>
    <w:rsid w:val="004F1070"/>
    <w:rsid w:val="004F1E5F"/>
    <w:rsid w:val="004F4B57"/>
    <w:rsid w:val="004F4CBE"/>
    <w:rsid w:val="004F4D31"/>
    <w:rsid w:val="004F5329"/>
    <w:rsid w:val="005009CA"/>
    <w:rsid w:val="00501919"/>
    <w:rsid w:val="00502BB0"/>
    <w:rsid w:val="00504084"/>
    <w:rsid w:val="0050583A"/>
    <w:rsid w:val="005065B0"/>
    <w:rsid w:val="00506B34"/>
    <w:rsid w:val="00507780"/>
    <w:rsid w:val="00510A85"/>
    <w:rsid w:val="00510A8B"/>
    <w:rsid w:val="00511228"/>
    <w:rsid w:val="00511237"/>
    <w:rsid w:val="00511C46"/>
    <w:rsid w:val="005129D3"/>
    <w:rsid w:val="00513418"/>
    <w:rsid w:val="00513BB3"/>
    <w:rsid w:val="0051408F"/>
    <w:rsid w:val="005171DF"/>
    <w:rsid w:val="005210DC"/>
    <w:rsid w:val="005219D2"/>
    <w:rsid w:val="00523351"/>
    <w:rsid w:val="005233AE"/>
    <w:rsid w:val="005235B6"/>
    <w:rsid w:val="005237BE"/>
    <w:rsid w:val="005238ED"/>
    <w:rsid w:val="00525100"/>
    <w:rsid w:val="005262D9"/>
    <w:rsid w:val="00526D7B"/>
    <w:rsid w:val="00531CF7"/>
    <w:rsid w:val="00531E5C"/>
    <w:rsid w:val="00533346"/>
    <w:rsid w:val="00534068"/>
    <w:rsid w:val="00534C3E"/>
    <w:rsid w:val="005354C6"/>
    <w:rsid w:val="00535B99"/>
    <w:rsid w:val="005360E7"/>
    <w:rsid w:val="005404B9"/>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3E31"/>
    <w:rsid w:val="00554040"/>
    <w:rsid w:val="00554568"/>
    <w:rsid w:val="00554ECB"/>
    <w:rsid w:val="00556302"/>
    <w:rsid w:val="005566B8"/>
    <w:rsid w:val="00556A53"/>
    <w:rsid w:val="0056014B"/>
    <w:rsid w:val="00560D9D"/>
    <w:rsid w:val="00563A20"/>
    <w:rsid w:val="00563FD9"/>
    <w:rsid w:val="0056588C"/>
    <w:rsid w:val="00566EBC"/>
    <w:rsid w:val="00570917"/>
    <w:rsid w:val="0057222A"/>
    <w:rsid w:val="00572692"/>
    <w:rsid w:val="00572FA2"/>
    <w:rsid w:val="005740A5"/>
    <w:rsid w:val="0057431C"/>
    <w:rsid w:val="005750A9"/>
    <w:rsid w:val="00575261"/>
    <w:rsid w:val="00575D16"/>
    <w:rsid w:val="005767B9"/>
    <w:rsid w:val="005773A2"/>
    <w:rsid w:val="00577685"/>
    <w:rsid w:val="00581315"/>
    <w:rsid w:val="00581E88"/>
    <w:rsid w:val="005825C2"/>
    <w:rsid w:val="00583769"/>
    <w:rsid w:val="005846FB"/>
    <w:rsid w:val="00584BA8"/>
    <w:rsid w:val="00585DF1"/>
    <w:rsid w:val="00585DF2"/>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9BD"/>
    <w:rsid w:val="005A5E8F"/>
    <w:rsid w:val="005A7B91"/>
    <w:rsid w:val="005B1366"/>
    <w:rsid w:val="005B14A7"/>
    <w:rsid w:val="005B186D"/>
    <w:rsid w:val="005B1C20"/>
    <w:rsid w:val="005B243E"/>
    <w:rsid w:val="005B3E08"/>
    <w:rsid w:val="005B3E50"/>
    <w:rsid w:val="005B4855"/>
    <w:rsid w:val="005B4951"/>
    <w:rsid w:val="005B5279"/>
    <w:rsid w:val="005B6FF7"/>
    <w:rsid w:val="005C0400"/>
    <w:rsid w:val="005C120C"/>
    <w:rsid w:val="005C1ACD"/>
    <w:rsid w:val="005C5110"/>
    <w:rsid w:val="005C7A67"/>
    <w:rsid w:val="005C7F2F"/>
    <w:rsid w:val="005D12B7"/>
    <w:rsid w:val="005D2FA9"/>
    <w:rsid w:val="005D4310"/>
    <w:rsid w:val="005D4330"/>
    <w:rsid w:val="005D450F"/>
    <w:rsid w:val="005D47BE"/>
    <w:rsid w:val="005D5B25"/>
    <w:rsid w:val="005D5F25"/>
    <w:rsid w:val="005D6921"/>
    <w:rsid w:val="005D73FC"/>
    <w:rsid w:val="005E126D"/>
    <w:rsid w:val="005E14B7"/>
    <w:rsid w:val="005E2B74"/>
    <w:rsid w:val="005E2DAF"/>
    <w:rsid w:val="005E55DC"/>
    <w:rsid w:val="005E5E7B"/>
    <w:rsid w:val="005E6592"/>
    <w:rsid w:val="005F0A27"/>
    <w:rsid w:val="005F183B"/>
    <w:rsid w:val="005F185D"/>
    <w:rsid w:val="005F1CA9"/>
    <w:rsid w:val="005F2FF2"/>
    <w:rsid w:val="005F3A86"/>
    <w:rsid w:val="005F6B1C"/>
    <w:rsid w:val="005F76E2"/>
    <w:rsid w:val="005F7711"/>
    <w:rsid w:val="005F7721"/>
    <w:rsid w:val="00600A47"/>
    <w:rsid w:val="00601CE4"/>
    <w:rsid w:val="00601FB4"/>
    <w:rsid w:val="006027B4"/>
    <w:rsid w:val="00602C9D"/>
    <w:rsid w:val="00604025"/>
    <w:rsid w:val="00604A95"/>
    <w:rsid w:val="00604F26"/>
    <w:rsid w:val="00604F56"/>
    <w:rsid w:val="006061C9"/>
    <w:rsid w:val="0060621A"/>
    <w:rsid w:val="0060799C"/>
    <w:rsid w:val="0061009A"/>
    <w:rsid w:val="00610168"/>
    <w:rsid w:val="00610C7C"/>
    <w:rsid w:val="00610CCF"/>
    <w:rsid w:val="0061100A"/>
    <w:rsid w:val="006118C9"/>
    <w:rsid w:val="00611965"/>
    <w:rsid w:val="006126CD"/>
    <w:rsid w:val="00612C4D"/>
    <w:rsid w:val="00613F89"/>
    <w:rsid w:val="00615A47"/>
    <w:rsid w:val="006169DB"/>
    <w:rsid w:val="00617FF2"/>
    <w:rsid w:val="00620734"/>
    <w:rsid w:val="006220EE"/>
    <w:rsid w:val="00622D32"/>
    <w:rsid w:val="00624F56"/>
    <w:rsid w:val="006262A1"/>
    <w:rsid w:val="00626D7C"/>
    <w:rsid w:val="006273C1"/>
    <w:rsid w:val="00630046"/>
    <w:rsid w:val="00630152"/>
    <w:rsid w:val="00630598"/>
    <w:rsid w:val="00630E27"/>
    <w:rsid w:val="006314DB"/>
    <w:rsid w:val="006315A4"/>
    <w:rsid w:val="00632137"/>
    <w:rsid w:val="006326F3"/>
    <w:rsid w:val="006327BC"/>
    <w:rsid w:val="006329C2"/>
    <w:rsid w:val="006337DA"/>
    <w:rsid w:val="006343C9"/>
    <w:rsid w:val="006356A0"/>
    <w:rsid w:val="00636383"/>
    <w:rsid w:val="0063690C"/>
    <w:rsid w:val="00636AD5"/>
    <w:rsid w:val="00637A53"/>
    <w:rsid w:val="00640BE3"/>
    <w:rsid w:val="00641BA1"/>
    <w:rsid w:val="006426EB"/>
    <w:rsid w:val="00643C81"/>
    <w:rsid w:val="006443B8"/>
    <w:rsid w:val="00644D7A"/>
    <w:rsid w:val="00646784"/>
    <w:rsid w:val="00646B65"/>
    <w:rsid w:val="00647CAB"/>
    <w:rsid w:val="006508A7"/>
    <w:rsid w:val="00651418"/>
    <w:rsid w:val="006517DC"/>
    <w:rsid w:val="006518C7"/>
    <w:rsid w:val="00651A40"/>
    <w:rsid w:val="0065323D"/>
    <w:rsid w:val="006536B4"/>
    <w:rsid w:val="00654CF5"/>
    <w:rsid w:val="0065721F"/>
    <w:rsid w:val="00660298"/>
    <w:rsid w:val="00660749"/>
    <w:rsid w:val="00660756"/>
    <w:rsid w:val="0066205B"/>
    <w:rsid w:val="00662213"/>
    <w:rsid w:val="00662569"/>
    <w:rsid w:val="0066268A"/>
    <w:rsid w:val="006629AB"/>
    <w:rsid w:val="00662CF9"/>
    <w:rsid w:val="0066492F"/>
    <w:rsid w:val="00664AED"/>
    <w:rsid w:val="00665127"/>
    <w:rsid w:val="0066663F"/>
    <w:rsid w:val="006671AD"/>
    <w:rsid w:val="00667384"/>
    <w:rsid w:val="0066796B"/>
    <w:rsid w:val="00667BBE"/>
    <w:rsid w:val="0067028C"/>
    <w:rsid w:val="0067086E"/>
    <w:rsid w:val="006709EF"/>
    <w:rsid w:val="00671568"/>
    <w:rsid w:val="0067199A"/>
    <w:rsid w:val="0067301E"/>
    <w:rsid w:val="00677340"/>
    <w:rsid w:val="00681683"/>
    <w:rsid w:val="00681D69"/>
    <w:rsid w:val="00682956"/>
    <w:rsid w:val="0068438C"/>
    <w:rsid w:val="006865B0"/>
    <w:rsid w:val="00687155"/>
    <w:rsid w:val="0068768B"/>
    <w:rsid w:val="006905FF"/>
    <w:rsid w:val="00692991"/>
    <w:rsid w:val="00693AA5"/>
    <w:rsid w:val="00694BBB"/>
    <w:rsid w:val="00694EFA"/>
    <w:rsid w:val="00695568"/>
    <w:rsid w:val="00695A71"/>
    <w:rsid w:val="00696B20"/>
    <w:rsid w:val="00696C7E"/>
    <w:rsid w:val="006A1367"/>
    <w:rsid w:val="006A1C95"/>
    <w:rsid w:val="006A28E9"/>
    <w:rsid w:val="006A2E60"/>
    <w:rsid w:val="006A4707"/>
    <w:rsid w:val="006B0A49"/>
    <w:rsid w:val="006B0C21"/>
    <w:rsid w:val="006B2345"/>
    <w:rsid w:val="006B48EF"/>
    <w:rsid w:val="006B5D00"/>
    <w:rsid w:val="006B5E6E"/>
    <w:rsid w:val="006B698B"/>
    <w:rsid w:val="006C08FD"/>
    <w:rsid w:val="006C13B1"/>
    <w:rsid w:val="006C1DDA"/>
    <w:rsid w:val="006C36D7"/>
    <w:rsid w:val="006C4647"/>
    <w:rsid w:val="006C51A0"/>
    <w:rsid w:val="006C5DA3"/>
    <w:rsid w:val="006C7772"/>
    <w:rsid w:val="006C7D7B"/>
    <w:rsid w:val="006D08D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0AA8"/>
    <w:rsid w:val="0070126A"/>
    <w:rsid w:val="0070317F"/>
    <w:rsid w:val="0070359A"/>
    <w:rsid w:val="00704C6E"/>
    <w:rsid w:val="00704CE6"/>
    <w:rsid w:val="007058A4"/>
    <w:rsid w:val="00706617"/>
    <w:rsid w:val="007072A9"/>
    <w:rsid w:val="007078B7"/>
    <w:rsid w:val="0070799F"/>
    <w:rsid w:val="00707E39"/>
    <w:rsid w:val="00707FEE"/>
    <w:rsid w:val="00711237"/>
    <w:rsid w:val="00711592"/>
    <w:rsid w:val="007117E0"/>
    <w:rsid w:val="007129B1"/>
    <w:rsid w:val="007136F6"/>
    <w:rsid w:val="0071458F"/>
    <w:rsid w:val="007145F7"/>
    <w:rsid w:val="00714B72"/>
    <w:rsid w:val="00714F93"/>
    <w:rsid w:val="00715597"/>
    <w:rsid w:val="007157DC"/>
    <w:rsid w:val="00715AC5"/>
    <w:rsid w:val="0071606B"/>
    <w:rsid w:val="00716448"/>
    <w:rsid w:val="00716741"/>
    <w:rsid w:val="00716BCC"/>
    <w:rsid w:val="00717A13"/>
    <w:rsid w:val="00723075"/>
    <w:rsid w:val="007240D9"/>
    <w:rsid w:val="00724AAF"/>
    <w:rsid w:val="0072503B"/>
    <w:rsid w:val="00726C4C"/>
    <w:rsid w:val="00727555"/>
    <w:rsid w:val="0073010C"/>
    <w:rsid w:val="0073099D"/>
    <w:rsid w:val="007317F2"/>
    <w:rsid w:val="00731F39"/>
    <w:rsid w:val="007335F8"/>
    <w:rsid w:val="007337BD"/>
    <w:rsid w:val="00733BA5"/>
    <w:rsid w:val="007359FD"/>
    <w:rsid w:val="007379B3"/>
    <w:rsid w:val="00737F86"/>
    <w:rsid w:val="00740B95"/>
    <w:rsid w:val="007413CF"/>
    <w:rsid w:val="0074322E"/>
    <w:rsid w:val="007433A1"/>
    <w:rsid w:val="00750B22"/>
    <w:rsid w:val="00751770"/>
    <w:rsid w:val="007517EF"/>
    <w:rsid w:val="00752CA6"/>
    <w:rsid w:val="0075428E"/>
    <w:rsid w:val="007557C3"/>
    <w:rsid w:val="00760223"/>
    <w:rsid w:val="00760379"/>
    <w:rsid w:val="00761C32"/>
    <w:rsid w:val="00761CBB"/>
    <w:rsid w:val="00762785"/>
    <w:rsid w:val="00764229"/>
    <w:rsid w:val="00764C28"/>
    <w:rsid w:val="007660C7"/>
    <w:rsid w:val="00766ADF"/>
    <w:rsid w:val="00766B26"/>
    <w:rsid w:val="00770571"/>
    <w:rsid w:val="00770907"/>
    <w:rsid w:val="00770AA1"/>
    <w:rsid w:val="00770C69"/>
    <w:rsid w:val="00773542"/>
    <w:rsid w:val="00775343"/>
    <w:rsid w:val="00775370"/>
    <w:rsid w:val="00776BB2"/>
    <w:rsid w:val="007800BA"/>
    <w:rsid w:val="0078036B"/>
    <w:rsid w:val="007803AC"/>
    <w:rsid w:val="007803F4"/>
    <w:rsid w:val="00780709"/>
    <w:rsid w:val="007822EA"/>
    <w:rsid w:val="007826D4"/>
    <w:rsid w:val="00782EBF"/>
    <w:rsid w:val="0078385B"/>
    <w:rsid w:val="00783C1C"/>
    <w:rsid w:val="00784DDB"/>
    <w:rsid w:val="00785B72"/>
    <w:rsid w:val="00785B8A"/>
    <w:rsid w:val="007862F4"/>
    <w:rsid w:val="00787DCA"/>
    <w:rsid w:val="00787F54"/>
    <w:rsid w:val="0079247C"/>
    <w:rsid w:val="007952BA"/>
    <w:rsid w:val="00796B85"/>
    <w:rsid w:val="0079762E"/>
    <w:rsid w:val="007979C3"/>
    <w:rsid w:val="00797A79"/>
    <w:rsid w:val="00797AC8"/>
    <w:rsid w:val="007A01DE"/>
    <w:rsid w:val="007A17B2"/>
    <w:rsid w:val="007A2299"/>
    <w:rsid w:val="007A2A29"/>
    <w:rsid w:val="007A436F"/>
    <w:rsid w:val="007A53AE"/>
    <w:rsid w:val="007A5474"/>
    <w:rsid w:val="007A5C00"/>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9DF"/>
    <w:rsid w:val="007D0DE4"/>
    <w:rsid w:val="007D42AE"/>
    <w:rsid w:val="007D762F"/>
    <w:rsid w:val="007D7691"/>
    <w:rsid w:val="007D7EE4"/>
    <w:rsid w:val="007E03EA"/>
    <w:rsid w:val="007E12E7"/>
    <w:rsid w:val="007E4890"/>
    <w:rsid w:val="007E7A90"/>
    <w:rsid w:val="007F1D7C"/>
    <w:rsid w:val="007F202E"/>
    <w:rsid w:val="007F2CFF"/>
    <w:rsid w:val="007F2D43"/>
    <w:rsid w:val="007F31C3"/>
    <w:rsid w:val="007F38BA"/>
    <w:rsid w:val="007F3B2E"/>
    <w:rsid w:val="007F436B"/>
    <w:rsid w:val="007F466E"/>
    <w:rsid w:val="007F4980"/>
    <w:rsid w:val="007F707A"/>
    <w:rsid w:val="007F7977"/>
    <w:rsid w:val="00800536"/>
    <w:rsid w:val="00800A5C"/>
    <w:rsid w:val="008013A8"/>
    <w:rsid w:val="00802005"/>
    <w:rsid w:val="0080322F"/>
    <w:rsid w:val="00803590"/>
    <w:rsid w:val="00804251"/>
    <w:rsid w:val="0080496F"/>
    <w:rsid w:val="008051F9"/>
    <w:rsid w:val="0080572B"/>
    <w:rsid w:val="00805859"/>
    <w:rsid w:val="00805D18"/>
    <w:rsid w:val="00806B11"/>
    <w:rsid w:val="0081263C"/>
    <w:rsid w:val="0081387B"/>
    <w:rsid w:val="00813EBF"/>
    <w:rsid w:val="00814367"/>
    <w:rsid w:val="00814864"/>
    <w:rsid w:val="0081486C"/>
    <w:rsid w:val="0081678B"/>
    <w:rsid w:val="0081747E"/>
    <w:rsid w:val="008178B9"/>
    <w:rsid w:val="008178CF"/>
    <w:rsid w:val="00817D49"/>
    <w:rsid w:val="0082052F"/>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70D"/>
    <w:rsid w:val="00836E54"/>
    <w:rsid w:val="00837093"/>
    <w:rsid w:val="008373C7"/>
    <w:rsid w:val="008378A7"/>
    <w:rsid w:val="008379F2"/>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052C"/>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277B"/>
    <w:rsid w:val="00883598"/>
    <w:rsid w:val="00883EDC"/>
    <w:rsid w:val="00885342"/>
    <w:rsid w:val="008854D1"/>
    <w:rsid w:val="0088745C"/>
    <w:rsid w:val="00887F9C"/>
    <w:rsid w:val="008905FD"/>
    <w:rsid w:val="00890FD5"/>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764B"/>
    <w:rsid w:val="008B096F"/>
    <w:rsid w:val="008B2871"/>
    <w:rsid w:val="008B2BD9"/>
    <w:rsid w:val="008B2DB8"/>
    <w:rsid w:val="008B3497"/>
    <w:rsid w:val="008B484B"/>
    <w:rsid w:val="008B65D6"/>
    <w:rsid w:val="008C0B22"/>
    <w:rsid w:val="008C1B60"/>
    <w:rsid w:val="008C236A"/>
    <w:rsid w:val="008C40FC"/>
    <w:rsid w:val="008C4871"/>
    <w:rsid w:val="008C5B3E"/>
    <w:rsid w:val="008C5FC4"/>
    <w:rsid w:val="008C7B01"/>
    <w:rsid w:val="008D0BA5"/>
    <w:rsid w:val="008D0E13"/>
    <w:rsid w:val="008D29C7"/>
    <w:rsid w:val="008D3275"/>
    <w:rsid w:val="008D3791"/>
    <w:rsid w:val="008D4052"/>
    <w:rsid w:val="008D67C0"/>
    <w:rsid w:val="008D69BA"/>
    <w:rsid w:val="008D794C"/>
    <w:rsid w:val="008E17F0"/>
    <w:rsid w:val="008E1950"/>
    <w:rsid w:val="008E1A65"/>
    <w:rsid w:val="008E235C"/>
    <w:rsid w:val="008E2C1B"/>
    <w:rsid w:val="008E2C9B"/>
    <w:rsid w:val="008E2F52"/>
    <w:rsid w:val="008E368E"/>
    <w:rsid w:val="008E493D"/>
    <w:rsid w:val="008E4C01"/>
    <w:rsid w:val="008E5675"/>
    <w:rsid w:val="008E60BE"/>
    <w:rsid w:val="008E755F"/>
    <w:rsid w:val="008E7C1C"/>
    <w:rsid w:val="008F0A97"/>
    <w:rsid w:val="008F0FC3"/>
    <w:rsid w:val="008F1977"/>
    <w:rsid w:val="008F2003"/>
    <w:rsid w:val="008F38F3"/>
    <w:rsid w:val="008F4A23"/>
    <w:rsid w:val="008F5154"/>
    <w:rsid w:val="008F5388"/>
    <w:rsid w:val="008F53BA"/>
    <w:rsid w:val="008F5DF5"/>
    <w:rsid w:val="008F681C"/>
    <w:rsid w:val="00901FC9"/>
    <w:rsid w:val="00902D22"/>
    <w:rsid w:val="00902E4F"/>
    <w:rsid w:val="00902F2F"/>
    <w:rsid w:val="0090451F"/>
    <w:rsid w:val="009053AB"/>
    <w:rsid w:val="009057F2"/>
    <w:rsid w:val="00905A56"/>
    <w:rsid w:val="00905CDA"/>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15E"/>
    <w:rsid w:val="00923233"/>
    <w:rsid w:val="00926396"/>
    <w:rsid w:val="00927D26"/>
    <w:rsid w:val="009318EF"/>
    <w:rsid w:val="00932E70"/>
    <w:rsid w:val="0093524F"/>
    <w:rsid w:val="009359E1"/>
    <w:rsid w:val="00937243"/>
    <w:rsid w:val="00937F9C"/>
    <w:rsid w:val="00940244"/>
    <w:rsid w:val="00944954"/>
    <w:rsid w:val="00946988"/>
    <w:rsid w:val="009471D6"/>
    <w:rsid w:val="00950BD2"/>
    <w:rsid w:val="00951BAD"/>
    <w:rsid w:val="00953418"/>
    <w:rsid w:val="00954CEB"/>
    <w:rsid w:val="009556CF"/>
    <w:rsid w:val="00955A8E"/>
    <w:rsid w:val="00955F49"/>
    <w:rsid w:val="00956E4A"/>
    <w:rsid w:val="00956EC7"/>
    <w:rsid w:val="0096008D"/>
    <w:rsid w:val="009620B5"/>
    <w:rsid w:val="00962DD4"/>
    <w:rsid w:val="00963CC7"/>
    <w:rsid w:val="00963E06"/>
    <w:rsid w:val="00963F99"/>
    <w:rsid w:val="009653E5"/>
    <w:rsid w:val="00966113"/>
    <w:rsid w:val="009663DC"/>
    <w:rsid w:val="00966DB2"/>
    <w:rsid w:val="00970FF7"/>
    <w:rsid w:val="009711B5"/>
    <w:rsid w:val="009716B7"/>
    <w:rsid w:val="009720AA"/>
    <w:rsid w:val="00973296"/>
    <w:rsid w:val="00974067"/>
    <w:rsid w:val="00974CA6"/>
    <w:rsid w:val="00974F5F"/>
    <w:rsid w:val="00975313"/>
    <w:rsid w:val="00975FAC"/>
    <w:rsid w:val="00976586"/>
    <w:rsid w:val="00982C9A"/>
    <w:rsid w:val="009841E5"/>
    <w:rsid w:val="009847C4"/>
    <w:rsid w:val="00984C87"/>
    <w:rsid w:val="00985A5E"/>
    <w:rsid w:val="00986290"/>
    <w:rsid w:val="0098666E"/>
    <w:rsid w:val="009866CB"/>
    <w:rsid w:val="00986FBD"/>
    <w:rsid w:val="00987A76"/>
    <w:rsid w:val="009913C5"/>
    <w:rsid w:val="00991B6F"/>
    <w:rsid w:val="00992299"/>
    <w:rsid w:val="009926F7"/>
    <w:rsid w:val="00992969"/>
    <w:rsid w:val="00992DFF"/>
    <w:rsid w:val="009952C9"/>
    <w:rsid w:val="00995CD6"/>
    <w:rsid w:val="00995E7C"/>
    <w:rsid w:val="00996D5C"/>
    <w:rsid w:val="00997751"/>
    <w:rsid w:val="00997CE1"/>
    <w:rsid w:val="009A02CD"/>
    <w:rsid w:val="009A02CF"/>
    <w:rsid w:val="009A1E39"/>
    <w:rsid w:val="009A3CED"/>
    <w:rsid w:val="009A40B4"/>
    <w:rsid w:val="009A45A5"/>
    <w:rsid w:val="009A611F"/>
    <w:rsid w:val="009A623D"/>
    <w:rsid w:val="009A7278"/>
    <w:rsid w:val="009A7385"/>
    <w:rsid w:val="009B010B"/>
    <w:rsid w:val="009B017E"/>
    <w:rsid w:val="009B0600"/>
    <w:rsid w:val="009B12A3"/>
    <w:rsid w:val="009B2835"/>
    <w:rsid w:val="009B4E09"/>
    <w:rsid w:val="009B59B7"/>
    <w:rsid w:val="009B6A8C"/>
    <w:rsid w:val="009B6EBD"/>
    <w:rsid w:val="009B7B64"/>
    <w:rsid w:val="009C0442"/>
    <w:rsid w:val="009C08B8"/>
    <w:rsid w:val="009C202A"/>
    <w:rsid w:val="009C2E77"/>
    <w:rsid w:val="009C5427"/>
    <w:rsid w:val="009C5565"/>
    <w:rsid w:val="009C5EC0"/>
    <w:rsid w:val="009C5F42"/>
    <w:rsid w:val="009C6574"/>
    <w:rsid w:val="009C6E83"/>
    <w:rsid w:val="009C7197"/>
    <w:rsid w:val="009C75B4"/>
    <w:rsid w:val="009D1837"/>
    <w:rsid w:val="009D2D28"/>
    <w:rsid w:val="009D389F"/>
    <w:rsid w:val="009D3A07"/>
    <w:rsid w:val="009D48D5"/>
    <w:rsid w:val="009D49D4"/>
    <w:rsid w:val="009D6100"/>
    <w:rsid w:val="009D68A7"/>
    <w:rsid w:val="009E02CB"/>
    <w:rsid w:val="009E0439"/>
    <w:rsid w:val="009E1AA6"/>
    <w:rsid w:val="009E2342"/>
    <w:rsid w:val="009E247F"/>
    <w:rsid w:val="009E300E"/>
    <w:rsid w:val="009E3762"/>
    <w:rsid w:val="009E37FD"/>
    <w:rsid w:val="009E413C"/>
    <w:rsid w:val="009E45BD"/>
    <w:rsid w:val="009E4BCB"/>
    <w:rsid w:val="009E5DC1"/>
    <w:rsid w:val="009E5F7F"/>
    <w:rsid w:val="009E7267"/>
    <w:rsid w:val="009E7CB7"/>
    <w:rsid w:val="009F0392"/>
    <w:rsid w:val="009F0991"/>
    <w:rsid w:val="009F2490"/>
    <w:rsid w:val="009F2A51"/>
    <w:rsid w:val="009F2CD4"/>
    <w:rsid w:val="009F31A0"/>
    <w:rsid w:val="009F3B25"/>
    <w:rsid w:val="009F409D"/>
    <w:rsid w:val="009F511B"/>
    <w:rsid w:val="009F5B69"/>
    <w:rsid w:val="009F5FF0"/>
    <w:rsid w:val="009F74F4"/>
    <w:rsid w:val="009F7625"/>
    <w:rsid w:val="00A002F6"/>
    <w:rsid w:val="00A009B7"/>
    <w:rsid w:val="00A0269E"/>
    <w:rsid w:val="00A02D03"/>
    <w:rsid w:val="00A047B6"/>
    <w:rsid w:val="00A04A7C"/>
    <w:rsid w:val="00A06389"/>
    <w:rsid w:val="00A06426"/>
    <w:rsid w:val="00A06440"/>
    <w:rsid w:val="00A06AF0"/>
    <w:rsid w:val="00A10031"/>
    <w:rsid w:val="00A100B1"/>
    <w:rsid w:val="00A10CC0"/>
    <w:rsid w:val="00A12160"/>
    <w:rsid w:val="00A12382"/>
    <w:rsid w:val="00A12D51"/>
    <w:rsid w:val="00A135CC"/>
    <w:rsid w:val="00A14589"/>
    <w:rsid w:val="00A161DB"/>
    <w:rsid w:val="00A17CF0"/>
    <w:rsid w:val="00A17E50"/>
    <w:rsid w:val="00A217CB"/>
    <w:rsid w:val="00A21BCA"/>
    <w:rsid w:val="00A22627"/>
    <w:rsid w:val="00A23255"/>
    <w:rsid w:val="00A23936"/>
    <w:rsid w:val="00A24F92"/>
    <w:rsid w:val="00A251A2"/>
    <w:rsid w:val="00A258C4"/>
    <w:rsid w:val="00A259AA"/>
    <w:rsid w:val="00A260BB"/>
    <w:rsid w:val="00A2663A"/>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5FE"/>
    <w:rsid w:val="00A457D2"/>
    <w:rsid w:val="00A4649A"/>
    <w:rsid w:val="00A50E4F"/>
    <w:rsid w:val="00A5150A"/>
    <w:rsid w:val="00A529FC"/>
    <w:rsid w:val="00A53B62"/>
    <w:rsid w:val="00A54442"/>
    <w:rsid w:val="00A54FAD"/>
    <w:rsid w:val="00A54FB3"/>
    <w:rsid w:val="00A55494"/>
    <w:rsid w:val="00A55F95"/>
    <w:rsid w:val="00A60523"/>
    <w:rsid w:val="00A609DC"/>
    <w:rsid w:val="00A61942"/>
    <w:rsid w:val="00A6216B"/>
    <w:rsid w:val="00A62E76"/>
    <w:rsid w:val="00A6328D"/>
    <w:rsid w:val="00A6345B"/>
    <w:rsid w:val="00A640E9"/>
    <w:rsid w:val="00A64298"/>
    <w:rsid w:val="00A65FFE"/>
    <w:rsid w:val="00A703A4"/>
    <w:rsid w:val="00A706FC"/>
    <w:rsid w:val="00A7132D"/>
    <w:rsid w:val="00A71579"/>
    <w:rsid w:val="00A71A2B"/>
    <w:rsid w:val="00A72A02"/>
    <w:rsid w:val="00A7500E"/>
    <w:rsid w:val="00A7566E"/>
    <w:rsid w:val="00A76593"/>
    <w:rsid w:val="00A76D7A"/>
    <w:rsid w:val="00A7731A"/>
    <w:rsid w:val="00A80249"/>
    <w:rsid w:val="00A80AE3"/>
    <w:rsid w:val="00A81688"/>
    <w:rsid w:val="00A82B2F"/>
    <w:rsid w:val="00A82EB9"/>
    <w:rsid w:val="00A831E9"/>
    <w:rsid w:val="00A838A9"/>
    <w:rsid w:val="00A84531"/>
    <w:rsid w:val="00A84CF2"/>
    <w:rsid w:val="00A84F5E"/>
    <w:rsid w:val="00A87086"/>
    <w:rsid w:val="00A87435"/>
    <w:rsid w:val="00A907B3"/>
    <w:rsid w:val="00A922AC"/>
    <w:rsid w:val="00A93495"/>
    <w:rsid w:val="00A936E6"/>
    <w:rsid w:val="00A93F6E"/>
    <w:rsid w:val="00A949DC"/>
    <w:rsid w:val="00A9661A"/>
    <w:rsid w:val="00AA1792"/>
    <w:rsid w:val="00AA226C"/>
    <w:rsid w:val="00AA31EB"/>
    <w:rsid w:val="00AA33A4"/>
    <w:rsid w:val="00AA48FC"/>
    <w:rsid w:val="00AA56CF"/>
    <w:rsid w:val="00AA62D8"/>
    <w:rsid w:val="00AA6A04"/>
    <w:rsid w:val="00AA7015"/>
    <w:rsid w:val="00AA7905"/>
    <w:rsid w:val="00AB14CD"/>
    <w:rsid w:val="00AB20A3"/>
    <w:rsid w:val="00AB24DE"/>
    <w:rsid w:val="00AB24E2"/>
    <w:rsid w:val="00AB4E7E"/>
    <w:rsid w:val="00AB597B"/>
    <w:rsid w:val="00AB623D"/>
    <w:rsid w:val="00AB73AF"/>
    <w:rsid w:val="00AC160B"/>
    <w:rsid w:val="00AC17AD"/>
    <w:rsid w:val="00AC3728"/>
    <w:rsid w:val="00AC4D91"/>
    <w:rsid w:val="00AD09FD"/>
    <w:rsid w:val="00AD2412"/>
    <w:rsid w:val="00AD29AD"/>
    <w:rsid w:val="00AD44FC"/>
    <w:rsid w:val="00AD480F"/>
    <w:rsid w:val="00AD4C3D"/>
    <w:rsid w:val="00AD4F74"/>
    <w:rsid w:val="00AD5454"/>
    <w:rsid w:val="00AD56BA"/>
    <w:rsid w:val="00AD6405"/>
    <w:rsid w:val="00AD6B13"/>
    <w:rsid w:val="00AD70BE"/>
    <w:rsid w:val="00AD7376"/>
    <w:rsid w:val="00AE01FB"/>
    <w:rsid w:val="00AE06EF"/>
    <w:rsid w:val="00AE0E6F"/>
    <w:rsid w:val="00AE19FF"/>
    <w:rsid w:val="00AE2431"/>
    <w:rsid w:val="00AE2987"/>
    <w:rsid w:val="00AE39A7"/>
    <w:rsid w:val="00AE551B"/>
    <w:rsid w:val="00AE661A"/>
    <w:rsid w:val="00AE6722"/>
    <w:rsid w:val="00AE6F17"/>
    <w:rsid w:val="00AF07B3"/>
    <w:rsid w:val="00AF0B49"/>
    <w:rsid w:val="00AF121C"/>
    <w:rsid w:val="00AF12FA"/>
    <w:rsid w:val="00AF1443"/>
    <w:rsid w:val="00AF2ADA"/>
    <w:rsid w:val="00AF3E24"/>
    <w:rsid w:val="00AF3FDE"/>
    <w:rsid w:val="00AF5F42"/>
    <w:rsid w:val="00AF746F"/>
    <w:rsid w:val="00AF7778"/>
    <w:rsid w:val="00AF7E56"/>
    <w:rsid w:val="00B00526"/>
    <w:rsid w:val="00B00861"/>
    <w:rsid w:val="00B01404"/>
    <w:rsid w:val="00B027C4"/>
    <w:rsid w:val="00B035C2"/>
    <w:rsid w:val="00B0538C"/>
    <w:rsid w:val="00B053E7"/>
    <w:rsid w:val="00B05DD8"/>
    <w:rsid w:val="00B063DB"/>
    <w:rsid w:val="00B065DB"/>
    <w:rsid w:val="00B07231"/>
    <w:rsid w:val="00B07B46"/>
    <w:rsid w:val="00B108A3"/>
    <w:rsid w:val="00B10D7C"/>
    <w:rsid w:val="00B1138E"/>
    <w:rsid w:val="00B11930"/>
    <w:rsid w:val="00B128F3"/>
    <w:rsid w:val="00B1340C"/>
    <w:rsid w:val="00B1373B"/>
    <w:rsid w:val="00B1520A"/>
    <w:rsid w:val="00B161BD"/>
    <w:rsid w:val="00B16F88"/>
    <w:rsid w:val="00B2191E"/>
    <w:rsid w:val="00B23099"/>
    <w:rsid w:val="00B234FB"/>
    <w:rsid w:val="00B23707"/>
    <w:rsid w:val="00B23E76"/>
    <w:rsid w:val="00B247C0"/>
    <w:rsid w:val="00B25000"/>
    <w:rsid w:val="00B25A5D"/>
    <w:rsid w:val="00B27669"/>
    <w:rsid w:val="00B32A2D"/>
    <w:rsid w:val="00B33CEE"/>
    <w:rsid w:val="00B37392"/>
    <w:rsid w:val="00B3789B"/>
    <w:rsid w:val="00B400FB"/>
    <w:rsid w:val="00B407D6"/>
    <w:rsid w:val="00B41345"/>
    <w:rsid w:val="00B421B6"/>
    <w:rsid w:val="00B433EB"/>
    <w:rsid w:val="00B4420C"/>
    <w:rsid w:val="00B46CD8"/>
    <w:rsid w:val="00B47184"/>
    <w:rsid w:val="00B47E99"/>
    <w:rsid w:val="00B51AFC"/>
    <w:rsid w:val="00B520F4"/>
    <w:rsid w:val="00B52590"/>
    <w:rsid w:val="00B533CC"/>
    <w:rsid w:val="00B57722"/>
    <w:rsid w:val="00B60508"/>
    <w:rsid w:val="00B608B2"/>
    <w:rsid w:val="00B60FCB"/>
    <w:rsid w:val="00B61323"/>
    <w:rsid w:val="00B61CD7"/>
    <w:rsid w:val="00B62C53"/>
    <w:rsid w:val="00B6578F"/>
    <w:rsid w:val="00B660F5"/>
    <w:rsid w:val="00B67542"/>
    <w:rsid w:val="00B67EF3"/>
    <w:rsid w:val="00B67FCD"/>
    <w:rsid w:val="00B7042D"/>
    <w:rsid w:val="00B712DC"/>
    <w:rsid w:val="00B71340"/>
    <w:rsid w:val="00B721D1"/>
    <w:rsid w:val="00B72B30"/>
    <w:rsid w:val="00B73806"/>
    <w:rsid w:val="00B750FD"/>
    <w:rsid w:val="00B76D75"/>
    <w:rsid w:val="00B76E1C"/>
    <w:rsid w:val="00B77AFD"/>
    <w:rsid w:val="00B80C66"/>
    <w:rsid w:val="00B80D0A"/>
    <w:rsid w:val="00B81BB3"/>
    <w:rsid w:val="00B820E8"/>
    <w:rsid w:val="00B835AC"/>
    <w:rsid w:val="00B83802"/>
    <w:rsid w:val="00B858F4"/>
    <w:rsid w:val="00B867EF"/>
    <w:rsid w:val="00B869AE"/>
    <w:rsid w:val="00B86A21"/>
    <w:rsid w:val="00B903D2"/>
    <w:rsid w:val="00B9102F"/>
    <w:rsid w:val="00B91EEF"/>
    <w:rsid w:val="00B922B9"/>
    <w:rsid w:val="00B92CB8"/>
    <w:rsid w:val="00B92D3F"/>
    <w:rsid w:val="00B9327E"/>
    <w:rsid w:val="00B941A6"/>
    <w:rsid w:val="00B944B6"/>
    <w:rsid w:val="00B9494E"/>
    <w:rsid w:val="00B94EA8"/>
    <w:rsid w:val="00B94ED5"/>
    <w:rsid w:val="00B9725B"/>
    <w:rsid w:val="00B973B4"/>
    <w:rsid w:val="00B97757"/>
    <w:rsid w:val="00B9779F"/>
    <w:rsid w:val="00BA07DC"/>
    <w:rsid w:val="00BA0BC2"/>
    <w:rsid w:val="00BA3529"/>
    <w:rsid w:val="00BA4116"/>
    <w:rsid w:val="00BA4739"/>
    <w:rsid w:val="00BA5F03"/>
    <w:rsid w:val="00BA609D"/>
    <w:rsid w:val="00BA6C19"/>
    <w:rsid w:val="00BA76D1"/>
    <w:rsid w:val="00BA77C2"/>
    <w:rsid w:val="00BA7839"/>
    <w:rsid w:val="00BB032B"/>
    <w:rsid w:val="00BB18EC"/>
    <w:rsid w:val="00BB2338"/>
    <w:rsid w:val="00BB3D79"/>
    <w:rsid w:val="00BB4168"/>
    <w:rsid w:val="00BB4690"/>
    <w:rsid w:val="00BB5346"/>
    <w:rsid w:val="00BB7706"/>
    <w:rsid w:val="00BB7A31"/>
    <w:rsid w:val="00BC1252"/>
    <w:rsid w:val="00BC2EE8"/>
    <w:rsid w:val="00BC325C"/>
    <w:rsid w:val="00BC4337"/>
    <w:rsid w:val="00BC6E6A"/>
    <w:rsid w:val="00BC75F0"/>
    <w:rsid w:val="00BD0544"/>
    <w:rsid w:val="00BD0A37"/>
    <w:rsid w:val="00BD4F97"/>
    <w:rsid w:val="00BD5CF9"/>
    <w:rsid w:val="00BD783C"/>
    <w:rsid w:val="00BD7FFC"/>
    <w:rsid w:val="00BE0ECC"/>
    <w:rsid w:val="00BE0FCE"/>
    <w:rsid w:val="00BE2291"/>
    <w:rsid w:val="00BE22B3"/>
    <w:rsid w:val="00BE278F"/>
    <w:rsid w:val="00BE289A"/>
    <w:rsid w:val="00BE2A48"/>
    <w:rsid w:val="00BE2B5A"/>
    <w:rsid w:val="00BE38FE"/>
    <w:rsid w:val="00BE492A"/>
    <w:rsid w:val="00BE4CF3"/>
    <w:rsid w:val="00BE5BE0"/>
    <w:rsid w:val="00BE6488"/>
    <w:rsid w:val="00BF3005"/>
    <w:rsid w:val="00BF3D01"/>
    <w:rsid w:val="00BF3F24"/>
    <w:rsid w:val="00BF4E86"/>
    <w:rsid w:val="00BF5A4C"/>
    <w:rsid w:val="00BF73C5"/>
    <w:rsid w:val="00BF78E8"/>
    <w:rsid w:val="00BF7B20"/>
    <w:rsid w:val="00BF7BE1"/>
    <w:rsid w:val="00C00486"/>
    <w:rsid w:val="00C03DA4"/>
    <w:rsid w:val="00C04319"/>
    <w:rsid w:val="00C06740"/>
    <w:rsid w:val="00C07264"/>
    <w:rsid w:val="00C07872"/>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6977"/>
    <w:rsid w:val="00C274B9"/>
    <w:rsid w:val="00C275AE"/>
    <w:rsid w:val="00C305A0"/>
    <w:rsid w:val="00C30D60"/>
    <w:rsid w:val="00C30E91"/>
    <w:rsid w:val="00C35025"/>
    <w:rsid w:val="00C361A4"/>
    <w:rsid w:val="00C36498"/>
    <w:rsid w:val="00C4092C"/>
    <w:rsid w:val="00C41424"/>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84D"/>
    <w:rsid w:val="00C638A7"/>
    <w:rsid w:val="00C63D31"/>
    <w:rsid w:val="00C641E0"/>
    <w:rsid w:val="00C643B0"/>
    <w:rsid w:val="00C64FE2"/>
    <w:rsid w:val="00C67F38"/>
    <w:rsid w:val="00C72AA9"/>
    <w:rsid w:val="00C7300A"/>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7EB"/>
    <w:rsid w:val="00C9485D"/>
    <w:rsid w:val="00C95605"/>
    <w:rsid w:val="00C96DF5"/>
    <w:rsid w:val="00C96F94"/>
    <w:rsid w:val="00C97178"/>
    <w:rsid w:val="00C97511"/>
    <w:rsid w:val="00CA0654"/>
    <w:rsid w:val="00CA2716"/>
    <w:rsid w:val="00CA3248"/>
    <w:rsid w:val="00CA4462"/>
    <w:rsid w:val="00CA541D"/>
    <w:rsid w:val="00CA6E26"/>
    <w:rsid w:val="00CA7794"/>
    <w:rsid w:val="00CB0718"/>
    <w:rsid w:val="00CB1C5F"/>
    <w:rsid w:val="00CB3501"/>
    <w:rsid w:val="00CB54E6"/>
    <w:rsid w:val="00CB5959"/>
    <w:rsid w:val="00CB6BC0"/>
    <w:rsid w:val="00CB7CF8"/>
    <w:rsid w:val="00CC0AA0"/>
    <w:rsid w:val="00CC362E"/>
    <w:rsid w:val="00CC367F"/>
    <w:rsid w:val="00CC3D6B"/>
    <w:rsid w:val="00CC4037"/>
    <w:rsid w:val="00CC63C3"/>
    <w:rsid w:val="00CC7C78"/>
    <w:rsid w:val="00CD0CD7"/>
    <w:rsid w:val="00CD0F76"/>
    <w:rsid w:val="00CD1781"/>
    <w:rsid w:val="00CD231C"/>
    <w:rsid w:val="00CD30DA"/>
    <w:rsid w:val="00CD378C"/>
    <w:rsid w:val="00CD71A2"/>
    <w:rsid w:val="00CD7243"/>
    <w:rsid w:val="00CD7585"/>
    <w:rsid w:val="00CD7F53"/>
    <w:rsid w:val="00CE00CD"/>
    <w:rsid w:val="00CE13EC"/>
    <w:rsid w:val="00CE2DBA"/>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6789"/>
    <w:rsid w:val="00CF7B11"/>
    <w:rsid w:val="00CF7BB8"/>
    <w:rsid w:val="00D01C7D"/>
    <w:rsid w:val="00D025DD"/>
    <w:rsid w:val="00D027BE"/>
    <w:rsid w:val="00D02D55"/>
    <w:rsid w:val="00D02D59"/>
    <w:rsid w:val="00D03512"/>
    <w:rsid w:val="00D0476C"/>
    <w:rsid w:val="00D0571E"/>
    <w:rsid w:val="00D058E6"/>
    <w:rsid w:val="00D06A07"/>
    <w:rsid w:val="00D10B61"/>
    <w:rsid w:val="00D10BFE"/>
    <w:rsid w:val="00D111D2"/>
    <w:rsid w:val="00D116F9"/>
    <w:rsid w:val="00D1281A"/>
    <w:rsid w:val="00D12AAF"/>
    <w:rsid w:val="00D12FE1"/>
    <w:rsid w:val="00D13276"/>
    <w:rsid w:val="00D1348C"/>
    <w:rsid w:val="00D136F9"/>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F5D"/>
    <w:rsid w:val="00D2724C"/>
    <w:rsid w:val="00D30442"/>
    <w:rsid w:val="00D3103B"/>
    <w:rsid w:val="00D32BA4"/>
    <w:rsid w:val="00D332A2"/>
    <w:rsid w:val="00D333D0"/>
    <w:rsid w:val="00D338C5"/>
    <w:rsid w:val="00D355DC"/>
    <w:rsid w:val="00D35A09"/>
    <w:rsid w:val="00D35C08"/>
    <w:rsid w:val="00D36053"/>
    <w:rsid w:val="00D3655F"/>
    <w:rsid w:val="00D37645"/>
    <w:rsid w:val="00D379FA"/>
    <w:rsid w:val="00D41DF1"/>
    <w:rsid w:val="00D42948"/>
    <w:rsid w:val="00D43058"/>
    <w:rsid w:val="00D43497"/>
    <w:rsid w:val="00D43C37"/>
    <w:rsid w:val="00D43EC9"/>
    <w:rsid w:val="00D4401E"/>
    <w:rsid w:val="00D45759"/>
    <w:rsid w:val="00D45EC2"/>
    <w:rsid w:val="00D50AE7"/>
    <w:rsid w:val="00D50DE8"/>
    <w:rsid w:val="00D51AB3"/>
    <w:rsid w:val="00D5282E"/>
    <w:rsid w:val="00D55921"/>
    <w:rsid w:val="00D56917"/>
    <w:rsid w:val="00D576FB"/>
    <w:rsid w:val="00D57937"/>
    <w:rsid w:val="00D606B3"/>
    <w:rsid w:val="00D615A7"/>
    <w:rsid w:val="00D63B04"/>
    <w:rsid w:val="00D64780"/>
    <w:rsid w:val="00D6539C"/>
    <w:rsid w:val="00D65A1A"/>
    <w:rsid w:val="00D66688"/>
    <w:rsid w:val="00D7051A"/>
    <w:rsid w:val="00D706A6"/>
    <w:rsid w:val="00D7161D"/>
    <w:rsid w:val="00D71C14"/>
    <w:rsid w:val="00D7215C"/>
    <w:rsid w:val="00D72EF3"/>
    <w:rsid w:val="00D74972"/>
    <w:rsid w:val="00D74B80"/>
    <w:rsid w:val="00D74E19"/>
    <w:rsid w:val="00D74F57"/>
    <w:rsid w:val="00D750B4"/>
    <w:rsid w:val="00D75103"/>
    <w:rsid w:val="00D75B4F"/>
    <w:rsid w:val="00D76C68"/>
    <w:rsid w:val="00D76CD1"/>
    <w:rsid w:val="00D80923"/>
    <w:rsid w:val="00D81DE7"/>
    <w:rsid w:val="00D836C7"/>
    <w:rsid w:val="00D845C8"/>
    <w:rsid w:val="00D84A41"/>
    <w:rsid w:val="00D864A5"/>
    <w:rsid w:val="00D87602"/>
    <w:rsid w:val="00D876AC"/>
    <w:rsid w:val="00D87BE2"/>
    <w:rsid w:val="00D90907"/>
    <w:rsid w:val="00D90C2C"/>
    <w:rsid w:val="00D914B9"/>
    <w:rsid w:val="00D91AAE"/>
    <w:rsid w:val="00D93944"/>
    <w:rsid w:val="00D943DF"/>
    <w:rsid w:val="00D94992"/>
    <w:rsid w:val="00D94A16"/>
    <w:rsid w:val="00D95253"/>
    <w:rsid w:val="00D9611B"/>
    <w:rsid w:val="00D9632A"/>
    <w:rsid w:val="00DA10B8"/>
    <w:rsid w:val="00DA12DD"/>
    <w:rsid w:val="00DA16D4"/>
    <w:rsid w:val="00DA40E4"/>
    <w:rsid w:val="00DA4F6D"/>
    <w:rsid w:val="00DA5697"/>
    <w:rsid w:val="00DA5765"/>
    <w:rsid w:val="00DA6DAC"/>
    <w:rsid w:val="00DA7AB1"/>
    <w:rsid w:val="00DA7BDD"/>
    <w:rsid w:val="00DB0E78"/>
    <w:rsid w:val="00DB0FB5"/>
    <w:rsid w:val="00DB1A81"/>
    <w:rsid w:val="00DB1FD4"/>
    <w:rsid w:val="00DB2094"/>
    <w:rsid w:val="00DB28A3"/>
    <w:rsid w:val="00DB40D3"/>
    <w:rsid w:val="00DB4224"/>
    <w:rsid w:val="00DB604A"/>
    <w:rsid w:val="00DB7AF3"/>
    <w:rsid w:val="00DB7B1C"/>
    <w:rsid w:val="00DC042C"/>
    <w:rsid w:val="00DC195D"/>
    <w:rsid w:val="00DC27A9"/>
    <w:rsid w:val="00DC2F97"/>
    <w:rsid w:val="00DC3731"/>
    <w:rsid w:val="00DC37FF"/>
    <w:rsid w:val="00DC3921"/>
    <w:rsid w:val="00DC416E"/>
    <w:rsid w:val="00DC51A2"/>
    <w:rsid w:val="00DD0348"/>
    <w:rsid w:val="00DD0D61"/>
    <w:rsid w:val="00DD1220"/>
    <w:rsid w:val="00DD1B08"/>
    <w:rsid w:val="00DD2A99"/>
    <w:rsid w:val="00DD4746"/>
    <w:rsid w:val="00DD48EE"/>
    <w:rsid w:val="00DD5DB4"/>
    <w:rsid w:val="00DD5F64"/>
    <w:rsid w:val="00DD69E7"/>
    <w:rsid w:val="00DD6B47"/>
    <w:rsid w:val="00DD6BF7"/>
    <w:rsid w:val="00DE09E6"/>
    <w:rsid w:val="00DE133C"/>
    <w:rsid w:val="00DE1E19"/>
    <w:rsid w:val="00DE2DBD"/>
    <w:rsid w:val="00DE33D6"/>
    <w:rsid w:val="00DE3B4C"/>
    <w:rsid w:val="00DE5E6B"/>
    <w:rsid w:val="00DF226A"/>
    <w:rsid w:val="00DF4E81"/>
    <w:rsid w:val="00DF627A"/>
    <w:rsid w:val="00DF6D53"/>
    <w:rsid w:val="00E00836"/>
    <w:rsid w:val="00E0164F"/>
    <w:rsid w:val="00E02153"/>
    <w:rsid w:val="00E028FA"/>
    <w:rsid w:val="00E02CC7"/>
    <w:rsid w:val="00E042E4"/>
    <w:rsid w:val="00E0761B"/>
    <w:rsid w:val="00E117C7"/>
    <w:rsid w:val="00E130C7"/>
    <w:rsid w:val="00E1560C"/>
    <w:rsid w:val="00E1625D"/>
    <w:rsid w:val="00E16487"/>
    <w:rsid w:val="00E17000"/>
    <w:rsid w:val="00E1720C"/>
    <w:rsid w:val="00E17881"/>
    <w:rsid w:val="00E17902"/>
    <w:rsid w:val="00E1791D"/>
    <w:rsid w:val="00E21601"/>
    <w:rsid w:val="00E23012"/>
    <w:rsid w:val="00E232B2"/>
    <w:rsid w:val="00E25472"/>
    <w:rsid w:val="00E25A3A"/>
    <w:rsid w:val="00E30302"/>
    <w:rsid w:val="00E3111A"/>
    <w:rsid w:val="00E314BE"/>
    <w:rsid w:val="00E3260C"/>
    <w:rsid w:val="00E3368F"/>
    <w:rsid w:val="00E345EC"/>
    <w:rsid w:val="00E349F9"/>
    <w:rsid w:val="00E34F00"/>
    <w:rsid w:val="00E354BE"/>
    <w:rsid w:val="00E35D0D"/>
    <w:rsid w:val="00E36C8D"/>
    <w:rsid w:val="00E406A5"/>
    <w:rsid w:val="00E41966"/>
    <w:rsid w:val="00E41EF5"/>
    <w:rsid w:val="00E436C1"/>
    <w:rsid w:val="00E45AB4"/>
    <w:rsid w:val="00E46EA2"/>
    <w:rsid w:val="00E473E0"/>
    <w:rsid w:val="00E4759D"/>
    <w:rsid w:val="00E511DA"/>
    <w:rsid w:val="00E52CAF"/>
    <w:rsid w:val="00E537EC"/>
    <w:rsid w:val="00E537FE"/>
    <w:rsid w:val="00E545BB"/>
    <w:rsid w:val="00E571C1"/>
    <w:rsid w:val="00E57767"/>
    <w:rsid w:val="00E5779A"/>
    <w:rsid w:val="00E60992"/>
    <w:rsid w:val="00E60F1B"/>
    <w:rsid w:val="00E64083"/>
    <w:rsid w:val="00E67503"/>
    <w:rsid w:val="00E67852"/>
    <w:rsid w:val="00E67C99"/>
    <w:rsid w:val="00E7060B"/>
    <w:rsid w:val="00E71AE0"/>
    <w:rsid w:val="00E71BCE"/>
    <w:rsid w:val="00E7276A"/>
    <w:rsid w:val="00E727B3"/>
    <w:rsid w:val="00E72EB5"/>
    <w:rsid w:val="00E74065"/>
    <w:rsid w:val="00E7433F"/>
    <w:rsid w:val="00E76CCC"/>
    <w:rsid w:val="00E7776E"/>
    <w:rsid w:val="00E80490"/>
    <w:rsid w:val="00E8179F"/>
    <w:rsid w:val="00E82431"/>
    <w:rsid w:val="00E83724"/>
    <w:rsid w:val="00E84496"/>
    <w:rsid w:val="00E857E8"/>
    <w:rsid w:val="00E8687C"/>
    <w:rsid w:val="00E92558"/>
    <w:rsid w:val="00E9281D"/>
    <w:rsid w:val="00E92B3B"/>
    <w:rsid w:val="00E935A3"/>
    <w:rsid w:val="00E94B3D"/>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5EB0"/>
    <w:rsid w:val="00EA62EE"/>
    <w:rsid w:val="00EA6865"/>
    <w:rsid w:val="00EA7F2E"/>
    <w:rsid w:val="00EB1F2D"/>
    <w:rsid w:val="00EB1F6D"/>
    <w:rsid w:val="00EB3305"/>
    <w:rsid w:val="00EB3646"/>
    <w:rsid w:val="00EB41C8"/>
    <w:rsid w:val="00EB67DE"/>
    <w:rsid w:val="00EB7BB6"/>
    <w:rsid w:val="00EC1CE3"/>
    <w:rsid w:val="00EC2238"/>
    <w:rsid w:val="00EC26D7"/>
    <w:rsid w:val="00EC3B1D"/>
    <w:rsid w:val="00EC50AB"/>
    <w:rsid w:val="00EC5C57"/>
    <w:rsid w:val="00EC5D9E"/>
    <w:rsid w:val="00EC7237"/>
    <w:rsid w:val="00EC7B61"/>
    <w:rsid w:val="00ED028C"/>
    <w:rsid w:val="00ED02E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3175"/>
    <w:rsid w:val="00F04064"/>
    <w:rsid w:val="00F0411F"/>
    <w:rsid w:val="00F050BD"/>
    <w:rsid w:val="00F05745"/>
    <w:rsid w:val="00F06134"/>
    <w:rsid w:val="00F06BD5"/>
    <w:rsid w:val="00F06EE5"/>
    <w:rsid w:val="00F074CA"/>
    <w:rsid w:val="00F10543"/>
    <w:rsid w:val="00F121EC"/>
    <w:rsid w:val="00F12498"/>
    <w:rsid w:val="00F12826"/>
    <w:rsid w:val="00F137BC"/>
    <w:rsid w:val="00F13FCA"/>
    <w:rsid w:val="00F140D8"/>
    <w:rsid w:val="00F15519"/>
    <w:rsid w:val="00F157CB"/>
    <w:rsid w:val="00F15868"/>
    <w:rsid w:val="00F17E17"/>
    <w:rsid w:val="00F2108C"/>
    <w:rsid w:val="00F231B9"/>
    <w:rsid w:val="00F24809"/>
    <w:rsid w:val="00F2526E"/>
    <w:rsid w:val="00F261E1"/>
    <w:rsid w:val="00F26427"/>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40029"/>
    <w:rsid w:val="00F41031"/>
    <w:rsid w:val="00F428E6"/>
    <w:rsid w:val="00F43E27"/>
    <w:rsid w:val="00F43EAF"/>
    <w:rsid w:val="00F5057B"/>
    <w:rsid w:val="00F50CA1"/>
    <w:rsid w:val="00F51A46"/>
    <w:rsid w:val="00F51E73"/>
    <w:rsid w:val="00F52354"/>
    <w:rsid w:val="00F550B1"/>
    <w:rsid w:val="00F567D0"/>
    <w:rsid w:val="00F56849"/>
    <w:rsid w:val="00F60ACF"/>
    <w:rsid w:val="00F61137"/>
    <w:rsid w:val="00F62424"/>
    <w:rsid w:val="00F62AFE"/>
    <w:rsid w:val="00F63045"/>
    <w:rsid w:val="00F64AB1"/>
    <w:rsid w:val="00F661CF"/>
    <w:rsid w:val="00F703EA"/>
    <w:rsid w:val="00F711AE"/>
    <w:rsid w:val="00F72A07"/>
    <w:rsid w:val="00F73774"/>
    <w:rsid w:val="00F74907"/>
    <w:rsid w:val="00F7523A"/>
    <w:rsid w:val="00F7583C"/>
    <w:rsid w:val="00F76429"/>
    <w:rsid w:val="00F7707A"/>
    <w:rsid w:val="00F77386"/>
    <w:rsid w:val="00F77714"/>
    <w:rsid w:val="00F77C3C"/>
    <w:rsid w:val="00F80461"/>
    <w:rsid w:val="00F807F6"/>
    <w:rsid w:val="00F811C3"/>
    <w:rsid w:val="00F813BA"/>
    <w:rsid w:val="00F817B9"/>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3F2F"/>
    <w:rsid w:val="00FA4487"/>
    <w:rsid w:val="00FA627D"/>
    <w:rsid w:val="00FA7638"/>
    <w:rsid w:val="00FB0C81"/>
    <w:rsid w:val="00FB24A6"/>
    <w:rsid w:val="00FB29F2"/>
    <w:rsid w:val="00FB2D03"/>
    <w:rsid w:val="00FB3EBA"/>
    <w:rsid w:val="00FB3FAD"/>
    <w:rsid w:val="00FB6C2F"/>
    <w:rsid w:val="00FB7346"/>
    <w:rsid w:val="00FC01AE"/>
    <w:rsid w:val="00FC3C27"/>
    <w:rsid w:val="00FC4895"/>
    <w:rsid w:val="00FC4CF9"/>
    <w:rsid w:val="00FC4E21"/>
    <w:rsid w:val="00FC5894"/>
    <w:rsid w:val="00FC5F93"/>
    <w:rsid w:val="00FC76D0"/>
    <w:rsid w:val="00FD0B13"/>
    <w:rsid w:val="00FD10A8"/>
    <w:rsid w:val="00FD202D"/>
    <w:rsid w:val="00FD45E2"/>
    <w:rsid w:val="00FD74D0"/>
    <w:rsid w:val="00FD799B"/>
    <w:rsid w:val="00FE0E85"/>
    <w:rsid w:val="00FE33D6"/>
    <w:rsid w:val="00FE3478"/>
    <w:rsid w:val="00FE3A58"/>
    <w:rsid w:val="00FE4F5A"/>
    <w:rsid w:val="00FE51BE"/>
    <w:rsid w:val="00FE52CD"/>
    <w:rsid w:val="00FE562B"/>
    <w:rsid w:val="00FE5D19"/>
    <w:rsid w:val="00FE5D7A"/>
    <w:rsid w:val="00FE62A7"/>
    <w:rsid w:val="00FE66D8"/>
    <w:rsid w:val="00FE67AA"/>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paragraph" w:customStyle="1" w:styleId="lrpara">
    <w:name w:val="lrpara"/>
    <w:basedOn w:val="Normal"/>
    <w:rsid w:val="00450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
    <w:name w:val="pageno"/>
    <w:basedOn w:val="Normal"/>
    <w:rsid w:val="00450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judgecont">
    <w:name w:val="lrjudgecont"/>
    <w:basedOn w:val="Normal"/>
    <w:rsid w:val="00450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283004566">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2.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DA0FF8-1AC8-4871-9284-BE3D82F7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cp:lastModifiedBy>
  <cp:revision>3</cp:revision>
  <cp:lastPrinted>2024-01-11T17:59:00Z</cp:lastPrinted>
  <dcterms:created xsi:type="dcterms:W3CDTF">2024-01-17T13:21:00Z</dcterms:created>
  <dcterms:modified xsi:type="dcterms:W3CDTF">2024-01-18T17:22:00Z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