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53B"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39862BAE" w:rsidR="00633CD8" w:rsidRDefault="00633CD8" w:rsidP="00633CD8">
      <w:pPr>
        <w:pStyle w:val="LegalTitle"/>
        <w:spacing w:after="0" w:line="360" w:lineRule="auto"/>
        <w:rPr>
          <w:u w:val="single"/>
        </w:rPr>
      </w:pPr>
      <w:r w:rsidRPr="00520591">
        <w:rPr>
          <w:u w:val="single"/>
        </w:rPr>
        <w:t xml:space="preserve">GAUTENG </w:t>
      </w:r>
      <w:r w:rsidR="00707CAF">
        <w:rPr>
          <w:u w:val="single"/>
        </w:rPr>
        <w:t xml:space="preserve">LOCAL </w:t>
      </w:r>
      <w:r w:rsidRPr="00520591">
        <w:rPr>
          <w:u w:val="single"/>
        </w:rPr>
        <w:t xml:space="preserve">DIVISION, </w:t>
      </w:r>
      <w:r>
        <w:rPr>
          <w:u w:val="single"/>
        </w:rPr>
        <w:t>JOHANNESBURG</w:t>
      </w:r>
    </w:p>
    <w:p w14:paraId="26F92239" w14:textId="354C4AEA" w:rsidR="00633CD8" w:rsidRDefault="00A561AD" w:rsidP="00633CD8">
      <w:pPr>
        <w:pStyle w:val="LegalAnnexure"/>
        <w:spacing w:after="960" w:line="360" w:lineRule="auto"/>
        <w:rPr>
          <w:u w:val="single"/>
        </w:rPr>
      </w:pPr>
      <w:r>
        <w:rPr>
          <w:noProof/>
          <w:lang w:val="en-ZA" w:eastAsia="en-ZA"/>
        </w:rPr>
        <mc:AlternateContent>
          <mc:Choice Requires="wps">
            <w:drawing>
              <wp:anchor distT="0" distB="0" distL="114300" distR="114300" simplePos="0" relativeHeight="251659264" behindDoc="0" locked="0" layoutInCell="1" allowOverlap="1" wp14:anchorId="161B1FB4" wp14:editId="61487F66">
                <wp:simplePos x="0" y="0"/>
                <wp:positionH relativeFrom="column">
                  <wp:posOffset>-127635</wp:posOffset>
                </wp:positionH>
                <wp:positionV relativeFrom="paragraph">
                  <wp:posOffset>173355</wp:posOffset>
                </wp:positionV>
                <wp:extent cx="3619500" cy="857250"/>
                <wp:effectExtent l="0" t="0" r="0" b="0"/>
                <wp:wrapNone/>
                <wp:docPr id="4207793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01EF1664" w:rsidR="00633CD8" w:rsidRDefault="00445B20" w:rsidP="00445B2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8F59F59" w:rsidR="00633CD8" w:rsidRDefault="00445B20" w:rsidP="00445B2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17642BEB" w:rsidR="00633CD8" w:rsidRDefault="00445B20" w:rsidP="00445B2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1FB4"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5tFQIAACs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">
                <v:textbox>
                  <w:txbxContent>
                    <w:p w14:paraId="031C1BFF" w14:textId="01EF1664" w:rsidR="00633CD8" w:rsidRDefault="00445B20" w:rsidP="00445B2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8F59F59" w:rsidR="00633CD8" w:rsidRDefault="00445B20" w:rsidP="00445B2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17642BEB" w:rsidR="00633CD8" w:rsidRDefault="00445B20" w:rsidP="00445B2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29F62E0E" w:rsidR="00633CD8" w:rsidRPr="001C6F28" w:rsidRDefault="00633CD8" w:rsidP="00633CD8">
      <w:pPr>
        <w:pStyle w:val="LegalAnnexure"/>
        <w:spacing w:after="0" w:line="360" w:lineRule="auto"/>
      </w:pPr>
      <w:r>
        <w:rPr>
          <w:u w:val="single"/>
        </w:rPr>
        <w:t>CASE</w:t>
      </w:r>
      <w:r w:rsidRPr="00A84826">
        <w:rPr>
          <w:u w:val="single"/>
        </w:rPr>
        <w:t xml:space="preserve"> NO</w:t>
      </w:r>
      <w:r w:rsidRPr="002D4810">
        <w:rPr>
          <w:b w:val="0"/>
        </w:rPr>
        <w:t>:</w:t>
      </w:r>
      <w:r w:rsidR="006E34E4">
        <w:rPr>
          <w:b w:val="0"/>
        </w:rPr>
        <w:t xml:space="preserve"> </w:t>
      </w:r>
      <w:r w:rsidR="0031783F">
        <w:rPr>
          <w:b w:val="0"/>
        </w:rPr>
        <w:t>26936</w:t>
      </w:r>
      <w:r w:rsidR="00F300AA">
        <w:rPr>
          <w:b w:val="0"/>
        </w:rPr>
        <w:t>/20</w:t>
      </w:r>
      <w:r w:rsidR="0031783F">
        <w:rPr>
          <w:b w:val="0"/>
        </w:rPr>
        <w:t>15</w:t>
      </w:r>
    </w:p>
    <w:p w14:paraId="017B14CF" w14:textId="4C59B1DF"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206E4E">
        <w:rPr>
          <w:b/>
        </w:rPr>
        <w:t>3</w:t>
      </w:r>
      <w:r w:rsidR="0099055C">
        <w:rPr>
          <w:b/>
        </w:rPr>
        <w:t xml:space="preserve"> January 2024</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0D7C96C4" w:rsidR="007A3836" w:rsidRPr="00707CAF" w:rsidRDefault="0031783F" w:rsidP="00707CAF">
            <w:pPr>
              <w:pStyle w:val="Title"/>
              <w:rPr>
                <w:b/>
                <w:sz w:val="21"/>
              </w:rPr>
            </w:pPr>
            <w:r>
              <w:rPr>
                <w:b/>
                <w:sz w:val="21"/>
              </w:rPr>
              <w:t>THE STANDARD BANK OF SOUTH AFRICA LIMITED</w:t>
            </w:r>
          </w:p>
        </w:tc>
        <w:tc>
          <w:tcPr>
            <w:tcW w:w="2606" w:type="dxa"/>
          </w:tcPr>
          <w:p w14:paraId="6476AE42" w14:textId="269FBFA2" w:rsidR="006E34E4" w:rsidRPr="00D905E4" w:rsidRDefault="0031783F">
            <w:pPr>
              <w:pStyle w:val="Title"/>
              <w:spacing w:line="360" w:lineRule="auto"/>
              <w:jc w:val="right"/>
              <w:rPr>
                <w:sz w:val="21"/>
              </w:rPr>
            </w:pPr>
            <w:r>
              <w:rPr>
                <w:sz w:val="21"/>
              </w:rPr>
              <w:t xml:space="preserve">Applicant </w:t>
            </w:r>
          </w:p>
        </w:tc>
      </w:tr>
      <w:tr w:rsidR="006E34E4" w:rsidRPr="00D905E4" w14:paraId="29265C62" w14:textId="77777777" w:rsidTr="006E34E4">
        <w:tc>
          <w:tcPr>
            <w:tcW w:w="6204" w:type="dxa"/>
          </w:tcPr>
          <w:p w14:paraId="3EB8A71D" w14:textId="51148608" w:rsidR="006E34E4" w:rsidRPr="00D905E4" w:rsidRDefault="006E34E4">
            <w:pPr>
              <w:pStyle w:val="Title"/>
              <w:spacing w:line="360" w:lineRule="auto"/>
              <w:rPr>
                <w:sz w:val="21"/>
              </w:rPr>
            </w:pPr>
          </w:p>
        </w:tc>
        <w:tc>
          <w:tcPr>
            <w:tcW w:w="2606" w:type="dxa"/>
          </w:tcPr>
          <w:p w14:paraId="4CEFDE0C" w14:textId="77777777" w:rsidR="006E34E4" w:rsidRPr="00D905E4" w:rsidRDefault="006E34E4">
            <w:pPr>
              <w:pStyle w:val="Title"/>
              <w:spacing w:line="360" w:lineRule="auto"/>
              <w:rPr>
                <w:sz w:val="21"/>
              </w:rPr>
            </w:pPr>
          </w:p>
        </w:tc>
      </w:tr>
      <w:tr w:rsidR="006E34E4" w:rsidRPr="00D905E4" w14:paraId="09E13C66" w14:textId="77777777" w:rsidTr="006E34E4">
        <w:tc>
          <w:tcPr>
            <w:tcW w:w="6204" w:type="dxa"/>
          </w:tcPr>
          <w:p w14:paraId="3FB2F644" w14:textId="542052B1" w:rsidR="006E34E4" w:rsidRPr="00D905E4" w:rsidRDefault="003C7511">
            <w:pPr>
              <w:pStyle w:val="Title"/>
              <w:spacing w:after="120"/>
              <w:rPr>
                <w:b/>
                <w:sz w:val="21"/>
              </w:rPr>
            </w:pPr>
            <w:r w:rsidRPr="003C7511">
              <w:rPr>
                <w:bCs/>
                <w:sz w:val="21"/>
              </w:rPr>
              <w:t>and</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4F9E604D" w14:textId="77777777" w:rsidR="006E34E4" w:rsidRPr="00D905E4" w:rsidRDefault="006E34E4">
            <w:pPr>
              <w:pStyle w:val="Title"/>
              <w:spacing w:line="360" w:lineRule="auto"/>
              <w:jc w:val="right"/>
              <w:rPr>
                <w:sz w:val="21"/>
              </w:rPr>
            </w:pPr>
          </w:p>
        </w:tc>
      </w:tr>
      <w:tr w:rsidR="006E34E4" w:rsidRPr="00D905E4" w14:paraId="627B0A96" w14:textId="77777777" w:rsidTr="006E34E4">
        <w:tc>
          <w:tcPr>
            <w:tcW w:w="6204" w:type="dxa"/>
          </w:tcPr>
          <w:p w14:paraId="20D6C10A" w14:textId="1F1D9037" w:rsidR="006E34E4" w:rsidRPr="00D905E4" w:rsidRDefault="006E34E4">
            <w:pPr>
              <w:pStyle w:val="Title"/>
              <w:rPr>
                <w:bCs/>
                <w:sz w:val="21"/>
              </w:rPr>
            </w:pPr>
          </w:p>
        </w:tc>
        <w:tc>
          <w:tcPr>
            <w:tcW w:w="2606" w:type="dxa"/>
          </w:tcPr>
          <w:p w14:paraId="69B86802" w14:textId="257BF2C7" w:rsidR="006E34E4" w:rsidRPr="00D905E4" w:rsidRDefault="006E34E4">
            <w:pPr>
              <w:pStyle w:val="Title"/>
              <w:spacing w:line="360" w:lineRule="auto"/>
              <w:jc w:val="right"/>
              <w:rPr>
                <w:sz w:val="21"/>
              </w:rPr>
            </w:pPr>
          </w:p>
        </w:tc>
      </w:tr>
      <w:tr w:rsidR="003C7511" w:rsidRPr="00D905E4" w14:paraId="3B8E44DF" w14:textId="77777777" w:rsidTr="006E34E4">
        <w:tc>
          <w:tcPr>
            <w:tcW w:w="6204" w:type="dxa"/>
          </w:tcPr>
          <w:p w14:paraId="6084FA3E" w14:textId="6DAF1177" w:rsidR="003C7511" w:rsidRPr="003C7511" w:rsidRDefault="0031783F" w:rsidP="00F300AA">
            <w:pPr>
              <w:pStyle w:val="Title"/>
              <w:spacing w:after="120"/>
              <w:rPr>
                <w:b/>
                <w:sz w:val="21"/>
              </w:rPr>
            </w:pPr>
            <w:r>
              <w:rPr>
                <w:b/>
                <w:sz w:val="21"/>
              </w:rPr>
              <w:t>LEO CHARLES</w:t>
            </w:r>
            <w:r w:rsidR="00F300AA">
              <w:rPr>
                <w:b/>
                <w:sz w:val="21"/>
              </w:rPr>
              <w:t xml:space="preserve"> </w:t>
            </w:r>
            <w:r>
              <w:rPr>
                <w:b/>
                <w:sz w:val="21"/>
              </w:rPr>
              <w:t>BAXTER</w:t>
            </w:r>
          </w:p>
        </w:tc>
        <w:tc>
          <w:tcPr>
            <w:tcW w:w="2606" w:type="dxa"/>
          </w:tcPr>
          <w:p w14:paraId="6881184E" w14:textId="00604A98" w:rsidR="003C7511" w:rsidRPr="00D905E4" w:rsidRDefault="0031783F">
            <w:pPr>
              <w:pStyle w:val="Title"/>
              <w:spacing w:line="360" w:lineRule="auto"/>
              <w:jc w:val="right"/>
              <w:rPr>
                <w:sz w:val="21"/>
              </w:rPr>
            </w:pPr>
            <w:r>
              <w:rPr>
                <w:sz w:val="21"/>
              </w:rPr>
              <w:t xml:space="preserve">Respondent </w:t>
            </w:r>
          </w:p>
        </w:tc>
      </w:tr>
    </w:tbl>
    <w:p w14:paraId="080B1F8B" w14:textId="77777777" w:rsidR="006E34E4" w:rsidRPr="00D905E4" w:rsidRDefault="006E34E4" w:rsidP="006E34E4">
      <w:pPr>
        <w:pStyle w:val="Title"/>
        <w:rPr>
          <w:sz w:val="21"/>
        </w:rPr>
      </w:pPr>
    </w:p>
    <w:p w14:paraId="12DFC443" w14:textId="70143870" w:rsidR="00633CD8" w:rsidRDefault="00633CD8" w:rsidP="006E34E4">
      <w:pPr>
        <w:tabs>
          <w:tab w:val="left" w:pos="1418"/>
        </w:tabs>
        <w:spacing w:before="120" w:after="120"/>
        <w:rPr>
          <w:rFonts w:cs="Arial"/>
        </w:rPr>
      </w:pPr>
      <w:r>
        <w:rPr>
          <w:rFonts w:cs="Arial"/>
          <w:b/>
          <w:bCs/>
        </w:rPr>
        <w:t>Coram:</w:t>
      </w:r>
      <w:r>
        <w:rPr>
          <w:rFonts w:cs="Arial"/>
        </w:rPr>
        <w:tab/>
      </w:r>
      <w:r w:rsidR="003C7511">
        <w:rPr>
          <w:rFonts w:cs="Arial"/>
        </w:rPr>
        <w:tab/>
        <w:t>Ternent AJ</w:t>
      </w:r>
    </w:p>
    <w:p w14:paraId="2D78F15E" w14:textId="1C73499C"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31783F">
        <w:rPr>
          <w:rFonts w:cs="Arial"/>
        </w:rPr>
        <w:t>2</w:t>
      </w:r>
      <w:r w:rsidR="00890322">
        <w:rPr>
          <w:rFonts w:cs="Arial"/>
        </w:rPr>
        <w:t>4</w:t>
      </w:r>
      <w:r w:rsidR="00984D41">
        <w:rPr>
          <w:rFonts w:cs="Arial"/>
        </w:rPr>
        <w:t xml:space="preserve"> May </w:t>
      </w:r>
      <w:r w:rsidR="00615156">
        <w:rPr>
          <w:rFonts w:cs="Arial"/>
        </w:rPr>
        <w:t>2023</w:t>
      </w:r>
    </w:p>
    <w:p w14:paraId="13D07160" w14:textId="13BF97C4" w:rsidR="00633CD8" w:rsidRDefault="00633CD8" w:rsidP="00633CD8">
      <w:pPr>
        <w:tabs>
          <w:tab w:val="left" w:pos="1418"/>
        </w:tabs>
        <w:spacing w:after="120"/>
        <w:ind w:left="1418" w:hanging="1418"/>
        <w:rPr>
          <w:rFonts w:cs="Arial"/>
          <w:b/>
        </w:rPr>
      </w:pPr>
      <w:r>
        <w:rPr>
          <w:rFonts w:cs="Arial"/>
          <w:b/>
        </w:rPr>
        <w:t>Delivered:</w:t>
      </w:r>
      <w:r>
        <w:rPr>
          <w:rFonts w:cs="Arial"/>
          <w:b/>
        </w:rPr>
        <w:tab/>
      </w:r>
      <w:r w:rsidR="00CE60E4">
        <w:rPr>
          <w:rFonts w:cs="Arial"/>
          <w:b/>
        </w:rPr>
        <w:t xml:space="preserve"> 3 January </w:t>
      </w:r>
      <w:r w:rsidR="00F300AA">
        <w:rPr>
          <w:rFonts w:cs="Arial"/>
          <w:b/>
        </w:rPr>
        <w:t>202</w:t>
      </w:r>
      <w:r w:rsidR="0099055C">
        <w:rPr>
          <w:rFonts w:cs="Arial"/>
          <w:b/>
        </w:rPr>
        <w:t>4</w:t>
      </w:r>
      <w:r w:rsidR="00A649E7">
        <w:rPr>
          <w:rFonts w:cs="Arial"/>
          <w:b/>
        </w:rPr>
        <w:t xml:space="preserve"> </w:t>
      </w:r>
    </w:p>
    <w:p w14:paraId="01779AC8" w14:textId="18592D96" w:rsidR="00A649E7" w:rsidRPr="003C7511" w:rsidRDefault="00A649E7" w:rsidP="00633CD8">
      <w:pPr>
        <w:tabs>
          <w:tab w:val="left" w:pos="1418"/>
        </w:tabs>
        <w:spacing w:after="120"/>
        <w:ind w:left="1418" w:hanging="1418"/>
        <w:rPr>
          <w:rFonts w:cs="Arial"/>
          <w:bCs/>
        </w:rPr>
      </w:pPr>
      <w:r>
        <w:rPr>
          <w:rFonts w:cs="Arial"/>
          <w:b/>
        </w:rPr>
        <w:t>Summary:</w:t>
      </w:r>
    </w:p>
    <w:p w14:paraId="52E1ED33" w14:textId="724D33BE" w:rsidR="00A649E7" w:rsidRDefault="00A649E7" w:rsidP="00A649E7">
      <w:pPr>
        <w:spacing w:after="120"/>
        <w:ind w:left="1871" w:hanging="1871"/>
        <w:rPr>
          <w:rFonts w:cs="Arial"/>
          <w:i/>
          <w:szCs w:val="24"/>
        </w:rPr>
      </w:pPr>
      <w:r>
        <w:rPr>
          <w:rFonts w:cs="Arial"/>
          <w:i/>
          <w:szCs w:val="24"/>
        </w:rPr>
        <w:t>Delivered:</w:t>
      </w:r>
      <w:r>
        <w:rPr>
          <w:rFonts w:cs="Arial"/>
          <w:i/>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cs="Arial"/>
          <w:i/>
          <w:szCs w:val="24"/>
        </w:rPr>
        <w:t>CaseLines</w:t>
      </w:r>
      <w:proofErr w:type="spellEnd"/>
      <w:r>
        <w:rPr>
          <w:rFonts w:cs="Arial"/>
          <w:i/>
          <w:szCs w:val="24"/>
        </w:rPr>
        <w:t xml:space="preserve">. The date for hand-down is deemed to be </w:t>
      </w:r>
      <w:r w:rsidR="00A67BBD">
        <w:rPr>
          <w:rFonts w:cs="Arial"/>
          <w:i/>
          <w:szCs w:val="24"/>
        </w:rPr>
        <w:t>1</w:t>
      </w:r>
      <w:r w:rsidR="0099055C">
        <w:rPr>
          <w:rFonts w:cs="Arial"/>
          <w:i/>
          <w:szCs w:val="24"/>
        </w:rPr>
        <w:t>5</w:t>
      </w:r>
      <w:r w:rsidR="00A67BBD">
        <w:rPr>
          <w:rFonts w:cs="Arial"/>
          <w:i/>
          <w:szCs w:val="24"/>
        </w:rPr>
        <w:t>h</w:t>
      </w:r>
      <w:r w:rsidR="00D01337">
        <w:rPr>
          <w:rFonts w:cs="Arial"/>
          <w:i/>
          <w:szCs w:val="24"/>
        </w:rPr>
        <w:t>0</w:t>
      </w:r>
      <w:r w:rsidR="00A67BBD">
        <w:rPr>
          <w:rFonts w:cs="Arial"/>
          <w:i/>
          <w:szCs w:val="24"/>
        </w:rPr>
        <w:t xml:space="preserve">0 on </w:t>
      </w:r>
      <w:r w:rsidR="00CF36F4">
        <w:rPr>
          <w:rFonts w:cs="Arial"/>
          <w:i/>
          <w:szCs w:val="24"/>
        </w:rPr>
        <w:t>3</w:t>
      </w:r>
      <w:r w:rsidR="0099055C">
        <w:rPr>
          <w:rFonts w:cs="Arial"/>
          <w:i/>
          <w:szCs w:val="24"/>
        </w:rPr>
        <w:t xml:space="preserve"> January</w:t>
      </w:r>
      <w:r w:rsidR="00F300AA">
        <w:rPr>
          <w:rFonts w:cs="Arial"/>
          <w:i/>
          <w:szCs w:val="24"/>
        </w:rPr>
        <w:t xml:space="preserve"> 2023</w:t>
      </w:r>
      <w:r>
        <w:rPr>
          <w:rFonts w:cs="Arial"/>
          <w:i/>
          <w:szCs w:val="24"/>
        </w:rPr>
        <w:t>.</w:t>
      </w:r>
    </w:p>
    <w:p w14:paraId="16ACB30C" w14:textId="77777777" w:rsidR="00A649E7" w:rsidRDefault="00A649E7" w:rsidP="00633CD8">
      <w:pPr>
        <w:spacing w:after="240"/>
        <w:rPr>
          <w:rFonts w:cs="Arial"/>
        </w:rPr>
      </w:pPr>
    </w:p>
    <w:p w14:paraId="7C37C51C" w14:textId="14920C97" w:rsidR="00633CD8" w:rsidRPr="00A84826" w:rsidRDefault="00633CD8" w:rsidP="00633CD8">
      <w:pPr>
        <w:pStyle w:val="LegalTramLines"/>
        <w:spacing w:after="240"/>
      </w:pPr>
      <w:r>
        <w:lastRenderedPageBreak/>
        <w:t xml:space="preserve">JUDGMENT </w:t>
      </w:r>
    </w:p>
    <w:p w14:paraId="267A531E" w14:textId="77777777" w:rsidR="00A67BBD" w:rsidRDefault="00A67BBD" w:rsidP="00A67BBD">
      <w:pPr>
        <w:pStyle w:val="Heading1"/>
        <w:keepNext/>
        <w:numPr>
          <w:ilvl w:val="0"/>
          <w:numId w:val="0"/>
        </w:numPr>
        <w:spacing w:after="120"/>
        <w:ind w:left="862" w:hanging="862"/>
        <w:rPr>
          <w:b/>
          <w:bCs/>
          <w:u w:val="single"/>
        </w:rPr>
      </w:pPr>
      <w:bookmarkStart w:id="0" w:name="_Hlk81386236"/>
      <w:bookmarkStart w:id="1" w:name="_Hlk81386419"/>
    </w:p>
    <w:p w14:paraId="1C8B327F" w14:textId="1F2340D1" w:rsidR="006F7C73" w:rsidRDefault="005F5D78" w:rsidP="00A34D30">
      <w:pPr>
        <w:pStyle w:val="Heading1"/>
        <w:keepNext/>
        <w:numPr>
          <w:ilvl w:val="0"/>
          <w:numId w:val="0"/>
        </w:numPr>
        <w:ind w:left="862" w:hanging="862"/>
      </w:pPr>
      <w:r w:rsidRPr="000460FA">
        <w:rPr>
          <w:b/>
          <w:bCs/>
          <w:u w:val="single"/>
        </w:rPr>
        <w:t>TERNENT</w:t>
      </w:r>
      <w:r w:rsidR="00833533" w:rsidRPr="000460FA">
        <w:rPr>
          <w:b/>
          <w:bCs/>
          <w:u w:val="single"/>
        </w:rPr>
        <w:t>, AJ</w:t>
      </w:r>
      <w:r w:rsidR="002A19E4" w:rsidRPr="005F5D78">
        <w:t>:</w:t>
      </w:r>
      <w:bookmarkEnd w:id="0"/>
    </w:p>
    <w:p w14:paraId="1A378D50" w14:textId="11FFA4DB" w:rsidR="00890322" w:rsidRDefault="00445B20" w:rsidP="00445B20">
      <w:pPr>
        <w:pStyle w:val="Heading1"/>
        <w:numPr>
          <w:ilvl w:val="0"/>
          <w:numId w:val="0"/>
        </w:numPr>
        <w:tabs>
          <w:tab w:val="left" w:pos="862"/>
        </w:tabs>
        <w:ind w:left="862" w:hanging="862"/>
      </w:pPr>
      <w:bookmarkStart w:id="2" w:name="_Hlk81386320"/>
      <w:r>
        <w:t>[1]</w:t>
      </w:r>
      <w:r>
        <w:tab/>
      </w:r>
      <w:r w:rsidR="00C7543E">
        <w:t xml:space="preserve">In </w:t>
      </w:r>
      <w:r w:rsidR="0031783F">
        <w:t xml:space="preserve">April 2004, the applicant loaned the respondent a sum of R3 150 000,00 and thereafter sums of R4 500 000,00 and R15 000 000,00 </w:t>
      </w:r>
      <w:proofErr w:type="gramStart"/>
      <w:r w:rsidR="0031783F">
        <w:t>in order to</w:t>
      </w:r>
      <w:proofErr w:type="gramEnd"/>
      <w:r w:rsidR="0031783F">
        <w:t xml:space="preserve"> facilitate his purchase and the development of properties in Plettenberg Bay</w:t>
      </w:r>
      <w:r w:rsidR="0031783F">
        <w:rPr>
          <w:rStyle w:val="FootnoteReference"/>
        </w:rPr>
        <w:footnoteReference w:id="1"/>
      </w:r>
      <w:r w:rsidR="0031783F">
        <w:t xml:space="preserve"> for the purposes of establishing a polo estate called Stonefield Polo Estate.  As security for these loans, the applicant registered three bonds against the </w:t>
      </w:r>
      <w:r w:rsidR="00B932B1">
        <w:t>properties</w:t>
      </w:r>
      <w:r w:rsidR="0031783F">
        <w:t xml:space="preserve"> and advanced the monies to the respondent on 13 July 2004</w:t>
      </w:r>
      <w:r w:rsidR="00D6733A">
        <w:t xml:space="preserve">, </w:t>
      </w:r>
      <w:r w:rsidR="00AA7A46">
        <w:t>21 June 2004</w:t>
      </w:r>
      <w:r w:rsidR="00D6733A">
        <w:t>, and 26 November and 2 December 2004 respectively.</w:t>
      </w:r>
      <w:r w:rsidR="00AA7A46">
        <w:t xml:space="preserve"> </w:t>
      </w:r>
    </w:p>
    <w:p w14:paraId="26C641C6" w14:textId="6C65A1DE" w:rsidR="00890322" w:rsidRDefault="00445B20" w:rsidP="00445B20">
      <w:pPr>
        <w:pStyle w:val="Heading1"/>
        <w:numPr>
          <w:ilvl w:val="0"/>
          <w:numId w:val="0"/>
        </w:numPr>
        <w:tabs>
          <w:tab w:val="left" w:pos="862"/>
        </w:tabs>
        <w:ind w:left="862" w:hanging="862"/>
      </w:pPr>
      <w:r>
        <w:t>[2]</w:t>
      </w:r>
      <w:r>
        <w:tab/>
      </w:r>
      <w:r w:rsidR="00AA7A46">
        <w:t xml:space="preserve">In 2012, the parties agreed to restructure the second and third loans that had been granted </w:t>
      </w:r>
      <w:proofErr w:type="gramStart"/>
      <w:r w:rsidR="00AA7A46">
        <w:t>in order to</w:t>
      </w:r>
      <w:proofErr w:type="gramEnd"/>
      <w:r w:rsidR="00AA7A46">
        <w:t xml:space="preserve"> facilitate a further loan of R8 000 000,00 and in respect of which a further bond was registered in favour of the applicant naturally with the addition of collateral security.</w:t>
      </w:r>
      <w:r w:rsidR="00D6733A">
        <w:t xml:space="preserve"> Th</w:t>
      </w:r>
      <w:r w:rsidR="00D13254">
        <w:t>e restructured balance</w:t>
      </w:r>
      <w:r w:rsidR="00D6733A">
        <w:t xml:space="preserve"> was advanced to the respondent on</w:t>
      </w:r>
      <w:r w:rsidR="00D13254">
        <w:t xml:space="preserve"> 29 February 2012.</w:t>
      </w:r>
      <w:r w:rsidR="00D6733A">
        <w:t xml:space="preserve"> </w:t>
      </w:r>
    </w:p>
    <w:p w14:paraId="44F2D1E8" w14:textId="3622B424" w:rsidR="00C7543E" w:rsidRDefault="00445B20" w:rsidP="00445B20">
      <w:pPr>
        <w:pStyle w:val="Heading1"/>
        <w:numPr>
          <w:ilvl w:val="0"/>
          <w:numId w:val="0"/>
        </w:numPr>
        <w:tabs>
          <w:tab w:val="left" w:pos="862"/>
        </w:tabs>
        <w:ind w:left="862" w:hanging="862"/>
      </w:pPr>
      <w:r>
        <w:t>[3]</w:t>
      </w:r>
      <w:r>
        <w:tab/>
      </w:r>
      <w:r w:rsidR="00AA7A46">
        <w:t xml:space="preserve">In May 2014, the respondent defaulted on the monthly repayments and despite demands made upon him to pay, he indicated that he could not do so and that he would need to sell the </w:t>
      </w:r>
      <w:r w:rsidR="00D13254">
        <w:t>properties</w:t>
      </w:r>
      <w:r w:rsidR="00AA7A46">
        <w:t xml:space="preserve"> to either a foreign or local buyer</w:t>
      </w:r>
      <w:r w:rsidR="00C7543E">
        <w:t>. His</w:t>
      </w:r>
      <w:r w:rsidR="00AA7A46">
        <w:t xml:space="preserve"> </w:t>
      </w:r>
      <w:r w:rsidR="00C7543E">
        <w:t>attempts failed.</w:t>
      </w:r>
    </w:p>
    <w:p w14:paraId="01739B32" w14:textId="2A9BCD60" w:rsidR="00F91887" w:rsidRDefault="00445B20" w:rsidP="00445B20">
      <w:pPr>
        <w:pStyle w:val="Heading1"/>
        <w:numPr>
          <w:ilvl w:val="0"/>
          <w:numId w:val="0"/>
        </w:numPr>
        <w:tabs>
          <w:tab w:val="left" w:pos="862"/>
        </w:tabs>
        <w:ind w:left="862" w:hanging="862"/>
      </w:pPr>
      <w:r>
        <w:t>[4]</w:t>
      </w:r>
      <w:r>
        <w:tab/>
      </w:r>
      <w:r w:rsidR="00D13254">
        <w:t>As a consequence, t</w:t>
      </w:r>
      <w:r w:rsidR="00AA7A46">
        <w:t>he parties came to an understanding that the applicant would sell the properties to pay off the debt that was due to it</w:t>
      </w:r>
      <w:r w:rsidR="00C7543E">
        <w:t>.</w:t>
      </w:r>
    </w:p>
    <w:p w14:paraId="0A3880FF" w14:textId="58E02943" w:rsidR="00890322" w:rsidRDefault="00445B20" w:rsidP="00445B20">
      <w:pPr>
        <w:pStyle w:val="Heading1"/>
        <w:numPr>
          <w:ilvl w:val="0"/>
          <w:numId w:val="0"/>
        </w:numPr>
        <w:tabs>
          <w:tab w:val="left" w:pos="862"/>
        </w:tabs>
        <w:ind w:left="862" w:hanging="862"/>
      </w:pPr>
      <w:r>
        <w:t>[5]</w:t>
      </w:r>
      <w:r>
        <w:tab/>
      </w:r>
      <w:r w:rsidR="00D13254">
        <w:t>I</w:t>
      </w:r>
      <w:r w:rsidR="00AA7A46">
        <w:t xml:space="preserve">n order to facilitate the sale of the </w:t>
      </w:r>
      <w:r w:rsidR="00B932B1">
        <w:t>properties</w:t>
      </w:r>
      <w:r w:rsidR="00AA7A46">
        <w:t>, the respondent agreed</w:t>
      </w:r>
      <w:r w:rsidR="00890322">
        <w:t>,</w:t>
      </w:r>
      <w:r w:rsidR="00AA7A46">
        <w:t xml:space="preserve"> </w:t>
      </w:r>
      <w:r w:rsidR="00371E65">
        <w:t xml:space="preserve">on </w:t>
      </w:r>
      <w:r w:rsidR="00371E65">
        <w:lastRenderedPageBreak/>
        <w:t>6 June 2013</w:t>
      </w:r>
      <w:r w:rsidR="00890322">
        <w:t>,</w:t>
      </w:r>
      <w:r w:rsidR="00371E65">
        <w:t xml:space="preserve"> </w:t>
      </w:r>
      <w:r w:rsidR="00AA7A46">
        <w:t>to furnish a special power of attorney</w:t>
      </w:r>
      <w:r w:rsidR="00C7543E">
        <w:t>,</w:t>
      </w:r>
      <w:r w:rsidR="00AA7A46">
        <w:rPr>
          <w:rStyle w:val="FootnoteReference"/>
        </w:rPr>
        <w:footnoteReference w:id="2"/>
      </w:r>
      <w:r w:rsidR="00AA7A46">
        <w:t xml:space="preserve"> </w:t>
      </w:r>
      <w:r w:rsidR="00C7543E">
        <w:t xml:space="preserve">to a manager of the applicant, </w:t>
      </w:r>
      <w:r w:rsidR="00AA7A46">
        <w:t xml:space="preserve">who would be the respondent’s </w:t>
      </w:r>
      <w:r w:rsidR="00AA7A46">
        <w:rPr>
          <w:i/>
          <w:iCs/>
        </w:rPr>
        <w:t xml:space="preserve">“procurator in rem </w:t>
      </w:r>
      <w:proofErr w:type="spellStart"/>
      <w:r w:rsidR="00AA7A46">
        <w:rPr>
          <w:i/>
          <w:iCs/>
        </w:rPr>
        <w:t>su</w:t>
      </w:r>
      <w:r w:rsidR="00EE74FB">
        <w:rPr>
          <w:i/>
          <w:iCs/>
        </w:rPr>
        <w:t>a</w:t>
      </w:r>
      <w:r w:rsidR="00AA7A46">
        <w:rPr>
          <w:i/>
          <w:iCs/>
        </w:rPr>
        <w:t>m</w:t>
      </w:r>
      <w:proofErr w:type="spellEnd"/>
      <w:r w:rsidR="00AA7A46">
        <w:rPr>
          <w:i/>
          <w:iCs/>
        </w:rPr>
        <w:t xml:space="preserve"> and lawful attorney and agent for the purposes of selling and disposing” </w:t>
      </w:r>
      <w:r w:rsidR="00AA7A46" w:rsidRPr="00AA7A46">
        <w:t xml:space="preserve">of the </w:t>
      </w:r>
      <w:r w:rsidR="00B932B1">
        <w:t>properties</w:t>
      </w:r>
      <w:r w:rsidR="00EE74FB">
        <w:t xml:space="preserve"> together with any improvements thereon </w:t>
      </w:r>
      <w:r w:rsidR="00B932B1">
        <w:t>which</w:t>
      </w:r>
      <w:r w:rsidR="00EE74FB">
        <w:t xml:space="preserve"> would either be sold privately or at an auction.</w:t>
      </w:r>
    </w:p>
    <w:p w14:paraId="054CD9B2" w14:textId="12BF8864" w:rsidR="00890322" w:rsidRDefault="00445B20" w:rsidP="00445B20">
      <w:pPr>
        <w:pStyle w:val="Heading1"/>
        <w:numPr>
          <w:ilvl w:val="0"/>
          <w:numId w:val="0"/>
        </w:numPr>
        <w:tabs>
          <w:tab w:val="left" w:pos="862"/>
        </w:tabs>
        <w:ind w:left="862" w:hanging="862"/>
      </w:pPr>
      <w:r>
        <w:t>[6]</w:t>
      </w:r>
      <w:r>
        <w:tab/>
      </w:r>
      <w:r w:rsidR="00EE74FB">
        <w:t>On 15</w:t>
      </w:r>
      <w:r w:rsidR="00890322">
        <w:rPr>
          <w:vertAlign w:val="superscript"/>
        </w:rPr>
        <w:t xml:space="preserve"> </w:t>
      </w:r>
      <w:r w:rsidR="00EE74FB">
        <w:t xml:space="preserve"> August 2014</w:t>
      </w:r>
      <w:r w:rsidR="00B932B1">
        <w:t>,</w:t>
      </w:r>
      <w:r w:rsidR="00EE74FB">
        <w:t xml:space="preserve"> the applicant</w:t>
      </w:r>
      <w:r w:rsidR="00890322">
        <w:t>,</w:t>
      </w:r>
      <w:r w:rsidR="00EE74FB">
        <w:t xml:space="preserve"> pursuant to this authority</w:t>
      </w:r>
      <w:r w:rsidR="00890322">
        <w:t>,</w:t>
      </w:r>
      <w:r w:rsidR="00EE74FB">
        <w:t xml:space="preserve"> concluded an agreement of sale with John </w:t>
      </w:r>
      <w:r w:rsidR="004C7DE5">
        <w:t>Alistair</w:t>
      </w:r>
      <w:r w:rsidR="00EE74FB">
        <w:t xml:space="preserve"> Le</w:t>
      </w:r>
      <w:r w:rsidR="00890322">
        <w:t>igh</w:t>
      </w:r>
      <w:r w:rsidR="00D13254">
        <w:t>,</w:t>
      </w:r>
      <w:r w:rsidR="00EE74FB">
        <w:t xml:space="preserve"> or a nominee for a company to be formed</w:t>
      </w:r>
      <w:r w:rsidR="00D13254">
        <w:t>,</w:t>
      </w:r>
      <w:r w:rsidR="00EE74FB">
        <w:t xml:space="preserve"> and the </w:t>
      </w:r>
      <w:r w:rsidR="00B932B1">
        <w:t>properties</w:t>
      </w:r>
      <w:r w:rsidR="00EE74FB">
        <w:t xml:space="preserve"> w</w:t>
      </w:r>
      <w:r w:rsidR="00B932B1">
        <w:t>ere</w:t>
      </w:r>
      <w:r w:rsidR="00EE74FB">
        <w:t xml:space="preserve"> sold for the sum of R12 000 000,00.</w:t>
      </w:r>
      <w:r w:rsidR="00EE74FB">
        <w:rPr>
          <w:rStyle w:val="FootnoteReference"/>
        </w:rPr>
        <w:footnoteReference w:id="3"/>
      </w:r>
      <w:r w:rsidR="00663888">
        <w:t xml:space="preserve">  As reflected in an addendum to the agreement of sale, the purchaser nominated Rare Earth Vineyards (Pty) Limited as the company and purchaser of the properties.</w:t>
      </w:r>
      <w:r w:rsidR="00663888">
        <w:rPr>
          <w:rStyle w:val="FootnoteReference"/>
        </w:rPr>
        <w:footnoteReference w:id="4"/>
      </w:r>
    </w:p>
    <w:p w14:paraId="6BC88944" w14:textId="15C3C73F" w:rsidR="007738FD" w:rsidRDefault="00445B20" w:rsidP="00445B20">
      <w:pPr>
        <w:pStyle w:val="Heading1"/>
        <w:numPr>
          <w:ilvl w:val="0"/>
          <w:numId w:val="0"/>
        </w:numPr>
        <w:tabs>
          <w:tab w:val="left" w:pos="862"/>
        </w:tabs>
        <w:ind w:left="862" w:hanging="862"/>
      </w:pPr>
      <w:r>
        <w:t>[7]</w:t>
      </w:r>
      <w:r>
        <w:tab/>
      </w:r>
      <w:r w:rsidR="00663888">
        <w:t xml:space="preserve">Having </w:t>
      </w:r>
      <w:r w:rsidR="00CE60E4">
        <w:t xml:space="preserve">not  as yet received payment of the </w:t>
      </w:r>
      <w:r w:rsidR="00663888">
        <w:t>R12 000 000,00 in liquidation of the indebtedness</w:t>
      </w:r>
      <w:r w:rsidR="00C7543E">
        <w:t xml:space="preserve"> from the sale of the </w:t>
      </w:r>
      <w:r w:rsidR="00B932B1">
        <w:t>properties</w:t>
      </w:r>
      <w:r w:rsidR="00CE60E4">
        <w:t xml:space="preserve"> </w:t>
      </w:r>
      <w:r w:rsidR="00663888">
        <w:t>the applicant</w:t>
      </w:r>
      <w:r w:rsidR="00CE60E4">
        <w:t xml:space="preserve"> </w:t>
      </w:r>
      <w:r w:rsidR="00663888">
        <w:t xml:space="preserve"> sent two letters of demand to the respondent dated 25 September 2014</w:t>
      </w:r>
      <w:r w:rsidR="00663888">
        <w:rPr>
          <w:rStyle w:val="FootnoteReference"/>
        </w:rPr>
        <w:footnoteReference w:id="5"/>
      </w:r>
      <w:r w:rsidR="00663888">
        <w:t xml:space="preserve"> and 17 October 2014</w:t>
      </w:r>
      <w:r w:rsidR="00CE60E4">
        <w:t>.</w:t>
      </w:r>
      <w:r w:rsidR="00663888">
        <w:rPr>
          <w:rStyle w:val="FootnoteReference"/>
        </w:rPr>
        <w:footnoteReference w:id="6"/>
      </w:r>
      <w:r w:rsidR="00663888">
        <w:t xml:space="preserve"> </w:t>
      </w:r>
      <w:r w:rsidR="00CE60E4">
        <w:t>D</w:t>
      </w:r>
      <w:r w:rsidR="00663888">
        <w:t>emands</w:t>
      </w:r>
      <w:r w:rsidR="00CE60E4">
        <w:t xml:space="preserve"> were made </w:t>
      </w:r>
      <w:r w:rsidR="00663888">
        <w:t xml:space="preserve">for </w:t>
      </w:r>
      <w:r w:rsidR="00CE60E4">
        <w:t xml:space="preserve">amounts </w:t>
      </w:r>
      <w:r w:rsidR="00663888">
        <w:t xml:space="preserve">in the sums of R32 704 292,25 together with interest at the rate of 9.25% per annum calculated daily and compounded monthly in arrears from 10 September 2014 to date of payment and R3 779 841,32 together with interest thereon at the rate of 10.75% per annum </w:t>
      </w:r>
      <w:r w:rsidR="007A7CF0">
        <w:t xml:space="preserve">calculated daily and compounded monthly in arrears from 10 September 2014 to date of payment.  The letters were addressed in terms of the provisions of </w:t>
      </w:r>
      <w:r w:rsidR="004F05C6">
        <w:t>section 129(1) of the National Credit Act 34 of 2005.  A</w:t>
      </w:r>
      <w:r w:rsidR="00C7543E">
        <w:t>ccordingly</w:t>
      </w:r>
      <w:r w:rsidR="004F05C6">
        <w:t xml:space="preserve">, the respondent was informed of his right to refer the debt to a debt counsellor in terms of section 129(1)(a) of the Act, </w:t>
      </w:r>
      <w:r w:rsidR="004F05C6" w:rsidRPr="00271744">
        <w:rPr>
          <w:u w:val="single"/>
        </w:rPr>
        <w:t>alternatively</w:t>
      </w:r>
      <w:r w:rsidR="004F05C6">
        <w:t xml:space="preserve"> was notified that should he not within ten business days from service of the letter</w:t>
      </w:r>
      <w:r w:rsidR="00B932B1">
        <w:t>s</w:t>
      </w:r>
      <w:r w:rsidR="004F05C6">
        <w:t xml:space="preserve"> remain in default for a period of </w:t>
      </w:r>
      <w:r w:rsidR="004F05C6">
        <w:lastRenderedPageBreak/>
        <w:t>20 days the applicant would then take the necessary steps to enforce payment as it was entitled to do.</w:t>
      </w:r>
    </w:p>
    <w:p w14:paraId="71D7A97B" w14:textId="421E0C1F" w:rsidR="007738FD" w:rsidRDefault="00445B20" w:rsidP="00445B20">
      <w:pPr>
        <w:pStyle w:val="Heading1"/>
        <w:numPr>
          <w:ilvl w:val="0"/>
          <w:numId w:val="0"/>
        </w:numPr>
        <w:tabs>
          <w:tab w:val="left" w:pos="862"/>
        </w:tabs>
        <w:ind w:left="862" w:hanging="862"/>
      </w:pPr>
      <w:r>
        <w:t>[8]</w:t>
      </w:r>
      <w:r>
        <w:tab/>
      </w:r>
      <w:r w:rsidR="004F05C6">
        <w:t xml:space="preserve">The letters of demand were served on the respondent at his chosen </w:t>
      </w:r>
      <w:proofErr w:type="spellStart"/>
      <w:r w:rsidR="004F05C6" w:rsidRPr="007738FD">
        <w:rPr>
          <w:i/>
        </w:rPr>
        <w:t>domicilium</w:t>
      </w:r>
      <w:proofErr w:type="spellEnd"/>
      <w:r w:rsidR="004F05C6" w:rsidRPr="007738FD">
        <w:rPr>
          <w:i/>
        </w:rPr>
        <w:t xml:space="preserve"> </w:t>
      </w:r>
      <w:proofErr w:type="spellStart"/>
      <w:r w:rsidR="004F05C6" w:rsidRPr="007738FD">
        <w:rPr>
          <w:i/>
        </w:rPr>
        <w:t>citandi</w:t>
      </w:r>
      <w:proofErr w:type="spellEnd"/>
      <w:r w:rsidR="004F05C6" w:rsidRPr="007738FD">
        <w:rPr>
          <w:i/>
        </w:rPr>
        <w:t xml:space="preserve"> et </w:t>
      </w:r>
      <w:proofErr w:type="spellStart"/>
      <w:r w:rsidR="004F05C6" w:rsidRPr="007738FD">
        <w:rPr>
          <w:i/>
        </w:rPr>
        <w:t>executandi</w:t>
      </w:r>
      <w:proofErr w:type="spellEnd"/>
      <w:r w:rsidR="004F05C6">
        <w:t xml:space="preserve"> namely 1 College Drive, Sunninghill, Sandton when the Sheriff affixed the letters to the principal doors.  In addition</w:t>
      </w:r>
      <w:r w:rsidR="007738FD">
        <w:t>,</w:t>
      </w:r>
      <w:r w:rsidR="004F05C6">
        <w:t xml:space="preserve"> the letters were also served at his residential address in South Africa, 159A Empire Place, Sandhurst, Sandton.</w:t>
      </w:r>
    </w:p>
    <w:p w14:paraId="62C11FEE" w14:textId="57967547" w:rsidR="007738FD" w:rsidRDefault="00445B20" w:rsidP="00445B20">
      <w:pPr>
        <w:pStyle w:val="Heading1"/>
        <w:numPr>
          <w:ilvl w:val="0"/>
          <w:numId w:val="0"/>
        </w:numPr>
        <w:tabs>
          <w:tab w:val="left" w:pos="862"/>
        </w:tabs>
        <w:ind w:left="862" w:hanging="862"/>
      </w:pPr>
      <w:r>
        <w:t>[9]</w:t>
      </w:r>
      <w:r>
        <w:tab/>
      </w:r>
      <w:r w:rsidR="004F05C6">
        <w:t>As required in terms of the loan agreements, the applicant furnished the Court with updated certificates of balance which reflected that after the deduction of the R12 000 000,00</w:t>
      </w:r>
      <w:r w:rsidR="00CE60E4">
        <w:t xml:space="preserve"> purchase price</w:t>
      </w:r>
      <w:r w:rsidR="004F05C6">
        <w:t>, the sums due under the two loan agreements</w:t>
      </w:r>
      <w:r w:rsidR="00D13254">
        <w:t>,</w:t>
      </w:r>
      <w:r w:rsidR="004F05C6">
        <w:t xml:space="preserve"> as </w:t>
      </w:r>
      <w:proofErr w:type="gramStart"/>
      <w:r w:rsidR="004F05C6">
        <w:t>at</w:t>
      </w:r>
      <w:proofErr w:type="gramEnd"/>
      <w:r w:rsidR="004F05C6">
        <w:t xml:space="preserve"> 6 July 2022</w:t>
      </w:r>
      <w:r w:rsidR="00D13254">
        <w:t>,</w:t>
      </w:r>
      <w:r w:rsidR="004F05C6">
        <w:t xml:space="preserve"> were amounts of R22 976 271,94</w:t>
      </w:r>
      <w:r w:rsidR="004F05C6">
        <w:rPr>
          <w:rStyle w:val="FootnoteReference"/>
        </w:rPr>
        <w:footnoteReference w:id="7"/>
      </w:r>
      <w:r w:rsidR="004F05C6">
        <w:t xml:space="preserve"> and R490 607,20</w:t>
      </w:r>
      <w:r w:rsidR="00B372F4">
        <w:t>.</w:t>
      </w:r>
      <w:r w:rsidR="00B372F4">
        <w:rPr>
          <w:rStyle w:val="FootnoteReference"/>
        </w:rPr>
        <w:footnoteReference w:id="8"/>
      </w:r>
    </w:p>
    <w:p w14:paraId="0C097645" w14:textId="5AAA6FF8" w:rsidR="00AA7A46" w:rsidRDefault="00445B20" w:rsidP="00445B20">
      <w:pPr>
        <w:pStyle w:val="Heading1"/>
        <w:numPr>
          <w:ilvl w:val="0"/>
          <w:numId w:val="0"/>
        </w:numPr>
        <w:tabs>
          <w:tab w:val="left" w:pos="862"/>
        </w:tabs>
        <w:ind w:left="862" w:hanging="862"/>
      </w:pPr>
      <w:r>
        <w:t>[10]</w:t>
      </w:r>
      <w:r>
        <w:tab/>
      </w:r>
      <w:r w:rsidR="00B372F4">
        <w:t xml:space="preserve">The </w:t>
      </w:r>
      <w:r w:rsidR="004C7DE5">
        <w:t>respondent delivered</w:t>
      </w:r>
      <w:r w:rsidR="00B372F4">
        <w:t xml:space="preserve"> a notice of </w:t>
      </w:r>
      <w:proofErr w:type="gramStart"/>
      <w:r w:rsidR="00B372F4">
        <w:t>counter-application</w:t>
      </w:r>
      <w:proofErr w:type="gramEnd"/>
      <w:r w:rsidR="00C7543E">
        <w:t>,</w:t>
      </w:r>
      <w:r w:rsidR="00B372F4">
        <w:rPr>
          <w:rStyle w:val="FootnoteReference"/>
        </w:rPr>
        <w:footnoteReference w:id="9"/>
      </w:r>
      <w:r w:rsidR="00B372F4">
        <w:t xml:space="preserve"> dated 14 January 2016</w:t>
      </w:r>
      <w:r w:rsidR="00C7543E">
        <w:t>,</w:t>
      </w:r>
      <w:r w:rsidR="00B372F4">
        <w:t xml:space="preserve"> wherein he sought in the main that the application be referred to trial or </w:t>
      </w:r>
      <w:r w:rsidR="00B372F4" w:rsidRPr="007738FD">
        <w:rPr>
          <w:u w:val="single"/>
        </w:rPr>
        <w:t>alternatively</w:t>
      </w:r>
      <w:r w:rsidR="00B372F4">
        <w:t xml:space="preserve"> that the power of attorney be set aside and so too the agreement of sale, </w:t>
      </w:r>
      <w:r w:rsidR="00B372F4" w:rsidRPr="007738FD">
        <w:rPr>
          <w:u w:val="single"/>
        </w:rPr>
        <w:t>alternatively</w:t>
      </w:r>
      <w:r w:rsidR="00B372F4">
        <w:t xml:space="preserve"> that the validity of the sale of the immovable properties be referred to trial.  In </w:t>
      </w:r>
      <w:proofErr w:type="gramStart"/>
      <w:r w:rsidR="00B372F4">
        <w:t>addition</w:t>
      </w:r>
      <w:proofErr w:type="gramEnd"/>
      <w:r w:rsidR="00B372F4">
        <w:t xml:space="preserve"> an interdict was sought against the applicant preventing the transfer of the properties pending the outcome of the action.  Notably, the </w:t>
      </w:r>
      <w:proofErr w:type="gramStart"/>
      <w:r w:rsidR="00B372F4">
        <w:t>counter-application</w:t>
      </w:r>
      <w:proofErr w:type="gramEnd"/>
      <w:r w:rsidR="00B372F4">
        <w:t xml:space="preserve"> was not supported by an affidavit and</w:t>
      </w:r>
      <w:r w:rsidR="007738FD">
        <w:t>,</w:t>
      </w:r>
      <w:r w:rsidR="00B372F4">
        <w:t xml:space="preserve"> accordingly</w:t>
      </w:r>
      <w:r w:rsidR="007738FD">
        <w:t>,</w:t>
      </w:r>
      <w:r w:rsidR="00B372F4">
        <w:t xml:space="preserve"> the application would of necessity have to rely on the answering affidavit delivered in support of the relief sought.</w:t>
      </w:r>
      <w:r w:rsidR="00C7543E">
        <w:t xml:space="preserve"> As set out </w:t>
      </w:r>
      <w:r w:rsidR="004C7DE5">
        <w:t>below, the</w:t>
      </w:r>
      <w:r w:rsidR="00C7543E">
        <w:t xml:space="preserve"> respondent’s counsel only persisted with the referral to trial in argument.</w:t>
      </w:r>
    </w:p>
    <w:p w14:paraId="09A7B3C2" w14:textId="2CA1EA68" w:rsidR="007738FD" w:rsidRDefault="00445B20" w:rsidP="00445B20">
      <w:pPr>
        <w:pStyle w:val="Heading1"/>
        <w:numPr>
          <w:ilvl w:val="0"/>
          <w:numId w:val="0"/>
        </w:numPr>
        <w:tabs>
          <w:tab w:val="left" w:pos="862"/>
        </w:tabs>
        <w:ind w:left="862" w:hanging="862"/>
      </w:pPr>
      <w:r>
        <w:t>[11]</w:t>
      </w:r>
      <w:r>
        <w:tab/>
      </w:r>
      <w:r w:rsidR="00B372F4">
        <w:t xml:space="preserve">The application was issued on 27 July 2015 and the respondent delivered his answering affidavit during September 2015, his affidavit having been </w:t>
      </w:r>
      <w:r w:rsidR="00B372F4">
        <w:lastRenderedPageBreak/>
        <w:t>signed and commissioned on 7</w:t>
      </w:r>
      <w:r w:rsidR="007738FD">
        <w:rPr>
          <w:vertAlign w:val="superscript"/>
        </w:rPr>
        <w:t xml:space="preserve"> </w:t>
      </w:r>
      <w:r w:rsidR="00B372F4">
        <w:t>September 2015. The applicant then delivered its replying affidavit on 2</w:t>
      </w:r>
      <w:r w:rsidR="007738FD">
        <w:rPr>
          <w:vertAlign w:val="superscript"/>
        </w:rPr>
        <w:t xml:space="preserve"> </w:t>
      </w:r>
      <w:r w:rsidR="00B372F4">
        <w:t>October 2015</w:t>
      </w:r>
      <w:r w:rsidR="00C7543E">
        <w:t>.</w:t>
      </w:r>
      <w:r w:rsidR="00B372F4">
        <w:t xml:space="preserve"> </w:t>
      </w:r>
    </w:p>
    <w:p w14:paraId="33D52F69" w14:textId="08A7E8FD" w:rsidR="007738FD" w:rsidRDefault="00445B20" w:rsidP="00445B20">
      <w:pPr>
        <w:pStyle w:val="Heading1"/>
        <w:numPr>
          <w:ilvl w:val="0"/>
          <w:numId w:val="0"/>
        </w:numPr>
        <w:tabs>
          <w:tab w:val="left" w:pos="862"/>
        </w:tabs>
        <w:ind w:left="862" w:hanging="862"/>
      </w:pPr>
      <w:r>
        <w:t>[12]</w:t>
      </w:r>
      <w:r>
        <w:tab/>
      </w:r>
      <w:r w:rsidR="00B372F4">
        <w:t xml:space="preserve">The matter was set down </w:t>
      </w:r>
      <w:r w:rsidR="007738FD">
        <w:t>on</w:t>
      </w:r>
      <w:r w:rsidR="00B372F4">
        <w:t xml:space="preserve"> 30</w:t>
      </w:r>
      <w:r w:rsidR="007738FD">
        <w:rPr>
          <w:vertAlign w:val="superscript"/>
        </w:rPr>
        <w:t xml:space="preserve"> </w:t>
      </w:r>
      <w:r w:rsidR="00B372F4">
        <w:t>May 2022 and was stood down to Friday 3</w:t>
      </w:r>
      <w:r w:rsidR="007738FD">
        <w:rPr>
          <w:vertAlign w:val="superscript"/>
        </w:rPr>
        <w:t xml:space="preserve"> </w:t>
      </w:r>
      <w:r w:rsidR="00B372F4">
        <w:t>June 2022 to enable the respondent to instruct new attorneys.</w:t>
      </w:r>
      <w:r w:rsidR="00B372F4">
        <w:rPr>
          <w:rStyle w:val="FootnoteReference"/>
        </w:rPr>
        <w:footnoteReference w:id="10"/>
      </w:r>
      <w:r w:rsidR="003D5016">
        <w:t xml:space="preserve">  The parties then agreed to a</w:t>
      </w:r>
      <w:r w:rsidR="00D13254">
        <w:t xml:space="preserve">n </w:t>
      </w:r>
      <w:r w:rsidR="003D5016">
        <w:t>order in terms of which the application would be postponed and the parties were afforded</w:t>
      </w:r>
      <w:r w:rsidR="007738FD">
        <w:t>,</w:t>
      </w:r>
      <w:r w:rsidR="003D5016">
        <w:t xml:space="preserve"> more particularly</w:t>
      </w:r>
      <w:r w:rsidR="007738FD">
        <w:t>,</w:t>
      </w:r>
      <w:r w:rsidR="003D5016">
        <w:t xml:space="preserve"> the respondent an opportunity to file a supplementary affidavit within 15 days of the order and costs were reserved.</w:t>
      </w:r>
    </w:p>
    <w:p w14:paraId="3C604357" w14:textId="3CD313B5" w:rsidR="007738FD" w:rsidRDefault="00445B20" w:rsidP="00445B20">
      <w:pPr>
        <w:pStyle w:val="Heading1"/>
        <w:numPr>
          <w:ilvl w:val="0"/>
          <w:numId w:val="0"/>
        </w:numPr>
        <w:tabs>
          <w:tab w:val="left" w:pos="862"/>
        </w:tabs>
        <w:ind w:left="862" w:hanging="862"/>
      </w:pPr>
      <w:r>
        <w:t>[13]</w:t>
      </w:r>
      <w:r>
        <w:tab/>
      </w:r>
      <w:r w:rsidR="003D5016">
        <w:t>The applicant’s attorney</w:t>
      </w:r>
      <w:r w:rsidR="007738FD">
        <w:t>,</w:t>
      </w:r>
      <w:r w:rsidR="003D5016">
        <w:t xml:space="preserve"> </w:t>
      </w:r>
      <w:r w:rsidR="00D53CDC">
        <w:t xml:space="preserve">Mr </w:t>
      </w:r>
      <w:r w:rsidR="003D5016">
        <w:t xml:space="preserve">Anthony </w:t>
      </w:r>
      <w:r w:rsidR="009F65E7">
        <w:t>Rousseau</w:t>
      </w:r>
      <w:r w:rsidR="007738FD">
        <w:t>,</w:t>
      </w:r>
      <w:r w:rsidR="009F65E7">
        <w:t xml:space="preserve"> </w:t>
      </w:r>
      <w:r w:rsidR="003D5016">
        <w:t xml:space="preserve">of Edward Nathan </w:t>
      </w:r>
      <w:proofErr w:type="spellStart"/>
      <w:r w:rsidR="003D5016">
        <w:t>Sonnenbergs</w:t>
      </w:r>
      <w:proofErr w:type="spellEnd"/>
      <w:r w:rsidR="003D5016">
        <w:t xml:space="preserve"> delivered a supplementary affidavit</w:t>
      </w:r>
      <w:r w:rsidR="00C7543E">
        <w:t xml:space="preserve">, </w:t>
      </w:r>
      <w:r w:rsidR="003D5016">
        <w:t>commissioned on 21</w:t>
      </w:r>
      <w:r w:rsidR="007738FD">
        <w:t xml:space="preserve"> </w:t>
      </w:r>
      <w:r w:rsidR="003D5016">
        <w:t>July 2022</w:t>
      </w:r>
      <w:r w:rsidR="00C7543E">
        <w:t>,</w:t>
      </w:r>
      <w:r w:rsidR="003D5016">
        <w:t xml:space="preserve"> in support of what had transpired subsequent the </w:t>
      </w:r>
      <w:r w:rsidR="00D13254">
        <w:t xml:space="preserve">postponement order made by </w:t>
      </w:r>
      <w:proofErr w:type="spellStart"/>
      <w:r w:rsidR="003D5016">
        <w:t>Makume</w:t>
      </w:r>
      <w:proofErr w:type="spellEnd"/>
      <w:r w:rsidR="003D5016">
        <w:t xml:space="preserve"> J.  </w:t>
      </w:r>
      <w:r w:rsidR="009F65E7">
        <w:t>He informed the Court that the respondent was afforded an opportunity</w:t>
      </w:r>
      <w:r w:rsidR="00C7543E">
        <w:t>, under the order, until 30 June 2022 t</w:t>
      </w:r>
      <w:r w:rsidR="009F65E7">
        <w:t xml:space="preserve">o file a supplementary answering affidavit. </w:t>
      </w:r>
      <w:r w:rsidR="00C7543E">
        <w:t>Rosseau</w:t>
      </w:r>
      <w:r w:rsidR="009F65E7">
        <w:t xml:space="preserve"> received correspondence from Mr J</w:t>
      </w:r>
      <w:r w:rsidR="00D53CDC">
        <w:t>erome</w:t>
      </w:r>
      <w:r w:rsidR="009F65E7">
        <w:t xml:space="preserve"> Levitz</w:t>
      </w:r>
      <w:r w:rsidR="00D53CDC">
        <w:t>, an attorney at</w:t>
      </w:r>
      <w:r w:rsidR="009F65E7">
        <w:t xml:space="preserve"> </w:t>
      </w:r>
      <w:proofErr w:type="spellStart"/>
      <w:r w:rsidR="009F65E7">
        <w:t>Fluxmans</w:t>
      </w:r>
      <w:proofErr w:type="spellEnd"/>
      <w:r w:rsidR="009F65E7">
        <w:t xml:space="preserve"> Incorporated on 29 June 2022</w:t>
      </w:r>
      <w:r w:rsidR="00D53CDC">
        <w:t>. He</w:t>
      </w:r>
      <w:r w:rsidR="009F65E7">
        <w:t xml:space="preserve"> now represented the respondent </w:t>
      </w:r>
      <w:r w:rsidR="00D53CDC">
        <w:t xml:space="preserve">and </w:t>
      </w:r>
      <w:r w:rsidR="009F65E7">
        <w:t>informed</w:t>
      </w:r>
      <w:r w:rsidR="00D53CDC">
        <w:t xml:space="preserve"> Rosseau</w:t>
      </w:r>
      <w:r w:rsidR="009F65E7">
        <w:t xml:space="preserve"> that </w:t>
      </w:r>
      <w:proofErr w:type="gramStart"/>
      <w:r w:rsidR="00D53CDC">
        <w:t>t</w:t>
      </w:r>
      <w:r w:rsidR="009F65E7">
        <w:t xml:space="preserve">he </w:t>
      </w:r>
      <w:r w:rsidR="00D53CDC">
        <w:t xml:space="preserve"> respondent</w:t>
      </w:r>
      <w:proofErr w:type="gramEnd"/>
      <w:r w:rsidR="00D53CDC">
        <w:t xml:space="preserve"> </w:t>
      </w:r>
      <w:r w:rsidR="009F65E7">
        <w:t>would not be filing any further affidavits.  Rousseau</w:t>
      </w:r>
      <w:r w:rsidR="00D53CDC">
        <w:t>,</w:t>
      </w:r>
      <w:r w:rsidR="009F65E7">
        <w:t xml:space="preserve"> in filing the supplementary affidavit</w:t>
      </w:r>
      <w:r w:rsidR="00D53CDC">
        <w:t>,</w:t>
      </w:r>
      <w:r w:rsidR="009F65E7">
        <w:t xml:space="preserve"> again contacted Levitz</w:t>
      </w:r>
      <w:r w:rsidR="00D13254">
        <w:t>,</w:t>
      </w:r>
      <w:r w:rsidR="009F65E7">
        <w:t xml:space="preserve"> on 5</w:t>
      </w:r>
      <w:r w:rsidR="007738FD">
        <w:rPr>
          <w:vertAlign w:val="superscript"/>
        </w:rPr>
        <w:t xml:space="preserve"> </w:t>
      </w:r>
      <w:r w:rsidR="009F65E7">
        <w:t>July 2022</w:t>
      </w:r>
      <w:r w:rsidR="00D13254">
        <w:t>,</w:t>
      </w:r>
      <w:r w:rsidR="009F65E7">
        <w:t xml:space="preserve"> to</w:t>
      </w:r>
      <w:r w:rsidR="00D53CDC">
        <w:t xml:space="preserve"> affirm</w:t>
      </w:r>
      <w:r w:rsidR="009F65E7">
        <w:t xml:space="preserve"> that no affidavit in support of the </w:t>
      </w:r>
      <w:proofErr w:type="gramStart"/>
      <w:r w:rsidR="009F65E7">
        <w:t>counter-application</w:t>
      </w:r>
      <w:proofErr w:type="gramEnd"/>
      <w:r w:rsidR="009F65E7">
        <w:t xml:space="preserve"> had been received and again pressed Levitz to determine whether any further affidavits would accompany the counter-application.</w:t>
      </w:r>
      <w:r w:rsidR="00D53CDC">
        <w:t xml:space="preserve"> </w:t>
      </w:r>
      <w:r w:rsidR="009F65E7">
        <w:t>Levitz told him</w:t>
      </w:r>
      <w:r w:rsidR="00D53CDC">
        <w:t>,</w:t>
      </w:r>
      <w:r w:rsidR="009F65E7">
        <w:t xml:space="preserve"> telephonically</w:t>
      </w:r>
      <w:r w:rsidR="00D53CDC">
        <w:t>,</w:t>
      </w:r>
      <w:r w:rsidR="009F65E7">
        <w:t xml:space="preserve"> that no affidavit was attached to the notice of </w:t>
      </w:r>
      <w:proofErr w:type="gramStart"/>
      <w:r w:rsidR="009F65E7">
        <w:t>counter-application</w:t>
      </w:r>
      <w:proofErr w:type="gramEnd"/>
      <w:r w:rsidR="00D53CDC">
        <w:t>,</w:t>
      </w:r>
      <w:r w:rsidR="009F65E7">
        <w:t xml:space="preserve"> which had been served in January 2016</w:t>
      </w:r>
      <w:r w:rsidR="00D53CDC">
        <w:t>,</w:t>
      </w:r>
      <w:r w:rsidR="009F65E7">
        <w:t xml:space="preserve"> and</w:t>
      </w:r>
      <w:r w:rsidR="00B6502E">
        <w:t xml:space="preserve"> </w:t>
      </w:r>
      <w:r w:rsidR="009F65E7">
        <w:t xml:space="preserve">reiterated that no further affidavits would be delivered by the respondent. </w:t>
      </w:r>
    </w:p>
    <w:p w14:paraId="32C96020" w14:textId="23FD05C5" w:rsidR="007738FD" w:rsidRDefault="00445B20" w:rsidP="00445B20">
      <w:pPr>
        <w:pStyle w:val="Heading1"/>
        <w:numPr>
          <w:ilvl w:val="0"/>
          <w:numId w:val="0"/>
        </w:numPr>
        <w:tabs>
          <w:tab w:val="left" w:pos="862"/>
        </w:tabs>
        <w:ind w:left="862" w:hanging="862"/>
      </w:pPr>
      <w:r>
        <w:t>[14]</w:t>
      </w:r>
      <w:r>
        <w:tab/>
      </w:r>
      <w:r w:rsidR="009F65E7">
        <w:t>Furthermore, Rousseau attached the certificates of balance to which I have referred above</w:t>
      </w:r>
      <w:r w:rsidR="007738FD">
        <w:t>.</w:t>
      </w:r>
    </w:p>
    <w:p w14:paraId="23DBCD4C" w14:textId="0710A0FF" w:rsidR="007738FD" w:rsidRDefault="00445B20" w:rsidP="00445B20">
      <w:pPr>
        <w:pStyle w:val="Heading1"/>
        <w:numPr>
          <w:ilvl w:val="0"/>
          <w:numId w:val="0"/>
        </w:numPr>
        <w:tabs>
          <w:tab w:val="left" w:pos="862"/>
        </w:tabs>
        <w:ind w:left="862" w:hanging="862"/>
      </w:pPr>
      <w:r>
        <w:t>[15]</w:t>
      </w:r>
      <w:r>
        <w:tab/>
      </w:r>
      <w:r w:rsidR="009F65E7">
        <w:t>The respondent sign</w:t>
      </w:r>
      <w:r w:rsidR="00D53CDC">
        <w:t>ed</w:t>
      </w:r>
      <w:r w:rsidR="009F65E7">
        <w:t xml:space="preserve"> his answering affidavit and the special power of </w:t>
      </w:r>
      <w:r w:rsidR="009F65E7">
        <w:lastRenderedPageBreak/>
        <w:t xml:space="preserve">attorney by affixing his thumbprint to the documents.  This is </w:t>
      </w:r>
      <w:proofErr w:type="gramStart"/>
      <w:r w:rsidR="009F65E7">
        <w:t>as a consequence of</w:t>
      </w:r>
      <w:proofErr w:type="gramEnd"/>
      <w:r w:rsidR="009F65E7">
        <w:t xml:space="preserve"> a serious injury sustained by him during a Polo horse riding accident which has resulted in him being a quadriplegic and unable to write.  The </w:t>
      </w:r>
      <w:r w:rsidR="00DE4475">
        <w:t xml:space="preserve">respondent also told the Court </w:t>
      </w:r>
      <w:r w:rsidR="009F65E7">
        <w:t>that he has a partially collapsed left lung and</w:t>
      </w:r>
      <w:r w:rsidR="00DE4475">
        <w:t>,</w:t>
      </w:r>
      <w:r w:rsidR="009F65E7">
        <w:t xml:space="preserve"> at the time</w:t>
      </w:r>
      <w:r w:rsidR="00DE4475">
        <w:t>,</w:t>
      </w:r>
      <w:r w:rsidR="009F65E7">
        <w:t xml:space="preserve"> a chronic infection in both lungs which requires him to reside in the United Kingdom</w:t>
      </w:r>
      <w:r w:rsidR="00DE4475">
        <w:t>,</w:t>
      </w:r>
      <w:r w:rsidR="009F65E7">
        <w:t xml:space="preserve"> which he does</w:t>
      </w:r>
      <w:r w:rsidR="00DE4475">
        <w:t>,</w:t>
      </w:r>
      <w:r w:rsidR="009F65E7">
        <w:t xml:space="preserve"> and continued to do at the time of the hearing before me in May 2023, for medical reasons and access to medical</w:t>
      </w:r>
      <w:r w:rsidR="007738FD">
        <w:t xml:space="preserve"> </w:t>
      </w:r>
      <w:r w:rsidR="009F65E7">
        <w:t>experts.</w:t>
      </w:r>
      <w:r w:rsidR="007738FD">
        <w:t xml:space="preserve"> </w:t>
      </w:r>
    </w:p>
    <w:p w14:paraId="7ED28AF4" w14:textId="522C42EF" w:rsidR="00DE4475" w:rsidRDefault="00445B20" w:rsidP="00445B20">
      <w:pPr>
        <w:pStyle w:val="Heading1"/>
        <w:numPr>
          <w:ilvl w:val="0"/>
          <w:numId w:val="0"/>
        </w:numPr>
        <w:tabs>
          <w:tab w:val="left" w:pos="862"/>
        </w:tabs>
        <w:ind w:left="862" w:hanging="862"/>
      </w:pPr>
      <w:r>
        <w:t>[16]</w:t>
      </w:r>
      <w:r>
        <w:tab/>
      </w:r>
      <w:r w:rsidR="009F65E7">
        <w:t xml:space="preserve">Having perused the answering affidavit, it is common </w:t>
      </w:r>
      <w:r w:rsidR="004C7DE5">
        <w:t>cause, as</w:t>
      </w:r>
      <w:r w:rsidR="009F65E7">
        <w:t xml:space="preserve"> submitted to me by the applicant’s counsel</w:t>
      </w:r>
      <w:r w:rsidR="00DE4475">
        <w:t>, that:</w:t>
      </w:r>
    </w:p>
    <w:p w14:paraId="09391CDC" w14:textId="42B5C3FB" w:rsidR="00DE4475" w:rsidRDefault="00445B20" w:rsidP="00445B20">
      <w:pPr>
        <w:pStyle w:val="Heading1"/>
        <w:numPr>
          <w:ilvl w:val="0"/>
          <w:numId w:val="0"/>
        </w:numPr>
        <w:tabs>
          <w:tab w:val="clear" w:pos="1871"/>
        </w:tabs>
        <w:ind w:left="1402" w:hanging="480"/>
      </w:pPr>
      <w:r>
        <w:t>16.1</w:t>
      </w:r>
      <w:r>
        <w:tab/>
      </w:r>
      <w:r w:rsidR="00DE4475">
        <w:t xml:space="preserve"> </w:t>
      </w:r>
      <w:r w:rsidR="009F65E7">
        <w:t>the written home loans were concluded between the parties as referred to above on 2 March 2004 (fi</w:t>
      </w:r>
      <w:r w:rsidR="00D13254">
        <w:t>r</w:t>
      </w:r>
      <w:r w:rsidR="009F65E7">
        <w:t>st and second home loans), 10 November 2004 (third home loan) and 14 February 2012 (the restructured home loan</w:t>
      </w:r>
      <w:proofErr w:type="gramStart"/>
      <w:r w:rsidR="009F65E7">
        <w:t>)</w:t>
      </w:r>
      <w:r w:rsidR="00DE4475">
        <w:t>;</w:t>
      </w:r>
      <w:proofErr w:type="gramEnd"/>
      <w:r w:rsidR="009F65E7">
        <w:t xml:space="preserve">  </w:t>
      </w:r>
    </w:p>
    <w:p w14:paraId="67166660" w14:textId="6109740B" w:rsidR="00DE4475" w:rsidRDefault="00445B20" w:rsidP="00445B20">
      <w:pPr>
        <w:pStyle w:val="Heading1"/>
        <w:numPr>
          <w:ilvl w:val="0"/>
          <w:numId w:val="0"/>
        </w:numPr>
        <w:tabs>
          <w:tab w:val="clear" w:pos="1871"/>
        </w:tabs>
        <w:ind w:left="1402" w:hanging="480"/>
      </w:pPr>
      <w:r>
        <w:t>16.2</w:t>
      </w:r>
      <w:r>
        <w:tab/>
      </w:r>
      <w:r w:rsidR="00DE4475">
        <w:t xml:space="preserve"> </w:t>
      </w:r>
      <w:r w:rsidR="00CE1CDA">
        <w:t xml:space="preserve">the applicant lent and advanced the sums of R3 150 000,00, R4 500 000,00, R15 000 000,00 and a further R8 000 000,00 to the respondent in respect of the four </w:t>
      </w:r>
      <w:proofErr w:type="gramStart"/>
      <w:r w:rsidR="00CE1CDA">
        <w:t>agreements</w:t>
      </w:r>
      <w:r w:rsidR="00DE4475">
        <w:t>;</w:t>
      </w:r>
      <w:proofErr w:type="gramEnd"/>
    </w:p>
    <w:p w14:paraId="5073CCE9" w14:textId="55B6CDFE" w:rsidR="00DE4475" w:rsidRDefault="00445B20" w:rsidP="00445B20">
      <w:pPr>
        <w:pStyle w:val="Heading1"/>
        <w:numPr>
          <w:ilvl w:val="0"/>
          <w:numId w:val="0"/>
        </w:numPr>
        <w:tabs>
          <w:tab w:val="clear" w:pos="1871"/>
        </w:tabs>
        <w:ind w:left="1402" w:hanging="480"/>
      </w:pPr>
      <w:r>
        <w:t>16.3</w:t>
      </w:r>
      <w:proofErr w:type="gramStart"/>
      <w:r>
        <w:tab/>
      </w:r>
      <w:r w:rsidR="00CE1CDA">
        <w:t xml:space="preserve">  mortgage</w:t>
      </w:r>
      <w:proofErr w:type="gramEnd"/>
      <w:r w:rsidR="00CE1CDA">
        <w:t xml:space="preserve"> bonds were registered to secure the indebtedness</w:t>
      </w:r>
      <w:r w:rsidR="00DE4475">
        <w:t xml:space="preserve">; </w:t>
      </w:r>
    </w:p>
    <w:p w14:paraId="5865DBF9" w14:textId="1B959D0D" w:rsidR="00DE4475" w:rsidRDefault="00445B20" w:rsidP="00445B20">
      <w:pPr>
        <w:pStyle w:val="Heading1"/>
        <w:numPr>
          <w:ilvl w:val="0"/>
          <w:numId w:val="0"/>
        </w:numPr>
        <w:tabs>
          <w:tab w:val="clear" w:pos="1871"/>
        </w:tabs>
        <w:ind w:left="1402" w:hanging="480"/>
      </w:pPr>
      <w:r>
        <w:t>16.4</w:t>
      </w:r>
      <w:r>
        <w:tab/>
      </w:r>
      <w:r w:rsidR="00CE1CDA">
        <w:t xml:space="preserve"> the respondent breached the terms of the restructured home loan and mortgage bond by failing to make payment as </w:t>
      </w:r>
      <w:proofErr w:type="gramStart"/>
      <w:r w:rsidR="00CE1CDA">
        <w:t>required</w:t>
      </w:r>
      <w:r w:rsidR="00DE4475">
        <w:t>;</w:t>
      </w:r>
      <w:proofErr w:type="gramEnd"/>
    </w:p>
    <w:p w14:paraId="03076A5B" w14:textId="412DF826" w:rsidR="00DE4475" w:rsidRDefault="00445B20" w:rsidP="00445B20">
      <w:pPr>
        <w:pStyle w:val="Heading1"/>
        <w:numPr>
          <w:ilvl w:val="0"/>
          <w:numId w:val="0"/>
        </w:numPr>
        <w:tabs>
          <w:tab w:val="clear" w:pos="1871"/>
        </w:tabs>
        <w:ind w:left="1402" w:hanging="480"/>
      </w:pPr>
      <w:r>
        <w:t>16.5</w:t>
      </w:r>
      <w:proofErr w:type="gramStart"/>
      <w:r>
        <w:tab/>
      </w:r>
      <w:r w:rsidR="00CE1CDA">
        <w:t xml:space="preserve">  </w:t>
      </w:r>
      <w:r w:rsidR="00DE4475">
        <w:t>t</w:t>
      </w:r>
      <w:r w:rsidR="00821AD2">
        <w:t>he</w:t>
      </w:r>
      <w:proofErr w:type="gramEnd"/>
      <w:r w:rsidR="00821AD2">
        <w:t xml:space="preserve"> </w:t>
      </w:r>
      <w:r w:rsidR="00DE4475">
        <w:t>respondent</w:t>
      </w:r>
      <w:r w:rsidR="00821AD2">
        <w:t xml:space="preserve"> agreed and came to an understanding with the applicant that the properties would be sold in order to reduce his indebtedness to it and</w:t>
      </w:r>
      <w:r w:rsidR="00D13254">
        <w:t>,</w:t>
      </w:r>
      <w:r w:rsidR="00821AD2">
        <w:t xml:space="preserve"> in so doing, he facilitated the sale of the properties by signing the special power of attorney as referred to above.</w:t>
      </w:r>
    </w:p>
    <w:p w14:paraId="0EB2FCE4" w14:textId="71681657" w:rsidR="00DE4475" w:rsidRDefault="00445B20" w:rsidP="00445B20">
      <w:pPr>
        <w:pStyle w:val="Heading1"/>
        <w:numPr>
          <w:ilvl w:val="0"/>
          <w:numId w:val="0"/>
        </w:numPr>
        <w:tabs>
          <w:tab w:val="clear" w:pos="1871"/>
        </w:tabs>
        <w:ind w:left="1402" w:hanging="480"/>
      </w:pPr>
      <w:r>
        <w:t>16.6</w:t>
      </w:r>
      <w:r>
        <w:tab/>
      </w:r>
      <w:r w:rsidR="00DE4475">
        <w:t xml:space="preserve"> </w:t>
      </w:r>
      <w:r w:rsidR="00821AD2">
        <w:t>the properties were sold in the amount of R12 000 000,00</w:t>
      </w:r>
      <w:r w:rsidR="00DE4475">
        <w:t>;</w:t>
      </w:r>
      <w:r w:rsidR="00D13254">
        <w:t xml:space="preserve"> </w:t>
      </w:r>
      <w:r w:rsidR="00821AD2">
        <w:t>and</w:t>
      </w:r>
    </w:p>
    <w:p w14:paraId="3E98527B" w14:textId="2C8B271C" w:rsidR="00A7319B" w:rsidRDefault="00445B20" w:rsidP="00445B20">
      <w:pPr>
        <w:pStyle w:val="Heading1"/>
        <w:numPr>
          <w:ilvl w:val="0"/>
          <w:numId w:val="0"/>
        </w:numPr>
        <w:tabs>
          <w:tab w:val="clear" w:pos="1871"/>
        </w:tabs>
        <w:ind w:left="1402" w:hanging="480"/>
      </w:pPr>
      <w:r>
        <w:lastRenderedPageBreak/>
        <w:t>16.7</w:t>
      </w:r>
      <w:r>
        <w:tab/>
      </w:r>
      <w:r w:rsidR="00821AD2">
        <w:t xml:space="preserve"> the respondent remains indebted to the applicant despite the proceeds of the sale having been deducted from the debt.  </w:t>
      </w:r>
    </w:p>
    <w:p w14:paraId="4B861783" w14:textId="24A6C2C8" w:rsidR="00A7319B" w:rsidRDefault="00445B20" w:rsidP="00445B20">
      <w:pPr>
        <w:pStyle w:val="Heading1"/>
        <w:numPr>
          <w:ilvl w:val="0"/>
          <w:numId w:val="0"/>
        </w:numPr>
        <w:tabs>
          <w:tab w:val="left" w:pos="862"/>
        </w:tabs>
        <w:ind w:left="862" w:hanging="862"/>
      </w:pPr>
      <w:r>
        <w:t>[17]</w:t>
      </w:r>
      <w:r>
        <w:tab/>
      </w:r>
      <w:r w:rsidR="00821AD2">
        <w:t>In essence, the respondent complains that the applicant undersold the properties which had been</w:t>
      </w:r>
      <w:r w:rsidR="00D13254">
        <w:t xml:space="preserve"> allegedly </w:t>
      </w:r>
      <w:r w:rsidR="00821AD2">
        <w:t xml:space="preserve">valued by the applicant at R31 000 000,00.  Furthermore, </w:t>
      </w:r>
      <w:r w:rsidR="006255F4">
        <w:t>he says that he</w:t>
      </w:r>
      <w:r w:rsidR="00821AD2">
        <w:t xml:space="preserve"> did not ratify the sale of the properties and was only told about the sale subsequent </w:t>
      </w:r>
      <w:r w:rsidR="006255F4">
        <w:t>their sale</w:t>
      </w:r>
      <w:r w:rsidR="00821AD2">
        <w:t xml:space="preserve"> in November</w:t>
      </w:r>
      <w:r w:rsidR="00A7319B">
        <w:t xml:space="preserve"> </w:t>
      </w:r>
      <w:r w:rsidR="00821AD2">
        <w:t xml:space="preserve">2014.  He informed the Court that improvements had been </w:t>
      </w:r>
      <w:proofErr w:type="gramStart"/>
      <w:r w:rsidR="00821AD2">
        <w:t>effected</w:t>
      </w:r>
      <w:proofErr w:type="gramEnd"/>
      <w:r w:rsidR="00821AD2">
        <w:t xml:space="preserve"> to the properties amounting to R44 300 000,00 and that the best market price for the properties would be in the region of R50 000 000,00 to R60 000 000,00.  </w:t>
      </w:r>
    </w:p>
    <w:p w14:paraId="1676C7A1" w14:textId="5B4FEF93" w:rsidR="004F05C6" w:rsidRDefault="00445B20" w:rsidP="00445B20">
      <w:pPr>
        <w:pStyle w:val="Heading1"/>
        <w:numPr>
          <w:ilvl w:val="0"/>
          <w:numId w:val="0"/>
        </w:numPr>
        <w:tabs>
          <w:tab w:val="left" w:pos="862"/>
        </w:tabs>
        <w:ind w:left="862" w:hanging="862"/>
      </w:pPr>
      <w:r>
        <w:t>[18]</w:t>
      </w:r>
      <w:r>
        <w:tab/>
      </w:r>
      <w:r w:rsidR="00821AD2">
        <w:t>In so doing, the respondent did not provide any valuations in support of these allegations.  Attached to his affidavit was an incomplete property valuation report which commenced at page 7 and ran until page 28.</w:t>
      </w:r>
      <w:r w:rsidR="00821AD2">
        <w:rPr>
          <w:rStyle w:val="FootnoteReference"/>
        </w:rPr>
        <w:footnoteReference w:id="11"/>
      </w:r>
      <w:r w:rsidR="00821AD2">
        <w:t xml:space="preserve">  It appeared to be authored by a valuer</w:t>
      </w:r>
      <w:r w:rsidR="00A7319B">
        <w:t>,</w:t>
      </w:r>
      <w:r w:rsidR="00821AD2">
        <w:t xml:space="preserve"> J P Maree</w:t>
      </w:r>
      <w:r w:rsidR="00A7319B">
        <w:t>,</w:t>
      </w:r>
      <w:r w:rsidR="00821AD2">
        <w:t xml:space="preserve"> and was dated 8 July 2011.  </w:t>
      </w:r>
      <w:r w:rsidR="00E1352F">
        <w:t xml:space="preserve">The report </w:t>
      </w:r>
      <w:proofErr w:type="gramStart"/>
      <w:r w:rsidR="00E1352F">
        <w:t>indicated</w:t>
      </w:r>
      <w:r w:rsidR="00D13254">
        <w:t>,</w:t>
      </w:r>
      <w:proofErr w:type="gramEnd"/>
      <w:r w:rsidR="00E1352F">
        <w:t xml:space="preserve"> that the </w:t>
      </w:r>
      <w:r w:rsidR="00B932B1">
        <w:t>properties</w:t>
      </w:r>
      <w:r w:rsidR="00E1352F">
        <w:t xml:space="preserve"> had a realistic market value of R31 000 000,00.</w:t>
      </w:r>
      <w:r w:rsidR="00FB09C8" w:rsidRPr="00FB09C8">
        <w:rPr>
          <w:rStyle w:val="FootnoteReference"/>
        </w:rPr>
        <w:t xml:space="preserve"> </w:t>
      </w:r>
      <w:r w:rsidR="00FB09C8">
        <w:rPr>
          <w:rStyle w:val="FootnoteReference"/>
        </w:rPr>
        <w:footnoteReference w:id="12"/>
      </w:r>
      <w:r w:rsidR="00E1352F">
        <w:t xml:space="preserve">  Subsequent the hearing and</w:t>
      </w:r>
      <w:r w:rsidR="00FB09C8">
        <w:t>,</w:t>
      </w:r>
      <w:r w:rsidR="00E1352F">
        <w:t xml:space="preserve"> without the leave of the Court, the complete valuation was uploaded</w:t>
      </w:r>
      <w:r w:rsidR="00A7319B">
        <w:t xml:space="preserve"> by the respondent</w:t>
      </w:r>
      <w:r w:rsidR="00E1352F">
        <w:t xml:space="preserve"> to </w:t>
      </w:r>
      <w:proofErr w:type="spellStart"/>
      <w:r w:rsidR="00E1352F">
        <w:t>CaseLines</w:t>
      </w:r>
      <w:proofErr w:type="spellEnd"/>
      <w:r w:rsidR="00E1352F">
        <w:t xml:space="preserve"> on 25 May 2023.</w:t>
      </w:r>
      <w:r w:rsidR="00E1352F">
        <w:rPr>
          <w:rStyle w:val="FootnoteReference"/>
        </w:rPr>
        <w:footnoteReference w:id="13"/>
      </w:r>
      <w:r w:rsidR="00E1352F">
        <w:t xml:space="preserve">  It appeared therefrom that the valuation had been requested by the respondent and not the applicant</w:t>
      </w:r>
      <w:r w:rsidR="006255F4">
        <w:t>,</w:t>
      </w:r>
      <w:r w:rsidR="00E1352F">
        <w:t xml:space="preserve"> as contended for by the respondent in his affidavit.</w:t>
      </w:r>
      <w:r w:rsidR="00147F27">
        <w:t xml:space="preserve"> The applicant states that it had not done valuations prior February 2014. It</w:t>
      </w:r>
      <w:r w:rsidR="00B932B1">
        <w:t xml:space="preserve">s 2014 valuation </w:t>
      </w:r>
      <w:r w:rsidR="00147F27">
        <w:t>was done</w:t>
      </w:r>
      <w:r w:rsidR="00B932B1">
        <w:t>,</w:t>
      </w:r>
      <w:r w:rsidR="00147F27">
        <w:t xml:space="preserve"> at the request </w:t>
      </w:r>
      <w:proofErr w:type="gramStart"/>
      <w:r w:rsidR="00147F27">
        <w:t xml:space="preserve">of </w:t>
      </w:r>
      <w:r w:rsidR="00B932B1">
        <w:t xml:space="preserve"> Bruce</w:t>
      </w:r>
      <w:proofErr w:type="gramEnd"/>
      <w:r w:rsidR="00B932B1">
        <w:t xml:space="preserve"> Noble, an estate agent at </w:t>
      </w:r>
      <w:proofErr w:type="spellStart"/>
      <w:r w:rsidR="00B932B1">
        <w:t>Remax</w:t>
      </w:r>
      <w:proofErr w:type="spellEnd"/>
      <w:r w:rsidR="00B932B1">
        <w:t xml:space="preserve">, appointed by the respondent, </w:t>
      </w:r>
      <w:r w:rsidR="00147F27">
        <w:t>who wanted access to the properties in March 2014 to try and sell them privately. In the face of the valuation</w:t>
      </w:r>
      <w:r w:rsidR="00FB09C8">
        <w:t>,</w:t>
      </w:r>
      <w:r w:rsidR="00147F27">
        <w:t xml:space="preserve"> the applicant says that</w:t>
      </w:r>
      <w:r w:rsidR="00B932B1">
        <w:t xml:space="preserve"> Noble and Park Village Auctions</w:t>
      </w:r>
      <w:r w:rsidR="00FB09C8">
        <w:t>, referred to below,</w:t>
      </w:r>
      <w:r w:rsidR="00B932B1">
        <w:t xml:space="preserve"> </w:t>
      </w:r>
      <w:r w:rsidR="00147F27">
        <w:t>concluded that R15 000 000,00 was a realistic sales valu</w:t>
      </w:r>
      <w:r w:rsidR="00B932B1">
        <w:t>e</w:t>
      </w:r>
      <w:r w:rsidR="00EC631E">
        <w:t xml:space="preserve">. Only one offer was received </w:t>
      </w:r>
      <w:r w:rsidR="00EC631E">
        <w:lastRenderedPageBreak/>
        <w:t xml:space="preserve">which both </w:t>
      </w:r>
      <w:r w:rsidR="00B932B1">
        <w:t>Noble</w:t>
      </w:r>
      <w:r w:rsidR="00EC631E">
        <w:t xml:space="preserve"> and </w:t>
      </w:r>
      <w:r w:rsidR="00B932B1">
        <w:t>Park Village Auctions</w:t>
      </w:r>
      <w:r w:rsidR="00EC631E">
        <w:t xml:space="preserve"> agreed was the best offer.</w:t>
      </w:r>
    </w:p>
    <w:p w14:paraId="6FDBFC13" w14:textId="16D743C7" w:rsidR="00A7319B" w:rsidRDefault="00445B20" w:rsidP="00445B20">
      <w:pPr>
        <w:pStyle w:val="Heading1"/>
        <w:numPr>
          <w:ilvl w:val="0"/>
          <w:numId w:val="0"/>
        </w:numPr>
        <w:tabs>
          <w:tab w:val="left" w:pos="862"/>
        </w:tabs>
        <w:ind w:left="862" w:hanging="862"/>
      </w:pPr>
      <w:r>
        <w:t>[19]</w:t>
      </w:r>
      <w:r>
        <w:tab/>
      </w:r>
      <w:r w:rsidR="00E1352F">
        <w:t>As submitted to me</w:t>
      </w:r>
      <w:r w:rsidR="006255F4">
        <w:t xml:space="preserve"> by the applicant’s counsel</w:t>
      </w:r>
      <w:r w:rsidR="00E1352F">
        <w:t xml:space="preserve">, the respondent’s defence amounts to </w:t>
      </w:r>
      <w:r w:rsidR="00E1352F">
        <w:rPr>
          <w:i/>
          <w:iCs/>
        </w:rPr>
        <w:t>“a confession and avoidance”</w:t>
      </w:r>
      <w:r w:rsidR="00A7319B">
        <w:rPr>
          <w:i/>
          <w:iCs/>
        </w:rPr>
        <w:t>,</w:t>
      </w:r>
      <w:r w:rsidR="00E1352F">
        <w:t xml:space="preserve"> the respondent complaining that he had suffered damages </w:t>
      </w:r>
      <w:proofErr w:type="gramStart"/>
      <w:r w:rsidR="00E1352F">
        <w:t>as a consequence of</w:t>
      </w:r>
      <w:proofErr w:type="gramEnd"/>
      <w:r w:rsidR="00E1352F">
        <w:t xml:space="preserve"> the conclusion of the special power of attorney and sale of the </w:t>
      </w:r>
      <w:r w:rsidR="00B932B1">
        <w:t>properties</w:t>
      </w:r>
      <w:r w:rsidR="00E1352F">
        <w:t xml:space="preserve"> in the amount of R12 000 000,00.</w:t>
      </w:r>
    </w:p>
    <w:p w14:paraId="535E93C7" w14:textId="413484CB" w:rsidR="00E1352F" w:rsidRDefault="00445B20" w:rsidP="00445B20">
      <w:pPr>
        <w:pStyle w:val="Heading1"/>
        <w:numPr>
          <w:ilvl w:val="0"/>
          <w:numId w:val="0"/>
        </w:numPr>
        <w:tabs>
          <w:tab w:val="left" w:pos="862"/>
        </w:tabs>
        <w:ind w:left="862" w:hanging="862"/>
      </w:pPr>
      <w:r>
        <w:t>[20]</w:t>
      </w:r>
      <w:r>
        <w:tab/>
      </w:r>
      <w:r w:rsidR="00A7319B">
        <w:t xml:space="preserve">The respondent </w:t>
      </w:r>
      <w:r w:rsidR="00E1352F">
        <w:t>complained that:</w:t>
      </w:r>
    </w:p>
    <w:p w14:paraId="767BA9BE" w14:textId="4622D43A" w:rsidR="00E1352F" w:rsidRDefault="00445B20" w:rsidP="00445B20">
      <w:pPr>
        <w:pStyle w:val="Heading2"/>
        <w:numPr>
          <w:ilvl w:val="0"/>
          <w:numId w:val="0"/>
        </w:numPr>
        <w:tabs>
          <w:tab w:val="left" w:pos="1871"/>
        </w:tabs>
        <w:ind w:left="1871" w:hanging="1009"/>
      </w:pPr>
      <w:r>
        <w:t>[20.1]</w:t>
      </w:r>
      <w:r>
        <w:tab/>
      </w:r>
      <w:r w:rsidR="00E1352F">
        <w:t xml:space="preserve">the applicant had failed to act in a </w:t>
      </w:r>
      <w:r w:rsidR="00E1352F" w:rsidRPr="00475029">
        <w:rPr>
          <w:i/>
        </w:rPr>
        <w:t>bona fide</w:t>
      </w:r>
      <w:r w:rsidR="00E1352F">
        <w:t xml:space="preserve"> manner towards him because it had:</w:t>
      </w:r>
    </w:p>
    <w:p w14:paraId="2DB2D562" w14:textId="4CF09F79" w:rsidR="00E1352F" w:rsidRDefault="00445B20" w:rsidP="00445B20">
      <w:pPr>
        <w:pStyle w:val="Heading3"/>
        <w:numPr>
          <w:ilvl w:val="0"/>
          <w:numId w:val="0"/>
        </w:numPr>
        <w:tabs>
          <w:tab w:val="left" w:pos="3022"/>
        </w:tabs>
        <w:ind w:left="3022" w:hanging="1151"/>
      </w:pPr>
      <w:r>
        <w:t>[20.1.1]</w:t>
      </w:r>
      <w:r>
        <w:tab/>
      </w:r>
      <w:r w:rsidR="00E1352F">
        <w:t>deliberately and intentionally sold the properties below the market value having assessed the value of the land at R31 000 000,00 (as already stated hereinabove, the applicant denies that it valued the properties</w:t>
      </w:r>
      <w:r w:rsidR="006255F4">
        <w:t xml:space="preserve"> at R31 000 000,00</w:t>
      </w:r>
      <w:r w:rsidR="00E1352F">
        <w:t xml:space="preserve"> and the valuation attached to the answering affidavit was at the behest of the respondent</w:t>
      </w:r>
      <w:proofErr w:type="gramStart"/>
      <w:r w:rsidR="00E1352F">
        <w:t>);  and</w:t>
      </w:r>
      <w:proofErr w:type="gramEnd"/>
    </w:p>
    <w:p w14:paraId="0E48DE21" w14:textId="5BB1BEC6" w:rsidR="00E1352F" w:rsidRDefault="00445B20" w:rsidP="00445B20">
      <w:pPr>
        <w:pStyle w:val="Heading3"/>
        <w:numPr>
          <w:ilvl w:val="0"/>
          <w:numId w:val="0"/>
        </w:numPr>
        <w:tabs>
          <w:tab w:val="left" w:pos="3022"/>
        </w:tabs>
        <w:ind w:left="3022" w:hanging="1151"/>
      </w:pPr>
      <w:r>
        <w:t>[20.1.2]</w:t>
      </w:r>
      <w:r>
        <w:tab/>
      </w:r>
      <w:r w:rsidR="00484155">
        <w:t xml:space="preserve">that the respondent did not know of the sale and therefore did not ratify </w:t>
      </w:r>
      <w:proofErr w:type="gramStart"/>
      <w:r w:rsidR="00484155">
        <w:t>it;</w:t>
      </w:r>
      <w:proofErr w:type="gramEnd"/>
    </w:p>
    <w:p w14:paraId="3806EDF8" w14:textId="03728700" w:rsidR="00484155" w:rsidRDefault="00445B20" w:rsidP="00445B20">
      <w:pPr>
        <w:pStyle w:val="Heading2"/>
        <w:numPr>
          <w:ilvl w:val="0"/>
          <w:numId w:val="0"/>
        </w:numPr>
        <w:tabs>
          <w:tab w:val="left" w:pos="1871"/>
        </w:tabs>
        <w:ind w:left="1871" w:hanging="1009"/>
      </w:pPr>
      <w:r>
        <w:t>[20.2]</w:t>
      </w:r>
      <w:r>
        <w:tab/>
      </w:r>
      <w:r w:rsidR="00484155">
        <w:t>the applicant had breached its fiduciary duty towards the respondent in that:</w:t>
      </w:r>
    </w:p>
    <w:p w14:paraId="429E6970" w14:textId="5D7598C4" w:rsidR="00484155" w:rsidRDefault="00445B20" w:rsidP="00445B20">
      <w:pPr>
        <w:pStyle w:val="Heading3"/>
        <w:numPr>
          <w:ilvl w:val="0"/>
          <w:numId w:val="0"/>
        </w:numPr>
        <w:tabs>
          <w:tab w:val="left" w:pos="3022"/>
        </w:tabs>
        <w:ind w:left="3022" w:hanging="1151"/>
      </w:pPr>
      <w:r>
        <w:t>[20.2.1]</w:t>
      </w:r>
      <w:r>
        <w:tab/>
      </w:r>
      <w:r w:rsidR="00484155">
        <w:t xml:space="preserve">it failed to sell the properties for the best possible </w:t>
      </w:r>
      <w:proofErr w:type="gramStart"/>
      <w:r w:rsidR="00484155">
        <w:t>price;</w:t>
      </w:r>
      <w:proofErr w:type="gramEnd"/>
    </w:p>
    <w:p w14:paraId="73A6F9F7" w14:textId="583AA916" w:rsidR="00484155" w:rsidRDefault="00445B20" w:rsidP="00445B20">
      <w:pPr>
        <w:pStyle w:val="Heading3"/>
        <w:numPr>
          <w:ilvl w:val="0"/>
          <w:numId w:val="0"/>
        </w:numPr>
        <w:tabs>
          <w:tab w:val="left" w:pos="3022"/>
        </w:tabs>
        <w:ind w:left="3022" w:hanging="1151"/>
      </w:pPr>
      <w:r>
        <w:t>[20.2.2]</w:t>
      </w:r>
      <w:r>
        <w:tab/>
      </w:r>
      <w:r w:rsidR="00484155">
        <w:t>it failed to notify the respondent of the sale in terms of section 27 of the CPA;</w:t>
      </w:r>
      <w:r w:rsidR="006255F4">
        <w:t xml:space="preserve"> and</w:t>
      </w:r>
      <w:r w:rsidR="00484155">
        <w:t xml:space="preserve">  </w:t>
      </w:r>
    </w:p>
    <w:p w14:paraId="3498D5B7" w14:textId="31745DAE" w:rsidR="00484155" w:rsidRDefault="00445B20" w:rsidP="00445B20">
      <w:pPr>
        <w:pStyle w:val="Heading3"/>
        <w:numPr>
          <w:ilvl w:val="0"/>
          <w:numId w:val="0"/>
        </w:numPr>
        <w:tabs>
          <w:tab w:val="left" w:pos="3022"/>
        </w:tabs>
        <w:ind w:left="3022" w:hanging="1151"/>
      </w:pPr>
      <w:r>
        <w:lastRenderedPageBreak/>
        <w:t>[20.2.3]</w:t>
      </w:r>
      <w:r>
        <w:tab/>
      </w:r>
      <w:r w:rsidR="00484155">
        <w:t>the power of attorney did not grant an unlimited discretion to the applicant in executing the mandate.</w:t>
      </w:r>
    </w:p>
    <w:p w14:paraId="29A31437" w14:textId="185C8C05" w:rsidR="00484155" w:rsidRDefault="00445B20" w:rsidP="00445B20">
      <w:pPr>
        <w:pStyle w:val="Heading1"/>
        <w:numPr>
          <w:ilvl w:val="0"/>
          <w:numId w:val="0"/>
        </w:numPr>
        <w:tabs>
          <w:tab w:val="left" w:pos="862"/>
        </w:tabs>
        <w:ind w:left="862" w:hanging="862"/>
      </w:pPr>
      <w:r>
        <w:t>[21]</w:t>
      </w:r>
      <w:r>
        <w:tab/>
      </w:r>
      <w:r w:rsidR="00484155">
        <w:t xml:space="preserve">It is necessary for me to quote verbatim from the special power of </w:t>
      </w:r>
      <w:proofErr w:type="gramStart"/>
      <w:r w:rsidR="00484155">
        <w:t>attorney  as</w:t>
      </w:r>
      <w:proofErr w:type="gramEnd"/>
      <w:r w:rsidR="00484155">
        <w:t xml:space="preserve"> follows:</w:t>
      </w:r>
    </w:p>
    <w:p w14:paraId="007F68C6" w14:textId="0E64B221" w:rsidR="00484155" w:rsidRDefault="00484155" w:rsidP="00484155">
      <w:pPr>
        <w:rPr>
          <w:b/>
          <w:bCs/>
          <w:i/>
          <w:iCs/>
        </w:rPr>
      </w:pPr>
      <w:r>
        <w:tab/>
      </w:r>
      <w:r>
        <w:tab/>
      </w:r>
      <w:r>
        <w:rPr>
          <w:i/>
          <w:iCs/>
        </w:rPr>
        <w:t>“</w:t>
      </w:r>
      <w:r>
        <w:rPr>
          <w:b/>
          <w:bCs/>
          <w:i/>
          <w:iCs/>
        </w:rPr>
        <w:t>SPECIAL POWER OF ATTORNEY</w:t>
      </w:r>
    </w:p>
    <w:p w14:paraId="6A4C0E00" w14:textId="77777777" w:rsidR="00484155" w:rsidRDefault="00484155" w:rsidP="00484155">
      <w:pPr>
        <w:ind w:left="1871" w:hanging="1871"/>
      </w:pPr>
      <w:r>
        <w:rPr>
          <w:i/>
          <w:iCs/>
        </w:rPr>
        <w:tab/>
      </w:r>
      <w:r>
        <w:rPr>
          <w:i/>
          <w:iCs/>
        </w:rPr>
        <w:tab/>
        <w:t xml:space="preserve">I, LEO CHARLES BAXTER IDENTITY NO: 580429 5004 08 9 </w:t>
      </w:r>
      <w:r w:rsidRPr="00484155">
        <w:rPr>
          <w:i/>
          <w:iCs/>
          <w:strike/>
        </w:rPr>
        <w:t>UNMARRIED</w:t>
      </w:r>
      <w:r>
        <w:rPr>
          <w:i/>
          <w:iCs/>
        </w:rPr>
        <w:t xml:space="preserve"> MARRIED OUT OF COMMUNITY OF PROPERTY </w:t>
      </w:r>
      <w:r>
        <w:t xml:space="preserve">(handwritten) </w:t>
      </w:r>
    </w:p>
    <w:p w14:paraId="044DF993" w14:textId="29C1C9A7" w:rsidR="00484155" w:rsidRDefault="00484155" w:rsidP="00484155">
      <w:pPr>
        <w:ind w:left="1871" w:hanging="1871"/>
        <w:rPr>
          <w:i/>
          <w:iCs/>
        </w:rPr>
      </w:pPr>
      <w:r>
        <w:rPr>
          <w:i/>
          <w:iCs/>
        </w:rPr>
        <w:tab/>
      </w:r>
      <w:r>
        <w:rPr>
          <w:i/>
          <w:iCs/>
        </w:rPr>
        <w:tab/>
        <w:t xml:space="preserve">Do hereby, nominate and appoint a manager of </w:t>
      </w:r>
      <w:r w:rsidR="00BE4108">
        <w:rPr>
          <w:i/>
          <w:iCs/>
        </w:rPr>
        <w:t xml:space="preserve">Standard Bank of South Africa Limited (REG No: 1962/000738/06) (“SBSA”) or their nominee of SBSA (“the SBSA Representative”) with power of substitution to be my procurator in rem </w:t>
      </w:r>
      <w:proofErr w:type="spellStart"/>
      <w:r w:rsidR="00BE4108">
        <w:rPr>
          <w:i/>
          <w:iCs/>
        </w:rPr>
        <w:t>suam</w:t>
      </w:r>
      <w:proofErr w:type="spellEnd"/>
      <w:r w:rsidR="00BE4108">
        <w:rPr>
          <w:i/>
          <w:iCs/>
        </w:rPr>
        <w:t xml:space="preserve"> and lawful attorney and agent for the purposes of selling and disposing of:</w:t>
      </w:r>
    </w:p>
    <w:p w14:paraId="67AEA968" w14:textId="42F3A70E" w:rsidR="00BE4108" w:rsidRPr="00445B20" w:rsidRDefault="00445B20" w:rsidP="00445B20">
      <w:pPr>
        <w:ind w:left="2236" w:hanging="360"/>
        <w:rPr>
          <w:i/>
          <w:iCs/>
        </w:rPr>
      </w:pPr>
      <w:r>
        <w:rPr>
          <w:i/>
          <w:iCs/>
        </w:rPr>
        <w:t>1.</w:t>
      </w:r>
      <w:r>
        <w:rPr>
          <w:i/>
          <w:iCs/>
        </w:rPr>
        <w:tab/>
      </w:r>
      <w:r w:rsidR="00BE4108" w:rsidRPr="00445B20">
        <w:rPr>
          <w:i/>
          <w:iCs/>
        </w:rPr>
        <w:t xml:space="preserve">Remainder of Portion 113 of the Farm </w:t>
      </w:r>
      <w:proofErr w:type="spellStart"/>
      <w:r w:rsidR="00BE4108" w:rsidRPr="00445B20">
        <w:rPr>
          <w:i/>
          <w:iCs/>
        </w:rPr>
        <w:t>Gansevallei</w:t>
      </w:r>
      <w:proofErr w:type="spellEnd"/>
      <w:r w:rsidR="00BE4108" w:rsidRPr="00445B20">
        <w:rPr>
          <w:i/>
          <w:iCs/>
        </w:rPr>
        <w:t xml:space="preserve"> No. 444, in the Municipality of Plettenberg Bay, Division of Knysna, WESTERN CAPE </w:t>
      </w:r>
      <w:proofErr w:type="gramStart"/>
      <w:r w:rsidR="00BE4108" w:rsidRPr="00445B20">
        <w:rPr>
          <w:i/>
          <w:iCs/>
        </w:rPr>
        <w:t>PROVINCE;</w:t>
      </w:r>
      <w:proofErr w:type="gramEnd"/>
    </w:p>
    <w:p w14:paraId="248FA4F0" w14:textId="77777777" w:rsidR="00BE4108" w:rsidRDefault="00BE4108" w:rsidP="00BE4108">
      <w:pPr>
        <w:pStyle w:val="ListParagraph"/>
        <w:ind w:left="2236"/>
        <w:rPr>
          <w:i/>
          <w:iCs/>
        </w:rPr>
      </w:pPr>
    </w:p>
    <w:p w14:paraId="6A8832DB" w14:textId="12E7742C" w:rsidR="00BE4108" w:rsidRDefault="00BE4108" w:rsidP="00BE4108">
      <w:pPr>
        <w:pStyle w:val="ListParagraph"/>
        <w:ind w:left="2236"/>
        <w:rPr>
          <w:i/>
          <w:iCs/>
        </w:rPr>
      </w:pPr>
      <w:r>
        <w:rPr>
          <w:i/>
          <w:iCs/>
        </w:rPr>
        <w:t>In extent 4,9760 hectares held by Certificate of Consolidated Title T30126/</w:t>
      </w:r>
      <w:proofErr w:type="gramStart"/>
      <w:r>
        <w:rPr>
          <w:i/>
          <w:iCs/>
        </w:rPr>
        <w:t>2011;</w:t>
      </w:r>
      <w:proofErr w:type="gramEnd"/>
    </w:p>
    <w:p w14:paraId="540B18FC" w14:textId="77777777" w:rsidR="00BE4108" w:rsidRDefault="00BE4108" w:rsidP="00BE4108">
      <w:pPr>
        <w:pStyle w:val="ListParagraph"/>
        <w:ind w:left="2236"/>
        <w:rPr>
          <w:i/>
          <w:iCs/>
        </w:rPr>
      </w:pPr>
    </w:p>
    <w:p w14:paraId="1CC3F7A8" w14:textId="14DDE4DD" w:rsidR="00BE4108" w:rsidRPr="00445B20" w:rsidRDefault="00445B20" w:rsidP="00445B20">
      <w:pPr>
        <w:ind w:left="2234" w:hanging="357"/>
        <w:rPr>
          <w:i/>
          <w:iCs/>
        </w:rPr>
      </w:pPr>
      <w:r>
        <w:rPr>
          <w:i/>
          <w:iCs/>
        </w:rPr>
        <w:t>2.</w:t>
      </w:r>
      <w:r>
        <w:rPr>
          <w:i/>
          <w:iCs/>
        </w:rPr>
        <w:tab/>
      </w:r>
      <w:r w:rsidR="00BE4108" w:rsidRPr="00445B20">
        <w:rPr>
          <w:i/>
          <w:iCs/>
        </w:rPr>
        <w:t xml:space="preserve">Portion 114 (a portion of 113 of the Farm </w:t>
      </w:r>
      <w:proofErr w:type="spellStart"/>
      <w:r w:rsidR="00BE4108" w:rsidRPr="00445B20">
        <w:rPr>
          <w:i/>
          <w:iCs/>
        </w:rPr>
        <w:t>Gansevallei</w:t>
      </w:r>
      <w:proofErr w:type="spellEnd"/>
      <w:r w:rsidR="00BE4108" w:rsidRPr="00445B20">
        <w:rPr>
          <w:i/>
          <w:iCs/>
        </w:rPr>
        <w:t xml:space="preserve"> No. 444, in the Bitou Municipality, Division of Knysna, WESTERN CAPE PROVINCE in extent 4,8078 hectares held by Certificate of Registered Title T30127/</w:t>
      </w:r>
      <w:proofErr w:type="gramStart"/>
      <w:r w:rsidR="00BE4108" w:rsidRPr="00445B20">
        <w:rPr>
          <w:i/>
          <w:iCs/>
        </w:rPr>
        <w:t>2011;</w:t>
      </w:r>
      <w:proofErr w:type="gramEnd"/>
    </w:p>
    <w:p w14:paraId="60038D66" w14:textId="35D0936A" w:rsidR="00447E94" w:rsidRPr="00445B20" w:rsidRDefault="00445B20" w:rsidP="00445B20">
      <w:pPr>
        <w:ind w:left="2234" w:hanging="357"/>
        <w:rPr>
          <w:i/>
          <w:iCs/>
        </w:rPr>
      </w:pPr>
      <w:r>
        <w:rPr>
          <w:i/>
          <w:iCs/>
        </w:rPr>
        <w:lastRenderedPageBreak/>
        <w:t>3.</w:t>
      </w:r>
      <w:r>
        <w:rPr>
          <w:i/>
          <w:iCs/>
        </w:rPr>
        <w:tab/>
      </w:r>
      <w:r w:rsidR="00447E94" w:rsidRPr="00445B20">
        <w:rPr>
          <w:i/>
          <w:iCs/>
        </w:rPr>
        <w:t xml:space="preserve">Portion 115 (a portion of 113 of the Farm </w:t>
      </w:r>
      <w:proofErr w:type="spellStart"/>
      <w:r w:rsidR="00447E94" w:rsidRPr="00445B20">
        <w:rPr>
          <w:i/>
          <w:iCs/>
        </w:rPr>
        <w:t>Gansevallei</w:t>
      </w:r>
      <w:proofErr w:type="spellEnd"/>
      <w:r w:rsidR="00447E94" w:rsidRPr="00445B20">
        <w:rPr>
          <w:i/>
          <w:iCs/>
        </w:rPr>
        <w:t xml:space="preserve"> No. 444, in the Bitou Municipality, Division of Knysna, WESTERN CAPE PROVINCE in extent 4,7855 held by Certificate of Registered Title T30128/</w:t>
      </w:r>
      <w:proofErr w:type="gramStart"/>
      <w:r w:rsidR="00447E94" w:rsidRPr="00445B20">
        <w:rPr>
          <w:i/>
          <w:iCs/>
        </w:rPr>
        <w:t>2011;</w:t>
      </w:r>
      <w:proofErr w:type="gramEnd"/>
      <w:r w:rsidR="00447E94" w:rsidRPr="00445B20">
        <w:rPr>
          <w:i/>
          <w:iCs/>
        </w:rPr>
        <w:t xml:space="preserve"> </w:t>
      </w:r>
    </w:p>
    <w:p w14:paraId="46DD758E" w14:textId="6E6FE187" w:rsidR="00447E94" w:rsidRPr="00445B20" w:rsidRDefault="00445B20" w:rsidP="00445B20">
      <w:pPr>
        <w:ind w:left="2234" w:hanging="357"/>
        <w:rPr>
          <w:i/>
          <w:iCs/>
        </w:rPr>
      </w:pPr>
      <w:r>
        <w:rPr>
          <w:i/>
          <w:iCs/>
        </w:rPr>
        <w:t>4.</w:t>
      </w:r>
      <w:r>
        <w:rPr>
          <w:i/>
          <w:iCs/>
        </w:rPr>
        <w:tab/>
      </w:r>
      <w:r w:rsidR="00447E94" w:rsidRPr="00445B20">
        <w:rPr>
          <w:i/>
          <w:iCs/>
        </w:rPr>
        <w:t xml:space="preserve">Portion 116 (a portion of 113 of the Farm </w:t>
      </w:r>
      <w:proofErr w:type="spellStart"/>
      <w:r w:rsidR="00447E94" w:rsidRPr="00445B20">
        <w:rPr>
          <w:i/>
          <w:iCs/>
        </w:rPr>
        <w:t>Gansevallei</w:t>
      </w:r>
      <w:proofErr w:type="spellEnd"/>
      <w:r w:rsidR="00447E94" w:rsidRPr="00445B20">
        <w:rPr>
          <w:i/>
          <w:iCs/>
        </w:rPr>
        <w:t xml:space="preserve"> No. 444, in the Bitou Municipality, Division of Knysna, WESTERN CAPE PROVINCE in extent 4,7078 hectares held by Certificate of Registered Title T30129/</w:t>
      </w:r>
      <w:proofErr w:type="gramStart"/>
      <w:r w:rsidR="00447E94" w:rsidRPr="00445B20">
        <w:rPr>
          <w:i/>
          <w:iCs/>
        </w:rPr>
        <w:t>2011;</w:t>
      </w:r>
      <w:proofErr w:type="gramEnd"/>
    </w:p>
    <w:p w14:paraId="4B8C49EE" w14:textId="61D66A23" w:rsidR="00447E94" w:rsidRPr="00445B20" w:rsidRDefault="00445B20" w:rsidP="00445B20">
      <w:pPr>
        <w:ind w:left="2234" w:hanging="357"/>
        <w:rPr>
          <w:i/>
          <w:iCs/>
        </w:rPr>
      </w:pPr>
      <w:r>
        <w:rPr>
          <w:i/>
          <w:iCs/>
        </w:rPr>
        <w:t>5.</w:t>
      </w:r>
      <w:r>
        <w:rPr>
          <w:i/>
          <w:iCs/>
        </w:rPr>
        <w:tab/>
      </w:r>
      <w:r w:rsidR="00447E94" w:rsidRPr="00445B20">
        <w:rPr>
          <w:i/>
          <w:iCs/>
        </w:rPr>
        <w:t xml:space="preserve">Portion 117 (a portion of 113 of the Farm </w:t>
      </w:r>
      <w:proofErr w:type="spellStart"/>
      <w:r w:rsidR="00447E94" w:rsidRPr="00445B20">
        <w:rPr>
          <w:i/>
          <w:iCs/>
        </w:rPr>
        <w:t>Gansevallei</w:t>
      </w:r>
      <w:proofErr w:type="spellEnd"/>
      <w:r w:rsidR="00447E94" w:rsidRPr="00445B20">
        <w:rPr>
          <w:i/>
          <w:iCs/>
        </w:rPr>
        <w:t xml:space="preserve"> No. 444, in the Bitou Municipality, Division of Knysna, WESTERN CAPE PROVINCE in extent 4,6998 hectares held by Certificate of Registered Title T30130/</w:t>
      </w:r>
      <w:proofErr w:type="gramStart"/>
      <w:r w:rsidR="00447E94" w:rsidRPr="00445B20">
        <w:rPr>
          <w:i/>
          <w:iCs/>
        </w:rPr>
        <w:t>2011;</w:t>
      </w:r>
      <w:proofErr w:type="gramEnd"/>
    </w:p>
    <w:p w14:paraId="208A30F4" w14:textId="624711C0" w:rsidR="00447E94" w:rsidRPr="00445B20" w:rsidRDefault="00445B20" w:rsidP="00445B20">
      <w:pPr>
        <w:ind w:left="2234" w:hanging="357"/>
        <w:rPr>
          <w:i/>
          <w:iCs/>
        </w:rPr>
      </w:pPr>
      <w:r>
        <w:rPr>
          <w:i/>
          <w:iCs/>
        </w:rPr>
        <w:t>6.</w:t>
      </w:r>
      <w:r>
        <w:rPr>
          <w:i/>
          <w:iCs/>
        </w:rPr>
        <w:tab/>
      </w:r>
      <w:r w:rsidR="00447E94" w:rsidRPr="00445B20">
        <w:rPr>
          <w:i/>
          <w:iCs/>
        </w:rPr>
        <w:t xml:space="preserve">Portion 118 (a portion of Portion 113 of the Farm </w:t>
      </w:r>
      <w:proofErr w:type="spellStart"/>
      <w:r w:rsidR="00447E94" w:rsidRPr="00445B20">
        <w:rPr>
          <w:i/>
          <w:iCs/>
        </w:rPr>
        <w:t>Gansevallei</w:t>
      </w:r>
      <w:proofErr w:type="spellEnd"/>
      <w:r w:rsidR="00447E94" w:rsidRPr="00445B20">
        <w:rPr>
          <w:i/>
          <w:iCs/>
        </w:rPr>
        <w:t xml:space="preserve"> No. 444, in the Bitou Municipality, Division of Knysna, WESTERN CAPE PROVINCE in extent 4,8399 hectares held by Certificate of Registered Title T30131/</w:t>
      </w:r>
      <w:proofErr w:type="gramStart"/>
      <w:r w:rsidR="00447E94" w:rsidRPr="00445B20">
        <w:rPr>
          <w:i/>
          <w:iCs/>
        </w:rPr>
        <w:t>2011;</w:t>
      </w:r>
      <w:proofErr w:type="gramEnd"/>
    </w:p>
    <w:p w14:paraId="7868226A" w14:textId="0A068E74" w:rsidR="00447E94" w:rsidRPr="00445B20" w:rsidRDefault="00445B20" w:rsidP="00445B20">
      <w:pPr>
        <w:ind w:left="2236" w:hanging="360"/>
        <w:rPr>
          <w:i/>
          <w:iCs/>
        </w:rPr>
      </w:pPr>
      <w:r>
        <w:rPr>
          <w:i/>
          <w:iCs/>
        </w:rPr>
        <w:t>7.</w:t>
      </w:r>
      <w:r>
        <w:rPr>
          <w:i/>
          <w:iCs/>
        </w:rPr>
        <w:tab/>
      </w:r>
      <w:r w:rsidR="000252C8" w:rsidRPr="00445B20">
        <w:rPr>
          <w:i/>
          <w:iCs/>
        </w:rPr>
        <w:t xml:space="preserve">Portion 94 of the Farm </w:t>
      </w:r>
      <w:proofErr w:type="spellStart"/>
      <w:r w:rsidR="000252C8" w:rsidRPr="00445B20">
        <w:rPr>
          <w:i/>
          <w:iCs/>
        </w:rPr>
        <w:t>Gansevallei</w:t>
      </w:r>
      <w:proofErr w:type="spellEnd"/>
      <w:r w:rsidR="000252C8" w:rsidRPr="00445B20">
        <w:rPr>
          <w:i/>
          <w:iCs/>
        </w:rPr>
        <w:t xml:space="preserve"> No. 444 in the Bitou Municipality, Division of Knysna, PROVINCE WESTERN CAPE in extent 6,2179 hectares held by Deed of Transfer T66802/2004</w:t>
      </w:r>
    </w:p>
    <w:p w14:paraId="0E83F347" w14:textId="0ACE56D4" w:rsidR="000252C8" w:rsidRDefault="000252C8" w:rsidP="000252C8">
      <w:pPr>
        <w:ind w:left="1876"/>
        <w:rPr>
          <w:i/>
          <w:iCs/>
        </w:rPr>
      </w:pPr>
      <w:r>
        <w:rPr>
          <w:i/>
          <w:iCs/>
        </w:rPr>
        <w:t xml:space="preserve">together with any improvements thereon by way of public auction or private treaty on such terms and conditions as the SBSA Representative in his, her sole discretion deems fit, and to sign any documents necessary to give effect </w:t>
      </w:r>
      <w:proofErr w:type="gramStart"/>
      <w:r>
        <w:rPr>
          <w:i/>
          <w:iCs/>
        </w:rPr>
        <w:t>hereto;  for</w:t>
      </w:r>
      <w:proofErr w:type="gramEnd"/>
      <w:r>
        <w:rPr>
          <w:i/>
          <w:iCs/>
        </w:rPr>
        <w:t xml:space="preserve"> the purposes of applying the proceeds of such sale towards the reduction of my obligations to SBSA;</w:t>
      </w:r>
    </w:p>
    <w:p w14:paraId="0EB0DBCB" w14:textId="219C4626" w:rsidR="000252C8" w:rsidRDefault="000252C8" w:rsidP="000252C8">
      <w:pPr>
        <w:ind w:left="1876"/>
        <w:rPr>
          <w:i/>
          <w:iCs/>
        </w:rPr>
      </w:pPr>
      <w:r>
        <w:rPr>
          <w:i/>
          <w:iCs/>
        </w:rPr>
        <w:t xml:space="preserve">And further to instruct estate agents and/or advertising agents </w:t>
      </w:r>
      <w:r>
        <w:rPr>
          <w:i/>
          <w:iCs/>
        </w:rPr>
        <w:lastRenderedPageBreak/>
        <w:t xml:space="preserve">and/or auctioneers for the purposes of assisting with such disposal and to pay from the proceeds of the sale the costs, charges and commissions of such aforementioned </w:t>
      </w:r>
      <w:proofErr w:type="gramStart"/>
      <w:r>
        <w:rPr>
          <w:i/>
          <w:iCs/>
        </w:rPr>
        <w:t>parties;</w:t>
      </w:r>
      <w:proofErr w:type="gramEnd"/>
    </w:p>
    <w:p w14:paraId="2AB4D0DA" w14:textId="447A79FE" w:rsidR="000252C8" w:rsidRDefault="000252C8" w:rsidP="000252C8">
      <w:pPr>
        <w:ind w:left="1876"/>
        <w:rPr>
          <w:i/>
          <w:iCs/>
        </w:rPr>
      </w:pPr>
      <w:r>
        <w:rPr>
          <w:i/>
          <w:iCs/>
        </w:rPr>
        <w:t>And further authorising the SBSA Representative to appoint attorneys and conveyancers for the purposes of conveying, ceding and/or transferring the abovementioned properties into the names of a purchaser(s) in thei</w:t>
      </w:r>
      <w:r w:rsidR="00C5678B">
        <w:rPr>
          <w:i/>
          <w:iCs/>
        </w:rPr>
        <w:t xml:space="preserve">r entire </w:t>
      </w:r>
      <w:proofErr w:type="gramStart"/>
      <w:r w:rsidR="00C5678B">
        <w:rPr>
          <w:i/>
          <w:iCs/>
        </w:rPr>
        <w:t>discretion;</w:t>
      </w:r>
      <w:proofErr w:type="gramEnd"/>
    </w:p>
    <w:p w14:paraId="02FDBF60" w14:textId="7BD2DC12" w:rsidR="00C5678B" w:rsidRDefault="00C5678B" w:rsidP="000252C8">
      <w:pPr>
        <w:ind w:left="1876"/>
        <w:rPr>
          <w:i/>
          <w:iCs/>
        </w:rPr>
      </w:pPr>
      <w:r>
        <w:rPr>
          <w:i/>
          <w:iCs/>
        </w:rPr>
        <w:t xml:space="preserve">And further authorising the SBSA Representative to sign all documentation necessary to give effect to the </w:t>
      </w:r>
      <w:proofErr w:type="gramStart"/>
      <w:r>
        <w:rPr>
          <w:i/>
          <w:iCs/>
        </w:rPr>
        <w:t>aforesaid;</w:t>
      </w:r>
      <w:proofErr w:type="gramEnd"/>
    </w:p>
    <w:p w14:paraId="4CBF76B8" w14:textId="1744EB4B" w:rsidR="00C5678B" w:rsidRDefault="00C5678B" w:rsidP="000252C8">
      <w:pPr>
        <w:ind w:left="1876"/>
        <w:rPr>
          <w:i/>
          <w:iCs/>
        </w:rPr>
      </w:pPr>
      <w:r>
        <w:rPr>
          <w:i/>
          <w:iCs/>
        </w:rPr>
        <w:t xml:space="preserve">And further authorising the SBSA Representative to renounce all right, title and interest which I had in and to the aforementioned </w:t>
      </w:r>
      <w:proofErr w:type="gramStart"/>
      <w:r>
        <w:rPr>
          <w:i/>
          <w:iCs/>
        </w:rPr>
        <w:t>properties;</w:t>
      </w:r>
      <w:proofErr w:type="gramEnd"/>
    </w:p>
    <w:p w14:paraId="0007307D" w14:textId="51C84E6C" w:rsidR="00C5678B" w:rsidRDefault="00C5678B" w:rsidP="000252C8">
      <w:pPr>
        <w:ind w:left="1876"/>
        <w:rPr>
          <w:i/>
          <w:iCs/>
        </w:rPr>
      </w:pPr>
      <w:r>
        <w:rPr>
          <w:i/>
          <w:iCs/>
        </w:rPr>
        <w:t xml:space="preserve">And further to clear the abovementioned properties from all incumbrances and hypothecations according to </w:t>
      </w:r>
      <w:proofErr w:type="gramStart"/>
      <w:r>
        <w:rPr>
          <w:i/>
          <w:iCs/>
        </w:rPr>
        <w:t>law;</w:t>
      </w:r>
      <w:proofErr w:type="gramEnd"/>
    </w:p>
    <w:p w14:paraId="11A1617A" w14:textId="022F5E33" w:rsidR="00C5678B" w:rsidRDefault="00C5678B" w:rsidP="000252C8">
      <w:pPr>
        <w:ind w:left="1876"/>
        <w:rPr>
          <w:i/>
          <w:iCs/>
        </w:rPr>
      </w:pPr>
      <w:r>
        <w:rPr>
          <w:i/>
          <w:iCs/>
        </w:rPr>
        <w:t xml:space="preserve">And I further hereby ratify all steps taken by SBSA and/or the SBSA Representative to give effect to the </w:t>
      </w:r>
      <w:proofErr w:type="gramStart"/>
      <w:r>
        <w:rPr>
          <w:i/>
          <w:iCs/>
        </w:rPr>
        <w:t>aforesaid;</w:t>
      </w:r>
      <w:proofErr w:type="gramEnd"/>
    </w:p>
    <w:p w14:paraId="499BCC94" w14:textId="5DB26122" w:rsidR="00C5678B" w:rsidRDefault="00C5678B" w:rsidP="000252C8">
      <w:pPr>
        <w:ind w:left="1876"/>
        <w:rPr>
          <w:i/>
          <w:iCs/>
        </w:rPr>
      </w:pPr>
      <w:r>
        <w:rPr>
          <w:i/>
          <w:iCs/>
        </w:rPr>
        <w:t xml:space="preserve">And I further indemnify SBSA and hold SBSA harmless in respect of any damage or loss of whatsoever nature, and howsoever caused, arising from SBSA’s </w:t>
      </w:r>
      <w:r w:rsidRPr="00C5678B">
        <w:rPr>
          <w:i/>
          <w:iCs/>
        </w:rPr>
        <w:t>bona fide</w:t>
      </w:r>
      <w:r>
        <w:rPr>
          <w:i/>
          <w:iCs/>
        </w:rPr>
        <w:t xml:space="preserve"> and lawful exercising of its rights in terms of this Special Power of </w:t>
      </w:r>
      <w:proofErr w:type="gramStart"/>
      <w:r>
        <w:rPr>
          <w:i/>
          <w:iCs/>
        </w:rPr>
        <w:t>Attorney;</w:t>
      </w:r>
      <w:proofErr w:type="gramEnd"/>
    </w:p>
    <w:p w14:paraId="3BC8C121" w14:textId="50B8BCA5" w:rsidR="00C5678B" w:rsidRDefault="00C5678B" w:rsidP="000252C8">
      <w:pPr>
        <w:ind w:left="1876"/>
        <w:rPr>
          <w:i/>
          <w:iCs/>
        </w:rPr>
      </w:pPr>
      <w:r>
        <w:rPr>
          <w:i/>
          <w:iCs/>
        </w:rPr>
        <w:t xml:space="preserve">And I further authorise the SBSA Representative to do or cause to be done whatsoever shall be requisite as fully and effectually, to all intents and purposes, as I might or could do it personally present and acting therein; hereby allowing and confirming all and whatsoever the SBSA Representative shall lawfully do or cause to be done to give effect to this Special Power of </w:t>
      </w:r>
      <w:proofErr w:type="gramStart"/>
      <w:r>
        <w:rPr>
          <w:i/>
          <w:iCs/>
        </w:rPr>
        <w:t>Attorney;</w:t>
      </w:r>
      <w:proofErr w:type="gramEnd"/>
    </w:p>
    <w:p w14:paraId="1435A4ED" w14:textId="77540E74" w:rsidR="00C5678B" w:rsidRDefault="00C5678B" w:rsidP="000252C8">
      <w:pPr>
        <w:ind w:left="1876"/>
        <w:rPr>
          <w:i/>
          <w:iCs/>
        </w:rPr>
      </w:pPr>
      <w:r>
        <w:rPr>
          <w:i/>
          <w:iCs/>
        </w:rPr>
        <w:lastRenderedPageBreak/>
        <w:t>And it is further agreed that the Special Power of Attorney shall persist in full force and effect and be irrevocable until such time as my obligations to SBSA have been settled in full.”</w:t>
      </w:r>
      <w:r w:rsidR="00CE3E48" w:rsidRPr="00CE3E48">
        <w:rPr>
          <w:rStyle w:val="FootnoteReference"/>
        </w:rPr>
        <w:footnoteReference w:id="14"/>
      </w:r>
    </w:p>
    <w:p w14:paraId="6FA668F3" w14:textId="26FACBB0" w:rsidR="00CE3E48" w:rsidRDefault="00445B20" w:rsidP="00445B20">
      <w:pPr>
        <w:pStyle w:val="Heading1"/>
        <w:numPr>
          <w:ilvl w:val="0"/>
          <w:numId w:val="0"/>
        </w:numPr>
        <w:tabs>
          <w:tab w:val="left" w:pos="862"/>
        </w:tabs>
        <w:ind w:left="862" w:hanging="862"/>
      </w:pPr>
      <w:r>
        <w:t>[22]</w:t>
      </w:r>
      <w:r>
        <w:tab/>
      </w:r>
      <w:r w:rsidR="00CE3E48">
        <w:t>As submitted to me</w:t>
      </w:r>
      <w:r w:rsidR="00FB09C8">
        <w:t>,</w:t>
      </w:r>
      <w:r w:rsidR="006255F4">
        <w:t xml:space="preserve"> by the applicant’s counsel</w:t>
      </w:r>
      <w:r w:rsidR="00CE3E48">
        <w:t>, these defences have no merit in the face of the special power of attorney.  This is because:</w:t>
      </w:r>
    </w:p>
    <w:p w14:paraId="1049E21A" w14:textId="685BDB59" w:rsidR="00CE3E48" w:rsidRDefault="00445B20" w:rsidP="00445B20">
      <w:pPr>
        <w:pStyle w:val="Heading2"/>
        <w:numPr>
          <w:ilvl w:val="0"/>
          <w:numId w:val="0"/>
        </w:numPr>
        <w:tabs>
          <w:tab w:val="left" w:pos="1871"/>
        </w:tabs>
        <w:ind w:left="1871" w:hanging="1009"/>
      </w:pPr>
      <w:r>
        <w:t>[22.1]</w:t>
      </w:r>
      <w:r>
        <w:tab/>
      </w:r>
      <w:r w:rsidR="00CE3E48">
        <w:t>the special power of attorney expressly authorised the applicant to sell and dispose of the properties on such terms and conditions as the applicant’s manager in his or her sole discretion deem</w:t>
      </w:r>
      <w:r w:rsidR="00A7319B">
        <w:t>ed</w:t>
      </w:r>
      <w:r w:rsidR="00CE3E48">
        <w:t xml:space="preserve"> </w:t>
      </w:r>
      <w:proofErr w:type="gramStart"/>
      <w:r w:rsidR="00CE3E48">
        <w:t>fit;</w:t>
      </w:r>
      <w:proofErr w:type="gramEnd"/>
    </w:p>
    <w:p w14:paraId="412B50FE" w14:textId="13636D11" w:rsidR="00CE3E48" w:rsidRDefault="00445B20" w:rsidP="00445B20">
      <w:pPr>
        <w:pStyle w:val="Heading2"/>
        <w:numPr>
          <w:ilvl w:val="0"/>
          <w:numId w:val="0"/>
        </w:numPr>
        <w:tabs>
          <w:tab w:val="left" w:pos="1871"/>
        </w:tabs>
        <w:ind w:left="1871" w:hanging="1009"/>
      </w:pPr>
      <w:r>
        <w:t>[22.2]</w:t>
      </w:r>
      <w:r>
        <w:tab/>
      </w:r>
      <w:r w:rsidR="00CE3E48">
        <w:t xml:space="preserve">the respondent indemnified the applicant in respect of any damage or loss of whatsoever nature and howsoever caused, arising from the applicant’s </w:t>
      </w:r>
      <w:r w:rsidR="00CE3E48" w:rsidRPr="00475029">
        <w:rPr>
          <w:i/>
        </w:rPr>
        <w:t>bona fide</w:t>
      </w:r>
      <w:r w:rsidR="00CE3E48">
        <w:t xml:space="preserve"> and lawful exercising of its rights in terms of the special power of attorney;</w:t>
      </w:r>
      <w:r w:rsidR="00A7319B">
        <w:t xml:space="preserve"> and</w:t>
      </w:r>
    </w:p>
    <w:p w14:paraId="43344B0E" w14:textId="6C79B00A" w:rsidR="00E46838" w:rsidRDefault="00445B20" w:rsidP="00445B20">
      <w:pPr>
        <w:pStyle w:val="Heading2"/>
        <w:numPr>
          <w:ilvl w:val="0"/>
          <w:numId w:val="0"/>
        </w:numPr>
        <w:tabs>
          <w:tab w:val="left" w:pos="1871"/>
        </w:tabs>
        <w:ind w:left="1871" w:hanging="1009"/>
      </w:pPr>
      <w:r>
        <w:t>[22.3]</w:t>
      </w:r>
      <w:r>
        <w:tab/>
      </w:r>
      <w:r w:rsidR="00CE3E48">
        <w:t xml:space="preserve">having invited the applicant to provide a sworn valuation, the applicant </w:t>
      </w:r>
      <w:r w:rsidR="00A7319B">
        <w:t>complied</w:t>
      </w:r>
      <w:r w:rsidR="00CE3E48">
        <w:t>, such valuation</w:t>
      </w:r>
      <w:r w:rsidR="00FB09C8">
        <w:t>,</w:t>
      </w:r>
      <w:r w:rsidR="00FB09C8" w:rsidRPr="00FB09C8">
        <w:t xml:space="preserve"> </w:t>
      </w:r>
      <w:r w:rsidR="00FB09C8">
        <w:t xml:space="preserve">dated 10 March </w:t>
      </w:r>
      <w:proofErr w:type="gramStart"/>
      <w:r w:rsidR="00FB09C8">
        <w:t xml:space="preserve">2014, </w:t>
      </w:r>
      <w:r w:rsidR="00CE3E48">
        <w:t xml:space="preserve"> </w:t>
      </w:r>
      <w:r w:rsidR="00FB09C8">
        <w:t>was</w:t>
      </w:r>
      <w:proofErr w:type="gramEnd"/>
      <w:r w:rsidR="00FB09C8">
        <w:t xml:space="preserve"> </w:t>
      </w:r>
      <w:r w:rsidR="00CE3E48">
        <w:t>attached to its replying affidavit</w:t>
      </w:r>
      <w:r w:rsidR="00CE3E48">
        <w:rPr>
          <w:rStyle w:val="FootnoteReference"/>
        </w:rPr>
        <w:footnoteReference w:id="15"/>
      </w:r>
      <w:r w:rsidR="00CE3E48">
        <w:t xml:space="preserve"> and which </w:t>
      </w:r>
      <w:r w:rsidR="00FB09C8">
        <w:t xml:space="preserve">was </w:t>
      </w:r>
      <w:r w:rsidR="00CE3E48">
        <w:t>prepared by Mr D Lazarus of Park Village Auctions.</w:t>
      </w:r>
      <w:r w:rsidR="00E46838">
        <w:t xml:space="preserve">  </w:t>
      </w:r>
    </w:p>
    <w:p w14:paraId="21C58247" w14:textId="6593A6FA" w:rsidR="00CE3E48" w:rsidRDefault="00445B20" w:rsidP="00445B20">
      <w:pPr>
        <w:pStyle w:val="Heading1"/>
        <w:numPr>
          <w:ilvl w:val="0"/>
          <w:numId w:val="0"/>
        </w:numPr>
        <w:tabs>
          <w:tab w:val="left" w:pos="862"/>
        </w:tabs>
        <w:ind w:left="862" w:hanging="862"/>
      </w:pPr>
      <w:r>
        <w:t>[23]</w:t>
      </w:r>
      <w:r>
        <w:tab/>
      </w:r>
      <w:r w:rsidR="006255F4">
        <w:t>Lazarus’</w:t>
      </w:r>
      <w:r w:rsidR="00E46838">
        <w:t xml:space="preserve"> report reveals that the </w:t>
      </w:r>
      <w:r w:rsidR="00B932B1">
        <w:t>properties</w:t>
      </w:r>
      <w:r w:rsidR="00E46838">
        <w:t xml:space="preserve"> had been on the market for more than three months and that no significant interest had been shown in the properties by prospective buyers be it developers or Polo enthusiasts. Lazarus affirmed that at the current pricing of R35 500 000,00 there was very little interest shown in the properties.  In addition, he stated that a fair auction sale value would be in the region of </w:t>
      </w:r>
      <w:r w:rsidR="00E46838">
        <w:lastRenderedPageBreak/>
        <w:t>R15 000 000,00.</w:t>
      </w:r>
    </w:p>
    <w:p w14:paraId="000829F4" w14:textId="2DBA77D3" w:rsidR="00A7319B" w:rsidRDefault="00445B20" w:rsidP="00445B20">
      <w:pPr>
        <w:pStyle w:val="Heading1"/>
        <w:numPr>
          <w:ilvl w:val="0"/>
          <w:numId w:val="0"/>
        </w:numPr>
        <w:tabs>
          <w:tab w:val="left" w:pos="862"/>
        </w:tabs>
        <w:ind w:left="862" w:hanging="862"/>
      </w:pPr>
      <w:r>
        <w:t>[24]</w:t>
      </w:r>
      <w:r>
        <w:tab/>
      </w:r>
      <w:r w:rsidR="006255F4">
        <w:t xml:space="preserve">It also appears that </w:t>
      </w:r>
      <w:r w:rsidR="00647C95">
        <w:t>the respondent is untruthful when it comes to the preparation and signing of the</w:t>
      </w:r>
      <w:r w:rsidR="006255F4">
        <w:t xml:space="preserve"> special</w:t>
      </w:r>
      <w:r w:rsidR="00647C95">
        <w:t xml:space="preserve"> power of attorney.  The respondent receive</w:t>
      </w:r>
      <w:r w:rsidR="00A7319B">
        <w:t>d</w:t>
      </w:r>
      <w:r w:rsidR="00647C95">
        <w:t xml:space="preserve"> the special power of attorney by way of an e-mail addressed to him</w:t>
      </w:r>
      <w:r w:rsidR="00B2662F">
        <w:t>,</w:t>
      </w:r>
      <w:r w:rsidR="00647C95">
        <w:t xml:space="preserve"> on 27</w:t>
      </w:r>
      <w:r w:rsidR="00A7319B" w:rsidRPr="006255F4">
        <w:rPr>
          <w:vertAlign w:val="superscript"/>
        </w:rPr>
        <w:t xml:space="preserve"> </w:t>
      </w:r>
      <w:r w:rsidR="00647C95">
        <w:t>May 2013</w:t>
      </w:r>
      <w:r w:rsidR="00B2662F">
        <w:t>,</w:t>
      </w:r>
      <w:r w:rsidR="00647C95">
        <w:t xml:space="preserve"> by Adrian Clay of the applicant. </w:t>
      </w:r>
      <w:r w:rsidR="006255F4">
        <w:t>Clay</w:t>
      </w:r>
      <w:r w:rsidR="00647C95">
        <w:t xml:space="preserve"> call</w:t>
      </w:r>
      <w:r w:rsidR="00A7319B">
        <w:t>ed</w:t>
      </w:r>
      <w:r w:rsidR="00647C95">
        <w:t xml:space="preserve"> upon the respondent to consider the document which had been discussed in January 2013 so that the applicant could assist in selling the Plettenberg Bay properties.  He call</w:t>
      </w:r>
      <w:r w:rsidR="00A7319B">
        <w:t xml:space="preserve">ed </w:t>
      </w:r>
      <w:r w:rsidR="00647C95">
        <w:t>upon him to do so prior the Thursday of that week when the document w</w:t>
      </w:r>
      <w:r w:rsidR="006255F4">
        <w:t>ould</w:t>
      </w:r>
      <w:r w:rsidR="00647C95">
        <w:t xml:space="preserve"> be signed</w:t>
      </w:r>
      <w:r w:rsidR="006255F4">
        <w:t>. Clay affirmed that</w:t>
      </w:r>
      <w:r w:rsidR="00647C95">
        <w:t xml:space="preserve"> should there be any questions an expert w</w:t>
      </w:r>
      <w:r w:rsidR="006255F4">
        <w:t>ould</w:t>
      </w:r>
      <w:r w:rsidR="00647C95">
        <w:t xml:space="preserve"> accompany hi</w:t>
      </w:r>
      <w:r w:rsidR="006255F4">
        <w:t>m</w:t>
      </w:r>
      <w:r w:rsidR="00647C95">
        <w:t xml:space="preserve"> to the meeting where the document w</w:t>
      </w:r>
      <w:r w:rsidR="0095324F">
        <w:t>as to</w:t>
      </w:r>
      <w:r w:rsidR="00647C95">
        <w:t xml:space="preserve"> be signed</w:t>
      </w:r>
      <w:r w:rsidR="006255F4">
        <w:t xml:space="preserve"> before the notary public</w:t>
      </w:r>
      <w:r w:rsidR="00647C95">
        <w:t xml:space="preserve">. </w:t>
      </w:r>
    </w:p>
    <w:p w14:paraId="6F20FC8D" w14:textId="58862807" w:rsidR="00A7319B" w:rsidRDefault="00445B20" w:rsidP="00445B20">
      <w:pPr>
        <w:pStyle w:val="Heading1"/>
        <w:numPr>
          <w:ilvl w:val="0"/>
          <w:numId w:val="0"/>
        </w:numPr>
        <w:tabs>
          <w:tab w:val="left" w:pos="862"/>
        </w:tabs>
        <w:ind w:left="862" w:hanging="862"/>
      </w:pPr>
      <w:r>
        <w:t>[25]</w:t>
      </w:r>
      <w:r>
        <w:tab/>
      </w:r>
      <w:r w:rsidR="00647C95">
        <w:t>In response, the respondent acknowledges that he is in receipt of the documents and asks that the two documents be condensed into one.  In the e-mail he affirms that the Stonefield Estate must be sold and acknowledges that if there is a shortfall that it will be his responsibility.</w:t>
      </w:r>
      <w:r w:rsidR="00647C95">
        <w:rPr>
          <w:rStyle w:val="FootnoteReference"/>
        </w:rPr>
        <w:footnoteReference w:id="16"/>
      </w:r>
      <w:r w:rsidR="00647C95">
        <w:t xml:space="preserve"> </w:t>
      </w:r>
    </w:p>
    <w:p w14:paraId="286D803F" w14:textId="1D476F51" w:rsidR="00FB09C8" w:rsidRDefault="00445B20" w:rsidP="00445B20">
      <w:pPr>
        <w:pStyle w:val="Heading1"/>
        <w:numPr>
          <w:ilvl w:val="0"/>
          <w:numId w:val="0"/>
        </w:numPr>
        <w:tabs>
          <w:tab w:val="left" w:pos="862"/>
        </w:tabs>
        <w:ind w:left="862" w:hanging="862"/>
      </w:pPr>
      <w:r>
        <w:t>[26]</w:t>
      </w:r>
      <w:r>
        <w:tab/>
      </w:r>
      <w:r w:rsidR="00FB09C8" w:rsidRPr="00B2662F">
        <w:rPr>
          <w:bCs/>
        </w:rPr>
        <w:t>The applicant says that the notary public asked the respondent</w:t>
      </w:r>
      <w:r w:rsidR="00FB09C8">
        <w:rPr>
          <w:bCs/>
        </w:rPr>
        <w:t>,</w:t>
      </w:r>
      <w:r w:rsidR="00FB09C8" w:rsidRPr="00FB09C8">
        <w:rPr>
          <w:bCs/>
        </w:rPr>
        <w:t xml:space="preserve"> </w:t>
      </w:r>
      <w:r w:rsidR="00FB09C8" w:rsidRPr="00B2662F">
        <w:rPr>
          <w:bCs/>
        </w:rPr>
        <w:t>at the meeting</w:t>
      </w:r>
      <w:r w:rsidR="00FB09C8">
        <w:rPr>
          <w:bCs/>
        </w:rPr>
        <w:t>,</w:t>
      </w:r>
      <w:r w:rsidR="00FB09C8" w:rsidRPr="00B2662F">
        <w:rPr>
          <w:bCs/>
        </w:rPr>
        <w:t xml:space="preserve"> whether he understood the special power of attorney and he answered in the affirmative.</w:t>
      </w:r>
      <w:r w:rsidR="00FB09C8">
        <w:rPr>
          <w:bCs/>
        </w:rPr>
        <w:t xml:space="preserve"> He proceeded to sign it.</w:t>
      </w:r>
    </w:p>
    <w:p w14:paraId="5A5262B8" w14:textId="59369037" w:rsidR="00B2662F" w:rsidRDefault="00445B20" w:rsidP="00445B20">
      <w:pPr>
        <w:pStyle w:val="Heading1"/>
        <w:numPr>
          <w:ilvl w:val="0"/>
          <w:numId w:val="0"/>
        </w:numPr>
        <w:tabs>
          <w:tab w:val="left" w:pos="862"/>
        </w:tabs>
        <w:ind w:left="862" w:hanging="862"/>
      </w:pPr>
      <w:r>
        <w:t>[27]</w:t>
      </w:r>
      <w:r>
        <w:tab/>
      </w:r>
      <w:r w:rsidR="00647C95">
        <w:t xml:space="preserve">The respondent is also </w:t>
      </w:r>
      <w:r w:rsidR="0095324F">
        <w:t>ambiguous</w:t>
      </w:r>
      <w:r w:rsidR="00647C95">
        <w:t xml:space="preserve"> when he says that he had obtained offers for the </w:t>
      </w:r>
      <w:r w:rsidR="00B932B1">
        <w:t>properties</w:t>
      </w:r>
      <w:r w:rsidR="00647C95">
        <w:t xml:space="preserve"> from </w:t>
      </w:r>
      <w:r w:rsidR="009715C9">
        <w:t>prospective foreign</w:t>
      </w:r>
      <w:r w:rsidR="006255F4">
        <w:t xml:space="preserve"> purchasers w</w:t>
      </w:r>
      <w:r w:rsidR="009715C9">
        <w:t>hich were more than the R12 000 000,00 purchase price</w:t>
      </w:r>
      <w:r w:rsidR="000C0D17">
        <w:t>,</w:t>
      </w:r>
      <w:r w:rsidR="009715C9">
        <w:t xml:space="preserve"> yet not good enough to seal the deal.</w:t>
      </w:r>
    </w:p>
    <w:p w14:paraId="7B1FD188" w14:textId="7CD02C0B" w:rsidR="00B2662F" w:rsidRDefault="00445B20" w:rsidP="00445B20">
      <w:pPr>
        <w:pStyle w:val="Heading1"/>
        <w:numPr>
          <w:ilvl w:val="0"/>
          <w:numId w:val="0"/>
        </w:numPr>
        <w:tabs>
          <w:tab w:val="left" w:pos="862"/>
        </w:tabs>
        <w:ind w:left="862" w:hanging="862"/>
      </w:pPr>
      <w:r>
        <w:t>[28]</w:t>
      </w:r>
      <w:r>
        <w:tab/>
      </w:r>
      <w:r w:rsidR="00B2662F">
        <w:t xml:space="preserve">An e-mail addressed by the respondent to Noble and others, on 9 April 2014, records that Stonefield has been on the market for over a year without success and that the properties must now be sold at the best offer and that a power of attorney has been provided to begin immediately with </w:t>
      </w:r>
      <w:r w:rsidR="00B2662F">
        <w:lastRenderedPageBreak/>
        <w:t>the closing date being 5 May 2014.  In response Noble, who ha</w:t>
      </w:r>
      <w:r w:rsidR="00FB09C8">
        <w:t>d</w:t>
      </w:r>
      <w:r w:rsidR="00D01337">
        <w:t xml:space="preserve"> b</w:t>
      </w:r>
      <w:r w:rsidR="00B2662F">
        <w:t xml:space="preserve">een mandated by the respondent to sell the properties, states that he is </w:t>
      </w:r>
      <w:proofErr w:type="gramStart"/>
      <w:r w:rsidR="00B2662F">
        <w:t>fairly confident</w:t>
      </w:r>
      <w:proofErr w:type="gramEnd"/>
      <w:r w:rsidR="00B2662F">
        <w:t xml:space="preserve"> that one of his clients is close to making an offer but is also interested in Bitou Polo. Clearly</w:t>
      </w:r>
      <w:r w:rsidR="00FB09C8">
        <w:t xml:space="preserve"> nothing came of this offer</w:t>
      </w:r>
      <w:r w:rsidR="00B2662F">
        <w:t xml:space="preserve">. This is reflected in the e-mails at </w:t>
      </w:r>
      <w:r w:rsidR="00B2662F" w:rsidRPr="00BF0ACB">
        <w:t xml:space="preserve">Annexure </w:t>
      </w:r>
      <w:r w:rsidR="00B2662F" w:rsidRPr="00401551">
        <w:rPr>
          <w:b/>
        </w:rPr>
        <w:t>“RA8”</w:t>
      </w:r>
      <w:r w:rsidR="00B2662F" w:rsidRPr="00401551">
        <w:rPr>
          <w:bCs/>
        </w:rPr>
        <w:t>.</w:t>
      </w:r>
      <w:r w:rsidR="00B2662F" w:rsidRPr="00FA5D5D">
        <w:rPr>
          <w:rStyle w:val="FootnoteReference"/>
          <w:bCs/>
        </w:rPr>
        <w:footnoteReference w:id="17"/>
      </w:r>
      <w:r w:rsidR="00B2662F" w:rsidRPr="00401551">
        <w:rPr>
          <w:bCs/>
        </w:rPr>
        <w:t xml:space="preserve">  </w:t>
      </w:r>
      <w:r w:rsidR="009715C9">
        <w:t xml:space="preserve"> </w:t>
      </w:r>
    </w:p>
    <w:p w14:paraId="481A0FF7" w14:textId="1F04236F" w:rsidR="00A7319B" w:rsidRDefault="00445B20" w:rsidP="00445B20">
      <w:pPr>
        <w:pStyle w:val="Heading1"/>
        <w:numPr>
          <w:ilvl w:val="0"/>
          <w:numId w:val="0"/>
        </w:numPr>
        <w:tabs>
          <w:tab w:val="left" w:pos="862"/>
        </w:tabs>
        <w:ind w:left="862" w:hanging="862"/>
      </w:pPr>
      <w:r>
        <w:t>[29]</w:t>
      </w:r>
      <w:r>
        <w:tab/>
      </w:r>
      <w:r w:rsidR="009715C9">
        <w:t>On 16</w:t>
      </w:r>
      <w:r w:rsidR="00A7319B">
        <w:rPr>
          <w:vertAlign w:val="superscript"/>
        </w:rPr>
        <w:t xml:space="preserve"> </w:t>
      </w:r>
      <w:r w:rsidR="009715C9">
        <w:t>May 2014</w:t>
      </w:r>
      <w:r w:rsidR="00B2662F">
        <w:t>,</w:t>
      </w:r>
      <w:r w:rsidR="009715C9">
        <w:t xml:space="preserve"> Noble addresses an e-mail to the respondent, wherein he confirms that Jaco from Park Village Auctioneers</w:t>
      </w:r>
      <w:r w:rsidR="00B2662F">
        <w:t>,</w:t>
      </w:r>
      <w:r w:rsidR="009715C9">
        <w:t xml:space="preserve"> in Johannesburg</w:t>
      </w:r>
      <w:r w:rsidR="00B2662F">
        <w:t>,</w:t>
      </w:r>
      <w:r w:rsidR="009715C9">
        <w:t xml:space="preserve"> has affirmed that he has a mandate to sell Stonefield on auction in June</w:t>
      </w:r>
      <w:r w:rsidR="00401551">
        <w:t xml:space="preserve"> 2014</w:t>
      </w:r>
      <w:r w:rsidR="009715C9">
        <w:t xml:space="preserve"> unless the applicant has a buyer.  He further affirms that Park Village Auctioneers has been mandated by the applicant.  Once </w:t>
      </w:r>
      <w:proofErr w:type="gramStart"/>
      <w:r w:rsidR="009715C9">
        <w:t>again</w:t>
      </w:r>
      <w:proofErr w:type="gramEnd"/>
      <w:r w:rsidR="009715C9">
        <w:t xml:space="preserve"> the respondent responds</w:t>
      </w:r>
      <w:r w:rsidR="00B7447A">
        <w:t>,</w:t>
      </w:r>
      <w:r w:rsidR="009715C9">
        <w:t xml:space="preserve"> on</w:t>
      </w:r>
      <w:r w:rsidR="00B2662F">
        <w:t xml:space="preserve"> </w:t>
      </w:r>
      <w:r w:rsidR="009715C9">
        <w:t>16</w:t>
      </w:r>
      <w:r w:rsidR="00A7319B">
        <w:rPr>
          <w:vertAlign w:val="superscript"/>
        </w:rPr>
        <w:t xml:space="preserve"> </w:t>
      </w:r>
      <w:r w:rsidR="009715C9">
        <w:t>May 2014</w:t>
      </w:r>
      <w:r w:rsidR="00A7319B">
        <w:t>,</w:t>
      </w:r>
      <w:r w:rsidR="009715C9">
        <w:t xml:space="preserve"> </w:t>
      </w:r>
      <w:r w:rsidR="00AE4457">
        <w:t>in an e-mail</w:t>
      </w:r>
      <w:r w:rsidR="00B7447A">
        <w:t>.</w:t>
      </w:r>
      <w:r w:rsidR="00AE4457">
        <w:t xml:space="preserve"> </w:t>
      </w:r>
      <w:r w:rsidR="00B7447A">
        <w:t xml:space="preserve">He affirms </w:t>
      </w:r>
      <w:r w:rsidR="00AE4457">
        <w:t xml:space="preserve">that he has given the applicant a power of attorney and that Park </w:t>
      </w:r>
      <w:proofErr w:type="gramStart"/>
      <w:r w:rsidR="00AE4457">
        <w:t xml:space="preserve">Village </w:t>
      </w:r>
      <w:r w:rsidR="00B7447A">
        <w:t xml:space="preserve"> Auctioneers</w:t>
      </w:r>
      <w:proofErr w:type="gramEnd"/>
      <w:r w:rsidR="00B7447A">
        <w:t xml:space="preserve"> </w:t>
      </w:r>
      <w:r w:rsidR="00AE4457">
        <w:t>has been authorised to attend to the auction process.</w:t>
      </w:r>
      <w:r w:rsidR="00AE4457">
        <w:rPr>
          <w:rStyle w:val="FootnoteReference"/>
        </w:rPr>
        <w:footnoteReference w:id="18"/>
      </w:r>
      <w:r w:rsidR="00AE4457">
        <w:t xml:space="preserve">  </w:t>
      </w:r>
    </w:p>
    <w:p w14:paraId="699745CA" w14:textId="2914D38A" w:rsidR="00B2662F" w:rsidRDefault="00445B20" w:rsidP="00445B20">
      <w:pPr>
        <w:pStyle w:val="Heading1"/>
        <w:numPr>
          <w:ilvl w:val="0"/>
          <w:numId w:val="0"/>
        </w:numPr>
        <w:tabs>
          <w:tab w:val="left" w:pos="862"/>
        </w:tabs>
        <w:ind w:left="862" w:hanging="862"/>
      </w:pPr>
      <w:r>
        <w:t>[30]</w:t>
      </w:r>
      <w:r>
        <w:tab/>
      </w:r>
      <w:r w:rsidR="00B2662F">
        <w:t>On 16</w:t>
      </w:r>
      <w:r w:rsidR="00B2662F">
        <w:rPr>
          <w:vertAlign w:val="superscript"/>
        </w:rPr>
        <w:t xml:space="preserve"> </w:t>
      </w:r>
      <w:r w:rsidR="00B2662F">
        <w:t>July 201</w:t>
      </w:r>
      <w:r w:rsidR="0095324F">
        <w:t>4</w:t>
      </w:r>
      <w:r w:rsidR="00B2662F">
        <w:t>, Clay, in an email</w:t>
      </w:r>
      <w:r w:rsidR="00401551">
        <w:t>,</w:t>
      </w:r>
      <w:r w:rsidR="00B2662F">
        <w:t xml:space="preserve"> confirms that the respondent, who is residing in the UK, has been afforded an opportunity to market and sell the </w:t>
      </w:r>
      <w:r w:rsidR="0095324F">
        <w:t>Stonefield</w:t>
      </w:r>
      <w:r w:rsidR="00B2662F">
        <w:t xml:space="preserve"> in the UK and that the applicant would only start the sale process from 20</w:t>
      </w:r>
      <w:r w:rsidR="00B2662F">
        <w:rPr>
          <w:vertAlign w:val="superscript"/>
        </w:rPr>
        <w:t xml:space="preserve"> </w:t>
      </w:r>
      <w:r w:rsidR="00B2662F">
        <w:t>August 201</w:t>
      </w:r>
      <w:r w:rsidR="0095324F">
        <w:t>4</w:t>
      </w:r>
      <w:r w:rsidR="00B2662F">
        <w:t>.  The respondent confirms this to be the case in an e-mail in reply.</w:t>
      </w:r>
      <w:r w:rsidR="00B2662F">
        <w:rPr>
          <w:rStyle w:val="FootnoteReference"/>
        </w:rPr>
        <w:footnoteReference w:id="19"/>
      </w:r>
      <w:r w:rsidR="00B2662F">
        <w:t xml:space="preserve">  </w:t>
      </w:r>
    </w:p>
    <w:p w14:paraId="3C4E05DD" w14:textId="2125254E" w:rsidR="00C60BB8" w:rsidRDefault="00445B20" w:rsidP="00445B20">
      <w:pPr>
        <w:pStyle w:val="Heading1"/>
        <w:numPr>
          <w:ilvl w:val="0"/>
          <w:numId w:val="0"/>
        </w:numPr>
        <w:tabs>
          <w:tab w:val="left" w:pos="862"/>
        </w:tabs>
        <w:ind w:left="862" w:hanging="862"/>
      </w:pPr>
      <w:r>
        <w:t>[31]</w:t>
      </w:r>
      <w:r>
        <w:tab/>
      </w:r>
      <w:r w:rsidR="00AE4457">
        <w:t>On 28 July 2014</w:t>
      </w:r>
      <w:r w:rsidR="00B2662F">
        <w:t>,</w:t>
      </w:r>
      <w:r w:rsidR="00AE4457">
        <w:t xml:space="preserve"> the respondent </w:t>
      </w:r>
      <w:r w:rsidR="00C60BB8">
        <w:t>addresses</w:t>
      </w:r>
      <w:r w:rsidR="00AE4457">
        <w:t xml:space="preserve"> an e-mail to Clay wherein he asks for an update as to the sale and states that</w:t>
      </w:r>
      <w:r w:rsidR="00C60BB8">
        <w:t>,</w:t>
      </w:r>
      <w:r w:rsidR="00AE4457">
        <w:t xml:space="preserve"> depending on the price range</w:t>
      </w:r>
      <w:r w:rsidR="00C60BB8">
        <w:t>,</w:t>
      </w:r>
      <w:r w:rsidR="00AE4457">
        <w:t xml:space="preserve"> he may have an interested buyer in the UK.  Clay responds</w:t>
      </w:r>
      <w:r w:rsidR="00B2662F">
        <w:t>,</w:t>
      </w:r>
      <w:r w:rsidR="00AE4457">
        <w:t xml:space="preserve"> </w:t>
      </w:r>
      <w:proofErr w:type="gramStart"/>
      <w:r w:rsidR="00AE4457">
        <w:t>on  28</w:t>
      </w:r>
      <w:proofErr w:type="gramEnd"/>
      <w:r w:rsidR="00C60BB8">
        <w:rPr>
          <w:vertAlign w:val="superscript"/>
        </w:rPr>
        <w:t xml:space="preserve"> </w:t>
      </w:r>
      <w:r w:rsidR="00AE4457">
        <w:t>July 2014</w:t>
      </w:r>
      <w:r w:rsidR="00B2662F">
        <w:t>,</w:t>
      </w:r>
      <w:r w:rsidR="00AE4457">
        <w:t xml:space="preserve"> in an e-mail and says</w:t>
      </w:r>
      <w:r w:rsidR="00B7447A">
        <w:t>,</w:t>
      </w:r>
      <w:r w:rsidR="00AE4457">
        <w:t xml:space="preserve"> he would have to enquire from his head office</w:t>
      </w:r>
      <w:r w:rsidR="00B7447A">
        <w:t>,</w:t>
      </w:r>
      <w:r w:rsidR="00AE4457">
        <w:t xml:space="preserve"> but </w:t>
      </w:r>
      <w:r w:rsidR="00C60BB8">
        <w:t xml:space="preserve">nevertheless </w:t>
      </w:r>
      <w:r w:rsidR="00AE4457">
        <w:t>enquires as to what the respondent’s interested buyer will offer.  In response</w:t>
      </w:r>
      <w:r w:rsidR="00B2662F">
        <w:t>,</w:t>
      </w:r>
      <w:r w:rsidR="00AE4457">
        <w:t xml:space="preserve"> on 28 July 2014</w:t>
      </w:r>
      <w:r w:rsidR="00B7447A">
        <w:t xml:space="preserve">, </w:t>
      </w:r>
      <w:r w:rsidR="00AE4457">
        <w:t>in a further e-mai</w:t>
      </w:r>
      <w:r w:rsidR="00B7447A">
        <w:t>l,</w:t>
      </w:r>
      <w:r w:rsidR="00AE4457">
        <w:t xml:space="preserve"> the respondent states that the buyer seems to be aware of the difficulty in selling the </w:t>
      </w:r>
      <w:r w:rsidR="00B932B1">
        <w:t>properties</w:t>
      </w:r>
      <w:r w:rsidR="00AE4457">
        <w:t xml:space="preserve"> and his approach is that he will not accept low offers </w:t>
      </w:r>
      <w:r w:rsidR="00AE4457">
        <w:lastRenderedPageBreak/>
        <w:t>but once he has an idea of the level</w:t>
      </w:r>
      <w:r w:rsidR="00401551">
        <w:t xml:space="preserve"> i.e.</w:t>
      </w:r>
      <w:r w:rsidR="00AE4457">
        <w:t xml:space="preserve"> the price that can be obtained</w:t>
      </w:r>
      <w:r w:rsidR="00B2662F">
        <w:t>,</w:t>
      </w:r>
      <w:r w:rsidR="00AE4457">
        <w:t xml:space="preserve"> he will try and negotiate them up to an acceptable price.  Accordingly, </w:t>
      </w:r>
      <w:r w:rsidR="00C60BB8">
        <w:t xml:space="preserve">the respondent fails to </w:t>
      </w:r>
      <w:r w:rsidR="00AE4457">
        <w:t>disclose what offers were made to him</w:t>
      </w:r>
      <w:r w:rsidR="00B7447A">
        <w:t xml:space="preserve"> or that the offers exceeded R12 000 000,00.</w:t>
      </w:r>
    </w:p>
    <w:p w14:paraId="4FDCF716" w14:textId="062DABD1" w:rsidR="00C60BB8" w:rsidRPr="00C60BB8" w:rsidRDefault="00445B20" w:rsidP="00445B20">
      <w:pPr>
        <w:pStyle w:val="Heading1"/>
        <w:numPr>
          <w:ilvl w:val="0"/>
          <w:numId w:val="0"/>
        </w:numPr>
        <w:tabs>
          <w:tab w:val="left" w:pos="862"/>
        </w:tabs>
        <w:ind w:left="862" w:hanging="862"/>
      </w:pPr>
      <w:r w:rsidRPr="00C60BB8">
        <w:t>[32]</w:t>
      </w:r>
      <w:r w:rsidRPr="00C60BB8">
        <w:tab/>
      </w:r>
      <w:r w:rsidR="00FA5D5D">
        <w:rPr>
          <w:bCs/>
        </w:rPr>
        <w:t>As is also apparent from the</w:t>
      </w:r>
      <w:r w:rsidR="00401551">
        <w:rPr>
          <w:bCs/>
        </w:rPr>
        <w:t xml:space="preserve"> e-mail</w:t>
      </w:r>
      <w:r w:rsidR="00FA5D5D">
        <w:rPr>
          <w:bCs/>
        </w:rPr>
        <w:t xml:space="preserve"> exchanges between the applicant and the respondent, the applicant </w:t>
      </w:r>
      <w:proofErr w:type="gramStart"/>
      <w:r w:rsidR="00FA5D5D">
        <w:rPr>
          <w:bCs/>
        </w:rPr>
        <w:t>at all times</w:t>
      </w:r>
      <w:proofErr w:type="gramEnd"/>
      <w:r w:rsidR="00FA5D5D">
        <w:rPr>
          <w:bCs/>
        </w:rPr>
        <w:t xml:space="preserve"> kept the respondent abreast of what was transpiring in relation to the sale of the </w:t>
      </w:r>
      <w:r w:rsidR="00B932B1">
        <w:rPr>
          <w:bCs/>
        </w:rPr>
        <w:t>properties</w:t>
      </w:r>
      <w:r w:rsidR="00B7447A">
        <w:rPr>
          <w:bCs/>
        </w:rPr>
        <w:t>.</w:t>
      </w:r>
      <w:r w:rsidR="00FA5D5D">
        <w:rPr>
          <w:bCs/>
        </w:rPr>
        <w:t xml:space="preserve"> </w:t>
      </w:r>
      <w:r w:rsidR="00B7447A">
        <w:rPr>
          <w:bCs/>
        </w:rPr>
        <w:t xml:space="preserve">This </w:t>
      </w:r>
      <w:proofErr w:type="gramStart"/>
      <w:r w:rsidR="00FA5D5D">
        <w:rPr>
          <w:bCs/>
        </w:rPr>
        <w:t xml:space="preserve">also </w:t>
      </w:r>
      <w:r w:rsidR="00B7447A">
        <w:rPr>
          <w:bCs/>
        </w:rPr>
        <w:t xml:space="preserve"> appears</w:t>
      </w:r>
      <w:proofErr w:type="gramEnd"/>
      <w:r w:rsidR="00B7447A">
        <w:rPr>
          <w:bCs/>
        </w:rPr>
        <w:t xml:space="preserve"> </w:t>
      </w:r>
      <w:r w:rsidR="00FA5D5D">
        <w:rPr>
          <w:bCs/>
        </w:rPr>
        <w:t>from an e-mail</w:t>
      </w:r>
      <w:r w:rsidR="00B7447A">
        <w:rPr>
          <w:bCs/>
        </w:rPr>
        <w:t>,</w:t>
      </w:r>
      <w:r w:rsidR="00FA5D5D">
        <w:rPr>
          <w:bCs/>
        </w:rPr>
        <w:t xml:space="preserve"> dated 26 March 2014</w:t>
      </w:r>
      <w:r w:rsidR="00B7447A">
        <w:rPr>
          <w:bCs/>
        </w:rPr>
        <w:t>,</w:t>
      </w:r>
      <w:r w:rsidR="00FA5D5D">
        <w:rPr>
          <w:bCs/>
        </w:rPr>
        <w:t xml:space="preserve"> from Clay to the respondent in which he states that auction proceedings are underway</w:t>
      </w:r>
      <w:r w:rsidR="00B7447A">
        <w:rPr>
          <w:bCs/>
        </w:rPr>
        <w:t>.</w:t>
      </w:r>
      <w:r w:rsidR="00FA5D5D">
        <w:rPr>
          <w:bCs/>
        </w:rPr>
        <w:t xml:space="preserve"> </w:t>
      </w:r>
      <w:r w:rsidR="00B7447A">
        <w:rPr>
          <w:bCs/>
        </w:rPr>
        <w:t>H</w:t>
      </w:r>
      <w:r w:rsidR="00FA5D5D">
        <w:rPr>
          <w:bCs/>
        </w:rPr>
        <w:t>e calls upon the respondent to furnish a signed offer to purchase prior to Park Village Auctioneers commencing advertising.</w:t>
      </w:r>
      <w:r w:rsidR="00FA5D5D">
        <w:rPr>
          <w:rStyle w:val="FootnoteReference"/>
          <w:bCs/>
        </w:rPr>
        <w:footnoteReference w:id="20"/>
      </w:r>
      <w:r w:rsidR="00FA5D5D">
        <w:rPr>
          <w:bCs/>
        </w:rPr>
        <w:t xml:space="preserve">  </w:t>
      </w:r>
    </w:p>
    <w:p w14:paraId="2DB79878" w14:textId="5809AC8E" w:rsidR="00C60BB8" w:rsidRPr="00C60BB8" w:rsidRDefault="00445B20" w:rsidP="00445B20">
      <w:pPr>
        <w:pStyle w:val="Heading1"/>
        <w:numPr>
          <w:ilvl w:val="0"/>
          <w:numId w:val="0"/>
        </w:numPr>
        <w:tabs>
          <w:tab w:val="left" w:pos="862"/>
        </w:tabs>
        <w:ind w:left="862" w:hanging="862"/>
      </w:pPr>
      <w:r w:rsidRPr="00C60BB8">
        <w:t>[33]</w:t>
      </w:r>
      <w:r w:rsidRPr="00C60BB8">
        <w:tab/>
      </w:r>
      <w:r w:rsidR="00FA5D5D">
        <w:rPr>
          <w:bCs/>
        </w:rPr>
        <w:t xml:space="preserve">Notably, the respondent </w:t>
      </w:r>
      <w:r w:rsidR="0095324F">
        <w:rPr>
          <w:bCs/>
        </w:rPr>
        <w:t xml:space="preserve">could have </w:t>
      </w:r>
      <w:r w:rsidR="00FA5D5D">
        <w:rPr>
          <w:bCs/>
        </w:rPr>
        <w:t>file</w:t>
      </w:r>
      <w:r w:rsidR="0095324F">
        <w:rPr>
          <w:bCs/>
        </w:rPr>
        <w:t>d</w:t>
      </w:r>
      <w:r w:rsidR="00FA5D5D">
        <w:rPr>
          <w:bCs/>
        </w:rPr>
        <w:t xml:space="preserve"> a supplementary affidavit should he have taken issue with any of these aspects in the replying affidavit</w:t>
      </w:r>
      <w:r w:rsidR="00B2662F">
        <w:rPr>
          <w:bCs/>
        </w:rPr>
        <w:t xml:space="preserve"> </w:t>
      </w:r>
      <w:r w:rsidR="00401551">
        <w:rPr>
          <w:bCs/>
        </w:rPr>
        <w:t xml:space="preserve">but </w:t>
      </w:r>
      <w:r w:rsidR="00FA5D5D">
        <w:rPr>
          <w:bCs/>
        </w:rPr>
        <w:t>failed to do so.</w:t>
      </w:r>
      <w:r w:rsidR="00B7447A">
        <w:rPr>
          <w:bCs/>
        </w:rPr>
        <w:t xml:space="preserve"> I am of the view that he could not do so </w:t>
      </w:r>
      <w:r w:rsidR="00401551">
        <w:rPr>
          <w:bCs/>
        </w:rPr>
        <w:t>because</w:t>
      </w:r>
      <w:r w:rsidR="00B7447A">
        <w:rPr>
          <w:bCs/>
        </w:rPr>
        <w:t xml:space="preserve"> of the incontrovertible</w:t>
      </w:r>
      <w:r w:rsidR="00B2662F">
        <w:rPr>
          <w:bCs/>
        </w:rPr>
        <w:t xml:space="preserve"> evidence in the</w:t>
      </w:r>
      <w:r w:rsidR="00B7447A">
        <w:rPr>
          <w:bCs/>
        </w:rPr>
        <w:t xml:space="preserve"> e-mail trail.</w:t>
      </w:r>
      <w:r w:rsidR="00401551">
        <w:rPr>
          <w:bCs/>
        </w:rPr>
        <w:t xml:space="preserve"> T</w:t>
      </w:r>
      <w:r w:rsidR="00ED464A">
        <w:rPr>
          <w:bCs/>
        </w:rPr>
        <w:t>he e-mail communications affirm that the respondent was always in the picture and</w:t>
      </w:r>
      <w:r w:rsidR="00C60BB8">
        <w:rPr>
          <w:bCs/>
        </w:rPr>
        <w:t>,</w:t>
      </w:r>
      <w:r w:rsidR="00ED464A">
        <w:rPr>
          <w:bCs/>
        </w:rPr>
        <w:t xml:space="preserve"> as submitted to me</w:t>
      </w:r>
      <w:r w:rsidR="00C60BB8">
        <w:rPr>
          <w:bCs/>
        </w:rPr>
        <w:t>,</w:t>
      </w:r>
      <w:r w:rsidR="00ED464A">
        <w:rPr>
          <w:bCs/>
        </w:rPr>
        <w:t xml:space="preserve"> had fallen on hard times in relation to the Stonefield Polo Estate.</w:t>
      </w:r>
    </w:p>
    <w:p w14:paraId="085D4B8A" w14:textId="0004ED21" w:rsidR="00C60BB8" w:rsidRPr="00C60BB8" w:rsidRDefault="00445B20" w:rsidP="00445B20">
      <w:pPr>
        <w:pStyle w:val="Heading1"/>
        <w:numPr>
          <w:ilvl w:val="0"/>
          <w:numId w:val="0"/>
        </w:numPr>
        <w:tabs>
          <w:tab w:val="left" w:pos="862"/>
        </w:tabs>
        <w:ind w:left="862" w:hanging="862"/>
      </w:pPr>
      <w:r w:rsidRPr="00C60BB8">
        <w:t>[34]</w:t>
      </w:r>
      <w:r w:rsidRPr="00C60BB8">
        <w:tab/>
      </w:r>
      <w:r w:rsidR="00B7447A">
        <w:rPr>
          <w:bCs/>
        </w:rPr>
        <w:t>I</w:t>
      </w:r>
      <w:r w:rsidR="00ED464A">
        <w:rPr>
          <w:bCs/>
        </w:rPr>
        <w:t>t is</w:t>
      </w:r>
      <w:r w:rsidR="00B7447A">
        <w:rPr>
          <w:bCs/>
        </w:rPr>
        <w:t xml:space="preserve"> also </w:t>
      </w:r>
      <w:r w:rsidR="00ED464A">
        <w:rPr>
          <w:bCs/>
        </w:rPr>
        <w:t>evident that he was actively involved in the negotiation of the special power of attorney a</w:t>
      </w:r>
      <w:r w:rsidR="007412FE">
        <w:rPr>
          <w:bCs/>
        </w:rPr>
        <w:t>s he was</w:t>
      </w:r>
      <w:r w:rsidR="00ED464A">
        <w:rPr>
          <w:bCs/>
        </w:rPr>
        <w:t xml:space="preserve"> in the sale of the </w:t>
      </w:r>
      <w:r w:rsidR="00B932B1">
        <w:rPr>
          <w:bCs/>
        </w:rPr>
        <w:t>properties</w:t>
      </w:r>
      <w:r w:rsidR="00ED464A">
        <w:rPr>
          <w:bCs/>
        </w:rPr>
        <w:t xml:space="preserve">.  There is no merit in the allegations that the applicant was </w:t>
      </w:r>
      <w:r w:rsidR="00ED464A" w:rsidRPr="00ED464A">
        <w:rPr>
          <w:bCs/>
          <w:i/>
        </w:rPr>
        <w:t>mala fide</w:t>
      </w:r>
      <w:r w:rsidR="00ED464A">
        <w:rPr>
          <w:bCs/>
        </w:rPr>
        <w:t xml:space="preserve"> in selling the </w:t>
      </w:r>
      <w:r w:rsidR="00B932B1">
        <w:rPr>
          <w:bCs/>
        </w:rPr>
        <w:t>properties</w:t>
      </w:r>
      <w:r w:rsidR="00ED464A">
        <w:rPr>
          <w:bCs/>
        </w:rPr>
        <w:t xml:space="preserve"> and that it acted in breach of any fiduciary duty to him.</w:t>
      </w:r>
    </w:p>
    <w:p w14:paraId="1465DE21" w14:textId="0CED2083" w:rsidR="00BA5EFF" w:rsidRPr="00B6502E" w:rsidRDefault="00445B20" w:rsidP="00445B20">
      <w:pPr>
        <w:pStyle w:val="Heading1"/>
        <w:numPr>
          <w:ilvl w:val="0"/>
          <w:numId w:val="0"/>
        </w:numPr>
        <w:tabs>
          <w:tab w:val="left" w:pos="862"/>
        </w:tabs>
        <w:ind w:left="862" w:hanging="862"/>
      </w:pPr>
      <w:r w:rsidRPr="00B6502E">
        <w:t>[35]</w:t>
      </w:r>
      <w:r w:rsidRPr="00B6502E">
        <w:tab/>
      </w:r>
      <w:r w:rsidR="00ED464A">
        <w:rPr>
          <w:bCs/>
        </w:rPr>
        <w:t>As also submitted to me</w:t>
      </w:r>
      <w:r w:rsidR="007412FE">
        <w:rPr>
          <w:bCs/>
        </w:rPr>
        <w:t>,</w:t>
      </w:r>
      <w:r w:rsidR="00ED464A">
        <w:rPr>
          <w:bCs/>
        </w:rPr>
        <w:t xml:space="preserve"> the very nature of the special power of </w:t>
      </w:r>
      <w:proofErr w:type="gramStart"/>
      <w:r w:rsidR="00ED464A">
        <w:rPr>
          <w:bCs/>
        </w:rPr>
        <w:t xml:space="preserve">attorney </w:t>
      </w:r>
      <w:r w:rsidR="00401551">
        <w:rPr>
          <w:bCs/>
        </w:rPr>
        <w:t xml:space="preserve"> having</w:t>
      </w:r>
      <w:proofErr w:type="gramEnd"/>
      <w:r w:rsidR="00401551">
        <w:rPr>
          <w:bCs/>
        </w:rPr>
        <w:t xml:space="preserve"> </w:t>
      </w:r>
      <w:r w:rsidR="00ED464A">
        <w:rPr>
          <w:bCs/>
        </w:rPr>
        <w:t>be</w:t>
      </w:r>
      <w:r w:rsidR="00401551">
        <w:rPr>
          <w:bCs/>
        </w:rPr>
        <w:t>en</w:t>
      </w:r>
      <w:r w:rsidR="00ED464A">
        <w:rPr>
          <w:bCs/>
        </w:rPr>
        <w:t xml:space="preserve"> granted to the applicant </w:t>
      </w:r>
      <w:r w:rsidR="00ED464A" w:rsidRPr="00ED464A">
        <w:rPr>
          <w:bCs/>
          <w:i/>
          <w:iCs/>
        </w:rPr>
        <w:t xml:space="preserve">procurator in rem </w:t>
      </w:r>
      <w:proofErr w:type="spellStart"/>
      <w:r w:rsidR="00ED464A" w:rsidRPr="00ED464A">
        <w:rPr>
          <w:bCs/>
          <w:i/>
          <w:iCs/>
        </w:rPr>
        <w:t>suam</w:t>
      </w:r>
      <w:proofErr w:type="spellEnd"/>
      <w:r w:rsidR="00ED464A">
        <w:rPr>
          <w:bCs/>
        </w:rPr>
        <w:t xml:space="preserve"> meant that it was granted not for the benefit of the princip</w:t>
      </w:r>
      <w:r w:rsidR="00C60BB8">
        <w:rPr>
          <w:bCs/>
        </w:rPr>
        <w:t>al</w:t>
      </w:r>
      <w:r w:rsidR="007412FE">
        <w:rPr>
          <w:bCs/>
        </w:rPr>
        <w:t>, the respondent,</w:t>
      </w:r>
      <w:r w:rsidR="00ED464A">
        <w:rPr>
          <w:bCs/>
        </w:rPr>
        <w:t xml:space="preserve"> but for the benefit of the applicant.</w:t>
      </w:r>
      <w:r w:rsidR="00ED464A">
        <w:rPr>
          <w:rStyle w:val="FootnoteReference"/>
          <w:bCs/>
        </w:rPr>
        <w:footnoteReference w:id="21"/>
      </w:r>
      <w:r w:rsidR="00ED464A">
        <w:rPr>
          <w:bCs/>
        </w:rPr>
        <w:t xml:space="preserve">  </w:t>
      </w:r>
    </w:p>
    <w:p w14:paraId="66E048A0" w14:textId="0F6E1375" w:rsidR="00BA5EFF" w:rsidRPr="00BA5EFF" w:rsidRDefault="00445B20" w:rsidP="00445B20">
      <w:pPr>
        <w:pStyle w:val="Heading1"/>
        <w:numPr>
          <w:ilvl w:val="0"/>
          <w:numId w:val="0"/>
        </w:numPr>
        <w:tabs>
          <w:tab w:val="left" w:pos="862"/>
        </w:tabs>
        <w:ind w:left="862" w:hanging="862"/>
      </w:pPr>
      <w:r w:rsidRPr="00BA5EFF">
        <w:lastRenderedPageBreak/>
        <w:t>[36]</w:t>
      </w:r>
      <w:r w:rsidRPr="00BA5EFF">
        <w:tab/>
      </w:r>
      <w:r w:rsidR="00ED464A">
        <w:rPr>
          <w:bCs/>
        </w:rPr>
        <w:t xml:space="preserve">The paucity of the respondent’s defence is compounded </w:t>
      </w:r>
      <w:r w:rsidR="007412FE">
        <w:rPr>
          <w:bCs/>
        </w:rPr>
        <w:t xml:space="preserve">when </w:t>
      </w:r>
      <w:r w:rsidR="00ED464A">
        <w:rPr>
          <w:bCs/>
        </w:rPr>
        <w:t xml:space="preserve">he says that </w:t>
      </w:r>
      <w:r w:rsidR="00ED464A" w:rsidRPr="00B6502E">
        <w:rPr>
          <w:bCs/>
        </w:rPr>
        <w:t xml:space="preserve">he did not receive </w:t>
      </w:r>
      <w:r w:rsidR="00B6502E" w:rsidRPr="00B6502E">
        <w:rPr>
          <w:bCs/>
        </w:rPr>
        <w:t>the</w:t>
      </w:r>
      <w:r w:rsidR="00B6502E">
        <w:rPr>
          <w:bCs/>
        </w:rPr>
        <w:t xml:space="preserve"> letters of demand because he was resident in the UK</w:t>
      </w:r>
      <w:r w:rsidR="00ED464A">
        <w:rPr>
          <w:bCs/>
        </w:rPr>
        <w:t xml:space="preserve">.  </w:t>
      </w:r>
      <w:r w:rsidR="00B6502E">
        <w:rPr>
          <w:bCs/>
        </w:rPr>
        <w:t>T</w:t>
      </w:r>
      <w:r w:rsidR="00ED464A">
        <w:rPr>
          <w:bCs/>
        </w:rPr>
        <w:t>he applicant gave the respondent notice</w:t>
      </w:r>
      <w:r w:rsidR="007412FE">
        <w:rPr>
          <w:bCs/>
        </w:rPr>
        <w:t>,</w:t>
      </w:r>
      <w:r w:rsidR="00ED464A">
        <w:rPr>
          <w:bCs/>
        </w:rPr>
        <w:t xml:space="preserve"> a</w:t>
      </w:r>
      <w:r w:rsidR="007412FE">
        <w:rPr>
          <w:bCs/>
        </w:rPr>
        <w:t xml:space="preserve">s required, </w:t>
      </w:r>
      <w:proofErr w:type="gramStart"/>
      <w:r w:rsidR="007412FE">
        <w:rPr>
          <w:bCs/>
        </w:rPr>
        <w:t>a</w:t>
      </w:r>
      <w:r w:rsidR="00ED464A">
        <w:rPr>
          <w:bCs/>
        </w:rPr>
        <w:t xml:space="preserve">t </w:t>
      </w:r>
      <w:r w:rsidR="00B6502E">
        <w:rPr>
          <w:bCs/>
        </w:rPr>
        <w:t xml:space="preserve"> his</w:t>
      </w:r>
      <w:proofErr w:type="gramEnd"/>
      <w:r w:rsidR="00B6502E">
        <w:rPr>
          <w:bCs/>
        </w:rPr>
        <w:t xml:space="preserve"> chosen </w:t>
      </w:r>
      <w:proofErr w:type="spellStart"/>
      <w:r w:rsidR="00B6502E" w:rsidRPr="00B6502E">
        <w:rPr>
          <w:bCs/>
          <w:i/>
          <w:iCs/>
        </w:rPr>
        <w:t>domicilium</w:t>
      </w:r>
      <w:proofErr w:type="spellEnd"/>
      <w:r w:rsidR="00B6502E" w:rsidRPr="00B6502E">
        <w:rPr>
          <w:bCs/>
          <w:i/>
          <w:iCs/>
        </w:rPr>
        <w:t xml:space="preserve"> </w:t>
      </w:r>
      <w:proofErr w:type="spellStart"/>
      <w:r w:rsidR="00B6502E" w:rsidRPr="00B6502E">
        <w:rPr>
          <w:bCs/>
          <w:i/>
          <w:iCs/>
        </w:rPr>
        <w:t>citandi</w:t>
      </w:r>
      <w:proofErr w:type="spellEnd"/>
      <w:r w:rsidR="00B6502E" w:rsidRPr="00B6502E">
        <w:rPr>
          <w:bCs/>
          <w:i/>
          <w:iCs/>
        </w:rPr>
        <w:t xml:space="preserve"> et </w:t>
      </w:r>
      <w:proofErr w:type="spellStart"/>
      <w:r w:rsidR="00B6502E" w:rsidRPr="00B6502E">
        <w:rPr>
          <w:bCs/>
          <w:i/>
          <w:iCs/>
        </w:rPr>
        <w:t>executandi</w:t>
      </w:r>
      <w:proofErr w:type="spellEnd"/>
      <w:r w:rsidR="00B2662F">
        <w:rPr>
          <w:bCs/>
        </w:rPr>
        <w:t xml:space="preserve">. </w:t>
      </w:r>
      <w:r w:rsidR="00BA5EFF">
        <w:rPr>
          <w:bCs/>
        </w:rPr>
        <w:t>T</w:t>
      </w:r>
      <w:r w:rsidR="00ED464A">
        <w:rPr>
          <w:bCs/>
        </w:rPr>
        <w:t>o the extent that he was only notified in November 2014</w:t>
      </w:r>
      <w:r w:rsidR="00401551">
        <w:rPr>
          <w:bCs/>
        </w:rPr>
        <w:t>, to</w:t>
      </w:r>
      <w:r w:rsidR="00ED464A">
        <w:rPr>
          <w:bCs/>
        </w:rPr>
        <w:t xml:space="preserve"> which he vaguely alludes</w:t>
      </w:r>
      <w:r w:rsidR="00401551">
        <w:rPr>
          <w:bCs/>
        </w:rPr>
        <w:t xml:space="preserve"> </w:t>
      </w:r>
      <w:r w:rsidR="00ED464A">
        <w:rPr>
          <w:bCs/>
        </w:rPr>
        <w:t>stating that he had been informed by a friend, that is his own fault.</w:t>
      </w:r>
    </w:p>
    <w:p w14:paraId="10550AC5" w14:textId="4A393333" w:rsidR="00B2662F" w:rsidRPr="00B2662F" w:rsidRDefault="00445B20" w:rsidP="00445B20">
      <w:pPr>
        <w:pStyle w:val="Heading1"/>
        <w:numPr>
          <w:ilvl w:val="0"/>
          <w:numId w:val="0"/>
        </w:numPr>
        <w:tabs>
          <w:tab w:val="left" w:pos="862"/>
        </w:tabs>
        <w:ind w:left="862" w:hanging="862"/>
      </w:pPr>
      <w:r w:rsidRPr="00B2662F">
        <w:t>[37]</w:t>
      </w:r>
      <w:r w:rsidRPr="00B2662F">
        <w:tab/>
      </w:r>
      <w:r w:rsidR="00ED464A">
        <w:rPr>
          <w:bCs/>
        </w:rPr>
        <w:t xml:space="preserve">Insofar as there is reliance on section 27 of the CPA this does not aid the respondent either. </w:t>
      </w:r>
      <w:r w:rsidR="00B6502E">
        <w:rPr>
          <w:bCs/>
        </w:rPr>
        <w:t xml:space="preserve">The respondent complains that the applicant was his </w:t>
      </w:r>
      <w:proofErr w:type="gramStart"/>
      <w:r w:rsidR="00B6502E">
        <w:rPr>
          <w:bCs/>
        </w:rPr>
        <w:t>agent  and</w:t>
      </w:r>
      <w:proofErr w:type="gramEnd"/>
      <w:r w:rsidR="00B6502E">
        <w:rPr>
          <w:bCs/>
        </w:rPr>
        <w:t xml:space="preserve"> held an </w:t>
      </w:r>
      <w:r w:rsidR="00B2662F">
        <w:rPr>
          <w:bCs/>
        </w:rPr>
        <w:t>intermediary</w:t>
      </w:r>
      <w:r w:rsidR="00B6502E">
        <w:rPr>
          <w:bCs/>
        </w:rPr>
        <w:t xml:space="preserve"> position and should have allowed him to consider the purchase price and ratify the sale. The applicant was an agent but in its own interest as stipulated in the special power of attorney.</w:t>
      </w:r>
      <w:r w:rsidR="00ED464A">
        <w:rPr>
          <w:bCs/>
        </w:rPr>
        <w:t xml:space="preserve"> It is</w:t>
      </w:r>
      <w:r w:rsidR="00B6502E">
        <w:rPr>
          <w:bCs/>
        </w:rPr>
        <w:t xml:space="preserve"> also</w:t>
      </w:r>
      <w:r w:rsidR="00ED464A">
        <w:rPr>
          <w:bCs/>
        </w:rPr>
        <w:t xml:space="preserve"> clear that </w:t>
      </w:r>
      <w:r w:rsidR="007412FE">
        <w:rPr>
          <w:bCs/>
        </w:rPr>
        <w:t>t</w:t>
      </w:r>
      <w:r w:rsidR="00ED464A">
        <w:rPr>
          <w:bCs/>
        </w:rPr>
        <w:t>he</w:t>
      </w:r>
      <w:r w:rsidR="007412FE">
        <w:rPr>
          <w:bCs/>
        </w:rPr>
        <w:t xml:space="preserve"> respondent</w:t>
      </w:r>
      <w:r w:rsidR="00ED464A">
        <w:rPr>
          <w:bCs/>
        </w:rPr>
        <w:t xml:space="preserve"> negotiated the terms of the special power of attorney</w:t>
      </w:r>
      <w:r w:rsidR="00401551">
        <w:rPr>
          <w:bCs/>
        </w:rPr>
        <w:t xml:space="preserve"> which contradict his complaint</w:t>
      </w:r>
      <w:r w:rsidR="00ED464A">
        <w:rPr>
          <w:bCs/>
        </w:rPr>
        <w:t xml:space="preserve"> and </w:t>
      </w:r>
      <w:r w:rsidR="00B6502E">
        <w:rPr>
          <w:bCs/>
        </w:rPr>
        <w:t>was materially involved in the sale of the properties, with the aid of Noble</w:t>
      </w:r>
      <w:r w:rsidR="00B2662F">
        <w:rPr>
          <w:bCs/>
        </w:rPr>
        <w:t>. A</w:t>
      </w:r>
      <w:r w:rsidR="00ED464A">
        <w:rPr>
          <w:bCs/>
        </w:rPr>
        <w:t xml:space="preserve">ny suggestion that he should have been presented with an offer or that there was a tacit term that the </w:t>
      </w:r>
      <w:r w:rsidR="00B932B1">
        <w:rPr>
          <w:bCs/>
        </w:rPr>
        <w:t>properties</w:t>
      </w:r>
      <w:r w:rsidR="00ED464A">
        <w:rPr>
          <w:bCs/>
        </w:rPr>
        <w:t xml:space="preserve"> should be sold at the best price</w:t>
      </w:r>
      <w:r w:rsidR="00BA5EFF">
        <w:rPr>
          <w:bCs/>
        </w:rPr>
        <w:t>,</w:t>
      </w:r>
      <w:r w:rsidR="00ED464A">
        <w:rPr>
          <w:bCs/>
        </w:rPr>
        <w:t xml:space="preserve"> which it was</w:t>
      </w:r>
      <w:r w:rsidR="00401551">
        <w:rPr>
          <w:bCs/>
        </w:rPr>
        <w:t xml:space="preserve"> in my view</w:t>
      </w:r>
      <w:r w:rsidR="00BA5EFF">
        <w:rPr>
          <w:bCs/>
        </w:rPr>
        <w:t>,</w:t>
      </w:r>
      <w:r w:rsidR="00ED464A">
        <w:rPr>
          <w:bCs/>
        </w:rPr>
        <w:t xml:space="preserve"> does not </w:t>
      </w:r>
      <w:r w:rsidR="0016682C">
        <w:rPr>
          <w:bCs/>
        </w:rPr>
        <w:t>pass muster.</w:t>
      </w:r>
    </w:p>
    <w:p w14:paraId="7D660F7A" w14:textId="74F0855D" w:rsidR="00B2662F" w:rsidRPr="00B2662F" w:rsidRDefault="00445B20" w:rsidP="00445B20">
      <w:pPr>
        <w:pStyle w:val="Heading1"/>
        <w:numPr>
          <w:ilvl w:val="0"/>
          <w:numId w:val="0"/>
        </w:numPr>
        <w:tabs>
          <w:tab w:val="left" w:pos="862"/>
        </w:tabs>
        <w:ind w:left="862" w:hanging="862"/>
      </w:pPr>
      <w:r w:rsidRPr="00B2662F">
        <w:t>[38]</w:t>
      </w:r>
      <w:r w:rsidRPr="00B2662F">
        <w:tab/>
      </w:r>
      <w:r w:rsidR="0016682C">
        <w:rPr>
          <w:bCs/>
        </w:rPr>
        <w:t xml:space="preserve">Furthermore, the </w:t>
      </w:r>
      <w:r w:rsidR="0095324F">
        <w:rPr>
          <w:bCs/>
        </w:rPr>
        <w:t>bald</w:t>
      </w:r>
      <w:r w:rsidR="0016682C">
        <w:rPr>
          <w:bCs/>
        </w:rPr>
        <w:t xml:space="preserve"> allegations that his rights were deprived under section 51 of the </w:t>
      </w:r>
      <w:proofErr w:type="gramStart"/>
      <w:r w:rsidR="0016682C">
        <w:rPr>
          <w:bCs/>
        </w:rPr>
        <w:t xml:space="preserve">CPA </w:t>
      </w:r>
      <w:r w:rsidR="00147F27">
        <w:rPr>
          <w:bCs/>
        </w:rPr>
        <w:t xml:space="preserve"> because</w:t>
      </w:r>
      <w:proofErr w:type="gramEnd"/>
      <w:r w:rsidR="00147F27">
        <w:rPr>
          <w:bCs/>
        </w:rPr>
        <w:t xml:space="preserve"> provisions of the special power of attorney contravened the CPA are unhelpful</w:t>
      </w:r>
      <w:r w:rsidR="00401551">
        <w:rPr>
          <w:bCs/>
        </w:rPr>
        <w:t>. T</w:t>
      </w:r>
      <w:r w:rsidR="00147F27">
        <w:rPr>
          <w:bCs/>
        </w:rPr>
        <w:t xml:space="preserve">he </w:t>
      </w:r>
      <w:r w:rsidR="00B2662F">
        <w:rPr>
          <w:bCs/>
        </w:rPr>
        <w:t xml:space="preserve">respondent failed to </w:t>
      </w:r>
      <w:r w:rsidR="00401551">
        <w:rPr>
          <w:bCs/>
        </w:rPr>
        <w:t xml:space="preserve">detail </w:t>
      </w:r>
      <w:r w:rsidR="00147F27">
        <w:rPr>
          <w:bCs/>
        </w:rPr>
        <w:t>any provisions</w:t>
      </w:r>
      <w:r w:rsidR="00B2662F">
        <w:rPr>
          <w:bCs/>
        </w:rPr>
        <w:t xml:space="preserve"> in the special power of attorney</w:t>
      </w:r>
      <w:r w:rsidR="00147F27">
        <w:rPr>
          <w:bCs/>
        </w:rPr>
        <w:t xml:space="preserve"> which allegedly were unlawful and prohibited by the CPA. </w:t>
      </w:r>
    </w:p>
    <w:p w14:paraId="3AE4EDA4" w14:textId="4B541D30" w:rsidR="00401551" w:rsidRPr="00401551" w:rsidRDefault="00445B20" w:rsidP="00445B20">
      <w:pPr>
        <w:pStyle w:val="Heading1"/>
        <w:numPr>
          <w:ilvl w:val="0"/>
          <w:numId w:val="0"/>
        </w:numPr>
        <w:tabs>
          <w:tab w:val="left" w:pos="862"/>
        </w:tabs>
        <w:ind w:left="862" w:hanging="862"/>
      </w:pPr>
      <w:r w:rsidRPr="00401551">
        <w:t>[39]</w:t>
      </w:r>
      <w:r w:rsidRPr="00401551">
        <w:tab/>
      </w:r>
      <w:r w:rsidR="00147F27">
        <w:rPr>
          <w:bCs/>
        </w:rPr>
        <w:t>Importantly though the CPA is not applicable to credit agreements such as loan agreements</w:t>
      </w:r>
      <w:r w:rsidR="00147F27">
        <w:rPr>
          <w:rStyle w:val="FootnoteReference"/>
          <w:bCs/>
        </w:rPr>
        <w:footnoteReference w:id="22"/>
      </w:r>
      <w:r w:rsidR="00147F27">
        <w:rPr>
          <w:bCs/>
        </w:rPr>
        <w:t xml:space="preserve"> governed by the National Credit Act. That definitively puts an end to these points.</w:t>
      </w:r>
    </w:p>
    <w:p w14:paraId="15F728EB" w14:textId="68D19528" w:rsidR="00147F27" w:rsidRPr="0016682C" w:rsidRDefault="00445B20" w:rsidP="00445B20">
      <w:pPr>
        <w:pStyle w:val="Heading1"/>
        <w:numPr>
          <w:ilvl w:val="0"/>
          <w:numId w:val="0"/>
        </w:numPr>
        <w:tabs>
          <w:tab w:val="left" w:pos="862"/>
        </w:tabs>
        <w:ind w:left="862" w:hanging="862"/>
      </w:pPr>
      <w:r w:rsidRPr="0016682C">
        <w:t>[40]</w:t>
      </w:r>
      <w:r w:rsidRPr="0016682C">
        <w:tab/>
      </w:r>
      <w:r w:rsidR="00401551">
        <w:rPr>
          <w:bCs/>
        </w:rPr>
        <w:t xml:space="preserve">Many of the skittles raised in the respondent’s answering affidavit were easily knocked down in the replying affidavit and wisely not argued before </w:t>
      </w:r>
      <w:r w:rsidR="00401551">
        <w:rPr>
          <w:bCs/>
        </w:rPr>
        <w:lastRenderedPageBreak/>
        <w:t>me by the respondent’s counsel.</w:t>
      </w:r>
      <w:r w:rsidR="00147F27" w:rsidRPr="00401551">
        <w:rPr>
          <w:bCs/>
        </w:rPr>
        <w:t xml:space="preserve"> </w:t>
      </w:r>
    </w:p>
    <w:p w14:paraId="7461E243" w14:textId="7AE2C5F7" w:rsidR="00401551" w:rsidRDefault="00445B20" w:rsidP="00445B20">
      <w:pPr>
        <w:pStyle w:val="Heading1"/>
        <w:numPr>
          <w:ilvl w:val="0"/>
          <w:numId w:val="0"/>
        </w:numPr>
        <w:tabs>
          <w:tab w:val="left" w:pos="862"/>
        </w:tabs>
        <w:ind w:left="862" w:hanging="862"/>
      </w:pPr>
      <w:r>
        <w:t>[41]</w:t>
      </w:r>
      <w:r>
        <w:tab/>
      </w:r>
      <w:r w:rsidR="00D83945">
        <w:rPr>
          <w:bCs/>
        </w:rPr>
        <w:t>As already set out above, the respondent’s counsel</w:t>
      </w:r>
      <w:r w:rsidR="0095324F">
        <w:rPr>
          <w:bCs/>
        </w:rPr>
        <w:t xml:space="preserve"> </w:t>
      </w:r>
      <w:r w:rsidR="00401551">
        <w:rPr>
          <w:bCs/>
        </w:rPr>
        <w:t xml:space="preserve">focussed his </w:t>
      </w:r>
      <w:proofErr w:type="gramStart"/>
      <w:r w:rsidR="00401551">
        <w:rPr>
          <w:bCs/>
        </w:rPr>
        <w:t>argument  on</w:t>
      </w:r>
      <w:proofErr w:type="gramEnd"/>
      <w:r w:rsidR="00401551">
        <w:rPr>
          <w:bCs/>
        </w:rPr>
        <w:t xml:space="preserve"> </w:t>
      </w:r>
      <w:r w:rsidR="00D83945">
        <w:rPr>
          <w:bCs/>
        </w:rPr>
        <w:t>a referral to trial</w:t>
      </w:r>
      <w:r w:rsidR="00401551">
        <w:rPr>
          <w:bCs/>
        </w:rPr>
        <w:t>. This</w:t>
      </w:r>
      <w:r w:rsidR="00D83945">
        <w:rPr>
          <w:bCs/>
        </w:rPr>
        <w:t xml:space="preserve"> is dealt with in terms of the provisions of Rule 6(5)(g).  </w:t>
      </w:r>
    </w:p>
    <w:p w14:paraId="223B01E5" w14:textId="02EDE124" w:rsidR="00D83945" w:rsidRPr="007067AC" w:rsidRDefault="00445B20" w:rsidP="00445B20">
      <w:pPr>
        <w:pStyle w:val="Heading1"/>
        <w:numPr>
          <w:ilvl w:val="0"/>
          <w:numId w:val="0"/>
        </w:numPr>
        <w:tabs>
          <w:tab w:val="left" w:pos="862"/>
        </w:tabs>
        <w:ind w:left="862" w:hanging="862"/>
      </w:pPr>
      <w:r w:rsidRPr="007067AC">
        <w:t>[42]</w:t>
      </w:r>
      <w:r w:rsidRPr="007067AC">
        <w:tab/>
      </w:r>
      <w:r w:rsidR="00D83945" w:rsidRPr="00401551">
        <w:rPr>
          <w:bCs/>
        </w:rPr>
        <w:t>Rule 6(5)(g) provides that:</w:t>
      </w:r>
    </w:p>
    <w:p w14:paraId="4CC475AC" w14:textId="77777777" w:rsidR="00D83945" w:rsidRDefault="00D83945" w:rsidP="00D83945">
      <w:pPr>
        <w:ind w:left="3022" w:hanging="3022"/>
        <w:rPr>
          <w:i/>
          <w:iCs/>
        </w:rPr>
      </w:pPr>
      <w:r>
        <w:tab/>
      </w:r>
      <w:r>
        <w:tab/>
      </w:r>
      <w:r>
        <w:rPr>
          <w:i/>
          <w:iCs/>
        </w:rPr>
        <w:t>“(g)</w:t>
      </w:r>
      <w:r>
        <w:rPr>
          <w:i/>
          <w:iCs/>
        </w:rPr>
        <w:tab/>
      </w:r>
      <w:r w:rsidRPr="007067AC">
        <w:rPr>
          <w:i/>
          <w:iCs/>
        </w:rPr>
        <w:t xml:space="preserve">Where an application cannot properly be decided on affidavit the court may dismiss the application or make such order as it </w:t>
      </w:r>
      <w:r>
        <w:rPr>
          <w:i/>
          <w:iCs/>
        </w:rPr>
        <w:t>d</w:t>
      </w:r>
      <w:r w:rsidRPr="007067AC">
        <w:rPr>
          <w:i/>
          <w:iCs/>
        </w:rPr>
        <w:t xml:space="preserve">eems </w:t>
      </w:r>
      <w:r>
        <w:rPr>
          <w:i/>
          <w:iCs/>
        </w:rPr>
        <w:t xml:space="preserve">fit </w:t>
      </w:r>
      <w:r w:rsidRPr="007067AC">
        <w:rPr>
          <w:i/>
          <w:iCs/>
        </w:rPr>
        <w:t>with a view to ensuring a just and expeditious decision.</w:t>
      </w:r>
      <w:r>
        <w:rPr>
          <w:i/>
          <w:iCs/>
        </w:rPr>
        <w:t xml:space="preserve">  </w:t>
      </w:r>
      <w:r w:rsidRPr="007067AC">
        <w:rPr>
          <w:i/>
          <w:iCs/>
        </w:rPr>
        <w:t>In particular, but without affecting the generality of the</w:t>
      </w:r>
      <w:r>
        <w:rPr>
          <w:i/>
          <w:iCs/>
        </w:rPr>
        <w:t xml:space="preserve"> </w:t>
      </w:r>
      <w:proofErr w:type="spellStart"/>
      <w:r w:rsidRPr="007067AC">
        <w:rPr>
          <w:i/>
          <w:iCs/>
        </w:rPr>
        <w:t>aforegoing</w:t>
      </w:r>
      <w:proofErr w:type="spellEnd"/>
      <w:r w:rsidRPr="007067AC">
        <w:rPr>
          <w:i/>
          <w:iCs/>
        </w:rPr>
        <w:t>, it may direct that oral evidence be heard on specified issues with a view to</w:t>
      </w:r>
      <w:r>
        <w:rPr>
          <w:i/>
          <w:iCs/>
        </w:rPr>
        <w:t xml:space="preserve"> </w:t>
      </w:r>
      <w:r w:rsidRPr="007067AC">
        <w:rPr>
          <w:i/>
          <w:iCs/>
        </w:rPr>
        <w:t>resolving any dispute of fact and to that end may order any deponent to appear</w:t>
      </w:r>
      <w:r>
        <w:rPr>
          <w:i/>
          <w:iCs/>
        </w:rPr>
        <w:t xml:space="preserve"> </w:t>
      </w:r>
      <w:r w:rsidRPr="007067AC">
        <w:rPr>
          <w:i/>
          <w:iCs/>
        </w:rPr>
        <w:t>personally or grant leave for such deponent or any other person to be subpoenaed to</w:t>
      </w:r>
      <w:r>
        <w:rPr>
          <w:i/>
          <w:iCs/>
        </w:rPr>
        <w:t xml:space="preserve"> </w:t>
      </w:r>
      <w:r w:rsidRPr="007067AC">
        <w:rPr>
          <w:i/>
          <w:iCs/>
        </w:rPr>
        <w:t>appear and be examined and cross-examined as a witness or it may refer the matter to</w:t>
      </w:r>
      <w:r>
        <w:rPr>
          <w:i/>
          <w:iCs/>
        </w:rPr>
        <w:t xml:space="preserve"> </w:t>
      </w:r>
      <w:r w:rsidRPr="007067AC">
        <w:rPr>
          <w:i/>
          <w:iCs/>
        </w:rPr>
        <w:t>trial with appropriate directions as to pleadings or definition of issues, or otherwise.</w:t>
      </w:r>
      <w:r>
        <w:rPr>
          <w:i/>
          <w:iCs/>
        </w:rPr>
        <w:t>”</w:t>
      </w:r>
    </w:p>
    <w:p w14:paraId="2FD6D01C" w14:textId="76F07CBA" w:rsidR="00D83945" w:rsidRDefault="00445B20" w:rsidP="00445B20">
      <w:pPr>
        <w:pStyle w:val="Heading1"/>
        <w:numPr>
          <w:ilvl w:val="0"/>
          <w:numId w:val="0"/>
        </w:numPr>
        <w:tabs>
          <w:tab w:val="left" w:pos="862"/>
        </w:tabs>
        <w:ind w:left="862" w:hanging="862"/>
      </w:pPr>
      <w:r>
        <w:t>[43]</w:t>
      </w:r>
      <w:r>
        <w:tab/>
      </w:r>
      <w:r w:rsidR="00D83945">
        <w:t xml:space="preserve">Notably, in the </w:t>
      </w:r>
      <w:r w:rsidR="00401551">
        <w:t>answering</w:t>
      </w:r>
      <w:r w:rsidR="00D83945">
        <w:t xml:space="preserve"> affidavit, the respondent in making reference to a referral to trial raises the alleged damages claim which he indicates has not as yet been quantified but in the light of the alleged underselling of the properties forms the basis of the </w:t>
      </w:r>
      <w:proofErr w:type="gramStart"/>
      <w:r w:rsidR="00D83945">
        <w:t>counter-application</w:t>
      </w:r>
      <w:proofErr w:type="gramEnd"/>
      <w:r w:rsidR="00D83945">
        <w:t xml:space="preserve"> and </w:t>
      </w:r>
      <w:r w:rsidR="00401551">
        <w:t xml:space="preserve">also </w:t>
      </w:r>
      <w:r w:rsidR="00D83945">
        <w:t xml:space="preserve">because damages cannot be determined by way of affidavit.  </w:t>
      </w:r>
      <w:r w:rsidR="00401551">
        <w:t>Yet</w:t>
      </w:r>
      <w:r w:rsidR="00D83945">
        <w:t xml:space="preserve">, the relief sought in the </w:t>
      </w:r>
      <w:proofErr w:type="gramStart"/>
      <w:r w:rsidR="00D83945">
        <w:t>counter-application</w:t>
      </w:r>
      <w:proofErr w:type="gramEnd"/>
      <w:r w:rsidR="00D83945">
        <w:t xml:space="preserve"> makes no mention of damages and, despite the inordinate lapse of time, there is no evidence placed before me of the damages allegedly suffered</w:t>
      </w:r>
      <w:r w:rsidR="00401551">
        <w:t>. It is therefore</w:t>
      </w:r>
      <w:r w:rsidR="00D83945">
        <w:t xml:space="preserve"> not </w:t>
      </w:r>
      <w:r w:rsidR="0095324F">
        <w:t>a</w:t>
      </w:r>
      <w:r w:rsidR="00D83945">
        <w:t>n issue on the papers as it remains unsubstantiated and ill-founded.</w:t>
      </w:r>
    </w:p>
    <w:p w14:paraId="2BFCE24F" w14:textId="0275A967" w:rsidR="00FB09C8" w:rsidRDefault="00445B20" w:rsidP="00445B20">
      <w:pPr>
        <w:pStyle w:val="Heading1"/>
        <w:numPr>
          <w:ilvl w:val="0"/>
          <w:numId w:val="0"/>
        </w:numPr>
        <w:tabs>
          <w:tab w:val="left" w:pos="862"/>
        </w:tabs>
        <w:ind w:left="862" w:hanging="862"/>
      </w:pPr>
      <w:r>
        <w:lastRenderedPageBreak/>
        <w:t>[44]</w:t>
      </w:r>
      <w:r>
        <w:tab/>
      </w:r>
      <w:r w:rsidR="00FB09C8">
        <w:t>Furthermore, the standard terms of the loan agreements, clause 8.7 thereof, provide that the respondent would not be entitled to deduct any amount which he owed to the applicant from any amount owing or which may become owing by the applicant to him arising from the agreement.</w:t>
      </w:r>
      <w:r w:rsidR="00FB09C8">
        <w:rPr>
          <w:rStyle w:val="FootnoteReference"/>
        </w:rPr>
        <w:footnoteReference w:id="23"/>
      </w:r>
      <w:r w:rsidR="00FB09C8">
        <w:t xml:space="preserve">  </w:t>
      </w:r>
    </w:p>
    <w:p w14:paraId="700504CA" w14:textId="3D9E7184" w:rsidR="00BA5EFF" w:rsidRPr="00BA5EFF" w:rsidRDefault="00445B20" w:rsidP="00445B20">
      <w:pPr>
        <w:pStyle w:val="Heading1"/>
        <w:numPr>
          <w:ilvl w:val="0"/>
          <w:numId w:val="0"/>
        </w:numPr>
        <w:tabs>
          <w:tab w:val="left" w:pos="862"/>
        </w:tabs>
        <w:ind w:left="862" w:hanging="862"/>
      </w:pPr>
      <w:r w:rsidRPr="00BA5EFF">
        <w:t>[45]</w:t>
      </w:r>
      <w:r w:rsidRPr="00BA5EFF">
        <w:tab/>
      </w:r>
      <w:r w:rsidR="003F7F58">
        <w:rPr>
          <w:bCs/>
        </w:rPr>
        <w:t xml:space="preserve">The respondent’s counsel, instead, latched </w:t>
      </w:r>
      <w:r w:rsidR="00D83945">
        <w:rPr>
          <w:bCs/>
        </w:rPr>
        <w:t xml:space="preserve">onto the </w:t>
      </w:r>
      <w:proofErr w:type="spellStart"/>
      <w:r w:rsidR="00D83945" w:rsidRPr="00D83945">
        <w:rPr>
          <w:bCs/>
          <w:i/>
          <w:iCs/>
        </w:rPr>
        <w:t>parat</w:t>
      </w:r>
      <w:r w:rsidR="00D01337">
        <w:rPr>
          <w:bCs/>
          <w:i/>
          <w:iCs/>
        </w:rPr>
        <w:t>e</w:t>
      </w:r>
      <w:proofErr w:type="spellEnd"/>
      <w:r w:rsidR="00D83945" w:rsidRPr="00D83945">
        <w:rPr>
          <w:bCs/>
          <w:i/>
          <w:iCs/>
        </w:rPr>
        <w:t xml:space="preserve"> </w:t>
      </w:r>
      <w:proofErr w:type="spellStart"/>
      <w:r w:rsidR="00D83945" w:rsidRPr="00D83945">
        <w:rPr>
          <w:bCs/>
          <w:i/>
          <w:iCs/>
        </w:rPr>
        <w:t>executie</w:t>
      </w:r>
      <w:proofErr w:type="spellEnd"/>
      <w:r w:rsidR="00D83945">
        <w:rPr>
          <w:bCs/>
        </w:rPr>
        <w:t xml:space="preserve"> </w:t>
      </w:r>
      <w:r w:rsidR="006A7E78">
        <w:rPr>
          <w:bCs/>
        </w:rPr>
        <w:t>principle</w:t>
      </w:r>
      <w:r w:rsidR="003F7F58">
        <w:rPr>
          <w:bCs/>
        </w:rPr>
        <w:t>.</w:t>
      </w:r>
      <w:r w:rsidR="00D83945">
        <w:rPr>
          <w:bCs/>
        </w:rPr>
        <w:t xml:space="preserve"> </w:t>
      </w:r>
      <w:r w:rsidR="006A7E78">
        <w:t xml:space="preserve">The submission was that the special power of attorney permitted the applicant to sell the properties without instituting legal proceedings.  </w:t>
      </w:r>
      <w:r w:rsidR="00BA5EFF">
        <w:rPr>
          <w:bCs/>
        </w:rPr>
        <w:t>It was also submitted</w:t>
      </w:r>
      <w:r w:rsidR="003F7F58">
        <w:rPr>
          <w:bCs/>
        </w:rPr>
        <w:t xml:space="preserve"> </w:t>
      </w:r>
      <w:r w:rsidR="00BA5EFF">
        <w:rPr>
          <w:bCs/>
        </w:rPr>
        <w:t>that</w:t>
      </w:r>
      <w:r w:rsidR="00FE2D46">
        <w:rPr>
          <w:bCs/>
        </w:rPr>
        <w:t xml:space="preserve"> the respondent sought to rely on</w:t>
      </w:r>
      <w:r w:rsidR="00BA5EFF">
        <w:rPr>
          <w:bCs/>
        </w:rPr>
        <w:t xml:space="preserve"> </w:t>
      </w:r>
      <w:r w:rsidR="0016682C">
        <w:rPr>
          <w:bCs/>
        </w:rPr>
        <w:t>Rule 46(a) of the Uniform Rules of Court dealing with execution against immovable property</w:t>
      </w:r>
      <w:r w:rsidR="003F7F58">
        <w:rPr>
          <w:bCs/>
        </w:rPr>
        <w:t xml:space="preserve">. </w:t>
      </w:r>
      <w:r w:rsidR="00FE2D46">
        <w:rPr>
          <w:bCs/>
        </w:rPr>
        <w:t>The contention was that th</w:t>
      </w:r>
      <w:r w:rsidR="003F7F58">
        <w:rPr>
          <w:bCs/>
        </w:rPr>
        <w:t>ese</w:t>
      </w:r>
      <w:r w:rsidR="00FE2D46">
        <w:rPr>
          <w:bCs/>
        </w:rPr>
        <w:t xml:space="preserve"> w</w:t>
      </w:r>
      <w:r w:rsidR="003F7F58">
        <w:rPr>
          <w:bCs/>
        </w:rPr>
        <w:t>ere</w:t>
      </w:r>
      <w:r w:rsidR="00FE2D46">
        <w:rPr>
          <w:bCs/>
        </w:rPr>
        <w:t xml:space="preserve"> </w:t>
      </w:r>
      <w:r w:rsidR="003F7F58">
        <w:rPr>
          <w:bCs/>
        </w:rPr>
        <w:t>the</w:t>
      </w:r>
      <w:r w:rsidR="00FE2D46">
        <w:rPr>
          <w:bCs/>
        </w:rPr>
        <w:t xml:space="preserve"> dispute</w:t>
      </w:r>
      <w:r w:rsidR="003F7F58">
        <w:rPr>
          <w:bCs/>
        </w:rPr>
        <w:t>s</w:t>
      </w:r>
      <w:r w:rsidR="00FE2D46">
        <w:rPr>
          <w:bCs/>
        </w:rPr>
        <w:t xml:space="preserve"> supporting the</w:t>
      </w:r>
      <w:r w:rsidR="00BA5EFF">
        <w:rPr>
          <w:bCs/>
        </w:rPr>
        <w:t xml:space="preserve"> </w:t>
      </w:r>
      <w:r w:rsidR="0016682C">
        <w:rPr>
          <w:bCs/>
        </w:rPr>
        <w:t>application</w:t>
      </w:r>
      <w:r w:rsidR="00FE2D46">
        <w:rPr>
          <w:bCs/>
        </w:rPr>
        <w:t xml:space="preserve"> for a </w:t>
      </w:r>
      <w:r w:rsidR="0016682C">
        <w:rPr>
          <w:bCs/>
        </w:rPr>
        <w:t>referr</w:t>
      </w:r>
      <w:r w:rsidR="00FE2D46">
        <w:rPr>
          <w:bCs/>
        </w:rPr>
        <w:t>al</w:t>
      </w:r>
      <w:r w:rsidR="0016682C">
        <w:rPr>
          <w:bCs/>
        </w:rPr>
        <w:t xml:space="preserve"> to trial.  </w:t>
      </w:r>
    </w:p>
    <w:p w14:paraId="18357795" w14:textId="7A0F723C" w:rsidR="00D83945" w:rsidRPr="00D83945" w:rsidRDefault="00445B20" w:rsidP="00445B20">
      <w:pPr>
        <w:pStyle w:val="Heading1"/>
        <w:numPr>
          <w:ilvl w:val="0"/>
          <w:numId w:val="0"/>
        </w:numPr>
        <w:tabs>
          <w:tab w:val="left" w:pos="862"/>
        </w:tabs>
        <w:ind w:left="862" w:hanging="862"/>
      </w:pPr>
      <w:r w:rsidRPr="00D83945">
        <w:t>[46]</w:t>
      </w:r>
      <w:r w:rsidRPr="00D83945">
        <w:tab/>
      </w:r>
      <w:r w:rsidR="003F7F58">
        <w:rPr>
          <w:bCs/>
        </w:rPr>
        <w:t xml:space="preserve">These alleged </w:t>
      </w:r>
      <w:r w:rsidR="00D83945">
        <w:rPr>
          <w:bCs/>
        </w:rPr>
        <w:t>disputes</w:t>
      </w:r>
      <w:r w:rsidR="0095324F">
        <w:rPr>
          <w:bCs/>
        </w:rPr>
        <w:t xml:space="preserve"> are</w:t>
      </w:r>
      <w:r w:rsidR="003F7F58">
        <w:rPr>
          <w:bCs/>
        </w:rPr>
        <w:t xml:space="preserve"> not </w:t>
      </w:r>
      <w:r w:rsidR="00D83945">
        <w:rPr>
          <w:bCs/>
        </w:rPr>
        <w:t xml:space="preserve">evident from the </w:t>
      </w:r>
      <w:r w:rsidR="003F7F58">
        <w:rPr>
          <w:bCs/>
        </w:rPr>
        <w:t>answering affidavit</w:t>
      </w:r>
      <w:r w:rsidR="00D83945">
        <w:rPr>
          <w:bCs/>
        </w:rPr>
        <w:t xml:space="preserve"> </w:t>
      </w:r>
      <w:r w:rsidR="003F7F58">
        <w:rPr>
          <w:bCs/>
        </w:rPr>
        <w:t>as they were not raised by the respondent</w:t>
      </w:r>
      <w:r w:rsidR="00D83945">
        <w:rPr>
          <w:bCs/>
        </w:rPr>
        <w:t xml:space="preserve">.  </w:t>
      </w:r>
    </w:p>
    <w:p w14:paraId="3092BAC7" w14:textId="195C03EE" w:rsidR="00D83945" w:rsidRPr="00D83945" w:rsidRDefault="00445B20" w:rsidP="00445B20">
      <w:pPr>
        <w:pStyle w:val="Heading1"/>
        <w:numPr>
          <w:ilvl w:val="0"/>
          <w:numId w:val="0"/>
        </w:numPr>
        <w:tabs>
          <w:tab w:val="left" w:pos="862"/>
        </w:tabs>
        <w:ind w:left="862" w:hanging="862"/>
      </w:pPr>
      <w:r w:rsidRPr="00D83945">
        <w:t>[47]</w:t>
      </w:r>
      <w:r w:rsidRPr="00D83945">
        <w:tab/>
      </w:r>
      <w:r w:rsidR="0016682C">
        <w:rPr>
          <w:bCs/>
        </w:rPr>
        <w:t>The respondent’s counsel was unable to supply the Court with any of the authorities upon which he sought to rely</w:t>
      </w:r>
      <w:r w:rsidR="00FE2D46">
        <w:rPr>
          <w:bCs/>
        </w:rPr>
        <w:t>, having not made copies thereof for the Court or his opponent.</w:t>
      </w:r>
      <w:r w:rsidR="00BA5EFF">
        <w:rPr>
          <w:bCs/>
        </w:rPr>
        <w:t xml:space="preserve"> He</w:t>
      </w:r>
      <w:r w:rsidR="0016682C">
        <w:rPr>
          <w:bCs/>
        </w:rPr>
        <w:t xml:space="preserve"> then sought to request that the matter be postponed or stood down to afford him an opportunity to file supplementary heads of argument</w:t>
      </w:r>
      <w:r w:rsidR="003815E3">
        <w:rPr>
          <w:bCs/>
        </w:rPr>
        <w:t>. This,</w:t>
      </w:r>
      <w:r w:rsidR="0016682C">
        <w:rPr>
          <w:bCs/>
        </w:rPr>
        <w:t xml:space="preserve"> in circumstances where his heads had been </w:t>
      </w:r>
      <w:r w:rsidR="00147F27">
        <w:rPr>
          <w:bCs/>
        </w:rPr>
        <w:t>signed</w:t>
      </w:r>
      <w:r w:rsidR="00D83945">
        <w:rPr>
          <w:bCs/>
        </w:rPr>
        <w:t>,</w:t>
      </w:r>
      <w:r w:rsidR="00147F27">
        <w:rPr>
          <w:bCs/>
        </w:rPr>
        <w:t xml:space="preserve"> on 14 January </w:t>
      </w:r>
      <w:proofErr w:type="gramStart"/>
      <w:r w:rsidR="00147F27">
        <w:rPr>
          <w:bCs/>
        </w:rPr>
        <w:t>2016</w:t>
      </w:r>
      <w:r w:rsidR="00D83945">
        <w:rPr>
          <w:bCs/>
        </w:rPr>
        <w:t xml:space="preserve">, </w:t>
      </w:r>
      <w:r w:rsidR="003F7F58">
        <w:rPr>
          <w:bCs/>
        </w:rPr>
        <w:t xml:space="preserve"> and</w:t>
      </w:r>
      <w:proofErr w:type="gramEnd"/>
      <w:r w:rsidR="003F7F58">
        <w:rPr>
          <w:bCs/>
        </w:rPr>
        <w:t xml:space="preserve"> </w:t>
      </w:r>
      <w:r w:rsidR="00D83945">
        <w:rPr>
          <w:bCs/>
        </w:rPr>
        <w:t>which</w:t>
      </w:r>
      <w:r w:rsidR="0095324F">
        <w:rPr>
          <w:bCs/>
        </w:rPr>
        <w:t xml:space="preserve"> heads</w:t>
      </w:r>
      <w:r w:rsidR="00D83945">
        <w:rPr>
          <w:bCs/>
        </w:rPr>
        <w:t xml:space="preserve"> he </w:t>
      </w:r>
      <w:r w:rsidR="003F7F58">
        <w:rPr>
          <w:bCs/>
        </w:rPr>
        <w:t>said</w:t>
      </w:r>
      <w:r w:rsidR="00147F27">
        <w:rPr>
          <w:bCs/>
        </w:rPr>
        <w:t xml:space="preserve"> </w:t>
      </w:r>
      <w:r w:rsidR="0016682C">
        <w:rPr>
          <w:bCs/>
        </w:rPr>
        <w:t>did not properly deal with the submissions that he sought to make</w:t>
      </w:r>
      <w:r w:rsidR="0095324F">
        <w:rPr>
          <w:bCs/>
        </w:rPr>
        <w:t xml:space="preserve"> </w:t>
      </w:r>
      <w:r w:rsidR="003815E3">
        <w:rPr>
          <w:bCs/>
        </w:rPr>
        <w:t>now</w:t>
      </w:r>
      <w:r w:rsidR="0016682C">
        <w:rPr>
          <w:bCs/>
        </w:rPr>
        <w:t>.</w:t>
      </w:r>
    </w:p>
    <w:p w14:paraId="7E579678" w14:textId="5F63F933" w:rsidR="00BA5EFF" w:rsidRPr="00BA5EFF" w:rsidRDefault="00445B20" w:rsidP="00445B20">
      <w:pPr>
        <w:pStyle w:val="Heading1"/>
        <w:numPr>
          <w:ilvl w:val="0"/>
          <w:numId w:val="0"/>
        </w:numPr>
        <w:tabs>
          <w:tab w:val="left" w:pos="862"/>
        </w:tabs>
        <w:ind w:left="862" w:hanging="862"/>
      </w:pPr>
      <w:r w:rsidRPr="00BA5EFF">
        <w:t>[48]</w:t>
      </w:r>
      <w:r w:rsidRPr="00BA5EFF">
        <w:tab/>
      </w:r>
      <w:r w:rsidR="00737AB7">
        <w:rPr>
          <w:bCs/>
        </w:rPr>
        <w:t xml:space="preserve">I refused the indulgence which the respondent’s counsel sought on the basis that the application </w:t>
      </w:r>
      <w:proofErr w:type="gramStart"/>
      <w:r w:rsidR="00737AB7">
        <w:rPr>
          <w:bCs/>
        </w:rPr>
        <w:t>had  commenced</w:t>
      </w:r>
      <w:proofErr w:type="gramEnd"/>
      <w:r w:rsidR="00BA5EFF">
        <w:rPr>
          <w:bCs/>
        </w:rPr>
        <w:t xml:space="preserve"> in</w:t>
      </w:r>
      <w:r w:rsidR="00737AB7">
        <w:rPr>
          <w:bCs/>
        </w:rPr>
        <w:t xml:space="preserve"> July 2015 –</w:t>
      </w:r>
      <w:r w:rsidR="00737AB7">
        <w:t xml:space="preserve"> </w:t>
      </w:r>
      <w:r w:rsidR="00737AB7" w:rsidRPr="00737AB7">
        <w:rPr>
          <w:bCs/>
        </w:rPr>
        <w:t xml:space="preserve">almost </w:t>
      </w:r>
      <w:r w:rsidR="00D83945">
        <w:rPr>
          <w:bCs/>
        </w:rPr>
        <w:t>seven</w:t>
      </w:r>
      <w:r w:rsidR="00737AB7" w:rsidRPr="00737AB7">
        <w:rPr>
          <w:bCs/>
        </w:rPr>
        <w:t xml:space="preserve"> years prior to the hearing before me.</w:t>
      </w:r>
      <w:r w:rsidR="00737AB7">
        <w:rPr>
          <w:bCs/>
        </w:rPr>
        <w:t xml:space="preserve">  Furthermore, the respondent had been afforded opportunities to file supplementary affidavits</w:t>
      </w:r>
      <w:r w:rsidR="003815E3">
        <w:rPr>
          <w:bCs/>
        </w:rPr>
        <w:t>, and place further defences before me</w:t>
      </w:r>
      <w:r w:rsidR="00737AB7">
        <w:rPr>
          <w:bCs/>
        </w:rPr>
        <w:t xml:space="preserve"> and had elected not to do so.  In addition, the respondent had</w:t>
      </w:r>
      <w:r w:rsidR="003815E3">
        <w:rPr>
          <w:bCs/>
        </w:rPr>
        <w:t xml:space="preserve"> some</w:t>
      </w:r>
      <w:r w:rsidR="00147F27">
        <w:rPr>
          <w:bCs/>
        </w:rPr>
        <w:t xml:space="preserve"> 6 </w:t>
      </w:r>
      <w:r w:rsidR="003815E3">
        <w:rPr>
          <w:bCs/>
        </w:rPr>
        <w:t>years to file further</w:t>
      </w:r>
      <w:r w:rsidR="00737AB7">
        <w:rPr>
          <w:bCs/>
        </w:rPr>
        <w:t xml:space="preserve"> heads of argument and had </w:t>
      </w:r>
      <w:r w:rsidR="003815E3">
        <w:rPr>
          <w:bCs/>
        </w:rPr>
        <w:t>not done so.</w:t>
      </w:r>
      <w:r w:rsidR="00737AB7">
        <w:rPr>
          <w:bCs/>
        </w:rPr>
        <w:t xml:space="preserve"> </w:t>
      </w:r>
      <w:r w:rsidR="00B34022">
        <w:rPr>
          <w:bCs/>
        </w:rPr>
        <w:t>T</w:t>
      </w:r>
      <w:r w:rsidR="00737AB7">
        <w:rPr>
          <w:bCs/>
        </w:rPr>
        <w:t xml:space="preserve">here was no formal application before me to explain this </w:t>
      </w:r>
      <w:r w:rsidR="00737AB7">
        <w:rPr>
          <w:bCs/>
        </w:rPr>
        <w:lastRenderedPageBreak/>
        <w:t xml:space="preserve">dilatory behaviour. </w:t>
      </w:r>
      <w:r w:rsidR="00B34022">
        <w:rPr>
          <w:bCs/>
        </w:rPr>
        <w:t>When</w:t>
      </w:r>
      <w:r w:rsidR="003F7F58">
        <w:rPr>
          <w:bCs/>
        </w:rPr>
        <w:t xml:space="preserve"> I </w:t>
      </w:r>
      <w:r w:rsidR="00B34022">
        <w:rPr>
          <w:bCs/>
        </w:rPr>
        <w:t>requested an explanation</w:t>
      </w:r>
      <w:r w:rsidR="003F7F58">
        <w:rPr>
          <w:bCs/>
        </w:rPr>
        <w:t xml:space="preserve"> therefor</w:t>
      </w:r>
      <w:r w:rsidR="00D83945">
        <w:rPr>
          <w:bCs/>
        </w:rPr>
        <w:t>,</w:t>
      </w:r>
      <w:r w:rsidR="00B34022">
        <w:rPr>
          <w:bCs/>
        </w:rPr>
        <w:t xml:space="preserve"> the respondent’s counsel repeatedly stated that it was in the respondent’s interests. I also enquired whether an instruction had been given to counsel </w:t>
      </w:r>
      <w:r w:rsidR="004C7DE5">
        <w:rPr>
          <w:bCs/>
        </w:rPr>
        <w:t>to seek</w:t>
      </w:r>
      <w:r w:rsidR="00B34022">
        <w:rPr>
          <w:bCs/>
        </w:rPr>
        <w:t xml:space="preserve"> a postponement</w:t>
      </w:r>
      <w:r w:rsidR="003F7F58">
        <w:rPr>
          <w:bCs/>
        </w:rPr>
        <w:t>. The respondent’s counsel then</w:t>
      </w:r>
      <w:r w:rsidR="00B34022">
        <w:rPr>
          <w:bCs/>
        </w:rPr>
        <w:t xml:space="preserve"> </w:t>
      </w:r>
      <w:r w:rsidR="003F7F58">
        <w:rPr>
          <w:bCs/>
        </w:rPr>
        <w:t xml:space="preserve">took an </w:t>
      </w:r>
      <w:r w:rsidR="00B34022">
        <w:rPr>
          <w:bCs/>
        </w:rPr>
        <w:t>instruction in Court from the respondent’s legal representative who was in attendance. I</w:t>
      </w:r>
      <w:r w:rsidR="00BA5EFF">
        <w:rPr>
          <w:bCs/>
        </w:rPr>
        <w:t>n requesting the postponement</w:t>
      </w:r>
      <w:r w:rsidR="003F7F58">
        <w:rPr>
          <w:bCs/>
        </w:rPr>
        <w:t>,</w:t>
      </w:r>
      <w:r w:rsidR="00BA5EFF">
        <w:rPr>
          <w:bCs/>
        </w:rPr>
        <w:t xml:space="preserve"> the respondent’s counsel sought to allow for the respondent to provide</w:t>
      </w:r>
      <w:r w:rsidR="00B34022">
        <w:rPr>
          <w:bCs/>
        </w:rPr>
        <w:t xml:space="preserve"> the </w:t>
      </w:r>
      <w:r w:rsidR="003F7F58">
        <w:rPr>
          <w:bCs/>
        </w:rPr>
        <w:t>missing pages to the</w:t>
      </w:r>
      <w:r w:rsidR="00BA5EFF">
        <w:rPr>
          <w:bCs/>
        </w:rPr>
        <w:t xml:space="preserve"> valuation</w:t>
      </w:r>
      <w:r w:rsidR="003F7F58">
        <w:rPr>
          <w:bCs/>
        </w:rPr>
        <w:t xml:space="preserve"> attached to the answering affidavit</w:t>
      </w:r>
      <w:r w:rsidR="00BA5EFF">
        <w:rPr>
          <w:bCs/>
        </w:rPr>
        <w:t>. This was all at the eleventh hour.  The postponement application was not well-motivated or seriously pursued</w:t>
      </w:r>
      <w:r w:rsidR="003F7F58">
        <w:rPr>
          <w:bCs/>
        </w:rPr>
        <w:t>, to my mind,</w:t>
      </w:r>
      <w:r w:rsidR="00BA5EFF">
        <w:rPr>
          <w:bCs/>
        </w:rPr>
        <w:t xml:space="preserve"> and refused. </w:t>
      </w:r>
      <w:r w:rsidR="00737AB7">
        <w:rPr>
          <w:bCs/>
        </w:rPr>
        <w:t>Furthermore, the applicant was ready to argue the application and the</w:t>
      </w:r>
      <w:r w:rsidR="003F7F58">
        <w:rPr>
          <w:bCs/>
        </w:rPr>
        <w:t xml:space="preserve"> prejudice to the applicant was</w:t>
      </w:r>
      <w:r w:rsidR="006A7E78">
        <w:rPr>
          <w:bCs/>
        </w:rPr>
        <w:t xml:space="preserve"> clear. The</w:t>
      </w:r>
      <w:r w:rsidR="00737AB7">
        <w:rPr>
          <w:bCs/>
        </w:rPr>
        <w:t xml:space="preserve"> Court would </w:t>
      </w:r>
      <w:r w:rsidR="006A7E78">
        <w:rPr>
          <w:bCs/>
        </w:rPr>
        <w:t xml:space="preserve">also </w:t>
      </w:r>
      <w:r w:rsidR="00737AB7">
        <w:rPr>
          <w:bCs/>
        </w:rPr>
        <w:t>not be inconvenienced in circumstances where the respondent was the soldier of his own misfortune.</w:t>
      </w:r>
    </w:p>
    <w:p w14:paraId="0EAF66C4" w14:textId="514F0447" w:rsidR="00C56227" w:rsidRPr="00192FF5" w:rsidRDefault="00445B20" w:rsidP="00445B20">
      <w:pPr>
        <w:pStyle w:val="Heading1"/>
        <w:numPr>
          <w:ilvl w:val="0"/>
          <w:numId w:val="0"/>
        </w:numPr>
        <w:tabs>
          <w:tab w:val="left" w:pos="862"/>
        </w:tabs>
        <w:ind w:left="862" w:hanging="862"/>
      </w:pPr>
      <w:r w:rsidRPr="00192FF5">
        <w:t>[49]</w:t>
      </w:r>
      <w:r w:rsidRPr="00192FF5">
        <w:tab/>
      </w:r>
      <w:r w:rsidR="00737AB7">
        <w:rPr>
          <w:bCs/>
        </w:rPr>
        <w:t xml:space="preserve">The respondent’s counsel also sought to question the veracity of the amounts certified in the certificates of balance. </w:t>
      </w:r>
      <w:r w:rsidR="00192FF5">
        <w:rPr>
          <w:bCs/>
        </w:rPr>
        <w:t>The submission made w</w:t>
      </w:r>
      <w:r w:rsidR="00623689">
        <w:rPr>
          <w:bCs/>
        </w:rPr>
        <w:t>as</w:t>
      </w:r>
      <w:r w:rsidR="00192FF5">
        <w:rPr>
          <w:bCs/>
        </w:rPr>
        <w:t xml:space="preserve"> that </w:t>
      </w:r>
      <w:r w:rsidR="002E36E9">
        <w:rPr>
          <w:bCs/>
        </w:rPr>
        <w:t xml:space="preserve">interest had been levied </w:t>
      </w:r>
      <w:r w:rsidR="00623689">
        <w:rPr>
          <w:bCs/>
        </w:rPr>
        <w:t xml:space="preserve">on the bank costs </w:t>
      </w:r>
      <w:r w:rsidR="002E36E9">
        <w:rPr>
          <w:bCs/>
        </w:rPr>
        <w:t xml:space="preserve">which </w:t>
      </w:r>
      <w:r w:rsidR="00192FF5">
        <w:rPr>
          <w:bCs/>
        </w:rPr>
        <w:t xml:space="preserve">it </w:t>
      </w:r>
      <w:r w:rsidR="002E36E9">
        <w:rPr>
          <w:bCs/>
        </w:rPr>
        <w:t xml:space="preserve">was submitted was unlawful and that this should be a separate amount.  </w:t>
      </w:r>
      <w:r w:rsidR="00623689">
        <w:rPr>
          <w:bCs/>
        </w:rPr>
        <w:t xml:space="preserve">However, there was no evidence in the answering affidavit setting out where there had been a miscalculation. </w:t>
      </w:r>
    </w:p>
    <w:p w14:paraId="58C2D493" w14:textId="00CCF13B" w:rsidR="00623689" w:rsidRDefault="00445B20" w:rsidP="00445B20">
      <w:pPr>
        <w:pStyle w:val="Heading1"/>
        <w:numPr>
          <w:ilvl w:val="0"/>
          <w:numId w:val="0"/>
        </w:numPr>
        <w:tabs>
          <w:tab w:val="left" w:pos="862"/>
        </w:tabs>
        <w:ind w:left="862" w:hanging="862"/>
      </w:pPr>
      <w:r>
        <w:t>[50]</w:t>
      </w:r>
      <w:r>
        <w:tab/>
      </w:r>
      <w:r w:rsidR="00623689">
        <w:t>I</w:t>
      </w:r>
      <w:r w:rsidR="00192FF5">
        <w:t xml:space="preserve">t was also submitted to me by respondent’s </w:t>
      </w:r>
      <w:proofErr w:type="gramStart"/>
      <w:r w:rsidR="00192FF5">
        <w:t xml:space="preserve">counsel, </w:t>
      </w:r>
      <w:r w:rsidR="00623689">
        <w:t xml:space="preserve"> again</w:t>
      </w:r>
      <w:proofErr w:type="gramEnd"/>
      <w:r w:rsidR="00623689">
        <w:t xml:space="preserve"> </w:t>
      </w:r>
      <w:r w:rsidR="00192FF5">
        <w:t>from the bar, that because no bank statements had been annexed to the papers and  the amount claimed in the Notice of Motion did not accord with the amounts set out in the certificates of balance</w:t>
      </w:r>
      <w:r w:rsidR="00623689">
        <w:t>, this also upset the certificates of balance.</w:t>
      </w:r>
      <w:r w:rsidR="00192FF5">
        <w:t xml:space="preserve"> As is clearly set out by the applicant, the amended certificates of balance reflect the reduction of the indebtedness by the R12 000 000,00 purchase price</w:t>
      </w:r>
      <w:r w:rsidR="00623689">
        <w:t>. The</w:t>
      </w:r>
      <w:r w:rsidR="00192FF5">
        <w:t xml:space="preserve"> sale</w:t>
      </w:r>
      <w:r w:rsidR="00623689">
        <w:t xml:space="preserve"> of the properties</w:t>
      </w:r>
      <w:r w:rsidR="00192FF5">
        <w:t xml:space="preserve"> was </w:t>
      </w:r>
      <w:proofErr w:type="gramStart"/>
      <w:r w:rsidR="00192FF5">
        <w:t>registered</w:t>
      </w:r>
      <w:proofErr w:type="gramEnd"/>
      <w:r w:rsidR="00192FF5">
        <w:t xml:space="preserve"> and payment made on 19 August 2015, subsequent the institution of the application.  Furthermore, it was not necessary for</w:t>
      </w:r>
      <w:r w:rsidR="00623689">
        <w:t xml:space="preserve"> the applicant to disclose</w:t>
      </w:r>
      <w:r w:rsidR="00192FF5">
        <w:t xml:space="preserve"> bank statements in circumstances where the loan agreements made provision for certificates of balance to be relied upon as evidence.</w:t>
      </w:r>
    </w:p>
    <w:p w14:paraId="73468C3C" w14:textId="57F8D9EB" w:rsidR="00192FF5" w:rsidRDefault="00445B20" w:rsidP="00445B20">
      <w:pPr>
        <w:pStyle w:val="Heading1"/>
        <w:numPr>
          <w:ilvl w:val="0"/>
          <w:numId w:val="0"/>
        </w:numPr>
        <w:tabs>
          <w:tab w:val="left" w:pos="862"/>
        </w:tabs>
        <w:ind w:left="862" w:hanging="862"/>
      </w:pPr>
      <w:r>
        <w:lastRenderedPageBreak/>
        <w:t>[51]</w:t>
      </w:r>
      <w:r>
        <w:tab/>
      </w:r>
      <w:r w:rsidR="00192FF5">
        <w:t xml:space="preserve">The </w:t>
      </w:r>
      <w:r w:rsidR="00623689">
        <w:t xml:space="preserve">respondent’s </w:t>
      </w:r>
      <w:r w:rsidR="00192FF5">
        <w:t xml:space="preserve">answering affidavit did little to take issue with the certificates of balance other than a bald allegation that the interest rate was not correctly calculated and deducted and that the respondent did not receive notice </w:t>
      </w:r>
      <w:proofErr w:type="gramStart"/>
      <w:r w:rsidR="00192FF5">
        <w:t>of  interest</w:t>
      </w:r>
      <w:proofErr w:type="gramEnd"/>
      <w:r w:rsidR="00192FF5">
        <w:t xml:space="preserve"> rate changes, </w:t>
      </w:r>
      <w:r w:rsidR="00623689">
        <w:t xml:space="preserve"> all of which was </w:t>
      </w:r>
      <w:r w:rsidR="00192FF5">
        <w:t>denied by the applicant</w:t>
      </w:r>
      <w:r w:rsidR="00623689">
        <w:t>.</w:t>
      </w:r>
      <w:r w:rsidR="00192FF5">
        <w:t xml:space="preserve"> </w:t>
      </w:r>
    </w:p>
    <w:p w14:paraId="747EC9A9" w14:textId="4172461F" w:rsidR="00192FF5" w:rsidRDefault="00445B20" w:rsidP="00445B20">
      <w:pPr>
        <w:pStyle w:val="Heading1"/>
        <w:numPr>
          <w:ilvl w:val="0"/>
          <w:numId w:val="0"/>
        </w:numPr>
        <w:tabs>
          <w:tab w:val="left" w:pos="862"/>
        </w:tabs>
        <w:ind w:left="862" w:hanging="862"/>
      </w:pPr>
      <w:r>
        <w:t>[52]</w:t>
      </w:r>
      <w:r>
        <w:tab/>
      </w:r>
      <w:r w:rsidR="00192FF5">
        <w:t>Th</w:t>
      </w:r>
      <w:r w:rsidR="00623689">
        <w:t>ese submissions on their own</w:t>
      </w:r>
      <w:r w:rsidR="00192FF5">
        <w:t xml:space="preserve"> do</w:t>
      </w:r>
      <w:r w:rsidR="00623689">
        <w:t xml:space="preserve"> </w:t>
      </w:r>
      <w:r w:rsidR="00192FF5">
        <w:t xml:space="preserve">not suffice to displace the </w:t>
      </w:r>
      <w:r w:rsidR="00192FF5" w:rsidRPr="00C14423">
        <w:rPr>
          <w:i/>
        </w:rPr>
        <w:t>prima facie</w:t>
      </w:r>
      <w:r w:rsidR="00192FF5">
        <w:t xml:space="preserve"> proof of the certificates.</w:t>
      </w:r>
    </w:p>
    <w:p w14:paraId="3F0B5FF1" w14:textId="7C937EBE" w:rsidR="00192FF5" w:rsidRDefault="00445B20" w:rsidP="00445B20">
      <w:pPr>
        <w:pStyle w:val="Heading1"/>
        <w:numPr>
          <w:ilvl w:val="0"/>
          <w:numId w:val="0"/>
        </w:numPr>
        <w:tabs>
          <w:tab w:val="left" w:pos="862"/>
        </w:tabs>
        <w:ind w:left="862" w:hanging="862"/>
      </w:pPr>
      <w:r>
        <w:t>[53]</w:t>
      </w:r>
      <w:r>
        <w:tab/>
      </w:r>
      <w:r w:rsidR="00192FF5">
        <w:t xml:space="preserve">In the decision of </w:t>
      </w:r>
      <w:proofErr w:type="spellStart"/>
      <w:r w:rsidR="00192FF5">
        <w:t>Nestadt</w:t>
      </w:r>
      <w:proofErr w:type="spellEnd"/>
      <w:r w:rsidR="00192FF5">
        <w:t xml:space="preserve"> J in </w:t>
      </w:r>
      <w:r w:rsidR="00192FF5">
        <w:rPr>
          <w:b/>
          <w:bCs/>
          <w:i/>
          <w:iCs/>
        </w:rPr>
        <w:t>Trust Bank of South Africa Ltd v Senekal</w:t>
      </w:r>
      <w:r w:rsidR="00192FF5" w:rsidRPr="00FF0F2C">
        <w:t>:</w:t>
      </w:r>
      <w:r w:rsidR="00192FF5" w:rsidRPr="00FF0F2C">
        <w:rPr>
          <w:rStyle w:val="FootnoteReference"/>
        </w:rPr>
        <w:footnoteReference w:id="24"/>
      </w:r>
    </w:p>
    <w:p w14:paraId="326C6AA8" w14:textId="77777777" w:rsidR="00192FF5" w:rsidRDefault="00192FF5" w:rsidP="00192FF5">
      <w:pPr>
        <w:ind w:left="1871" w:hanging="1871"/>
        <w:rPr>
          <w:i/>
          <w:iCs/>
        </w:rPr>
      </w:pPr>
      <w:r>
        <w:tab/>
      </w:r>
      <w:r>
        <w:tab/>
      </w:r>
      <w:r>
        <w:rPr>
          <w:i/>
          <w:iCs/>
        </w:rPr>
        <w:t xml:space="preserve">“To the same effect is the opinion of BLOCH, J., in R. v. Mantell, 1959 (1) SA 771 (C), that </w:t>
      </w:r>
      <w:r w:rsidRPr="00B158CB">
        <w:rPr>
          <w:i/>
          <w:iCs/>
        </w:rPr>
        <w:t>prima facie</w:t>
      </w:r>
      <w:r>
        <w:rPr>
          <w:i/>
          <w:iCs/>
        </w:rPr>
        <w:t xml:space="preserve"> evidence if unanswered would justify men of ordinary reason and fairness in affirming the question which the party on whom the onus lies is bound to maintain … How far the defendant’s evidence need go </w:t>
      </w:r>
      <w:proofErr w:type="gramStart"/>
      <w:r>
        <w:rPr>
          <w:i/>
          <w:iCs/>
        </w:rPr>
        <w:t>in order to</w:t>
      </w:r>
      <w:proofErr w:type="gramEnd"/>
      <w:r>
        <w:rPr>
          <w:i/>
          <w:iCs/>
        </w:rPr>
        <w:t xml:space="preserve"> answer a </w:t>
      </w:r>
      <w:r w:rsidRPr="003504CE">
        <w:rPr>
          <w:i/>
          <w:iCs/>
        </w:rPr>
        <w:t>prima facie</w:t>
      </w:r>
      <w:r>
        <w:rPr>
          <w:i/>
          <w:iCs/>
        </w:rPr>
        <w:t xml:space="preserve"> case depends on the facts of each particular case.  Whilst no onus of proof is cast on him, he must adduce evidence sufficient to destroy the </w:t>
      </w:r>
      <w:r w:rsidRPr="00DF4A7A">
        <w:rPr>
          <w:i/>
          <w:iCs/>
        </w:rPr>
        <w:t>prima facie</w:t>
      </w:r>
      <w:r>
        <w:rPr>
          <w:i/>
          <w:iCs/>
        </w:rPr>
        <w:t xml:space="preserve"> proof and thus prevent such proof from ripening into conclusive proof … Merely to cast suspicion on the correctness of the fact or facts </w:t>
      </w:r>
      <w:r w:rsidRPr="0012130E">
        <w:rPr>
          <w:i/>
          <w:iCs/>
        </w:rPr>
        <w:t>prima facie</w:t>
      </w:r>
      <w:r>
        <w:rPr>
          <w:i/>
          <w:iCs/>
        </w:rPr>
        <w:t xml:space="preserve"> established and mere theories or hypothetical suggestions will not avail the </w:t>
      </w:r>
      <w:proofErr w:type="gramStart"/>
      <w:r>
        <w:rPr>
          <w:i/>
          <w:iCs/>
        </w:rPr>
        <w:t>defendant;  the</w:t>
      </w:r>
      <w:proofErr w:type="gramEnd"/>
      <w:r>
        <w:rPr>
          <w:i/>
          <w:iCs/>
        </w:rPr>
        <w:t xml:space="preserve"> defendant’s answer must be based on some substantial foundation of fact …”</w:t>
      </w:r>
    </w:p>
    <w:p w14:paraId="7300729A" w14:textId="560E45AA" w:rsidR="00C56227" w:rsidRPr="00C56227" w:rsidRDefault="00445B20" w:rsidP="00445B20">
      <w:pPr>
        <w:pStyle w:val="Heading1"/>
        <w:numPr>
          <w:ilvl w:val="0"/>
          <w:numId w:val="0"/>
        </w:numPr>
        <w:tabs>
          <w:tab w:val="left" w:pos="862"/>
        </w:tabs>
        <w:ind w:left="862" w:hanging="862"/>
      </w:pPr>
      <w:r w:rsidRPr="00C56227">
        <w:t>[54]</w:t>
      </w:r>
      <w:r w:rsidRPr="00C56227">
        <w:tab/>
      </w:r>
      <w:r w:rsidR="00623689">
        <w:rPr>
          <w:bCs/>
        </w:rPr>
        <w:t xml:space="preserve">The </w:t>
      </w:r>
      <w:r w:rsidR="002E36E9">
        <w:rPr>
          <w:bCs/>
        </w:rPr>
        <w:t xml:space="preserve">respondent’s counsel conceded that he was not pursuing the </w:t>
      </w:r>
      <w:proofErr w:type="gramStart"/>
      <w:r w:rsidR="002E36E9">
        <w:rPr>
          <w:bCs/>
        </w:rPr>
        <w:t xml:space="preserve">point </w:t>
      </w:r>
      <w:r w:rsidR="00623689">
        <w:rPr>
          <w:bCs/>
        </w:rPr>
        <w:t xml:space="preserve"> on</w:t>
      </w:r>
      <w:proofErr w:type="gramEnd"/>
      <w:r w:rsidR="00623689">
        <w:rPr>
          <w:bCs/>
        </w:rPr>
        <w:t xml:space="preserve"> jurisdiction </w:t>
      </w:r>
      <w:r w:rsidR="002E36E9">
        <w:rPr>
          <w:bCs/>
        </w:rPr>
        <w:t xml:space="preserve">and that the Court did have jurisdiction.  </w:t>
      </w:r>
    </w:p>
    <w:p w14:paraId="5F8DA717" w14:textId="48ED637B" w:rsidR="00737AB7" w:rsidRPr="002E36E9" w:rsidRDefault="00445B20" w:rsidP="00445B20">
      <w:pPr>
        <w:pStyle w:val="Heading1"/>
        <w:numPr>
          <w:ilvl w:val="0"/>
          <w:numId w:val="0"/>
        </w:numPr>
        <w:tabs>
          <w:tab w:val="left" w:pos="862"/>
        </w:tabs>
        <w:ind w:left="862" w:hanging="862"/>
      </w:pPr>
      <w:r w:rsidRPr="002E36E9">
        <w:t>[55]</w:t>
      </w:r>
      <w:r w:rsidRPr="002E36E9">
        <w:tab/>
      </w:r>
      <w:r w:rsidR="00623689">
        <w:rPr>
          <w:bCs/>
        </w:rPr>
        <w:t>I</w:t>
      </w:r>
      <w:r w:rsidR="002E36E9">
        <w:rPr>
          <w:bCs/>
        </w:rPr>
        <w:t>t was</w:t>
      </w:r>
      <w:r w:rsidR="00623689">
        <w:rPr>
          <w:bCs/>
        </w:rPr>
        <w:t xml:space="preserve"> also</w:t>
      </w:r>
      <w:r w:rsidR="002E36E9">
        <w:rPr>
          <w:bCs/>
        </w:rPr>
        <w:t xml:space="preserve"> submitted to me that the respondent’s ineptitude in </w:t>
      </w:r>
      <w:r w:rsidR="006A7E78">
        <w:rPr>
          <w:bCs/>
        </w:rPr>
        <w:t xml:space="preserve">filing further affidavits </w:t>
      </w:r>
      <w:r w:rsidR="002E36E9">
        <w:rPr>
          <w:bCs/>
        </w:rPr>
        <w:t>could be put at the door of the applicant</w:t>
      </w:r>
      <w:r w:rsidR="00623689">
        <w:rPr>
          <w:bCs/>
        </w:rPr>
        <w:t>.</w:t>
      </w:r>
      <w:r w:rsidR="00C56227">
        <w:rPr>
          <w:bCs/>
        </w:rPr>
        <w:t xml:space="preserve"> </w:t>
      </w:r>
      <w:r w:rsidR="00623689">
        <w:rPr>
          <w:bCs/>
        </w:rPr>
        <w:t>T</w:t>
      </w:r>
      <w:r w:rsidR="00C56227">
        <w:rPr>
          <w:bCs/>
        </w:rPr>
        <w:t xml:space="preserve">his </w:t>
      </w:r>
      <w:r w:rsidR="00623689">
        <w:rPr>
          <w:bCs/>
        </w:rPr>
        <w:t>is incorrect.</w:t>
      </w:r>
      <w:r w:rsidR="002E36E9">
        <w:rPr>
          <w:bCs/>
        </w:rPr>
        <w:t xml:space="preserve"> </w:t>
      </w:r>
      <w:r w:rsidR="00623689">
        <w:rPr>
          <w:bCs/>
        </w:rPr>
        <w:lastRenderedPageBreak/>
        <w:t>A</w:t>
      </w:r>
      <w:r w:rsidR="002E36E9">
        <w:rPr>
          <w:bCs/>
        </w:rPr>
        <w:t xml:space="preserve">pplicant’s counsel referred to what had transpired in the matter </w:t>
      </w:r>
      <w:r w:rsidR="006A7E78">
        <w:rPr>
          <w:bCs/>
        </w:rPr>
        <w:t>after the postponement. T</w:t>
      </w:r>
      <w:r w:rsidR="002E36E9">
        <w:rPr>
          <w:bCs/>
        </w:rPr>
        <w:t>he respondent was afforded every opportunity to get his house in order and failed to do so.</w:t>
      </w:r>
    </w:p>
    <w:p w14:paraId="23510234" w14:textId="20251041" w:rsidR="006A7E78" w:rsidRPr="006A7E78" w:rsidRDefault="00445B20" w:rsidP="00445B20">
      <w:pPr>
        <w:pStyle w:val="Heading1"/>
        <w:numPr>
          <w:ilvl w:val="0"/>
          <w:numId w:val="0"/>
        </w:numPr>
        <w:tabs>
          <w:tab w:val="left" w:pos="862"/>
        </w:tabs>
        <w:ind w:left="862" w:hanging="862"/>
      </w:pPr>
      <w:r w:rsidRPr="006A7E78">
        <w:t>[56]</w:t>
      </w:r>
      <w:r w:rsidRPr="006A7E78">
        <w:tab/>
      </w:r>
      <w:r w:rsidR="00623689">
        <w:rPr>
          <w:bCs/>
        </w:rPr>
        <w:t>The respondent’s counsel</w:t>
      </w:r>
      <w:r w:rsidR="0095324F">
        <w:rPr>
          <w:bCs/>
        </w:rPr>
        <w:t xml:space="preserve"> </w:t>
      </w:r>
      <w:r w:rsidR="00D01337">
        <w:rPr>
          <w:bCs/>
        </w:rPr>
        <w:t xml:space="preserve">also submitted </w:t>
      </w:r>
      <w:r w:rsidR="00623689">
        <w:rPr>
          <w:bCs/>
        </w:rPr>
        <w:t xml:space="preserve">that </w:t>
      </w:r>
      <w:r w:rsidR="002E36E9">
        <w:rPr>
          <w:bCs/>
        </w:rPr>
        <w:t xml:space="preserve">the replying affidavit introduced new matter, </w:t>
      </w:r>
      <w:r w:rsidR="006A7E78">
        <w:rPr>
          <w:bCs/>
        </w:rPr>
        <w:t>more particularly the 2014 valuation. T</w:t>
      </w:r>
      <w:r w:rsidR="002E36E9">
        <w:rPr>
          <w:bCs/>
        </w:rPr>
        <w:t>his is incorrect. The replying affidavit simply dealt with the inconsistencies and broad allegations made by the respondent</w:t>
      </w:r>
      <w:r w:rsidR="006A7E78">
        <w:rPr>
          <w:bCs/>
        </w:rPr>
        <w:t>,</w:t>
      </w:r>
      <w:r w:rsidR="002E36E9">
        <w:rPr>
          <w:bCs/>
        </w:rPr>
        <w:t xml:space="preserve"> all of which were unsubstantiated</w:t>
      </w:r>
      <w:r w:rsidR="006A7E78">
        <w:rPr>
          <w:bCs/>
        </w:rPr>
        <w:t xml:space="preserve">. This, </w:t>
      </w:r>
      <w:r w:rsidR="002E36E9">
        <w:rPr>
          <w:bCs/>
        </w:rPr>
        <w:t>in the face of the replying affidavit</w:t>
      </w:r>
      <w:r w:rsidR="006A7E78">
        <w:rPr>
          <w:bCs/>
        </w:rPr>
        <w:t xml:space="preserve"> which</w:t>
      </w:r>
      <w:r w:rsidR="00C56227">
        <w:rPr>
          <w:bCs/>
        </w:rPr>
        <w:t>,</w:t>
      </w:r>
      <w:r w:rsidR="002E36E9">
        <w:rPr>
          <w:bCs/>
        </w:rPr>
        <w:t xml:space="preserve"> as submitted to me</w:t>
      </w:r>
      <w:r w:rsidR="00C56227">
        <w:rPr>
          <w:bCs/>
        </w:rPr>
        <w:t>,</w:t>
      </w:r>
      <w:r w:rsidR="002E36E9">
        <w:rPr>
          <w:bCs/>
        </w:rPr>
        <w:t xml:space="preserve"> exposed the lack of any defence in the</w:t>
      </w:r>
      <w:r w:rsidR="006A7E78">
        <w:rPr>
          <w:bCs/>
        </w:rPr>
        <w:t xml:space="preserve"> answering</w:t>
      </w:r>
      <w:r w:rsidR="002E36E9">
        <w:rPr>
          <w:bCs/>
        </w:rPr>
        <w:t xml:space="preserve"> affidavit </w:t>
      </w:r>
      <w:proofErr w:type="gramStart"/>
      <w:r w:rsidR="002E36E9">
        <w:rPr>
          <w:bCs/>
        </w:rPr>
        <w:t xml:space="preserve">and </w:t>
      </w:r>
      <w:r w:rsidR="006A7E78">
        <w:rPr>
          <w:bCs/>
        </w:rPr>
        <w:t xml:space="preserve"> which</w:t>
      </w:r>
      <w:proofErr w:type="gramEnd"/>
      <w:r w:rsidR="006A7E78">
        <w:rPr>
          <w:bCs/>
        </w:rPr>
        <w:t xml:space="preserve"> </w:t>
      </w:r>
      <w:r w:rsidR="002E36E9">
        <w:rPr>
          <w:bCs/>
        </w:rPr>
        <w:t>was entirely destructive of it.</w:t>
      </w:r>
      <w:r w:rsidR="006A7E78">
        <w:rPr>
          <w:bCs/>
        </w:rPr>
        <w:t xml:space="preserve"> </w:t>
      </w:r>
    </w:p>
    <w:p w14:paraId="3195149E" w14:textId="297C49B9" w:rsidR="002E36E9" w:rsidRPr="002E36E9" w:rsidRDefault="00445B20" w:rsidP="00445B20">
      <w:pPr>
        <w:pStyle w:val="Heading1"/>
        <w:numPr>
          <w:ilvl w:val="0"/>
          <w:numId w:val="0"/>
        </w:numPr>
        <w:tabs>
          <w:tab w:val="left" w:pos="862"/>
        </w:tabs>
        <w:ind w:left="862" w:hanging="862"/>
      </w:pPr>
      <w:r w:rsidRPr="002E36E9">
        <w:t>[57]</w:t>
      </w:r>
      <w:r w:rsidRPr="002E36E9">
        <w:tab/>
      </w:r>
      <w:r w:rsidR="00B34022">
        <w:rPr>
          <w:bCs/>
        </w:rPr>
        <w:t>In circumstances where the respondent himself called upon the applicant to disclose the valuation, it</w:t>
      </w:r>
      <w:r w:rsidR="002E36E9">
        <w:rPr>
          <w:bCs/>
        </w:rPr>
        <w:t xml:space="preserve"> was attached to the replying affidavit, </w:t>
      </w:r>
      <w:proofErr w:type="gramStart"/>
      <w:r w:rsidR="00B34022">
        <w:rPr>
          <w:bCs/>
        </w:rPr>
        <w:t>and  justified</w:t>
      </w:r>
      <w:proofErr w:type="gramEnd"/>
      <w:r w:rsidR="00B34022">
        <w:rPr>
          <w:bCs/>
        </w:rPr>
        <w:t xml:space="preserve"> the purchase price obtained for the </w:t>
      </w:r>
      <w:r w:rsidR="00B932B1">
        <w:rPr>
          <w:bCs/>
        </w:rPr>
        <w:t>properties</w:t>
      </w:r>
      <w:r w:rsidR="00B34022">
        <w:rPr>
          <w:bCs/>
        </w:rPr>
        <w:t xml:space="preserve"> at auction. </w:t>
      </w:r>
      <w:r w:rsidR="005446C3">
        <w:rPr>
          <w:bCs/>
        </w:rPr>
        <w:t xml:space="preserve">This was not new evidence but </w:t>
      </w:r>
      <w:r w:rsidR="006A7E78">
        <w:rPr>
          <w:bCs/>
        </w:rPr>
        <w:t>simply affirmed</w:t>
      </w:r>
      <w:r w:rsidR="005446C3">
        <w:rPr>
          <w:bCs/>
        </w:rPr>
        <w:t xml:space="preserve"> the case made out in the founding </w:t>
      </w:r>
      <w:proofErr w:type="gramStart"/>
      <w:r w:rsidR="005446C3">
        <w:rPr>
          <w:bCs/>
        </w:rPr>
        <w:t xml:space="preserve">affidavit </w:t>
      </w:r>
      <w:r w:rsidR="006A7E78">
        <w:rPr>
          <w:bCs/>
        </w:rPr>
        <w:t xml:space="preserve"> as</w:t>
      </w:r>
      <w:proofErr w:type="gramEnd"/>
      <w:r w:rsidR="006A7E78">
        <w:rPr>
          <w:bCs/>
        </w:rPr>
        <w:t xml:space="preserve"> to the sale of the properties on auction </w:t>
      </w:r>
      <w:r w:rsidR="005446C3">
        <w:rPr>
          <w:bCs/>
        </w:rPr>
        <w:t xml:space="preserve">and </w:t>
      </w:r>
      <w:r w:rsidR="00206E4E">
        <w:rPr>
          <w:bCs/>
        </w:rPr>
        <w:t>exposed</w:t>
      </w:r>
      <w:r w:rsidR="005446C3">
        <w:rPr>
          <w:bCs/>
        </w:rPr>
        <w:t xml:space="preserve"> the speculative and ill-founded allegations made by the respondent to the effect that the properties had been undersold.</w:t>
      </w:r>
      <w:r w:rsidR="00206E4E">
        <w:rPr>
          <w:rStyle w:val="FootnoteReference"/>
          <w:bCs/>
        </w:rPr>
        <w:footnoteReference w:id="25"/>
      </w:r>
    </w:p>
    <w:p w14:paraId="4B3ABBF0" w14:textId="4FAFE1F5" w:rsidR="00D01337" w:rsidRDefault="00445B20" w:rsidP="00445B20">
      <w:pPr>
        <w:pStyle w:val="Heading1"/>
        <w:numPr>
          <w:ilvl w:val="0"/>
          <w:numId w:val="0"/>
        </w:numPr>
        <w:tabs>
          <w:tab w:val="left" w:pos="862"/>
        </w:tabs>
        <w:ind w:left="862" w:hanging="862"/>
      </w:pPr>
      <w:r>
        <w:t>[58]</w:t>
      </w:r>
      <w:r>
        <w:tab/>
      </w:r>
      <w:r w:rsidR="00D01337">
        <w:t xml:space="preserve">The final submission related to the application of Rule 46(a) of the Uniform Rules of Court. This rule which deals </w:t>
      </w:r>
      <w:proofErr w:type="gramStart"/>
      <w:r w:rsidR="00D01337">
        <w:t>with  sales</w:t>
      </w:r>
      <w:proofErr w:type="gramEnd"/>
      <w:r w:rsidR="00D01337">
        <w:t xml:space="preserve"> in execution of immovable property expressly requires that the Court declare a property specifically executable and requires the Court to consider whether or not the property is the primary residence of the judgment debtor and all relevant circumstances prior to making such an order.  At the outset, this matter did not deal with a sale in execution and furthermore, </w:t>
      </w:r>
      <w:r w:rsidR="0095324F">
        <w:t>Stonefield</w:t>
      </w:r>
      <w:r w:rsidR="00D01337">
        <w:t xml:space="preserve"> w</w:t>
      </w:r>
      <w:r w:rsidR="0095324F">
        <w:t>as</w:t>
      </w:r>
      <w:r w:rsidR="00D01337">
        <w:t xml:space="preserve"> a business venture and not the residential property of the respondent. As such this rule had no application to this </w:t>
      </w:r>
      <w:proofErr w:type="gramStart"/>
      <w:r w:rsidR="00D01337">
        <w:t>matter, and</w:t>
      </w:r>
      <w:proofErr w:type="gramEnd"/>
      <w:r w:rsidR="00D01337">
        <w:t xml:space="preserve"> lacked merit. </w:t>
      </w:r>
    </w:p>
    <w:p w14:paraId="7A96B1AC" w14:textId="653F7D1E" w:rsidR="002E36E9" w:rsidRPr="007067AC" w:rsidRDefault="00445B20" w:rsidP="00445B20">
      <w:pPr>
        <w:pStyle w:val="Heading1"/>
        <w:numPr>
          <w:ilvl w:val="0"/>
          <w:numId w:val="0"/>
        </w:numPr>
        <w:tabs>
          <w:tab w:val="left" w:pos="862"/>
        </w:tabs>
        <w:ind w:left="851" w:hanging="862"/>
      </w:pPr>
      <w:r w:rsidRPr="007067AC">
        <w:lastRenderedPageBreak/>
        <w:t>[59]</w:t>
      </w:r>
      <w:r w:rsidRPr="007067AC">
        <w:tab/>
      </w:r>
      <w:r w:rsidR="002E36E9">
        <w:rPr>
          <w:bCs/>
        </w:rPr>
        <w:t xml:space="preserve">Having reserved my judgment, and without my leave, the respondent then uploaded to </w:t>
      </w:r>
      <w:proofErr w:type="spellStart"/>
      <w:r w:rsidR="002E36E9">
        <w:rPr>
          <w:bCs/>
        </w:rPr>
        <w:t>CaseLines</w:t>
      </w:r>
      <w:proofErr w:type="spellEnd"/>
      <w:r w:rsidR="002E36E9">
        <w:rPr>
          <w:bCs/>
        </w:rPr>
        <w:t xml:space="preserve"> a document </w:t>
      </w:r>
      <w:r w:rsidR="00B34022">
        <w:rPr>
          <w:bCs/>
        </w:rPr>
        <w:t xml:space="preserve">titled </w:t>
      </w:r>
      <w:r w:rsidR="002E36E9">
        <w:rPr>
          <w:bCs/>
          <w:i/>
          <w:iCs/>
        </w:rPr>
        <w:t>“</w:t>
      </w:r>
      <w:r w:rsidR="00B34022">
        <w:rPr>
          <w:bCs/>
          <w:i/>
          <w:iCs/>
        </w:rPr>
        <w:t>R</w:t>
      </w:r>
      <w:r w:rsidR="002E36E9">
        <w:rPr>
          <w:bCs/>
          <w:i/>
          <w:iCs/>
        </w:rPr>
        <w:t>espondent’s synopsis”</w:t>
      </w:r>
      <w:r w:rsidR="002E36E9">
        <w:rPr>
          <w:rStyle w:val="FootnoteReference"/>
          <w:bCs/>
        </w:rPr>
        <w:footnoteReference w:id="26"/>
      </w:r>
      <w:r w:rsidR="002E36E9">
        <w:rPr>
          <w:bCs/>
        </w:rPr>
        <w:t xml:space="preserve"> together with a number of authorities which had </w:t>
      </w:r>
      <w:proofErr w:type="gramStart"/>
      <w:r w:rsidR="002E36E9">
        <w:rPr>
          <w:bCs/>
        </w:rPr>
        <w:t xml:space="preserve">been </w:t>
      </w:r>
      <w:r w:rsidR="006A7E78">
        <w:rPr>
          <w:bCs/>
        </w:rPr>
        <w:t xml:space="preserve"> broadly</w:t>
      </w:r>
      <w:proofErr w:type="gramEnd"/>
      <w:r w:rsidR="006A7E78">
        <w:rPr>
          <w:bCs/>
        </w:rPr>
        <w:t xml:space="preserve"> </w:t>
      </w:r>
      <w:r w:rsidR="002E36E9">
        <w:rPr>
          <w:bCs/>
        </w:rPr>
        <w:t xml:space="preserve">mentioned </w:t>
      </w:r>
      <w:r w:rsidR="006A7E78">
        <w:rPr>
          <w:bCs/>
        </w:rPr>
        <w:t xml:space="preserve"> in argument </w:t>
      </w:r>
      <w:r w:rsidR="002E36E9">
        <w:rPr>
          <w:bCs/>
        </w:rPr>
        <w:t>but which had not been handed to the Court</w:t>
      </w:r>
      <w:r w:rsidR="00B34022">
        <w:rPr>
          <w:bCs/>
        </w:rPr>
        <w:t xml:space="preserve"> at the hearing</w:t>
      </w:r>
      <w:r w:rsidR="002E36E9">
        <w:rPr>
          <w:bCs/>
        </w:rPr>
        <w:t>.  I</w:t>
      </w:r>
      <w:r w:rsidR="00C56227">
        <w:rPr>
          <w:bCs/>
        </w:rPr>
        <w:t>,</w:t>
      </w:r>
      <w:r w:rsidR="002E36E9">
        <w:rPr>
          <w:bCs/>
        </w:rPr>
        <w:t xml:space="preserve"> accordingly</w:t>
      </w:r>
      <w:r w:rsidR="00C56227">
        <w:rPr>
          <w:bCs/>
        </w:rPr>
        <w:t>,</w:t>
      </w:r>
      <w:r w:rsidR="002E36E9">
        <w:rPr>
          <w:bCs/>
        </w:rPr>
        <w:t xml:space="preserve"> afforded the applicant an opportunity to address this document and the case authorities raised therein which appeared to be premised</w:t>
      </w:r>
      <w:r w:rsidR="007067AC">
        <w:rPr>
          <w:bCs/>
        </w:rPr>
        <w:t xml:space="preserve"> on the respondent’s contention that the application should be referred to trial.  The applicant did so and filed supplementary submissions on 1 June 2023.</w:t>
      </w:r>
      <w:r w:rsidR="007067AC">
        <w:rPr>
          <w:rStyle w:val="FootnoteReference"/>
          <w:bCs/>
        </w:rPr>
        <w:footnoteReference w:id="27"/>
      </w:r>
    </w:p>
    <w:p w14:paraId="620C7595" w14:textId="491FD51C" w:rsidR="00BF1C0D" w:rsidRPr="00BF1C0D" w:rsidRDefault="00445B20" w:rsidP="00445B20">
      <w:pPr>
        <w:pStyle w:val="Heading1"/>
        <w:numPr>
          <w:ilvl w:val="0"/>
          <w:numId w:val="0"/>
        </w:numPr>
        <w:tabs>
          <w:tab w:val="left" w:pos="862"/>
        </w:tabs>
        <w:ind w:left="862" w:hanging="862"/>
      </w:pPr>
      <w:r w:rsidRPr="00BF1C0D">
        <w:t>[60]</w:t>
      </w:r>
      <w:r w:rsidRPr="00BF1C0D">
        <w:tab/>
      </w:r>
      <w:r w:rsidR="00BF1C0D">
        <w:t>I am inclined to allow these submissions, as the applicant has had an opportunity to deal with the</w:t>
      </w:r>
      <w:r w:rsidR="0095324F">
        <w:t>m</w:t>
      </w:r>
      <w:r w:rsidR="00BF1C0D">
        <w:t>, and in circumstances where I am of the view that they do not ultimately further the respondent’s case for a referral</w:t>
      </w:r>
      <w:r w:rsidR="006A7E78">
        <w:t>, there being no d</w:t>
      </w:r>
      <w:r w:rsidR="0095324F">
        <w:t>isputes evident</w:t>
      </w:r>
      <w:r w:rsidR="00BF1C0D">
        <w:t>.</w:t>
      </w:r>
    </w:p>
    <w:p w14:paraId="19BE482D" w14:textId="32CEF87E" w:rsidR="00B4450F" w:rsidRDefault="00445B20" w:rsidP="00445B20">
      <w:pPr>
        <w:pStyle w:val="Heading1"/>
        <w:numPr>
          <w:ilvl w:val="0"/>
          <w:numId w:val="0"/>
        </w:numPr>
        <w:tabs>
          <w:tab w:val="left" w:pos="862"/>
        </w:tabs>
        <w:ind w:left="862" w:hanging="862"/>
      </w:pPr>
      <w:r>
        <w:t>[61]</w:t>
      </w:r>
      <w:r>
        <w:tab/>
      </w:r>
      <w:r w:rsidR="006A7E78">
        <w:t xml:space="preserve">Having been furnished with the case authorities and synopsis of the respondent’s submissions </w:t>
      </w:r>
      <w:r w:rsidR="00192FF5">
        <w:t xml:space="preserve">on </w:t>
      </w:r>
      <w:r w:rsidR="00B4450F">
        <w:t xml:space="preserve">the </w:t>
      </w:r>
      <w:proofErr w:type="spellStart"/>
      <w:r w:rsidR="00B4450F" w:rsidRPr="00B4450F">
        <w:rPr>
          <w:i/>
          <w:iCs/>
        </w:rPr>
        <w:t>parate</w:t>
      </w:r>
      <w:proofErr w:type="spellEnd"/>
      <w:r w:rsidR="00B4450F" w:rsidRPr="00B4450F">
        <w:rPr>
          <w:i/>
          <w:iCs/>
        </w:rPr>
        <w:t xml:space="preserve"> </w:t>
      </w:r>
      <w:proofErr w:type="spellStart"/>
      <w:r w:rsidR="00B4450F" w:rsidRPr="00B4450F">
        <w:rPr>
          <w:i/>
          <w:iCs/>
        </w:rPr>
        <w:t>executie</w:t>
      </w:r>
      <w:proofErr w:type="spellEnd"/>
      <w:r w:rsidR="00B4450F">
        <w:t xml:space="preserve"> </w:t>
      </w:r>
      <w:r w:rsidR="0095324F">
        <w:t xml:space="preserve">principle </w:t>
      </w:r>
      <w:proofErr w:type="gramStart"/>
      <w:r w:rsidR="00B4450F">
        <w:t>w</w:t>
      </w:r>
      <w:r w:rsidR="00192FF5">
        <w:t>hich  the</w:t>
      </w:r>
      <w:proofErr w:type="gramEnd"/>
      <w:r w:rsidR="00192FF5">
        <w:t xml:space="preserve">  respondent’s counsel reiterated therein, namely that</w:t>
      </w:r>
      <w:r w:rsidR="00B4450F">
        <w:t xml:space="preserve"> </w:t>
      </w:r>
      <w:r w:rsidR="00192FF5">
        <w:t xml:space="preserve"> </w:t>
      </w:r>
      <w:r w:rsidR="00B4450F">
        <w:t>the special power of attorney permitted the applicant to sell the properties without instituting legal proceedings</w:t>
      </w:r>
      <w:r w:rsidR="00192FF5">
        <w:t>,</w:t>
      </w:r>
      <w:r w:rsidR="00B4450F">
        <w:t xml:space="preserve"> </w:t>
      </w:r>
      <w:r w:rsidR="00192FF5">
        <w:t>t</w:t>
      </w:r>
      <w:r w:rsidR="00B4450F">
        <w:t>his is simply incorrect.  The</w:t>
      </w:r>
      <w:r w:rsidR="00192FF5">
        <w:t xml:space="preserve"> </w:t>
      </w:r>
      <w:r w:rsidR="00B4450F">
        <w:t xml:space="preserve">submission fails to distinguish between the existence of a </w:t>
      </w:r>
      <w:proofErr w:type="spellStart"/>
      <w:r w:rsidR="00B4450F" w:rsidRPr="00B4450F">
        <w:rPr>
          <w:i/>
          <w:iCs/>
        </w:rPr>
        <w:t>parate</w:t>
      </w:r>
      <w:proofErr w:type="spellEnd"/>
      <w:r w:rsidR="00B4450F" w:rsidRPr="00B4450F">
        <w:rPr>
          <w:i/>
          <w:iCs/>
        </w:rPr>
        <w:t xml:space="preserve"> </w:t>
      </w:r>
      <w:proofErr w:type="spellStart"/>
      <w:r w:rsidR="00B4450F" w:rsidRPr="00B4450F">
        <w:rPr>
          <w:i/>
          <w:iCs/>
        </w:rPr>
        <w:t>executie</w:t>
      </w:r>
      <w:proofErr w:type="spellEnd"/>
      <w:r w:rsidR="00B4450F" w:rsidRPr="00B4450F">
        <w:rPr>
          <w:i/>
          <w:iCs/>
        </w:rPr>
        <w:t xml:space="preserve"> </w:t>
      </w:r>
      <w:r w:rsidR="00B4450F">
        <w:t>clause in a mortgage bond as opposed to an agreement or authority that is given post default to sell the immovable properties without recourse to Court.</w:t>
      </w:r>
    </w:p>
    <w:p w14:paraId="71925988" w14:textId="7BFCF84F" w:rsidR="00B4450F" w:rsidRDefault="00445B20" w:rsidP="00445B20">
      <w:pPr>
        <w:pStyle w:val="Heading1"/>
        <w:numPr>
          <w:ilvl w:val="0"/>
          <w:numId w:val="0"/>
        </w:numPr>
        <w:tabs>
          <w:tab w:val="left" w:pos="862"/>
        </w:tabs>
        <w:ind w:left="862" w:hanging="862"/>
      </w:pPr>
      <w:r>
        <w:t>[62]</w:t>
      </w:r>
      <w:r>
        <w:tab/>
      </w:r>
      <w:r w:rsidR="00B4450F">
        <w:t xml:space="preserve">The leading decision of </w:t>
      </w:r>
      <w:r w:rsidR="00B4450F">
        <w:rPr>
          <w:b/>
          <w:bCs/>
          <w:i/>
          <w:iCs/>
        </w:rPr>
        <w:t xml:space="preserve">Iscor Housing Utility Co and Another v Chief Registrar </w:t>
      </w:r>
      <w:r w:rsidR="00D25B6C">
        <w:rPr>
          <w:b/>
          <w:bCs/>
          <w:i/>
          <w:iCs/>
        </w:rPr>
        <w:t xml:space="preserve">of </w:t>
      </w:r>
      <w:r w:rsidR="00B4450F">
        <w:rPr>
          <w:b/>
          <w:bCs/>
          <w:i/>
          <w:iCs/>
        </w:rPr>
        <w:t>Deeds and Another</w:t>
      </w:r>
      <w:r w:rsidR="00B4450F" w:rsidRPr="00D25B6C">
        <w:rPr>
          <w:rStyle w:val="FootnoteReference"/>
        </w:rPr>
        <w:footnoteReference w:id="28"/>
      </w:r>
      <w:r w:rsidR="00D25B6C">
        <w:rPr>
          <w:b/>
          <w:bCs/>
          <w:i/>
          <w:iCs/>
        </w:rPr>
        <w:t xml:space="preserve"> </w:t>
      </w:r>
      <w:r w:rsidR="00D25B6C" w:rsidRPr="00D25B6C">
        <w:t>found</w:t>
      </w:r>
      <w:r w:rsidR="00D25B6C">
        <w:t xml:space="preserve"> that </w:t>
      </w:r>
      <w:proofErr w:type="spellStart"/>
      <w:r w:rsidR="00D25B6C">
        <w:rPr>
          <w:i/>
          <w:iCs/>
        </w:rPr>
        <w:t>parate</w:t>
      </w:r>
      <w:proofErr w:type="spellEnd"/>
      <w:r w:rsidR="00D25B6C">
        <w:rPr>
          <w:i/>
          <w:iCs/>
        </w:rPr>
        <w:t xml:space="preserve"> </w:t>
      </w:r>
      <w:proofErr w:type="spellStart"/>
      <w:r w:rsidR="00D25B6C">
        <w:rPr>
          <w:i/>
          <w:iCs/>
        </w:rPr>
        <w:t>executie</w:t>
      </w:r>
      <w:proofErr w:type="spellEnd"/>
      <w:r w:rsidR="00D25B6C">
        <w:rPr>
          <w:i/>
          <w:iCs/>
        </w:rPr>
        <w:t xml:space="preserve"> </w:t>
      </w:r>
      <w:r w:rsidR="00D25B6C">
        <w:t xml:space="preserve">clauses are not enforceable when they are included in mortgage bonds relating to </w:t>
      </w:r>
      <w:r w:rsidR="00D25B6C">
        <w:lastRenderedPageBreak/>
        <w:t>property.</w:t>
      </w:r>
      <w:r w:rsidR="00A66A25">
        <w:t xml:space="preserve">  Having said so, the Court found that:</w:t>
      </w:r>
    </w:p>
    <w:p w14:paraId="5B8E3AD3" w14:textId="7EACBC49" w:rsidR="00A66A25" w:rsidRDefault="00A66A25" w:rsidP="00A66A25">
      <w:pPr>
        <w:ind w:left="1871" w:hanging="1871"/>
        <w:rPr>
          <w:i/>
          <w:iCs/>
        </w:rPr>
      </w:pPr>
      <w:r>
        <w:tab/>
      </w:r>
      <w:r>
        <w:tab/>
      </w:r>
      <w:r>
        <w:rPr>
          <w:i/>
          <w:iCs/>
        </w:rPr>
        <w:t>“</w:t>
      </w:r>
      <w:r w:rsidRPr="00A66A25">
        <w:rPr>
          <w:i/>
          <w:iCs/>
        </w:rPr>
        <w:t xml:space="preserve">The second observation to be made is that where a </w:t>
      </w:r>
      <w:proofErr w:type="spellStart"/>
      <w:proofErr w:type="gramStart"/>
      <w:r w:rsidRPr="00A66A25">
        <w:rPr>
          <w:i/>
          <w:iCs/>
        </w:rPr>
        <w:t>parate</w:t>
      </w:r>
      <w:proofErr w:type="spellEnd"/>
      <w:r w:rsidRPr="00A66A25">
        <w:rPr>
          <w:i/>
          <w:iCs/>
        </w:rPr>
        <w:t xml:space="preserve">  </w:t>
      </w:r>
      <w:proofErr w:type="spellStart"/>
      <w:r w:rsidRPr="00A66A25">
        <w:rPr>
          <w:i/>
          <w:iCs/>
        </w:rPr>
        <w:t>executie</w:t>
      </w:r>
      <w:proofErr w:type="spellEnd"/>
      <w:proofErr w:type="gramEnd"/>
      <w:r w:rsidRPr="00A66A25">
        <w:rPr>
          <w:i/>
          <w:iCs/>
        </w:rPr>
        <w:t xml:space="preserve"> power is granted, whether in</w:t>
      </w:r>
      <w:r>
        <w:rPr>
          <w:i/>
          <w:iCs/>
        </w:rPr>
        <w:t xml:space="preserve"> </w:t>
      </w:r>
      <w:r w:rsidRPr="00A66A25">
        <w:rPr>
          <w:i/>
          <w:iCs/>
        </w:rPr>
        <w:t>respect of movables or immovables, and the parties were to agree after the debtor be  in default</w:t>
      </w:r>
      <w:r>
        <w:rPr>
          <w:i/>
          <w:iCs/>
        </w:rPr>
        <w:t xml:space="preserve"> </w:t>
      </w:r>
      <w:r w:rsidRPr="00A66A25">
        <w:rPr>
          <w:i/>
          <w:iCs/>
        </w:rPr>
        <w:t>that the creditor may proceed to realise the bonded property, he no longer does so by virtue of the</w:t>
      </w:r>
      <w:r>
        <w:rPr>
          <w:i/>
          <w:iCs/>
        </w:rPr>
        <w:t xml:space="preserve"> </w:t>
      </w:r>
      <w:r w:rsidRPr="00A66A25">
        <w:rPr>
          <w:i/>
          <w:iCs/>
        </w:rPr>
        <w:t>original power, but by virtue of the fresh agreement after the debtor's default. The objection then to</w:t>
      </w:r>
      <w:r>
        <w:rPr>
          <w:i/>
          <w:iCs/>
        </w:rPr>
        <w:t xml:space="preserve"> </w:t>
      </w:r>
      <w:r w:rsidRPr="00A66A25">
        <w:rPr>
          <w:i/>
          <w:iCs/>
        </w:rPr>
        <w:t xml:space="preserve">exercising a </w:t>
      </w:r>
      <w:proofErr w:type="spellStart"/>
      <w:r w:rsidRPr="00A66A25">
        <w:rPr>
          <w:i/>
          <w:iCs/>
        </w:rPr>
        <w:t>parate</w:t>
      </w:r>
      <w:proofErr w:type="spellEnd"/>
      <w:r w:rsidRPr="00A66A25">
        <w:rPr>
          <w:i/>
          <w:iCs/>
        </w:rPr>
        <w:t xml:space="preserve"> </w:t>
      </w:r>
      <w:proofErr w:type="spellStart"/>
      <w:r w:rsidRPr="00A66A25">
        <w:rPr>
          <w:i/>
          <w:iCs/>
        </w:rPr>
        <w:t>executie</w:t>
      </w:r>
      <w:proofErr w:type="spellEnd"/>
      <w:r w:rsidRPr="00A66A25">
        <w:rPr>
          <w:i/>
          <w:iCs/>
        </w:rPr>
        <w:t xml:space="preserve"> has fallen away. See Israel v. Solomon, 1910 T.P.D. 1183 at p. 1186.</w:t>
      </w:r>
      <w:r>
        <w:rPr>
          <w:i/>
          <w:iCs/>
        </w:rPr>
        <w:t>”</w:t>
      </w:r>
      <w:r>
        <w:rPr>
          <w:rStyle w:val="FootnoteReference"/>
          <w:i/>
          <w:iCs/>
        </w:rPr>
        <w:footnoteReference w:id="29"/>
      </w:r>
    </w:p>
    <w:p w14:paraId="782B41AA" w14:textId="2148AC0B" w:rsidR="00C56227" w:rsidRDefault="00445B20" w:rsidP="00445B20">
      <w:pPr>
        <w:pStyle w:val="Heading1"/>
        <w:numPr>
          <w:ilvl w:val="0"/>
          <w:numId w:val="0"/>
        </w:numPr>
        <w:tabs>
          <w:tab w:val="left" w:pos="862"/>
        </w:tabs>
        <w:ind w:left="862" w:hanging="862"/>
      </w:pPr>
      <w:r>
        <w:t>[63]</w:t>
      </w:r>
      <w:r>
        <w:tab/>
      </w:r>
      <w:r w:rsidR="00A66A25">
        <w:t xml:space="preserve">As such, the </w:t>
      </w:r>
      <w:proofErr w:type="spellStart"/>
      <w:r w:rsidR="00A66A25" w:rsidRPr="007E0AA8">
        <w:rPr>
          <w:i/>
          <w:iCs/>
        </w:rPr>
        <w:t>parate</w:t>
      </w:r>
      <w:proofErr w:type="spellEnd"/>
      <w:r w:rsidR="00A66A25" w:rsidRPr="007E0AA8">
        <w:rPr>
          <w:i/>
          <w:iCs/>
        </w:rPr>
        <w:t xml:space="preserve"> </w:t>
      </w:r>
      <w:proofErr w:type="spellStart"/>
      <w:r w:rsidR="00A66A25" w:rsidRPr="007E0AA8">
        <w:rPr>
          <w:i/>
          <w:iCs/>
        </w:rPr>
        <w:t>executie</w:t>
      </w:r>
      <w:proofErr w:type="spellEnd"/>
      <w:r w:rsidR="0099055C">
        <w:rPr>
          <w:i/>
          <w:iCs/>
        </w:rPr>
        <w:t xml:space="preserve"> </w:t>
      </w:r>
      <w:r w:rsidR="0099055C" w:rsidRPr="0099055C">
        <w:t>provision</w:t>
      </w:r>
      <w:r w:rsidR="007E0AA8">
        <w:t xml:space="preserve"> not being in a mortgage agreement</w:t>
      </w:r>
      <w:r w:rsidR="0011759E">
        <w:t>, it</w:t>
      </w:r>
      <w:r w:rsidR="007E0AA8">
        <w:t xml:space="preserve"> is permissible.  </w:t>
      </w:r>
    </w:p>
    <w:p w14:paraId="12704018" w14:textId="3B9369A5" w:rsidR="00A66A25" w:rsidRDefault="00445B20" w:rsidP="00445B20">
      <w:pPr>
        <w:pStyle w:val="Heading1"/>
        <w:numPr>
          <w:ilvl w:val="0"/>
          <w:numId w:val="0"/>
        </w:numPr>
        <w:tabs>
          <w:tab w:val="left" w:pos="862"/>
        </w:tabs>
        <w:ind w:left="862" w:hanging="862"/>
      </w:pPr>
      <w:r>
        <w:t>[64]</w:t>
      </w:r>
      <w:r>
        <w:tab/>
      </w:r>
      <w:r w:rsidR="007E0AA8">
        <w:t xml:space="preserve">Subsequent thereto and in the decision of </w:t>
      </w:r>
      <w:r w:rsidR="007E0AA8">
        <w:rPr>
          <w:b/>
          <w:bCs/>
          <w:i/>
          <w:iCs/>
        </w:rPr>
        <w:t xml:space="preserve">Bock and Others v </w:t>
      </w:r>
      <w:proofErr w:type="spellStart"/>
      <w:r w:rsidR="007E0AA8">
        <w:rPr>
          <w:b/>
          <w:bCs/>
          <w:i/>
          <w:iCs/>
        </w:rPr>
        <w:t>Duburoro</w:t>
      </w:r>
      <w:proofErr w:type="spellEnd"/>
      <w:r w:rsidR="007E0AA8">
        <w:rPr>
          <w:b/>
          <w:bCs/>
          <w:i/>
          <w:iCs/>
        </w:rPr>
        <w:t xml:space="preserve"> Investments (Pty) Ltd</w:t>
      </w:r>
      <w:r w:rsidR="007E0AA8" w:rsidRPr="007E0AA8">
        <w:rPr>
          <w:rStyle w:val="FootnoteReference"/>
        </w:rPr>
        <w:footnoteReference w:id="30"/>
      </w:r>
      <w:r w:rsidR="00A66A25">
        <w:t xml:space="preserve"> </w:t>
      </w:r>
      <w:r w:rsidR="007E0AA8">
        <w:t xml:space="preserve">Harms JA confirmed the validity of </w:t>
      </w:r>
      <w:proofErr w:type="spellStart"/>
      <w:r w:rsidR="007E0AA8">
        <w:rPr>
          <w:i/>
          <w:iCs/>
        </w:rPr>
        <w:t>parate</w:t>
      </w:r>
      <w:proofErr w:type="spellEnd"/>
      <w:r w:rsidR="007E0AA8">
        <w:rPr>
          <w:i/>
          <w:iCs/>
        </w:rPr>
        <w:t xml:space="preserve"> </w:t>
      </w:r>
      <w:proofErr w:type="spellStart"/>
      <w:r w:rsidR="007E0AA8">
        <w:rPr>
          <w:i/>
          <w:iCs/>
        </w:rPr>
        <w:t>executie</w:t>
      </w:r>
      <w:proofErr w:type="spellEnd"/>
      <w:r w:rsidR="007E0AA8">
        <w:rPr>
          <w:i/>
          <w:iCs/>
        </w:rPr>
        <w:t xml:space="preserve"> </w:t>
      </w:r>
      <w:r w:rsidR="007E0AA8">
        <w:t>clauses in pledge contracts pertaining to immovable property.  Harms J also said:</w:t>
      </w:r>
    </w:p>
    <w:p w14:paraId="50D18975" w14:textId="60127556" w:rsidR="007E0AA8" w:rsidRDefault="007E0AA8" w:rsidP="007E0AA8">
      <w:pPr>
        <w:ind w:left="3022" w:hanging="3022"/>
        <w:rPr>
          <w:i/>
          <w:iCs/>
        </w:rPr>
      </w:pPr>
      <w:r>
        <w:tab/>
      </w:r>
      <w:r>
        <w:tab/>
      </w:r>
      <w:r>
        <w:rPr>
          <w:i/>
          <w:iCs/>
        </w:rPr>
        <w:t>“</w:t>
      </w:r>
      <w:r w:rsidRPr="007E0AA8">
        <w:rPr>
          <w:i/>
          <w:iCs/>
        </w:rPr>
        <w:t>[7]</w:t>
      </w:r>
      <w:r>
        <w:rPr>
          <w:i/>
          <w:iCs/>
        </w:rPr>
        <w:tab/>
      </w:r>
      <w:r w:rsidRPr="007E0AA8">
        <w:rPr>
          <w:i/>
          <w:iCs/>
        </w:rPr>
        <w:t xml:space="preserve">The principles concerning </w:t>
      </w:r>
      <w:proofErr w:type="spellStart"/>
      <w:r w:rsidRPr="007E0AA8">
        <w:rPr>
          <w:i/>
          <w:iCs/>
        </w:rPr>
        <w:t>parate</w:t>
      </w:r>
      <w:proofErr w:type="spellEnd"/>
      <w:r w:rsidRPr="007E0AA8">
        <w:rPr>
          <w:i/>
          <w:iCs/>
        </w:rPr>
        <w:t xml:space="preserve"> </w:t>
      </w:r>
      <w:proofErr w:type="spellStart"/>
      <w:r w:rsidRPr="007E0AA8">
        <w:rPr>
          <w:i/>
          <w:iCs/>
        </w:rPr>
        <w:t>executie</w:t>
      </w:r>
      <w:proofErr w:type="spellEnd"/>
      <w:r>
        <w:rPr>
          <w:i/>
          <w:iCs/>
        </w:rPr>
        <w:t xml:space="preserve"> </w:t>
      </w:r>
      <w:r w:rsidRPr="007E0AA8">
        <w:rPr>
          <w:i/>
          <w:iCs/>
        </w:rPr>
        <w:t>(immediate execution) are trite. A clause in a mortgage bond permitting the bondholder to execute without recourse to the mortgagor or the court by taking possession of the property and selling it is void.</w:t>
      </w:r>
      <w:r>
        <w:rPr>
          <w:i/>
          <w:iCs/>
        </w:rPr>
        <w:t xml:space="preserve"> </w:t>
      </w:r>
      <w:r w:rsidRPr="007E0AA8">
        <w:rPr>
          <w:i/>
          <w:iCs/>
        </w:rPr>
        <w:t xml:space="preserve"> Nevertheless, after default the mortgagor may grant the bondholder the necessary authority to realise the bonded property. It does not matter whether the goods are immovable or movable: in the latter instance, to perfect the security, the court’s </w:t>
      </w:r>
      <w:r w:rsidRPr="007E0AA8">
        <w:rPr>
          <w:i/>
          <w:iCs/>
        </w:rPr>
        <w:lastRenderedPageBreak/>
        <w:t>imprimatur is required. It is different with movables held in pledge: a term in an agreement of pledge, which provides for the private sale of the pledged article and in the possession of the creditor, is valid but a debtor may</w:t>
      </w:r>
      <w:r>
        <w:rPr>
          <w:i/>
          <w:iCs/>
        </w:rPr>
        <w:t xml:space="preserve"> </w:t>
      </w:r>
      <w:r w:rsidRPr="007E0AA8">
        <w:rPr>
          <w:i/>
          <w:iCs/>
        </w:rPr>
        <w:t>‘seek the protection of the Court if, upon any just ground, he can show that, in carrying out the agreement and effecting a sale, the creditor has acted in a manner which has prejudiced him in his rights.’</w:t>
      </w:r>
      <w:r>
        <w:rPr>
          <w:i/>
          <w:iCs/>
        </w:rPr>
        <w:t xml:space="preserve">  </w:t>
      </w:r>
      <w:proofErr w:type="spellStart"/>
      <w:r w:rsidRPr="007E0AA8">
        <w:rPr>
          <w:i/>
          <w:iCs/>
        </w:rPr>
        <w:t>Smalberger</w:t>
      </w:r>
      <w:proofErr w:type="spellEnd"/>
      <w:r w:rsidRPr="007E0AA8">
        <w:rPr>
          <w:i/>
          <w:iCs/>
        </w:rPr>
        <w:t xml:space="preserve"> JA put the proviso in slightly different terms when he said that for validity the private execution clause should not prejudice, or be likely to prejudice, rights of the debtor unduly, meaning that the clause should not contain execution provisions that would be contra </w:t>
      </w:r>
      <w:proofErr w:type="spellStart"/>
      <w:r w:rsidRPr="007E0AA8">
        <w:rPr>
          <w:i/>
          <w:iCs/>
        </w:rPr>
        <w:t>bonos</w:t>
      </w:r>
      <w:proofErr w:type="spellEnd"/>
      <w:r w:rsidRPr="007E0AA8">
        <w:rPr>
          <w:i/>
          <w:iCs/>
        </w:rPr>
        <w:t xml:space="preserve"> mores.</w:t>
      </w:r>
      <w:r>
        <w:rPr>
          <w:i/>
          <w:iCs/>
        </w:rPr>
        <w:t>”</w:t>
      </w:r>
    </w:p>
    <w:p w14:paraId="7781BCC3" w14:textId="17FC0D35" w:rsidR="00C56227" w:rsidRDefault="00445B20" w:rsidP="00445B20">
      <w:pPr>
        <w:pStyle w:val="Heading1"/>
        <w:numPr>
          <w:ilvl w:val="0"/>
          <w:numId w:val="0"/>
        </w:numPr>
        <w:tabs>
          <w:tab w:val="left" w:pos="862"/>
        </w:tabs>
        <w:ind w:left="862" w:hanging="862"/>
      </w:pPr>
      <w:r>
        <w:t>[65]</w:t>
      </w:r>
      <w:r>
        <w:tab/>
      </w:r>
      <w:r w:rsidR="007E0AA8">
        <w:t xml:space="preserve">As a consequence, </w:t>
      </w:r>
      <w:r w:rsidR="0011759E">
        <w:t>Harms J,</w:t>
      </w:r>
      <w:r w:rsidR="007E0AA8">
        <w:t xml:space="preserve"> confirmed that it is permissible for the debtor after default to authorise the creditor to sell the property privately.</w:t>
      </w:r>
    </w:p>
    <w:p w14:paraId="55C6A01A" w14:textId="2BE8AB30" w:rsidR="00C56227" w:rsidRDefault="00445B20" w:rsidP="00445B20">
      <w:pPr>
        <w:pStyle w:val="Heading1"/>
        <w:numPr>
          <w:ilvl w:val="0"/>
          <w:numId w:val="0"/>
        </w:numPr>
        <w:tabs>
          <w:tab w:val="left" w:pos="862"/>
        </w:tabs>
        <w:ind w:left="862" w:hanging="862"/>
      </w:pPr>
      <w:r>
        <w:t>[66]</w:t>
      </w:r>
      <w:r>
        <w:tab/>
      </w:r>
      <w:r w:rsidR="007E0AA8">
        <w:t xml:space="preserve">Insofar as the decision of </w:t>
      </w:r>
      <w:r w:rsidR="007E0AA8">
        <w:rPr>
          <w:b/>
          <w:bCs/>
          <w:i/>
          <w:iCs/>
        </w:rPr>
        <w:t>Business Partners Ltd v Mahamba</w:t>
      </w:r>
      <w:r w:rsidR="007E0AA8">
        <w:rPr>
          <w:rStyle w:val="FootnoteReference"/>
          <w:b/>
          <w:bCs/>
          <w:i/>
          <w:iCs/>
        </w:rPr>
        <w:footnoteReference w:id="31"/>
      </w:r>
      <w:r w:rsidR="007E0AA8">
        <w:rPr>
          <w:b/>
          <w:bCs/>
          <w:i/>
          <w:iCs/>
        </w:rPr>
        <w:t xml:space="preserve"> </w:t>
      </w:r>
      <w:r w:rsidR="007E0AA8">
        <w:t xml:space="preserve">is concerned, </w:t>
      </w:r>
      <w:r w:rsidR="00262B6B">
        <w:t xml:space="preserve">this decision is authority for the principle that </w:t>
      </w:r>
      <w:proofErr w:type="spellStart"/>
      <w:r w:rsidR="00262B6B">
        <w:rPr>
          <w:i/>
          <w:iCs/>
        </w:rPr>
        <w:t>parate</w:t>
      </w:r>
      <w:proofErr w:type="spellEnd"/>
      <w:r w:rsidR="00262B6B">
        <w:rPr>
          <w:i/>
          <w:iCs/>
        </w:rPr>
        <w:t xml:space="preserve"> </w:t>
      </w:r>
      <w:proofErr w:type="spellStart"/>
      <w:r w:rsidR="00262B6B">
        <w:rPr>
          <w:i/>
          <w:iCs/>
        </w:rPr>
        <w:t>executie</w:t>
      </w:r>
      <w:proofErr w:type="spellEnd"/>
      <w:r w:rsidR="00262B6B">
        <w:rPr>
          <w:i/>
          <w:iCs/>
        </w:rPr>
        <w:t xml:space="preserve"> </w:t>
      </w:r>
      <w:r w:rsidR="00262B6B">
        <w:t>clauses are only valid in pledge agreements involving movable property and not in mortgage bonds over immovable property.  However, in both instances it is possible to conclude a post default agreement authorising the creditor to sell the property privately.</w:t>
      </w:r>
    </w:p>
    <w:p w14:paraId="244FE403" w14:textId="6D9C9AB9" w:rsidR="007E0AA8" w:rsidRDefault="00445B20" w:rsidP="00445B20">
      <w:pPr>
        <w:pStyle w:val="Heading1"/>
        <w:numPr>
          <w:ilvl w:val="0"/>
          <w:numId w:val="0"/>
        </w:numPr>
        <w:tabs>
          <w:tab w:val="left" w:pos="862"/>
        </w:tabs>
        <w:ind w:left="862" w:hanging="862"/>
      </w:pPr>
      <w:r>
        <w:t>[67]</w:t>
      </w:r>
      <w:r>
        <w:tab/>
      </w:r>
      <w:r w:rsidR="00262B6B">
        <w:t xml:space="preserve">As set out in a useful article </w:t>
      </w:r>
      <w:r w:rsidR="00262B6B">
        <w:rPr>
          <w:i/>
          <w:iCs/>
        </w:rPr>
        <w:t xml:space="preserve">“Parate </w:t>
      </w:r>
      <w:proofErr w:type="spellStart"/>
      <w:r w:rsidR="00262B6B">
        <w:rPr>
          <w:i/>
          <w:iCs/>
        </w:rPr>
        <w:t>executie</w:t>
      </w:r>
      <w:proofErr w:type="spellEnd"/>
      <w:r w:rsidR="00262B6B">
        <w:rPr>
          <w:i/>
          <w:iCs/>
        </w:rPr>
        <w:t xml:space="preserve"> clause in mortgage bond</w:t>
      </w:r>
      <w:r w:rsidR="0011759E">
        <w:rPr>
          <w:i/>
          <w:iCs/>
        </w:rPr>
        <w:t>s</w:t>
      </w:r>
      <w:r w:rsidR="00262B6B">
        <w:rPr>
          <w:i/>
          <w:iCs/>
        </w:rPr>
        <w:t xml:space="preserve"> versus post-default authority to sell”</w:t>
      </w:r>
      <w:r w:rsidR="00262B6B" w:rsidRPr="00262B6B">
        <w:t>:</w:t>
      </w:r>
      <w:r w:rsidR="00262B6B" w:rsidRPr="00262B6B">
        <w:rPr>
          <w:rStyle w:val="FootnoteReference"/>
        </w:rPr>
        <w:footnoteReference w:id="32"/>
      </w:r>
    </w:p>
    <w:p w14:paraId="78853A18" w14:textId="7703EECF" w:rsidR="00262B6B" w:rsidRDefault="00262B6B" w:rsidP="00262B6B">
      <w:pPr>
        <w:ind w:left="1871" w:hanging="1871"/>
        <w:rPr>
          <w:i/>
          <w:iCs/>
        </w:rPr>
      </w:pPr>
      <w:r>
        <w:tab/>
      </w:r>
      <w:r>
        <w:tab/>
      </w:r>
      <w:r w:rsidRPr="00262B6B">
        <w:rPr>
          <w:i/>
          <w:iCs/>
        </w:rPr>
        <w:t xml:space="preserve">“It is important to note that, even though the court in Business Partners v Mahamba (supra) discussed the validity of </w:t>
      </w:r>
      <w:proofErr w:type="spellStart"/>
      <w:r w:rsidRPr="00262B6B">
        <w:rPr>
          <w:i/>
          <w:iCs/>
        </w:rPr>
        <w:t>parate</w:t>
      </w:r>
      <w:proofErr w:type="spellEnd"/>
      <w:r w:rsidRPr="00262B6B">
        <w:rPr>
          <w:i/>
          <w:iCs/>
        </w:rPr>
        <w:t xml:space="preserve"> </w:t>
      </w:r>
      <w:proofErr w:type="spellStart"/>
      <w:r w:rsidRPr="00262B6B">
        <w:rPr>
          <w:i/>
          <w:iCs/>
        </w:rPr>
        <w:lastRenderedPageBreak/>
        <w:t>executie</w:t>
      </w:r>
      <w:proofErr w:type="spellEnd"/>
      <w:r w:rsidRPr="00262B6B">
        <w:rPr>
          <w:i/>
          <w:iCs/>
        </w:rPr>
        <w:t xml:space="preserve"> clauses, the facts of the case did not truly involve a </w:t>
      </w:r>
      <w:proofErr w:type="spellStart"/>
      <w:r w:rsidRPr="00262B6B">
        <w:rPr>
          <w:i/>
          <w:iCs/>
        </w:rPr>
        <w:t>parate</w:t>
      </w:r>
      <w:proofErr w:type="spellEnd"/>
      <w:r w:rsidRPr="00262B6B">
        <w:rPr>
          <w:i/>
          <w:iCs/>
        </w:rPr>
        <w:t xml:space="preserve"> </w:t>
      </w:r>
      <w:proofErr w:type="spellStart"/>
      <w:r w:rsidRPr="00262B6B">
        <w:rPr>
          <w:i/>
          <w:iCs/>
        </w:rPr>
        <w:t>executie</w:t>
      </w:r>
      <w:proofErr w:type="spellEnd"/>
      <w:r w:rsidRPr="00262B6B">
        <w:rPr>
          <w:i/>
          <w:iCs/>
        </w:rPr>
        <w:t xml:space="preserve"> clause. Indeed, no such clause appeared in the mortgage bond in question. Instead, after the debtor had defaulted on the original agreement, the parties agreed in a separate agreement that the creditor could sell the property privately if the debtor breached obligations in the separate agreement. If there had been a </w:t>
      </w:r>
      <w:proofErr w:type="spellStart"/>
      <w:r w:rsidRPr="00262B6B">
        <w:rPr>
          <w:i/>
          <w:iCs/>
        </w:rPr>
        <w:t>parate</w:t>
      </w:r>
      <w:proofErr w:type="spellEnd"/>
      <w:r w:rsidRPr="00262B6B">
        <w:rPr>
          <w:i/>
          <w:iCs/>
        </w:rPr>
        <w:t xml:space="preserve"> </w:t>
      </w:r>
      <w:proofErr w:type="spellStart"/>
      <w:r w:rsidRPr="00262B6B">
        <w:rPr>
          <w:i/>
          <w:iCs/>
        </w:rPr>
        <w:t>executie</w:t>
      </w:r>
      <w:proofErr w:type="spellEnd"/>
      <w:r w:rsidRPr="00262B6B">
        <w:rPr>
          <w:i/>
          <w:iCs/>
        </w:rPr>
        <w:t xml:space="preserve"> clause in the mortgage bond itself, that would have been invalid because, as established above, such clauses are not permitted in mortgage agreements pertaining to land. However, </w:t>
      </w:r>
      <w:proofErr w:type="gramStart"/>
      <w:r w:rsidRPr="00262B6B">
        <w:rPr>
          <w:i/>
          <w:iCs/>
        </w:rPr>
        <w:t>it is clear that the</w:t>
      </w:r>
      <w:proofErr w:type="gramEnd"/>
      <w:r w:rsidRPr="00262B6B">
        <w:rPr>
          <w:i/>
          <w:iCs/>
        </w:rPr>
        <w:t xml:space="preserve"> parties may agree to a private sale after the debtor has defaulted on the loan, which is what happened in this case.</w:t>
      </w:r>
      <w:r>
        <w:rPr>
          <w:i/>
          <w:iCs/>
        </w:rPr>
        <w:t>”</w:t>
      </w:r>
    </w:p>
    <w:p w14:paraId="4DC99BCE" w14:textId="4CF85333" w:rsidR="00C56227" w:rsidRDefault="00445B20" w:rsidP="00445B20">
      <w:pPr>
        <w:pStyle w:val="Heading1"/>
        <w:numPr>
          <w:ilvl w:val="0"/>
          <w:numId w:val="0"/>
        </w:numPr>
        <w:tabs>
          <w:tab w:val="left" w:pos="862"/>
        </w:tabs>
        <w:ind w:left="862" w:hanging="862"/>
      </w:pPr>
      <w:r>
        <w:t>[68]</w:t>
      </w:r>
      <w:r>
        <w:tab/>
      </w:r>
      <w:r w:rsidR="00262B6B">
        <w:t>Materially then, this is applicable to th</w:t>
      </w:r>
      <w:r w:rsidR="0095324F">
        <w:t>is matter</w:t>
      </w:r>
      <w:r w:rsidR="00262B6B">
        <w:t xml:space="preserve"> and</w:t>
      </w:r>
      <w:r w:rsidR="0095324F">
        <w:t>,</w:t>
      </w:r>
      <w:r w:rsidR="00262B6B">
        <w:t xml:space="preserve"> as such</w:t>
      </w:r>
      <w:r w:rsidR="0095324F">
        <w:t>,</w:t>
      </w:r>
      <w:r w:rsidR="00262B6B">
        <w:t xml:space="preserve"> having granted the applicant the right to sell the </w:t>
      </w:r>
      <w:r w:rsidR="00B932B1">
        <w:t>properties</w:t>
      </w:r>
      <w:r w:rsidR="00262B6B">
        <w:t xml:space="preserve"> by private treaty or auction, the respondent did so in a separate agreement</w:t>
      </w:r>
      <w:r w:rsidR="00D83945">
        <w:t xml:space="preserve"> post default</w:t>
      </w:r>
      <w:r w:rsidR="00262B6B">
        <w:t xml:space="preserve"> and </w:t>
      </w:r>
      <w:proofErr w:type="gramStart"/>
      <w:r w:rsidR="00262B6B">
        <w:t>as a consequence</w:t>
      </w:r>
      <w:proofErr w:type="gramEnd"/>
      <w:r w:rsidR="00262B6B">
        <w:t xml:space="preserve"> the </w:t>
      </w:r>
      <w:proofErr w:type="spellStart"/>
      <w:r w:rsidR="00262B6B">
        <w:rPr>
          <w:i/>
          <w:iCs/>
        </w:rPr>
        <w:t>parate</w:t>
      </w:r>
      <w:proofErr w:type="spellEnd"/>
      <w:r w:rsidR="00262B6B">
        <w:rPr>
          <w:i/>
          <w:iCs/>
        </w:rPr>
        <w:t xml:space="preserve"> </w:t>
      </w:r>
      <w:proofErr w:type="spellStart"/>
      <w:r w:rsidR="00262B6B">
        <w:rPr>
          <w:i/>
          <w:iCs/>
        </w:rPr>
        <w:t>executie</w:t>
      </w:r>
      <w:proofErr w:type="spellEnd"/>
      <w:r w:rsidR="00262B6B">
        <w:rPr>
          <w:i/>
          <w:iCs/>
        </w:rPr>
        <w:t xml:space="preserve"> </w:t>
      </w:r>
      <w:r w:rsidR="00262B6B">
        <w:t xml:space="preserve">provision is valid. </w:t>
      </w:r>
    </w:p>
    <w:p w14:paraId="37546732" w14:textId="0393823F" w:rsidR="00C56227" w:rsidRDefault="00445B20" w:rsidP="00445B20">
      <w:pPr>
        <w:pStyle w:val="Heading1"/>
        <w:numPr>
          <w:ilvl w:val="0"/>
          <w:numId w:val="0"/>
        </w:numPr>
        <w:tabs>
          <w:tab w:val="left" w:pos="862"/>
        </w:tabs>
        <w:ind w:left="862" w:hanging="862"/>
      </w:pPr>
      <w:r>
        <w:t>[69]</w:t>
      </w:r>
      <w:r>
        <w:tab/>
      </w:r>
      <w:r w:rsidR="00262B6B">
        <w:t xml:space="preserve">That </w:t>
      </w:r>
      <w:r w:rsidR="00192FF5">
        <w:t xml:space="preserve">also </w:t>
      </w:r>
      <w:r w:rsidR="00262B6B">
        <w:t>puts paid to any of the</w:t>
      </w:r>
      <w:r w:rsidR="00192FF5">
        <w:t xml:space="preserve"> remaining</w:t>
      </w:r>
      <w:r w:rsidR="00262B6B">
        <w:t xml:space="preserve"> relief</w:t>
      </w:r>
      <w:r w:rsidR="00192FF5" w:rsidRPr="00192FF5">
        <w:t xml:space="preserve"> </w:t>
      </w:r>
      <w:r w:rsidR="00192FF5">
        <w:t xml:space="preserve">in the </w:t>
      </w:r>
      <w:proofErr w:type="gramStart"/>
      <w:r w:rsidR="00192FF5">
        <w:t>counter-application</w:t>
      </w:r>
      <w:proofErr w:type="gramEnd"/>
      <w:r w:rsidR="00192FF5">
        <w:t>, albeit not argued before me,</w:t>
      </w:r>
      <w:r w:rsidR="00262B6B">
        <w:t xml:space="preserve"> that the special power of attorney and the agreement of sale which flowed therefrom</w:t>
      </w:r>
      <w:r w:rsidR="00192FF5">
        <w:t xml:space="preserve"> be set aside</w:t>
      </w:r>
      <w:r w:rsidR="00262B6B">
        <w:t xml:space="preserve">.  The interdict was not pursued as the </w:t>
      </w:r>
      <w:r w:rsidR="00B932B1">
        <w:t>properties</w:t>
      </w:r>
      <w:r w:rsidR="00262B6B">
        <w:t xml:space="preserve"> had already been sold and in any event, could not have been granted on any basis </w:t>
      </w:r>
      <w:r w:rsidR="00124FC5">
        <w:t xml:space="preserve">in the circumstances.  </w:t>
      </w:r>
    </w:p>
    <w:p w14:paraId="4510E70F" w14:textId="3139703C" w:rsidR="00C56227" w:rsidRDefault="00445B20" w:rsidP="00445B20">
      <w:pPr>
        <w:pStyle w:val="Heading1"/>
        <w:numPr>
          <w:ilvl w:val="0"/>
          <w:numId w:val="0"/>
        </w:numPr>
        <w:tabs>
          <w:tab w:val="left" w:pos="862"/>
        </w:tabs>
        <w:ind w:left="862" w:hanging="862"/>
      </w:pPr>
      <w:r>
        <w:t>[70]</w:t>
      </w:r>
      <w:r>
        <w:tab/>
      </w:r>
      <w:r w:rsidR="00124FC5">
        <w:t xml:space="preserve">I was also referred to </w:t>
      </w:r>
      <w:r w:rsidR="00124FC5">
        <w:rPr>
          <w:b/>
          <w:bCs/>
          <w:i/>
          <w:iCs/>
        </w:rPr>
        <w:t>Sheard v Land and Agricultural Bank of South Africa</w:t>
      </w:r>
      <w:r w:rsidR="00124FC5" w:rsidRPr="00124FC5">
        <w:rPr>
          <w:rStyle w:val="FootnoteReference"/>
        </w:rPr>
        <w:footnoteReference w:id="33"/>
      </w:r>
      <w:r w:rsidR="00124FC5">
        <w:rPr>
          <w:b/>
          <w:bCs/>
          <w:i/>
          <w:iCs/>
        </w:rPr>
        <w:t xml:space="preserve"> </w:t>
      </w:r>
      <w:r w:rsidR="00124FC5">
        <w:t xml:space="preserve">which once again simply affirms that statutory </w:t>
      </w:r>
      <w:r w:rsidR="00C56227">
        <w:t>provisions</w:t>
      </w:r>
      <w:r w:rsidR="00124FC5">
        <w:t xml:space="preserve"> which enable the Land Bank to attach property without judicial sanction are invalid.  This does not offend the decisions aforesaid. </w:t>
      </w:r>
    </w:p>
    <w:p w14:paraId="2FB11752" w14:textId="3955F233" w:rsidR="00C30B16" w:rsidRDefault="00445B20" w:rsidP="00445B20">
      <w:pPr>
        <w:pStyle w:val="Heading1"/>
        <w:numPr>
          <w:ilvl w:val="0"/>
          <w:numId w:val="0"/>
        </w:numPr>
        <w:tabs>
          <w:tab w:val="left" w:pos="862"/>
        </w:tabs>
        <w:ind w:left="862" w:hanging="862"/>
      </w:pPr>
      <w:r>
        <w:t>[71]</w:t>
      </w:r>
      <w:r>
        <w:tab/>
      </w:r>
      <w:r w:rsidR="00321F03">
        <w:t>As such the attempt by the respondent to delay the inevitable with an ill-</w:t>
      </w:r>
      <w:r w:rsidR="00321F03">
        <w:lastRenderedPageBreak/>
        <w:t>founded referral to trial must be dismissed.</w:t>
      </w:r>
    </w:p>
    <w:p w14:paraId="6C875CE4" w14:textId="37E723D2" w:rsidR="00262B6B" w:rsidRDefault="00445B20" w:rsidP="00445B20">
      <w:pPr>
        <w:pStyle w:val="Heading1"/>
        <w:numPr>
          <w:ilvl w:val="0"/>
          <w:numId w:val="0"/>
        </w:numPr>
        <w:tabs>
          <w:tab w:val="left" w:pos="862"/>
        </w:tabs>
        <w:ind w:left="862" w:hanging="862"/>
      </w:pPr>
      <w:r>
        <w:t>[72]</w:t>
      </w:r>
      <w:r>
        <w:tab/>
      </w:r>
      <w:r w:rsidR="00321F03">
        <w:t xml:space="preserve"> As set out in </w:t>
      </w:r>
      <w:r w:rsidR="00321F03">
        <w:rPr>
          <w:b/>
          <w:bCs/>
          <w:i/>
          <w:iCs/>
        </w:rPr>
        <w:t>Room Hire Co (Pty) Ltd v Jeppe Street Mansions (Pty) Ltd</w:t>
      </w:r>
      <w:r w:rsidR="00321F03" w:rsidRPr="00321F03">
        <w:t>:</w:t>
      </w:r>
      <w:r w:rsidR="00321F03" w:rsidRPr="00321F03">
        <w:rPr>
          <w:rStyle w:val="FootnoteReference"/>
        </w:rPr>
        <w:footnoteReference w:id="34"/>
      </w:r>
    </w:p>
    <w:p w14:paraId="317AFEEC" w14:textId="77777777" w:rsidR="00E94983" w:rsidRDefault="00321F03" w:rsidP="00E94983">
      <w:pPr>
        <w:ind w:left="1871" w:hanging="1871"/>
        <w:rPr>
          <w:i/>
          <w:iCs/>
        </w:rPr>
      </w:pPr>
      <w:r>
        <w:tab/>
      </w:r>
      <w:r>
        <w:tab/>
      </w:r>
      <w:r>
        <w:rPr>
          <w:i/>
          <w:iCs/>
        </w:rPr>
        <w:t>“</w:t>
      </w:r>
      <w:r w:rsidR="00E94983">
        <w:rPr>
          <w:i/>
          <w:iCs/>
        </w:rPr>
        <w:t>T</w:t>
      </w:r>
      <w:r w:rsidR="00E94983" w:rsidRPr="00E94983">
        <w:rPr>
          <w:i/>
          <w:iCs/>
        </w:rPr>
        <w:t>he crucial question is always whether there is a real dispute of fact. That being so, and the applicant being entitled in the absence of such dispute to secure relief by means of affidavit evidence, it does not appear that a respondent is entitled to defeat the applicant merely by bare denials such as he might employ in the pleadings of a trial action, for the sole purpose of forcing his opponent in the witness box to undergo cross-examination. Nor is the respondent’s mere allegation of the existence of the dispute of fact conclusive of such existence.</w:t>
      </w:r>
    </w:p>
    <w:p w14:paraId="338160CA" w14:textId="40887D43" w:rsidR="00E94983" w:rsidRDefault="00E94983" w:rsidP="00E94983">
      <w:pPr>
        <w:ind w:left="1871" w:hanging="1871"/>
        <w:rPr>
          <w:i/>
          <w:iCs/>
        </w:rPr>
      </w:pPr>
      <w:r>
        <w:rPr>
          <w:i/>
          <w:iCs/>
        </w:rPr>
        <w:tab/>
      </w:r>
      <w:r>
        <w:rPr>
          <w:i/>
          <w:iCs/>
        </w:rPr>
        <w:tab/>
        <w:t>‘</w:t>
      </w:r>
      <w:r w:rsidRPr="00E94983">
        <w:rPr>
          <w:i/>
          <w:iCs/>
        </w:rPr>
        <w:t>In every case the Court must examine the alleged dispute of fact and see whether in truth there is a real issue of fact which cannot be satisfactorily determined without the aid of oral evidence; if this is not done, the lessee, against whom the ejectment is sought, might be able to raise fictitious issues of fact and thus delay the hearing of the matter to the prejudice of the lessor.</w:t>
      </w:r>
      <w:r>
        <w:rPr>
          <w:i/>
          <w:iCs/>
        </w:rPr>
        <w:t xml:space="preserve">’  </w:t>
      </w:r>
    </w:p>
    <w:p w14:paraId="5C5CF689" w14:textId="4F3A59EB" w:rsidR="00321F03" w:rsidRPr="00E94983" w:rsidRDefault="00E94983" w:rsidP="00E94983">
      <w:pPr>
        <w:ind w:left="1871" w:hanging="1871"/>
      </w:pPr>
      <w:r>
        <w:rPr>
          <w:i/>
          <w:iCs/>
        </w:rPr>
        <w:tab/>
      </w:r>
      <w:r>
        <w:rPr>
          <w:i/>
          <w:iCs/>
        </w:rPr>
        <w:tab/>
      </w:r>
      <w:r w:rsidRPr="00D50BC7">
        <w:rPr>
          <w:i/>
          <w:iCs/>
        </w:rPr>
        <w:t xml:space="preserve">(per </w:t>
      </w:r>
      <w:proofErr w:type="spellStart"/>
      <w:r w:rsidRPr="00D50BC7">
        <w:rPr>
          <w:i/>
          <w:iCs/>
        </w:rPr>
        <w:t>Watermeyer</w:t>
      </w:r>
      <w:proofErr w:type="spellEnd"/>
      <w:r w:rsidRPr="00D50BC7">
        <w:rPr>
          <w:i/>
          <w:iCs/>
        </w:rPr>
        <w:t xml:space="preserve"> CJ, </w:t>
      </w:r>
      <w:r w:rsidR="00D50BC7" w:rsidRPr="00D50BC7">
        <w:rPr>
          <w:i/>
          <w:iCs/>
        </w:rPr>
        <w:t>in Preston v Cuthbert &amp; Co Ltd (supra, at p. 428))”</w:t>
      </w:r>
    </w:p>
    <w:p w14:paraId="7C6EDF0F" w14:textId="661B1450" w:rsidR="00D50BC7" w:rsidRDefault="00445B20" w:rsidP="00445B20">
      <w:pPr>
        <w:pStyle w:val="Heading1"/>
        <w:numPr>
          <w:ilvl w:val="0"/>
          <w:numId w:val="0"/>
        </w:numPr>
        <w:tabs>
          <w:tab w:val="left" w:pos="862"/>
        </w:tabs>
        <w:ind w:left="862" w:hanging="862"/>
      </w:pPr>
      <w:r>
        <w:t>[73]</w:t>
      </w:r>
      <w:r>
        <w:tab/>
      </w:r>
      <w:r w:rsidR="00D50BC7">
        <w:t xml:space="preserve">In </w:t>
      </w:r>
      <w:proofErr w:type="gramStart"/>
      <w:r w:rsidR="00D50BC7">
        <w:t>all of</w:t>
      </w:r>
      <w:proofErr w:type="gramEnd"/>
      <w:r w:rsidR="00D50BC7">
        <w:t xml:space="preserve"> the circumstances, the applicant has made out a proper case and is entitled to the relief which it seeks.  </w:t>
      </w:r>
    </w:p>
    <w:p w14:paraId="3CF6C121" w14:textId="0DCBFFA5" w:rsidR="00D50BC7" w:rsidRDefault="00445B20" w:rsidP="00445B20">
      <w:pPr>
        <w:pStyle w:val="Heading1"/>
        <w:numPr>
          <w:ilvl w:val="0"/>
          <w:numId w:val="0"/>
        </w:numPr>
        <w:tabs>
          <w:tab w:val="left" w:pos="862"/>
        </w:tabs>
        <w:ind w:left="862" w:hanging="862"/>
      </w:pPr>
      <w:r>
        <w:t>[74]</w:t>
      </w:r>
      <w:r>
        <w:tab/>
      </w:r>
      <w:r w:rsidR="00D50BC7">
        <w:t xml:space="preserve">Insofar as the costs are sought on an attorney client scale, I was also requested to incorporate the reserved costs that were made by </w:t>
      </w:r>
      <w:proofErr w:type="spellStart"/>
      <w:r w:rsidR="00D50BC7">
        <w:t>Makume</w:t>
      </w:r>
      <w:proofErr w:type="spellEnd"/>
      <w:r w:rsidR="00D50BC7">
        <w:t xml:space="preserve"> </w:t>
      </w:r>
      <w:r w:rsidR="00D50BC7">
        <w:lastRenderedPageBreak/>
        <w:t>J</w:t>
      </w:r>
      <w:r w:rsidR="0011759E">
        <w:t>. The submission made by the respondent’s counsel that the scale of costs</w:t>
      </w:r>
      <w:r w:rsidR="00A040F5">
        <w:t xml:space="preserve"> was</w:t>
      </w:r>
      <w:r w:rsidR="0011759E">
        <w:t xml:space="preserve"> punitive </w:t>
      </w:r>
      <w:r w:rsidR="00A040F5">
        <w:t xml:space="preserve">is incorrect. </w:t>
      </w:r>
      <w:r w:rsidR="00156CDE">
        <w:t xml:space="preserve">The loan agreements make provision for costs on </w:t>
      </w:r>
      <w:r w:rsidR="0011759E">
        <w:t>an</w:t>
      </w:r>
      <w:r w:rsidR="00156CDE">
        <w:t xml:space="preserve"> attorney client basis</w:t>
      </w:r>
      <w:r w:rsidR="004C7DE5">
        <w:rPr>
          <w:rStyle w:val="FootnoteReference"/>
        </w:rPr>
        <w:footnoteReference w:id="35"/>
      </w:r>
      <w:r w:rsidR="00156CDE">
        <w:t xml:space="preserve"> and there is no suggestion</w:t>
      </w:r>
      <w:r w:rsidR="00C30B16">
        <w:t>,</w:t>
      </w:r>
      <w:r w:rsidR="00156CDE">
        <w:t xml:space="preserve"> as was submitted to me</w:t>
      </w:r>
      <w:r w:rsidR="00C30B16">
        <w:t xml:space="preserve">, </w:t>
      </w:r>
      <w:r w:rsidR="00156CDE">
        <w:t>that the respondent was being penalised.</w:t>
      </w:r>
      <w:r w:rsidR="0011759E" w:rsidRPr="0011759E">
        <w:t xml:space="preserve"> </w:t>
      </w:r>
      <w:r w:rsidR="00A040F5">
        <w:t xml:space="preserve"> The respondent </w:t>
      </w:r>
      <w:r w:rsidR="004C7DE5">
        <w:t>obtained</w:t>
      </w:r>
      <w:r w:rsidR="00A040F5">
        <w:t xml:space="preserve"> a postponement before </w:t>
      </w:r>
      <w:proofErr w:type="spellStart"/>
      <w:r w:rsidR="00A040F5">
        <w:t>Makume</w:t>
      </w:r>
      <w:proofErr w:type="spellEnd"/>
      <w:r w:rsidR="00A040F5">
        <w:t xml:space="preserve"> J to secure legal representation and file supplementary affidavits, which he elected not to do. There is no reason why those costs should not be borne by the respondent and follow the result.</w:t>
      </w:r>
    </w:p>
    <w:p w14:paraId="39FB427E" w14:textId="01B7F301" w:rsidR="00156CDE" w:rsidRDefault="00445B20" w:rsidP="00445B20">
      <w:pPr>
        <w:pStyle w:val="Heading1"/>
        <w:numPr>
          <w:ilvl w:val="0"/>
          <w:numId w:val="0"/>
        </w:numPr>
        <w:tabs>
          <w:tab w:val="left" w:pos="862"/>
        </w:tabs>
        <w:ind w:left="862" w:hanging="862"/>
      </w:pPr>
      <w:r>
        <w:t>[75]</w:t>
      </w:r>
      <w:r>
        <w:tab/>
      </w:r>
      <w:r w:rsidR="00156CDE">
        <w:t>I make an order in the following terms:</w:t>
      </w:r>
    </w:p>
    <w:p w14:paraId="737F583F" w14:textId="12A93DE3" w:rsidR="00156CDE" w:rsidRDefault="00445B20" w:rsidP="00445B20">
      <w:pPr>
        <w:ind w:left="1219" w:hanging="357"/>
      </w:pPr>
      <w:r>
        <w:t>1.</w:t>
      </w:r>
      <w:r>
        <w:tab/>
      </w:r>
      <w:r w:rsidR="00A040F5">
        <w:t>T</w:t>
      </w:r>
      <w:r w:rsidR="00156CDE">
        <w:t>he respondent</w:t>
      </w:r>
      <w:r w:rsidR="00A040F5">
        <w:t xml:space="preserve"> is </w:t>
      </w:r>
      <w:r w:rsidR="00156CDE">
        <w:t>to pay the applicant the sum of R490 607,20 together with interest at a rate of 11.5% from 30 June 2022 to date of payment.</w:t>
      </w:r>
    </w:p>
    <w:p w14:paraId="022EC855" w14:textId="2B54E705" w:rsidR="00156CDE" w:rsidRDefault="00445B20" w:rsidP="00445B20">
      <w:pPr>
        <w:ind w:left="1219" w:hanging="357"/>
      </w:pPr>
      <w:r>
        <w:t>2.</w:t>
      </w:r>
      <w:r>
        <w:tab/>
      </w:r>
      <w:r w:rsidR="00A040F5">
        <w:t>T</w:t>
      </w:r>
      <w:r w:rsidR="00156CDE">
        <w:t>he respondent</w:t>
      </w:r>
      <w:r w:rsidR="00A040F5">
        <w:t xml:space="preserve"> is </w:t>
      </w:r>
      <w:r w:rsidR="00156CDE">
        <w:t>to pay the applicant the sum of R22 967 271,94 plus interest at the rate of 9.5% per annum from 30 June 2022 to date of payment.</w:t>
      </w:r>
    </w:p>
    <w:p w14:paraId="36F4D45A" w14:textId="4024EEE0" w:rsidR="00156CDE" w:rsidRDefault="00445B20" w:rsidP="00445B20">
      <w:pPr>
        <w:ind w:left="1219" w:hanging="357"/>
      </w:pPr>
      <w:r>
        <w:t>3.</w:t>
      </w:r>
      <w:r>
        <w:tab/>
      </w:r>
      <w:proofErr w:type="gramStart"/>
      <w:r w:rsidR="00156CDE">
        <w:t xml:space="preserve">The </w:t>
      </w:r>
      <w:r w:rsidR="00A040F5">
        <w:t xml:space="preserve"> respondent’s</w:t>
      </w:r>
      <w:proofErr w:type="gramEnd"/>
      <w:r w:rsidR="00A040F5">
        <w:t xml:space="preserve"> c</w:t>
      </w:r>
      <w:r w:rsidR="00156CDE">
        <w:t>ounter-application is dismissed with costs</w:t>
      </w:r>
      <w:r w:rsidR="00A040F5">
        <w:t xml:space="preserve"> awarded to the applicant</w:t>
      </w:r>
      <w:r w:rsidR="00156CDE">
        <w:t>.</w:t>
      </w:r>
    </w:p>
    <w:p w14:paraId="3F966A78" w14:textId="6F3D97A5" w:rsidR="00156CDE" w:rsidRPr="000252C8" w:rsidRDefault="00445B20" w:rsidP="00445B20">
      <w:pPr>
        <w:ind w:left="1219" w:hanging="357"/>
      </w:pPr>
      <w:r w:rsidRPr="000252C8">
        <w:t>4.</w:t>
      </w:r>
      <w:r w:rsidRPr="000252C8">
        <w:tab/>
      </w:r>
      <w:r w:rsidR="00156CDE">
        <w:t>The respondent is to pay the costs of this application on an attorney and client scale together with the reserved costs incurred on 3 June 2022.</w:t>
      </w:r>
    </w:p>
    <w:p w14:paraId="53743F67" w14:textId="10C42F70" w:rsidR="006E34E4" w:rsidRDefault="006E34E4" w:rsidP="006E34E4">
      <w:pPr>
        <w:keepNext/>
        <w:keepLines/>
        <w:tabs>
          <w:tab w:val="left" w:pos="0"/>
        </w:tabs>
        <w:spacing w:before="240" w:after="0" w:line="240" w:lineRule="auto"/>
        <w:jc w:val="right"/>
        <w:rPr>
          <w:b/>
          <w:u w:val="single"/>
        </w:rPr>
      </w:pPr>
      <w:r>
        <w:rPr>
          <w:b/>
          <w:u w:val="single"/>
        </w:rPr>
        <w:lastRenderedPageBreak/>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2163247A" w:rsidR="006E34E4" w:rsidRDefault="006E34E4" w:rsidP="006E34E4">
      <w:pPr>
        <w:spacing w:after="120"/>
        <w:jc w:val="right"/>
        <w:rPr>
          <w:rFonts w:cs="Arial"/>
          <w:i/>
        </w:rPr>
      </w:pPr>
      <w:r w:rsidRPr="0084771B">
        <w:rPr>
          <w:rFonts w:cs="Arial"/>
          <w:i/>
        </w:rPr>
        <w:t xml:space="preserve">Gauteng Division, </w:t>
      </w:r>
      <w:r>
        <w:rPr>
          <w:rFonts w:cs="Arial"/>
          <w:i/>
        </w:rPr>
        <w:t>Johannesburg</w:t>
      </w:r>
    </w:p>
    <w:p w14:paraId="3F04DAED" w14:textId="77777777" w:rsidR="00EA5BC8" w:rsidRDefault="00EA5BC8" w:rsidP="0099055C">
      <w:pPr>
        <w:spacing w:after="120"/>
        <w:rPr>
          <w:rFonts w:cs="Arial"/>
          <w:i/>
        </w:rPr>
      </w:pPr>
    </w:p>
    <w:p w14:paraId="722DD3B9" w14:textId="612AC1A3" w:rsidR="00C30B16" w:rsidRDefault="00C30B16" w:rsidP="006E34E4">
      <w:pPr>
        <w:keepNext/>
        <w:keepLines/>
        <w:tabs>
          <w:tab w:val="left" w:pos="0"/>
        </w:tabs>
        <w:spacing w:before="240"/>
        <w:rPr>
          <w:b/>
          <w:u w:val="single"/>
        </w:rPr>
      </w:pP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t>HEARD ON: </w:t>
            </w:r>
          </w:p>
        </w:tc>
        <w:tc>
          <w:tcPr>
            <w:tcW w:w="5208" w:type="dxa"/>
            <w:tcMar>
              <w:top w:w="32" w:type="dxa"/>
              <w:left w:w="108" w:type="dxa"/>
              <w:bottom w:w="32" w:type="dxa"/>
              <w:right w:w="108" w:type="dxa"/>
            </w:tcMar>
            <w:vAlign w:val="center"/>
            <w:hideMark/>
          </w:tcPr>
          <w:p w14:paraId="0D924218" w14:textId="1460D1F8" w:rsidR="006E34E4" w:rsidRDefault="001D100C" w:rsidP="00C240DF">
            <w:pPr>
              <w:keepNext/>
              <w:spacing w:after="0" w:line="240" w:lineRule="auto"/>
              <w:rPr>
                <w:sz w:val="22"/>
                <w:szCs w:val="22"/>
              </w:rPr>
            </w:pPr>
            <w:r>
              <w:rPr>
                <w:sz w:val="22"/>
                <w:szCs w:val="22"/>
              </w:rPr>
              <w:t>2</w:t>
            </w:r>
            <w:r w:rsidR="00CF36F4">
              <w:rPr>
                <w:sz w:val="22"/>
                <w:szCs w:val="22"/>
              </w:rPr>
              <w:t>4</w:t>
            </w:r>
            <w:r>
              <w:rPr>
                <w:sz w:val="22"/>
                <w:szCs w:val="22"/>
              </w:rPr>
              <w:t xml:space="preserve"> May 2023</w:t>
            </w:r>
          </w:p>
        </w:tc>
      </w:tr>
      <w:tr w:rsidR="006E34E4" w14:paraId="35A136C3" w14:textId="77777777">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20AAE5F8" w:rsidR="006E34E4" w:rsidRDefault="00206E4E" w:rsidP="00C240DF">
            <w:pPr>
              <w:keepNext/>
              <w:spacing w:after="0" w:line="240" w:lineRule="auto"/>
            </w:pPr>
            <w:r>
              <w:t>3</w:t>
            </w:r>
            <w:r w:rsidR="0099055C">
              <w:t xml:space="preserve"> January</w:t>
            </w:r>
            <w:r w:rsidR="00F300AA">
              <w:t xml:space="preserve"> 202</w:t>
            </w:r>
            <w:r w:rsidR="0099055C">
              <w:t>4</w:t>
            </w:r>
          </w:p>
        </w:tc>
      </w:tr>
      <w:tr w:rsidR="006E34E4" w14:paraId="0FEED89A" w14:textId="77777777">
        <w:tc>
          <w:tcPr>
            <w:tcW w:w="3936" w:type="dxa"/>
            <w:tcMar>
              <w:top w:w="32" w:type="dxa"/>
              <w:left w:w="108" w:type="dxa"/>
              <w:bottom w:w="32" w:type="dxa"/>
              <w:right w:w="108" w:type="dxa"/>
            </w:tcMar>
            <w:vAlign w:val="center"/>
            <w:hideMark/>
          </w:tcPr>
          <w:p w14:paraId="04BEABD0" w14:textId="63296211" w:rsidR="006E34E4" w:rsidRDefault="006E34E4" w:rsidP="00143DA0">
            <w:pPr>
              <w:keepNext/>
              <w:spacing w:before="120" w:after="0" w:line="240" w:lineRule="auto"/>
              <w:ind w:right="-108"/>
              <w:jc w:val="left"/>
            </w:pPr>
            <w:r>
              <w:t xml:space="preserve">FOR </w:t>
            </w:r>
            <w:r w:rsidR="000C5D4A">
              <w:t>APPLICANT</w:t>
            </w:r>
            <w:r>
              <w:t>:</w:t>
            </w:r>
          </w:p>
        </w:tc>
        <w:tc>
          <w:tcPr>
            <w:tcW w:w="5208" w:type="dxa"/>
            <w:tcMar>
              <w:top w:w="32" w:type="dxa"/>
              <w:left w:w="108" w:type="dxa"/>
              <w:bottom w:w="32" w:type="dxa"/>
              <w:right w:w="108" w:type="dxa"/>
            </w:tcMar>
            <w:vAlign w:val="center"/>
            <w:hideMark/>
          </w:tcPr>
          <w:p w14:paraId="7A3DC197" w14:textId="3A09B338" w:rsidR="00DB42AA" w:rsidRDefault="001D100C" w:rsidP="00C240DF">
            <w:pPr>
              <w:keepNext/>
              <w:spacing w:after="0" w:line="240" w:lineRule="auto"/>
            </w:pPr>
            <w:r>
              <w:t xml:space="preserve">Adv J </w:t>
            </w:r>
            <w:r w:rsidR="000C5D4A">
              <w:t>E</w:t>
            </w:r>
            <w:r>
              <w:t xml:space="preserve"> </w:t>
            </w:r>
            <w:r w:rsidR="000C5D4A">
              <w:t>Smit</w:t>
            </w:r>
          </w:p>
          <w:p w14:paraId="4E8C465C" w14:textId="5861B0E2" w:rsidR="00DB42AA" w:rsidRDefault="00DB42AA" w:rsidP="00C240DF">
            <w:pPr>
              <w:keepNext/>
              <w:spacing w:after="0" w:line="240" w:lineRule="auto"/>
            </w:pPr>
            <w:r>
              <w:t>E-mail:</w:t>
            </w:r>
            <w:r w:rsidR="00831AD2">
              <w:t xml:space="preserve"> </w:t>
            </w:r>
            <w:hyperlink r:id="rId9" w:history="1">
              <w:r w:rsidR="000C5D4A" w:rsidRPr="00282619">
                <w:rPr>
                  <w:rStyle w:val="Hyperlink"/>
                </w:rPr>
                <w:t>johan@jesmit.com</w:t>
              </w:r>
            </w:hyperlink>
            <w:r w:rsidR="001D100C">
              <w:t xml:space="preserve"> </w:t>
            </w:r>
          </w:p>
          <w:p w14:paraId="21D1FD4B" w14:textId="44BD0382" w:rsidR="00831AD2" w:rsidRDefault="00831AD2" w:rsidP="00C240DF">
            <w:pPr>
              <w:keepNext/>
              <w:spacing w:after="0" w:line="240" w:lineRule="auto"/>
            </w:pPr>
            <w:r>
              <w:t xml:space="preserve">Cell: </w:t>
            </w:r>
            <w:r w:rsidR="001D100C">
              <w:t>08</w:t>
            </w:r>
            <w:r w:rsidR="000C5D4A">
              <w:t>2</w:t>
            </w:r>
            <w:r w:rsidR="001D100C">
              <w:t> </w:t>
            </w:r>
            <w:r w:rsidR="000C5D4A">
              <w:t>468</w:t>
            </w:r>
            <w:r w:rsidR="001D100C">
              <w:t xml:space="preserve"> </w:t>
            </w:r>
            <w:r w:rsidR="000C5D4A">
              <w:t>1755</w:t>
            </w:r>
          </w:p>
        </w:tc>
      </w:tr>
      <w:tr w:rsidR="006E34E4" w14:paraId="2DF2512C" w14:textId="77777777">
        <w:tc>
          <w:tcPr>
            <w:tcW w:w="3936" w:type="dxa"/>
            <w:tcMar>
              <w:top w:w="32" w:type="dxa"/>
              <w:left w:w="108" w:type="dxa"/>
              <w:bottom w:w="32" w:type="dxa"/>
              <w:right w:w="108" w:type="dxa"/>
            </w:tcMar>
            <w:vAlign w:val="center"/>
            <w:hideMark/>
          </w:tcPr>
          <w:p w14:paraId="58F841D1"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372109F" w14:textId="6F867606" w:rsidR="00D478B5" w:rsidRDefault="000C5D4A" w:rsidP="00D478B5">
            <w:pPr>
              <w:spacing w:after="0" w:line="240" w:lineRule="auto"/>
              <w:ind w:left="3022" w:hanging="3022"/>
            </w:pPr>
            <w:r>
              <w:t>ENS Africa Incorporated</w:t>
            </w:r>
          </w:p>
          <w:p w14:paraId="0AD17EDC" w14:textId="463ABE8F" w:rsidR="00C240DF" w:rsidRPr="000C5D4A" w:rsidRDefault="003202ED" w:rsidP="000C5D4A">
            <w:pPr>
              <w:keepNext/>
              <w:spacing w:after="0" w:line="240" w:lineRule="auto"/>
              <w:jc w:val="left"/>
            </w:pPr>
            <w:r>
              <w:rPr>
                <w:sz w:val="22"/>
                <w:szCs w:val="22"/>
              </w:rPr>
              <w:t>E-mail:</w:t>
            </w:r>
            <w:r w:rsidR="000C5D4A">
              <w:rPr>
                <w:sz w:val="22"/>
                <w:szCs w:val="22"/>
              </w:rPr>
              <w:t xml:space="preserve"> </w:t>
            </w:r>
            <w:hyperlink r:id="rId10" w:history="1">
              <w:r w:rsidR="000C5D4A" w:rsidRPr="00282619">
                <w:rPr>
                  <w:rStyle w:val="Hyperlink"/>
                </w:rPr>
                <w:t>nmakena@ensafrica.com     kkotze@ensafrica.com</w:t>
              </w:r>
            </w:hyperlink>
          </w:p>
          <w:p w14:paraId="4701DFC5" w14:textId="013059DE" w:rsidR="00831AD2" w:rsidRDefault="001D100C" w:rsidP="00C240DF">
            <w:pPr>
              <w:keepNext/>
              <w:spacing w:after="0" w:line="240" w:lineRule="auto"/>
              <w:rPr>
                <w:sz w:val="22"/>
                <w:szCs w:val="22"/>
              </w:rPr>
            </w:pPr>
            <w:r>
              <w:rPr>
                <w:sz w:val="22"/>
                <w:szCs w:val="22"/>
              </w:rPr>
              <w:t>Tel</w:t>
            </w:r>
            <w:r w:rsidR="00831AD2">
              <w:rPr>
                <w:sz w:val="22"/>
                <w:szCs w:val="22"/>
              </w:rPr>
              <w:t>:</w:t>
            </w:r>
            <w:r>
              <w:rPr>
                <w:sz w:val="22"/>
                <w:szCs w:val="22"/>
              </w:rPr>
              <w:t xml:space="preserve"> (011) </w:t>
            </w:r>
            <w:r w:rsidR="000C5D4A">
              <w:rPr>
                <w:sz w:val="22"/>
                <w:szCs w:val="22"/>
              </w:rPr>
              <w:t>269</w:t>
            </w:r>
            <w:r>
              <w:rPr>
                <w:sz w:val="22"/>
                <w:szCs w:val="22"/>
              </w:rPr>
              <w:t>-</w:t>
            </w:r>
            <w:r w:rsidR="000C5D4A">
              <w:rPr>
                <w:sz w:val="22"/>
                <w:szCs w:val="22"/>
              </w:rPr>
              <w:t>7600</w:t>
            </w:r>
            <w:r w:rsidR="00831AD2">
              <w:rPr>
                <w:sz w:val="22"/>
                <w:szCs w:val="22"/>
              </w:rPr>
              <w:t xml:space="preserve"> </w:t>
            </w:r>
          </w:p>
        </w:tc>
      </w:tr>
      <w:tr w:rsidR="006E34E4" w14:paraId="1DF258FF" w14:textId="77777777">
        <w:tc>
          <w:tcPr>
            <w:tcW w:w="3936" w:type="dxa"/>
            <w:tcMar>
              <w:top w:w="32" w:type="dxa"/>
              <w:left w:w="108" w:type="dxa"/>
              <w:bottom w:w="32" w:type="dxa"/>
              <w:right w:w="108" w:type="dxa"/>
            </w:tcMar>
            <w:vAlign w:val="center"/>
            <w:hideMark/>
          </w:tcPr>
          <w:p w14:paraId="4420DF33" w14:textId="71D23E99" w:rsidR="006E34E4" w:rsidRDefault="006E34E4" w:rsidP="00C240DF">
            <w:pPr>
              <w:keepNext/>
              <w:spacing w:before="120" w:after="0" w:line="240" w:lineRule="auto"/>
              <w:jc w:val="left"/>
              <w:rPr>
                <w:sz w:val="22"/>
                <w:szCs w:val="22"/>
              </w:rPr>
            </w:pPr>
            <w:r>
              <w:t xml:space="preserve">FOR </w:t>
            </w:r>
            <w:r w:rsidR="000C5D4A">
              <w:t>RESPONDENT</w:t>
            </w:r>
            <w:r>
              <w:t>: </w:t>
            </w:r>
          </w:p>
        </w:tc>
        <w:tc>
          <w:tcPr>
            <w:tcW w:w="5208" w:type="dxa"/>
            <w:tcMar>
              <w:top w:w="32" w:type="dxa"/>
              <w:left w:w="108" w:type="dxa"/>
              <w:bottom w:w="32" w:type="dxa"/>
              <w:right w:w="108" w:type="dxa"/>
            </w:tcMar>
            <w:vAlign w:val="center"/>
            <w:hideMark/>
          </w:tcPr>
          <w:p w14:paraId="111FF68B" w14:textId="600BDF1E" w:rsidR="00702DA1" w:rsidRDefault="00984D41" w:rsidP="00C240DF">
            <w:pPr>
              <w:keepNext/>
              <w:spacing w:after="0" w:line="240" w:lineRule="auto"/>
            </w:pPr>
            <w:r>
              <w:t xml:space="preserve">Adv </w:t>
            </w:r>
            <w:r w:rsidR="000C5D4A">
              <w:t>G H Meyer (</w:t>
            </w:r>
            <w:r w:rsidR="00CF36F4">
              <w:t>now deceased</w:t>
            </w:r>
            <w:r w:rsidR="000C5D4A">
              <w:t>)</w:t>
            </w:r>
          </w:p>
          <w:p w14:paraId="3C1F75AE" w14:textId="6CA634AB" w:rsidR="00EA5BC8" w:rsidRDefault="00EA5BC8" w:rsidP="00C240DF">
            <w:pPr>
              <w:keepNext/>
              <w:spacing w:after="0" w:line="240" w:lineRule="auto"/>
              <w:rPr>
                <w:sz w:val="22"/>
                <w:szCs w:val="22"/>
              </w:rPr>
            </w:pPr>
          </w:p>
        </w:tc>
      </w:tr>
      <w:tr w:rsidR="006E34E4" w14:paraId="03D680E1" w14:textId="77777777">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112DF1D" w14:textId="61FAF14A" w:rsidR="00984D41" w:rsidRDefault="000C5D4A" w:rsidP="00C240DF">
            <w:pPr>
              <w:keepNext/>
              <w:spacing w:after="0" w:line="240" w:lineRule="auto"/>
            </w:pPr>
            <w:proofErr w:type="spellStart"/>
            <w:r>
              <w:t>Fluxmans</w:t>
            </w:r>
            <w:proofErr w:type="spellEnd"/>
            <w:r>
              <w:t xml:space="preserve"> Attorneys</w:t>
            </w:r>
          </w:p>
          <w:p w14:paraId="6BE9CF34" w14:textId="73A5E58A" w:rsidR="007154C1" w:rsidRPr="004B18B7" w:rsidRDefault="00C240DF" w:rsidP="00C240DF">
            <w:pPr>
              <w:keepNext/>
              <w:spacing w:after="0" w:line="240" w:lineRule="auto"/>
              <w:rPr>
                <w:rStyle w:val="Hyperlink"/>
                <w:color w:val="auto"/>
                <w:u w:val="none"/>
              </w:rPr>
            </w:pPr>
            <w:r>
              <w:t>E-mail:</w:t>
            </w:r>
            <w:r w:rsidR="00984D41">
              <w:t xml:space="preserve"> </w:t>
            </w:r>
            <w:hyperlink r:id="rId11" w:history="1">
              <w:r w:rsidR="000C5D4A" w:rsidRPr="00282619">
                <w:rPr>
                  <w:rStyle w:val="Hyperlink"/>
                </w:rPr>
                <w:t>jlevitz@fluxmans.com</w:t>
              </w:r>
            </w:hyperlink>
            <w:r w:rsidR="000C5D4A">
              <w:t xml:space="preserve"> </w:t>
            </w:r>
            <w:r w:rsidR="00984D41">
              <w:t xml:space="preserve"> </w:t>
            </w:r>
          </w:p>
          <w:p w14:paraId="25D552CE" w14:textId="22D85479" w:rsidR="00EA5BC8" w:rsidRDefault="00984D41" w:rsidP="00C240DF">
            <w:pPr>
              <w:keepNext/>
              <w:spacing w:after="0" w:line="240" w:lineRule="auto"/>
              <w:rPr>
                <w:sz w:val="22"/>
                <w:szCs w:val="22"/>
              </w:rPr>
            </w:pPr>
            <w:r>
              <w:rPr>
                <w:sz w:val="22"/>
                <w:szCs w:val="22"/>
              </w:rPr>
              <w:t>Tel</w:t>
            </w:r>
            <w:r w:rsidR="00867F57">
              <w:rPr>
                <w:sz w:val="22"/>
                <w:szCs w:val="22"/>
              </w:rPr>
              <w:t xml:space="preserve">: </w:t>
            </w:r>
            <w:r w:rsidR="000C5D4A">
              <w:rPr>
                <w:sz w:val="22"/>
                <w:szCs w:val="22"/>
              </w:rPr>
              <w:t>(011) 328-1825</w:t>
            </w:r>
          </w:p>
        </w:tc>
      </w:tr>
      <w:bookmarkEnd w:id="1"/>
      <w:bookmarkEnd w:id="2"/>
    </w:tbl>
    <w:p w14:paraId="06EDD1BB" w14:textId="77777777" w:rsidR="00EA5BC8" w:rsidRPr="00964F05" w:rsidRDefault="00EA5BC8" w:rsidP="006E34E4">
      <w:pPr>
        <w:pStyle w:val="Heading2"/>
        <w:numPr>
          <w:ilvl w:val="0"/>
          <w:numId w:val="0"/>
        </w:numPr>
      </w:pPr>
    </w:p>
    <w:sectPr w:rsidR="00EA5BC8" w:rsidRPr="00964F05" w:rsidSect="00B33232">
      <w:headerReference w:type="even" r:id="rId12"/>
      <w:headerReference w:type="default" r:id="rId13"/>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E33A" w14:textId="77777777" w:rsidR="00B33232" w:rsidRDefault="00B33232" w:rsidP="00B958BA">
      <w:pPr>
        <w:pStyle w:val="Title"/>
      </w:pPr>
      <w:r>
        <w:separator/>
      </w:r>
    </w:p>
  </w:endnote>
  <w:endnote w:type="continuationSeparator" w:id="0">
    <w:p w14:paraId="71711DC0" w14:textId="77777777" w:rsidR="00B33232" w:rsidRDefault="00B33232"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E02E" w14:textId="77777777" w:rsidR="00B33232" w:rsidRDefault="00B33232" w:rsidP="00B958BA">
      <w:pPr>
        <w:pStyle w:val="Title"/>
      </w:pPr>
      <w:r>
        <w:separator/>
      </w:r>
    </w:p>
  </w:footnote>
  <w:footnote w:type="continuationSeparator" w:id="0">
    <w:p w14:paraId="433C7EB7" w14:textId="77777777" w:rsidR="00B33232" w:rsidRDefault="00B33232" w:rsidP="00B958BA">
      <w:pPr>
        <w:pStyle w:val="Title"/>
      </w:pPr>
      <w:r>
        <w:continuationSeparator/>
      </w:r>
    </w:p>
  </w:footnote>
  <w:footnote w:id="1">
    <w:p w14:paraId="30F6FA8B" w14:textId="1CED5D7A" w:rsidR="0031783F" w:rsidRDefault="0031783F">
      <w:pPr>
        <w:pStyle w:val="FootnoteText"/>
      </w:pPr>
      <w:r>
        <w:rPr>
          <w:rStyle w:val="FootnoteReference"/>
        </w:rPr>
        <w:footnoteRef/>
      </w:r>
      <w:r>
        <w:t xml:space="preserve"> </w:t>
      </w:r>
      <w:r>
        <w:tab/>
        <w:t>Portions 94, 23 and 114 to 119 Farm Gansevallei, 0004, Knysna Road, Plettenberg Bay</w:t>
      </w:r>
    </w:p>
  </w:footnote>
  <w:footnote w:id="2">
    <w:p w14:paraId="5A5D7233" w14:textId="636E5AE8" w:rsidR="00AA7A46" w:rsidRPr="00AA7A46" w:rsidRDefault="00AA7A46">
      <w:pPr>
        <w:pStyle w:val="FootnoteText"/>
        <w:rPr>
          <w:bCs/>
        </w:rPr>
      </w:pPr>
      <w:r>
        <w:rPr>
          <w:rStyle w:val="FootnoteReference"/>
        </w:rPr>
        <w:footnoteRef/>
      </w:r>
      <w:r>
        <w:t xml:space="preserve"> </w:t>
      </w:r>
      <w:r>
        <w:tab/>
      </w:r>
      <w:r w:rsidRPr="00BF0ACB">
        <w:t xml:space="preserve">Annexure </w:t>
      </w:r>
      <w:r w:rsidRPr="00BF0ACB">
        <w:rPr>
          <w:b/>
        </w:rPr>
        <w:t>“</w:t>
      </w:r>
      <w:r>
        <w:rPr>
          <w:b/>
        </w:rPr>
        <w:t>FA12”</w:t>
      </w:r>
      <w:r>
        <w:rPr>
          <w:bCs/>
        </w:rPr>
        <w:t>, CaseLines 001-188 to 001-192</w:t>
      </w:r>
    </w:p>
  </w:footnote>
  <w:footnote w:id="3">
    <w:p w14:paraId="3D399213" w14:textId="5E8FD955" w:rsidR="00EE74FB" w:rsidRPr="00EE74FB" w:rsidRDefault="00EE74FB">
      <w:pPr>
        <w:pStyle w:val="FootnoteText"/>
        <w:rPr>
          <w:bCs/>
        </w:rPr>
      </w:pPr>
      <w:r>
        <w:rPr>
          <w:rStyle w:val="FootnoteReference"/>
        </w:rPr>
        <w:footnoteRef/>
      </w:r>
      <w:r>
        <w:t xml:space="preserve"> </w:t>
      </w:r>
      <w:r>
        <w:tab/>
      </w:r>
      <w:r w:rsidRPr="00BF0ACB">
        <w:t xml:space="preserve">Annexure </w:t>
      </w:r>
      <w:r w:rsidRPr="00BF0ACB">
        <w:rPr>
          <w:b/>
        </w:rPr>
        <w:t>“</w:t>
      </w:r>
      <w:r>
        <w:rPr>
          <w:b/>
        </w:rPr>
        <w:t>FA13”</w:t>
      </w:r>
      <w:r>
        <w:rPr>
          <w:bCs/>
        </w:rPr>
        <w:t>, CaseLines 001-193 to 001-204</w:t>
      </w:r>
    </w:p>
  </w:footnote>
  <w:footnote w:id="4">
    <w:p w14:paraId="728A1B8E" w14:textId="64219F61" w:rsidR="00663888" w:rsidRPr="00663888" w:rsidRDefault="00663888">
      <w:pPr>
        <w:pStyle w:val="FootnoteText"/>
        <w:rPr>
          <w:bCs/>
        </w:rPr>
      </w:pPr>
      <w:r>
        <w:rPr>
          <w:rStyle w:val="FootnoteReference"/>
        </w:rPr>
        <w:footnoteRef/>
      </w:r>
      <w:r>
        <w:t xml:space="preserve"> </w:t>
      </w:r>
      <w:r>
        <w:tab/>
      </w:r>
      <w:r w:rsidRPr="00BF0ACB">
        <w:t xml:space="preserve">Annexure </w:t>
      </w:r>
      <w:r w:rsidRPr="00BF0ACB">
        <w:rPr>
          <w:b/>
        </w:rPr>
        <w:t>“</w:t>
      </w:r>
      <w:r>
        <w:rPr>
          <w:b/>
        </w:rPr>
        <w:t>FA14”</w:t>
      </w:r>
      <w:r>
        <w:rPr>
          <w:bCs/>
        </w:rPr>
        <w:t>, CaseLines 001-211 to 001-220</w:t>
      </w:r>
    </w:p>
  </w:footnote>
  <w:footnote w:id="5">
    <w:p w14:paraId="7FDA3022" w14:textId="610D9F21" w:rsidR="00663888" w:rsidRDefault="00663888">
      <w:pPr>
        <w:pStyle w:val="FootnoteText"/>
      </w:pPr>
      <w:r>
        <w:rPr>
          <w:rStyle w:val="FootnoteReference"/>
        </w:rPr>
        <w:footnoteRef/>
      </w:r>
      <w:r>
        <w:t xml:space="preserve"> </w:t>
      </w:r>
      <w:r>
        <w:tab/>
      </w:r>
      <w:r w:rsidRPr="00BF0ACB">
        <w:t xml:space="preserve">Annexure </w:t>
      </w:r>
      <w:r w:rsidRPr="00BF0ACB">
        <w:rPr>
          <w:b/>
        </w:rPr>
        <w:t>“</w:t>
      </w:r>
      <w:r>
        <w:rPr>
          <w:b/>
        </w:rPr>
        <w:t>FA15”</w:t>
      </w:r>
      <w:r>
        <w:rPr>
          <w:bCs/>
        </w:rPr>
        <w:t>, CaseLines 001-221 to 001-223</w:t>
      </w:r>
    </w:p>
  </w:footnote>
  <w:footnote w:id="6">
    <w:p w14:paraId="712BE931" w14:textId="26B8CD27" w:rsidR="00663888" w:rsidRDefault="00663888">
      <w:pPr>
        <w:pStyle w:val="FootnoteText"/>
      </w:pPr>
      <w:r>
        <w:rPr>
          <w:rStyle w:val="FootnoteReference"/>
        </w:rPr>
        <w:footnoteRef/>
      </w:r>
      <w:r>
        <w:t xml:space="preserve"> </w:t>
      </w:r>
      <w:r>
        <w:tab/>
      </w:r>
      <w:r w:rsidRPr="00BF0ACB">
        <w:t xml:space="preserve">Annexure </w:t>
      </w:r>
      <w:r w:rsidRPr="00BF0ACB">
        <w:rPr>
          <w:b/>
        </w:rPr>
        <w:t>“</w:t>
      </w:r>
      <w:r>
        <w:rPr>
          <w:b/>
        </w:rPr>
        <w:t>FA18”</w:t>
      </w:r>
      <w:r>
        <w:rPr>
          <w:bCs/>
        </w:rPr>
        <w:t>, CaseLines 001-226 to 001-228</w:t>
      </w:r>
    </w:p>
  </w:footnote>
  <w:footnote w:id="7">
    <w:p w14:paraId="5F014E3F" w14:textId="20EB4288" w:rsidR="004F05C6" w:rsidRPr="004F05C6" w:rsidRDefault="004F05C6">
      <w:pPr>
        <w:pStyle w:val="FootnoteText"/>
        <w:rPr>
          <w:bCs/>
        </w:rPr>
      </w:pPr>
      <w:r>
        <w:rPr>
          <w:rStyle w:val="FootnoteReference"/>
        </w:rPr>
        <w:footnoteRef/>
      </w:r>
      <w:r>
        <w:t xml:space="preserve"> </w:t>
      </w:r>
      <w:r>
        <w:tab/>
      </w:r>
      <w:r w:rsidRPr="00BF0ACB">
        <w:t xml:space="preserve">Annexure </w:t>
      </w:r>
      <w:r w:rsidRPr="00BF0ACB">
        <w:rPr>
          <w:b/>
        </w:rPr>
        <w:t>“</w:t>
      </w:r>
      <w:r>
        <w:rPr>
          <w:b/>
        </w:rPr>
        <w:t>AR4”</w:t>
      </w:r>
      <w:r>
        <w:rPr>
          <w:bCs/>
        </w:rPr>
        <w:t xml:space="preserve">, CaseLines 020-10 </w:t>
      </w:r>
    </w:p>
  </w:footnote>
  <w:footnote w:id="8">
    <w:p w14:paraId="6199A9D6" w14:textId="0AF291A5" w:rsidR="00B372F4" w:rsidRPr="00B372F4" w:rsidRDefault="00B372F4">
      <w:pPr>
        <w:pStyle w:val="FootnoteText"/>
        <w:rPr>
          <w:bCs/>
        </w:rPr>
      </w:pPr>
      <w:r>
        <w:rPr>
          <w:rStyle w:val="FootnoteReference"/>
        </w:rPr>
        <w:footnoteRef/>
      </w:r>
      <w:r>
        <w:t xml:space="preserve"> </w:t>
      </w:r>
      <w:r>
        <w:tab/>
      </w:r>
      <w:r w:rsidRPr="00BF0ACB">
        <w:t xml:space="preserve">Annexure </w:t>
      </w:r>
      <w:r w:rsidRPr="00BF0ACB">
        <w:rPr>
          <w:b/>
        </w:rPr>
        <w:t>“</w:t>
      </w:r>
      <w:r>
        <w:rPr>
          <w:b/>
        </w:rPr>
        <w:t>AR4”</w:t>
      </w:r>
      <w:r>
        <w:rPr>
          <w:bCs/>
        </w:rPr>
        <w:t>, CaseLines 020-9</w:t>
      </w:r>
    </w:p>
  </w:footnote>
  <w:footnote w:id="9">
    <w:p w14:paraId="74FBFC01" w14:textId="2FF2E417" w:rsidR="00B372F4" w:rsidRDefault="00B372F4">
      <w:pPr>
        <w:pStyle w:val="FootnoteText"/>
      </w:pPr>
      <w:r>
        <w:rPr>
          <w:rStyle w:val="FootnoteReference"/>
        </w:rPr>
        <w:footnoteRef/>
      </w:r>
      <w:r>
        <w:t xml:space="preserve"> </w:t>
      </w:r>
      <w:r>
        <w:tab/>
        <w:t>CaseLines 007-1 to 007-3</w:t>
      </w:r>
    </w:p>
  </w:footnote>
  <w:footnote w:id="10">
    <w:p w14:paraId="55A907A5" w14:textId="2EA6A04F" w:rsidR="00B372F4" w:rsidRDefault="00B372F4">
      <w:pPr>
        <w:pStyle w:val="FootnoteText"/>
      </w:pPr>
      <w:r>
        <w:rPr>
          <w:rStyle w:val="FootnoteReference"/>
        </w:rPr>
        <w:footnoteRef/>
      </w:r>
      <w:r>
        <w:t xml:space="preserve"> </w:t>
      </w:r>
      <w:r>
        <w:tab/>
        <w:t>CaseLines 016-</w:t>
      </w:r>
      <w:r w:rsidR="003D5016">
        <w:t>13</w:t>
      </w:r>
    </w:p>
  </w:footnote>
  <w:footnote w:id="11">
    <w:p w14:paraId="2CD52F24" w14:textId="25B8E052" w:rsidR="00821AD2" w:rsidRPr="00821AD2" w:rsidRDefault="00821AD2">
      <w:pPr>
        <w:pStyle w:val="FootnoteText"/>
        <w:rPr>
          <w:bCs/>
        </w:rPr>
      </w:pPr>
      <w:r>
        <w:rPr>
          <w:rStyle w:val="FootnoteReference"/>
        </w:rPr>
        <w:footnoteRef/>
      </w:r>
      <w:r>
        <w:t xml:space="preserve"> </w:t>
      </w:r>
      <w:r>
        <w:tab/>
      </w:r>
      <w:r w:rsidRPr="00BF0ACB">
        <w:t xml:space="preserve">Annexure </w:t>
      </w:r>
      <w:r w:rsidRPr="00BF0ACB">
        <w:rPr>
          <w:b/>
        </w:rPr>
        <w:t>“</w:t>
      </w:r>
      <w:r>
        <w:rPr>
          <w:b/>
        </w:rPr>
        <w:t>A1”</w:t>
      </w:r>
      <w:r>
        <w:rPr>
          <w:bCs/>
        </w:rPr>
        <w:t xml:space="preserve">, </w:t>
      </w:r>
      <w:r w:rsidR="00E1352F">
        <w:t xml:space="preserve">CaseLines </w:t>
      </w:r>
      <w:r>
        <w:rPr>
          <w:bCs/>
        </w:rPr>
        <w:t>003-31 to 003-52</w:t>
      </w:r>
    </w:p>
  </w:footnote>
  <w:footnote w:id="12">
    <w:p w14:paraId="4136BBFA" w14:textId="77777777" w:rsidR="00FB09C8" w:rsidRDefault="00FB09C8" w:rsidP="00FB09C8">
      <w:pPr>
        <w:pStyle w:val="FootnoteText"/>
      </w:pPr>
      <w:r>
        <w:rPr>
          <w:rStyle w:val="FootnoteReference"/>
        </w:rPr>
        <w:footnoteRef/>
      </w:r>
      <w:r>
        <w:t xml:space="preserve"> </w:t>
      </w:r>
      <w:r>
        <w:tab/>
        <w:t>CaseLines 003-38</w:t>
      </w:r>
    </w:p>
  </w:footnote>
  <w:footnote w:id="13">
    <w:p w14:paraId="4631FE2A" w14:textId="324B6A9C" w:rsidR="00E1352F" w:rsidRDefault="00E1352F">
      <w:pPr>
        <w:pStyle w:val="FootnoteText"/>
      </w:pPr>
      <w:r>
        <w:rPr>
          <w:rStyle w:val="FootnoteReference"/>
        </w:rPr>
        <w:footnoteRef/>
      </w:r>
      <w:r>
        <w:t xml:space="preserve"> </w:t>
      </w:r>
      <w:r>
        <w:tab/>
        <w:t>CaseLines 003-59 to 003-86</w:t>
      </w:r>
    </w:p>
  </w:footnote>
  <w:footnote w:id="14">
    <w:p w14:paraId="6EBB732C" w14:textId="732AEB9B" w:rsidR="00CE3E48" w:rsidRDefault="00CE3E48">
      <w:pPr>
        <w:pStyle w:val="FootnoteText"/>
      </w:pPr>
      <w:r>
        <w:rPr>
          <w:rStyle w:val="FootnoteReference"/>
        </w:rPr>
        <w:footnoteRef/>
      </w:r>
      <w:r>
        <w:t xml:space="preserve"> </w:t>
      </w:r>
      <w:r>
        <w:tab/>
        <w:t xml:space="preserve">The Special Power of Attorney was signed by the respondent by affixing his thumbprint thereto before two witnesses on 6 June 2013.  It was notarised before a Notary Public Johannes Jacobus Nel whose certificate of authentication appears at the beginning of the Special Power of Attorney, </w:t>
      </w:r>
      <w:r w:rsidRPr="00BF0ACB">
        <w:t xml:space="preserve">Annexure </w:t>
      </w:r>
      <w:r w:rsidRPr="00BF0ACB">
        <w:rPr>
          <w:b/>
        </w:rPr>
        <w:t>“</w:t>
      </w:r>
      <w:r>
        <w:rPr>
          <w:b/>
        </w:rPr>
        <w:t>FA12”</w:t>
      </w:r>
      <w:r>
        <w:rPr>
          <w:bCs/>
        </w:rPr>
        <w:t xml:space="preserve">, </w:t>
      </w:r>
      <w:r>
        <w:t>CaseLines 001-188</w:t>
      </w:r>
    </w:p>
  </w:footnote>
  <w:footnote w:id="15">
    <w:p w14:paraId="5FBE86F9" w14:textId="10A3C088" w:rsidR="00CE3E48" w:rsidRPr="00CE3E48" w:rsidRDefault="00CE3E48">
      <w:pPr>
        <w:pStyle w:val="FootnoteText"/>
        <w:rPr>
          <w:bCs/>
        </w:rPr>
      </w:pPr>
      <w:r>
        <w:rPr>
          <w:rStyle w:val="FootnoteReference"/>
        </w:rPr>
        <w:footnoteRef/>
      </w:r>
      <w:r>
        <w:t xml:space="preserve"> </w:t>
      </w:r>
      <w:r>
        <w:tab/>
      </w:r>
      <w:r w:rsidRPr="00BF0ACB">
        <w:t xml:space="preserve">Annexure </w:t>
      </w:r>
      <w:r w:rsidRPr="00BF0ACB">
        <w:rPr>
          <w:b/>
        </w:rPr>
        <w:t>“</w:t>
      </w:r>
      <w:r>
        <w:rPr>
          <w:b/>
        </w:rPr>
        <w:t>RA3”</w:t>
      </w:r>
      <w:r>
        <w:rPr>
          <w:bCs/>
        </w:rPr>
        <w:t>, CaseLines 004-23 to 004-30</w:t>
      </w:r>
    </w:p>
  </w:footnote>
  <w:footnote w:id="16">
    <w:p w14:paraId="5C8E525B" w14:textId="4CFFFDC8" w:rsidR="00647C95" w:rsidRPr="00647C95" w:rsidRDefault="00647C95">
      <w:pPr>
        <w:pStyle w:val="FootnoteText"/>
        <w:rPr>
          <w:bCs/>
        </w:rPr>
      </w:pPr>
      <w:r>
        <w:rPr>
          <w:rStyle w:val="FootnoteReference"/>
        </w:rPr>
        <w:footnoteRef/>
      </w:r>
      <w:r>
        <w:t xml:space="preserve"> </w:t>
      </w:r>
      <w:r>
        <w:tab/>
      </w:r>
      <w:r w:rsidRPr="00BF0ACB">
        <w:t xml:space="preserve">Annexure </w:t>
      </w:r>
      <w:r w:rsidRPr="00BF0ACB">
        <w:rPr>
          <w:b/>
        </w:rPr>
        <w:t>“</w:t>
      </w:r>
      <w:r>
        <w:rPr>
          <w:b/>
        </w:rPr>
        <w:t>RA1”</w:t>
      </w:r>
      <w:r>
        <w:rPr>
          <w:bCs/>
        </w:rPr>
        <w:t>, CaseLines 0</w:t>
      </w:r>
      <w:r w:rsidR="009715C9">
        <w:rPr>
          <w:bCs/>
        </w:rPr>
        <w:t>0</w:t>
      </w:r>
      <w:r>
        <w:rPr>
          <w:bCs/>
        </w:rPr>
        <w:t>4-19 to 0</w:t>
      </w:r>
      <w:r w:rsidR="009715C9">
        <w:rPr>
          <w:bCs/>
        </w:rPr>
        <w:t>0</w:t>
      </w:r>
      <w:r>
        <w:rPr>
          <w:bCs/>
        </w:rPr>
        <w:t>4-20</w:t>
      </w:r>
    </w:p>
  </w:footnote>
  <w:footnote w:id="17">
    <w:p w14:paraId="5C0F135E" w14:textId="77777777" w:rsidR="00B2662F" w:rsidRDefault="00B2662F" w:rsidP="00B2662F">
      <w:pPr>
        <w:pStyle w:val="FootnoteText"/>
      </w:pPr>
      <w:r>
        <w:rPr>
          <w:rStyle w:val="FootnoteReference"/>
        </w:rPr>
        <w:footnoteRef/>
      </w:r>
      <w:r>
        <w:t xml:space="preserve"> </w:t>
      </w:r>
      <w:r>
        <w:tab/>
        <w:t>CaseLines, 004-37 to 004-38</w:t>
      </w:r>
    </w:p>
  </w:footnote>
  <w:footnote w:id="18">
    <w:p w14:paraId="02264404" w14:textId="31EB952F" w:rsidR="00AE4457" w:rsidRPr="00AE4457" w:rsidRDefault="00AE4457">
      <w:pPr>
        <w:pStyle w:val="FootnoteText"/>
        <w:rPr>
          <w:bCs/>
        </w:rPr>
      </w:pPr>
      <w:r>
        <w:rPr>
          <w:rStyle w:val="FootnoteReference"/>
        </w:rPr>
        <w:footnoteRef/>
      </w:r>
      <w:r>
        <w:t xml:space="preserve"> </w:t>
      </w:r>
      <w:r>
        <w:tab/>
      </w:r>
      <w:r w:rsidRPr="00BF0ACB">
        <w:t xml:space="preserve">Annexure </w:t>
      </w:r>
      <w:r w:rsidRPr="00BF0ACB">
        <w:rPr>
          <w:b/>
        </w:rPr>
        <w:t>“</w:t>
      </w:r>
      <w:r>
        <w:rPr>
          <w:b/>
        </w:rPr>
        <w:t>RA5”</w:t>
      </w:r>
      <w:r>
        <w:rPr>
          <w:bCs/>
        </w:rPr>
        <w:t xml:space="preserve">, CaseLines 004-33  </w:t>
      </w:r>
    </w:p>
  </w:footnote>
  <w:footnote w:id="19">
    <w:p w14:paraId="73A20EC3" w14:textId="77777777" w:rsidR="00B2662F" w:rsidRPr="009715C9" w:rsidRDefault="00B2662F" w:rsidP="00B2662F">
      <w:pPr>
        <w:pStyle w:val="FootnoteText"/>
        <w:rPr>
          <w:bCs/>
        </w:rPr>
      </w:pPr>
      <w:r>
        <w:rPr>
          <w:rStyle w:val="FootnoteReference"/>
        </w:rPr>
        <w:footnoteRef/>
      </w:r>
      <w:r>
        <w:t xml:space="preserve"> </w:t>
      </w:r>
      <w:r>
        <w:tab/>
      </w:r>
      <w:r w:rsidRPr="00BF0ACB">
        <w:t xml:space="preserve">Annexure </w:t>
      </w:r>
      <w:r w:rsidRPr="00BF0ACB">
        <w:rPr>
          <w:b/>
        </w:rPr>
        <w:t>“</w:t>
      </w:r>
      <w:r>
        <w:rPr>
          <w:b/>
        </w:rPr>
        <w:t>RA6”</w:t>
      </w:r>
      <w:r>
        <w:rPr>
          <w:bCs/>
        </w:rPr>
        <w:t>, CaseLines 004-34</w:t>
      </w:r>
    </w:p>
  </w:footnote>
  <w:footnote w:id="20">
    <w:p w14:paraId="5FBDA6B1" w14:textId="09AA8364" w:rsidR="00FA5D5D" w:rsidRPr="00FA5D5D" w:rsidRDefault="00FA5D5D">
      <w:pPr>
        <w:pStyle w:val="FootnoteText"/>
        <w:rPr>
          <w:bCs/>
        </w:rPr>
      </w:pPr>
      <w:r>
        <w:rPr>
          <w:rStyle w:val="FootnoteReference"/>
        </w:rPr>
        <w:footnoteRef/>
      </w:r>
      <w:r>
        <w:t xml:space="preserve"> </w:t>
      </w:r>
      <w:r>
        <w:tab/>
      </w:r>
      <w:r w:rsidRPr="00BF0ACB">
        <w:t xml:space="preserve">Annexure </w:t>
      </w:r>
      <w:r w:rsidRPr="00BF0ACB">
        <w:rPr>
          <w:b/>
        </w:rPr>
        <w:t>“</w:t>
      </w:r>
      <w:r>
        <w:rPr>
          <w:b/>
        </w:rPr>
        <w:t>RA7”</w:t>
      </w:r>
      <w:r>
        <w:rPr>
          <w:bCs/>
        </w:rPr>
        <w:t>, CaseLines 004-36</w:t>
      </w:r>
    </w:p>
  </w:footnote>
  <w:footnote w:id="21">
    <w:p w14:paraId="1A4F9A8F" w14:textId="2171774C" w:rsidR="00ED464A" w:rsidRPr="00ED464A" w:rsidRDefault="00ED464A">
      <w:pPr>
        <w:pStyle w:val="FootnoteText"/>
      </w:pPr>
      <w:r>
        <w:rPr>
          <w:rStyle w:val="FootnoteReference"/>
        </w:rPr>
        <w:footnoteRef/>
      </w:r>
      <w:r>
        <w:t xml:space="preserve"> </w:t>
      </w:r>
      <w:r>
        <w:tab/>
      </w:r>
      <w:r>
        <w:rPr>
          <w:b/>
          <w:bCs/>
          <w:i/>
          <w:iCs/>
        </w:rPr>
        <w:t xml:space="preserve">Glover v Bothma </w:t>
      </w:r>
      <w:r>
        <w:t>1948 (1) SA 611 (W) at 625-626</w:t>
      </w:r>
    </w:p>
  </w:footnote>
  <w:footnote w:id="22">
    <w:p w14:paraId="195F4586" w14:textId="51A9FABF" w:rsidR="00147F27" w:rsidRPr="00147F27" w:rsidRDefault="00147F27">
      <w:pPr>
        <w:pStyle w:val="FootnoteText"/>
        <w:rPr>
          <w:lang w:val="en-US"/>
        </w:rPr>
      </w:pPr>
      <w:r>
        <w:rPr>
          <w:rStyle w:val="FootnoteReference"/>
        </w:rPr>
        <w:footnoteRef/>
      </w:r>
      <w:r>
        <w:t xml:space="preserve"> </w:t>
      </w:r>
      <w:r>
        <w:rPr>
          <w:lang w:val="en-US"/>
        </w:rPr>
        <w:t xml:space="preserve"> Section 5(2)(d) of the CPA</w:t>
      </w:r>
    </w:p>
  </w:footnote>
  <w:footnote w:id="23">
    <w:p w14:paraId="1F82CDC3" w14:textId="77777777" w:rsidR="00FB09C8" w:rsidRPr="00647C95" w:rsidRDefault="00FB09C8" w:rsidP="00FB09C8">
      <w:pPr>
        <w:pStyle w:val="FootnoteText"/>
        <w:rPr>
          <w:bCs/>
        </w:rPr>
      </w:pPr>
      <w:r>
        <w:rPr>
          <w:rStyle w:val="FootnoteReference"/>
        </w:rPr>
        <w:footnoteRef/>
      </w:r>
      <w:r>
        <w:t xml:space="preserve"> </w:t>
      </w:r>
      <w:r>
        <w:tab/>
      </w:r>
      <w:r w:rsidRPr="00BF0ACB">
        <w:t xml:space="preserve">Annexure </w:t>
      </w:r>
      <w:r w:rsidRPr="00BF0ACB">
        <w:rPr>
          <w:b/>
        </w:rPr>
        <w:t>“</w:t>
      </w:r>
      <w:r>
        <w:rPr>
          <w:b/>
        </w:rPr>
        <w:t>FA10”</w:t>
      </w:r>
      <w:r>
        <w:rPr>
          <w:bCs/>
        </w:rPr>
        <w:t>, CaseLines 001-155 to 011-171 (the standard terms) at 001-164</w:t>
      </w:r>
    </w:p>
  </w:footnote>
  <w:footnote w:id="24">
    <w:p w14:paraId="52359C59" w14:textId="77777777" w:rsidR="00192FF5" w:rsidRDefault="00192FF5" w:rsidP="00192FF5">
      <w:pPr>
        <w:pStyle w:val="FootnoteText"/>
      </w:pPr>
      <w:r>
        <w:rPr>
          <w:rStyle w:val="FootnoteReference"/>
        </w:rPr>
        <w:footnoteRef/>
      </w:r>
      <w:r>
        <w:t xml:space="preserve"> </w:t>
      </w:r>
      <w:r>
        <w:tab/>
        <w:t>1977 (2) SA 587 (W) at 593</w:t>
      </w:r>
    </w:p>
  </w:footnote>
  <w:footnote w:id="25">
    <w:p w14:paraId="765BA55F" w14:textId="13ED3F66" w:rsidR="00206E4E" w:rsidRPr="00206E4E" w:rsidRDefault="00206E4E">
      <w:pPr>
        <w:pStyle w:val="FootnoteText"/>
        <w:rPr>
          <w:lang w:val="en-US"/>
        </w:rPr>
      </w:pPr>
      <w:r>
        <w:rPr>
          <w:rStyle w:val="FootnoteReference"/>
        </w:rPr>
        <w:footnoteRef/>
      </w:r>
      <w:r>
        <w:t xml:space="preserve"> Shakot Investments ( Pty) Ltd v Town Council of the Borough of Stanger 1976(2)SA 701 (D) at 704E – 708A</w:t>
      </w:r>
    </w:p>
  </w:footnote>
  <w:footnote w:id="26">
    <w:p w14:paraId="274F1392" w14:textId="52AE54B4" w:rsidR="00206E4E" w:rsidRPr="00206E4E" w:rsidRDefault="002E36E9" w:rsidP="00206E4E">
      <w:pPr>
        <w:pStyle w:val="Heading2"/>
        <w:numPr>
          <w:ilvl w:val="0"/>
          <w:numId w:val="0"/>
        </w:numPr>
        <w:shd w:val="clear" w:color="auto" w:fill="FFFFFF"/>
        <w:spacing w:after="0"/>
        <w:rPr>
          <w:rFonts w:cs="Arial"/>
          <w:kern w:val="0"/>
          <w:sz w:val="22"/>
          <w:lang w:eastAsia="en-GB"/>
        </w:rPr>
      </w:pPr>
      <w:r>
        <w:rPr>
          <w:rStyle w:val="FootnoteReference"/>
        </w:rPr>
        <w:footnoteRef/>
      </w:r>
      <w:r>
        <w:t xml:space="preserve"> CaseLines 015-72 to 015-74</w:t>
      </w:r>
      <w:r w:rsidR="00206E4E">
        <w:t xml:space="preserve"> </w:t>
      </w:r>
    </w:p>
    <w:p w14:paraId="7B96CBCC" w14:textId="1FAE8BC7" w:rsidR="002E36E9" w:rsidRDefault="002E36E9" w:rsidP="00206E4E">
      <w:pPr>
        <w:pStyle w:val="FootnoteText"/>
        <w:ind w:left="0" w:firstLine="0"/>
      </w:pPr>
    </w:p>
  </w:footnote>
  <w:footnote w:id="27">
    <w:p w14:paraId="0FAE3F7B" w14:textId="209646E2" w:rsidR="007067AC" w:rsidRDefault="007067AC">
      <w:pPr>
        <w:pStyle w:val="FootnoteText"/>
      </w:pPr>
      <w:r>
        <w:rPr>
          <w:rStyle w:val="FootnoteReference"/>
        </w:rPr>
        <w:footnoteRef/>
      </w:r>
      <w:r>
        <w:t xml:space="preserve"> </w:t>
      </w:r>
      <w:r>
        <w:tab/>
        <w:t>CaseLines 005-21 to 005-27</w:t>
      </w:r>
    </w:p>
  </w:footnote>
  <w:footnote w:id="28">
    <w:p w14:paraId="35F07502" w14:textId="47E31A36" w:rsidR="00B4450F" w:rsidRDefault="00B4450F">
      <w:pPr>
        <w:pStyle w:val="FootnoteText"/>
      </w:pPr>
      <w:r>
        <w:rPr>
          <w:rStyle w:val="FootnoteReference"/>
        </w:rPr>
        <w:footnoteRef/>
      </w:r>
      <w:r>
        <w:t xml:space="preserve"> </w:t>
      </w:r>
      <w:r>
        <w:tab/>
        <w:t>1971 (1) SA 613 (T)</w:t>
      </w:r>
      <w:r w:rsidR="00D25B6C">
        <w:t xml:space="preserve"> (Full Bench)</w:t>
      </w:r>
    </w:p>
  </w:footnote>
  <w:footnote w:id="29">
    <w:p w14:paraId="43C03DC5" w14:textId="4ACF3F75" w:rsidR="00A66A25" w:rsidRDefault="00A66A25">
      <w:pPr>
        <w:pStyle w:val="FootnoteText"/>
      </w:pPr>
      <w:r>
        <w:rPr>
          <w:rStyle w:val="FootnoteReference"/>
        </w:rPr>
        <w:footnoteRef/>
      </w:r>
      <w:r>
        <w:t xml:space="preserve"> </w:t>
      </w:r>
      <w:r>
        <w:rPr>
          <w:b/>
          <w:bCs/>
          <w:i/>
          <w:iCs/>
        </w:rPr>
        <w:t xml:space="preserve">Iscor Housing Utility Co and Another v Chief Registrar of Deeds and Another </w:t>
      </w:r>
      <w:r w:rsidRPr="00A66A25">
        <w:rPr>
          <w:i/>
          <w:iCs/>
        </w:rPr>
        <w:t>supra</w:t>
      </w:r>
      <w:r>
        <w:rPr>
          <w:i/>
          <w:iCs/>
        </w:rPr>
        <w:t xml:space="preserve"> </w:t>
      </w:r>
      <w:r>
        <w:tab/>
        <w:t>616D-F</w:t>
      </w:r>
    </w:p>
  </w:footnote>
  <w:footnote w:id="30">
    <w:p w14:paraId="3B7219CF" w14:textId="74B50C70" w:rsidR="007E0AA8" w:rsidRDefault="007E0AA8">
      <w:pPr>
        <w:pStyle w:val="FootnoteText"/>
      </w:pPr>
      <w:r>
        <w:rPr>
          <w:rStyle w:val="FootnoteReference"/>
        </w:rPr>
        <w:footnoteRef/>
      </w:r>
      <w:r>
        <w:t xml:space="preserve"> </w:t>
      </w:r>
      <w:r>
        <w:tab/>
        <w:t>2004 (2) SA 242 (SCA)</w:t>
      </w:r>
    </w:p>
  </w:footnote>
  <w:footnote w:id="31">
    <w:p w14:paraId="58251B6F" w14:textId="401C3F4D" w:rsidR="007E0AA8" w:rsidRDefault="007E0AA8">
      <w:pPr>
        <w:pStyle w:val="FootnoteText"/>
      </w:pPr>
      <w:r>
        <w:rPr>
          <w:rStyle w:val="FootnoteReference"/>
        </w:rPr>
        <w:footnoteRef/>
      </w:r>
      <w:r>
        <w:t xml:space="preserve"> </w:t>
      </w:r>
      <w:r>
        <w:tab/>
        <w:t>(4568/2016) [2019] ZAECGHC 17 (26 February 2019)</w:t>
      </w:r>
    </w:p>
  </w:footnote>
  <w:footnote w:id="32">
    <w:p w14:paraId="524174B8" w14:textId="323913CB" w:rsidR="00262B6B" w:rsidRDefault="00262B6B">
      <w:pPr>
        <w:pStyle w:val="FootnoteText"/>
      </w:pPr>
      <w:r>
        <w:rPr>
          <w:rStyle w:val="FootnoteReference"/>
        </w:rPr>
        <w:footnoteRef/>
      </w:r>
      <w:r>
        <w:t xml:space="preserve"> </w:t>
      </w:r>
      <w:r>
        <w:tab/>
      </w:r>
      <w:r w:rsidR="00D83945">
        <w:t xml:space="preserve">  Obiter 2020, Reghard Brits, Department of Mercantile Law, University of Pretoria at </w:t>
      </w:r>
      <w:r>
        <w:t>page 182</w:t>
      </w:r>
    </w:p>
  </w:footnote>
  <w:footnote w:id="33">
    <w:p w14:paraId="2AC3DC4A" w14:textId="52EABC9A" w:rsidR="00124FC5" w:rsidRDefault="00124FC5">
      <w:pPr>
        <w:pStyle w:val="FootnoteText"/>
      </w:pPr>
      <w:r>
        <w:rPr>
          <w:rStyle w:val="FootnoteReference"/>
        </w:rPr>
        <w:footnoteRef/>
      </w:r>
      <w:r>
        <w:t xml:space="preserve"> </w:t>
      </w:r>
      <w:r>
        <w:tab/>
        <w:t>2000 (3) SA 626 (CC)</w:t>
      </w:r>
    </w:p>
  </w:footnote>
  <w:footnote w:id="34">
    <w:p w14:paraId="584BA5E5" w14:textId="0F9CF555" w:rsidR="00321F03" w:rsidRDefault="00321F03">
      <w:pPr>
        <w:pStyle w:val="FootnoteText"/>
      </w:pPr>
      <w:r>
        <w:rPr>
          <w:rStyle w:val="FootnoteReference"/>
        </w:rPr>
        <w:footnoteRef/>
      </w:r>
      <w:r>
        <w:t xml:space="preserve"> </w:t>
      </w:r>
      <w:r>
        <w:tab/>
        <w:t>1949 (3) SA 1155 (T) at 1162-1163</w:t>
      </w:r>
    </w:p>
  </w:footnote>
  <w:footnote w:id="35">
    <w:p w14:paraId="00D0D00B" w14:textId="77777777" w:rsidR="004C7DE5" w:rsidRDefault="004C7DE5" w:rsidP="004C7DE5">
      <w:pPr>
        <w:pStyle w:val="FootnoteText"/>
      </w:pPr>
      <w:r>
        <w:rPr>
          <w:rStyle w:val="FootnoteReference"/>
        </w:rPr>
        <w:footnoteRef/>
      </w:r>
      <w:r>
        <w:t xml:space="preserve"> </w:t>
      </w:r>
      <w:r>
        <w:tab/>
        <w:t xml:space="preserve">Clause 2.3.2:  </w:t>
      </w:r>
      <w:r w:rsidRPr="00156CDE">
        <w:rPr>
          <w:i/>
          <w:iCs/>
        </w:rPr>
        <w:t>“All costs incurred and/or paid by the Bank in connection with this bond, such as but not restricted to, insurance premiums, rates, taxes, stamp duties, legal expenses (as between attorney and own client), incurred in suing for recovery of any amount due which is secured by this bond …”</w:t>
      </w:r>
      <w:r>
        <w:t>, CaseLines 001-108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1655"/>
      <w:docPartObj>
        <w:docPartGallery w:val="Page Numbers (Top of Page)"/>
        <w:docPartUnique/>
      </w:docPartObj>
    </w:sdtPr>
    <w:sdtEndPr>
      <w:rPr>
        <w:noProof/>
        <w:sz w:val="24"/>
        <w:szCs w:val="24"/>
      </w:rPr>
    </w:sdtEndPr>
    <w:sdtContent>
      <w:p w14:paraId="2A952557" w14:textId="743BCF89"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5C4E7A">
          <w:rPr>
            <w:noProof/>
            <w:sz w:val="24"/>
            <w:szCs w:val="24"/>
          </w:rPr>
          <w:t>28</w:t>
        </w:r>
        <w:r w:rsidRPr="00E928E8">
          <w:rPr>
            <w:noProof/>
            <w:sz w:val="24"/>
            <w:szCs w:val="24"/>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2B"/>
    <w:multiLevelType w:val="hybridMultilevel"/>
    <w:tmpl w:val="3A925C82"/>
    <w:lvl w:ilvl="0" w:tplc="A740E922">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1" w15:restartNumberingAfterBreak="0">
    <w:nsid w:val="071F695B"/>
    <w:multiLevelType w:val="hybridMultilevel"/>
    <w:tmpl w:val="4296FE60"/>
    <w:lvl w:ilvl="0" w:tplc="939682B0">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AB15D65"/>
    <w:multiLevelType w:val="hybridMultilevel"/>
    <w:tmpl w:val="97424382"/>
    <w:lvl w:ilvl="0" w:tplc="0C9C1414">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4" w15:restartNumberingAfterBreak="0">
    <w:nsid w:val="154C3444"/>
    <w:multiLevelType w:val="multilevel"/>
    <w:tmpl w:val="CFDE2536"/>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5" w15:restartNumberingAfterBreak="0">
    <w:nsid w:val="311536CB"/>
    <w:multiLevelType w:val="multilevel"/>
    <w:tmpl w:val="9F646534"/>
    <w:lvl w:ilvl="0">
      <w:start w:val="5"/>
      <w:numFmt w:val="decimal"/>
      <w:lvlText w:val="%1"/>
      <w:lvlJc w:val="left"/>
      <w:pPr>
        <w:ind w:left="360" w:hanging="360"/>
      </w:pPr>
      <w:rPr>
        <w:rFonts w:hint="default"/>
      </w:rPr>
    </w:lvl>
    <w:lvl w:ilvl="1">
      <w:start w:val="1"/>
      <w:numFmt w:val="decimal"/>
      <w:lvlText w:val="%1.%2"/>
      <w:lvlJc w:val="left"/>
      <w:pPr>
        <w:ind w:left="2235" w:hanging="36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6" w15:restartNumberingAfterBreak="0">
    <w:nsid w:val="3616319A"/>
    <w:multiLevelType w:val="hybridMultilevel"/>
    <w:tmpl w:val="5CEC6046"/>
    <w:lvl w:ilvl="0" w:tplc="01DA7FF6">
      <w:start w:val="1"/>
      <w:numFmt w:val="decimal"/>
      <w:lvlText w:val="%1."/>
      <w:lvlJc w:val="left"/>
      <w:pPr>
        <w:ind w:left="2236" w:hanging="360"/>
      </w:pPr>
      <w:rPr>
        <w:rFonts w:hint="default"/>
      </w:rPr>
    </w:lvl>
    <w:lvl w:ilvl="1" w:tplc="1C090019" w:tentative="1">
      <w:start w:val="1"/>
      <w:numFmt w:val="lowerLetter"/>
      <w:lvlText w:val="%2."/>
      <w:lvlJc w:val="left"/>
      <w:pPr>
        <w:ind w:left="2956" w:hanging="360"/>
      </w:pPr>
    </w:lvl>
    <w:lvl w:ilvl="2" w:tplc="1C09001B" w:tentative="1">
      <w:start w:val="1"/>
      <w:numFmt w:val="lowerRoman"/>
      <w:lvlText w:val="%3."/>
      <w:lvlJc w:val="right"/>
      <w:pPr>
        <w:ind w:left="3676" w:hanging="180"/>
      </w:pPr>
    </w:lvl>
    <w:lvl w:ilvl="3" w:tplc="1C09000F" w:tentative="1">
      <w:start w:val="1"/>
      <w:numFmt w:val="decimal"/>
      <w:lvlText w:val="%4."/>
      <w:lvlJc w:val="left"/>
      <w:pPr>
        <w:ind w:left="4396" w:hanging="360"/>
      </w:pPr>
    </w:lvl>
    <w:lvl w:ilvl="4" w:tplc="1C090019" w:tentative="1">
      <w:start w:val="1"/>
      <w:numFmt w:val="lowerLetter"/>
      <w:lvlText w:val="%5."/>
      <w:lvlJc w:val="left"/>
      <w:pPr>
        <w:ind w:left="5116" w:hanging="360"/>
      </w:pPr>
    </w:lvl>
    <w:lvl w:ilvl="5" w:tplc="1C09001B" w:tentative="1">
      <w:start w:val="1"/>
      <w:numFmt w:val="lowerRoman"/>
      <w:lvlText w:val="%6."/>
      <w:lvlJc w:val="right"/>
      <w:pPr>
        <w:ind w:left="5836" w:hanging="180"/>
      </w:pPr>
    </w:lvl>
    <w:lvl w:ilvl="6" w:tplc="1C09000F" w:tentative="1">
      <w:start w:val="1"/>
      <w:numFmt w:val="decimal"/>
      <w:lvlText w:val="%7."/>
      <w:lvlJc w:val="left"/>
      <w:pPr>
        <w:ind w:left="6556" w:hanging="360"/>
      </w:pPr>
    </w:lvl>
    <w:lvl w:ilvl="7" w:tplc="1C090019" w:tentative="1">
      <w:start w:val="1"/>
      <w:numFmt w:val="lowerLetter"/>
      <w:lvlText w:val="%8."/>
      <w:lvlJc w:val="left"/>
      <w:pPr>
        <w:ind w:left="7276" w:hanging="360"/>
      </w:pPr>
    </w:lvl>
    <w:lvl w:ilvl="8" w:tplc="1C09001B" w:tentative="1">
      <w:start w:val="1"/>
      <w:numFmt w:val="lowerRoman"/>
      <w:lvlText w:val="%9."/>
      <w:lvlJc w:val="right"/>
      <w:pPr>
        <w:ind w:left="7996" w:hanging="180"/>
      </w:pPr>
    </w:lvl>
  </w:abstractNum>
  <w:abstractNum w:abstractNumId="7"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46D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10"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52890CA4"/>
    <w:multiLevelType w:val="multilevel"/>
    <w:tmpl w:val="62886E3C"/>
    <w:lvl w:ilvl="0">
      <w:start w:val="16"/>
      <w:numFmt w:val="decimal"/>
      <w:lvlText w:val="%1"/>
      <w:lvlJc w:val="left"/>
      <w:pPr>
        <w:ind w:left="480" w:hanging="480"/>
      </w:pPr>
      <w:rPr>
        <w:rFonts w:hint="default"/>
      </w:rPr>
    </w:lvl>
    <w:lvl w:ilvl="1">
      <w:start w:val="1"/>
      <w:numFmt w:val="decimal"/>
      <w:lvlText w:val="%1.%2"/>
      <w:lvlJc w:val="left"/>
      <w:pPr>
        <w:ind w:left="1402"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12"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3" w15:restartNumberingAfterBreak="0">
    <w:nsid w:val="59AD1D2E"/>
    <w:multiLevelType w:val="hybridMultilevel"/>
    <w:tmpl w:val="D982CEFC"/>
    <w:lvl w:ilvl="0" w:tplc="CE08C4DC">
      <w:start w:val="1"/>
      <w:numFmt w:val="decimal"/>
      <w:lvlText w:val="%1."/>
      <w:lvlJc w:val="left"/>
      <w:pPr>
        <w:ind w:left="1875" w:hanging="102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5" w15:restartNumberingAfterBreak="0">
    <w:nsid w:val="75FE745F"/>
    <w:multiLevelType w:val="hybridMultilevel"/>
    <w:tmpl w:val="A2DC800C"/>
    <w:lvl w:ilvl="0" w:tplc="8CE48B6E">
      <w:start w:val="1"/>
      <w:numFmt w:val="decimal"/>
      <w:lvlText w:val="%1."/>
      <w:lvlJc w:val="left"/>
      <w:pPr>
        <w:ind w:left="2235" w:hanging="360"/>
      </w:pPr>
      <w:rPr>
        <w:rFonts w:hint="default"/>
      </w:rPr>
    </w:lvl>
    <w:lvl w:ilvl="1" w:tplc="1C090019" w:tentative="1">
      <w:start w:val="1"/>
      <w:numFmt w:val="lowerLetter"/>
      <w:lvlText w:val="%2."/>
      <w:lvlJc w:val="left"/>
      <w:pPr>
        <w:ind w:left="2955" w:hanging="360"/>
      </w:pPr>
    </w:lvl>
    <w:lvl w:ilvl="2" w:tplc="1C09001B" w:tentative="1">
      <w:start w:val="1"/>
      <w:numFmt w:val="lowerRoman"/>
      <w:lvlText w:val="%3."/>
      <w:lvlJc w:val="right"/>
      <w:pPr>
        <w:ind w:left="3675" w:hanging="180"/>
      </w:pPr>
    </w:lvl>
    <w:lvl w:ilvl="3" w:tplc="1C09000F" w:tentative="1">
      <w:start w:val="1"/>
      <w:numFmt w:val="decimal"/>
      <w:lvlText w:val="%4."/>
      <w:lvlJc w:val="left"/>
      <w:pPr>
        <w:ind w:left="4395" w:hanging="360"/>
      </w:pPr>
    </w:lvl>
    <w:lvl w:ilvl="4" w:tplc="1C090019" w:tentative="1">
      <w:start w:val="1"/>
      <w:numFmt w:val="lowerLetter"/>
      <w:lvlText w:val="%5."/>
      <w:lvlJc w:val="left"/>
      <w:pPr>
        <w:ind w:left="5115" w:hanging="360"/>
      </w:pPr>
    </w:lvl>
    <w:lvl w:ilvl="5" w:tplc="1C09001B" w:tentative="1">
      <w:start w:val="1"/>
      <w:numFmt w:val="lowerRoman"/>
      <w:lvlText w:val="%6."/>
      <w:lvlJc w:val="right"/>
      <w:pPr>
        <w:ind w:left="5835" w:hanging="180"/>
      </w:pPr>
    </w:lvl>
    <w:lvl w:ilvl="6" w:tplc="1C09000F" w:tentative="1">
      <w:start w:val="1"/>
      <w:numFmt w:val="decimal"/>
      <w:lvlText w:val="%7."/>
      <w:lvlJc w:val="left"/>
      <w:pPr>
        <w:ind w:left="6555" w:hanging="360"/>
      </w:pPr>
    </w:lvl>
    <w:lvl w:ilvl="7" w:tplc="1C090019" w:tentative="1">
      <w:start w:val="1"/>
      <w:numFmt w:val="lowerLetter"/>
      <w:lvlText w:val="%8."/>
      <w:lvlJc w:val="left"/>
      <w:pPr>
        <w:ind w:left="7275" w:hanging="360"/>
      </w:pPr>
    </w:lvl>
    <w:lvl w:ilvl="8" w:tplc="1C09001B" w:tentative="1">
      <w:start w:val="1"/>
      <w:numFmt w:val="lowerRoman"/>
      <w:lvlText w:val="%9."/>
      <w:lvlJc w:val="right"/>
      <w:pPr>
        <w:ind w:left="7995" w:hanging="180"/>
      </w:pPr>
    </w:lvl>
  </w:abstractNum>
  <w:abstractNum w:abstractNumId="16" w15:restartNumberingAfterBreak="0">
    <w:nsid w:val="7A3F05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num w:numId="1" w16cid:durableId="50034626">
    <w:abstractNumId w:val="4"/>
  </w:num>
  <w:num w:numId="2" w16cid:durableId="1397127779">
    <w:abstractNumId w:val="4"/>
  </w:num>
  <w:num w:numId="3" w16cid:durableId="952247386">
    <w:abstractNumId w:val="4"/>
  </w:num>
  <w:num w:numId="4" w16cid:durableId="1029838931">
    <w:abstractNumId w:val="4"/>
  </w:num>
  <w:num w:numId="5" w16cid:durableId="2072652597">
    <w:abstractNumId w:val="4"/>
  </w:num>
  <w:num w:numId="6" w16cid:durableId="520776553">
    <w:abstractNumId w:val="4"/>
  </w:num>
  <w:num w:numId="7" w16cid:durableId="1889295894">
    <w:abstractNumId w:val="4"/>
  </w:num>
  <w:num w:numId="8" w16cid:durableId="1299728177">
    <w:abstractNumId w:val="4"/>
  </w:num>
  <w:num w:numId="9" w16cid:durableId="92287316">
    <w:abstractNumId w:val="4"/>
  </w:num>
  <w:num w:numId="10" w16cid:durableId="1300260396">
    <w:abstractNumId w:val="4"/>
  </w:num>
  <w:num w:numId="11" w16cid:durableId="87971793">
    <w:abstractNumId w:val="4"/>
  </w:num>
  <w:num w:numId="12" w16cid:durableId="137185724">
    <w:abstractNumId w:val="4"/>
  </w:num>
  <w:num w:numId="13" w16cid:durableId="98643183">
    <w:abstractNumId w:val="4"/>
  </w:num>
  <w:num w:numId="14" w16cid:durableId="833881690">
    <w:abstractNumId w:val="4"/>
  </w:num>
  <w:num w:numId="15" w16cid:durableId="1337879224">
    <w:abstractNumId w:val="4"/>
  </w:num>
  <w:num w:numId="16" w16cid:durableId="2052419227">
    <w:abstractNumId w:val="4"/>
  </w:num>
  <w:num w:numId="17" w16cid:durableId="1507591201">
    <w:abstractNumId w:val="4"/>
  </w:num>
  <w:num w:numId="18" w16cid:durableId="953093882">
    <w:abstractNumId w:val="4"/>
  </w:num>
  <w:num w:numId="19" w16cid:durableId="1742216887">
    <w:abstractNumId w:val="4"/>
  </w:num>
  <w:num w:numId="20" w16cid:durableId="1774322582">
    <w:abstractNumId w:val="4"/>
  </w:num>
  <w:num w:numId="21" w16cid:durableId="1414742950">
    <w:abstractNumId w:val="4"/>
  </w:num>
  <w:num w:numId="22" w16cid:durableId="132528306">
    <w:abstractNumId w:val="4"/>
  </w:num>
  <w:num w:numId="23" w16cid:durableId="1733459182">
    <w:abstractNumId w:val="4"/>
  </w:num>
  <w:num w:numId="24" w16cid:durableId="1468626703">
    <w:abstractNumId w:val="4"/>
  </w:num>
  <w:num w:numId="25" w16cid:durableId="1779451352">
    <w:abstractNumId w:val="4"/>
  </w:num>
  <w:num w:numId="26" w16cid:durableId="53312064">
    <w:abstractNumId w:val="4"/>
  </w:num>
  <w:num w:numId="27" w16cid:durableId="232787924">
    <w:abstractNumId w:val="4"/>
  </w:num>
  <w:num w:numId="28" w16cid:durableId="360016215">
    <w:abstractNumId w:val="4"/>
  </w:num>
  <w:num w:numId="29" w16cid:durableId="1486161031">
    <w:abstractNumId w:val="4"/>
  </w:num>
  <w:num w:numId="30" w16cid:durableId="1872108251">
    <w:abstractNumId w:val="4"/>
  </w:num>
  <w:num w:numId="31" w16cid:durableId="1243221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0312994">
    <w:abstractNumId w:val="4"/>
  </w:num>
  <w:num w:numId="33" w16cid:durableId="1242641311">
    <w:abstractNumId w:val="4"/>
  </w:num>
  <w:num w:numId="34" w16cid:durableId="477772571">
    <w:abstractNumId w:val="7"/>
  </w:num>
  <w:num w:numId="35" w16cid:durableId="510803880">
    <w:abstractNumId w:val="10"/>
  </w:num>
  <w:num w:numId="36" w16cid:durableId="513615372">
    <w:abstractNumId w:val="8"/>
  </w:num>
  <w:num w:numId="37" w16cid:durableId="572206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748851">
    <w:abstractNumId w:val="12"/>
  </w:num>
  <w:num w:numId="39" w16cid:durableId="75633803">
    <w:abstractNumId w:val="14"/>
  </w:num>
  <w:num w:numId="40" w16cid:durableId="418064073">
    <w:abstractNumId w:val="3"/>
  </w:num>
  <w:num w:numId="41" w16cid:durableId="377899048">
    <w:abstractNumId w:val="0"/>
  </w:num>
  <w:num w:numId="42" w16cid:durableId="747383786">
    <w:abstractNumId w:val="9"/>
  </w:num>
  <w:num w:numId="43" w16cid:durableId="1780248617">
    <w:abstractNumId w:val="16"/>
  </w:num>
  <w:num w:numId="44" w16cid:durableId="2090228624">
    <w:abstractNumId w:val="5"/>
  </w:num>
  <w:num w:numId="45" w16cid:durableId="956568900">
    <w:abstractNumId w:val="13"/>
  </w:num>
  <w:num w:numId="46" w16cid:durableId="1279482082">
    <w:abstractNumId w:val="15"/>
  </w:num>
  <w:num w:numId="47" w16cid:durableId="1499736829">
    <w:abstractNumId w:val="6"/>
  </w:num>
  <w:num w:numId="48" w16cid:durableId="2118328881">
    <w:abstractNumId w:val="1"/>
  </w:num>
  <w:num w:numId="49" w16cid:durableId="17838456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2MzG1sLAwMLQwtDRV0lEKTi0uzszPAykwrAUAjZGdLiwAAAA="/>
  </w:docVars>
  <w:rsids>
    <w:rsidRoot w:val="00EA6CD4"/>
    <w:rsid w:val="00000058"/>
    <w:rsid w:val="00005059"/>
    <w:rsid w:val="00006720"/>
    <w:rsid w:val="00013916"/>
    <w:rsid w:val="00013F13"/>
    <w:rsid w:val="00013F66"/>
    <w:rsid w:val="00016FCE"/>
    <w:rsid w:val="000206B9"/>
    <w:rsid w:val="00021572"/>
    <w:rsid w:val="000223E2"/>
    <w:rsid w:val="00024069"/>
    <w:rsid w:val="00024EC0"/>
    <w:rsid w:val="000252C8"/>
    <w:rsid w:val="000269A0"/>
    <w:rsid w:val="0003170B"/>
    <w:rsid w:val="000330AA"/>
    <w:rsid w:val="00033689"/>
    <w:rsid w:val="00035295"/>
    <w:rsid w:val="00035850"/>
    <w:rsid w:val="00036510"/>
    <w:rsid w:val="00040532"/>
    <w:rsid w:val="000449C9"/>
    <w:rsid w:val="00045C2A"/>
    <w:rsid w:val="000460FA"/>
    <w:rsid w:val="000463D4"/>
    <w:rsid w:val="0005193C"/>
    <w:rsid w:val="000538BE"/>
    <w:rsid w:val="00056698"/>
    <w:rsid w:val="000600AD"/>
    <w:rsid w:val="00060B83"/>
    <w:rsid w:val="00062E02"/>
    <w:rsid w:val="00064ABB"/>
    <w:rsid w:val="00064E70"/>
    <w:rsid w:val="00076A3C"/>
    <w:rsid w:val="000806A3"/>
    <w:rsid w:val="00081824"/>
    <w:rsid w:val="0008399D"/>
    <w:rsid w:val="00090BBB"/>
    <w:rsid w:val="00096D51"/>
    <w:rsid w:val="000A3B02"/>
    <w:rsid w:val="000A4A93"/>
    <w:rsid w:val="000A5255"/>
    <w:rsid w:val="000A7277"/>
    <w:rsid w:val="000B0F7E"/>
    <w:rsid w:val="000B2270"/>
    <w:rsid w:val="000B57CF"/>
    <w:rsid w:val="000C0D17"/>
    <w:rsid w:val="000C3DC6"/>
    <w:rsid w:val="000C3E53"/>
    <w:rsid w:val="000C42FC"/>
    <w:rsid w:val="000C4BAD"/>
    <w:rsid w:val="000C5D4A"/>
    <w:rsid w:val="000C6E46"/>
    <w:rsid w:val="000D17F5"/>
    <w:rsid w:val="000D45A1"/>
    <w:rsid w:val="000E201A"/>
    <w:rsid w:val="000E51FA"/>
    <w:rsid w:val="000E5E70"/>
    <w:rsid w:val="000E687A"/>
    <w:rsid w:val="000E7C01"/>
    <w:rsid w:val="000F04D0"/>
    <w:rsid w:val="000F0879"/>
    <w:rsid w:val="000F22A7"/>
    <w:rsid w:val="000F50B7"/>
    <w:rsid w:val="000F562D"/>
    <w:rsid w:val="000F6E3C"/>
    <w:rsid w:val="0010300F"/>
    <w:rsid w:val="0010379E"/>
    <w:rsid w:val="001073B8"/>
    <w:rsid w:val="00117066"/>
    <w:rsid w:val="0011759E"/>
    <w:rsid w:val="0012080E"/>
    <w:rsid w:val="0012130E"/>
    <w:rsid w:val="00124FC5"/>
    <w:rsid w:val="0012684E"/>
    <w:rsid w:val="00127FB4"/>
    <w:rsid w:val="001348C7"/>
    <w:rsid w:val="0013761F"/>
    <w:rsid w:val="00141BA5"/>
    <w:rsid w:val="00141EEC"/>
    <w:rsid w:val="00142F93"/>
    <w:rsid w:val="00143DA0"/>
    <w:rsid w:val="001471ED"/>
    <w:rsid w:val="0014737C"/>
    <w:rsid w:val="00147F27"/>
    <w:rsid w:val="00150259"/>
    <w:rsid w:val="00153383"/>
    <w:rsid w:val="00156CDE"/>
    <w:rsid w:val="0015742D"/>
    <w:rsid w:val="00161D1A"/>
    <w:rsid w:val="0016510E"/>
    <w:rsid w:val="00165DA8"/>
    <w:rsid w:val="001662A9"/>
    <w:rsid w:val="0016682C"/>
    <w:rsid w:val="00167703"/>
    <w:rsid w:val="00171857"/>
    <w:rsid w:val="0017394F"/>
    <w:rsid w:val="001740EB"/>
    <w:rsid w:val="00176C16"/>
    <w:rsid w:val="0017730A"/>
    <w:rsid w:val="0018027A"/>
    <w:rsid w:val="0018046C"/>
    <w:rsid w:val="00191E78"/>
    <w:rsid w:val="00192FF5"/>
    <w:rsid w:val="00193B63"/>
    <w:rsid w:val="00193BA1"/>
    <w:rsid w:val="00196B94"/>
    <w:rsid w:val="001B2D8A"/>
    <w:rsid w:val="001B3615"/>
    <w:rsid w:val="001B4598"/>
    <w:rsid w:val="001B4819"/>
    <w:rsid w:val="001B48CB"/>
    <w:rsid w:val="001C1534"/>
    <w:rsid w:val="001C4CC1"/>
    <w:rsid w:val="001D100C"/>
    <w:rsid w:val="001D151A"/>
    <w:rsid w:val="001D5D9B"/>
    <w:rsid w:val="001E24C1"/>
    <w:rsid w:val="001E3056"/>
    <w:rsid w:val="001E48C8"/>
    <w:rsid w:val="001E5695"/>
    <w:rsid w:val="001E6155"/>
    <w:rsid w:val="0020226C"/>
    <w:rsid w:val="00204CA6"/>
    <w:rsid w:val="00206B44"/>
    <w:rsid w:val="00206E4E"/>
    <w:rsid w:val="00207BCE"/>
    <w:rsid w:val="00210EF6"/>
    <w:rsid w:val="00211229"/>
    <w:rsid w:val="00212F35"/>
    <w:rsid w:val="00213776"/>
    <w:rsid w:val="002167A8"/>
    <w:rsid w:val="00220088"/>
    <w:rsid w:val="002231BF"/>
    <w:rsid w:val="002238E5"/>
    <w:rsid w:val="00233C3C"/>
    <w:rsid w:val="00233C6D"/>
    <w:rsid w:val="002369F2"/>
    <w:rsid w:val="00244807"/>
    <w:rsid w:val="00245902"/>
    <w:rsid w:val="00247B19"/>
    <w:rsid w:val="0025399F"/>
    <w:rsid w:val="00260ED5"/>
    <w:rsid w:val="00262B6B"/>
    <w:rsid w:val="00272D1E"/>
    <w:rsid w:val="002754D8"/>
    <w:rsid w:val="002757F0"/>
    <w:rsid w:val="002800C5"/>
    <w:rsid w:val="0028289C"/>
    <w:rsid w:val="00283838"/>
    <w:rsid w:val="00284C8A"/>
    <w:rsid w:val="002856E1"/>
    <w:rsid w:val="00285FB4"/>
    <w:rsid w:val="002875CC"/>
    <w:rsid w:val="002912A7"/>
    <w:rsid w:val="00292568"/>
    <w:rsid w:val="002929B8"/>
    <w:rsid w:val="00294114"/>
    <w:rsid w:val="00294E30"/>
    <w:rsid w:val="002A19E4"/>
    <w:rsid w:val="002A1E37"/>
    <w:rsid w:val="002A2729"/>
    <w:rsid w:val="002A3918"/>
    <w:rsid w:val="002A554A"/>
    <w:rsid w:val="002C6134"/>
    <w:rsid w:val="002D4692"/>
    <w:rsid w:val="002E082A"/>
    <w:rsid w:val="002E1EEC"/>
    <w:rsid w:val="002E36E9"/>
    <w:rsid w:val="002E703F"/>
    <w:rsid w:val="002F0615"/>
    <w:rsid w:val="002F30AA"/>
    <w:rsid w:val="002F39A3"/>
    <w:rsid w:val="00300F41"/>
    <w:rsid w:val="00310029"/>
    <w:rsid w:val="00311DAF"/>
    <w:rsid w:val="0031638A"/>
    <w:rsid w:val="00316597"/>
    <w:rsid w:val="0031783F"/>
    <w:rsid w:val="003202ED"/>
    <w:rsid w:val="003204FF"/>
    <w:rsid w:val="00321F03"/>
    <w:rsid w:val="00324245"/>
    <w:rsid w:val="003325C0"/>
    <w:rsid w:val="003366C1"/>
    <w:rsid w:val="0033693B"/>
    <w:rsid w:val="00337192"/>
    <w:rsid w:val="00340B40"/>
    <w:rsid w:val="003414B0"/>
    <w:rsid w:val="003458D7"/>
    <w:rsid w:val="00345C84"/>
    <w:rsid w:val="003470FF"/>
    <w:rsid w:val="003504CE"/>
    <w:rsid w:val="00351515"/>
    <w:rsid w:val="00352048"/>
    <w:rsid w:val="003521B3"/>
    <w:rsid w:val="0035315B"/>
    <w:rsid w:val="00354DFA"/>
    <w:rsid w:val="00357F85"/>
    <w:rsid w:val="00365157"/>
    <w:rsid w:val="0037012A"/>
    <w:rsid w:val="00371E65"/>
    <w:rsid w:val="0037230C"/>
    <w:rsid w:val="003724BA"/>
    <w:rsid w:val="00374A10"/>
    <w:rsid w:val="003815E3"/>
    <w:rsid w:val="0038171B"/>
    <w:rsid w:val="00390FA1"/>
    <w:rsid w:val="0039559A"/>
    <w:rsid w:val="00395E13"/>
    <w:rsid w:val="003969E9"/>
    <w:rsid w:val="003A1760"/>
    <w:rsid w:val="003A4CE2"/>
    <w:rsid w:val="003B13EC"/>
    <w:rsid w:val="003B1EC4"/>
    <w:rsid w:val="003B42D5"/>
    <w:rsid w:val="003C0382"/>
    <w:rsid w:val="003C240A"/>
    <w:rsid w:val="003C2823"/>
    <w:rsid w:val="003C2889"/>
    <w:rsid w:val="003C3E35"/>
    <w:rsid w:val="003C6767"/>
    <w:rsid w:val="003C68E4"/>
    <w:rsid w:val="003C6B86"/>
    <w:rsid w:val="003C7511"/>
    <w:rsid w:val="003D0EF9"/>
    <w:rsid w:val="003D20CC"/>
    <w:rsid w:val="003D30FA"/>
    <w:rsid w:val="003D5016"/>
    <w:rsid w:val="003D5E64"/>
    <w:rsid w:val="003E2E2E"/>
    <w:rsid w:val="003E3B3D"/>
    <w:rsid w:val="003E4735"/>
    <w:rsid w:val="003E5F9A"/>
    <w:rsid w:val="003E6F1C"/>
    <w:rsid w:val="003F1E6B"/>
    <w:rsid w:val="003F4D15"/>
    <w:rsid w:val="003F7203"/>
    <w:rsid w:val="003F7F58"/>
    <w:rsid w:val="00401551"/>
    <w:rsid w:val="00402157"/>
    <w:rsid w:val="004031B7"/>
    <w:rsid w:val="00407878"/>
    <w:rsid w:val="00407BBF"/>
    <w:rsid w:val="00410657"/>
    <w:rsid w:val="00415AE9"/>
    <w:rsid w:val="00417C15"/>
    <w:rsid w:val="00421296"/>
    <w:rsid w:val="00421F93"/>
    <w:rsid w:val="00424920"/>
    <w:rsid w:val="004253C5"/>
    <w:rsid w:val="00426B56"/>
    <w:rsid w:val="00427341"/>
    <w:rsid w:val="00430AE3"/>
    <w:rsid w:val="00430D78"/>
    <w:rsid w:val="004363DF"/>
    <w:rsid w:val="004447F3"/>
    <w:rsid w:val="00445B20"/>
    <w:rsid w:val="00446DF2"/>
    <w:rsid w:val="0044753A"/>
    <w:rsid w:val="00447580"/>
    <w:rsid w:val="00447E94"/>
    <w:rsid w:val="004521D0"/>
    <w:rsid w:val="00457F34"/>
    <w:rsid w:val="00463B1B"/>
    <w:rsid w:val="0046533B"/>
    <w:rsid w:val="00465FDC"/>
    <w:rsid w:val="00470040"/>
    <w:rsid w:val="00481C88"/>
    <w:rsid w:val="00484155"/>
    <w:rsid w:val="0048459E"/>
    <w:rsid w:val="004845DF"/>
    <w:rsid w:val="00484D33"/>
    <w:rsid w:val="00484FE7"/>
    <w:rsid w:val="0049082C"/>
    <w:rsid w:val="0049324B"/>
    <w:rsid w:val="00496A2E"/>
    <w:rsid w:val="004A12A6"/>
    <w:rsid w:val="004A12D0"/>
    <w:rsid w:val="004A2102"/>
    <w:rsid w:val="004A4B36"/>
    <w:rsid w:val="004A665C"/>
    <w:rsid w:val="004B18B7"/>
    <w:rsid w:val="004B214D"/>
    <w:rsid w:val="004B4825"/>
    <w:rsid w:val="004B544B"/>
    <w:rsid w:val="004C24E9"/>
    <w:rsid w:val="004C7DE5"/>
    <w:rsid w:val="004D5318"/>
    <w:rsid w:val="004D671B"/>
    <w:rsid w:val="004D6885"/>
    <w:rsid w:val="004D7EB1"/>
    <w:rsid w:val="004F05C6"/>
    <w:rsid w:val="004F18B2"/>
    <w:rsid w:val="004F1B23"/>
    <w:rsid w:val="004F2C82"/>
    <w:rsid w:val="00500CF6"/>
    <w:rsid w:val="00501216"/>
    <w:rsid w:val="00501614"/>
    <w:rsid w:val="005026FB"/>
    <w:rsid w:val="00504A4D"/>
    <w:rsid w:val="00504C83"/>
    <w:rsid w:val="0050502F"/>
    <w:rsid w:val="00505AA1"/>
    <w:rsid w:val="00505F6E"/>
    <w:rsid w:val="00511FC0"/>
    <w:rsid w:val="0051663B"/>
    <w:rsid w:val="0052278C"/>
    <w:rsid w:val="005361BD"/>
    <w:rsid w:val="00542D61"/>
    <w:rsid w:val="005446C3"/>
    <w:rsid w:val="00545B8F"/>
    <w:rsid w:val="00547233"/>
    <w:rsid w:val="00552DA5"/>
    <w:rsid w:val="005546A8"/>
    <w:rsid w:val="00554864"/>
    <w:rsid w:val="00555319"/>
    <w:rsid w:val="005601A9"/>
    <w:rsid w:val="005615A7"/>
    <w:rsid w:val="00561695"/>
    <w:rsid w:val="0056639C"/>
    <w:rsid w:val="0058561A"/>
    <w:rsid w:val="00586DEC"/>
    <w:rsid w:val="00586E1D"/>
    <w:rsid w:val="005953BC"/>
    <w:rsid w:val="00597C6F"/>
    <w:rsid w:val="005A0D18"/>
    <w:rsid w:val="005A415D"/>
    <w:rsid w:val="005A5817"/>
    <w:rsid w:val="005A6491"/>
    <w:rsid w:val="005A66C2"/>
    <w:rsid w:val="005A70BF"/>
    <w:rsid w:val="005B230A"/>
    <w:rsid w:val="005B3E15"/>
    <w:rsid w:val="005B6B8D"/>
    <w:rsid w:val="005C4E7A"/>
    <w:rsid w:val="005C5F65"/>
    <w:rsid w:val="005C6062"/>
    <w:rsid w:val="005C6451"/>
    <w:rsid w:val="005D08C4"/>
    <w:rsid w:val="005E22C9"/>
    <w:rsid w:val="005E4649"/>
    <w:rsid w:val="005E7DCC"/>
    <w:rsid w:val="005F3902"/>
    <w:rsid w:val="005F4A06"/>
    <w:rsid w:val="005F58FB"/>
    <w:rsid w:val="005F5D78"/>
    <w:rsid w:val="005F5DEF"/>
    <w:rsid w:val="00601150"/>
    <w:rsid w:val="00615156"/>
    <w:rsid w:val="0061578A"/>
    <w:rsid w:val="0061629E"/>
    <w:rsid w:val="006162C1"/>
    <w:rsid w:val="00616303"/>
    <w:rsid w:val="006211E1"/>
    <w:rsid w:val="00623689"/>
    <w:rsid w:val="006247CE"/>
    <w:rsid w:val="006255F4"/>
    <w:rsid w:val="0062734B"/>
    <w:rsid w:val="00630EFF"/>
    <w:rsid w:val="00633CD8"/>
    <w:rsid w:val="00636673"/>
    <w:rsid w:val="00636DD7"/>
    <w:rsid w:val="00640BF2"/>
    <w:rsid w:val="006425B2"/>
    <w:rsid w:val="00642B95"/>
    <w:rsid w:val="006435B6"/>
    <w:rsid w:val="00644462"/>
    <w:rsid w:val="006474D2"/>
    <w:rsid w:val="00647C95"/>
    <w:rsid w:val="0065099B"/>
    <w:rsid w:val="00654EE3"/>
    <w:rsid w:val="006566CD"/>
    <w:rsid w:val="00660DC9"/>
    <w:rsid w:val="00662EF2"/>
    <w:rsid w:val="00663888"/>
    <w:rsid w:val="00664022"/>
    <w:rsid w:val="0066675E"/>
    <w:rsid w:val="0067053A"/>
    <w:rsid w:val="006714D1"/>
    <w:rsid w:val="00675992"/>
    <w:rsid w:val="00677A91"/>
    <w:rsid w:val="00682D44"/>
    <w:rsid w:val="0068303E"/>
    <w:rsid w:val="00683DBE"/>
    <w:rsid w:val="00684176"/>
    <w:rsid w:val="006844B0"/>
    <w:rsid w:val="00686FCD"/>
    <w:rsid w:val="00690157"/>
    <w:rsid w:val="00690B26"/>
    <w:rsid w:val="006923FD"/>
    <w:rsid w:val="006A09E7"/>
    <w:rsid w:val="006A0B4E"/>
    <w:rsid w:val="006A2B3F"/>
    <w:rsid w:val="006A31BB"/>
    <w:rsid w:val="006A563E"/>
    <w:rsid w:val="006A5E45"/>
    <w:rsid w:val="006A6B54"/>
    <w:rsid w:val="006A7E78"/>
    <w:rsid w:val="006B11CE"/>
    <w:rsid w:val="006B19F7"/>
    <w:rsid w:val="006B5704"/>
    <w:rsid w:val="006B5DAC"/>
    <w:rsid w:val="006B6D95"/>
    <w:rsid w:val="006C2652"/>
    <w:rsid w:val="006C53ED"/>
    <w:rsid w:val="006D02DC"/>
    <w:rsid w:val="006D03AA"/>
    <w:rsid w:val="006D0A5C"/>
    <w:rsid w:val="006D0E5D"/>
    <w:rsid w:val="006D4E2B"/>
    <w:rsid w:val="006E34E4"/>
    <w:rsid w:val="006E3C40"/>
    <w:rsid w:val="006E42A9"/>
    <w:rsid w:val="006E5155"/>
    <w:rsid w:val="006E522B"/>
    <w:rsid w:val="006E557B"/>
    <w:rsid w:val="006E73B9"/>
    <w:rsid w:val="006E77C0"/>
    <w:rsid w:val="006F0B86"/>
    <w:rsid w:val="006F1EF6"/>
    <w:rsid w:val="006F7C73"/>
    <w:rsid w:val="00700CC4"/>
    <w:rsid w:val="00702DA1"/>
    <w:rsid w:val="007067AC"/>
    <w:rsid w:val="00707490"/>
    <w:rsid w:val="00707CAF"/>
    <w:rsid w:val="00710FD9"/>
    <w:rsid w:val="00713C91"/>
    <w:rsid w:val="007154C1"/>
    <w:rsid w:val="00716A2D"/>
    <w:rsid w:val="0072034A"/>
    <w:rsid w:val="0072246D"/>
    <w:rsid w:val="00723EE1"/>
    <w:rsid w:val="00724F3C"/>
    <w:rsid w:val="00730B45"/>
    <w:rsid w:val="00733979"/>
    <w:rsid w:val="00733E99"/>
    <w:rsid w:val="00737AB7"/>
    <w:rsid w:val="00741025"/>
    <w:rsid w:val="007412FE"/>
    <w:rsid w:val="007425AB"/>
    <w:rsid w:val="00756B54"/>
    <w:rsid w:val="00757DB9"/>
    <w:rsid w:val="00760FFF"/>
    <w:rsid w:val="007619B3"/>
    <w:rsid w:val="00763C6D"/>
    <w:rsid w:val="00771A66"/>
    <w:rsid w:val="0077321B"/>
    <w:rsid w:val="007738FD"/>
    <w:rsid w:val="00774612"/>
    <w:rsid w:val="00776F15"/>
    <w:rsid w:val="007773AC"/>
    <w:rsid w:val="00785236"/>
    <w:rsid w:val="00792018"/>
    <w:rsid w:val="00796047"/>
    <w:rsid w:val="007A04FD"/>
    <w:rsid w:val="007A2ABB"/>
    <w:rsid w:val="007A3836"/>
    <w:rsid w:val="007A4FC5"/>
    <w:rsid w:val="007A7CF0"/>
    <w:rsid w:val="007B2070"/>
    <w:rsid w:val="007B4E86"/>
    <w:rsid w:val="007B7744"/>
    <w:rsid w:val="007B7DE0"/>
    <w:rsid w:val="007B7E35"/>
    <w:rsid w:val="007C00E6"/>
    <w:rsid w:val="007C0237"/>
    <w:rsid w:val="007C3EBD"/>
    <w:rsid w:val="007C4EAB"/>
    <w:rsid w:val="007C6E1E"/>
    <w:rsid w:val="007C7824"/>
    <w:rsid w:val="007D03A3"/>
    <w:rsid w:val="007D459F"/>
    <w:rsid w:val="007D4A8A"/>
    <w:rsid w:val="007D63CE"/>
    <w:rsid w:val="007D7235"/>
    <w:rsid w:val="007E0AA8"/>
    <w:rsid w:val="007E126A"/>
    <w:rsid w:val="007E1556"/>
    <w:rsid w:val="007E34CC"/>
    <w:rsid w:val="007F0F35"/>
    <w:rsid w:val="007F446F"/>
    <w:rsid w:val="007F5466"/>
    <w:rsid w:val="008051A7"/>
    <w:rsid w:val="00806985"/>
    <w:rsid w:val="008119A9"/>
    <w:rsid w:val="00813002"/>
    <w:rsid w:val="00813352"/>
    <w:rsid w:val="008150D5"/>
    <w:rsid w:val="008173DB"/>
    <w:rsid w:val="00820F30"/>
    <w:rsid w:val="00821AD2"/>
    <w:rsid w:val="008255C7"/>
    <w:rsid w:val="00825EB5"/>
    <w:rsid w:val="00831AD2"/>
    <w:rsid w:val="008326F1"/>
    <w:rsid w:val="00833533"/>
    <w:rsid w:val="00833792"/>
    <w:rsid w:val="008353F0"/>
    <w:rsid w:val="00844404"/>
    <w:rsid w:val="00844EA1"/>
    <w:rsid w:val="00846E44"/>
    <w:rsid w:val="008509BE"/>
    <w:rsid w:val="0085264E"/>
    <w:rsid w:val="00853F12"/>
    <w:rsid w:val="00853FC4"/>
    <w:rsid w:val="008555DE"/>
    <w:rsid w:val="00855658"/>
    <w:rsid w:val="00860B9E"/>
    <w:rsid w:val="0086223F"/>
    <w:rsid w:val="008624E2"/>
    <w:rsid w:val="0086270F"/>
    <w:rsid w:val="00863A38"/>
    <w:rsid w:val="00864519"/>
    <w:rsid w:val="008653CC"/>
    <w:rsid w:val="00867F57"/>
    <w:rsid w:val="008739CB"/>
    <w:rsid w:val="00873D0F"/>
    <w:rsid w:val="008770E9"/>
    <w:rsid w:val="008803EB"/>
    <w:rsid w:val="0088113C"/>
    <w:rsid w:val="00885048"/>
    <w:rsid w:val="00885F18"/>
    <w:rsid w:val="00890322"/>
    <w:rsid w:val="0089156D"/>
    <w:rsid w:val="008923E1"/>
    <w:rsid w:val="008924CA"/>
    <w:rsid w:val="00895C40"/>
    <w:rsid w:val="00897206"/>
    <w:rsid w:val="008A129D"/>
    <w:rsid w:val="008A1AC9"/>
    <w:rsid w:val="008A2E5B"/>
    <w:rsid w:val="008A6D05"/>
    <w:rsid w:val="008A78E7"/>
    <w:rsid w:val="008A7EC7"/>
    <w:rsid w:val="008B1DDB"/>
    <w:rsid w:val="008C0814"/>
    <w:rsid w:val="008C2196"/>
    <w:rsid w:val="008C4C23"/>
    <w:rsid w:val="008D0F9C"/>
    <w:rsid w:val="008D66A9"/>
    <w:rsid w:val="008E129B"/>
    <w:rsid w:val="008E407B"/>
    <w:rsid w:val="008F63B3"/>
    <w:rsid w:val="008F6C0F"/>
    <w:rsid w:val="00902987"/>
    <w:rsid w:val="0090528A"/>
    <w:rsid w:val="00907BBD"/>
    <w:rsid w:val="00912C24"/>
    <w:rsid w:val="00915EBA"/>
    <w:rsid w:val="0092135E"/>
    <w:rsid w:val="00922F8F"/>
    <w:rsid w:val="0092318D"/>
    <w:rsid w:val="00926FC3"/>
    <w:rsid w:val="00937FB2"/>
    <w:rsid w:val="00947A8C"/>
    <w:rsid w:val="0095324F"/>
    <w:rsid w:val="0095600B"/>
    <w:rsid w:val="00956EF1"/>
    <w:rsid w:val="00964991"/>
    <w:rsid w:val="00964F05"/>
    <w:rsid w:val="00965FAA"/>
    <w:rsid w:val="009715C9"/>
    <w:rsid w:val="009777C7"/>
    <w:rsid w:val="009804A8"/>
    <w:rsid w:val="00984D41"/>
    <w:rsid w:val="009874C6"/>
    <w:rsid w:val="0099055C"/>
    <w:rsid w:val="00992E21"/>
    <w:rsid w:val="00994A36"/>
    <w:rsid w:val="00994CFE"/>
    <w:rsid w:val="009A0BD5"/>
    <w:rsid w:val="009A1259"/>
    <w:rsid w:val="009A4CDC"/>
    <w:rsid w:val="009B12AD"/>
    <w:rsid w:val="009B7BD3"/>
    <w:rsid w:val="009C256C"/>
    <w:rsid w:val="009D24C2"/>
    <w:rsid w:val="009D4549"/>
    <w:rsid w:val="009D533B"/>
    <w:rsid w:val="009E00E3"/>
    <w:rsid w:val="009E2CB7"/>
    <w:rsid w:val="009E65C0"/>
    <w:rsid w:val="009F0396"/>
    <w:rsid w:val="009F0AC2"/>
    <w:rsid w:val="009F2F16"/>
    <w:rsid w:val="009F65E7"/>
    <w:rsid w:val="00A00585"/>
    <w:rsid w:val="00A03C6A"/>
    <w:rsid w:val="00A040F5"/>
    <w:rsid w:val="00A10756"/>
    <w:rsid w:val="00A124D5"/>
    <w:rsid w:val="00A15DD5"/>
    <w:rsid w:val="00A1796E"/>
    <w:rsid w:val="00A27FA6"/>
    <w:rsid w:val="00A3251B"/>
    <w:rsid w:val="00A34D30"/>
    <w:rsid w:val="00A34EE3"/>
    <w:rsid w:val="00A358DF"/>
    <w:rsid w:val="00A35BB8"/>
    <w:rsid w:val="00A36EB9"/>
    <w:rsid w:val="00A4202C"/>
    <w:rsid w:val="00A42064"/>
    <w:rsid w:val="00A424AC"/>
    <w:rsid w:val="00A433AA"/>
    <w:rsid w:val="00A439B0"/>
    <w:rsid w:val="00A561AD"/>
    <w:rsid w:val="00A60DA6"/>
    <w:rsid w:val="00A629A8"/>
    <w:rsid w:val="00A649E7"/>
    <w:rsid w:val="00A66A25"/>
    <w:rsid w:val="00A67BBD"/>
    <w:rsid w:val="00A7023E"/>
    <w:rsid w:val="00A70EDD"/>
    <w:rsid w:val="00A71CAA"/>
    <w:rsid w:val="00A7319B"/>
    <w:rsid w:val="00A802F7"/>
    <w:rsid w:val="00A80C25"/>
    <w:rsid w:val="00A80FBE"/>
    <w:rsid w:val="00A8182A"/>
    <w:rsid w:val="00A81DEE"/>
    <w:rsid w:val="00A91D4E"/>
    <w:rsid w:val="00A93999"/>
    <w:rsid w:val="00A96295"/>
    <w:rsid w:val="00A975C1"/>
    <w:rsid w:val="00AA14E7"/>
    <w:rsid w:val="00AA282F"/>
    <w:rsid w:val="00AA7A46"/>
    <w:rsid w:val="00AB65AA"/>
    <w:rsid w:val="00AC33C6"/>
    <w:rsid w:val="00AC3F61"/>
    <w:rsid w:val="00AC56D3"/>
    <w:rsid w:val="00AC743C"/>
    <w:rsid w:val="00AD2B7D"/>
    <w:rsid w:val="00AD2B8A"/>
    <w:rsid w:val="00AD51BC"/>
    <w:rsid w:val="00AD780A"/>
    <w:rsid w:val="00AE23FA"/>
    <w:rsid w:val="00AE4457"/>
    <w:rsid w:val="00AE4675"/>
    <w:rsid w:val="00AE546A"/>
    <w:rsid w:val="00AF0C2E"/>
    <w:rsid w:val="00AF1308"/>
    <w:rsid w:val="00AF2E72"/>
    <w:rsid w:val="00AF5EAC"/>
    <w:rsid w:val="00AF72EB"/>
    <w:rsid w:val="00B0132A"/>
    <w:rsid w:val="00B11B7B"/>
    <w:rsid w:val="00B158CB"/>
    <w:rsid w:val="00B17D38"/>
    <w:rsid w:val="00B21804"/>
    <w:rsid w:val="00B21985"/>
    <w:rsid w:val="00B236D8"/>
    <w:rsid w:val="00B2662F"/>
    <w:rsid w:val="00B33232"/>
    <w:rsid w:val="00B34022"/>
    <w:rsid w:val="00B372F4"/>
    <w:rsid w:val="00B4450F"/>
    <w:rsid w:val="00B453DC"/>
    <w:rsid w:val="00B63A10"/>
    <w:rsid w:val="00B6502E"/>
    <w:rsid w:val="00B663AB"/>
    <w:rsid w:val="00B66B19"/>
    <w:rsid w:val="00B7447A"/>
    <w:rsid w:val="00B76DE9"/>
    <w:rsid w:val="00B771DF"/>
    <w:rsid w:val="00B77395"/>
    <w:rsid w:val="00B77DE1"/>
    <w:rsid w:val="00B82DF7"/>
    <w:rsid w:val="00B932B1"/>
    <w:rsid w:val="00B93E5F"/>
    <w:rsid w:val="00B958BA"/>
    <w:rsid w:val="00B96E0E"/>
    <w:rsid w:val="00B97B71"/>
    <w:rsid w:val="00BA5EFF"/>
    <w:rsid w:val="00BB1870"/>
    <w:rsid w:val="00BB4FFF"/>
    <w:rsid w:val="00BB5C60"/>
    <w:rsid w:val="00BE2145"/>
    <w:rsid w:val="00BE2224"/>
    <w:rsid w:val="00BE33E3"/>
    <w:rsid w:val="00BE4108"/>
    <w:rsid w:val="00BE788A"/>
    <w:rsid w:val="00BF06A5"/>
    <w:rsid w:val="00BF1C0D"/>
    <w:rsid w:val="00BF2BEC"/>
    <w:rsid w:val="00BF34C6"/>
    <w:rsid w:val="00BF6B18"/>
    <w:rsid w:val="00C01FF9"/>
    <w:rsid w:val="00C0292E"/>
    <w:rsid w:val="00C04B0E"/>
    <w:rsid w:val="00C050C9"/>
    <w:rsid w:val="00C05564"/>
    <w:rsid w:val="00C14F08"/>
    <w:rsid w:val="00C15A7F"/>
    <w:rsid w:val="00C17582"/>
    <w:rsid w:val="00C22F42"/>
    <w:rsid w:val="00C240DF"/>
    <w:rsid w:val="00C24A03"/>
    <w:rsid w:val="00C25A16"/>
    <w:rsid w:val="00C30B16"/>
    <w:rsid w:val="00C35AE6"/>
    <w:rsid w:val="00C35F34"/>
    <w:rsid w:val="00C477C6"/>
    <w:rsid w:val="00C55EC2"/>
    <w:rsid w:val="00C56227"/>
    <w:rsid w:val="00C5678B"/>
    <w:rsid w:val="00C5712B"/>
    <w:rsid w:val="00C60BB8"/>
    <w:rsid w:val="00C63194"/>
    <w:rsid w:val="00C63391"/>
    <w:rsid w:val="00C66445"/>
    <w:rsid w:val="00C74E36"/>
    <w:rsid w:val="00C7543E"/>
    <w:rsid w:val="00C76854"/>
    <w:rsid w:val="00C77169"/>
    <w:rsid w:val="00C77411"/>
    <w:rsid w:val="00C808A9"/>
    <w:rsid w:val="00C85248"/>
    <w:rsid w:val="00C860FB"/>
    <w:rsid w:val="00C8788C"/>
    <w:rsid w:val="00C906EC"/>
    <w:rsid w:val="00C956DF"/>
    <w:rsid w:val="00C96454"/>
    <w:rsid w:val="00CA268A"/>
    <w:rsid w:val="00CA4A2B"/>
    <w:rsid w:val="00CA78DD"/>
    <w:rsid w:val="00CB0D15"/>
    <w:rsid w:val="00CB20B2"/>
    <w:rsid w:val="00CB2503"/>
    <w:rsid w:val="00CB3AFB"/>
    <w:rsid w:val="00CB4DB9"/>
    <w:rsid w:val="00CC01D7"/>
    <w:rsid w:val="00CC17D9"/>
    <w:rsid w:val="00CC4F6F"/>
    <w:rsid w:val="00CC5BF0"/>
    <w:rsid w:val="00CD50F3"/>
    <w:rsid w:val="00CD6D6A"/>
    <w:rsid w:val="00CE1CDA"/>
    <w:rsid w:val="00CE3E48"/>
    <w:rsid w:val="00CE4A6C"/>
    <w:rsid w:val="00CE60E4"/>
    <w:rsid w:val="00CE6950"/>
    <w:rsid w:val="00CF36F4"/>
    <w:rsid w:val="00CF3964"/>
    <w:rsid w:val="00CF7049"/>
    <w:rsid w:val="00CF7F6C"/>
    <w:rsid w:val="00D00E44"/>
    <w:rsid w:val="00D01337"/>
    <w:rsid w:val="00D10CBB"/>
    <w:rsid w:val="00D127B9"/>
    <w:rsid w:val="00D13254"/>
    <w:rsid w:val="00D134CE"/>
    <w:rsid w:val="00D1692F"/>
    <w:rsid w:val="00D22F94"/>
    <w:rsid w:val="00D25B6C"/>
    <w:rsid w:val="00D30355"/>
    <w:rsid w:val="00D316AC"/>
    <w:rsid w:val="00D31952"/>
    <w:rsid w:val="00D31B6A"/>
    <w:rsid w:val="00D3360D"/>
    <w:rsid w:val="00D3373C"/>
    <w:rsid w:val="00D34D64"/>
    <w:rsid w:val="00D36320"/>
    <w:rsid w:val="00D370CF"/>
    <w:rsid w:val="00D4019A"/>
    <w:rsid w:val="00D40A33"/>
    <w:rsid w:val="00D417C3"/>
    <w:rsid w:val="00D42865"/>
    <w:rsid w:val="00D43327"/>
    <w:rsid w:val="00D478B5"/>
    <w:rsid w:val="00D50BC7"/>
    <w:rsid w:val="00D52B3B"/>
    <w:rsid w:val="00D52E36"/>
    <w:rsid w:val="00D53CDC"/>
    <w:rsid w:val="00D552FC"/>
    <w:rsid w:val="00D60D2D"/>
    <w:rsid w:val="00D65172"/>
    <w:rsid w:val="00D6733A"/>
    <w:rsid w:val="00D70420"/>
    <w:rsid w:val="00D75DBC"/>
    <w:rsid w:val="00D83945"/>
    <w:rsid w:val="00D842FD"/>
    <w:rsid w:val="00D905E4"/>
    <w:rsid w:val="00D90FD8"/>
    <w:rsid w:val="00D912C4"/>
    <w:rsid w:val="00D964BA"/>
    <w:rsid w:val="00D96639"/>
    <w:rsid w:val="00D97DE4"/>
    <w:rsid w:val="00DA332F"/>
    <w:rsid w:val="00DA3F1D"/>
    <w:rsid w:val="00DA4E0C"/>
    <w:rsid w:val="00DB0B8E"/>
    <w:rsid w:val="00DB1590"/>
    <w:rsid w:val="00DB42AA"/>
    <w:rsid w:val="00DB4489"/>
    <w:rsid w:val="00DB7D1C"/>
    <w:rsid w:val="00DC027A"/>
    <w:rsid w:val="00DC0AD9"/>
    <w:rsid w:val="00DD651B"/>
    <w:rsid w:val="00DE0AE6"/>
    <w:rsid w:val="00DE0B7B"/>
    <w:rsid w:val="00DE3255"/>
    <w:rsid w:val="00DE41F0"/>
    <w:rsid w:val="00DE4475"/>
    <w:rsid w:val="00DF1EC0"/>
    <w:rsid w:val="00DF1F5C"/>
    <w:rsid w:val="00DF4A7A"/>
    <w:rsid w:val="00DF5DA1"/>
    <w:rsid w:val="00E00E1B"/>
    <w:rsid w:val="00E00FDF"/>
    <w:rsid w:val="00E02B6E"/>
    <w:rsid w:val="00E02C94"/>
    <w:rsid w:val="00E05230"/>
    <w:rsid w:val="00E1352F"/>
    <w:rsid w:val="00E13867"/>
    <w:rsid w:val="00E13A1D"/>
    <w:rsid w:val="00E156EB"/>
    <w:rsid w:val="00E23510"/>
    <w:rsid w:val="00E25969"/>
    <w:rsid w:val="00E26023"/>
    <w:rsid w:val="00E303AF"/>
    <w:rsid w:val="00E34CF6"/>
    <w:rsid w:val="00E36B92"/>
    <w:rsid w:val="00E37DD8"/>
    <w:rsid w:val="00E46838"/>
    <w:rsid w:val="00E50CC7"/>
    <w:rsid w:val="00E51266"/>
    <w:rsid w:val="00E51A50"/>
    <w:rsid w:val="00E53D8B"/>
    <w:rsid w:val="00E54DAA"/>
    <w:rsid w:val="00E55495"/>
    <w:rsid w:val="00E558C3"/>
    <w:rsid w:val="00E63CD1"/>
    <w:rsid w:val="00E75408"/>
    <w:rsid w:val="00E77851"/>
    <w:rsid w:val="00E81456"/>
    <w:rsid w:val="00E82176"/>
    <w:rsid w:val="00E858B8"/>
    <w:rsid w:val="00E877EE"/>
    <w:rsid w:val="00E87D02"/>
    <w:rsid w:val="00E91505"/>
    <w:rsid w:val="00E927E5"/>
    <w:rsid w:val="00E928E8"/>
    <w:rsid w:val="00E940B8"/>
    <w:rsid w:val="00E94884"/>
    <w:rsid w:val="00E94983"/>
    <w:rsid w:val="00EA240C"/>
    <w:rsid w:val="00EA4FA7"/>
    <w:rsid w:val="00EA5BC8"/>
    <w:rsid w:val="00EA6B5D"/>
    <w:rsid w:val="00EA6CD4"/>
    <w:rsid w:val="00EA788F"/>
    <w:rsid w:val="00EB6F17"/>
    <w:rsid w:val="00EC631E"/>
    <w:rsid w:val="00ED16A1"/>
    <w:rsid w:val="00ED2946"/>
    <w:rsid w:val="00ED464A"/>
    <w:rsid w:val="00EE1978"/>
    <w:rsid w:val="00EE1F1C"/>
    <w:rsid w:val="00EE74FB"/>
    <w:rsid w:val="00EF2ED0"/>
    <w:rsid w:val="00EF2F5C"/>
    <w:rsid w:val="00EF45EB"/>
    <w:rsid w:val="00EF5740"/>
    <w:rsid w:val="00EF5857"/>
    <w:rsid w:val="00F033F2"/>
    <w:rsid w:val="00F04A6E"/>
    <w:rsid w:val="00F0722B"/>
    <w:rsid w:val="00F07E82"/>
    <w:rsid w:val="00F11A88"/>
    <w:rsid w:val="00F15C35"/>
    <w:rsid w:val="00F26D06"/>
    <w:rsid w:val="00F300AA"/>
    <w:rsid w:val="00F334D0"/>
    <w:rsid w:val="00F44665"/>
    <w:rsid w:val="00F44D75"/>
    <w:rsid w:val="00F554DB"/>
    <w:rsid w:val="00F606EA"/>
    <w:rsid w:val="00F67FE3"/>
    <w:rsid w:val="00F851FE"/>
    <w:rsid w:val="00F91887"/>
    <w:rsid w:val="00F95C27"/>
    <w:rsid w:val="00F97B1F"/>
    <w:rsid w:val="00FA0C06"/>
    <w:rsid w:val="00FA13A5"/>
    <w:rsid w:val="00FA5336"/>
    <w:rsid w:val="00FA5D5D"/>
    <w:rsid w:val="00FB09C8"/>
    <w:rsid w:val="00FB12E7"/>
    <w:rsid w:val="00FB42CF"/>
    <w:rsid w:val="00FB60F0"/>
    <w:rsid w:val="00FC3F94"/>
    <w:rsid w:val="00FC4520"/>
    <w:rsid w:val="00FC48B7"/>
    <w:rsid w:val="00FC50BF"/>
    <w:rsid w:val="00FC52B8"/>
    <w:rsid w:val="00FD4554"/>
    <w:rsid w:val="00FD4C4B"/>
    <w:rsid w:val="00FD68D5"/>
    <w:rsid w:val="00FE2D46"/>
    <w:rsid w:val="00FE38D9"/>
    <w:rsid w:val="00FE5C07"/>
    <w:rsid w:val="00FE6896"/>
    <w:rsid w:val="00FF0F2C"/>
    <w:rsid w:val="00FF1374"/>
    <w:rsid w:val="00FF7C71"/>
    <w:rsid w:val="00FF7FB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151"/>
  <w15:docId w15:val="{F4616BA8-200D-4F1B-B6E6-307BA65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link w:val="Heading1Char"/>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character" w:styleId="CommentReference">
    <w:name w:val="annotation reference"/>
    <w:basedOn w:val="DefaultParagraphFont"/>
    <w:semiHidden/>
    <w:unhideWhenUsed/>
    <w:rsid w:val="00B4450F"/>
    <w:rPr>
      <w:sz w:val="16"/>
      <w:szCs w:val="16"/>
    </w:rPr>
  </w:style>
  <w:style w:type="paragraph" w:styleId="CommentText">
    <w:name w:val="annotation text"/>
    <w:basedOn w:val="Normal"/>
    <w:link w:val="CommentTextChar"/>
    <w:unhideWhenUsed/>
    <w:rsid w:val="00B4450F"/>
    <w:pPr>
      <w:spacing w:line="240" w:lineRule="auto"/>
    </w:pPr>
    <w:rPr>
      <w:sz w:val="20"/>
    </w:rPr>
  </w:style>
  <w:style w:type="character" w:customStyle="1" w:styleId="CommentTextChar">
    <w:name w:val="Comment Text Char"/>
    <w:basedOn w:val="DefaultParagraphFont"/>
    <w:link w:val="CommentText"/>
    <w:rsid w:val="00B4450F"/>
    <w:rPr>
      <w:rFonts w:ascii="Arial" w:hAnsi="Arial"/>
      <w:kern w:val="25"/>
      <w:lang w:eastAsia="en-US"/>
    </w:rPr>
  </w:style>
  <w:style w:type="paragraph" w:styleId="CommentSubject">
    <w:name w:val="annotation subject"/>
    <w:basedOn w:val="CommentText"/>
    <w:next w:val="CommentText"/>
    <w:link w:val="CommentSubjectChar"/>
    <w:semiHidden/>
    <w:unhideWhenUsed/>
    <w:rsid w:val="00B4450F"/>
    <w:rPr>
      <w:b/>
      <w:bCs/>
    </w:rPr>
  </w:style>
  <w:style w:type="character" w:customStyle="1" w:styleId="CommentSubjectChar">
    <w:name w:val="Comment Subject Char"/>
    <w:basedOn w:val="CommentTextChar"/>
    <w:link w:val="CommentSubject"/>
    <w:semiHidden/>
    <w:rsid w:val="00B4450F"/>
    <w:rPr>
      <w:rFonts w:ascii="Arial" w:hAnsi="Arial"/>
      <w:b/>
      <w:bCs/>
      <w:kern w:val="25"/>
      <w:lang w:eastAsia="en-US"/>
    </w:rPr>
  </w:style>
  <w:style w:type="character" w:customStyle="1" w:styleId="Heading1Char">
    <w:name w:val="Heading 1 Char"/>
    <w:basedOn w:val="DefaultParagraphFont"/>
    <w:link w:val="Heading1"/>
    <w:rsid w:val="00D417C3"/>
    <w:rPr>
      <w:rFonts w:ascii="Arial" w:hAnsi="Arial"/>
      <w:kern w:val="25"/>
      <w:sz w:val="24"/>
      <w:lang w:eastAsia="en-US"/>
    </w:rPr>
  </w:style>
  <w:style w:type="character" w:customStyle="1" w:styleId="FootnoteTextChar">
    <w:name w:val="Footnote Text Char"/>
    <w:basedOn w:val="DefaultParagraphFont"/>
    <w:link w:val="FootnoteText"/>
    <w:semiHidden/>
    <w:rsid w:val="00D417C3"/>
    <w:rPr>
      <w:rFonts w:ascii="Arial" w:hAnsi="Arial"/>
      <w:kern w:val="25"/>
      <w:lang w:eastAsia="en-US"/>
    </w:rPr>
  </w:style>
  <w:style w:type="character" w:customStyle="1" w:styleId="result-title">
    <w:name w:val="result-title"/>
    <w:basedOn w:val="DefaultParagraphFont"/>
    <w:rsid w:val="0020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5256">
      <w:bodyDiv w:val="1"/>
      <w:marLeft w:val="0"/>
      <w:marRight w:val="0"/>
      <w:marTop w:val="0"/>
      <w:marBottom w:val="0"/>
      <w:divBdr>
        <w:top w:val="none" w:sz="0" w:space="0" w:color="auto"/>
        <w:left w:val="none" w:sz="0" w:space="0" w:color="auto"/>
        <w:bottom w:val="none" w:sz="0" w:space="0" w:color="auto"/>
        <w:right w:val="none" w:sz="0" w:space="0" w:color="auto"/>
      </w:divBdr>
    </w:div>
    <w:div w:id="293755137">
      <w:bodyDiv w:val="1"/>
      <w:marLeft w:val="0"/>
      <w:marRight w:val="0"/>
      <w:marTop w:val="0"/>
      <w:marBottom w:val="0"/>
      <w:divBdr>
        <w:top w:val="none" w:sz="0" w:space="0" w:color="auto"/>
        <w:left w:val="none" w:sz="0" w:space="0" w:color="auto"/>
        <w:bottom w:val="none" w:sz="0" w:space="0" w:color="auto"/>
        <w:right w:val="none" w:sz="0" w:space="0" w:color="auto"/>
      </w:divBdr>
    </w:div>
    <w:div w:id="664436645">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14040656">
      <w:bodyDiv w:val="1"/>
      <w:marLeft w:val="0"/>
      <w:marRight w:val="0"/>
      <w:marTop w:val="0"/>
      <w:marBottom w:val="0"/>
      <w:divBdr>
        <w:top w:val="none" w:sz="0" w:space="0" w:color="auto"/>
        <w:left w:val="none" w:sz="0" w:space="0" w:color="auto"/>
        <w:bottom w:val="none" w:sz="0" w:space="0" w:color="auto"/>
        <w:right w:val="none" w:sz="0" w:space="0" w:color="auto"/>
      </w:divBdr>
    </w:div>
    <w:div w:id="801846258">
      <w:bodyDiv w:val="1"/>
      <w:marLeft w:val="0"/>
      <w:marRight w:val="0"/>
      <w:marTop w:val="0"/>
      <w:marBottom w:val="0"/>
      <w:divBdr>
        <w:top w:val="none" w:sz="0" w:space="0" w:color="auto"/>
        <w:left w:val="none" w:sz="0" w:space="0" w:color="auto"/>
        <w:bottom w:val="none" w:sz="0" w:space="0" w:color="auto"/>
        <w:right w:val="none" w:sz="0" w:space="0" w:color="auto"/>
      </w:divBdr>
    </w:div>
    <w:div w:id="822309839">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959066192">
      <w:bodyDiv w:val="1"/>
      <w:marLeft w:val="0"/>
      <w:marRight w:val="0"/>
      <w:marTop w:val="0"/>
      <w:marBottom w:val="0"/>
      <w:divBdr>
        <w:top w:val="none" w:sz="0" w:space="0" w:color="auto"/>
        <w:left w:val="none" w:sz="0" w:space="0" w:color="auto"/>
        <w:bottom w:val="none" w:sz="0" w:space="0" w:color="auto"/>
        <w:right w:val="none" w:sz="0" w:space="0" w:color="auto"/>
      </w:divBdr>
    </w:div>
    <w:div w:id="1175460938">
      <w:bodyDiv w:val="1"/>
      <w:marLeft w:val="0"/>
      <w:marRight w:val="0"/>
      <w:marTop w:val="0"/>
      <w:marBottom w:val="0"/>
      <w:divBdr>
        <w:top w:val="none" w:sz="0" w:space="0" w:color="auto"/>
        <w:left w:val="none" w:sz="0" w:space="0" w:color="auto"/>
        <w:bottom w:val="none" w:sz="0" w:space="0" w:color="auto"/>
        <w:right w:val="none" w:sz="0" w:space="0" w:color="auto"/>
      </w:divBdr>
    </w:div>
    <w:div w:id="1319000483">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4083898">
      <w:bodyDiv w:val="1"/>
      <w:marLeft w:val="0"/>
      <w:marRight w:val="0"/>
      <w:marTop w:val="0"/>
      <w:marBottom w:val="0"/>
      <w:divBdr>
        <w:top w:val="none" w:sz="0" w:space="0" w:color="auto"/>
        <w:left w:val="none" w:sz="0" w:space="0" w:color="auto"/>
        <w:bottom w:val="none" w:sz="0" w:space="0" w:color="auto"/>
        <w:right w:val="none" w:sz="0" w:space="0" w:color="auto"/>
      </w:divBdr>
    </w:div>
    <w:div w:id="1444616439">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883863398">
      <w:bodyDiv w:val="1"/>
      <w:marLeft w:val="0"/>
      <w:marRight w:val="0"/>
      <w:marTop w:val="0"/>
      <w:marBottom w:val="0"/>
      <w:divBdr>
        <w:top w:val="none" w:sz="0" w:space="0" w:color="auto"/>
        <w:left w:val="none" w:sz="0" w:space="0" w:color="auto"/>
        <w:bottom w:val="none" w:sz="0" w:space="0" w:color="auto"/>
        <w:right w:val="none" w:sz="0" w:space="0" w:color="auto"/>
      </w:divBdr>
    </w:div>
    <w:div w:id="1957179362">
      <w:bodyDiv w:val="1"/>
      <w:marLeft w:val="0"/>
      <w:marRight w:val="0"/>
      <w:marTop w:val="0"/>
      <w:marBottom w:val="0"/>
      <w:divBdr>
        <w:top w:val="none" w:sz="0" w:space="0" w:color="auto"/>
        <w:left w:val="none" w:sz="0" w:space="0" w:color="auto"/>
        <w:bottom w:val="none" w:sz="0" w:space="0" w:color="auto"/>
        <w:right w:val="none" w:sz="0" w:space="0" w:color="auto"/>
      </w:divBdr>
      <w:divsChild>
        <w:div w:id="364912969">
          <w:marLeft w:val="0"/>
          <w:marRight w:val="0"/>
          <w:marTop w:val="0"/>
          <w:marBottom w:val="0"/>
          <w:divBdr>
            <w:top w:val="none" w:sz="0" w:space="0" w:color="auto"/>
            <w:left w:val="none" w:sz="0" w:space="0" w:color="auto"/>
            <w:bottom w:val="none" w:sz="0" w:space="0" w:color="auto"/>
            <w:right w:val="none" w:sz="0" w:space="0" w:color="auto"/>
          </w:divBdr>
        </w:div>
        <w:div w:id="268467833">
          <w:marLeft w:val="0"/>
          <w:marRight w:val="0"/>
          <w:marTop w:val="0"/>
          <w:marBottom w:val="0"/>
          <w:divBdr>
            <w:top w:val="none" w:sz="0" w:space="0" w:color="auto"/>
            <w:left w:val="none" w:sz="0" w:space="0" w:color="auto"/>
            <w:bottom w:val="none" w:sz="0" w:space="0" w:color="auto"/>
            <w:right w:val="none" w:sz="0" w:space="0" w:color="auto"/>
          </w:divBdr>
        </w:div>
        <w:div w:id="224805718">
          <w:marLeft w:val="0"/>
          <w:marRight w:val="0"/>
          <w:marTop w:val="0"/>
          <w:marBottom w:val="0"/>
          <w:divBdr>
            <w:top w:val="none" w:sz="0" w:space="0" w:color="auto"/>
            <w:left w:val="none" w:sz="0" w:space="0" w:color="auto"/>
            <w:bottom w:val="none" w:sz="0" w:space="0" w:color="auto"/>
            <w:right w:val="none" w:sz="0" w:space="0" w:color="auto"/>
          </w:divBdr>
        </w:div>
        <w:div w:id="1347831958">
          <w:marLeft w:val="0"/>
          <w:marRight w:val="0"/>
          <w:marTop w:val="0"/>
          <w:marBottom w:val="0"/>
          <w:divBdr>
            <w:top w:val="none" w:sz="0" w:space="0" w:color="auto"/>
            <w:left w:val="none" w:sz="0" w:space="0" w:color="auto"/>
            <w:bottom w:val="none" w:sz="0" w:space="0" w:color="auto"/>
            <w:right w:val="none" w:sz="0" w:space="0" w:color="auto"/>
          </w:divBdr>
        </w:div>
        <w:div w:id="970280621">
          <w:marLeft w:val="0"/>
          <w:marRight w:val="0"/>
          <w:marTop w:val="0"/>
          <w:marBottom w:val="0"/>
          <w:divBdr>
            <w:top w:val="none" w:sz="0" w:space="0" w:color="auto"/>
            <w:left w:val="none" w:sz="0" w:space="0" w:color="auto"/>
            <w:bottom w:val="none" w:sz="0" w:space="0" w:color="auto"/>
            <w:right w:val="none" w:sz="0" w:space="0" w:color="auto"/>
          </w:divBdr>
        </w:div>
        <w:div w:id="1457873363">
          <w:marLeft w:val="0"/>
          <w:marRight w:val="0"/>
          <w:marTop w:val="0"/>
          <w:marBottom w:val="0"/>
          <w:divBdr>
            <w:top w:val="none" w:sz="0" w:space="0" w:color="auto"/>
            <w:left w:val="none" w:sz="0" w:space="0" w:color="auto"/>
            <w:bottom w:val="none" w:sz="0" w:space="0" w:color="auto"/>
            <w:right w:val="none" w:sz="0" w:space="0" w:color="auto"/>
          </w:divBdr>
        </w:div>
      </w:divsChild>
    </w:div>
    <w:div w:id="2019042913">
      <w:bodyDiv w:val="1"/>
      <w:marLeft w:val="0"/>
      <w:marRight w:val="0"/>
      <w:marTop w:val="0"/>
      <w:marBottom w:val="0"/>
      <w:divBdr>
        <w:top w:val="none" w:sz="0" w:space="0" w:color="auto"/>
        <w:left w:val="none" w:sz="0" w:space="0" w:color="auto"/>
        <w:bottom w:val="none" w:sz="0" w:space="0" w:color="auto"/>
        <w:right w:val="none" w:sz="0" w:space="0" w:color="auto"/>
      </w:divBdr>
    </w:div>
    <w:div w:id="2028555608">
      <w:bodyDiv w:val="1"/>
      <w:marLeft w:val="0"/>
      <w:marRight w:val="0"/>
      <w:marTop w:val="0"/>
      <w:marBottom w:val="0"/>
      <w:divBdr>
        <w:top w:val="none" w:sz="0" w:space="0" w:color="auto"/>
        <w:left w:val="none" w:sz="0" w:space="0" w:color="auto"/>
        <w:bottom w:val="none" w:sz="0" w:space="0" w:color="auto"/>
        <w:right w:val="none" w:sz="0" w:space="0" w:color="auto"/>
      </w:divBdr>
    </w:div>
    <w:div w:id="212168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evitz@fluxma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makena@ensafrica.com%20%20%20%20%20kkotze@ensafrica.com" TargetMode="External"/><Relationship Id="rId4" Type="http://schemas.openxmlformats.org/officeDocument/2006/relationships/webSettings" Target="webSettings.xml"/><Relationship Id="rId9" Type="http://schemas.openxmlformats.org/officeDocument/2006/relationships/hyperlink" Target="mailto:johan@jesmi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2</TotalTime>
  <Pages>28</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dc:description/>
  <cp:lastModifiedBy>Lilitha Mdleleni</cp:lastModifiedBy>
  <cp:revision>3</cp:revision>
  <cp:lastPrinted>2023-12-31T14:02:00Z</cp:lastPrinted>
  <dcterms:created xsi:type="dcterms:W3CDTF">2024-01-10T13:02:00Z</dcterms:created>
  <dcterms:modified xsi:type="dcterms:W3CDTF">2024-01-10T18:16:00Z</dcterms:modified>
</cp:coreProperties>
</file>