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01E6" w14:textId="7A28524C" w:rsidR="00AD5454" w:rsidRPr="00CE2DBA" w:rsidRDefault="00AD5454" w:rsidP="00727555">
      <w:pPr>
        <w:jc w:val="center"/>
        <w:rPr>
          <w:rFonts w:ascii="Arial" w:hAnsi="Arial" w:cs="Arial"/>
          <w:sz w:val="24"/>
          <w:szCs w:val="24"/>
        </w:rPr>
      </w:pPr>
      <w:r w:rsidRPr="00CE2DBA">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31E158F9" w:rsidR="00785B72" w:rsidRDefault="00F8291A" w:rsidP="00F8291A">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E10D35">
                              <w:rPr>
                                <w:rFonts w:ascii="Century Gothic" w:hAnsi="Century Gothic"/>
                                <w:sz w:val="20"/>
                                <w:szCs w:val="20"/>
                              </w:rPr>
                              <w:t>Yes</w:t>
                            </w:r>
                          </w:p>
                          <w:p w14:paraId="0DFA1D15" w14:textId="7D5E9E06" w:rsidR="00785B72" w:rsidRPr="009F2490" w:rsidRDefault="00F8291A" w:rsidP="00F8291A">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E10D35">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">
                <v:textbox>
                  <w:txbxContent>
                    <w:p w14:paraId="674A5513" w14:textId="31E158F9" w:rsidR="00785B72" w:rsidRDefault="00F8291A" w:rsidP="00F8291A">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E10D35">
                        <w:rPr>
                          <w:rFonts w:ascii="Century Gothic" w:hAnsi="Century Gothic"/>
                          <w:sz w:val="20"/>
                          <w:szCs w:val="20"/>
                        </w:rPr>
                        <w:t>Yes</w:t>
                      </w:r>
                    </w:p>
                    <w:p w14:paraId="0DFA1D15" w14:textId="7D5E9E06" w:rsidR="00785B72" w:rsidRPr="009F2490" w:rsidRDefault="00F8291A" w:rsidP="00F8291A">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E10D35">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4F322C58"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0D1D1C02" w:rsidR="009141CF" w:rsidRPr="00DD1B08" w:rsidRDefault="00261CA5" w:rsidP="00B60508">
      <w:pPr>
        <w:spacing w:after="0"/>
        <w:ind w:left="5760" w:right="117"/>
        <w:jc w:val="right"/>
        <w:rPr>
          <w:rFonts w:ascii="Arial" w:hAnsi="Arial" w:cs="Arial"/>
          <w:sz w:val="24"/>
          <w:szCs w:val="24"/>
        </w:rPr>
      </w:pPr>
      <w:r w:rsidRPr="00DD1B08">
        <w:rPr>
          <w:rFonts w:ascii="Arial" w:hAnsi="Arial" w:cs="Arial"/>
          <w:sz w:val="24"/>
          <w:szCs w:val="24"/>
        </w:rPr>
        <w:t xml:space="preserve">  </w:t>
      </w:r>
      <w:r w:rsidR="00AD5454" w:rsidRPr="00DD1B08">
        <w:rPr>
          <w:rFonts w:ascii="Arial" w:hAnsi="Arial" w:cs="Arial"/>
          <w:sz w:val="24"/>
          <w:szCs w:val="24"/>
        </w:rPr>
        <w:t xml:space="preserve">Case No: </w:t>
      </w:r>
      <w:r w:rsidR="00D43497">
        <w:rPr>
          <w:rFonts w:ascii="Arial" w:hAnsi="Arial" w:cs="Arial"/>
          <w:sz w:val="24"/>
          <w:szCs w:val="24"/>
        </w:rPr>
        <w:t>2023-</w:t>
      </w:r>
      <w:r w:rsidR="00221A4B">
        <w:rPr>
          <w:rFonts w:ascii="Arial" w:hAnsi="Arial" w:cs="Arial"/>
          <w:sz w:val="24"/>
          <w:szCs w:val="24"/>
        </w:rPr>
        <w:t>003529</w:t>
      </w:r>
    </w:p>
    <w:p w14:paraId="77B1110B" w14:textId="26CED49E"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6E56950A" w:rsidR="00F50CA1" w:rsidRPr="00DD1B08" w:rsidRDefault="00D43497" w:rsidP="00B60508">
      <w:pPr>
        <w:tabs>
          <w:tab w:val="right" w:pos="8789"/>
        </w:tabs>
        <w:spacing w:before="600" w:after="0"/>
        <w:ind w:right="117"/>
        <w:rPr>
          <w:rFonts w:ascii="Arial" w:hAnsi="Arial" w:cs="Arial"/>
          <w:sz w:val="24"/>
          <w:szCs w:val="24"/>
        </w:rPr>
      </w:pPr>
      <w:bookmarkStart w:id="0" w:name="_Hlk47643505"/>
      <w:r>
        <w:rPr>
          <w:rFonts w:ascii="Arial" w:hAnsi="Arial" w:cs="Arial"/>
          <w:sz w:val="24"/>
          <w:szCs w:val="24"/>
        </w:rPr>
        <w:t>NEDBANK LIMITED</w:t>
      </w:r>
      <w:r>
        <w:rPr>
          <w:rFonts w:ascii="Arial" w:hAnsi="Arial" w:cs="Arial"/>
          <w:sz w:val="24"/>
          <w:szCs w:val="24"/>
        </w:rPr>
        <w:tab/>
      </w:r>
      <w:r w:rsidR="00B81BB3">
        <w:rPr>
          <w:rFonts w:ascii="Arial" w:hAnsi="Arial" w:cs="Arial"/>
          <w:sz w:val="24"/>
          <w:szCs w:val="24"/>
        </w:rPr>
        <w:t xml:space="preserve">Applicant </w:t>
      </w:r>
    </w:p>
    <w:p w14:paraId="3B4FBA8C" w14:textId="77777777" w:rsidR="00CE2DBA" w:rsidRDefault="00CE2DBA" w:rsidP="00CE2DBA">
      <w:pPr>
        <w:spacing w:after="0" w:line="240" w:lineRule="auto"/>
        <w:ind w:right="119"/>
        <w:rPr>
          <w:rFonts w:ascii="Arial" w:hAnsi="Arial" w:cs="Arial"/>
          <w:sz w:val="24"/>
          <w:szCs w:val="24"/>
        </w:rPr>
      </w:pPr>
    </w:p>
    <w:p w14:paraId="32EB15E0" w14:textId="447799AF" w:rsidR="00CE2DBA" w:rsidRDefault="00CE2DBA" w:rsidP="00CE2DBA">
      <w:pPr>
        <w:spacing w:after="0" w:line="240" w:lineRule="auto"/>
        <w:ind w:right="119"/>
        <w:rPr>
          <w:rFonts w:ascii="Arial" w:hAnsi="Arial" w:cs="Arial"/>
          <w:sz w:val="24"/>
          <w:szCs w:val="24"/>
        </w:rPr>
      </w:pPr>
      <w:r>
        <w:rPr>
          <w:rFonts w:ascii="Arial" w:hAnsi="Arial" w:cs="Arial"/>
          <w:sz w:val="24"/>
          <w:szCs w:val="24"/>
        </w:rPr>
        <w:tab/>
      </w:r>
    </w:p>
    <w:p w14:paraId="7D33ED91" w14:textId="7FB3120E"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4258D50E" w:rsidR="00352518" w:rsidRDefault="00221A4B" w:rsidP="00352518">
      <w:pPr>
        <w:tabs>
          <w:tab w:val="right" w:pos="8787"/>
        </w:tabs>
        <w:spacing w:before="60" w:after="60"/>
        <w:ind w:right="119"/>
        <w:rPr>
          <w:rFonts w:ascii="Arial" w:hAnsi="Arial" w:cs="Arial"/>
          <w:sz w:val="24"/>
          <w:szCs w:val="24"/>
        </w:rPr>
      </w:pPr>
      <w:r>
        <w:rPr>
          <w:rFonts w:ascii="Arial" w:hAnsi="Arial" w:cs="Arial"/>
          <w:sz w:val="24"/>
          <w:szCs w:val="24"/>
          <w:u w:val="single"/>
        </w:rPr>
        <w:t>ABRAHAMS</w:t>
      </w:r>
      <w:r w:rsidR="00D43497" w:rsidRPr="00D43497">
        <w:rPr>
          <w:rFonts w:ascii="Arial" w:hAnsi="Arial" w:cs="Arial"/>
          <w:sz w:val="24"/>
          <w:szCs w:val="24"/>
        </w:rPr>
        <w:t xml:space="preserve">, </w:t>
      </w:r>
      <w:r>
        <w:rPr>
          <w:rFonts w:ascii="Arial" w:hAnsi="Arial" w:cs="Arial"/>
          <w:sz w:val="24"/>
          <w:szCs w:val="24"/>
        </w:rPr>
        <w:t xml:space="preserve">CELESTE FELICIA </w:t>
      </w:r>
      <w:r w:rsidR="00F811C3">
        <w:rPr>
          <w:rFonts w:ascii="Arial" w:hAnsi="Arial" w:cs="Arial"/>
          <w:sz w:val="24"/>
          <w:szCs w:val="24"/>
        </w:rPr>
        <w:tab/>
      </w:r>
      <w:r w:rsidR="00B81BB3">
        <w:rPr>
          <w:rFonts w:ascii="Arial" w:hAnsi="Arial" w:cs="Arial"/>
          <w:sz w:val="24"/>
          <w:szCs w:val="24"/>
        </w:rPr>
        <w:t>Respondent</w:t>
      </w:r>
    </w:p>
    <w:p w14:paraId="45B7BF4A" w14:textId="77777777" w:rsidR="00352518" w:rsidRDefault="00352518" w:rsidP="00352518">
      <w:pPr>
        <w:tabs>
          <w:tab w:val="right" w:pos="8787"/>
        </w:tabs>
        <w:spacing w:before="60" w:after="60"/>
        <w:ind w:right="119"/>
        <w:rPr>
          <w:rFonts w:ascii="Arial" w:hAnsi="Arial" w:cs="Arial"/>
          <w:sz w:val="24"/>
          <w:szCs w:val="24"/>
        </w:rPr>
      </w:pPr>
    </w:p>
    <w:p w14:paraId="37CBA918" w14:textId="77777777" w:rsidR="00D43497" w:rsidRDefault="00D43497" w:rsidP="00352518">
      <w:pPr>
        <w:tabs>
          <w:tab w:val="right" w:pos="8787"/>
        </w:tabs>
        <w:spacing w:before="60" w:after="60"/>
        <w:ind w:right="119"/>
        <w:rPr>
          <w:rFonts w:ascii="Arial" w:hAnsi="Arial" w:cs="Arial"/>
          <w:sz w:val="24"/>
          <w:szCs w:val="24"/>
        </w:rPr>
      </w:pPr>
    </w:p>
    <w:p w14:paraId="42639A5E" w14:textId="16A2DEEF" w:rsidR="00D43497" w:rsidRDefault="00D43497" w:rsidP="005D47BE">
      <w:pPr>
        <w:tabs>
          <w:tab w:val="right" w:pos="8787"/>
        </w:tabs>
        <w:spacing w:before="60" w:after="60"/>
        <w:ind w:right="119"/>
        <w:rPr>
          <w:rFonts w:ascii="Arial" w:hAnsi="Arial" w:cs="Arial"/>
          <w:sz w:val="24"/>
          <w:szCs w:val="24"/>
        </w:rPr>
      </w:pPr>
      <w:r>
        <w:rPr>
          <w:rFonts w:ascii="Arial" w:hAnsi="Arial" w:cs="Arial"/>
          <w:sz w:val="24"/>
          <w:szCs w:val="24"/>
        </w:rPr>
        <w:t>AND</w:t>
      </w:r>
      <w:r w:rsidRPr="00DD1B08">
        <w:rPr>
          <w:rFonts w:ascii="Arial" w:hAnsi="Arial" w:cs="Arial"/>
          <w:sz w:val="24"/>
          <w:szCs w:val="24"/>
        </w:rPr>
        <w:t xml:space="preserve"> </w:t>
      </w:r>
    </w:p>
    <w:p w14:paraId="792C5C7D" w14:textId="20F8E416"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 xml:space="preserve">031890 </w:t>
      </w:r>
    </w:p>
    <w:p w14:paraId="2DEC2504" w14:textId="77777777" w:rsidR="00D43497" w:rsidRPr="00DD1B08" w:rsidRDefault="00D43497" w:rsidP="00D43497">
      <w:pPr>
        <w:spacing w:after="0"/>
        <w:ind w:left="5760" w:right="117"/>
        <w:jc w:val="right"/>
        <w:rPr>
          <w:rFonts w:ascii="Arial" w:hAnsi="Arial" w:cs="Arial"/>
          <w:sz w:val="24"/>
          <w:szCs w:val="24"/>
        </w:rPr>
      </w:pPr>
    </w:p>
    <w:p w14:paraId="35E51EC6"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31DA530B"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1FB0A0EB" w14:textId="0F6DEA68" w:rsidR="00D43497" w:rsidRDefault="00D43497" w:rsidP="00D43497">
      <w:pPr>
        <w:spacing w:after="0" w:line="240" w:lineRule="auto"/>
        <w:ind w:right="119"/>
        <w:rPr>
          <w:rFonts w:ascii="Arial" w:hAnsi="Arial" w:cs="Arial"/>
          <w:sz w:val="24"/>
          <w:szCs w:val="24"/>
        </w:rPr>
      </w:pPr>
    </w:p>
    <w:p w14:paraId="561A1BA1" w14:textId="77777777" w:rsidR="00D43497" w:rsidRDefault="00D43497" w:rsidP="00D43497">
      <w:pPr>
        <w:spacing w:after="0" w:line="240" w:lineRule="auto"/>
        <w:ind w:right="119"/>
        <w:rPr>
          <w:rFonts w:ascii="Arial" w:hAnsi="Arial" w:cs="Arial"/>
          <w:sz w:val="24"/>
          <w:szCs w:val="24"/>
        </w:rPr>
      </w:pPr>
    </w:p>
    <w:p w14:paraId="42A2DB89"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7CCCEDC2" w14:textId="77777777" w:rsidR="00D43497" w:rsidRDefault="00D43497" w:rsidP="00D43497">
      <w:pPr>
        <w:tabs>
          <w:tab w:val="right" w:pos="8339"/>
        </w:tabs>
        <w:spacing w:after="0" w:line="240" w:lineRule="auto"/>
        <w:ind w:right="119"/>
        <w:rPr>
          <w:rFonts w:ascii="Arial" w:hAnsi="Arial" w:cs="Arial"/>
          <w:sz w:val="24"/>
          <w:szCs w:val="24"/>
          <w:u w:val="single"/>
        </w:rPr>
      </w:pPr>
    </w:p>
    <w:p w14:paraId="5CCA2742"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5250EB83" w14:textId="4C0ED799"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MALINGA</w:t>
      </w:r>
      <w:r w:rsidR="00D43497" w:rsidRPr="00D43497">
        <w:rPr>
          <w:rFonts w:ascii="Arial" w:hAnsi="Arial" w:cs="Arial"/>
          <w:sz w:val="24"/>
          <w:szCs w:val="24"/>
        </w:rPr>
        <w:t xml:space="preserve">, </w:t>
      </w:r>
      <w:r w:rsidR="00E10D35">
        <w:rPr>
          <w:rFonts w:ascii="Arial" w:hAnsi="Arial" w:cs="Arial"/>
          <w:sz w:val="24"/>
          <w:szCs w:val="24"/>
        </w:rPr>
        <w:t>Z</w:t>
      </w:r>
      <w:r>
        <w:rPr>
          <w:rFonts w:ascii="Arial" w:hAnsi="Arial" w:cs="Arial"/>
          <w:sz w:val="24"/>
          <w:szCs w:val="24"/>
        </w:rPr>
        <w:t>IBUSEN</w:t>
      </w:r>
      <w:r w:rsidR="00DF7813">
        <w:rPr>
          <w:rFonts w:ascii="Arial" w:hAnsi="Arial" w:cs="Arial"/>
          <w:sz w:val="24"/>
          <w:szCs w:val="24"/>
        </w:rPr>
        <w:t>I</w:t>
      </w:r>
      <w:r w:rsidR="001A1F7F">
        <w:rPr>
          <w:rFonts w:ascii="Arial" w:hAnsi="Arial" w:cs="Arial"/>
          <w:sz w:val="24"/>
          <w:szCs w:val="24"/>
        </w:rPr>
        <w:tab/>
      </w:r>
      <w:r w:rsidR="00D43497">
        <w:rPr>
          <w:rFonts w:ascii="Arial" w:hAnsi="Arial" w:cs="Arial"/>
          <w:sz w:val="24"/>
          <w:szCs w:val="24"/>
        </w:rPr>
        <w:t>Respondent</w:t>
      </w:r>
    </w:p>
    <w:p w14:paraId="0B2113AD" w14:textId="0273839D"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lastRenderedPageBreak/>
        <w:t xml:space="preserve">AND </w:t>
      </w:r>
      <w:r w:rsidRPr="00DD1B08">
        <w:rPr>
          <w:rFonts w:ascii="Arial" w:hAnsi="Arial" w:cs="Arial"/>
          <w:sz w:val="24"/>
          <w:szCs w:val="24"/>
        </w:rPr>
        <w:t xml:space="preserve">  </w:t>
      </w:r>
    </w:p>
    <w:p w14:paraId="0EFC9305" w14:textId="6DC853F4"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039182</w:t>
      </w:r>
    </w:p>
    <w:p w14:paraId="0AA0CFA6" w14:textId="77777777" w:rsidR="00D43497" w:rsidRPr="00DD1B08" w:rsidRDefault="00D43497" w:rsidP="00D43497">
      <w:pPr>
        <w:spacing w:after="0"/>
        <w:ind w:left="5760" w:right="117"/>
        <w:jc w:val="right"/>
        <w:rPr>
          <w:rFonts w:ascii="Arial" w:hAnsi="Arial" w:cs="Arial"/>
          <w:sz w:val="24"/>
          <w:szCs w:val="24"/>
        </w:rPr>
      </w:pPr>
    </w:p>
    <w:p w14:paraId="564AB74F"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0B67230A"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0EB7DD73" w14:textId="1FD026D1" w:rsidR="00D43497" w:rsidRDefault="00D43497" w:rsidP="00D43497">
      <w:pPr>
        <w:spacing w:after="0" w:line="240" w:lineRule="auto"/>
        <w:ind w:right="119"/>
        <w:rPr>
          <w:rFonts w:ascii="Arial" w:hAnsi="Arial" w:cs="Arial"/>
          <w:sz w:val="24"/>
          <w:szCs w:val="24"/>
        </w:rPr>
      </w:pPr>
    </w:p>
    <w:p w14:paraId="3EB73BB3" w14:textId="77777777" w:rsidR="00D43497" w:rsidRDefault="00D43497" w:rsidP="00D43497">
      <w:pPr>
        <w:spacing w:after="0" w:line="240" w:lineRule="auto"/>
        <w:ind w:right="119"/>
        <w:rPr>
          <w:rFonts w:ascii="Arial" w:hAnsi="Arial" w:cs="Arial"/>
          <w:sz w:val="24"/>
          <w:szCs w:val="24"/>
        </w:rPr>
      </w:pPr>
    </w:p>
    <w:p w14:paraId="167A2157"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665DBBE1" w14:textId="77777777" w:rsidR="00D43497" w:rsidRDefault="00D43497" w:rsidP="00D43497">
      <w:pPr>
        <w:tabs>
          <w:tab w:val="right" w:pos="8339"/>
        </w:tabs>
        <w:spacing w:after="0" w:line="240" w:lineRule="auto"/>
        <w:ind w:right="119"/>
        <w:rPr>
          <w:rFonts w:ascii="Arial" w:hAnsi="Arial" w:cs="Arial"/>
          <w:sz w:val="24"/>
          <w:szCs w:val="24"/>
          <w:u w:val="single"/>
        </w:rPr>
      </w:pPr>
    </w:p>
    <w:p w14:paraId="34FD8633"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7D1215BC" w14:textId="7257EB6A"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NKUNA</w:t>
      </w:r>
      <w:r w:rsidR="00D43497" w:rsidRPr="00D43497">
        <w:rPr>
          <w:rFonts w:ascii="Arial" w:hAnsi="Arial" w:cs="Arial"/>
          <w:sz w:val="24"/>
          <w:szCs w:val="24"/>
        </w:rPr>
        <w:t xml:space="preserve">, </w:t>
      </w:r>
      <w:r>
        <w:rPr>
          <w:rFonts w:ascii="Arial" w:hAnsi="Arial" w:cs="Arial"/>
          <w:sz w:val="24"/>
          <w:szCs w:val="24"/>
        </w:rPr>
        <w:t>KGOMOTSO</w:t>
      </w:r>
      <w:r w:rsidR="00D43497">
        <w:rPr>
          <w:rFonts w:ascii="Arial" w:hAnsi="Arial" w:cs="Arial"/>
          <w:sz w:val="24"/>
          <w:szCs w:val="24"/>
        </w:rPr>
        <w:tab/>
        <w:t>Respondent</w:t>
      </w:r>
    </w:p>
    <w:p w14:paraId="0567E6F2" w14:textId="77777777" w:rsidR="00D43497" w:rsidRDefault="00D43497" w:rsidP="00D43497">
      <w:pPr>
        <w:tabs>
          <w:tab w:val="right" w:pos="8787"/>
        </w:tabs>
        <w:spacing w:before="60" w:after="60"/>
        <w:ind w:right="119"/>
        <w:rPr>
          <w:rFonts w:ascii="Arial" w:hAnsi="Arial" w:cs="Arial"/>
          <w:sz w:val="24"/>
          <w:szCs w:val="24"/>
        </w:rPr>
      </w:pPr>
    </w:p>
    <w:p w14:paraId="52EBD067" w14:textId="77777777" w:rsidR="00D43497" w:rsidRDefault="00D43497" w:rsidP="00D43497">
      <w:pPr>
        <w:tabs>
          <w:tab w:val="right" w:pos="8787"/>
        </w:tabs>
        <w:spacing w:before="60" w:after="60"/>
        <w:ind w:right="119"/>
        <w:rPr>
          <w:rFonts w:ascii="Arial" w:hAnsi="Arial" w:cs="Arial"/>
          <w:sz w:val="24"/>
          <w:szCs w:val="24"/>
        </w:rPr>
      </w:pPr>
    </w:p>
    <w:p w14:paraId="076C22CE" w14:textId="06076375"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t xml:space="preserve">AND </w:t>
      </w:r>
      <w:r w:rsidRPr="00DD1B08">
        <w:rPr>
          <w:rFonts w:ascii="Arial" w:hAnsi="Arial" w:cs="Arial"/>
          <w:sz w:val="24"/>
          <w:szCs w:val="24"/>
        </w:rPr>
        <w:t xml:space="preserve">  </w:t>
      </w:r>
    </w:p>
    <w:p w14:paraId="5A7FEA96" w14:textId="0724B9EC"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039212</w:t>
      </w:r>
    </w:p>
    <w:p w14:paraId="78576DB5" w14:textId="77777777" w:rsidR="00D43497" w:rsidRPr="00DD1B08" w:rsidRDefault="00D43497" w:rsidP="00D43497">
      <w:pPr>
        <w:spacing w:after="0"/>
        <w:ind w:left="5760" w:right="117"/>
        <w:jc w:val="right"/>
        <w:rPr>
          <w:rFonts w:ascii="Arial" w:hAnsi="Arial" w:cs="Arial"/>
          <w:sz w:val="24"/>
          <w:szCs w:val="24"/>
        </w:rPr>
      </w:pPr>
    </w:p>
    <w:p w14:paraId="4D18A433"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456024A6"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146AD245" w14:textId="036C902F" w:rsidR="00D43497" w:rsidRDefault="00D43497" w:rsidP="00D43497">
      <w:pPr>
        <w:spacing w:after="0" w:line="240" w:lineRule="auto"/>
        <w:ind w:right="119"/>
        <w:rPr>
          <w:rFonts w:ascii="Arial" w:hAnsi="Arial" w:cs="Arial"/>
          <w:sz w:val="24"/>
          <w:szCs w:val="24"/>
        </w:rPr>
      </w:pPr>
    </w:p>
    <w:p w14:paraId="61114C00" w14:textId="77777777" w:rsidR="00D43497" w:rsidRDefault="00D43497" w:rsidP="00D43497">
      <w:pPr>
        <w:spacing w:after="0" w:line="240" w:lineRule="auto"/>
        <w:ind w:right="119"/>
        <w:rPr>
          <w:rFonts w:ascii="Arial" w:hAnsi="Arial" w:cs="Arial"/>
          <w:sz w:val="24"/>
          <w:szCs w:val="24"/>
        </w:rPr>
      </w:pPr>
    </w:p>
    <w:p w14:paraId="6F9D78E9"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0734657B" w14:textId="77777777" w:rsidR="00D43497" w:rsidRDefault="00D43497" w:rsidP="00D43497">
      <w:pPr>
        <w:tabs>
          <w:tab w:val="right" w:pos="8339"/>
        </w:tabs>
        <w:spacing w:after="0" w:line="240" w:lineRule="auto"/>
        <w:ind w:right="119"/>
        <w:rPr>
          <w:rFonts w:ascii="Arial" w:hAnsi="Arial" w:cs="Arial"/>
          <w:sz w:val="24"/>
          <w:szCs w:val="24"/>
          <w:u w:val="single"/>
        </w:rPr>
      </w:pPr>
    </w:p>
    <w:p w14:paraId="0025C347"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43C138FC" w14:textId="15970E66"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MOSHANE</w:t>
      </w:r>
      <w:r w:rsidR="00D43497" w:rsidRPr="00D43497">
        <w:rPr>
          <w:rFonts w:ascii="Arial" w:hAnsi="Arial" w:cs="Arial"/>
          <w:sz w:val="24"/>
          <w:szCs w:val="24"/>
        </w:rPr>
        <w:t xml:space="preserve">, </w:t>
      </w:r>
      <w:r>
        <w:rPr>
          <w:rFonts w:ascii="Arial" w:hAnsi="Arial" w:cs="Arial"/>
          <w:sz w:val="24"/>
          <w:szCs w:val="24"/>
        </w:rPr>
        <w:t>PULE ELIAS</w:t>
      </w:r>
      <w:r w:rsidR="00D43497">
        <w:rPr>
          <w:rFonts w:ascii="Arial" w:hAnsi="Arial" w:cs="Arial"/>
          <w:sz w:val="24"/>
          <w:szCs w:val="24"/>
        </w:rPr>
        <w:tab/>
        <w:t>Respondent</w:t>
      </w:r>
    </w:p>
    <w:p w14:paraId="79CC381D" w14:textId="77777777" w:rsidR="00352518" w:rsidRDefault="00352518" w:rsidP="00352518">
      <w:pPr>
        <w:tabs>
          <w:tab w:val="right" w:pos="8787"/>
        </w:tabs>
        <w:spacing w:before="60" w:after="60"/>
        <w:ind w:right="119"/>
        <w:rPr>
          <w:rFonts w:ascii="Arial" w:hAnsi="Arial" w:cs="Arial"/>
          <w:sz w:val="24"/>
          <w:szCs w:val="24"/>
        </w:rPr>
      </w:pPr>
    </w:p>
    <w:p w14:paraId="7C191847" w14:textId="77777777" w:rsidR="00D43497" w:rsidRDefault="00D43497" w:rsidP="00D43497">
      <w:pPr>
        <w:tabs>
          <w:tab w:val="right" w:pos="8787"/>
        </w:tabs>
        <w:spacing w:before="60" w:after="60"/>
        <w:ind w:right="119"/>
        <w:rPr>
          <w:rFonts w:ascii="Arial" w:hAnsi="Arial" w:cs="Arial"/>
          <w:sz w:val="24"/>
          <w:szCs w:val="24"/>
        </w:rPr>
      </w:pPr>
    </w:p>
    <w:p w14:paraId="0C3A51C4" w14:textId="56FE3B4A"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t xml:space="preserve">AND </w:t>
      </w:r>
      <w:r w:rsidRPr="00DD1B08">
        <w:rPr>
          <w:rFonts w:ascii="Arial" w:hAnsi="Arial" w:cs="Arial"/>
          <w:sz w:val="24"/>
          <w:szCs w:val="24"/>
        </w:rPr>
        <w:t xml:space="preserve">  </w:t>
      </w:r>
    </w:p>
    <w:p w14:paraId="345F70C5" w14:textId="04896798"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051021</w:t>
      </w:r>
    </w:p>
    <w:p w14:paraId="4C76019E" w14:textId="77777777" w:rsidR="00D43497" w:rsidRPr="00DD1B08" w:rsidRDefault="00D43497" w:rsidP="00D43497">
      <w:pPr>
        <w:spacing w:after="0"/>
        <w:ind w:left="5760" w:right="117"/>
        <w:jc w:val="right"/>
        <w:rPr>
          <w:rFonts w:ascii="Arial" w:hAnsi="Arial" w:cs="Arial"/>
          <w:sz w:val="24"/>
          <w:szCs w:val="24"/>
        </w:rPr>
      </w:pPr>
    </w:p>
    <w:p w14:paraId="6628F23F"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4BE251A6"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44632353" w14:textId="244E9D12" w:rsidR="00D43497" w:rsidRDefault="00D43497" w:rsidP="00D43497">
      <w:pPr>
        <w:spacing w:after="0" w:line="240" w:lineRule="auto"/>
        <w:ind w:right="119"/>
        <w:rPr>
          <w:rFonts w:ascii="Arial" w:hAnsi="Arial" w:cs="Arial"/>
          <w:sz w:val="24"/>
          <w:szCs w:val="24"/>
        </w:rPr>
      </w:pPr>
    </w:p>
    <w:p w14:paraId="2A4EEEB6" w14:textId="77777777" w:rsidR="00D43497" w:rsidRDefault="00D43497" w:rsidP="00D43497">
      <w:pPr>
        <w:spacing w:after="0" w:line="240" w:lineRule="auto"/>
        <w:ind w:right="119"/>
        <w:rPr>
          <w:rFonts w:ascii="Arial" w:hAnsi="Arial" w:cs="Arial"/>
          <w:sz w:val="24"/>
          <w:szCs w:val="24"/>
        </w:rPr>
      </w:pPr>
    </w:p>
    <w:p w14:paraId="31288181"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79FCECFA" w14:textId="77777777" w:rsidR="00D43497" w:rsidRDefault="00D43497" w:rsidP="00D43497">
      <w:pPr>
        <w:tabs>
          <w:tab w:val="right" w:pos="8339"/>
        </w:tabs>
        <w:spacing w:after="0" w:line="240" w:lineRule="auto"/>
        <w:ind w:right="119"/>
        <w:rPr>
          <w:rFonts w:ascii="Arial" w:hAnsi="Arial" w:cs="Arial"/>
          <w:sz w:val="24"/>
          <w:szCs w:val="24"/>
          <w:u w:val="single"/>
        </w:rPr>
      </w:pPr>
    </w:p>
    <w:p w14:paraId="771C3F15"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11AD0A09" w14:textId="12455B50"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NDZONDA</w:t>
      </w:r>
      <w:r>
        <w:rPr>
          <w:rFonts w:ascii="Arial" w:hAnsi="Arial" w:cs="Arial"/>
          <w:sz w:val="24"/>
          <w:szCs w:val="24"/>
        </w:rPr>
        <w:t>, NOBUNTU ROSE</w:t>
      </w:r>
      <w:r w:rsidR="00D43497">
        <w:rPr>
          <w:rFonts w:ascii="Arial" w:hAnsi="Arial" w:cs="Arial"/>
          <w:sz w:val="24"/>
          <w:szCs w:val="24"/>
        </w:rPr>
        <w:tab/>
        <w:t>Respondent</w:t>
      </w:r>
    </w:p>
    <w:p w14:paraId="5253FCAC" w14:textId="2D2431EE"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lastRenderedPageBreak/>
        <w:t xml:space="preserve">AND </w:t>
      </w:r>
      <w:r w:rsidRPr="00DD1B08">
        <w:rPr>
          <w:rFonts w:ascii="Arial" w:hAnsi="Arial" w:cs="Arial"/>
          <w:sz w:val="24"/>
          <w:szCs w:val="24"/>
        </w:rPr>
        <w:t xml:space="preserve">  </w:t>
      </w:r>
    </w:p>
    <w:p w14:paraId="7B113D54" w14:textId="7B85887C"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053164</w:t>
      </w:r>
    </w:p>
    <w:p w14:paraId="5F6AC077" w14:textId="77777777" w:rsidR="00D43497" w:rsidRPr="00DD1B08" w:rsidRDefault="00D43497" w:rsidP="00D43497">
      <w:pPr>
        <w:spacing w:after="0"/>
        <w:ind w:left="5760" w:right="117"/>
        <w:jc w:val="right"/>
        <w:rPr>
          <w:rFonts w:ascii="Arial" w:hAnsi="Arial" w:cs="Arial"/>
          <w:sz w:val="24"/>
          <w:szCs w:val="24"/>
        </w:rPr>
      </w:pPr>
    </w:p>
    <w:p w14:paraId="1D66864D"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013AEF20"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4CF4461D" w14:textId="6BBB8C76" w:rsidR="00D43497" w:rsidRDefault="00D43497" w:rsidP="00D43497">
      <w:pPr>
        <w:spacing w:after="0" w:line="240" w:lineRule="auto"/>
        <w:ind w:right="119"/>
        <w:rPr>
          <w:rFonts w:ascii="Arial" w:hAnsi="Arial" w:cs="Arial"/>
          <w:sz w:val="24"/>
          <w:szCs w:val="24"/>
        </w:rPr>
      </w:pPr>
    </w:p>
    <w:p w14:paraId="523295CF" w14:textId="77777777" w:rsidR="00D43497" w:rsidRDefault="00D43497" w:rsidP="00D43497">
      <w:pPr>
        <w:spacing w:after="0" w:line="240" w:lineRule="auto"/>
        <w:ind w:right="119"/>
        <w:rPr>
          <w:rFonts w:ascii="Arial" w:hAnsi="Arial" w:cs="Arial"/>
          <w:sz w:val="24"/>
          <w:szCs w:val="24"/>
        </w:rPr>
      </w:pPr>
    </w:p>
    <w:p w14:paraId="79AA123E"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0C8AD1E2" w14:textId="77777777" w:rsidR="00D43497" w:rsidRDefault="00D43497" w:rsidP="00D43497">
      <w:pPr>
        <w:tabs>
          <w:tab w:val="right" w:pos="8339"/>
        </w:tabs>
        <w:spacing w:after="0" w:line="240" w:lineRule="auto"/>
        <w:ind w:right="119"/>
        <w:rPr>
          <w:rFonts w:ascii="Arial" w:hAnsi="Arial" w:cs="Arial"/>
          <w:sz w:val="24"/>
          <w:szCs w:val="24"/>
          <w:u w:val="single"/>
        </w:rPr>
      </w:pPr>
    </w:p>
    <w:p w14:paraId="44A27A3B"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28380CF1" w14:textId="5C2715E9"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CHOUNYANE</w:t>
      </w:r>
      <w:r w:rsidR="00D43497" w:rsidRPr="00D43497">
        <w:rPr>
          <w:rFonts w:ascii="Arial" w:hAnsi="Arial" w:cs="Arial"/>
          <w:sz w:val="24"/>
          <w:szCs w:val="24"/>
        </w:rPr>
        <w:t xml:space="preserve">, </w:t>
      </w:r>
      <w:r>
        <w:rPr>
          <w:rFonts w:ascii="Arial" w:hAnsi="Arial" w:cs="Arial"/>
          <w:sz w:val="24"/>
          <w:szCs w:val="24"/>
        </w:rPr>
        <w:t xml:space="preserve">ANDREW </w:t>
      </w:r>
      <w:r w:rsidR="00D43497">
        <w:rPr>
          <w:rFonts w:ascii="Arial" w:hAnsi="Arial" w:cs="Arial"/>
          <w:sz w:val="24"/>
          <w:szCs w:val="24"/>
        </w:rPr>
        <w:tab/>
        <w:t>Respondent</w:t>
      </w:r>
    </w:p>
    <w:p w14:paraId="18278ED8" w14:textId="77777777" w:rsidR="00D43497" w:rsidRDefault="00D43497" w:rsidP="00352518">
      <w:pPr>
        <w:tabs>
          <w:tab w:val="right" w:pos="8787"/>
        </w:tabs>
        <w:spacing w:before="60" w:after="60"/>
        <w:ind w:right="119"/>
        <w:rPr>
          <w:rFonts w:ascii="Arial" w:hAnsi="Arial" w:cs="Arial"/>
          <w:sz w:val="24"/>
          <w:szCs w:val="24"/>
        </w:rPr>
      </w:pPr>
    </w:p>
    <w:bookmarkEnd w:id="0"/>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34238E5F" w:rsidR="004A1F2B" w:rsidRPr="006F23B9" w:rsidRDefault="004A1F2B" w:rsidP="00B9725B">
      <w:pPr>
        <w:spacing w:after="0" w:line="360" w:lineRule="auto"/>
        <w:ind w:right="117"/>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upon uploading by the Registrar to the electronic court file</w:t>
      </w:r>
      <w:r w:rsidR="00D43497">
        <w:rPr>
          <w:rFonts w:ascii="Arial" w:eastAsia="Times New Roman" w:hAnsi="Arial" w:cs="Arial"/>
          <w:i/>
          <w:iCs/>
          <w:color w:val="242121"/>
          <w:sz w:val="24"/>
          <w:szCs w:val="24"/>
          <w:shd w:val="clear" w:color="auto" w:fill="FFFFFF"/>
        </w:rPr>
        <w:t>s</w:t>
      </w:r>
      <w:r w:rsidR="00F811C3">
        <w:rPr>
          <w:rFonts w:ascii="Arial" w:eastAsia="Times New Roman" w:hAnsi="Arial" w:cs="Arial"/>
          <w:i/>
          <w:iCs/>
          <w:color w:val="242121"/>
          <w:sz w:val="24"/>
          <w:szCs w:val="24"/>
          <w:shd w:val="clear" w:color="auto" w:fill="FFFFFF"/>
        </w:rPr>
        <w:t xml:space="preserv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B9725B">
      <w:pPr>
        <w:tabs>
          <w:tab w:val="left" w:pos="-426"/>
        </w:tabs>
        <w:spacing w:before="240" w:after="240" w:line="480" w:lineRule="auto"/>
        <w:ind w:right="117"/>
        <w:contextualSpacing/>
        <w:jc w:val="both"/>
        <w:rPr>
          <w:rFonts w:ascii="Arial" w:hAnsi="Arial" w:cs="Arial"/>
          <w:sz w:val="24"/>
          <w:szCs w:val="24"/>
        </w:rPr>
      </w:pPr>
      <w:r w:rsidRPr="00DD1B08">
        <w:rPr>
          <w:rFonts w:ascii="Arial" w:hAnsi="Arial" w:cs="Arial"/>
          <w:sz w:val="24"/>
          <w:szCs w:val="24"/>
          <w:u w:val="single"/>
        </w:rPr>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7C3D21C1" w14:textId="72DC02A6" w:rsidR="001228DB"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1228DB" w:rsidRPr="00F8291A">
        <w:rPr>
          <w:rFonts w:ascii="Arial" w:hAnsi="Arial" w:cs="Arial"/>
          <w:sz w:val="24"/>
          <w:szCs w:val="24"/>
        </w:rPr>
        <w:t>In each of these applications</w:t>
      </w:r>
      <w:r w:rsidR="00066198" w:rsidRPr="00F8291A">
        <w:rPr>
          <w:rFonts w:ascii="Arial" w:hAnsi="Arial" w:cs="Arial"/>
          <w:sz w:val="24"/>
          <w:szCs w:val="24"/>
        </w:rPr>
        <w:t xml:space="preserve"> </w:t>
      </w:r>
      <w:r w:rsidR="001228DB" w:rsidRPr="00F8291A">
        <w:rPr>
          <w:rFonts w:ascii="Arial" w:hAnsi="Arial" w:cs="Arial"/>
          <w:sz w:val="24"/>
          <w:szCs w:val="24"/>
        </w:rPr>
        <w:t>the applicant</w:t>
      </w:r>
      <w:r w:rsidR="00066198" w:rsidRPr="00F8291A">
        <w:rPr>
          <w:rFonts w:ascii="Arial" w:hAnsi="Arial" w:cs="Arial"/>
          <w:sz w:val="24"/>
          <w:szCs w:val="24"/>
        </w:rPr>
        <w:t xml:space="preserve"> as credit provider</w:t>
      </w:r>
      <w:r w:rsidR="001228DB" w:rsidRPr="00F8291A">
        <w:rPr>
          <w:rFonts w:ascii="Arial" w:hAnsi="Arial" w:cs="Arial"/>
          <w:sz w:val="24"/>
          <w:szCs w:val="24"/>
        </w:rPr>
        <w:t xml:space="preserve"> </w:t>
      </w:r>
      <w:r w:rsidR="00F4190B" w:rsidRPr="00F8291A">
        <w:rPr>
          <w:rFonts w:ascii="Arial" w:hAnsi="Arial" w:cs="Arial"/>
          <w:sz w:val="24"/>
          <w:szCs w:val="24"/>
        </w:rPr>
        <w:t xml:space="preserve">seeks to recover the shortfall that </w:t>
      </w:r>
      <w:r w:rsidR="001228DB" w:rsidRPr="00F8291A">
        <w:rPr>
          <w:rFonts w:ascii="Arial" w:hAnsi="Arial" w:cs="Arial"/>
          <w:sz w:val="24"/>
          <w:szCs w:val="24"/>
        </w:rPr>
        <w:t>arose under</w:t>
      </w:r>
      <w:r w:rsidR="00F4190B" w:rsidRPr="00F8291A">
        <w:rPr>
          <w:rFonts w:ascii="Arial" w:hAnsi="Arial" w:cs="Arial"/>
          <w:sz w:val="24"/>
          <w:szCs w:val="24"/>
        </w:rPr>
        <w:t xml:space="preserve"> </w:t>
      </w:r>
      <w:r w:rsidR="00FB362D" w:rsidRPr="00F8291A">
        <w:rPr>
          <w:rFonts w:ascii="Arial" w:hAnsi="Arial" w:cs="Arial"/>
          <w:sz w:val="24"/>
          <w:szCs w:val="24"/>
        </w:rPr>
        <w:t>instalment</w:t>
      </w:r>
      <w:r w:rsidR="00F4190B" w:rsidRPr="00F8291A">
        <w:rPr>
          <w:rFonts w:ascii="Arial" w:hAnsi="Arial" w:cs="Arial"/>
          <w:sz w:val="24"/>
          <w:szCs w:val="24"/>
        </w:rPr>
        <w:t xml:space="preserve"> agreement</w:t>
      </w:r>
      <w:r w:rsidR="001228DB" w:rsidRPr="00F8291A">
        <w:rPr>
          <w:rFonts w:ascii="Arial" w:hAnsi="Arial" w:cs="Arial"/>
          <w:sz w:val="24"/>
          <w:szCs w:val="24"/>
        </w:rPr>
        <w:t>s</w:t>
      </w:r>
      <w:r w:rsidR="00F4190B" w:rsidRPr="00F8291A">
        <w:rPr>
          <w:rFonts w:ascii="Arial" w:hAnsi="Arial" w:cs="Arial"/>
          <w:sz w:val="24"/>
          <w:szCs w:val="24"/>
        </w:rPr>
        <w:t xml:space="preserve"> falling within the ambit</w:t>
      </w:r>
      <w:r w:rsidR="00DF7813" w:rsidRPr="00F8291A">
        <w:rPr>
          <w:rFonts w:ascii="Arial" w:hAnsi="Arial" w:cs="Arial"/>
          <w:sz w:val="24"/>
          <w:szCs w:val="24"/>
        </w:rPr>
        <w:t> </w:t>
      </w:r>
      <w:r w:rsidR="00F4190B" w:rsidRPr="00F8291A">
        <w:rPr>
          <w:rFonts w:ascii="Arial" w:hAnsi="Arial" w:cs="Arial"/>
          <w:sz w:val="24"/>
          <w:szCs w:val="24"/>
        </w:rPr>
        <w:t>of the National Credit Act</w:t>
      </w:r>
      <w:r w:rsidR="00E10D35" w:rsidRPr="00F8291A">
        <w:rPr>
          <w:rFonts w:ascii="Arial" w:hAnsi="Arial" w:cs="Arial"/>
          <w:sz w:val="24"/>
          <w:szCs w:val="24"/>
        </w:rPr>
        <w:t>, 2005</w:t>
      </w:r>
      <w:r w:rsidR="00F4190B" w:rsidRPr="00F8291A">
        <w:rPr>
          <w:rFonts w:ascii="Arial" w:hAnsi="Arial" w:cs="Arial"/>
          <w:sz w:val="24"/>
          <w:szCs w:val="24"/>
        </w:rPr>
        <w:t xml:space="preserve"> (“the NCA”) </w:t>
      </w:r>
      <w:r w:rsidR="00E10D35" w:rsidRPr="00F8291A">
        <w:rPr>
          <w:rFonts w:ascii="Arial" w:hAnsi="Arial" w:cs="Arial"/>
          <w:sz w:val="24"/>
          <w:szCs w:val="24"/>
        </w:rPr>
        <w:t>after</w:t>
      </w:r>
      <w:r w:rsidR="00F4190B" w:rsidRPr="00F8291A">
        <w:rPr>
          <w:rFonts w:ascii="Arial" w:hAnsi="Arial" w:cs="Arial"/>
          <w:sz w:val="24"/>
          <w:szCs w:val="24"/>
        </w:rPr>
        <w:t xml:space="preserve"> the goods have been </w:t>
      </w:r>
      <w:r w:rsidR="00E10D35" w:rsidRPr="00F8291A">
        <w:rPr>
          <w:rFonts w:ascii="Arial" w:hAnsi="Arial" w:cs="Arial"/>
          <w:sz w:val="24"/>
          <w:szCs w:val="24"/>
        </w:rPr>
        <w:t xml:space="preserve">voluntarily </w:t>
      </w:r>
      <w:r w:rsidR="00F4190B" w:rsidRPr="00F8291A">
        <w:rPr>
          <w:rFonts w:ascii="Arial" w:hAnsi="Arial" w:cs="Arial"/>
          <w:sz w:val="24"/>
          <w:szCs w:val="24"/>
        </w:rPr>
        <w:t>surrendered</w:t>
      </w:r>
      <w:r w:rsidR="00DF7813" w:rsidRPr="00F8291A">
        <w:rPr>
          <w:rFonts w:ascii="Arial" w:hAnsi="Arial" w:cs="Arial"/>
          <w:sz w:val="24"/>
          <w:szCs w:val="24"/>
        </w:rPr>
        <w:t> </w:t>
      </w:r>
      <w:r w:rsidR="00E10D35" w:rsidRPr="00F8291A">
        <w:rPr>
          <w:rFonts w:ascii="Arial" w:hAnsi="Arial" w:cs="Arial"/>
          <w:sz w:val="24"/>
          <w:szCs w:val="24"/>
        </w:rPr>
        <w:t>by the consumer.</w:t>
      </w:r>
      <w:r w:rsidR="00EB4158">
        <w:rPr>
          <w:rStyle w:val="FootnoteReference"/>
          <w:rFonts w:ascii="Arial" w:hAnsi="Arial" w:cs="Arial"/>
          <w:sz w:val="24"/>
          <w:szCs w:val="24"/>
        </w:rPr>
        <w:footnoteReference w:id="2"/>
      </w:r>
      <w:r w:rsidR="00E10D35" w:rsidRPr="00F8291A">
        <w:rPr>
          <w:rFonts w:ascii="Arial" w:hAnsi="Arial" w:cs="Arial"/>
          <w:sz w:val="24"/>
          <w:szCs w:val="24"/>
        </w:rPr>
        <w:t xml:space="preserve"> </w:t>
      </w:r>
    </w:p>
    <w:p w14:paraId="19DF1ECC" w14:textId="30218896" w:rsidR="00F4190B"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10D35" w:rsidRPr="00F8291A">
        <w:rPr>
          <w:rFonts w:ascii="Arial" w:hAnsi="Arial" w:cs="Arial"/>
          <w:sz w:val="24"/>
          <w:szCs w:val="24"/>
        </w:rPr>
        <w:t xml:space="preserve">These claims </w:t>
      </w:r>
      <w:r w:rsidR="001228DB" w:rsidRPr="00F8291A">
        <w:rPr>
          <w:rFonts w:ascii="Arial" w:hAnsi="Arial" w:cs="Arial"/>
          <w:sz w:val="24"/>
          <w:szCs w:val="24"/>
        </w:rPr>
        <w:t xml:space="preserve">fall </w:t>
      </w:r>
      <w:r w:rsidR="00F4190B" w:rsidRPr="00F8291A">
        <w:rPr>
          <w:rFonts w:ascii="Arial" w:hAnsi="Arial" w:cs="Arial"/>
          <w:sz w:val="24"/>
          <w:szCs w:val="24"/>
        </w:rPr>
        <w:t>squarely within the ambit of section</w:t>
      </w:r>
      <w:r w:rsidR="00DF7813" w:rsidRPr="00F8291A">
        <w:rPr>
          <w:rFonts w:ascii="Arial" w:hAnsi="Arial" w:cs="Arial"/>
          <w:sz w:val="24"/>
          <w:szCs w:val="24"/>
        </w:rPr>
        <w:t> </w:t>
      </w:r>
      <w:r w:rsidR="00F4190B" w:rsidRPr="00F8291A">
        <w:rPr>
          <w:rFonts w:ascii="Arial" w:hAnsi="Arial" w:cs="Arial"/>
          <w:sz w:val="24"/>
          <w:szCs w:val="24"/>
        </w:rPr>
        <w:t>127(8)(a) of the NCA.</w:t>
      </w:r>
      <w:r w:rsidR="00FB362D" w:rsidRPr="00F8291A">
        <w:rPr>
          <w:rFonts w:ascii="Arial" w:hAnsi="Arial" w:cs="Arial"/>
          <w:sz w:val="24"/>
          <w:szCs w:val="24"/>
        </w:rPr>
        <w:t xml:space="preserve"> No argument was offered to the contrary.</w:t>
      </w:r>
    </w:p>
    <w:p w14:paraId="6D7EC7A0" w14:textId="3907003C" w:rsidR="00F4190B"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F4190B" w:rsidRPr="00F8291A">
        <w:rPr>
          <w:rFonts w:ascii="Arial" w:hAnsi="Arial" w:cs="Arial"/>
          <w:sz w:val="24"/>
          <w:szCs w:val="24"/>
        </w:rPr>
        <w:t>Sections 127(1) to (7) provide</w:t>
      </w:r>
      <w:r w:rsidR="001228DB" w:rsidRPr="00F8291A">
        <w:rPr>
          <w:rFonts w:ascii="Arial" w:hAnsi="Arial" w:cs="Arial"/>
          <w:sz w:val="24"/>
          <w:szCs w:val="24"/>
        </w:rPr>
        <w:t>s</w:t>
      </w:r>
      <w:r w:rsidR="00F4190B" w:rsidRPr="00F8291A">
        <w:rPr>
          <w:rFonts w:ascii="Arial" w:hAnsi="Arial" w:cs="Arial"/>
          <w:sz w:val="24"/>
          <w:szCs w:val="24"/>
        </w:rPr>
        <w:t xml:space="preserve"> for the surrender by a consumer of the goods</w:t>
      </w:r>
      <w:r w:rsidR="001228DB" w:rsidRPr="00F8291A">
        <w:rPr>
          <w:rFonts w:ascii="Arial" w:hAnsi="Arial" w:cs="Arial"/>
          <w:sz w:val="24"/>
          <w:szCs w:val="24"/>
        </w:rPr>
        <w:t xml:space="preserve">, </w:t>
      </w:r>
      <w:r w:rsidR="00E10D35" w:rsidRPr="00F8291A">
        <w:rPr>
          <w:rFonts w:ascii="Arial" w:hAnsi="Arial" w:cs="Arial"/>
          <w:sz w:val="24"/>
          <w:szCs w:val="24"/>
        </w:rPr>
        <w:t xml:space="preserve">for </w:t>
      </w:r>
      <w:r w:rsidR="00F4190B" w:rsidRPr="00F8291A">
        <w:rPr>
          <w:rFonts w:ascii="Arial" w:hAnsi="Arial" w:cs="Arial"/>
          <w:sz w:val="24"/>
          <w:szCs w:val="24"/>
        </w:rPr>
        <w:t xml:space="preserve">the </w:t>
      </w:r>
      <w:r w:rsidR="001228DB" w:rsidRPr="00F8291A">
        <w:rPr>
          <w:rFonts w:ascii="Arial" w:hAnsi="Arial" w:cs="Arial"/>
          <w:sz w:val="24"/>
          <w:szCs w:val="24"/>
        </w:rPr>
        <w:t xml:space="preserve">sale by the </w:t>
      </w:r>
      <w:r w:rsidR="00F4190B" w:rsidRPr="00F8291A">
        <w:rPr>
          <w:rFonts w:ascii="Arial" w:hAnsi="Arial" w:cs="Arial"/>
          <w:sz w:val="24"/>
          <w:szCs w:val="24"/>
        </w:rPr>
        <w:t>credit provider</w:t>
      </w:r>
      <w:r w:rsidR="001228DB" w:rsidRPr="00F8291A">
        <w:rPr>
          <w:rFonts w:ascii="Arial" w:hAnsi="Arial" w:cs="Arial"/>
          <w:sz w:val="24"/>
          <w:szCs w:val="24"/>
        </w:rPr>
        <w:t xml:space="preserve"> of the goods </w:t>
      </w:r>
      <w:r w:rsidR="00F4190B" w:rsidRPr="00F8291A">
        <w:rPr>
          <w:rFonts w:ascii="Arial" w:hAnsi="Arial" w:cs="Arial"/>
          <w:sz w:val="24"/>
          <w:szCs w:val="24"/>
        </w:rPr>
        <w:t xml:space="preserve">after complying with various </w:t>
      </w:r>
      <w:r w:rsidR="00E10D35" w:rsidRPr="00F8291A">
        <w:rPr>
          <w:rFonts w:ascii="Arial" w:hAnsi="Arial" w:cs="Arial"/>
          <w:sz w:val="24"/>
          <w:szCs w:val="24"/>
        </w:rPr>
        <w:t>requirements</w:t>
      </w:r>
      <w:r w:rsidR="00F4190B" w:rsidRPr="00F8291A">
        <w:rPr>
          <w:rFonts w:ascii="Arial" w:hAnsi="Arial" w:cs="Arial"/>
          <w:sz w:val="24"/>
          <w:szCs w:val="24"/>
        </w:rPr>
        <w:t xml:space="preserve">, </w:t>
      </w:r>
      <w:r w:rsidR="00E10D35" w:rsidRPr="00F8291A">
        <w:rPr>
          <w:rFonts w:ascii="Arial" w:hAnsi="Arial" w:cs="Arial"/>
          <w:sz w:val="24"/>
          <w:szCs w:val="24"/>
        </w:rPr>
        <w:t xml:space="preserve">for the </w:t>
      </w:r>
      <w:r w:rsidR="00F4190B" w:rsidRPr="00F8291A">
        <w:rPr>
          <w:rFonts w:ascii="Arial" w:hAnsi="Arial" w:cs="Arial"/>
          <w:sz w:val="24"/>
          <w:szCs w:val="24"/>
        </w:rPr>
        <w:t xml:space="preserve">crediting </w:t>
      </w:r>
      <w:r w:rsidR="00E10D35" w:rsidRPr="00F8291A">
        <w:rPr>
          <w:rFonts w:ascii="Arial" w:hAnsi="Arial" w:cs="Arial"/>
          <w:sz w:val="24"/>
          <w:szCs w:val="24"/>
        </w:rPr>
        <w:t xml:space="preserve">of </w:t>
      </w:r>
      <w:r w:rsidR="00F4190B" w:rsidRPr="00F8291A">
        <w:rPr>
          <w:rFonts w:ascii="Arial" w:hAnsi="Arial" w:cs="Arial"/>
          <w:sz w:val="24"/>
          <w:szCs w:val="24"/>
        </w:rPr>
        <w:t xml:space="preserve">the sale proceeds of the </w:t>
      </w:r>
      <w:r w:rsidR="00E10D35" w:rsidRPr="00F8291A">
        <w:rPr>
          <w:rFonts w:ascii="Arial" w:hAnsi="Arial" w:cs="Arial"/>
          <w:sz w:val="24"/>
          <w:szCs w:val="24"/>
        </w:rPr>
        <w:t xml:space="preserve">surrendered </w:t>
      </w:r>
      <w:r w:rsidR="00F4190B" w:rsidRPr="00F8291A">
        <w:rPr>
          <w:rFonts w:ascii="Arial" w:hAnsi="Arial" w:cs="Arial"/>
          <w:sz w:val="24"/>
          <w:szCs w:val="24"/>
        </w:rPr>
        <w:t>goods to the outstanding balance</w:t>
      </w:r>
      <w:r w:rsidR="003004E4" w:rsidRPr="00F8291A">
        <w:rPr>
          <w:rFonts w:ascii="Arial" w:hAnsi="Arial" w:cs="Arial"/>
          <w:sz w:val="24"/>
          <w:szCs w:val="24"/>
        </w:rPr>
        <w:t xml:space="preserve"> under the credit agreement,</w:t>
      </w:r>
      <w:r w:rsidR="00F4190B" w:rsidRPr="00F8291A">
        <w:rPr>
          <w:rFonts w:ascii="Arial" w:hAnsi="Arial" w:cs="Arial"/>
          <w:sz w:val="24"/>
          <w:szCs w:val="24"/>
        </w:rPr>
        <w:t xml:space="preserve"> and</w:t>
      </w:r>
      <w:r w:rsidR="003004E4" w:rsidRPr="00F8291A">
        <w:rPr>
          <w:rFonts w:ascii="Arial" w:hAnsi="Arial" w:cs="Arial"/>
          <w:sz w:val="24"/>
          <w:szCs w:val="24"/>
        </w:rPr>
        <w:t xml:space="preserve"> </w:t>
      </w:r>
      <w:r w:rsidR="00E10D35" w:rsidRPr="00F8291A">
        <w:rPr>
          <w:rFonts w:ascii="Arial" w:hAnsi="Arial" w:cs="Arial"/>
          <w:sz w:val="24"/>
          <w:szCs w:val="24"/>
        </w:rPr>
        <w:t>for the credit provider</w:t>
      </w:r>
      <w:r w:rsidR="003004E4" w:rsidRPr="00F8291A">
        <w:rPr>
          <w:rFonts w:ascii="Arial" w:hAnsi="Arial" w:cs="Arial"/>
          <w:sz w:val="24"/>
          <w:szCs w:val="24"/>
        </w:rPr>
        <w:t>, after providing for various other debits and credits and otherwise complying with other statutory requirements,</w:t>
      </w:r>
      <w:r w:rsidR="00E10D35" w:rsidRPr="00F8291A">
        <w:rPr>
          <w:rFonts w:ascii="Arial" w:hAnsi="Arial" w:cs="Arial"/>
          <w:sz w:val="24"/>
          <w:szCs w:val="24"/>
        </w:rPr>
        <w:t xml:space="preserve"> to t</w:t>
      </w:r>
      <w:r w:rsidR="00F4190B" w:rsidRPr="00F8291A">
        <w:rPr>
          <w:rFonts w:ascii="Arial" w:hAnsi="Arial" w:cs="Arial"/>
          <w:sz w:val="24"/>
          <w:szCs w:val="24"/>
        </w:rPr>
        <w:t xml:space="preserve">hen demand payment from the consumer </w:t>
      </w:r>
      <w:r w:rsidR="003004E4" w:rsidRPr="00F8291A">
        <w:rPr>
          <w:rFonts w:ascii="Arial" w:hAnsi="Arial" w:cs="Arial"/>
          <w:sz w:val="24"/>
          <w:szCs w:val="24"/>
        </w:rPr>
        <w:t xml:space="preserve">of </w:t>
      </w:r>
      <w:r w:rsidR="00E10D35" w:rsidRPr="00F8291A">
        <w:rPr>
          <w:rFonts w:ascii="Arial" w:hAnsi="Arial" w:cs="Arial"/>
          <w:sz w:val="24"/>
          <w:szCs w:val="24"/>
        </w:rPr>
        <w:t>the shortfall</w:t>
      </w:r>
      <w:r w:rsidR="00F4190B" w:rsidRPr="00F8291A">
        <w:rPr>
          <w:rFonts w:ascii="Arial" w:hAnsi="Arial" w:cs="Arial"/>
          <w:sz w:val="24"/>
          <w:szCs w:val="24"/>
        </w:rPr>
        <w:t xml:space="preserve"> </w:t>
      </w:r>
      <w:r w:rsidR="003004E4" w:rsidRPr="00F8291A">
        <w:rPr>
          <w:rFonts w:ascii="Arial" w:hAnsi="Arial" w:cs="Arial"/>
          <w:sz w:val="24"/>
          <w:szCs w:val="24"/>
        </w:rPr>
        <w:t xml:space="preserve">under the credit agreement </w:t>
      </w:r>
      <w:r w:rsidR="00F4190B" w:rsidRPr="00F8291A">
        <w:rPr>
          <w:rFonts w:ascii="Arial" w:hAnsi="Arial" w:cs="Arial"/>
          <w:sz w:val="24"/>
          <w:szCs w:val="24"/>
        </w:rPr>
        <w:t>calculated in accordance with those subsections.</w:t>
      </w:r>
    </w:p>
    <w:p w14:paraId="22D4E15E" w14:textId="4A647D92" w:rsidR="00F4190B"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F4190B" w:rsidRPr="00F8291A">
        <w:rPr>
          <w:rFonts w:ascii="Arial" w:hAnsi="Arial" w:cs="Arial"/>
          <w:sz w:val="24"/>
          <w:szCs w:val="24"/>
        </w:rPr>
        <w:t>Section 127(8) provides</w:t>
      </w:r>
      <w:r w:rsidR="003004E4" w:rsidRPr="00F8291A">
        <w:rPr>
          <w:rFonts w:ascii="Arial" w:hAnsi="Arial" w:cs="Arial"/>
          <w:sz w:val="24"/>
          <w:szCs w:val="24"/>
        </w:rPr>
        <w:t>, and the emphasis is mine,</w:t>
      </w:r>
      <w:r w:rsidR="00F4190B" w:rsidRPr="00F8291A">
        <w:rPr>
          <w:rFonts w:ascii="Arial" w:hAnsi="Arial" w:cs="Arial"/>
          <w:sz w:val="24"/>
          <w:szCs w:val="24"/>
        </w:rPr>
        <w:t xml:space="preserve"> that: </w:t>
      </w:r>
    </w:p>
    <w:p w14:paraId="6D16BEC8" w14:textId="0DFAF9E3" w:rsidR="00F4190B" w:rsidRDefault="00F4190B" w:rsidP="00351132">
      <w:pPr>
        <w:pStyle w:val="Quotation"/>
        <w:spacing w:line="360" w:lineRule="auto"/>
        <w:ind w:right="117"/>
      </w:pPr>
      <w:r>
        <w:t xml:space="preserve">  “If a consumer – </w:t>
      </w:r>
    </w:p>
    <w:p w14:paraId="5B7739EE" w14:textId="67BDC6D3" w:rsidR="00F4190B" w:rsidRDefault="00F8291A" w:rsidP="00F8291A">
      <w:pPr>
        <w:pStyle w:val="Quotation"/>
        <w:tabs>
          <w:tab w:val="clear" w:pos="2127"/>
          <w:tab w:val="left" w:pos="2552"/>
        </w:tabs>
        <w:spacing w:line="360" w:lineRule="auto"/>
        <w:ind w:left="2552" w:right="117" w:hanging="992"/>
      </w:pPr>
      <w:r>
        <w:t>(a)</w:t>
      </w:r>
      <w:r>
        <w:tab/>
      </w:r>
      <w:r w:rsidR="00DF7813">
        <w:t>f</w:t>
      </w:r>
      <w:r w:rsidR="00F4190B">
        <w:t xml:space="preserve">ails to pay an amount demanded in terms of subsection (7) within 10 business days after receiving a demand notice, the credit provider may commence proceedings </w:t>
      </w:r>
      <w:r w:rsidR="00F4190B" w:rsidRPr="00EB4158">
        <w:rPr>
          <w:u w:val="single"/>
        </w:rPr>
        <w:t>in terms of the Magistrates</w:t>
      </w:r>
      <w:r w:rsidR="0046720F" w:rsidRPr="00EB4158">
        <w:rPr>
          <w:u w:val="single"/>
        </w:rPr>
        <w:t xml:space="preserve">’ </w:t>
      </w:r>
      <w:r w:rsidR="00F4190B" w:rsidRPr="00EB4158">
        <w:rPr>
          <w:u w:val="single"/>
        </w:rPr>
        <w:t>Court</w:t>
      </w:r>
      <w:r w:rsidR="00DF7813" w:rsidRPr="00EB4158">
        <w:rPr>
          <w:u w:val="single"/>
        </w:rPr>
        <w:t>s</w:t>
      </w:r>
      <w:r w:rsidR="00F4190B" w:rsidRPr="00EB4158">
        <w:rPr>
          <w:u w:val="single"/>
        </w:rPr>
        <w:t xml:space="preserve"> Act</w:t>
      </w:r>
      <w:r w:rsidR="00F4190B">
        <w:t xml:space="preserve"> for judgment enforcing the credit agreement; or </w:t>
      </w:r>
    </w:p>
    <w:p w14:paraId="5B80E8BD" w14:textId="1687831E" w:rsidR="00F4190B" w:rsidRPr="00EB4158" w:rsidRDefault="00F8291A" w:rsidP="00F8291A">
      <w:pPr>
        <w:pStyle w:val="Quotation"/>
        <w:tabs>
          <w:tab w:val="clear" w:pos="2127"/>
          <w:tab w:val="left" w:pos="2552"/>
        </w:tabs>
        <w:spacing w:line="360" w:lineRule="auto"/>
        <w:ind w:left="2552" w:right="117" w:hanging="992"/>
      </w:pPr>
      <w:r w:rsidRPr="00EB4158">
        <w:t>(b)</w:t>
      </w:r>
      <w:r w:rsidRPr="00EB4158">
        <w:tab/>
      </w:r>
      <w:r w:rsidR="00DF7813">
        <w:t>p</w:t>
      </w:r>
      <w:r w:rsidR="00F4190B">
        <w:t>ays the amount demanded after receiving a demand notice at any time before judgment is obtained under paragraph (a), the agreement is terminated upon remittance of that amount</w:t>
      </w:r>
      <w:r w:rsidR="00DF7813">
        <w:t>.</w:t>
      </w:r>
      <w:r w:rsidR="00F4190B">
        <w:t xml:space="preserve">” </w:t>
      </w:r>
    </w:p>
    <w:p w14:paraId="6CD7E47F" w14:textId="56550401" w:rsidR="00762E72"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5.</w:t>
      </w:r>
      <w:r>
        <w:rPr>
          <w:rFonts w:ascii="Arial" w:hAnsi="Arial" w:cs="Arial"/>
          <w:sz w:val="24"/>
          <w:szCs w:val="24"/>
        </w:rPr>
        <w:tab/>
      </w:r>
      <w:r w:rsidR="00F4190B" w:rsidRPr="00F8291A">
        <w:rPr>
          <w:rFonts w:ascii="Arial" w:hAnsi="Arial" w:cs="Arial"/>
          <w:sz w:val="24"/>
          <w:szCs w:val="24"/>
        </w:rPr>
        <w:t xml:space="preserve">These applications were enrolled before me </w:t>
      </w:r>
      <w:r w:rsidR="003004E4" w:rsidRPr="00F8291A">
        <w:rPr>
          <w:rFonts w:ascii="Arial" w:hAnsi="Arial" w:cs="Arial"/>
          <w:sz w:val="24"/>
          <w:szCs w:val="24"/>
        </w:rPr>
        <w:t xml:space="preserve">as unopposed matters </w:t>
      </w:r>
      <w:r w:rsidR="00F4190B" w:rsidRPr="00F8291A">
        <w:rPr>
          <w:rFonts w:ascii="Arial" w:hAnsi="Arial" w:cs="Arial"/>
          <w:sz w:val="24"/>
          <w:szCs w:val="24"/>
        </w:rPr>
        <w:t xml:space="preserve">as none of the respondents </w:t>
      </w:r>
      <w:r w:rsidR="00762E72" w:rsidRPr="00F8291A">
        <w:rPr>
          <w:rFonts w:ascii="Arial" w:hAnsi="Arial" w:cs="Arial"/>
          <w:sz w:val="24"/>
          <w:szCs w:val="24"/>
        </w:rPr>
        <w:t xml:space="preserve">had opposed. When the matters were called, I raised with counsel my concern that it appeared from </w:t>
      </w:r>
      <w:r w:rsidR="00762E72" w:rsidRPr="00F8291A">
        <w:rPr>
          <w:rFonts w:ascii="Arial" w:hAnsi="Arial" w:cs="Arial"/>
          <w:i/>
          <w:iCs/>
          <w:sz w:val="24"/>
          <w:szCs w:val="24"/>
        </w:rPr>
        <w:t>obiter</w:t>
      </w:r>
      <w:r w:rsidR="00762E72" w:rsidRPr="00F8291A">
        <w:rPr>
          <w:rFonts w:ascii="Arial" w:hAnsi="Arial" w:cs="Arial"/>
          <w:sz w:val="24"/>
          <w:szCs w:val="24"/>
        </w:rPr>
        <w:t xml:space="preserve"> remarks made by the </w:t>
      </w:r>
      <w:r w:rsidR="00762E72" w:rsidRPr="00F8291A">
        <w:rPr>
          <w:rFonts w:ascii="Arial" w:hAnsi="Arial" w:cs="Arial"/>
          <w:sz w:val="24"/>
          <w:szCs w:val="24"/>
        </w:rPr>
        <w:lastRenderedPageBreak/>
        <w:t xml:space="preserve">Supreme Court of Appeal in </w:t>
      </w:r>
      <w:r w:rsidR="00762E72" w:rsidRPr="00F8291A">
        <w:rPr>
          <w:rFonts w:ascii="Arial" w:hAnsi="Arial" w:cs="Arial"/>
          <w:i/>
          <w:iCs/>
          <w:sz w:val="24"/>
          <w:szCs w:val="24"/>
        </w:rPr>
        <w:t xml:space="preserve">Standard Bank of South Africa Limited and Others v </w:t>
      </w:r>
      <w:proofErr w:type="spellStart"/>
      <w:r w:rsidR="00762E72" w:rsidRPr="00F8291A">
        <w:rPr>
          <w:rFonts w:ascii="Arial" w:hAnsi="Arial" w:cs="Arial"/>
          <w:i/>
          <w:iCs/>
          <w:sz w:val="24"/>
          <w:szCs w:val="24"/>
        </w:rPr>
        <w:t>Mpongo</w:t>
      </w:r>
      <w:proofErr w:type="spellEnd"/>
      <w:r w:rsidR="00762E72" w:rsidRPr="00F8291A">
        <w:rPr>
          <w:rFonts w:ascii="Arial" w:hAnsi="Arial" w:cs="Arial"/>
          <w:i/>
          <w:iCs/>
          <w:sz w:val="24"/>
          <w:szCs w:val="24"/>
        </w:rPr>
        <w:t xml:space="preserve"> and Others </w:t>
      </w:r>
      <w:r w:rsidR="00762E72" w:rsidRPr="00F8291A">
        <w:rPr>
          <w:rFonts w:ascii="Arial" w:hAnsi="Arial" w:cs="Arial"/>
          <w:sz w:val="24"/>
          <w:szCs w:val="24"/>
        </w:rPr>
        <w:t>2021 (6) SA 403 (SCA)</w:t>
      </w:r>
      <w:r w:rsidR="00E87AE1" w:rsidRPr="00F8291A">
        <w:rPr>
          <w:rFonts w:ascii="Arial" w:hAnsi="Arial" w:cs="Arial"/>
          <w:sz w:val="24"/>
          <w:szCs w:val="24"/>
        </w:rPr>
        <w:t xml:space="preserve"> in paragraph 81 </w:t>
      </w:r>
      <w:r w:rsidR="00762E72" w:rsidRPr="00F8291A">
        <w:rPr>
          <w:rFonts w:ascii="Arial" w:hAnsi="Arial" w:cs="Arial"/>
          <w:sz w:val="24"/>
          <w:szCs w:val="24"/>
        </w:rPr>
        <w:t>that</w:t>
      </w:r>
      <w:r w:rsidR="004F4E81" w:rsidRPr="00F8291A">
        <w:rPr>
          <w:rFonts w:ascii="Arial" w:hAnsi="Arial" w:cs="Arial"/>
          <w:sz w:val="24"/>
          <w:szCs w:val="24"/>
        </w:rPr>
        <w:t> </w:t>
      </w:r>
      <w:r w:rsidR="00762E72" w:rsidRPr="00F8291A">
        <w:rPr>
          <w:rFonts w:ascii="Arial" w:hAnsi="Arial" w:cs="Arial"/>
          <w:sz w:val="24"/>
          <w:szCs w:val="24"/>
        </w:rPr>
        <w:t>section</w:t>
      </w:r>
      <w:r w:rsidR="004F4E81" w:rsidRPr="00F8291A">
        <w:rPr>
          <w:rFonts w:ascii="Arial" w:hAnsi="Arial" w:cs="Arial"/>
          <w:sz w:val="24"/>
          <w:szCs w:val="24"/>
        </w:rPr>
        <w:t> </w:t>
      </w:r>
      <w:r w:rsidR="00762E72" w:rsidRPr="00F8291A">
        <w:rPr>
          <w:rFonts w:ascii="Arial" w:hAnsi="Arial" w:cs="Arial"/>
          <w:sz w:val="24"/>
          <w:szCs w:val="24"/>
        </w:rPr>
        <w:t xml:space="preserve">127(8)(a) </w:t>
      </w:r>
      <w:r w:rsidR="00066198" w:rsidRPr="00F8291A">
        <w:rPr>
          <w:rFonts w:ascii="Arial" w:hAnsi="Arial" w:cs="Arial"/>
          <w:sz w:val="24"/>
          <w:szCs w:val="24"/>
        </w:rPr>
        <w:t>may be</w:t>
      </w:r>
      <w:r w:rsidR="00762E72" w:rsidRPr="00F8291A">
        <w:rPr>
          <w:rFonts w:ascii="Arial" w:hAnsi="Arial" w:cs="Arial"/>
          <w:sz w:val="24"/>
          <w:szCs w:val="24"/>
        </w:rPr>
        <w:t xml:space="preserve"> one of those instances in the NCA where the </w:t>
      </w:r>
      <w:r w:rsidR="00E87AE1" w:rsidRPr="00F8291A">
        <w:rPr>
          <w:rFonts w:ascii="Arial" w:hAnsi="Arial" w:cs="Arial"/>
          <w:sz w:val="24"/>
          <w:szCs w:val="24"/>
        </w:rPr>
        <w:t>m</w:t>
      </w:r>
      <w:r w:rsidR="00762E72" w:rsidRPr="00F8291A">
        <w:rPr>
          <w:rFonts w:ascii="Arial" w:hAnsi="Arial" w:cs="Arial"/>
          <w:sz w:val="24"/>
          <w:szCs w:val="24"/>
        </w:rPr>
        <w:t>agistrates</w:t>
      </w:r>
      <w:r w:rsidR="00E87AE1" w:rsidRPr="00F8291A">
        <w:rPr>
          <w:rFonts w:ascii="Arial" w:hAnsi="Arial" w:cs="Arial"/>
          <w:sz w:val="24"/>
          <w:szCs w:val="24"/>
        </w:rPr>
        <w:t>’</w:t>
      </w:r>
      <w:r w:rsidR="00762E72" w:rsidRPr="00F8291A">
        <w:rPr>
          <w:rFonts w:ascii="Arial" w:hAnsi="Arial" w:cs="Arial"/>
          <w:sz w:val="24"/>
          <w:szCs w:val="24"/>
        </w:rPr>
        <w:t xml:space="preserve"> </w:t>
      </w:r>
      <w:r w:rsidR="00E87AE1" w:rsidRPr="00F8291A">
        <w:rPr>
          <w:rFonts w:ascii="Arial" w:hAnsi="Arial" w:cs="Arial"/>
          <w:sz w:val="24"/>
          <w:szCs w:val="24"/>
        </w:rPr>
        <w:t>c</w:t>
      </w:r>
      <w:r w:rsidR="00762E72" w:rsidRPr="00F8291A">
        <w:rPr>
          <w:rFonts w:ascii="Arial" w:hAnsi="Arial" w:cs="Arial"/>
          <w:sz w:val="24"/>
          <w:szCs w:val="24"/>
        </w:rPr>
        <w:t>ourt</w:t>
      </w:r>
      <w:r w:rsidR="00DF5EF8" w:rsidRPr="00F8291A">
        <w:rPr>
          <w:rFonts w:ascii="Arial" w:hAnsi="Arial" w:cs="Arial"/>
          <w:sz w:val="24"/>
          <w:szCs w:val="24"/>
        </w:rPr>
        <w:t>s</w:t>
      </w:r>
      <w:r w:rsidR="00762E72" w:rsidRPr="00F8291A">
        <w:rPr>
          <w:rFonts w:ascii="Arial" w:hAnsi="Arial" w:cs="Arial"/>
          <w:sz w:val="24"/>
          <w:szCs w:val="24"/>
        </w:rPr>
        <w:t xml:space="preserve"> </w:t>
      </w:r>
      <w:r w:rsidR="00066198" w:rsidRPr="00F8291A">
        <w:rPr>
          <w:rFonts w:ascii="Arial" w:hAnsi="Arial" w:cs="Arial"/>
          <w:sz w:val="24"/>
          <w:szCs w:val="24"/>
        </w:rPr>
        <w:t>have exclusive jurisdiction</w:t>
      </w:r>
      <w:r w:rsidR="00762E72" w:rsidRPr="00F8291A">
        <w:rPr>
          <w:rFonts w:ascii="Arial" w:hAnsi="Arial" w:cs="Arial"/>
          <w:sz w:val="24"/>
          <w:szCs w:val="24"/>
        </w:rPr>
        <w:t xml:space="preserve">. </w:t>
      </w:r>
      <w:r w:rsidR="00066198" w:rsidRPr="00F8291A">
        <w:rPr>
          <w:rFonts w:ascii="Arial" w:hAnsi="Arial" w:cs="Arial"/>
          <w:sz w:val="24"/>
          <w:szCs w:val="24"/>
        </w:rPr>
        <w:t>There</w:t>
      </w:r>
      <w:r w:rsidR="00762E72" w:rsidRPr="00F8291A">
        <w:rPr>
          <w:rFonts w:ascii="Arial" w:hAnsi="Arial" w:cs="Arial"/>
          <w:sz w:val="24"/>
          <w:szCs w:val="24"/>
        </w:rPr>
        <w:t xml:space="preserve"> </w:t>
      </w:r>
      <w:r w:rsidR="00066198" w:rsidRPr="00F8291A">
        <w:rPr>
          <w:rFonts w:ascii="Arial" w:hAnsi="Arial" w:cs="Arial"/>
          <w:sz w:val="24"/>
          <w:szCs w:val="24"/>
        </w:rPr>
        <w:t>are</w:t>
      </w:r>
      <w:r w:rsidR="00762E72" w:rsidRPr="00F8291A">
        <w:rPr>
          <w:rFonts w:ascii="Arial" w:hAnsi="Arial" w:cs="Arial"/>
          <w:sz w:val="24"/>
          <w:szCs w:val="24"/>
        </w:rPr>
        <w:t xml:space="preserve"> </w:t>
      </w:r>
      <w:r w:rsidR="00066198" w:rsidRPr="00F8291A">
        <w:rPr>
          <w:rFonts w:ascii="Arial" w:hAnsi="Arial" w:cs="Arial"/>
          <w:sz w:val="24"/>
          <w:szCs w:val="24"/>
        </w:rPr>
        <w:t xml:space="preserve">also </w:t>
      </w:r>
      <w:r w:rsidR="00762E72" w:rsidRPr="00F8291A">
        <w:rPr>
          <w:rFonts w:ascii="Arial" w:hAnsi="Arial" w:cs="Arial"/>
          <w:sz w:val="24"/>
          <w:szCs w:val="24"/>
        </w:rPr>
        <w:t>academic writings that ad</w:t>
      </w:r>
      <w:r w:rsidR="00EC388D" w:rsidRPr="00F8291A">
        <w:rPr>
          <w:rFonts w:ascii="Arial" w:hAnsi="Arial" w:cs="Arial"/>
          <w:sz w:val="24"/>
          <w:szCs w:val="24"/>
        </w:rPr>
        <w:t>vance</w:t>
      </w:r>
      <w:r w:rsidR="00762E72" w:rsidRPr="00F8291A">
        <w:rPr>
          <w:rFonts w:ascii="Arial" w:hAnsi="Arial" w:cs="Arial"/>
          <w:sz w:val="24"/>
          <w:szCs w:val="24"/>
        </w:rPr>
        <w:t xml:space="preserve"> this position.</w:t>
      </w:r>
      <w:r w:rsidR="00CC5ACD">
        <w:rPr>
          <w:rStyle w:val="FootnoteReference"/>
          <w:rFonts w:ascii="Arial" w:hAnsi="Arial" w:cs="Arial"/>
          <w:sz w:val="24"/>
          <w:szCs w:val="24"/>
        </w:rPr>
        <w:footnoteReference w:id="3"/>
      </w:r>
      <w:r w:rsidR="00762E72" w:rsidRPr="00F8291A">
        <w:rPr>
          <w:rFonts w:ascii="Arial" w:hAnsi="Arial" w:cs="Arial"/>
          <w:sz w:val="24"/>
          <w:szCs w:val="24"/>
        </w:rPr>
        <w:t xml:space="preserve"> </w:t>
      </w:r>
    </w:p>
    <w:p w14:paraId="2CFE92FB" w14:textId="04EDA5C4" w:rsidR="00762E72"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E87AE1" w:rsidRPr="00F8291A">
        <w:rPr>
          <w:rFonts w:ascii="Arial" w:hAnsi="Arial" w:cs="Arial"/>
          <w:sz w:val="24"/>
          <w:szCs w:val="24"/>
        </w:rPr>
        <w:t>Counsel</w:t>
      </w:r>
      <w:r w:rsidR="00762E72" w:rsidRPr="00F8291A">
        <w:rPr>
          <w:rFonts w:ascii="Arial" w:hAnsi="Arial" w:cs="Arial"/>
          <w:sz w:val="24"/>
          <w:szCs w:val="24"/>
        </w:rPr>
        <w:t xml:space="preserve"> then appearing for the applicant </w:t>
      </w:r>
      <w:r w:rsidR="00E87AE1" w:rsidRPr="00F8291A">
        <w:rPr>
          <w:rFonts w:ascii="Arial" w:hAnsi="Arial" w:cs="Arial"/>
          <w:sz w:val="24"/>
          <w:szCs w:val="24"/>
        </w:rPr>
        <w:t xml:space="preserve">submitted </w:t>
      </w:r>
      <w:r w:rsidR="00762E72" w:rsidRPr="00F8291A">
        <w:rPr>
          <w:rFonts w:ascii="Arial" w:hAnsi="Arial" w:cs="Arial"/>
          <w:sz w:val="24"/>
          <w:szCs w:val="24"/>
        </w:rPr>
        <w:t xml:space="preserve">that the full </w:t>
      </w:r>
      <w:r w:rsidR="00E87AE1" w:rsidRPr="00F8291A">
        <w:rPr>
          <w:rFonts w:ascii="Arial" w:hAnsi="Arial" w:cs="Arial"/>
          <w:sz w:val="24"/>
          <w:szCs w:val="24"/>
        </w:rPr>
        <w:t>court</w:t>
      </w:r>
      <w:r w:rsidR="00762E72" w:rsidRPr="00F8291A">
        <w:rPr>
          <w:rFonts w:ascii="Arial" w:hAnsi="Arial" w:cs="Arial"/>
          <w:sz w:val="24"/>
          <w:szCs w:val="24"/>
        </w:rPr>
        <w:t xml:space="preserve"> of this </w:t>
      </w:r>
      <w:r w:rsidR="004726E4" w:rsidRPr="00F8291A">
        <w:rPr>
          <w:rFonts w:ascii="Arial" w:hAnsi="Arial" w:cs="Arial"/>
          <w:sz w:val="24"/>
          <w:szCs w:val="24"/>
        </w:rPr>
        <w:t>D</w:t>
      </w:r>
      <w:r w:rsidR="00762E72" w:rsidRPr="00F8291A">
        <w:rPr>
          <w:rFonts w:ascii="Arial" w:hAnsi="Arial" w:cs="Arial"/>
          <w:sz w:val="24"/>
          <w:szCs w:val="24"/>
        </w:rPr>
        <w:t xml:space="preserve">ivision in </w:t>
      </w:r>
      <w:r w:rsidR="00762E72" w:rsidRPr="00F8291A">
        <w:rPr>
          <w:rFonts w:ascii="Arial" w:hAnsi="Arial" w:cs="Arial"/>
          <w:i/>
          <w:iCs/>
          <w:sz w:val="24"/>
          <w:szCs w:val="24"/>
        </w:rPr>
        <w:t xml:space="preserve">Nedbank Limited v </w:t>
      </w:r>
      <w:proofErr w:type="spellStart"/>
      <w:r w:rsidR="00762E72" w:rsidRPr="00F8291A">
        <w:rPr>
          <w:rFonts w:ascii="Arial" w:hAnsi="Arial" w:cs="Arial"/>
          <w:i/>
          <w:iCs/>
          <w:sz w:val="24"/>
          <w:szCs w:val="24"/>
        </w:rPr>
        <w:t>Mateman</w:t>
      </w:r>
      <w:proofErr w:type="spellEnd"/>
      <w:r w:rsidR="00762E72" w:rsidRPr="00F8291A">
        <w:rPr>
          <w:rFonts w:ascii="Arial" w:hAnsi="Arial" w:cs="Arial"/>
          <w:i/>
          <w:iCs/>
          <w:sz w:val="24"/>
          <w:szCs w:val="24"/>
        </w:rPr>
        <w:t xml:space="preserve"> and Others</w:t>
      </w:r>
      <w:r w:rsidR="00762E72" w:rsidRPr="00F8291A">
        <w:rPr>
          <w:rFonts w:ascii="Arial" w:hAnsi="Arial" w:cs="Arial"/>
          <w:sz w:val="24"/>
          <w:szCs w:val="24"/>
        </w:rPr>
        <w:t xml:space="preserve">; </w:t>
      </w:r>
      <w:r w:rsidR="00762E72" w:rsidRPr="00F8291A">
        <w:rPr>
          <w:rFonts w:ascii="Arial" w:hAnsi="Arial" w:cs="Arial"/>
          <w:i/>
          <w:iCs/>
          <w:sz w:val="24"/>
          <w:szCs w:val="24"/>
        </w:rPr>
        <w:t xml:space="preserve">Nedbank Limited v Stringer and Another </w:t>
      </w:r>
      <w:r w:rsidR="00762E72" w:rsidRPr="00F8291A">
        <w:rPr>
          <w:rFonts w:ascii="Arial" w:hAnsi="Arial" w:cs="Arial"/>
          <w:sz w:val="24"/>
          <w:szCs w:val="24"/>
        </w:rPr>
        <w:t>2008 (4) SA 276 (T)</w:t>
      </w:r>
      <w:r w:rsidR="004726E4" w:rsidRPr="00F8291A">
        <w:rPr>
          <w:rFonts w:ascii="Arial" w:hAnsi="Arial" w:cs="Arial"/>
          <w:sz w:val="24"/>
          <w:szCs w:val="24"/>
        </w:rPr>
        <w:t xml:space="preserve"> had already decided that this court has concurrent jurisdiction with the magistrates’ court</w:t>
      </w:r>
      <w:r w:rsidR="00DF5EF8" w:rsidRPr="00F8291A">
        <w:rPr>
          <w:rFonts w:ascii="Arial" w:hAnsi="Arial" w:cs="Arial"/>
          <w:sz w:val="24"/>
          <w:szCs w:val="24"/>
        </w:rPr>
        <w:t>s</w:t>
      </w:r>
      <w:r w:rsidR="004726E4" w:rsidRPr="00F8291A">
        <w:rPr>
          <w:rFonts w:ascii="Arial" w:hAnsi="Arial" w:cs="Arial"/>
          <w:sz w:val="24"/>
          <w:szCs w:val="24"/>
        </w:rPr>
        <w:t>, including in relation to claims in terms of section 127(8)(a)</w:t>
      </w:r>
      <w:r w:rsidR="00762E72" w:rsidRPr="00F8291A">
        <w:rPr>
          <w:rFonts w:ascii="Arial" w:hAnsi="Arial" w:cs="Arial"/>
          <w:sz w:val="24"/>
          <w:szCs w:val="24"/>
        </w:rPr>
        <w:t xml:space="preserve">. </w:t>
      </w:r>
      <w:r w:rsidR="004726E4" w:rsidRPr="00F8291A">
        <w:rPr>
          <w:rFonts w:ascii="Arial" w:hAnsi="Arial" w:cs="Arial"/>
          <w:sz w:val="24"/>
          <w:szCs w:val="24"/>
        </w:rPr>
        <w:t>I expressed reservations. As neither I nor</w:t>
      </w:r>
      <w:r w:rsidR="00762E72" w:rsidRPr="00F8291A">
        <w:rPr>
          <w:rFonts w:ascii="Arial" w:hAnsi="Arial" w:cs="Arial"/>
          <w:sz w:val="24"/>
          <w:szCs w:val="24"/>
        </w:rPr>
        <w:t xml:space="preserve"> counsel</w:t>
      </w:r>
      <w:r w:rsidR="004726E4" w:rsidRPr="00F8291A">
        <w:rPr>
          <w:rFonts w:ascii="Arial" w:hAnsi="Arial" w:cs="Arial"/>
          <w:sz w:val="24"/>
          <w:szCs w:val="24"/>
        </w:rPr>
        <w:t xml:space="preserve"> then appearing had considered the issue closely, I adjourned the applications </w:t>
      </w:r>
      <w:r w:rsidR="00762E72" w:rsidRPr="00F8291A">
        <w:rPr>
          <w:rFonts w:ascii="Arial" w:hAnsi="Arial" w:cs="Arial"/>
          <w:sz w:val="24"/>
          <w:szCs w:val="24"/>
        </w:rPr>
        <w:t xml:space="preserve">to enable </w:t>
      </w:r>
      <w:r w:rsidR="004726E4" w:rsidRPr="00F8291A">
        <w:rPr>
          <w:rFonts w:ascii="Arial" w:hAnsi="Arial" w:cs="Arial"/>
          <w:sz w:val="24"/>
          <w:szCs w:val="24"/>
        </w:rPr>
        <w:t>the applicant</w:t>
      </w:r>
      <w:r w:rsidR="00762E72" w:rsidRPr="00F8291A">
        <w:rPr>
          <w:rFonts w:ascii="Arial" w:hAnsi="Arial" w:cs="Arial"/>
          <w:sz w:val="24"/>
          <w:szCs w:val="24"/>
        </w:rPr>
        <w:t xml:space="preserve"> to make written submissions.</w:t>
      </w:r>
    </w:p>
    <w:p w14:paraId="5DAD60FE" w14:textId="2FD568CD" w:rsidR="00762E72"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762E72" w:rsidRPr="00F8291A">
        <w:rPr>
          <w:rFonts w:ascii="Arial" w:hAnsi="Arial" w:cs="Arial"/>
          <w:sz w:val="24"/>
          <w:szCs w:val="24"/>
        </w:rPr>
        <w:t xml:space="preserve">Subsequently, the applicant appointed </w:t>
      </w:r>
      <w:r w:rsidR="004726E4" w:rsidRPr="00F8291A">
        <w:rPr>
          <w:rFonts w:ascii="Arial" w:hAnsi="Arial" w:cs="Arial"/>
          <w:sz w:val="24"/>
          <w:szCs w:val="24"/>
        </w:rPr>
        <w:t>new attorneys and counsel</w:t>
      </w:r>
      <w:r w:rsidR="00762E72" w:rsidRPr="00F8291A">
        <w:rPr>
          <w:rFonts w:ascii="Arial" w:hAnsi="Arial" w:cs="Arial"/>
          <w:sz w:val="24"/>
          <w:szCs w:val="24"/>
        </w:rPr>
        <w:t xml:space="preserve">. </w:t>
      </w:r>
    </w:p>
    <w:p w14:paraId="4796FF30" w14:textId="0FA4B9EC" w:rsidR="00DF5EF8"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762E72" w:rsidRPr="00F8291A">
        <w:rPr>
          <w:rFonts w:ascii="Arial" w:hAnsi="Arial" w:cs="Arial"/>
          <w:sz w:val="24"/>
          <w:szCs w:val="24"/>
        </w:rPr>
        <w:t xml:space="preserve">The Banking Association of South Africa (“BASA”) subsequently sought leave to be admitted as an </w:t>
      </w:r>
      <w:r w:rsidR="00762E72" w:rsidRPr="00F8291A">
        <w:rPr>
          <w:rFonts w:ascii="Arial" w:hAnsi="Arial" w:cs="Arial"/>
          <w:i/>
          <w:iCs/>
          <w:sz w:val="24"/>
          <w:szCs w:val="24"/>
        </w:rPr>
        <w:t xml:space="preserve">amicus curiae </w:t>
      </w:r>
      <w:r w:rsidR="00762E72" w:rsidRPr="00F8291A">
        <w:rPr>
          <w:rFonts w:ascii="Arial" w:hAnsi="Arial" w:cs="Arial"/>
          <w:sz w:val="24"/>
          <w:szCs w:val="24"/>
        </w:rPr>
        <w:t>given the importance of the issue</w:t>
      </w:r>
      <w:r w:rsidR="00DF5EF8" w:rsidRPr="00F8291A">
        <w:rPr>
          <w:rFonts w:ascii="Arial" w:hAnsi="Arial" w:cs="Arial"/>
          <w:sz w:val="24"/>
          <w:szCs w:val="24"/>
        </w:rPr>
        <w:t xml:space="preserve"> to the banking industry in general</w:t>
      </w:r>
      <w:r w:rsidR="00762E72" w:rsidRPr="00F8291A">
        <w:rPr>
          <w:rFonts w:ascii="Arial" w:hAnsi="Arial" w:cs="Arial"/>
          <w:sz w:val="24"/>
          <w:szCs w:val="24"/>
        </w:rPr>
        <w:t>.</w:t>
      </w:r>
      <w:r w:rsidR="00066198" w:rsidRPr="00F8291A">
        <w:rPr>
          <w:rFonts w:ascii="Arial" w:hAnsi="Arial" w:cs="Arial"/>
          <w:sz w:val="24"/>
          <w:szCs w:val="24"/>
        </w:rPr>
        <w:t xml:space="preserve"> BASA was admitted and </w:t>
      </w:r>
      <w:r w:rsidR="00762E72" w:rsidRPr="00F8291A">
        <w:rPr>
          <w:rFonts w:ascii="Arial" w:hAnsi="Arial" w:cs="Arial"/>
          <w:sz w:val="24"/>
          <w:szCs w:val="24"/>
        </w:rPr>
        <w:t xml:space="preserve">instructed its own legal team. </w:t>
      </w:r>
    </w:p>
    <w:p w14:paraId="5B413484" w14:textId="6F626A93" w:rsidR="00762E72"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762E72" w:rsidRPr="00F8291A">
        <w:rPr>
          <w:rFonts w:ascii="Arial" w:hAnsi="Arial" w:cs="Arial"/>
          <w:sz w:val="24"/>
          <w:szCs w:val="24"/>
        </w:rPr>
        <w:t>Both the applicant and BASA</w:t>
      </w:r>
      <w:r w:rsidR="00066198" w:rsidRPr="00F8291A">
        <w:rPr>
          <w:rFonts w:ascii="Arial" w:hAnsi="Arial" w:cs="Arial"/>
          <w:sz w:val="24"/>
          <w:szCs w:val="24"/>
        </w:rPr>
        <w:t xml:space="preserve"> filed </w:t>
      </w:r>
      <w:r w:rsidR="00762E72" w:rsidRPr="00F8291A">
        <w:rPr>
          <w:rFonts w:ascii="Arial" w:hAnsi="Arial" w:cs="Arial"/>
          <w:sz w:val="24"/>
          <w:szCs w:val="24"/>
        </w:rPr>
        <w:t xml:space="preserve">written submissions and </w:t>
      </w:r>
      <w:r w:rsidR="00066198" w:rsidRPr="00F8291A">
        <w:rPr>
          <w:rFonts w:ascii="Arial" w:hAnsi="Arial" w:cs="Arial"/>
          <w:sz w:val="24"/>
          <w:szCs w:val="24"/>
        </w:rPr>
        <w:t xml:space="preserve">subsequently made </w:t>
      </w:r>
      <w:r w:rsidR="00762E72" w:rsidRPr="00F8291A">
        <w:rPr>
          <w:rFonts w:ascii="Arial" w:hAnsi="Arial" w:cs="Arial"/>
          <w:sz w:val="24"/>
          <w:szCs w:val="24"/>
        </w:rPr>
        <w:t>oral submissions. I am indebted to the</w:t>
      </w:r>
      <w:r w:rsidR="00DF5EF8" w:rsidRPr="00F8291A">
        <w:rPr>
          <w:rFonts w:ascii="Arial" w:hAnsi="Arial" w:cs="Arial"/>
          <w:sz w:val="24"/>
          <w:szCs w:val="24"/>
        </w:rPr>
        <w:t>m and their</w:t>
      </w:r>
      <w:r w:rsidR="00762E72" w:rsidRPr="00F8291A">
        <w:rPr>
          <w:rFonts w:ascii="Arial" w:hAnsi="Arial" w:cs="Arial"/>
          <w:sz w:val="24"/>
          <w:szCs w:val="24"/>
        </w:rPr>
        <w:t xml:space="preserve"> counsel.</w:t>
      </w:r>
    </w:p>
    <w:p w14:paraId="1310D31C" w14:textId="1270A4A9" w:rsidR="00762E72"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66198" w:rsidRPr="00F8291A">
        <w:rPr>
          <w:rFonts w:ascii="Arial" w:hAnsi="Arial" w:cs="Arial"/>
          <w:sz w:val="24"/>
          <w:szCs w:val="24"/>
        </w:rPr>
        <w:t>The applicant persisted</w:t>
      </w:r>
      <w:r w:rsidR="00762E72" w:rsidRPr="00F8291A">
        <w:rPr>
          <w:rFonts w:ascii="Arial" w:hAnsi="Arial" w:cs="Arial"/>
          <w:sz w:val="24"/>
          <w:szCs w:val="24"/>
        </w:rPr>
        <w:t xml:space="preserve"> that this issue had already been decided by the full </w:t>
      </w:r>
      <w:r w:rsidR="00DF5EF8" w:rsidRPr="00F8291A">
        <w:rPr>
          <w:rFonts w:ascii="Arial" w:hAnsi="Arial" w:cs="Arial"/>
          <w:sz w:val="24"/>
          <w:szCs w:val="24"/>
        </w:rPr>
        <w:t>court</w:t>
      </w:r>
      <w:r w:rsidR="00762E72" w:rsidRPr="00F8291A">
        <w:rPr>
          <w:rFonts w:ascii="Arial" w:hAnsi="Arial" w:cs="Arial"/>
          <w:sz w:val="24"/>
          <w:szCs w:val="24"/>
        </w:rPr>
        <w:t xml:space="preserve"> </w:t>
      </w:r>
      <w:r w:rsidR="00975423" w:rsidRPr="00F8291A">
        <w:rPr>
          <w:rFonts w:ascii="Arial" w:hAnsi="Arial" w:cs="Arial"/>
          <w:sz w:val="24"/>
          <w:szCs w:val="24"/>
        </w:rPr>
        <w:t xml:space="preserve">of this Division </w:t>
      </w:r>
      <w:r w:rsidR="00762E72" w:rsidRPr="00F8291A">
        <w:rPr>
          <w:rFonts w:ascii="Arial" w:hAnsi="Arial" w:cs="Arial"/>
          <w:sz w:val="24"/>
          <w:szCs w:val="24"/>
        </w:rPr>
        <w:t xml:space="preserve">in </w:t>
      </w:r>
      <w:proofErr w:type="spellStart"/>
      <w:r w:rsidR="00762E72" w:rsidRPr="00F8291A">
        <w:rPr>
          <w:rFonts w:ascii="Arial" w:hAnsi="Arial" w:cs="Arial"/>
          <w:i/>
          <w:iCs/>
          <w:sz w:val="24"/>
          <w:szCs w:val="24"/>
        </w:rPr>
        <w:t>Mateman</w:t>
      </w:r>
      <w:proofErr w:type="spellEnd"/>
      <w:r w:rsidR="00DC2799" w:rsidRPr="00F8291A">
        <w:rPr>
          <w:rFonts w:ascii="Arial" w:hAnsi="Arial" w:cs="Arial"/>
          <w:sz w:val="24"/>
          <w:szCs w:val="24"/>
        </w:rPr>
        <w:t xml:space="preserve">, and that is that the High Court does have jurisdiction </w:t>
      </w:r>
      <w:r w:rsidR="00DF5EF8" w:rsidRPr="00F8291A">
        <w:rPr>
          <w:rFonts w:ascii="Arial" w:hAnsi="Arial" w:cs="Arial"/>
          <w:sz w:val="24"/>
          <w:szCs w:val="24"/>
        </w:rPr>
        <w:t xml:space="preserve">to determine claims falling within </w:t>
      </w:r>
      <w:r w:rsidR="00DC2799" w:rsidRPr="00F8291A">
        <w:rPr>
          <w:rFonts w:ascii="Arial" w:hAnsi="Arial" w:cs="Arial"/>
          <w:sz w:val="24"/>
          <w:szCs w:val="24"/>
        </w:rPr>
        <w:t>section 127(8).</w:t>
      </w:r>
      <w:r w:rsidR="00762E72" w:rsidRPr="00F8291A">
        <w:rPr>
          <w:rFonts w:ascii="Arial" w:hAnsi="Arial" w:cs="Arial"/>
          <w:sz w:val="24"/>
          <w:szCs w:val="24"/>
        </w:rPr>
        <w:t xml:space="preserve"> </w:t>
      </w:r>
      <w:r w:rsidR="00975423" w:rsidRPr="00F8291A">
        <w:rPr>
          <w:rFonts w:ascii="Arial" w:hAnsi="Arial" w:cs="Arial"/>
          <w:sz w:val="24"/>
          <w:szCs w:val="24"/>
        </w:rPr>
        <w:t xml:space="preserve">BASA also so submitted. </w:t>
      </w:r>
      <w:r w:rsidR="00762E72" w:rsidRPr="00F8291A">
        <w:rPr>
          <w:rFonts w:ascii="Arial" w:hAnsi="Arial" w:cs="Arial"/>
          <w:sz w:val="24"/>
          <w:szCs w:val="24"/>
        </w:rPr>
        <w:t xml:space="preserve">Of course, if that is so, I </w:t>
      </w:r>
      <w:r w:rsidR="00DC2799" w:rsidRPr="00F8291A">
        <w:rPr>
          <w:rFonts w:ascii="Arial" w:hAnsi="Arial" w:cs="Arial"/>
          <w:sz w:val="24"/>
          <w:szCs w:val="24"/>
        </w:rPr>
        <w:t>am as a single judge</w:t>
      </w:r>
      <w:r w:rsidR="00762E72" w:rsidRPr="00F8291A">
        <w:rPr>
          <w:rFonts w:ascii="Arial" w:hAnsi="Arial" w:cs="Arial"/>
          <w:sz w:val="24"/>
          <w:szCs w:val="24"/>
        </w:rPr>
        <w:t xml:space="preserve"> bound by </w:t>
      </w:r>
      <w:proofErr w:type="spellStart"/>
      <w:r w:rsidR="00762E72" w:rsidRPr="00F8291A">
        <w:rPr>
          <w:rFonts w:ascii="Arial" w:hAnsi="Arial" w:cs="Arial"/>
          <w:i/>
          <w:iCs/>
          <w:sz w:val="24"/>
          <w:szCs w:val="24"/>
        </w:rPr>
        <w:t>Mateman</w:t>
      </w:r>
      <w:proofErr w:type="spellEnd"/>
      <w:r w:rsidR="00762E72" w:rsidRPr="00F8291A">
        <w:rPr>
          <w:rFonts w:ascii="Arial" w:hAnsi="Arial" w:cs="Arial"/>
          <w:sz w:val="24"/>
          <w:szCs w:val="24"/>
        </w:rPr>
        <w:t xml:space="preserve">. </w:t>
      </w:r>
    </w:p>
    <w:p w14:paraId="061DB52E" w14:textId="05960900" w:rsidR="00E57AD5"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62E72" w:rsidRPr="00F8291A">
        <w:rPr>
          <w:rFonts w:ascii="Arial" w:hAnsi="Arial" w:cs="Arial"/>
          <w:sz w:val="24"/>
          <w:szCs w:val="24"/>
        </w:rPr>
        <w:t xml:space="preserve">The full </w:t>
      </w:r>
      <w:r w:rsidR="003E7A0D" w:rsidRPr="00F8291A">
        <w:rPr>
          <w:rFonts w:ascii="Arial" w:hAnsi="Arial" w:cs="Arial"/>
          <w:sz w:val="24"/>
          <w:szCs w:val="24"/>
        </w:rPr>
        <w:t xml:space="preserve">court </w:t>
      </w:r>
      <w:r w:rsidR="00762E72" w:rsidRPr="00F8291A">
        <w:rPr>
          <w:rFonts w:ascii="Arial" w:hAnsi="Arial" w:cs="Arial"/>
          <w:sz w:val="24"/>
          <w:szCs w:val="24"/>
        </w:rPr>
        <w:t xml:space="preserve">decision of </w:t>
      </w:r>
      <w:proofErr w:type="spellStart"/>
      <w:r w:rsidR="00762E72" w:rsidRPr="00F8291A">
        <w:rPr>
          <w:rFonts w:ascii="Arial" w:hAnsi="Arial" w:cs="Arial"/>
          <w:i/>
          <w:iCs/>
          <w:sz w:val="24"/>
          <w:szCs w:val="24"/>
        </w:rPr>
        <w:t>Mateman</w:t>
      </w:r>
      <w:proofErr w:type="spellEnd"/>
      <w:r w:rsidR="00762E72" w:rsidRPr="00F8291A">
        <w:rPr>
          <w:rFonts w:ascii="Arial" w:hAnsi="Arial" w:cs="Arial"/>
          <w:sz w:val="24"/>
          <w:szCs w:val="24"/>
        </w:rPr>
        <w:t xml:space="preserve"> </w:t>
      </w:r>
      <w:r w:rsidR="003E7A0D" w:rsidRPr="00F8291A">
        <w:rPr>
          <w:rFonts w:ascii="Arial" w:hAnsi="Arial" w:cs="Arial"/>
          <w:sz w:val="24"/>
          <w:szCs w:val="24"/>
        </w:rPr>
        <w:t>arose</w:t>
      </w:r>
      <w:r w:rsidR="00762E72" w:rsidRPr="00F8291A">
        <w:rPr>
          <w:rFonts w:ascii="Arial" w:hAnsi="Arial" w:cs="Arial"/>
          <w:sz w:val="24"/>
          <w:szCs w:val="24"/>
        </w:rPr>
        <w:t xml:space="preserve"> out of the frustration of the </w:t>
      </w:r>
      <w:r w:rsidR="008A06AE" w:rsidRPr="00F8291A">
        <w:rPr>
          <w:rFonts w:ascii="Arial" w:hAnsi="Arial" w:cs="Arial"/>
          <w:sz w:val="24"/>
          <w:szCs w:val="24"/>
        </w:rPr>
        <w:t>r</w:t>
      </w:r>
      <w:r w:rsidR="00762E72" w:rsidRPr="00F8291A">
        <w:rPr>
          <w:rFonts w:ascii="Arial" w:hAnsi="Arial" w:cs="Arial"/>
          <w:sz w:val="24"/>
          <w:szCs w:val="24"/>
        </w:rPr>
        <w:t xml:space="preserve">egistrar of the then Transvaal Provincial </w:t>
      </w:r>
      <w:proofErr w:type="gramStart"/>
      <w:r w:rsidR="00762E72" w:rsidRPr="00F8291A">
        <w:rPr>
          <w:rFonts w:ascii="Arial" w:hAnsi="Arial" w:cs="Arial"/>
          <w:sz w:val="24"/>
          <w:szCs w:val="24"/>
        </w:rPr>
        <w:t xml:space="preserve">Division </w:t>
      </w:r>
      <w:r w:rsidR="008A06AE" w:rsidRPr="00F8291A">
        <w:rPr>
          <w:rFonts w:ascii="Arial" w:hAnsi="Arial" w:cs="Arial"/>
          <w:sz w:val="24"/>
          <w:szCs w:val="24"/>
        </w:rPr>
        <w:t xml:space="preserve"> </w:t>
      </w:r>
      <w:r w:rsidR="00762E72" w:rsidRPr="00F8291A">
        <w:rPr>
          <w:rFonts w:ascii="Arial" w:hAnsi="Arial" w:cs="Arial"/>
          <w:sz w:val="24"/>
          <w:szCs w:val="24"/>
        </w:rPr>
        <w:t>in</w:t>
      </w:r>
      <w:proofErr w:type="gramEnd"/>
      <w:r w:rsidR="00762E72" w:rsidRPr="00F8291A">
        <w:rPr>
          <w:rFonts w:ascii="Arial" w:hAnsi="Arial" w:cs="Arial"/>
          <w:sz w:val="24"/>
          <w:szCs w:val="24"/>
        </w:rPr>
        <w:t xml:space="preserve"> Pretoria that the </w:t>
      </w:r>
      <w:r w:rsidR="008A06AE" w:rsidRPr="00F8291A">
        <w:rPr>
          <w:rFonts w:ascii="Arial" w:hAnsi="Arial" w:cs="Arial"/>
          <w:sz w:val="24"/>
          <w:szCs w:val="24"/>
        </w:rPr>
        <w:t>r</w:t>
      </w:r>
      <w:r w:rsidR="00762E72" w:rsidRPr="00F8291A">
        <w:rPr>
          <w:rFonts w:ascii="Arial" w:hAnsi="Arial" w:cs="Arial"/>
          <w:sz w:val="24"/>
          <w:szCs w:val="24"/>
        </w:rPr>
        <w:t>egistrar’s office was being overloaded with default</w:t>
      </w:r>
      <w:r w:rsidR="003E7A0D" w:rsidRPr="00F8291A">
        <w:rPr>
          <w:rFonts w:ascii="Arial" w:hAnsi="Arial" w:cs="Arial"/>
          <w:sz w:val="24"/>
          <w:szCs w:val="24"/>
        </w:rPr>
        <w:t xml:space="preserve"> judgment</w:t>
      </w:r>
      <w:r w:rsidR="00762E72" w:rsidRPr="00F8291A">
        <w:rPr>
          <w:rFonts w:ascii="Arial" w:hAnsi="Arial" w:cs="Arial"/>
          <w:sz w:val="24"/>
          <w:szCs w:val="24"/>
        </w:rPr>
        <w:t xml:space="preserve"> applications where it appeared that certain of those applications fell within the jurisdiction of the Witwatersrand Local Division (with which the Transvaal Provincial Division had concurrent jurisdiction) and the </w:t>
      </w:r>
      <w:r w:rsidR="003E7A0D" w:rsidRPr="00F8291A">
        <w:rPr>
          <w:rFonts w:ascii="Arial" w:hAnsi="Arial" w:cs="Arial"/>
          <w:sz w:val="24"/>
          <w:szCs w:val="24"/>
        </w:rPr>
        <w:t>m</w:t>
      </w:r>
      <w:r w:rsidR="00762E72" w:rsidRPr="00F8291A">
        <w:rPr>
          <w:rFonts w:ascii="Arial" w:hAnsi="Arial" w:cs="Arial"/>
          <w:sz w:val="24"/>
          <w:szCs w:val="24"/>
        </w:rPr>
        <w:t>agistrates</w:t>
      </w:r>
      <w:r w:rsidR="003E7A0D" w:rsidRPr="00F8291A">
        <w:rPr>
          <w:rFonts w:ascii="Arial" w:hAnsi="Arial" w:cs="Arial"/>
          <w:sz w:val="24"/>
          <w:szCs w:val="24"/>
        </w:rPr>
        <w:t>’</w:t>
      </w:r>
      <w:r w:rsidR="00762E72" w:rsidRPr="00F8291A">
        <w:rPr>
          <w:rFonts w:ascii="Arial" w:hAnsi="Arial" w:cs="Arial"/>
          <w:sz w:val="24"/>
          <w:szCs w:val="24"/>
        </w:rPr>
        <w:t xml:space="preserve"> </w:t>
      </w:r>
      <w:r w:rsidR="003E7A0D" w:rsidRPr="00F8291A">
        <w:rPr>
          <w:rFonts w:ascii="Arial" w:hAnsi="Arial" w:cs="Arial"/>
          <w:sz w:val="24"/>
          <w:szCs w:val="24"/>
        </w:rPr>
        <w:t>courts</w:t>
      </w:r>
      <w:r w:rsidR="00762E72" w:rsidRPr="00F8291A">
        <w:rPr>
          <w:rFonts w:ascii="Arial" w:hAnsi="Arial" w:cs="Arial"/>
          <w:sz w:val="24"/>
          <w:szCs w:val="24"/>
        </w:rPr>
        <w:t xml:space="preserve">. The </w:t>
      </w:r>
      <w:r w:rsidR="008A06AE" w:rsidRPr="00F8291A">
        <w:rPr>
          <w:rFonts w:ascii="Arial" w:hAnsi="Arial" w:cs="Arial"/>
          <w:sz w:val="24"/>
          <w:szCs w:val="24"/>
        </w:rPr>
        <w:t>r</w:t>
      </w:r>
      <w:r w:rsidR="00762E72" w:rsidRPr="00F8291A">
        <w:rPr>
          <w:rFonts w:ascii="Arial" w:hAnsi="Arial" w:cs="Arial"/>
          <w:sz w:val="24"/>
          <w:szCs w:val="24"/>
        </w:rPr>
        <w:t xml:space="preserve">egistrar sought to bring the matter to a head </w:t>
      </w:r>
      <w:r w:rsidR="003E7A0D" w:rsidRPr="00F8291A">
        <w:rPr>
          <w:rFonts w:ascii="Arial" w:hAnsi="Arial" w:cs="Arial"/>
          <w:sz w:val="24"/>
          <w:szCs w:val="24"/>
        </w:rPr>
        <w:t>by</w:t>
      </w:r>
      <w:r w:rsidR="00762E72" w:rsidRPr="00F8291A">
        <w:rPr>
          <w:rFonts w:ascii="Arial" w:hAnsi="Arial" w:cs="Arial"/>
          <w:sz w:val="24"/>
          <w:szCs w:val="24"/>
        </w:rPr>
        <w:t xml:space="preserve"> refer</w:t>
      </w:r>
      <w:r w:rsidR="003E7A0D" w:rsidRPr="00F8291A">
        <w:rPr>
          <w:rFonts w:ascii="Arial" w:hAnsi="Arial" w:cs="Arial"/>
          <w:sz w:val="24"/>
          <w:szCs w:val="24"/>
        </w:rPr>
        <w:t>ring</w:t>
      </w:r>
      <w:r w:rsidR="00762E72" w:rsidRPr="00F8291A">
        <w:rPr>
          <w:rFonts w:ascii="Arial" w:hAnsi="Arial" w:cs="Arial"/>
          <w:sz w:val="24"/>
          <w:szCs w:val="24"/>
        </w:rPr>
        <w:t xml:space="preserve"> two </w:t>
      </w:r>
      <w:r w:rsidR="003E7A0D" w:rsidRPr="00F8291A">
        <w:rPr>
          <w:rFonts w:ascii="Arial" w:hAnsi="Arial" w:cs="Arial"/>
          <w:sz w:val="24"/>
          <w:szCs w:val="24"/>
        </w:rPr>
        <w:t xml:space="preserve">default judgment applications </w:t>
      </w:r>
      <w:r w:rsidR="00762E72" w:rsidRPr="00F8291A">
        <w:rPr>
          <w:rFonts w:ascii="Arial" w:hAnsi="Arial" w:cs="Arial"/>
          <w:sz w:val="24"/>
          <w:szCs w:val="24"/>
        </w:rPr>
        <w:t xml:space="preserve">to open court in terms of </w:t>
      </w:r>
      <w:r w:rsidR="003E7A0D" w:rsidRPr="00F8291A">
        <w:rPr>
          <w:rFonts w:ascii="Arial" w:hAnsi="Arial" w:cs="Arial"/>
          <w:sz w:val="24"/>
          <w:szCs w:val="24"/>
        </w:rPr>
        <w:t xml:space="preserve">Uniform </w:t>
      </w:r>
      <w:r w:rsidR="00762E72" w:rsidRPr="00F8291A">
        <w:rPr>
          <w:rFonts w:ascii="Arial" w:hAnsi="Arial" w:cs="Arial"/>
          <w:sz w:val="24"/>
          <w:szCs w:val="24"/>
        </w:rPr>
        <w:t xml:space="preserve">Rule 31(5)(b)(vi) </w:t>
      </w:r>
      <w:r w:rsidR="003E7A0D" w:rsidRPr="00F8291A">
        <w:rPr>
          <w:rFonts w:ascii="Arial" w:hAnsi="Arial" w:cs="Arial"/>
          <w:sz w:val="24"/>
          <w:szCs w:val="24"/>
        </w:rPr>
        <w:t xml:space="preserve">and by </w:t>
      </w:r>
      <w:r w:rsidR="00762E72" w:rsidRPr="00F8291A">
        <w:rPr>
          <w:rFonts w:ascii="Arial" w:hAnsi="Arial" w:cs="Arial"/>
          <w:sz w:val="24"/>
          <w:szCs w:val="24"/>
        </w:rPr>
        <w:t xml:space="preserve">addressing a letter to the Society of Advocates, Pretoria </w:t>
      </w:r>
      <w:r w:rsidR="003E7A0D" w:rsidRPr="00F8291A">
        <w:rPr>
          <w:rFonts w:ascii="Arial" w:hAnsi="Arial" w:cs="Arial"/>
          <w:sz w:val="24"/>
          <w:szCs w:val="24"/>
        </w:rPr>
        <w:t xml:space="preserve">asking </w:t>
      </w:r>
      <w:r w:rsidR="00762E72" w:rsidRPr="00F8291A">
        <w:rPr>
          <w:rFonts w:ascii="Arial" w:hAnsi="Arial" w:cs="Arial"/>
          <w:sz w:val="24"/>
          <w:szCs w:val="24"/>
        </w:rPr>
        <w:t xml:space="preserve">for </w:t>
      </w:r>
      <w:r w:rsidR="00762E72" w:rsidRPr="00F8291A">
        <w:rPr>
          <w:rFonts w:ascii="Arial" w:hAnsi="Arial" w:cs="Arial"/>
          <w:i/>
          <w:iCs/>
          <w:sz w:val="24"/>
          <w:szCs w:val="24"/>
        </w:rPr>
        <w:t>pro</w:t>
      </w:r>
      <w:r w:rsidR="00937F51" w:rsidRPr="00F8291A">
        <w:rPr>
          <w:rFonts w:ascii="Arial" w:hAnsi="Arial" w:cs="Arial"/>
          <w:i/>
          <w:iCs/>
          <w:sz w:val="24"/>
          <w:szCs w:val="24"/>
        </w:rPr>
        <w:t> </w:t>
      </w:r>
      <w:proofErr w:type="spellStart"/>
      <w:r w:rsidR="00762E72" w:rsidRPr="00F8291A">
        <w:rPr>
          <w:rFonts w:ascii="Arial" w:hAnsi="Arial" w:cs="Arial"/>
          <w:i/>
          <w:iCs/>
          <w:sz w:val="24"/>
          <w:szCs w:val="24"/>
        </w:rPr>
        <w:t>amico</w:t>
      </w:r>
      <w:proofErr w:type="spellEnd"/>
      <w:r w:rsidR="00762E72" w:rsidRPr="00F8291A">
        <w:rPr>
          <w:rFonts w:ascii="Arial" w:hAnsi="Arial" w:cs="Arial"/>
          <w:sz w:val="24"/>
          <w:szCs w:val="24"/>
        </w:rPr>
        <w:t xml:space="preserve"> assistance. It appears from th</w:t>
      </w:r>
      <w:r w:rsidR="004B725A" w:rsidRPr="00F8291A">
        <w:rPr>
          <w:rFonts w:ascii="Arial" w:hAnsi="Arial" w:cs="Arial"/>
          <w:sz w:val="24"/>
          <w:szCs w:val="24"/>
        </w:rPr>
        <w:t>e</w:t>
      </w:r>
      <w:r w:rsidR="00762E72" w:rsidRPr="00F8291A">
        <w:rPr>
          <w:rFonts w:ascii="Arial" w:hAnsi="Arial" w:cs="Arial"/>
          <w:sz w:val="24"/>
          <w:szCs w:val="24"/>
        </w:rPr>
        <w:t xml:space="preserve"> letter that the </w:t>
      </w:r>
      <w:r w:rsidR="008A06AE" w:rsidRPr="00F8291A">
        <w:rPr>
          <w:rFonts w:ascii="Arial" w:hAnsi="Arial" w:cs="Arial"/>
          <w:sz w:val="24"/>
          <w:szCs w:val="24"/>
        </w:rPr>
        <w:t>r</w:t>
      </w:r>
      <w:r w:rsidR="00762E72" w:rsidRPr="00F8291A">
        <w:rPr>
          <w:rFonts w:ascii="Arial" w:hAnsi="Arial" w:cs="Arial"/>
          <w:sz w:val="24"/>
          <w:szCs w:val="24"/>
        </w:rPr>
        <w:t xml:space="preserve">egistrar was of the view </w:t>
      </w:r>
      <w:r w:rsidR="003E7A0D" w:rsidRPr="00F8291A">
        <w:rPr>
          <w:rFonts w:ascii="Arial" w:hAnsi="Arial" w:cs="Arial"/>
          <w:sz w:val="24"/>
          <w:szCs w:val="24"/>
        </w:rPr>
        <w:t xml:space="preserve">that based upon </w:t>
      </w:r>
      <w:r w:rsidR="00762E72" w:rsidRPr="00F8291A">
        <w:rPr>
          <w:rFonts w:ascii="Arial" w:hAnsi="Arial" w:cs="Arial"/>
          <w:sz w:val="24"/>
          <w:szCs w:val="24"/>
        </w:rPr>
        <w:t xml:space="preserve">its interpretation of </w:t>
      </w:r>
      <w:r w:rsidR="001F0F71" w:rsidRPr="00F8291A">
        <w:rPr>
          <w:rFonts w:ascii="Arial" w:hAnsi="Arial" w:cs="Arial"/>
          <w:sz w:val="24"/>
          <w:szCs w:val="24"/>
        </w:rPr>
        <w:t>sections</w:t>
      </w:r>
      <w:r w:rsidR="00762E72" w:rsidRPr="00F8291A">
        <w:rPr>
          <w:rFonts w:ascii="Arial" w:hAnsi="Arial" w:cs="Arial"/>
          <w:sz w:val="24"/>
          <w:szCs w:val="24"/>
        </w:rPr>
        <w:t xml:space="preserve"> 90(2)(k)(</w:t>
      </w:r>
      <w:r w:rsidR="00E57AD5" w:rsidRPr="00F8291A">
        <w:rPr>
          <w:rFonts w:ascii="Arial" w:hAnsi="Arial" w:cs="Arial"/>
          <w:sz w:val="24"/>
          <w:szCs w:val="24"/>
        </w:rPr>
        <w:t>vi) and 127</w:t>
      </w:r>
      <w:r w:rsidR="001F0F71" w:rsidRPr="00F8291A">
        <w:rPr>
          <w:rFonts w:ascii="Arial" w:hAnsi="Arial" w:cs="Arial"/>
          <w:sz w:val="24"/>
          <w:szCs w:val="24"/>
        </w:rPr>
        <w:t xml:space="preserve"> of the NCA </w:t>
      </w:r>
      <w:r w:rsidR="008A06AE" w:rsidRPr="00F8291A">
        <w:rPr>
          <w:rFonts w:ascii="Arial" w:hAnsi="Arial" w:cs="Arial"/>
          <w:sz w:val="24"/>
          <w:szCs w:val="24"/>
        </w:rPr>
        <w:t xml:space="preserve">the then Transvaal Provincial Division (and by implication its registrar) could justifiably refuse </w:t>
      </w:r>
      <w:r w:rsidR="00E57AD5" w:rsidRPr="00F8291A">
        <w:rPr>
          <w:rFonts w:ascii="Arial" w:hAnsi="Arial" w:cs="Arial"/>
          <w:sz w:val="24"/>
          <w:szCs w:val="24"/>
        </w:rPr>
        <w:t xml:space="preserve">to </w:t>
      </w:r>
      <w:r w:rsidR="008A06AE" w:rsidRPr="00F8291A">
        <w:rPr>
          <w:rFonts w:ascii="Arial" w:hAnsi="Arial" w:cs="Arial"/>
          <w:sz w:val="24"/>
          <w:szCs w:val="24"/>
        </w:rPr>
        <w:t>entertain</w:t>
      </w:r>
      <w:r w:rsidR="00E57AD5" w:rsidRPr="00F8291A">
        <w:rPr>
          <w:rFonts w:ascii="Arial" w:hAnsi="Arial" w:cs="Arial"/>
          <w:sz w:val="24"/>
          <w:szCs w:val="24"/>
        </w:rPr>
        <w:t xml:space="preserve"> those default </w:t>
      </w:r>
      <w:r w:rsidR="001F0F71" w:rsidRPr="00F8291A">
        <w:rPr>
          <w:rFonts w:ascii="Arial" w:hAnsi="Arial" w:cs="Arial"/>
          <w:sz w:val="24"/>
          <w:szCs w:val="24"/>
        </w:rPr>
        <w:t xml:space="preserve">judgment </w:t>
      </w:r>
      <w:r w:rsidR="00E57AD5" w:rsidRPr="00F8291A">
        <w:rPr>
          <w:rFonts w:ascii="Arial" w:hAnsi="Arial" w:cs="Arial"/>
          <w:sz w:val="24"/>
          <w:szCs w:val="24"/>
        </w:rPr>
        <w:t xml:space="preserve">applications where the matters could, or possibly should, according to the </w:t>
      </w:r>
      <w:r w:rsidR="008A06AE" w:rsidRPr="00F8291A">
        <w:rPr>
          <w:rFonts w:ascii="Arial" w:hAnsi="Arial" w:cs="Arial"/>
          <w:sz w:val="24"/>
          <w:szCs w:val="24"/>
        </w:rPr>
        <w:t>r</w:t>
      </w:r>
      <w:r w:rsidR="00E57AD5" w:rsidRPr="00F8291A">
        <w:rPr>
          <w:rFonts w:ascii="Arial" w:hAnsi="Arial" w:cs="Arial"/>
          <w:sz w:val="24"/>
          <w:szCs w:val="24"/>
        </w:rPr>
        <w:t>egistrar, have been brought in the</w:t>
      </w:r>
      <w:r w:rsidR="001F0F71" w:rsidRPr="00F8291A">
        <w:rPr>
          <w:rFonts w:ascii="Arial" w:hAnsi="Arial" w:cs="Arial"/>
          <w:sz w:val="24"/>
          <w:szCs w:val="24"/>
        </w:rPr>
        <w:t xml:space="preserve"> then</w:t>
      </w:r>
      <w:r w:rsidR="00E57AD5" w:rsidRPr="00F8291A">
        <w:rPr>
          <w:rFonts w:ascii="Arial" w:hAnsi="Arial" w:cs="Arial"/>
          <w:sz w:val="24"/>
          <w:szCs w:val="24"/>
        </w:rPr>
        <w:t xml:space="preserve"> Witwatersrand Local Division or the </w:t>
      </w:r>
      <w:r w:rsidR="001F0F71" w:rsidRPr="00F8291A">
        <w:rPr>
          <w:rFonts w:ascii="Arial" w:hAnsi="Arial" w:cs="Arial"/>
          <w:sz w:val="24"/>
          <w:szCs w:val="24"/>
        </w:rPr>
        <w:t>m</w:t>
      </w:r>
      <w:r w:rsidR="00E57AD5" w:rsidRPr="00F8291A">
        <w:rPr>
          <w:rFonts w:ascii="Arial" w:hAnsi="Arial" w:cs="Arial"/>
          <w:sz w:val="24"/>
          <w:szCs w:val="24"/>
        </w:rPr>
        <w:t>agistrates</w:t>
      </w:r>
      <w:r w:rsidR="001F0F71" w:rsidRPr="00F8291A">
        <w:rPr>
          <w:rFonts w:ascii="Arial" w:hAnsi="Arial" w:cs="Arial"/>
          <w:sz w:val="24"/>
          <w:szCs w:val="24"/>
        </w:rPr>
        <w:t>’</w:t>
      </w:r>
      <w:r w:rsidR="00E57AD5" w:rsidRPr="00F8291A">
        <w:rPr>
          <w:rFonts w:ascii="Arial" w:hAnsi="Arial" w:cs="Arial"/>
          <w:sz w:val="24"/>
          <w:szCs w:val="24"/>
        </w:rPr>
        <w:t xml:space="preserve"> </w:t>
      </w:r>
      <w:r w:rsidR="001F0F71" w:rsidRPr="00F8291A">
        <w:rPr>
          <w:rFonts w:ascii="Arial" w:hAnsi="Arial" w:cs="Arial"/>
          <w:sz w:val="24"/>
          <w:szCs w:val="24"/>
        </w:rPr>
        <w:t>c</w:t>
      </w:r>
      <w:r w:rsidR="00E57AD5" w:rsidRPr="00F8291A">
        <w:rPr>
          <w:rFonts w:ascii="Arial" w:hAnsi="Arial" w:cs="Arial"/>
          <w:sz w:val="24"/>
          <w:szCs w:val="24"/>
        </w:rPr>
        <w:t>ourt</w:t>
      </w:r>
      <w:r w:rsidR="001F0F71" w:rsidRPr="00F8291A">
        <w:rPr>
          <w:rFonts w:ascii="Arial" w:hAnsi="Arial" w:cs="Arial"/>
          <w:sz w:val="24"/>
          <w:szCs w:val="24"/>
        </w:rPr>
        <w:t>s</w:t>
      </w:r>
      <w:r w:rsidR="00975423" w:rsidRPr="00F8291A">
        <w:rPr>
          <w:rFonts w:ascii="Arial" w:hAnsi="Arial" w:cs="Arial"/>
          <w:sz w:val="24"/>
          <w:szCs w:val="24"/>
        </w:rPr>
        <w:t>, as the case may be.</w:t>
      </w:r>
    </w:p>
    <w:p w14:paraId="4441967C" w14:textId="7CAD339E" w:rsidR="008A06AE"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57AD5" w:rsidRPr="00F8291A">
        <w:rPr>
          <w:rFonts w:ascii="Arial" w:hAnsi="Arial" w:cs="Arial"/>
          <w:sz w:val="24"/>
          <w:szCs w:val="24"/>
        </w:rPr>
        <w:t xml:space="preserve">A full court was constituted to deal with the </w:t>
      </w:r>
      <w:r w:rsidR="008A06AE" w:rsidRPr="00F8291A">
        <w:rPr>
          <w:rFonts w:ascii="Arial" w:hAnsi="Arial" w:cs="Arial"/>
          <w:sz w:val="24"/>
          <w:szCs w:val="24"/>
        </w:rPr>
        <w:t>matter.</w:t>
      </w:r>
    </w:p>
    <w:p w14:paraId="7A3CA2EE" w14:textId="6C835523" w:rsidR="00E57AD5"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8A06AE" w:rsidRPr="00F8291A">
        <w:rPr>
          <w:rFonts w:ascii="Arial" w:hAnsi="Arial" w:cs="Arial"/>
          <w:sz w:val="24"/>
          <w:szCs w:val="24"/>
        </w:rPr>
        <w:t>The full court</w:t>
      </w:r>
      <w:r w:rsidR="00906E17" w:rsidRPr="00F8291A">
        <w:rPr>
          <w:rFonts w:ascii="Arial" w:hAnsi="Arial" w:cs="Arial"/>
          <w:sz w:val="24"/>
          <w:szCs w:val="24"/>
        </w:rPr>
        <w:t xml:space="preserve"> at 279A-C</w:t>
      </w:r>
      <w:r w:rsidR="008A06AE" w:rsidRPr="00F8291A">
        <w:rPr>
          <w:rFonts w:ascii="Arial" w:hAnsi="Arial" w:cs="Arial"/>
          <w:sz w:val="24"/>
          <w:szCs w:val="24"/>
        </w:rPr>
        <w:t xml:space="preserve"> interpreted the issue as one of jurisdiction, and particularly whether the NCA ousted the jurisdiction of the High Court, and therefore also of the registrar</w:t>
      </w:r>
      <w:r w:rsidR="00B50939" w:rsidRPr="00F8291A">
        <w:rPr>
          <w:rFonts w:ascii="Arial" w:hAnsi="Arial" w:cs="Arial"/>
          <w:sz w:val="24"/>
          <w:szCs w:val="24"/>
        </w:rPr>
        <w:t>,</w:t>
      </w:r>
      <w:r w:rsidR="008A06AE" w:rsidRPr="00F8291A">
        <w:rPr>
          <w:rFonts w:ascii="Arial" w:hAnsi="Arial" w:cs="Arial"/>
          <w:sz w:val="24"/>
          <w:szCs w:val="24"/>
        </w:rPr>
        <w:t xml:space="preserve"> to grant default judgment applications.</w:t>
      </w:r>
      <w:r w:rsidR="00E57AD5" w:rsidRPr="00F8291A">
        <w:rPr>
          <w:rFonts w:ascii="Arial" w:hAnsi="Arial" w:cs="Arial"/>
          <w:sz w:val="24"/>
          <w:szCs w:val="24"/>
        </w:rPr>
        <w:t xml:space="preserve"> </w:t>
      </w:r>
    </w:p>
    <w:p w14:paraId="7E2E927C" w14:textId="491B9452" w:rsidR="00E57AD5"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57AD5" w:rsidRPr="00F8291A">
        <w:rPr>
          <w:rFonts w:ascii="Arial" w:hAnsi="Arial" w:cs="Arial"/>
          <w:sz w:val="24"/>
          <w:szCs w:val="24"/>
        </w:rPr>
        <w:t xml:space="preserve">The full court </w:t>
      </w:r>
      <w:r w:rsidR="00975423" w:rsidRPr="00F8291A">
        <w:rPr>
          <w:rFonts w:ascii="Arial" w:hAnsi="Arial" w:cs="Arial"/>
          <w:sz w:val="24"/>
          <w:szCs w:val="24"/>
        </w:rPr>
        <w:t xml:space="preserve">held </w:t>
      </w:r>
      <w:r w:rsidR="00906E17" w:rsidRPr="00F8291A">
        <w:rPr>
          <w:rFonts w:ascii="Arial" w:hAnsi="Arial" w:cs="Arial"/>
          <w:sz w:val="24"/>
          <w:szCs w:val="24"/>
        </w:rPr>
        <w:t>at 284G</w:t>
      </w:r>
      <w:r w:rsidR="00E57AD5" w:rsidRPr="00F8291A">
        <w:rPr>
          <w:rFonts w:ascii="Arial" w:hAnsi="Arial" w:cs="Arial"/>
          <w:sz w:val="24"/>
          <w:szCs w:val="24"/>
        </w:rPr>
        <w:t xml:space="preserve"> that section 90(2)(k)(vi)</w:t>
      </w:r>
      <w:r w:rsidR="00975423" w:rsidRPr="00F8291A">
        <w:rPr>
          <w:rFonts w:ascii="Arial" w:hAnsi="Arial" w:cs="Arial"/>
          <w:sz w:val="24"/>
          <w:szCs w:val="24"/>
        </w:rPr>
        <w:t xml:space="preserve"> of the NCA,</w:t>
      </w:r>
      <w:r w:rsidR="00E57AD5" w:rsidRPr="00F8291A">
        <w:rPr>
          <w:rFonts w:ascii="Arial" w:hAnsi="Arial" w:cs="Arial"/>
          <w:sz w:val="24"/>
          <w:szCs w:val="24"/>
        </w:rPr>
        <w:t xml:space="preserve"> which outlaw</w:t>
      </w:r>
      <w:r w:rsidR="00975423" w:rsidRPr="00F8291A">
        <w:rPr>
          <w:rFonts w:ascii="Arial" w:hAnsi="Arial" w:cs="Arial"/>
          <w:sz w:val="24"/>
          <w:szCs w:val="24"/>
        </w:rPr>
        <w:t>s</w:t>
      </w:r>
      <w:r w:rsidR="00E57AD5" w:rsidRPr="00F8291A">
        <w:rPr>
          <w:rFonts w:ascii="Arial" w:hAnsi="Arial" w:cs="Arial"/>
          <w:sz w:val="24"/>
          <w:szCs w:val="24"/>
        </w:rPr>
        <w:t xml:space="preserve"> certain consents to jurisdiction by a consumer</w:t>
      </w:r>
      <w:r w:rsidR="00975423" w:rsidRPr="00F8291A">
        <w:rPr>
          <w:rFonts w:ascii="Arial" w:hAnsi="Arial" w:cs="Arial"/>
          <w:sz w:val="24"/>
          <w:szCs w:val="24"/>
        </w:rPr>
        <w:t>,</w:t>
      </w:r>
      <w:r w:rsidR="00E57AD5" w:rsidRPr="00F8291A">
        <w:rPr>
          <w:rFonts w:ascii="Arial" w:hAnsi="Arial" w:cs="Arial"/>
          <w:sz w:val="24"/>
          <w:szCs w:val="24"/>
        </w:rPr>
        <w:t xml:space="preserve"> did not constitute an ousting of the High Court’s jurisdiction as section 90 of the NCA did not affect the jurisdiction of the High Court.</w:t>
      </w:r>
      <w:r w:rsidR="00906E17" w:rsidRPr="00F8291A">
        <w:rPr>
          <w:rFonts w:ascii="Arial" w:hAnsi="Arial" w:cs="Arial"/>
          <w:sz w:val="24"/>
          <w:szCs w:val="24"/>
        </w:rPr>
        <w:t xml:space="preserve"> It followed, t</w:t>
      </w:r>
      <w:r w:rsidR="00E57AD5" w:rsidRPr="00F8291A">
        <w:rPr>
          <w:rFonts w:ascii="Arial" w:hAnsi="Arial" w:cs="Arial"/>
          <w:sz w:val="24"/>
          <w:szCs w:val="24"/>
        </w:rPr>
        <w:t>he full court found</w:t>
      </w:r>
      <w:r w:rsidR="00906E17" w:rsidRPr="00F8291A">
        <w:rPr>
          <w:rFonts w:ascii="Arial" w:hAnsi="Arial" w:cs="Arial"/>
          <w:sz w:val="24"/>
          <w:szCs w:val="24"/>
        </w:rPr>
        <w:t xml:space="preserve"> a</w:t>
      </w:r>
      <w:r w:rsidR="00B50939" w:rsidRPr="00F8291A">
        <w:rPr>
          <w:rFonts w:ascii="Arial" w:hAnsi="Arial" w:cs="Arial"/>
          <w:sz w:val="24"/>
          <w:szCs w:val="24"/>
        </w:rPr>
        <w:t>t</w:t>
      </w:r>
      <w:r w:rsidR="00906E17" w:rsidRPr="00F8291A">
        <w:rPr>
          <w:rFonts w:ascii="Arial" w:hAnsi="Arial" w:cs="Arial"/>
          <w:sz w:val="24"/>
          <w:szCs w:val="24"/>
        </w:rPr>
        <w:t xml:space="preserve"> 286B-D,</w:t>
      </w:r>
      <w:r w:rsidR="00E57AD5" w:rsidRPr="00F8291A">
        <w:rPr>
          <w:rFonts w:ascii="Arial" w:hAnsi="Arial" w:cs="Arial"/>
          <w:sz w:val="24"/>
          <w:szCs w:val="24"/>
        </w:rPr>
        <w:t xml:space="preserve"> that as the High Court had jurisdiction, the </w:t>
      </w:r>
      <w:r w:rsidR="00906E17" w:rsidRPr="00F8291A">
        <w:rPr>
          <w:rFonts w:ascii="Arial" w:hAnsi="Arial" w:cs="Arial"/>
          <w:sz w:val="24"/>
          <w:szCs w:val="24"/>
        </w:rPr>
        <w:t>r</w:t>
      </w:r>
      <w:r w:rsidR="00E57AD5" w:rsidRPr="00F8291A">
        <w:rPr>
          <w:rFonts w:ascii="Arial" w:hAnsi="Arial" w:cs="Arial"/>
          <w:sz w:val="24"/>
          <w:szCs w:val="24"/>
        </w:rPr>
        <w:t xml:space="preserve">egistrar was </w:t>
      </w:r>
      <w:r w:rsidR="00906E17" w:rsidRPr="00F8291A">
        <w:rPr>
          <w:rFonts w:ascii="Arial" w:hAnsi="Arial" w:cs="Arial"/>
          <w:sz w:val="24"/>
          <w:szCs w:val="24"/>
        </w:rPr>
        <w:t xml:space="preserve">obliged </w:t>
      </w:r>
      <w:r w:rsidR="00E57AD5" w:rsidRPr="00F8291A">
        <w:rPr>
          <w:rFonts w:ascii="Arial" w:hAnsi="Arial" w:cs="Arial"/>
          <w:sz w:val="24"/>
          <w:szCs w:val="24"/>
        </w:rPr>
        <w:t>to continue to consider default judgments that came before it.</w:t>
      </w:r>
    </w:p>
    <w:p w14:paraId="6E3BCBF2" w14:textId="20BF352A" w:rsidR="00E57AD5"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57AD5" w:rsidRPr="00F8291A">
        <w:rPr>
          <w:rFonts w:ascii="Arial" w:hAnsi="Arial" w:cs="Arial"/>
          <w:sz w:val="24"/>
          <w:szCs w:val="24"/>
        </w:rPr>
        <w:t xml:space="preserve">Van </w:t>
      </w:r>
      <w:r w:rsidR="00A866E1" w:rsidRPr="00F8291A">
        <w:rPr>
          <w:rFonts w:ascii="Arial" w:hAnsi="Arial" w:cs="Arial"/>
          <w:sz w:val="24"/>
          <w:szCs w:val="24"/>
        </w:rPr>
        <w:t>d</w:t>
      </w:r>
      <w:r w:rsidR="00E57AD5" w:rsidRPr="00F8291A">
        <w:rPr>
          <w:rFonts w:ascii="Arial" w:hAnsi="Arial" w:cs="Arial"/>
          <w:sz w:val="24"/>
          <w:szCs w:val="24"/>
        </w:rPr>
        <w:t>er Merwe J during the course of his judgment</w:t>
      </w:r>
      <w:r w:rsidR="004B725A" w:rsidRPr="00F8291A">
        <w:rPr>
          <w:rFonts w:ascii="Arial" w:hAnsi="Arial" w:cs="Arial"/>
          <w:sz w:val="24"/>
          <w:szCs w:val="24"/>
        </w:rPr>
        <w:t xml:space="preserve"> </w:t>
      </w:r>
      <w:r w:rsidR="00975423" w:rsidRPr="00F8291A">
        <w:rPr>
          <w:rFonts w:ascii="Arial" w:hAnsi="Arial" w:cs="Arial"/>
          <w:sz w:val="24"/>
          <w:szCs w:val="24"/>
        </w:rPr>
        <w:t xml:space="preserve">for the full court </w:t>
      </w:r>
      <w:r w:rsidR="00906E17" w:rsidRPr="00F8291A">
        <w:rPr>
          <w:rFonts w:ascii="Arial" w:hAnsi="Arial" w:cs="Arial"/>
          <w:sz w:val="24"/>
          <w:szCs w:val="24"/>
        </w:rPr>
        <w:t xml:space="preserve">referred to </w:t>
      </w:r>
      <w:r w:rsidR="00E57AD5" w:rsidRPr="00F8291A">
        <w:rPr>
          <w:rFonts w:ascii="Arial" w:hAnsi="Arial" w:cs="Arial"/>
          <w:sz w:val="24"/>
          <w:szCs w:val="24"/>
        </w:rPr>
        <w:t>section</w:t>
      </w:r>
      <w:r w:rsidR="002401BC" w:rsidRPr="00F8291A">
        <w:rPr>
          <w:rFonts w:ascii="Arial" w:hAnsi="Arial" w:cs="Arial"/>
          <w:sz w:val="24"/>
          <w:szCs w:val="24"/>
        </w:rPr>
        <w:t> </w:t>
      </w:r>
      <w:r w:rsidR="00E57AD5" w:rsidRPr="00F8291A">
        <w:rPr>
          <w:rFonts w:ascii="Arial" w:hAnsi="Arial" w:cs="Arial"/>
          <w:sz w:val="24"/>
          <w:szCs w:val="24"/>
        </w:rPr>
        <w:t>127(8) and said as follows</w:t>
      </w:r>
      <w:r w:rsidR="00975423" w:rsidRPr="00F8291A">
        <w:rPr>
          <w:rFonts w:ascii="Arial" w:hAnsi="Arial" w:cs="Arial"/>
          <w:sz w:val="24"/>
          <w:szCs w:val="24"/>
        </w:rPr>
        <w:t xml:space="preserve"> at 285B</w:t>
      </w:r>
      <w:r w:rsidR="00E57AD5" w:rsidRPr="00F8291A">
        <w:rPr>
          <w:rFonts w:ascii="Arial" w:hAnsi="Arial" w:cs="Arial"/>
          <w:sz w:val="24"/>
          <w:szCs w:val="24"/>
        </w:rPr>
        <w:t xml:space="preserve">: </w:t>
      </w:r>
    </w:p>
    <w:p w14:paraId="4FACF7A6" w14:textId="35ADFBF2" w:rsidR="00F4190B" w:rsidRDefault="00E57AD5" w:rsidP="0046720F">
      <w:pPr>
        <w:pStyle w:val="Quotation"/>
        <w:tabs>
          <w:tab w:val="clear" w:pos="2127"/>
        </w:tabs>
        <w:ind w:left="1418" w:right="117" w:firstLine="0"/>
      </w:pPr>
      <w:r>
        <w:t xml:space="preserve">“The mechanism of how to surrender the goods is set out in s127. The section does not deal, and was not intended to deal, with the jurisdiction of the High Court or the ousting thereof. Counsel for the </w:t>
      </w:r>
      <w:r w:rsidR="00906E17">
        <w:t>r</w:t>
      </w:r>
      <w:r>
        <w:t xml:space="preserve">egistrar very properly, and correctly so in my judgment, did not support the </w:t>
      </w:r>
      <w:r w:rsidR="004B725A">
        <w:t>r</w:t>
      </w:r>
      <w:r>
        <w:t xml:space="preserve">egistrar’s contention in terms of section 127 of the NCA”.  </w:t>
      </w:r>
      <w:r w:rsidR="00762E72">
        <w:t xml:space="preserve">      </w:t>
      </w:r>
      <w:r w:rsidR="00F4190B">
        <w:t xml:space="preserve"> </w:t>
      </w:r>
    </w:p>
    <w:p w14:paraId="05217FE0" w14:textId="52783EF5" w:rsidR="00E57AD5"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57AD5" w:rsidRPr="00F8291A">
        <w:rPr>
          <w:rFonts w:ascii="Arial" w:hAnsi="Arial" w:cs="Arial"/>
          <w:sz w:val="24"/>
          <w:szCs w:val="24"/>
        </w:rPr>
        <w:t xml:space="preserve">It appears that the </w:t>
      </w:r>
      <w:r w:rsidR="004B725A" w:rsidRPr="00F8291A">
        <w:rPr>
          <w:rFonts w:ascii="Arial" w:hAnsi="Arial" w:cs="Arial"/>
          <w:sz w:val="24"/>
          <w:szCs w:val="24"/>
        </w:rPr>
        <w:t>r</w:t>
      </w:r>
      <w:r w:rsidR="00E57AD5" w:rsidRPr="00F8291A">
        <w:rPr>
          <w:rFonts w:ascii="Arial" w:hAnsi="Arial" w:cs="Arial"/>
          <w:sz w:val="24"/>
          <w:szCs w:val="24"/>
        </w:rPr>
        <w:t xml:space="preserve">egistrar’s contention was that either section 127(8)(a) constituted an ouster of the High Court’s jurisdiction and therefore absolved the </w:t>
      </w:r>
      <w:r w:rsidR="004B725A" w:rsidRPr="00F8291A">
        <w:rPr>
          <w:rFonts w:ascii="Arial" w:hAnsi="Arial" w:cs="Arial"/>
          <w:sz w:val="24"/>
          <w:szCs w:val="24"/>
        </w:rPr>
        <w:t>r</w:t>
      </w:r>
      <w:r w:rsidR="00E57AD5" w:rsidRPr="00F8291A">
        <w:rPr>
          <w:rFonts w:ascii="Arial" w:hAnsi="Arial" w:cs="Arial"/>
          <w:sz w:val="24"/>
          <w:szCs w:val="24"/>
        </w:rPr>
        <w:t xml:space="preserve">egistrar from considering default judgments </w:t>
      </w:r>
      <w:r w:rsidR="00D2294A" w:rsidRPr="00F8291A">
        <w:rPr>
          <w:rFonts w:ascii="Arial" w:hAnsi="Arial" w:cs="Arial"/>
          <w:sz w:val="24"/>
          <w:szCs w:val="24"/>
        </w:rPr>
        <w:t xml:space="preserve">for claims </w:t>
      </w:r>
      <w:r w:rsidR="00E57AD5" w:rsidRPr="00F8291A">
        <w:rPr>
          <w:rFonts w:ascii="Arial" w:hAnsi="Arial" w:cs="Arial"/>
          <w:sz w:val="24"/>
          <w:szCs w:val="24"/>
        </w:rPr>
        <w:t xml:space="preserve">upon that section, or that </w:t>
      </w:r>
      <w:r w:rsidR="00975423" w:rsidRPr="00F8291A">
        <w:rPr>
          <w:rFonts w:ascii="Arial" w:hAnsi="Arial" w:cs="Arial"/>
          <w:sz w:val="24"/>
          <w:szCs w:val="24"/>
        </w:rPr>
        <w:t xml:space="preserve">both </w:t>
      </w:r>
      <w:r w:rsidR="00E57AD5" w:rsidRPr="00F8291A">
        <w:rPr>
          <w:rFonts w:ascii="Arial" w:hAnsi="Arial" w:cs="Arial"/>
          <w:sz w:val="24"/>
          <w:szCs w:val="24"/>
        </w:rPr>
        <w:t xml:space="preserve">the High Court and </w:t>
      </w:r>
      <w:r w:rsidR="004B725A" w:rsidRPr="00F8291A">
        <w:rPr>
          <w:rFonts w:ascii="Arial" w:hAnsi="Arial" w:cs="Arial"/>
          <w:sz w:val="24"/>
          <w:szCs w:val="24"/>
        </w:rPr>
        <w:t>m</w:t>
      </w:r>
      <w:r w:rsidR="00E57AD5" w:rsidRPr="00F8291A">
        <w:rPr>
          <w:rFonts w:ascii="Arial" w:hAnsi="Arial" w:cs="Arial"/>
          <w:sz w:val="24"/>
          <w:szCs w:val="24"/>
        </w:rPr>
        <w:t>agistrates</w:t>
      </w:r>
      <w:r w:rsidR="004B725A" w:rsidRPr="00F8291A">
        <w:rPr>
          <w:rFonts w:ascii="Arial" w:hAnsi="Arial" w:cs="Arial"/>
          <w:sz w:val="24"/>
          <w:szCs w:val="24"/>
        </w:rPr>
        <w:t>’</w:t>
      </w:r>
      <w:r w:rsidR="00E57AD5" w:rsidRPr="00F8291A">
        <w:rPr>
          <w:rFonts w:ascii="Arial" w:hAnsi="Arial" w:cs="Arial"/>
          <w:sz w:val="24"/>
          <w:szCs w:val="24"/>
        </w:rPr>
        <w:t xml:space="preserve"> </w:t>
      </w:r>
      <w:r w:rsidR="004B725A" w:rsidRPr="00F8291A">
        <w:rPr>
          <w:rFonts w:ascii="Arial" w:hAnsi="Arial" w:cs="Arial"/>
          <w:sz w:val="24"/>
          <w:szCs w:val="24"/>
        </w:rPr>
        <w:t>c</w:t>
      </w:r>
      <w:r w:rsidR="00E57AD5" w:rsidRPr="00F8291A">
        <w:rPr>
          <w:rFonts w:ascii="Arial" w:hAnsi="Arial" w:cs="Arial"/>
          <w:sz w:val="24"/>
          <w:szCs w:val="24"/>
        </w:rPr>
        <w:t>ourt</w:t>
      </w:r>
      <w:r w:rsidR="004B725A" w:rsidRPr="00F8291A">
        <w:rPr>
          <w:rFonts w:ascii="Arial" w:hAnsi="Arial" w:cs="Arial"/>
          <w:sz w:val="24"/>
          <w:szCs w:val="24"/>
        </w:rPr>
        <w:t>s</w:t>
      </w:r>
      <w:r w:rsidR="00E57AD5" w:rsidRPr="00F8291A">
        <w:rPr>
          <w:rFonts w:ascii="Arial" w:hAnsi="Arial" w:cs="Arial"/>
          <w:sz w:val="24"/>
          <w:szCs w:val="24"/>
        </w:rPr>
        <w:t xml:space="preserve"> ha</w:t>
      </w:r>
      <w:r w:rsidR="004B725A" w:rsidRPr="00F8291A">
        <w:rPr>
          <w:rFonts w:ascii="Arial" w:hAnsi="Arial" w:cs="Arial"/>
          <w:sz w:val="24"/>
          <w:szCs w:val="24"/>
        </w:rPr>
        <w:t>ve</w:t>
      </w:r>
      <w:r w:rsidR="00E57AD5" w:rsidRPr="00F8291A">
        <w:rPr>
          <w:rFonts w:ascii="Arial" w:hAnsi="Arial" w:cs="Arial"/>
          <w:sz w:val="24"/>
          <w:szCs w:val="24"/>
        </w:rPr>
        <w:t xml:space="preserve"> jurisdiction and that the High Court must direct that the matters instead go to the </w:t>
      </w:r>
      <w:r w:rsidR="004B725A" w:rsidRPr="00F8291A">
        <w:rPr>
          <w:rFonts w:ascii="Arial" w:hAnsi="Arial" w:cs="Arial"/>
          <w:sz w:val="24"/>
          <w:szCs w:val="24"/>
        </w:rPr>
        <w:t>m</w:t>
      </w:r>
      <w:r w:rsidR="00E57AD5" w:rsidRPr="00F8291A">
        <w:rPr>
          <w:rFonts w:ascii="Arial" w:hAnsi="Arial" w:cs="Arial"/>
          <w:sz w:val="24"/>
          <w:szCs w:val="24"/>
        </w:rPr>
        <w:t>agistrates</w:t>
      </w:r>
      <w:r w:rsidR="004B725A" w:rsidRPr="00F8291A">
        <w:rPr>
          <w:rFonts w:ascii="Arial" w:hAnsi="Arial" w:cs="Arial"/>
          <w:sz w:val="24"/>
          <w:szCs w:val="24"/>
        </w:rPr>
        <w:t>’</w:t>
      </w:r>
      <w:r w:rsidR="00E57AD5" w:rsidRPr="00F8291A">
        <w:rPr>
          <w:rFonts w:ascii="Arial" w:hAnsi="Arial" w:cs="Arial"/>
          <w:sz w:val="24"/>
          <w:szCs w:val="24"/>
        </w:rPr>
        <w:t xml:space="preserve"> </w:t>
      </w:r>
      <w:r w:rsidR="004B725A" w:rsidRPr="00F8291A">
        <w:rPr>
          <w:rFonts w:ascii="Arial" w:hAnsi="Arial" w:cs="Arial"/>
          <w:sz w:val="24"/>
          <w:szCs w:val="24"/>
        </w:rPr>
        <w:t>c</w:t>
      </w:r>
      <w:r w:rsidR="00E57AD5" w:rsidRPr="00F8291A">
        <w:rPr>
          <w:rFonts w:ascii="Arial" w:hAnsi="Arial" w:cs="Arial"/>
          <w:sz w:val="24"/>
          <w:szCs w:val="24"/>
        </w:rPr>
        <w:t>ourt</w:t>
      </w:r>
      <w:r w:rsidR="004B725A" w:rsidRPr="00F8291A">
        <w:rPr>
          <w:rFonts w:ascii="Arial" w:hAnsi="Arial" w:cs="Arial"/>
          <w:sz w:val="24"/>
          <w:szCs w:val="24"/>
        </w:rPr>
        <w:t>s</w:t>
      </w:r>
      <w:r w:rsidR="00E57AD5" w:rsidRPr="00F8291A">
        <w:rPr>
          <w:rFonts w:ascii="Arial" w:hAnsi="Arial" w:cs="Arial"/>
          <w:sz w:val="24"/>
          <w:szCs w:val="24"/>
        </w:rPr>
        <w:t>.</w:t>
      </w:r>
    </w:p>
    <w:p w14:paraId="30868BE2" w14:textId="49145809" w:rsidR="00E57AD5"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E57AD5" w:rsidRPr="00F8291A">
        <w:rPr>
          <w:rFonts w:ascii="Arial" w:hAnsi="Arial" w:cs="Arial"/>
          <w:sz w:val="24"/>
          <w:szCs w:val="24"/>
        </w:rPr>
        <w:t xml:space="preserve">While what was said by Van </w:t>
      </w:r>
      <w:proofErr w:type="gramStart"/>
      <w:r w:rsidR="00E57AD5" w:rsidRPr="00F8291A">
        <w:rPr>
          <w:rFonts w:ascii="Arial" w:hAnsi="Arial" w:cs="Arial"/>
          <w:sz w:val="24"/>
          <w:szCs w:val="24"/>
        </w:rPr>
        <w:t>Der</w:t>
      </w:r>
      <w:proofErr w:type="gramEnd"/>
      <w:r w:rsidR="00E57AD5" w:rsidRPr="00F8291A">
        <w:rPr>
          <w:rFonts w:ascii="Arial" w:hAnsi="Arial" w:cs="Arial"/>
          <w:sz w:val="24"/>
          <w:szCs w:val="24"/>
        </w:rPr>
        <w:t xml:space="preserve"> Merwe J can be understood</w:t>
      </w:r>
      <w:r w:rsidR="004B725A" w:rsidRPr="00F8291A">
        <w:rPr>
          <w:rFonts w:ascii="Arial" w:hAnsi="Arial" w:cs="Arial"/>
          <w:sz w:val="24"/>
          <w:szCs w:val="24"/>
        </w:rPr>
        <w:t xml:space="preserve"> to be </w:t>
      </w:r>
      <w:r w:rsidR="00E57AD5" w:rsidRPr="00F8291A">
        <w:rPr>
          <w:rFonts w:ascii="Arial" w:hAnsi="Arial" w:cs="Arial"/>
          <w:sz w:val="24"/>
          <w:szCs w:val="24"/>
        </w:rPr>
        <w:t xml:space="preserve">that section 127(8)(a) does not oust the High Court’s jurisdiction and so, it must follow, that section 127(8)(a) does not confer exclusive jurisdiction on the </w:t>
      </w:r>
      <w:r w:rsidR="004B725A" w:rsidRPr="00F8291A">
        <w:rPr>
          <w:rFonts w:ascii="Arial" w:hAnsi="Arial" w:cs="Arial"/>
          <w:sz w:val="24"/>
          <w:szCs w:val="24"/>
        </w:rPr>
        <w:t>magistrates’ courts</w:t>
      </w:r>
      <w:r w:rsidR="00E57AD5" w:rsidRPr="00F8291A">
        <w:rPr>
          <w:rFonts w:ascii="Arial" w:hAnsi="Arial" w:cs="Arial"/>
          <w:sz w:val="24"/>
          <w:szCs w:val="24"/>
        </w:rPr>
        <w:t>, th</w:t>
      </w:r>
      <w:r w:rsidR="004C10D0" w:rsidRPr="00F8291A">
        <w:rPr>
          <w:rFonts w:ascii="Arial" w:hAnsi="Arial" w:cs="Arial"/>
          <w:sz w:val="24"/>
          <w:szCs w:val="24"/>
        </w:rPr>
        <w:t>at</w:t>
      </w:r>
      <w:r w:rsidR="00E57AD5" w:rsidRPr="00F8291A">
        <w:rPr>
          <w:rFonts w:ascii="Arial" w:hAnsi="Arial" w:cs="Arial"/>
          <w:sz w:val="24"/>
          <w:szCs w:val="24"/>
        </w:rPr>
        <w:t xml:space="preserve"> </w:t>
      </w:r>
      <w:r w:rsidR="00D2294A" w:rsidRPr="00F8291A">
        <w:rPr>
          <w:rFonts w:ascii="Arial" w:hAnsi="Arial" w:cs="Arial"/>
          <w:sz w:val="24"/>
          <w:szCs w:val="24"/>
        </w:rPr>
        <w:t>was not an issue</w:t>
      </w:r>
      <w:r w:rsidR="00E57AD5" w:rsidRPr="00F8291A">
        <w:rPr>
          <w:rFonts w:ascii="Arial" w:hAnsi="Arial" w:cs="Arial"/>
          <w:sz w:val="24"/>
          <w:szCs w:val="24"/>
        </w:rPr>
        <w:t xml:space="preserve"> before </w:t>
      </w:r>
      <w:r w:rsidR="00D2294A" w:rsidRPr="00F8291A">
        <w:rPr>
          <w:rFonts w:ascii="Arial" w:hAnsi="Arial" w:cs="Arial"/>
          <w:sz w:val="24"/>
          <w:szCs w:val="24"/>
        </w:rPr>
        <w:t xml:space="preserve">the </w:t>
      </w:r>
      <w:r w:rsidR="00F80AAE" w:rsidRPr="00F8291A">
        <w:rPr>
          <w:rFonts w:ascii="Arial" w:hAnsi="Arial" w:cs="Arial"/>
          <w:sz w:val="24"/>
          <w:szCs w:val="24"/>
        </w:rPr>
        <w:t xml:space="preserve">full </w:t>
      </w:r>
      <w:r w:rsidR="00D2294A" w:rsidRPr="00F8291A">
        <w:rPr>
          <w:rFonts w:ascii="Arial" w:hAnsi="Arial" w:cs="Arial"/>
          <w:sz w:val="24"/>
          <w:szCs w:val="24"/>
        </w:rPr>
        <w:t xml:space="preserve">court </w:t>
      </w:r>
      <w:r w:rsidR="006963E6" w:rsidRPr="00F8291A">
        <w:rPr>
          <w:rFonts w:ascii="Arial" w:hAnsi="Arial" w:cs="Arial"/>
          <w:sz w:val="24"/>
          <w:szCs w:val="24"/>
        </w:rPr>
        <w:t>in relation to the actual matters before it</w:t>
      </w:r>
      <w:r w:rsidR="00E57AD5" w:rsidRPr="00F8291A">
        <w:rPr>
          <w:rFonts w:ascii="Arial" w:hAnsi="Arial" w:cs="Arial"/>
          <w:sz w:val="24"/>
          <w:szCs w:val="24"/>
        </w:rPr>
        <w:t xml:space="preserve">. </w:t>
      </w:r>
    </w:p>
    <w:p w14:paraId="1AC714E0" w14:textId="374A1C97" w:rsidR="00D2294A"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2294A" w:rsidRPr="00F8291A">
        <w:rPr>
          <w:rFonts w:ascii="Arial" w:hAnsi="Arial" w:cs="Arial"/>
          <w:sz w:val="24"/>
          <w:szCs w:val="24"/>
        </w:rPr>
        <w:t>The</w:t>
      </w:r>
      <w:r w:rsidR="00E57AD5" w:rsidRPr="00F8291A">
        <w:rPr>
          <w:rFonts w:ascii="Arial" w:hAnsi="Arial" w:cs="Arial"/>
          <w:sz w:val="24"/>
          <w:szCs w:val="24"/>
        </w:rPr>
        <w:t xml:space="preserve"> two matters that were referred to the full court did not relate to </w:t>
      </w:r>
      <w:r w:rsidR="00D2294A" w:rsidRPr="00F8291A">
        <w:rPr>
          <w:rFonts w:ascii="Arial" w:hAnsi="Arial" w:cs="Arial"/>
          <w:sz w:val="24"/>
          <w:szCs w:val="24"/>
        </w:rPr>
        <w:t xml:space="preserve">shortfalls under credit agreements falling within the ambit </w:t>
      </w:r>
      <w:r w:rsidR="00E57AD5" w:rsidRPr="00F8291A">
        <w:rPr>
          <w:rFonts w:ascii="Arial" w:hAnsi="Arial" w:cs="Arial"/>
          <w:sz w:val="24"/>
          <w:szCs w:val="24"/>
        </w:rPr>
        <w:t xml:space="preserve">of section 127(8) </w:t>
      </w:r>
      <w:r w:rsidR="00D2294A" w:rsidRPr="00F8291A">
        <w:rPr>
          <w:rFonts w:ascii="Arial" w:hAnsi="Arial" w:cs="Arial"/>
          <w:sz w:val="24"/>
          <w:szCs w:val="24"/>
        </w:rPr>
        <w:t>where goods had been voluntarily surrendered</w:t>
      </w:r>
      <w:r w:rsidR="00B50939" w:rsidRPr="00F8291A">
        <w:rPr>
          <w:rFonts w:ascii="Arial" w:hAnsi="Arial" w:cs="Arial"/>
          <w:sz w:val="24"/>
          <w:szCs w:val="24"/>
        </w:rPr>
        <w:t xml:space="preserve">.  The </w:t>
      </w:r>
      <w:proofErr w:type="gramStart"/>
      <w:r w:rsidR="00B50939" w:rsidRPr="00F8291A">
        <w:rPr>
          <w:rFonts w:ascii="Arial" w:hAnsi="Arial" w:cs="Arial"/>
          <w:sz w:val="24"/>
          <w:szCs w:val="24"/>
        </w:rPr>
        <w:t xml:space="preserve">matters </w:t>
      </w:r>
      <w:r w:rsidR="00E57AD5" w:rsidRPr="00F8291A">
        <w:rPr>
          <w:rFonts w:ascii="Arial" w:hAnsi="Arial" w:cs="Arial"/>
          <w:sz w:val="24"/>
          <w:szCs w:val="24"/>
        </w:rPr>
        <w:t xml:space="preserve"> were</w:t>
      </w:r>
      <w:proofErr w:type="gramEnd"/>
      <w:r w:rsidR="00E57AD5" w:rsidRPr="00F8291A">
        <w:rPr>
          <w:rFonts w:ascii="Arial" w:hAnsi="Arial" w:cs="Arial"/>
          <w:sz w:val="24"/>
          <w:szCs w:val="24"/>
        </w:rPr>
        <w:t xml:space="preserve"> for</w:t>
      </w:r>
      <w:r w:rsidR="002401BC" w:rsidRPr="00F8291A">
        <w:rPr>
          <w:rFonts w:ascii="Arial" w:hAnsi="Arial" w:cs="Arial"/>
          <w:sz w:val="24"/>
          <w:szCs w:val="24"/>
        </w:rPr>
        <w:t xml:space="preserve"> </w:t>
      </w:r>
      <w:r w:rsidR="00E57AD5" w:rsidRPr="00F8291A">
        <w:rPr>
          <w:rFonts w:ascii="Arial" w:hAnsi="Arial" w:cs="Arial"/>
          <w:sz w:val="24"/>
          <w:szCs w:val="24"/>
        </w:rPr>
        <w:t xml:space="preserve">judgment in terms of credit agreements where orders were sought declaring immovable property executable. Those </w:t>
      </w:r>
      <w:r w:rsidR="00975423" w:rsidRPr="00F8291A">
        <w:rPr>
          <w:rFonts w:ascii="Arial" w:hAnsi="Arial" w:cs="Arial"/>
          <w:sz w:val="24"/>
          <w:szCs w:val="24"/>
        </w:rPr>
        <w:t>were not</w:t>
      </w:r>
      <w:r w:rsidR="00E57AD5" w:rsidRPr="00F8291A">
        <w:rPr>
          <w:rFonts w:ascii="Arial" w:hAnsi="Arial" w:cs="Arial"/>
          <w:sz w:val="24"/>
          <w:szCs w:val="24"/>
        </w:rPr>
        <w:t xml:space="preserve"> </w:t>
      </w:r>
      <w:r w:rsidR="00CD44AB" w:rsidRPr="00F8291A">
        <w:rPr>
          <w:rFonts w:ascii="Arial" w:hAnsi="Arial" w:cs="Arial"/>
          <w:sz w:val="24"/>
          <w:szCs w:val="24"/>
        </w:rPr>
        <w:t>claims</w:t>
      </w:r>
      <w:r w:rsidR="00E57AD5" w:rsidRPr="00F8291A">
        <w:rPr>
          <w:rFonts w:ascii="Arial" w:hAnsi="Arial" w:cs="Arial"/>
          <w:sz w:val="24"/>
          <w:szCs w:val="24"/>
        </w:rPr>
        <w:t xml:space="preserve"> that fall within the ambit of section 127</w:t>
      </w:r>
      <w:r w:rsidR="00D2294A" w:rsidRPr="00F8291A">
        <w:rPr>
          <w:rFonts w:ascii="Arial" w:hAnsi="Arial" w:cs="Arial"/>
          <w:sz w:val="24"/>
          <w:szCs w:val="24"/>
        </w:rPr>
        <w:t>(8).</w:t>
      </w:r>
      <w:r w:rsidR="00CD44AB" w:rsidRPr="00F8291A">
        <w:rPr>
          <w:rFonts w:ascii="Arial" w:hAnsi="Arial" w:cs="Arial"/>
          <w:sz w:val="24"/>
          <w:szCs w:val="24"/>
        </w:rPr>
        <w:t xml:space="preserve"> </w:t>
      </w:r>
      <w:r w:rsidR="00525547" w:rsidRPr="00F8291A">
        <w:rPr>
          <w:rFonts w:ascii="Arial" w:hAnsi="Arial" w:cs="Arial"/>
          <w:sz w:val="24"/>
          <w:szCs w:val="24"/>
        </w:rPr>
        <w:t>It</w:t>
      </w:r>
      <w:r w:rsidR="00CD44AB" w:rsidRPr="00F8291A">
        <w:rPr>
          <w:rFonts w:ascii="Arial" w:hAnsi="Arial" w:cs="Arial"/>
          <w:sz w:val="24"/>
          <w:szCs w:val="24"/>
        </w:rPr>
        <w:t xml:space="preserve"> was unnecessary for the full court to make any findings in relation to section 127(8) in order to reach its decision that the High Court had concurrent jurisdiction in relation to the two matters before it, and so </w:t>
      </w:r>
      <w:r w:rsidR="00975423" w:rsidRPr="00F8291A">
        <w:rPr>
          <w:rFonts w:ascii="Arial" w:hAnsi="Arial" w:cs="Arial"/>
          <w:sz w:val="24"/>
          <w:szCs w:val="24"/>
        </w:rPr>
        <w:t>that the</w:t>
      </w:r>
      <w:r w:rsidR="00CD44AB" w:rsidRPr="00F8291A">
        <w:rPr>
          <w:rFonts w:ascii="Arial" w:hAnsi="Arial" w:cs="Arial"/>
          <w:sz w:val="24"/>
          <w:szCs w:val="24"/>
        </w:rPr>
        <w:t xml:space="preserve"> High Court was obliged to hear such matters.</w:t>
      </w:r>
      <w:r w:rsidR="006963E6" w:rsidRPr="00F8291A">
        <w:rPr>
          <w:rFonts w:ascii="Arial" w:hAnsi="Arial" w:cs="Arial"/>
          <w:sz w:val="24"/>
          <w:szCs w:val="24"/>
        </w:rPr>
        <w:t xml:space="preserve"> It follows that </w:t>
      </w:r>
      <w:r w:rsidR="00975423" w:rsidRPr="00F8291A">
        <w:rPr>
          <w:rFonts w:ascii="Arial" w:hAnsi="Arial" w:cs="Arial"/>
          <w:sz w:val="24"/>
          <w:szCs w:val="24"/>
        </w:rPr>
        <w:t>the full court’s</w:t>
      </w:r>
      <w:r w:rsidR="006963E6" w:rsidRPr="00F8291A">
        <w:rPr>
          <w:rFonts w:ascii="Arial" w:hAnsi="Arial" w:cs="Arial"/>
          <w:sz w:val="24"/>
          <w:szCs w:val="24"/>
        </w:rPr>
        <w:t xml:space="preserve"> statements in relation to section 127(8) are </w:t>
      </w:r>
      <w:r w:rsidR="006963E6" w:rsidRPr="00F8291A">
        <w:rPr>
          <w:rFonts w:ascii="Arial" w:hAnsi="Arial" w:cs="Arial"/>
          <w:i/>
          <w:iCs/>
          <w:sz w:val="24"/>
          <w:szCs w:val="24"/>
        </w:rPr>
        <w:t>obiter</w:t>
      </w:r>
      <w:r w:rsidR="006963E6" w:rsidRPr="00F8291A">
        <w:rPr>
          <w:rFonts w:ascii="Arial" w:hAnsi="Arial" w:cs="Arial"/>
          <w:sz w:val="24"/>
          <w:szCs w:val="24"/>
        </w:rPr>
        <w:t>.</w:t>
      </w:r>
      <w:r w:rsidR="006963E6">
        <w:rPr>
          <w:rStyle w:val="FootnoteReference"/>
          <w:rFonts w:ascii="Arial" w:hAnsi="Arial" w:cs="Arial"/>
          <w:sz w:val="24"/>
          <w:szCs w:val="24"/>
        </w:rPr>
        <w:footnoteReference w:id="4"/>
      </w:r>
    </w:p>
    <w:p w14:paraId="39CEFFE2" w14:textId="0BEB5389" w:rsidR="00E57AD5" w:rsidRPr="00F8291A" w:rsidRDefault="00F8291A" w:rsidP="00F8291A">
      <w:pPr>
        <w:spacing w:before="360" w:after="360" w:line="480" w:lineRule="auto"/>
        <w:ind w:left="624" w:right="117" w:hanging="624"/>
        <w:jc w:val="both"/>
        <w:rPr>
          <w:rFonts w:ascii="Arial" w:hAnsi="Arial" w:cs="Arial"/>
          <w:sz w:val="24"/>
          <w:szCs w:val="24"/>
        </w:rPr>
      </w:pPr>
      <w:r w:rsidRPr="00980001">
        <w:rPr>
          <w:rFonts w:ascii="Arial" w:hAnsi="Arial" w:cs="Arial"/>
          <w:sz w:val="24"/>
          <w:szCs w:val="24"/>
        </w:rPr>
        <w:t>19.</w:t>
      </w:r>
      <w:r w:rsidRPr="00980001">
        <w:rPr>
          <w:rFonts w:ascii="Arial" w:hAnsi="Arial" w:cs="Arial"/>
          <w:sz w:val="24"/>
          <w:szCs w:val="24"/>
        </w:rPr>
        <w:tab/>
      </w:r>
      <w:r w:rsidR="00980001" w:rsidRPr="00F8291A">
        <w:rPr>
          <w:rFonts w:ascii="Arial" w:hAnsi="Arial" w:cs="Arial"/>
          <w:sz w:val="24"/>
          <w:szCs w:val="24"/>
        </w:rPr>
        <w:t>So too</w:t>
      </w:r>
      <w:r w:rsidR="00E57AD5" w:rsidRPr="00F8291A">
        <w:rPr>
          <w:rFonts w:ascii="Arial" w:hAnsi="Arial" w:cs="Arial"/>
          <w:sz w:val="24"/>
          <w:szCs w:val="24"/>
        </w:rPr>
        <w:t xml:space="preserve"> the judgment of Bertelsmann J in </w:t>
      </w:r>
      <w:r w:rsidR="00E57AD5" w:rsidRPr="00F8291A">
        <w:rPr>
          <w:rFonts w:ascii="Arial" w:hAnsi="Arial" w:cs="Arial"/>
          <w:i/>
          <w:iCs/>
          <w:sz w:val="24"/>
          <w:szCs w:val="24"/>
        </w:rPr>
        <w:t xml:space="preserve">ABSA Bank Ltd v </w:t>
      </w:r>
      <w:proofErr w:type="spellStart"/>
      <w:r w:rsidR="00E57AD5" w:rsidRPr="00F8291A">
        <w:rPr>
          <w:rFonts w:ascii="Arial" w:hAnsi="Arial" w:cs="Arial"/>
          <w:i/>
          <w:iCs/>
          <w:sz w:val="24"/>
          <w:szCs w:val="24"/>
        </w:rPr>
        <w:t>Myburgh</w:t>
      </w:r>
      <w:proofErr w:type="spellEnd"/>
      <w:r w:rsidR="0030254B" w:rsidRPr="00F8291A">
        <w:rPr>
          <w:rFonts w:ascii="Arial" w:hAnsi="Arial" w:cs="Arial"/>
          <w:sz w:val="24"/>
          <w:szCs w:val="24"/>
        </w:rPr>
        <w:t xml:space="preserve"> 2009 (3) SA 340 (T)</w:t>
      </w:r>
      <w:r w:rsidR="00D2294A" w:rsidRPr="00F8291A">
        <w:rPr>
          <w:rFonts w:ascii="Arial" w:hAnsi="Arial" w:cs="Arial"/>
          <w:i/>
          <w:iCs/>
          <w:sz w:val="24"/>
          <w:szCs w:val="24"/>
        </w:rPr>
        <w:t>,</w:t>
      </w:r>
      <w:r w:rsidR="00E57AD5" w:rsidRPr="00F8291A">
        <w:rPr>
          <w:rFonts w:ascii="Arial" w:hAnsi="Arial" w:cs="Arial"/>
          <w:i/>
          <w:iCs/>
          <w:sz w:val="24"/>
          <w:szCs w:val="24"/>
        </w:rPr>
        <w:t xml:space="preserve"> </w:t>
      </w:r>
      <w:r w:rsidR="009E073D" w:rsidRPr="00F8291A">
        <w:rPr>
          <w:rFonts w:ascii="Arial" w:hAnsi="Arial" w:cs="Arial"/>
          <w:sz w:val="24"/>
          <w:szCs w:val="24"/>
        </w:rPr>
        <w:t>referred to</w:t>
      </w:r>
      <w:r w:rsidR="0030254B" w:rsidRPr="00F8291A">
        <w:rPr>
          <w:rFonts w:ascii="Arial" w:hAnsi="Arial" w:cs="Arial"/>
          <w:sz w:val="24"/>
          <w:szCs w:val="24"/>
        </w:rPr>
        <w:t>, but not followed,</w:t>
      </w:r>
      <w:r w:rsidR="00E57AD5" w:rsidRPr="00F8291A">
        <w:rPr>
          <w:rFonts w:ascii="Arial" w:hAnsi="Arial" w:cs="Arial"/>
          <w:sz w:val="24"/>
          <w:szCs w:val="24"/>
        </w:rPr>
        <w:t xml:space="preserve"> during the course </w:t>
      </w:r>
      <w:r w:rsidR="00D2294A" w:rsidRPr="00F8291A">
        <w:rPr>
          <w:rFonts w:ascii="Arial" w:hAnsi="Arial" w:cs="Arial"/>
          <w:sz w:val="24"/>
          <w:szCs w:val="24"/>
        </w:rPr>
        <w:t xml:space="preserve">of </w:t>
      </w:r>
      <w:proofErr w:type="spellStart"/>
      <w:r w:rsidR="00D2294A" w:rsidRPr="00F8291A">
        <w:rPr>
          <w:rFonts w:ascii="Arial" w:hAnsi="Arial" w:cs="Arial"/>
          <w:i/>
          <w:iCs/>
          <w:sz w:val="24"/>
          <w:szCs w:val="24"/>
        </w:rPr>
        <w:t>Mateman</w:t>
      </w:r>
      <w:proofErr w:type="spellEnd"/>
      <w:r w:rsidR="00980001" w:rsidRPr="00F8291A">
        <w:rPr>
          <w:rFonts w:ascii="Arial" w:hAnsi="Arial" w:cs="Arial"/>
          <w:sz w:val="24"/>
          <w:szCs w:val="24"/>
        </w:rPr>
        <w:t>,</w:t>
      </w:r>
      <w:r w:rsidR="00E57AD5" w:rsidRPr="00F8291A">
        <w:rPr>
          <w:rFonts w:ascii="Arial" w:hAnsi="Arial" w:cs="Arial"/>
          <w:sz w:val="24"/>
          <w:szCs w:val="24"/>
        </w:rPr>
        <w:t xml:space="preserve"> </w:t>
      </w:r>
      <w:r w:rsidR="00980001" w:rsidRPr="00F8291A">
        <w:rPr>
          <w:rFonts w:ascii="Arial" w:hAnsi="Arial" w:cs="Arial"/>
          <w:sz w:val="24"/>
          <w:szCs w:val="24"/>
        </w:rPr>
        <w:t>was not concerned with a claim falling within the ambit of section 127(8) in that no averments were made that the goods had been voluntarily surrendered, or</w:t>
      </w:r>
      <w:r w:rsidR="009E073D" w:rsidRPr="00F8291A">
        <w:rPr>
          <w:rFonts w:ascii="Arial" w:hAnsi="Arial" w:cs="Arial"/>
          <w:sz w:val="24"/>
          <w:szCs w:val="24"/>
        </w:rPr>
        <w:t xml:space="preserve"> </w:t>
      </w:r>
      <w:r w:rsidR="00980001" w:rsidRPr="00F8291A">
        <w:rPr>
          <w:rFonts w:ascii="Arial" w:hAnsi="Arial" w:cs="Arial"/>
          <w:sz w:val="24"/>
          <w:szCs w:val="24"/>
        </w:rPr>
        <w:t>repossessed.</w:t>
      </w:r>
      <w:r w:rsidR="009E073D">
        <w:rPr>
          <w:rStyle w:val="FootnoteReference"/>
          <w:rFonts w:ascii="Arial" w:hAnsi="Arial" w:cs="Arial"/>
          <w:sz w:val="24"/>
          <w:szCs w:val="24"/>
        </w:rPr>
        <w:footnoteReference w:id="5"/>
      </w:r>
    </w:p>
    <w:p w14:paraId="3DEC0198" w14:textId="2C3BD0A0" w:rsidR="009E073D" w:rsidRPr="00F8291A" w:rsidRDefault="00F8291A" w:rsidP="00F8291A">
      <w:pPr>
        <w:spacing w:before="360" w:after="360" w:line="480" w:lineRule="auto"/>
        <w:ind w:left="624" w:right="117" w:hanging="624"/>
        <w:jc w:val="both"/>
        <w:rPr>
          <w:rFonts w:ascii="Arial" w:hAnsi="Arial" w:cs="Arial"/>
          <w:sz w:val="24"/>
          <w:szCs w:val="24"/>
        </w:rPr>
      </w:pPr>
      <w:r w:rsidRPr="007315E4">
        <w:rPr>
          <w:rFonts w:ascii="Arial" w:hAnsi="Arial" w:cs="Arial"/>
          <w:sz w:val="24"/>
          <w:szCs w:val="24"/>
        </w:rPr>
        <w:lastRenderedPageBreak/>
        <w:t>20.</w:t>
      </w:r>
      <w:r w:rsidRPr="007315E4">
        <w:rPr>
          <w:rFonts w:ascii="Arial" w:hAnsi="Arial" w:cs="Arial"/>
          <w:sz w:val="24"/>
          <w:szCs w:val="24"/>
        </w:rPr>
        <w:tab/>
      </w:r>
      <w:r w:rsidR="009E073D" w:rsidRPr="00F8291A">
        <w:rPr>
          <w:rFonts w:ascii="Arial" w:hAnsi="Arial" w:cs="Arial"/>
          <w:sz w:val="24"/>
          <w:szCs w:val="24"/>
        </w:rPr>
        <w:t xml:space="preserve">The subsequent judgments that refer to </w:t>
      </w:r>
      <w:proofErr w:type="spellStart"/>
      <w:r w:rsidR="009E073D" w:rsidRPr="00F8291A">
        <w:rPr>
          <w:rFonts w:ascii="Arial" w:hAnsi="Arial" w:cs="Arial"/>
          <w:i/>
          <w:iCs/>
          <w:sz w:val="24"/>
          <w:szCs w:val="24"/>
        </w:rPr>
        <w:t>Mateman</w:t>
      </w:r>
      <w:proofErr w:type="spellEnd"/>
      <w:r w:rsidR="009E073D" w:rsidRPr="00F8291A">
        <w:rPr>
          <w:rFonts w:ascii="Arial" w:hAnsi="Arial" w:cs="Arial"/>
          <w:i/>
          <w:iCs/>
          <w:sz w:val="24"/>
          <w:szCs w:val="24"/>
        </w:rPr>
        <w:t xml:space="preserve"> </w:t>
      </w:r>
      <w:r w:rsidR="009E073D" w:rsidRPr="00F8291A">
        <w:rPr>
          <w:rFonts w:ascii="Arial" w:hAnsi="Arial" w:cs="Arial"/>
          <w:sz w:val="24"/>
          <w:szCs w:val="24"/>
        </w:rPr>
        <w:t>with approval</w:t>
      </w:r>
      <w:r w:rsidR="007315E4" w:rsidRPr="00F8291A">
        <w:rPr>
          <w:rFonts w:ascii="Arial" w:hAnsi="Arial" w:cs="Arial"/>
          <w:sz w:val="24"/>
          <w:szCs w:val="24"/>
        </w:rPr>
        <w:t xml:space="preserve">, </w:t>
      </w:r>
      <w:r w:rsidR="009E073D" w:rsidRPr="00F8291A">
        <w:rPr>
          <w:rFonts w:ascii="Arial" w:hAnsi="Arial" w:cs="Arial"/>
          <w:sz w:val="24"/>
          <w:szCs w:val="24"/>
        </w:rPr>
        <w:t>do so</w:t>
      </w:r>
      <w:r w:rsidR="007315E4" w:rsidRPr="00F8291A">
        <w:rPr>
          <w:rFonts w:ascii="Arial" w:hAnsi="Arial" w:cs="Arial"/>
          <w:sz w:val="24"/>
          <w:szCs w:val="24"/>
        </w:rPr>
        <w:t xml:space="preserve"> in relation to its </w:t>
      </w:r>
      <w:proofErr w:type="spellStart"/>
      <w:r w:rsidR="007315E4" w:rsidRPr="00F8291A">
        <w:rPr>
          <w:rFonts w:ascii="Arial" w:hAnsi="Arial" w:cs="Arial"/>
          <w:i/>
          <w:iCs/>
          <w:sz w:val="24"/>
          <w:szCs w:val="24"/>
        </w:rPr>
        <w:t>ratio</w:t>
      </w:r>
      <w:r w:rsidR="00C73CC7" w:rsidRPr="00F8291A">
        <w:rPr>
          <w:rFonts w:ascii="Arial" w:hAnsi="Arial" w:cs="Arial"/>
          <w:i/>
          <w:iCs/>
          <w:sz w:val="24"/>
          <w:szCs w:val="24"/>
        </w:rPr>
        <w:t>nes</w:t>
      </w:r>
      <w:proofErr w:type="spellEnd"/>
      <w:r w:rsidR="007315E4" w:rsidRPr="00F8291A">
        <w:rPr>
          <w:rFonts w:ascii="Arial" w:hAnsi="Arial" w:cs="Arial"/>
          <w:i/>
          <w:iCs/>
          <w:sz w:val="24"/>
          <w:szCs w:val="24"/>
        </w:rPr>
        <w:t xml:space="preserve"> </w:t>
      </w:r>
      <w:proofErr w:type="spellStart"/>
      <w:r w:rsidR="007315E4" w:rsidRPr="00F8291A">
        <w:rPr>
          <w:rFonts w:ascii="Arial" w:hAnsi="Arial" w:cs="Arial"/>
          <w:i/>
          <w:iCs/>
          <w:sz w:val="24"/>
          <w:szCs w:val="24"/>
        </w:rPr>
        <w:t>decidendi</w:t>
      </w:r>
      <w:proofErr w:type="spellEnd"/>
      <w:r w:rsidR="007315E4" w:rsidRPr="00F8291A">
        <w:rPr>
          <w:rFonts w:ascii="Arial" w:hAnsi="Arial" w:cs="Arial"/>
          <w:sz w:val="24"/>
          <w:szCs w:val="24"/>
        </w:rPr>
        <w:t xml:space="preserve"> that </w:t>
      </w:r>
      <w:r w:rsidR="009E073D" w:rsidRPr="00F8291A">
        <w:rPr>
          <w:rFonts w:ascii="Arial" w:hAnsi="Arial" w:cs="Arial"/>
          <w:sz w:val="24"/>
          <w:szCs w:val="24"/>
        </w:rPr>
        <w:t>where a High Court has jurisdiction, it cannot</w:t>
      </w:r>
      <w:r w:rsidR="007315E4" w:rsidRPr="00F8291A">
        <w:rPr>
          <w:rFonts w:ascii="Arial" w:hAnsi="Arial" w:cs="Arial"/>
          <w:sz w:val="24"/>
          <w:szCs w:val="24"/>
        </w:rPr>
        <w:t xml:space="preserve"> </w:t>
      </w:r>
      <w:r w:rsidR="009E073D" w:rsidRPr="00F8291A">
        <w:rPr>
          <w:rFonts w:ascii="Arial" w:hAnsi="Arial" w:cs="Arial"/>
          <w:sz w:val="24"/>
          <w:szCs w:val="24"/>
        </w:rPr>
        <w:t xml:space="preserve"> decline</w:t>
      </w:r>
      <w:r w:rsidR="007315E4" w:rsidRPr="00F8291A">
        <w:rPr>
          <w:rFonts w:ascii="Arial" w:hAnsi="Arial" w:cs="Arial"/>
          <w:sz w:val="24"/>
          <w:szCs w:val="24"/>
        </w:rPr>
        <w:t xml:space="preserve"> </w:t>
      </w:r>
      <w:r w:rsidR="009E073D" w:rsidRPr="00F8291A">
        <w:rPr>
          <w:rFonts w:ascii="Arial" w:hAnsi="Arial" w:cs="Arial"/>
          <w:sz w:val="24"/>
          <w:szCs w:val="24"/>
        </w:rPr>
        <w:t>to exercise that jurisdiction</w:t>
      </w:r>
      <w:r w:rsidR="001C0231">
        <w:rPr>
          <w:rStyle w:val="FootnoteReference"/>
          <w:rFonts w:ascii="Arial" w:hAnsi="Arial" w:cs="Arial"/>
          <w:sz w:val="24"/>
          <w:szCs w:val="24"/>
        </w:rPr>
        <w:footnoteReference w:id="6"/>
      </w:r>
      <w:r w:rsidR="001C0231" w:rsidRPr="00F8291A">
        <w:rPr>
          <w:rFonts w:ascii="Arial" w:hAnsi="Arial" w:cs="Arial"/>
          <w:sz w:val="24"/>
          <w:szCs w:val="24"/>
        </w:rPr>
        <w:t xml:space="preserve"> and that there is no general ouster of the High Court’s jurisdiction in the NCA</w:t>
      </w:r>
      <w:r w:rsidR="0037596F" w:rsidRPr="00F8291A">
        <w:rPr>
          <w:rFonts w:ascii="Arial" w:hAnsi="Arial" w:cs="Arial"/>
          <w:sz w:val="24"/>
          <w:szCs w:val="24"/>
        </w:rPr>
        <w:t xml:space="preserve">, affirming that there is a strong presumption against </w:t>
      </w:r>
      <w:r w:rsidR="009862FE" w:rsidRPr="00F8291A">
        <w:rPr>
          <w:rFonts w:ascii="Arial" w:hAnsi="Arial" w:cs="Arial"/>
          <w:sz w:val="24"/>
          <w:szCs w:val="24"/>
        </w:rPr>
        <w:t>the ouster of the High Court’s jurisdiction and that an inference of ouster of jurisdiction must be clear and unequivocal.</w:t>
      </w:r>
      <w:r w:rsidR="009862FE">
        <w:rPr>
          <w:rStyle w:val="FootnoteReference"/>
          <w:rFonts w:ascii="Arial" w:hAnsi="Arial" w:cs="Arial"/>
          <w:sz w:val="24"/>
          <w:szCs w:val="24"/>
        </w:rPr>
        <w:footnoteReference w:id="7"/>
      </w:r>
    </w:p>
    <w:p w14:paraId="2DE1ACD0" w14:textId="38398461" w:rsidR="00DE7D9C"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E7D9C" w:rsidRPr="00F8291A">
        <w:rPr>
          <w:rFonts w:ascii="Arial" w:hAnsi="Arial" w:cs="Arial"/>
          <w:sz w:val="24"/>
          <w:szCs w:val="24"/>
        </w:rPr>
        <w:t xml:space="preserve">As I do not find </w:t>
      </w:r>
      <w:proofErr w:type="spellStart"/>
      <w:r w:rsidR="00DE7D9C" w:rsidRPr="00F8291A">
        <w:rPr>
          <w:rFonts w:ascii="Arial" w:hAnsi="Arial" w:cs="Arial"/>
          <w:i/>
          <w:iCs/>
          <w:sz w:val="24"/>
          <w:szCs w:val="24"/>
        </w:rPr>
        <w:t>Mateman</w:t>
      </w:r>
      <w:proofErr w:type="spellEnd"/>
      <w:r w:rsidR="00DE7D9C" w:rsidRPr="00F8291A">
        <w:rPr>
          <w:rFonts w:ascii="Arial" w:hAnsi="Arial" w:cs="Arial"/>
          <w:i/>
          <w:iCs/>
          <w:sz w:val="24"/>
          <w:szCs w:val="24"/>
        </w:rPr>
        <w:t xml:space="preserve"> </w:t>
      </w:r>
      <w:r w:rsidR="00DE7D9C" w:rsidRPr="00F8291A">
        <w:rPr>
          <w:rFonts w:ascii="Arial" w:hAnsi="Arial" w:cs="Arial"/>
          <w:sz w:val="24"/>
          <w:szCs w:val="24"/>
        </w:rPr>
        <w:t xml:space="preserve">binding upon me, it </w:t>
      </w:r>
      <w:r w:rsidR="001E4892" w:rsidRPr="00F8291A">
        <w:rPr>
          <w:rFonts w:ascii="Arial" w:hAnsi="Arial" w:cs="Arial"/>
          <w:sz w:val="24"/>
          <w:szCs w:val="24"/>
        </w:rPr>
        <w:t>is</w:t>
      </w:r>
      <w:r w:rsidR="00DE7D9C" w:rsidRPr="00F8291A">
        <w:rPr>
          <w:rFonts w:ascii="Arial" w:hAnsi="Arial" w:cs="Arial"/>
          <w:sz w:val="24"/>
          <w:szCs w:val="24"/>
        </w:rPr>
        <w:t xml:space="preserve"> necessary to consider whether section 127(8)(a) confers exclusive jurisdiction on the </w:t>
      </w:r>
      <w:r w:rsidR="00333867" w:rsidRPr="00F8291A">
        <w:rPr>
          <w:rFonts w:ascii="Arial" w:hAnsi="Arial" w:cs="Arial"/>
          <w:sz w:val="24"/>
          <w:szCs w:val="24"/>
        </w:rPr>
        <w:t>m</w:t>
      </w:r>
      <w:r w:rsidR="00DE7D9C" w:rsidRPr="00F8291A">
        <w:rPr>
          <w:rFonts w:ascii="Arial" w:hAnsi="Arial" w:cs="Arial"/>
          <w:sz w:val="24"/>
          <w:szCs w:val="24"/>
        </w:rPr>
        <w:t>agistrates</w:t>
      </w:r>
      <w:r w:rsidR="00333867" w:rsidRPr="00F8291A">
        <w:rPr>
          <w:rFonts w:ascii="Arial" w:hAnsi="Arial" w:cs="Arial"/>
          <w:sz w:val="24"/>
          <w:szCs w:val="24"/>
        </w:rPr>
        <w:t>’</w:t>
      </w:r>
      <w:r w:rsidR="00DE7D9C" w:rsidRPr="00F8291A">
        <w:rPr>
          <w:rFonts w:ascii="Arial" w:hAnsi="Arial" w:cs="Arial"/>
          <w:sz w:val="24"/>
          <w:szCs w:val="24"/>
        </w:rPr>
        <w:t xml:space="preserve"> </w:t>
      </w:r>
      <w:r w:rsidR="00333867" w:rsidRPr="00F8291A">
        <w:rPr>
          <w:rFonts w:ascii="Arial" w:hAnsi="Arial" w:cs="Arial"/>
          <w:sz w:val="24"/>
          <w:szCs w:val="24"/>
        </w:rPr>
        <w:t>courts</w:t>
      </w:r>
      <w:r w:rsidR="001E4892" w:rsidRPr="00F8291A">
        <w:rPr>
          <w:rFonts w:ascii="Arial" w:hAnsi="Arial" w:cs="Arial"/>
          <w:sz w:val="24"/>
          <w:szCs w:val="24"/>
        </w:rPr>
        <w:t xml:space="preserve">. </w:t>
      </w:r>
      <w:r w:rsidR="00DE7D9C" w:rsidRPr="00F8291A">
        <w:rPr>
          <w:rFonts w:ascii="Arial" w:hAnsi="Arial" w:cs="Arial"/>
          <w:sz w:val="24"/>
          <w:szCs w:val="24"/>
        </w:rPr>
        <w:t xml:space="preserve">Of course, what was said in </w:t>
      </w:r>
      <w:proofErr w:type="spellStart"/>
      <w:r w:rsidR="00DE7D9C" w:rsidRPr="00F8291A">
        <w:rPr>
          <w:rFonts w:ascii="Arial" w:hAnsi="Arial" w:cs="Arial"/>
          <w:i/>
          <w:iCs/>
          <w:sz w:val="24"/>
          <w:szCs w:val="24"/>
        </w:rPr>
        <w:t>Mateman</w:t>
      </w:r>
      <w:proofErr w:type="spellEnd"/>
      <w:r w:rsidR="00DE7D9C" w:rsidRPr="00F8291A">
        <w:rPr>
          <w:rFonts w:ascii="Arial" w:hAnsi="Arial" w:cs="Arial"/>
          <w:sz w:val="24"/>
          <w:szCs w:val="24"/>
        </w:rPr>
        <w:t xml:space="preserve">, albeit not binding, </w:t>
      </w:r>
      <w:r w:rsidR="0078631E" w:rsidRPr="00F8291A">
        <w:rPr>
          <w:rFonts w:ascii="Arial" w:hAnsi="Arial" w:cs="Arial"/>
          <w:sz w:val="24"/>
          <w:szCs w:val="24"/>
        </w:rPr>
        <w:t>is</w:t>
      </w:r>
      <w:r w:rsidR="00DE7D9C" w:rsidRPr="00F8291A">
        <w:rPr>
          <w:rFonts w:ascii="Arial" w:hAnsi="Arial" w:cs="Arial"/>
          <w:sz w:val="24"/>
          <w:szCs w:val="24"/>
        </w:rPr>
        <w:t xml:space="preserve"> of strong persuasive value</w:t>
      </w:r>
      <w:r w:rsidR="00333867" w:rsidRPr="00F8291A">
        <w:rPr>
          <w:rFonts w:ascii="Arial" w:hAnsi="Arial" w:cs="Arial"/>
          <w:sz w:val="24"/>
          <w:szCs w:val="24"/>
        </w:rPr>
        <w:t xml:space="preserve">. </w:t>
      </w:r>
      <w:r w:rsidR="00C73CC7" w:rsidRPr="00F8291A">
        <w:rPr>
          <w:rFonts w:ascii="Arial" w:hAnsi="Arial" w:cs="Arial"/>
          <w:sz w:val="24"/>
          <w:szCs w:val="24"/>
        </w:rPr>
        <w:t>With</w:t>
      </w:r>
      <w:r w:rsidR="00333867" w:rsidRPr="00F8291A">
        <w:rPr>
          <w:rFonts w:ascii="Arial" w:hAnsi="Arial" w:cs="Arial"/>
          <w:sz w:val="24"/>
          <w:szCs w:val="24"/>
        </w:rPr>
        <w:t xml:space="preserve"> respect, </w:t>
      </w:r>
      <w:proofErr w:type="spellStart"/>
      <w:r w:rsidR="00333867" w:rsidRPr="00F8291A">
        <w:rPr>
          <w:rFonts w:ascii="Arial" w:hAnsi="Arial" w:cs="Arial"/>
          <w:i/>
          <w:iCs/>
          <w:sz w:val="24"/>
          <w:szCs w:val="24"/>
        </w:rPr>
        <w:t>Mateman</w:t>
      </w:r>
      <w:proofErr w:type="spellEnd"/>
      <w:r w:rsidR="00333867" w:rsidRPr="00F8291A">
        <w:rPr>
          <w:rFonts w:ascii="Arial" w:hAnsi="Arial" w:cs="Arial"/>
          <w:sz w:val="24"/>
          <w:szCs w:val="24"/>
        </w:rPr>
        <w:t xml:space="preserve"> is not closely reasoned in relation to its statements in relation </w:t>
      </w:r>
      <w:r w:rsidR="0078631E" w:rsidRPr="00F8291A">
        <w:rPr>
          <w:rFonts w:ascii="Arial" w:hAnsi="Arial" w:cs="Arial"/>
          <w:sz w:val="24"/>
          <w:szCs w:val="24"/>
        </w:rPr>
        <w:t xml:space="preserve">to </w:t>
      </w:r>
      <w:r w:rsidR="00333867" w:rsidRPr="00F8291A">
        <w:rPr>
          <w:rFonts w:ascii="Arial" w:hAnsi="Arial" w:cs="Arial"/>
          <w:sz w:val="24"/>
          <w:szCs w:val="24"/>
        </w:rPr>
        <w:t>section 127(8)(a),</w:t>
      </w:r>
      <w:r w:rsidR="00274906">
        <w:rPr>
          <w:rStyle w:val="FootnoteReference"/>
          <w:rFonts w:ascii="Arial" w:hAnsi="Arial" w:cs="Arial"/>
          <w:sz w:val="24"/>
          <w:szCs w:val="24"/>
        </w:rPr>
        <w:footnoteReference w:id="8"/>
      </w:r>
      <w:r w:rsidR="00333867" w:rsidRPr="00F8291A">
        <w:rPr>
          <w:rFonts w:ascii="Arial" w:hAnsi="Arial" w:cs="Arial"/>
          <w:sz w:val="24"/>
          <w:szCs w:val="24"/>
        </w:rPr>
        <w:t xml:space="preserve"> in contrast to its reasoning in relation to why section 90 of the NCA does not oust the High Court’s jurisdiction.</w:t>
      </w:r>
      <w:r w:rsidR="004D24A5" w:rsidRPr="00F8291A">
        <w:rPr>
          <w:rFonts w:ascii="Arial" w:hAnsi="Arial" w:cs="Arial"/>
          <w:sz w:val="24"/>
          <w:szCs w:val="24"/>
        </w:rPr>
        <w:t xml:space="preserve"> And, as stated</w:t>
      </w:r>
      <w:r w:rsidR="000649C7" w:rsidRPr="00F8291A">
        <w:rPr>
          <w:rFonts w:ascii="Arial" w:hAnsi="Arial" w:cs="Arial"/>
          <w:sz w:val="24"/>
          <w:szCs w:val="24"/>
        </w:rPr>
        <w:t xml:space="preserve"> and referred to further below</w:t>
      </w:r>
      <w:r w:rsidR="004D24A5" w:rsidRPr="00F8291A">
        <w:rPr>
          <w:rFonts w:ascii="Arial" w:hAnsi="Arial" w:cs="Arial"/>
          <w:sz w:val="24"/>
          <w:szCs w:val="24"/>
        </w:rPr>
        <w:t xml:space="preserve">, </w:t>
      </w:r>
      <w:r w:rsidR="00C73CC7" w:rsidRPr="00F8291A">
        <w:rPr>
          <w:rFonts w:ascii="Arial" w:hAnsi="Arial" w:cs="Arial"/>
          <w:sz w:val="24"/>
          <w:szCs w:val="24"/>
        </w:rPr>
        <w:t xml:space="preserve">there is </w:t>
      </w:r>
      <w:r w:rsidR="004D24A5" w:rsidRPr="00F8291A">
        <w:rPr>
          <w:rFonts w:ascii="Arial" w:hAnsi="Arial" w:cs="Arial"/>
          <w:sz w:val="24"/>
          <w:szCs w:val="24"/>
        </w:rPr>
        <w:t xml:space="preserve">the </w:t>
      </w:r>
      <w:r w:rsidR="004D24A5" w:rsidRPr="00F8291A">
        <w:rPr>
          <w:rFonts w:ascii="Arial" w:hAnsi="Arial" w:cs="Arial"/>
          <w:i/>
          <w:iCs/>
          <w:sz w:val="24"/>
          <w:szCs w:val="24"/>
        </w:rPr>
        <w:t>obiter</w:t>
      </w:r>
      <w:r w:rsidR="004D24A5" w:rsidRPr="00F8291A">
        <w:rPr>
          <w:rFonts w:ascii="Arial" w:hAnsi="Arial" w:cs="Arial"/>
          <w:sz w:val="24"/>
          <w:szCs w:val="24"/>
        </w:rPr>
        <w:t xml:space="preserve"> statement by the Supreme Court of Appeal in </w:t>
      </w:r>
      <w:proofErr w:type="spellStart"/>
      <w:r w:rsidR="004D24A5" w:rsidRPr="00F8291A">
        <w:rPr>
          <w:rFonts w:ascii="Arial" w:hAnsi="Arial" w:cs="Arial"/>
          <w:i/>
          <w:iCs/>
          <w:sz w:val="24"/>
          <w:szCs w:val="24"/>
        </w:rPr>
        <w:t>Mpongo</w:t>
      </w:r>
      <w:proofErr w:type="spellEnd"/>
      <w:r w:rsidR="004D24A5" w:rsidRPr="00F8291A">
        <w:rPr>
          <w:rFonts w:ascii="Arial" w:hAnsi="Arial" w:cs="Arial"/>
          <w:i/>
          <w:iCs/>
          <w:sz w:val="24"/>
          <w:szCs w:val="24"/>
        </w:rPr>
        <w:t xml:space="preserve"> </w:t>
      </w:r>
      <w:r w:rsidR="004D24A5" w:rsidRPr="00F8291A">
        <w:rPr>
          <w:rFonts w:ascii="Arial" w:hAnsi="Arial" w:cs="Arial"/>
          <w:sz w:val="24"/>
          <w:szCs w:val="24"/>
        </w:rPr>
        <w:t>at paragraph 81</w:t>
      </w:r>
      <w:r w:rsidR="000649C7" w:rsidRPr="00F8291A">
        <w:rPr>
          <w:rFonts w:ascii="Arial" w:hAnsi="Arial" w:cs="Arial"/>
          <w:sz w:val="24"/>
          <w:szCs w:val="24"/>
        </w:rPr>
        <w:t xml:space="preserve">, which is an </w:t>
      </w:r>
      <w:r w:rsidR="000649C7" w:rsidRPr="00F8291A">
        <w:rPr>
          <w:rFonts w:ascii="Arial" w:hAnsi="Arial" w:cs="Arial"/>
          <w:i/>
          <w:iCs/>
          <w:sz w:val="24"/>
          <w:szCs w:val="24"/>
        </w:rPr>
        <w:t>obiter</w:t>
      </w:r>
      <w:r w:rsidR="000649C7" w:rsidRPr="00F8291A">
        <w:rPr>
          <w:rFonts w:ascii="Arial" w:hAnsi="Arial" w:cs="Arial"/>
          <w:sz w:val="24"/>
          <w:szCs w:val="24"/>
        </w:rPr>
        <w:t xml:space="preserve"> of higher precedent and considerably more recent,</w:t>
      </w:r>
      <w:r w:rsidR="00F47310" w:rsidRPr="00F8291A">
        <w:rPr>
          <w:rFonts w:ascii="Arial" w:hAnsi="Arial" w:cs="Arial"/>
          <w:sz w:val="24"/>
          <w:szCs w:val="24"/>
        </w:rPr>
        <w:t xml:space="preserve"> </w:t>
      </w:r>
      <w:r w:rsidR="001E4892" w:rsidRPr="00F8291A">
        <w:rPr>
          <w:rFonts w:ascii="Arial" w:hAnsi="Arial" w:cs="Arial"/>
          <w:sz w:val="24"/>
          <w:szCs w:val="24"/>
        </w:rPr>
        <w:t xml:space="preserve">that </w:t>
      </w:r>
      <w:r w:rsidR="000649C7" w:rsidRPr="00F8291A">
        <w:rPr>
          <w:rFonts w:ascii="Arial" w:hAnsi="Arial" w:cs="Arial"/>
          <w:sz w:val="24"/>
          <w:szCs w:val="24"/>
        </w:rPr>
        <w:t>goes the other way.</w:t>
      </w:r>
    </w:p>
    <w:p w14:paraId="033DB6BD" w14:textId="33960048" w:rsidR="0078631E"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8631E" w:rsidRPr="00F8291A">
        <w:rPr>
          <w:rFonts w:ascii="Arial" w:hAnsi="Arial" w:cs="Arial"/>
          <w:sz w:val="24"/>
          <w:szCs w:val="24"/>
        </w:rPr>
        <w:t xml:space="preserve">What </w:t>
      </w:r>
      <w:proofErr w:type="spellStart"/>
      <w:r w:rsidR="0078631E" w:rsidRPr="00F8291A">
        <w:rPr>
          <w:rFonts w:ascii="Arial" w:hAnsi="Arial" w:cs="Arial"/>
          <w:i/>
          <w:iCs/>
          <w:sz w:val="24"/>
          <w:szCs w:val="24"/>
        </w:rPr>
        <w:t>Mateman</w:t>
      </w:r>
      <w:proofErr w:type="spellEnd"/>
      <w:r w:rsidR="0078631E" w:rsidRPr="00F8291A">
        <w:rPr>
          <w:rFonts w:ascii="Arial" w:hAnsi="Arial" w:cs="Arial"/>
          <w:sz w:val="24"/>
          <w:szCs w:val="24"/>
        </w:rPr>
        <w:t xml:space="preserve"> does affirm, </w:t>
      </w:r>
      <w:r w:rsidR="00CC59F7" w:rsidRPr="00F8291A">
        <w:rPr>
          <w:rFonts w:ascii="Arial" w:hAnsi="Arial" w:cs="Arial"/>
          <w:sz w:val="24"/>
          <w:szCs w:val="24"/>
        </w:rPr>
        <w:t>with reference to various authorities</w:t>
      </w:r>
      <w:r w:rsidR="004C10D0" w:rsidRPr="00F8291A">
        <w:rPr>
          <w:rFonts w:ascii="Arial" w:hAnsi="Arial" w:cs="Arial"/>
          <w:sz w:val="24"/>
          <w:szCs w:val="24"/>
        </w:rPr>
        <w:t xml:space="preserve">, </w:t>
      </w:r>
      <w:r w:rsidR="00470539" w:rsidRPr="00F8291A">
        <w:rPr>
          <w:rFonts w:ascii="Arial" w:hAnsi="Arial" w:cs="Arial"/>
          <w:sz w:val="24"/>
          <w:szCs w:val="24"/>
        </w:rPr>
        <w:t xml:space="preserve">and as re-affirmed, again, in </w:t>
      </w:r>
      <w:proofErr w:type="spellStart"/>
      <w:r w:rsidR="00470539" w:rsidRPr="00F8291A">
        <w:rPr>
          <w:rFonts w:ascii="Arial" w:hAnsi="Arial" w:cs="Arial"/>
          <w:i/>
          <w:iCs/>
          <w:sz w:val="24"/>
          <w:szCs w:val="24"/>
        </w:rPr>
        <w:t>Mpongo</w:t>
      </w:r>
      <w:proofErr w:type="spellEnd"/>
      <w:r w:rsidR="00470539" w:rsidRPr="00F8291A">
        <w:rPr>
          <w:rFonts w:ascii="Arial" w:hAnsi="Arial" w:cs="Arial"/>
          <w:sz w:val="24"/>
          <w:szCs w:val="24"/>
        </w:rPr>
        <w:t xml:space="preserve">, </w:t>
      </w:r>
      <w:r w:rsidR="0078631E" w:rsidRPr="00F8291A">
        <w:rPr>
          <w:rFonts w:ascii="Arial" w:hAnsi="Arial" w:cs="Arial"/>
          <w:sz w:val="24"/>
          <w:szCs w:val="24"/>
        </w:rPr>
        <w:t xml:space="preserve">is that there is a strong presumption against the </w:t>
      </w:r>
      <w:r w:rsidR="0078631E" w:rsidRPr="00F8291A">
        <w:rPr>
          <w:rFonts w:ascii="Arial" w:hAnsi="Arial" w:cs="Arial"/>
          <w:sz w:val="24"/>
          <w:szCs w:val="24"/>
        </w:rPr>
        <w:lastRenderedPageBreak/>
        <w:t xml:space="preserve">ouster or curtailment of the </w:t>
      </w:r>
      <w:r w:rsidR="00AF4646" w:rsidRPr="00F8291A">
        <w:rPr>
          <w:rFonts w:ascii="Arial" w:hAnsi="Arial" w:cs="Arial"/>
          <w:sz w:val="24"/>
          <w:szCs w:val="24"/>
        </w:rPr>
        <w:t>High C</w:t>
      </w:r>
      <w:r w:rsidR="0078631E" w:rsidRPr="00F8291A">
        <w:rPr>
          <w:rFonts w:ascii="Arial" w:hAnsi="Arial" w:cs="Arial"/>
          <w:sz w:val="24"/>
          <w:szCs w:val="24"/>
        </w:rPr>
        <w:t>ourt’s jurisdiction and such ouster must be clearly stated or must arise by necessary implication.</w:t>
      </w:r>
    </w:p>
    <w:p w14:paraId="71335B7C" w14:textId="5244D5C3" w:rsidR="00E57AD5" w:rsidRPr="00F8291A" w:rsidRDefault="00F8291A" w:rsidP="00F8291A">
      <w:pPr>
        <w:spacing w:before="360" w:after="360" w:line="480" w:lineRule="auto"/>
        <w:ind w:left="624" w:right="117" w:hanging="624"/>
        <w:jc w:val="both"/>
        <w:rPr>
          <w:rFonts w:ascii="Arial" w:hAnsi="Arial" w:cs="Arial"/>
          <w:sz w:val="24"/>
          <w:szCs w:val="24"/>
        </w:rPr>
      </w:pPr>
      <w:r w:rsidRPr="000649C7">
        <w:rPr>
          <w:rFonts w:ascii="Arial" w:hAnsi="Arial" w:cs="Arial"/>
          <w:sz w:val="24"/>
          <w:szCs w:val="24"/>
        </w:rPr>
        <w:t>23.</w:t>
      </w:r>
      <w:r w:rsidRPr="000649C7">
        <w:rPr>
          <w:rFonts w:ascii="Arial" w:hAnsi="Arial" w:cs="Arial"/>
          <w:sz w:val="24"/>
          <w:szCs w:val="24"/>
        </w:rPr>
        <w:tab/>
      </w:r>
      <w:r w:rsidR="00470539" w:rsidRPr="00F8291A">
        <w:rPr>
          <w:rFonts w:ascii="Arial" w:hAnsi="Arial" w:cs="Arial"/>
          <w:sz w:val="24"/>
          <w:szCs w:val="24"/>
        </w:rPr>
        <w:t xml:space="preserve">Sutherland AJA, as he was then, writing for the Supreme Court of Appeal in </w:t>
      </w:r>
      <w:proofErr w:type="spellStart"/>
      <w:r w:rsidR="00470539" w:rsidRPr="00F8291A">
        <w:rPr>
          <w:rFonts w:ascii="Arial" w:hAnsi="Arial" w:cs="Arial"/>
          <w:i/>
          <w:iCs/>
          <w:sz w:val="24"/>
          <w:szCs w:val="24"/>
        </w:rPr>
        <w:t>Mpongo</w:t>
      </w:r>
      <w:proofErr w:type="spellEnd"/>
      <w:r w:rsidR="00470539" w:rsidRPr="00F8291A">
        <w:rPr>
          <w:rFonts w:ascii="Arial" w:hAnsi="Arial" w:cs="Arial"/>
          <w:i/>
          <w:iCs/>
          <w:sz w:val="24"/>
          <w:szCs w:val="24"/>
        </w:rPr>
        <w:t xml:space="preserve"> </w:t>
      </w:r>
      <w:r w:rsidR="00470539" w:rsidRPr="00F8291A">
        <w:rPr>
          <w:rFonts w:ascii="Arial" w:hAnsi="Arial" w:cs="Arial"/>
          <w:sz w:val="24"/>
          <w:szCs w:val="24"/>
        </w:rPr>
        <w:t>remarks</w:t>
      </w:r>
      <w:r w:rsidR="00610614" w:rsidRPr="00F8291A">
        <w:rPr>
          <w:rFonts w:ascii="Arial" w:hAnsi="Arial" w:cs="Arial"/>
          <w:sz w:val="24"/>
          <w:szCs w:val="24"/>
        </w:rPr>
        <w:t xml:space="preserve"> in paragraph 81 </w:t>
      </w:r>
      <w:r w:rsidR="000649C7" w:rsidRPr="00F8291A">
        <w:rPr>
          <w:rFonts w:ascii="Arial" w:hAnsi="Arial" w:cs="Arial"/>
          <w:sz w:val="24"/>
          <w:szCs w:val="24"/>
        </w:rPr>
        <w:t>that</w:t>
      </w:r>
      <w:r w:rsidR="00470539" w:rsidRPr="00F8291A">
        <w:rPr>
          <w:rFonts w:ascii="Arial" w:hAnsi="Arial" w:cs="Arial"/>
          <w:sz w:val="24"/>
          <w:szCs w:val="24"/>
        </w:rPr>
        <w:t xml:space="preserve"> section 127(8)(a) </w:t>
      </w:r>
      <w:r w:rsidR="00610614" w:rsidRPr="00F8291A">
        <w:rPr>
          <w:rFonts w:ascii="Arial" w:hAnsi="Arial" w:cs="Arial"/>
          <w:sz w:val="24"/>
          <w:szCs w:val="24"/>
        </w:rPr>
        <w:t xml:space="preserve">is an instance where </w:t>
      </w:r>
      <w:r w:rsidR="00610614" w:rsidRPr="00F8291A">
        <w:rPr>
          <w:rFonts w:ascii="Arial" w:hAnsi="Arial" w:cs="Arial"/>
          <w:i/>
          <w:iCs/>
          <w:sz w:val="24"/>
          <w:szCs w:val="24"/>
        </w:rPr>
        <w:t xml:space="preserve">“the NCA </w:t>
      </w:r>
      <w:r w:rsidR="00610614" w:rsidRPr="00F8291A">
        <w:rPr>
          <w:rFonts w:ascii="Arial" w:hAnsi="Arial" w:cs="Arial"/>
          <w:i/>
          <w:iCs/>
          <w:sz w:val="24"/>
          <w:szCs w:val="24"/>
          <w:u w:val="single"/>
        </w:rPr>
        <w:t>expressly</w:t>
      </w:r>
      <w:r w:rsidR="00610614" w:rsidRPr="00F8291A">
        <w:rPr>
          <w:rFonts w:ascii="Arial" w:hAnsi="Arial" w:cs="Arial"/>
          <w:i/>
          <w:iCs/>
          <w:sz w:val="24"/>
          <w:szCs w:val="24"/>
        </w:rPr>
        <w:t xml:space="preserve"> stipulates that </w:t>
      </w:r>
      <w:r w:rsidR="00E122AB" w:rsidRPr="00F8291A">
        <w:rPr>
          <w:rFonts w:ascii="Arial" w:hAnsi="Arial" w:cs="Arial"/>
          <w:i/>
          <w:iCs/>
          <w:sz w:val="24"/>
          <w:szCs w:val="24"/>
        </w:rPr>
        <w:t>the m</w:t>
      </w:r>
      <w:r w:rsidR="00610614" w:rsidRPr="00F8291A">
        <w:rPr>
          <w:rFonts w:ascii="Arial" w:hAnsi="Arial" w:cs="Arial"/>
          <w:i/>
          <w:iCs/>
          <w:sz w:val="24"/>
          <w:szCs w:val="24"/>
        </w:rPr>
        <w:t xml:space="preserve">agistrates’ </w:t>
      </w:r>
      <w:r w:rsidR="00E122AB" w:rsidRPr="00F8291A">
        <w:rPr>
          <w:rFonts w:ascii="Arial" w:hAnsi="Arial" w:cs="Arial"/>
          <w:i/>
          <w:iCs/>
          <w:sz w:val="24"/>
          <w:szCs w:val="24"/>
        </w:rPr>
        <w:t>c</w:t>
      </w:r>
      <w:r w:rsidR="00610614" w:rsidRPr="00F8291A">
        <w:rPr>
          <w:rFonts w:ascii="Arial" w:hAnsi="Arial" w:cs="Arial"/>
          <w:i/>
          <w:iCs/>
          <w:sz w:val="24"/>
          <w:szCs w:val="24"/>
        </w:rPr>
        <w:t>ourt to the exclusion of any other court</w:t>
      </w:r>
      <w:r w:rsidR="00610614" w:rsidRPr="00F8291A">
        <w:rPr>
          <w:rFonts w:ascii="Arial" w:hAnsi="Arial" w:cs="Arial"/>
          <w:sz w:val="24"/>
          <w:szCs w:val="24"/>
        </w:rPr>
        <w:t>”.</w:t>
      </w:r>
      <w:r w:rsidR="00AF4646" w:rsidRPr="00F8291A">
        <w:rPr>
          <w:rFonts w:ascii="Arial" w:hAnsi="Arial" w:cs="Arial"/>
          <w:sz w:val="24"/>
          <w:szCs w:val="24"/>
        </w:rPr>
        <w:t xml:space="preserve"> In my view, section 12</w:t>
      </w:r>
      <w:r w:rsidR="00B50939" w:rsidRPr="00F8291A">
        <w:rPr>
          <w:rFonts w:ascii="Arial" w:hAnsi="Arial" w:cs="Arial"/>
          <w:sz w:val="24"/>
          <w:szCs w:val="24"/>
        </w:rPr>
        <w:t>7</w:t>
      </w:r>
      <w:r w:rsidR="00AF4646" w:rsidRPr="00F8291A">
        <w:rPr>
          <w:rFonts w:ascii="Arial" w:hAnsi="Arial" w:cs="Arial"/>
          <w:sz w:val="24"/>
          <w:szCs w:val="24"/>
        </w:rPr>
        <w:t>(8)(a) does not</w:t>
      </w:r>
      <w:r w:rsidR="00AF4646" w:rsidRPr="00F8291A">
        <w:rPr>
          <w:rFonts w:ascii="Arial" w:hAnsi="Arial" w:cs="Arial"/>
          <w:i/>
          <w:iCs/>
          <w:sz w:val="24"/>
          <w:szCs w:val="24"/>
        </w:rPr>
        <w:t xml:space="preserve"> expressly</w:t>
      </w:r>
      <w:r w:rsidR="00AF4646" w:rsidRPr="00F8291A">
        <w:rPr>
          <w:rFonts w:ascii="Arial" w:hAnsi="Arial" w:cs="Arial"/>
          <w:sz w:val="24"/>
          <w:szCs w:val="24"/>
        </w:rPr>
        <w:t xml:space="preserve"> oust the </w:t>
      </w:r>
      <w:r w:rsidR="000649C7" w:rsidRPr="00F8291A">
        <w:rPr>
          <w:rFonts w:ascii="Arial" w:hAnsi="Arial" w:cs="Arial"/>
          <w:sz w:val="24"/>
          <w:szCs w:val="24"/>
        </w:rPr>
        <w:t xml:space="preserve">jurisdiction of the High Court. As the statement </w:t>
      </w:r>
      <w:r w:rsidR="00610614" w:rsidRPr="00F8291A">
        <w:rPr>
          <w:rFonts w:ascii="Arial" w:hAnsi="Arial" w:cs="Arial"/>
          <w:sz w:val="24"/>
          <w:szCs w:val="24"/>
        </w:rPr>
        <w:t>is</w:t>
      </w:r>
      <w:r w:rsidR="000649C7" w:rsidRPr="00F8291A">
        <w:rPr>
          <w:rFonts w:ascii="Arial" w:hAnsi="Arial" w:cs="Arial"/>
          <w:sz w:val="24"/>
          <w:szCs w:val="24"/>
        </w:rPr>
        <w:t xml:space="preserve"> </w:t>
      </w:r>
      <w:r w:rsidR="00610614" w:rsidRPr="00F8291A">
        <w:rPr>
          <w:rFonts w:ascii="Arial" w:hAnsi="Arial" w:cs="Arial"/>
          <w:i/>
          <w:iCs/>
          <w:sz w:val="24"/>
          <w:szCs w:val="24"/>
        </w:rPr>
        <w:t>obiter</w:t>
      </w:r>
      <w:r w:rsidR="00610614" w:rsidRPr="00F8291A">
        <w:rPr>
          <w:rFonts w:ascii="Arial" w:hAnsi="Arial" w:cs="Arial"/>
          <w:sz w:val="24"/>
          <w:szCs w:val="24"/>
        </w:rPr>
        <w:t xml:space="preserve"> and as Sutherland AJA did not consider section 127(8)(a) any further – unsurprising as t</w:t>
      </w:r>
      <w:r w:rsidR="00934094" w:rsidRPr="00F8291A">
        <w:rPr>
          <w:rFonts w:ascii="Arial" w:hAnsi="Arial" w:cs="Arial"/>
          <w:sz w:val="24"/>
          <w:szCs w:val="24"/>
        </w:rPr>
        <w:t>he appeal did not concern section 127</w:t>
      </w:r>
      <w:r w:rsidR="000649C7" w:rsidRPr="00F8291A">
        <w:rPr>
          <w:rFonts w:ascii="Arial" w:hAnsi="Arial" w:cs="Arial"/>
          <w:sz w:val="24"/>
          <w:szCs w:val="24"/>
        </w:rPr>
        <w:t xml:space="preserve"> - </w:t>
      </w:r>
      <w:r w:rsidR="00934094" w:rsidRPr="00F8291A">
        <w:rPr>
          <w:rFonts w:ascii="Arial" w:hAnsi="Arial" w:cs="Arial"/>
          <w:sz w:val="24"/>
          <w:szCs w:val="24"/>
        </w:rPr>
        <w:t xml:space="preserve"> I prefer rather to approach the matter on the basis whether section 127(8)(a) by necessary implication excludes the jurisdiction of the High Court. </w:t>
      </w:r>
    </w:p>
    <w:p w14:paraId="5A499D34" w14:textId="605B1156" w:rsidR="00E57AD5"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34094" w:rsidRPr="00F8291A">
        <w:rPr>
          <w:rFonts w:ascii="Arial" w:hAnsi="Arial" w:cs="Arial"/>
          <w:sz w:val="24"/>
          <w:szCs w:val="24"/>
        </w:rPr>
        <w:t>Whether</w:t>
      </w:r>
      <w:r w:rsidR="00804EF5" w:rsidRPr="00F8291A">
        <w:rPr>
          <w:rFonts w:ascii="Arial" w:hAnsi="Arial" w:cs="Arial"/>
          <w:sz w:val="24"/>
          <w:szCs w:val="24"/>
        </w:rPr>
        <w:t xml:space="preserve"> such an ouster </w:t>
      </w:r>
      <w:r w:rsidR="00C80095" w:rsidRPr="00F8291A">
        <w:rPr>
          <w:rFonts w:ascii="Arial" w:hAnsi="Arial" w:cs="Arial"/>
          <w:sz w:val="24"/>
          <w:szCs w:val="24"/>
        </w:rPr>
        <w:t>is</w:t>
      </w:r>
      <w:r w:rsidR="00804EF5" w:rsidRPr="00F8291A">
        <w:rPr>
          <w:rFonts w:ascii="Arial" w:hAnsi="Arial" w:cs="Arial"/>
          <w:sz w:val="24"/>
          <w:szCs w:val="24"/>
        </w:rPr>
        <w:t xml:space="preserve"> necessarily implied</w:t>
      </w:r>
      <w:r w:rsidR="00C80095" w:rsidRPr="00F8291A">
        <w:rPr>
          <w:rFonts w:ascii="Arial" w:hAnsi="Arial" w:cs="Arial"/>
          <w:sz w:val="24"/>
          <w:szCs w:val="24"/>
        </w:rPr>
        <w:t xml:space="preserve"> is reinforced by </w:t>
      </w:r>
      <w:r w:rsidR="00804EF5" w:rsidRPr="00F8291A">
        <w:rPr>
          <w:rFonts w:ascii="Arial" w:hAnsi="Arial" w:cs="Arial"/>
          <w:sz w:val="24"/>
          <w:szCs w:val="24"/>
        </w:rPr>
        <w:t xml:space="preserve">section 2(7) of the NCA, which provides that: </w:t>
      </w:r>
    </w:p>
    <w:p w14:paraId="7439DE91" w14:textId="4D14119E" w:rsidR="00804EF5" w:rsidRDefault="00804EF5" w:rsidP="00C80095">
      <w:pPr>
        <w:pStyle w:val="Quotation"/>
        <w:spacing w:line="360" w:lineRule="auto"/>
        <w:ind w:right="117"/>
      </w:pPr>
      <w:r>
        <w:t>“</w:t>
      </w:r>
      <w:r w:rsidR="00C80095">
        <w:t>(</w:t>
      </w:r>
      <w:r>
        <w:t>7</w:t>
      </w:r>
      <w:r w:rsidR="00C80095">
        <w:t>)</w:t>
      </w:r>
      <w:r>
        <w:t>.</w:t>
      </w:r>
      <w:r>
        <w:tab/>
        <w:t xml:space="preserve">Except as specifically set out in, or necessarily implied by, this Act, the provisions of this Act are not to be construed as: </w:t>
      </w:r>
    </w:p>
    <w:p w14:paraId="6FB3F7C5" w14:textId="3D87C7A3" w:rsidR="00804EF5" w:rsidRDefault="00F8291A" w:rsidP="00F8291A">
      <w:pPr>
        <w:pStyle w:val="Quotation"/>
        <w:spacing w:line="360" w:lineRule="auto"/>
        <w:ind w:left="2835" w:right="117"/>
      </w:pPr>
      <w:r>
        <w:t>(a)</w:t>
      </w:r>
      <w:r>
        <w:tab/>
      </w:r>
      <w:r w:rsidR="00C27D00">
        <w:t>l</w:t>
      </w:r>
      <w:r w:rsidR="00804EF5">
        <w:t xml:space="preserve">imiting, amending, repealing or otherwise altering any provision of any other Act; </w:t>
      </w:r>
    </w:p>
    <w:p w14:paraId="75E857D8" w14:textId="054EDD2D" w:rsidR="00804EF5" w:rsidRDefault="00F8291A" w:rsidP="00F8291A">
      <w:pPr>
        <w:pStyle w:val="Quotation"/>
        <w:spacing w:line="360" w:lineRule="auto"/>
        <w:ind w:left="2835" w:right="117"/>
      </w:pPr>
      <w:r>
        <w:t>(b)</w:t>
      </w:r>
      <w:r>
        <w:tab/>
      </w:r>
      <w:r w:rsidR="00C27D00">
        <w:t>e</w:t>
      </w:r>
      <w:r w:rsidR="00804EF5">
        <w:t xml:space="preserve">xempting any person from any duty or obligation imposed by any other Act; or </w:t>
      </w:r>
    </w:p>
    <w:p w14:paraId="20CBAB10" w14:textId="20A216BC" w:rsidR="00804EF5" w:rsidRDefault="00F8291A" w:rsidP="00F8291A">
      <w:pPr>
        <w:pStyle w:val="Quotation"/>
        <w:spacing w:line="360" w:lineRule="auto"/>
        <w:ind w:left="2835" w:right="117"/>
      </w:pPr>
      <w:r>
        <w:t>(c)</w:t>
      </w:r>
      <w:r>
        <w:tab/>
      </w:r>
      <w:r w:rsidR="00D24140">
        <w:t>p</w:t>
      </w:r>
      <w:r w:rsidR="00804EF5">
        <w:t>rohibiting any person from complying with any provision of another Act</w:t>
      </w:r>
      <w:r w:rsidR="0046720F">
        <w:t>.</w:t>
      </w:r>
      <w:r w:rsidR="00804EF5">
        <w:t xml:space="preserve">” </w:t>
      </w:r>
      <w:r w:rsidR="00D24140">
        <w:t xml:space="preserve">  </w:t>
      </w:r>
    </w:p>
    <w:p w14:paraId="0A8BC1CB" w14:textId="7D54287C" w:rsidR="00804EF5" w:rsidRPr="000649C7" w:rsidRDefault="00F8291A" w:rsidP="00F8291A">
      <w:pPr>
        <w:pStyle w:val="fnotetext"/>
        <w:spacing w:before="120" w:beforeAutospacing="0" w:after="0" w:afterAutospacing="0" w:line="480" w:lineRule="auto"/>
        <w:ind w:left="624" w:hanging="624"/>
        <w:jc w:val="both"/>
        <w:rPr>
          <w:rFonts w:ascii="Arial" w:hAnsi="Arial" w:cs="Arial"/>
          <w:color w:val="000000" w:themeColor="text1"/>
        </w:rPr>
      </w:pPr>
      <w:r w:rsidRPr="000649C7">
        <w:rPr>
          <w:rFonts w:ascii="Arial" w:hAnsi="Arial" w:cs="Arial"/>
          <w:color w:val="000000" w:themeColor="text1"/>
        </w:rPr>
        <w:t>25.</w:t>
      </w:r>
      <w:r w:rsidRPr="000649C7">
        <w:rPr>
          <w:rFonts w:ascii="Arial" w:hAnsi="Arial" w:cs="Arial"/>
          <w:color w:val="000000" w:themeColor="text1"/>
        </w:rPr>
        <w:tab/>
      </w:r>
      <w:r w:rsidR="003414D9" w:rsidRPr="000649C7">
        <w:rPr>
          <w:rFonts w:ascii="Arial" w:hAnsi="Arial" w:cs="Arial"/>
          <w:color w:val="000000" w:themeColor="text1"/>
          <w:shd w:val="clear" w:color="auto" w:fill="FFFFFF"/>
        </w:rPr>
        <w:t xml:space="preserve">The </w:t>
      </w:r>
      <w:r w:rsidR="003414D9" w:rsidRPr="00E122AB">
        <w:rPr>
          <w:rFonts w:ascii="Arial" w:hAnsi="Arial"/>
          <w:i/>
          <w:color w:val="000000" w:themeColor="text1"/>
          <w:shd w:val="clear" w:color="auto" w:fill="FFFFFF"/>
        </w:rPr>
        <w:t>'inevitable point of departure is the language of the provision itself'</w:t>
      </w:r>
      <w:r w:rsidR="003414D9" w:rsidRPr="000649C7">
        <w:rPr>
          <w:rFonts w:ascii="Arial" w:hAnsi="Arial" w:cs="Arial"/>
          <w:color w:val="000000" w:themeColor="text1"/>
          <w:shd w:val="clear" w:color="auto" w:fill="FFFFFF"/>
        </w:rPr>
        <w:t>, which is</w:t>
      </w:r>
      <w:r w:rsidR="003414D9" w:rsidRPr="000649C7">
        <w:rPr>
          <w:rStyle w:val="apple-converted-space"/>
          <w:rFonts w:ascii="Arial" w:hAnsi="Arial" w:cs="Arial"/>
          <w:color w:val="000000" w:themeColor="text1"/>
          <w:shd w:val="clear" w:color="auto" w:fill="FFFFFF"/>
        </w:rPr>
        <w:t> </w:t>
      </w:r>
      <w:r w:rsidR="003414D9" w:rsidRPr="000649C7">
        <w:rPr>
          <w:rStyle w:val="footnoteanchor"/>
          <w:rFonts w:ascii="Arial" w:hAnsi="Arial" w:cs="Arial"/>
          <w:color w:val="000000" w:themeColor="text1"/>
          <w:vertAlign w:val="superscript"/>
        </w:rPr>
        <w:t xml:space="preserve"> </w:t>
      </w:r>
      <w:r w:rsidR="003414D9" w:rsidRPr="000649C7">
        <w:rPr>
          <w:rStyle w:val="apple-converted-space"/>
          <w:rFonts w:ascii="Arial" w:hAnsi="Arial" w:cs="Arial"/>
          <w:color w:val="000000" w:themeColor="text1"/>
          <w:shd w:val="clear" w:color="auto" w:fill="FFFFFF"/>
        </w:rPr>
        <w:t>to be </w:t>
      </w:r>
      <w:r w:rsidR="003414D9" w:rsidRPr="000649C7">
        <w:rPr>
          <w:rFonts w:ascii="Arial" w:hAnsi="Arial" w:cs="Arial"/>
          <w:color w:val="000000" w:themeColor="text1"/>
          <w:shd w:val="clear" w:color="auto" w:fill="FFFFFF"/>
        </w:rPr>
        <w:t>read in</w:t>
      </w:r>
      <w:r w:rsidR="000649C7">
        <w:rPr>
          <w:rFonts w:ascii="Arial" w:hAnsi="Arial" w:cs="Arial"/>
          <w:color w:val="000000" w:themeColor="text1"/>
          <w:shd w:val="clear" w:color="auto" w:fill="FFFFFF"/>
        </w:rPr>
        <w:t xml:space="preserve"> the</w:t>
      </w:r>
      <w:r w:rsidR="003414D9" w:rsidRPr="000649C7">
        <w:rPr>
          <w:rFonts w:ascii="Arial" w:hAnsi="Arial" w:cs="Arial"/>
          <w:color w:val="000000" w:themeColor="text1"/>
          <w:shd w:val="clear" w:color="auto" w:fill="FFFFFF"/>
        </w:rPr>
        <w:t xml:space="preserve"> contex</w:t>
      </w:r>
      <w:r w:rsidR="000649C7">
        <w:rPr>
          <w:rFonts w:ascii="Arial" w:hAnsi="Arial" w:cs="Arial"/>
          <w:color w:val="000000" w:themeColor="text1"/>
          <w:shd w:val="clear" w:color="auto" w:fill="FFFFFF"/>
        </w:rPr>
        <w:t xml:space="preserve">t </w:t>
      </w:r>
      <w:r w:rsidR="00C96568" w:rsidRPr="000649C7">
        <w:rPr>
          <w:rFonts w:ascii="Arial" w:hAnsi="Arial" w:cs="Arial"/>
          <w:color w:val="000000" w:themeColor="text1"/>
          <w:shd w:val="clear" w:color="auto" w:fill="FFFFFF"/>
        </w:rPr>
        <w:t xml:space="preserve">of the statute as a whole </w:t>
      </w:r>
      <w:r w:rsidR="003414D9" w:rsidRPr="000649C7">
        <w:rPr>
          <w:rFonts w:ascii="Arial" w:hAnsi="Arial" w:cs="Arial"/>
          <w:color w:val="000000" w:themeColor="text1"/>
          <w:shd w:val="clear" w:color="auto" w:fill="FFFFFF"/>
        </w:rPr>
        <w:t xml:space="preserve">and having regard to the </w:t>
      </w:r>
      <w:r w:rsidR="003414D9" w:rsidRPr="000649C7">
        <w:rPr>
          <w:rFonts w:ascii="Arial" w:hAnsi="Arial" w:cs="Arial"/>
          <w:color w:val="000000" w:themeColor="text1"/>
          <w:shd w:val="clear" w:color="auto" w:fill="FFFFFF"/>
        </w:rPr>
        <w:lastRenderedPageBreak/>
        <w:t>purpose of the provision.</w:t>
      </w:r>
      <w:r w:rsidR="003414D9" w:rsidRPr="000649C7">
        <w:rPr>
          <w:rStyle w:val="FootnoteReference"/>
          <w:rFonts w:ascii="Arial" w:hAnsi="Arial" w:cs="Arial"/>
          <w:color w:val="000000" w:themeColor="text1"/>
          <w:shd w:val="clear" w:color="auto" w:fill="FFFFFF"/>
        </w:rPr>
        <w:footnoteReference w:id="9"/>
      </w:r>
      <w:r w:rsidR="00C96568" w:rsidRPr="000649C7">
        <w:rPr>
          <w:rFonts w:ascii="Arial" w:hAnsi="Arial" w:cs="Arial"/>
          <w:color w:val="000000" w:themeColor="text1"/>
          <w:shd w:val="clear" w:color="auto" w:fill="FFFFFF"/>
        </w:rPr>
        <w:t xml:space="preserve"> The importance of the words used in a statute </w:t>
      </w:r>
      <w:r w:rsidR="00BF1570">
        <w:rPr>
          <w:rFonts w:ascii="Arial" w:hAnsi="Arial" w:cs="Arial"/>
          <w:color w:val="000000" w:themeColor="text1"/>
          <w:shd w:val="clear" w:color="auto" w:fill="FFFFFF"/>
        </w:rPr>
        <w:t>has been</w:t>
      </w:r>
      <w:r w:rsidR="00C96568" w:rsidRPr="000649C7">
        <w:rPr>
          <w:rFonts w:ascii="Arial" w:hAnsi="Arial" w:cs="Arial"/>
          <w:color w:val="000000" w:themeColor="text1"/>
          <w:shd w:val="clear" w:color="auto" w:fill="FFFFFF"/>
        </w:rPr>
        <w:t xml:space="preserve"> stressed by the SCA</w:t>
      </w:r>
      <w:r w:rsidR="00C96568" w:rsidRPr="000649C7">
        <w:rPr>
          <w:rFonts w:ascii="Arial" w:hAnsi="Arial" w:cs="Arial"/>
          <w:color w:val="000000" w:themeColor="text1"/>
        </w:rPr>
        <w:t>.</w:t>
      </w:r>
      <w:r w:rsidR="00C96568" w:rsidRPr="000649C7">
        <w:rPr>
          <w:rStyle w:val="FootnoteReference"/>
          <w:rFonts w:ascii="Arial" w:hAnsi="Arial" w:cs="Arial"/>
          <w:color w:val="000000" w:themeColor="text1"/>
        </w:rPr>
        <w:footnoteReference w:id="10"/>
      </w:r>
    </w:p>
    <w:p w14:paraId="24EE9447" w14:textId="14A44768" w:rsidR="009C554A" w:rsidRPr="00F8291A" w:rsidRDefault="00F8291A" w:rsidP="00F8291A">
      <w:pPr>
        <w:spacing w:before="360" w:after="360" w:line="480" w:lineRule="auto"/>
        <w:ind w:left="624" w:right="117" w:hanging="624"/>
        <w:jc w:val="both"/>
        <w:rPr>
          <w:rFonts w:ascii="Arial" w:hAnsi="Arial" w:cs="Arial"/>
          <w:sz w:val="24"/>
          <w:szCs w:val="24"/>
        </w:rPr>
      </w:pPr>
      <w:r w:rsidRPr="00BF1570">
        <w:rPr>
          <w:rFonts w:ascii="Arial" w:hAnsi="Arial" w:cs="Arial"/>
          <w:sz w:val="24"/>
          <w:szCs w:val="24"/>
        </w:rPr>
        <w:t>26.</w:t>
      </w:r>
      <w:r w:rsidRPr="00BF1570">
        <w:rPr>
          <w:rFonts w:ascii="Arial" w:hAnsi="Arial" w:cs="Arial"/>
          <w:sz w:val="24"/>
          <w:szCs w:val="24"/>
        </w:rPr>
        <w:tab/>
      </w:r>
      <w:r w:rsidR="0087443E" w:rsidRPr="00F8291A">
        <w:rPr>
          <w:rFonts w:ascii="Arial" w:hAnsi="Arial" w:cs="Arial"/>
          <w:sz w:val="24"/>
          <w:szCs w:val="24"/>
        </w:rPr>
        <w:t>The words “</w:t>
      </w:r>
      <w:r w:rsidR="0087443E" w:rsidRPr="00F8291A">
        <w:rPr>
          <w:rFonts w:ascii="Arial" w:hAnsi="Arial" w:cs="Arial"/>
          <w:i/>
          <w:iCs/>
          <w:sz w:val="24"/>
          <w:szCs w:val="24"/>
        </w:rPr>
        <w:t>in terms of the Magistrates’ Courts Act</w:t>
      </w:r>
      <w:r w:rsidR="0087443E" w:rsidRPr="00F8291A">
        <w:rPr>
          <w:rFonts w:ascii="Arial" w:hAnsi="Arial" w:cs="Arial"/>
          <w:sz w:val="24"/>
          <w:szCs w:val="24"/>
        </w:rPr>
        <w:t>” were inserted in section 127(8)(a) by the legislature to serve a purpose, as otherwise th</w:t>
      </w:r>
      <w:r w:rsidR="00BF1570" w:rsidRPr="00F8291A">
        <w:rPr>
          <w:rFonts w:ascii="Arial" w:hAnsi="Arial" w:cs="Arial"/>
          <w:sz w:val="24"/>
          <w:szCs w:val="24"/>
        </w:rPr>
        <w:t>ey</w:t>
      </w:r>
      <w:r w:rsidR="0087443E" w:rsidRPr="00F8291A">
        <w:rPr>
          <w:rFonts w:ascii="Arial" w:hAnsi="Arial" w:cs="Arial"/>
          <w:sz w:val="24"/>
          <w:szCs w:val="24"/>
        </w:rPr>
        <w:t xml:space="preserve"> would be superfluous.</w:t>
      </w:r>
      <w:r w:rsidR="00424A53" w:rsidRPr="00F8291A">
        <w:rPr>
          <w:rFonts w:ascii="Arial" w:hAnsi="Arial" w:cs="Arial"/>
          <w:sz w:val="24"/>
          <w:szCs w:val="24"/>
        </w:rPr>
        <w:t xml:space="preserve"> </w:t>
      </w:r>
      <w:r w:rsidR="00BF1570" w:rsidRPr="00F8291A">
        <w:rPr>
          <w:rFonts w:ascii="Arial" w:hAnsi="Arial" w:cs="Arial"/>
          <w:sz w:val="24"/>
          <w:szCs w:val="24"/>
        </w:rPr>
        <w:t>I</w:t>
      </w:r>
      <w:r w:rsidR="00424A53" w:rsidRPr="00F8291A">
        <w:rPr>
          <w:rFonts w:ascii="Arial" w:hAnsi="Arial" w:cs="Arial"/>
          <w:sz w:val="24"/>
          <w:szCs w:val="24"/>
        </w:rPr>
        <w:t xml:space="preserve">t is a well-established </w:t>
      </w:r>
      <w:r w:rsidR="00E54003" w:rsidRPr="00F8291A">
        <w:rPr>
          <w:rFonts w:ascii="Arial" w:hAnsi="Arial" w:cs="Arial"/>
          <w:color w:val="000000"/>
          <w:sz w:val="24"/>
          <w:szCs w:val="24"/>
          <w:shd w:val="clear" w:color="auto" w:fill="FFFFFF"/>
        </w:rPr>
        <w:t>canon of construction that, if at all possible, no clause, sentence or word in a statute should be regarded as superfluous, void or insignificant, for the legislature is presumed to have chosen its words carefully</w:t>
      </w:r>
      <w:r w:rsidR="00BF1570" w:rsidRPr="00F8291A">
        <w:rPr>
          <w:rFonts w:ascii="Arial" w:hAnsi="Arial" w:cs="Arial"/>
          <w:color w:val="000000"/>
          <w:sz w:val="24"/>
          <w:szCs w:val="24"/>
          <w:shd w:val="clear" w:color="auto" w:fill="FFFFFF"/>
        </w:rPr>
        <w:t>.</w:t>
      </w:r>
    </w:p>
    <w:p w14:paraId="68C7B564" w14:textId="1FF574C2" w:rsidR="005E319F"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F1570" w:rsidRPr="00F8291A">
        <w:rPr>
          <w:rFonts w:ascii="Arial" w:hAnsi="Arial" w:cs="Arial"/>
          <w:sz w:val="24"/>
          <w:szCs w:val="24"/>
        </w:rPr>
        <w:t>The</w:t>
      </w:r>
      <w:r w:rsidR="005E319F" w:rsidRPr="00F8291A">
        <w:rPr>
          <w:rFonts w:ascii="Arial" w:hAnsi="Arial" w:cs="Arial"/>
          <w:sz w:val="24"/>
          <w:szCs w:val="24"/>
        </w:rPr>
        <w:t xml:space="preserve"> following was said by the then Appellate Division in </w:t>
      </w:r>
      <w:r w:rsidR="005E319F" w:rsidRPr="00F8291A">
        <w:rPr>
          <w:rFonts w:ascii="Arial" w:hAnsi="Arial" w:cs="Arial"/>
          <w:i/>
          <w:iCs/>
          <w:sz w:val="24"/>
          <w:szCs w:val="24"/>
        </w:rPr>
        <w:t>S v Weinberg</w:t>
      </w:r>
      <w:r w:rsidR="005E319F" w:rsidRPr="00F8291A">
        <w:rPr>
          <w:rFonts w:ascii="Arial" w:hAnsi="Arial" w:cs="Arial"/>
          <w:sz w:val="24"/>
          <w:szCs w:val="24"/>
        </w:rPr>
        <w:t xml:space="preserve"> 1979 (3) SA 89 (A) at 98E-H:</w:t>
      </w:r>
    </w:p>
    <w:p w14:paraId="06FA9E51" w14:textId="7CEAFA96" w:rsidR="005E319F" w:rsidRPr="00F332C0" w:rsidRDefault="005E319F" w:rsidP="005E319F">
      <w:pPr>
        <w:pStyle w:val="lrpara"/>
        <w:spacing w:before="180" w:beforeAutospacing="0" w:after="0" w:afterAutospacing="0" w:line="360" w:lineRule="auto"/>
        <w:ind w:left="1440"/>
        <w:jc w:val="both"/>
        <w:rPr>
          <w:rFonts w:ascii="Arial" w:hAnsi="Arial" w:cs="Arial"/>
          <w:i/>
          <w:iCs/>
          <w:color w:val="000000" w:themeColor="text1"/>
        </w:rPr>
      </w:pPr>
      <w:r w:rsidRPr="00F332C0">
        <w:rPr>
          <w:rFonts w:ascii="Arial" w:hAnsi="Arial" w:cs="Arial"/>
          <w:i/>
          <w:iCs/>
          <w:color w:val="000000" w:themeColor="text1"/>
        </w:rPr>
        <w:t>“I think that the starting point in considering this argument is to emphasize the general well-known principle that, if possible, a statutory</w:t>
      </w:r>
      <w:r w:rsidRPr="00F332C0">
        <w:rPr>
          <w:rStyle w:val="apple-converted-space"/>
          <w:rFonts w:ascii="Arial" w:hAnsi="Arial" w:cs="Arial"/>
          <w:i/>
          <w:iCs/>
          <w:color w:val="000000" w:themeColor="text1"/>
        </w:rPr>
        <w:t> </w:t>
      </w:r>
      <w:r w:rsidRPr="00F332C0">
        <w:rPr>
          <w:rFonts w:ascii="Arial" w:hAnsi="Arial" w:cs="Arial"/>
          <w:i/>
          <w:iCs/>
          <w:color w:val="000000" w:themeColor="text1"/>
        </w:rPr>
        <w:t>provision must be construed in such a way that effect is given to every word or phrase in it: or putting the same principle negatively, which is more appropriate here:</w:t>
      </w:r>
    </w:p>
    <w:p w14:paraId="57984BB3" w14:textId="77777777" w:rsidR="005E319F" w:rsidRPr="00F332C0" w:rsidRDefault="005E319F" w:rsidP="005E319F">
      <w:pPr>
        <w:pStyle w:val="lrquote"/>
        <w:spacing w:before="90" w:beforeAutospacing="0" w:after="0" w:afterAutospacing="0" w:line="360" w:lineRule="auto"/>
        <w:ind w:left="2160"/>
        <w:jc w:val="both"/>
        <w:rPr>
          <w:rFonts w:ascii="Arial" w:hAnsi="Arial" w:cs="Arial"/>
          <w:i/>
          <w:iCs/>
          <w:color w:val="000000" w:themeColor="text1"/>
        </w:rPr>
      </w:pPr>
      <w:r w:rsidRPr="00F332C0">
        <w:rPr>
          <w:rFonts w:ascii="Arial" w:hAnsi="Arial" w:cs="Arial"/>
          <w:i/>
          <w:iCs/>
          <w:color w:val="000000" w:themeColor="text1"/>
        </w:rPr>
        <w:t>"a statute ought to be so construed that, if it can be prevented, no clause, sentence, or word shall be superfluous, void or insignificant..."</w:t>
      </w:r>
    </w:p>
    <w:p w14:paraId="089CF20D" w14:textId="1FC606F4" w:rsidR="005E319F" w:rsidRPr="00F332C0" w:rsidRDefault="005E319F" w:rsidP="005E319F">
      <w:pPr>
        <w:pStyle w:val="lrpara"/>
        <w:spacing w:before="180" w:beforeAutospacing="0" w:after="0" w:afterAutospacing="0" w:line="360" w:lineRule="auto"/>
        <w:ind w:left="1440"/>
        <w:jc w:val="both"/>
        <w:rPr>
          <w:rFonts w:ascii="Arial" w:hAnsi="Arial" w:cs="Arial"/>
          <w:i/>
          <w:iCs/>
          <w:color w:val="000000" w:themeColor="text1"/>
        </w:rPr>
      </w:pPr>
      <w:r w:rsidRPr="00F332C0">
        <w:rPr>
          <w:rFonts w:ascii="Arial" w:hAnsi="Arial" w:cs="Arial"/>
          <w:i/>
          <w:iCs/>
          <w:color w:val="000000" w:themeColor="text1"/>
        </w:rPr>
        <w:t>per</w:t>
      </w:r>
      <w:r w:rsidRPr="00F332C0">
        <w:rPr>
          <w:rStyle w:val="apple-converted-space"/>
          <w:rFonts w:ascii="Arial" w:hAnsi="Arial" w:cs="Arial"/>
          <w:i/>
          <w:iCs/>
          <w:color w:val="000000" w:themeColor="text1"/>
        </w:rPr>
        <w:t> </w:t>
      </w:r>
      <w:r w:rsidRPr="00F332C0">
        <w:rPr>
          <w:rFonts w:ascii="Arial" w:hAnsi="Arial" w:cs="Arial"/>
          <w:i/>
          <w:iCs/>
          <w:color w:val="000000" w:themeColor="text1"/>
        </w:rPr>
        <w:t>COCKBURN CJ in</w:t>
      </w:r>
      <w:r w:rsidRPr="00F332C0">
        <w:rPr>
          <w:rStyle w:val="apple-converted-space"/>
          <w:rFonts w:ascii="Arial" w:hAnsi="Arial" w:cs="Arial"/>
          <w:i/>
          <w:iCs/>
          <w:color w:val="000000" w:themeColor="text1"/>
        </w:rPr>
        <w:t> </w:t>
      </w:r>
      <w:r w:rsidRPr="00F332C0">
        <w:rPr>
          <w:rFonts w:ascii="Arial" w:hAnsi="Arial" w:cs="Arial"/>
          <w:i/>
          <w:iCs/>
          <w:color w:val="000000" w:themeColor="text1"/>
        </w:rPr>
        <w:t xml:space="preserve">The Queen </w:t>
      </w:r>
      <w:proofErr w:type="gramStart"/>
      <w:r w:rsidRPr="00F332C0">
        <w:rPr>
          <w:rFonts w:ascii="Arial" w:hAnsi="Arial" w:cs="Arial"/>
          <w:i/>
          <w:iCs/>
          <w:color w:val="000000" w:themeColor="text1"/>
        </w:rPr>
        <w:t>v</w:t>
      </w:r>
      <w:proofErr w:type="gramEnd"/>
      <w:r w:rsidRPr="00F332C0">
        <w:rPr>
          <w:rFonts w:ascii="Arial" w:hAnsi="Arial" w:cs="Arial"/>
          <w:i/>
          <w:iCs/>
          <w:color w:val="000000" w:themeColor="text1"/>
        </w:rPr>
        <w:t xml:space="preserve"> Bishop of Oxford</w:t>
      </w:r>
      <w:r w:rsidRPr="00F332C0">
        <w:rPr>
          <w:rStyle w:val="apple-converted-space"/>
          <w:rFonts w:ascii="Arial" w:hAnsi="Arial" w:cs="Arial"/>
          <w:i/>
          <w:iCs/>
          <w:color w:val="000000" w:themeColor="text1"/>
        </w:rPr>
        <w:t> </w:t>
      </w:r>
      <w:r w:rsidRPr="00F332C0">
        <w:rPr>
          <w:rFonts w:ascii="Arial" w:hAnsi="Arial" w:cs="Arial"/>
          <w:i/>
          <w:iCs/>
          <w:color w:val="000000" w:themeColor="text1"/>
        </w:rPr>
        <w:t>(1879) 4 QB 245 at 261.</w:t>
      </w:r>
      <w:r w:rsidRPr="00F332C0">
        <w:rPr>
          <w:rStyle w:val="apple-converted-space"/>
          <w:rFonts w:ascii="Arial" w:hAnsi="Arial" w:cs="Arial"/>
          <w:i/>
          <w:iCs/>
          <w:color w:val="000000" w:themeColor="text1"/>
        </w:rPr>
        <w:t> </w:t>
      </w:r>
      <w:r w:rsidRPr="00F332C0">
        <w:rPr>
          <w:rStyle w:val="mc"/>
          <w:rFonts w:ascii="Arial" w:hAnsi="Arial" w:cs="Arial"/>
          <w:i/>
          <w:iCs/>
          <w:color w:val="000000" w:themeColor="text1"/>
          <w:shd w:val="clear" w:color="auto" w:fill="C0C0C0"/>
        </w:rPr>
        <w:t> </w:t>
      </w:r>
      <w:proofErr w:type="gramStart"/>
      <w:r w:rsidRPr="00F332C0">
        <w:rPr>
          <w:rStyle w:val="mc"/>
          <w:rFonts w:ascii="Arial" w:hAnsi="Arial" w:cs="Arial"/>
          <w:i/>
          <w:iCs/>
          <w:color w:val="000000" w:themeColor="text1"/>
          <w:shd w:val="clear" w:color="auto" w:fill="C0C0C0"/>
        </w:rPr>
        <w:t>F </w:t>
      </w:r>
      <w:r w:rsidRPr="00F332C0">
        <w:rPr>
          <w:rStyle w:val="apple-converted-space"/>
          <w:rFonts w:ascii="Arial" w:hAnsi="Arial" w:cs="Arial"/>
          <w:i/>
          <w:iCs/>
          <w:color w:val="000000" w:themeColor="text1"/>
        </w:rPr>
        <w:t> </w:t>
      </w:r>
      <w:r w:rsidRPr="00F332C0">
        <w:rPr>
          <w:rFonts w:ascii="Arial" w:hAnsi="Arial" w:cs="Arial"/>
          <w:i/>
          <w:iCs/>
          <w:color w:val="000000" w:themeColor="text1"/>
        </w:rPr>
        <w:t>This</w:t>
      </w:r>
      <w:proofErr w:type="gramEnd"/>
      <w:r w:rsidRPr="00F332C0">
        <w:rPr>
          <w:rStyle w:val="apple-converted-space"/>
          <w:rFonts w:ascii="Arial" w:hAnsi="Arial" w:cs="Arial"/>
          <w:i/>
          <w:iCs/>
          <w:color w:val="000000" w:themeColor="text1"/>
        </w:rPr>
        <w:t> </w:t>
      </w:r>
      <w:r w:rsidRPr="00F332C0">
        <w:rPr>
          <w:rFonts w:ascii="Arial" w:hAnsi="Arial" w:cs="Arial"/>
          <w:i/>
          <w:iCs/>
          <w:color w:val="000000" w:themeColor="text1"/>
        </w:rPr>
        <w:t>dictum</w:t>
      </w:r>
      <w:r w:rsidRPr="00F332C0">
        <w:rPr>
          <w:rStyle w:val="apple-converted-space"/>
          <w:rFonts w:ascii="Arial" w:hAnsi="Arial" w:cs="Arial"/>
          <w:i/>
          <w:iCs/>
          <w:color w:val="000000" w:themeColor="text1"/>
        </w:rPr>
        <w:t> </w:t>
      </w:r>
      <w:r w:rsidRPr="00F332C0">
        <w:rPr>
          <w:rFonts w:ascii="Arial" w:hAnsi="Arial" w:cs="Arial"/>
          <w:i/>
          <w:iCs/>
          <w:color w:val="000000" w:themeColor="text1"/>
        </w:rPr>
        <w:t>was adopted by KOTZÉ JA in</w:t>
      </w:r>
      <w:r w:rsidRPr="00F332C0">
        <w:rPr>
          <w:rStyle w:val="apple-converted-space"/>
          <w:rFonts w:ascii="Arial" w:hAnsi="Arial" w:cs="Arial"/>
          <w:i/>
          <w:iCs/>
          <w:color w:val="000000" w:themeColor="text1"/>
        </w:rPr>
        <w:t> </w:t>
      </w:r>
      <w:r w:rsidRPr="00F332C0">
        <w:rPr>
          <w:rFonts w:ascii="Arial" w:hAnsi="Arial" w:cs="Arial"/>
          <w:i/>
          <w:iCs/>
          <w:color w:val="000000" w:themeColor="text1"/>
        </w:rPr>
        <w:t xml:space="preserve">Attorney-General, Transvaal v Additional Magistrate for Johannesburg 1924 AD 421 at 436. The reason is, of course, that the lawgiver, it must be supposed, will choose its words carefully in order to express its intention correctly, </w:t>
      </w:r>
      <w:r w:rsidRPr="00F332C0">
        <w:rPr>
          <w:rFonts w:ascii="Arial" w:hAnsi="Arial" w:cs="Arial"/>
          <w:i/>
          <w:iCs/>
          <w:color w:val="000000" w:themeColor="text1"/>
        </w:rPr>
        <w:lastRenderedPageBreak/>
        <w:t>and it will therefore not use any words that are superfluous, meaningless, or</w:t>
      </w:r>
      <w:r w:rsidRPr="00F332C0">
        <w:rPr>
          <w:rStyle w:val="apple-converted-space"/>
          <w:rFonts w:ascii="Arial" w:hAnsi="Arial" w:cs="Arial"/>
          <w:i/>
          <w:iCs/>
          <w:color w:val="000000" w:themeColor="text1"/>
        </w:rPr>
        <w:t> </w:t>
      </w:r>
      <w:r w:rsidRPr="00F332C0">
        <w:rPr>
          <w:rFonts w:ascii="Arial" w:hAnsi="Arial" w:cs="Arial"/>
          <w:i/>
          <w:iCs/>
          <w:color w:val="000000" w:themeColor="text1"/>
        </w:rPr>
        <w:t>otherwise otiose (see Steyn</w:t>
      </w:r>
      <w:r w:rsidRPr="00F332C0">
        <w:rPr>
          <w:rStyle w:val="apple-converted-space"/>
          <w:rFonts w:ascii="Arial" w:hAnsi="Arial" w:cs="Arial"/>
          <w:i/>
          <w:iCs/>
          <w:color w:val="000000" w:themeColor="text1"/>
        </w:rPr>
        <w:t> </w:t>
      </w:r>
      <w:r w:rsidRPr="00F332C0">
        <w:rPr>
          <w:rFonts w:ascii="Arial" w:hAnsi="Arial" w:cs="Arial"/>
          <w:i/>
          <w:iCs/>
          <w:color w:val="000000" w:themeColor="text1"/>
        </w:rPr>
        <w:t xml:space="preserve">Die </w:t>
      </w:r>
      <w:proofErr w:type="spellStart"/>
      <w:r w:rsidRPr="00F332C0">
        <w:rPr>
          <w:rFonts w:ascii="Arial" w:hAnsi="Arial" w:cs="Arial"/>
          <w:i/>
          <w:iCs/>
          <w:color w:val="000000" w:themeColor="text1"/>
        </w:rPr>
        <w:t>Uitleg</w:t>
      </w:r>
      <w:proofErr w:type="spellEnd"/>
      <w:r w:rsidRPr="00F332C0">
        <w:rPr>
          <w:rFonts w:ascii="Arial" w:hAnsi="Arial" w:cs="Arial"/>
          <w:i/>
          <w:iCs/>
          <w:color w:val="000000" w:themeColor="text1"/>
        </w:rPr>
        <w:t xml:space="preserve"> van </w:t>
      </w:r>
      <w:proofErr w:type="spellStart"/>
      <w:r w:rsidRPr="00F332C0">
        <w:rPr>
          <w:rFonts w:ascii="Arial" w:hAnsi="Arial" w:cs="Arial"/>
          <w:i/>
          <w:iCs/>
          <w:color w:val="000000" w:themeColor="text1"/>
        </w:rPr>
        <w:t>Wette</w:t>
      </w:r>
      <w:proofErr w:type="spellEnd"/>
      <w:r w:rsidRPr="00F332C0">
        <w:rPr>
          <w:rStyle w:val="apple-converted-space"/>
          <w:rFonts w:ascii="Arial" w:hAnsi="Arial" w:cs="Arial"/>
          <w:i/>
          <w:iCs/>
          <w:color w:val="000000" w:themeColor="text1"/>
        </w:rPr>
        <w:t> </w:t>
      </w:r>
      <w:r w:rsidRPr="00F332C0">
        <w:rPr>
          <w:rFonts w:ascii="Arial" w:hAnsi="Arial" w:cs="Arial"/>
          <w:i/>
          <w:iCs/>
          <w:color w:val="000000" w:themeColor="text1"/>
        </w:rPr>
        <w:t xml:space="preserve">3rd </w:t>
      </w:r>
      <w:proofErr w:type="spellStart"/>
      <w:r w:rsidRPr="00F332C0">
        <w:rPr>
          <w:rFonts w:ascii="Arial" w:hAnsi="Arial" w:cs="Arial"/>
          <w:i/>
          <w:iCs/>
          <w:color w:val="000000" w:themeColor="text1"/>
        </w:rPr>
        <w:t>ed</w:t>
      </w:r>
      <w:proofErr w:type="spellEnd"/>
      <w:r w:rsidRPr="00F332C0">
        <w:rPr>
          <w:rFonts w:ascii="Arial" w:hAnsi="Arial" w:cs="Arial"/>
          <w:i/>
          <w:iCs/>
          <w:color w:val="000000" w:themeColor="text1"/>
        </w:rPr>
        <w:t xml:space="preserve"> at </w:t>
      </w:r>
      <w:proofErr w:type="gramStart"/>
      <w:r w:rsidRPr="00F332C0">
        <w:rPr>
          <w:rFonts w:ascii="Arial" w:hAnsi="Arial" w:cs="Arial"/>
          <w:i/>
          <w:iCs/>
          <w:color w:val="000000" w:themeColor="text1"/>
        </w:rPr>
        <w:t>16)…</w:t>
      </w:r>
      <w:proofErr w:type="gramEnd"/>
    </w:p>
    <w:p w14:paraId="07FE9A9E" w14:textId="584D516D" w:rsidR="005E319F" w:rsidRPr="00F332C0" w:rsidRDefault="005E319F" w:rsidP="005E319F">
      <w:pPr>
        <w:pStyle w:val="lrpara"/>
        <w:spacing w:before="180" w:beforeAutospacing="0" w:after="0" w:afterAutospacing="0" w:line="360" w:lineRule="auto"/>
        <w:ind w:left="1418"/>
        <w:jc w:val="both"/>
        <w:rPr>
          <w:rFonts w:ascii="Arial" w:hAnsi="Arial" w:cs="Arial"/>
          <w:i/>
          <w:iCs/>
          <w:color w:val="000000" w:themeColor="text1"/>
        </w:rPr>
      </w:pPr>
      <w:r w:rsidRPr="00F332C0">
        <w:rPr>
          <w:rFonts w:ascii="Arial" w:hAnsi="Arial" w:cs="Arial"/>
          <w:i/>
          <w:iCs/>
          <w:color w:val="000000" w:themeColor="text1"/>
        </w:rPr>
        <w:t>It is true, however, that occasionally and contrary to the above general principle, Courts have, in construing a statutory provision, treated a</w:t>
      </w:r>
      <w:r w:rsidRPr="00F332C0">
        <w:rPr>
          <w:rStyle w:val="apple-converted-space"/>
          <w:rFonts w:ascii="Arial" w:hAnsi="Arial" w:cs="Arial"/>
          <w:i/>
          <w:iCs/>
          <w:color w:val="000000" w:themeColor="text1"/>
        </w:rPr>
        <w:t> </w:t>
      </w:r>
      <w:r w:rsidRPr="00F332C0">
        <w:rPr>
          <w:rFonts w:ascii="Arial" w:hAnsi="Arial" w:cs="Arial"/>
          <w:i/>
          <w:iCs/>
          <w:color w:val="000000" w:themeColor="text1"/>
        </w:rPr>
        <w:t>word or phrase therein as being superfluous, meaningless, or otherwise otiose or as having been included therein erroneously, and they have in consequence ignored it in giving due effect to the manifest intention of the lawgiver</w:t>
      </w:r>
      <w:r w:rsidR="00706A68" w:rsidRPr="00F332C0">
        <w:rPr>
          <w:rFonts w:ascii="Arial" w:hAnsi="Arial" w:cs="Arial"/>
          <w:i/>
          <w:iCs/>
          <w:color w:val="000000" w:themeColor="text1"/>
        </w:rPr>
        <w:t>..</w:t>
      </w:r>
      <w:r w:rsidRPr="00F332C0">
        <w:rPr>
          <w:rFonts w:ascii="Arial" w:hAnsi="Arial" w:cs="Arial"/>
          <w:i/>
          <w:iCs/>
          <w:color w:val="000000" w:themeColor="text1"/>
        </w:rPr>
        <w:t>.</w:t>
      </w:r>
      <w:r w:rsidR="00706A68" w:rsidRPr="00F332C0">
        <w:rPr>
          <w:rFonts w:ascii="Arial" w:hAnsi="Arial" w:cs="Arial"/>
          <w:i/>
          <w:iCs/>
          <w:color w:val="000000" w:themeColor="text1"/>
        </w:rPr>
        <w:t xml:space="preserve"> B</w:t>
      </w:r>
      <w:r w:rsidR="00706A68" w:rsidRPr="00F332C0">
        <w:rPr>
          <w:rFonts w:ascii="Arial" w:hAnsi="Arial" w:cs="Arial"/>
          <w:i/>
          <w:iCs/>
          <w:color w:val="000000" w:themeColor="text1"/>
          <w:shd w:val="clear" w:color="auto" w:fill="FFFFFF"/>
        </w:rPr>
        <w:t>ut, because of the very nature and object of the technique, it is obvious from the above authorities that it can only be used as a last resort in construing the provision in question (see especially the</w:t>
      </w:r>
      <w:r w:rsidR="00706A68" w:rsidRPr="00F332C0">
        <w:rPr>
          <w:rStyle w:val="apple-converted-space"/>
          <w:rFonts w:ascii="Arial" w:hAnsi="Arial" w:cs="Arial"/>
          <w:i/>
          <w:iCs/>
          <w:color w:val="000000" w:themeColor="text1"/>
          <w:shd w:val="clear" w:color="auto" w:fill="FFFFFF"/>
        </w:rPr>
        <w:t> </w:t>
      </w:r>
      <w:r w:rsidR="00706A68" w:rsidRPr="00F332C0">
        <w:rPr>
          <w:rFonts w:ascii="Arial" w:hAnsi="Arial" w:cs="Arial"/>
          <w:i/>
          <w:iCs/>
          <w:color w:val="000000" w:themeColor="text1"/>
        </w:rPr>
        <w:t>Attorney General</w:t>
      </w:r>
      <w:r w:rsidR="00706A68" w:rsidRPr="00F332C0">
        <w:rPr>
          <w:rStyle w:val="apple-converted-space"/>
          <w:rFonts w:ascii="Arial" w:hAnsi="Arial" w:cs="Arial"/>
          <w:i/>
          <w:iCs/>
          <w:color w:val="000000" w:themeColor="text1"/>
          <w:shd w:val="clear" w:color="auto" w:fill="FFFFFF"/>
        </w:rPr>
        <w:t> </w:t>
      </w:r>
      <w:r w:rsidR="00706A68" w:rsidRPr="00F332C0">
        <w:rPr>
          <w:rFonts w:ascii="Arial" w:hAnsi="Arial" w:cs="Arial"/>
          <w:i/>
          <w:iCs/>
          <w:color w:val="000000" w:themeColor="text1"/>
          <w:shd w:val="clear" w:color="auto" w:fill="FFFFFF"/>
        </w:rPr>
        <w:t>case</w:t>
      </w:r>
      <w:r w:rsidR="00706A68" w:rsidRPr="00F332C0">
        <w:rPr>
          <w:rStyle w:val="apple-converted-space"/>
          <w:rFonts w:ascii="Arial" w:hAnsi="Arial" w:cs="Arial"/>
          <w:i/>
          <w:iCs/>
          <w:color w:val="000000" w:themeColor="text1"/>
          <w:shd w:val="clear" w:color="auto" w:fill="FFFFFF"/>
        </w:rPr>
        <w:t> </w:t>
      </w:r>
      <w:r w:rsidR="00706A68" w:rsidRPr="00F332C0">
        <w:rPr>
          <w:rFonts w:ascii="Arial" w:hAnsi="Arial" w:cs="Arial"/>
          <w:i/>
          <w:iCs/>
          <w:color w:val="000000" w:themeColor="text1"/>
        </w:rPr>
        <w:t>supra</w:t>
      </w:r>
      <w:r w:rsidR="00706A68" w:rsidRPr="00F332C0">
        <w:rPr>
          <w:rStyle w:val="apple-converted-space"/>
          <w:rFonts w:ascii="Arial" w:hAnsi="Arial" w:cs="Arial"/>
          <w:i/>
          <w:iCs/>
          <w:color w:val="000000" w:themeColor="text1"/>
          <w:shd w:val="clear" w:color="auto" w:fill="FFFFFF"/>
        </w:rPr>
        <w:t> </w:t>
      </w:r>
      <w:r w:rsidR="00706A68" w:rsidRPr="00F332C0">
        <w:rPr>
          <w:rFonts w:ascii="Arial" w:hAnsi="Arial" w:cs="Arial"/>
          <w:i/>
          <w:iCs/>
          <w:color w:val="000000" w:themeColor="text1"/>
          <w:shd w:val="clear" w:color="auto" w:fill="FFFFFF"/>
        </w:rPr>
        <w:t>at 436)</w:t>
      </w:r>
      <w:r w:rsidRPr="00F332C0">
        <w:rPr>
          <w:rFonts w:ascii="Arial" w:hAnsi="Arial" w:cs="Arial"/>
          <w:i/>
          <w:iCs/>
          <w:color w:val="000000" w:themeColor="text1"/>
        </w:rPr>
        <w:t>”</w:t>
      </w:r>
    </w:p>
    <w:p w14:paraId="73D15504" w14:textId="784F0C80" w:rsidR="0087443E"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28.</w:t>
      </w:r>
      <w:r>
        <w:rPr>
          <w:rFonts w:ascii="Arial" w:hAnsi="Arial" w:cs="Arial"/>
          <w:sz w:val="24"/>
          <w:szCs w:val="24"/>
        </w:rPr>
        <w:tab/>
      </w:r>
      <w:r w:rsidR="0087443E" w:rsidRPr="00F8291A">
        <w:rPr>
          <w:rFonts w:ascii="Arial" w:hAnsi="Arial" w:cs="Arial"/>
          <w:sz w:val="24"/>
          <w:szCs w:val="24"/>
        </w:rPr>
        <w:t xml:space="preserve">What then is the purpose of the insertion of the </w:t>
      </w:r>
      <w:r w:rsidR="00CD1001" w:rsidRPr="00F8291A">
        <w:rPr>
          <w:rFonts w:ascii="Arial" w:hAnsi="Arial" w:cs="Arial"/>
          <w:sz w:val="24"/>
          <w:szCs w:val="24"/>
        </w:rPr>
        <w:t>phrase</w:t>
      </w:r>
      <w:r w:rsidR="0087443E" w:rsidRPr="00F8291A">
        <w:rPr>
          <w:rFonts w:ascii="Arial" w:hAnsi="Arial" w:cs="Arial"/>
          <w:sz w:val="24"/>
          <w:szCs w:val="24"/>
        </w:rPr>
        <w:t xml:space="preserve"> “</w:t>
      </w:r>
      <w:r w:rsidR="0087443E" w:rsidRPr="00F8291A">
        <w:rPr>
          <w:rFonts w:ascii="Arial" w:hAnsi="Arial" w:cs="Arial"/>
          <w:i/>
          <w:iCs/>
          <w:sz w:val="24"/>
          <w:szCs w:val="24"/>
        </w:rPr>
        <w:t>in terms of the Magistrates’ Courts Act</w:t>
      </w:r>
      <w:r w:rsidR="0087443E" w:rsidRPr="00F8291A">
        <w:rPr>
          <w:rFonts w:ascii="Arial" w:hAnsi="Arial" w:cs="Arial"/>
          <w:sz w:val="24"/>
          <w:szCs w:val="24"/>
        </w:rPr>
        <w:t xml:space="preserve">”? </w:t>
      </w:r>
      <w:r w:rsidR="00CD1001" w:rsidRPr="00F8291A">
        <w:rPr>
          <w:rFonts w:ascii="Arial" w:hAnsi="Arial" w:cs="Arial"/>
          <w:sz w:val="24"/>
          <w:szCs w:val="24"/>
        </w:rPr>
        <w:t>Put differently</w:t>
      </w:r>
      <w:r w:rsidR="0087443E" w:rsidRPr="00F8291A">
        <w:rPr>
          <w:rFonts w:ascii="Arial" w:hAnsi="Arial" w:cs="Arial"/>
          <w:sz w:val="24"/>
          <w:szCs w:val="24"/>
        </w:rPr>
        <w:t xml:space="preserve">, what function </w:t>
      </w:r>
      <w:r w:rsidR="00CD1001" w:rsidRPr="00F8291A">
        <w:rPr>
          <w:rFonts w:ascii="Arial" w:hAnsi="Arial" w:cs="Arial"/>
          <w:sz w:val="24"/>
          <w:szCs w:val="24"/>
        </w:rPr>
        <w:t>does the phrase</w:t>
      </w:r>
      <w:r w:rsidR="0087443E" w:rsidRPr="00F8291A">
        <w:rPr>
          <w:rFonts w:ascii="Arial" w:hAnsi="Arial" w:cs="Arial"/>
          <w:sz w:val="24"/>
          <w:szCs w:val="24"/>
        </w:rPr>
        <w:t xml:space="preserve"> perform?</w:t>
      </w:r>
    </w:p>
    <w:p w14:paraId="46E4CD15" w14:textId="638CE7FE" w:rsidR="0087443E"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A5FCD" w:rsidRPr="00F8291A">
        <w:rPr>
          <w:rFonts w:ascii="Arial" w:hAnsi="Arial" w:cs="Arial"/>
          <w:sz w:val="24"/>
          <w:szCs w:val="24"/>
        </w:rPr>
        <w:t>The purpose of the phrase is to deal with jurisdiction. No</w:t>
      </w:r>
      <w:r w:rsidR="003E51E4" w:rsidRPr="00F8291A">
        <w:rPr>
          <w:rFonts w:ascii="Arial" w:hAnsi="Arial" w:cs="Arial"/>
          <w:sz w:val="24"/>
          <w:szCs w:val="24"/>
        </w:rPr>
        <w:t xml:space="preserve"> other purpose or function suggests itself</w:t>
      </w:r>
      <w:r w:rsidR="00FA5FCD" w:rsidRPr="00F8291A">
        <w:rPr>
          <w:rFonts w:ascii="Arial" w:hAnsi="Arial" w:cs="Arial"/>
          <w:sz w:val="24"/>
          <w:szCs w:val="24"/>
        </w:rPr>
        <w:t xml:space="preserve">, nor did </w:t>
      </w:r>
      <w:r w:rsidR="00CD1001" w:rsidRPr="00F8291A">
        <w:rPr>
          <w:rFonts w:ascii="Arial" w:hAnsi="Arial" w:cs="Arial"/>
          <w:sz w:val="24"/>
          <w:szCs w:val="24"/>
        </w:rPr>
        <w:t>counsel</w:t>
      </w:r>
      <w:r w:rsidR="00FA5FCD" w:rsidRPr="00F8291A">
        <w:rPr>
          <w:rFonts w:ascii="Arial" w:hAnsi="Arial" w:cs="Arial"/>
          <w:sz w:val="24"/>
          <w:szCs w:val="24"/>
        </w:rPr>
        <w:t xml:space="preserve"> offer any other.</w:t>
      </w:r>
    </w:p>
    <w:p w14:paraId="465BCE04" w14:textId="7B6C19B2" w:rsidR="003E51E4" w:rsidRPr="00F8291A" w:rsidRDefault="00F8291A" w:rsidP="00F8291A">
      <w:pPr>
        <w:spacing w:before="360" w:after="360" w:line="480" w:lineRule="auto"/>
        <w:ind w:left="624" w:right="117" w:hanging="624"/>
        <w:jc w:val="both"/>
        <w:rPr>
          <w:rFonts w:ascii="Arial" w:hAnsi="Arial" w:cs="Arial"/>
          <w:sz w:val="24"/>
          <w:szCs w:val="24"/>
        </w:rPr>
      </w:pPr>
      <w:r w:rsidRPr="00F00438">
        <w:rPr>
          <w:rFonts w:ascii="Arial" w:hAnsi="Arial" w:cs="Arial"/>
          <w:sz w:val="24"/>
          <w:szCs w:val="24"/>
        </w:rPr>
        <w:t>30.</w:t>
      </w:r>
      <w:r w:rsidRPr="00F00438">
        <w:rPr>
          <w:rFonts w:ascii="Arial" w:hAnsi="Arial" w:cs="Arial"/>
          <w:sz w:val="24"/>
          <w:szCs w:val="24"/>
        </w:rPr>
        <w:tab/>
      </w:r>
      <w:r w:rsidR="00FA5FCD" w:rsidRPr="00F8291A">
        <w:rPr>
          <w:rFonts w:ascii="Arial" w:hAnsi="Arial" w:cs="Arial"/>
          <w:sz w:val="24"/>
          <w:szCs w:val="24"/>
        </w:rPr>
        <w:t>The issue is how</w:t>
      </w:r>
      <w:r w:rsidR="00F00438" w:rsidRPr="00F8291A">
        <w:rPr>
          <w:rFonts w:ascii="Arial" w:hAnsi="Arial" w:cs="Arial"/>
          <w:sz w:val="24"/>
          <w:szCs w:val="24"/>
        </w:rPr>
        <w:t xml:space="preserve"> </w:t>
      </w:r>
      <w:r w:rsidR="00FA5FCD" w:rsidRPr="00F8291A">
        <w:rPr>
          <w:rFonts w:ascii="Arial" w:hAnsi="Arial" w:cs="Arial"/>
          <w:sz w:val="24"/>
          <w:szCs w:val="24"/>
        </w:rPr>
        <w:t>the phrase deal</w:t>
      </w:r>
      <w:r w:rsidR="00F00438" w:rsidRPr="00F8291A">
        <w:rPr>
          <w:rFonts w:ascii="Arial" w:hAnsi="Arial" w:cs="Arial"/>
          <w:sz w:val="24"/>
          <w:szCs w:val="24"/>
        </w:rPr>
        <w:t>s</w:t>
      </w:r>
      <w:r w:rsidR="00FA5FCD" w:rsidRPr="00F8291A">
        <w:rPr>
          <w:rFonts w:ascii="Arial" w:hAnsi="Arial" w:cs="Arial"/>
          <w:sz w:val="24"/>
          <w:szCs w:val="24"/>
        </w:rPr>
        <w:t xml:space="preserve"> with jurisdiction.</w:t>
      </w:r>
    </w:p>
    <w:p w14:paraId="2F9311E5" w14:textId="2B3A03F3" w:rsidR="003E51E4"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336F6" w:rsidRPr="00F8291A">
        <w:rPr>
          <w:rFonts w:ascii="Arial" w:hAnsi="Arial" w:cs="Arial"/>
          <w:sz w:val="24"/>
          <w:szCs w:val="24"/>
        </w:rPr>
        <w:t>Typically</w:t>
      </w:r>
      <w:r w:rsidR="003E51E4" w:rsidRPr="00F8291A">
        <w:rPr>
          <w:rFonts w:ascii="Arial" w:hAnsi="Arial" w:cs="Arial"/>
          <w:sz w:val="24"/>
          <w:szCs w:val="24"/>
        </w:rPr>
        <w:t xml:space="preserve">, the function of such a phrase </w:t>
      </w:r>
      <w:r w:rsidR="00FA5FCD" w:rsidRPr="00F8291A">
        <w:rPr>
          <w:rFonts w:ascii="Arial" w:hAnsi="Arial" w:cs="Arial"/>
          <w:sz w:val="24"/>
          <w:szCs w:val="24"/>
        </w:rPr>
        <w:t>would be</w:t>
      </w:r>
      <w:r w:rsidR="00B50939" w:rsidRPr="00F8291A">
        <w:rPr>
          <w:rFonts w:ascii="Arial" w:hAnsi="Arial" w:cs="Arial"/>
          <w:sz w:val="24"/>
          <w:szCs w:val="24"/>
        </w:rPr>
        <w:t xml:space="preserve"> to</w:t>
      </w:r>
      <w:r w:rsidR="003E51E4" w:rsidRPr="00F8291A">
        <w:rPr>
          <w:rFonts w:ascii="Arial" w:hAnsi="Arial" w:cs="Arial"/>
          <w:sz w:val="24"/>
          <w:szCs w:val="24"/>
        </w:rPr>
        <w:t xml:space="preserve"> confer jurisdiction on a court that </w:t>
      </w:r>
      <w:r w:rsidR="00CD1001" w:rsidRPr="00F8291A">
        <w:rPr>
          <w:rFonts w:ascii="Arial" w:hAnsi="Arial" w:cs="Arial"/>
          <w:sz w:val="24"/>
          <w:szCs w:val="24"/>
        </w:rPr>
        <w:t>such court</w:t>
      </w:r>
      <w:r w:rsidR="003E51E4" w:rsidRPr="00F8291A">
        <w:rPr>
          <w:rFonts w:ascii="Arial" w:hAnsi="Arial" w:cs="Arial"/>
          <w:sz w:val="24"/>
          <w:szCs w:val="24"/>
        </w:rPr>
        <w:t xml:space="preserve"> does not otherwise have.</w:t>
      </w:r>
      <w:r w:rsidR="00FA5FCD" w:rsidRPr="00F8291A">
        <w:rPr>
          <w:rFonts w:ascii="Arial" w:hAnsi="Arial" w:cs="Arial"/>
          <w:sz w:val="24"/>
          <w:szCs w:val="24"/>
        </w:rPr>
        <w:t xml:space="preserve"> </w:t>
      </w:r>
      <w:r w:rsidR="004C658F" w:rsidRPr="00F8291A">
        <w:rPr>
          <w:rFonts w:ascii="Arial" w:hAnsi="Arial" w:cs="Arial"/>
          <w:sz w:val="24"/>
          <w:szCs w:val="24"/>
        </w:rPr>
        <w:t xml:space="preserve">But </w:t>
      </w:r>
      <w:r w:rsidR="00CD1001" w:rsidRPr="00F8291A">
        <w:rPr>
          <w:rFonts w:ascii="Arial" w:hAnsi="Arial" w:cs="Arial"/>
          <w:sz w:val="24"/>
          <w:szCs w:val="24"/>
        </w:rPr>
        <w:t xml:space="preserve">in this instance </w:t>
      </w:r>
      <w:r w:rsidR="004C658F" w:rsidRPr="00F8291A">
        <w:rPr>
          <w:rFonts w:ascii="Arial" w:hAnsi="Arial" w:cs="Arial"/>
          <w:sz w:val="24"/>
          <w:szCs w:val="24"/>
        </w:rPr>
        <w:t>the magistrates’ courts already have jurisdiction to determine claims falling under section 127(8)(a) and so that cannot be</w:t>
      </w:r>
      <w:r w:rsidR="00CD1001" w:rsidRPr="00F8291A">
        <w:rPr>
          <w:rFonts w:ascii="Arial" w:hAnsi="Arial" w:cs="Arial"/>
          <w:sz w:val="24"/>
          <w:szCs w:val="24"/>
        </w:rPr>
        <w:t xml:space="preserve"> the</w:t>
      </w:r>
      <w:r w:rsidR="004C658F" w:rsidRPr="00F8291A">
        <w:rPr>
          <w:rFonts w:ascii="Arial" w:hAnsi="Arial" w:cs="Arial"/>
          <w:sz w:val="24"/>
          <w:szCs w:val="24"/>
        </w:rPr>
        <w:t xml:space="preserve"> purpose</w:t>
      </w:r>
      <w:r w:rsidR="00CD1001" w:rsidRPr="00F8291A">
        <w:rPr>
          <w:rFonts w:ascii="Arial" w:hAnsi="Arial" w:cs="Arial"/>
          <w:sz w:val="24"/>
          <w:szCs w:val="24"/>
        </w:rPr>
        <w:t xml:space="preserve"> of the phrase.</w:t>
      </w:r>
    </w:p>
    <w:p w14:paraId="3153511D" w14:textId="01832C9B" w:rsidR="004C658F" w:rsidRPr="00F8291A" w:rsidRDefault="00F8291A" w:rsidP="00F8291A">
      <w:pPr>
        <w:keepNext/>
        <w:spacing w:before="360" w:after="360" w:line="480" w:lineRule="auto"/>
        <w:ind w:left="624" w:right="119" w:hanging="624"/>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4C658F" w:rsidRPr="00F8291A">
        <w:rPr>
          <w:rFonts w:ascii="Arial" w:hAnsi="Arial" w:cs="Arial"/>
          <w:sz w:val="24"/>
          <w:szCs w:val="24"/>
        </w:rPr>
        <w:t xml:space="preserve">Section 29(1)(e) of the Magistrates’ Courts Act provides that: </w:t>
      </w:r>
    </w:p>
    <w:p w14:paraId="645B8AEB" w14:textId="5356CF3E" w:rsidR="004C658F" w:rsidRDefault="004C658F" w:rsidP="00CD1001">
      <w:pPr>
        <w:pStyle w:val="Quotation"/>
        <w:spacing w:line="360" w:lineRule="auto"/>
        <w:ind w:right="117"/>
      </w:pPr>
      <w:r>
        <w:t>“1.</w:t>
      </w:r>
      <w:r>
        <w:tab/>
        <w:t xml:space="preserve">Subject to the provisions of this Act and the National Credit Act, 2005, a court, in respect of causes of action, shall have jurisdiction in –  </w:t>
      </w:r>
    </w:p>
    <w:p w14:paraId="3B6B31D4" w14:textId="707EB055" w:rsidR="004C658F" w:rsidRDefault="004C658F" w:rsidP="00CD1001">
      <w:pPr>
        <w:pStyle w:val="Quotation"/>
        <w:spacing w:line="360" w:lineRule="auto"/>
        <w:ind w:right="117"/>
      </w:pPr>
      <w:r>
        <w:tab/>
        <w:t>…</w:t>
      </w:r>
    </w:p>
    <w:p w14:paraId="26ED3ADB" w14:textId="77777777" w:rsidR="004C658F" w:rsidRDefault="004C658F" w:rsidP="00CD1001">
      <w:pPr>
        <w:pStyle w:val="Quotation"/>
        <w:tabs>
          <w:tab w:val="left" w:pos="2835"/>
        </w:tabs>
        <w:spacing w:line="360" w:lineRule="auto"/>
        <w:ind w:left="2835" w:right="117" w:hanging="1417"/>
      </w:pPr>
      <w:r>
        <w:tab/>
        <w:t>(e)</w:t>
      </w:r>
      <w:r>
        <w:tab/>
        <w:t>actions on or arising out of any credit agreement, as defined in section 1 of the National Credit Act, 2005.”</w:t>
      </w:r>
    </w:p>
    <w:p w14:paraId="75F7A318" w14:textId="58DBAA6C" w:rsidR="004C658F"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C658F" w:rsidRPr="00F8291A">
        <w:rPr>
          <w:rFonts w:ascii="Arial" w:hAnsi="Arial" w:cs="Arial"/>
          <w:sz w:val="24"/>
          <w:szCs w:val="24"/>
        </w:rPr>
        <w:t>There is no monetary limit to the jurisdiction of the magistrates’ courts in respect of causes of action arising out of the NCA,</w:t>
      </w:r>
      <w:r w:rsidR="00274906">
        <w:rPr>
          <w:rStyle w:val="FootnoteReference"/>
          <w:rFonts w:ascii="Arial" w:hAnsi="Arial" w:cs="Arial"/>
          <w:sz w:val="24"/>
          <w:szCs w:val="24"/>
        </w:rPr>
        <w:footnoteReference w:id="11"/>
      </w:r>
      <w:r w:rsidR="004C658F" w:rsidRPr="00F8291A">
        <w:rPr>
          <w:rFonts w:ascii="Arial" w:hAnsi="Arial" w:cs="Arial"/>
          <w:sz w:val="24"/>
          <w:szCs w:val="24"/>
        </w:rPr>
        <w:t xml:space="preserve"> in contrast to several other causes of action listed in section 29 of the Magistrates</w:t>
      </w:r>
      <w:r w:rsidR="00E51948" w:rsidRPr="00F8291A">
        <w:rPr>
          <w:rFonts w:ascii="Arial" w:hAnsi="Arial" w:cs="Arial"/>
          <w:sz w:val="24"/>
          <w:szCs w:val="24"/>
        </w:rPr>
        <w:t>’ Court</w:t>
      </w:r>
      <w:r w:rsidR="00CD1001" w:rsidRPr="00F8291A">
        <w:rPr>
          <w:rFonts w:ascii="Arial" w:hAnsi="Arial" w:cs="Arial"/>
          <w:sz w:val="24"/>
          <w:szCs w:val="24"/>
        </w:rPr>
        <w:t>s</w:t>
      </w:r>
      <w:r w:rsidR="00E51948" w:rsidRPr="00F8291A">
        <w:rPr>
          <w:rFonts w:ascii="Arial" w:hAnsi="Arial" w:cs="Arial"/>
          <w:sz w:val="24"/>
          <w:szCs w:val="24"/>
        </w:rPr>
        <w:t xml:space="preserve"> Act.</w:t>
      </w:r>
    </w:p>
    <w:p w14:paraId="3838D11F" w14:textId="7460D6AC" w:rsidR="004C658F"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34.</w:t>
      </w:r>
      <w:r>
        <w:rPr>
          <w:rFonts w:ascii="Arial" w:hAnsi="Arial" w:cs="Arial"/>
          <w:sz w:val="24"/>
          <w:szCs w:val="24"/>
        </w:rPr>
        <w:tab/>
      </w:r>
      <w:r w:rsidR="004C658F" w:rsidRPr="00F8291A">
        <w:rPr>
          <w:rFonts w:ascii="Arial" w:hAnsi="Arial" w:cs="Arial"/>
          <w:sz w:val="24"/>
          <w:szCs w:val="24"/>
        </w:rPr>
        <w:t xml:space="preserve">The authors in </w:t>
      </w:r>
      <w:r w:rsidR="004C658F" w:rsidRPr="00F8291A">
        <w:rPr>
          <w:rFonts w:ascii="Arial" w:hAnsi="Arial" w:cs="Arial"/>
          <w:i/>
          <w:iCs/>
          <w:sz w:val="24"/>
          <w:szCs w:val="24"/>
        </w:rPr>
        <w:t>Jones &amp; Buckle: Civil Practice of the Magistrate’s Courts in South Africa</w:t>
      </w:r>
      <w:r w:rsidR="004C658F">
        <w:rPr>
          <w:rStyle w:val="FootnoteReference"/>
          <w:rFonts w:ascii="Arial" w:hAnsi="Arial" w:cs="Arial"/>
          <w:sz w:val="24"/>
          <w:szCs w:val="24"/>
        </w:rPr>
        <w:footnoteReference w:id="12"/>
      </w:r>
      <w:r w:rsidR="004C658F" w:rsidRPr="00F8291A">
        <w:rPr>
          <w:rFonts w:ascii="Arial" w:hAnsi="Arial" w:cs="Arial"/>
          <w:sz w:val="24"/>
          <w:szCs w:val="24"/>
        </w:rPr>
        <w:t xml:space="preserve"> describes </w:t>
      </w:r>
      <w:r w:rsidR="00CD1001" w:rsidRPr="00F8291A">
        <w:rPr>
          <w:rFonts w:ascii="Arial" w:hAnsi="Arial" w:cs="Arial"/>
          <w:sz w:val="24"/>
          <w:szCs w:val="24"/>
        </w:rPr>
        <w:t xml:space="preserve">what was </w:t>
      </w:r>
      <w:r w:rsidR="004C658F" w:rsidRPr="00F8291A">
        <w:rPr>
          <w:rFonts w:ascii="Arial" w:hAnsi="Arial" w:cs="Arial"/>
          <w:sz w:val="24"/>
          <w:szCs w:val="24"/>
        </w:rPr>
        <w:t>a divergence between the English</w:t>
      </w:r>
      <w:r w:rsidR="00E51948" w:rsidRPr="00F8291A">
        <w:rPr>
          <w:rFonts w:ascii="Arial" w:hAnsi="Arial" w:cs="Arial"/>
          <w:sz w:val="24"/>
          <w:szCs w:val="24"/>
        </w:rPr>
        <w:t xml:space="preserve"> and Afrikaans </w:t>
      </w:r>
      <w:r w:rsidR="00CD1001" w:rsidRPr="00F8291A">
        <w:rPr>
          <w:rFonts w:ascii="Arial" w:hAnsi="Arial" w:cs="Arial"/>
          <w:sz w:val="24"/>
          <w:szCs w:val="24"/>
        </w:rPr>
        <w:t>texts</w:t>
      </w:r>
      <w:r w:rsidR="00E51948" w:rsidRPr="00F8291A">
        <w:rPr>
          <w:rFonts w:ascii="Arial" w:hAnsi="Arial" w:cs="Arial"/>
          <w:sz w:val="24"/>
          <w:szCs w:val="24"/>
        </w:rPr>
        <w:t xml:space="preserve"> of section 29(1)(e)</w:t>
      </w:r>
      <w:r w:rsidR="004C658F" w:rsidRPr="00F8291A">
        <w:rPr>
          <w:rFonts w:ascii="Arial" w:hAnsi="Arial" w:cs="Arial"/>
          <w:sz w:val="24"/>
          <w:szCs w:val="24"/>
        </w:rPr>
        <w:t>. The English text did not contain any monetary limit, but that the Afrikaans text</w:t>
      </w:r>
      <w:r w:rsidR="00E51948" w:rsidRPr="00F8291A">
        <w:rPr>
          <w:rFonts w:ascii="Arial" w:hAnsi="Arial" w:cs="Arial"/>
          <w:sz w:val="24"/>
          <w:szCs w:val="24"/>
        </w:rPr>
        <w:t xml:space="preserve"> did.</w:t>
      </w:r>
      <w:r w:rsidR="00AA6415" w:rsidRPr="00F8291A">
        <w:rPr>
          <w:rFonts w:ascii="Arial" w:hAnsi="Arial" w:cs="Arial"/>
          <w:sz w:val="24"/>
          <w:szCs w:val="24"/>
        </w:rPr>
        <w:t xml:space="preserve"> This explains why texts of the Magistrates’ Courts Act that have been reproduced in some publications incorrectly attribute a monetary limit to section 29(1)(e), and which may lead to the incorrect conclusion that section 127(8)(a) is conferring jurisdiction on the magistrates’ courts that they do not otherwise have.  </w:t>
      </w:r>
      <w:r w:rsidR="00E51948" w:rsidRPr="00F8291A">
        <w:rPr>
          <w:rFonts w:ascii="Arial" w:hAnsi="Arial" w:cs="Arial"/>
          <w:sz w:val="24"/>
          <w:szCs w:val="24"/>
        </w:rPr>
        <w:t xml:space="preserve"> </w:t>
      </w:r>
      <w:r w:rsidR="004C658F" w:rsidRPr="00F8291A">
        <w:rPr>
          <w:rFonts w:ascii="Arial" w:hAnsi="Arial" w:cs="Arial"/>
          <w:sz w:val="24"/>
          <w:szCs w:val="24"/>
        </w:rPr>
        <w:t xml:space="preserve">The authors describe that </w:t>
      </w:r>
      <w:r w:rsidR="00E51948" w:rsidRPr="00F8291A">
        <w:rPr>
          <w:rFonts w:ascii="Arial" w:hAnsi="Arial" w:cs="Arial"/>
          <w:sz w:val="24"/>
          <w:szCs w:val="24"/>
        </w:rPr>
        <w:t xml:space="preserve">a </w:t>
      </w:r>
      <w:r w:rsidR="004C658F" w:rsidRPr="00F8291A">
        <w:rPr>
          <w:rFonts w:ascii="Arial" w:hAnsi="Arial" w:cs="Arial"/>
          <w:sz w:val="24"/>
          <w:szCs w:val="24"/>
        </w:rPr>
        <w:t>subsequent amendment</w:t>
      </w:r>
      <w:r w:rsidR="00E51948" w:rsidRPr="00F8291A">
        <w:rPr>
          <w:rFonts w:ascii="Arial" w:hAnsi="Arial" w:cs="Arial"/>
          <w:sz w:val="24"/>
          <w:szCs w:val="24"/>
        </w:rPr>
        <w:t xml:space="preserve"> of the Magistrates’ Courts Act</w:t>
      </w:r>
      <w:r w:rsidR="004C658F" w:rsidRPr="00F8291A">
        <w:rPr>
          <w:rFonts w:ascii="Arial" w:hAnsi="Arial" w:cs="Arial"/>
          <w:sz w:val="24"/>
          <w:szCs w:val="24"/>
        </w:rPr>
        <w:t>, with effect from 22 January 2014</w:t>
      </w:r>
      <w:r w:rsidR="00E51948" w:rsidRPr="00F8291A">
        <w:rPr>
          <w:rFonts w:ascii="Arial" w:hAnsi="Arial" w:cs="Arial"/>
          <w:sz w:val="24"/>
          <w:szCs w:val="24"/>
        </w:rPr>
        <w:t>,</w:t>
      </w:r>
      <w:r w:rsidR="004C658F" w:rsidRPr="00F8291A">
        <w:rPr>
          <w:rFonts w:ascii="Arial" w:hAnsi="Arial" w:cs="Arial"/>
          <w:sz w:val="24"/>
          <w:szCs w:val="24"/>
        </w:rPr>
        <w:t xml:space="preserve"> </w:t>
      </w:r>
      <w:r w:rsidR="00E51948" w:rsidRPr="00F8291A">
        <w:rPr>
          <w:rFonts w:ascii="Arial" w:hAnsi="Arial" w:cs="Arial"/>
          <w:sz w:val="24"/>
          <w:szCs w:val="24"/>
        </w:rPr>
        <w:t>aligned</w:t>
      </w:r>
      <w:r w:rsidR="004C658F" w:rsidRPr="00F8291A">
        <w:rPr>
          <w:rFonts w:ascii="Arial" w:hAnsi="Arial" w:cs="Arial"/>
          <w:sz w:val="24"/>
          <w:szCs w:val="24"/>
        </w:rPr>
        <w:t xml:space="preserve"> the Afrikaans text with the English text, i.e. that there </w:t>
      </w:r>
      <w:r w:rsidR="004C658F" w:rsidRPr="00F8291A">
        <w:rPr>
          <w:rFonts w:ascii="Arial" w:hAnsi="Arial" w:cs="Arial"/>
          <w:sz w:val="24"/>
          <w:szCs w:val="24"/>
        </w:rPr>
        <w:lastRenderedPageBreak/>
        <w:t>is no monetary limit to the</w:t>
      </w:r>
      <w:r w:rsidR="00E51948" w:rsidRPr="00F8291A">
        <w:rPr>
          <w:rFonts w:ascii="Arial" w:hAnsi="Arial" w:cs="Arial"/>
          <w:sz w:val="24"/>
          <w:szCs w:val="24"/>
        </w:rPr>
        <w:t xml:space="preserve"> magistrates’ courts’ jurisdiction over causes of </w:t>
      </w:r>
      <w:r w:rsidR="004C658F" w:rsidRPr="00F8291A">
        <w:rPr>
          <w:rFonts w:ascii="Arial" w:hAnsi="Arial" w:cs="Arial"/>
          <w:sz w:val="24"/>
          <w:szCs w:val="24"/>
        </w:rPr>
        <w:t>actions</w:t>
      </w:r>
      <w:r w:rsidR="00CD1001" w:rsidRPr="00F8291A">
        <w:rPr>
          <w:rFonts w:ascii="Arial" w:hAnsi="Arial" w:cs="Arial"/>
          <w:sz w:val="24"/>
          <w:szCs w:val="24"/>
        </w:rPr>
        <w:t xml:space="preserve"> falling within the NCA.</w:t>
      </w:r>
    </w:p>
    <w:p w14:paraId="7CF66DB6" w14:textId="01302753" w:rsidR="00C41912" w:rsidRPr="00F8291A" w:rsidRDefault="00F8291A" w:rsidP="00F8291A">
      <w:pPr>
        <w:spacing w:before="360" w:after="360" w:line="480" w:lineRule="auto"/>
        <w:ind w:left="624" w:right="117" w:hanging="624"/>
        <w:jc w:val="both"/>
        <w:rPr>
          <w:rFonts w:ascii="Arial" w:hAnsi="Arial" w:cs="Arial"/>
          <w:sz w:val="24"/>
          <w:szCs w:val="24"/>
        </w:rPr>
      </w:pPr>
      <w:r w:rsidRPr="009E59ED">
        <w:rPr>
          <w:rFonts w:ascii="Arial" w:hAnsi="Arial" w:cs="Arial"/>
          <w:sz w:val="24"/>
          <w:szCs w:val="24"/>
        </w:rPr>
        <w:t>35.</w:t>
      </w:r>
      <w:r w:rsidRPr="009E59ED">
        <w:rPr>
          <w:rFonts w:ascii="Arial" w:hAnsi="Arial" w:cs="Arial"/>
          <w:sz w:val="24"/>
          <w:szCs w:val="24"/>
        </w:rPr>
        <w:tab/>
      </w:r>
      <w:r w:rsidR="00C41912" w:rsidRPr="00F8291A">
        <w:rPr>
          <w:rFonts w:ascii="Arial" w:hAnsi="Arial" w:cs="Arial"/>
          <w:sz w:val="24"/>
          <w:szCs w:val="24"/>
        </w:rPr>
        <w:t xml:space="preserve">BASA in its heads of argument </w:t>
      </w:r>
      <w:r w:rsidR="009E59ED" w:rsidRPr="00F8291A">
        <w:rPr>
          <w:rFonts w:ascii="Arial" w:hAnsi="Arial" w:cs="Arial"/>
          <w:sz w:val="24"/>
          <w:szCs w:val="24"/>
        </w:rPr>
        <w:t>submitted</w:t>
      </w:r>
      <w:r w:rsidR="00C41912" w:rsidRPr="00F8291A">
        <w:rPr>
          <w:rFonts w:ascii="Arial" w:hAnsi="Arial" w:cs="Arial"/>
          <w:sz w:val="24"/>
          <w:szCs w:val="24"/>
        </w:rPr>
        <w:t xml:space="preserve"> that section 127(8)(a) was necessary to</w:t>
      </w:r>
      <w:r w:rsidR="00EB6DE2" w:rsidRPr="00F8291A">
        <w:rPr>
          <w:rFonts w:ascii="Arial" w:hAnsi="Arial" w:cs="Arial"/>
          <w:sz w:val="24"/>
          <w:szCs w:val="24"/>
        </w:rPr>
        <w:t xml:space="preserve"> expand the</w:t>
      </w:r>
      <w:r w:rsidR="00C41912" w:rsidRPr="00F8291A">
        <w:rPr>
          <w:rFonts w:ascii="Arial" w:hAnsi="Arial" w:cs="Arial"/>
          <w:sz w:val="24"/>
          <w:szCs w:val="24"/>
        </w:rPr>
        <w:t xml:space="preserve"> jurisdiction </w:t>
      </w:r>
      <w:r w:rsidR="00EB6DE2" w:rsidRPr="00F8291A">
        <w:rPr>
          <w:rFonts w:ascii="Arial" w:hAnsi="Arial" w:cs="Arial"/>
          <w:sz w:val="24"/>
          <w:szCs w:val="24"/>
        </w:rPr>
        <w:t xml:space="preserve">of </w:t>
      </w:r>
      <w:r w:rsidR="00C41912" w:rsidRPr="00F8291A">
        <w:rPr>
          <w:rFonts w:ascii="Arial" w:hAnsi="Arial" w:cs="Arial"/>
          <w:sz w:val="24"/>
          <w:szCs w:val="24"/>
        </w:rPr>
        <w:t xml:space="preserve">the </w:t>
      </w:r>
      <w:r w:rsidR="009E59ED" w:rsidRPr="00F8291A">
        <w:rPr>
          <w:rFonts w:ascii="Arial" w:hAnsi="Arial" w:cs="Arial"/>
          <w:sz w:val="24"/>
          <w:szCs w:val="24"/>
        </w:rPr>
        <w:t>magistrates’ courts</w:t>
      </w:r>
      <w:r w:rsidR="00C41912" w:rsidRPr="00F8291A">
        <w:rPr>
          <w:rFonts w:ascii="Arial" w:hAnsi="Arial" w:cs="Arial"/>
          <w:sz w:val="24"/>
          <w:szCs w:val="24"/>
        </w:rPr>
        <w:t xml:space="preserve"> because section 46(2)(c) of the Magistrates’ Courts Act </w:t>
      </w:r>
      <w:r w:rsidR="00EB6DE2" w:rsidRPr="00F8291A">
        <w:rPr>
          <w:rFonts w:ascii="Arial" w:hAnsi="Arial" w:cs="Arial"/>
          <w:sz w:val="24"/>
          <w:szCs w:val="24"/>
        </w:rPr>
        <w:t xml:space="preserve">would otherwise </w:t>
      </w:r>
      <w:r w:rsidR="00C41912" w:rsidRPr="00F8291A">
        <w:rPr>
          <w:rFonts w:ascii="Arial" w:hAnsi="Arial" w:cs="Arial"/>
          <w:sz w:val="24"/>
          <w:szCs w:val="24"/>
        </w:rPr>
        <w:t xml:space="preserve">place beyond the jurisdiction of the </w:t>
      </w:r>
      <w:r w:rsidR="009E59ED" w:rsidRPr="00F8291A">
        <w:rPr>
          <w:rFonts w:ascii="Arial" w:hAnsi="Arial" w:cs="Arial"/>
          <w:sz w:val="24"/>
          <w:szCs w:val="24"/>
        </w:rPr>
        <w:t xml:space="preserve">magistrates’ courts </w:t>
      </w:r>
      <w:r w:rsidR="00C41912" w:rsidRPr="00F8291A">
        <w:rPr>
          <w:rFonts w:ascii="Arial" w:hAnsi="Arial" w:cs="Arial"/>
          <w:sz w:val="24"/>
          <w:szCs w:val="24"/>
        </w:rPr>
        <w:t xml:space="preserve">matters in which specific performance is sought without an alternative </w:t>
      </w:r>
      <w:r w:rsidR="009E59ED" w:rsidRPr="00F8291A">
        <w:rPr>
          <w:rFonts w:ascii="Arial" w:hAnsi="Arial" w:cs="Arial"/>
          <w:sz w:val="24"/>
          <w:szCs w:val="24"/>
        </w:rPr>
        <w:t xml:space="preserve">claim for </w:t>
      </w:r>
      <w:r w:rsidR="00C41912" w:rsidRPr="00F8291A">
        <w:rPr>
          <w:rFonts w:ascii="Arial" w:hAnsi="Arial" w:cs="Arial"/>
          <w:sz w:val="24"/>
          <w:szCs w:val="24"/>
        </w:rPr>
        <w:t xml:space="preserve">payment of damages. </w:t>
      </w:r>
      <w:r w:rsidR="009E59ED" w:rsidRPr="00F8291A">
        <w:rPr>
          <w:rFonts w:ascii="Arial" w:hAnsi="Arial" w:cs="Arial"/>
          <w:sz w:val="24"/>
          <w:szCs w:val="24"/>
        </w:rPr>
        <w:t>A</w:t>
      </w:r>
      <w:r w:rsidR="00C41912" w:rsidRPr="00F8291A">
        <w:rPr>
          <w:rFonts w:ascii="Arial" w:hAnsi="Arial" w:cs="Arial"/>
          <w:sz w:val="24"/>
          <w:szCs w:val="24"/>
        </w:rPr>
        <w:t xml:space="preserve"> claim for the recovery of a shortfall in terms of section 127</w:t>
      </w:r>
      <w:r w:rsidR="00EB6DE2" w:rsidRPr="00F8291A">
        <w:rPr>
          <w:rFonts w:ascii="Arial" w:hAnsi="Arial" w:cs="Arial"/>
          <w:sz w:val="24"/>
          <w:szCs w:val="24"/>
        </w:rPr>
        <w:t>(8)</w:t>
      </w:r>
      <w:r w:rsidR="00C41912" w:rsidRPr="00F8291A">
        <w:rPr>
          <w:rFonts w:ascii="Arial" w:hAnsi="Arial" w:cs="Arial"/>
          <w:sz w:val="24"/>
          <w:szCs w:val="24"/>
        </w:rPr>
        <w:t>(a) is not a claim for a specific performance as envisaged under section 46(2)(c) of the Magistrates’ Courts Act but is a claim for recovery of a sum of money</w:t>
      </w:r>
      <w:r w:rsidR="001165AC" w:rsidRPr="00F8291A">
        <w:rPr>
          <w:rFonts w:ascii="Arial" w:hAnsi="Arial" w:cs="Arial"/>
          <w:sz w:val="24"/>
          <w:szCs w:val="24"/>
        </w:rPr>
        <w:t>. The limitation in section 46(2)(c) does not apply.</w:t>
      </w:r>
    </w:p>
    <w:p w14:paraId="76BB6069" w14:textId="79003CC6" w:rsidR="004C658F"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C658F" w:rsidRPr="00F8291A">
        <w:rPr>
          <w:rFonts w:ascii="Arial" w:hAnsi="Arial" w:cs="Arial"/>
          <w:sz w:val="24"/>
          <w:szCs w:val="24"/>
        </w:rPr>
        <w:t xml:space="preserve">Accordingly, the </w:t>
      </w:r>
      <w:r w:rsidR="00E51948" w:rsidRPr="00F8291A">
        <w:rPr>
          <w:rFonts w:ascii="Arial" w:hAnsi="Arial" w:cs="Arial"/>
          <w:sz w:val="24"/>
          <w:szCs w:val="24"/>
        </w:rPr>
        <w:t>magistrates’ courts</w:t>
      </w:r>
      <w:r w:rsidR="004C658F" w:rsidRPr="00F8291A">
        <w:rPr>
          <w:rFonts w:ascii="Arial" w:hAnsi="Arial" w:cs="Arial"/>
          <w:sz w:val="24"/>
          <w:szCs w:val="24"/>
        </w:rPr>
        <w:t xml:space="preserve"> d</w:t>
      </w:r>
      <w:r w:rsidR="00E51948" w:rsidRPr="00F8291A">
        <w:rPr>
          <w:rFonts w:ascii="Arial" w:hAnsi="Arial" w:cs="Arial"/>
          <w:sz w:val="24"/>
          <w:szCs w:val="24"/>
        </w:rPr>
        <w:t>o</w:t>
      </w:r>
      <w:r w:rsidR="004C658F" w:rsidRPr="00F8291A">
        <w:rPr>
          <w:rFonts w:ascii="Arial" w:hAnsi="Arial" w:cs="Arial"/>
          <w:sz w:val="24"/>
          <w:szCs w:val="24"/>
        </w:rPr>
        <w:t xml:space="preserve"> not </w:t>
      </w:r>
      <w:r w:rsidR="00452531" w:rsidRPr="00F8291A">
        <w:rPr>
          <w:rFonts w:ascii="Arial" w:hAnsi="Arial" w:cs="Arial"/>
          <w:sz w:val="24"/>
          <w:szCs w:val="24"/>
        </w:rPr>
        <w:t>require</w:t>
      </w:r>
      <w:r w:rsidR="004C658F" w:rsidRPr="00F8291A">
        <w:rPr>
          <w:rFonts w:ascii="Arial" w:hAnsi="Arial" w:cs="Arial"/>
          <w:sz w:val="24"/>
          <w:szCs w:val="24"/>
        </w:rPr>
        <w:t xml:space="preserve"> section 127(8)(a) of the NCA to confer upon </w:t>
      </w:r>
      <w:r w:rsidR="00E51948" w:rsidRPr="00F8291A">
        <w:rPr>
          <w:rFonts w:ascii="Arial" w:hAnsi="Arial" w:cs="Arial"/>
          <w:sz w:val="24"/>
          <w:szCs w:val="24"/>
        </w:rPr>
        <w:t>them</w:t>
      </w:r>
      <w:r w:rsidR="004C658F" w:rsidRPr="00F8291A">
        <w:rPr>
          <w:rFonts w:ascii="Arial" w:hAnsi="Arial" w:cs="Arial"/>
          <w:sz w:val="24"/>
          <w:szCs w:val="24"/>
        </w:rPr>
        <w:t xml:space="preserve"> jurisdiction in relation to </w:t>
      </w:r>
      <w:r w:rsidR="00E51948" w:rsidRPr="00F8291A">
        <w:rPr>
          <w:rFonts w:ascii="Arial" w:hAnsi="Arial" w:cs="Arial"/>
          <w:sz w:val="24"/>
          <w:szCs w:val="24"/>
        </w:rPr>
        <w:t>proceedings</w:t>
      </w:r>
      <w:r w:rsidR="004C658F" w:rsidRPr="00F8291A">
        <w:rPr>
          <w:rFonts w:ascii="Arial" w:hAnsi="Arial" w:cs="Arial"/>
          <w:sz w:val="24"/>
          <w:szCs w:val="24"/>
        </w:rPr>
        <w:t xml:space="preserve"> seeking to recover shortfalls </w:t>
      </w:r>
      <w:r w:rsidR="001165AC" w:rsidRPr="00F8291A">
        <w:rPr>
          <w:rFonts w:ascii="Arial" w:hAnsi="Arial" w:cs="Arial"/>
          <w:sz w:val="24"/>
          <w:szCs w:val="24"/>
        </w:rPr>
        <w:t>in terms of that section</w:t>
      </w:r>
      <w:r w:rsidR="004C658F" w:rsidRPr="00F8291A">
        <w:rPr>
          <w:rFonts w:ascii="Arial" w:hAnsi="Arial" w:cs="Arial"/>
          <w:sz w:val="24"/>
          <w:szCs w:val="24"/>
        </w:rPr>
        <w:t xml:space="preserve"> </w:t>
      </w:r>
      <w:r w:rsidR="001165AC" w:rsidRPr="00F8291A">
        <w:rPr>
          <w:rFonts w:ascii="Arial" w:hAnsi="Arial" w:cs="Arial"/>
          <w:sz w:val="24"/>
          <w:szCs w:val="24"/>
        </w:rPr>
        <w:t>as</w:t>
      </w:r>
      <w:r w:rsidR="004C658F" w:rsidRPr="00F8291A">
        <w:rPr>
          <w:rFonts w:ascii="Arial" w:hAnsi="Arial" w:cs="Arial"/>
          <w:sz w:val="24"/>
          <w:szCs w:val="24"/>
        </w:rPr>
        <w:t xml:space="preserve"> </w:t>
      </w:r>
      <w:r w:rsidR="00452531" w:rsidRPr="00F8291A">
        <w:rPr>
          <w:rFonts w:ascii="Arial" w:hAnsi="Arial" w:cs="Arial"/>
          <w:sz w:val="24"/>
          <w:szCs w:val="24"/>
        </w:rPr>
        <w:t>they</w:t>
      </w:r>
      <w:r w:rsidR="004C658F" w:rsidRPr="00F8291A">
        <w:rPr>
          <w:rFonts w:ascii="Arial" w:hAnsi="Arial" w:cs="Arial"/>
          <w:sz w:val="24"/>
          <w:szCs w:val="24"/>
        </w:rPr>
        <w:t xml:space="preserve"> already ha</w:t>
      </w:r>
      <w:r w:rsidR="001165AC" w:rsidRPr="00F8291A">
        <w:rPr>
          <w:rFonts w:ascii="Arial" w:hAnsi="Arial" w:cs="Arial"/>
          <w:sz w:val="24"/>
          <w:szCs w:val="24"/>
        </w:rPr>
        <w:t>ve</w:t>
      </w:r>
      <w:r w:rsidR="004C658F" w:rsidRPr="00F8291A">
        <w:rPr>
          <w:rFonts w:ascii="Arial" w:hAnsi="Arial" w:cs="Arial"/>
          <w:sz w:val="24"/>
          <w:szCs w:val="24"/>
        </w:rPr>
        <w:t xml:space="preserve"> that jurisdiction. </w:t>
      </w:r>
    </w:p>
    <w:p w14:paraId="4E39A772" w14:textId="25A63E1F" w:rsidR="009E59ED"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53CCA" w:rsidRPr="00F8291A">
        <w:rPr>
          <w:rFonts w:ascii="Arial" w:hAnsi="Arial" w:cs="Arial"/>
          <w:sz w:val="24"/>
          <w:szCs w:val="24"/>
        </w:rPr>
        <w:t xml:space="preserve">An </w:t>
      </w:r>
      <w:r w:rsidR="009E59ED" w:rsidRPr="00F8291A">
        <w:rPr>
          <w:rFonts w:ascii="Arial" w:hAnsi="Arial" w:cs="Arial"/>
          <w:sz w:val="24"/>
          <w:szCs w:val="24"/>
        </w:rPr>
        <w:t xml:space="preserve">interpretation that the phrase </w:t>
      </w:r>
      <w:r w:rsidR="0048649C" w:rsidRPr="00F8291A">
        <w:rPr>
          <w:rFonts w:ascii="Arial" w:hAnsi="Arial" w:cs="Arial"/>
          <w:sz w:val="24"/>
          <w:szCs w:val="24"/>
        </w:rPr>
        <w:t>‘</w:t>
      </w:r>
      <w:r w:rsidR="0048649C" w:rsidRPr="00F8291A">
        <w:rPr>
          <w:rFonts w:ascii="Arial" w:hAnsi="Arial" w:cs="Arial"/>
          <w:i/>
          <w:iCs/>
          <w:sz w:val="24"/>
          <w:szCs w:val="24"/>
        </w:rPr>
        <w:t>in terms of the Magistrates’ Courts Act’</w:t>
      </w:r>
      <w:r w:rsidR="0048649C" w:rsidRPr="00F8291A">
        <w:rPr>
          <w:rFonts w:ascii="Arial" w:hAnsi="Arial" w:cs="Arial"/>
          <w:sz w:val="24"/>
          <w:szCs w:val="24"/>
        </w:rPr>
        <w:t xml:space="preserve"> does no more than affirm th</w:t>
      </w:r>
      <w:r w:rsidR="001165AC" w:rsidRPr="00F8291A">
        <w:rPr>
          <w:rFonts w:ascii="Arial" w:hAnsi="Arial" w:cs="Arial"/>
          <w:sz w:val="24"/>
          <w:szCs w:val="24"/>
        </w:rPr>
        <w:t xml:space="preserve">e jurisdiction that the </w:t>
      </w:r>
      <w:r w:rsidR="0048649C" w:rsidRPr="00F8291A">
        <w:rPr>
          <w:rFonts w:ascii="Arial" w:hAnsi="Arial" w:cs="Arial"/>
          <w:sz w:val="24"/>
          <w:szCs w:val="24"/>
        </w:rPr>
        <w:t xml:space="preserve">magistrates’ courts </w:t>
      </w:r>
      <w:r w:rsidR="001165AC" w:rsidRPr="00F8291A">
        <w:rPr>
          <w:rFonts w:ascii="Arial" w:hAnsi="Arial" w:cs="Arial"/>
          <w:sz w:val="24"/>
          <w:szCs w:val="24"/>
        </w:rPr>
        <w:t>already has</w:t>
      </w:r>
      <w:r w:rsidR="0048649C" w:rsidRPr="00F8291A">
        <w:rPr>
          <w:rFonts w:ascii="Arial" w:hAnsi="Arial" w:cs="Arial"/>
          <w:sz w:val="24"/>
          <w:szCs w:val="24"/>
        </w:rPr>
        <w:t xml:space="preserve">, concurrently with the High </w:t>
      </w:r>
      <w:r w:rsidR="00452531" w:rsidRPr="00F8291A">
        <w:rPr>
          <w:rFonts w:ascii="Arial" w:hAnsi="Arial" w:cs="Arial"/>
          <w:sz w:val="24"/>
          <w:szCs w:val="24"/>
        </w:rPr>
        <w:t>C</w:t>
      </w:r>
      <w:r w:rsidR="0048649C" w:rsidRPr="00F8291A">
        <w:rPr>
          <w:rFonts w:ascii="Arial" w:hAnsi="Arial" w:cs="Arial"/>
          <w:sz w:val="24"/>
          <w:szCs w:val="24"/>
        </w:rPr>
        <w:t>ourt, would offend the canon of construction against superfluity.</w:t>
      </w:r>
    </w:p>
    <w:p w14:paraId="1F67D5AA" w14:textId="7AB028AF" w:rsidR="0048649C"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8649C" w:rsidRPr="00F8291A">
        <w:rPr>
          <w:rFonts w:ascii="Arial" w:hAnsi="Arial" w:cs="Arial"/>
          <w:sz w:val="24"/>
          <w:szCs w:val="24"/>
        </w:rPr>
        <w:t>On the other hand, the</w:t>
      </w:r>
      <w:r w:rsidR="005206B1" w:rsidRPr="00F8291A">
        <w:rPr>
          <w:rFonts w:ascii="Arial" w:hAnsi="Arial" w:cs="Arial"/>
          <w:sz w:val="24"/>
          <w:szCs w:val="24"/>
        </w:rPr>
        <w:t xml:space="preserve"> interpretation that the phrase “</w:t>
      </w:r>
      <w:r w:rsidR="00E122AB" w:rsidRPr="00F8291A">
        <w:rPr>
          <w:rFonts w:ascii="Arial" w:hAnsi="Arial" w:cs="Arial"/>
          <w:sz w:val="24"/>
          <w:szCs w:val="24"/>
        </w:rPr>
        <w:t xml:space="preserve">in </w:t>
      </w:r>
      <w:r w:rsidR="005206B1" w:rsidRPr="00F8291A">
        <w:rPr>
          <w:rFonts w:ascii="Arial" w:hAnsi="Arial" w:cs="Arial"/>
          <w:i/>
          <w:iCs/>
          <w:sz w:val="24"/>
          <w:szCs w:val="24"/>
        </w:rPr>
        <w:t>the terms of the Magistrates</w:t>
      </w:r>
      <w:r w:rsidR="0046720F" w:rsidRPr="00F8291A">
        <w:rPr>
          <w:rFonts w:ascii="Arial" w:hAnsi="Arial" w:cs="Arial"/>
          <w:i/>
          <w:iCs/>
          <w:sz w:val="24"/>
          <w:szCs w:val="24"/>
        </w:rPr>
        <w:t>’</w:t>
      </w:r>
      <w:r w:rsidR="005206B1" w:rsidRPr="00F8291A">
        <w:rPr>
          <w:rFonts w:ascii="Arial" w:hAnsi="Arial" w:cs="Arial"/>
          <w:i/>
          <w:iCs/>
          <w:sz w:val="24"/>
          <w:szCs w:val="24"/>
        </w:rPr>
        <w:t xml:space="preserve"> Court</w:t>
      </w:r>
      <w:r w:rsidR="0046720F" w:rsidRPr="00F8291A">
        <w:rPr>
          <w:rFonts w:ascii="Arial" w:hAnsi="Arial" w:cs="Arial"/>
          <w:i/>
          <w:iCs/>
          <w:sz w:val="24"/>
          <w:szCs w:val="24"/>
        </w:rPr>
        <w:t>s</w:t>
      </w:r>
      <w:r w:rsidR="005206B1" w:rsidRPr="00F8291A">
        <w:rPr>
          <w:rFonts w:ascii="Arial" w:hAnsi="Arial" w:cs="Arial"/>
          <w:i/>
          <w:iCs/>
          <w:sz w:val="24"/>
          <w:szCs w:val="24"/>
        </w:rPr>
        <w:t xml:space="preserve"> Act</w:t>
      </w:r>
      <w:r w:rsidR="005206B1" w:rsidRPr="00F8291A">
        <w:rPr>
          <w:rFonts w:ascii="Arial" w:hAnsi="Arial" w:cs="Arial"/>
          <w:sz w:val="24"/>
          <w:szCs w:val="24"/>
        </w:rPr>
        <w:t xml:space="preserve">” </w:t>
      </w:r>
      <w:r w:rsidR="00553CCA" w:rsidRPr="00F8291A">
        <w:rPr>
          <w:rFonts w:ascii="Arial" w:hAnsi="Arial" w:cs="Arial"/>
          <w:sz w:val="24"/>
          <w:szCs w:val="24"/>
        </w:rPr>
        <w:t>confers</w:t>
      </w:r>
      <w:r w:rsidR="005206B1" w:rsidRPr="00F8291A">
        <w:rPr>
          <w:rFonts w:ascii="Arial" w:hAnsi="Arial" w:cs="Arial"/>
          <w:sz w:val="24"/>
          <w:szCs w:val="24"/>
        </w:rPr>
        <w:t xml:space="preserve"> exclusive jurisdiction upon the </w:t>
      </w:r>
      <w:r w:rsidR="00553CCA" w:rsidRPr="00F8291A">
        <w:rPr>
          <w:rFonts w:ascii="Arial" w:hAnsi="Arial" w:cs="Arial"/>
          <w:sz w:val="24"/>
          <w:szCs w:val="24"/>
        </w:rPr>
        <w:t>m</w:t>
      </w:r>
      <w:r w:rsidR="005206B1" w:rsidRPr="00F8291A">
        <w:rPr>
          <w:rFonts w:ascii="Arial" w:hAnsi="Arial" w:cs="Arial"/>
          <w:sz w:val="24"/>
          <w:szCs w:val="24"/>
        </w:rPr>
        <w:t>agistrates</w:t>
      </w:r>
      <w:r w:rsidR="00553CCA" w:rsidRPr="00F8291A">
        <w:rPr>
          <w:rFonts w:ascii="Arial" w:hAnsi="Arial" w:cs="Arial"/>
          <w:sz w:val="24"/>
          <w:szCs w:val="24"/>
        </w:rPr>
        <w:t>’</w:t>
      </w:r>
      <w:r w:rsidR="005206B1" w:rsidRPr="00F8291A">
        <w:rPr>
          <w:rFonts w:ascii="Arial" w:hAnsi="Arial" w:cs="Arial"/>
          <w:sz w:val="24"/>
          <w:szCs w:val="24"/>
        </w:rPr>
        <w:t xml:space="preserve"> </w:t>
      </w:r>
      <w:r w:rsidR="00553CCA" w:rsidRPr="00F8291A">
        <w:rPr>
          <w:rFonts w:ascii="Arial" w:hAnsi="Arial" w:cs="Arial"/>
          <w:sz w:val="24"/>
          <w:szCs w:val="24"/>
        </w:rPr>
        <w:t>c</w:t>
      </w:r>
      <w:r w:rsidR="005206B1" w:rsidRPr="00F8291A">
        <w:rPr>
          <w:rFonts w:ascii="Arial" w:hAnsi="Arial" w:cs="Arial"/>
          <w:sz w:val="24"/>
          <w:szCs w:val="24"/>
        </w:rPr>
        <w:t>ourt</w:t>
      </w:r>
      <w:r w:rsidR="00553CCA" w:rsidRPr="00F8291A">
        <w:rPr>
          <w:rFonts w:ascii="Arial" w:hAnsi="Arial" w:cs="Arial"/>
          <w:sz w:val="24"/>
          <w:szCs w:val="24"/>
        </w:rPr>
        <w:t>s</w:t>
      </w:r>
      <w:r w:rsidR="005206B1" w:rsidRPr="00F8291A">
        <w:rPr>
          <w:rFonts w:ascii="Arial" w:hAnsi="Arial" w:cs="Arial"/>
          <w:sz w:val="24"/>
          <w:szCs w:val="24"/>
        </w:rPr>
        <w:t xml:space="preserve"> give</w:t>
      </w:r>
      <w:r w:rsidR="00B50939" w:rsidRPr="00F8291A">
        <w:rPr>
          <w:rFonts w:ascii="Arial" w:hAnsi="Arial" w:cs="Arial"/>
          <w:sz w:val="24"/>
          <w:szCs w:val="24"/>
        </w:rPr>
        <w:t>s</w:t>
      </w:r>
      <w:r w:rsidR="00553CCA" w:rsidRPr="00F8291A">
        <w:rPr>
          <w:rFonts w:ascii="Arial" w:hAnsi="Arial" w:cs="Arial"/>
          <w:sz w:val="24"/>
          <w:szCs w:val="24"/>
        </w:rPr>
        <w:t xml:space="preserve"> the phrase purpose.</w:t>
      </w:r>
      <w:r w:rsidR="005206B1" w:rsidRPr="00F8291A">
        <w:rPr>
          <w:rFonts w:ascii="Arial" w:hAnsi="Arial" w:cs="Arial"/>
          <w:sz w:val="24"/>
          <w:szCs w:val="24"/>
        </w:rPr>
        <w:t xml:space="preserve"> </w:t>
      </w:r>
      <w:r w:rsidR="0048649C" w:rsidRPr="00F8291A">
        <w:rPr>
          <w:rFonts w:ascii="Arial" w:hAnsi="Arial" w:cs="Arial"/>
          <w:sz w:val="24"/>
          <w:szCs w:val="24"/>
        </w:rPr>
        <w:t>The purpose, or function, of the phrase is to exclude the jurisdiction of the High Court</w:t>
      </w:r>
      <w:r w:rsidR="00D06569" w:rsidRPr="00F8291A">
        <w:rPr>
          <w:rFonts w:ascii="Arial" w:hAnsi="Arial" w:cs="Arial"/>
          <w:sz w:val="24"/>
          <w:szCs w:val="24"/>
        </w:rPr>
        <w:t>.</w:t>
      </w:r>
    </w:p>
    <w:p w14:paraId="742FD9F0" w14:textId="3EAE256F" w:rsidR="00451F30"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451F30" w:rsidRPr="00F8291A">
        <w:rPr>
          <w:rFonts w:ascii="Arial" w:hAnsi="Arial" w:cs="Arial"/>
          <w:sz w:val="24"/>
          <w:szCs w:val="24"/>
        </w:rPr>
        <w:t>In my view, this is the correct interpretation.</w:t>
      </w:r>
    </w:p>
    <w:p w14:paraId="036FA895" w14:textId="313B3127" w:rsidR="00451F30"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40.</w:t>
      </w:r>
      <w:r>
        <w:rPr>
          <w:rFonts w:ascii="Arial" w:hAnsi="Arial" w:cs="Arial"/>
          <w:sz w:val="24"/>
          <w:szCs w:val="24"/>
        </w:rPr>
        <w:tab/>
      </w:r>
      <w:r w:rsidR="00451F30" w:rsidRPr="00F8291A">
        <w:rPr>
          <w:rFonts w:ascii="Arial" w:hAnsi="Arial" w:cs="Arial"/>
          <w:sz w:val="24"/>
          <w:szCs w:val="24"/>
        </w:rPr>
        <w:t xml:space="preserve">In order to avoid superfluity – and as appears below there is no reason why an interpretation </w:t>
      </w:r>
      <w:r w:rsidR="002336F6" w:rsidRPr="00F8291A">
        <w:rPr>
          <w:rFonts w:ascii="Arial" w:hAnsi="Arial" w:cs="Arial"/>
          <w:sz w:val="24"/>
          <w:szCs w:val="24"/>
        </w:rPr>
        <w:t>that results in</w:t>
      </w:r>
      <w:r w:rsidR="00451F30" w:rsidRPr="00F8291A">
        <w:rPr>
          <w:rFonts w:ascii="Arial" w:hAnsi="Arial" w:cs="Arial"/>
          <w:sz w:val="24"/>
          <w:szCs w:val="24"/>
        </w:rPr>
        <w:t xml:space="preserve"> superfluity should be </w:t>
      </w:r>
      <w:r w:rsidR="00553CCA" w:rsidRPr="00F8291A">
        <w:rPr>
          <w:rFonts w:ascii="Arial" w:hAnsi="Arial" w:cs="Arial"/>
          <w:sz w:val="24"/>
          <w:szCs w:val="24"/>
        </w:rPr>
        <w:t xml:space="preserve">preferred </w:t>
      </w:r>
      <w:r w:rsidR="00451F30" w:rsidRPr="00F8291A">
        <w:rPr>
          <w:rFonts w:ascii="Arial" w:hAnsi="Arial" w:cs="Arial"/>
          <w:sz w:val="24"/>
          <w:szCs w:val="24"/>
        </w:rPr>
        <w:t>– by necessary implication section 12</w:t>
      </w:r>
      <w:r w:rsidR="00EB6DE2" w:rsidRPr="00F8291A">
        <w:rPr>
          <w:rFonts w:ascii="Arial" w:hAnsi="Arial" w:cs="Arial"/>
          <w:sz w:val="24"/>
          <w:szCs w:val="24"/>
        </w:rPr>
        <w:t>7</w:t>
      </w:r>
      <w:r w:rsidR="00451F30" w:rsidRPr="00F8291A">
        <w:rPr>
          <w:rFonts w:ascii="Arial" w:hAnsi="Arial" w:cs="Arial"/>
          <w:sz w:val="24"/>
          <w:szCs w:val="24"/>
        </w:rPr>
        <w:t>(8)(a)</w:t>
      </w:r>
      <w:r w:rsidR="00D06569">
        <w:rPr>
          <w:rStyle w:val="FootnoteReference"/>
          <w:rFonts w:ascii="Arial" w:hAnsi="Arial" w:cs="Arial"/>
          <w:sz w:val="24"/>
          <w:szCs w:val="24"/>
        </w:rPr>
        <w:footnoteReference w:id="13"/>
      </w:r>
      <w:r w:rsidR="00451F30" w:rsidRPr="00F8291A">
        <w:rPr>
          <w:rFonts w:ascii="Arial" w:hAnsi="Arial" w:cs="Arial"/>
          <w:sz w:val="24"/>
          <w:szCs w:val="24"/>
        </w:rPr>
        <w:t xml:space="preserve"> ousts the jurisdiction of the High Court. </w:t>
      </w:r>
    </w:p>
    <w:p w14:paraId="75AA9C7C" w14:textId="40E7C58A" w:rsidR="009F589B" w:rsidRPr="00F8291A" w:rsidRDefault="00F8291A" w:rsidP="00F8291A">
      <w:pPr>
        <w:spacing w:before="360" w:after="360" w:line="480" w:lineRule="auto"/>
        <w:ind w:left="624" w:right="117" w:hanging="624"/>
        <w:jc w:val="both"/>
        <w:rPr>
          <w:rFonts w:ascii="Arial" w:hAnsi="Arial" w:cs="Arial"/>
          <w:color w:val="000000" w:themeColor="text1"/>
          <w:sz w:val="24"/>
          <w:szCs w:val="24"/>
        </w:rPr>
      </w:pPr>
      <w:r w:rsidRPr="00553CCA">
        <w:rPr>
          <w:rFonts w:ascii="Arial" w:hAnsi="Arial" w:cs="Arial"/>
          <w:color w:val="000000" w:themeColor="text1"/>
          <w:sz w:val="24"/>
          <w:szCs w:val="24"/>
        </w:rPr>
        <w:t>41.</w:t>
      </w:r>
      <w:r w:rsidRPr="00553CCA">
        <w:rPr>
          <w:rFonts w:ascii="Arial" w:hAnsi="Arial" w:cs="Arial"/>
          <w:color w:val="000000" w:themeColor="text1"/>
          <w:sz w:val="24"/>
          <w:szCs w:val="24"/>
        </w:rPr>
        <w:tab/>
      </w:r>
      <w:r w:rsidR="009F589B" w:rsidRPr="00F8291A">
        <w:rPr>
          <w:rFonts w:ascii="Arial" w:hAnsi="Arial" w:cs="Arial"/>
          <w:color w:val="000000" w:themeColor="text1"/>
          <w:sz w:val="24"/>
          <w:szCs w:val="24"/>
          <w:shd w:val="clear" w:color="auto" w:fill="FFFFFF"/>
        </w:rPr>
        <w:t>This interpretation is supported by a reading of the provision in the context of the statute as a whole, and having regard to the purpose of the provision.</w:t>
      </w:r>
    </w:p>
    <w:p w14:paraId="133AE5D6" w14:textId="5A2F2445" w:rsidR="009806A7" w:rsidRPr="00F8291A" w:rsidRDefault="00F8291A" w:rsidP="00F8291A">
      <w:pPr>
        <w:spacing w:before="360" w:after="360" w:line="480" w:lineRule="auto"/>
        <w:ind w:left="624" w:right="117" w:hanging="624"/>
        <w:jc w:val="both"/>
        <w:rPr>
          <w:rFonts w:ascii="Arial" w:hAnsi="Arial" w:cs="Arial"/>
          <w:sz w:val="24"/>
          <w:szCs w:val="24"/>
        </w:rPr>
      </w:pPr>
      <w:r w:rsidRPr="009806A7">
        <w:rPr>
          <w:rFonts w:ascii="Arial" w:hAnsi="Arial" w:cs="Arial"/>
          <w:sz w:val="24"/>
          <w:szCs w:val="24"/>
        </w:rPr>
        <w:t>42.</w:t>
      </w:r>
      <w:r w:rsidRPr="009806A7">
        <w:rPr>
          <w:rFonts w:ascii="Arial" w:hAnsi="Arial" w:cs="Arial"/>
          <w:sz w:val="24"/>
          <w:szCs w:val="24"/>
        </w:rPr>
        <w:tab/>
      </w:r>
      <w:r w:rsidR="00D363A5" w:rsidRPr="00F8291A">
        <w:rPr>
          <w:rFonts w:ascii="Arial" w:hAnsi="Arial" w:cs="Arial"/>
          <w:sz w:val="24"/>
          <w:szCs w:val="24"/>
        </w:rPr>
        <w:t>Where the NCA refers to ‘the court’</w:t>
      </w:r>
      <w:r w:rsidR="008D26A2" w:rsidRPr="00F8291A">
        <w:rPr>
          <w:rFonts w:ascii="Arial" w:hAnsi="Arial" w:cs="Arial"/>
          <w:sz w:val="24"/>
          <w:szCs w:val="24"/>
        </w:rPr>
        <w:t xml:space="preserve"> elsewhere in the NCA</w:t>
      </w:r>
      <w:r w:rsidR="00F332C0" w:rsidRPr="00F8291A">
        <w:rPr>
          <w:rFonts w:ascii="Arial" w:hAnsi="Arial" w:cs="Arial"/>
          <w:sz w:val="24"/>
          <w:szCs w:val="24"/>
        </w:rPr>
        <w:t>,</w:t>
      </w:r>
      <w:r w:rsidR="00D363A5" w:rsidRPr="00F8291A">
        <w:rPr>
          <w:rFonts w:ascii="Arial" w:hAnsi="Arial" w:cs="Arial"/>
          <w:sz w:val="24"/>
          <w:szCs w:val="24"/>
        </w:rPr>
        <w:t xml:space="preserve"> such as in </w:t>
      </w:r>
      <w:r w:rsidR="009F589B" w:rsidRPr="00F8291A">
        <w:rPr>
          <w:rFonts w:ascii="Arial" w:hAnsi="Arial" w:cs="Arial"/>
          <w:sz w:val="24"/>
          <w:szCs w:val="24"/>
        </w:rPr>
        <w:t>section 130 in dealing with debt procedures</w:t>
      </w:r>
      <w:r w:rsidR="00D363A5" w:rsidRPr="00F8291A">
        <w:rPr>
          <w:rFonts w:ascii="Arial" w:hAnsi="Arial" w:cs="Arial"/>
          <w:sz w:val="24"/>
          <w:szCs w:val="24"/>
        </w:rPr>
        <w:t xml:space="preserve"> whe</w:t>
      </w:r>
      <w:r w:rsidR="008D26A2" w:rsidRPr="00F8291A">
        <w:rPr>
          <w:rFonts w:ascii="Arial" w:hAnsi="Arial" w:cs="Arial"/>
          <w:sz w:val="24"/>
          <w:szCs w:val="24"/>
        </w:rPr>
        <w:t>re</w:t>
      </w:r>
      <w:r w:rsidR="00D363A5" w:rsidRPr="00F8291A">
        <w:rPr>
          <w:rFonts w:ascii="Arial" w:hAnsi="Arial" w:cs="Arial"/>
          <w:sz w:val="24"/>
          <w:szCs w:val="24"/>
        </w:rPr>
        <w:t xml:space="preserve"> ‘the court’ is</w:t>
      </w:r>
      <w:r w:rsidR="009F589B" w:rsidRPr="00F8291A">
        <w:rPr>
          <w:rFonts w:ascii="Arial" w:hAnsi="Arial" w:cs="Arial"/>
          <w:sz w:val="24"/>
          <w:szCs w:val="24"/>
        </w:rPr>
        <w:t xml:space="preserve"> approached by the credit provider to enforce a credit agreement</w:t>
      </w:r>
      <w:r w:rsidR="00D363A5" w:rsidRPr="00F8291A">
        <w:rPr>
          <w:rFonts w:ascii="Arial" w:hAnsi="Arial" w:cs="Arial"/>
          <w:sz w:val="24"/>
          <w:szCs w:val="24"/>
        </w:rPr>
        <w:t xml:space="preserve">, the reference includes </w:t>
      </w:r>
      <w:r w:rsidR="009F589B" w:rsidRPr="00F8291A">
        <w:rPr>
          <w:rFonts w:ascii="Arial" w:hAnsi="Arial" w:cs="Arial"/>
          <w:sz w:val="24"/>
          <w:szCs w:val="24"/>
        </w:rPr>
        <w:t xml:space="preserve">the High Court and </w:t>
      </w:r>
      <w:r w:rsidR="00D363A5" w:rsidRPr="00F8291A">
        <w:rPr>
          <w:rFonts w:ascii="Arial" w:hAnsi="Arial" w:cs="Arial"/>
          <w:sz w:val="24"/>
          <w:szCs w:val="24"/>
        </w:rPr>
        <w:t>magistrates’ courts.</w:t>
      </w:r>
      <w:r w:rsidR="009A4BC6" w:rsidRPr="00F8291A">
        <w:rPr>
          <w:rFonts w:ascii="Arial" w:hAnsi="Arial" w:cs="Arial"/>
          <w:sz w:val="24"/>
          <w:szCs w:val="24"/>
        </w:rPr>
        <w:t xml:space="preserve"> This is consistent with the finding in </w:t>
      </w:r>
      <w:proofErr w:type="spellStart"/>
      <w:r w:rsidR="009A4BC6" w:rsidRPr="00F8291A">
        <w:rPr>
          <w:rFonts w:ascii="Arial" w:hAnsi="Arial" w:cs="Arial"/>
          <w:i/>
          <w:iCs/>
          <w:sz w:val="24"/>
          <w:szCs w:val="24"/>
        </w:rPr>
        <w:t>Mpongo</w:t>
      </w:r>
      <w:proofErr w:type="spellEnd"/>
      <w:r w:rsidR="009A4BC6" w:rsidRPr="00F8291A">
        <w:rPr>
          <w:rFonts w:ascii="Arial" w:hAnsi="Arial" w:cs="Arial"/>
          <w:sz w:val="24"/>
          <w:szCs w:val="24"/>
        </w:rPr>
        <w:t xml:space="preserve"> in paragraph 75 that the courts have concurrent jurisdiction, as also the earlier decision of </w:t>
      </w:r>
      <w:proofErr w:type="spellStart"/>
      <w:r w:rsidR="009A4BC6" w:rsidRPr="00F8291A">
        <w:rPr>
          <w:rFonts w:ascii="Arial" w:hAnsi="Arial" w:cs="Arial"/>
          <w:i/>
          <w:iCs/>
          <w:sz w:val="24"/>
          <w:szCs w:val="24"/>
        </w:rPr>
        <w:t>Mateman</w:t>
      </w:r>
      <w:proofErr w:type="spellEnd"/>
      <w:r w:rsidR="009A4BC6" w:rsidRPr="00F8291A">
        <w:rPr>
          <w:rFonts w:ascii="Arial" w:hAnsi="Arial" w:cs="Arial"/>
          <w:sz w:val="24"/>
          <w:szCs w:val="24"/>
        </w:rPr>
        <w:t xml:space="preserve">. </w:t>
      </w:r>
    </w:p>
    <w:p w14:paraId="1CEAE8A2" w14:textId="292D1D44" w:rsidR="009A4BC6"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43.</w:t>
      </w:r>
      <w:r>
        <w:rPr>
          <w:rFonts w:ascii="Arial" w:hAnsi="Arial" w:cs="Arial"/>
          <w:sz w:val="24"/>
          <w:szCs w:val="24"/>
        </w:rPr>
        <w:tab/>
      </w:r>
      <w:r w:rsidR="009806A7" w:rsidRPr="00F8291A">
        <w:rPr>
          <w:rFonts w:ascii="Arial" w:hAnsi="Arial" w:cs="Arial"/>
          <w:sz w:val="24"/>
          <w:szCs w:val="24"/>
        </w:rPr>
        <w:t>In contrast, t</w:t>
      </w:r>
      <w:r w:rsidR="009F589B" w:rsidRPr="00F8291A">
        <w:rPr>
          <w:rFonts w:ascii="Arial" w:hAnsi="Arial" w:cs="Arial"/>
          <w:sz w:val="24"/>
          <w:szCs w:val="24"/>
        </w:rPr>
        <w:t>he legislature chose to use different wording in section 127(8)(a</w:t>
      </w:r>
      <w:r w:rsidR="0051377C" w:rsidRPr="00F8291A">
        <w:rPr>
          <w:rFonts w:ascii="Arial" w:hAnsi="Arial" w:cs="Arial"/>
          <w:sz w:val="24"/>
          <w:szCs w:val="24"/>
        </w:rPr>
        <w:t xml:space="preserve">). </w:t>
      </w:r>
      <w:r w:rsidR="008D26A2" w:rsidRPr="00F8291A">
        <w:rPr>
          <w:rFonts w:ascii="Arial" w:hAnsi="Arial" w:cs="Arial"/>
          <w:sz w:val="24"/>
          <w:szCs w:val="24"/>
        </w:rPr>
        <w:t xml:space="preserve">The legislature did not refer to ‘the court’. </w:t>
      </w:r>
      <w:r w:rsidR="0051377C" w:rsidRPr="00F8291A">
        <w:rPr>
          <w:rFonts w:ascii="Arial" w:hAnsi="Arial" w:cs="Arial"/>
          <w:sz w:val="24"/>
          <w:szCs w:val="24"/>
        </w:rPr>
        <w:t>The distinction is deliberate.</w:t>
      </w:r>
      <w:r w:rsidR="0051377C">
        <w:rPr>
          <w:rStyle w:val="FootnoteReference"/>
          <w:rFonts w:ascii="Arial" w:hAnsi="Arial" w:cs="Arial"/>
          <w:sz w:val="24"/>
          <w:szCs w:val="24"/>
        </w:rPr>
        <w:footnoteReference w:id="14"/>
      </w:r>
      <w:r w:rsidR="0051377C" w:rsidRPr="00F8291A">
        <w:rPr>
          <w:rFonts w:ascii="Arial" w:hAnsi="Arial" w:cs="Arial"/>
          <w:sz w:val="24"/>
          <w:szCs w:val="24"/>
        </w:rPr>
        <w:t xml:space="preserve"> </w:t>
      </w:r>
      <w:r w:rsidR="009F589B" w:rsidRPr="00F8291A">
        <w:rPr>
          <w:rFonts w:ascii="Arial" w:hAnsi="Arial" w:cs="Arial"/>
          <w:sz w:val="24"/>
          <w:szCs w:val="24"/>
        </w:rPr>
        <w:t xml:space="preserve">The legislature, if it intended that </w:t>
      </w:r>
      <w:r w:rsidR="009806A7" w:rsidRPr="00F8291A">
        <w:rPr>
          <w:rFonts w:ascii="Arial" w:hAnsi="Arial" w:cs="Arial"/>
          <w:sz w:val="24"/>
          <w:szCs w:val="24"/>
        </w:rPr>
        <w:t>either</w:t>
      </w:r>
      <w:r w:rsidR="009F589B" w:rsidRPr="00F8291A">
        <w:rPr>
          <w:rFonts w:ascii="Arial" w:hAnsi="Arial" w:cs="Arial"/>
          <w:sz w:val="24"/>
          <w:szCs w:val="24"/>
        </w:rPr>
        <w:t xml:space="preserve"> the High Court and the </w:t>
      </w:r>
      <w:r w:rsidR="009806A7" w:rsidRPr="00F8291A">
        <w:rPr>
          <w:rFonts w:ascii="Arial" w:hAnsi="Arial" w:cs="Arial"/>
          <w:sz w:val="24"/>
          <w:szCs w:val="24"/>
        </w:rPr>
        <w:t xml:space="preserve">magistrates’ courts </w:t>
      </w:r>
      <w:r w:rsidR="009F589B" w:rsidRPr="00F8291A">
        <w:rPr>
          <w:rFonts w:ascii="Arial" w:hAnsi="Arial" w:cs="Arial"/>
          <w:sz w:val="24"/>
          <w:szCs w:val="24"/>
        </w:rPr>
        <w:t>could be approached by the credit provider, would have used language consistent with that used in</w:t>
      </w:r>
      <w:r w:rsidR="009806A7" w:rsidRPr="00F8291A">
        <w:rPr>
          <w:rFonts w:ascii="Arial" w:hAnsi="Arial" w:cs="Arial"/>
          <w:sz w:val="24"/>
          <w:szCs w:val="24"/>
        </w:rPr>
        <w:t>, for example,</w:t>
      </w:r>
      <w:r w:rsidR="009F589B" w:rsidRPr="00F8291A">
        <w:rPr>
          <w:rFonts w:ascii="Arial" w:hAnsi="Arial" w:cs="Arial"/>
          <w:sz w:val="24"/>
          <w:szCs w:val="24"/>
        </w:rPr>
        <w:t xml:space="preserve"> section 130</w:t>
      </w:r>
      <w:r w:rsidR="009806A7" w:rsidRPr="00F8291A">
        <w:rPr>
          <w:rFonts w:ascii="Arial" w:hAnsi="Arial" w:cs="Arial"/>
          <w:sz w:val="24"/>
          <w:szCs w:val="24"/>
        </w:rPr>
        <w:t>.</w:t>
      </w:r>
      <w:r w:rsidR="009F589B" w:rsidRPr="00F8291A">
        <w:rPr>
          <w:rFonts w:ascii="Arial" w:hAnsi="Arial" w:cs="Arial"/>
          <w:sz w:val="24"/>
          <w:szCs w:val="24"/>
        </w:rPr>
        <w:t xml:space="preserve"> </w:t>
      </w:r>
      <w:r w:rsidR="009806A7" w:rsidRPr="00F8291A">
        <w:rPr>
          <w:rFonts w:ascii="Arial" w:hAnsi="Arial" w:cs="Arial"/>
          <w:sz w:val="24"/>
          <w:szCs w:val="24"/>
        </w:rPr>
        <w:t>S</w:t>
      </w:r>
      <w:r w:rsidR="009F589B" w:rsidRPr="00F8291A">
        <w:rPr>
          <w:rFonts w:ascii="Arial" w:hAnsi="Arial" w:cs="Arial"/>
          <w:sz w:val="24"/>
          <w:szCs w:val="24"/>
        </w:rPr>
        <w:t>ection 127(8)(a) would have read that the credit provider “</w:t>
      </w:r>
      <w:r w:rsidR="009F589B" w:rsidRPr="00F8291A">
        <w:rPr>
          <w:rFonts w:ascii="Arial" w:hAnsi="Arial" w:cs="Arial"/>
          <w:i/>
          <w:iCs/>
          <w:sz w:val="24"/>
          <w:szCs w:val="24"/>
        </w:rPr>
        <w:t>may commence proceedings in court for judgment enforcing the credit agreement</w:t>
      </w:r>
      <w:r w:rsidR="009F589B" w:rsidRPr="00F8291A">
        <w:rPr>
          <w:rFonts w:ascii="Arial" w:hAnsi="Arial" w:cs="Arial"/>
          <w:sz w:val="24"/>
          <w:szCs w:val="24"/>
        </w:rPr>
        <w:t>”</w:t>
      </w:r>
      <w:r w:rsidR="009806A7" w:rsidRPr="00F8291A">
        <w:rPr>
          <w:rFonts w:ascii="Arial" w:hAnsi="Arial" w:cs="Arial"/>
          <w:sz w:val="24"/>
          <w:szCs w:val="24"/>
        </w:rPr>
        <w:t xml:space="preserve"> and not “</w:t>
      </w:r>
      <w:r w:rsidR="009806A7" w:rsidRPr="00F8291A">
        <w:rPr>
          <w:rFonts w:ascii="Arial" w:hAnsi="Arial" w:cs="Arial"/>
          <w:i/>
          <w:iCs/>
          <w:sz w:val="24"/>
          <w:szCs w:val="24"/>
        </w:rPr>
        <w:t xml:space="preserve">the credit provider may </w:t>
      </w:r>
      <w:r w:rsidR="009806A7" w:rsidRPr="00F8291A">
        <w:rPr>
          <w:rFonts w:ascii="Arial" w:hAnsi="Arial" w:cs="Arial"/>
          <w:i/>
          <w:iCs/>
          <w:sz w:val="24"/>
          <w:szCs w:val="24"/>
        </w:rPr>
        <w:lastRenderedPageBreak/>
        <w:t xml:space="preserve">commence proceedings </w:t>
      </w:r>
      <w:r w:rsidR="009806A7" w:rsidRPr="00F8291A">
        <w:rPr>
          <w:rFonts w:ascii="Arial" w:hAnsi="Arial" w:cs="Arial"/>
          <w:i/>
          <w:iCs/>
          <w:sz w:val="24"/>
          <w:szCs w:val="24"/>
          <w:u w:val="single"/>
        </w:rPr>
        <w:t>in terms of the Magistrates’ Courts Act</w:t>
      </w:r>
      <w:r w:rsidR="009806A7" w:rsidRPr="00F8291A">
        <w:rPr>
          <w:rFonts w:ascii="Arial" w:hAnsi="Arial" w:cs="Arial"/>
          <w:i/>
          <w:iCs/>
          <w:sz w:val="24"/>
          <w:szCs w:val="24"/>
        </w:rPr>
        <w:t xml:space="preserve"> for judgment enforcing the agreement</w:t>
      </w:r>
      <w:r w:rsidR="009806A7" w:rsidRPr="00F8291A">
        <w:rPr>
          <w:rFonts w:ascii="Arial" w:hAnsi="Arial" w:cs="Arial"/>
          <w:sz w:val="24"/>
          <w:szCs w:val="24"/>
        </w:rPr>
        <w:t xml:space="preserve">”. </w:t>
      </w:r>
    </w:p>
    <w:p w14:paraId="52F9B829" w14:textId="4D51FF58" w:rsidR="009806A7"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44.</w:t>
      </w:r>
      <w:r>
        <w:rPr>
          <w:rFonts w:ascii="Arial" w:hAnsi="Arial" w:cs="Arial"/>
          <w:sz w:val="24"/>
          <w:szCs w:val="24"/>
        </w:rPr>
        <w:tab/>
      </w:r>
      <w:r w:rsidR="009806A7" w:rsidRPr="00F8291A">
        <w:rPr>
          <w:rFonts w:ascii="Arial" w:hAnsi="Arial" w:cs="Arial"/>
          <w:sz w:val="24"/>
          <w:szCs w:val="24"/>
        </w:rPr>
        <w:t xml:space="preserve">It is not surprising that Sutherland AJA in </w:t>
      </w:r>
      <w:proofErr w:type="spellStart"/>
      <w:r w:rsidR="009806A7" w:rsidRPr="00F8291A">
        <w:rPr>
          <w:rFonts w:ascii="Arial" w:hAnsi="Arial" w:cs="Arial"/>
          <w:i/>
          <w:iCs/>
          <w:sz w:val="24"/>
          <w:szCs w:val="24"/>
        </w:rPr>
        <w:t>Mpongo</w:t>
      </w:r>
      <w:proofErr w:type="spellEnd"/>
      <w:r w:rsidR="009806A7" w:rsidRPr="00F8291A">
        <w:rPr>
          <w:rFonts w:ascii="Arial" w:hAnsi="Arial" w:cs="Arial"/>
          <w:sz w:val="24"/>
          <w:szCs w:val="24"/>
        </w:rPr>
        <w:t xml:space="preserve"> identified section 127(8)(a)</w:t>
      </w:r>
      <w:r w:rsidR="00F332C0" w:rsidRPr="00F8291A">
        <w:rPr>
          <w:rFonts w:ascii="Arial" w:hAnsi="Arial" w:cs="Arial"/>
          <w:sz w:val="24"/>
          <w:szCs w:val="24"/>
        </w:rPr>
        <w:t xml:space="preserve">, albeit </w:t>
      </w:r>
      <w:r w:rsidR="00F332C0" w:rsidRPr="00F8291A">
        <w:rPr>
          <w:rFonts w:ascii="Arial" w:hAnsi="Arial" w:cs="Arial"/>
          <w:i/>
          <w:iCs/>
          <w:sz w:val="24"/>
          <w:szCs w:val="24"/>
        </w:rPr>
        <w:t>obiter</w:t>
      </w:r>
      <w:r w:rsidR="00F332C0" w:rsidRPr="00F8291A">
        <w:rPr>
          <w:rFonts w:ascii="Arial" w:hAnsi="Arial" w:cs="Arial"/>
          <w:sz w:val="24"/>
          <w:szCs w:val="24"/>
        </w:rPr>
        <w:t>,</w:t>
      </w:r>
      <w:r w:rsidR="009806A7" w:rsidRPr="00F8291A">
        <w:rPr>
          <w:rFonts w:ascii="Arial" w:hAnsi="Arial" w:cs="Arial"/>
          <w:sz w:val="24"/>
          <w:szCs w:val="24"/>
        </w:rPr>
        <w:t xml:space="preserve"> as an instance where the </w:t>
      </w:r>
      <w:r w:rsidR="00F61CB7" w:rsidRPr="00F8291A">
        <w:rPr>
          <w:rFonts w:ascii="Arial" w:hAnsi="Arial" w:cs="Arial"/>
          <w:sz w:val="24"/>
          <w:szCs w:val="24"/>
        </w:rPr>
        <w:t>High Court’s jurisdiction was excluded.</w:t>
      </w:r>
      <w:r w:rsidR="009A4BC6" w:rsidRPr="00F8291A">
        <w:rPr>
          <w:rFonts w:ascii="Arial" w:hAnsi="Arial" w:cs="Arial"/>
          <w:sz w:val="24"/>
          <w:szCs w:val="24"/>
        </w:rPr>
        <w:t xml:space="preserve"> </w:t>
      </w:r>
      <w:r w:rsidR="001C2E0B" w:rsidRPr="00F8291A">
        <w:rPr>
          <w:rFonts w:ascii="Arial" w:hAnsi="Arial" w:cs="Arial"/>
          <w:sz w:val="24"/>
          <w:szCs w:val="24"/>
        </w:rPr>
        <w:t xml:space="preserve">While </w:t>
      </w:r>
      <w:proofErr w:type="spellStart"/>
      <w:r w:rsidR="001C2E0B" w:rsidRPr="00F8291A">
        <w:rPr>
          <w:rFonts w:ascii="Arial" w:hAnsi="Arial" w:cs="Arial"/>
          <w:i/>
          <w:iCs/>
          <w:sz w:val="24"/>
          <w:szCs w:val="24"/>
        </w:rPr>
        <w:t>Mpongo</w:t>
      </w:r>
      <w:proofErr w:type="spellEnd"/>
      <w:r w:rsidR="001C2E0B" w:rsidRPr="00F8291A">
        <w:rPr>
          <w:rFonts w:ascii="Arial" w:hAnsi="Arial" w:cs="Arial"/>
          <w:sz w:val="24"/>
          <w:szCs w:val="24"/>
        </w:rPr>
        <w:t xml:space="preserve"> overturned the decision of the full court of the </w:t>
      </w:r>
      <w:r w:rsidR="001C2E0B" w:rsidRPr="00F8291A">
        <w:rPr>
          <w:rFonts w:ascii="Arial" w:hAnsi="Arial" w:cs="Arial"/>
          <w:i/>
          <w:iCs/>
          <w:sz w:val="24"/>
          <w:szCs w:val="24"/>
        </w:rPr>
        <w:t xml:space="preserve">Eastern Cape Division in Nedbank Ltd v </w:t>
      </w:r>
      <w:proofErr w:type="spellStart"/>
      <w:r w:rsidR="001C2E0B" w:rsidRPr="00F8291A">
        <w:rPr>
          <w:rFonts w:ascii="Arial" w:hAnsi="Arial" w:cs="Arial"/>
          <w:i/>
          <w:iCs/>
          <w:sz w:val="24"/>
          <w:szCs w:val="24"/>
        </w:rPr>
        <w:t>Gqirana</w:t>
      </w:r>
      <w:proofErr w:type="spellEnd"/>
      <w:r w:rsidR="001C2E0B" w:rsidRPr="00F8291A">
        <w:rPr>
          <w:rFonts w:ascii="Arial" w:hAnsi="Arial" w:cs="Arial"/>
          <w:i/>
          <w:iCs/>
          <w:sz w:val="24"/>
          <w:szCs w:val="24"/>
        </w:rPr>
        <w:t xml:space="preserve"> NO and Another, and Similar Matters</w:t>
      </w:r>
      <w:r w:rsidR="001C2E0B" w:rsidRPr="00F8291A">
        <w:rPr>
          <w:rFonts w:ascii="Arial" w:hAnsi="Arial" w:cs="Arial"/>
          <w:sz w:val="24"/>
          <w:szCs w:val="24"/>
        </w:rPr>
        <w:t xml:space="preserve"> 2019 (6) SA 139 (ECG) that the NCA necessarily implicitly ousted the jurisdiction of the High Court, that was in relation to an </w:t>
      </w:r>
      <w:r w:rsidR="00AA6415" w:rsidRPr="00F8291A">
        <w:rPr>
          <w:rFonts w:ascii="Arial" w:hAnsi="Arial" w:cs="Arial"/>
          <w:sz w:val="24"/>
          <w:szCs w:val="24"/>
        </w:rPr>
        <w:t xml:space="preserve">general </w:t>
      </w:r>
      <w:r w:rsidR="001C2E0B" w:rsidRPr="00F8291A">
        <w:rPr>
          <w:rFonts w:ascii="Arial" w:hAnsi="Arial" w:cs="Arial"/>
          <w:sz w:val="24"/>
          <w:szCs w:val="24"/>
        </w:rPr>
        <w:t>ouster of the High Court’s jurisdiction in relation to all NCA matters</w:t>
      </w:r>
      <w:r w:rsidR="00AA6415" w:rsidRPr="00F8291A">
        <w:rPr>
          <w:rFonts w:ascii="Arial" w:hAnsi="Arial" w:cs="Arial"/>
          <w:sz w:val="24"/>
          <w:szCs w:val="24"/>
        </w:rPr>
        <w:t xml:space="preserve"> based on </w:t>
      </w:r>
      <w:r w:rsidR="00B50939" w:rsidRPr="00F8291A">
        <w:rPr>
          <w:rFonts w:ascii="Arial" w:hAnsi="Arial" w:cs="Arial"/>
          <w:sz w:val="24"/>
          <w:szCs w:val="24"/>
        </w:rPr>
        <w:t xml:space="preserve">a </w:t>
      </w:r>
      <w:r w:rsidR="00AA6415" w:rsidRPr="00F8291A">
        <w:rPr>
          <w:rFonts w:ascii="Arial" w:hAnsi="Arial" w:cs="Arial"/>
          <w:sz w:val="24"/>
          <w:szCs w:val="24"/>
        </w:rPr>
        <w:t xml:space="preserve">reading of the </w:t>
      </w:r>
      <w:r w:rsidR="00425908" w:rsidRPr="00F8291A">
        <w:rPr>
          <w:rFonts w:ascii="Arial" w:hAnsi="Arial" w:cs="Arial"/>
          <w:sz w:val="24"/>
          <w:szCs w:val="24"/>
        </w:rPr>
        <w:t xml:space="preserve">statute </w:t>
      </w:r>
      <w:r w:rsidR="00AA6415" w:rsidRPr="00F8291A">
        <w:rPr>
          <w:rFonts w:ascii="Arial" w:hAnsi="Arial" w:cs="Arial"/>
          <w:sz w:val="24"/>
          <w:szCs w:val="24"/>
        </w:rPr>
        <w:t>as a whole</w:t>
      </w:r>
      <w:r w:rsidR="001C2E0B" w:rsidRPr="00F8291A">
        <w:rPr>
          <w:rFonts w:ascii="Arial" w:hAnsi="Arial" w:cs="Arial"/>
          <w:sz w:val="24"/>
          <w:szCs w:val="24"/>
        </w:rPr>
        <w:t>,</w:t>
      </w:r>
      <w:r w:rsidR="001C2E0B">
        <w:rPr>
          <w:rStyle w:val="FootnoteReference"/>
          <w:rFonts w:ascii="Arial" w:hAnsi="Arial" w:cs="Arial"/>
          <w:sz w:val="24"/>
          <w:szCs w:val="24"/>
        </w:rPr>
        <w:footnoteReference w:id="15"/>
      </w:r>
      <w:r w:rsidR="001C2E0B" w:rsidRPr="00F8291A">
        <w:rPr>
          <w:rFonts w:ascii="Arial" w:hAnsi="Arial" w:cs="Arial"/>
          <w:sz w:val="24"/>
          <w:szCs w:val="24"/>
        </w:rPr>
        <w:t xml:space="preserve"> and not in relation to section 127(8)(a) and its specific wording</w:t>
      </w:r>
      <w:r w:rsidR="008D26A2" w:rsidRPr="00F8291A">
        <w:rPr>
          <w:rFonts w:ascii="Arial" w:hAnsi="Arial" w:cs="Arial"/>
          <w:sz w:val="24"/>
          <w:szCs w:val="24"/>
        </w:rPr>
        <w:t xml:space="preserve"> in respect of claims for shortfalls on credit agreement falling within the ambit of that section.</w:t>
      </w:r>
    </w:p>
    <w:p w14:paraId="1A691DAF" w14:textId="19906604" w:rsidR="00425908" w:rsidRPr="00F8291A" w:rsidRDefault="00F8291A" w:rsidP="00F8291A">
      <w:pPr>
        <w:spacing w:before="360" w:after="360" w:line="480" w:lineRule="auto"/>
        <w:ind w:left="624" w:right="117" w:hanging="624"/>
        <w:jc w:val="both"/>
        <w:rPr>
          <w:rFonts w:ascii="Arial" w:hAnsi="Arial" w:cs="Arial"/>
          <w:sz w:val="24"/>
          <w:szCs w:val="24"/>
        </w:rPr>
      </w:pPr>
      <w:r w:rsidRPr="008D26A2">
        <w:rPr>
          <w:rFonts w:ascii="Arial" w:hAnsi="Arial" w:cs="Arial"/>
          <w:sz w:val="24"/>
          <w:szCs w:val="24"/>
        </w:rPr>
        <w:t>45.</w:t>
      </w:r>
      <w:r w:rsidRPr="008D26A2">
        <w:rPr>
          <w:rFonts w:ascii="Arial" w:hAnsi="Arial" w:cs="Arial"/>
          <w:sz w:val="24"/>
          <w:szCs w:val="24"/>
        </w:rPr>
        <w:tab/>
      </w:r>
      <w:r w:rsidR="009806A7" w:rsidRPr="00F8291A">
        <w:rPr>
          <w:rFonts w:ascii="Arial" w:hAnsi="Arial" w:cs="Arial"/>
          <w:sz w:val="24"/>
          <w:szCs w:val="24"/>
        </w:rPr>
        <w:t xml:space="preserve">This </w:t>
      </w:r>
      <w:r w:rsidR="009F589B" w:rsidRPr="00F8291A">
        <w:rPr>
          <w:rFonts w:ascii="Arial" w:hAnsi="Arial" w:cs="Arial"/>
          <w:sz w:val="24"/>
          <w:szCs w:val="24"/>
        </w:rPr>
        <w:t xml:space="preserve">difference in phraseology </w:t>
      </w:r>
      <w:r w:rsidR="00701B8D" w:rsidRPr="00F8291A">
        <w:rPr>
          <w:rFonts w:ascii="Arial" w:hAnsi="Arial" w:cs="Arial"/>
          <w:sz w:val="24"/>
          <w:szCs w:val="24"/>
        </w:rPr>
        <w:t>also demonstrates</w:t>
      </w:r>
      <w:r w:rsidR="009806A7" w:rsidRPr="00F8291A">
        <w:rPr>
          <w:rFonts w:ascii="Arial" w:hAnsi="Arial" w:cs="Arial"/>
          <w:sz w:val="24"/>
          <w:szCs w:val="24"/>
        </w:rPr>
        <w:t xml:space="preserve"> </w:t>
      </w:r>
      <w:r w:rsidR="00701B8D" w:rsidRPr="00F8291A">
        <w:rPr>
          <w:rFonts w:ascii="Arial" w:hAnsi="Arial" w:cs="Arial"/>
          <w:sz w:val="24"/>
          <w:szCs w:val="24"/>
        </w:rPr>
        <w:t xml:space="preserve">that </w:t>
      </w:r>
      <w:r w:rsidR="009806A7" w:rsidRPr="00F8291A">
        <w:rPr>
          <w:rFonts w:ascii="Arial" w:hAnsi="Arial" w:cs="Arial"/>
          <w:sz w:val="24"/>
          <w:szCs w:val="24"/>
        </w:rPr>
        <w:t xml:space="preserve">the phrase is </w:t>
      </w:r>
      <w:r w:rsidR="00701B8D" w:rsidRPr="00F8291A">
        <w:rPr>
          <w:rFonts w:ascii="Arial" w:hAnsi="Arial" w:cs="Arial"/>
          <w:sz w:val="24"/>
          <w:szCs w:val="24"/>
        </w:rPr>
        <w:t>not</w:t>
      </w:r>
      <w:r w:rsidR="009806A7" w:rsidRPr="00F8291A">
        <w:rPr>
          <w:rFonts w:ascii="Arial" w:hAnsi="Arial" w:cs="Arial"/>
          <w:sz w:val="24"/>
          <w:szCs w:val="24"/>
        </w:rPr>
        <w:t xml:space="preserve"> to be disregarded as inadvertent superfluity</w:t>
      </w:r>
      <w:r w:rsidR="008D26A2" w:rsidRPr="00F8291A">
        <w:rPr>
          <w:rFonts w:ascii="Arial" w:hAnsi="Arial" w:cs="Arial"/>
          <w:sz w:val="24"/>
          <w:szCs w:val="24"/>
        </w:rPr>
        <w:t xml:space="preserve"> affirming the jurisdiction that the magistrates’ courts already have</w:t>
      </w:r>
      <w:r w:rsidR="009806A7" w:rsidRPr="00F8291A">
        <w:rPr>
          <w:rFonts w:ascii="Arial" w:hAnsi="Arial" w:cs="Arial"/>
          <w:sz w:val="24"/>
          <w:szCs w:val="24"/>
        </w:rPr>
        <w:t>.</w:t>
      </w:r>
      <w:r w:rsidR="00425908" w:rsidRPr="00F8291A">
        <w:rPr>
          <w:rFonts w:ascii="Arial" w:hAnsi="Arial" w:cs="Arial"/>
          <w:sz w:val="24"/>
          <w:szCs w:val="24"/>
        </w:rPr>
        <w:t xml:space="preserve"> If the function of the phrase was simply to affirm the jurisdiction of the magistrates’ courts</w:t>
      </w:r>
      <w:r w:rsidR="008D26A2" w:rsidRPr="00F8291A">
        <w:rPr>
          <w:rFonts w:ascii="Arial" w:hAnsi="Arial" w:cs="Arial"/>
          <w:sz w:val="24"/>
          <w:szCs w:val="24"/>
        </w:rPr>
        <w:t>, and without ousting the jurisdiction of the High Court</w:t>
      </w:r>
      <w:r w:rsidR="00425908" w:rsidRPr="00F8291A">
        <w:rPr>
          <w:rFonts w:ascii="Arial" w:hAnsi="Arial" w:cs="Arial"/>
          <w:sz w:val="24"/>
          <w:szCs w:val="24"/>
        </w:rPr>
        <w:t>, then it would be expected that the same affirmation appear</w:t>
      </w:r>
      <w:r w:rsidR="008D26A2" w:rsidRPr="00F8291A">
        <w:rPr>
          <w:rFonts w:ascii="Arial" w:hAnsi="Arial" w:cs="Arial"/>
          <w:sz w:val="24"/>
          <w:szCs w:val="24"/>
        </w:rPr>
        <w:t>s</w:t>
      </w:r>
      <w:r w:rsidR="00425908" w:rsidRPr="00F8291A">
        <w:rPr>
          <w:rFonts w:ascii="Arial" w:hAnsi="Arial" w:cs="Arial"/>
          <w:sz w:val="24"/>
          <w:szCs w:val="24"/>
        </w:rPr>
        <w:t xml:space="preserve"> consistently throughout the NCA.</w:t>
      </w:r>
    </w:p>
    <w:p w14:paraId="490C38FB" w14:textId="53A811FB" w:rsidR="002336F6" w:rsidRPr="00F8291A" w:rsidRDefault="00F8291A" w:rsidP="00F8291A">
      <w:pPr>
        <w:spacing w:before="360" w:after="360" w:line="480" w:lineRule="auto"/>
        <w:ind w:left="624" w:right="117" w:hanging="624"/>
        <w:jc w:val="both"/>
        <w:rPr>
          <w:rFonts w:ascii="Arial" w:hAnsi="Arial" w:cs="Arial"/>
          <w:sz w:val="24"/>
          <w:szCs w:val="24"/>
        </w:rPr>
      </w:pPr>
      <w:r w:rsidRPr="00C816F6">
        <w:rPr>
          <w:rFonts w:ascii="Arial" w:hAnsi="Arial" w:cs="Arial"/>
          <w:sz w:val="24"/>
          <w:szCs w:val="24"/>
        </w:rPr>
        <w:t>46.</w:t>
      </w:r>
      <w:r w:rsidRPr="00C816F6">
        <w:rPr>
          <w:rFonts w:ascii="Arial" w:hAnsi="Arial" w:cs="Arial"/>
          <w:sz w:val="24"/>
          <w:szCs w:val="24"/>
        </w:rPr>
        <w:tab/>
      </w:r>
      <w:r w:rsidR="00C816F6" w:rsidRPr="00F8291A">
        <w:rPr>
          <w:rFonts w:ascii="Arial" w:hAnsi="Arial" w:cs="Arial"/>
          <w:sz w:val="24"/>
          <w:szCs w:val="24"/>
        </w:rPr>
        <w:t xml:space="preserve">The use of </w:t>
      </w:r>
      <w:r w:rsidR="002336F6" w:rsidRPr="00F8291A">
        <w:rPr>
          <w:rFonts w:ascii="Arial" w:hAnsi="Arial" w:cs="Arial"/>
          <w:sz w:val="24"/>
          <w:szCs w:val="24"/>
        </w:rPr>
        <w:t>the word ‘may</w:t>
      </w:r>
      <w:r w:rsidR="00C816F6" w:rsidRPr="00F8291A">
        <w:rPr>
          <w:rFonts w:ascii="Arial" w:hAnsi="Arial" w:cs="Arial"/>
          <w:sz w:val="24"/>
          <w:szCs w:val="24"/>
        </w:rPr>
        <w:t>’ in section 127(8)(a)</w:t>
      </w:r>
      <w:r w:rsidR="002336F6" w:rsidRPr="00F8291A">
        <w:rPr>
          <w:rFonts w:ascii="Arial" w:hAnsi="Arial" w:cs="Arial"/>
          <w:sz w:val="24"/>
          <w:szCs w:val="24"/>
        </w:rPr>
        <w:t>, which is generally, but not always, indicative of permissiveness in contrast to, for example, ‘shall’, which is generally peremp</w:t>
      </w:r>
      <w:r w:rsidR="00B54E72" w:rsidRPr="00F8291A">
        <w:rPr>
          <w:rFonts w:ascii="Arial" w:hAnsi="Arial" w:cs="Arial"/>
          <w:sz w:val="24"/>
          <w:szCs w:val="24"/>
        </w:rPr>
        <w:t>tory</w:t>
      </w:r>
      <w:r w:rsidR="00C816F6" w:rsidRPr="00F8291A">
        <w:rPr>
          <w:rFonts w:ascii="Arial" w:hAnsi="Arial" w:cs="Arial"/>
          <w:sz w:val="24"/>
          <w:szCs w:val="24"/>
        </w:rPr>
        <w:t xml:space="preserve">, inclines </w:t>
      </w:r>
      <w:r w:rsidR="00B54E72" w:rsidRPr="00F8291A">
        <w:rPr>
          <w:rFonts w:ascii="Arial" w:hAnsi="Arial" w:cs="Arial"/>
          <w:sz w:val="24"/>
          <w:szCs w:val="24"/>
        </w:rPr>
        <w:t xml:space="preserve">towards an interpretation that the section is affirming the creditor provider’s option to go to the magistrates’ courts, in </w:t>
      </w:r>
      <w:r w:rsidR="00B54E72" w:rsidRPr="00F8291A">
        <w:rPr>
          <w:rFonts w:ascii="Arial" w:hAnsi="Arial" w:cs="Arial"/>
          <w:sz w:val="24"/>
          <w:szCs w:val="24"/>
        </w:rPr>
        <w:lastRenderedPageBreak/>
        <w:t>addition to the High Court</w:t>
      </w:r>
      <w:r w:rsidR="00C816F6" w:rsidRPr="00F8291A">
        <w:rPr>
          <w:rFonts w:ascii="Arial" w:hAnsi="Arial" w:cs="Arial"/>
          <w:sz w:val="24"/>
          <w:szCs w:val="24"/>
        </w:rPr>
        <w:t xml:space="preserve"> i.e. the credit provider ‘may’, not ‘must’</w:t>
      </w:r>
      <w:r w:rsidR="00701B8D" w:rsidRPr="00F8291A">
        <w:rPr>
          <w:rFonts w:ascii="Arial" w:hAnsi="Arial" w:cs="Arial"/>
          <w:sz w:val="24"/>
          <w:szCs w:val="24"/>
        </w:rPr>
        <w:t>,</w:t>
      </w:r>
      <w:r w:rsidR="00C816F6" w:rsidRPr="00F8291A">
        <w:rPr>
          <w:rFonts w:ascii="Arial" w:hAnsi="Arial" w:cs="Arial"/>
          <w:sz w:val="24"/>
          <w:szCs w:val="24"/>
        </w:rPr>
        <w:t xml:space="preserve"> proceed in the magistrates’ courts</w:t>
      </w:r>
      <w:r w:rsidR="00B54E72" w:rsidRPr="00F8291A">
        <w:rPr>
          <w:rFonts w:ascii="Arial" w:hAnsi="Arial" w:cs="Arial"/>
          <w:sz w:val="24"/>
          <w:szCs w:val="24"/>
        </w:rPr>
        <w:t>. But in my view</w:t>
      </w:r>
      <w:r w:rsidR="00701B8D" w:rsidRPr="00F8291A">
        <w:rPr>
          <w:rFonts w:ascii="Arial" w:hAnsi="Arial" w:cs="Arial"/>
          <w:sz w:val="24"/>
          <w:szCs w:val="24"/>
        </w:rPr>
        <w:t xml:space="preserve"> </w:t>
      </w:r>
      <w:r w:rsidR="00B54E72" w:rsidRPr="00F8291A">
        <w:rPr>
          <w:rFonts w:ascii="Arial" w:hAnsi="Arial" w:cs="Arial"/>
          <w:sz w:val="24"/>
          <w:szCs w:val="24"/>
        </w:rPr>
        <w:t xml:space="preserve">this is one of those instances where </w:t>
      </w:r>
      <w:r w:rsidR="00701B8D" w:rsidRPr="00F8291A">
        <w:rPr>
          <w:rFonts w:ascii="Arial" w:hAnsi="Arial" w:cs="Arial"/>
          <w:sz w:val="24"/>
          <w:szCs w:val="24"/>
        </w:rPr>
        <w:t xml:space="preserve">although </w:t>
      </w:r>
      <w:r w:rsidR="00B54E72" w:rsidRPr="00F8291A">
        <w:rPr>
          <w:rFonts w:ascii="Arial" w:hAnsi="Arial" w:cs="Arial"/>
          <w:sz w:val="24"/>
          <w:szCs w:val="24"/>
        </w:rPr>
        <w:t>‘may’ is</w:t>
      </w:r>
      <w:r w:rsidR="00701B8D" w:rsidRPr="00F8291A">
        <w:rPr>
          <w:rFonts w:ascii="Arial" w:hAnsi="Arial" w:cs="Arial"/>
          <w:sz w:val="24"/>
          <w:szCs w:val="24"/>
        </w:rPr>
        <w:t xml:space="preserve"> </w:t>
      </w:r>
      <w:proofErr w:type="gramStart"/>
      <w:r w:rsidR="00701B8D" w:rsidRPr="00F8291A">
        <w:rPr>
          <w:rFonts w:ascii="Arial" w:hAnsi="Arial" w:cs="Arial"/>
          <w:sz w:val="24"/>
          <w:szCs w:val="24"/>
        </w:rPr>
        <w:t xml:space="preserve">used, </w:t>
      </w:r>
      <w:r w:rsidR="00B54E72" w:rsidRPr="00F8291A">
        <w:rPr>
          <w:rFonts w:ascii="Arial" w:hAnsi="Arial" w:cs="Arial"/>
          <w:sz w:val="24"/>
          <w:szCs w:val="24"/>
        </w:rPr>
        <w:t xml:space="preserve"> its</w:t>
      </w:r>
      <w:proofErr w:type="gramEnd"/>
      <w:r w:rsidR="00B54E72" w:rsidRPr="00F8291A">
        <w:rPr>
          <w:rFonts w:ascii="Arial" w:hAnsi="Arial" w:cs="Arial"/>
          <w:sz w:val="24"/>
          <w:szCs w:val="24"/>
        </w:rPr>
        <w:t xml:space="preserve"> direction is peremptory. In this regard, I adopt the reasoning of Constitutional Court’s </w:t>
      </w:r>
      <w:r w:rsidR="008B56F1" w:rsidRPr="00F8291A">
        <w:rPr>
          <w:rFonts w:ascii="Arial" w:hAnsi="Arial" w:cs="Arial"/>
          <w:sz w:val="24"/>
          <w:szCs w:val="24"/>
        </w:rPr>
        <w:t>i</w:t>
      </w:r>
      <w:r w:rsidR="00B54E72" w:rsidRPr="00F8291A">
        <w:rPr>
          <w:rFonts w:ascii="Arial" w:hAnsi="Arial" w:cs="Arial"/>
          <w:sz w:val="24"/>
          <w:szCs w:val="24"/>
        </w:rPr>
        <w:t>n</w:t>
      </w:r>
      <w:r w:rsidR="008B56F1" w:rsidRPr="00F8291A">
        <w:rPr>
          <w:rFonts w:ascii="Arial" w:hAnsi="Arial" w:cs="Arial"/>
          <w:sz w:val="24"/>
          <w:szCs w:val="24"/>
        </w:rPr>
        <w:t xml:space="preserve"> paragraphs 24 to 36 of</w:t>
      </w:r>
      <w:r w:rsidR="00B54E72" w:rsidRPr="00F8291A">
        <w:rPr>
          <w:rFonts w:ascii="Arial" w:hAnsi="Arial" w:cs="Arial"/>
          <w:sz w:val="24"/>
          <w:szCs w:val="24"/>
        </w:rPr>
        <w:t xml:space="preserve"> </w:t>
      </w:r>
      <w:r w:rsidR="00B54E72" w:rsidRPr="00F8291A">
        <w:rPr>
          <w:rFonts w:ascii="Arial" w:hAnsi="Arial" w:cs="Arial"/>
          <w:i/>
          <w:iCs/>
          <w:sz w:val="24"/>
          <w:szCs w:val="24"/>
        </w:rPr>
        <w:t xml:space="preserve">SAHRC, </w:t>
      </w:r>
      <w:r w:rsidR="00B54E72" w:rsidRPr="00F8291A">
        <w:rPr>
          <w:rFonts w:ascii="Arial" w:hAnsi="Arial" w:cs="Arial"/>
          <w:sz w:val="24"/>
          <w:szCs w:val="24"/>
        </w:rPr>
        <w:t>which found</w:t>
      </w:r>
      <w:r w:rsidR="00B54E72" w:rsidRPr="00F8291A">
        <w:rPr>
          <w:rFonts w:ascii="Arial" w:hAnsi="Arial" w:cs="Arial"/>
          <w:i/>
          <w:iCs/>
          <w:sz w:val="24"/>
          <w:szCs w:val="24"/>
        </w:rPr>
        <w:t xml:space="preserve"> </w:t>
      </w:r>
      <w:r w:rsidR="00B54E72" w:rsidRPr="00F8291A">
        <w:rPr>
          <w:rFonts w:ascii="Arial" w:hAnsi="Arial" w:cs="Arial"/>
          <w:sz w:val="24"/>
          <w:szCs w:val="24"/>
        </w:rPr>
        <w:t xml:space="preserve">that the use of the word </w:t>
      </w:r>
      <w:r w:rsidR="00C816F6" w:rsidRPr="00F8291A">
        <w:rPr>
          <w:rFonts w:ascii="Arial" w:hAnsi="Arial" w:cs="Arial"/>
          <w:sz w:val="24"/>
          <w:szCs w:val="24"/>
        </w:rPr>
        <w:t>‘</w:t>
      </w:r>
      <w:r w:rsidR="00B54E72" w:rsidRPr="00F8291A">
        <w:rPr>
          <w:rFonts w:ascii="Arial" w:hAnsi="Arial" w:cs="Arial"/>
          <w:sz w:val="24"/>
          <w:szCs w:val="24"/>
        </w:rPr>
        <w:t>may</w:t>
      </w:r>
      <w:r w:rsidR="00C816F6" w:rsidRPr="00F8291A">
        <w:rPr>
          <w:rFonts w:ascii="Arial" w:hAnsi="Arial" w:cs="Arial"/>
          <w:sz w:val="24"/>
          <w:szCs w:val="24"/>
        </w:rPr>
        <w:t>’</w:t>
      </w:r>
      <w:r w:rsidR="00B54E72" w:rsidRPr="00F8291A">
        <w:rPr>
          <w:rFonts w:ascii="Arial" w:hAnsi="Arial" w:cs="Arial"/>
          <w:sz w:val="24"/>
          <w:szCs w:val="24"/>
        </w:rPr>
        <w:t xml:space="preserve"> in section 169 </w:t>
      </w:r>
      <w:r w:rsidR="00C816F6" w:rsidRPr="00F8291A">
        <w:rPr>
          <w:rFonts w:ascii="Arial" w:hAnsi="Arial" w:cs="Arial"/>
          <w:sz w:val="24"/>
          <w:szCs w:val="24"/>
        </w:rPr>
        <w:t xml:space="preserve">of the Constitution </w:t>
      </w:r>
      <w:r w:rsidR="00B54E72" w:rsidRPr="00F8291A">
        <w:rPr>
          <w:rFonts w:ascii="Arial" w:hAnsi="Arial" w:cs="Arial"/>
          <w:sz w:val="24"/>
          <w:szCs w:val="24"/>
        </w:rPr>
        <w:t xml:space="preserve">in describing what matters a High Court </w:t>
      </w:r>
      <w:r w:rsidR="00C816F6" w:rsidRPr="00F8291A">
        <w:rPr>
          <w:rFonts w:ascii="Arial" w:hAnsi="Arial" w:cs="Arial"/>
          <w:sz w:val="24"/>
          <w:szCs w:val="24"/>
        </w:rPr>
        <w:t>‘</w:t>
      </w:r>
      <w:r w:rsidR="00B54E72" w:rsidRPr="00F8291A">
        <w:rPr>
          <w:rFonts w:ascii="Arial" w:hAnsi="Arial" w:cs="Arial"/>
          <w:sz w:val="24"/>
          <w:szCs w:val="24"/>
        </w:rPr>
        <w:t>may</w:t>
      </w:r>
      <w:r w:rsidR="00C816F6" w:rsidRPr="00F8291A">
        <w:rPr>
          <w:rFonts w:ascii="Arial" w:hAnsi="Arial" w:cs="Arial"/>
          <w:sz w:val="24"/>
          <w:szCs w:val="24"/>
        </w:rPr>
        <w:t>’</w:t>
      </w:r>
      <w:r w:rsidR="00B54E72" w:rsidRPr="00F8291A">
        <w:rPr>
          <w:rFonts w:ascii="Arial" w:hAnsi="Arial" w:cs="Arial"/>
          <w:sz w:val="24"/>
          <w:szCs w:val="24"/>
        </w:rPr>
        <w:t xml:space="preserve"> decide is not permissive</w:t>
      </w:r>
      <w:r w:rsidR="00C816F6" w:rsidRPr="00F8291A">
        <w:rPr>
          <w:rFonts w:ascii="Arial" w:hAnsi="Arial" w:cs="Arial"/>
          <w:sz w:val="24"/>
          <w:szCs w:val="24"/>
        </w:rPr>
        <w:t xml:space="preserve"> </w:t>
      </w:r>
      <w:r w:rsidR="00B54E72" w:rsidRPr="00F8291A">
        <w:rPr>
          <w:rFonts w:ascii="Arial" w:hAnsi="Arial" w:cs="Arial"/>
          <w:sz w:val="24"/>
          <w:szCs w:val="24"/>
        </w:rPr>
        <w:t>but peremptory</w:t>
      </w:r>
      <w:r w:rsidR="00701B8D" w:rsidRPr="00F8291A">
        <w:rPr>
          <w:rFonts w:ascii="Arial" w:hAnsi="Arial" w:cs="Arial"/>
          <w:sz w:val="24"/>
          <w:szCs w:val="24"/>
        </w:rPr>
        <w:t>,</w:t>
      </w:r>
      <w:r w:rsidR="00B54E72" w:rsidRPr="00F8291A">
        <w:rPr>
          <w:rFonts w:ascii="Arial" w:hAnsi="Arial" w:cs="Arial"/>
          <w:sz w:val="24"/>
          <w:szCs w:val="24"/>
        </w:rPr>
        <w:t xml:space="preserve"> </w:t>
      </w:r>
      <w:r w:rsidR="00701B8D" w:rsidRPr="00F8291A">
        <w:rPr>
          <w:rFonts w:ascii="Arial" w:hAnsi="Arial" w:cs="Arial"/>
          <w:sz w:val="24"/>
          <w:szCs w:val="24"/>
        </w:rPr>
        <w:t xml:space="preserve">rejecting an argument that the use of the word ‘may’ confers upon </w:t>
      </w:r>
      <w:r w:rsidR="00B54E72" w:rsidRPr="00F8291A">
        <w:rPr>
          <w:rFonts w:ascii="Arial" w:hAnsi="Arial" w:cs="Arial"/>
          <w:sz w:val="24"/>
          <w:szCs w:val="24"/>
        </w:rPr>
        <w:t xml:space="preserve">the High Court </w:t>
      </w:r>
      <w:r w:rsidR="00701B8D" w:rsidRPr="00F8291A">
        <w:rPr>
          <w:rFonts w:ascii="Arial" w:hAnsi="Arial" w:cs="Arial"/>
          <w:sz w:val="24"/>
          <w:szCs w:val="24"/>
        </w:rPr>
        <w:t xml:space="preserve">a discretion </w:t>
      </w:r>
      <w:r w:rsidR="008B56F1" w:rsidRPr="00F8291A">
        <w:rPr>
          <w:rFonts w:ascii="Arial" w:hAnsi="Arial" w:cs="Arial"/>
          <w:sz w:val="24"/>
          <w:szCs w:val="24"/>
        </w:rPr>
        <w:t>to</w:t>
      </w:r>
      <w:r w:rsidR="00B54E72" w:rsidRPr="00F8291A">
        <w:rPr>
          <w:rFonts w:ascii="Arial" w:hAnsi="Arial" w:cs="Arial"/>
          <w:sz w:val="24"/>
          <w:szCs w:val="24"/>
        </w:rPr>
        <w:t xml:space="preserve"> decline to exercise </w:t>
      </w:r>
      <w:r w:rsidR="00701B8D" w:rsidRPr="00F8291A">
        <w:rPr>
          <w:rFonts w:ascii="Arial" w:hAnsi="Arial" w:cs="Arial"/>
          <w:sz w:val="24"/>
          <w:szCs w:val="24"/>
        </w:rPr>
        <w:t>its jurisdiction to hear a matter</w:t>
      </w:r>
      <w:r w:rsidR="00B54E72" w:rsidRPr="00F8291A">
        <w:rPr>
          <w:rFonts w:ascii="Arial" w:hAnsi="Arial" w:cs="Arial"/>
          <w:sz w:val="24"/>
          <w:szCs w:val="24"/>
        </w:rPr>
        <w:t>.</w:t>
      </w:r>
    </w:p>
    <w:p w14:paraId="70162857" w14:textId="542A8B01" w:rsidR="00ED08B1"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47.</w:t>
      </w:r>
      <w:r>
        <w:rPr>
          <w:rFonts w:ascii="Arial" w:hAnsi="Arial" w:cs="Arial"/>
          <w:sz w:val="24"/>
          <w:szCs w:val="24"/>
        </w:rPr>
        <w:tab/>
      </w:r>
      <w:r w:rsidR="00425908" w:rsidRPr="00F8291A">
        <w:rPr>
          <w:rFonts w:ascii="Arial" w:hAnsi="Arial" w:cs="Arial"/>
          <w:sz w:val="24"/>
          <w:szCs w:val="24"/>
        </w:rPr>
        <w:t xml:space="preserve">Section 3 of the NCA sets out its purposes. </w:t>
      </w:r>
      <w:r w:rsidR="00ED08B1" w:rsidRPr="00F8291A">
        <w:rPr>
          <w:rFonts w:ascii="Arial" w:hAnsi="Arial" w:cs="Arial"/>
          <w:sz w:val="24"/>
          <w:szCs w:val="24"/>
        </w:rPr>
        <w:t>Section 2 requires the NCA to be interpreted in a manner that gives effect to those purposes.</w:t>
      </w:r>
    </w:p>
    <w:p w14:paraId="72347491" w14:textId="4583B606" w:rsidR="004E5796" w:rsidRPr="00F8291A" w:rsidRDefault="00F8291A" w:rsidP="00F8291A">
      <w:pPr>
        <w:spacing w:before="360" w:after="360" w:line="480" w:lineRule="auto"/>
        <w:ind w:left="624" w:right="117" w:hanging="624"/>
        <w:jc w:val="both"/>
        <w:rPr>
          <w:rFonts w:ascii="Arial" w:hAnsi="Arial" w:cs="Arial"/>
          <w:sz w:val="24"/>
          <w:szCs w:val="24"/>
        </w:rPr>
      </w:pPr>
      <w:r w:rsidRPr="001462C7">
        <w:rPr>
          <w:rFonts w:ascii="Arial" w:hAnsi="Arial" w:cs="Arial"/>
          <w:sz w:val="24"/>
          <w:szCs w:val="24"/>
        </w:rPr>
        <w:t>48.</w:t>
      </w:r>
      <w:r w:rsidRPr="001462C7">
        <w:rPr>
          <w:rFonts w:ascii="Arial" w:hAnsi="Arial" w:cs="Arial"/>
          <w:sz w:val="24"/>
          <w:szCs w:val="24"/>
        </w:rPr>
        <w:tab/>
      </w:r>
      <w:r w:rsidR="00362F36" w:rsidRPr="00F8291A">
        <w:rPr>
          <w:rFonts w:ascii="Arial" w:hAnsi="Arial" w:cs="Arial"/>
          <w:sz w:val="24"/>
          <w:szCs w:val="24"/>
        </w:rPr>
        <w:t xml:space="preserve">The </w:t>
      </w:r>
      <w:r w:rsidR="004E5796" w:rsidRPr="00F8291A">
        <w:rPr>
          <w:rFonts w:ascii="Arial" w:hAnsi="Arial" w:cs="Arial"/>
          <w:sz w:val="24"/>
          <w:szCs w:val="24"/>
        </w:rPr>
        <w:t xml:space="preserve">full court in </w:t>
      </w:r>
      <w:proofErr w:type="spellStart"/>
      <w:r w:rsidR="004E5796" w:rsidRPr="00F8291A">
        <w:rPr>
          <w:rFonts w:ascii="Arial" w:hAnsi="Arial" w:cs="Arial"/>
          <w:i/>
          <w:iCs/>
          <w:sz w:val="24"/>
          <w:szCs w:val="24"/>
        </w:rPr>
        <w:t>Mateman</w:t>
      </w:r>
      <w:proofErr w:type="spellEnd"/>
      <w:r w:rsidR="004E5796" w:rsidRPr="00F8291A">
        <w:rPr>
          <w:rFonts w:ascii="Arial" w:hAnsi="Arial" w:cs="Arial"/>
          <w:i/>
          <w:iCs/>
          <w:sz w:val="24"/>
          <w:szCs w:val="24"/>
        </w:rPr>
        <w:t xml:space="preserve"> </w:t>
      </w:r>
      <w:r w:rsidR="004E5796" w:rsidRPr="00F8291A">
        <w:rPr>
          <w:rFonts w:ascii="Arial" w:hAnsi="Arial" w:cs="Arial"/>
          <w:sz w:val="24"/>
          <w:szCs w:val="24"/>
        </w:rPr>
        <w:t>found</w:t>
      </w:r>
      <w:r w:rsidR="00362F36" w:rsidRPr="00F8291A">
        <w:rPr>
          <w:rFonts w:ascii="Arial" w:hAnsi="Arial" w:cs="Arial"/>
          <w:sz w:val="24"/>
          <w:szCs w:val="24"/>
        </w:rPr>
        <w:t xml:space="preserve"> at 285I-J</w:t>
      </w:r>
      <w:r w:rsidR="004E5796" w:rsidRPr="00F8291A">
        <w:rPr>
          <w:rFonts w:ascii="Arial" w:hAnsi="Arial" w:cs="Arial"/>
          <w:sz w:val="24"/>
          <w:szCs w:val="24"/>
        </w:rPr>
        <w:t xml:space="preserve"> that none of the purposes set out in section 3 of the </w:t>
      </w:r>
      <w:r w:rsidR="00362F36" w:rsidRPr="00F8291A">
        <w:rPr>
          <w:rFonts w:ascii="Arial" w:hAnsi="Arial" w:cs="Arial"/>
          <w:sz w:val="24"/>
          <w:szCs w:val="24"/>
        </w:rPr>
        <w:t xml:space="preserve">NCA </w:t>
      </w:r>
      <w:r w:rsidR="001E3EC9" w:rsidRPr="00F8291A">
        <w:rPr>
          <w:rFonts w:ascii="Arial" w:hAnsi="Arial" w:cs="Arial"/>
          <w:sz w:val="24"/>
          <w:szCs w:val="24"/>
        </w:rPr>
        <w:t>indicated</w:t>
      </w:r>
      <w:r w:rsidR="004E5796" w:rsidRPr="00F8291A">
        <w:rPr>
          <w:rFonts w:ascii="Arial" w:hAnsi="Arial" w:cs="Arial"/>
          <w:sz w:val="24"/>
          <w:szCs w:val="24"/>
        </w:rPr>
        <w:t xml:space="preserve"> that the jurisdiction of the High Court </w:t>
      </w:r>
      <w:r w:rsidR="00362F36" w:rsidRPr="00F8291A">
        <w:rPr>
          <w:rFonts w:ascii="Arial" w:hAnsi="Arial" w:cs="Arial"/>
          <w:sz w:val="24"/>
          <w:szCs w:val="24"/>
        </w:rPr>
        <w:t>was</w:t>
      </w:r>
      <w:r w:rsidR="004E5796" w:rsidRPr="00F8291A">
        <w:rPr>
          <w:rFonts w:ascii="Arial" w:hAnsi="Arial" w:cs="Arial"/>
          <w:sz w:val="24"/>
          <w:szCs w:val="24"/>
        </w:rPr>
        <w:t xml:space="preserve"> intended to be ousted.</w:t>
      </w:r>
      <w:r w:rsidR="001462C7">
        <w:rPr>
          <w:rStyle w:val="FootnoteReference"/>
          <w:rFonts w:ascii="Arial" w:hAnsi="Arial" w:cs="Arial"/>
          <w:sz w:val="24"/>
          <w:szCs w:val="24"/>
        </w:rPr>
        <w:footnoteReference w:id="16"/>
      </w:r>
      <w:r w:rsidR="004E5796" w:rsidRPr="00F8291A">
        <w:rPr>
          <w:rFonts w:ascii="Arial" w:hAnsi="Arial" w:cs="Arial"/>
          <w:sz w:val="24"/>
          <w:szCs w:val="24"/>
        </w:rPr>
        <w:t xml:space="preserve"> </w:t>
      </w:r>
      <w:r w:rsidR="001462C7" w:rsidRPr="00F8291A">
        <w:rPr>
          <w:rFonts w:ascii="Arial" w:hAnsi="Arial" w:cs="Arial"/>
          <w:sz w:val="24"/>
          <w:szCs w:val="24"/>
        </w:rPr>
        <w:t xml:space="preserve">In </w:t>
      </w:r>
      <w:proofErr w:type="spellStart"/>
      <w:r w:rsidR="004E5796" w:rsidRPr="00F8291A">
        <w:rPr>
          <w:rFonts w:ascii="Arial" w:hAnsi="Arial" w:cs="Arial"/>
          <w:i/>
          <w:iCs/>
          <w:sz w:val="24"/>
          <w:szCs w:val="24"/>
        </w:rPr>
        <w:t>Mpongo</w:t>
      </w:r>
      <w:proofErr w:type="spellEnd"/>
      <w:r w:rsidR="004E5796" w:rsidRPr="00F8291A">
        <w:rPr>
          <w:rFonts w:ascii="Arial" w:hAnsi="Arial" w:cs="Arial"/>
          <w:i/>
          <w:iCs/>
          <w:sz w:val="24"/>
          <w:szCs w:val="24"/>
        </w:rPr>
        <w:t xml:space="preserve"> </w:t>
      </w:r>
      <w:r w:rsidR="004E5796" w:rsidRPr="00F8291A">
        <w:rPr>
          <w:rFonts w:ascii="Arial" w:hAnsi="Arial" w:cs="Arial"/>
          <w:sz w:val="24"/>
          <w:szCs w:val="24"/>
        </w:rPr>
        <w:t xml:space="preserve">and </w:t>
      </w:r>
      <w:r w:rsidR="001462C7" w:rsidRPr="00F8291A">
        <w:rPr>
          <w:rFonts w:ascii="Arial" w:hAnsi="Arial" w:cs="Arial"/>
          <w:sz w:val="24"/>
          <w:szCs w:val="24"/>
        </w:rPr>
        <w:t xml:space="preserve">then on further appeal in </w:t>
      </w:r>
      <w:r w:rsidR="004E5796" w:rsidRPr="00F8291A">
        <w:rPr>
          <w:rFonts w:ascii="Arial" w:hAnsi="Arial" w:cs="Arial"/>
          <w:i/>
          <w:iCs/>
          <w:sz w:val="24"/>
          <w:szCs w:val="24"/>
        </w:rPr>
        <w:t>SAHRC</w:t>
      </w:r>
      <w:r w:rsidR="004E5796" w:rsidRPr="00F8291A">
        <w:rPr>
          <w:rFonts w:ascii="Arial" w:hAnsi="Arial" w:cs="Arial"/>
          <w:sz w:val="24"/>
          <w:szCs w:val="24"/>
        </w:rPr>
        <w:t xml:space="preserve"> the</w:t>
      </w:r>
      <w:r w:rsidR="001462C7" w:rsidRPr="00F8291A">
        <w:rPr>
          <w:rFonts w:ascii="Arial" w:hAnsi="Arial" w:cs="Arial"/>
          <w:sz w:val="24"/>
          <w:szCs w:val="24"/>
        </w:rPr>
        <w:t xml:space="preserve"> appeal courts</w:t>
      </w:r>
      <w:r w:rsidR="004E5796" w:rsidRPr="00F8291A">
        <w:rPr>
          <w:rFonts w:ascii="Arial" w:hAnsi="Arial" w:cs="Arial"/>
          <w:sz w:val="24"/>
          <w:szCs w:val="24"/>
        </w:rPr>
        <w:t xml:space="preserve"> </w:t>
      </w:r>
      <w:r w:rsidR="008673E1" w:rsidRPr="00F8291A">
        <w:rPr>
          <w:rFonts w:ascii="Arial" w:hAnsi="Arial" w:cs="Arial"/>
          <w:sz w:val="24"/>
          <w:szCs w:val="24"/>
        </w:rPr>
        <w:t>rejected the proposition</w:t>
      </w:r>
      <w:r w:rsidR="004E5796" w:rsidRPr="00F8291A">
        <w:rPr>
          <w:rFonts w:ascii="Arial" w:hAnsi="Arial" w:cs="Arial"/>
          <w:sz w:val="24"/>
          <w:szCs w:val="24"/>
        </w:rPr>
        <w:t xml:space="preserve"> that the purpose of the NCA would b</w:t>
      </w:r>
      <w:r w:rsidR="00A71FF0" w:rsidRPr="00F8291A">
        <w:rPr>
          <w:rFonts w:ascii="Arial" w:hAnsi="Arial" w:cs="Arial"/>
          <w:sz w:val="24"/>
          <w:szCs w:val="24"/>
        </w:rPr>
        <w:t>e undermined</w:t>
      </w:r>
      <w:r w:rsidR="004E5796" w:rsidRPr="00F8291A">
        <w:rPr>
          <w:rFonts w:ascii="Arial" w:hAnsi="Arial" w:cs="Arial"/>
          <w:sz w:val="24"/>
          <w:szCs w:val="24"/>
        </w:rPr>
        <w:t xml:space="preserve"> if it was found that </w:t>
      </w:r>
      <w:r w:rsidR="00860E20" w:rsidRPr="00F8291A">
        <w:rPr>
          <w:rFonts w:ascii="Arial" w:hAnsi="Arial" w:cs="Arial"/>
          <w:sz w:val="24"/>
          <w:szCs w:val="24"/>
        </w:rPr>
        <w:t>the</w:t>
      </w:r>
      <w:r w:rsidR="004E5796" w:rsidRPr="00F8291A">
        <w:rPr>
          <w:rFonts w:ascii="Arial" w:hAnsi="Arial" w:cs="Arial"/>
          <w:sz w:val="24"/>
          <w:szCs w:val="24"/>
        </w:rPr>
        <w:t xml:space="preserve"> High Court has concurrent jurisdiction with the</w:t>
      </w:r>
      <w:r w:rsidR="001462C7" w:rsidRPr="00F8291A">
        <w:rPr>
          <w:rFonts w:ascii="Arial" w:hAnsi="Arial" w:cs="Arial"/>
          <w:sz w:val="24"/>
          <w:szCs w:val="24"/>
        </w:rPr>
        <w:t xml:space="preserve"> magistrates’ courts</w:t>
      </w:r>
      <w:r w:rsidR="008673E1" w:rsidRPr="00F8291A">
        <w:rPr>
          <w:rFonts w:ascii="Arial" w:hAnsi="Arial" w:cs="Arial"/>
          <w:sz w:val="24"/>
          <w:szCs w:val="24"/>
        </w:rPr>
        <w:t xml:space="preserve">, or </w:t>
      </w:r>
      <w:r w:rsidR="00860E20" w:rsidRPr="00F8291A">
        <w:rPr>
          <w:rFonts w:ascii="Arial" w:hAnsi="Arial" w:cs="Arial"/>
          <w:sz w:val="24"/>
          <w:szCs w:val="24"/>
        </w:rPr>
        <w:t xml:space="preserve">if it was found that the High Court </w:t>
      </w:r>
      <w:r w:rsidR="008673E1" w:rsidRPr="00F8291A">
        <w:rPr>
          <w:rFonts w:ascii="Arial" w:hAnsi="Arial" w:cs="Arial"/>
          <w:sz w:val="24"/>
          <w:szCs w:val="24"/>
        </w:rPr>
        <w:t xml:space="preserve">did not have </w:t>
      </w:r>
      <w:r w:rsidR="001462C7" w:rsidRPr="00F8291A">
        <w:rPr>
          <w:rFonts w:ascii="Arial" w:hAnsi="Arial" w:cs="Arial"/>
          <w:sz w:val="24"/>
          <w:szCs w:val="24"/>
        </w:rPr>
        <w:t xml:space="preserve">a discretion to decline to exercise </w:t>
      </w:r>
      <w:r w:rsidR="004E5796" w:rsidRPr="00F8291A">
        <w:rPr>
          <w:rFonts w:ascii="Arial" w:hAnsi="Arial" w:cs="Arial"/>
          <w:sz w:val="24"/>
          <w:szCs w:val="24"/>
        </w:rPr>
        <w:t>that jurisdiction. But what those judgments did not</w:t>
      </w:r>
      <w:r w:rsidR="001462C7" w:rsidRPr="00F8291A">
        <w:rPr>
          <w:rFonts w:ascii="Arial" w:hAnsi="Arial" w:cs="Arial"/>
          <w:sz w:val="24"/>
          <w:szCs w:val="24"/>
        </w:rPr>
        <w:t xml:space="preserve"> find is that the</w:t>
      </w:r>
      <w:r w:rsidR="001E3EC9" w:rsidRPr="00F8291A">
        <w:rPr>
          <w:rFonts w:ascii="Arial" w:hAnsi="Arial" w:cs="Arial"/>
          <w:sz w:val="24"/>
          <w:szCs w:val="24"/>
        </w:rPr>
        <w:t xml:space="preserve"> purposes</w:t>
      </w:r>
      <w:r w:rsidR="001462C7" w:rsidRPr="00F8291A">
        <w:rPr>
          <w:rFonts w:ascii="Arial" w:hAnsi="Arial" w:cs="Arial"/>
          <w:sz w:val="24"/>
          <w:szCs w:val="24"/>
        </w:rPr>
        <w:t xml:space="preserve"> </w:t>
      </w:r>
      <w:r w:rsidR="004E5796" w:rsidRPr="00F8291A">
        <w:rPr>
          <w:rFonts w:ascii="Arial" w:hAnsi="Arial" w:cs="Arial"/>
          <w:sz w:val="24"/>
          <w:szCs w:val="24"/>
        </w:rPr>
        <w:t xml:space="preserve">of the NCA </w:t>
      </w:r>
      <w:r w:rsidR="001462C7" w:rsidRPr="00F8291A">
        <w:rPr>
          <w:rFonts w:ascii="Arial" w:hAnsi="Arial" w:cs="Arial"/>
          <w:sz w:val="24"/>
          <w:szCs w:val="24"/>
        </w:rPr>
        <w:t>w</w:t>
      </w:r>
      <w:r w:rsidR="004E5796" w:rsidRPr="00F8291A">
        <w:rPr>
          <w:rFonts w:ascii="Arial" w:hAnsi="Arial" w:cs="Arial"/>
          <w:sz w:val="24"/>
          <w:szCs w:val="24"/>
        </w:rPr>
        <w:t xml:space="preserve">ould </w:t>
      </w:r>
      <w:r w:rsidR="008673E1" w:rsidRPr="00F8291A">
        <w:rPr>
          <w:rFonts w:ascii="Arial" w:hAnsi="Arial" w:cs="Arial"/>
          <w:sz w:val="24"/>
          <w:szCs w:val="24"/>
        </w:rPr>
        <w:t>be defeated</w:t>
      </w:r>
      <w:r w:rsidR="004E5796" w:rsidRPr="00F8291A">
        <w:rPr>
          <w:rFonts w:ascii="Arial" w:hAnsi="Arial" w:cs="Arial"/>
          <w:sz w:val="24"/>
          <w:szCs w:val="24"/>
        </w:rPr>
        <w:t xml:space="preserve"> if it was found that </w:t>
      </w:r>
      <w:r w:rsidR="001462C7" w:rsidRPr="00F8291A">
        <w:rPr>
          <w:rFonts w:ascii="Arial" w:hAnsi="Arial" w:cs="Arial"/>
          <w:sz w:val="24"/>
          <w:szCs w:val="24"/>
        </w:rPr>
        <w:t>magistrates’ courts</w:t>
      </w:r>
      <w:r w:rsidR="004E5796" w:rsidRPr="00F8291A">
        <w:rPr>
          <w:rFonts w:ascii="Arial" w:hAnsi="Arial" w:cs="Arial"/>
          <w:sz w:val="24"/>
          <w:szCs w:val="24"/>
        </w:rPr>
        <w:t xml:space="preserve"> did have exclusive jurisdiction.</w:t>
      </w:r>
    </w:p>
    <w:p w14:paraId="0D10518F" w14:textId="55D23603" w:rsidR="008771F0" w:rsidRPr="00F8291A" w:rsidRDefault="00F8291A" w:rsidP="00F8291A">
      <w:pPr>
        <w:spacing w:before="360" w:after="360" w:line="480" w:lineRule="auto"/>
        <w:ind w:left="624" w:right="117" w:hanging="624"/>
        <w:jc w:val="both"/>
        <w:rPr>
          <w:rFonts w:ascii="Arial" w:hAnsi="Arial" w:cs="Arial"/>
          <w:sz w:val="24"/>
          <w:szCs w:val="24"/>
        </w:rPr>
      </w:pPr>
      <w:r w:rsidRPr="008771F0">
        <w:rPr>
          <w:rFonts w:ascii="Arial" w:hAnsi="Arial" w:cs="Arial"/>
          <w:sz w:val="24"/>
          <w:szCs w:val="24"/>
        </w:rPr>
        <w:t>49.</w:t>
      </w:r>
      <w:r w:rsidRPr="008771F0">
        <w:rPr>
          <w:rFonts w:ascii="Arial" w:hAnsi="Arial" w:cs="Arial"/>
          <w:sz w:val="24"/>
          <w:szCs w:val="24"/>
        </w:rPr>
        <w:tab/>
      </w:r>
      <w:r w:rsidR="001462C7" w:rsidRPr="00F8291A">
        <w:rPr>
          <w:rFonts w:ascii="Arial" w:hAnsi="Arial" w:cs="Arial"/>
          <w:sz w:val="24"/>
          <w:szCs w:val="24"/>
        </w:rPr>
        <w:t>To the contrary, the judgments accepted</w:t>
      </w:r>
      <w:r w:rsidR="00C52A39" w:rsidRPr="00F8291A">
        <w:rPr>
          <w:rFonts w:ascii="Arial" w:hAnsi="Arial" w:cs="Arial"/>
          <w:sz w:val="24"/>
          <w:szCs w:val="24"/>
        </w:rPr>
        <w:t xml:space="preserve"> </w:t>
      </w:r>
      <w:r w:rsidR="001462C7" w:rsidRPr="00F8291A">
        <w:rPr>
          <w:rFonts w:ascii="Arial" w:hAnsi="Arial" w:cs="Arial"/>
          <w:sz w:val="24"/>
          <w:szCs w:val="24"/>
        </w:rPr>
        <w:t xml:space="preserve">that it may be </w:t>
      </w:r>
      <w:r w:rsidR="00A84A63" w:rsidRPr="00F8291A">
        <w:rPr>
          <w:rFonts w:ascii="Arial" w:hAnsi="Arial" w:cs="Arial"/>
          <w:sz w:val="24"/>
          <w:szCs w:val="24"/>
        </w:rPr>
        <w:t xml:space="preserve">that the objectives would nevertheless be satisfied if the High Court’s jurisdiction was excluded. </w:t>
      </w:r>
      <w:r w:rsidR="004E5796" w:rsidRPr="00F8291A">
        <w:rPr>
          <w:rFonts w:ascii="Arial" w:hAnsi="Arial" w:cs="Arial"/>
          <w:sz w:val="24"/>
          <w:szCs w:val="24"/>
        </w:rPr>
        <w:lastRenderedPageBreak/>
        <w:t xml:space="preserve">Sutherland AJA </w:t>
      </w:r>
      <w:r w:rsidR="00A84A63" w:rsidRPr="00F8291A">
        <w:rPr>
          <w:rFonts w:ascii="Arial" w:hAnsi="Arial" w:cs="Arial"/>
          <w:sz w:val="24"/>
          <w:szCs w:val="24"/>
        </w:rPr>
        <w:t xml:space="preserve">in </w:t>
      </w:r>
      <w:proofErr w:type="spellStart"/>
      <w:r w:rsidR="00A84A63" w:rsidRPr="00F8291A">
        <w:rPr>
          <w:rFonts w:ascii="Arial" w:hAnsi="Arial" w:cs="Arial"/>
          <w:i/>
          <w:iCs/>
          <w:sz w:val="24"/>
          <w:szCs w:val="24"/>
        </w:rPr>
        <w:t>Mpongo</w:t>
      </w:r>
      <w:proofErr w:type="spellEnd"/>
      <w:r w:rsidR="00A84A63" w:rsidRPr="00F8291A">
        <w:rPr>
          <w:rFonts w:ascii="Arial" w:hAnsi="Arial" w:cs="Arial"/>
          <w:i/>
          <w:iCs/>
          <w:sz w:val="24"/>
          <w:szCs w:val="24"/>
        </w:rPr>
        <w:t xml:space="preserve"> </w:t>
      </w:r>
      <w:r w:rsidR="00A71FF0" w:rsidRPr="00F8291A">
        <w:rPr>
          <w:rFonts w:ascii="Arial" w:hAnsi="Arial" w:cs="Arial"/>
          <w:sz w:val="24"/>
          <w:szCs w:val="24"/>
        </w:rPr>
        <w:t xml:space="preserve">listed </w:t>
      </w:r>
      <w:r w:rsidR="004E5796" w:rsidRPr="00F8291A">
        <w:rPr>
          <w:rFonts w:ascii="Arial" w:hAnsi="Arial" w:cs="Arial"/>
          <w:sz w:val="24"/>
          <w:szCs w:val="24"/>
        </w:rPr>
        <w:t xml:space="preserve">certain instances where the </w:t>
      </w:r>
      <w:r w:rsidR="00A84A63" w:rsidRPr="00F8291A">
        <w:rPr>
          <w:rFonts w:ascii="Arial" w:hAnsi="Arial" w:cs="Arial"/>
          <w:sz w:val="24"/>
          <w:szCs w:val="24"/>
        </w:rPr>
        <w:t xml:space="preserve">magistrates’ courts </w:t>
      </w:r>
      <w:r w:rsidR="004E5796" w:rsidRPr="00F8291A">
        <w:rPr>
          <w:rFonts w:ascii="Arial" w:hAnsi="Arial" w:cs="Arial"/>
          <w:sz w:val="24"/>
          <w:szCs w:val="24"/>
        </w:rPr>
        <w:t>would have exclusive jurisdiction</w:t>
      </w:r>
      <w:r w:rsidR="00A84A63" w:rsidRPr="00F8291A">
        <w:rPr>
          <w:rFonts w:ascii="Arial" w:hAnsi="Arial" w:cs="Arial"/>
          <w:sz w:val="24"/>
          <w:szCs w:val="24"/>
        </w:rPr>
        <w:t>.</w:t>
      </w:r>
      <w:r w:rsidR="004E5796" w:rsidRPr="00F8291A">
        <w:rPr>
          <w:rFonts w:ascii="Arial" w:hAnsi="Arial" w:cs="Arial"/>
          <w:sz w:val="24"/>
          <w:szCs w:val="24"/>
        </w:rPr>
        <w:t xml:space="preserve"> </w:t>
      </w:r>
      <w:r w:rsidR="008771F0" w:rsidRPr="00F8291A">
        <w:rPr>
          <w:rFonts w:ascii="Arial" w:hAnsi="Arial" w:cs="Arial"/>
          <w:sz w:val="24"/>
          <w:szCs w:val="24"/>
        </w:rPr>
        <w:t>Sutherland J, sitting</w:t>
      </w:r>
      <w:r w:rsidR="009E7FB4" w:rsidRPr="00F8291A">
        <w:rPr>
          <w:rFonts w:ascii="Arial" w:hAnsi="Arial" w:cs="Arial"/>
          <w:sz w:val="24"/>
          <w:szCs w:val="24"/>
        </w:rPr>
        <w:t xml:space="preserve"> as he then was in an</w:t>
      </w:r>
      <w:r w:rsidR="008771F0" w:rsidRPr="00F8291A">
        <w:rPr>
          <w:rFonts w:ascii="Arial" w:hAnsi="Arial" w:cs="Arial"/>
          <w:sz w:val="24"/>
          <w:szCs w:val="24"/>
        </w:rPr>
        <w:t xml:space="preserve"> </w:t>
      </w:r>
      <w:r w:rsidR="00860E20" w:rsidRPr="00F8291A">
        <w:rPr>
          <w:rFonts w:ascii="Arial" w:hAnsi="Arial" w:cs="Arial"/>
          <w:sz w:val="24"/>
          <w:szCs w:val="24"/>
        </w:rPr>
        <w:t xml:space="preserve">earlier </w:t>
      </w:r>
      <w:r w:rsidR="008771F0" w:rsidRPr="00F8291A">
        <w:rPr>
          <w:rFonts w:ascii="Arial" w:hAnsi="Arial" w:cs="Arial"/>
          <w:sz w:val="24"/>
          <w:szCs w:val="24"/>
        </w:rPr>
        <w:t xml:space="preserve">full court of this Division in </w:t>
      </w:r>
      <w:proofErr w:type="spellStart"/>
      <w:r w:rsidR="008771F0" w:rsidRPr="00F8291A">
        <w:rPr>
          <w:rFonts w:ascii="Arial" w:hAnsi="Arial" w:cs="Arial"/>
          <w:i/>
          <w:iCs/>
          <w:sz w:val="24"/>
          <w:szCs w:val="24"/>
        </w:rPr>
        <w:t>Janse</w:t>
      </w:r>
      <w:proofErr w:type="spellEnd"/>
      <w:r w:rsidR="008771F0" w:rsidRPr="00F8291A">
        <w:rPr>
          <w:rFonts w:ascii="Arial" w:hAnsi="Arial" w:cs="Arial"/>
          <w:i/>
          <w:iCs/>
          <w:sz w:val="24"/>
          <w:szCs w:val="24"/>
        </w:rPr>
        <w:t xml:space="preserve"> Van </w:t>
      </w:r>
      <w:proofErr w:type="spellStart"/>
      <w:r w:rsidR="008771F0" w:rsidRPr="00F8291A">
        <w:rPr>
          <w:rFonts w:ascii="Arial" w:hAnsi="Arial" w:cs="Arial"/>
          <w:i/>
          <w:iCs/>
          <w:sz w:val="24"/>
          <w:szCs w:val="24"/>
        </w:rPr>
        <w:t>Vuuren</w:t>
      </w:r>
      <w:proofErr w:type="spellEnd"/>
      <w:r w:rsidR="008771F0" w:rsidRPr="00F8291A">
        <w:rPr>
          <w:rFonts w:ascii="Arial" w:hAnsi="Arial" w:cs="Arial"/>
          <w:i/>
          <w:iCs/>
          <w:sz w:val="24"/>
          <w:szCs w:val="24"/>
        </w:rPr>
        <w:t xml:space="preserve"> v </w:t>
      </w:r>
      <w:proofErr w:type="spellStart"/>
      <w:r w:rsidR="008771F0" w:rsidRPr="00F8291A">
        <w:rPr>
          <w:rFonts w:ascii="Arial" w:hAnsi="Arial" w:cs="Arial"/>
          <w:i/>
          <w:iCs/>
          <w:sz w:val="24"/>
          <w:szCs w:val="24"/>
        </w:rPr>
        <w:t>Roets</w:t>
      </w:r>
      <w:proofErr w:type="spellEnd"/>
      <w:r w:rsidR="008771F0" w:rsidRPr="00F8291A">
        <w:rPr>
          <w:rFonts w:ascii="Arial" w:hAnsi="Arial" w:cs="Arial"/>
          <w:i/>
          <w:iCs/>
          <w:sz w:val="24"/>
          <w:szCs w:val="24"/>
        </w:rPr>
        <w:t xml:space="preserve"> and Others and </w:t>
      </w:r>
      <w:r w:rsidR="00520266" w:rsidRPr="00F8291A">
        <w:rPr>
          <w:rFonts w:ascii="Arial" w:hAnsi="Arial" w:cs="Arial"/>
          <w:i/>
          <w:iCs/>
          <w:sz w:val="24"/>
          <w:szCs w:val="24"/>
        </w:rPr>
        <w:t>S</w:t>
      </w:r>
      <w:r w:rsidR="008771F0" w:rsidRPr="00F8291A">
        <w:rPr>
          <w:rFonts w:ascii="Arial" w:hAnsi="Arial" w:cs="Arial"/>
          <w:i/>
          <w:iCs/>
          <w:sz w:val="24"/>
          <w:szCs w:val="24"/>
        </w:rPr>
        <w:t xml:space="preserve">imilar </w:t>
      </w:r>
      <w:r w:rsidR="00520266" w:rsidRPr="00F8291A">
        <w:rPr>
          <w:rFonts w:ascii="Arial" w:hAnsi="Arial" w:cs="Arial"/>
          <w:i/>
          <w:iCs/>
          <w:sz w:val="24"/>
          <w:szCs w:val="24"/>
        </w:rPr>
        <w:t>M</w:t>
      </w:r>
      <w:r w:rsidR="008771F0" w:rsidRPr="00F8291A">
        <w:rPr>
          <w:rFonts w:ascii="Arial" w:hAnsi="Arial" w:cs="Arial"/>
          <w:i/>
          <w:iCs/>
          <w:sz w:val="24"/>
          <w:szCs w:val="24"/>
        </w:rPr>
        <w:t xml:space="preserve">atter </w:t>
      </w:r>
      <w:r w:rsidR="008771F0" w:rsidRPr="00F8291A">
        <w:rPr>
          <w:rFonts w:ascii="Arial" w:hAnsi="Arial" w:cs="Arial"/>
          <w:sz w:val="24"/>
          <w:szCs w:val="24"/>
        </w:rPr>
        <w:t>2019 (6) SA 506 (GJ)</w:t>
      </w:r>
      <w:r w:rsidR="00860E20" w:rsidRPr="00F8291A">
        <w:rPr>
          <w:rFonts w:ascii="Arial" w:hAnsi="Arial" w:cs="Arial"/>
          <w:sz w:val="24"/>
          <w:szCs w:val="24"/>
        </w:rPr>
        <w:t xml:space="preserve"> </w:t>
      </w:r>
      <w:r w:rsidR="008771F0" w:rsidRPr="00F8291A">
        <w:rPr>
          <w:rFonts w:ascii="Arial" w:hAnsi="Arial" w:cs="Arial"/>
          <w:sz w:val="24"/>
          <w:szCs w:val="24"/>
        </w:rPr>
        <w:t xml:space="preserve">did not shy away from </w:t>
      </w:r>
      <w:r w:rsidR="00860E20" w:rsidRPr="00F8291A">
        <w:rPr>
          <w:rFonts w:ascii="Arial" w:hAnsi="Arial" w:cs="Arial"/>
          <w:sz w:val="24"/>
          <w:szCs w:val="24"/>
        </w:rPr>
        <w:t xml:space="preserve">a </w:t>
      </w:r>
      <w:r w:rsidR="008771F0" w:rsidRPr="00F8291A">
        <w:rPr>
          <w:rFonts w:ascii="Arial" w:hAnsi="Arial" w:cs="Arial"/>
          <w:sz w:val="24"/>
          <w:szCs w:val="24"/>
        </w:rPr>
        <w:t>finding that the High Court did not have jurisdictio</w:t>
      </w:r>
      <w:r w:rsidR="009E7FB4" w:rsidRPr="00F8291A">
        <w:rPr>
          <w:rFonts w:ascii="Arial" w:hAnsi="Arial" w:cs="Arial"/>
          <w:sz w:val="24"/>
          <w:szCs w:val="24"/>
        </w:rPr>
        <w:t>n</w:t>
      </w:r>
      <w:r w:rsidR="008771F0" w:rsidRPr="00F8291A">
        <w:rPr>
          <w:rFonts w:ascii="Arial" w:hAnsi="Arial" w:cs="Arial"/>
          <w:sz w:val="24"/>
          <w:szCs w:val="24"/>
        </w:rPr>
        <w:t xml:space="preserve">. While the court was dealing with different provisions in the NCA, a finding that the High Court does not have jurisdiction is not necessarily </w:t>
      </w:r>
      <w:r w:rsidR="00860E20" w:rsidRPr="00F8291A">
        <w:rPr>
          <w:rFonts w:ascii="Arial" w:hAnsi="Arial" w:cs="Arial"/>
          <w:sz w:val="24"/>
          <w:szCs w:val="24"/>
        </w:rPr>
        <w:t xml:space="preserve">something </w:t>
      </w:r>
      <w:r w:rsidR="008771F0" w:rsidRPr="00F8291A">
        <w:rPr>
          <w:rFonts w:ascii="Arial" w:hAnsi="Arial" w:cs="Arial"/>
          <w:sz w:val="24"/>
          <w:szCs w:val="24"/>
        </w:rPr>
        <w:t xml:space="preserve">to be avoided. </w:t>
      </w:r>
    </w:p>
    <w:p w14:paraId="60310289" w14:textId="295ABBCA" w:rsidR="00A84A63" w:rsidRPr="00F8291A" w:rsidRDefault="00F8291A" w:rsidP="00F8291A">
      <w:pPr>
        <w:spacing w:before="360" w:after="360" w:line="480" w:lineRule="auto"/>
        <w:ind w:left="624" w:right="117" w:hanging="624"/>
        <w:jc w:val="both"/>
        <w:rPr>
          <w:rFonts w:ascii="Arial" w:hAnsi="Arial" w:cs="Arial"/>
          <w:sz w:val="24"/>
          <w:szCs w:val="24"/>
        </w:rPr>
      </w:pPr>
      <w:r w:rsidRPr="00C52A39">
        <w:rPr>
          <w:rFonts w:ascii="Arial" w:hAnsi="Arial" w:cs="Arial"/>
          <w:sz w:val="24"/>
          <w:szCs w:val="24"/>
        </w:rPr>
        <w:t>50.</w:t>
      </w:r>
      <w:r w:rsidRPr="00C52A39">
        <w:rPr>
          <w:rFonts w:ascii="Arial" w:hAnsi="Arial" w:cs="Arial"/>
          <w:sz w:val="24"/>
          <w:szCs w:val="24"/>
        </w:rPr>
        <w:tab/>
      </w:r>
      <w:proofErr w:type="spellStart"/>
      <w:r w:rsidR="004E5796" w:rsidRPr="00F8291A">
        <w:rPr>
          <w:rFonts w:ascii="Arial" w:hAnsi="Arial" w:cs="Arial"/>
          <w:sz w:val="24"/>
          <w:szCs w:val="24"/>
        </w:rPr>
        <w:t>Madlanga</w:t>
      </w:r>
      <w:proofErr w:type="spellEnd"/>
      <w:r w:rsidR="004E5796" w:rsidRPr="00F8291A">
        <w:rPr>
          <w:rFonts w:ascii="Arial" w:hAnsi="Arial" w:cs="Arial"/>
          <w:sz w:val="24"/>
          <w:szCs w:val="24"/>
        </w:rPr>
        <w:t xml:space="preserve"> J </w:t>
      </w:r>
      <w:r w:rsidR="00A84A63" w:rsidRPr="00F8291A">
        <w:rPr>
          <w:rFonts w:ascii="Arial" w:hAnsi="Arial" w:cs="Arial"/>
          <w:sz w:val="24"/>
          <w:szCs w:val="24"/>
        </w:rPr>
        <w:t xml:space="preserve">for the Constitutional Court </w:t>
      </w:r>
      <w:r w:rsidR="004E5796" w:rsidRPr="00F8291A">
        <w:rPr>
          <w:rFonts w:ascii="Arial" w:hAnsi="Arial" w:cs="Arial"/>
          <w:sz w:val="24"/>
          <w:szCs w:val="24"/>
        </w:rPr>
        <w:t xml:space="preserve">in </w:t>
      </w:r>
      <w:r w:rsidR="004E5796" w:rsidRPr="00F8291A">
        <w:rPr>
          <w:rFonts w:ascii="Arial" w:hAnsi="Arial" w:cs="Arial"/>
          <w:i/>
          <w:iCs/>
          <w:sz w:val="24"/>
          <w:szCs w:val="24"/>
        </w:rPr>
        <w:t>SAHRC</w:t>
      </w:r>
      <w:r w:rsidR="00A84A63" w:rsidRPr="00F8291A">
        <w:rPr>
          <w:rFonts w:ascii="Arial" w:hAnsi="Arial" w:cs="Arial"/>
          <w:i/>
          <w:iCs/>
          <w:sz w:val="24"/>
          <w:szCs w:val="24"/>
        </w:rPr>
        <w:t xml:space="preserve"> </w:t>
      </w:r>
      <w:r w:rsidR="00A84A63" w:rsidRPr="00F8291A">
        <w:rPr>
          <w:rFonts w:ascii="Arial" w:hAnsi="Arial" w:cs="Arial"/>
          <w:sz w:val="24"/>
          <w:szCs w:val="24"/>
        </w:rPr>
        <w:t>in paragraph 36</w:t>
      </w:r>
      <w:r w:rsidR="004E5796" w:rsidRPr="00F8291A">
        <w:rPr>
          <w:rFonts w:ascii="Arial" w:hAnsi="Arial" w:cs="Arial"/>
          <w:sz w:val="24"/>
          <w:szCs w:val="24"/>
        </w:rPr>
        <w:t xml:space="preserve"> recognised that the legislature may mandate a division of labour between courts in respect of their jurisdiction and that </w:t>
      </w:r>
      <w:r w:rsidR="009E7FB4" w:rsidRPr="00F8291A">
        <w:rPr>
          <w:rFonts w:ascii="Arial" w:hAnsi="Arial" w:cs="Arial"/>
          <w:sz w:val="24"/>
          <w:szCs w:val="24"/>
        </w:rPr>
        <w:t xml:space="preserve">mandate </w:t>
      </w:r>
      <w:r w:rsidR="004E5796" w:rsidRPr="00F8291A">
        <w:rPr>
          <w:rFonts w:ascii="Arial" w:hAnsi="Arial" w:cs="Arial"/>
          <w:sz w:val="24"/>
          <w:szCs w:val="24"/>
        </w:rPr>
        <w:t>must be honoured, absent a constitutional challenge.</w:t>
      </w:r>
    </w:p>
    <w:p w14:paraId="4BD91A77" w14:textId="336D8A10" w:rsidR="004E5796" w:rsidRPr="00F8291A" w:rsidRDefault="00F8291A" w:rsidP="00F8291A">
      <w:pPr>
        <w:spacing w:before="360" w:after="360" w:line="480" w:lineRule="auto"/>
        <w:ind w:left="624" w:right="117" w:hanging="624"/>
        <w:jc w:val="both"/>
        <w:rPr>
          <w:rFonts w:ascii="Arial" w:hAnsi="Arial" w:cs="Arial"/>
          <w:sz w:val="24"/>
          <w:szCs w:val="24"/>
        </w:rPr>
      </w:pPr>
      <w:r w:rsidRPr="00A84A63">
        <w:rPr>
          <w:rFonts w:ascii="Arial" w:hAnsi="Arial" w:cs="Arial"/>
          <w:sz w:val="24"/>
          <w:szCs w:val="24"/>
        </w:rPr>
        <w:t>51.</w:t>
      </w:r>
      <w:r w:rsidRPr="00A84A63">
        <w:rPr>
          <w:rFonts w:ascii="Arial" w:hAnsi="Arial" w:cs="Arial"/>
          <w:sz w:val="24"/>
          <w:szCs w:val="24"/>
        </w:rPr>
        <w:tab/>
      </w:r>
      <w:r w:rsidR="004E5796" w:rsidRPr="00F8291A">
        <w:rPr>
          <w:rFonts w:ascii="Arial" w:hAnsi="Arial" w:cs="Arial"/>
          <w:sz w:val="24"/>
          <w:szCs w:val="24"/>
        </w:rPr>
        <w:t xml:space="preserve">In my view, section 127(8)(a) is one of those instances where the legislature has mandated a division of labour between the courts and that when it comes to claims for recovery of a shortfall in terms of </w:t>
      </w:r>
      <w:r w:rsidR="009E7FB4" w:rsidRPr="00F8291A">
        <w:rPr>
          <w:rFonts w:ascii="Arial" w:hAnsi="Arial" w:cs="Arial"/>
          <w:sz w:val="24"/>
          <w:szCs w:val="24"/>
        </w:rPr>
        <w:t>that section</w:t>
      </w:r>
      <w:r w:rsidR="004E5796" w:rsidRPr="00F8291A">
        <w:rPr>
          <w:rFonts w:ascii="Arial" w:hAnsi="Arial" w:cs="Arial"/>
          <w:sz w:val="24"/>
          <w:szCs w:val="24"/>
        </w:rPr>
        <w:t xml:space="preserve">, those must be </w:t>
      </w:r>
      <w:r w:rsidR="00A84A63" w:rsidRPr="00F8291A">
        <w:rPr>
          <w:rFonts w:ascii="Arial" w:hAnsi="Arial" w:cs="Arial"/>
          <w:sz w:val="24"/>
          <w:szCs w:val="24"/>
        </w:rPr>
        <w:t xml:space="preserve">pursued </w:t>
      </w:r>
      <w:r w:rsidR="004E5796" w:rsidRPr="00F8291A">
        <w:rPr>
          <w:rFonts w:ascii="Arial" w:hAnsi="Arial" w:cs="Arial"/>
          <w:sz w:val="24"/>
          <w:szCs w:val="24"/>
        </w:rPr>
        <w:t xml:space="preserve">in the </w:t>
      </w:r>
      <w:r w:rsidR="00A84A63" w:rsidRPr="00F8291A">
        <w:rPr>
          <w:rFonts w:ascii="Arial" w:hAnsi="Arial" w:cs="Arial"/>
          <w:sz w:val="24"/>
          <w:szCs w:val="24"/>
        </w:rPr>
        <w:t>magistrates’ courts</w:t>
      </w:r>
      <w:r w:rsidR="004E5796" w:rsidRPr="00F8291A">
        <w:rPr>
          <w:rFonts w:ascii="Arial" w:hAnsi="Arial" w:cs="Arial"/>
          <w:sz w:val="24"/>
          <w:szCs w:val="24"/>
        </w:rPr>
        <w:t xml:space="preserve">. </w:t>
      </w:r>
    </w:p>
    <w:p w14:paraId="42B9C6FE" w14:textId="6CEC954E" w:rsidR="000F178E"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F178E" w:rsidRPr="00F8291A">
        <w:rPr>
          <w:rFonts w:ascii="Arial" w:hAnsi="Arial" w:cs="Arial"/>
          <w:sz w:val="24"/>
          <w:szCs w:val="24"/>
        </w:rPr>
        <w:t>The question does arise why the legislature may intend that claims in terms of section 127(8) should be pursued in the magistrates’ court</w:t>
      </w:r>
      <w:r w:rsidR="009E7FB4" w:rsidRPr="00F8291A">
        <w:rPr>
          <w:rFonts w:ascii="Arial" w:hAnsi="Arial" w:cs="Arial"/>
          <w:sz w:val="24"/>
          <w:szCs w:val="24"/>
        </w:rPr>
        <w:t>s</w:t>
      </w:r>
      <w:r w:rsidR="000F178E" w:rsidRPr="00F8291A">
        <w:rPr>
          <w:rFonts w:ascii="Arial" w:hAnsi="Arial" w:cs="Arial"/>
          <w:sz w:val="24"/>
          <w:szCs w:val="24"/>
        </w:rPr>
        <w:t xml:space="preserve"> exclusively, in contrast to other claims generally under the NCA. Van </w:t>
      </w:r>
      <w:proofErr w:type="spellStart"/>
      <w:r w:rsidR="000F178E" w:rsidRPr="00F8291A">
        <w:rPr>
          <w:rFonts w:ascii="Arial" w:hAnsi="Arial" w:cs="Arial"/>
          <w:sz w:val="24"/>
          <w:szCs w:val="24"/>
        </w:rPr>
        <w:t>Heerden</w:t>
      </w:r>
      <w:proofErr w:type="spellEnd"/>
      <w:r w:rsidR="000F178E">
        <w:rPr>
          <w:rStyle w:val="FootnoteReference"/>
          <w:rFonts w:ascii="Arial" w:hAnsi="Arial" w:cs="Arial"/>
          <w:sz w:val="24"/>
          <w:szCs w:val="24"/>
        </w:rPr>
        <w:footnoteReference w:id="17"/>
      </w:r>
      <w:r w:rsidR="000F178E" w:rsidRPr="00F8291A">
        <w:rPr>
          <w:rFonts w:ascii="Arial" w:hAnsi="Arial" w:cs="Arial"/>
          <w:sz w:val="24"/>
          <w:szCs w:val="24"/>
        </w:rPr>
        <w:t xml:space="preserve"> in discussing jurisdiction in relation to the NCA makes the point that this is not odd in the context of voluntary surrender. </w:t>
      </w:r>
      <w:r w:rsidR="003574F0" w:rsidRPr="00F8291A">
        <w:rPr>
          <w:rFonts w:ascii="Arial" w:hAnsi="Arial" w:cs="Arial"/>
          <w:sz w:val="24"/>
          <w:szCs w:val="24"/>
        </w:rPr>
        <w:t xml:space="preserve">The consumer surrenders the goods without court intervention, and which decreases the legal costs. Consistent with the intention to decrease legal costs would be to require litigation in relation to the </w:t>
      </w:r>
      <w:r w:rsidR="003574F0" w:rsidRPr="00F8291A">
        <w:rPr>
          <w:rFonts w:ascii="Arial" w:hAnsi="Arial" w:cs="Arial"/>
          <w:sz w:val="24"/>
          <w:szCs w:val="24"/>
        </w:rPr>
        <w:lastRenderedPageBreak/>
        <w:t>shortfall to be pursued in the magistrates’ courts. As the goods would already have been sold, and the sale proceeds allocated to the outstanding balance, the resultant lower quantum of the claim also redounds towards the magistrates’ court</w:t>
      </w:r>
      <w:r w:rsidR="009E7FB4" w:rsidRPr="00F8291A">
        <w:rPr>
          <w:rFonts w:ascii="Arial" w:hAnsi="Arial" w:cs="Arial"/>
          <w:sz w:val="24"/>
          <w:szCs w:val="24"/>
        </w:rPr>
        <w:t>s</w:t>
      </w:r>
      <w:r w:rsidR="003574F0" w:rsidRPr="00F8291A">
        <w:rPr>
          <w:rFonts w:ascii="Arial" w:hAnsi="Arial" w:cs="Arial"/>
          <w:sz w:val="24"/>
          <w:szCs w:val="24"/>
        </w:rPr>
        <w:t xml:space="preserve"> </w:t>
      </w:r>
      <w:r w:rsidR="00A54F5D" w:rsidRPr="00F8291A">
        <w:rPr>
          <w:rFonts w:ascii="Arial" w:hAnsi="Arial" w:cs="Arial"/>
          <w:sz w:val="24"/>
          <w:szCs w:val="24"/>
        </w:rPr>
        <w:t xml:space="preserve">determining the matter, rather than the High Court. </w:t>
      </w:r>
    </w:p>
    <w:p w14:paraId="58D4A365" w14:textId="686C3A15" w:rsidR="00843460"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53.</w:t>
      </w:r>
      <w:r>
        <w:rPr>
          <w:rFonts w:ascii="Arial" w:hAnsi="Arial" w:cs="Arial"/>
          <w:sz w:val="24"/>
          <w:szCs w:val="24"/>
        </w:rPr>
        <w:tab/>
      </w:r>
      <w:r w:rsidR="00BE09C8" w:rsidRPr="00F8291A">
        <w:rPr>
          <w:rFonts w:ascii="Arial" w:hAnsi="Arial" w:cs="Arial"/>
          <w:sz w:val="24"/>
          <w:szCs w:val="24"/>
        </w:rPr>
        <w:t xml:space="preserve">The interpretation </w:t>
      </w:r>
      <w:r w:rsidR="001E14CB" w:rsidRPr="00F8291A">
        <w:rPr>
          <w:rFonts w:ascii="Arial" w:hAnsi="Arial" w:cs="Arial"/>
          <w:sz w:val="24"/>
          <w:szCs w:val="24"/>
        </w:rPr>
        <w:t xml:space="preserve">that </w:t>
      </w:r>
      <w:r w:rsidR="00C52A39" w:rsidRPr="00F8291A">
        <w:rPr>
          <w:rFonts w:ascii="Arial" w:hAnsi="Arial" w:cs="Arial"/>
          <w:sz w:val="24"/>
          <w:szCs w:val="24"/>
        </w:rPr>
        <w:t xml:space="preserve">the magistrates’ courts </w:t>
      </w:r>
      <w:r w:rsidR="003C5540" w:rsidRPr="00F8291A">
        <w:rPr>
          <w:rFonts w:ascii="Arial" w:hAnsi="Arial" w:cs="Arial"/>
          <w:sz w:val="24"/>
          <w:szCs w:val="24"/>
        </w:rPr>
        <w:t>ha</w:t>
      </w:r>
      <w:r w:rsidR="00C52A39" w:rsidRPr="00F8291A">
        <w:rPr>
          <w:rFonts w:ascii="Arial" w:hAnsi="Arial" w:cs="Arial"/>
          <w:sz w:val="24"/>
          <w:szCs w:val="24"/>
        </w:rPr>
        <w:t>ve</w:t>
      </w:r>
      <w:r w:rsidR="003C5540" w:rsidRPr="00F8291A">
        <w:rPr>
          <w:rFonts w:ascii="Arial" w:hAnsi="Arial" w:cs="Arial"/>
          <w:sz w:val="24"/>
          <w:szCs w:val="24"/>
        </w:rPr>
        <w:t xml:space="preserve"> exclusive jurisdiction in relation to claims in terms of section 127(8) would address </w:t>
      </w:r>
      <w:r w:rsidR="00C52A39" w:rsidRPr="00F8291A">
        <w:rPr>
          <w:rFonts w:ascii="Arial" w:hAnsi="Arial" w:cs="Arial"/>
          <w:sz w:val="24"/>
          <w:szCs w:val="24"/>
        </w:rPr>
        <w:t xml:space="preserve">to some extent </w:t>
      </w:r>
      <w:r w:rsidR="003C5540" w:rsidRPr="00F8291A">
        <w:rPr>
          <w:rFonts w:ascii="Arial" w:hAnsi="Arial" w:cs="Arial"/>
          <w:sz w:val="24"/>
          <w:szCs w:val="24"/>
        </w:rPr>
        <w:t>what is</w:t>
      </w:r>
      <w:r w:rsidR="009E7FB4" w:rsidRPr="00F8291A">
        <w:rPr>
          <w:rFonts w:ascii="Arial" w:hAnsi="Arial" w:cs="Arial"/>
          <w:sz w:val="24"/>
          <w:szCs w:val="24"/>
        </w:rPr>
        <w:t xml:space="preserve"> recognised</w:t>
      </w:r>
      <w:r w:rsidR="000F178E" w:rsidRPr="00F8291A">
        <w:rPr>
          <w:rFonts w:ascii="Arial" w:hAnsi="Arial" w:cs="Arial"/>
          <w:sz w:val="24"/>
          <w:szCs w:val="24"/>
        </w:rPr>
        <w:t xml:space="preserve"> by </w:t>
      </w:r>
      <w:proofErr w:type="spellStart"/>
      <w:r w:rsidR="000F178E" w:rsidRPr="00F8291A">
        <w:rPr>
          <w:rFonts w:ascii="Arial" w:hAnsi="Arial" w:cs="Arial"/>
          <w:sz w:val="24"/>
          <w:szCs w:val="24"/>
        </w:rPr>
        <w:t>Madlanga</w:t>
      </w:r>
      <w:proofErr w:type="spellEnd"/>
      <w:r w:rsidR="000F178E" w:rsidRPr="00F8291A">
        <w:rPr>
          <w:rFonts w:ascii="Arial" w:hAnsi="Arial" w:cs="Arial"/>
          <w:sz w:val="24"/>
          <w:szCs w:val="24"/>
        </w:rPr>
        <w:t xml:space="preserve"> J </w:t>
      </w:r>
      <w:r w:rsidR="00843460" w:rsidRPr="00F8291A">
        <w:rPr>
          <w:rFonts w:ascii="Arial" w:hAnsi="Arial" w:cs="Arial"/>
          <w:sz w:val="24"/>
          <w:szCs w:val="24"/>
        </w:rPr>
        <w:t xml:space="preserve">in </w:t>
      </w:r>
      <w:r w:rsidR="00843460" w:rsidRPr="00F8291A">
        <w:rPr>
          <w:rFonts w:ascii="Arial" w:hAnsi="Arial" w:cs="Arial"/>
          <w:i/>
          <w:iCs/>
          <w:sz w:val="24"/>
          <w:szCs w:val="24"/>
        </w:rPr>
        <w:t xml:space="preserve">SAHRC </w:t>
      </w:r>
      <w:r w:rsidR="00843460" w:rsidRPr="00F8291A">
        <w:rPr>
          <w:rFonts w:ascii="Arial" w:hAnsi="Arial" w:cs="Arial"/>
          <w:sz w:val="24"/>
          <w:szCs w:val="24"/>
        </w:rPr>
        <w:t xml:space="preserve">in paragraph 42 </w:t>
      </w:r>
      <w:r w:rsidR="003C5540" w:rsidRPr="00F8291A">
        <w:rPr>
          <w:rFonts w:ascii="Arial" w:hAnsi="Arial" w:cs="Arial"/>
          <w:sz w:val="24"/>
          <w:szCs w:val="24"/>
        </w:rPr>
        <w:t>as the “</w:t>
      </w:r>
      <w:r w:rsidR="003C5540" w:rsidRPr="00F8291A">
        <w:rPr>
          <w:rFonts w:ascii="Arial" w:hAnsi="Arial" w:cs="Arial"/>
          <w:i/>
          <w:iCs/>
          <w:sz w:val="24"/>
          <w:szCs w:val="24"/>
        </w:rPr>
        <w:t>huge problem</w:t>
      </w:r>
      <w:r w:rsidR="003C5540" w:rsidRPr="00F8291A">
        <w:rPr>
          <w:rFonts w:ascii="Arial" w:hAnsi="Arial" w:cs="Arial"/>
          <w:sz w:val="24"/>
          <w:szCs w:val="24"/>
        </w:rPr>
        <w:t xml:space="preserve">” arising from the clogging up of High Court rolls </w:t>
      </w:r>
      <w:r w:rsidR="00C52A39" w:rsidRPr="00F8291A">
        <w:rPr>
          <w:rFonts w:ascii="Arial" w:hAnsi="Arial" w:cs="Arial"/>
          <w:sz w:val="24"/>
          <w:szCs w:val="24"/>
        </w:rPr>
        <w:t>with</w:t>
      </w:r>
      <w:r w:rsidR="003C5540" w:rsidRPr="00F8291A">
        <w:rPr>
          <w:rFonts w:ascii="Arial" w:hAnsi="Arial" w:cs="Arial"/>
          <w:sz w:val="24"/>
          <w:szCs w:val="24"/>
        </w:rPr>
        <w:t xml:space="preserve"> matters falling within the jurisdiction of </w:t>
      </w:r>
      <w:r w:rsidR="00C52A39" w:rsidRPr="00F8291A">
        <w:rPr>
          <w:rFonts w:ascii="Arial" w:hAnsi="Arial" w:cs="Arial"/>
          <w:sz w:val="24"/>
          <w:szCs w:val="24"/>
        </w:rPr>
        <w:t>the magistrates’ courts</w:t>
      </w:r>
      <w:r w:rsidR="000F178E" w:rsidRPr="00F8291A">
        <w:rPr>
          <w:rFonts w:ascii="Arial" w:hAnsi="Arial" w:cs="Arial"/>
          <w:sz w:val="24"/>
          <w:szCs w:val="24"/>
        </w:rPr>
        <w:t>, and is consistent with the further remarks made in paragraphs 40 to 45 of that judgment.</w:t>
      </w:r>
    </w:p>
    <w:p w14:paraId="67082021" w14:textId="18AE929C" w:rsidR="001B25F3"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54.</w:t>
      </w:r>
      <w:r>
        <w:rPr>
          <w:rFonts w:ascii="Arial" w:hAnsi="Arial" w:cs="Arial"/>
          <w:sz w:val="24"/>
          <w:szCs w:val="24"/>
        </w:rPr>
        <w:tab/>
      </w:r>
      <w:r w:rsidR="003C5540" w:rsidRPr="00F8291A">
        <w:rPr>
          <w:rFonts w:ascii="Arial" w:hAnsi="Arial" w:cs="Arial"/>
          <w:sz w:val="24"/>
          <w:szCs w:val="24"/>
        </w:rPr>
        <w:t>The Supreme Court of Appeal</w:t>
      </w:r>
      <w:r w:rsidR="00BE09C8" w:rsidRPr="00F8291A">
        <w:rPr>
          <w:rFonts w:ascii="Arial" w:hAnsi="Arial" w:cs="Arial"/>
          <w:sz w:val="24"/>
          <w:szCs w:val="24"/>
        </w:rPr>
        <w:t xml:space="preserve"> in </w:t>
      </w:r>
      <w:proofErr w:type="spellStart"/>
      <w:r w:rsidR="00BE09C8" w:rsidRPr="00F8291A">
        <w:rPr>
          <w:rFonts w:ascii="Arial" w:hAnsi="Arial" w:cs="Arial"/>
          <w:i/>
          <w:iCs/>
          <w:sz w:val="24"/>
          <w:szCs w:val="24"/>
        </w:rPr>
        <w:t>Mpongo</w:t>
      </w:r>
      <w:proofErr w:type="spellEnd"/>
      <w:r w:rsidR="003C5540" w:rsidRPr="00F8291A">
        <w:rPr>
          <w:rFonts w:ascii="Arial" w:hAnsi="Arial" w:cs="Arial"/>
          <w:sz w:val="24"/>
          <w:szCs w:val="24"/>
        </w:rPr>
        <w:t xml:space="preserve"> </w:t>
      </w:r>
      <w:r w:rsidR="00BE09C8" w:rsidRPr="00F8291A">
        <w:rPr>
          <w:rFonts w:ascii="Arial" w:hAnsi="Arial" w:cs="Arial"/>
          <w:sz w:val="24"/>
          <w:szCs w:val="24"/>
        </w:rPr>
        <w:t xml:space="preserve">could </w:t>
      </w:r>
      <w:r w:rsidR="003C5540" w:rsidRPr="00F8291A">
        <w:rPr>
          <w:rFonts w:ascii="Arial" w:hAnsi="Arial" w:cs="Arial"/>
          <w:sz w:val="24"/>
          <w:szCs w:val="24"/>
        </w:rPr>
        <w:t xml:space="preserve">not go in that direction in </w:t>
      </w:r>
      <w:r w:rsidR="00BE09C8" w:rsidRPr="00F8291A">
        <w:rPr>
          <w:rFonts w:ascii="Arial" w:hAnsi="Arial" w:cs="Arial"/>
          <w:sz w:val="24"/>
          <w:szCs w:val="24"/>
        </w:rPr>
        <w:t>relation to the particular</w:t>
      </w:r>
      <w:r w:rsidR="003C5540" w:rsidRPr="00F8291A">
        <w:rPr>
          <w:rFonts w:ascii="Arial" w:hAnsi="Arial" w:cs="Arial"/>
          <w:sz w:val="24"/>
          <w:szCs w:val="24"/>
        </w:rPr>
        <w:t xml:space="preserve"> matters before i</w:t>
      </w:r>
      <w:r w:rsidR="001B25F3" w:rsidRPr="00F8291A">
        <w:rPr>
          <w:rFonts w:ascii="Arial" w:hAnsi="Arial" w:cs="Arial"/>
          <w:sz w:val="24"/>
          <w:szCs w:val="24"/>
        </w:rPr>
        <w:t>t.</w:t>
      </w:r>
      <w:r w:rsidR="001B25F3" w:rsidRPr="00F8291A">
        <w:rPr>
          <w:rFonts w:ascii="Arial" w:hAnsi="Arial" w:cs="Arial"/>
          <w:i/>
          <w:iCs/>
          <w:sz w:val="24"/>
          <w:szCs w:val="24"/>
        </w:rPr>
        <w:t xml:space="preserve"> </w:t>
      </w:r>
      <w:r w:rsidR="001B25F3" w:rsidRPr="00F8291A">
        <w:rPr>
          <w:rFonts w:ascii="Arial" w:hAnsi="Arial" w:cs="Arial"/>
          <w:sz w:val="24"/>
          <w:szCs w:val="24"/>
        </w:rPr>
        <w:t>So</w:t>
      </w:r>
      <w:r w:rsidR="00BE09C8" w:rsidRPr="00F8291A">
        <w:rPr>
          <w:rFonts w:ascii="Arial" w:hAnsi="Arial" w:cs="Arial"/>
          <w:sz w:val="24"/>
          <w:szCs w:val="24"/>
        </w:rPr>
        <w:t xml:space="preserve"> too the Constitutional Court on further appeal in</w:t>
      </w:r>
      <w:r w:rsidR="00843460" w:rsidRPr="00F8291A">
        <w:rPr>
          <w:rFonts w:ascii="Arial" w:hAnsi="Arial" w:cs="Arial"/>
          <w:sz w:val="24"/>
          <w:szCs w:val="24"/>
        </w:rPr>
        <w:t xml:space="preserve"> </w:t>
      </w:r>
      <w:r w:rsidR="00843460" w:rsidRPr="00F8291A">
        <w:rPr>
          <w:rFonts w:ascii="Arial" w:hAnsi="Arial" w:cs="Arial"/>
          <w:i/>
          <w:iCs/>
          <w:sz w:val="24"/>
          <w:szCs w:val="24"/>
        </w:rPr>
        <w:t>SAHRC</w:t>
      </w:r>
      <w:r w:rsidR="001B25F3" w:rsidRPr="00F8291A">
        <w:rPr>
          <w:rFonts w:ascii="Arial" w:hAnsi="Arial" w:cs="Arial"/>
          <w:sz w:val="24"/>
          <w:szCs w:val="24"/>
        </w:rPr>
        <w:t xml:space="preserve">. As the particular Division of the High Court </w:t>
      </w:r>
      <w:proofErr w:type="gramStart"/>
      <w:r w:rsidR="001B25F3" w:rsidRPr="00F8291A">
        <w:rPr>
          <w:rFonts w:ascii="Arial" w:hAnsi="Arial" w:cs="Arial"/>
          <w:sz w:val="24"/>
          <w:szCs w:val="24"/>
        </w:rPr>
        <w:t>in  those</w:t>
      </w:r>
      <w:proofErr w:type="gramEnd"/>
      <w:r w:rsidR="001B25F3" w:rsidRPr="00F8291A">
        <w:rPr>
          <w:rFonts w:ascii="Arial" w:hAnsi="Arial" w:cs="Arial"/>
          <w:sz w:val="24"/>
          <w:szCs w:val="24"/>
        </w:rPr>
        <w:t xml:space="preserve"> matters had concurrent jurisdiction, the High Court was required in terms of the mandatory jurisdiction principle to hear those matters. </w:t>
      </w:r>
      <w:r w:rsidR="003C5540" w:rsidRPr="00F8291A">
        <w:rPr>
          <w:rFonts w:ascii="Arial" w:hAnsi="Arial" w:cs="Arial"/>
          <w:sz w:val="24"/>
          <w:szCs w:val="24"/>
        </w:rPr>
        <w:t xml:space="preserve">This is in contrast to where the legislature has </w:t>
      </w:r>
      <w:r w:rsidR="001B25F3" w:rsidRPr="00F8291A">
        <w:rPr>
          <w:rFonts w:ascii="Arial" w:hAnsi="Arial" w:cs="Arial"/>
          <w:sz w:val="24"/>
          <w:szCs w:val="24"/>
        </w:rPr>
        <w:t>specified</w:t>
      </w:r>
      <w:r w:rsidR="003C5540" w:rsidRPr="00F8291A">
        <w:rPr>
          <w:rFonts w:ascii="Arial" w:hAnsi="Arial" w:cs="Arial"/>
          <w:sz w:val="24"/>
          <w:szCs w:val="24"/>
        </w:rPr>
        <w:t xml:space="preserve"> </w:t>
      </w:r>
      <w:r w:rsidR="00BE09C8" w:rsidRPr="00F8291A">
        <w:rPr>
          <w:rFonts w:ascii="Arial" w:hAnsi="Arial" w:cs="Arial"/>
          <w:sz w:val="24"/>
          <w:szCs w:val="24"/>
        </w:rPr>
        <w:t xml:space="preserve">that </w:t>
      </w:r>
      <w:r w:rsidR="003C5540" w:rsidRPr="00F8291A">
        <w:rPr>
          <w:rFonts w:ascii="Arial" w:hAnsi="Arial" w:cs="Arial"/>
          <w:sz w:val="24"/>
          <w:szCs w:val="24"/>
        </w:rPr>
        <w:t xml:space="preserve">a particular court </w:t>
      </w:r>
      <w:r w:rsidR="00BE09C8" w:rsidRPr="00F8291A">
        <w:rPr>
          <w:rFonts w:ascii="Arial" w:hAnsi="Arial" w:cs="Arial"/>
          <w:sz w:val="24"/>
          <w:szCs w:val="24"/>
        </w:rPr>
        <w:t>has</w:t>
      </w:r>
      <w:r w:rsidR="003C5540" w:rsidRPr="00F8291A">
        <w:rPr>
          <w:rFonts w:ascii="Arial" w:hAnsi="Arial" w:cs="Arial"/>
          <w:sz w:val="24"/>
          <w:szCs w:val="24"/>
        </w:rPr>
        <w:t xml:space="preserve"> exclusive jurisdiction</w:t>
      </w:r>
      <w:r w:rsidR="00BE09C8" w:rsidRPr="00F8291A">
        <w:rPr>
          <w:rFonts w:ascii="Arial" w:hAnsi="Arial" w:cs="Arial"/>
          <w:sz w:val="24"/>
          <w:szCs w:val="24"/>
        </w:rPr>
        <w:t xml:space="preserve">, such as </w:t>
      </w:r>
      <w:r w:rsidR="003C5540" w:rsidRPr="00F8291A">
        <w:rPr>
          <w:rFonts w:ascii="Arial" w:hAnsi="Arial" w:cs="Arial"/>
          <w:sz w:val="24"/>
          <w:szCs w:val="24"/>
        </w:rPr>
        <w:t>in respect of section 127(8)(a) of the NCA.</w:t>
      </w:r>
    </w:p>
    <w:p w14:paraId="0486819B" w14:textId="157DBB31" w:rsidR="001C2E0B" w:rsidRPr="00F8291A" w:rsidRDefault="00F8291A" w:rsidP="00F8291A">
      <w:pPr>
        <w:spacing w:before="360" w:after="360" w:line="480" w:lineRule="auto"/>
        <w:ind w:left="624" w:right="117" w:hanging="624"/>
        <w:jc w:val="both"/>
        <w:rPr>
          <w:rFonts w:ascii="Arial" w:hAnsi="Arial" w:cs="Arial"/>
          <w:sz w:val="24"/>
          <w:szCs w:val="24"/>
        </w:rPr>
      </w:pPr>
      <w:r w:rsidRPr="001B25F3">
        <w:rPr>
          <w:rFonts w:ascii="Arial" w:hAnsi="Arial" w:cs="Arial"/>
          <w:sz w:val="24"/>
          <w:szCs w:val="24"/>
        </w:rPr>
        <w:t>55.</w:t>
      </w:r>
      <w:r w:rsidRPr="001B25F3">
        <w:rPr>
          <w:rFonts w:ascii="Arial" w:hAnsi="Arial" w:cs="Arial"/>
          <w:sz w:val="24"/>
          <w:szCs w:val="24"/>
        </w:rPr>
        <w:tab/>
      </w:r>
      <w:r w:rsidR="001B25F3" w:rsidRPr="00F8291A">
        <w:rPr>
          <w:rFonts w:ascii="Arial" w:hAnsi="Arial" w:cs="Arial"/>
          <w:sz w:val="24"/>
          <w:szCs w:val="24"/>
        </w:rPr>
        <w:t>There</w:t>
      </w:r>
      <w:r w:rsidR="003C5540" w:rsidRPr="00F8291A">
        <w:rPr>
          <w:rFonts w:ascii="Arial" w:hAnsi="Arial" w:cs="Arial"/>
          <w:sz w:val="24"/>
          <w:szCs w:val="24"/>
        </w:rPr>
        <w:t xml:space="preserve"> does not appear to be a constitutional imperative</w:t>
      </w:r>
      <w:r w:rsidR="008771F0" w:rsidRPr="00F8291A">
        <w:rPr>
          <w:rFonts w:ascii="Arial" w:hAnsi="Arial" w:cs="Arial"/>
          <w:sz w:val="24"/>
          <w:szCs w:val="24"/>
        </w:rPr>
        <w:t xml:space="preserve">, at least not on the facts before me, </w:t>
      </w:r>
      <w:r w:rsidR="003C5540" w:rsidRPr="00F8291A">
        <w:rPr>
          <w:rFonts w:ascii="Arial" w:hAnsi="Arial" w:cs="Arial"/>
          <w:sz w:val="24"/>
          <w:szCs w:val="24"/>
        </w:rPr>
        <w:t xml:space="preserve">that </w:t>
      </w:r>
      <w:r w:rsidR="008771F0" w:rsidRPr="00F8291A">
        <w:rPr>
          <w:rFonts w:ascii="Arial" w:hAnsi="Arial" w:cs="Arial"/>
          <w:sz w:val="24"/>
          <w:szCs w:val="24"/>
        </w:rPr>
        <w:t>militates against</w:t>
      </w:r>
      <w:r w:rsidR="003C5540" w:rsidRPr="00F8291A">
        <w:rPr>
          <w:rFonts w:ascii="Arial" w:hAnsi="Arial" w:cs="Arial"/>
          <w:sz w:val="24"/>
          <w:szCs w:val="24"/>
        </w:rPr>
        <w:t xml:space="preserve"> </w:t>
      </w:r>
      <w:r w:rsidR="00D95310" w:rsidRPr="00F8291A">
        <w:rPr>
          <w:rFonts w:ascii="Arial" w:hAnsi="Arial" w:cs="Arial"/>
          <w:sz w:val="24"/>
          <w:szCs w:val="24"/>
        </w:rPr>
        <w:t>an interpretation</w:t>
      </w:r>
      <w:r w:rsidR="001E14CB" w:rsidRPr="00F8291A">
        <w:rPr>
          <w:rFonts w:ascii="Arial" w:hAnsi="Arial" w:cs="Arial"/>
          <w:sz w:val="24"/>
          <w:szCs w:val="24"/>
        </w:rPr>
        <w:t xml:space="preserve"> </w:t>
      </w:r>
      <w:r w:rsidR="008771F0" w:rsidRPr="00F8291A">
        <w:rPr>
          <w:rFonts w:ascii="Arial" w:hAnsi="Arial" w:cs="Arial"/>
          <w:sz w:val="24"/>
          <w:szCs w:val="24"/>
        </w:rPr>
        <w:t xml:space="preserve">that </w:t>
      </w:r>
      <w:r w:rsidR="001E14CB" w:rsidRPr="00F8291A">
        <w:rPr>
          <w:rFonts w:ascii="Arial" w:hAnsi="Arial" w:cs="Arial"/>
          <w:sz w:val="24"/>
          <w:szCs w:val="24"/>
        </w:rPr>
        <w:t xml:space="preserve">the </w:t>
      </w:r>
      <w:proofErr w:type="gramStart"/>
      <w:r w:rsidR="008771F0" w:rsidRPr="00F8291A">
        <w:rPr>
          <w:rFonts w:ascii="Arial" w:hAnsi="Arial" w:cs="Arial"/>
          <w:sz w:val="24"/>
          <w:szCs w:val="24"/>
        </w:rPr>
        <w:t>magistrates</w:t>
      </w:r>
      <w:proofErr w:type="gramEnd"/>
      <w:r w:rsidR="008771F0" w:rsidRPr="00F8291A">
        <w:rPr>
          <w:rFonts w:ascii="Arial" w:hAnsi="Arial" w:cs="Arial"/>
          <w:sz w:val="24"/>
          <w:szCs w:val="24"/>
        </w:rPr>
        <w:t xml:space="preserve"> courts’ have exclusive jurisdiction </w:t>
      </w:r>
      <w:r w:rsidR="003C5540" w:rsidRPr="00F8291A">
        <w:rPr>
          <w:rFonts w:ascii="Arial" w:hAnsi="Arial" w:cs="Arial"/>
          <w:sz w:val="24"/>
          <w:szCs w:val="24"/>
        </w:rPr>
        <w:t xml:space="preserve">in relation to claims in terms of section 127(8)(a) of the NCA. </w:t>
      </w:r>
      <w:r w:rsidR="001C2E0B" w:rsidRPr="00F8291A">
        <w:rPr>
          <w:rFonts w:ascii="Arial" w:hAnsi="Arial" w:cs="Arial"/>
          <w:sz w:val="24"/>
          <w:szCs w:val="24"/>
        </w:rPr>
        <w:t xml:space="preserve">The parties did not advance any facts why such an interpretation would be contrary to the purpose of the NCA, or prejudicial to the banking industry. </w:t>
      </w:r>
      <w:r w:rsidR="00D95310" w:rsidRPr="00F8291A">
        <w:rPr>
          <w:rFonts w:ascii="Arial" w:hAnsi="Arial" w:cs="Arial"/>
          <w:sz w:val="24"/>
          <w:szCs w:val="24"/>
        </w:rPr>
        <w:t>The</w:t>
      </w:r>
      <w:r w:rsidR="001C2E0B" w:rsidRPr="00F8291A">
        <w:rPr>
          <w:rFonts w:ascii="Arial" w:hAnsi="Arial" w:cs="Arial"/>
          <w:sz w:val="24"/>
          <w:szCs w:val="24"/>
        </w:rPr>
        <w:t xml:space="preserve"> facts would </w:t>
      </w:r>
      <w:r w:rsidR="00D95310" w:rsidRPr="00F8291A">
        <w:rPr>
          <w:rFonts w:ascii="Arial" w:hAnsi="Arial" w:cs="Arial"/>
          <w:sz w:val="24"/>
          <w:szCs w:val="24"/>
        </w:rPr>
        <w:t>have to have been</w:t>
      </w:r>
      <w:r w:rsidR="001C2E0B" w:rsidRPr="00F8291A">
        <w:rPr>
          <w:rFonts w:ascii="Arial" w:hAnsi="Arial" w:cs="Arial"/>
          <w:sz w:val="24"/>
          <w:szCs w:val="24"/>
        </w:rPr>
        <w:t xml:space="preserve"> in the affidavits </w:t>
      </w:r>
      <w:r w:rsidR="001C2E0B" w:rsidRPr="00F8291A">
        <w:rPr>
          <w:rFonts w:ascii="Arial" w:hAnsi="Arial" w:cs="Arial"/>
          <w:sz w:val="24"/>
          <w:szCs w:val="24"/>
        </w:rPr>
        <w:lastRenderedPageBreak/>
        <w:t xml:space="preserve">delivered by the parties. The applicant bank in each of their applications went no further than the basic averments </w:t>
      </w:r>
      <w:r w:rsidR="001B25F3" w:rsidRPr="00F8291A">
        <w:rPr>
          <w:rFonts w:ascii="Arial" w:hAnsi="Arial" w:cs="Arial"/>
          <w:sz w:val="24"/>
          <w:szCs w:val="24"/>
        </w:rPr>
        <w:t>pleaded in relation to a</w:t>
      </w:r>
      <w:r w:rsidR="001C2E0B" w:rsidRPr="00F8291A">
        <w:rPr>
          <w:rFonts w:ascii="Arial" w:hAnsi="Arial" w:cs="Arial"/>
          <w:sz w:val="24"/>
          <w:szCs w:val="24"/>
        </w:rPr>
        <w:t xml:space="preserve"> cause of action </w:t>
      </w:r>
      <w:r w:rsidR="001B25F3" w:rsidRPr="00F8291A">
        <w:rPr>
          <w:rFonts w:ascii="Arial" w:hAnsi="Arial" w:cs="Arial"/>
          <w:sz w:val="24"/>
          <w:szCs w:val="24"/>
        </w:rPr>
        <w:t>for a shortfall</w:t>
      </w:r>
      <w:r w:rsidR="001C2E0B" w:rsidRPr="00F8291A">
        <w:rPr>
          <w:rFonts w:ascii="Arial" w:hAnsi="Arial" w:cs="Arial"/>
          <w:sz w:val="24"/>
          <w:szCs w:val="24"/>
        </w:rPr>
        <w:t xml:space="preserve"> in terms of section 127(8)(a). BASA in their only affidavit, being that in support of being admitted as an </w:t>
      </w:r>
      <w:r w:rsidR="001C2E0B" w:rsidRPr="00F8291A">
        <w:rPr>
          <w:rFonts w:ascii="Arial" w:hAnsi="Arial" w:cs="Arial"/>
          <w:i/>
          <w:iCs/>
          <w:sz w:val="24"/>
          <w:szCs w:val="24"/>
        </w:rPr>
        <w:t>amicus</w:t>
      </w:r>
      <w:r w:rsidR="001C2E0B" w:rsidRPr="00F8291A">
        <w:rPr>
          <w:rFonts w:ascii="Arial" w:hAnsi="Arial" w:cs="Arial"/>
          <w:sz w:val="24"/>
          <w:szCs w:val="24"/>
        </w:rPr>
        <w:t xml:space="preserve">, did not advance any facts. The Supreme Court of Appeal in </w:t>
      </w:r>
      <w:proofErr w:type="spellStart"/>
      <w:r w:rsidR="001C2E0B" w:rsidRPr="00F8291A">
        <w:rPr>
          <w:rFonts w:ascii="Arial" w:hAnsi="Arial" w:cs="Arial"/>
          <w:i/>
          <w:iCs/>
          <w:sz w:val="24"/>
          <w:szCs w:val="24"/>
        </w:rPr>
        <w:t>Mpongo</w:t>
      </w:r>
      <w:proofErr w:type="spellEnd"/>
      <w:r w:rsidR="001C2E0B" w:rsidRPr="00F8291A">
        <w:rPr>
          <w:rFonts w:ascii="Arial" w:hAnsi="Arial" w:cs="Arial"/>
          <w:i/>
          <w:iCs/>
          <w:sz w:val="24"/>
          <w:szCs w:val="24"/>
        </w:rPr>
        <w:t xml:space="preserve"> </w:t>
      </w:r>
      <w:r w:rsidR="001C2E0B" w:rsidRPr="00F8291A">
        <w:rPr>
          <w:rFonts w:ascii="Arial" w:hAnsi="Arial" w:cs="Arial"/>
          <w:sz w:val="24"/>
          <w:szCs w:val="24"/>
        </w:rPr>
        <w:t>emphasised in paragraphs 11 to 14 that material facts needed to be adduced to support arguments presented about litigation dynamics and constitutional values that may be implicated, such as section 34 of the Constitution. In any event, neither the applicant nor BASA advanced any such arguments in their submissions.</w:t>
      </w:r>
    </w:p>
    <w:p w14:paraId="1AE055C1" w14:textId="2985890E" w:rsidR="008E546F" w:rsidRPr="00F8291A" w:rsidRDefault="00F8291A" w:rsidP="00F8291A">
      <w:pPr>
        <w:spacing w:before="360" w:after="360" w:line="480" w:lineRule="auto"/>
        <w:ind w:left="624" w:right="117" w:hanging="624"/>
        <w:jc w:val="both"/>
        <w:rPr>
          <w:rFonts w:ascii="Arial" w:hAnsi="Arial" w:cs="Arial"/>
          <w:sz w:val="24"/>
          <w:szCs w:val="24"/>
        </w:rPr>
      </w:pPr>
      <w:r w:rsidRPr="008E546F">
        <w:rPr>
          <w:rFonts w:ascii="Arial" w:hAnsi="Arial" w:cs="Arial"/>
          <w:sz w:val="24"/>
          <w:szCs w:val="24"/>
        </w:rPr>
        <w:t>56.</w:t>
      </w:r>
      <w:r w:rsidRPr="008E546F">
        <w:rPr>
          <w:rFonts w:ascii="Arial" w:hAnsi="Arial" w:cs="Arial"/>
          <w:sz w:val="24"/>
          <w:szCs w:val="24"/>
        </w:rPr>
        <w:tab/>
      </w:r>
      <w:r w:rsidR="0061617F" w:rsidRPr="00F8291A">
        <w:rPr>
          <w:rFonts w:ascii="Arial" w:hAnsi="Arial" w:cs="Arial"/>
          <w:sz w:val="24"/>
          <w:szCs w:val="24"/>
        </w:rPr>
        <w:t>As th</w:t>
      </w:r>
      <w:r w:rsidR="001B25F3" w:rsidRPr="00F8291A">
        <w:rPr>
          <w:rFonts w:ascii="Arial" w:hAnsi="Arial" w:cs="Arial"/>
          <w:sz w:val="24"/>
          <w:szCs w:val="24"/>
        </w:rPr>
        <w:t>is</w:t>
      </w:r>
      <w:r w:rsidR="0061617F" w:rsidRPr="00F8291A">
        <w:rPr>
          <w:rFonts w:ascii="Arial" w:hAnsi="Arial" w:cs="Arial"/>
          <w:sz w:val="24"/>
          <w:szCs w:val="24"/>
        </w:rPr>
        <w:t xml:space="preserve"> court does not have jurisdiction to hear the applications, the appropriate order is to strike the applications from the roll.</w:t>
      </w:r>
      <w:r w:rsidR="0061617F">
        <w:rPr>
          <w:rStyle w:val="FootnoteReference"/>
          <w:rFonts w:ascii="Arial" w:hAnsi="Arial" w:cs="Arial"/>
          <w:sz w:val="24"/>
          <w:szCs w:val="24"/>
        </w:rPr>
        <w:footnoteReference w:id="18"/>
      </w:r>
    </w:p>
    <w:p w14:paraId="54B07731" w14:textId="26CA9E8D" w:rsidR="004E5796" w:rsidRPr="00F8291A" w:rsidRDefault="00F8291A" w:rsidP="00F8291A">
      <w:pPr>
        <w:spacing w:before="360" w:after="360" w:line="480" w:lineRule="auto"/>
        <w:ind w:left="624" w:right="117" w:hanging="624"/>
        <w:jc w:val="both"/>
        <w:rPr>
          <w:rFonts w:ascii="Arial" w:hAnsi="Arial" w:cs="Arial"/>
          <w:sz w:val="24"/>
          <w:szCs w:val="24"/>
        </w:rPr>
      </w:pPr>
      <w:r>
        <w:rPr>
          <w:rFonts w:ascii="Arial" w:hAnsi="Arial" w:cs="Arial"/>
          <w:sz w:val="24"/>
          <w:szCs w:val="24"/>
        </w:rPr>
        <w:t>57.</w:t>
      </w:r>
      <w:r>
        <w:rPr>
          <w:rFonts w:ascii="Arial" w:hAnsi="Arial" w:cs="Arial"/>
          <w:sz w:val="24"/>
          <w:szCs w:val="24"/>
        </w:rPr>
        <w:tab/>
      </w:r>
      <w:r w:rsidR="001A1F7F" w:rsidRPr="00F8291A">
        <w:rPr>
          <w:rFonts w:ascii="Arial" w:hAnsi="Arial" w:cs="Arial"/>
          <w:sz w:val="24"/>
          <w:szCs w:val="24"/>
        </w:rPr>
        <w:t xml:space="preserve">The applications are struck from the roll, </w:t>
      </w:r>
      <w:r w:rsidR="0061617F" w:rsidRPr="00F8291A">
        <w:rPr>
          <w:rFonts w:ascii="Arial" w:hAnsi="Arial" w:cs="Arial"/>
          <w:sz w:val="24"/>
          <w:szCs w:val="24"/>
        </w:rPr>
        <w:t xml:space="preserve">with </w:t>
      </w:r>
      <w:r w:rsidR="001A1F7F" w:rsidRPr="00F8291A">
        <w:rPr>
          <w:rFonts w:ascii="Arial" w:hAnsi="Arial" w:cs="Arial"/>
          <w:sz w:val="24"/>
          <w:szCs w:val="24"/>
        </w:rPr>
        <w:t xml:space="preserve">no order as to costs. </w:t>
      </w:r>
      <w:r w:rsidR="000B1213" w:rsidRPr="00F8291A">
        <w:rPr>
          <w:rFonts w:ascii="Arial" w:hAnsi="Arial" w:cs="Arial"/>
          <w:sz w:val="24"/>
          <w:szCs w:val="24"/>
        </w:rPr>
        <w:t xml:space="preserve"> </w:t>
      </w:r>
      <w:r w:rsidR="000B1213" w:rsidRPr="00F8291A">
        <w:rPr>
          <w:rFonts w:ascii="Arial" w:hAnsi="Arial" w:cs="Arial"/>
          <w:i/>
          <w:iCs/>
          <w:sz w:val="24"/>
          <w:szCs w:val="24"/>
        </w:rPr>
        <w:t xml:space="preserve"> </w:t>
      </w:r>
      <w:r w:rsidR="002E0938" w:rsidRPr="00F8291A">
        <w:rPr>
          <w:rFonts w:ascii="Arial" w:hAnsi="Arial" w:cs="Arial"/>
          <w:sz w:val="24"/>
          <w:szCs w:val="24"/>
        </w:rPr>
        <w:t xml:space="preserve">   </w:t>
      </w:r>
      <w:r w:rsidR="004E5796" w:rsidRPr="00F8291A">
        <w:rPr>
          <w:rFonts w:ascii="Arial" w:hAnsi="Arial" w:cs="Arial"/>
          <w:sz w:val="24"/>
          <w:szCs w:val="24"/>
        </w:rPr>
        <w:t xml:space="preserve">    </w:t>
      </w:r>
    </w:p>
    <w:p w14:paraId="3953A938" w14:textId="77777777" w:rsidR="00460D9D" w:rsidRDefault="00460D9D" w:rsidP="00B9725B">
      <w:pPr>
        <w:keepNext/>
        <w:keepLines/>
        <w:tabs>
          <w:tab w:val="left" w:pos="-426"/>
        </w:tabs>
        <w:spacing w:after="240" w:line="480" w:lineRule="auto"/>
        <w:ind w:right="117"/>
        <w:contextualSpacing/>
        <w:jc w:val="both"/>
        <w:rPr>
          <w:rFonts w:ascii="Arial" w:hAnsi="Arial" w:cs="Arial"/>
          <w:sz w:val="24"/>
          <w:szCs w:val="24"/>
        </w:rPr>
      </w:pPr>
    </w:p>
    <w:p w14:paraId="63901FD2" w14:textId="344E4256" w:rsidR="00AD5454" w:rsidRPr="00DD1B08" w:rsidRDefault="00AD5454" w:rsidP="00B9725B">
      <w:pPr>
        <w:keepNext/>
        <w:keepLines/>
        <w:tabs>
          <w:tab w:val="left" w:pos="-426"/>
        </w:tabs>
        <w:spacing w:after="240" w:line="480" w:lineRule="auto"/>
        <w:ind w:right="11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43B1C165" w:rsidR="00AD5454" w:rsidRDefault="00487882"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B M </w:t>
      </w:r>
      <w:r w:rsidR="00BF7B20" w:rsidRPr="00DD1B08">
        <w:rPr>
          <w:rFonts w:ascii="Arial" w:hAnsi="Arial" w:cs="Arial"/>
          <w:sz w:val="24"/>
          <w:szCs w:val="24"/>
        </w:rPr>
        <w:t>GILBERT</w:t>
      </w:r>
      <w:bookmarkStart w:id="1" w:name="_GoBack"/>
      <w:bookmarkEnd w:id="1"/>
    </w:p>
    <w:p w14:paraId="4E042853" w14:textId="24E02D0D" w:rsidR="00D43497" w:rsidRDefault="00D43497"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Acting Judge of the High Court </w:t>
      </w:r>
    </w:p>
    <w:p w14:paraId="24C87362" w14:textId="4E15D738" w:rsidR="00D43497" w:rsidRDefault="00D43497"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Gauteng Division, Johannesburg </w:t>
      </w:r>
    </w:p>
    <w:p w14:paraId="7147AD16" w14:textId="77777777" w:rsidR="00D43497" w:rsidRPr="00DD1B08" w:rsidRDefault="00D43497" w:rsidP="00140EB0">
      <w:pPr>
        <w:keepNext/>
        <w:keepLines/>
        <w:tabs>
          <w:tab w:val="left" w:pos="-426"/>
        </w:tabs>
        <w:spacing w:after="240" w:line="480" w:lineRule="auto"/>
        <w:ind w:right="567"/>
        <w:contextualSpacing/>
        <w:jc w:val="both"/>
        <w:rPr>
          <w:rFonts w:ascii="Arial" w:hAnsi="Arial" w:cs="Arial"/>
          <w:sz w:val="24"/>
          <w:szCs w:val="24"/>
        </w:rPr>
      </w:pPr>
    </w:p>
    <w:p w14:paraId="5F2D7548" w14:textId="5BE89B7B" w:rsidR="001A1F7F" w:rsidRDefault="00AD5454" w:rsidP="00487882">
      <w:pPr>
        <w:keepNext/>
        <w:keepLines/>
        <w:tabs>
          <w:tab w:val="left" w:pos="-426"/>
          <w:tab w:val="left" w:pos="3969"/>
        </w:tabs>
        <w:spacing w:before="120" w:after="120" w:line="360" w:lineRule="auto"/>
        <w:ind w:left="5760" w:right="567" w:hanging="5760"/>
        <w:jc w:val="both"/>
        <w:rPr>
          <w:rFonts w:ascii="Arial" w:hAnsi="Arial" w:cs="Arial"/>
          <w:sz w:val="24"/>
          <w:szCs w:val="24"/>
        </w:rPr>
      </w:pPr>
      <w:r w:rsidRPr="00DD1B08">
        <w:rPr>
          <w:rFonts w:ascii="Arial" w:hAnsi="Arial" w:cs="Arial"/>
          <w:sz w:val="24"/>
          <w:szCs w:val="24"/>
        </w:rPr>
        <w:t xml:space="preserve">Date of </w:t>
      </w:r>
      <w:r w:rsidR="001A1F7F">
        <w:rPr>
          <w:rFonts w:ascii="Arial" w:hAnsi="Arial" w:cs="Arial"/>
          <w:sz w:val="24"/>
          <w:szCs w:val="24"/>
        </w:rPr>
        <w:t xml:space="preserve">first </w:t>
      </w:r>
      <w:r w:rsidR="008E60BE" w:rsidRPr="00DD1B08">
        <w:rPr>
          <w:rFonts w:ascii="Arial" w:hAnsi="Arial" w:cs="Arial"/>
          <w:sz w:val="24"/>
          <w:szCs w:val="24"/>
        </w:rPr>
        <w:t>hearing</w:t>
      </w:r>
      <w:r w:rsidRPr="00DD1B08">
        <w:rPr>
          <w:rFonts w:ascii="Arial" w:hAnsi="Arial" w:cs="Arial"/>
          <w:sz w:val="24"/>
          <w:szCs w:val="24"/>
        </w:rPr>
        <w:t>:</w:t>
      </w:r>
      <w:r w:rsidR="001156A9" w:rsidRPr="00DD1B08">
        <w:rPr>
          <w:rFonts w:ascii="Arial" w:hAnsi="Arial" w:cs="Arial"/>
          <w:sz w:val="24"/>
          <w:szCs w:val="24"/>
        </w:rPr>
        <w:tab/>
      </w:r>
      <w:r w:rsidR="00460D9D">
        <w:rPr>
          <w:rFonts w:ascii="Arial" w:hAnsi="Arial" w:cs="Arial"/>
          <w:sz w:val="24"/>
          <w:szCs w:val="24"/>
        </w:rPr>
        <w:tab/>
      </w:r>
      <w:r w:rsidR="00D43497">
        <w:rPr>
          <w:rFonts w:ascii="Arial" w:hAnsi="Arial" w:cs="Arial"/>
          <w:sz w:val="24"/>
          <w:szCs w:val="24"/>
        </w:rPr>
        <w:t xml:space="preserve">06 September 2023 </w:t>
      </w:r>
    </w:p>
    <w:p w14:paraId="440691C7" w14:textId="276091C3" w:rsidR="00AD5454" w:rsidRDefault="001A1F7F" w:rsidP="00487882">
      <w:pPr>
        <w:keepNext/>
        <w:keepLines/>
        <w:tabs>
          <w:tab w:val="left" w:pos="-426"/>
          <w:tab w:val="left" w:pos="3969"/>
        </w:tabs>
        <w:spacing w:before="120" w:after="120" w:line="360" w:lineRule="auto"/>
        <w:ind w:left="5760" w:right="567" w:hanging="5760"/>
        <w:jc w:val="both"/>
        <w:rPr>
          <w:rFonts w:ascii="Arial" w:hAnsi="Arial" w:cs="Arial"/>
          <w:sz w:val="24"/>
          <w:szCs w:val="24"/>
        </w:rPr>
      </w:pPr>
      <w:r>
        <w:rPr>
          <w:rFonts w:ascii="Arial" w:hAnsi="Arial" w:cs="Arial"/>
          <w:sz w:val="24"/>
          <w:szCs w:val="24"/>
        </w:rPr>
        <w:t xml:space="preserve">Date of second hearing: </w:t>
      </w:r>
      <w:r>
        <w:rPr>
          <w:rFonts w:ascii="Arial" w:hAnsi="Arial" w:cs="Arial"/>
          <w:sz w:val="24"/>
          <w:szCs w:val="24"/>
        </w:rPr>
        <w:tab/>
      </w:r>
      <w:r>
        <w:rPr>
          <w:rFonts w:ascii="Arial" w:hAnsi="Arial" w:cs="Arial"/>
          <w:sz w:val="24"/>
          <w:szCs w:val="24"/>
        </w:rPr>
        <w:tab/>
      </w:r>
      <w:r w:rsidR="00487882">
        <w:rPr>
          <w:rFonts w:ascii="Arial" w:hAnsi="Arial" w:cs="Arial"/>
          <w:sz w:val="24"/>
          <w:szCs w:val="24"/>
        </w:rPr>
        <w:t>29 November 2023</w:t>
      </w:r>
    </w:p>
    <w:p w14:paraId="6C3D0FCE" w14:textId="67134256" w:rsidR="00460D9D" w:rsidRPr="00460D9D" w:rsidRDefault="00AD5454" w:rsidP="00460D9D">
      <w:pPr>
        <w:keepNext/>
        <w:keepLines/>
        <w:tabs>
          <w:tab w:val="left" w:pos="-426"/>
          <w:tab w:val="left" w:pos="3969"/>
        </w:tabs>
        <w:spacing w:before="120" w:after="120" w:line="360" w:lineRule="auto"/>
        <w:ind w:right="567"/>
        <w:jc w:val="both"/>
        <w:rPr>
          <w:rFonts w:ascii="Arial" w:hAnsi="Arial" w:cs="Arial"/>
          <w:b/>
          <w:bCs/>
          <w:sz w:val="24"/>
          <w:szCs w:val="24"/>
        </w:rPr>
      </w:pPr>
      <w:r w:rsidRPr="00DD1B08">
        <w:rPr>
          <w:rFonts w:ascii="Arial" w:hAnsi="Arial" w:cs="Arial"/>
          <w:sz w:val="24"/>
          <w:szCs w:val="24"/>
        </w:rPr>
        <w:t xml:space="preserve">Date of judgment: </w:t>
      </w:r>
      <w:r w:rsidR="00C23CBE" w:rsidRPr="00DD1B08">
        <w:rPr>
          <w:rFonts w:ascii="Arial" w:hAnsi="Arial" w:cs="Arial"/>
          <w:sz w:val="24"/>
          <w:szCs w:val="24"/>
        </w:rPr>
        <w:tab/>
      </w:r>
      <w:r w:rsidR="00C23CBE" w:rsidRPr="00DD1B08">
        <w:rPr>
          <w:rFonts w:ascii="Arial" w:hAnsi="Arial" w:cs="Arial"/>
          <w:sz w:val="24"/>
          <w:szCs w:val="24"/>
        </w:rPr>
        <w:tab/>
      </w:r>
      <w:r w:rsidR="00DD0348" w:rsidRPr="00DD1B08">
        <w:rPr>
          <w:rFonts w:ascii="Arial" w:hAnsi="Arial" w:cs="Arial"/>
          <w:sz w:val="24"/>
          <w:szCs w:val="24"/>
        </w:rPr>
        <w:t xml:space="preserve"> </w:t>
      </w:r>
      <w:r w:rsidR="00460D9D">
        <w:rPr>
          <w:rFonts w:ascii="Arial" w:hAnsi="Arial" w:cs="Arial"/>
          <w:sz w:val="24"/>
          <w:szCs w:val="24"/>
        </w:rPr>
        <w:tab/>
      </w:r>
      <w:r w:rsidR="00460D9D">
        <w:rPr>
          <w:rFonts w:ascii="Arial" w:hAnsi="Arial" w:cs="Arial"/>
          <w:sz w:val="24"/>
          <w:szCs w:val="24"/>
        </w:rPr>
        <w:tab/>
      </w:r>
      <w:r w:rsidR="001E3EC9" w:rsidRPr="001E3EC9">
        <w:rPr>
          <w:rFonts w:ascii="Arial" w:hAnsi="Arial" w:cs="Arial"/>
          <w:sz w:val="24"/>
          <w:szCs w:val="24"/>
        </w:rPr>
        <w:t>1</w:t>
      </w:r>
      <w:r w:rsidR="00FC6672">
        <w:rPr>
          <w:rFonts w:ascii="Arial" w:hAnsi="Arial" w:cs="Arial"/>
          <w:sz w:val="24"/>
          <w:szCs w:val="24"/>
        </w:rPr>
        <w:t>2</w:t>
      </w:r>
      <w:r w:rsidR="001E3EC9" w:rsidRPr="001E3EC9">
        <w:rPr>
          <w:rFonts w:ascii="Arial" w:hAnsi="Arial" w:cs="Arial"/>
          <w:sz w:val="24"/>
          <w:szCs w:val="24"/>
        </w:rPr>
        <w:t xml:space="preserve"> January 202</w:t>
      </w:r>
      <w:r w:rsidR="001E3EC9">
        <w:rPr>
          <w:rFonts w:ascii="Arial" w:hAnsi="Arial" w:cs="Arial"/>
          <w:sz w:val="24"/>
          <w:szCs w:val="24"/>
        </w:rPr>
        <w:t>4</w:t>
      </w:r>
    </w:p>
    <w:p w14:paraId="061E10AB" w14:textId="77777777" w:rsidR="00F51E73" w:rsidRDefault="00F51E73" w:rsidP="00460D9D">
      <w:pPr>
        <w:tabs>
          <w:tab w:val="left" w:pos="-426"/>
          <w:tab w:val="left" w:pos="3969"/>
        </w:tabs>
        <w:spacing w:before="120" w:after="120" w:line="360" w:lineRule="auto"/>
        <w:ind w:right="567"/>
        <w:jc w:val="both"/>
        <w:rPr>
          <w:rFonts w:ascii="Arial" w:hAnsi="Arial" w:cs="Arial"/>
          <w:sz w:val="24"/>
          <w:szCs w:val="24"/>
        </w:rPr>
      </w:pPr>
    </w:p>
    <w:p w14:paraId="68BB0591" w14:textId="3EC4AAD9" w:rsidR="00460D9D" w:rsidRDefault="00696B20" w:rsidP="00460D9D">
      <w:pPr>
        <w:tabs>
          <w:tab w:val="left" w:pos="-426"/>
          <w:tab w:val="left" w:pos="3969"/>
        </w:tabs>
        <w:spacing w:before="120" w:after="120" w:line="360" w:lineRule="auto"/>
        <w:ind w:right="567"/>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C50A58">
        <w:rPr>
          <w:rFonts w:ascii="Arial" w:hAnsi="Arial" w:cs="Arial"/>
          <w:sz w:val="24"/>
          <w:szCs w:val="24"/>
        </w:rPr>
        <w:t xml:space="preserve"> </w:t>
      </w:r>
      <w:r w:rsidR="00BF7B20">
        <w:rPr>
          <w:rFonts w:ascii="Arial" w:hAnsi="Arial" w:cs="Arial"/>
          <w:sz w:val="24"/>
          <w:szCs w:val="24"/>
        </w:rPr>
        <w:t>a</w:t>
      </w:r>
      <w:r w:rsidR="00C50A58">
        <w:rPr>
          <w:rFonts w:ascii="Arial" w:hAnsi="Arial" w:cs="Arial"/>
          <w:sz w:val="24"/>
          <w:szCs w:val="24"/>
        </w:rPr>
        <w:t>pplicant</w:t>
      </w:r>
      <w:r w:rsidR="001A1F7F">
        <w:rPr>
          <w:rFonts w:ascii="Arial" w:hAnsi="Arial" w:cs="Arial"/>
          <w:sz w:val="24"/>
          <w:szCs w:val="24"/>
        </w:rPr>
        <w:t>s</w:t>
      </w:r>
      <w:r w:rsidR="00236C9B">
        <w:rPr>
          <w:rFonts w:ascii="Arial" w:hAnsi="Arial" w:cs="Arial"/>
          <w:sz w:val="24"/>
          <w:szCs w:val="24"/>
        </w:rPr>
        <w:t xml:space="preserve"> in each matter</w:t>
      </w:r>
      <w:r w:rsidR="00C50A58">
        <w:rPr>
          <w:rFonts w:ascii="Arial" w:hAnsi="Arial" w:cs="Arial"/>
          <w:sz w:val="24"/>
          <w:szCs w:val="24"/>
        </w:rPr>
        <w:t xml:space="preserve">: </w:t>
      </w:r>
      <w:r w:rsidR="00C50A58">
        <w:rPr>
          <w:rFonts w:ascii="Arial" w:hAnsi="Arial" w:cs="Arial"/>
          <w:sz w:val="24"/>
          <w:szCs w:val="24"/>
        </w:rPr>
        <w:tab/>
      </w:r>
      <w:r w:rsidR="00C50A58">
        <w:rPr>
          <w:rFonts w:ascii="Arial" w:hAnsi="Arial" w:cs="Arial"/>
          <w:sz w:val="24"/>
          <w:szCs w:val="24"/>
        </w:rPr>
        <w:tab/>
      </w:r>
      <w:r w:rsidR="00236C9B">
        <w:rPr>
          <w:rFonts w:ascii="Arial" w:hAnsi="Arial" w:cs="Arial"/>
          <w:sz w:val="24"/>
          <w:szCs w:val="24"/>
        </w:rPr>
        <w:t xml:space="preserve">M </w:t>
      </w:r>
      <w:proofErr w:type="spellStart"/>
      <w:r w:rsidR="00236C9B">
        <w:rPr>
          <w:rFonts w:ascii="Arial" w:hAnsi="Arial" w:cs="Arial"/>
          <w:sz w:val="24"/>
          <w:szCs w:val="24"/>
        </w:rPr>
        <w:t>Reineke</w:t>
      </w:r>
      <w:proofErr w:type="spellEnd"/>
      <w:r w:rsidR="00D43497">
        <w:rPr>
          <w:rFonts w:ascii="Arial" w:hAnsi="Arial" w:cs="Arial"/>
          <w:sz w:val="24"/>
          <w:szCs w:val="24"/>
        </w:rPr>
        <w:t xml:space="preserve"> </w:t>
      </w:r>
    </w:p>
    <w:p w14:paraId="36C22ADC" w14:textId="745F6AB6" w:rsidR="00460D9D" w:rsidRDefault="00D02D59" w:rsidP="001E14CB">
      <w:pPr>
        <w:tabs>
          <w:tab w:val="left" w:pos="-426"/>
          <w:tab w:val="left" w:pos="3969"/>
        </w:tabs>
        <w:spacing w:before="120" w:after="120" w:line="360" w:lineRule="auto"/>
        <w:ind w:left="5760" w:right="117" w:hanging="5760"/>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00460D9D">
        <w:rPr>
          <w:rFonts w:ascii="Arial" w:hAnsi="Arial" w:cs="Arial"/>
          <w:sz w:val="24"/>
          <w:szCs w:val="24"/>
        </w:rPr>
        <w:tab/>
      </w:r>
      <w:proofErr w:type="spellStart"/>
      <w:r w:rsidR="00236C9B">
        <w:rPr>
          <w:rFonts w:ascii="Arial" w:hAnsi="Arial" w:cs="Arial"/>
          <w:sz w:val="24"/>
          <w:szCs w:val="24"/>
        </w:rPr>
        <w:t>Hainsworth</w:t>
      </w:r>
      <w:proofErr w:type="spellEnd"/>
      <w:r w:rsidR="00236C9B">
        <w:rPr>
          <w:rFonts w:ascii="Arial" w:hAnsi="Arial" w:cs="Arial"/>
          <w:sz w:val="24"/>
          <w:szCs w:val="24"/>
        </w:rPr>
        <w:t xml:space="preserve"> </w:t>
      </w:r>
      <w:proofErr w:type="spellStart"/>
      <w:r w:rsidR="00236C9B">
        <w:rPr>
          <w:rFonts w:ascii="Arial" w:hAnsi="Arial" w:cs="Arial"/>
          <w:sz w:val="24"/>
          <w:szCs w:val="24"/>
        </w:rPr>
        <w:t>Koopman</w:t>
      </w:r>
      <w:proofErr w:type="spellEnd"/>
      <w:r w:rsidR="00236C9B">
        <w:rPr>
          <w:rFonts w:ascii="Arial" w:hAnsi="Arial" w:cs="Arial"/>
          <w:sz w:val="24"/>
          <w:szCs w:val="24"/>
        </w:rPr>
        <w:t xml:space="preserve"> </w:t>
      </w:r>
      <w:proofErr w:type="spellStart"/>
      <w:r w:rsidR="00236C9B">
        <w:rPr>
          <w:rFonts w:ascii="Arial" w:hAnsi="Arial" w:cs="Arial"/>
          <w:sz w:val="24"/>
          <w:szCs w:val="24"/>
        </w:rPr>
        <w:t>Inc</w:t>
      </w:r>
      <w:proofErr w:type="spellEnd"/>
      <w:r w:rsidR="00236C9B">
        <w:rPr>
          <w:rFonts w:ascii="Arial" w:hAnsi="Arial" w:cs="Arial"/>
          <w:sz w:val="24"/>
          <w:szCs w:val="24"/>
        </w:rPr>
        <w:t>, Pietermaritzburg</w:t>
      </w:r>
    </w:p>
    <w:p w14:paraId="67695AFE" w14:textId="0444C39B" w:rsidR="00B11930" w:rsidRDefault="00B11930" w:rsidP="00236C9B">
      <w:pPr>
        <w:tabs>
          <w:tab w:val="left" w:pos="-426"/>
          <w:tab w:val="left" w:pos="3969"/>
        </w:tabs>
        <w:spacing w:before="120" w:after="120" w:line="360" w:lineRule="auto"/>
        <w:ind w:left="5760" w:right="567" w:hanging="57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 </w:t>
      </w:r>
      <w:proofErr w:type="spellStart"/>
      <w:r>
        <w:rPr>
          <w:rFonts w:ascii="Arial" w:hAnsi="Arial" w:cs="Arial"/>
          <w:sz w:val="24"/>
          <w:szCs w:val="24"/>
        </w:rPr>
        <w:t>Nkotzoe</w:t>
      </w:r>
      <w:proofErr w:type="spellEnd"/>
      <w:r>
        <w:rPr>
          <w:rFonts w:ascii="Arial" w:hAnsi="Arial" w:cs="Arial"/>
          <w:sz w:val="24"/>
          <w:szCs w:val="24"/>
        </w:rPr>
        <w:t xml:space="preserve"> Attorneys, </w:t>
      </w:r>
      <w:proofErr w:type="spellStart"/>
      <w:r>
        <w:rPr>
          <w:rFonts w:ascii="Arial" w:hAnsi="Arial" w:cs="Arial"/>
          <w:sz w:val="24"/>
          <w:szCs w:val="24"/>
        </w:rPr>
        <w:t>Midrand</w:t>
      </w:r>
      <w:proofErr w:type="spellEnd"/>
    </w:p>
    <w:p w14:paraId="742D5E50" w14:textId="77777777" w:rsidR="00460D9D" w:rsidRDefault="00460D9D" w:rsidP="00460D9D">
      <w:pPr>
        <w:tabs>
          <w:tab w:val="left" w:pos="-426"/>
          <w:tab w:val="left" w:pos="3969"/>
        </w:tabs>
        <w:spacing w:before="120" w:after="120" w:line="360" w:lineRule="auto"/>
        <w:ind w:left="4320" w:right="567" w:hanging="4320"/>
        <w:jc w:val="both"/>
        <w:rPr>
          <w:rFonts w:ascii="Arial" w:hAnsi="Arial" w:cs="Arial"/>
          <w:sz w:val="24"/>
          <w:szCs w:val="24"/>
        </w:rPr>
      </w:pPr>
    </w:p>
    <w:p w14:paraId="15389C89" w14:textId="77777777" w:rsidR="00460D9D" w:rsidRDefault="00696B20" w:rsidP="001E14CB">
      <w:pPr>
        <w:keepNext/>
        <w:tabs>
          <w:tab w:val="left" w:pos="-426"/>
          <w:tab w:val="left" w:pos="3969"/>
        </w:tabs>
        <w:spacing w:before="120" w:after="120" w:line="360" w:lineRule="auto"/>
        <w:ind w:left="4321" w:right="567" w:hanging="4321"/>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DD0348" w:rsidRPr="00DD1B08">
        <w:rPr>
          <w:rFonts w:ascii="Arial" w:hAnsi="Arial" w:cs="Arial"/>
          <w:sz w:val="24"/>
          <w:szCs w:val="24"/>
        </w:rPr>
        <w:t xml:space="preserve"> </w:t>
      </w:r>
      <w:r w:rsidR="00BF7B20">
        <w:rPr>
          <w:rFonts w:ascii="Arial" w:hAnsi="Arial" w:cs="Arial"/>
          <w:sz w:val="24"/>
          <w:szCs w:val="24"/>
        </w:rPr>
        <w:t>r</w:t>
      </w:r>
      <w:r w:rsidR="00C50A58">
        <w:rPr>
          <w:rFonts w:ascii="Arial" w:hAnsi="Arial" w:cs="Arial"/>
          <w:sz w:val="24"/>
          <w:szCs w:val="24"/>
        </w:rPr>
        <w:t>espondents:</w:t>
      </w:r>
      <w:r w:rsidR="00C50A58">
        <w:rPr>
          <w:rFonts w:ascii="Arial" w:hAnsi="Arial" w:cs="Arial"/>
          <w:sz w:val="24"/>
          <w:szCs w:val="24"/>
        </w:rPr>
        <w:tab/>
      </w:r>
      <w:r w:rsidR="00C50A58">
        <w:rPr>
          <w:rFonts w:ascii="Arial" w:hAnsi="Arial" w:cs="Arial"/>
          <w:sz w:val="24"/>
          <w:szCs w:val="24"/>
        </w:rPr>
        <w:tab/>
      </w:r>
      <w:r w:rsidR="00460D9D">
        <w:rPr>
          <w:rFonts w:ascii="Arial" w:hAnsi="Arial" w:cs="Arial"/>
          <w:sz w:val="24"/>
          <w:szCs w:val="24"/>
        </w:rPr>
        <w:tab/>
      </w:r>
      <w:r w:rsidR="00460D9D">
        <w:rPr>
          <w:rFonts w:ascii="Arial" w:hAnsi="Arial" w:cs="Arial"/>
          <w:sz w:val="24"/>
          <w:szCs w:val="24"/>
        </w:rPr>
        <w:tab/>
      </w:r>
      <w:r w:rsidR="00D43497">
        <w:rPr>
          <w:rFonts w:ascii="Arial" w:hAnsi="Arial" w:cs="Arial"/>
          <w:sz w:val="24"/>
          <w:szCs w:val="24"/>
        </w:rPr>
        <w:t>No appearance for any</w:t>
      </w:r>
    </w:p>
    <w:p w14:paraId="5FB38347" w14:textId="2D742657" w:rsidR="00C50A58" w:rsidRDefault="00460D9D" w:rsidP="00460D9D">
      <w:pPr>
        <w:keepNext/>
        <w:tabs>
          <w:tab w:val="left" w:pos="-426"/>
          <w:tab w:val="left" w:pos="3969"/>
        </w:tabs>
        <w:spacing w:before="120" w:after="120" w:line="360" w:lineRule="auto"/>
        <w:ind w:left="4320" w:right="567" w:hanging="43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3497">
        <w:rPr>
          <w:rFonts w:ascii="Arial" w:hAnsi="Arial" w:cs="Arial"/>
          <w:sz w:val="24"/>
          <w:szCs w:val="24"/>
        </w:rPr>
        <w:t>of the respondents</w:t>
      </w:r>
    </w:p>
    <w:p w14:paraId="1E232A3B" w14:textId="77777777" w:rsidR="00236C9B" w:rsidRDefault="00236C9B" w:rsidP="00460D9D">
      <w:pPr>
        <w:keepNext/>
        <w:tabs>
          <w:tab w:val="left" w:pos="-426"/>
          <w:tab w:val="left" w:pos="3969"/>
          <w:tab w:val="left" w:pos="5670"/>
        </w:tabs>
        <w:spacing w:before="120" w:after="120" w:line="360" w:lineRule="auto"/>
        <w:ind w:right="567"/>
        <w:jc w:val="both"/>
        <w:rPr>
          <w:rFonts w:ascii="Arial" w:hAnsi="Arial" w:cs="Arial"/>
          <w:sz w:val="24"/>
          <w:szCs w:val="24"/>
        </w:rPr>
      </w:pPr>
    </w:p>
    <w:p w14:paraId="0F3BA2EA" w14:textId="77777777" w:rsidR="0061617F" w:rsidRDefault="00236C9B" w:rsidP="0061617F">
      <w:pPr>
        <w:keepNext/>
        <w:tabs>
          <w:tab w:val="left" w:pos="-426"/>
          <w:tab w:val="left" w:pos="3969"/>
          <w:tab w:val="left" w:pos="5670"/>
        </w:tabs>
        <w:spacing w:before="120" w:after="120" w:line="360" w:lineRule="auto"/>
        <w:ind w:right="567"/>
        <w:jc w:val="both"/>
        <w:rPr>
          <w:rFonts w:ascii="Arial" w:hAnsi="Arial" w:cs="Arial"/>
          <w:sz w:val="24"/>
          <w:szCs w:val="24"/>
        </w:rPr>
      </w:pPr>
      <w:r>
        <w:rPr>
          <w:rFonts w:ascii="Arial" w:hAnsi="Arial" w:cs="Arial"/>
          <w:sz w:val="24"/>
          <w:szCs w:val="24"/>
        </w:rPr>
        <w:t>Counsel for Banking Association of South Africa:</w:t>
      </w:r>
      <w:r>
        <w:rPr>
          <w:rFonts w:ascii="Arial" w:hAnsi="Arial" w:cs="Arial"/>
          <w:sz w:val="24"/>
          <w:szCs w:val="24"/>
        </w:rPr>
        <w:tab/>
        <w:t>I Green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 </w:t>
      </w:r>
      <w:proofErr w:type="spellStart"/>
      <w:r>
        <w:rPr>
          <w:rFonts w:ascii="Arial" w:hAnsi="Arial" w:cs="Arial"/>
          <w:sz w:val="24"/>
          <w:szCs w:val="24"/>
        </w:rPr>
        <w:t>N</w:t>
      </w:r>
      <w:r w:rsidR="001E14CB">
        <w:rPr>
          <w:rFonts w:ascii="Arial" w:hAnsi="Arial" w:cs="Arial"/>
          <w:sz w:val="24"/>
          <w:szCs w:val="24"/>
        </w:rPr>
        <w:t>g</w:t>
      </w:r>
      <w:r>
        <w:rPr>
          <w:rFonts w:ascii="Arial" w:hAnsi="Arial" w:cs="Arial"/>
          <w:sz w:val="24"/>
          <w:szCs w:val="24"/>
        </w:rPr>
        <w:t>congo</w:t>
      </w:r>
      <w:proofErr w:type="spellEnd"/>
    </w:p>
    <w:p w14:paraId="0D704C0E" w14:textId="03B4D156" w:rsidR="00236C9B" w:rsidRDefault="0061617F" w:rsidP="0061617F">
      <w:pPr>
        <w:keepNext/>
        <w:tabs>
          <w:tab w:val="left" w:pos="-426"/>
          <w:tab w:val="left" w:pos="3969"/>
          <w:tab w:val="left" w:pos="5670"/>
        </w:tabs>
        <w:spacing w:before="120" w:after="120" w:line="360" w:lineRule="auto"/>
        <w:ind w:right="567"/>
        <w:jc w:val="both"/>
        <w:rPr>
          <w:rFonts w:ascii="Arial" w:hAnsi="Arial" w:cs="Arial"/>
          <w:sz w:val="24"/>
          <w:szCs w:val="24"/>
        </w:rPr>
      </w:pPr>
      <w:r>
        <w:rPr>
          <w:rFonts w:ascii="Arial" w:hAnsi="Arial" w:cs="Arial"/>
          <w:sz w:val="24"/>
          <w:szCs w:val="24"/>
        </w:rPr>
        <w:tab/>
      </w:r>
      <w:r>
        <w:rPr>
          <w:rFonts w:ascii="Arial" w:hAnsi="Arial" w:cs="Arial"/>
          <w:sz w:val="24"/>
          <w:szCs w:val="24"/>
        </w:rPr>
        <w:tab/>
      </w:r>
      <w:r w:rsidR="00236C9B">
        <w:rPr>
          <w:rFonts w:ascii="Arial" w:hAnsi="Arial" w:cs="Arial"/>
          <w:sz w:val="24"/>
          <w:szCs w:val="24"/>
        </w:rPr>
        <w:t xml:space="preserve">I </w:t>
      </w:r>
      <w:proofErr w:type="spellStart"/>
      <w:r w:rsidR="00236C9B">
        <w:rPr>
          <w:rFonts w:ascii="Arial" w:hAnsi="Arial" w:cs="Arial"/>
          <w:sz w:val="24"/>
          <w:szCs w:val="24"/>
        </w:rPr>
        <w:t>Hayath</w:t>
      </w:r>
      <w:proofErr w:type="spellEnd"/>
    </w:p>
    <w:p w14:paraId="42F05C2E" w14:textId="6D33C66F" w:rsidR="00C50A58" w:rsidRDefault="00236C9B" w:rsidP="001E14CB">
      <w:pPr>
        <w:keepNext/>
        <w:tabs>
          <w:tab w:val="left" w:pos="-426"/>
          <w:tab w:val="left" w:pos="3969"/>
          <w:tab w:val="left" w:pos="5670"/>
        </w:tabs>
        <w:spacing w:before="120" w:after="120" w:line="480" w:lineRule="auto"/>
        <w:ind w:left="5680" w:right="-308" w:hanging="568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Edward Nathan </w:t>
      </w:r>
      <w:proofErr w:type="spellStart"/>
      <w:r>
        <w:rPr>
          <w:rFonts w:ascii="Arial" w:hAnsi="Arial" w:cs="Arial"/>
          <w:sz w:val="24"/>
          <w:szCs w:val="24"/>
        </w:rPr>
        <w:t>Sonnenbergs</w:t>
      </w:r>
      <w:proofErr w:type="spellEnd"/>
      <w:r>
        <w:rPr>
          <w:rFonts w:ascii="Arial" w:hAnsi="Arial" w:cs="Arial"/>
          <w:sz w:val="24"/>
          <w:szCs w:val="24"/>
        </w:rPr>
        <w:t xml:space="preserve"> </w:t>
      </w:r>
      <w:proofErr w:type="spellStart"/>
      <w:r>
        <w:rPr>
          <w:rFonts w:ascii="Arial" w:hAnsi="Arial" w:cs="Arial"/>
          <w:sz w:val="24"/>
          <w:szCs w:val="24"/>
        </w:rPr>
        <w:t>Inc</w:t>
      </w:r>
      <w:proofErr w:type="spellEnd"/>
      <w:r w:rsidR="00460D9D">
        <w:rPr>
          <w:rFonts w:ascii="Arial" w:hAnsi="Arial" w:cs="Arial"/>
          <w:sz w:val="24"/>
          <w:szCs w:val="24"/>
        </w:rPr>
        <w:tab/>
      </w:r>
      <w:r w:rsidR="00460D9D">
        <w:rPr>
          <w:rFonts w:ascii="Arial" w:hAnsi="Arial" w:cs="Arial"/>
          <w:sz w:val="24"/>
          <w:szCs w:val="24"/>
        </w:rPr>
        <w:tab/>
      </w:r>
      <w:r w:rsidR="00460D9D">
        <w:rPr>
          <w:rFonts w:ascii="Arial" w:hAnsi="Arial" w:cs="Arial"/>
          <w:sz w:val="24"/>
          <w:szCs w:val="24"/>
        </w:rPr>
        <w:tab/>
      </w:r>
      <w:r w:rsidR="00460D9D">
        <w:rPr>
          <w:rFonts w:ascii="Arial" w:hAnsi="Arial" w:cs="Arial"/>
          <w:sz w:val="24"/>
          <w:szCs w:val="24"/>
        </w:rPr>
        <w:tab/>
      </w:r>
      <w:r w:rsidR="00D02D59" w:rsidRPr="00DD1B08">
        <w:rPr>
          <w:rFonts w:ascii="Arial" w:hAnsi="Arial" w:cs="Arial"/>
          <w:sz w:val="24"/>
          <w:szCs w:val="24"/>
        </w:rPr>
        <w:tab/>
      </w:r>
      <w:r w:rsidR="00D02D59" w:rsidRPr="00DD1B08">
        <w:rPr>
          <w:rFonts w:ascii="Arial" w:hAnsi="Arial" w:cs="Arial"/>
          <w:sz w:val="24"/>
          <w:szCs w:val="24"/>
        </w:rPr>
        <w:tab/>
      </w:r>
      <w:r w:rsidR="00C50A58">
        <w:rPr>
          <w:rFonts w:ascii="Arial" w:hAnsi="Arial" w:cs="Arial"/>
          <w:sz w:val="24"/>
          <w:szCs w:val="24"/>
        </w:rPr>
        <w:t xml:space="preserve"> </w:t>
      </w:r>
    </w:p>
    <w:sectPr w:rsidR="00C50A58" w:rsidSect="00E8604F">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7502" w14:textId="77777777" w:rsidR="00EA5BB9" w:rsidRDefault="00EA5BB9" w:rsidP="00AD5454">
      <w:pPr>
        <w:spacing w:after="0" w:line="240" w:lineRule="auto"/>
      </w:pPr>
      <w:r>
        <w:separator/>
      </w:r>
    </w:p>
  </w:endnote>
  <w:endnote w:type="continuationSeparator" w:id="0">
    <w:p w14:paraId="25727ECB" w14:textId="77777777" w:rsidR="00EA5BB9" w:rsidRDefault="00EA5BB9" w:rsidP="00AD5454">
      <w:pPr>
        <w:spacing w:after="0" w:line="240" w:lineRule="auto"/>
      </w:pPr>
      <w:r>
        <w:continuationSeparator/>
      </w:r>
    </w:p>
  </w:endnote>
  <w:endnote w:type="continuationNotice" w:id="1">
    <w:p w14:paraId="54973B96" w14:textId="77777777" w:rsidR="00EA5BB9" w:rsidRDefault="00EA5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1B2D" w14:textId="77777777" w:rsidR="00EA5BB9" w:rsidRDefault="00EA5BB9" w:rsidP="00AD5454">
      <w:pPr>
        <w:spacing w:after="0" w:line="240" w:lineRule="auto"/>
      </w:pPr>
      <w:r>
        <w:separator/>
      </w:r>
    </w:p>
  </w:footnote>
  <w:footnote w:type="continuationSeparator" w:id="0">
    <w:p w14:paraId="059F8D18" w14:textId="77777777" w:rsidR="00EA5BB9" w:rsidRDefault="00EA5BB9" w:rsidP="00AD5454">
      <w:pPr>
        <w:spacing w:after="0" w:line="240" w:lineRule="auto"/>
      </w:pPr>
      <w:r>
        <w:continuationSeparator/>
      </w:r>
    </w:p>
  </w:footnote>
  <w:footnote w:type="continuationNotice" w:id="1">
    <w:p w14:paraId="45642CCA" w14:textId="77777777" w:rsidR="00EA5BB9" w:rsidRDefault="00EA5BB9">
      <w:pPr>
        <w:spacing w:after="0" w:line="240" w:lineRule="auto"/>
      </w:pPr>
    </w:p>
  </w:footnote>
  <w:footnote w:id="2">
    <w:p w14:paraId="08D126CF" w14:textId="32BE187F" w:rsidR="00EB4158" w:rsidRPr="00EB4158" w:rsidRDefault="00EB4158">
      <w:pPr>
        <w:pStyle w:val="FootnoteText"/>
        <w:rPr>
          <w:lang w:val="en-US"/>
        </w:rPr>
      </w:pPr>
      <w:r>
        <w:rPr>
          <w:rStyle w:val="FootnoteReference"/>
        </w:rPr>
        <w:footnoteRef/>
      </w:r>
      <w:r w:rsidR="001228DB">
        <w:rPr>
          <w:lang w:val="en-US"/>
        </w:rPr>
        <w:t xml:space="preserve"> </w:t>
      </w:r>
      <w:r w:rsidR="008E546F">
        <w:rPr>
          <w:lang w:val="en-US"/>
        </w:rPr>
        <w:t>Section</w:t>
      </w:r>
      <w:r>
        <w:rPr>
          <w:lang w:val="en-US"/>
        </w:rPr>
        <w:t xml:space="preserve"> 131 of the NCA provides that </w:t>
      </w:r>
      <w:r w:rsidRPr="008E546F">
        <w:rPr>
          <w:i/>
          <w:iCs/>
          <w:lang w:val="en-US"/>
        </w:rPr>
        <w:t>inter alia</w:t>
      </w:r>
      <w:r>
        <w:rPr>
          <w:lang w:val="en-US"/>
        </w:rPr>
        <w:t xml:space="preserve"> sections 127(2) </w:t>
      </w:r>
      <w:r w:rsidR="001228DB">
        <w:rPr>
          <w:lang w:val="en-US"/>
        </w:rPr>
        <w:t>to</w:t>
      </w:r>
      <w:r>
        <w:rPr>
          <w:lang w:val="en-US"/>
        </w:rPr>
        <w:t xml:space="preserve"> (9) of the NCA apply, read with the changes required by the context, </w:t>
      </w:r>
      <w:r w:rsidR="008E546F">
        <w:rPr>
          <w:lang w:val="en-US"/>
        </w:rPr>
        <w:t xml:space="preserve">if </w:t>
      </w:r>
      <w:r w:rsidR="00066198">
        <w:rPr>
          <w:lang w:val="en-US"/>
        </w:rPr>
        <w:t>a</w:t>
      </w:r>
      <w:r w:rsidR="008E546F">
        <w:rPr>
          <w:lang w:val="en-US"/>
        </w:rPr>
        <w:t xml:space="preserve"> court makes an attachment order in relation to the goods i.e. where the goods are not voluntarily surrendered. As </w:t>
      </w:r>
      <w:r w:rsidR="001228DB">
        <w:rPr>
          <w:lang w:val="en-US"/>
        </w:rPr>
        <w:t xml:space="preserve">in </w:t>
      </w:r>
      <w:r>
        <w:rPr>
          <w:lang w:val="en-US"/>
        </w:rPr>
        <w:t>none of the present applications</w:t>
      </w:r>
      <w:r w:rsidR="008E546F">
        <w:rPr>
          <w:lang w:val="en-US"/>
        </w:rPr>
        <w:t xml:space="preserve"> a court has made an attachment order, this judgment does not consider the issue of jurisdiction in relation to those matters</w:t>
      </w:r>
      <w:r w:rsidR="001228DB">
        <w:rPr>
          <w:lang w:val="en-US"/>
        </w:rPr>
        <w:t>.</w:t>
      </w:r>
    </w:p>
  </w:footnote>
  <w:footnote w:id="3">
    <w:p w14:paraId="7A8FAF3B" w14:textId="45223602" w:rsidR="001E4D02" w:rsidRPr="00CC5ACD" w:rsidRDefault="00CC5ACD">
      <w:pPr>
        <w:pStyle w:val="FootnoteText"/>
        <w:rPr>
          <w:lang w:val="en-US"/>
        </w:rPr>
      </w:pPr>
      <w:r>
        <w:rPr>
          <w:rStyle w:val="FootnoteReference"/>
        </w:rPr>
        <w:footnoteRef/>
      </w:r>
      <w:r>
        <w:t xml:space="preserve"> </w:t>
      </w:r>
      <w:r>
        <w:rPr>
          <w:lang w:val="en-US"/>
        </w:rPr>
        <w:t xml:space="preserve">C van </w:t>
      </w:r>
      <w:proofErr w:type="spellStart"/>
      <w:r>
        <w:rPr>
          <w:lang w:val="en-US"/>
        </w:rPr>
        <w:t>Heerden</w:t>
      </w:r>
      <w:proofErr w:type="spellEnd"/>
      <w:r>
        <w:rPr>
          <w:lang w:val="en-US"/>
        </w:rPr>
        <w:t xml:space="preserve"> ‘Perspectives on Jurisdiction in terms of the National Credit Act 34 of 2005’ 2008 </w:t>
      </w:r>
      <w:r w:rsidRPr="00CC5ACD">
        <w:rPr>
          <w:i/>
          <w:iCs/>
          <w:lang w:val="en-US"/>
        </w:rPr>
        <w:t>TSAR</w:t>
      </w:r>
      <w:r>
        <w:rPr>
          <w:lang w:val="en-US"/>
        </w:rPr>
        <w:t xml:space="preserve"> (4) 84</w:t>
      </w:r>
      <w:r w:rsidR="00E87AE1">
        <w:rPr>
          <w:lang w:val="en-US"/>
        </w:rPr>
        <w:t>0</w:t>
      </w:r>
      <w:r>
        <w:rPr>
          <w:lang w:val="en-US"/>
        </w:rPr>
        <w:t xml:space="preserve"> at 844, 845</w:t>
      </w:r>
      <w:r w:rsidR="00FE1F65">
        <w:rPr>
          <w:lang w:val="en-US"/>
        </w:rPr>
        <w:t xml:space="preserve">; </w:t>
      </w:r>
      <w:proofErr w:type="spellStart"/>
      <w:r w:rsidR="00FE1F65">
        <w:rPr>
          <w:lang w:val="en-US"/>
        </w:rPr>
        <w:t>Scholtz</w:t>
      </w:r>
      <w:proofErr w:type="spellEnd"/>
      <w:r w:rsidR="00FE1F65">
        <w:rPr>
          <w:lang w:val="en-US"/>
        </w:rPr>
        <w:t xml:space="preserve"> </w:t>
      </w:r>
      <w:r w:rsidR="00FE1F65" w:rsidRPr="00274906">
        <w:rPr>
          <w:i/>
          <w:iCs/>
          <w:lang w:val="en-US"/>
        </w:rPr>
        <w:t>Guide to the National Credit Act</w:t>
      </w:r>
      <w:r w:rsidR="00FE1F65">
        <w:rPr>
          <w:lang w:val="en-US"/>
        </w:rPr>
        <w:t xml:space="preserve"> (LexisNexis) Service Issue 15 (July 2023) in para 20.2.</w:t>
      </w:r>
      <w:r w:rsidR="001E4D02">
        <w:rPr>
          <w:lang w:val="en-US"/>
        </w:rPr>
        <w:t xml:space="preserve"> Kelly-</w:t>
      </w:r>
      <w:proofErr w:type="spellStart"/>
      <w:r w:rsidR="001E4D02">
        <w:rPr>
          <w:lang w:val="en-US"/>
        </w:rPr>
        <w:t>Louw</w:t>
      </w:r>
      <w:proofErr w:type="spellEnd"/>
      <w:r w:rsidR="001E4D02">
        <w:rPr>
          <w:lang w:val="en-US"/>
        </w:rPr>
        <w:t xml:space="preserve"> </w:t>
      </w:r>
      <w:r w:rsidR="001E4D02" w:rsidRPr="001E4D02">
        <w:rPr>
          <w:i/>
          <w:iCs/>
          <w:lang w:val="en-US"/>
        </w:rPr>
        <w:t>Consumer Credit Regulation in South Africa</w:t>
      </w:r>
      <w:r w:rsidR="001E4D02">
        <w:rPr>
          <w:lang w:val="en-US"/>
        </w:rPr>
        <w:t xml:space="preserve"> (</w:t>
      </w:r>
      <w:proofErr w:type="spellStart"/>
      <w:r w:rsidR="001E4D02">
        <w:rPr>
          <w:lang w:val="en-US"/>
        </w:rPr>
        <w:t>Juta</w:t>
      </w:r>
      <w:proofErr w:type="spellEnd"/>
      <w:r w:rsidR="001E4D02">
        <w:rPr>
          <w:lang w:val="en-US"/>
        </w:rPr>
        <w:t xml:space="preserve">) 2012 at p 517, refers to Van </w:t>
      </w:r>
      <w:proofErr w:type="spellStart"/>
      <w:r w:rsidR="001E4D02">
        <w:rPr>
          <w:lang w:val="en-US"/>
        </w:rPr>
        <w:t>Heerden</w:t>
      </w:r>
      <w:proofErr w:type="spellEnd"/>
      <w:r w:rsidR="001E4D02">
        <w:rPr>
          <w:lang w:val="en-US"/>
        </w:rPr>
        <w:t xml:space="preserve"> and an earlier service issue of </w:t>
      </w:r>
      <w:proofErr w:type="spellStart"/>
      <w:r w:rsidR="001E4D02">
        <w:rPr>
          <w:lang w:val="en-US"/>
        </w:rPr>
        <w:t>Scholtz</w:t>
      </w:r>
      <w:proofErr w:type="spellEnd"/>
      <w:r w:rsidR="001E4D02">
        <w:rPr>
          <w:lang w:val="en-US"/>
        </w:rPr>
        <w:t xml:space="preserve">, and proffers tentatively at p460 that </w:t>
      </w:r>
      <w:r w:rsidR="001E4D02" w:rsidRPr="0030254B">
        <w:rPr>
          <w:i/>
          <w:iCs/>
          <w:lang w:val="en-US"/>
        </w:rPr>
        <w:t>“[</w:t>
      </w:r>
      <w:proofErr w:type="spellStart"/>
      <w:r w:rsidR="001E4D02" w:rsidRPr="0030254B">
        <w:rPr>
          <w:i/>
          <w:iCs/>
          <w:lang w:val="en-US"/>
        </w:rPr>
        <w:t>i</w:t>
      </w:r>
      <w:proofErr w:type="spellEnd"/>
      <w:r w:rsidR="001E4D02" w:rsidRPr="0030254B">
        <w:rPr>
          <w:i/>
          <w:iCs/>
          <w:lang w:val="en-US"/>
        </w:rPr>
        <w:t>]t seems that the Act has specifically reserved this function for the magistrates’ courts”</w:t>
      </w:r>
      <w:r w:rsidR="001E4D02">
        <w:rPr>
          <w:lang w:val="en-US"/>
        </w:rPr>
        <w:t>.</w:t>
      </w:r>
    </w:p>
  </w:footnote>
  <w:footnote w:id="4">
    <w:p w14:paraId="076425A5" w14:textId="30803EA8" w:rsidR="006963E6" w:rsidRPr="006963E6" w:rsidRDefault="006963E6">
      <w:pPr>
        <w:pStyle w:val="FootnoteText"/>
        <w:rPr>
          <w:lang w:val="en-US"/>
        </w:rPr>
      </w:pPr>
      <w:r>
        <w:rPr>
          <w:rStyle w:val="FootnoteReference"/>
        </w:rPr>
        <w:footnoteRef/>
      </w:r>
      <w:r>
        <w:t xml:space="preserve"> </w:t>
      </w:r>
      <w:r w:rsidRPr="00F17BA4">
        <w:rPr>
          <w:i/>
          <w:iCs/>
          <w:lang w:val="en-US"/>
        </w:rPr>
        <w:t>Pretoria City Council v Levinson</w:t>
      </w:r>
      <w:r>
        <w:rPr>
          <w:lang w:val="en-US"/>
        </w:rPr>
        <w:t xml:space="preserve"> 1949 (3) SA 305 (AD) at 317</w:t>
      </w:r>
      <w:r w:rsidR="009D719C">
        <w:rPr>
          <w:lang w:val="en-US"/>
        </w:rPr>
        <w:t xml:space="preserve">; </w:t>
      </w:r>
      <w:r w:rsidR="009D719C" w:rsidRPr="009D719C">
        <w:rPr>
          <w:i/>
          <w:iCs/>
          <w:lang w:val="en-US"/>
        </w:rPr>
        <w:t xml:space="preserve">R v </w:t>
      </w:r>
      <w:proofErr w:type="spellStart"/>
      <w:r w:rsidR="009D719C" w:rsidRPr="009D719C">
        <w:rPr>
          <w:i/>
          <w:iCs/>
          <w:lang w:val="en-US"/>
        </w:rPr>
        <w:t>Crause</w:t>
      </w:r>
      <w:proofErr w:type="spellEnd"/>
      <w:r w:rsidR="009D719C">
        <w:rPr>
          <w:lang w:val="en-US"/>
        </w:rPr>
        <w:t xml:space="preserve"> 1959 (1) SA 272 (A) at 281B/C.</w:t>
      </w:r>
    </w:p>
  </w:footnote>
  <w:footnote w:id="5">
    <w:p w14:paraId="7DBEE680" w14:textId="0824093D" w:rsidR="009E073D" w:rsidRPr="009E073D" w:rsidRDefault="009E073D">
      <w:pPr>
        <w:pStyle w:val="FootnoteText"/>
        <w:rPr>
          <w:lang w:val="en-US"/>
        </w:rPr>
      </w:pPr>
      <w:r>
        <w:rPr>
          <w:rStyle w:val="FootnoteReference"/>
        </w:rPr>
        <w:footnoteRef/>
      </w:r>
      <w:r>
        <w:t xml:space="preserve"> </w:t>
      </w:r>
      <w:r>
        <w:rPr>
          <w:lang w:val="en-US"/>
        </w:rPr>
        <w:t>It appears from paragraph 14 of the judgment that the claim was for the outstanding instalments under the credit agreement.</w:t>
      </w:r>
    </w:p>
  </w:footnote>
  <w:footnote w:id="6">
    <w:p w14:paraId="11ECC981" w14:textId="2340F1D4" w:rsidR="001C0231" w:rsidRPr="001C0231" w:rsidRDefault="001C0231">
      <w:pPr>
        <w:pStyle w:val="FootnoteText"/>
        <w:rPr>
          <w:lang w:val="en-US"/>
        </w:rPr>
      </w:pPr>
      <w:r>
        <w:rPr>
          <w:rStyle w:val="FootnoteReference"/>
        </w:rPr>
        <w:footnoteRef/>
      </w:r>
      <w:r>
        <w:t xml:space="preserve"> </w:t>
      </w:r>
      <w:r w:rsidRPr="001C0231">
        <w:rPr>
          <w:rFonts w:cs="Arial"/>
          <w:szCs w:val="18"/>
        </w:rPr>
        <w:t>Such as</w:t>
      </w:r>
      <w:r w:rsidR="00C73CC7">
        <w:rPr>
          <w:rFonts w:cs="Arial"/>
          <w:szCs w:val="18"/>
        </w:rPr>
        <w:t xml:space="preserve"> in </w:t>
      </w:r>
      <w:proofErr w:type="spellStart"/>
      <w:r w:rsidRPr="001C0231">
        <w:rPr>
          <w:rFonts w:cs="Arial"/>
          <w:i/>
          <w:iCs/>
          <w:szCs w:val="18"/>
        </w:rPr>
        <w:t>Mpongo</w:t>
      </w:r>
      <w:proofErr w:type="spellEnd"/>
      <w:r w:rsidRPr="001C0231">
        <w:rPr>
          <w:rFonts w:cs="Arial"/>
          <w:szCs w:val="18"/>
        </w:rPr>
        <w:t xml:space="preserve"> at par</w:t>
      </w:r>
      <w:r>
        <w:rPr>
          <w:rFonts w:cs="Arial"/>
          <w:szCs w:val="18"/>
        </w:rPr>
        <w:t>a</w:t>
      </w:r>
      <w:r w:rsidRPr="001C0231">
        <w:rPr>
          <w:rFonts w:cs="Arial"/>
          <w:szCs w:val="18"/>
        </w:rPr>
        <w:t xml:space="preserve"> 43</w:t>
      </w:r>
      <w:r>
        <w:rPr>
          <w:rFonts w:cs="Arial"/>
          <w:szCs w:val="18"/>
        </w:rPr>
        <w:t>.</w:t>
      </w:r>
      <w:r w:rsidR="009862FE" w:rsidRPr="009862FE">
        <w:rPr>
          <w:rFonts w:cs="Arial"/>
          <w:sz w:val="24"/>
          <w:szCs w:val="24"/>
        </w:rPr>
        <w:t xml:space="preserve"> </w:t>
      </w:r>
      <w:r w:rsidR="009862FE" w:rsidRPr="009862FE">
        <w:rPr>
          <w:rFonts w:cs="Arial"/>
          <w:szCs w:val="18"/>
        </w:rPr>
        <w:t>It is now settled that where a court has jurisdiction, it cannot decline to exercise that jurisdiction because another court also has jurisdictio</w:t>
      </w:r>
      <w:r w:rsidR="009862FE">
        <w:rPr>
          <w:rFonts w:cs="Arial"/>
          <w:szCs w:val="18"/>
        </w:rPr>
        <w:t xml:space="preserve">n: </w:t>
      </w:r>
      <w:proofErr w:type="spellStart"/>
      <w:r w:rsidR="009862FE" w:rsidRPr="00A962A2">
        <w:rPr>
          <w:rFonts w:cs="Arial"/>
          <w:i/>
          <w:iCs/>
          <w:szCs w:val="18"/>
        </w:rPr>
        <w:t>Mpongo</w:t>
      </w:r>
      <w:proofErr w:type="spellEnd"/>
      <w:r w:rsidR="009862FE" w:rsidRPr="00A962A2">
        <w:rPr>
          <w:rFonts w:cs="Arial"/>
          <w:i/>
          <w:iCs/>
          <w:szCs w:val="18"/>
        </w:rPr>
        <w:t xml:space="preserve"> </w:t>
      </w:r>
      <w:r w:rsidR="009862FE">
        <w:rPr>
          <w:rFonts w:cs="Arial"/>
          <w:szCs w:val="18"/>
        </w:rPr>
        <w:t xml:space="preserve">as </w:t>
      </w:r>
      <w:r w:rsidR="009862FE">
        <w:t xml:space="preserve">subsequently affirmed on appeal to the Constitutional Court in </w:t>
      </w:r>
      <w:r w:rsidR="009862FE">
        <w:rPr>
          <w:i/>
          <w:iCs/>
        </w:rPr>
        <w:t xml:space="preserve">South African Human Rights Commission </w:t>
      </w:r>
      <w:proofErr w:type="gramStart"/>
      <w:r w:rsidR="009862FE">
        <w:rPr>
          <w:i/>
          <w:iCs/>
        </w:rPr>
        <w:t>v</w:t>
      </w:r>
      <w:proofErr w:type="gramEnd"/>
      <w:r w:rsidR="009862FE">
        <w:rPr>
          <w:i/>
          <w:iCs/>
        </w:rPr>
        <w:t xml:space="preserve"> Standard Bank of South Africa Limited and Others </w:t>
      </w:r>
      <w:r w:rsidR="009862FE">
        <w:t xml:space="preserve">2023 (3) SA 36 (CC) </w:t>
      </w:r>
      <w:r w:rsidR="009862FE" w:rsidRPr="00C27D00">
        <w:rPr>
          <w:i/>
          <w:iCs/>
        </w:rPr>
        <w:t>(“SAHRC”)</w:t>
      </w:r>
      <w:r w:rsidR="009862FE">
        <w:rPr>
          <w:i/>
          <w:iCs/>
        </w:rPr>
        <w:t>.</w:t>
      </w:r>
    </w:p>
  </w:footnote>
  <w:footnote w:id="7">
    <w:p w14:paraId="1A34C2F7" w14:textId="1F2C3F63" w:rsidR="009862FE" w:rsidRPr="009862FE" w:rsidRDefault="009862FE">
      <w:pPr>
        <w:pStyle w:val="FootnoteText"/>
        <w:rPr>
          <w:lang w:val="en-US"/>
        </w:rPr>
      </w:pPr>
      <w:r>
        <w:rPr>
          <w:rStyle w:val="FootnoteReference"/>
        </w:rPr>
        <w:footnoteRef/>
      </w:r>
      <w:r>
        <w:t xml:space="preserve"> </w:t>
      </w:r>
      <w:r>
        <w:rPr>
          <w:lang w:val="en-US"/>
        </w:rPr>
        <w:t xml:space="preserve">Such as </w:t>
      </w:r>
      <w:r w:rsidR="00C73CC7">
        <w:rPr>
          <w:lang w:val="en-US"/>
        </w:rPr>
        <w:t xml:space="preserve">in </w:t>
      </w:r>
      <w:proofErr w:type="spellStart"/>
      <w:r w:rsidRPr="009862FE">
        <w:rPr>
          <w:i/>
          <w:iCs/>
          <w:lang w:val="en-US"/>
        </w:rPr>
        <w:t>Mpongo</w:t>
      </w:r>
      <w:proofErr w:type="spellEnd"/>
      <w:r>
        <w:rPr>
          <w:lang w:val="en-US"/>
        </w:rPr>
        <w:t xml:space="preserve"> at para</w:t>
      </w:r>
      <w:r w:rsidR="00C73CC7">
        <w:rPr>
          <w:lang w:val="en-US"/>
        </w:rPr>
        <w:t xml:space="preserve"> 77 and</w:t>
      </w:r>
      <w:r>
        <w:rPr>
          <w:lang w:val="en-US"/>
        </w:rPr>
        <w:t xml:space="preserve"> 78</w:t>
      </w:r>
      <w:r w:rsidR="00A962A2">
        <w:rPr>
          <w:lang w:val="en-US"/>
        </w:rPr>
        <w:t>, citing</w:t>
      </w:r>
      <w:r w:rsidR="00A962A2" w:rsidRPr="00A962A2">
        <w:rPr>
          <w:i/>
          <w:iCs/>
          <w:lang w:val="en-US"/>
        </w:rPr>
        <w:t xml:space="preserve"> </w:t>
      </w:r>
      <w:proofErr w:type="spellStart"/>
      <w:r w:rsidR="00A962A2" w:rsidRPr="00A962A2">
        <w:rPr>
          <w:i/>
          <w:iCs/>
          <w:lang w:val="en-US"/>
        </w:rPr>
        <w:t>Mateman</w:t>
      </w:r>
      <w:proofErr w:type="spellEnd"/>
      <w:r w:rsidR="00A962A2">
        <w:rPr>
          <w:lang w:val="en-US"/>
        </w:rPr>
        <w:t xml:space="preserve"> at 284F-G.</w:t>
      </w:r>
    </w:p>
  </w:footnote>
  <w:footnote w:id="8">
    <w:p w14:paraId="01487FAB" w14:textId="19B98FCD" w:rsidR="00274906" w:rsidRPr="00274906" w:rsidRDefault="00274906">
      <w:pPr>
        <w:pStyle w:val="FootnoteText"/>
        <w:rPr>
          <w:lang w:val="en-US"/>
        </w:rPr>
      </w:pPr>
      <w:r>
        <w:rPr>
          <w:rStyle w:val="FootnoteReference"/>
        </w:rPr>
        <w:footnoteRef/>
      </w:r>
      <w:r>
        <w:t xml:space="preserve"> </w:t>
      </w:r>
      <w:proofErr w:type="spellStart"/>
      <w:r>
        <w:rPr>
          <w:lang w:val="en-US"/>
        </w:rPr>
        <w:t>Scholtz</w:t>
      </w:r>
      <w:proofErr w:type="spellEnd"/>
      <w:r w:rsidR="00FE1F65">
        <w:rPr>
          <w:lang w:val="en-US"/>
        </w:rPr>
        <w:t xml:space="preserve"> above </w:t>
      </w:r>
      <w:r>
        <w:rPr>
          <w:lang w:val="en-US"/>
        </w:rPr>
        <w:t>in para 12.13 points out that the full court did not examine the provisions of section 127 in detail.</w:t>
      </w:r>
    </w:p>
  </w:footnote>
  <w:footnote w:id="9">
    <w:p w14:paraId="7C3A0B68" w14:textId="4632F346" w:rsidR="003414D9" w:rsidRPr="003414D9" w:rsidRDefault="003414D9">
      <w:pPr>
        <w:pStyle w:val="FootnoteText"/>
        <w:rPr>
          <w:lang w:val="en-US"/>
        </w:rPr>
      </w:pPr>
      <w:r>
        <w:rPr>
          <w:rStyle w:val="FootnoteReference"/>
        </w:rPr>
        <w:footnoteRef/>
      </w:r>
      <w:r>
        <w:t xml:space="preserve"> </w:t>
      </w:r>
      <w:r w:rsidRPr="00C96568">
        <w:rPr>
          <w:i/>
          <w:iCs/>
          <w:lang w:val="en-US"/>
        </w:rPr>
        <w:t xml:space="preserve">Natal Joint Municipal Pension Fund v </w:t>
      </w:r>
      <w:proofErr w:type="spellStart"/>
      <w:r w:rsidRPr="00C96568">
        <w:rPr>
          <w:i/>
          <w:iCs/>
          <w:lang w:val="en-US"/>
        </w:rPr>
        <w:t>Endumeni</w:t>
      </w:r>
      <w:proofErr w:type="spellEnd"/>
      <w:r w:rsidRPr="00C96568">
        <w:rPr>
          <w:i/>
          <w:iCs/>
          <w:lang w:val="en-US"/>
        </w:rPr>
        <w:t xml:space="preserve"> </w:t>
      </w:r>
      <w:r w:rsidR="00C96568" w:rsidRPr="00C96568">
        <w:rPr>
          <w:i/>
          <w:iCs/>
          <w:lang w:val="en-US"/>
        </w:rPr>
        <w:t>Municipality</w:t>
      </w:r>
      <w:r>
        <w:rPr>
          <w:lang w:val="en-US"/>
        </w:rPr>
        <w:t xml:space="preserve"> 2012 (4) SA 593 (SCA) at </w:t>
      </w:r>
      <w:r w:rsidR="00C96568">
        <w:rPr>
          <w:lang w:val="en-US"/>
        </w:rPr>
        <w:t>604D.</w:t>
      </w:r>
    </w:p>
  </w:footnote>
  <w:footnote w:id="10">
    <w:p w14:paraId="638BA02C" w14:textId="074F5946" w:rsidR="00C96568" w:rsidRPr="00C96568" w:rsidRDefault="00C96568">
      <w:pPr>
        <w:pStyle w:val="FootnoteText"/>
        <w:rPr>
          <w:lang w:val="en-US"/>
        </w:rPr>
      </w:pPr>
      <w:r>
        <w:rPr>
          <w:rStyle w:val="FootnoteReference"/>
        </w:rPr>
        <w:footnoteRef/>
      </w:r>
      <w:r>
        <w:t xml:space="preserve"> </w:t>
      </w:r>
      <w:r w:rsidR="00BF1570" w:rsidRPr="00BF1570">
        <w:rPr>
          <w:rFonts w:cs="Arial"/>
          <w:i/>
          <w:iCs/>
          <w:color w:val="000000" w:themeColor="text1"/>
        </w:rPr>
        <w:t>South African Airways (Pty) Ltd v Aviation Union of South Africa and Others</w:t>
      </w:r>
      <w:r w:rsidR="00BF1570" w:rsidRPr="00BF1570">
        <w:rPr>
          <w:color w:val="000000" w:themeColor="text1"/>
        </w:rPr>
        <w:t xml:space="preserve"> </w:t>
      </w:r>
      <w:r w:rsidRPr="00BF1570">
        <w:rPr>
          <w:color w:val="000000" w:themeColor="text1"/>
        </w:rPr>
        <w:t xml:space="preserve">2011 (3) SA 148 (SCA), </w:t>
      </w:r>
      <w:r w:rsidRPr="00BF1570">
        <w:rPr>
          <w:rFonts w:cs="Arial"/>
          <w:color w:val="000000" w:themeColor="text1"/>
          <w:szCs w:val="18"/>
        </w:rPr>
        <w:t>para 25 to 30</w:t>
      </w:r>
      <w:r w:rsidR="00BF1570">
        <w:rPr>
          <w:rFonts w:cs="Arial"/>
          <w:color w:val="000000" w:themeColor="text1"/>
          <w:szCs w:val="18"/>
        </w:rPr>
        <w:t>,</w:t>
      </w:r>
      <w:r w:rsidRPr="00BF1570">
        <w:rPr>
          <w:rFonts w:cs="Arial"/>
          <w:color w:val="000000" w:themeColor="text1"/>
          <w:szCs w:val="18"/>
        </w:rPr>
        <w:t xml:space="preserve"> cited in footnote </w:t>
      </w:r>
      <w:r w:rsidR="009C554A" w:rsidRPr="00BF1570">
        <w:rPr>
          <w:rFonts w:cs="Arial"/>
          <w:color w:val="000000" w:themeColor="text1"/>
          <w:szCs w:val="18"/>
        </w:rPr>
        <w:t xml:space="preserve">16 to </w:t>
      </w:r>
      <w:proofErr w:type="spellStart"/>
      <w:r w:rsidR="009C554A" w:rsidRPr="00BF1570">
        <w:rPr>
          <w:rFonts w:cs="Arial"/>
          <w:i/>
          <w:iCs/>
          <w:color w:val="000000" w:themeColor="text1"/>
          <w:szCs w:val="18"/>
        </w:rPr>
        <w:t>Endumeni</w:t>
      </w:r>
      <w:proofErr w:type="spellEnd"/>
      <w:r w:rsidR="009C554A" w:rsidRPr="00BF1570">
        <w:rPr>
          <w:rFonts w:cs="Arial"/>
          <w:color w:val="000000" w:themeColor="text1"/>
          <w:szCs w:val="18"/>
        </w:rPr>
        <w:t>.</w:t>
      </w:r>
    </w:p>
  </w:footnote>
  <w:footnote w:id="11">
    <w:p w14:paraId="353BB36F" w14:textId="2DF68E97" w:rsidR="00274906" w:rsidRPr="00274906" w:rsidRDefault="00274906">
      <w:pPr>
        <w:pStyle w:val="FootnoteText"/>
        <w:rPr>
          <w:lang w:val="en-US"/>
        </w:rPr>
      </w:pPr>
      <w:r>
        <w:rPr>
          <w:rStyle w:val="FootnoteReference"/>
        </w:rPr>
        <w:footnoteRef/>
      </w:r>
      <w:r>
        <w:t xml:space="preserve"> </w:t>
      </w:r>
      <w:r w:rsidRPr="00EC388D">
        <w:rPr>
          <w:i/>
          <w:iCs/>
          <w:lang w:val="en-US"/>
        </w:rPr>
        <w:t xml:space="preserve">FirstRand Bank Ltd v </w:t>
      </w:r>
      <w:proofErr w:type="spellStart"/>
      <w:r w:rsidRPr="00EC388D">
        <w:rPr>
          <w:i/>
          <w:iCs/>
          <w:lang w:val="en-US"/>
        </w:rPr>
        <w:t>Maleke</w:t>
      </w:r>
      <w:proofErr w:type="spellEnd"/>
      <w:r w:rsidRPr="00EC388D">
        <w:rPr>
          <w:i/>
          <w:iCs/>
          <w:lang w:val="en-US"/>
        </w:rPr>
        <w:t xml:space="preserve"> and Three Similar Cases </w:t>
      </w:r>
      <w:r>
        <w:rPr>
          <w:lang w:val="en-US"/>
        </w:rPr>
        <w:t>2010 (1) SA 143 (GSJ)</w:t>
      </w:r>
      <w:r w:rsidR="00EC388D">
        <w:rPr>
          <w:lang w:val="en-US"/>
        </w:rPr>
        <w:t xml:space="preserve"> at 159A.</w:t>
      </w:r>
    </w:p>
  </w:footnote>
  <w:footnote w:id="12">
    <w:p w14:paraId="0D6E874C" w14:textId="77777777" w:rsidR="004C658F" w:rsidRDefault="004C658F" w:rsidP="004C658F">
      <w:pPr>
        <w:pStyle w:val="FootnoteText"/>
      </w:pPr>
      <w:r>
        <w:rPr>
          <w:rStyle w:val="FootnoteReference"/>
        </w:rPr>
        <w:footnoteRef/>
      </w:r>
      <w:r>
        <w:t xml:space="preserve"> 10</w:t>
      </w:r>
      <w:r w:rsidRPr="005206B1">
        <w:rPr>
          <w:vertAlign w:val="superscript"/>
        </w:rPr>
        <w:t>th</w:t>
      </w:r>
      <w:r>
        <w:t xml:space="preserve"> Edition, </w:t>
      </w:r>
      <w:proofErr w:type="spellStart"/>
      <w:r>
        <w:t>vol</w:t>
      </w:r>
      <w:proofErr w:type="spellEnd"/>
      <w:r>
        <w:t xml:space="preserve"> 1, Revision Service 27 (2023) at p 140.</w:t>
      </w:r>
    </w:p>
  </w:footnote>
  <w:footnote w:id="13">
    <w:p w14:paraId="5E54E40C" w14:textId="1A0D8F27" w:rsidR="00D06569" w:rsidRPr="00D06569" w:rsidRDefault="00D06569">
      <w:pPr>
        <w:pStyle w:val="FootnoteText"/>
        <w:rPr>
          <w:lang w:val="en-US"/>
        </w:rPr>
      </w:pPr>
      <w:r>
        <w:rPr>
          <w:rStyle w:val="FootnoteReference"/>
        </w:rPr>
        <w:footnoteRef/>
      </w:r>
      <w:r>
        <w:t xml:space="preserve"> </w:t>
      </w:r>
      <w:r w:rsidR="00CE4180">
        <w:rPr>
          <w:lang w:val="en-US"/>
        </w:rPr>
        <w:t>It is section 127(8)(a) that necessarily implies the exclusion of the jurisdiction of the High Court, not section 29(1)(e) of the Magistrates’ Courts Act.</w:t>
      </w:r>
    </w:p>
  </w:footnote>
  <w:footnote w:id="14">
    <w:p w14:paraId="691F0D41" w14:textId="32C928A6" w:rsidR="0051377C" w:rsidRPr="0051377C" w:rsidRDefault="0051377C">
      <w:pPr>
        <w:pStyle w:val="FootnoteText"/>
        <w:rPr>
          <w:lang w:val="en-US"/>
        </w:rPr>
      </w:pPr>
      <w:r>
        <w:rPr>
          <w:rStyle w:val="FootnoteReference"/>
        </w:rPr>
        <w:footnoteRef/>
      </w:r>
      <w:r>
        <w:t xml:space="preserve"> </w:t>
      </w:r>
      <w:r w:rsidRPr="0051377C">
        <w:rPr>
          <w:i/>
          <w:iCs/>
          <w:lang w:val="en-US"/>
        </w:rPr>
        <w:t xml:space="preserve">Standard Bank of South Africa Ltd v </w:t>
      </w:r>
      <w:proofErr w:type="spellStart"/>
      <w:r w:rsidRPr="0051377C">
        <w:rPr>
          <w:i/>
          <w:iCs/>
          <w:lang w:val="en-US"/>
        </w:rPr>
        <w:t>Panayiotts</w:t>
      </w:r>
      <w:proofErr w:type="spellEnd"/>
      <w:r>
        <w:rPr>
          <w:lang w:val="en-US"/>
        </w:rPr>
        <w:t xml:space="preserve"> 2009 (3) SA 363 (W) at para 15, in discussing section 86(7)(c) of the NCA, which refers to ‘the Magistrates’ Court’ rather than to ‘the court’.</w:t>
      </w:r>
    </w:p>
  </w:footnote>
  <w:footnote w:id="15">
    <w:p w14:paraId="72B665D3" w14:textId="488CE616" w:rsidR="001C2E0B" w:rsidRPr="001C2E0B" w:rsidRDefault="001C2E0B">
      <w:pPr>
        <w:pStyle w:val="FootnoteText"/>
        <w:rPr>
          <w:lang w:val="en-US"/>
        </w:rPr>
      </w:pPr>
      <w:r>
        <w:rPr>
          <w:rStyle w:val="FootnoteReference"/>
        </w:rPr>
        <w:footnoteRef/>
      </w:r>
      <w:r>
        <w:t xml:space="preserve"> </w:t>
      </w:r>
      <w:r>
        <w:rPr>
          <w:lang w:val="en-US"/>
        </w:rPr>
        <w:t xml:space="preserve">See paragraph 75.6 of </w:t>
      </w:r>
      <w:proofErr w:type="spellStart"/>
      <w:r w:rsidRPr="001C2E0B">
        <w:rPr>
          <w:i/>
          <w:iCs/>
          <w:lang w:val="en-US"/>
        </w:rPr>
        <w:t>Gqirana</w:t>
      </w:r>
      <w:proofErr w:type="spellEnd"/>
      <w:r>
        <w:rPr>
          <w:lang w:val="en-US"/>
        </w:rPr>
        <w:t xml:space="preserve">, described as the nub of the finding of the full court in paragraph 67 of </w:t>
      </w:r>
      <w:proofErr w:type="spellStart"/>
      <w:r w:rsidRPr="001C2E0B">
        <w:rPr>
          <w:i/>
          <w:iCs/>
          <w:lang w:val="en-US"/>
        </w:rPr>
        <w:t>Mpongo</w:t>
      </w:r>
      <w:proofErr w:type="spellEnd"/>
      <w:r>
        <w:rPr>
          <w:lang w:val="en-US"/>
        </w:rPr>
        <w:t>.</w:t>
      </w:r>
    </w:p>
  </w:footnote>
  <w:footnote w:id="16">
    <w:p w14:paraId="3DF457B0" w14:textId="773C61E3" w:rsidR="001462C7" w:rsidRPr="001462C7" w:rsidRDefault="001462C7">
      <w:pPr>
        <w:pStyle w:val="FootnoteText"/>
        <w:rPr>
          <w:lang w:val="en-US"/>
        </w:rPr>
      </w:pPr>
      <w:r>
        <w:rPr>
          <w:rStyle w:val="FootnoteReference"/>
        </w:rPr>
        <w:footnoteRef/>
      </w:r>
      <w:r>
        <w:t xml:space="preserve"> </w:t>
      </w:r>
      <w:r w:rsidR="00ED08B1">
        <w:rPr>
          <w:rFonts w:cs="Arial"/>
          <w:szCs w:val="18"/>
        </w:rPr>
        <w:t>In</w:t>
      </w:r>
      <w:r w:rsidR="00ED08B1" w:rsidRPr="00ED08B1">
        <w:rPr>
          <w:rFonts w:cs="Arial"/>
          <w:szCs w:val="18"/>
        </w:rPr>
        <w:t xml:space="preserve"> contrast to what Bertelsmann J held in </w:t>
      </w:r>
      <w:proofErr w:type="spellStart"/>
      <w:r w:rsidR="00ED08B1" w:rsidRPr="00ED08B1">
        <w:rPr>
          <w:rFonts w:cs="Arial"/>
          <w:i/>
          <w:iCs/>
          <w:szCs w:val="18"/>
        </w:rPr>
        <w:t>Myburgh</w:t>
      </w:r>
      <w:proofErr w:type="spellEnd"/>
      <w:r w:rsidR="00ED08B1" w:rsidRPr="00ED08B1">
        <w:rPr>
          <w:szCs w:val="18"/>
          <w:lang w:val="en-US"/>
        </w:rPr>
        <w:t>,</w:t>
      </w:r>
      <w:r w:rsidR="00ED08B1">
        <w:rPr>
          <w:lang w:val="en-US"/>
        </w:rPr>
        <w:t xml:space="preserve"> s</w:t>
      </w:r>
      <w:r>
        <w:rPr>
          <w:lang w:val="en-US"/>
        </w:rPr>
        <w:t>uch as in paragraph 51.</w:t>
      </w:r>
    </w:p>
  </w:footnote>
  <w:footnote w:id="17">
    <w:p w14:paraId="3028F42B" w14:textId="7A449B41" w:rsidR="000F178E" w:rsidRPr="000F178E" w:rsidRDefault="000F178E">
      <w:pPr>
        <w:pStyle w:val="FootnoteText"/>
        <w:rPr>
          <w:lang w:val="en-US"/>
        </w:rPr>
      </w:pPr>
      <w:r>
        <w:rPr>
          <w:rStyle w:val="FootnoteReference"/>
        </w:rPr>
        <w:footnoteRef/>
      </w:r>
      <w:r>
        <w:t xml:space="preserve"> </w:t>
      </w:r>
      <w:r>
        <w:rPr>
          <w:lang w:val="en-US"/>
        </w:rPr>
        <w:t>Above, at p845.</w:t>
      </w:r>
    </w:p>
  </w:footnote>
  <w:footnote w:id="18">
    <w:p w14:paraId="64E7B69B" w14:textId="289607E1" w:rsidR="0061617F" w:rsidRPr="0061617F" w:rsidRDefault="0061617F">
      <w:pPr>
        <w:pStyle w:val="FootnoteText"/>
        <w:rPr>
          <w:lang w:val="en-US"/>
        </w:rPr>
      </w:pPr>
      <w:r>
        <w:rPr>
          <w:rStyle w:val="FootnoteReference"/>
        </w:rPr>
        <w:footnoteRef/>
      </w:r>
      <w:r>
        <w:t xml:space="preserve"> </w:t>
      </w:r>
      <w:r>
        <w:rPr>
          <w:lang w:val="en-US"/>
        </w:rPr>
        <w:t xml:space="preserve">To dismiss the applications, as would be to grant the applications, is appropriate where a court has jurisdiction: </w:t>
      </w:r>
      <w:proofErr w:type="spellStart"/>
      <w:r w:rsidRPr="0061617F">
        <w:rPr>
          <w:i/>
          <w:iCs/>
          <w:lang w:val="en-US"/>
        </w:rPr>
        <w:t>Mateman</w:t>
      </w:r>
      <w:proofErr w:type="spellEnd"/>
      <w:r w:rsidRPr="0061617F">
        <w:rPr>
          <w:i/>
          <w:iCs/>
          <w:lang w:val="en-US"/>
        </w:rPr>
        <w:t xml:space="preserve"> </w:t>
      </w:r>
      <w:r>
        <w:rPr>
          <w:lang w:val="en-US"/>
        </w:rPr>
        <w:t>at 286A.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4953425F"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F8291A">
          <w:rPr>
            <w:rFonts w:ascii="Arial" w:hAnsi="Arial" w:cs="Arial"/>
            <w:noProof/>
            <w:sz w:val="24"/>
            <w:szCs w:val="24"/>
          </w:rPr>
          <w:t>21</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1F86344"/>
    <w:multiLevelType w:val="hybridMultilevel"/>
    <w:tmpl w:val="8C46CE44"/>
    <w:lvl w:ilvl="0" w:tplc="19CC2F14">
      <w:start w:val="1"/>
      <w:numFmt w:val="lowerLetter"/>
      <w:lvlText w:val="(%1)"/>
      <w:lvlJc w:val="left"/>
      <w:pPr>
        <w:ind w:left="2486" w:hanging="360"/>
      </w:pPr>
      <w:rPr>
        <w:rFonts w:hint="default"/>
      </w:rPr>
    </w:lvl>
    <w:lvl w:ilvl="1" w:tplc="1C090019" w:tentative="1">
      <w:start w:val="1"/>
      <w:numFmt w:val="lowerLetter"/>
      <w:lvlText w:val="%2."/>
      <w:lvlJc w:val="left"/>
      <w:pPr>
        <w:ind w:left="3206" w:hanging="360"/>
      </w:pPr>
    </w:lvl>
    <w:lvl w:ilvl="2" w:tplc="1C09001B" w:tentative="1">
      <w:start w:val="1"/>
      <w:numFmt w:val="lowerRoman"/>
      <w:lvlText w:val="%3."/>
      <w:lvlJc w:val="right"/>
      <w:pPr>
        <w:ind w:left="3926" w:hanging="180"/>
      </w:pPr>
    </w:lvl>
    <w:lvl w:ilvl="3" w:tplc="1C09000F" w:tentative="1">
      <w:start w:val="1"/>
      <w:numFmt w:val="decimal"/>
      <w:lvlText w:val="%4."/>
      <w:lvlJc w:val="left"/>
      <w:pPr>
        <w:ind w:left="4646" w:hanging="360"/>
      </w:pPr>
    </w:lvl>
    <w:lvl w:ilvl="4" w:tplc="1C090019" w:tentative="1">
      <w:start w:val="1"/>
      <w:numFmt w:val="lowerLetter"/>
      <w:lvlText w:val="%5."/>
      <w:lvlJc w:val="left"/>
      <w:pPr>
        <w:ind w:left="5366" w:hanging="360"/>
      </w:pPr>
    </w:lvl>
    <w:lvl w:ilvl="5" w:tplc="1C09001B" w:tentative="1">
      <w:start w:val="1"/>
      <w:numFmt w:val="lowerRoman"/>
      <w:lvlText w:val="%6."/>
      <w:lvlJc w:val="right"/>
      <w:pPr>
        <w:ind w:left="6086" w:hanging="180"/>
      </w:pPr>
    </w:lvl>
    <w:lvl w:ilvl="6" w:tplc="1C09000F" w:tentative="1">
      <w:start w:val="1"/>
      <w:numFmt w:val="decimal"/>
      <w:lvlText w:val="%7."/>
      <w:lvlJc w:val="left"/>
      <w:pPr>
        <w:ind w:left="6806" w:hanging="360"/>
      </w:pPr>
    </w:lvl>
    <w:lvl w:ilvl="7" w:tplc="1C090019" w:tentative="1">
      <w:start w:val="1"/>
      <w:numFmt w:val="lowerLetter"/>
      <w:lvlText w:val="%8."/>
      <w:lvlJc w:val="left"/>
      <w:pPr>
        <w:ind w:left="7526" w:hanging="360"/>
      </w:pPr>
    </w:lvl>
    <w:lvl w:ilvl="8" w:tplc="1C09001B" w:tentative="1">
      <w:start w:val="1"/>
      <w:numFmt w:val="lowerRoman"/>
      <w:lvlText w:val="%9."/>
      <w:lvlJc w:val="right"/>
      <w:pPr>
        <w:ind w:left="8246" w:hanging="180"/>
      </w:pPr>
    </w:lvl>
  </w:abstractNum>
  <w:abstractNum w:abstractNumId="16"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8"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2E4F05"/>
    <w:multiLevelType w:val="hybridMultilevel"/>
    <w:tmpl w:val="5EA6757A"/>
    <w:lvl w:ilvl="0" w:tplc="7FBA8B6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2"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6" w15:restartNumberingAfterBreak="0">
    <w:nsid w:val="47F13AE5"/>
    <w:multiLevelType w:val="hybridMultilevel"/>
    <w:tmpl w:val="84761338"/>
    <w:lvl w:ilvl="0" w:tplc="C334214A">
      <w:start w:val="1"/>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7"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8"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9" w15:restartNumberingAfterBreak="0">
    <w:nsid w:val="536349A0"/>
    <w:multiLevelType w:val="hybridMultilevel"/>
    <w:tmpl w:val="155E2D86"/>
    <w:lvl w:ilvl="0" w:tplc="930A84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33"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4"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7"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0" w15:restartNumberingAfterBreak="0">
    <w:nsid w:val="727E09A7"/>
    <w:multiLevelType w:val="hybridMultilevel"/>
    <w:tmpl w:val="62C471CC"/>
    <w:lvl w:ilvl="0" w:tplc="1AF44D9A">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35"/>
  </w:num>
  <w:num w:numId="3">
    <w:abstractNumId w:val="7"/>
  </w:num>
  <w:num w:numId="4">
    <w:abstractNumId w:val="4"/>
  </w:num>
  <w:num w:numId="5">
    <w:abstractNumId w:val="3"/>
  </w:num>
  <w:num w:numId="6">
    <w:abstractNumId w:val="31"/>
  </w:num>
  <w:num w:numId="7">
    <w:abstractNumId w:val="27"/>
  </w:num>
  <w:num w:numId="8">
    <w:abstractNumId w:val="30"/>
  </w:num>
  <w:num w:numId="9">
    <w:abstractNumId w:val="10"/>
  </w:num>
  <w:num w:numId="10">
    <w:abstractNumId w:val="19"/>
  </w:num>
  <w:num w:numId="11">
    <w:abstractNumId w:val="17"/>
  </w:num>
  <w:num w:numId="12">
    <w:abstractNumId w:val="6"/>
  </w:num>
  <w:num w:numId="13">
    <w:abstractNumId w:val="5"/>
  </w:num>
  <w:num w:numId="14">
    <w:abstractNumId w:val="28"/>
  </w:num>
  <w:num w:numId="15">
    <w:abstractNumId w:val="1"/>
  </w:num>
  <w:num w:numId="16">
    <w:abstractNumId w:val="12"/>
  </w:num>
  <w:num w:numId="17">
    <w:abstractNumId w:val="20"/>
  </w:num>
  <w:num w:numId="18">
    <w:abstractNumId w:val="8"/>
  </w:num>
  <w:num w:numId="19">
    <w:abstractNumId w:val="23"/>
  </w:num>
  <w:num w:numId="20">
    <w:abstractNumId w:val="24"/>
  </w:num>
  <w:num w:numId="21">
    <w:abstractNumId w:val="11"/>
  </w:num>
  <w:num w:numId="22">
    <w:abstractNumId w:val="0"/>
  </w:num>
  <w:num w:numId="23">
    <w:abstractNumId w:val="33"/>
  </w:num>
  <w:num w:numId="24">
    <w:abstractNumId w:val="13"/>
  </w:num>
  <w:num w:numId="25">
    <w:abstractNumId w:val="9"/>
  </w:num>
  <w:num w:numId="26">
    <w:abstractNumId w:val="37"/>
  </w:num>
  <w:num w:numId="27">
    <w:abstractNumId w:val="38"/>
  </w:num>
  <w:num w:numId="28">
    <w:abstractNumId w:val="1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6"/>
  </w:num>
  <w:num w:numId="35">
    <w:abstractNumId w:val="34"/>
  </w:num>
  <w:num w:numId="36">
    <w:abstractNumId w:val="22"/>
  </w:num>
  <w:num w:numId="37">
    <w:abstractNumId w:val="39"/>
  </w:num>
  <w:num w:numId="38">
    <w:abstractNumId w:val="29"/>
  </w:num>
  <w:num w:numId="39">
    <w:abstractNumId w:val="40"/>
  </w:num>
  <w:num w:numId="40">
    <w:abstractNumId w:val="26"/>
  </w:num>
  <w:num w:numId="41">
    <w:abstractNumId w:val="2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Q0N7Q0s7A0NTA0MTdR0lEKTi0uzszPAykwrAUAAwjGZywAAAA="/>
  </w:docVars>
  <w:rsids>
    <w:rsidRoot w:val="00AD5454"/>
    <w:rsid w:val="00000225"/>
    <w:rsid w:val="00001340"/>
    <w:rsid w:val="00002D4E"/>
    <w:rsid w:val="000051DB"/>
    <w:rsid w:val="000057A7"/>
    <w:rsid w:val="0000635F"/>
    <w:rsid w:val="00006C88"/>
    <w:rsid w:val="00007149"/>
    <w:rsid w:val="000103C5"/>
    <w:rsid w:val="00012717"/>
    <w:rsid w:val="00012E4A"/>
    <w:rsid w:val="00013614"/>
    <w:rsid w:val="00014EC0"/>
    <w:rsid w:val="000162A6"/>
    <w:rsid w:val="000167EF"/>
    <w:rsid w:val="000171C5"/>
    <w:rsid w:val="00020E27"/>
    <w:rsid w:val="00020F18"/>
    <w:rsid w:val="000247CF"/>
    <w:rsid w:val="000248AB"/>
    <w:rsid w:val="00024978"/>
    <w:rsid w:val="000249CF"/>
    <w:rsid w:val="00024AF6"/>
    <w:rsid w:val="0002506C"/>
    <w:rsid w:val="00026A27"/>
    <w:rsid w:val="00027164"/>
    <w:rsid w:val="000277C2"/>
    <w:rsid w:val="0003036A"/>
    <w:rsid w:val="00031012"/>
    <w:rsid w:val="00033361"/>
    <w:rsid w:val="00033D1D"/>
    <w:rsid w:val="00034FA8"/>
    <w:rsid w:val="000354D4"/>
    <w:rsid w:val="00035F31"/>
    <w:rsid w:val="00036130"/>
    <w:rsid w:val="000362DB"/>
    <w:rsid w:val="00037059"/>
    <w:rsid w:val="00037E60"/>
    <w:rsid w:val="00041C82"/>
    <w:rsid w:val="00041E3B"/>
    <w:rsid w:val="00042A5C"/>
    <w:rsid w:val="00043835"/>
    <w:rsid w:val="00045449"/>
    <w:rsid w:val="000464A3"/>
    <w:rsid w:val="000479E6"/>
    <w:rsid w:val="00047CFE"/>
    <w:rsid w:val="0005047F"/>
    <w:rsid w:val="000504F9"/>
    <w:rsid w:val="0005318E"/>
    <w:rsid w:val="00053384"/>
    <w:rsid w:val="00053B61"/>
    <w:rsid w:val="00055E5A"/>
    <w:rsid w:val="000561D6"/>
    <w:rsid w:val="000562B4"/>
    <w:rsid w:val="00060019"/>
    <w:rsid w:val="00060214"/>
    <w:rsid w:val="00061700"/>
    <w:rsid w:val="0006183F"/>
    <w:rsid w:val="00061B03"/>
    <w:rsid w:val="00063AA1"/>
    <w:rsid w:val="00063F04"/>
    <w:rsid w:val="000649C7"/>
    <w:rsid w:val="00064BDC"/>
    <w:rsid w:val="0006503E"/>
    <w:rsid w:val="00066198"/>
    <w:rsid w:val="0006799E"/>
    <w:rsid w:val="00067B35"/>
    <w:rsid w:val="0007068F"/>
    <w:rsid w:val="00072827"/>
    <w:rsid w:val="0007355B"/>
    <w:rsid w:val="000751AA"/>
    <w:rsid w:val="00076604"/>
    <w:rsid w:val="00076A81"/>
    <w:rsid w:val="00077882"/>
    <w:rsid w:val="00080096"/>
    <w:rsid w:val="00080BE4"/>
    <w:rsid w:val="00081E44"/>
    <w:rsid w:val="0008244B"/>
    <w:rsid w:val="00083284"/>
    <w:rsid w:val="00083F1D"/>
    <w:rsid w:val="00084FF7"/>
    <w:rsid w:val="00085BA2"/>
    <w:rsid w:val="00085BBD"/>
    <w:rsid w:val="00086297"/>
    <w:rsid w:val="00086C80"/>
    <w:rsid w:val="000877FD"/>
    <w:rsid w:val="000900BB"/>
    <w:rsid w:val="00091058"/>
    <w:rsid w:val="000917ED"/>
    <w:rsid w:val="000936BB"/>
    <w:rsid w:val="00093EF0"/>
    <w:rsid w:val="00094A84"/>
    <w:rsid w:val="00095889"/>
    <w:rsid w:val="0009634D"/>
    <w:rsid w:val="00096794"/>
    <w:rsid w:val="00096809"/>
    <w:rsid w:val="000A0821"/>
    <w:rsid w:val="000A1CD3"/>
    <w:rsid w:val="000A2AA3"/>
    <w:rsid w:val="000A4179"/>
    <w:rsid w:val="000A50C4"/>
    <w:rsid w:val="000A6DC5"/>
    <w:rsid w:val="000A6F5E"/>
    <w:rsid w:val="000A79CA"/>
    <w:rsid w:val="000B091F"/>
    <w:rsid w:val="000B0C34"/>
    <w:rsid w:val="000B1213"/>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19DE"/>
    <w:rsid w:val="000D1A25"/>
    <w:rsid w:val="000D3205"/>
    <w:rsid w:val="000D52CD"/>
    <w:rsid w:val="000D5DF2"/>
    <w:rsid w:val="000D63DB"/>
    <w:rsid w:val="000D7379"/>
    <w:rsid w:val="000D77E5"/>
    <w:rsid w:val="000E071E"/>
    <w:rsid w:val="000E211A"/>
    <w:rsid w:val="000E2600"/>
    <w:rsid w:val="000E2703"/>
    <w:rsid w:val="000E48A4"/>
    <w:rsid w:val="000E55B0"/>
    <w:rsid w:val="000F0DFC"/>
    <w:rsid w:val="000F14E8"/>
    <w:rsid w:val="000F15DF"/>
    <w:rsid w:val="000F178E"/>
    <w:rsid w:val="000F256A"/>
    <w:rsid w:val="000F2A50"/>
    <w:rsid w:val="000F3502"/>
    <w:rsid w:val="000F36EC"/>
    <w:rsid w:val="000F3A7A"/>
    <w:rsid w:val="000F4342"/>
    <w:rsid w:val="000F5B4D"/>
    <w:rsid w:val="000F5FFD"/>
    <w:rsid w:val="000F6A7B"/>
    <w:rsid w:val="000F6DFE"/>
    <w:rsid w:val="001029E5"/>
    <w:rsid w:val="00106019"/>
    <w:rsid w:val="001060E7"/>
    <w:rsid w:val="001067C5"/>
    <w:rsid w:val="001117FE"/>
    <w:rsid w:val="00111CC2"/>
    <w:rsid w:val="00111E44"/>
    <w:rsid w:val="00112075"/>
    <w:rsid w:val="001154E5"/>
    <w:rsid w:val="001156A9"/>
    <w:rsid w:val="00115E80"/>
    <w:rsid w:val="00116270"/>
    <w:rsid w:val="001165AC"/>
    <w:rsid w:val="00116DCF"/>
    <w:rsid w:val="001227DD"/>
    <w:rsid w:val="001228DB"/>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48E"/>
    <w:rsid w:val="001416B2"/>
    <w:rsid w:val="001418DD"/>
    <w:rsid w:val="001431E6"/>
    <w:rsid w:val="001461D1"/>
    <w:rsid w:val="001462C7"/>
    <w:rsid w:val="00146A5B"/>
    <w:rsid w:val="00147533"/>
    <w:rsid w:val="00150144"/>
    <w:rsid w:val="00150160"/>
    <w:rsid w:val="001516F3"/>
    <w:rsid w:val="00151ACB"/>
    <w:rsid w:val="00152D75"/>
    <w:rsid w:val="001547D7"/>
    <w:rsid w:val="00154935"/>
    <w:rsid w:val="001552D5"/>
    <w:rsid w:val="001557C1"/>
    <w:rsid w:val="001562E9"/>
    <w:rsid w:val="00156D6D"/>
    <w:rsid w:val="00162123"/>
    <w:rsid w:val="00163206"/>
    <w:rsid w:val="00163356"/>
    <w:rsid w:val="00164305"/>
    <w:rsid w:val="00164461"/>
    <w:rsid w:val="0016490E"/>
    <w:rsid w:val="0016642E"/>
    <w:rsid w:val="00166769"/>
    <w:rsid w:val="001673C5"/>
    <w:rsid w:val="00171524"/>
    <w:rsid w:val="00172B81"/>
    <w:rsid w:val="0017300D"/>
    <w:rsid w:val="00173946"/>
    <w:rsid w:val="00174C2B"/>
    <w:rsid w:val="00180265"/>
    <w:rsid w:val="001802CA"/>
    <w:rsid w:val="00180D04"/>
    <w:rsid w:val="00181193"/>
    <w:rsid w:val="0018146D"/>
    <w:rsid w:val="00182C8F"/>
    <w:rsid w:val="00183059"/>
    <w:rsid w:val="00184211"/>
    <w:rsid w:val="00184688"/>
    <w:rsid w:val="00186E3C"/>
    <w:rsid w:val="001876CC"/>
    <w:rsid w:val="00187CFC"/>
    <w:rsid w:val="00187D0F"/>
    <w:rsid w:val="00187E09"/>
    <w:rsid w:val="0019071D"/>
    <w:rsid w:val="00190EB7"/>
    <w:rsid w:val="00191A86"/>
    <w:rsid w:val="0019512E"/>
    <w:rsid w:val="00195163"/>
    <w:rsid w:val="001A0515"/>
    <w:rsid w:val="001A068E"/>
    <w:rsid w:val="001A09B6"/>
    <w:rsid w:val="001A0A03"/>
    <w:rsid w:val="001A0CE5"/>
    <w:rsid w:val="001A15B5"/>
    <w:rsid w:val="001A1F7F"/>
    <w:rsid w:val="001A2CBE"/>
    <w:rsid w:val="001A321E"/>
    <w:rsid w:val="001A3C9E"/>
    <w:rsid w:val="001A4CD5"/>
    <w:rsid w:val="001A597B"/>
    <w:rsid w:val="001A6086"/>
    <w:rsid w:val="001A69AE"/>
    <w:rsid w:val="001A6F44"/>
    <w:rsid w:val="001A77F5"/>
    <w:rsid w:val="001A7806"/>
    <w:rsid w:val="001B25F3"/>
    <w:rsid w:val="001B3E48"/>
    <w:rsid w:val="001B4019"/>
    <w:rsid w:val="001B4444"/>
    <w:rsid w:val="001B5C0E"/>
    <w:rsid w:val="001B689E"/>
    <w:rsid w:val="001B716F"/>
    <w:rsid w:val="001B7585"/>
    <w:rsid w:val="001C0231"/>
    <w:rsid w:val="001C10F3"/>
    <w:rsid w:val="001C1219"/>
    <w:rsid w:val="001C2DDC"/>
    <w:rsid w:val="001C2E0B"/>
    <w:rsid w:val="001C68F0"/>
    <w:rsid w:val="001C6B80"/>
    <w:rsid w:val="001C78FE"/>
    <w:rsid w:val="001D3843"/>
    <w:rsid w:val="001D60E9"/>
    <w:rsid w:val="001D7E2D"/>
    <w:rsid w:val="001E10AD"/>
    <w:rsid w:val="001E14CB"/>
    <w:rsid w:val="001E3216"/>
    <w:rsid w:val="001E3EC9"/>
    <w:rsid w:val="001E4892"/>
    <w:rsid w:val="001E4D02"/>
    <w:rsid w:val="001E4DEF"/>
    <w:rsid w:val="001E564E"/>
    <w:rsid w:val="001E77F0"/>
    <w:rsid w:val="001E7BF2"/>
    <w:rsid w:val="001E7DE7"/>
    <w:rsid w:val="001F0ABA"/>
    <w:rsid w:val="001F0F71"/>
    <w:rsid w:val="001F17A7"/>
    <w:rsid w:val="001F1C4F"/>
    <w:rsid w:val="001F3B24"/>
    <w:rsid w:val="001F76ED"/>
    <w:rsid w:val="00200446"/>
    <w:rsid w:val="00200953"/>
    <w:rsid w:val="002054DD"/>
    <w:rsid w:val="00205BF4"/>
    <w:rsid w:val="00206729"/>
    <w:rsid w:val="002069ED"/>
    <w:rsid w:val="00207DFA"/>
    <w:rsid w:val="00210292"/>
    <w:rsid w:val="00210463"/>
    <w:rsid w:val="00210C28"/>
    <w:rsid w:val="0021129B"/>
    <w:rsid w:val="002130D1"/>
    <w:rsid w:val="002139D3"/>
    <w:rsid w:val="00213D81"/>
    <w:rsid w:val="00213DE3"/>
    <w:rsid w:val="002204C4"/>
    <w:rsid w:val="00221A4B"/>
    <w:rsid w:val="00222CCA"/>
    <w:rsid w:val="00222D58"/>
    <w:rsid w:val="00230586"/>
    <w:rsid w:val="00230763"/>
    <w:rsid w:val="00232619"/>
    <w:rsid w:val="002336F6"/>
    <w:rsid w:val="00233DCE"/>
    <w:rsid w:val="00234539"/>
    <w:rsid w:val="00235E10"/>
    <w:rsid w:val="00236C9B"/>
    <w:rsid w:val="00237C41"/>
    <w:rsid w:val="002401BC"/>
    <w:rsid w:val="002409BA"/>
    <w:rsid w:val="00240C7D"/>
    <w:rsid w:val="00241A9F"/>
    <w:rsid w:val="00242A4F"/>
    <w:rsid w:val="002437C0"/>
    <w:rsid w:val="00243F04"/>
    <w:rsid w:val="00244079"/>
    <w:rsid w:val="00244D2E"/>
    <w:rsid w:val="00244F2C"/>
    <w:rsid w:val="002462DC"/>
    <w:rsid w:val="002463EA"/>
    <w:rsid w:val="00246F85"/>
    <w:rsid w:val="00247B8B"/>
    <w:rsid w:val="00250054"/>
    <w:rsid w:val="00252472"/>
    <w:rsid w:val="00252C5D"/>
    <w:rsid w:val="00253805"/>
    <w:rsid w:val="002603E8"/>
    <w:rsid w:val="002605B6"/>
    <w:rsid w:val="002607C6"/>
    <w:rsid w:val="00260FB6"/>
    <w:rsid w:val="00261CA5"/>
    <w:rsid w:val="0026217C"/>
    <w:rsid w:val="002628C1"/>
    <w:rsid w:val="00263366"/>
    <w:rsid w:val="0026721F"/>
    <w:rsid w:val="002719AA"/>
    <w:rsid w:val="00271DC9"/>
    <w:rsid w:val="0027204F"/>
    <w:rsid w:val="00272CD0"/>
    <w:rsid w:val="00274906"/>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4000"/>
    <w:rsid w:val="00294727"/>
    <w:rsid w:val="00295816"/>
    <w:rsid w:val="00295F96"/>
    <w:rsid w:val="00296150"/>
    <w:rsid w:val="0029781E"/>
    <w:rsid w:val="00297CC2"/>
    <w:rsid w:val="002A1EA7"/>
    <w:rsid w:val="002A378E"/>
    <w:rsid w:val="002A3E42"/>
    <w:rsid w:val="002A649E"/>
    <w:rsid w:val="002A7325"/>
    <w:rsid w:val="002B0661"/>
    <w:rsid w:val="002B08CA"/>
    <w:rsid w:val="002B281D"/>
    <w:rsid w:val="002B297A"/>
    <w:rsid w:val="002B4EF1"/>
    <w:rsid w:val="002B526B"/>
    <w:rsid w:val="002B5CBD"/>
    <w:rsid w:val="002B5EAB"/>
    <w:rsid w:val="002B61C0"/>
    <w:rsid w:val="002C2AF6"/>
    <w:rsid w:val="002C383C"/>
    <w:rsid w:val="002C3E13"/>
    <w:rsid w:val="002C668E"/>
    <w:rsid w:val="002C7673"/>
    <w:rsid w:val="002D0198"/>
    <w:rsid w:val="002D0284"/>
    <w:rsid w:val="002D0786"/>
    <w:rsid w:val="002D0D22"/>
    <w:rsid w:val="002D188C"/>
    <w:rsid w:val="002D2351"/>
    <w:rsid w:val="002D2FF7"/>
    <w:rsid w:val="002D40AE"/>
    <w:rsid w:val="002D466A"/>
    <w:rsid w:val="002D4BBB"/>
    <w:rsid w:val="002D5424"/>
    <w:rsid w:val="002D6C4B"/>
    <w:rsid w:val="002E0938"/>
    <w:rsid w:val="002E0DB5"/>
    <w:rsid w:val="002E1433"/>
    <w:rsid w:val="002E2399"/>
    <w:rsid w:val="002E64AD"/>
    <w:rsid w:val="002F0645"/>
    <w:rsid w:val="002F1231"/>
    <w:rsid w:val="002F1A28"/>
    <w:rsid w:val="002F220C"/>
    <w:rsid w:val="002F2EF3"/>
    <w:rsid w:val="002F40FC"/>
    <w:rsid w:val="002F45A0"/>
    <w:rsid w:val="002F5BD0"/>
    <w:rsid w:val="002F6105"/>
    <w:rsid w:val="002F6E56"/>
    <w:rsid w:val="003004E4"/>
    <w:rsid w:val="00300779"/>
    <w:rsid w:val="00300CAF"/>
    <w:rsid w:val="0030254B"/>
    <w:rsid w:val="00303C6D"/>
    <w:rsid w:val="0030448F"/>
    <w:rsid w:val="00305E4B"/>
    <w:rsid w:val="00306063"/>
    <w:rsid w:val="00310D49"/>
    <w:rsid w:val="00312030"/>
    <w:rsid w:val="003122D4"/>
    <w:rsid w:val="003142ED"/>
    <w:rsid w:val="00314333"/>
    <w:rsid w:val="0031568E"/>
    <w:rsid w:val="003169D3"/>
    <w:rsid w:val="00316CA2"/>
    <w:rsid w:val="0031727B"/>
    <w:rsid w:val="00317E95"/>
    <w:rsid w:val="003202CE"/>
    <w:rsid w:val="00320BF1"/>
    <w:rsid w:val="00320DDF"/>
    <w:rsid w:val="0032183F"/>
    <w:rsid w:val="00321A8F"/>
    <w:rsid w:val="00321B45"/>
    <w:rsid w:val="00322954"/>
    <w:rsid w:val="00323919"/>
    <w:rsid w:val="00323D21"/>
    <w:rsid w:val="003244BE"/>
    <w:rsid w:val="00326E21"/>
    <w:rsid w:val="00326E3E"/>
    <w:rsid w:val="00327206"/>
    <w:rsid w:val="003279FB"/>
    <w:rsid w:val="00327A45"/>
    <w:rsid w:val="003316C7"/>
    <w:rsid w:val="00332CBB"/>
    <w:rsid w:val="00333867"/>
    <w:rsid w:val="0033659F"/>
    <w:rsid w:val="0034040A"/>
    <w:rsid w:val="003414D9"/>
    <w:rsid w:val="00341AD3"/>
    <w:rsid w:val="0034492F"/>
    <w:rsid w:val="003456A6"/>
    <w:rsid w:val="00345C56"/>
    <w:rsid w:val="00346536"/>
    <w:rsid w:val="00346E1B"/>
    <w:rsid w:val="00347FB2"/>
    <w:rsid w:val="00351132"/>
    <w:rsid w:val="00351F20"/>
    <w:rsid w:val="00352518"/>
    <w:rsid w:val="00352F05"/>
    <w:rsid w:val="0035300F"/>
    <w:rsid w:val="00353D02"/>
    <w:rsid w:val="00354BBF"/>
    <w:rsid w:val="003557C0"/>
    <w:rsid w:val="003574F0"/>
    <w:rsid w:val="00360034"/>
    <w:rsid w:val="00362D6D"/>
    <w:rsid w:val="00362F36"/>
    <w:rsid w:val="00370D9D"/>
    <w:rsid w:val="00372A21"/>
    <w:rsid w:val="0037479C"/>
    <w:rsid w:val="0037596F"/>
    <w:rsid w:val="00375F03"/>
    <w:rsid w:val="003769F9"/>
    <w:rsid w:val="00376F5E"/>
    <w:rsid w:val="00377A1A"/>
    <w:rsid w:val="00377FBF"/>
    <w:rsid w:val="00380A0F"/>
    <w:rsid w:val="003834F6"/>
    <w:rsid w:val="0038351A"/>
    <w:rsid w:val="00383ACA"/>
    <w:rsid w:val="00383B36"/>
    <w:rsid w:val="00385CF6"/>
    <w:rsid w:val="00386B59"/>
    <w:rsid w:val="003872D3"/>
    <w:rsid w:val="003876CA"/>
    <w:rsid w:val="00387C6F"/>
    <w:rsid w:val="00387FF5"/>
    <w:rsid w:val="0039140A"/>
    <w:rsid w:val="00392A75"/>
    <w:rsid w:val="003945E8"/>
    <w:rsid w:val="003A21BD"/>
    <w:rsid w:val="003A2AF5"/>
    <w:rsid w:val="003A3BD2"/>
    <w:rsid w:val="003A3D15"/>
    <w:rsid w:val="003A4524"/>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5540"/>
    <w:rsid w:val="003C766D"/>
    <w:rsid w:val="003C7883"/>
    <w:rsid w:val="003D0064"/>
    <w:rsid w:val="003D1340"/>
    <w:rsid w:val="003D1356"/>
    <w:rsid w:val="003D1565"/>
    <w:rsid w:val="003D2A10"/>
    <w:rsid w:val="003D500A"/>
    <w:rsid w:val="003D5268"/>
    <w:rsid w:val="003D57DA"/>
    <w:rsid w:val="003D5F3C"/>
    <w:rsid w:val="003D6DA6"/>
    <w:rsid w:val="003E01A4"/>
    <w:rsid w:val="003E0505"/>
    <w:rsid w:val="003E2220"/>
    <w:rsid w:val="003E4447"/>
    <w:rsid w:val="003E450C"/>
    <w:rsid w:val="003E4E08"/>
    <w:rsid w:val="003E51E4"/>
    <w:rsid w:val="003E520A"/>
    <w:rsid w:val="003E561F"/>
    <w:rsid w:val="003E66F6"/>
    <w:rsid w:val="003E6F56"/>
    <w:rsid w:val="003E7A0D"/>
    <w:rsid w:val="003F02DB"/>
    <w:rsid w:val="003F0DB3"/>
    <w:rsid w:val="003F28FA"/>
    <w:rsid w:val="003F2C91"/>
    <w:rsid w:val="003F7365"/>
    <w:rsid w:val="004008DC"/>
    <w:rsid w:val="00401B2F"/>
    <w:rsid w:val="00401FEB"/>
    <w:rsid w:val="0040381A"/>
    <w:rsid w:val="00405135"/>
    <w:rsid w:val="00407066"/>
    <w:rsid w:val="0041153E"/>
    <w:rsid w:val="0041162D"/>
    <w:rsid w:val="00411E25"/>
    <w:rsid w:val="00413660"/>
    <w:rsid w:val="00413AFE"/>
    <w:rsid w:val="00413BC2"/>
    <w:rsid w:val="0041465A"/>
    <w:rsid w:val="00417477"/>
    <w:rsid w:val="00421950"/>
    <w:rsid w:val="00421D5A"/>
    <w:rsid w:val="00421E09"/>
    <w:rsid w:val="0042207F"/>
    <w:rsid w:val="00422747"/>
    <w:rsid w:val="00423779"/>
    <w:rsid w:val="00424A53"/>
    <w:rsid w:val="00425908"/>
    <w:rsid w:val="00426AF2"/>
    <w:rsid w:val="004276DC"/>
    <w:rsid w:val="00427D55"/>
    <w:rsid w:val="004315E9"/>
    <w:rsid w:val="00431CAD"/>
    <w:rsid w:val="00432B11"/>
    <w:rsid w:val="00433A44"/>
    <w:rsid w:val="004347F9"/>
    <w:rsid w:val="00434991"/>
    <w:rsid w:val="00436781"/>
    <w:rsid w:val="00436AE4"/>
    <w:rsid w:val="00440017"/>
    <w:rsid w:val="0044014D"/>
    <w:rsid w:val="00440220"/>
    <w:rsid w:val="00440D46"/>
    <w:rsid w:val="004412A6"/>
    <w:rsid w:val="0044161D"/>
    <w:rsid w:val="00441D04"/>
    <w:rsid w:val="004430D7"/>
    <w:rsid w:val="00443682"/>
    <w:rsid w:val="00443CEA"/>
    <w:rsid w:val="00443E6A"/>
    <w:rsid w:val="00444C2F"/>
    <w:rsid w:val="004475CE"/>
    <w:rsid w:val="004475D1"/>
    <w:rsid w:val="004478CD"/>
    <w:rsid w:val="00451F30"/>
    <w:rsid w:val="00452531"/>
    <w:rsid w:val="0045263D"/>
    <w:rsid w:val="00452E78"/>
    <w:rsid w:val="004535A0"/>
    <w:rsid w:val="004535E8"/>
    <w:rsid w:val="004538A3"/>
    <w:rsid w:val="004547E8"/>
    <w:rsid w:val="004578D9"/>
    <w:rsid w:val="004601D7"/>
    <w:rsid w:val="004604B6"/>
    <w:rsid w:val="0046083F"/>
    <w:rsid w:val="00460D9D"/>
    <w:rsid w:val="004610FD"/>
    <w:rsid w:val="0046266A"/>
    <w:rsid w:val="004634B3"/>
    <w:rsid w:val="00463707"/>
    <w:rsid w:val="00463B1E"/>
    <w:rsid w:val="00466336"/>
    <w:rsid w:val="0046720F"/>
    <w:rsid w:val="00470539"/>
    <w:rsid w:val="004726E4"/>
    <w:rsid w:val="00473303"/>
    <w:rsid w:val="00475A48"/>
    <w:rsid w:val="0047705D"/>
    <w:rsid w:val="00480C8B"/>
    <w:rsid w:val="00481985"/>
    <w:rsid w:val="0048212B"/>
    <w:rsid w:val="004835AF"/>
    <w:rsid w:val="00484B6D"/>
    <w:rsid w:val="0048554B"/>
    <w:rsid w:val="00485EAC"/>
    <w:rsid w:val="0048649C"/>
    <w:rsid w:val="004865ED"/>
    <w:rsid w:val="00487882"/>
    <w:rsid w:val="00487CEB"/>
    <w:rsid w:val="00487EB3"/>
    <w:rsid w:val="00491809"/>
    <w:rsid w:val="00492161"/>
    <w:rsid w:val="0049238A"/>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24E1"/>
    <w:rsid w:val="004B2837"/>
    <w:rsid w:val="004B3F06"/>
    <w:rsid w:val="004B46EF"/>
    <w:rsid w:val="004B5528"/>
    <w:rsid w:val="004B56BF"/>
    <w:rsid w:val="004B5BC4"/>
    <w:rsid w:val="004B725A"/>
    <w:rsid w:val="004C0C07"/>
    <w:rsid w:val="004C10D0"/>
    <w:rsid w:val="004C1910"/>
    <w:rsid w:val="004C1953"/>
    <w:rsid w:val="004C2137"/>
    <w:rsid w:val="004C2C76"/>
    <w:rsid w:val="004C347B"/>
    <w:rsid w:val="004C3761"/>
    <w:rsid w:val="004C3B65"/>
    <w:rsid w:val="004C5D03"/>
    <w:rsid w:val="004C658F"/>
    <w:rsid w:val="004C6FDD"/>
    <w:rsid w:val="004D1708"/>
    <w:rsid w:val="004D1CCB"/>
    <w:rsid w:val="004D24A5"/>
    <w:rsid w:val="004D4355"/>
    <w:rsid w:val="004D4D00"/>
    <w:rsid w:val="004D594A"/>
    <w:rsid w:val="004D5E82"/>
    <w:rsid w:val="004D6219"/>
    <w:rsid w:val="004E0CCA"/>
    <w:rsid w:val="004E1A7A"/>
    <w:rsid w:val="004E1CAE"/>
    <w:rsid w:val="004E27FF"/>
    <w:rsid w:val="004E3CE5"/>
    <w:rsid w:val="004E5796"/>
    <w:rsid w:val="004E62C7"/>
    <w:rsid w:val="004E7C8C"/>
    <w:rsid w:val="004F1055"/>
    <w:rsid w:val="004F1070"/>
    <w:rsid w:val="004F1E5F"/>
    <w:rsid w:val="004F4B57"/>
    <w:rsid w:val="004F4CBE"/>
    <w:rsid w:val="004F4D31"/>
    <w:rsid w:val="004F4E81"/>
    <w:rsid w:val="004F5329"/>
    <w:rsid w:val="005009CA"/>
    <w:rsid w:val="00502BB0"/>
    <w:rsid w:val="00504084"/>
    <w:rsid w:val="0050583A"/>
    <w:rsid w:val="005065B0"/>
    <w:rsid w:val="00506B34"/>
    <w:rsid w:val="00507780"/>
    <w:rsid w:val="00510A85"/>
    <w:rsid w:val="00510A8B"/>
    <w:rsid w:val="00511228"/>
    <w:rsid w:val="00511237"/>
    <w:rsid w:val="00511C46"/>
    <w:rsid w:val="005129D3"/>
    <w:rsid w:val="00513418"/>
    <w:rsid w:val="0051377C"/>
    <w:rsid w:val="00513BB3"/>
    <w:rsid w:val="0051408F"/>
    <w:rsid w:val="005171DF"/>
    <w:rsid w:val="00520266"/>
    <w:rsid w:val="005206B1"/>
    <w:rsid w:val="005210DC"/>
    <w:rsid w:val="005219D2"/>
    <w:rsid w:val="00523351"/>
    <w:rsid w:val="005233AE"/>
    <w:rsid w:val="005235B6"/>
    <w:rsid w:val="005237BE"/>
    <w:rsid w:val="005238ED"/>
    <w:rsid w:val="00525100"/>
    <w:rsid w:val="00525547"/>
    <w:rsid w:val="005262D9"/>
    <w:rsid w:val="00526D7B"/>
    <w:rsid w:val="00531CF7"/>
    <w:rsid w:val="00531E5C"/>
    <w:rsid w:val="00533346"/>
    <w:rsid w:val="00534068"/>
    <w:rsid w:val="00534C3E"/>
    <w:rsid w:val="005354C6"/>
    <w:rsid w:val="00535B99"/>
    <w:rsid w:val="005360E7"/>
    <w:rsid w:val="00540546"/>
    <w:rsid w:val="005406A8"/>
    <w:rsid w:val="00540735"/>
    <w:rsid w:val="00540E4C"/>
    <w:rsid w:val="00543DFB"/>
    <w:rsid w:val="00543E22"/>
    <w:rsid w:val="00544606"/>
    <w:rsid w:val="005452F6"/>
    <w:rsid w:val="0054547A"/>
    <w:rsid w:val="00546492"/>
    <w:rsid w:val="00547016"/>
    <w:rsid w:val="0054706B"/>
    <w:rsid w:val="00547D54"/>
    <w:rsid w:val="0055027B"/>
    <w:rsid w:val="00550280"/>
    <w:rsid w:val="00553CCA"/>
    <w:rsid w:val="00553E31"/>
    <w:rsid w:val="00554040"/>
    <w:rsid w:val="00554568"/>
    <w:rsid w:val="00554ECB"/>
    <w:rsid w:val="00556302"/>
    <w:rsid w:val="005566B8"/>
    <w:rsid w:val="0056014B"/>
    <w:rsid w:val="00560D9D"/>
    <w:rsid w:val="00563A20"/>
    <w:rsid w:val="00563FD9"/>
    <w:rsid w:val="0056588C"/>
    <w:rsid w:val="00566EBC"/>
    <w:rsid w:val="00570917"/>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59BD"/>
    <w:rsid w:val="005A5E8F"/>
    <w:rsid w:val="005A7B91"/>
    <w:rsid w:val="005B1366"/>
    <w:rsid w:val="005B14A7"/>
    <w:rsid w:val="005B186D"/>
    <w:rsid w:val="005B1C20"/>
    <w:rsid w:val="005B243E"/>
    <w:rsid w:val="005B3E08"/>
    <w:rsid w:val="005B3E50"/>
    <w:rsid w:val="005B4855"/>
    <w:rsid w:val="005B5279"/>
    <w:rsid w:val="005B6FF7"/>
    <w:rsid w:val="005C0400"/>
    <w:rsid w:val="005C120C"/>
    <w:rsid w:val="005C1ACD"/>
    <w:rsid w:val="005C5110"/>
    <w:rsid w:val="005C7A67"/>
    <w:rsid w:val="005C7F2F"/>
    <w:rsid w:val="005D12B7"/>
    <w:rsid w:val="005D2FA9"/>
    <w:rsid w:val="005D4310"/>
    <w:rsid w:val="005D4330"/>
    <w:rsid w:val="005D450F"/>
    <w:rsid w:val="005D47BE"/>
    <w:rsid w:val="005D5F25"/>
    <w:rsid w:val="005D6921"/>
    <w:rsid w:val="005D73FC"/>
    <w:rsid w:val="005E126D"/>
    <w:rsid w:val="005E14B7"/>
    <w:rsid w:val="005E2B74"/>
    <w:rsid w:val="005E2DAF"/>
    <w:rsid w:val="005E319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61C9"/>
    <w:rsid w:val="0060621A"/>
    <w:rsid w:val="0060799C"/>
    <w:rsid w:val="0061009A"/>
    <w:rsid w:val="00610168"/>
    <w:rsid w:val="00610614"/>
    <w:rsid w:val="006118C9"/>
    <w:rsid w:val="00611965"/>
    <w:rsid w:val="006126CD"/>
    <w:rsid w:val="00612C4D"/>
    <w:rsid w:val="00613F89"/>
    <w:rsid w:val="00615A47"/>
    <w:rsid w:val="0061617F"/>
    <w:rsid w:val="006169DB"/>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6383"/>
    <w:rsid w:val="0063690C"/>
    <w:rsid w:val="00636AD5"/>
    <w:rsid w:val="00637A53"/>
    <w:rsid w:val="00640BE3"/>
    <w:rsid w:val="00641BA1"/>
    <w:rsid w:val="006426EB"/>
    <w:rsid w:val="00643C81"/>
    <w:rsid w:val="006443B8"/>
    <w:rsid w:val="00644D7A"/>
    <w:rsid w:val="00646B65"/>
    <w:rsid w:val="00647CAB"/>
    <w:rsid w:val="006508A7"/>
    <w:rsid w:val="00651418"/>
    <w:rsid w:val="006516BA"/>
    <w:rsid w:val="006517DC"/>
    <w:rsid w:val="006518C7"/>
    <w:rsid w:val="00651A40"/>
    <w:rsid w:val="006536B4"/>
    <w:rsid w:val="00654CF5"/>
    <w:rsid w:val="0065721F"/>
    <w:rsid w:val="00660298"/>
    <w:rsid w:val="00660756"/>
    <w:rsid w:val="0066205B"/>
    <w:rsid w:val="00662213"/>
    <w:rsid w:val="00662391"/>
    <w:rsid w:val="00662569"/>
    <w:rsid w:val="0066268A"/>
    <w:rsid w:val="00662CF9"/>
    <w:rsid w:val="0066492F"/>
    <w:rsid w:val="00664AED"/>
    <w:rsid w:val="00665127"/>
    <w:rsid w:val="0066663F"/>
    <w:rsid w:val="006671AD"/>
    <w:rsid w:val="00667384"/>
    <w:rsid w:val="0066796B"/>
    <w:rsid w:val="00667BBE"/>
    <w:rsid w:val="0067028C"/>
    <w:rsid w:val="0067086E"/>
    <w:rsid w:val="006709EF"/>
    <w:rsid w:val="00671568"/>
    <w:rsid w:val="0067199A"/>
    <w:rsid w:val="0067301E"/>
    <w:rsid w:val="00677340"/>
    <w:rsid w:val="00681683"/>
    <w:rsid w:val="00681D69"/>
    <w:rsid w:val="00682956"/>
    <w:rsid w:val="0068438C"/>
    <w:rsid w:val="006865B0"/>
    <w:rsid w:val="0068768B"/>
    <w:rsid w:val="006905FF"/>
    <w:rsid w:val="00692991"/>
    <w:rsid w:val="00693AA5"/>
    <w:rsid w:val="00694BBB"/>
    <w:rsid w:val="00694EFA"/>
    <w:rsid w:val="00695568"/>
    <w:rsid w:val="006963E6"/>
    <w:rsid w:val="00696B20"/>
    <w:rsid w:val="00696C7E"/>
    <w:rsid w:val="006A1367"/>
    <w:rsid w:val="006A1C95"/>
    <w:rsid w:val="006A28E9"/>
    <w:rsid w:val="006A2E60"/>
    <w:rsid w:val="006A4707"/>
    <w:rsid w:val="006A604D"/>
    <w:rsid w:val="006B0A49"/>
    <w:rsid w:val="006B0C21"/>
    <w:rsid w:val="006B2345"/>
    <w:rsid w:val="006B48EF"/>
    <w:rsid w:val="006B5D00"/>
    <w:rsid w:val="006C08FD"/>
    <w:rsid w:val="006C13B1"/>
    <w:rsid w:val="006C1DDA"/>
    <w:rsid w:val="006C2CBD"/>
    <w:rsid w:val="006C36D7"/>
    <w:rsid w:val="006C4647"/>
    <w:rsid w:val="006C51A0"/>
    <w:rsid w:val="006C5DA3"/>
    <w:rsid w:val="006C7772"/>
    <w:rsid w:val="006C7D7B"/>
    <w:rsid w:val="006D08D7"/>
    <w:rsid w:val="006D54AA"/>
    <w:rsid w:val="006D62EE"/>
    <w:rsid w:val="006D780E"/>
    <w:rsid w:val="006E0E9B"/>
    <w:rsid w:val="006E1201"/>
    <w:rsid w:val="006E1B9C"/>
    <w:rsid w:val="006E1EE8"/>
    <w:rsid w:val="006E3CD1"/>
    <w:rsid w:val="006E4BE0"/>
    <w:rsid w:val="006E69B1"/>
    <w:rsid w:val="006F0225"/>
    <w:rsid w:val="006F204F"/>
    <w:rsid w:val="006F23B9"/>
    <w:rsid w:val="006F2427"/>
    <w:rsid w:val="006F2FB3"/>
    <w:rsid w:val="006F3621"/>
    <w:rsid w:val="006F3FBD"/>
    <w:rsid w:val="006F4D8C"/>
    <w:rsid w:val="006F55B1"/>
    <w:rsid w:val="006F6115"/>
    <w:rsid w:val="006F63E7"/>
    <w:rsid w:val="006F665A"/>
    <w:rsid w:val="006F668C"/>
    <w:rsid w:val="006F685C"/>
    <w:rsid w:val="006F6A66"/>
    <w:rsid w:val="006F6D48"/>
    <w:rsid w:val="006F6EE9"/>
    <w:rsid w:val="006F7984"/>
    <w:rsid w:val="006F7C5C"/>
    <w:rsid w:val="007000D4"/>
    <w:rsid w:val="00700AA8"/>
    <w:rsid w:val="0070126A"/>
    <w:rsid w:val="00701B8D"/>
    <w:rsid w:val="0070317F"/>
    <w:rsid w:val="00704C6E"/>
    <w:rsid w:val="00704CE6"/>
    <w:rsid w:val="0070642D"/>
    <w:rsid w:val="00706A68"/>
    <w:rsid w:val="007072A9"/>
    <w:rsid w:val="007078B7"/>
    <w:rsid w:val="0070799F"/>
    <w:rsid w:val="00707E39"/>
    <w:rsid w:val="00707FEE"/>
    <w:rsid w:val="00711237"/>
    <w:rsid w:val="00711592"/>
    <w:rsid w:val="007117E0"/>
    <w:rsid w:val="007129B1"/>
    <w:rsid w:val="007136F6"/>
    <w:rsid w:val="0071458F"/>
    <w:rsid w:val="007145F7"/>
    <w:rsid w:val="00714B72"/>
    <w:rsid w:val="00714F93"/>
    <w:rsid w:val="00715597"/>
    <w:rsid w:val="007157DC"/>
    <w:rsid w:val="00715AC5"/>
    <w:rsid w:val="0071606B"/>
    <w:rsid w:val="00716448"/>
    <w:rsid w:val="00716741"/>
    <w:rsid w:val="00717A13"/>
    <w:rsid w:val="00723075"/>
    <w:rsid w:val="007240D9"/>
    <w:rsid w:val="0072503B"/>
    <w:rsid w:val="00727555"/>
    <w:rsid w:val="0073010C"/>
    <w:rsid w:val="007315E4"/>
    <w:rsid w:val="007317F2"/>
    <w:rsid w:val="00731F39"/>
    <w:rsid w:val="007335F8"/>
    <w:rsid w:val="007337BD"/>
    <w:rsid w:val="00733BA5"/>
    <w:rsid w:val="007359FD"/>
    <w:rsid w:val="007379B3"/>
    <w:rsid w:val="00737F86"/>
    <w:rsid w:val="00740B95"/>
    <w:rsid w:val="007413CF"/>
    <w:rsid w:val="0074322E"/>
    <w:rsid w:val="007433A1"/>
    <w:rsid w:val="00744E82"/>
    <w:rsid w:val="00750B22"/>
    <w:rsid w:val="00751770"/>
    <w:rsid w:val="007517EF"/>
    <w:rsid w:val="00752CA6"/>
    <w:rsid w:val="0075428E"/>
    <w:rsid w:val="007557C3"/>
    <w:rsid w:val="00760223"/>
    <w:rsid w:val="00760379"/>
    <w:rsid w:val="00761C32"/>
    <w:rsid w:val="00761CBB"/>
    <w:rsid w:val="00762785"/>
    <w:rsid w:val="00762E72"/>
    <w:rsid w:val="00764229"/>
    <w:rsid w:val="00764C28"/>
    <w:rsid w:val="007660C7"/>
    <w:rsid w:val="00766B26"/>
    <w:rsid w:val="00770571"/>
    <w:rsid w:val="00770907"/>
    <w:rsid w:val="00770AA1"/>
    <w:rsid w:val="00770C69"/>
    <w:rsid w:val="00773542"/>
    <w:rsid w:val="0077513C"/>
    <w:rsid w:val="00775343"/>
    <w:rsid w:val="00775370"/>
    <w:rsid w:val="00776BB2"/>
    <w:rsid w:val="007800BA"/>
    <w:rsid w:val="0078036B"/>
    <w:rsid w:val="007803AC"/>
    <w:rsid w:val="007803F4"/>
    <w:rsid w:val="00780709"/>
    <w:rsid w:val="007822EA"/>
    <w:rsid w:val="007826D4"/>
    <w:rsid w:val="00782EBF"/>
    <w:rsid w:val="0078385B"/>
    <w:rsid w:val="00784DDB"/>
    <w:rsid w:val="00785B72"/>
    <w:rsid w:val="00785B8A"/>
    <w:rsid w:val="007862F4"/>
    <w:rsid w:val="0078631E"/>
    <w:rsid w:val="007868BB"/>
    <w:rsid w:val="00787DCA"/>
    <w:rsid w:val="00787F54"/>
    <w:rsid w:val="0079247C"/>
    <w:rsid w:val="00792784"/>
    <w:rsid w:val="007952BA"/>
    <w:rsid w:val="00796B85"/>
    <w:rsid w:val="0079762E"/>
    <w:rsid w:val="007979C3"/>
    <w:rsid w:val="00797A79"/>
    <w:rsid w:val="007A01DE"/>
    <w:rsid w:val="007A2299"/>
    <w:rsid w:val="007A2A29"/>
    <w:rsid w:val="007A436F"/>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BC0"/>
    <w:rsid w:val="007C4ED1"/>
    <w:rsid w:val="007C53FE"/>
    <w:rsid w:val="007C57A8"/>
    <w:rsid w:val="007C7316"/>
    <w:rsid w:val="007C79DF"/>
    <w:rsid w:val="007D0DE4"/>
    <w:rsid w:val="007D42AE"/>
    <w:rsid w:val="007D762F"/>
    <w:rsid w:val="007D7691"/>
    <w:rsid w:val="007D7EE4"/>
    <w:rsid w:val="007E03EA"/>
    <w:rsid w:val="007E12E7"/>
    <w:rsid w:val="007E4890"/>
    <w:rsid w:val="007E7A90"/>
    <w:rsid w:val="007F202E"/>
    <w:rsid w:val="007F2CFF"/>
    <w:rsid w:val="007F2D43"/>
    <w:rsid w:val="007F31C3"/>
    <w:rsid w:val="007F38BA"/>
    <w:rsid w:val="007F436B"/>
    <w:rsid w:val="007F466E"/>
    <w:rsid w:val="007F4980"/>
    <w:rsid w:val="007F707A"/>
    <w:rsid w:val="007F7977"/>
    <w:rsid w:val="00800536"/>
    <w:rsid w:val="00800A5C"/>
    <w:rsid w:val="008013A8"/>
    <w:rsid w:val="00802005"/>
    <w:rsid w:val="0080322F"/>
    <w:rsid w:val="00804251"/>
    <w:rsid w:val="0080496F"/>
    <w:rsid w:val="00804EF5"/>
    <w:rsid w:val="008051F9"/>
    <w:rsid w:val="0080572B"/>
    <w:rsid w:val="00805859"/>
    <w:rsid w:val="00805D18"/>
    <w:rsid w:val="00806B11"/>
    <w:rsid w:val="0081263C"/>
    <w:rsid w:val="0081387B"/>
    <w:rsid w:val="00813EBF"/>
    <w:rsid w:val="00814367"/>
    <w:rsid w:val="00814864"/>
    <w:rsid w:val="0081486C"/>
    <w:rsid w:val="0081678B"/>
    <w:rsid w:val="0081747E"/>
    <w:rsid w:val="008178B9"/>
    <w:rsid w:val="008178CF"/>
    <w:rsid w:val="00817D49"/>
    <w:rsid w:val="00820867"/>
    <w:rsid w:val="00820B05"/>
    <w:rsid w:val="00824BAF"/>
    <w:rsid w:val="0082537B"/>
    <w:rsid w:val="008273E7"/>
    <w:rsid w:val="00827BA0"/>
    <w:rsid w:val="00827F3A"/>
    <w:rsid w:val="00830130"/>
    <w:rsid w:val="00830D24"/>
    <w:rsid w:val="00832DA1"/>
    <w:rsid w:val="00833F66"/>
    <w:rsid w:val="008340EA"/>
    <w:rsid w:val="008344E5"/>
    <w:rsid w:val="00835776"/>
    <w:rsid w:val="00836E54"/>
    <w:rsid w:val="00837093"/>
    <w:rsid w:val="008373C7"/>
    <w:rsid w:val="008378A7"/>
    <w:rsid w:val="008379F2"/>
    <w:rsid w:val="008403BC"/>
    <w:rsid w:val="00840450"/>
    <w:rsid w:val="00841E1C"/>
    <w:rsid w:val="00843460"/>
    <w:rsid w:val="00844C02"/>
    <w:rsid w:val="00844DA4"/>
    <w:rsid w:val="00845F1B"/>
    <w:rsid w:val="00846A91"/>
    <w:rsid w:val="00847950"/>
    <w:rsid w:val="0085062B"/>
    <w:rsid w:val="00850A5E"/>
    <w:rsid w:val="008511C2"/>
    <w:rsid w:val="0085288F"/>
    <w:rsid w:val="00854197"/>
    <w:rsid w:val="00855282"/>
    <w:rsid w:val="008559C8"/>
    <w:rsid w:val="00855DF4"/>
    <w:rsid w:val="00855E7D"/>
    <w:rsid w:val="0085685B"/>
    <w:rsid w:val="00857381"/>
    <w:rsid w:val="0085758E"/>
    <w:rsid w:val="00860E20"/>
    <w:rsid w:val="00861514"/>
    <w:rsid w:val="00861F25"/>
    <w:rsid w:val="0086274F"/>
    <w:rsid w:val="00862A31"/>
    <w:rsid w:val="00863CC6"/>
    <w:rsid w:val="00864AD8"/>
    <w:rsid w:val="00864C4D"/>
    <w:rsid w:val="008673E1"/>
    <w:rsid w:val="0087188F"/>
    <w:rsid w:val="00871D57"/>
    <w:rsid w:val="00872A72"/>
    <w:rsid w:val="00872EEB"/>
    <w:rsid w:val="00873115"/>
    <w:rsid w:val="0087443E"/>
    <w:rsid w:val="00875610"/>
    <w:rsid w:val="0087572A"/>
    <w:rsid w:val="008770B9"/>
    <w:rsid w:val="008771F0"/>
    <w:rsid w:val="0088121F"/>
    <w:rsid w:val="00881C67"/>
    <w:rsid w:val="008823E4"/>
    <w:rsid w:val="00883598"/>
    <w:rsid w:val="00883EDC"/>
    <w:rsid w:val="00885342"/>
    <w:rsid w:val="008854D1"/>
    <w:rsid w:val="0088745C"/>
    <w:rsid w:val="00887F9C"/>
    <w:rsid w:val="008905FD"/>
    <w:rsid w:val="00890FD5"/>
    <w:rsid w:val="00891B8B"/>
    <w:rsid w:val="008921D3"/>
    <w:rsid w:val="008921FD"/>
    <w:rsid w:val="00892222"/>
    <w:rsid w:val="00894BF4"/>
    <w:rsid w:val="00895DE5"/>
    <w:rsid w:val="008A06AE"/>
    <w:rsid w:val="008A0A96"/>
    <w:rsid w:val="008A0E06"/>
    <w:rsid w:val="008A26FF"/>
    <w:rsid w:val="008A3764"/>
    <w:rsid w:val="008A46FC"/>
    <w:rsid w:val="008A5266"/>
    <w:rsid w:val="008A54E7"/>
    <w:rsid w:val="008A59B1"/>
    <w:rsid w:val="008A5EC4"/>
    <w:rsid w:val="008A61F4"/>
    <w:rsid w:val="008A764B"/>
    <w:rsid w:val="008B096F"/>
    <w:rsid w:val="008B19E2"/>
    <w:rsid w:val="008B2871"/>
    <w:rsid w:val="008B2BD9"/>
    <w:rsid w:val="008B2DB8"/>
    <w:rsid w:val="008B3497"/>
    <w:rsid w:val="008B484B"/>
    <w:rsid w:val="008B56F1"/>
    <w:rsid w:val="008B65D6"/>
    <w:rsid w:val="008C0B22"/>
    <w:rsid w:val="008C1B60"/>
    <w:rsid w:val="008C236A"/>
    <w:rsid w:val="008C40FC"/>
    <w:rsid w:val="008C4871"/>
    <w:rsid w:val="008C5B3E"/>
    <w:rsid w:val="008C5FC4"/>
    <w:rsid w:val="008C7B01"/>
    <w:rsid w:val="008D0BA5"/>
    <w:rsid w:val="008D0E13"/>
    <w:rsid w:val="008D26A2"/>
    <w:rsid w:val="008D29C7"/>
    <w:rsid w:val="008D3275"/>
    <w:rsid w:val="008D3791"/>
    <w:rsid w:val="008D4052"/>
    <w:rsid w:val="008D5962"/>
    <w:rsid w:val="008D67C0"/>
    <w:rsid w:val="008D794C"/>
    <w:rsid w:val="008E17F0"/>
    <w:rsid w:val="008E1950"/>
    <w:rsid w:val="008E1A65"/>
    <w:rsid w:val="008E235C"/>
    <w:rsid w:val="008E2C1B"/>
    <w:rsid w:val="008E2C9B"/>
    <w:rsid w:val="008E368E"/>
    <w:rsid w:val="008E493D"/>
    <w:rsid w:val="008E4C01"/>
    <w:rsid w:val="008E546F"/>
    <w:rsid w:val="008E5675"/>
    <w:rsid w:val="008E60BE"/>
    <w:rsid w:val="008E755F"/>
    <w:rsid w:val="008E7C1C"/>
    <w:rsid w:val="008F0A97"/>
    <w:rsid w:val="008F0FC3"/>
    <w:rsid w:val="008F1977"/>
    <w:rsid w:val="008F38F3"/>
    <w:rsid w:val="008F4A23"/>
    <w:rsid w:val="008F5154"/>
    <w:rsid w:val="008F53BA"/>
    <w:rsid w:val="008F5DF5"/>
    <w:rsid w:val="008F681C"/>
    <w:rsid w:val="00901FC9"/>
    <w:rsid w:val="00902D22"/>
    <w:rsid w:val="00902E4F"/>
    <w:rsid w:val="0090451F"/>
    <w:rsid w:val="009053AB"/>
    <w:rsid w:val="00905A56"/>
    <w:rsid w:val="00905CDA"/>
    <w:rsid w:val="00906E17"/>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15E"/>
    <w:rsid w:val="00923233"/>
    <w:rsid w:val="00926396"/>
    <w:rsid w:val="00927D26"/>
    <w:rsid w:val="009318EF"/>
    <w:rsid w:val="00931E2B"/>
    <w:rsid w:val="00932E70"/>
    <w:rsid w:val="00934094"/>
    <w:rsid w:val="0093524F"/>
    <w:rsid w:val="009359E1"/>
    <w:rsid w:val="00937243"/>
    <w:rsid w:val="00937F51"/>
    <w:rsid w:val="00940244"/>
    <w:rsid w:val="00944954"/>
    <w:rsid w:val="00946988"/>
    <w:rsid w:val="00950BD2"/>
    <w:rsid w:val="00951BAD"/>
    <w:rsid w:val="00952E96"/>
    <w:rsid w:val="00953418"/>
    <w:rsid w:val="00954CEB"/>
    <w:rsid w:val="009556CF"/>
    <w:rsid w:val="00955A8E"/>
    <w:rsid w:val="00955D73"/>
    <w:rsid w:val="00956E4A"/>
    <w:rsid w:val="00956EC7"/>
    <w:rsid w:val="0096008D"/>
    <w:rsid w:val="009620B5"/>
    <w:rsid w:val="00962DD4"/>
    <w:rsid w:val="00963CC7"/>
    <w:rsid w:val="00963E06"/>
    <w:rsid w:val="009653E5"/>
    <w:rsid w:val="00966113"/>
    <w:rsid w:val="00966DB2"/>
    <w:rsid w:val="00970FF7"/>
    <w:rsid w:val="009711B5"/>
    <w:rsid w:val="009716B7"/>
    <w:rsid w:val="009720AA"/>
    <w:rsid w:val="00973296"/>
    <w:rsid w:val="00974067"/>
    <w:rsid w:val="00974CA6"/>
    <w:rsid w:val="00974F5F"/>
    <w:rsid w:val="00975313"/>
    <w:rsid w:val="00975423"/>
    <w:rsid w:val="00975FAC"/>
    <w:rsid w:val="00980001"/>
    <w:rsid w:val="009806A7"/>
    <w:rsid w:val="00982C9A"/>
    <w:rsid w:val="009841E5"/>
    <w:rsid w:val="009847C4"/>
    <w:rsid w:val="00984C87"/>
    <w:rsid w:val="00985A5E"/>
    <w:rsid w:val="00986290"/>
    <w:rsid w:val="009862FE"/>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E39"/>
    <w:rsid w:val="009A3CED"/>
    <w:rsid w:val="009A40B4"/>
    <w:rsid w:val="009A45A5"/>
    <w:rsid w:val="009A4BC6"/>
    <w:rsid w:val="009A611F"/>
    <w:rsid w:val="009A623D"/>
    <w:rsid w:val="009A7278"/>
    <w:rsid w:val="009A7385"/>
    <w:rsid w:val="009B010B"/>
    <w:rsid w:val="009B017E"/>
    <w:rsid w:val="009B12A3"/>
    <w:rsid w:val="009B2835"/>
    <w:rsid w:val="009B4E09"/>
    <w:rsid w:val="009B6A8C"/>
    <w:rsid w:val="009B6EBD"/>
    <w:rsid w:val="009C0442"/>
    <w:rsid w:val="009C08B8"/>
    <w:rsid w:val="009C202A"/>
    <w:rsid w:val="009C2E77"/>
    <w:rsid w:val="009C5427"/>
    <w:rsid w:val="009C554A"/>
    <w:rsid w:val="009C5565"/>
    <w:rsid w:val="009C5EC0"/>
    <w:rsid w:val="009C5F42"/>
    <w:rsid w:val="009C6574"/>
    <w:rsid w:val="009C6E83"/>
    <w:rsid w:val="009C7197"/>
    <w:rsid w:val="009C75B4"/>
    <w:rsid w:val="009D389F"/>
    <w:rsid w:val="009D3A07"/>
    <w:rsid w:val="009D48D5"/>
    <w:rsid w:val="009D49D4"/>
    <w:rsid w:val="009D6100"/>
    <w:rsid w:val="009D719C"/>
    <w:rsid w:val="009E02CB"/>
    <w:rsid w:val="009E073D"/>
    <w:rsid w:val="009E1AA6"/>
    <w:rsid w:val="009E2342"/>
    <w:rsid w:val="009E300E"/>
    <w:rsid w:val="009E3762"/>
    <w:rsid w:val="009E37FD"/>
    <w:rsid w:val="009E413C"/>
    <w:rsid w:val="009E45BD"/>
    <w:rsid w:val="009E59ED"/>
    <w:rsid w:val="009E5DC1"/>
    <w:rsid w:val="009E5F7F"/>
    <w:rsid w:val="009E7267"/>
    <w:rsid w:val="009E7CB7"/>
    <w:rsid w:val="009E7FB4"/>
    <w:rsid w:val="009F0392"/>
    <w:rsid w:val="009F0991"/>
    <w:rsid w:val="009F1BB1"/>
    <w:rsid w:val="009F2490"/>
    <w:rsid w:val="009F2A51"/>
    <w:rsid w:val="009F2CD4"/>
    <w:rsid w:val="009F31A0"/>
    <w:rsid w:val="009F3B25"/>
    <w:rsid w:val="009F409D"/>
    <w:rsid w:val="009F511B"/>
    <w:rsid w:val="009F589B"/>
    <w:rsid w:val="009F5B69"/>
    <w:rsid w:val="009F5FF0"/>
    <w:rsid w:val="009F74F4"/>
    <w:rsid w:val="009F7625"/>
    <w:rsid w:val="00A002F6"/>
    <w:rsid w:val="00A009B7"/>
    <w:rsid w:val="00A0269E"/>
    <w:rsid w:val="00A02D03"/>
    <w:rsid w:val="00A047B6"/>
    <w:rsid w:val="00A04A7C"/>
    <w:rsid w:val="00A06389"/>
    <w:rsid w:val="00A06AF0"/>
    <w:rsid w:val="00A10031"/>
    <w:rsid w:val="00A100B1"/>
    <w:rsid w:val="00A10CC0"/>
    <w:rsid w:val="00A12160"/>
    <w:rsid w:val="00A12382"/>
    <w:rsid w:val="00A12D51"/>
    <w:rsid w:val="00A135CC"/>
    <w:rsid w:val="00A161DB"/>
    <w:rsid w:val="00A17CF0"/>
    <w:rsid w:val="00A17E50"/>
    <w:rsid w:val="00A217CB"/>
    <w:rsid w:val="00A21BCA"/>
    <w:rsid w:val="00A22627"/>
    <w:rsid w:val="00A23255"/>
    <w:rsid w:val="00A23936"/>
    <w:rsid w:val="00A24F92"/>
    <w:rsid w:val="00A251A2"/>
    <w:rsid w:val="00A258C4"/>
    <w:rsid w:val="00A259AA"/>
    <w:rsid w:val="00A260BB"/>
    <w:rsid w:val="00A2663A"/>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50E4F"/>
    <w:rsid w:val="00A5150A"/>
    <w:rsid w:val="00A529FC"/>
    <w:rsid w:val="00A53B62"/>
    <w:rsid w:val="00A54442"/>
    <w:rsid w:val="00A54F5D"/>
    <w:rsid w:val="00A54FAD"/>
    <w:rsid w:val="00A54FB3"/>
    <w:rsid w:val="00A55494"/>
    <w:rsid w:val="00A55F95"/>
    <w:rsid w:val="00A609DC"/>
    <w:rsid w:val="00A61942"/>
    <w:rsid w:val="00A6216B"/>
    <w:rsid w:val="00A62E76"/>
    <w:rsid w:val="00A6328D"/>
    <w:rsid w:val="00A6345B"/>
    <w:rsid w:val="00A64298"/>
    <w:rsid w:val="00A65FFE"/>
    <w:rsid w:val="00A703A4"/>
    <w:rsid w:val="00A706FC"/>
    <w:rsid w:val="00A71579"/>
    <w:rsid w:val="00A71A2B"/>
    <w:rsid w:val="00A71FF0"/>
    <w:rsid w:val="00A72A02"/>
    <w:rsid w:val="00A7500E"/>
    <w:rsid w:val="00A7566E"/>
    <w:rsid w:val="00A76593"/>
    <w:rsid w:val="00A76D7A"/>
    <w:rsid w:val="00A7731A"/>
    <w:rsid w:val="00A80249"/>
    <w:rsid w:val="00A81688"/>
    <w:rsid w:val="00A82EB9"/>
    <w:rsid w:val="00A838A9"/>
    <w:rsid w:val="00A84531"/>
    <w:rsid w:val="00A84A63"/>
    <w:rsid w:val="00A84CF2"/>
    <w:rsid w:val="00A84F5E"/>
    <w:rsid w:val="00A866E1"/>
    <w:rsid w:val="00A87086"/>
    <w:rsid w:val="00A87435"/>
    <w:rsid w:val="00A907B3"/>
    <w:rsid w:val="00A922AC"/>
    <w:rsid w:val="00A93495"/>
    <w:rsid w:val="00A936E6"/>
    <w:rsid w:val="00A949DC"/>
    <w:rsid w:val="00A962A2"/>
    <w:rsid w:val="00A9661A"/>
    <w:rsid w:val="00AA1792"/>
    <w:rsid w:val="00AA226C"/>
    <w:rsid w:val="00AA31EB"/>
    <w:rsid w:val="00AA33A4"/>
    <w:rsid w:val="00AA48FC"/>
    <w:rsid w:val="00AA62D8"/>
    <w:rsid w:val="00AA6415"/>
    <w:rsid w:val="00AA6A04"/>
    <w:rsid w:val="00AA7015"/>
    <w:rsid w:val="00AA7905"/>
    <w:rsid w:val="00AB14CD"/>
    <w:rsid w:val="00AB20A3"/>
    <w:rsid w:val="00AB24E2"/>
    <w:rsid w:val="00AB3A04"/>
    <w:rsid w:val="00AB4E7E"/>
    <w:rsid w:val="00AB597B"/>
    <w:rsid w:val="00AB623D"/>
    <w:rsid w:val="00AB73AF"/>
    <w:rsid w:val="00AC160B"/>
    <w:rsid w:val="00AC17AD"/>
    <w:rsid w:val="00AC3728"/>
    <w:rsid w:val="00AC4D91"/>
    <w:rsid w:val="00AD09FD"/>
    <w:rsid w:val="00AD2412"/>
    <w:rsid w:val="00AD29AD"/>
    <w:rsid w:val="00AD44FC"/>
    <w:rsid w:val="00AD480F"/>
    <w:rsid w:val="00AD4C3D"/>
    <w:rsid w:val="00AD4F74"/>
    <w:rsid w:val="00AD5454"/>
    <w:rsid w:val="00AD56BA"/>
    <w:rsid w:val="00AD6405"/>
    <w:rsid w:val="00AD70BE"/>
    <w:rsid w:val="00AD7376"/>
    <w:rsid w:val="00AE0E6F"/>
    <w:rsid w:val="00AE19FF"/>
    <w:rsid w:val="00AE2431"/>
    <w:rsid w:val="00AE39A7"/>
    <w:rsid w:val="00AE661A"/>
    <w:rsid w:val="00AE6722"/>
    <w:rsid w:val="00AE6F17"/>
    <w:rsid w:val="00AF07B3"/>
    <w:rsid w:val="00AF0B49"/>
    <w:rsid w:val="00AF121C"/>
    <w:rsid w:val="00AF12FA"/>
    <w:rsid w:val="00AF1443"/>
    <w:rsid w:val="00AF2ADA"/>
    <w:rsid w:val="00AF3E24"/>
    <w:rsid w:val="00AF3FDE"/>
    <w:rsid w:val="00AF4646"/>
    <w:rsid w:val="00AF5F42"/>
    <w:rsid w:val="00AF746F"/>
    <w:rsid w:val="00AF7778"/>
    <w:rsid w:val="00AF7E56"/>
    <w:rsid w:val="00B00861"/>
    <w:rsid w:val="00B01404"/>
    <w:rsid w:val="00B027C4"/>
    <w:rsid w:val="00B035C2"/>
    <w:rsid w:val="00B04312"/>
    <w:rsid w:val="00B0538C"/>
    <w:rsid w:val="00B053E7"/>
    <w:rsid w:val="00B05DD8"/>
    <w:rsid w:val="00B063DB"/>
    <w:rsid w:val="00B065DB"/>
    <w:rsid w:val="00B07231"/>
    <w:rsid w:val="00B07B46"/>
    <w:rsid w:val="00B108A3"/>
    <w:rsid w:val="00B10D7C"/>
    <w:rsid w:val="00B11930"/>
    <w:rsid w:val="00B128F3"/>
    <w:rsid w:val="00B1340C"/>
    <w:rsid w:val="00B1520A"/>
    <w:rsid w:val="00B16F88"/>
    <w:rsid w:val="00B23099"/>
    <w:rsid w:val="00B234FB"/>
    <w:rsid w:val="00B23707"/>
    <w:rsid w:val="00B23E76"/>
    <w:rsid w:val="00B247C0"/>
    <w:rsid w:val="00B25000"/>
    <w:rsid w:val="00B25A5D"/>
    <w:rsid w:val="00B27669"/>
    <w:rsid w:val="00B32A2D"/>
    <w:rsid w:val="00B33CEE"/>
    <w:rsid w:val="00B37392"/>
    <w:rsid w:val="00B3789B"/>
    <w:rsid w:val="00B400FB"/>
    <w:rsid w:val="00B407D6"/>
    <w:rsid w:val="00B41345"/>
    <w:rsid w:val="00B421B6"/>
    <w:rsid w:val="00B433EB"/>
    <w:rsid w:val="00B4420C"/>
    <w:rsid w:val="00B47184"/>
    <w:rsid w:val="00B47E99"/>
    <w:rsid w:val="00B50939"/>
    <w:rsid w:val="00B51AFC"/>
    <w:rsid w:val="00B520F4"/>
    <w:rsid w:val="00B52590"/>
    <w:rsid w:val="00B533CC"/>
    <w:rsid w:val="00B54610"/>
    <w:rsid w:val="00B54E72"/>
    <w:rsid w:val="00B57722"/>
    <w:rsid w:val="00B60508"/>
    <w:rsid w:val="00B608B2"/>
    <w:rsid w:val="00B60FCB"/>
    <w:rsid w:val="00B61323"/>
    <w:rsid w:val="00B61CD7"/>
    <w:rsid w:val="00B62C53"/>
    <w:rsid w:val="00B6578F"/>
    <w:rsid w:val="00B660F5"/>
    <w:rsid w:val="00B67542"/>
    <w:rsid w:val="00B67EF3"/>
    <w:rsid w:val="00B67FCD"/>
    <w:rsid w:val="00B7042D"/>
    <w:rsid w:val="00B712DC"/>
    <w:rsid w:val="00B71340"/>
    <w:rsid w:val="00B721D1"/>
    <w:rsid w:val="00B72B30"/>
    <w:rsid w:val="00B73806"/>
    <w:rsid w:val="00B750FD"/>
    <w:rsid w:val="00B76D75"/>
    <w:rsid w:val="00B76E1C"/>
    <w:rsid w:val="00B77AFD"/>
    <w:rsid w:val="00B80A27"/>
    <w:rsid w:val="00B80C66"/>
    <w:rsid w:val="00B81BB3"/>
    <w:rsid w:val="00B820E8"/>
    <w:rsid w:val="00B835AC"/>
    <w:rsid w:val="00B83802"/>
    <w:rsid w:val="00B858F4"/>
    <w:rsid w:val="00B869AE"/>
    <w:rsid w:val="00B86A21"/>
    <w:rsid w:val="00B903D2"/>
    <w:rsid w:val="00B9102F"/>
    <w:rsid w:val="00B91EEF"/>
    <w:rsid w:val="00B922B9"/>
    <w:rsid w:val="00B92CB8"/>
    <w:rsid w:val="00B92D3F"/>
    <w:rsid w:val="00B9327E"/>
    <w:rsid w:val="00B941A6"/>
    <w:rsid w:val="00B944B6"/>
    <w:rsid w:val="00B9494E"/>
    <w:rsid w:val="00B94EA8"/>
    <w:rsid w:val="00B94ED5"/>
    <w:rsid w:val="00B9725B"/>
    <w:rsid w:val="00B973B4"/>
    <w:rsid w:val="00B97757"/>
    <w:rsid w:val="00B9779F"/>
    <w:rsid w:val="00BA07DC"/>
    <w:rsid w:val="00BA0BC2"/>
    <w:rsid w:val="00BA3529"/>
    <w:rsid w:val="00BA4739"/>
    <w:rsid w:val="00BA5F03"/>
    <w:rsid w:val="00BA609D"/>
    <w:rsid w:val="00BA6C19"/>
    <w:rsid w:val="00BA76D1"/>
    <w:rsid w:val="00BA77C2"/>
    <w:rsid w:val="00BA7839"/>
    <w:rsid w:val="00BB032B"/>
    <w:rsid w:val="00BB18EC"/>
    <w:rsid w:val="00BB2338"/>
    <w:rsid w:val="00BB3D79"/>
    <w:rsid w:val="00BB4168"/>
    <w:rsid w:val="00BB4690"/>
    <w:rsid w:val="00BB5346"/>
    <w:rsid w:val="00BB7706"/>
    <w:rsid w:val="00BB7A31"/>
    <w:rsid w:val="00BC1252"/>
    <w:rsid w:val="00BC325C"/>
    <w:rsid w:val="00BC4337"/>
    <w:rsid w:val="00BC6E6A"/>
    <w:rsid w:val="00BD0544"/>
    <w:rsid w:val="00BD0A37"/>
    <w:rsid w:val="00BD4F97"/>
    <w:rsid w:val="00BD783C"/>
    <w:rsid w:val="00BD7FFC"/>
    <w:rsid w:val="00BE09C8"/>
    <w:rsid w:val="00BE0ECC"/>
    <w:rsid w:val="00BE0FCE"/>
    <w:rsid w:val="00BE2291"/>
    <w:rsid w:val="00BE22B3"/>
    <w:rsid w:val="00BE278F"/>
    <w:rsid w:val="00BE289A"/>
    <w:rsid w:val="00BE38FE"/>
    <w:rsid w:val="00BE492A"/>
    <w:rsid w:val="00BE4CF3"/>
    <w:rsid w:val="00BE5BE0"/>
    <w:rsid w:val="00BE6488"/>
    <w:rsid w:val="00BF1570"/>
    <w:rsid w:val="00BF3005"/>
    <w:rsid w:val="00BF3D01"/>
    <w:rsid w:val="00BF3F24"/>
    <w:rsid w:val="00BF4E86"/>
    <w:rsid w:val="00BF73C5"/>
    <w:rsid w:val="00BF78E8"/>
    <w:rsid w:val="00BF7B20"/>
    <w:rsid w:val="00BF7BE1"/>
    <w:rsid w:val="00C00486"/>
    <w:rsid w:val="00C03DA4"/>
    <w:rsid w:val="00C04319"/>
    <w:rsid w:val="00C06740"/>
    <w:rsid w:val="00C07264"/>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6977"/>
    <w:rsid w:val="00C274B9"/>
    <w:rsid w:val="00C275AE"/>
    <w:rsid w:val="00C27D00"/>
    <w:rsid w:val="00C305A0"/>
    <w:rsid w:val="00C30D60"/>
    <w:rsid w:val="00C30E91"/>
    <w:rsid w:val="00C361A4"/>
    <w:rsid w:val="00C36498"/>
    <w:rsid w:val="00C4092C"/>
    <w:rsid w:val="00C41424"/>
    <w:rsid w:val="00C41912"/>
    <w:rsid w:val="00C41FB7"/>
    <w:rsid w:val="00C42DFF"/>
    <w:rsid w:val="00C42F23"/>
    <w:rsid w:val="00C43811"/>
    <w:rsid w:val="00C47D28"/>
    <w:rsid w:val="00C50893"/>
    <w:rsid w:val="00C50A58"/>
    <w:rsid w:val="00C51AC1"/>
    <w:rsid w:val="00C52A39"/>
    <w:rsid w:val="00C53D57"/>
    <w:rsid w:val="00C5461E"/>
    <w:rsid w:val="00C55F7C"/>
    <w:rsid w:val="00C56E0B"/>
    <w:rsid w:val="00C57EA8"/>
    <w:rsid w:val="00C6141C"/>
    <w:rsid w:val="00C6284D"/>
    <w:rsid w:val="00C638A7"/>
    <w:rsid w:val="00C63D31"/>
    <w:rsid w:val="00C641E0"/>
    <w:rsid w:val="00C643B0"/>
    <w:rsid w:val="00C64FE2"/>
    <w:rsid w:val="00C67F38"/>
    <w:rsid w:val="00C72AA9"/>
    <w:rsid w:val="00C73CC7"/>
    <w:rsid w:val="00C74179"/>
    <w:rsid w:val="00C74ECB"/>
    <w:rsid w:val="00C75396"/>
    <w:rsid w:val="00C754E1"/>
    <w:rsid w:val="00C75B0D"/>
    <w:rsid w:val="00C766C3"/>
    <w:rsid w:val="00C77A86"/>
    <w:rsid w:val="00C77C8C"/>
    <w:rsid w:val="00C80095"/>
    <w:rsid w:val="00C80E67"/>
    <w:rsid w:val="00C816F6"/>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85D"/>
    <w:rsid w:val="00C95605"/>
    <w:rsid w:val="00C96568"/>
    <w:rsid w:val="00C96DF5"/>
    <w:rsid w:val="00C96F94"/>
    <w:rsid w:val="00C97178"/>
    <w:rsid w:val="00C97511"/>
    <w:rsid w:val="00CA0654"/>
    <w:rsid w:val="00CA2716"/>
    <w:rsid w:val="00CA3248"/>
    <w:rsid w:val="00CA4462"/>
    <w:rsid w:val="00CA541D"/>
    <w:rsid w:val="00CA6E26"/>
    <w:rsid w:val="00CA7794"/>
    <w:rsid w:val="00CB0718"/>
    <w:rsid w:val="00CB1C5F"/>
    <w:rsid w:val="00CB3501"/>
    <w:rsid w:val="00CB54E6"/>
    <w:rsid w:val="00CB5959"/>
    <w:rsid w:val="00CB7CF8"/>
    <w:rsid w:val="00CC0AA0"/>
    <w:rsid w:val="00CC362E"/>
    <w:rsid w:val="00CC367F"/>
    <w:rsid w:val="00CC3D6B"/>
    <w:rsid w:val="00CC4037"/>
    <w:rsid w:val="00CC59F7"/>
    <w:rsid w:val="00CC5ACD"/>
    <w:rsid w:val="00CC63C3"/>
    <w:rsid w:val="00CC7C78"/>
    <w:rsid w:val="00CD0F76"/>
    <w:rsid w:val="00CD1001"/>
    <w:rsid w:val="00CD1781"/>
    <w:rsid w:val="00CD231C"/>
    <w:rsid w:val="00CD30DA"/>
    <w:rsid w:val="00CD378C"/>
    <w:rsid w:val="00CD44AB"/>
    <w:rsid w:val="00CD71A2"/>
    <w:rsid w:val="00CD7243"/>
    <w:rsid w:val="00CD7585"/>
    <w:rsid w:val="00CD7F53"/>
    <w:rsid w:val="00CE00CD"/>
    <w:rsid w:val="00CE13EC"/>
    <w:rsid w:val="00CE2DBA"/>
    <w:rsid w:val="00CE4180"/>
    <w:rsid w:val="00CE5519"/>
    <w:rsid w:val="00CE5A43"/>
    <w:rsid w:val="00CE6477"/>
    <w:rsid w:val="00CE6780"/>
    <w:rsid w:val="00CE77BB"/>
    <w:rsid w:val="00CE7D31"/>
    <w:rsid w:val="00CF0383"/>
    <w:rsid w:val="00CF0387"/>
    <w:rsid w:val="00CF127A"/>
    <w:rsid w:val="00CF1C35"/>
    <w:rsid w:val="00CF228C"/>
    <w:rsid w:val="00CF2490"/>
    <w:rsid w:val="00CF267B"/>
    <w:rsid w:val="00CF3DD9"/>
    <w:rsid w:val="00CF3F92"/>
    <w:rsid w:val="00CF455C"/>
    <w:rsid w:val="00CF7B11"/>
    <w:rsid w:val="00CF7BB8"/>
    <w:rsid w:val="00D01C7D"/>
    <w:rsid w:val="00D027BE"/>
    <w:rsid w:val="00D02D55"/>
    <w:rsid w:val="00D02D59"/>
    <w:rsid w:val="00D03512"/>
    <w:rsid w:val="00D0476C"/>
    <w:rsid w:val="00D0571E"/>
    <w:rsid w:val="00D058E6"/>
    <w:rsid w:val="00D06569"/>
    <w:rsid w:val="00D06A07"/>
    <w:rsid w:val="00D10B61"/>
    <w:rsid w:val="00D10BFE"/>
    <w:rsid w:val="00D111D2"/>
    <w:rsid w:val="00D116F9"/>
    <w:rsid w:val="00D1281A"/>
    <w:rsid w:val="00D12AAF"/>
    <w:rsid w:val="00D12FE1"/>
    <w:rsid w:val="00D13276"/>
    <w:rsid w:val="00D136F9"/>
    <w:rsid w:val="00D13A97"/>
    <w:rsid w:val="00D13FCA"/>
    <w:rsid w:val="00D14784"/>
    <w:rsid w:val="00D14DCB"/>
    <w:rsid w:val="00D14E02"/>
    <w:rsid w:val="00D155D7"/>
    <w:rsid w:val="00D15A7B"/>
    <w:rsid w:val="00D15C5C"/>
    <w:rsid w:val="00D20FF2"/>
    <w:rsid w:val="00D21820"/>
    <w:rsid w:val="00D21962"/>
    <w:rsid w:val="00D21B00"/>
    <w:rsid w:val="00D2244F"/>
    <w:rsid w:val="00D22941"/>
    <w:rsid w:val="00D2294A"/>
    <w:rsid w:val="00D22E84"/>
    <w:rsid w:val="00D237C7"/>
    <w:rsid w:val="00D24140"/>
    <w:rsid w:val="00D24D5A"/>
    <w:rsid w:val="00D25BCC"/>
    <w:rsid w:val="00D26F5D"/>
    <w:rsid w:val="00D2724C"/>
    <w:rsid w:val="00D3103B"/>
    <w:rsid w:val="00D332A2"/>
    <w:rsid w:val="00D338C5"/>
    <w:rsid w:val="00D355DC"/>
    <w:rsid w:val="00D35A09"/>
    <w:rsid w:val="00D35C08"/>
    <w:rsid w:val="00D36053"/>
    <w:rsid w:val="00D363A5"/>
    <w:rsid w:val="00D379FA"/>
    <w:rsid w:val="00D41DF1"/>
    <w:rsid w:val="00D4263A"/>
    <w:rsid w:val="00D42948"/>
    <w:rsid w:val="00D43497"/>
    <w:rsid w:val="00D43C37"/>
    <w:rsid w:val="00D43EC9"/>
    <w:rsid w:val="00D4401E"/>
    <w:rsid w:val="00D45759"/>
    <w:rsid w:val="00D50AE7"/>
    <w:rsid w:val="00D50DE8"/>
    <w:rsid w:val="00D51AB3"/>
    <w:rsid w:val="00D5282E"/>
    <w:rsid w:val="00D55921"/>
    <w:rsid w:val="00D56917"/>
    <w:rsid w:val="00D576FB"/>
    <w:rsid w:val="00D57937"/>
    <w:rsid w:val="00D606B3"/>
    <w:rsid w:val="00D615A7"/>
    <w:rsid w:val="00D63B04"/>
    <w:rsid w:val="00D64780"/>
    <w:rsid w:val="00D6539C"/>
    <w:rsid w:val="00D7051A"/>
    <w:rsid w:val="00D706A6"/>
    <w:rsid w:val="00D7161D"/>
    <w:rsid w:val="00D71C14"/>
    <w:rsid w:val="00D7215C"/>
    <w:rsid w:val="00D72EF3"/>
    <w:rsid w:val="00D74972"/>
    <w:rsid w:val="00D74E19"/>
    <w:rsid w:val="00D74F57"/>
    <w:rsid w:val="00D750B4"/>
    <w:rsid w:val="00D75103"/>
    <w:rsid w:val="00D75B4F"/>
    <w:rsid w:val="00D76CD1"/>
    <w:rsid w:val="00D80923"/>
    <w:rsid w:val="00D81DE7"/>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5310"/>
    <w:rsid w:val="00D9611B"/>
    <w:rsid w:val="00D9632A"/>
    <w:rsid w:val="00DA10B8"/>
    <w:rsid w:val="00DA12DD"/>
    <w:rsid w:val="00DA40E4"/>
    <w:rsid w:val="00DA4F6D"/>
    <w:rsid w:val="00DA5697"/>
    <w:rsid w:val="00DA5765"/>
    <w:rsid w:val="00DA6DAC"/>
    <w:rsid w:val="00DA7BDD"/>
    <w:rsid w:val="00DB0E78"/>
    <w:rsid w:val="00DB1A81"/>
    <w:rsid w:val="00DB1FD4"/>
    <w:rsid w:val="00DB2094"/>
    <w:rsid w:val="00DB28A3"/>
    <w:rsid w:val="00DB40D3"/>
    <w:rsid w:val="00DB4224"/>
    <w:rsid w:val="00DB604A"/>
    <w:rsid w:val="00DB7AF3"/>
    <w:rsid w:val="00DB7B1C"/>
    <w:rsid w:val="00DC042C"/>
    <w:rsid w:val="00DC195D"/>
    <w:rsid w:val="00DC2799"/>
    <w:rsid w:val="00DC27A9"/>
    <w:rsid w:val="00DC2F97"/>
    <w:rsid w:val="00DC3731"/>
    <w:rsid w:val="00DC37FF"/>
    <w:rsid w:val="00DC416E"/>
    <w:rsid w:val="00DC51A2"/>
    <w:rsid w:val="00DD0348"/>
    <w:rsid w:val="00DD0D61"/>
    <w:rsid w:val="00DD1220"/>
    <w:rsid w:val="00DD1B08"/>
    <w:rsid w:val="00DD48EE"/>
    <w:rsid w:val="00DD5DB4"/>
    <w:rsid w:val="00DD5F64"/>
    <w:rsid w:val="00DD69E7"/>
    <w:rsid w:val="00DD6B47"/>
    <w:rsid w:val="00DD6BF7"/>
    <w:rsid w:val="00DE09E6"/>
    <w:rsid w:val="00DE133C"/>
    <w:rsid w:val="00DE1E19"/>
    <w:rsid w:val="00DE2DBD"/>
    <w:rsid w:val="00DE33D6"/>
    <w:rsid w:val="00DE3B4C"/>
    <w:rsid w:val="00DE5E6B"/>
    <w:rsid w:val="00DE7D9C"/>
    <w:rsid w:val="00DF226A"/>
    <w:rsid w:val="00DF4E81"/>
    <w:rsid w:val="00DF5EF8"/>
    <w:rsid w:val="00DF627A"/>
    <w:rsid w:val="00DF6D53"/>
    <w:rsid w:val="00DF7813"/>
    <w:rsid w:val="00E00836"/>
    <w:rsid w:val="00E0164F"/>
    <w:rsid w:val="00E02153"/>
    <w:rsid w:val="00E028FA"/>
    <w:rsid w:val="00E02CC7"/>
    <w:rsid w:val="00E0761B"/>
    <w:rsid w:val="00E10D35"/>
    <w:rsid w:val="00E1144F"/>
    <w:rsid w:val="00E117C7"/>
    <w:rsid w:val="00E122AB"/>
    <w:rsid w:val="00E12723"/>
    <w:rsid w:val="00E130C7"/>
    <w:rsid w:val="00E1560C"/>
    <w:rsid w:val="00E1625D"/>
    <w:rsid w:val="00E16487"/>
    <w:rsid w:val="00E17000"/>
    <w:rsid w:val="00E17881"/>
    <w:rsid w:val="00E17902"/>
    <w:rsid w:val="00E17D96"/>
    <w:rsid w:val="00E21601"/>
    <w:rsid w:val="00E23012"/>
    <w:rsid w:val="00E25472"/>
    <w:rsid w:val="00E25A3A"/>
    <w:rsid w:val="00E271E0"/>
    <w:rsid w:val="00E3111A"/>
    <w:rsid w:val="00E314BE"/>
    <w:rsid w:val="00E3260C"/>
    <w:rsid w:val="00E3368F"/>
    <w:rsid w:val="00E345EC"/>
    <w:rsid w:val="00E349F9"/>
    <w:rsid w:val="00E34F00"/>
    <w:rsid w:val="00E354BE"/>
    <w:rsid w:val="00E35D0D"/>
    <w:rsid w:val="00E36C8D"/>
    <w:rsid w:val="00E406A5"/>
    <w:rsid w:val="00E41EF5"/>
    <w:rsid w:val="00E436C1"/>
    <w:rsid w:val="00E45AB4"/>
    <w:rsid w:val="00E46EA2"/>
    <w:rsid w:val="00E473E0"/>
    <w:rsid w:val="00E4759D"/>
    <w:rsid w:val="00E511DA"/>
    <w:rsid w:val="00E51948"/>
    <w:rsid w:val="00E52CAF"/>
    <w:rsid w:val="00E537EC"/>
    <w:rsid w:val="00E537FE"/>
    <w:rsid w:val="00E54003"/>
    <w:rsid w:val="00E545BB"/>
    <w:rsid w:val="00E571C1"/>
    <w:rsid w:val="00E57767"/>
    <w:rsid w:val="00E5779A"/>
    <w:rsid w:val="00E57AD5"/>
    <w:rsid w:val="00E60992"/>
    <w:rsid w:val="00E60F1B"/>
    <w:rsid w:val="00E64083"/>
    <w:rsid w:val="00E67503"/>
    <w:rsid w:val="00E67852"/>
    <w:rsid w:val="00E67C99"/>
    <w:rsid w:val="00E7060B"/>
    <w:rsid w:val="00E71AE0"/>
    <w:rsid w:val="00E71BCE"/>
    <w:rsid w:val="00E7276A"/>
    <w:rsid w:val="00E727B3"/>
    <w:rsid w:val="00E72EB5"/>
    <w:rsid w:val="00E74065"/>
    <w:rsid w:val="00E7433F"/>
    <w:rsid w:val="00E7776E"/>
    <w:rsid w:val="00E80490"/>
    <w:rsid w:val="00E8179F"/>
    <w:rsid w:val="00E82431"/>
    <w:rsid w:val="00E83724"/>
    <w:rsid w:val="00E84496"/>
    <w:rsid w:val="00E8604F"/>
    <w:rsid w:val="00E8687C"/>
    <w:rsid w:val="00E87AE1"/>
    <w:rsid w:val="00E92558"/>
    <w:rsid w:val="00E9281D"/>
    <w:rsid w:val="00E92B3B"/>
    <w:rsid w:val="00E935A3"/>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5BB9"/>
    <w:rsid w:val="00EA62EE"/>
    <w:rsid w:val="00EA6865"/>
    <w:rsid w:val="00EA7F2E"/>
    <w:rsid w:val="00EB1F2D"/>
    <w:rsid w:val="00EB3305"/>
    <w:rsid w:val="00EB3646"/>
    <w:rsid w:val="00EB4158"/>
    <w:rsid w:val="00EB41C8"/>
    <w:rsid w:val="00EB67DE"/>
    <w:rsid w:val="00EB6DE2"/>
    <w:rsid w:val="00EB7BB6"/>
    <w:rsid w:val="00EC1CE3"/>
    <w:rsid w:val="00EC2238"/>
    <w:rsid w:val="00EC26D7"/>
    <w:rsid w:val="00EC388D"/>
    <w:rsid w:val="00EC3B1D"/>
    <w:rsid w:val="00EC5C57"/>
    <w:rsid w:val="00EC5D9E"/>
    <w:rsid w:val="00EC7237"/>
    <w:rsid w:val="00ED02E1"/>
    <w:rsid w:val="00ED08B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423A"/>
    <w:rsid w:val="00EF4723"/>
    <w:rsid w:val="00EF5504"/>
    <w:rsid w:val="00EF58B0"/>
    <w:rsid w:val="00EF6329"/>
    <w:rsid w:val="00F00438"/>
    <w:rsid w:val="00F00652"/>
    <w:rsid w:val="00F03175"/>
    <w:rsid w:val="00F04064"/>
    <w:rsid w:val="00F0411F"/>
    <w:rsid w:val="00F050BD"/>
    <w:rsid w:val="00F05745"/>
    <w:rsid w:val="00F06134"/>
    <w:rsid w:val="00F06BD5"/>
    <w:rsid w:val="00F06EE5"/>
    <w:rsid w:val="00F074CA"/>
    <w:rsid w:val="00F1028E"/>
    <w:rsid w:val="00F10543"/>
    <w:rsid w:val="00F121EC"/>
    <w:rsid w:val="00F12498"/>
    <w:rsid w:val="00F12826"/>
    <w:rsid w:val="00F137BC"/>
    <w:rsid w:val="00F13FCA"/>
    <w:rsid w:val="00F140D8"/>
    <w:rsid w:val="00F15519"/>
    <w:rsid w:val="00F157CB"/>
    <w:rsid w:val="00F15868"/>
    <w:rsid w:val="00F17BA4"/>
    <w:rsid w:val="00F17E17"/>
    <w:rsid w:val="00F2074B"/>
    <w:rsid w:val="00F2108C"/>
    <w:rsid w:val="00F21FF5"/>
    <w:rsid w:val="00F231B9"/>
    <w:rsid w:val="00F24809"/>
    <w:rsid w:val="00F2526E"/>
    <w:rsid w:val="00F261E1"/>
    <w:rsid w:val="00F270DC"/>
    <w:rsid w:val="00F27344"/>
    <w:rsid w:val="00F3190D"/>
    <w:rsid w:val="00F31F03"/>
    <w:rsid w:val="00F32319"/>
    <w:rsid w:val="00F324C8"/>
    <w:rsid w:val="00F332C0"/>
    <w:rsid w:val="00F33B5A"/>
    <w:rsid w:val="00F33B73"/>
    <w:rsid w:val="00F3493B"/>
    <w:rsid w:val="00F350E2"/>
    <w:rsid w:val="00F3551E"/>
    <w:rsid w:val="00F373A1"/>
    <w:rsid w:val="00F376EF"/>
    <w:rsid w:val="00F37BFA"/>
    <w:rsid w:val="00F40029"/>
    <w:rsid w:val="00F41031"/>
    <w:rsid w:val="00F4190B"/>
    <w:rsid w:val="00F43E27"/>
    <w:rsid w:val="00F43EAF"/>
    <w:rsid w:val="00F47310"/>
    <w:rsid w:val="00F5057B"/>
    <w:rsid w:val="00F50CA1"/>
    <w:rsid w:val="00F51A46"/>
    <w:rsid w:val="00F51E73"/>
    <w:rsid w:val="00F52354"/>
    <w:rsid w:val="00F550B1"/>
    <w:rsid w:val="00F567D0"/>
    <w:rsid w:val="00F56849"/>
    <w:rsid w:val="00F60ACF"/>
    <w:rsid w:val="00F61137"/>
    <w:rsid w:val="00F61CB7"/>
    <w:rsid w:val="00F62424"/>
    <w:rsid w:val="00F62AFE"/>
    <w:rsid w:val="00F63045"/>
    <w:rsid w:val="00F64AB1"/>
    <w:rsid w:val="00F661CF"/>
    <w:rsid w:val="00F703EA"/>
    <w:rsid w:val="00F711AE"/>
    <w:rsid w:val="00F72A07"/>
    <w:rsid w:val="00F73774"/>
    <w:rsid w:val="00F74907"/>
    <w:rsid w:val="00F7523A"/>
    <w:rsid w:val="00F7583C"/>
    <w:rsid w:val="00F76429"/>
    <w:rsid w:val="00F7707A"/>
    <w:rsid w:val="00F77386"/>
    <w:rsid w:val="00F77714"/>
    <w:rsid w:val="00F80461"/>
    <w:rsid w:val="00F80AAE"/>
    <w:rsid w:val="00F811C3"/>
    <w:rsid w:val="00F813BA"/>
    <w:rsid w:val="00F817B9"/>
    <w:rsid w:val="00F817C4"/>
    <w:rsid w:val="00F819DC"/>
    <w:rsid w:val="00F820C9"/>
    <w:rsid w:val="00F8291A"/>
    <w:rsid w:val="00F82E1F"/>
    <w:rsid w:val="00F837A3"/>
    <w:rsid w:val="00F8474A"/>
    <w:rsid w:val="00F864ED"/>
    <w:rsid w:val="00F8723F"/>
    <w:rsid w:val="00F872FF"/>
    <w:rsid w:val="00F9169F"/>
    <w:rsid w:val="00F9200A"/>
    <w:rsid w:val="00F92412"/>
    <w:rsid w:val="00F92A0F"/>
    <w:rsid w:val="00F92EF6"/>
    <w:rsid w:val="00F93204"/>
    <w:rsid w:val="00F94F30"/>
    <w:rsid w:val="00F956C0"/>
    <w:rsid w:val="00F96766"/>
    <w:rsid w:val="00FA05D5"/>
    <w:rsid w:val="00FA12D1"/>
    <w:rsid w:val="00FA3F2F"/>
    <w:rsid w:val="00FA4487"/>
    <w:rsid w:val="00FA5FCD"/>
    <w:rsid w:val="00FA627D"/>
    <w:rsid w:val="00FA7638"/>
    <w:rsid w:val="00FB0C81"/>
    <w:rsid w:val="00FB24A6"/>
    <w:rsid w:val="00FB29F2"/>
    <w:rsid w:val="00FB2D03"/>
    <w:rsid w:val="00FB362D"/>
    <w:rsid w:val="00FB3EBA"/>
    <w:rsid w:val="00FB3FAD"/>
    <w:rsid w:val="00FB6C2F"/>
    <w:rsid w:val="00FB7346"/>
    <w:rsid w:val="00FC2966"/>
    <w:rsid w:val="00FC3C27"/>
    <w:rsid w:val="00FC4895"/>
    <w:rsid w:val="00FC4CF9"/>
    <w:rsid w:val="00FC4E21"/>
    <w:rsid w:val="00FC5894"/>
    <w:rsid w:val="00FC6672"/>
    <w:rsid w:val="00FC76D0"/>
    <w:rsid w:val="00FD0B13"/>
    <w:rsid w:val="00FD10A8"/>
    <w:rsid w:val="00FD202D"/>
    <w:rsid w:val="00FD45E2"/>
    <w:rsid w:val="00FD74D0"/>
    <w:rsid w:val="00FD799B"/>
    <w:rsid w:val="00FE1F65"/>
    <w:rsid w:val="00FE3A58"/>
    <w:rsid w:val="00FE4F5A"/>
    <w:rsid w:val="00FE51BE"/>
    <w:rsid w:val="00FE52CD"/>
    <w:rsid w:val="00FE562B"/>
    <w:rsid w:val="00FE5D7A"/>
    <w:rsid w:val="00FE62A7"/>
    <w:rsid w:val="00FE66D8"/>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character" w:customStyle="1" w:styleId="footnoteanchor">
    <w:name w:val="footnoteanchor"/>
    <w:basedOn w:val="DefaultParagraphFont"/>
    <w:rsid w:val="003414D9"/>
  </w:style>
  <w:style w:type="paragraph" w:customStyle="1" w:styleId="fnotetext">
    <w:name w:val="fnotetext"/>
    <w:basedOn w:val="Normal"/>
    <w:rsid w:val="00C96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para">
    <w:name w:val="lrpara"/>
    <w:basedOn w:val="Normal"/>
    <w:rsid w:val="005E31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quote">
    <w:name w:val="lrquote"/>
    <w:basedOn w:val="Normal"/>
    <w:rsid w:val="005E3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21381115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07828175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3.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9F8A09-2B67-445E-AA27-9FD8C07D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cp:lastModifiedBy>
  <cp:revision>3</cp:revision>
  <cp:lastPrinted>2024-01-08T05:37:00Z</cp:lastPrinted>
  <dcterms:created xsi:type="dcterms:W3CDTF">2024-01-17T13:36:00Z</dcterms:created>
  <dcterms:modified xsi:type="dcterms:W3CDTF">2024-01-18T17:56:00Z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