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47E7" w14:textId="77777777" w:rsidR="004572DF" w:rsidRDefault="006F6C3A" w:rsidP="00653CC8">
      <w:pPr>
        <w:rPr>
          <w:rFonts w:ascii="Arial" w:hAnsi="Arial" w:cs="Arial"/>
          <w:b/>
        </w:rPr>
      </w:pPr>
      <w:r>
        <w:rPr>
          <w:rFonts w:ascii="Arial" w:hAnsi="Arial" w:cs="Arial"/>
        </w:rPr>
        <w:t xml:space="preserve">                                 </w:t>
      </w:r>
      <w:r>
        <w:rPr>
          <w:rFonts w:ascii="Arial" w:hAnsi="Arial" w:cs="Arial"/>
          <w:b/>
        </w:rPr>
        <w:t xml:space="preserve">   </w:t>
      </w:r>
    </w:p>
    <w:p w14:paraId="49AF1B87" w14:textId="77777777" w:rsidR="00D341AD" w:rsidRDefault="00D341AD" w:rsidP="00D341AD">
      <w:pPr>
        <w:rPr>
          <w:rFonts w:ascii="Arial" w:hAnsi="Arial" w:cs="Arial"/>
          <w:b/>
        </w:rPr>
      </w:pPr>
    </w:p>
    <w:p w14:paraId="26C6D911" w14:textId="03F61733" w:rsidR="00D341AD" w:rsidRDefault="00D341AD" w:rsidP="00D341AD">
      <w:pPr>
        <w:rPr>
          <w:rFonts w:ascii="Arial" w:hAnsi="Arial" w:cs="Arial"/>
          <w:lang w:val="en-US"/>
        </w:rPr>
      </w:pPr>
      <w:r>
        <w:rPr>
          <w:rFonts w:ascii="Arial" w:hAnsi="Arial" w:cs="Arial"/>
          <w:b/>
        </w:rPr>
        <w:t xml:space="preserve">                                      </w:t>
      </w:r>
      <w:r w:rsidR="006F6C3A">
        <w:rPr>
          <w:rFonts w:ascii="Arial" w:hAnsi="Arial" w:cs="Arial"/>
          <w:b/>
        </w:rPr>
        <w:t>REPUBLIC OF SOUTH AFRICA</w:t>
      </w:r>
    </w:p>
    <w:p w14:paraId="5DD47482" w14:textId="77777777" w:rsidR="00D341AD" w:rsidRDefault="00D341AD" w:rsidP="00D341AD">
      <w:pPr>
        <w:rPr>
          <w:rFonts w:ascii="Arial" w:hAnsi="Arial" w:cs="Arial"/>
          <w:lang w:val="en-US"/>
        </w:rPr>
      </w:pPr>
    </w:p>
    <w:p w14:paraId="7CD8256B" w14:textId="6086C781" w:rsidR="006F6C3A" w:rsidRPr="00ED67FC" w:rsidRDefault="00D341AD" w:rsidP="00D341AD">
      <w:pPr>
        <w:jc w:val="center"/>
        <w:rPr>
          <w:noProof/>
          <w:lang w:eastAsia="en-ZA"/>
        </w:rPr>
      </w:pPr>
      <w:r>
        <w:rPr>
          <w:noProof/>
          <w:lang w:eastAsia="en-ZA"/>
        </w:rPr>
        <w:t xml:space="preserve">                </w:t>
      </w:r>
      <w:r w:rsidR="006F6C3A">
        <w:rPr>
          <w:rFonts w:ascii="Arial" w:hAnsi="Arial" w:cs="Arial"/>
          <w:noProof/>
          <w:lang w:eastAsia="en-ZA"/>
        </w:rPr>
        <w:drawing>
          <wp:inline distT="0" distB="0" distL="0" distR="0" wp14:anchorId="2001D20E" wp14:editId="00E42EC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6F6C3A">
        <w:rPr>
          <w:noProof/>
          <w:lang w:eastAsia="en-ZA"/>
        </w:rPr>
        <mc:AlternateContent>
          <mc:Choice Requires="wpg">
            <w:drawing>
              <wp:inline distT="0" distB="0" distL="0" distR="0" wp14:anchorId="4CE2DA36" wp14:editId="35DA2E9F">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76B5C"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20395819" w14:textId="77777777" w:rsidR="00D341AD" w:rsidRDefault="006F6C3A" w:rsidP="00D341AD">
      <w:pPr>
        <w:jc w:val="center"/>
        <w:rPr>
          <w:rFonts w:ascii="Arial" w:hAnsi="Arial" w:cs="Arial"/>
          <w:b/>
        </w:rPr>
      </w:pPr>
      <w:r>
        <w:rPr>
          <w:rFonts w:ascii="Arial" w:hAnsi="Arial" w:cs="Arial"/>
          <w:b/>
        </w:rPr>
        <w:t xml:space="preserve">IN THE HIGH COURT OF SOUTH AFRICA, </w:t>
      </w:r>
      <w:r w:rsidR="00D341AD">
        <w:rPr>
          <w:rFonts w:ascii="Arial" w:hAnsi="Arial" w:cs="Arial"/>
          <w:b/>
        </w:rPr>
        <w:t xml:space="preserve"> </w:t>
      </w:r>
    </w:p>
    <w:p w14:paraId="772BE5C1" w14:textId="7487FE72" w:rsidR="006F6C3A" w:rsidRDefault="006F6C3A" w:rsidP="00D341AD">
      <w:pPr>
        <w:jc w:val="center"/>
        <w:rPr>
          <w:rFonts w:ascii="Arial" w:hAnsi="Arial" w:cs="Arial"/>
          <w:b/>
        </w:rPr>
      </w:pPr>
      <w:r>
        <w:rPr>
          <w:rFonts w:ascii="Arial" w:hAnsi="Arial" w:cs="Arial"/>
          <w:b/>
        </w:rPr>
        <w:t>GAUTENG LOCAL DIVISION, JOHANNESBURG</w:t>
      </w:r>
    </w:p>
    <w:p w14:paraId="6A1A0E8D" w14:textId="77777777" w:rsidR="006F6C3A" w:rsidRDefault="006F6C3A" w:rsidP="006F6C3A">
      <w:pPr>
        <w:rPr>
          <w:rFonts w:ascii="Arial" w:hAnsi="Arial" w:cs="Arial"/>
          <w:b/>
        </w:rPr>
      </w:pPr>
    </w:p>
    <w:p w14:paraId="088418B1" w14:textId="77777777" w:rsidR="00280D61" w:rsidRDefault="006F6C3A" w:rsidP="006F6C3A">
      <w:pPr>
        <w:jc w:val="center"/>
        <w:rPr>
          <w:rFonts w:ascii="Arial" w:hAnsi="Arial" w:cs="Arial"/>
          <w:b/>
        </w:rPr>
      </w:pPr>
      <w:r>
        <w:rPr>
          <w:rFonts w:ascii="Arial" w:hAnsi="Arial" w:cs="Arial"/>
          <w:b/>
        </w:rPr>
        <w:t xml:space="preserve">                                                                      </w:t>
      </w:r>
      <w:r w:rsidR="0016480B">
        <w:rPr>
          <w:rFonts w:ascii="Arial" w:hAnsi="Arial" w:cs="Arial"/>
          <w:b/>
        </w:rPr>
        <w:t xml:space="preserve">        </w:t>
      </w:r>
    </w:p>
    <w:p w14:paraId="04AD37BB" w14:textId="17F0D26F" w:rsidR="006F6C3A" w:rsidRDefault="00280D61" w:rsidP="00966E6B">
      <w:pPr>
        <w:rPr>
          <w:rFonts w:ascii="Arial" w:hAnsi="Arial" w:cs="Arial"/>
          <w:b/>
        </w:rPr>
      </w:pPr>
      <w:r>
        <w:rPr>
          <w:rFonts w:ascii="Arial" w:hAnsi="Arial" w:cs="Arial"/>
          <w:b/>
        </w:rPr>
        <w:t xml:space="preserve">                                                                                            </w:t>
      </w:r>
      <w:r w:rsidR="0016480B">
        <w:rPr>
          <w:rFonts w:ascii="Arial" w:hAnsi="Arial" w:cs="Arial"/>
          <w:b/>
        </w:rPr>
        <w:t xml:space="preserve">  CASE NO. 20</w:t>
      </w:r>
      <w:r w:rsidR="004E0AD1">
        <w:rPr>
          <w:rFonts w:ascii="Arial" w:hAnsi="Arial" w:cs="Arial"/>
          <w:b/>
        </w:rPr>
        <w:t>19/11156</w:t>
      </w:r>
    </w:p>
    <w:p w14:paraId="0305CB10" w14:textId="4ABD37D1" w:rsidR="005A0EC3" w:rsidRDefault="005A0EC3" w:rsidP="00966E6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44498">
        <w:rPr>
          <w:rFonts w:ascii="Arial" w:hAnsi="Arial" w:cs="Arial"/>
          <w:b/>
        </w:rPr>
        <w:t xml:space="preserve"> </w:t>
      </w:r>
      <w:r>
        <w:rPr>
          <w:rFonts w:ascii="Arial" w:hAnsi="Arial" w:cs="Arial"/>
          <w:b/>
        </w:rPr>
        <w:t xml:space="preserve">CASE NO. </w:t>
      </w:r>
      <w:r w:rsidR="009D2E43">
        <w:rPr>
          <w:rFonts w:ascii="Arial" w:hAnsi="Arial" w:cs="Arial"/>
          <w:b/>
        </w:rPr>
        <w:t>2020/</w:t>
      </w:r>
      <w:r w:rsidR="00D341AD">
        <w:rPr>
          <w:rFonts w:ascii="Arial" w:hAnsi="Arial" w:cs="Arial"/>
          <w:b/>
        </w:rPr>
        <w:t>0</w:t>
      </w:r>
      <w:r w:rsidR="009D2E43">
        <w:rPr>
          <w:rFonts w:ascii="Arial" w:hAnsi="Arial" w:cs="Arial"/>
          <w:b/>
        </w:rPr>
        <w:t>5922</w:t>
      </w:r>
    </w:p>
    <w:p w14:paraId="005B147B" w14:textId="300D6A93" w:rsidR="005A0EC3" w:rsidRDefault="005A0EC3" w:rsidP="00966E6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44498">
        <w:rPr>
          <w:rFonts w:ascii="Arial" w:hAnsi="Arial" w:cs="Arial"/>
          <w:b/>
        </w:rPr>
        <w:t xml:space="preserve">        CASE </w:t>
      </w:r>
      <w:r w:rsidR="00B53344">
        <w:rPr>
          <w:rFonts w:ascii="Arial" w:hAnsi="Arial" w:cs="Arial"/>
          <w:b/>
        </w:rPr>
        <w:t xml:space="preserve">NO. </w:t>
      </w:r>
      <w:r w:rsidR="009D2E43">
        <w:rPr>
          <w:rFonts w:ascii="Arial" w:hAnsi="Arial" w:cs="Arial"/>
          <w:b/>
        </w:rPr>
        <w:t>2019/</w:t>
      </w:r>
      <w:r w:rsidR="00D341AD">
        <w:rPr>
          <w:rFonts w:ascii="Arial" w:hAnsi="Arial" w:cs="Arial"/>
          <w:b/>
        </w:rPr>
        <w:t>28478</w:t>
      </w:r>
    </w:p>
    <w:p w14:paraId="4D8C3D89" w14:textId="5E70C0AC" w:rsidR="0016480B" w:rsidRDefault="0016480B" w:rsidP="006F6C3A">
      <w:pPr>
        <w:jc w:val="center"/>
        <w:rPr>
          <w:rFonts w:ascii="Arial" w:hAnsi="Arial" w:cs="Arial"/>
          <w:b/>
        </w:rPr>
      </w:pPr>
    </w:p>
    <w:p w14:paraId="09DC74F0" w14:textId="33EDCDCC" w:rsidR="0016480B" w:rsidRDefault="00280D61" w:rsidP="006F6C3A">
      <w:pPr>
        <w:jc w:val="center"/>
        <w:rPr>
          <w:rFonts w:ascii="Arial" w:hAnsi="Arial" w:cs="Arial"/>
          <w:b/>
        </w:rPr>
      </w:pPr>
      <w:r>
        <w:rPr>
          <w:noProof/>
          <w:lang w:eastAsia="en-ZA"/>
        </w:rPr>
        <mc:AlternateContent>
          <mc:Choice Requires="wps">
            <w:drawing>
              <wp:anchor distT="0" distB="0" distL="114300" distR="114300" simplePos="0" relativeHeight="251659264" behindDoc="0" locked="0" layoutInCell="1" allowOverlap="1" wp14:anchorId="0E3B6960" wp14:editId="6BF10973">
                <wp:simplePos x="0" y="0"/>
                <wp:positionH relativeFrom="column">
                  <wp:posOffset>-482600</wp:posOffset>
                </wp:positionH>
                <wp:positionV relativeFrom="paragraph">
                  <wp:posOffset>199390</wp:posOffset>
                </wp:positionV>
                <wp:extent cx="3536950" cy="1117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117600"/>
                        </a:xfrm>
                        <a:prstGeom prst="rect">
                          <a:avLst/>
                        </a:prstGeom>
                        <a:solidFill>
                          <a:srgbClr val="FFFFFF"/>
                        </a:solidFill>
                        <a:ln w="9525">
                          <a:solidFill>
                            <a:srgbClr val="000000"/>
                          </a:solidFill>
                          <a:miter lim="800000"/>
                          <a:headEnd/>
                          <a:tailEnd/>
                        </a:ln>
                      </wps:spPr>
                      <wps:txbx>
                        <w:txbxContent>
                          <w:p w14:paraId="32458887" w14:textId="77777777" w:rsidR="00790F52" w:rsidRDefault="00790F52" w:rsidP="006F6C3A">
                            <w:pPr>
                              <w:jc w:val="center"/>
                              <w:rPr>
                                <w:rFonts w:ascii="Century Gothic" w:hAnsi="Century Gothic"/>
                                <w:b/>
                                <w:sz w:val="20"/>
                                <w:szCs w:val="20"/>
                              </w:rPr>
                            </w:pPr>
                          </w:p>
                          <w:p w14:paraId="30938114" w14:textId="6228F51E"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REPORTABLE:   </w:t>
                            </w:r>
                            <w:r w:rsidR="001A4E6D">
                              <w:rPr>
                                <w:rFonts w:ascii="Century Gothic" w:hAnsi="Century Gothic"/>
                                <w:sz w:val="20"/>
                                <w:szCs w:val="20"/>
                              </w:rPr>
                              <w:t>YES/</w:t>
                            </w:r>
                            <w:r>
                              <w:rPr>
                                <w:rFonts w:ascii="Century Gothic" w:hAnsi="Century Gothic"/>
                                <w:sz w:val="20"/>
                                <w:szCs w:val="20"/>
                              </w:rPr>
                              <w:t>NO</w:t>
                            </w:r>
                          </w:p>
                          <w:p w14:paraId="25CBB488" w14:textId="399A0B44"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OF INTEREST TO OTHER </w:t>
                            </w:r>
                            <w:r w:rsidR="00280D61">
                              <w:rPr>
                                <w:rFonts w:ascii="Century Gothic" w:hAnsi="Century Gothic"/>
                                <w:sz w:val="20"/>
                                <w:szCs w:val="20"/>
                              </w:rPr>
                              <w:t>JUDGES: YES</w:t>
                            </w:r>
                            <w:r w:rsidR="001A4E6D">
                              <w:rPr>
                                <w:rFonts w:ascii="Century Gothic" w:hAnsi="Century Gothic"/>
                                <w:sz w:val="20"/>
                                <w:szCs w:val="20"/>
                              </w:rPr>
                              <w:t>/</w:t>
                            </w:r>
                            <w:r>
                              <w:rPr>
                                <w:rFonts w:ascii="Century Gothic" w:hAnsi="Century Gothic"/>
                                <w:sz w:val="20"/>
                                <w:szCs w:val="20"/>
                              </w:rPr>
                              <w:t xml:space="preserve"> NO</w:t>
                            </w:r>
                          </w:p>
                          <w:p w14:paraId="12D99E33" w14:textId="41654B10"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REVISED.  </w:t>
                            </w:r>
                            <w:r w:rsidR="001A4E6D">
                              <w:rPr>
                                <w:rFonts w:ascii="Century Gothic" w:hAnsi="Century Gothic"/>
                                <w:sz w:val="20"/>
                                <w:szCs w:val="20"/>
                              </w:rPr>
                              <w:t>YES/</w:t>
                            </w:r>
                            <w:r>
                              <w:rPr>
                                <w:rFonts w:ascii="Century Gothic" w:hAnsi="Century Gothic"/>
                                <w:sz w:val="20"/>
                                <w:szCs w:val="20"/>
                              </w:rPr>
                              <w:t>NO</w:t>
                            </w:r>
                          </w:p>
                          <w:p w14:paraId="4196C75F"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p>
                          <w:p w14:paraId="506B4DDE"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790F52" w:rsidRDefault="00790F52"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3B6960" id="_x0000_t202" coordsize="21600,21600" o:spt="202" path="m,l,21600r21600,l21600,xe">
                <v:stroke joinstyle="miter"/>
                <v:path gradientshapeok="t" o:connecttype="rect"/>
              </v:shapetype>
              <v:shape id="Text Box 2" o:spid="_x0000_s1026" type="#_x0000_t202" style="position:absolute;left:0;text-align:left;margin-left:-38pt;margin-top:15.7pt;width:27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QbKwIAAFE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">
                <v:textbox>
                  <w:txbxContent>
                    <w:p w14:paraId="32458887" w14:textId="77777777" w:rsidR="00790F52" w:rsidRDefault="00790F52" w:rsidP="006F6C3A">
                      <w:pPr>
                        <w:jc w:val="center"/>
                        <w:rPr>
                          <w:rFonts w:ascii="Century Gothic" w:hAnsi="Century Gothic"/>
                          <w:b/>
                          <w:sz w:val="20"/>
                          <w:szCs w:val="20"/>
                        </w:rPr>
                      </w:pPr>
                    </w:p>
                    <w:p w14:paraId="30938114" w14:textId="6228F51E"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REPORTABLE:   </w:t>
                      </w:r>
                      <w:r w:rsidR="001A4E6D">
                        <w:rPr>
                          <w:rFonts w:ascii="Century Gothic" w:hAnsi="Century Gothic"/>
                          <w:sz w:val="20"/>
                          <w:szCs w:val="20"/>
                        </w:rPr>
                        <w:t>YES/</w:t>
                      </w:r>
                      <w:r>
                        <w:rPr>
                          <w:rFonts w:ascii="Century Gothic" w:hAnsi="Century Gothic"/>
                          <w:sz w:val="20"/>
                          <w:szCs w:val="20"/>
                        </w:rPr>
                        <w:t>NO</w:t>
                      </w:r>
                    </w:p>
                    <w:p w14:paraId="25CBB488" w14:textId="399A0B44"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OF INTEREST TO OTHER </w:t>
                      </w:r>
                      <w:r w:rsidR="00280D61">
                        <w:rPr>
                          <w:rFonts w:ascii="Century Gothic" w:hAnsi="Century Gothic"/>
                          <w:sz w:val="20"/>
                          <w:szCs w:val="20"/>
                        </w:rPr>
                        <w:t>JUDGES: YES</w:t>
                      </w:r>
                      <w:r w:rsidR="001A4E6D">
                        <w:rPr>
                          <w:rFonts w:ascii="Century Gothic" w:hAnsi="Century Gothic"/>
                          <w:sz w:val="20"/>
                          <w:szCs w:val="20"/>
                        </w:rPr>
                        <w:t>/</w:t>
                      </w:r>
                      <w:r>
                        <w:rPr>
                          <w:rFonts w:ascii="Century Gothic" w:hAnsi="Century Gothic"/>
                          <w:sz w:val="20"/>
                          <w:szCs w:val="20"/>
                        </w:rPr>
                        <w:t xml:space="preserve"> NO</w:t>
                      </w:r>
                    </w:p>
                    <w:p w14:paraId="12D99E33" w14:textId="41654B10" w:rsidR="00790F52" w:rsidRDefault="00790F52" w:rsidP="006F6C3A">
                      <w:pPr>
                        <w:numPr>
                          <w:ilvl w:val="0"/>
                          <w:numId w:val="1"/>
                        </w:numPr>
                        <w:rPr>
                          <w:rFonts w:ascii="Century Gothic" w:hAnsi="Century Gothic"/>
                          <w:sz w:val="20"/>
                          <w:szCs w:val="20"/>
                        </w:rPr>
                      </w:pPr>
                      <w:r>
                        <w:rPr>
                          <w:rFonts w:ascii="Century Gothic" w:hAnsi="Century Gothic"/>
                          <w:sz w:val="20"/>
                          <w:szCs w:val="20"/>
                        </w:rPr>
                        <w:t xml:space="preserve">REVISED.  </w:t>
                      </w:r>
                      <w:r w:rsidR="001A4E6D">
                        <w:rPr>
                          <w:rFonts w:ascii="Century Gothic" w:hAnsi="Century Gothic"/>
                          <w:sz w:val="20"/>
                          <w:szCs w:val="20"/>
                        </w:rPr>
                        <w:t>YES/</w:t>
                      </w:r>
                      <w:r>
                        <w:rPr>
                          <w:rFonts w:ascii="Century Gothic" w:hAnsi="Century Gothic"/>
                          <w:sz w:val="20"/>
                          <w:szCs w:val="20"/>
                        </w:rPr>
                        <w:t>NO</w:t>
                      </w:r>
                    </w:p>
                    <w:p w14:paraId="4196C75F"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p>
                    <w:p w14:paraId="506B4DDE" w14:textId="77777777" w:rsidR="00790F52" w:rsidRDefault="00790F52"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790F52" w:rsidRDefault="00790F52"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697ED64E" w14:textId="77777777" w:rsidR="0016480B" w:rsidRDefault="0016480B" w:rsidP="006F6C3A">
      <w:pPr>
        <w:jc w:val="center"/>
        <w:rPr>
          <w:rFonts w:ascii="Arial" w:hAnsi="Arial" w:cs="Arial"/>
          <w:b/>
        </w:rPr>
      </w:pPr>
    </w:p>
    <w:p w14:paraId="043FA1C2" w14:textId="77777777" w:rsidR="006F6C3A" w:rsidRDefault="006F6C3A" w:rsidP="006F6C3A">
      <w:pPr>
        <w:jc w:val="both"/>
        <w:rPr>
          <w:rFonts w:ascii="Arial" w:hAnsi="Arial" w:cs="Arial"/>
        </w:rPr>
      </w:pPr>
    </w:p>
    <w:p w14:paraId="182D3205" w14:textId="77777777" w:rsidR="006F6C3A" w:rsidRDefault="006F6C3A" w:rsidP="006F6C3A">
      <w:pPr>
        <w:jc w:val="both"/>
        <w:rPr>
          <w:rFonts w:ascii="Arial" w:hAnsi="Arial" w:cs="Arial"/>
        </w:rPr>
      </w:pPr>
    </w:p>
    <w:p w14:paraId="18E4B98B" w14:textId="77777777" w:rsidR="006F6C3A" w:rsidRDefault="006F6C3A" w:rsidP="006F6C3A">
      <w:pPr>
        <w:jc w:val="both"/>
        <w:rPr>
          <w:rFonts w:ascii="Arial" w:hAnsi="Arial" w:cs="Arial"/>
        </w:rPr>
      </w:pPr>
    </w:p>
    <w:p w14:paraId="19AEC72A" w14:textId="77777777" w:rsidR="006F6C3A" w:rsidRDefault="006F6C3A" w:rsidP="006F6C3A">
      <w:pPr>
        <w:rPr>
          <w:rFonts w:ascii="Arial" w:hAnsi="Arial" w:cs="Arial"/>
        </w:rPr>
      </w:pPr>
    </w:p>
    <w:p w14:paraId="5F172F2A" w14:textId="77777777" w:rsidR="006F6C3A" w:rsidRDefault="006F6C3A" w:rsidP="006F6C3A">
      <w:pPr>
        <w:rPr>
          <w:rFonts w:ascii="Arial" w:hAnsi="Arial" w:cs="Arial"/>
        </w:rPr>
      </w:pPr>
      <w:bookmarkStart w:id="0" w:name="_GoBack"/>
      <w:bookmarkEnd w:id="0"/>
    </w:p>
    <w:p w14:paraId="17794ECE" w14:textId="77777777" w:rsidR="006F6C3A" w:rsidRDefault="006F6C3A" w:rsidP="006F6C3A">
      <w:pPr>
        <w:jc w:val="both"/>
        <w:rPr>
          <w:rFonts w:ascii="Arial" w:hAnsi="Arial" w:cs="Arial"/>
          <w:lang w:val="en-GB"/>
        </w:rPr>
      </w:pPr>
    </w:p>
    <w:p w14:paraId="1F6A6260" w14:textId="77777777" w:rsidR="006F6C3A" w:rsidRDefault="006F6C3A" w:rsidP="006F6C3A">
      <w:pPr>
        <w:rPr>
          <w:rFonts w:ascii="Arial" w:hAnsi="Arial" w:cs="Arial"/>
          <w:lang w:val="en-US"/>
        </w:rPr>
      </w:pPr>
    </w:p>
    <w:p w14:paraId="198EB81C" w14:textId="77777777" w:rsidR="00280D61" w:rsidRDefault="00280D61" w:rsidP="006F6C3A">
      <w:pPr>
        <w:rPr>
          <w:rFonts w:ascii="Arial" w:hAnsi="Arial" w:cs="Arial"/>
          <w:lang w:val="en-US"/>
        </w:rPr>
      </w:pPr>
    </w:p>
    <w:p w14:paraId="55187EF1" w14:textId="121C1775" w:rsidR="00966E6B" w:rsidRPr="00DD16EC" w:rsidRDefault="00966E6B" w:rsidP="00D341AD">
      <w:pPr>
        <w:rPr>
          <w:rFonts w:ascii="Arial" w:hAnsi="Arial" w:cs="Arial"/>
          <w:b/>
        </w:rPr>
      </w:pPr>
      <w:r>
        <w:rPr>
          <w:rFonts w:ascii="Arial" w:hAnsi="Arial" w:cs="Arial"/>
          <w:b/>
        </w:rPr>
        <w:t>TSHENO</w:t>
      </w:r>
      <w:r w:rsidR="00D341AD">
        <w:rPr>
          <w:rFonts w:ascii="Arial" w:hAnsi="Arial" w:cs="Arial"/>
          <w:b/>
        </w:rPr>
        <w:t>D</w:t>
      </w:r>
      <w:r>
        <w:rPr>
          <w:rFonts w:ascii="Arial" w:hAnsi="Arial" w:cs="Arial"/>
          <w:b/>
        </w:rPr>
        <w:t>I PHUMZILE</w:t>
      </w:r>
      <w:r w:rsidR="002D452A" w:rsidRPr="005125CD">
        <w:rPr>
          <w:rFonts w:ascii="Arial" w:hAnsi="Arial" w:cs="Arial"/>
          <w:b/>
        </w:rPr>
        <w:t xml:space="preserve"> </w:t>
      </w:r>
      <w:r w:rsidR="0016480B">
        <w:rPr>
          <w:rFonts w:ascii="Arial" w:hAnsi="Arial" w:cs="Arial"/>
          <w:b/>
        </w:rPr>
        <w:t xml:space="preserve">      </w:t>
      </w:r>
      <w:r w:rsidR="006F6C3A" w:rsidRPr="005125CD">
        <w:rPr>
          <w:rFonts w:ascii="Arial" w:hAnsi="Arial" w:cs="Arial"/>
          <w:b/>
        </w:rPr>
        <w:t xml:space="preserve">     </w:t>
      </w:r>
      <w:r w:rsidR="0016480B">
        <w:rPr>
          <w:rFonts w:ascii="Arial" w:hAnsi="Arial" w:cs="Arial"/>
          <w:b/>
        </w:rPr>
        <w:t xml:space="preserve"> </w:t>
      </w:r>
      <w:r w:rsidR="006B0167">
        <w:rPr>
          <w:rFonts w:ascii="Arial" w:hAnsi="Arial" w:cs="Arial"/>
          <w:b/>
        </w:rPr>
        <w:t xml:space="preserve">                              </w:t>
      </w:r>
      <w:r w:rsidR="006F6C3A" w:rsidRPr="005125CD">
        <w:rPr>
          <w:rFonts w:ascii="Arial" w:hAnsi="Arial" w:cs="Arial"/>
          <w:b/>
        </w:rPr>
        <w:t xml:space="preserve"> </w:t>
      </w:r>
      <w:r w:rsidR="00815E84">
        <w:rPr>
          <w:rFonts w:ascii="Arial" w:hAnsi="Arial" w:cs="Arial"/>
          <w:b/>
        </w:rPr>
        <w:t xml:space="preserve">    </w:t>
      </w:r>
      <w:r w:rsidR="0016480B" w:rsidRPr="0016480B">
        <w:rPr>
          <w:rFonts w:ascii="Arial" w:hAnsi="Arial" w:cs="Arial"/>
          <w:b/>
        </w:rPr>
        <w:t>APPL</w:t>
      </w:r>
      <w:r w:rsidR="00DD16EC">
        <w:rPr>
          <w:rFonts w:ascii="Arial" w:hAnsi="Arial" w:cs="Arial"/>
          <w:b/>
        </w:rPr>
        <w:t>ICANT</w:t>
      </w:r>
      <w:r w:rsidR="006F6C3A" w:rsidRPr="005125CD">
        <w:rPr>
          <w:rFonts w:ascii="Arial" w:hAnsi="Arial" w:cs="Arial"/>
          <w:lang w:val="en-US"/>
        </w:rPr>
        <w:t xml:space="preserve">                       </w:t>
      </w:r>
      <w:r w:rsidR="006F6C3A" w:rsidRPr="005125CD">
        <w:rPr>
          <w:rFonts w:ascii="Arial" w:hAnsi="Arial" w:cs="Arial"/>
          <w:b/>
          <w:lang w:val="en-US"/>
        </w:rPr>
        <w:t xml:space="preserve">           </w:t>
      </w:r>
      <w:r w:rsidR="006F6C3A" w:rsidRPr="005125CD">
        <w:rPr>
          <w:rFonts w:ascii="Arial" w:hAnsi="Arial" w:cs="Arial"/>
          <w:b/>
          <w:lang w:val="en-US"/>
        </w:rPr>
        <w:tab/>
      </w:r>
      <w:r w:rsidR="00815E84">
        <w:rPr>
          <w:rFonts w:ascii="Arial" w:hAnsi="Arial" w:cs="Arial"/>
          <w:b/>
          <w:lang w:val="en-US"/>
        </w:rPr>
        <w:t xml:space="preserve">  </w:t>
      </w:r>
      <w:r w:rsidR="006F6C3A" w:rsidRPr="005125CD">
        <w:rPr>
          <w:rFonts w:ascii="Arial" w:hAnsi="Arial" w:cs="Arial"/>
          <w:b/>
          <w:lang w:val="en-US"/>
        </w:rPr>
        <w:tab/>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p>
    <w:p w14:paraId="1EF7DD26" w14:textId="77777777" w:rsidR="00966E6B" w:rsidRDefault="00966E6B" w:rsidP="0016480B">
      <w:pPr>
        <w:jc w:val="both"/>
        <w:rPr>
          <w:rFonts w:ascii="Arial" w:hAnsi="Arial" w:cs="Arial"/>
          <w:b/>
          <w:lang w:val="en-GB"/>
        </w:rPr>
      </w:pPr>
    </w:p>
    <w:p w14:paraId="75E5F678" w14:textId="0AB46EC4" w:rsidR="00966E6B" w:rsidRDefault="00966E6B" w:rsidP="0016480B">
      <w:pPr>
        <w:jc w:val="both"/>
        <w:rPr>
          <w:rFonts w:ascii="Arial" w:hAnsi="Arial" w:cs="Arial"/>
          <w:b/>
          <w:lang w:val="en-GB"/>
        </w:rPr>
      </w:pPr>
      <w:r>
        <w:rPr>
          <w:rFonts w:ascii="Arial" w:hAnsi="Arial" w:cs="Arial"/>
          <w:b/>
          <w:lang w:val="en-GB"/>
        </w:rPr>
        <w:t>MOHOSOANE KANA</w:t>
      </w:r>
      <w:r w:rsidR="00D341AD">
        <w:rPr>
          <w:rFonts w:ascii="Arial" w:hAnsi="Arial" w:cs="Arial"/>
          <w:b/>
          <w:lang w:val="en-GB"/>
        </w:rPr>
        <w:t>N</w:t>
      </w:r>
      <w:r>
        <w:rPr>
          <w:rFonts w:ascii="Arial" w:hAnsi="Arial" w:cs="Arial"/>
          <w:b/>
          <w:lang w:val="en-GB"/>
        </w:rPr>
        <w:t>EL</w:t>
      </w:r>
      <w:r w:rsidR="00DD16EC">
        <w:rPr>
          <w:rFonts w:ascii="Arial" w:hAnsi="Arial" w:cs="Arial"/>
          <w:b/>
          <w:lang w:val="en-GB"/>
        </w:rPr>
        <w:t>O</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APPLICANT</w:t>
      </w:r>
    </w:p>
    <w:p w14:paraId="059FA8FF" w14:textId="77777777" w:rsidR="00966E6B" w:rsidRDefault="00966E6B" w:rsidP="0016480B">
      <w:pPr>
        <w:jc w:val="both"/>
        <w:rPr>
          <w:rFonts w:ascii="Arial" w:hAnsi="Arial" w:cs="Arial"/>
          <w:b/>
          <w:lang w:val="en-GB"/>
        </w:rPr>
      </w:pPr>
    </w:p>
    <w:p w14:paraId="2DAEE8B3" w14:textId="77777777" w:rsidR="00966E6B" w:rsidRDefault="00966E6B" w:rsidP="0016480B">
      <w:pPr>
        <w:jc w:val="both"/>
        <w:rPr>
          <w:rFonts w:ascii="Arial" w:hAnsi="Arial" w:cs="Arial"/>
          <w:b/>
          <w:lang w:val="en-GB"/>
        </w:rPr>
      </w:pPr>
    </w:p>
    <w:p w14:paraId="7CA679DF" w14:textId="1330FCF2" w:rsidR="00966E6B" w:rsidRDefault="00966E6B" w:rsidP="0016480B">
      <w:pPr>
        <w:jc w:val="both"/>
        <w:rPr>
          <w:rFonts w:ascii="Arial" w:hAnsi="Arial" w:cs="Arial"/>
          <w:b/>
          <w:lang w:val="en-GB"/>
        </w:rPr>
      </w:pPr>
      <w:r>
        <w:rPr>
          <w:rFonts w:ascii="Arial" w:hAnsi="Arial" w:cs="Arial"/>
          <w:b/>
          <w:lang w:val="en-GB"/>
        </w:rPr>
        <w:t>MASIL</w:t>
      </w:r>
      <w:r w:rsidR="00D341AD">
        <w:rPr>
          <w:rFonts w:ascii="Arial" w:hAnsi="Arial" w:cs="Arial"/>
          <w:b/>
          <w:lang w:val="en-GB"/>
        </w:rPr>
        <w:t>OLA</w:t>
      </w:r>
      <w:r>
        <w:rPr>
          <w:rFonts w:ascii="Arial" w:hAnsi="Arial" w:cs="Arial"/>
          <w:b/>
          <w:lang w:val="en-GB"/>
        </w:rPr>
        <w:t xml:space="preserve"> MBALI </w:t>
      </w:r>
      <w:r w:rsidR="00D341AD">
        <w:rPr>
          <w:rFonts w:ascii="Arial" w:hAnsi="Arial" w:cs="Arial"/>
          <w:b/>
          <w:lang w:val="en-GB"/>
        </w:rPr>
        <w:t>PETUNIA</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APPPLICANT </w:t>
      </w:r>
    </w:p>
    <w:p w14:paraId="6CEF0384" w14:textId="77777777" w:rsidR="00966E6B" w:rsidRDefault="00966E6B" w:rsidP="0016480B">
      <w:pPr>
        <w:jc w:val="both"/>
        <w:rPr>
          <w:rFonts w:ascii="Arial" w:hAnsi="Arial" w:cs="Arial"/>
          <w:b/>
          <w:lang w:val="en-GB"/>
        </w:rPr>
      </w:pPr>
    </w:p>
    <w:p w14:paraId="39A80479" w14:textId="77777777" w:rsidR="00966E6B" w:rsidRDefault="00966E6B" w:rsidP="0016480B">
      <w:pPr>
        <w:jc w:val="both"/>
        <w:rPr>
          <w:rFonts w:ascii="Arial" w:hAnsi="Arial" w:cs="Arial"/>
          <w:b/>
          <w:lang w:val="en-GB"/>
        </w:rPr>
      </w:pPr>
      <w:r>
        <w:rPr>
          <w:rFonts w:ascii="Arial" w:hAnsi="Arial" w:cs="Arial"/>
          <w:b/>
          <w:lang w:val="en-GB"/>
        </w:rPr>
        <w:t xml:space="preserve">And </w:t>
      </w:r>
    </w:p>
    <w:p w14:paraId="10FAB6E6" w14:textId="77777777" w:rsidR="00966E6B" w:rsidRDefault="00966E6B" w:rsidP="0016480B">
      <w:pPr>
        <w:jc w:val="both"/>
        <w:rPr>
          <w:rFonts w:ascii="Arial" w:hAnsi="Arial" w:cs="Arial"/>
          <w:b/>
          <w:lang w:val="en-GB"/>
        </w:rPr>
      </w:pPr>
    </w:p>
    <w:p w14:paraId="27DFB567" w14:textId="6A664577" w:rsidR="00966E6B" w:rsidRPr="0016480B" w:rsidRDefault="00966E6B" w:rsidP="0016480B">
      <w:pPr>
        <w:jc w:val="both"/>
        <w:rPr>
          <w:rFonts w:ascii="Arial" w:hAnsi="Arial" w:cs="Arial"/>
          <w:b/>
          <w:lang w:val="en-GB"/>
        </w:rPr>
      </w:pPr>
      <w:r>
        <w:rPr>
          <w:rFonts w:ascii="Arial" w:hAnsi="Arial" w:cs="Arial"/>
          <w:b/>
          <w:lang w:val="en-GB"/>
        </w:rPr>
        <w:t xml:space="preserve">ROAD ACCIDENT FUND                                              RESPONDENT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p>
    <w:p w14:paraId="1B9794EF" w14:textId="77777777" w:rsidR="006F6C3A" w:rsidRDefault="006F6C3A" w:rsidP="006F6C3A">
      <w:pPr>
        <w:spacing w:line="480" w:lineRule="auto"/>
        <w:jc w:val="both"/>
        <w:rPr>
          <w:rFonts w:ascii="Arial" w:hAnsi="Arial" w:cs="Arial"/>
          <w:lang w:val="en-GB"/>
        </w:rPr>
      </w:pPr>
      <w:r>
        <w:rPr>
          <w:rFonts w:ascii="Arial" w:hAnsi="Arial" w:cs="Arial"/>
          <w:lang w:val="en-GB"/>
        </w:rPr>
        <w:t>___________________________________________________________________</w:t>
      </w:r>
    </w:p>
    <w:p w14:paraId="213960F4" w14:textId="6501BEB8" w:rsidR="006F6C3A" w:rsidRDefault="006F6C3A" w:rsidP="006F6C3A">
      <w:pPr>
        <w:jc w:val="both"/>
        <w:rPr>
          <w:rFonts w:ascii="Arial" w:hAnsi="Arial" w:cs="Arial"/>
          <w:b/>
          <w:sz w:val="28"/>
          <w:lang w:val="en-GB"/>
        </w:rPr>
      </w:pPr>
      <w:r>
        <w:rPr>
          <w:rFonts w:ascii="Arial" w:hAnsi="Arial" w:cs="Arial"/>
          <w:b/>
          <w:sz w:val="28"/>
          <w:lang w:val="en-GB"/>
        </w:rPr>
        <w:t xml:space="preserve">                                       J</w:t>
      </w:r>
      <w:r w:rsidR="00B858B2">
        <w:rPr>
          <w:rFonts w:ascii="Arial" w:hAnsi="Arial" w:cs="Arial"/>
          <w:b/>
          <w:sz w:val="28"/>
          <w:lang w:val="en-GB"/>
        </w:rPr>
        <w:t xml:space="preserve">udgment </w:t>
      </w:r>
    </w:p>
    <w:p w14:paraId="31493919" w14:textId="77777777" w:rsidR="006F6C3A" w:rsidRDefault="006F6C3A" w:rsidP="006F6C3A">
      <w:pPr>
        <w:jc w:val="both"/>
        <w:rPr>
          <w:rFonts w:ascii="Arial" w:hAnsi="Arial" w:cs="Arial"/>
          <w:lang w:val="en-GB"/>
        </w:rPr>
      </w:pPr>
      <w:r>
        <w:rPr>
          <w:rFonts w:ascii="Arial" w:hAnsi="Arial" w:cs="Arial"/>
          <w:lang w:val="en-GB"/>
        </w:rPr>
        <w:t>___________________________________________________________________</w:t>
      </w:r>
    </w:p>
    <w:p w14:paraId="6120405B" w14:textId="77777777" w:rsidR="006F6C3A" w:rsidRDefault="006F6C3A" w:rsidP="006F6C3A">
      <w:pPr>
        <w:rPr>
          <w:rFonts w:ascii="Arial" w:hAnsi="Arial" w:cs="Arial"/>
          <w:b/>
          <w:u w:val="single"/>
          <w:lang w:val="en-US"/>
        </w:rPr>
      </w:pPr>
    </w:p>
    <w:p w14:paraId="2D51DFD1" w14:textId="18776D69" w:rsidR="006F6C3A" w:rsidRDefault="00A42D9C" w:rsidP="001D1849">
      <w:pPr>
        <w:spacing w:line="360" w:lineRule="auto"/>
        <w:rPr>
          <w:rFonts w:ascii="Arial" w:hAnsi="Arial" w:cs="Arial"/>
          <w:b/>
          <w:lang w:val="en-US"/>
        </w:rPr>
      </w:pPr>
      <w:r w:rsidRPr="001C6009">
        <w:rPr>
          <w:rFonts w:ascii="Arial" w:hAnsi="Arial" w:cs="Arial"/>
          <w:b/>
          <w:lang w:val="en-US"/>
        </w:rPr>
        <w:t>T</w:t>
      </w:r>
      <w:r w:rsidR="00B858B2">
        <w:rPr>
          <w:rFonts w:ascii="Arial" w:hAnsi="Arial" w:cs="Arial"/>
          <w:b/>
          <w:lang w:val="en-US"/>
        </w:rPr>
        <w:t>hupaatlase</w:t>
      </w:r>
      <w:r w:rsidRPr="001C6009">
        <w:rPr>
          <w:rFonts w:ascii="Arial" w:hAnsi="Arial" w:cs="Arial"/>
          <w:b/>
          <w:lang w:val="en-US"/>
        </w:rPr>
        <w:t xml:space="preserve"> A</w:t>
      </w:r>
      <w:r w:rsidR="006F6C3A" w:rsidRPr="001C6009">
        <w:rPr>
          <w:rFonts w:ascii="Arial" w:hAnsi="Arial" w:cs="Arial"/>
          <w:b/>
          <w:lang w:val="en-US"/>
        </w:rPr>
        <w:t>J</w:t>
      </w:r>
      <w:r w:rsidR="0016480B" w:rsidRPr="001C6009">
        <w:rPr>
          <w:rFonts w:ascii="Arial" w:hAnsi="Arial" w:cs="Arial"/>
          <w:b/>
          <w:lang w:val="en-US"/>
        </w:rPr>
        <w:t xml:space="preserve"> </w:t>
      </w:r>
    </w:p>
    <w:p w14:paraId="4CEB46BD" w14:textId="77777777" w:rsidR="00E83BC7" w:rsidRDefault="00E83BC7" w:rsidP="001D1849">
      <w:pPr>
        <w:spacing w:line="360" w:lineRule="auto"/>
        <w:rPr>
          <w:rFonts w:ascii="Arial" w:hAnsi="Arial" w:cs="Arial"/>
          <w:b/>
          <w:lang w:val="en-US"/>
        </w:rPr>
      </w:pPr>
    </w:p>
    <w:p w14:paraId="65448658" w14:textId="502CB20D" w:rsidR="00E83BC7" w:rsidRPr="001C6009" w:rsidRDefault="00E83BC7" w:rsidP="001D1849">
      <w:pPr>
        <w:spacing w:line="360" w:lineRule="auto"/>
        <w:rPr>
          <w:rFonts w:ascii="Arial" w:hAnsi="Arial" w:cs="Arial"/>
          <w:b/>
          <w:lang w:val="en-US"/>
        </w:rPr>
      </w:pPr>
      <w:r>
        <w:rPr>
          <w:rFonts w:ascii="Arial" w:hAnsi="Arial" w:cs="Arial"/>
          <w:b/>
          <w:lang w:val="en-US"/>
        </w:rPr>
        <w:lastRenderedPageBreak/>
        <w:t>Intr</w:t>
      </w:r>
      <w:r w:rsidR="0063262D">
        <w:rPr>
          <w:rFonts w:ascii="Arial" w:hAnsi="Arial" w:cs="Arial"/>
          <w:b/>
          <w:lang w:val="en-US"/>
        </w:rPr>
        <w:t>oduction</w:t>
      </w:r>
    </w:p>
    <w:p w14:paraId="390418F6" w14:textId="77777777" w:rsidR="006F6C3A" w:rsidRPr="0016480B" w:rsidRDefault="006F6C3A" w:rsidP="001D1849">
      <w:pPr>
        <w:spacing w:line="360" w:lineRule="auto"/>
        <w:jc w:val="both"/>
        <w:rPr>
          <w:rFonts w:ascii="Arial" w:hAnsi="Arial" w:cs="Arial"/>
          <w:b/>
        </w:rPr>
      </w:pPr>
    </w:p>
    <w:p w14:paraId="610732CB" w14:textId="4CC35CA7" w:rsidR="001C6009" w:rsidRDefault="00966E6B" w:rsidP="001D1849">
      <w:pPr>
        <w:pStyle w:val="ListParagraph"/>
        <w:spacing w:line="360" w:lineRule="auto"/>
        <w:ind w:left="0"/>
        <w:jc w:val="both"/>
        <w:rPr>
          <w:rFonts w:ascii="Arial" w:hAnsi="Arial" w:cs="Arial"/>
        </w:rPr>
      </w:pPr>
      <w:r>
        <w:rPr>
          <w:rFonts w:ascii="Arial" w:hAnsi="Arial" w:cs="Arial"/>
        </w:rPr>
        <w:t xml:space="preserve">[1] The three matters were placed on the interlocutory application </w:t>
      </w:r>
      <w:r w:rsidR="00AE4EE9">
        <w:rPr>
          <w:rFonts w:ascii="Arial" w:hAnsi="Arial" w:cs="Arial"/>
        </w:rPr>
        <w:t>roll and in each case the defendant is the Road Accident Fund (RAF). The plaintiffs are claimants in terms of the Road Accident Act. The common relief sought by each of the plaintiff was to strike out the defence of the defendant for its alleged failure to comply with the respective orders by Keighley J issued on 01 June 2023.</w:t>
      </w:r>
    </w:p>
    <w:p w14:paraId="4EBE08D0" w14:textId="4516D6C2" w:rsidR="00AE4EE9" w:rsidRDefault="00AE4EE9" w:rsidP="00AE4EE9">
      <w:pPr>
        <w:pStyle w:val="ListParagraph"/>
        <w:spacing w:before="240" w:line="360" w:lineRule="auto"/>
        <w:ind w:left="0"/>
        <w:jc w:val="both"/>
        <w:rPr>
          <w:rFonts w:ascii="Arial" w:hAnsi="Arial" w:cs="Arial"/>
        </w:rPr>
      </w:pPr>
      <w:r>
        <w:rPr>
          <w:rFonts w:ascii="Arial" w:hAnsi="Arial" w:cs="Arial"/>
        </w:rPr>
        <w:t xml:space="preserve">[2] Plaintiffs seeks to strike out the defence of the defendant as they allege that the defendant has failed to file notice in terms of Rule 36(1) &amp; (2) and also failure to attend a pretrial hearing. The basis of the relief sought was that the defendant had failed to comply </w:t>
      </w:r>
      <w:r w:rsidR="00714330">
        <w:rPr>
          <w:rFonts w:ascii="Arial" w:hAnsi="Arial" w:cs="Arial"/>
        </w:rPr>
        <w:t xml:space="preserve">with </w:t>
      </w:r>
      <w:r>
        <w:rPr>
          <w:rFonts w:ascii="Arial" w:hAnsi="Arial" w:cs="Arial"/>
        </w:rPr>
        <w:t xml:space="preserve">order granted by the court. </w:t>
      </w:r>
    </w:p>
    <w:p w14:paraId="29C49BA9" w14:textId="428C46CD" w:rsidR="00614C01" w:rsidRDefault="00614C01" w:rsidP="00AE4EE9">
      <w:pPr>
        <w:pStyle w:val="ListParagraph"/>
        <w:spacing w:before="240" w:line="360" w:lineRule="auto"/>
        <w:ind w:left="0"/>
        <w:jc w:val="both"/>
        <w:rPr>
          <w:rFonts w:ascii="Arial" w:hAnsi="Arial" w:cs="Arial"/>
        </w:rPr>
      </w:pPr>
      <w:r>
        <w:rPr>
          <w:rFonts w:ascii="Arial" w:hAnsi="Arial" w:cs="Arial"/>
        </w:rPr>
        <w:t xml:space="preserve">[3] </w:t>
      </w:r>
      <w:r w:rsidR="00C21758">
        <w:rPr>
          <w:rFonts w:ascii="Arial" w:hAnsi="Arial" w:cs="Arial"/>
        </w:rPr>
        <w:t>T</w:t>
      </w:r>
      <w:r>
        <w:rPr>
          <w:rFonts w:ascii="Arial" w:hAnsi="Arial" w:cs="Arial"/>
        </w:rPr>
        <w:t>he applications to strike out the defences were brought under Rule</w:t>
      </w:r>
      <w:r w:rsidR="00015E08">
        <w:rPr>
          <w:rFonts w:ascii="Arial" w:hAnsi="Arial" w:cs="Arial"/>
        </w:rPr>
        <w:t xml:space="preserve"> 35 </w:t>
      </w:r>
      <w:r w:rsidR="004408BB">
        <w:rPr>
          <w:rFonts w:ascii="Arial" w:hAnsi="Arial" w:cs="Arial"/>
        </w:rPr>
        <w:t>(7) read together with Rule</w:t>
      </w:r>
      <w:r>
        <w:rPr>
          <w:rFonts w:ascii="Arial" w:hAnsi="Arial" w:cs="Arial"/>
        </w:rPr>
        <w:t xml:space="preserve"> 30A.</w:t>
      </w:r>
      <w:r w:rsidR="00DA1834">
        <w:rPr>
          <w:rFonts w:ascii="Arial" w:hAnsi="Arial" w:cs="Arial"/>
        </w:rPr>
        <w:t xml:space="preserve"> It is to be noted that </w:t>
      </w:r>
      <w:r w:rsidR="005F567E">
        <w:rPr>
          <w:rFonts w:ascii="Arial" w:hAnsi="Arial" w:cs="Arial"/>
        </w:rPr>
        <w:t>the</w:t>
      </w:r>
      <w:r>
        <w:rPr>
          <w:rFonts w:ascii="Arial" w:hAnsi="Arial" w:cs="Arial"/>
        </w:rPr>
        <w:t xml:space="preserve"> purpose of the </w:t>
      </w:r>
      <w:r w:rsidR="005F567E">
        <w:rPr>
          <w:rFonts w:ascii="Arial" w:hAnsi="Arial" w:cs="Arial"/>
        </w:rPr>
        <w:t xml:space="preserve">latter </w:t>
      </w:r>
      <w:r>
        <w:rPr>
          <w:rFonts w:ascii="Arial" w:hAnsi="Arial" w:cs="Arial"/>
        </w:rPr>
        <w:t>rule is to compel compliance with the rule</w:t>
      </w:r>
      <w:r w:rsidR="008652EC">
        <w:rPr>
          <w:rFonts w:ascii="Arial" w:hAnsi="Arial" w:cs="Arial"/>
        </w:rPr>
        <w:t>s</w:t>
      </w:r>
      <w:r>
        <w:rPr>
          <w:rFonts w:ascii="Arial" w:hAnsi="Arial" w:cs="Arial"/>
        </w:rPr>
        <w:t xml:space="preserve"> where a party has failed to take required procedural step. Rule 30A is a general rule to ensure compliance. </w:t>
      </w:r>
    </w:p>
    <w:p w14:paraId="10D1EEC8" w14:textId="594496D6" w:rsidR="00614C01" w:rsidRDefault="00614C01" w:rsidP="00AE4EE9">
      <w:pPr>
        <w:pStyle w:val="ListParagraph"/>
        <w:spacing w:before="240" w:line="360" w:lineRule="auto"/>
        <w:ind w:left="0"/>
        <w:jc w:val="both"/>
        <w:rPr>
          <w:rFonts w:ascii="Arial" w:hAnsi="Arial" w:cs="Arial"/>
        </w:rPr>
      </w:pPr>
      <w:r>
        <w:rPr>
          <w:rFonts w:ascii="Arial" w:hAnsi="Arial" w:cs="Arial"/>
        </w:rPr>
        <w:t xml:space="preserve">[4] In the first matter of </w:t>
      </w:r>
      <w:r w:rsidRPr="001C4004">
        <w:rPr>
          <w:rFonts w:ascii="Arial" w:hAnsi="Arial" w:cs="Arial"/>
          <w:i/>
          <w:iCs/>
        </w:rPr>
        <w:t>Tshenoli v RAF</w:t>
      </w:r>
      <w:r>
        <w:rPr>
          <w:rFonts w:ascii="Arial" w:hAnsi="Arial" w:cs="Arial"/>
        </w:rPr>
        <w:t xml:space="preserve"> the application was based on the alleged non-compliance with the court order</w:t>
      </w:r>
      <w:r w:rsidR="009737D4">
        <w:rPr>
          <w:rFonts w:ascii="Arial" w:hAnsi="Arial" w:cs="Arial"/>
        </w:rPr>
        <w:t xml:space="preserve">. The court order was </w:t>
      </w:r>
      <w:r w:rsidR="00495A36">
        <w:rPr>
          <w:rFonts w:ascii="Arial" w:hAnsi="Arial" w:cs="Arial"/>
        </w:rPr>
        <w:t xml:space="preserve">couched in the following terms: </w:t>
      </w:r>
    </w:p>
    <w:p w14:paraId="4BB16AFC" w14:textId="563BB3D1" w:rsidR="00495A36" w:rsidRDefault="00495A36" w:rsidP="00642C26">
      <w:pPr>
        <w:pStyle w:val="ListParagraph"/>
        <w:spacing w:before="240" w:line="360" w:lineRule="auto"/>
        <w:jc w:val="both"/>
        <w:rPr>
          <w:rFonts w:ascii="Arial" w:hAnsi="Arial" w:cs="Arial"/>
        </w:rPr>
      </w:pPr>
      <w:r>
        <w:rPr>
          <w:rFonts w:ascii="Arial" w:hAnsi="Arial" w:cs="Arial"/>
        </w:rPr>
        <w:t>1. The Respondent/Defendant is to make arrangement within 15 days of the order being served on the Respondent/Defendant to have the Applicant/Plaintiff examined by the Occupational Therapist.</w:t>
      </w:r>
    </w:p>
    <w:p w14:paraId="6391D4D5" w14:textId="798C3558" w:rsidR="00234B50" w:rsidRDefault="00495A36" w:rsidP="00234B50">
      <w:pPr>
        <w:pStyle w:val="ListParagraph"/>
        <w:spacing w:before="240" w:line="360" w:lineRule="auto"/>
        <w:ind w:left="1440"/>
        <w:jc w:val="both"/>
        <w:rPr>
          <w:rFonts w:ascii="Arial" w:hAnsi="Arial" w:cs="Arial"/>
        </w:rPr>
      </w:pPr>
      <w:r>
        <w:rPr>
          <w:rFonts w:ascii="Arial" w:hAnsi="Arial" w:cs="Arial"/>
        </w:rPr>
        <w:t xml:space="preserve">1.1. </w:t>
      </w:r>
      <w:r w:rsidR="003F6815">
        <w:rPr>
          <w:rFonts w:ascii="Arial" w:hAnsi="Arial" w:cs="Arial"/>
        </w:rPr>
        <w:t xml:space="preserve">the arrangements must take the form of delivery </w:t>
      </w:r>
      <w:r w:rsidR="007678CC">
        <w:rPr>
          <w:rFonts w:ascii="Arial" w:hAnsi="Arial" w:cs="Arial"/>
        </w:rPr>
        <w:t xml:space="preserve">of a written notice in terms </w:t>
      </w:r>
      <w:r w:rsidR="00234B50">
        <w:rPr>
          <w:rFonts w:ascii="Arial" w:hAnsi="Arial" w:cs="Arial"/>
        </w:rPr>
        <w:t>of rule 36(1) and (2);</w:t>
      </w:r>
    </w:p>
    <w:p w14:paraId="52CE03AA" w14:textId="23CAC9D6" w:rsidR="00234B50" w:rsidRDefault="00234B50" w:rsidP="00234B50">
      <w:pPr>
        <w:pStyle w:val="ListParagraph"/>
        <w:spacing w:before="240" w:line="360" w:lineRule="auto"/>
        <w:ind w:left="1440"/>
        <w:jc w:val="both"/>
        <w:rPr>
          <w:rFonts w:ascii="Arial" w:hAnsi="Arial" w:cs="Arial"/>
        </w:rPr>
      </w:pPr>
      <w:r>
        <w:rPr>
          <w:rFonts w:ascii="Arial" w:hAnsi="Arial" w:cs="Arial"/>
        </w:rPr>
        <w:t>1.2</w:t>
      </w:r>
      <w:r w:rsidR="00054651">
        <w:rPr>
          <w:rFonts w:ascii="Arial" w:hAnsi="Arial" w:cs="Arial"/>
        </w:rPr>
        <w:t xml:space="preserve"> the Notice shall specify </w:t>
      </w:r>
      <w:r w:rsidR="003F1747">
        <w:rPr>
          <w:rFonts w:ascii="Arial" w:hAnsi="Arial" w:cs="Arial"/>
        </w:rPr>
        <w:t>the nature of the examination require</w:t>
      </w:r>
      <w:r w:rsidR="00A72639">
        <w:rPr>
          <w:rFonts w:ascii="Arial" w:hAnsi="Arial" w:cs="Arial"/>
        </w:rPr>
        <w:t xml:space="preserve">, the person or persons </w:t>
      </w:r>
      <w:r w:rsidR="003A07F0">
        <w:rPr>
          <w:rFonts w:ascii="Arial" w:hAnsi="Arial" w:cs="Arial"/>
        </w:rPr>
        <w:t xml:space="preserve">by whom, the place </w:t>
      </w:r>
      <w:r w:rsidR="00001B77">
        <w:rPr>
          <w:rFonts w:ascii="Arial" w:hAnsi="Arial" w:cs="Arial"/>
        </w:rPr>
        <w:t>and date (being no less than fifteen days from the date</w:t>
      </w:r>
      <w:r w:rsidR="001254D8">
        <w:rPr>
          <w:rFonts w:ascii="Arial" w:hAnsi="Arial" w:cs="Arial"/>
        </w:rPr>
        <w:t xml:space="preserve"> of such notice) and time when it </w:t>
      </w:r>
      <w:r w:rsidR="00CA129F">
        <w:rPr>
          <w:rFonts w:ascii="Arial" w:hAnsi="Arial" w:cs="Arial"/>
        </w:rPr>
        <w:t>i</w:t>
      </w:r>
      <w:r w:rsidR="001254D8">
        <w:rPr>
          <w:rFonts w:ascii="Arial" w:hAnsi="Arial" w:cs="Arial"/>
        </w:rPr>
        <w:t xml:space="preserve">s desired that such </w:t>
      </w:r>
      <w:r w:rsidR="001F2AA0">
        <w:rPr>
          <w:rFonts w:ascii="Arial" w:hAnsi="Arial" w:cs="Arial"/>
        </w:rPr>
        <w:t>examination shall take place.</w:t>
      </w:r>
    </w:p>
    <w:p w14:paraId="5D2B5E73" w14:textId="5E58D737" w:rsidR="001F2AA0" w:rsidRDefault="001F2AA0" w:rsidP="00642C26">
      <w:pPr>
        <w:spacing w:before="240" w:line="360" w:lineRule="auto"/>
        <w:ind w:left="720"/>
        <w:jc w:val="both"/>
        <w:rPr>
          <w:rFonts w:ascii="Arial" w:hAnsi="Arial" w:cs="Arial"/>
        </w:rPr>
      </w:pPr>
      <w:r>
        <w:rPr>
          <w:rFonts w:ascii="Arial" w:hAnsi="Arial" w:cs="Arial"/>
        </w:rPr>
        <w:t xml:space="preserve">2. </w:t>
      </w:r>
      <w:r w:rsidR="00EB0055">
        <w:rPr>
          <w:rFonts w:ascii="Arial" w:hAnsi="Arial" w:cs="Arial"/>
        </w:rPr>
        <w:t xml:space="preserve">The defendant is to attend pre-trial conference with the plaintiff </w:t>
      </w:r>
      <w:r w:rsidR="00190D36">
        <w:rPr>
          <w:rFonts w:ascii="Arial" w:hAnsi="Arial" w:cs="Arial"/>
        </w:rPr>
        <w:t xml:space="preserve">as contemplated </w:t>
      </w:r>
      <w:r w:rsidR="00AD46AF">
        <w:rPr>
          <w:rFonts w:ascii="Arial" w:hAnsi="Arial" w:cs="Arial"/>
        </w:rPr>
        <w:t>in Rule 37 of the Uniform Rules virtually at 11h00 on 21 July 2023.</w:t>
      </w:r>
    </w:p>
    <w:p w14:paraId="6D393A6E" w14:textId="75C527CA" w:rsidR="003C7C37" w:rsidRDefault="003C7C37" w:rsidP="00642C26">
      <w:pPr>
        <w:spacing w:before="240" w:line="360" w:lineRule="auto"/>
        <w:ind w:left="720"/>
        <w:jc w:val="both"/>
        <w:rPr>
          <w:rFonts w:ascii="Arial" w:hAnsi="Arial" w:cs="Arial"/>
        </w:rPr>
      </w:pPr>
      <w:r>
        <w:rPr>
          <w:rFonts w:ascii="Arial" w:hAnsi="Arial" w:cs="Arial"/>
        </w:rPr>
        <w:t xml:space="preserve">3. The signed pre-trial minute shall be filed on or before </w:t>
      </w:r>
      <w:r w:rsidR="00C856C2">
        <w:rPr>
          <w:rFonts w:ascii="Arial" w:hAnsi="Arial" w:cs="Arial"/>
        </w:rPr>
        <w:t>the 15 days if no consensus can be reache</w:t>
      </w:r>
      <w:r w:rsidR="00CB5947">
        <w:rPr>
          <w:rFonts w:ascii="Arial" w:hAnsi="Arial" w:cs="Arial"/>
        </w:rPr>
        <w:t xml:space="preserve">d </w:t>
      </w:r>
      <w:r w:rsidR="00C856C2">
        <w:rPr>
          <w:rFonts w:ascii="Arial" w:hAnsi="Arial" w:cs="Arial"/>
        </w:rPr>
        <w:t xml:space="preserve">as to the content </w:t>
      </w:r>
      <w:r w:rsidR="00CB5947">
        <w:rPr>
          <w:rFonts w:ascii="Arial" w:hAnsi="Arial" w:cs="Arial"/>
        </w:rPr>
        <w:t xml:space="preserve">of the minute, the plaintiff and </w:t>
      </w:r>
      <w:r w:rsidR="00CB5947">
        <w:rPr>
          <w:rFonts w:ascii="Arial" w:hAnsi="Arial" w:cs="Arial"/>
        </w:rPr>
        <w:lastRenderedPageBreak/>
        <w:t>de</w:t>
      </w:r>
      <w:r w:rsidR="00DD675F">
        <w:rPr>
          <w:rFonts w:ascii="Arial" w:hAnsi="Arial" w:cs="Arial"/>
        </w:rPr>
        <w:t>fendant are to file separate minutes.</w:t>
      </w:r>
      <w:r w:rsidR="00620D9A">
        <w:rPr>
          <w:rFonts w:ascii="Arial" w:hAnsi="Arial" w:cs="Arial"/>
        </w:rPr>
        <w:t xml:space="preserve"> The order also stipulated the manner in which </w:t>
      </w:r>
      <w:r w:rsidR="000B55AB">
        <w:rPr>
          <w:rFonts w:ascii="Arial" w:hAnsi="Arial" w:cs="Arial"/>
        </w:rPr>
        <w:t>it was to</w:t>
      </w:r>
      <w:r w:rsidR="002A3AA3">
        <w:rPr>
          <w:rFonts w:ascii="Arial" w:hAnsi="Arial" w:cs="Arial"/>
        </w:rPr>
        <w:t xml:space="preserve"> be</w:t>
      </w:r>
      <w:r w:rsidR="000B55AB">
        <w:rPr>
          <w:rFonts w:ascii="Arial" w:hAnsi="Arial" w:cs="Arial"/>
        </w:rPr>
        <w:t xml:space="preserve"> served and costs were awarded against th</w:t>
      </w:r>
      <w:r w:rsidR="003C7CF4">
        <w:rPr>
          <w:rFonts w:ascii="Arial" w:hAnsi="Arial" w:cs="Arial"/>
        </w:rPr>
        <w:t xml:space="preserve">e respondent. </w:t>
      </w:r>
    </w:p>
    <w:p w14:paraId="0D305D2F" w14:textId="56D642C1" w:rsidR="00DD675F" w:rsidRDefault="002A3AA3" w:rsidP="00190D36">
      <w:pPr>
        <w:spacing w:before="240" w:line="360" w:lineRule="auto"/>
        <w:jc w:val="both"/>
        <w:rPr>
          <w:rFonts w:ascii="Arial" w:hAnsi="Arial" w:cs="Arial"/>
        </w:rPr>
      </w:pPr>
      <w:r>
        <w:rPr>
          <w:rFonts w:ascii="Arial" w:hAnsi="Arial" w:cs="Arial"/>
        </w:rPr>
        <w:t xml:space="preserve">[5] In the </w:t>
      </w:r>
      <w:r w:rsidR="007F55C8">
        <w:rPr>
          <w:rFonts w:ascii="Arial" w:hAnsi="Arial" w:cs="Arial"/>
        </w:rPr>
        <w:t xml:space="preserve">matter of </w:t>
      </w:r>
      <w:r w:rsidR="007F55C8" w:rsidRPr="00475141">
        <w:rPr>
          <w:rFonts w:ascii="Arial" w:hAnsi="Arial" w:cs="Arial"/>
          <w:b/>
          <w:bCs/>
          <w:i/>
          <w:iCs/>
        </w:rPr>
        <w:t>Moh</w:t>
      </w:r>
      <w:r w:rsidR="00F75C2B" w:rsidRPr="00475141">
        <w:rPr>
          <w:rFonts w:ascii="Arial" w:hAnsi="Arial" w:cs="Arial"/>
          <w:b/>
          <w:bCs/>
          <w:i/>
          <w:iCs/>
        </w:rPr>
        <w:t>asoane</w:t>
      </w:r>
      <w:r w:rsidR="00F75C2B">
        <w:rPr>
          <w:rFonts w:ascii="Arial" w:hAnsi="Arial" w:cs="Arial"/>
          <w:i/>
          <w:iCs/>
        </w:rPr>
        <w:t xml:space="preserve"> </w:t>
      </w:r>
      <w:r w:rsidR="00D76E4D" w:rsidRPr="00D76E4D">
        <w:rPr>
          <w:rFonts w:ascii="Arial" w:hAnsi="Arial" w:cs="Arial"/>
        </w:rPr>
        <w:t>it wa</w:t>
      </w:r>
      <w:r w:rsidR="00D76E4D">
        <w:rPr>
          <w:rFonts w:ascii="Arial" w:hAnsi="Arial" w:cs="Arial"/>
        </w:rPr>
        <w:t xml:space="preserve">s </w:t>
      </w:r>
      <w:r w:rsidR="00BC74AF">
        <w:rPr>
          <w:rFonts w:ascii="Arial" w:hAnsi="Arial" w:cs="Arial"/>
        </w:rPr>
        <w:t xml:space="preserve">prayed that the respondent’s defence </w:t>
      </w:r>
      <w:r w:rsidR="008C0D0D">
        <w:rPr>
          <w:rFonts w:ascii="Arial" w:hAnsi="Arial" w:cs="Arial"/>
        </w:rPr>
        <w:t xml:space="preserve">be </w:t>
      </w:r>
      <w:r w:rsidR="00BC74AF">
        <w:rPr>
          <w:rFonts w:ascii="Arial" w:hAnsi="Arial" w:cs="Arial"/>
        </w:rPr>
        <w:t>struck ou</w:t>
      </w:r>
      <w:r w:rsidR="004E4EE8">
        <w:rPr>
          <w:rFonts w:ascii="Arial" w:hAnsi="Arial" w:cs="Arial"/>
        </w:rPr>
        <w:t xml:space="preserve">t </w:t>
      </w:r>
      <w:r w:rsidR="005C239A">
        <w:rPr>
          <w:rFonts w:ascii="Arial" w:hAnsi="Arial" w:cs="Arial"/>
        </w:rPr>
        <w:t>and respondent</w:t>
      </w:r>
      <w:r w:rsidR="0094608A">
        <w:rPr>
          <w:rFonts w:ascii="Arial" w:hAnsi="Arial" w:cs="Arial"/>
        </w:rPr>
        <w:t xml:space="preserve"> </w:t>
      </w:r>
      <w:r w:rsidR="005C239A">
        <w:rPr>
          <w:rFonts w:ascii="Arial" w:hAnsi="Arial" w:cs="Arial"/>
        </w:rPr>
        <w:t xml:space="preserve">barred from serving any expert notice in this matter </w:t>
      </w:r>
      <w:r w:rsidR="00F752E5">
        <w:rPr>
          <w:rFonts w:ascii="Arial" w:hAnsi="Arial" w:cs="Arial"/>
        </w:rPr>
        <w:t xml:space="preserve">unless the trial court ordered otherwise. </w:t>
      </w:r>
      <w:r w:rsidR="009A35A6">
        <w:rPr>
          <w:rFonts w:ascii="Arial" w:hAnsi="Arial" w:cs="Arial"/>
        </w:rPr>
        <w:t xml:space="preserve">The applicant also sought leave to approach the registrar of this court </w:t>
      </w:r>
      <w:r w:rsidR="00241413">
        <w:rPr>
          <w:rFonts w:ascii="Arial" w:hAnsi="Arial" w:cs="Arial"/>
        </w:rPr>
        <w:t xml:space="preserve">for an allocation of a date in the default judgment roll. </w:t>
      </w:r>
      <w:r w:rsidR="00051C21">
        <w:rPr>
          <w:rFonts w:ascii="Arial" w:hAnsi="Arial" w:cs="Arial"/>
        </w:rPr>
        <w:t xml:space="preserve">The applicant also prayed for costs. </w:t>
      </w:r>
      <w:r w:rsidR="00DD374A">
        <w:rPr>
          <w:rFonts w:ascii="Arial" w:hAnsi="Arial" w:cs="Arial"/>
        </w:rPr>
        <w:t xml:space="preserve">The application was based on the alleged failure by the respondent to comply with the order of court </w:t>
      </w:r>
      <w:r w:rsidR="003565C3">
        <w:rPr>
          <w:rFonts w:ascii="Arial" w:hAnsi="Arial" w:cs="Arial"/>
        </w:rPr>
        <w:t xml:space="preserve">dated 11 July 2023. </w:t>
      </w:r>
      <w:r w:rsidR="009A0CCC">
        <w:rPr>
          <w:rFonts w:ascii="Arial" w:hAnsi="Arial" w:cs="Arial"/>
        </w:rPr>
        <w:t xml:space="preserve">The order </w:t>
      </w:r>
      <w:r w:rsidR="006613D4">
        <w:rPr>
          <w:rFonts w:ascii="Arial" w:hAnsi="Arial" w:cs="Arial"/>
        </w:rPr>
        <w:t xml:space="preserve">was similarly worded as the order in the matter of </w:t>
      </w:r>
      <w:proofErr w:type="spellStart"/>
      <w:r w:rsidR="006613D4" w:rsidRPr="0071508D">
        <w:rPr>
          <w:rFonts w:ascii="Arial" w:hAnsi="Arial" w:cs="Arial"/>
          <w:b/>
          <w:bCs/>
          <w:i/>
          <w:iCs/>
        </w:rPr>
        <w:t>Tsheno</w:t>
      </w:r>
      <w:r w:rsidR="006C788E">
        <w:rPr>
          <w:rFonts w:ascii="Arial" w:hAnsi="Arial" w:cs="Arial"/>
          <w:b/>
          <w:bCs/>
          <w:i/>
          <w:iCs/>
        </w:rPr>
        <w:t>d</w:t>
      </w:r>
      <w:r w:rsidR="006613D4" w:rsidRPr="0071508D">
        <w:rPr>
          <w:rFonts w:ascii="Arial" w:hAnsi="Arial" w:cs="Arial"/>
          <w:b/>
          <w:bCs/>
          <w:i/>
          <w:iCs/>
        </w:rPr>
        <w:t>i</w:t>
      </w:r>
      <w:proofErr w:type="spellEnd"/>
      <w:r w:rsidR="006613D4" w:rsidRPr="0071508D">
        <w:rPr>
          <w:rFonts w:ascii="Arial" w:hAnsi="Arial" w:cs="Arial"/>
          <w:b/>
          <w:bCs/>
        </w:rPr>
        <w:t>.</w:t>
      </w:r>
      <w:r w:rsidR="006613D4">
        <w:rPr>
          <w:rFonts w:ascii="Arial" w:hAnsi="Arial" w:cs="Arial"/>
        </w:rPr>
        <w:t xml:space="preserve"> </w:t>
      </w:r>
      <w:r w:rsidR="002606F3">
        <w:rPr>
          <w:rFonts w:ascii="Arial" w:hAnsi="Arial" w:cs="Arial"/>
        </w:rPr>
        <w:t xml:space="preserve">In order to avoid </w:t>
      </w:r>
      <w:r w:rsidR="00475141">
        <w:rPr>
          <w:rFonts w:ascii="Arial" w:hAnsi="Arial" w:cs="Arial"/>
        </w:rPr>
        <w:t>prolixity,</w:t>
      </w:r>
      <w:r w:rsidR="002606F3">
        <w:rPr>
          <w:rFonts w:ascii="Arial" w:hAnsi="Arial" w:cs="Arial"/>
        </w:rPr>
        <w:t xml:space="preserve"> the court </w:t>
      </w:r>
      <w:r w:rsidR="00FA08A4">
        <w:rPr>
          <w:rFonts w:ascii="Arial" w:hAnsi="Arial" w:cs="Arial"/>
        </w:rPr>
        <w:t xml:space="preserve">will not repeat the order verbatim. </w:t>
      </w:r>
    </w:p>
    <w:p w14:paraId="7217CA93" w14:textId="68C41354" w:rsidR="00475141" w:rsidRDefault="00475141" w:rsidP="004349EA">
      <w:pPr>
        <w:spacing w:line="360" w:lineRule="auto"/>
        <w:jc w:val="both"/>
        <w:rPr>
          <w:rFonts w:ascii="Arial" w:hAnsi="Arial" w:cs="Arial"/>
        </w:rPr>
      </w:pPr>
      <w:r>
        <w:rPr>
          <w:rFonts w:ascii="Arial" w:hAnsi="Arial" w:cs="Arial"/>
        </w:rPr>
        <w:t>[6] The third matter is the case of</w:t>
      </w:r>
      <w:bookmarkStart w:id="1" w:name="_Hlk155780662"/>
      <w:r w:rsidRPr="00B04BA0">
        <w:rPr>
          <w:rFonts w:ascii="Arial" w:hAnsi="Arial" w:cs="Arial"/>
          <w:b/>
          <w:bCs/>
          <w:i/>
          <w:iCs/>
        </w:rPr>
        <w:t xml:space="preserve"> </w:t>
      </w:r>
      <w:r w:rsidR="00962FE8" w:rsidRPr="00B04BA0">
        <w:rPr>
          <w:rFonts w:ascii="Arial" w:hAnsi="Arial" w:cs="Arial"/>
          <w:b/>
          <w:bCs/>
          <w:i/>
          <w:iCs/>
        </w:rPr>
        <w:t>Masilola</w:t>
      </w:r>
      <w:bookmarkEnd w:id="1"/>
      <w:r w:rsidR="00962FE8">
        <w:rPr>
          <w:rFonts w:ascii="Arial" w:hAnsi="Arial" w:cs="Arial"/>
        </w:rPr>
        <w:t xml:space="preserve">. </w:t>
      </w:r>
      <w:r w:rsidR="00853BCD">
        <w:rPr>
          <w:rFonts w:ascii="Arial" w:hAnsi="Arial" w:cs="Arial"/>
        </w:rPr>
        <w:t>The application was also brought in terms of Rule 37(7)</w:t>
      </w:r>
      <w:r w:rsidR="00F7572B">
        <w:rPr>
          <w:rFonts w:ascii="Arial" w:hAnsi="Arial" w:cs="Arial"/>
        </w:rPr>
        <w:t xml:space="preserve"> and read with Rule 30A</w:t>
      </w:r>
      <w:r w:rsidR="00C84DFB">
        <w:rPr>
          <w:rFonts w:ascii="Arial" w:hAnsi="Arial" w:cs="Arial"/>
        </w:rPr>
        <w:t>. According to the affidavit</w:t>
      </w:r>
      <w:r w:rsidR="00B04BA0">
        <w:rPr>
          <w:rFonts w:ascii="Arial" w:hAnsi="Arial" w:cs="Arial"/>
        </w:rPr>
        <w:t xml:space="preserve">, the applicant alleges that the respondent has failed </w:t>
      </w:r>
      <w:r w:rsidR="00C315FA">
        <w:rPr>
          <w:rFonts w:ascii="Arial" w:hAnsi="Arial" w:cs="Arial"/>
        </w:rPr>
        <w:t xml:space="preserve">to </w:t>
      </w:r>
      <w:r w:rsidR="00277016">
        <w:rPr>
          <w:rFonts w:ascii="Arial" w:hAnsi="Arial" w:cs="Arial"/>
        </w:rPr>
        <w:t xml:space="preserve">comply with the order of this court dated 11 July 2023. </w:t>
      </w:r>
      <w:r w:rsidR="00ED1871">
        <w:rPr>
          <w:rFonts w:ascii="Arial" w:hAnsi="Arial" w:cs="Arial"/>
        </w:rPr>
        <w:t xml:space="preserve">In terms of the order the </w:t>
      </w:r>
      <w:r w:rsidR="00F216BF">
        <w:rPr>
          <w:rFonts w:ascii="Arial" w:hAnsi="Arial" w:cs="Arial"/>
        </w:rPr>
        <w:t xml:space="preserve">respondent was </w:t>
      </w:r>
      <w:r w:rsidR="004349EA">
        <w:rPr>
          <w:rFonts w:ascii="Arial" w:hAnsi="Arial" w:cs="Arial"/>
        </w:rPr>
        <w:t>ordered</w:t>
      </w:r>
      <w:r w:rsidR="00F216BF">
        <w:rPr>
          <w:rFonts w:ascii="Arial" w:hAnsi="Arial" w:cs="Arial"/>
        </w:rPr>
        <w:t xml:space="preserve"> to make an election whether </w:t>
      </w:r>
      <w:r w:rsidR="006C50B9">
        <w:rPr>
          <w:rFonts w:ascii="Arial" w:hAnsi="Arial" w:cs="Arial"/>
        </w:rPr>
        <w:t>to use the applicant’s experts as joint experts</w:t>
      </w:r>
      <w:r w:rsidR="00866C07">
        <w:rPr>
          <w:rFonts w:ascii="Arial" w:hAnsi="Arial" w:cs="Arial"/>
        </w:rPr>
        <w:t>. In the event th</w:t>
      </w:r>
      <w:r w:rsidR="00834686">
        <w:rPr>
          <w:rFonts w:ascii="Arial" w:hAnsi="Arial" w:cs="Arial"/>
        </w:rPr>
        <w:t>at the respondent elected to</w:t>
      </w:r>
      <w:r w:rsidR="004349EA">
        <w:rPr>
          <w:rFonts w:ascii="Arial" w:hAnsi="Arial" w:cs="Arial"/>
        </w:rPr>
        <w:t xml:space="preserve"> </w:t>
      </w:r>
      <w:r w:rsidR="00834686">
        <w:rPr>
          <w:rFonts w:ascii="Arial" w:hAnsi="Arial" w:cs="Arial"/>
        </w:rPr>
        <w:t xml:space="preserve">use its experts to make arrangements </w:t>
      </w:r>
      <w:r w:rsidR="00627BED">
        <w:rPr>
          <w:rFonts w:ascii="Arial" w:hAnsi="Arial" w:cs="Arial"/>
        </w:rPr>
        <w:t xml:space="preserve">and deliver a notice in terms of </w:t>
      </w:r>
      <w:r w:rsidR="004349EA">
        <w:rPr>
          <w:rFonts w:ascii="Arial" w:hAnsi="Arial" w:cs="Arial"/>
        </w:rPr>
        <w:t>rule 36(1) and (2).</w:t>
      </w:r>
      <w:r w:rsidR="00327226">
        <w:rPr>
          <w:rFonts w:ascii="Arial" w:hAnsi="Arial" w:cs="Arial"/>
        </w:rPr>
        <w:t xml:space="preserve"> As already </w:t>
      </w:r>
      <w:r w:rsidR="00E83BC7">
        <w:rPr>
          <w:rFonts w:ascii="Arial" w:hAnsi="Arial" w:cs="Arial"/>
        </w:rPr>
        <w:t>stated,</w:t>
      </w:r>
      <w:r w:rsidR="00327226">
        <w:rPr>
          <w:rFonts w:ascii="Arial" w:hAnsi="Arial" w:cs="Arial"/>
        </w:rPr>
        <w:t xml:space="preserve"> the orders are similarly </w:t>
      </w:r>
      <w:r w:rsidR="00531461">
        <w:rPr>
          <w:rFonts w:ascii="Arial" w:hAnsi="Arial" w:cs="Arial"/>
        </w:rPr>
        <w:t xml:space="preserve">worded. </w:t>
      </w:r>
    </w:p>
    <w:p w14:paraId="4A191FE0" w14:textId="055CF5D5" w:rsidR="00D672B2" w:rsidRDefault="00D672B2" w:rsidP="004349EA">
      <w:pPr>
        <w:spacing w:line="360" w:lineRule="auto"/>
        <w:jc w:val="both"/>
        <w:rPr>
          <w:rFonts w:ascii="Arial" w:hAnsi="Arial" w:cs="Arial"/>
          <w:b/>
          <w:bCs/>
        </w:rPr>
      </w:pPr>
      <w:r w:rsidRPr="00D672B2">
        <w:rPr>
          <w:rFonts w:ascii="Arial" w:hAnsi="Arial" w:cs="Arial"/>
          <w:b/>
          <w:bCs/>
        </w:rPr>
        <w:t xml:space="preserve">Issues in dispute </w:t>
      </w:r>
    </w:p>
    <w:p w14:paraId="32F5BE8F" w14:textId="77777777" w:rsidR="00590B5D" w:rsidRDefault="008D1761" w:rsidP="004349EA">
      <w:pPr>
        <w:spacing w:line="360" w:lineRule="auto"/>
        <w:jc w:val="both"/>
        <w:rPr>
          <w:rFonts w:ascii="Arial" w:hAnsi="Arial" w:cs="Arial"/>
        </w:rPr>
      </w:pPr>
      <w:r>
        <w:rPr>
          <w:rFonts w:ascii="Arial" w:hAnsi="Arial" w:cs="Arial"/>
        </w:rPr>
        <w:t xml:space="preserve">[7] </w:t>
      </w:r>
      <w:r w:rsidR="00C64B65" w:rsidRPr="00C64B65">
        <w:rPr>
          <w:rFonts w:ascii="Arial" w:hAnsi="Arial" w:cs="Arial"/>
        </w:rPr>
        <w:t xml:space="preserve">The question this Court must determine </w:t>
      </w:r>
      <w:r w:rsidR="00734A78">
        <w:rPr>
          <w:rFonts w:ascii="Arial" w:hAnsi="Arial" w:cs="Arial"/>
        </w:rPr>
        <w:t xml:space="preserve">whether it </w:t>
      </w:r>
      <w:r w:rsidR="003724DC">
        <w:rPr>
          <w:rFonts w:ascii="Arial" w:hAnsi="Arial" w:cs="Arial"/>
        </w:rPr>
        <w:t xml:space="preserve">is </w:t>
      </w:r>
      <w:r w:rsidR="003724DC" w:rsidRPr="00C64B65">
        <w:rPr>
          <w:rFonts w:ascii="Arial" w:hAnsi="Arial" w:cs="Arial"/>
        </w:rPr>
        <w:t>competent</w:t>
      </w:r>
      <w:r w:rsidR="00C64B65" w:rsidRPr="00C64B65">
        <w:rPr>
          <w:rFonts w:ascii="Arial" w:hAnsi="Arial" w:cs="Arial"/>
        </w:rPr>
        <w:t xml:space="preserve"> </w:t>
      </w:r>
      <w:r w:rsidR="009828CC">
        <w:rPr>
          <w:rFonts w:ascii="Arial" w:hAnsi="Arial" w:cs="Arial"/>
        </w:rPr>
        <w:t xml:space="preserve">to </w:t>
      </w:r>
      <w:r w:rsidR="003724DC">
        <w:rPr>
          <w:rFonts w:ascii="Arial" w:hAnsi="Arial" w:cs="Arial"/>
        </w:rPr>
        <w:t>strike out a def</w:t>
      </w:r>
      <w:r w:rsidR="00BE646D">
        <w:rPr>
          <w:rFonts w:ascii="Arial" w:hAnsi="Arial" w:cs="Arial"/>
        </w:rPr>
        <w:t xml:space="preserve">ence entered by the respondent where the respondent has </w:t>
      </w:r>
      <w:r w:rsidR="00A61A1C">
        <w:rPr>
          <w:rFonts w:ascii="Arial" w:hAnsi="Arial" w:cs="Arial"/>
        </w:rPr>
        <w:t xml:space="preserve">failed to comply with the court </w:t>
      </w:r>
      <w:r w:rsidR="0039335B">
        <w:rPr>
          <w:rFonts w:ascii="Arial" w:hAnsi="Arial" w:cs="Arial"/>
        </w:rPr>
        <w:t>order</w:t>
      </w:r>
      <w:r w:rsidR="0039335B" w:rsidRPr="00C64B65">
        <w:rPr>
          <w:rFonts w:ascii="Arial" w:hAnsi="Arial" w:cs="Arial"/>
        </w:rPr>
        <w:t xml:space="preserve"> compelling</w:t>
      </w:r>
      <w:r w:rsidR="009E09E0" w:rsidRPr="00C64B65">
        <w:rPr>
          <w:rFonts w:ascii="Arial" w:hAnsi="Arial" w:cs="Arial"/>
        </w:rPr>
        <w:t xml:space="preserve"> </w:t>
      </w:r>
      <w:r w:rsidR="0039335B">
        <w:rPr>
          <w:rFonts w:ascii="Arial" w:hAnsi="Arial" w:cs="Arial"/>
        </w:rPr>
        <w:t>r</w:t>
      </w:r>
      <w:r w:rsidR="009E09E0" w:rsidRPr="00C64B65">
        <w:rPr>
          <w:rFonts w:ascii="Arial" w:hAnsi="Arial" w:cs="Arial"/>
        </w:rPr>
        <w:t>espondent</w:t>
      </w:r>
      <w:r w:rsidR="00C64B65" w:rsidRPr="00C64B65">
        <w:rPr>
          <w:rFonts w:ascii="Arial" w:hAnsi="Arial" w:cs="Arial"/>
        </w:rPr>
        <w:t xml:space="preserve"> to either make an election to appoint its own medico-legal experts or </w:t>
      </w:r>
      <w:r w:rsidR="00F837BA">
        <w:rPr>
          <w:rFonts w:ascii="Arial" w:hAnsi="Arial" w:cs="Arial"/>
        </w:rPr>
        <w:t xml:space="preserve">to </w:t>
      </w:r>
      <w:r w:rsidR="00C64B65" w:rsidRPr="00C64B65">
        <w:rPr>
          <w:rFonts w:ascii="Arial" w:hAnsi="Arial" w:cs="Arial"/>
        </w:rPr>
        <w:t xml:space="preserve">indicate </w:t>
      </w:r>
      <w:r w:rsidR="00591116">
        <w:rPr>
          <w:rFonts w:ascii="Arial" w:hAnsi="Arial" w:cs="Arial"/>
        </w:rPr>
        <w:t>if it</w:t>
      </w:r>
      <w:r w:rsidR="00C64B65" w:rsidRPr="00C64B65">
        <w:rPr>
          <w:rFonts w:ascii="Arial" w:hAnsi="Arial" w:cs="Arial"/>
        </w:rPr>
        <w:t xml:space="preserve"> intend</w:t>
      </w:r>
      <w:r w:rsidR="00591116">
        <w:rPr>
          <w:rFonts w:ascii="Arial" w:hAnsi="Arial" w:cs="Arial"/>
        </w:rPr>
        <w:t>s</w:t>
      </w:r>
      <w:r w:rsidR="00C64B65" w:rsidRPr="00C64B65">
        <w:rPr>
          <w:rFonts w:ascii="Arial" w:hAnsi="Arial" w:cs="Arial"/>
        </w:rPr>
        <w:t xml:space="preserve"> to do so and will rely on the medico-legal reports of the </w:t>
      </w:r>
      <w:r w:rsidR="00F837BA">
        <w:rPr>
          <w:rFonts w:ascii="Arial" w:hAnsi="Arial" w:cs="Arial"/>
        </w:rPr>
        <w:t>a</w:t>
      </w:r>
      <w:r w:rsidR="00C64B65" w:rsidRPr="00C64B65">
        <w:rPr>
          <w:rFonts w:ascii="Arial" w:hAnsi="Arial" w:cs="Arial"/>
        </w:rPr>
        <w:t xml:space="preserve">pplicant. In other words, does Uniform rule 36 obligate a </w:t>
      </w:r>
      <w:r w:rsidR="00590B5D">
        <w:rPr>
          <w:rFonts w:ascii="Arial" w:hAnsi="Arial" w:cs="Arial"/>
        </w:rPr>
        <w:t>r</w:t>
      </w:r>
      <w:r w:rsidR="00C64B65" w:rsidRPr="00C64B65">
        <w:rPr>
          <w:rFonts w:ascii="Arial" w:hAnsi="Arial" w:cs="Arial"/>
        </w:rPr>
        <w:t>espondent to appoint medico-legal experts and file reports and summaries</w:t>
      </w:r>
      <w:r w:rsidR="003724DC">
        <w:rPr>
          <w:rFonts w:ascii="Arial" w:hAnsi="Arial" w:cs="Arial"/>
        </w:rPr>
        <w:t xml:space="preserve">. </w:t>
      </w:r>
      <w:r w:rsidR="00621A5C">
        <w:rPr>
          <w:rFonts w:ascii="Arial" w:hAnsi="Arial" w:cs="Arial"/>
        </w:rPr>
        <w:t xml:space="preserve">The plaintiffs seek to strike out </w:t>
      </w:r>
      <w:r w:rsidR="00F97D21">
        <w:rPr>
          <w:rFonts w:ascii="Arial" w:hAnsi="Arial" w:cs="Arial"/>
        </w:rPr>
        <w:t>the defendant’s defences in each o</w:t>
      </w:r>
      <w:r w:rsidR="00D91E18">
        <w:rPr>
          <w:rFonts w:ascii="Arial" w:hAnsi="Arial" w:cs="Arial"/>
        </w:rPr>
        <w:t>f the cases cited above</w:t>
      </w:r>
      <w:r w:rsidR="00BA71CE">
        <w:rPr>
          <w:rFonts w:ascii="Arial" w:hAnsi="Arial" w:cs="Arial"/>
        </w:rPr>
        <w:t xml:space="preserve"> for such failure</w:t>
      </w:r>
      <w:r w:rsidR="00D91E18">
        <w:rPr>
          <w:rFonts w:ascii="Arial" w:hAnsi="Arial" w:cs="Arial"/>
        </w:rPr>
        <w:t xml:space="preserve">. </w:t>
      </w:r>
    </w:p>
    <w:p w14:paraId="5B2215F2" w14:textId="37A1AC08" w:rsidR="00E83BC7" w:rsidRDefault="0036146A" w:rsidP="004349EA">
      <w:pPr>
        <w:spacing w:line="360" w:lineRule="auto"/>
        <w:jc w:val="both"/>
        <w:rPr>
          <w:rFonts w:ascii="Arial" w:hAnsi="Arial" w:cs="Arial"/>
        </w:rPr>
      </w:pPr>
      <w:r>
        <w:rPr>
          <w:rFonts w:ascii="Arial" w:hAnsi="Arial" w:cs="Arial"/>
        </w:rPr>
        <w:t>[</w:t>
      </w:r>
      <w:r w:rsidR="00F147F2">
        <w:rPr>
          <w:rFonts w:ascii="Arial" w:hAnsi="Arial" w:cs="Arial"/>
        </w:rPr>
        <w:t>8</w:t>
      </w:r>
      <w:r>
        <w:rPr>
          <w:rFonts w:ascii="Arial" w:hAnsi="Arial" w:cs="Arial"/>
        </w:rPr>
        <w:t xml:space="preserve">] </w:t>
      </w:r>
      <w:r w:rsidR="00E60A3C">
        <w:rPr>
          <w:rFonts w:ascii="Arial" w:hAnsi="Arial" w:cs="Arial"/>
        </w:rPr>
        <w:t>The applications were opposed</w:t>
      </w:r>
      <w:r w:rsidR="00591C0F">
        <w:rPr>
          <w:rFonts w:ascii="Arial" w:hAnsi="Arial" w:cs="Arial"/>
        </w:rPr>
        <w:t xml:space="preserve">. The crux of the opposition is premised in </w:t>
      </w:r>
      <w:r w:rsidR="007C5CAB">
        <w:rPr>
          <w:rFonts w:ascii="Arial" w:hAnsi="Arial" w:cs="Arial"/>
        </w:rPr>
        <w:t>an</w:t>
      </w:r>
      <w:r w:rsidR="00591C0F">
        <w:rPr>
          <w:rFonts w:ascii="Arial" w:hAnsi="Arial" w:cs="Arial"/>
        </w:rPr>
        <w:t xml:space="preserve"> earlier </w:t>
      </w:r>
      <w:r w:rsidR="008B4AA6">
        <w:rPr>
          <w:rFonts w:ascii="Arial" w:hAnsi="Arial" w:cs="Arial"/>
        </w:rPr>
        <w:t xml:space="preserve">decision </w:t>
      </w:r>
      <w:r w:rsidR="00E14A79">
        <w:rPr>
          <w:rFonts w:ascii="Arial" w:hAnsi="Arial" w:cs="Arial"/>
        </w:rPr>
        <w:t xml:space="preserve">of </w:t>
      </w:r>
      <w:r w:rsidR="00116B1F" w:rsidRPr="000926D1">
        <w:rPr>
          <w:rFonts w:ascii="Arial" w:hAnsi="Arial" w:cs="Arial"/>
          <w:i/>
          <w:iCs/>
        </w:rPr>
        <w:t>Legaole Kagiso Sonnyboy v RAF</w:t>
      </w:r>
      <w:r w:rsidR="00116B1F">
        <w:rPr>
          <w:rFonts w:ascii="Arial" w:hAnsi="Arial" w:cs="Arial"/>
        </w:rPr>
        <w:t xml:space="preserve"> </w:t>
      </w:r>
      <w:r w:rsidR="000926D1">
        <w:rPr>
          <w:rFonts w:ascii="Arial" w:hAnsi="Arial" w:cs="Arial"/>
        </w:rPr>
        <w:t>(2019</w:t>
      </w:r>
      <w:r w:rsidR="00F46F6D">
        <w:rPr>
          <w:rFonts w:ascii="Arial" w:hAnsi="Arial" w:cs="Arial"/>
        </w:rPr>
        <w:t xml:space="preserve">/31546; </w:t>
      </w:r>
      <w:r w:rsidR="00247023">
        <w:rPr>
          <w:rFonts w:ascii="Arial" w:hAnsi="Arial" w:cs="Arial"/>
        </w:rPr>
        <w:t>2019/</w:t>
      </w:r>
      <w:r w:rsidR="00116B1F">
        <w:rPr>
          <w:rFonts w:ascii="Arial" w:hAnsi="Arial" w:cs="Arial"/>
        </w:rPr>
        <w:t>31545</w:t>
      </w:r>
      <w:r w:rsidR="00247023">
        <w:rPr>
          <w:rFonts w:ascii="Arial" w:hAnsi="Arial" w:cs="Arial"/>
        </w:rPr>
        <w:t>; 2019/29804</w:t>
      </w:r>
      <w:r w:rsidR="00CF7692">
        <w:rPr>
          <w:rFonts w:ascii="Arial" w:hAnsi="Arial" w:cs="Arial"/>
        </w:rPr>
        <w:t>) [ 2020</w:t>
      </w:r>
      <w:r w:rsidR="00A46B6D">
        <w:rPr>
          <w:rFonts w:ascii="Arial" w:hAnsi="Arial" w:cs="Arial"/>
        </w:rPr>
        <w:t xml:space="preserve">] ZAGPJHC </w:t>
      </w:r>
      <w:r w:rsidR="003924F0">
        <w:rPr>
          <w:rFonts w:ascii="Arial" w:hAnsi="Arial" w:cs="Arial"/>
        </w:rPr>
        <w:t>(3</w:t>
      </w:r>
      <w:r w:rsidR="00A46B6D">
        <w:rPr>
          <w:rFonts w:ascii="Arial" w:hAnsi="Arial" w:cs="Arial"/>
        </w:rPr>
        <w:t xml:space="preserve"> June 2020)</w:t>
      </w:r>
      <w:r w:rsidR="008B4AA6">
        <w:rPr>
          <w:rFonts w:ascii="Arial" w:hAnsi="Arial" w:cs="Arial"/>
        </w:rPr>
        <w:t xml:space="preserve"> where</w:t>
      </w:r>
      <w:r w:rsidR="00A46B6D">
        <w:rPr>
          <w:rFonts w:ascii="Arial" w:hAnsi="Arial" w:cs="Arial"/>
        </w:rPr>
        <w:t xml:space="preserve"> </w:t>
      </w:r>
      <w:r w:rsidR="006332AB">
        <w:rPr>
          <w:rFonts w:ascii="Arial" w:hAnsi="Arial" w:cs="Arial"/>
        </w:rPr>
        <w:t xml:space="preserve">the court stated at para 6 that’ It cannot </w:t>
      </w:r>
      <w:r w:rsidR="00E77662">
        <w:rPr>
          <w:rFonts w:ascii="Arial" w:hAnsi="Arial" w:cs="Arial"/>
        </w:rPr>
        <w:t xml:space="preserve">be said that a defendant who fails to give </w:t>
      </w:r>
      <w:r w:rsidR="006A49E8">
        <w:rPr>
          <w:rFonts w:ascii="Arial" w:hAnsi="Arial" w:cs="Arial"/>
        </w:rPr>
        <w:t>notice of his intention to call an expert witness doe</w:t>
      </w:r>
      <w:r w:rsidR="00E60A3C">
        <w:rPr>
          <w:rFonts w:ascii="Arial" w:hAnsi="Arial" w:cs="Arial"/>
        </w:rPr>
        <w:t>s</w:t>
      </w:r>
      <w:r w:rsidR="006A49E8">
        <w:rPr>
          <w:rFonts w:ascii="Arial" w:hAnsi="Arial" w:cs="Arial"/>
        </w:rPr>
        <w:t xml:space="preserve"> not </w:t>
      </w:r>
      <w:r w:rsidR="00080F6E">
        <w:rPr>
          <w:rFonts w:ascii="Arial" w:hAnsi="Arial" w:cs="Arial"/>
        </w:rPr>
        <w:t>comply with Rule 36. There is no obligation on a defendant to</w:t>
      </w:r>
      <w:r w:rsidR="006D36A7">
        <w:rPr>
          <w:rFonts w:ascii="Arial" w:hAnsi="Arial" w:cs="Arial"/>
        </w:rPr>
        <w:t xml:space="preserve"> call expert witnesses. All uniform </w:t>
      </w:r>
      <w:r w:rsidR="000926D1">
        <w:rPr>
          <w:rFonts w:ascii="Arial" w:hAnsi="Arial" w:cs="Arial"/>
        </w:rPr>
        <w:t>rules</w:t>
      </w:r>
      <w:r w:rsidR="00853D69">
        <w:rPr>
          <w:rFonts w:ascii="Arial" w:hAnsi="Arial" w:cs="Arial"/>
        </w:rPr>
        <w:t xml:space="preserve"> provide is that, in the event the defendant </w:t>
      </w:r>
      <w:r w:rsidR="00E761BE">
        <w:rPr>
          <w:rFonts w:ascii="Arial" w:hAnsi="Arial" w:cs="Arial"/>
        </w:rPr>
        <w:t>opting to call expert witnesses, the procedure outlined in that uni</w:t>
      </w:r>
      <w:r w:rsidR="00752D10">
        <w:rPr>
          <w:rFonts w:ascii="Arial" w:hAnsi="Arial" w:cs="Arial"/>
        </w:rPr>
        <w:t>form rule 36(9) should be followed’.</w:t>
      </w:r>
    </w:p>
    <w:p w14:paraId="66B67C7D" w14:textId="18D5DA18" w:rsidR="003407AA" w:rsidRDefault="00F147F2" w:rsidP="004349EA">
      <w:pPr>
        <w:spacing w:line="360" w:lineRule="auto"/>
        <w:jc w:val="both"/>
        <w:rPr>
          <w:rFonts w:ascii="Arial" w:hAnsi="Arial" w:cs="Arial"/>
        </w:rPr>
      </w:pPr>
      <w:r>
        <w:rPr>
          <w:rFonts w:ascii="Arial" w:hAnsi="Arial" w:cs="Arial"/>
        </w:rPr>
        <w:lastRenderedPageBreak/>
        <w:t>[</w:t>
      </w:r>
      <w:r w:rsidR="00493FFA">
        <w:rPr>
          <w:rFonts w:ascii="Arial" w:hAnsi="Arial" w:cs="Arial"/>
        </w:rPr>
        <w:t>9</w:t>
      </w:r>
      <w:r>
        <w:rPr>
          <w:rFonts w:ascii="Arial" w:hAnsi="Arial" w:cs="Arial"/>
        </w:rPr>
        <w:t xml:space="preserve">] The </w:t>
      </w:r>
      <w:r w:rsidRPr="00C9619E">
        <w:rPr>
          <w:rFonts w:ascii="Arial" w:hAnsi="Arial" w:cs="Arial"/>
          <w:i/>
          <w:iCs/>
        </w:rPr>
        <w:t>Legaole</w:t>
      </w:r>
      <w:r>
        <w:rPr>
          <w:rFonts w:ascii="Arial" w:hAnsi="Arial" w:cs="Arial"/>
        </w:rPr>
        <w:t xml:space="preserve"> </w:t>
      </w:r>
      <w:r w:rsidR="000C73D8">
        <w:rPr>
          <w:rFonts w:ascii="Arial" w:hAnsi="Arial" w:cs="Arial"/>
        </w:rPr>
        <w:t xml:space="preserve">decision also dealt with the background that resulted in litigants embarking on </w:t>
      </w:r>
      <w:r w:rsidR="003B0068">
        <w:rPr>
          <w:rFonts w:ascii="Arial" w:hAnsi="Arial" w:cs="Arial"/>
        </w:rPr>
        <w:t>these type</w:t>
      </w:r>
      <w:r w:rsidR="00DE6A5A">
        <w:rPr>
          <w:rFonts w:ascii="Arial" w:hAnsi="Arial" w:cs="Arial"/>
        </w:rPr>
        <w:t>s</w:t>
      </w:r>
      <w:r w:rsidR="003B0068">
        <w:rPr>
          <w:rFonts w:ascii="Arial" w:hAnsi="Arial" w:cs="Arial"/>
        </w:rPr>
        <w:t xml:space="preserve"> of application</w:t>
      </w:r>
      <w:r w:rsidR="006F0FE9">
        <w:rPr>
          <w:rFonts w:ascii="Arial" w:hAnsi="Arial" w:cs="Arial"/>
        </w:rPr>
        <w:t>s</w:t>
      </w:r>
      <w:r w:rsidR="003B0068">
        <w:rPr>
          <w:rFonts w:ascii="Arial" w:hAnsi="Arial" w:cs="Arial"/>
        </w:rPr>
        <w:t xml:space="preserve">. The </w:t>
      </w:r>
      <w:r w:rsidR="00315711">
        <w:rPr>
          <w:rFonts w:ascii="Arial" w:hAnsi="Arial" w:cs="Arial"/>
        </w:rPr>
        <w:t xml:space="preserve">court stated that all these applications are based </w:t>
      </w:r>
      <w:r w:rsidR="003474AB">
        <w:rPr>
          <w:rFonts w:ascii="Arial" w:hAnsi="Arial" w:cs="Arial"/>
        </w:rPr>
        <w:t xml:space="preserve">on rule </w:t>
      </w:r>
      <w:r w:rsidR="00D23130">
        <w:rPr>
          <w:rFonts w:ascii="Arial" w:hAnsi="Arial" w:cs="Arial"/>
        </w:rPr>
        <w:t>36(9</w:t>
      </w:r>
      <w:r w:rsidR="00740AFF">
        <w:rPr>
          <w:rFonts w:ascii="Arial" w:hAnsi="Arial" w:cs="Arial"/>
        </w:rPr>
        <w:t>A) (</w:t>
      </w:r>
      <w:r w:rsidR="00DA59AE">
        <w:rPr>
          <w:rFonts w:ascii="Arial" w:hAnsi="Arial" w:cs="Arial"/>
        </w:rPr>
        <w:t>a)</w:t>
      </w:r>
      <w:r w:rsidR="00740AFF">
        <w:rPr>
          <w:rFonts w:ascii="Arial" w:hAnsi="Arial" w:cs="Arial"/>
        </w:rPr>
        <w:t xml:space="preserve"> </w:t>
      </w:r>
      <w:r w:rsidR="00D23130">
        <w:rPr>
          <w:rFonts w:ascii="Arial" w:hAnsi="Arial" w:cs="Arial"/>
        </w:rPr>
        <w:t>which came into effect during July 2019</w:t>
      </w:r>
      <w:r w:rsidR="0041557D">
        <w:rPr>
          <w:rFonts w:ascii="Arial" w:hAnsi="Arial" w:cs="Arial"/>
        </w:rPr>
        <w:t xml:space="preserve">. The rule encourages parties to the litigation to </w:t>
      </w:r>
      <w:r w:rsidR="005632E4">
        <w:rPr>
          <w:rFonts w:ascii="Arial" w:hAnsi="Arial" w:cs="Arial"/>
        </w:rPr>
        <w:t xml:space="preserve">attempt to </w:t>
      </w:r>
      <w:r w:rsidR="00D57E3F">
        <w:rPr>
          <w:rFonts w:ascii="Arial" w:hAnsi="Arial" w:cs="Arial"/>
        </w:rPr>
        <w:t>endeavour as possible</w:t>
      </w:r>
      <w:r w:rsidR="003407AA">
        <w:rPr>
          <w:rFonts w:ascii="Arial" w:hAnsi="Arial" w:cs="Arial"/>
        </w:rPr>
        <w:t>.</w:t>
      </w:r>
    </w:p>
    <w:p w14:paraId="0D538A2A" w14:textId="2F8406A5" w:rsidR="00493FFA" w:rsidRDefault="00DA6A71" w:rsidP="004349EA">
      <w:pPr>
        <w:spacing w:line="360" w:lineRule="auto"/>
        <w:jc w:val="both"/>
        <w:rPr>
          <w:rFonts w:ascii="Arial" w:hAnsi="Arial" w:cs="Arial"/>
        </w:rPr>
      </w:pPr>
      <w:r>
        <w:rPr>
          <w:rFonts w:ascii="Arial" w:hAnsi="Arial" w:cs="Arial"/>
        </w:rPr>
        <w:t>[</w:t>
      </w:r>
      <w:r w:rsidR="00C63DEA">
        <w:rPr>
          <w:rFonts w:ascii="Arial" w:hAnsi="Arial" w:cs="Arial"/>
        </w:rPr>
        <w:t>10</w:t>
      </w:r>
      <w:r>
        <w:rPr>
          <w:rFonts w:ascii="Arial" w:hAnsi="Arial" w:cs="Arial"/>
        </w:rPr>
        <w:t xml:space="preserve">] The respondents argued that based on the above decision </w:t>
      </w:r>
      <w:r w:rsidR="00505373">
        <w:rPr>
          <w:rFonts w:ascii="Arial" w:hAnsi="Arial" w:cs="Arial"/>
        </w:rPr>
        <w:t>there was no basis in law for the defendants</w:t>
      </w:r>
      <w:r w:rsidR="00461276">
        <w:rPr>
          <w:rFonts w:ascii="Arial" w:hAnsi="Arial" w:cs="Arial"/>
        </w:rPr>
        <w:t xml:space="preserve">’ defences to be struck out due to </w:t>
      </w:r>
      <w:r w:rsidR="003B1B21">
        <w:rPr>
          <w:rFonts w:ascii="Arial" w:hAnsi="Arial" w:cs="Arial"/>
        </w:rPr>
        <w:t>failure to appoint an expert or failure to attend a pre</w:t>
      </w:r>
      <w:r w:rsidR="005D4D70">
        <w:rPr>
          <w:rFonts w:ascii="Arial" w:hAnsi="Arial" w:cs="Arial"/>
        </w:rPr>
        <w:t xml:space="preserve">-trial conference. </w:t>
      </w:r>
      <w:r w:rsidR="00C63DEA">
        <w:rPr>
          <w:rFonts w:ascii="Arial" w:hAnsi="Arial" w:cs="Arial"/>
        </w:rPr>
        <w:t>It is app</w:t>
      </w:r>
      <w:r w:rsidR="00E9754A">
        <w:rPr>
          <w:rFonts w:ascii="Arial" w:hAnsi="Arial" w:cs="Arial"/>
        </w:rPr>
        <w:t xml:space="preserve">arent that </w:t>
      </w:r>
      <w:r w:rsidR="004F4D0E">
        <w:rPr>
          <w:rFonts w:ascii="Arial" w:hAnsi="Arial" w:cs="Arial"/>
        </w:rPr>
        <w:t xml:space="preserve">the respondent is basing its opposing on a </w:t>
      </w:r>
      <w:r w:rsidR="00054400">
        <w:rPr>
          <w:rFonts w:ascii="Arial" w:hAnsi="Arial" w:cs="Arial"/>
        </w:rPr>
        <w:t xml:space="preserve">different </w:t>
      </w:r>
      <w:r w:rsidR="00E220AC">
        <w:rPr>
          <w:rFonts w:ascii="Arial" w:hAnsi="Arial" w:cs="Arial"/>
        </w:rPr>
        <w:t>a rule</w:t>
      </w:r>
      <w:r w:rsidR="0042699D">
        <w:rPr>
          <w:rFonts w:ascii="Arial" w:hAnsi="Arial" w:cs="Arial"/>
        </w:rPr>
        <w:t xml:space="preserve"> than one</w:t>
      </w:r>
      <w:r w:rsidR="00E220AC">
        <w:rPr>
          <w:rFonts w:ascii="Arial" w:hAnsi="Arial" w:cs="Arial"/>
        </w:rPr>
        <w:t xml:space="preserve"> which was dealt with in the above quoted case. </w:t>
      </w:r>
    </w:p>
    <w:p w14:paraId="10B0670E" w14:textId="6D0221F4" w:rsidR="003D6639" w:rsidRDefault="00932FC7" w:rsidP="004349EA">
      <w:pPr>
        <w:spacing w:line="360" w:lineRule="auto"/>
        <w:jc w:val="both"/>
        <w:rPr>
          <w:rFonts w:ascii="Arial" w:hAnsi="Arial" w:cs="Arial"/>
        </w:rPr>
      </w:pPr>
      <w:r>
        <w:rPr>
          <w:rFonts w:ascii="Arial" w:hAnsi="Arial" w:cs="Arial"/>
        </w:rPr>
        <w:t xml:space="preserve">[11] The facts in the </w:t>
      </w:r>
      <w:r w:rsidRPr="0017716D">
        <w:rPr>
          <w:rFonts w:ascii="Arial" w:hAnsi="Arial" w:cs="Arial"/>
          <w:b/>
          <w:bCs/>
          <w:i/>
          <w:iCs/>
        </w:rPr>
        <w:t>Legaole</w:t>
      </w:r>
      <w:r>
        <w:rPr>
          <w:rFonts w:ascii="Arial" w:hAnsi="Arial" w:cs="Arial"/>
        </w:rPr>
        <w:t xml:space="preserve"> ar</w:t>
      </w:r>
      <w:r w:rsidR="00CD2E17">
        <w:rPr>
          <w:rFonts w:ascii="Arial" w:hAnsi="Arial" w:cs="Arial"/>
        </w:rPr>
        <w:t xml:space="preserve">e clearly distinguishable from the facts before this court. </w:t>
      </w:r>
      <w:r w:rsidR="0017716D">
        <w:rPr>
          <w:rFonts w:ascii="Arial" w:hAnsi="Arial" w:cs="Arial"/>
        </w:rPr>
        <w:t>It</w:t>
      </w:r>
      <w:r w:rsidR="00A47860">
        <w:rPr>
          <w:rFonts w:ascii="Arial" w:hAnsi="Arial" w:cs="Arial"/>
        </w:rPr>
        <w:t xml:space="preserve"> is clear in all three matters the court has granted orders </w:t>
      </w:r>
      <w:r w:rsidR="00EF33F5">
        <w:rPr>
          <w:rFonts w:ascii="Arial" w:hAnsi="Arial" w:cs="Arial"/>
        </w:rPr>
        <w:t xml:space="preserve">to compel compliance with the rule. It is not for this </w:t>
      </w:r>
      <w:r w:rsidR="00DC1EEC">
        <w:rPr>
          <w:rFonts w:ascii="Arial" w:hAnsi="Arial" w:cs="Arial"/>
        </w:rPr>
        <w:t xml:space="preserve">court to question the legality or otherwise of that decision. The fact of the matter is that the </w:t>
      </w:r>
      <w:r w:rsidR="00D2042B">
        <w:rPr>
          <w:rFonts w:ascii="Arial" w:hAnsi="Arial" w:cs="Arial"/>
        </w:rPr>
        <w:t xml:space="preserve">respondent has in all these three matters failed to comply with the </w:t>
      </w:r>
      <w:r w:rsidR="00BC4100">
        <w:rPr>
          <w:rFonts w:ascii="Arial" w:hAnsi="Arial" w:cs="Arial"/>
        </w:rPr>
        <w:t xml:space="preserve">order of court. An attempt to try and challenge that court order by invoking a different </w:t>
      </w:r>
      <w:r w:rsidR="001A59E7">
        <w:rPr>
          <w:rFonts w:ascii="Arial" w:hAnsi="Arial" w:cs="Arial"/>
        </w:rPr>
        <w:t xml:space="preserve">rule cannot be </w:t>
      </w:r>
      <w:r w:rsidR="00CE3A91">
        <w:rPr>
          <w:rFonts w:ascii="Arial" w:hAnsi="Arial" w:cs="Arial"/>
        </w:rPr>
        <w:t>countenanced.</w:t>
      </w:r>
      <w:r w:rsidR="001A59E7">
        <w:rPr>
          <w:rFonts w:ascii="Arial" w:hAnsi="Arial" w:cs="Arial"/>
        </w:rPr>
        <w:t xml:space="preserve"> </w:t>
      </w:r>
    </w:p>
    <w:p w14:paraId="5064EBD9" w14:textId="6613438E" w:rsidR="003D6639" w:rsidRPr="003D6639" w:rsidRDefault="003D6639" w:rsidP="004349EA">
      <w:pPr>
        <w:spacing w:line="360" w:lineRule="auto"/>
        <w:jc w:val="both"/>
        <w:rPr>
          <w:rFonts w:ascii="Arial" w:hAnsi="Arial" w:cs="Arial"/>
          <w:b/>
          <w:bCs/>
        </w:rPr>
      </w:pPr>
      <w:r w:rsidRPr="003D6639">
        <w:rPr>
          <w:rFonts w:ascii="Arial" w:hAnsi="Arial" w:cs="Arial"/>
          <w:b/>
          <w:bCs/>
        </w:rPr>
        <w:t>Nature of the application</w:t>
      </w:r>
    </w:p>
    <w:p w14:paraId="2E203B01" w14:textId="4F3D6EBA" w:rsidR="00357BA4" w:rsidRDefault="004B3172" w:rsidP="004349EA">
      <w:pPr>
        <w:spacing w:line="360" w:lineRule="auto"/>
        <w:jc w:val="both"/>
        <w:rPr>
          <w:rFonts w:ascii="Arial" w:hAnsi="Arial" w:cs="Arial"/>
        </w:rPr>
      </w:pPr>
      <w:r>
        <w:rPr>
          <w:rFonts w:ascii="Arial" w:hAnsi="Arial" w:cs="Arial"/>
        </w:rPr>
        <w:t xml:space="preserve">[12] </w:t>
      </w:r>
      <w:r w:rsidR="003D6639">
        <w:rPr>
          <w:rFonts w:ascii="Arial" w:hAnsi="Arial" w:cs="Arial"/>
        </w:rPr>
        <w:t>According to the applicants these app</w:t>
      </w:r>
      <w:r w:rsidR="00E12337">
        <w:rPr>
          <w:rFonts w:ascii="Arial" w:hAnsi="Arial" w:cs="Arial"/>
        </w:rPr>
        <w:t xml:space="preserve">lications </w:t>
      </w:r>
      <w:r w:rsidR="00E964A6">
        <w:rPr>
          <w:rFonts w:ascii="Arial" w:hAnsi="Arial" w:cs="Arial"/>
        </w:rPr>
        <w:t xml:space="preserve">are in terms of </w:t>
      </w:r>
      <w:r w:rsidR="00B44D83">
        <w:rPr>
          <w:rFonts w:ascii="Arial" w:hAnsi="Arial" w:cs="Arial"/>
        </w:rPr>
        <w:t>rule 35 (7) read with rule 30</w:t>
      </w:r>
      <w:r w:rsidR="003131DF">
        <w:rPr>
          <w:rFonts w:ascii="Arial" w:hAnsi="Arial" w:cs="Arial"/>
        </w:rPr>
        <w:t xml:space="preserve">A. Rule 35(7) provides that ‘ </w:t>
      </w:r>
      <w:r w:rsidR="00C2374E" w:rsidRPr="00C2374E">
        <w:rPr>
          <w:rFonts w:ascii="Arial" w:hAnsi="Arial" w:cs="Arial"/>
        </w:rPr>
        <w:t>(7) If any party fails to give discovery as aforesaid or, having been served with a notice under subrule (6), omits to give notice of a time for inspection as aforesaid or fails to give inspection as required by that subrule, the party desiring discovery or inspection may apply to a court, which may order compliance with this rule and, failing such</w:t>
      </w:r>
      <w:r w:rsidR="00E36EB8">
        <w:rPr>
          <w:rFonts w:ascii="Arial" w:hAnsi="Arial" w:cs="Arial"/>
        </w:rPr>
        <w:t xml:space="preserve"> </w:t>
      </w:r>
      <w:r w:rsidR="00E36EB8" w:rsidRPr="00E36EB8">
        <w:rPr>
          <w:rFonts w:ascii="Arial" w:hAnsi="Arial" w:cs="Arial"/>
        </w:rPr>
        <w:t>compliance, may dismiss the claim or strike out the defence.</w:t>
      </w:r>
      <w:r w:rsidR="00BB1FD6">
        <w:rPr>
          <w:rFonts w:ascii="Arial" w:hAnsi="Arial" w:cs="Arial"/>
        </w:rPr>
        <w:t xml:space="preserve"> It </w:t>
      </w:r>
      <w:r w:rsidR="0032750B">
        <w:rPr>
          <w:rFonts w:ascii="Arial" w:hAnsi="Arial" w:cs="Arial"/>
        </w:rPr>
        <w:t xml:space="preserve">clear that </w:t>
      </w:r>
      <w:r w:rsidR="00774292">
        <w:rPr>
          <w:rFonts w:ascii="Arial" w:hAnsi="Arial" w:cs="Arial"/>
        </w:rPr>
        <w:t>rule</w:t>
      </w:r>
      <w:r w:rsidR="00223B2E">
        <w:rPr>
          <w:rFonts w:ascii="Arial" w:hAnsi="Arial" w:cs="Arial"/>
        </w:rPr>
        <w:t xml:space="preserve"> </w:t>
      </w:r>
      <w:r w:rsidR="00F7427A" w:rsidRPr="00F7427A">
        <w:rPr>
          <w:rFonts w:ascii="Arial" w:hAnsi="Arial" w:cs="Arial"/>
        </w:rPr>
        <w:t xml:space="preserve">35 </w:t>
      </w:r>
      <w:r w:rsidR="00223B2E">
        <w:rPr>
          <w:rFonts w:ascii="Arial" w:hAnsi="Arial" w:cs="Arial"/>
        </w:rPr>
        <w:t xml:space="preserve">deals with </w:t>
      </w:r>
      <w:r w:rsidR="00F7427A" w:rsidRPr="00F7427A">
        <w:rPr>
          <w:rFonts w:ascii="Arial" w:hAnsi="Arial" w:cs="Arial"/>
        </w:rPr>
        <w:t>Discovery, Inspection and Production of Documents</w:t>
      </w:r>
      <w:r w:rsidR="00223B2E">
        <w:rPr>
          <w:rFonts w:ascii="Arial" w:hAnsi="Arial" w:cs="Arial"/>
        </w:rPr>
        <w:t xml:space="preserve">. </w:t>
      </w:r>
    </w:p>
    <w:p w14:paraId="7C999E07" w14:textId="2C506EA0" w:rsidR="00CB5BE8" w:rsidRDefault="00357BA4" w:rsidP="004349EA">
      <w:pPr>
        <w:spacing w:line="360" w:lineRule="auto"/>
        <w:jc w:val="both"/>
        <w:rPr>
          <w:rFonts w:ascii="Arial" w:hAnsi="Arial" w:cs="Arial"/>
        </w:rPr>
      </w:pPr>
      <w:r>
        <w:rPr>
          <w:rFonts w:ascii="Arial" w:hAnsi="Arial" w:cs="Arial"/>
        </w:rPr>
        <w:t>[13] Rule 30A provides ‘</w:t>
      </w:r>
      <w:r w:rsidR="006C4C29" w:rsidRPr="006C4C29">
        <w:rPr>
          <w:rFonts w:ascii="Arial" w:hAnsi="Arial" w:cs="Arial"/>
        </w:rPr>
        <w:t>30A Non-compliance with rules</w:t>
      </w:r>
      <w:r w:rsidR="00CB5BE8">
        <w:rPr>
          <w:rFonts w:ascii="Arial" w:hAnsi="Arial" w:cs="Arial"/>
        </w:rPr>
        <w:t>:</w:t>
      </w:r>
      <w:r w:rsidR="006C4C29" w:rsidRPr="006C4C29">
        <w:rPr>
          <w:rFonts w:ascii="Arial" w:hAnsi="Arial" w:cs="Arial"/>
        </w:rPr>
        <w:t xml:space="preserve"> </w:t>
      </w:r>
    </w:p>
    <w:p w14:paraId="66F413F9" w14:textId="77777777" w:rsidR="00CB5BE8" w:rsidRPr="00206598" w:rsidRDefault="00CB5BE8" w:rsidP="004349EA">
      <w:pPr>
        <w:spacing w:line="360" w:lineRule="auto"/>
        <w:jc w:val="both"/>
        <w:rPr>
          <w:rFonts w:ascii="Arial" w:hAnsi="Arial" w:cs="Arial"/>
          <w:sz w:val="22"/>
          <w:szCs w:val="22"/>
        </w:rPr>
      </w:pPr>
      <w:r w:rsidRPr="00206598">
        <w:rPr>
          <w:rFonts w:ascii="Arial" w:hAnsi="Arial" w:cs="Arial"/>
          <w:sz w:val="22"/>
          <w:szCs w:val="22"/>
        </w:rPr>
        <w:t>‘</w:t>
      </w:r>
      <w:r w:rsidR="006C4C29" w:rsidRPr="00206598">
        <w:rPr>
          <w:rFonts w:ascii="Arial" w:hAnsi="Arial" w:cs="Arial"/>
          <w:sz w:val="22"/>
          <w:szCs w:val="22"/>
        </w:rPr>
        <w:t xml:space="preserve">(1) Where a party fails to comply with these Rules or with a request made or notice given pursuant thereto, any other party may notify the defaulting party that he or she intends, after the lapse of 10 days, to apply for an order that such rule, </w:t>
      </w:r>
      <w:r w:rsidR="008D7578" w:rsidRPr="00206598">
        <w:rPr>
          <w:rFonts w:ascii="Arial" w:hAnsi="Arial" w:cs="Arial"/>
          <w:sz w:val="22"/>
          <w:szCs w:val="22"/>
        </w:rPr>
        <w:t>notice,</w:t>
      </w:r>
      <w:r w:rsidR="006C4C29" w:rsidRPr="00206598">
        <w:rPr>
          <w:rFonts w:ascii="Arial" w:hAnsi="Arial" w:cs="Arial"/>
          <w:sz w:val="22"/>
          <w:szCs w:val="22"/>
        </w:rPr>
        <w:t xml:space="preserve"> or request be complied with or that the claim or defence be struck out.</w:t>
      </w:r>
    </w:p>
    <w:p w14:paraId="3FB4C119" w14:textId="5EFE9056" w:rsidR="00551489" w:rsidRPr="00206598" w:rsidRDefault="006C4C29" w:rsidP="004349EA">
      <w:pPr>
        <w:spacing w:line="360" w:lineRule="auto"/>
        <w:jc w:val="both"/>
        <w:rPr>
          <w:rFonts w:ascii="Arial" w:hAnsi="Arial" w:cs="Arial"/>
          <w:sz w:val="22"/>
          <w:szCs w:val="22"/>
        </w:rPr>
      </w:pPr>
      <w:r w:rsidRPr="00206598">
        <w:rPr>
          <w:rFonts w:ascii="Arial" w:hAnsi="Arial" w:cs="Arial"/>
          <w:sz w:val="22"/>
          <w:szCs w:val="22"/>
        </w:rPr>
        <w:t xml:space="preserve"> (2) Failing compliance within 10 days, application may on notice be made to the court and the court may make such order thereon as to it seems meet</w:t>
      </w:r>
      <w:r w:rsidR="003B2394" w:rsidRPr="00206598">
        <w:rPr>
          <w:rFonts w:ascii="Arial" w:hAnsi="Arial" w:cs="Arial"/>
          <w:sz w:val="22"/>
          <w:szCs w:val="22"/>
        </w:rPr>
        <w:t xml:space="preserve">’. </w:t>
      </w:r>
    </w:p>
    <w:p w14:paraId="27A3BCA6" w14:textId="490E141D" w:rsidR="001D0F1D" w:rsidRDefault="00717697" w:rsidP="004349EA">
      <w:pPr>
        <w:spacing w:line="360" w:lineRule="auto"/>
        <w:jc w:val="both"/>
        <w:rPr>
          <w:rFonts w:ascii="Arial" w:hAnsi="Arial" w:cs="Arial"/>
        </w:rPr>
      </w:pPr>
      <w:r>
        <w:rPr>
          <w:rFonts w:ascii="Arial" w:hAnsi="Arial" w:cs="Arial"/>
        </w:rPr>
        <w:t xml:space="preserve">[14] The cases of </w:t>
      </w:r>
      <w:r w:rsidRPr="00717697">
        <w:rPr>
          <w:rFonts w:ascii="Arial" w:hAnsi="Arial" w:cs="Arial"/>
          <w:b/>
          <w:bCs/>
          <w:i/>
          <w:iCs/>
        </w:rPr>
        <w:t>Mohasoane</w:t>
      </w:r>
      <w:r>
        <w:rPr>
          <w:rFonts w:ascii="Arial" w:hAnsi="Arial" w:cs="Arial"/>
          <w:b/>
          <w:bCs/>
          <w:i/>
          <w:iCs/>
        </w:rPr>
        <w:t xml:space="preserve"> </w:t>
      </w:r>
      <w:r w:rsidRPr="00717697">
        <w:rPr>
          <w:rFonts w:ascii="Arial" w:hAnsi="Arial" w:cs="Arial"/>
        </w:rPr>
        <w:t>and</w:t>
      </w:r>
      <w:r>
        <w:rPr>
          <w:rFonts w:ascii="Arial" w:hAnsi="Arial" w:cs="Arial"/>
          <w:b/>
          <w:bCs/>
          <w:i/>
          <w:iCs/>
        </w:rPr>
        <w:t xml:space="preserve"> </w:t>
      </w:r>
      <w:r w:rsidRPr="00717697">
        <w:rPr>
          <w:rFonts w:ascii="Arial" w:hAnsi="Arial" w:cs="Arial"/>
          <w:b/>
          <w:bCs/>
          <w:i/>
          <w:iCs/>
        </w:rPr>
        <w:t>Masilola</w:t>
      </w:r>
      <w:r>
        <w:rPr>
          <w:rFonts w:ascii="Arial" w:hAnsi="Arial" w:cs="Arial"/>
          <w:b/>
          <w:bCs/>
          <w:i/>
          <w:iCs/>
        </w:rPr>
        <w:t xml:space="preserve"> </w:t>
      </w:r>
      <w:r w:rsidRPr="000C0F81">
        <w:rPr>
          <w:rFonts w:ascii="Arial" w:hAnsi="Arial" w:cs="Arial"/>
        </w:rPr>
        <w:t>the orders related to the requirement</w:t>
      </w:r>
      <w:r w:rsidR="00145151">
        <w:rPr>
          <w:rFonts w:ascii="Arial" w:hAnsi="Arial" w:cs="Arial"/>
        </w:rPr>
        <w:t>s</w:t>
      </w:r>
      <w:r w:rsidRPr="000C0F81">
        <w:rPr>
          <w:rFonts w:ascii="Arial" w:hAnsi="Arial" w:cs="Arial"/>
        </w:rPr>
        <w:t xml:space="preserve"> of Rule 36</w:t>
      </w:r>
      <w:r w:rsidR="00145151">
        <w:rPr>
          <w:rFonts w:ascii="Arial" w:hAnsi="Arial" w:cs="Arial"/>
        </w:rPr>
        <w:t xml:space="preserve"> are to be sati</w:t>
      </w:r>
      <w:r w:rsidR="00B643CA">
        <w:rPr>
          <w:rFonts w:ascii="Arial" w:hAnsi="Arial" w:cs="Arial"/>
        </w:rPr>
        <w:t xml:space="preserve">sfied. The case of </w:t>
      </w:r>
      <w:r w:rsidR="006062FA" w:rsidRPr="00C16148">
        <w:rPr>
          <w:rFonts w:ascii="Arial" w:hAnsi="Arial" w:cs="Arial"/>
          <w:b/>
          <w:bCs/>
          <w:i/>
          <w:iCs/>
        </w:rPr>
        <w:t>Tsheno</w:t>
      </w:r>
      <w:r w:rsidR="006C788E">
        <w:rPr>
          <w:rFonts w:ascii="Arial" w:hAnsi="Arial" w:cs="Arial"/>
          <w:b/>
          <w:bCs/>
          <w:i/>
          <w:iCs/>
        </w:rPr>
        <w:t>d</w:t>
      </w:r>
      <w:r w:rsidR="006062FA" w:rsidRPr="00C16148">
        <w:rPr>
          <w:rFonts w:ascii="Arial" w:hAnsi="Arial" w:cs="Arial"/>
          <w:b/>
          <w:bCs/>
          <w:i/>
          <w:iCs/>
        </w:rPr>
        <w:t>i</w:t>
      </w:r>
      <w:r w:rsidR="006062FA">
        <w:rPr>
          <w:rFonts w:ascii="Arial" w:hAnsi="Arial" w:cs="Arial"/>
        </w:rPr>
        <w:t xml:space="preserve"> related to the </w:t>
      </w:r>
      <w:r w:rsidR="009B28ED">
        <w:rPr>
          <w:rFonts w:ascii="Arial" w:hAnsi="Arial" w:cs="Arial"/>
        </w:rPr>
        <w:t>failure to attend</w:t>
      </w:r>
      <w:r w:rsidR="00A037C0">
        <w:rPr>
          <w:rFonts w:ascii="Arial" w:hAnsi="Arial" w:cs="Arial"/>
        </w:rPr>
        <w:t xml:space="preserve"> a pre-trial conference</w:t>
      </w:r>
      <w:r w:rsidR="00DB2752">
        <w:rPr>
          <w:rFonts w:ascii="Arial" w:hAnsi="Arial" w:cs="Arial"/>
        </w:rPr>
        <w:t xml:space="preserve">. </w:t>
      </w:r>
      <w:r w:rsidR="00484E24">
        <w:rPr>
          <w:rFonts w:ascii="Arial" w:hAnsi="Arial" w:cs="Arial"/>
        </w:rPr>
        <w:t>As I have already indicated the</w:t>
      </w:r>
      <w:r w:rsidR="00F71A4D">
        <w:rPr>
          <w:rFonts w:ascii="Arial" w:hAnsi="Arial" w:cs="Arial"/>
        </w:rPr>
        <w:t xml:space="preserve"> order are sought as the respondent has failed to comply with a</w:t>
      </w:r>
      <w:r w:rsidR="007B0C50">
        <w:rPr>
          <w:rFonts w:ascii="Arial" w:hAnsi="Arial" w:cs="Arial"/>
        </w:rPr>
        <w:t>n</w:t>
      </w:r>
      <w:r w:rsidR="00F71A4D">
        <w:rPr>
          <w:rFonts w:ascii="Arial" w:hAnsi="Arial" w:cs="Arial"/>
        </w:rPr>
        <w:t xml:space="preserve"> order </w:t>
      </w:r>
      <w:r w:rsidR="00112579">
        <w:rPr>
          <w:rFonts w:ascii="Arial" w:hAnsi="Arial" w:cs="Arial"/>
        </w:rPr>
        <w:t xml:space="preserve">of court. </w:t>
      </w:r>
      <w:r w:rsidR="009B28ED">
        <w:rPr>
          <w:rFonts w:ascii="Arial" w:hAnsi="Arial" w:cs="Arial"/>
        </w:rPr>
        <w:t xml:space="preserve"> </w:t>
      </w:r>
    </w:p>
    <w:p w14:paraId="245AA1D8" w14:textId="1F0E8DED" w:rsidR="001D0F1D" w:rsidRDefault="001D0F1D" w:rsidP="004349EA">
      <w:pPr>
        <w:spacing w:line="360" w:lineRule="auto"/>
        <w:jc w:val="both"/>
        <w:rPr>
          <w:rFonts w:ascii="Arial" w:hAnsi="Arial" w:cs="Arial"/>
          <w:b/>
          <w:bCs/>
        </w:rPr>
      </w:pPr>
      <w:r w:rsidRPr="001D0F1D">
        <w:rPr>
          <w:rFonts w:ascii="Arial" w:hAnsi="Arial" w:cs="Arial"/>
          <w:b/>
          <w:bCs/>
        </w:rPr>
        <w:lastRenderedPageBreak/>
        <w:t>The Legal Principles</w:t>
      </w:r>
    </w:p>
    <w:p w14:paraId="51028515" w14:textId="17AB690C" w:rsidR="007B0C50" w:rsidRDefault="007B0C50" w:rsidP="004349EA">
      <w:pPr>
        <w:spacing w:line="360" w:lineRule="auto"/>
        <w:jc w:val="both"/>
        <w:rPr>
          <w:rFonts w:ascii="Arial" w:hAnsi="Arial" w:cs="Arial"/>
        </w:rPr>
      </w:pPr>
      <w:r w:rsidRPr="007B0C50">
        <w:rPr>
          <w:rFonts w:ascii="Arial" w:hAnsi="Arial" w:cs="Arial"/>
        </w:rPr>
        <w:t xml:space="preserve">[15] </w:t>
      </w:r>
      <w:r w:rsidR="00EE1546">
        <w:rPr>
          <w:rFonts w:ascii="Arial" w:hAnsi="Arial" w:cs="Arial"/>
        </w:rPr>
        <w:t xml:space="preserve">The rule that the </w:t>
      </w:r>
      <w:r w:rsidR="0003376D">
        <w:rPr>
          <w:rFonts w:ascii="Arial" w:hAnsi="Arial" w:cs="Arial"/>
        </w:rPr>
        <w:t xml:space="preserve">respondent is alleged to have failed to comply with is rule 36. </w:t>
      </w:r>
      <w:r w:rsidR="005B7A12">
        <w:rPr>
          <w:rFonts w:ascii="Arial" w:hAnsi="Arial" w:cs="Arial"/>
        </w:rPr>
        <w:t xml:space="preserve">The </w:t>
      </w:r>
      <w:r w:rsidR="00B304F9">
        <w:rPr>
          <w:rFonts w:ascii="Arial" w:hAnsi="Arial" w:cs="Arial"/>
        </w:rPr>
        <w:t xml:space="preserve">purpose of the rule was discussed in the case </w:t>
      </w:r>
      <w:r w:rsidR="00B80291">
        <w:rPr>
          <w:rFonts w:ascii="Arial" w:hAnsi="Arial" w:cs="Arial"/>
        </w:rPr>
        <w:t xml:space="preserve">of </w:t>
      </w:r>
      <w:r w:rsidR="00364E37" w:rsidRPr="00364E37">
        <w:rPr>
          <w:rFonts w:ascii="Arial" w:hAnsi="Arial" w:cs="Arial"/>
          <w:b/>
          <w:bCs/>
          <w:i/>
          <w:iCs/>
        </w:rPr>
        <w:t>DURBAN CITY COUNCIL v MNDOVU</w:t>
      </w:r>
      <w:r w:rsidR="00364E37" w:rsidRPr="00364E37">
        <w:rPr>
          <w:rFonts w:ascii="Arial" w:hAnsi="Arial" w:cs="Arial"/>
        </w:rPr>
        <w:t xml:space="preserve"> 1966 (2) SA 319 (D)</w:t>
      </w:r>
      <w:r w:rsidR="00364E37">
        <w:rPr>
          <w:rFonts w:ascii="Arial" w:hAnsi="Arial" w:cs="Arial"/>
        </w:rPr>
        <w:t xml:space="preserve"> as follows: </w:t>
      </w:r>
      <w:r w:rsidR="008806F8" w:rsidRPr="008806F8">
        <w:rPr>
          <w:rFonts w:ascii="Arial" w:hAnsi="Arial" w:cs="Arial"/>
          <w:sz w:val="22"/>
          <w:szCs w:val="22"/>
        </w:rPr>
        <w:t>‘</w:t>
      </w:r>
      <w:r w:rsidR="00FB4D88" w:rsidRPr="008806F8">
        <w:rPr>
          <w:rFonts w:ascii="Arial" w:hAnsi="Arial" w:cs="Arial"/>
          <w:sz w:val="22"/>
          <w:szCs w:val="22"/>
        </w:rPr>
        <w:t>As I interpret the Rule, not only in relation to a medical examination required in terms of sub­rule (1) but as a whole, it is mainly designed to avoid a litigant being taken by surprise in relation to matters with respect to which he would in the normal course of events be unable, before trial, to prepare his case effectively so as to meet that of his opponent. Sub­rule (1) Rule 36 confers a right, albeit a qualified right, upon</w:t>
      </w:r>
      <w:r w:rsidR="00364E37" w:rsidRPr="008806F8">
        <w:rPr>
          <w:rFonts w:ascii="Arial" w:hAnsi="Arial" w:cs="Arial"/>
          <w:sz w:val="22"/>
          <w:szCs w:val="22"/>
        </w:rPr>
        <w:t xml:space="preserve"> </w:t>
      </w:r>
      <w:r w:rsidR="00FB4D88" w:rsidRPr="008806F8">
        <w:rPr>
          <w:rFonts w:ascii="Arial" w:hAnsi="Arial" w:cs="Arial"/>
          <w:sz w:val="22"/>
          <w:szCs w:val="22"/>
        </w:rPr>
        <w:t>the party against whom the claim is made, but in no sense can it be said to confer any right upon the claimant. The right thus created is</w:t>
      </w:r>
      <w:r w:rsidR="00DD67D2" w:rsidRPr="008806F8">
        <w:rPr>
          <w:rFonts w:ascii="Arial" w:hAnsi="Arial" w:cs="Arial"/>
          <w:sz w:val="22"/>
          <w:szCs w:val="22"/>
        </w:rPr>
        <w:t xml:space="preserve"> </w:t>
      </w:r>
      <w:r w:rsidR="00FB4D88" w:rsidRPr="008806F8">
        <w:rPr>
          <w:rFonts w:ascii="Arial" w:hAnsi="Arial" w:cs="Arial"/>
          <w:sz w:val="22"/>
          <w:szCs w:val="22"/>
        </w:rPr>
        <w:t xml:space="preserve">subject to compliance with </w:t>
      </w:r>
      <w:r w:rsidR="00364E37" w:rsidRPr="008806F8">
        <w:rPr>
          <w:rFonts w:ascii="Arial" w:hAnsi="Arial" w:cs="Arial"/>
          <w:sz w:val="22"/>
          <w:szCs w:val="22"/>
        </w:rPr>
        <w:t>sub</w:t>
      </w:r>
      <w:r w:rsidR="00364E37" w:rsidRPr="008806F8">
        <w:rPr>
          <w:rFonts w:ascii="Arial" w:hAnsi="Arial" w:cs="Arial"/>
          <w:sz w:val="22"/>
          <w:szCs w:val="22"/>
        </w:rPr>
        <w:softHyphen/>
        <w:t>rule (</w:t>
      </w:r>
      <w:r w:rsidR="00FB4D88" w:rsidRPr="008806F8">
        <w:rPr>
          <w:rFonts w:ascii="Arial" w:hAnsi="Arial" w:cs="Arial"/>
          <w:sz w:val="22"/>
          <w:szCs w:val="22"/>
        </w:rPr>
        <w:t>2), and also to the right of the claimant to object in terms of sub­rule (3). Sub­rule (6) and (7) have the</w:t>
      </w:r>
      <w:r w:rsidR="00DD67D2" w:rsidRPr="008806F8">
        <w:rPr>
          <w:rFonts w:ascii="Arial" w:hAnsi="Arial" w:cs="Arial"/>
          <w:sz w:val="22"/>
          <w:szCs w:val="22"/>
        </w:rPr>
        <w:t xml:space="preserve"> </w:t>
      </w:r>
      <w:r w:rsidR="00FB4D88" w:rsidRPr="008806F8">
        <w:rPr>
          <w:rFonts w:ascii="Arial" w:hAnsi="Arial" w:cs="Arial"/>
          <w:sz w:val="22"/>
          <w:szCs w:val="22"/>
        </w:rPr>
        <w:t>dual purpose of informing an adversary in advance of evidence relating to immovable things, so as to acquaint him with the evidence which</w:t>
      </w:r>
      <w:r w:rsidR="00DD67D2" w:rsidRPr="008806F8">
        <w:rPr>
          <w:rFonts w:ascii="Arial" w:hAnsi="Arial" w:cs="Arial"/>
          <w:sz w:val="22"/>
          <w:szCs w:val="22"/>
        </w:rPr>
        <w:t xml:space="preserve"> </w:t>
      </w:r>
      <w:r w:rsidR="00FB4D88" w:rsidRPr="008806F8">
        <w:rPr>
          <w:rFonts w:ascii="Arial" w:hAnsi="Arial" w:cs="Arial"/>
          <w:sz w:val="22"/>
          <w:szCs w:val="22"/>
        </w:rPr>
        <w:t>might be led in relation thereto, and to dispense, possibly, with the need of formal proof. The same applies to sub­rule (10). Sub­rule (9) is in</w:t>
      </w:r>
      <w:r w:rsidR="00DD67D2" w:rsidRPr="008806F8">
        <w:rPr>
          <w:rFonts w:ascii="Arial" w:hAnsi="Arial" w:cs="Arial"/>
          <w:sz w:val="22"/>
          <w:szCs w:val="22"/>
        </w:rPr>
        <w:t xml:space="preserve"> </w:t>
      </w:r>
      <w:r w:rsidR="00FB4D88" w:rsidRPr="008806F8">
        <w:rPr>
          <w:rFonts w:ascii="Arial" w:hAnsi="Arial" w:cs="Arial"/>
          <w:sz w:val="22"/>
          <w:szCs w:val="22"/>
        </w:rPr>
        <w:t>my view primarily designed to avoid a party being met with surprise by expert evidence produced against him at the hearing</w:t>
      </w:r>
      <w:r w:rsidR="00364E37" w:rsidRPr="008806F8">
        <w:rPr>
          <w:rFonts w:ascii="Arial" w:hAnsi="Arial" w:cs="Arial"/>
          <w:sz w:val="22"/>
          <w:szCs w:val="22"/>
        </w:rPr>
        <w:t>’.</w:t>
      </w:r>
    </w:p>
    <w:p w14:paraId="0238DA2A" w14:textId="6346537D" w:rsidR="007B0C50" w:rsidRDefault="00D51616" w:rsidP="004349EA">
      <w:pPr>
        <w:spacing w:line="360" w:lineRule="auto"/>
        <w:jc w:val="both"/>
        <w:rPr>
          <w:rFonts w:ascii="Arial" w:hAnsi="Arial" w:cs="Arial"/>
        </w:rPr>
      </w:pPr>
      <w:r>
        <w:rPr>
          <w:rFonts w:ascii="Arial" w:hAnsi="Arial" w:cs="Arial"/>
        </w:rPr>
        <w:t xml:space="preserve">[16] The </w:t>
      </w:r>
      <w:r w:rsidR="00081CDF">
        <w:rPr>
          <w:rFonts w:ascii="Arial" w:hAnsi="Arial" w:cs="Arial"/>
        </w:rPr>
        <w:t xml:space="preserve">principle was reinforced in the decision of </w:t>
      </w:r>
      <w:r w:rsidR="00A2681D" w:rsidRPr="00A2681D">
        <w:rPr>
          <w:rFonts w:ascii="Arial" w:hAnsi="Arial" w:cs="Arial"/>
          <w:b/>
          <w:bCs/>
          <w:i/>
          <w:iCs/>
        </w:rPr>
        <w:t>COOPERS (SOUTH AFRICA) (PTY) LTD v DEUTSCHE GESELLSCHAFT FÜR SCHÄDLINGSBEKÄMPFUNG MBH 1976 (3) SA 352 (A</w:t>
      </w:r>
      <w:r w:rsidR="00A2681D" w:rsidRPr="00A2681D">
        <w:rPr>
          <w:rFonts w:ascii="Arial" w:hAnsi="Arial" w:cs="Arial"/>
        </w:rPr>
        <w:t>)</w:t>
      </w:r>
      <w:r w:rsidR="00C55891">
        <w:rPr>
          <w:rFonts w:ascii="Arial" w:hAnsi="Arial" w:cs="Arial"/>
        </w:rPr>
        <w:t xml:space="preserve"> </w:t>
      </w:r>
      <w:r w:rsidR="004210A3">
        <w:rPr>
          <w:rFonts w:ascii="Arial" w:hAnsi="Arial" w:cs="Arial"/>
        </w:rPr>
        <w:t xml:space="preserve">at page 3711 where the court held: </w:t>
      </w:r>
      <w:r w:rsidR="004210A3" w:rsidRPr="004210A3">
        <w:rPr>
          <w:rFonts w:ascii="Arial" w:hAnsi="Arial" w:cs="Arial"/>
          <w:sz w:val="22"/>
          <w:szCs w:val="22"/>
        </w:rPr>
        <w:t>‘</w:t>
      </w:r>
      <w:r w:rsidR="00C55891" w:rsidRPr="004210A3">
        <w:rPr>
          <w:rFonts w:ascii="Arial" w:hAnsi="Arial" w:cs="Arial"/>
          <w:sz w:val="22"/>
          <w:szCs w:val="22"/>
        </w:rPr>
        <w:t xml:space="preserve">In deciding whether there has been due compliance with sub­rule (9) (b), it is, in my opinion, relevant to have regard to the main purpose thereof, which is to require the party intending to call a witness to give expect evidence to give the other party such information about his evidence as will remove the element of surprise, which in earlier times (regarded as an element afforcing a tactical advantage) frequently caused delays in the conduct of trials. Indeed, all the sub­rules of Rule 36 were formulated with that purpose in mind. </w:t>
      </w:r>
      <w:r w:rsidR="008B2164" w:rsidRPr="004210A3">
        <w:rPr>
          <w:rFonts w:ascii="Arial" w:hAnsi="Arial" w:cs="Arial"/>
          <w:sz w:val="22"/>
          <w:szCs w:val="22"/>
        </w:rPr>
        <w:t>Consequently</w:t>
      </w:r>
      <w:r w:rsidR="00C55891" w:rsidRPr="004210A3">
        <w:rPr>
          <w:rFonts w:ascii="Arial" w:hAnsi="Arial" w:cs="Arial"/>
          <w:sz w:val="22"/>
          <w:szCs w:val="22"/>
        </w:rPr>
        <w:t>, when</w:t>
      </w:r>
      <w:r w:rsidR="008B2164" w:rsidRPr="004210A3">
        <w:rPr>
          <w:rFonts w:ascii="Arial" w:hAnsi="Arial" w:cs="Arial"/>
          <w:sz w:val="22"/>
          <w:szCs w:val="22"/>
        </w:rPr>
        <w:t xml:space="preserve"> </w:t>
      </w:r>
      <w:r w:rsidR="00C55891" w:rsidRPr="004210A3">
        <w:rPr>
          <w:rFonts w:ascii="Arial" w:hAnsi="Arial" w:cs="Arial"/>
          <w:sz w:val="22"/>
          <w:szCs w:val="22"/>
        </w:rPr>
        <w:t>summarising the facts or data on which the expert witness premises his opinions, the draughtsman should ensure that no information is</w:t>
      </w:r>
      <w:r w:rsidR="008B2164" w:rsidRPr="004210A3">
        <w:rPr>
          <w:rFonts w:ascii="Arial" w:hAnsi="Arial" w:cs="Arial"/>
          <w:sz w:val="22"/>
          <w:szCs w:val="22"/>
        </w:rPr>
        <w:t xml:space="preserve"> </w:t>
      </w:r>
      <w:r w:rsidR="00C55891" w:rsidRPr="004210A3">
        <w:rPr>
          <w:rFonts w:ascii="Arial" w:hAnsi="Arial" w:cs="Arial"/>
          <w:sz w:val="22"/>
          <w:szCs w:val="22"/>
        </w:rPr>
        <w:t>omitted, where the omission thereof might lead to the other side being taken by surprise when in due course such information is adduced in</w:t>
      </w:r>
      <w:r w:rsidR="008B2164" w:rsidRPr="004210A3">
        <w:rPr>
          <w:rFonts w:ascii="Arial" w:hAnsi="Arial" w:cs="Arial"/>
          <w:sz w:val="22"/>
          <w:szCs w:val="22"/>
        </w:rPr>
        <w:t xml:space="preserve"> cross-examination</w:t>
      </w:r>
      <w:r w:rsidR="00C55891" w:rsidRPr="004210A3">
        <w:rPr>
          <w:rFonts w:ascii="Arial" w:hAnsi="Arial" w:cs="Arial"/>
          <w:sz w:val="22"/>
          <w:szCs w:val="22"/>
        </w:rPr>
        <w:t xml:space="preserve"> or evidence</w:t>
      </w:r>
      <w:r w:rsidR="009D5761">
        <w:rPr>
          <w:rFonts w:ascii="Arial" w:hAnsi="Arial" w:cs="Arial"/>
          <w:sz w:val="22"/>
          <w:szCs w:val="22"/>
        </w:rPr>
        <w:t>’.</w:t>
      </w:r>
      <w:r w:rsidR="00C55891" w:rsidRPr="004210A3">
        <w:rPr>
          <w:rFonts w:ascii="Arial" w:hAnsi="Arial" w:cs="Arial"/>
          <w:sz w:val="22"/>
          <w:szCs w:val="22"/>
        </w:rPr>
        <w:cr/>
      </w:r>
      <w:r w:rsidR="000D2E5B">
        <w:rPr>
          <w:rFonts w:ascii="Arial" w:hAnsi="Arial" w:cs="Arial"/>
        </w:rPr>
        <w:t xml:space="preserve">[17] It is therefore clear that rule 36 is designed </w:t>
      </w:r>
      <w:r w:rsidR="008B4840">
        <w:rPr>
          <w:rFonts w:ascii="Arial" w:hAnsi="Arial" w:cs="Arial"/>
        </w:rPr>
        <w:t xml:space="preserve">to ensure that </w:t>
      </w:r>
      <w:r w:rsidR="00840054" w:rsidRPr="00840054">
        <w:rPr>
          <w:rFonts w:ascii="Arial" w:hAnsi="Arial" w:cs="Arial"/>
        </w:rPr>
        <w:t>In deciding whether there has been due compliance with Rule 36 (9) (b) it is relevant to have regard to the main purpose thereof, which is to</w:t>
      </w:r>
      <w:r w:rsidR="000C0AE3">
        <w:rPr>
          <w:rFonts w:ascii="Arial" w:hAnsi="Arial" w:cs="Arial"/>
        </w:rPr>
        <w:t xml:space="preserve"> </w:t>
      </w:r>
      <w:r w:rsidR="00840054" w:rsidRPr="00840054">
        <w:rPr>
          <w:rFonts w:ascii="Arial" w:hAnsi="Arial" w:cs="Arial"/>
        </w:rPr>
        <w:t>require the party intending to call a witness to give expert evidence to give the other party such information about his evidence as will remove</w:t>
      </w:r>
      <w:r w:rsidR="00CB4196">
        <w:rPr>
          <w:rFonts w:ascii="Arial" w:hAnsi="Arial" w:cs="Arial"/>
        </w:rPr>
        <w:t xml:space="preserve"> </w:t>
      </w:r>
      <w:r w:rsidR="00840054" w:rsidRPr="00840054">
        <w:rPr>
          <w:rFonts w:ascii="Arial" w:hAnsi="Arial" w:cs="Arial"/>
        </w:rPr>
        <w:t xml:space="preserve">the element of surprise, which in earlier </w:t>
      </w:r>
      <w:r w:rsidR="00FA2C89" w:rsidRPr="00FA2C89">
        <w:rPr>
          <w:rFonts w:ascii="Arial" w:hAnsi="Arial" w:cs="Arial"/>
        </w:rPr>
        <w:t xml:space="preserve">, in order to enable a party to present </w:t>
      </w:r>
      <w:r w:rsidR="00FA2C89" w:rsidRPr="00FA2C89">
        <w:rPr>
          <w:rFonts w:ascii="Arial" w:hAnsi="Arial" w:cs="Arial"/>
        </w:rPr>
        <w:lastRenderedPageBreak/>
        <w:t>its pleaded case more adequately</w:t>
      </w:r>
      <w:r w:rsidR="006734D5">
        <w:rPr>
          <w:rFonts w:ascii="Arial" w:hAnsi="Arial" w:cs="Arial"/>
        </w:rPr>
        <w:t xml:space="preserve"> </w:t>
      </w:r>
      <w:r w:rsidR="00FA2C89" w:rsidRPr="00FA2C89">
        <w:rPr>
          <w:rFonts w:ascii="Arial" w:hAnsi="Arial" w:cs="Arial"/>
        </w:rPr>
        <w:t>and to promote the smooth running of the case to its final determination</w:t>
      </w:r>
      <w:r w:rsidR="006734E9">
        <w:rPr>
          <w:rFonts w:ascii="Arial" w:hAnsi="Arial" w:cs="Arial"/>
        </w:rPr>
        <w:t>.</w:t>
      </w:r>
      <w:r w:rsidR="00E04E17">
        <w:rPr>
          <w:rFonts w:ascii="Arial" w:hAnsi="Arial" w:cs="Arial"/>
        </w:rPr>
        <w:t xml:space="preserve"> </w:t>
      </w:r>
    </w:p>
    <w:p w14:paraId="756A1886" w14:textId="4553F860" w:rsidR="00BE6C56" w:rsidRPr="006734E9" w:rsidRDefault="00BE6C56" w:rsidP="004349EA">
      <w:pPr>
        <w:spacing w:line="360" w:lineRule="auto"/>
        <w:jc w:val="both"/>
        <w:rPr>
          <w:rFonts w:ascii="Arial" w:hAnsi="Arial" w:cs="Arial"/>
        </w:rPr>
      </w:pPr>
      <w:r>
        <w:rPr>
          <w:rFonts w:ascii="Arial" w:hAnsi="Arial" w:cs="Arial"/>
        </w:rPr>
        <w:t xml:space="preserve">[18] The rule as it stands does not provide for a remedy </w:t>
      </w:r>
      <w:r w:rsidR="00C10A32">
        <w:rPr>
          <w:rFonts w:ascii="Arial" w:hAnsi="Arial" w:cs="Arial"/>
        </w:rPr>
        <w:t xml:space="preserve">to strike out a defence. The hurdle that a party who is found to be non-compliant with </w:t>
      </w:r>
      <w:r w:rsidR="004C5BD3">
        <w:rPr>
          <w:rFonts w:ascii="Arial" w:hAnsi="Arial" w:cs="Arial"/>
        </w:rPr>
        <w:t xml:space="preserve">rule 36 is that </w:t>
      </w:r>
      <w:r w:rsidR="00BC4AC1">
        <w:rPr>
          <w:rFonts w:ascii="Arial" w:hAnsi="Arial" w:cs="Arial"/>
        </w:rPr>
        <w:t xml:space="preserve">a party will be </w:t>
      </w:r>
      <w:r w:rsidR="009B3DF7">
        <w:rPr>
          <w:rFonts w:ascii="Arial" w:hAnsi="Arial" w:cs="Arial"/>
        </w:rPr>
        <w:t>prevented from calling su</w:t>
      </w:r>
      <w:r w:rsidR="00163BFD">
        <w:rPr>
          <w:rFonts w:ascii="Arial" w:hAnsi="Arial" w:cs="Arial"/>
        </w:rPr>
        <w:t>c</w:t>
      </w:r>
      <w:r w:rsidR="009B3DF7">
        <w:rPr>
          <w:rFonts w:ascii="Arial" w:hAnsi="Arial" w:cs="Arial"/>
        </w:rPr>
        <w:t xml:space="preserve">h an expert witness, except were </w:t>
      </w:r>
      <w:r w:rsidR="005C7F64">
        <w:rPr>
          <w:rFonts w:ascii="Arial" w:hAnsi="Arial" w:cs="Arial"/>
        </w:rPr>
        <w:t>it would be allowed by a court</w:t>
      </w:r>
      <w:r w:rsidR="00163BFD">
        <w:rPr>
          <w:rFonts w:ascii="Arial" w:hAnsi="Arial" w:cs="Arial"/>
        </w:rPr>
        <w:t>.</w:t>
      </w:r>
    </w:p>
    <w:p w14:paraId="4F1FFE63" w14:textId="7534140E" w:rsidR="000D74EA" w:rsidRDefault="00931B2D" w:rsidP="004349EA">
      <w:pPr>
        <w:spacing w:line="360" w:lineRule="auto"/>
        <w:jc w:val="both"/>
        <w:rPr>
          <w:rFonts w:ascii="Arial" w:hAnsi="Arial" w:cs="Arial"/>
        </w:rPr>
      </w:pPr>
      <w:r>
        <w:rPr>
          <w:rFonts w:ascii="Arial" w:hAnsi="Arial" w:cs="Arial"/>
        </w:rPr>
        <w:t>[1</w:t>
      </w:r>
      <w:r w:rsidR="00163BFD">
        <w:rPr>
          <w:rFonts w:ascii="Arial" w:hAnsi="Arial" w:cs="Arial"/>
        </w:rPr>
        <w:t>9</w:t>
      </w:r>
      <w:r>
        <w:rPr>
          <w:rFonts w:ascii="Arial" w:hAnsi="Arial" w:cs="Arial"/>
        </w:rPr>
        <w:t xml:space="preserve">] </w:t>
      </w:r>
      <w:r w:rsidRPr="00931B2D">
        <w:rPr>
          <w:rFonts w:ascii="Arial" w:hAnsi="Arial" w:cs="Arial"/>
        </w:rPr>
        <w:t xml:space="preserve">In </w:t>
      </w:r>
      <w:r w:rsidRPr="00E11ED0">
        <w:rPr>
          <w:rFonts w:ascii="Arial" w:hAnsi="Arial" w:cs="Arial"/>
          <w:b/>
          <w:bCs/>
          <w:i/>
          <w:iCs/>
        </w:rPr>
        <w:t>ABSA Bank Ltd v The Farm Klippan</w:t>
      </w:r>
      <w:r w:rsidRPr="00931B2D">
        <w:rPr>
          <w:rFonts w:ascii="Arial" w:hAnsi="Arial" w:cs="Arial"/>
        </w:rPr>
        <w:t xml:space="preserve"> 490 CC 5 </w:t>
      </w:r>
      <w:r w:rsidR="0093148A" w:rsidRPr="0093148A">
        <w:rPr>
          <w:rFonts w:ascii="Arial" w:hAnsi="Arial" w:cs="Arial"/>
        </w:rPr>
        <w:t xml:space="preserve">5 2000 (2) SA 211 (W) at 215 A – B </w:t>
      </w:r>
      <w:r w:rsidRPr="00931B2D">
        <w:rPr>
          <w:rFonts w:ascii="Arial" w:hAnsi="Arial" w:cs="Arial"/>
        </w:rPr>
        <w:t>the Court made it clear that if a provision in the rules provides a specific remedy for non-compliance with the rule, a party need only follow the specific rule and need not give notice in terms of, or follow, Rule 30A.</w:t>
      </w:r>
    </w:p>
    <w:p w14:paraId="1332DEE0" w14:textId="18D010E2" w:rsidR="0086309E" w:rsidRDefault="000D74EA" w:rsidP="004349EA">
      <w:pPr>
        <w:spacing w:line="360" w:lineRule="auto"/>
        <w:jc w:val="both"/>
        <w:rPr>
          <w:rFonts w:ascii="Arial" w:hAnsi="Arial" w:cs="Arial"/>
        </w:rPr>
      </w:pPr>
      <w:r>
        <w:rPr>
          <w:rFonts w:ascii="Arial" w:hAnsi="Arial" w:cs="Arial"/>
        </w:rPr>
        <w:t>[16</w:t>
      </w:r>
      <w:r w:rsidR="00FC3CA7">
        <w:rPr>
          <w:rFonts w:ascii="Arial" w:hAnsi="Arial" w:cs="Arial"/>
        </w:rPr>
        <w:t xml:space="preserve">] </w:t>
      </w:r>
      <w:r w:rsidR="00FC3CA7" w:rsidRPr="000D74EA">
        <w:t>The</w:t>
      </w:r>
      <w:r w:rsidR="00FC3CA7">
        <w:rPr>
          <w:rFonts w:ascii="Arial" w:hAnsi="Arial" w:cs="Arial"/>
        </w:rPr>
        <w:t xml:space="preserve"> in </w:t>
      </w:r>
      <w:r w:rsidRPr="00FC3CA7">
        <w:rPr>
          <w:rFonts w:ascii="Arial" w:hAnsi="Arial" w:cs="Arial"/>
          <w:i/>
          <w:iCs/>
        </w:rPr>
        <w:t>Harms</w:t>
      </w:r>
      <w:r w:rsidRPr="000D74EA">
        <w:rPr>
          <w:rFonts w:ascii="Arial" w:hAnsi="Arial" w:cs="Arial"/>
        </w:rPr>
        <w:t>, Civil Procedure in the Supreme Court: LexisNexis provides that: “The rule applies only if compliance with the rules is sought and then only if the relevant rule does not have its own inbuilt procedure such as rule 21(4), which provides for an enforcement procedure in the event of a failure to provide particulars for trial. ... Under rule 30A, a party making a request, or giving a notice, to which there is no response by the other party, may through a further notice to the other party warn that after the lapse of 10 days, application will be made for an order that the notice or request be complied with, or that the claim or defence be struck out, as the case may be. Failing compliance within the 10 days mentioned, application may then be made to court and the court may make an appropriate order.”</w:t>
      </w:r>
    </w:p>
    <w:p w14:paraId="2083BD03" w14:textId="6E7C6379" w:rsidR="007C2C67" w:rsidRDefault="005F28FC" w:rsidP="004C3AF8">
      <w:pPr>
        <w:spacing w:line="360" w:lineRule="auto"/>
        <w:jc w:val="both"/>
        <w:rPr>
          <w:rFonts w:ascii="Arial" w:hAnsi="Arial" w:cs="Arial"/>
        </w:rPr>
      </w:pPr>
      <w:r>
        <w:rPr>
          <w:rFonts w:ascii="Arial" w:hAnsi="Arial" w:cs="Arial"/>
        </w:rPr>
        <w:t>[</w:t>
      </w:r>
      <w:r w:rsidR="00163BFD">
        <w:rPr>
          <w:rFonts w:ascii="Arial" w:hAnsi="Arial" w:cs="Arial"/>
        </w:rPr>
        <w:t>20</w:t>
      </w:r>
      <w:r>
        <w:rPr>
          <w:rFonts w:ascii="Arial" w:hAnsi="Arial" w:cs="Arial"/>
        </w:rPr>
        <w:t xml:space="preserve">] It has been held that </w:t>
      </w:r>
      <w:r w:rsidR="0014482D">
        <w:rPr>
          <w:rFonts w:ascii="Arial" w:hAnsi="Arial" w:cs="Arial"/>
        </w:rPr>
        <w:t>the</w:t>
      </w:r>
      <w:r w:rsidRPr="005F28FC">
        <w:rPr>
          <w:rFonts w:ascii="Arial" w:hAnsi="Arial" w:cs="Arial"/>
        </w:rPr>
        <w:t xml:space="preserve"> subrule confers a discretion on the court   which, it is submitted, must be</w:t>
      </w:r>
      <w:r>
        <w:rPr>
          <w:rFonts w:ascii="Arial" w:hAnsi="Arial" w:cs="Arial"/>
        </w:rPr>
        <w:t xml:space="preserve"> </w:t>
      </w:r>
      <w:r w:rsidRPr="005F28FC">
        <w:rPr>
          <w:rFonts w:ascii="Arial" w:hAnsi="Arial" w:cs="Arial"/>
        </w:rPr>
        <w:t>exercised judicially on a proper consideration of all the relevant circumstances. Striking out a claim or defence is a drastic remedy and,</w:t>
      </w:r>
      <w:r w:rsidR="008523B7">
        <w:rPr>
          <w:rFonts w:ascii="Arial" w:hAnsi="Arial" w:cs="Arial"/>
        </w:rPr>
        <w:t xml:space="preserve"> </w:t>
      </w:r>
      <w:r w:rsidRPr="005F28FC">
        <w:rPr>
          <w:rFonts w:ascii="Arial" w:hAnsi="Arial" w:cs="Arial"/>
        </w:rPr>
        <w:t>accordingly, the court must be appraised of sufficient facts on the basis of which it could exercise its discretion in favour of such an order.</w:t>
      </w:r>
      <w:r w:rsidR="008523B7">
        <w:rPr>
          <w:rFonts w:ascii="Arial" w:hAnsi="Arial" w:cs="Arial"/>
        </w:rPr>
        <w:t xml:space="preserve"> </w:t>
      </w:r>
      <w:r w:rsidRPr="005F28FC">
        <w:rPr>
          <w:rFonts w:ascii="Arial" w:hAnsi="Arial" w:cs="Arial"/>
        </w:rPr>
        <w:t>Consequently, the necessary affidavits in support of and opposing such relief should be delivered. Relevant factors will include (a) the reasons</w:t>
      </w:r>
      <w:r w:rsidR="0014482D">
        <w:rPr>
          <w:rFonts w:ascii="Arial" w:hAnsi="Arial" w:cs="Arial"/>
        </w:rPr>
        <w:t xml:space="preserve"> </w:t>
      </w:r>
      <w:r w:rsidRPr="005F28FC">
        <w:rPr>
          <w:rFonts w:ascii="Arial" w:hAnsi="Arial" w:cs="Arial"/>
        </w:rPr>
        <w:t xml:space="preserve">for non­compliance with the rules, request, notice, </w:t>
      </w:r>
      <w:r w:rsidR="000557CD" w:rsidRPr="005F28FC">
        <w:rPr>
          <w:rFonts w:ascii="Arial" w:hAnsi="Arial" w:cs="Arial"/>
        </w:rPr>
        <w:t>order,</w:t>
      </w:r>
      <w:r w:rsidRPr="005F28FC">
        <w:rPr>
          <w:rFonts w:ascii="Arial" w:hAnsi="Arial" w:cs="Arial"/>
        </w:rPr>
        <w:t xml:space="preserve"> or direction concerned and, in this regard, whether the defaulting party has recklessly</w:t>
      </w:r>
      <w:r w:rsidR="0014482D">
        <w:rPr>
          <w:rFonts w:ascii="Arial" w:hAnsi="Arial" w:cs="Arial"/>
        </w:rPr>
        <w:t xml:space="preserve"> </w:t>
      </w:r>
      <w:r w:rsidRPr="005F28FC">
        <w:rPr>
          <w:rFonts w:ascii="Arial" w:hAnsi="Arial" w:cs="Arial"/>
        </w:rPr>
        <w:t>disregarded his obligations; (b) whether the defaulting party’s case appears to be hopeless; and (c) whether the defaulting party does not</w:t>
      </w:r>
      <w:r w:rsidR="008523B7">
        <w:rPr>
          <w:rFonts w:ascii="Arial" w:hAnsi="Arial" w:cs="Arial"/>
        </w:rPr>
        <w:t xml:space="preserve"> </w:t>
      </w:r>
      <w:r w:rsidRPr="005F28FC">
        <w:rPr>
          <w:rFonts w:ascii="Arial" w:hAnsi="Arial" w:cs="Arial"/>
        </w:rPr>
        <w:t>seriously intend to proceed.   In addition, prejudice to either party is a relevant factor.</w:t>
      </w:r>
      <w:r w:rsidR="00670CF8">
        <w:rPr>
          <w:rFonts w:ascii="Arial" w:hAnsi="Arial" w:cs="Arial"/>
        </w:rPr>
        <w:t xml:space="preserve"> </w:t>
      </w:r>
      <w:r w:rsidR="00670CF8" w:rsidRPr="004C3AF8">
        <w:rPr>
          <w:rFonts w:ascii="Arial" w:hAnsi="Arial" w:cs="Arial"/>
          <w:b/>
          <w:bCs/>
          <w:i/>
          <w:iCs/>
        </w:rPr>
        <w:t>See Helen Suzman Foundation v Judicial Service Commission</w:t>
      </w:r>
      <w:r w:rsidR="00670CF8" w:rsidRPr="00670CF8">
        <w:rPr>
          <w:rFonts w:ascii="Arial" w:hAnsi="Arial" w:cs="Arial"/>
        </w:rPr>
        <w:t xml:space="preserve"> 2018 (4) SA 1 (CC) at 31F–G; </w:t>
      </w:r>
    </w:p>
    <w:p w14:paraId="3BF5F063" w14:textId="192CEA2A" w:rsidR="00DE6A5A" w:rsidRDefault="008A75D3" w:rsidP="004349EA">
      <w:pPr>
        <w:spacing w:line="360" w:lineRule="auto"/>
        <w:jc w:val="both"/>
        <w:rPr>
          <w:rFonts w:ascii="Arial" w:hAnsi="Arial" w:cs="Arial"/>
        </w:rPr>
      </w:pPr>
      <w:r>
        <w:rPr>
          <w:rFonts w:ascii="Arial" w:hAnsi="Arial" w:cs="Arial"/>
        </w:rPr>
        <w:lastRenderedPageBreak/>
        <w:t>[</w:t>
      </w:r>
      <w:r w:rsidR="00163BFD">
        <w:rPr>
          <w:rFonts w:ascii="Arial" w:hAnsi="Arial" w:cs="Arial"/>
        </w:rPr>
        <w:t>20</w:t>
      </w:r>
      <w:r>
        <w:rPr>
          <w:rFonts w:ascii="Arial" w:hAnsi="Arial" w:cs="Arial"/>
        </w:rPr>
        <w:t xml:space="preserve">] The requirements are clear that the order must have been made by a </w:t>
      </w:r>
      <w:r w:rsidR="00E25DAA">
        <w:rPr>
          <w:rFonts w:ascii="Arial" w:hAnsi="Arial" w:cs="Arial"/>
        </w:rPr>
        <w:t>court. It is not in dispute that in all three cases the order</w:t>
      </w:r>
      <w:r w:rsidR="00F117A6">
        <w:rPr>
          <w:rFonts w:ascii="Arial" w:hAnsi="Arial" w:cs="Arial"/>
        </w:rPr>
        <w:t xml:space="preserve">s were granted by a court. it is also true that the </w:t>
      </w:r>
      <w:r w:rsidR="007B3026">
        <w:rPr>
          <w:rFonts w:ascii="Arial" w:hAnsi="Arial" w:cs="Arial"/>
        </w:rPr>
        <w:t>respondent failed to comply with the orders so granted.</w:t>
      </w:r>
      <w:r w:rsidR="00D01BB7">
        <w:rPr>
          <w:rFonts w:ascii="Arial" w:hAnsi="Arial" w:cs="Arial"/>
        </w:rPr>
        <w:t xml:space="preserve"> The court was satisfied that there was non-compliance with the rules a</w:t>
      </w:r>
      <w:r w:rsidR="00C0413C">
        <w:rPr>
          <w:rFonts w:ascii="Arial" w:hAnsi="Arial" w:cs="Arial"/>
        </w:rPr>
        <w:t xml:space="preserve">nd thus granted the order. </w:t>
      </w:r>
    </w:p>
    <w:p w14:paraId="08DB173C" w14:textId="1F367789" w:rsidR="00206598" w:rsidRPr="00206598" w:rsidRDefault="00206598" w:rsidP="004349EA">
      <w:pPr>
        <w:spacing w:line="360" w:lineRule="auto"/>
        <w:jc w:val="both"/>
        <w:rPr>
          <w:rFonts w:ascii="Arial" w:hAnsi="Arial" w:cs="Arial"/>
          <w:b/>
          <w:bCs/>
        </w:rPr>
      </w:pPr>
      <w:r w:rsidRPr="00206598">
        <w:rPr>
          <w:rFonts w:ascii="Arial" w:hAnsi="Arial" w:cs="Arial"/>
          <w:b/>
          <w:bCs/>
        </w:rPr>
        <w:t xml:space="preserve">Conclusion </w:t>
      </w:r>
    </w:p>
    <w:p w14:paraId="5B1F49F5" w14:textId="7E2F770F" w:rsidR="00F35C6E" w:rsidRDefault="00A46495" w:rsidP="004349EA">
      <w:pPr>
        <w:spacing w:line="360" w:lineRule="auto"/>
        <w:jc w:val="both"/>
        <w:rPr>
          <w:rFonts w:ascii="Arial" w:hAnsi="Arial" w:cs="Arial"/>
        </w:rPr>
      </w:pPr>
      <w:r>
        <w:rPr>
          <w:rFonts w:ascii="Arial" w:hAnsi="Arial" w:cs="Arial"/>
        </w:rPr>
        <w:t xml:space="preserve">[21] I </w:t>
      </w:r>
      <w:r w:rsidR="00D81607">
        <w:rPr>
          <w:rFonts w:ascii="Arial" w:hAnsi="Arial" w:cs="Arial"/>
        </w:rPr>
        <w:t>am satisfied that</w:t>
      </w:r>
      <w:r w:rsidR="00623210">
        <w:rPr>
          <w:rFonts w:ascii="Arial" w:hAnsi="Arial" w:cs="Arial"/>
        </w:rPr>
        <w:t xml:space="preserve"> the </w:t>
      </w:r>
      <w:r w:rsidR="00E60FA6">
        <w:rPr>
          <w:rFonts w:ascii="Arial" w:hAnsi="Arial" w:cs="Arial"/>
        </w:rPr>
        <w:t xml:space="preserve">applicants are entitled </w:t>
      </w:r>
      <w:r w:rsidR="009D7DDD">
        <w:rPr>
          <w:rFonts w:ascii="Arial" w:hAnsi="Arial" w:cs="Arial"/>
        </w:rPr>
        <w:t xml:space="preserve">approach </w:t>
      </w:r>
      <w:r w:rsidR="001073CE">
        <w:rPr>
          <w:rFonts w:ascii="Arial" w:hAnsi="Arial" w:cs="Arial"/>
        </w:rPr>
        <w:t xml:space="preserve">this court for relief been sought. The </w:t>
      </w:r>
      <w:r w:rsidR="001D59B9">
        <w:rPr>
          <w:rFonts w:ascii="Arial" w:hAnsi="Arial" w:cs="Arial"/>
        </w:rPr>
        <w:t xml:space="preserve">applicants armed with the court order obtained </w:t>
      </w:r>
      <w:r w:rsidR="00DC1997">
        <w:rPr>
          <w:rFonts w:ascii="Arial" w:hAnsi="Arial" w:cs="Arial"/>
        </w:rPr>
        <w:t xml:space="preserve">and they have </w:t>
      </w:r>
      <w:r w:rsidR="0092677E">
        <w:rPr>
          <w:rFonts w:ascii="Arial" w:hAnsi="Arial" w:cs="Arial"/>
        </w:rPr>
        <w:t xml:space="preserve">demonstrated that the respondent has failed to comply with such order. </w:t>
      </w:r>
      <w:r w:rsidR="008A42C7">
        <w:rPr>
          <w:rFonts w:ascii="Arial" w:hAnsi="Arial" w:cs="Arial"/>
        </w:rPr>
        <w:t xml:space="preserve">I am therefore rule 30A finds application. </w:t>
      </w:r>
    </w:p>
    <w:p w14:paraId="729F35AA" w14:textId="4415AA8E" w:rsidR="00F35C6E" w:rsidRPr="00F35C6E" w:rsidRDefault="00F35C6E" w:rsidP="004349EA">
      <w:pPr>
        <w:spacing w:line="360" w:lineRule="auto"/>
        <w:jc w:val="both"/>
        <w:rPr>
          <w:rFonts w:ascii="Arial" w:hAnsi="Arial" w:cs="Arial"/>
          <w:b/>
          <w:bCs/>
        </w:rPr>
      </w:pPr>
      <w:r w:rsidRPr="00F35C6E">
        <w:rPr>
          <w:rFonts w:ascii="Arial" w:hAnsi="Arial" w:cs="Arial"/>
          <w:b/>
          <w:bCs/>
        </w:rPr>
        <w:t xml:space="preserve">Order </w:t>
      </w:r>
    </w:p>
    <w:p w14:paraId="1A3A80A8" w14:textId="54062DF8" w:rsidR="00966E6B" w:rsidRDefault="00AB5375" w:rsidP="007C2730">
      <w:pPr>
        <w:spacing w:before="240" w:line="360" w:lineRule="auto"/>
        <w:jc w:val="both"/>
        <w:rPr>
          <w:rFonts w:ascii="Arial" w:hAnsi="Arial" w:cs="Arial"/>
        </w:rPr>
      </w:pPr>
      <w:r>
        <w:rPr>
          <w:rFonts w:ascii="Arial" w:hAnsi="Arial" w:cs="Arial"/>
        </w:rPr>
        <w:t xml:space="preserve">[22] Application </w:t>
      </w:r>
      <w:r w:rsidR="007B2400">
        <w:rPr>
          <w:rFonts w:ascii="Arial" w:hAnsi="Arial" w:cs="Arial"/>
        </w:rPr>
        <w:t>is hereby grante</w:t>
      </w:r>
      <w:r w:rsidR="005E21B2">
        <w:rPr>
          <w:rFonts w:ascii="Arial" w:hAnsi="Arial" w:cs="Arial"/>
        </w:rPr>
        <w:t>d</w:t>
      </w:r>
      <w:r w:rsidR="00A316EB">
        <w:rPr>
          <w:rFonts w:ascii="Arial" w:hAnsi="Arial" w:cs="Arial"/>
        </w:rPr>
        <w:t>.</w:t>
      </w:r>
    </w:p>
    <w:p w14:paraId="641D5885" w14:textId="77777777" w:rsidR="00966E6B" w:rsidRPr="005125CD" w:rsidRDefault="00966E6B" w:rsidP="001D1849">
      <w:pPr>
        <w:pStyle w:val="ListParagraph"/>
        <w:spacing w:line="360" w:lineRule="auto"/>
        <w:ind w:left="0"/>
        <w:jc w:val="both"/>
        <w:rPr>
          <w:rFonts w:ascii="Arial" w:hAnsi="Arial" w:cs="Arial"/>
        </w:rPr>
      </w:pPr>
    </w:p>
    <w:p w14:paraId="51F965FE" w14:textId="77777777" w:rsidR="00790CE0" w:rsidRDefault="00790CE0" w:rsidP="00D341AD">
      <w:pPr>
        <w:widowControl w:val="0"/>
        <w:tabs>
          <w:tab w:val="left" w:pos="0"/>
        </w:tabs>
        <w:spacing w:before="240" w:after="240" w:line="360" w:lineRule="auto"/>
        <w:contextualSpacing/>
        <w:jc w:val="right"/>
        <w:rPr>
          <w:rFonts w:ascii="Arial" w:hAnsi="Arial" w:cs="Arial"/>
        </w:rPr>
      </w:pPr>
      <w:r>
        <w:rPr>
          <w:rFonts w:ascii="Arial" w:hAnsi="Arial" w:cs="Arial"/>
        </w:rPr>
        <w:t xml:space="preserve">                                                                       ________________________________</w:t>
      </w:r>
    </w:p>
    <w:p w14:paraId="67CAB3D6" w14:textId="77777777" w:rsidR="00790CE0" w:rsidRDefault="00790CE0" w:rsidP="00D341AD">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rPr>
        <w:t xml:space="preserve">                                                                  </w:t>
      </w:r>
      <w:r>
        <w:rPr>
          <w:rFonts w:ascii="Arial" w:hAnsi="Arial" w:cs="Arial"/>
          <w:b/>
        </w:rPr>
        <w:t xml:space="preserve"> THUPAATLASE AJ</w:t>
      </w:r>
    </w:p>
    <w:p w14:paraId="66620E87" w14:textId="77777777" w:rsidR="00790CE0" w:rsidRPr="00790CE0" w:rsidRDefault="00790CE0" w:rsidP="00D341AD">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b/>
        </w:rPr>
        <w:t xml:space="preserve">                                                       HIGH COURT ACTING JUDGE </w:t>
      </w:r>
    </w:p>
    <w:p w14:paraId="5AD43F90" w14:textId="77777777" w:rsidR="00790CE0" w:rsidRDefault="00790CE0" w:rsidP="00D341AD">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rPr>
        <w:t xml:space="preserve">                                                     </w:t>
      </w:r>
      <w:r>
        <w:rPr>
          <w:rFonts w:ascii="Arial" w:hAnsi="Arial" w:cs="Arial"/>
          <w:b/>
        </w:rPr>
        <w:t>GAUTENG LOCAL DIVISION</w:t>
      </w:r>
    </w:p>
    <w:p w14:paraId="1B974E15" w14:textId="77777777" w:rsidR="006F6C3A" w:rsidRDefault="006F6C3A" w:rsidP="001D1849">
      <w:pPr>
        <w:spacing w:line="360" w:lineRule="auto"/>
        <w:jc w:val="both"/>
        <w:rPr>
          <w:rFonts w:ascii="Arial" w:hAnsi="Arial" w:cs="Arial"/>
          <w:b/>
        </w:rPr>
      </w:pPr>
    </w:p>
    <w:p w14:paraId="169B3C25" w14:textId="77777777" w:rsidR="00790CE0" w:rsidRDefault="00790CE0" w:rsidP="001D1849">
      <w:pPr>
        <w:spacing w:line="360" w:lineRule="auto"/>
        <w:jc w:val="both"/>
        <w:rPr>
          <w:rFonts w:ascii="Arial" w:hAnsi="Arial" w:cs="Arial"/>
          <w:b/>
        </w:rPr>
      </w:pPr>
    </w:p>
    <w:p w14:paraId="4D1C03DA" w14:textId="289E6CC6" w:rsidR="006F6C3A" w:rsidRDefault="006F6C3A" w:rsidP="001D1849">
      <w:pPr>
        <w:widowControl w:val="0"/>
        <w:tabs>
          <w:tab w:val="left" w:pos="0"/>
        </w:tabs>
        <w:spacing w:before="240" w:after="240" w:line="360" w:lineRule="auto"/>
        <w:contextualSpacing/>
        <w:jc w:val="both"/>
        <w:outlineLvl w:val="0"/>
        <w:rPr>
          <w:rFonts w:ascii="Arial" w:hAnsi="Arial" w:cs="Arial"/>
          <w:b/>
        </w:rPr>
      </w:pPr>
    </w:p>
    <w:p w14:paraId="46CC9537" w14:textId="77777777" w:rsidR="006F6C3A" w:rsidRDefault="006F6C3A" w:rsidP="001D1849">
      <w:pPr>
        <w:widowControl w:val="0"/>
        <w:tabs>
          <w:tab w:val="left" w:pos="0"/>
        </w:tabs>
        <w:spacing w:before="240" w:after="240" w:line="360" w:lineRule="auto"/>
        <w:contextualSpacing/>
        <w:jc w:val="both"/>
        <w:outlineLvl w:val="0"/>
        <w:rPr>
          <w:rFonts w:ascii="Arial" w:hAnsi="Arial" w:cs="Arial"/>
          <w:b/>
        </w:rPr>
      </w:pPr>
    </w:p>
    <w:p w14:paraId="318542B6" w14:textId="77777777" w:rsidR="006F6C3A" w:rsidRDefault="006F6C3A" w:rsidP="001D1849">
      <w:pPr>
        <w:widowControl w:val="0"/>
        <w:tabs>
          <w:tab w:val="left" w:pos="0"/>
        </w:tabs>
        <w:spacing w:before="240" w:after="240" w:line="360" w:lineRule="auto"/>
        <w:contextualSpacing/>
        <w:jc w:val="both"/>
        <w:outlineLvl w:val="0"/>
        <w:rPr>
          <w:rFonts w:ascii="Arial" w:hAnsi="Arial" w:cs="Arial"/>
          <w:b/>
        </w:rPr>
      </w:pPr>
    </w:p>
    <w:p w14:paraId="605D10E3" w14:textId="299798FD" w:rsidR="006F6C3A" w:rsidRPr="001D69A2" w:rsidRDefault="006F6C3A" w:rsidP="001D1849">
      <w:pPr>
        <w:widowControl w:val="0"/>
        <w:tabs>
          <w:tab w:val="left" w:pos="0"/>
        </w:tabs>
        <w:spacing w:before="240" w:after="240" w:line="360" w:lineRule="auto"/>
        <w:contextualSpacing/>
        <w:jc w:val="both"/>
        <w:outlineLvl w:val="0"/>
        <w:rPr>
          <w:rFonts w:ascii="Arial" w:hAnsi="Arial" w:cs="Arial"/>
          <w:bCs/>
        </w:rPr>
      </w:pPr>
      <w:r w:rsidRPr="001D69A2">
        <w:rPr>
          <w:rFonts w:ascii="Arial" w:hAnsi="Arial" w:cs="Arial"/>
          <w:bCs/>
        </w:rPr>
        <w:t>D</w:t>
      </w:r>
      <w:r w:rsidR="00790CE0" w:rsidRPr="001D69A2">
        <w:rPr>
          <w:rFonts w:ascii="Arial" w:hAnsi="Arial" w:cs="Arial"/>
          <w:bCs/>
        </w:rPr>
        <w:t>ate o</w:t>
      </w:r>
      <w:r w:rsidR="0016480B" w:rsidRPr="001D69A2">
        <w:rPr>
          <w:rFonts w:ascii="Arial" w:hAnsi="Arial" w:cs="Arial"/>
          <w:bCs/>
        </w:rPr>
        <w:t xml:space="preserve">f Hearing: </w:t>
      </w:r>
      <w:r w:rsidR="00D341AD">
        <w:rPr>
          <w:rFonts w:ascii="Arial" w:hAnsi="Arial" w:cs="Arial"/>
          <w:bCs/>
        </w:rPr>
        <w:t>09 October 2023</w:t>
      </w:r>
    </w:p>
    <w:p w14:paraId="429AC278" w14:textId="01CA7CD4" w:rsidR="006F6C3A" w:rsidRPr="001D69A2" w:rsidRDefault="006F6C3A" w:rsidP="001D1849">
      <w:pPr>
        <w:tabs>
          <w:tab w:val="right" w:pos="0"/>
        </w:tabs>
        <w:spacing w:after="200" w:line="360" w:lineRule="auto"/>
        <w:jc w:val="both"/>
        <w:outlineLvl w:val="0"/>
        <w:rPr>
          <w:rFonts w:ascii="Arial" w:hAnsi="Arial" w:cs="Arial"/>
          <w:bCs/>
        </w:rPr>
      </w:pPr>
      <w:r w:rsidRPr="001D69A2">
        <w:rPr>
          <w:rFonts w:ascii="Arial" w:hAnsi="Arial" w:cs="Arial"/>
          <w:bCs/>
        </w:rPr>
        <w:t xml:space="preserve">Judgment Delivered: </w:t>
      </w:r>
      <w:r w:rsidR="00831F02">
        <w:rPr>
          <w:rFonts w:ascii="Arial" w:hAnsi="Arial" w:cs="Arial"/>
          <w:bCs/>
        </w:rPr>
        <w:t>17 January 2023</w:t>
      </w:r>
    </w:p>
    <w:p w14:paraId="50E24711" w14:textId="1112D769" w:rsidR="00790CE0" w:rsidRPr="001D69A2" w:rsidRDefault="0016480B" w:rsidP="00D341AD">
      <w:pPr>
        <w:spacing w:line="360" w:lineRule="auto"/>
        <w:ind w:left="3600" w:hanging="3600"/>
        <w:jc w:val="both"/>
        <w:outlineLvl w:val="0"/>
        <w:rPr>
          <w:rFonts w:ascii="Arial" w:hAnsi="Arial" w:cs="Arial"/>
          <w:bCs/>
        </w:rPr>
      </w:pPr>
      <w:r w:rsidRPr="001D69A2">
        <w:rPr>
          <w:rFonts w:ascii="Arial" w:hAnsi="Arial" w:cs="Arial"/>
          <w:bCs/>
        </w:rPr>
        <w:t>For the Applicant:</w:t>
      </w:r>
      <w:r w:rsidR="00D341AD">
        <w:rPr>
          <w:rFonts w:ascii="Arial" w:hAnsi="Arial" w:cs="Arial"/>
          <w:bCs/>
        </w:rPr>
        <w:t xml:space="preserve"> Ms LR </w:t>
      </w:r>
      <w:proofErr w:type="spellStart"/>
      <w:r w:rsidR="00D341AD">
        <w:rPr>
          <w:rFonts w:ascii="Arial" w:hAnsi="Arial" w:cs="Arial"/>
          <w:bCs/>
        </w:rPr>
        <w:t>Molope-Madondo</w:t>
      </w:r>
      <w:proofErr w:type="spellEnd"/>
    </w:p>
    <w:p w14:paraId="13CD4925" w14:textId="5B1FF6CD" w:rsidR="006F6C3A" w:rsidRPr="001D69A2" w:rsidRDefault="00790CE0" w:rsidP="001D1849">
      <w:pPr>
        <w:spacing w:line="360" w:lineRule="auto"/>
        <w:ind w:left="3600" w:hanging="3600"/>
        <w:jc w:val="both"/>
        <w:outlineLvl w:val="0"/>
        <w:rPr>
          <w:rFonts w:ascii="Arial" w:hAnsi="Arial" w:cs="Arial"/>
          <w:bCs/>
        </w:rPr>
      </w:pPr>
      <w:bookmarkStart w:id="2" w:name="_Hlk156290630"/>
      <w:r w:rsidRPr="001D69A2">
        <w:rPr>
          <w:rFonts w:ascii="Arial" w:hAnsi="Arial" w:cs="Arial"/>
          <w:bCs/>
        </w:rPr>
        <w:t>Instructed by</w:t>
      </w:r>
      <w:r w:rsidR="00DF6EFA" w:rsidRPr="001D69A2">
        <w:rPr>
          <w:rFonts w:ascii="Arial" w:hAnsi="Arial" w:cs="Arial"/>
          <w:bCs/>
        </w:rPr>
        <w:t xml:space="preserve">: </w:t>
      </w:r>
      <w:r w:rsidR="0016480B" w:rsidRPr="001D69A2">
        <w:rPr>
          <w:rFonts w:ascii="Arial" w:hAnsi="Arial" w:cs="Arial"/>
          <w:bCs/>
        </w:rPr>
        <w:t xml:space="preserve">  </w:t>
      </w:r>
      <w:proofErr w:type="spellStart"/>
      <w:r w:rsidR="00D341AD">
        <w:rPr>
          <w:rFonts w:ascii="Arial" w:hAnsi="Arial" w:cs="Arial"/>
          <w:bCs/>
        </w:rPr>
        <w:t>Sepamla</w:t>
      </w:r>
      <w:proofErr w:type="spellEnd"/>
      <w:r w:rsidR="00D341AD">
        <w:rPr>
          <w:rFonts w:ascii="Arial" w:hAnsi="Arial" w:cs="Arial"/>
          <w:bCs/>
        </w:rPr>
        <w:t xml:space="preserve"> Attorneys </w:t>
      </w:r>
      <w:r w:rsidR="0016480B" w:rsidRPr="001D69A2">
        <w:rPr>
          <w:rFonts w:ascii="Arial" w:hAnsi="Arial" w:cs="Arial"/>
          <w:bCs/>
        </w:rPr>
        <w:t xml:space="preserve">          </w:t>
      </w:r>
    </w:p>
    <w:bookmarkEnd w:id="2"/>
    <w:p w14:paraId="457BCE7B" w14:textId="77777777" w:rsidR="006F6C3A" w:rsidRPr="001D69A2" w:rsidRDefault="006F6C3A" w:rsidP="001D1849">
      <w:pPr>
        <w:spacing w:line="360" w:lineRule="auto"/>
        <w:jc w:val="both"/>
        <w:outlineLvl w:val="0"/>
        <w:rPr>
          <w:rFonts w:ascii="Arial" w:hAnsi="Arial" w:cs="Arial"/>
          <w:bCs/>
        </w:rPr>
      </w:pPr>
    </w:p>
    <w:p w14:paraId="39AD2DCF" w14:textId="0946BB3C" w:rsidR="006F6C3A" w:rsidRDefault="0016480B" w:rsidP="001D1849">
      <w:pPr>
        <w:spacing w:line="360" w:lineRule="auto"/>
        <w:jc w:val="both"/>
        <w:outlineLvl w:val="0"/>
        <w:rPr>
          <w:rFonts w:ascii="Arial" w:hAnsi="Arial" w:cs="Arial"/>
          <w:bCs/>
        </w:rPr>
      </w:pPr>
      <w:r w:rsidRPr="001D69A2">
        <w:rPr>
          <w:rFonts w:ascii="Arial" w:hAnsi="Arial" w:cs="Arial"/>
          <w:bCs/>
        </w:rPr>
        <w:t>For the Respondent:</w:t>
      </w:r>
      <w:r w:rsidR="00D341AD">
        <w:rPr>
          <w:rFonts w:ascii="Arial" w:hAnsi="Arial" w:cs="Arial"/>
          <w:bCs/>
        </w:rPr>
        <w:t xml:space="preserve"> </w:t>
      </w:r>
      <w:r w:rsidR="00831F02">
        <w:rPr>
          <w:rFonts w:ascii="Arial" w:hAnsi="Arial" w:cs="Arial"/>
          <w:bCs/>
        </w:rPr>
        <w:t xml:space="preserve">Mr L </w:t>
      </w:r>
      <w:proofErr w:type="spellStart"/>
      <w:r w:rsidR="00831F02">
        <w:rPr>
          <w:rFonts w:ascii="Arial" w:hAnsi="Arial" w:cs="Arial"/>
          <w:bCs/>
        </w:rPr>
        <w:t>Klaas</w:t>
      </w:r>
      <w:proofErr w:type="spellEnd"/>
    </w:p>
    <w:p w14:paraId="79899F12" w14:textId="0F5C1144" w:rsidR="00831F02" w:rsidRDefault="00831F02" w:rsidP="00831F02">
      <w:pPr>
        <w:spacing w:line="360" w:lineRule="auto"/>
        <w:ind w:left="2160"/>
        <w:jc w:val="both"/>
        <w:outlineLvl w:val="0"/>
        <w:rPr>
          <w:rFonts w:ascii="Arial" w:hAnsi="Arial" w:cs="Arial"/>
          <w:bCs/>
        </w:rPr>
      </w:pPr>
      <w:r>
        <w:rPr>
          <w:rFonts w:ascii="Arial" w:hAnsi="Arial" w:cs="Arial"/>
          <w:bCs/>
        </w:rPr>
        <w:t xml:space="preserve">  Mr D </w:t>
      </w:r>
      <w:proofErr w:type="spellStart"/>
      <w:r>
        <w:rPr>
          <w:rFonts w:ascii="Arial" w:hAnsi="Arial" w:cs="Arial"/>
          <w:bCs/>
        </w:rPr>
        <w:t>Sodlani</w:t>
      </w:r>
      <w:proofErr w:type="spellEnd"/>
    </w:p>
    <w:p w14:paraId="5A0F196C" w14:textId="7C7E9E10" w:rsidR="00831F02" w:rsidRDefault="00831F02" w:rsidP="00831F02">
      <w:pPr>
        <w:spacing w:line="360" w:lineRule="auto"/>
        <w:ind w:left="2160"/>
        <w:jc w:val="both"/>
        <w:outlineLvl w:val="0"/>
        <w:rPr>
          <w:rFonts w:ascii="Arial" w:hAnsi="Arial" w:cs="Arial"/>
          <w:bCs/>
        </w:rPr>
      </w:pPr>
      <w:r>
        <w:rPr>
          <w:rFonts w:ascii="Arial" w:hAnsi="Arial" w:cs="Arial"/>
          <w:bCs/>
        </w:rPr>
        <w:t xml:space="preserve">  Ms S Ameersingh</w:t>
      </w:r>
    </w:p>
    <w:p w14:paraId="43C331F8" w14:textId="36AC58C5" w:rsidR="006F6C3A" w:rsidRPr="001D69A2" w:rsidRDefault="00831F02" w:rsidP="00831F02">
      <w:pPr>
        <w:spacing w:line="360" w:lineRule="auto"/>
        <w:ind w:left="3600" w:hanging="3600"/>
        <w:jc w:val="both"/>
        <w:outlineLvl w:val="0"/>
        <w:rPr>
          <w:rFonts w:ascii="Arial" w:hAnsi="Arial" w:cs="Arial"/>
          <w:bCs/>
        </w:rPr>
      </w:pPr>
      <w:r w:rsidRPr="001D69A2">
        <w:rPr>
          <w:rFonts w:ascii="Arial" w:hAnsi="Arial" w:cs="Arial"/>
          <w:bCs/>
        </w:rPr>
        <w:t xml:space="preserve">Instructed by:   </w:t>
      </w:r>
      <w:r>
        <w:rPr>
          <w:rFonts w:ascii="Arial" w:hAnsi="Arial" w:cs="Arial"/>
          <w:bCs/>
        </w:rPr>
        <w:t xml:space="preserve">State Attorneys </w:t>
      </w:r>
      <w:r w:rsidRPr="001D69A2">
        <w:rPr>
          <w:rFonts w:ascii="Arial" w:hAnsi="Arial" w:cs="Arial"/>
          <w:bCs/>
        </w:rPr>
        <w:t xml:space="preserve">          </w:t>
      </w:r>
    </w:p>
    <w:p w14:paraId="47A96D95" w14:textId="77777777" w:rsidR="006F6C3A" w:rsidRPr="001D69A2" w:rsidRDefault="006F6C3A" w:rsidP="006F6C3A">
      <w:pPr>
        <w:spacing w:line="360" w:lineRule="auto"/>
        <w:jc w:val="both"/>
        <w:rPr>
          <w:rFonts w:ascii="Arial" w:hAnsi="Arial" w:cs="Arial"/>
          <w:bCs/>
        </w:rPr>
      </w:pPr>
    </w:p>
    <w:p w14:paraId="49DDC35F" w14:textId="77777777" w:rsidR="006F7C88" w:rsidRDefault="006F7C88"/>
    <w:sectPr w:rsidR="006F7C88" w:rsidSect="00A121E0">
      <w:headerReference w:type="default"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EFD3" w14:textId="77777777" w:rsidR="00A81CF1" w:rsidRDefault="00A81CF1" w:rsidP="006F6C3A">
      <w:r>
        <w:separator/>
      </w:r>
    </w:p>
  </w:endnote>
  <w:endnote w:type="continuationSeparator" w:id="0">
    <w:p w14:paraId="2FD4D981" w14:textId="77777777" w:rsidR="00A81CF1" w:rsidRDefault="00A81CF1" w:rsidP="006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929055"/>
      <w:docPartObj>
        <w:docPartGallery w:val="Page Numbers (Bottom of Page)"/>
        <w:docPartUnique/>
      </w:docPartObj>
    </w:sdtPr>
    <w:sdtEndPr>
      <w:rPr>
        <w:noProof/>
      </w:rPr>
    </w:sdtEndPr>
    <w:sdtContent>
      <w:p w14:paraId="13B73DC2" w14:textId="5A900B44" w:rsidR="0008736F" w:rsidRDefault="0008736F">
        <w:pPr>
          <w:pStyle w:val="Footer"/>
          <w:jc w:val="center"/>
        </w:pPr>
        <w:r>
          <w:fldChar w:fldCharType="begin"/>
        </w:r>
        <w:r>
          <w:instrText xml:space="preserve"> PAGE   \* MERGEFORMAT </w:instrText>
        </w:r>
        <w:r>
          <w:fldChar w:fldCharType="separate"/>
        </w:r>
        <w:r w:rsidR="006236C4">
          <w:rPr>
            <w:noProof/>
          </w:rPr>
          <w:t>7</w:t>
        </w:r>
        <w:r>
          <w:rPr>
            <w:noProof/>
          </w:rPr>
          <w:fldChar w:fldCharType="end"/>
        </w:r>
      </w:p>
    </w:sdtContent>
  </w:sdt>
  <w:p w14:paraId="28CCD18C" w14:textId="77777777" w:rsidR="0008736F" w:rsidRDefault="0008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53369" w14:textId="77777777" w:rsidR="00A81CF1" w:rsidRDefault="00A81CF1" w:rsidP="006F6C3A">
      <w:r>
        <w:separator/>
      </w:r>
    </w:p>
  </w:footnote>
  <w:footnote w:type="continuationSeparator" w:id="0">
    <w:p w14:paraId="1FD60080" w14:textId="77777777" w:rsidR="00A81CF1" w:rsidRDefault="00A81CF1" w:rsidP="006F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5C4C" w14:textId="021C9FC5" w:rsidR="00790F52" w:rsidRDefault="00790F52">
    <w:pPr>
      <w:pStyle w:val="Header"/>
      <w:jc w:val="right"/>
    </w:pPr>
  </w:p>
  <w:p w14:paraId="43ECA7CD" w14:textId="77777777" w:rsidR="00790F52" w:rsidRDefault="0079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DB"/>
    <w:multiLevelType w:val="hybridMultilevel"/>
    <w:tmpl w:val="2C787248"/>
    <w:lvl w:ilvl="0" w:tplc="66CE4E48">
      <w:start w:val="1"/>
      <w:numFmt w:val="decimal"/>
      <w:lvlText w:val="[%1] "/>
      <w:lvlJc w:val="left"/>
      <w:pPr>
        <w:ind w:left="6739"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923A9"/>
    <w:multiLevelType w:val="hybridMultilevel"/>
    <w:tmpl w:val="10CA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12328DA"/>
    <w:multiLevelType w:val="hybridMultilevel"/>
    <w:tmpl w:val="063C81F4"/>
    <w:lvl w:ilvl="0" w:tplc="F87A1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7C05383"/>
    <w:multiLevelType w:val="multilevel"/>
    <w:tmpl w:val="E0DCD31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5" w15:restartNumberingAfterBreak="0">
    <w:nsid w:val="4A8818A2"/>
    <w:multiLevelType w:val="hybridMultilevel"/>
    <w:tmpl w:val="48122E4C"/>
    <w:lvl w:ilvl="0" w:tplc="4170BD7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KyNDQ2sTQwNLVU0lEKTi0uzszPAykwrAUAoi4KDywAAAA="/>
  </w:docVars>
  <w:rsids>
    <w:rsidRoot w:val="006F6C3A"/>
    <w:rsid w:val="00001B77"/>
    <w:rsid w:val="000042C1"/>
    <w:rsid w:val="00015E08"/>
    <w:rsid w:val="000168C8"/>
    <w:rsid w:val="00020C24"/>
    <w:rsid w:val="0003376D"/>
    <w:rsid w:val="00036759"/>
    <w:rsid w:val="00046418"/>
    <w:rsid w:val="00051C21"/>
    <w:rsid w:val="00054400"/>
    <w:rsid w:val="00054651"/>
    <w:rsid w:val="00054FD3"/>
    <w:rsid w:val="000557CD"/>
    <w:rsid w:val="00056A20"/>
    <w:rsid w:val="0006195B"/>
    <w:rsid w:val="00080C2E"/>
    <w:rsid w:val="00080F6E"/>
    <w:rsid w:val="00081436"/>
    <w:rsid w:val="00081CDF"/>
    <w:rsid w:val="0008736F"/>
    <w:rsid w:val="000926D1"/>
    <w:rsid w:val="0009445E"/>
    <w:rsid w:val="000A3C4F"/>
    <w:rsid w:val="000A6713"/>
    <w:rsid w:val="000B55AB"/>
    <w:rsid w:val="000B72C1"/>
    <w:rsid w:val="000C0AE3"/>
    <w:rsid w:val="000C0F7A"/>
    <w:rsid w:val="000C0F81"/>
    <w:rsid w:val="000C2E65"/>
    <w:rsid w:val="000C601D"/>
    <w:rsid w:val="000C73D8"/>
    <w:rsid w:val="000D2E5B"/>
    <w:rsid w:val="000D734B"/>
    <w:rsid w:val="000D74EA"/>
    <w:rsid w:val="000E164E"/>
    <w:rsid w:val="000E618E"/>
    <w:rsid w:val="000F2804"/>
    <w:rsid w:val="000F4317"/>
    <w:rsid w:val="001032A2"/>
    <w:rsid w:val="001073CE"/>
    <w:rsid w:val="00112579"/>
    <w:rsid w:val="0011295B"/>
    <w:rsid w:val="00116B1F"/>
    <w:rsid w:val="00122890"/>
    <w:rsid w:val="001254D8"/>
    <w:rsid w:val="00133045"/>
    <w:rsid w:val="001403B3"/>
    <w:rsid w:val="001429B2"/>
    <w:rsid w:val="0014318F"/>
    <w:rsid w:val="0014482D"/>
    <w:rsid w:val="00145151"/>
    <w:rsid w:val="00146857"/>
    <w:rsid w:val="00163BFD"/>
    <w:rsid w:val="0016480B"/>
    <w:rsid w:val="00164FF6"/>
    <w:rsid w:val="00176AFD"/>
    <w:rsid w:val="0017716D"/>
    <w:rsid w:val="001832ED"/>
    <w:rsid w:val="00190D36"/>
    <w:rsid w:val="0019786B"/>
    <w:rsid w:val="001A25D9"/>
    <w:rsid w:val="001A4E6D"/>
    <w:rsid w:val="001A59E7"/>
    <w:rsid w:val="001B0809"/>
    <w:rsid w:val="001B294F"/>
    <w:rsid w:val="001B4251"/>
    <w:rsid w:val="001C3223"/>
    <w:rsid w:val="001C4004"/>
    <w:rsid w:val="001C6009"/>
    <w:rsid w:val="001D0F1D"/>
    <w:rsid w:val="001D1849"/>
    <w:rsid w:val="001D444B"/>
    <w:rsid w:val="001D59B9"/>
    <w:rsid w:val="001D69A2"/>
    <w:rsid w:val="001E119D"/>
    <w:rsid w:val="001E41B6"/>
    <w:rsid w:val="001F2AA0"/>
    <w:rsid w:val="001F3FD5"/>
    <w:rsid w:val="001F754D"/>
    <w:rsid w:val="0020240A"/>
    <w:rsid w:val="00205DAB"/>
    <w:rsid w:val="00206598"/>
    <w:rsid w:val="00212148"/>
    <w:rsid w:val="00215CAC"/>
    <w:rsid w:val="00222BC7"/>
    <w:rsid w:val="00223B2E"/>
    <w:rsid w:val="00234B50"/>
    <w:rsid w:val="0023596F"/>
    <w:rsid w:val="00241413"/>
    <w:rsid w:val="0024268E"/>
    <w:rsid w:val="002443F9"/>
    <w:rsid w:val="002461AC"/>
    <w:rsid w:val="00246E98"/>
    <w:rsid w:val="00247023"/>
    <w:rsid w:val="002471E2"/>
    <w:rsid w:val="002606F3"/>
    <w:rsid w:val="002620A6"/>
    <w:rsid w:val="00265EF4"/>
    <w:rsid w:val="00272657"/>
    <w:rsid w:val="00275424"/>
    <w:rsid w:val="00277016"/>
    <w:rsid w:val="00280D61"/>
    <w:rsid w:val="002815C1"/>
    <w:rsid w:val="00283A88"/>
    <w:rsid w:val="00286BCD"/>
    <w:rsid w:val="0029022F"/>
    <w:rsid w:val="00292B63"/>
    <w:rsid w:val="00296D23"/>
    <w:rsid w:val="002A0A22"/>
    <w:rsid w:val="002A0B0B"/>
    <w:rsid w:val="002A2ACF"/>
    <w:rsid w:val="002A3AA3"/>
    <w:rsid w:val="002B2709"/>
    <w:rsid w:val="002C1469"/>
    <w:rsid w:val="002C6836"/>
    <w:rsid w:val="002D2323"/>
    <w:rsid w:val="002D2FC2"/>
    <w:rsid w:val="002D3B9A"/>
    <w:rsid w:val="002D452A"/>
    <w:rsid w:val="002E1BDD"/>
    <w:rsid w:val="002E439A"/>
    <w:rsid w:val="002F3EDD"/>
    <w:rsid w:val="002F7946"/>
    <w:rsid w:val="00301E12"/>
    <w:rsid w:val="00310662"/>
    <w:rsid w:val="003131DF"/>
    <w:rsid w:val="00315711"/>
    <w:rsid w:val="0032382A"/>
    <w:rsid w:val="00327226"/>
    <w:rsid w:val="0032750B"/>
    <w:rsid w:val="0033073B"/>
    <w:rsid w:val="003407AA"/>
    <w:rsid w:val="003474AB"/>
    <w:rsid w:val="00347DF4"/>
    <w:rsid w:val="003565C3"/>
    <w:rsid w:val="00357BA4"/>
    <w:rsid w:val="0036146A"/>
    <w:rsid w:val="00364E37"/>
    <w:rsid w:val="003724DC"/>
    <w:rsid w:val="00377172"/>
    <w:rsid w:val="003818FA"/>
    <w:rsid w:val="0038295A"/>
    <w:rsid w:val="003924F0"/>
    <w:rsid w:val="00392B07"/>
    <w:rsid w:val="0039335B"/>
    <w:rsid w:val="003A078B"/>
    <w:rsid w:val="003A07F0"/>
    <w:rsid w:val="003B0068"/>
    <w:rsid w:val="003B1360"/>
    <w:rsid w:val="003B1B21"/>
    <w:rsid w:val="003B2394"/>
    <w:rsid w:val="003B47C6"/>
    <w:rsid w:val="003C7C37"/>
    <w:rsid w:val="003C7CF4"/>
    <w:rsid w:val="003D0406"/>
    <w:rsid w:val="003D6639"/>
    <w:rsid w:val="003F1747"/>
    <w:rsid w:val="003F1E0D"/>
    <w:rsid w:val="003F6815"/>
    <w:rsid w:val="003F6D36"/>
    <w:rsid w:val="004119FE"/>
    <w:rsid w:val="0041302B"/>
    <w:rsid w:val="004130F4"/>
    <w:rsid w:val="0041557D"/>
    <w:rsid w:val="00417043"/>
    <w:rsid w:val="004210A3"/>
    <w:rsid w:val="0042699D"/>
    <w:rsid w:val="004277D3"/>
    <w:rsid w:val="004349EA"/>
    <w:rsid w:val="00434DE4"/>
    <w:rsid w:val="004408BB"/>
    <w:rsid w:val="004572DF"/>
    <w:rsid w:val="00461276"/>
    <w:rsid w:val="00467981"/>
    <w:rsid w:val="00475141"/>
    <w:rsid w:val="0048426D"/>
    <w:rsid w:val="00484E24"/>
    <w:rsid w:val="004922EB"/>
    <w:rsid w:val="00493FFA"/>
    <w:rsid w:val="00495A36"/>
    <w:rsid w:val="004A3B1C"/>
    <w:rsid w:val="004B0CCE"/>
    <w:rsid w:val="004B3172"/>
    <w:rsid w:val="004C2D29"/>
    <w:rsid w:val="004C37A9"/>
    <w:rsid w:val="004C3AF8"/>
    <w:rsid w:val="004C5BD3"/>
    <w:rsid w:val="004E0AD1"/>
    <w:rsid w:val="004E15CC"/>
    <w:rsid w:val="004E4EE8"/>
    <w:rsid w:val="004F3192"/>
    <w:rsid w:val="004F4235"/>
    <w:rsid w:val="004F4D0E"/>
    <w:rsid w:val="004F52D6"/>
    <w:rsid w:val="005047BD"/>
    <w:rsid w:val="00505373"/>
    <w:rsid w:val="005072BA"/>
    <w:rsid w:val="005135EF"/>
    <w:rsid w:val="005148B9"/>
    <w:rsid w:val="00523C88"/>
    <w:rsid w:val="0052491D"/>
    <w:rsid w:val="005309AD"/>
    <w:rsid w:val="00531461"/>
    <w:rsid w:val="00540504"/>
    <w:rsid w:val="005421F9"/>
    <w:rsid w:val="0054274F"/>
    <w:rsid w:val="00551489"/>
    <w:rsid w:val="00554E3F"/>
    <w:rsid w:val="005632E4"/>
    <w:rsid w:val="00565726"/>
    <w:rsid w:val="00571177"/>
    <w:rsid w:val="00571C43"/>
    <w:rsid w:val="00581601"/>
    <w:rsid w:val="00584420"/>
    <w:rsid w:val="00590B5D"/>
    <w:rsid w:val="00591116"/>
    <w:rsid w:val="00591C0F"/>
    <w:rsid w:val="00594626"/>
    <w:rsid w:val="0059547B"/>
    <w:rsid w:val="005A0EC3"/>
    <w:rsid w:val="005A12CD"/>
    <w:rsid w:val="005A4AFB"/>
    <w:rsid w:val="005A597E"/>
    <w:rsid w:val="005A6238"/>
    <w:rsid w:val="005A76BE"/>
    <w:rsid w:val="005B1E63"/>
    <w:rsid w:val="005B3368"/>
    <w:rsid w:val="005B65D9"/>
    <w:rsid w:val="005B7A12"/>
    <w:rsid w:val="005C239A"/>
    <w:rsid w:val="005C240C"/>
    <w:rsid w:val="005C6F63"/>
    <w:rsid w:val="005C7F64"/>
    <w:rsid w:val="005D4D70"/>
    <w:rsid w:val="005E0302"/>
    <w:rsid w:val="005E21B2"/>
    <w:rsid w:val="005E4E66"/>
    <w:rsid w:val="005F28FC"/>
    <w:rsid w:val="005F3CFC"/>
    <w:rsid w:val="005F567E"/>
    <w:rsid w:val="006062FA"/>
    <w:rsid w:val="00611F21"/>
    <w:rsid w:val="00612A46"/>
    <w:rsid w:val="00614C01"/>
    <w:rsid w:val="00616EC9"/>
    <w:rsid w:val="00620D9A"/>
    <w:rsid w:val="00621A5C"/>
    <w:rsid w:val="00623210"/>
    <w:rsid w:val="006236C4"/>
    <w:rsid w:val="006257EC"/>
    <w:rsid w:val="00627BED"/>
    <w:rsid w:val="0063262D"/>
    <w:rsid w:val="006332AB"/>
    <w:rsid w:val="0064098C"/>
    <w:rsid w:val="00642C26"/>
    <w:rsid w:val="0065170F"/>
    <w:rsid w:val="00653CC8"/>
    <w:rsid w:val="00655434"/>
    <w:rsid w:val="006613D4"/>
    <w:rsid w:val="00670A8D"/>
    <w:rsid w:val="00670CF8"/>
    <w:rsid w:val="006734D5"/>
    <w:rsid w:val="006734E9"/>
    <w:rsid w:val="00673E4D"/>
    <w:rsid w:val="00677E11"/>
    <w:rsid w:val="00682735"/>
    <w:rsid w:val="0068332A"/>
    <w:rsid w:val="00690F52"/>
    <w:rsid w:val="00691C02"/>
    <w:rsid w:val="00692D1D"/>
    <w:rsid w:val="00694957"/>
    <w:rsid w:val="00697C9D"/>
    <w:rsid w:val="006A13DF"/>
    <w:rsid w:val="006A3585"/>
    <w:rsid w:val="006A49E8"/>
    <w:rsid w:val="006B0167"/>
    <w:rsid w:val="006B18F8"/>
    <w:rsid w:val="006B6113"/>
    <w:rsid w:val="006C2751"/>
    <w:rsid w:val="006C47B7"/>
    <w:rsid w:val="006C4C29"/>
    <w:rsid w:val="006C50B9"/>
    <w:rsid w:val="006C788E"/>
    <w:rsid w:val="006D36A7"/>
    <w:rsid w:val="006E3FE8"/>
    <w:rsid w:val="006E702B"/>
    <w:rsid w:val="006F0FE9"/>
    <w:rsid w:val="006F5C12"/>
    <w:rsid w:val="006F6C3A"/>
    <w:rsid w:val="006F7C88"/>
    <w:rsid w:val="006F7D67"/>
    <w:rsid w:val="00707EDB"/>
    <w:rsid w:val="00714330"/>
    <w:rsid w:val="0071508D"/>
    <w:rsid w:val="00717697"/>
    <w:rsid w:val="00723960"/>
    <w:rsid w:val="007251C1"/>
    <w:rsid w:val="00725E10"/>
    <w:rsid w:val="00727F72"/>
    <w:rsid w:val="00731AD1"/>
    <w:rsid w:val="00734A78"/>
    <w:rsid w:val="00740AFF"/>
    <w:rsid w:val="00745AAE"/>
    <w:rsid w:val="00752D10"/>
    <w:rsid w:val="00763AAF"/>
    <w:rsid w:val="00766252"/>
    <w:rsid w:val="00766276"/>
    <w:rsid w:val="007678CC"/>
    <w:rsid w:val="00774292"/>
    <w:rsid w:val="00775BFD"/>
    <w:rsid w:val="00790CE0"/>
    <w:rsid w:val="00790F52"/>
    <w:rsid w:val="007957A4"/>
    <w:rsid w:val="007A1D45"/>
    <w:rsid w:val="007A3786"/>
    <w:rsid w:val="007A719E"/>
    <w:rsid w:val="007B08A9"/>
    <w:rsid w:val="007B0C50"/>
    <w:rsid w:val="007B2400"/>
    <w:rsid w:val="007B3026"/>
    <w:rsid w:val="007B6267"/>
    <w:rsid w:val="007C028D"/>
    <w:rsid w:val="007C2730"/>
    <w:rsid w:val="007C2C67"/>
    <w:rsid w:val="007C4DC6"/>
    <w:rsid w:val="007C5CAB"/>
    <w:rsid w:val="007E002F"/>
    <w:rsid w:val="007E31B4"/>
    <w:rsid w:val="007F55C8"/>
    <w:rsid w:val="007F6B55"/>
    <w:rsid w:val="007F7382"/>
    <w:rsid w:val="0080060F"/>
    <w:rsid w:val="00800DAD"/>
    <w:rsid w:val="008033AB"/>
    <w:rsid w:val="008125EE"/>
    <w:rsid w:val="00812C2C"/>
    <w:rsid w:val="00815E84"/>
    <w:rsid w:val="008230E4"/>
    <w:rsid w:val="00824C64"/>
    <w:rsid w:val="00831F02"/>
    <w:rsid w:val="00834686"/>
    <w:rsid w:val="00840054"/>
    <w:rsid w:val="00843975"/>
    <w:rsid w:val="00844DE7"/>
    <w:rsid w:val="008523B7"/>
    <w:rsid w:val="00853BCD"/>
    <w:rsid w:val="00853D69"/>
    <w:rsid w:val="008541EF"/>
    <w:rsid w:val="0086309E"/>
    <w:rsid w:val="008652EC"/>
    <w:rsid w:val="00866C07"/>
    <w:rsid w:val="00873A8F"/>
    <w:rsid w:val="008745A0"/>
    <w:rsid w:val="008806F8"/>
    <w:rsid w:val="0088317B"/>
    <w:rsid w:val="008866FC"/>
    <w:rsid w:val="00893B86"/>
    <w:rsid w:val="008943C1"/>
    <w:rsid w:val="008A19E8"/>
    <w:rsid w:val="008A402C"/>
    <w:rsid w:val="008A42C7"/>
    <w:rsid w:val="008A582D"/>
    <w:rsid w:val="008A75D3"/>
    <w:rsid w:val="008B2164"/>
    <w:rsid w:val="008B4840"/>
    <w:rsid w:val="008B4AA6"/>
    <w:rsid w:val="008B72EC"/>
    <w:rsid w:val="008C0993"/>
    <w:rsid w:val="008C0D0D"/>
    <w:rsid w:val="008C46BC"/>
    <w:rsid w:val="008C51CA"/>
    <w:rsid w:val="008D1761"/>
    <w:rsid w:val="008D3F66"/>
    <w:rsid w:val="008D7578"/>
    <w:rsid w:val="008E1B3E"/>
    <w:rsid w:val="008F362A"/>
    <w:rsid w:val="008F442B"/>
    <w:rsid w:val="008F7EFA"/>
    <w:rsid w:val="00916EF5"/>
    <w:rsid w:val="00923D2A"/>
    <w:rsid w:val="0092677E"/>
    <w:rsid w:val="00927664"/>
    <w:rsid w:val="0093148A"/>
    <w:rsid w:val="00931B2D"/>
    <w:rsid w:val="00932FC7"/>
    <w:rsid w:val="00935C9E"/>
    <w:rsid w:val="00941180"/>
    <w:rsid w:val="00943057"/>
    <w:rsid w:val="0094608A"/>
    <w:rsid w:val="00962FE8"/>
    <w:rsid w:val="00964C9E"/>
    <w:rsid w:val="00966E6B"/>
    <w:rsid w:val="009737D4"/>
    <w:rsid w:val="00975251"/>
    <w:rsid w:val="00981935"/>
    <w:rsid w:val="009828CC"/>
    <w:rsid w:val="00990EBF"/>
    <w:rsid w:val="009A0CCC"/>
    <w:rsid w:val="009A332E"/>
    <w:rsid w:val="009A35A6"/>
    <w:rsid w:val="009B28ED"/>
    <w:rsid w:val="009B3DF7"/>
    <w:rsid w:val="009C075C"/>
    <w:rsid w:val="009D0AE4"/>
    <w:rsid w:val="009D24D1"/>
    <w:rsid w:val="009D2A79"/>
    <w:rsid w:val="009D2E43"/>
    <w:rsid w:val="009D5761"/>
    <w:rsid w:val="009D5825"/>
    <w:rsid w:val="009D7DDD"/>
    <w:rsid w:val="009E09E0"/>
    <w:rsid w:val="009E57AA"/>
    <w:rsid w:val="009F1BB4"/>
    <w:rsid w:val="00A005D8"/>
    <w:rsid w:val="00A02838"/>
    <w:rsid w:val="00A037C0"/>
    <w:rsid w:val="00A121E0"/>
    <w:rsid w:val="00A131FC"/>
    <w:rsid w:val="00A13A15"/>
    <w:rsid w:val="00A14C11"/>
    <w:rsid w:val="00A22855"/>
    <w:rsid w:val="00A252C3"/>
    <w:rsid w:val="00A2681D"/>
    <w:rsid w:val="00A316EB"/>
    <w:rsid w:val="00A36BD4"/>
    <w:rsid w:val="00A37826"/>
    <w:rsid w:val="00A3788B"/>
    <w:rsid w:val="00A4274C"/>
    <w:rsid w:val="00A42D9C"/>
    <w:rsid w:val="00A46495"/>
    <w:rsid w:val="00A46B6D"/>
    <w:rsid w:val="00A47860"/>
    <w:rsid w:val="00A5585F"/>
    <w:rsid w:val="00A56446"/>
    <w:rsid w:val="00A570FA"/>
    <w:rsid w:val="00A61A1C"/>
    <w:rsid w:val="00A656E2"/>
    <w:rsid w:val="00A677C2"/>
    <w:rsid w:val="00A67B05"/>
    <w:rsid w:val="00A720A7"/>
    <w:rsid w:val="00A72639"/>
    <w:rsid w:val="00A80EBF"/>
    <w:rsid w:val="00A81225"/>
    <w:rsid w:val="00A81CF1"/>
    <w:rsid w:val="00A90580"/>
    <w:rsid w:val="00AA3F47"/>
    <w:rsid w:val="00AA6291"/>
    <w:rsid w:val="00AB52ED"/>
    <w:rsid w:val="00AB5375"/>
    <w:rsid w:val="00AB6B6C"/>
    <w:rsid w:val="00AB78FE"/>
    <w:rsid w:val="00AC2000"/>
    <w:rsid w:val="00AC2132"/>
    <w:rsid w:val="00AD1F37"/>
    <w:rsid w:val="00AD46AF"/>
    <w:rsid w:val="00AD4F00"/>
    <w:rsid w:val="00AD7A59"/>
    <w:rsid w:val="00AE123B"/>
    <w:rsid w:val="00AE4EE9"/>
    <w:rsid w:val="00AE725D"/>
    <w:rsid w:val="00AF6300"/>
    <w:rsid w:val="00B04BA0"/>
    <w:rsid w:val="00B06692"/>
    <w:rsid w:val="00B10380"/>
    <w:rsid w:val="00B110CC"/>
    <w:rsid w:val="00B304F9"/>
    <w:rsid w:val="00B43851"/>
    <w:rsid w:val="00B44498"/>
    <w:rsid w:val="00B44AAA"/>
    <w:rsid w:val="00B44D83"/>
    <w:rsid w:val="00B45827"/>
    <w:rsid w:val="00B53344"/>
    <w:rsid w:val="00B53C3D"/>
    <w:rsid w:val="00B57860"/>
    <w:rsid w:val="00B643CA"/>
    <w:rsid w:val="00B6657A"/>
    <w:rsid w:val="00B72B08"/>
    <w:rsid w:val="00B80291"/>
    <w:rsid w:val="00B81E73"/>
    <w:rsid w:val="00B858B2"/>
    <w:rsid w:val="00B87C5F"/>
    <w:rsid w:val="00B94416"/>
    <w:rsid w:val="00BA71CE"/>
    <w:rsid w:val="00BA73F9"/>
    <w:rsid w:val="00BA7416"/>
    <w:rsid w:val="00BB1B4B"/>
    <w:rsid w:val="00BB1FD6"/>
    <w:rsid w:val="00BB2C9E"/>
    <w:rsid w:val="00BC2AA2"/>
    <w:rsid w:val="00BC4100"/>
    <w:rsid w:val="00BC4AC1"/>
    <w:rsid w:val="00BC74AF"/>
    <w:rsid w:val="00BD5979"/>
    <w:rsid w:val="00BE646D"/>
    <w:rsid w:val="00BE6C56"/>
    <w:rsid w:val="00BF18EC"/>
    <w:rsid w:val="00BF4C23"/>
    <w:rsid w:val="00C0268B"/>
    <w:rsid w:val="00C03F1C"/>
    <w:rsid w:val="00C0413C"/>
    <w:rsid w:val="00C10A32"/>
    <w:rsid w:val="00C11386"/>
    <w:rsid w:val="00C14772"/>
    <w:rsid w:val="00C16148"/>
    <w:rsid w:val="00C20F23"/>
    <w:rsid w:val="00C21633"/>
    <w:rsid w:val="00C21758"/>
    <w:rsid w:val="00C2374E"/>
    <w:rsid w:val="00C315FA"/>
    <w:rsid w:val="00C374C9"/>
    <w:rsid w:val="00C40060"/>
    <w:rsid w:val="00C5252A"/>
    <w:rsid w:val="00C526CE"/>
    <w:rsid w:val="00C55891"/>
    <w:rsid w:val="00C63DEA"/>
    <w:rsid w:val="00C64B65"/>
    <w:rsid w:val="00C64D23"/>
    <w:rsid w:val="00C64F75"/>
    <w:rsid w:val="00C81352"/>
    <w:rsid w:val="00C84DFB"/>
    <w:rsid w:val="00C856C2"/>
    <w:rsid w:val="00C91770"/>
    <w:rsid w:val="00C9455A"/>
    <w:rsid w:val="00C9619E"/>
    <w:rsid w:val="00C96FF9"/>
    <w:rsid w:val="00CA129F"/>
    <w:rsid w:val="00CA4568"/>
    <w:rsid w:val="00CB4196"/>
    <w:rsid w:val="00CB5947"/>
    <w:rsid w:val="00CB5BE8"/>
    <w:rsid w:val="00CC7F8F"/>
    <w:rsid w:val="00CD2E17"/>
    <w:rsid w:val="00CD5442"/>
    <w:rsid w:val="00CE1C53"/>
    <w:rsid w:val="00CE3A91"/>
    <w:rsid w:val="00CF2C40"/>
    <w:rsid w:val="00CF7692"/>
    <w:rsid w:val="00D01BB7"/>
    <w:rsid w:val="00D04AB7"/>
    <w:rsid w:val="00D07D97"/>
    <w:rsid w:val="00D10D91"/>
    <w:rsid w:val="00D12FDC"/>
    <w:rsid w:val="00D13D2A"/>
    <w:rsid w:val="00D151D9"/>
    <w:rsid w:val="00D2042B"/>
    <w:rsid w:val="00D23130"/>
    <w:rsid w:val="00D2440A"/>
    <w:rsid w:val="00D341AD"/>
    <w:rsid w:val="00D51616"/>
    <w:rsid w:val="00D526E0"/>
    <w:rsid w:val="00D54CD7"/>
    <w:rsid w:val="00D56AC5"/>
    <w:rsid w:val="00D57E3F"/>
    <w:rsid w:val="00D65367"/>
    <w:rsid w:val="00D672B2"/>
    <w:rsid w:val="00D73821"/>
    <w:rsid w:val="00D73BE7"/>
    <w:rsid w:val="00D75174"/>
    <w:rsid w:val="00D76E4D"/>
    <w:rsid w:val="00D77B54"/>
    <w:rsid w:val="00D8064D"/>
    <w:rsid w:val="00D81607"/>
    <w:rsid w:val="00D91E18"/>
    <w:rsid w:val="00D93B3A"/>
    <w:rsid w:val="00DA1834"/>
    <w:rsid w:val="00DA59AE"/>
    <w:rsid w:val="00DA6A71"/>
    <w:rsid w:val="00DB10A1"/>
    <w:rsid w:val="00DB2637"/>
    <w:rsid w:val="00DB2752"/>
    <w:rsid w:val="00DB7AB6"/>
    <w:rsid w:val="00DC1914"/>
    <w:rsid w:val="00DC1997"/>
    <w:rsid w:val="00DC1EEC"/>
    <w:rsid w:val="00DD0DF1"/>
    <w:rsid w:val="00DD14AF"/>
    <w:rsid w:val="00DD16EC"/>
    <w:rsid w:val="00DD374A"/>
    <w:rsid w:val="00DD46B1"/>
    <w:rsid w:val="00DD675F"/>
    <w:rsid w:val="00DD67D2"/>
    <w:rsid w:val="00DD7F64"/>
    <w:rsid w:val="00DE538E"/>
    <w:rsid w:val="00DE57E1"/>
    <w:rsid w:val="00DE6A5A"/>
    <w:rsid w:val="00DE75A6"/>
    <w:rsid w:val="00DF364A"/>
    <w:rsid w:val="00DF53E4"/>
    <w:rsid w:val="00DF5B22"/>
    <w:rsid w:val="00DF6EFA"/>
    <w:rsid w:val="00E011C5"/>
    <w:rsid w:val="00E04E17"/>
    <w:rsid w:val="00E0518D"/>
    <w:rsid w:val="00E05F7C"/>
    <w:rsid w:val="00E11ED0"/>
    <w:rsid w:val="00E12337"/>
    <w:rsid w:val="00E14A79"/>
    <w:rsid w:val="00E220AC"/>
    <w:rsid w:val="00E24760"/>
    <w:rsid w:val="00E25DAA"/>
    <w:rsid w:val="00E36EB8"/>
    <w:rsid w:val="00E4553A"/>
    <w:rsid w:val="00E46795"/>
    <w:rsid w:val="00E47695"/>
    <w:rsid w:val="00E60A3C"/>
    <w:rsid w:val="00E60FA6"/>
    <w:rsid w:val="00E64605"/>
    <w:rsid w:val="00E74958"/>
    <w:rsid w:val="00E75135"/>
    <w:rsid w:val="00E761BE"/>
    <w:rsid w:val="00E77662"/>
    <w:rsid w:val="00E81555"/>
    <w:rsid w:val="00E82915"/>
    <w:rsid w:val="00E83BC7"/>
    <w:rsid w:val="00E84B98"/>
    <w:rsid w:val="00E961C6"/>
    <w:rsid w:val="00E964A6"/>
    <w:rsid w:val="00E9747E"/>
    <w:rsid w:val="00E9754A"/>
    <w:rsid w:val="00E978C7"/>
    <w:rsid w:val="00EA28DB"/>
    <w:rsid w:val="00EA3830"/>
    <w:rsid w:val="00EB0055"/>
    <w:rsid w:val="00EB5351"/>
    <w:rsid w:val="00EC14B3"/>
    <w:rsid w:val="00EC41FB"/>
    <w:rsid w:val="00ED1871"/>
    <w:rsid w:val="00ED67FC"/>
    <w:rsid w:val="00EE1546"/>
    <w:rsid w:val="00EE7D5D"/>
    <w:rsid w:val="00EF33F5"/>
    <w:rsid w:val="00EF7804"/>
    <w:rsid w:val="00F10461"/>
    <w:rsid w:val="00F117A6"/>
    <w:rsid w:val="00F147F2"/>
    <w:rsid w:val="00F14D1D"/>
    <w:rsid w:val="00F1502F"/>
    <w:rsid w:val="00F177CA"/>
    <w:rsid w:val="00F216BF"/>
    <w:rsid w:val="00F2211E"/>
    <w:rsid w:val="00F24789"/>
    <w:rsid w:val="00F32404"/>
    <w:rsid w:val="00F35C6E"/>
    <w:rsid w:val="00F370B9"/>
    <w:rsid w:val="00F46F6D"/>
    <w:rsid w:val="00F5121F"/>
    <w:rsid w:val="00F51D24"/>
    <w:rsid w:val="00F713F2"/>
    <w:rsid w:val="00F716D6"/>
    <w:rsid w:val="00F71A4D"/>
    <w:rsid w:val="00F73BDD"/>
    <w:rsid w:val="00F7427A"/>
    <w:rsid w:val="00F752E5"/>
    <w:rsid w:val="00F7572B"/>
    <w:rsid w:val="00F75C2B"/>
    <w:rsid w:val="00F76A24"/>
    <w:rsid w:val="00F805DC"/>
    <w:rsid w:val="00F837BA"/>
    <w:rsid w:val="00F83F97"/>
    <w:rsid w:val="00F97D21"/>
    <w:rsid w:val="00FA08A4"/>
    <w:rsid w:val="00FA2C89"/>
    <w:rsid w:val="00FB4512"/>
    <w:rsid w:val="00FB4B0D"/>
    <w:rsid w:val="00FB4D88"/>
    <w:rsid w:val="00FB5B1A"/>
    <w:rsid w:val="00FC3CA7"/>
    <w:rsid w:val="00FC4DFD"/>
    <w:rsid w:val="00FC6846"/>
    <w:rsid w:val="00FD2431"/>
    <w:rsid w:val="00FD52B6"/>
    <w:rsid w:val="00FE2094"/>
    <w:rsid w:val="00FE2397"/>
    <w:rsid w:val="00FF3586"/>
    <w:rsid w:val="00FF5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83E"/>
  <w15:chartTrackingRefBased/>
  <w15:docId w15:val="{F1187079-FCC0-432D-AB23-2F59F2B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A"/>
    <w:pPr>
      <w:ind w:left="720"/>
      <w:contextualSpacing/>
    </w:pPr>
  </w:style>
  <w:style w:type="paragraph" w:styleId="Header">
    <w:name w:val="header"/>
    <w:basedOn w:val="Normal"/>
    <w:link w:val="HeaderChar"/>
    <w:uiPriority w:val="99"/>
    <w:unhideWhenUsed/>
    <w:rsid w:val="006F6C3A"/>
    <w:pPr>
      <w:tabs>
        <w:tab w:val="center" w:pos="4513"/>
        <w:tab w:val="right" w:pos="9026"/>
      </w:tabs>
    </w:pPr>
  </w:style>
  <w:style w:type="character" w:customStyle="1" w:styleId="HeaderChar">
    <w:name w:val="Header Char"/>
    <w:basedOn w:val="DefaultParagraphFont"/>
    <w:link w:val="Header"/>
    <w:uiPriority w:val="99"/>
    <w:rsid w:val="006F6C3A"/>
    <w:rPr>
      <w:sz w:val="24"/>
      <w:szCs w:val="24"/>
    </w:rPr>
  </w:style>
  <w:style w:type="paragraph" w:styleId="FootnoteText">
    <w:name w:val="footnote text"/>
    <w:basedOn w:val="Normal"/>
    <w:link w:val="FootnoteTextChar"/>
    <w:uiPriority w:val="99"/>
    <w:semiHidden/>
    <w:unhideWhenUsed/>
    <w:rsid w:val="006F6C3A"/>
    <w:rPr>
      <w:sz w:val="20"/>
      <w:szCs w:val="20"/>
    </w:rPr>
  </w:style>
  <w:style w:type="character" w:customStyle="1" w:styleId="FootnoteTextChar">
    <w:name w:val="Footnote Text Char"/>
    <w:basedOn w:val="DefaultParagraphFont"/>
    <w:link w:val="FootnoteText"/>
    <w:uiPriority w:val="99"/>
    <w:semiHidden/>
    <w:rsid w:val="006F6C3A"/>
    <w:rPr>
      <w:sz w:val="20"/>
      <w:szCs w:val="20"/>
    </w:rPr>
  </w:style>
  <w:style w:type="character" w:styleId="CommentReference">
    <w:name w:val="annotation reference"/>
    <w:basedOn w:val="DefaultParagraphFont"/>
    <w:uiPriority w:val="99"/>
    <w:semiHidden/>
    <w:unhideWhenUsed/>
    <w:rsid w:val="00A42D9C"/>
    <w:rPr>
      <w:sz w:val="16"/>
      <w:szCs w:val="16"/>
    </w:rPr>
  </w:style>
  <w:style w:type="paragraph" w:styleId="CommentText">
    <w:name w:val="annotation text"/>
    <w:basedOn w:val="Normal"/>
    <w:link w:val="CommentTextChar"/>
    <w:uiPriority w:val="99"/>
    <w:semiHidden/>
    <w:unhideWhenUsed/>
    <w:rsid w:val="00A42D9C"/>
    <w:rPr>
      <w:sz w:val="20"/>
      <w:szCs w:val="20"/>
    </w:rPr>
  </w:style>
  <w:style w:type="character" w:customStyle="1" w:styleId="CommentTextChar">
    <w:name w:val="Comment Text Char"/>
    <w:basedOn w:val="DefaultParagraphFont"/>
    <w:link w:val="CommentText"/>
    <w:uiPriority w:val="99"/>
    <w:semiHidden/>
    <w:rsid w:val="00A42D9C"/>
    <w:rPr>
      <w:sz w:val="20"/>
      <w:szCs w:val="20"/>
    </w:rPr>
  </w:style>
  <w:style w:type="paragraph" w:styleId="CommentSubject">
    <w:name w:val="annotation subject"/>
    <w:basedOn w:val="CommentText"/>
    <w:next w:val="CommentText"/>
    <w:link w:val="CommentSubjectChar"/>
    <w:uiPriority w:val="99"/>
    <w:semiHidden/>
    <w:unhideWhenUsed/>
    <w:rsid w:val="00A42D9C"/>
    <w:rPr>
      <w:b/>
      <w:bCs/>
    </w:rPr>
  </w:style>
  <w:style w:type="character" w:customStyle="1" w:styleId="CommentSubjectChar">
    <w:name w:val="Comment Subject Char"/>
    <w:basedOn w:val="CommentTextChar"/>
    <w:link w:val="CommentSubject"/>
    <w:uiPriority w:val="99"/>
    <w:semiHidden/>
    <w:rsid w:val="00A42D9C"/>
    <w:rPr>
      <w:b/>
      <w:bCs/>
      <w:sz w:val="20"/>
      <w:szCs w:val="20"/>
    </w:rPr>
  </w:style>
  <w:style w:type="paragraph" w:styleId="BalloonText">
    <w:name w:val="Balloon Text"/>
    <w:basedOn w:val="Normal"/>
    <w:link w:val="BalloonTextChar"/>
    <w:uiPriority w:val="99"/>
    <w:semiHidden/>
    <w:unhideWhenUsed/>
    <w:rsid w:val="00A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9C"/>
    <w:rPr>
      <w:rFonts w:ascii="Segoe UI" w:hAnsi="Segoe UI" w:cs="Segoe UI"/>
      <w:sz w:val="18"/>
      <w:szCs w:val="18"/>
    </w:rPr>
  </w:style>
  <w:style w:type="character" w:styleId="Hyperlink">
    <w:name w:val="Hyperlink"/>
    <w:basedOn w:val="DefaultParagraphFont"/>
    <w:uiPriority w:val="99"/>
    <w:unhideWhenUsed/>
    <w:rsid w:val="009D2A79"/>
    <w:rPr>
      <w:color w:val="0563C1" w:themeColor="hyperlink"/>
      <w:u w:val="single"/>
    </w:rPr>
  </w:style>
  <w:style w:type="character" w:customStyle="1" w:styleId="UnresolvedMention">
    <w:name w:val="Unresolved Mention"/>
    <w:basedOn w:val="DefaultParagraphFont"/>
    <w:uiPriority w:val="99"/>
    <w:semiHidden/>
    <w:unhideWhenUsed/>
    <w:rsid w:val="009D2A79"/>
    <w:rPr>
      <w:color w:val="605E5C"/>
      <w:shd w:val="clear" w:color="auto" w:fill="E1DFDD"/>
    </w:rPr>
  </w:style>
  <w:style w:type="paragraph" w:styleId="Footer">
    <w:name w:val="footer"/>
    <w:basedOn w:val="Normal"/>
    <w:link w:val="FooterChar"/>
    <w:uiPriority w:val="99"/>
    <w:unhideWhenUsed/>
    <w:rsid w:val="00036759"/>
    <w:pPr>
      <w:tabs>
        <w:tab w:val="center" w:pos="4513"/>
        <w:tab w:val="right" w:pos="9026"/>
      </w:tabs>
    </w:pPr>
  </w:style>
  <w:style w:type="character" w:customStyle="1" w:styleId="FooterChar">
    <w:name w:val="Footer Char"/>
    <w:basedOn w:val="DefaultParagraphFont"/>
    <w:link w:val="Footer"/>
    <w:uiPriority w:val="99"/>
    <w:rsid w:val="00036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787">
      <w:bodyDiv w:val="1"/>
      <w:marLeft w:val="0"/>
      <w:marRight w:val="0"/>
      <w:marTop w:val="0"/>
      <w:marBottom w:val="0"/>
      <w:divBdr>
        <w:top w:val="none" w:sz="0" w:space="0" w:color="auto"/>
        <w:left w:val="none" w:sz="0" w:space="0" w:color="auto"/>
        <w:bottom w:val="none" w:sz="0" w:space="0" w:color="auto"/>
        <w:right w:val="none" w:sz="0" w:space="0" w:color="auto"/>
      </w:divBdr>
      <w:divsChild>
        <w:div w:id="13660623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4" ma:contentTypeDescription="Create a new document." ma:contentTypeScope="" ma:versionID="ee891530a014f01741d442b687dee4de">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81b9f4c5a49d4a6117bbb0f08255f463"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1C6D-EE8F-4A6F-BFD8-A6BA5E9D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02943-AB24-4EF7-AA7E-941AFD24663F}">
  <ds:schemaRefs>
    <ds:schemaRef ds:uri="http://schemas.microsoft.com/sharepoint/v3/contenttype/forms"/>
  </ds:schemaRefs>
</ds:datastoreItem>
</file>

<file path=customXml/itemProps3.xml><?xml version="1.0" encoding="utf-8"?>
<ds:datastoreItem xmlns:ds="http://schemas.openxmlformats.org/officeDocument/2006/customXml" ds:itemID="{3C8FE01B-652D-46A9-8B49-F6C0D0B506B1}">
  <ds:schemaRefs>
    <ds:schemaRef ds:uri="http://schemas.microsoft.com/office/2006/metadata/properties"/>
    <ds:schemaRef ds:uri="http://schemas.microsoft.com/office/infopath/2007/PartnerControls"/>
    <ds:schemaRef ds:uri="05e083a6-4578-4574-8bc5-422e630d845a"/>
  </ds:schemaRefs>
</ds:datastoreItem>
</file>

<file path=customXml/itemProps4.xml><?xml version="1.0" encoding="utf-8"?>
<ds:datastoreItem xmlns:ds="http://schemas.openxmlformats.org/officeDocument/2006/customXml" ds:itemID="{9AB25F11-7853-40F0-97E4-2C08BF85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Tshwarelo Mabina</cp:lastModifiedBy>
  <cp:revision>2</cp:revision>
  <dcterms:created xsi:type="dcterms:W3CDTF">2024-01-18T06:21:00Z</dcterms:created>
  <dcterms:modified xsi:type="dcterms:W3CDTF">2024-01-18T06:21:00Z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