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9E173" w14:textId="4B3593D3" w:rsidR="00BD5A11" w:rsidRPr="00F415C8" w:rsidRDefault="00BD5A11" w:rsidP="00BD5A11">
      <w:pPr>
        <w:pStyle w:val="LegalTitle"/>
        <w:spacing w:after="0" w:line="360" w:lineRule="auto"/>
        <w:rPr>
          <w:rFonts w:cs="Arial"/>
          <w:b w:val="0"/>
          <w:u w:val="single"/>
        </w:rPr>
      </w:pPr>
      <w:r w:rsidRPr="00F415C8">
        <w:rPr>
          <w:rFonts w:cs="Arial"/>
          <w:b w:val="0"/>
          <w:noProof/>
          <w:lang w:val="en-US" w:eastAsia="en-US"/>
        </w:rPr>
        <w:drawing>
          <wp:inline distT="0" distB="0" distL="0" distR="0" wp14:anchorId="617FF5FF" wp14:editId="2BF2CC34">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379A8AFC" w:rsidR="00BD5A11" w:rsidRPr="00F415C8" w:rsidRDefault="00BD5A11" w:rsidP="00BD5A11">
      <w:pPr>
        <w:pStyle w:val="LegalTitle"/>
        <w:spacing w:after="120" w:line="360" w:lineRule="auto"/>
        <w:rPr>
          <w:rFonts w:cs="Arial"/>
          <w:u w:val="single"/>
        </w:rPr>
      </w:pPr>
      <w:r w:rsidRPr="00F415C8">
        <w:rPr>
          <w:rFonts w:cs="Arial"/>
          <w:u w:val="single"/>
        </w:rPr>
        <w:t>IN THE HIGH COURT OF SOUTH AFRICA</w:t>
      </w:r>
    </w:p>
    <w:p w14:paraId="1DFC4EED" w14:textId="5B5EBBCC" w:rsidR="007B3DB5" w:rsidRPr="00F415C8" w:rsidRDefault="00F85E25" w:rsidP="007B3DB5">
      <w:pPr>
        <w:pStyle w:val="LegalTitle"/>
        <w:spacing w:line="360" w:lineRule="auto"/>
        <w:rPr>
          <w:rFonts w:cs="Arial"/>
          <w:u w:val="single"/>
        </w:rPr>
      </w:pPr>
      <w:r w:rsidRPr="00F415C8">
        <w:rPr>
          <w:rFonts w:cs="Arial"/>
          <w:noProof/>
          <w:lang w:val="en-US" w:eastAsia="en-US"/>
        </w:rPr>
        <mc:AlternateContent>
          <mc:Choice Requires="wps">
            <w:drawing>
              <wp:anchor distT="0" distB="0" distL="114300" distR="114300" simplePos="0" relativeHeight="251659264" behindDoc="0" locked="0" layoutInCell="1" allowOverlap="1" wp14:anchorId="66A2AA98" wp14:editId="4C487966">
                <wp:simplePos x="0" y="0"/>
                <wp:positionH relativeFrom="column">
                  <wp:posOffset>-219075</wp:posOffset>
                </wp:positionH>
                <wp:positionV relativeFrom="paragraph">
                  <wp:posOffset>466725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6DE90140" w:rsidR="00BD5A11" w:rsidRPr="0038792A" w:rsidRDefault="0030453E" w:rsidP="0030453E">
                            <w:pPr>
                              <w:tabs>
                                <w:tab w:val="left" w:pos="900"/>
                              </w:tabs>
                              <w:spacing w:after="0" w:line="240" w:lineRule="auto"/>
                              <w:ind w:left="900" w:hanging="720"/>
                              <w:jc w:val="left"/>
                            </w:pPr>
                            <w:bookmarkStart w:id="0" w:name="_Hlk94082538"/>
                            <w:bookmarkEnd w:id="0"/>
                            <w:r w:rsidRPr="0038792A">
                              <w:t>(1)</w:t>
                            </w:r>
                            <w:r w:rsidRPr="0038792A">
                              <w:tab/>
                            </w:r>
                            <w:r w:rsidR="00BD5A11">
                              <w:t xml:space="preserve">REPORTABLE: </w:t>
                            </w:r>
                            <w:r w:rsidR="00BD5A11" w:rsidRPr="008C535C">
                              <w:rPr>
                                <w:b/>
                                <w:i/>
                              </w:rPr>
                              <w:t>NO</w:t>
                            </w:r>
                          </w:p>
                          <w:p w14:paraId="3C1E348B" w14:textId="55EC864C" w:rsidR="00BD5A11" w:rsidRPr="0038792A" w:rsidRDefault="0030453E" w:rsidP="0030453E">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634E8260" w:rsidR="00BD5A11" w:rsidRPr="0038792A" w:rsidRDefault="0030453E" w:rsidP="0030453E">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19B6FE11" w:rsidR="00BD5A11" w:rsidRDefault="00BD5A11" w:rsidP="00BD5A11">
                            <w:pPr>
                              <w:rPr>
                                <w:sz w:val="28"/>
                                <w:szCs w:val="28"/>
                              </w:rPr>
                            </w:pPr>
                            <w:r w:rsidRPr="00BD5A11">
                              <w:rPr>
                                <w:b/>
                                <w:sz w:val="22"/>
                                <w:szCs w:val="22"/>
                              </w:rPr>
                              <w:t>Date:</w:t>
                            </w:r>
                            <w:r>
                              <w:rPr>
                                <w:sz w:val="22"/>
                                <w:szCs w:val="22"/>
                              </w:rPr>
                              <w:t xml:space="preserve"> </w:t>
                            </w:r>
                            <w:r w:rsidR="00FD553A">
                              <w:rPr>
                                <w:sz w:val="22"/>
                                <w:szCs w:val="22"/>
                              </w:rPr>
                              <w:tab/>
                            </w:r>
                            <w:r w:rsidR="00FD553A">
                              <w:rPr>
                                <w:sz w:val="22"/>
                                <w:szCs w:val="22"/>
                              </w:rPr>
                              <w:tab/>
                            </w:r>
                            <w:r w:rsidR="00FD553A">
                              <w:rPr>
                                <w:sz w:val="22"/>
                                <w:szCs w:val="22"/>
                              </w:rPr>
                              <w:tab/>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7.25pt;margin-top:36.7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">
                <v:textbox>
                  <w:txbxContent>
                    <w:p w14:paraId="1EB2601E" w14:textId="6DE90140" w:rsidR="00BD5A11" w:rsidRPr="0038792A" w:rsidRDefault="0030453E" w:rsidP="0030453E">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r w:rsidR="00BD5A11" w:rsidRPr="008C535C">
                        <w:rPr>
                          <w:b/>
                          <w:i/>
                        </w:rPr>
                        <w:t>NO</w:t>
                      </w:r>
                    </w:p>
                    <w:p w14:paraId="3C1E348B" w14:textId="55EC864C" w:rsidR="00BD5A11" w:rsidRPr="0038792A" w:rsidRDefault="0030453E" w:rsidP="0030453E">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634E8260" w:rsidR="00BD5A11" w:rsidRPr="0038792A" w:rsidRDefault="0030453E" w:rsidP="0030453E">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19B6FE11" w:rsidR="00BD5A11" w:rsidRDefault="00BD5A11" w:rsidP="00BD5A11">
                      <w:pPr>
                        <w:rPr>
                          <w:sz w:val="28"/>
                          <w:szCs w:val="28"/>
                        </w:rPr>
                      </w:pPr>
                      <w:r w:rsidRPr="00BD5A11">
                        <w:rPr>
                          <w:b/>
                          <w:sz w:val="22"/>
                          <w:szCs w:val="22"/>
                        </w:rPr>
                        <w:t>Date:</w:t>
                      </w:r>
                      <w:r>
                        <w:rPr>
                          <w:sz w:val="22"/>
                          <w:szCs w:val="22"/>
                        </w:rPr>
                        <w:t xml:space="preserve"> </w:t>
                      </w:r>
                      <w:r w:rsidR="00FD553A">
                        <w:rPr>
                          <w:sz w:val="22"/>
                          <w:szCs w:val="22"/>
                        </w:rPr>
                        <w:tab/>
                      </w:r>
                      <w:r w:rsidR="00FD553A">
                        <w:rPr>
                          <w:sz w:val="22"/>
                          <w:szCs w:val="22"/>
                        </w:rPr>
                        <w:tab/>
                      </w:r>
                      <w:r w:rsidR="00FD553A">
                        <w:rPr>
                          <w:sz w:val="22"/>
                          <w:szCs w:val="22"/>
                        </w:rPr>
                        <w:tab/>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F415C8">
        <w:rPr>
          <w:rFonts w:cs="Arial"/>
          <w:u w:val="single"/>
        </w:rPr>
        <w:t>GAUTENG LOCAL DIVISION, JOHANNES</w:t>
      </w:r>
      <w:bookmarkStart w:id="2" w:name="_Hlk94081611"/>
      <w:bookmarkEnd w:id="2"/>
      <w:r w:rsidR="007B3DB5" w:rsidRPr="00F415C8">
        <w:rPr>
          <w:rFonts w:cs="Arial"/>
          <w:u w:val="single"/>
        </w:rPr>
        <w:t>burg</w:t>
      </w:r>
    </w:p>
    <w:p w14:paraId="736CAC97" w14:textId="2BF7DBB0" w:rsidR="007B3DB5" w:rsidRPr="00F415C8" w:rsidRDefault="007B3DB5" w:rsidP="007B3DB5">
      <w:pPr>
        <w:spacing w:after="0" w:line="240" w:lineRule="auto"/>
        <w:jc w:val="center"/>
        <w:rPr>
          <w:rFonts w:ascii="Arial" w:hAnsi="Arial" w:cs="Arial"/>
          <w:bCs/>
          <w:sz w:val="24"/>
          <w:szCs w:val="24"/>
        </w:rPr>
      </w:pPr>
    </w:p>
    <w:p w14:paraId="4F798B6A" w14:textId="6B3F82CF" w:rsidR="007B3DB5" w:rsidRPr="00F415C8" w:rsidRDefault="007B3DB5" w:rsidP="00E11733">
      <w:pPr>
        <w:spacing w:after="0"/>
        <w:jc w:val="center"/>
        <w:rPr>
          <w:rFonts w:ascii="Arial" w:hAnsi="Arial" w:cs="Arial"/>
          <w:bCs/>
          <w:sz w:val="24"/>
          <w:szCs w:val="24"/>
        </w:rPr>
      </w:pP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p>
    <w:p w14:paraId="799F4296" w14:textId="5F51BB88" w:rsidR="00F415C8" w:rsidRPr="00F415C8" w:rsidRDefault="009C62C6" w:rsidP="00F85E25">
      <w:pPr>
        <w:spacing w:line="480" w:lineRule="auto"/>
        <w:jc w:val="right"/>
        <w:rPr>
          <w:rFonts w:ascii="Arial" w:hAnsi="Arial" w:cs="Arial"/>
          <w:b/>
          <w:bCs/>
          <w:sz w:val="24"/>
          <w:szCs w:val="24"/>
        </w:rPr>
      </w:pPr>
      <w:r w:rsidRPr="00F415C8">
        <w:rPr>
          <w:rFonts w:ascii="Arial" w:hAnsi="Arial" w:cs="Arial"/>
          <w:b/>
          <w:bCs/>
          <w:sz w:val="24"/>
          <w:szCs w:val="24"/>
        </w:rPr>
        <w:t xml:space="preserve">        </w:t>
      </w:r>
      <w:r w:rsidR="00F415C8" w:rsidRPr="00F415C8">
        <w:rPr>
          <w:rFonts w:ascii="Arial" w:hAnsi="Arial" w:cs="Arial"/>
          <w:b/>
          <w:bCs/>
          <w:sz w:val="24"/>
          <w:szCs w:val="24"/>
        </w:rPr>
        <w:t xml:space="preserve">Case No. </w:t>
      </w:r>
      <w:bookmarkStart w:id="3" w:name="_GoBack"/>
      <w:r w:rsidR="00F415C8" w:rsidRPr="00F415C8">
        <w:rPr>
          <w:rFonts w:ascii="Arial" w:hAnsi="Arial" w:cs="Arial"/>
          <w:b/>
          <w:bCs/>
          <w:sz w:val="24"/>
          <w:szCs w:val="24"/>
        </w:rPr>
        <w:t>24058/2021</w:t>
      </w:r>
      <w:bookmarkEnd w:id="3"/>
    </w:p>
    <w:p w14:paraId="47B7167A" w14:textId="0224DDD4" w:rsidR="00F415C8" w:rsidRDefault="00F415C8" w:rsidP="00F415C8">
      <w:pPr>
        <w:spacing w:after="0"/>
        <w:rPr>
          <w:rFonts w:ascii="Arial" w:hAnsi="Arial" w:cs="Arial"/>
          <w:b/>
          <w:bCs/>
          <w:sz w:val="24"/>
          <w:szCs w:val="24"/>
        </w:rPr>
      </w:pPr>
    </w:p>
    <w:p w14:paraId="6DCA6688" w14:textId="68B6CBD8" w:rsidR="00F415C8" w:rsidRDefault="00F415C8" w:rsidP="00F415C8">
      <w:pPr>
        <w:spacing w:after="0"/>
        <w:rPr>
          <w:rFonts w:ascii="Arial" w:hAnsi="Arial" w:cs="Arial"/>
          <w:b/>
          <w:bCs/>
          <w:sz w:val="24"/>
          <w:szCs w:val="24"/>
        </w:rPr>
      </w:pPr>
      <w:r w:rsidRPr="00F415C8">
        <w:rPr>
          <w:rFonts w:ascii="Arial" w:hAnsi="Arial" w:cs="Arial"/>
          <w:b/>
          <w:bCs/>
          <w:sz w:val="24"/>
          <w:szCs w:val="24"/>
        </w:rPr>
        <w:t>In the matter between:</w:t>
      </w:r>
    </w:p>
    <w:p w14:paraId="2C73920D" w14:textId="77777777" w:rsidR="00F415C8" w:rsidRPr="00F415C8" w:rsidRDefault="00F415C8" w:rsidP="00F415C8">
      <w:pPr>
        <w:spacing w:after="0"/>
        <w:rPr>
          <w:rFonts w:ascii="Arial" w:hAnsi="Arial" w:cs="Arial"/>
          <w:b/>
          <w:bCs/>
          <w:sz w:val="24"/>
          <w:szCs w:val="24"/>
        </w:rPr>
      </w:pPr>
    </w:p>
    <w:p w14:paraId="08CC5AEF" w14:textId="05C8F5B6" w:rsidR="00F415C8" w:rsidRPr="00F415C8" w:rsidRDefault="00F415C8" w:rsidP="00F415C8">
      <w:pPr>
        <w:spacing w:after="240"/>
        <w:rPr>
          <w:rFonts w:ascii="Arial" w:hAnsi="Arial" w:cs="Arial"/>
          <w:b/>
          <w:bCs/>
          <w:sz w:val="24"/>
          <w:szCs w:val="24"/>
        </w:rPr>
      </w:pPr>
      <w:r w:rsidRPr="00F415C8">
        <w:rPr>
          <w:rFonts w:ascii="Arial" w:hAnsi="Arial" w:cs="Arial"/>
          <w:b/>
          <w:bCs/>
          <w:sz w:val="24"/>
          <w:szCs w:val="24"/>
        </w:rPr>
        <w:t>NEDBANK LIMITED</w:t>
      </w:r>
      <w:r w:rsidRPr="00F415C8">
        <w:rPr>
          <w:rFonts w:ascii="Arial" w:hAnsi="Arial" w:cs="Arial"/>
          <w:b/>
          <w:bCs/>
          <w:sz w:val="24"/>
          <w:szCs w:val="24"/>
        </w:rPr>
        <w:tab/>
      </w:r>
      <w:r w:rsidRPr="00F415C8">
        <w:rPr>
          <w:rFonts w:ascii="Arial" w:hAnsi="Arial" w:cs="Arial"/>
          <w:b/>
          <w:bCs/>
          <w:sz w:val="24"/>
          <w:szCs w:val="24"/>
        </w:rPr>
        <w:tab/>
      </w:r>
      <w:r w:rsidRPr="00F415C8">
        <w:rPr>
          <w:rFonts w:ascii="Arial" w:hAnsi="Arial" w:cs="Arial"/>
          <w:b/>
          <w:bCs/>
          <w:sz w:val="24"/>
          <w:szCs w:val="24"/>
        </w:rPr>
        <w:tab/>
      </w:r>
      <w:r w:rsidRPr="00F415C8">
        <w:rPr>
          <w:rFonts w:ascii="Arial" w:hAnsi="Arial" w:cs="Arial"/>
          <w:b/>
          <w:bCs/>
          <w:sz w:val="24"/>
          <w:szCs w:val="24"/>
        </w:rPr>
        <w:tab/>
      </w:r>
      <w:r w:rsidRPr="00F415C8">
        <w:rPr>
          <w:rFonts w:ascii="Arial" w:hAnsi="Arial" w:cs="Arial"/>
          <w:b/>
          <w:bCs/>
          <w:sz w:val="24"/>
          <w:szCs w:val="24"/>
        </w:rPr>
        <w:tab/>
      </w:r>
      <w:r w:rsidRPr="00F415C8">
        <w:rPr>
          <w:rFonts w:ascii="Arial" w:hAnsi="Arial" w:cs="Arial"/>
          <w:b/>
          <w:bCs/>
          <w:sz w:val="24"/>
          <w:szCs w:val="24"/>
        </w:rPr>
        <w:tab/>
        <w:t xml:space="preserve">                </w:t>
      </w:r>
      <w:r>
        <w:rPr>
          <w:rFonts w:ascii="Arial" w:hAnsi="Arial" w:cs="Arial"/>
          <w:b/>
          <w:bCs/>
          <w:sz w:val="24"/>
          <w:szCs w:val="24"/>
        </w:rPr>
        <w:t xml:space="preserve">     </w:t>
      </w:r>
      <w:r w:rsidRPr="00F415C8">
        <w:rPr>
          <w:rFonts w:ascii="Arial" w:hAnsi="Arial" w:cs="Arial"/>
          <w:bCs/>
          <w:sz w:val="24"/>
          <w:szCs w:val="24"/>
        </w:rPr>
        <w:t>Plaintiff</w:t>
      </w:r>
    </w:p>
    <w:p w14:paraId="22C9291D" w14:textId="55E62D92" w:rsidR="00F415C8" w:rsidRPr="00F415C8" w:rsidRDefault="00F415C8" w:rsidP="00F415C8">
      <w:pPr>
        <w:spacing w:after="240"/>
        <w:rPr>
          <w:rFonts w:ascii="Arial" w:hAnsi="Arial" w:cs="Arial"/>
          <w:bCs/>
          <w:sz w:val="24"/>
          <w:szCs w:val="24"/>
        </w:rPr>
      </w:pPr>
      <w:r w:rsidRPr="00F415C8">
        <w:rPr>
          <w:rFonts w:ascii="Arial" w:hAnsi="Arial" w:cs="Arial"/>
          <w:bCs/>
          <w:sz w:val="24"/>
          <w:szCs w:val="24"/>
        </w:rPr>
        <w:t>and</w:t>
      </w:r>
    </w:p>
    <w:p w14:paraId="1A3B1069" w14:textId="14151C7F" w:rsidR="00F415C8" w:rsidRPr="00F415C8" w:rsidRDefault="00F415C8" w:rsidP="00F415C8">
      <w:pPr>
        <w:spacing w:after="240"/>
        <w:rPr>
          <w:rFonts w:ascii="Arial" w:hAnsi="Arial" w:cs="Arial"/>
          <w:bCs/>
          <w:sz w:val="24"/>
          <w:szCs w:val="24"/>
        </w:rPr>
      </w:pPr>
      <w:r w:rsidRPr="00F415C8">
        <w:rPr>
          <w:rFonts w:ascii="Arial" w:hAnsi="Arial" w:cs="Arial"/>
          <w:b/>
          <w:bCs/>
          <w:sz w:val="24"/>
          <w:szCs w:val="24"/>
        </w:rPr>
        <w:t>VIKA INVESTMENTS TRUST</w:t>
      </w:r>
      <w:r w:rsidRPr="00F415C8">
        <w:rPr>
          <w:rFonts w:ascii="Arial" w:hAnsi="Arial" w:cs="Arial"/>
          <w:b/>
          <w:bCs/>
          <w:sz w:val="24"/>
          <w:szCs w:val="24"/>
        </w:rPr>
        <w:tab/>
      </w:r>
      <w:r w:rsidRPr="00F415C8">
        <w:rPr>
          <w:rFonts w:ascii="Arial" w:hAnsi="Arial" w:cs="Arial"/>
          <w:b/>
          <w:bCs/>
          <w:sz w:val="24"/>
          <w:szCs w:val="24"/>
        </w:rPr>
        <w:tab/>
      </w:r>
      <w:r w:rsidRPr="00F415C8">
        <w:rPr>
          <w:rFonts w:ascii="Arial" w:hAnsi="Arial" w:cs="Arial"/>
          <w:b/>
          <w:bCs/>
          <w:sz w:val="24"/>
          <w:szCs w:val="24"/>
        </w:rPr>
        <w:tab/>
      </w:r>
      <w:r w:rsidRPr="00F415C8">
        <w:rPr>
          <w:rFonts w:ascii="Arial" w:hAnsi="Arial" w:cs="Arial"/>
          <w:b/>
          <w:bCs/>
          <w:sz w:val="24"/>
          <w:szCs w:val="24"/>
        </w:rPr>
        <w:tab/>
      </w:r>
      <w:r w:rsidRPr="00F415C8">
        <w:rPr>
          <w:rFonts w:ascii="Arial" w:hAnsi="Arial" w:cs="Arial"/>
          <w:bCs/>
          <w:sz w:val="24"/>
          <w:szCs w:val="24"/>
        </w:rPr>
        <w:t xml:space="preserve">                     </w:t>
      </w:r>
      <w:r>
        <w:rPr>
          <w:rFonts w:ascii="Arial" w:hAnsi="Arial" w:cs="Arial"/>
          <w:bCs/>
          <w:sz w:val="24"/>
          <w:szCs w:val="24"/>
        </w:rPr>
        <w:t xml:space="preserve"> </w:t>
      </w:r>
      <w:r w:rsidRPr="00F415C8">
        <w:rPr>
          <w:rFonts w:ascii="Arial" w:hAnsi="Arial" w:cs="Arial"/>
          <w:bCs/>
          <w:sz w:val="24"/>
          <w:szCs w:val="24"/>
        </w:rPr>
        <w:t>1</w:t>
      </w:r>
      <w:r w:rsidRPr="00F415C8">
        <w:rPr>
          <w:rFonts w:ascii="Arial" w:hAnsi="Arial" w:cs="Arial"/>
          <w:bCs/>
          <w:sz w:val="24"/>
          <w:szCs w:val="24"/>
          <w:vertAlign w:val="superscript"/>
        </w:rPr>
        <w:t>st</w:t>
      </w:r>
      <w:r w:rsidRPr="00F415C8">
        <w:rPr>
          <w:rFonts w:ascii="Arial" w:hAnsi="Arial" w:cs="Arial"/>
          <w:bCs/>
          <w:sz w:val="24"/>
          <w:szCs w:val="24"/>
        </w:rPr>
        <w:t xml:space="preserve"> Defendant</w:t>
      </w:r>
    </w:p>
    <w:p w14:paraId="66F13B92" w14:textId="6C3BA638" w:rsidR="00F415C8" w:rsidRPr="00F415C8" w:rsidRDefault="00F415C8" w:rsidP="00F415C8">
      <w:pPr>
        <w:spacing w:after="240"/>
        <w:rPr>
          <w:rFonts w:ascii="Arial" w:hAnsi="Arial" w:cs="Arial"/>
          <w:bCs/>
          <w:sz w:val="24"/>
          <w:szCs w:val="24"/>
        </w:rPr>
      </w:pPr>
      <w:r w:rsidRPr="00F415C8">
        <w:rPr>
          <w:rFonts w:ascii="Arial" w:hAnsi="Arial" w:cs="Arial"/>
          <w:b/>
          <w:bCs/>
          <w:sz w:val="24"/>
          <w:szCs w:val="24"/>
        </w:rPr>
        <w:t>VILAKAZI, KEKE SYDWELL N.O</w:t>
      </w:r>
      <w:r w:rsidRPr="00F415C8">
        <w:rPr>
          <w:rFonts w:ascii="Arial" w:hAnsi="Arial" w:cs="Arial"/>
          <w:b/>
          <w:bCs/>
          <w:sz w:val="24"/>
          <w:szCs w:val="24"/>
        </w:rPr>
        <w:tab/>
      </w:r>
      <w:r w:rsidRPr="00F415C8">
        <w:rPr>
          <w:rFonts w:ascii="Arial" w:hAnsi="Arial" w:cs="Arial"/>
          <w:bCs/>
          <w:sz w:val="24"/>
          <w:szCs w:val="24"/>
        </w:rPr>
        <w:tab/>
      </w:r>
      <w:r w:rsidRPr="00F415C8">
        <w:rPr>
          <w:rFonts w:ascii="Arial" w:hAnsi="Arial" w:cs="Arial"/>
          <w:bCs/>
          <w:sz w:val="24"/>
          <w:szCs w:val="24"/>
        </w:rPr>
        <w:tab/>
        <w:t xml:space="preserve">                   </w:t>
      </w:r>
      <w:r>
        <w:rPr>
          <w:rFonts w:ascii="Arial" w:hAnsi="Arial" w:cs="Arial"/>
          <w:bCs/>
          <w:sz w:val="24"/>
          <w:szCs w:val="24"/>
        </w:rPr>
        <w:t xml:space="preserve">  </w:t>
      </w:r>
      <w:r w:rsidRPr="00F415C8">
        <w:rPr>
          <w:rFonts w:ascii="Arial" w:hAnsi="Arial" w:cs="Arial"/>
          <w:bCs/>
          <w:sz w:val="24"/>
          <w:szCs w:val="24"/>
        </w:rPr>
        <w:t>2</w:t>
      </w:r>
      <w:r w:rsidRPr="00F415C8">
        <w:rPr>
          <w:rFonts w:ascii="Arial" w:hAnsi="Arial" w:cs="Arial"/>
          <w:bCs/>
          <w:sz w:val="24"/>
          <w:szCs w:val="24"/>
          <w:vertAlign w:val="superscript"/>
        </w:rPr>
        <w:t>nd</w:t>
      </w:r>
      <w:r>
        <w:rPr>
          <w:rFonts w:ascii="Arial" w:hAnsi="Arial" w:cs="Arial"/>
          <w:bCs/>
          <w:sz w:val="24"/>
          <w:szCs w:val="24"/>
        </w:rPr>
        <w:t xml:space="preserve"> </w:t>
      </w:r>
      <w:r w:rsidRPr="00F415C8">
        <w:rPr>
          <w:rFonts w:ascii="Arial" w:hAnsi="Arial" w:cs="Arial"/>
          <w:bCs/>
          <w:sz w:val="24"/>
          <w:szCs w:val="24"/>
        </w:rPr>
        <w:t>Defendant</w:t>
      </w:r>
    </w:p>
    <w:p w14:paraId="4F874F6B" w14:textId="7A3CD7F8" w:rsidR="00F415C8" w:rsidRPr="00F415C8" w:rsidRDefault="00F415C8" w:rsidP="00F415C8">
      <w:pPr>
        <w:spacing w:after="240"/>
        <w:rPr>
          <w:rFonts w:ascii="Arial" w:hAnsi="Arial" w:cs="Arial"/>
          <w:bCs/>
          <w:sz w:val="24"/>
          <w:szCs w:val="24"/>
        </w:rPr>
      </w:pPr>
      <w:r w:rsidRPr="00F415C8">
        <w:rPr>
          <w:rFonts w:ascii="Arial" w:hAnsi="Arial" w:cs="Arial"/>
          <w:b/>
          <w:bCs/>
          <w:sz w:val="24"/>
          <w:szCs w:val="24"/>
        </w:rPr>
        <w:t>VILAKAZI, SAMUEL MOTSAMAI N.O.</w:t>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t xml:space="preserve">                   </w:t>
      </w:r>
      <w:r>
        <w:rPr>
          <w:rFonts w:ascii="Arial" w:hAnsi="Arial" w:cs="Arial"/>
          <w:bCs/>
          <w:sz w:val="24"/>
          <w:szCs w:val="24"/>
        </w:rPr>
        <w:t xml:space="preserve">   </w:t>
      </w:r>
      <w:r w:rsidRPr="00F415C8">
        <w:rPr>
          <w:rFonts w:ascii="Arial" w:hAnsi="Arial" w:cs="Arial"/>
          <w:bCs/>
          <w:sz w:val="24"/>
          <w:szCs w:val="24"/>
        </w:rPr>
        <w:t>3</w:t>
      </w:r>
      <w:r w:rsidRPr="00F415C8">
        <w:rPr>
          <w:rFonts w:ascii="Arial" w:hAnsi="Arial" w:cs="Arial"/>
          <w:bCs/>
          <w:sz w:val="24"/>
          <w:szCs w:val="24"/>
          <w:vertAlign w:val="superscript"/>
        </w:rPr>
        <w:t>rd</w:t>
      </w:r>
      <w:r>
        <w:rPr>
          <w:rFonts w:ascii="Arial" w:hAnsi="Arial" w:cs="Arial"/>
          <w:bCs/>
          <w:sz w:val="24"/>
          <w:szCs w:val="24"/>
        </w:rPr>
        <w:t xml:space="preserve"> </w:t>
      </w:r>
      <w:r w:rsidRPr="00F415C8">
        <w:rPr>
          <w:rFonts w:ascii="Arial" w:hAnsi="Arial" w:cs="Arial"/>
          <w:bCs/>
          <w:sz w:val="24"/>
          <w:szCs w:val="24"/>
        </w:rPr>
        <w:t>Defendant</w:t>
      </w:r>
    </w:p>
    <w:p w14:paraId="14FE8D9F" w14:textId="3B63ADE9" w:rsidR="00F415C8" w:rsidRPr="00F415C8" w:rsidRDefault="00F415C8" w:rsidP="00F415C8">
      <w:pPr>
        <w:spacing w:after="240"/>
        <w:rPr>
          <w:rFonts w:ascii="Arial" w:hAnsi="Arial" w:cs="Arial"/>
          <w:bCs/>
          <w:sz w:val="24"/>
          <w:szCs w:val="24"/>
        </w:rPr>
      </w:pPr>
      <w:r w:rsidRPr="00F415C8">
        <w:rPr>
          <w:rFonts w:ascii="Arial" w:hAnsi="Arial" w:cs="Arial"/>
          <w:b/>
          <w:bCs/>
          <w:sz w:val="24"/>
          <w:szCs w:val="24"/>
        </w:rPr>
        <w:t>VILAKAZI, VUSI N.O</w:t>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t xml:space="preserve">     </w:t>
      </w:r>
      <w:r>
        <w:rPr>
          <w:rFonts w:ascii="Arial" w:hAnsi="Arial" w:cs="Arial"/>
          <w:bCs/>
          <w:sz w:val="24"/>
          <w:szCs w:val="24"/>
        </w:rPr>
        <w:t xml:space="preserve">      </w:t>
      </w:r>
      <w:r w:rsidRPr="00F415C8">
        <w:rPr>
          <w:rFonts w:ascii="Arial" w:hAnsi="Arial" w:cs="Arial"/>
          <w:bCs/>
          <w:sz w:val="24"/>
          <w:szCs w:val="24"/>
        </w:rPr>
        <w:t>4</w:t>
      </w:r>
      <w:r w:rsidRPr="00F415C8">
        <w:rPr>
          <w:rFonts w:ascii="Arial" w:hAnsi="Arial" w:cs="Arial"/>
          <w:bCs/>
          <w:sz w:val="24"/>
          <w:szCs w:val="24"/>
          <w:vertAlign w:val="superscript"/>
        </w:rPr>
        <w:t>th</w:t>
      </w:r>
      <w:r>
        <w:rPr>
          <w:rFonts w:ascii="Arial" w:hAnsi="Arial" w:cs="Arial"/>
          <w:bCs/>
          <w:sz w:val="24"/>
          <w:szCs w:val="24"/>
          <w:vertAlign w:val="superscript"/>
        </w:rPr>
        <w:t xml:space="preserve"> </w:t>
      </w:r>
      <w:r w:rsidRPr="00F415C8">
        <w:rPr>
          <w:rFonts w:ascii="Arial" w:hAnsi="Arial" w:cs="Arial"/>
          <w:bCs/>
          <w:sz w:val="24"/>
          <w:szCs w:val="24"/>
        </w:rPr>
        <w:t>Defendant</w:t>
      </w:r>
    </w:p>
    <w:p w14:paraId="048BC6C3" w14:textId="308E1FB1" w:rsidR="00F415C8" w:rsidRPr="00F415C8" w:rsidRDefault="00F415C8" w:rsidP="00F415C8">
      <w:pPr>
        <w:spacing w:after="240"/>
        <w:rPr>
          <w:rFonts w:ascii="Arial" w:hAnsi="Arial" w:cs="Arial"/>
          <w:bCs/>
          <w:sz w:val="24"/>
          <w:szCs w:val="24"/>
        </w:rPr>
      </w:pPr>
      <w:r w:rsidRPr="00F415C8">
        <w:rPr>
          <w:rFonts w:ascii="Arial" w:hAnsi="Arial" w:cs="Arial"/>
          <w:b/>
          <w:bCs/>
          <w:sz w:val="24"/>
          <w:szCs w:val="24"/>
        </w:rPr>
        <w:t>VILAKAZI, KEKE SYDWELL</w:t>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t xml:space="preserve">                    </w:t>
      </w:r>
      <w:r>
        <w:rPr>
          <w:rFonts w:ascii="Arial" w:hAnsi="Arial" w:cs="Arial"/>
          <w:bCs/>
          <w:sz w:val="24"/>
          <w:szCs w:val="24"/>
        </w:rPr>
        <w:t xml:space="preserve">  </w:t>
      </w:r>
      <w:r w:rsidRPr="00F415C8">
        <w:rPr>
          <w:rFonts w:ascii="Arial" w:hAnsi="Arial" w:cs="Arial"/>
          <w:bCs/>
          <w:sz w:val="24"/>
          <w:szCs w:val="24"/>
        </w:rPr>
        <w:t>5</w:t>
      </w:r>
      <w:r w:rsidRPr="00F415C8">
        <w:rPr>
          <w:rFonts w:ascii="Arial" w:hAnsi="Arial" w:cs="Arial"/>
          <w:bCs/>
          <w:sz w:val="24"/>
          <w:szCs w:val="24"/>
          <w:vertAlign w:val="superscript"/>
        </w:rPr>
        <w:t>th</w:t>
      </w:r>
      <w:r>
        <w:rPr>
          <w:rFonts w:ascii="Arial" w:hAnsi="Arial" w:cs="Arial"/>
          <w:bCs/>
          <w:sz w:val="24"/>
          <w:szCs w:val="24"/>
        </w:rPr>
        <w:t xml:space="preserve"> </w:t>
      </w:r>
      <w:r w:rsidRPr="00F415C8">
        <w:rPr>
          <w:rFonts w:ascii="Arial" w:hAnsi="Arial" w:cs="Arial"/>
          <w:bCs/>
          <w:sz w:val="24"/>
          <w:szCs w:val="24"/>
        </w:rPr>
        <w:t>Defendant</w:t>
      </w:r>
    </w:p>
    <w:p w14:paraId="0154CA96" w14:textId="2AD0878C" w:rsidR="00F415C8" w:rsidRPr="00F415C8" w:rsidRDefault="00F415C8" w:rsidP="00F415C8">
      <w:pPr>
        <w:spacing w:after="240"/>
        <w:rPr>
          <w:rFonts w:ascii="Arial" w:hAnsi="Arial" w:cs="Arial"/>
          <w:bCs/>
          <w:sz w:val="24"/>
          <w:szCs w:val="24"/>
        </w:rPr>
      </w:pPr>
      <w:r w:rsidRPr="00F415C8">
        <w:rPr>
          <w:rFonts w:ascii="Arial" w:hAnsi="Arial" w:cs="Arial"/>
          <w:b/>
          <w:bCs/>
          <w:sz w:val="24"/>
          <w:szCs w:val="24"/>
        </w:rPr>
        <w:t>VILAKAZI, SAMUEL</w:t>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t xml:space="preserve">     </w:t>
      </w:r>
      <w:r>
        <w:rPr>
          <w:rFonts w:ascii="Arial" w:hAnsi="Arial" w:cs="Arial"/>
          <w:bCs/>
          <w:sz w:val="24"/>
          <w:szCs w:val="24"/>
        </w:rPr>
        <w:t xml:space="preserve">      </w:t>
      </w:r>
      <w:r w:rsidRPr="00F415C8">
        <w:rPr>
          <w:rFonts w:ascii="Arial" w:hAnsi="Arial" w:cs="Arial"/>
          <w:bCs/>
          <w:sz w:val="24"/>
          <w:szCs w:val="24"/>
        </w:rPr>
        <w:t>6</w:t>
      </w:r>
      <w:r w:rsidRPr="00F415C8">
        <w:rPr>
          <w:rFonts w:ascii="Arial" w:hAnsi="Arial" w:cs="Arial"/>
          <w:bCs/>
          <w:sz w:val="24"/>
          <w:szCs w:val="24"/>
          <w:vertAlign w:val="superscript"/>
        </w:rPr>
        <w:t>th</w:t>
      </w:r>
      <w:r w:rsidRPr="00F415C8">
        <w:rPr>
          <w:rFonts w:ascii="Arial" w:hAnsi="Arial" w:cs="Arial"/>
          <w:bCs/>
          <w:sz w:val="24"/>
          <w:szCs w:val="24"/>
        </w:rPr>
        <w:t xml:space="preserve"> Defendant</w:t>
      </w:r>
    </w:p>
    <w:p w14:paraId="2CEC8242" w14:textId="14E8A797" w:rsidR="00F415C8" w:rsidRPr="00F415C8" w:rsidRDefault="00F415C8" w:rsidP="00F415C8">
      <w:pPr>
        <w:spacing w:after="240"/>
        <w:rPr>
          <w:rFonts w:ascii="Arial" w:hAnsi="Arial" w:cs="Arial"/>
          <w:bCs/>
          <w:sz w:val="24"/>
          <w:szCs w:val="24"/>
        </w:rPr>
      </w:pPr>
      <w:r w:rsidRPr="00F415C8">
        <w:rPr>
          <w:rFonts w:ascii="Arial" w:hAnsi="Arial" w:cs="Arial"/>
          <w:b/>
          <w:bCs/>
          <w:sz w:val="24"/>
          <w:szCs w:val="24"/>
        </w:rPr>
        <w:t>VILAKAZI, VUSI</w:t>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r>
      <w:r w:rsidRPr="00F415C8">
        <w:rPr>
          <w:rFonts w:ascii="Arial" w:hAnsi="Arial" w:cs="Arial"/>
          <w:bCs/>
          <w:sz w:val="24"/>
          <w:szCs w:val="24"/>
        </w:rPr>
        <w:tab/>
        <w:t xml:space="preserve">                    </w:t>
      </w:r>
      <w:r>
        <w:rPr>
          <w:rFonts w:ascii="Arial" w:hAnsi="Arial" w:cs="Arial"/>
          <w:bCs/>
          <w:sz w:val="24"/>
          <w:szCs w:val="24"/>
        </w:rPr>
        <w:t xml:space="preserve">  </w:t>
      </w:r>
      <w:r w:rsidRPr="00F415C8">
        <w:rPr>
          <w:rFonts w:ascii="Arial" w:hAnsi="Arial" w:cs="Arial"/>
          <w:bCs/>
          <w:sz w:val="24"/>
          <w:szCs w:val="24"/>
        </w:rPr>
        <w:t>7</w:t>
      </w:r>
      <w:r w:rsidRPr="00F415C8">
        <w:rPr>
          <w:rFonts w:ascii="Arial" w:hAnsi="Arial" w:cs="Arial"/>
          <w:bCs/>
          <w:sz w:val="24"/>
          <w:szCs w:val="24"/>
          <w:vertAlign w:val="superscript"/>
        </w:rPr>
        <w:t>th</w:t>
      </w:r>
      <w:r>
        <w:rPr>
          <w:rFonts w:ascii="Arial" w:hAnsi="Arial" w:cs="Arial"/>
          <w:bCs/>
          <w:sz w:val="24"/>
          <w:szCs w:val="24"/>
        </w:rPr>
        <w:t xml:space="preserve"> </w:t>
      </w:r>
      <w:r w:rsidRPr="00F415C8">
        <w:rPr>
          <w:rFonts w:ascii="Arial" w:hAnsi="Arial" w:cs="Arial"/>
          <w:bCs/>
          <w:sz w:val="24"/>
          <w:szCs w:val="24"/>
        </w:rPr>
        <w:t>Defendant</w:t>
      </w:r>
    </w:p>
    <w:p w14:paraId="65F465A2" w14:textId="77777777" w:rsidR="00F415C8" w:rsidRDefault="00F415C8" w:rsidP="00F415C8">
      <w:pPr>
        <w:pBdr>
          <w:top w:val="single" w:sz="12" w:space="1" w:color="auto"/>
          <w:bottom w:val="single" w:sz="12" w:space="1" w:color="auto"/>
        </w:pBdr>
        <w:spacing w:after="0" w:line="240" w:lineRule="auto"/>
        <w:rPr>
          <w:rFonts w:ascii="Arial" w:hAnsi="Arial" w:cs="Arial"/>
          <w:b/>
          <w:bCs/>
          <w:sz w:val="24"/>
          <w:szCs w:val="24"/>
        </w:rPr>
      </w:pPr>
      <w:r w:rsidRPr="00F415C8">
        <w:rPr>
          <w:rFonts w:ascii="Arial" w:hAnsi="Arial" w:cs="Arial"/>
          <w:b/>
          <w:bCs/>
          <w:sz w:val="24"/>
          <w:szCs w:val="24"/>
        </w:rPr>
        <w:tab/>
      </w:r>
      <w:r w:rsidRPr="00F415C8">
        <w:rPr>
          <w:rFonts w:ascii="Arial" w:hAnsi="Arial" w:cs="Arial"/>
          <w:b/>
          <w:bCs/>
          <w:sz w:val="24"/>
          <w:szCs w:val="24"/>
        </w:rPr>
        <w:tab/>
      </w:r>
      <w:r w:rsidRPr="00F415C8">
        <w:rPr>
          <w:rFonts w:ascii="Arial" w:hAnsi="Arial" w:cs="Arial"/>
          <w:b/>
          <w:bCs/>
          <w:sz w:val="24"/>
          <w:szCs w:val="24"/>
        </w:rPr>
        <w:tab/>
      </w:r>
      <w:r w:rsidRPr="00F415C8">
        <w:rPr>
          <w:rFonts w:ascii="Arial" w:hAnsi="Arial" w:cs="Arial"/>
          <w:b/>
          <w:bCs/>
          <w:sz w:val="24"/>
          <w:szCs w:val="24"/>
        </w:rPr>
        <w:tab/>
      </w:r>
    </w:p>
    <w:p w14:paraId="084DE670" w14:textId="0D75C662" w:rsidR="00F415C8" w:rsidRDefault="00F415C8" w:rsidP="00F415C8">
      <w:pPr>
        <w:pBdr>
          <w:top w:val="single" w:sz="12" w:space="1" w:color="auto"/>
          <w:bottom w:val="single" w:sz="12" w:space="1" w:color="auto"/>
        </w:pBdr>
        <w:spacing w:after="0" w:line="240" w:lineRule="auto"/>
        <w:jc w:val="center"/>
        <w:rPr>
          <w:rFonts w:ascii="Arial" w:hAnsi="Arial" w:cs="Arial"/>
          <w:b/>
          <w:bCs/>
          <w:sz w:val="24"/>
          <w:szCs w:val="24"/>
        </w:rPr>
      </w:pPr>
      <w:r w:rsidRPr="00F415C8">
        <w:rPr>
          <w:rFonts w:ascii="Arial" w:hAnsi="Arial" w:cs="Arial"/>
          <w:b/>
          <w:bCs/>
          <w:sz w:val="24"/>
          <w:szCs w:val="24"/>
        </w:rPr>
        <w:t>JUDGMENT</w:t>
      </w:r>
    </w:p>
    <w:p w14:paraId="55CBEBF0" w14:textId="77777777" w:rsidR="00F415C8" w:rsidRPr="00F415C8" w:rsidRDefault="00F415C8" w:rsidP="00F415C8">
      <w:pPr>
        <w:pBdr>
          <w:top w:val="single" w:sz="12" w:space="1" w:color="auto"/>
          <w:bottom w:val="single" w:sz="12" w:space="1" w:color="auto"/>
        </w:pBdr>
        <w:spacing w:after="0" w:line="240" w:lineRule="auto"/>
        <w:rPr>
          <w:rFonts w:ascii="Arial" w:hAnsi="Arial" w:cs="Arial"/>
          <w:b/>
          <w:bCs/>
          <w:sz w:val="24"/>
          <w:szCs w:val="24"/>
        </w:rPr>
      </w:pPr>
    </w:p>
    <w:p w14:paraId="2F8E081B" w14:textId="0B2747B5" w:rsidR="00F415C8" w:rsidRPr="00F415C8" w:rsidRDefault="00F415C8" w:rsidP="00F415C8">
      <w:pPr>
        <w:spacing w:line="480" w:lineRule="auto"/>
        <w:rPr>
          <w:rFonts w:ascii="Arial" w:hAnsi="Arial" w:cs="Arial"/>
          <w:b/>
          <w:bCs/>
          <w:sz w:val="24"/>
          <w:szCs w:val="24"/>
        </w:rPr>
      </w:pPr>
      <w:r w:rsidRPr="00F415C8">
        <w:rPr>
          <w:rFonts w:ascii="Arial" w:hAnsi="Arial" w:cs="Arial"/>
          <w:b/>
          <w:bCs/>
          <w:sz w:val="24"/>
          <w:szCs w:val="24"/>
        </w:rPr>
        <w:lastRenderedPageBreak/>
        <w:t>MAHOMED, AJ</w:t>
      </w:r>
    </w:p>
    <w:p w14:paraId="76D9B27C" w14:textId="77777777" w:rsidR="00F415C8" w:rsidRPr="00F415C8" w:rsidRDefault="00F415C8" w:rsidP="00F415C8">
      <w:pPr>
        <w:pStyle w:val="Heading1"/>
      </w:pPr>
      <w:r w:rsidRPr="00F415C8">
        <w:t>INTRODUCTION</w:t>
      </w:r>
    </w:p>
    <w:p w14:paraId="18A129DC" w14:textId="6BACE809" w:rsidR="00F415C8" w:rsidRPr="00F415C8" w:rsidRDefault="0030453E" w:rsidP="0030453E">
      <w:pPr>
        <w:pStyle w:val="ListLevel1"/>
        <w:numPr>
          <w:ilvl w:val="0"/>
          <w:numId w:val="0"/>
        </w:numPr>
        <w:tabs>
          <w:tab w:val="left" w:pos="851"/>
        </w:tabs>
        <w:ind w:left="851" w:hanging="851"/>
      </w:pPr>
      <w:r w:rsidRPr="00F415C8">
        <w:t>1.</w:t>
      </w:r>
      <w:r w:rsidRPr="00F415C8">
        <w:tab/>
      </w:r>
      <w:r w:rsidR="00F415C8" w:rsidRPr="00F415C8">
        <w:t>This is an application, for summary judgment and for an order declaring property executable.  On 31 May 2007, the applicant advanced a loan to the first defendant, a trust.  The trust purchased property which it mortgaged as security for the loan.  The 2</w:t>
      </w:r>
      <w:r w:rsidR="00F415C8" w:rsidRPr="00903025">
        <w:rPr>
          <w:vertAlign w:val="superscript"/>
        </w:rPr>
        <w:t>nd</w:t>
      </w:r>
      <w:r w:rsidR="00F415C8" w:rsidRPr="00F415C8">
        <w:t>, 3</w:t>
      </w:r>
      <w:r w:rsidR="00F415C8" w:rsidRPr="00903025">
        <w:rPr>
          <w:vertAlign w:val="superscript"/>
        </w:rPr>
        <w:t>rd</w:t>
      </w:r>
      <w:r w:rsidR="00F415C8" w:rsidRPr="00F415C8">
        <w:t>, 5</w:t>
      </w:r>
      <w:proofErr w:type="gramStart"/>
      <w:r w:rsidR="008F5A94" w:rsidRPr="008F5A94">
        <w:rPr>
          <w:vertAlign w:val="superscript"/>
        </w:rPr>
        <w:t>th</w:t>
      </w:r>
      <w:r w:rsidR="008F5A94">
        <w:t xml:space="preserve"> </w:t>
      </w:r>
      <w:r w:rsidR="00F415C8" w:rsidRPr="00F415C8">
        <w:t>,</w:t>
      </w:r>
      <w:proofErr w:type="gramEnd"/>
      <w:r w:rsidR="00F415C8" w:rsidRPr="00F415C8">
        <w:t xml:space="preserve"> and 6</w:t>
      </w:r>
      <w:r w:rsidR="00F415C8" w:rsidRPr="00F415C8">
        <w:rPr>
          <w:vertAlign w:val="superscript"/>
        </w:rPr>
        <w:t>th</w:t>
      </w:r>
      <w:r w:rsidR="00F415C8" w:rsidRPr="00F415C8">
        <w:t xml:space="preserve"> defendants are cited as trustees and defendants 4 and 7 are cited in their capacity as sureties and co-principal debtors for the trust.  The trust breached the agreement when it failed to repay the loan and is in arrears for 34 months at the date of hearing this application.  In August 2018, the parties entered into a Debt Restructure Agreement when the repayment terms were reviewed and changed, however the first defendant has defaulted on this new arrangement.  </w:t>
      </w:r>
    </w:p>
    <w:p w14:paraId="79CFA0E1" w14:textId="78387B35" w:rsidR="00F415C8" w:rsidRPr="00F415C8" w:rsidRDefault="008F5A94" w:rsidP="00F415C8">
      <w:pPr>
        <w:pStyle w:val="Heading1"/>
      </w:pPr>
      <w:r>
        <w:t xml:space="preserve">The </w:t>
      </w:r>
      <w:r w:rsidR="00F415C8" w:rsidRPr="00F415C8">
        <w:t xml:space="preserve">Defence </w:t>
      </w:r>
    </w:p>
    <w:p w14:paraId="2D5BCE47" w14:textId="5120A027" w:rsidR="00F415C8" w:rsidRPr="00F415C8" w:rsidRDefault="0030453E" w:rsidP="0030453E">
      <w:pPr>
        <w:pStyle w:val="ListLevel1"/>
        <w:numPr>
          <w:ilvl w:val="0"/>
          <w:numId w:val="0"/>
        </w:numPr>
        <w:tabs>
          <w:tab w:val="left" w:pos="851"/>
        </w:tabs>
        <w:ind w:left="851" w:hanging="851"/>
      </w:pPr>
      <w:r w:rsidRPr="00F415C8">
        <w:t>2.</w:t>
      </w:r>
      <w:r w:rsidRPr="00F415C8">
        <w:tab/>
      </w:r>
      <w:r w:rsidR="00F415C8" w:rsidRPr="00F415C8">
        <w:t>The defendants filed a plea</w:t>
      </w:r>
      <w:r w:rsidR="00F415C8" w:rsidRPr="00F415C8">
        <w:rPr>
          <w:rStyle w:val="FootnoteReference"/>
          <w:rFonts w:cs="Arial"/>
          <w:szCs w:val="24"/>
        </w:rPr>
        <w:footnoteReference w:id="1"/>
      </w:r>
      <w:r w:rsidR="00F415C8" w:rsidRPr="00F415C8">
        <w:t xml:space="preserve"> however only the 5</w:t>
      </w:r>
      <w:r w:rsidR="00F415C8" w:rsidRPr="00F415C8">
        <w:rPr>
          <w:vertAlign w:val="superscript"/>
        </w:rPr>
        <w:t>th</w:t>
      </w:r>
      <w:r w:rsidR="00F415C8" w:rsidRPr="00F415C8">
        <w:t xml:space="preserve"> respondent filed an affidavit resisting summary judgment</w:t>
      </w:r>
      <w:r w:rsidR="00F415C8" w:rsidRPr="00F415C8">
        <w:rPr>
          <w:rStyle w:val="FootnoteReference"/>
          <w:rFonts w:cs="Arial"/>
          <w:szCs w:val="24"/>
        </w:rPr>
        <w:footnoteReference w:id="2"/>
      </w:r>
      <w:r w:rsidR="00F415C8" w:rsidRPr="00F415C8">
        <w:t xml:space="preserve"> and no confirmatory affidavits were filed on behalf of the 6</w:t>
      </w:r>
      <w:r w:rsidR="00F415C8" w:rsidRPr="00F415C8">
        <w:rPr>
          <w:vertAlign w:val="superscript"/>
        </w:rPr>
        <w:t>th</w:t>
      </w:r>
      <w:r w:rsidR="00F415C8" w:rsidRPr="00F415C8">
        <w:t xml:space="preserve"> and 7</w:t>
      </w:r>
      <w:r w:rsidR="00F415C8" w:rsidRPr="00F415C8">
        <w:rPr>
          <w:vertAlign w:val="superscript"/>
        </w:rPr>
        <w:t>th</w:t>
      </w:r>
      <w:r w:rsidR="00F415C8" w:rsidRPr="00F415C8">
        <w:t xml:space="preserve"> defendants as sureties.  The trust with </w:t>
      </w:r>
      <w:r w:rsidR="00F415C8" w:rsidRPr="00F415C8">
        <w:lastRenderedPageBreak/>
        <w:t xml:space="preserve">whom the loan agreement was concluded (“the principal agreement”) has not opposed the application for summary judgment. </w:t>
      </w:r>
    </w:p>
    <w:p w14:paraId="36053B0E" w14:textId="6A7622C4" w:rsidR="00F415C8" w:rsidRPr="00F415C8" w:rsidRDefault="0030453E" w:rsidP="0030453E">
      <w:pPr>
        <w:pStyle w:val="ListLevel1"/>
        <w:numPr>
          <w:ilvl w:val="0"/>
          <w:numId w:val="0"/>
        </w:numPr>
        <w:tabs>
          <w:tab w:val="left" w:pos="851"/>
        </w:tabs>
        <w:ind w:left="851" w:hanging="851"/>
      </w:pPr>
      <w:r w:rsidRPr="00F415C8">
        <w:t>3.</w:t>
      </w:r>
      <w:r w:rsidRPr="00F415C8">
        <w:tab/>
      </w:r>
      <w:r w:rsidR="00F415C8" w:rsidRPr="00F415C8">
        <w:t xml:space="preserve">Advocate </w:t>
      </w:r>
      <w:proofErr w:type="spellStart"/>
      <w:r w:rsidR="00F415C8" w:rsidRPr="00F415C8">
        <w:t>Oschman</w:t>
      </w:r>
      <w:proofErr w:type="spellEnd"/>
      <w:r w:rsidR="00F415C8" w:rsidRPr="00F415C8">
        <w:t xml:space="preserve"> appeared for the applicant and submitted that given that the Trust, the principal debtor, has not opposed the application, the applicant/plaintiff is entitled to judgment.   The defendants do not raise a genuine defence in the plea and the 5</w:t>
      </w:r>
      <w:r w:rsidR="00F415C8" w:rsidRPr="00F415C8">
        <w:rPr>
          <w:vertAlign w:val="superscript"/>
        </w:rPr>
        <w:t>th</w:t>
      </w:r>
      <w:r w:rsidR="00F415C8" w:rsidRPr="00F415C8">
        <w:t xml:space="preserve"> respondent does not raise a genuine defence or a triable issue in his opposing affidavit.  Counsel submitted that the defence is raised simply to further delay the finalisation of the matter.   </w:t>
      </w:r>
    </w:p>
    <w:p w14:paraId="01B769F2" w14:textId="558BACEF" w:rsidR="00F415C8" w:rsidRPr="00F415C8" w:rsidRDefault="0030453E" w:rsidP="0030453E">
      <w:pPr>
        <w:pStyle w:val="ListLevel1"/>
        <w:numPr>
          <w:ilvl w:val="0"/>
          <w:numId w:val="0"/>
        </w:numPr>
        <w:tabs>
          <w:tab w:val="left" w:pos="851"/>
        </w:tabs>
        <w:ind w:left="851" w:hanging="851"/>
      </w:pPr>
      <w:r w:rsidRPr="00F415C8">
        <w:t>4.</w:t>
      </w:r>
      <w:r w:rsidRPr="00F415C8">
        <w:tab/>
      </w:r>
      <w:r w:rsidR="00F415C8" w:rsidRPr="00F415C8">
        <w:t>Paragraph 2.2 of the plea provides:</w:t>
      </w:r>
    </w:p>
    <w:p w14:paraId="746824EE" w14:textId="77777777" w:rsidR="00F415C8" w:rsidRPr="00F415C8" w:rsidRDefault="00F415C8" w:rsidP="00F415C8">
      <w:pPr>
        <w:pStyle w:val="MSQuote"/>
      </w:pPr>
      <w:r w:rsidRPr="00F415C8">
        <w:t>“Compliance with the National Credit Act with Fifth, Sixth and Seventh Defendant’s as sureties were a requirement.”</w:t>
      </w:r>
    </w:p>
    <w:p w14:paraId="5A5DAB42" w14:textId="1C0A632E" w:rsidR="00F415C8" w:rsidRPr="00F415C8" w:rsidRDefault="0030453E" w:rsidP="0030453E">
      <w:pPr>
        <w:pStyle w:val="ListLevel1"/>
        <w:numPr>
          <w:ilvl w:val="0"/>
          <w:numId w:val="0"/>
        </w:numPr>
        <w:tabs>
          <w:tab w:val="left" w:pos="851"/>
        </w:tabs>
        <w:ind w:left="851" w:hanging="851"/>
      </w:pPr>
      <w:r w:rsidRPr="00F415C8">
        <w:t>5.</w:t>
      </w:r>
      <w:r w:rsidRPr="00F415C8">
        <w:tab/>
      </w:r>
      <w:r w:rsidR="00F415C8" w:rsidRPr="00F415C8">
        <w:t xml:space="preserve">Paragraph </w:t>
      </w:r>
      <w:proofErr w:type="gramStart"/>
      <w:r w:rsidR="00F415C8" w:rsidRPr="00F415C8">
        <w:t>3.2  to</w:t>
      </w:r>
      <w:proofErr w:type="gramEnd"/>
      <w:r w:rsidR="00F415C8" w:rsidRPr="00F415C8">
        <w:t xml:space="preserve"> 3.4 of the plea provides:</w:t>
      </w:r>
    </w:p>
    <w:p w14:paraId="567FEA00" w14:textId="4C0F1524" w:rsidR="00F415C8" w:rsidRPr="00F415C8" w:rsidRDefault="00F415C8" w:rsidP="00F415C8">
      <w:pPr>
        <w:pStyle w:val="MSQuote"/>
        <w:ind w:left="2438" w:hanging="567"/>
      </w:pPr>
      <w:r w:rsidRPr="00F415C8">
        <w:t>“3.2</w:t>
      </w:r>
      <w:r>
        <w:tab/>
      </w:r>
      <w:r w:rsidRPr="00F415C8">
        <w:t>the aforesaid property is a primary resident (sic) of the fifth sixth and seventh defendant.  If the property is declared executable the Defendants family will be rendered homeless thus violating their constitutional rights to shelter and dignity.</w:t>
      </w:r>
    </w:p>
    <w:p w14:paraId="0440F8D7" w14:textId="77777777" w:rsidR="00F415C8" w:rsidRPr="00F415C8" w:rsidRDefault="00F415C8" w:rsidP="00F415C8">
      <w:pPr>
        <w:pStyle w:val="MSQuote"/>
        <w:ind w:left="2438" w:hanging="567"/>
      </w:pPr>
      <w:r w:rsidRPr="00F415C8">
        <w:t>3.2</w:t>
      </w:r>
      <w:r w:rsidRPr="00F415C8">
        <w:tab/>
        <w:t>“it would be unjustifiable to order execution on the immovable property as the advantage to the plaintiff would be (sic) far outweigh the hardship caused to the defendants.</w:t>
      </w:r>
    </w:p>
    <w:p w14:paraId="4B9706BA" w14:textId="77777777" w:rsidR="00F415C8" w:rsidRPr="00F415C8" w:rsidRDefault="00F415C8" w:rsidP="00F415C8">
      <w:pPr>
        <w:pStyle w:val="MSQuote"/>
        <w:ind w:left="2438" w:hanging="567"/>
      </w:pPr>
      <w:r w:rsidRPr="00F415C8">
        <w:t>3.4</w:t>
      </w:r>
      <w:r w:rsidRPr="00F415C8">
        <w:tab/>
        <w:t xml:space="preserve">they(sic) are two minor children residing in the aforesaid property and attending school in the same </w:t>
      </w:r>
      <w:proofErr w:type="gramStart"/>
      <w:r w:rsidRPr="00F415C8">
        <w:t>area,  The</w:t>
      </w:r>
      <w:proofErr w:type="gramEnd"/>
      <w:r w:rsidRPr="00F415C8">
        <w:t xml:space="preserve"> defendants have been paying since the lockdown </w:t>
      </w:r>
      <w:r w:rsidRPr="00F415C8">
        <w:lastRenderedPageBreak/>
        <w:t>regulations were uplifted”</w:t>
      </w:r>
    </w:p>
    <w:p w14:paraId="7BE9F75E" w14:textId="69AFE5A9" w:rsidR="00F415C8" w:rsidRPr="00F415C8" w:rsidRDefault="0030453E" w:rsidP="0030453E">
      <w:pPr>
        <w:pStyle w:val="ListLevel1"/>
        <w:numPr>
          <w:ilvl w:val="0"/>
          <w:numId w:val="0"/>
        </w:numPr>
        <w:tabs>
          <w:tab w:val="left" w:pos="851"/>
        </w:tabs>
        <w:ind w:left="851" w:hanging="851"/>
      </w:pPr>
      <w:r w:rsidRPr="00F415C8">
        <w:t>6.</w:t>
      </w:r>
      <w:r w:rsidRPr="00F415C8">
        <w:tab/>
      </w:r>
      <w:r w:rsidR="00F415C8" w:rsidRPr="00F415C8">
        <w:t>Counsel argued that the opposing affidavit presents a case for only the surety, not the principal debtor.</w:t>
      </w:r>
    </w:p>
    <w:p w14:paraId="59C3BD45" w14:textId="067C4D58" w:rsidR="00F415C8" w:rsidRPr="00F415C8" w:rsidRDefault="0030453E" w:rsidP="0030453E">
      <w:pPr>
        <w:pStyle w:val="ListLevel1"/>
        <w:numPr>
          <w:ilvl w:val="0"/>
          <w:numId w:val="0"/>
        </w:numPr>
        <w:tabs>
          <w:tab w:val="left" w:pos="851"/>
        </w:tabs>
        <w:ind w:left="851" w:hanging="851"/>
      </w:pPr>
      <w:r w:rsidRPr="00F415C8">
        <w:t>7.</w:t>
      </w:r>
      <w:r w:rsidRPr="00F415C8">
        <w:tab/>
      </w:r>
      <w:r w:rsidR="00F415C8" w:rsidRPr="00F415C8">
        <w:t>The plea does not set out which sections of the National Credit Act, 34 of 2005 (“the Act”) was not complied with.  It was further submitted that the Act does not apply,</w:t>
      </w:r>
      <w:r w:rsidR="00F415C8" w:rsidRPr="00F415C8">
        <w:rPr>
          <w:rStyle w:val="FootnoteReference"/>
          <w:rFonts w:cs="Arial"/>
          <w:szCs w:val="24"/>
        </w:rPr>
        <w:footnoteReference w:id="3"/>
      </w:r>
      <w:r w:rsidR="00F415C8" w:rsidRPr="00F415C8">
        <w:t xml:space="preserve"> as the Trust is defined in the Act as a juristic entity and </w:t>
      </w:r>
      <w:r w:rsidR="008F5A94">
        <w:t xml:space="preserve">does not enjoy rights as </w:t>
      </w:r>
      <w:r w:rsidR="00F415C8" w:rsidRPr="00F415C8">
        <w:t>a consumer, as set out in the particulars of claim.  Therefore, the defendants as surety, do not enjoy any protections in their capacity as sureties, the loan agreement was concluded with the 1</w:t>
      </w:r>
      <w:r w:rsidR="00F415C8" w:rsidRPr="00F415C8">
        <w:rPr>
          <w:vertAlign w:val="superscript"/>
        </w:rPr>
        <w:t>st</w:t>
      </w:r>
      <w:r w:rsidR="00F415C8" w:rsidRPr="00F415C8">
        <w:t xml:space="preserve"> defendant, the trust, the sureties exist through the trust, which is the principal debtor.  They do not exist in terms of any separate agreement with the plaintiff, they are bound only, to pay the principal debt when the principal debtor fails to pay.    </w:t>
      </w:r>
    </w:p>
    <w:p w14:paraId="4540DE1A" w14:textId="69E16212" w:rsidR="00F415C8" w:rsidRPr="00F415C8" w:rsidRDefault="0030453E" w:rsidP="0030453E">
      <w:pPr>
        <w:pStyle w:val="ListLevel1"/>
        <w:numPr>
          <w:ilvl w:val="0"/>
          <w:numId w:val="0"/>
        </w:numPr>
        <w:tabs>
          <w:tab w:val="left" w:pos="851"/>
        </w:tabs>
        <w:ind w:left="851" w:hanging="851"/>
      </w:pPr>
      <w:r w:rsidRPr="00F415C8">
        <w:t>8.</w:t>
      </w:r>
      <w:r w:rsidRPr="00F415C8">
        <w:tab/>
      </w:r>
      <w:r w:rsidR="00F415C8" w:rsidRPr="00F415C8">
        <w:t>Counsel referred to section 4(2) (</w:t>
      </w:r>
      <w:proofErr w:type="gramStart"/>
      <w:r w:rsidR="00F415C8" w:rsidRPr="00F415C8">
        <w:t>c )</w:t>
      </w:r>
      <w:proofErr w:type="gramEnd"/>
      <w:r w:rsidR="00F415C8" w:rsidRPr="00F415C8">
        <w:t xml:space="preserve"> of the Act read with section 8(5) and submitted that the Act does not apply to the credit guarantee, </w:t>
      </w:r>
      <w:r w:rsidR="008F5A94">
        <w:t>as was concluded</w:t>
      </w:r>
      <w:r w:rsidR="00F415C8" w:rsidRPr="00F415C8">
        <w:t xml:space="preserve">.  It was further argued that the fifth defendant failed to provide sufficient reasons why the property should not be declared executable.  The opposing affidavit simply states that the property is a primary residence and there are minor children living on the property who attend a school in the area.  There is not enough information before the court to </w:t>
      </w:r>
      <w:r w:rsidR="00F415C8" w:rsidRPr="00F415C8">
        <w:lastRenderedPageBreak/>
        <w:t>exercise any judicial oversight, as was argued on behalf of the 5</w:t>
      </w:r>
      <w:r w:rsidR="00F415C8" w:rsidRPr="00F415C8">
        <w:rPr>
          <w:vertAlign w:val="superscript"/>
        </w:rPr>
        <w:t>th</w:t>
      </w:r>
      <w:r w:rsidR="00F415C8" w:rsidRPr="00F415C8">
        <w:t xml:space="preserve"> respondent.  </w:t>
      </w:r>
    </w:p>
    <w:p w14:paraId="649563B5" w14:textId="2DE94AA5" w:rsidR="00F415C8" w:rsidRPr="00F415C8" w:rsidRDefault="0030453E" w:rsidP="0030453E">
      <w:pPr>
        <w:pStyle w:val="ListLevel1"/>
        <w:numPr>
          <w:ilvl w:val="0"/>
          <w:numId w:val="0"/>
        </w:numPr>
        <w:tabs>
          <w:tab w:val="left" w:pos="851"/>
        </w:tabs>
        <w:ind w:left="851" w:hanging="851"/>
      </w:pPr>
      <w:r w:rsidRPr="00F415C8">
        <w:t>9.</w:t>
      </w:r>
      <w:r w:rsidRPr="00F415C8">
        <w:tab/>
      </w:r>
      <w:r w:rsidR="00F415C8" w:rsidRPr="00F415C8">
        <w:t xml:space="preserve">Ms </w:t>
      </w:r>
      <w:proofErr w:type="spellStart"/>
      <w:r w:rsidR="00F415C8" w:rsidRPr="00F415C8">
        <w:t>Oschman</w:t>
      </w:r>
      <w:proofErr w:type="spellEnd"/>
      <w:r w:rsidR="00F415C8" w:rsidRPr="00F415C8">
        <w:t xml:space="preserve"> submitted that declaring property executable is not an eviction.  The Constitution</w:t>
      </w:r>
      <w:r w:rsidR="00F415C8" w:rsidRPr="00F415C8">
        <w:rPr>
          <w:rStyle w:val="FootnoteReference"/>
          <w:rFonts w:cs="Arial"/>
          <w:szCs w:val="24"/>
        </w:rPr>
        <w:footnoteReference w:id="4"/>
      </w:r>
      <w:r w:rsidR="00F415C8" w:rsidRPr="00F415C8">
        <w:t>, provides for evictions only by an order of court and the relief sought does not include an eviction of the respondents.  The fifth respondent can choose to conclude a lease agreement with any new purchaser of the property.  It was argued that the order for execution is necessary as it is the only means by which the plaintiff can recover its monies. Counsel argued there are no triable issues raised and the opposition is filed purely to delay the and plaintiff’s claim, the trust has not even been able to pay the renegotiated repayment plan.</w:t>
      </w:r>
    </w:p>
    <w:p w14:paraId="521F15E8" w14:textId="222CDB64" w:rsidR="00F415C8" w:rsidRPr="00F415C8" w:rsidRDefault="0030453E" w:rsidP="0030453E">
      <w:pPr>
        <w:pStyle w:val="ListLevel1"/>
        <w:numPr>
          <w:ilvl w:val="0"/>
          <w:numId w:val="0"/>
        </w:numPr>
        <w:tabs>
          <w:tab w:val="left" w:pos="851"/>
        </w:tabs>
        <w:ind w:left="851" w:hanging="851"/>
      </w:pPr>
      <w:r w:rsidRPr="00F415C8">
        <w:t>10.</w:t>
      </w:r>
      <w:r w:rsidRPr="00F415C8">
        <w:tab/>
      </w:r>
      <w:r w:rsidR="00F415C8" w:rsidRPr="00F415C8">
        <w:t xml:space="preserve">Mr </w:t>
      </w:r>
      <w:proofErr w:type="spellStart"/>
      <w:r w:rsidR="00F415C8" w:rsidRPr="00F415C8">
        <w:t>Nxumalo</w:t>
      </w:r>
      <w:proofErr w:type="spellEnd"/>
      <w:r w:rsidR="00F415C8" w:rsidRPr="00F415C8">
        <w:t xml:space="preserve"> for the respondent, submitted that the Act is applicable since the sureties are also “co-principal debtors” and as such they are entitled to the protections and defences available to consumers, in the Act.  </w:t>
      </w:r>
    </w:p>
    <w:p w14:paraId="0D98487D" w14:textId="5FC1A03B" w:rsidR="00F415C8" w:rsidRPr="00F415C8" w:rsidRDefault="0030453E" w:rsidP="0030453E">
      <w:pPr>
        <w:pStyle w:val="ListLevel1"/>
        <w:numPr>
          <w:ilvl w:val="0"/>
          <w:numId w:val="0"/>
        </w:numPr>
        <w:tabs>
          <w:tab w:val="left" w:pos="851"/>
        </w:tabs>
        <w:ind w:left="851" w:hanging="851"/>
      </w:pPr>
      <w:r w:rsidRPr="00F415C8">
        <w:t>11.</w:t>
      </w:r>
      <w:r w:rsidRPr="00F415C8">
        <w:tab/>
      </w:r>
      <w:r w:rsidR="00F415C8" w:rsidRPr="00F415C8">
        <w:t>It was submitted that this court has only to “identify” if the Act “</w:t>
      </w:r>
      <w:r w:rsidR="00F415C8" w:rsidRPr="00F415C8">
        <w:rPr>
          <w:i/>
          <w:iCs/>
        </w:rPr>
        <w:t xml:space="preserve">might” </w:t>
      </w:r>
      <w:r w:rsidR="00F415C8" w:rsidRPr="00F415C8">
        <w:t xml:space="preserve">find application and if there is even a possibility, this court is obliged to refer the matter to a trial court which will have more time to consider all the facts.  Mr </w:t>
      </w:r>
      <w:proofErr w:type="spellStart"/>
      <w:r w:rsidR="00F415C8" w:rsidRPr="00F415C8">
        <w:t>Nxumalo</w:t>
      </w:r>
      <w:proofErr w:type="spellEnd"/>
      <w:r w:rsidR="00F415C8" w:rsidRPr="00F415C8">
        <w:t xml:space="preserve"> submitted that the respondents need not at this stage refer to the sections of the Act that might apply.</w:t>
      </w:r>
    </w:p>
    <w:p w14:paraId="2621A9C5" w14:textId="1E23D57B" w:rsidR="00F415C8" w:rsidRPr="00F415C8" w:rsidRDefault="0030453E" w:rsidP="0030453E">
      <w:pPr>
        <w:pStyle w:val="ListLevel1"/>
        <w:numPr>
          <w:ilvl w:val="0"/>
          <w:numId w:val="0"/>
        </w:numPr>
        <w:tabs>
          <w:tab w:val="left" w:pos="851"/>
        </w:tabs>
        <w:ind w:left="851" w:hanging="851"/>
      </w:pPr>
      <w:r w:rsidRPr="00F415C8">
        <w:lastRenderedPageBreak/>
        <w:t>12.</w:t>
      </w:r>
      <w:r w:rsidRPr="00F415C8">
        <w:tab/>
      </w:r>
      <w:r w:rsidR="00F415C8" w:rsidRPr="00F415C8">
        <w:t xml:space="preserve">It was further submitted that as “co-principal debtors” the sureties would be entitled to raise the defence of “reckless credit” in terms of the Act.  Mr </w:t>
      </w:r>
      <w:proofErr w:type="spellStart"/>
      <w:r w:rsidR="00F415C8" w:rsidRPr="00F415C8">
        <w:t>Nxumalo</w:t>
      </w:r>
      <w:proofErr w:type="spellEnd"/>
      <w:r w:rsidR="00F415C8" w:rsidRPr="00F415C8">
        <w:t xml:space="preserve"> referred the court to section 3 of the Act and argued that the court cannot overlook the purpose of the Act, </w:t>
      </w:r>
      <w:r w:rsidR="008F5A94">
        <w:t xml:space="preserve">and called on the court to exercise </w:t>
      </w:r>
      <w:r w:rsidR="00F415C8" w:rsidRPr="00F415C8">
        <w:t xml:space="preserve">oversight regarding the position of the sureties in </w:t>
      </w:r>
      <w:proofErr w:type="spellStart"/>
      <w:r w:rsidR="00F415C8" w:rsidRPr="00F415C8">
        <w:t>casu</w:t>
      </w:r>
      <w:proofErr w:type="spellEnd"/>
      <w:r w:rsidR="00F415C8" w:rsidRPr="00F415C8">
        <w:t>.</w:t>
      </w:r>
    </w:p>
    <w:p w14:paraId="747AB38B" w14:textId="70C05904" w:rsidR="00F415C8" w:rsidRPr="00F415C8" w:rsidRDefault="0030453E" w:rsidP="0030453E">
      <w:pPr>
        <w:pStyle w:val="ListLevel1"/>
        <w:numPr>
          <w:ilvl w:val="0"/>
          <w:numId w:val="0"/>
        </w:numPr>
        <w:tabs>
          <w:tab w:val="left" w:pos="851"/>
        </w:tabs>
        <w:ind w:left="851" w:hanging="851"/>
      </w:pPr>
      <w:r w:rsidRPr="00F415C8">
        <w:t>13.</w:t>
      </w:r>
      <w:r w:rsidRPr="00F415C8">
        <w:tab/>
      </w:r>
      <w:r w:rsidR="00F415C8" w:rsidRPr="00F415C8">
        <w:t xml:space="preserve">Mr </w:t>
      </w:r>
      <w:proofErr w:type="spellStart"/>
      <w:r w:rsidR="00F415C8" w:rsidRPr="00F415C8">
        <w:t>Nxumalo</w:t>
      </w:r>
      <w:proofErr w:type="spellEnd"/>
      <w:r w:rsidR="00F415C8" w:rsidRPr="00F415C8">
        <w:t xml:space="preserve"> submitted that an order to declare property executable would have the effect of an eviction and impinges on the 5</w:t>
      </w:r>
      <w:r w:rsidR="00F415C8" w:rsidRPr="00F415C8">
        <w:rPr>
          <w:vertAlign w:val="superscript"/>
        </w:rPr>
        <w:t>th</w:t>
      </w:r>
      <w:r w:rsidR="00F415C8" w:rsidRPr="00F415C8">
        <w:t xml:space="preserve"> respondent’s Constitutional rights to housing and dignity as the property is the primary residence of the 5</w:t>
      </w:r>
      <w:r w:rsidR="00F415C8" w:rsidRPr="00F415C8">
        <w:rPr>
          <w:vertAlign w:val="superscript"/>
        </w:rPr>
        <w:t>th</w:t>
      </w:r>
      <w:r w:rsidR="00F415C8" w:rsidRPr="00F415C8">
        <w:t xml:space="preserve"> to 7</w:t>
      </w:r>
      <w:r w:rsidR="00F415C8" w:rsidRPr="00F415C8">
        <w:rPr>
          <w:vertAlign w:val="superscript"/>
        </w:rPr>
        <w:t>th</w:t>
      </w:r>
      <w:r w:rsidR="00F415C8" w:rsidRPr="00F415C8">
        <w:t xml:space="preserve"> respondents and that there are minor children living on the property, who attend a school in the area. Mr </w:t>
      </w:r>
      <w:proofErr w:type="spellStart"/>
      <w:r w:rsidR="00F415C8" w:rsidRPr="00F415C8">
        <w:t>Nxumalo</w:t>
      </w:r>
      <w:proofErr w:type="spellEnd"/>
      <w:r w:rsidR="00F415C8" w:rsidRPr="00F415C8">
        <w:t xml:space="preserve"> relying on the judgment in Bestbier, infra, that the primary focus must be that the home is a primary residence, irrespective of the entity which owns it.  He contended that a trial court would be best suited to hear the necessary evidence to preserve and protect the constitutional rights of the respondents and their family.</w:t>
      </w:r>
    </w:p>
    <w:p w14:paraId="2246D88E" w14:textId="7CD0C91D" w:rsidR="00F415C8" w:rsidRPr="00F415C8" w:rsidRDefault="0030453E" w:rsidP="0030453E">
      <w:pPr>
        <w:pStyle w:val="ListLevel1"/>
        <w:numPr>
          <w:ilvl w:val="0"/>
          <w:numId w:val="0"/>
        </w:numPr>
        <w:tabs>
          <w:tab w:val="left" w:pos="851"/>
        </w:tabs>
        <w:ind w:left="851" w:hanging="851"/>
      </w:pPr>
      <w:r w:rsidRPr="00F415C8">
        <w:t>14.</w:t>
      </w:r>
      <w:r w:rsidRPr="00F415C8">
        <w:tab/>
      </w:r>
      <w:r w:rsidR="00F415C8" w:rsidRPr="00F415C8">
        <w:t xml:space="preserve">In reply, Ms </w:t>
      </w:r>
      <w:proofErr w:type="spellStart"/>
      <w:r w:rsidR="00F415C8" w:rsidRPr="00F415C8">
        <w:t>Oschman</w:t>
      </w:r>
      <w:proofErr w:type="spellEnd"/>
      <w:r w:rsidR="00F415C8" w:rsidRPr="00F415C8">
        <w:t xml:space="preserve"> argued that the principal debtor is a trust which has three trustees and is defined as a juristic person, to whom the Act does not apply.  The surety and co-principal debtor does not exist separately from the principal debtor, their obligations flow or arise from the principal debt and the principal debtor.  The 5</w:t>
      </w:r>
      <w:r w:rsidR="00F415C8" w:rsidRPr="00F415C8">
        <w:rPr>
          <w:vertAlign w:val="superscript"/>
        </w:rPr>
        <w:t>th</w:t>
      </w:r>
      <w:r w:rsidR="00F415C8" w:rsidRPr="00F415C8">
        <w:t xml:space="preserve"> respondent failed to raise any triable issue regarding the money claim, a mere reference to the Act relying on a </w:t>
      </w:r>
      <w:r w:rsidR="00F415C8" w:rsidRPr="00F415C8">
        <w:lastRenderedPageBreak/>
        <w:t xml:space="preserve">‘chance” that the Act might apply is not the defence contemplated in the rule.  </w:t>
      </w:r>
    </w:p>
    <w:p w14:paraId="12EE7935" w14:textId="5A0494E4" w:rsidR="00F415C8" w:rsidRPr="00F415C8" w:rsidRDefault="0030453E" w:rsidP="0030453E">
      <w:pPr>
        <w:pStyle w:val="ListLevel1"/>
        <w:numPr>
          <w:ilvl w:val="0"/>
          <w:numId w:val="0"/>
        </w:numPr>
        <w:tabs>
          <w:tab w:val="left" w:pos="851"/>
        </w:tabs>
        <w:ind w:left="851" w:hanging="851"/>
      </w:pPr>
      <w:r w:rsidRPr="00F415C8">
        <w:t>15.</w:t>
      </w:r>
      <w:r w:rsidRPr="00F415C8">
        <w:tab/>
      </w:r>
      <w:r w:rsidR="00F415C8" w:rsidRPr="00F415C8">
        <w:t xml:space="preserve">Sections 4(1)(a) and 4(1) (b) of the Act, does not apply to a consumer who is a juristic entity, such as a trust.  It was argued that even if the Act applied, there is still no version from the first defendant the principal debtor to the plaintiff’s claim.  The plaintiff seeks judgment against all defendants jointly and severally the one paying the other absolved.  </w:t>
      </w:r>
      <w:r w:rsidR="006B132F">
        <w:t xml:space="preserve">It was therefore </w:t>
      </w:r>
      <w:r w:rsidR="00F415C8" w:rsidRPr="00F415C8">
        <w:t xml:space="preserve">submitted that the Defendant has not discharged the onus in terms of R32 and the order of </w:t>
      </w:r>
      <w:proofErr w:type="spellStart"/>
      <w:r w:rsidR="00F415C8" w:rsidRPr="00F415C8">
        <w:t>executability</w:t>
      </w:r>
      <w:proofErr w:type="spellEnd"/>
      <w:r w:rsidR="00F415C8" w:rsidRPr="00F415C8">
        <w:t xml:space="preserve"> is appropriate, the applicant does not seek to evict the respondents.  </w:t>
      </w:r>
    </w:p>
    <w:p w14:paraId="61ACB3E1" w14:textId="08D477CC" w:rsidR="00F415C8" w:rsidRPr="00F415C8" w:rsidRDefault="0030453E" w:rsidP="0030453E">
      <w:pPr>
        <w:pStyle w:val="ListLevel1"/>
        <w:numPr>
          <w:ilvl w:val="0"/>
          <w:numId w:val="0"/>
        </w:numPr>
        <w:tabs>
          <w:tab w:val="left" w:pos="851"/>
        </w:tabs>
        <w:ind w:left="851" w:hanging="851"/>
        <w:rPr>
          <w:b/>
          <w:bCs/>
        </w:rPr>
      </w:pPr>
      <w:r w:rsidRPr="00F415C8">
        <w:rPr>
          <w:bCs/>
        </w:rPr>
        <w:t>16.</w:t>
      </w:r>
      <w:r w:rsidRPr="00F415C8">
        <w:rPr>
          <w:bCs/>
        </w:rPr>
        <w:tab/>
      </w:r>
      <w:r w:rsidR="00F415C8" w:rsidRPr="00F415C8">
        <w:t>A reserve price as calculated is R625 000, after consideration of the rates and taxes outstanding to the municipality.</w:t>
      </w:r>
    </w:p>
    <w:p w14:paraId="397D9F79" w14:textId="77777777" w:rsidR="00F415C8" w:rsidRPr="00F415C8" w:rsidRDefault="00F415C8" w:rsidP="00F415C8">
      <w:pPr>
        <w:pStyle w:val="Heading1"/>
      </w:pPr>
      <w:r w:rsidRPr="00F415C8">
        <w:t>Judgment</w:t>
      </w:r>
    </w:p>
    <w:p w14:paraId="235BAB8B" w14:textId="77777777" w:rsidR="00F415C8" w:rsidRPr="00F415C8" w:rsidRDefault="00F415C8" w:rsidP="00F415C8">
      <w:pPr>
        <w:pStyle w:val="Heading2"/>
      </w:pPr>
      <w:r w:rsidRPr="00F415C8">
        <w:t>Rule 32</w:t>
      </w:r>
    </w:p>
    <w:p w14:paraId="0ED0AB05" w14:textId="051B7141" w:rsidR="00F415C8" w:rsidRPr="00F415C8" w:rsidRDefault="0030453E" w:rsidP="0030453E">
      <w:pPr>
        <w:pStyle w:val="ListLevel1"/>
        <w:numPr>
          <w:ilvl w:val="0"/>
          <w:numId w:val="0"/>
        </w:numPr>
        <w:tabs>
          <w:tab w:val="left" w:pos="851"/>
        </w:tabs>
        <w:ind w:left="851" w:hanging="851"/>
      </w:pPr>
      <w:r w:rsidRPr="00F415C8">
        <w:t>17.</w:t>
      </w:r>
      <w:r w:rsidRPr="00F415C8">
        <w:tab/>
      </w:r>
      <w:r w:rsidR="00F415C8" w:rsidRPr="00F415C8">
        <w:t>Rule 32 is regarded as stringent or extraordinary remedy in that the court is called upon to grant a judgment without the defendant having been afforded an opportunity to ventilate its defence.  However, the amendments to the rule</w:t>
      </w:r>
      <w:r w:rsidR="00F415C8" w:rsidRPr="00F415C8">
        <w:rPr>
          <w:rStyle w:val="FootnoteReference"/>
          <w:rFonts w:cs="Arial"/>
          <w:szCs w:val="24"/>
        </w:rPr>
        <w:footnoteReference w:id="5"/>
      </w:r>
      <w:r w:rsidR="00F415C8" w:rsidRPr="00F415C8">
        <w:t>, requires of a plaintiff, after a plea i</w:t>
      </w:r>
      <w:r w:rsidR="006B132F">
        <w:t>s</w:t>
      </w:r>
      <w:r w:rsidR="00F415C8" w:rsidRPr="00F415C8">
        <w:t xml:space="preserve"> filed, to verify </w:t>
      </w:r>
      <w:r w:rsidR="00F415C8" w:rsidRPr="00F415C8">
        <w:lastRenderedPageBreak/>
        <w:t>its cause of action, the amount claimed,  the point of law or the facts upon which that the plaintiff’s claim is based, and to provide the court with a brief explanation as to why the defence as pleaded raises no triable issue.</w:t>
      </w:r>
    </w:p>
    <w:p w14:paraId="763DA924" w14:textId="260E13D4" w:rsidR="00F415C8" w:rsidRPr="00F415C8" w:rsidRDefault="0030453E" w:rsidP="0030453E">
      <w:pPr>
        <w:pStyle w:val="ListLevel1"/>
        <w:numPr>
          <w:ilvl w:val="0"/>
          <w:numId w:val="0"/>
        </w:numPr>
        <w:tabs>
          <w:tab w:val="left" w:pos="851"/>
        </w:tabs>
        <w:ind w:left="851" w:hanging="851"/>
      </w:pPr>
      <w:r w:rsidRPr="00F415C8">
        <w:t>18.</w:t>
      </w:r>
      <w:r w:rsidRPr="00F415C8">
        <w:tab/>
      </w:r>
      <w:r w:rsidR="00F415C8" w:rsidRPr="00F415C8">
        <w:t>The application would succeed only if a court were satisfied that the requirements have been fulfilled and that there is no defence on the merits, and that the defence is raised merely for the purposes of delay.</w:t>
      </w:r>
    </w:p>
    <w:p w14:paraId="368ED179" w14:textId="4866AD2B" w:rsidR="00F415C8" w:rsidRPr="00F415C8" w:rsidRDefault="0030453E" w:rsidP="0030453E">
      <w:pPr>
        <w:pStyle w:val="ListLevel1"/>
        <w:numPr>
          <w:ilvl w:val="0"/>
          <w:numId w:val="0"/>
        </w:numPr>
        <w:tabs>
          <w:tab w:val="left" w:pos="851"/>
        </w:tabs>
        <w:ind w:left="851" w:hanging="851"/>
      </w:pPr>
      <w:r w:rsidRPr="00F415C8">
        <w:t>19.</w:t>
      </w:r>
      <w:r w:rsidRPr="00F415C8">
        <w:tab/>
      </w:r>
      <w:r w:rsidR="00F415C8" w:rsidRPr="00F415C8">
        <w:t xml:space="preserve">In </w:t>
      </w:r>
      <w:proofErr w:type="spellStart"/>
      <w:r w:rsidR="00F415C8" w:rsidRPr="00F415C8">
        <w:t>Guardrisk</w:t>
      </w:r>
      <w:proofErr w:type="spellEnd"/>
      <w:r w:rsidR="00F415C8" w:rsidRPr="00F415C8">
        <w:t xml:space="preserve"> v Life Limited FML Life (Pty) Ltd, the court confirmed that the deponent to the affidavit supporting summary judgment must be in position to say whether the defence advanced in the plea is genuine and sustainable on the facts known to them.  A plea which is a bare denial will not assist a defendant, the defendant must raise an issue for trial.</w:t>
      </w:r>
    </w:p>
    <w:p w14:paraId="2006F17D" w14:textId="65B769E7" w:rsidR="00F415C8" w:rsidRPr="00F415C8" w:rsidRDefault="0030453E" w:rsidP="0030453E">
      <w:pPr>
        <w:pStyle w:val="ListLevel1"/>
        <w:numPr>
          <w:ilvl w:val="0"/>
          <w:numId w:val="0"/>
        </w:numPr>
        <w:tabs>
          <w:tab w:val="left" w:pos="851"/>
        </w:tabs>
        <w:ind w:left="851" w:hanging="851"/>
      </w:pPr>
      <w:r w:rsidRPr="00F415C8">
        <w:t>20.</w:t>
      </w:r>
      <w:r w:rsidRPr="00F415C8">
        <w:tab/>
      </w:r>
      <w:r w:rsidR="00F415C8" w:rsidRPr="00F415C8">
        <w:t xml:space="preserve">In </w:t>
      </w:r>
      <w:proofErr w:type="spellStart"/>
      <w:r w:rsidR="00F415C8" w:rsidRPr="00F415C8">
        <w:t>casu</w:t>
      </w:r>
      <w:proofErr w:type="spellEnd"/>
      <w:r w:rsidR="00F415C8" w:rsidRPr="00F415C8">
        <w:t xml:space="preserve"> only the 5</w:t>
      </w:r>
      <w:r w:rsidR="00F415C8" w:rsidRPr="00F415C8">
        <w:rPr>
          <w:vertAlign w:val="superscript"/>
        </w:rPr>
        <w:t>th</w:t>
      </w:r>
      <w:r w:rsidR="00F415C8" w:rsidRPr="00F415C8">
        <w:t xml:space="preserve"> defendant, has filed an opposition to the application for summary judgment.  The first defendant, the principal debtor, whom the applicant looks to, has not filed an opposition to the relief sought.  In </w:t>
      </w:r>
      <w:proofErr w:type="spellStart"/>
      <w:r w:rsidR="00F415C8" w:rsidRPr="00F415C8">
        <w:t>Tumileng</w:t>
      </w:r>
      <w:proofErr w:type="spellEnd"/>
      <w:r w:rsidR="00F415C8" w:rsidRPr="00F415C8">
        <w:t xml:space="preserve"> Trading CC v National Security and Fire (Pty) Ltd </w:t>
      </w:r>
      <w:r w:rsidR="00F415C8" w:rsidRPr="00F415C8">
        <w:rPr>
          <w:rStyle w:val="FootnoteReference"/>
          <w:rFonts w:cs="Arial"/>
          <w:szCs w:val="24"/>
        </w:rPr>
        <w:footnoteReference w:id="6"/>
      </w:r>
      <w:r w:rsidR="00F415C8" w:rsidRPr="00F415C8">
        <w:t xml:space="preserve"> the court confirmed that the requirement of an explanation by the plaintiff enjoins the defendant to deal with the applicant’s explanation in the opposing affidavit.</w:t>
      </w:r>
    </w:p>
    <w:p w14:paraId="456B1CC8" w14:textId="0F666182" w:rsidR="00F415C8" w:rsidRPr="00F415C8" w:rsidRDefault="0030453E" w:rsidP="0030453E">
      <w:pPr>
        <w:pStyle w:val="ListLevel1"/>
        <w:numPr>
          <w:ilvl w:val="0"/>
          <w:numId w:val="0"/>
        </w:numPr>
        <w:tabs>
          <w:tab w:val="left" w:pos="851"/>
        </w:tabs>
        <w:ind w:left="851" w:hanging="851"/>
      </w:pPr>
      <w:r w:rsidRPr="00F415C8">
        <w:lastRenderedPageBreak/>
        <w:t>21.</w:t>
      </w:r>
      <w:r w:rsidRPr="00F415C8">
        <w:tab/>
      </w:r>
      <w:r w:rsidR="00F415C8" w:rsidRPr="00F415C8">
        <w:t xml:space="preserve">There is no version before this court, </w:t>
      </w:r>
      <w:r w:rsidR="006B132F">
        <w:t>of</w:t>
      </w:r>
      <w:r w:rsidR="00F415C8" w:rsidRPr="00F415C8">
        <w:t xml:space="preserve"> the principal debtor with whom the plaintiff/applicant concluded the loan agreement.</w:t>
      </w:r>
    </w:p>
    <w:p w14:paraId="393BEC5D" w14:textId="2B23970C" w:rsidR="00F415C8" w:rsidRPr="00F415C8" w:rsidRDefault="0030453E" w:rsidP="0030453E">
      <w:pPr>
        <w:pStyle w:val="ListLevel1"/>
        <w:numPr>
          <w:ilvl w:val="0"/>
          <w:numId w:val="0"/>
        </w:numPr>
        <w:tabs>
          <w:tab w:val="left" w:pos="851"/>
        </w:tabs>
        <w:ind w:left="851" w:hanging="851"/>
      </w:pPr>
      <w:r w:rsidRPr="00F415C8">
        <w:t>22.</w:t>
      </w:r>
      <w:r w:rsidRPr="00F415C8">
        <w:tab/>
      </w:r>
      <w:r w:rsidR="00F415C8" w:rsidRPr="00F415C8">
        <w:t>The defence as set out in paragraph</w:t>
      </w:r>
      <w:r w:rsidR="006B132F">
        <w:t>s 4 and 5 a</w:t>
      </w:r>
      <w:r w:rsidR="00F415C8" w:rsidRPr="00F415C8">
        <w:t>bove does not comply with Rule 18 (4</w:t>
      </w:r>
      <w:proofErr w:type="gramStart"/>
      <w:r w:rsidR="00F415C8" w:rsidRPr="00F415C8">
        <w:t>)  and</w:t>
      </w:r>
      <w:proofErr w:type="gramEnd"/>
      <w:r w:rsidR="00F415C8" w:rsidRPr="00F415C8">
        <w:t xml:space="preserve"> 22(2).  The rules require a defendant to set out clearly and concisely the material facts relied upon for the defence.  Neither the plea nor the opposing affidavit addresses the claim regarding the principal debt.  A mere allegation that payments were made after the lockdown, will not suffice.  It is trite that one who alleges must prove.  The are no details of payments made or a genuine, bona fide defence to the breach of the loan agreement, before this court.</w:t>
      </w:r>
    </w:p>
    <w:p w14:paraId="4AE77F1B" w14:textId="603D4F99" w:rsidR="00F415C8" w:rsidRPr="00F415C8" w:rsidRDefault="0030453E" w:rsidP="0030453E">
      <w:pPr>
        <w:pStyle w:val="ListLevel1"/>
        <w:numPr>
          <w:ilvl w:val="0"/>
          <w:numId w:val="0"/>
        </w:numPr>
        <w:tabs>
          <w:tab w:val="left" w:pos="851"/>
        </w:tabs>
        <w:ind w:left="851" w:hanging="851"/>
      </w:pPr>
      <w:r w:rsidRPr="00F415C8">
        <w:t>23.</w:t>
      </w:r>
      <w:r w:rsidRPr="00F415C8">
        <w:tab/>
      </w:r>
      <w:r w:rsidR="00F415C8" w:rsidRPr="00F415C8">
        <w:t xml:space="preserve">I agree with Ms </w:t>
      </w:r>
      <w:proofErr w:type="spellStart"/>
      <w:r w:rsidR="00F415C8" w:rsidRPr="00F415C8">
        <w:t>Oschman</w:t>
      </w:r>
      <w:proofErr w:type="spellEnd"/>
      <w:r w:rsidR="00F415C8" w:rsidRPr="00F415C8">
        <w:t xml:space="preserve">, there is no version by the first defendant, the principal debtor, to the plaintiff’s claim and therefor </w:t>
      </w:r>
      <w:r w:rsidR="006B132F">
        <w:t xml:space="preserve">the </w:t>
      </w:r>
      <w:r w:rsidR="00F415C8" w:rsidRPr="00F415C8">
        <w:t>plaintiff is entitled to judgment for R654 358.78  as set out in the certificate of balance.</w:t>
      </w:r>
      <w:r w:rsidR="00F415C8" w:rsidRPr="00F415C8">
        <w:rPr>
          <w:rStyle w:val="FootnoteReference"/>
          <w:rFonts w:cs="Arial"/>
          <w:szCs w:val="24"/>
        </w:rPr>
        <w:footnoteReference w:id="7"/>
      </w:r>
    </w:p>
    <w:p w14:paraId="2E04080D" w14:textId="63FC4704" w:rsidR="00F415C8" w:rsidRPr="00F415C8" w:rsidRDefault="0030453E" w:rsidP="0030453E">
      <w:pPr>
        <w:pStyle w:val="ListLevel1"/>
        <w:numPr>
          <w:ilvl w:val="0"/>
          <w:numId w:val="0"/>
        </w:numPr>
        <w:tabs>
          <w:tab w:val="left" w:pos="851"/>
        </w:tabs>
        <w:ind w:left="851" w:hanging="851"/>
      </w:pPr>
      <w:r w:rsidRPr="00F415C8">
        <w:t>24.</w:t>
      </w:r>
      <w:r w:rsidRPr="00F415C8">
        <w:tab/>
      </w:r>
      <w:r w:rsidR="00F415C8" w:rsidRPr="00F415C8">
        <w:t xml:space="preserve">Mr </w:t>
      </w:r>
      <w:proofErr w:type="spellStart"/>
      <w:r w:rsidR="00F415C8" w:rsidRPr="00F415C8">
        <w:t>Nxumalo’s</w:t>
      </w:r>
      <w:proofErr w:type="spellEnd"/>
      <w:r w:rsidR="00F415C8" w:rsidRPr="00F415C8">
        <w:t xml:space="preserve"> submissions that the defendants, as sureties and </w:t>
      </w:r>
      <w:proofErr w:type="spellStart"/>
      <w:r w:rsidR="00F415C8" w:rsidRPr="00F415C8">
        <w:t>coprincipal</w:t>
      </w:r>
      <w:proofErr w:type="spellEnd"/>
      <w:r w:rsidR="00F415C8" w:rsidRPr="00F415C8">
        <w:t xml:space="preserve"> debtors enjoy the protections in the Act is misplaced.  In Neon and Cold Cathode Illuminations (Pty) Ltd v Ephron </w:t>
      </w:r>
      <w:r w:rsidR="00F415C8" w:rsidRPr="00F415C8">
        <w:rPr>
          <w:rStyle w:val="FootnoteReference"/>
          <w:rFonts w:cs="Arial"/>
          <w:szCs w:val="24"/>
        </w:rPr>
        <w:footnoteReference w:id="8"/>
      </w:r>
      <w:r w:rsidR="00F415C8" w:rsidRPr="00F415C8">
        <w:t xml:space="preserve">, the Appeal Court confirmed that, the use of the word co principal debtor did not transform the contract of suretyship into some other type of contract.  It was stated that the only consequence that flows from a surety also undertaking the liability as co- </w:t>
      </w:r>
      <w:r w:rsidR="00F415C8" w:rsidRPr="00F415C8">
        <w:lastRenderedPageBreak/>
        <w:t xml:space="preserve">principal debtor, </w:t>
      </w:r>
      <w:r w:rsidR="006B132F">
        <w:t xml:space="preserve">is </w:t>
      </w:r>
      <w:r w:rsidR="00F415C8" w:rsidRPr="00F415C8">
        <w:t xml:space="preserve">that he thereby tacitly renounces the ordinary benefits available to a surety, such as those of </w:t>
      </w:r>
      <w:proofErr w:type="spellStart"/>
      <w:r w:rsidR="00F415C8" w:rsidRPr="00F415C8">
        <w:t>excussion</w:t>
      </w:r>
      <w:proofErr w:type="spellEnd"/>
      <w:r w:rsidR="00F415C8" w:rsidRPr="00F415C8">
        <w:t>, division and cession of actions.</w:t>
      </w:r>
      <w:r w:rsidR="00F415C8" w:rsidRPr="00F415C8">
        <w:rPr>
          <w:rStyle w:val="FootnoteReference"/>
          <w:rFonts w:cs="Arial"/>
          <w:szCs w:val="24"/>
        </w:rPr>
        <w:footnoteReference w:id="9"/>
      </w:r>
      <w:r w:rsidR="00F415C8" w:rsidRPr="00F415C8">
        <w:t xml:space="preserve"> I agree with counsel for the applicant that the sureties are linked only to the principal debtor and serve as security for when the debtor fails to pay the debt.  The Act does not provide for sureties as consumers who may claim protections afforded in the Act.</w:t>
      </w:r>
    </w:p>
    <w:p w14:paraId="6BB59B02" w14:textId="3DA45276" w:rsidR="00F415C8" w:rsidRPr="00F415C8" w:rsidRDefault="0030453E" w:rsidP="0030453E">
      <w:pPr>
        <w:pStyle w:val="ListLevel1"/>
        <w:numPr>
          <w:ilvl w:val="0"/>
          <w:numId w:val="0"/>
        </w:numPr>
        <w:tabs>
          <w:tab w:val="left" w:pos="851"/>
        </w:tabs>
        <w:ind w:left="851" w:hanging="851"/>
      </w:pPr>
      <w:r w:rsidRPr="00F415C8">
        <w:t>25.</w:t>
      </w:r>
      <w:r w:rsidRPr="00F415C8">
        <w:tab/>
      </w:r>
      <w:r w:rsidR="00F415C8" w:rsidRPr="00F415C8">
        <w:t xml:space="preserve"> Section 4(2) (c) read with section 8(5) of the Act, provides for a surety as a credit guarantee which applies only in relation to the credit facility or transaction.  The surety agreement flows from the principal debt, it cannot exist without it.  The Act does not apply to a juristic person.  </w:t>
      </w:r>
    </w:p>
    <w:p w14:paraId="31089616" w14:textId="7A23774A" w:rsidR="00F415C8" w:rsidRPr="00F415C8" w:rsidRDefault="0030453E" w:rsidP="0030453E">
      <w:pPr>
        <w:pStyle w:val="ListLevel1"/>
        <w:numPr>
          <w:ilvl w:val="0"/>
          <w:numId w:val="0"/>
        </w:numPr>
        <w:tabs>
          <w:tab w:val="left" w:pos="851"/>
        </w:tabs>
        <w:ind w:left="851" w:hanging="851"/>
      </w:pPr>
      <w:r w:rsidRPr="00F415C8">
        <w:t>26.</w:t>
      </w:r>
      <w:r w:rsidRPr="00F415C8">
        <w:tab/>
      </w:r>
      <w:r w:rsidR="00F415C8" w:rsidRPr="00F415C8">
        <w:t>In the definition section, the Act provides:</w:t>
      </w:r>
    </w:p>
    <w:p w14:paraId="3172954C" w14:textId="77777777" w:rsidR="00F415C8" w:rsidRPr="00F415C8" w:rsidRDefault="00F415C8" w:rsidP="00DC013A">
      <w:pPr>
        <w:pStyle w:val="MSQuote"/>
      </w:pPr>
      <w:proofErr w:type="gramStart"/>
      <w:r w:rsidRPr="00F415C8">
        <w:t>“ juristic</w:t>
      </w:r>
      <w:proofErr w:type="gramEnd"/>
      <w:r w:rsidRPr="00F415C8">
        <w:t xml:space="preserve"> person includes a partnership…., or a trust if-</w:t>
      </w:r>
    </w:p>
    <w:p w14:paraId="13D64D25" w14:textId="77777777" w:rsidR="00F415C8" w:rsidRPr="00F415C8" w:rsidRDefault="00F415C8" w:rsidP="00DC013A">
      <w:pPr>
        <w:pStyle w:val="MSQuote"/>
      </w:pPr>
      <w:r w:rsidRPr="00F415C8">
        <w:t>There are three or more individual trustees, or</w:t>
      </w:r>
    </w:p>
    <w:p w14:paraId="1F5A3153" w14:textId="77777777" w:rsidR="00F415C8" w:rsidRPr="00F415C8" w:rsidRDefault="00F415C8" w:rsidP="00DC013A">
      <w:pPr>
        <w:pStyle w:val="MSQuote"/>
      </w:pPr>
      <w:r w:rsidRPr="00F415C8">
        <w:t xml:space="preserve">…  “ </w:t>
      </w:r>
    </w:p>
    <w:p w14:paraId="62230F6C" w14:textId="2E331E70" w:rsidR="00F415C8" w:rsidRPr="00F415C8" w:rsidRDefault="0030453E" w:rsidP="0030453E">
      <w:pPr>
        <w:pStyle w:val="ListLevel1"/>
        <w:numPr>
          <w:ilvl w:val="0"/>
          <w:numId w:val="0"/>
        </w:numPr>
        <w:tabs>
          <w:tab w:val="left" w:pos="851"/>
        </w:tabs>
        <w:ind w:left="851" w:hanging="851"/>
      </w:pPr>
      <w:r w:rsidRPr="00F415C8">
        <w:t>27.</w:t>
      </w:r>
      <w:r w:rsidRPr="00F415C8">
        <w:tab/>
      </w:r>
      <w:r w:rsidR="00F415C8" w:rsidRPr="00F415C8">
        <w:t>Section 4(1) (a)(</w:t>
      </w:r>
      <w:proofErr w:type="spellStart"/>
      <w:r w:rsidR="00F415C8" w:rsidRPr="00F415C8">
        <w:t>i</w:t>
      </w:r>
      <w:proofErr w:type="spellEnd"/>
      <w:proofErr w:type="gramStart"/>
      <w:r w:rsidR="00F415C8" w:rsidRPr="00F415C8">
        <w:t>)  provides</w:t>
      </w:r>
      <w:proofErr w:type="gramEnd"/>
      <w:r w:rsidR="00F415C8" w:rsidRPr="00F415C8">
        <w:t xml:space="preserve"> that the Act does not apply to a juristic person.  The respondents as </w:t>
      </w:r>
      <w:proofErr w:type="gramStart"/>
      <w:r w:rsidR="00F415C8" w:rsidRPr="00F415C8">
        <w:t>sureties,  cannot</w:t>
      </w:r>
      <w:proofErr w:type="gramEnd"/>
      <w:r w:rsidR="00F415C8" w:rsidRPr="00F415C8">
        <w:t xml:space="preserve"> claim protections or rely on defences provided in the Act.</w:t>
      </w:r>
    </w:p>
    <w:p w14:paraId="76138D01" w14:textId="237DDA79" w:rsidR="00F415C8" w:rsidRPr="00F415C8" w:rsidRDefault="0030453E" w:rsidP="0030453E">
      <w:pPr>
        <w:pStyle w:val="ListLevel1"/>
        <w:numPr>
          <w:ilvl w:val="0"/>
          <w:numId w:val="0"/>
        </w:numPr>
        <w:tabs>
          <w:tab w:val="left" w:pos="851"/>
        </w:tabs>
        <w:ind w:left="851" w:hanging="851"/>
      </w:pPr>
      <w:r w:rsidRPr="00F415C8">
        <w:lastRenderedPageBreak/>
        <w:t>28.</w:t>
      </w:r>
      <w:r w:rsidRPr="00F415C8">
        <w:tab/>
      </w:r>
      <w:r w:rsidR="00F415C8" w:rsidRPr="00F415C8">
        <w:t xml:space="preserve">Having regard to the definition of a juristic entity and the provisions of the </w:t>
      </w:r>
      <w:proofErr w:type="gramStart"/>
      <w:r w:rsidR="00F415C8" w:rsidRPr="00F415C8">
        <w:t>Act ,</w:t>
      </w:r>
      <w:proofErr w:type="gramEnd"/>
      <w:r w:rsidR="00F415C8" w:rsidRPr="00F415C8">
        <w:t xml:space="preserve"> the respondent’s reliance on the defence of “reckless credit” has no merit and accordingly no triable issue is raised, as a defence to the </w:t>
      </w:r>
      <w:r w:rsidR="006B132F">
        <w:t>claim</w:t>
      </w:r>
      <w:r w:rsidR="00F415C8" w:rsidRPr="00F415C8">
        <w:t>.</w:t>
      </w:r>
    </w:p>
    <w:p w14:paraId="67155958" w14:textId="3D44D4D0" w:rsidR="00F415C8" w:rsidRPr="00F415C8" w:rsidRDefault="00F415C8" w:rsidP="00DC013A">
      <w:pPr>
        <w:pStyle w:val="Heading2"/>
      </w:pPr>
      <w:r w:rsidRPr="00F415C8">
        <w:t xml:space="preserve"> </w:t>
      </w:r>
      <w:proofErr w:type="spellStart"/>
      <w:r w:rsidR="00DC013A" w:rsidRPr="00F415C8">
        <w:t>Executability</w:t>
      </w:r>
      <w:proofErr w:type="spellEnd"/>
    </w:p>
    <w:p w14:paraId="39117A15" w14:textId="06591B6D" w:rsidR="00F415C8" w:rsidRPr="00F415C8" w:rsidRDefault="0030453E" w:rsidP="0030453E">
      <w:pPr>
        <w:pStyle w:val="ListLevel1"/>
        <w:numPr>
          <w:ilvl w:val="0"/>
          <w:numId w:val="0"/>
        </w:numPr>
        <w:tabs>
          <w:tab w:val="left" w:pos="851"/>
        </w:tabs>
        <w:ind w:left="851" w:hanging="851"/>
      </w:pPr>
      <w:r w:rsidRPr="00F415C8">
        <w:t>29.</w:t>
      </w:r>
      <w:r w:rsidRPr="00F415C8">
        <w:tab/>
      </w:r>
      <w:r w:rsidR="00F415C8" w:rsidRPr="00F415C8">
        <w:t xml:space="preserve">The plaintiff seeks an order to declare the property executable.  Mr </w:t>
      </w:r>
      <w:proofErr w:type="spellStart"/>
      <w:r w:rsidR="00F415C8" w:rsidRPr="00F415C8">
        <w:t>Nxumalo</w:t>
      </w:r>
      <w:proofErr w:type="spellEnd"/>
      <w:r w:rsidR="00F415C8" w:rsidRPr="00F415C8">
        <w:t xml:space="preserve"> correctly argued that eviction is drastic, it violates the constitutionally protected rights of adequate housing</w:t>
      </w:r>
      <w:r w:rsidR="00F415C8" w:rsidRPr="00F415C8">
        <w:rPr>
          <w:rStyle w:val="FootnoteReference"/>
          <w:rFonts w:cs="Arial"/>
          <w:szCs w:val="24"/>
        </w:rPr>
        <w:footnoteReference w:id="10"/>
      </w:r>
      <w:r w:rsidR="00F415C8" w:rsidRPr="00F415C8">
        <w:t xml:space="preserve"> and dignity.</w:t>
      </w:r>
    </w:p>
    <w:p w14:paraId="6E854DCB" w14:textId="55A71839" w:rsidR="00F415C8" w:rsidRPr="00F415C8" w:rsidRDefault="0030453E" w:rsidP="0030453E">
      <w:pPr>
        <w:pStyle w:val="ListLevel1"/>
        <w:numPr>
          <w:ilvl w:val="0"/>
          <w:numId w:val="0"/>
        </w:numPr>
        <w:tabs>
          <w:tab w:val="left" w:pos="851"/>
        </w:tabs>
        <w:ind w:left="851" w:hanging="851"/>
      </w:pPr>
      <w:r w:rsidRPr="00F415C8">
        <w:t>30.</w:t>
      </w:r>
      <w:r w:rsidRPr="00F415C8">
        <w:tab/>
      </w:r>
      <w:r w:rsidR="00F415C8" w:rsidRPr="00F415C8">
        <w:t>In Bestbier v Nedbank</w:t>
      </w:r>
      <w:r w:rsidR="00F415C8" w:rsidRPr="00F415C8">
        <w:rPr>
          <w:rStyle w:val="FootnoteReference"/>
          <w:rFonts w:cs="Arial"/>
          <w:szCs w:val="24"/>
        </w:rPr>
        <w:footnoteReference w:id="11"/>
      </w:r>
      <w:r w:rsidR="00F415C8" w:rsidRPr="00F415C8">
        <w:t>, the SCA, confirmed that even if the immovable property is owned by a juristic entity, the ethos of the Rule cannot be overlooked.  The primary purpose of the Rule is to give effect to the right to access to adequate housing as provided for in s26(1) of the Constitution.</w:t>
      </w:r>
    </w:p>
    <w:p w14:paraId="0B06609B" w14:textId="316E6A91" w:rsidR="00F415C8" w:rsidRPr="00F415C8" w:rsidRDefault="0030453E" w:rsidP="0030453E">
      <w:pPr>
        <w:pStyle w:val="ListLevel1"/>
        <w:numPr>
          <w:ilvl w:val="0"/>
          <w:numId w:val="0"/>
        </w:numPr>
        <w:tabs>
          <w:tab w:val="left" w:pos="851"/>
        </w:tabs>
        <w:ind w:left="851" w:hanging="851"/>
      </w:pPr>
      <w:r w:rsidRPr="00F415C8">
        <w:t>31.</w:t>
      </w:r>
      <w:r w:rsidRPr="00F415C8">
        <w:tab/>
      </w:r>
      <w:r w:rsidR="00F415C8" w:rsidRPr="00F415C8">
        <w:t xml:space="preserve"> The evidence is that the property is the primary residence of the 5</w:t>
      </w:r>
      <w:r w:rsidR="00F415C8" w:rsidRPr="00F415C8">
        <w:rPr>
          <w:vertAlign w:val="superscript"/>
        </w:rPr>
        <w:t>th</w:t>
      </w:r>
      <w:r w:rsidR="00F415C8" w:rsidRPr="00F415C8">
        <w:t xml:space="preserve"> to 7</w:t>
      </w:r>
      <w:r w:rsidR="00F415C8" w:rsidRPr="00F415C8">
        <w:rPr>
          <w:vertAlign w:val="superscript"/>
        </w:rPr>
        <w:t>th</w:t>
      </w:r>
      <w:r w:rsidR="00F415C8" w:rsidRPr="00F415C8">
        <w:t xml:space="preserve"> respondents, the beneficiaries of the trust.  It is noteworthy that no confirmatory affidavits are annexed to the papers on behalf of the 6</w:t>
      </w:r>
      <w:r w:rsidR="00F415C8" w:rsidRPr="00F415C8">
        <w:rPr>
          <w:vertAlign w:val="superscript"/>
        </w:rPr>
        <w:t>th</w:t>
      </w:r>
      <w:r w:rsidR="00F415C8" w:rsidRPr="00F415C8">
        <w:t xml:space="preserve"> and 7</w:t>
      </w:r>
      <w:r w:rsidR="00F415C8" w:rsidRPr="00F415C8">
        <w:rPr>
          <w:vertAlign w:val="superscript"/>
        </w:rPr>
        <w:t>th</w:t>
      </w:r>
      <w:r w:rsidR="00F415C8" w:rsidRPr="00F415C8">
        <w:t xml:space="preserve"> respondents. It is alleged that minor children, who attend a school in the area reside on the property however no further details of the children, their </w:t>
      </w:r>
      <w:proofErr w:type="gramStart"/>
      <w:r w:rsidR="00F415C8" w:rsidRPr="00F415C8">
        <w:t>school  or</w:t>
      </w:r>
      <w:proofErr w:type="gramEnd"/>
      <w:r w:rsidR="00F415C8" w:rsidRPr="00F415C8">
        <w:t xml:space="preserve"> other occupants are included in the pleadings.  The children are alleged to be attending a school in the area, however no confirmation </w:t>
      </w:r>
      <w:r w:rsidR="00F415C8" w:rsidRPr="00F415C8">
        <w:lastRenderedPageBreak/>
        <w:t xml:space="preserve">from a school is annexed to the pleadings.  There is no indication as to financial circumstances of those who occupy the property and no evidence that they sought any alternative housing.  I noted counsel’s submissions that the respondents can seek to lease the property from the persons who purchase the property at the sale.  </w:t>
      </w:r>
    </w:p>
    <w:p w14:paraId="0EB4D787" w14:textId="30D33393" w:rsidR="00F415C8" w:rsidRPr="00F415C8" w:rsidRDefault="0030453E" w:rsidP="0030453E">
      <w:pPr>
        <w:pStyle w:val="ListLevel1"/>
        <w:numPr>
          <w:ilvl w:val="0"/>
          <w:numId w:val="0"/>
        </w:numPr>
        <w:tabs>
          <w:tab w:val="left" w:pos="851"/>
        </w:tabs>
        <w:ind w:left="851" w:hanging="851"/>
      </w:pPr>
      <w:r w:rsidRPr="00F415C8">
        <w:t>32.</w:t>
      </w:r>
      <w:r w:rsidRPr="00F415C8">
        <w:tab/>
      </w:r>
      <w:r w:rsidR="00F415C8" w:rsidRPr="00F415C8">
        <w:t xml:space="preserve">In exercising oversight, a court is to engage in a balancing process and to determine the impact and fairness of the order to evict persons.  It is to ensure the preservation of rights afforded in the Constitution.  </w:t>
      </w:r>
    </w:p>
    <w:p w14:paraId="4ABD18E1" w14:textId="1F76EF9E" w:rsidR="00F415C8" w:rsidRPr="00F415C8" w:rsidRDefault="0030453E" w:rsidP="0030453E">
      <w:pPr>
        <w:pStyle w:val="ListLevel1"/>
        <w:numPr>
          <w:ilvl w:val="0"/>
          <w:numId w:val="0"/>
        </w:numPr>
        <w:tabs>
          <w:tab w:val="left" w:pos="851"/>
        </w:tabs>
        <w:ind w:left="851" w:hanging="851"/>
      </w:pPr>
      <w:r w:rsidRPr="00F415C8">
        <w:t>33.</w:t>
      </w:r>
      <w:r w:rsidRPr="00F415C8">
        <w:tab/>
      </w:r>
      <w:r w:rsidR="00F415C8" w:rsidRPr="00F415C8">
        <w:t xml:space="preserve">Due to the paucity of evidence, I refer to in paragraph </w:t>
      </w:r>
      <w:r w:rsidR="00CF512A">
        <w:t>31</w:t>
      </w:r>
      <w:r w:rsidR="00F415C8" w:rsidRPr="00F415C8">
        <w:t xml:space="preserve"> above, I am unable </w:t>
      </w:r>
      <w:proofErr w:type="gramStart"/>
      <w:r w:rsidR="00F415C8" w:rsidRPr="00F415C8">
        <w:t>to  engage</w:t>
      </w:r>
      <w:proofErr w:type="gramEnd"/>
      <w:r w:rsidR="00F415C8" w:rsidRPr="00F415C8">
        <w:t xml:space="preserve"> in a balancing process to determine if the order sought is fair.  Therefore, th</w:t>
      </w:r>
      <w:r w:rsidR="00CF512A">
        <w:t xml:space="preserve">e application to declare property executable is </w:t>
      </w:r>
      <w:r w:rsidR="00F415C8" w:rsidRPr="00F415C8">
        <w:t>postponed sine die.</w:t>
      </w:r>
    </w:p>
    <w:p w14:paraId="53704A7A" w14:textId="0F8C9684" w:rsidR="00F415C8" w:rsidRPr="00F415C8" w:rsidRDefault="0030453E" w:rsidP="0030453E">
      <w:pPr>
        <w:pStyle w:val="ListLevel1"/>
        <w:numPr>
          <w:ilvl w:val="0"/>
          <w:numId w:val="0"/>
        </w:numPr>
        <w:tabs>
          <w:tab w:val="left" w:pos="851"/>
        </w:tabs>
        <w:ind w:left="851" w:hanging="851"/>
      </w:pPr>
      <w:r w:rsidRPr="00F415C8">
        <w:t>34.</w:t>
      </w:r>
      <w:r w:rsidRPr="00F415C8">
        <w:tab/>
      </w:r>
      <w:r w:rsidR="00F415C8" w:rsidRPr="00F415C8">
        <w:t>The issue of costs is at a court’s discretion.  The respondent’s failure or refusal to disclose all necessary and relevant facts delays the finalisation of this matter</w:t>
      </w:r>
      <w:r w:rsidR="00CF512A">
        <w:t xml:space="preserve">, however it </w:t>
      </w:r>
      <w:r w:rsidR="00F415C8" w:rsidRPr="00F415C8">
        <w:t xml:space="preserve">is prudent to reserve costs at this stage. </w:t>
      </w:r>
    </w:p>
    <w:p w14:paraId="15E602E3" w14:textId="77777777" w:rsidR="00F415C8" w:rsidRPr="00F415C8" w:rsidRDefault="00F415C8" w:rsidP="00DC013A">
      <w:pPr>
        <w:pStyle w:val="ListLevel1"/>
        <w:numPr>
          <w:ilvl w:val="0"/>
          <w:numId w:val="0"/>
        </w:numPr>
      </w:pPr>
      <w:r w:rsidRPr="00F415C8">
        <w:t>Accordingly, I make the following order:</w:t>
      </w:r>
    </w:p>
    <w:p w14:paraId="34098CC4" w14:textId="55B15812" w:rsidR="00F415C8" w:rsidRPr="00F415C8" w:rsidRDefault="0030453E" w:rsidP="0030453E">
      <w:pPr>
        <w:pStyle w:val="ListLevel1"/>
        <w:numPr>
          <w:ilvl w:val="0"/>
          <w:numId w:val="0"/>
        </w:numPr>
        <w:tabs>
          <w:tab w:val="left" w:pos="851"/>
        </w:tabs>
        <w:ind w:left="851" w:hanging="851"/>
      </w:pPr>
      <w:r w:rsidRPr="00F415C8">
        <w:t>1.</w:t>
      </w:r>
      <w:r w:rsidRPr="00F415C8">
        <w:tab/>
      </w:r>
      <w:r w:rsidR="00F415C8" w:rsidRPr="00F415C8">
        <w:t>Judgment in the amount of R654 348.78. limited to R518 400 in respect of the fifth, sixth and seventh defendants, jointly and severally, the one paying the other to be absolved is granted.</w:t>
      </w:r>
    </w:p>
    <w:p w14:paraId="6D6A0DEC" w14:textId="69C21520" w:rsidR="00F415C8" w:rsidRPr="00F415C8" w:rsidRDefault="0030453E" w:rsidP="0030453E">
      <w:pPr>
        <w:pStyle w:val="ListLevel1"/>
        <w:numPr>
          <w:ilvl w:val="0"/>
          <w:numId w:val="0"/>
        </w:numPr>
        <w:tabs>
          <w:tab w:val="left" w:pos="851"/>
        </w:tabs>
        <w:ind w:left="851" w:hanging="851"/>
      </w:pPr>
      <w:r w:rsidRPr="00F415C8">
        <w:lastRenderedPageBreak/>
        <w:t>2.</w:t>
      </w:r>
      <w:r w:rsidRPr="00F415C8">
        <w:tab/>
      </w:r>
      <w:r w:rsidR="00F415C8" w:rsidRPr="00F415C8">
        <w:t>Interest on the amount at the rate of 5.35% per annum is payable from 1 December 2020 to date of payment.</w:t>
      </w:r>
    </w:p>
    <w:p w14:paraId="18A504F5" w14:textId="4E2482FD" w:rsidR="00F415C8" w:rsidRPr="00F415C8" w:rsidRDefault="0030453E" w:rsidP="0030453E">
      <w:pPr>
        <w:pStyle w:val="ListLevel1"/>
        <w:numPr>
          <w:ilvl w:val="0"/>
          <w:numId w:val="0"/>
        </w:numPr>
        <w:tabs>
          <w:tab w:val="left" w:pos="851"/>
        </w:tabs>
        <w:ind w:left="851" w:hanging="851"/>
      </w:pPr>
      <w:r w:rsidRPr="00F415C8">
        <w:t>3.</w:t>
      </w:r>
      <w:r w:rsidRPr="00F415C8">
        <w:tab/>
      </w:r>
      <w:r w:rsidR="00F415C8" w:rsidRPr="00F415C8">
        <w:t>The issue of execution against immovable property is postponed sine die.</w:t>
      </w:r>
    </w:p>
    <w:p w14:paraId="0DBBE5FA" w14:textId="7FDFF770" w:rsidR="00F415C8" w:rsidRPr="00F415C8" w:rsidRDefault="0030453E" w:rsidP="0030453E">
      <w:pPr>
        <w:pStyle w:val="ListLevel1"/>
        <w:numPr>
          <w:ilvl w:val="0"/>
          <w:numId w:val="0"/>
        </w:numPr>
        <w:tabs>
          <w:tab w:val="left" w:pos="851"/>
        </w:tabs>
        <w:ind w:left="851" w:hanging="851"/>
      </w:pPr>
      <w:r w:rsidRPr="00F415C8">
        <w:t>4.</w:t>
      </w:r>
      <w:r w:rsidRPr="00F415C8">
        <w:tab/>
      </w:r>
      <w:r w:rsidR="00F415C8" w:rsidRPr="00F415C8">
        <w:t>Costs are reserved.</w:t>
      </w:r>
    </w:p>
    <w:p w14:paraId="40E2BEB6" w14:textId="3A30B512" w:rsidR="00FD553A" w:rsidRPr="00F415C8" w:rsidRDefault="00FD553A" w:rsidP="00F415C8">
      <w:pPr>
        <w:spacing w:after="0" w:line="480" w:lineRule="auto"/>
        <w:ind w:left="5760"/>
        <w:rPr>
          <w:rFonts w:cs="Arial"/>
          <w:b/>
          <w:bCs/>
          <w:sz w:val="24"/>
          <w:szCs w:val="24"/>
        </w:rPr>
      </w:pPr>
      <w:r w:rsidRPr="00F415C8">
        <w:rPr>
          <w:rFonts w:cs="Arial"/>
          <w:sz w:val="24"/>
          <w:szCs w:val="24"/>
        </w:rPr>
        <w:t>.</w:t>
      </w:r>
    </w:p>
    <w:p w14:paraId="334EAE72" w14:textId="6BCC1651" w:rsidR="001A491F" w:rsidRPr="00F415C8" w:rsidRDefault="00E11733" w:rsidP="001A491F">
      <w:pPr>
        <w:spacing w:line="480" w:lineRule="auto"/>
        <w:ind w:left="720" w:hanging="720"/>
        <w:rPr>
          <w:rFonts w:ascii="Arial" w:hAnsi="Arial" w:cs="Arial"/>
          <w:sz w:val="24"/>
          <w:szCs w:val="24"/>
        </w:rPr>
      </w:pPr>
      <w:r w:rsidRPr="00F415C8">
        <w:rPr>
          <w:rFonts w:ascii="Arial" w:hAnsi="Arial" w:cs="Arial"/>
          <w:sz w:val="24"/>
          <w:szCs w:val="24"/>
        </w:rPr>
        <w:tab/>
      </w:r>
      <w:r w:rsidRPr="00F415C8">
        <w:rPr>
          <w:rFonts w:ascii="Arial" w:hAnsi="Arial" w:cs="Arial"/>
          <w:sz w:val="24"/>
          <w:szCs w:val="24"/>
        </w:rPr>
        <w:tab/>
      </w:r>
    </w:p>
    <w:p w14:paraId="713FA4B4" w14:textId="77777777" w:rsidR="009C62C6" w:rsidRPr="00F415C8" w:rsidRDefault="009C62C6" w:rsidP="009C62C6">
      <w:pPr>
        <w:spacing w:line="240" w:lineRule="auto"/>
        <w:rPr>
          <w:rFonts w:ascii="Arial" w:hAnsi="Arial" w:cs="Arial"/>
          <w:sz w:val="24"/>
          <w:szCs w:val="24"/>
        </w:rPr>
      </w:pPr>
    </w:p>
    <w:p w14:paraId="5D839786" w14:textId="3B27644D" w:rsidR="005832A2" w:rsidRPr="00F415C8" w:rsidRDefault="005832A2" w:rsidP="009C62C6">
      <w:pPr>
        <w:spacing w:line="240" w:lineRule="auto"/>
        <w:rPr>
          <w:rFonts w:ascii="Arial" w:hAnsi="Arial" w:cs="Arial"/>
          <w:sz w:val="24"/>
          <w:szCs w:val="24"/>
        </w:rPr>
      </w:pPr>
      <w:r w:rsidRPr="00F415C8">
        <w:rPr>
          <w:rFonts w:ascii="Arial" w:hAnsi="Arial" w:cs="Arial"/>
          <w:sz w:val="24"/>
          <w:szCs w:val="24"/>
        </w:rPr>
        <w:t>________________________</w:t>
      </w:r>
    </w:p>
    <w:p w14:paraId="1C58CC25" w14:textId="77777777" w:rsidR="005832A2" w:rsidRPr="00F415C8" w:rsidRDefault="005832A2" w:rsidP="005832A2">
      <w:pPr>
        <w:pStyle w:val="ListLevel1"/>
        <w:numPr>
          <w:ilvl w:val="0"/>
          <w:numId w:val="0"/>
        </w:numPr>
        <w:spacing w:after="120" w:line="240" w:lineRule="auto"/>
        <w:rPr>
          <w:rFonts w:cs="Arial"/>
          <w:b/>
          <w:szCs w:val="24"/>
        </w:rPr>
      </w:pPr>
      <w:r w:rsidRPr="00F415C8">
        <w:rPr>
          <w:rFonts w:cs="Arial"/>
          <w:b/>
          <w:szCs w:val="24"/>
        </w:rPr>
        <w:t>MAHOMED AJ</w:t>
      </w:r>
    </w:p>
    <w:p w14:paraId="159C6077" w14:textId="0DF9AEB6" w:rsidR="005832A2" w:rsidRPr="00F415C8" w:rsidRDefault="005832A2" w:rsidP="005832A2">
      <w:pPr>
        <w:pStyle w:val="ListLevel1"/>
        <w:numPr>
          <w:ilvl w:val="0"/>
          <w:numId w:val="0"/>
        </w:numPr>
        <w:spacing w:after="120" w:line="240" w:lineRule="auto"/>
        <w:rPr>
          <w:rFonts w:cs="Arial"/>
          <w:szCs w:val="24"/>
        </w:rPr>
      </w:pPr>
      <w:r w:rsidRPr="00F415C8">
        <w:rPr>
          <w:rFonts w:cs="Arial"/>
          <w:szCs w:val="24"/>
        </w:rPr>
        <w:t>Acting Judge of the High Court</w:t>
      </w:r>
    </w:p>
    <w:p w14:paraId="3EB0348A" w14:textId="08DC635C" w:rsidR="00FD553A" w:rsidRPr="00F415C8" w:rsidRDefault="00FD553A" w:rsidP="005832A2">
      <w:pPr>
        <w:pStyle w:val="ListLevel1"/>
        <w:numPr>
          <w:ilvl w:val="0"/>
          <w:numId w:val="0"/>
        </w:numPr>
        <w:spacing w:after="120" w:line="240" w:lineRule="auto"/>
        <w:rPr>
          <w:rFonts w:cs="Arial"/>
          <w:szCs w:val="24"/>
        </w:rPr>
      </w:pPr>
    </w:p>
    <w:p w14:paraId="279CF525" w14:textId="77777777" w:rsidR="009C62C6" w:rsidRPr="00F415C8" w:rsidRDefault="009C62C6" w:rsidP="005832A2">
      <w:pPr>
        <w:pStyle w:val="ListLevel1"/>
        <w:numPr>
          <w:ilvl w:val="0"/>
          <w:numId w:val="0"/>
        </w:numPr>
        <w:rPr>
          <w:rFonts w:cs="Arial"/>
          <w:szCs w:val="24"/>
        </w:rPr>
      </w:pPr>
    </w:p>
    <w:p w14:paraId="09670A4C" w14:textId="319E7937" w:rsidR="005832A2" w:rsidRPr="00F415C8" w:rsidRDefault="005832A2" w:rsidP="005832A2">
      <w:pPr>
        <w:pStyle w:val="ListLevel1"/>
        <w:numPr>
          <w:ilvl w:val="0"/>
          <w:numId w:val="0"/>
        </w:numPr>
        <w:rPr>
          <w:rFonts w:cs="Arial"/>
          <w:bCs/>
          <w:szCs w:val="24"/>
        </w:rPr>
      </w:pPr>
      <w:r w:rsidRPr="00F415C8">
        <w:rPr>
          <w:rFonts w:cs="Arial"/>
          <w:szCs w:val="24"/>
        </w:rPr>
        <w:t xml:space="preserve">This judgment was prepared and authored by Acting Judge Mahomed. It is handed down electronically by circulation to the parties or their legal representatives by email and by uploading it to the electronic file of this matter on </w:t>
      </w:r>
      <w:proofErr w:type="spellStart"/>
      <w:r w:rsidRPr="00F415C8">
        <w:rPr>
          <w:rFonts w:cs="Arial"/>
          <w:szCs w:val="24"/>
        </w:rPr>
        <w:t>Caselines</w:t>
      </w:r>
      <w:proofErr w:type="spellEnd"/>
      <w:r w:rsidRPr="00F415C8">
        <w:rPr>
          <w:rFonts w:cs="Arial"/>
          <w:szCs w:val="24"/>
        </w:rPr>
        <w:t xml:space="preserve">.  The date for hand-down is deemed to be </w:t>
      </w:r>
      <w:r w:rsidR="00FD553A" w:rsidRPr="00F415C8">
        <w:rPr>
          <w:rFonts w:cs="Arial"/>
          <w:szCs w:val="24"/>
        </w:rPr>
        <w:t>______________</w:t>
      </w:r>
      <w:r w:rsidRPr="00F415C8">
        <w:rPr>
          <w:rFonts w:cs="Arial"/>
          <w:szCs w:val="24"/>
        </w:rPr>
        <w:t>.</w:t>
      </w:r>
    </w:p>
    <w:p w14:paraId="65059AF2" w14:textId="77777777" w:rsidR="00FD553A" w:rsidRPr="00F415C8" w:rsidRDefault="00FD553A" w:rsidP="001A491F">
      <w:pPr>
        <w:spacing w:line="480" w:lineRule="auto"/>
        <w:rPr>
          <w:rFonts w:ascii="Arial" w:hAnsi="Arial" w:cs="Arial"/>
          <w:sz w:val="24"/>
          <w:szCs w:val="24"/>
        </w:rPr>
      </w:pPr>
    </w:p>
    <w:p w14:paraId="66723F2C" w14:textId="77777777" w:rsidR="00DC013A" w:rsidRPr="00DC013A" w:rsidRDefault="00DC013A" w:rsidP="00DC013A">
      <w:pPr>
        <w:spacing w:line="480" w:lineRule="auto"/>
        <w:rPr>
          <w:rFonts w:ascii="Arial" w:hAnsi="Arial" w:cs="Arial"/>
          <w:sz w:val="24"/>
          <w:szCs w:val="24"/>
        </w:rPr>
      </w:pPr>
      <w:r w:rsidRPr="00DC013A">
        <w:rPr>
          <w:rFonts w:ascii="Arial" w:hAnsi="Arial" w:cs="Arial"/>
          <w:sz w:val="24"/>
          <w:szCs w:val="24"/>
        </w:rPr>
        <w:t>Date of Hearing:</w:t>
      </w:r>
      <w:r w:rsidRPr="00DC013A">
        <w:rPr>
          <w:rFonts w:ascii="Arial" w:hAnsi="Arial" w:cs="Arial"/>
          <w:sz w:val="24"/>
          <w:szCs w:val="24"/>
        </w:rPr>
        <w:tab/>
        <w:t>1 November 2023</w:t>
      </w:r>
    </w:p>
    <w:p w14:paraId="47EE604A" w14:textId="77777777" w:rsidR="00DC013A" w:rsidRPr="00DC013A" w:rsidRDefault="00DC013A" w:rsidP="00DC013A">
      <w:pPr>
        <w:spacing w:line="480" w:lineRule="auto"/>
        <w:rPr>
          <w:rFonts w:ascii="Arial" w:hAnsi="Arial" w:cs="Arial"/>
          <w:sz w:val="24"/>
          <w:szCs w:val="24"/>
        </w:rPr>
      </w:pPr>
      <w:r w:rsidRPr="00DC013A">
        <w:rPr>
          <w:rFonts w:ascii="Arial" w:hAnsi="Arial" w:cs="Arial"/>
          <w:sz w:val="24"/>
          <w:szCs w:val="24"/>
        </w:rPr>
        <w:t>Date of Judgment:</w:t>
      </w:r>
    </w:p>
    <w:p w14:paraId="00A8344A" w14:textId="77777777" w:rsidR="00DC013A" w:rsidRDefault="00DC013A" w:rsidP="00DC013A">
      <w:pPr>
        <w:spacing w:line="480" w:lineRule="auto"/>
        <w:rPr>
          <w:rFonts w:ascii="Arial" w:hAnsi="Arial" w:cs="Arial"/>
          <w:b/>
          <w:bCs/>
          <w:sz w:val="24"/>
          <w:szCs w:val="24"/>
        </w:rPr>
      </w:pPr>
    </w:p>
    <w:p w14:paraId="1EF0C08A" w14:textId="16BA35A2" w:rsidR="00DC013A" w:rsidRPr="00DC013A" w:rsidRDefault="00DC013A" w:rsidP="00DC013A">
      <w:pPr>
        <w:spacing w:line="480" w:lineRule="auto"/>
        <w:rPr>
          <w:rFonts w:ascii="Arial" w:hAnsi="Arial" w:cs="Arial"/>
          <w:b/>
          <w:bCs/>
          <w:sz w:val="24"/>
          <w:szCs w:val="24"/>
        </w:rPr>
      </w:pPr>
      <w:r w:rsidRPr="00DC013A">
        <w:rPr>
          <w:rFonts w:ascii="Arial" w:hAnsi="Arial" w:cs="Arial"/>
          <w:b/>
          <w:bCs/>
          <w:sz w:val="24"/>
          <w:szCs w:val="24"/>
        </w:rPr>
        <w:t xml:space="preserve">Appearances </w:t>
      </w:r>
    </w:p>
    <w:p w14:paraId="151736D1" w14:textId="4FEAA358" w:rsidR="00DC013A" w:rsidRPr="00DC013A" w:rsidRDefault="00DC013A" w:rsidP="00DC013A">
      <w:pPr>
        <w:spacing w:line="480" w:lineRule="auto"/>
        <w:rPr>
          <w:rFonts w:ascii="Arial" w:hAnsi="Arial" w:cs="Arial"/>
          <w:sz w:val="24"/>
          <w:szCs w:val="24"/>
        </w:rPr>
      </w:pPr>
      <w:r w:rsidRPr="00DC013A">
        <w:rPr>
          <w:rFonts w:ascii="Arial" w:hAnsi="Arial" w:cs="Arial"/>
          <w:sz w:val="24"/>
          <w:szCs w:val="24"/>
        </w:rPr>
        <w:t xml:space="preserve">For Applicant: </w:t>
      </w:r>
      <w:r>
        <w:rPr>
          <w:rFonts w:ascii="Arial" w:hAnsi="Arial" w:cs="Arial"/>
          <w:sz w:val="24"/>
          <w:szCs w:val="24"/>
        </w:rPr>
        <w:tab/>
      </w:r>
      <w:r w:rsidRPr="00DC013A">
        <w:rPr>
          <w:rFonts w:ascii="Arial" w:hAnsi="Arial" w:cs="Arial"/>
          <w:sz w:val="24"/>
          <w:szCs w:val="24"/>
        </w:rPr>
        <w:t xml:space="preserve">Advocate </w:t>
      </w:r>
      <w:proofErr w:type="spellStart"/>
      <w:r w:rsidRPr="00DC013A">
        <w:rPr>
          <w:rFonts w:ascii="Arial" w:hAnsi="Arial" w:cs="Arial"/>
          <w:sz w:val="24"/>
          <w:szCs w:val="24"/>
        </w:rPr>
        <w:t>Oschman</w:t>
      </w:r>
      <w:proofErr w:type="spellEnd"/>
    </w:p>
    <w:p w14:paraId="369EAABF" w14:textId="77777777" w:rsidR="00DC013A" w:rsidRPr="00DC013A" w:rsidRDefault="00DC013A" w:rsidP="00DC013A">
      <w:pPr>
        <w:spacing w:line="480" w:lineRule="auto"/>
        <w:rPr>
          <w:rFonts w:ascii="Arial" w:hAnsi="Arial" w:cs="Arial"/>
          <w:sz w:val="24"/>
          <w:szCs w:val="24"/>
        </w:rPr>
      </w:pPr>
      <w:r w:rsidRPr="00DC013A">
        <w:rPr>
          <w:rFonts w:ascii="Arial" w:hAnsi="Arial" w:cs="Arial"/>
          <w:sz w:val="24"/>
          <w:szCs w:val="24"/>
        </w:rPr>
        <w:t>Instructed by:</w:t>
      </w:r>
      <w:r w:rsidRPr="00DC013A">
        <w:rPr>
          <w:rFonts w:ascii="Arial" w:hAnsi="Arial" w:cs="Arial"/>
          <w:sz w:val="24"/>
          <w:szCs w:val="24"/>
        </w:rPr>
        <w:tab/>
      </w:r>
      <w:proofErr w:type="spellStart"/>
      <w:r w:rsidRPr="00DC013A">
        <w:rPr>
          <w:rFonts w:ascii="Arial" w:hAnsi="Arial" w:cs="Arial"/>
          <w:sz w:val="24"/>
          <w:szCs w:val="24"/>
        </w:rPr>
        <w:t>Bezuidenhout</w:t>
      </w:r>
      <w:proofErr w:type="spellEnd"/>
      <w:r w:rsidRPr="00DC013A">
        <w:rPr>
          <w:rFonts w:ascii="Arial" w:hAnsi="Arial" w:cs="Arial"/>
          <w:sz w:val="24"/>
          <w:szCs w:val="24"/>
        </w:rPr>
        <w:t xml:space="preserve"> van </w:t>
      </w:r>
      <w:proofErr w:type="spellStart"/>
      <w:r w:rsidRPr="00DC013A">
        <w:rPr>
          <w:rFonts w:ascii="Arial" w:hAnsi="Arial" w:cs="Arial"/>
          <w:sz w:val="24"/>
          <w:szCs w:val="24"/>
        </w:rPr>
        <w:t>Zyl</w:t>
      </w:r>
      <w:proofErr w:type="spellEnd"/>
      <w:r w:rsidRPr="00DC013A">
        <w:rPr>
          <w:rFonts w:ascii="Arial" w:hAnsi="Arial" w:cs="Arial"/>
          <w:sz w:val="24"/>
          <w:szCs w:val="24"/>
        </w:rPr>
        <w:t xml:space="preserve"> &amp; Associate </w:t>
      </w:r>
      <w:proofErr w:type="spellStart"/>
      <w:r w:rsidRPr="00DC013A">
        <w:rPr>
          <w:rFonts w:ascii="Arial" w:hAnsi="Arial" w:cs="Arial"/>
          <w:sz w:val="24"/>
          <w:szCs w:val="24"/>
        </w:rPr>
        <w:t>Inc</w:t>
      </w:r>
      <w:proofErr w:type="spellEnd"/>
    </w:p>
    <w:p w14:paraId="00092B6C" w14:textId="3E096C53" w:rsidR="00DC013A" w:rsidRPr="00DC013A" w:rsidRDefault="00DC013A" w:rsidP="00DC013A">
      <w:pPr>
        <w:spacing w:line="480" w:lineRule="auto"/>
        <w:rPr>
          <w:rFonts w:ascii="Arial" w:hAnsi="Arial" w:cs="Arial"/>
          <w:sz w:val="24"/>
          <w:szCs w:val="24"/>
        </w:rPr>
      </w:pPr>
      <w:r w:rsidRPr="00DC013A">
        <w:rPr>
          <w:rFonts w:ascii="Arial" w:hAnsi="Arial" w:cs="Arial"/>
          <w:sz w:val="24"/>
          <w:szCs w:val="24"/>
        </w:rPr>
        <w:t>Email:</w:t>
      </w:r>
      <w:r w:rsidRPr="00DC013A">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FB191C" w:rsidRPr="008D0AB0">
          <w:rPr>
            <w:rStyle w:val="Hyperlink"/>
            <w:rFonts w:ascii="Arial" w:hAnsi="Arial" w:cs="Arial"/>
            <w:sz w:val="24"/>
            <w:szCs w:val="24"/>
          </w:rPr>
          <w:t>nadined@bvz.co.za</w:t>
        </w:r>
      </w:hyperlink>
      <w:r w:rsidRPr="00DC013A">
        <w:rPr>
          <w:rFonts w:ascii="Arial" w:hAnsi="Arial" w:cs="Arial"/>
          <w:sz w:val="24"/>
          <w:szCs w:val="24"/>
        </w:rPr>
        <w:t xml:space="preserve"> </w:t>
      </w:r>
    </w:p>
    <w:p w14:paraId="1B24CC10" w14:textId="77777777" w:rsidR="00FB191C" w:rsidRDefault="00FB191C" w:rsidP="00DC013A">
      <w:pPr>
        <w:spacing w:line="480" w:lineRule="auto"/>
        <w:rPr>
          <w:rFonts w:ascii="Arial" w:hAnsi="Arial" w:cs="Arial"/>
          <w:sz w:val="24"/>
          <w:szCs w:val="24"/>
        </w:rPr>
      </w:pPr>
    </w:p>
    <w:p w14:paraId="7AD36D07" w14:textId="5EDE8F1A" w:rsidR="00DC013A" w:rsidRPr="00DC013A" w:rsidRDefault="00DC013A" w:rsidP="00DC013A">
      <w:pPr>
        <w:spacing w:line="480" w:lineRule="auto"/>
        <w:rPr>
          <w:rFonts w:ascii="Arial" w:hAnsi="Arial" w:cs="Arial"/>
          <w:sz w:val="24"/>
          <w:szCs w:val="24"/>
        </w:rPr>
      </w:pPr>
      <w:r w:rsidRPr="00DC013A">
        <w:rPr>
          <w:rFonts w:ascii="Arial" w:hAnsi="Arial" w:cs="Arial"/>
          <w:sz w:val="24"/>
          <w:szCs w:val="24"/>
        </w:rPr>
        <w:t>For Respondent:</w:t>
      </w:r>
      <w:r w:rsidRPr="00DC013A">
        <w:rPr>
          <w:rFonts w:ascii="Arial" w:hAnsi="Arial" w:cs="Arial"/>
          <w:sz w:val="24"/>
          <w:szCs w:val="24"/>
        </w:rPr>
        <w:tab/>
        <w:t xml:space="preserve">Mr </w:t>
      </w:r>
      <w:proofErr w:type="spellStart"/>
      <w:r w:rsidRPr="00DC013A">
        <w:rPr>
          <w:rFonts w:ascii="Arial" w:hAnsi="Arial" w:cs="Arial"/>
          <w:sz w:val="24"/>
          <w:szCs w:val="24"/>
        </w:rPr>
        <w:t>Nxumalo</w:t>
      </w:r>
      <w:proofErr w:type="spellEnd"/>
    </w:p>
    <w:p w14:paraId="1C0A987D" w14:textId="77777777" w:rsidR="00DC013A" w:rsidRPr="00DC013A" w:rsidRDefault="00DC013A" w:rsidP="00DC013A">
      <w:pPr>
        <w:spacing w:line="480" w:lineRule="auto"/>
        <w:rPr>
          <w:rFonts w:ascii="Arial" w:hAnsi="Arial" w:cs="Arial"/>
          <w:sz w:val="24"/>
          <w:szCs w:val="24"/>
        </w:rPr>
      </w:pPr>
      <w:r w:rsidRPr="00DC013A">
        <w:rPr>
          <w:rFonts w:ascii="Arial" w:hAnsi="Arial" w:cs="Arial"/>
          <w:sz w:val="24"/>
          <w:szCs w:val="24"/>
        </w:rPr>
        <w:tab/>
      </w:r>
      <w:r w:rsidRPr="00DC013A">
        <w:rPr>
          <w:rFonts w:ascii="Arial" w:hAnsi="Arial" w:cs="Arial"/>
          <w:sz w:val="24"/>
          <w:szCs w:val="24"/>
        </w:rPr>
        <w:tab/>
      </w:r>
      <w:r w:rsidRPr="00DC013A">
        <w:rPr>
          <w:rFonts w:ascii="Arial" w:hAnsi="Arial" w:cs="Arial"/>
          <w:sz w:val="24"/>
          <w:szCs w:val="24"/>
        </w:rPr>
        <w:tab/>
        <w:t xml:space="preserve">SN Attorneys &amp; Associates </w:t>
      </w:r>
      <w:proofErr w:type="spellStart"/>
      <w:r w:rsidRPr="00DC013A">
        <w:rPr>
          <w:rFonts w:ascii="Arial" w:hAnsi="Arial" w:cs="Arial"/>
          <w:sz w:val="24"/>
          <w:szCs w:val="24"/>
        </w:rPr>
        <w:t>Inc</w:t>
      </w:r>
      <w:proofErr w:type="spellEnd"/>
    </w:p>
    <w:p w14:paraId="5D88A6BC" w14:textId="6CF3C522" w:rsidR="00DC013A" w:rsidRPr="00DC013A" w:rsidRDefault="00DC013A" w:rsidP="00DC013A">
      <w:pPr>
        <w:spacing w:line="480" w:lineRule="auto"/>
        <w:rPr>
          <w:rFonts w:ascii="Arial" w:hAnsi="Arial" w:cs="Arial"/>
          <w:sz w:val="24"/>
          <w:szCs w:val="24"/>
        </w:rPr>
      </w:pPr>
      <w:r w:rsidRPr="00DC013A">
        <w:rPr>
          <w:rFonts w:ascii="Arial" w:hAnsi="Arial" w:cs="Arial"/>
          <w:sz w:val="24"/>
          <w:szCs w:val="24"/>
        </w:rPr>
        <w:t xml:space="preserve">Email: </w:t>
      </w:r>
      <w:r w:rsidR="00FB191C">
        <w:rPr>
          <w:rFonts w:ascii="Arial" w:hAnsi="Arial" w:cs="Arial"/>
          <w:sz w:val="24"/>
          <w:szCs w:val="24"/>
        </w:rPr>
        <w:tab/>
      </w:r>
      <w:r w:rsidR="00FB191C">
        <w:rPr>
          <w:rFonts w:ascii="Arial" w:hAnsi="Arial" w:cs="Arial"/>
          <w:sz w:val="24"/>
          <w:szCs w:val="24"/>
        </w:rPr>
        <w:tab/>
      </w:r>
      <w:hyperlink r:id="rId10" w:history="1">
        <w:r w:rsidR="00FB191C" w:rsidRPr="008D0AB0">
          <w:rPr>
            <w:rStyle w:val="Hyperlink"/>
            <w:rFonts w:ascii="Arial" w:hAnsi="Arial" w:cs="Arial"/>
            <w:sz w:val="24"/>
            <w:szCs w:val="24"/>
          </w:rPr>
          <w:t>samke@snassociates.co.za</w:t>
        </w:r>
      </w:hyperlink>
      <w:r w:rsidRPr="00DC013A">
        <w:rPr>
          <w:rFonts w:ascii="Arial" w:hAnsi="Arial" w:cs="Arial"/>
          <w:sz w:val="24"/>
          <w:szCs w:val="24"/>
        </w:rPr>
        <w:t xml:space="preserve"> </w:t>
      </w:r>
    </w:p>
    <w:p w14:paraId="76C962A5" w14:textId="77777777" w:rsidR="00D00597" w:rsidRPr="00F415C8" w:rsidRDefault="00D00597" w:rsidP="00FD553A">
      <w:pPr>
        <w:spacing w:line="480" w:lineRule="auto"/>
        <w:rPr>
          <w:rFonts w:ascii="Arial" w:hAnsi="Arial" w:cs="Arial"/>
          <w:sz w:val="24"/>
          <w:szCs w:val="24"/>
        </w:rPr>
      </w:pPr>
    </w:p>
    <w:sectPr w:rsidR="00D00597" w:rsidRPr="00F415C8" w:rsidSect="001F6793">
      <w:headerReference w:type="default" r:id="rId11"/>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7A4CE" w14:textId="77777777" w:rsidR="00266D98" w:rsidRDefault="00266D98">
      <w:r>
        <w:separator/>
      </w:r>
    </w:p>
  </w:endnote>
  <w:endnote w:type="continuationSeparator" w:id="0">
    <w:p w14:paraId="4B5209B5" w14:textId="77777777" w:rsidR="00266D98" w:rsidRDefault="0026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2909F" w14:textId="77777777" w:rsidR="00266D98" w:rsidRDefault="00266D98" w:rsidP="00B42A2F">
      <w:pPr>
        <w:spacing w:after="0" w:line="240" w:lineRule="auto"/>
      </w:pPr>
      <w:r>
        <w:separator/>
      </w:r>
    </w:p>
  </w:footnote>
  <w:footnote w:type="continuationSeparator" w:id="0">
    <w:p w14:paraId="34A6341F" w14:textId="77777777" w:rsidR="00266D98" w:rsidRDefault="00266D98">
      <w:r>
        <w:continuationSeparator/>
      </w:r>
    </w:p>
  </w:footnote>
  <w:footnote w:id="1">
    <w:p w14:paraId="7C72596B" w14:textId="77777777" w:rsidR="00F415C8" w:rsidRDefault="00F415C8" w:rsidP="00F415C8">
      <w:pPr>
        <w:pStyle w:val="FootnoteText"/>
      </w:pPr>
      <w:r>
        <w:rPr>
          <w:rStyle w:val="FootnoteReference"/>
        </w:rPr>
        <w:footnoteRef/>
      </w:r>
      <w:r>
        <w:t xml:space="preserve"> </w:t>
      </w:r>
      <w:proofErr w:type="spellStart"/>
      <w:r>
        <w:t>Caselines</w:t>
      </w:r>
      <w:proofErr w:type="spellEnd"/>
      <w:r>
        <w:t xml:space="preserve"> 004 -1</w:t>
      </w:r>
    </w:p>
  </w:footnote>
  <w:footnote w:id="2">
    <w:p w14:paraId="49DD6784" w14:textId="77777777" w:rsidR="00F415C8" w:rsidRDefault="00F415C8" w:rsidP="00F415C8">
      <w:pPr>
        <w:pStyle w:val="FootnoteText"/>
      </w:pPr>
      <w:r>
        <w:rPr>
          <w:rStyle w:val="FootnoteReference"/>
        </w:rPr>
        <w:footnoteRef/>
      </w:r>
      <w:r>
        <w:t xml:space="preserve"> </w:t>
      </w:r>
      <w:proofErr w:type="spellStart"/>
      <w:r>
        <w:t>Caselines</w:t>
      </w:r>
      <w:proofErr w:type="spellEnd"/>
      <w:r>
        <w:t xml:space="preserve"> 006-1</w:t>
      </w:r>
    </w:p>
  </w:footnote>
  <w:footnote w:id="3">
    <w:p w14:paraId="4DD9005B" w14:textId="77777777" w:rsidR="00F415C8" w:rsidRDefault="00F415C8" w:rsidP="00F415C8">
      <w:pPr>
        <w:pStyle w:val="FootnoteText"/>
      </w:pPr>
      <w:r>
        <w:rPr>
          <w:rStyle w:val="FootnoteReference"/>
        </w:rPr>
        <w:footnoteRef/>
      </w:r>
      <w:r>
        <w:t xml:space="preserve"> </w:t>
      </w:r>
      <w:proofErr w:type="spellStart"/>
      <w:r>
        <w:t>Caselines</w:t>
      </w:r>
      <w:proofErr w:type="spellEnd"/>
      <w:r>
        <w:t xml:space="preserve"> 001-23 para 22</w:t>
      </w:r>
    </w:p>
  </w:footnote>
  <w:footnote w:id="4">
    <w:p w14:paraId="18EF6EE4" w14:textId="77777777" w:rsidR="00F415C8" w:rsidRDefault="00F415C8" w:rsidP="00F415C8">
      <w:pPr>
        <w:pStyle w:val="FootnoteText"/>
      </w:pPr>
      <w:r>
        <w:rPr>
          <w:rStyle w:val="FootnoteReference"/>
        </w:rPr>
        <w:footnoteRef/>
      </w:r>
      <w:r>
        <w:t xml:space="preserve"> Section 26(3) Constitution Act 108 of 1996</w:t>
      </w:r>
    </w:p>
  </w:footnote>
  <w:footnote w:id="5">
    <w:p w14:paraId="347DCD69" w14:textId="77777777" w:rsidR="00F415C8" w:rsidRDefault="00F415C8" w:rsidP="00F415C8">
      <w:pPr>
        <w:pStyle w:val="FootnoteText"/>
      </w:pPr>
      <w:r>
        <w:rPr>
          <w:rStyle w:val="FootnoteReference"/>
        </w:rPr>
        <w:footnoteRef/>
      </w:r>
      <w:r>
        <w:t xml:space="preserve"> GN R842 published in GG 42497 of 31 May 2019</w:t>
      </w:r>
    </w:p>
  </w:footnote>
  <w:footnote w:id="6">
    <w:p w14:paraId="593E11E8" w14:textId="77777777" w:rsidR="00F415C8" w:rsidRDefault="00F415C8" w:rsidP="00F415C8">
      <w:pPr>
        <w:pStyle w:val="FootnoteText"/>
      </w:pPr>
      <w:r>
        <w:rPr>
          <w:rStyle w:val="FootnoteReference"/>
        </w:rPr>
        <w:footnoteRef/>
      </w:r>
      <w:r>
        <w:t xml:space="preserve"> 2020 (6) SA 634 (WCC) at para 41</w:t>
      </w:r>
    </w:p>
  </w:footnote>
  <w:footnote w:id="7">
    <w:p w14:paraId="3D41C62D" w14:textId="77777777" w:rsidR="00F415C8" w:rsidRDefault="00F415C8" w:rsidP="00F415C8">
      <w:pPr>
        <w:pStyle w:val="FootnoteText"/>
      </w:pPr>
      <w:r>
        <w:rPr>
          <w:rStyle w:val="FootnoteReference"/>
        </w:rPr>
        <w:footnoteRef/>
      </w:r>
      <w:r>
        <w:t xml:space="preserve"> </w:t>
      </w:r>
      <w:proofErr w:type="spellStart"/>
      <w:r>
        <w:t>Caselines</w:t>
      </w:r>
      <w:proofErr w:type="spellEnd"/>
      <w:r>
        <w:t xml:space="preserve"> 015-7</w:t>
      </w:r>
    </w:p>
  </w:footnote>
  <w:footnote w:id="8">
    <w:p w14:paraId="1F5C7E79" w14:textId="77777777" w:rsidR="00F415C8" w:rsidRDefault="00F415C8" w:rsidP="00F415C8">
      <w:pPr>
        <w:pStyle w:val="FootnoteText"/>
      </w:pPr>
      <w:r>
        <w:rPr>
          <w:rStyle w:val="FootnoteReference"/>
        </w:rPr>
        <w:footnoteRef/>
      </w:r>
      <w:r>
        <w:t xml:space="preserve"> 1978 1 SA 463 A</w:t>
      </w:r>
    </w:p>
  </w:footnote>
  <w:footnote w:id="9">
    <w:p w14:paraId="3A6C9E6E" w14:textId="77777777" w:rsidR="00F415C8" w:rsidRDefault="00F415C8" w:rsidP="00F415C8">
      <w:pPr>
        <w:pStyle w:val="FootnoteText"/>
      </w:pPr>
      <w:r>
        <w:rPr>
          <w:rStyle w:val="FootnoteReference"/>
        </w:rPr>
        <w:footnoteRef/>
      </w:r>
      <w:r>
        <w:t xml:space="preserve"> </w:t>
      </w:r>
      <w:proofErr w:type="spellStart"/>
      <w:r>
        <w:t>Lotz,DJ</w:t>
      </w:r>
      <w:proofErr w:type="spellEnd"/>
      <w:r>
        <w:t>, Nagel, CJ, Specific Contracts in Court 2</w:t>
      </w:r>
      <w:r w:rsidRPr="00936BFB">
        <w:rPr>
          <w:vertAlign w:val="superscript"/>
        </w:rPr>
        <w:t>nd</w:t>
      </w:r>
      <w:r>
        <w:t xml:space="preserve"> </w:t>
      </w:r>
      <w:proofErr w:type="spellStart"/>
      <w:r>
        <w:t>ed</w:t>
      </w:r>
      <w:proofErr w:type="spellEnd"/>
      <w:r>
        <w:t xml:space="preserve"> p91 </w:t>
      </w:r>
    </w:p>
  </w:footnote>
  <w:footnote w:id="10">
    <w:p w14:paraId="7406BDD2" w14:textId="77777777" w:rsidR="00F415C8" w:rsidRDefault="00F415C8" w:rsidP="00F415C8">
      <w:pPr>
        <w:pStyle w:val="FootnoteText"/>
      </w:pPr>
      <w:r>
        <w:rPr>
          <w:rStyle w:val="FootnoteReference"/>
        </w:rPr>
        <w:footnoteRef/>
      </w:r>
      <w:r>
        <w:t xml:space="preserve"> S26 Act 108 of 1996</w:t>
      </w:r>
    </w:p>
  </w:footnote>
  <w:footnote w:id="11">
    <w:p w14:paraId="41AD15A7" w14:textId="77777777" w:rsidR="00F415C8" w:rsidRDefault="00F415C8" w:rsidP="00F415C8">
      <w:pPr>
        <w:pStyle w:val="FootnoteText"/>
      </w:pPr>
      <w:r>
        <w:rPr>
          <w:rStyle w:val="FootnoteReference"/>
        </w:rPr>
        <w:footnoteRef/>
      </w:r>
      <w:r>
        <w:t xml:space="preserve"> 2023 (4) SA 25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591DD292"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30453E">
      <w:rPr>
        <w:rStyle w:val="PageNumber"/>
        <w:rFonts w:ascii="Arial" w:hAnsi="Arial" w:cs="Arial"/>
        <w:noProof/>
        <w:sz w:val="25"/>
        <w:szCs w:val="25"/>
      </w:rPr>
      <w:t>14</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BF26850"/>
    <w:multiLevelType w:val="hybridMultilevel"/>
    <w:tmpl w:val="EF9A8DEE"/>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F75443"/>
    <w:multiLevelType w:val="hybridMultilevel"/>
    <w:tmpl w:val="62EC64D6"/>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A503BD"/>
    <w:multiLevelType w:val="hybridMultilevel"/>
    <w:tmpl w:val="CE0895EC"/>
    <w:lvl w:ilvl="0" w:tplc="EC287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DE51ECC"/>
    <w:multiLevelType w:val="hybridMultilevel"/>
    <w:tmpl w:val="A79C77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2A4B3120"/>
    <w:multiLevelType w:val="hybridMultilevel"/>
    <w:tmpl w:val="7F4AA340"/>
    <w:lvl w:ilvl="0" w:tplc="02AA9A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B2A79E9"/>
    <w:multiLevelType w:val="hybridMultilevel"/>
    <w:tmpl w:val="504021EA"/>
    <w:lvl w:ilvl="0" w:tplc="0C628372">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FF54C41"/>
    <w:multiLevelType w:val="hybridMultilevel"/>
    <w:tmpl w:val="31667C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8A75599"/>
    <w:multiLevelType w:val="multilevel"/>
    <w:tmpl w:val="B8F4EC5A"/>
    <w:lvl w:ilvl="0">
      <w:start w:val="1"/>
      <w:numFmt w:val="decimal"/>
      <w:pStyle w:val="ListLevel1"/>
      <w:lvlText w:val="%1."/>
      <w:lvlJc w:val="left"/>
      <w:pPr>
        <w:tabs>
          <w:tab w:val="num" w:pos="851"/>
        </w:tabs>
        <w:ind w:left="851" w:hanging="851"/>
      </w:pPr>
      <w:rPr>
        <w:rFonts w:hint="default"/>
        <w:b w:val="0"/>
        <w:i w:val="0"/>
        <w:iCs w:val="0"/>
        <w:color w:val="auto"/>
      </w:rPr>
    </w:lvl>
    <w:lvl w:ilvl="1">
      <w:start w:val="1"/>
      <w:numFmt w:val="decimal"/>
      <w:pStyle w:val="ListLevel2"/>
      <w:lvlText w:val="%1.%2."/>
      <w:lvlJc w:val="left"/>
      <w:pPr>
        <w:tabs>
          <w:tab w:val="num" w:pos="850"/>
        </w:tabs>
        <w:ind w:left="850" w:hanging="850"/>
      </w:pPr>
      <w:rPr>
        <w:rFonts w:hint="default"/>
        <w:b w:val="0"/>
      </w:rPr>
    </w:lvl>
    <w:lvl w:ilvl="2">
      <w:start w:val="1"/>
      <w:numFmt w:val="decimal"/>
      <w:pStyle w:val="ListLevel3"/>
      <w:lvlText w:val="%1.%2.%3."/>
      <w:lvlJc w:val="left"/>
      <w:pPr>
        <w:tabs>
          <w:tab w:val="num" w:pos="1843"/>
        </w:tabs>
        <w:ind w:left="1843" w:hanging="851"/>
      </w:pPr>
      <w:rPr>
        <w:rFonts w:hint="default"/>
      </w:rPr>
    </w:lvl>
    <w:lvl w:ilvl="3">
      <w:start w:val="1"/>
      <w:numFmt w:val="lowerLetter"/>
      <w:pStyle w:val="ListLevel4"/>
      <w:lvlText w:val="(%4)"/>
      <w:lvlJc w:val="left"/>
      <w:pPr>
        <w:tabs>
          <w:tab w:val="num" w:pos="2410"/>
        </w:tabs>
        <w:ind w:left="2410" w:hanging="567"/>
      </w:pPr>
      <w:rPr>
        <w:rFonts w:hint="default"/>
      </w:rPr>
    </w:lvl>
    <w:lvl w:ilvl="4">
      <w:start w:val="1"/>
      <w:numFmt w:val="decimal"/>
      <w:lvlText w:val="%1.%2.%3.%4.%5."/>
      <w:lvlJc w:val="left"/>
      <w:pPr>
        <w:tabs>
          <w:tab w:val="num" w:pos="1523"/>
        </w:tabs>
        <w:ind w:left="1523" w:hanging="792"/>
      </w:pPr>
      <w:rPr>
        <w:rFonts w:hint="default"/>
      </w:rPr>
    </w:lvl>
    <w:lvl w:ilvl="5">
      <w:start w:val="1"/>
      <w:numFmt w:val="decimal"/>
      <w:lvlText w:val="%1.%2.%3.%4.%5.%6."/>
      <w:lvlJc w:val="left"/>
      <w:pPr>
        <w:tabs>
          <w:tab w:val="num" w:pos="2027"/>
        </w:tabs>
        <w:ind w:left="2027" w:hanging="936"/>
      </w:pPr>
      <w:rPr>
        <w:rFonts w:hint="default"/>
      </w:rPr>
    </w:lvl>
    <w:lvl w:ilvl="6">
      <w:start w:val="1"/>
      <w:numFmt w:val="decimal"/>
      <w:lvlText w:val="%1.%2.%3.%4.%5.%6.%7."/>
      <w:lvlJc w:val="left"/>
      <w:pPr>
        <w:tabs>
          <w:tab w:val="num" w:pos="2531"/>
        </w:tabs>
        <w:ind w:left="2531" w:hanging="1080"/>
      </w:pPr>
      <w:rPr>
        <w:rFonts w:hint="default"/>
      </w:rPr>
    </w:lvl>
    <w:lvl w:ilvl="7">
      <w:start w:val="1"/>
      <w:numFmt w:val="decimal"/>
      <w:lvlText w:val="%1.%2.%3.%4.%5.%6.%7.%8."/>
      <w:lvlJc w:val="left"/>
      <w:pPr>
        <w:tabs>
          <w:tab w:val="num" w:pos="3035"/>
        </w:tabs>
        <w:ind w:left="3035" w:hanging="1224"/>
      </w:pPr>
      <w:rPr>
        <w:rFonts w:hint="default"/>
      </w:rPr>
    </w:lvl>
    <w:lvl w:ilvl="8">
      <w:start w:val="1"/>
      <w:numFmt w:val="decimal"/>
      <w:lvlText w:val="%1.%2.%3.%4.%5.%6.%7.%8.%9."/>
      <w:lvlJc w:val="left"/>
      <w:pPr>
        <w:tabs>
          <w:tab w:val="num" w:pos="3611"/>
        </w:tabs>
        <w:ind w:left="3611" w:hanging="1440"/>
      </w:pPr>
      <w:rPr>
        <w:rFonts w:hint="default"/>
      </w:rPr>
    </w:lvl>
  </w:abstractNum>
  <w:abstractNum w:abstractNumId="11" w15:restartNumberingAfterBreak="0">
    <w:nsid w:val="62116CD5"/>
    <w:multiLevelType w:val="multilevel"/>
    <w:tmpl w:val="D06A1C7E"/>
    <w:lvl w:ilvl="0">
      <w:start w:val="1"/>
      <w:numFmt w:val="decimal"/>
      <w:lvlText w:val="%1."/>
      <w:lvlJc w:val="left"/>
      <w:pPr>
        <w:ind w:left="928" w:hanging="360"/>
      </w:pPr>
      <w:rPr>
        <w:rFonts w:hint="default"/>
      </w:rPr>
    </w:lvl>
    <w:lvl w:ilvl="1">
      <w:start w:val="3"/>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2" w15:restartNumberingAfterBreak="0">
    <w:nsid w:val="68251837"/>
    <w:multiLevelType w:val="multilevel"/>
    <w:tmpl w:val="F5F418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3"/>
  </w:num>
  <w:num w:numId="4">
    <w:abstractNumId w:val="10"/>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6"/>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NjUzsTS3NDC2tDRX0lEKTi0uzszPAykwrAUAbqAQ5CwAAAA="/>
  </w:docVars>
  <w:rsids>
    <w:rsidRoot w:val="005B2B01"/>
    <w:rsid w:val="00013B60"/>
    <w:rsid w:val="000233C3"/>
    <w:rsid w:val="0003033E"/>
    <w:rsid w:val="000441BE"/>
    <w:rsid w:val="00046227"/>
    <w:rsid w:val="000645A3"/>
    <w:rsid w:val="00066255"/>
    <w:rsid w:val="00067824"/>
    <w:rsid w:val="00076BDF"/>
    <w:rsid w:val="0007757D"/>
    <w:rsid w:val="00080FB7"/>
    <w:rsid w:val="00081BE5"/>
    <w:rsid w:val="0008361C"/>
    <w:rsid w:val="00090D49"/>
    <w:rsid w:val="00092FE9"/>
    <w:rsid w:val="000C5FBC"/>
    <w:rsid w:val="000D301E"/>
    <w:rsid w:val="000E1FD0"/>
    <w:rsid w:val="000E5404"/>
    <w:rsid w:val="000F571B"/>
    <w:rsid w:val="000F5A1B"/>
    <w:rsid w:val="00100A4E"/>
    <w:rsid w:val="00103B17"/>
    <w:rsid w:val="0011358F"/>
    <w:rsid w:val="00124AF2"/>
    <w:rsid w:val="00141B4B"/>
    <w:rsid w:val="00142537"/>
    <w:rsid w:val="00145319"/>
    <w:rsid w:val="0014765C"/>
    <w:rsid w:val="001522B0"/>
    <w:rsid w:val="00157C9E"/>
    <w:rsid w:val="00171D00"/>
    <w:rsid w:val="00173D11"/>
    <w:rsid w:val="0019543C"/>
    <w:rsid w:val="001A491F"/>
    <w:rsid w:val="001A4B73"/>
    <w:rsid w:val="001B2387"/>
    <w:rsid w:val="001C327E"/>
    <w:rsid w:val="001C5E9C"/>
    <w:rsid w:val="001D1286"/>
    <w:rsid w:val="001D3406"/>
    <w:rsid w:val="001E4A36"/>
    <w:rsid w:val="001F0D85"/>
    <w:rsid w:val="001F55DE"/>
    <w:rsid w:val="001F6793"/>
    <w:rsid w:val="00200B29"/>
    <w:rsid w:val="00203E3E"/>
    <w:rsid w:val="00204B1F"/>
    <w:rsid w:val="00234928"/>
    <w:rsid w:val="00234CD3"/>
    <w:rsid w:val="00245352"/>
    <w:rsid w:val="00252D88"/>
    <w:rsid w:val="0025601B"/>
    <w:rsid w:val="00257E97"/>
    <w:rsid w:val="00262035"/>
    <w:rsid w:val="00266D98"/>
    <w:rsid w:val="00267551"/>
    <w:rsid w:val="00273DD4"/>
    <w:rsid w:val="00274895"/>
    <w:rsid w:val="00297C9F"/>
    <w:rsid w:val="002C52D0"/>
    <w:rsid w:val="002C64DB"/>
    <w:rsid w:val="002C6E15"/>
    <w:rsid w:val="002E4069"/>
    <w:rsid w:val="002F1EF0"/>
    <w:rsid w:val="00301313"/>
    <w:rsid w:val="00302280"/>
    <w:rsid w:val="00303FB5"/>
    <w:rsid w:val="00304027"/>
    <w:rsid w:val="00304323"/>
    <w:rsid w:val="0030453E"/>
    <w:rsid w:val="003266A3"/>
    <w:rsid w:val="00336713"/>
    <w:rsid w:val="00360A74"/>
    <w:rsid w:val="00364BBD"/>
    <w:rsid w:val="00370394"/>
    <w:rsid w:val="003822D3"/>
    <w:rsid w:val="00394560"/>
    <w:rsid w:val="003A42EC"/>
    <w:rsid w:val="003A5334"/>
    <w:rsid w:val="003B155F"/>
    <w:rsid w:val="003D095D"/>
    <w:rsid w:val="003E353F"/>
    <w:rsid w:val="003E61A3"/>
    <w:rsid w:val="003E7B53"/>
    <w:rsid w:val="003F078F"/>
    <w:rsid w:val="00405046"/>
    <w:rsid w:val="00405ECC"/>
    <w:rsid w:val="004157A7"/>
    <w:rsid w:val="00423CB0"/>
    <w:rsid w:val="00437B26"/>
    <w:rsid w:val="0045222A"/>
    <w:rsid w:val="00460820"/>
    <w:rsid w:val="00467656"/>
    <w:rsid w:val="00490977"/>
    <w:rsid w:val="004B11AB"/>
    <w:rsid w:val="004B5191"/>
    <w:rsid w:val="004B6D4A"/>
    <w:rsid w:val="004C3206"/>
    <w:rsid w:val="004C71F3"/>
    <w:rsid w:val="004D0D37"/>
    <w:rsid w:val="004E07A7"/>
    <w:rsid w:val="004E37E5"/>
    <w:rsid w:val="004E6608"/>
    <w:rsid w:val="004F4EEF"/>
    <w:rsid w:val="004F5C32"/>
    <w:rsid w:val="00501616"/>
    <w:rsid w:val="005044A6"/>
    <w:rsid w:val="00520C8C"/>
    <w:rsid w:val="00532293"/>
    <w:rsid w:val="00540943"/>
    <w:rsid w:val="00550532"/>
    <w:rsid w:val="00552536"/>
    <w:rsid w:val="005577D6"/>
    <w:rsid w:val="00560DAB"/>
    <w:rsid w:val="00562D31"/>
    <w:rsid w:val="005832A2"/>
    <w:rsid w:val="00585E16"/>
    <w:rsid w:val="00587C8C"/>
    <w:rsid w:val="00593E3F"/>
    <w:rsid w:val="00594841"/>
    <w:rsid w:val="00596FA2"/>
    <w:rsid w:val="005B2B01"/>
    <w:rsid w:val="005B386A"/>
    <w:rsid w:val="005B40AF"/>
    <w:rsid w:val="005D6C4D"/>
    <w:rsid w:val="00610B45"/>
    <w:rsid w:val="00613714"/>
    <w:rsid w:val="006451F6"/>
    <w:rsid w:val="00645B54"/>
    <w:rsid w:val="0065104A"/>
    <w:rsid w:val="006576AF"/>
    <w:rsid w:val="0067260F"/>
    <w:rsid w:val="0067281D"/>
    <w:rsid w:val="00675EF8"/>
    <w:rsid w:val="006842D7"/>
    <w:rsid w:val="0069151E"/>
    <w:rsid w:val="00692ED6"/>
    <w:rsid w:val="006940BA"/>
    <w:rsid w:val="00697739"/>
    <w:rsid w:val="006A0EDE"/>
    <w:rsid w:val="006A6DCE"/>
    <w:rsid w:val="006B132F"/>
    <w:rsid w:val="006C2AE7"/>
    <w:rsid w:val="006C3E2C"/>
    <w:rsid w:val="006C6BFE"/>
    <w:rsid w:val="006F061C"/>
    <w:rsid w:val="006F7C69"/>
    <w:rsid w:val="007032F1"/>
    <w:rsid w:val="0070764E"/>
    <w:rsid w:val="007101BE"/>
    <w:rsid w:val="00712C5A"/>
    <w:rsid w:val="007168D6"/>
    <w:rsid w:val="00733334"/>
    <w:rsid w:val="00735B93"/>
    <w:rsid w:val="0075275C"/>
    <w:rsid w:val="00792F12"/>
    <w:rsid w:val="007938FD"/>
    <w:rsid w:val="007A5039"/>
    <w:rsid w:val="007B2BEB"/>
    <w:rsid w:val="007B3DB5"/>
    <w:rsid w:val="007C36C8"/>
    <w:rsid w:val="007D7943"/>
    <w:rsid w:val="007E7FAE"/>
    <w:rsid w:val="0081570C"/>
    <w:rsid w:val="008208B5"/>
    <w:rsid w:val="00821586"/>
    <w:rsid w:val="0083545A"/>
    <w:rsid w:val="008612FA"/>
    <w:rsid w:val="00861B65"/>
    <w:rsid w:val="008832D7"/>
    <w:rsid w:val="008851CD"/>
    <w:rsid w:val="008A0446"/>
    <w:rsid w:val="008C2B8B"/>
    <w:rsid w:val="008E108D"/>
    <w:rsid w:val="008F5A94"/>
    <w:rsid w:val="008F6698"/>
    <w:rsid w:val="00903025"/>
    <w:rsid w:val="00905DA8"/>
    <w:rsid w:val="0091334C"/>
    <w:rsid w:val="009246BF"/>
    <w:rsid w:val="0092610E"/>
    <w:rsid w:val="00927B2C"/>
    <w:rsid w:val="009769F2"/>
    <w:rsid w:val="00980139"/>
    <w:rsid w:val="0098104B"/>
    <w:rsid w:val="00984EE7"/>
    <w:rsid w:val="00985F8D"/>
    <w:rsid w:val="009B0F23"/>
    <w:rsid w:val="009C62C6"/>
    <w:rsid w:val="009C7773"/>
    <w:rsid w:val="009D2877"/>
    <w:rsid w:val="009F3FD6"/>
    <w:rsid w:val="009F640B"/>
    <w:rsid w:val="00A01201"/>
    <w:rsid w:val="00A012C5"/>
    <w:rsid w:val="00A01A63"/>
    <w:rsid w:val="00A0233F"/>
    <w:rsid w:val="00A1177B"/>
    <w:rsid w:val="00A239FE"/>
    <w:rsid w:val="00A314FF"/>
    <w:rsid w:val="00A44620"/>
    <w:rsid w:val="00A44DC7"/>
    <w:rsid w:val="00A51423"/>
    <w:rsid w:val="00A72240"/>
    <w:rsid w:val="00A73C54"/>
    <w:rsid w:val="00A75E8C"/>
    <w:rsid w:val="00A90281"/>
    <w:rsid w:val="00A96D10"/>
    <w:rsid w:val="00AC2F04"/>
    <w:rsid w:val="00AC3810"/>
    <w:rsid w:val="00AC666D"/>
    <w:rsid w:val="00AF5214"/>
    <w:rsid w:val="00B00086"/>
    <w:rsid w:val="00B05014"/>
    <w:rsid w:val="00B20960"/>
    <w:rsid w:val="00B20BD4"/>
    <w:rsid w:val="00B234D9"/>
    <w:rsid w:val="00B263DE"/>
    <w:rsid w:val="00B41317"/>
    <w:rsid w:val="00B42A2F"/>
    <w:rsid w:val="00B52AC2"/>
    <w:rsid w:val="00B57E63"/>
    <w:rsid w:val="00B65934"/>
    <w:rsid w:val="00B72E64"/>
    <w:rsid w:val="00B755AF"/>
    <w:rsid w:val="00B760A2"/>
    <w:rsid w:val="00B855C3"/>
    <w:rsid w:val="00BA51B1"/>
    <w:rsid w:val="00BA6E62"/>
    <w:rsid w:val="00BD5A11"/>
    <w:rsid w:val="00BD73EF"/>
    <w:rsid w:val="00BE0913"/>
    <w:rsid w:val="00C00F49"/>
    <w:rsid w:val="00C06DE6"/>
    <w:rsid w:val="00C10A6A"/>
    <w:rsid w:val="00C15506"/>
    <w:rsid w:val="00C2097B"/>
    <w:rsid w:val="00C216CD"/>
    <w:rsid w:val="00C2519C"/>
    <w:rsid w:val="00C2718F"/>
    <w:rsid w:val="00C307C7"/>
    <w:rsid w:val="00C34F62"/>
    <w:rsid w:val="00C465AE"/>
    <w:rsid w:val="00C46EF1"/>
    <w:rsid w:val="00C53E82"/>
    <w:rsid w:val="00C55230"/>
    <w:rsid w:val="00C61290"/>
    <w:rsid w:val="00C659BE"/>
    <w:rsid w:val="00C73C01"/>
    <w:rsid w:val="00C7465B"/>
    <w:rsid w:val="00C87EC2"/>
    <w:rsid w:val="00C9115E"/>
    <w:rsid w:val="00C967BC"/>
    <w:rsid w:val="00CA541B"/>
    <w:rsid w:val="00CA68B7"/>
    <w:rsid w:val="00CF0140"/>
    <w:rsid w:val="00CF261B"/>
    <w:rsid w:val="00CF31DF"/>
    <w:rsid w:val="00CF512A"/>
    <w:rsid w:val="00CF68E0"/>
    <w:rsid w:val="00D00597"/>
    <w:rsid w:val="00D029B5"/>
    <w:rsid w:val="00D11358"/>
    <w:rsid w:val="00D23ACD"/>
    <w:rsid w:val="00D63CA2"/>
    <w:rsid w:val="00D82F93"/>
    <w:rsid w:val="00D91B37"/>
    <w:rsid w:val="00DB4B82"/>
    <w:rsid w:val="00DC013A"/>
    <w:rsid w:val="00DC0858"/>
    <w:rsid w:val="00DD201B"/>
    <w:rsid w:val="00DD2572"/>
    <w:rsid w:val="00DD7EC8"/>
    <w:rsid w:val="00DE61FE"/>
    <w:rsid w:val="00E00582"/>
    <w:rsid w:val="00E0596D"/>
    <w:rsid w:val="00E10C60"/>
    <w:rsid w:val="00E11733"/>
    <w:rsid w:val="00E14600"/>
    <w:rsid w:val="00E171A4"/>
    <w:rsid w:val="00E20795"/>
    <w:rsid w:val="00E21B69"/>
    <w:rsid w:val="00E3094A"/>
    <w:rsid w:val="00E315EC"/>
    <w:rsid w:val="00E31637"/>
    <w:rsid w:val="00E375BF"/>
    <w:rsid w:val="00E424E0"/>
    <w:rsid w:val="00E55C3E"/>
    <w:rsid w:val="00E80818"/>
    <w:rsid w:val="00E91717"/>
    <w:rsid w:val="00E9228C"/>
    <w:rsid w:val="00E972A8"/>
    <w:rsid w:val="00EC226C"/>
    <w:rsid w:val="00EE72DA"/>
    <w:rsid w:val="00EF61D1"/>
    <w:rsid w:val="00F147F9"/>
    <w:rsid w:val="00F342AA"/>
    <w:rsid w:val="00F415C8"/>
    <w:rsid w:val="00F53AE5"/>
    <w:rsid w:val="00F53D9C"/>
    <w:rsid w:val="00F848AF"/>
    <w:rsid w:val="00F84AE5"/>
    <w:rsid w:val="00F85E25"/>
    <w:rsid w:val="00F90D9E"/>
    <w:rsid w:val="00FB191C"/>
    <w:rsid w:val="00FC663C"/>
    <w:rsid w:val="00FD553A"/>
    <w:rsid w:val="00FE06F9"/>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C53E82"/>
    <w:pPr>
      <w:keepNext/>
      <w:outlineLvl w:val="0"/>
    </w:pPr>
    <w:rPr>
      <w:rFonts w:cs="Arial"/>
      <w:b/>
      <w:bCs/>
      <w:caps/>
      <w:sz w:val="24"/>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C53E82"/>
    <w:pPr>
      <w:numPr>
        <w:numId w:val="4"/>
      </w:numPr>
    </w:pPr>
    <w:rPr>
      <w:sz w:val="24"/>
    </w:rPr>
  </w:style>
  <w:style w:type="paragraph" w:customStyle="1" w:styleId="ListLevel2">
    <w:name w:val="ListLevel2"/>
    <w:basedOn w:val="ListLevel1"/>
    <w:qFormat/>
    <w:rsid w:val="001C327E"/>
    <w:pPr>
      <w:numPr>
        <w:ilvl w:val="1"/>
      </w:numPr>
      <w:tabs>
        <w:tab w:val="num" w:pos="1701"/>
      </w:tabs>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
      </w:numPr>
    </w:pPr>
  </w:style>
  <w:style w:type="paragraph" w:customStyle="1" w:styleId="onebracket">
    <w:name w:val="onebracket"/>
    <w:basedOn w:val="BodyText"/>
    <w:pPr>
      <w:numPr>
        <w:numId w:val="3"/>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sid w:val="00303FB5"/>
    <w:pPr>
      <w:tabs>
        <w:tab w:val="left" w:pos="284"/>
      </w:tabs>
      <w:spacing w:after="0"/>
    </w:pPr>
    <w:rPr>
      <w:rFonts w:ascii="Arial" w:hAnsi="Arial"/>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link w:val="FootnoteText"/>
    <w:uiPriority w:val="99"/>
    <w:rsid w:val="00303FB5"/>
    <w:rPr>
      <w:rFonts w:ascii="Arial" w:hAnsi="Arial"/>
      <w:lang w:eastAsia="en-US"/>
    </w:rPr>
  </w:style>
  <w:style w:type="character" w:styleId="FootnoteReference">
    <w:name w:val="footnote reference"/>
    <w:aliases w:val="Ref,de nota al pie,註腳內容,Footnotes refss,Footnote Reference + Superscript"/>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
    <w:name w:val="Unresolved Mention"/>
    <w:basedOn w:val="DefaultParagraphFont"/>
    <w:uiPriority w:val="99"/>
    <w:semiHidden/>
    <w:unhideWhenUsed/>
    <w:rsid w:val="00A01201"/>
    <w:rPr>
      <w:color w:val="605E5C"/>
      <w:shd w:val="clear" w:color="auto" w:fill="E1DFDD"/>
    </w:rPr>
  </w:style>
  <w:style w:type="paragraph" w:customStyle="1" w:styleId="StyleHeading1NotBold">
    <w:name w:val="Style Heading 1 + Not Bold"/>
    <w:basedOn w:val="Heading1"/>
    <w:autoRedefine/>
    <w:rsid w:val="005832A2"/>
    <w:rPr>
      <w:bCs w:val="0"/>
    </w:rPr>
  </w:style>
  <w:style w:type="paragraph" w:customStyle="1" w:styleId="JudgmentNumbered">
    <w:name w:val="Judgment Numbered"/>
    <w:basedOn w:val="Normal"/>
    <w:link w:val="JudgmentNumberedChar"/>
    <w:qFormat/>
    <w:rsid w:val="00E11733"/>
    <w:pPr>
      <w:numPr>
        <w:numId w:val="12"/>
      </w:numPr>
      <w:spacing w:after="240"/>
    </w:pPr>
    <w:rPr>
      <w:rFonts w:ascii="Arial" w:eastAsiaTheme="minorHAnsi" w:hAnsi="Arial" w:cs="Arial"/>
      <w:sz w:val="24"/>
      <w:szCs w:val="22"/>
      <w:lang w:val="en-GB"/>
    </w:rPr>
  </w:style>
  <w:style w:type="character" w:customStyle="1" w:styleId="JudgmentNumberedChar">
    <w:name w:val="Judgment Numbered Char"/>
    <w:basedOn w:val="DefaultParagraphFont"/>
    <w:link w:val="JudgmentNumbered"/>
    <w:rsid w:val="00E11733"/>
    <w:rPr>
      <w:rFonts w:ascii="Arial" w:eastAsiaTheme="minorHAnsi" w:hAnsi="Arial" w:cs="Arial"/>
      <w:sz w:val="24"/>
      <w:szCs w:val="22"/>
      <w:lang w:val="en-GB" w:eastAsia="en-US"/>
    </w:rPr>
  </w:style>
  <w:style w:type="character" w:customStyle="1" w:styleId="StyleFootnoteReferenceRefdenotaalpieFootnotesrefssFo">
    <w:name w:val="Style Footnote ReferenceRefde nota al pie註腳內容Footnotes refssFo..."/>
    <w:basedOn w:val="FootnoteReference"/>
    <w:rsid w:val="00B41317"/>
    <w:rPr>
      <w:rFonts w:ascii="Arial" w:hAnsi="Arial"/>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mke@snassociates.co.za" TargetMode="External"/><Relationship Id="rId4" Type="http://schemas.openxmlformats.org/officeDocument/2006/relationships/settings" Target="settings.xml"/><Relationship Id="rId9" Type="http://schemas.openxmlformats.org/officeDocument/2006/relationships/hyperlink" Target="mailto:nadined@bvz.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CD432-CE1F-4A5A-A8BA-171C8014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3</TotalTime>
  <Pages>14</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Sathish</cp:lastModifiedBy>
  <cp:revision>4</cp:revision>
  <cp:lastPrinted>2022-01-26T15:55:00Z</cp:lastPrinted>
  <dcterms:created xsi:type="dcterms:W3CDTF">2024-01-18T07:18:00Z</dcterms:created>
  <dcterms:modified xsi:type="dcterms:W3CDTF">2024-01-18T21:33:00Z</dcterms:modified>
</cp:coreProperties>
</file>