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E3A3" w14:textId="77777777" w:rsidR="00F43CAD" w:rsidRPr="00F43CAD" w:rsidRDefault="00F43CAD" w:rsidP="00F43CAD">
      <w:pPr>
        <w:spacing w:after="0" w:line="480" w:lineRule="auto"/>
        <w:jc w:val="center"/>
        <w:rPr>
          <w:rFonts w:ascii="Arial" w:eastAsia="Times New Roman" w:hAnsi="Arial" w:cs="Arial"/>
          <w:color w:val="0E101A"/>
          <w:kern w:val="0"/>
          <w:lang w:val="en-ZA" w:eastAsia="en-ZA"/>
          <w14:ligatures w14:val="none"/>
        </w:rPr>
      </w:pPr>
      <w:r w:rsidRPr="005B4522">
        <w:rPr>
          <w:rFonts w:ascii="Arial" w:eastAsia="Times New Roman" w:hAnsi="Arial" w:cs="Arial"/>
          <w:b/>
          <w:bCs/>
          <w:color w:val="0E101A"/>
          <w:kern w:val="0"/>
          <w:lang w:val="en-ZA" w:eastAsia="en-ZA"/>
          <w14:ligatures w14:val="none"/>
        </w:rPr>
        <w:t>REPUBLIC OF SOUTH AFRICA</w:t>
      </w:r>
    </w:p>
    <w:p w14:paraId="10A6B49E" w14:textId="77777777" w:rsidR="00F43CAD" w:rsidRPr="00F43CAD" w:rsidRDefault="00F43CAD" w:rsidP="00F43CAD">
      <w:pPr>
        <w:spacing w:after="0" w:line="480" w:lineRule="auto"/>
        <w:jc w:val="center"/>
        <w:rPr>
          <w:rFonts w:ascii="Arial" w:eastAsia="Times New Roman" w:hAnsi="Arial" w:cs="Arial"/>
          <w:color w:val="0E101A"/>
          <w:kern w:val="0"/>
          <w:lang w:val="en-ZA" w:eastAsia="en-ZA"/>
          <w14:ligatures w14:val="none"/>
        </w:rPr>
      </w:pPr>
      <w:r w:rsidRPr="00F43CAD">
        <w:rPr>
          <w:rFonts w:ascii="Arial" w:eastAsia="Times New Roman" w:hAnsi="Arial" w:cs="Arial"/>
          <w:b/>
          <w:bCs/>
          <w:noProof/>
          <w:color w:val="000000"/>
          <w:kern w:val="0"/>
          <w:bdr w:val="none" w:sz="0" w:space="0" w:color="auto" w:frame="1"/>
          <w:lang w:val="en-US"/>
          <w14:ligatures w14:val="none"/>
        </w:rPr>
        <w:drawing>
          <wp:inline distT="0" distB="0" distL="0" distR="0" wp14:anchorId="1731B801" wp14:editId="696CB2E3">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666BC10D" w14:textId="77777777" w:rsidR="00F43CAD" w:rsidRPr="00F43CAD" w:rsidRDefault="00F43CAD" w:rsidP="00F43CAD">
      <w:pPr>
        <w:spacing w:after="0" w:line="480" w:lineRule="auto"/>
        <w:jc w:val="center"/>
        <w:rPr>
          <w:rFonts w:ascii="Arial" w:eastAsia="Times New Roman" w:hAnsi="Arial" w:cs="Arial"/>
          <w:color w:val="0E101A"/>
          <w:kern w:val="0"/>
          <w:lang w:val="en-ZA" w:eastAsia="en-ZA"/>
          <w14:ligatures w14:val="none"/>
        </w:rPr>
      </w:pPr>
      <w:r w:rsidRPr="005B4522">
        <w:rPr>
          <w:rFonts w:ascii="Arial" w:eastAsia="Times New Roman" w:hAnsi="Arial" w:cs="Arial"/>
          <w:b/>
          <w:bCs/>
          <w:color w:val="0E101A"/>
          <w:kern w:val="0"/>
          <w:lang w:val="en-ZA" w:eastAsia="en-ZA"/>
          <w14:ligatures w14:val="none"/>
        </w:rPr>
        <w:t>IN THE TAX COURT OF SOUTH AFRICA</w:t>
      </w:r>
    </w:p>
    <w:p w14:paraId="4ED9FDA4" w14:textId="77777777" w:rsidR="00F43CAD" w:rsidRPr="005B4522" w:rsidRDefault="00F43CAD" w:rsidP="00C772DD">
      <w:pPr>
        <w:spacing w:after="0"/>
        <w:jc w:val="center"/>
        <w:rPr>
          <w:rFonts w:ascii="Arial" w:eastAsia="Calibri" w:hAnsi="Arial" w:cs="Arial"/>
          <w:b/>
          <w:bCs/>
          <w:color w:val="0E101A"/>
          <w:kern w:val="0"/>
          <w:lang w:val="en-ZA"/>
          <w14:ligatures w14:val="none"/>
        </w:rPr>
      </w:pPr>
      <w:r w:rsidRPr="005B4522">
        <w:rPr>
          <w:rFonts w:ascii="Arial" w:eastAsia="Calibri" w:hAnsi="Arial" w:cs="Arial"/>
          <w:b/>
          <w:bCs/>
          <w:color w:val="0E101A"/>
          <w:kern w:val="0"/>
          <w:lang w:val="en-ZA"/>
          <w14:ligatures w14:val="none"/>
        </w:rPr>
        <w:t>GAUTENG LOCAL DIVISION, JOHANNESBURG</w:t>
      </w:r>
    </w:p>
    <w:p w14:paraId="1BE46854" w14:textId="77777777" w:rsidR="005B4522" w:rsidRDefault="005B4522" w:rsidP="00C772DD">
      <w:pPr>
        <w:spacing w:after="0"/>
        <w:jc w:val="center"/>
        <w:rPr>
          <w:rFonts w:ascii="Arial" w:eastAsia="Calibri" w:hAnsi="Arial" w:cs="Arial"/>
          <w:b/>
          <w:bCs/>
          <w:color w:val="0E101A"/>
          <w:kern w:val="0"/>
          <w:sz w:val="32"/>
          <w:szCs w:val="32"/>
          <w:lang w:val="en-ZA"/>
          <w14:ligatures w14:val="none"/>
        </w:rPr>
      </w:pPr>
    </w:p>
    <w:p w14:paraId="248319A3" w14:textId="77777777" w:rsidR="005B4522" w:rsidRPr="005B4522" w:rsidRDefault="005B4522" w:rsidP="005B4522">
      <w:pPr>
        <w:spacing w:after="0"/>
        <w:jc w:val="right"/>
        <w:rPr>
          <w:rFonts w:ascii="Arial" w:eastAsia="Calibri" w:hAnsi="Arial" w:cs="Arial"/>
          <w:bCs/>
          <w:color w:val="0E101A"/>
          <w:kern w:val="0"/>
          <w14:ligatures w14:val="none"/>
        </w:rPr>
      </w:pPr>
      <w:r w:rsidRPr="005B4522">
        <w:rPr>
          <w:rFonts w:ascii="Arial" w:eastAsia="Calibri" w:hAnsi="Arial" w:cs="Arial"/>
          <w:bCs/>
          <w:color w:val="0E101A"/>
          <w:kern w:val="0"/>
          <w14:ligatures w14:val="none"/>
        </w:rPr>
        <w:t>Case Number: VAT22425</w:t>
      </w:r>
    </w:p>
    <w:p w14:paraId="547B41C1" w14:textId="088999E0" w:rsidR="005B4522" w:rsidRDefault="005B4522" w:rsidP="00C772DD">
      <w:pPr>
        <w:spacing w:after="0"/>
        <w:jc w:val="center"/>
        <w:rPr>
          <w:rFonts w:ascii="Arial" w:eastAsia="Calibri" w:hAnsi="Arial" w:cs="Arial"/>
          <w:b/>
          <w:bCs/>
          <w:color w:val="0E101A"/>
          <w:kern w:val="0"/>
          <w:sz w:val="32"/>
          <w:szCs w:val="32"/>
          <w:lang w:val="en-ZA"/>
          <w14:ligatures w14:val="none"/>
        </w:rPr>
      </w:pPr>
    </w:p>
    <w:p w14:paraId="17966427" w14:textId="77777777" w:rsidR="005B4522" w:rsidRDefault="005B4522" w:rsidP="00C772DD">
      <w:pPr>
        <w:spacing w:after="0"/>
        <w:jc w:val="center"/>
      </w:pPr>
    </w:p>
    <w:p w14:paraId="7F8CFA3D" w14:textId="77777777" w:rsidR="00F43CAD" w:rsidRDefault="00F43CAD" w:rsidP="00C772DD">
      <w:pPr>
        <w:spacing w:after="0"/>
      </w:pPr>
    </w:p>
    <w:p w14:paraId="5E6900B3" w14:textId="1E4D6711" w:rsidR="005B4522" w:rsidRDefault="005B4522" w:rsidP="005B4522">
      <w:pPr>
        <w:spacing w:after="0"/>
      </w:pPr>
      <w:r w:rsidRPr="005B4522">
        <w:rPr>
          <w:rFonts w:ascii="Arial" w:eastAsia="Calibri" w:hAnsi="Arial" w:cs="Arial"/>
          <w:noProof/>
          <w:kern w:val="0"/>
          <w:lang w:val="en-US"/>
          <w14:ligatures w14:val="none"/>
        </w:rPr>
        <mc:AlternateContent>
          <mc:Choice Requires="wps">
            <w:drawing>
              <wp:anchor distT="0" distB="0" distL="114300" distR="114300" simplePos="0" relativeHeight="251659264" behindDoc="0" locked="0" layoutInCell="1" allowOverlap="1" wp14:anchorId="0A1794F8" wp14:editId="1A77BF56">
                <wp:simplePos x="0" y="0"/>
                <wp:positionH relativeFrom="margin">
                  <wp:posOffset>0</wp:posOffset>
                </wp:positionH>
                <wp:positionV relativeFrom="paragraph">
                  <wp:posOffset>-400685</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37E6B47" w14:textId="01594C58" w:rsidR="004416DF" w:rsidRPr="003B746C" w:rsidRDefault="00981A79" w:rsidP="00981A79">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4416DF" w:rsidRPr="003B746C">
                              <w:rPr>
                                <w:rFonts w:cs="Arial"/>
                                <w:sz w:val="18"/>
                                <w:szCs w:val="20"/>
                              </w:rPr>
                              <w:t xml:space="preserve">REPORTABLE: </w:t>
                            </w:r>
                            <w:r w:rsidR="004416DF" w:rsidRPr="00DD3B79">
                              <w:rPr>
                                <w:rFonts w:cs="Arial"/>
                                <w:sz w:val="18"/>
                                <w:szCs w:val="20"/>
                              </w:rPr>
                              <w:t xml:space="preserve"> NO</w:t>
                            </w:r>
                          </w:p>
                          <w:p w14:paraId="43E649C0" w14:textId="0413A979" w:rsidR="004416DF" w:rsidRPr="003B746C" w:rsidRDefault="00981A79" w:rsidP="00981A79">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4416DF" w:rsidRPr="003B746C">
                              <w:rPr>
                                <w:rFonts w:cs="Arial"/>
                                <w:sz w:val="18"/>
                                <w:szCs w:val="20"/>
                              </w:rPr>
                              <w:t>OF INTEREST TO OTHER JUDGES:</w:t>
                            </w:r>
                            <w:r w:rsidR="004416DF" w:rsidRPr="00DD3B79">
                              <w:rPr>
                                <w:rFonts w:cs="Arial"/>
                                <w:sz w:val="18"/>
                                <w:szCs w:val="20"/>
                              </w:rPr>
                              <w:t>NO</w:t>
                            </w:r>
                          </w:p>
                          <w:p w14:paraId="74A8251C" w14:textId="614736F1" w:rsidR="004416DF" w:rsidRPr="00DD3B79" w:rsidRDefault="00981A79" w:rsidP="00981A79">
                            <w:pPr>
                              <w:tabs>
                                <w:tab w:val="left" w:pos="900"/>
                              </w:tabs>
                              <w:spacing w:after="0" w:line="240" w:lineRule="auto"/>
                              <w:ind w:left="900" w:hanging="720"/>
                              <w:rPr>
                                <w:rFonts w:cs="Arial"/>
                                <w:sz w:val="18"/>
                                <w:szCs w:val="20"/>
                              </w:rPr>
                            </w:pPr>
                            <w:r w:rsidRPr="00DD3B79">
                              <w:rPr>
                                <w:rFonts w:cs="Arial"/>
                                <w:sz w:val="18"/>
                                <w:szCs w:val="20"/>
                              </w:rPr>
                              <w:t>(3)</w:t>
                            </w:r>
                            <w:r w:rsidRPr="00DD3B79">
                              <w:rPr>
                                <w:rFonts w:cs="Arial"/>
                                <w:sz w:val="18"/>
                                <w:szCs w:val="20"/>
                              </w:rPr>
                              <w:tab/>
                            </w:r>
                            <w:r w:rsidR="004416DF" w:rsidRPr="003B746C">
                              <w:rPr>
                                <w:rFonts w:cs="Arial"/>
                                <w:sz w:val="18"/>
                                <w:szCs w:val="20"/>
                              </w:rPr>
                              <w:t xml:space="preserve">REVISED: </w:t>
                            </w:r>
                            <w:r w:rsidR="004416DF" w:rsidRPr="00DD3B79">
                              <w:rPr>
                                <w:rFonts w:cs="Arial"/>
                                <w:sz w:val="18"/>
                                <w:szCs w:val="20"/>
                              </w:rPr>
                              <w:t>YES/NO</w:t>
                            </w:r>
                          </w:p>
                          <w:p w14:paraId="71A4A59F" w14:textId="1F2B3D92" w:rsidR="004416DF" w:rsidRPr="003B746C" w:rsidRDefault="004416DF" w:rsidP="005B4522">
                            <w:pPr>
                              <w:spacing w:before="240" w:after="0"/>
                              <w:rPr>
                                <w:rFonts w:cs="Arial"/>
                                <w:b/>
                                <w:sz w:val="18"/>
                                <w:szCs w:val="20"/>
                              </w:rPr>
                            </w:pPr>
                            <w:r w:rsidRPr="003B746C">
                              <w:rPr>
                                <w:rFonts w:cs="Arial"/>
                                <w:b/>
                                <w:sz w:val="18"/>
                                <w:szCs w:val="20"/>
                              </w:rPr>
                              <w:t>_</w:t>
                            </w:r>
                            <w:r w:rsidR="009053EE">
                              <w:rPr>
                                <w:rFonts w:cs="Arial"/>
                                <w:b/>
                                <w:sz w:val="18"/>
                                <w:szCs w:val="20"/>
                              </w:rPr>
                              <w:t xml:space="preserve">16/01/2024   </w:t>
                            </w:r>
                            <w:r w:rsidRPr="003B746C">
                              <w:rPr>
                                <w:rFonts w:cs="Arial"/>
                                <w:b/>
                                <w:sz w:val="18"/>
                                <w:szCs w:val="20"/>
                              </w:rPr>
                              <w:t>____________</w:t>
                            </w:r>
                            <w:r w:rsidRPr="003B746C">
                              <w:rPr>
                                <w:rFonts w:cs="Arial"/>
                                <w:b/>
                                <w:sz w:val="18"/>
                                <w:szCs w:val="20"/>
                              </w:rPr>
                              <w:tab/>
                              <w:t>_________________________</w:t>
                            </w:r>
                          </w:p>
                          <w:p w14:paraId="5472A7BE" w14:textId="77777777" w:rsidR="004416DF" w:rsidRPr="003B746C" w:rsidRDefault="004416DF" w:rsidP="005B4522">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794F8" id="_x0000_t202" coordsize="21600,21600" o:spt="202" path="m,l,21600r21600,l21600,xe">
                <v:stroke joinstyle="miter"/>
                <v:path gradientshapeok="t" o:connecttype="rect"/>
              </v:shapetype>
              <v:shape id="Text Box 2" o:spid="_x0000_s1026" type="#_x0000_t202" style="position:absolute;margin-left:0;margin-top:-31.55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">
                <v:textbox>
                  <w:txbxContent>
                    <w:p w14:paraId="237E6B47" w14:textId="01594C58" w:rsidR="004416DF" w:rsidRPr="003B746C" w:rsidRDefault="00981A79" w:rsidP="00981A79">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4416DF" w:rsidRPr="003B746C">
                        <w:rPr>
                          <w:rFonts w:cs="Arial"/>
                          <w:sz w:val="18"/>
                          <w:szCs w:val="20"/>
                        </w:rPr>
                        <w:t xml:space="preserve">REPORTABLE: </w:t>
                      </w:r>
                      <w:r w:rsidR="004416DF" w:rsidRPr="00DD3B79">
                        <w:rPr>
                          <w:rFonts w:cs="Arial"/>
                          <w:sz w:val="18"/>
                          <w:szCs w:val="20"/>
                        </w:rPr>
                        <w:t xml:space="preserve"> NO</w:t>
                      </w:r>
                    </w:p>
                    <w:p w14:paraId="43E649C0" w14:textId="0413A979" w:rsidR="004416DF" w:rsidRPr="003B746C" w:rsidRDefault="00981A79" w:rsidP="00981A79">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4416DF" w:rsidRPr="003B746C">
                        <w:rPr>
                          <w:rFonts w:cs="Arial"/>
                          <w:sz w:val="18"/>
                          <w:szCs w:val="20"/>
                        </w:rPr>
                        <w:t>OF INTEREST TO OTHER JUDGES:</w:t>
                      </w:r>
                      <w:r w:rsidR="004416DF" w:rsidRPr="00DD3B79">
                        <w:rPr>
                          <w:rFonts w:cs="Arial"/>
                          <w:sz w:val="18"/>
                          <w:szCs w:val="20"/>
                        </w:rPr>
                        <w:t>NO</w:t>
                      </w:r>
                    </w:p>
                    <w:p w14:paraId="74A8251C" w14:textId="614736F1" w:rsidR="004416DF" w:rsidRPr="00DD3B79" w:rsidRDefault="00981A79" w:rsidP="00981A79">
                      <w:pPr>
                        <w:tabs>
                          <w:tab w:val="left" w:pos="900"/>
                        </w:tabs>
                        <w:spacing w:after="0" w:line="240" w:lineRule="auto"/>
                        <w:ind w:left="900" w:hanging="720"/>
                        <w:rPr>
                          <w:rFonts w:cs="Arial"/>
                          <w:sz w:val="18"/>
                          <w:szCs w:val="20"/>
                        </w:rPr>
                      </w:pPr>
                      <w:r w:rsidRPr="00DD3B79">
                        <w:rPr>
                          <w:rFonts w:cs="Arial"/>
                          <w:sz w:val="18"/>
                          <w:szCs w:val="20"/>
                        </w:rPr>
                        <w:t>(3)</w:t>
                      </w:r>
                      <w:r w:rsidRPr="00DD3B79">
                        <w:rPr>
                          <w:rFonts w:cs="Arial"/>
                          <w:sz w:val="18"/>
                          <w:szCs w:val="20"/>
                        </w:rPr>
                        <w:tab/>
                      </w:r>
                      <w:r w:rsidR="004416DF" w:rsidRPr="003B746C">
                        <w:rPr>
                          <w:rFonts w:cs="Arial"/>
                          <w:sz w:val="18"/>
                          <w:szCs w:val="20"/>
                        </w:rPr>
                        <w:t xml:space="preserve">REVISED: </w:t>
                      </w:r>
                      <w:r w:rsidR="004416DF" w:rsidRPr="00DD3B79">
                        <w:rPr>
                          <w:rFonts w:cs="Arial"/>
                          <w:sz w:val="18"/>
                          <w:szCs w:val="20"/>
                        </w:rPr>
                        <w:t>YES/NO</w:t>
                      </w:r>
                    </w:p>
                    <w:p w14:paraId="71A4A59F" w14:textId="1F2B3D92" w:rsidR="004416DF" w:rsidRPr="003B746C" w:rsidRDefault="004416DF" w:rsidP="005B4522">
                      <w:pPr>
                        <w:spacing w:before="240" w:after="0"/>
                        <w:rPr>
                          <w:rFonts w:cs="Arial"/>
                          <w:b/>
                          <w:sz w:val="18"/>
                          <w:szCs w:val="20"/>
                        </w:rPr>
                      </w:pPr>
                      <w:r w:rsidRPr="003B746C">
                        <w:rPr>
                          <w:rFonts w:cs="Arial"/>
                          <w:b/>
                          <w:sz w:val="18"/>
                          <w:szCs w:val="20"/>
                        </w:rPr>
                        <w:t>_</w:t>
                      </w:r>
                      <w:r w:rsidR="009053EE">
                        <w:rPr>
                          <w:rFonts w:cs="Arial"/>
                          <w:b/>
                          <w:sz w:val="18"/>
                          <w:szCs w:val="20"/>
                        </w:rPr>
                        <w:t xml:space="preserve">16/01/2024   </w:t>
                      </w:r>
                      <w:r w:rsidRPr="003B746C">
                        <w:rPr>
                          <w:rFonts w:cs="Arial"/>
                          <w:b/>
                          <w:sz w:val="18"/>
                          <w:szCs w:val="20"/>
                        </w:rPr>
                        <w:t>____________</w:t>
                      </w:r>
                      <w:r w:rsidRPr="003B746C">
                        <w:rPr>
                          <w:rFonts w:cs="Arial"/>
                          <w:b/>
                          <w:sz w:val="18"/>
                          <w:szCs w:val="20"/>
                        </w:rPr>
                        <w:tab/>
                        <w:t>_________________________</w:t>
                      </w:r>
                    </w:p>
                    <w:p w14:paraId="5472A7BE" w14:textId="77777777" w:rsidR="004416DF" w:rsidRPr="003B746C" w:rsidRDefault="004416DF" w:rsidP="005B4522">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D4CCDAE" w14:textId="77FAE201" w:rsidR="00F43CAD" w:rsidRDefault="00F43CAD"/>
    <w:p w14:paraId="067B99AE" w14:textId="77777777" w:rsidR="00F43CAD" w:rsidRDefault="00F43CAD">
      <w:r w:rsidRPr="00F43CAD">
        <w:t xml:space="preserve">In the matter between: </w:t>
      </w:r>
    </w:p>
    <w:p w14:paraId="4EC3594A" w14:textId="77777777" w:rsidR="005B4522" w:rsidRDefault="005B4522">
      <w:r>
        <w:t>In the matter between:</w:t>
      </w:r>
    </w:p>
    <w:p w14:paraId="374544C0" w14:textId="77777777" w:rsidR="00F43CAD" w:rsidRPr="005B4522" w:rsidRDefault="00273753">
      <w:pPr>
        <w:rPr>
          <w:b/>
        </w:rPr>
      </w:pPr>
      <w:r>
        <w:rPr>
          <w:b/>
        </w:rPr>
        <w:t xml:space="preserve">RAPPA </w:t>
      </w:r>
      <w:r w:rsidRPr="005B4522">
        <w:rPr>
          <w:b/>
        </w:rPr>
        <w:t>RESOURCES</w:t>
      </w:r>
      <w:r w:rsidR="00F43CAD" w:rsidRPr="005B4522">
        <w:rPr>
          <w:b/>
        </w:rPr>
        <w:t xml:space="preserve"> (PTY) LTD </w:t>
      </w:r>
      <w:r w:rsidR="005B4522">
        <w:rPr>
          <w:b/>
        </w:rPr>
        <w:tab/>
      </w:r>
      <w:r w:rsidR="005B4522">
        <w:rPr>
          <w:b/>
        </w:rPr>
        <w:tab/>
      </w:r>
      <w:r w:rsidR="005B4522">
        <w:rPr>
          <w:b/>
        </w:rPr>
        <w:tab/>
      </w:r>
      <w:r w:rsidR="005B4522">
        <w:rPr>
          <w:b/>
        </w:rPr>
        <w:tab/>
      </w:r>
      <w:r w:rsidR="005B4522">
        <w:rPr>
          <w:b/>
        </w:rPr>
        <w:tab/>
      </w:r>
      <w:bookmarkStart w:id="0" w:name="_GoBack"/>
      <w:bookmarkEnd w:id="0"/>
      <w:r w:rsidR="005B4522">
        <w:rPr>
          <w:b/>
        </w:rPr>
        <w:tab/>
      </w:r>
      <w:r w:rsidR="00F43CAD" w:rsidRPr="005B4522">
        <w:rPr>
          <w:b/>
        </w:rPr>
        <w:t xml:space="preserve">Appellant </w:t>
      </w:r>
    </w:p>
    <w:p w14:paraId="776B3D8F" w14:textId="77777777" w:rsidR="00F43CAD" w:rsidRPr="005B4522" w:rsidRDefault="00F43CAD">
      <w:pPr>
        <w:rPr>
          <w:b/>
        </w:rPr>
      </w:pPr>
      <w:r w:rsidRPr="005B4522">
        <w:rPr>
          <w:b/>
        </w:rPr>
        <w:t xml:space="preserve">and </w:t>
      </w:r>
    </w:p>
    <w:p w14:paraId="68257F8C" w14:textId="77777777" w:rsidR="00C772DD" w:rsidRPr="005B4522" w:rsidRDefault="00F43CAD">
      <w:pPr>
        <w:rPr>
          <w:b/>
        </w:rPr>
      </w:pPr>
      <w:r w:rsidRPr="005B4522">
        <w:rPr>
          <w:b/>
        </w:rPr>
        <w:t xml:space="preserve">THE COMMISSIONER FOR THE SOUTH AFRICAN </w:t>
      </w:r>
    </w:p>
    <w:p w14:paraId="019B0D95" w14:textId="77777777" w:rsidR="00F43CAD" w:rsidRDefault="00F43CAD" w:rsidP="00C772DD">
      <w:pPr>
        <w:rPr>
          <w:b/>
        </w:rPr>
      </w:pPr>
      <w:r w:rsidRPr="005B4522">
        <w:rPr>
          <w:b/>
        </w:rPr>
        <w:t xml:space="preserve">REVENUE SERVICE </w:t>
      </w:r>
      <w:r w:rsidR="005B4522">
        <w:rPr>
          <w:b/>
        </w:rPr>
        <w:tab/>
      </w:r>
      <w:r w:rsidR="005B4522">
        <w:rPr>
          <w:b/>
        </w:rPr>
        <w:tab/>
      </w:r>
      <w:r w:rsidR="005B4522">
        <w:rPr>
          <w:b/>
        </w:rPr>
        <w:tab/>
      </w:r>
      <w:r w:rsidR="005B4522">
        <w:rPr>
          <w:b/>
        </w:rPr>
        <w:tab/>
      </w:r>
      <w:r w:rsidR="005B4522">
        <w:rPr>
          <w:b/>
        </w:rPr>
        <w:tab/>
      </w:r>
      <w:r w:rsidR="005B4522">
        <w:rPr>
          <w:b/>
        </w:rPr>
        <w:tab/>
      </w:r>
      <w:r w:rsidR="005B4522">
        <w:rPr>
          <w:b/>
        </w:rPr>
        <w:tab/>
        <w:t xml:space="preserve">          </w:t>
      </w:r>
      <w:r w:rsidRPr="005B4522">
        <w:rPr>
          <w:b/>
        </w:rPr>
        <w:t>Respondent</w:t>
      </w:r>
    </w:p>
    <w:p w14:paraId="3464B9F0" w14:textId="77777777" w:rsidR="005B4522" w:rsidRPr="005B4522" w:rsidRDefault="005B4522" w:rsidP="005B4522">
      <w:pPr>
        <w:pBdr>
          <w:bottom w:val="single" w:sz="12" w:space="1" w:color="auto"/>
        </w:pBdr>
        <w:spacing w:after="0" w:line="240" w:lineRule="auto"/>
        <w:rPr>
          <w:rFonts w:eastAsia="Calibri" w:cs="Arial"/>
          <w:b/>
          <w:lang w:val="en-ZA"/>
        </w:rPr>
      </w:pPr>
    </w:p>
    <w:p w14:paraId="173DF77F" w14:textId="77777777" w:rsidR="005B4522" w:rsidRPr="005B4522" w:rsidRDefault="005B4522" w:rsidP="005B4522">
      <w:pPr>
        <w:spacing w:after="0" w:line="240" w:lineRule="auto"/>
        <w:rPr>
          <w:rFonts w:ascii="Arial" w:eastAsia="Calibri" w:hAnsi="Arial" w:cs="Arial"/>
          <w:b/>
          <w:kern w:val="0"/>
          <w14:ligatures w14:val="none"/>
        </w:rPr>
      </w:pPr>
    </w:p>
    <w:p w14:paraId="3F4C70CE" w14:textId="77777777" w:rsidR="005B4522" w:rsidRPr="005B4522" w:rsidRDefault="005B4522" w:rsidP="005B4522">
      <w:pPr>
        <w:pBdr>
          <w:bottom w:val="single" w:sz="12" w:space="1" w:color="auto"/>
        </w:pBdr>
        <w:spacing w:after="240" w:line="480" w:lineRule="auto"/>
        <w:jc w:val="center"/>
        <w:rPr>
          <w:rFonts w:ascii="Arial" w:eastAsia="Calibri" w:hAnsi="Arial" w:cs="Arial"/>
          <w:b/>
          <w:kern w:val="0"/>
          <w:lang w:val="en-ZA"/>
          <w14:ligatures w14:val="none"/>
        </w:rPr>
      </w:pPr>
      <w:r w:rsidRPr="005B4522">
        <w:rPr>
          <w:rFonts w:ascii="Arial" w:eastAsia="Calibri" w:hAnsi="Arial" w:cs="Arial"/>
          <w:b/>
          <w:kern w:val="0"/>
          <w:lang w:val="en-ZA"/>
          <w14:ligatures w14:val="none"/>
        </w:rPr>
        <w:t>ORDER</w:t>
      </w:r>
    </w:p>
    <w:p w14:paraId="729070BA" w14:textId="77777777" w:rsidR="00A04C4E" w:rsidRPr="009308EB" w:rsidRDefault="009308EB" w:rsidP="000C67B7">
      <w:pPr>
        <w:spacing w:after="240" w:line="360" w:lineRule="auto"/>
        <w:ind w:left="720" w:hanging="720"/>
        <w:rPr>
          <w:rFonts w:ascii="Arial" w:hAnsi="Arial" w:cs="Arial"/>
        </w:rPr>
      </w:pPr>
      <w:r w:rsidRPr="009308EB">
        <w:rPr>
          <w:rFonts w:ascii="Arial" w:hAnsi="Arial" w:cs="Arial"/>
          <w:u w:val="single"/>
        </w:rPr>
        <w:t xml:space="preserve">In respect of the application by </w:t>
      </w:r>
      <w:r w:rsidR="004139B9">
        <w:rPr>
          <w:rFonts w:ascii="Arial" w:hAnsi="Arial" w:cs="Arial"/>
          <w:u w:val="single"/>
        </w:rPr>
        <w:t>the taxpayer</w:t>
      </w:r>
      <w:r w:rsidRPr="009308EB">
        <w:rPr>
          <w:rFonts w:ascii="Arial" w:hAnsi="Arial" w:cs="Arial"/>
          <w:u w:val="single"/>
        </w:rPr>
        <w:t xml:space="preserve"> to compel further discovery</w:t>
      </w:r>
      <w:r w:rsidRPr="009308EB">
        <w:rPr>
          <w:rFonts w:ascii="Arial" w:hAnsi="Arial" w:cs="Arial"/>
        </w:rPr>
        <w:t>:</w:t>
      </w:r>
    </w:p>
    <w:p w14:paraId="2F245CE4" w14:textId="7FAE6AE1" w:rsidR="000C67B7" w:rsidRPr="00981A79" w:rsidRDefault="00981A79" w:rsidP="00981A79">
      <w:pPr>
        <w:spacing w:after="240" w:line="360" w:lineRule="auto"/>
        <w:ind w:left="720" w:hanging="720"/>
        <w:jc w:val="both"/>
        <w:rPr>
          <w:rFonts w:cs="Arial"/>
        </w:rPr>
      </w:pPr>
      <w:r w:rsidRPr="0051089E">
        <w:rPr>
          <w:rFonts w:ascii="Arial" w:eastAsia="Calibri" w:hAnsi="Arial" w:cs="Arial"/>
          <w:lang w:val="en-ZA"/>
        </w:rPr>
        <w:t>[1]</w:t>
      </w:r>
      <w:r w:rsidRPr="0051089E">
        <w:rPr>
          <w:rFonts w:ascii="Arial" w:eastAsia="Calibri" w:hAnsi="Arial" w:cs="Arial"/>
          <w:lang w:val="en-ZA"/>
        </w:rPr>
        <w:tab/>
      </w:r>
      <w:r w:rsidR="00732479" w:rsidRPr="00981A79">
        <w:rPr>
          <w:rFonts w:cs="Arial"/>
        </w:rPr>
        <w:t>The</w:t>
      </w:r>
      <w:r w:rsidR="009308EB" w:rsidRPr="00981A79">
        <w:rPr>
          <w:rFonts w:cs="Arial"/>
        </w:rPr>
        <w:t xml:space="preserve"> application is dismissed with costs such costs</w:t>
      </w:r>
      <w:r w:rsidR="00732479" w:rsidRPr="00981A79">
        <w:rPr>
          <w:rFonts w:cs="Arial"/>
        </w:rPr>
        <w:t xml:space="preserve"> to include the costs of two co</w:t>
      </w:r>
      <w:r w:rsidR="000C67B7" w:rsidRPr="00981A79">
        <w:rPr>
          <w:rFonts w:cs="Arial"/>
        </w:rPr>
        <w:t>u</w:t>
      </w:r>
      <w:r w:rsidR="009308EB" w:rsidRPr="00981A79">
        <w:rPr>
          <w:rFonts w:cs="Arial"/>
        </w:rPr>
        <w:t>nsel where employed.</w:t>
      </w:r>
    </w:p>
    <w:p w14:paraId="70A7F734" w14:textId="1B9E41EB" w:rsidR="00A04C4E" w:rsidRPr="009308EB" w:rsidRDefault="009308EB" w:rsidP="0051089E">
      <w:pPr>
        <w:spacing w:after="240" w:line="360" w:lineRule="auto"/>
        <w:rPr>
          <w:rFonts w:ascii="Arial" w:hAnsi="Arial" w:cs="Arial"/>
          <w:u w:val="single"/>
        </w:rPr>
      </w:pPr>
      <w:r w:rsidRPr="009308EB">
        <w:rPr>
          <w:rFonts w:ascii="Arial" w:hAnsi="Arial" w:cs="Arial"/>
          <w:u w:val="single"/>
        </w:rPr>
        <w:t xml:space="preserve">In respect of the application by </w:t>
      </w:r>
      <w:r w:rsidR="004139B9">
        <w:rPr>
          <w:rFonts w:ascii="Arial" w:hAnsi="Arial" w:cs="Arial"/>
          <w:u w:val="single"/>
        </w:rPr>
        <w:t>the taxpayer</w:t>
      </w:r>
      <w:r w:rsidRPr="009308EB">
        <w:rPr>
          <w:rFonts w:ascii="Arial" w:hAnsi="Arial" w:cs="Arial"/>
          <w:u w:val="single"/>
        </w:rPr>
        <w:t xml:space="preserve"> for further particulars:</w:t>
      </w:r>
    </w:p>
    <w:p w14:paraId="4244A333" w14:textId="18C68698" w:rsidR="000C67B7" w:rsidRPr="00981A79" w:rsidRDefault="00981A79" w:rsidP="00981A79">
      <w:pPr>
        <w:spacing w:after="240" w:line="360" w:lineRule="auto"/>
        <w:ind w:left="720" w:hanging="720"/>
        <w:jc w:val="both"/>
        <w:rPr>
          <w:rFonts w:cs="Arial"/>
        </w:rPr>
      </w:pPr>
      <w:r w:rsidRPr="0051089E">
        <w:rPr>
          <w:rFonts w:ascii="Arial" w:eastAsia="Calibri" w:hAnsi="Arial" w:cs="Arial"/>
          <w:lang w:val="en-ZA"/>
        </w:rPr>
        <w:t>[1]</w:t>
      </w:r>
      <w:r w:rsidRPr="0051089E">
        <w:rPr>
          <w:rFonts w:ascii="Arial" w:eastAsia="Calibri" w:hAnsi="Arial" w:cs="Arial"/>
          <w:lang w:val="en-ZA"/>
        </w:rPr>
        <w:tab/>
      </w:r>
      <w:r w:rsidR="00732479" w:rsidRPr="00981A79">
        <w:rPr>
          <w:rFonts w:cs="Arial"/>
        </w:rPr>
        <w:t>The ap</w:t>
      </w:r>
      <w:r w:rsidR="009308EB" w:rsidRPr="00981A79">
        <w:rPr>
          <w:rFonts w:cs="Arial"/>
        </w:rPr>
        <w:t>plication</w:t>
      </w:r>
      <w:r w:rsidR="00A36889" w:rsidRPr="00981A79">
        <w:rPr>
          <w:rFonts w:cs="Arial"/>
        </w:rPr>
        <w:t xml:space="preserve"> is</w:t>
      </w:r>
      <w:r w:rsidR="009308EB" w:rsidRPr="00981A79">
        <w:rPr>
          <w:rFonts w:cs="Arial"/>
        </w:rPr>
        <w:t xml:space="preserve"> dismissed with costs such costs</w:t>
      </w:r>
      <w:r w:rsidR="00732479" w:rsidRPr="00981A79">
        <w:rPr>
          <w:rFonts w:cs="Arial"/>
        </w:rPr>
        <w:t xml:space="preserve"> to include the costs of two cou</w:t>
      </w:r>
      <w:r w:rsidR="009308EB" w:rsidRPr="00981A79">
        <w:rPr>
          <w:rFonts w:cs="Arial"/>
        </w:rPr>
        <w:t>nsel where employed.</w:t>
      </w:r>
    </w:p>
    <w:p w14:paraId="5E35A3FB" w14:textId="77777777" w:rsidR="00A04C4E" w:rsidRPr="009308EB" w:rsidRDefault="009308EB" w:rsidP="000C67B7">
      <w:pPr>
        <w:spacing w:after="240" w:line="360" w:lineRule="auto"/>
        <w:rPr>
          <w:rFonts w:ascii="Arial" w:hAnsi="Arial" w:cs="Arial"/>
          <w:u w:val="single"/>
        </w:rPr>
      </w:pPr>
      <w:r w:rsidRPr="009308EB">
        <w:rPr>
          <w:rFonts w:ascii="Arial" w:hAnsi="Arial" w:cs="Arial"/>
          <w:u w:val="single"/>
        </w:rPr>
        <w:lastRenderedPageBreak/>
        <w:t>In respect of SARS’ applications to strike out:</w:t>
      </w:r>
    </w:p>
    <w:p w14:paraId="4AE0C6D3" w14:textId="6F081165" w:rsidR="009308EB" w:rsidRPr="00981A79" w:rsidRDefault="00981A79" w:rsidP="00981A79">
      <w:pPr>
        <w:spacing w:after="240" w:line="360" w:lineRule="auto"/>
        <w:ind w:left="720" w:hanging="720"/>
        <w:jc w:val="both"/>
        <w:rPr>
          <w:rFonts w:cs="Arial"/>
        </w:rPr>
      </w:pPr>
      <w:r w:rsidRPr="0051089E">
        <w:rPr>
          <w:rFonts w:ascii="Arial" w:eastAsia="Calibri" w:hAnsi="Arial" w:cs="Arial"/>
          <w:lang w:val="en-ZA"/>
        </w:rPr>
        <w:t>[1]</w:t>
      </w:r>
      <w:r w:rsidRPr="0051089E">
        <w:rPr>
          <w:rFonts w:ascii="Arial" w:eastAsia="Calibri" w:hAnsi="Arial" w:cs="Arial"/>
          <w:lang w:val="en-ZA"/>
        </w:rPr>
        <w:tab/>
      </w:r>
      <w:r w:rsidR="009308EB" w:rsidRPr="00981A79">
        <w:rPr>
          <w:rFonts w:cs="Arial"/>
        </w:rPr>
        <w:t>The applications</w:t>
      </w:r>
      <w:r w:rsidR="005F6936" w:rsidRPr="00981A79">
        <w:rPr>
          <w:rFonts w:cs="Arial"/>
        </w:rPr>
        <w:t xml:space="preserve"> are</w:t>
      </w:r>
      <w:r w:rsidR="009308EB" w:rsidRPr="00981A79">
        <w:rPr>
          <w:rFonts w:cs="Arial"/>
        </w:rPr>
        <w:t xml:space="preserve"> dismissed with costs such costs to include the costs of two counsel where employed. </w:t>
      </w:r>
    </w:p>
    <w:p w14:paraId="2C38630C" w14:textId="77777777" w:rsidR="009308EB" w:rsidRDefault="009308EB" w:rsidP="000C67B7">
      <w:pPr>
        <w:spacing w:after="240" w:line="360" w:lineRule="auto"/>
        <w:ind w:left="720" w:hanging="720"/>
        <w:rPr>
          <w:rFonts w:ascii="Arial" w:hAnsi="Arial" w:cs="Arial"/>
          <w:u w:val="single"/>
        </w:rPr>
      </w:pPr>
      <w:r w:rsidRPr="009308EB">
        <w:rPr>
          <w:rFonts w:ascii="Arial" w:hAnsi="Arial" w:cs="Arial"/>
          <w:u w:val="single"/>
        </w:rPr>
        <w:t>In respect of SARS’ application to compel further discovery:</w:t>
      </w:r>
    </w:p>
    <w:p w14:paraId="0A3C8766" w14:textId="77777777" w:rsidR="00A04C4E" w:rsidRPr="009308EB" w:rsidRDefault="00A04C4E" w:rsidP="00A04C4E">
      <w:pPr>
        <w:spacing w:after="0"/>
        <w:ind w:left="720" w:hanging="720"/>
        <w:rPr>
          <w:rFonts w:ascii="Arial" w:hAnsi="Arial" w:cs="Arial"/>
          <w:u w:val="single"/>
        </w:rPr>
      </w:pPr>
    </w:p>
    <w:p w14:paraId="4F2304D5" w14:textId="0488FDBA" w:rsidR="000A4B2D" w:rsidRPr="00981A79" w:rsidRDefault="00981A79" w:rsidP="00981A79">
      <w:pPr>
        <w:spacing w:after="240" w:line="360" w:lineRule="auto"/>
        <w:ind w:left="720" w:hanging="720"/>
        <w:jc w:val="both"/>
        <w:rPr>
          <w:rFonts w:cs="Arial"/>
        </w:rPr>
      </w:pPr>
      <w:r>
        <w:rPr>
          <w:rFonts w:ascii="Arial" w:eastAsia="Calibri" w:hAnsi="Arial" w:cs="Arial"/>
          <w:lang w:val="en-ZA"/>
        </w:rPr>
        <w:t>[1]</w:t>
      </w:r>
      <w:r>
        <w:rPr>
          <w:rFonts w:ascii="Arial" w:eastAsia="Calibri" w:hAnsi="Arial" w:cs="Arial"/>
          <w:lang w:val="en-ZA"/>
        </w:rPr>
        <w:tab/>
      </w:r>
      <w:r w:rsidR="000A4B2D" w:rsidRPr="00981A79">
        <w:rPr>
          <w:rFonts w:cs="Arial"/>
        </w:rPr>
        <w:t xml:space="preserve">Within fifteen days of this order, the respondent, </w:t>
      </w:r>
      <w:r w:rsidR="00453D11" w:rsidRPr="00981A79">
        <w:rPr>
          <w:rFonts w:cs="Arial"/>
        </w:rPr>
        <w:t>Rappa</w:t>
      </w:r>
      <w:r w:rsidR="000A4B2D" w:rsidRPr="00981A79">
        <w:rPr>
          <w:rFonts w:cs="Arial"/>
        </w:rPr>
        <w:t xml:space="preserve"> Resources (Pty) Ltd (the taxpayer) is compelled to make the following documents available to SARS for inspection and copying or to state under oath that any of them are not in its possession and in the latter event</w:t>
      </w:r>
      <w:r w:rsidR="00453D11" w:rsidRPr="00981A79">
        <w:rPr>
          <w:rFonts w:cs="Arial"/>
        </w:rPr>
        <w:t>,</w:t>
      </w:r>
      <w:r w:rsidR="000A4B2D" w:rsidRPr="00981A79">
        <w:rPr>
          <w:rFonts w:cs="Arial"/>
        </w:rPr>
        <w:t xml:space="preserve"> it must state their whereabouts: </w:t>
      </w:r>
    </w:p>
    <w:p w14:paraId="0D7D42BD" w14:textId="77777777" w:rsidR="000A4B2D" w:rsidRDefault="000A4B2D" w:rsidP="000A4B2D">
      <w:pPr>
        <w:pStyle w:val="ListParagraph"/>
        <w:spacing w:before="0" w:after="240" w:line="360" w:lineRule="auto"/>
        <w:mirrorIndents w:val="0"/>
        <w:rPr>
          <w:rFonts w:cs="Arial"/>
        </w:rPr>
      </w:pPr>
    </w:p>
    <w:p w14:paraId="1975FA98" w14:textId="3445FDB3" w:rsidR="000A4B2D" w:rsidRPr="00981A79" w:rsidRDefault="00981A79" w:rsidP="00981A79">
      <w:pPr>
        <w:spacing w:after="240" w:line="360" w:lineRule="auto"/>
        <w:ind w:left="2160" w:hanging="720"/>
        <w:jc w:val="both"/>
        <w:rPr>
          <w:rFonts w:cs="Arial"/>
        </w:rPr>
      </w:pPr>
      <w:r>
        <w:rPr>
          <w:rFonts w:ascii="Arial" w:eastAsia="Calibri" w:hAnsi="Arial" w:cs="Arial"/>
          <w:lang w:val="en-ZA"/>
        </w:rPr>
        <w:t>a.</w:t>
      </w:r>
      <w:r>
        <w:rPr>
          <w:rFonts w:ascii="Arial" w:eastAsia="Calibri" w:hAnsi="Arial" w:cs="Arial"/>
          <w:lang w:val="en-ZA"/>
        </w:rPr>
        <w:tab/>
      </w:r>
      <w:r w:rsidR="000A4B2D" w:rsidRPr="00981A79">
        <w:rPr>
          <w:rFonts w:cs="Arial"/>
        </w:rPr>
        <w:t>KYC (Know Your Client) documentation of the taxpayer’s remaining suppliers during the audit period 01/2019 to 06/2020;</w:t>
      </w:r>
    </w:p>
    <w:p w14:paraId="5E1B59F5" w14:textId="4B0078EF" w:rsidR="000A4B2D" w:rsidRPr="00981A79" w:rsidRDefault="00981A79" w:rsidP="00981A79">
      <w:pPr>
        <w:spacing w:after="240" w:line="360" w:lineRule="auto"/>
        <w:ind w:left="2160" w:hanging="720"/>
        <w:jc w:val="both"/>
        <w:rPr>
          <w:rFonts w:cs="Arial"/>
        </w:rPr>
      </w:pPr>
      <w:r>
        <w:rPr>
          <w:rFonts w:ascii="Arial" w:eastAsia="Calibri" w:hAnsi="Arial" w:cs="Arial"/>
          <w:lang w:val="en-ZA"/>
        </w:rPr>
        <w:t>b.</w:t>
      </w:r>
      <w:r>
        <w:rPr>
          <w:rFonts w:ascii="Arial" w:eastAsia="Calibri" w:hAnsi="Arial" w:cs="Arial"/>
          <w:lang w:val="en-ZA"/>
        </w:rPr>
        <w:tab/>
      </w:r>
      <w:r w:rsidR="000A4B2D" w:rsidRPr="00981A79">
        <w:rPr>
          <w:rFonts w:cs="Arial"/>
        </w:rPr>
        <w:t>The taxpayer's site visit reports concerning site visits held regarding the taxpayer's remaining suppliers during the audit period 01/2019 to 06/2020;</w:t>
      </w:r>
    </w:p>
    <w:p w14:paraId="5A56E372" w14:textId="6A9E3EE7" w:rsidR="000A4B2D" w:rsidRPr="00981A79" w:rsidRDefault="00981A79" w:rsidP="00981A79">
      <w:pPr>
        <w:spacing w:after="240" w:line="360" w:lineRule="auto"/>
        <w:ind w:left="2160" w:hanging="720"/>
        <w:jc w:val="both"/>
        <w:rPr>
          <w:rFonts w:cs="Arial"/>
        </w:rPr>
      </w:pPr>
      <w:r>
        <w:rPr>
          <w:rFonts w:ascii="Arial" w:eastAsia="Calibri" w:hAnsi="Arial" w:cs="Arial"/>
          <w:lang w:val="en-ZA"/>
        </w:rPr>
        <w:t>c.</w:t>
      </w:r>
      <w:r>
        <w:rPr>
          <w:rFonts w:ascii="Arial" w:eastAsia="Calibri" w:hAnsi="Arial" w:cs="Arial"/>
          <w:lang w:val="en-ZA"/>
        </w:rPr>
        <w:tab/>
      </w:r>
      <w:r w:rsidR="000A4B2D" w:rsidRPr="00981A79">
        <w:rPr>
          <w:rFonts w:cs="Arial"/>
        </w:rPr>
        <w:t>The due diligence documents risk management reports and FICA searches conducted regarding the taxpayer's s remaining suppliers;</w:t>
      </w:r>
    </w:p>
    <w:p w14:paraId="52606547" w14:textId="76670EE5" w:rsidR="000A4B2D" w:rsidRPr="00981A79" w:rsidRDefault="00981A79" w:rsidP="00981A79">
      <w:pPr>
        <w:spacing w:after="240" w:line="360" w:lineRule="auto"/>
        <w:ind w:left="2160" w:hanging="720"/>
        <w:jc w:val="both"/>
        <w:rPr>
          <w:rFonts w:cs="Arial"/>
        </w:rPr>
      </w:pPr>
      <w:r w:rsidRPr="00767B3C">
        <w:rPr>
          <w:rFonts w:ascii="Arial" w:eastAsia="Calibri" w:hAnsi="Arial" w:cs="Arial"/>
          <w:lang w:val="en-ZA"/>
        </w:rPr>
        <w:t>d.</w:t>
      </w:r>
      <w:r w:rsidRPr="00767B3C">
        <w:rPr>
          <w:rFonts w:ascii="Arial" w:eastAsia="Calibri" w:hAnsi="Arial" w:cs="Arial"/>
          <w:lang w:val="en-ZA"/>
        </w:rPr>
        <w:tab/>
      </w:r>
      <w:r w:rsidR="000A4B2D" w:rsidRPr="00981A79">
        <w:rPr>
          <w:rFonts w:cs="Arial"/>
        </w:rPr>
        <w:t>The taxpayer's records containing declarations made to the South African Diamond and Precious Metals Regulator "SADPMR" documentation in respect of the following;</w:t>
      </w:r>
    </w:p>
    <w:p w14:paraId="571A3EF7" w14:textId="2A329227" w:rsidR="000A4B2D" w:rsidRPr="00981A79" w:rsidRDefault="00981A79" w:rsidP="00981A79">
      <w:pPr>
        <w:spacing w:after="240" w:line="360" w:lineRule="auto"/>
        <w:ind w:left="2160" w:hanging="720"/>
        <w:jc w:val="both"/>
        <w:rPr>
          <w:rFonts w:cs="Arial"/>
        </w:rPr>
      </w:pPr>
      <w:r>
        <w:rPr>
          <w:rFonts w:ascii="Arial" w:eastAsia="Calibri" w:hAnsi="Arial" w:cs="Arial"/>
          <w:lang w:val="en-ZA"/>
        </w:rPr>
        <w:t>e.</w:t>
      </w:r>
      <w:r>
        <w:rPr>
          <w:rFonts w:ascii="Arial" w:eastAsia="Calibri" w:hAnsi="Arial" w:cs="Arial"/>
          <w:lang w:val="en-ZA"/>
        </w:rPr>
        <w:tab/>
      </w:r>
      <w:r w:rsidR="000A4B2D" w:rsidRPr="00981A79">
        <w:rPr>
          <w:rFonts w:cs="Arial"/>
        </w:rPr>
        <w:t>The taxpayer's breakdown of goods purchased from the remaining suppliers for the period 01/2019 to 03/2020;</w:t>
      </w:r>
    </w:p>
    <w:p w14:paraId="24EE7255" w14:textId="573ED89F" w:rsidR="000A4B2D" w:rsidRPr="00981A79" w:rsidRDefault="00981A79" w:rsidP="00981A79">
      <w:pPr>
        <w:spacing w:after="240" w:line="360" w:lineRule="auto"/>
        <w:ind w:left="2160" w:hanging="720"/>
        <w:jc w:val="both"/>
        <w:rPr>
          <w:rFonts w:cs="Arial"/>
        </w:rPr>
      </w:pPr>
      <w:r>
        <w:rPr>
          <w:rFonts w:ascii="Arial" w:eastAsia="Calibri" w:hAnsi="Arial" w:cs="Arial"/>
          <w:lang w:val="en-ZA"/>
        </w:rPr>
        <w:t>f.</w:t>
      </w:r>
      <w:r>
        <w:rPr>
          <w:rFonts w:ascii="Arial" w:eastAsia="Calibri" w:hAnsi="Arial" w:cs="Arial"/>
          <w:lang w:val="en-ZA"/>
        </w:rPr>
        <w:tab/>
      </w:r>
      <w:r w:rsidR="000A4B2D" w:rsidRPr="00981A79">
        <w:rPr>
          <w:rFonts w:cs="Arial"/>
        </w:rPr>
        <w:t>Suppliers’ invoices and analysis breakdown in respect of remaining suppliers, 02/2018 to 06/2020;</w:t>
      </w:r>
    </w:p>
    <w:p w14:paraId="6AA4F03B" w14:textId="2658C7E3" w:rsidR="000A4B2D" w:rsidRPr="00981A79" w:rsidRDefault="00981A79" w:rsidP="00981A79">
      <w:pPr>
        <w:spacing w:after="240" w:line="360" w:lineRule="auto"/>
        <w:ind w:left="2160" w:hanging="720"/>
        <w:jc w:val="both"/>
        <w:rPr>
          <w:rFonts w:cs="Arial"/>
        </w:rPr>
      </w:pPr>
      <w:r>
        <w:rPr>
          <w:rFonts w:ascii="Arial" w:eastAsia="Calibri" w:hAnsi="Arial" w:cs="Arial"/>
          <w:lang w:val="en-ZA"/>
        </w:rPr>
        <w:t>g.</w:t>
      </w:r>
      <w:r>
        <w:rPr>
          <w:rFonts w:ascii="Arial" w:eastAsia="Calibri" w:hAnsi="Arial" w:cs="Arial"/>
          <w:lang w:val="en-ZA"/>
        </w:rPr>
        <w:tab/>
      </w:r>
      <w:r w:rsidR="000A4B2D" w:rsidRPr="00981A79">
        <w:rPr>
          <w:rFonts w:cs="Arial"/>
        </w:rPr>
        <w:t xml:space="preserve">Tax invoices, delivery notes, receipts, analysis conducted on supplies, bank statements reflecting payments made in respect of the transactions </w:t>
      </w:r>
      <w:r w:rsidR="000A4B2D" w:rsidRPr="00981A79">
        <w:rPr>
          <w:rFonts w:cs="Arial"/>
        </w:rPr>
        <w:lastRenderedPageBreak/>
        <w:t>concluded between the taxpayer and Gold Kid Trading CC and/or Gold Kid (Pty) Ltd;</w:t>
      </w:r>
    </w:p>
    <w:p w14:paraId="54A100F7" w14:textId="355A6AEC" w:rsidR="000A4B2D" w:rsidRPr="00981A79" w:rsidRDefault="00981A79" w:rsidP="00981A79">
      <w:pPr>
        <w:spacing w:after="240" w:line="360" w:lineRule="auto"/>
        <w:ind w:left="2160" w:hanging="720"/>
        <w:jc w:val="both"/>
        <w:rPr>
          <w:rFonts w:cs="Arial"/>
        </w:rPr>
      </w:pPr>
      <w:r>
        <w:rPr>
          <w:rFonts w:ascii="Arial" w:eastAsia="Calibri" w:hAnsi="Arial" w:cs="Arial"/>
          <w:lang w:val="en-ZA"/>
        </w:rPr>
        <w:t>h.</w:t>
      </w:r>
      <w:r>
        <w:rPr>
          <w:rFonts w:ascii="Arial" w:eastAsia="Calibri" w:hAnsi="Arial" w:cs="Arial"/>
          <w:lang w:val="en-ZA"/>
        </w:rPr>
        <w:tab/>
      </w:r>
      <w:r w:rsidR="000A4B2D" w:rsidRPr="00B15B03">
        <w:t xml:space="preserve">The purchase agreements that </w:t>
      </w:r>
      <w:r w:rsidR="000A4B2D">
        <w:t>the taxpayer</w:t>
      </w:r>
      <w:r w:rsidR="000A4B2D" w:rsidRPr="00B15B03">
        <w:t xml:space="preserve"> entered into with Geba and the remaining suppliers</w:t>
      </w:r>
      <w:r w:rsidR="000A4B2D" w:rsidRPr="00981A79">
        <w:rPr>
          <w:rFonts w:cs="Arial"/>
        </w:rPr>
        <w:t xml:space="preserve">; </w:t>
      </w:r>
    </w:p>
    <w:p w14:paraId="3FAEF566" w14:textId="64DC497D" w:rsidR="000A4B2D" w:rsidRPr="00981A79" w:rsidRDefault="00981A79" w:rsidP="00981A79">
      <w:pPr>
        <w:spacing w:after="240" w:line="360" w:lineRule="auto"/>
        <w:ind w:left="2160" w:hanging="720"/>
        <w:jc w:val="both"/>
        <w:rPr>
          <w:rFonts w:cs="Arial"/>
        </w:rPr>
      </w:pPr>
      <w:r>
        <w:rPr>
          <w:rFonts w:ascii="Arial" w:eastAsia="Calibri" w:hAnsi="Arial" w:cs="Arial"/>
          <w:lang w:val="en-ZA"/>
        </w:rPr>
        <w:t>i.</w:t>
      </w:r>
      <w:r>
        <w:rPr>
          <w:rFonts w:ascii="Arial" w:eastAsia="Calibri" w:hAnsi="Arial" w:cs="Arial"/>
          <w:lang w:val="en-ZA"/>
        </w:rPr>
        <w:tab/>
      </w:r>
      <w:r w:rsidR="000A4B2D" w:rsidRPr="00981A79">
        <w:rPr>
          <w:rFonts w:cs="Arial"/>
        </w:rPr>
        <w:t>The taxpayer's contracts between itself and the remaining suppliers, concerning the sale and purchase of gold-bearing material during the audit period;</w:t>
      </w:r>
    </w:p>
    <w:p w14:paraId="36091296" w14:textId="2D2E8F24" w:rsidR="000A4B2D" w:rsidRPr="00981A79" w:rsidRDefault="00981A79" w:rsidP="00981A79">
      <w:pPr>
        <w:spacing w:after="240" w:line="360" w:lineRule="auto"/>
        <w:ind w:left="2160" w:hanging="720"/>
        <w:jc w:val="both"/>
        <w:rPr>
          <w:rFonts w:cs="Arial"/>
        </w:rPr>
      </w:pPr>
      <w:r>
        <w:rPr>
          <w:rFonts w:ascii="Arial" w:eastAsia="Calibri" w:hAnsi="Arial" w:cs="Arial"/>
          <w:lang w:val="en-ZA"/>
        </w:rPr>
        <w:t>j.</w:t>
      </w:r>
      <w:r>
        <w:rPr>
          <w:rFonts w:ascii="Arial" w:eastAsia="Calibri" w:hAnsi="Arial" w:cs="Arial"/>
          <w:lang w:val="en-ZA"/>
        </w:rPr>
        <w:tab/>
      </w:r>
      <w:r w:rsidR="000A4B2D" w:rsidRPr="00981A79">
        <w:rPr>
          <w:rFonts w:cs="Arial"/>
        </w:rPr>
        <w:t xml:space="preserve">The taxpayer's reports, memoranda, recommendations, presentations prepared by the investigators, consultants, advisers, and experts known as Paul and Kurt, as well as contemporaneous notes minutes of meetings held with Paul and Kurt;  </w:t>
      </w:r>
    </w:p>
    <w:p w14:paraId="151AD7BE" w14:textId="2BE7C2BB" w:rsidR="000A4B2D" w:rsidRPr="00981A79" w:rsidRDefault="00981A79" w:rsidP="00981A79">
      <w:pPr>
        <w:spacing w:after="240" w:line="360" w:lineRule="auto"/>
        <w:ind w:left="2160" w:hanging="720"/>
        <w:jc w:val="both"/>
        <w:rPr>
          <w:rFonts w:cs="Arial"/>
        </w:rPr>
      </w:pPr>
      <w:r>
        <w:rPr>
          <w:rFonts w:ascii="Arial" w:eastAsia="Calibri" w:hAnsi="Arial" w:cs="Arial"/>
          <w:lang w:val="en-ZA"/>
        </w:rPr>
        <w:t>k.</w:t>
      </w:r>
      <w:r>
        <w:rPr>
          <w:rFonts w:ascii="Arial" w:eastAsia="Calibri" w:hAnsi="Arial" w:cs="Arial"/>
          <w:lang w:val="en-ZA"/>
        </w:rPr>
        <w:tab/>
      </w:r>
      <w:r w:rsidR="000A4B2D" w:rsidRPr="00981A79">
        <w:rPr>
          <w:rFonts w:cs="Arial"/>
        </w:rPr>
        <w:t xml:space="preserve">The taxpayer's VAT201 returns and documentation that accompanied the returns for the period 01/2018 to 12/2018;  </w:t>
      </w:r>
    </w:p>
    <w:p w14:paraId="41D33FEE" w14:textId="28B191CC" w:rsidR="000A4B2D" w:rsidRPr="00981A79" w:rsidRDefault="00981A79" w:rsidP="00981A79">
      <w:pPr>
        <w:spacing w:after="240" w:line="360" w:lineRule="auto"/>
        <w:ind w:left="2160" w:hanging="720"/>
        <w:jc w:val="both"/>
        <w:rPr>
          <w:rFonts w:cs="Arial"/>
        </w:rPr>
      </w:pPr>
      <w:r>
        <w:rPr>
          <w:rFonts w:ascii="Arial" w:eastAsia="Calibri" w:hAnsi="Arial" w:cs="Arial"/>
          <w:lang w:val="en-ZA"/>
        </w:rPr>
        <w:t>l.</w:t>
      </w:r>
      <w:r>
        <w:rPr>
          <w:rFonts w:ascii="Arial" w:eastAsia="Calibri" w:hAnsi="Arial" w:cs="Arial"/>
          <w:lang w:val="en-ZA"/>
        </w:rPr>
        <w:tab/>
      </w:r>
      <w:r w:rsidR="000A4B2D" w:rsidRPr="00981A79">
        <w:rPr>
          <w:rFonts w:cs="Arial"/>
        </w:rPr>
        <w:t>The correspondence and documentation exchanged between the taxpayer and SARS in respect of the various verification audits conducted for the period 01/2018 to 12/2018;</w:t>
      </w:r>
    </w:p>
    <w:p w14:paraId="6048783B" w14:textId="1EB2B874" w:rsidR="000A4B2D" w:rsidRPr="00981A79" w:rsidRDefault="00981A79" w:rsidP="00981A79">
      <w:pPr>
        <w:spacing w:after="240" w:line="360" w:lineRule="auto"/>
        <w:ind w:left="2160" w:hanging="720"/>
        <w:jc w:val="both"/>
        <w:rPr>
          <w:rFonts w:cs="Arial"/>
        </w:rPr>
      </w:pPr>
      <w:r>
        <w:rPr>
          <w:rFonts w:ascii="Arial" w:eastAsia="Calibri" w:hAnsi="Arial" w:cs="Arial"/>
          <w:lang w:val="en-ZA"/>
        </w:rPr>
        <w:t>m.</w:t>
      </w:r>
      <w:r>
        <w:rPr>
          <w:rFonts w:ascii="Arial" w:eastAsia="Calibri" w:hAnsi="Arial" w:cs="Arial"/>
          <w:lang w:val="en-ZA"/>
        </w:rPr>
        <w:tab/>
      </w:r>
      <w:r w:rsidR="000A4B2D" w:rsidRPr="00981A79">
        <w:rPr>
          <w:rFonts w:cs="Arial"/>
        </w:rPr>
        <w:t xml:space="preserve">The taxpayer's 'tax-type reports’ for the period 01/2018 to 12/2018; </w:t>
      </w:r>
    </w:p>
    <w:p w14:paraId="5739696A" w14:textId="5173B9F9" w:rsidR="000A4B2D" w:rsidRPr="00981A79" w:rsidRDefault="00981A79" w:rsidP="00981A79">
      <w:pPr>
        <w:spacing w:after="240" w:line="360" w:lineRule="auto"/>
        <w:ind w:left="2160" w:hanging="720"/>
        <w:jc w:val="both"/>
        <w:rPr>
          <w:rFonts w:cs="Arial"/>
        </w:rPr>
      </w:pPr>
      <w:r>
        <w:rPr>
          <w:rFonts w:ascii="Arial" w:eastAsia="Calibri" w:hAnsi="Arial" w:cs="Arial"/>
          <w:lang w:val="en-ZA"/>
        </w:rPr>
        <w:t>n.</w:t>
      </w:r>
      <w:r>
        <w:rPr>
          <w:rFonts w:ascii="Arial" w:eastAsia="Calibri" w:hAnsi="Arial" w:cs="Arial"/>
          <w:lang w:val="en-ZA"/>
        </w:rPr>
        <w:tab/>
      </w:r>
      <w:r w:rsidR="000A4B2D" w:rsidRPr="00981A79">
        <w:rPr>
          <w:rFonts w:cs="Arial"/>
        </w:rPr>
        <w:t xml:space="preserve">The taxpayer's income tax returns and any accompanying documents for the period 02/2018 to 06/2020; </w:t>
      </w:r>
    </w:p>
    <w:p w14:paraId="508DFC9F" w14:textId="1F3616D3" w:rsidR="000A4B2D" w:rsidRPr="00981A79" w:rsidRDefault="00981A79" w:rsidP="00981A79">
      <w:pPr>
        <w:spacing w:after="240" w:line="360" w:lineRule="auto"/>
        <w:ind w:left="2160" w:hanging="720"/>
        <w:jc w:val="both"/>
        <w:rPr>
          <w:rFonts w:cs="Arial"/>
        </w:rPr>
      </w:pPr>
      <w:r>
        <w:rPr>
          <w:rFonts w:ascii="Arial" w:eastAsia="Calibri" w:hAnsi="Arial" w:cs="Arial"/>
          <w:lang w:val="en-ZA"/>
        </w:rPr>
        <w:t>o.</w:t>
      </w:r>
      <w:r>
        <w:rPr>
          <w:rFonts w:ascii="Arial" w:eastAsia="Calibri" w:hAnsi="Arial" w:cs="Arial"/>
          <w:lang w:val="en-ZA"/>
        </w:rPr>
        <w:tab/>
      </w:r>
      <w:r w:rsidR="000A4B2D" w:rsidRPr="00981A79">
        <w:rPr>
          <w:rFonts w:cs="Arial"/>
        </w:rPr>
        <w:t>The taxpayer's relevant bank statements and other documentation for the period 01/2018 to 12/2018 concerning payments made to the taxpayer or deposits received by the taxpayer from cash-in-transit or paymaster companies;</w:t>
      </w:r>
    </w:p>
    <w:p w14:paraId="722135ED" w14:textId="42452F09" w:rsidR="000A4B2D" w:rsidRPr="00981A79" w:rsidRDefault="00981A79" w:rsidP="00981A79">
      <w:pPr>
        <w:spacing w:after="240" w:line="360" w:lineRule="auto"/>
        <w:ind w:left="2160" w:hanging="720"/>
        <w:jc w:val="both"/>
        <w:rPr>
          <w:rFonts w:cs="Arial"/>
        </w:rPr>
      </w:pPr>
      <w:r w:rsidRPr="00983B6A">
        <w:rPr>
          <w:rFonts w:ascii="Arial" w:eastAsia="Calibri" w:hAnsi="Arial" w:cs="Arial"/>
          <w:lang w:val="en-ZA"/>
        </w:rPr>
        <w:t>p.</w:t>
      </w:r>
      <w:r w:rsidRPr="00983B6A">
        <w:rPr>
          <w:rFonts w:ascii="Arial" w:eastAsia="Calibri" w:hAnsi="Arial" w:cs="Arial"/>
          <w:lang w:val="en-ZA"/>
        </w:rPr>
        <w:tab/>
      </w:r>
      <w:r w:rsidR="000A4B2D" w:rsidRPr="00981A79">
        <w:rPr>
          <w:rFonts w:cs="Arial"/>
        </w:rPr>
        <w:t xml:space="preserve">The taxpayer's documentation and/or correspondence in respect of goods containing gold material received from cash-in-transit, paymaster companies, courier companies, including services of this nature rendered by Northern Spark or a company associated with it, Brink's, Asset Movement and Financial Services ("AMFS"), Rens Kontant, or </w:t>
      </w:r>
      <w:r w:rsidR="000A4B2D" w:rsidRPr="00981A79">
        <w:rPr>
          <w:rFonts w:cs="Arial"/>
        </w:rPr>
        <w:lastRenderedPageBreak/>
        <w:t xml:space="preserve">any other supplier who rendered service of this nature for the period 02/2018 to 06/2020; </w:t>
      </w:r>
    </w:p>
    <w:p w14:paraId="7F1EC0F3" w14:textId="1218F46F" w:rsidR="000A4B2D" w:rsidRPr="00981A79" w:rsidRDefault="00981A79" w:rsidP="00981A79">
      <w:pPr>
        <w:spacing w:after="240" w:line="360" w:lineRule="auto"/>
        <w:ind w:left="2160" w:hanging="720"/>
        <w:jc w:val="both"/>
        <w:rPr>
          <w:rFonts w:cs="Arial"/>
        </w:rPr>
      </w:pPr>
      <w:r>
        <w:rPr>
          <w:rFonts w:ascii="Arial" w:eastAsia="Calibri" w:hAnsi="Arial" w:cs="Arial"/>
          <w:lang w:val="en-ZA"/>
        </w:rPr>
        <w:t>q.</w:t>
      </w:r>
      <w:r>
        <w:rPr>
          <w:rFonts w:ascii="Arial" w:eastAsia="Calibri" w:hAnsi="Arial" w:cs="Arial"/>
          <w:lang w:val="en-ZA"/>
        </w:rPr>
        <w:tab/>
      </w:r>
      <w:r w:rsidR="000A4B2D" w:rsidRPr="00981A79">
        <w:rPr>
          <w:rFonts w:cs="Arial"/>
        </w:rPr>
        <w:t xml:space="preserve">The taxpayer's documentation and/or correspondence in respect of goods containing gold material collected from the taxpayer's premises by cash-in-transit companies, paymaster companies, courier companies, including services of this nature rendered by Northern Spark or a company associated with it, Brink's, Asset Movement and Financial Services ("AMFS"), Rens in Kontant, or any other supplier that rendered services of this nature for delivery to </w:t>
      </w:r>
      <w:r w:rsidR="000C2124" w:rsidRPr="00981A79">
        <w:rPr>
          <w:rFonts w:cs="Arial"/>
        </w:rPr>
        <w:t>the</w:t>
      </w:r>
      <w:r w:rsidR="000A4B2D" w:rsidRPr="00981A79">
        <w:rPr>
          <w:rFonts w:cs="Arial"/>
        </w:rPr>
        <w:t xml:space="preserve"> taxpayer's customers for the period 02/2018 to 06/2020;</w:t>
      </w:r>
    </w:p>
    <w:p w14:paraId="59DD3438" w14:textId="74AC6645" w:rsidR="000A4B2D" w:rsidRPr="00981A79" w:rsidRDefault="00981A79" w:rsidP="00981A79">
      <w:pPr>
        <w:spacing w:after="240" w:line="360" w:lineRule="auto"/>
        <w:ind w:left="2160" w:hanging="720"/>
        <w:jc w:val="both"/>
        <w:rPr>
          <w:rFonts w:cs="Arial"/>
        </w:rPr>
      </w:pPr>
      <w:r>
        <w:rPr>
          <w:rFonts w:ascii="Arial" w:eastAsia="Calibri" w:hAnsi="Arial" w:cs="Arial"/>
          <w:lang w:val="en-ZA"/>
        </w:rPr>
        <w:t>r.</w:t>
      </w:r>
      <w:r>
        <w:rPr>
          <w:rFonts w:ascii="Arial" w:eastAsia="Calibri" w:hAnsi="Arial" w:cs="Arial"/>
          <w:lang w:val="en-ZA"/>
        </w:rPr>
        <w:tab/>
      </w:r>
      <w:r w:rsidR="000A4B2D" w:rsidRPr="00981A79">
        <w:rPr>
          <w:rFonts w:cs="Arial"/>
        </w:rPr>
        <w:t>The taxpayer's annual financial statements for the years ending 30 June 2018;</w:t>
      </w:r>
    </w:p>
    <w:p w14:paraId="1629319F" w14:textId="5B851914" w:rsidR="000A4B2D" w:rsidRPr="00981A79" w:rsidRDefault="00981A79" w:rsidP="00981A79">
      <w:pPr>
        <w:spacing w:after="240" w:line="360" w:lineRule="auto"/>
        <w:ind w:left="2160" w:hanging="720"/>
        <w:jc w:val="both"/>
        <w:rPr>
          <w:rFonts w:cs="Arial"/>
        </w:rPr>
      </w:pPr>
      <w:r>
        <w:rPr>
          <w:rFonts w:ascii="Arial" w:eastAsia="Calibri" w:hAnsi="Arial" w:cs="Arial"/>
          <w:lang w:val="en-ZA"/>
        </w:rPr>
        <w:t>s.</w:t>
      </w:r>
      <w:r>
        <w:rPr>
          <w:rFonts w:ascii="Arial" w:eastAsia="Calibri" w:hAnsi="Arial" w:cs="Arial"/>
          <w:lang w:val="en-ZA"/>
        </w:rPr>
        <w:tab/>
      </w:r>
      <w:r w:rsidR="000A4B2D" w:rsidRPr="00981A79">
        <w:rPr>
          <w:rFonts w:cs="Arial"/>
        </w:rPr>
        <w:t xml:space="preserve">The taxpayer's documentation in respect of the directors from time-to-time in respect of the taxpayer and its predecessor in title Waste Production Utilisation, including documentation reflecting the appointment and resignation of the directors, their contracts of employment and area of responsibilities and resignation letters and/or other documents reflecting the reasons for the resignation; </w:t>
      </w:r>
    </w:p>
    <w:p w14:paraId="45615C1B" w14:textId="55EA38DC" w:rsidR="000A4B2D" w:rsidRPr="00981A79" w:rsidRDefault="00981A79" w:rsidP="00981A79">
      <w:pPr>
        <w:spacing w:after="240" w:line="360" w:lineRule="auto"/>
        <w:ind w:left="2160" w:hanging="720"/>
        <w:jc w:val="both"/>
        <w:rPr>
          <w:rFonts w:cs="Arial"/>
        </w:rPr>
      </w:pPr>
      <w:r>
        <w:rPr>
          <w:rFonts w:ascii="Arial" w:eastAsia="Calibri" w:hAnsi="Arial" w:cs="Arial"/>
          <w:lang w:val="en-ZA"/>
        </w:rPr>
        <w:t>t.</w:t>
      </w:r>
      <w:r>
        <w:rPr>
          <w:rFonts w:ascii="Arial" w:eastAsia="Calibri" w:hAnsi="Arial" w:cs="Arial"/>
          <w:lang w:val="en-ZA"/>
        </w:rPr>
        <w:tab/>
      </w:r>
      <w:r w:rsidR="000A4B2D" w:rsidRPr="00981A79">
        <w:rPr>
          <w:rFonts w:cs="Arial"/>
        </w:rPr>
        <w:t>The taxpayer's documentation in respect of</w:t>
      </w:r>
      <w:r w:rsidR="005D762E" w:rsidRPr="00981A79">
        <w:rPr>
          <w:rFonts w:cs="Arial"/>
        </w:rPr>
        <w:t xml:space="preserve"> the </w:t>
      </w:r>
      <w:r w:rsidR="000A4B2D" w:rsidRPr="00981A79">
        <w:rPr>
          <w:rFonts w:cs="Arial"/>
        </w:rPr>
        <w:t>taxpayer's shareholders and its predecessor in title Waste Production Utilisation's shareholders from time-to-time including</w:t>
      </w:r>
      <w:r w:rsidR="005D762E" w:rsidRPr="00981A79">
        <w:rPr>
          <w:rFonts w:cs="Arial"/>
        </w:rPr>
        <w:t xml:space="preserve"> the </w:t>
      </w:r>
      <w:r w:rsidR="000A4B2D" w:rsidRPr="00981A79">
        <w:rPr>
          <w:rFonts w:cs="Arial"/>
        </w:rPr>
        <w:t xml:space="preserve">taxpayer's shareholders register; share certificates issued; shareholder agreements concerning the acquisition and sale of shares in </w:t>
      </w:r>
      <w:r w:rsidR="005D762E" w:rsidRPr="00981A79">
        <w:rPr>
          <w:rFonts w:cs="Arial"/>
        </w:rPr>
        <w:t xml:space="preserve">the </w:t>
      </w:r>
      <w:r w:rsidR="000A4B2D" w:rsidRPr="00981A79">
        <w:rPr>
          <w:rFonts w:cs="Arial"/>
        </w:rPr>
        <w:t xml:space="preserve">taxpayer; resolutions concerning the acquisition of any shareholding in </w:t>
      </w:r>
      <w:r w:rsidR="005D762E" w:rsidRPr="00981A79">
        <w:rPr>
          <w:rFonts w:cs="Arial"/>
        </w:rPr>
        <w:t xml:space="preserve">the </w:t>
      </w:r>
      <w:r w:rsidR="000A4B2D" w:rsidRPr="00981A79">
        <w:rPr>
          <w:rFonts w:cs="Arial"/>
        </w:rPr>
        <w:t xml:space="preserve">taxpayer or its predecessor; and records of any proceedings before and correspondence with any regulatory body including the Competition Commission and Competition Tribunal, concerning the acquisition of shares in </w:t>
      </w:r>
      <w:r w:rsidR="005D762E" w:rsidRPr="00981A79">
        <w:rPr>
          <w:rFonts w:cs="Arial"/>
        </w:rPr>
        <w:t>the</w:t>
      </w:r>
      <w:r w:rsidR="000A4B2D" w:rsidRPr="00981A79">
        <w:rPr>
          <w:rFonts w:cs="Arial"/>
        </w:rPr>
        <w:t xml:space="preserve"> taxpayer;</w:t>
      </w:r>
    </w:p>
    <w:p w14:paraId="43174C41" w14:textId="14F67ED7" w:rsidR="00453D11" w:rsidRPr="00981A79" w:rsidRDefault="00981A79" w:rsidP="00981A79">
      <w:pPr>
        <w:spacing w:after="240" w:line="360" w:lineRule="auto"/>
        <w:ind w:left="2160" w:hanging="720"/>
        <w:jc w:val="both"/>
        <w:rPr>
          <w:rFonts w:cs="Arial"/>
        </w:rPr>
      </w:pPr>
      <w:r>
        <w:rPr>
          <w:rFonts w:ascii="Arial" w:eastAsia="Calibri" w:hAnsi="Arial" w:cs="Arial"/>
          <w:lang w:val="en-ZA"/>
        </w:rPr>
        <w:t>u.</w:t>
      </w:r>
      <w:r>
        <w:rPr>
          <w:rFonts w:ascii="Arial" w:eastAsia="Calibri" w:hAnsi="Arial" w:cs="Arial"/>
          <w:lang w:val="en-ZA"/>
        </w:rPr>
        <w:tab/>
      </w:r>
      <w:r w:rsidR="000A4B2D" w:rsidRPr="00981A79">
        <w:rPr>
          <w:rFonts w:cs="Arial"/>
        </w:rPr>
        <w:t xml:space="preserve">Schedules and excel spreadsheets containing the taxpayer's month-to- month Au/AG export summary for the period January 2014 to January 2023, concerning: the supplies received from the taxpayer's suppliers on a daily basis, the delivery date, the results date, the work day results, the </w:t>
      </w:r>
      <w:r w:rsidR="000A4B2D" w:rsidRPr="00981A79">
        <w:rPr>
          <w:rFonts w:cs="Arial"/>
        </w:rPr>
        <w:lastRenderedPageBreak/>
        <w:t>refiner lot No., the taxpayer's deposit No; the supplies received by the taxpayer with reference to the suppliers names, the wet weight; smelting loss; official weight; gold fineness; gold weight fine; gold factor; gold weight sold; silver fineness; silver weight fine; silver factor, silver weight sold, the trading in (Au) with reference to gross sales, final sales @ 0 %, purchases, gross contribution, GC %, rebate allocation; net gross contribution; net GC % and customer sold to, export fees/refining/hedging fees, other costs, financing costs, tax</w:t>
      </w:r>
    </w:p>
    <w:p w14:paraId="6FD52849" w14:textId="2E5884A0" w:rsidR="009308EB" w:rsidRPr="00981A79" w:rsidRDefault="00981A79" w:rsidP="00981A79">
      <w:pPr>
        <w:spacing w:after="240" w:line="360" w:lineRule="auto"/>
        <w:ind w:left="720" w:hanging="720"/>
        <w:rPr>
          <w:rFonts w:cs="Arial"/>
        </w:rPr>
      </w:pPr>
      <w:r w:rsidRPr="00453D11">
        <w:rPr>
          <w:rFonts w:ascii="Arial" w:eastAsia="Calibri" w:hAnsi="Arial" w:cs="Arial"/>
          <w:lang w:val="en-ZA"/>
        </w:rPr>
        <w:t>[2]</w:t>
      </w:r>
      <w:r w:rsidRPr="00453D11">
        <w:rPr>
          <w:rFonts w:ascii="Arial" w:eastAsia="Calibri" w:hAnsi="Arial" w:cs="Arial"/>
          <w:lang w:val="en-ZA"/>
        </w:rPr>
        <w:tab/>
      </w:r>
      <w:r w:rsidR="004139B9" w:rsidRPr="00981A79">
        <w:rPr>
          <w:rFonts w:cs="Arial"/>
        </w:rPr>
        <w:t>The taxpayer</w:t>
      </w:r>
      <w:r w:rsidR="009308EB" w:rsidRPr="00981A79">
        <w:rPr>
          <w:rFonts w:cs="Arial"/>
        </w:rPr>
        <w:t xml:space="preserve"> is to pay SARS’ costs of this application such costs to include the costs of two counsel where employed.</w:t>
      </w:r>
    </w:p>
    <w:p w14:paraId="5F776E15" w14:textId="77777777" w:rsidR="009308EB" w:rsidRDefault="009308EB" w:rsidP="009308EB">
      <w:pPr>
        <w:spacing w:after="0"/>
        <w:ind w:left="720" w:hanging="720"/>
      </w:pPr>
    </w:p>
    <w:p w14:paraId="03C6F552" w14:textId="77777777" w:rsidR="00FF3776" w:rsidRPr="00FF3776" w:rsidRDefault="00FF3776" w:rsidP="008E4028">
      <w:pPr>
        <w:spacing w:after="240" w:line="360" w:lineRule="auto"/>
        <w:jc w:val="both"/>
        <w:rPr>
          <w:rFonts w:ascii="Arial" w:eastAsia="Calibri" w:hAnsi="Arial" w:cs="Arial"/>
          <w:b/>
          <w:kern w:val="0"/>
          <w:szCs w:val="22"/>
          <w14:ligatures w14:val="none"/>
        </w:rPr>
      </w:pPr>
      <w:r w:rsidRPr="00FF3776">
        <w:rPr>
          <w:rFonts w:ascii="Arial" w:eastAsia="Calibri" w:hAnsi="Arial" w:cs="Arial"/>
          <w:b/>
          <w:kern w:val="0"/>
          <w:szCs w:val="22"/>
          <w14:ligatures w14:val="none"/>
        </w:rPr>
        <w:t>___________________________________________________________________</w:t>
      </w:r>
      <w:r w:rsidR="008E4028">
        <w:rPr>
          <w:rFonts w:ascii="Arial" w:eastAsia="Calibri" w:hAnsi="Arial" w:cs="Arial"/>
          <w:b/>
          <w:kern w:val="0"/>
          <w:szCs w:val="22"/>
          <w14:ligatures w14:val="none"/>
        </w:rPr>
        <w:t xml:space="preserve"> </w:t>
      </w:r>
    </w:p>
    <w:p w14:paraId="02BE0E87" w14:textId="77777777" w:rsidR="00FF3776" w:rsidRPr="00FF3776" w:rsidRDefault="00FF3776" w:rsidP="00FF3776">
      <w:pPr>
        <w:pBdr>
          <w:bottom w:val="single" w:sz="12" w:space="1" w:color="auto"/>
        </w:pBdr>
        <w:spacing w:after="240" w:line="480" w:lineRule="auto"/>
        <w:jc w:val="center"/>
        <w:rPr>
          <w:rFonts w:ascii="Arial" w:eastAsia="Calibri" w:hAnsi="Arial" w:cs="Arial"/>
          <w:b/>
          <w:kern w:val="0"/>
          <w:lang w:val="en-ZA"/>
          <w14:ligatures w14:val="none"/>
        </w:rPr>
      </w:pPr>
      <w:r w:rsidRPr="00FF3776">
        <w:rPr>
          <w:rFonts w:ascii="Arial" w:eastAsia="Calibri" w:hAnsi="Arial" w:cs="Arial"/>
          <w:b/>
          <w:kern w:val="0"/>
          <w:lang w:val="en-ZA"/>
          <w14:ligatures w14:val="none"/>
        </w:rPr>
        <w:t>JUDGMENT</w:t>
      </w:r>
    </w:p>
    <w:p w14:paraId="50400C50" w14:textId="77777777" w:rsidR="000247F8" w:rsidRPr="00FF3776" w:rsidRDefault="00FF3776" w:rsidP="000C67B7">
      <w:pPr>
        <w:spacing w:after="240" w:line="360" w:lineRule="auto"/>
        <w:ind w:left="720" w:hanging="720"/>
        <w:jc w:val="both"/>
        <w:rPr>
          <w:rFonts w:ascii="Arial" w:eastAsia="Calibri" w:hAnsi="Arial" w:cs="Arial"/>
          <w:b/>
          <w:kern w:val="0"/>
          <w:szCs w:val="22"/>
          <w14:ligatures w14:val="none"/>
        </w:rPr>
      </w:pPr>
      <w:r w:rsidRPr="00FF3776">
        <w:rPr>
          <w:rFonts w:ascii="Arial" w:eastAsia="Calibri" w:hAnsi="Arial" w:cs="Arial"/>
          <w:b/>
          <w:kern w:val="0"/>
          <w:szCs w:val="22"/>
          <w14:ligatures w14:val="none"/>
        </w:rPr>
        <w:t>FISHER, J</w:t>
      </w:r>
    </w:p>
    <w:p w14:paraId="4425268A" w14:textId="77777777" w:rsidR="000247F8" w:rsidRPr="00B1210B" w:rsidRDefault="000247F8" w:rsidP="000C67B7">
      <w:pPr>
        <w:spacing w:after="240" w:line="360" w:lineRule="auto"/>
        <w:jc w:val="both"/>
        <w:rPr>
          <w:rFonts w:cs="Arial"/>
          <w:i/>
          <w:iCs/>
        </w:rPr>
      </w:pPr>
      <w:r w:rsidRPr="00B1210B">
        <w:rPr>
          <w:rFonts w:cs="Arial"/>
          <w:i/>
          <w:iCs/>
        </w:rPr>
        <w:t>Introduction</w:t>
      </w:r>
    </w:p>
    <w:p w14:paraId="604465EE" w14:textId="41A853EC" w:rsidR="00091037" w:rsidRPr="00981A79" w:rsidRDefault="00981A79" w:rsidP="00981A79">
      <w:pPr>
        <w:spacing w:after="240" w:line="360" w:lineRule="auto"/>
        <w:ind w:left="720" w:hanging="720"/>
        <w:jc w:val="both"/>
        <w:rPr>
          <w:rFonts w:cs="Arial"/>
        </w:rPr>
      </w:pPr>
      <w:r>
        <w:rPr>
          <w:rFonts w:ascii="Arial" w:eastAsia="Calibri" w:hAnsi="Arial" w:cs="Arial"/>
          <w:lang w:val="en-ZA"/>
        </w:rPr>
        <w:t>[1]</w:t>
      </w:r>
      <w:r>
        <w:rPr>
          <w:rFonts w:ascii="Arial" w:eastAsia="Calibri" w:hAnsi="Arial" w:cs="Arial"/>
          <w:lang w:val="en-ZA"/>
        </w:rPr>
        <w:tab/>
      </w:r>
      <w:r w:rsidR="00ED7313" w:rsidRPr="00981A79">
        <w:rPr>
          <w:rFonts w:cs="Arial"/>
        </w:rPr>
        <w:t xml:space="preserve">This judgment is in respect of three separate interlocutory </w:t>
      </w:r>
      <w:r w:rsidR="00203B52" w:rsidRPr="00981A79">
        <w:rPr>
          <w:rFonts w:cs="Arial"/>
        </w:rPr>
        <w:t xml:space="preserve">applications dealing with </w:t>
      </w:r>
      <w:r w:rsidR="00FB39B9" w:rsidRPr="00981A79">
        <w:rPr>
          <w:rFonts w:cs="Arial"/>
        </w:rPr>
        <w:t xml:space="preserve">the entitlement to discovery of documents and </w:t>
      </w:r>
      <w:r w:rsidR="008B6FBC" w:rsidRPr="00981A79">
        <w:rPr>
          <w:rFonts w:cs="Arial"/>
        </w:rPr>
        <w:t xml:space="preserve">further particulars in </w:t>
      </w:r>
      <w:r w:rsidR="00140A9D" w:rsidRPr="00981A79">
        <w:rPr>
          <w:rFonts w:cs="Arial"/>
        </w:rPr>
        <w:t>a</w:t>
      </w:r>
      <w:r w:rsidR="00091037" w:rsidRPr="00981A79">
        <w:rPr>
          <w:rFonts w:cs="Arial"/>
        </w:rPr>
        <w:t xml:space="preserve"> pending</w:t>
      </w:r>
      <w:r w:rsidR="00140A9D" w:rsidRPr="00981A79">
        <w:rPr>
          <w:rFonts w:cs="Arial"/>
        </w:rPr>
        <w:t xml:space="preserve"> </w:t>
      </w:r>
      <w:r w:rsidR="002E3268" w:rsidRPr="00981A79">
        <w:rPr>
          <w:rFonts w:cs="Arial"/>
        </w:rPr>
        <w:t>appeal</w:t>
      </w:r>
      <w:r w:rsidR="00117D82" w:rsidRPr="00981A79">
        <w:rPr>
          <w:rFonts w:cs="Arial"/>
        </w:rPr>
        <w:t xml:space="preserve"> </w:t>
      </w:r>
      <w:r w:rsidR="005965B5" w:rsidRPr="00981A79">
        <w:rPr>
          <w:rFonts w:cs="Arial"/>
        </w:rPr>
        <w:t>before this court</w:t>
      </w:r>
      <w:r w:rsidR="00496301" w:rsidRPr="00981A79">
        <w:rPr>
          <w:rFonts w:cs="Arial"/>
        </w:rPr>
        <w:t>.</w:t>
      </w:r>
      <w:r w:rsidR="002E3268" w:rsidRPr="00981A79">
        <w:rPr>
          <w:rFonts w:cs="Arial"/>
        </w:rPr>
        <w:t xml:space="preserve"> </w:t>
      </w:r>
    </w:p>
    <w:p w14:paraId="3B074795" w14:textId="00387440" w:rsidR="00091037" w:rsidRPr="00981A79" w:rsidRDefault="00981A79" w:rsidP="00981A79">
      <w:pPr>
        <w:spacing w:after="240" w:line="360" w:lineRule="auto"/>
        <w:ind w:left="720" w:hanging="720"/>
        <w:jc w:val="both"/>
        <w:rPr>
          <w:rFonts w:cs="Arial"/>
        </w:rPr>
      </w:pPr>
      <w:r>
        <w:rPr>
          <w:rFonts w:ascii="Arial" w:eastAsia="Calibri" w:hAnsi="Arial" w:cs="Arial"/>
          <w:lang w:val="en-ZA"/>
        </w:rPr>
        <w:t>[2]</w:t>
      </w:r>
      <w:r>
        <w:rPr>
          <w:rFonts w:ascii="Arial" w:eastAsia="Calibri" w:hAnsi="Arial" w:cs="Arial"/>
          <w:lang w:val="en-ZA"/>
        </w:rPr>
        <w:tab/>
      </w:r>
      <w:r w:rsidR="00091037" w:rsidRPr="00981A79">
        <w:rPr>
          <w:rFonts w:cs="Arial"/>
        </w:rPr>
        <w:t xml:space="preserve">SARS conducted an audit for the January 2019 to June 2020 periods.  </w:t>
      </w:r>
      <w:r w:rsidR="00453D11" w:rsidRPr="00981A79">
        <w:rPr>
          <w:rFonts w:cs="Arial"/>
        </w:rPr>
        <w:t xml:space="preserve"> Pursuant thereto a</w:t>
      </w:r>
      <w:r w:rsidR="00091037" w:rsidRPr="00981A79">
        <w:rPr>
          <w:rFonts w:cs="Arial"/>
        </w:rPr>
        <w:t xml:space="preserve">dditional assessments were raised in which SARS disallowed input taxes claimed by </w:t>
      </w:r>
      <w:r w:rsidR="004139B9" w:rsidRPr="00981A79">
        <w:rPr>
          <w:rFonts w:cs="Arial"/>
        </w:rPr>
        <w:t>the taxpayer</w:t>
      </w:r>
      <w:r w:rsidR="00091037" w:rsidRPr="00981A79">
        <w:rPr>
          <w:rFonts w:cs="Arial"/>
        </w:rPr>
        <w:t xml:space="preserve"> in respect of the supplies of three of its suppliers, Northern Spark, JR Tech and Geba for the VAT periods 01/2019 to 06/2020. The amounts involved exceed R4 billion. The appeal relates to these additional assessments.</w:t>
      </w:r>
    </w:p>
    <w:p w14:paraId="2151FD17" w14:textId="1F13AB95" w:rsidR="004E0FCF" w:rsidRPr="00981A79" w:rsidRDefault="00981A79" w:rsidP="00981A79">
      <w:pPr>
        <w:spacing w:after="240" w:line="360" w:lineRule="auto"/>
        <w:ind w:left="720" w:hanging="720"/>
        <w:jc w:val="both"/>
        <w:rPr>
          <w:rFonts w:cs="Arial"/>
        </w:rPr>
      </w:pPr>
      <w:r w:rsidRPr="00B1210B">
        <w:rPr>
          <w:rFonts w:ascii="Arial" w:eastAsia="Calibri" w:hAnsi="Arial" w:cs="Arial"/>
          <w:lang w:val="en-ZA"/>
        </w:rPr>
        <w:t>[3]</w:t>
      </w:r>
      <w:r w:rsidRPr="00B1210B">
        <w:rPr>
          <w:rFonts w:ascii="Arial" w:eastAsia="Calibri" w:hAnsi="Arial" w:cs="Arial"/>
          <w:lang w:val="en-ZA"/>
        </w:rPr>
        <w:tab/>
      </w:r>
      <w:r w:rsidR="006F45A6" w:rsidRPr="00981A79">
        <w:rPr>
          <w:rFonts w:cs="Arial"/>
        </w:rPr>
        <w:t>T</w:t>
      </w:r>
      <w:r w:rsidR="00B4518F" w:rsidRPr="00981A79">
        <w:rPr>
          <w:rFonts w:cs="Arial"/>
        </w:rPr>
        <w:t xml:space="preserve">he </w:t>
      </w:r>
      <w:r w:rsidR="00091037" w:rsidRPr="00981A79">
        <w:rPr>
          <w:rFonts w:cs="Arial"/>
        </w:rPr>
        <w:t xml:space="preserve">interlocutory </w:t>
      </w:r>
      <w:r w:rsidR="00B4518F" w:rsidRPr="00981A79">
        <w:rPr>
          <w:rFonts w:cs="Arial"/>
        </w:rPr>
        <w:t>applications are as follows</w:t>
      </w:r>
      <w:r w:rsidR="00091037" w:rsidRPr="00981A79">
        <w:rPr>
          <w:rFonts w:cs="Arial"/>
        </w:rPr>
        <w:t>:</w:t>
      </w:r>
    </w:p>
    <w:p w14:paraId="61672CA7" w14:textId="491F64B9" w:rsidR="00B4518F" w:rsidRPr="00981A79" w:rsidRDefault="00981A79" w:rsidP="00981A79">
      <w:pPr>
        <w:spacing w:after="240" w:line="360" w:lineRule="auto"/>
        <w:ind w:left="1440" w:hanging="360"/>
        <w:jc w:val="both"/>
        <w:rPr>
          <w:rFonts w:cs="Arial"/>
        </w:rPr>
      </w:pPr>
      <w:r w:rsidRPr="00B1210B">
        <w:rPr>
          <w:rFonts w:ascii="Arial" w:eastAsia="Calibri" w:hAnsi="Arial" w:cs="Arial"/>
          <w:lang w:val="en-ZA"/>
        </w:rPr>
        <w:t>a.</w:t>
      </w:r>
      <w:r w:rsidRPr="00B1210B">
        <w:rPr>
          <w:rFonts w:ascii="Arial" w:eastAsia="Calibri" w:hAnsi="Arial" w:cs="Arial"/>
          <w:lang w:val="en-ZA"/>
        </w:rPr>
        <w:tab/>
      </w:r>
      <w:r w:rsidR="00B4518F" w:rsidRPr="00981A79">
        <w:rPr>
          <w:rFonts w:cs="Arial"/>
        </w:rPr>
        <w:t xml:space="preserve">First, an application </w:t>
      </w:r>
      <w:r w:rsidR="0061770D" w:rsidRPr="00981A79">
        <w:rPr>
          <w:rFonts w:cs="Arial"/>
        </w:rPr>
        <w:t xml:space="preserve">by </w:t>
      </w:r>
      <w:r w:rsidR="004139B9" w:rsidRPr="00981A79">
        <w:rPr>
          <w:rFonts w:cs="Arial"/>
        </w:rPr>
        <w:t>the taxpayer</w:t>
      </w:r>
      <w:r w:rsidR="0061770D" w:rsidRPr="00981A79">
        <w:rPr>
          <w:rFonts w:cs="Arial"/>
        </w:rPr>
        <w:t xml:space="preserve"> </w:t>
      </w:r>
      <w:r w:rsidR="0026325C" w:rsidRPr="00981A79">
        <w:rPr>
          <w:rFonts w:cs="Arial"/>
        </w:rPr>
        <w:t xml:space="preserve">to </w:t>
      </w:r>
      <w:r w:rsidR="00471726" w:rsidRPr="00981A79">
        <w:rPr>
          <w:rFonts w:cs="Arial"/>
        </w:rPr>
        <w:t>compel SARS</w:t>
      </w:r>
      <w:r w:rsidR="0046203E" w:rsidRPr="00981A79">
        <w:rPr>
          <w:rFonts w:cs="Arial"/>
        </w:rPr>
        <w:t xml:space="preserve"> </w:t>
      </w:r>
      <w:r w:rsidR="00B27DFD" w:rsidRPr="00981A79">
        <w:rPr>
          <w:rFonts w:cs="Arial"/>
        </w:rPr>
        <w:t xml:space="preserve">to </w:t>
      </w:r>
      <w:r w:rsidR="00277961" w:rsidRPr="00981A79">
        <w:rPr>
          <w:rFonts w:cs="Arial"/>
        </w:rPr>
        <w:t>furnish it with</w:t>
      </w:r>
      <w:r w:rsidR="00B27DFD" w:rsidRPr="00981A79">
        <w:rPr>
          <w:rFonts w:cs="Arial"/>
        </w:rPr>
        <w:t xml:space="preserve"> </w:t>
      </w:r>
      <w:r w:rsidR="0026325C" w:rsidRPr="00981A79">
        <w:rPr>
          <w:rFonts w:cs="Arial"/>
        </w:rPr>
        <w:t>furt</w:t>
      </w:r>
      <w:r w:rsidR="0046203E" w:rsidRPr="00981A79">
        <w:rPr>
          <w:rFonts w:cs="Arial"/>
        </w:rPr>
        <w:t xml:space="preserve">her </w:t>
      </w:r>
      <w:r w:rsidR="00D17E91" w:rsidRPr="00981A79">
        <w:rPr>
          <w:rFonts w:cs="Arial"/>
        </w:rPr>
        <w:t>discovery</w:t>
      </w:r>
      <w:r w:rsidR="0077384C" w:rsidRPr="00981A79">
        <w:rPr>
          <w:rFonts w:cs="Arial"/>
        </w:rPr>
        <w:t>.</w:t>
      </w:r>
      <w:r w:rsidR="0026325C" w:rsidRPr="00981A79">
        <w:rPr>
          <w:rFonts w:cs="Arial"/>
        </w:rPr>
        <w:t xml:space="preserve"> </w:t>
      </w:r>
    </w:p>
    <w:p w14:paraId="4E28DF94" w14:textId="5A46043F" w:rsidR="0046203E" w:rsidRPr="00981A79" w:rsidRDefault="00981A79" w:rsidP="00981A79">
      <w:pPr>
        <w:spacing w:after="240" w:line="360" w:lineRule="auto"/>
        <w:ind w:left="1440" w:hanging="360"/>
        <w:jc w:val="both"/>
        <w:rPr>
          <w:rFonts w:cs="Arial"/>
        </w:rPr>
      </w:pPr>
      <w:r w:rsidRPr="00B1210B">
        <w:rPr>
          <w:rFonts w:ascii="Arial" w:eastAsia="Calibri" w:hAnsi="Arial" w:cs="Arial"/>
          <w:lang w:val="en-ZA"/>
        </w:rPr>
        <w:t>b.</w:t>
      </w:r>
      <w:r w:rsidRPr="00B1210B">
        <w:rPr>
          <w:rFonts w:ascii="Arial" w:eastAsia="Calibri" w:hAnsi="Arial" w:cs="Arial"/>
          <w:lang w:val="en-ZA"/>
        </w:rPr>
        <w:tab/>
      </w:r>
      <w:r w:rsidR="0046203E" w:rsidRPr="00981A79">
        <w:rPr>
          <w:rFonts w:cs="Arial"/>
        </w:rPr>
        <w:t>Second, an app</w:t>
      </w:r>
      <w:r w:rsidR="00B27DFD" w:rsidRPr="00981A79">
        <w:rPr>
          <w:rFonts w:cs="Arial"/>
        </w:rPr>
        <w:t xml:space="preserve">lication by </w:t>
      </w:r>
      <w:r w:rsidR="004139B9" w:rsidRPr="00981A79">
        <w:rPr>
          <w:rFonts w:cs="Arial"/>
        </w:rPr>
        <w:t>the taxpayer</w:t>
      </w:r>
      <w:r w:rsidR="00B27DFD" w:rsidRPr="00981A79">
        <w:rPr>
          <w:rFonts w:cs="Arial"/>
        </w:rPr>
        <w:t xml:space="preserve"> to</w:t>
      </w:r>
      <w:r w:rsidR="00277961" w:rsidRPr="00981A79">
        <w:rPr>
          <w:rFonts w:cs="Arial"/>
        </w:rPr>
        <w:t xml:space="preserve"> compel SARS to furnish it with</w:t>
      </w:r>
      <w:r w:rsidR="0077384C" w:rsidRPr="00981A79">
        <w:rPr>
          <w:rFonts w:cs="Arial"/>
        </w:rPr>
        <w:t xml:space="preserve"> further particulars.</w:t>
      </w:r>
    </w:p>
    <w:p w14:paraId="11161399" w14:textId="28124A70" w:rsidR="00DC37F7" w:rsidRPr="00981A79" w:rsidRDefault="00981A79" w:rsidP="00981A79">
      <w:pPr>
        <w:spacing w:after="240" w:line="360" w:lineRule="auto"/>
        <w:ind w:left="1440" w:hanging="360"/>
        <w:jc w:val="both"/>
        <w:rPr>
          <w:rFonts w:cs="Arial"/>
        </w:rPr>
      </w:pPr>
      <w:r w:rsidRPr="00B1210B">
        <w:rPr>
          <w:rFonts w:ascii="Arial" w:eastAsia="Calibri" w:hAnsi="Arial" w:cs="Arial"/>
          <w:lang w:val="en-ZA"/>
        </w:rPr>
        <w:lastRenderedPageBreak/>
        <w:t>c.</w:t>
      </w:r>
      <w:r w:rsidRPr="00B1210B">
        <w:rPr>
          <w:rFonts w:ascii="Arial" w:eastAsia="Calibri" w:hAnsi="Arial" w:cs="Arial"/>
          <w:lang w:val="en-ZA"/>
        </w:rPr>
        <w:tab/>
      </w:r>
      <w:r w:rsidR="001F179F" w:rsidRPr="00981A79">
        <w:rPr>
          <w:rFonts w:cs="Arial"/>
        </w:rPr>
        <w:t>Third</w:t>
      </w:r>
      <w:r w:rsidR="006F45A6" w:rsidRPr="00981A79">
        <w:rPr>
          <w:rFonts w:cs="Arial"/>
        </w:rPr>
        <w:t>,</w:t>
      </w:r>
      <w:r w:rsidR="001F179F" w:rsidRPr="00981A79">
        <w:rPr>
          <w:rFonts w:cs="Arial"/>
        </w:rPr>
        <w:t xml:space="preserve"> an application by SARS to compel </w:t>
      </w:r>
      <w:r w:rsidR="004139B9" w:rsidRPr="00981A79">
        <w:rPr>
          <w:rFonts w:cs="Arial"/>
        </w:rPr>
        <w:t>the taxpayer</w:t>
      </w:r>
      <w:r w:rsidR="001F179F" w:rsidRPr="00981A79">
        <w:rPr>
          <w:rFonts w:cs="Arial"/>
        </w:rPr>
        <w:t xml:space="preserve"> to furnish SARS </w:t>
      </w:r>
      <w:r w:rsidR="00DC37F7" w:rsidRPr="00981A79">
        <w:rPr>
          <w:rFonts w:cs="Arial"/>
        </w:rPr>
        <w:t>with further discovery.</w:t>
      </w:r>
    </w:p>
    <w:p w14:paraId="16FA9E77" w14:textId="7D1E91E2" w:rsidR="00DC37F7" w:rsidRPr="00981A79" w:rsidRDefault="00981A79" w:rsidP="00981A79">
      <w:pPr>
        <w:spacing w:after="240" w:line="360" w:lineRule="auto"/>
        <w:ind w:left="720" w:hanging="720"/>
        <w:jc w:val="both"/>
        <w:rPr>
          <w:rFonts w:cs="Arial"/>
        </w:rPr>
      </w:pPr>
      <w:r w:rsidRPr="00B1210B">
        <w:rPr>
          <w:rFonts w:ascii="Arial" w:eastAsia="Calibri" w:hAnsi="Arial" w:cs="Arial"/>
          <w:lang w:val="en-ZA"/>
        </w:rPr>
        <w:t>[4]</w:t>
      </w:r>
      <w:r w:rsidRPr="00B1210B">
        <w:rPr>
          <w:rFonts w:ascii="Arial" w:eastAsia="Calibri" w:hAnsi="Arial" w:cs="Arial"/>
          <w:lang w:val="en-ZA"/>
        </w:rPr>
        <w:tab/>
      </w:r>
      <w:r w:rsidR="00375178" w:rsidRPr="00981A79">
        <w:rPr>
          <w:rFonts w:cs="Arial"/>
        </w:rPr>
        <w:t>SARS</w:t>
      </w:r>
      <w:r w:rsidR="005D2026" w:rsidRPr="00981A79">
        <w:rPr>
          <w:rFonts w:cs="Arial"/>
        </w:rPr>
        <w:t xml:space="preserve"> has als</w:t>
      </w:r>
      <w:r w:rsidR="007B566B" w:rsidRPr="00981A79">
        <w:rPr>
          <w:rFonts w:cs="Arial"/>
        </w:rPr>
        <w:t xml:space="preserve">o </w:t>
      </w:r>
      <w:r w:rsidR="00786888" w:rsidRPr="00981A79">
        <w:rPr>
          <w:rFonts w:cs="Arial"/>
        </w:rPr>
        <w:t>sought</w:t>
      </w:r>
      <w:r w:rsidR="00DF3882" w:rsidRPr="00981A79">
        <w:rPr>
          <w:rFonts w:cs="Arial"/>
        </w:rPr>
        <w:t xml:space="preserve"> to strike out </w:t>
      </w:r>
      <w:r w:rsidR="007B566B" w:rsidRPr="00981A79">
        <w:rPr>
          <w:rFonts w:cs="Arial"/>
        </w:rPr>
        <w:t xml:space="preserve">matter in the affidavits of </w:t>
      </w:r>
      <w:r w:rsidR="004139B9" w:rsidRPr="00981A79">
        <w:rPr>
          <w:rFonts w:cs="Arial"/>
        </w:rPr>
        <w:t xml:space="preserve">the </w:t>
      </w:r>
      <w:r w:rsidR="00273753" w:rsidRPr="00981A79">
        <w:rPr>
          <w:rFonts w:cs="Arial"/>
        </w:rPr>
        <w:t>taxpayer.</w:t>
      </w:r>
      <w:r w:rsidR="00B63225" w:rsidRPr="00981A79">
        <w:rPr>
          <w:rFonts w:cs="Arial"/>
        </w:rPr>
        <w:t xml:space="preserve"> </w:t>
      </w:r>
    </w:p>
    <w:p w14:paraId="279DF274" w14:textId="54A36F27" w:rsidR="00E23E7C" w:rsidRPr="00981A79" w:rsidRDefault="00981A79" w:rsidP="00981A79">
      <w:pPr>
        <w:spacing w:after="240" w:line="360" w:lineRule="auto"/>
        <w:ind w:left="720" w:hanging="720"/>
        <w:jc w:val="both"/>
        <w:rPr>
          <w:rFonts w:cs="Arial"/>
        </w:rPr>
      </w:pPr>
      <w:r w:rsidRPr="006F45A6">
        <w:rPr>
          <w:rFonts w:ascii="Arial" w:eastAsia="Calibri" w:hAnsi="Arial" w:cs="Arial"/>
          <w:lang w:val="en-ZA"/>
        </w:rPr>
        <w:t>[5]</w:t>
      </w:r>
      <w:r w:rsidRPr="006F45A6">
        <w:rPr>
          <w:rFonts w:ascii="Arial" w:eastAsia="Calibri" w:hAnsi="Arial" w:cs="Arial"/>
          <w:lang w:val="en-ZA"/>
        </w:rPr>
        <w:tab/>
      </w:r>
      <w:r w:rsidR="00803E5A" w:rsidRPr="00981A79">
        <w:rPr>
          <w:rFonts w:cs="Arial"/>
        </w:rPr>
        <w:t xml:space="preserve">Before dealing with the </w:t>
      </w:r>
      <w:r w:rsidR="003B454D" w:rsidRPr="00981A79">
        <w:rPr>
          <w:rFonts w:cs="Arial"/>
        </w:rPr>
        <w:t xml:space="preserve">background to the </w:t>
      </w:r>
      <w:r w:rsidR="00F36ADA" w:rsidRPr="00981A79">
        <w:rPr>
          <w:rFonts w:cs="Arial"/>
        </w:rPr>
        <w:t xml:space="preserve">main case </w:t>
      </w:r>
      <w:r w:rsidR="006D56B8" w:rsidRPr="00981A79">
        <w:rPr>
          <w:rFonts w:cs="Arial"/>
        </w:rPr>
        <w:t xml:space="preserve">and the interlocutory applications themselves it is </w:t>
      </w:r>
      <w:r w:rsidR="009232E1" w:rsidRPr="00981A79">
        <w:rPr>
          <w:rFonts w:cs="Arial"/>
        </w:rPr>
        <w:t xml:space="preserve">helpful to understand the legal principles which </w:t>
      </w:r>
      <w:r w:rsidR="005F142E" w:rsidRPr="00981A79">
        <w:rPr>
          <w:rFonts w:cs="Arial"/>
        </w:rPr>
        <w:t>relate to a party</w:t>
      </w:r>
      <w:r w:rsidR="007B34A5" w:rsidRPr="00981A79">
        <w:rPr>
          <w:rFonts w:cs="Arial"/>
        </w:rPr>
        <w:t>’s entitlement to discovery and particularity</w:t>
      </w:r>
      <w:r w:rsidR="00EF768F" w:rsidRPr="00981A79">
        <w:rPr>
          <w:rFonts w:cs="Arial"/>
        </w:rPr>
        <w:t xml:space="preserve"> </w:t>
      </w:r>
      <w:r w:rsidR="007B566B" w:rsidRPr="00981A79">
        <w:rPr>
          <w:rFonts w:cs="Arial"/>
        </w:rPr>
        <w:t>in this court</w:t>
      </w:r>
      <w:r w:rsidR="00E23E7C" w:rsidRPr="00981A79">
        <w:rPr>
          <w:rFonts w:cs="Arial"/>
        </w:rPr>
        <w:t>.</w:t>
      </w:r>
    </w:p>
    <w:p w14:paraId="716B20F5" w14:textId="77777777" w:rsidR="00E23E7C" w:rsidRPr="006F45A6" w:rsidRDefault="00E23E7C" w:rsidP="00D67A1B">
      <w:pPr>
        <w:spacing w:after="240" w:line="360" w:lineRule="auto"/>
        <w:ind w:left="720" w:hanging="720"/>
        <w:jc w:val="both"/>
        <w:rPr>
          <w:rFonts w:ascii="Arial" w:hAnsi="Arial" w:cs="Arial"/>
          <w:i/>
          <w:iCs/>
        </w:rPr>
      </w:pPr>
      <w:r w:rsidRPr="006F45A6">
        <w:rPr>
          <w:rFonts w:ascii="Arial" w:hAnsi="Arial" w:cs="Arial"/>
          <w:i/>
          <w:iCs/>
        </w:rPr>
        <w:t>Applicable legal principles</w:t>
      </w:r>
    </w:p>
    <w:p w14:paraId="35DC4885" w14:textId="1DDFCF71" w:rsidR="00091037" w:rsidRPr="00981A79" w:rsidRDefault="00981A79" w:rsidP="00981A79">
      <w:pPr>
        <w:spacing w:after="240" w:line="360" w:lineRule="auto"/>
        <w:ind w:left="720" w:hanging="72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t>[6]</w:t>
      </w:r>
      <w:r>
        <w:rPr>
          <w:rFonts w:ascii="Arial" w:eastAsia="Times New Roman" w:hAnsi="Arial" w:cs="Arial"/>
          <w:color w:val="000000"/>
          <w:kern w:val="0"/>
          <w:lang w:val="en-ZA" w:eastAsia="en-ZA"/>
          <w14:ligatures w14:val="none"/>
        </w:rPr>
        <w:tab/>
      </w:r>
      <w:r w:rsidR="00433225" w:rsidRPr="00981A79">
        <w:rPr>
          <w:rFonts w:cs="Arial"/>
        </w:rPr>
        <w:t xml:space="preserve">In terms of </w:t>
      </w:r>
      <w:r w:rsidR="00234D0C" w:rsidRPr="00981A79">
        <w:rPr>
          <w:rFonts w:cs="Arial"/>
        </w:rPr>
        <w:t>the</w:t>
      </w:r>
      <w:r w:rsidR="006C5AA6" w:rsidRPr="00981A79">
        <w:rPr>
          <w:rFonts w:cs="Arial"/>
        </w:rPr>
        <w:t xml:space="preserve"> </w:t>
      </w:r>
      <w:r w:rsidR="0015118C" w:rsidRPr="00981A79">
        <w:rPr>
          <w:rFonts w:cs="Arial"/>
          <w:color w:val="000000"/>
        </w:rPr>
        <w:t>r</w:t>
      </w:r>
      <w:r w:rsidR="0094376A" w:rsidRPr="00981A79">
        <w:rPr>
          <w:rFonts w:cs="Arial"/>
          <w:color w:val="000000"/>
        </w:rPr>
        <w:t xml:space="preserve">ules </w:t>
      </w:r>
      <w:r w:rsidR="0015118C" w:rsidRPr="00981A79">
        <w:rPr>
          <w:rFonts w:cs="Arial"/>
          <w:color w:val="000000"/>
        </w:rPr>
        <w:t>p</w:t>
      </w:r>
      <w:r w:rsidR="0094376A" w:rsidRPr="00981A79">
        <w:rPr>
          <w:rFonts w:cs="Arial"/>
          <w:color w:val="000000"/>
        </w:rPr>
        <w:t xml:space="preserve">rescribing </w:t>
      </w:r>
      <w:r w:rsidR="0015118C" w:rsidRPr="00981A79">
        <w:rPr>
          <w:rFonts w:cs="Arial"/>
          <w:color w:val="000000"/>
        </w:rPr>
        <w:t>p</w:t>
      </w:r>
      <w:r w:rsidR="0094376A" w:rsidRPr="00981A79">
        <w:rPr>
          <w:rFonts w:cs="Arial"/>
          <w:color w:val="000000"/>
        </w:rPr>
        <w:t xml:space="preserve">rocedures for </w:t>
      </w:r>
      <w:r w:rsidR="0015118C" w:rsidRPr="00981A79">
        <w:rPr>
          <w:rFonts w:cs="Arial"/>
          <w:color w:val="000000"/>
        </w:rPr>
        <w:t>l</w:t>
      </w:r>
      <w:r w:rsidR="0094376A" w:rsidRPr="00981A79">
        <w:rPr>
          <w:rFonts w:cs="Arial"/>
          <w:color w:val="000000"/>
        </w:rPr>
        <w:t xml:space="preserve">odging </w:t>
      </w:r>
      <w:r w:rsidR="0015118C" w:rsidRPr="00981A79">
        <w:rPr>
          <w:rFonts w:cs="Arial"/>
          <w:color w:val="000000"/>
        </w:rPr>
        <w:t>objections and appeal</w:t>
      </w:r>
      <w:r w:rsidR="00AC1FD2" w:rsidRPr="00981A79">
        <w:rPr>
          <w:rFonts w:cs="Arial"/>
          <w:color w:val="000000"/>
        </w:rPr>
        <w:t xml:space="preserve"> (the tax court rules)</w:t>
      </w:r>
      <w:bookmarkStart w:id="1" w:name="0-0-0-170369"/>
      <w:bookmarkEnd w:id="1"/>
      <w:r w:rsidR="006C5AA6" w:rsidRPr="00981A79">
        <w:rPr>
          <w:rFonts w:cs="Arial"/>
        </w:rPr>
        <w:t xml:space="preserve"> i</w:t>
      </w:r>
      <w:r w:rsidR="00041E55" w:rsidRPr="00981A79">
        <w:rPr>
          <w:rFonts w:cs="Arial"/>
        </w:rPr>
        <w:t>f</w:t>
      </w:r>
      <w:r w:rsidR="00433225" w:rsidRPr="00981A79">
        <w:rPr>
          <w:rFonts w:eastAsia="Times New Roman" w:cs="Arial"/>
          <w:color w:val="000000"/>
          <w:kern w:val="0"/>
          <w:lang w:eastAsia="en-ZA"/>
          <w14:ligatures w14:val="none"/>
        </w:rPr>
        <w:t xml:space="preserve"> a procedure in the tax court</w:t>
      </w:r>
      <w:r w:rsidR="00041E55" w:rsidRPr="00981A79">
        <w:rPr>
          <w:rFonts w:eastAsia="Times New Roman" w:cs="Arial"/>
          <w:color w:val="000000"/>
          <w:kern w:val="0"/>
          <w:lang w:eastAsia="en-ZA"/>
          <w14:ligatures w14:val="none"/>
        </w:rPr>
        <w:t xml:space="preserve"> is not provided </w:t>
      </w:r>
      <w:r w:rsidR="00693413" w:rsidRPr="00981A79">
        <w:rPr>
          <w:rFonts w:eastAsia="Times New Roman" w:cs="Arial"/>
          <w:color w:val="000000"/>
          <w:kern w:val="0"/>
          <w:lang w:eastAsia="en-ZA"/>
          <w14:ligatures w14:val="none"/>
        </w:rPr>
        <w:t>for</w:t>
      </w:r>
      <w:r w:rsidR="00433225" w:rsidRPr="00981A79">
        <w:rPr>
          <w:rFonts w:eastAsia="Times New Roman" w:cs="Arial"/>
          <w:color w:val="000000"/>
          <w:kern w:val="0"/>
          <w:lang w:eastAsia="en-ZA"/>
          <w14:ligatures w14:val="none"/>
        </w:rPr>
        <w:t xml:space="preserve"> then the most appropriate rule under the </w:t>
      </w:r>
      <w:r w:rsidR="00AC1FD2" w:rsidRPr="00981A79">
        <w:rPr>
          <w:rFonts w:eastAsia="Times New Roman" w:cs="Arial"/>
          <w:color w:val="000000"/>
          <w:kern w:val="0"/>
          <w:lang w:eastAsia="en-ZA"/>
          <w14:ligatures w14:val="none"/>
        </w:rPr>
        <w:t xml:space="preserve">uniform rules </w:t>
      </w:r>
      <w:r w:rsidR="00433225" w:rsidRPr="00981A79">
        <w:rPr>
          <w:rFonts w:eastAsia="Times New Roman" w:cs="Arial"/>
          <w:color w:val="000000"/>
          <w:kern w:val="0"/>
          <w:lang w:eastAsia="en-ZA"/>
          <w14:ligatures w14:val="none"/>
        </w:rPr>
        <w:t>may be utilised by a party or the tax court</w:t>
      </w:r>
      <w:r w:rsidR="007B566B" w:rsidRPr="00981A79">
        <w:rPr>
          <w:rFonts w:eastAsia="Times New Roman" w:cs="Arial"/>
          <w:color w:val="000000"/>
          <w:kern w:val="0"/>
          <w:lang w:eastAsia="en-ZA"/>
          <w14:ligatures w14:val="none"/>
        </w:rPr>
        <w:t>.</w:t>
      </w:r>
      <w:r w:rsidR="000124D5" w:rsidRPr="00B1210B">
        <w:rPr>
          <w:rStyle w:val="FootnoteReference"/>
          <w:rFonts w:eastAsia="Times New Roman" w:cs="Arial"/>
          <w:color w:val="000000"/>
          <w:kern w:val="0"/>
          <w:lang w:eastAsia="en-ZA"/>
          <w14:ligatures w14:val="none"/>
        </w:rPr>
        <w:footnoteReference w:id="1"/>
      </w:r>
    </w:p>
    <w:p w14:paraId="5ED6F759" w14:textId="262CAAD4" w:rsidR="00565674" w:rsidRPr="00981A79" w:rsidRDefault="00981A79" w:rsidP="00981A79">
      <w:pPr>
        <w:spacing w:after="240" w:line="360" w:lineRule="auto"/>
        <w:ind w:left="720" w:hanging="72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t>[7]</w:t>
      </w:r>
      <w:r>
        <w:rPr>
          <w:rFonts w:ascii="Arial" w:eastAsia="Times New Roman" w:hAnsi="Arial" w:cs="Arial"/>
          <w:color w:val="000000"/>
          <w:kern w:val="0"/>
          <w:lang w:val="en-ZA" w:eastAsia="en-ZA"/>
          <w14:ligatures w14:val="none"/>
        </w:rPr>
        <w:tab/>
      </w:r>
      <w:r w:rsidR="00357431" w:rsidRPr="00981A79">
        <w:rPr>
          <w:rFonts w:eastAsia="Times New Roman" w:cs="Arial"/>
          <w:color w:val="000000"/>
          <w:kern w:val="0"/>
          <w:lang w:eastAsia="en-ZA"/>
          <w14:ligatures w14:val="none"/>
        </w:rPr>
        <w:t>There are no tax court rules dealing with the application to compel further particulars</w:t>
      </w:r>
      <w:r w:rsidR="00B8753E" w:rsidRPr="00981A79">
        <w:rPr>
          <w:rFonts w:eastAsia="Times New Roman" w:cs="Arial"/>
          <w:color w:val="000000"/>
          <w:kern w:val="0"/>
          <w:lang w:eastAsia="en-ZA"/>
          <w14:ligatures w14:val="none"/>
        </w:rPr>
        <w:t>, to compel</w:t>
      </w:r>
      <w:r w:rsidR="00357431" w:rsidRPr="00981A79">
        <w:rPr>
          <w:rFonts w:eastAsia="Times New Roman" w:cs="Arial"/>
          <w:color w:val="000000"/>
          <w:kern w:val="0"/>
          <w:lang w:eastAsia="en-ZA"/>
          <w14:ligatures w14:val="none"/>
        </w:rPr>
        <w:t xml:space="preserve"> discovery</w:t>
      </w:r>
      <w:r w:rsidR="009E293F" w:rsidRPr="00981A79">
        <w:rPr>
          <w:rFonts w:eastAsia="Times New Roman" w:cs="Arial"/>
          <w:color w:val="000000"/>
          <w:kern w:val="0"/>
          <w:lang w:eastAsia="en-ZA"/>
          <w14:ligatures w14:val="none"/>
        </w:rPr>
        <w:t xml:space="preserve"> or applications to </w:t>
      </w:r>
      <w:r w:rsidR="00CF0837" w:rsidRPr="00981A79">
        <w:rPr>
          <w:rFonts w:eastAsia="Times New Roman" w:cs="Arial"/>
          <w:color w:val="000000"/>
          <w:kern w:val="0"/>
          <w:lang w:eastAsia="en-ZA"/>
          <w14:ligatures w14:val="none"/>
        </w:rPr>
        <w:t>strike</w:t>
      </w:r>
      <w:r w:rsidR="009E293F" w:rsidRPr="00981A79">
        <w:rPr>
          <w:rFonts w:eastAsia="Times New Roman" w:cs="Arial"/>
          <w:color w:val="000000"/>
          <w:kern w:val="0"/>
          <w:lang w:eastAsia="en-ZA"/>
          <w14:ligatures w14:val="none"/>
        </w:rPr>
        <w:t xml:space="preserve"> out</w:t>
      </w:r>
      <w:r w:rsidR="00357431" w:rsidRPr="00981A79">
        <w:rPr>
          <w:rFonts w:eastAsia="Times New Roman" w:cs="Arial"/>
          <w:color w:val="000000"/>
          <w:kern w:val="0"/>
          <w:lang w:eastAsia="en-ZA"/>
          <w14:ligatures w14:val="none"/>
        </w:rPr>
        <w:t xml:space="preserve">. </w:t>
      </w:r>
    </w:p>
    <w:p w14:paraId="4C2459C9" w14:textId="5AFA49B7" w:rsidR="00D67A1B" w:rsidRPr="00981A79" w:rsidRDefault="00981A79" w:rsidP="00981A79">
      <w:pPr>
        <w:spacing w:after="240" w:line="360" w:lineRule="auto"/>
        <w:ind w:left="720" w:hanging="720"/>
        <w:jc w:val="both"/>
        <w:rPr>
          <w:rFonts w:eastAsia="Times New Roman" w:cs="Arial"/>
          <w:color w:val="000000"/>
          <w:kern w:val="0"/>
          <w:lang w:eastAsia="en-ZA"/>
          <w14:ligatures w14:val="none"/>
        </w:rPr>
      </w:pPr>
      <w:r w:rsidRPr="0051089E">
        <w:rPr>
          <w:rFonts w:ascii="Arial" w:eastAsia="Times New Roman" w:hAnsi="Arial" w:cs="Arial"/>
          <w:color w:val="000000"/>
          <w:kern w:val="0"/>
          <w:lang w:val="en-ZA" w:eastAsia="en-ZA"/>
          <w14:ligatures w14:val="none"/>
        </w:rPr>
        <w:t>[8]</w:t>
      </w:r>
      <w:r w:rsidRPr="0051089E">
        <w:rPr>
          <w:rFonts w:ascii="Arial" w:eastAsia="Times New Roman" w:hAnsi="Arial" w:cs="Arial"/>
          <w:color w:val="000000"/>
          <w:kern w:val="0"/>
          <w:lang w:val="en-ZA" w:eastAsia="en-ZA"/>
          <w14:ligatures w14:val="none"/>
        </w:rPr>
        <w:tab/>
      </w:r>
      <w:r w:rsidR="00357431" w:rsidRPr="00981A79">
        <w:rPr>
          <w:rFonts w:eastAsia="Times New Roman" w:cs="Arial"/>
          <w:color w:val="000000"/>
          <w:kern w:val="0"/>
          <w:lang w:eastAsia="en-ZA"/>
          <w14:ligatures w14:val="none"/>
        </w:rPr>
        <w:t xml:space="preserve">The parties agree that the </w:t>
      </w:r>
      <w:r w:rsidR="00AA7251" w:rsidRPr="00981A79">
        <w:rPr>
          <w:rFonts w:eastAsia="Times New Roman" w:cs="Arial"/>
          <w:color w:val="000000"/>
          <w:kern w:val="0"/>
          <w:lang w:eastAsia="en-ZA"/>
          <w14:ligatures w14:val="none"/>
        </w:rPr>
        <w:t xml:space="preserve">applicable uniform rules of court are </w:t>
      </w:r>
      <w:r w:rsidR="00337822" w:rsidRPr="00981A79">
        <w:rPr>
          <w:rFonts w:eastAsia="Times New Roman" w:cs="Arial"/>
          <w:color w:val="000000"/>
          <w:kern w:val="0"/>
          <w:lang w:eastAsia="en-ZA"/>
          <w14:ligatures w14:val="none"/>
        </w:rPr>
        <w:t>rule</w:t>
      </w:r>
      <w:r w:rsidR="006E2A26" w:rsidRPr="00981A79">
        <w:rPr>
          <w:rFonts w:eastAsia="Times New Roman" w:cs="Arial"/>
          <w:color w:val="000000"/>
          <w:kern w:val="0"/>
          <w:lang w:eastAsia="en-ZA"/>
          <w14:ligatures w14:val="none"/>
        </w:rPr>
        <w:t>s</w:t>
      </w:r>
      <w:r w:rsidR="00337822" w:rsidRPr="00981A79">
        <w:rPr>
          <w:rFonts w:eastAsia="Times New Roman" w:cs="Arial"/>
          <w:color w:val="000000"/>
          <w:kern w:val="0"/>
          <w:lang w:eastAsia="en-ZA"/>
          <w14:ligatures w14:val="none"/>
        </w:rPr>
        <w:t xml:space="preserve"> 35</w:t>
      </w:r>
      <w:r w:rsidR="00375178" w:rsidRPr="00981A79">
        <w:rPr>
          <w:rFonts w:eastAsia="Times New Roman" w:cs="Arial"/>
          <w:color w:val="000000"/>
          <w:kern w:val="0"/>
          <w:lang w:eastAsia="en-ZA"/>
          <w14:ligatures w14:val="none"/>
        </w:rPr>
        <w:t>,</w:t>
      </w:r>
      <w:r w:rsidR="00337822" w:rsidRPr="00981A79">
        <w:rPr>
          <w:rFonts w:eastAsia="Times New Roman" w:cs="Arial"/>
          <w:color w:val="000000"/>
          <w:kern w:val="0"/>
          <w:lang w:eastAsia="en-ZA"/>
          <w14:ligatures w14:val="none"/>
        </w:rPr>
        <w:t xml:space="preserve"> 21 </w:t>
      </w:r>
      <w:bookmarkStart w:id="2" w:name="0-0-0-170371"/>
      <w:bookmarkStart w:id="3" w:name="0-0-0-50429"/>
      <w:bookmarkStart w:id="4" w:name="0-0-0-50433"/>
      <w:bookmarkStart w:id="5" w:name="0-0-0-50437"/>
      <w:bookmarkStart w:id="6" w:name="0-0-0-50441"/>
      <w:bookmarkStart w:id="7" w:name="0-0-0-50445"/>
      <w:bookmarkEnd w:id="2"/>
      <w:bookmarkEnd w:id="3"/>
      <w:bookmarkEnd w:id="4"/>
      <w:bookmarkEnd w:id="5"/>
      <w:bookmarkEnd w:id="6"/>
      <w:bookmarkEnd w:id="7"/>
      <w:r w:rsidR="00375178" w:rsidRPr="00981A79">
        <w:rPr>
          <w:rFonts w:eastAsia="Times New Roman" w:cs="Arial"/>
          <w:color w:val="000000"/>
          <w:kern w:val="0"/>
          <w:lang w:eastAsia="en-ZA"/>
          <w14:ligatures w14:val="none"/>
        </w:rPr>
        <w:t xml:space="preserve">and </w:t>
      </w:r>
      <w:r w:rsidR="00273753" w:rsidRPr="00981A79">
        <w:rPr>
          <w:rFonts w:eastAsia="Times New Roman" w:cs="Arial"/>
          <w:color w:val="000000"/>
          <w:kern w:val="0"/>
          <w:lang w:eastAsia="en-ZA"/>
          <w14:ligatures w14:val="none"/>
        </w:rPr>
        <w:t>23.</w:t>
      </w:r>
    </w:p>
    <w:p w14:paraId="29953FEC" w14:textId="77777777" w:rsidR="00375178" w:rsidRPr="00D67A1B" w:rsidRDefault="00375178" w:rsidP="00D67A1B">
      <w:pPr>
        <w:spacing w:after="240" w:line="360" w:lineRule="auto"/>
        <w:jc w:val="both"/>
        <w:rPr>
          <w:rFonts w:ascii="Arial" w:eastAsia="Times New Roman" w:hAnsi="Arial" w:cs="Arial"/>
          <w:color w:val="000000"/>
          <w:kern w:val="0"/>
          <w:u w:val="single"/>
          <w:lang w:eastAsia="en-ZA"/>
          <w14:ligatures w14:val="none"/>
        </w:rPr>
      </w:pPr>
      <w:r w:rsidRPr="00D67A1B">
        <w:rPr>
          <w:rFonts w:ascii="Arial" w:eastAsia="Times New Roman" w:hAnsi="Arial" w:cs="Arial"/>
          <w:color w:val="000000"/>
          <w:kern w:val="0"/>
          <w:u w:val="single"/>
          <w:lang w:eastAsia="en-ZA"/>
          <w14:ligatures w14:val="none"/>
        </w:rPr>
        <w:t>Application to compel discovery</w:t>
      </w:r>
      <w:r w:rsidR="00273753" w:rsidRPr="00D67A1B">
        <w:rPr>
          <w:rFonts w:ascii="Arial" w:eastAsia="Times New Roman" w:hAnsi="Arial" w:cs="Arial"/>
          <w:color w:val="000000"/>
          <w:kern w:val="0"/>
          <w:u w:val="single"/>
          <w:lang w:eastAsia="en-ZA"/>
          <w14:ligatures w14:val="none"/>
        </w:rPr>
        <w:t xml:space="preserve"> (uniform rule 35(7)</w:t>
      </w:r>
      <w:r w:rsidR="0088007A" w:rsidRPr="00D67A1B">
        <w:rPr>
          <w:rFonts w:ascii="Arial" w:eastAsia="Times New Roman" w:hAnsi="Arial" w:cs="Arial"/>
          <w:color w:val="000000"/>
          <w:kern w:val="0"/>
          <w:u w:val="single"/>
          <w:lang w:eastAsia="en-ZA"/>
          <w14:ligatures w14:val="none"/>
        </w:rPr>
        <w:t>)</w:t>
      </w:r>
    </w:p>
    <w:p w14:paraId="4D595CF7" w14:textId="2B613FEE" w:rsidR="001E6699" w:rsidRPr="00981A79" w:rsidRDefault="00981A79" w:rsidP="00981A79">
      <w:pPr>
        <w:spacing w:after="240" w:line="360" w:lineRule="auto"/>
        <w:ind w:left="720" w:hanging="720"/>
        <w:jc w:val="both"/>
        <w:rPr>
          <w:rFonts w:cs="Arial"/>
          <w:color w:val="000000"/>
        </w:rPr>
      </w:pPr>
      <w:r>
        <w:rPr>
          <w:rFonts w:ascii="Arial" w:eastAsia="Calibri" w:hAnsi="Arial" w:cs="Arial"/>
          <w:color w:val="000000"/>
          <w:lang w:val="en-ZA"/>
        </w:rPr>
        <w:t>[9]</w:t>
      </w:r>
      <w:r>
        <w:rPr>
          <w:rFonts w:ascii="Arial" w:eastAsia="Calibri" w:hAnsi="Arial" w:cs="Arial"/>
          <w:color w:val="000000"/>
          <w:lang w:val="en-ZA"/>
        </w:rPr>
        <w:tab/>
      </w:r>
      <w:r w:rsidR="00AB2012" w:rsidRPr="00981A79">
        <w:rPr>
          <w:rFonts w:cs="Arial"/>
          <w:color w:val="000000"/>
        </w:rPr>
        <w:t>The essential feature of discovery is that the person requiring discovery is</w:t>
      </w:r>
      <w:r w:rsidR="00375178" w:rsidRPr="00981A79">
        <w:rPr>
          <w:rFonts w:cs="Arial"/>
          <w:color w:val="000000"/>
        </w:rPr>
        <w:t>,</w:t>
      </w:r>
      <w:r w:rsidR="00AB2012" w:rsidRPr="00981A79">
        <w:rPr>
          <w:rFonts w:cs="Arial"/>
          <w:color w:val="000000"/>
        </w:rPr>
        <w:t xml:space="preserve"> in general</w:t>
      </w:r>
      <w:r w:rsidR="00375178" w:rsidRPr="00981A79">
        <w:rPr>
          <w:rFonts w:cs="Arial"/>
          <w:color w:val="000000"/>
        </w:rPr>
        <w:t>,</w:t>
      </w:r>
      <w:r w:rsidR="00AB2012" w:rsidRPr="00981A79">
        <w:rPr>
          <w:rFonts w:cs="Arial"/>
          <w:color w:val="000000"/>
        </w:rPr>
        <w:t xml:space="preserve"> only entitled to discovery once the battle lines are drawn and the legal issues established. </w:t>
      </w:r>
    </w:p>
    <w:p w14:paraId="5DC21AA6" w14:textId="55E72CFD" w:rsidR="00AB2012" w:rsidRPr="00981A79" w:rsidRDefault="00981A79" w:rsidP="00981A79">
      <w:pPr>
        <w:spacing w:after="240" w:line="360" w:lineRule="auto"/>
        <w:ind w:left="720" w:hanging="720"/>
        <w:jc w:val="both"/>
        <w:rPr>
          <w:rFonts w:cs="Arial"/>
          <w:color w:val="000000"/>
        </w:rPr>
      </w:pPr>
      <w:r w:rsidRPr="00B1210B">
        <w:rPr>
          <w:rFonts w:ascii="Arial" w:eastAsia="Calibri" w:hAnsi="Arial" w:cs="Arial"/>
          <w:color w:val="000000"/>
          <w:lang w:val="en-ZA"/>
        </w:rPr>
        <w:t>[10]</w:t>
      </w:r>
      <w:r w:rsidRPr="00B1210B">
        <w:rPr>
          <w:rFonts w:ascii="Arial" w:eastAsia="Calibri" w:hAnsi="Arial" w:cs="Arial"/>
          <w:color w:val="000000"/>
          <w:lang w:val="en-ZA"/>
        </w:rPr>
        <w:tab/>
      </w:r>
      <w:r w:rsidR="00E978AC" w:rsidRPr="00981A79">
        <w:rPr>
          <w:rFonts w:cs="Arial"/>
          <w:color w:val="000000"/>
        </w:rPr>
        <w:t xml:space="preserve">Discovery </w:t>
      </w:r>
      <w:r w:rsidR="00AB2012" w:rsidRPr="00981A79">
        <w:rPr>
          <w:rFonts w:cs="Arial"/>
          <w:color w:val="000000"/>
        </w:rPr>
        <w:t>is not a tool designed to put a party in a position to draw the battle lines and establish the legal issues. Rather, it is a tool used to identify factual issues once legal issues are established</w:t>
      </w:r>
      <w:r w:rsidR="00375178" w:rsidRPr="00981A79">
        <w:rPr>
          <w:rFonts w:cs="Arial"/>
          <w:color w:val="000000"/>
        </w:rPr>
        <w:t>.</w:t>
      </w:r>
      <w:r w:rsidR="00AB2012" w:rsidRPr="00B1210B">
        <w:rPr>
          <w:rStyle w:val="FootnoteReference"/>
          <w:rFonts w:cs="Arial"/>
          <w:color w:val="000000"/>
        </w:rPr>
        <w:footnoteReference w:id="2"/>
      </w:r>
      <w:bookmarkStart w:id="8" w:name="0-0-0-50455"/>
      <w:bookmarkEnd w:id="8"/>
      <w:r w:rsidR="00884ED6" w:rsidRPr="00981A79">
        <w:rPr>
          <w:rFonts w:cs="Arial"/>
          <w:color w:val="000000"/>
        </w:rPr>
        <w:t xml:space="preserve"> </w:t>
      </w:r>
    </w:p>
    <w:p w14:paraId="7A852AF1" w14:textId="428FF5D5" w:rsidR="0052439C" w:rsidRPr="00981A79" w:rsidRDefault="00981A79" w:rsidP="00981A79">
      <w:pPr>
        <w:spacing w:after="240" w:line="360" w:lineRule="auto"/>
        <w:ind w:left="720" w:hanging="720"/>
        <w:jc w:val="both"/>
        <w:rPr>
          <w:rFonts w:cs="Arial"/>
          <w:color w:val="000000"/>
        </w:rPr>
      </w:pPr>
      <w:r w:rsidRPr="00B1210B">
        <w:rPr>
          <w:rFonts w:ascii="Arial" w:eastAsia="Calibri" w:hAnsi="Arial" w:cs="Arial"/>
          <w:color w:val="000000"/>
          <w:lang w:val="en-ZA"/>
        </w:rPr>
        <w:t>[11]</w:t>
      </w:r>
      <w:r w:rsidRPr="00B1210B">
        <w:rPr>
          <w:rFonts w:ascii="Arial" w:eastAsia="Calibri" w:hAnsi="Arial" w:cs="Arial"/>
          <w:color w:val="000000"/>
          <w:lang w:val="en-ZA"/>
        </w:rPr>
        <w:tab/>
      </w:r>
      <w:r w:rsidR="00375178" w:rsidRPr="00981A79">
        <w:rPr>
          <w:rFonts w:cs="Arial"/>
          <w:color w:val="000000"/>
        </w:rPr>
        <w:t xml:space="preserve">The </w:t>
      </w:r>
      <w:r w:rsidR="00884ED6" w:rsidRPr="00981A79">
        <w:rPr>
          <w:rFonts w:cs="Arial"/>
          <w:color w:val="000000"/>
        </w:rPr>
        <w:t>court has a discretion whether or not to enforce discovery or inspection. </w:t>
      </w:r>
      <w:bookmarkStart w:id="9" w:name="0-0-0-51185"/>
      <w:bookmarkStart w:id="10" w:name="0-0-0-51189"/>
      <w:bookmarkEnd w:id="9"/>
      <w:bookmarkEnd w:id="10"/>
      <w:r w:rsidR="00884ED6" w:rsidRPr="00981A79">
        <w:rPr>
          <w:rFonts w:cs="Arial"/>
          <w:color w:val="000000"/>
        </w:rPr>
        <w:t xml:space="preserve"> </w:t>
      </w:r>
      <w:r w:rsidR="006E66A6" w:rsidRPr="00981A79">
        <w:rPr>
          <w:rFonts w:cs="Arial"/>
          <w:color w:val="000000"/>
        </w:rPr>
        <w:t>That</w:t>
      </w:r>
      <w:r w:rsidR="00884ED6" w:rsidRPr="00981A79">
        <w:rPr>
          <w:rFonts w:cs="Arial"/>
          <w:color w:val="000000"/>
        </w:rPr>
        <w:t xml:space="preserve"> discretion is predicated on the documents i</w:t>
      </w:r>
      <w:r w:rsidR="00375178" w:rsidRPr="00981A79">
        <w:rPr>
          <w:rFonts w:cs="Arial"/>
          <w:color w:val="000000"/>
        </w:rPr>
        <w:t>n issue</w:t>
      </w:r>
      <w:r w:rsidR="00884ED6" w:rsidRPr="00981A79">
        <w:rPr>
          <w:rFonts w:cs="Arial"/>
          <w:color w:val="000000"/>
        </w:rPr>
        <w:t xml:space="preserve"> being relevant</w:t>
      </w:r>
      <w:r w:rsidR="009D6BCF" w:rsidRPr="00981A79">
        <w:rPr>
          <w:rFonts w:cs="Arial"/>
          <w:color w:val="000000"/>
        </w:rPr>
        <w:t xml:space="preserve"> to the issues which are de</w:t>
      </w:r>
      <w:r w:rsidR="009E13CE" w:rsidRPr="00981A79">
        <w:rPr>
          <w:rFonts w:cs="Arial"/>
          <w:color w:val="000000"/>
        </w:rPr>
        <w:t>fined in the pleadings</w:t>
      </w:r>
      <w:r w:rsidR="00280159" w:rsidRPr="00981A79">
        <w:rPr>
          <w:rFonts w:cs="Arial"/>
          <w:color w:val="000000"/>
        </w:rPr>
        <w:t>.</w:t>
      </w:r>
      <w:r w:rsidR="009E13CE" w:rsidRPr="00B1210B">
        <w:rPr>
          <w:rStyle w:val="FootnoteReference"/>
          <w:rFonts w:cs="Arial"/>
          <w:color w:val="000000"/>
        </w:rPr>
        <w:footnoteReference w:id="3"/>
      </w:r>
      <w:r w:rsidR="00FD7FFC" w:rsidRPr="00981A79">
        <w:rPr>
          <w:rFonts w:cs="Arial"/>
        </w:rPr>
        <w:t xml:space="preserve"> </w:t>
      </w:r>
    </w:p>
    <w:p w14:paraId="4441FF30" w14:textId="63342CB2" w:rsidR="00114FA2" w:rsidRPr="00981A79" w:rsidRDefault="00981A79" w:rsidP="00981A79">
      <w:pPr>
        <w:spacing w:after="240" w:line="360" w:lineRule="auto"/>
        <w:ind w:left="720" w:hanging="720"/>
        <w:jc w:val="both"/>
        <w:rPr>
          <w:rFonts w:cs="Arial"/>
          <w:color w:val="000000"/>
        </w:rPr>
      </w:pPr>
      <w:r>
        <w:rPr>
          <w:rFonts w:ascii="Arial" w:eastAsia="Calibri" w:hAnsi="Arial" w:cs="Arial"/>
          <w:color w:val="000000"/>
          <w:lang w:val="en-ZA"/>
        </w:rPr>
        <w:lastRenderedPageBreak/>
        <w:t>[12]</w:t>
      </w:r>
      <w:r>
        <w:rPr>
          <w:rFonts w:ascii="Arial" w:eastAsia="Calibri" w:hAnsi="Arial" w:cs="Arial"/>
          <w:color w:val="000000"/>
          <w:lang w:val="en-ZA"/>
        </w:rPr>
        <w:tab/>
      </w:r>
      <w:r w:rsidR="00FD7FFC" w:rsidRPr="00981A79">
        <w:rPr>
          <w:rFonts w:cs="Arial"/>
          <w:color w:val="000000"/>
        </w:rPr>
        <w:t xml:space="preserve">This principle was reaffirmed in </w:t>
      </w:r>
      <w:r w:rsidR="00FD7FFC" w:rsidRPr="00981A79">
        <w:rPr>
          <w:rFonts w:cs="Arial"/>
          <w:i/>
          <w:iCs/>
          <w:color w:val="000000"/>
        </w:rPr>
        <w:t>Helen Suzman Foundation v Judicial Service Commission</w:t>
      </w:r>
      <w:r w:rsidR="008D3E0A" w:rsidRPr="00B1210B">
        <w:rPr>
          <w:rStyle w:val="FootnoteReference"/>
          <w:rFonts w:cs="Arial"/>
          <w:color w:val="000000"/>
        </w:rPr>
        <w:footnoteReference w:id="4"/>
      </w:r>
      <w:r w:rsidR="00C9472A" w:rsidRPr="00981A79">
        <w:rPr>
          <w:rFonts w:cs="Arial"/>
          <w:color w:val="000000"/>
        </w:rPr>
        <w:t xml:space="preserve"> </w:t>
      </w:r>
      <w:r w:rsidR="001E6699" w:rsidRPr="00981A79">
        <w:rPr>
          <w:rFonts w:cs="Arial"/>
          <w:color w:val="000000"/>
        </w:rPr>
        <w:t xml:space="preserve">the Constitutional </w:t>
      </w:r>
      <w:r w:rsidR="0036276B" w:rsidRPr="00981A79">
        <w:rPr>
          <w:rFonts w:cs="Arial"/>
          <w:color w:val="000000"/>
        </w:rPr>
        <w:t>court</w:t>
      </w:r>
      <w:r w:rsidR="00FD7FFC" w:rsidRPr="00981A79">
        <w:rPr>
          <w:rFonts w:cs="Arial"/>
          <w:color w:val="000000"/>
        </w:rPr>
        <w:t xml:space="preserve"> </w:t>
      </w:r>
      <w:r w:rsidR="0036276B" w:rsidRPr="00981A79">
        <w:rPr>
          <w:rFonts w:cs="Arial"/>
          <w:color w:val="000000"/>
        </w:rPr>
        <w:t>stating</w:t>
      </w:r>
      <w:r w:rsidR="00FD7FFC" w:rsidRPr="00981A79">
        <w:rPr>
          <w:rFonts w:cs="Arial"/>
          <w:color w:val="000000"/>
        </w:rPr>
        <w:t xml:space="preserve"> as follows:</w:t>
      </w:r>
    </w:p>
    <w:p w14:paraId="1E2FE8D4" w14:textId="4167C01D" w:rsidR="004F7415" w:rsidRPr="00114FA2" w:rsidRDefault="00114FA2" w:rsidP="00114FA2">
      <w:pPr>
        <w:pStyle w:val="ListParagraph"/>
        <w:spacing w:after="240" w:line="360" w:lineRule="auto"/>
        <w:contextualSpacing w:val="0"/>
        <w:mirrorIndents w:val="0"/>
        <w:jc w:val="both"/>
        <w:rPr>
          <w:rFonts w:cs="Arial"/>
          <w:color w:val="000000"/>
        </w:rPr>
      </w:pPr>
      <w:r w:rsidRPr="00114FA2">
        <w:rPr>
          <w:rFonts w:cs="Arial"/>
          <w:sz w:val="22"/>
          <w:szCs w:val="22"/>
        </w:rPr>
        <w:t xml:space="preserve">  </w:t>
      </w:r>
      <w:r w:rsidR="008D3E0A" w:rsidRPr="00114FA2">
        <w:rPr>
          <w:rFonts w:cs="Arial"/>
          <w:sz w:val="22"/>
          <w:szCs w:val="22"/>
        </w:rPr>
        <w:t xml:space="preserve">"Under rule 35 documents are discoverable if relevant, and relevance is determined </w:t>
      </w:r>
      <w:r w:rsidRPr="00114FA2">
        <w:rPr>
          <w:rFonts w:cs="Arial"/>
          <w:sz w:val="22"/>
          <w:szCs w:val="22"/>
        </w:rPr>
        <w:t xml:space="preserve">   </w:t>
      </w:r>
      <w:r w:rsidR="008D3E0A" w:rsidRPr="00114FA2">
        <w:rPr>
          <w:rFonts w:cs="Arial"/>
          <w:sz w:val="22"/>
          <w:szCs w:val="22"/>
        </w:rPr>
        <w:t>with reference to the pleadings. So, under the rule 35 discovery process, asking for information not relevant to the pleaded case would be a fishing expedition</w:t>
      </w:r>
      <w:r w:rsidR="00375178" w:rsidRPr="00114FA2">
        <w:rPr>
          <w:rFonts w:cs="Arial"/>
          <w:sz w:val="22"/>
          <w:szCs w:val="22"/>
        </w:rPr>
        <w:t>.</w:t>
      </w:r>
      <w:r w:rsidR="008D3E0A" w:rsidRPr="00114FA2">
        <w:rPr>
          <w:rFonts w:cs="Arial"/>
          <w:sz w:val="22"/>
          <w:szCs w:val="22"/>
        </w:rPr>
        <w:t xml:space="preserve"> "</w:t>
      </w:r>
    </w:p>
    <w:p w14:paraId="2F03BCD2" w14:textId="31F35476" w:rsidR="00CD574F" w:rsidRPr="00981A79" w:rsidRDefault="00981A79" w:rsidP="00981A79">
      <w:pPr>
        <w:spacing w:after="240" w:line="360" w:lineRule="auto"/>
        <w:ind w:left="720" w:hanging="720"/>
        <w:jc w:val="both"/>
        <w:rPr>
          <w:rFonts w:cs="Arial"/>
        </w:rPr>
      </w:pPr>
      <w:r w:rsidRPr="00D67A1B">
        <w:rPr>
          <w:rFonts w:ascii="Arial" w:eastAsia="Calibri" w:hAnsi="Arial" w:cs="Arial"/>
          <w:lang w:val="en-ZA"/>
        </w:rPr>
        <w:t>[13]</w:t>
      </w:r>
      <w:r w:rsidRPr="00D67A1B">
        <w:rPr>
          <w:rFonts w:ascii="Arial" w:eastAsia="Calibri" w:hAnsi="Arial" w:cs="Arial"/>
          <w:lang w:val="en-ZA"/>
        </w:rPr>
        <w:tab/>
      </w:r>
      <w:r w:rsidR="000902C4" w:rsidRPr="00981A79">
        <w:rPr>
          <w:rFonts w:cs="Arial"/>
        </w:rPr>
        <w:t>The test for relevance is "</w:t>
      </w:r>
      <w:r w:rsidR="00B77836" w:rsidRPr="00981A79">
        <w:rPr>
          <w:rFonts w:cs="Arial"/>
        </w:rPr>
        <w:t>...that every document that relates to the matter in question in the action which, it</w:t>
      </w:r>
      <w:r w:rsidR="00375178" w:rsidRPr="00981A79">
        <w:rPr>
          <w:rFonts w:cs="Arial"/>
        </w:rPr>
        <w:t xml:space="preserve"> is</w:t>
      </w:r>
      <w:r w:rsidR="00B77836" w:rsidRPr="00981A79">
        <w:rPr>
          <w:rFonts w:cs="Arial"/>
        </w:rPr>
        <w:t xml:space="preserve"> reasonable to suppose, contains information which ma</w:t>
      </w:r>
      <w:r w:rsidR="00375178" w:rsidRPr="00981A79">
        <w:rPr>
          <w:rFonts w:cs="Arial"/>
        </w:rPr>
        <w:t>y</w:t>
      </w:r>
      <w:r w:rsidR="00B77836" w:rsidRPr="00981A79">
        <w:rPr>
          <w:rFonts w:cs="Arial"/>
        </w:rPr>
        <w:t xml:space="preserve"> - not which must —either directly or indirectly enable the </w:t>
      </w:r>
      <w:r w:rsidR="00375178" w:rsidRPr="00981A79">
        <w:rPr>
          <w:rFonts w:cs="Arial"/>
        </w:rPr>
        <w:t>p</w:t>
      </w:r>
      <w:r w:rsidR="00B77836" w:rsidRPr="00981A79">
        <w:rPr>
          <w:rFonts w:cs="Arial"/>
        </w:rPr>
        <w:t>art</w:t>
      </w:r>
      <w:r w:rsidR="00375178" w:rsidRPr="00981A79">
        <w:rPr>
          <w:rFonts w:cs="Arial"/>
        </w:rPr>
        <w:t>y</w:t>
      </w:r>
      <w:r w:rsidR="00B77836" w:rsidRPr="00981A79">
        <w:rPr>
          <w:rFonts w:cs="Arial"/>
        </w:rPr>
        <w:t xml:space="preserve"> requiring the affidavit either to advance his own case or to damage the case of his advers</w:t>
      </w:r>
      <w:r w:rsidR="00375178" w:rsidRPr="00981A79">
        <w:rPr>
          <w:rFonts w:cs="Arial"/>
        </w:rPr>
        <w:t>ary</w:t>
      </w:r>
      <w:r w:rsidR="00E96524" w:rsidRPr="00981A79">
        <w:rPr>
          <w:rFonts w:cs="Arial"/>
        </w:rPr>
        <w:t>.</w:t>
      </w:r>
      <w:r w:rsidR="00E96524">
        <w:rPr>
          <w:rStyle w:val="FootnoteReference"/>
          <w:rFonts w:cs="Arial"/>
        </w:rPr>
        <w:footnoteReference w:id="5"/>
      </w:r>
    </w:p>
    <w:p w14:paraId="3D6F99C8" w14:textId="4A3B15D1" w:rsidR="004F7415" w:rsidRPr="00981A79" w:rsidRDefault="00981A79" w:rsidP="00981A79">
      <w:pPr>
        <w:spacing w:after="240" w:line="360" w:lineRule="auto"/>
        <w:ind w:left="720" w:hanging="720"/>
        <w:jc w:val="both"/>
        <w:rPr>
          <w:rFonts w:cs="Arial"/>
        </w:rPr>
      </w:pPr>
      <w:r w:rsidRPr="00D67A1B">
        <w:rPr>
          <w:rFonts w:ascii="Arial" w:eastAsia="Calibri" w:hAnsi="Arial" w:cs="Arial"/>
          <w:lang w:val="en-ZA"/>
        </w:rPr>
        <w:t>[14]</w:t>
      </w:r>
      <w:r w:rsidRPr="00D67A1B">
        <w:rPr>
          <w:rFonts w:ascii="Arial" w:eastAsia="Calibri" w:hAnsi="Arial" w:cs="Arial"/>
          <w:lang w:val="en-ZA"/>
        </w:rPr>
        <w:tab/>
      </w:r>
      <w:r w:rsidR="00EE506F" w:rsidRPr="00981A79">
        <w:rPr>
          <w:rFonts w:cs="Arial"/>
        </w:rPr>
        <w:t>A document can properly be said to contain information which may enable the party requiring the discovery either to advance his own case or to damage the case of his adversary if it is a document which may fairly lead him to a train of inquiry which may have either of these two consequences.</w:t>
      </w:r>
      <w:r w:rsidR="00EE506F">
        <w:rPr>
          <w:rStyle w:val="FootnoteReference"/>
          <w:rFonts w:cs="Arial"/>
        </w:rPr>
        <w:footnoteReference w:id="6"/>
      </w:r>
    </w:p>
    <w:p w14:paraId="7D6B7128" w14:textId="77777777" w:rsidR="001073E7" w:rsidRPr="00273753" w:rsidRDefault="004F7415" w:rsidP="00D67A1B">
      <w:pPr>
        <w:pStyle w:val="ListParagraph"/>
        <w:spacing w:before="0" w:after="240" w:line="360" w:lineRule="auto"/>
        <w:ind w:hanging="720"/>
        <w:contextualSpacing w:val="0"/>
        <w:mirrorIndents w:val="0"/>
        <w:jc w:val="both"/>
        <w:rPr>
          <w:rFonts w:eastAsia="Times New Roman" w:cs="Arial"/>
          <w:iCs/>
          <w:color w:val="000000"/>
          <w:kern w:val="0"/>
          <w:u w:val="single"/>
          <w:lang w:eastAsia="en-ZA"/>
          <w14:ligatures w14:val="none"/>
        </w:rPr>
      </w:pPr>
      <w:r w:rsidRPr="00273753">
        <w:rPr>
          <w:rFonts w:eastAsia="Times New Roman" w:cs="Arial"/>
          <w:iCs/>
          <w:color w:val="000000"/>
          <w:kern w:val="0"/>
          <w:u w:val="single"/>
          <w:lang w:eastAsia="en-ZA"/>
          <w14:ligatures w14:val="none"/>
        </w:rPr>
        <w:t>F</w:t>
      </w:r>
      <w:r w:rsidR="005D6C44" w:rsidRPr="00273753">
        <w:rPr>
          <w:rFonts w:eastAsia="Times New Roman" w:cs="Arial"/>
          <w:iCs/>
          <w:color w:val="000000"/>
          <w:kern w:val="0"/>
          <w:u w:val="single"/>
          <w:lang w:eastAsia="en-ZA"/>
          <w14:ligatures w14:val="none"/>
        </w:rPr>
        <w:t>urther partic</w:t>
      </w:r>
      <w:r w:rsidRPr="00273753">
        <w:rPr>
          <w:rFonts w:eastAsia="Times New Roman" w:cs="Arial"/>
          <w:iCs/>
          <w:color w:val="000000"/>
          <w:kern w:val="0"/>
          <w:u w:val="single"/>
          <w:lang w:eastAsia="en-ZA"/>
          <w14:ligatures w14:val="none"/>
        </w:rPr>
        <w:t>ulars (</w:t>
      </w:r>
      <w:r w:rsidR="0036774B" w:rsidRPr="00273753">
        <w:rPr>
          <w:rFonts w:eastAsia="Times New Roman" w:cs="Arial"/>
          <w:iCs/>
          <w:color w:val="000000"/>
          <w:kern w:val="0"/>
          <w:u w:val="single"/>
          <w:lang w:eastAsia="en-ZA"/>
          <w14:ligatures w14:val="none"/>
        </w:rPr>
        <w:t>uniform rule 21)</w:t>
      </w:r>
    </w:p>
    <w:p w14:paraId="1DE11421" w14:textId="102711E6" w:rsidR="00EE506F" w:rsidRPr="00981A79" w:rsidRDefault="00981A79" w:rsidP="00981A79">
      <w:pPr>
        <w:spacing w:after="240" w:line="360" w:lineRule="auto"/>
        <w:ind w:left="720" w:hanging="720"/>
        <w:jc w:val="both"/>
        <w:rPr>
          <w:rFonts w:cs="Arial"/>
          <w:color w:val="000000"/>
        </w:rPr>
      </w:pPr>
      <w:r>
        <w:rPr>
          <w:rFonts w:ascii="Arial" w:eastAsia="Calibri" w:hAnsi="Arial" w:cs="Arial"/>
          <w:color w:val="000000"/>
          <w:lang w:val="en-ZA"/>
        </w:rPr>
        <w:t>[15]</w:t>
      </w:r>
      <w:r>
        <w:rPr>
          <w:rFonts w:ascii="Arial" w:eastAsia="Calibri" w:hAnsi="Arial" w:cs="Arial"/>
          <w:color w:val="000000"/>
          <w:lang w:val="en-ZA"/>
        </w:rPr>
        <w:tab/>
      </w:r>
      <w:r w:rsidR="00B42F00" w:rsidRPr="00981A79">
        <w:rPr>
          <w:rFonts w:cs="Arial"/>
        </w:rPr>
        <w:t>As in the case of discovery, further partic</w:t>
      </w:r>
      <w:r w:rsidR="00AA426B" w:rsidRPr="00981A79">
        <w:rPr>
          <w:rFonts w:cs="Arial"/>
        </w:rPr>
        <w:t>ulars may only be requested after close of pleadings i</w:t>
      </w:r>
      <w:r w:rsidR="004F7415" w:rsidRPr="00981A79">
        <w:rPr>
          <w:rFonts w:cs="Arial"/>
        </w:rPr>
        <w:t>.</w:t>
      </w:r>
      <w:r w:rsidR="00AA426B" w:rsidRPr="00981A79">
        <w:rPr>
          <w:rFonts w:cs="Arial"/>
        </w:rPr>
        <w:t>e</w:t>
      </w:r>
      <w:r w:rsidR="004F7415" w:rsidRPr="00981A79">
        <w:rPr>
          <w:rFonts w:cs="Arial"/>
        </w:rPr>
        <w:t>.</w:t>
      </w:r>
      <w:r w:rsidR="00AA426B" w:rsidRPr="00981A79">
        <w:rPr>
          <w:rFonts w:cs="Arial"/>
        </w:rPr>
        <w:t xml:space="preserve"> </w:t>
      </w:r>
      <w:r w:rsidR="007C13EF" w:rsidRPr="00981A79">
        <w:rPr>
          <w:rFonts w:cs="Arial"/>
        </w:rPr>
        <w:t>when the legal issues are established</w:t>
      </w:r>
      <w:r w:rsidR="0024795A" w:rsidRPr="00981A79">
        <w:rPr>
          <w:rFonts w:cs="Arial"/>
        </w:rPr>
        <w:t>. At t</w:t>
      </w:r>
      <w:r w:rsidR="002107C0" w:rsidRPr="00981A79">
        <w:rPr>
          <w:rFonts w:cs="Arial"/>
        </w:rPr>
        <w:t>hat</w:t>
      </w:r>
      <w:r w:rsidR="0024795A" w:rsidRPr="00981A79">
        <w:rPr>
          <w:rFonts w:cs="Arial"/>
        </w:rPr>
        <w:t xml:space="preserve"> stage </w:t>
      </w:r>
      <w:r w:rsidR="00493C08" w:rsidRPr="00981A79">
        <w:rPr>
          <w:rFonts w:cs="Arial"/>
        </w:rPr>
        <w:t xml:space="preserve">the litigant is entitled to </w:t>
      </w:r>
      <w:r w:rsidR="00616D7B" w:rsidRPr="00981A79">
        <w:rPr>
          <w:rFonts w:cs="Arial"/>
        </w:rPr>
        <w:t xml:space="preserve">“only such further </w:t>
      </w:r>
      <w:r w:rsidR="00B57ABF" w:rsidRPr="00981A79">
        <w:rPr>
          <w:rFonts w:cs="Arial"/>
        </w:rPr>
        <w:t xml:space="preserve">particulars as </w:t>
      </w:r>
      <w:r w:rsidR="00F3688A" w:rsidRPr="00981A79">
        <w:rPr>
          <w:rFonts w:cs="Arial"/>
        </w:rPr>
        <w:t>are strictly necessary</w:t>
      </w:r>
      <w:r w:rsidR="008522E4" w:rsidRPr="00981A79">
        <w:rPr>
          <w:rFonts w:cs="Arial"/>
        </w:rPr>
        <w:t xml:space="preserve"> to enable </w:t>
      </w:r>
      <w:r w:rsidR="002615C8" w:rsidRPr="00981A79">
        <w:rPr>
          <w:rFonts w:cs="Arial"/>
        </w:rPr>
        <w:t xml:space="preserve">him or her to prepare for </w:t>
      </w:r>
      <w:r w:rsidR="004A48D8" w:rsidRPr="00981A79">
        <w:rPr>
          <w:rFonts w:cs="Arial"/>
        </w:rPr>
        <w:t>[the appeal]”</w:t>
      </w:r>
      <w:r w:rsidR="00EC2DC7" w:rsidRPr="00981A79">
        <w:rPr>
          <w:rFonts w:cs="Arial"/>
          <w:color w:val="000000"/>
        </w:rPr>
        <w:t xml:space="preserve"> </w:t>
      </w:r>
    </w:p>
    <w:p w14:paraId="5ECDEE8F" w14:textId="412EDE5B" w:rsidR="004F7415" w:rsidRPr="00981A79" w:rsidRDefault="00981A79" w:rsidP="00981A79">
      <w:pPr>
        <w:spacing w:after="240" w:line="360" w:lineRule="auto"/>
        <w:ind w:left="720" w:hanging="720"/>
        <w:jc w:val="both"/>
        <w:rPr>
          <w:rFonts w:cs="Arial"/>
          <w:color w:val="000000"/>
        </w:rPr>
      </w:pPr>
      <w:r>
        <w:rPr>
          <w:rFonts w:ascii="Arial" w:eastAsia="Calibri" w:hAnsi="Arial" w:cs="Arial"/>
          <w:color w:val="000000"/>
          <w:lang w:val="en-ZA"/>
        </w:rPr>
        <w:t>[16]</w:t>
      </w:r>
      <w:r>
        <w:rPr>
          <w:rFonts w:ascii="Arial" w:eastAsia="Calibri" w:hAnsi="Arial" w:cs="Arial"/>
          <w:color w:val="000000"/>
          <w:lang w:val="en-ZA"/>
        </w:rPr>
        <w:tab/>
      </w:r>
      <w:r w:rsidR="00EC2DC7" w:rsidRPr="00981A79">
        <w:rPr>
          <w:rFonts w:cs="Arial"/>
          <w:color w:val="000000"/>
        </w:rPr>
        <w:t>The purpose of permitting a party to call for further particulars for trial is</w:t>
      </w:r>
      <w:r w:rsidR="00091037" w:rsidRPr="00981A79">
        <w:rPr>
          <w:rFonts w:cs="Arial"/>
          <w:color w:val="000000"/>
        </w:rPr>
        <w:t xml:space="preserve">: </w:t>
      </w:r>
    </w:p>
    <w:p w14:paraId="1D45C31C" w14:textId="77777777" w:rsidR="004F7415" w:rsidRDefault="00EC2DC7" w:rsidP="00D67A1B">
      <w:pPr>
        <w:pStyle w:val="ListParagraph"/>
        <w:spacing w:before="0" w:after="240" w:line="360" w:lineRule="auto"/>
        <w:ind w:left="2160" w:hanging="720"/>
        <w:contextualSpacing w:val="0"/>
        <w:mirrorIndents w:val="0"/>
        <w:jc w:val="both"/>
        <w:rPr>
          <w:rFonts w:cs="Arial"/>
          <w:color w:val="000000"/>
        </w:rPr>
      </w:pPr>
      <w:r w:rsidRPr="00B1210B">
        <w:rPr>
          <w:rFonts w:cs="Arial"/>
          <w:i/>
          <w:iCs/>
          <w:color w:val="000000"/>
        </w:rPr>
        <w:t>(a)</w:t>
      </w:r>
      <w:r w:rsidRPr="00B1210B">
        <w:rPr>
          <w:rFonts w:cs="Arial"/>
          <w:color w:val="000000"/>
        </w:rPr>
        <w:t> to prevent surprise; </w:t>
      </w:r>
    </w:p>
    <w:p w14:paraId="185AD6E0" w14:textId="77777777" w:rsidR="004F7415" w:rsidRPr="00D67A1B" w:rsidRDefault="00EC2DC7" w:rsidP="001106E9">
      <w:pPr>
        <w:pStyle w:val="ListParagraph"/>
        <w:spacing w:before="0" w:after="240" w:line="360" w:lineRule="auto"/>
        <w:ind w:left="1440"/>
        <w:contextualSpacing w:val="0"/>
        <w:mirrorIndents w:val="0"/>
        <w:jc w:val="both"/>
        <w:rPr>
          <w:rFonts w:cs="Arial"/>
          <w:color w:val="000000"/>
        </w:rPr>
      </w:pPr>
      <w:r w:rsidRPr="00B1210B">
        <w:rPr>
          <w:rFonts w:cs="Arial"/>
          <w:i/>
          <w:iCs/>
          <w:color w:val="000000"/>
        </w:rPr>
        <w:t>(b)</w:t>
      </w:r>
      <w:r w:rsidRPr="00B1210B">
        <w:rPr>
          <w:rFonts w:cs="Arial"/>
          <w:color w:val="000000"/>
        </w:rPr>
        <w:t> that the parties should be told with g</w:t>
      </w:r>
      <w:r w:rsidR="00D67A1B">
        <w:rPr>
          <w:rFonts w:cs="Arial"/>
          <w:color w:val="000000"/>
        </w:rPr>
        <w:t xml:space="preserve">reater precision what the other </w:t>
      </w:r>
      <w:r w:rsidR="001106E9">
        <w:rPr>
          <w:rFonts w:cs="Arial"/>
          <w:color w:val="000000"/>
        </w:rPr>
        <w:t xml:space="preserve">party is going </w:t>
      </w:r>
      <w:r w:rsidRPr="00D67A1B">
        <w:rPr>
          <w:rFonts w:cs="Arial"/>
          <w:color w:val="000000"/>
        </w:rPr>
        <w:t>to prove in order to enable his opponent to prepare his case to combat counter allegations; and </w:t>
      </w:r>
    </w:p>
    <w:p w14:paraId="6FF210B6" w14:textId="6C0E6D1D" w:rsidR="00EC2DC7" w:rsidRPr="00B1210B" w:rsidRDefault="00EC2DC7" w:rsidP="001106E9">
      <w:pPr>
        <w:pStyle w:val="ListParagraph"/>
        <w:spacing w:before="0" w:after="240" w:line="360" w:lineRule="auto"/>
        <w:ind w:left="1440"/>
        <w:contextualSpacing w:val="0"/>
        <w:mirrorIndents w:val="0"/>
        <w:jc w:val="both"/>
        <w:rPr>
          <w:rFonts w:cs="Arial"/>
          <w:color w:val="000000"/>
        </w:rPr>
      </w:pPr>
      <w:r w:rsidRPr="00B1210B">
        <w:rPr>
          <w:rFonts w:cs="Arial"/>
          <w:i/>
          <w:iCs/>
          <w:color w:val="000000"/>
        </w:rPr>
        <w:lastRenderedPageBreak/>
        <w:t>(c)</w:t>
      </w:r>
      <w:r w:rsidRPr="00B1210B">
        <w:rPr>
          <w:rFonts w:cs="Arial"/>
          <w:color w:val="000000"/>
        </w:rPr>
        <w:t xml:space="preserve"> having regard to the </w:t>
      </w:r>
      <w:r w:rsidR="001E6699">
        <w:rPr>
          <w:rFonts w:cs="Arial"/>
          <w:color w:val="000000"/>
        </w:rPr>
        <w:t>f</w:t>
      </w:r>
      <w:r w:rsidR="001E6699" w:rsidRPr="00B1210B">
        <w:rPr>
          <w:rFonts w:cs="Arial"/>
          <w:color w:val="000000"/>
        </w:rPr>
        <w:t>oregoing</w:t>
      </w:r>
      <w:r w:rsidRPr="00B1210B">
        <w:rPr>
          <w:rFonts w:cs="Arial"/>
          <w:color w:val="000000"/>
        </w:rPr>
        <w:t xml:space="preserve"> nevertheless not to tie the other party down and limit his case unfairly at the trial</w:t>
      </w:r>
      <w:r w:rsidR="00EE506F">
        <w:rPr>
          <w:rFonts w:cs="Arial"/>
          <w:color w:val="000000"/>
        </w:rPr>
        <w:t>.</w:t>
      </w:r>
      <w:r w:rsidR="00D24650" w:rsidRPr="00B1210B">
        <w:rPr>
          <w:rStyle w:val="FootnoteReference"/>
          <w:rFonts w:cs="Arial"/>
          <w:color w:val="000000"/>
        </w:rPr>
        <w:footnoteReference w:id="7"/>
      </w:r>
      <w:bookmarkStart w:id="11" w:name="0-0-0-39933"/>
      <w:bookmarkEnd w:id="11"/>
    </w:p>
    <w:p w14:paraId="3477FEF1" w14:textId="7EFDFBEA" w:rsidR="00E47C0C" w:rsidRPr="00981A79" w:rsidRDefault="00981A79" w:rsidP="00981A79">
      <w:pPr>
        <w:spacing w:after="240" w:line="360" w:lineRule="auto"/>
        <w:ind w:left="720" w:hanging="720"/>
        <w:jc w:val="both"/>
        <w:rPr>
          <w:rFonts w:cs="Arial"/>
          <w:color w:val="000000"/>
        </w:rPr>
      </w:pPr>
      <w:bookmarkStart w:id="12" w:name="0-0-0-39937"/>
      <w:bookmarkEnd w:id="12"/>
      <w:r w:rsidRPr="00947211">
        <w:rPr>
          <w:rFonts w:ascii="Arial" w:eastAsia="Calibri" w:hAnsi="Arial" w:cs="Arial"/>
          <w:color w:val="000000"/>
          <w:lang w:val="en-ZA"/>
        </w:rPr>
        <w:t>[17]</w:t>
      </w:r>
      <w:r w:rsidRPr="00947211">
        <w:rPr>
          <w:rFonts w:ascii="Arial" w:eastAsia="Calibri" w:hAnsi="Arial" w:cs="Arial"/>
          <w:color w:val="000000"/>
          <w:lang w:val="en-ZA"/>
        </w:rPr>
        <w:tab/>
      </w:r>
      <w:r w:rsidR="00EC2DC7" w:rsidRPr="00981A79">
        <w:rPr>
          <w:rFonts w:cs="Arial"/>
          <w:color w:val="000000"/>
        </w:rPr>
        <w:t>In general, the purpose of particulars for trial is not to elicit evidence or information which will emerge on cross-examination</w:t>
      </w:r>
      <w:r w:rsidR="00E6177E" w:rsidRPr="00981A79">
        <w:rPr>
          <w:rFonts w:cs="Arial"/>
          <w:color w:val="000000"/>
        </w:rPr>
        <w:t>.</w:t>
      </w:r>
      <w:r w:rsidR="009170DC" w:rsidRPr="00B1210B">
        <w:rPr>
          <w:rStyle w:val="FootnoteReference"/>
          <w:rFonts w:cs="Arial"/>
          <w:color w:val="000000"/>
        </w:rPr>
        <w:footnoteReference w:id="8"/>
      </w:r>
      <w:bookmarkStart w:id="13" w:name="0-0-0-39941"/>
      <w:bookmarkEnd w:id="13"/>
    </w:p>
    <w:p w14:paraId="7A7C41E2" w14:textId="77777777" w:rsidR="00113C65" w:rsidRPr="00273753" w:rsidRDefault="000D2B22" w:rsidP="001106E9">
      <w:pPr>
        <w:spacing w:after="240" w:line="360" w:lineRule="auto"/>
        <w:rPr>
          <w:rFonts w:ascii="Arial" w:hAnsi="Arial" w:cs="Arial"/>
          <w:iCs/>
          <w:color w:val="000000"/>
          <w:u w:val="single"/>
        </w:rPr>
      </w:pPr>
      <w:r w:rsidRPr="00273753">
        <w:rPr>
          <w:rFonts w:ascii="Arial" w:hAnsi="Arial" w:cs="Arial"/>
          <w:iCs/>
          <w:color w:val="000000"/>
          <w:u w:val="single"/>
        </w:rPr>
        <w:t>The applications to strike out</w:t>
      </w:r>
      <w:r w:rsidR="00273753">
        <w:rPr>
          <w:rFonts w:ascii="Arial" w:hAnsi="Arial" w:cs="Arial"/>
          <w:iCs/>
          <w:color w:val="000000"/>
          <w:u w:val="single"/>
        </w:rPr>
        <w:t xml:space="preserve"> (rule 23(2)</w:t>
      </w:r>
    </w:p>
    <w:p w14:paraId="0BF86F3E" w14:textId="7B5B1075" w:rsidR="00351C07" w:rsidRPr="00981A79" w:rsidRDefault="00981A79" w:rsidP="00981A79">
      <w:pPr>
        <w:spacing w:after="240" w:line="360" w:lineRule="auto"/>
        <w:ind w:left="720" w:hanging="720"/>
        <w:jc w:val="both"/>
        <w:rPr>
          <w:rFonts w:eastAsia="Times New Roman" w:cs="Arial"/>
          <w:color w:val="000000"/>
          <w:kern w:val="0"/>
          <w:lang w:eastAsia="en-ZA"/>
          <w14:ligatures w14:val="none"/>
        </w:rPr>
      </w:pPr>
      <w:r w:rsidRPr="00B1210B">
        <w:rPr>
          <w:rFonts w:ascii="Arial" w:eastAsia="Times New Roman" w:hAnsi="Arial" w:cs="Arial"/>
          <w:color w:val="000000"/>
          <w:kern w:val="0"/>
          <w:lang w:val="en-ZA" w:eastAsia="en-ZA"/>
          <w14:ligatures w14:val="none"/>
        </w:rPr>
        <w:t>[18]</w:t>
      </w:r>
      <w:r w:rsidRPr="00B1210B">
        <w:rPr>
          <w:rFonts w:ascii="Arial" w:eastAsia="Times New Roman" w:hAnsi="Arial" w:cs="Arial"/>
          <w:color w:val="000000"/>
          <w:kern w:val="0"/>
          <w:lang w:val="en-ZA" w:eastAsia="en-ZA"/>
          <w14:ligatures w14:val="none"/>
        </w:rPr>
        <w:tab/>
      </w:r>
      <w:r w:rsidR="00E60BA5" w:rsidRPr="00981A79">
        <w:rPr>
          <w:rFonts w:eastAsia="Times New Roman" w:cs="Arial"/>
          <w:color w:val="000000"/>
          <w:kern w:val="0"/>
          <w:lang w:eastAsia="en-ZA"/>
          <w14:ligatures w14:val="none"/>
        </w:rPr>
        <w:t>Uniform rule 23(2)</w:t>
      </w:r>
      <w:r w:rsidR="00C902F6" w:rsidRPr="00981A79">
        <w:rPr>
          <w:rFonts w:eastAsia="Times New Roman" w:cs="Arial"/>
          <w:color w:val="000000"/>
          <w:kern w:val="0"/>
          <w:lang w:eastAsia="en-ZA"/>
          <w14:ligatures w14:val="none"/>
        </w:rPr>
        <w:t xml:space="preserve"> allows for the striking out </w:t>
      </w:r>
      <w:r w:rsidR="000822B1" w:rsidRPr="00981A79">
        <w:rPr>
          <w:rFonts w:eastAsia="Times New Roman" w:cs="Arial"/>
          <w:color w:val="000000"/>
          <w:kern w:val="0"/>
          <w:lang w:eastAsia="en-ZA"/>
          <w14:ligatures w14:val="none"/>
        </w:rPr>
        <w:t xml:space="preserve">of averments </w:t>
      </w:r>
      <w:r w:rsidR="00351C07" w:rsidRPr="00981A79">
        <w:rPr>
          <w:rFonts w:eastAsia="Times New Roman" w:cs="Arial"/>
          <w:color w:val="000000"/>
          <w:kern w:val="0"/>
          <w:lang w:eastAsia="en-ZA"/>
          <w14:ligatures w14:val="none"/>
        </w:rPr>
        <w:t>which are scandalous, vexatious, or irrelevant</w:t>
      </w:r>
      <w:r w:rsidR="00CD574F" w:rsidRPr="00981A79">
        <w:rPr>
          <w:rFonts w:eastAsia="Times New Roman" w:cs="Arial"/>
          <w:color w:val="000000"/>
          <w:kern w:val="0"/>
          <w:lang w:eastAsia="en-ZA"/>
          <w14:ligatures w14:val="none"/>
        </w:rPr>
        <w:t xml:space="preserve">. The </w:t>
      </w:r>
      <w:r w:rsidR="00351C07" w:rsidRPr="00981A79">
        <w:rPr>
          <w:rFonts w:eastAsia="Times New Roman" w:cs="Arial"/>
          <w:color w:val="000000"/>
          <w:kern w:val="0"/>
          <w:lang w:eastAsia="en-ZA"/>
          <w14:ligatures w14:val="none"/>
        </w:rPr>
        <w:t>opposite party may, within the period allowed for filing any subsequent pleading, apply for the striking out of</w:t>
      </w:r>
      <w:r w:rsidR="000822B1" w:rsidRPr="00981A79">
        <w:rPr>
          <w:rFonts w:eastAsia="Times New Roman" w:cs="Arial"/>
          <w:color w:val="000000"/>
          <w:kern w:val="0"/>
          <w:lang w:eastAsia="en-ZA"/>
          <w14:ligatures w14:val="none"/>
        </w:rPr>
        <w:t xml:space="preserve"> such</w:t>
      </w:r>
      <w:r w:rsidR="00351C07" w:rsidRPr="00981A79">
        <w:rPr>
          <w:rFonts w:eastAsia="Times New Roman" w:cs="Arial"/>
          <w:color w:val="000000"/>
          <w:kern w:val="0"/>
          <w:lang w:eastAsia="en-ZA"/>
          <w14:ligatures w14:val="none"/>
        </w:rPr>
        <w:t xml:space="preserve"> </w:t>
      </w:r>
      <w:r w:rsidR="000F5E78" w:rsidRPr="00981A79">
        <w:rPr>
          <w:rFonts w:eastAsia="Times New Roman" w:cs="Arial"/>
          <w:color w:val="000000"/>
          <w:kern w:val="0"/>
          <w:lang w:eastAsia="en-ZA"/>
          <w14:ligatures w14:val="none"/>
        </w:rPr>
        <w:t>matter, p</w:t>
      </w:r>
      <w:r w:rsidR="006E4D97" w:rsidRPr="00981A79">
        <w:rPr>
          <w:rFonts w:eastAsia="Times New Roman" w:cs="Arial"/>
          <w:color w:val="000000"/>
          <w:kern w:val="0"/>
          <w:lang w:eastAsia="en-ZA"/>
          <w14:ligatures w14:val="none"/>
        </w:rPr>
        <w:t>rovided</w:t>
      </w:r>
      <w:r w:rsidR="00351C07" w:rsidRPr="00981A79">
        <w:rPr>
          <w:rFonts w:eastAsia="Times New Roman" w:cs="Arial"/>
          <w:color w:val="000000"/>
          <w:kern w:val="0"/>
          <w:lang w:eastAsia="en-ZA"/>
          <w14:ligatures w14:val="none"/>
        </w:rPr>
        <w:t xml:space="preserve"> that</w:t>
      </w:r>
      <w:bookmarkStart w:id="14" w:name="0-0-0-42121"/>
      <w:bookmarkEnd w:id="14"/>
      <w:r w:rsidR="00750A7F" w:rsidRPr="00981A79">
        <w:rPr>
          <w:rFonts w:eastAsia="Times New Roman" w:cs="Arial"/>
          <w:color w:val="000000"/>
          <w:kern w:val="0"/>
          <w:lang w:eastAsia="en-ZA"/>
          <w14:ligatures w14:val="none"/>
        </w:rPr>
        <w:t xml:space="preserve"> an opportunity is given to rem</w:t>
      </w:r>
      <w:r w:rsidR="000E0CD2" w:rsidRPr="00981A79">
        <w:rPr>
          <w:rFonts w:eastAsia="Times New Roman" w:cs="Arial"/>
          <w:color w:val="000000"/>
          <w:kern w:val="0"/>
          <w:lang w:eastAsia="en-ZA"/>
          <w14:ligatures w14:val="none"/>
        </w:rPr>
        <w:t xml:space="preserve">ove them and </w:t>
      </w:r>
      <w:r w:rsidR="006E4D97" w:rsidRPr="00981A79">
        <w:rPr>
          <w:rFonts w:eastAsia="Times New Roman" w:cs="Arial"/>
          <w:color w:val="000000"/>
          <w:kern w:val="0"/>
          <w:lang w:eastAsia="en-ZA"/>
          <w14:ligatures w14:val="none"/>
        </w:rPr>
        <w:t xml:space="preserve">provided also </w:t>
      </w:r>
      <w:bookmarkStart w:id="15" w:name="0-0-0-42123"/>
      <w:bookmarkEnd w:id="15"/>
      <w:r w:rsidR="006E4D97" w:rsidRPr="00981A79">
        <w:rPr>
          <w:rFonts w:eastAsia="Times New Roman" w:cs="Arial"/>
          <w:color w:val="000000"/>
          <w:kern w:val="0"/>
          <w:lang w:eastAsia="en-ZA"/>
          <w14:ligatures w14:val="none"/>
        </w:rPr>
        <w:t>that a</w:t>
      </w:r>
      <w:r w:rsidR="00351C07" w:rsidRPr="00981A79">
        <w:rPr>
          <w:rFonts w:eastAsia="Times New Roman" w:cs="Arial"/>
          <w:color w:val="000000"/>
          <w:kern w:val="0"/>
          <w:lang w:eastAsia="en-ZA"/>
          <w14:ligatures w14:val="none"/>
        </w:rPr>
        <w:t xml:space="preserve"> court shall not grant the application unless it is satisfied that the applicant will be prejudiced in the conduct of any claim or defence if the application is not granted.</w:t>
      </w:r>
    </w:p>
    <w:p w14:paraId="59E51A76" w14:textId="267CFD4E" w:rsidR="001106E9" w:rsidRPr="00981A79" w:rsidRDefault="00981A79" w:rsidP="00981A79">
      <w:pPr>
        <w:spacing w:after="240" w:line="360" w:lineRule="auto"/>
        <w:ind w:left="720" w:hanging="720"/>
        <w:jc w:val="both"/>
        <w:rPr>
          <w:rFonts w:cs="Arial"/>
        </w:rPr>
      </w:pPr>
      <w:r w:rsidRPr="0051089E">
        <w:rPr>
          <w:rFonts w:ascii="Arial" w:eastAsia="Calibri" w:hAnsi="Arial" w:cs="Arial"/>
          <w:lang w:val="en-ZA"/>
        </w:rPr>
        <w:t>[19]</w:t>
      </w:r>
      <w:r w:rsidRPr="0051089E">
        <w:rPr>
          <w:rFonts w:ascii="Arial" w:eastAsia="Calibri" w:hAnsi="Arial" w:cs="Arial"/>
          <w:lang w:val="en-ZA"/>
        </w:rPr>
        <w:tab/>
      </w:r>
      <w:r w:rsidR="00400372" w:rsidRPr="00981A79">
        <w:rPr>
          <w:rFonts w:cs="Arial"/>
          <w:color w:val="000000"/>
        </w:rPr>
        <w:t>A decision whether or not to strike out is discretionary in nature</w:t>
      </w:r>
      <w:r w:rsidR="00586D0F" w:rsidRPr="00B1210B">
        <w:rPr>
          <w:rStyle w:val="FootnoteReference"/>
          <w:rFonts w:cs="Arial"/>
          <w:color w:val="000000"/>
        </w:rPr>
        <w:footnoteReference w:id="9"/>
      </w:r>
      <w:r w:rsidR="00400372" w:rsidRPr="00981A79">
        <w:rPr>
          <w:rFonts w:cs="Arial"/>
          <w:color w:val="000000"/>
        </w:rPr>
        <w:t>. </w:t>
      </w:r>
      <w:bookmarkStart w:id="16" w:name="0-0-0-42817"/>
      <w:bookmarkEnd w:id="16"/>
    </w:p>
    <w:p w14:paraId="4534F742" w14:textId="77777777" w:rsidR="00091037" w:rsidRPr="00565674" w:rsidRDefault="00D35DFE" w:rsidP="001106E9">
      <w:pPr>
        <w:spacing w:after="240" w:line="360" w:lineRule="auto"/>
        <w:ind w:left="720" w:hanging="720"/>
        <w:jc w:val="both"/>
        <w:rPr>
          <w:rFonts w:cs="Arial"/>
        </w:rPr>
      </w:pPr>
      <w:r w:rsidRPr="00565674">
        <w:rPr>
          <w:rFonts w:cs="Arial"/>
          <w:i/>
          <w:iCs/>
          <w:color w:val="000000"/>
        </w:rPr>
        <w:t>Background</w:t>
      </w:r>
      <w:r w:rsidRPr="00565674">
        <w:rPr>
          <w:rFonts w:cs="Arial"/>
        </w:rPr>
        <w:t xml:space="preserve"> </w:t>
      </w:r>
    </w:p>
    <w:p w14:paraId="1BFE8961" w14:textId="067126CB" w:rsidR="00273753" w:rsidRPr="00981A79" w:rsidRDefault="00981A79" w:rsidP="00981A79">
      <w:pPr>
        <w:spacing w:after="240" w:line="360" w:lineRule="auto"/>
        <w:ind w:left="720" w:hanging="720"/>
        <w:jc w:val="both"/>
        <w:rPr>
          <w:rFonts w:cs="Arial"/>
        </w:rPr>
      </w:pPr>
      <w:r>
        <w:rPr>
          <w:rFonts w:ascii="Arial" w:eastAsia="Calibri" w:hAnsi="Arial" w:cs="Arial"/>
          <w:lang w:val="en-ZA"/>
        </w:rPr>
        <w:t>[20]</w:t>
      </w:r>
      <w:r>
        <w:rPr>
          <w:rFonts w:ascii="Arial" w:eastAsia="Calibri" w:hAnsi="Arial" w:cs="Arial"/>
          <w:lang w:val="en-ZA"/>
        </w:rPr>
        <w:tab/>
      </w:r>
      <w:r w:rsidR="00DA1805" w:rsidRPr="00981A79">
        <w:rPr>
          <w:rFonts w:cs="Arial"/>
        </w:rPr>
        <w:t>As its</w:t>
      </w:r>
      <w:r w:rsidR="006A771C" w:rsidRPr="00981A79">
        <w:rPr>
          <w:rFonts w:cs="Arial"/>
        </w:rPr>
        <w:t xml:space="preserve"> main business </w:t>
      </w:r>
      <w:r w:rsidR="004139B9" w:rsidRPr="00981A79">
        <w:rPr>
          <w:rFonts w:cs="Arial"/>
        </w:rPr>
        <w:t>the taxpayer</w:t>
      </w:r>
      <w:r w:rsidR="00436DE8" w:rsidRPr="00981A79">
        <w:rPr>
          <w:rFonts w:cs="Arial"/>
        </w:rPr>
        <w:t xml:space="preserve"> exports gold-bearing bars</w:t>
      </w:r>
      <w:r w:rsidR="00565674" w:rsidRPr="00981A79">
        <w:rPr>
          <w:rFonts w:cs="Arial"/>
        </w:rPr>
        <w:t>.</w:t>
      </w:r>
    </w:p>
    <w:p w14:paraId="0EE8FF05" w14:textId="6C92B947" w:rsidR="00D35DFE" w:rsidRPr="00981A79" w:rsidRDefault="00981A79" w:rsidP="00981A79">
      <w:pPr>
        <w:spacing w:after="240" w:line="360" w:lineRule="auto"/>
        <w:ind w:left="720" w:hanging="720"/>
        <w:jc w:val="both"/>
        <w:rPr>
          <w:rFonts w:cs="Arial"/>
        </w:rPr>
      </w:pPr>
      <w:r w:rsidRPr="00091037">
        <w:rPr>
          <w:rFonts w:ascii="Arial" w:eastAsia="Calibri" w:hAnsi="Arial" w:cs="Arial"/>
          <w:lang w:val="en-ZA"/>
        </w:rPr>
        <w:t>[21]</w:t>
      </w:r>
      <w:r w:rsidRPr="00091037">
        <w:rPr>
          <w:rFonts w:ascii="Arial" w:eastAsia="Calibri" w:hAnsi="Arial" w:cs="Arial"/>
          <w:lang w:val="en-ZA"/>
        </w:rPr>
        <w:tab/>
      </w:r>
      <w:r w:rsidR="00565674" w:rsidRPr="00981A79">
        <w:rPr>
          <w:rFonts w:cs="Arial"/>
        </w:rPr>
        <w:t xml:space="preserve"> In </w:t>
      </w:r>
      <w:r w:rsidR="00436DE8" w:rsidRPr="00981A79">
        <w:rPr>
          <w:rFonts w:cs="Arial"/>
        </w:rPr>
        <w:t xml:space="preserve">the ordinary course an exporter will always be in </w:t>
      </w:r>
      <w:r w:rsidR="009B002A" w:rsidRPr="00981A79">
        <w:rPr>
          <w:rFonts w:cs="Arial"/>
        </w:rPr>
        <w:t>a</w:t>
      </w:r>
      <w:r w:rsidR="00EE0D4E" w:rsidRPr="00981A79">
        <w:rPr>
          <w:rFonts w:cs="Arial"/>
        </w:rPr>
        <w:t xml:space="preserve"> </w:t>
      </w:r>
      <w:r w:rsidR="00436DE8" w:rsidRPr="00981A79">
        <w:rPr>
          <w:rFonts w:cs="Arial"/>
        </w:rPr>
        <w:t xml:space="preserve">VAT refund position in the light of its export at zero </w:t>
      </w:r>
      <w:r w:rsidR="00273753" w:rsidRPr="00981A79">
        <w:rPr>
          <w:rFonts w:cs="Arial"/>
        </w:rPr>
        <w:t>percent and its purchase of the goods</w:t>
      </w:r>
      <w:r w:rsidR="00436DE8" w:rsidRPr="00981A79">
        <w:rPr>
          <w:rFonts w:cs="Arial"/>
        </w:rPr>
        <w:t xml:space="preserve"> from </w:t>
      </w:r>
      <w:r w:rsidR="00273753" w:rsidRPr="00981A79">
        <w:rPr>
          <w:rFonts w:cs="Arial"/>
        </w:rPr>
        <w:t xml:space="preserve">the </w:t>
      </w:r>
      <w:r w:rsidR="00436DE8" w:rsidRPr="00981A79">
        <w:rPr>
          <w:rFonts w:cs="Arial"/>
        </w:rPr>
        <w:t xml:space="preserve">supplier at standard rate. </w:t>
      </w:r>
    </w:p>
    <w:p w14:paraId="1B8C1FD0" w14:textId="2D235C51" w:rsidR="00BD32B5" w:rsidRPr="00981A79" w:rsidRDefault="00981A79" w:rsidP="00981A79">
      <w:pPr>
        <w:spacing w:after="240" w:line="360" w:lineRule="auto"/>
        <w:ind w:left="720" w:hanging="720"/>
        <w:jc w:val="both"/>
        <w:rPr>
          <w:rFonts w:cs="Arial"/>
        </w:rPr>
      </w:pPr>
      <w:r w:rsidRPr="00D35DFE">
        <w:rPr>
          <w:rFonts w:ascii="Arial" w:eastAsia="Calibri" w:hAnsi="Arial" w:cs="Arial"/>
          <w:lang w:val="en-ZA"/>
        </w:rPr>
        <w:t>[22]</w:t>
      </w:r>
      <w:r w:rsidRPr="00D35DFE">
        <w:rPr>
          <w:rFonts w:ascii="Arial" w:eastAsia="Calibri" w:hAnsi="Arial" w:cs="Arial"/>
          <w:lang w:val="en-ZA"/>
        </w:rPr>
        <w:tab/>
      </w:r>
      <w:r w:rsidR="00BD32B5" w:rsidRPr="00981A79">
        <w:rPr>
          <w:rFonts w:cs="Arial"/>
        </w:rPr>
        <w:t xml:space="preserve"> From 2017 </w:t>
      </w:r>
      <w:r w:rsidR="00436DE8" w:rsidRPr="00981A79">
        <w:rPr>
          <w:rFonts w:cs="Arial"/>
        </w:rPr>
        <w:t>the VAT</w:t>
      </w:r>
      <w:r w:rsidR="00786888" w:rsidRPr="00981A79">
        <w:rPr>
          <w:rFonts w:cs="Arial"/>
        </w:rPr>
        <w:t xml:space="preserve"> </w:t>
      </w:r>
      <w:r w:rsidR="00BD32B5" w:rsidRPr="00981A79">
        <w:rPr>
          <w:rFonts w:cs="Arial"/>
        </w:rPr>
        <w:t>law changed</w:t>
      </w:r>
      <w:r w:rsidR="00436DE8" w:rsidRPr="00981A79">
        <w:rPr>
          <w:rFonts w:cs="Arial"/>
        </w:rPr>
        <w:t xml:space="preserve"> for the gold </w:t>
      </w:r>
      <w:r w:rsidR="00D35DFE" w:rsidRPr="00981A79">
        <w:rPr>
          <w:rFonts w:cs="Arial"/>
        </w:rPr>
        <w:t>industry:</w:t>
      </w:r>
      <w:r w:rsidR="00BD32B5" w:rsidRPr="00981A79">
        <w:rPr>
          <w:rFonts w:cs="Arial"/>
        </w:rPr>
        <w:t xml:space="preserve"> during the period 1 April 2015 to 31 March 2017, vendors could not claim any notional input tax credits upon purchasing any gold products. From 1 April 2017, a vendor who purchases second-hand gold product from a non-vendor, is permitted to claim a notional input tax on the supply, provided that certain requirements in terms of the VAT Act are complied with.</w:t>
      </w:r>
    </w:p>
    <w:p w14:paraId="69AD1C7E" w14:textId="0F8452B2" w:rsidR="00BD32B5" w:rsidRPr="00981A79" w:rsidRDefault="00981A79" w:rsidP="00981A79">
      <w:pPr>
        <w:spacing w:after="240" w:line="360" w:lineRule="auto"/>
        <w:ind w:left="720" w:hanging="720"/>
        <w:jc w:val="both"/>
        <w:rPr>
          <w:rFonts w:cs="Arial"/>
        </w:rPr>
      </w:pPr>
      <w:r w:rsidRPr="00907B61">
        <w:rPr>
          <w:rFonts w:ascii="Arial" w:eastAsia="Calibri" w:hAnsi="Arial" w:cs="Arial"/>
          <w:lang w:val="en-ZA"/>
        </w:rPr>
        <w:t>[23]</w:t>
      </w:r>
      <w:r w:rsidRPr="00907B61">
        <w:rPr>
          <w:rFonts w:ascii="Arial" w:eastAsia="Calibri" w:hAnsi="Arial" w:cs="Arial"/>
          <w:lang w:val="en-ZA"/>
        </w:rPr>
        <w:tab/>
      </w:r>
      <w:r w:rsidR="00BD32B5" w:rsidRPr="00981A79">
        <w:rPr>
          <w:rFonts w:cs="Arial"/>
        </w:rPr>
        <w:t xml:space="preserve"> The definition of second-hand goods excludes gold coins contemplated in section 11(1)(k) of the VAT Act, or any other goods containing gold unless those goods are </w:t>
      </w:r>
      <w:r w:rsidR="00BD32B5" w:rsidRPr="00981A79">
        <w:rPr>
          <w:rFonts w:cs="Arial"/>
        </w:rPr>
        <w:lastRenderedPageBreak/>
        <w:t>acquired for the sole purpose of supplying those goods in the same</w:t>
      </w:r>
      <w:r w:rsidR="00BD32B5" w:rsidRPr="00981A79">
        <w:rPr>
          <w:rFonts w:cs="Arial"/>
          <w:u w:val="single"/>
        </w:rPr>
        <w:t xml:space="preserve"> </w:t>
      </w:r>
      <w:r w:rsidR="00BD32B5" w:rsidRPr="00981A79">
        <w:rPr>
          <w:rFonts w:cs="Arial"/>
        </w:rPr>
        <w:t>state to another person.</w:t>
      </w:r>
      <w:r w:rsidR="00BD32B5">
        <w:rPr>
          <w:rStyle w:val="FootnoteReference"/>
          <w:rFonts w:cs="Arial"/>
        </w:rPr>
        <w:footnoteReference w:id="10"/>
      </w:r>
      <w:r w:rsidR="00BD32B5" w:rsidRPr="00981A79">
        <w:rPr>
          <w:rFonts w:cs="Arial"/>
        </w:rPr>
        <w:t xml:space="preserve"> </w:t>
      </w:r>
    </w:p>
    <w:p w14:paraId="312AF4E0" w14:textId="000103C9" w:rsidR="00BD32B5" w:rsidRPr="00981A79" w:rsidRDefault="00981A79" w:rsidP="00981A79">
      <w:pPr>
        <w:spacing w:after="240" w:line="360" w:lineRule="auto"/>
        <w:ind w:left="720" w:hanging="720"/>
        <w:jc w:val="both"/>
        <w:rPr>
          <w:rFonts w:cs="Arial"/>
        </w:rPr>
      </w:pPr>
      <w:r w:rsidRPr="00B1210B">
        <w:rPr>
          <w:rFonts w:ascii="Arial" w:eastAsia="Calibri" w:hAnsi="Arial" w:cs="Arial"/>
          <w:lang w:val="en-ZA"/>
        </w:rPr>
        <w:t>[24]</w:t>
      </w:r>
      <w:r w:rsidRPr="00B1210B">
        <w:rPr>
          <w:rFonts w:ascii="Arial" w:eastAsia="Calibri" w:hAnsi="Arial" w:cs="Arial"/>
          <w:lang w:val="en-ZA"/>
        </w:rPr>
        <w:tab/>
      </w:r>
      <w:r w:rsidR="00BD32B5" w:rsidRPr="00981A79">
        <w:rPr>
          <w:rFonts w:cs="Arial"/>
        </w:rPr>
        <w:t>This new VAT facility allowed for the alleged scheme</w:t>
      </w:r>
      <w:r w:rsidR="00786888" w:rsidRPr="00981A79">
        <w:rPr>
          <w:rFonts w:cs="Arial"/>
        </w:rPr>
        <w:t>.</w:t>
      </w:r>
      <w:r w:rsidR="00BD32B5" w:rsidRPr="00981A79">
        <w:rPr>
          <w:rFonts w:cs="Arial"/>
        </w:rPr>
        <w:t xml:space="preserve"> </w:t>
      </w:r>
      <w:r w:rsidR="00436DE8" w:rsidRPr="00981A79">
        <w:rPr>
          <w:rFonts w:cs="Arial"/>
        </w:rPr>
        <w:t>This took</w:t>
      </w:r>
      <w:r w:rsidR="00BD32B5" w:rsidRPr="00981A79">
        <w:rPr>
          <w:rFonts w:cs="Arial"/>
        </w:rPr>
        <w:t xml:space="preserve"> the form of operations which smelted Krugerrands and pretended that the gold bars that were generated by this smelting </w:t>
      </w:r>
      <w:r w:rsidR="00D35DFE" w:rsidRPr="00981A79">
        <w:rPr>
          <w:rFonts w:cs="Arial"/>
        </w:rPr>
        <w:t>comprised</w:t>
      </w:r>
      <w:r w:rsidR="00BD32B5" w:rsidRPr="00981A79">
        <w:rPr>
          <w:rFonts w:cs="Arial"/>
        </w:rPr>
        <w:t xml:space="preserve"> second-hand gold jewellery. </w:t>
      </w:r>
    </w:p>
    <w:p w14:paraId="58010CD1" w14:textId="5857199D" w:rsidR="00BD32B5" w:rsidRPr="00981A79" w:rsidRDefault="00981A79" w:rsidP="00981A79">
      <w:pPr>
        <w:spacing w:after="240" w:line="360" w:lineRule="auto"/>
        <w:ind w:left="720" w:hanging="720"/>
        <w:jc w:val="both"/>
        <w:rPr>
          <w:rFonts w:cs="Arial"/>
        </w:rPr>
      </w:pPr>
      <w:r w:rsidRPr="00B1210B">
        <w:rPr>
          <w:rFonts w:ascii="Arial" w:eastAsia="Calibri" w:hAnsi="Arial" w:cs="Arial"/>
          <w:lang w:val="en-ZA"/>
        </w:rPr>
        <w:t>[25]</w:t>
      </w:r>
      <w:r w:rsidRPr="00B1210B">
        <w:rPr>
          <w:rFonts w:ascii="Arial" w:eastAsia="Calibri" w:hAnsi="Arial" w:cs="Arial"/>
          <w:lang w:val="en-ZA"/>
        </w:rPr>
        <w:tab/>
      </w:r>
      <w:r w:rsidR="00BD32B5" w:rsidRPr="00981A79">
        <w:rPr>
          <w:rFonts w:cs="Arial"/>
        </w:rPr>
        <w:t>Central to the pleaded case</w:t>
      </w:r>
      <w:r w:rsidR="006964AD" w:rsidRPr="00981A79">
        <w:rPr>
          <w:rFonts w:cs="Arial"/>
        </w:rPr>
        <w:t xml:space="preserve"> of SARS</w:t>
      </w:r>
      <w:r w:rsidR="00BD32B5" w:rsidRPr="00981A79">
        <w:rPr>
          <w:rFonts w:cs="Arial"/>
        </w:rPr>
        <w:t xml:space="preserve"> is that the 15% margin for claiming input tax provided a cash-flow which allowed for the sale of gold below the spot price. </w:t>
      </w:r>
    </w:p>
    <w:p w14:paraId="3B5586CB" w14:textId="3D9FBBF0" w:rsidR="00BD32B5" w:rsidRPr="00981A79" w:rsidRDefault="00981A79" w:rsidP="00981A79">
      <w:pPr>
        <w:spacing w:after="240" w:line="360" w:lineRule="auto"/>
        <w:ind w:left="720" w:hanging="720"/>
        <w:jc w:val="both"/>
        <w:rPr>
          <w:rFonts w:cs="Arial"/>
        </w:rPr>
      </w:pPr>
      <w:r>
        <w:rPr>
          <w:rFonts w:ascii="Arial" w:eastAsia="Calibri" w:hAnsi="Arial" w:cs="Arial"/>
          <w:lang w:val="en-ZA"/>
        </w:rPr>
        <w:t>[26]</w:t>
      </w:r>
      <w:r>
        <w:rPr>
          <w:rFonts w:ascii="Arial" w:eastAsia="Calibri" w:hAnsi="Arial" w:cs="Arial"/>
          <w:lang w:val="en-ZA"/>
        </w:rPr>
        <w:tab/>
      </w:r>
      <w:r w:rsidR="00BD32B5" w:rsidRPr="00981A79">
        <w:rPr>
          <w:rFonts w:cs="Arial"/>
        </w:rPr>
        <w:t xml:space="preserve">SARS argues that it is axiomatic that such a sale below value could only be profitable if there were an unlawful revenue source in the form of the VAT claim. The case is that this </w:t>
      </w:r>
      <w:r w:rsidR="00B34308" w:rsidRPr="00981A79">
        <w:rPr>
          <w:rFonts w:cs="Arial"/>
        </w:rPr>
        <w:t>is</w:t>
      </w:r>
      <w:r w:rsidR="00BD32B5" w:rsidRPr="00981A79">
        <w:rPr>
          <w:rFonts w:cs="Arial"/>
        </w:rPr>
        <w:t xml:space="preserve"> the only reason for th</w:t>
      </w:r>
      <w:r w:rsidR="00B34308" w:rsidRPr="00981A79">
        <w:rPr>
          <w:rFonts w:cs="Arial"/>
        </w:rPr>
        <w:t>e</w:t>
      </w:r>
      <w:r w:rsidR="00BD32B5" w:rsidRPr="00981A79">
        <w:rPr>
          <w:rFonts w:cs="Arial"/>
        </w:rPr>
        <w:t xml:space="preserve"> enterprise conducted by </w:t>
      </w:r>
      <w:r w:rsidR="004139B9" w:rsidRPr="00981A79">
        <w:rPr>
          <w:rFonts w:cs="Arial"/>
        </w:rPr>
        <w:t>the taxpayer</w:t>
      </w:r>
      <w:r w:rsidR="00BD32B5" w:rsidRPr="00981A79">
        <w:rPr>
          <w:rFonts w:cs="Arial"/>
        </w:rPr>
        <w:t xml:space="preserve">. </w:t>
      </w:r>
    </w:p>
    <w:p w14:paraId="5B20DD8E" w14:textId="0C65F243" w:rsidR="001C034A" w:rsidRPr="00981A79" w:rsidRDefault="00981A79" w:rsidP="00981A79">
      <w:pPr>
        <w:spacing w:after="240" w:line="360" w:lineRule="auto"/>
        <w:ind w:left="720" w:hanging="720"/>
        <w:jc w:val="both"/>
        <w:rPr>
          <w:rFonts w:cs="Arial"/>
        </w:rPr>
      </w:pPr>
      <w:r w:rsidRPr="00B1210B">
        <w:rPr>
          <w:rFonts w:ascii="Arial" w:eastAsia="Calibri" w:hAnsi="Arial" w:cs="Arial"/>
          <w:lang w:val="en-ZA"/>
        </w:rPr>
        <w:t>[27]</w:t>
      </w:r>
      <w:r w:rsidRPr="00B1210B">
        <w:rPr>
          <w:rFonts w:ascii="Arial" w:eastAsia="Calibri" w:hAnsi="Arial" w:cs="Arial"/>
          <w:lang w:val="en-ZA"/>
        </w:rPr>
        <w:tab/>
      </w:r>
      <w:r w:rsidR="004139B9" w:rsidRPr="00981A79">
        <w:rPr>
          <w:rFonts w:cs="Arial"/>
        </w:rPr>
        <w:t>The first</w:t>
      </w:r>
      <w:r w:rsidR="001C034A" w:rsidRPr="00981A79">
        <w:rPr>
          <w:rFonts w:cs="Arial"/>
        </w:rPr>
        <w:t xml:space="preserve"> ground of assessment concerns whether the supporting tax invoices on which </w:t>
      </w:r>
      <w:r w:rsidR="00273753" w:rsidRPr="00981A79">
        <w:rPr>
          <w:rFonts w:cs="Arial"/>
        </w:rPr>
        <w:t>the</w:t>
      </w:r>
      <w:r w:rsidR="004139B9" w:rsidRPr="00981A79">
        <w:rPr>
          <w:rFonts w:cs="Arial"/>
        </w:rPr>
        <w:t xml:space="preserve"> taxpayer</w:t>
      </w:r>
      <w:r w:rsidR="001C034A" w:rsidRPr="00981A79">
        <w:rPr>
          <w:rFonts w:cs="Arial"/>
        </w:rPr>
        <w:t xml:space="preserve"> relies in respect of</w:t>
      </w:r>
      <w:r w:rsidR="00EE506F" w:rsidRPr="00981A79">
        <w:rPr>
          <w:rFonts w:cs="Arial"/>
        </w:rPr>
        <w:t xml:space="preserve"> three of its suppliers,</w:t>
      </w:r>
      <w:r w:rsidR="001C034A" w:rsidRPr="00981A79">
        <w:rPr>
          <w:rFonts w:cs="Arial"/>
        </w:rPr>
        <w:t xml:space="preserve"> Northern Spark, JR Tech and Geba comply with the provisions of section 20(4)(e) of the VAT Act. </w:t>
      </w:r>
      <w:r w:rsidR="004139B9" w:rsidRPr="00981A79">
        <w:rPr>
          <w:rFonts w:cs="Arial"/>
        </w:rPr>
        <w:t>The taxpayer</w:t>
      </w:r>
      <w:r w:rsidR="001C034A" w:rsidRPr="00981A79">
        <w:rPr>
          <w:rFonts w:cs="Arial"/>
        </w:rPr>
        <w:t xml:space="preserve"> bears the onus to prove compliance with the aforesaid section. </w:t>
      </w:r>
    </w:p>
    <w:p w14:paraId="16E07930" w14:textId="1FBB0301" w:rsidR="001C034A" w:rsidRPr="00981A79" w:rsidRDefault="00981A79" w:rsidP="00981A79">
      <w:pPr>
        <w:spacing w:after="240" w:line="360" w:lineRule="auto"/>
        <w:ind w:left="720" w:hanging="720"/>
        <w:jc w:val="both"/>
        <w:rPr>
          <w:rFonts w:cs="Arial"/>
        </w:rPr>
      </w:pPr>
      <w:r w:rsidRPr="00AD5D13">
        <w:rPr>
          <w:rFonts w:ascii="Arial" w:eastAsia="Calibri" w:hAnsi="Arial" w:cs="Arial"/>
          <w:lang w:val="en-ZA"/>
        </w:rPr>
        <w:t>[28]</w:t>
      </w:r>
      <w:r w:rsidRPr="00AD5D13">
        <w:rPr>
          <w:rFonts w:ascii="Arial" w:eastAsia="Calibri" w:hAnsi="Arial" w:cs="Arial"/>
          <w:lang w:val="en-ZA"/>
        </w:rPr>
        <w:tab/>
      </w:r>
      <w:r w:rsidR="001C034A" w:rsidRPr="00981A79">
        <w:rPr>
          <w:rFonts w:cs="Arial"/>
        </w:rPr>
        <w:t xml:space="preserve">The second ground of assessment concerns whether the input taxes can lawfully be claimed by </w:t>
      </w:r>
      <w:r w:rsidR="004139B9" w:rsidRPr="00981A79">
        <w:rPr>
          <w:rFonts w:cs="Arial"/>
        </w:rPr>
        <w:t>the taxpayer</w:t>
      </w:r>
      <w:r w:rsidR="001C034A" w:rsidRPr="00981A79">
        <w:rPr>
          <w:rFonts w:cs="Arial"/>
        </w:rPr>
        <w:t xml:space="preserve"> in respect of</w:t>
      </w:r>
      <w:r w:rsidR="00EE506F" w:rsidRPr="00981A79">
        <w:rPr>
          <w:rFonts w:cs="Arial"/>
        </w:rPr>
        <w:t xml:space="preserve"> the three suppliers </w:t>
      </w:r>
      <w:r w:rsidR="001C034A" w:rsidRPr="00981A79">
        <w:rPr>
          <w:rFonts w:cs="Arial"/>
        </w:rPr>
        <w:t xml:space="preserve">tax invoices. </w:t>
      </w:r>
      <w:r w:rsidR="004139B9" w:rsidRPr="00981A79">
        <w:rPr>
          <w:rFonts w:cs="Arial"/>
        </w:rPr>
        <w:t>The taxpayer</w:t>
      </w:r>
      <w:r w:rsidR="001C034A" w:rsidRPr="00981A79">
        <w:rPr>
          <w:rFonts w:cs="Arial"/>
        </w:rPr>
        <w:t xml:space="preserve"> bears the onus to prove that it is lawfully entitled to claim these input tax credits.</w:t>
      </w:r>
    </w:p>
    <w:p w14:paraId="3C95EFCB" w14:textId="1A94BFCA" w:rsidR="001C034A" w:rsidRPr="00981A79" w:rsidRDefault="00981A79" w:rsidP="00981A79">
      <w:pPr>
        <w:spacing w:after="240" w:line="360" w:lineRule="auto"/>
        <w:ind w:left="720" w:hanging="720"/>
        <w:jc w:val="both"/>
        <w:rPr>
          <w:rFonts w:cs="Arial"/>
        </w:rPr>
      </w:pPr>
      <w:r w:rsidRPr="000F5E78">
        <w:rPr>
          <w:rFonts w:ascii="Arial" w:eastAsia="Calibri" w:hAnsi="Arial" w:cs="Arial"/>
          <w:lang w:val="en-ZA"/>
        </w:rPr>
        <w:t>[29]</w:t>
      </w:r>
      <w:r w:rsidRPr="000F5E78">
        <w:rPr>
          <w:rFonts w:ascii="Arial" w:eastAsia="Calibri" w:hAnsi="Arial" w:cs="Arial"/>
          <w:lang w:val="en-ZA"/>
        </w:rPr>
        <w:tab/>
      </w:r>
      <w:r w:rsidR="00EE506F" w:rsidRPr="00981A79">
        <w:rPr>
          <w:rFonts w:cs="Arial"/>
        </w:rPr>
        <w:t xml:space="preserve"> The t</w:t>
      </w:r>
      <w:r w:rsidR="00F12DFB" w:rsidRPr="00981A79">
        <w:rPr>
          <w:rFonts w:cs="Arial"/>
        </w:rPr>
        <w:t xml:space="preserve">hird </w:t>
      </w:r>
      <w:r w:rsidR="00EE506F" w:rsidRPr="00981A79">
        <w:rPr>
          <w:rFonts w:cs="Arial"/>
        </w:rPr>
        <w:t>ground is w</w:t>
      </w:r>
      <w:r w:rsidR="001C034A" w:rsidRPr="00981A79">
        <w:rPr>
          <w:rFonts w:cs="Arial"/>
        </w:rPr>
        <w:t xml:space="preserve">hether the available direct evidence and circumstantial evidence proves that </w:t>
      </w:r>
      <w:r w:rsidR="004139B9" w:rsidRPr="00981A79">
        <w:rPr>
          <w:rFonts w:cs="Arial"/>
        </w:rPr>
        <w:t>the taxpayer</w:t>
      </w:r>
      <w:r w:rsidR="001C034A" w:rsidRPr="00981A79">
        <w:rPr>
          <w:rFonts w:cs="Arial"/>
        </w:rPr>
        <w:t xml:space="preserve"> is a participant in a section 73 scheme</w:t>
      </w:r>
      <w:r w:rsidR="00331177" w:rsidRPr="00981A79">
        <w:rPr>
          <w:rFonts w:cs="Arial"/>
        </w:rPr>
        <w:t>.</w:t>
      </w:r>
    </w:p>
    <w:p w14:paraId="79452FAC" w14:textId="0602D5F4" w:rsidR="002C44C1" w:rsidRPr="00981A79" w:rsidRDefault="00981A79" w:rsidP="00981A79">
      <w:pPr>
        <w:spacing w:after="240" w:line="360" w:lineRule="auto"/>
        <w:ind w:left="720" w:hanging="720"/>
        <w:jc w:val="both"/>
        <w:rPr>
          <w:rFonts w:cs="Arial"/>
        </w:rPr>
      </w:pPr>
      <w:bookmarkStart w:id="17" w:name="_Hlk155618677"/>
      <w:r w:rsidRPr="001E6699">
        <w:rPr>
          <w:rFonts w:ascii="Arial" w:eastAsia="Calibri" w:hAnsi="Arial" w:cs="Arial"/>
          <w:lang w:val="en-ZA"/>
        </w:rPr>
        <w:t>[30]</w:t>
      </w:r>
      <w:r w:rsidRPr="001E6699">
        <w:rPr>
          <w:rFonts w:ascii="Arial" w:eastAsia="Calibri" w:hAnsi="Arial" w:cs="Arial"/>
          <w:lang w:val="en-ZA"/>
        </w:rPr>
        <w:tab/>
      </w:r>
      <w:r w:rsidR="00331177" w:rsidRPr="00981A79">
        <w:rPr>
          <w:rFonts w:cs="Arial"/>
        </w:rPr>
        <w:t xml:space="preserve">SARS must prove whether the jurisdictional requirements of section 73 have been </w:t>
      </w:r>
      <w:r w:rsidR="00114FA2" w:rsidRPr="00981A79">
        <w:rPr>
          <w:rFonts w:cs="Arial"/>
        </w:rPr>
        <w:t>met. But</w:t>
      </w:r>
      <w:r w:rsidR="00331177" w:rsidRPr="00981A79">
        <w:rPr>
          <w:rFonts w:cs="Arial"/>
        </w:rPr>
        <w:t>, in terms of section 73(3)</w:t>
      </w:r>
      <w:r w:rsidR="00EE506F" w:rsidRPr="00981A79">
        <w:rPr>
          <w:rFonts w:cs="Arial"/>
        </w:rPr>
        <w:t>,</w:t>
      </w:r>
      <w:r w:rsidR="00331177" w:rsidRPr="00981A79">
        <w:rPr>
          <w:rFonts w:cs="Arial"/>
        </w:rPr>
        <w:t xml:space="preserve"> once it is proved that the scheme would result in a tax </w:t>
      </w:r>
      <w:r w:rsidR="006964AD" w:rsidRPr="00981A79">
        <w:rPr>
          <w:rFonts w:cs="Arial"/>
        </w:rPr>
        <w:t>saving</w:t>
      </w:r>
      <w:r w:rsidR="00EE506F" w:rsidRPr="00981A79">
        <w:rPr>
          <w:rFonts w:cs="Arial"/>
        </w:rPr>
        <w:t>,</w:t>
      </w:r>
      <w:r w:rsidR="00331177" w:rsidRPr="00981A79">
        <w:rPr>
          <w:rFonts w:cs="Arial"/>
        </w:rPr>
        <w:t xml:space="preserve"> it is presumed that</w:t>
      </w:r>
      <w:r w:rsidR="00831599" w:rsidRPr="00981A79">
        <w:rPr>
          <w:rFonts w:cs="Arial"/>
        </w:rPr>
        <w:t>,</w:t>
      </w:r>
      <w:r w:rsidR="00331177" w:rsidRPr="00981A79">
        <w:rPr>
          <w:rFonts w:cs="Arial"/>
        </w:rPr>
        <w:t xml:space="preserve"> until the contrary is proved</w:t>
      </w:r>
      <w:r w:rsidR="00831599" w:rsidRPr="00981A79">
        <w:rPr>
          <w:rFonts w:cs="Arial"/>
        </w:rPr>
        <w:t>,</w:t>
      </w:r>
      <w:r w:rsidR="00331177" w:rsidRPr="00981A79">
        <w:rPr>
          <w:rFonts w:cs="Arial"/>
        </w:rPr>
        <w:t xml:space="preserve"> the scheme was carried out </w:t>
      </w:r>
      <w:r w:rsidR="00FD3866" w:rsidRPr="00981A79">
        <w:rPr>
          <w:rFonts w:cs="Arial"/>
        </w:rPr>
        <w:t>solely</w:t>
      </w:r>
      <w:r w:rsidR="00331177" w:rsidRPr="00981A79">
        <w:rPr>
          <w:rFonts w:cs="Arial"/>
        </w:rPr>
        <w:t xml:space="preserve"> or mainly for the purposes of obtaining a tax benefit. </w:t>
      </w:r>
    </w:p>
    <w:bookmarkEnd w:id="17"/>
    <w:p w14:paraId="130E047D" w14:textId="28148F79" w:rsidR="002C44C1" w:rsidRPr="00981A79" w:rsidRDefault="00981A79" w:rsidP="00981A79">
      <w:pPr>
        <w:spacing w:after="240" w:line="360" w:lineRule="auto"/>
        <w:ind w:left="720" w:hanging="720"/>
        <w:jc w:val="both"/>
        <w:rPr>
          <w:rFonts w:cs="Arial"/>
        </w:rPr>
      </w:pPr>
      <w:r w:rsidRPr="001E6699">
        <w:rPr>
          <w:rFonts w:ascii="Arial" w:eastAsia="Calibri" w:hAnsi="Arial" w:cs="Arial"/>
          <w:lang w:val="en-ZA"/>
        </w:rPr>
        <w:t>[31]</w:t>
      </w:r>
      <w:r w:rsidRPr="001E6699">
        <w:rPr>
          <w:rFonts w:ascii="Arial" w:eastAsia="Calibri" w:hAnsi="Arial" w:cs="Arial"/>
          <w:lang w:val="en-ZA"/>
        </w:rPr>
        <w:tab/>
      </w:r>
      <w:r w:rsidR="003E350B" w:rsidRPr="00981A79">
        <w:rPr>
          <w:rFonts w:cs="Arial"/>
        </w:rPr>
        <w:t>The crux of the fraud and/or section 73 scheme</w:t>
      </w:r>
      <w:r w:rsidR="006964AD" w:rsidRPr="00981A79">
        <w:rPr>
          <w:rFonts w:cs="Arial"/>
        </w:rPr>
        <w:t xml:space="preserve"> pleaded</w:t>
      </w:r>
      <w:r w:rsidR="003E350B" w:rsidRPr="00981A79">
        <w:rPr>
          <w:rFonts w:cs="Arial"/>
        </w:rPr>
        <w:t xml:space="preserve"> is that unlawful input tax claims were generated by relying on fictitious invoices. </w:t>
      </w:r>
      <w:r w:rsidR="00786888" w:rsidRPr="00981A79">
        <w:rPr>
          <w:rFonts w:cs="Arial"/>
        </w:rPr>
        <w:t xml:space="preserve">The fiction allegedly lay in the </w:t>
      </w:r>
      <w:r w:rsidR="00786888" w:rsidRPr="00981A79">
        <w:rPr>
          <w:rFonts w:cs="Arial"/>
        </w:rPr>
        <w:lastRenderedPageBreak/>
        <w:t xml:space="preserve">characterization of smelted Krugerrands as </w:t>
      </w:r>
      <w:r w:rsidR="00436DE8" w:rsidRPr="00981A79">
        <w:rPr>
          <w:rFonts w:cs="Arial"/>
        </w:rPr>
        <w:t>second-hand</w:t>
      </w:r>
      <w:r w:rsidR="00786888" w:rsidRPr="00981A79">
        <w:rPr>
          <w:rFonts w:cs="Arial"/>
        </w:rPr>
        <w:t xml:space="preserve"> gold jewellery.  This allowed for the claiming of an input tax</w:t>
      </w:r>
      <w:r w:rsidR="00436DE8" w:rsidRPr="00981A79">
        <w:rPr>
          <w:rFonts w:cs="Arial"/>
        </w:rPr>
        <w:t xml:space="preserve"> which, without the fiction, would not arise</w:t>
      </w:r>
      <w:r w:rsidR="00786888" w:rsidRPr="00981A79">
        <w:rPr>
          <w:rFonts w:cs="Arial"/>
        </w:rPr>
        <w:t>.</w:t>
      </w:r>
    </w:p>
    <w:p w14:paraId="1BCEDB65" w14:textId="2FEC8291" w:rsidR="00AD5D13" w:rsidRPr="00981A79" w:rsidRDefault="00981A79" w:rsidP="00981A79">
      <w:pPr>
        <w:spacing w:after="240" w:line="360" w:lineRule="auto"/>
        <w:ind w:left="720" w:hanging="720"/>
        <w:jc w:val="both"/>
        <w:rPr>
          <w:rFonts w:cs="Arial"/>
        </w:rPr>
      </w:pPr>
      <w:r w:rsidRPr="00083B46">
        <w:rPr>
          <w:rFonts w:ascii="Arial" w:eastAsia="Calibri" w:hAnsi="Arial" w:cs="Arial"/>
          <w:lang w:val="en-ZA"/>
        </w:rPr>
        <w:t>[32]</w:t>
      </w:r>
      <w:r w:rsidRPr="00083B46">
        <w:rPr>
          <w:rFonts w:ascii="Arial" w:eastAsia="Calibri" w:hAnsi="Arial" w:cs="Arial"/>
          <w:lang w:val="en-ZA"/>
        </w:rPr>
        <w:tab/>
      </w:r>
      <w:r w:rsidR="002C44C1" w:rsidRPr="00981A79">
        <w:rPr>
          <w:rFonts w:cs="Arial"/>
        </w:rPr>
        <w:t xml:space="preserve">It is SARS' case that </w:t>
      </w:r>
      <w:r w:rsidR="004139B9" w:rsidRPr="00981A79">
        <w:rPr>
          <w:rFonts w:cs="Arial"/>
        </w:rPr>
        <w:t>the taxpayer</w:t>
      </w:r>
      <w:r w:rsidR="002C44C1" w:rsidRPr="00981A79">
        <w:rPr>
          <w:rFonts w:cs="Arial"/>
        </w:rPr>
        <w:t xml:space="preserve"> was aware that its supplies consisted of smelted Krugerrands and that the transactions were facilitated by fictitious tax invoices that generated the unlawful margin</w:t>
      </w:r>
      <w:r w:rsidR="00436DE8" w:rsidRPr="00981A79">
        <w:rPr>
          <w:rFonts w:cs="Arial"/>
        </w:rPr>
        <w:t>. This</w:t>
      </w:r>
      <w:r w:rsidR="00511A5A" w:rsidRPr="00981A79">
        <w:rPr>
          <w:rFonts w:cs="Arial"/>
        </w:rPr>
        <w:t>,</w:t>
      </w:r>
      <w:r w:rsidR="00436DE8" w:rsidRPr="00981A79">
        <w:rPr>
          <w:rFonts w:cs="Arial"/>
        </w:rPr>
        <w:t xml:space="preserve"> it is alleged</w:t>
      </w:r>
      <w:r w:rsidR="00083B46" w:rsidRPr="00981A79">
        <w:rPr>
          <w:rFonts w:cs="Arial"/>
        </w:rPr>
        <w:t>,</w:t>
      </w:r>
      <w:r w:rsidR="002C44C1" w:rsidRPr="00981A79">
        <w:rPr>
          <w:rFonts w:cs="Arial"/>
        </w:rPr>
        <w:t xml:space="preserve"> </w:t>
      </w:r>
      <w:r w:rsidR="00436DE8" w:rsidRPr="00981A79">
        <w:rPr>
          <w:rFonts w:cs="Arial"/>
        </w:rPr>
        <w:t>enabled</w:t>
      </w:r>
      <w:r w:rsidR="002C44C1" w:rsidRPr="00981A79">
        <w:rPr>
          <w:rFonts w:cs="Arial"/>
        </w:rPr>
        <w:t xml:space="preserve"> both </w:t>
      </w:r>
      <w:r w:rsidR="00273753" w:rsidRPr="00981A79">
        <w:rPr>
          <w:rFonts w:cs="Arial"/>
        </w:rPr>
        <w:t>the</w:t>
      </w:r>
      <w:r w:rsidR="004139B9" w:rsidRPr="00981A79">
        <w:rPr>
          <w:rFonts w:cs="Arial"/>
        </w:rPr>
        <w:t xml:space="preserve"> taxpayer</w:t>
      </w:r>
      <w:r w:rsidR="002C44C1" w:rsidRPr="00981A79">
        <w:rPr>
          <w:rFonts w:cs="Arial"/>
        </w:rPr>
        <w:t xml:space="preserve">'s suppliers and </w:t>
      </w:r>
      <w:r w:rsidR="00273753" w:rsidRPr="00981A79">
        <w:rPr>
          <w:rFonts w:cs="Arial"/>
        </w:rPr>
        <w:t>the</w:t>
      </w:r>
      <w:r w:rsidR="004139B9" w:rsidRPr="00981A79">
        <w:rPr>
          <w:rFonts w:cs="Arial"/>
        </w:rPr>
        <w:t xml:space="preserve"> taxpayer</w:t>
      </w:r>
      <w:r w:rsidR="002C44C1" w:rsidRPr="00981A79">
        <w:rPr>
          <w:rFonts w:cs="Arial"/>
        </w:rPr>
        <w:t xml:space="preserve"> to buy and sell the gold below the spot price of gold. </w:t>
      </w:r>
      <w:r w:rsidR="004139B9" w:rsidRPr="00981A79">
        <w:rPr>
          <w:rFonts w:cs="Arial"/>
        </w:rPr>
        <w:t>The taxpayer</w:t>
      </w:r>
      <w:r w:rsidR="002C44C1" w:rsidRPr="00981A79">
        <w:rPr>
          <w:rFonts w:cs="Arial"/>
        </w:rPr>
        <w:t xml:space="preserve"> thus shared in the unlawful input tax claim and its VAT refund is based thereon.</w:t>
      </w:r>
      <w:r w:rsidR="00B941D3" w:rsidRPr="00981A79">
        <w:rPr>
          <w:rFonts w:cs="Arial"/>
        </w:rPr>
        <w:t xml:space="preserve"> </w:t>
      </w:r>
    </w:p>
    <w:p w14:paraId="69C37D11" w14:textId="229C7C06" w:rsidR="00F15C8D" w:rsidRPr="00981A79" w:rsidRDefault="00981A79" w:rsidP="00981A79">
      <w:pPr>
        <w:spacing w:after="240" w:line="360" w:lineRule="auto"/>
        <w:ind w:left="720" w:hanging="720"/>
        <w:jc w:val="both"/>
        <w:rPr>
          <w:rFonts w:cs="Arial"/>
        </w:rPr>
      </w:pPr>
      <w:r w:rsidRPr="00B1210B">
        <w:rPr>
          <w:rFonts w:ascii="Arial" w:eastAsia="Calibri" w:hAnsi="Arial" w:cs="Arial"/>
          <w:lang w:val="en-ZA"/>
        </w:rPr>
        <w:t>[33]</w:t>
      </w:r>
      <w:r w:rsidRPr="00B1210B">
        <w:rPr>
          <w:rFonts w:ascii="Arial" w:eastAsia="Calibri" w:hAnsi="Arial" w:cs="Arial"/>
          <w:lang w:val="en-ZA"/>
        </w:rPr>
        <w:tab/>
      </w:r>
      <w:r w:rsidR="00893CB0" w:rsidRPr="00981A79">
        <w:rPr>
          <w:rFonts w:cs="Arial"/>
        </w:rPr>
        <w:t>K</w:t>
      </w:r>
      <w:r w:rsidR="00AD5D13" w:rsidRPr="00981A79">
        <w:rPr>
          <w:rFonts w:cs="Arial"/>
        </w:rPr>
        <w:t>ruger</w:t>
      </w:r>
      <w:r w:rsidR="00F15C8D" w:rsidRPr="00981A79">
        <w:rPr>
          <w:rFonts w:cs="Arial"/>
        </w:rPr>
        <w:t>rands</w:t>
      </w:r>
      <w:r w:rsidR="002709D8" w:rsidRPr="00981A79">
        <w:rPr>
          <w:rFonts w:cs="Arial"/>
        </w:rPr>
        <w:t>, which are legal tender,</w:t>
      </w:r>
      <w:r w:rsidR="00F15C8D" w:rsidRPr="00981A79">
        <w:rPr>
          <w:rFonts w:cs="Arial"/>
        </w:rPr>
        <w:t xml:space="preserve"> can only be sold for profit</w:t>
      </w:r>
      <w:r w:rsidR="000F5E78" w:rsidRPr="00981A79">
        <w:rPr>
          <w:rFonts w:cs="Arial"/>
        </w:rPr>
        <w:t xml:space="preserve"> (</w:t>
      </w:r>
      <w:r w:rsidR="00F15C8D" w:rsidRPr="00981A79">
        <w:rPr>
          <w:rFonts w:cs="Arial"/>
        </w:rPr>
        <w:t>i</w:t>
      </w:r>
      <w:r w:rsidR="000F5E78" w:rsidRPr="00981A79">
        <w:rPr>
          <w:rFonts w:cs="Arial"/>
        </w:rPr>
        <w:t>.</w:t>
      </w:r>
      <w:r w:rsidR="00F15C8D" w:rsidRPr="00981A79">
        <w:rPr>
          <w:rFonts w:cs="Arial"/>
        </w:rPr>
        <w:t>e</w:t>
      </w:r>
      <w:r w:rsidR="000F5E78" w:rsidRPr="00981A79">
        <w:rPr>
          <w:rFonts w:cs="Arial"/>
        </w:rPr>
        <w:t>.</w:t>
      </w:r>
      <w:r w:rsidR="00F15C8D" w:rsidRPr="00981A79">
        <w:rPr>
          <w:rFonts w:cs="Arial"/>
        </w:rPr>
        <w:t xml:space="preserve"> below t</w:t>
      </w:r>
      <w:r w:rsidR="00BD2E38" w:rsidRPr="00981A79">
        <w:rPr>
          <w:rFonts w:cs="Arial"/>
        </w:rPr>
        <w:t>he</w:t>
      </w:r>
      <w:r w:rsidR="00F15C8D" w:rsidRPr="00981A79">
        <w:rPr>
          <w:rFonts w:cs="Arial"/>
        </w:rPr>
        <w:t xml:space="preserve"> spot price) if the transactions are subsidised by unlawful input claims. </w:t>
      </w:r>
      <w:r w:rsidR="00FF3543" w:rsidRPr="00981A79">
        <w:rPr>
          <w:rFonts w:cs="Arial"/>
        </w:rPr>
        <w:t xml:space="preserve">SARS says </w:t>
      </w:r>
      <w:r w:rsidR="004139B9" w:rsidRPr="00981A79">
        <w:rPr>
          <w:rFonts w:cs="Arial"/>
        </w:rPr>
        <w:t>the taxpayer</w:t>
      </w:r>
      <w:r w:rsidR="00F15C8D" w:rsidRPr="00981A79">
        <w:rPr>
          <w:rFonts w:cs="Arial"/>
        </w:rPr>
        <w:t xml:space="preserve"> was aware of this and thus knowingly claimed input tax which it knew it was not entitled to</w:t>
      </w:r>
      <w:r w:rsidR="00E26479" w:rsidRPr="00981A79">
        <w:rPr>
          <w:rFonts w:cs="Arial"/>
        </w:rPr>
        <w:t>;</w:t>
      </w:r>
      <w:r w:rsidR="00F15C8D" w:rsidRPr="00981A79">
        <w:rPr>
          <w:rFonts w:cs="Arial"/>
        </w:rPr>
        <w:t xml:space="preserve"> </w:t>
      </w:r>
      <w:r w:rsidR="004139B9" w:rsidRPr="00981A79">
        <w:rPr>
          <w:rFonts w:cs="Arial"/>
        </w:rPr>
        <w:t>alternatively,</w:t>
      </w:r>
      <w:r w:rsidR="00F15C8D" w:rsidRPr="00981A79">
        <w:rPr>
          <w:rFonts w:cs="Arial"/>
        </w:rPr>
        <w:t xml:space="preserve"> it was involved in a section 73 scheme.</w:t>
      </w:r>
    </w:p>
    <w:p w14:paraId="0BA1EB0B" w14:textId="1435AFF3" w:rsidR="00F15C8D" w:rsidRPr="00981A79" w:rsidRDefault="00981A79" w:rsidP="00981A79">
      <w:pPr>
        <w:spacing w:after="240" w:line="360" w:lineRule="auto"/>
        <w:ind w:left="720" w:hanging="720"/>
        <w:jc w:val="both"/>
        <w:rPr>
          <w:rFonts w:cs="Arial"/>
        </w:rPr>
      </w:pPr>
      <w:r w:rsidRPr="00B1210B">
        <w:rPr>
          <w:rFonts w:ascii="Arial" w:eastAsia="Calibri" w:hAnsi="Arial" w:cs="Arial"/>
          <w:lang w:val="en-ZA"/>
        </w:rPr>
        <w:t>[34]</w:t>
      </w:r>
      <w:r w:rsidRPr="00B1210B">
        <w:rPr>
          <w:rFonts w:ascii="Arial" w:eastAsia="Calibri" w:hAnsi="Arial" w:cs="Arial"/>
          <w:lang w:val="en-ZA"/>
        </w:rPr>
        <w:tab/>
      </w:r>
      <w:r w:rsidR="00F15C8D" w:rsidRPr="00981A79">
        <w:rPr>
          <w:rFonts w:cs="Arial"/>
        </w:rPr>
        <w:t xml:space="preserve"> </w:t>
      </w:r>
      <w:r w:rsidR="00E26479" w:rsidRPr="00981A79">
        <w:rPr>
          <w:rFonts w:cs="Arial"/>
        </w:rPr>
        <w:t>It</w:t>
      </w:r>
      <w:r w:rsidR="00F15C8D" w:rsidRPr="00981A79">
        <w:rPr>
          <w:rFonts w:cs="Arial"/>
        </w:rPr>
        <w:t xml:space="preserve"> is not a prerequisite for SARS case to be established that </w:t>
      </w:r>
      <w:r w:rsidR="004139B9" w:rsidRPr="00981A79">
        <w:rPr>
          <w:rFonts w:cs="Arial"/>
        </w:rPr>
        <w:t>the taxpayer</w:t>
      </w:r>
      <w:r w:rsidR="00F15C8D" w:rsidRPr="00981A79">
        <w:rPr>
          <w:rFonts w:cs="Arial"/>
        </w:rPr>
        <w:t xml:space="preserve"> needed to have knowledge of the identity of the specific suppliers that generated the fictitious invoices and that colluded </w:t>
      </w:r>
      <w:r w:rsidR="00AD5D13" w:rsidRPr="00981A79">
        <w:rPr>
          <w:rFonts w:cs="Arial"/>
        </w:rPr>
        <w:t>with</w:t>
      </w:r>
      <w:r w:rsidR="00F15C8D" w:rsidRPr="00981A79">
        <w:rPr>
          <w:rFonts w:cs="Arial"/>
        </w:rPr>
        <w:t xml:space="preserve"> its suppliers. SARS must show that </w:t>
      </w:r>
      <w:r w:rsidR="004139B9" w:rsidRPr="00981A79">
        <w:rPr>
          <w:rFonts w:cs="Arial"/>
        </w:rPr>
        <w:t>the taxpayer</w:t>
      </w:r>
      <w:r w:rsidR="00F15C8D" w:rsidRPr="00981A79">
        <w:rPr>
          <w:rFonts w:cs="Arial"/>
        </w:rPr>
        <w:t xml:space="preserve"> knowingly shared </w:t>
      </w:r>
      <w:r w:rsidR="00F93962" w:rsidRPr="00981A79">
        <w:rPr>
          <w:rFonts w:cs="Arial"/>
        </w:rPr>
        <w:t>in the “original sin’ of the input claim.</w:t>
      </w:r>
    </w:p>
    <w:p w14:paraId="5DC2ADC1" w14:textId="642E3A87" w:rsidR="00F93962" w:rsidRPr="00981A79" w:rsidRDefault="00981A79" w:rsidP="00981A79">
      <w:pPr>
        <w:spacing w:after="240" w:line="360" w:lineRule="auto"/>
        <w:ind w:left="720" w:hanging="720"/>
        <w:jc w:val="both"/>
        <w:rPr>
          <w:rFonts w:cs="Arial"/>
        </w:rPr>
      </w:pPr>
      <w:r w:rsidRPr="00B1210B">
        <w:rPr>
          <w:rFonts w:ascii="Arial" w:eastAsia="Calibri" w:hAnsi="Arial" w:cs="Arial"/>
          <w:lang w:val="en-ZA"/>
        </w:rPr>
        <w:t>[35]</w:t>
      </w:r>
      <w:r w:rsidRPr="00B1210B">
        <w:rPr>
          <w:rFonts w:ascii="Arial" w:eastAsia="Calibri" w:hAnsi="Arial" w:cs="Arial"/>
          <w:lang w:val="en-ZA"/>
        </w:rPr>
        <w:tab/>
      </w:r>
      <w:r w:rsidR="004139B9" w:rsidRPr="00981A79">
        <w:rPr>
          <w:rFonts w:cs="Arial"/>
        </w:rPr>
        <w:t>The taxpayer</w:t>
      </w:r>
      <w:r w:rsidR="00F93962" w:rsidRPr="00981A79">
        <w:rPr>
          <w:rFonts w:cs="Arial"/>
        </w:rPr>
        <w:t xml:space="preserve"> purchases its supplies at spot minus 3%</w:t>
      </w:r>
      <w:r w:rsidR="00AD2024" w:rsidRPr="00981A79">
        <w:rPr>
          <w:rFonts w:cs="Arial"/>
        </w:rPr>
        <w:t>. SARS says that this is only possible due to the unlawful input tax which it recovers. Th</w:t>
      </w:r>
      <w:r w:rsidR="00654231" w:rsidRPr="00981A79">
        <w:rPr>
          <w:rFonts w:cs="Arial"/>
        </w:rPr>
        <w:t>us</w:t>
      </w:r>
      <w:r w:rsidR="00642D31" w:rsidRPr="00981A79">
        <w:rPr>
          <w:rFonts w:cs="Arial"/>
        </w:rPr>
        <w:t>,</w:t>
      </w:r>
      <w:r w:rsidR="00654231" w:rsidRPr="00981A79">
        <w:rPr>
          <w:rFonts w:cs="Arial"/>
        </w:rPr>
        <w:t xml:space="preserve"> it says that the</w:t>
      </w:r>
      <w:r w:rsidR="00AD2024" w:rsidRPr="00981A79">
        <w:rPr>
          <w:rFonts w:cs="Arial"/>
        </w:rPr>
        <w:t xml:space="preserve"> three suppliers are not independent third parties.</w:t>
      </w:r>
    </w:p>
    <w:p w14:paraId="1BDA9284" w14:textId="02D81DB9" w:rsidR="000F5E78" w:rsidRPr="00981A79" w:rsidRDefault="00981A79" w:rsidP="00981A79">
      <w:pPr>
        <w:spacing w:after="240" w:line="360" w:lineRule="auto"/>
        <w:ind w:left="720" w:hanging="720"/>
        <w:jc w:val="both"/>
        <w:rPr>
          <w:rFonts w:cs="Arial"/>
        </w:rPr>
      </w:pPr>
      <w:r w:rsidRPr="001E6699">
        <w:rPr>
          <w:rFonts w:ascii="Arial" w:eastAsia="Calibri" w:hAnsi="Arial" w:cs="Arial"/>
          <w:lang w:val="en-ZA"/>
        </w:rPr>
        <w:t>[36]</w:t>
      </w:r>
      <w:r w:rsidRPr="001E6699">
        <w:rPr>
          <w:rFonts w:ascii="Arial" w:eastAsia="Calibri" w:hAnsi="Arial" w:cs="Arial"/>
          <w:lang w:val="en-ZA"/>
        </w:rPr>
        <w:tab/>
      </w:r>
      <w:r w:rsidR="001763BB" w:rsidRPr="00981A79">
        <w:rPr>
          <w:rFonts w:cs="Arial"/>
        </w:rPr>
        <w:t xml:space="preserve">Put differently, </w:t>
      </w:r>
      <w:r w:rsidR="00AD2024" w:rsidRPr="00981A79">
        <w:rPr>
          <w:rFonts w:cs="Arial"/>
        </w:rPr>
        <w:t xml:space="preserve">SARS contends that </w:t>
      </w:r>
      <w:r w:rsidR="00DD145B" w:rsidRPr="00981A79">
        <w:rPr>
          <w:rFonts w:cs="Arial"/>
        </w:rPr>
        <w:t xml:space="preserve">the business of </w:t>
      </w:r>
      <w:r w:rsidR="004139B9" w:rsidRPr="00981A79">
        <w:rPr>
          <w:rFonts w:cs="Arial"/>
        </w:rPr>
        <w:t>the taxpayer</w:t>
      </w:r>
      <w:r w:rsidR="00DD145B" w:rsidRPr="00981A79">
        <w:rPr>
          <w:rFonts w:cs="Arial"/>
        </w:rPr>
        <w:t xml:space="preserve"> could not be profitable but </w:t>
      </w:r>
      <w:r w:rsidR="00AD5D13" w:rsidRPr="00981A79">
        <w:rPr>
          <w:rFonts w:cs="Arial"/>
        </w:rPr>
        <w:t xml:space="preserve">for the recovery of input tax </w:t>
      </w:r>
      <w:r w:rsidR="00DD145B" w:rsidRPr="00981A79">
        <w:rPr>
          <w:rFonts w:cs="Arial"/>
        </w:rPr>
        <w:t xml:space="preserve">that it knows it is not entitled to claim. SARS says that </w:t>
      </w:r>
      <w:r w:rsidR="004139B9" w:rsidRPr="00981A79">
        <w:rPr>
          <w:rFonts w:cs="Arial"/>
        </w:rPr>
        <w:t>the taxpayer</w:t>
      </w:r>
      <w:r w:rsidR="00DD145B" w:rsidRPr="00981A79">
        <w:rPr>
          <w:rFonts w:cs="Arial"/>
        </w:rPr>
        <w:t xml:space="preserve"> is not</w:t>
      </w:r>
      <w:r w:rsidR="00381EC1" w:rsidRPr="00981A79">
        <w:rPr>
          <w:rFonts w:cs="Arial"/>
        </w:rPr>
        <w:t>,</w:t>
      </w:r>
      <w:r w:rsidR="00DD145B" w:rsidRPr="00981A79">
        <w:rPr>
          <w:rFonts w:cs="Arial"/>
        </w:rPr>
        <w:t xml:space="preserve"> as it alleges</w:t>
      </w:r>
      <w:r w:rsidR="00381EC1" w:rsidRPr="00981A79">
        <w:rPr>
          <w:rFonts w:cs="Arial"/>
        </w:rPr>
        <w:t>,</w:t>
      </w:r>
      <w:r w:rsidR="00DD145B" w:rsidRPr="00981A79">
        <w:rPr>
          <w:rFonts w:cs="Arial"/>
        </w:rPr>
        <w:t xml:space="preserve"> collecting VAT for SARS. </w:t>
      </w:r>
      <w:r w:rsidR="004139B9" w:rsidRPr="00981A79">
        <w:rPr>
          <w:rFonts w:cs="Arial"/>
        </w:rPr>
        <w:t>Instead,</w:t>
      </w:r>
      <w:r w:rsidR="00DD145B" w:rsidRPr="00981A79">
        <w:rPr>
          <w:rFonts w:cs="Arial"/>
        </w:rPr>
        <w:t xml:space="preserve"> </w:t>
      </w:r>
      <w:r w:rsidR="00381EC1" w:rsidRPr="00981A79">
        <w:rPr>
          <w:rFonts w:cs="Arial"/>
        </w:rPr>
        <w:t xml:space="preserve">SARS says </w:t>
      </w:r>
      <w:r w:rsidR="00DD145B" w:rsidRPr="00981A79">
        <w:rPr>
          <w:rFonts w:cs="Arial"/>
        </w:rPr>
        <w:t xml:space="preserve">it is participating in the creation of an illegitimate margin. </w:t>
      </w:r>
    </w:p>
    <w:p w14:paraId="2B3390F8" w14:textId="0B9B1CB7" w:rsidR="0012764D" w:rsidRPr="00981A79" w:rsidRDefault="00981A79" w:rsidP="00981A79">
      <w:pPr>
        <w:spacing w:after="240" w:line="360" w:lineRule="auto"/>
        <w:ind w:left="720" w:hanging="720"/>
        <w:jc w:val="both"/>
        <w:rPr>
          <w:rFonts w:cs="Arial"/>
        </w:rPr>
      </w:pPr>
      <w:r w:rsidRPr="00B1210B">
        <w:rPr>
          <w:rFonts w:ascii="Arial" w:eastAsia="Calibri" w:hAnsi="Arial" w:cs="Arial"/>
          <w:lang w:val="en-ZA"/>
        </w:rPr>
        <w:t>[37]</w:t>
      </w:r>
      <w:r w:rsidRPr="00B1210B">
        <w:rPr>
          <w:rFonts w:ascii="Arial" w:eastAsia="Calibri" w:hAnsi="Arial" w:cs="Arial"/>
          <w:lang w:val="en-ZA"/>
        </w:rPr>
        <w:tab/>
      </w:r>
      <w:r w:rsidR="0012764D" w:rsidRPr="00981A79">
        <w:rPr>
          <w:rFonts w:cs="Arial"/>
        </w:rPr>
        <w:t>T</w:t>
      </w:r>
      <w:r w:rsidR="00E1413C" w:rsidRPr="00981A79">
        <w:rPr>
          <w:rFonts w:cs="Arial"/>
        </w:rPr>
        <w:t>he</w:t>
      </w:r>
      <w:r w:rsidR="0012764D" w:rsidRPr="00981A79">
        <w:rPr>
          <w:rFonts w:cs="Arial"/>
        </w:rPr>
        <w:t xml:space="preserve"> case of SARS against </w:t>
      </w:r>
      <w:r w:rsidR="004139B9" w:rsidRPr="00981A79">
        <w:rPr>
          <w:rFonts w:cs="Arial"/>
        </w:rPr>
        <w:t>the taxpayer</w:t>
      </w:r>
      <w:r w:rsidR="006A190F" w:rsidRPr="00981A79">
        <w:rPr>
          <w:rFonts w:cs="Arial"/>
        </w:rPr>
        <w:t xml:space="preserve"> is </w:t>
      </w:r>
      <w:r w:rsidR="00E1413C" w:rsidRPr="00981A79">
        <w:rPr>
          <w:rFonts w:cs="Arial"/>
        </w:rPr>
        <w:t xml:space="preserve">thus </w:t>
      </w:r>
      <w:r w:rsidR="006A190F" w:rsidRPr="00981A79">
        <w:rPr>
          <w:rFonts w:cs="Arial"/>
        </w:rPr>
        <w:t>circumscribed</w:t>
      </w:r>
      <w:r w:rsidR="0051089E" w:rsidRPr="00981A79">
        <w:rPr>
          <w:rFonts w:cs="Arial"/>
        </w:rPr>
        <w:t xml:space="preserve">: the business </w:t>
      </w:r>
      <w:r w:rsidR="00CD0893" w:rsidRPr="00981A79">
        <w:rPr>
          <w:rFonts w:cs="Arial"/>
        </w:rPr>
        <w:t xml:space="preserve">is a </w:t>
      </w:r>
      <w:r w:rsidR="00BA16BB" w:rsidRPr="00981A79">
        <w:rPr>
          <w:rFonts w:cs="Arial"/>
        </w:rPr>
        <w:t>chimera</w:t>
      </w:r>
      <w:r w:rsidR="00420639" w:rsidRPr="00981A79">
        <w:rPr>
          <w:rFonts w:cs="Arial"/>
        </w:rPr>
        <w:t xml:space="preserve"> from its </w:t>
      </w:r>
      <w:r w:rsidR="00FA0BE5" w:rsidRPr="00981A79">
        <w:rPr>
          <w:rFonts w:cs="Arial"/>
        </w:rPr>
        <w:t>inception</w:t>
      </w:r>
      <w:r w:rsidR="00420639" w:rsidRPr="00981A79">
        <w:rPr>
          <w:rFonts w:cs="Arial"/>
        </w:rPr>
        <w:t xml:space="preserve"> to the present</w:t>
      </w:r>
      <w:r w:rsidR="00F23378" w:rsidRPr="00981A79">
        <w:rPr>
          <w:rFonts w:cs="Arial"/>
        </w:rPr>
        <w:t>; it has never been an independent</w:t>
      </w:r>
      <w:r w:rsidR="00420639" w:rsidRPr="00981A79">
        <w:rPr>
          <w:rFonts w:cs="Arial"/>
        </w:rPr>
        <w:t xml:space="preserve"> commercial </w:t>
      </w:r>
      <w:r w:rsidR="0070618D" w:rsidRPr="00981A79">
        <w:rPr>
          <w:rFonts w:cs="Arial"/>
        </w:rPr>
        <w:t>enterprise</w:t>
      </w:r>
      <w:r w:rsidR="00C97EF3" w:rsidRPr="00981A79">
        <w:rPr>
          <w:rFonts w:cs="Arial"/>
        </w:rPr>
        <w:t>.</w:t>
      </w:r>
    </w:p>
    <w:p w14:paraId="744D4AB7" w14:textId="3E59C1DE" w:rsidR="0096507C" w:rsidRPr="00981A79" w:rsidRDefault="00981A79" w:rsidP="00981A79">
      <w:pPr>
        <w:spacing w:after="240" w:line="360" w:lineRule="auto"/>
        <w:ind w:left="720" w:hanging="720"/>
        <w:jc w:val="both"/>
        <w:rPr>
          <w:rFonts w:cs="Arial"/>
        </w:rPr>
      </w:pPr>
      <w:r w:rsidRPr="00B1210B">
        <w:rPr>
          <w:rFonts w:ascii="Arial" w:eastAsia="Calibri" w:hAnsi="Arial" w:cs="Arial"/>
          <w:lang w:val="en-ZA"/>
        </w:rPr>
        <w:t>[38]</w:t>
      </w:r>
      <w:r w:rsidRPr="00B1210B">
        <w:rPr>
          <w:rFonts w:ascii="Arial" w:eastAsia="Calibri" w:hAnsi="Arial" w:cs="Arial"/>
          <w:lang w:val="en-ZA"/>
        </w:rPr>
        <w:tab/>
      </w:r>
      <w:r w:rsidR="00994C34" w:rsidRPr="00981A79">
        <w:rPr>
          <w:rFonts w:cs="Arial"/>
        </w:rPr>
        <w:t xml:space="preserve">The </w:t>
      </w:r>
      <w:r w:rsidR="0070618D" w:rsidRPr="00981A79">
        <w:rPr>
          <w:rFonts w:cs="Arial"/>
        </w:rPr>
        <w:t xml:space="preserve">case </w:t>
      </w:r>
      <w:r w:rsidR="00F769D0" w:rsidRPr="00981A79">
        <w:rPr>
          <w:rFonts w:cs="Arial"/>
        </w:rPr>
        <w:t xml:space="preserve">of </w:t>
      </w:r>
      <w:r w:rsidR="004139B9" w:rsidRPr="00981A79">
        <w:rPr>
          <w:rFonts w:cs="Arial"/>
        </w:rPr>
        <w:t>the taxpayer</w:t>
      </w:r>
      <w:r w:rsidR="00C017A6" w:rsidRPr="00981A79">
        <w:rPr>
          <w:rFonts w:cs="Arial"/>
        </w:rPr>
        <w:t xml:space="preserve"> is simple. It says that it has followed</w:t>
      </w:r>
      <w:r w:rsidR="00EA0E89" w:rsidRPr="00981A79">
        <w:rPr>
          <w:rFonts w:cs="Arial"/>
        </w:rPr>
        <w:t xml:space="preserve"> all required </w:t>
      </w:r>
      <w:r w:rsidR="000F5E78" w:rsidRPr="00981A79">
        <w:rPr>
          <w:rFonts w:cs="Arial"/>
        </w:rPr>
        <w:t xml:space="preserve">industry </w:t>
      </w:r>
      <w:r w:rsidR="00240148" w:rsidRPr="00981A79">
        <w:rPr>
          <w:rFonts w:cs="Arial"/>
        </w:rPr>
        <w:t>protocols</w:t>
      </w:r>
      <w:r w:rsidR="00EA0E89" w:rsidRPr="00981A79">
        <w:rPr>
          <w:rFonts w:cs="Arial"/>
        </w:rPr>
        <w:t xml:space="preserve"> </w:t>
      </w:r>
      <w:r w:rsidR="00B45C6E" w:rsidRPr="00981A79">
        <w:rPr>
          <w:rFonts w:cs="Arial"/>
        </w:rPr>
        <w:t xml:space="preserve">and has </w:t>
      </w:r>
      <w:r w:rsidR="00F420FB" w:rsidRPr="00981A79">
        <w:rPr>
          <w:rFonts w:cs="Arial"/>
        </w:rPr>
        <w:t>also been subject to</w:t>
      </w:r>
      <w:r w:rsidR="008121C3" w:rsidRPr="00981A79">
        <w:rPr>
          <w:rFonts w:cs="Arial"/>
        </w:rPr>
        <w:t xml:space="preserve"> self-imposed</w:t>
      </w:r>
      <w:r w:rsidR="00F420FB" w:rsidRPr="00981A79">
        <w:rPr>
          <w:rFonts w:cs="Arial"/>
        </w:rPr>
        <w:t xml:space="preserve"> checks</w:t>
      </w:r>
      <w:r w:rsidR="00111C62" w:rsidRPr="00981A79">
        <w:rPr>
          <w:rFonts w:cs="Arial"/>
        </w:rPr>
        <w:t>. Accordingly</w:t>
      </w:r>
      <w:r w:rsidR="003338CB" w:rsidRPr="00981A79">
        <w:rPr>
          <w:rFonts w:cs="Arial"/>
        </w:rPr>
        <w:t xml:space="preserve">, </w:t>
      </w:r>
      <w:r w:rsidR="00111C62" w:rsidRPr="00981A79">
        <w:rPr>
          <w:rFonts w:cs="Arial"/>
        </w:rPr>
        <w:t xml:space="preserve">it </w:t>
      </w:r>
      <w:r w:rsidR="00B3382F" w:rsidRPr="00981A79">
        <w:rPr>
          <w:rFonts w:cs="Arial"/>
        </w:rPr>
        <w:t>says that it cannot be held responsib</w:t>
      </w:r>
      <w:r w:rsidR="000A36E4" w:rsidRPr="00981A79">
        <w:rPr>
          <w:rFonts w:cs="Arial"/>
        </w:rPr>
        <w:t xml:space="preserve">le for </w:t>
      </w:r>
      <w:r w:rsidR="00BD2E38" w:rsidRPr="00981A79">
        <w:rPr>
          <w:rFonts w:cs="Arial"/>
        </w:rPr>
        <w:t>any</w:t>
      </w:r>
      <w:r w:rsidR="000A36E4" w:rsidRPr="00981A79">
        <w:rPr>
          <w:rFonts w:cs="Arial"/>
        </w:rPr>
        <w:t xml:space="preserve"> criminality of </w:t>
      </w:r>
      <w:r w:rsidR="008D1EED" w:rsidRPr="00981A79">
        <w:rPr>
          <w:rFonts w:cs="Arial"/>
        </w:rPr>
        <w:t>its suppliers. It sta</w:t>
      </w:r>
      <w:r w:rsidR="00470A70" w:rsidRPr="00981A79">
        <w:rPr>
          <w:rFonts w:cs="Arial"/>
        </w:rPr>
        <w:t>tes the following in its rule 32 statement</w:t>
      </w:r>
      <w:r w:rsidR="0016347F" w:rsidRPr="00981A79">
        <w:rPr>
          <w:rFonts w:cs="Arial"/>
        </w:rPr>
        <w:t>:</w:t>
      </w:r>
    </w:p>
    <w:p w14:paraId="54383967" w14:textId="6472C069" w:rsidR="0016347F" w:rsidRPr="000F5E78" w:rsidRDefault="0016347F" w:rsidP="0051089E">
      <w:pPr>
        <w:spacing w:after="240" w:line="360" w:lineRule="auto"/>
        <w:ind w:left="1440"/>
        <w:jc w:val="both"/>
        <w:rPr>
          <w:rFonts w:ascii="Arial" w:hAnsi="Arial" w:cs="Arial"/>
          <w:sz w:val="22"/>
          <w:szCs w:val="22"/>
        </w:rPr>
      </w:pPr>
      <w:r w:rsidRPr="000F5E78">
        <w:rPr>
          <w:rFonts w:ascii="Arial" w:hAnsi="Arial" w:cs="Arial"/>
          <w:sz w:val="22"/>
          <w:szCs w:val="22"/>
        </w:rPr>
        <w:lastRenderedPageBreak/>
        <w:t>“</w:t>
      </w:r>
      <w:r w:rsidR="004139B9">
        <w:rPr>
          <w:rFonts w:ascii="Arial" w:hAnsi="Arial" w:cs="Arial"/>
          <w:sz w:val="22"/>
          <w:szCs w:val="22"/>
        </w:rPr>
        <w:t>The taxpayer</w:t>
      </w:r>
      <w:r w:rsidRPr="000F5E78">
        <w:rPr>
          <w:rFonts w:ascii="Arial" w:hAnsi="Arial" w:cs="Arial"/>
          <w:sz w:val="22"/>
          <w:szCs w:val="22"/>
        </w:rPr>
        <w:t xml:space="preserve"> is a commercial concern and not a crime fighting organisation and can only do what it reasonably can in order to ensure that it transacts with suppliers who operate lawfully and ethically. In this regard, it requires, as an express term of the relevant supply agreement, that all of its suppliers sign declaration forms in which the source of the supplied goods is disclosed.”</w:t>
      </w:r>
    </w:p>
    <w:p w14:paraId="4C99ED53" w14:textId="7BF5B0CE" w:rsidR="00674AF5" w:rsidRPr="00981A79" w:rsidRDefault="00981A79" w:rsidP="00981A79">
      <w:pPr>
        <w:spacing w:after="240" w:line="360" w:lineRule="auto"/>
        <w:ind w:left="720" w:hanging="720"/>
        <w:jc w:val="both"/>
        <w:rPr>
          <w:rFonts w:cs="Arial"/>
        </w:rPr>
      </w:pPr>
      <w:r w:rsidRPr="0051089E">
        <w:rPr>
          <w:rFonts w:ascii="Arial" w:eastAsia="Calibri" w:hAnsi="Arial" w:cs="Arial"/>
          <w:lang w:val="en-ZA"/>
        </w:rPr>
        <w:t>[39]</w:t>
      </w:r>
      <w:r w:rsidRPr="0051089E">
        <w:rPr>
          <w:rFonts w:ascii="Arial" w:eastAsia="Calibri" w:hAnsi="Arial" w:cs="Arial"/>
          <w:lang w:val="en-ZA"/>
        </w:rPr>
        <w:tab/>
      </w:r>
      <w:r w:rsidR="004139B9" w:rsidRPr="00981A79">
        <w:rPr>
          <w:rFonts w:cs="Arial"/>
        </w:rPr>
        <w:t>The taxpayer</w:t>
      </w:r>
      <w:r w:rsidR="004F7E74" w:rsidRPr="00981A79">
        <w:rPr>
          <w:rFonts w:cs="Arial"/>
        </w:rPr>
        <w:t xml:space="preserve"> furthermore raises legal arguments </w:t>
      </w:r>
      <w:r w:rsidR="00147C74" w:rsidRPr="00981A79">
        <w:rPr>
          <w:rFonts w:cs="Arial"/>
        </w:rPr>
        <w:t xml:space="preserve">in relation to </w:t>
      </w:r>
      <w:r w:rsidR="00AC613A" w:rsidRPr="00981A79">
        <w:rPr>
          <w:rFonts w:cs="Arial"/>
        </w:rPr>
        <w:t xml:space="preserve">the section 73 </w:t>
      </w:r>
      <w:r w:rsidR="004A38FA" w:rsidRPr="00981A79">
        <w:rPr>
          <w:rFonts w:cs="Arial"/>
        </w:rPr>
        <w:t>scheme</w:t>
      </w:r>
      <w:r w:rsidR="009409BF" w:rsidRPr="00981A79">
        <w:rPr>
          <w:rFonts w:cs="Arial"/>
        </w:rPr>
        <w:t xml:space="preserve"> which have </w:t>
      </w:r>
      <w:r w:rsidR="00415238" w:rsidRPr="00981A79">
        <w:rPr>
          <w:rFonts w:cs="Arial"/>
        </w:rPr>
        <w:t xml:space="preserve">little if </w:t>
      </w:r>
      <w:r w:rsidR="003338CB" w:rsidRPr="00981A79">
        <w:rPr>
          <w:rFonts w:cs="Arial"/>
        </w:rPr>
        <w:t>anything to</w:t>
      </w:r>
      <w:r w:rsidR="00415238" w:rsidRPr="00981A79">
        <w:rPr>
          <w:rFonts w:cs="Arial"/>
        </w:rPr>
        <w:t xml:space="preserve"> do </w:t>
      </w:r>
      <w:r w:rsidR="003338CB" w:rsidRPr="00981A79">
        <w:rPr>
          <w:rFonts w:cs="Arial"/>
        </w:rPr>
        <w:t>with documentary</w:t>
      </w:r>
      <w:r w:rsidR="003A76F3" w:rsidRPr="00981A79">
        <w:rPr>
          <w:rFonts w:cs="Arial"/>
        </w:rPr>
        <w:t xml:space="preserve"> </w:t>
      </w:r>
      <w:r w:rsidR="00415238" w:rsidRPr="00981A79">
        <w:rPr>
          <w:rFonts w:cs="Arial"/>
        </w:rPr>
        <w:t>evidence.</w:t>
      </w:r>
    </w:p>
    <w:p w14:paraId="483257FA" w14:textId="77777777" w:rsidR="00C61F34" w:rsidRPr="000F5E78" w:rsidRDefault="00BE4790" w:rsidP="001106E9">
      <w:pPr>
        <w:spacing w:after="240" w:line="360" w:lineRule="auto"/>
        <w:ind w:left="720" w:hanging="720"/>
        <w:jc w:val="both"/>
        <w:rPr>
          <w:rFonts w:cs="Arial"/>
          <w:i/>
          <w:iCs/>
        </w:rPr>
      </w:pPr>
      <w:r w:rsidRPr="000F5E78">
        <w:rPr>
          <w:rFonts w:cs="Arial"/>
          <w:i/>
          <w:iCs/>
        </w:rPr>
        <w:t>A</w:t>
      </w:r>
      <w:r w:rsidR="00A87677" w:rsidRPr="000F5E78">
        <w:rPr>
          <w:rFonts w:cs="Arial"/>
          <w:i/>
          <w:iCs/>
        </w:rPr>
        <w:t>pplication</w:t>
      </w:r>
      <w:r w:rsidR="000F5E78" w:rsidRPr="000F5E78">
        <w:rPr>
          <w:rFonts w:cs="Arial"/>
          <w:i/>
          <w:iCs/>
        </w:rPr>
        <w:t xml:space="preserve"> </w:t>
      </w:r>
      <w:r w:rsidRPr="000F5E78">
        <w:rPr>
          <w:rFonts w:cs="Arial"/>
          <w:i/>
          <w:iCs/>
        </w:rPr>
        <w:t xml:space="preserve">of </w:t>
      </w:r>
      <w:r w:rsidR="004139B9">
        <w:rPr>
          <w:rFonts w:cs="Arial"/>
          <w:i/>
          <w:iCs/>
        </w:rPr>
        <w:t>the taxpayer</w:t>
      </w:r>
      <w:r w:rsidRPr="000F5E78">
        <w:rPr>
          <w:rFonts w:cs="Arial"/>
          <w:i/>
          <w:iCs/>
        </w:rPr>
        <w:t xml:space="preserve"> </w:t>
      </w:r>
      <w:r w:rsidR="00A87677" w:rsidRPr="000F5E78">
        <w:rPr>
          <w:rFonts w:cs="Arial"/>
          <w:i/>
          <w:iCs/>
        </w:rPr>
        <w:t xml:space="preserve">to compel further discovery </w:t>
      </w:r>
      <w:r w:rsidRPr="000F5E78">
        <w:rPr>
          <w:rFonts w:cs="Arial"/>
          <w:i/>
          <w:iCs/>
        </w:rPr>
        <w:t>from SARS</w:t>
      </w:r>
    </w:p>
    <w:p w14:paraId="4E65EEF5" w14:textId="4957E492" w:rsidR="007F5EC6" w:rsidRPr="00981A79" w:rsidRDefault="00981A79" w:rsidP="00981A79">
      <w:pPr>
        <w:spacing w:after="240" w:line="360" w:lineRule="auto"/>
        <w:ind w:left="720" w:hanging="720"/>
        <w:jc w:val="both"/>
        <w:rPr>
          <w:rFonts w:cs="Arial"/>
        </w:rPr>
      </w:pPr>
      <w:r w:rsidRPr="00B1210B">
        <w:rPr>
          <w:rFonts w:ascii="Arial" w:eastAsia="Calibri" w:hAnsi="Arial" w:cs="Arial"/>
          <w:lang w:val="en-ZA"/>
        </w:rPr>
        <w:t>[40]</w:t>
      </w:r>
      <w:r w:rsidRPr="00B1210B">
        <w:rPr>
          <w:rFonts w:ascii="Arial" w:eastAsia="Calibri" w:hAnsi="Arial" w:cs="Arial"/>
          <w:lang w:val="en-ZA"/>
        </w:rPr>
        <w:tab/>
      </w:r>
      <w:r w:rsidR="004139B9" w:rsidRPr="00981A79">
        <w:rPr>
          <w:rFonts w:cs="Arial"/>
        </w:rPr>
        <w:t>The taxpayer</w:t>
      </w:r>
      <w:r w:rsidR="005959EE" w:rsidRPr="00981A79">
        <w:rPr>
          <w:rFonts w:cs="Arial"/>
        </w:rPr>
        <w:t xml:space="preserve"> seeks </w:t>
      </w:r>
      <w:r w:rsidR="002C65FC" w:rsidRPr="00981A79">
        <w:rPr>
          <w:rFonts w:cs="Arial"/>
        </w:rPr>
        <w:t xml:space="preserve">a compendium of </w:t>
      </w:r>
      <w:r w:rsidR="0081083F" w:rsidRPr="00981A79">
        <w:rPr>
          <w:rFonts w:cs="Arial"/>
        </w:rPr>
        <w:t>categories</w:t>
      </w:r>
      <w:r w:rsidR="002B5ECE" w:rsidRPr="00981A79">
        <w:rPr>
          <w:rFonts w:cs="Arial"/>
        </w:rPr>
        <w:t xml:space="preserve"> of documents</w:t>
      </w:r>
      <w:r w:rsidR="00273753" w:rsidRPr="00981A79">
        <w:rPr>
          <w:rFonts w:cs="Arial"/>
        </w:rPr>
        <w:t>,</w:t>
      </w:r>
      <w:r w:rsidR="002B5ECE" w:rsidRPr="00981A79">
        <w:rPr>
          <w:rFonts w:cs="Arial"/>
        </w:rPr>
        <w:t xml:space="preserve"> including </w:t>
      </w:r>
      <w:r w:rsidR="00044398" w:rsidRPr="00981A79">
        <w:rPr>
          <w:rFonts w:cs="Arial"/>
        </w:rPr>
        <w:t xml:space="preserve">correspondence reports; memoranda; directives; policy documents; and minutes of meetings, </w:t>
      </w:r>
      <w:r w:rsidR="00514417" w:rsidRPr="00981A79">
        <w:rPr>
          <w:rFonts w:cs="Arial"/>
        </w:rPr>
        <w:t xml:space="preserve">which may be relied on </w:t>
      </w:r>
      <w:r w:rsidR="00033817" w:rsidRPr="00981A79">
        <w:rPr>
          <w:rFonts w:cs="Arial"/>
        </w:rPr>
        <w:t xml:space="preserve">by SARS </w:t>
      </w:r>
      <w:r w:rsidR="00E076AA" w:rsidRPr="00981A79">
        <w:rPr>
          <w:rFonts w:cs="Arial"/>
        </w:rPr>
        <w:t xml:space="preserve">to establish </w:t>
      </w:r>
      <w:r w:rsidR="00EA7023" w:rsidRPr="00981A79">
        <w:rPr>
          <w:rFonts w:cs="Arial"/>
        </w:rPr>
        <w:t xml:space="preserve">that the gold </w:t>
      </w:r>
      <w:r w:rsidR="0021631A" w:rsidRPr="00981A79">
        <w:rPr>
          <w:rFonts w:cs="Arial"/>
        </w:rPr>
        <w:t xml:space="preserve">ultimately supplied to </w:t>
      </w:r>
      <w:r w:rsidR="004139B9" w:rsidRPr="00981A79">
        <w:rPr>
          <w:rFonts w:cs="Arial"/>
        </w:rPr>
        <w:t>the taxpayer</w:t>
      </w:r>
      <w:r w:rsidR="00830BB7" w:rsidRPr="00981A79">
        <w:rPr>
          <w:rFonts w:cs="Arial"/>
        </w:rPr>
        <w:t>,</w:t>
      </w:r>
      <w:r w:rsidR="00765B7B" w:rsidRPr="00981A79">
        <w:rPr>
          <w:rFonts w:cs="Arial"/>
        </w:rPr>
        <w:t xml:space="preserve"> comprises smelted </w:t>
      </w:r>
      <w:r w:rsidR="00D856F8" w:rsidRPr="00981A79">
        <w:rPr>
          <w:rFonts w:cs="Arial"/>
        </w:rPr>
        <w:t>Krugerrands</w:t>
      </w:r>
      <w:r w:rsidR="00F9477B" w:rsidRPr="00981A79">
        <w:rPr>
          <w:rFonts w:cs="Arial"/>
        </w:rPr>
        <w:t xml:space="preserve">. </w:t>
      </w:r>
    </w:p>
    <w:p w14:paraId="378CFE60" w14:textId="1F94E47A" w:rsidR="00F9477B" w:rsidRPr="00981A79" w:rsidRDefault="00981A79" w:rsidP="00981A79">
      <w:pPr>
        <w:spacing w:after="240" w:line="360" w:lineRule="auto"/>
        <w:ind w:left="720" w:hanging="720"/>
        <w:jc w:val="both"/>
        <w:rPr>
          <w:rFonts w:cs="Arial"/>
        </w:rPr>
      </w:pPr>
      <w:r w:rsidRPr="00B1210B">
        <w:rPr>
          <w:rFonts w:ascii="Arial" w:eastAsia="Calibri" w:hAnsi="Arial" w:cs="Arial"/>
          <w:lang w:val="en-ZA"/>
        </w:rPr>
        <w:t>[41]</w:t>
      </w:r>
      <w:r w:rsidRPr="00B1210B">
        <w:rPr>
          <w:rFonts w:ascii="Arial" w:eastAsia="Calibri" w:hAnsi="Arial" w:cs="Arial"/>
          <w:lang w:val="en-ZA"/>
        </w:rPr>
        <w:tab/>
      </w:r>
      <w:r w:rsidR="00D856F8" w:rsidRPr="00981A79">
        <w:rPr>
          <w:rFonts w:cs="Arial"/>
        </w:rPr>
        <w:t>The documents are of</w:t>
      </w:r>
      <w:r w:rsidR="00A93928" w:rsidRPr="00981A79">
        <w:rPr>
          <w:rFonts w:cs="Arial"/>
        </w:rPr>
        <w:t xml:space="preserve"> a type which it seems </w:t>
      </w:r>
      <w:r w:rsidR="004139B9" w:rsidRPr="00981A79">
        <w:rPr>
          <w:rFonts w:cs="Arial"/>
        </w:rPr>
        <w:t>the taxpayer</w:t>
      </w:r>
      <w:r w:rsidR="00B66C27" w:rsidRPr="00981A79">
        <w:rPr>
          <w:rFonts w:cs="Arial"/>
        </w:rPr>
        <w:t xml:space="preserve"> may believe have been unearthed</w:t>
      </w:r>
      <w:r w:rsidR="00E8516B" w:rsidRPr="00981A79">
        <w:rPr>
          <w:rFonts w:cs="Arial"/>
        </w:rPr>
        <w:t xml:space="preserve"> by</w:t>
      </w:r>
      <w:r w:rsidR="00B66C27" w:rsidRPr="00981A79">
        <w:rPr>
          <w:rFonts w:cs="Arial"/>
        </w:rPr>
        <w:t xml:space="preserve"> or brought into existence for </w:t>
      </w:r>
      <w:r w:rsidR="002E4750" w:rsidRPr="00981A79">
        <w:rPr>
          <w:rFonts w:cs="Arial"/>
        </w:rPr>
        <w:t xml:space="preserve">the inquiry which SARS is undertaking into the gold industry and specifically </w:t>
      </w:r>
      <w:r w:rsidR="00A2682B" w:rsidRPr="00981A79">
        <w:rPr>
          <w:rFonts w:cs="Arial"/>
        </w:rPr>
        <w:t xml:space="preserve">the modus operandi relating to the smelting of </w:t>
      </w:r>
      <w:r w:rsidR="000F5E78" w:rsidRPr="00981A79">
        <w:rPr>
          <w:rFonts w:cs="Arial"/>
        </w:rPr>
        <w:t>Kruger</w:t>
      </w:r>
      <w:r w:rsidR="007D5567" w:rsidRPr="00981A79">
        <w:rPr>
          <w:rFonts w:cs="Arial"/>
        </w:rPr>
        <w:t>rands.</w:t>
      </w:r>
      <w:r w:rsidR="00657BE3" w:rsidRPr="00981A79">
        <w:rPr>
          <w:rFonts w:cs="Arial"/>
        </w:rPr>
        <w:t xml:space="preserve"> The investigation is ongoing and has been </w:t>
      </w:r>
      <w:r w:rsidR="006B509B" w:rsidRPr="00981A79">
        <w:rPr>
          <w:rFonts w:cs="Arial"/>
        </w:rPr>
        <w:t xml:space="preserve">far </w:t>
      </w:r>
      <w:r w:rsidR="00657BE3" w:rsidRPr="00981A79">
        <w:rPr>
          <w:rFonts w:cs="Arial"/>
        </w:rPr>
        <w:t xml:space="preserve">wider than </w:t>
      </w:r>
      <w:r w:rsidR="004139B9" w:rsidRPr="00981A79">
        <w:rPr>
          <w:rFonts w:cs="Arial"/>
        </w:rPr>
        <w:t>the taxpayer</w:t>
      </w:r>
      <w:r w:rsidR="00657BE3" w:rsidRPr="00981A79">
        <w:rPr>
          <w:rFonts w:cs="Arial"/>
        </w:rPr>
        <w:t xml:space="preserve"> and its three supplie</w:t>
      </w:r>
      <w:r w:rsidR="00E31BFD" w:rsidRPr="00981A79">
        <w:rPr>
          <w:rFonts w:cs="Arial"/>
        </w:rPr>
        <w:t xml:space="preserve">rs which </w:t>
      </w:r>
      <w:r w:rsidR="00B03805" w:rsidRPr="00981A79">
        <w:rPr>
          <w:rFonts w:cs="Arial"/>
        </w:rPr>
        <w:t>are the</w:t>
      </w:r>
      <w:r w:rsidR="00E31BFD" w:rsidRPr="00981A79">
        <w:rPr>
          <w:rFonts w:cs="Arial"/>
        </w:rPr>
        <w:t xml:space="preserve"> subject of the ground</w:t>
      </w:r>
      <w:r w:rsidR="003C0B02" w:rsidRPr="00981A79">
        <w:rPr>
          <w:rFonts w:cs="Arial"/>
        </w:rPr>
        <w:t>s of assessment.</w:t>
      </w:r>
      <w:r w:rsidR="00F24A28" w:rsidRPr="00981A79">
        <w:rPr>
          <w:rFonts w:cs="Arial"/>
        </w:rPr>
        <w:t xml:space="preserve"> </w:t>
      </w:r>
    </w:p>
    <w:p w14:paraId="37078CC1" w14:textId="3F0109FF" w:rsidR="004E5DD0" w:rsidRPr="00981A79" w:rsidRDefault="00981A79" w:rsidP="00981A79">
      <w:pPr>
        <w:spacing w:after="240" w:line="360" w:lineRule="auto"/>
        <w:ind w:left="720" w:hanging="720"/>
        <w:jc w:val="both"/>
        <w:rPr>
          <w:rFonts w:cs="Arial"/>
        </w:rPr>
      </w:pPr>
      <w:r w:rsidRPr="00B1210B">
        <w:rPr>
          <w:rFonts w:ascii="Arial" w:eastAsia="Calibri" w:hAnsi="Arial" w:cs="Arial"/>
          <w:lang w:val="en-ZA"/>
        </w:rPr>
        <w:t>[42]</w:t>
      </w:r>
      <w:r w:rsidRPr="00B1210B">
        <w:rPr>
          <w:rFonts w:ascii="Arial" w:eastAsia="Calibri" w:hAnsi="Arial" w:cs="Arial"/>
          <w:lang w:val="en-ZA"/>
        </w:rPr>
        <w:tab/>
      </w:r>
      <w:r w:rsidR="00F8628A" w:rsidRPr="00981A79">
        <w:rPr>
          <w:rFonts w:cs="Arial"/>
        </w:rPr>
        <w:t xml:space="preserve">SARS </w:t>
      </w:r>
      <w:r w:rsidR="00BD2E38" w:rsidRPr="00981A79">
        <w:rPr>
          <w:rFonts w:cs="Arial"/>
        </w:rPr>
        <w:t>contends</w:t>
      </w:r>
      <w:r w:rsidR="00BB4BB1" w:rsidRPr="00981A79">
        <w:rPr>
          <w:rFonts w:cs="Arial"/>
        </w:rPr>
        <w:t xml:space="preserve"> that</w:t>
      </w:r>
      <w:r w:rsidR="00267BDE" w:rsidRPr="00981A79">
        <w:rPr>
          <w:rFonts w:cs="Arial"/>
        </w:rPr>
        <w:t xml:space="preserve"> the request is an impermissible</w:t>
      </w:r>
      <w:r w:rsidR="00F8628A" w:rsidRPr="00981A79">
        <w:rPr>
          <w:rFonts w:cs="Arial"/>
        </w:rPr>
        <w:t xml:space="preserve"> interrogatory</w:t>
      </w:r>
      <w:r w:rsidR="005F1717" w:rsidRPr="00981A79">
        <w:rPr>
          <w:rFonts w:cs="Arial"/>
        </w:rPr>
        <w:t>.</w:t>
      </w:r>
      <w:r w:rsidR="006B509B" w:rsidRPr="00981A79">
        <w:rPr>
          <w:rFonts w:cs="Arial"/>
        </w:rPr>
        <w:t xml:space="preserve"> </w:t>
      </w:r>
    </w:p>
    <w:p w14:paraId="37AFA6D3" w14:textId="09C8885A" w:rsidR="00CE48D3" w:rsidRPr="00981A79" w:rsidRDefault="00981A79" w:rsidP="00981A79">
      <w:pPr>
        <w:spacing w:after="240" w:line="360" w:lineRule="auto"/>
        <w:ind w:left="720" w:hanging="720"/>
        <w:jc w:val="both"/>
        <w:rPr>
          <w:rFonts w:cs="Arial"/>
        </w:rPr>
      </w:pPr>
      <w:r>
        <w:rPr>
          <w:rFonts w:ascii="Arial" w:eastAsia="Calibri" w:hAnsi="Arial" w:cs="Arial"/>
          <w:lang w:val="en-ZA"/>
        </w:rPr>
        <w:t>[43]</w:t>
      </w:r>
      <w:r>
        <w:rPr>
          <w:rFonts w:ascii="Arial" w:eastAsia="Calibri" w:hAnsi="Arial" w:cs="Arial"/>
          <w:lang w:val="en-ZA"/>
        </w:rPr>
        <w:tab/>
      </w:r>
      <w:r w:rsidR="00A5269D" w:rsidRPr="00981A79">
        <w:rPr>
          <w:rFonts w:cs="Arial"/>
        </w:rPr>
        <w:t xml:space="preserve">As set out above the </w:t>
      </w:r>
      <w:r w:rsidR="00CD2C96" w:rsidRPr="00981A79">
        <w:rPr>
          <w:rFonts w:cs="Arial"/>
        </w:rPr>
        <w:t xml:space="preserve">battlelines are drawn by the pleadings. </w:t>
      </w:r>
      <w:r w:rsidR="00963956" w:rsidRPr="00981A79">
        <w:rPr>
          <w:rFonts w:cs="Arial"/>
        </w:rPr>
        <w:t xml:space="preserve">The case of </w:t>
      </w:r>
      <w:r w:rsidR="00273753" w:rsidRPr="00981A79">
        <w:rPr>
          <w:rFonts w:cs="Arial"/>
        </w:rPr>
        <w:t>the</w:t>
      </w:r>
      <w:r w:rsidR="004139B9" w:rsidRPr="00981A79">
        <w:rPr>
          <w:rFonts w:cs="Arial"/>
        </w:rPr>
        <w:t xml:space="preserve"> taxpayer</w:t>
      </w:r>
      <w:r w:rsidR="00AA3E43" w:rsidRPr="00981A79">
        <w:rPr>
          <w:rFonts w:cs="Arial"/>
        </w:rPr>
        <w:t xml:space="preserve"> is simple. It says it has acted in good faith</w:t>
      </w:r>
      <w:r w:rsidR="00D95B83" w:rsidRPr="00981A79">
        <w:rPr>
          <w:rFonts w:cs="Arial"/>
        </w:rPr>
        <w:t xml:space="preserve"> and without direct or constructive knowledge that the gold being supplied comprised </w:t>
      </w:r>
      <w:r w:rsidR="00BD2E38" w:rsidRPr="00981A79">
        <w:rPr>
          <w:rFonts w:cs="Arial"/>
        </w:rPr>
        <w:t xml:space="preserve">smelted </w:t>
      </w:r>
      <w:r w:rsidR="007E5D01" w:rsidRPr="00981A79">
        <w:rPr>
          <w:rFonts w:cs="Arial"/>
        </w:rPr>
        <w:t>Kruger</w:t>
      </w:r>
      <w:r w:rsidR="00B86318" w:rsidRPr="00981A79">
        <w:rPr>
          <w:rFonts w:cs="Arial"/>
        </w:rPr>
        <w:t>rands.</w:t>
      </w:r>
    </w:p>
    <w:p w14:paraId="689FB6E7" w14:textId="2A649CCB" w:rsidR="00830BB7" w:rsidRPr="00981A79" w:rsidRDefault="00981A79" w:rsidP="00981A79">
      <w:pPr>
        <w:spacing w:after="240" w:line="360" w:lineRule="auto"/>
        <w:ind w:left="720" w:hanging="720"/>
        <w:jc w:val="both"/>
        <w:rPr>
          <w:rFonts w:cs="Arial"/>
        </w:rPr>
      </w:pPr>
      <w:r>
        <w:rPr>
          <w:rFonts w:ascii="Arial" w:eastAsia="Calibri" w:hAnsi="Arial" w:cs="Arial"/>
          <w:lang w:val="en-ZA"/>
        </w:rPr>
        <w:t>[44]</w:t>
      </w:r>
      <w:r>
        <w:rPr>
          <w:rFonts w:ascii="Arial" w:eastAsia="Calibri" w:hAnsi="Arial" w:cs="Arial"/>
          <w:lang w:val="en-ZA"/>
        </w:rPr>
        <w:tab/>
      </w:r>
      <w:r w:rsidR="00B86318" w:rsidRPr="00981A79">
        <w:rPr>
          <w:rFonts w:cs="Arial"/>
        </w:rPr>
        <w:t xml:space="preserve"> On this basis </w:t>
      </w:r>
      <w:r w:rsidR="00A620A4" w:rsidRPr="00981A79">
        <w:rPr>
          <w:rFonts w:cs="Arial"/>
        </w:rPr>
        <w:t xml:space="preserve">SARS </w:t>
      </w:r>
      <w:r w:rsidR="00386EAC" w:rsidRPr="00981A79">
        <w:rPr>
          <w:rFonts w:cs="Arial"/>
        </w:rPr>
        <w:t xml:space="preserve">cannot be compelled </w:t>
      </w:r>
      <w:r w:rsidR="004D35EA" w:rsidRPr="00981A79">
        <w:rPr>
          <w:rFonts w:cs="Arial"/>
        </w:rPr>
        <w:t>to</w:t>
      </w:r>
      <w:r w:rsidR="00A620A4" w:rsidRPr="00981A79">
        <w:rPr>
          <w:rFonts w:cs="Arial"/>
        </w:rPr>
        <w:t xml:space="preserve"> </w:t>
      </w:r>
      <w:r w:rsidR="007E5D01" w:rsidRPr="00981A79">
        <w:rPr>
          <w:rFonts w:cs="Arial"/>
        </w:rPr>
        <w:t xml:space="preserve">disclose all </w:t>
      </w:r>
      <w:r w:rsidR="005155C7" w:rsidRPr="00981A79">
        <w:rPr>
          <w:rFonts w:cs="Arial"/>
        </w:rPr>
        <w:t xml:space="preserve">documents relating to its industry wide </w:t>
      </w:r>
      <w:r w:rsidR="00B66BE6" w:rsidRPr="00981A79">
        <w:rPr>
          <w:rFonts w:cs="Arial"/>
        </w:rPr>
        <w:t>investigation.</w:t>
      </w:r>
      <w:r w:rsidR="004D35EA" w:rsidRPr="00981A79">
        <w:rPr>
          <w:rFonts w:cs="Arial"/>
        </w:rPr>
        <w:t xml:space="preserve"> </w:t>
      </w:r>
      <w:r w:rsidR="004C5545" w:rsidRPr="00981A79">
        <w:rPr>
          <w:rFonts w:cs="Arial"/>
        </w:rPr>
        <w:t xml:space="preserve">If it seeks to advance its </w:t>
      </w:r>
      <w:r w:rsidR="007E5D01" w:rsidRPr="00981A79">
        <w:rPr>
          <w:rFonts w:cs="Arial"/>
        </w:rPr>
        <w:t>case by the use of a particular document,</w:t>
      </w:r>
      <w:r w:rsidR="004C5545" w:rsidRPr="00981A79">
        <w:rPr>
          <w:rFonts w:cs="Arial"/>
        </w:rPr>
        <w:t xml:space="preserve"> it must discover it</w:t>
      </w:r>
      <w:r w:rsidR="009673F5" w:rsidRPr="00981A79">
        <w:rPr>
          <w:rFonts w:cs="Arial"/>
        </w:rPr>
        <w:t>.</w:t>
      </w:r>
      <w:r w:rsidR="00B66BE6" w:rsidRPr="00981A79">
        <w:rPr>
          <w:rFonts w:cs="Arial"/>
        </w:rPr>
        <w:t xml:space="preserve">  </w:t>
      </w:r>
      <w:r w:rsidR="006B509B" w:rsidRPr="00981A79">
        <w:rPr>
          <w:rFonts w:cs="Arial"/>
        </w:rPr>
        <w:t>It</w:t>
      </w:r>
      <w:r w:rsidR="00B66BE6" w:rsidRPr="00981A79">
        <w:rPr>
          <w:rFonts w:cs="Arial"/>
        </w:rPr>
        <w:t xml:space="preserve"> need</w:t>
      </w:r>
      <w:r w:rsidR="002B5CBC" w:rsidRPr="00981A79">
        <w:rPr>
          <w:rFonts w:cs="Arial"/>
        </w:rPr>
        <w:t xml:space="preserve"> only discover those documents which </w:t>
      </w:r>
      <w:r w:rsidR="0002740E" w:rsidRPr="00981A79">
        <w:rPr>
          <w:rFonts w:cs="Arial"/>
        </w:rPr>
        <w:t xml:space="preserve">it </w:t>
      </w:r>
      <w:r w:rsidR="00672DAC" w:rsidRPr="00981A79">
        <w:rPr>
          <w:rFonts w:cs="Arial"/>
        </w:rPr>
        <w:t>plans</w:t>
      </w:r>
      <w:r w:rsidR="00B722B9" w:rsidRPr="00981A79">
        <w:rPr>
          <w:rFonts w:cs="Arial"/>
        </w:rPr>
        <w:t xml:space="preserve"> to use to</w:t>
      </w:r>
      <w:r w:rsidR="007A0DB5" w:rsidRPr="00981A79">
        <w:rPr>
          <w:rFonts w:cs="Arial"/>
        </w:rPr>
        <w:t xml:space="preserve"> make</w:t>
      </w:r>
      <w:r w:rsidR="00B722B9" w:rsidRPr="00981A79">
        <w:rPr>
          <w:rFonts w:cs="Arial"/>
        </w:rPr>
        <w:t xml:space="preserve"> out</w:t>
      </w:r>
      <w:r w:rsidR="007A0DB5" w:rsidRPr="00981A79">
        <w:rPr>
          <w:rFonts w:cs="Arial"/>
        </w:rPr>
        <w:t xml:space="preserve"> its case </w:t>
      </w:r>
      <w:r w:rsidR="00B20790" w:rsidRPr="00981A79">
        <w:rPr>
          <w:rFonts w:cs="Arial"/>
        </w:rPr>
        <w:t xml:space="preserve">against </w:t>
      </w:r>
      <w:r w:rsidR="004139B9" w:rsidRPr="00981A79">
        <w:rPr>
          <w:rFonts w:cs="Arial"/>
        </w:rPr>
        <w:t>the taxpayer</w:t>
      </w:r>
      <w:r w:rsidR="00B20790" w:rsidRPr="00981A79">
        <w:rPr>
          <w:rFonts w:cs="Arial"/>
        </w:rPr>
        <w:t>.</w:t>
      </w:r>
      <w:r w:rsidR="00672DAC" w:rsidRPr="00981A79">
        <w:rPr>
          <w:rFonts w:cs="Arial"/>
        </w:rPr>
        <w:t xml:space="preserve"> This</w:t>
      </w:r>
      <w:r w:rsidR="00BD2E38" w:rsidRPr="00981A79">
        <w:rPr>
          <w:rFonts w:cs="Arial"/>
        </w:rPr>
        <w:t>,</w:t>
      </w:r>
      <w:r w:rsidR="00672DAC" w:rsidRPr="00981A79">
        <w:rPr>
          <w:rFonts w:cs="Arial"/>
        </w:rPr>
        <w:t xml:space="preserve"> it says</w:t>
      </w:r>
      <w:r w:rsidR="00BD2E38" w:rsidRPr="00981A79">
        <w:rPr>
          <w:rFonts w:cs="Arial"/>
        </w:rPr>
        <w:t>,</w:t>
      </w:r>
      <w:r w:rsidR="00672DAC" w:rsidRPr="00981A79">
        <w:rPr>
          <w:rFonts w:cs="Arial"/>
        </w:rPr>
        <w:t xml:space="preserve"> it has done.</w:t>
      </w:r>
    </w:p>
    <w:p w14:paraId="5238BC58" w14:textId="2DE1FADC" w:rsidR="00A5269D" w:rsidRPr="00981A79" w:rsidRDefault="00981A79" w:rsidP="00981A79">
      <w:pPr>
        <w:spacing w:after="240" w:line="360" w:lineRule="auto"/>
        <w:ind w:left="720" w:hanging="720"/>
        <w:jc w:val="both"/>
        <w:rPr>
          <w:rFonts w:cs="Arial"/>
        </w:rPr>
      </w:pPr>
      <w:r w:rsidRPr="00B1210B">
        <w:rPr>
          <w:rFonts w:ascii="Arial" w:eastAsia="Calibri" w:hAnsi="Arial" w:cs="Arial"/>
          <w:lang w:val="en-ZA"/>
        </w:rPr>
        <w:t>[45]</w:t>
      </w:r>
      <w:r w:rsidRPr="00B1210B">
        <w:rPr>
          <w:rFonts w:ascii="Arial" w:eastAsia="Calibri" w:hAnsi="Arial" w:cs="Arial"/>
          <w:lang w:val="en-ZA"/>
        </w:rPr>
        <w:tab/>
      </w:r>
      <w:r w:rsidR="00672DAC" w:rsidRPr="00981A79">
        <w:rPr>
          <w:rFonts w:cs="Arial"/>
        </w:rPr>
        <w:t xml:space="preserve">Reference to the vast discovery </w:t>
      </w:r>
      <w:r w:rsidR="004A3988" w:rsidRPr="00981A79">
        <w:rPr>
          <w:rFonts w:cs="Arial"/>
        </w:rPr>
        <w:t>which has been made</w:t>
      </w:r>
      <w:r w:rsidR="00CD574F" w:rsidRPr="00981A79">
        <w:rPr>
          <w:rFonts w:cs="Arial"/>
        </w:rPr>
        <w:t xml:space="preserve"> by SARS</w:t>
      </w:r>
      <w:r w:rsidR="004A3988" w:rsidRPr="00981A79">
        <w:rPr>
          <w:rFonts w:cs="Arial"/>
        </w:rPr>
        <w:t xml:space="preserve"> would seem to bear this out.</w:t>
      </w:r>
      <w:r w:rsidR="009673F5" w:rsidRPr="00981A79">
        <w:rPr>
          <w:rFonts w:cs="Arial"/>
        </w:rPr>
        <w:t xml:space="preserve"> </w:t>
      </w:r>
      <w:r w:rsidR="00BD2E38" w:rsidRPr="00981A79">
        <w:rPr>
          <w:rFonts w:cs="Arial"/>
        </w:rPr>
        <w:t xml:space="preserve">SARS </w:t>
      </w:r>
      <w:r w:rsidR="009673F5" w:rsidRPr="00981A79">
        <w:rPr>
          <w:rFonts w:cs="Arial"/>
        </w:rPr>
        <w:t>will not be entitled to rely on documents that it has n</w:t>
      </w:r>
      <w:r w:rsidR="00830BB7" w:rsidRPr="00981A79">
        <w:rPr>
          <w:rFonts w:cs="Arial"/>
        </w:rPr>
        <w:t xml:space="preserve">ot discovered, </w:t>
      </w:r>
      <w:r w:rsidR="00761158" w:rsidRPr="00981A79">
        <w:rPr>
          <w:rFonts w:cs="Arial"/>
        </w:rPr>
        <w:t xml:space="preserve">so one would think it would act prudently </w:t>
      </w:r>
      <w:r w:rsidR="00A41043" w:rsidRPr="00981A79">
        <w:rPr>
          <w:rFonts w:cs="Arial"/>
        </w:rPr>
        <w:t>to make out its case.</w:t>
      </w:r>
      <w:r w:rsidR="00B20790" w:rsidRPr="00981A79">
        <w:rPr>
          <w:rFonts w:cs="Arial"/>
        </w:rPr>
        <w:t xml:space="preserve"> Its </w:t>
      </w:r>
      <w:r w:rsidR="0002740E" w:rsidRPr="00981A79">
        <w:rPr>
          <w:rFonts w:cs="Arial"/>
        </w:rPr>
        <w:t>wider</w:t>
      </w:r>
      <w:r w:rsidR="00F46572" w:rsidRPr="00981A79">
        <w:rPr>
          <w:rFonts w:cs="Arial"/>
        </w:rPr>
        <w:t xml:space="preserve"> </w:t>
      </w:r>
      <w:r w:rsidR="00A41043" w:rsidRPr="00981A79">
        <w:rPr>
          <w:rFonts w:cs="Arial"/>
        </w:rPr>
        <w:t>far-ranging</w:t>
      </w:r>
      <w:r w:rsidR="0002740E" w:rsidRPr="00981A79">
        <w:rPr>
          <w:rFonts w:cs="Arial"/>
        </w:rPr>
        <w:t xml:space="preserve"> </w:t>
      </w:r>
      <w:r w:rsidR="00B20790" w:rsidRPr="00981A79">
        <w:rPr>
          <w:rFonts w:cs="Arial"/>
        </w:rPr>
        <w:t>investigation</w:t>
      </w:r>
      <w:r w:rsidR="0002740E" w:rsidRPr="00981A79">
        <w:rPr>
          <w:rFonts w:cs="Arial"/>
        </w:rPr>
        <w:t>s into the conduct of third parties</w:t>
      </w:r>
      <w:r w:rsidR="00386EAC" w:rsidRPr="00981A79">
        <w:rPr>
          <w:rFonts w:cs="Arial"/>
        </w:rPr>
        <w:t xml:space="preserve"> are not relevant.</w:t>
      </w:r>
      <w:r w:rsidR="00A41043" w:rsidRPr="00981A79">
        <w:rPr>
          <w:rFonts w:cs="Arial"/>
        </w:rPr>
        <w:t xml:space="preserve"> </w:t>
      </w:r>
    </w:p>
    <w:p w14:paraId="659E628B" w14:textId="03B0FB56" w:rsidR="00BD2E38" w:rsidRPr="00981A79" w:rsidRDefault="00981A79" w:rsidP="00981A79">
      <w:pPr>
        <w:spacing w:after="240" w:line="360" w:lineRule="auto"/>
        <w:ind w:left="720" w:hanging="720"/>
        <w:jc w:val="both"/>
        <w:rPr>
          <w:rFonts w:cs="Arial"/>
        </w:rPr>
      </w:pPr>
      <w:r>
        <w:rPr>
          <w:rFonts w:ascii="Arial" w:eastAsia="Calibri" w:hAnsi="Arial" w:cs="Arial"/>
          <w:lang w:val="en-ZA"/>
        </w:rPr>
        <w:lastRenderedPageBreak/>
        <w:t>[46]</w:t>
      </w:r>
      <w:r>
        <w:rPr>
          <w:rFonts w:ascii="Arial" w:eastAsia="Calibri" w:hAnsi="Arial" w:cs="Arial"/>
          <w:lang w:val="en-ZA"/>
        </w:rPr>
        <w:tab/>
      </w:r>
      <w:r w:rsidR="004139B9" w:rsidRPr="00981A79">
        <w:rPr>
          <w:rFonts w:cs="Arial"/>
        </w:rPr>
        <w:t>The taxpayer</w:t>
      </w:r>
      <w:r w:rsidR="00F06E86" w:rsidRPr="00981A79">
        <w:rPr>
          <w:rFonts w:cs="Arial"/>
        </w:rPr>
        <w:t xml:space="preserve"> knows what the grounds of assessment</w:t>
      </w:r>
      <w:r w:rsidR="007F1B0B" w:rsidRPr="00981A79">
        <w:rPr>
          <w:rFonts w:cs="Arial"/>
        </w:rPr>
        <w:t xml:space="preserve"> are. </w:t>
      </w:r>
      <w:r w:rsidR="00416D71" w:rsidRPr="00981A79">
        <w:rPr>
          <w:rFonts w:cs="Arial"/>
        </w:rPr>
        <w:t xml:space="preserve">I can see no risk </w:t>
      </w:r>
      <w:r w:rsidR="007F1B0B" w:rsidRPr="00981A79">
        <w:rPr>
          <w:rFonts w:cs="Arial"/>
        </w:rPr>
        <w:t>that</w:t>
      </w:r>
      <w:r w:rsidR="00416D71" w:rsidRPr="00981A79">
        <w:rPr>
          <w:rFonts w:cs="Arial"/>
        </w:rPr>
        <w:t xml:space="preserve"> </w:t>
      </w:r>
      <w:r w:rsidR="004139B9" w:rsidRPr="00981A79">
        <w:rPr>
          <w:rFonts w:cs="Arial"/>
        </w:rPr>
        <w:t>the taxpayer</w:t>
      </w:r>
      <w:r w:rsidR="00416D71" w:rsidRPr="00981A79">
        <w:rPr>
          <w:rFonts w:cs="Arial"/>
        </w:rPr>
        <w:t xml:space="preserve"> will be taken by surprize should it not be allowed to delve into the categori</w:t>
      </w:r>
      <w:r w:rsidR="008828AA" w:rsidRPr="00981A79">
        <w:rPr>
          <w:rFonts w:cs="Arial"/>
        </w:rPr>
        <w:t>es of documents formulated by it</w:t>
      </w:r>
      <w:r w:rsidR="00CF093C" w:rsidRPr="00981A79">
        <w:rPr>
          <w:rFonts w:cs="Arial"/>
        </w:rPr>
        <w:t xml:space="preserve"> for examination</w:t>
      </w:r>
      <w:r w:rsidR="008828AA" w:rsidRPr="00981A79">
        <w:rPr>
          <w:rFonts w:cs="Arial"/>
        </w:rPr>
        <w:t xml:space="preserve">. </w:t>
      </w:r>
    </w:p>
    <w:p w14:paraId="083761E4" w14:textId="2A462F05" w:rsidR="00417241" w:rsidRPr="00981A79" w:rsidRDefault="00981A79" w:rsidP="00981A79">
      <w:pPr>
        <w:spacing w:after="240" w:line="360" w:lineRule="auto"/>
        <w:ind w:left="720" w:hanging="720"/>
        <w:jc w:val="both"/>
        <w:rPr>
          <w:rFonts w:cs="Arial"/>
        </w:rPr>
      </w:pPr>
      <w:r w:rsidRPr="007E5D01">
        <w:rPr>
          <w:rFonts w:ascii="Arial" w:eastAsia="Calibri" w:hAnsi="Arial" w:cs="Arial"/>
          <w:lang w:val="en-ZA"/>
        </w:rPr>
        <w:t>[47]</w:t>
      </w:r>
      <w:r w:rsidRPr="007E5D01">
        <w:rPr>
          <w:rFonts w:ascii="Arial" w:eastAsia="Calibri" w:hAnsi="Arial" w:cs="Arial"/>
          <w:lang w:val="en-ZA"/>
        </w:rPr>
        <w:tab/>
      </w:r>
      <w:r w:rsidR="00D31805" w:rsidRPr="00981A79">
        <w:rPr>
          <w:rFonts w:cs="Arial"/>
        </w:rPr>
        <w:t xml:space="preserve"> </w:t>
      </w:r>
      <w:r w:rsidR="00622A98" w:rsidRPr="00981A79">
        <w:rPr>
          <w:rFonts w:cs="Arial"/>
        </w:rPr>
        <w:t>Most</w:t>
      </w:r>
      <w:r w:rsidR="003C4874" w:rsidRPr="00981A79">
        <w:rPr>
          <w:rFonts w:cs="Arial"/>
        </w:rPr>
        <w:t xml:space="preserve"> importantly, the documents sought </w:t>
      </w:r>
      <w:r w:rsidR="00BB14AA" w:rsidRPr="00981A79">
        <w:rPr>
          <w:rFonts w:cs="Arial"/>
        </w:rPr>
        <w:t>cannot</w:t>
      </w:r>
      <w:r w:rsidR="0002740E" w:rsidRPr="00981A79">
        <w:rPr>
          <w:rFonts w:cs="Arial"/>
        </w:rPr>
        <w:t xml:space="preserve"> assist </w:t>
      </w:r>
      <w:r w:rsidR="004139B9" w:rsidRPr="00981A79">
        <w:rPr>
          <w:rFonts w:cs="Arial"/>
        </w:rPr>
        <w:t>the taxpayer</w:t>
      </w:r>
      <w:r w:rsidR="00284549" w:rsidRPr="00981A79">
        <w:rPr>
          <w:rFonts w:cs="Arial"/>
        </w:rPr>
        <w:t xml:space="preserve"> </w:t>
      </w:r>
      <w:r w:rsidR="003968B1" w:rsidRPr="00981A79">
        <w:rPr>
          <w:rFonts w:cs="Arial"/>
        </w:rPr>
        <w:t xml:space="preserve">to establish its </w:t>
      </w:r>
      <w:r w:rsidR="00BB14AA" w:rsidRPr="00981A79">
        <w:rPr>
          <w:rFonts w:cs="Arial"/>
        </w:rPr>
        <w:t xml:space="preserve">own </w:t>
      </w:r>
      <w:r w:rsidR="003968B1" w:rsidRPr="00981A79">
        <w:rPr>
          <w:rFonts w:cs="Arial"/>
        </w:rPr>
        <w:t>pleaded grounds of appeal</w:t>
      </w:r>
      <w:r w:rsidR="00417241" w:rsidRPr="00981A79">
        <w:rPr>
          <w:rFonts w:cs="Arial"/>
        </w:rPr>
        <w:t>.</w:t>
      </w:r>
      <w:r w:rsidR="00D31805" w:rsidRPr="00981A79">
        <w:rPr>
          <w:rFonts w:cs="Arial"/>
        </w:rPr>
        <w:t xml:space="preserve"> It does not deny that </w:t>
      </w:r>
      <w:r w:rsidR="007E5D01" w:rsidRPr="00981A79">
        <w:rPr>
          <w:rFonts w:cs="Arial"/>
        </w:rPr>
        <w:t>Kruger</w:t>
      </w:r>
      <w:r w:rsidR="00481FC7" w:rsidRPr="00981A79">
        <w:rPr>
          <w:rFonts w:cs="Arial"/>
        </w:rPr>
        <w:t>rands are smelted</w:t>
      </w:r>
      <w:r w:rsidR="00BD2E38" w:rsidRPr="00981A79">
        <w:rPr>
          <w:rFonts w:cs="Arial"/>
        </w:rPr>
        <w:t xml:space="preserve"> in </w:t>
      </w:r>
      <w:r w:rsidR="004139B9" w:rsidRPr="00981A79">
        <w:rPr>
          <w:rFonts w:cs="Arial"/>
        </w:rPr>
        <w:t>t</w:t>
      </w:r>
      <w:r w:rsidR="00BD2E38" w:rsidRPr="00981A79">
        <w:rPr>
          <w:rFonts w:cs="Arial"/>
        </w:rPr>
        <w:t>he industry</w:t>
      </w:r>
      <w:r w:rsidR="00245350" w:rsidRPr="00981A79">
        <w:rPr>
          <w:rFonts w:cs="Arial"/>
        </w:rPr>
        <w:t xml:space="preserve">; its </w:t>
      </w:r>
      <w:r w:rsidR="006101E4" w:rsidRPr="00981A79">
        <w:rPr>
          <w:rFonts w:cs="Arial"/>
        </w:rPr>
        <w:t>case is that</w:t>
      </w:r>
      <w:r w:rsidR="00906720" w:rsidRPr="00981A79">
        <w:rPr>
          <w:rFonts w:cs="Arial"/>
        </w:rPr>
        <w:t xml:space="preserve"> that it has no culpable involvement in this practice.</w:t>
      </w:r>
      <w:r w:rsidR="005B04C7" w:rsidRPr="00981A79">
        <w:rPr>
          <w:rFonts w:cs="Arial"/>
        </w:rPr>
        <w:t xml:space="preserve"> </w:t>
      </w:r>
      <w:r w:rsidR="00595E44" w:rsidRPr="00981A79">
        <w:rPr>
          <w:rFonts w:cs="Arial"/>
        </w:rPr>
        <w:t xml:space="preserve">An </w:t>
      </w:r>
      <w:r w:rsidR="00B428A0" w:rsidRPr="00981A79">
        <w:rPr>
          <w:rFonts w:cs="Arial"/>
        </w:rPr>
        <w:t>in-depth</w:t>
      </w:r>
      <w:r w:rsidR="00595E44" w:rsidRPr="00981A79">
        <w:rPr>
          <w:rFonts w:cs="Arial"/>
        </w:rPr>
        <w:t xml:space="preserve"> </w:t>
      </w:r>
      <w:r w:rsidR="005A0313" w:rsidRPr="00981A79">
        <w:rPr>
          <w:rFonts w:cs="Arial"/>
        </w:rPr>
        <w:t xml:space="preserve">immersion in </w:t>
      </w:r>
      <w:r w:rsidR="003615F5" w:rsidRPr="00981A79">
        <w:rPr>
          <w:rFonts w:cs="Arial"/>
        </w:rPr>
        <w:t>SARS’s investigation</w:t>
      </w:r>
      <w:r w:rsidR="00932DB9" w:rsidRPr="00981A79">
        <w:rPr>
          <w:rFonts w:cs="Arial"/>
        </w:rPr>
        <w:t>,</w:t>
      </w:r>
      <w:r w:rsidR="00B624ED" w:rsidRPr="00981A79">
        <w:rPr>
          <w:rFonts w:cs="Arial"/>
        </w:rPr>
        <w:t xml:space="preserve"> which is what </w:t>
      </w:r>
      <w:r w:rsidR="0044394E" w:rsidRPr="00981A79">
        <w:rPr>
          <w:rFonts w:cs="Arial"/>
        </w:rPr>
        <w:t>is sought to be achieved by this application</w:t>
      </w:r>
      <w:r w:rsidR="00932DB9" w:rsidRPr="00981A79">
        <w:rPr>
          <w:rFonts w:cs="Arial"/>
        </w:rPr>
        <w:t>,</w:t>
      </w:r>
      <w:r w:rsidR="003615F5" w:rsidRPr="00981A79">
        <w:rPr>
          <w:rFonts w:cs="Arial"/>
        </w:rPr>
        <w:t xml:space="preserve"> </w:t>
      </w:r>
      <w:r w:rsidR="00154FF3" w:rsidRPr="00981A79">
        <w:rPr>
          <w:rFonts w:cs="Arial"/>
        </w:rPr>
        <w:t xml:space="preserve">has no conceivable way of furthering this </w:t>
      </w:r>
      <w:r w:rsidR="001609D2" w:rsidRPr="00981A79">
        <w:rPr>
          <w:rFonts w:cs="Arial"/>
        </w:rPr>
        <w:t>position.</w:t>
      </w:r>
    </w:p>
    <w:p w14:paraId="4FB310D0" w14:textId="28F37385" w:rsidR="00C931B9" w:rsidRPr="00981A79" w:rsidRDefault="00981A79" w:rsidP="00981A79">
      <w:pPr>
        <w:spacing w:after="240" w:line="360" w:lineRule="auto"/>
        <w:ind w:left="720" w:hanging="720"/>
        <w:jc w:val="both"/>
        <w:rPr>
          <w:rFonts w:cs="Arial"/>
        </w:rPr>
      </w:pPr>
      <w:r w:rsidRPr="007E5D01">
        <w:rPr>
          <w:rFonts w:ascii="Arial" w:eastAsia="Calibri" w:hAnsi="Arial" w:cs="Arial"/>
          <w:lang w:val="en-ZA"/>
        </w:rPr>
        <w:t>[48]</w:t>
      </w:r>
      <w:r w:rsidRPr="007E5D01">
        <w:rPr>
          <w:rFonts w:ascii="Arial" w:eastAsia="Calibri" w:hAnsi="Arial" w:cs="Arial"/>
          <w:lang w:val="en-ZA"/>
        </w:rPr>
        <w:tab/>
      </w:r>
      <w:r w:rsidR="00417241" w:rsidRPr="00981A79">
        <w:rPr>
          <w:rFonts w:cs="Arial"/>
        </w:rPr>
        <w:t xml:space="preserve">In the circumstances </w:t>
      </w:r>
      <w:r w:rsidR="004139B9" w:rsidRPr="00981A79">
        <w:rPr>
          <w:rFonts w:cs="Arial"/>
        </w:rPr>
        <w:t>the taxpayer</w:t>
      </w:r>
      <w:r w:rsidR="00D422FA" w:rsidRPr="00981A79">
        <w:rPr>
          <w:rFonts w:cs="Arial"/>
        </w:rPr>
        <w:t>’s</w:t>
      </w:r>
      <w:r w:rsidR="00417241" w:rsidRPr="00981A79">
        <w:rPr>
          <w:rFonts w:cs="Arial"/>
        </w:rPr>
        <w:t xml:space="preserve"> </w:t>
      </w:r>
      <w:r w:rsidR="00210BD0" w:rsidRPr="00981A79">
        <w:rPr>
          <w:rFonts w:cs="Arial"/>
        </w:rPr>
        <w:t>application to compel</w:t>
      </w:r>
      <w:r w:rsidR="00BB14AA" w:rsidRPr="00981A79">
        <w:rPr>
          <w:rFonts w:cs="Arial"/>
        </w:rPr>
        <w:t xml:space="preserve"> </w:t>
      </w:r>
      <w:r w:rsidR="00C22C5F" w:rsidRPr="00981A79">
        <w:rPr>
          <w:rFonts w:cs="Arial"/>
        </w:rPr>
        <w:t xml:space="preserve">further </w:t>
      </w:r>
      <w:r w:rsidR="00BB14AA" w:rsidRPr="00981A79">
        <w:rPr>
          <w:rFonts w:cs="Arial"/>
        </w:rPr>
        <w:t>discovery</w:t>
      </w:r>
      <w:r w:rsidR="00210BD0" w:rsidRPr="00981A79">
        <w:rPr>
          <w:rFonts w:cs="Arial"/>
        </w:rPr>
        <w:t xml:space="preserve"> is dismissed.</w:t>
      </w:r>
    </w:p>
    <w:p w14:paraId="2398E31E" w14:textId="466EFE10" w:rsidR="007E5D01" w:rsidRPr="00981A79" w:rsidRDefault="00981A79" w:rsidP="00981A79">
      <w:pPr>
        <w:spacing w:after="240" w:line="360" w:lineRule="auto"/>
        <w:ind w:left="720" w:hanging="720"/>
        <w:jc w:val="both"/>
        <w:rPr>
          <w:rFonts w:cs="Arial"/>
        </w:rPr>
      </w:pPr>
      <w:r w:rsidRPr="003D63BD">
        <w:rPr>
          <w:rFonts w:ascii="Arial" w:eastAsia="Calibri" w:hAnsi="Arial" w:cs="Arial"/>
          <w:lang w:val="en-ZA"/>
        </w:rPr>
        <w:t>[49]</w:t>
      </w:r>
      <w:r w:rsidRPr="003D63BD">
        <w:rPr>
          <w:rFonts w:ascii="Arial" w:eastAsia="Calibri" w:hAnsi="Arial" w:cs="Arial"/>
          <w:lang w:val="en-ZA"/>
        </w:rPr>
        <w:tab/>
      </w:r>
      <w:r w:rsidR="00C931B9" w:rsidRPr="00981A79">
        <w:rPr>
          <w:rFonts w:cs="Arial"/>
        </w:rPr>
        <w:t xml:space="preserve">A similar problem characterises </w:t>
      </w:r>
      <w:r w:rsidR="000F540F" w:rsidRPr="00981A79">
        <w:rPr>
          <w:rFonts w:cs="Arial"/>
        </w:rPr>
        <w:t xml:space="preserve">the </w:t>
      </w:r>
      <w:r w:rsidR="00B428A0" w:rsidRPr="00981A79">
        <w:rPr>
          <w:rFonts w:cs="Arial"/>
        </w:rPr>
        <w:t xml:space="preserve">taxpayer’s </w:t>
      </w:r>
      <w:r w:rsidR="000F540F" w:rsidRPr="00981A79">
        <w:rPr>
          <w:rFonts w:cs="Arial"/>
        </w:rPr>
        <w:t xml:space="preserve">application </w:t>
      </w:r>
      <w:r w:rsidR="00ED46BA" w:rsidRPr="00981A79">
        <w:rPr>
          <w:rFonts w:cs="Arial"/>
        </w:rPr>
        <w:t>to compel further particulars</w:t>
      </w:r>
      <w:r w:rsidR="00B16B9D" w:rsidRPr="00981A79">
        <w:rPr>
          <w:rFonts w:cs="Arial"/>
        </w:rPr>
        <w:t>. I now deal with th</w:t>
      </w:r>
      <w:r w:rsidR="00E85D36" w:rsidRPr="00981A79">
        <w:rPr>
          <w:rFonts w:cs="Arial"/>
        </w:rPr>
        <w:t>at</w:t>
      </w:r>
      <w:r w:rsidR="00B16B9D" w:rsidRPr="00981A79">
        <w:rPr>
          <w:rFonts w:cs="Arial"/>
        </w:rPr>
        <w:t xml:space="preserve"> application. </w:t>
      </w:r>
    </w:p>
    <w:p w14:paraId="3B4DAA6C" w14:textId="77777777" w:rsidR="00A85F57" w:rsidRPr="007E5D01" w:rsidRDefault="00E85D36" w:rsidP="001106E9">
      <w:pPr>
        <w:spacing w:after="240" w:line="360" w:lineRule="auto"/>
        <w:ind w:left="720" w:hanging="720"/>
        <w:jc w:val="both"/>
        <w:rPr>
          <w:rFonts w:cs="Arial"/>
          <w:i/>
          <w:iCs/>
        </w:rPr>
      </w:pPr>
      <w:r w:rsidRPr="007E5D01">
        <w:rPr>
          <w:rFonts w:cs="Arial"/>
          <w:i/>
          <w:iCs/>
        </w:rPr>
        <w:t xml:space="preserve">Application </w:t>
      </w:r>
      <w:r w:rsidR="006055EE" w:rsidRPr="007E5D01">
        <w:rPr>
          <w:rFonts w:cs="Arial"/>
          <w:i/>
          <w:iCs/>
        </w:rPr>
        <w:t xml:space="preserve">by </w:t>
      </w:r>
      <w:r w:rsidR="004139B9">
        <w:rPr>
          <w:rFonts w:cs="Arial"/>
          <w:i/>
          <w:iCs/>
        </w:rPr>
        <w:t>the taxpayer</w:t>
      </w:r>
      <w:r w:rsidR="006055EE" w:rsidRPr="007E5D01">
        <w:rPr>
          <w:rFonts w:cs="Arial"/>
          <w:i/>
          <w:iCs/>
        </w:rPr>
        <w:t xml:space="preserve"> to compel further particulars</w:t>
      </w:r>
      <w:r w:rsidR="00877F8F" w:rsidRPr="007E5D01">
        <w:rPr>
          <w:rFonts w:cs="Arial"/>
          <w:i/>
          <w:iCs/>
        </w:rPr>
        <w:t xml:space="preserve"> from SARS</w:t>
      </w:r>
    </w:p>
    <w:p w14:paraId="2D8FD7BD" w14:textId="46CE3F1B" w:rsidR="00FF3776" w:rsidRPr="00981A79" w:rsidRDefault="00981A79" w:rsidP="00981A79">
      <w:pPr>
        <w:spacing w:after="240" w:line="360" w:lineRule="auto"/>
        <w:ind w:left="720" w:hanging="720"/>
        <w:jc w:val="both"/>
        <w:rPr>
          <w:rFonts w:cs="Arial"/>
        </w:rPr>
      </w:pPr>
      <w:r w:rsidRPr="00B1210B">
        <w:rPr>
          <w:rFonts w:ascii="Arial" w:eastAsia="Calibri" w:hAnsi="Arial" w:cs="Arial"/>
          <w:lang w:val="en-ZA"/>
        </w:rPr>
        <w:t>[50]</w:t>
      </w:r>
      <w:r w:rsidRPr="00B1210B">
        <w:rPr>
          <w:rFonts w:ascii="Arial" w:eastAsia="Calibri" w:hAnsi="Arial" w:cs="Arial"/>
          <w:lang w:val="en-ZA"/>
        </w:rPr>
        <w:tab/>
      </w:r>
      <w:r w:rsidR="00BA3786" w:rsidRPr="00981A79">
        <w:rPr>
          <w:rFonts w:cs="Arial"/>
        </w:rPr>
        <w:t>I shall deal with</w:t>
      </w:r>
      <w:r w:rsidR="00367A2C" w:rsidRPr="00981A79">
        <w:rPr>
          <w:rFonts w:cs="Arial"/>
        </w:rPr>
        <w:t xml:space="preserve"> the particularity sought</w:t>
      </w:r>
      <w:r w:rsidR="003B15A4" w:rsidRPr="00981A79">
        <w:rPr>
          <w:rFonts w:cs="Arial"/>
        </w:rPr>
        <w:t xml:space="preserve"> </w:t>
      </w:r>
      <w:r w:rsidR="00932DB9" w:rsidRPr="00981A79">
        <w:rPr>
          <w:rFonts w:cs="Arial"/>
        </w:rPr>
        <w:t>by category of documents sought</w:t>
      </w:r>
      <w:r w:rsidR="00A06E03" w:rsidRPr="00981A79">
        <w:rPr>
          <w:rFonts w:cs="Arial"/>
        </w:rPr>
        <w:t>.</w:t>
      </w:r>
    </w:p>
    <w:p w14:paraId="025433B9" w14:textId="77777777" w:rsidR="005A10E2" w:rsidRPr="00BD2E38" w:rsidRDefault="00486268" w:rsidP="001106E9">
      <w:pPr>
        <w:pStyle w:val="ListParagraph"/>
        <w:spacing w:after="240" w:line="360" w:lineRule="auto"/>
        <w:ind w:hanging="720"/>
        <w:contextualSpacing w:val="0"/>
        <w:mirrorIndents w:val="0"/>
        <w:jc w:val="both"/>
        <w:rPr>
          <w:rFonts w:cs="Arial"/>
          <w:u w:val="single"/>
        </w:rPr>
      </w:pPr>
      <w:r w:rsidRPr="00BD2E38">
        <w:rPr>
          <w:rFonts w:cs="Arial"/>
          <w:u w:val="single"/>
        </w:rPr>
        <w:t xml:space="preserve">Particulars </w:t>
      </w:r>
      <w:r w:rsidR="00344516" w:rsidRPr="00BD2E38">
        <w:rPr>
          <w:rFonts w:cs="Arial"/>
          <w:u w:val="single"/>
        </w:rPr>
        <w:t xml:space="preserve">relating </w:t>
      </w:r>
      <w:r w:rsidR="00AE5967" w:rsidRPr="00BD2E38">
        <w:rPr>
          <w:rFonts w:cs="Arial"/>
          <w:u w:val="single"/>
        </w:rPr>
        <w:t>to the full and proper description of the goods</w:t>
      </w:r>
    </w:p>
    <w:p w14:paraId="7350ED50" w14:textId="26D05EE9" w:rsidR="007F7688" w:rsidRPr="00981A79" w:rsidRDefault="00981A79" w:rsidP="00981A79">
      <w:pPr>
        <w:spacing w:after="240" w:line="360" w:lineRule="auto"/>
        <w:ind w:left="720" w:hanging="720"/>
        <w:jc w:val="both"/>
        <w:rPr>
          <w:rFonts w:cs="Arial"/>
        </w:rPr>
      </w:pPr>
      <w:r w:rsidRPr="007E5D01">
        <w:rPr>
          <w:rFonts w:ascii="Arial" w:eastAsia="Calibri" w:hAnsi="Arial" w:cs="Arial"/>
          <w:lang w:val="en-ZA"/>
        </w:rPr>
        <w:t>[51]</w:t>
      </w:r>
      <w:r w:rsidRPr="007E5D01">
        <w:rPr>
          <w:rFonts w:ascii="Arial" w:eastAsia="Calibri" w:hAnsi="Arial" w:cs="Arial"/>
          <w:lang w:val="en-ZA"/>
        </w:rPr>
        <w:tab/>
      </w:r>
      <w:r w:rsidR="004139B9" w:rsidRPr="00981A79">
        <w:rPr>
          <w:rFonts w:cs="Arial"/>
        </w:rPr>
        <w:t>The taxpayer</w:t>
      </w:r>
      <w:r w:rsidR="00DD025E" w:rsidRPr="00981A79">
        <w:rPr>
          <w:rFonts w:cs="Arial"/>
        </w:rPr>
        <w:t xml:space="preserve"> seeks </w:t>
      </w:r>
      <w:r w:rsidR="000574F1" w:rsidRPr="00981A79">
        <w:rPr>
          <w:rFonts w:cs="Arial"/>
        </w:rPr>
        <w:t xml:space="preserve">particulars as to </w:t>
      </w:r>
      <w:r w:rsidR="00BD2E38" w:rsidRPr="00981A79">
        <w:rPr>
          <w:rFonts w:cs="Arial"/>
        </w:rPr>
        <w:t>t</w:t>
      </w:r>
      <w:r w:rsidR="00652DBB" w:rsidRPr="00981A79">
        <w:rPr>
          <w:rFonts w:cs="Arial"/>
        </w:rPr>
        <w:t xml:space="preserve">he specific method and/or </w:t>
      </w:r>
      <w:r w:rsidR="0005397B" w:rsidRPr="00981A79">
        <w:rPr>
          <w:rFonts w:cs="Arial"/>
        </w:rPr>
        <w:t>p</w:t>
      </w:r>
      <w:r w:rsidR="00652DBB" w:rsidRPr="00981A79">
        <w:rPr>
          <w:rFonts w:cs="Arial"/>
        </w:rPr>
        <w:t>rocess that SARS uses to det</w:t>
      </w:r>
      <w:r w:rsidR="003D63BD" w:rsidRPr="00981A79">
        <w:rPr>
          <w:rFonts w:cs="Arial"/>
        </w:rPr>
        <w:t>ermine what would constitute a ‘</w:t>
      </w:r>
      <w:r w:rsidR="00652DBB" w:rsidRPr="00981A79">
        <w:rPr>
          <w:rFonts w:cs="Arial"/>
        </w:rPr>
        <w:t xml:space="preserve">full and </w:t>
      </w:r>
      <w:r w:rsidR="004A2B7E" w:rsidRPr="00981A79">
        <w:rPr>
          <w:rFonts w:cs="Arial"/>
        </w:rPr>
        <w:t>p</w:t>
      </w:r>
      <w:r w:rsidR="00652DBB" w:rsidRPr="00981A79">
        <w:rPr>
          <w:rFonts w:cs="Arial"/>
        </w:rPr>
        <w:t>ro</w:t>
      </w:r>
      <w:r w:rsidR="004A2B7E" w:rsidRPr="00981A79">
        <w:rPr>
          <w:rFonts w:cs="Arial"/>
        </w:rPr>
        <w:t>p</w:t>
      </w:r>
      <w:r w:rsidR="00652DBB" w:rsidRPr="00981A79">
        <w:rPr>
          <w:rFonts w:cs="Arial"/>
        </w:rPr>
        <w:t xml:space="preserve">er </w:t>
      </w:r>
      <w:r w:rsidR="00FF3776" w:rsidRPr="00981A79">
        <w:rPr>
          <w:rFonts w:cs="Arial"/>
        </w:rPr>
        <w:t>descriptio</w:t>
      </w:r>
      <w:r w:rsidR="00652DBB" w:rsidRPr="00981A79">
        <w:rPr>
          <w:rFonts w:cs="Arial"/>
        </w:rPr>
        <w:t xml:space="preserve">n of the </w:t>
      </w:r>
      <w:r w:rsidR="004A2B7E" w:rsidRPr="00981A79">
        <w:rPr>
          <w:rFonts w:cs="Arial"/>
        </w:rPr>
        <w:t>g</w:t>
      </w:r>
      <w:r w:rsidR="003D63BD" w:rsidRPr="00981A79">
        <w:rPr>
          <w:rFonts w:cs="Arial"/>
        </w:rPr>
        <w:t>oods’</w:t>
      </w:r>
      <w:r w:rsidR="00DD025E" w:rsidRPr="00981A79">
        <w:rPr>
          <w:rFonts w:cs="Arial"/>
        </w:rPr>
        <w:t>;</w:t>
      </w:r>
      <w:r w:rsidR="006C69A0" w:rsidRPr="00981A79">
        <w:rPr>
          <w:rFonts w:cs="Arial"/>
        </w:rPr>
        <w:t xml:space="preserve"> </w:t>
      </w:r>
      <w:r w:rsidR="003D0D41" w:rsidRPr="00981A79">
        <w:rPr>
          <w:rFonts w:cs="Arial"/>
        </w:rPr>
        <w:t>and</w:t>
      </w:r>
      <w:r w:rsidR="000574F1" w:rsidRPr="00981A79">
        <w:rPr>
          <w:rFonts w:cs="Arial"/>
        </w:rPr>
        <w:t xml:space="preserve"> asks</w:t>
      </w:r>
      <w:r w:rsidR="003D0D41" w:rsidRPr="00981A79">
        <w:rPr>
          <w:rFonts w:cs="Arial"/>
        </w:rPr>
        <w:t xml:space="preserve"> </w:t>
      </w:r>
      <w:r w:rsidR="006C69A0" w:rsidRPr="00981A79">
        <w:rPr>
          <w:rFonts w:cs="Arial"/>
        </w:rPr>
        <w:t xml:space="preserve">what would constitute </w:t>
      </w:r>
      <w:r w:rsidR="003D0D41" w:rsidRPr="00981A79">
        <w:rPr>
          <w:rFonts w:cs="Arial"/>
        </w:rPr>
        <w:t>such a description according to SARS</w:t>
      </w:r>
      <w:r w:rsidR="004E0BCB" w:rsidRPr="00981A79">
        <w:rPr>
          <w:rFonts w:cs="Arial"/>
        </w:rPr>
        <w:t>.</w:t>
      </w:r>
    </w:p>
    <w:p w14:paraId="02ACFD3F" w14:textId="6263245D" w:rsidR="00A16229" w:rsidRPr="00981A79" w:rsidRDefault="00981A79" w:rsidP="00981A79">
      <w:pPr>
        <w:spacing w:after="240" w:line="360" w:lineRule="auto"/>
        <w:ind w:left="720" w:hanging="720"/>
        <w:jc w:val="both"/>
        <w:rPr>
          <w:rFonts w:cs="Arial"/>
        </w:rPr>
      </w:pPr>
      <w:r w:rsidRPr="001106E9">
        <w:rPr>
          <w:rFonts w:ascii="Arial" w:eastAsia="Calibri" w:hAnsi="Arial" w:cs="Arial"/>
          <w:lang w:val="en-ZA"/>
        </w:rPr>
        <w:t>[52]</w:t>
      </w:r>
      <w:r w:rsidRPr="001106E9">
        <w:rPr>
          <w:rFonts w:ascii="Arial" w:eastAsia="Calibri" w:hAnsi="Arial" w:cs="Arial"/>
          <w:lang w:val="en-ZA"/>
        </w:rPr>
        <w:tab/>
      </w:r>
      <w:r w:rsidR="00FF3776" w:rsidRPr="00981A79">
        <w:rPr>
          <w:rFonts w:cs="Arial"/>
        </w:rPr>
        <w:t>SARS</w:t>
      </w:r>
      <w:r w:rsidR="00114FA2" w:rsidRPr="00981A79">
        <w:rPr>
          <w:rFonts w:cs="Arial"/>
        </w:rPr>
        <w:t>,</w:t>
      </w:r>
      <w:r w:rsidR="00FF3776" w:rsidRPr="00981A79">
        <w:rPr>
          <w:rFonts w:cs="Arial"/>
        </w:rPr>
        <w:t xml:space="preserve"> in i</w:t>
      </w:r>
      <w:r w:rsidR="007F7688" w:rsidRPr="00981A79">
        <w:rPr>
          <w:rFonts w:cs="Arial"/>
        </w:rPr>
        <w:t xml:space="preserve">ts response to </w:t>
      </w:r>
      <w:r w:rsidR="004139B9" w:rsidRPr="00981A79">
        <w:rPr>
          <w:rFonts w:cs="Arial"/>
        </w:rPr>
        <w:t>the taxpayer</w:t>
      </w:r>
      <w:r w:rsidR="007F7688" w:rsidRPr="00981A79">
        <w:rPr>
          <w:rFonts w:cs="Arial"/>
        </w:rPr>
        <w:t xml:space="preserve">'s request for </w:t>
      </w:r>
      <w:r w:rsidR="00BD2E38" w:rsidRPr="00981A79">
        <w:rPr>
          <w:rFonts w:cs="Arial"/>
        </w:rPr>
        <w:t>these</w:t>
      </w:r>
      <w:r w:rsidR="00E3561F" w:rsidRPr="00981A79">
        <w:rPr>
          <w:rFonts w:cs="Arial"/>
        </w:rPr>
        <w:t xml:space="preserve"> </w:t>
      </w:r>
      <w:r w:rsidR="007E5D01" w:rsidRPr="00981A79">
        <w:rPr>
          <w:rFonts w:cs="Arial"/>
        </w:rPr>
        <w:t xml:space="preserve">particulars indicated that the </w:t>
      </w:r>
      <w:r w:rsidR="009521AE" w:rsidRPr="00981A79">
        <w:rPr>
          <w:rFonts w:cs="Arial"/>
        </w:rPr>
        <w:t xml:space="preserve">deficiency in </w:t>
      </w:r>
      <w:r w:rsidR="00295F89" w:rsidRPr="00981A79">
        <w:rPr>
          <w:rFonts w:cs="Arial"/>
        </w:rPr>
        <w:t xml:space="preserve">the </w:t>
      </w:r>
      <w:r w:rsidR="007F7688" w:rsidRPr="00981A79">
        <w:rPr>
          <w:rFonts w:cs="Arial"/>
        </w:rPr>
        <w:t xml:space="preserve">description </w:t>
      </w:r>
      <w:r w:rsidR="00295F89" w:rsidRPr="00981A79">
        <w:rPr>
          <w:rFonts w:cs="Arial"/>
        </w:rPr>
        <w:t xml:space="preserve">is that </w:t>
      </w:r>
      <w:r w:rsidR="009521AE" w:rsidRPr="00981A79">
        <w:rPr>
          <w:rFonts w:cs="Arial"/>
        </w:rPr>
        <w:t xml:space="preserve">it </w:t>
      </w:r>
      <w:r w:rsidR="007F7688" w:rsidRPr="00981A79">
        <w:rPr>
          <w:rFonts w:cs="Arial"/>
        </w:rPr>
        <w:t>belies the fact that the primary source of the gold was Krugerrands that were unlawfully smelted</w:t>
      </w:r>
      <w:r w:rsidR="007E5D01" w:rsidRPr="00981A79">
        <w:rPr>
          <w:rFonts w:cs="Arial"/>
        </w:rPr>
        <w:t xml:space="preserve"> and</w:t>
      </w:r>
      <w:r w:rsidR="009C6614" w:rsidRPr="00981A79">
        <w:rPr>
          <w:rFonts w:cs="Arial"/>
        </w:rPr>
        <w:t xml:space="preserve"> t</w:t>
      </w:r>
      <w:r w:rsidR="007F7688" w:rsidRPr="00981A79">
        <w:rPr>
          <w:rFonts w:cs="Arial"/>
        </w:rPr>
        <w:t xml:space="preserve">hat the description was provided with the specific intention to mislead </w:t>
      </w:r>
      <w:r w:rsidR="00EC63E4" w:rsidRPr="00981A79">
        <w:rPr>
          <w:rFonts w:cs="Arial"/>
        </w:rPr>
        <w:t>in that</w:t>
      </w:r>
      <w:r w:rsidR="007F7688" w:rsidRPr="00981A79">
        <w:rPr>
          <w:rFonts w:cs="Arial"/>
        </w:rPr>
        <w:t xml:space="preserve"> </w:t>
      </w:r>
      <w:r w:rsidR="00856E37" w:rsidRPr="00981A79">
        <w:rPr>
          <w:rFonts w:cs="Arial"/>
        </w:rPr>
        <w:t>t</w:t>
      </w:r>
      <w:r w:rsidR="004139B9" w:rsidRPr="00981A79">
        <w:rPr>
          <w:rFonts w:cs="Arial"/>
        </w:rPr>
        <w:t>he taxpayer</w:t>
      </w:r>
      <w:r w:rsidR="007F7688" w:rsidRPr="00981A79">
        <w:rPr>
          <w:rFonts w:cs="Arial"/>
        </w:rPr>
        <w:t xml:space="preserve"> was aware that the descriptions</w:t>
      </w:r>
      <w:r w:rsidR="00FF3776" w:rsidRPr="00981A79">
        <w:rPr>
          <w:rFonts w:cs="Arial"/>
        </w:rPr>
        <w:t xml:space="preserve"> on the invoices were inaccurate</w:t>
      </w:r>
      <w:r w:rsidR="007F7688" w:rsidRPr="00981A79">
        <w:rPr>
          <w:rFonts w:cs="Arial"/>
        </w:rPr>
        <w:t xml:space="preserve"> insofar as</w:t>
      </w:r>
      <w:r w:rsidR="00872D7B" w:rsidRPr="00981A79">
        <w:rPr>
          <w:rFonts w:cs="Arial"/>
        </w:rPr>
        <w:t xml:space="preserve"> they</w:t>
      </w:r>
      <w:r w:rsidR="007E5D01" w:rsidRPr="00981A79">
        <w:rPr>
          <w:rFonts w:cs="Arial"/>
        </w:rPr>
        <w:t xml:space="preserve"> </w:t>
      </w:r>
      <w:r w:rsidR="00872D7B" w:rsidRPr="00981A79">
        <w:rPr>
          <w:rFonts w:cs="Arial"/>
        </w:rPr>
        <w:t>create the impression that t</w:t>
      </w:r>
      <w:r w:rsidR="00FF3776" w:rsidRPr="00981A79">
        <w:rPr>
          <w:rFonts w:cs="Arial"/>
        </w:rPr>
        <w:t xml:space="preserve">he source of the gold supplied </w:t>
      </w:r>
      <w:r w:rsidR="004E0BCB" w:rsidRPr="00981A79">
        <w:rPr>
          <w:rFonts w:cs="Arial"/>
        </w:rPr>
        <w:t>i</w:t>
      </w:r>
      <w:r w:rsidR="00872D7B" w:rsidRPr="00981A79">
        <w:rPr>
          <w:rFonts w:cs="Arial"/>
        </w:rPr>
        <w:t>s from scrap gold and second-hand gold jewellery.</w:t>
      </w:r>
    </w:p>
    <w:p w14:paraId="417C0293" w14:textId="25426FF4" w:rsidR="004139B9" w:rsidRDefault="00981A79" w:rsidP="00981A79">
      <w:pPr>
        <w:pStyle w:val="JudgmentNumbered"/>
        <w:numPr>
          <w:ilvl w:val="0"/>
          <w:numId w:val="0"/>
        </w:numPr>
        <w:ind w:left="720" w:hanging="720"/>
        <w:rPr>
          <w:szCs w:val="24"/>
        </w:rPr>
      </w:pPr>
      <w:r>
        <w:rPr>
          <w:szCs w:val="24"/>
        </w:rPr>
        <w:t>[53]</w:t>
      </w:r>
      <w:r>
        <w:rPr>
          <w:szCs w:val="24"/>
        </w:rPr>
        <w:tab/>
      </w:r>
      <w:r w:rsidR="00872CD2" w:rsidRPr="00B1210B">
        <w:rPr>
          <w:szCs w:val="24"/>
        </w:rPr>
        <w:t>Secti</w:t>
      </w:r>
      <w:r w:rsidR="00FF3776" w:rsidRPr="00B1210B">
        <w:rPr>
          <w:szCs w:val="24"/>
        </w:rPr>
        <w:t>on 2</w:t>
      </w:r>
      <w:r w:rsidR="00FC7646" w:rsidRPr="00B1210B">
        <w:rPr>
          <w:szCs w:val="24"/>
        </w:rPr>
        <w:t>(4)</w:t>
      </w:r>
      <w:r w:rsidR="00856E37">
        <w:rPr>
          <w:szCs w:val="24"/>
        </w:rPr>
        <w:t xml:space="preserve"> of the VAT Act</w:t>
      </w:r>
      <w:r w:rsidR="00FC7646" w:rsidRPr="00B1210B">
        <w:rPr>
          <w:szCs w:val="24"/>
        </w:rPr>
        <w:t xml:space="preserve"> </w:t>
      </w:r>
      <w:r w:rsidR="004139B9" w:rsidRPr="00B1210B">
        <w:rPr>
          <w:szCs w:val="24"/>
        </w:rPr>
        <w:t>provides</w:t>
      </w:r>
      <w:r w:rsidR="004139B9">
        <w:rPr>
          <w:szCs w:val="24"/>
        </w:rPr>
        <w:t>:</w:t>
      </w:r>
    </w:p>
    <w:p w14:paraId="4D7B8D15" w14:textId="77777777" w:rsidR="00E3561F" w:rsidRPr="00B1210B" w:rsidRDefault="004139B9" w:rsidP="00E32E45">
      <w:pPr>
        <w:pStyle w:val="JudgmentNumbered"/>
        <w:numPr>
          <w:ilvl w:val="0"/>
          <w:numId w:val="0"/>
        </w:numPr>
        <w:ind w:left="720"/>
        <w:rPr>
          <w:szCs w:val="24"/>
        </w:rPr>
      </w:pPr>
      <w:r>
        <w:rPr>
          <w:szCs w:val="24"/>
        </w:rPr>
        <w:t>“</w:t>
      </w:r>
      <w:r w:rsidRPr="00306945">
        <w:rPr>
          <w:sz w:val="22"/>
        </w:rPr>
        <w:t>Except</w:t>
      </w:r>
      <w:r w:rsidR="00FF3776" w:rsidRPr="00306945">
        <w:rPr>
          <w:sz w:val="22"/>
        </w:rPr>
        <w:t xml:space="preserve"> as the Commissioner may otherwise allow, and subject to this section, attached invoice (full tax invoice) shall be in the currency of the Republic and shall contain the following particulars</w:t>
      </w:r>
      <w:r w:rsidR="00FF3776" w:rsidRPr="00B1210B">
        <w:rPr>
          <w:szCs w:val="24"/>
        </w:rPr>
        <w:t xml:space="preserve">: </w:t>
      </w:r>
    </w:p>
    <w:p w14:paraId="17E03AA5" w14:textId="1DA3856D" w:rsidR="00E3561F" w:rsidRPr="00725898" w:rsidRDefault="00981A79" w:rsidP="00981A79">
      <w:pPr>
        <w:pStyle w:val="JudgmentNumbered"/>
        <w:numPr>
          <w:ilvl w:val="0"/>
          <w:numId w:val="0"/>
        </w:numPr>
        <w:ind w:left="2160" w:hanging="720"/>
        <w:rPr>
          <w:sz w:val="22"/>
        </w:rPr>
      </w:pPr>
      <w:r w:rsidRPr="00725898">
        <w:rPr>
          <w:sz w:val="22"/>
        </w:rPr>
        <w:lastRenderedPageBreak/>
        <w:t>(a)</w:t>
      </w:r>
      <w:r w:rsidRPr="00725898">
        <w:rPr>
          <w:sz w:val="22"/>
        </w:rPr>
        <w:tab/>
      </w:r>
      <w:r w:rsidR="00FF3776" w:rsidRPr="00725898">
        <w:rPr>
          <w:sz w:val="22"/>
        </w:rPr>
        <w:t>The words "tax</w:t>
      </w:r>
      <w:r w:rsidR="004E0BCB">
        <w:rPr>
          <w:sz w:val="22"/>
        </w:rPr>
        <w:t xml:space="preserve"> </w:t>
      </w:r>
      <w:r w:rsidR="00FF3776" w:rsidRPr="00725898">
        <w:rPr>
          <w:sz w:val="22"/>
        </w:rPr>
        <w:t>invoice", "VAT</w:t>
      </w:r>
      <w:r w:rsidR="004E0BCB">
        <w:rPr>
          <w:sz w:val="22"/>
        </w:rPr>
        <w:t xml:space="preserve"> </w:t>
      </w:r>
      <w:r w:rsidR="00FF3776" w:rsidRPr="00725898">
        <w:rPr>
          <w:sz w:val="22"/>
        </w:rPr>
        <w:t xml:space="preserve">invoice" or "invoice"; </w:t>
      </w:r>
    </w:p>
    <w:p w14:paraId="10368185" w14:textId="77A55B11" w:rsidR="00E3561F" w:rsidRPr="00725898" w:rsidRDefault="00981A79" w:rsidP="00981A79">
      <w:pPr>
        <w:pStyle w:val="JudgmentNumbered"/>
        <w:numPr>
          <w:ilvl w:val="0"/>
          <w:numId w:val="0"/>
        </w:numPr>
        <w:ind w:left="2160" w:hanging="720"/>
        <w:rPr>
          <w:sz w:val="22"/>
        </w:rPr>
      </w:pPr>
      <w:r w:rsidRPr="00725898">
        <w:rPr>
          <w:sz w:val="22"/>
        </w:rPr>
        <w:t>(b)</w:t>
      </w:r>
      <w:r w:rsidRPr="00725898">
        <w:rPr>
          <w:sz w:val="22"/>
        </w:rPr>
        <w:tab/>
      </w:r>
      <w:r w:rsidR="00E3561F" w:rsidRPr="00725898">
        <w:rPr>
          <w:sz w:val="22"/>
        </w:rPr>
        <w:t>T</w:t>
      </w:r>
      <w:r w:rsidR="00FF3776" w:rsidRPr="00725898">
        <w:rPr>
          <w:sz w:val="22"/>
        </w:rPr>
        <w:t xml:space="preserve">he name, address and VAT registration number of the supplier; </w:t>
      </w:r>
    </w:p>
    <w:p w14:paraId="161379ED" w14:textId="77777777" w:rsidR="00E3561F" w:rsidRPr="00725898" w:rsidRDefault="00FF3776" w:rsidP="001106E9">
      <w:pPr>
        <w:pStyle w:val="JudgmentNumbered"/>
        <w:numPr>
          <w:ilvl w:val="0"/>
          <w:numId w:val="0"/>
        </w:numPr>
        <w:ind w:left="2160" w:hanging="720"/>
        <w:rPr>
          <w:sz w:val="22"/>
        </w:rPr>
      </w:pPr>
      <w:r w:rsidRPr="00725898">
        <w:rPr>
          <w:sz w:val="22"/>
        </w:rPr>
        <w:t xml:space="preserve">(e) </w:t>
      </w:r>
      <w:r w:rsidR="00725898">
        <w:rPr>
          <w:sz w:val="22"/>
        </w:rPr>
        <w:t xml:space="preserve"> </w:t>
      </w:r>
      <w:r w:rsidR="00725898">
        <w:rPr>
          <w:sz w:val="22"/>
        </w:rPr>
        <w:tab/>
      </w:r>
      <w:r w:rsidRPr="00725898">
        <w:rPr>
          <w:sz w:val="22"/>
        </w:rPr>
        <w:t xml:space="preserve">full and proper description of the goods (indicating, where applicable, that the goods are second-hand goods) or services supplied; </w:t>
      </w:r>
    </w:p>
    <w:p w14:paraId="04392BD4" w14:textId="77777777" w:rsidR="00E3561F" w:rsidRPr="00725898" w:rsidRDefault="00FF3776" w:rsidP="001106E9">
      <w:pPr>
        <w:pStyle w:val="JudgmentNumbered"/>
        <w:numPr>
          <w:ilvl w:val="0"/>
          <w:numId w:val="0"/>
        </w:numPr>
        <w:ind w:left="2160" w:hanging="720"/>
        <w:rPr>
          <w:sz w:val="22"/>
        </w:rPr>
      </w:pPr>
      <w:r w:rsidRPr="00725898">
        <w:rPr>
          <w:sz w:val="22"/>
        </w:rPr>
        <w:t xml:space="preserve">(f) </w:t>
      </w:r>
      <w:r w:rsidR="00725898">
        <w:rPr>
          <w:sz w:val="22"/>
        </w:rPr>
        <w:t xml:space="preserve"> </w:t>
      </w:r>
      <w:r w:rsidR="00725898">
        <w:rPr>
          <w:sz w:val="22"/>
        </w:rPr>
        <w:tab/>
      </w:r>
      <w:r w:rsidRPr="00725898">
        <w:rPr>
          <w:sz w:val="22"/>
        </w:rPr>
        <w:t xml:space="preserve">the quantity or volume of the goods or services applied </w:t>
      </w:r>
    </w:p>
    <w:p w14:paraId="2053165F" w14:textId="77777777" w:rsidR="00725898" w:rsidRPr="00725898" w:rsidRDefault="00FF3776" w:rsidP="001106E9">
      <w:pPr>
        <w:pStyle w:val="JudgmentNumbered"/>
        <w:numPr>
          <w:ilvl w:val="0"/>
          <w:numId w:val="0"/>
        </w:numPr>
        <w:ind w:left="2160" w:hanging="720"/>
        <w:rPr>
          <w:sz w:val="22"/>
        </w:rPr>
      </w:pPr>
      <w:r w:rsidRPr="00725898">
        <w:rPr>
          <w:sz w:val="22"/>
        </w:rPr>
        <w:t xml:space="preserve">(g) </w:t>
      </w:r>
      <w:r w:rsidR="00725898">
        <w:rPr>
          <w:sz w:val="22"/>
        </w:rPr>
        <w:t xml:space="preserve"> </w:t>
      </w:r>
      <w:r w:rsidR="00725898">
        <w:rPr>
          <w:sz w:val="22"/>
        </w:rPr>
        <w:tab/>
      </w:r>
      <w:r w:rsidRPr="00725898">
        <w:rPr>
          <w:sz w:val="22"/>
        </w:rPr>
        <w:t xml:space="preserve">either— </w:t>
      </w:r>
    </w:p>
    <w:p w14:paraId="2E8DF063" w14:textId="353970B3" w:rsidR="00725898" w:rsidRPr="00725898" w:rsidRDefault="00981A79" w:rsidP="00981A79">
      <w:pPr>
        <w:pStyle w:val="JudgmentNumbered"/>
        <w:numPr>
          <w:ilvl w:val="0"/>
          <w:numId w:val="0"/>
        </w:numPr>
        <w:ind w:left="2160" w:hanging="600"/>
        <w:rPr>
          <w:sz w:val="22"/>
        </w:rPr>
      </w:pPr>
      <w:r w:rsidRPr="00725898">
        <w:rPr>
          <w:sz w:val="22"/>
        </w:rPr>
        <w:t>I.</w:t>
      </w:r>
      <w:r w:rsidRPr="00725898">
        <w:rPr>
          <w:sz w:val="22"/>
        </w:rPr>
        <w:tab/>
      </w:r>
      <w:r w:rsidR="00FF3776" w:rsidRPr="00725898">
        <w:rPr>
          <w:sz w:val="22"/>
        </w:rPr>
        <w:t xml:space="preserve">the value of the supply, the amount of tax charged and the consideration for the supply; or </w:t>
      </w:r>
    </w:p>
    <w:p w14:paraId="164BD072" w14:textId="23314BE6" w:rsidR="00FF3776" w:rsidRPr="00725898" w:rsidRDefault="00981A79" w:rsidP="00981A79">
      <w:pPr>
        <w:pStyle w:val="JudgmentNumbered"/>
        <w:numPr>
          <w:ilvl w:val="0"/>
          <w:numId w:val="0"/>
        </w:numPr>
        <w:ind w:left="2160" w:hanging="600"/>
        <w:rPr>
          <w:sz w:val="22"/>
        </w:rPr>
      </w:pPr>
      <w:r w:rsidRPr="00725898">
        <w:rPr>
          <w:sz w:val="22"/>
        </w:rPr>
        <w:t>II.</w:t>
      </w:r>
      <w:r w:rsidRPr="00725898">
        <w:rPr>
          <w:sz w:val="22"/>
        </w:rPr>
        <w:tab/>
      </w:r>
      <w:r w:rsidR="00FF3776" w:rsidRPr="00725898">
        <w:rPr>
          <w:sz w:val="22"/>
        </w:rPr>
        <w:t>where the amount of tax charged is calculated by applying the tax fraction to the consideration, the consideration for the supply and either the amount of the tax charged, or a statement that it includes a charge in respect of the tax and rate at which the tax was charged:</w:t>
      </w:r>
    </w:p>
    <w:p w14:paraId="75886E04" w14:textId="77777777" w:rsidR="00872D7B" w:rsidRPr="00E32E45" w:rsidRDefault="00E3561F" w:rsidP="00E32E45">
      <w:pPr>
        <w:pStyle w:val="JudgmentNumbered"/>
        <w:numPr>
          <w:ilvl w:val="0"/>
          <w:numId w:val="0"/>
        </w:numPr>
        <w:ind w:left="720"/>
        <w:rPr>
          <w:sz w:val="22"/>
        </w:rPr>
      </w:pPr>
      <w:r w:rsidRPr="00E32E45">
        <w:rPr>
          <w:sz w:val="22"/>
        </w:rPr>
        <w:t>Provided that the requirement that the consideration or the value of the supply, as the case may be, shall be in the currency of the Republic shall not apply to a supply that is charg</w:t>
      </w:r>
      <w:r w:rsidR="006C4A9C" w:rsidRPr="00E32E45">
        <w:rPr>
          <w:sz w:val="22"/>
        </w:rPr>
        <w:t>ed with a tax under section 11.</w:t>
      </w:r>
      <w:r w:rsidR="00BD2E38" w:rsidRPr="00E32E45">
        <w:rPr>
          <w:sz w:val="22"/>
        </w:rPr>
        <w:t>”</w:t>
      </w:r>
    </w:p>
    <w:p w14:paraId="0DF19009" w14:textId="3C15963C" w:rsidR="00464574" w:rsidRPr="00981A79" w:rsidRDefault="00981A79" w:rsidP="00981A79">
      <w:pPr>
        <w:spacing w:after="240" w:line="360" w:lineRule="auto"/>
        <w:ind w:left="720" w:hanging="720"/>
        <w:jc w:val="both"/>
        <w:rPr>
          <w:rFonts w:cs="Arial"/>
        </w:rPr>
      </w:pPr>
      <w:r w:rsidRPr="006C4A9C">
        <w:rPr>
          <w:rFonts w:ascii="Arial" w:eastAsia="Calibri" w:hAnsi="Arial" w:cs="Arial"/>
          <w:lang w:val="en-ZA"/>
        </w:rPr>
        <w:t>[54]</w:t>
      </w:r>
      <w:r w:rsidRPr="006C4A9C">
        <w:rPr>
          <w:rFonts w:ascii="Arial" w:eastAsia="Calibri" w:hAnsi="Arial" w:cs="Arial"/>
          <w:lang w:val="en-ZA"/>
        </w:rPr>
        <w:tab/>
      </w:r>
      <w:r w:rsidR="006F2618" w:rsidRPr="00981A79">
        <w:rPr>
          <w:rFonts w:cs="Arial"/>
        </w:rPr>
        <w:t>Th</w:t>
      </w:r>
      <w:r w:rsidR="004E0BCB" w:rsidRPr="00981A79">
        <w:rPr>
          <w:rFonts w:cs="Arial"/>
        </w:rPr>
        <w:t>e requirements of the Act</w:t>
      </w:r>
      <w:r w:rsidR="006F2618" w:rsidRPr="00981A79">
        <w:rPr>
          <w:rFonts w:cs="Arial"/>
        </w:rPr>
        <w:t xml:space="preserve"> enable </w:t>
      </w:r>
      <w:r w:rsidR="004139B9" w:rsidRPr="00981A79">
        <w:rPr>
          <w:rFonts w:cs="Arial"/>
        </w:rPr>
        <w:t>the taxpayer</w:t>
      </w:r>
      <w:r w:rsidR="006F2618" w:rsidRPr="00981A79">
        <w:rPr>
          <w:rFonts w:cs="Arial"/>
        </w:rPr>
        <w:t xml:space="preserve"> to prepare </w:t>
      </w:r>
      <w:r w:rsidR="00064F14" w:rsidRPr="00981A79">
        <w:rPr>
          <w:rFonts w:cs="Arial"/>
        </w:rPr>
        <w:t xml:space="preserve">its own </w:t>
      </w:r>
      <w:r w:rsidR="006F2618" w:rsidRPr="00981A79">
        <w:rPr>
          <w:rFonts w:cs="Arial"/>
        </w:rPr>
        <w:t>case.</w:t>
      </w:r>
      <w:r w:rsidR="00064F14" w:rsidRPr="00981A79">
        <w:rPr>
          <w:rFonts w:cs="Arial"/>
        </w:rPr>
        <w:t xml:space="preserve"> </w:t>
      </w:r>
      <w:r w:rsidR="00E3561F" w:rsidRPr="00981A79">
        <w:rPr>
          <w:rFonts w:cs="Arial"/>
        </w:rPr>
        <w:t xml:space="preserve">The particularity </w:t>
      </w:r>
      <w:r w:rsidR="00C20A99" w:rsidRPr="00981A79">
        <w:rPr>
          <w:rFonts w:cs="Arial"/>
        </w:rPr>
        <w:t xml:space="preserve">sought </w:t>
      </w:r>
      <w:r w:rsidR="00F2052F" w:rsidRPr="00981A79">
        <w:rPr>
          <w:rFonts w:cs="Arial"/>
        </w:rPr>
        <w:t>pertain</w:t>
      </w:r>
      <w:r w:rsidR="00B02228" w:rsidRPr="00981A79">
        <w:rPr>
          <w:rFonts w:cs="Arial"/>
        </w:rPr>
        <w:t xml:space="preserve">s to matters of argument as to the adequacy of the </w:t>
      </w:r>
      <w:r w:rsidR="00107F91" w:rsidRPr="00981A79">
        <w:rPr>
          <w:rFonts w:cs="Arial"/>
        </w:rPr>
        <w:t>description.</w:t>
      </w:r>
      <w:r w:rsidR="004E0BCB" w:rsidRPr="00981A79">
        <w:rPr>
          <w:rFonts w:cs="Arial"/>
        </w:rPr>
        <w:t xml:space="preserve"> </w:t>
      </w:r>
    </w:p>
    <w:p w14:paraId="072F510F" w14:textId="77777777" w:rsidR="00464574" w:rsidRPr="004E0BCB" w:rsidRDefault="00555D0C" w:rsidP="00E32E45">
      <w:pPr>
        <w:pStyle w:val="ListParagraph"/>
        <w:spacing w:before="0" w:after="240" w:line="360" w:lineRule="auto"/>
        <w:ind w:left="0"/>
        <w:contextualSpacing w:val="0"/>
        <w:mirrorIndents w:val="0"/>
        <w:jc w:val="both"/>
        <w:rPr>
          <w:rFonts w:cs="Arial"/>
          <w:u w:val="single"/>
        </w:rPr>
      </w:pPr>
      <w:r w:rsidRPr="004E0BCB">
        <w:rPr>
          <w:rFonts w:cs="Arial"/>
          <w:u w:val="single"/>
        </w:rPr>
        <w:t>The information SARS based its findin</w:t>
      </w:r>
      <w:r w:rsidR="004F635A" w:rsidRPr="004E0BCB">
        <w:rPr>
          <w:rFonts w:cs="Arial"/>
          <w:u w:val="single"/>
        </w:rPr>
        <w:t>g</w:t>
      </w:r>
      <w:r w:rsidRPr="004E0BCB">
        <w:rPr>
          <w:rFonts w:cs="Arial"/>
          <w:u w:val="single"/>
        </w:rPr>
        <w:t xml:space="preserve">s on to determine that </w:t>
      </w:r>
      <w:r w:rsidR="004139B9">
        <w:rPr>
          <w:rFonts w:cs="Arial"/>
          <w:u w:val="single"/>
        </w:rPr>
        <w:t>the taxpayer</w:t>
      </w:r>
      <w:r w:rsidR="00E32E45">
        <w:rPr>
          <w:rFonts w:cs="Arial"/>
          <w:u w:val="single"/>
        </w:rPr>
        <w:t xml:space="preserve"> was a </w:t>
      </w:r>
      <w:r w:rsidR="004F635A" w:rsidRPr="004E0BCB">
        <w:rPr>
          <w:rFonts w:cs="Arial"/>
          <w:u w:val="single"/>
        </w:rPr>
        <w:t>participant</w:t>
      </w:r>
      <w:r w:rsidR="00BE021A" w:rsidRPr="004E0BCB">
        <w:rPr>
          <w:rFonts w:cs="Arial"/>
          <w:u w:val="single"/>
        </w:rPr>
        <w:t xml:space="preserve"> in the</w:t>
      </w:r>
      <w:r w:rsidR="004F635A" w:rsidRPr="004E0BCB">
        <w:rPr>
          <w:rFonts w:cs="Arial"/>
          <w:u w:val="single"/>
        </w:rPr>
        <w:t xml:space="preserve"> section </w:t>
      </w:r>
      <w:r w:rsidR="00511180" w:rsidRPr="004E0BCB">
        <w:rPr>
          <w:rFonts w:cs="Arial"/>
          <w:u w:val="single"/>
        </w:rPr>
        <w:t xml:space="preserve">73 </w:t>
      </w:r>
      <w:r w:rsidRPr="004E0BCB">
        <w:rPr>
          <w:rFonts w:cs="Arial"/>
          <w:u w:val="single"/>
        </w:rPr>
        <w:t>scheme</w:t>
      </w:r>
      <w:r w:rsidR="00511180" w:rsidRPr="004E0BCB">
        <w:rPr>
          <w:rFonts w:cs="Arial"/>
          <w:u w:val="single"/>
        </w:rPr>
        <w:t>.</w:t>
      </w:r>
    </w:p>
    <w:p w14:paraId="3D45713C" w14:textId="2A190F54" w:rsidR="00725898" w:rsidRPr="00981A79" w:rsidRDefault="00981A79" w:rsidP="00981A79">
      <w:pPr>
        <w:spacing w:after="240" w:line="360" w:lineRule="auto"/>
        <w:ind w:left="720" w:hanging="720"/>
        <w:jc w:val="both"/>
        <w:rPr>
          <w:rFonts w:cs="Arial"/>
        </w:rPr>
      </w:pPr>
      <w:r w:rsidRPr="00725898">
        <w:rPr>
          <w:rFonts w:ascii="Arial" w:eastAsia="Calibri" w:hAnsi="Arial" w:cs="Arial"/>
          <w:lang w:val="en-ZA"/>
        </w:rPr>
        <w:t>[55]</w:t>
      </w:r>
      <w:r w:rsidRPr="00725898">
        <w:rPr>
          <w:rFonts w:ascii="Arial" w:eastAsia="Calibri" w:hAnsi="Arial" w:cs="Arial"/>
          <w:lang w:val="en-ZA"/>
        </w:rPr>
        <w:tab/>
      </w:r>
      <w:r w:rsidR="0049038F" w:rsidRPr="00981A79">
        <w:rPr>
          <w:rFonts w:cs="Arial"/>
        </w:rPr>
        <w:t xml:space="preserve">This is </w:t>
      </w:r>
      <w:r w:rsidR="00DA72DB" w:rsidRPr="00981A79">
        <w:rPr>
          <w:rFonts w:cs="Arial"/>
        </w:rPr>
        <w:t xml:space="preserve">patently a request for evidence. </w:t>
      </w:r>
      <w:r w:rsidR="00E476FA" w:rsidRPr="00981A79">
        <w:rPr>
          <w:rFonts w:cs="Arial"/>
        </w:rPr>
        <w:t xml:space="preserve">It is particularity to which </w:t>
      </w:r>
      <w:r w:rsidR="004139B9" w:rsidRPr="00981A79">
        <w:rPr>
          <w:rFonts w:cs="Arial"/>
        </w:rPr>
        <w:t>the taxpayer</w:t>
      </w:r>
      <w:r w:rsidR="00E476FA" w:rsidRPr="00981A79">
        <w:rPr>
          <w:rFonts w:cs="Arial"/>
        </w:rPr>
        <w:t xml:space="preserve"> is not entitled</w:t>
      </w:r>
      <w:r w:rsidR="00B4094A" w:rsidRPr="00981A79">
        <w:rPr>
          <w:rFonts w:cs="Arial"/>
        </w:rPr>
        <w:t xml:space="preserve"> for its preparation. </w:t>
      </w:r>
      <w:r w:rsidR="00173FC8" w:rsidRPr="00981A79">
        <w:rPr>
          <w:rFonts w:cs="Arial"/>
        </w:rPr>
        <w:t>Recall</w:t>
      </w:r>
      <w:r w:rsidR="009C6614" w:rsidRPr="00981A79">
        <w:rPr>
          <w:rFonts w:cs="Arial"/>
        </w:rPr>
        <w:t>,</w:t>
      </w:r>
      <w:r w:rsidR="00173FC8" w:rsidRPr="00981A79">
        <w:rPr>
          <w:rFonts w:cs="Arial"/>
        </w:rPr>
        <w:t xml:space="preserve"> the case of </w:t>
      </w:r>
      <w:r w:rsidR="004139B9" w:rsidRPr="00981A79">
        <w:rPr>
          <w:rFonts w:cs="Arial"/>
        </w:rPr>
        <w:t>the taxpayer</w:t>
      </w:r>
      <w:r w:rsidR="005B57A2" w:rsidRPr="00981A79">
        <w:rPr>
          <w:rFonts w:cs="Arial"/>
        </w:rPr>
        <w:t xml:space="preserve"> is that it is innocent. </w:t>
      </w:r>
      <w:r w:rsidR="008B619A" w:rsidRPr="00981A79">
        <w:rPr>
          <w:rFonts w:cs="Arial"/>
        </w:rPr>
        <w:t xml:space="preserve">It is able to </w:t>
      </w:r>
      <w:r w:rsidR="004E0BCB" w:rsidRPr="00981A79">
        <w:rPr>
          <w:rFonts w:cs="Arial"/>
        </w:rPr>
        <w:t>prepare</w:t>
      </w:r>
      <w:r w:rsidR="008B619A" w:rsidRPr="00981A79">
        <w:rPr>
          <w:rFonts w:cs="Arial"/>
        </w:rPr>
        <w:t xml:space="preserve"> this case without reference to SARS’s evidence.</w:t>
      </w:r>
    </w:p>
    <w:p w14:paraId="2C15DAE6" w14:textId="77777777" w:rsidR="000C6F8E" w:rsidRPr="004E0BCB" w:rsidRDefault="00B711A2" w:rsidP="00E32E45">
      <w:pPr>
        <w:pStyle w:val="ListParagraph"/>
        <w:spacing w:after="240" w:line="360" w:lineRule="auto"/>
        <w:ind w:left="0"/>
        <w:contextualSpacing w:val="0"/>
        <w:mirrorIndents w:val="0"/>
        <w:jc w:val="both"/>
        <w:rPr>
          <w:rFonts w:cs="Arial"/>
          <w:u w:val="single"/>
        </w:rPr>
      </w:pPr>
      <w:r w:rsidRPr="004E0BCB">
        <w:rPr>
          <w:rFonts w:cs="Arial"/>
          <w:u w:val="single"/>
        </w:rPr>
        <w:t>The information that SARS considered to verify Mr Bickerton's alleged confession at the tax in</w:t>
      </w:r>
      <w:r w:rsidR="00171704" w:rsidRPr="004E0BCB">
        <w:rPr>
          <w:rFonts w:cs="Arial"/>
          <w:u w:val="single"/>
        </w:rPr>
        <w:t>q</w:t>
      </w:r>
      <w:r w:rsidRPr="004E0BCB">
        <w:rPr>
          <w:rFonts w:cs="Arial"/>
          <w:u w:val="single"/>
        </w:rPr>
        <w:t>ui</w:t>
      </w:r>
      <w:r w:rsidR="00171704" w:rsidRPr="004E0BCB">
        <w:rPr>
          <w:rFonts w:cs="Arial"/>
          <w:u w:val="single"/>
        </w:rPr>
        <w:t>ry</w:t>
      </w:r>
      <w:r w:rsidRPr="004E0BCB">
        <w:rPr>
          <w:rFonts w:cs="Arial"/>
          <w:u w:val="single"/>
        </w:rPr>
        <w:t xml:space="preserve"> and how it confirmed </w:t>
      </w:r>
      <w:r w:rsidR="004139B9">
        <w:rPr>
          <w:rFonts w:cs="Arial"/>
          <w:u w:val="single"/>
        </w:rPr>
        <w:t>the taxpayer</w:t>
      </w:r>
      <w:r w:rsidRPr="004E0BCB">
        <w:rPr>
          <w:rFonts w:cs="Arial"/>
          <w:u w:val="single"/>
        </w:rPr>
        <w:t>'s actual knowled</w:t>
      </w:r>
      <w:r w:rsidR="00D224E2" w:rsidRPr="004E0BCB">
        <w:rPr>
          <w:rFonts w:cs="Arial"/>
          <w:u w:val="single"/>
        </w:rPr>
        <w:t>g</w:t>
      </w:r>
      <w:r w:rsidRPr="004E0BCB">
        <w:rPr>
          <w:rFonts w:cs="Arial"/>
          <w:u w:val="single"/>
        </w:rPr>
        <w:t>e re</w:t>
      </w:r>
      <w:r w:rsidR="00D224E2" w:rsidRPr="004E0BCB">
        <w:rPr>
          <w:rFonts w:cs="Arial"/>
          <w:u w:val="single"/>
        </w:rPr>
        <w:t>g</w:t>
      </w:r>
      <w:r w:rsidRPr="004E0BCB">
        <w:rPr>
          <w:rFonts w:cs="Arial"/>
          <w:u w:val="single"/>
        </w:rPr>
        <w:t>ardin</w:t>
      </w:r>
      <w:r w:rsidR="00D224E2" w:rsidRPr="004E0BCB">
        <w:rPr>
          <w:rFonts w:cs="Arial"/>
          <w:u w:val="single"/>
        </w:rPr>
        <w:t>g</w:t>
      </w:r>
      <w:r w:rsidRPr="004E0BCB">
        <w:rPr>
          <w:rFonts w:cs="Arial"/>
          <w:u w:val="single"/>
        </w:rPr>
        <w:t xml:space="preserve"> the source of the </w:t>
      </w:r>
      <w:r w:rsidR="00827B37" w:rsidRPr="004E0BCB">
        <w:rPr>
          <w:rFonts w:cs="Arial"/>
          <w:u w:val="single"/>
        </w:rPr>
        <w:t xml:space="preserve">gold </w:t>
      </w:r>
      <w:r w:rsidRPr="004E0BCB">
        <w:rPr>
          <w:rFonts w:cs="Arial"/>
          <w:u w:val="single"/>
        </w:rPr>
        <w:t>su</w:t>
      </w:r>
      <w:r w:rsidR="00725898" w:rsidRPr="004E0BCB">
        <w:rPr>
          <w:rFonts w:cs="Arial"/>
          <w:u w:val="single"/>
        </w:rPr>
        <w:t>ppl</w:t>
      </w:r>
      <w:r w:rsidR="00E32E45">
        <w:rPr>
          <w:rFonts w:cs="Arial"/>
          <w:u w:val="single"/>
        </w:rPr>
        <w:t>i</w:t>
      </w:r>
      <w:r w:rsidR="00725898" w:rsidRPr="004E0BCB">
        <w:rPr>
          <w:rFonts w:cs="Arial"/>
          <w:u w:val="single"/>
        </w:rPr>
        <w:t>ed</w:t>
      </w:r>
      <w:r w:rsidRPr="004E0BCB">
        <w:rPr>
          <w:rFonts w:cs="Arial"/>
          <w:u w:val="single"/>
        </w:rPr>
        <w:t xml:space="preserve"> </w:t>
      </w:r>
      <w:r w:rsidR="00827B37" w:rsidRPr="004E0BCB">
        <w:rPr>
          <w:rFonts w:cs="Arial"/>
          <w:u w:val="single"/>
        </w:rPr>
        <w:t xml:space="preserve">to </w:t>
      </w:r>
      <w:r w:rsidR="004139B9">
        <w:rPr>
          <w:rFonts w:cs="Arial"/>
          <w:u w:val="single"/>
        </w:rPr>
        <w:t>the taxpayer</w:t>
      </w:r>
      <w:r w:rsidR="00827B37" w:rsidRPr="004E0BCB">
        <w:rPr>
          <w:rFonts w:cs="Arial"/>
          <w:u w:val="single"/>
        </w:rPr>
        <w:t>.</w:t>
      </w:r>
      <w:r w:rsidR="00CC63C6" w:rsidRPr="004E0BCB">
        <w:rPr>
          <w:rFonts w:cs="Arial"/>
          <w:u w:val="single"/>
        </w:rPr>
        <w:t xml:space="preserve"> </w:t>
      </w:r>
      <w:r w:rsidR="0069487F" w:rsidRPr="004E0BCB">
        <w:rPr>
          <w:rFonts w:cs="Arial"/>
          <w:u w:val="single"/>
        </w:rPr>
        <w:t xml:space="preserve"> </w:t>
      </w:r>
    </w:p>
    <w:p w14:paraId="5D7B63B3" w14:textId="30017D0F" w:rsidR="00306945" w:rsidRPr="00981A79" w:rsidRDefault="00981A79" w:rsidP="00981A79">
      <w:pPr>
        <w:spacing w:after="240" w:line="360" w:lineRule="auto"/>
        <w:ind w:left="720" w:hanging="720"/>
        <w:jc w:val="both"/>
        <w:rPr>
          <w:rFonts w:cs="Arial"/>
        </w:rPr>
      </w:pPr>
      <w:r>
        <w:rPr>
          <w:rFonts w:ascii="Arial" w:eastAsia="Calibri" w:hAnsi="Arial" w:cs="Arial"/>
          <w:lang w:val="en-ZA"/>
        </w:rPr>
        <w:t>[56]</w:t>
      </w:r>
      <w:r>
        <w:rPr>
          <w:rFonts w:ascii="Arial" w:eastAsia="Calibri" w:hAnsi="Arial" w:cs="Arial"/>
          <w:lang w:val="en-ZA"/>
        </w:rPr>
        <w:tab/>
      </w:r>
      <w:r w:rsidR="000C6F8E" w:rsidRPr="00981A79">
        <w:rPr>
          <w:rFonts w:cs="Arial"/>
        </w:rPr>
        <w:t xml:space="preserve">The views expressed by Mr Bickerton </w:t>
      </w:r>
      <w:r w:rsidR="005209D4" w:rsidRPr="00981A79">
        <w:rPr>
          <w:rFonts w:cs="Arial"/>
        </w:rPr>
        <w:t xml:space="preserve">as to </w:t>
      </w:r>
      <w:r w:rsidR="00BD7CC9" w:rsidRPr="00981A79">
        <w:rPr>
          <w:rFonts w:cs="Arial"/>
        </w:rPr>
        <w:t xml:space="preserve">the volumes </w:t>
      </w:r>
      <w:r w:rsidR="00EC2459" w:rsidRPr="00981A79">
        <w:rPr>
          <w:rFonts w:cs="Arial"/>
        </w:rPr>
        <w:t>of second-hand</w:t>
      </w:r>
      <w:r w:rsidR="00BD7CC9" w:rsidRPr="00981A79">
        <w:rPr>
          <w:rFonts w:cs="Arial"/>
        </w:rPr>
        <w:t xml:space="preserve"> gold in the industry </w:t>
      </w:r>
      <w:r w:rsidR="000C6F8E" w:rsidRPr="00981A79">
        <w:rPr>
          <w:rFonts w:cs="Arial"/>
        </w:rPr>
        <w:t>are on record.</w:t>
      </w:r>
      <w:r w:rsidR="0044733F" w:rsidRPr="00981A79">
        <w:rPr>
          <w:rFonts w:cs="Arial"/>
        </w:rPr>
        <w:t xml:space="preserve"> </w:t>
      </w:r>
    </w:p>
    <w:p w14:paraId="6CF92F77" w14:textId="4AC1F983" w:rsidR="0051089E" w:rsidRPr="00981A79" w:rsidRDefault="00981A79" w:rsidP="00981A79">
      <w:pPr>
        <w:spacing w:after="240" w:line="360" w:lineRule="auto"/>
        <w:ind w:left="720" w:hanging="720"/>
        <w:jc w:val="both"/>
        <w:rPr>
          <w:rFonts w:cs="Arial"/>
        </w:rPr>
      </w:pPr>
      <w:r>
        <w:rPr>
          <w:rFonts w:ascii="Arial" w:eastAsia="Calibri" w:hAnsi="Arial" w:cs="Arial"/>
          <w:lang w:val="en-ZA"/>
        </w:rPr>
        <w:lastRenderedPageBreak/>
        <w:t>[57]</w:t>
      </w:r>
      <w:r>
        <w:rPr>
          <w:rFonts w:ascii="Arial" w:eastAsia="Calibri" w:hAnsi="Arial" w:cs="Arial"/>
          <w:lang w:val="en-ZA"/>
        </w:rPr>
        <w:tab/>
      </w:r>
      <w:r w:rsidR="0044733F" w:rsidRPr="00981A79">
        <w:rPr>
          <w:rFonts w:cs="Arial"/>
        </w:rPr>
        <w:t xml:space="preserve">The approach taken by </w:t>
      </w:r>
      <w:r w:rsidR="004139B9" w:rsidRPr="00981A79">
        <w:rPr>
          <w:rFonts w:cs="Arial"/>
        </w:rPr>
        <w:t>the taxpayer</w:t>
      </w:r>
      <w:r w:rsidR="0044733F" w:rsidRPr="00981A79">
        <w:rPr>
          <w:rFonts w:cs="Arial"/>
        </w:rPr>
        <w:t xml:space="preserve"> and SARS are respectively argument</w:t>
      </w:r>
      <w:r w:rsidR="00697FB1" w:rsidRPr="00981A79">
        <w:rPr>
          <w:rFonts w:cs="Arial"/>
        </w:rPr>
        <w:t xml:space="preserve">. The particulars are not necessary for </w:t>
      </w:r>
      <w:r w:rsidR="00CD574F" w:rsidRPr="00981A79">
        <w:rPr>
          <w:rFonts w:cs="Arial"/>
        </w:rPr>
        <w:t>the</w:t>
      </w:r>
      <w:r w:rsidR="004139B9" w:rsidRPr="00981A79">
        <w:rPr>
          <w:rFonts w:cs="Arial"/>
        </w:rPr>
        <w:t xml:space="preserve"> taxpayer</w:t>
      </w:r>
      <w:r w:rsidR="001B6A08" w:rsidRPr="00981A79">
        <w:rPr>
          <w:rFonts w:cs="Arial"/>
        </w:rPr>
        <w:t>’s</w:t>
      </w:r>
      <w:r w:rsidR="002D3DC9" w:rsidRPr="00981A79">
        <w:rPr>
          <w:rFonts w:cs="Arial"/>
        </w:rPr>
        <w:t xml:space="preserve"> preparation</w:t>
      </w:r>
      <w:r w:rsidR="00E4575A" w:rsidRPr="00981A79">
        <w:rPr>
          <w:rFonts w:cs="Arial"/>
        </w:rPr>
        <w:t>.</w:t>
      </w:r>
      <w:r w:rsidR="00B057A3" w:rsidRPr="00981A79">
        <w:rPr>
          <w:rFonts w:cs="Arial"/>
        </w:rPr>
        <w:t xml:space="preserve"> </w:t>
      </w:r>
    </w:p>
    <w:p w14:paraId="418AB132" w14:textId="77777777" w:rsidR="0051089E" w:rsidRPr="0051089E" w:rsidRDefault="0051089E" w:rsidP="0051089E">
      <w:pPr>
        <w:pStyle w:val="ListParagraph"/>
        <w:spacing w:after="240" w:line="360" w:lineRule="auto"/>
        <w:contextualSpacing w:val="0"/>
        <w:mirrorIndents w:val="0"/>
        <w:jc w:val="both"/>
        <w:rPr>
          <w:rFonts w:cs="Arial"/>
        </w:rPr>
      </w:pPr>
    </w:p>
    <w:p w14:paraId="0C1D527C" w14:textId="79BC9B13" w:rsidR="0051089E" w:rsidRPr="004E0BCB" w:rsidRDefault="00B057A3" w:rsidP="0051089E">
      <w:pPr>
        <w:spacing w:after="240" w:line="360" w:lineRule="auto"/>
        <w:ind w:left="720" w:hanging="720"/>
        <w:jc w:val="both"/>
        <w:rPr>
          <w:rFonts w:ascii="Arial" w:hAnsi="Arial" w:cs="Arial"/>
          <w:iCs/>
          <w:u w:val="single"/>
        </w:rPr>
      </w:pPr>
      <w:r w:rsidRPr="004E0BCB">
        <w:rPr>
          <w:rFonts w:ascii="Arial" w:hAnsi="Arial" w:cs="Arial"/>
          <w:iCs/>
          <w:u w:val="single"/>
        </w:rPr>
        <w:t xml:space="preserve">The percentage of </w:t>
      </w:r>
      <w:r w:rsidR="004139B9">
        <w:rPr>
          <w:rFonts w:ascii="Arial" w:hAnsi="Arial" w:cs="Arial"/>
          <w:iCs/>
          <w:u w:val="single"/>
        </w:rPr>
        <w:t>the taxpayer</w:t>
      </w:r>
      <w:r w:rsidRPr="004E0BCB">
        <w:rPr>
          <w:rFonts w:ascii="Arial" w:hAnsi="Arial" w:cs="Arial"/>
          <w:iCs/>
          <w:u w:val="single"/>
        </w:rPr>
        <w:t>'s alleged share in the unlawful mar</w:t>
      </w:r>
      <w:r w:rsidR="007D40C9" w:rsidRPr="004E0BCB">
        <w:rPr>
          <w:rFonts w:ascii="Arial" w:hAnsi="Arial" w:cs="Arial"/>
          <w:iCs/>
          <w:u w:val="single"/>
        </w:rPr>
        <w:t>g</w:t>
      </w:r>
      <w:r w:rsidRPr="004E0BCB">
        <w:rPr>
          <w:rFonts w:ascii="Arial" w:hAnsi="Arial" w:cs="Arial"/>
          <w:iCs/>
          <w:u w:val="single"/>
        </w:rPr>
        <w:t xml:space="preserve">in </w:t>
      </w:r>
      <w:r w:rsidR="007D40C9" w:rsidRPr="004E0BCB">
        <w:rPr>
          <w:rFonts w:ascii="Arial" w:hAnsi="Arial" w:cs="Arial"/>
          <w:iCs/>
          <w:u w:val="single"/>
        </w:rPr>
        <w:t>alleged</w:t>
      </w:r>
    </w:p>
    <w:p w14:paraId="3D642ECE" w14:textId="6AAC3104" w:rsidR="00350EA1" w:rsidRPr="00981A79" w:rsidRDefault="00981A79" w:rsidP="00981A79">
      <w:pPr>
        <w:spacing w:after="240" w:line="360" w:lineRule="auto"/>
        <w:ind w:left="720" w:hanging="720"/>
        <w:jc w:val="both"/>
        <w:rPr>
          <w:rFonts w:cs="Arial"/>
        </w:rPr>
      </w:pPr>
      <w:r w:rsidRPr="00B1210B">
        <w:rPr>
          <w:rFonts w:ascii="Arial" w:eastAsia="Calibri" w:hAnsi="Arial" w:cs="Arial"/>
          <w:lang w:val="en-ZA"/>
        </w:rPr>
        <w:t>[58]</w:t>
      </w:r>
      <w:r w:rsidRPr="00B1210B">
        <w:rPr>
          <w:rFonts w:ascii="Arial" w:eastAsia="Calibri" w:hAnsi="Arial" w:cs="Arial"/>
          <w:lang w:val="en-ZA"/>
        </w:rPr>
        <w:tab/>
      </w:r>
      <w:r w:rsidR="00350EA1" w:rsidRPr="00981A79">
        <w:rPr>
          <w:rFonts w:cs="Arial"/>
        </w:rPr>
        <w:t xml:space="preserve">The particulars furnished as well </w:t>
      </w:r>
      <w:r w:rsidR="00233D96" w:rsidRPr="00981A79">
        <w:rPr>
          <w:rFonts w:cs="Arial"/>
        </w:rPr>
        <w:t xml:space="preserve">as the manner in which </w:t>
      </w:r>
      <w:r w:rsidR="00BE021A" w:rsidRPr="00981A79">
        <w:rPr>
          <w:rFonts w:cs="Arial"/>
        </w:rPr>
        <w:t xml:space="preserve">SARS has pleaded its case </w:t>
      </w:r>
      <w:r w:rsidR="004A3D70" w:rsidRPr="00981A79">
        <w:rPr>
          <w:rFonts w:cs="Arial"/>
        </w:rPr>
        <w:t xml:space="preserve">indicates that SARS does not know how the sharing in the margin </w:t>
      </w:r>
      <w:r w:rsidR="00E1036B" w:rsidRPr="00981A79">
        <w:rPr>
          <w:rFonts w:cs="Arial"/>
        </w:rPr>
        <w:t>has taken place along the line of supply.</w:t>
      </w:r>
    </w:p>
    <w:p w14:paraId="47645A12" w14:textId="4C450337" w:rsidR="004B170B" w:rsidRPr="00981A79" w:rsidRDefault="00981A79" w:rsidP="00981A79">
      <w:pPr>
        <w:spacing w:after="240" w:line="360" w:lineRule="auto"/>
        <w:ind w:left="720" w:hanging="720"/>
        <w:jc w:val="both"/>
        <w:rPr>
          <w:rFonts w:cs="Arial"/>
        </w:rPr>
      </w:pPr>
      <w:r w:rsidRPr="00CC1398">
        <w:rPr>
          <w:rFonts w:ascii="Arial" w:eastAsia="Calibri" w:hAnsi="Arial" w:cs="Arial"/>
          <w:lang w:val="en-ZA"/>
        </w:rPr>
        <w:t>[59]</w:t>
      </w:r>
      <w:r w:rsidRPr="00CC1398">
        <w:rPr>
          <w:rFonts w:ascii="Arial" w:eastAsia="Calibri" w:hAnsi="Arial" w:cs="Arial"/>
          <w:lang w:val="en-ZA"/>
        </w:rPr>
        <w:tab/>
      </w:r>
      <w:r w:rsidR="00E1036B" w:rsidRPr="00981A79">
        <w:rPr>
          <w:rFonts w:cs="Arial"/>
        </w:rPr>
        <w:t xml:space="preserve">SARS is correct in its contention that </w:t>
      </w:r>
      <w:r w:rsidR="000B5547" w:rsidRPr="00981A79">
        <w:rPr>
          <w:rFonts w:cs="Arial"/>
        </w:rPr>
        <w:t xml:space="preserve">the </w:t>
      </w:r>
      <w:r w:rsidR="0010519C" w:rsidRPr="00981A79">
        <w:rPr>
          <w:rFonts w:cs="Arial"/>
        </w:rPr>
        <w:t>question is whether</w:t>
      </w:r>
      <w:r w:rsidR="00512994" w:rsidRPr="00981A79">
        <w:rPr>
          <w:rFonts w:cs="Arial"/>
        </w:rPr>
        <w:t xml:space="preserve"> or not </w:t>
      </w:r>
      <w:r w:rsidR="004B170B" w:rsidRPr="00981A79">
        <w:rPr>
          <w:rFonts w:cs="Arial"/>
        </w:rPr>
        <w:t xml:space="preserve">there was participation </w:t>
      </w:r>
      <w:r w:rsidR="0010519C" w:rsidRPr="00981A79">
        <w:rPr>
          <w:rFonts w:cs="Arial"/>
        </w:rPr>
        <w:t xml:space="preserve">and the </w:t>
      </w:r>
      <w:r w:rsidR="008C7C30" w:rsidRPr="00981A79">
        <w:rPr>
          <w:rFonts w:cs="Arial"/>
        </w:rPr>
        <w:t xml:space="preserve">percentage is irrelevant for </w:t>
      </w:r>
      <w:r w:rsidR="004139B9" w:rsidRPr="00981A79">
        <w:rPr>
          <w:rFonts w:cs="Arial"/>
        </w:rPr>
        <w:t>the taxpayer</w:t>
      </w:r>
      <w:r w:rsidR="008C7C30" w:rsidRPr="00981A79">
        <w:rPr>
          <w:rFonts w:cs="Arial"/>
        </w:rPr>
        <w:t>’s preparation.</w:t>
      </w:r>
      <w:r w:rsidR="00E86564" w:rsidRPr="00981A79">
        <w:rPr>
          <w:rFonts w:cs="Arial"/>
        </w:rPr>
        <w:t xml:space="preserve"> </w:t>
      </w:r>
    </w:p>
    <w:p w14:paraId="6FE03815" w14:textId="77777777" w:rsidR="00E1036B" w:rsidRPr="004E0BCB" w:rsidRDefault="00BC4901" w:rsidP="00E32E45">
      <w:pPr>
        <w:spacing w:after="240" w:line="360" w:lineRule="auto"/>
        <w:ind w:left="720" w:hanging="720"/>
        <w:jc w:val="both"/>
        <w:rPr>
          <w:rFonts w:ascii="Arial" w:hAnsi="Arial" w:cs="Arial"/>
          <w:iCs/>
          <w:u w:val="single"/>
        </w:rPr>
      </w:pPr>
      <w:r w:rsidRPr="004E0BCB">
        <w:rPr>
          <w:rFonts w:ascii="Arial" w:hAnsi="Arial" w:cs="Arial"/>
          <w:iCs/>
          <w:u w:val="single"/>
        </w:rPr>
        <w:t>Details pertaining to the introduction</w:t>
      </w:r>
      <w:r w:rsidR="00E86564" w:rsidRPr="004E0BCB">
        <w:rPr>
          <w:rFonts w:ascii="Arial" w:hAnsi="Arial" w:cs="Arial"/>
          <w:iCs/>
          <w:u w:val="single"/>
        </w:rPr>
        <w:t xml:space="preserve"> of illicit </w:t>
      </w:r>
      <w:r w:rsidRPr="004E0BCB">
        <w:rPr>
          <w:rFonts w:ascii="Arial" w:hAnsi="Arial" w:cs="Arial"/>
          <w:iCs/>
          <w:u w:val="single"/>
        </w:rPr>
        <w:t>g</w:t>
      </w:r>
      <w:r w:rsidR="00E86564" w:rsidRPr="004E0BCB">
        <w:rPr>
          <w:rFonts w:ascii="Arial" w:hAnsi="Arial" w:cs="Arial"/>
          <w:iCs/>
          <w:u w:val="single"/>
        </w:rPr>
        <w:t>old into the su</w:t>
      </w:r>
      <w:r w:rsidRPr="004E0BCB">
        <w:rPr>
          <w:rFonts w:ascii="Arial" w:hAnsi="Arial" w:cs="Arial"/>
          <w:iCs/>
          <w:u w:val="single"/>
        </w:rPr>
        <w:t>pply</w:t>
      </w:r>
      <w:r w:rsidR="00E86564" w:rsidRPr="004E0BCB">
        <w:rPr>
          <w:rFonts w:ascii="Arial" w:hAnsi="Arial" w:cs="Arial"/>
          <w:iCs/>
          <w:u w:val="single"/>
        </w:rPr>
        <w:t xml:space="preserve"> chain. </w:t>
      </w:r>
    </w:p>
    <w:p w14:paraId="07D46BC7" w14:textId="4DF899B1" w:rsidR="00347336" w:rsidRPr="00981A79" w:rsidRDefault="00981A79" w:rsidP="00981A79">
      <w:pPr>
        <w:spacing w:after="240" w:line="360" w:lineRule="auto"/>
        <w:ind w:left="720" w:hanging="720"/>
        <w:jc w:val="both"/>
        <w:rPr>
          <w:rFonts w:cs="Arial"/>
        </w:rPr>
      </w:pPr>
      <w:r w:rsidRPr="00B1210B">
        <w:rPr>
          <w:rFonts w:ascii="Arial" w:eastAsia="Calibri" w:hAnsi="Arial" w:cs="Arial"/>
          <w:lang w:val="en-ZA"/>
        </w:rPr>
        <w:t>[60]</w:t>
      </w:r>
      <w:r w:rsidRPr="00B1210B">
        <w:rPr>
          <w:rFonts w:ascii="Arial" w:eastAsia="Calibri" w:hAnsi="Arial" w:cs="Arial"/>
          <w:lang w:val="en-ZA"/>
        </w:rPr>
        <w:tab/>
      </w:r>
      <w:r w:rsidR="006F27F9" w:rsidRPr="00981A79">
        <w:rPr>
          <w:rFonts w:cs="Arial"/>
        </w:rPr>
        <w:t>Again,</w:t>
      </w:r>
      <w:r w:rsidR="00BC4901" w:rsidRPr="00981A79">
        <w:rPr>
          <w:rFonts w:cs="Arial"/>
        </w:rPr>
        <w:t xml:space="preserve"> one must </w:t>
      </w:r>
      <w:r w:rsidR="00616125" w:rsidRPr="00981A79">
        <w:rPr>
          <w:rFonts w:cs="Arial"/>
        </w:rPr>
        <w:t xml:space="preserve">view the entitlement to this information </w:t>
      </w:r>
      <w:r w:rsidR="00996E96" w:rsidRPr="00981A79">
        <w:rPr>
          <w:rFonts w:cs="Arial"/>
        </w:rPr>
        <w:t xml:space="preserve">against the pleaded case of </w:t>
      </w:r>
      <w:r w:rsidR="004139B9" w:rsidRPr="00981A79">
        <w:rPr>
          <w:rFonts w:cs="Arial"/>
        </w:rPr>
        <w:t>the taxpayer</w:t>
      </w:r>
      <w:r w:rsidR="00996E96" w:rsidRPr="00981A79">
        <w:rPr>
          <w:rFonts w:cs="Arial"/>
        </w:rPr>
        <w:t xml:space="preserve">. It </w:t>
      </w:r>
      <w:r w:rsidR="00A511A2" w:rsidRPr="00981A79">
        <w:rPr>
          <w:rFonts w:cs="Arial"/>
        </w:rPr>
        <w:t xml:space="preserve">pleads innocence. This case can be run without </w:t>
      </w:r>
      <w:r w:rsidR="00423014" w:rsidRPr="00981A79">
        <w:rPr>
          <w:rFonts w:cs="Arial"/>
        </w:rPr>
        <w:t>these specific particulars.</w:t>
      </w:r>
    </w:p>
    <w:p w14:paraId="7B37655D" w14:textId="31FE3881" w:rsidR="00075924" w:rsidRPr="00981A79" w:rsidRDefault="00981A79" w:rsidP="00981A79">
      <w:pPr>
        <w:spacing w:after="240" w:line="360" w:lineRule="auto"/>
        <w:ind w:left="720" w:hanging="720"/>
        <w:jc w:val="both"/>
        <w:rPr>
          <w:rFonts w:cs="Arial"/>
        </w:rPr>
      </w:pPr>
      <w:r>
        <w:rPr>
          <w:rFonts w:ascii="Arial" w:eastAsia="Calibri" w:hAnsi="Arial" w:cs="Arial"/>
          <w:lang w:val="en-ZA"/>
        </w:rPr>
        <w:t>[61]</w:t>
      </w:r>
      <w:r>
        <w:rPr>
          <w:rFonts w:ascii="Arial" w:eastAsia="Calibri" w:hAnsi="Arial" w:cs="Arial"/>
          <w:lang w:val="en-ZA"/>
        </w:rPr>
        <w:tab/>
      </w:r>
      <w:r w:rsidR="00347336" w:rsidRPr="00981A79">
        <w:rPr>
          <w:rFonts w:cs="Arial"/>
        </w:rPr>
        <w:t xml:space="preserve">In any event </w:t>
      </w:r>
      <w:r w:rsidR="004139B9" w:rsidRPr="00981A79">
        <w:rPr>
          <w:rFonts w:cs="Arial"/>
        </w:rPr>
        <w:t>the taxpayer</w:t>
      </w:r>
      <w:r w:rsidR="00347336" w:rsidRPr="00981A79">
        <w:rPr>
          <w:rFonts w:cs="Arial"/>
        </w:rPr>
        <w:t xml:space="preserve"> has been provided with sufficient details to prepare for trial and to understand SARS'</w:t>
      </w:r>
      <w:r w:rsidR="00253619" w:rsidRPr="00981A79">
        <w:rPr>
          <w:rFonts w:cs="Arial"/>
        </w:rPr>
        <w:t>s c</w:t>
      </w:r>
      <w:r w:rsidR="00347336" w:rsidRPr="00981A79">
        <w:rPr>
          <w:rFonts w:cs="Arial"/>
        </w:rPr>
        <w:t>ase</w:t>
      </w:r>
      <w:r w:rsidR="00711CF3" w:rsidRPr="00981A79">
        <w:rPr>
          <w:rFonts w:cs="Arial"/>
        </w:rPr>
        <w:t>.</w:t>
      </w:r>
    </w:p>
    <w:p w14:paraId="1738AA35" w14:textId="0ABB96B4" w:rsidR="006B2FF1" w:rsidRPr="00981A79" w:rsidRDefault="00981A79" w:rsidP="00981A79">
      <w:pPr>
        <w:spacing w:after="240" w:line="360" w:lineRule="auto"/>
        <w:ind w:left="720" w:hanging="720"/>
        <w:jc w:val="both"/>
        <w:rPr>
          <w:rFonts w:cs="Arial"/>
        </w:rPr>
      </w:pPr>
      <w:r w:rsidRPr="00B1210B">
        <w:rPr>
          <w:rFonts w:ascii="Arial" w:eastAsia="Calibri" w:hAnsi="Arial" w:cs="Arial"/>
          <w:lang w:val="en-ZA"/>
        </w:rPr>
        <w:t>[62]</w:t>
      </w:r>
      <w:r w:rsidRPr="00B1210B">
        <w:rPr>
          <w:rFonts w:ascii="Arial" w:eastAsia="Calibri" w:hAnsi="Arial" w:cs="Arial"/>
          <w:lang w:val="en-ZA"/>
        </w:rPr>
        <w:tab/>
      </w:r>
      <w:r w:rsidR="00347336" w:rsidRPr="00981A79">
        <w:rPr>
          <w:rFonts w:cs="Arial"/>
        </w:rPr>
        <w:t xml:space="preserve"> </w:t>
      </w:r>
      <w:r w:rsidR="00711CF3" w:rsidRPr="00981A79">
        <w:rPr>
          <w:rFonts w:cs="Arial"/>
        </w:rPr>
        <w:t>R</w:t>
      </w:r>
      <w:r w:rsidR="00347336" w:rsidRPr="00981A79">
        <w:rPr>
          <w:rFonts w:cs="Arial"/>
        </w:rPr>
        <w:t xml:space="preserve">egard </w:t>
      </w:r>
      <w:r w:rsidR="00711CF3" w:rsidRPr="00981A79">
        <w:rPr>
          <w:rFonts w:cs="Arial"/>
        </w:rPr>
        <w:t>must</w:t>
      </w:r>
      <w:r w:rsidR="00347336" w:rsidRPr="00981A79">
        <w:rPr>
          <w:rFonts w:cs="Arial"/>
        </w:rPr>
        <w:t xml:space="preserve"> </w:t>
      </w:r>
      <w:r w:rsidR="00E32E45" w:rsidRPr="00981A79">
        <w:rPr>
          <w:rFonts w:cs="Arial"/>
        </w:rPr>
        <w:t>have had</w:t>
      </w:r>
      <w:r w:rsidR="00347336" w:rsidRPr="00981A79">
        <w:rPr>
          <w:rFonts w:cs="Arial"/>
        </w:rPr>
        <w:t xml:space="preserve"> to the LOAF, FOAL, </w:t>
      </w:r>
      <w:r w:rsidR="00253619" w:rsidRPr="00981A79">
        <w:rPr>
          <w:rFonts w:cs="Arial"/>
        </w:rPr>
        <w:t>d</w:t>
      </w:r>
      <w:r w:rsidR="00347336" w:rsidRPr="00981A79">
        <w:rPr>
          <w:rFonts w:cs="Arial"/>
        </w:rPr>
        <w:t>isallowance of objection, the Rule 31 and Rule 33 statements, that deal with aspects relating to the introduction of the illicit gold into the supply chain, specifically the creation of the fictitious invoices, the invoice factories, the need to disguise the smelting of Krugerrands and the manner in which this is achieved. The expert summaries of M</w:t>
      </w:r>
      <w:r w:rsidR="00936DA9" w:rsidRPr="00981A79">
        <w:rPr>
          <w:rFonts w:cs="Arial"/>
        </w:rPr>
        <w:t>s d</w:t>
      </w:r>
      <w:r w:rsidR="00347336" w:rsidRPr="00981A79">
        <w:rPr>
          <w:rFonts w:cs="Arial"/>
        </w:rPr>
        <w:t>e Nysschen and Mr Klingenberg, inter alia, analyse the supply chains</w:t>
      </w:r>
      <w:r w:rsidR="00075924" w:rsidRPr="00981A79">
        <w:rPr>
          <w:rFonts w:cs="Arial"/>
        </w:rPr>
        <w:t xml:space="preserve"> and provide a clear indication of the basis for SARS’</w:t>
      </w:r>
      <w:r w:rsidR="009141C6" w:rsidRPr="00981A79">
        <w:rPr>
          <w:rFonts w:cs="Arial"/>
        </w:rPr>
        <w:t xml:space="preserve"> </w:t>
      </w:r>
      <w:r w:rsidR="00075924" w:rsidRPr="00981A79">
        <w:rPr>
          <w:rFonts w:cs="Arial"/>
        </w:rPr>
        <w:t>case</w:t>
      </w:r>
      <w:r w:rsidR="00347336" w:rsidRPr="00981A79">
        <w:rPr>
          <w:rFonts w:cs="Arial"/>
        </w:rPr>
        <w:t>.</w:t>
      </w:r>
    </w:p>
    <w:p w14:paraId="73E66BD2" w14:textId="00980350" w:rsidR="00CC1398" w:rsidRPr="00981A79" w:rsidRDefault="00981A79" w:rsidP="00981A79">
      <w:pPr>
        <w:spacing w:after="240" w:line="360" w:lineRule="auto"/>
        <w:ind w:left="720" w:hanging="720"/>
        <w:jc w:val="both"/>
        <w:rPr>
          <w:rFonts w:cs="Arial"/>
        </w:rPr>
      </w:pPr>
      <w:r w:rsidRPr="00E32E45">
        <w:rPr>
          <w:rFonts w:ascii="Arial" w:eastAsia="Calibri" w:hAnsi="Arial" w:cs="Arial"/>
          <w:lang w:val="en-ZA"/>
        </w:rPr>
        <w:t>[63]</w:t>
      </w:r>
      <w:r w:rsidRPr="00E32E45">
        <w:rPr>
          <w:rFonts w:ascii="Arial" w:eastAsia="Calibri" w:hAnsi="Arial" w:cs="Arial"/>
          <w:lang w:val="en-ZA"/>
        </w:rPr>
        <w:tab/>
      </w:r>
      <w:r w:rsidR="00EC7052" w:rsidRPr="00981A79">
        <w:rPr>
          <w:rFonts w:cs="Arial"/>
        </w:rPr>
        <w:t>In the circumstances the application for further part</w:t>
      </w:r>
      <w:r w:rsidR="00C50CC7" w:rsidRPr="00981A79">
        <w:rPr>
          <w:rFonts w:cs="Arial"/>
        </w:rPr>
        <w:t>iculars is dismissed</w:t>
      </w:r>
    </w:p>
    <w:p w14:paraId="69C35CCF" w14:textId="77777777" w:rsidR="00C50CC7" w:rsidRPr="004B170B" w:rsidRDefault="00C50CC7" w:rsidP="00E32E45">
      <w:pPr>
        <w:spacing w:after="240" w:line="360" w:lineRule="auto"/>
        <w:ind w:left="720" w:hanging="720"/>
        <w:jc w:val="both"/>
        <w:rPr>
          <w:rFonts w:ascii="Arial" w:hAnsi="Arial" w:cs="Arial"/>
          <w:i/>
          <w:iCs/>
        </w:rPr>
      </w:pPr>
      <w:r w:rsidRPr="004B170B">
        <w:rPr>
          <w:rFonts w:ascii="Arial" w:hAnsi="Arial" w:cs="Arial"/>
          <w:i/>
          <w:iCs/>
        </w:rPr>
        <w:t>SAR</w:t>
      </w:r>
      <w:r w:rsidR="006F27F9" w:rsidRPr="004B170B">
        <w:rPr>
          <w:rFonts w:ascii="Arial" w:hAnsi="Arial" w:cs="Arial"/>
          <w:i/>
          <w:iCs/>
        </w:rPr>
        <w:t xml:space="preserve">S’s </w:t>
      </w:r>
      <w:r w:rsidR="00DC772A" w:rsidRPr="004B170B">
        <w:rPr>
          <w:rFonts w:ascii="Arial" w:hAnsi="Arial" w:cs="Arial"/>
          <w:i/>
          <w:iCs/>
        </w:rPr>
        <w:t>application to compel further discovery</w:t>
      </w:r>
    </w:p>
    <w:p w14:paraId="06CC656B" w14:textId="18796209" w:rsidR="003C1F17" w:rsidRPr="00981A79" w:rsidRDefault="00981A79" w:rsidP="00981A79">
      <w:pPr>
        <w:spacing w:after="240" w:line="360" w:lineRule="auto"/>
        <w:ind w:left="720" w:hanging="720"/>
        <w:jc w:val="both"/>
        <w:rPr>
          <w:rFonts w:cs="Arial"/>
        </w:rPr>
      </w:pPr>
      <w:r w:rsidRPr="003C1F17">
        <w:rPr>
          <w:rFonts w:ascii="Arial" w:eastAsia="Calibri" w:hAnsi="Arial" w:cs="Arial"/>
          <w:lang w:val="en-ZA"/>
        </w:rPr>
        <w:t>[64]</w:t>
      </w:r>
      <w:r w:rsidRPr="003C1F17">
        <w:rPr>
          <w:rFonts w:ascii="Arial" w:eastAsia="Calibri" w:hAnsi="Arial" w:cs="Arial"/>
          <w:lang w:val="en-ZA"/>
        </w:rPr>
        <w:tab/>
      </w:r>
      <w:r w:rsidR="00FE5412" w:rsidRPr="00981A79">
        <w:rPr>
          <w:rFonts w:cs="Arial"/>
        </w:rPr>
        <w:t xml:space="preserve">SARS was late in </w:t>
      </w:r>
      <w:r w:rsidR="007458C1" w:rsidRPr="00981A79">
        <w:rPr>
          <w:rFonts w:cs="Arial"/>
        </w:rPr>
        <w:t>delivering its rule 36(6) notice</w:t>
      </w:r>
      <w:r w:rsidR="00FE5412" w:rsidRPr="00981A79">
        <w:rPr>
          <w:rFonts w:cs="Arial"/>
        </w:rPr>
        <w:t xml:space="preserve">. </w:t>
      </w:r>
      <w:r w:rsidR="00173B03" w:rsidRPr="00981A79">
        <w:rPr>
          <w:rFonts w:cs="Arial"/>
        </w:rPr>
        <w:t>I</w:t>
      </w:r>
      <w:r w:rsidR="00FE5412" w:rsidRPr="00981A79">
        <w:rPr>
          <w:rFonts w:cs="Arial"/>
        </w:rPr>
        <w:t xml:space="preserve">t seeks </w:t>
      </w:r>
      <w:r w:rsidR="004139B9" w:rsidRPr="00981A79">
        <w:rPr>
          <w:rFonts w:cs="Arial"/>
        </w:rPr>
        <w:t>condonation for</w:t>
      </w:r>
      <w:r w:rsidR="00F14CDF" w:rsidRPr="00981A79">
        <w:rPr>
          <w:rFonts w:cs="Arial"/>
        </w:rPr>
        <w:t xml:space="preserve"> this late filing</w:t>
      </w:r>
      <w:r w:rsidR="005F6936" w:rsidRPr="00981A79">
        <w:rPr>
          <w:rFonts w:cs="Arial"/>
        </w:rPr>
        <w:t xml:space="preserve">. </w:t>
      </w:r>
      <w:r w:rsidR="00B60222" w:rsidRPr="00981A79">
        <w:rPr>
          <w:rFonts w:cs="Arial"/>
        </w:rPr>
        <w:t>The application for condonation is opposed</w:t>
      </w:r>
      <w:r w:rsidR="00173B03" w:rsidRPr="00981A79">
        <w:rPr>
          <w:rFonts w:cs="Arial"/>
        </w:rPr>
        <w:t xml:space="preserve">. </w:t>
      </w:r>
    </w:p>
    <w:p w14:paraId="6A5B62C8" w14:textId="220207BC" w:rsidR="001E1E87" w:rsidRPr="00981A79" w:rsidRDefault="00981A79" w:rsidP="00981A79">
      <w:pPr>
        <w:spacing w:after="240" w:line="360" w:lineRule="auto"/>
        <w:ind w:left="720" w:hanging="720"/>
        <w:jc w:val="both"/>
        <w:rPr>
          <w:rFonts w:cs="Arial"/>
        </w:rPr>
      </w:pPr>
      <w:r>
        <w:rPr>
          <w:rFonts w:ascii="Arial" w:eastAsia="Calibri" w:hAnsi="Arial" w:cs="Arial"/>
          <w:lang w:val="en-ZA"/>
        </w:rPr>
        <w:t>[65]</w:t>
      </w:r>
      <w:r>
        <w:rPr>
          <w:rFonts w:ascii="Arial" w:eastAsia="Calibri" w:hAnsi="Arial" w:cs="Arial"/>
          <w:lang w:val="en-ZA"/>
        </w:rPr>
        <w:tab/>
      </w:r>
      <w:r w:rsidR="00E32E45" w:rsidRPr="00981A79">
        <w:rPr>
          <w:rFonts w:cs="Arial"/>
        </w:rPr>
        <w:t xml:space="preserve"> This tax appeal </w:t>
      </w:r>
      <w:r w:rsidR="00780A3A" w:rsidRPr="00981A79">
        <w:rPr>
          <w:rFonts w:cs="Arial"/>
        </w:rPr>
        <w:t>is very important to both parties</w:t>
      </w:r>
      <w:r w:rsidR="00E32E45" w:rsidRPr="00981A79">
        <w:rPr>
          <w:rFonts w:cs="Arial"/>
        </w:rPr>
        <w:t xml:space="preserve"> and</w:t>
      </w:r>
      <w:r w:rsidR="00780A3A" w:rsidRPr="00981A79">
        <w:rPr>
          <w:rFonts w:cs="Arial"/>
        </w:rPr>
        <w:t xml:space="preserve">. </w:t>
      </w:r>
      <w:r w:rsidR="00203F18" w:rsidRPr="00981A79">
        <w:rPr>
          <w:rFonts w:cs="Arial"/>
        </w:rPr>
        <w:t xml:space="preserve">The quantum is significant </w:t>
      </w:r>
      <w:r w:rsidR="00114FA2" w:rsidRPr="00981A79">
        <w:rPr>
          <w:rFonts w:cs="Arial"/>
        </w:rPr>
        <w:t xml:space="preserve">to the fiscus </w:t>
      </w:r>
      <w:r w:rsidR="00203F18" w:rsidRPr="00981A79">
        <w:rPr>
          <w:rFonts w:cs="Arial"/>
        </w:rPr>
        <w:t xml:space="preserve">– being </w:t>
      </w:r>
      <w:r w:rsidR="00672858" w:rsidRPr="00981A79">
        <w:rPr>
          <w:rFonts w:cs="Arial"/>
        </w:rPr>
        <w:t xml:space="preserve">more than R 4 billion. </w:t>
      </w:r>
    </w:p>
    <w:p w14:paraId="4EE9733D" w14:textId="64A447B0" w:rsidR="000B1963" w:rsidRPr="00981A79" w:rsidRDefault="00981A79" w:rsidP="00981A79">
      <w:pPr>
        <w:spacing w:after="240" w:line="360" w:lineRule="auto"/>
        <w:ind w:left="720" w:hanging="720"/>
        <w:jc w:val="both"/>
        <w:rPr>
          <w:rFonts w:cs="Arial"/>
        </w:rPr>
      </w:pPr>
      <w:r w:rsidRPr="003C1E45">
        <w:rPr>
          <w:rFonts w:ascii="Arial" w:eastAsia="Calibri" w:hAnsi="Arial" w:cs="Arial"/>
          <w:lang w:val="en-ZA"/>
        </w:rPr>
        <w:lastRenderedPageBreak/>
        <w:t>[66]</w:t>
      </w:r>
      <w:r w:rsidRPr="003C1E45">
        <w:rPr>
          <w:rFonts w:ascii="Arial" w:eastAsia="Calibri" w:hAnsi="Arial" w:cs="Arial"/>
          <w:lang w:val="en-ZA"/>
        </w:rPr>
        <w:tab/>
      </w:r>
      <w:r w:rsidR="00672858" w:rsidRPr="00981A79">
        <w:rPr>
          <w:rFonts w:cs="Arial"/>
        </w:rPr>
        <w:t xml:space="preserve">The fact that the </w:t>
      </w:r>
      <w:r w:rsidR="00F2722F" w:rsidRPr="00981A79">
        <w:rPr>
          <w:rFonts w:cs="Arial"/>
        </w:rPr>
        <w:t xml:space="preserve">appeal was postponed limits the prejudice to </w:t>
      </w:r>
      <w:r w:rsidR="001E1E87" w:rsidRPr="00981A79">
        <w:rPr>
          <w:rFonts w:cs="Arial"/>
        </w:rPr>
        <w:t>the</w:t>
      </w:r>
      <w:r w:rsidR="004139B9" w:rsidRPr="00981A79">
        <w:rPr>
          <w:rFonts w:cs="Arial"/>
        </w:rPr>
        <w:t xml:space="preserve"> taxpayer</w:t>
      </w:r>
      <w:r w:rsidR="000B1963" w:rsidRPr="00981A79">
        <w:rPr>
          <w:rFonts w:cs="Arial"/>
        </w:rPr>
        <w:t xml:space="preserve">. </w:t>
      </w:r>
      <w:r w:rsidR="00B31A70" w:rsidRPr="00981A79">
        <w:rPr>
          <w:rFonts w:cs="Arial"/>
        </w:rPr>
        <w:t xml:space="preserve">The </w:t>
      </w:r>
      <w:r w:rsidR="00543C42" w:rsidRPr="00981A79">
        <w:rPr>
          <w:rFonts w:cs="Arial"/>
        </w:rPr>
        <w:t>matter is complex</w:t>
      </w:r>
      <w:r w:rsidR="001E1E87" w:rsidRPr="00981A79">
        <w:rPr>
          <w:rFonts w:cs="Arial"/>
        </w:rPr>
        <w:t xml:space="preserve"> and </w:t>
      </w:r>
      <w:r w:rsidR="00543C42" w:rsidRPr="00981A79">
        <w:rPr>
          <w:rFonts w:cs="Arial"/>
        </w:rPr>
        <w:t>the delay not excessive</w:t>
      </w:r>
      <w:r w:rsidR="00B80E6C" w:rsidRPr="00981A79">
        <w:rPr>
          <w:rFonts w:cs="Arial"/>
        </w:rPr>
        <w:t>. Accordingly, condonation is granted.</w:t>
      </w:r>
    </w:p>
    <w:p w14:paraId="6CF6CA2B" w14:textId="63E001F6" w:rsidR="009141AF" w:rsidRPr="00981A79" w:rsidRDefault="00981A79" w:rsidP="00981A79">
      <w:pPr>
        <w:spacing w:after="240" w:line="360" w:lineRule="auto"/>
        <w:ind w:left="720" w:hanging="720"/>
        <w:jc w:val="both"/>
        <w:rPr>
          <w:rFonts w:cs="Arial"/>
        </w:rPr>
      </w:pPr>
      <w:r w:rsidRPr="00947211">
        <w:rPr>
          <w:rFonts w:ascii="Arial" w:eastAsia="Calibri" w:hAnsi="Arial" w:cs="Arial"/>
          <w:lang w:val="en-ZA"/>
        </w:rPr>
        <w:t>[67]</w:t>
      </w:r>
      <w:r w:rsidRPr="00947211">
        <w:rPr>
          <w:rFonts w:ascii="Arial" w:eastAsia="Calibri" w:hAnsi="Arial" w:cs="Arial"/>
          <w:lang w:val="en-ZA"/>
        </w:rPr>
        <w:tab/>
      </w:r>
      <w:r w:rsidR="007B6E51" w:rsidRPr="00981A79">
        <w:rPr>
          <w:rFonts w:cs="Arial"/>
        </w:rPr>
        <w:t xml:space="preserve">Documentation that, according to SARS, still needs to be discovered by </w:t>
      </w:r>
      <w:r w:rsidR="004139B9" w:rsidRPr="00981A79">
        <w:rPr>
          <w:rFonts w:cs="Arial"/>
        </w:rPr>
        <w:t>the taxpayer</w:t>
      </w:r>
      <w:r w:rsidR="004E0BCB" w:rsidRPr="00981A79">
        <w:rPr>
          <w:rFonts w:cs="Arial"/>
        </w:rPr>
        <w:t xml:space="preserve"> is as follows</w:t>
      </w:r>
      <w:r w:rsidR="007B6E51" w:rsidRPr="00981A79">
        <w:rPr>
          <w:rFonts w:cs="Arial"/>
        </w:rPr>
        <w:t xml:space="preserve">: </w:t>
      </w:r>
    </w:p>
    <w:p w14:paraId="52B6B9BF" w14:textId="4F9D782D" w:rsidR="00767B3C" w:rsidRPr="00981A79" w:rsidRDefault="00981A79" w:rsidP="00981A79">
      <w:pPr>
        <w:spacing w:after="240" w:line="360" w:lineRule="auto"/>
        <w:ind w:left="2160" w:hanging="720"/>
        <w:jc w:val="both"/>
        <w:rPr>
          <w:rFonts w:cs="Arial"/>
        </w:rPr>
      </w:pPr>
      <w:bookmarkStart w:id="18" w:name="_Hlk155866493"/>
      <w:r w:rsidRPr="00000E8D">
        <w:rPr>
          <w:rFonts w:ascii="Arial" w:eastAsia="Calibri" w:hAnsi="Arial" w:cs="Arial"/>
          <w:lang w:val="en-ZA"/>
        </w:rPr>
        <w:t>a)</w:t>
      </w:r>
      <w:r w:rsidRPr="00000E8D">
        <w:rPr>
          <w:rFonts w:ascii="Arial" w:eastAsia="Calibri" w:hAnsi="Arial" w:cs="Arial"/>
          <w:lang w:val="en-ZA"/>
        </w:rPr>
        <w:tab/>
      </w:r>
      <w:r w:rsidR="00A21624" w:rsidRPr="00981A79">
        <w:rPr>
          <w:rFonts w:cs="Arial"/>
        </w:rPr>
        <w:t xml:space="preserve">Documents pertaining to </w:t>
      </w:r>
      <w:r w:rsidR="004139B9" w:rsidRPr="00981A79">
        <w:rPr>
          <w:rFonts w:cs="Arial"/>
        </w:rPr>
        <w:t>the taxpayer</w:t>
      </w:r>
      <w:r w:rsidR="00A21624" w:rsidRPr="00981A79">
        <w:rPr>
          <w:rFonts w:cs="Arial"/>
        </w:rPr>
        <w:t xml:space="preserve">’s </w:t>
      </w:r>
      <w:r w:rsidR="00FD3498" w:rsidRPr="00981A79">
        <w:rPr>
          <w:rFonts w:cs="Arial"/>
        </w:rPr>
        <w:t>remainin</w:t>
      </w:r>
      <w:r w:rsidR="00336D1D" w:rsidRPr="00981A79">
        <w:rPr>
          <w:rFonts w:cs="Arial"/>
        </w:rPr>
        <w:t>g supp</w:t>
      </w:r>
      <w:r w:rsidR="00CB661B" w:rsidRPr="00981A79">
        <w:rPr>
          <w:rFonts w:cs="Arial"/>
        </w:rPr>
        <w:t>liers;</w:t>
      </w:r>
    </w:p>
    <w:p w14:paraId="4700C468" w14:textId="7F777167" w:rsidR="004416DF" w:rsidRPr="00981A79" w:rsidRDefault="00981A79" w:rsidP="00981A79">
      <w:pPr>
        <w:spacing w:after="240" w:line="360" w:lineRule="auto"/>
        <w:ind w:left="2160" w:hanging="720"/>
        <w:jc w:val="both"/>
        <w:rPr>
          <w:rFonts w:cs="Arial"/>
        </w:rPr>
      </w:pPr>
      <w:r>
        <w:rPr>
          <w:rFonts w:ascii="Arial" w:eastAsia="Calibri" w:hAnsi="Arial" w:cs="Arial"/>
          <w:lang w:val="en-ZA"/>
        </w:rPr>
        <w:t>b)</w:t>
      </w:r>
      <w:r>
        <w:rPr>
          <w:rFonts w:ascii="Arial" w:eastAsia="Calibri" w:hAnsi="Arial" w:cs="Arial"/>
          <w:lang w:val="en-ZA"/>
        </w:rPr>
        <w:tab/>
      </w:r>
      <w:r w:rsidR="004139B9" w:rsidRPr="00981A79">
        <w:rPr>
          <w:rFonts w:cs="Arial"/>
        </w:rPr>
        <w:t>The taxpayer</w:t>
      </w:r>
      <w:r w:rsidR="001C30C7" w:rsidRPr="00981A79">
        <w:rPr>
          <w:rFonts w:cs="Arial"/>
        </w:rPr>
        <w:t>'s reports, memoranda, recommendations, presentations prepared by the investigators, consultants, advisers, and experts known as Paul and Kurt, as well as contemporaneous notes minutes of meetings held with Paul and Kur</w:t>
      </w:r>
      <w:r w:rsidR="00DE19B7" w:rsidRPr="00981A79">
        <w:rPr>
          <w:rFonts w:cs="Arial"/>
        </w:rPr>
        <w:t xml:space="preserve">t; </w:t>
      </w:r>
      <w:r w:rsidR="001C30C7" w:rsidRPr="00981A79">
        <w:rPr>
          <w:rFonts w:cs="Arial"/>
        </w:rPr>
        <w:t xml:space="preserve"> </w:t>
      </w:r>
    </w:p>
    <w:p w14:paraId="037B9277" w14:textId="362BDED8" w:rsidR="004416DF" w:rsidRPr="00981A79" w:rsidRDefault="00981A79" w:rsidP="00981A79">
      <w:pPr>
        <w:spacing w:after="240" w:line="360" w:lineRule="auto"/>
        <w:ind w:left="2160" w:hanging="720"/>
        <w:jc w:val="both"/>
        <w:rPr>
          <w:rFonts w:cs="Arial"/>
        </w:rPr>
      </w:pPr>
      <w:r>
        <w:rPr>
          <w:rFonts w:ascii="Arial" w:eastAsia="Calibri" w:hAnsi="Arial" w:cs="Arial"/>
          <w:lang w:val="en-ZA"/>
        </w:rPr>
        <w:t>c)</w:t>
      </w:r>
      <w:r>
        <w:rPr>
          <w:rFonts w:ascii="Arial" w:eastAsia="Calibri" w:hAnsi="Arial" w:cs="Arial"/>
          <w:lang w:val="en-ZA"/>
        </w:rPr>
        <w:tab/>
      </w:r>
      <w:r w:rsidR="004139B9" w:rsidRPr="00981A79">
        <w:rPr>
          <w:rFonts w:cs="Arial"/>
        </w:rPr>
        <w:t>The taxpayer</w:t>
      </w:r>
      <w:r w:rsidR="001C30C7" w:rsidRPr="00981A79">
        <w:rPr>
          <w:rFonts w:cs="Arial"/>
        </w:rPr>
        <w:t>'s VAT201 returns and documentation that accompanied the returns for t</w:t>
      </w:r>
      <w:r w:rsidR="00DE19B7" w:rsidRPr="00981A79">
        <w:rPr>
          <w:rFonts w:cs="Arial"/>
        </w:rPr>
        <w:t xml:space="preserve">he period 01/2018 to 12/2018; </w:t>
      </w:r>
      <w:r w:rsidR="001C30C7" w:rsidRPr="00981A79">
        <w:rPr>
          <w:rFonts w:cs="Arial"/>
        </w:rPr>
        <w:t xml:space="preserve"> </w:t>
      </w:r>
    </w:p>
    <w:p w14:paraId="36AE9A0D" w14:textId="765727D0" w:rsidR="004416DF" w:rsidRPr="00981A79" w:rsidRDefault="00981A79" w:rsidP="00981A79">
      <w:pPr>
        <w:spacing w:after="240" w:line="360" w:lineRule="auto"/>
        <w:ind w:left="2160" w:hanging="720"/>
        <w:jc w:val="both"/>
        <w:rPr>
          <w:rFonts w:cs="Arial"/>
        </w:rPr>
      </w:pPr>
      <w:r>
        <w:rPr>
          <w:rFonts w:ascii="Arial" w:eastAsia="Calibri" w:hAnsi="Arial" w:cs="Arial"/>
          <w:lang w:val="en-ZA"/>
        </w:rPr>
        <w:t>d)</w:t>
      </w:r>
      <w:r>
        <w:rPr>
          <w:rFonts w:ascii="Arial" w:eastAsia="Calibri" w:hAnsi="Arial" w:cs="Arial"/>
          <w:lang w:val="en-ZA"/>
        </w:rPr>
        <w:tab/>
      </w:r>
      <w:r w:rsidR="001C30C7" w:rsidRPr="00981A79">
        <w:rPr>
          <w:rFonts w:cs="Arial"/>
        </w:rPr>
        <w:t xml:space="preserve">The correspondence and documentation exchanged between </w:t>
      </w:r>
      <w:r w:rsidR="004139B9" w:rsidRPr="00981A79">
        <w:rPr>
          <w:rFonts w:cs="Arial"/>
        </w:rPr>
        <w:t>the taxpayer</w:t>
      </w:r>
      <w:r w:rsidR="001C30C7" w:rsidRPr="00981A79">
        <w:rPr>
          <w:rFonts w:cs="Arial"/>
        </w:rPr>
        <w:t xml:space="preserve"> and SARS in respect of the various verification audits conducted for the period 01/2018 to 12/201</w:t>
      </w:r>
      <w:r w:rsidR="00DE19B7" w:rsidRPr="00981A79">
        <w:rPr>
          <w:rFonts w:cs="Arial"/>
        </w:rPr>
        <w:t>8;</w:t>
      </w:r>
    </w:p>
    <w:p w14:paraId="6358AEC0" w14:textId="64BB4C26" w:rsidR="004416DF" w:rsidRPr="00981A79" w:rsidRDefault="00981A79" w:rsidP="00981A79">
      <w:pPr>
        <w:spacing w:after="240" w:line="360" w:lineRule="auto"/>
        <w:ind w:left="2160" w:hanging="720"/>
        <w:jc w:val="both"/>
        <w:rPr>
          <w:rFonts w:cs="Arial"/>
        </w:rPr>
      </w:pPr>
      <w:r>
        <w:rPr>
          <w:rFonts w:ascii="Arial" w:eastAsia="Calibri" w:hAnsi="Arial" w:cs="Arial"/>
          <w:lang w:val="en-ZA"/>
        </w:rPr>
        <w:t>e)</w:t>
      </w:r>
      <w:r>
        <w:rPr>
          <w:rFonts w:ascii="Arial" w:eastAsia="Calibri" w:hAnsi="Arial" w:cs="Arial"/>
          <w:lang w:val="en-ZA"/>
        </w:rPr>
        <w:tab/>
      </w:r>
      <w:r w:rsidR="004139B9" w:rsidRPr="00981A79">
        <w:rPr>
          <w:rFonts w:cs="Arial"/>
        </w:rPr>
        <w:t>The taxpayer</w:t>
      </w:r>
      <w:r w:rsidR="001C30C7" w:rsidRPr="00981A79">
        <w:rPr>
          <w:rFonts w:cs="Arial"/>
        </w:rPr>
        <w:t>'s 'tax-</w:t>
      </w:r>
      <w:r w:rsidR="00934849" w:rsidRPr="00981A79">
        <w:rPr>
          <w:rFonts w:cs="Arial"/>
        </w:rPr>
        <w:t>type reports’ f</w:t>
      </w:r>
      <w:r w:rsidR="001C30C7" w:rsidRPr="00981A79">
        <w:rPr>
          <w:rFonts w:cs="Arial"/>
        </w:rPr>
        <w:t>or the</w:t>
      </w:r>
      <w:r w:rsidR="00DE19B7" w:rsidRPr="00981A79">
        <w:rPr>
          <w:rFonts w:cs="Arial"/>
        </w:rPr>
        <w:t xml:space="preserve"> period 01/2018 to 12/2018; </w:t>
      </w:r>
    </w:p>
    <w:p w14:paraId="5C34E745" w14:textId="484B2178" w:rsidR="004416DF" w:rsidRPr="00981A79" w:rsidRDefault="00981A79" w:rsidP="00981A79">
      <w:pPr>
        <w:spacing w:after="240" w:line="360" w:lineRule="auto"/>
        <w:ind w:left="2160" w:hanging="720"/>
        <w:jc w:val="both"/>
        <w:rPr>
          <w:rFonts w:cs="Arial"/>
        </w:rPr>
      </w:pPr>
      <w:r>
        <w:rPr>
          <w:rFonts w:ascii="Arial" w:eastAsia="Calibri" w:hAnsi="Arial" w:cs="Arial"/>
          <w:lang w:val="en-ZA"/>
        </w:rPr>
        <w:t>f)</w:t>
      </w:r>
      <w:r>
        <w:rPr>
          <w:rFonts w:ascii="Arial" w:eastAsia="Calibri" w:hAnsi="Arial" w:cs="Arial"/>
          <w:lang w:val="en-ZA"/>
        </w:rPr>
        <w:tab/>
      </w:r>
      <w:r w:rsidR="004139B9" w:rsidRPr="00981A79">
        <w:rPr>
          <w:rFonts w:cs="Arial"/>
        </w:rPr>
        <w:t>The taxpayer</w:t>
      </w:r>
      <w:r w:rsidR="001C30C7" w:rsidRPr="00981A79">
        <w:rPr>
          <w:rFonts w:cs="Arial"/>
        </w:rPr>
        <w:t>'s income tax returns and</w:t>
      </w:r>
      <w:r w:rsidR="00934849" w:rsidRPr="00981A79">
        <w:rPr>
          <w:rFonts w:cs="Arial"/>
        </w:rPr>
        <w:t xml:space="preserve"> any accompanying documents for </w:t>
      </w:r>
      <w:r w:rsidR="001C30C7" w:rsidRPr="00981A79">
        <w:rPr>
          <w:rFonts w:cs="Arial"/>
        </w:rPr>
        <w:t>the period 02/2018 to 06/202</w:t>
      </w:r>
      <w:r w:rsidR="00DE19B7" w:rsidRPr="00981A79">
        <w:rPr>
          <w:rFonts w:cs="Arial"/>
        </w:rPr>
        <w:t>0;</w:t>
      </w:r>
      <w:r w:rsidR="001C30C7" w:rsidRPr="00981A79">
        <w:rPr>
          <w:rFonts w:cs="Arial"/>
        </w:rPr>
        <w:t xml:space="preserve"> </w:t>
      </w:r>
    </w:p>
    <w:p w14:paraId="74993501" w14:textId="29193C0B" w:rsidR="00983B6A" w:rsidRPr="00981A79" w:rsidRDefault="00981A79" w:rsidP="00981A79">
      <w:pPr>
        <w:spacing w:after="240" w:line="360" w:lineRule="auto"/>
        <w:ind w:left="2160" w:hanging="720"/>
        <w:jc w:val="both"/>
        <w:rPr>
          <w:rFonts w:cs="Arial"/>
        </w:rPr>
      </w:pPr>
      <w:r>
        <w:rPr>
          <w:rFonts w:ascii="Arial" w:eastAsia="Calibri" w:hAnsi="Arial" w:cs="Arial"/>
          <w:lang w:val="en-ZA"/>
        </w:rPr>
        <w:t>g)</w:t>
      </w:r>
      <w:r>
        <w:rPr>
          <w:rFonts w:ascii="Arial" w:eastAsia="Calibri" w:hAnsi="Arial" w:cs="Arial"/>
          <w:lang w:val="en-ZA"/>
        </w:rPr>
        <w:tab/>
      </w:r>
      <w:r w:rsidR="004139B9" w:rsidRPr="00981A79">
        <w:rPr>
          <w:rFonts w:cs="Arial"/>
        </w:rPr>
        <w:t>The taxpayer</w:t>
      </w:r>
      <w:r w:rsidR="001C30C7" w:rsidRPr="00981A79">
        <w:rPr>
          <w:rFonts w:cs="Arial"/>
        </w:rPr>
        <w:t xml:space="preserve">'s relevant bank statements and other documentation for the period 01/2018 to 12/2018 concerning payments made to </w:t>
      </w:r>
      <w:r w:rsidR="004139B9" w:rsidRPr="00981A79">
        <w:rPr>
          <w:rFonts w:cs="Arial"/>
        </w:rPr>
        <w:t>the taxpayer</w:t>
      </w:r>
      <w:r w:rsidR="001C30C7" w:rsidRPr="00981A79">
        <w:rPr>
          <w:rFonts w:cs="Arial"/>
        </w:rPr>
        <w:t xml:space="preserve"> or deposits received by </w:t>
      </w:r>
      <w:r w:rsidR="004139B9" w:rsidRPr="00981A79">
        <w:rPr>
          <w:rFonts w:cs="Arial"/>
        </w:rPr>
        <w:t>the taxpayer</w:t>
      </w:r>
      <w:r w:rsidR="001C30C7" w:rsidRPr="00981A79">
        <w:rPr>
          <w:rFonts w:cs="Arial"/>
        </w:rPr>
        <w:t xml:space="preserve"> from cash-in-transit or paymaster companies;</w:t>
      </w:r>
    </w:p>
    <w:p w14:paraId="349359A1" w14:textId="251A2B47" w:rsidR="004416DF" w:rsidRPr="00981A79" w:rsidRDefault="00981A79" w:rsidP="00981A79">
      <w:pPr>
        <w:spacing w:after="240" w:line="360" w:lineRule="auto"/>
        <w:ind w:left="2160" w:hanging="720"/>
        <w:jc w:val="both"/>
        <w:rPr>
          <w:rFonts w:cs="Arial"/>
        </w:rPr>
      </w:pPr>
      <w:r w:rsidRPr="00983B6A">
        <w:rPr>
          <w:rFonts w:ascii="Arial" w:eastAsia="Calibri" w:hAnsi="Arial" w:cs="Arial"/>
          <w:lang w:val="en-ZA"/>
        </w:rPr>
        <w:t>h)</w:t>
      </w:r>
      <w:r w:rsidRPr="00983B6A">
        <w:rPr>
          <w:rFonts w:ascii="Arial" w:eastAsia="Calibri" w:hAnsi="Arial" w:cs="Arial"/>
          <w:lang w:val="en-ZA"/>
        </w:rPr>
        <w:tab/>
      </w:r>
      <w:r w:rsidR="004139B9" w:rsidRPr="00981A79">
        <w:rPr>
          <w:rFonts w:cs="Arial"/>
        </w:rPr>
        <w:t>The taxpayer</w:t>
      </w:r>
      <w:r w:rsidR="001C30C7" w:rsidRPr="00981A79">
        <w:rPr>
          <w:rFonts w:cs="Arial"/>
        </w:rPr>
        <w:t>'s documentation and/or correspondence in respect of goods containing gold material received from cash-in-transit, paymaster companies, courier companies</w:t>
      </w:r>
    </w:p>
    <w:p w14:paraId="13E24F7B" w14:textId="16652EE4" w:rsidR="004416DF" w:rsidRPr="00981A79" w:rsidRDefault="00981A79" w:rsidP="00981A79">
      <w:pPr>
        <w:spacing w:after="240" w:line="360" w:lineRule="auto"/>
        <w:ind w:left="2160" w:hanging="720"/>
        <w:jc w:val="both"/>
        <w:rPr>
          <w:rFonts w:cs="Arial"/>
        </w:rPr>
      </w:pPr>
      <w:r>
        <w:rPr>
          <w:rFonts w:ascii="Arial" w:eastAsia="Calibri" w:hAnsi="Arial" w:cs="Arial"/>
          <w:lang w:val="en-ZA"/>
        </w:rPr>
        <w:t>i)</w:t>
      </w:r>
      <w:r>
        <w:rPr>
          <w:rFonts w:ascii="Arial" w:eastAsia="Calibri" w:hAnsi="Arial" w:cs="Arial"/>
          <w:lang w:val="en-ZA"/>
        </w:rPr>
        <w:tab/>
      </w:r>
      <w:r w:rsidR="004139B9" w:rsidRPr="00981A79">
        <w:rPr>
          <w:rFonts w:cs="Arial"/>
        </w:rPr>
        <w:t>The taxpayer</w:t>
      </w:r>
      <w:r w:rsidR="001C30C7" w:rsidRPr="00981A79">
        <w:rPr>
          <w:rFonts w:cs="Arial"/>
        </w:rPr>
        <w:t>'s documentation and/or correspondence in respect of goods containing gold material collected from the</w:t>
      </w:r>
      <w:r w:rsidR="004139B9" w:rsidRPr="00981A79">
        <w:rPr>
          <w:rFonts w:cs="Arial"/>
        </w:rPr>
        <w:t xml:space="preserve"> taxpayer</w:t>
      </w:r>
      <w:r w:rsidR="001C30C7" w:rsidRPr="00981A79">
        <w:rPr>
          <w:rFonts w:cs="Arial"/>
        </w:rPr>
        <w:t>'s premises by cash-in-transit companies, paymaster companies, courier companies</w:t>
      </w:r>
      <w:r w:rsidR="00000E8D" w:rsidRPr="00981A79">
        <w:rPr>
          <w:rFonts w:cs="Arial"/>
        </w:rPr>
        <w:t>;</w:t>
      </w:r>
    </w:p>
    <w:p w14:paraId="6C0FDAED" w14:textId="78FBB9F8" w:rsidR="004416DF" w:rsidRPr="00981A79" w:rsidRDefault="00981A79" w:rsidP="00981A79">
      <w:pPr>
        <w:spacing w:after="240" w:line="360" w:lineRule="auto"/>
        <w:ind w:left="2160" w:hanging="720"/>
        <w:jc w:val="both"/>
        <w:rPr>
          <w:rFonts w:cs="Arial"/>
        </w:rPr>
      </w:pPr>
      <w:r w:rsidRPr="00000E8D">
        <w:rPr>
          <w:rFonts w:ascii="Arial" w:eastAsia="Calibri" w:hAnsi="Arial" w:cs="Arial"/>
          <w:lang w:val="en-ZA"/>
        </w:rPr>
        <w:lastRenderedPageBreak/>
        <w:t>j)</w:t>
      </w:r>
      <w:r w:rsidRPr="00000E8D">
        <w:rPr>
          <w:rFonts w:ascii="Arial" w:eastAsia="Calibri" w:hAnsi="Arial" w:cs="Arial"/>
          <w:lang w:val="en-ZA"/>
        </w:rPr>
        <w:tab/>
      </w:r>
      <w:r w:rsidR="004139B9" w:rsidRPr="00981A79">
        <w:rPr>
          <w:rFonts w:cs="Arial"/>
        </w:rPr>
        <w:t>The taxpayer</w:t>
      </w:r>
      <w:r w:rsidR="001C30C7" w:rsidRPr="00981A79">
        <w:rPr>
          <w:rFonts w:cs="Arial"/>
        </w:rPr>
        <w:t>'s annual financial statements for</w:t>
      </w:r>
      <w:r w:rsidR="004416DF" w:rsidRPr="00981A79">
        <w:rPr>
          <w:rFonts w:cs="Arial"/>
        </w:rPr>
        <w:t xml:space="preserve"> the years ending 30 June 2018</w:t>
      </w:r>
      <w:r w:rsidR="00DE19B7" w:rsidRPr="00981A79">
        <w:rPr>
          <w:rFonts w:cs="Arial"/>
        </w:rPr>
        <w:t>;</w:t>
      </w:r>
    </w:p>
    <w:p w14:paraId="374EAD9C" w14:textId="76CD8FE0" w:rsidR="004416DF" w:rsidRPr="00981A79" w:rsidRDefault="00981A79" w:rsidP="00981A79">
      <w:pPr>
        <w:spacing w:after="240" w:line="360" w:lineRule="auto"/>
        <w:ind w:left="2160" w:hanging="720"/>
        <w:jc w:val="both"/>
        <w:rPr>
          <w:rFonts w:cs="Arial"/>
        </w:rPr>
      </w:pPr>
      <w:r>
        <w:rPr>
          <w:rFonts w:ascii="Arial" w:eastAsia="Calibri" w:hAnsi="Arial" w:cs="Arial"/>
          <w:lang w:val="en-ZA"/>
        </w:rPr>
        <w:t>k)</w:t>
      </w:r>
      <w:r>
        <w:rPr>
          <w:rFonts w:ascii="Arial" w:eastAsia="Calibri" w:hAnsi="Arial" w:cs="Arial"/>
          <w:lang w:val="en-ZA"/>
        </w:rPr>
        <w:tab/>
      </w:r>
      <w:r w:rsidR="004139B9" w:rsidRPr="00981A79">
        <w:rPr>
          <w:rFonts w:cs="Arial"/>
        </w:rPr>
        <w:t>The taxpayer</w:t>
      </w:r>
      <w:r w:rsidR="001C30C7" w:rsidRPr="00981A79">
        <w:rPr>
          <w:rFonts w:cs="Arial"/>
        </w:rPr>
        <w:t xml:space="preserve">'s documentation in respect of the directors from time-to-time in respect of </w:t>
      </w:r>
      <w:r w:rsidR="004139B9" w:rsidRPr="00981A79">
        <w:rPr>
          <w:rFonts w:cs="Arial"/>
        </w:rPr>
        <w:t>the taxpayer</w:t>
      </w:r>
      <w:r w:rsidR="001C30C7" w:rsidRPr="00981A79">
        <w:rPr>
          <w:rFonts w:cs="Arial"/>
        </w:rPr>
        <w:t xml:space="preserve"> and its predecessor in title Waste Production Utilisation</w:t>
      </w:r>
      <w:r w:rsidR="00DE19B7" w:rsidRPr="00981A79">
        <w:rPr>
          <w:rFonts w:cs="Arial"/>
        </w:rPr>
        <w:t>;</w:t>
      </w:r>
      <w:r w:rsidR="001C30C7" w:rsidRPr="00981A79">
        <w:rPr>
          <w:rFonts w:cs="Arial"/>
        </w:rPr>
        <w:t xml:space="preserve"> </w:t>
      </w:r>
    </w:p>
    <w:p w14:paraId="606708B8" w14:textId="2D118E28" w:rsidR="00ED3B0E" w:rsidRPr="00981A79" w:rsidRDefault="00981A79" w:rsidP="00981A79">
      <w:pPr>
        <w:spacing w:after="240" w:line="360" w:lineRule="auto"/>
        <w:ind w:left="2160" w:hanging="720"/>
        <w:jc w:val="both"/>
        <w:rPr>
          <w:rFonts w:cs="Arial"/>
        </w:rPr>
      </w:pPr>
      <w:r>
        <w:rPr>
          <w:rFonts w:ascii="Arial" w:eastAsia="Calibri" w:hAnsi="Arial" w:cs="Arial"/>
          <w:lang w:val="en-ZA"/>
        </w:rPr>
        <w:t>l)</w:t>
      </w:r>
      <w:r>
        <w:rPr>
          <w:rFonts w:ascii="Arial" w:eastAsia="Calibri" w:hAnsi="Arial" w:cs="Arial"/>
          <w:lang w:val="en-ZA"/>
        </w:rPr>
        <w:tab/>
      </w:r>
      <w:r w:rsidR="004139B9" w:rsidRPr="00981A79">
        <w:rPr>
          <w:rFonts w:cs="Arial"/>
        </w:rPr>
        <w:t>The taxpayer</w:t>
      </w:r>
      <w:r w:rsidR="001C30C7" w:rsidRPr="00981A79">
        <w:rPr>
          <w:rFonts w:cs="Arial"/>
        </w:rPr>
        <w:t xml:space="preserve">'s documentation in respect of </w:t>
      </w:r>
      <w:r w:rsidR="004139B9" w:rsidRPr="00981A79">
        <w:rPr>
          <w:rFonts w:cs="Arial"/>
        </w:rPr>
        <w:t>the taxpayer</w:t>
      </w:r>
      <w:r w:rsidR="001C30C7" w:rsidRPr="00981A79">
        <w:rPr>
          <w:rFonts w:cs="Arial"/>
        </w:rPr>
        <w:t xml:space="preserve">'s shareholders and its predecessor in title Waste Production Utilisation's shareholders </w:t>
      </w:r>
    </w:p>
    <w:p w14:paraId="6BC66CE2" w14:textId="5C103A08" w:rsidR="00ED3B0E" w:rsidRPr="00981A79" w:rsidRDefault="00981A79" w:rsidP="00981A79">
      <w:pPr>
        <w:spacing w:after="240" w:line="360" w:lineRule="auto"/>
        <w:ind w:left="2160" w:hanging="720"/>
        <w:jc w:val="both"/>
        <w:rPr>
          <w:rFonts w:cs="Arial"/>
        </w:rPr>
      </w:pPr>
      <w:r>
        <w:rPr>
          <w:rFonts w:ascii="Arial" w:eastAsia="Calibri" w:hAnsi="Arial" w:cs="Arial"/>
          <w:lang w:val="en-ZA"/>
        </w:rPr>
        <w:t>m)</w:t>
      </w:r>
      <w:r>
        <w:rPr>
          <w:rFonts w:ascii="Arial" w:eastAsia="Calibri" w:hAnsi="Arial" w:cs="Arial"/>
          <w:lang w:val="en-ZA"/>
        </w:rPr>
        <w:tab/>
      </w:r>
      <w:r w:rsidR="001C30C7" w:rsidRPr="00981A79">
        <w:rPr>
          <w:rFonts w:cs="Arial"/>
        </w:rPr>
        <w:t xml:space="preserve">Schedules and excel spreadsheets containing </w:t>
      </w:r>
      <w:r w:rsidR="004139B9" w:rsidRPr="00981A79">
        <w:rPr>
          <w:rFonts w:cs="Arial"/>
        </w:rPr>
        <w:t>the taxpayer</w:t>
      </w:r>
      <w:r w:rsidR="001C30C7" w:rsidRPr="00981A79">
        <w:rPr>
          <w:rFonts w:cs="Arial"/>
        </w:rPr>
        <w:t>'s month-to- month Au/AG export summary for the period January 2014 to January 2023</w:t>
      </w:r>
      <w:r w:rsidR="00ED3B0E" w:rsidRPr="00981A79">
        <w:rPr>
          <w:rFonts w:cs="Arial"/>
        </w:rPr>
        <w:t>.</w:t>
      </w:r>
    </w:p>
    <w:bookmarkEnd w:id="18"/>
    <w:p w14:paraId="364C057A" w14:textId="6659E255" w:rsidR="003C1E45" w:rsidRPr="00981A79" w:rsidRDefault="00981A79" w:rsidP="00981A79">
      <w:pPr>
        <w:spacing w:after="240" w:line="360" w:lineRule="auto"/>
        <w:ind w:left="720" w:hanging="720"/>
        <w:jc w:val="both"/>
        <w:rPr>
          <w:rFonts w:cs="Arial"/>
        </w:rPr>
      </w:pPr>
      <w:r>
        <w:rPr>
          <w:rFonts w:ascii="Arial" w:eastAsia="Calibri" w:hAnsi="Arial" w:cs="Arial"/>
          <w:lang w:val="en-ZA"/>
        </w:rPr>
        <w:t>[68]</w:t>
      </w:r>
      <w:r>
        <w:rPr>
          <w:rFonts w:ascii="Arial" w:eastAsia="Calibri" w:hAnsi="Arial" w:cs="Arial"/>
          <w:lang w:val="en-ZA"/>
        </w:rPr>
        <w:tab/>
      </w:r>
      <w:r w:rsidR="00ED3B0E" w:rsidRPr="00981A79">
        <w:rPr>
          <w:rFonts w:cs="Arial"/>
        </w:rPr>
        <w:t>It seems to me that</w:t>
      </w:r>
      <w:r w:rsidR="00114FA2" w:rsidRPr="00981A79">
        <w:rPr>
          <w:rFonts w:cs="Arial"/>
        </w:rPr>
        <w:t>,</w:t>
      </w:r>
      <w:r w:rsidR="003C1E45" w:rsidRPr="00981A79">
        <w:rPr>
          <w:rFonts w:cs="Arial"/>
        </w:rPr>
        <w:t xml:space="preserve"> in this application</w:t>
      </w:r>
      <w:r w:rsidR="00114FA2" w:rsidRPr="00981A79">
        <w:rPr>
          <w:rFonts w:cs="Arial"/>
        </w:rPr>
        <w:t>,</w:t>
      </w:r>
      <w:r w:rsidR="00ED3B0E" w:rsidRPr="00981A79">
        <w:rPr>
          <w:rFonts w:cs="Arial"/>
        </w:rPr>
        <w:t xml:space="preserve"> both parties have engaged in an extraordinarily complex examination </w:t>
      </w:r>
      <w:r w:rsidR="004139B9" w:rsidRPr="00981A79">
        <w:rPr>
          <w:rFonts w:cs="Arial"/>
        </w:rPr>
        <w:t>of questions</w:t>
      </w:r>
      <w:r w:rsidR="00071D2C" w:rsidRPr="00981A79">
        <w:rPr>
          <w:rFonts w:cs="Arial"/>
        </w:rPr>
        <w:t xml:space="preserve"> of </w:t>
      </w:r>
      <w:r w:rsidR="004139B9" w:rsidRPr="00981A79">
        <w:rPr>
          <w:rFonts w:cs="Arial"/>
        </w:rPr>
        <w:t>relevance which</w:t>
      </w:r>
      <w:r w:rsidR="00ED3B0E" w:rsidRPr="00981A79">
        <w:rPr>
          <w:rFonts w:cs="Arial"/>
        </w:rPr>
        <w:t xml:space="preserve"> </w:t>
      </w:r>
      <w:r w:rsidR="00C51DCC" w:rsidRPr="00981A79">
        <w:rPr>
          <w:rFonts w:cs="Arial"/>
        </w:rPr>
        <w:t>are</w:t>
      </w:r>
      <w:r w:rsidR="00ED3B0E" w:rsidRPr="00981A79">
        <w:rPr>
          <w:rFonts w:cs="Arial"/>
        </w:rPr>
        <w:t xml:space="preserve"> simple</w:t>
      </w:r>
      <w:r w:rsidR="001E1E87" w:rsidRPr="00981A79">
        <w:rPr>
          <w:rFonts w:cs="Arial"/>
        </w:rPr>
        <w:t xml:space="preserve"> if not elementary</w:t>
      </w:r>
      <w:r w:rsidR="00ED3B0E" w:rsidRPr="00981A79">
        <w:rPr>
          <w:rFonts w:cs="Arial"/>
        </w:rPr>
        <w:t xml:space="preserve">. </w:t>
      </w:r>
    </w:p>
    <w:p w14:paraId="1D7AD80A" w14:textId="44775A59" w:rsidR="006301C6" w:rsidRPr="00981A79" w:rsidRDefault="00981A79" w:rsidP="00981A79">
      <w:pPr>
        <w:spacing w:after="240" w:line="360" w:lineRule="auto"/>
        <w:ind w:left="720" w:hanging="720"/>
        <w:jc w:val="both"/>
        <w:rPr>
          <w:rFonts w:cs="Arial"/>
        </w:rPr>
      </w:pPr>
      <w:r w:rsidRPr="00CD574F">
        <w:rPr>
          <w:rFonts w:ascii="Arial" w:eastAsia="Calibri" w:hAnsi="Arial" w:cs="Arial"/>
          <w:lang w:val="en-ZA"/>
        </w:rPr>
        <w:t>[69]</w:t>
      </w:r>
      <w:r w:rsidRPr="00CD574F">
        <w:rPr>
          <w:rFonts w:ascii="Arial" w:eastAsia="Calibri" w:hAnsi="Arial" w:cs="Arial"/>
          <w:lang w:val="en-ZA"/>
        </w:rPr>
        <w:tab/>
      </w:r>
      <w:r w:rsidR="005676BB" w:rsidRPr="00981A79">
        <w:rPr>
          <w:rFonts w:cs="Arial"/>
        </w:rPr>
        <w:t>The issue is this</w:t>
      </w:r>
      <w:r w:rsidR="00CE71C1" w:rsidRPr="00981A79">
        <w:rPr>
          <w:rFonts w:cs="Arial"/>
        </w:rPr>
        <w:t xml:space="preserve">, </w:t>
      </w:r>
      <w:r w:rsidR="004139B9" w:rsidRPr="00981A79">
        <w:rPr>
          <w:rFonts w:cs="Arial"/>
        </w:rPr>
        <w:t>the taxpayer</w:t>
      </w:r>
      <w:r w:rsidR="00CE71C1" w:rsidRPr="00981A79">
        <w:rPr>
          <w:rFonts w:cs="Arial"/>
        </w:rPr>
        <w:t xml:space="preserve"> says that the inquiry is limited to </w:t>
      </w:r>
      <w:r w:rsidR="008C1C50" w:rsidRPr="00981A79">
        <w:rPr>
          <w:rFonts w:cs="Arial"/>
        </w:rPr>
        <w:t xml:space="preserve">the period of the assessment and the </w:t>
      </w:r>
      <w:r w:rsidR="00156383" w:rsidRPr="00981A79">
        <w:rPr>
          <w:rFonts w:cs="Arial"/>
        </w:rPr>
        <w:t xml:space="preserve">suppliers mentioned and cannot go beyond these </w:t>
      </w:r>
      <w:r w:rsidR="005D59D2" w:rsidRPr="00981A79">
        <w:rPr>
          <w:rFonts w:cs="Arial"/>
        </w:rPr>
        <w:t xml:space="preserve">limits. It contends further that the fact that </w:t>
      </w:r>
      <w:r w:rsidR="00CF4AB9" w:rsidRPr="00981A79">
        <w:rPr>
          <w:rFonts w:cs="Arial"/>
        </w:rPr>
        <w:t>SARS</w:t>
      </w:r>
      <w:r w:rsidR="005D59D2" w:rsidRPr="00981A79">
        <w:rPr>
          <w:rFonts w:cs="Arial"/>
        </w:rPr>
        <w:t xml:space="preserve"> seeks to go beyond these limits indicates that </w:t>
      </w:r>
      <w:r w:rsidR="009A7B4F" w:rsidRPr="00981A79">
        <w:rPr>
          <w:rFonts w:cs="Arial"/>
        </w:rPr>
        <w:t>SARS</w:t>
      </w:r>
      <w:r w:rsidR="00CF4AB9" w:rsidRPr="00981A79">
        <w:rPr>
          <w:rFonts w:cs="Arial"/>
        </w:rPr>
        <w:t xml:space="preserve"> could not have been</w:t>
      </w:r>
      <w:r w:rsidR="009A7B4F" w:rsidRPr="00981A79">
        <w:rPr>
          <w:rFonts w:cs="Arial"/>
        </w:rPr>
        <w:t xml:space="preserve"> satisfied </w:t>
      </w:r>
      <w:r w:rsidR="00B41DD1" w:rsidRPr="00981A79">
        <w:rPr>
          <w:rFonts w:cs="Arial"/>
        </w:rPr>
        <w:t xml:space="preserve">as to the section 73 </w:t>
      </w:r>
      <w:r w:rsidR="00C51DCC" w:rsidRPr="00981A79">
        <w:rPr>
          <w:rFonts w:cs="Arial"/>
        </w:rPr>
        <w:t>requirements.</w:t>
      </w:r>
    </w:p>
    <w:p w14:paraId="0CBEAC63" w14:textId="12C92CE6" w:rsidR="004533F4" w:rsidRPr="00981A79" w:rsidRDefault="00981A79" w:rsidP="00981A79">
      <w:pPr>
        <w:spacing w:after="240" w:line="360" w:lineRule="auto"/>
        <w:ind w:left="720" w:hanging="720"/>
        <w:jc w:val="both"/>
        <w:rPr>
          <w:rFonts w:cs="Arial"/>
        </w:rPr>
      </w:pPr>
      <w:r w:rsidRPr="00907B61">
        <w:rPr>
          <w:rFonts w:ascii="Arial" w:eastAsia="Calibri" w:hAnsi="Arial" w:cs="Arial"/>
          <w:lang w:val="en-ZA"/>
        </w:rPr>
        <w:t>[70]</w:t>
      </w:r>
      <w:r w:rsidRPr="00907B61">
        <w:rPr>
          <w:rFonts w:ascii="Arial" w:eastAsia="Calibri" w:hAnsi="Arial" w:cs="Arial"/>
          <w:lang w:val="en-ZA"/>
        </w:rPr>
        <w:tab/>
      </w:r>
      <w:r w:rsidR="00322316" w:rsidRPr="00981A79">
        <w:rPr>
          <w:rFonts w:cs="Arial"/>
        </w:rPr>
        <w:t xml:space="preserve">The </w:t>
      </w:r>
      <w:r w:rsidR="00D11024" w:rsidRPr="00981A79">
        <w:rPr>
          <w:rFonts w:cs="Arial"/>
        </w:rPr>
        <w:t xml:space="preserve">pleaded </w:t>
      </w:r>
      <w:r w:rsidR="00322316" w:rsidRPr="00981A79">
        <w:rPr>
          <w:rFonts w:cs="Arial"/>
        </w:rPr>
        <w:t xml:space="preserve">defence of </w:t>
      </w:r>
      <w:r w:rsidR="004139B9" w:rsidRPr="00981A79">
        <w:rPr>
          <w:rFonts w:cs="Arial"/>
        </w:rPr>
        <w:t>the taxpayer</w:t>
      </w:r>
      <w:r w:rsidR="007E5727" w:rsidRPr="00981A79">
        <w:rPr>
          <w:rFonts w:cs="Arial"/>
        </w:rPr>
        <w:t xml:space="preserve"> is </w:t>
      </w:r>
      <w:r w:rsidR="000E5DD6" w:rsidRPr="00981A79">
        <w:rPr>
          <w:rFonts w:cs="Arial"/>
        </w:rPr>
        <w:t xml:space="preserve">a </w:t>
      </w:r>
      <w:r w:rsidR="00C20657" w:rsidRPr="00981A79">
        <w:rPr>
          <w:rFonts w:cs="Arial"/>
        </w:rPr>
        <w:t xml:space="preserve">simple </w:t>
      </w:r>
      <w:r w:rsidR="000E5DD6" w:rsidRPr="00981A79">
        <w:rPr>
          <w:rFonts w:cs="Arial"/>
        </w:rPr>
        <w:t xml:space="preserve">denial </w:t>
      </w:r>
      <w:r w:rsidR="007E5727" w:rsidRPr="00981A79">
        <w:rPr>
          <w:rFonts w:cs="Arial"/>
        </w:rPr>
        <w:t>that it was</w:t>
      </w:r>
      <w:r w:rsidR="001A34C3" w:rsidRPr="00981A79">
        <w:rPr>
          <w:rFonts w:cs="Arial"/>
        </w:rPr>
        <w:t xml:space="preserve"> </w:t>
      </w:r>
      <w:r w:rsidR="007E5727" w:rsidRPr="00981A79">
        <w:rPr>
          <w:rFonts w:cs="Arial"/>
        </w:rPr>
        <w:t>a part of any scheme</w:t>
      </w:r>
      <w:r w:rsidR="00114FA2" w:rsidRPr="00981A79">
        <w:rPr>
          <w:rFonts w:cs="Arial"/>
        </w:rPr>
        <w:t xml:space="preserve"> or had knowledge of the source of the gold supplied to it.</w:t>
      </w:r>
    </w:p>
    <w:p w14:paraId="09E800A6" w14:textId="4A6C2149" w:rsidR="004533F4" w:rsidRPr="00981A79" w:rsidRDefault="00981A79" w:rsidP="00981A79">
      <w:pPr>
        <w:spacing w:after="240" w:line="360" w:lineRule="auto"/>
        <w:ind w:left="720" w:hanging="720"/>
        <w:jc w:val="both"/>
        <w:rPr>
          <w:rFonts w:cs="Arial"/>
        </w:rPr>
      </w:pPr>
      <w:r w:rsidRPr="00B1210B">
        <w:rPr>
          <w:rFonts w:ascii="Arial" w:eastAsia="Calibri" w:hAnsi="Arial" w:cs="Arial"/>
          <w:lang w:val="en-ZA"/>
        </w:rPr>
        <w:t>[71]</w:t>
      </w:r>
      <w:r w:rsidRPr="00B1210B">
        <w:rPr>
          <w:rFonts w:ascii="Arial" w:eastAsia="Calibri" w:hAnsi="Arial" w:cs="Arial"/>
          <w:lang w:val="en-ZA"/>
        </w:rPr>
        <w:tab/>
      </w:r>
      <w:r w:rsidR="004E0BCB" w:rsidRPr="00981A79">
        <w:rPr>
          <w:rFonts w:cs="Arial"/>
        </w:rPr>
        <w:t xml:space="preserve"> Proof of t</w:t>
      </w:r>
      <w:r w:rsidR="004533F4" w:rsidRPr="00981A79">
        <w:rPr>
          <w:rFonts w:cs="Arial"/>
        </w:rPr>
        <w:t xml:space="preserve">he section 73 scheme </w:t>
      </w:r>
      <w:r w:rsidR="00071D2C" w:rsidRPr="00981A79">
        <w:rPr>
          <w:rFonts w:cs="Arial"/>
        </w:rPr>
        <w:t>entails that</w:t>
      </w:r>
      <w:r w:rsidR="004533F4" w:rsidRPr="00981A79">
        <w:rPr>
          <w:rFonts w:cs="Arial"/>
        </w:rPr>
        <w:t xml:space="preserve"> SARS must prove whether the jurisdictional requirements of section 73 have been met.</w:t>
      </w:r>
    </w:p>
    <w:p w14:paraId="246D9A00" w14:textId="2184D320" w:rsidR="00AC46AB" w:rsidRPr="00981A79" w:rsidRDefault="00981A79" w:rsidP="00981A79">
      <w:pPr>
        <w:spacing w:after="240" w:line="360" w:lineRule="auto"/>
        <w:ind w:left="720" w:hanging="720"/>
        <w:jc w:val="both"/>
        <w:rPr>
          <w:rFonts w:cs="Arial"/>
        </w:rPr>
      </w:pPr>
      <w:r w:rsidRPr="00907B61">
        <w:rPr>
          <w:rFonts w:ascii="Arial" w:eastAsia="Calibri" w:hAnsi="Arial" w:cs="Arial"/>
          <w:lang w:val="en-ZA"/>
        </w:rPr>
        <w:t>[72]</w:t>
      </w:r>
      <w:r w:rsidRPr="00907B61">
        <w:rPr>
          <w:rFonts w:ascii="Arial" w:eastAsia="Calibri" w:hAnsi="Arial" w:cs="Arial"/>
          <w:lang w:val="en-ZA"/>
        </w:rPr>
        <w:tab/>
      </w:r>
      <w:r w:rsidR="004533F4" w:rsidRPr="00981A79">
        <w:rPr>
          <w:rFonts w:cs="Arial"/>
        </w:rPr>
        <w:t>But, in terms of section 73(3)</w:t>
      </w:r>
      <w:r w:rsidR="00F11394" w:rsidRPr="00981A79">
        <w:rPr>
          <w:rFonts w:cs="Arial"/>
        </w:rPr>
        <w:t>,</w:t>
      </w:r>
      <w:r w:rsidR="004533F4" w:rsidRPr="00981A79">
        <w:rPr>
          <w:rFonts w:cs="Arial"/>
        </w:rPr>
        <w:t xml:space="preserve"> once it is proved that the scheme would result in a tax benefit</w:t>
      </w:r>
      <w:r w:rsidR="00075924" w:rsidRPr="00981A79">
        <w:rPr>
          <w:rFonts w:cs="Arial"/>
        </w:rPr>
        <w:t xml:space="preserve"> </w:t>
      </w:r>
      <w:r w:rsidR="009141C6" w:rsidRPr="00981A79">
        <w:rPr>
          <w:rFonts w:cs="Arial"/>
        </w:rPr>
        <w:t xml:space="preserve">it is presumed that, </w:t>
      </w:r>
      <w:r w:rsidR="004533F4" w:rsidRPr="00981A79">
        <w:rPr>
          <w:rFonts w:cs="Arial"/>
        </w:rPr>
        <w:t>until the contrary is proved</w:t>
      </w:r>
      <w:r w:rsidR="00075924" w:rsidRPr="00981A79">
        <w:rPr>
          <w:rFonts w:cs="Arial"/>
        </w:rPr>
        <w:t>,</w:t>
      </w:r>
      <w:r w:rsidR="004533F4" w:rsidRPr="00981A79">
        <w:rPr>
          <w:rFonts w:cs="Arial"/>
        </w:rPr>
        <w:t xml:space="preserve"> the scheme was carried out solely or mainly for the purposes of obtaining a tax benefit.</w:t>
      </w:r>
    </w:p>
    <w:p w14:paraId="1BB9C699" w14:textId="0B916BF7" w:rsidR="00CD574F" w:rsidRPr="00981A79" w:rsidRDefault="00981A79" w:rsidP="00981A79">
      <w:pPr>
        <w:spacing w:after="240" w:line="360" w:lineRule="auto"/>
        <w:ind w:left="720" w:hanging="720"/>
        <w:jc w:val="both"/>
        <w:rPr>
          <w:rFonts w:cs="Arial"/>
        </w:rPr>
      </w:pPr>
      <w:r>
        <w:rPr>
          <w:rFonts w:ascii="Arial" w:eastAsia="Calibri" w:hAnsi="Arial" w:cs="Arial"/>
          <w:lang w:val="en-ZA"/>
        </w:rPr>
        <w:t>[73]</w:t>
      </w:r>
      <w:r>
        <w:rPr>
          <w:rFonts w:ascii="Arial" w:eastAsia="Calibri" w:hAnsi="Arial" w:cs="Arial"/>
          <w:lang w:val="en-ZA"/>
        </w:rPr>
        <w:tab/>
      </w:r>
      <w:r w:rsidR="00A21624" w:rsidRPr="00981A79">
        <w:rPr>
          <w:rFonts w:cs="Arial"/>
        </w:rPr>
        <w:t>T</w:t>
      </w:r>
      <w:r w:rsidR="00423834" w:rsidRPr="00981A79">
        <w:rPr>
          <w:rFonts w:cs="Arial"/>
        </w:rPr>
        <w:t xml:space="preserve">he </w:t>
      </w:r>
      <w:r w:rsidR="00A21624" w:rsidRPr="00981A79">
        <w:rPr>
          <w:rFonts w:cs="Arial"/>
        </w:rPr>
        <w:t xml:space="preserve">genesis and maintenance of </w:t>
      </w:r>
      <w:r w:rsidR="00666688" w:rsidRPr="00981A79">
        <w:rPr>
          <w:rFonts w:cs="Arial"/>
        </w:rPr>
        <w:t xml:space="preserve">the </w:t>
      </w:r>
      <w:r w:rsidR="00423834" w:rsidRPr="00981A79">
        <w:rPr>
          <w:rFonts w:cs="Arial"/>
        </w:rPr>
        <w:t xml:space="preserve">enterprise is </w:t>
      </w:r>
      <w:r w:rsidR="001606BF" w:rsidRPr="00981A79">
        <w:rPr>
          <w:rFonts w:cs="Arial"/>
        </w:rPr>
        <w:t>central to the pleaded case.</w:t>
      </w:r>
      <w:r w:rsidR="00CD574F" w:rsidRPr="00981A79">
        <w:rPr>
          <w:rFonts w:cs="Arial"/>
        </w:rPr>
        <w:t xml:space="preserve"> SARS alleges that</w:t>
      </w:r>
      <w:r w:rsidR="001606BF" w:rsidRPr="00981A79">
        <w:rPr>
          <w:rFonts w:cs="Arial"/>
        </w:rPr>
        <w:t xml:space="preserve"> the </w:t>
      </w:r>
      <w:r w:rsidR="00D51101" w:rsidRPr="00981A79">
        <w:rPr>
          <w:rFonts w:cs="Arial"/>
        </w:rPr>
        <w:t>existence of the enterp</w:t>
      </w:r>
      <w:r w:rsidR="000A7235" w:rsidRPr="00981A79">
        <w:rPr>
          <w:rFonts w:cs="Arial"/>
        </w:rPr>
        <w:t>rise</w:t>
      </w:r>
      <w:r w:rsidR="00CD574F" w:rsidRPr="00981A79">
        <w:rPr>
          <w:rFonts w:cs="Arial"/>
        </w:rPr>
        <w:t>,</w:t>
      </w:r>
      <w:r w:rsidR="000A7235" w:rsidRPr="00981A79">
        <w:rPr>
          <w:rFonts w:cs="Arial"/>
        </w:rPr>
        <w:t xml:space="preserve"> if established</w:t>
      </w:r>
      <w:r w:rsidR="00CD574F" w:rsidRPr="00981A79">
        <w:rPr>
          <w:rFonts w:cs="Arial"/>
        </w:rPr>
        <w:t>,</w:t>
      </w:r>
      <w:r w:rsidR="000A7235" w:rsidRPr="00981A79">
        <w:rPr>
          <w:rFonts w:cs="Arial"/>
        </w:rPr>
        <w:t xml:space="preserve"> </w:t>
      </w:r>
      <w:r w:rsidR="00055DBF" w:rsidRPr="00981A79">
        <w:rPr>
          <w:rFonts w:cs="Arial"/>
        </w:rPr>
        <w:t>is discernible from the suppl</w:t>
      </w:r>
      <w:r w:rsidR="00CD574F" w:rsidRPr="00981A79">
        <w:rPr>
          <w:rFonts w:cs="Arial"/>
        </w:rPr>
        <w:t xml:space="preserve">ies </w:t>
      </w:r>
      <w:r w:rsidR="00055DBF" w:rsidRPr="00981A79">
        <w:rPr>
          <w:rFonts w:cs="Arial"/>
        </w:rPr>
        <w:t xml:space="preserve">of gold to </w:t>
      </w:r>
      <w:r w:rsidR="004139B9" w:rsidRPr="00981A79">
        <w:rPr>
          <w:rFonts w:cs="Arial"/>
        </w:rPr>
        <w:t>the taxpayer</w:t>
      </w:r>
      <w:r w:rsidR="00055DBF" w:rsidRPr="00981A79">
        <w:rPr>
          <w:rFonts w:cs="Arial"/>
        </w:rPr>
        <w:t xml:space="preserve"> over time</w:t>
      </w:r>
      <w:r w:rsidR="009F626C" w:rsidRPr="00981A79">
        <w:rPr>
          <w:rFonts w:cs="Arial"/>
        </w:rPr>
        <w:t xml:space="preserve">. </w:t>
      </w:r>
    </w:p>
    <w:p w14:paraId="410491D5" w14:textId="286BDFA5" w:rsidR="00947211" w:rsidRPr="00981A79" w:rsidRDefault="00981A79" w:rsidP="00981A79">
      <w:pPr>
        <w:spacing w:after="240" w:line="360" w:lineRule="auto"/>
        <w:ind w:left="720" w:hanging="720"/>
        <w:jc w:val="both"/>
        <w:rPr>
          <w:rFonts w:cs="Arial"/>
        </w:rPr>
      </w:pPr>
      <w:r w:rsidRPr="00CD574F">
        <w:rPr>
          <w:rFonts w:ascii="Arial" w:eastAsia="Calibri" w:hAnsi="Arial" w:cs="Arial"/>
          <w:lang w:val="en-ZA"/>
        </w:rPr>
        <w:lastRenderedPageBreak/>
        <w:t>[74]</w:t>
      </w:r>
      <w:r w:rsidRPr="00CD574F">
        <w:rPr>
          <w:rFonts w:ascii="Arial" w:eastAsia="Calibri" w:hAnsi="Arial" w:cs="Arial"/>
          <w:lang w:val="en-ZA"/>
        </w:rPr>
        <w:tab/>
      </w:r>
      <w:r w:rsidR="00071D2C" w:rsidRPr="00981A79">
        <w:rPr>
          <w:rFonts w:cs="Arial"/>
        </w:rPr>
        <w:t xml:space="preserve"> Not only is it the case of SARS that </w:t>
      </w:r>
      <w:r w:rsidR="004139B9" w:rsidRPr="00981A79">
        <w:rPr>
          <w:rFonts w:cs="Arial"/>
        </w:rPr>
        <w:t>the enterprise</w:t>
      </w:r>
      <w:r w:rsidR="006A574C" w:rsidRPr="00981A79">
        <w:rPr>
          <w:rFonts w:cs="Arial"/>
        </w:rPr>
        <w:t xml:space="preserve"> in issue was born of the</w:t>
      </w:r>
      <w:r w:rsidR="00634455" w:rsidRPr="00981A79">
        <w:rPr>
          <w:rFonts w:cs="Arial"/>
        </w:rPr>
        <w:t xml:space="preserve"> scheme but it also contends that it has supported </w:t>
      </w:r>
      <w:r w:rsidR="009F626C" w:rsidRPr="00981A79">
        <w:rPr>
          <w:rFonts w:cs="Arial"/>
        </w:rPr>
        <w:t xml:space="preserve">a </w:t>
      </w:r>
      <w:r w:rsidR="004139B9" w:rsidRPr="00981A79">
        <w:rPr>
          <w:rFonts w:cs="Arial"/>
        </w:rPr>
        <w:t>continuum which</w:t>
      </w:r>
      <w:r w:rsidR="009F626C" w:rsidRPr="00981A79">
        <w:rPr>
          <w:rFonts w:cs="Arial"/>
        </w:rPr>
        <w:t xml:space="preserve"> </w:t>
      </w:r>
      <w:r w:rsidR="009B5765" w:rsidRPr="00981A79">
        <w:rPr>
          <w:rFonts w:cs="Arial"/>
        </w:rPr>
        <w:t xml:space="preserve">is relevant to the pleaded case and which is not confined only </w:t>
      </w:r>
      <w:r w:rsidR="00803BCD" w:rsidRPr="00981A79">
        <w:rPr>
          <w:rFonts w:cs="Arial"/>
        </w:rPr>
        <w:t xml:space="preserve">to the period raised in the assessment. </w:t>
      </w:r>
    </w:p>
    <w:p w14:paraId="675B5F55" w14:textId="05ED7597" w:rsidR="00A21624" w:rsidRPr="00981A79" w:rsidRDefault="00981A79" w:rsidP="00981A79">
      <w:pPr>
        <w:spacing w:after="240" w:line="360" w:lineRule="auto"/>
        <w:ind w:left="720" w:hanging="720"/>
        <w:jc w:val="both"/>
        <w:rPr>
          <w:rFonts w:cs="Arial"/>
        </w:rPr>
      </w:pPr>
      <w:r>
        <w:rPr>
          <w:rFonts w:ascii="Arial" w:eastAsia="Calibri" w:hAnsi="Arial" w:cs="Arial"/>
          <w:lang w:val="en-ZA"/>
        </w:rPr>
        <w:t>[75]</w:t>
      </w:r>
      <w:r>
        <w:rPr>
          <w:rFonts w:ascii="Arial" w:eastAsia="Calibri" w:hAnsi="Arial" w:cs="Arial"/>
          <w:lang w:val="en-ZA"/>
        </w:rPr>
        <w:tab/>
      </w:r>
      <w:r w:rsidR="00FE1CD0" w:rsidRPr="00981A79">
        <w:rPr>
          <w:rFonts w:cs="Arial"/>
        </w:rPr>
        <w:t>It may be that SARS is ent</w:t>
      </w:r>
      <w:r w:rsidR="002360CF" w:rsidRPr="00981A79">
        <w:rPr>
          <w:rFonts w:cs="Arial"/>
        </w:rPr>
        <w:t>itled</w:t>
      </w:r>
      <w:r w:rsidR="004530E9" w:rsidRPr="00981A79">
        <w:rPr>
          <w:rFonts w:cs="Arial"/>
        </w:rPr>
        <w:t xml:space="preserve"> only</w:t>
      </w:r>
      <w:r w:rsidR="002360CF" w:rsidRPr="00981A79">
        <w:rPr>
          <w:rFonts w:cs="Arial"/>
        </w:rPr>
        <w:t xml:space="preserve"> to </w:t>
      </w:r>
      <w:r w:rsidR="0085641D" w:rsidRPr="00981A79">
        <w:rPr>
          <w:rFonts w:cs="Arial"/>
        </w:rPr>
        <w:t xml:space="preserve">relief confined to the assessed period </w:t>
      </w:r>
      <w:r w:rsidR="009D3320" w:rsidRPr="00981A79">
        <w:rPr>
          <w:rFonts w:cs="Arial"/>
        </w:rPr>
        <w:t>for the purposes of the appeal</w:t>
      </w:r>
      <w:r w:rsidR="004530E9" w:rsidRPr="00981A79">
        <w:rPr>
          <w:rFonts w:cs="Arial"/>
        </w:rPr>
        <w:t xml:space="preserve">. </w:t>
      </w:r>
      <w:r w:rsidR="004139B9" w:rsidRPr="00981A79">
        <w:rPr>
          <w:rFonts w:cs="Arial"/>
        </w:rPr>
        <w:t>The taxpayer</w:t>
      </w:r>
      <w:r w:rsidR="004530E9" w:rsidRPr="00981A79">
        <w:rPr>
          <w:rFonts w:cs="Arial"/>
        </w:rPr>
        <w:t xml:space="preserve"> </w:t>
      </w:r>
      <w:r w:rsidR="004139B9" w:rsidRPr="00981A79">
        <w:rPr>
          <w:rFonts w:cs="Arial"/>
        </w:rPr>
        <w:t>is,</w:t>
      </w:r>
      <w:r w:rsidR="00C30999" w:rsidRPr="00981A79">
        <w:rPr>
          <w:rFonts w:cs="Arial"/>
        </w:rPr>
        <w:t xml:space="preserve"> however,</w:t>
      </w:r>
      <w:r w:rsidR="00F12706" w:rsidRPr="00981A79">
        <w:rPr>
          <w:rFonts w:cs="Arial"/>
        </w:rPr>
        <w:t xml:space="preserve"> </w:t>
      </w:r>
      <w:r w:rsidR="004530E9" w:rsidRPr="00981A79">
        <w:rPr>
          <w:rFonts w:cs="Arial"/>
        </w:rPr>
        <w:t>mistaken</w:t>
      </w:r>
      <w:r w:rsidR="00F12706" w:rsidRPr="00981A79">
        <w:rPr>
          <w:rFonts w:cs="Arial"/>
        </w:rPr>
        <w:t xml:space="preserve"> in its submission that</w:t>
      </w:r>
      <w:r w:rsidR="004530E9" w:rsidRPr="00981A79">
        <w:rPr>
          <w:rFonts w:cs="Arial"/>
        </w:rPr>
        <w:t xml:space="preserve"> </w:t>
      </w:r>
      <w:r w:rsidR="00CC1B31" w:rsidRPr="00981A79">
        <w:rPr>
          <w:rFonts w:cs="Arial"/>
        </w:rPr>
        <w:t xml:space="preserve">documentary evidence relating to </w:t>
      </w:r>
      <w:r w:rsidR="00B76135" w:rsidRPr="00981A79">
        <w:rPr>
          <w:rFonts w:cs="Arial"/>
        </w:rPr>
        <w:t xml:space="preserve">the engendering of the </w:t>
      </w:r>
      <w:r w:rsidR="00A33F2A" w:rsidRPr="00981A79">
        <w:rPr>
          <w:rFonts w:cs="Arial"/>
        </w:rPr>
        <w:t xml:space="preserve">enterprise from its beginning to the present is not </w:t>
      </w:r>
      <w:r w:rsidR="004139B9" w:rsidRPr="00981A79">
        <w:rPr>
          <w:rFonts w:cs="Arial"/>
        </w:rPr>
        <w:t>relevant</w:t>
      </w:r>
      <w:r w:rsidR="008E4F4A" w:rsidRPr="00981A79">
        <w:rPr>
          <w:rFonts w:cs="Arial"/>
        </w:rPr>
        <w:t>.</w:t>
      </w:r>
    </w:p>
    <w:p w14:paraId="3765409B" w14:textId="2B5810D2" w:rsidR="00947211" w:rsidRPr="00981A79" w:rsidRDefault="00981A79" w:rsidP="00981A79">
      <w:pPr>
        <w:spacing w:after="240" w:line="360" w:lineRule="auto"/>
        <w:ind w:left="720" w:hanging="720"/>
        <w:jc w:val="both"/>
        <w:rPr>
          <w:rFonts w:cs="Arial"/>
        </w:rPr>
      </w:pPr>
      <w:r w:rsidRPr="004702F4">
        <w:rPr>
          <w:rFonts w:ascii="Arial" w:eastAsia="Calibri" w:hAnsi="Arial" w:cs="Arial"/>
          <w:lang w:val="en-ZA"/>
        </w:rPr>
        <w:t>[76]</w:t>
      </w:r>
      <w:r w:rsidRPr="004702F4">
        <w:rPr>
          <w:rFonts w:ascii="Arial" w:eastAsia="Calibri" w:hAnsi="Arial" w:cs="Arial"/>
          <w:lang w:val="en-ZA"/>
        </w:rPr>
        <w:tab/>
      </w:r>
      <w:r w:rsidR="008E4F4A" w:rsidRPr="00981A79">
        <w:rPr>
          <w:rFonts w:cs="Arial"/>
        </w:rPr>
        <w:t xml:space="preserve"> The </w:t>
      </w:r>
      <w:r w:rsidR="00A21624" w:rsidRPr="00981A79">
        <w:rPr>
          <w:rFonts w:cs="Arial"/>
        </w:rPr>
        <w:t xml:space="preserve">case as </w:t>
      </w:r>
      <w:r w:rsidR="004702F4" w:rsidRPr="00981A79">
        <w:rPr>
          <w:rFonts w:cs="Arial"/>
        </w:rPr>
        <w:t>pleaded encompasses</w:t>
      </w:r>
      <w:r w:rsidR="008350E3" w:rsidRPr="00981A79">
        <w:rPr>
          <w:rFonts w:cs="Arial"/>
        </w:rPr>
        <w:t xml:space="preserve"> </w:t>
      </w:r>
      <w:r w:rsidR="004139B9" w:rsidRPr="00981A79">
        <w:rPr>
          <w:rFonts w:cs="Arial"/>
        </w:rPr>
        <w:t>the taxpayer</w:t>
      </w:r>
      <w:r w:rsidR="00A21624" w:rsidRPr="00981A79">
        <w:rPr>
          <w:rFonts w:cs="Arial"/>
        </w:rPr>
        <w:t>’s</w:t>
      </w:r>
      <w:r w:rsidR="00E74395" w:rsidRPr="00981A79">
        <w:rPr>
          <w:rFonts w:cs="Arial"/>
        </w:rPr>
        <w:t xml:space="preserve"> entire</w:t>
      </w:r>
      <w:r w:rsidR="00E07A6B" w:rsidRPr="00981A79">
        <w:rPr>
          <w:rFonts w:cs="Arial"/>
        </w:rPr>
        <w:t xml:space="preserve"> </w:t>
      </w:r>
      <w:r w:rsidR="008350E3" w:rsidRPr="00981A79">
        <w:rPr>
          <w:rFonts w:cs="Arial"/>
        </w:rPr>
        <w:t>supply line</w:t>
      </w:r>
      <w:r w:rsidR="00E577AF" w:rsidRPr="00981A79">
        <w:rPr>
          <w:rFonts w:cs="Arial"/>
        </w:rPr>
        <w:t xml:space="preserve"> as opposed to merely the </w:t>
      </w:r>
      <w:r w:rsidR="00B00EA9" w:rsidRPr="00981A79">
        <w:rPr>
          <w:rFonts w:cs="Arial"/>
        </w:rPr>
        <w:t>three suppliers singled out</w:t>
      </w:r>
      <w:r w:rsidR="003A4173" w:rsidRPr="00981A79">
        <w:rPr>
          <w:rFonts w:cs="Arial"/>
        </w:rPr>
        <w:t xml:space="preserve"> in the assessment.</w:t>
      </w:r>
      <w:r w:rsidR="00E577AF" w:rsidRPr="00981A79">
        <w:rPr>
          <w:rFonts w:cs="Arial"/>
        </w:rPr>
        <w:t xml:space="preserve"> </w:t>
      </w:r>
      <w:r w:rsidR="00E74395" w:rsidRPr="00981A79">
        <w:rPr>
          <w:rFonts w:cs="Arial"/>
        </w:rPr>
        <w:t xml:space="preserve">Put differently, the </w:t>
      </w:r>
      <w:r w:rsidR="00062BB3" w:rsidRPr="00981A79">
        <w:rPr>
          <w:rFonts w:cs="Arial"/>
        </w:rPr>
        <w:t>very existence of the enterprise is alleged to be based on the supply</w:t>
      </w:r>
      <w:r w:rsidR="00946D7B" w:rsidRPr="00981A79">
        <w:rPr>
          <w:rFonts w:cs="Arial"/>
        </w:rPr>
        <w:t xml:space="preserve"> of gold </w:t>
      </w:r>
      <w:r w:rsidR="00C5078D" w:rsidRPr="00981A79">
        <w:rPr>
          <w:rFonts w:cs="Arial"/>
        </w:rPr>
        <w:t>in the form of smelted K</w:t>
      </w:r>
      <w:r w:rsidR="00947211" w:rsidRPr="00981A79">
        <w:rPr>
          <w:rFonts w:cs="Arial"/>
        </w:rPr>
        <w:t>r</w:t>
      </w:r>
      <w:r w:rsidR="00C5078D" w:rsidRPr="00981A79">
        <w:rPr>
          <w:rFonts w:cs="Arial"/>
        </w:rPr>
        <w:t>ugerrands</w:t>
      </w:r>
      <w:r w:rsidR="00CA0F05" w:rsidRPr="00981A79">
        <w:rPr>
          <w:rFonts w:cs="Arial"/>
        </w:rPr>
        <w:t>; the entire supply source is thus relevan</w:t>
      </w:r>
      <w:r w:rsidR="008C7EF8" w:rsidRPr="00981A79">
        <w:rPr>
          <w:rFonts w:cs="Arial"/>
        </w:rPr>
        <w:t>t to the dispute.</w:t>
      </w:r>
    </w:p>
    <w:p w14:paraId="426C5665" w14:textId="57C39635" w:rsidR="00454057" w:rsidRPr="00981A79" w:rsidRDefault="00981A79" w:rsidP="00981A79">
      <w:pPr>
        <w:spacing w:after="240" w:line="360" w:lineRule="auto"/>
        <w:ind w:left="720" w:hanging="720"/>
        <w:jc w:val="both"/>
        <w:rPr>
          <w:rFonts w:cs="Arial"/>
        </w:rPr>
      </w:pPr>
      <w:r>
        <w:rPr>
          <w:rFonts w:ascii="Arial" w:eastAsia="Calibri" w:hAnsi="Arial" w:cs="Arial"/>
          <w:lang w:val="en-ZA"/>
        </w:rPr>
        <w:t>[77]</w:t>
      </w:r>
      <w:r>
        <w:rPr>
          <w:rFonts w:ascii="Arial" w:eastAsia="Calibri" w:hAnsi="Arial" w:cs="Arial"/>
          <w:lang w:val="en-ZA"/>
        </w:rPr>
        <w:tab/>
      </w:r>
      <w:r w:rsidR="004139B9" w:rsidRPr="00981A79">
        <w:rPr>
          <w:rFonts w:cs="Arial"/>
        </w:rPr>
        <w:t>The taxpayer</w:t>
      </w:r>
      <w:r w:rsidR="00A83F92" w:rsidRPr="00981A79">
        <w:rPr>
          <w:rFonts w:cs="Arial"/>
        </w:rPr>
        <w:t xml:space="preserve">’s attempt to </w:t>
      </w:r>
      <w:r w:rsidR="00F30268" w:rsidRPr="00981A79">
        <w:rPr>
          <w:rFonts w:cs="Arial"/>
        </w:rPr>
        <w:t>c</w:t>
      </w:r>
      <w:r w:rsidR="00F11394" w:rsidRPr="00981A79">
        <w:rPr>
          <w:rFonts w:cs="Arial"/>
        </w:rPr>
        <w:t>onfine</w:t>
      </w:r>
      <w:r w:rsidR="00F30268" w:rsidRPr="00981A79">
        <w:rPr>
          <w:rFonts w:cs="Arial"/>
        </w:rPr>
        <w:t xml:space="preserve"> the discovery to the</w:t>
      </w:r>
      <w:r w:rsidR="00F62F9B" w:rsidRPr="00981A79">
        <w:rPr>
          <w:rFonts w:cs="Arial"/>
        </w:rPr>
        <w:t xml:space="preserve"> assessed period and the named suppliers </w:t>
      </w:r>
      <w:r w:rsidR="00F523D4" w:rsidRPr="00981A79">
        <w:rPr>
          <w:rFonts w:cs="Arial"/>
        </w:rPr>
        <w:t xml:space="preserve">fails to acknowledge the </w:t>
      </w:r>
      <w:r w:rsidR="00CE3DCF" w:rsidRPr="00981A79">
        <w:rPr>
          <w:rFonts w:cs="Arial"/>
        </w:rPr>
        <w:t>central allegation to the effect that the enterprise</w:t>
      </w:r>
      <w:r w:rsidR="00984D0A" w:rsidRPr="00981A79">
        <w:rPr>
          <w:rFonts w:cs="Arial"/>
        </w:rPr>
        <w:t xml:space="preserve"> was brought into existence </w:t>
      </w:r>
      <w:r w:rsidR="00B91DA9" w:rsidRPr="00981A79">
        <w:rPr>
          <w:rFonts w:cs="Arial"/>
        </w:rPr>
        <w:t>to take advantage of the 2017 amend</w:t>
      </w:r>
      <w:r w:rsidR="000E5DF7" w:rsidRPr="00981A79">
        <w:rPr>
          <w:rFonts w:cs="Arial"/>
        </w:rPr>
        <w:t>ment</w:t>
      </w:r>
      <w:r w:rsidR="00666688" w:rsidRPr="00981A79">
        <w:rPr>
          <w:rFonts w:cs="Arial"/>
        </w:rPr>
        <w:t xml:space="preserve"> to the law</w:t>
      </w:r>
      <w:r w:rsidR="000E5DF7" w:rsidRPr="00981A79">
        <w:rPr>
          <w:rFonts w:cs="Arial"/>
        </w:rPr>
        <w:t xml:space="preserve"> and</w:t>
      </w:r>
      <w:r w:rsidR="00CE3DCF" w:rsidRPr="00981A79">
        <w:rPr>
          <w:rFonts w:cs="Arial"/>
        </w:rPr>
        <w:t xml:space="preserve"> only exists because of the </w:t>
      </w:r>
      <w:r w:rsidR="00AC08E1" w:rsidRPr="00981A79">
        <w:rPr>
          <w:rFonts w:cs="Arial"/>
        </w:rPr>
        <w:t>entire illegitimate supply chain.</w:t>
      </w:r>
    </w:p>
    <w:p w14:paraId="513B4399" w14:textId="1A8EF977" w:rsidR="00627C6E" w:rsidRPr="00981A79" w:rsidRDefault="00981A79" w:rsidP="00981A79">
      <w:pPr>
        <w:spacing w:after="240" w:line="360" w:lineRule="auto"/>
        <w:ind w:left="720" w:hanging="720"/>
        <w:jc w:val="both"/>
        <w:rPr>
          <w:rFonts w:cs="Arial"/>
        </w:rPr>
      </w:pPr>
      <w:r w:rsidRPr="00947211">
        <w:rPr>
          <w:rFonts w:ascii="Arial" w:eastAsia="Calibri" w:hAnsi="Arial" w:cs="Arial"/>
          <w:lang w:val="en-ZA"/>
        </w:rPr>
        <w:t>[78]</w:t>
      </w:r>
      <w:r w:rsidRPr="00947211">
        <w:rPr>
          <w:rFonts w:ascii="Arial" w:eastAsia="Calibri" w:hAnsi="Arial" w:cs="Arial"/>
          <w:lang w:val="en-ZA"/>
        </w:rPr>
        <w:tab/>
      </w:r>
      <w:r w:rsidR="00627C6E" w:rsidRPr="00981A79">
        <w:rPr>
          <w:rFonts w:cs="Arial"/>
        </w:rPr>
        <w:t xml:space="preserve">In relation to the </w:t>
      </w:r>
      <w:r w:rsidR="009341DE" w:rsidRPr="00981A79">
        <w:rPr>
          <w:rFonts w:cs="Arial"/>
        </w:rPr>
        <w:t xml:space="preserve">jurisdictional requirements pertaining to section </w:t>
      </w:r>
      <w:r w:rsidR="0030385C" w:rsidRPr="00981A79">
        <w:rPr>
          <w:rFonts w:cs="Arial"/>
        </w:rPr>
        <w:t>73, the fact that documentation relating to the scheme as a whole is sought for the appeal process does not</w:t>
      </w:r>
      <w:r w:rsidR="0071296D" w:rsidRPr="00981A79">
        <w:rPr>
          <w:rFonts w:cs="Arial"/>
        </w:rPr>
        <w:t xml:space="preserve"> denote</w:t>
      </w:r>
      <w:r w:rsidR="0030385C" w:rsidRPr="00981A79">
        <w:rPr>
          <w:rFonts w:cs="Arial"/>
        </w:rPr>
        <w:t xml:space="preserve"> that </w:t>
      </w:r>
      <w:r w:rsidR="00F227C7" w:rsidRPr="00981A79">
        <w:rPr>
          <w:rFonts w:cs="Arial"/>
        </w:rPr>
        <w:t xml:space="preserve">SARS did not have sufficient information </w:t>
      </w:r>
      <w:r w:rsidR="00972390" w:rsidRPr="00981A79">
        <w:rPr>
          <w:rFonts w:cs="Arial"/>
        </w:rPr>
        <w:t>to satisfy itself that section 73 could be applied.</w:t>
      </w:r>
      <w:r w:rsidR="003549FC" w:rsidRPr="00981A79">
        <w:rPr>
          <w:rFonts w:cs="Arial"/>
        </w:rPr>
        <w:t xml:space="preserve"> </w:t>
      </w:r>
      <w:r w:rsidR="004139B9" w:rsidRPr="00981A79">
        <w:rPr>
          <w:rFonts w:cs="Arial"/>
        </w:rPr>
        <w:t>Indeed,</w:t>
      </w:r>
      <w:r w:rsidR="003549FC" w:rsidRPr="00981A79">
        <w:rPr>
          <w:rFonts w:cs="Arial"/>
        </w:rPr>
        <w:t xml:space="preserve"> </w:t>
      </w:r>
      <w:r w:rsidR="004139B9" w:rsidRPr="00981A79">
        <w:rPr>
          <w:rFonts w:cs="Arial"/>
        </w:rPr>
        <w:t>the taxpayer</w:t>
      </w:r>
      <w:r w:rsidR="003549FC" w:rsidRPr="00981A79">
        <w:rPr>
          <w:rFonts w:cs="Arial"/>
        </w:rPr>
        <w:t xml:space="preserve"> does not state </w:t>
      </w:r>
      <w:r w:rsidR="00C21EBC" w:rsidRPr="00981A79">
        <w:rPr>
          <w:rFonts w:cs="Arial"/>
        </w:rPr>
        <w:t>what the nature and import of any alleged deficiency</w:t>
      </w:r>
      <w:r w:rsidR="0071296D" w:rsidRPr="00981A79">
        <w:rPr>
          <w:rFonts w:cs="Arial"/>
        </w:rPr>
        <w:t xml:space="preserve"> is</w:t>
      </w:r>
      <w:r w:rsidR="004139B9" w:rsidRPr="00981A79">
        <w:rPr>
          <w:rFonts w:cs="Arial"/>
        </w:rPr>
        <w:t>.</w:t>
      </w:r>
    </w:p>
    <w:p w14:paraId="0F53D8B2" w14:textId="4A290C31" w:rsidR="00E110CB" w:rsidRPr="00947211" w:rsidRDefault="00454057" w:rsidP="00E110CB">
      <w:pPr>
        <w:spacing w:after="240" w:line="360" w:lineRule="auto"/>
        <w:ind w:left="720" w:hanging="720"/>
        <w:jc w:val="both"/>
        <w:rPr>
          <w:rFonts w:ascii="Arial" w:hAnsi="Arial" w:cs="Arial"/>
          <w:i/>
          <w:iCs/>
        </w:rPr>
      </w:pPr>
      <w:r w:rsidRPr="00947211">
        <w:rPr>
          <w:rFonts w:ascii="Arial" w:hAnsi="Arial" w:cs="Arial"/>
          <w:i/>
          <w:iCs/>
        </w:rPr>
        <w:t xml:space="preserve">The applications </w:t>
      </w:r>
      <w:r w:rsidR="001B101E" w:rsidRPr="00947211">
        <w:rPr>
          <w:rFonts w:ascii="Arial" w:hAnsi="Arial" w:cs="Arial"/>
          <w:i/>
          <w:iCs/>
        </w:rPr>
        <w:t>to strike out</w:t>
      </w:r>
    </w:p>
    <w:p w14:paraId="4A4BF66D" w14:textId="188EDD55" w:rsidR="00FD3092" w:rsidRPr="00981A79" w:rsidRDefault="00981A79" w:rsidP="00981A79">
      <w:pPr>
        <w:spacing w:after="240" w:line="360" w:lineRule="auto"/>
        <w:ind w:left="720" w:hanging="720"/>
        <w:jc w:val="both"/>
        <w:rPr>
          <w:rFonts w:cs="Arial"/>
        </w:rPr>
      </w:pPr>
      <w:r>
        <w:rPr>
          <w:rFonts w:ascii="Arial" w:eastAsia="Calibri" w:hAnsi="Arial" w:cs="Arial"/>
          <w:lang w:val="en-ZA"/>
        </w:rPr>
        <w:t>[79]</w:t>
      </w:r>
      <w:r>
        <w:rPr>
          <w:rFonts w:ascii="Arial" w:eastAsia="Calibri" w:hAnsi="Arial" w:cs="Arial"/>
          <w:lang w:val="en-ZA"/>
        </w:rPr>
        <w:tab/>
      </w:r>
      <w:r w:rsidR="00F8113F" w:rsidRPr="00981A79">
        <w:rPr>
          <w:rFonts w:cs="Arial"/>
        </w:rPr>
        <w:t>SARS seeks to</w:t>
      </w:r>
      <w:r w:rsidR="00E3561F" w:rsidRPr="00981A79">
        <w:rPr>
          <w:rFonts w:cs="Arial"/>
        </w:rPr>
        <w:t xml:space="preserve"> strike out </w:t>
      </w:r>
      <w:r w:rsidR="00B1210B" w:rsidRPr="00981A79">
        <w:rPr>
          <w:rFonts w:cs="Arial"/>
        </w:rPr>
        <w:t>p</w:t>
      </w:r>
      <w:r w:rsidR="00E3561F" w:rsidRPr="00981A79">
        <w:rPr>
          <w:rFonts w:cs="Arial"/>
        </w:rPr>
        <w:t>ara</w:t>
      </w:r>
      <w:r w:rsidR="00B1210B" w:rsidRPr="00981A79">
        <w:rPr>
          <w:rFonts w:cs="Arial"/>
        </w:rPr>
        <w:t>g</w:t>
      </w:r>
      <w:r w:rsidR="00E3561F" w:rsidRPr="00981A79">
        <w:rPr>
          <w:rFonts w:cs="Arial"/>
        </w:rPr>
        <w:t>ra</w:t>
      </w:r>
      <w:r w:rsidR="00B1210B" w:rsidRPr="00981A79">
        <w:rPr>
          <w:rFonts w:cs="Arial"/>
        </w:rPr>
        <w:t>p</w:t>
      </w:r>
      <w:r w:rsidR="00E3561F" w:rsidRPr="00981A79">
        <w:rPr>
          <w:rFonts w:cs="Arial"/>
        </w:rPr>
        <w:t xml:space="preserve">hs in </w:t>
      </w:r>
      <w:r w:rsidR="004139B9" w:rsidRPr="00981A79">
        <w:rPr>
          <w:rFonts w:cs="Arial"/>
        </w:rPr>
        <w:t>the taxpayer</w:t>
      </w:r>
      <w:r w:rsidR="00E3561F" w:rsidRPr="00981A79">
        <w:rPr>
          <w:rFonts w:cs="Arial"/>
        </w:rPr>
        <w:t>'s foundin</w:t>
      </w:r>
      <w:r w:rsidR="00B1210B" w:rsidRPr="00981A79">
        <w:rPr>
          <w:rFonts w:cs="Arial"/>
        </w:rPr>
        <w:t>g</w:t>
      </w:r>
      <w:r w:rsidR="00E3561F" w:rsidRPr="00981A79">
        <w:rPr>
          <w:rFonts w:cs="Arial"/>
        </w:rPr>
        <w:t xml:space="preserve"> affi</w:t>
      </w:r>
      <w:r w:rsidR="0033294C" w:rsidRPr="00981A79">
        <w:rPr>
          <w:rFonts w:cs="Arial"/>
        </w:rPr>
        <w:t xml:space="preserve">davit </w:t>
      </w:r>
      <w:r w:rsidR="00F11394" w:rsidRPr="00981A79">
        <w:rPr>
          <w:rFonts w:cs="Arial"/>
        </w:rPr>
        <w:t>in</w:t>
      </w:r>
      <w:r w:rsidR="0033294C" w:rsidRPr="00981A79">
        <w:rPr>
          <w:rFonts w:cs="Arial"/>
        </w:rPr>
        <w:t xml:space="preserve"> its application to comp</w:t>
      </w:r>
      <w:r w:rsidR="00E3561F" w:rsidRPr="00981A79">
        <w:rPr>
          <w:rFonts w:cs="Arial"/>
        </w:rPr>
        <w:t xml:space="preserve">el further </w:t>
      </w:r>
      <w:r w:rsidR="00B1210B" w:rsidRPr="00981A79">
        <w:rPr>
          <w:rFonts w:cs="Arial"/>
        </w:rPr>
        <w:t>p</w:t>
      </w:r>
      <w:r w:rsidR="00E3561F" w:rsidRPr="00981A79">
        <w:rPr>
          <w:rFonts w:cs="Arial"/>
        </w:rPr>
        <w:t>articulars</w:t>
      </w:r>
      <w:r w:rsidR="00FD3092" w:rsidRPr="00981A79">
        <w:rPr>
          <w:rFonts w:cs="Arial"/>
        </w:rPr>
        <w:t xml:space="preserve"> and its answering affidavit in SARS’ application to compel further discovery.</w:t>
      </w:r>
    </w:p>
    <w:p w14:paraId="5F3988CA" w14:textId="04F73CC3" w:rsidR="00FD3092" w:rsidRPr="00981A79" w:rsidRDefault="00981A79" w:rsidP="00981A79">
      <w:pPr>
        <w:spacing w:after="240" w:line="360" w:lineRule="auto"/>
        <w:ind w:left="720" w:hanging="720"/>
        <w:jc w:val="both"/>
        <w:rPr>
          <w:rFonts w:cs="Arial"/>
        </w:rPr>
      </w:pPr>
      <w:r w:rsidRPr="00124777">
        <w:rPr>
          <w:rFonts w:ascii="Arial" w:eastAsia="Calibri" w:hAnsi="Arial" w:cs="Arial"/>
          <w:lang w:val="en-ZA"/>
        </w:rPr>
        <w:t>[80]</w:t>
      </w:r>
      <w:r w:rsidRPr="00124777">
        <w:rPr>
          <w:rFonts w:ascii="Arial" w:eastAsia="Calibri" w:hAnsi="Arial" w:cs="Arial"/>
          <w:lang w:val="en-ZA"/>
        </w:rPr>
        <w:tab/>
      </w:r>
      <w:r w:rsidR="00FD3092" w:rsidRPr="00981A79">
        <w:rPr>
          <w:rFonts w:cs="Arial"/>
        </w:rPr>
        <w:t xml:space="preserve">SARS complains variously </w:t>
      </w:r>
      <w:r w:rsidR="00F11394" w:rsidRPr="00981A79">
        <w:rPr>
          <w:rFonts w:cs="Arial"/>
        </w:rPr>
        <w:t>that t</w:t>
      </w:r>
      <w:r w:rsidR="00E3561F" w:rsidRPr="00981A79">
        <w:rPr>
          <w:rFonts w:cs="Arial"/>
        </w:rPr>
        <w:t>he allegations</w:t>
      </w:r>
      <w:r w:rsidR="004702F4" w:rsidRPr="00981A79">
        <w:rPr>
          <w:rFonts w:cs="Arial"/>
        </w:rPr>
        <w:t xml:space="preserve"> must be struck out because they</w:t>
      </w:r>
      <w:r w:rsidR="00FD3092" w:rsidRPr="00981A79">
        <w:rPr>
          <w:rFonts w:cs="Arial"/>
        </w:rPr>
        <w:t>:</w:t>
      </w:r>
    </w:p>
    <w:p w14:paraId="3D419B61" w14:textId="57895D5F" w:rsidR="00FD3092" w:rsidRPr="00981A79" w:rsidRDefault="00981A79" w:rsidP="00981A79">
      <w:pPr>
        <w:spacing w:after="240" w:line="360" w:lineRule="auto"/>
        <w:ind w:left="2160" w:hanging="720"/>
        <w:jc w:val="both"/>
        <w:rPr>
          <w:rFonts w:cs="Arial"/>
        </w:rPr>
      </w:pPr>
      <w:r w:rsidRPr="00124777">
        <w:rPr>
          <w:rFonts w:ascii="Arial" w:eastAsia="Calibri" w:hAnsi="Arial" w:cs="Arial"/>
          <w:lang w:val="en-ZA"/>
        </w:rPr>
        <w:t>(c)</w:t>
      </w:r>
      <w:r w:rsidRPr="00124777">
        <w:rPr>
          <w:rFonts w:ascii="Arial" w:eastAsia="Calibri" w:hAnsi="Arial" w:cs="Arial"/>
          <w:lang w:val="en-ZA"/>
        </w:rPr>
        <w:tab/>
      </w:r>
      <w:r w:rsidR="00E3561F" w:rsidRPr="00981A79">
        <w:rPr>
          <w:rFonts w:cs="Arial"/>
        </w:rPr>
        <w:t xml:space="preserve"> are based on specula</w:t>
      </w:r>
      <w:r w:rsidR="00FD3092" w:rsidRPr="00981A79">
        <w:rPr>
          <w:rFonts w:cs="Arial"/>
        </w:rPr>
        <w:t xml:space="preserve">tion and </w:t>
      </w:r>
      <w:r w:rsidR="00E3561F" w:rsidRPr="00981A79">
        <w:rPr>
          <w:rFonts w:cs="Arial"/>
        </w:rPr>
        <w:t>suspicions that are presented as conclusive evidence</w:t>
      </w:r>
      <w:r w:rsidR="004702F4" w:rsidRPr="00981A79">
        <w:rPr>
          <w:rFonts w:cs="Arial"/>
        </w:rPr>
        <w:t>;</w:t>
      </w:r>
    </w:p>
    <w:p w14:paraId="18F2A498" w14:textId="413E5659" w:rsidR="00FD3092" w:rsidRPr="00981A79" w:rsidRDefault="00981A79" w:rsidP="00981A79">
      <w:pPr>
        <w:spacing w:after="240" w:line="360" w:lineRule="auto"/>
        <w:ind w:left="2160" w:hanging="720"/>
        <w:jc w:val="both"/>
        <w:rPr>
          <w:rFonts w:cs="Arial"/>
        </w:rPr>
      </w:pPr>
      <w:r w:rsidRPr="00124777">
        <w:rPr>
          <w:rFonts w:ascii="Arial" w:eastAsia="Calibri" w:hAnsi="Arial" w:cs="Arial"/>
          <w:lang w:val="en-ZA"/>
        </w:rPr>
        <w:lastRenderedPageBreak/>
        <w:t>(d)</w:t>
      </w:r>
      <w:r w:rsidRPr="00124777">
        <w:rPr>
          <w:rFonts w:ascii="Arial" w:eastAsia="Calibri" w:hAnsi="Arial" w:cs="Arial"/>
          <w:lang w:val="en-ZA"/>
        </w:rPr>
        <w:tab/>
      </w:r>
      <w:r w:rsidR="00FD3092" w:rsidRPr="00981A79">
        <w:rPr>
          <w:rFonts w:cs="Arial"/>
        </w:rPr>
        <w:t xml:space="preserve">constitute </w:t>
      </w:r>
      <w:r w:rsidR="004139B9" w:rsidRPr="00981A79">
        <w:rPr>
          <w:rFonts w:cs="Arial"/>
        </w:rPr>
        <w:t>the taxpayer</w:t>
      </w:r>
      <w:r w:rsidR="00E3561F" w:rsidRPr="00981A79">
        <w:rPr>
          <w:rFonts w:cs="Arial"/>
        </w:rPr>
        <w:t>'s deponent's i</w:t>
      </w:r>
      <w:r w:rsidR="00FD3092" w:rsidRPr="00981A79">
        <w:rPr>
          <w:rFonts w:cs="Arial"/>
        </w:rPr>
        <w:t>rrelevant</w:t>
      </w:r>
      <w:r w:rsidR="00E3561F" w:rsidRPr="00981A79">
        <w:rPr>
          <w:rFonts w:cs="Arial"/>
        </w:rPr>
        <w:t xml:space="preserve"> opinion concerning the adequacy of</w:t>
      </w:r>
      <w:r w:rsidR="0033294C" w:rsidRPr="00981A79">
        <w:rPr>
          <w:rFonts w:cs="Arial"/>
        </w:rPr>
        <w:t xml:space="preserve"> SARS c</w:t>
      </w:r>
      <w:r w:rsidR="00B1210B" w:rsidRPr="00981A79">
        <w:rPr>
          <w:rFonts w:cs="Arial"/>
        </w:rPr>
        <w:t>ase and SARS</w:t>
      </w:r>
      <w:r w:rsidR="0033294C" w:rsidRPr="00981A79">
        <w:rPr>
          <w:rFonts w:cs="Arial"/>
        </w:rPr>
        <w:t xml:space="preserve"> m</w:t>
      </w:r>
      <w:r w:rsidR="00B1210B" w:rsidRPr="00981A79">
        <w:rPr>
          <w:rFonts w:cs="Arial"/>
        </w:rPr>
        <w:t>otives</w:t>
      </w:r>
      <w:r w:rsidR="004702F4" w:rsidRPr="00981A79">
        <w:rPr>
          <w:rFonts w:cs="Arial"/>
        </w:rPr>
        <w:t>;</w:t>
      </w:r>
      <w:r w:rsidR="00B1210B" w:rsidRPr="00981A79">
        <w:rPr>
          <w:rFonts w:cs="Arial"/>
        </w:rPr>
        <w:t xml:space="preserve"> </w:t>
      </w:r>
    </w:p>
    <w:p w14:paraId="2FA11238" w14:textId="79057065" w:rsidR="0033294C" w:rsidRPr="00981A79" w:rsidRDefault="00981A79" w:rsidP="00981A79">
      <w:pPr>
        <w:spacing w:after="240" w:line="360" w:lineRule="auto"/>
        <w:ind w:left="2160" w:hanging="720"/>
        <w:jc w:val="both"/>
        <w:rPr>
          <w:rFonts w:cs="Arial"/>
        </w:rPr>
      </w:pPr>
      <w:r w:rsidRPr="00124777">
        <w:rPr>
          <w:rFonts w:ascii="Arial" w:eastAsia="Calibri" w:hAnsi="Arial" w:cs="Arial"/>
          <w:lang w:val="en-ZA"/>
        </w:rPr>
        <w:t>(e)</w:t>
      </w:r>
      <w:r w:rsidRPr="00124777">
        <w:rPr>
          <w:rFonts w:ascii="Arial" w:eastAsia="Calibri" w:hAnsi="Arial" w:cs="Arial"/>
          <w:lang w:val="en-ZA"/>
        </w:rPr>
        <w:tab/>
      </w:r>
      <w:r w:rsidR="00B1210B" w:rsidRPr="00981A79">
        <w:rPr>
          <w:rFonts w:cs="Arial"/>
        </w:rPr>
        <w:t xml:space="preserve"> are scandalous and vexatious and are not substantiated by fact.</w:t>
      </w:r>
    </w:p>
    <w:p w14:paraId="388CC093" w14:textId="29ABD98C" w:rsidR="00114FA2" w:rsidRPr="00981A79" w:rsidRDefault="00981A79" w:rsidP="00981A79">
      <w:pPr>
        <w:spacing w:after="240" w:line="360" w:lineRule="auto"/>
        <w:ind w:left="720" w:hanging="720"/>
        <w:jc w:val="both"/>
        <w:rPr>
          <w:rFonts w:cs="Arial"/>
        </w:rPr>
      </w:pPr>
      <w:r>
        <w:rPr>
          <w:rFonts w:ascii="Arial" w:eastAsia="Calibri" w:hAnsi="Arial" w:cs="Arial"/>
          <w:lang w:val="en-ZA"/>
        </w:rPr>
        <w:t>[81]</w:t>
      </w:r>
      <w:r>
        <w:rPr>
          <w:rFonts w:ascii="Arial" w:eastAsia="Calibri" w:hAnsi="Arial" w:cs="Arial"/>
          <w:lang w:val="en-ZA"/>
        </w:rPr>
        <w:tab/>
      </w:r>
      <w:r w:rsidR="00FA6BE4" w:rsidRPr="00981A79">
        <w:rPr>
          <w:rFonts w:cs="Arial"/>
        </w:rPr>
        <w:t>Rule 6(15) of the Uniform Rules reads as follows:</w:t>
      </w:r>
    </w:p>
    <w:p w14:paraId="52DDF17E" w14:textId="79B53A5B" w:rsidR="00F609D3" w:rsidRPr="00114FA2" w:rsidRDefault="00B1210B" w:rsidP="00114FA2">
      <w:pPr>
        <w:pStyle w:val="ListParagraph"/>
        <w:spacing w:before="0" w:after="240" w:line="360" w:lineRule="auto"/>
        <w:contextualSpacing w:val="0"/>
        <w:mirrorIndents w:val="0"/>
        <w:jc w:val="both"/>
        <w:rPr>
          <w:rFonts w:cs="Arial"/>
        </w:rPr>
      </w:pPr>
      <w:r w:rsidRPr="00114FA2">
        <w:rPr>
          <w:rFonts w:cs="Arial"/>
          <w:sz w:val="22"/>
          <w:szCs w:val="22"/>
        </w:rPr>
        <w:t>"The co</w:t>
      </w:r>
      <w:r w:rsidR="006060BA" w:rsidRPr="00114FA2">
        <w:rPr>
          <w:rFonts w:cs="Arial"/>
          <w:sz w:val="22"/>
          <w:szCs w:val="22"/>
        </w:rPr>
        <w:t>u</w:t>
      </w:r>
      <w:r w:rsidR="00FA6BE4" w:rsidRPr="00114FA2">
        <w:rPr>
          <w:rFonts w:cs="Arial"/>
          <w:sz w:val="22"/>
          <w:szCs w:val="22"/>
        </w:rPr>
        <w:t xml:space="preserve">rt may on application order to be struck out from any affidavit any matter which is scandalous, vexatious, or irrelevant, with appropriate order as to costs, including costs as between attorney and client. </w:t>
      </w:r>
      <w:r w:rsidR="00FA6BE4" w:rsidRPr="00114FA2">
        <w:rPr>
          <w:rFonts w:cs="Arial"/>
          <w:b/>
          <w:bCs/>
          <w:sz w:val="22"/>
          <w:szCs w:val="22"/>
        </w:rPr>
        <w:t>The court may not grant the application unless it is satis</w:t>
      </w:r>
      <w:r w:rsidRPr="00114FA2">
        <w:rPr>
          <w:rFonts w:cs="Arial"/>
          <w:b/>
          <w:bCs/>
          <w:sz w:val="22"/>
          <w:szCs w:val="22"/>
        </w:rPr>
        <w:t xml:space="preserve">fied that the applicant will be </w:t>
      </w:r>
      <w:r w:rsidR="00FA6BE4" w:rsidRPr="00114FA2">
        <w:rPr>
          <w:rFonts w:cs="Arial"/>
          <w:b/>
          <w:bCs/>
          <w:sz w:val="22"/>
          <w:szCs w:val="22"/>
        </w:rPr>
        <w:t>prejudiced</w:t>
      </w:r>
      <w:r w:rsidR="008C0D13" w:rsidRPr="00114FA2">
        <w:rPr>
          <w:rFonts w:cs="Arial"/>
          <w:b/>
          <w:bCs/>
          <w:sz w:val="22"/>
          <w:szCs w:val="22"/>
        </w:rPr>
        <w:t xml:space="preserve"> </w:t>
      </w:r>
      <w:r w:rsidR="00FA6BE4" w:rsidRPr="00114FA2">
        <w:rPr>
          <w:rFonts w:cs="Arial"/>
          <w:b/>
          <w:bCs/>
          <w:sz w:val="22"/>
          <w:szCs w:val="22"/>
        </w:rPr>
        <w:t>if the application</w:t>
      </w:r>
      <w:r w:rsidR="008C0D13" w:rsidRPr="00114FA2">
        <w:rPr>
          <w:rFonts w:cs="Arial"/>
          <w:b/>
          <w:bCs/>
          <w:sz w:val="22"/>
          <w:szCs w:val="22"/>
        </w:rPr>
        <w:t xml:space="preserve"> </w:t>
      </w:r>
      <w:r w:rsidR="00FA6BE4" w:rsidRPr="00114FA2">
        <w:rPr>
          <w:rFonts w:cs="Arial"/>
          <w:b/>
          <w:bCs/>
          <w:sz w:val="22"/>
          <w:szCs w:val="22"/>
        </w:rPr>
        <w:t>is not granted</w:t>
      </w:r>
      <w:r w:rsidR="00FA6BE4" w:rsidRPr="00114FA2">
        <w:rPr>
          <w:rFonts w:cs="Arial"/>
          <w:sz w:val="22"/>
          <w:szCs w:val="22"/>
        </w:rPr>
        <w:t>."</w:t>
      </w:r>
      <w:r w:rsidR="00FD3092" w:rsidRPr="00114FA2">
        <w:rPr>
          <w:rFonts w:cs="Arial"/>
        </w:rPr>
        <w:t xml:space="preserve"> (Emphasis added)</w:t>
      </w:r>
    </w:p>
    <w:p w14:paraId="27864E9C" w14:textId="0C6AD3B5" w:rsidR="00691F94" w:rsidRPr="00981A79" w:rsidRDefault="00981A79" w:rsidP="00981A79">
      <w:pPr>
        <w:spacing w:after="240" w:line="360" w:lineRule="auto"/>
        <w:ind w:left="720" w:hanging="720"/>
        <w:jc w:val="both"/>
        <w:rPr>
          <w:rFonts w:cs="Arial"/>
        </w:rPr>
      </w:pPr>
      <w:r>
        <w:rPr>
          <w:rFonts w:ascii="Arial" w:eastAsia="Calibri" w:hAnsi="Arial" w:cs="Arial"/>
          <w:lang w:val="en-ZA"/>
        </w:rPr>
        <w:t>[82]</w:t>
      </w:r>
      <w:r>
        <w:rPr>
          <w:rFonts w:ascii="Arial" w:eastAsia="Calibri" w:hAnsi="Arial" w:cs="Arial"/>
          <w:lang w:val="en-ZA"/>
        </w:rPr>
        <w:tab/>
      </w:r>
      <w:r w:rsidR="00F63417" w:rsidRPr="00981A79">
        <w:rPr>
          <w:rFonts w:cs="Arial"/>
        </w:rPr>
        <w:t>SARS has</w:t>
      </w:r>
      <w:r w:rsidR="0074530F" w:rsidRPr="00981A79">
        <w:rPr>
          <w:rFonts w:cs="Arial"/>
        </w:rPr>
        <w:t>, to my mind,</w:t>
      </w:r>
      <w:r w:rsidR="00F63417" w:rsidRPr="00981A79">
        <w:rPr>
          <w:rFonts w:cs="Arial"/>
        </w:rPr>
        <w:t xml:space="preserve"> not shown the requisite prejudice.</w:t>
      </w:r>
      <w:r w:rsidR="00CD574F" w:rsidRPr="00981A79">
        <w:rPr>
          <w:rFonts w:cs="Arial"/>
        </w:rPr>
        <w:t xml:space="preserve"> </w:t>
      </w:r>
    </w:p>
    <w:p w14:paraId="6682765C" w14:textId="77777777" w:rsidR="00691F94" w:rsidRPr="00582088" w:rsidRDefault="00691F94" w:rsidP="009141C6">
      <w:pPr>
        <w:spacing w:after="240" w:line="360" w:lineRule="auto"/>
        <w:ind w:left="720" w:hanging="720"/>
        <w:jc w:val="both"/>
        <w:rPr>
          <w:rFonts w:ascii="Arial" w:hAnsi="Arial" w:cs="Arial"/>
          <w:i/>
        </w:rPr>
      </w:pPr>
      <w:r w:rsidRPr="00582088">
        <w:rPr>
          <w:rFonts w:ascii="Arial" w:hAnsi="Arial" w:cs="Arial"/>
          <w:i/>
        </w:rPr>
        <w:t>Costs</w:t>
      </w:r>
    </w:p>
    <w:p w14:paraId="35AC8AB6" w14:textId="1226A0D5" w:rsidR="00114FA2" w:rsidRPr="0033294C" w:rsidRDefault="00981A79" w:rsidP="00981A79">
      <w:pPr>
        <w:spacing w:after="240" w:line="360" w:lineRule="auto"/>
        <w:ind w:left="720" w:hanging="720"/>
        <w:jc w:val="both"/>
      </w:pPr>
      <w:r w:rsidRPr="0033294C">
        <w:rPr>
          <w:rFonts w:ascii="Arial" w:eastAsia="Calibri" w:hAnsi="Arial" w:cs="Times New Roman (Body CS)"/>
          <w:lang w:val="en-ZA"/>
        </w:rPr>
        <w:t>[83]</w:t>
      </w:r>
      <w:r w:rsidRPr="0033294C">
        <w:rPr>
          <w:rFonts w:ascii="Arial" w:eastAsia="Calibri" w:hAnsi="Arial" w:cs="Times New Roman (Body CS)"/>
          <w:lang w:val="en-ZA"/>
        </w:rPr>
        <w:tab/>
      </w:r>
      <w:r w:rsidR="004C332D" w:rsidRPr="00981A79">
        <w:rPr>
          <w:rFonts w:cs="Arial"/>
        </w:rPr>
        <w:t xml:space="preserve">There is no reason why the costs should not follow each result. </w:t>
      </w:r>
      <w:r w:rsidR="00FD3092" w:rsidRPr="00981A79">
        <w:rPr>
          <w:rFonts w:cs="Arial"/>
        </w:rPr>
        <w:t>The parties both employed more than one counsel</w:t>
      </w:r>
      <w:r w:rsidR="004139B9" w:rsidRPr="00981A79">
        <w:rPr>
          <w:rFonts w:cs="Arial"/>
        </w:rPr>
        <w:t xml:space="preserve"> and neither dispute that this was necessary</w:t>
      </w:r>
      <w:r w:rsidR="00FD3092" w:rsidRPr="00981A79">
        <w:rPr>
          <w:rFonts w:cs="Arial"/>
        </w:rPr>
        <w:t>.</w:t>
      </w:r>
    </w:p>
    <w:p w14:paraId="41C75EE3" w14:textId="77777777" w:rsidR="00582088" w:rsidRPr="00582088" w:rsidRDefault="0014690B" w:rsidP="009141C6">
      <w:pPr>
        <w:spacing w:after="240" w:line="360" w:lineRule="auto"/>
        <w:ind w:left="720" w:hanging="720"/>
        <w:jc w:val="both"/>
        <w:rPr>
          <w:rFonts w:ascii="Arial" w:hAnsi="Arial" w:cs="Arial"/>
        </w:rPr>
      </w:pPr>
      <w:r w:rsidRPr="00582088">
        <w:rPr>
          <w:rFonts w:ascii="Arial" w:hAnsi="Arial" w:cs="Arial"/>
          <w:i/>
          <w:iCs/>
        </w:rPr>
        <w:t>Orders</w:t>
      </w:r>
    </w:p>
    <w:p w14:paraId="18900F65" w14:textId="76AD2FCA" w:rsidR="00F06614" w:rsidRDefault="00981A79" w:rsidP="00981A79">
      <w:pPr>
        <w:spacing w:after="240" w:line="360" w:lineRule="auto"/>
        <w:ind w:left="720" w:hanging="720"/>
        <w:jc w:val="both"/>
      </w:pPr>
      <w:r>
        <w:rPr>
          <w:rFonts w:ascii="Arial" w:eastAsia="Calibri" w:hAnsi="Arial" w:cs="Times New Roman (Body CS)"/>
          <w:lang w:val="en-ZA"/>
        </w:rPr>
        <w:t>[84]</w:t>
      </w:r>
      <w:r>
        <w:rPr>
          <w:rFonts w:ascii="Arial" w:eastAsia="Calibri" w:hAnsi="Arial" w:cs="Times New Roman (Body CS)"/>
          <w:lang w:val="en-ZA"/>
        </w:rPr>
        <w:tab/>
      </w:r>
      <w:r w:rsidR="00B1210B">
        <w:t xml:space="preserve">In the circumstances I make </w:t>
      </w:r>
      <w:r w:rsidR="00F06614">
        <w:t>order</w:t>
      </w:r>
      <w:r w:rsidR="008D28EA">
        <w:t xml:space="preserve">s </w:t>
      </w:r>
      <w:r w:rsidR="00F06614">
        <w:t>which read as follows</w:t>
      </w:r>
      <w:r w:rsidR="00582088">
        <w:t>:</w:t>
      </w:r>
    </w:p>
    <w:p w14:paraId="53FD7321" w14:textId="40BE22A2" w:rsidR="00E110CB" w:rsidRPr="00981A79" w:rsidRDefault="00981A79" w:rsidP="00981A79">
      <w:pPr>
        <w:spacing w:after="240" w:line="360" w:lineRule="auto"/>
        <w:ind w:left="720" w:hanging="360"/>
        <w:jc w:val="both"/>
        <w:rPr>
          <w:rFonts w:cs="Arial"/>
          <w:b/>
        </w:rPr>
      </w:pPr>
      <w:r>
        <w:rPr>
          <w:rFonts w:ascii="Arial" w:eastAsia="Calibri" w:hAnsi="Arial" w:cs="Arial"/>
          <w:b/>
          <w:lang w:val="en-ZA"/>
        </w:rPr>
        <w:t>[1]</w:t>
      </w:r>
      <w:r>
        <w:rPr>
          <w:rFonts w:ascii="Arial" w:eastAsia="Calibri" w:hAnsi="Arial" w:cs="Arial"/>
          <w:b/>
          <w:lang w:val="en-ZA"/>
        </w:rPr>
        <w:tab/>
      </w:r>
      <w:r w:rsidR="00F06614" w:rsidRPr="00981A79">
        <w:rPr>
          <w:rFonts w:cs="Arial"/>
          <w:b/>
        </w:rPr>
        <w:t>In respect of the app</w:t>
      </w:r>
      <w:r w:rsidR="000B222B" w:rsidRPr="00981A79">
        <w:rPr>
          <w:rFonts w:cs="Arial"/>
          <w:b/>
        </w:rPr>
        <w:t xml:space="preserve">lication by </w:t>
      </w:r>
      <w:r w:rsidR="004139B9" w:rsidRPr="00981A79">
        <w:rPr>
          <w:rFonts w:cs="Arial"/>
          <w:b/>
        </w:rPr>
        <w:t>the taxpayer</w:t>
      </w:r>
      <w:r w:rsidR="000B222B" w:rsidRPr="00981A79">
        <w:rPr>
          <w:rFonts w:cs="Arial"/>
          <w:b/>
        </w:rPr>
        <w:t xml:space="preserve"> to compel further discovery</w:t>
      </w:r>
      <w:r w:rsidR="00691F94" w:rsidRPr="00981A79">
        <w:rPr>
          <w:rFonts w:cs="Arial"/>
          <w:b/>
        </w:rPr>
        <w:t>:</w:t>
      </w:r>
    </w:p>
    <w:p w14:paraId="6EFCBBEE" w14:textId="671C2D8D" w:rsidR="00582088" w:rsidRDefault="00691F94" w:rsidP="00E110CB">
      <w:pPr>
        <w:pStyle w:val="ListParagraph"/>
        <w:spacing w:after="240" w:line="360" w:lineRule="auto"/>
        <w:jc w:val="both"/>
        <w:rPr>
          <w:rFonts w:cs="Arial"/>
        </w:rPr>
      </w:pPr>
      <w:r w:rsidRPr="00E110CB">
        <w:rPr>
          <w:rFonts w:cs="Arial"/>
        </w:rPr>
        <w:t>The application is dismissed with costs</w:t>
      </w:r>
      <w:r w:rsidR="00E86AB5" w:rsidRPr="00E110CB">
        <w:rPr>
          <w:rFonts w:cs="Arial"/>
        </w:rPr>
        <w:t xml:space="preserve"> such costs to include the costs of two counsel where employed</w:t>
      </w:r>
      <w:r w:rsidR="00914F2C" w:rsidRPr="00E110CB">
        <w:rPr>
          <w:rFonts w:cs="Arial"/>
        </w:rPr>
        <w:t>.</w:t>
      </w:r>
    </w:p>
    <w:p w14:paraId="3F0C5795" w14:textId="77777777" w:rsidR="00E110CB" w:rsidRPr="00E110CB" w:rsidRDefault="00E110CB" w:rsidP="00E110CB">
      <w:pPr>
        <w:pStyle w:val="ListParagraph"/>
        <w:spacing w:after="240" w:line="360" w:lineRule="auto"/>
        <w:jc w:val="both"/>
        <w:rPr>
          <w:rFonts w:cs="Arial"/>
          <w:b/>
        </w:rPr>
      </w:pPr>
    </w:p>
    <w:p w14:paraId="70C29F21" w14:textId="028FA23F" w:rsidR="00C60163" w:rsidRPr="00981A79" w:rsidRDefault="00981A79" w:rsidP="00981A79">
      <w:pPr>
        <w:spacing w:after="240" w:line="360" w:lineRule="auto"/>
        <w:ind w:left="720" w:hanging="360"/>
        <w:jc w:val="both"/>
        <w:rPr>
          <w:rFonts w:cs="Arial"/>
          <w:b/>
        </w:rPr>
      </w:pPr>
      <w:r w:rsidRPr="00E110CB">
        <w:rPr>
          <w:rFonts w:ascii="Arial" w:eastAsia="Calibri" w:hAnsi="Arial" w:cs="Arial"/>
          <w:b/>
          <w:lang w:val="en-ZA"/>
        </w:rPr>
        <w:t>[2]</w:t>
      </w:r>
      <w:r w:rsidRPr="00E110CB">
        <w:rPr>
          <w:rFonts w:ascii="Arial" w:eastAsia="Calibri" w:hAnsi="Arial" w:cs="Arial"/>
          <w:b/>
          <w:lang w:val="en-ZA"/>
        </w:rPr>
        <w:tab/>
      </w:r>
      <w:r w:rsidR="00914F2C" w:rsidRPr="00981A79">
        <w:rPr>
          <w:rFonts w:cs="Arial"/>
          <w:b/>
        </w:rPr>
        <w:t xml:space="preserve">In respect of the application by </w:t>
      </w:r>
      <w:r w:rsidR="004139B9" w:rsidRPr="00981A79">
        <w:rPr>
          <w:rFonts w:cs="Arial"/>
          <w:b/>
        </w:rPr>
        <w:t>the taxpayer</w:t>
      </w:r>
      <w:r w:rsidR="00914F2C" w:rsidRPr="00981A79">
        <w:rPr>
          <w:rFonts w:cs="Arial"/>
          <w:b/>
        </w:rPr>
        <w:t xml:space="preserve"> for further particulars:</w:t>
      </w:r>
    </w:p>
    <w:p w14:paraId="755FB6FC" w14:textId="0A316C34" w:rsidR="0074530F" w:rsidRPr="00CB3AD9" w:rsidRDefault="00914F2C" w:rsidP="00114FA2">
      <w:pPr>
        <w:pStyle w:val="ListParagraph"/>
        <w:spacing w:before="0" w:after="240" w:line="360" w:lineRule="auto"/>
        <w:jc w:val="both"/>
        <w:rPr>
          <w:rFonts w:cs="Arial"/>
        </w:rPr>
      </w:pPr>
      <w:r w:rsidRPr="00CB3AD9">
        <w:rPr>
          <w:rFonts w:cs="Arial"/>
        </w:rPr>
        <w:t>The application</w:t>
      </w:r>
      <w:r w:rsidR="00114FA2">
        <w:rPr>
          <w:rFonts w:cs="Arial"/>
        </w:rPr>
        <w:t xml:space="preserve"> is</w:t>
      </w:r>
      <w:r w:rsidRPr="00CB3AD9">
        <w:rPr>
          <w:rFonts w:cs="Arial"/>
        </w:rPr>
        <w:t xml:space="preserve"> dismissed with costs</w:t>
      </w:r>
      <w:r w:rsidR="000C044D" w:rsidRPr="00CB3AD9">
        <w:rPr>
          <w:rFonts w:cs="Arial"/>
        </w:rPr>
        <w:t xml:space="preserve"> such costs </w:t>
      </w:r>
      <w:r w:rsidR="000168AC" w:rsidRPr="00CB3AD9">
        <w:rPr>
          <w:rFonts w:cs="Arial"/>
        </w:rPr>
        <w:t>to include the costs of two counsel where employed</w:t>
      </w:r>
      <w:r w:rsidR="00F06D2C" w:rsidRPr="00CB3AD9">
        <w:rPr>
          <w:rFonts w:cs="Arial"/>
        </w:rPr>
        <w:t>.</w:t>
      </w:r>
    </w:p>
    <w:p w14:paraId="2318701C" w14:textId="71898785" w:rsidR="00114FA2" w:rsidRPr="00981A79" w:rsidRDefault="00981A79" w:rsidP="00981A79">
      <w:pPr>
        <w:spacing w:after="240" w:line="360" w:lineRule="auto"/>
        <w:ind w:left="720" w:hanging="720"/>
        <w:jc w:val="both"/>
        <w:rPr>
          <w:rFonts w:cs="Arial"/>
          <w:b/>
        </w:rPr>
      </w:pPr>
      <w:r w:rsidRPr="00E110CB">
        <w:rPr>
          <w:rFonts w:ascii="Arial" w:eastAsia="Calibri" w:hAnsi="Arial" w:cs="Arial"/>
          <w:b/>
          <w:lang w:val="en-ZA"/>
        </w:rPr>
        <w:t>[3]</w:t>
      </w:r>
      <w:r w:rsidRPr="00E110CB">
        <w:rPr>
          <w:rFonts w:ascii="Arial" w:eastAsia="Calibri" w:hAnsi="Arial" w:cs="Arial"/>
          <w:b/>
          <w:lang w:val="en-ZA"/>
        </w:rPr>
        <w:tab/>
      </w:r>
      <w:r w:rsidR="00557CE6" w:rsidRPr="00981A79">
        <w:rPr>
          <w:rFonts w:cs="Arial"/>
          <w:b/>
        </w:rPr>
        <w:t>In re</w:t>
      </w:r>
      <w:r w:rsidR="00C03BD0" w:rsidRPr="00981A79">
        <w:rPr>
          <w:rFonts w:cs="Arial"/>
          <w:b/>
        </w:rPr>
        <w:t>s</w:t>
      </w:r>
      <w:r w:rsidR="00F06D2C" w:rsidRPr="00981A79">
        <w:rPr>
          <w:rFonts w:cs="Arial"/>
          <w:b/>
        </w:rPr>
        <w:t>pect of SARS’ application</w:t>
      </w:r>
      <w:r w:rsidR="00025A67" w:rsidRPr="00981A79">
        <w:rPr>
          <w:rFonts w:cs="Arial"/>
          <w:b/>
        </w:rPr>
        <w:t>s</w:t>
      </w:r>
      <w:r w:rsidR="00F06D2C" w:rsidRPr="00981A79">
        <w:rPr>
          <w:rFonts w:cs="Arial"/>
          <w:b/>
        </w:rPr>
        <w:t xml:space="preserve"> </w:t>
      </w:r>
      <w:r w:rsidR="00025A67" w:rsidRPr="00981A79">
        <w:rPr>
          <w:rFonts w:cs="Arial"/>
          <w:b/>
        </w:rPr>
        <w:t>to strike out:</w:t>
      </w:r>
    </w:p>
    <w:p w14:paraId="21EACAAC" w14:textId="11122E05" w:rsidR="0074530F" w:rsidRPr="00114FA2" w:rsidRDefault="00025A67" w:rsidP="00E110CB">
      <w:pPr>
        <w:spacing w:after="240" w:line="360" w:lineRule="auto"/>
        <w:jc w:val="both"/>
        <w:rPr>
          <w:rFonts w:ascii="Arial" w:hAnsi="Arial" w:cs="Arial"/>
          <w:b/>
        </w:rPr>
      </w:pPr>
      <w:r w:rsidRPr="00114FA2">
        <w:rPr>
          <w:rFonts w:ascii="Arial" w:hAnsi="Arial" w:cs="Arial"/>
        </w:rPr>
        <w:t>The applications are dismissed with costs</w:t>
      </w:r>
      <w:r w:rsidR="00441069" w:rsidRPr="00114FA2">
        <w:rPr>
          <w:rFonts w:ascii="Arial" w:hAnsi="Arial" w:cs="Arial"/>
        </w:rPr>
        <w:t xml:space="preserve"> such costs to include the costs of </w:t>
      </w:r>
      <w:r w:rsidR="000C044D" w:rsidRPr="00114FA2">
        <w:rPr>
          <w:rFonts w:ascii="Arial" w:hAnsi="Arial" w:cs="Arial"/>
        </w:rPr>
        <w:t>two</w:t>
      </w:r>
      <w:r w:rsidR="00E110CB">
        <w:rPr>
          <w:rFonts w:ascii="Arial" w:hAnsi="Arial" w:cs="Arial"/>
        </w:rPr>
        <w:t xml:space="preserve"> </w:t>
      </w:r>
      <w:r w:rsidR="000C044D" w:rsidRPr="00114FA2">
        <w:rPr>
          <w:rFonts w:ascii="Arial" w:hAnsi="Arial" w:cs="Arial"/>
        </w:rPr>
        <w:t>counsel where employed</w:t>
      </w:r>
      <w:r w:rsidRPr="00114FA2">
        <w:rPr>
          <w:rFonts w:ascii="Arial" w:hAnsi="Arial" w:cs="Arial"/>
        </w:rPr>
        <w:t>.</w:t>
      </w:r>
      <w:r w:rsidR="000E351B" w:rsidRPr="00114FA2">
        <w:rPr>
          <w:rFonts w:ascii="Arial" w:hAnsi="Arial" w:cs="Arial"/>
        </w:rPr>
        <w:t xml:space="preserve"> </w:t>
      </w:r>
    </w:p>
    <w:p w14:paraId="476DDC42" w14:textId="655E9FEA" w:rsidR="00B32500" w:rsidRPr="00981A79" w:rsidRDefault="00981A79" w:rsidP="00981A79">
      <w:pPr>
        <w:spacing w:after="240" w:line="360" w:lineRule="auto"/>
        <w:ind w:left="720" w:hanging="720"/>
        <w:jc w:val="both"/>
        <w:rPr>
          <w:rFonts w:cs="Arial"/>
          <w:b/>
        </w:rPr>
      </w:pPr>
      <w:r w:rsidRPr="00CB3AD9">
        <w:rPr>
          <w:rFonts w:ascii="Arial" w:eastAsia="Calibri" w:hAnsi="Arial" w:cs="Arial"/>
          <w:b/>
          <w:lang w:val="en-ZA"/>
        </w:rPr>
        <w:lastRenderedPageBreak/>
        <w:t>[4]</w:t>
      </w:r>
      <w:r w:rsidRPr="00CB3AD9">
        <w:rPr>
          <w:rFonts w:ascii="Arial" w:eastAsia="Calibri" w:hAnsi="Arial" w:cs="Arial"/>
          <w:b/>
          <w:lang w:val="en-ZA"/>
        </w:rPr>
        <w:tab/>
      </w:r>
      <w:r w:rsidR="004941EE" w:rsidRPr="00981A79">
        <w:rPr>
          <w:rFonts w:cs="Arial"/>
          <w:b/>
        </w:rPr>
        <w:t>In res</w:t>
      </w:r>
      <w:r w:rsidR="00B32500" w:rsidRPr="00981A79">
        <w:rPr>
          <w:rFonts w:cs="Arial"/>
          <w:b/>
        </w:rPr>
        <w:t xml:space="preserve">pect of </w:t>
      </w:r>
      <w:r w:rsidR="009125CE" w:rsidRPr="00981A79">
        <w:rPr>
          <w:rFonts w:cs="Arial"/>
          <w:b/>
        </w:rPr>
        <w:t>SARS</w:t>
      </w:r>
      <w:r w:rsidR="003127E7" w:rsidRPr="00981A79">
        <w:rPr>
          <w:rFonts w:cs="Arial"/>
          <w:b/>
        </w:rPr>
        <w:t>’ application to compel further discovery</w:t>
      </w:r>
      <w:r w:rsidR="008D28EA" w:rsidRPr="00981A79">
        <w:rPr>
          <w:rFonts w:cs="Arial"/>
          <w:b/>
        </w:rPr>
        <w:t>:</w:t>
      </w:r>
    </w:p>
    <w:p w14:paraId="5CA7BD85" w14:textId="0907C4BC" w:rsidR="00557CE6" w:rsidRPr="00981A79" w:rsidRDefault="00981A79" w:rsidP="00981A79">
      <w:pPr>
        <w:spacing w:after="240" w:line="360" w:lineRule="auto"/>
        <w:ind w:left="720" w:hanging="720"/>
        <w:jc w:val="both"/>
        <w:rPr>
          <w:rFonts w:cs="Arial"/>
        </w:rPr>
      </w:pPr>
      <w:r w:rsidRPr="00E110CB">
        <w:rPr>
          <w:rFonts w:ascii="Arial" w:eastAsia="Calibri" w:hAnsi="Arial" w:cs="Arial"/>
          <w:lang w:val="en-ZA"/>
        </w:rPr>
        <w:t>4.1</w:t>
      </w:r>
      <w:r w:rsidRPr="00E110CB">
        <w:rPr>
          <w:rFonts w:ascii="Arial" w:eastAsia="Calibri" w:hAnsi="Arial" w:cs="Arial"/>
          <w:lang w:val="en-ZA"/>
        </w:rPr>
        <w:tab/>
      </w:r>
      <w:r w:rsidR="00B04677" w:rsidRPr="00981A79">
        <w:rPr>
          <w:rFonts w:cs="Arial"/>
        </w:rPr>
        <w:t xml:space="preserve">Within </w:t>
      </w:r>
      <w:r w:rsidR="00E12ABA" w:rsidRPr="00981A79">
        <w:rPr>
          <w:rFonts w:cs="Arial"/>
        </w:rPr>
        <w:t>fifteen days</w:t>
      </w:r>
      <w:r w:rsidR="007265D8" w:rsidRPr="00981A79">
        <w:rPr>
          <w:rFonts w:cs="Arial"/>
        </w:rPr>
        <w:t xml:space="preserve"> </w:t>
      </w:r>
      <w:r w:rsidR="00381DD5" w:rsidRPr="00981A79">
        <w:rPr>
          <w:rFonts w:cs="Arial"/>
        </w:rPr>
        <w:t>of this order</w:t>
      </w:r>
      <w:r w:rsidR="007265D8" w:rsidRPr="00981A79">
        <w:rPr>
          <w:rFonts w:cs="Arial"/>
        </w:rPr>
        <w:t>,</w:t>
      </w:r>
      <w:r w:rsidR="00381DD5" w:rsidRPr="00981A79">
        <w:rPr>
          <w:rFonts w:cs="Arial"/>
        </w:rPr>
        <w:t xml:space="preserve"> the respondent</w:t>
      </w:r>
      <w:r w:rsidR="00E73A3F" w:rsidRPr="00981A79">
        <w:rPr>
          <w:rFonts w:cs="Arial"/>
        </w:rPr>
        <w:t xml:space="preserve">, </w:t>
      </w:r>
      <w:r w:rsidR="00E12ABA" w:rsidRPr="00981A79">
        <w:rPr>
          <w:rFonts w:cs="Arial"/>
        </w:rPr>
        <w:t>Rappa</w:t>
      </w:r>
      <w:r w:rsidR="007265D8" w:rsidRPr="00981A79">
        <w:rPr>
          <w:rFonts w:cs="Arial"/>
        </w:rPr>
        <w:t xml:space="preserve"> Resources (Pty) Ltd</w:t>
      </w:r>
      <w:r w:rsidR="000E351B" w:rsidRPr="00981A79">
        <w:rPr>
          <w:rFonts w:cs="Arial"/>
        </w:rPr>
        <w:t xml:space="preserve"> (</w:t>
      </w:r>
      <w:r w:rsidR="004139B9" w:rsidRPr="00981A79">
        <w:rPr>
          <w:rFonts w:cs="Arial"/>
        </w:rPr>
        <w:t>The taxpayer</w:t>
      </w:r>
      <w:r w:rsidR="000E351B" w:rsidRPr="00981A79">
        <w:rPr>
          <w:rFonts w:cs="Arial"/>
        </w:rPr>
        <w:t>)</w:t>
      </w:r>
      <w:r w:rsidR="00E73A3F" w:rsidRPr="00981A79">
        <w:rPr>
          <w:rFonts w:cs="Arial"/>
        </w:rPr>
        <w:t xml:space="preserve"> </w:t>
      </w:r>
      <w:r w:rsidR="00381DD5" w:rsidRPr="00981A79">
        <w:rPr>
          <w:rFonts w:cs="Arial"/>
        </w:rPr>
        <w:t xml:space="preserve">is compelled to </w:t>
      </w:r>
      <w:r w:rsidR="006B3B74" w:rsidRPr="00981A79">
        <w:rPr>
          <w:rFonts w:cs="Arial"/>
        </w:rPr>
        <w:t>make the following documents avai</w:t>
      </w:r>
      <w:r w:rsidR="00E90193" w:rsidRPr="00981A79">
        <w:rPr>
          <w:rFonts w:cs="Arial"/>
        </w:rPr>
        <w:t>lable</w:t>
      </w:r>
      <w:r w:rsidR="00DC40CD" w:rsidRPr="00981A79">
        <w:rPr>
          <w:rFonts w:cs="Arial"/>
        </w:rPr>
        <w:t xml:space="preserve"> to SARS</w:t>
      </w:r>
      <w:r w:rsidR="00E90193" w:rsidRPr="00981A79">
        <w:rPr>
          <w:rFonts w:cs="Arial"/>
        </w:rPr>
        <w:t xml:space="preserve"> </w:t>
      </w:r>
      <w:r w:rsidR="001F6AE1" w:rsidRPr="00981A79">
        <w:rPr>
          <w:rFonts w:cs="Arial"/>
        </w:rPr>
        <w:t>for inspection and copying</w:t>
      </w:r>
      <w:r w:rsidR="004628BF" w:rsidRPr="00981A79">
        <w:rPr>
          <w:rFonts w:cs="Arial"/>
        </w:rPr>
        <w:t xml:space="preserve"> or to state under oath that any of them are not in its possession and in the latter event </w:t>
      </w:r>
      <w:r w:rsidR="004C7DD7" w:rsidRPr="00981A79">
        <w:rPr>
          <w:rFonts w:cs="Arial"/>
        </w:rPr>
        <w:t>it must state their whereabouts</w:t>
      </w:r>
      <w:r w:rsidR="009705A2" w:rsidRPr="00981A79">
        <w:rPr>
          <w:rFonts w:cs="Arial"/>
        </w:rPr>
        <w:t xml:space="preserve">: </w:t>
      </w:r>
    </w:p>
    <w:p w14:paraId="2A1E8696" w14:textId="77777777" w:rsidR="0074530F" w:rsidRDefault="0074530F" w:rsidP="00091037">
      <w:pPr>
        <w:pStyle w:val="ListParagraph"/>
        <w:spacing w:before="0" w:after="240" w:line="360" w:lineRule="auto"/>
        <w:mirrorIndents w:val="0"/>
        <w:rPr>
          <w:rFonts w:cs="Arial"/>
        </w:rPr>
      </w:pPr>
    </w:p>
    <w:p w14:paraId="701DF837" w14:textId="6B183532" w:rsidR="0074530F" w:rsidRPr="00981A79" w:rsidRDefault="00981A79" w:rsidP="00981A79">
      <w:pPr>
        <w:spacing w:after="240" w:line="360" w:lineRule="auto"/>
        <w:ind w:left="2160" w:hanging="720"/>
        <w:jc w:val="both"/>
        <w:rPr>
          <w:rFonts w:cs="Arial"/>
        </w:rPr>
      </w:pPr>
      <w:r>
        <w:rPr>
          <w:rFonts w:ascii="Arial" w:eastAsia="Calibri" w:hAnsi="Arial" w:cs="Arial"/>
          <w:lang w:val="en-ZA"/>
        </w:rPr>
        <w:t>a.</w:t>
      </w:r>
      <w:r>
        <w:rPr>
          <w:rFonts w:ascii="Arial" w:eastAsia="Calibri" w:hAnsi="Arial" w:cs="Arial"/>
          <w:lang w:val="en-ZA"/>
        </w:rPr>
        <w:tab/>
      </w:r>
      <w:r w:rsidR="0074530F" w:rsidRPr="00981A79">
        <w:rPr>
          <w:rFonts w:cs="Arial"/>
        </w:rPr>
        <w:t xml:space="preserve">KYC (Know Your Client) documentation of </w:t>
      </w:r>
      <w:r w:rsidR="004139B9" w:rsidRPr="00981A79">
        <w:rPr>
          <w:rFonts w:cs="Arial"/>
        </w:rPr>
        <w:t>the taxpayer</w:t>
      </w:r>
      <w:r w:rsidR="0074530F" w:rsidRPr="00981A79">
        <w:rPr>
          <w:rFonts w:cs="Arial"/>
        </w:rPr>
        <w:t>’s remaining suppliers during the audit period 01/2019 to 06/2020;</w:t>
      </w:r>
    </w:p>
    <w:p w14:paraId="48C83A02" w14:textId="5CD135A3" w:rsidR="0074530F" w:rsidRPr="00981A79" w:rsidRDefault="00981A79" w:rsidP="00981A79">
      <w:pPr>
        <w:spacing w:after="240" w:line="360" w:lineRule="auto"/>
        <w:ind w:left="2160" w:hanging="720"/>
        <w:jc w:val="both"/>
        <w:rPr>
          <w:rFonts w:cs="Arial"/>
        </w:rPr>
      </w:pPr>
      <w:r>
        <w:rPr>
          <w:rFonts w:ascii="Arial" w:eastAsia="Calibri" w:hAnsi="Arial" w:cs="Arial"/>
          <w:lang w:val="en-ZA"/>
        </w:rPr>
        <w:t>b.</w:t>
      </w:r>
      <w:r>
        <w:rPr>
          <w:rFonts w:ascii="Arial" w:eastAsia="Calibri" w:hAnsi="Arial" w:cs="Arial"/>
          <w:lang w:val="en-ZA"/>
        </w:rPr>
        <w:tab/>
      </w:r>
      <w:r w:rsidR="004139B9" w:rsidRPr="00981A79">
        <w:rPr>
          <w:rFonts w:cs="Arial"/>
        </w:rPr>
        <w:t>The taxpayer</w:t>
      </w:r>
      <w:r w:rsidR="0074530F" w:rsidRPr="00981A79">
        <w:rPr>
          <w:rFonts w:cs="Arial"/>
        </w:rPr>
        <w:t xml:space="preserve">'s site visit reports concerning site visits held regarding </w:t>
      </w:r>
      <w:r w:rsidR="004139B9" w:rsidRPr="00981A79">
        <w:rPr>
          <w:rFonts w:cs="Arial"/>
        </w:rPr>
        <w:t>the taxpayer</w:t>
      </w:r>
      <w:r w:rsidR="0074530F" w:rsidRPr="00981A79">
        <w:rPr>
          <w:rFonts w:cs="Arial"/>
        </w:rPr>
        <w:t>'s remaining suppliers during the audit period 01/2019 to 06/2020;</w:t>
      </w:r>
    </w:p>
    <w:p w14:paraId="44664B73" w14:textId="790C31B8" w:rsidR="0074530F" w:rsidRPr="00981A79" w:rsidRDefault="00981A79" w:rsidP="00981A79">
      <w:pPr>
        <w:spacing w:after="240" w:line="360" w:lineRule="auto"/>
        <w:ind w:left="2160" w:hanging="720"/>
        <w:jc w:val="both"/>
        <w:rPr>
          <w:rFonts w:cs="Arial"/>
        </w:rPr>
      </w:pPr>
      <w:r>
        <w:rPr>
          <w:rFonts w:ascii="Arial" w:eastAsia="Calibri" w:hAnsi="Arial" w:cs="Arial"/>
          <w:lang w:val="en-ZA"/>
        </w:rPr>
        <w:t>c.</w:t>
      </w:r>
      <w:r>
        <w:rPr>
          <w:rFonts w:ascii="Arial" w:eastAsia="Calibri" w:hAnsi="Arial" w:cs="Arial"/>
          <w:lang w:val="en-ZA"/>
        </w:rPr>
        <w:tab/>
      </w:r>
      <w:r w:rsidR="0074530F" w:rsidRPr="00981A79">
        <w:rPr>
          <w:rFonts w:cs="Arial"/>
        </w:rPr>
        <w:t xml:space="preserve">The due diligence documents risk management reports and FICA searches conducted regarding </w:t>
      </w:r>
      <w:r w:rsidR="004139B9" w:rsidRPr="00981A79">
        <w:rPr>
          <w:rFonts w:cs="Arial"/>
        </w:rPr>
        <w:t>the taxpayer</w:t>
      </w:r>
      <w:r w:rsidR="0074530F" w:rsidRPr="00981A79">
        <w:rPr>
          <w:rFonts w:cs="Arial"/>
        </w:rPr>
        <w:t>'s s remaining suppliers;</w:t>
      </w:r>
    </w:p>
    <w:p w14:paraId="236943C2" w14:textId="622BF848" w:rsidR="0074530F" w:rsidRPr="00981A79" w:rsidRDefault="00981A79" w:rsidP="00981A79">
      <w:pPr>
        <w:spacing w:after="240" w:line="360" w:lineRule="auto"/>
        <w:ind w:left="2160" w:hanging="720"/>
        <w:jc w:val="both"/>
        <w:rPr>
          <w:rFonts w:cs="Arial"/>
        </w:rPr>
      </w:pPr>
      <w:r w:rsidRPr="00767B3C">
        <w:rPr>
          <w:rFonts w:ascii="Arial" w:eastAsia="Calibri" w:hAnsi="Arial" w:cs="Arial"/>
          <w:lang w:val="en-ZA"/>
        </w:rPr>
        <w:t>d.</w:t>
      </w:r>
      <w:r w:rsidRPr="00767B3C">
        <w:rPr>
          <w:rFonts w:ascii="Arial" w:eastAsia="Calibri" w:hAnsi="Arial" w:cs="Arial"/>
          <w:lang w:val="en-ZA"/>
        </w:rPr>
        <w:tab/>
      </w:r>
      <w:r w:rsidR="004139B9" w:rsidRPr="00981A79">
        <w:rPr>
          <w:rFonts w:cs="Arial"/>
        </w:rPr>
        <w:t>The taxpayer</w:t>
      </w:r>
      <w:r w:rsidR="0074530F" w:rsidRPr="00981A79">
        <w:rPr>
          <w:rFonts w:cs="Arial"/>
        </w:rPr>
        <w:t>'s records containing declarations made to the South African Diamond and Precious Metals Regulator "SADPMR" documentation in respect of the following;</w:t>
      </w:r>
    </w:p>
    <w:p w14:paraId="1859402C" w14:textId="4EF9748A" w:rsidR="0074530F" w:rsidRPr="00981A79" w:rsidRDefault="00981A79" w:rsidP="00981A79">
      <w:pPr>
        <w:spacing w:after="240" w:line="360" w:lineRule="auto"/>
        <w:ind w:left="2160" w:hanging="720"/>
        <w:jc w:val="both"/>
        <w:rPr>
          <w:rFonts w:cs="Arial"/>
        </w:rPr>
      </w:pPr>
      <w:r>
        <w:rPr>
          <w:rFonts w:ascii="Arial" w:eastAsia="Calibri" w:hAnsi="Arial" w:cs="Arial"/>
          <w:lang w:val="en-ZA"/>
        </w:rPr>
        <w:t>e.</w:t>
      </w:r>
      <w:r>
        <w:rPr>
          <w:rFonts w:ascii="Arial" w:eastAsia="Calibri" w:hAnsi="Arial" w:cs="Arial"/>
          <w:lang w:val="en-ZA"/>
        </w:rPr>
        <w:tab/>
      </w:r>
      <w:r w:rsidR="004139B9" w:rsidRPr="00981A79">
        <w:rPr>
          <w:rFonts w:cs="Arial"/>
        </w:rPr>
        <w:t>The taxpayer</w:t>
      </w:r>
      <w:r w:rsidR="0074530F" w:rsidRPr="00981A79">
        <w:rPr>
          <w:rFonts w:cs="Arial"/>
        </w:rPr>
        <w:t>'s breakdown of goods purchased from the remaining suppliers for the period 01/2019 to 03/2020;</w:t>
      </w:r>
    </w:p>
    <w:p w14:paraId="32FF9188" w14:textId="3179B7F8" w:rsidR="0074530F" w:rsidRPr="00981A79" w:rsidRDefault="00981A79" w:rsidP="00981A79">
      <w:pPr>
        <w:spacing w:after="240" w:line="360" w:lineRule="auto"/>
        <w:ind w:left="2160" w:hanging="720"/>
        <w:jc w:val="both"/>
        <w:rPr>
          <w:rFonts w:cs="Arial"/>
        </w:rPr>
      </w:pPr>
      <w:r>
        <w:rPr>
          <w:rFonts w:ascii="Arial" w:eastAsia="Calibri" w:hAnsi="Arial" w:cs="Arial"/>
          <w:lang w:val="en-ZA"/>
        </w:rPr>
        <w:t>f.</w:t>
      </w:r>
      <w:r>
        <w:rPr>
          <w:rFonts w:ascii="Arial" w:eastAsia="Calibri" w:hAnsi="Arial" w:cs="Arial"/>
          <w:lang w:val="en-ZA"/>
        </w:rPr>
        <w:tab/>
      </w:r>
      <w:r w:rsidR="00FD3092" w:rsidRPr="00981A79">
        <w:rPr>
          <w:rFonts w:cs="Arial"/>
        </w:rPr>
        <w:t>Suppliers’</w:t>
      </w:r>
      <w:r w:rsidR="0074530F" w:rsidRPr="00981A79">
        <w:rPr>
          <w:rFonts w:cs="Arial"/>
        </w:rPr>
        <w:t xml:space="preserve"> invoices and analysis breakdown in respect of remaining suppliers, 02/2018 to 06/2020;</w:t>
      </w:r>
    </w:p>
    <w:p w14:paraId="117ED511" w14:textId="6A8C38DC" w:rsidR="0074530F" w:rsidRPr="00981A79" w:rsidRDefault="00981A79" w:rsidP="00981A79">
      <w:pPr>
        <w:spacing w:after="240" w:line="360" w:lineRule="auto"/>
        <w:ind w:left="2160" w:hanging="720"/>
        <w:jc w:val="both"/>
        <w:rPr>
          <w:rFonts w:cs="Arial"/>
        </w:rPr>
      </w:pPr>
      <w:r>
        <w:rPr>
          <w:rFonts w:ascii="Arial" w:eastAsia="Calibri" w:hAnsi="Arial" w:cs="Arial"/>
          <w:lang w:val="en-ZA"/>
        </w:rPr>
        <w:t>g.</w:t>
      </w:r>
      <w:r>
        <w:rPr>
          <w:rFonts w:ascii="Arial" w:eastAsia="Calibri" w:hAnsi="Arial" w:cs="Arial"/>
          <w:lang w:val="en-ZA"/>
        </w:rPr>
        <w:tab/>
      </w:r>
      <w:r w:rsidR="0074530F" w:rsidRPr="00981A79">
        <w:rPr>
          <w:rFonts w:cs="Arial"/>
        </w:rPr>
        <w:t xml:space="preserve">Tax invoices, delivery notes, receipts, analysis conducted on supplies, bank statements reflecting payments made in respect of the transactions concluded between </w:t>
      </w:r>
      <w:r w:rsidR="004139B9" w:rsidRPr="00981A79">
        <w:rPr>
          <w:rFonts w:cs="Arial"/>
        </w:rPr>
        <w:t>the taxpayer</w:t>
      </w:r>
      <w:r w:rsidR="0074530F" w:rsidRPr="00981A79">
        <w:rPr>
          <w:rFonts w:cs="Arial"/>
        </w:rPr>
        <w:t xml:space="preserve"> and Gold Kid Trading CC and/or Gold Kid (Pty) Ltd;</w:t>
      </w:r>
    </w:p>
    <w:p w14:paraId="49C0ABAA" w14:textId="34D11046" w:rsidR="0074530F" w:rsidRPr="00981A79" w:rsidRDefault="00981A79" w:rsidP="00981A79">
      <w:pPr>
        <w:spacing w:after="240" w:line="360" w:lineRule="auto"/>
        <w:ind w:left="2160" w:hanging="720"/>
        <w:jc w:val="both"/>
        <w:rPr>
          <w:rFonts w:cs="Arial"/>
        </w:rPr>
      </w:pPr>
      <w:r>
        <w:rPr>
          <w:rFonts w:ascii="Arial" w:eastAsia="Calibri" w:hAnsi="Arial" w:cs="Arial"/>
          <w:lang w:val="en-ZA"/>
        </w:rPr>
        <w:t>h.</w:t>
      </w:r>
      <w:r>
        <w:rPr>
          <w:rFonts w:ascii="Arial" w:eastAsia="Calibri" w:hAnsi="Arial" w:cs="Arial"/>
          <w:lang w:val="en-ZA"/>
        </w:rPr>
        <w:tab/>
      </w:r>
      <w:r w:rsidR="0074530F" w:rsidRPr="00B15B03">
        <w:t xml:space="preserve">The purchase agreements that </w:t>
      </w:r>
      <w:r w:rsidR="004139B9">
        <w:t>the taxpayer</w:t>
      </w:r>
      <w:r w:rsidR="0074530F" w:rsidRPr="00B15B03">
        <w:t xml:space="preserve"> entered into with Geba and the remaining suppliers</w:t>
      </w:r>
      <w:r w:rsidR="0074530F" w:rsidRPr="00981A79">
        <w:rPr>
          <w:rFonts w:cs="Arial"/>
        </w:rPr>
        <w:t xml:space="preserve">; </w:t>
      </w:r>
    </w:p>
    <w:p w14:paraId="7F868553" w14:textId="158C8055" w:rsidR="0074530F" w:rsidRPr="00981A79" w:rsidRDefault="00981A79" w:rsidP="00981A79">
      <w:pPr>
        <w:spacing w:after="240" w:line="360" w:lineRule="auto"/>
        <w:ind w:left="2160" w:hanging="720"/>
        <w:jc w:val="both"/>
        <w:rPr>
          <w:rFonts w:cs="Arial"/>
        </w:rPr>
      </w:pPr>
      <w:r>
        <w:rPr>
          <w:rFonts w:ascii="Arial" w:eastAsia="Calibri" w:hAnsi="Arial" w:cs="Arial"/>
          <w:lang w:val="en-ZA"/>
        </w:rPr>
        <w:lastRenderedPageBreak/>
        <w:t>i.</w:t>
      </w:r>
      <w:r>
        <w:rPr>
          <w:rFonts w:ascii="Arial" w:eastAsia="Calibri" w:hAnsi="Arial" w:cs="Arial"/>
          <w:lang w:val="en-ZA"/>
        </w:rPr>
        <w:tab/>
      </w:r>
      <w:r w:rsidR="004139B9" w:rsidRPr="00981A79">
        <w:rPr>
          <w:rFonts w:cs="Arial"/>
        </w:rPr>
        <w:t>The taxpayer</w:t>
      </w:r>
      <w:r w:rsidR="0074530F" w:rsidRPr="00981A79">
        <w:rPr>
          <w:rFonts w:cs="Arial"/>
        </w:rPr>
        <w:t>'s contracts between itself and the remaining suppliers, concerning the sale and purchase of gold-bearing material during the audit period;</w:t>
      </w:r>
    </w:p>
    <w:p w14:paraId="66B5C8EC" w14:textId="07DD1626" w:rsidR="0074530F" w:rsidRPr="00981A79" w:rsidRDefault="00981A79" w:rsidP="00981A79">
      <w:pPr>
        <w:spacing w:after="240" w:line="360" w:lineRule="auto"/>
        <w:ind w:left="2160" w:hanging="720"/>
        <w:jc w:val="both"/>
        <w:rPr>
          <w:rFonts w:cs="Arial"/>
        </w:rPr>
      </w:pPr>
      <w:r>
        <w:rPr>
          <w:rFonts w:ascii="Arial" w:eastAsia="Calibri" w:hAnsi="Arial" w:cs="Arial"/>
          <w:lang w:val="en-ZA"/>
        </w:rPr>
        <w:t>j.</w:t>
      </w:r>
      <w:r>
        <w:rPr>
          <w:rFonts w:ascii="Arial" w:eastAsia="Calibri" w:hAnsi="Arial" w:cs="Arial"/>
          <w:lang w:val="en-ZA"/>
        </w:rPr>
        <w:tab/>
      </w:r>
      <w:r w:rsidR="004139B9" w:rsidRPr="00981A79">
        <w:rPr>
          <w:rFonts w:cs="Arial"/>
        </w:rPr>
        <w:t>The taxpayer</w:t>
      </w:r>
      <w:r w:rsidR="0074530F" w:rsidRPr="00981A79">
        <w:rPr>
          <w:rFonts w:cs="Arial"/>
        </w:rPr>
        <w:t xml:space="preserve">'s reports, memoranda, recommendations, presentations prepared by the investigators, consultants, advisers, and experts known as Paul and Kurt, as well as contemporaneous notes minutes of meetings held with Paul and Kurt;  </w:t>
      </w:r>
    </w:p>
    <w:p w14:paraId="66E9E4AB" w14:textId="7314A4DC" w:rsidR="0074530F" w:rsidRPr="00981A79" w:rsidRDefault="00981A79" w:rsidP="00981A79">
      <w:pPr>
        <w:spacing w:after="240" w:line="360" w:lineRule="auto"/>
        <w:ind w:left="2160" w:hanging="720"/>
        <w:jc w:val="both"/>
        <w:rPr>
          <w:rFonts w:cs="Arial"/>
        </w:rPr>
      </w:pPr>
      <w:r>
        <w:rPr>
          <w:rFonts w:ascii="Arial" w:eastAsia="Calibri" w:hAnsi="Arial" w:cs="Arial"/>
          <w:lang w:val="en-ZA"/>
        </w:rPr>
        <w:t>k.</w:t>
      </w:r>
      <w:r>
        <w:rPr>
          <w:rFonts w:ascii="Arial" w:eastAsia="Calibri" w:hAnsi="Arial" w:cs="Arial"/>
          <w:lang w:val="en-ZA"/>
        </w:rPr>
        <w:tab/>
      </w:r>
      <w:r w:rsidR="004139B9" w:rsidRPr="00981A79">
        <w:rPr>
          <w:rFonts w:cs="Arial"/>
        </w:rPr>
        <w:t>The taxpayer</w:t>
      </w:r>
      <w:r w:rsidR="0074530F" w:rsidRPr="00981A79">
        <w:rPr>
          <w:rFonts w:cs="Arial"/>
        </w:rPr>
        <w:t xml:space="preserve">'s VAT201 returns and documentation that accompanied the returns for the period 01/2018 to 12/2018;  </w:t>
      </w:r>
    </w:p>
    <w:p w14:paraId="35F65348" w14:textId="1EF440C4" w:rsidR="0074530F" w:rsidRPr="00981A79" w:rsidRDefault="00981A79" w:rsidP="00981A79">
      <w:pPr>
        <w:spacing w:after="240" w:line="360" w:lineRule="auto"/>
        <w:ind w:left="2160" w:hanging="720"/>
        <w:jc w:val="both"/>
        <w:rPr>
          <w:rFonts w:cs="Arial"/>
        </w:rPr>
      </w:pPr>
      <w:r>
        <w:rPr>
          <w:rFonts w:ascii="Arial" w:eastAsia="Calibri" w:hAnsi="Arial" w:cs="Arial"/>
          <w:lang w:val="en-ZA"/>
        </w:rPr>
        <w:t>l.</w:t>
      </w:r>
      <w:r>
        <w:rPr>
          <w:rFonts w:ascii="Arial" w:eastAsia="Calibri" w:hAnsi="Arial" w:cs="Arial"/>
          <w:lang w:val="en-ZA"/>
        </w:rPr>
        <w:tab/>
      </w:r>
      <w:r w:rsidR="0074530F" w:rsidRPr="00981A79">
        <w:rPr>
          <w:rFonts w:cs="Arial"/>
        </w:rPr>
        <w:t xml:space="preserve">The correspondence and documentation exchanged between </w:t>
      </w:r>
      <w:r w:rsidR="004139B9" w:rsidRPr="00981A79">
        <w:rPr>
          <w:rFonts w:cs="Arial"/>
        </w:rPr>
        <w:t>the taxpayer</w:t>
      </w:r>
      <w:r w:rsidR="0074530F" w:rsidRPr="00981A79">
        <w:rPr>
          <w:rFonts w:cs="Arial"/>
        </w:rPr>
        <w:t xml:space="preserve"> and SARS in respect of the various verification audits conducted for the period 01/2018 to 12/2018;</w:t>
      </w:r>
    </w:p>
    <w:p w14:paraId="45E5BEDB" w14:textId="0CA03F6E" w:rsidR="0074530F" w:rsidRPr="00981A79" w:rsidRDefault="00981A79" w:rsidP="00981A79">
      <w:pPr>
        <w:spacing w:after="240" w:line="360" w:lineRule="auto"/>
        <w:ind w:left="2160" w:hanging="720"/>
        <w:jc w:val="both"/>
        <w:rPr>
          <w:rFonts w:cs="Arial"/>
        </w:rPr>
      </w:pPr>
      <w:r>
        <w:rPr>
          <w:rFonts w:ascii="Arial" w:eastAsia="Calibri" w:hAnsi="Arial" w:cs="Arial"/>
          <w:lang w:val="en-ZA"/>
        </w:rPr>
        <w:t>m.</w:t>
      </w:r>
      <w:r>
        <w:rPr>
          <w:rFonts w:ascii="Arial" w:eastAsia="Calibri" w:hAnsi="Arial" w:cs="Arial"/>
          <w:lang w:val="en-ZA"/>
        </w:rPr>
        <w:tab/>
      </w:r>
      <w:r w:rsidR="004139B9" w:rsidRPr="00981A79">
        <w:rPr>
          <w:rFonts w:cs="Arial"/>
        </w:rPr>
        <w:t>The taxpayer</w:t>
      </w:r>
      <w:r w:rsidR="0074530F" w:rsidRPr="00981A79">
        <w:rPr>
          <w:rFonts w:cs="Arial"/>
        </w:rPr>
        <w:t xml:space="preserve">'s 'tax-type reports’ for the period 01/2018 to 12/2018; </w:t>
      </w:r>
    </w:p>
    <w:p w14:paraId="19D7BF43" w14:textId="052BC139" w:rsidR="0074530F" w:rsidRPr="00981A79" w:rsidRDefault="00981A79" w:rsidP="00981A79">
      <w:pPr>
        <w:spacing w:after="240" w:line="360" w:lineRule="auto"/>
        <w:ind w:left="2160" w:hanging="720"/>
        <w:jc w:val="both"/>
        <w:rPr>
          <w:rFonts w:cs="Arial"/>
        </w:rPr>
      </w:pPr>
      <w:r>
        <w:rPr>
          <w:rFonts w:ascii="Arial" w:eastAsia="Calibri" w:hAnsi="Arial" w:cs="Arial"/>
          <w:lang w:val="en-ZA"/>
        </w:rPr>
        <w:t>n.</w:t>
      </w:r>
      <w:r>
        <w:rPr>
          <w:rFonts w:ascii="Arial" w:eastAsia="Calibri" w:hAnsi="Arial" w:cs="Arial"/>
          <w:lang w:val="en-ZA"/>
        </w:rPr>
        <w:tab/>
      </w:r>
      <w:r w:rsidR="004139B9" w:rsidRPr="00981A79">
        <w:rPr>
          <w:rFonts w:cs="Arial"/>
        </w:rPr>
        <w:t>The taxpayer</w:t>
      </w:r>
      <w:r w:rsidR="0074530F" w:rsidRPr="00981A79">
        <w:rPr>
          <w:rFonts w:cs="Arial"/>
        </w:rPr>
        <w:t xml:space="preserve">'s income tax returns and any accompanying documents for the period 02/2018 to 06/2020; </w:t>
      </w:r>
    </w:p>
    <w:p w14:paraId="04D12FCE" w14:textId="028BD01A" w:rsidR="0074530F" w:rsidRPr="00981A79" w:rsidRDefault="00981A79" w:rsidP="00981A79">
      <w:pPr>
        <w:spacing w:after="240" w:line="360" w:lineRule="auto"/>
        <w:ind w:left="2160" w:hanging="720"/>
        <w:jc w:val="both"/>
        <w:rPr>
          <w:rFonts w:cs="Arial"/>
        </w:rPr>
      </w:pPr>
      <w:r>
        <w:rPr>
          <w:rFonts w:ascii="Arial" w:eastAsia="Calibri" w:hAnsi="Arial" w:cs="Arial"/>
          <w:lang w:val="en-ZA"/>
        </w:rPr>
        <w:t>o.</w:t>
      </w:r>
      <w:r>
        <w:rPr>
          <w:rFonts w:ascii="Arial" w:eastAsia="Calibri" w:hAnsi="Arial" w:cs="Arial"/>
          <w:lang w:val="en-ZA"/>
        </w:rPr>
        <w:tab/>
      </w:r>
      <w:r w:rsidR="004139B9" w:rsidRPr="00981A79">
        <w:rPr>
          <w:rFonts w:cs="Arial"/>
        </w:rPr>
        <w:t>The taxpayer</w:t>
      </w:r>
      <w:r w:rsidR="0074530F" w:rsidRPr="00981A79">
        <w:rPr>
          <w:rFonts w:cs="Arial"/>
        </w:rPr>
        <w:t xml:space="preserve">'s relevant bank statements and other documentation for the period 01/2018 to 12/2018 concerning payments made to </w:t>
      </w:r>
      <w:r w:rsidR="004139B9" w:rsidRPr="00981A79">
        <w:rPr>
          <w:rFonts w:cs="Arial"/>
        </w:rPr>
        <w:t>the taxpayer</w:t>
      </w:r>
      <w:r w:rsidR="0074530F" w:rsidRPr="00981A79">
        <w:rPr>
          <w:rFonts w:cs="Arial"/>
        </w:rPr>
        <w:t xml:space="preserve"> or deposits received by </w:t>
      </w:r>
      <w:r w:rsidR="004139B9" w:rsidRPr="00981A79">
        <w:rPr>
          <w:rFonts w:cs="Arial"/>
        </w:rPr>
        <w:t>the taxpayer</w:t>
      </w:r>
      <w:r w:rsidR="0074530F" w:rsidRPr="00981A79">
        <w:rPr>
          <w:rFonts w:cs="Arial"/>
        </w:rPr>
        <w:t xml:space="preserve"> from cash-in-transit or paymaster companies;</w:t>
      </w:r>
    </w:p>
    <w:p w14:paraId="6823A9BB" w14:textId="52D60989" w:rsidR="0074530F" w:rsidRPr="00981A79" w:rsidRDefault="00981A79" w:rsidP="00981A79">
      <w:pPr>
        <w:spacing w:after="240" w:line="360" w:lineRule="auto"/>
        <w:ind w:left="2160" w:hanging="720"/>
        <w:jc w:val="both"/>
        <w:rPr>
          <w:rFonts w:cs="Arial"/>
        </w:rPr>
      </w:pPr>
      <w:r w:rsidRPr="00983B6A">
        <w:rPr>
          <w:rFonts w:ascii="Arial" w:eastAsia="Calibri" w:hAnsi="Arial" w:cs="Arial"/>
          <w:lang w:val="en-ZA"/>
        </w:rPr>
        <w:t>p.</w:t>
      </w:r>
      <w:r w:rsidRPr="00983B6A">
        <w:rPr>
          <w:rFonts w:ascii="Arial" w:eastAsia="Calibri" w:hAnsi="Arial" w:cs="Arial"/>
          <w:lang w:val="en-ZA"/>
        </w:rPr>
        <w:tab/>
      </w:r>
      <w:r w:rsidR="004139B9" w:rsidRPr="00981A79">
        <w:rPr>
          <w:rFonts w:cs="Arial"/>
        </w:rPr>
        <w:t>The taxpayer</w:t>
      </w:r>
      <w:r w:rsidR="0074530F" w:rsidRPr="00981A79">
        <w:rPr>
          <w:rFonts w:cs="Arial"/>
        </w:rPr>
        <w:t xml:space="preserve">'s documentation and/or correspondence in respect of goods containing gold material received from cash-in-transit, paymaster companies, courier companies, including services of this nature rendered by Northern Spark or a company associated with it, Brink's, Asset Movement and Financial Services ("AMFS"), Rens Kontant, or any other supplier who rendered service of this </w:t>
      </w:r>
      <w:r w:rsidR="00273753" w:rsidRPr="00981A79">
        <w:rPr>
          <w:rFonts w:cs="Arial"/>
        </w:rPr>
        <w:t>nature for</w:t>
      </w:r>
      <w:r w:rsidR="0074530F" w:rsidRPr="00981A79">
        <w:rPr>
          <w:rFonts w:cs="Arial"/>
        </w:rPr>
        <w:t xml:space="preserve"> the period 02/2018 to 06/2020; </w:t>
      </w:r>
    </w:p>
    <w:p w14:paraId="3B33581B" w14:textId="026F9F7F" w:rsidR="0074530F" w:rsidRPr="00981A79" w:rsidRDefault="00981A79" w:rsidP="00981A79">
      <w:pPr>
        <w:spacing w:after="240" w:line="360" w:lineRule="auto"/>
        <w:ind w:left="2160" w:hanging="720"/>
        <w:jc w:val="both"/>
        <w:rPr>
          <w:rFonts w:cs="Arial"/>
        </w:rPr>
      </w:pPr>
      <w:r>
        <w:rPr>
          <w:rFonts w:ascii="Arial" w:eastAsia="Calibri" w:hAnsi="Arial" w:cs="Arial"/>
          <w:lang w:val="en-ZA"/>
        </w:rPr>
        <w:t>q.</w:t>
      </w:r>
      <w:r>
        <w:rPr>
          <w:rFonts w:ascii="Arial" w:eastAsia="Calibri" w:hAnsi="Arial" w:cs="Arial"/>
          <w:lang w:val="en-ZA"/>
        </w:rPr>
        <w:tab/>
      </w:r>
      <w:r w:rsidR="004139B9" w:rsidRPr="00981A79">
        <w:rPr>
          <w:rFonts w:cs="Arial"/>
        </w:rPr>
        <w:t>The taxpayer</w:t>
      </w:r>
      <w:r w:rsidR="0074530F" w:rsidRPr="00981A79">
        <w:rPr>
          <w:rFonts w:cs="Arial"/>
        </w:rPr>
        <w:t>'s documentation and/or correspondence in respect of goods containing gold material collected from the</w:t>
      </w:r>
      <w:r w:rsidR="004139B9" w:rsidRPr="00981A79">
        <w:rPr>
          <w:rFonts w:cs="Arial"/>
        </w:rPr>
        <w:t xml:space="preserve"> taxpayer</w:t>
      </w:r>
      <w:r w:rsidR="0074530F" w:rsidRPr="00981A79">
        <w:rPr>
          <w:rFonts w:cs="Arial"/>
        </w:rPr>
        <w:t xml:space="preserve">'s premises by cash-in-transit companies, paymaster companies, courier companies, </w:t>
      </w:r>
      <w:r w:rsidR="0074530F" w:rsidRPr="00981A79">
        <w:rPr>
          <w:rFonts w:cs="Arial"/>
        </w:rPr>
        <w:lastRenderedPageBreak/>
        <w:t xml:space="preserve">including services of this nature rendered by Northern Spark or a company associated with it, Brink's, Asset Movement and Financial Services ("AMFS"), Rens in Kontant, or any other supplier that rendered services of this nature for delivery to </w:t>
      </w:r>
      <w:r w:rsidR="004139B9" w:rsidRPr="00981A79">
        <w:rPr>
          <w:rFonts w:cs="Arial"/>
        </w:rPr>
        <w:t>The taxpayer</w:t>
      </w:r>
      <w:r w:rsidR="0074530F" w:rsidRPr="00981A79">
        <w:rPr>
          <w:rFonts w:cs="Arial"/>
        </w:rPr>
        <w:t>'s customers for the period 02/2018 to 06/2020;</w:t>
      </w:r>
    </w:p>
    <w:p w14:paraId="3BC7D03C" w14:textId="3D8427CA" w:rsidR="00000E8D" w:rsidRPr="00981A79" w:rsidRDefault="00981A79" w:rsidP="00981A79">
      <w:pPr>
        <w:spacing w:after="240" w:line="360" w:lineRule="auto"/>
        <w:ind w:left="2160" w:hanging="720"/>
        <w:jc w:val="both"/>
        <w:rPr>
          <w:rFonts w:cs="Arial"/>
        </w:rPr>
      </w:pPr>
      <w:r>
        <w:rPr>
          <w:rFonts w:ascii="Arial" w:eastAsia="Calibri" w:hAnsi="Arial" w:cs="Arial"/>
          <w:lang w:val="en-ZA"/>
        </w:rPr>
        <w:t>r.</w:t>
      </w:r>
      <w:r>
        <w:rPr>
          <w:rFonts w:ascii="Arial" w:eastAsia="Calibri" w:hAnsi="Arial" w:cs="Arial"/>
          <w:lang w:val="en-ZA"/>
        </w:rPr>
        <w:tab/>
      </w:r>
      <w:r w:rsidR="004139B9" w:rsidRPr="00981A79">
        <w:rPr>
          <w:rFonts w:cs="Arial"/>
        </w:rPr>
        <w:t>The taxpayer</w:t>
      </w:r>
      <w:r w:rsidR="0074530F" w:rsidRPr="00981A79">
        <w:rPr>
          <w:rFonts w:cs="Arial"/>
        </w:rPr>
        <w:t>'s annual financial statements for the years ending 30 June 2018;</w:t>
      </w:r>
    </w:p>
    <w:p w14:paraId="7B8C721F" w14:textId="4E1784B5" w:rsidR="00000E8D" w:rsidRPr="00981A79" w:rsidRDefault="00981A79" w:rsidP="00981A79">
      <w:pPr>
        <w:spacing w:after="240" w:line="360" w:lineRule="auto"/>
        <w:ind w:left="2160" w:hanging="720"/>
        <w:jc w:val="both"/>
        <w:rPr>
          <w:rFonts w:cs="Arial"/>
        </w:rPr>
      </w:pPr>
      <w:r>
        <w:rPr>
          <w:rFonts w:ascii="Arial" w:eastAsia="Calibri" w:hAnsi="Arial" w:cs="Arial"/>
          <w:lang w:val="en-ZA"/>
        </w:rPr>
        <w:t>s.</w:t>
      </w:r>
      <w:r>
        <w:rPr>
          <w:rFonts w:ascii="Arial" w:eastAsia="Calibri" w:hAnsi="Arial" w:cs="Arial"/>
          <w:lang w:val="en-ZA"/>
        </w:rPr>
        <w:tab/>
      </w:r>
      <w:r w:rsidR="004139B9" w:rsidRPr="00981A79">
        <w:rPr>
          <w:rFonts w:cs="Arial"/>
        </w:rPr>
        <w:t>The taxpayer</w:t>
      </w:r>
      <w:r w:rsidR="0074530F" w:rsidRPr="00981A79">
        <w:rPr>
          <w:rFonts w:cs="Arial"/>
        </w:rPr>
        <w:t xml:space="preserve">'s documentation in respect of the directors from time-to-time in respect of </w:t>
      </w:r>
      <w:r w:rsidR="00273753" w:rsidRPr="00981A79">
        <w:rPr>
          <w:rFonts w:cs="Arial"/>
        </w:rPr>
        <w:t>the</w:t>
      </w:r>
      <w:r w:rsidR="004139B9" w:rsidRPr="00981A79">
        <w:rPr>
          <w:rFonts w:cs="Arial"/>
        </w:rPr>
        <w:t xml:space="preserve"> taxpayer</w:t>
      </w:r>
      <w:r w:rsidR="0074530F" w:rsidRPr="00981A79">
        <w:rPr>
          <w:rFonts w:cs="Arial"/>
        </w:rPr>
        <w:t xml:space="preserve"> and its predecessor in title Waste Production Utilisation, including documentation reflecting the appointment and resignation of the directors, their contracts of employment and area of responsibilities and resignation letters and/or other documents reflecting the reasons for the resignation; </w:t>
      </w:r>
    </w:p>
    <w:p w14:paraId="560317C8" w14:textId="7A712AB5" w:rsidR="00000E8D" w:rsidRPr="00981A79" w:rsidRDefault="00981A79" w:rsidP="00981A79">
      <w:pPr>
        <w:spacing w:after="240" w:line="360" w:lineRule="auto"/>
        <w:ind w:left="2160" w:hanging="720"/>
        <w:jc w:val="both"/>
        <w:rPr>
          <w:rFonts w:cs="Arial"/>
        </w:rPr>
      </w:pPr>
      <w:r>
        <w:rPr>
          <w:rFonts w:ascii="Arial" w:eastAsia="Calibri" w:hAnsi="Arial" w:cs="Arial"/>
          <w:lang w:val="en-ZA"/>
        </w:rPr>
        <w:t>t.</w:t>
      </w:r>
      <w:r>
        <w:rPr>
          <w:rFonts w:ascii="Arial" w:eastAsia="Calibri" w:hAnsi="Arial" w:cs="Arial"/>
          <w:lang w:val="en-ZA"/>
        </w:rPr>
        <w:tab/>
      </w:r>
      <w:r w:rsidR="004139B9" w:rsidRPr="00981A79">
        <w:rPr>
          <w:rFonts w:cs="Arial"/>
        </w:rPr>
        <w:t>The taxpayer</w:t>
      </w:r>
      <w:r w:rsidR="0074530F" w:rsidRPr="00981A79">
        <w:rPr>
          <w:rFonts w:cs="Arial"/>
        </w:rPr>
        <w:t xml:space="preserve">'s documentation in respect of </w:t>
      </w:r>
      <w:r w:rsidR="004139B9" w:rsidRPr="00981A79">
        <w:rPr>
          <w:rFonts w:cs="Arial"/>
        </w:rPr>
        <w:t>The taxpayer</w:t>
      </w:r>
      <w:r w:rsidR="0074530F" w:rsidRPr="00981A79">
        <w:rPr>
          <w:rFonts w:cs="Arial"/>
        </w:rPr>
        <w:t xml:space="preserve">'s shareholders and its predecessor in title Waste Production Utilisation's shareholders from time-to-time including </w:t>
      </w:r>
      <w:r w:rsidR="004139B9" w:rsidRPr="00981A79">
        <w:rPr>
          <w:rFonts w:cs="Arial"/>
        </w:rPr>
        <w:t>The taxpayer</w:t>
      </w:r>
      <w:r w:rsidR="0074530F" w:rsidRPr="00981A79">
        <w:rPr>
          <w:rFonts w:cs="Arial"/>
        </w:rPr>
        <w:t xml:space="preserve">'s shareholders register; share certificates issued; shareholder agreements concerning the acquisition and sale of shares in </w:t>
      </w:r>
      <w:r w:rsidR="004139B9" w:rsidRPr="00981A79">
        <w:rPr>
          <w:rFonts w:cs="Arial"/>
        </w:rPr>
        <w:t>The taxpayer</w:t>
      </w:r>
      <w:r w:rsidR="0074530F" w:rsidRPr="00981A79">
        <w:rPr>
          <w:rFonts w:cs="Arial"/>
        </w:rPr>
        <w:t xml:space="preserve">; resolutions concerning the acquisition of any shareholding in </w:t>
      </w:r>
      <w:r w:rsidR="004139B9" w:rsidRPr="00981A79">
        <w:rPr>
          <w:rFonts w:cs="Arial"/>
        </w:rPr>
        <w:t>The taxpayer</w:t>
      </w:r>
      <w:r w:rsidR="0074530F" w:rsidRPr="00981A79">
        <w:rPr>
          <w:rFonts w:cs="Arial"/>
        </w:rPr>
        <w:t xml:space="preserve"> or its predecessor; and records of any proceedings before and correspondence with any regulatory body including the Competition Commission and Competition Tribunal, concerning the acquisition of shares in </w:t>
      </w:r>
      <w:r w:rsidR="004139B9" w:rsidRPr="00981A79">
        <w:rPr>
          <w:rFonts w:cs="Arial"/>
        </w:rPr>
        <w:t>The taxpayer</w:t>
      </w:r>
      <w:r w:rsidR="0074530F" w:rsidRPr="00981A79">
        <w:rPr>
          <w:rFonts w:cs="Arial"/>
        </w:rPr>
        <w:t>;</w:t>
      </w:r>
    </w:p>
    <w:p w14:paraId="4FB42BB2" w14:textId="0672D443" w:rsidR="007900D3" w:rsidRPr="00981A79" w:rsidRDefault="00981A79" w:rsidP="00981A79">
      <w:pPr>
        <w:spacing w:after="240" w:line="360" w:lineRule="auto"/>
        <w:ind w:left="2160" w:hanging="720"/>
        <w:jc w:val="both"/>
        <w:rPr>
          <w:rFonts w:cs="Arial"/>
        </w:rPr>
      </w:pPr>
      <w:r>
        <w:rPr>
          <w:rFonts w:ascii="Arial" w:eastAsia="Calibri" w:hAnsi="Arial" w:cs="Arial"/>
          <w:lang w:val="en-ZA"/>
        </w:rPr>
        <w:t>u.</w:t>
      </w:r>
      <w:r>
        <w:rPr>
          <w:rFonts w:ascii="Arial" w:eastAsia="Calibri" w:hAnsi="Arial" w:cs="Arial"/>
          <w:lang w:val="en-ZA"/>
        </w:rPr>
        <w:tab/>
      </w:r>
      <w:r w:rsidR="0074530F" w:rsidRPr="00981A79">
        <w:rPr>
          <w:rFonts w:cs="Arial"/>
        </w:rPr>
        <w:t xml:space="preserve">Schedules and excel spreadsheets containing </w:t>
      </w:r>
      <w:r w:rsidR="002C5C87" w:rsidRPr="00981A79">
        <w:rPr>
          <w:rFonts w:cs="Arial"/>
        </w:rPr>
        <w:t>t</w:t>
      </w:r>
      <w:r w:rsidR="004139B9" w:rsidRPr="00981A79">
        <w:rPr>
          <w:rFonts w:cs="Arial"/>
        </w:rPr>
        <w:t>he taxpayer</w:t>
      </w:r>
      <w:r w:rsidR="0074530F" w:rsidRPr="00981A79">
        <w:rPr>
          <w:rFonts w:cs="Arial"/>
        </w:rPr>
        <w:t xml:space="preserve">'s month-to- month Au/AG export summary for the period January 2014 to January 2023, concerning: </w:t>
      </w:r>
      <w:r w:rsidR="002C5C87" w:rsidRPr="00981A79">
        <w:rPr>
          <w:rFonts w:cs="Arial"/>
        </w:rPr>
        <w:t>t</w:t>
      </w:r>
      <w:r w:rsidR="0074530F" w:rsidRPr="00981A79">
        <w:rPr>
          <w:rFonts w:cs="Arial"/>
        </w:rPr>
        <w:t xml:space="preserve">he supplies received from </w:t>
      </w:r>
      <w:r w:rsidR="00124777" w:rsidRPr="00981A79">
        <w:rPr>
          <w:rFonts w:cs="Arial"/>
        </w:rPr>
        <w:t>t</w:t>
      </w:r>
      <w:r w:rsidR="004139B9" w:rsidRPr="00981A79">
        <w:rPr>
          <w:rFonts w:cs="Arial"/>
        </w:rPr>
        <w:t>he taxpayer</w:t>
      </w:r>
      <w:r w:rsidR="0074530F" w:rsidRPr="00981A79">
        <w:rPr>
          <w:rFonts w:cs="Arial"/>
        </w:rPr>
        <w:t xml:space="preserve">'s suppliers on a daily basis, the delivery date, the results date, the work day results, the refiner lot No., </w:t>
      </w:r>
      <w:r w:rsidR="002C5C87" w:rsidRPr="00981A79">
        <w:rPr>
          <w:rFonts w:cs="Arial"/>
        </w:rPr>
        <w:t>t</w:t>
      </w:r>
      <w:r w:rsidR="004139B9" w:rsidRPr="00981A79">
        <w:rPr>
          <w:rFonts w:cs="Arial"/>
        </w:rPr>
        <w:t>he taxpayer</w:t>
      </w:r>
      <w:r w:rsidR="0074530F" w:rsidRPr="00981A79">
        <w:rPr>
          <w:rFonts w:cs="Arial"/>
        </w:rPr>
        <w:t xml:space="preserve">'s deposit No; </w:t>
      </w:r>
      <w:r w:rsidR="002C5C87" w:rsidRPr="00981A79">
        <w:rPr>
          <w:rFonts w:cs="Arial"/>
        </w:rPr>
        <w:t>t</w:t>
      </w:r>
      <w:r w:rsidR="0074530F" w:rsidRPr="00981A79">
        <w:rPr>
          <w:rFonts w:cs="Arial"/>
        </w:rPr>
        <w:t xml:space="preserve">he supplies received by </w:t>
      </w:r>
      <w:r w:rsidR="002C5C87" w:rsidRPr="00981A79">
        <w:rPr>
          <w:rFonts w:cs="Arial"/>
        </w:rPr>
        <w:t>t</w:t>
      </w:r>
      <w:r w:rsidR="004139B9" w:rsidRPr="00981A79">
        <w:rPr>
          <w:rFonts w:cs="Arial"/>
        </w:rPr>
        <w:t>he taxpayer</w:t>
      </w:r>
      <w:r w:rsidR="0074530F" w:rsidRPr="00981A79">
        <w:rPr>
          <w:rFonts w:cs="Arial"/>
        </w:rPr>
        <w:t xml:space="preserve"> with reference to the suppliers names, the wet weight; smelting loss; official weight; gold fineness; gold weight fine; gold factor; gold weight sold; silver fineness; silver weight fine; silver factor, silver </w:t>
      </w:r>
      <w:r w:rsidR="0074530F" w:rsidRPr="00981A79">
        <w:rPr>
          <w:rFonts w:cs="Arial"/>
        </w:rPr>
        <w:lastRenderedPageBreak/>
        <w:t>weight sold</w:t>
      </w:r>
      <w:r w:rsidR="00C52464" w:rsidRPr="00981A79">
        <w:rPr>
          <w:rFonts w:cs="Arial"/>
        </w:rPr>
        <w:t>, t</w:t>
      </w:r>
      <w:r w:rsidR="0074530F" w:rsidRPr="00981A79">
        <w:rPr>
          <w:rFonts w:cs="Arial"/>
        </w:rPr>
        <w:t>he trading in (Au) with reference to gross sales, final sales @ 0</w:t>
      </w:r>
      <w:r w:rsidR="00AE7ABF" w:rsidRPr="00981A79">
        <w:rPr>
          <w:rFonts w:cs="Arial"/>
        </w:rPr>
        <w:t xml:space="preserve"> %</w:t>
      </w:r>
      <w:r w:rsidR="0074530F" w:rsidRPr="00981A79">
        <w:rPr>
          <w:rFonts w:cs="Arial"/>
        </w:rPr>
        <w:t>, purchases, gross contribution, GC %, rebate allocation; net gross contribution; net GC % and customer sold to</w:t>
      </w:r>
      <w:r w:rsidR="00124777" w:rsidRPr="00981A79">
        <w:rPr>
          <w:rFonts w:cs="Arial"/>
        </w:rPr>
        <w:t>, e</w:t>
      </w:r>
      <w:r w:rsidR="0074530F" w:rsidRPr="00981A79">
        <w:rPr>
          <w:rFonts w:cs="Arial"/>
        </w:rPr>
        <w:t>xport fees/refining/hedging fees, other costs, financing costs, tax.</w:t>
      </w:r>
    </w:p>
    <w:p w14:paraId="4DFD35E9" w14:textId="40BFC92B" w:rsidR="000A5E1B" w:rsidRPr="00981A79" w:rsidRDefault="00981A79" w:rsidP="00981A79">
      <w:pPr>
        <w:spacing w:after="240" w:line="360" w:lineRule="auto"/>
        <w:ind w:left="720" w:hanging="720"/>
        <w:jc w:val="both"/>
        <w:rPr>
          <w:rFonts w:cs="Arial"/>
        </w:rPr>
      </w:pPr>
      <w:r w:rsidRPr="00E110CB">
        <w:rPr>
          <w:rFonts w:ascii="Arial" w:eastAsia="Calibri" w:hAnsi="Arial" w:cs="Arial"/>
          <w:lang w:val="en-ZA"/>
        </w:rPr>
        <w:t>4.2</w:t>
      </w:r>
      <w:r w:rsidRPr="00E110CB">
        <w:rPr>
          <w:rFonts w:ascii="Arial" w:eastAsia="Calibri" w:hAnsi="Arial" w:cs="Arial"/>
          <w:lang w:val="en-ZA"/>
        </w:rPr>
        <w:tab/>
      </w:r>
      <w:r w:rsidR="004139B9" w:rsidRPr="00981A79">
        <w:rPr>
          <w:rFonts w:cs="Arial"/>
        </w:rPr>
        <w:t>The taxpayer</w:t>
      </w:r>
      <w:r w:rsidR="00E73A3F" w:rsidRPr="00981A79">
        <w:rPr>
          <w:rFonts w:cs="Arial"/>
        </w:rPr>
        <w:t xml:space="preserve"> is to pay </w:t>
      </w:r>
      <w:r w:rsidR="004F1BA5" w:rsidRPr="00981A79">
        <w:rPr>
          <w:rFonts w:cs="Arial"/>
        </w:rPr>
        <w:t>SAR</w:t>
      </w:r>
      <w:r w:rsidR="004C332D" w:rsidRPr="00981A79">
        <w:rPr>
          <w:rFonts w:cs="Arial"/>
        </w:rPr>
        <w:t>S’</w:t>
      </w:r>
      <w:r w:rsidR="00E73A3F" w:rsidRPr="00981A79">
        <w:rPr>
          <w:rFonts w:cs="Arial"/>
        </w:rPr>
        <w:t xml:space="preserve"> costs of this application</w:t>
      </w:r>
      <w:r w:rsidR="004000EE" w:rsidRPr="00981A79">
        <w:rPr>
          <w:rFonts w:cs="Arial"/>
        </w:rPr>
        <w:t xml:space="preserve"> such costs to include the costs of </w:t>
      </w:r>
      <w:r w:rsidR="00441069" w:rsidRPr="00981A79">
        <w:rPr>
          <w:rFonts w:cs="Arial"/>
        </w:rPr>
        <w:t>two counsel where employed</w:t>
      </w:r>
      <w:r w:rsidR="004C332D" w:rsidRPr="00981A79">
        <w:rPr>
          <w:rFonts w:cs="Arial"/>
        </w:rPr>
        <w:t>.</w:t>
      </w:r>
    </w:p>
    <w:p w14:paraId="060A1B37" w14:textId="77777777" w:rsidR="00CD574F" w:rsidRDefault="00CD574F" w:rsidP="00CD574F">
      <w:pPr>
        <w:pStyle w:val="ListParagraph"/>
        <w:spacing w:before="0" w:after="240" w:line="360" w:lineRule="auto"/>
        <w:mirrorIndents w:val="0"/>
        <w:rPr>
          <w:rFonts w:cs="Arial"/>
        </w:rPr>
      </w:pPr>
    </w:p>
    <w:p w14:paraId="4CC2D237" w14:textId="12B0CD6E" w:rsidR="00273753" w:rsidRPr="00106CBD" w:rsidRDefault="00273753" w:rsidP="00273753">
      <w:pPr>
        <w:pStyle w:val="ListParagraph"/>
        <w:spacing w:before="0" w:after="240" w:line="360" w:lineRule="auto"/>
        <w:mirrorIndents w:val="0"/>
        <w:rPr>
          <w:rFonts w:cs="Arial"/>
        </w:rPr>
      </w:pPr>
    </w:p>
    <w:p w14:paraId="69075B86" w14:textId="50E4FF5D" w:rsidR="000A5E1B" w:rsidRPr="000A5E1B" w:rsidRDefault="000A5E1B" w:rsidP="00CB3AD9">
      <w:pPr>
        <w:spacing w:after="0" w:line="360" w:lineRule="auto"/>
        <w:ind w:left="567" w:hanging="567"/>
        <w:jc w:val="right"/>
        <w:rPr>
          <w:rFonts w:ascii="Arial" w:eastAsia="Calibri" w:hAnsi="Arial" w:cs="Arial"/>
          <w:kern w:val="0"/>
          <w:szCs w:val="22"/>
          <w14:ligatures w14:val="none"/>
        </w:rPr>
      </w:pPr>
      <w:r w:rsidRPr="000A5E1B">
        <w:rPr>
          <w:rFonts w:ascii="Arial" w:eastAsia="Calibri" w:hAnsi="Arial" w:cs="Arial"/>
          <w:kern w:val="0"/>
          <w:szCs w:val="22"/>
          <w14:ligatures w14:val="none"/>
        </w:rPr>
        <w:t>________________</w:t>
      </w:r>
    </w:p>
    <w:p w14:paraId="5A4F11D3" w14:textId="52DDB3F4" w:rsidR="000A5E1B" w:rsidRPr="000A5E1B" w:rsidRDefault="000A5E1B" w:rsidP="00CB3AD9">
      <w:pPr>
        <w:spacing w:after="0" w:line="360" w:lineRule="auto"/>
        <w:ind w:left="567" w:hanging="567"/>
        <w:jc w:val="right"/>
        <w:rPr>
          <w:rFonts w:ascii="Arial" w:eastAsia="Calibri" w:hAnsi="Arial" w:cs="Arial"/>
          <w:b/>
          <w:kern w:val="0"/>
          <w:szCs w:val="22"/>
          <w14:ligatures w14:val="none"/>
        </w:rPr>
      </w:pPr>
      <w:r w:rsidRPr="000A5E1B">
        <w:rPr>
          <w:rFonts w:ascii="Arial" w:eastAsia="Calibri" w:hAnsi="Arial" w:cs="Arial"/>
          <w:b/>
          <w:kern w:val="0"/>
          <w:szCs w:val="22"/>
          <w14:ligatures w14:val="none"/>
        </w:rPr>
        <w:t xml:space="preserve"> FISHER</w:t>
      </w:r>
      <w:r w:rsidR="007B566B">
        <w:rPr>
          <w:rFonts w:ascii="Arial" w:eastAsia="Calibri" w:hAnsi="Arial" w:cs="Arial"/>
          <w:b/>
          <w:kern w:val="0"/>
          <w:szCs w:val="22"/>
          <w14:ligatures w14:val="none"/>
        </w:rPr>
        <w:t xml:space="preserve"> J </w:t>
      </w:r>
    </w:p>
    <w:p w14:paraId="266BA5F1" w14:textId="7C25771C" w:rsidR="00C915EE" w:rsidRPr="00C915EE" w:rsidRDefault="00C915EE" w:rsidP="00C915EE">
      <w:pPr>
        <w:spacing w:after="0" w:line="360" w:lineRule="auto"/>
        <w:ind w:left="567" w:hanging="567"/>
        <w:jc w:val="right"/>
        <w:rPr>
          <w:rFonts w:ascii="Arial" w:hAnsi="Arial" w:cs="Arial"/>
          <w:b/>
          <w:kern w:val="0"/>
          <w:szCs w:val="22"/>
        </w:rPr>
      </w:pPr>
      <w:r w:rsidRPr="00C915EE">
        <w:rPr>
          <w:rFonts w:ascii="Arial" w:hAnsi="Arial" w:cs="Arial"/>
          <w:b/>
          <w:kern w:val="0"/>
          <w:szCs w:val="22"/>
        </w:rPr>
        <w:t>JUDGE OF THE HIGH COURT</w:t>
      </w:r>
    </w:p>
    <w:p w14:paraId="0AC9E3AC" w14:textId="77777777" w:rsidR="000A5E1B" w:rsidRPr="000A5E1B" w:rsidRDefault="00C915EE" w:rsidP="00C915EE">
      <w:pPr>
        <w:spacing w:after="0" w:line="360" w:lineRule="auto"/>
        <w:ind w:left="567" w:hanging="567"/>
        <w:jc w:val="right"/>
        <w:rPr>
          <w:rFonts w:ascii="Arial" w:eastAsia="Calibri" w:hAnsi="Arial" w:cs="Arial"/>
          <w:b/>
          <w:kern w:val="0"/>
          <w:szCs w:val="22"/>
          <w14:ligatures w14:val="none"/>
        </w:rPr>
      </w:pPr>
      <w:r w:rsidRPr="00C915EE">
        <w:rPr>
          <w:rFonts w:ascii="Arial" w:hAnsi="Arial"/>
          <w:b/>
          <w:kern w:val="0"/>
          <w:szCs w:val="22"/>
        </w:rPr>
        <w:t>JOHANNESBURG</w:t>
      </w:r>
    </w:p>
    <w:p w14:paraId="7E2FFE25" w14:textId="77777777" w:rsidR="000A5E1B" w:rsidRPr="000A5E1B" w:rsidRDefault="000A5E1B" w:rsidP="00091037">
      <w:pPr>
        <w:spacing w:after="0" w:line="360" w:lineRule="auto"/>
        <w:ind w:left="567" w:hanging="567"/>
        <w:rPr>
          <w:rFonts w:ascii="Arial" w:eastAsia="Calibri" w:hAnsi="Arial" w:cs="Arial"/>
          <w:b/>
          <w:kern w:val="0"/>
          <w:szCs w:val="22"/>
          <w14:ligatures w14:val="none"/>
        </w:rPr>
      </w:pPr>
    </w:p>
    <w:p w14:paraId="1235C848" w14:textId="77777777" w:rsidR="000A5E1B" w:rsidRPr="000A5E1B" w:rsidRDefault="000A5E1B" w:rsidP="00091037">
      <w:pPr>
        <w:spacing w:after="0" w:line="360" w:lineRule="auto"/>
        <w:rPr>
          <w:rFonts w:ascii="Arial" w:eastAsia="Calibri" w:hAnsi="Arial" w:cs="Arial"/>
          <w:b/>
          <w:kern w:val="0"/>
          <w:szCs w:val="22"/>
          <w14:ligatures w14:val="none"/>
        </w:rPr>
      </w:pPr>
    </w:p>
    <w:p w14:paraId="345128EE" w14:textId="77777777" w:rsidR="000A5E1B" w:rsidRPr="000A5E1B" w:rsidRDefault="000A5E1B" w:rsidP="00C05D80">
      <w:pPr>
        <w:spacing w:after="240" w:line="360" w:lineRule="auto"/>
        <w:jc w:val="both"/>
        <w:rPr>
          <w:rFonts w:ascii="Arial" w:eastAsia="Calibri" w:hAnsi="Arial" w:cs="Arial"/>
          <w:b/>
          <w:bCs/>
          <w:kern w:val="0"/>
          <w:szCs w:val="22"/>
          <w14:ligatures w14:val="none"/>
        </w:rPr>
      </w:pPr>
      <w:r w:rsidRPr="000A5E1B">
        <w:rPr>
          <w:rFonts w:ascii="Arial" w:eastAsia="Calibri" w:hAnsi="Arial" w:cs="Arial"/>
          <w:b/>
          <w:bCs/>
          <w:kern w:val="0"/>
          <w:szCs w:val="22"/>
          <w14:ligatures w14:val="none"/>
        </w:rPr>
        <w:t>This Judgment was handed down electronically by circulation to the parties/their legal representatives by email and by uploading to the electronic file on Case Lines. The date for hand-down is deemed to be</w:t>
      </w:r>
      <w:r w:rsidR="00C05D80">
        <w:rPr>
          <w:rFonts w:ascii="Arial" w:eastAsia="Calibri" w:hAnsi="Arial" w:cs="Arial"/>
          <w:b/>
          <w:bCs/>
          <w:kern w:val="0"/>
          <w:szCs w:val="22"/>
          <w14:ligatures w14:val="none"/>
        </w:rPr>
        <w:t xml:space="preserve"> 16</w:t>
      </w:r>
      <w:r w:rsidRPr="000A5E1B">
        <w:rPr>
          <w:rFonts w:ascii="Arial" w:eastAsia="Calibri" w:hAnsi="Arial" w:cs="Arial"/>
          <w:b/>
          <w:bCs/>
          <w:kern w:val="0"/>
          <w:szCs w:val="22"/>
          <w14:ligatures w14:val="none"/>
        </w:rPr>
        <w:t xml:space="preserve"> </w:t>
      </w:r>
      <w:r>
        <w:rPr>
          <w:rFonts w:ascii="Arial" w:eastAsia="Calibri" w:hAnsi="Arial" w:cs="Arial"/>
          <w:b/>
          <w:bCs/>
          <w:kern w:val="0"/>
          <w:szCs w:val="22"/>
          <w14:ligatures w14:val="none"/>
        </w:rPr>
        <w:t>January</w:t>
      </w:r>
      <w:r w:rsidRPr="000A5E1B">
        <w:rPr>
          <w:rFonts w:ascii="Arial" w:eastAsia="Calibri" w:hAnsi="Arial" w:cs="Arial"/>
          <w:b/>
          <w:bCs/>
          <w:kern w:val="0"/>
          <w:szCs w:val="22"/>
          <w14:ligatures w14:val="none"/>
        </w:rPr>
        <w:t xml:space="preserve"> </w:t>
      </w:r>
      <w:r>
        <w:rPr>
          <w:rFonts w:ascii="Arial" w:eastAsia="Calibri" w:hAnsi="Arial" w:cs="Arial"/>
          <w:b/>
          <w:bCs/>
          <w:kern w:val="0"/>
          <w:szCs w:val="22"/>
          <w14:ligatures w14:val="none"/>
        </w:rPr>
        <w:t>2024</w:t>
      </w:r>
      <w:r w:rsidRPr="000A5E1B">
        <w:rPr>
          <w:rFonts w:ascii="Arial" w:eastAsia="Calibri" w:hAnsi="Arial" w:cs="Arial"/>
          <w:b/>
          <w:bCs/>
          <w:kern w:val="0"/>
          <w:szCs w:val="22"/>
          <w14:ligatures w14:val="none"/>
        </w:rPr>
        <w:t>.</w:t>
      </w:r>
    </w:p>
    <w:p w14:paraId="289C03D6" w14:textId="77777777" w:rsidR="000A5E1B" w:rsidRPr="000A5E1B" w:rsidRDefault="000A5E1B" w:rsidP="00C05D80">
      <w:pPr>
        <w:tabs>
          <w:tab w:val="left" w:pos="3969"/>
          <w:tab w:val="left" w:pos="4536"/>
        </w:tabs>
        <w:spacing w:after="240" w:line="360" w:lineRule="auto"/>
        <w:ind w:left="720" w:hanging="720"/>
        <w:jc w:val="both"/>
        <w:rPr>
          <w:rFonts w:ascii="Arial" w:eastAsia="Calibri" w:hAnsi="Arial" w:cs="Arial"/>
          <w:bCs/>
          <w:kern w:val="0"/>
          <w:szCs w:val="22"/>
          <w14:ligatures w14:val="none"/>
        </w:rPr>
      </w:pPr>
      <w:r w:rsidRPr="000A5E1B">
        <w:rPr>
          <w:rFonts w:ascii="Arial" w:eastAsia="Calibri" w:hAnsi="Arial" w:cs="Arial"/>
          <w:b/>
          <w:kern w:val="0"/>
          <w:szCs w:val="22"/>
          <w14:ligatures w14:val="none"/>
        </w:rPr>
        <w:t>Heard:</w:t>
      </w:r>
      <w:r w:rsidR="00AF4F01">
        <w:rPr>
          <w:rFonts w:ascii="Arial" w:eastAsia="Calibri" w:hAnsi="Arial" w:cs="Arial"/>
          <w:b/>
          <w:kern w:val="0"/>
          <w:szCs w:val="22"/>
          <w14:ligatures w14:val="none"/>
        </w:rPr>
        <w:tab/>
      </w:r>
      <w:r w:rsidR="00AF4F01">
        <w:rPr>
          <w:rFonts w:ascii="Arial" w:eastAsia="Calibri" w:hAnsi="Arial" w:cs="Arial"/>
          <w:b/>
          <w:kern w:val="0"/>
          <w:szCs w:val="22"/>
          <w14:ligatures w14:val="none"/>
        </w:rPr>
        <w:tab/>
      </w:r>
      <w:r w:rsidR="00AF4F01" w:rsidRPr="00AF4F01">
        <w:rPr>
          <w:rFonts w:ascii="Arial" w:eastAsia="Calibri" w:hAnsi="Arial" w:cs="Arial"/>
          <w:kern w:val="0"/>
          <w:szCs w:val="22"/>
          <w14:ligatures w14:val="none"/>
        </w:rPr>
        <w:t>3 November 2023</w:t>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p>
    <w:p w14:paraId="044BE643" w14:textId="77777777" w:rsidR="000A5E1B" w:rsidRPr="000A5E1B" w:rsidRDefault="000A5E1B" w:rsidP="00091037">
      <w:pPr>
        <w:tabs>
          <w:tab w:val="left" w:pos="4111"/>
          <w:tab w:val="left" w:pos="4395"/>
          <w:tab w:val="left" w:pos="4536"/>
        </w:tabs>
        <w:spacing w:after="240" w:line="360" w:lineRule="auto"/>
        <w:ind w:left="567" w:hanging="567"/>
        <w:rPr>
          <w:rFonts w:ascii="Arial" w:eastAsia="Calibri" w:hAnsi="Arial" w:cs="Arial"/>
          <w:b/>
          <w:kern w:val="0"/>
          <w:szCs w:val="22"/>
          <w14:ligatures w14:val="none"/>
        </w:rPr>
      </w:pPr>
      <w:r w:rsidRPr="000A5E1B">
        <w:rPr>
          <w:rFonts w:ascii="Arial" w:eastAsia="Calibri" w:hAnsi="Arial" w:cs="Arial"/>
          <w:b/>
          <w:kern w:val="0"/>
          <w:szCs w:val="22"/>
          <w14:ligatures w14:val="none"/>
        </w:rPr>
        <w:t>Delivered:</w:t>
      </w:r>
      <w:r w:rsidR="00557CE6">
        <w:rPr>
          <w:rFonts w:ascii="Arial" w:eastAsia="Calibri" w:hAnsi="Arial" w:cs="Arial"/>
          <w:b/>
          <w:kern w:val="0"/>
          <w:szCs w:val="22"/>
          <w14:ligatures w14:val="none"/>
        </w:rPr>
        <w:tab/>
      </w:r>
      <w:r w:rsidR="00557CE6">
        <w:rPr>
          <w:rFonts w:ascii="Arial" w:eastAsia="Calibri" w:hAnsi="Arial" w:cs="Arial"/>
          <w:b/>
          <w:kern w:val="0"/>
          <w:szCs w:val="22"/>
          <w14:ligatures w14:val="none"/>
        </w:rPr>
        <w:tab/>
      </w:r>
      <w:r w:rsidR="00C05D80">
        <w:rPr>
          <w:rFonts w:ascii="Arial" w:eastAsia="Calibri" w:hAnsi="Arial" w:cs="Arial"/>
          <w:bCs/>
          <w:kern w:val="0"/>
          <w:szCs w:val="22"/>
          <w14:ligatures w14:val="none"/>
        </w:rPr>
        <w:t>16</w:t>
      </w:r>
      <w:r w:rsidR="00CD574F">
        <w:rPr>
          <w:rFonts w:ascii="Arial" w:eastAsia="Calibri" w:hAnsi="Arial" w:cs="Arial"/>
          <w:bCs/>
          <w:kern w:val="0"/>
          <w:szCs w:val="22"/>
          <w14:ligatures w14:val="none"/>
        </w:rPr>
        <w:t xml:space="preserve"> </w:t>
      </w:r>
      <w:r w:rsidR="00C60163" w:rsidRPr="00C60163">
        <w:rPr>
          <w:rFonts w:ascii="Arial" w:eastAsia="Calibri" w:hAnsi="Arial" w:cs="Arial"/>
          <w:kern w:val="0"/>
          <w:szCs w:val="22"/>
          <w14:ligatures w14:val="none"/>
        </w:rPr>
        <w:t>January 2024</w:t>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p>
    <w:p w14:paraId="6ECD50AF" w14:textId="77777777" w:rsidR="000A5E1B" w:rsidRPr="000A5E1B" w:rsidRDefault="000A5E1B" w:rsidP="00091037">
      <w:pPr>
        <w:spacing w:after="240" w:line="360" w:lineRule="auto"/>
        <w:ind w:left="567" w:hanging="567"/>
        <w:rPr>
          <w:rFonts w:ascii="Arial" w:eastAsia="Calibri" w:hAnsi="Arial" w:cs="Arial"/>
          <w:b/>
          <w:kern w:val="0"/>
          <w:szCs w:val="22"/>
          <w14:ligatures w14:val="none"/>
        </w:rPr>
      </w:pPr>
      <w:r w:rsidRPr="000A5E1B">
        <w:rPr>
          <w:rFonts w:ascii="Arial" w:eastAsia="Calibri" w:hAnsi="Arial" w:cs="Arial"/>
          <w:b/>
          <w:kern w:val="0"/>
          <w:szCs w:val="22"/>
          <w14:ligatures w14:val="none"/>
        </w:rPr>
        <w:t>APPEARANCES:</w:t>
      </w:r>
    </w:p>
    <w:p w14:paraId="559D3A31" w14:textId="77777777" w:rsidR="000A5E1B" w:rsidRDefault="000A5E1B" w:rsidP="00091037">
      <w:pPr>
        <w:tabs>
          <w:tab w:val="left" w:pos="3969"/>
          <w:tab w:val="left" w:pos="4536"/>
        </w:tabs>
        <w:spacing w:after="240" w:line="360" w:lineRule="auto"/>
        <w:ind w:left="567" w:hanging="567"/>
        <w:rPr>
          <w:rFonts w:ascii="Arial" w:eastAsia="Calibri" w:hAnsi="Arial" w:cs="Arial"/>
          <w:bCs/>
          <w:kern w:val="0"/>
          <w:szCs w:val="22"/>
          <w14:ligatures w14:val="none"/>
        </w:rPr>
      </w:pPr>
      <w:r w:rsidRPr="000A5E1B">
        <w:rPr>
          <w:rFonts w:ascii="Arial" w:eastAsia="Calibri" w:hAnsi="Arial" w:cs="Arial"/>
          <w:kern w:val="0"/>
          <w:szCs w:val="22"/>
          <w14:ligatures w14:val="none"/>
        </w:rPr>
        <w:t>For the Applicant</w:t>
      </w:r>
      <w:r w:rsidRPr="000A5E1B">
        <w:rPr>
          <w:rFonts w:ascii="Arial" w:eastAsia="Calibri" w:hAnsi="Arial" w:cs="Arial"/>
          <w:b/>
          <w:kern w:val="0"/>
          <w:szCs w:val="22"/>
          <w14:ligatures w14:val="none"/>
        </w:rPr>
        <w:t>:</w:t>
      </w:r>
      <w:r w:rsidRPr="000A5E1B">
        <w:rPr>
          <w:rFonts w:ascii="Arial" w:eastAsia="Calibri" w:hAnsi="Arial" w:cs="Arial"/>
          <w:b/>
          <w:kern w:val="0"/>
          <w:szCs w:val="22"/>
          <w14:ligatures w14:val="none"/>
        </w:rPr>
        <w:tab/>
      </w:r>
      <w:r w:rsidRPr="000A5E1B">
        <w:rPr>
          <w:rFonts w:ascii="Arial" w:eastAsia="Calibri" w:hAnsi="Arial" w:cs="Arial"/>
          <w:bCs/>
          <w:kern w:val="0"/>
          <w:szCs w:val="22"/>
          <w14:ligatures w14:val="none"/>
        </w:rPr>
        <w:tab/>
        <w:t xml:space="preserve">Rafik Bhana, SC </w:t>
      </w:r>
    </w:p>
    <w:p w14:paraId="0BCE43F1" w14:textId="77777777" w:rsidR="000A5E1B" w:rsidRDefault="000A5E1B" w:rsidP="00091037">
      <w:pPr>
        <w:tabs>
          <w:tab w:val="left" w:pos="3969"/>
          <w:tab w:val="left" w:pos="4536"/>
        </w:tabs>
        <w:spacing w:after="240" w:line="360" w:lineRule="auto"/>
        <w:ind w:left="567" w:hanging="567"/>
        <w:rPr>
          <w:rFonts w:ascii="Arial" w:eastAsia="Calibri" w:hAnsi="Arial" w:cs="Arial"/>
          <w:bCs/>
          <w:kern w:val="0"/>
          <w:szCs w:val="22"/>
          <w14:ligatures w14:val="none"/>
        </w:rPr>
      </w:pPr>
      <w:r>
        <w:rPr>
          <w:rFonts w:ascii="Arial" w:eastAsia="Calibri" w:hAnsi="Arial" w:cs="Arial"/>
          <w:bCs/>
          <w:kern w:val="0"/>
          <w:szCs w:val="22"/>
          <w14:ligatures w14:val="none"/>
        </w:rPr>
        <w:tab/>
      </w:r>
      <w:r>
        <w:rPr>
          <w:rFonts w:ascii="Arial" w:eastAsia="Calibri" w:hAnsi="Arial" w:cs="Arial"/>
          <w:bCs/>
          <w:kern w:val="0"/>
          <w:szCs w:val="22"/>
          <w14:ligatures w14:val="none"/>
        </w:rPr>
        <w:tab/>
      </w:r>
      <w:r>
        <w:rPr>
          <w:rFonts w:ascii="Arial" w:eastAsia="Calibri" w:hAnsi="Arial" w:cs="Arial"/>
          <w:bCs/>
          <w:kern w:val="0"/>
          <w:szCs w:val="22"/>
          <w14:ligatures w14:val="none"/>
        </w:rPr>
        <w:tab/>
        <w:t>Gavin G</w:t>
      </w:r>
      <w:r w:rsidRPr="000A5E1B">
        <w:rPr>
          <w:rFonts w:ascii="Arial" w:eastAsia="Calibri" w:hAnsi="Arial" w:cs="Arial"/>
          <w:bCs/>
          <w:kern w:val="0"/>
          <w:szCs w:val="22"/>
          <w14:ligatures w14:val="none"/>
        </w:rPr>
        <w:t xml:space="preserve">oldman </w:t>
      </w:r>
    </w:p>
    <w:p w14:paraId="03113BBD" w14:textId="77777777" w:rsidR="000A5E1B" w:rsidRPr="000A5E1B" w:rsidRDefault="000A5E1B" w:rsidP="00091037">
      <w:pPr>
        <w:tabs>
          <w:tab w:val="left" w:pos="3969"/>
          <w:tab w:val="left" w:pos="4536"/>
        </w:tabs>
        <w:spacing w:after="240" w:line="360" w:lineRule="auto"/>
        <w:ind w:left="567" w:hanging="567"/>
        <w:rPr>
          <w:rFonts w:ascii="Arial" w:eastAsia="Calibri" w:hAnsi="Arial" w:cs="Arial"/>
          <w:bCs/>
          <w:kern w:val="0"/>
          <w:szCs w:val="22"/>
          <w14:ligatures w14:val="none"/>
        </w:rPr>
      </w:pPr>
      <w:r>
        <w:rPr>
          <w:rFonts w:ascii="Arial" w:eastAsia="Calibri" w:hAnsi="Arial" w:cs="Arial"/>
          <w:bCs/>
          <w:kern w:val="0"/>
          <w:szCs w:val="22"/>
          <w14:ligatures w14:val="none"/>
        </w:rPr>
        <w:tab/>
      </w:r>
      <w:r>
        <w:rPr>
          <w:rFonts w:ascii="Arial" w:eastAsia="Calibri" w:hAnsi="Arial" w:cs="Arial"/>
          <w:bCs/>
          <w:kern w:val="0"/>
          <w:szCs w:val="22"/>
          <w14:ligatures w14:val="none"/>
        </w:rPr>
        <w:tab/>
      </w:r>
      <w:r>
        <w:rPr>
          <w:rFonts w:ascii="Arial" w:eastAsia="Calibri" w:hAnsi="Arial" w:cs="Arial"/>
          <w:bCs/>
          <w:kern w:val="0"/>
          <w:szCs w:val="22"/>
          <w14:ligatures w14:val="none"/>
        </w:rPr>
        <w:tab/>
        <w:t>Brandon C</w:t>
      </w:r>
      <w:r w:rsidRPr="000A5E1B">
        <w:rPr>
          <w:rFonts w:ascii="Arial" w:eastAsia="Calibri" w:hAnsi="Arial" w:cs="Arial"/>
          <w:bCs/>
          <w:kern w:val="0"/>
          <w:szCs w:val="22"/>
          <w14:ligatures w14:val="none"/>
        </w:rPr>
        <w:t>asey</w:t>
      </w:r>
    </w:p>
    <w:p w14:paraId="472D6434" w14:textId="77777777" w:rsidR="000A5E1B" w:rsidRPr="000A5E1B" w:rsidRDefault="000A5E1B" w:rsidP="00091037">
      <w:pPr>
        <w:tabs>
          <w:tab w:val="left" w:pos="3969"/>
          <w:tab w:val="left" w:pos="4536"/>
        </w:tabs>
        <w:spacing w:after="240" w:line="360" w:lineRule="auto"/>
        <w:ind w:left="567" w:hanging="567"/>
        <w:rPr>
          <w:rFonts w:ascii="Arial" w:eastAsia="Calibri" w:hAnsi="Arial" w:cs="Arial"/>
          <w:bCs/>
          <w:kern w:val="0"/>
          <w:szCs w:val="22"/>
          <w14:ligatures w14:val="none"/>
        </w:rPr>
      </w:pPr>
      <w:r w:rsidRPr="000A5E1B">
        <w:rPr>
          <w:rFonts w:ascii="Arial" w:eastAsia="Calibri" w:hAnsi="Arial" w:cs="Arial"/>
          <w:kern w:val="0"/>
          <w:szCs w:val="22"/>
          <w14:ligatures w14:val="none"/>
        </w:rPr>
        <w:t>Instructed by:</w:t>
      </w:r>
      <w:r w:rsidR="00AF4F01">
        <w:rPr>
          <w:rFonts w:ascii="Arial" w:eastAsia="Calibri" w:hAnsi="Arial" w:cs="Arial"/>
          <w:bCs/>
          <w:kern w:val="0"/>
          <w:szCs w:val="22"/>
          <w14:ligatures w14:val="none"/>
        </w:rPr>
        <w:tab/>
      </w:r>
      <w:r w:rsidR="00AF4F01">
        <w:rPr>
          <w:rFonts w:ascii="Arial" w:eastAsia="Calibri" w:hAnsi="Arial" w:cs="Arial"/>
          <w:bCs/>
          <w:kern w:val="0"/>
          <w:szCs w:val="22"/>
          <w14:ligatures w14:val="none"/>
        </w:rPr>
        <w:tab/>
        <w:t>Girard H</w:t>
      </w:r>
      <w:r w:rsidR="00557CE6">
        <w:rPr>
          <w:rFonts w:ascii="Arial" w:eastAsia="Calibri" w:hAnsi="Arial" w:cs="Arial"/>
          <w:bCs/>
          <w:kern w:val="0"/>
          <w:szCs w:val="22"/>
          <w14:ligatures w14:val="none"/>
        </w:rPr>
        <w:t>ayward I</w:t>
      </w:r>
      <w:r w:rsidR="00AF4F01" w:rsidRPr="00AF4F01">
        <w:rPr>
          <w:rFonts w:ascii="Arial" w:eastAsia="Calibri" w:hAnsi="Arial" w:cs="Arial"/>
          <w:bCs/>
          <w:kern w:val="0"/>
          <w:szCs w:val="22"/>
          <w14:ligatures w14:val="none"/>
        </w:rPr>
        <w:t>nc</w:t>
      </w:r>
      <w:r w:rsidRPr="000A5E1B">
        <w:rPr>
          <w:rFonts w:ascii="Arial" w:eastAsia="Calibri" w:hAnsi="Arial" w:cs="Arial"/>
          <w:bCs/>
          <w:kern w:val="0"/>
          <w:szCs w:val="22"/>
          <w14:ligatures w14:val="none"/>
        </w:rPr>
        <w:tab/>
      </w:r>
    </w:p>
    <w:p w14:paraId="3369EE9E" w14:textId="77777777" w:rsidR="000A5E1B" w:rsidRDefault="000A5E1B" w:rsidP="00091037">
      <w:pPr>
        <w:tabs>
          <w:tab w:val="left" w:pos="3969"/>
          <w:tab w:val="left" w:pos="4536"/>
        </w:tabs>
        <w:spacing w:after="240" w:line="360" w:lineRule="auto"/>
        <w:ind w:left="567" w:hanging="567"/>
        <w:rPr>
          <w:rFonts w:ascii="Arial" w:eastAsia="Calibri" w:hAnsi="Arial" w:cs="Arial"/>
          <w:kern w:val="0"/>
          <w:szCs w:val="22"/>
          <w14:ligatures w14:val="none"/>
        </w:rPr>
      </w:pPr>
      <w:r w:rsidRPr="000A5E1B">
        <w:rPr>
          <w:rFonts w:ascii="Arial" w:eastAsia="Calibri" w:hAnsi="Arial" w:cs="Arial"/>
          <w:kern w:val="0"/>
          <w:szCs w:val="22"/>
          <w14:ligatures w14:val="none"/>
        </w:rPr>
        <w:t>For the Respondents:</w:t>
      </w:r>
      <w:r w:rsidRPr="000A5E1B">
        <w:rPr>
          <w:rFonts w:ascii="Arial" w:eastAsia="Calibri" w:hAnsi="Arial" w:cs="Arial"/>
          <w:b/>
          <w:kern w:val="0"/>
          <w:szCs w:val="22"/>
          <w14:ligatures w14:val="none"/>
        </w:rPr>
        <w:t xml:space="preserve"> </w:t>
      </w:r>
      <w:r w:rsidRPr="000A5E1B">
        <w:rPr>
          <w:rFonts w:ascii="Arial" w:eastAsia="Calibri" w:hAnsi="Arial" w:cs="Arial"/>
          <w:b/>
          <w:kern w:val="0"/>
          <w:szCs w:val="22"/>
          <w14:ligatures w14:val="none"/>
        </w:rPr>
        <w:tab/>
      </w:r>
      <w:r w:rsidRPr="000A5E1B">
        <w:rPr>
          <w:rFonts w:ascii="Arial" w:eastAsia="Calibri" w:hAnsi="Arial" w:cs="Arial"/>
          <w:b/>
          <w:kern w:val="0"/>
          <w:szCs w:val="22"/>
          <w14:ligatures w14:val="none"/>
        </w:rPr>
        <w:tab/>
      </w:r>
      <w:r w:rsidRPr="000A5E1B">
        <w:rPr>
          <w:rFonts w:ascii="Arial" w:eastAsia="Calibri" w:hAnsi="Arial" w:cs="Arial"/>
          <w:kern w:val="0"/>
          <w:szCs w:val="22"/>
          <w14:ligatures w14:val="none"/>
        </w:rPr>
        <w:t xml:space="preserve">Etienne Coetzee SC </w:t>
      </w:r>
    </w:p>
    <w:p w14:paraId="01F3F812" w14:textId="77777777" w:rsidR="000A5E1B" w:rsidRDefault="000A5E1B" w:rsidP="00091037">
      <w:pPr>
        <w:tabs>
          <w:tab w:val="left" w:pos="3969"/>
          <w:tab w:val="left" w:pos="4536"/>
        </w:tabs>
        <w:spacing w:after="240" w:line="360" w:lineRule="auto"/>
        <w:ind w:left="567" w:hanging="567"/>
        <w:rPr>
          <w:rFonts w:ascii="Arial" w:eastAsia="Calibri" w:hAnsi="Arial" w:cs="Arial"/>
          <w:kern w:val="0"/>
          <w:szCs w:val="22"/>
          <w14:ligatures w14:val="none"/>
        </w:rPr>
      </w:pPr>
      <w:r>
        <w:rPr>
          <w:rFonts w:ascii="Arial" w:eastAsia="Calibri" w:hAnsi="Arial" w:cs="Arial"/>
          <w:kern w:val="0"/>
          <w:szCs w:val="22"/>
          <w14:ligatures w14:val="none"/>
        </w:rPr>
        <w:tab/>
      </w:r>
      <w:r>
        <w:rPr>
          <w:rFonts w:ascii="Arial" w:eastAsia="Calibri" w:hAnsi="Arial" w:cs="Arial"/>
          <w:kern w:val="0"/>
          <w:szCs w:val="22"/>
          <w14:ligatures w14:val="none"/>
        </w:rPr>
        <w:tab/>
      </w:r>
      <w:r>
        <w:rPr>
          <w:rFonts w:ascii="Arial" w:eastAsia="Calibri" w:hAnsi="Arial" w:cs="Arial"/>
          <w:kern w:val="0"/>
          <w:szCs w:val="22"/>
          <w14:ligatures w14:val="none"/>
        </w:rPr>
        <w:tab/>
      </w:r>
      <w:r w:rsidRPr="000A5E1B">
        <w:rPr>
          <w:rFonts w:ascii="Arial" w:eastAsia="Calibri" w:hAnsi="Arial" w:cs="Arial"/>
          <w:kern w:val="0"/>
          <w:szCs w:val="22"/>
          <w14:ligatures w14:val="none"/>
        </w:rPr>
        <w:t xml:space="preserve">Henk de Wet SC </w:t>
      </w:r>
    </w:p>
    <w:p w14:paraId="078087C2" w14:textId="77777777" w:rsidR="000A5E1B" w:rsidRPr="000A5E1B" w:rsidRDefault="000A5E1B" w:rsidP="00091037">
      <w:pPr>
        <w:tabs>
          <w:tab w:val="left" w:pos="3969"/>
          <w:tab w:val="left" w:pos="4536"/>
        </w:tabs>
        <w:spacing w:after="240" w:line="360" w:lineRule="auto"/>
        <w:ind w:left="567" w:hanging="567"/>
        <w:rPr>
          <w:rFonts w:ascii="Arial" w:eastAsia="Calibri" w:hAnsi="Arial" w:cs="Arial"/>
          <w:b/>
          <w:kern w:val="0"/>
          <w:szCs w:val="22"/>
          <w14:ligatures w14:val="none"/>
        </w:rPr>
      </w:pPr>
      <w:r>
        <w:rPr>
          <w:rFonts w:ascii="Arial" w:eastAsia="Calibri" w:hAnsi="Arial" w:cs="Arial"/>
          <w:kern w:val="0"/>
          <w:szCs w:val="22"/>
          <w14:ligatures w14:val="none"/>
        </w:rPr>
        <w:lastRenderedPageBreak/>
        <w:tab/>
      </w:r>
      <w:r>
        <w:rPr>
          <w:rFonts w:ascii="Arial" w:eastAsia="Calibri" w:hAnsi="Arial" w:cs="Arial"/>
          <w:kern w:val="0"/>
          <w:szCs w:val="22"/>
          <w14:ligatures w14:val="none"/>
        </w:rPr>
        <w:tab/>
      </w:r>
      <w:r>
        <w:rPr>
          <w:rFonts w:ascii="Arial" w:eastAsia="Calibri" w:hAnsi="Arial" w:cs="Arial"/>
          <w:kern w:val="0"/>
          <w:szCs w:val="22"/>
          <w14:ligatures w14:val="none"/>
        </w:rPr>
        <w:tab/>
      </w:r>
      <w:r w:rsidRPr="000A5E1B">
        <w:rPr>
          <w:rFonts w:ascii="Arial" w:eastAsia="Calibri" w:hAnsi="Arial" w:cs="Arial"/>
          <w:kern w:val="0"/>
          <w:szCs w:val="22"/>
          <w14:ligatures w14:val="none"/>
        </w:rPr>
        <w:t>Sophia Maritz</w:t>
      </w:r>
    </w:p>
    <w:p w14:paraId="68E4E050" w14:textId="77777777" w:rsidR="000A5E1B" w:rsidRDefault="000A5E1B" w:rsidP="00091037">
      <w:pPr>
        <w:spacing w:after="240" w:line="360" w:lineRule="auto"/>
      </w:pPr>
      <w:r w:rsidRPr="000A5E1B">
        <w:rPr>
          <w:rFonts w:ascii="Arial" w:eastAsia="Calibri" w:hAnsi="Arial" w:cs="Arial"/>
          <w:bCs/>
          <w:kern w:val="0"/>
          <w:szCs w:val="22"/>
          <w14:ligatures w14:val="none"/>
        </w:rPr>
        <w:t>Instructed by:</w:t>
      </w:r>
      <w:r w:rsidRPr="000A5E1B">
        <w:rPr>
          <w:rFonts w:ascii="Arial" w:eastAsia="Calibri" w:hAnsi="Arial" w:cs="Arial"/>
          <w:bCs/>
          <w:kern w:val="0"/>
          <w:szCs w:val="22"/>
          <w14:ligatures w14:val="none"/>
        </w:rPr>
        <w:tab/>
      </w:r>
      <w:r w:rsidRPr="000A5E1B">
        <w:rPr>
          <w:rFonts w:ascii="Arial" w:eastAsia="Calibri" w:hAnsi="Arial" w:cs="Arial"/>
          <w:bCs/>
          <w:kern w:val="0"/>
          <w:szCs w:val="22"/>
          <w14:ligatures w14:val="none"/>
        </w:rPr>
        <w:tab/>
      </w:r>
      <w:r w:rsidR="00AF4F01">
        <w:rPr>
          <w:rFonts w:ascii="Arial" w:eastAsia="Calibri" w:hAnsi="Arial" w:cs="Arial"/>
          <w:bCs/>
          <w:kern w:val="0"/>
          <w:szCs w:val="22"/>
          <w14:ligatures w14:val="none"/>
        </w:rPr>
        <w:tab/>
      </w:r>
      <w:r w:rsidR="00AF4F01">
        <w:rPr>
          <w:rFonts w:ascii="Arial" w:eastAsia="Calibri" w:hAnsi="Arial" w:cs="Arial"/>
          <w:bCs/>
          <w:kern w:val="0"/>
          <w:szCs w:val="22"/>
          <w14:ligatures w14:val="none"/>
        </w:rPr>
        <w:tab/>
        <w:t xml:space="preserve">    </w:t>
      </w:r>
      <w:r w:rsidR="00557CE6">
        <w:rPr>
          <w:rFonts w:ascii="Arial" w:eastAsia="Calibri" w:hAnsi="Arial" w:cs="Arial"/>
          <w:bCs/>
          <w:kern w:val="0"/>
          <w:szCs w:val="22"/>
          <w14:ligatures w14:val="none"/>
        </w:rPr>
        <w:t>VZLR Inc.</w:t>
      </w:r>
    </w:p>
    <w:p w14:paraId="2F7E4ECC" w14:textId="77777777" w:rsidR="004749C8" w:rsidRDefault="004749C8" w:rsidP="00091037"/>
    <w:p w14:paraId="1BA1A853" w14:textId="77777777" w:rsidR="00AA095F" w:rsidRDefault="00AA095F" w:rsidP="00091037">
      <w:pPr>
        <w:pStyle w:val="ListParagraph"/>
      </w:pPr>
    </w:p>
    <w:p w14:paraId="23C3452E" w14:textId="77777777" w:rsidR="00BE4790" w:rsidRDefault="00BE4790" w:rsidP="00091037"/>
    <w:p w14:paraId="1541C510" w14:textId="77777777" w:rsidR="000A5E1B" w:rsidRDefault="000A5E1B" w:rsidP="00091037"/>
    <w:sectPr w:rsidR="000A5E1B" w:rsidSect="008F60C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6643" w14:textId="77777777" w:rsidR="009C6A4D" w:rsidRDefault="009C6A4D" w:rsidP="000D4B95">
      <w:pPr>
        <w:spacing w:after="0" w:line="240" w:lineRule="auto"/>
      </w:pPr>
      <w:r>
        <w:separator/>
      </w:r>
    </w:p>
  </w:endnote>
  <w:endnote w:type="continuationSeparator" w:id="0">
    <w:p w14:paraId="15BEDC82" w14:textId="77777777" w:rsidR="009C6A4D" w:rsidRDefault="009C6A4D" w:rsidP="000D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F727" w14:textId="77777777" w:rsidR="009C6A4D" w:rsidRDefault="009C6A4D" w:rsidP="000D4B95">
      <w:pPr>
        <w:spacing w:after="0" w:line="240" w:lineRule="auto"/>
      </w:pPr>
      <w:r>
        <w:separator/>
      </w:r>
    </w:p>
  </w:footnote>
  <w:footnote w:type="continuationSeparator" w:id="0">
    <w:p w14:paraId="344E3E3D" w14:textId="77777777" w:rsidR="009C6A4D" w:rsidRDefault="009C6A4D" w:rsidP="000D4B95">
      <w:pPr>
        <w:spacing w:after="0" w:line="240" w:lineRule="auto"/>
      </w:pPr>
      <w:r>
        <w:continuationSeparator/>
      </w:r>
    </w:p>
  </w:footnote>
  <w:footnote w:id="1">
    <w:p w14:paraId="15C2AF0B" w14:textId="77777777" w:rsidR="004416DF" w:rsidRPr="00B77836" w:rsidRDefault="004416DF" w:rsidP="000029DA">
      <w:pPr>
        <w:pStyle w:val="FootnoteText"/>
        <w:spacing w:after="0"/>
        <w:rPr>
          <w:rFonts w:ascii="Arial" w:hAnsi="Arial" w:cs="Arial"/>
          <w:sz w:val="18"/>
          <w:szCs w:val="18"/>
          <w:lang w:val="en-US"/>
        </w:rPr>
      </w:pPr>
      <w:r w:rsidRPr="00B77836">
        <w:rPr>
          <w:rStyle w:val="FootnoteReference"/>
          <w:rFonts w:ascii="Arial" w:hAnsi="Arial" w:cs="Arial"/>
          <w:sz w:val="18"/>
          <w:szCs w:val="18"/>
        </w:rPr>
        <w:footnoteRef/>
      </w:r>
      <w:r w:rsidRPr="00B77836">
        <w:rPr>
          <w:rFonts w:ascii="Arial" w:hAnsi="Arial" w:cs="Arial"/>
          <w:sz w:val="18"/>
          <w:szCs w:val="18"/>
        </w:rPr>
        <w:t xml:space="preserve"> </w:t>
      </w:r>
      <w:r w:rsidRPr="00B77836">
        <w:rPr>
          <w:rFonts w:ascii="Arial" w:hAnsi="Arial" w:cs="Arial"/>
          <w:sz w:val="18"/>
          <w:szCs w:val="18"/>
          <w:lang w:val="en-US"/>
        </w:rPr>
        <w:t xml:space="preserve">Rule 42 of </w:t>
      </w:r>
      <w:r w:rsidR="0088007A">
        <w:rPr>
          <w:rFonts w:ascii="Arial" w:hAnsi="Arial" w:cs="Arial"/>
          <w:sz w:val="18"/>
          <w:szCs w:val="18"/>
          <w:lang w:val="en-US"/>
        </w:rPr>
        <w:t>t</w:t>
      </w:r>
      <w:r w:rsidRPr="00B77836">
        <w:rPr>
          <w:rFonts w:ascii="Arial" w:hAnsi="Arial" w:cs="Arial"/>
          <w:sz w:val="18"/>
          <w:szCs w:val="18"/>
          <w:lang w:val="en-US"/>
        </w:rPr>
        <w:t xml:space="preserve">ax </w:t>
      </w:r>
      <w:r w:rsidR="0088007A">
        <w:rPr>
          <w:rFonts w:ascii="Arial" w:hAnsi="Arial" w:cs="Arial"/>
          <w:sz w:val="18"/>
          <w:szCs w:val="18"/>
          <w:lang w:val="en-US"/>
        </w:rPr>
        <w:t>c</w:t>
      </w:r>
      <w:r w:rsidRPr="00B77836">
        <w:rPr>
          <w:rFonts w:ascii="Arial" w:hAnsi="Arial" w:cs="Arial"/>
          <w:sz w:val="18"/>
          <w:szCs w:val="18"/>
          <w:lang w:val="en-US"/>
        </w:rPr>
        <w:t xml:space="preserve">ourt </w:t>
      </w:r>
      <w:r w:rsidR="0088007A">
        <w:rPr>
          <w:rFonts w:ascii="Arial" w:hAnsi="Arial" w:cs="Arial"/>
          <w:sz w:val="18"/>
          <w:szCs w:val="18"/>
          <w:lang w:val="en-US"/>
        </w:rPr>
        <w:t>r</w:t>
      </w:r>
      <w:r w:rsidRPr="00B77836">
        <w:rPr>
          <w:rFonts w:ascii="Arial" w:hAnsi="Arial" w:cs="Arial"/>
          <w:sz w:val="18"/>
          <w:szCs w:val="18"/>
          <w:lang w:val="en-US"/>
        </w:rPr>
        <w:t>ules</w:t>
      </w:r>
    </w:p>
  </w:footnote>
  <w:footnote w:id="2">
    <w:p w14:paraId="68C1E4D4" w14:textId="77777777" w:rsidR="004416DF" w:rsidRPr="00B77836" w:rsidRDefault="004416DF" w:rsidP="000029DA">
      <w:pPr>
        <w:pStyle w:val="FootnoteText"/>
        <w:spacing w:after="0"/>
        <w:rPr>
          <w:rFonts w:ascii="Arial" w:hAnsi="Arial" w:cs="Arial"/>
          <w:sz w:val="18"/>
          <w:szCs w:val="18"/>
          <w:lang w:val="en-US"/>
        </w:rPr>
      </w:pPr>
      <w:r w:rsidRPr="00B77836">
        <w:rPr>
          <w:rStyle w:val="FootnoteReference"/>
          <w:rFonts w:ascii="Arial" w:hAnsi="Arial" w:cs="Arial"/>
          <w:sz w:val="18"/>
          <w:szCs w:val="18"/>
        </w:rPr>
        <w:footnoteRef/>
      </w:r>
      <w:r w:rsidRPr="00B77836">
        <w:rPr>
          <w:rFonts w:ascii="Arial" w:hAnsi="Arial" w:cs="Arial"/>
          <w:sz w:val="18"/>
          <w:szCs w:val="18"/>
        </w:rPr>
        <w:t xml:space="preserve"> </w:t>
      </w:r>
      <w:r w:rsidRPr="00B77836">
        <w:rPr>
          <w:rFonts w:ascii="Arial" w:eastAsiaTheme="minorHAnsi" w:hAnsi="Arial" w:cs="Arial"/>
          <w:i/>
          <w:iCs/>
          <w:color w:val="000000"/>
          <w:sz w:val="18"/>
          <w:szCs w:val="18"/>
          <w:lang w:eastAsia="en-US"/>
        </w:rPr>
        <w:t>STT Sales (Pty) Ltd v Fourie</w:t>
      </w:r>
      <w:r w:rsidRPr="00B77836">
        <w:rPr>
          <w:rFonts w:ascii="Arial" w:eastAsiaTheme="minorHAnsi" w:hAnsi="Arial" w:cs="Arial"/>
          <w:color w:val="000000"/>
          <w:sz w:val="18"/>
          <w:szCs w:val="18"/>
          <w:lang w:eastAsia="en-US"/>
        </w:rPr>
        <w:t> </w:t>
      </w:r>
      <w:hyperlink r:id="rId1" w:tgtFrame="main" w:history="1">
        <w:r w:rsidRPr="00B77836">
          <w:rPr>
            <w:rFonts w:ascii="Arial" w:eastAsiaTheme="minorHAnsi" w:hAnsi="Arial" w:cs="Arial"/>
            <w:sz w:val="18"/>
            <w:szCs w:val="18"/>
            <w:lang w:eastAsia="en-US"/>
          </w:rPr>
          <w:t>2010 (6) SA 272 (GSJ)</w:t>
        </w:r>
      </w:hyperlink>
      <w:r w:rsidRPr="00B77836">
        <w:rPr>
          <w:rFonts w:ascii="Arial" w:eastAsiaTheme="minorHAnsi" w:hAnsi="Arial" w:cs="Arial"/>
          <w:sz w:val="18"/>
          <w:szCs w:val="18"/>
          <w:lang w:eastAsia="en-US"/>
        </w:rPr>
        <w:t> </w:t>
      </w:r>
      <w:r w:rsidRPr="00B77836">
        <w:rPr>
          <w:rFonts w:ascii="Arial" w:eastAsiaTheme="minorHAnsi" w:hAnsi="Arial" w:cs="Arial"/>
          <w:color w:val="000000"/>
          <w:sz w:val="18"/>
          <w:szCs w:val="18"/>
          <w:lang w:eastAsia="en-US"/>
        </w:rPr>
        <w:t>at 276C–D.</w:t>
      </w:r>
    </w:p>
  </w:footnote>
  <w:footnote w:id="3">
    <w:p w14:paraId="71747CD1" w14:textId="77777777" w:rsidR="004416DF" w:rsidRPr="009E13CE" w:rsidRDefault="004416DF" w:rsidP="000029DA">
      <w:pPr>
        <w:pStyle w:val="FootnoteText"/>
        <w:spacing w:after="0"/>
        <w:rPr>
          <w:lang w:val="en-US"/>
        </w:rPr>
      </w:pPr>
      <w:r w:rsidRPr="00B77836">
        <w:rPr>
          <w:rStyle w:val="FootnoteReference"/>
          <w:rFonts w:ascii="Arial" w:hAnsi="Arial" w:cs="Arial"/>
          <w:sz w:val="18"/>
          <w:szCs w:val="18"/>
        </w:rPr>
        <w:footnoteRef/>
      </w:r>
      <w:r w:rsidRPr="00B77836">
        <w:rPr>
          <w:rFonts w:ascii="Arial" w:hAnsi="Arial" w:cs="Arial"/>
          <w:sz w:val="18"/>
          <w:szCs w:val="18"/>
        </w:rPr>
        <w:t xml:space="preserve"> </w:t>
      </w:r>
      <w:r w:rsidRPr="00B77836">
        <w:rPr>
          <w:rFonts w:ascii="Arial" w:hAnsi="Arial" w:cs="Arial"/>
          <w:i/>
          <w:iCs/>
          <w:color w:val="000000"/>
          <w:sz w:val="18"/>
          <w:szCs w:val="18"/>
        </w:rPr>
        <w:t>Baard v Allem</w:t>
      </w:r>
      <w:r w:rsidRPr="00B77836">
        <w:rPr>
          <w:rFonts w:ascii="Arial" w:hAnsi="Arial" w:cs="Arial"/>
          <w:color w:val="000000"/>
          <w:sz w:val="18"/>
          <w:szCs w:val="18"/>
        </w:rPr>
        <w:t> (unreported, GJ case no A5005/2021 dated 14 October 2021 — a decision of the full court) at paragraph [17] and the cases there referred to.</w:t>
      </w:r>
    </w:p>
  </w:footnote>
  <w:footnote w:id="4">
    <w:p w14:paraId="1CE55C08" w14:textId="77777777" w:rsidR="004416DF" w:rsidRPr="00E96524" w:rsidRDefault="004416DF" w:rsidP="00E96524">
      <w:pPr>
        <w:pStyle w:val="FootnoteText"/>
        <w:spacing w:after="0" w:line="360" w:lineRule="auto"/>
        <w:jc w:val="both"/>
        <w:rPr>
          <w:rFonts w:ascii="Arial" w:hAnsi="Arial" w:cs="Arial"/>
          <w:i/>
          <w:iCs/>
          <w:sz w:val="18"/>
          <w:szCs w:val="18"/>
          <w:lang w:val="en-US"/>
        </w:rPr>
      </w:pPr>
      <w:r w:rsidRPr="00E96524">
        <w:rPr>
          <w:rStyle w:val="FootnoteReference"/>
          <w:rFonts w:ascii="Arial" w:hAnsi="Arial" w:cs="Arial"/>
          <w:sz w:val="18"/>
          <w:szCs w:val="18"/>
        </w:rPr>
        <w:footnoteRef/>
      </w:r>
      <w:r w:rsidRPr="00E96524">
        <w:rPr>
          <w:rFonts w:ascii="Arial" w:hAnsi="Arial" w:cs="Arial"/>
          <w:sz w:val="18"/>
          <w:szCs w:val="18"/>
        </w:rPr>
        <w:t xml:space="preserve"> </w:t>
      </w:r>
      <w:r w:rsidRPr="00E96524">
        <w:rPr>
          <w:rFonts w:ascii="Arial" w:hAnsi="Arial" w:cs="Arial"/>
          <w:i/>
          <w:iCs/>
          <w:sz w:val="18"/>
          <w:szCs w:val="18"/>
        </w:rPr>
        <w:t xml:space="preserve">Helen Suzman </w:t>
      </w:r>
      <w:r w:rsidR="00273753" w:rsidRPr="00E96524">
        <w:rPr>
          <w:rFonts w:ascii="Arial" w:hAnsi="Arial" w:cs="Arial"/>
          <w:i/>
          <w:iCs/>
          <w:sz w:val="18"/>
          <w:szCs w:val="18"/>
        </w:rPr>
        <w:t>Foundation</w:t>
      </w:r>
      <w:r w:rsidRPr="00E96524">
        <w:rPr>
          <w:rFonts w:ascii="Arial" w:hAnsi="Arial" w:cs="Arial"/>
          <w:i/>
          <w:iCs/>
          <w:sz w:val="18"/>
          <w:szCs w:val="18"/>
        </w:rPr>
        <w:t xml:space="preserve"> v Judicial Service Commission 2018 (4) SA 1 (CC) at para 26.</w:t>
      </w:r>
    </w:p>
  </w:footnote>
  <w:footnote w:id="5">
    <w:p w14:paraId="26086D5C" w14:textId="77777777" w:rsidR="004416DF" w:rsidRPr="00E96524" w:rsidRDefault="004416DF" w:rsidP="00E96524">
      <w:pPr>
        <w:pStyle w:val="FootnoteText"/>
        <w:spacing w:after="0" w:line="360" w:lineRule="auto"/>
        <w:jc w:val="both"/>
        <w:rPr>
          <w:rFonts w:ascii="Arial" w:hAnsi="Arial" w:cs="Arial"/>
          <w:sz w:val="18"/>
          <w:szCs w:val="18"/>
          <w:lang w:val="en-ZA"/>
        </w:rPr>
      </w:pPr>
      <w:r w:rsidRPr="00E96524">
        <w:rPr>
          <w:rStyle w:val="FootnoteReference"/>
          <w:rFonts w:ascii="Arial" w:hAnsi="Arial" w:cs="Arial"/>
          <w:sz w:val="18"/>
          <w:szCs w:val="18"/>
        </w:rPr>
        <w:footnoteRef/>
      </w:r>
      <w:r w:rsidRPr="00E96524">
        <w:rPr>
          <w:rFonts w:ascii="Arial" w:hAnsi="Arial" w:cs="Arial"/>
          <w:sz w:val="18"/>
          <w:szCs w:val="18"/>
        </w:rPr>
        <w:t xml:space="preserve"> Swissborough Diamond Mines Pt Ltd and Others v Government of the Republic of South Africa and Others, 1999 (2) SA 279 (TPD) at 316E-H </w:t>
      </w:r>
    </w:p>
  </w:footnote>
  <w:footnote w:id="6">
    <w:p w14:paraId="2C581CB8" w14:textId="77777777" w:rsidR="00EE506F" w:rsidRPr="00EE506F" w:rsidRDefault="00EE506F">
      <w:pPr>
        <w:pStyle w:val="FootnoteText"/>
        <w:rPr>
          <w:lang w:val="en-US"/>
        </w:rPr>
      </w:pPr>
      <w:r>
        <w:rPr>
          <w:rStyle w:val="FootnoteReference"/>
        </w:rPr>
        <w:footnoteRef/>
      </w:r>
      <w:r>
        <w:t xml:space="preserve"> Id at 316 --</w:t>
      </w:r>
    </w:p>
  </w:footnote>
  <w:footnote w:id="7">
    <w:p w14:paraId="4B527E75" w14:textId="77777777" w:rsidR="004416DF" w:rsidRPr="000F5E78" w:rsidRDefault="004416DF" w:rsidP="00E96524">
      <w:pPr>
        <w:pStyle w:val="FootnoteText"/>
        <w:spacing w:after="0" w:line="360" w:lineRule="auto"/>
        <w:jc w:val="both"/>
        <w:rPr>
          <w:rFonts w:ascii="Arial" w:hAnsi="Arial" w:cs="Arial"/>
          <w:sz w:val="18"/>
          <w:szCs w:val="18"/>
          <w:lang w:val="en-US"/>
        </w:rPr>
      </w:pPr>
      <w:r w:rsidRPr="00E96524">
        <w:rPr>
          <w:rStyle w:val="FootnoteReference"/>
          <w:rFonts w:ascii="Arial" w:hAnsi="Arial" w:cs="Arial"/>
          <w:sz w:val="18"/>
          <w:szCs w:val="18"/>
        </w:rPr>
        <w:footnoteRef/>
      </w:r>
      <w:r>
        <w:rPr>
          <w:rFonts w:ascii="Arial" w:hAnsi="Arial" w:cs="Arial"/>
          <w:sz w:val="18"/>
          <w:szCs w:val="18"/>
        </w:rPr>
        <w:t xml:space="preserve"> </w:t>
      </w:r>
      <w:r w:rsidRPr="000F5E78">
        <w:rPr>
          <w:rFonts w:ascii="Arial" w:eastAsiaTheme="minorHAnsi" w:hAnsi="Arial" w:cs="Arial"/>
          <w:i/>
          <w:iCs/>
          <w:color w:val="000000"/>
          <w:sz w:val="18"/>
          <w:szCs w:val="18"/>
          <w:lang w:eastAsia="en-US"/>
        </w:rPr>
        <w:t>Samuels v William Dunn &amp; Company South Africa (Pty) Ltd</w:t>
      </w:r>
      <w:r w:rsidRPr="000F5E78">
        <w:rPr>
          <w:rFonts w:ascii="Arial" w:eastAsiaTheme="minorHAnsi" w:hAnsi="Arial" w:cs="Arial"/>
          <w:color w:val="000000"/>
          <w:sz w:val="18"/>
          <w:szCs w:val="18"/>
          <w:lang w:eastAsia="en-US"/>
        </w:rPr>
        <w:t> </w:t>
      </w:r>
      <w:hyperlink r:id="rId2" w:tgtFrame="main" w:history="1">
        <w:r w:rsidRPr="000F5E78">
          <w:rPr>
            <w:rFonts w:ascii="Arial" w:eastAsiaTheme="minorHAnsi" w:hAnsi="Arial" w:cs="Arial"/>
            <w:sz w:val="18"/>
            <w:szCs w:val="18"/>
            <w:lang w:eastAsia="en-US"/>
          </w:rPr>
          <w:t>1949 (1) SA 1149 (T)</w:t>
        </w:r>
      </w:hyperlink>
      <w:r w:rsidRPr="000F5E78">
        <w:rPr>
          <w:rFonts w:ascii="Arial" w:eastAsiaTheme="minorHAnsi" w:hAnsi="Arial" w:cs="Arial"/>
          <w:sz w:val="18"/>
          <w:szCs w:val="18"/>
          <w:lang w:eastAsia="en-US"/>
        </w:rPr>
        <w:t> </w:t>
      </w:r>
      <w:r w:rsidRPr="000F5E78">
        <w:rPr>
          <w:rFonts w:ascii="Arial" w:eastAsiaTheme="minorHAnsi" w:hAnsi="Arial" w:cs="Arial"/>
          <w:color w:val="000000"/>
          <w:sz w:val="18"/>
          <w:szCs w:val="18"/>
          <w:lang w:eastAsia="en-US"/>
        </w:rPr>
        <w:t>at 1158; </w:t>
      </w:r>
      <w:r w:rsidRPr="000F5E78">
        <w:rPr>
          <w:rFonts w:ascii="Arial" w:eastAsiaTheme="minorHAnsi" w:hAnsi="Arial" w:cs="Arial"/>
          <w:i/>
          <w:iCs/>
          <w:color w:val="000000"/>
          <w:sz w:val="18"/>
          <w:szCs w:val="18"/>
          <w:lang w:eastAsia="en-US"/>
        </w:rPr>
        <w:t>Thompson v Barclays Bank DCO</w:t>
      </w:r>
      <w:r w:rsidRPr="000F5E78">
        <w:rPr>
          <w:rFonts w:ascii="Arial" w:eastAsiaTheme="minorHAnsi" w:hAnsi="Arial" w:cs="Arial"/>
          <w:color w:val="000000"/>
          <w:sz w:val="18"/>
          <w:szCs w:val="18"/>
          <w:lang w:eastAsia="en-US"/>
        </w:rPr>
        <w:t> </w:t>
      </w:r>
      <w:hyperlink r:id="rId3" w:tgtFrame="main" w:history="1">
        <w:r w:rsidRPr="000F5E78">
          <w:rPr>
            <w:rFonts w:ascii="Arial" w:eastAsiaTheme="minorHAnsi" w:hAnsi="Arial" w:cs="Arial"/>
            <w:sz w:val="18"/>
            <w:szCs w:val="18"/>
            <w:lang w:eastAsia="en-US"/>
          </w:rPr>
          <w:t>1965 (1) SA 365 (W)</w:t>
        </w:r>
      </w:hyperlink>
      <w:r w:rsidRPr="000F5E78">
        <w:rPr>
          <w:rFonts w:ascii="Arial" w:eastAsiaTheme="minorHAnsi" w:hAnsi="Arial" w:cs="Arial"/>
          <w:color w:val="000000"/>
          <w:sz w:val="18"/>
          <w:szCs w:val="18"/>
          <w:lang w:eastAsia="en-US"/>
        </w:rPr>
        <w:t> at 369;</w:t>
      </w:r>
    </w:p>
  </w:footnote>
  <w:footnote w:id="8">
    <w:p w14:paraId="36CA3083" w14:textId="77777777" w:rsidR="004416DF" w:rsidRPr="000F5E78" w:rsidRDefault="004416DF" w:rsidP="00AD5D13">
      <w:pPr>
        <w:pStyle w:val="FootnoteText"/>
        <w:spacing w:after="0"/>
        <w:rPr>
          <w:rFonts w:ascii="Arial" w:hAnsi="Arial" w:cs="Arial"/>
          <w:sz w:val="18"/>
          <w:szCs w:val="18"/>
          <w:lang w:val="en-US"/>
        </w:rPr>
      </w:pPr>
      <w:r w:rsidRPr="000F5E78">
        <w:rPr>
          <w:rStyle w:val="FootnoteReference"/>
          <w:rFonts w:ascii="Arial" w:hAnsi="Arial" w:cs="Arial"/>
          <w:sz w:val="18"/>
          <w:szCs w:val="18"/>
        </w:rPr>
        <w:footnoteRef/>
      </w:r>
      <w:r w:rsidR="00AD5D13">
        <w:rPr>
          <w:rFonts w:ascii="Arial" w:hAnsi="Arial" w:cs="Arial"/>
          <w:sz w:val="18"/>
          <w:szCs w:val="18"/>
        </w:rPr>
        <w:t xml:space="preserve"> </w:t>
      </w:r>
      <w:r w:rsidRPr="000F5E78">
        <w:rPr>
          <w:rFonts w:ascii="Arial" w:eastAsiaTheme="minorHAnsi" w:hAnsi="Arial" w:cs="Arial"/>
          <w:i/>
          <w:iCs/>
          <w:color w:val="000000"/>
          <w:sz w:val="18"/>
          <w:szCs w:val="18"/>
          <w:lang w:eastAsia="en-US"/>
        </w:rPr>
        <w:t>Von Gordon v Von Gordon</w:t>
      </w:r>
      <w:r w:rsidRPr="000F5E78">
        <w:rPr>
          <w:rFonts w:ascii="Arial" w:eastAsiaTheme="minorHAnsi" w:hAnsi="Arial" w:cs="Arial"/>
          <w:color w:val="000000"/>
          <w:sz w:val="18"/>
          <w:szCs w:val="18"/>
          <w:lang w:eastAsia="en-US"/>
        </w:rPr>
        <w:t> </w:t>
      </w:r>
      <w:hyperlink r:id="rId4" w:tgtFrame="main" w:history="1">
        <w:r w:rsidRPr="00E021C7">
          <w:rPr>
            <w:rFonts w:ascii="Arial" w:eastAsiaTheme="minorHAnsi" w:hAnsi="Arial" w:cs="Arial"/>
            <w:sz w:val="18"/>
            <w:szCs w:val="18"/>
            <w:lang w:eastAsia="en-US"/>
          </w:rPr>
          <w:t>1961 (4) SA 211 (T)</w:t>
        </w:r>
      </w:hyperlink>
      <w:r w:rsidRPr="000F5E78">
        <w:rPr>
          <w:rFonts w:ascii="Arial" w:eastAsiaTheme="minorHAnsi" w:hAnsi="Arial" w:cs="Arial"/>
          <w:color w:val="000000"/>
          <w:sz w:val="18"/>
          <w:szCs w:val="18"/>
          <w:lang w:eastAsia="en-US"/>
        </w:rPr>
        <w:t> at 213.</w:t>
      </w:r>
    </w:p>
  </w:footnote>
  <w:footnote w:id="9">
    <w:p w14:paraId="05B3DB8C" w14:textId="77777777" w:rsidR="004416DF" w:rsidRPr="00586D0F" w:rsidRDefault="004416DF" w:rsidP="00AD5D13">
      <w:pPr>
        <w:pStyle w:val="FootnoteText"/>
        <w:spacing w:after="0"/>
        <w:rPr>
          <w:lang w:val="en-US"/>
        </w:rPr>
      </w:pPr>
      <w:r w:rsidRPr="000F5E78">
        <w:rPr>
          <w:rStyle w:val="FootnoteReference"/>
          <w:rFonts w:ascii="Arial" w:hAnsi="Arial" w:cs="Arial"/>
          <w:sz w:val="18"/>
          <w:szCs w:val="18"/>
        </w:rPr>
        <w:footnoteRef/>
      </w:r>
      <w:r w:rsidRPr="000F5E78">
        <w:rPr>
          <w:rFonts w:ascii="Arial" w:hAnsi="Arial" w:cs="Arial"/>
          <w:sz w:val="18"/>
          <w:szCs w:val="18"/>
        </w:rPr>
        <w:t xml:space="preserve"> </w:t>
      </w:r>
      <w:r w:rsidRPr="000F5E78">
        <w:rPr>
          <w:rFonts w:ascii="Arial" w:eastAsiaTheme="minorHAnsi" w:hAnsi="Arial" w:cs="Arial"/>
          <w:i/>
          <w:iCs/>
          <w:color w:val="000000"/>
          <w:sz w:val="18"/>
          <w:szCs w:val="18"/>
          <w:lang w:eastAsia="en-US"/>
        </w:rPr>
        <w:t>Living Hands (Pty) Ltd v Ditz</w:t>
      </w:r>
      <w:r w:rsidRPr="000F5E78">
        <w:rPr>
          <w:rFonts w:ascii="Arial" w:eastAsiaTheme="minorHAnsi" w:hAnsi="Arial" w:cs="Arial"/>
          <w:sz w:val="18"/>
          <w:szCs w:val="18"/>
          <w:lang w:eastAsia="en-US"/>
        </w:rPr>
        <w:t> </w:t>
      </w:r>
      <w:hyperlink r:id="rId5" w:tgtFrame="main" w:history="1">
        <w:r w:rsidRPr="000F5E78">
          <w:rPr>
            <w:rFonts w:ascii="Arial" w:eastAsiaTheme="minorHAnsi" w:hAnsi="Arial" w:cs="Arial"/>
            <w:sz w:val="18"/>
            <w:szCs w:val="18"/>
            <w:lang w:eastAsia="en-US"/>
          </w:rPr>
          <w:t>2013 (2) SA 368 (GSJ)</w:t>
        </w:r>
      </w:hyperlink>
      <w:r w:rsidRPr="000F5E78">
        <w:rPr>
          <w:rFonts w:ascii="Arial" w:eastAsiaTheme="minorHAnsi" w:hAnsi="Arial" w:cs="Arial"/>
          <w:color w:val="000000"/>
          <w:sz w:val="18"/>
          <w:szCs w:val="18"/>
          <w:lang w:eastAsia="en-US"/>
        </w:rPr>
        <w:t> at 394D–E.</w:t>
      </w:r>
    </w:p>
  </w:footnote>
  <w:footnote w:id="10">
    <w:p w14:paraId="5FFA480C" w14:textId="77777777" w:rsidR="00BD32B5" w:rsidRPr="00ED3B0E" w:rsidRDefault="00BD32B5" w:rsidP="00BD32B5">
      <w:pPr>
        <w:pStyle w:val="FootnoteText"/>
        <w:rPr>
          <w:lang w:val="en-ZA"/>
        </w:rPr>
      </w:pPr>
      <w:r>
        <w:rPr>
          <w:rStyle w:val="FootnoteReference"/>
        </w:rPr>
        <w:footnoteRef/>
      </w:r>
      <w:r>
        <w:t xml:space="preserve"> </w:t>
      </w:r>
      <w:r w:rsidR="00786888" w:rsidRPr="00ED3B0E">
        <w:rPr>
          <w:lang w:val="en-ZA"/>
        </w:rPr>
        <w:t>S</w:t>
      </w:r>
      <w:r w:rsidRPr="00ED3B0E">
        <w:rPr>
          <w:lang w:val="en-ZA"/>
        </w:rPr>
        <w:t>ection</w:t>
      </w:r>
      <w:r w:rsidR="00786888">
        <w:rPr>
          <w:lang w:val="en-ZA"/>
        </w:rPr>
        <w:t xml:space="preserve"> 1</w:t>
      </w:r>
      <w:r w:rsidRPr="00ED3B0E">
        <w:rPr>
          <w:lang w:val="en-ZA"/>
        </w:rPr>
        <w:t>; ‘second-hand goods’ (ii) (bb) or (cc)) of the VAT Act.</w:t>
      </w:r>
    </w:p>
    <w:p w14:paraId="1FAAEB6C" w14:textId="77777777" w:rsidR="00BD32B5" w:rsidRPr="00ED3B0E" w:rsidRDefault="00BD32B5" w:rsidP="00BD32B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B2C"/>
    <w:multiLevelType w:val="hybridMultilevel"/>
    <w:tmpl w:val="8244DE0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D4A23"/>
    <w:multiLevelType w:val="hybridMultilevel"/>
    <w:tmpl w:val="A5D45DEC"/>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2959AD"/>
    <w:multiLevelType w:val="hybridMultilevel"/>
    <w:tmpl w:val="1DC4457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DC2C2A"/>
    <w:multiLevelType w:val="hybridMultilevel"/>
    <w:tmpl w:val="E990CE9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46106A4"/>
    <w:multiLevelType w:val="hybridMultilevel"/>
    <w:tmpl w:val="E0F84EF4"/>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D146D9"/>
    <w:multiLevelType w:val="hybridMultilevel"/>
    <w:tmpl w:val="D22EBD66"/>
    <w:lvl w:ilvl="0" w:tplc="AEB86FB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D414D1"/>
    <w:multiLevelType w:val="hybridMultilevel"/>
    <w:tmpl w:val="4B78C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9E7F6D"/>
    <w:multiLevelType w:val="hybridMultilevel"/>
    <w:tmpl w:val="9F2AAC6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BF41F0"/>
    <w:multiLevelType w:val="multilevel"/>
    <w:tmpl w:val="A1BAF9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E4E4C"/>
    <w:multiLevelType w:val="hybridMultilevel"/>
    <w:tmpl w:val="AC027084"/>
    <w:lvl w:ilvl="0" w:tplc="026E8D04">
      <w:start w:val="1"/>
      <w:numFmt w:val="decimal"/>
      <w:lvlText w:val="[%1]"/>
      <w:lvlJc w:val="left"/>
      <w:pPr>
        <w:ind w:left="720" w:hanging="360"/>
      </w:pPr>
      <w:rPr>
        <w:rFonts w:hint="default"/>
      </w:rPr>
    </w:lvl>
    <w:lvl w:ilvl="1" w:tplc="EC4827FA">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15:restartNumberingAfterBreak="0">
    <w:nsid w:val="1F6C3B60"/>
    <w:multiLevelType w:val="hybridMultilevel"/>
    <w:tmpl w:val="0018071E"/>
    <w:lvl w:ilvl="0" w:tplc="AEB86FB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515235"/>
    <w:multiLevelType w:val="hybridMultilevel"/>
    <w:tmpl w:val="E4960DAC"/>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A51366"/>
    <w:multiLevelType w:val="hybridMultilevel"/>
    <w:tmpl w:val="E31AE7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31535D"/>
    <w:multiLevelType w:val="hybridMultilevel"/>
    <w:tmpl w:val="BABEC34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9300D4"/>
    <w:multiLevelType w:val="hybridMultilevel"/>
    <w:tmpl w:val="DBDACEF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194DA5"/>
    <w:multiLevelType w:val="hybridMultilevel"/>
    <w:tmpl w:val="FD9869A4"/>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3D4F68"/>
    <w:multiLevelType w:val="hybridMultilevel"/>
    <w:tmpl w:val="075A8BF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5BC35D8"/>
    <w:multiLevelType w:val="hybridMultilevel"/>
    <w:tmpl w:val="328C763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E5809"/>
    <w:multiLevelType w:val="hybridMultilevel"/>
    <w:tmpl w:val="CE0675AA"/>
    <w:lvl w:ilvl="0" w:tplc="1C090013">
      <w:start w:val="1"/>
      <w:numFmt w:val="upperRoman"/>
      <w:lvlText w:val="%1."/>
      <w:lvlJc w:val="righ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1D82E0F"/>
    <w:multiLevelType w:val="hybridMultilevel"/>
    <w:tmpl w:val="5E600136"/>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AD6CE3"/>
    <w:multiLevelType w:val="hybridMultilevel"/>
    <w:tmpl w:val="30AC832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1A6BA3"/>
    <w:multiLevelType w:val="hybridMultilevel"/>
    <w:tmpl w:val="1D20C2C0"/>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46177B"/>
    <w:multiLevelType w:val="hybridMultilevel"/>
    <w:tmpl w:val="A112DF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D44854"/>
    <w:multiLevelType w:val="hybridMultilevel"/>
    <w:tmpl w:val="24A68060"/>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1A32064"/>
    <w:multiLevelType w:val="hybridMultilevel"/>
    <w:tmpl w:val="9D8C829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362E14"/>
    <w:multiLevelType w:val="hybridMultilevel"/>
    <w:tmpl w:val="8F02C7B6"/>
    <w:lvl w:ilvl="0" w:tplc="026E8D04">
      <w:start w:val="1"/>
      <w:numFmt w:val="decimal"/>
      <w:lvlText w:val="[%1]"/>
      <w:lvlJc w:val="left"/>
      <w:pPr>
        <w:ind w:left="720" w:hanging="360"/>
      </w:pPr>
      <w:rPr>
        <w:rFonts w:hint="default"/>
      </w:rPr>
    </w:lvl>
    <w:lvl w:ilvl="1" w:tplc="EA123AC8">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1B6F35"/>
    <w:multiLevelType w:val="hybridMultilevel"/>
    <w:tmpl w:val="05B0885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43386A"/>
    <w:multiLevelType w:val="hybridMultilevel"/>
    <w:tmpl w:val="B22821FA"/>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7E4691"/>
    <w:multiLevelType w:val="hybridMultilevel"/>
    <w:tmpl w:val="02F82976"/>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164C66"/>
    <w:multiLevelType w:val="hybridMultilevel"/>
    <w:tmpl w:val="74FA2E00"/>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D7629CE"/>
    <w:multiLevelType w:val="hybridMultilevel"/>
    <w:tmpl w:val="FE20D028"/>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2A91797"/>
    <w:multiLevelType w:val="hybridMultilevel"/>
    <w:tmpl w:val="096E3920"/>
    <w:lvl w:ilvl="0" w:tplc="026E8D0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3E182B"/>
    <w:multiLevelType w:val="hybridMultilevel"/>
    <w:tmpl w:val="AC56FC16"/>
    <w:lvl w:ilvl="0" w:tplc="026E8D0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70A0C0C"/>
    <w:multiLevelType w:val="hybridMultilevel"/>
    <w:tmpl w:val="188AE194"/>
    <w:lvl w:ilvl="0" w:tplc="026E8D0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BFF2A8A"/>
    <w:multiLevelType w:val="hybridMultilevel"/>
    <w:tmpl w:val="618A464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6"/>
  </w:num>
  <w:num w:numId="3">
    <w:abstractNumId w:val="12"/>
  </w:num>
  <w:num w:numId="4">
    <w:abstractNumId w:val="4"/>
  </w:num>
  <w:num w:numId="5">
    <w:abstractNumId w:val="0"/>
  </w:num>
  <w:num w:numId="6">
    <w:abstractNumId w:val="21"/>
  </w:num>
  <w:num w:numId="7">
    <w:abstractNumId w:val="10"/>
  </w:num>
  <w:num w:numId="8">
    <w:abstractNumId w:val="2"/>
  </w:num>
  <w:num w:numId="9">
    <w:abstractNumId w:val="35"/>
  </w:num>
  <w:num w:numId="10">
    <w:abstractNumId w:val="11"/>
  </w:num>
  <w:num w:numId="11">
    <w:abstractNumId w:val="27"/>
  </w:num>
  <w:num w:numId="12">
    <w:abstractNumId w:val="20"/>
  </w:num>
  <w:num w:numId="13">
    <w:abstractNumId w:val="16"/>
  </w:num>
  <w:num w:numId="14">
    <w:abstractNumId w:val="24"/>
  </w:num>
  <w:num w:numId="15">
    <w:abstractNumId w:val="36"/>
  </w:num>
  <w:num w:numId="16">
    <w:abstractNumId w:val="13"/>
  </w:num>
  <w:num w:numId="17">
    <w:abstractNumId w:val="17"/>
  </w:num>
  <w:num w:numId="18">
    <w:abstractNumId w:val="28"/>
  </w:num>
  <w:num w:numId="19">
    <w:abstractNumId w:val="18"/>
  </w:num>
  <w:num w:numId="20">
    <w:abstractNumId w:val="25"/>
  </w:num>
  <w:num w:numId="21">
    <w:abstractNumId w:val="3"/>
  </w:num>
  <w:num w:numId="22">
    <w:abstractNumId w:val="3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23"/>
  </w:num>
  <w:num w:numId="27">
    <w:abstractNumId w:val="34"/>
  </w:num>
  <w:num w:numId="28">
    <w:abstractNumId w:val="31"/>
  </w:num>
  <w:num w:numId="29">
    <w:abstractNumId w:val="1"/>
  </w:num>
  <w:num w:numId="30">
    <w:abstractNumId w:val="19"/>
  </w:num>
  <w:num w:numId="31">
    <w:abstractNumId w:val="8"/>
  </w:num>
  <w:num w:numId="32">
    <w:abstractNumId w:val="22"/>
  </w:num>
  <w:num w:numId="33">
    <w:abstractNumId w:val="29"/>
  </w:num>
  <w:num w:numId="34">
    <w:abstractNumId w:val="26"/>
  </w:num>
  <w:num w:numId="35">
    <w:abstractNumId w:val="32"/>
  </w:num>
  <w:num w:numId="36">
    <w:abstractNumId w:val="5"/>
  </w:num>
  <w:num w:numId="37">
    <w:abstractNumId w:val="3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0NrMwNDU2tDQzsDRV0lEKTi0uzszPAykwrAUA7gyLmSwAAAA="/>
  </w:docVars>
  <w:rsids>
    <w:rsidRoot w:val="00BE4790"/>
    <w:rsid w:val="00000E8D"/>
    <w:rsid w:val="000029DA"/>
    <w:rsid w:val="000124D5"/>
    <w:rsid w:val="000168AC"/>
    <w:rsid w:val="000247F8"/>
    <w:rsid w:val="00025A67"/>
    <w:rsid w:val="0002740E"/>
    <w:rsid w:val="00027497"/>
    <w:rsid w:val="00033817"/>
    <w:rsid w:val="00035D21"/>
    <w:rsid w:val="00036B36"/>
    <w:rsid w:val="00037699"/>
    <w:rsid w:val="00041E55"/>
    <w:rsid w:val="00044398"/>
    <w:rsid w:val="00051696"/>
    <w:rsid w:val="0005397B"/>
    <w:rsid w:val="00055DBF"/>
    <w:rsid w:val="00055E9A"/>
    <w:rsid w:val="000574F1"/>
    <w:rsid w:val="00057920"/>
    <w:rsid w:val="00062BB3"/>
    <w:rsid w:val="000645A8"/>
    <w:rsid w:val="00064F14"/>
    <w:rsid w:val="000655AD"/>
    <w:rsid w:val="000700BE"/>
    <w:rsid w:val="00071D2C"/>
    <w:rsid w:val="00073E01"/>
    <w:rsid w:val="00075924"/>
    <w:rsid w:val="000822B1"/>
    <w:rsid w:val="00083B46"/>
    <w:rsid w:val="00084DF2"/>
    <w:rsid w:val="000858F7"/>
    <w:rsid w:val="000867FE"/>
    <w:rsid w:val="000902C4"/>
    <w:rsid w:val="00091037"/>
    <w:rsid w:val="000957A4"/>
    <w:rsid w:val="000A20F4"/>
    <w:rsid w:val="000A36E4"/>
    <w:rsid w:val="000A4B2D"/>
    <w:rsid w:val="000A5E1B"/>
    <w:rsid w:val="000A5E50"/>
    <w:rsid w:val="000A7235"/>
    <w:rsid w:val="000B1963"/>
    <w:rsid w:val="000B222B"/>
    <w:rsid w:val="000B5547"/>
    <w:rsid w:val="000C044D"/>
    <w:rsid w:val="000C0CE1"/>
    <w:rsid w:val="000C2124"/>
    <w:rsid w:val="000C555B"/>
    <w:rsid w:val="000C67B7"/>
    <w:rsid w:val="000C6F8E"/>
    <w:rsid w:val="000C78E5"/>
    <w:rsid w:val="000D1E33"/>
    <w:rsid w:val="000D1E76"/>
    <w:rsid w:val="000D2B22"/>
    <w:rsid w:val="000D4B95"/>
    <w:rsid w:val="000E0CD2"/>
    <w:rsid w:val="000E12C2"/>
    <w:rsid w:val="000E351B"/>
    <w:rsid w:val="000E5DD6"/>
    <w:rsid w:val="000E5DF7"/>
    <w:rsid w:val="000F540F"/>
    <w:rsid w:val="000F5E78"/>
    <w:rsid w:val="00103972"/>
    <w:rsid w:val="0010519C"/>
    <w:rsid w:val="00106CBD"/>
    <w:rsid w:val="001073E7"/>
    <w:rsid w:val="00107F91"/>
    <w:rsid w:val="001106E9"/>
    <w:rsid w:val="00111C62"/>
    <w:rsid w:val="00111FA0"/>
    <w:rsid w:val="00113C65"/>
    <w:rsid w:val="00114FA2"/>
    <w:rsid w:val="00117D82"/>
    <w:rsid w:val="00124777"/>
    <w:rsid w:val="0012764D"/>
    <w:rsid w:val="00130E0A"/>
    <w:rsid w:val="00140A9D"/>
    <w:rsid w:val="0014690B"/>
    <w:rsid w:val="00147C74"/>
    <w:rsid w:val="0015118C"/>
    <w:rsid w:val="00154FF3"/>
    <w:rsid w:val="00156383"/>
    <w:rsid w:val="00156D2A"/>
    <w:rsid w:val="001606BF"/>
    <w:rsid w:val="001609D2"/>
    <w:rsid w:val="0016347F"/>
    <w:rsid w:val="0016625C"/>
    <w:rsid w:val="00171704"/>
    <w:rsid w:val="00173B03"/>
    <w:rsid w:val="00173FC8"/>
    <w:rsid w:val="001763BB"/>
    <w:rsid w:val="001835B1"/>
    <w:rsid w:val="00184AA9"/>
    <w:rsid w:val="001909C5"/>
    <w:rsid w:val="00190C12"/>
    <w:rsid w:val="00192B63"/>
    <w:rsid w:val="001951A7"/>
    <w:rsid w:val="00196811"/>
    <w:rsid w:val="001A0419"/>
    <w:rsid w:val="001A34C3"/>
    <w:rsid w:val="001B101E"/>
    <w:rsid w:val="001B6A08"/>
    <w:rsid w:val="001C034A"/>
    <w:rsid w:val="001C30C7"/>
    <w:rsid w:val="001C43CC"/>
    <w:rsid w:val="001D1043"/>
    <w:rsid w:val="001D30AE"/>
    <w:rsid w:val="001D51E3"/>
    <w:rsid w:val="001E1E87"/>
    <w:rsid w:val="001E6699"/>
    <w:rsid w:val="001F05B4"/>
    <w:rsid w:val="001F064A"/>
    <w:rsid w:val="001F179F"/>
    <w:rsid w:val="001F6AE1"/>
    <w:rsid w:val="00201205"/>
    <w:rsid w:val="00202F86"/>
    <w:rsid w:val="00203B52"/>
    <w:rsid w:val="00203F18"/>
    <w:rsid w:val="002107C0"/>
    <w:rsid w:val="00210BD0"/>
    <w:rsid w:val="00213009"/>
    <w:rsid w:val="0021631A"/>
    <w:rsid w:val="0022439B"/>
    <w:rsid w:val="00226770"/>
    <w:rsid w:val="00233D96"/>
    <w:rsid w:val="00234D0C"/>
    <w:rsid w:val="002360CF"/>
    <w:rsid w:val="002377FA"/>
    <w:rsid w:val="00240148"/>
    <w:rsid w:val="00245350"/>
    <w:rsid w:val="00245BE1"/>
    <w:rsid w:val="0024795A"/>
    <w:rsid w:val="00252303"/>
    <w:rsid w:val="002523D8"/>
    <w:rsid w:val="00253619"/>
    <w:rsid w:val="002615C8"/>
    <w:rsid w:val="0026257D"/>
    <w:rsid w:val="0026325C"/>
    <w:rsid w:val="00267BDE"/>
    <w:rsid w:val="002709D8"/>
    <w:rsid w:val="00272A7B"/>
    <w:rsid w:val="00273753"/>
    <w:rsid w:val="00277961"/>
    <w:rsid w:val="00280159"/>
    <w:rsid w:val="00284549"/>
    <w:rsid w:val="00291423"/>
    <w:rsid w:val="00293109"/>
    <w:rsid w:val="00295F89"/>
    <w:rsid w:val="002B0907"/>
    <w:rsid w:val="002B10E1"/>
    <w:rsid w:val="002B5CBC"/>
    <w:rsid w:val="002B5ECE"/>
    <w:rsid w:val="002C44C1"/>
    <w:rsid w:val="002C5C87"/>
    <w:rsid w:val="002C65FC"/>
    <w:rsid w:val="002D3DC9"/>
    <w:rsid w:val="002E3268"/>
    <w:rsid w:val="002E4750"/>
    <w:rsid w:val="002E5F49"/>
    <w:rsid w:val="0030385C"/>
    <w:rsid w:val="00305695"/>
    <w:rsid w:val="00306945"/>
    <w:rsid w:val="0030719C"/>
    <w:rsid w:val="003127E7"/>
    <w:rsid w:val="00317593"/>
    <w:rsid w:val="00322316"/>
    <w:rsid w:val="00326ED6"/>
    <w:rsid w:val="00327903"/>
    <w:rsid w:val="00331177"/>
    <w:rsid w:val="0033294C"/>
    <w:rsid w:val="003338CB"/>
    <w:rsid w:val="00335B51"/>
    <w:rsid w:val="00336D1D"/>
    <w:rsid w:val="00337822"/>
    <w:rsid w:val="00344516"/>
    <w:rsid w:val="00347336"/>
    <w:rsid w:val="00350EA1"/>
    <w:rsid w:val="00350F08"/>
    <w:rsid w:val="00351143"/>
    <w:rsid w:val="0035171D"/>
    <w:rsid w:val="00351C07"/>
    <w:rsid w:val="003549FC"/>
    <w:rsid w:val="00355614"/>
    <w:rsid w:val="00357431"/>
    <w:rsid w:val="003615F5"/>
    <w:rsid w:val="0036276B"/>
    <w:rsid w:val="00365942"/>
    <w:rsid w:val="0036774B"/>
    <w:rsid w:val="00367A2C"/>
    <w:rsid w:val="00372F2E"/>
    <w:rsid w:val="00375178"/>
    <w:rsid w:val="003812C3"/>
    <w:rsid w:val="00381DD5"/>
    <w:rsid w:val="00381EC1"/>
    <w:rsid w:val="00382A1B"/>
    <w:rsid w:val="00382CE4"/>
    <w:rsid w:val="00386EAC"/>
    <w:rsid w:val="003968B1"/>
    <w:rsid w:val="003A4173"/>
    <w:rsid w:val="003A4CEB"/>
    <w:rsid w:val="003A5D41"/>
    <w:rsid w:val="003A76F3"/>
    <w:rsid w:val="003A7D35"/>
    <w:rsid w:val="003B15A4"/>
    <w:rsid w:val="003B454D"/>
    <w:rsid w:val="003C0B02"/>
    <w:rsid w:val="003C1E45"/>
    <w:rsid w:val="003C1F17"/>
    <w:rsid w:val="003C4874"/>
    <w:rsid w:val="003C5B39"/>
    <w:rsid w:val="003D0D41"/>
    <w:rsid w:val="003D1716"/>
    <w:rsid w:val="003D63BD"/>
    <w:rsid w:val="003E350B"/>
    <w:rsid w:val="003F059D"/>
    <w:rsid w:val="003F160D"/>
    <w:rsid w:val="004000EE"/>
    <w:rsid w:val="00400372"/>
    <w:rsid w:val="004048B2"/>
    <w:rsid w:val="004139B9"/>
    <w:rsid w:val="00415238"/>
    <w:rsid w:val="00416D71"/>
    <w:rsid w:val="00417241"/>
    <w:rsid w:val="00420639"/>
    <w:rsid w:val="00420B58"/>
    <w:rsid w:val="004223DE"/>
    <w:rsid w:val="00423014"/>
    <w:rsid w:val="00423834"/>
    <w:rsid w:val="00430482"/>
    <w:rsid w:val="00433225"/>
    <w:rsid w:val="0043590C"/>
    <w:rsid w:val="00436DE8"/>
    <w:rsid w:val="00441069"/>
    <w:rsid w:val="004416DF"/>
    <w:rsid w:val="0044394E"/>
    <w:rsid w:val="0044510A"/>
    <w:rsid w:val="004463F5"/>
    <w:rsid w:val="0044732C"/>
    <w:rsid w:val="0044733F"/>
    <w:rsid w:val="004530E9"/>
    <w:rsid w:val="004533F4"/>
    <w:rsid w:val="00453D11"/>
    <w:rsid w:val="00454057"/>
    <w:rsid w:val="0045432F"/>
    <w:rsid w:val="0046203E"/>
    <w:rsid w:val="004628BF"/>
    <w:rsid w:val="004632E5"/>
    <w:rsid w:val="00464574"/>
    <w:rsid w:val="00464F1D"/>
    <w:rsid w:val="004666B4"/>
    <w:rsid w:val="004678D5"/>
    <w:rsid w:val="004702F4"/>
    <w:rsid w:val="00470A70"/>
    <w:rsid w:val="00471726"/>
    <w:rsid w:val="004749C8"/>
    <w:rsid w:val="004757DD"/>
    <w:rsid w:val="00481FC7"/>
    <w:rsid w:val="0048268D"/>
    <w:rsid w:val="00485190"/>
    <w:rsid w:val="00485225"/>
    <w:rsid w:val="00486268"/>
    <w:rsid w:val="0049038F"/>
    <w:rsid w:val="00491436"/>
    <w:rsid w:val="00491D81"/>
    <w:rsid w:val="00493C08"/>
    <w:rsid w:val="004941EE"/>
    <w:rsid w:val="00496301"/>
    <w:rsid w:val="004A2B7E"/>
    <w:rsid w:val="004A38FA"/>
    <w:rsid w:val="004A3988"/>
    <w:rsid w:val="004A3D70"/>
    <w:rsid w:val="004A48D8"/>
    <w:rsid w:val="004B170B"/>
    <w:rsid w:val="004C332D"/>
    <w:rsid w:val="004C5545"/>
    <w:rsid w:val="004C7DD7"/>
    <w:rsid w:val="004D35EA"/>
    <w:rsid w:val="004E0BCB"/>
    <w:rsid w:val="004E0FCF"/>
    <w:rsid w:val="004E5DD0"/>
    <w:rsid w:val="004E69B1"/>
    <w:rsid w:val="004E7C98"/>
    <w:rsid w:val="004F1BA5"/>
    <w:rsid w:val="004F635A"/>
    <w:rsid w:val="004F6497"/>
    <w:rsid w:val="004F7415"/>
    <w:rsid w:val="004F7A7D"/>
    <w:rsid w:val="004F7E74"/>
    <w:rsid w:val="005027DA"/>
    <w:rsid w:val="0051089E"/>
    <w:rsid w:val="00511180"/>
    <w:rsid w:val="00511A5A"/>
    <w:rsid w:val="00512994"/>
    <w:rsid w:val="00514417"/>
    <w:rsid w:val="005155C7"/>
    <w:rsid w:val="00517420"/>
    <w:rsid w:val="005209D4"/>
    <w:rsid w:val="0052439C"/>
    <w:rsid w:val="00527847"/>
    <w:rsid w:val="005370DE"/>
    <w:rsid w:val="00543C42"/>
    <w:rsid w:val="00555D0C"/>
    <w:rsid w:val="00557CE6"/>
    <w:rsid w:val="0056150F"/>
    <w:rsid w:val="005650A7"/>
    <w:rsid w:val="00565674"/>
    <w:rsid w:val="005676BB"/>
    <w:rsid w:val="00573F97"/>
    <w:rsid w:val="00574773"/>
    <w:rsid w:val="00581097"/>
    <w:rsid w:val="00582088"/>
    <w:rsid w:val="005839BA"/>
    <w:rsid w:val="005857AD"/>
    <w:rsid w:val="00585AB7"/>
    <w:rsid w:val="00585B72"/>
    <w:rsid w:val="00585F92"/>
    <w:rsid w:val="00586D0F"/>
    <w:rsid w:val="005959EE"/>
    <w:rsid w:val="00595AFF"/>
    <w:rsid w:val="00595E44"/>
    <w:rsid w:val="005965B5"/>
    <w:rsid w:val="005969B2"/>
    <w:rsid w:val="005A00AA"/>
    <w:rsid w:val="005A0313"/>
    <w:rsid w:val="005A0517"/>
    <w:rsid w:val="005A10E2"/>
    <w:rsid w:val="005A649C"/>
    <w:rsid w:val="005B04C7"/>
    <w:rsid w:val="005B32E1"/>
    <w:rsid w:val="005B4522"/>
    <w:rsid w:val="005B57A2"/>
    <w:rsid w:val="005B6725"/>
    <w:rsid w:val="005C56B3"/>
    <w:rsid w:val="005D2026"/>
    <w:rsid w:val="005D53C9"/>
    <w:rsid w:val="005D59D2"/>
    <w:rsid w:val="005D6C44"/>
    <w:rsid w:val="005D70A1"/>
    <w:rsid w:val="005D762E"/>
    <w:rsid w:val="005D7884"/>
    <w:rsid w:val="005E1467"/>
    <w:rsid w:val="005E275D"/>
    <w:rsid w:val="005E7314"/>
    <w:rsid w:val="005F142E"/>
    <w:rsid w:val="005F1717"/>
    <w:rsid w:val="005F6936"/>
    <w:rsid w:val="006055EE"/>
    <w:rsid w:val="006060BA"/>
    <w:rsid w:val="006101E4"/>
    <w:rsid w:val="00616125"/>
    <w:rsid w:val="00616D7B"/>
    <w:rsid w:val="00617206"/>
    <w:rsid w:val="0061770D"/>
    <w:rsid w:val="00622A98"/>
    <w:rsid w:val="00627C6E"/>
    <w:rsid w:val="006301C6"/>
    <w:rsid w:val="0063055E"/>
    <w:rsid w:val="00634455"/>
    <w:rsid w:val="0063488F"/>
    <w:rsid w:val="006418F2"/>
    <w:rsid w:val="00642D31"/>
    <w:rsid w:val="00645AEF"/>
    <w:rsid w:val="00646801"/>
    <w:rsid w:val="00652DBB"/>
    <w:rsid w:val="00654231"/>
    <w:rsid w:val="00656ABB"/>
    <w:rsid w:val="00657BE3"/>
    <w:rsid w:val="00661C3D"/>
    <w:rsid w:val="00666688"/>
    <w:rsid w:val="00672858"/>
    <w:rsid w:val="00672DAC"/>
    <w:rsid w:val="00674AF5"/>
    <w:rsid w:val="00691F94"/>
    <w:rsid w:val="00693413"/>
    <w:rsid w:val="0069487F"/>
    <w:rsid w:val="006955FE"/>
    <w:rsid w:val="006964AD"/>
    <w:rsid w:val="00697FB1"/>
    <w:rsid w:val="006A06B2"/>
    <w:rsid w:val="006A190F"/>
    <w:rsid w:val="006A574C"/>
    <w:rsid w:val="006A771C"/>
    <w:rsid w:val="006B2FF1"/>
    <w:rsid w:val="006B3B74"/>
    <w:rsid w:val="006B509B"/>
    <w:rsid w:val="006C43A0"/>
    <w:rsid w:val="006C4A9C"/>
    <w:rsid w:val="006C5AA6"/>
    <w:rsid w:val="006C6516"/>
    <w:rsid w:val="006C69A0"/>
    <w:rsid w:val="006D56B8"/>
    <w:rsid w:val="006E15C2"/>
    <w:rsid w:val="006E2A26"/>
    <w:rsid w:val="006E4D97"/>
    <w:rsid w:val="006E66A6"/>
    <w:rsid w:val="006E7F0D"/>
    <w:rsid w:val="006F2618"/>
    <w:rsid w:val="006F27F9"/>
    <w:rsid w:val="006F45A6"/>
    <w:rsid w:val="006F571D"/>
    <w:rsid w:val="006F7E7F"/>
    <w:rsid w:val="007054F7"/>
    <w:rsid w:val="0070618D"/>
    <w:rsid w:val="00711CF3"/>
    <w:rsid w:val="0071296D"/>
    <w:rsid w:val="00714838"/>
    <w:rsid w:val="00725898"/>
    <w:rsid w:val="00725B8E"/>
    <w:rsid w:val="0072619D"/>
    <w:rsid w:val="007265D8"/>
    <w:rsid w:val="007278AD"/>
    <w:rsid w:val="00732479"/>
    <w:rsid w:val="00733B61"/>
    <w:rsid w:val="0074530F"/>
    <w:rsid w:val="007458C1"/>
    <w:rsid w:val="00745F97"/>
    <w:rsid w:val="00750A7F"/>
    <w:rsid w:val="0075208C"/>
    <w:rsid w:val="00754E4C"/>
    <w:rsid w:val="00761158"/>
    <w:rsid w:val="007634A0"/>
    <w:rsid w:val="00765B7B"/>
    <w:rsid w:val="00767B3C"/>
    <w:rsid w:val="00770397"/>
    <w:rsid w:val="0077384C"/>
    <w:rsid w:val="00775677"/>
    <w:rsid w:val="00780A3A"/>
    <w:rsid w:val="00786888"/>
    <w:rsid w:val="007900D3"/>
    <w:rsid w:val="00794373"/>
    <w:rsid w:val="00795474"/>
    <w:rsid w:val="007A0DB5"/>
    <w:rsid w:val="007B2D0C"/>
    <w:rsid w:val="007B34A5"/>
    <w:rsid w:val="007B566B"/>
    <w:rsid w:val="007B6E51"/>
    <w:rsid w:val="007B7470"/>
    <w:rsid w:val="007C13EF"/>
    <w:rsid w:val="007C4B10"/>
    <w:rsid w:val="007D40C9"/>
    <w:rsid w:val="007D5567"/>
    <w:rsid w:val="007E28E2"/>
    <w:rsid w:val="007E37A7"/>
    <w:rsid w:val="007E5727"/>
    <w:rsid w:val="007E5D01"/>
    <w:rsid w:val="007E6C8F"/>
    <w:rsid w:val="007E7F1A"/>
    <w:rsid w:val="007F1B0B"/>
    <w:rsid w:val="007F2AAD"/>
    <w:rsid w:val="007F2F54"/>
    <w:rsid w:val="007F5EC6"/>
    <w:rsid w:val="007F7688"/>
    <w:rsid w:val="00803BCD"/>
    <w:rsid w:val="00803E5A"/>
    <w:rsid w:val="00805DE3"/>
    <w:rsid w:val="00807E1F"/>
    <w:rsid w:val="0081083F"/>
    <w:rsid w:val="008121C3"/>
    <w:rsid w:val="00814D89"/>
    <w:rsid w:val="0081598E"/>
    <w:rsid w:val="00825CDE"/>
    <w:rsid w:val="00827B37"/>
    <w:rsid w:val="00830BB7"/>
    <w:rsid w:val="00831599"/>
    <w:rsid w:val="008350E3"/>
    <w:rsid w:val="0084255F"/>
    <w:rsid w:val="008522E4"/>
    <w:rsid w:val="0085641D"/>
    <w:rsid w:val="00856E37"/>
    <w:rsid w:val="00866E30"/>
    <w:rsid w:val="00872CD2"/>
    <w:rsid w:val="00872D7B"/>
    <w:rsid w:val="008743E9"/>
    <w:rsid w:val="008746EA"/>
    <w:rsid w:val="00874F1A"/>
    <w:rsid w:val="00877F8F"/>
    <w:rsid w:val="0088007A"/>
    <w:rsid w:val="008828AA"/>
    <w:rsid w:val="00884ED6"/>
    <w:rsid w:val="00893CB0"/>
    <w:rsid w:val="008A101D"/>
    <w:rsid w:val="008A15E0"/>
    <w:rsid w:val="008B159A"/>
    <w:rsid w:val="008B34E0"/>
    <w:rsid w:val="008B3D9A"/>
    <w:rsid w:val="008B4BD2"/>
    <w:rsid w:val="008B619A"/>
    <w:rsid w:val="008B6FBC"/>
    <w:rsid w:val="008C0D13"/>
    <w:rsid w:val="008C1C50"/>
    <w:rsid w:val="008C7C30"/>
    <w:rsid w:val="008C7EF8"/>
    <w:rsid w:val="008D1EED"/>
    <w:rsid w:val="008D28EA"/>
    <w:rsid w:val="008D3E0A"/>
    <w:rsid w:val="008E4028"/>
    <w:rsid w:val="008E4F4A"/>
    <w:rsid w:val="008F3979"/>
    <w:rsid w:val="008F60CF"/>
    <w:rsid w:val="00904C4C"/>
    <w:rsid w:val="009053EE"/>
    <w:rsid w:val="00906720"/>
    <w:rsid w:val="00907B61"/>
    <w:rsid w:val="009125CE"/>
    <w:rsid w:val="009141AF"/>
    <w:rsid w:val="009141C6"/>
    <w:rsid w:val="00914932"/>
    <w:rsid w:val="00914F2C"/>
    <w:rsid w:val="00916058"/>
    <w:rsid w:val="009170DC"/>
    <w:rsid w:val="00921FBE"/>
    <w:rsid w:val="009232E1"/>
    <w:rsid w:val="00926A32"/>
    <w:rsid w:val="009308EB"/>
    <w:rsid w:val="00932DB9"/>
    <w:rsid w:val="009341DE"/>
    <w:rsid w:val="00934849"/>
    <w:rsid w:val="00935C84"/>
    <w:rsid w:val="00936DA9"/>
    <w:rsid w:val="009409BF"/>
    <w:rsid w:val="0094376A"/>
    <w:rsid w:val="00946D7B"/>
    <w:rsid w:val="00947211"/>
    <w:rsid w:val="009516B3"/>
    <w:rsid w:val="009521AE"/>
    <w:rsid w:val="00957A14"/>
    <w:rsid w:val="00963956"/>
    <w:rsid w:val="0096507C"/>
    <w:rsid w:val="009673F5"/>
    <w:rsid w:val="009705A2"/>
    <w:rsid w:val="00972390"/>
    <w:rsid w:val="00976FA2"/>
    <w:rsid w:val="00981A79"/>
    <w:rsid w:val="00983B6A"/>
    <w:rsid w:val="00984D0A"/>
    <w:rsid w:val="009909F3"/>
    <w:rsid w:val="00994C34"/>
    <w:rsid w:val="00996E96"/>
    <w:rsid w:val="009A607A"/>
    <w:rsid w:val="009A7B4F"/>
    <w:rsid w:val="009B002A"/>
    <w:rsid w:val="009B5765"/>
    <w:rsid w:val="009C0D4D"/>
    <w:rsid w:val="009C1761"/>
    <w:rsid w:val="009C6614"/>
    <w:rsid w:val="009C6A4D"/>
    <w:rsid w:val="009D3320"/>
    <w:rsid w:val="009D6BCF"/>
    <w:rsid w:val="009E0F99"/>
    <w:rsid w:val="009E0FF6"/>
    <w:rsid w:val="009E13CE"/>
    <w:rsid w:val="009E293F"/>
    <w:rsid w:val="009F3FF3"/>
    <w:rsid w:val="009F626C"/>
    <w:rsid w:val="00A02249"/>
    <w:rsid w:val="00A024D8"/>
    <w:rsid w:val="00A04C4E"/>
    <w:rsid w:val="00A06E03"/>
    <w:rsid w:val="00A14077"/>
    <w:rsid w:val="00A16229"/>
    <w:rsid w:val="00A16813"/>
    <w:rsid w:val="00A170A5"/>
    <w:rsid w:val="00A21624"/>
    <w:rsid w:val="00A2682B"/>
    <w:rsid w:val="00A27906"/>
    <w:rsid w:val="00A3023C"/>
    <w:rsid w:val="00A3175B"/>
    <w:rsid w:val="00A31DB5"/>
    <w:rsid w:val="00A33F2A"/>
    <w:rsid w:val="00A35BE2"/>
    <w:rsid w:val="00A36889"/>
    <w:rsid w:val="00A41043"/>
    <w:rsid w:val="00A423D3"/>
    <w:rsid w:val="00A44C0D"/>
    <w:rsid w:val="00A4514A"/>
    <w:rsid w:val="00A511A2"/>
    <w:rsid w:val="00A5269D"/>
    <w:rsid w:val="00A5288B"/>
    <w:rsid w:val="00A55F47"/>
    <w:rsid w:val="00A57196"/>
    <w:rsid w:val="00A620A4"/>
    <w:rsid w:val="00A675C2"/>
    <w:rsid w:val="00A75EB3"/>
    <w:rsid w:val="00A7652F"/>
    <w:rsid w:val="00A831AF"/>
    <w:rsid w:val="00A83F92"/>
    <w:rsid w:val="00A85F57"/>
    <w:rsid w:val="00A87677"/>
    <w:rsid w:val="00A91D87"/>
    <w:rsid w:val="00A93928"/>
    <w:rsid w:val="00AA095F"/>
    <w:rsid w:val="00AA3E43"/>
    <w:rsid w:val="00AA426B"/>
    <w:rsid w:val="00AA440C"/>
    <w:rsid w:val="00AA7251"/>
    <w:rsid w:val="00AB2012"/>
    <w:rsid w:val="00AB719A"/>
    <w:rsid w:val="00AC08E1"/>
    <w:rsid w:val="00AC1FD2"/>
    <w:rsid w:val="00AC2BFD"/>
    <w:rsid w:val="00AC395F"/>
    <w:rsid w:val="00AC46AB"/>
    <w:rsid w:val="00AC613A"/>
    <w:rsid w:val="00AD151D"/>
    <w:rsid w:val="00AD2024"/>
    <w:rsid w:val="00AD5D13"/>
    <w:rsid w:val="00AE1A33"/>
    <w:rsid w:val="00AE4B6F"/>
    <w:rsid w:val="00AE5967"/>
    <w:rsid w:val="00AE7ABF"/>
    <w:rsid w:val="00AF4F01"/>
    <w:rsid w:val="00AF6E13"/>
    <w:rsid w:val="00B0033C"/>
    <w:rsid w:val="00B00EA9"/>
    <w:rsid w:val="00B02228"/>
    <w:rsid w:val="00B03600"/>
    <w:rsid w:val="00B03805"/>
    <w:rsid w:val="00B041CF"/>
    <w:rsid w:val="00B04677"/>
    <w:rsid w:val="00B057A3"/>
    <w:rsid w:val="00B06988"/>
    <w:rsid w:val="00B1210B"/>
    <w:rsid w:val="00B15B03"/>
    <w:rsid w:val="00B16B9D"/>
    <w:rsid w:val="00B20790"/>
    <w:rsid w:val="00B22737"/>
    <w:rsid w:val="00B27DFD"/>
    <w:rsid w:val="00B31A70"/>
    <w:rsid w:val="00B32500"/>
    <w:rsid w:val="00B3382F"/>
    <w:rsid w:val="00B33C61"/>
    <w:rsid w:val="00B33DC5"/>
    <w:rsid w:val="00B34308"/>
    <w:rsid w:val="00B4094A"/>
    <w:rsid w:val="00B40B43"/>
    <w:rsid w:val="00B41DD1"/>
    <w:rsid w:val="00B422D0"/>
    <w:rsid w:val="00B428A0"/>
    <w:rsid w:val="00B42F00"/>
    <w:rsid w:val="00B4518F"/>
    <w:rsid w:val="00B45A68"/>
    <w:rsid w:val="00B45C6E"/>
    <w:rsid w:val="00B52EBA"/>
    <w:rsid w:val="00B57541"/>
    <w:rsid w:val="00B57ABF"/>
    <w:rsid w:val="00B60222"/>
    <w:rsid w:val="00B624ED"/>
    <w:rsid w:val="00B63225"/>
    <w:rsid w:val="00B66BE6"/>
    <w:rsid w:val="00B66C27"/>
    <w:rsid w:val="00B711A2"/>
    <w:rsid w:val="00B722B9"/>
    <w:rsid w:val="00B75A7D"/>
    <w:rsid w:val="00B76135"/>
    <w:rsid w:val="00B77836"/>
    <w:rsid w:val="00B80E6C"/>
    <w:rsid w:val="00B86318"/>
    <w:rsid w:val="00B8753E"/>
    <w:rsid w:val="00B87CDC"/>
    <w:rsid w:val="00B91DA9"/>
    <w:rsid w:val="00B941D3"/>
    <w:rsid w:val="00BA16BB"/>
    <w:rsid w:val="00BA2917"/>
    <w:rsid w:val="00BA3786"/>
    <w:rsid w:val="00BB083D"/>
    <w:rsid w:val="00BB14AA"/>
    <w:rsid w:val="00BB4BB1"/>
    <w:rsid w:val="00BB6019"/>
    <w:rsid w:val="00BC0291"/>
    <w:rsid w:val="00BC4901"/>
    <w:rsid w:val="00BC5040"/>
    <w:rsid w:val="00BC77FD"/>
    <w:rsid w:val="00BD16A9"/>
    <w:rsid w:val="00BD2E38"/>
    <w:rsid w:val="00BD32B5"/>
    <w:rsid w:val="00BD38A4"/>
    <w:rsid w:val="00BD7CC9"/>
    <w:rsid w:val="00BE021A"/>
    <w:rsid w:val="00BE4067"/>
    <w:rsid w:val="00BE4790"/>
    <w:rsid w:val="00BF6368"/>
    <w:rsid w:val="00BF6386"/>
    <w:rsid w:val="00C0175D"/>
    <w:rsid w:val="00C017A6"/>
    <w:rsid w:val="00C03BD0"/>
    <w:rsid w:val="00C05D80"/>
    <w:rsid w:val="00C205B9"/>
    <w:rsid w:val="00C20657"/>
    <w:rsid w:val="00C20A99"/>
    <w:rsid w:val="00C21EBC"/>
    <w:rsid w:val="00C22C5F"/>
    <w:rsid w:val="00C30999"/>
    <w:rsid w:val="00C4070D"/>
    <w:rsid w:val="00C5078D"/>
    <w:rsid w:val="00C50CC7"/>
    <w:rsid w:val="00C51DCC"/>
    <w:rsid w:val="00C52464"/>
    <w:rsid w:val="00C545A1"/>
    <w:rsid w:val="00C545D4"/>
    <w:rsid w:val="00C60163"/>
    <w:rsid w:val="00C605A5"/>
    <w:rsid w:val="00C61F34"/>
    <w:rsid w:val="00C7413D"/>
    <w:rsid w:val="00C772DD"/>
    <w:rsid w:val="00C821A3"/>
    <w:rsid w:val="00C8248F"/>
    <w:rsid w:val="00C86171"/>
    <w:rsid w:val="00C902F6"/>
    <w:rsid w:val="00C915EE"/>
    <w:rsid w:val="00C91CBA"/>
    <w:rsid w:val="00C9232B"/>
    <w:rsid w:val="00C931B9"/>
    <w:rsid w:val="00C9472A"/>
    <w:rsid w:val="00C95A14"/>
    <w:rsid w:val="00C97EF3"/>
    <w:rsid w:val="00CA0F05"/>
    <w:rsid w:val="00CB0F6E"/>
    <w:rsid w:val="00CB3AD9"/>
    <w:rsid w:val="00CB661B"/>
    <w:rsid w:val="00CC1398"/>
    <w:rsid w:val="00CC1B31"/>
    <w:rsid w:val="00CC63C6"/>
    <w:rsid w:val="00CD0893"/>
    <w:rsid w:val="00CD2C96"/>
    <w:rsid w:val="00CD574F"/>
    <w:rsid w:val="00CE3DCF"/>
    <w:rsid w:val="00CE48D3"/>
    <w:rsid w:val="00CE71C1"/>
    <w:rsid w:val="00CF0837"/>
    <w:rsid w:val="00CF093C"/>
    <w:rsid w:val="00CF4AB9"/>
    <w:rsid w:val="00D01497"/>
    <w:rsid w:val="00D01D9B"/>
    <w:rsid w:val="00D11024"/>
    <w:rsid w:val="00D17E91"/>
    <w:rsid w:val="00D20560"/>
    <w:rsid w:val="00D217C5"/>
    <w:rsid w:val="00D21F22"/>
    <w:rsid w:val="00D224E2"/>
    <w:rsid w:val="00D24650"/>
    <w:rsid w:val="00D31805"/>
    <w:rsid w:val="00D3520F"/>
    <w:rsid w:val="00D35639"/>
    <w:rsid w:val="00D35C45"/>
    <w:rsid w:val="00D35DFE"/>
    <w:rsid w:val="00D40773"/>
    <w:rsid w:val="00D422FA"/>
    <w:rsid w:val="00D4530E"/>
    <w:rsid w:val="00D510A9"/>
    <w:rsid w:val="00D51101"/>
    <w:rsid w:val="00D5713E"/>
    <w:rsid w:val="00D61964"/>
    <w:rsid w:val="00D66596"/>
    <w:rsid w:val="00D67A1B"/>
    <w:rsid w:val="00D713DE"/>
    <w:rsid w:val="00D8209D"/>
    <w:rsid w:val="00D856F8"/>
    <w:rsid w:val="00D8786C"/>
    <w:rsid w:val="00D903E9"/>
    <w:rsid w:val="00D95B83"/>
    <w:rsid w:val="00DA1805"/>
    <w:rsid w:val="00DA455D"/>
    <w:rsid w:val="00DA5FB4"/>
    <w:rsid w:val="00DA72DB"/>
    <w:rsid w:val="00DB020E"/>
    <w:rsid w:val="00DB0474"/>
    <w:rsid w:val="00DB1850"/>
    <w:rsid w:val="00DB408C"/>
    <w:rsid w:val="00DB50CB"/>
    <w:rsid w:val="00DB74C6"/>
    <w:rsid w:val="00DB7631"/>
    <w:rsid w:val="00DC37F7"/>
    <w:rsid w:val="00DC40CD"/>
    <w:rsid w:val="00DC772A"/>
    <w:rsid w:val="00DD025E"/>
    <w:rsid w:val="00DD145B"/>
    <w:rsid w:val="00DD31F9"/>
    <w:rsid w:val="00DE19B7"/>
    <w:rsid w:val="00DF0464"/>
    <w:rsid w:val="00DF1EB8"/>
    <w:rsid w:val="00DF2B49"/>
    <w:rsid w:val="00DF3882"/>
    <w:rsid w:val="00DF53E7"/>
    <w:rsid w:val="00DF58D3"/>
    <w:rsid w:val="00DF6734"/>
    <w:rsid w:val="00E021C7"/>
    <w:rsid w:val="00E04A68"/>
    <w:rsid w:val="00E076AA"/>
    <w:rsid w:val="00E07A6B"/>
    <w:rsid w:val="00E1036B"/>
    <w:rsid w:val="00E110CB"/>
    <w:rsid w:val="00E12ABA"/>
    <w:rsid w:val="00E1413C"/>
    <w:rsid w:val="00E17EB2"/>
    <w:rsid w:val="00E23E7C"/>
    <w:rsid w:val="00E26479"/>
    <w:rsid w:val="00E31BFD"/>
    <w:rsid w:val="00E32E45"/>
    <w:rsid w:val="00E3561F"/>
    <w:rsid w:val="00E37DB5"/>
    <w:rsid w:val="00E4575A"/>
    <w:rsid w:val="00E476FA"/>
    <w:rsid w:val="00E47C0C"/>
    <w:rsid w:val="00E55B15"/>
    <w:rsid w:val="00E561AB"/>
    <w:rsid w:val="00E5650D"/>
    <w:rsid w:val="00E577AF"/>
    <w:rsid w:val="00E60BA5"/>
    <w:rsid w:val="00E6177E"/>
    <w:rsid w:val="00E73A3F"/>
    <w:rsid w:val="00E74395"/>
    <w:rsid w:val="00E809E6"/>
    <w:rsid w:val="00E8516B"/>
    <w:rsid w:val="00E85D36"/>
    <w:rsid w:val="00E86564"/>
    <w:rsid w:val="00E86AB5"/>
    <w:rsid w:val="00E90193"/>
    <w:rsid w:val="00E937AD"/>
    <w:rsid w:val="00E96524"/>
    <w:rsid w:val="00E978AC"/>
    <w:rsid w:val="00EA0E89"/>
    <w:rsid w:val="00EA1683"/>
    <w:rsid w:val="00EA1A27"/>
    <w:rsid w:val="00EA33D3"/>
    <w:rsid w:val="00EA7023"/>
    <w:rsid w:val="00EB10A2"/>
    <w:rsid w:val="00EC2459"/>
    <w:rsid w:val="00EC2DC7"/>
    <w:rsid w:val="00EC63E4"/>
    <w:rsid w:val="00EC6F0F"/>
    <w:rsid w:val="00EC7052"/>
    <w:rsid w:val="00ED30B1"/>
    <w:rsid w:val="00ED3B0E"/>
    <w:rsid w:val="00ED46BA"/>
    <w:rsid w:val="00ED7313"/>
    <w:rsid w:val="00EE0D4E"/>
    <w:rsid w:val="00EE506F"/>
    <w:rsid w:val="00EF0912"/>
    <w:rsid w:val="00EF5748"/>
    <w:rsid w:val="00EF6603"/>
    <w:rsid w:val="00EF768F"/>
    <w:rsid w:val="00EF7E25"/>
    <w:rsid w:val="00F016EC"/>
    <w:rsid w:val="00F06614"/>
    <w:rsid w:val="00F06AA9"/>
    <w:rsid w:val="00F06D2C"/>
    <w:rsid w:val="00F06E86"/>
    <w:rsid w:val="00F11394"/>
    <w:rsid w:val="00F1261B"/>
    <w:rsid w:val="00F12706"/>
    <w:rsid w:val="00F12DFB"/>
    <w:rsid w:val="00F14CDF"/>
    <w:rsid w:val="00F15C8D"/>
    <w:rsid w:val="00F1766A"/>
    <w:rsid w:val="00F2052F"/>
    <w:rsid w:val="00F227C7"/>
    <w:rsid w:val="00F23378"/>
    <w:rsid w:val="00F23AC2"/>
    <w:rsid w:val="00F24A28"/>
    <w:rsid w:val="00F25B8B"/>
    <w:rsid w:val="00F2722F"/>
    <w:rsid w:val="00F30268"/>
    <w:rsid w:val="00F3501C"/>
    <w:rsid w:val="00F3543F"/>
    <w:rsid w:val="00F3688A"/>
    <w:rsid w:val="00F36ADA"/>
    <w:rsid w:val="00F420FB"/>
    <w:rsid w:val="00F43CAD"/>
    <w:rsid w:val="00F46572"/>
    <w:rsid w:val="00F523D4"/>
    <w:rsid w:val="00F53577"/>
    <w:rsid w:val="00F54E55"/>
    <w:rsid w:val="00F55880"/>
    <w:rsid w:val="00F609D3"/>
    <w:rsid w:val="00F62F9B"/>
    <w:rsid w:val="00F63417"/>
    <w:rsid w:val="00F63AC4"/>
    <w:rsid w:val="00F769D0"/>
    <w:rsid w:val="00F8113F"/>
    <w:rsid w:val="00F82127"/>
    <w:rsid w:val="00F8628A"/>
    <w:rsid w:val="00F91D21"/>
    <w:rsid w:val="00F93962"/>
    <w:rsid w:val="00F9477B"/>
    <w:rsid w:val="00F955FE"/>
    <w:rsid w:val="00F9706E"/>
    <w:rsid w:val="00F9796E"/>
    <w:rsid w:val="00FA0BE5"/>
    <w:rsid w:val="00FA6BE4"/>
    <w:rsid w:val="00FB39B9"/>
    <w:rsid w:val="00FB4EDD"/>
    <w:rsid w:val="00FB7C45"/>
    <w:rsid w:val="00FC000E"/>
    <w:rsid w:val="00FC45F4"/>
    <w:rsid w:val="00FC7646"/>
    <w:rsid w:val="00FD3092"/>
    <w:rsid w:val="00FD3498"/>
    <w:rsid w:val="00FD3866"/>
    <w:rsid w:val="00FD7FFC"/>
    <w:rsid w:val="00FE04F2"/>
    <w:rsid w:val="00FE1CD0"/>
    <w:rsid w:val="00FE3BE9"/>
    <w:rsid w:val="00FE3DE4"/>
    <w:rsid w:val="00FE5412"/>
    <w:rsid w:val="00FE5938"/>
    <w:rsid w:val="00FF024E"/>
    <w:rsid w:val="00FF3543"/>
    <w:rsid w:val="00FF37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B3A4"/>
  <w15:chartTrackingRefBased/>
  <w15:docId w15:val="{7E14FA99-2F1D-4E40-B4D0-E5002727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F4"/>
    <w:pPr>
      <w:spacing w:line="259" w:lineRule="auto"/>
    </w:pPr>
    <w:rPr>
      <w:rFonts w:ascii="Times New Roman" w:hAnsi="Times New Roman"/>
      <w:lang w:val="en-GB"/>
    </w:rPr>
  </w:style>
  <w:style w:type="paragraph" w:styleId="Heading4">
    <w:name w:val="heading 4"/>
    <w:basedOn w:val="Normal"/>
    <w:next w:val="Normal"/>
    <w:link w:val="Heading4Char"/>
    <w:qFormat/>
    <w:rsid w:val="0030719C"/>
    <w:pPr>
      <w:keepNext/>
      <w:outlineLvl w:val="3"/>
    </w:pPr>
    <w:rPr>
      <w:rFonts w:ascii="Arial" w:eastAsia="Times New Roman" w:hAnsi="Arial" w:cs="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719C"/>
    <w:rPr>
      <w:rFonts w:ascii="Arial" w:eastAsia="Times New Roman" w:hAnsi="Arial" w:cs="Times New Roman"/>
      <w:sz w:val="28"/>
      <w:lang w:val="en-GB" w:eastAsia="x-none"/>
    </w:rPr>
  </w:style>
  <w:style w:type="paragraph" w:styleId="FootnoteText">
    <w:name w:val="footnote text"/>
    <w:basedOn w:val="Normal"/>
    <w:link w:val="FootnoteTextChar"/>
    <w:uiPriority w:val="99"/>
    <w:rsid w:val="0030719C"/>
    <w:rPr>
      <w:rFonts w:eastAsia="Times New Roman" w:cs="Times New Roman"/>
      <w:sz w:val="20"/>
      <w:szCs w:val="20"/>
      <w:lang w:eastAsia="x-none"/>
    </w:rPr>
  </w:style>
  <w:style w:type="character" w:customStyle="1" w:styleId="FootnoteTextChar">
    <w:name w:val="Footnote Text Char"/>
    <w:basedOn w:val="DefaultParagraphFont"/>
    <w:link w:val="FootnoteText"/>
    <w:uiPriority w:val="99"/>
    <w:rsid w:val="0030719C"/>
    <w:rPr>
      <w:rFonts w:ascii="Times New Roman" w:eastAsia="Times New Roman" w:hAnsi="Times New Roman" w:cs="Times New Roman"/>
      <w:sz w:val="20"/>
      <w:szCs w:val="20"/>
      <w:lang w:val="en-GB" w:eastAsia="x-none"/>
    </w:rPr>
  </w:style>
  <w:style w:type="paragraph" w:styleId="CommentText">
    <w:name w:val="annotation text"/>
    <w:basedOn w:val="Normal"/>
    <w:link w:val="CommentTextChar"/>
    <w:uiPriority w:val="99"/>
    <w:semiHidden/>
    <w:unhideWhenUsed/>
    <w:rsid w:val="0030719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0719C"/>
    <w:rPr>
      <w:rFonts w:ascii="Times New Roman" w:eastAsia="Times New Roman" w:hAnsi="Times New Roman" w:cs="Times New Roman"/>
      <w:sz w:val="20"/>
      <w:szCs w:val="20"/>
      <w:lang w:val="en-GB"/>
    </w:rPr>
  </w:style>
  <w:style w:type="paragraph" w:styleId="Header">
    <w:name w:val="header"/>
    <w:basedOn w:val="Normal"/>
    <w:link w:val="HeaderChar"/>
    <w:rsid w:val="0030719C"/>
    <w:pPr>
      <w:tabs>
        <w:tab w:val="center" w:pos="4153"/>
        <w:tab w:val="right" w:pos="8306"/>
      </w:tabs>
    </w:pPr>
    <w:rPr>
      <w:rFonts w:eastAsia="Times New Roman" w:cs="Times New Roman"/>
      <w:lang w:eastAsia="x-none"/>
    </w:rPr>
  </w:style>
  <w:style w:type="character" w:customStyle="1" w:styleId="HeaderChar">
    <w:name w:val="Header Char"/>
    <w:basedOn w:val="DefaultParagraphFont"/>
    <w:link w:val="Header"/>
    <w:rsid w:val="0030719C"/>
    <w:rPr>
      <w:rFonts w:ascii="Times New Roman" w:eastAsia="Times New Roman" w:hAnsi="Times New Roman" w:cs="Times New Roman"/>
      <w:lang w:val="en-GB" w:eastAsia="x-none"/>
    </w:rPr>
  </w:style>
  <w:style w:type="character" w:styleId="FootnoteReference">
    <w:name w:val="footnote reference"/>
    <w:uiPriority w:val="99"/>
    <w:semiHidden/>
    <w:rsid w:val="0030719C"/>
    <w:rPr>
      <w:vertAlign w:val="superscript"/>
    </w:rPr>
  </w:style>
  <w:style w:type="character" w:styleId="CommentReference">
    <w:name w:val="annotation reference"/>
    <w:basedOn w:val="DefaultParagraphFont"/>
    <w:uiPriority w:val="99"/>
    <w:semiHidden/>
    <w:unhideWhenUsed/>
    <w:rsid w:val="0030719C"/>
    <w:rPr>
      <w:sz w:val="16"/>
      <w:szCs w:val="16"/>
    </w:rPr>
  </w:style>
  <w:style w:type="character" w:styleId="PageNumber">
    <w:name w:val="page number"/>
    <w:basedOn w:val="DefaultParagraphFont"/>
    <w:rsid w:val="0030719C"/>
  </w:style>
  <w:style w:type="paragraph" w:styleId="BodyText">
    <w:name w:val="Body Text"/>
    <w:basedOn w:val="Normal"/>
    <w:link w:val="BodyTextChar"/>
    <w:rsid w:val="0030719C"/>
    <w:pPr>
      <w:jc w:val="center"/>
    </w:pPr>
    <w:rPr>
      <w:rFonts w:eastAsia="Times New Roman" w:cs="Times New Roman"/>
      <w:lang w:eastAsia="x-none"/>
    </w:rPr>
  </w:style>
  <w:style w:type="character" w:customStyle="1" w:styleId="BodyTextChar">
    <w:name w:val="Body Text Char"/>
    <w:basedOn w:val="DefaultParagraphFont"/>
    <w:link w:val="BodyText"/>
    <w:rsid w:val="0030719C"/>
    <w:rPr>
      <w:rFonts w:ascii="Times New Roman" w:eastAsia="Times New Roman" w:hAnsi="Times New Roman" w:cs="Times New Roman"/>
      <w:lang w:val="en-GB" w:eastAsia="x-none"/>
    </w:rPr>
  </w:style>
  <w:style w:type="character" w:styleId="Hyperlink">
    <w:name w:val="Hyperlink"/>
    <w:rsid w:val="0030719C"/>
    <w:rPr>
      <w:color w:val="0000FF"/>
      <w:u w:val="single"/>
    </w:rPr>
  </w:style>
  <w:style w:type="character" w:styleId="FollowedHyperlink">
    <w:name w:val="FollowedHyperlink"/>
    <w:basedOn w:val="DefaultParagraphFont"/>
    <w:uiPriority w:val="99"/>
    <w:semiHidden/>
    <w:unhideWhenUsed/>
    <w:rsid w:val="003071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719C"/>
    <w:rPr>
      <w:b/>
      <w:bCs/>
    </w:rPr>
  </w:style>
  <w:style w:type="character" w:customStyle="1" w:styleId="CommentSubjectChar">
    <w:name w:val="Comment Subject Char"/>
    <w:basedOn w:val="CommentTextChar"/>
    <w:link w:val="CommentSubject"/>
    <w:uiPriority w:val="99"/>
    <w:semiHidden/>
    <w:rsid w:val="0030719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0719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719C"/>
    <w:rPr>
      <w:rFonts w:ascii="Segoe UI" w:eastAsia="Times New Roman" w:hAnsi="Segoe UI" w:cs="Segoe UI"/>
      <w:sz w:val="18"/>
      <w:szCs w:val="18"/>
      <w:lang w:val="en-GB"/>
    </w:rPr>
  </w:style>
  <w:style w:type="paragraph" w:styleId="ListParagraph">
    <w:name w:val="List Paragraph"/>
    <w:basedOn w:val="Normal"/>
    <w:uiPriority w:val="34"/>
    <w:qFormat/>
    <w:rsid w:val="0030719C"/>
    <w:pPr>
      <w:adjustRightInd w:val="0"/>
      <w:spacing w:before="120"/>
      <w:ind w:left="720"/>
      <w:contextualSpacing/>
      <w:mirrorIndents/>
    </w:pPr>
    <w:rPr>
      <w:rFonts w:ascii="Arial" w:eastAsia="Calibri" w:hAnsi="Arial" w:cs="Times New Roman (Body CS)"/>
      <w:lang w:val="en-ZA"/>
    </w:rPr>
  </w:style>
  <w:style w:type="paragraph" w:customStyle="1" w:styleId="JudgmentNumbered">
    <w:name w:val="Judgment Numbered"/>
    <w:basedOn w:val="Normal"/>
    <w:link w:val="JudgmentNumberedChar"/>
    <w:qFormat/>
    <w:rsid w:val="00FF3776"/>
    <w:pPr>
      <w:numPr>
        <w:numId w:val="10"/>
      </w:numPr>
      <w:spacing w:after="240" w:line="360" w:lineRule="auto"/>
      <w:jc w:val="both"/>
    </w:pPr>
    <w:rPr>
      <w:rFonts w:ascii="Arial" w:hAnsi="Arial" w:cs="Arial"/>
      <w:kern w:val="0"/>
      <w:szCs w:val="22"/>
      <w14:ligatures w14:val="none"/>
    </w:rPr>
  </w:style>
  <w:style w:type="character" w:customStyle="1" w:styleId="JudgmentNumberedChar">
    <w:name w:val="Judgment Numbered Char"/>
    <w:basedOn w:val="DefaultParagraphFont"/>
    <w:link w:val="JudgmentNumbered"/>
    <w:rsid w:val="00FF3776"/>
    <w:rPr>
      <w:rFonts w:ascii="Arial" w:hAnsi="Arial" w:cs="Arial"/>
      <w:kern w:val="0"/>
      <w:szCs w:val="22"/>
      <w:lang w:val="en-GB"/>
      <w14:ligatures w14:val="none"/>
    </w:rPr>
  </w:style>
  <w:style w:type="paragraph" w:styleId="Footer">
    <w:name w:val="footer"/>
    <w:basedOn w:val="Normal"/>
    <w:link w:val="FooterChar"/>
    <w:uiPriority w:val="99"/>
    <w:unhideWhenUsed/>
    <w:rsid w:val="00510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9E"/>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6197">
      <w:bodyDiv w:val="1"/>
      <w:marLeft w:val="0"/>
      <w:marRight w:val="0"/>
      <w:marTop w:val="0"/>
      <w:marBottom w:val="0"/>
      <w:divBdr>
        <w:top w:val="none" w:sz="0" w:space="0" w:color="auto"/>
        <w:left w:val="none" w:sz="0" w:space="0" w:color="auto"/>
        <w:bottom w:val="none" w:sz="0" w:space="0" w:color="auto"/>
        <w:right w:val="none" w:sz="0" w:space="0" w:color="auto"/>
      </w:divBdr>
      <w:divsChild>
        <w:div w:id="1913197726">
          <w:marLeft w:val="0"/>
          <w:marRight w:val="0"/>
          <w:marTop w:val="120"/>
          <w:marBottom w:val="0"/>
          <w:divBdr>
            <w:top w:val="none" w:sz="0" w:space="0" w:color="auto"/>
            <w:left w:val="none" w:sz="0" w:space="0" w:color="auto"/>
            <w:bottom w:val="none" w:sz="0" w:space="0" w:color="auto"/>
            <w:right w:val="none" w:sz="0" w:space="0" w:color="auto"/>
          </w:divBdr>
        </w:div>
        <w:div w:id="2100373303">
          <w:marLeft w:val="567"/>
          <w:marRight w:val="0"/>
          <w:marTop w:val="60"/>
          <w:marBottom w:val="0"/>
          <w:divBdr>
            <w:top w:val="none" w:sz="0" w:space="0" w:color="auto"/>
            <w:left w:val="none" w:sz="0" w:space="0" w:color="auto"/>
            <w:bottom w:val="none" w:sz="0" w:space="0" w:color="auto"/>
            <w:right w:val="none" w:sz="0" w:space="0" w:color="auto"/>
          </w:divBdr>
        </w:div>
        <w:div w:id="1867518751">
          <w:marLeft w:val="0"/>
          <w:marRight w:val="0"/>
          <w:marTop w:val="120"/>
          <w:marBottom w:val="0"/>
          <w:divBdr>
            <w:top w:val="none" w:sz="0" w:space="0" w:color="auto"/>
            <w:left w:val="none" w:sz="0" w:space="0" w:color="auto"/>
            <w:bottom w:val="none" w:sz="0" w:space="0" w:color="auto"/>
            <w:right w:val="none" w:sz="0" w:space="0" w:color="auto"/>
          </w:divBdr>
        </w:div>
        <w:div w:id="332683554">
          <w:marLeft w:val="567"/>
          <w:marRight w:val="0"/>
          <w:marTop w:val="60"/>
          <w:marBottom w:val="0"/>
          <w:divBdr>
            <w:top w:val="none" w:sz="0" w:space="0" w:color="auto"/>
            <w:left w:val="none" w:sz="0" w:space="0" w:color="auto"/>
            <w:bottom w:val="none" w:sz="0" w:space="0" w:color="auto"/>
            <w:right w:val="none" w:sz="0" w:space="0" w:color="auto"/>
          </w:divBdr>
        </w:div>
      </w:divsChild>
    </w:div>
    <w:div w:id="541133119">
      <w:bodyDiv w:val="1"/>
      <w:marLeft w:val="0"/>
      <w:marRight w:val="0"/>
      <w:marTop w:val="0"/>
      <w:marBottom w:val="0"/>
      <w:divBdr>
        <w:top w:val="none" w:sz="0" w:space="0" w:color="auto"/>
        <w:left w:val="none" w:sz="0" w:space="0" w:color="auto"/>
        <w:bottom w:val="none" w:sz="0" w:space="0" w:color="auto"/>
        <w:right w:val="none" w:sz="0" w:space="0" w:color="auto"/>
      </w:divBdr>
      <w:divsChild>
        <w:div w:id="1027874616">
          <w:marLeft w:val="0"/>
          <w:marRight w:val="0"/>
          <w:marTop w:val="60"/>
          <w:marBottom w:val="0"/>
          <w:divBdr>
            <w:top w:val="none" w:sz="0" w:space="0" w:color="auto"/>
            <w:left w:val="none" w:sz="0" w:space="0" w:color="auto"/>
            <w:bottom w:val="none" w:sz="0" w:space="0" w:color="auto"/>
            <w:right w:val="none" w:sz="0" w:space="0" w:color="auto"/>
          </w:divBdr>
        </w:div>
        <w:div w:id="1134831524">
          <w:marLeft w:val="851"/>
          <w:marRight w:val="0"/>
          <w:marTop w:val="60"/>
          <w:marBottom w:val="0"/>
          <w:divBdr>
            <w:top w:val="none" w:sz="0" w:space="0" w:color="auto"/>
            <w:left w:val="none" w:sz="0" w:space="0" w:color="auto"/>
            <w:bottom w:val="none" w:sz="0" w:space="0" w:color="auto"/>
            <w:right w:val="none" w:sz="0" w:space="0" w:color="auto"/>
          </w:divBdr>
        </w:div>
        <w:div w:id="1658223078">
          <w:marLeft w:val="851"/>
          <w:marRight w:val="0"/>
          <w:marTop w:val="60"/>
          <w:marBottom w:val="0"/>
          <w:divBdr>
            <w:top w:val="none" w:sz="0" w:space="0" w:color="auto"/>
            <w:left w:val="none" w:sz="0" w:space="0" w:color="auto"/>
            <w:bottom w:val="none" w:sz="0" w:space="0" w:color="auto"/>
            <w:right w:val="none" w:sz="0" w:space="0" w:color="auto"/>
          </w:divBdr>
        </w:div>
      </w:divsChild>
    </w:div>
    <w:div w:id="1086658328">
      <w:bodyDiv w:val="1"/>
      <w:marLeft w:val="0"/>
      <w:marRight w:val="0"/>
      <w:marTop w:val="0"/>
      <w:marBottom w:val="0"/>
      <w:divBdr>
        <w:top w:val="none" w:sz="0" w:space="0" w:color="auto"/>
        <w:left w:val="none" w:sz="0" w:space="0" w:color="auto"/>
        <w:bottom w:val="none" w:sz="0" w:space="0" w:color="auto"/>
        <w:right w:val="none" w:sz="0" w:space="0" w:color="auto"/>
      </w:divBdr>
    </w:div>
    <w:div w:id="1427966736">
      <w:bodyDiv w:val="1"/>
      <w:marLeft w:val="0"/>
      <w:marRight w:val="0"/>
      <w:marTop w:val="0"/>
      <w:marBottom w:val="0"/>
      <w:divBdr>
        <w:top w:val="none" w:sz="0" w:space="0" w:color="auto"/>
        <w:left w:val="none" w:sz="0" w:space="0" w:color="auto"/>
        <w:bottom w:val="none" w:sz="0" w:space="0" w:color="auto"/>
        <w:right w:val="none" w:sz="0" w:space="0" w:color="auto"/>
      </w:divBdr>
      <w:divsChild>
        <w:div w:id="69624455">
          <w:marLeft w:val="0"/>
          <w:marRight w:val="0"/>
          <w:marTop w:val="240"/>
          <w:marBottom w:val="0"/>
          <w:divBdr>
            <w:top w:val="none" w:sz="0" w:space="0" w:color="auto"/>
            <w:left w:val="none" w:sz="0" w:space="0" w:color="auto"/>
            <w:bottom w:val="none" w:sz="0" w:space="0" w:color="auto"/>
            <w:right w:val="none" w:sz="0" w:space="0" w:color="auto"/>
          </w:divBdr>
        </w:div>
        <w:div w:id="1776289942">
          <w:marLeft w:val="0"/>
          <w:marRight w:val="0"/>
          <w:marTop w:val="120"/>
          <w:marBottom w:val="0"/>
          <w:divBdr>
            <w:top w:val="none" w:sz="0" w:space="0" w:color="auto"/>
            <w:left w:val="none" w:sz="0" w:space="0" w:color="auto"/>
            <w:bottom w:val="none" w:sz="0" w:space="0" w:color="auto"/>
            <w:right w:val="none" w:sz="0" w:space="0" w:color="auto"/>
          </w:divBdr>
        </w:div>
        <w:div w:id="1891073025">
          <w:marLeft w:val="0"/>
          <w:marRight w:val="0"/>
          <w:marTop w:val="120"/>
          <w:marBottom w:val="0"/>
          <w:divBdr>
            <w:top w:val="none" w:sz="0" w:space="0" w:color="auto"/>
            <w:left w:val="none" w:sz="0" w:space="0" w:color="auto"/>
            <w:bottom w:val="none" w:sz="0" w:space="0" w:color="auto"/>
            <w:right w:val="none" w:sz="0" w:space="0" w:color="auto"/>
          </w:divBdr>
        </w:div>
      </w:divsChild>
    </w:div>
    <w:div w:id="1429471463">
      <w:bodyDiv w:val="1"/>
      <w:marLeft w:val="0"/>
      <w:marRight w:val="0"/>
      <w:marTop w:val="0"/>
      <w:marBottom w:val="0"/>
      <w:divBdr>
        <w:top w:val="none" w:sz="0" w:space="0" w:color="auto"/>
        <w:left w:val="none" w:sz="0" w:space="0" w:color="auto"/>
        <w:bottom w:val="none" w:sz="0" w:space="0" w:color="auto"/>
        <w:right w:val="none" w:sz="0" w:space="0" w:color="auto"/>
      </w:divBdr>
      <w:divsChild>
        <w:div w:id="270430493">
          <w:marLeft w:val="0"/>
          <w:marRight w:val="0"/>
          <w:marTop w:val="240"/>
          <w:marBottom w:val="0"/>
          <w:divBdr>
            <w:top w:val="none" w:sz="0" w:space="0" w:color="auto"/>
            <w:left w:val="none" w:sz="0" w:space="0" w:color="auto"/>
            <w:bottom w:val="none" w:sz="0" w:space="0" w:color="auto"/>
            <w:right w:val="none" w:sz="0" w:space="0" w:color="auto"/>
          </w:divBdr>
        </w:div>
        <w:div w:id="179439794">
          <w:marLeft w:val="0"/>
          <w:marRight w:val="0"/>
          <w:marTop w:val="120"/>
          <w:marBottom w:val="0"/>
          <w:divBdr>
            <w:top w:val="none" w:sz="0" w:space="0" w:color="auto"/>
            <w:left w:val="none" w:sz="0" w:space="0" w:color="auto"/>
            <w:bottom w:val="none" w:sz="0" w:space="0" w:color="auto"/>
            <w:right w:val="none" w:sz="0" w:space="0" w:color="auto"/>
          </w:divBdr>
        </w:div>
        <w:div w:id="538863569">
          <w:marLeft w:val="0"/>
          <w:marRight w:val="0"/>
          <w:marTop w:val="120"/>
          <w:marBottom w:val="0"/>
          <w:divBdr>
            <w:top w:val="none" w:sz="0" w:space="0" w:color="auto"/>
            <w:left w:val="none" w:sz="0" w:space="0" w:color="auto"/>
            <w:bottom w:val="none" w:sz="0" w:space="0" w:color="auto"/>
            <w:right w:val="none" w:sz="0" w:space="0" w:color="auto"/>
          </w:divBdr>
        </w:div>
        <w:div w:id="1362433854">
          <w:marLeft w:val="0"/>
          <w:marRight w:val="0"/>
          <w:marTop w:val="120"/>
          <w:marBottom w:val="0"/>
          <w:divBdr>
            <w:top w:val="none" w:sz="0" w:space="0" w:color="auto"/>
            <w:left w:val="none" w:sz="0" w:space="0" w:color="auto"/>
            <w:bottom w:val="none" w:sz="0" w:space="0" w:color="auto"/>
            <w:right w:val="none" w:sz="0" w:space="0" w:color="auto"/>
          </w:divBdr>
        </w:div>
        <w:div w:id="787891834">
          <w:marLeft w:val="1134"/>
          <w:marRight w:val="0"/>
          <w:marTop w:val="60"/>
          <w:marBottom w:val="0"/>
          <w:divBdr>
            <w:top w:val="none" w:sz="0" w:space="0" w:color="auto"/>
            <w:left w:val="none" w:sz="0" w:space="0" w:color="auto"/>
            <w:bottom w:val="none" w:sz="0" w:space="0" w:color="auto"/>
            <w:right w:val="none" w:sz="0" w:space="0" w:color="auto"/>
          </w:divBdr>
        </w:div>
        <w:div w:id="1312563862">
          <w:marLeft w:val="1134"/>
          <w:marRight w:val="0"/>
          <w:marTop w:val="60"/>
          <w:marBottom w:val="0"/>
          <w:divBdr>
            <w:top w:val="none" w:sz="0" w:space="0" w:color="auto"/>
            <w:left w:val="none" w:sz="0" w:space="0" w:color="auto"/>
            <w:bottom w:val="none" w:sz="0" w:space="0" w:color="auto"/>
            <w:right w:val="none" w:sz="0" w:space="0" w:color="auto"/>
          </w:divBdr>
        </w:div>
        <w:div w:id="1796874958">
          <w:marLeft w:val="0"/>
          <w:marRight w:val="0"/>
          <w:marTop w:val="120"/>
          <w:marBottom w:val="0"/>
          <w:divBdr>
            <w:top w:val="none" w:sz="0" w:space="0" w:color="auto"/>
            <w:left w:val="none" w:sz="0" w:space="0" w:color="auto"/>
            <w:bottom w:val="none" w:sz="0" w:space="0" w:color="auto"/>
            <w:right w:val="none" w:sz="0" w:space="0" w:color="auto"/>
          </w:divBdr>
        </w:div>
        <w:div w:id="1031757615">
          <w:marLeft w:val="1134"/>
          <w:marRight w:val="0"/>
          <w:marTop w:val="60"/>
          <w:marBottom w:val="0"/>
          <w:divBdr>
            <w:top w:val="none" w:sz="0" w:space="0" w:color="auto"/>
            <w:left w:val="none" w:sz="0" w:space="0" w:color="auto"/>
            <w:bottom w:val="none" w:sz="0" w:space="0" w:color="auto"/>
            <w:right w:val="none" w:sz="0" w:space="0" w:color="auto"/>
          </w:divBdr>
        </w:div>
        <w:div w:id="795097929">
          <w:marLeft w:val="1134"/>
          <w:marRight w:val="0"/>
          <w:marTop w:val="60"/>
          <w:marBottom w:val="0"/>
          <w:divBdr>
            <w:top w:val="none" w:sz="0" w:space="0" w:color="auto"/>
            <w:left w:val="none" w:sz="0" w:space="0" w:color="auto"/>
            <w:bottom w:val="none" w:sz="0" w:space="0" w:color="auto"/>
            <w:right w:val="none" w:sz="0" w:space="0" w:color="auto"/>
          </w:divBdr>
        </w:div>
        <w:div w:id="2124379632">
          <w:marLeft w:val="1134"/>
          <w:marRight w:val="0"/>
          <w:marTop w:val="60"/>
          <w:marBottom w:val="0"/>
          <w:divBdr>
            <w:top w:val="none" w:sz="0" w:space="0" w:color="auto"/>
            <w:left w:val="none" w:sz="0" w:space="0" w:color="auto"/>
            <w:bottom w:val="none" w:sz="0" w:space="0" w:color="auto"/>
            <w:right w:val="none" w:sz="0" w:space="0" w:color="auto"/>
          </w:divBdr>
        </w:div>
        <w:div w:id="532378280">
          <w:marLeft w:val="0"/>
          <w:marRight w:val="0"/>
          <w:marTop w:val="120"/>
          <w:marBottom w:val="0"/>
          <w:divBdr>
            <w:top w:val="none" w:sz="0" w:space="0" w:color="auto"/>
            <w:left w:val="none" w:sz="0" w:space="0" w:color="auto"/>
            <w:bottom w:val="none" w:sz="0" w:space="0" w:color="auto"/>
            <w:right w:val="none" w:sz="0" w:space="0" w:color="auto"/>
          </w:divBdr>
        </w:div>
        <w:div w:id="981810609">
          <w:marLeft w:val="0"/>
          <w:marRight w:val="0"/>
          <w:marTop w:val="120"/>
          <w:marBottom w:val="0"/>
          <w:divBdr>
            <w:top w:val="none" w:sz="0" w:space="0" w:color="auto"/>
            <w:left w:val="none" w:sz="0" w:space="0" w:color="auto"/>
            <w:bottom w:val="none" w:sz="0" w:space="0" w:color="auto"/>
            <w:right w:val="none" w:sz="0" w:space="0" w:color="auto"/>
          </w:divBdr>
        </w:div>
        <w:div w:id="1275867659">
          <w:marLeft w:val="1134"/>
          <w:marRight w:val="0"/>
          <w:marTop w:val="60"/>
          <w:marBottom w:val="0"/>
          <w:divBdr>
            <w:top w:val="none" w:sz="0" w:space="0" w:color="auto"/>
            <w:left w:val="none" w:sz="0" w:space="0" w:color="auto"/>
            <w:bottom w:val="none" w:sz="0" w:space="0" w:color="auto"/>
            <w:right w:val="none" w:sz="0" w:space="0" w:color="auto"/>
          </w:divBdr>
        </w:div>
        <w:div w:id="1833136499">
          <w:marLeft w:val="1134"/>
          <w:marRight w:val="0"/>
          <w:marTop w:val="60"/>
          <w:marBottom w:val="0"/>
          <w:divBdr>
            <w:top w:val="none" w:sz="0" w:space="0" w:color="auto"/>
            <w:left w:val="none" w:sz="0" w:space="0" w:color="auto"/>
            <w:bottom w:val="none" w:sz="0" w:space="0" w:color="auto"/>
            <w:right w:val="none" w:sz="0" w:space="0" w:color="auto"/>
          </w:divBdr>
        </w:div>
        <w:div w:id="1707832029">
          <w:marLeft w:val="0"/>
          <w:marRight w:val="0"/>
          <w:marTop w:val="120"/>
          <w:marBottom w:val="0"/>
          <w:divBdr>
            <w:top w:val="none" w:sz="0" w:space="0" w:color="auto"/>
            <w:left w:val="none" w:sz="0" w:space="0" w:color="auto"/>
            <w:bottom w:val="none" w:sz="0" w:space="0" w:color="auto"/>
            <w:right w:val="none" w:sz="0" w:space="0" w:color="auto"/>
          </w:divBdr>
        </w:div>
        <w:div w:id="10947859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5v1SApg365%27%5d&amp;xhitlist_md=target-id=0-0-0-40035"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49v1SApg1149%27%5d&amp;xhitlist_md=target-id=0-0-0-4003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0v6SApg272%27%5d&amp;xhitlist_md=target-id=0-0-0-51613"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3v2SApg368%27%5d&amp;xhitlist_md=target-id=0-0-0-41985"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1v4SApg211%27%5d&amp;xhitlist_md=target-id=0-0-0-4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9C8F-43EC-4BEB-8A8C-E54B6706F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39E72-90B6-4A6A-8873-3A767CEF5B84}">
  <ds:schemaRefs>
    <ds:schemaRef ds:uri="http://schemas.microsoft.com/sharepoint/v3/contenttype/forms"/>
  </ds:schemaRefs>
</ds:datastoreItem>
</file>

<file path=customXml/itemProps3.xml><?xml version="1.0" encoding="utf-8"?>
<ds:datastoreItem xmlns:ds="http://schemas.openxmlformats.org/officeDocument/2006/customXml" ds:itemID="{B919857C-8152-4CC3-97E0-D06C8AA87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5B05F-F7CA-46B3-BB17-8F72000F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5623</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Judge-Denise Fisher</dc:creator>
  <cp:keywords/>
  <dc:description/>
  <cp:lastModifiedBy>Sathish</cp:lastModifiedBy>
  <cp:revision>3</cp:revision>
  <cp:lastPrinted>2024-01-16T08:22:00Z</cp:lastPrinted>
  <dcterms:created xsi:type="dcterms:W3CDTF">2024-01-19T11:30:00Z</dcterms:created>
  <dcterms:modified xsi:type="dcterms:W3CDTF">2024-01-22T07:37:00Z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