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1EAB" w14:textId="77777777" w:rsidR="00D7152F" w:rsidRPr="00F43CAD" w:rsidRDefault="00D7152F" w:rsidP="00D7152F">
      <w:pPr>
        <w:spacing w:after="0" w:line="480" w:lineRule="auto"/>
        <w:jc w:val="center"/>
        <w:rPr>
          <w:rFonts w:ascii="Arial" w:eastAsia="Times New Roman" w:hAnsi="Arial" w:cs="Arial"/>
          <w:color w:val="0E101A"/>
          <w:kern w:val="0"/>
          <w:lang w:val="en-ZA" w:eastAsia="en-ZA"/>
          <w14:ligatures w14:val="none"/>
        </w:rPr>
      </w:pPr>
      <w:bookmarkStart w:id="0" w:name="_GoBack"/>
      <w:r w:rsidRPr="005B4522">
        <w:rPr>
          <w:rFonts w:ascii="Arial" w:eastAsia="Times New Roman" w:hAnsi="Arial" w:cs="Arial"/>
          <w:b/>
          <w:bCs/>
          <w:color w:val="0E101A"/>
          <w:kern w:val="0"/>
          <w:lang w:val="en-ZA" w:eastAsia="en-ZA"/>
          <w14:ligatures w14:val="none"/>
        </w:rPr>
        <w:t>REPUBLIC OF SOUTH AFRICA</w:t>
      </w:r>
    </w:p>
    <w:p w14:paraId="16396EA6" w14:textId="77777777" w:rsidR="00D7152F" w:rsidRPr="00F43CAD" w:rsidRDefault="00D7152F" w:rsidP="00D7152F">
      <w:pPr>
        <w:spacing w:after="0" w:line="480" w:lineRule="auto"/>
        <w:jc w:val="center"/>
        <w:rPr>
          <w:rFonts w:ascii="Arial" w:eastAsia="Times New Roman" w:hAnsi="Arial" w:cs="Arial"/>
          <w:color w:val="0E101A"/>
          <w:kern w:val="0"/>
          <w:lang w:val="en-ZA" w:eastAsia="en-ZA"/>
          <w14:ligatures w14:val="none"/>
        </w:rPr>
      </w:pPr>
      <w:r w:rsidRPr="00F43CAD">
        <w:rPr>
          <w:rFonts w:ascii="Arial" w:eastAsia="Times New Roman" w:hAnsi="Arial" w:cs="Arial"/>
          <w:b/>
          <w:bCs/>
          <w:noProof/>
          <w:color w:val="000000"/>
          <w:kern w:val="0"/>
          <w:bdr w:val="none" w:sz="0" w:space="0" w:color="auto" w:frame="1"/>
          <w:lang w:val="en-US"/>
          <w14:ligatures w14:val="none"/>
        </w:rPr>
        <w:drawing>
          <wp:inline distT="0" distB="0" distL="0" distR="0" wp14:anchorId="31B1C6C8" wp14:editId="0C23BC87">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345698B1" w14:textId="77777777" w:rsidR="00D7152F" w:rsidRPr="00F43CAD" w:rsidRDefault="00D7152F" w:rsidP="00D7152F">
      <w:pPr>
        <w:spacing w:after="0" w:line="480" w:lineRule="auto"/>
        <w:jc w:val="center"/>
        <w:rPr>
          <w:rFonts w:ascii="Arial" w:eastAsia="Times New Roman" w:hAnsi="Arial" w:cs="Arial"/>
          <w:color w:val="0E101A"/>
          <w:kern w:val="0"/>
          <w:lang w:val="en-ZA" w:eastAsia="en-ZA"/>
          <w14:ligatures w14:val="none"/>
        </w:rPr>
      </w:pPr>
      <w:r w:rsidRPr="005B4522">
        <w:rPr>
          <w:rFonts w:ascii="Arial" w:eastAsia="Times New Roman" w:hAnsi="Arial" w:cs="Arial"/>
          <w:b/>
          <w:bCs/>
          <w:color w:val="0E101A"/>
          <w:kern w:val="0"/>
          <w:lang w:val="en-ZA" w:eastAsia="en-ZA"/>
          <w14:ligatures w14:val="none"/>
        </w:rPr>
        <w:t>IN THE TAX COURT OF SOUTH AFRICA</w:t>
      </w:r>
    </w:p>
    <w:p w14:paraId="792C9597" w14:textId="77777777" w:rsidR="00D7152F" w:rsidRPr="005B4522" w:rsidRDefault="00D7152F" w:rsidP="00D7152F">
      <w:pPr>
        <w:spacing w:after="0"/>
        <w:jc w:val="center"/>
        <w:rPr>
          <w:rFonts w:ascii="Arial" w:eastAsia="Calibri" w:hAnsi="Arial" w:cs="Arial"/>
          <w:b/>
          <w:bCs/>
          <w:color w:val="0E101A"/>
          <w:kern w:val="0"/>
          <w:lang w:val="en-ZA"/>
          <w14:ligatures w14:val="none"/>
        </w:rPr>
      </w:pPr>
      <w:r w:rsidRPr="005B4522">
        <w:rPr>
          <w:rFonts w:ascii="Arial" w:eastAsia="Calibri" w:hAnsi="Arial" w:cs="Arial"/>
          <w:b/>
          <w:bCs/>
          <w:color w:val="0E101A"/>
          <w:kern w:val="0"/>
          <w:lang w:val="en-ZA"/>
          <w14:ligatures w14:val="none"/>
        </w:rPr>
        <w:t>GAUTENG LOCAL DIVISION, JOHANNESBURG</w:t>
      </w:r>
    </w:p>
    <w:p w14:paraId="3E73B326" w14:textId="77777777" w:rsidR="00D7152F" w:rsidRDefault="00D7152F" w:rsidP="00D7152F">
      <w:pPr>
        <w:spacing w:after="0"/>
        <w:jc w:val="center"/>
        <w:rPr>
          <w:rFonts w:ascii="Arial" w:eastAsia="Calibri" w:hAnsi="Arial" w:cs="Arial"/>
          <w:b/>
          <w:bCs/>
          <w:color w:val="0E101A"/>
          <w:kern w:val="0"/>
          <w:sz w:val="32"/>
          <w:szCs w:val="32"/>
          <w:lang w:val="en-ZA"/>
          <w14:ligatures w14:val="none"/>
        </w:rPr>
      </w:pPr>
    </w:p>
    <w:p w14:paraId="77AC84DB" w14:textId="77777777" w:rsidR="00D7152F" w:rsidRPr="00D7152F" w:rsidRDefault="00D7152F" w:rsidP="00D7152F">
      <w:pPr>
        <w:spacing w:after="0"/>
        <w:jc w:val="right"/>
        <w:rPr>
          <w:rFonts w:ascii="Arial" w:eastAsia="Calibri" w:hAnsi="Arial" w:cs="Arial"/>
          <w:bCs/>
          <w:color w:val="0E101A"/>
          <w:kern w:val="0"/>
          <w14:ligatures w14:val="none"/>
        </w:rPr>
      </w:pPr>
      <w:r>
        <w:rPr>
          <w:rFonts w:ascii="Arial" w:eastAsia="Calibri" w:hAnsi="Arial" w:cs="Arial"/>
          <w:bCs/>
          <w:color w:val="0E101A"/>
          <w:kern w:val="0"/>
          <w14:ligatures w14:val="none"/>
        </w:rPr>
        <w:t xml:space="preserve">Case Number: </w:t>
      </w:r>
      <w:r w:rsidRPr="00D7152F">
        <w:rPr>
          <w:rFonts w:ascii="Arial" w:eastAsia="Calibri" w:hAnsi="Arial" w:cs="Arial"/>
          <w:bCs/>
          <w:color w:val="0E101A"/>
          <w:kern w:val="0"/>
          <w14:ligatures w14:val="none"/>
        </w:rPr>
        <w:t>2023-024680</w:t>
      </w:r>
    </w:p>
    <w:p w14:paraId="3071AD69" w14:textId="77777777" w:rsidR="00D7152F" w:rsidRDefault="00D7152F" w:rsidP="00D7152F">
      <w:pPr>
        <w:spacing w:after="0"/>
        <w:jc w:val="center"/>
        <w:rPr>
          <w:rFonts w:ascii="Arial" w:eastAsia="Calibri" w:hAnsi="Arial" w:cs="Arial"/>
          <w:b/>
          <w:bCs/>
          <w:color w:val="0E101A"/>
          <w:kern w:val="0"/>
          <w:sz w:val="32"/>
          <w:szCs w:val="32"/>
          <w:lang w:val="en-ZA"/>
          <w14:ligatures w14:val="none"/>
        </w:rPr>
      </w:pPr>
    </w:p>
    <w:p w14:paraId="141665B2" w14:textId="77777777" w:rsidR="00D7152F" w:rsidRDefault="00D7152F" w:rsidP="00D7152F">
      <w:pPr>
        <w:spacing w:after="0"/>
        <w:jc w:val="center"/>
      </w:pPr>
    </w:p>
    <w:p w14:paraId="3A481B41" w14:textId="2B993010" w:rsidR="00D7152F" w:rsidRDefault="00D7152F" w:rsidP="00D7152F">
      <w:pPr>
        <w:spacing w:after="0"/>
      </w:pPr>
    </w:p>
    <w:p w14:paraId="7B4A724A" w14:textId="0A74F94B" w:rsidR="00D7152F" w:rsidRDefault="00D7152F" w:rsidP="00D7152F">
      <w:pPr>
        <w:spacing w:after="0"/>
      </w:pPr>
      <w:r w:rsidRPr="005B4522">
        <w:rPr>
          <w:rFonts w:ascii="Arial" w:eastAsia="Calibri" w:hAnsi="Arial" w:cs="Arial"/>
          <w:noProof/>
          <w:kern w:val="0"/>
          <w:lang w:val="en-US"/>
          <w14:ligatures w14:val="none"/>
        </w:rPr>
        <mc:AlternateContent>
          <mc:Choice Requires="wps">
            <w:drawing>
              <wp:anchor distT="0" distB="0" distL="114300" distR="114300" simplePos="0" relativeHeight="251659264" behindDoc="0" locked="0" layoutInCell="1" allowOverlap="1" wp14:anchorId="520440A9" wp14:editId="08318763">
                <wp:simplePos x="0" y="0"/>
                <wp:positionH relativeFrom="margin">
                  <wp:posOffset>0</wp:posOffset>
                </wp:positionH>
                <wp:positionV relativeFrom="paragraph">
                  <wp:posOffset>-400685</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4AB7BAE" w14:textId="6C414412" w:rsidR="00D7152F" w:rsidRPr="003B746C" w:rsidRDefault="009C1674" w:rsidP="009C1674">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D7152F" w:rsidRPr="003B746C">
                              <w:rPr>
                                <w:rFonts w:cs="Arial"/>
                                <w:sz w:val="18"/>
                                <w:szCs w:val="20"/>
                              </w:rPr>
                              <w:t xml:space="preserve">REPORTABLE: </w:t>
                            </w:r>
                            <w:r w:rsidR="00D7152F" w:rsidRPr="00DD3B79">
                              <w:rPr>
                                <w:rFonts w:cs="Arial"/>
                                <w:sz w:val="18"/>
                                <w:szCs w:val="20"/>
                              </w:rPr>
                              <w:t xml:space="preserve"> NO</w:t>
                            </w:r>
                          </w:p>
                          <w:p w14:paraId="11B46D00" w14:textId="50EE97C5" w:rsidR="00D7152F" w:rsidRPr="003B746C" w:rsidRDefault="009C1674" w:rsidP="009C1674">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D7152F" w:rsidRPr="003B746C">
                              <w:rPr>
                                <w:rFonts w:cs="Arial"/>
                                <w:sz w:val="18"/>
                                <w:szCs w:val="20"/>
                              </w:rPr>
                              <w:t>OF INTEREST TO OTHER JUDGES:</w:t>
                            </w:r>
                            <w:r w:rsidR="00D7152F" w:rsidRPr="00DD3B79">
                              <w:rPr>
                                <w:rFonts w:cs="Arial"/>
                                <w:sz w:val="18"/>
                                <w:szCs w:val="20"/>
                              </w:rPr>
                              <w:t>NO</w:t>
                            </w:r>
                          </w:p>
                          <w:p w14:paraId="51C6419C" w14:textId="3B2D38F3" w:rsidR="00D7152F" w:rsidRPr="00DD3B79" w:rsidRDefault="009C1674" w:rsidP="009C1674">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D7152F" w:rsidRPr="003B746C">
                              <w:rPr>
                                <w:rFonts w:cs="Arial"/>
                                <w:sz w:val="18"/>
                                <w:szCs w:val="20"/>
                              </w:rPr>
                              <w:t xml:space="preserve">REVISED: </w:t>
                            </w:r>
                            <w:r w:rsidR="00D7152F" w:rsidRPr="00DD3B79">
                              <w:rPr>
                                <w:rFonts w:cs="Arial"/>
                                <w:sz w:val="18"/>
                                <w:szCs w:val="20"/>
                              </w:rPr>
                              <w:t>NO</w:t>
                            </w:r>
                          </w:p>
                          <w:p w14:paraId="3DCFE8BF" w14:textId="7672BE72" w:rsidR="00D7152F" w:rsidRPr="003B746C" w:rsidRDefault="00D7152F" w:rsidP="00D7152F">
                            <w:pPr>
                              <w:spacing w:before="240" w:after="0"/>
                              <w:ind w:left="180" w:firstLine="720"/>
                              <w:rPr>
                                <w:rFonts w:cs="Arial"/>
                                <w:b/>
                                <w:sz w:val="18"/>
                                <w:szCs w:val="20"/>
                              </w:rPr>
                            </w:pPr>
                            <w:r>
                              <w:rPr>
                                <w:rFonts w:cs="Arial"/>
                                <w:b/>
                                <w:sz w:val="18"/>
                                <w:szCs w:val="20"/>
                              </w:rPr>
                              <w:t xml:space="preserve"> </w:t>
                            </w:r>
                            <w:r>
                              <w:rPr>
                                <w:rFonts w:cs="Arial"/>
                                <w:b/>
                                <w:sz w:val="18"/>
                                <w:szCs w:val="20"/>
                              </w:rPr>
                              <w:tab/>
                            </w:r>
                            <w:r w:rsidR="0023336F">
                              <w:rPr>
                                <w:rFonts w:cs="Arial"/>
                                <w:b/>
                                <w:sz w:val="18"/>
                                <w:szCs w:val="20"/>
                              </w:rPr>
                              <w:t xml:space="preserve">                </w:t>
                            </w:r>
                            <w:r>
                              <w:rPr>
                                <w:rFonts w:cs="Arial"/>
                                <w:b/>
                                <w:sz w:val="18"/>
                                <w:szCs w:val="20"/>
                              </w:rPr>
                              <w:t>________________</w:t>
                            </w:r>
                          </w:p>
                          <w:p w14:paraId="6C20B084" w14:textId="51ABFBA1" w:rsidR="00D7152F" w:rsidRPr="003B746C" w:rsidRDefault="00D7152F" w:rsidP="00D7152F">
                            <w:pPr>
                              <w:rPr>
                                <w:rFonts w:cs="Arial"/>
                                <w:sz w:val="18"/>
                                <w:szCs w:val="20"/>
                              </w:rPr>
                            </w:pPr>
                            <w:r w:rsidRPr="003B746C">
                              <w:rPr>
                                <w:rFonts w:cs="Arial"/>
                                <w:sz w:val="18"/>
                                <w:szCs w:val="20"/>
                              </w:rPr>
                              <w:t>DATE</w:t>
                            </w:r>
                            <w:r w:rsidR="0023336F">
                              <w:rPr>
                                <w:rFonts w:cs="Arial"/>
                                <w:sz w:val="18"/>
                                <w:szCs w:val="20"/>
                              </w:rPr>
                              <w:t xml:space="preserve"> 22/01/2024</w:t>
                            </w:r>
                            <w:r w:rsidRPr="003B746C">
                              <w:rPr>
                                <w:rFonts w:cs="Arial"/>
                                <w:sz w:val="18"/>
                                <w:szCs w:val="20"/>
                              </w:rPr>
                              <w:tab/>
                            </w:r>
                            <w:r w:rsidR="0023336F">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40A9" id="_x0000_t202" coordsize="21600,21600" o:spt="202" path="m,l,21600r21600,l21600,xe">
                <v:stroke joinstyle="miter"/>
                <v:path gradientshapeok="t" o:connecttype="rect"/>
              </v:shapetype>
              <v:shape id="Text Box 2" o:spid="_x0000_s1026" type="#_x0000_t202" style="position:absolute;margin-left:0;margin-top:-31.55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">
                <v:textbox>
                  <w:txbxContent>
                    <w:p w14:paraId="14AB7BAE" w14:textId="6C414412" w:rsidR="00D7152F" w:rsidRPr="003B746C" w:rsidRDefault="009C1674" w:rsidP="009C1674">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D7152F" w:rsidRPr="003B746C">
                        <w:rPr>
                          <w:rFonts w:cs="Arial"/>
                          <w:sz w:val="18"/>
                          <w:szCs w:val="20"/>
                        </w:rPr>
                        <w:t xml:space="preserve">REPORTABLE: </w:t>
                      </w:r>
                      <w:r w:rsidR="00D7152F" w:rsidRPr="00DD3B79">
                        <w:rPr>
                          <w:rFonts w:cs="Arial"/>
                          <w:sz w:val="18"/>
                          <w:szCs w:val="20"/>
                        </w:rPr>
                        <w:t xml:space="preserve"> NO</w:t>
                      </w:r>
                    </w:p>
                    <w:p w14:paraId="11B46D00" w14:textId="50EE97C5" w:rsidR="00D7152F" w:rsidRPr="003B746C" w:rsidRDefault="009C1674" w:rsidP="009C1674">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D7152F" w:rsidRPr="003B746C">
                        <w:rPr>
                          <w:rFonts w:cs="Arial"/>
                          <w:sz w:val="18"/>
                          <w:szCs w:val="20"/>
                        </w:rPr>
                        <w:t>OF INTEREST TO OTHER JUDGES:</w:t>
                      </w:r>
                      <w:r w:rsidR="00D7152F" w:rsidRPr="00DD3B79">
                        <w:rPr>
                          <w:rFonts w:cs="Arial"/>
                          <w:sz w:val="18"/>
                          <w:szCs w:val="20"/>
                        </w:rPr>
                        <w:t>NO</w:t>
                      </w:r>
                    </w:p>
                    <w:p w14:paraId="51C6419C" w14:textId="3B2D38F3" w:rsidR="00D7152F" w:rsidRPr="00DD3B79" w:rsidRDefault="009C1674" w:rsidP="009C1674">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D7152F" w:rsidRPr="003B746C">
                        <w:rPr>
                          <w:rFonts w:cs="Arial"/>
                          <w:sz w:val="18"/>
                          <w:szCs w:val="20"/>
                        </w:rPr>
                        <w:t xml:space="preserve">REVISED: </w:t>
                      </w:r>
                      <w:r w:rsidR="00D7152F" w:rsidRPr="00DD3B79">
                        <w:rPr>
                          <w:rFonts w:cs="Arial"/>
                          <w:sz w:val="18"/>
                          <w:szCs w:val="20"/>
                        </w:rPr>
                        <w:t>NO</w:t>
                      </w:r>
                    </w:p>
                    <w:p w14:paraId="3DCFE8BF" w14:textId="7672BE72" w:rsidR="00D7152F" w:rsidRPr="003B746C" w:rsidRDefault="00D7152F" w:rsidP="00D7152F">
                      <w:pPr>
                        <w:spacing w:before="240" w:after="0"/>
                        <w:ind w:left="180" w:firstLine="720"/>
                        <w:rPr>
                          <w:rFonts w:cs="Arial"/>
                          <w:b/>
                          <w:sz w:val="18"/>
                          <w:szCs w:val="20"/>
                        </w:rPr>
                      </w:pPr>
                      <w:r>
                        <w:rPr>
                          <w:rFonts w:cs="Arial"/>
                          <w:b/>
                          <w:sz w:val="18"/>
                          <w:szCs w:val="20"/>
                        </w:rPr>
                        <w:t xml:space="preserve"> </w:t>
                      </w:r>
                      <w:r>
                        <w:rPr>
                          <w:rFonts w:cs="Arial"/>
                          <w:b/>
                          <w:sz w:val="18"/>
                          <w:szCs w:val="20"/>
                        </w:rPr>
                        <w:tab/>
                      </w:r>
                      <w:r w:rsidR="0023336F">
                        <w:rPr>
                          <w:rFonts w:cs="Arial"/>
                          <w:b/>
                          <w:sz w:val="18"/>
                          <w:szCs w:val="20"/>
                        </w:rPr>
                        <w:t xml:space="preserve">                </w:t>
                      </w:r>
                      <w:r>
                        <w:rPr>
                          <w:rFonts w:cs="Arial"/>
                          <w:b/>
                          <w:sz w:val="18"/>
                          <w:szCs w:val="20"/>
                        </w:rPr>
                        <w:t>________________</w:t>
                      </w:r>
                    </w:p>
                    <w:p w14:paraId="6C20B084" w14:textId="51ABFBA1" w:rsidR="00D7152F" w:rsidRPr="003B746C" w:rsidRDefault="00D7152F" w:rsidP="00D7152F">
                      <w:pPr>
                        <w:rPr>
                          <w:rFonts w:cs="Arial"/>
                          <w:sz w:val="18"/>
                          <w:szCs w:val="20"/>
                        </w:rPr>
                      </w:pPr>
                      <w:r w:rsidRPr="003B746C">
                        <w:rPr>
                          <w:rFonts w:cs="Arial"/>
                          <w:sz w:val="18"/>
                          <w:szCs w:val="20"/>
                        </w:rPr>
                        <w:t>DATE</w:t>
                      </w:r>
                      <w:r w:rsidR="0023336F">
                        <w:rPr>
                          <w:rFonts w:cs="Arial"/>
                          <w:sz w:val="18"/>
                          <w:szCs w:val="20"/>
                        </w:rPr>
                        <w:t xml:space="preserve"> 22/01/2024</w:t>
                      </w:r>
                      <w:r w:rsidRPr="003B746C">
                        <w:rPr>
                          <w:rFonts w:cs="Arial"/>
                          <w:sz w:val="18"/>
                          <w:szCs w:val="20"/>
                        </w:rPr>
                        <w:tab/>
                      </w:r>
                      <w:r w:rsidR="0023336F">
                        <w:rPr>
                          <w:rFonts w:cs="Arial"/>
                          <w:sz w:val="18"/>
                          <w:szCs w:val="20"/>
                        </w:rPr>
                        <w:t xml:space="preserve">                    </w:t>
                      </w:r>
                      <w:r w:rsidRPr="003B746C">
                        <w:rPr>
                          <w:rFonts w:cs="Arial"/>
                          <w:sz w:val="18"/>
                          <w:szCs w:val="20"/>
                        </w:rPr>
                        <w:t>SIGNATURE</w:t>
                      </w:r>
                    </w:p>
                  </w:txbxContent>
                </v:textbox>
                <w10:wrap anchorx="margin"/>
              </v:shape>
            </w:pict>
          </mc:Fallback>
        </mc:AlternateContent>
      </w:r>
    </w:p>
    <w:p w14:paraId="720F6D60" w14:textId="5726C9CC" w:rsidR="00D7152F" w:rsidRDefault="00D7152F" w:rsidP="00D7152F"/>
    <w:p w14:paraId="54E3FCAD" w14:textId="0C2404D2" w:rsidR="00D7152F" w:rsidRDefault="00D7152F" w:rsidP="00D7152F">
      <w:r w:rsidRPr="00F43CAD">
        <w:t xml:space="preserve">In the matter between: </w:t>
      </w:r>
    </w:p>
    <w:p w14:paraId="49615BFA" w14:textId="77777777" w:rsidR="00D7152F" w:rsidRPr="00D7152F" w:rsidRDefault="00D7152F" w:rsidP="00931A55">
      <w:pPr>
        <w:spacing w:before="100" w:beforeAutospacing="1" w:after="100" w:afterAutospacing="1" w:line="240" w:lineRule="auto"/>
        <w:outlineLvl w:val="0"/>
        <w:rPr>
          <w:rFonts w:ascii="Arial" w:eastAsia="Times New Roman" w:hAnsi="Arial" w:cs="Arial"/>
          <w:bCs/>
          <w:color w:val="000000"/>
          <w:kern w:val="36"/>
          <w:lang w:val="en-ZA" w:eastAsia="en-ZA"/>
          <w14:ligatures w14:val="none"/>
        </w:rPr>
      </w:pPr>
      <w:r w:rsidRPr="00D7152F">
        <w:rPr>
          <w:rFonts w:ascii="Arial" w:eastAsia="Times New Roman" w:hAnsi="Arial" w:cs="Arial"/>
          <w:bCs/>
          <w:color w:val="000000"/>
          <w:kern w:val="36"/>
          <w:lang w:val="en-ZA" w:eastAsia="en-ZA"/>
          <w14:ligatures w14:val="none"/>
        </w:rPr>
        <w:t>In the matter between:</w:t>
      </w:r>
    </w:p>
    <w:p w14:paraId="37126B93" w14:textId="77777777" w:rsidR="00684311" w:rsidRPr="00684311"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LIBERTY GROUP LIMITED </w:t>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sidR="008D7CAF">
        <w:rPr>
          <w:rFonts w:ascii="Arial" w:eastAsia="Calibri" w:hAnsi="Arial" w:cs="Arial"/>
          <w:b/>
          <w:lang w:val="en-ZA"/>
        </w:rPr>
        <w:t xml:space="preserve">  </w:t>
      </w:r>
      <w:r w:rsidRPr="00684311">
        <w:rPr>
          <w:rFonts w:ascii="Arial" w:eastAsia="Calibri" w:hAnsi="Arial" w:cs="Arial"/>
          <w:b/>
          <w:lang w:val="en-ZA"/>
        </w:rPr>
        <w:t xml:space="preserve">First Applicant </w:t>
      </w:r>
    </w:p>
    <w:p w14:paraId="58B5B381" w14:textId="77777777" w:rsidR="00684311" w:rsidRPr="00684311"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PARETO LIMITED </w:t>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t xml:space="preserve">        </w:t>
      </w:r>
      <w:r w:rsidRPr="00684311">
        <w:rPr>
          <w:rFonts w:ascii="Arial" w:eastAsia="Calibri" w:hAnsi="Arial" w:cs="Arial"/>
          <w:b/>
          <w:lang w:val="en-ZA"/>
        </w:rPr>
        <w:t xml:space="preserve">Second Applicant </w:t>
      </w:r>
    </w:p>
    <w:p w14:paraId="4DB4322E" w14:textId="77777777" w:rsidR="00684311"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FIRSTRAND BANK LIMITED </w:t>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t xml:space="preserve"> </w:t>
      </w:r>
      <w:r w:rsidRPr="00684311">
        <w:rPr>
          <w:rFonts w:ascii="Arial" w:eastAsia="Calibri" w:hAnsi="Arial" w:cs="Arial"/>
          <w:b/>
          <w:lang w:val="en-ZA"/>
        </w:rPr>
        <w:t xml:space="preserve">Third Applicant </w:t>
      </w:r>
    </w:p>
    <w:p w14:paraId="14F5F225" w14:textId="77777777" w:rsidR="008D7CAF" w:rsidRPr="00684311" w:rsidRDefault="008D7CAF" w:rsidP="008D7CAF">
      <w:pPr>
        <w:spacing w:after="0" w:line="360" w:lineRule="auto"/>
        <w:jc w:val="both"/>
        <w:rPr>
          <w:rFonts w:ascii="Arial" w:eastAsia="Calibri" w:hAnsi="Arial" w:cs="Arial"/>
          <w:b/>
          <w:lang w:val="en-ZA"/>
        </w:rPr>
      </w:pPr>
    </w:p>
    <w:p w14:paraId="3A572A57" w14:textId="77777777" w:rsidR="00684311"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and </w:t>
      </w:r>
    </w:p>
    <w:p w14:paraId="3D002E96" w14:textId="77777777" w:rsidR="008D7CAF" w:rsidRPr="00684311" w:rsidRDefault="008D7CAF" w:rsidP="008D7CAF">
      <w:pPr>
        <w:spacing w:after="0" w:line="360" w:lineRule="auto"/>
        <w:jc w:val="both"/>
        <w:rPr>
          <w:rFonts w:ascii="Arial" w:eastAsia="Calibri" w:hAnsi="Arial" w:cs="Arial"/>
          <w:b/>
          <w:lang w:val="en-ZA"/>
        </w:rPr>
      </w:pPr>
    </w:p>
    <w:p w14:paraId="4B08084F"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CITY OF JOHANNESBURG METROPOLITAN </w:t>
      </w:r>
    </w:p>
    <w:p w14:paraId="0E33940C"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MUNICIPALITY </w:t>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t xml:space="preserve">        </w:t>
      </w:r>
      <w:r w:rsidRPr="00684311">
        <w:rPr>
          <w:rFonts w:ascii="Arial" w:eastAsia="Calibri" w:hAnsi="Arial" w:cs="Arial"/>
          <w:b/>
          <w:lang w:val="en-ZA"/>
        </w:rPr>
        <w:t xml:space="preserve">First Respondent </w:t>
      </w:r>
    </w:p>
    <w:p w14:paraId="6BC33F90"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JOHANNESBURG DEVELOPMENT AGENCY</w:t>
      </w:r>
    </w:p>
    <w:p w14:paraId="3C6A61C9"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 SOC LIMITED </w:t>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t xml:space="preserve">   </w:t>
      </w:r>
      <w:r w:rsidRPr="00684311">
        <w:rPr>
          <w:rFonts w:ascii="Arial" w:eastAsia="Calibri" w:hAnsi="Arial" w:cs="Arial"/>
          <w:b/>
          <w:lang w:val="en-ZA"/>
        </w:rPr>
        <w:t>Second Respondent</w:t>
      </w:r>
    </w:p>
    <w:p w14:paraId="58363A34"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JOHANNESBURG ROADS AGENCY SOC </w:t>
      </w:r>
    </w:p>
    <w:p w14:paraId="3363C318"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LIMITED </w:t>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t xml:space="preserve">       </w:t>
      </w:r>
      <w:r w:rsidRPr="00684311">
        <w:rPr>
          <w:rFonts w:ascii="Arial" w:eastAsia="Calibri" w:hAnsi="Arial" w:cs="Arial"/>
          <w:b/>
          <w:lang w:val="en-ZA"/>
        </w:rPr>
        <w:t xml:space="preserve">Third Respondent </w:t>
      </w:r>
    </w:p>
    <w:p w14:paraId="15404045"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STEFANUTTI STOCKS (PTY) LTD </w:t>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t xml:space="preserve">     </w:t>
      </w:r>
      <w:r w:rsidRPr="00684311">
        <w:rPr>
          <w:rFonts w:ascii="Arial" w:eastAsia="Calibri" w:hAnsi="Arial" w:cs="Arial"/>
          <w:b/>
          <w:lang w:val="en-ZA"/>
        </w:rPr>
        <w:t xml:space="preserve">Fourth Respondent </w:t>
      </w:r>
    </w:p>
    <w:p w14:paraId="5CEE54A8" w14:textId="77777777" w:rsidR="008D7CAF" w:rsidRDefault="00684311" w:rsidP="008D7CAF">
      <w:pPr>
        <w:spacing w:after="0" w:line="360" w:lineRule="auto"/>
        <w:jc w:val="both"/>
        <w:rPr>
          <w:rFonts w:ascii="Arial" w:eastAsia="Calibri" w:hAnsi="Arial" w:cs="Arial"/>
          <w:b/>
          <w:lang w:val="en-ZA"/>
        </w:rPr>
      </w:pPr>
      <w:r w:rsidRPr="00684311">
        <w:rPr>
          <w:rFonts w:ascii="Arial" w:eastAsia="Calibri" w:hAnsi="Arial" w:cs="Arial"/>
          <w:b/>
          <w:lang w:val="en-ZA"/>
        </w:rPr>
        <w:t xml:space="preserve">A RE SHOMENG HOLDINGS (PTY) LTD </w:t>
      </w:r>
      <w:r w:rsidR="008D7CAF">
        <w:rPr>
          <w:rFonts w:ascii="Arial" w:eastAsia="Calibri" w:hAnsi="Arial" w:cs="Arial"/>
          <w:b/>
          <w:lang w:val="en-ZA"/>
        </w:rPr>
        <w:tab/>
      </w:r>
      <w:r w:rsidR="008D7CAF">
        <w:rPr>
          <w:rFonts w:ascii="Arial" w:eastAsia="Calibri" w:hAnsi="Arial" w:cs="Arial"/>
          <w:b/>
          <w:lang w:val="en-ZA"/>
        </w:rPr>
        <w:tab/>
      </w:r>
      <w:r w:rsidR="008D7CAF">
        <w:rPr>
          <w:rFonts w:ascii="Arial" w:eastAsia="Calibri" w:hAnsi="Arial" w:cs="Arial"/>
          <w:b/>
          <w:lang w:val="en-ZA"/>
        </w:rPr>
        <w:tab/>
        <w:t xml:space="preserve">        </w:t>
      </w:r>
      <w:r w:rsidRPr="00684311">
        <w:rPr>
          <w:rFonts w:ascii="Arial" w:eastAsia="Calibri" w:hAnsi="Arial" w:cs="Arial"/>
          <w:b/>
          <w:lang w:val="en-ZA"/>
        </w:rPr>
        <w:t>Fifth Respondent</w:t>
      </w:r>
    </w:p>
    <w:p w14:paraId="3E3296B6" w14:textId="77777777" w:rsidR="00684311" w:rsidRDefault="00684311" w:rsidP="008D7CAF">
      <w:pPr>
        <w:spacing w:after="0" w:line="240" w:lineRule="auto"/>
        <w:rPr>
          <w:rFonts w:ascii="Arial" w:eastAsia="Calibri" w:hAnsi="Arial" w:cs="Arial"/>
          <w:b/>
          <w:lang w:val="en-ZA"/>
        </w:rPr>
      </w:pPr>
    </w:p>
    <w:p w14:paraId="35CC8A40" w14:textId="77777777" w:rsidR="002A50CB" w:rsidRDefault="002A50CB" w:rsidP="008D7CAF">
      <w:pPr>
        <w:spacing w:after="0" w:line="240" w:lineRule="auto"/>
        <w:rPr>
          <w:rFonts w:eastAsia="Calibri" w:cs="Arial"/>
          <w:b/>
          <w:lang w:val="en-ZA"/>
        </w:rPr>
      </w:pPr>
    </w:p>
    <w:p w14:paraId="02E093B1" w14:textId="77777777" w:rsidR="00684311" w:rsidRPr="005B4522" w:rsidRDefault="00684311" w:rsidP="00931A55">
      <w:pPr>
        <w:pBdr>
          <w:bottom w:val="single" w:sz="12" w:space="1" w:color="auto"/>
        </w:pBdr>
        <w:spacing w:after="0" w:line="240" w:lineRule="auto"/>
        <w:rPr>
          <w:rFonts w:eastAsia="Calibri" w:cs="Arial"/>
          <w:b/>
          <w:lang w:val="en-ZA"/>
        </w:rPr>
      </w:pPr>
    </w:p>
    <w:p w14:paraId="7C8EA9FD" w14:textId="77777777" w:rsidR="00931A55" w:rsidRPr="005B4522" w:rsidRDefault="00931A55" w:rsidP="00931A55">
      <w:pPr>
        <w:spacing w:after="0" w:line="240" w:lineRule="auto"/>
        <w:rPr>
          <w:rFonts w:ascii="Arial" w:eastAsia="Calibri" w:hAnsi="Arial" w:cs="Arial"/>
          <w:b/>
          <w:kern w:val="0"/>
          <w14:ligatures w14:val="none"/>
        </w:rPr>
      </w:pPr>
    </w:p>
    <w:p w14:paraId="081C5410" w14:textId="77777777" w:rsidR="00931A55" w:rsidRPr="005B4522" w:rsidRDefault="00931A55" w:rsidP="00931A55">
      <w:pPr>
        <w:pBdr>
          <w:bottom w:val="single" w:sz="12" w:space="1" w:color="auto"/>
        </w:pBdr>
        <w:spacing w:after="240" w:line="480" w:lineRule="auto"/>
        <w:jc w:val="center"/>
        <w:rPr>
          <w:rFonts w:ascii="Arial" w:eastAsia="Calibri" w:hAnsi="Arial" w:cs="Arial"/>
          <w:b/>
          <w:kern w:val="0"/>
          <w:lang w:val="en-ZA"/>
          <w14:ligatures w14:val="none"/>
        </w:rPr>
      </w:pPr>
      <w:r w:rsidRPr="005B4522">
        <w:rPr>
          <w:rFonts w:ascii="Arial" w:eastAsia="Calibri" w:hAnsi="Arial" w:cs="Arial"/>
          <w:b/>
          <w:kern w:val="0"/>
          <w:lang w:val="en-ZA"/>
          <w14:ligatures w14:val="none"/>
        </w:rPr>
        <w:t>ORDER</w:t>
      </w:r>
    </w:p>
    <w:p w14:paraId="41D1ABAD" w14:textId="77777777" w:rsidR="00CD5130" w:rsidRPr="00424C77" w:rsidRDefault="00931A55" w:rsidP="00424C77">
      <w:pPr>
        <w:pStyle w:val="ListParagraph"/>
        <w:spacing w:before="0" w:after="240" w:line="360" w:lineRule="auto"/>
        <w:jc w:val="both"/>
        <w:rPr>
          <w:rFonts w:cs="Arial"/>
        </w:rPr>
      </w:pPr>
      <w:r w:rsidRPr="00424C77">
        <w:rPr>
          <w:rFonts w:cs="Arial"/>
        </w:rPr>
        <w:t>Part A of the application is dismissed with costs, such costs to include the cost of two counsel where employed.</w:t>
      </w:r>
    </w:p>
    <w:p w14:paraId="23B3D8BA" w14:textId="77777777" w:rsidR="00CD5130" w:rsidRPr="00FF3776" w:rsidRDefault="00CD5130" w:rsidP="00CD5130">
      <w:pPr>
        <w:spacing w:after="240" w:line="360" w:lineRule="auto"/>
        <w:jc w:val="both"/>
        <w:rPr>
          <w:rFonts w:ascii="Arial" w:eastAsia="Calibri" w:hAnsi="Arial" w:cs="Arial"/>
          <w:b/>
          <w:kern w:val="0"/>
          <w:szCs w:val="22"/>
          <w14:ligatures w14:val="none"/>
        </w:rPr>
      </w:pPr>
      <w:r w:rsidRPr="00FF3776">
        <w:rPr>
          <w:rFonts w:ascii="Arial" w:eastAsia="Calibri" w:hAnsi="Arial" w:cs="Arial"/>
          <w:b/>
          <w:kern w:val="0"/>
          <w:szCs w:val="22"/>
          <w14:ligatures w14:val="none"/>
        </w:rPr>
        <w:t>___________________________________________________________________</w:t>
      </w:r>
      <w:r>
        <w:rPr>
          <w:rFonts w:ascii="Arial" w:eastAsia="Calibri" w:hAnsi="Arial" w:cs="Arial"/>
          <w:b/>
          <w:kern w:val="0"/>
          <w:szCs w:val="22"/>
          <w14:ligatures w14:val="none"/>
        </w:rPr>
        <w:t xml:space="preserve"> </w:t>
      </w:r>
    </w:p>
    <w:p w14:paraId="458E18FC" w14:textId="77777777" w:rsidR="00CD5130" w:rsidRPr="00FF3776" w:rsidRDefault="00CD5130" w:rsidP="00CD5130">
      <w:pPr>
        <w:pBdr>
          <w:bottom w:val="single" w:sz="12" w:space="1" w:color="auto"/>
        </w:pBdr>
        <w:spacing w:after="240" w:line="480" w:lineRule="auto"/>
        <w:jc w:val="center"/>
        <w:rPr>
          <w:rFonts w:ascii="Arial" w:eastAsia="Calibri" w:hAnsi="Arial" w:cs="Arial"/>
          <w:b/>
          <w:kern w:val="0"/>
          <w:lang w:val="en-ZA"/>
          <w14:ligatures w14:val="none"/>
        </w:rPr>
      </w:pPr>
      <w:r w:rsidRPr="00FF3776">
        <w:rPr>
          <w:rFonts w:ascii="Arial" w:eastAsia="Calibri" w:hAnsi="Arial" w:cs="Arial"/>
          <w:b/>
          <w:kern w:val="0"/>
          <w:lang w:val="en-ZA"/>
          <w14:ligatures w14:val="none"/>
        </w:rPr>
        <w:t>JUDGMENT</w:t>
      </w:r>
    </w:p>
    <w:p w14:paraId="776144F9" w14:textId="77777777" w:rsidR="00CD5130" w:rsidRPr="00CD5130" w:rsidRDefault="00CD5130" w:rsidP="00CD5130">
      <w:pPr>
        <w:spacing w:after="240" w:line="360" w:lineRule="auto"/>
        <w:jc w:val="both"/>
        <w:rPr>
          <w:rFonts w:ascii="Arial" w:hAnsi="Arial" w:cs="Arial"/>
          <w:b/>
        </w:rPr>
      </w:pPr>
      <w:r w:rsidRPr="00CD5130">
        <w:rPr>
          <w:rFonts w:ascii="Arial" w:hAnsi="Arial" w:cs="Arial"/>
          <w:b/>
        </w:rPr>
        <w:t>FISHER J</w:t>
      </w:r>
    </w:p>
    <w:p w14:paraId="69A004F5" w14:textId="77777777" w:rsidR="00471DC2" w:rsidRPr="00CD5130" w:rsidRDefault="00471DC2" w:rsidP="00CD5130">
      <w:pPr>
        <w:pStyle w:val="ListParagraph"/>
        <w:spacing w:before="0" w:after="240" w:line="360" w:lineRule="auto"/>
        <w:ind w:hanging="720"/>
        <w:contextualSpacing w:val="0"/>
        <w:mirrorIndents w:val="0"/>
        <w:jc w:val="both"/>
        <w:rPr>
          <w:rFonts w:cs="Arial"/>
          <w:i/>
          <w:iCs/>
        </w:rPr>
      </w:pPr>
      <w:r w:rsidRPr="00CD5130">
        <w:rPr>
          <w:rFonts w:cs="Arial"/>
          <w:i/>
          <w:iCs/>
        </w:rPr>
        <w:t>Introduction</w:t>
      </w:r>
    </w:p>
    <w:p w14:paraId="7F9CC2F6" w14:textId="5E0D3168" w:rsidR="00E044ED" w:rsidRPr="009C1674" w:rsidRDefault="009C1674" w:rsidP="009C1674">
      <w:pPr>
        <w:spacing w:after="240" w:line="360" w:lineRule="auto"/>
        <w:ind w:left="720" w:hanging="720"/>
        <w:jc w:val="both"/>
        <w:rPr>
          <w:rFonts w:cs="Arial"/>
        </w:rPr>
      </w:pPr>
      <w:r>
        <w:rPr>
          <w:rFonts w:ascii="Arial" w:eastAsia="Calibri" w:hAnsi="Arial" w:cs="Arial"/>
          <w:lang w:val="en-ZA"/>
        </w:rPr>
        <w:t>[1]</w:t>
      </w:r>
      <w:r>
        <w:rPr>
          <w:rFonts w:ascii="Arial" w:eastAsia="Calibri" w:hAnsi="Arial" w:cs="Arial"/>
          <w:lang w:val="en-ZA"/>
        </w:rPr>
        <w:tab/>
      </w:r>
      <w:r w:rsidR="00471DC2" w:rsidRPr="009C1674">
        <w:rPr>
          <w:rFonts w:cs="Arial"/>
        </w:rPr>
        <w:t>The applicants have brought this application in two parts.</w:t>
      </w:r>
    </w:p>
    <w:p w14:paraId="0D201C04" w14:textId="7AB16C2F" w:rsidR="00E044ED" w:rsidRPr="009C1674" w:rsidRDefault="009C1674" w:rsidP="009C1674">
      <w:pPr>
        <w:spacing w:after="240" w:line="360" w:lineRule="auto"/>
        <w:ind w:left="720" w:hanging="720"/>
        <w:jc w:val="both"/>
        <w:rPr>
          <w:rFonts w:cs="Arial"/>
        </w:rPr>
      </w:pPr>
      <w:r>
        <w:rPr>
          <w:rFonts w:ascii="Arial" w:eastAsia="Calibri" w:hAnsi="Arial" w:cs="Arial"/>
          <w:lang w:val="en-ZA"/>
        </w:rPr>
        <w:t>[2]</w:t>
      </w:r>
      <w:r>
        <w:rPr>
          <w:rFonts w:ascii="Arial" w:eastAsia="Calibri" w:hAnsi="Arial" w:cs="Arial"/>
          <w:lang w:val="en-ZA"/>
        </w:rPr>
        <w:tab/>
      </w:r>
      <w:r w:rsidR="00471DC2" w:rsidRPr="009C1674">
        <w:rPr>
          <w:rFonts w:cs="Arial"/>
        </w:rPr>
        <w:t xml:space="preserve"> In Part A the</w:t>
      </w:r>
      <w:r w:rsidR="005974EF" w:rsidRPr="009C1674">
        <w:rPr>
          <w:rFonts w:cs="Arial"/>
        </w:rPr>
        <w:t>y</w:t>
      </w:r>
      <w:r w:rsidR="00471DC2" w:rsidRPr="009C1674">
        <w:rPr>
          <w:rFonts w:cs="Arial"/>
        </w:rPr>
        <w:t xml:space="preserve"> seek an interim </w:t>
      </w:r>
      <w:r w:rsidR="00C31AC4" w:rsidRPr="009C1674">
        <w:rPr>
          <w:rFonts w:cs="Arial"/>
        </w:rPr>
        <w:t>interdict restraining</w:t>
      </w:r>
      <w:r w:rsidR="00471DC2" w:rsidRPr="009C1674">
        <w:rPr>
          <w:rFonts w:cs="Arial"/>
        </w:rPr>
        <w:t xml:space="preserve"> the first to third respondents (collectively referred to hereinafter as "the respondents" or the CoJ) from performing or allowing any contractor</w:t>
      </w:r>
      <w:r w:rsidR="009E5AD4" w:rsidRPr="009C1674">
        <w:rPr>
          <w:rFonts w:cs="Arial"/>
        </w:rPr>
        <w:t>,</w:t>
      </w:r>
      <w:r w:rsidR="00471DC2" w:rsidRPr="009C1674">
        <w:rPr>
          <w:rFonts w:cs="Arial"/>
        </w:rPr>
        <w:t xml:space="preserve"> on their behalf</w:t>
      </w:r>
      <w:r w:rsidR="009E5AD4" w:rsidRPr="009C1674">
        <w:rPr>
          <w:rFonts w:cs="Arial"/>
        </w:rPr>
        <w:t>,</w:t>
      </w:r>
      <w:r w:rsidR="00471DC2" w:rsidRPr="009C1674">
        <w:rPr>
          <w:rFonts w:cs="Arial"/>
        </w:rPr>
        <w:t xml:space="preserve"> to perform, any construction work in respect of the </w:t>
      </w:r>
      <w:r w:rsidR="00471DC2" w:rsidRPr="009C1674">
        <w:rPr>
          <w:rFonts w:cs="Arial"/>
          <w:i/>
          <w:iCs/>
        </w:rPr>
        <w:t>Rea Vaya</w:t>
      </w:r>
      <w:r w:rsidR="00471DC2" w:rsidRPr="009C1674">
        <w:rPr>
          <w:rFonts w:cs="Arial"/>
        </w:rPr>
        <w:t>, Bus Rapid Transit ("BRT") terminal on Rivonia Road, between Sandton Drive and 5</w:t>
      </w:r>
      <w:r w:rsidR="00EE155A" w:rsidRPr="009C1674">
        <w:rPr>
          <w:rFonts w:cs="Arial"/>
          <w:vertAlign w:val="superscript"/>
        </w:rPr>
        <w:t>th</w:t>
      </w:r>
      <w:r w:rsidR="00EE155A" w:rsidRPr="009C1674">
        <w:rPr>
          <w:rFonts w:cs="Arial"/>
        </w:rPr>
        <w:t xml:space="preserve"> Street</w:t>
      </w:r>
      <w:r w:rsidR="00471DC2" w:rsidRPr="009C1674">
        <w:rPr>
          <w:rFonts w:cs="Arial"/>
        </w:rPr>
        <w:t>, Sandton.</w:t>
      </w:r>
    </w:p>
    <w:p w14:paraId="3AEB18A0" w14:textId="5A06405F" w:rsidR="00471DC2" w:rsidRPr="009C1674" w:rsidRDefault="009C1674" w:rsidP="009C1674">
      <w:pPr>
        <w:spacing w:after="240" w:line="360" w:lineRule="auto"/>
        <w:ind w:left="720" w:hanging="720"/>
        <w:jc w:val="both"/>
        <w:rPr>
          <w:rFonts w:cs="Arial"/>
        </w:rPr>
      </w:pPr>
      <w:r w:rsidRPr="00CD5130">
        <w:rPr>
          <w:rFonts w:ascii="Arial" w:eastAsia="Calibri" w:hAnsi="Arial" w:cs="Arial"/>
          <w:lang w:val="en-ZA"/>
        </w:rPr>
        <w:t>[3]</w:t>
      </w:r>
      <w:r w:rsidRPr="00CD5130">
        <w:rPr>
          <w:rFonts w:ascii="Arial" w:eastAsia="Calibri" w:hAnsi="Arial" w:cs="Arial"/>
          <w:lang w:val="en-ZA"/>
        </w:rPr>
        <w:tab/>
      </w:r>
      <w:r w:rsidR="00471DC2" w:rsidRPr="009C1674">
        <w:rPr>
          <w:rFonts w:cs="Arial"/>
        </w:rPr>
        <w:t xml:space="preserve"> Part B is </w:t>
      </w:r>
      <w:r w:rsidR="00F45B0A" w:rsidRPr="009C1674">
        <w:rPr>
          <w:rFonts w:cs="Arial"/>
        </w:rPr>
        <w:t xml:space="preserve">an application to review and set aside the decision to </w:t>
      </w:r>
      <w:r w:rsidR="00654DDE" w:rsidRPr="009C1674">
        <w:rPr>
          <w:rFonts w:cs="Arial"/>
        </w:rPr>
        <w:t xml:space="preserve">place the terminal on this </w:t>
      </w:r>
      <w:r w:rsidR="00966D2E" w:rsidRPr="009C1674">
        <w:rPr>
          <w:rFonts w:cs="Arial"/>
        </w:rPr>
        <w:t>spot.</w:t>
      </w:r>
    </w:p>
    <w:p w14:paraId="681C81FF" w14:textId="2A0E0BBA" w:rsidR="00C31AC4" w:rsidRPr="009C1674" w:rsidRDefault="009C1674" w:rsidP="009C1674">
      <w:pPr>
        <w:spacing w:after="240" w:line="360" w:lineRule="auto"/>
        <w:ind w:left="720" w:hanging="720"/>
        <w:jc w:val="both"/>
        <w:rPr>
          <w:rFonts w:cs="Arial"/>
        </w:rPr>
      </w:pPr>
      <w:r w:rsidRPr="002B3802">
        <w:rPr>
          <w:rFonts w:ascii="Arial" w:eastAsia="Calibri" w:hAnsi="Arial" w:cs="Arial"/>
          <w:lang w:val="en-ZA"/>
        </w:rPr>
        <w:t>[4]</w:t>
      </w:r>
      <w:r w:rsidRPr="002B3802">
        <w:rPr>
          <w:rFonts w:ascii="Arial" w:eastAsia="Calibri" w:hAnsi="Arial" w:cs="Arial"/>
          <w:lang w:val="en-ZA"/>
        </w:rPr>
        <w:tab/>
      </w:r>
      <w:r w:rsidR="00471DC2" w:rsidRPr="009C1674">
        <w:rPr>
          <w:rFonts w:cs="Arial"/>
        </w:rPr>
        <w:t>I am seized with</w:t>
      </w:r>
      <w:r w:rsidR="00C31AC4" w:rsidRPr="009C1674">
        <w:rPr>
          <w:rFonts w:cs="Arial"/>
        </w:rPr>
        <w:t xml:space="preserve"> the determination of</w:t>
      </w:r>
      <w:r w:rsidR="00471DC2" w:rsidRPr="009C1674">
        <w:rPr>
          <w:rFonts w:cs="Arial"/>
        </w:rPr>
        <w:t xml:space="preserve"> Part A</w:t>
      </w:r>
      <w:r w:rsidR="00731AB5" w:rsidRPr="009C1674">
        <w:rPr>
          <w:rFonts w:cs="Arial"/>
        </w:rPr>
        <w:t xml:space="preserve"> only,</w:t>
      </w:r>
      <w:r w:rsidR="00C31AC4" w:rsidRPr="009C1674">
        <w:rPr>
          <w:rFonts w:cs="Arial"/>
        </w:rPr>
        <w:t xml:space="preserve"> which I do against a factual background which is</w:t>
      </w:r>
      <w:r w:rsidR="002247E7" w:rsidRPr="009C1674">
        <w:rPr>
          <w:rFonts w:cs="Arial"/>
        </w:rPr>
        <w:t>,</w:t>
      </w:r>
      <w:r w:rsidR="00C31AC4" w:rsidRPr="009C1674">
        <w:rPr>
          <w:rFonts w:cs="Arial"/>
        </w:rPr>
        <w:t xml:space="preserve"> for the most part, common cause.</w:t>
      </w:r>
    </w:p>
    <w:p w14:paraId="28B4059B" w14:textId="77777777" w:rsidR="00C31AC4" w:rsidRPr="002B3802" w:rsidRDefault="00C31AC4" w:rsidP="002B3802">
      <w:pPr>
        <w:spacing w:after="240" w:line="360" w:lineRule="auto"/>
        <w:jc w:val="both"/>
        <w:rPr>
          <w:rFonts w:cs="Arial"/>
          <w:i/>
          <w:iCs/>
        </w:rPr>
      </w:pPr>
      <w:r w:rsidRPr="002B3802">
        <w:rPr>
          <w:rFonts w:cs="Arial"/>
          <w:i/>
          <w:iCs/>
        </w:rPr>
        <w:t xml:space="preserve">Factual background </w:t>
      </w:r>
    </w:p>
    <w:p w14:paraId="06299F50" w14:textId="41415BA0" w:rsidR="00E044ED" w:rsidRPr="009C1674" w:rsidRDefault="009C1674" w:rsidP="009C1674">
      <w:pPr>
        <w:spacing w:after="240" w:line="360" w:lineRule="auto"/>
        <w:ind w:left="720" w:hanging="720"/>
        <w:jc w:val="both"/>
        <w:rPr>
          <w:rFonts w:cs="Arial"/>
        </w:rPr>
      </w:pPr>
      <w:r>
        <w:rPr>
          <w:rFonts w:ascii="Arial" w:eastAsia="Calibri" w:hAnsi="Arial" w:cs="Arial"/>
          <w:lang w:val="en-ZA"/>
        </w:rPr>
        <w:t>[5]</w:t>
      </w:r>
      <w:r>
        <w:rPr>
          <w:rFonts w:ascii="Arial" w:eastAsia="Calibri" w:hAnsi="Arial" w:cs="Arial"/>
          <w:lang w:val="en-ZA"/>
        </w:rPr>
        <w:tab/>
      </w:r>
      <w:r w:rsidR="00966D2E" w:rsidRPr="009C1674">
        <w:rPr>
          <w:rFonts w:cs="Arial"/>
        </w:rPr>
        <w:t xml:space="preserve">The </w:t>
      </w:r>
      <w:r w:rsidR="00C31AC4" w:rsidRPr="009C1674">
        <w:rPr>
          <w:rFonts w:cs="Arial"/>
        </w:rPr>
        <w:t>BRT system is a transport network designed to deliver comfortable, low-cost</w:t>
      </w:r>
      <w:r w:rsidR="00E044ED" w:rsidRPr="009C1674">
        <w:rPr>
          <w:rFonts w:cs="Arial"/>
        </w:rPr>
        <w:t>,</w:t>
      </w:r>
      <w:r w:rsidR="00C31AC4" w:rsidRPr="009C1674">
        <w:rPr>
          <w:rFonts w:cs="Arial"/>
        </w:rPr>
        <w:t xml:space="preserve"> efficient urban mobility to public transport users. </w:t>
      </w:r>
    </w:p>
    <w:p w14:paraId="1D47C95A" w14:textId="25F9F092" w:rsidR="00C31AC4" w:rsidRPr="009C1674" w:rsidRDefault="009C1674" w:rsidP="009C1674">
      <w:pPr>
        <w:spacing w:after="240" w:line="360" w:lineRule="auto"/>
        <w:ind w:left="720" w:hanging="720"/>
        <w:jc w:val="both"/>
        <w:rPr>
          <w:rFonts w:cs="Arial"/>
        </w:rPr>
      </w:pPr>
      <w:r w:rsidRPr="00CD5130">
        <w:rPr>
          <w:rFonts w:ascii="Arial" w:eastAsia="Calibri" w:hAnsi="Arial" w:cs="Arial"/>
          <w:lang w:val="en-ZA"/>
        </w:rPr>
        <w:t>[6]</w:t>
      </w:r>
      <w:r w:rsidRPr="00CD5130">
        <w:rPr>
          <w:rFonts w:ascii="Arial" w:eastAsia="Calibri" w:hAnsi="Arial" w:cs="Arial"/>
          <w:lang w:val="en-ZA"/>
        </w:rPr>
        <w:tab/>
      </w:r>
      <w:r w:rsidR="00C31AC4" w:rsidRPr="009C1674">
        <w:rPr>
          <w:rFonts w:cs="Arial"/>
        </w:rPr>
        <w:t xml:space="preserve">The BRT programme forms part of a broader public transport strategy which was approved by Parliament in 2007. </w:t>
      </w:r>
      <w:r w:rsidR="00E044ED" w:rsidRPr="009C1674">
        <w:rPr>
          <w:rFonts w:cs="Arial"/>
        </w:rPr>
        <w:t xml:space="preserve">Its purpose is </w:t>
      </w:r>
      <w:r w:rsidR="002247E7" w:rsidRPr="009C1674">
        <w:rPr>
          <w:rFonts w:cs="Arial"/>
        </w:rPr>
        <w:t xml:space="preserve">to connect </w:t>
      </w:r>
      <w:r w:rsidR="00C31AC4" w:rsidRPr="009C1674">
        <w:rPr>
          <w:rFonts w:cs="Arial"/>
        </w:rPr>
        <w:t xml:space="preserve">different parts of </w:t>
      </w:r>
      <w:r w:rsidR="00E044ED" w:rsidRPr="009C1674">
        <w:rPr>
          <w:rFonts w:cs="Arial"/>
        </w:rPr>
        <w:t>the city</w:t>
      </w:r>
      <w:r w:rsidR="00C31AC4" w:rsidRPr="009C1674">
        <w:rPr>
          <w:rFonts w:cs="Arial"/>
        </w:rPr>
        <w:t xml:space="preserve"> which were previously difficult and costly to navigate.</w:t>
      </w:r>
    </w:p>
    <w:p w14:paraId="66044474" w14:textId="1F4829E4" w:rsidR="00C31AC4" w:rsidRPr="00CD5130" w:rsidRDefault="003C4B25" w:rsidP="00E044ED">
      <w:pPr>
        <w:pStyle w:val="ListParagraph"/>
        <w:spacing w:after="240" w:line="360" w:lineRule="auto"/>
        <w:contextualSpacing w:val="0"/>
        <w:mirrorIndents w:val="0"/>
        <w:jc w:val="both"/>
        <w:rPr>
          <w:rFonts w:cs="Arial"/>
        </w:rPr>
      </w:pPr>
      <w:r>
        <w:rPr>
          <w:rFonts w:cs="Arial"/>
        </w:rPr>
        <w:lastRenderedPageBreak/>
        <w:t>H</w:t>
      </w:r>
      <w:r w:rsidR="00A87601">
        <w:rPr>
          <w:rFonts w:cs="Arial"/>
        </w:rPr>
        <w:t xml:space="preserve">istorical </w:t>
      </w:r>
      <w:r w:rsidR="00A87601" w:rsidRPr="00CD5130">
        <w:rPr>
          <w:rFonts w:cs="Arial"/>
        </w:rPr>
        <w:t>transport</w:t>
      </w:r>
      <w:r w:rsidR="008B1AAF" w:rsidRPr="00CD5130">
        <w:rPr>
          <w:rFonts w:cs="Arial"/>
        </w:rPr>
        <w:t xml:space="preserve"> </w:t>
      </w:r>
      <w:r>
        <w:rPr>
          <w:rFonts w:cs="Arial"/>
        </w:rPr>
        <w:t>planning has</w:t>
      </w:r>
      <w:r w:rsidR="00A87601">
        <w:rPr>
          <w:rFonts w:cs="Arial"/>
        </w:rPr>
        <w:t xml:space="preserve"> </w:t>
      </w:r>
      <w:r w:rsidR="008B1AAF" w:rsidRPr="00CD5130">
        <w:rPr>
          <w:rFonts w:cs="Arial"/>
        </w:rPr>
        <w:t xml:space="preserve">resulted in the majority of </w:t>
      </w:r>
      <w:r w:rsidR="00966D2E" w:rsidRPr="00CD5130">
        <w:rPr>
          <w:rFonts w:cs="Arial"/>
        </w:rPr>
        <w:t>people residing</w:t>
      </w:r>
      <w:r w:rsidR="008B1AAF" w:rsidRPr="00CD5130">
        <w:rPr>
          <w:rFonts w:cs="Arial"/>
        </w:rPr>
        <w:t xml:space="preserve"> on the outskirts of the Johannesburg</w:t>
      </w:r>
      <w:r w:rsidR="001541E9" w:rsidRPr="00CD5130">
        <w:rPr>
          <w:rFonts w:cs="Arial"/>
        </w:rPr>
        <w:t xml:space="preserve"> and Sandton </w:t>
      </w:r>
      <w:r w:rsidR="003D02D9" w:rsidRPr="00CD5130">
        <w:rPr>
          <w:rFonts w:cs="Arial"/>
        </w:rPr>
        <w:t xml:space="preserve">central business </w:t>
      </w:r>
      <w:r w:rsidR="00A0475C" w:rsidRPr="00CD5130">
        <w:rPr>
          <w:rFonts w:cs="Arial"/>
        </w:rPr>
        <w:t>districts</w:t>
      </w:r>
      <w:r w:rsidR="008B1AAF" w:rsidRPr="00CD5130">
        <w:rPr>
          <w:rFonts w:cs="Arial"/>
        </w:rPr>
        <w:t xml:space="preserve"> with the attendant disadvantages from a socio-economic perspective.</w:t>
      </w:r>
      <w:r w:rsidR="00436B9E" w:rsidRPr="00CD5130">
        <w:rPr>
          <w:rFonts w:cs="Arial"/>
        </w:rPr>
        <w:t xml:space="preserve"> The initial decision made by the CoJ to implement the plan and construct the BRC took place in 2013</w:t>
      </w:r>
      <w:r w:rsidR="00A87601">
        <w:rPr>
          <w:rFonts w:cs="Arial"/>
        </w:rPr>
        <w:t xml:space="preserve"> and there was </w:t>
      </w:r>
      <w:r w:rsidR="00E940C2">
        <w:rPr>
          <w:rFonts w:cs="Arial"/>
        </w:rPr>
        <w:t xml:space="preserve">formal </w:t>
      </w:r>
      <w:r w:rsidR="00A87601">
        <w:rPr>
          <w:rFonts w:cs="Arial"/>
        </w:rPr>
        <w:t xml:space="preserve">publication of this decision. </w:t>
      </w:r>
    </w:p>
    <w:p w14:paraId="2F14DFB8" w14:textId="4261447F" w:rsidR="00A87601" w:rsidRPr="009C1674" w:rsidRDefault="009C1674" w:rsidP="009C1674">
      <w:pPr>
        <w:spacing w:after="240" w:line="360" w:lineRule="auto"/>
        <w:ind w:left="720" w:hanging="720"/>
        <w:jc w:val="both"/>
        <w:rPr>
          <w:rFonts w:cs="Arial"/>
        </w:rPr>
      </w:pPr>
      <w:r>
        <w:rPr>
          <w:rFonts w:ascii="Arial" w:eastAsia="Calibri" w:hAnsi="Arial" w:cs="Arial"/>
          <w:lang w:val="en-ZA"/>
        </w:rPr>
        <w:t>[7]</w:t>
      </w:r>
      <w:r>
        <w:rPr>
          <w:rFonts w:ascii="Arial" w:eastAsia="Calibri" w:hAnsi="Arial" w:cs="Arial"/>
          <w:lang w:val="en-ZA"/>
        </w:rPr>
        <w:tab/>
      </w:r>
      <w:r w:rsidR="008B1AAF" w:rsidRPr="009C1674">
        <w:rPr>
          <w:rFonts w:cs="Arial"/>
        </w:rPr>
        <w:t>The BRT programme has entailed the planning and construction of various BRT terminals or “stations” which link the outskirts to the inner-city areas</w:t>
      </w:r>
      <w:r w:rsidR="005F73F1" w:rsidRPr="009C1674">
        <w:rPr>
          <w:rFonts w:cs="Arial"/>
        </w:rPr>
        <w:t>.</w:t>
      </w:r>
    </w:p>
    <w:p w14:paraId="4CC31046" w14:textId="418D878B" w:rsidR="008B1AAF" w:rsidRPr="009C1674" w:rsidRDefault="009C1674" w:rsidP="009C1674">
      <w:pPr>
        <w:spacing w:after="240" w:line="360" w:lineRule="auto"/>
        <w:ind w:left="720" w:hanging="720"/>
        <w:jc w:val="both"/>
        <w:rPr>
          <w:rFonts w:cs="Arial"/>
        </w:rPr>
      </w:pPr>
      <w:r w:rsidRPr="00CD5130">
        <w:rPr>
          <w:rFonts w:ascii="Arial" w:eastAsia="Calibri" w:hAnsi="Arial" w:cs="Arial"/>
          <w:lang w:val="en-ZA"/>
        </w:rPr>
        <w:t>[8]</w:t>
      </w:r>
      <w:r w:rsidRPr="00CD5130">
        <w:rPr>
          <w:rFonts w:ascii="Arial" w:eastAsia="Calibri" w:hAnsi="Arial" w:cs="Arial"/>
          <w:lang w:val="en-ZA"/>
        </w:rPr>
        <w:tab/>
      </w:r>
      <w:r w:rsidR="005F73F1" w:rsidRPr="009C1674">
        <w:rPr>
          <w:rFonts w:cs="Arial"/>
        </w:rPr>
        <w:t xml:space="preserve"> </w:t>
      </w:r>
      <w:r w:rsidR="00FA2AE1" w:rsidRPr="009C1674">
        <w:rPr>
          <w:rFonts w:cs="Arial"/>
        </w:rPr>
        <w:t xml:space="preserve">It currently </w:t>
      </w:r>
      <w:r w:rsidR="0072586F" w:rsidRPr="009C1674">
        <w:rPr>
          <w:rFonts w:cs="Arial"/>
        </w:rPr>
        <w:t>sees expansion</w:t>
      </w:r>
      <w:r w:rsidR="002B3802" w:rsidRPr="009C1674">
        <w:rPr>
          <w:rFonts w:cs="Arial"/>
        </w:rPr>
        <w:t xml:space="preserve"> towards Sandton, Rosebank, </w:t>
      </w:r>
      <w:r w:rsidR="00FA2AE1" w:rsidRPr="009C1674">
        <w:rPr>
          <w:rFonts w:cs="Arial"/>
        </w:rPr>
        <w:t>Midrand and Alexandra.</w:t>
      </w:r>
      <w:r w:rsidR="00A87601" w:rsidRPr="009C1674">
        <w:rPr>
          <w:rFonts w:cs="Arial"/>
        </w:rPr>
        <w:t xml:space="preserve"> This is the leg of the programme which has relevance to this application.</w:t>
      </w:r>
    </w:p>
    <w:p w14:paraId="72542A1D" w14:textId="03713479" w:rsidR="008B1AAF" w:rsidRPr="009C1674" w:rsidRDefault="009C1674" w:rsidP="009C1674">
      <w:pPr>
        <w:spacing w:after="240" w:line="360" w:lineRule="auto"/>
        <w:ind w:left="720" w:hanging="720"/>
        <w:jc w:val="both"/>
        <w:rPr>
          <w:rFonts w:cs="Arial"/>
        </w:rPr>
      </w:pPr>
      <w:r w:rsidRPr="00CD5130">
        <w:rPr>
          <w:rFonts w:ascii="Arial" w:eastAsia="Calibri" w:hAnsi="Arial" w:cs="Arial"/>
          <w:lang w:val="en-ZA"/>
        </w:rPr>
        <w:t>[9]</w:t>
      </w:r>
      <w:r w:rsidRPr="00CD5130">
        <w:rPr>
          <w:rFonts w:ascii="Arial" w:eastAsia="Calibri" w:hAnsi="Arial" w:cs="Arial"/>
          <w:lang w:val="en-ZA"/>
        </w:rPr>
        <w:tab/>
      </w:r>
      <w:r w:rsidR="00BC3C76" w:rsidRPr="009C1674">
        <w:rPr>
          <w:rFonts w:cs="Arial"/>
        </w:rPr>
        <w:t xml:space="preserve"> The terminal in issue is currently under construction opposite the Rivonia Rd entrance to Sandton City Shopping Centre</w:t>
      </w:r>
      <w:r w:rsidR="00D311D1" w:rsidRPr="009C1674">
        <w:rPr>
          <w:rFonts w:cs="Arial"/>
        </w:rPr>
        <w:t>.</w:t>
      </w:r>
    </w:p>
    <w:p w14:paraId="21E08ED3" w14:textId="25A615D6" w:rsidR="00BC3C76" w:rsidRPr="009C1674" w:rsidRDefault="009C1674" w:rsidP="009C1674">
      <w:pPr>
        <w:spacing w:after="240" w:line="360" w:lineRule="auto"/>
        <w:ind w:left="720" w:hanging="720"/>
        <w:jc w:val="both"/>
        <w:rPr>
          <w:rFonts w:cs="Arial"/>
        </w:rPr>
      </w:pPr>
      <w:r w:rsidRPr="00CD5130">
        <w:rPr>
          <w:rFonts w:ascii="Arial" w:eastAsia="Calibri" w:hAnsi="Arial" w:cs="Arial"/>
          <w:lang w:val="en-ZA"/>
        </w:rPr>
        <w:t>[10]</w:t>
      </w:r>
      <w:r w:rsidRPr="00CD5130">
        <w:rPr>
          <w:rFonts w:ascii="Arial" w:eastAsia="Calibri" w:hAnsi="Arial" w:cs="Arial"/>
          <w:lang w:val="en-ZA"/>
        </w:rPr>
        <w:tab/>
      </w:r>
      <w:r w:rsidR="00BC3C76" w:rsidRPr="009C1674">
        <w:rPr>
          <w:rFonts w:cs="Arial"/>
        </w:rPr>
        <w:t xml:space="preserve">The applicants who are variously involved in the </w:t>
      </w:r>
      <w:r w:rsidR="00864351" w:rsidRPr="009C1674">
        <w:rPr>
          <w:rFonts w:cs="Arial"/>
        </w:rPr>
        <w:t xml:space="preserve">design, </w:t>
      </w:r>
      <w:r w:rsidR="00BC3C76" w:rsidRPr="009C1674">
        <w:rPr>
          <w:rFonts w:cs="Arial"/>
        </w:rPr>
        <w:t>ownership and management of the Sandton City precinct are dissatisfied with the choice of th</w:t>
      </w:r>
      <w:r w:rsidR="00864351" w:rsidRPr="009C1674">
        <w:rPr>
          <w:rFonts w:cs="Arial"/>
        </w:rPr>
        <w:t>is</w:t>
      </w:r>
      <w:r w:rsidR="00BC3C76" w:rsidRPr="009C1674">
        <w:rPr>
          <w:rFonts w:cs="Arial"/>
        </w:rPr>
        <w:t xml:space="preserve"> site and, as I have said, </w:t>
      </w:r>
      <w:r w:rsidR="00E16DBD" w:rsidRPr="009C1674">
        <w:rPr>
          <w:rFonts w:cs="Arial"/>
        </w:rPr>
        <w:t xml:space="preserve">plan </w:t>
      </w:r>
      <w:r w:rsidR="00BC3C76" w:rsidRPr="009C1674">
        <w:rPr>
          <w:rFonts w:cs="Arial"/>
        </w:rPr>
        <w:t>to review the decision in due course</w:t>
      </w:r>
      <w:r w:rsidR="00FA2AE1" w:rsidRPr="009C1674">
        <w:rPr>
          <w:rFonts w:cs="Arial"/>
        </w:rPr>
        <w:t xml:space="preserve"> under Part B</w:t>
      </w:r>
      <w:r w:rsidR="00BC3C76" w:rsidRPr="009C1674">
        <w:rPr>
          <w:rFonts w:cs="Arial"/>
        </w:rPr>
        <w:t>.</w:t>
      </w:r>
    </w:p>
    <w:p w14:paraId="5E5253E7" w14:textId="5756A1C5" w:rsidR="000E44F7" w:rsidRPr="009C1674" w:rsidRDefault="009C1674" w:rsidP="009C1674">
      <w:pPr>
        <w:spacing w:after="240" w:line="360" w:lineRule="auto"/>
        <w:ind w:left="720" w:hanging="720"/>
        <w:jc w:val="both"/>
        <w:rPr>
          <w:rFonts w:cs="Arial"/>
        </w:rPr>
      </w:pPr>
      <w:r>
        <w:rPr>
          <w:rFonts w:ascii="Arial" w:eastAsia="Calibri" w:hAnsi="Arial" w:cs="Arial"/>
          <w:lang w:val="en-ZA"/>
        </w:rPr>
        <w:t>[11]</w:t>
      </w:r>
      <w:r>
        <w:rPr>
          <w:rFonts w:ascii="Arial" w:eastAsia="Calibri" w:hAnsi="Arial" w:cs="Arial"/>
          <w:lang w:val="en-ZA"/>
        </w:rPr>
        <w:tab/>
      </w:r>
      <w:r w:rsidR="003D67D9" w:rsidRPr="009C1674">
        <w:rPr>
          <w:rFonts w:cs="Arial"/>
        </w:rPr>
        <w:t>Since 2019</w:t>
      </w:r>
      <w:r w:rsidR="002B3802" w:rsidRPr="009C1674">
        <w:rPr>
          <w:rFonts w:cs="Arial"/>
        </w:rPr>
        <w:t xml:space="preserve"> </w:t>
      </w:r>
      <w:r w:rsidR="000E2C5F" w:rsidRPr="009C1674">
        <w:rPr>
          <w:rFonts w:cs="Arial"/>
        </w:rPr>
        <w:t xml:space="preserve">there </w:t>
      </w:r>
      <w:r w:rsidR="009D1215" w:rsidRPr="009C1674">
        <w:rPr>
          <w:rFonts w:cs="Arial"/>
        </w:rPr>
        <w:t>has been substantial engagement with the various stakeho</w:t>
      </w:r>
      <w:r w:rsidR="00CF4414" w:rsidRPr="009C1674">
        <w:rPr>
          <w:rFonts w:cs="Arial"/>
        </w:rPr>
        <w:t>lders in the precinct</w:t>
      </w:r>
      <w:r w:rsidR="00864351" w:rsidRPr="009C1674">
        <w:rPr>
          <w:rFonts w:cs="Arial"/>
        </w:rPr>
        <w:t>,</w:t>
      </w:r>
      <w:r w:rsidR="00E16DBD" w:rsidRPr="009C1674">
        <w:rPr>
          <w:rFonts w:cs="Arial"/>
        </w:rPr>
        <w:t xml:space="preserve"> including the applicants</w:t>
      </w:r>
      <w:r w:rsidR="00864351" w:rsidRPr="009C1674">
        <w:rPr>
          <w:rFonts w:cs="Arial"/>
        </w:rPr>
        <w:t>,</w:t>
      </w:r>
      <w:r w:rsidR="00E16DBD" w:rsidRPr="009C1674">
        <w:rPr>
          <w:rFonts w:cs="Arial"/>
        </w:rPr>
        <w:t xml:space="preserve"> relating</w:t>
      </w:r>
      <w:r w:rsidR="003C39B2" w:rsidRPr="009C1674">
        <w:rPr>
          <w:rFonts w:cs="Arial"/>
        </w:rPr>
        <w:t xml:space="preserve"> to </w:t>
      </w:r>
      <w:r w:rsidR="00E16DBD" w:rsidRPr="009C1674">
        <w:rPr>
          <w:rFonts w:cs="Arial"/>
        </w:rPr>
        <w:t>the placement of a</w:t>
      </w:r>
      <w:r w:rsidR="003C39B2" w:rsidRPr="009C1674">
        <w:rPr>
          <w:rFonts w:cs="Arial"/>
        </w:rPr>
        <w:t xml:space="preserve"> terminal in the </w:t>
      </w:r>
      <w:r w:rsidR="003D67D9" w:rsidRPr="009C1674">
        <w:rPr>
          <w:rFonts w:cs="Arial"/>
        </w:rPr>
        <w:t>Sandton</w:t>
      </w:r>
      <w:r w:rsidR="003C39B2" w:rsidRPr="009C1674">
        <w:rPr>
          <w:rFonts w:cs="Arial"/>
        </w:rPr>
        <w:t xml:space="preserve"> </w:t>
      </w:r>
      <w:r w:rsidR="003D67D9" w:rsidRPr="009C1674">
        <w:rPr>
          <w:rFonts w:cs="Arial"/>
        </w:rPr>
        <w:t>p</w:t>
      </w:r>
      <w:r w:rsidR="003C39B2" w:rsidRPr="009C1674">
        <w:rPr>
          <w:rFonts w:cs="Arial"/>
        </w:rPr>
        <w:t>rec</w:t>
      </w:r>
      <w:r w:rsidR="002B3802" w:rsidRPr="009C1674">
        <w:rPr>
          <w:rFonts w:cs="Arial"/>
        </w:rPr>
        <w:t>inct</w:t>
      </w:r>
      <w:r w:rsidR="00CF4414" w:rsidRPr="009C1674">
        <w:rPr>
          <w:rFonts w:cs="Arial"/>
        </w:rPr>
        <w:t>.</w:t>
      </w:r>
    </w:p>
    <w:p w14:paraId="3ED40AE5" w14:textId="2472BD94" w:rsidR="00572B4F" w:rsidRPr="009C1674" w:rsidRDefault="009C1674" w:rsidP="009C1674">
      <w:pPr>
        <w:spacing w:after="240" w:line="360" w:lineRule="auto"/>
        <w:ind w:left="720" w:hanging="720"/>
        <w:jc w:val="both"/>
        <w:rPr>
          <w:rFonts w:cs="Arial"/>
        </w:rPr>
      </w:pPr>
      <w:r w:rsidRPr="00CD5130">
        <w:rPr>
          <w:rFonts w:ascii="Arial" w:eastAsia="Calibri" w:hAnsi="Arial" w:cs="Arial"/>
          <w:lang w:val="en-ZA"/>
        </w:rPr>
        <w:t>[12]</w:t>
      </w:r>
      <w:r w:rsidRPr="00CD5130">
        <w:rPr>
          <w:rFonts w:ascii="Arial" w:eastAsia="Calibri" w:hAnsi="Arial" w:cs="Arial"/>
          <w:lang w:val="en-ZA"/>
        </w:rPr>
        <w:tab/>
      </w:r>
      <w:r w:rsidR="00CF4414" w:rsidRPr="009C1674">
        <w:rPr>
          <w:rFonts w:cs="Arial"/>
        </w:rPr>
        <w:t xml:space="preserve"> Initially </w:t>
      </w:r>
      <w:r w:rsidR="00B459C4" w:rsidRPr="009C1674">
        <w:rPr>
          <w:rFonts w:cs="Arial"/>
        </w:rPr>
        <w:t xml:space="preserve">the location of the </w:t>
      </w:r>
      <w:r w:rsidR="00D87AC9" w:rsidRPr="009C1674">
        <w:rPr>
          <w:rFonts w:cs="Arial"/>
        </w:rPr>
        <w:t>terminal</w:t>
      </w:r>
      <w:r w:rsidR="000B5A12" w:rsidRPr="009C1674">
        <w:rPr>
          <w:rFonts w:cs="Arial"/>
        </w:rPr>
        <w:t xml:space="preserve"> was to be</w:t>
      </w:r>
      <w:r w:rsidR="0012320B" w:rsidRPr="009C1674">
        <w:rPr>
          <w:rFonts w:cs="Arial"/>
        </w:rPr>
        <w:t xml:space="preserve"> </w:t>
      </w:r>
      <w:r w:rsidR="004C1583" w:rsidRPr="009C1674">
        <w:rPr>
          <w:rFonts w:cs="Arial"/>
        </w:rPr>
        <w:t xml:space="preserve">between </w:t>
      </w:r>
      <w:r w:rsidR="0060434D" w:rsidRPr="009C1674">
        <w:rPr>
          <w:rFonts w:cs="Arial"/>
        </w:rPr>
        <w:t xml:space="preserve">West and fifth streets on </w:t>
      </w:r>
      <w:r w:rsidR="000E44F7" w:rsidRPr="009C1674">
        <w:rPr>
          <w:rFonts w:cs="Arial"/>
        </w:rPr>
        <w:t>Rivonia Road</w:t>
      </w:r>
      <w:r w:rsidR="000B5A12" w:rsidRPr="009C1674">
        <w:rPr>
          <w:rFonts w:cs="Arial"/>
        </w:rPr>
        <w:t>. The applicants were satisfied with</w:t>
      </w:r>
      <w:r w:rsidR="00B55C79" w:rsidRPr="009C1674">
        <w:rPr>
          <w:rFonts w:cs="Arial"/>
        </w:rPr>
        <w:t xml:space="preserve"> </w:t>
      </w:r>
      <w:r w:rsidR="000B5A12" w:rsidRPr="009C1674">
        <w:rPr>
          <w:rFonts w:cs="Arial"/>
        </w:rPr>
        <w:t>this arrangement</w:t>
      </w:r>
      <w:r w:rsidR="000E44F7" w:rsidRPr="009C1674">
        <w:rPr>
          <w:rFonts w:cs="Arial"/>
        </w:rPr>
        <w:t>.</w:t>
      </w:r>
    </w:p>
    <w:p w14:paraId="67B2CFA7" w14:textId="6619A376" w:rsidR="00D87AC9" w:rsidRPr="009C1674" w:rsidRDefault="009C1674" w:rsidP="009C1674">
      <w:pPr>
        <w:spacing w:after="240" w:line="360" w:lineRule="auto"/>
        <w:ind w:left="720" w:hanging="720"/>
        <w:jc w:val="both"/>
        <w:rPr>
          <w:rFonts w:cs="Arial"/>
        </w:rPr>
      </w:pPr>
      <w:r w:rsidRPr="00CD5130">
        <w:rPr>
          <w:rFonts w:ascii="Arial" w:eastAsia="Calibri" w:hAnsi="Arial" w:cs="Arial"/>
          <w:lang w:val="en-ZA"/>
        </w:rPr>
        <w:t>[13]</w:t>
      </w:r>
      <w:r w:rsidRPr="00CD5130">
        <w:rPr>
          <w:rFonts w:ascii="Arial" w:eastAsia="Calibri" w:hAnsi="Arial" w:cs="Arial"/>
          <w:lang w:val="en-ZA"/>
        </w:rPr>
        <w:tab/>
      </w:r>
      <w:r w:rsidR="000B5A12" w:rsidRPr="009C1674">
        <w:rPr>
          <w:rFonts w:cs="Arial"/>
        </w:rPr>
        <w:t>As the project developed</w:t>
      </w:r>
      <w:r w:rsidR="000E44F7" w:rsidRPr="009C1674">
        <w:rPr>
          <w:rFonts w:cs="Arial"/>
        </w:rPr>
        <w:t>,</w:t>
      </w:r>
      <w:r w:rsidR="000B5A12" w:rsidRPr="009C1674">
        <w:rPr>
          <w:rFonts w:cs="Arial"/>
        </w:rPr>
        <w:t xml:space="preserve"> how</w:t>
      </w:r>
      <w:r w:rsidR="00B55C79" w:rsidRPr="009C1674">
        <w:rPr>
          <w:rFonts w:cs="Arial"/>
        </w:rPr>
        <w:t>ever</w:t>
      </w:r>
      <w:r w:rsidR="000E44F7" w:rsidRPr="009C1674">
        <w:rPr>
          <w:rFonts w:cs="Arial"/>
        </w:rPr>
        <w:t>,</w:t>
      </w:r>
      <w:r w:rsidR="00B55C79" w:rsidRPr="009C1674">
        <w:rPr>
          <w:rFonts w:cs="Arial"/>
        </w:rPr>
        <w:t xml:space="preserve"> the respondents took the de</w:t>
      </w:r>
      <w:r w:rsidR="00DF50A5" w:rsidRPr="009C1674">
        <w:rPr>
          <w:rFonts w:cs="Arial"/>
        </w:rPr>
        <w:t>c</w:t>
      </w:r>
      <w:r w:rsidR="00B55C79" w:rsidRPr="009C1674">
        <w:rPr>
          <w:rFonts w:cs="Arial"/>
        </w:rPr>
        <w:t xml:space="preserve">ision to relocate the </w:t>
      </w:r>
      <w:r w:rsidR="00DF50A5" w:rsidRPr="009C1674">
        <w:rPr>
          <w:rFonts w:cs="Arial"/>
        </w:rPr>
        <w:t xml:space="preserve">station. </w:t>
      </w:r>
      <w:r w:rsidR="00D9770E" w:rsidRPr="009C1674">
        <w:rPr>
          <w:rFonts w:cs="Arial"/>
        </w:rPr>
        <w:t xml:space="preserve">The respondents say that this change came about as a </w:t>
      </w:r>
      <w:r w:rsidR="008E49E4" w:rsidRPr="009C1674">
        <w:rPr>
          <w:rFonts w:cs="Arial"/>
        </w:rPr>
        <w:t xml:space="preserve">direct </w:t>
      </w:r>
      <w:r w:rsidR="00D9770E" w:rsidRPr="009C1674">
        <w:rPr>
          <w:rFonts w:cs="Arial"/>
        </w:rPr>
        <w:t xml:space="preserve">result of the </w:t>
      </w:r>
      <w:r w:rsidR="00E16DBD" w:rsidRPr="009C1674">
        <w:rPr>
          <w:rFonts w:cs="Arial"/>
        </w:rPr>
        <w:t xml:space="preserve">public </w:t>
      </w:r>
      <w:r w:rsidR="00D9770E" w:rsidRPr="009C1674">
        <w:rPr>
          <w:rFonts w:cs="Arial"/>
        </w:rPr>
        <w:t>consulta</w:t>
      </w:r>
      <w:r w:rsidR="00FC4A48" w:rsidRPr="009C1674">
        <w:rPr>
          <w:rFonts w:cs="Arial"/>
        </w:rPr>
        <w:t>tion process.</w:t>
      </w:r>
    </w:p>
    <w:p w14:paraId="51D5190D" w14:textId="6FB2CC63" w:rsidR="00FA2AE1" w:rsidRPr="009C1674" w:rsidRDefault="009C1674" w:rsidP="009C1674">
      <w:pPr>
        <w:spacing w:after="240" w:line="360" w:lineRule="auto"/>
        <w:ind w:left="720" w:hanging="720"/>
        <w:jc w:val="both"/>
        <w:rPr>
          <w:rFonts w:cs="Arial"/>
        </w:rPr>
      </w:pPr>
      <w:r>
        <w:rPr>
          <w:rFonts w:ascii="Arial" w:eastAsia="Calibri" w:hAnsi="Arial" w:cs="Arial"/>
          <w:lang w:val="en-ZA"/>
        </w:rPr>
        <w:t>[14]</w:t>
      </w:r>
      <w:r>
        <w:rPr>
          <w:rFonts w:ascii="Arial" w:eastAsia="Calibri" w:hAnsi="Arial" w:cs="Arial"/>
          <w:lang w:val="en-ZA"/>
        </w:rPr>
        <w:tab/>
      </w:r>
      <w:r w:rsidR="00DF50A5" w:rsidRPr="009C1674">
        <w:rPr>
          <w:rFonts w:cs="Arial"/>
        </w:rPr>
        <w:t xml:space="preserve">It is this relocation of </w:t>
      </w:r>
      <w:r w:rsidR="002C46CE" w:rsidRPr="009C1674">
        <w:rPr>
          <w:rFonts w:cs="Arial"/>
        </w:rPr>
        <w:t>the terminal</w:t>
      </w:r>
      <w:r w:rsidR="002258F8" w:rsidRPr="009C1674">
        <w:rPr>
          <w:rFonts w:cs="Arial"/>
        </w:rPr>
        <w:t xml:space="preserve"> which has created the dispute.  </w:t>
      </w:r>
      <w:r w:rsidR="002C46CE" w:rsidRPr="009C1674">
        <w:rPr>
          <w:rFonts w:cs="Arial"/>
        </w:rPr>
        <w:t>T</w:t>
      </w:r>
      <w:r w:rsidR="002258F8" w:rsidRPr="009C1674">
        <w:rPr>
          <w:rFonts w:cs="Arial"/>
        </w:rPr>
        <w:t>he applicants</w:t>
      </w:r>
      <w:r w:rsidR="007905DC" w:rsidRPr="009C1674">
        <w:rPr>
          <w:rFonts w:cs="Arial"/>
        </w:rPr>
        <w:t xml:space="preserve"> accept </w:t>
      </w:r>
      <w:r w:rsidR="00824FDE" w:rsidRPr="009C1674">
        <w:rPr>
          <w:rFonts w:cs="Arial"/>
        </w:rPr>
        <w:t xml:space="preserve">the </w:t>
      </w:r>
      <w:r w:rsidR="00824FDE" w:rsidRPr="009C1674">
        <w:rPr>
          <w:rFonts w:cs="Arial"/>
          <w:i/>
          <w:iCs/>
        </w:rPr>
        <w:t>Rea Vaya</w:t>
      </w:r>
      <w:r w:rsidR="00824FDE" w:rsidRPr="009C1674">
        <w:rPr>
          <w:rFonts w:cs="Arial"/>
        </w:rPr>
        <w:t xml:space="preserve"> system</w:t>
      </w:r>
      <w:r w:rsidR="00FC15F9" w:rsidRPr="009C1674">
        <w:rPr>
          <w:rFonts w:cs="Arial"/>
        </w:rPr>
        <w:t xml:space="preserve"> is for the benefit of the shopping and office precinct and the public generally</w:t>
      </w:r>
      <w:r w:rsidR="00824FDE" w:rsidRPr="009C1674">
        <w:rPr>
          <w:rFonts w:cs="Arial"/>
        </w:rPr>
        <w:t xml:space="preserve">; the objection is </w:t>
      </w:r>
      <w:r w:rsidR="00D73255" w:rsidRPr="009C1674">
        <w:rPr>
          <w:rFonts w:cs="Arial"/>
        </w:rPr>
        <w:t xml:space="preserve">to having the terminal </w:t>
      </w:r>
      <w:r w:rsidR="00E35463" w:rsidRPr="009C1674">
        <w:rPr>
          <w:rFonts w:cs="Arial"/>
        </w:rPr>
        <w:t xml:space="preserve">opposite </w:t>
      </w:r>
      <w:r w:rsidR="00866114" w:rsidRPr="009C1674">
        <w:rPr>
          <w:rFonts w:cs="Arial"/>
        </w:rPr>
        <w:t xml:space="preserve">an </w:t>
      </w:r>
      <w:r w:rsidR="00E35463" w:rsidRPr="009C1674">
        <w:rPr>
          <w:rFonts w:cs="Arial"/>
        </w:rPr>
        <w:t>entrance to Sandton City</w:t>
      </w:r>
      <w:r w:rsidR="003C39B2" w:rsidRPr="009C1674">
        <w:rPr>
          <w:rFonts w:cs="Arial"/>
        </w:rPr>
        <w:t>.</w:t>
      </w:r>
      <w:r w:rsidR="00FC15F9" w:rsidRPr="009C1674">
        <w:rPr>
          <w:rFonts w:cs="Arial"/>
        </w:rPr>
        <w:t xml:space="preserve"> </w:t>
      </w:r>
    </w:p>
    <w:p w14:paraId="6F3879D2" w14:textId="6D02F170" w:rsidR="00E16DBD" w:rsidRPr="009C1674" w:rsidRDefault="009C1674" w:rsidP="009C1674">
      <w:pPr>
        <w:spacing w:after="240" w:line="360" w:lineRule="auto"/>
        <w:ind w:left="720" w:hanging="720"/>
        <w:jc w:val="both"/>
        <w:rPr>
          <w:rFonts w:cs="Arial"/>
        </w:rPr>
      </w:pPr>
      <w:r w:rsidRPr="00CD5130">
        <w:rPr>
          <w:rFonts w:ascii="Arial" w:eastAsia="Calibri" w:hAnsi="Arial" w:cs="Arial"/>
          <w:lang w:val="en-ZA"/>
        </w:rPr>
        <w:t>[15]</w:t>
      </w:r>
      <w:r w:rsidRPr="00CD5130">
        <w:rPr>
          <w:rFonts w:ascii="Arial" w:eastAsia="Calibri" w:hAnsi="Arial" w:cs="Arial"/>
          <w:lang w:val="en-ZA"/>
        </w:rPr>
        <w:tab/>
      </w:r>
      <w:r w:rsidR="00161BAA" w:rsidRPr="009C1674">
        <w:rPr>
          <w:rFonts w:cs="Arial"/>
        </w:rPr>
        <w:t>The</w:t>
      </w:r>
      <w:r w:rsidR="00E16DBD" w:rsidRPr="009C1674">
        <w:rPr>
          <w:rFonts w:cs="Arial"/>
        </w:rPr>
        <w:t xml:space="preserve"> applicants allege that their use and enjoyment of the precinct will be negatively affected by the placement. The aesthetics appear to be a problem for them as well. </w:t>
      </w:r>
    </w:p>
    <w:p w14:paraId="21477F44" w14:textId="5B9624A3" w:rsidR="00D9274C" w:rsidRPr="009C1674" w:rsidRDefault="009C1674" w:rsidP="009C1674">
      <w:pPr>
        <w:spacing w:after="240" w:line="360" w:lineRule="auto"/>
        <w:ind w:left="720" w:hanging="720"/>
        <w:jc w:val="both"/>
        <w:rPr>
          <w:rFonts w:cs="Arial"/>
        </w:rPr>
      </w:pPr>
      <w:r>
        <w:rPr>
          <w:rFonts w:ascii="Arial" w:eastAsia="Calibri" w:hAnsi="Arial" w:cs="Arial"/>
          <w:lang w:val="en-ZA"/>
        </w:rPr>
        <w:lastRenderedPageBreak/>
        <w:t>[16]</w:t>
      </w:r>
      <w:r>
        <w:rPr>
          <w:rFonts w:ascii="Arial" w:eastAsia="Calibri" w:hAnsi="Arial" w:cs="Arial"/>
          <w:lang w:val="en-ZA"/>
        </w:rPr>
        <w:tab/>
      </w:r>
      <w:r w:rsidR="00E16DBD" w:rsidRPr="009C1674">
        <w:rPr>
          <w:rFonts w:cs="Arial"/>
        </w:rPr>
        <w:t xml:space="preserve">It is true that </w:t>
      </w:r>
      <w:r w:rsidR="00B678B3" w:rsidRPr="009C1674">
        <w:rPr>
          <w:rFonts w:cs="Arial"/>
        </w:rPr>
        <w:t xml:space="preserve">the respondents </w:t>
      </w:r>
      <w:r w:rsidR="00D9274C" w:rsidRPr="009C1674">
        <w:rPr>
          <w:rFonts w:cs="Arial"/>
        </w:rPr>
        <w:t xml:space="preserve">initially </w:t>
      </w:r>
      <w:r w:rsidR="00B678B3" w:rsidRPr="009C1674">
        <w:rPr>
          <w:rFonts w:cs="Arial"/>
        </w:rPr>
        <w:t xml:space="preserve">considered </w:t>
      </w:r>
      <w:r w:rsidR="00572B4F" w:rsidRPr="009C1674">
        <w:rPr>
          <w:rFonts w:cs="Arial"/>
        </w:rPr>
        <w:t xml:space="preserve">that </w:t>
      </w:r>
      <w:r w:rsidR="00E16DBD" w:rsidRPr="009C1674">
        <w:rPr>
          <w:rFonts w:cs="Arial"/>
        </w:rPr>
        <w:t xml:space="preserve">physical </w:t>
      </w:r>
      <w:r w:rsidR="00B678B3" w:rsidRPr="009C1674">
        <w:rPr>
          <w:rFonts w:cs="Arial"/>
        </w:rPr>
        <w:t>encroachment onto a portion of the applicants’ property</w:t>
      </w:r>
      <w:r w:rsidR="00061FC9" w:rsidRPr="009C1674">
        <w:rPr>
          <w:rFonts w:cs="Arial"/>
        </w:rPr>
        <w:t xml:space="preserve"> would be necessary</w:t>
      </w:r>
      <w:r w:rsidR="00B678B3" w:rsidRPr="009C1674">
        <w:rPr>
          <w:rFonts w:cs="Arial"/>
        </w:rPr>
        <w:t>. This would have involved expropriation. There was an objection to this approach by the applicant</w:t>
      </w:r>
      <w:r w:rsidR="00061FC9" w:rsidRPr="009C1674">
        <w:rPr>
          <w:rFonts w:cs="Arial"/>
        </w:rPr>
        <w:t>s</w:t>
      </w:r>
      <w:r w:rsidR="00B678B3" w:rsidRPr="009C1674">
        <w:rPr>
          <w:rFonts w:cs="Arial"/>
        </w:rPr>
        <w:t xml:space="preserve"> and the respondents thus returned to the drawing board</w:t>
      </w:r>
      <w:r w:rsidR="008502AF" w:rsidRPr="009C1674">
        <w:rPr>
          <w:rFonts w:cs="Arial"/>
        </w:rPr>
        <w:t>.</w:t>
      </w:r>
    </w:p>
    <w:p w14:paraId="772EEA53" w14:textId="3699BD80" w:rsidR="00B678B3" w:rsidRPr="009C1674" w:rsidRDefault="009C1674" w:rsidP="009C1674">
      <w:pPr>
        <w:spacing w:after="240" w:line="360" w:lineRule="auto"/>
        <w:ind w:left="720" w:hanging="720"/>
        <w:jc w:val="both"/>
        <w:rPr>
          <w:rFonts w:cs="Arial"/>
        </w:rPr>
      </w:pPr>
      <w:r w:rsidRPr="00D9274C">
        <w:rPr>
          <w:rFonts w:ascii="Arial" w:eastAsia="Calibri" w:hAnsi="Arial" w:cs="Arial"/>
          <w:lang w:val="en-ZA"/>
        </w:rPr>
        <w:t>[17]</w:t>
      </w:r>
      <w:r w:rsidRPr="00D9274C">
        <w:rPr>
          <w:rFonts w:ascii="Arial" w:eastAsia="Calibri" w:hAnsi="Arial" w:cs="Arial"/>
          <w:lang w:val="en-ZA"/>
        </w:rPr>
        <w:tab/>
      </w:r>
      <w:r w:rsidR="008502AF" w:rsidRPr="009C1674">
        <w:rPr>
          <w:rFonts w:cs="Arial"/>
        </w:rPr>
        <w:t xml:space="preserve"> The</w:t>
      </w:r>
      <w:r w:rsidR="00B678B3" w:rsidRPr="009C1674">
        <w:rPr>
          <w:rFonts w:cs="Arial"/>
        </w:rPr>
        <w:t xml:space="preserve"> current design and configuration </w:t>
      </w:r>
      <w:r w:rsidR="00483224" w:rsidRPr="009C1674">
        <w:rPr>
          <w:rFonts w:cs="Arial"/>
        </w:rPr>
        <w:t>do</w:t>
      </w:r>
      <w:r w:rsidR="00D9274C" w:rsidRPr="009C1674">
        <w:rPr>
          <w:rFonts w:cs="Arial"/>
        </w:rPr>
        <w:t>es</w:t>
      </w:r>
      <w:r w:rsidR="00B678B3" w:rsidRPr="009C1674">
        <w:rPr>
          <w:rFonts w:cs="Arial"/>
        </w:rPr>
        <w:t xml:space="preserve"> not seek to encroach on the precinct </w:t>
      </w:r>
      <w:r w:rsidR="008502AF" w:rsidRPr="009C1674">
        <w:rPr>
          <w:rFonts w:cs="Arial"/>
        </w:rPr>
        <w:t>and</w:t>
      </w:r>
      <w:r w:rsidR="00B678B3" w:rsidRPr="009C1674">
        <w:rPr>
          <w:rFonts w:cs="Arial"/>
        </w:rPr>
        <w:t xml:space="preserve"> </w:t>
      </w:r>
      <w:r w:rsidR="00B150BA" w:rsidRPr="009C1674">
        <w:rPr>
          <w:rFonts w:cs="Arial"/>
        </w:rPr>
        <w:t xml:space="preserve">is </w:t>
      </w:r>
      <w:r w:rsidR="00B678B3" w:rsidRPr="009C1674">
        <w:rPr>
          <w:rFonts w:cs="Arial"/>
        </w:rPr>
        <w:t xml:space="preserve">confined only to </w:t>
      </w:r>
      <w:r w:rsidR="00483224" w:rsidRPr="009C1674">
        <w:rPr>
          <w:rFonts w:cs="Arial"/>
        </w:rPr>
        <w:t>municipal property</w:t>
      </w:r>
      <w:r w:rsidR="00B678B3" w:rsidRPr="009C1674">
        <w:rPr>
          <w:rFonts w:cs="Arial"/>
        </w:rPr>
        <w:t>.</w:t>
      </w:r>
      <w:r w:rsidR="00E16DBD" w:rsidRPr="009C1674">
        <w:rPr>
          <w:rFonts w:cs="Arial"/>
        </w:rPr>
        <w:t xml:space="preserve"> The applicants</w:t>
      </w:r>
      <w:r w:rsidR="00F87D32" w:rsidRPr="009C1674">
        <w:rPr>
          <w:rFonts w:cs="Arial"/>
        </w:rPr>
        <w:t>, however,</w:t>
      </w:r>
      <w:r w:rsidR="00E16DBD" w:rsidRPr="009C1674">
        <w:rPr>
          <w:rFonts w:cs="Arial"/>
        </w:rPr>
        <w:t xml:space="preserve"> state that they still harbour fears of this possible encroachment.</w:t>
      </w:r>
    </w:p>
    <w:p w14:paraId="5DE073DA" w14:textId="08D85707" w:rsidR="00B678B3" w:rsidRPr="009C1674" w:rsidRDefault="009C1674" w:rsidP="009C1674">
      <w:pPr>
        <w:spacing w:after="240" w:line="360" w:lineRule="auto"/>
        <w:ind w:left="720" w:hanging="720"/>
        <w:jc w:val="both"/>
        <w:rPr>
          <w:rFonts w:cs="Arial"/>
        </w:rPr>
      </w:pPr>
      <w:r w:rsidRPr="00CD5130">
        <w:rPr>
          <w:rFonts w:ascii="Arial" w:eastAsia="Calibri" w:hAnsi="Arial" w:cs="Arial"/>
          <w:lang w:val="en-ZA"/>
        </w:rPr>
        <w:t>[18]</w:t>
      </w:r>
      <w:r w:rsidRPr="00CD5130">
        <w:rPr>
          <w:rFonts w:ascii="Arial" w:eastAsia="Calibri" w:hAnsi="Arial" w:cs="Arial"/>
          <w:lang w:val="en-ZA"/>
        </w:rPr>
        <w:tab/>
      </w:r>
      <w:r w:rsidR="00B678B3" w:rsidRPr="009C1674">
        <w:rPr>
          <w:rFonts w:cs="Arial"/>
        </w:rPr>
        <w:t xml:space="preserve">The </w:t>
      </w:r>
      <w:r w:rsidR="00E16DBD" w:rsidRPr="009C1674">
        <w:rPr>
          <w:rFonts w:cs="Arial"/>
        </w:rPr>
        <w:t>applicants complain that the current plan</w:t>
      </w:r>
      <w:r w:rsidR="005B43D8" w:rsidRPr="009C1674">
        <w:rPr>
          <w:rFonts w:cs="Arial"/>
        </w:rPr>
        <w:t xml:space="preserve"> </w:t>
      </w:r>
      <w:r w:rsidR="003C39B2" w:rsidRPr="009C1674">
        <w:rPr>
          <w:rFonts w:cs="Arial"/>
        </w:rPr>
        <w:t>will terminate</w:t>
      </w:r>
      <w:r w:rsidR="005B43D8" w:rsidRPr="009C1674">
        <w:rPr>
          <w:rFonts w:cs="Arial"/>
        </w:rPr>
        <w:t xml:space="preserve"> an existing right turn into Pybus R</w:t>
      </w:r>
      <w:r w:rsidR="00483224" w:rsidRPr="009C1674">
        <w:rPr>
          <w:rFonts w:cs="Arial"/>
        </w:rPr>
        <w:t xml:space="preserve">oad </w:t>
      </w:r>
      <w:r w:rsidR="005B43D8" w:rsidRPr="009C1674">
        <w:rPr>
          <w:rFonts w:cs="Arial"/>
        </w:rPr>
        <w:t>from Rivonia R</w:t>
      </w:r>
      <w:r w:rsidR="00483224" w:rsidRPr="009C1674">
        <w:rPr>
          <w:rFonts w:cs="Arial"/>
        </w:rPr>
        <w:t>oad</w:t>
      </w:r>
      <w:r w:rsidR="00E16DBD" w:rsidRPr="009C1674">
        <w:rPr>
          <w:rFonts w:cs="Arial"/>
        </w:rPr>
        <w:t>. They complain also that</w:t>
      </w:r>
      <w:r w:rsidR="00986DE6" w:rsidRPr="009C1674">
        <w:rPr>
          <w:rFonts w:cs="Arial"/>
        </w:rPr>
        <w:t xml:space="preserve"> the</w:t>
      </w:r>
      <w:r w:rsidR="004A4F92" w:rsidRPr="009C1674">
        <w:rPr>
          <w:rFonts w:cs="Arial"/>
        </w:rPr>
        <w:t xml:space="preserve"> demarcation of dedicated bus lanes along </w:t>
      </w:r>
      <w:r w:rsidR="005955E0" w:rsidRPr="009C1674">
        <w:rPr>
          <w:rFonts w:cs="Arial"/>
        </w:rPr>
        <w:t>Rivonia R</w:t>
      </w:r>
      <w:r w:rsidR="00376FF6" w:rsidRPr="009C1674">
        <w:rPr>
          <w:rFonts w:cs="Arial"/>
        </w:rPr>
        <w:t>oad</w:t>
      </w:r>
      <w:r w:rsidR="0096053F" w:rsidRPr="009C1674">
        <w:rPr>
          <w:rFonts w:cs="Arial"/>
        </w:rPr>
        <w:t xml:space="preserve"> which will impact on traffic flow</w:t>
      </w:r>
      <w:r w:rsidR="005955E0" w:rsidRPr="009C1674">
        <w:rPr>
          <w:rFonts w:cs="Arial"/>
        </w:rPr>
        <w:t>.</w:t>
      </w:r>
      <w:r w:rsidR="00986DE6" w:rsidRPr="009C1674">
        <w:rPr>
          <w:rFonts w:cs="Arial"/>
        </w:rPr>
        <w:t xml:space="preserve"> </w:t>
      </w:r>
    </w:p>
    <w:p w14:paraId="75E3AB01" w14:textId="258D4C27" w:rsidR="00217EEC" w:rsidRPr="009C1674" w:rsidRDefault="009C1674" w:rsidP="009C1674">
      <w:pPr>
        <w:spacing w:after="240" w:line="360" w:lineRule="auto"/>
        <w:ind w:left="720" w:hanging="720"/>
        <w:jc w:val="both"/>
        <w:rPr>
          <w:rFonts w:cs="Arial"/>
        </w:rPr>
      </w:pPr>
      <w:r w:rsidRPr="00F87D32">
        <w:rPr>
          <w:rFonts w:ascii="Arial" w:eastAsia="Calibri" w:hAnsi="Arial" w:cs="Arial"/>
          <w:lang w:val="en-ZA"/>
        </w:rPr>
        <w:t>[19]</w:t>
      </w:r>
      <w:r w:rsidRPr="00F87D32">
        <w:rPr>
          <w:rFonts w:ascii="Arial" w:eastAsia="Calibri" w:hAnsi="Arial" w:cs="Arial"/>
          <w:lang w:val="en-ZA"/>
        </w:rPr>
        <w:tab/>
      </w:r>
      <w:r w:rsidR="005B43D8" w:rsidRPr="009C1674">
        <w:rPr>
          <w:rFonts w:cs="Arial"/>
        </w:rPr>
        <w:t xml:space="preserve">The </w:t>
      </w:r>
      <w:r w:rsidR="00483224" w:rsidRPr="009C1674">
        <w:rPr>
          <w:rFonts w:cs="Arial"/>
        </w:rPr>
        <w:t>applicants</w:t>
      </w:r>
      <w:r w:rsidR="005B43D8" w:rsidRPr="009C1674">
        <w:rPr>
          <w:rFonts w:cs="Arial"/>
        </w:rPr>
        <w:t xml:space="preserve"> accuse the applicants of inconsistency and a cavalier approach to the project. </w:t>
      </w:r>
      <w:r w:rsidR="00986DE6" w:rsidRPr="009C1674">
        <w:rPr>
          <w:rFonts w:cs="Arial"/>
        </w:rPr>
        <w:t>A further central complaint is</w:t>
      </w:r>
      <w:r w:rsidR="00B150BA" w:rsidRPr="009C1674">
        <w:rPr>
          <w:rFonts w:cs="Arial"/>
        </w:rPr>
        <w:t xml:space="preserve"> that there has been inadequate public consultation in relation to the changed locat</w:t>
      </w:r>
      <w:r w:rsidR="000C08C6" w:rsidRPr="009C1674">
        <w:rPr>
          <w:rFonts w:cs="Arial"/>
        </w:rPr>
        <w:t>ion of the terminal.</w:t>
      </w:r>
    </w:p>
    <w:p w14:paraId="3A243D53" w14:textId="7809ED04" w:rsidR="00007335" w:rsidRPr="009C1674" w:rsidRDefault="009C1674" w:rsidP="009C1674">
      <w:pPr>
        <w:spacing w:after="240" w:line="360" w:lineRule="auto"/>
        <w:ind w:left="720" w:hanging="720"/>
        <w:jc w:val="both"/>
        <w:rPr>
          <w:rFonts w:cs="Arial"/>
        </w:rPr>
      </w:pPr>
      <w:r w:rsidRPr="00CD5130">
        <w:rPr>
          <w:rFonts w:ascii="Arial" w:eastAsia="Calibri" w:hAnsi="Arial" w:cs="Arial"/>
          <w:lang w:val="en-ZA"/>
        </w:rPr>
        <w:t>[20]</w:t>
      </w:r>
      <w:r w:rsidRPr="00CD5130">
        <w:rPr>
          <w:rFonts w:ascii="Arial" w:eastAsia="Calibri" w:hAnsi="Arial" w:cs="Arial"/>
          <w:lang w:val="en-ZA"/>
        </w:rPr>
        <w:tab/>
      </w:r>
      <w:r w:rsidR="00217EEC" w:rsidRPr="009C1674">
        <w:rPr>
          <w:rFonts w:cs="Arial"/>
        </w:rPr>
        <w:t>January 2023 applicants</w:t>
      </w:r>
      <w:r w:rsidR="00F87D32" w:rsidRPr="009C1674">
        <w:rPr>
          <w:rFonts w:cs="Arial"/>
        </w:rPr>
        <w:t>, through their attorneys Webber Wentzel</w:t>
      </w:r>
      <w:r w:rsidR="00217EEC" w:rsidRPr="009C1674">
        <w:rPr>
          <w:rFonts w:cs="Arial"/>
        </w:rPr>
        <w:t xml:space="preserve"> sought documents proving that the respondents had complied with certain legislation</w:t>
      </w:r>
      <w:r w:rsidR="00C823AB" w:rsidRPr="009C1674">
        <w:rPr>
          <w:rFonts w:cs="Arial"/>
        </w:rPr>
        <w:t xml:space="preserve"> in relation to the process dating back to the </w:t>
      </w:r>
      <w:r w:rsidR="006D5A57" w:rsidRPr="009C1674">
        <w:rPr>
          <w:rFonts w:cs="Arial"/>
        </w:rPr>
        <w:t>initial resolution</w:t>
      </w:r>
      <w:r w:rsidR="00217EEC" w:rsidRPr="009C1674">
        <w:rPr>
          <w:rFonts w:cs="Arial"/>
        </w:rPr>
        <w:t xml:space="preserve">. </w:t>
      </w:r>
      <w:r w:rsidR="00FB53FE" w:rsidRPr="009C1674">
        <w:rPr>
          <w:rFonts w:cs="Arial"/>
        </w:rPr>
        <w:t>This was clearly preparatory to the review</w:t>
      </w:r>
      <w:r w:rsidR="00007335" w:rsidRPr="009C1674">
        <w:rPr>
          <w:rFonts w:cs="Arial"/>
        </w:rPr>
        <w:t>.</w:t>
      </w:r>
    </w:p>
    <w:p w14:paraId="3AE5D951" w14:textId="5C40A693" w:rsidR="00986DE6" w:rsidRPr="009C1674" w:rsidRDefault="009C1674" w:rsidP="009C1674">
      <w:pPr>
        <w:spacing w:after="240" w:line="360" w:lineRule="auto"/>
        <w:ind w:left="720" w:hanging="720"/>
        <w:jc w:val="both"/>
        <w:rPr>
          <w:rFonts w:cs="Arial"/>
        </w:rPr>
      </w:pPr>
      <w:r>
        <w:rPr>
          <w:rFonts w:ascii="Arial" w:eastAsia="Calibri" w:hAnsi="Arial" w:cs="Arial"/>
          <w:lang w:val="en-ZA"/>
        </w:rPr>
        <w:t>[21]</w:t>
      </w:r>
      <w:r>
        <w:rPr>
          <w:rFonts w:ascii="Arial" w:eastAsia="Calibri" w:hAnsi="Arial" w:cs="Arial"/>
          <w:lang w:val="en-ZA"/>
        </w:rPr>
        <w:tab/>
      </w:r>
      <w:r w:rsidR="00217EEC" w:rsidRPr="009C1674">
        <w:rPr>
          <w:rFonts w:cs="Arial"/>
        </w:rPr>
        <w:t xml:space="preserve">The applicant’s </w:t>
      </w:r>
      <w:r w:rsidR="006D5A57" w:rsidRPr="009C1674">
        <w:rPr>
          <w:rFonts w:cs="Arial"/>
        </w:rPr>
        <w:t>sought, through</w:t>
      </w:r>
      <w:r w:rsidR="00986DE6" w:rsidRPr="009C1674">
        <w:rPr>
          <w:rFonts w:cs="Arial"/>
        </w:rPr>
        <w:t xml:space="preserve"> their attorneys</w:t>
      </w:r>
      <w:r w:rsidR="006D5A57" w:rsidRPr="009C1674">
        <w:rPr>
          <w:rFonts w:cs="Arial"/>
        </w:rPr>
        <w:t>,</w:t>
      </w:r>
      <w:r w:rsidR="00986DE6" w:rsidRPr="009C1674">
        <w:rPr>
          <w:rFonts w:cs="Arial"/>
        </w:rPr>
        <w:t xml:space="preserve"> </w:t>
      </w:r>
      <w:r w:rsidR="00217EEC" w:rsidRPr="009C1674">
        <w:rPr>
          <w:rFonts w:cs="Arial"/>
        </w:rPr>
        <w:t xml:space="preserve">that there be an undertaking that the construction of the </w:t>
      </w:r>
      <w:r w:rsidR="00986DE6" w:rsidRPr="009C1674">
        <w:rPr>
          <w:rFonts w:cs="Arial"/>
        </w:rPr>
        <w:t>terminal</w:t>
      </w:r>
      <w:r w:rsidR="00217EEC" w:rsidRPr="009C1674">
        <w:rPr>
          <w:rFonts w:cs="Arial"/>
        </w:rPr>
        <w:t xml:space="preserve"> would not continue pending the determination of the dispute.</w:t>
      </w:r>
      <w:r w:rsidR="00007335" w:rsidRPr="009C1674">
        <w:rPr>
          <w:rFonts w:cs="Arial"/>
        </w:rPr>
        <w:t xml:space="preserve"> </w:t>
      </w:r>
    </w:p>
    <w:p w14:paraId="1B516BA7" w14:textId="07F89C6E" w:rsidR="00237800" w:rsidRPr="009C1674" w:rsidRDefault="009C1674" w:rsidP="009C1674">
      <w:pPr>
        <w:spacing w:after="240" w:line="360" w:lineRule="auto"/>
        <w:ind w:left="720" w:hanging="720"/>
        <w:jc w:val="both"/>
        <w:rPr>
          <w:rFonts w:cs="Arial"/>
        </w:rPr>
      </w:pPr>
      <w:r>
        <w:rPr>
          <w:rFonts w:ascii="Arial" w:eastAsia="Calibri" w:hAnsi="Arial" w:cs="Arial"/>
          <w:lang w:val="en-ZA"/>
        </w:rPr>
        <w:t>[22]</w:t>
      </w:r>
      <w:r>
        <w:rPr>
          <w:rFonts w:ascii="Arial" w:eastAsia="Calibri" w:hAnsi="Arial" w:cs="Arial"/>
          <w:lang w:val="en-ZA"/>
        </w:rPr>
        <w:tab/>
      </w:r>
      <w:r w:rsidR="00986DE6" w:rsidRPr="009C1674">
        <w:rPr>
          <w:rFonts w:cs="Arial"/>
        </w:rPr>
        <w:t>The respondents will not provide this</w:t>
      </w:r>
      <w:r w:rsidR="00007335" w:rsidRPr="009C1674">
        <w:rPr>
          <w:rFonts w:cs="Arial"/>
        </w:rPr>
        <w:t xml:space="preserve"> undertaking</w:t>
      </w:r>
      <w:r w:rsidR="00986DE6" w:rsidRPr="009C1674">
        <w:rPr>
          <w:rFonts w:cs="Arial"/>
        </w:rPr>
        <w:t>. They are continuing with the plan</w:t>
      </w:r>
      <w:r w:rsidR="0085254C" w:rsidRPr="009C1674">
        <w:rPr>
          <w:rFonts w:cs="Arial"/>
        </w:rPr>
        <w:t>.</w:t>
      </w:r>
    </w:p>
    <w:p w14:paraId="6534BA6C" w14:textId="77777777" w:rsidR="00986DE6" w:rsidRDefault="00986DE6" w:rsidP="00986DE6">
      <w:pPr>
        <w:spacing w:after="240" w:line="360" w:lineRule="auto"/>
        <w:jc w:val="both"/>
        <w:rPr>
          <w:rFonts w:cs="Arial"/>
        </w:rPr>
      </w:pPr>
    </w:p>
    <w:p w14:paraId="4B3A0A58" w14:textId="77777777" w:rsidR="00986DE6" w:rsidRPr="00986DE6" w:rsidRDefault="00986DE6" w:rsidP="00986DE6">
      <w:pPr>
        <w:spacing w:after="240" w:line="360" w:lineRule="auto"/>
        <w:jc w:val="both"/>
        <w:rPr>
          <w:rFonts w:cs="Arial"/>
        </w:rPr>
      </w:pPr>
    </w:p>
    <w:p w14:paraId="1D9B989F" w14:textId="77777777" w:rsidR="00C750E8" w:rsidRPr="002B3802" w:rsidRDefault="00500F51" w:rsidP="002B3802">
      <w:pPr>
        <w:spacing w:after="240" w:line="360" w:lineRule="auto"/>
        <w:jc w:val="both"/>
        <w:rPr>
          <w:rFonts w:cs="Arial"/>
          <w:i/>
          <w:iCs/>
        </w:rPr>
      </w:pPr>
      <w:r w:rsidRPr="002B3802">
        <w:rPr>
          <w:rFonts w:cs="Arial"/>
          <w:i/>
          <w:iCs/>
        </w:rPr>
        <w:t>The issues</w:t>
      </w:r>
    </w:p>
    <w:p w14:paraId="753AD304" w14:textId="08F5945F" w:rsidR="000D58DB" w:rsidRPr="009C1674" w:rsidRDefault="009C1674" w:rsidP="009C1674">
      <w:pPr>
        <w:spacing w:after="240" w:line="360" w:lineRule="auto"/>
        <w:ind w:left="720" w:hanging="720"/>
        <w:jc w:val="both"/>
        <w:rPr>
          <w:rFonts w:cs="Arial"/>
        </w:rPr>
      </w:pPr>
      <w:r w:rsidRPr="00CD5130">
        <w:rPr>
          <w:rFonts w:ascii="Arial" w:eastAsia="Calibri" w:hAnsi="Arial" w:cs="Arial"/>
          <w:lang w:val="en-ZA"/>
        </w:rPr>
        <w:t>[23]</w:t>
      </w:r>
      <w:r w:rsidRPr="00CD5130">
        <w:rPr>
          <w:rFonts w:ascii="Arial" w:eastAsia="Calibri" w:hAnsi="Arial" w:cs="Arial"/>
          <w:lang w:val="en-ZA"/>
        </w:rPr>
        <w:tab/>
      </w:r>
      <w:r w:rsidR="0073311F" w:rsidRPr="009C1674">
        <w:rPr>
          <w:rFonts w:cs="Arial"/>
        </w:rPr>
        <w:t xml:space="preserve">The applicants </w:t>
      </w:r>
      <w:r w:rsidR="00DB7862" w:rsidRPr="009C1674">
        <w:rPr>
          <w:rFonts w:cs="Arial"/>
        </w:rPr>
        <w:t>argue</w:t>
      </w:r>
      <w:r w:rsidR="0073311F" w:rsidRPr="009C1674">
        <w:rPr>
          <w:rFonts w:cs="Arial"/>
        </w:rPr>
        <w:t xml:space="preserve"> that they </w:t>
      </w:r>
      <w:r w:rsidR="00577929" w:rsidRPr="009C1674">
        <w:rPr>
          <w:rFonts w:cs="Arial"/>
        </w:rPr>
        <w:t>have prospects</w:t>
      </w:r>
      <w:r w:rsidR="0073311F" w:rsidRPr="009C1674">
        <w:rPr>
          <w:rFonts w:cs="Arial"/>
        </w:rPr>
        <w:t xml:space="preserve"> of success in the review and that they are entitled to an interdict </w:t>
      </w:r>
      <w:r w:rsidR="00392CFB" w:rsidRPr="009C1674">
        <w:rPr>
          <w:rFonts w:cs="Arial"/>
        </w:rPr>
        <w:t>to stop the construction of the terminal</w:t>
      </w:r>
      <w:r w:rsidR="00861BBB" w:rsidRPr="009C1674">
        <w:rPr>
          <w:rFonts w:cs="Arial"/>
        </w:rPr>
        <w:t xml:space="preserve"> from proceeding any further</w:t>
      </w:r>
      <w:r w:rsidR="006C3DE5" w:rsidRPr="009C1674">
        <w:rPr>
          <w:rFonts w:cs="Arial"/>
        </w:rPr>
        <w:t xml:space="preserve"> in the interim</w:t>
      </w:r>
      <w:r w:rsidR="00392CFB" w:rsidRPr="009C1674">
        <w:rPr>
          <w:rFonts w:cs="Arial"/>
        </w:rPr>
        <w:t>.</w:t>
      </w:r>
    </w:p>
    <w:p w14:paraId="6CBE36B0" w14:textId="0DD53109" w:rsidR="00722A03" w:rsidRPr="009C1674" w:rsidRDefault="009C1674" w:rsidP="009C1674">
      <w:pPr>
        <w:spacing w:after="240" w:line="360" w:lineRule="auto"/>
        <w:ind w:left="720" w:hanging="720"/>
        <w:jc w:val="both"/>
        <w:rPr>
          <w:rFonts w:cs="Arial"/>
        </w:rPr>
      </w:pPr>
      <w:r w:rsidRPr="00CD5130">
        <w:rPr>
          <w:rFonts w:ascii="Arial" w:eastAsia="Calibri" w:hAnsi="Arial" w:cs="Arial"/>
          <w:lang w:val="en-ZA"/>
        </w:rPr>
        <w:lastRenderedPageBreak/>
        <w:t>[24]</w:t>
      </w:r>
      <w:r w:rsidRPr="00CD5130">
        <w:rPr>
          <w:rFonts w:ascii="Arial" w:eastAsia="Calibri" w:hAnsi="Arial" w:cs="Arial"/>
          <w:lang w:val="en-ZA"/>
        </w:rPr>
        <w:tab/>
      </w:r>
      <w:r w:rsidR="008D7101" w:rsidRPr="009C1674">
        <w:rPr>
          <w:rFonts w:cs="Arial"/>
        </w:rPr>
        <w:t>The respondents</w:t>
      </w:r>
      <w:r w:rsidR="007C640B" w:rsidRPr="009C1674">
        <w:rPr>
          <w:rFonts w:cs="Arial"/>
        </w:rPr>
        <w:t xml:space="preserve"> argue </w:t>
      </w:r>
      <w:r w:rsidR="00C2579C" w:rsidRPr="009C1674">
        <w:rPr>
          <w:rFonts w:cs="Arial"/>
        </w:rPr>
        <w:t xml:space="preserve">that no case has been made out for </w:t>
      </w:r>
      <w:r w:rsidR="008D7101" w:rsidRPr="009C1674">
        <w:rPr>
          <w:rFonts w:cs="Arial"/>
        </w:rPr>
        <w:t>interdictory</w:t>
      </w:r>
      <w:r w:rsidR="00C2579C" w:rsidRPr="009C1674">
        <w:rPr>
          <w:rFonts w:cs="Arial"/>
        </w:rPr>
        <w:t xml:space="preserve"> relief</w:t>
      </w:r>
      <w:r w:rsidR="0084696B" w:rsidRPr="009C1674">
        <w:rPr>
          <w:rFonts w:cs="Arial"/>
        </w:rPr>
        <w:t xml:space="preserve">. </w:t>
      </w:r>
      <w:r w:rsidR="006C4C3B" w:rsidRPr="009C1674">
        <w:rPr>
          <w:rFonts w:cs="Arial"/>
        </w:rPr>
        <w:t xml:space="preserve">The say that </w:t>
      </w:r>
      <w:r w:rsidR="005B118D" w:rsidRPr="009C1674">
        <w:rPr>
          <w:rFonts w:cs="Arial"/>
        </w:rPr>
        <w:t>this is especially so</w:t>
      </w:r>
      <w:r w:rsidR="003F09EC" w:rsidRPr="009C1674">
        <w:rPr>
          <w:rFonts w:cs="Arial"/>
        </w:rPr>
        <w:t xml:space="preserve"> </w:t>
      </w:r>
      <w:r w:rsidR="00237800" w:rsidRPr="009C1674">
        <w:rPr>
          <w:rFonts w:cs="Arial"/>
        </w:rPr>
        <w:t xml:space="preserve">because the </w:t>
      </w:r>
      <w:r w:rsidR="005F2B55" w:rsidRPr="009C1674">
        <w:rPr>
          <w:rFonts w:cs="Arial"/>
        </w:rPr>
        <w:t xml:space="preserve">application impacts on conduct that flows from statutory </w:t>
      </w:r>
      <w:r w:rsidR="00577929" w:rsidRPr="009C1674">
        <w:rPr>
          <w:rFonts w:cs="Arial"/>
        </w:rPr>
        <w:t xml:space="preserve">powers </w:t>
      </w:r>
      <w:r w:rsidR="006D5A57" w:rsidRPr="009C1674">
        <w:rPr>
          <w:rFonts w:cs="Arial"/>
        </w:rPr>
        <w:t>and</w:t>
      </w:r>
      <w:r w:rsidR="005F2B55" w:rsidRPr="009C1674">
        <w:rPr>
          <w:rFonts w:cs="Arial"/>
        </w:rPr>
        <w:t xml:space="preserve"> functions </w:t>
      </w:r>
      <w:r w:rsidR="006D5A57" w:rsidRPr="009C1674">
        <w:rPr>
          <w:rFonts w:cs="Arial"/>
        </w:rPr>
        <w:t>referred to in</w:t>
      </w:r>
      <w:r w:rsidR="005F2B55" w:rsidRPr="009C1674">
        <w:rPr>
          <w:rFonts w:cs="Arial"/>
        </w:rPr>
        <w:t xml:space="preserve"> section 156 of the Constitution</w:t>
      </w:r>
      <w:r w:rsidR="005D7605" w:rsidRPr="009C1674">
        <w:rPr>
          <w:rFonts w:cs="Arial"/>
        </w:rPr>
        <w:t>.</w:t>
      </w:r>
      <w:r w:rsidR="002C0D3C" w:rsidRPr="009C1674">
        <w:rPr>
          <w:rFonts w:cs="Arial"/>
        </w:rPr>
        <w:t xml:space="preserve"> </w:t>
      </w:r>
    </w:p>
    <w:p w14:paraId="5844F00D" w14:textId="77777777" w:rsidR="00500F51" w:rsidRPr="002B3802" w:rsidRDefault="00500F51" w:rsidP="002B3802">
      <w:pPr>
        <w:spacing w:after="240" w:line="360" w:lineRule="auto"/>
        <w:jc w:val="both"/>
        <w:rPr>
          <w:rFonts w:cs="Arial"/>
          <w:i/>
          <w:iCs/>
        </w:rPr>
      </w:pPr>
      <w:r w:rsidRPr="002B3802">
        <w:rPr>
          <w:rFonts w:cs="Arial"/>
          <w:i/>
          <w:iCs/>
        </w:rPr>
        <w:t>Applicable legal principles</w:t>
      </w:r>
    </w:p>
    <w:p w14:paraId="67BA1523" w14:textId="5E03973B" w:rsidR="0091303B" w:rsidRPr="009C1674" w:rsidRDefault="009C1674" w:rsidP="009C1674">
      <w:pPr>
        <w:spacing w:after="240" w:line="360" w:lineRule="auto"/>
        <w:ind w:left="720" w:hanging="720"/>
        <w:jc w:val="both"/>
        <w:rPr>
          <w:rFonts w:cs="Arial"/>
        </w:rPr>
      </w:pPr>
      <w:r w:rsidRPr="00CD5130">
        <w:rPr>
          <w:rFonts w:ascii="Arial" w:eastAsia="Calibri" w:hAnsi="Arial" w:cs="Arial"/>
          <w:lang w:val="en-ZA"/>
        </w:rPr>
        <w:t>[25]</w:t>
      </w:r>
      <w:r w:rsidRPr="00CD5130">
        <w:rPr>
          <w:rFonts w:ascii="Arial" w:eastAsia="Calibri" w:hAnsi="Arial" w:cs="Arial"/>
          <w:lang w:val="en-ZA"/>
        </w:rPr>
        <w:tab/>
      </w:r>
      <w:r w:rsidR="00500F51" w:rsidRPr="009C1674">
        <w:rPr>
          <w:rFonts w:cs="Arial"/>
        </w:rPr>
        <w:t xml:space="preserve">The </w:t>
      </w:r>
      <w:r w:rsidR="00DB0F0B" w:rsidRPr="009C1674">
        <w:rPr>
          <w:rFonts w:cs="Arial"/>
        </w:rPr>
        <w:t xml:space="preserve">legal inquiry in </w:t>
      </w:r>
      <w:r w:rsidR="00E40B86" w:rsidRPr="009C1674">
        <w:rPr>
          <w:rFonts w:cs="Arial"/>
        </w:rPr>
        <w:t xml:space="preserve">an application for </w:t>
      </w:r>
      <w:r w:rsidR="003F4DE1" w:rsidRPr="009C1674">
        <w:rPr>
          <w:rFonts w:cs="Arial"/>
        </w:rPr>
        <w:t>a</w:t>
      </w:r>
      <w:r w:rsidR="00D573ED" w:rsidRPr="009C1674">
        <w:rPr>
          <w:rFonts w:cs="Arial"/>
        </w:rPr>
        <w:t xml:space="preserve">n interim interdict is </w:t>
      </w:r>
      <w:r w:rsidR="00986DE6" w:rsidRPr="009C1674">
        <w:rPr>
          <w:rFonts w:cs="Arial"/>
        </w:rPr>
        <w:t xml:space="preserve">well </w:t>
      </w:r>
      <w:r w:rsidR="00D573ED" w:rsidRPr="009C1674">
        <w:rPr>
          <w:rFonts w:cs="Arial"/>
        </w:rPr>
        <w:t>settled</w:t>
      </w:r>
      <w:r w:rsidR="006D5A57" w:rsidRPr="009C1674">
        <w:rPr>
          <w:rFonts w:cs="Arial"/>
        </w:rPr>
        <w:t>.</w:t>
      </w:r>
      <w:r w:rsidR="003F4DE1" w:rsidRPr="009C1674">
        <w:rPr>
          <w:rFonts w:cs="Arial"/>
        </w:rPr>
        <w:t xml:space="preserve"> </w:t>
      </w:r>
      <w:r w:rsidR="006D5A57" w:rsidRPr="009C1674">
        <w:rPr>
          <w:rFonts w:cs="Arial"/>
        </w:rPr>
        <w:t>T</w:t>
      </w:r>
      <w:r w:rsidR="003F4DE1" w:rsidRPr="009C1674">
        <w:rPr>
          <w:rFonts w:cs="Arial"/>
        </w:rPr>
        <w:t xml:space="preserve">he applicant must establish </w:t>
      </w:r>
      <w:r w:rsidR="00327E27" w:rsidRPr="009C1674">
        <w:rPr>
          <w:rFonts w:cs="Arial"/>
        </w:rPr>
        <w:t>prima facie</w:t>
      </w:r>
      <w:r w:rsidR="001F2198" w:rsidRPr="009C1674">
        <w:rPr>
          <w:rFonts w:cs="Arial"/>
        </w:rPr>
        <w:t xml:space="preserve"> right</w:t>
      </w:r>
      <w:r w:rsidR="004F1D3A" w:rsidRPr="009C1674">
        <w:rPr>
          <w:rFonts w:cs="Arial"/>
        </w:rPr>
        <w:t xml:space="preserve">; a </w:t>
      </w:r>
      <w:r w:rsidR="00327E27" w:rsidRPr="009C1674">
        <w:rPr>
          <w:rFonts w:cs="Arial"/>
        </w:rPr>
        <w:t>well-grounded</w:t>
      </w:r>
      <w:r w:rsidR="004F1D3A" w:rsidRPr="009C1674">
        <w:rPr>
          <w:rFonts w:cs="Arial"/>
        </w:rPr>
        <w:t xml:space="preserve"> fear of irreparable harm; </w:t>
      </w:r>
      <w:r w:rsidR="006D5A57" w:rsidRPr="009C1674">
        <w:rPr>
          <w:rFonts w:cs="Arial"/>
        </w:rPr>
        <w:t xml:space="preserve">that </w:t>
      </w:r>
      <w:r w:rsidR="004F1D3A" w:rsidRPr="009C1674">
        <w:rPr>
          <w:rFonts w:cs="Arial"/>
        </w:rPr>
        <w:t xml:space="preserve">the balance of </w:t>
      </w:r>
      <w:r w:rsidR="00A47C0A" w:rsidRPr="009C1674">
        <w:rPr>
          <w:rFonts w:cs="Arial"/>
        </w:rPr>
        <w:t>convenience</w:t>
      </w:r>
      <w:r w:rsidR="006D5A57" w:rsidRPr="009C1674">
        <w:rPr>
          <w:rFonts w:cs="Arial"/>
        </w:rPr>
        <w:t xml:space="preserve"> is served by the interdict</w:t>
      </w:r>
      <w:r w:rsidR="00A47C0A" w:rsidRPr="009C1674">
        <w:rPr>
          <w:rFonts w:cs="Arial"/>
        </w:rPr>
        <w:t xml:space="preserve"> and that there is no other appropriate remedy. These are known as the </w:t>
      </w:r>
      <w:r w:rsidR="00A47C0A" w:rsidRPr="009C1674">
        <w:rPr>
          <w:rFonts w:cs="Arial"/>
          <w:i/>
          <w:iCs/>
        </w:rPr>
        <w:t>Se</w:t>
      </w:r>
      <w:r w:rsidR="0091303B" w:rsidRPr="009C1674">
        <w:rPr>
          <w:rFonts w:cs="Arial"/>
          <w:i/>
          <w:iCs/>
        </w:rPr>
        <w:t>t</w:t>
      </w:r>
      <w:r w:rsidR="00A47C0A" w:rsidRPr="009C1674">
        <w:rPr>
          <w:rFonts w:cs="Arial"/>
          <w:i/>
          <w:iCs/>
        </w:rPr>
        <w:t>logelo</w:t>
      </w:r>
      <w:r w:rsidR="0091303B" w:rsidRPr="009C1674">
        <w:rPr>
          <w:rFonts w:cs="Arial"/>
        </w:rPr>
        <w:t xml:space="preserve"> r</w:t>
      </w:r>
      <w:r w:rsidR="00926CA3" w:rsidRPr="009C1674">
        <w:rPr>
          <w:rFonts w:cs="Arial"/>
        </w:rPr>
        <w:t>e</w:t>
      </w:r>
      <w:r w:rsidR="0091303B" w:rsidRPr="009C1674">
        <w:rPr>
          <w:rFonts w:cs="Arial"/>
        </w:rPr>
        <w:t>quirements</w:t>
      </w:r>
      <w:r w:rsidR="00986DE6" w:rsidRPr="009C1674">
        <w:rPr>
          <w:rFonts w:cs="Arial"/>
        </w:rPr>
        <w:t xml:space="preserve"> or the </w:t>
      </w:r>
      <w:r w:rsidR="00986DE6" w:rsidRPr="009C1674">
        <w:rPr>
          <w:rFonts w:cs="Arial"/>
          <w:i/>
          <w:iCs/>
        </w:rPr>
        <w:t>Setlogelo Test</w:t>
      </w:r>
      <w:r w:rsidR="00926CA3" w:rsidRPr="009C1674">
        <w:rPr>
          <w:rFonts w:cs="Arial"/>
        </w:rPr>
        <w:t>.</w:t>
      </w:r>
      <w:r w:rsidR="0091303B" w:rsidRPr="00CD5130">
        <w:rPr>
          <w:rStyle w:val="FootnoteReference"/>
          <w:rFonts w:cs="Arial"/>
        </w:rPr>
        <w:footnoteReference w:id="1"/>
      </w:r>
    </w:p>
    <w:p w14:paraId="68C9C790" w14:textId="5921621B" w:rsidR="003F09EC" w:rsidRPr="009C1674" w:rsidRDefault="009C1674" w:rsidP="009C1674">
      <w:pPr>
        <w:spacing w:after="240" w:line="360" w:lineRule="auto"/>
        <w:ind w:left="720" w:hanging="720"/>
        <w:jc w:val="both"/>
        <w:rPr>
          <w:rFonts w:cs="Arial"/>
        </w:rPr>
      </w:pPr>
      <w:r w:rsidRPr="00CD5130">
        <w:rPr>
          <w:rFonts w:ascii="Arial" w:eastAsia="Calibri" w:hAnsi="Arial" w:cs="Arial"/>
          <w:lang w:val="en-ZA"/>
        </w:rPr>
        <w:t>[26]</w:t>
      </w:r>
      <w:r w:rsidRPr="00CD5130">
        <w:rPr>
          <w:rFonts w:ascii="Arial" w:eastAsia="Calibri" w:hAnsi="Arial" w:cs="Arial"/>
          <w:lang w:val="en-ZA"/>
        </w:rPr>
        <w:tab/>
      </w:r>
      <w:r w:rsidR="0076491A" w:rsidRPr="009C1674">
        <w:rPr>
          <w:rFonts w:cs="Arial"/>
        </w:rPr>
        <w:t>In</w:t>
      </w:r>
      <w:r w:rsidR="00840868" w:rsidRPr="009C1674">
        <w:rPr>
          <w:rFonts w:cs="Arial"/>
        </w:rPr>
        <w:t xml:space="preserve"> </w:t>
      </w:r>
      <w:bookmarkStart w:id="1" w:name="_Hlk156480359"/>
      <w:r w:rsidR="00840868" w:rsidRPr="009C1674">
        <w:rPr>
          <w:rFonts w:cs="Arial"/>
          <w:i/>
          <w:iCs/>
        </w:rPr>
        <w:t xml:space="preserve">National Treasury </w:t>
      </w:r>
      <w:r w:rsidR="00327E27" w:rsidRPr="009C1674">
        <w:rPr>
          <w:rFonts w:cs="Arial"/>
          <w:i/>
          <w:iCs/>
        </w:rPr>
        <w:t>and</w:t>
      </w:r>
      <w:r w:rsidR="00840868" w:rsidRPr="009C1674">
        <w:rPr>
          <w:rFonts w:cs="Arial"/>
          <w:i/>
          <w:iCs/>
        </w:rPr>
        <w:t xml:space="preserve"> Others v Opposition to Urban Tolling Alliance </w:t>
      </w:r>
      <w:r w:rsidR="00327E27" w:rsidRPr="009C1674">
        <w:rPr>
          <w:rFonts w:cs="Arial"/>
          <w:i/>
          <w:iCs/>
        </w:rPr>
        <w:t>and</w:t>
      </w:r>
      <w:r w:rsidR="00840868" w:rsidRPr="009C1674">
        <w:rPr>
          <w:rFonts w:cs="Arial"/>
          <w:i/>
          <w:iCs/>
        </w:rPr>
        <w:t xml:space="preserve"> Other</w:t>
      </w:r>
      <w:r w:rsidR="0076491A" w:rsidRPr="009C1674">
        <w:rPr>
          <w:rFonts w:cs="Arial"/>
          <w:i/>
          <w:iCs/>
        </w:rPr>
        <w:t>s</w:t>
      </w:r>
      <w:r w:rsidR="0076491A" w:rsidRPr="00CD5130">
        <w:rPr>
          <w:rStyle w:val="FootnoteReference"/>
          <w:rFonts w:cs="Arial"/>
          <w:i/>
          <w:iCs/>
        </w:rPr>
        <w:footnoteReference w:id="2"/>
      </w:r>
      <w:r w:rsidR="00840868" w:rsidRPr="009C1674">
        <w:rPr>
          <w:rFonts w:cs="Arial"/>
          <w:i/>
          <w:iCs/>
        </w:rPr>
        <w:t xml:space="preserve"> 2012 (6) Sa 223 (CC</w:t>
      </w:r>
      <w:r w:rsidR="00327E27" w:rsidRPr="009C1674">
        <w:rPr>
          <w:rFonts w:cs="Arial"/>
          <w:i/>
          <w:iCs/>
        </w:rPr>
        <w:t>)</w:t>
      </w:r>
      <w:r w:rsidR="00327E27" w:rsidRPr="009C1674">
        <w:rPr>
          <w:rFonts w:cs="Arial"/>
        </w:rPr>
        <w:t>)</w:t>
      </w:r>
      <w:r w:rsidR="00840868" w:rsidRPr="009C1674">
        <w:rPr>
          <w:rFonts w:cs="Arial"/>
        </w:rPr>
        <w:t xml:space="preserve"> </w:t>
      </w:r>
      <w:r w:rsidR="00327E27" w:rsidRPr="009C1674">
        <w:rPr>
          <w:rFonts w:cs="Arial"/>
        </w:rPr>
        <w:t>(OUTA</w:t>
      </w:r>
      <w:r w:rsidR="00840868" w:rsidRPr="009C1674">
        <w:rPr>
          <w:rFonts w:cs="Arial"/>
        </w:rPr>
        <w:t>)</w:t>
      </w:r>
      <w:r w:rsidR="004B5AC1" w:rsidRPr="009C1674">
        <w:rPr>
          <w:rFonts w:cs="Arial"/>
        </w:rPr>
        <w:t xml:space="preserve"> </w:t>
      </w:r>
      <w:bookmarkEnd w:id="1"/>
      <w:r w:rsidR="004B5AC1" w:rsidRPr="009C1674">
        <w:rPr>
          <w:rFonts w:cs="Arial"/>
        </w:rPr>
        <w:t xml:space="preserve">the </w:t>
      </w:r>
      <w:r w:rsidR="00682FC5" w:rsidRPr="009C1674">
        <w:rPr>
          <w:rFonts w:cs="Arial"/>
        </w:rPr>
        <w:t>Constitutional Court</w:t>
      </w:r>
      <w:r w:rsidR="00926CA3" w:rsidRPr="009C1674">
        <w:rPr>
          <w:rFonts w:cs="Arial"/>
        </w:rPr>
        <w:t xml:space="preserve"> put a gloss on these requirements</w:t>
      </w:r>
      <w:r w:rsidR="00F25084" w:rsidRPr="009C1674">
        <w:rPr>
          <w:rFonts w:cs="Arial"/>
        </w:rPr>
        <w:t xml:space="preserve"> </w:t>
      </w:r>
      <w:r w:rsidR="00986DE6" w:rsidRPr="009C1674">
        <w:rPr>
          <w:rFonts w:cs="Arial"/>
        </w:rPr>
        <w:t>in circumstances where</w:t>
      </w:r>
      <w:r w:rsidR="00F25084" w:rsidRPr="009C1674">
        <w:rPr>
          <w:rFonts w:cs="Arial"/>
        </w:rPr>
        <w:t xml:space="preserve"> </w:t>
      </w:r>
      <w:r w:rsidR="00093F46" w:rsidRPr="009C1674">
        <w:rPr>
          <w:rFonts w:cs="Arial"/>
        </w:rPr>
        <w:t>the interdict</w:t>
      </w:r>
      <w:r w:rsidR="00F66688" w:rsidRPr="009C1674">
        <w:rPr>
          <w:rFonts w:cs="Arial"/>
        </w:rPr>
        <w:t xml:space="preserve"> sought</w:t>
      </w:r>
      <w:r w:rsidR="00F25084" w:rsidRPr="009C1674">
        <w:rPr>
          <w:rFonts w:cs="Arial"/>
        </w:rPr>
        <w:t xml:space="preserve"> was </w:t>
      </w:r>
      <w:r w:rsidR="00986DE6" w:rsidRPr="009C1674">
        <w:rPr>
          <w:rFonts w:cs="Arial"/>
        </w:rPr>
        <w:t>against organs of state and in</w:t>
      </w:r>
      <w:r w:rsidR="003F09EC" w:rsidRPr="009C1674">
        <w:rPr>
          <w:rFonts w:cs="Arial"/>
        </w:rPr>
        <w:t xml:space="preserve"> restraint </w:t>
      </w:r>
      <w:r w:rsidR="00986DE6" w:rsidRPr="009C1674">
        <w:rPr>
          <w:rFonts w:cs="Arial"/>
        </w:rPr>
        <w:t>their</w:t>
      </w:r>
      <w:r w:rsidR="003F09EC" w:rsidRPr="009C1674">
        <w:rPr>
          <w:rFonts w:cs="Arial"/>
        </w:rPr>
        <w:t xml:space="preserve"> statutory power</w:t>
      </w:r>
      <w:r w:rsidR="00F66688" w:rsidRPr="009C1674">
        <w:rPr>
          <w:rFonts w:cs="Arial"/>
        </w:rPr>
        <w:t xml:space="preserve">. </w:t>
      </w:r>
    </w:p>
    <w:p w14:paraId="1FF9D613" w14:textId="62638F14" w:rsidR="009F03FB" w:rsidRPr="009C1674" w:rsidRDefault="009C1674" w:rsidP="009C1674">
      <w:pPr>
        <w:spacing w:after="240" w:line="360" w:lineRule="auto"/>
        <w:ind w:left="720" w:hanging="720"/>
        <w:jc w:val="both"/>
        <w:rPr>
          <w:rFonts w:cs="Arial"/>
        </w:rPr>
      </w:pPr>
      <w:r w:rsidRPr="00CD5130">
        <w:rPr>
          <w:rFonts w:ascii="Arial" w:eastAsia="Calibri" w:hAnsi="Arial" w:cs="Arial"/>
          <w:lang w:val="en-ZA"/>
        </w:rPr>
        <w:t>[27]</w:t>
      </w:r>
      <w:r w:rsidRPr="00CD5130">
        <w:rPr>
          <w:rFonts w:ascii="Arial" w:eastAsia="Calibri" w:hAnsi="Arial" w:cs="Arial"/>
          <w:lang w:val="en-ZA"/>
        </w:rPr>
        <w:tab/>
      </w:r>
      <w:r w:rsidR="009F03FB" w:rsidRPr="009C1674">
        <w:rPr>
          <w:rFonts w:cs="Arial"/>
        </w:rPr>
        <w:t xml:space="preserve">The Constitutional Court made the point that </w:t>
      </w:r>
      <w:r w:rsidR="00327E27" w:rsidRPr="009C1674">
        <w:rPr>
          <w:rFonts w:cs="Arial"/>
        </w:rPr>
        <w:t>the ex</w:t>
      </w:r>
      <w:r w:rsidR="00424C77" w:rsidRPr="009C1674">
        <w:rPr>
          <w:rFonts w:cs="Arial"/>
        </w:rPr>
        <w:t xml:space="preserve">istence </w:t>
      </w:r>
      <w:r w:rsidR="0077551F" w:rsidRPr="009C1674">
        <w:rPr>
          <w:rFonts w:cs="Arial"/>
        </w:rPr>
        <w:t xml:space="preserve">of </w:t>
      </w:r>
      <w:r w:rsidR="009F03FB" w:rsidRPr="009C1674">
        <w:rPr>
          <w:rFonts w:cs="Arial"/>
        </w:rPr>
        <w:t xml:space="preserve">mala fides </w:t>
      </w:r>
      <w:r w:rsidR="0077551F" w:rsidRPr="009C1674">
        <w:rPr>
          <w:rFonts w:cs="Arial"/>
        </w:rPr>
        <w:t>is</w:t>
      </w:r>
      <w:r w:rsidR="009F03FB" w:rsidRPr="009C1674">
        <w:rPr>
          <w:rFonts w:cs="Arial"/>
        </w:rPr>
        <w:t xml:space="preserve"> an important consideration in the inquiry.  The Court quoted with approval the decision in Gool</w:t>
      </w:r>
      <w:r w:rsidR="009F03FB" w:rsidRPr="00CD5130">
        <w:rPr>
          <w:rStyle w:val="FootnoteReference"/>
          <w:rFonts w:cs="Arial"/>
        </w:rPr>
        <w:footnoteReference w:id="3"/>
      </w:r>
      <w:r w:rsidR="009F03FB" w:rsidRPr="009C1674">
        <w:rPr>
          <w:rFonts w:cs="Arial"/>
        </w:rPr>
        <w:t xml:space="preserve"> as follows:</w:t>
      </w:r>
    </w:p>
    <w:p w14:paraId="4E966CEB" w14:textId="77777777" w:rsidR="009F03FB" w:rsidRPr="002B3802" w:rsidRDefault="009F03FB" w:rsidP="002B3802">
      <w:pPr>
        <w:pStyle w:val="ListParagraph"/>
        <w:spacing w:before="0" w:after="240" w:line="360" w:lineRule="auto"/>
        <w:ind w:left="1440"/>
        <w:contextualSpacing w:val="0"/>
        <w:mirrorIndents w:val="0"/>
        <w:jc w:val="both"/>
        <w:rPr>
          <w:rFonts w:cs="Arial"/>
          <w:sz w:val="22"/>
          <w:szCs w:val="22"/>
        </w:rPr>
      </w:pPr>
      <w:r w:rsidRPr="002B3802">
        <w:rPr>
          <w:rFonts w:cs="Arial"/>
          <w:sz w:val="22"/>
          <w:szCs w:val="22"/>
        </w:rPr>
        <w:t>"The present is however not an ordinary application for an interdict. In the first place, we are in the present case concerned with an application for an interdict restraining the exercise of statutory powers. In the absence of an allegation of mala fides the Court does not readily grant such an interdict.”</w:t>
      </w:r>
      <w:r w:rsidRPr="002B3802">
        <w:rPr>
          <w:rStyle w:val="FootnoteReference"/>
          <w:rFonts w:cs="Arial"/>
          <w:sz w:val="22"/>
          <w:szCs w:val="22"/>
        </w:rPr>
        <w:footnoteReference w:id="4"/>
      </w:r>
    </w:p>
    <w:p w14:paraId="7BDD614A" w14:textId="799D5DCB" w:rsidR="009F03FB" w:rsidRPr="009C1674" w:rsidRDefault="009C1674" w:rsidP="009C1674">
      <w:pPr>
        <w:spacing w:after="240" w:line="360" w:lineRule="auto"/>
        <w:ind w:left="720" w:hanging="720"/>
        <w:jc w:val="both"/>
        <w:rPr>
          <w:rFonts w:cs="Arial"/>
        </w:rPr>
      </w:pPr>
      <w:r w:rsidRPr="00CD5130">
        <w:rPr>
          <w:rFonts w:ascii="Arial" w:eastAsia="Calibri" w:hAnsi="Arial" w:cs="Arial"/>
          <w:lang w:val="en-ZA"/>
        </w:rPr>
        <w:t>[28]</w:t>
      </w:r>
      <w:r w:rsidRPr="00CD5130">
        <w:rPr>
          <w:rFonts w:ascii="Arial" w:eastAsia="Calibri" w:hAnsi="Arial" w:cs="Arial"/>
          <w:lang w:val="en-ZA"/>
        </w:rPr>
        <w:tab/>
      </w:r>
      <w:r w:rsidR="009F03FB" w:rsidRPr="009C1674">
        <w:rPr>
          <w:rFonts w:cs="Arial"/>
        </w:rPr>
        <w:t xml:space="preserve">The </w:t>
      </w:r>
      <w:r w:rsidR="00E6785F" w:rsidRPr="009C1674">
        <w:rPr>
          <w:rFonts w:cs="Arial"/>
        </w:rPr>
        <w:t xml:space="preserve">Court held </w:t>
      </w:r>
      <w:r w:rsidR="009F03FB" w:rsidRPr="009C1674">
        <w:rPr>
          <w:rFonts w:cs="Arial"/>
        </w:rPr>
        <w:t>further that such an interdict would be granted “only in the clearest of cases.”</w:t>
      </w:r>
      <w:r w:rsidR="009F03FB" w:rsidRPr="00CD5130">
        <w:rPr>
          <w:rStyle w:val="FootnoteReference"/>
          <w:rFonts w:cs="Arial"/>
        </w:rPr>
        <w:footnoteReference w:id="5"/>
      </w:r>
    </w:p>
    <w:p w14:paraId="76EA3FA0" w14:textId="50A1E0B4" w:rsidR="00BC2884" w:rsidRPr="009C1674" w:rsidRDefault="009C1674" w:rsidP="009C1674">
      <w:pPr>
        <w:spacing w:after="240" w:line="360" w:lineRule="auto"/>
        <w:ind w:left="720" w:hanging="720"/>
        <w:jc w:val="both"/>
        <w:rPr>
          <w:rFonts w:cs="Arial"/>
        </w:rPr>
      </w:pPr>
      <w:r w:rsidRPr="002B3802">
        <w:rPr>
          <w:rFonts w:ascii="Arial" w:eastAsia="Calibri" w:hAnsi="Arial" w:cs="Arial"/>
          <w:lang w:val="en-ZA"/>
        </w:rPr>
        <w:lastRenderedPageBreak/>
        <w:t>[29]</w:t>
      </w:r>
      <w:r w:rsidRPr="002B3802">
        <w:rPr>
          <w:rFonts w:ascii="Arial" w:eastAsia="Calibri" w:hAnsi="Arial" w:cs="Arial"/>
          <w:lang w:val="en-ZA"/>
        </w:rPr>
        <w:tab/>
      </w:r>
      <w:r w:rsidR="00A02BBF" w:rsidRPr="009C1674">
        <w:rPr>
          <w:rFonts w:cs="Arial"/>
        </w:rPr>
        <w:t>The Court furthermore, whilst not defining the “clearest of cases” pointed out that an important consideration would be weather the harm apprehended amounted to a breach of one or more of the fundamental rights in the Bill of Rights</w:t>
      </w:r>
      <w:r w:rsidR="00986DE6" w:rsidRPr="009C1674">
        <w:rPr>
          <w:rFonts w:cs="Arial"/>
        </w:rPr>
        <w:t>.</w:t>
      </w:r>
      <w:r w:rsidR="00A02BBF" w:rsidRPr="00CD5130">
        <w:rPr>
          <w:rStyle w:val="FootnoteReference"/>
          <w:rFonts w:cs="Arial"/>
        </w:rPr>
        <w:footnoteReference w:id="6"/>
      </w:r>
    </w:p>
    <w:p w14:paraId="1397E51F" w14:textId="3C0152BA" w:rsidR="00840868" w:rsidRPr="009C1674" w:rsidRDefault="009C1674" w:rsidP="009C1674">
      <w:pPr>
        <w:spacing w:after="240" w:line="360" w:lineRule="auto"/>
        <w:ind w:left="720" w:hanging="720"/>
        <w:jc w:val="both"/>
        <w:rPr>
          <w:rFonts w:cs="Arial"/>
        </w:rPr>
      </w:pPr>
      <w:r>
        <w:rPr>
          <w:rFonts w:ascii="Arial" w:eastAsia="Calibri" w:hAnsi="Arial" w:cs="Arial"/>
          <w:lang w:val="en-ZA"/>
        </w:rPr>
        <w:t>[30]</w:t>
      </w:r>
      <w:r>
        <w:rPr>
          <w:rFonts w:ascii="Arial" w:eastAsia="Calibri" w:hAnsi="Arial" w:cs="Arial"/>
          <w:lang w:val="en-ZA"/>
        </w:rPr>
        <w:tab/>
      </w:r>
      <w:r w:rsidR="00FD6DBF" w:rsidRPr="009C1674">
        <w:rPr>
          <w:rFonts w:cs="Arial"/>
        </w:rPr>
        <w:t xml:space="preserve">The </w:t>
      </w:r>
      <w:r w:rsidR="00A12D1E" w:rsidRPr="009C1674">
        <w:rPr>
          <w:rFonts w:cs="Arial"/>
        </w:rPr>
        <w:t xml:space="preserve">weighing up inquiry </w:t>
      </w:r>
      <w:r w:rsidR="00986DE6" w:rsidRPr="009C1674">
        <w:rPr>
          <w:rFonts w:cs="Arial"/>
        </w:rPr>
        <w:t xml:space="preserve">which a court has to engage in when determining whether a case has been made for an interdict </w:t>
      </w:r>
      <w:r w:rsidR="005F07B9" w:rsidRPr="009C1674">
        <w:rPr>
          <w:rFonts w:cs="Arial"/>
        </w:rPr>
        <w:t>takes into account the prospects of success in the review</w:t>
      </w:r>
      <w:r w:rsidR="006D16EA" w:rsidRPr="009C1674">
        <w:rPr>
          <w:rFonts w:cs="Arial"/>
        </w:rPr>
        <w:t xml:space="preserve">. The stronger the prospects of success the </w:t>
      </w:r>
      <w:r w:rsidR="00496FD9" w:rsidRPr="009C1674">
        <w:rPr>
          <w:rFonts w:cs="Arial"/>
        </w:rPr>
        <w:t>less not for the balance of convenience to favour the applicants</w:t>
      </w:r>
      <w:r w:rsidR="003C1CD9" w:rsidRPr="009C1674">
        <w:rPr>
          <w:rFonts w:cs="Arial"/>
        </w:rPr>
        <w:t>; the weaker the prospects of success the greater the need</w:t>
      </w:r>
      <w:r w:rsidR="00F90327" w:rsidRPr="009C1674">
        <w:rPr>
          <w:rFonts w:cs="Arial"/>
        </w:rPr>
        <w:t xml:space="preserve"> for the balance to favour the applicants</w:t>
      </w:r>
      <w:r w:rsidR="00EA4571" w:rsidRPr="009C1674">
        <w:rPr>
          <w:rFonts w:cs="Arial"/>
        </w:rPr>
        <w:t>.</w:t>
      </w:r>
      <w:r w:rsidR="00F90327" w:rsidRPr="00CD5130">
        <w:rPr>
          <w:rStyle w:val="FootnoteReference"/>
          <w:rFonts w:cs="Arial"/>
        </w:rPr>
        <w:footnoteReference w:id="7"/>
      </w:r>
    </w:p>
    <w:p w14:paraId="2803744F" w14:textId="09A9D1EB" w:rsidR="0077551F" w:rsidRPr="009C1674" w:rsidRDefault="009C1674" w:rsidP="009C1674">
      <w:pPr>
        <w:spacing w:after="240" w:line="360" w:lineRule="auto"/>
        <w:ind w:left="720" w:hanging="720"/>
        <w:jc w:val="both"/>
        <w:rPr>
          <w:rFonts w:cs="Arial"/>
        </w:rPr>
      </w:pPr>
      <w:r w:rsidRPr="00CD5130">
        <w:rPr>
          <w:rFonts w:ascii="Arial" w:eastAsia="Calibri" w:hAnsi="Arial" w:cs="Arial"/>
          <w:lang w:val="en-ZA"/>
        </w:rPr>
        <w:t>[31]</w:t>
      </w:r>
      <w:r w:rsidRPr="00CD5130">
        <w:rPr>
          <w:rFonts w:ascii="Arial" w:eastAsia="Calibri" w:hAnsi="Arial" w:cs="Arial"/>
          <w:lang w:val="en-ZA"/>
        </w:rPr>
        <w:tab/>
      </w:r>
      <w:r w:rsidR="0077551F" w:rsidRPr="009C1674">
        <w:rPr>
          <w:rFonts w:cs="Arial"/>
        </w:rPr>
        <w:t>With these principles in mind, I move to the determination of the merits.</w:t>
      </w:r>
    </w:p>
    <w:p w14:paraId="453DA3D0" w14:textId="77777777" w:rsidR="009A1ED7" w:rsidRPr="00CD5130" w:rsidRDefault="00675CCB" w:rsidP="00CD5130">
      <w:pPr>
        <w:spacing w:after="240" w:line="360" w:lineRule="auto"/>
        <w:jc w:val="both"/>
        <w:rPr>
          <w:rFonts w:cs="Arial"/>
          <w:i/>
          <w:iCs/>
        </w:rPr>
      </w:pPr>
      <w:r w:rsidRPr="00CD5130">
        <w:rPr>
          <w:rFonts w:cs="Arial"/>
          <w:i/>
          <w:iCs/>
        </w:rPr>
        <w:t>Discussion</w:t>
      </w:r>
    </w:p>
    <w:p w14:paraId="5AE5A999" w14:textId="46270186" w:rsidR="00424C77" w:rsidRPr="009C1674" w:rsidRDefault="009C1674" w:rsidP="009C1674">
      <w:pPr>
        <w:spacing w:after="240" w:line="360" w:lineRule="auto"/>
        <w:ind w:left="720" w:hanging="720"/>
        <w:jc w:val="both"/>
        <w:rPr>
          <w:rFonts w:cs="Arial"/>
        </w:rPr>
      </w:pPr>
      <w:r>
        <w:rPr>
          <w:rFonts w:ascii="Arial" w:eastAsia="Calibri" w:hAnsi="Arial" w:cs="Arial"/>
          <w:lang w:val="en-ZA"/>
        </w:rPr>
        <w:t>[32]</w:t>
      </w:r>
      <w:r>
        <w:rPr>
          <w:rFonts w:ascii="Arial" w:eastAsia="Calibri" w:hAnsi="Arial" w:cs="Arial"/>
          <w:lang w:val="en-ZA"/>
        </w:rPr>
        <w:tab/>
      </w:r>
      <w:r w:rsidR="00986DE6" w:rsidRPr="009C1674">
        <w:rPr>
          <w:rFonts w:cs="Arial"/>
        </w:rPr>
        <w:t xml:space="preserve">A central basis for </w:t>
      </w:r>
      <w:r w:rsidR="00460346" w:rsidRPr="009C1674">
        <w:rPr>
          <w:rFonts w:cs="Arial"/>
        </w:rPr>
        <w:t xml:space="preserve">the review is </w:t>
      </w:r>
      <w:r w:rsidR="00986DE6" w:rsidRPr="009C1674">
        <w:rPr>
          <w:rFonts w:cs="Arial"/>
        </w:rPr>
        <w:t>alleged illegality</w:t>
      </w:r>
      <w:r w:rsidR="00460346" w:rsidRPr="009C1674">
        <w:rPr>
          <w:rFonts w:cs="Arial"/>
        </w:rPr>
        <w:t xml:space="preserve"> </w:t>
      </w:r>
      <w:r w:rsidR="00986DE6" w:rsidRPr="009C1674">
        <w:rPr>
          <w:rFonts w:cs="Arial"/>
        </w:rPr>
        <w:t xml:space="preserve">arising from the fact </w:t>
      </w:r>
      <w:r w:rsidR="00460346" w:rsidRPr="009C1674">
        <w:rPr>
          <w:rFonts w:cs="Arial"/>
        </w:rPr>
        <w:t xml:space="preserve">that there has not been compliance with </w:t>
      </w:r>
      <w:r w:rsidR="00B3128B" w:rsidRPr="009C1674">
        <w:rPr>
          <w:rFonts w:cs="Arial"/>
        </w:rPr>
        <w:t>the notification and</w:t>
      </w:r>
      <w:r w:rsidR="0079359C" w:rsidRPr="009C1674">
        <w:rPr>
          <w:rFonts w:cs="Arial"/>
        </w:rPr>
        <w:t xml:space="preserve"> public </w:t>
      </w:r>
      <w:r w:rsidR="00B3128B" w:rsidRPr="009C1674">
        <w:rPr>
          <w:rFonts w:cs="Arial"/>
        </w:rPr>
        <w:t xml:space="preserve">consultation process </w:t>
      </w:r>
      <w:r w:rsidR="0079359C" w:rsidRPr="009C1674">
        <w:rPr>
          <w:rFonts w:cs="Arial"/>
        </w:rPr>
        <w:t xml:space="preserve">imposed </w:t>
      </w:r>
      <w:r w:rsidR="00B3128B" w:rsidRPr="009C1674">
        <w:rPr>
          <w:rFonts w:cs="Arial"/>
        </w:rPr>
        <w:t xml:space="preserve">by </w:t>
      </w:r>
      <w:r w:rsidR="00E81266" w:rsidRPr="009C1674">
        <w:rPr>
          <w:rFonts w:cs="Arial"/>
        </w:rPr>
        <w:t xml:space="preserve">sections 66 and 67 of </w:t>
      </w:r>
      <w:r w:rsidR="003F3645" w:rsidRPr="009C1674">
        <w:rPr>
          <w:rFonts w:cs="Arial"/>
        </w:rPr>
        <w:t xml:space="preserve">the </w:t>
      </w:r>
      <w:r w:rsidR="00B3128B" w:rsidRPr="009C1674">
        <w:rPr>
          <w:rFonts w:cs="Arial"/>
        </w:rPr>
        <w:t>Local Government Ordinance</w:t>
      </w:r>
      <w:r w:rsidR="00B74BEC" w:rsidRPr="009C1674">
        <w:rPr>
          <w:rFonts w:cs="Arial"/>
        </w:rPr>
        <w:t xml:space="preserve"> </w:t>
      </w:r>
      <w:r w:rsidR="003F3645" w:rsidRPr="009C1674">
        <w:rPr>
          <w:rFonts w:cs="Arial"/>
        </w:rPr>
        <w:t>(</w:t>
      </w:r>
      <w:r w:rsidR="00E775BC" w:rsidRPr="009C1674">
        <w:rPr>
          <w:rFonts w:cs="Arial"/>
        </w:rPr>
        <w:t xml:space="preserve">the Ordinance) </w:t>
      </w:r>
      <w:r w:rsidR="00B74BEC" w:rsidRPr="009C1674">
        <w:rPr>
          <w:rFonts w:cs="Arial"/>
        </w:rPr>
        <w:t>and general</w:t>
      </w:r>
      <w:r w:rsidR="00E81266" w:rsidRPr="009C1674">
        <w:rPr>
          <w:rFonts w:cs="Arial"/>
        </w:rPr>
        <w:t xml:space="preserve">ly by the Constitution. </w:t>
      </w:r>
    </w:p>
    <w:p w14:paraId="7E912D37" w14:textId="5C4AAB44" w:rsidR="00512F31" w:rsidRPr="009C1674" w:rsidRDefault="009C1674" w:rsidP="009C1674">
      <w:pPr>
        <w:spacing w:after="240" w:line="360" w:lineRule="auto"/>
        <w:ind w:left="720" w:hanging="720"/>
        <w:jc w:val="both"/>
        <w:rPr>
          <w:rFonts w:cs="Arial"/>
        </w:rPr>
      </w:pPr>
      <w:r w:rsidRPr="00424C77">
        <w:rPr>
          <w:rFonts w:ascii="Arial" w:eastAsia="Calibri" w:hAnsi="Arial" w:cs="Arial"/>
          <w:lang w:val="en-ZA"/>
        </w:rPr>
        <w:t>[33]</w:t>
      </w:r>
      <w:r w:rsidRPr="00424C77">
        <w:rPr>
          <w:rFonts w:ascii="Arial" w:eastAsia="Calibri" w:hAnsi="Arial" w:cs="Arial"/>
          <w:lang w:val="en-ZA"/>
        </w:rPr>
        <w:tab/>
      </w:r>
      <w:r w:rsidR="00E81266" w:rsidRPr="009C1674">
        <w:rPr>
          <w:rFonts w:cs="Arial"/>
        </w:rPr>
        <w:t xml:space="preserve">The </w:t>
      </w:r>
      <w:r w:rsidR="00986DE6" w:rsidRPr="009C1674">
        <w:rPr>
          <w:rFonts w:cs="Arial"/>
        </w:rPr>
        <w:t xml:space="preserve">dispute </w:t>
      </w:r>
      <w:r w:rsidR="00A97094" w:rsidRPr="009C1674">
        <w:rPr>
          <w:rFonts w:cs="Arial"/>
        </w:rPr>
        <w:t>engage</w:t>
      </w:r>
      <w:r w:rsidR="00E775BC" w:rsidRPr="009C1674">
        <w:rPr>
          <w:rFonts w:cs="Arial"/>
        </w:rPr>
        <w:t>d</w:t>
      </w:r>
      <w:r w:rsidR="00A97094" w:rsidRPr="009C1674">
        <w:rPr>
          <w:rFonts w:cs="Arial"/>
        </w:rPr>
        <w:t xml:space="preserve"> raises</w:t>
      </w:r>
      <w:r w:rsidR="00E81266" w:rsidRPr="009C1674">
        <w:rPr>
          <w:rFonts w:cs="Arial"/>
        </w:rPr>
        <w:t xml:space="preserve"> ample and </w:t>
      </w:r>
      <w:r w:rsidR="00512F31" w:rsidRPr="009C1674">
        <w:rPr>
          <w:rFonts w:cs="Arial"/>
        </w:rPr>
        <w:t>compelling authority</w:t>
      </w:r>
      <w:r w:rsidR="002438F4" w:rsidRPr="009C1674">
        <w:rPr>
          <w:rFonts w:cs="Arial"/>
        </w:rPr>
        <w:t xml:space="preserve"> for the proposition that sections 66 and 67 of the Ordinance are not implicated </w:t>
      </w:r>
      <w:r w:rsidR="00A420EF" w:rsidRPr="009C1674">
        <w:rPr>
          <w:rFonts w:cs="Arial"/>
        </w:rPr>
        <w:t xml:space="preserve">where there is no road </w:t>
      </w:r>
      <w:r w:rsidR="00A97094" w:rsidRPr="009C1674">
        <w:rPr>
          <w:rFonts w:cs="Arial"/>
        </w:rPr>
        <w:t>closure.</w:t>
      </w:r>
      <w:r w:rsidR="003F1029" w:rsidRPr="00CD5130">
        <w:rPr>
          <w:rStyle w:val="FootnoteReference"/>
          <w:rFonts w:cs="Arial"/>
        </w:rPr>
        <w:footnoteReference w:id="8"/>
      </w:r>
      <w:r w:rsidR="00A97094" w:rsidRPr="009C1674">
        <w:rPr>
          <w:rFonts w:cs="Arial"/>
        </w:rPr>
        <w:t xml:space="preserve"> </w:t>
      </w:r>
    </w:p>
    <w:p w14:paraId="22809ADB" w14:textId="4F080CAA" w:rsidR="00164014" w:rsidRPr="009C1674" w:rsidRDefault="009C1674" w:rsidP="009C1674">
      <w:pPr>
        <w:spacing w:after="240" w:line="360" w:lineRule="auto"/>
        <w:ind w:left="720" w:hanging="720"/>
        <w:jc w:val="both"/>
        <w:rPr>
          <w:rFonts w:cs="Arial"/>
        </w:rPr>
      </w:pPr>
      <w:r w:rsidRPr="00CD5130">
        <w:rPr>
          <w:rFonts w:ascii="Arial" w:eastAsia="Calibri" w:hAnsi="Arial" w:cs="Arial"/>
          <w:lang w:val="en-ZA"/>
        </w:rPr>
        <w:t>[34]</w:t>
      </w:r>
      <w:r w:rsidRPr="00CD5130">
        <w:rPr>
          <w:rFonts w:ascii="Arial" w:eastAsia="Calibri" w:hAnsi="Arial" w:cs="Arial"/>
          <w:lang w:val="en-ZA"/>
        </w:rPr>
        <w:tab/>
      </w:r>
      <w:r w:rsidR="00E775BC" w:rsidRPr="009C1674">
        <w:rPr>
          <w:rFonts w:cs="Arial"/>
        </w:rPr>
        <w:t>However,</w:t>
      </w:r>
      <w:r w:rsidR="00583FCF" w:rsidRPr="009C1674">
        <w:rPr>
          <w:rFonts w:cs="Arial"/>
        </w:rPr>
        <w:t xml:space="preserve"> even if </w:t>
      </w:r>
      <w:r w:rsidR="0015261D" w:rsidRPr="009C1674">
        <w:rPr>
          <w:rFonts w:cs="Arial"/>
        </w:rPr>
        <w:t>it were clear that</w:t>
      </w:r>
      <w:r w:rsidR="00583FCF" w:rsidRPr="009C1674">
        <w:rPr>
          <w:rFonts w:cs="Arial"/>
        </w:rPr>
        <w:t xml:space="preserve"> </w:t>
      </w:r>
      <w:r w:rsidR="00E775BC" w:rsidRPr="009C1674">
        <w:rPr>
          <w:rFonts w:cs="Arial"/>
        </w:rPr>
        <w:t xml:space="preserve">the </w:t>
      </w:r>
      <w:r w:rsidR="00062310" w:rsidRPr="009C1674">
        <w:rPr>
          <w:rFonts w:cs="Arial"/>
        </w:rPr>
        <w:t xml:space="preserve">applicants have fallen short of </w:t>
      </w:r>
      <w:r w:rsidR="0083361E" w:rsidRPr="009C1674">
        <w:rPr>
          <w:rFonts w:cs="Arial"/>
        </w:rPr>
        <w:t xml:space="preserve">requirements </w:t>
      </w:r>
      <w:r w:rsidR="00583FCF" w:rsidRPr="009C1674">
        <w:rPr>
          <w:rFonts w:cs="Arial"/>
        </w:rPr>
        <w:t xml:space="preserve">contained in the </w:t>
      </w:r>
      <w:r w:rsidR="0083361E" w:rsidRPr="009C1674">
        <w:rPr>
          <w:rFonts w:cs="Arial"/>
        </w:rPr>
        <w:t xml:space="preserve">Ordinance and </w:t>
      </w:r>
      <w:r w:rsidR="00CB4C86" w:rsidRPr="009C1674">
        <w:rPr>
          <w:rFonts w:cs="Arial"/>
        </w:rPr>
        <w:t>shirked their</w:t>
      </w:r>
      <w:r w:rsidR="005B0DFE" w:rsidRPr="009C1674">
        <w:rPr>
          <w:rFonts w:cs="Arial"/>
        </w:rPr>
        <w:t xml:space="preserve"> general </w:t>
      </w:r>
      <w:r w:rsidR="0083361E" w:rsidRPr="009C1674">
        <w:rPr>
          <w:rFonts w:cs="Arial"/>
        </w:rPr>
        <w:t xml:space="preserve">duty </w:t>
      </w:r>
      <w:r w:rsidR="00062310" w:rsidRPr="009C1674">
        <w:rPr>
          <w:rFonts w:cs="Arial"/>
        </w:rPr>
        <w:t xml:space="preserve">of </w:t>
      </w:r>
      <w:r w:rsidR="00353825" w:rsidRPr="009C1674">
        <w:rPr>
          <w:rFonts w:cs="Arial"/>
        </w:rPr>
        <w:t>facilitating</w:t>
      </w:r>
      <w:r w:rsidR="00BE6485" w:rsidRPr="009C1674">
        <w:rPr>
          <w:rFonts w:cs="Arial"/>
        </w:rPr>
        <w:t xml:space="preserve"> public participation in relation to the impugned decision</w:t>
      </w:r>
      <w:r w:rsidR="00661B7D" w:rsidRPr="009C1674">
        <w:rPr>
          <w:rFonts w:cs="Arial"/>
        </w:rPr>
        <w:t>, this does not</w:t>
      </w:r>
      <w:r w:rsidR="007609AB" w:rsidRPr="009C1674">
        <w:rPr>
          <w:rFonts w:cs="Arial"/>
        </w:rPr>
        <w:t>, as of right,</w:t>
      </w:r>
      <w:r w:rsidR="00E775BC" w:rsidRPr="009C1674">
        <w:rPr>
          <w:rFonts w:cs="Arial"/>
        </w:rPr>
        <w:t xml:space="preserve"> </w:t>
      </w:r>
      <w:r w:rsidR="007609AB" w:rsidRPr="009C1674">
        <w:rPr>
          <w:rFonts w:cs="Arial"/>
        </w:rPr>
        <w:t>provide a</w:t>
      </w:r>
      <w:r w:rsidR="0015261D" w:rsidRPr="009C1674">
        <w:rPr>
          <w:rFonts w:cs="Arial"/>
        </w:rPr>
        <w:t xml:space="preserve"> right to found </w:t>
      </w:r>
      <w:r w:rsidR="00281A4C" w:rsidRPr="009C1674">
        <w:rPr>
          <w:rFonts w:cs="Arial"/>
        </w:rPr>
        <w:t>interdictory relief</w:t>
      </w:r>
      <w:r w:rsidR="00F23B97" w:rsidRPr="009C1674">
        <w:rPr>
          <w:rFonts w:cs="Arial"/>
        </w:rPr>
        <w:t>.</w:t>
      </w:r>
      <w:r w:rsidR="00E35ECD" w:rsidRPr="009C1674">
        <w:rPr>
          <w:rFonts w:cs="Arial"/>
        </w:rPr>
        <w:t xml:space="preserve"> The following </w:t>
      </w:r>
      <w:r w:rsidR="00E20DCF" w:rsidRPr="009C1674">
        <w:rPr>
          <w:rFonts w:cs="Arial"/>
        </w:rPr>
        <w:t xml:space="preserve">dictum of the Constitutional Court in </w:t>
      </w:r>
      <w:r w:rsidR="00E20DCF" w:rsidRPr="009C1674">
        <w:rPr>
          <w:rFonts w:cs="Arial"/>
          <w:i/>
          <w:iCs/>
        </w:rPr>
        <w:t>Afriforum</w:t>
      </w:r>
      <w:r w:rsidR="001702A6" w:rsidRPr="00CD5130">
        <w:rPr>
          <w:rStyle w:val="FootnoteReference"/>
          <w:rFonts w:cs="Arial"/>
          <w:i/>
          <w:iCs/>
        </w:rPr>
        <w:footnoteReference w:id="9"/>
      </w:r>
      <w:r w:rsidR="00E20DCF" w:rsidRPr="009C1674">
        <w:rPr>
          <w:rFonts w:cs="Arial"/>
        </w:rPr>
        <w:t xml:space="preserve"> </w:t>
      </w:r>
      <w:r w:rsidR="0094394D" w:rsidRPr="009C1674">
        <w:rPr>
          <w:rFonts w:cs="Arial"/>
        </w:rPr>
        <w:t xml:space="preserve">bears </w:t>
      </w:r>
      <w:r w:rsidR="00D542ED" w:rsidRPr="009C1674">
        <w:rPr>
          <w:rFonts w:cs="Arial"/>
        </w:rPr>
        <w:t>emphasis</w:t>
      </w:r>
      <w:r w:rsidR="00812D04" w:rsidRPr="009C1674">
        <w:rPr>
          <w:rFonts w:cs="Arial"/>
        </w:rPr>
        <w:t>:</w:t>
      </w:r>
    </w:p>
    <w:p w14:paraId="3AC19169" w14:textId="3566D59E" w:rsidR="00CD5130" w:rsidRPr="00BB770B" w:rsidRDefault="00BB770B" w:rsidP="00BB770B">
      <w:pPr>
        <w:pStyle w:val="ListParagraph"/>
        <w:spacing w:before="0" w:after="240" w:line="360" w:lineRule="auto"/>
        <w:ind w:left="1440"/>
        <w:contextualSpacing w:val="0"/>
        <w:mirrorIndents w:val="0"/>
        <w:jc w:val="both"/>
        <w:rPr>
          <w:rFonts w:cs="Arial"/>
          <w:sz w:val="22"/>
          <w:szCs w:val="22"/>
        </w:rPr>
      </w:pPr>
      <w:r w:rsidRPr="00BB770B">
        <w:rPr>
          <w:rFonts w:cs="Arial"/>
          <w:sz w:val="22"/>
          <w:szCs w:val="22"/>
        </w:rPr>
        <w:t xml:space="preserve">"The facilitation or genuineness of any public participation process is of course subject to judicial scrutiny. </w:t>
      </w:r>
      <w:r w:rsidRPr="00A97094">
        <w:rPr>
          <w:rFonts w:cs="Arial"/>
          <w:sz w:val="22"/>
          <w:szCs w:val="22"/>
          <w:u w:val="single"/>
        </w:rPr>
        <w:t xml:space="preserve">It however ought to be only in very rare instances </w:t>
      </w:r>
      <w:r w:rsidRPr="00A97094">
        <w:rPr>
          <w:rFonts w:cs="Arial"/>
          <w:sz w:val="22"/>
          <w:szCs w:val="22"/>
          <w:u w:val="single"/>
        </w:rPr>
        <w:lastRenderedPageBreak/>
        <w:t xml:space="preserve">that a public participation process that actually took </w:t>
      </w:r>
      <w:r w:rsidR="00A97094" w:rsidRPr="00A97094">
        <w:rPr>
          <w:rFonts w:cs="Arial"/>
          <w:sz w:val="22"/>
          <w:szCs w:val="22"/>
          <w:u w:val="single"/>
        </w:rPr>
        <w:t>p</w:t>
      </w:r>
      <w:r w:rsidRPr="00A97094">
        <w:rPr>
          <w:rFonts w:cs="Arial"/>
          <w:sz w:val="22"/>
          <w:szCs w:val="22"/>
          <w:u w:val="single"/>
        </w:rPr>
        <w:t>lace but is believed to be flawed for want of adequate facilitation or participation would serve as the basis for an interim interdict</w:t>
      </w:r>
      <w:r w:rsidRPr="00BB770B">
        <w:rPr>
          <w:rFonts w:cs="Arial"/>
          <w:sz w:val="22"/>
          <w:szCs w:val="22"/>
        </w:rPr>
        <w:t>. The propriety of that process must, as is the case with law making public participation processes that are expressly provided for in the Constitution, be tested through a review process or similar proceedings based on the principle of legality.” (Emphasis added)</w:t>
      </w:r>
      <w:r w:rsidR="00191ECA" w:rsidRPr="00BB770B">
        <w:rPr>
          <w:rStyle w:val="FootnoteReference"/>
          <w:rFonts w:cs="Arial"/>
          <w:sz w:val="22"/>
          <w:szCs w:val="22"/>
        </w:rPr>
        <w:footnoteReference w:id="10"/>
      </w:r>
    </w:p>
    <w:p w14:paraId="2EF4386C" w14:textId="75AA0A8A" w:rsidR="002474CA" w:rsidRPr="009C1674" w:rsidRDefault="009C1674" w:rsidP="009C1674">
      <w:pPr>
        <w:spacing w:after="240" w:line="360" w:lineRule="auto"/>
        <w:ind w:left="720" w:hanging="720"/>
        <w:jc w:val="both"/>
        <w:rPr>
          <w:rFonts w:cs="Arial"/>
        </w:rPr>
      </w:pPr>
      <w:r w:rsidRPr="00CD5130">
        <w:rPr>
          <w:rFonts w:ascii="Arial" w:eastAsia="Calibri" w:hAnsi="Arial" w:cs="Arial"/>
          <w:lang w:val="en-ZA"/>
        </w:rPr>
        <w:t>[35]</w:t>
      </w:r>
      <w:r w:rsidRPr="00CD5130">
        <w:rPr>
          <w:rFonts w:ascii="Arial" w:eastAsia="Calibri" w:hAnsi="Arial" w:cs="Arial"/>
          <w:lang w:val="en-ZA"/>
        </w:rPr>
        <w:tab/>
      </w:r>
      <w:r w:rsidR="002474CA" w:rsidRPr="009C1674">
        <w:rPr>
          <w:rFonts w:cs="Arial"/>
        </w:rPr>
        <w:t xml:space="preserve">The applicants seek to distinguish </w:t>
      </w:r>
      <w:r w:rsidR="002474CA" w:rsidRPr="009C1674">
        <w:rPr>
          <w:rFonts w:cs="Arial"/>
          <w:i/>
          <w:iCs/>
        </w:rPr>
        <w:t>OUTA</w:t>
      </w:r>
      <w:r w:rsidR="002474CA" w:rsidRPr="009C1674">
        <w:rPr>
          <w:rFonts w:cs="Arial"/>
        </w:rPr>
        <w:t xml:space="preserve"> on the basis of scale. They state that because the construction of the whole </w:t>
      </w:r>
      <w:r w:rsidR="002474CA" w:rsidRPr="009C1674">
        <w:rPr>
          <w:rFonts w:cs="Arial"/>
          <w:i/>
          <w:iCs/>
        </w:rPr>
        <w:t>Rea Veya</w:t>
      </w:r>
      <w:r w:rsidR="002474CA" w:rsidRPr="009C1674">
        <w:rPr>
          <w:rFonts w:cs="Arial"/>
        </w:rPr>
        <w:t xml:space="preserve"> programme is not to be interdicted this differs from the position in </w:t>
      </w:r>
      <w:r w:rsidR="002474CA" w:rsidRPr="009C1674">
        <w:rPr>
          <w:rFonts w:cs="Arial"/>
          <w:i/>
          <w:iCs/>
        </w:rPr>
        <w:t>OUTA.</w:t>
      </w:r>
    </w:p>
    <w:p w14:paraId="67242930" w14:textId="110B2258" w:rsidR="00A97094" w:rsidRPr="009C1674" w:rsidRDefault="009C1674" w:rsidP="009C1674">
      <w:pPr>
        <w:spacing w:after="240" w:line="360" w:lineRule="auto"/>
        <w:ind w:left="720" w:hanging="720"/>
        <w:jc w:val="both"/>
        <w:rPr>
          <w:rFonts w:cs="Arial"/>
        </w:rPr>
      </w:pPr>
      <w:r>
        <w:rPr>
          <w:rFonts w:ascii="Arial" w:eastAsia="Calibri" w:hAnsi="Arial" w:cs="Arial"/>
          <w:lang w:val="en-ZA"/>
        </w:rPr>
        <w:t>[36]</w:t>
      </w:r>
      <w:r>
        <w:rPr>
          <w:rFonts w:ascii="Arial" w:eastAsia="Calibri" w:hAnsi="Arial" w:cs="Arial"/>
          <w:lang w:val="en-ZA"/>
        </w:rPr>
        <w:tab/>
      </w:r>
      <w:r w:rsidR="002474CA" w:rsidRPr="009C1674">
        <w:rPr>
          <w:rFonts w:cs="Arial"/>
        </w:rPr>
        <w:t>The respondents argue that</w:t>
      </w:r>
      <w:r w:rsidR="00B60799" w:rsidRPr="009C1674">
        <w:rPr>
          <w:rFonts w:cs="Arial"/>
        </w:rPr>
        <w:t xml:space="preserve"> the </w:t>
      </w:r>
      <w:r w:rsidR="00277988" w:rsidRPr="009C1674">
        <w:rPr>
          <w:rFonts w:cs="Arial"/>
        </w:rPr>
        <w:t xml:space="preserve">applicability of the </w:t>
      </w:r>
      <w:r w:rsidR="00277988" w:rsidRPr="009C1674">
        <w:rPr>
          <w:rFonts w:cs="Arial"/>
          <w:i/>
          <w:iCs/>
        </w:rPr>
        <w:t>OUTA</w:t>
      </w:r>
      <w:r w:rsidR="00277988" w:rsidRPr="009C1674">
        <w:rPr>
          <w:rFonts w:cs="Arial"/>
        </w:rPr>
        <w:t xml:space="preserve"> principles </w:t>
      </w:r>
      <w:r w:rsidR="002474CA" w:rsidRPr="009C1674">
        <w:rPr>
          <w:rFonts w:cs="Arial"/>
        </w:rPr>
        <w:t>is</w:t>
      </w:r>
      <w:r w:rsidR="00A97094" w:rsidRPr="009C1674">
        <w:rPr>
          <w:rFonts w:cs="Arial"/>
        </w:rPr>
        <w:t xml:space="preserve"> not affected by</w:t>
      </w:r>
      <w:r w:rsidR="00B60799" w:rsidRPr="009C1674">
        <w:rPr>
          <w:rFonts w:cs="Arial"/>
        </w:rPr>
        <w:t xml:space="preserve"> the scale of a </w:t>
      </w:r>
      <w:r w:rsidR="00277988" w:rsidRPr="009C1674">
        <w:rPr>
          <w:rFonts w:cs="Arial"/>
        </w:rPr>
        <w:t>project but</w:t>
      </w:r>
      <w:r w:rsidR="00A97094" w:rsidRPr="009C1674">
        <w:rPr>
          <w:rFonts w:cs="Arial"/>
        </w:rPr>
        <w:t xml:space="preserve"> rather rests on the fact that State power is sought to be curtailed at all</w:t>
      </w:r>
      <w:r w:rsidR="002474CA" w:rsidRPr="009C1674">
        <w:rPr>
          <w:rFonts w:cs="Arial"/>
        </w:rPr>
        <w:t xml:space="preserve">. </w:t>
      </w:r>
    </w:p>
    <w:p w14:paraId="6A254174" w14:textId="0A98D53A" w:rsidR="002474CA" w:rsidRPr="009C1674" w:rsidRDefault="009C1674" w:rsidP="009C1674">
      <w:pPr>
        <w:spacing w:after="240" w:line="360" w:lineRule="auto"/>
        <w:ind w:left="720" w:hanging="720"/>
        <w:jc w:val="both"/>
        <w:rPr>
          <w:rFonts w:cs="Arial"/>
        </w:rPr>
      </w:pPr>
      <w:r w:rsidRPr="00CD5130">
        <w:rPr>
          <w:rFonts w:ascii="Arial" w:eastAsia="Calibri" w:hAnsi="Arial" w:cs="Arial"/>
          <w:lang w:val="en-ZA"/>
        </w:rPr>
        <w:t>[37]</w:t>
      </w:r>
      <w:r w:rsidRPr="00CD5130">
        <w:rPr>
          <w:rFonts w:ascii="Arial" w:eastAsia="Calibri" w:hAnsi="Arial" w:cs="Arial"/>
          <w:lang w:val="en-ZA"/>
        </w:rPr>
        <w:tab/>
      </w:r>
      <w:r w:rsidR="002474CA" w:rsidRPr="009C1674">
        <w:rPr>
          <w:rFonts w:cs="Arial"/>
        </w:rPr>
        <w:t xml:space="preserve">In </w:t>
      </w:r>
      <w:r w:rsidR="002474CA" w:rsidRPr="009C1674">
        <w:rPr>
          <w:rFonts w:cs="Arial"/>
          <w:i/>
          <w:iCs/>
        </w:rPr>
        <w:t>OUTA</w:t>
      </w:r>
      <w:r w:rsidR="002474CA" w:rsidRPr="009C1674">
        <w:rPr>
          <w:rFonts w:cs="Arial"/>
        </w:rPr>
        <w:t xml:space="preserve"> the Court put the position relating to the prejudice to the separation of powers thus</w:t>
      </w:r>
      <w:r w:rsidR="002474CA" w:rsidRPr="00CD5130">
        <w:rPr>
          <w:rStyle w:val="FootnoteReference"/>
          <w:rFonts w:cs="Arial"/>
        </w:rPr>
        <w:footnoteReference w:id="11"/>
      </w:r>
      <w:r w:rsidR="002474CA" w:rsidRPr="009C1674">
        <w:rPr>
          <w:rFonts w:cs="Arial"/>
        </w:rPr>
        <w:t>:</w:t>
      </w:r>
    </w:p>
    <w:p w14:paraId="324CDE27" w14:textId="77777777" w:rsidR="00191ECA" w:rsidRDefault="00DA2974" w:rsidP="00DA2974">
      <w:pPr>
        <w:pStyle w:val="ListParagraph"/>
        <w:spacing w:before="0" w:after="240" w:line="360" w:lineRule="auto"/>
        <w:ind w:left="1440"/>
        <w:contextualSpacing w:val="0"/>
        <w:mirrorIndents w:val="0"/>
        <w:jc w:val="both"/>
        <w:rPr>
          <w:rFonts w:cs="Arial"/>
        </w:rPr>
      </w:pPr>
      <w:r>
        <w:rPr>
          <w:rFonts w:cs="Arial"/>
        </w:rPr>
        <w:t>“</w:t>
      </w:r>
      <w:r w:rsidRPr="00DA2974">
        <w:rPr>
          <w:rFonts w:cs="Arial"/>
        </w:rPr>
        <w:t xml:space="preserve">A court must carefully consider </w:t>
      </w:r>
      <w:r w:rsidRPr="00A97094">
        <w:rPr>
          <w:rFonts w:cs="Arial"/>
          <w:u w:val="single"/>
        </w:rPr>
        <w:t>whether the grant of the temporary restraining order pending a review will cut across or prevent the proper exercise of a power or duty that the law has vested in the authority to be interdicted.</w:t>
      </w:r>
      <w:r w:rsidRPr="00DA2974">
        <w:rPr>
          <w:rFonts w:cs="Arial"/>
        </w:rPr>
        <w:t xml:space="preserve"> Thus courts are obliged to recognise and assess the impact of temporary restraining orders when dealing with those matters pertaining to the best application, operation and dissemination of public resources. </w:t>
      </w:r>
      <w:r w:rsidRPr="00A97094">
        <w:rPr>
          <w:rFonts w:cs="Arial"/>
          <w:u w:val="single"/>
        </w:rPr>
        <w:t>What this means is that a court is obliged to ask itself not whether an interim interdict against an authorised state functionary is competent but rather whether it is constitutionally appropriate to grant the interdict.</w:t>
      </w:r>
      <w:r>
        <w:rPr>
          <w:rFonts w:cs="Arial"/>
        </w:rPr>
        <w:t>”</w:t>
      </w:r>
    </w:p>
    <w:p w14:paraId="49F33DEF" w14:textId="77777777" w:rsidR="00DA2974" w:rsidRPr="00DA2974" w:rsidRDefault="00DA2974" w:rsidP="00DA2974">
      <w:pPr>
        <w:pStyle w:val="ListParagraph"/>
        <w:spacing w:after="240" w:line="360" w:lineRule="auto"/>
        <w:jc w:val="both"/>
        <w:rPr>
          <w:rFonts w:cs="Arial"/>
        </w:rPr>
      </w:pPr>
    </w:p>
    <w:p w14:paraId="139BC368" w14:textId="5741E92D" w:rsidR="00191ECA" w:rsidRPr="009C1674" w:rsidRDefault="009C1674" w:rsidP="009C1674">
      <w:pPr>
        <w:spacing w:after="240" w:line="360" w:lineRule="auto"/>
        <w:ind w:left="720" w:hanging="720"/>
        <w:jc w:val="both"/>
        <w:rPr>
          <w:rFonts w:cs="Arial"/>
        </w:rPr>
      </w:pPr>
      <w:r w:rsidRPr="00CD5130">
        <w:rPr>
          <w:rFonts w:ascii="Arial" w:eastAsia="Calibri" w:hAnsi="Arial" w:cs="Arial"/>
          <w:lang w:val="en-ZA"/>
        </w:rPr>
        <w:lastRenderedPageBreak/>
        <w:t>[38]</w:t>
      </w:r>
      <w:r w:rsidRPr="00CD5130">
        <w:rPr>
          <w:rFonts w:ascii="Arial" w:eastAsia="Calibri" w:hAnsi="Arial" w:cs="Arial"/>
          <w:lang w:val="en-ZA"/>
        </w:rPr>
        <w:tab/>
      </w:r>
      <w:r w:rsidR="00A97094" w:rsidRPr="009C1674">
        <w:rPr>
          <w:rFonts w:cs="Arial"/>
        </w:rPr>
        <w:t xml:space="preserve">I do not agree that </w:t>
      </w:r>
      <w:r w:rsidR="00A97094" w:rsidRPr="009C1674">
        <w:rPr>
          <w:rFonts w:cs="Arial"/>
          <w:i/>
          <w:iCs/>
        </w:rPr>
        <w:t>OUTA</w:t>
      </w:r>
      <w:r w:rsidR="00A97094" w:rsidRPr="009C1674">
        <w:rPr>
          <w:rFonts w:cs="Arial"/>
        </w:rPr>
        <w:t xml:space="preserve"> has no application.</w:t>
      </w:r>
      <w:r w:rsidR="00716D89" w:rsidRPr="009C1674">
        <w:rPr>
          <w:rFonts w:cs="Arial"/>
        </w:rPr>
        <w:t xml:space="preserve"> The </w:t>
      </w:r>
      <w:r w:rsidR="00B03D7A" w:rsidRPr="009C1674">
        <w:rPr>
          <w:rFonts w:cs="Arial"/>
        </w:rPr>
        <w:t>applicants</w:t>
      </w:r>
      <w:r w:rsidR="00DA3421" w:rsidRPr="009C1674">
        <w:rPr>
          <w:rFonts w:cs="Arial"/>
        </w:rPr>
        <w:t xml:space="preserve">’ misguided </w:t>
      </w:r>
      <w:r w:rsidR="00B03D7A" w:rsidRPr="009C1674">
        <w:rPr>
          <w:rFonts w:cs="Arial"/>
        </w:rPr>
        <w:t xml:space="preserve">attempt to distinguish </w:t>
      </w:r>
      <w:r w:rsidR="00B03D7A" w:rsidRPr="009C1674">
        <w:rPr>
          <w:rFonts w:cs="Arial"/>
          <w:i/>
          <w:iCs/>
        </w:rPr>
        <w:t>OUTA</w:t>
      </w:r>
      <w:r w:rsidR="00B03D7A" w:rsidRPr="009C1674">
        <w:rPr>
          <w:rFonts w:cs="Arial"/>
        </w:rPr>
        <w:t xml:space="preserve"> </w:t>
      </w:r>
      <w:r w:rsidR="00DA3421" w:rsidRPr="009C1674">
        <w:rPr>
          <w:rFonts w:cs="Arial"/>
        </w:rPr>
        <w:t xml:space="preserve">has had the consequence that </w:t>
      </w:r>
      <w:r w:rsidR="00A84FA2" w:rsidRPr="009C1674">
        <w:rPr>
          <w:rFonts w:cs="Arial"/>
        </w:rPr>
        <w:t>the principles in that case are not dealt with</w:t>
      </w:r>
      <w:r w:rsidR="00A97094" w:rsidRPr="009C1674">
        <w:rPr>
          <w:rFonts w:cs="Arial"/>
        </w:rPr>
        <w:t xml:space="preserve"> by the applicants.</w:t>
      </w:r>
    </w:p>
    <w:p w14:paraId="59A42E7E" w14:textId="77777777" w:rsidR="00DC4133" w:rsidRPr="00CD5130" w:rsidRDefault="00E11FCA" w:rsidP="00BB770B">
      <w:pPr>
        <w:spacing w:after="240" w:line="360" w:lineRule="auto"/>
        <w:ind w:left="720" w:hanging="720"/>
        <w:jc w:val="both"/>
        <w:rPr>
          <w:rFonts w:cs="Arial"/>
          <w:i/>
          <w:iCs/>
        </w:rPr>
      </w:pPr>
      <w:r w:rsidRPr="00CD5130">
        <w:rPr>
          <w:rFonts w:cs="Arial"/>
          <w:i/>
          <w:iCs/>
        </w:rPr>
        <w:t>Conclusion</w:t>
      </w:r>
    </w:p>
    <w:p w14:paraId="6238B85E" w14:textId="466D0CF5" w:rsidR="00A97094" w:rsidRPr="009C1674" w:rsidRDefault="009C1674" w:rsidP="009C1674">
      <w:pPr>
        <w:spacing w:after="240" w:line="360" w:lineRule="auto"/>
        <w:ind w:left="720" w:hanging="720"/>
        <w:jc w:val="both"/>
        <w:rPr>
          <w:rFonts w:cs="Arial"/>
        </w:rPr>
      </w:pPr>
      <w:r>
        <w:rPr>
          <w:rFonts w:ascii="Arial" w:eastAsia="Calibri" w:hAnsi="Arial" w:cs="Arial"/>
          <w:lang w:val="en-ZA"/>
        </w:rPr>
        <w:t>[39]</w:t>
      </w:r>
      <w:r>
        <w:rPr>
          <w:rFonts w:ascii="Arial" w:eastAsia="Calibri" w:hAnsi="Arial" w:cs="Arial"/>
          <w:lang w:val="en-ZA"/>
        </w:rPr>
        <w:tab/>
      </w:r>
      <w:r w:rsidR="00A91887" w:rsidRPr="009C1674">
        <w:rPr>
          <w:rFonts w:cs="Arial"/>
        </w:rPr>
        <w:t>This is not a case where it is appropriate to interdict the carrying out of t</w:t>
      </w:r>
      <w:r w:rsidR="009F1193" w:rsidRPr="009C1674">
        <w:rPr>
          <w:rFonts w:cs="Arial"/>
        </w:rPr>
        <w:t>his leg of the programme</w:t>
      </w:r>
      <w:r w:rsidR="00EB4C16" w:rsidRPr="009C1674">
        <w:rPr>
          <w:rFonts w:cs="Arial"/>
        </w:rPr>
        <w:t xml:space="preserve">. </w:t>
      </w:r>
    </w:p>
    <w:p w14:paraId="0A987D14" w14:textId="5B13AC5B" w:rsidR="007029FD" w:rsidRPr="009C1674" w:rsidRDefault="009C1674" w:rsidP="009C1674">
      <w:pPr>
        <w:spacing w:after="240" w:line="360" w:lineRule="auto"/>
        <w:ind w:left="720" w:hanging="720"/>
        <w:jc w:val="both"/>
        <w:rPr>
          <w:rFonts w:cs="Arial"/>
        </w:rPr>
      </w:pPr>
      <w:r w:rsidRPr="00CD5130">
        <w:rPr>
          <w:rFonts w:ascii="Arial" w:eastAsia="Calibri" w:hAnsi="Arial" w:cs="Arial"/>
          <w:lang w:val="en-ZA"/>
        </w:rPr>
        <w:t>[40]</w:t>
      </w:r>
      <w:r w:rsidRPr="00CD5130">
        <w:rPr>
          <w:rFonts w:ascii="Arial" w:eastAsia="Calibri" w:hAnsi="Arial" w:cs="Arial"/>
          <w:lang w:val="en-ZA"/>
        </w:rPr>
        <w:tab/>
      </w:r>
      <w:r w:rsidR="00EB4C16" w:rsidRPr="009C1674">
        <w:rPr>
          <w:rFonts w:cs="Arial"/>
        </w:rPr>
        <w:t>Th</w:t>
      </w:r>
      <w:r w:rsidR="009F1193" w:rsidRPr="009C1674">
        <w:rPr>
          <w:rFonts w:cs="Arial"/>
        </w:rPr>
        <w:t xml:space="preserve">e </w:t>
      </w:r>
      <w:r w:rsidR="009C0B4E" w:rsidRPr="009C1674">
        <w:rPr>
          <w:rFonts w:cs="Arial"/>
        </w:rPr>
        <w:t xml:space="preserve">separation of powers prejudice is not trumped by </w:t>
      </w:r>
      <w:r w:rsidR="00212E8C" w:rsidRPr="009C1674">
        <w:rPr>
          <w:rFonts w:cs="Arial"/>
        </w:rPr>
        <w:t>the</w:t>
      </w:r>
      <w:r w:rsidR="00696C69" w:rsidRPr="009C1674">
        <w:rPr>
          <w:rFonts w:cs="Arial"/>
        </w:rPr>
        <w:t xml:space="preserve"> applicants perceived inconvenience</w:t>
      </w:r>
      <w:r w:rsidR="00E715D7" w:rsidRPr="009C1674">
        <w:rPr>
          <w:rFonts w:cs="Arial"/>
        </w:rPr>
        <w:t xml:space="preserve">. </w:t>
      </w:r>
      <w:r w:rsidR="000B5423" w:rsidRPr="009C1674">
        <w:rPr>
          <w:rFonts w:cs="Arial"/>
        </w:rPr>
        <w:t xml:space="preserve">They have </w:t>
      </w:r>
      <w:r w:rsidR="00E715D7" w:rsidRPr="009C1674">
        <w:rPr>
          <w:rFonts w:cs="Arial"/>
        </w:rPr>
        <w:t>not made out a case for th</w:t>
      </w:r>
      <w:r w:rsidR="000B5423" w:rsidRPr="009C1674">
        <w:rPr>
          <w:rFonts w:cs="Arial"/>
        </w:rPr>
        <w:t xml:space="preserve">e exceptional remedy sought. </w:t>
      </w:r>
      <w:r w:rsidR="0023336F" w:rsidRPr="009C1674">
        <w:rPr>
          <w:rFonts w:cs="Arial"/>
        </w:rPr>
        <w:t>Their</w:t>
      </w:r>
      <w:r w:rsidR="000B5423" w:rsidRPr="009C1674">
        <w:rPr>
          <w:rFonts w:cs="Arial"/>
        </w:rPr>
        <w:t xml:space="preserve"> remedy is and remains the pending review proceedings.</w:t>
      </w:r>
    </w:p>
    <w:p w14:paraId="170331EC" w14:textId="77777777" w:rsidR="002A50CB" w:rsidRDefault="002A50CB" w:rsidP="00BB770B">
      <w:pPr>
        <w:spacing w:after="240" w:line="360" w:lineRule="auto"/>
        <w:ind w:left="720" w:hanging="720"/>
        <w:jc w:val="both"/>
        <w:rPr>
          <w:rFonts w:cs="Arial"/>
          <w:i/>
          <w:iCs/>
        </w:rPr>
      </w:pPr>
    </w:p>
    <w:p w14:paraId="709EF36A" w14:textId="77777777" w:rsidR="007029FD" w:rsidRPr="00CD5130" w:rsidRDefault="007029FD" w:rsidP="00BB770B">
      <w:pPr>
        <w:spacing w:after="240" w:line="360" w:lineRule="auto"/>
        <w:ind w:left="720" w:hanging="720"/>
        <w:jc w:val="both"/>
        <w:rPr>
          <w:rFonts w:cs="Arial"/>
          <w:i/>
          <w:iCs/>
        </w:rPr>
      </w:pPr>
      <w:r w:rsidRPr="00CD5130">
        <w:rPr>
          <w:rFonts w:cs="Arial"/>
          <w:i/>
          <w:iCs/>
        </w:rPr>
        <w:t>Costs</w:t>
      </w:r>
    </w:p>
    <w:p w14:paraId="1CED0AB1" w14:textId="6464D661" w:rsidR="004A27D5" w:rsidRPr="009C1674" w:rsidRDefault="009C1674" w:rsidP="009C1674">
      <w:pPr>
        <w:spacing w:after="240" w:line="360" w:lineRule="auto"/>
        <w:ind w:left="720" w:hanging="720"/>
        <w:jc w:val="both"/>
        <w:rPr>
          <w:rFonts w:cs="Arial"/>
        </w:rPr>
      </w:pPr>
      <w:r w:rsidRPr="00CD5130">
        <w:rPr>
          <w:rFonts w:ascii="Arial" w:eastAsia="Calibri" w:hAnsi="Arial" w:cs="Arial"/>
          <w:lang w:val="en-ZA"/>
        </w:rPr>
        <w:t>[41]</w:t>
      </w:r>
      <w:r w:rsidRPr="00CD5130">
        <w:rPr>
          <w:rFonts w:ascii="Arial" w:eastAsia="Calibri" w:hAnsi="Arial" w:cs="Arial"/>
          <w:lang w:val="en-ZA"/>
        </w:rPr>
        <w:tab/>
      </w:r>
      <w:r w:rsidR="007029FD" w:rsidRPr="009C1674">
        <w:rPr>
          <w:rFonts w:cs="Arial"/>
        </w:rPr>
        <w:t xml:space="preserve">There is no reason why the usual costs order should not follow. </w:t>
      </w:r>
      <w:r w:rsidR="005C490C" w:rsidRPr="009C1674">
        <w:rPr>
          <w:rFonts w:cs="Arial"/>
        </w:rPr>
        <w:t xml:space="preserve">The parties agree that the costs should </w:t>
      </w:r>
      <w:r w:rsidR="004A27D5" w:rsidRPr="009C1674">
        <w:rPr>
          <w:rFonts w:cs="Arial"/>
        </w:rPr>
        <w:t>be those of two counsel.</w:t>
      </w:r>
    </w:p>
    <w:p w14:paraId="4CBFF268" w14:textId="77777777" w:rsidR="004A27D5" w:rsidRPr="00CD5130" w:rsidRDefault="004A27D5" w:rsidP="00BB770B">
      <w:pPr>
        <w:spacing w:after="240" w:line="360" w:lineRule="auto"/>
        <w:ind w:left="720" w:hanging="720"/>
        <w:jc w:val="both"/>
        <w:rPr>
          <w:rFonts w:cs="Arial"/>
          <w:i/>
          <w:iCs/>
        </w:rPr>
      </w:pPr>
      <w:r w:rsidRPr="00CD5130">
        <w:rPr>
          <w:rFonts w:cs="Arial"/>
          <w:i/>
          <w:iCs/>
        </w:rPr>
        <w:t>Order</w:t>
      </w:r>
    </w:p>
    <w:p w14:paraId="5682A745" w14:textId="783995F9" w:rsidR="0023336F" w:rsidRPr="009C1674" w:rsidRDefault="009C1674" w:rsidP="009C1674">
      <w:pPr>
        <w:spacing w:after="240" w:line="360" w:lineRule="auto"/>
        <w:ind w:left="720" w:hanging="720"/>
        <w:jc w:val="both"/>
        <w:rPr>
          <w:rFonts w:cs="Arial"/>
        </w:rPr>
      </w:pPr>
      <w:r>
        <w:rPr>
          <w:rFonts w:ascii="Arial" w:eastAsia="Calibri" w:hAnsi="Arial" w:cs="Arial"/>
          <w:lang w:val="en-ZA"/>
        </w:rPr>
        <w:t>[42]</w:t>
      </w:r>
      <w:r>
        <w:rPr>
          <w:rFonts w:ascii="Arial" w:eastAsia="Calibri" w:hAnsi="Arial" w:cs="Arial"/>
          <w:lang w:val="en-ZA"/>
        </w:rPr>
        <w:tab/>
      </w:r>
      <w:r w:rsidR="004A27D5" w:rsidRPr="009C1674">
        <w:rPr>
          <w:rFonts w:cs="Arial"/>
        </w:rPr>
        <w:t>I thus make the following order</w:t>
      </w:r>
      <w:r w:rsidR="0086092C" w:rsidRPr="009C1674">
        <w:rPr>
          <w:rFonts w:cs="Arial"/>
        </w:rPr>
        <w:t>:</w:t>
      </w:r>
    </w:p>
    <w:p w14:paraId="3143F21A" w14:textId="1207F65A" w:rsidR="0086092C" w:rsidRPr="0023336F" w:rsidRDefault="0086092C" w:rsidP="0023336F">
      <w:pPr>
        <w:pStyle w:val="ListParagraph"/>
        <w:spacing w:after="240" w:line="360" w:lineRule="auto"/>
        <w:contextualSpacing w:val="0"/>
        <w:mirrorIndents w:val="0"/>
        <w:jc w:val="both"/>
        <w:rPr>
          <w:rFonts w:cs="Arial"/>
        </w:rPr>
      </w:pPr>
      <w:r w:rsidRPr="0023336F">
        <w:rPr>
          <w:rFonts w:cs="Arial"/>
        </w:rPr>
        <w:t xml:space="preserve">Part A of the </w:t>
      </w:r>
      <w:r w:rsidR="00CD39D5" w:rsidRPr="0023336F">
        <w:rPr>
          <w:rFonts w:cs="Arial"/>
        </w:rPr>
        <w:t xml:space="preserve">application is dismissed with costs, such costs to include the cost of </w:t>
      </w:r>
      <w:r w:rsidR="00870D5A" w:rsidRPr="0023336F">
        <w:rPr>
          <w:rFonts w:cs="Arial"/>
        </w:rPr>
        <w:t>two counsel where employed.</w:t>
      </w:r>
    </w:p>
    <w:p w14:paraId="16AB9BCD" w14:textId="77777777" w:rsidR="00D64E17" w:rsidRDefault="00D64E17" w:rsidP="00D64E17">
      <w:pPr>
        <w:spacing w:after="240" w:line="360" w:lineRule="auto"/>
        <w:jc w:val="both"/>
        <w:rPr>
          <w:rFonts w:cs="Arial"/>
        </w:rPr>
      </w:pPr>
    </w:p>
    <w:p w14:paraId="62453ACB" w14:textId="3AE263AD" w:rsidR="0023336F" w:rsidRDefault="0023336F" w:rsidP="00D64E17">
      <w:pPr>
        <w:spacing w:after="240" w:line="360" w:lineRule="auto"/>
        <w:jc w:val="both"/>
        <w:rPr>
          <w:rFonts w:cs="Arial"/>
        </w:rPr>
      </w:pPr>
    </w:p>
    <w:p w14:paraId="5084BE78" w14:textId="06188DCD" w:rsidR="00D64E17" w:rsidRPr="000A5E1B" w:rsidRDefault="00D64E17" w:rsidP="00D64E17">
      <w:pPr>
        <w:spacing w:after="0" w:line="360" w:lineRule="auto"/>
        <w:ind w:left="567" w:hanging="567"/>
        <w:jc w:val="right"/>
        <w:rPr>
          <w:rFonts w:ascii="Arial" w:eastAsia="Calibri" w:hAnsi="Arial" w:cs="Arial"/>
          <w:kern w:val="0"/>
          <w:szCs w:val="22"/>
          <w14:ligatures w14:val="none"/>
        </w:rPr>
      </w:pPr>
      <w:r w:rsidRPr="000A5E1B">
        <w:rPr>
          <w:rFonts w:ascii="Arial" w:eastAsia="Calibri" w:hAnsi="Arial" w:cs="Arial"/>
          <w:kern w:val="0"/>
          <w:szCs w:val="22"/>
          <w14:ligatures w14:val="none"/>
        </w:rPr>
        <w:t>________________</w:t>
      </w:r>
    </w:p>
    <w:p w14:paraId="0F8BE7E0" w14:textId="77777777" w:rsidR="00D64E17" w:rsidRPr="000A5E1B" w:rsidRDefault="00D64E17" w:rsidP="00D64E17">
      <w:pPr>
        <w:spacing w:after="0" w:line="360" w:lineRule="auto"/>
        <w:ind w:left="567" w:hanging="567"/>
        <w:jc w:val="right"/>
        <w:rPr>
          <w:rFonts w:ascii="Arial" w:eastAsia="Calibri" w:hAnsi="Arial" w:cs="Arial"/>
          <w:b/>
          <w:kern w:val="0"/>
          <w:szCs w:val="22"/>
          <w14:ligatures w14:val="none"/>
        </w:rPr>
      </w:pPr>
      <w:r w:rsidRPr="000A5E1B">
        <w:rPr>
          <w:rFonts w:ascii="Arial" w:eastAsia="Calibri" w:hAnsi="Arial" w:cs="Arial"/>
          <w:b/>
          <w:kern w:val="0"/>
          <w:szCs w:val="22"/>
          <w14:ligatures w14:val="none"/>
        </w:rPr>
        <w:t xml:space="preserve"> FISHER</w:t>
      </w:r>
      <w:r>
        <w:rPr>
          <w:rFonts w:ascii="Arial" w:eastAsia="Calibri" w:hAnsi="Arial" w:cs="Arial"/>
          <w:b/>
          <w:kern w:val="0"/>
          <w:szCs w:val="22"/>
          <w14:ligatures w14:val="none"/>
        </w:rPr>
        <w:t xml:space="preserve"> J </w:t>
      </w:r>
    </w:p>
    <w:p w14:paraId="054B2D88" w14:textId="77777777" w:rsidR="00D64E17" w:rsidRPr="00C915EE" w:rsidRDefault="00D64E17" w:rsidP="00D64E17">
      <w:pPr>
        <w:spacing w:after="0" w:line="360" w:lineRule="auto"/>
        <w:ind w:left="567" w:hanging="567"/>
        <w:jc w:val="right"/>
        <w:rPr>
          <w:rFonts w:ascii="Arial" w:hAnsi="Arial" w:cs="Arial"/>
          <w:b/>
          <w:kern w:val="0"/>
          <w:szCs w:val="22"/>
        </w:rPr>
      </w:pPr>
      <w:r w:rsidRPr="00C915EE">
        <w:rPr>
          <w:rFonts w:ascii="Arial" w:hAnsi="Arial" w:cs="Arial"/>
          <w:b/>
          <w:kern w:val="0"/>
          <w:szCs w:val="22"/>
        </w:rPr>
        <w:t>JUDGE OF THE HIGH COURT</w:t>
      </w:r>
    </w:p>
    <w:p w14:paraId="301E73E1" w14:textId="77777777" w:rsidR="00D64E17" w:rsidRPr="000A5E1B" w:rsidRDefault="00D64E17" w:rsidP="00D64E17">
      <w:pPr>
        <w:spacing w:after="0" w:line="360" w:lineRule="auto"/>
        <w:ind w:left="567" w:hanging="567"/>
        <w:jc w:val="right"/>
        <w:rPr>
          <w:rFonts w:ascii="Arial" w:eastAsia="Calibri" w:hAnsi="Arial" w:cs="Arial"/>
          <w:b/>
          <w:kern w:val="0"/>
          <w:szCs w:val="22"/>
          <w14:ligatures w14:val="none"/>
        </w:rPr>
      </w:pPr>
      <w:r w:rsidRPr="00C915EE">
        <w:rPr>
          <w:rFonts w:ascii="Arial" w:hAnsi="Arial"/>
          <w:b/>
          <w:kern w:val="0"/>
          <w:szCs w:val="22"/>
        </w:rPr>
        <w:t>JOHANNESBURG</w:t>
      </w:r>
    </w:p>
    <w:p w14:paraId="1B503E6E" w14:textId="77777777" w:rsidR="00D64E17" w:rsidRPr="000A5E1B" w:rsidRDefault="00D64E17" w:rsidP="00D64E17">
      <w:pPr>
        <w:spacing w:after="0" w:line="360" w:lineRule="auto"/>
        <w:ind w:left="567" w:hanging="567"/>
        <w:rPr>
          <w:rFonts w:ascii="Arial" w:eastAsia="Calibri" w:hAnsi="Arial" w:cs="Arial"/>
          <w:b/>
          <w:kern w:val="0"/>
          <w:szCs w:val="22"/>
          <w14:ligatures w14:val="none"/>
        </w:rPr>
      </w:pPr>
    </w:p>
    <w:p w14:paraId="7077C492" w14:textId="77777777" w:rsidR="00D64E17" w:rsidRPr="000A5E1B" w:rsidRDefault="00D64E17" w:rsidP="00D64E17">
      <w:pPr>
        <w:spacing w:after="0" w:line="360" w:lineRule="auto"/>
        <w:rPr>
          <w:rFonts w:ascii="Arial" w:eastAsia="Calibri" w:hAnsi="Arial" w:cs="Arial"/>
          <w:b/>
          <w:kern w:val="0"/>
          <w:szCs w:val="22"/>
          <w14:ligatures w14:val="none"/>
        </w:rPr>
      </w:pPr>
    </w:p>
    <w:p w14:paraId="3DBD013C" w14:textId="77777777" w:rsidR="00D64E17" w:rsidRPr="000A5E1B" w:rsidRDefault="00D64E17" w:rsidP="00D64E17">
      <w:pPr>
        <w:spacing w:after="240" w:line="360" w:lineRule="auto"/>
        <w:jc w:val="both"/>
        <w:rPr>
          <w:rFonts w:ascii="Arial" w:eastAsia="Calibri" w:hAnsi="Arial" w:cs="Arial"/>
          <w:b/>
          <w:bCs/>
          <w:kern w:val="0"/>
          <w:szCs w:val="22"/>
          <w14:ligatures w14:val="none"/>
        </w:rPr>
      </w:pPr>
      <w:r w:rsidRPr="000A5E1B">
        <w:rPr>
          <w:rFonts w:ascii="Arial" w:eastAsia="Calibri" w:hAnsi="Arial" w:cs="Arial"/>
          <w:b/>
          <w:bCs/>
          <w:kern w:val="0"/>
          <w:szCs w:val="22"/>
          <w14:ligatures w14:val="none"/>
        </w:rPr>
        <w:lastRenderedPageBreak/>
        <w:t>This Judgment was handed down electronically by circulation to the parties/their legal representatives by email and by uploading to the electronic file on Case Lines. The date for hand-down is deemed to be</w:t>
      </w:r>
      <w:r>
        <w:rPr>
          <w:rFonts w:ascii="Arial" w:eastAsia="Calibri" w:hAnsi="Arial" w:cs="Arial"/>
          <w:b/>
          <w:bCs/>
          <w:kern w:val="0"/>
          <w:szCs w:val="22"/>
          <w14:ligatures w14:val="none"/>
        </w:rPr>
        <w:t xml:space="preserve"> 22</w:t>
      </w:r>
      <w:r w:rsidRPr="000A5E1B">
        <w:rPr>
          <w:rFonts w:ascii="Arial" w:eastAsia="Calibri" w:hAnsi="Arial" w:cs="Arial"/>
          <w:b/>
          <w:bCs/>
          <w:kern w:val="0"/>
          <w:szCs w:val="22"/>
          <w14:ligatures w14:val="none"/>
        </w:rPr>
        <w:t xml:space="preserve"> </w:t>
      </w:r>
      <w:r>
        <w:rPr>
          <w:rFonts w:ascii="Arial" w:eastAsia="Calibri" w:hAnsi="Arial" w:cs="Arial"/>
          <w:b/>
          <w:bCs/>
          <w:kern w:val="0"/>
          <w:szCs w:val="22"/>
          <w14:ligatures w14:val="none"/>
        </w:rPr>
        <w:t>January</w:t>
      </w:r>
      <w:r w:rsidRPr="000A5E1B">
        <w:rPr>
          <w:rFonts w:ascii="Arial" w:eastAsia="Calibri" w:hAnsi="Arial" w:cs="Arial"/>
          <w:b/>
          <w:bCs/>
          <w:kern w:val="0"/>
          <w:szCs w:val="22"/>
          <w14:ligatures w14:val="none"/>
        </w:rPr>
        <w:t xml:space="preserve"> </w:t>
      </w:r>
      <w:r>
        <w:rPr>
          <w:rFonts w:ascii="Arial" w:eastAsia="Calibri" w:hAnsi="Arial" w:cs="Arial"/>
          <w:b/>
          <w:bCs/>
          <w:kern w:val="0"/>
          <w:szCs w:val="22"/>
          <w14:ligatures w14:val="none"/>
        </w:rPr>
        <w:t>2024</w:t>
      </w:r>
      <w:r w:rsidRPr="000A5E1B">
        <w:rPr>
          <w:rFonts w:ascii="Arial" w:eastAsia="Calibri" w:hAnsi="Arial" w:cs="Arial"/>
          <w:b/>
          <w:bCs/>
          <w:kern w:val="0"/>
          <w:szCs w:val="22"/>
          <w14:ligatures w14:val="none"/>
        </w:rPr>
        <w:t>.</w:t>
      </w:r>
    </w:p>
    <w:p w14:paraId="16E53FBA" w14:textId="77777777" w:rsidR="00D64E17" w:rsidRPr="000A5E1B" w:rsidRDefault="00D64E17" w:rsidP="00596812">
      <w:pPr>
        <w:tabs>
          <w:tab w:val="left" w:pos="3969"/>
          <w:tab w:val="left" w:pos="4536"/>
        </w:tabs>
        <w:spacing w:after="240" w:line="360" w:lineRule="auto"/>
        <w:ind w:left="720" w:hanging="720"/>
        <w:jc w:val="both"/>
        <w:rPr>
          <w:rFonts w:ascii="Arial" w:eastAsia="Calibri" w:hAnsi="Arial" w:cs="Arial"/>
          <w:bCs/>
          <w:kern w:val="0"/>
          <w:szCs w:val="22"/>
          <w14:ligatures w14:val="none"/>
        </w:rPr>
      </w:pPr>
      <w:r w:rsidRPr="000A5E1B">
        <w:rPr>
          <w:rFonts w:ascii="Arial" w:eastAsia="Calibri" w:hAnsi="Arial" w:cs="Arial"/>
          <w:b/>
          <w:kern w:val="0"/>
          <w:szCs w:val="22"/>
          <w14:ligatures w14:val="none"/>
        </w:rPr>
        <w:t>Heard:</w:t>
      </w:r>
      <w:r>
        <w:rPr>
          <w:rFonts w:ascii="Arial" w:eastAsia="Calibri" w:hAnsi="Arial" w:cs="Arial"/>
          <w:b/>
          <w:kern w:val="0"/>
          <w:szCs w:val="22"/>
          <w14:ligatures w14:val="none"/>
        </w:rPr>
        <w:tab/>
      </w:r>
      <w:r>
        <w:rPr>
          <w:rFonts w:ascii="Arial" w:eastAsia="Calibri" w:hAnsi="Arial" w:cs="Arial"/>
          <w:b/>
          <w:kern w:val="0"/>
          <w:szCs w:val="22"/>
          <w14:ligatures w14:val="none"/>
        </w:rPr>
        <w:tab/>
      </w:r>
      <w:r w:rsidR="002A50CB">
        <w:rPr>
          <w:rFonts w:ascii="Arial" w:eastAsia="Calibri" w:hAnsi="Arial" w:cs="Arial"/>
          <w:b/>
          <w:kern w:val="0"/>
          <w:szCs w:val="22"/>
          <w14:ligatures w14:val="none"/>
        </w:rPr>
        <w:tab/>
      </w:r>
      <w:r>
        <w:rPr>
          <w:rFonts w:ascii="Arial" w:eastAsia="Calibri" w:hAnsi="Arial" w:cs="Arial"/>
          <w:kern w:val="0"/>
          <w:szCs w:val="22"/>
          <w14:ligatures w14:val="none"/>
        </w:rPr>
        <w:t xml:space="preserve">16 </w:t>
      </w:r>
      <w:r w:rsidRPr="00AF4F01">
        <w:rPr>
          <w:rFonts w:ascii="Arial" w:eastAsia="Calibri" w:hAnsi="Arial" w:cs="Arial"/>
          <w:kern w:val="0"/>
          <w:szCs w:val="22"/>
          <w14:ligatures w14:val="none"/>
        </w:rPr>
        <w:t>November 2023</w:t>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p>
    <w:p w14:paraId="73CA8FBE" w14:textId="77777777" w:rsidR="00D64E17" w:rsidRPr="000A5E1B" w:rsidRDefault="00D64E17" w:rsidP="00D64E17">
      <w:pPr>
        <w:tabs>
          <w:tab w:val="left" w:pos="4111"/>
          <w:tab w:val="left" w:pos="4395"/>
          <w:tab w:val="left" w:pos="4536"/>
        </w:tabs>
        <w:spacing w:after="240" w:line="360" w:lineRule="auto"/>
        <w:ind w:left="567" w:hanging="567"/>
        <w:rPr>
          <w:rFonts w:ascii="Arial" w:eastAsia="Calibri" w:hAnsi="Arial" w:cs="Arial"/>
          <w:b/>
          <w:kern w:val="0"/>
          <w:szCs w:val="22"/>
          <w14:ligatures w14:val="none"/>
        </w:rPr>
      </w:pPr>
      <w:r w:rsidRPr="000A5E1B">
        <w:rPr>
          <w:rFonts w:ascii="Arial" w:eastAsia="Calibri" w:hAnsi="Arial" w:cs="Arial"/>
          <w:b/>
          <w:kern w:val="0"/>
          <w:szCs w:val="22"/>
          <w14:ligatures w14:val="none"/>
        </w:rPr>
        <w:t>Delivered:</w:t>
      </w:r>
      <w:r>
        <w:rPr>
          <w:rFonts w:ascii="Arial" w:eastAsia="Calibri" w:hAnsi="Arial" w:cs="Arial"/>
          <w:b/>
          <w:kern w:val="0"/>
          <w:szCs w:val="22"/>
          <w14:ligatures w14:val="none"/>
        </w:rPr>
        <w:tab/>
      </w:r>
      <w:r>
        <w:rPr>
          <w:rFonts w:ascii="Arial" w:eastAsia="Calibri" w:hAnsi="Arial" w:cs="Arial"/>
          <w:b/>
          <w:kern w:val="0"/>
          <w:szCs w:val="22"/>
          <w14:ligatures w14:val="none"/>
        </w:rPr>
        <w:tab/>
      </w:r>
      <w:r>
        <w:rPr>
          <w:rFonts w:ascii="Arial" w:eastAsia="Calibri" w:hAnsi="Arial" w:cs="Arial"/>
          <w:b/>
          <w:kern w:val="0"/>
          <w:szCs w:val="22"/>
          <w14:ligatures w14:val="none"/>
        </w:rPr>
        <w:tab/>
      </w:r>
      <w:r w:rsidR="002A50CB">
        <w:rPr>
          <w:rFonts w:ascii="Arial" w:eastAsia="Calibri" w:hAnsi="Arial" w:cs="Arial"/>
          <w:b/>
          <w:kern w:val="0"/>
          <w:szCs w:val="22"/>
          <w14:ligatures w14:val="none"/>
        </w:rPr>
        <w:tab/>
      </w:r>
      <w:r>
        <w:rPr>
          <w:rFonts w:ascii="Arial" w:eastAsia="Calibri" w:hAnsi="Arial" w:cs="Arial"/>
          <w:bCs/>
          <w:kern w:val="0"/>
          <w:szCs w:val="22"/>
          <w14:ligatures w14:val="none"/>
        </w:rPr>
        <w:t xml:space="preserve">22 </w:t>
      </w:r>
      <w:r w:rsidRPr="00C60163">
        <w:rPr>
          <w:rFonts w:ascii="Arial" w:eastAsia="Calibri" w:hAnsi="Arial" w:cs="Arial"/>
          <w:kern w:val="0"/>
          <w:szCs w:val="22"/>
          <w14:ligatures w14:val="none"/>
        </w:rPr>
        <w:t>January 2024</w:t>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p>
    <w:p w14:paraId="3CF96FAC" w14:textId="77777777" w:rsidR="00D64E17" w:rsidRPr="000A5E1B" w:rsidRDefault="00D64E17" w:rsidP="00D64E17">
      <w:pPr>
        <w:spacing w:after="240" w:line="360" w:lineRule="auto"/>
        <w:ind w:left="567" w:hanging="567"/>
        <w:rPr>
          <w:rFonts w:ascii="Arial" w:eastAsia="Calibri" w:hAnsi="Arial" w:cs="Arial"/>
          <w:b/>
          <w:kern w:val="0"/>
          <w:szCs w:val="22"/>
          <w14:ligatures w14:val="none"/>
        </w:rPr>
      </w:pPr>
      <w:r w:rsidRPr="000A5E1B">
        <w:rPr>
          <w:rFonts w:ascii="Arial" w:eastAsia="Calibri" w:hAnsi="Arial" w:cs="Arial"/>
          <w:b/>
          <w:kern w:val="0"/>
          <w:szCs w:val="22"/>
          <w14:ligatures w14:val="none"/>
        </w:rPr>
        <w:t>APPEARANCES:</w:t>
      </w:r>
    </w:p>
    <w:p w14:paraId="483DF8DE" w14:textId="77777777" w:rsidR="00596812" w:rsidRDefault="00596812" w:rsidP="00181A0C">
      <w:pPr>
        <w:spacing w:after="0" w:line="360" w:lineRule="auto"/>
        <w:rPr>
          <w:rFonts w:ascii="Arial" w:hAnsi="Arial" w:cs="Arial"/>
        </w:rPr>
      </w:pPr>
      <w:r w:rsidRPr="002A50CB">
        <w:rPr>
          <w:rFonts w:ascii="Arial" w:hAnsi="Arial" w:cs="Arial"/>
          <w:b/>
        </w:rPr>
        <w:t>Applicants counsel:</w:t>
      </w:r>
      <w:r w:rsidRPr="0059681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2A50CB">
        <w:rPr>
          <w:rFonts w:ascii="Arial" w:hAnsi="Arial" w:cs="Arial"/>
        </w:rPr>
        <w:t xml:space="preserve"> </w:t>
      </w:r>
      <w:r>
        <w:rPr>
          <w:rFonts w:ascii="Arial" w:hAnsi="Arial" w:cs="Arial"/>
        </w:rPr>
        <w:t>Christo Bothma SC</w:t>
      </w:r>
    </w:p>
    <w:p w14:paraId="0C813F42" w14:textId="77777777" w:rsidR="00596812" w:rsidRPr="00596812" w:rsidRDefault="00596812" w:rsidP="00181A0C">
      <w:pPr>
        <w:spacing w:after="0" w:line="360" w:lineRule="auto"/>
        <w:rPr>
          <w:rFonts w:ascii="Arial" w:hAnsi="Arial" w:cs="Arial"/>
        </w:rPr>
      </w:pPr>
      <w:r>
        <w:rPr>
          <w:rFonts w:ascii="Arial" w:hAnsi="Arial" w:cs="Arial"/>
        </w:rPr>
        <w:t>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A50CB">
        <w:rPr>
          <w:rFonts w:ascii="Arial" w:hAnsi="Arial" w:cs="Arial"/>
        </w:rPr>
        <w:tab/>
      </w:r>
      <w:r>
        <w:rPr>
          <w:rFonts w:ascii="Arial" w:hAnsi="Arial" w:cs="Arial"/>
        </w:rPr>
        <w:t xml:space="preserve"> Nadeem Ali</w:t>
      </w:r>
    </w:p>
    <w:p w14:paraId="55647BF3" w14:textId="77777777" w:rsidR="00D64E17" w:rsidRDefault="00596812" w:rsidP="00181A0C">
      <w:pPr>
        <w:spacing w:after="0" w:line="360" w:lineRule="auto"/>
        <w:rPr>
          <w:rFonts w:ascii="Arial" w:hAnsi="Arial" w:cs="Arial"/>
        </w:rPr>
      </w:pPr>
      <w:r>
        <w:rPr>
          <w:rFonts w:ascii="Arial" w:hAnsi="Arial" w:cs="Arial"/>
        </w:rPr>
        <w:t>Applicants A</w:t>
      </w:r>
      <w:r w:rsidRPr="00596812">
        <w:rPr>
          <w:rFonts w:ascii="Arial" w:hAnsi="Arial" w:cs="Arial"/>
        </w:rPr>
        <w:t xml:space="preserve">ttorneys: </w:t>
      </w:r>
      <w:r>
        <w:rPr>
          <w:rFonts w:ascii="Arial" w:hAnsi="Arial" w:cs="Arial"/>
        </w:rPr>
        <w:tab/>
      </w:r>
      <w:r>
        <w:rPr>
          <w:rFonts w:ascii="Arial" w:hAnsi="Arial" w:cs="Arial"/>
        </w:rPr>
        <w:tab/>
      </w:r>
      <w:r>
        <w:rPr>
          <w:rFonts w:ascii="Arial" w:hAnsi="Arial" w:cs="Arial"/>
        </w:rPr>
        <w:tab/>
        <w:t xml:space="preserve">    </w:t>
      </w:r>
      <w:r w:rsidR="002A50CB">
        <w:rPr>
          <w:rFonts w:ascii="Arial" w:hAnsi="Arial" w:cs="Arial"/>
        </w:rPr>
        <w:tab/>
      </w:r>
      <w:r w:rsidRPr="00596812">
        <w:rPr>
          <w:rFonts w:ascii="Arial" w:hAnsi="Arial" w:cs="Arial"/>
        </w:rPr>
        <w:t xml:space="preserve">Webber Wentzel </w:t>
      </w:r>
    </w:p>
    <w:p w14:paraId="0AF4033B" w14:textId="77777777" w:rsidR="00596812" w:rsidRDefault="00596812" w:rsidP="00181A0C">
      <w:pPr>
        <w:spacing w:after="0" w:line="360" w:lineRule="auto"/>
        <w:rPr>
          <w:rFonts w:ascii="Arial" w:hAnsi="Arial" w:cs="Arial"/>
        </w:rPr>
      </w:pPr>
      <w:r w:rsidRPr="002A50CB">
        <w:rPr>
          <w:rFonts w:ascii="Arial" w:hAnsi="Arial" w:cs="Arial"/>
          <w:b/>
        </w:rPr>
        <w:t>Respondent's Counsel:</w:t>
      </w:r>
      <w:r>
        <w:rPr>
          <w:rFonts w:ascii="Arial" w:hAnsi="Arial" w:cs="Arial"/>
        </w:rPr>
        <w:tab/>
      </w:r>
      <w:r>
        <w:rPr>
          <w:rFonts w:ascii="Arial" w:hAnsi="Arial" w:cs="Arial"/>
        </w:rPr>
        <w:tab/>
      </w:r>
      <w:r>
        <w:rPr>
          <w:rFonts w:ascii="Arial" w:hAnsi="Arial" w:cs="Arial"/>
        </w:rPr>
        <w:tab/>
        <w:t xml:space="preserve">    </w:t>
      </w:r>
      <w:r w:rsidR="002A50CB">
        <w:rPr>
          <w:rFonts w:ascii="Arial" w:hAnsi="Arial" w:cs="Arial"/>
        </w:rPr>
        <w:tab/>
      </w:r>
      <w:r w:rsidRPr="00596812">
        <w:rPr>
          <w:rFonts w:ascii="Arial" w:hAnsi="Arial" w:cs="Arial"/>
        </w:rPr>
        <w:t xml:space="preserve">Ngwako Maenetje SC </w:t>
      </w:r>
    </w:p>
    <w:p w14:paraId="4E2C9BC4" w14:textId="77777777" w:rsidR="00596812" w:rsidRDefault="00596812" w:rsidP="00181A0C">
      <w:pPr>
        <w:spacing w:after="0" w:line="360" w:lineRule="auto"/>
        <w:rPr>
          <w:rFonts w:ascii="Arial" w:hAnsi="Arial" w:cs="Arial"/>
        </w:rPr>
      </w:pPr>
      <w:r>
        <w:rPr>
          <w:rFonts w:ascii="Arial" w:hAnsi="Arial" w:cs="Arial"/>
        </w:rPr>
        <w:t>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A50CB">
        <w:rPr>
          <w:rFonts w:ascii="Arial" w:hAnsi="Arial" w:cs="Arial"/>
        </w:rPr>
        <w:tab/>
      </w:r>
      <w:r w:rsidRPr="00596812">
        <w:rPr>
          <w:rFonts w:ascii="Arial" w:hAnsi="Arial" w:cs="Arial"/>
        </w:rPr>
        <w:t xml:space="preserve">Makhotso Lengane </w:t>
      </w:r>
    </w:p>
    <w:p w14:paraId="206083EC" w14:textId="77777777" w:rsidR="00596812" w:rsidRPr="00596812" w:rsidRDefault="00596812" w:rsidP="00181A0C">
      <w:pPr>
        <w:spacing w:after="0" w:line="360" w:lineRule="auto"/>
        <w:rPr>
          <w:rFonts w:ascii="Arial" w:hAnsi="Arial" w:cs="Arial"/>
        </w:rPr>
      </w:pPr>
      <w:r w:rsidRPr="00596812">
        <w:rPr>
          <w:rFonts w:ascii="Arial" w:hAnsi="Arial" w:cs="Arial"/>
        </w:rPr>
        <w:t>First to Third Respondents</w:t>
      </w:r>
      <w:r>
        <w:rPr>
          <w:rFonts w:ascii="Arial" w:hAnsi="Arial" w:cs="Arial"/>
        </w:rPr>
        <w:t xml:space="preserve"> A</w:t>
      </w:r>
      <w:r w:rsidRPr="00596812">
        <w:rPr>
          <w:rFonts w:ascii="Arial" w:hAnsi="Arial" w:cs="Arial"/>
        </w:rPr>
        <w:t>ttorneys:</w:t>
      </w:r>
      <w:r>
        <w:rPr>
          <w:rFonts w:ascii="Arial" w:hAnsi="Arial" w:cs="Arial"/>
        </w:rPr>
        <w:tab/>
        <w:t xml:space="preserve">   </w:t>
      </w:r>
      <w:r w:rsidR="002A50CB">
        <w:rPr>
          <w:rFonts w:ascii="Arial" w:hAnsi="Arial" w:cs="Arial"/>
        </w:rPr>
        <w:tab/>
      </w:r>
      <w:r w:rsidRPr="00596812">
        <w:rPr>
          <w:rFonts w:ascii="Arial" w:hAnsi="Arial" w:cs="Arial"/>
        </w:rPr>
        <w:t>Mchunu Attorneys</w:t>
      </w:r>
      <w:bookmarkEnd w:id="0"/>
    </w:p>
    <w:sectPr w:rsidR="00596812" w:rsidRPr="005968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D81B" w14:textId="77777777" w:rsidR="004422DA" w:rsidRDefault="004422DA" w:rsidP="003F09EC">
      <w:pPr>
        <w:spacing w:after="0" w:line="240" w:lineRule="auto"/>
      </w:pPr>
      <w:r>
        <w:separator/>
      </w:r>
    </w:p>
  </w:endnote>
  <w:endnote w:type="continuationSeparator" w:id="0">
    <w:p w14:paraId="23C471AB" w14:textId="77777777" w:rsidR="004422DA" w:rsidRDefault="004422DA" w:rsidP="003F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F5F29" w14:textId="77777777" w:rsidR="004422DA" w:rsidRDefault="004422DA" w:rsidP="003F09EC">
      <w:pPr>
        <w:spacing w:after="0" w:line="240" w:lineRule="auto"/>
      </w:pPr>
      <w:r>
        <w:separator/>
      </w:r>
    </w:p>
  </w:footnote>
  <w:footnote w:type="continuationSeparator" w:id="0">
    <w:p w14:paraId="058B62BB" w14:textId="77777777" w:rsidR="004422DA" w:rsidRDefault="004422DA" w:rsidP="003F09EC">
      <w:pPr>
        <w:spacing w:after="0" w:line="240" w:lineRule="auto"/>
      </w:pPr>
      <w:r>
        <w:continuationSeparator/>
      </w:r>
    </w:p>
  </w:footnote>
  <w:footnote w:id="1">
    <w:p w14:paraId="5F91B8A7" w14:textId="77777777" w:rsidR="0091303B" w:rsidRPr="00CD5130" w:rsidRDefault="0091303B" w:rsidP="00CD5130">
      <w:pPr>
        <w:pStyle w:val="FootnoteText"/>
        <w:spacing w:after="0" w:line="360" w:lineRule="auto"/>
        <w:rPr>
          <w:rFonts w:ascii="Arial" w:hAnsi="Arial" w:cs="Arial"/>
          <w:sz w:val="18"/>
          <w:szCs w:val="18"/>
          <w:lang w:val="en-ZA"/>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D573ED">
        <w:t>Setlogelo v Setlogelo 1914 AD 221 at 227</w:t>
      </w:r>
    </w:p>
  </w:footnote>
  <w:footnote w:id="2">
    <w:p w14:paraId="7465C6BE" w14:textId="77777777" w:rsidR="0076491A" w:rsidRPr="00CD5130" w:rsidRDefault="0076491A" w:rsidP="00CD5130">
      <w:pPr>
        <w:spacing w:after="0" w:line="360" w:lineRule="auto"/>
        <w:rPr>
          <w:rFonts w:ascii="Arial" w:hAnsi="Arial" w:cs="Arial"/>
          <w:kern w:val="0"/>
          <w:sz w:val="18"/>
          <w:szCs w:val="18"/>
          <w:lang w:val="en-ZA" w:eastAsia="en-ZA"/>
          <w14:ligatures w14:val="none"/>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Pr="00CD5130">
        <w:rPr>
          <w:rFonts w:ascii="Arial" w:hAnsi="Arial" w:cs="Arial"/>
          <w:i/>
          <w:iCs/>
          <w:kern w:val="0"/>
          <w:sz w:val="18"/>
          <w:szCs w:val="18"/>
          <w14:ligatures w14:val="none"/>
        </w:rPr>
        <w:t>National Treasury And Others v Opposition to Urban Tolling Alliance And Others</w:t>
      </w:r>
      <w:r w:rsidRPr="00CD5130">
        <w:rPr>
          <w:rStyle w:val="FootnoteReference"/>
          <w:rFonts w:ascii="Arial" w:hAnsi="Arial" w:cs="Arial"/>
          <w:i/>
          <w:iCs/>
          <w:kern w:val="0"/>
          <w:sz w:val="18"/>
          <w:szCs w:val="18"/>
          <w14:ligatures w14:val="none"/>
        </w:rPr>
        <w:footnoteRef/>
      </w:r>
      <w:r w:rsidRPr="00CD5130">
        <w:rPr>
          <w:rFonts w:ascii="Arial" w:hAnsi="Arial" w:cs="Arial"/>
          <w:i/>
          <w:iCs/>
          <w:kern w:val="0"/>
          <w:sz w:val="18"/>
          <w:szCs w:val="18"/>
          <w14:ligatures w14:val="none"/>
        </w:rPr>
        <w:t xml:space="preserve"> 2012 (6) Sa 223 (CC)</w:t>
      </w:r>
      <w:r w:rsidRPr="00CD5130">
        <w:rPr>
          <w:rFonts w:ascii="Arial" w:hAnsi="Arial" w:cs="Arial"/>
          <w:kern w:val="0"/>
          <w:sz w:val="18"/>
          <w:szCs w:val="18"/>
          <w14:ligatures w14:val="none"/>
        </w:rPr>
        <w:t xml:space="preserve"> ) ( OUTA) </w:t>
      </w:r>
    </w:p>
  </w:footnote>
  <w:footnote w:id="3">
    <w:p w14:paraId="7F864C53" w14:textId="77777777" w:rsidR="009F03FB" w:rsidRPr="00CD5130" w:rsidRDefault="009F03FB" w:rsidP="00CD5130">
      <w:pPr>
        <w:pStyle w:val="FootnoteText"/>
        <w:spacing w:after="0" w:line="360" w:lineRule="auto"/>
        <w:rPr>
          <w:rFonts w:ascii="Arial" w:hAnsi="Arial" w:cs="Arial"/>
          <w:sz w:val="18"/>
          <w:szCs w:val="18"/>
          <w:lang w:val="en-US"/>
        </w:rPr>
      </w:pPr>
      <w:r w:rsidRPr="00CD5130">
        <w:rPr>
          <w:rStyle w:val="FootnoteReference"/>
          <w:rFonts w:ascii="Arial" w:hAnsi="Arial" w:cs="Arial"/>
          <w:sz w:val="18"/>
          <w:szCs w:val="18"/>
        </w:rPr>
        <w:footnoteRef/>
      </w:r>
      <w:r w:rsidRPr="00CD5130">
        <w:rPr>
          <w:rFonts w:ascii="Arial" w:hAnsi="Arial" w:cs="Arial"/>
          <w:sz w:val="18"/>
          <w:szCs w:val="18"/>
        </w:rPr>
        <w:t xml:space="preserve"> Gool v Minister of Justice 1955 (2) SA 682 (C).</w:t>
      </w:r>
    </w:p>
  </w:footnote>
  <w:footnote w:id="4">
    <w:p w14:paraId="5E2AFC2B" w14:textId="77777777" w:rsidR="009F03FB" w:rsidRPr="00CD5130" w:rsidRDefault="009F03FB" w:rsidP="00CD5130">
      <w:pPr>
        <w:pStyle w:val="FootnoteText"/>
        <w:spacing w:after="0" w:line="360" w:lineRule="auto"/>
        <w:rPr>
          <w:rFonts w:ascii="Arial" w:hAnsi="Arial" w:cs="Arial"/>
          <w:sz w:val="18"/>
          <w:szCs w:val="18"/>
          <w:lang w:val="en-US"/>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Pr="00CD5130">
        <w:rPr>
          <w:rFonts w:ascii="Arial" w:hAnsi="Arial" w:cs="Arial"/>
          <w:sz w:val="18"/>
          <w:szCs w:val="18"/>
          <w:lang w:val="en-US"/>
        </w:rPr>
        <w:t>OUTA at para 43.</w:t>
      </w:r>
    </w:p>
  </w:footnote>
  <w:footnote w:id="5">
    <w:p w14:paraId="3218ECBE" w14:textId="77777777" w:rsidR="009F03FB" w:rsidRPr="00CD5130" w:rsidRDefault="009F03FB" w:rsidP="00CD5130">
      <w:pPr>
        <w:pStyle w:val="FootnoteText"/>
        <w:spacing w:after="0" w:line="360" w:lineRule="auto"/>
        <w:rPr>
          <w:rFonts w:ascii="Arial" w:hAnsi="Arial" w:cs="Arial"/>
          <w:sz w:val="18"/>
          <w:szCs w:val="18"/>
          <w:lang w:val="en-US"/>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1C4404" w:rsidRPr="00CD5130">
        <w:rPr>
          <w:rFonts w:ascii="Arial" w:hAnsi="Arial" w:cs="Arial"/>
          <w:sz w:val="18"/>
          <w:szCs w:val="18"/>
          <w:lang w:val="en-US"/>
        </w:rPr>
        <w:t xml:space="preserve">Id </w:t>
      </w:r>
      <w:r w:rsidRPr="00CD5130">
        <w:rPr>
          <w:rFonts w:ascii="Arial" w:hAnsi="Arial" w:cs="Arial"/>
          <w:sz w:val="18"/>
          <w:szCs w:val="18"/>
          <w:lang w:val="en-US"/>
        </w:rPr>
        <w:t>at para 26 and 47.</w:t>
      </w:r>
    </w:p>
  </w:footnote>
  <w:footnote w:id="6">
    <w:p w14:paraId="013EF6D1" w14:textId="77777777" w:rsidR="00A02BBF" w:rsidRPr="00A02BBF" w:rsidRDefault="00A02BBF" w:rsidP="00CD5130">
      <w:pPr>
        <w:pStyle w:val="FootnoteText"/>
        <w:spacing w:after="0" w:line="360" w:lineRule="auto"/>
        <w:rPr>
          <w:lang w:val="en-US"/>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AA44B2">
        <w:rPr>
          <w:rFonts w:ascii="Arial" w:hAnsi="Arial" w:cs="Arial"/>
          <w:sz w:val="18"/>
          <w:szCs w:val="18"/>
          <w:lang w:val="en-US"/>
        </w:rPr>
        <w:t>Id at para 47</w:t>
      </w:r>
    </w:p>
  </w:footnote>
  <w:footnote w:id="7">
    <w:p w14:paraId="678F4F78" w14:textId="77777777" w:rsidR="00F90327" w:rsidRPr="00CD5130" w:rsidRDefault="00F90327" w:rsidP="00CD5130">
      <w:pPr>
        <w:spacing w:after="0" w:line="360" w:lineRule="auto"/>
        <w:rPr>
          <w:rFonts w:ascii="Arial" w:hAnsi="Arial" w:cs="Arial"/>
          <w:sz w:val="18"/>
          <w:szCs w:val="18"/>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D573ED" w:rsidRPr="00D573ED">
        <w:rPr>
          <w:rFonts w:ascii="Arial" w:hAnsi="Arial" w:cs="Arial"/>
          <w:sz w:val="18"/>
          <w:szCs w:val="18"/>
        </w:rPr>
        <w:t>Ol</w:t>
      </w:r>
      <w:r w:rsidR="00D573ED">
        <w:rPr>
          <w:rFonts w:ascii="Arial" w:hAnsi="Arial" w:cs="Arial"/>
          <w:sz w:val="18"/>
          <w:szCs w:val="18"/>
        </w:rPr>
        <w:t>ympic Passeng</w:t>
      </w:r>
      <w:r w:rsidR="00D573ED" w:rsidRPr="00D573ED">
        <w:rPr>
          <w:rFonts w:ascii="Arial" w:hAnsi="Arial" w:cs="Arial"/>
          <w:sz w:val="18"/>
          <w:szCs w:val="18"/>
        </w:rPr>
        <w:t>er Service Pt Ltd v Ramie an 1957 (2) SA 382 (D) at 383D-G, cited with approval in Eriksen Motors Welkom Ltd v Protea Motors Warrenton 1973 (3) SA 685 (A) at 69</w:t>
      </w:r>
      <w:r w:rsidR="00D573ED">
        <w:rPr>
          <w:rFonts w:ascii="Arial" w:hAnsi="Arial" w:cs="Arial"/>
          <w:sz w:val="18"/>
          <w:szCs w:val="18"/>
        </w:rPr>
        <w:t>1F-G. See also Simon NO v Air Operations of Europ</w:t>
      </w:r>
      <w:r w:rsidR="00D573ED" w:rsidRPr="00D573ED">
        <w:rPr>
          <w:rFonts w:ascii="Arial" w:hAnsi="Arial" w:cs="Arial"/>
          <w:sz w:val="18"/>
          <w:szCs w:val="18"/>
        </w:rPr>
        <w:t>e AB 1999 (1) SA 217 (SCA) at 231G.</w:t>
      </w:r>
    </w:p>
  </w:footnote>
  <w:footnote w:id="8">
    <w:p w14:paraId="7FE89A7D" w14:textId="77777777" w:rsidR="003F1029" w:rsidRPr="00CD5130" w:rsidRDefault="003F1029" w:rsidP="00CD5130">
      <w:pPr>
        <w:spacing w:after="0" w:line="360" w:lineRule="auto"/>
        <w:rPr>
          <w:rFonts w:ascii="Arial" w:hAnsi="Arial" w:cs="Arial"/>
          <w:sz w:val="18"/>
          <w:szCs w:val="18"/>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A670A4" w:rsidRPr="00CD5130">
        <w:rPr>
          <w:rFonts w:ascii="Arial" w:hAnsi="Arial" w:cs="Arial"/>
          <w:i/>
          <w:iCs/>
          <w:color w:val="000000"/>
          <w:sz w:val="18"/>
          <w:szCs w:val="18"/>
        </w:rPr>
        <w:t xml:space="preserve"> Bellevue Motors CC v Johannesburg City Council</w:t>
      </w:r>
      <w:r w:rsidR="00A670A4" w:rsidRPr="00CD5130">
        <w:rPr>
          <w:rFonts w:ascii="Arial" w:hAnsi="Arial" w:cs="Arial"/>
          <w:color w:val="000000"/>
          <w:sz w:val="18"/>
          <w:szCs w:val="18"/>
        </w:rPr>
        <w:t> 1994 (4) SA 339 (W) </w:t>
      </w:r>
      <w:r w:rsidR="00A670A4" w:rsidRPr="00CD5130">
        <w:rPr>
          <w:rFonts w:ascii="Arial" w:hAnsi="Arial" w:cs="Arial"/>
          <w:i/>
          <w:iCs/>
          <w:color w:val="000000"/>
          <w:sz w:val="18"/>
          <w:szCs w:val="18"/>
        </w:rPr>
        <w:t>Rustenburg Local Municipality v Mwenzi Service Station CC</w:t>
      </w:r>
      <w:r w:rsidR="00A670A4" w:rsidRPr="00CD5130">
        <w:rPr>
          <w:rFonts w:ascii="Arial" w:hAnsi="Arial" w:cs="Arial"/>
          <w:color w:val="000000"/>
          <w:sz w:val="18"/>
          <w:szCs w:val="18"/>
        </w:rPr>
        <w:t> [2015] 1 All SA 315 (SCA) ([2014] ZASCA 207)</w:t>
      </w:r>
      <w:r w:rsidR="00A670A4" w:rsidRPr="00CD5130">
        <w:rPr>
          <w:rFonts w:ascii="Arial" w:hAnsi="Arial" w:cs="Arial"/>
          <w:sz w:val="18"/>
          <w:szCs w:val="18"/>
        </w:rPr>
        <w:t xml:space="preserve"> </w:t>
      </w:r>
      <w:r w:rsidR="00A670A4" w:rsidRPr="00CD5130">
        <w:rPr>
          <w:rFonts w:ascii="Arial" w:hAnsi="Arial" w:cs="Arial"/>
          <w:i/>
          <w:iCs/>
          <w:sz w:val="18"/>
          <w:szCs w:val="18"/>
        </w:rPr>
        <w:t>Tembu Convenience Ce</w:t>
      </w:r>
      <w:r w:rsidR="00BB770B">
        <w:rPr>
          <w:rFonts w:ascii="Arial" w:hAnsi="Arial" w:cs="Arial"/>
          <w:i/>
          <w:iCs/>
          <w:sz w:val="18"/>
          <w:szCs w:val="18"/>
        </w:rPr>
        <w:t xml:space="preserve">ntre CC and Another v City Of </w:t>
      </w:r>
      <w:r w:rsidR="00CD5130">
        <w:rPr>
          <w:rFonts w:ascii="Arial" w:hAnsi="Arial" w:cs="Arial"/>
          <w:i/>
          <w:iCs/>
          <w:sz w:val="18"/>
          <w:szCs w:val="18"/>
        </w:rPr>
        <w:t>J</w:t>
      </w:r>
      <w:r w:rsidR="00A670A4" w:rsidRPr="00CD5130">
        <w:rPr>
          <w:rFonts w:ascii="Arial" w:hAnsi="Arial" w:cs="Arial"/>
          <w:i/>
          <w:iCs/>
          <w:sz w:val="18"/>
          <w:szCs w:val="18"/>
        </w:rPr>
        <w:t xml:space="preserve">ohannesburg And Others 2019 (4) SA 194 (SCA) </w:t>
      </w:r>
    </w:p>
  </w:footnote>
  <w:footnote w:id="9">
    <w:p w14:paraId="197BA84C" w14:textId="714D004F" w:rsidR="001702A6" w:rsidRPr="00CD5130" w:rsidRDefault="001702A6" w:rsidP="00CD5130">
      <w:pPr>
        <w:pStyle w:val="FootnoteText"/>
        <w:spacing w:after="0" w:line="360" w:lineRule="auto"/>
        <w:rPr>
          <w:rFonts w:ascii="Arial" w:hAnsi="Arial" w:cs="Arial"/>
          <w:sz w:val="18"/>
          <w:szCs w:val="18"/>
          <w:lang w:val="en-ZA"/>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0017236D" w:rsidRPr="00CD5130">
        <w:rPr>
          <w:rFonts w:ascii="Arial" w:hAnsi="Arial" w:cs="Arial"/>
          <w:sz w:val="18"/>
          <w:szCs w:val="18"/>
        </w:rPr>
        <w:t>Ts</w:t>
      </w:r>
      <w:r w:rsidR="00A97094">
        <w:rPr>
          <w:rFonts w:ascii="Arial" w:hAnsi="Arial" w:cs="Arial"/>
          <w:sz w:val="18"/>
          <w:szCs w:val="18"/>
        </w:rPr>
        <w:t>h</w:t>
      </w:r>
      <w:r w:rsidR="0017236D" w:rsidRPr="00CD5130">
        <w:rPr>
          <w:rFonts w:ascii="Arial" w:hAnsi="Arial" w:cs="Arial"/>
          <w:sz w:val="18"/>
          <w:szCs w:val="18"/>
        </w:rPr>
        <w:t>wane City v Afrifo</w:t>
      </w:r>
      <w:r w:rsidR="005817E2" w:rsidRPr="00CD5130">
        <w:rPr>
          <w:rFonts w:ascii="Arial" w:hAnsi="Arial" w:cs="Arial"/>
          <w:sz w:val="18"/>
          <w:szCs w:val="18"/>
        </w:rPr>
        <w:t>rum and Another 2016(6)</w:t>
      </w:r>
      <w:r w:rsidR="001B629A" w:rsidRPr="00CD5130">
        <w:rPr>
          <w:rFonts w:ascii="Arial" w:hAnsi="Arial" w:cs="Arial"/>
          <w:sz w:val="18"/>
          <w:szCs w:val="18"/>
        </w:rPr>
        <w:t xml:space="preserve"> SA 279 (CC)</w:t>
      </w:r>
    </w:p>
  </w:footnote>
  <w:footnote w:id="10">
    <w:p w14:paraId="37F41AE4" w14:textId="77777777" w:rsidR="00191ECA" w:rsidRPr="00191ECA" w:rsidRDefault="00191ECA" w:rsidP="00CD5130">
      <w:pPr>
        <w:pStyle w:val="FootnoteText"/>
        <w:spacing w:after="0" w:line="360" w:lineRule="auto"/>
        <w:rPr>
          <w:lang w:val="en-ZA"/>
        </w:rPr>
      </w:pPr>
      <w:r w:rsidRPr="00CD5130">
        <w:rPr>
          <w:rStyle w:val="FootnoteReference"/>
          <w:rFonts w:ascii="Arial" w:hAnsi="Arial" w:cs="Arial"/>
          <w:sz w:val="18"/>
          <w:szCs w:val="18"/>
        </w:rPr>
        <w:footnoteRef/>
      </w:r>
      <w:r w:rsidRPr="00CD5130">
        <w:rPr>
          <w:rFonts w:ascii="Arial" w:hAnsi="Arial" w:cs="Arial"/>
          <w:sz w:val="18"/>
          <w:szCs w:val="18"/>
        </w:rPr>
        <w:t xml:space="preserve"> </w:t>
      </w:r>
      <w:r w:rsidRPr="00CD5130">
        <w:rPr>
          <w:rFonts w:ascii="Arial" w:hAnsi="Arial" w:cs="Arial"/>
          <w:sz w:val="18"/>
          <w:szCs w:val="18"/>
          <w:lang w:val="en-ZA"/>
        </w:rPr>
        <w:t>Id at para 66</w:t>
      </w:r>
    </w:p>
  </w:footnote>
  <w:footnote w:id="11">
    <w:p w14:paraId="2AB867E8" w14:textId="77777777" w:rsidR="002474CA" w:rsidRPr="00A45BE8" w:rsidRDefault="002474CA" w:rsidP="002474CA">
      <w:pPr>
        <w:pStyle w:val="FootnoteText"/>
        <w:rPr>
          <w:lang w:val="en-US"/>
        </w:rPr>
      </w:pPr>
      <w:r>
        <w:rPr>
          <w:rStyle w:val="FootnoteReference"/>
        </w:rPr>
        <w:footnoteRef/>
      </w:r>
      <w:r>
        <w:t xml:space="preserve"> </w:t>
      </w:r>
      <w:r w:rsidR="000B5423">
        <w:t xml:space="preserve">OUTA at para </w:t>
      </w:r>
      <w:r w:rsidR="007029FD">
        <w:t>66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47F"/>
    <w:multiLevelType w:val="hybridMultilevel"/>
    <w:tmpl w:val="828A702C"/>
    <w:lvl w:ilvl="0" w:tplc="D0583B00">
      <w:start w:val="1"/>
      <w:numFmt w:val="decimal"/>
      <w:lvlText w:val="[%1]"/>
      <w:lvlJc w:val="left"/>
      <w:pPr>
        <w:ind w:left="720" w:hanging="360"/>
      </w:pPr>
      <w:rPr>
        <w:rFonts w:ascii="Arial" w:hAnsi="Arial" w:cs="Arial"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97554B"/>
    <w:multiLevelType w:val="hybridMultilevel"/>
    <w:tmpl w:val="AD2E6DE2"/>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270A27"/>
    <w:multiLevelType w:val="hybridMultilevel"/>
    <w:tmpl w:val="7AC6602E"/>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204BCD"/>
    <w:multiLevelType w:val="hybridMultilevel"/>
    <w:tmpl w:val="9B244438"/>
    <w:lvl w:ilvl="0" w:tplc="026E8D04">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36C441E6"/>
    <w:multiLevelType w:val="hybridMultilevel"/>
    <w:tmpl w:val="D07CA63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007DBF"/>
    <w:multiLevelType w:val="hybridMultilevel"/>
    <w:tmpl w:val="C084163C"/>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FC7445C"/>
    <w:multiLevelType w:val="multilevel"/>
    <w:tmpl w:val="614C26F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2tDA1N7UwtDQ2sbRU0lEKTi0uzszPAykwrAUA3ZlG/SwAAAA="/>
  </w:docVars>
  <w:rsids>
    <w:rsidRoot w:val="00471DC2"/>
    <w:rsid w:val="00006320"/>
    <w:rsid w:val="00007335"/>
    <w:rsid w:val="00021627"/>
    <w:rsid w:val="00026854"/>
    <w:rsid w:val="00036B36"/>
    <w:rsid w:val="0004262D"/>
    <w:rsid w:val="0004770F"/>
    <w:rsid w:val="00052138"/>
    <w:rsid w:val="00061FC9"/>
    <w:rsid w:val="00062310"/>
    <w:rsid w:val="00065ED5"/>
    <w:rsid w:val="00074ACF"/>
    <w:rsid w:val="00075267"/>
    <w:rsid w:val="000774DE"/>
    <w:rsid w:val="00082ECA"/>
    <w:rsid w:val="00084571"/>
    <w:rsid w:val="00086464"/>
    <w:rsid w:val="00086601"/>
    <w:rsid w:val="00093F46"/>
    <w:rsid w:val="000A73AF"/>
    <w:rsid w:val="000B5423"/>
    <w:rsid w:val="000B5A12"/>
    <w:rsid w:val="000C08C6"/>
    <w:rsid w:val="000C1228"/>
    <w:rsid w:val="000C46C8"/>
    <w:rsid w:val="000D1591"/>
    <w:rsid w:val="000D58DB"/>
    <w:rsid w:val="000D76A8"/>
    <w:rsid w:val="000E2C5F"/>
    <w:rsid w:val="000E44F7"/>
    <w:rsid w:val="000E5338"/>
    <w:rsid w:val="000E543E"/>
    <w:rsid w:val="000E6C47"/>
    <w:rsid w:val="001043B6"/>
    <w:rsid w:val="00113274"/>
    <w:rsid w:val="00117A25"/>
    <w:rsid w:val="00120343"/>
    <w:rsid w:val="0012320B"/>
    <w:rsid w:val="00124298"/>
    <w:rsid w:val="0012471A"/>
    <w:rsid w:val="0015261D"/>
    <w:rsid w:val="001541E9"/>
    <w:rsid w:val="00161BAA"/>
    <w:rsid w:val="00164014"/>
    <w:rsid w:val="001702A6"/>
    <w:rsid w:val="0017236D"/>
    <w:rsid w:val="00181A0C"/>
    <w:rsid w:val="00191ECA"/>
    <w:rsid w:val="001B38C2"/>
    <w:rsid w:val="001B629A"/>
    <w:rsid w:val="001C0404"/>
    <w:rsid w:val="001C1706"/>
    <w:rsid w:val="001C4209"/>
    <w:rsid w:val="001C4404"/>
    <w:rsid w:val="001F2198"/>
    <w:rsid w:val="001F4FA1"/>
    <w:rsid w:val="00201773"/>
    <w:rsid w:val="00212E8C"/>
    <w:rsid w:val="002162FD"/>
    <w:rsid w:val="00217EEC"/>
    <w:rsid w:val="002247E7"/>
    <w:rsid w:val="002258F8"/>
    <w:rsid w:val="0023336F"/>
    <w:rsid w:val="00237800"/>
    <w:rsid w:val="002438F4"/>
    <w:rsid w:val="00244DA4"/>
    <w:rsid w:val="002474CA"/>
    <w:rsid w:val="002702E4"/>
    <w:rsid w:val="00277988"/>
    <w:rsid w:val="00281A4C"/>
    <w:rsid w:val="002A50CB"/>
    <w:rsid w:val="002B3802"/>
    <w:rsid w:val="002C0D3C"/>
    <w:rsid w:val="002C2FE0"/>
    <w:rsid w:val="002C46CE"/>
    <w:rsid w:val="002E04EF"/>
    <w:rsid w:val="002F4F82"/>
    <w:rsid w:val="002F61A7"/>
    <w:rsid w:val="0030719C"/>
    <w:rsid w:val="003078DB"/>
    <w:rsid w:val="00310744"/>
    <w:rsid w:val="00327E27"/>
    <w:rsid w:val="00336F28"/>
    <w:rsid w:val="00347F01"/>
    <w:rsid w:val="00353825"/>
    <w:rsid w:val="00376FF6"/>
    <w:rsid w:val="0039216D"/>
    <w:rsid w:val="00392CFB"/>
    <w:rsid w:val="003A5C9F"/>
    <w:rsid w:val="003C1CD9"/>
    <w:rsid w:val="003C39B2"/>
    <w:rsid w:val="003C4B25"/>
    <w:rsid w:val="003D02D9"/>
    <w:rsid w:val="003D3809"/>
    <w:rsid w:val="003D67D9"/>
    <w:rsid w:val="003E0EC6"/>
    <w:rsid w:val="003F09EC"/>
    <w:rsid w:val="003F1029"/>
    <w:rsid w:val="003F160D"/>
    <w:rsid w:val="003F194D"/>
    <w:rsid w:val="003F3645"/>
    <w:rsid w:val="003F4DE1"/>
    <w:rsid w:val="0040118A"/>
    <w:rsid w:val="00407352"/>
    <w:rsid w:val="00410DEB"/>
    <w:rsid w:val="00424C77"/>
    <w:rsid w:val="00436B9E"/>
    <w:rsid w:val="004422DA"/>
    <w:rsid w:val="004501DD"/>
    <w:rsid w:val="00456916"/>
    <w:rsid w:val="00460346"/>
    <w:rsid w:val="00471DC2"/>
    <w:rsid w:val="0047410D"/>
    <w:rsid w:val="00474165"/>
    <w:rsid w:val="00483224"/>
    <w:rsid w:val="00496FD9"/>
    <w:rsid w:val="004A27D5"/>
    <w:rsid w:val="004A48E0"/>
    <w:rsid w:val="004A4F92"/>
    <w:rsid w:val="004B1089"/>
    <w:rsid w:val="004B21F7"/>
    <w:rsid w:val="004B3E94"/>
    <w:rsid w:val="004B5AC1"/>
    <w:rsid w:val="004C1583"/>
    <w:rsid w:val="004E5FC7"/>
    <w:rsid w:val="004F1D3A"/>
    <w:rsid w:val="00500F51"/>
    <w:rsid w:val="00501E98"/>
    <w:rsid w:val="0050291F"/>
    <w:rsid w:val="00512F31"/>
    <w:rsid w:val="005207F8"/>
    <w:rsid w:val="0053630B"/>
    <w:rsid w:val="0055050C"/>
    <w:rsid w:val="005718B2"/>
    <w:rsid w:val="00572B4F"/>
    <w:rsid w:val="00577929"/>
    <w:rsid w:val="005817E2"/>
    <w:rsid w:val="00583FCF"/>
    <w:rsid w:val="00585ADF"/>
    <w:rsid w:val="005955E0"/>
    <w:rsid w:val="00596812"/>
    <w:rsid w:val="005974EF"/>
    <w:rsid w:val="005A02CC"/>
    <w:rsid w:val="005A6519"/>
    <w:rsid w:val="005B03DA"/>
    <w:rsid w:val="005B0DFE"/>
    <w:rsid w:val="005B118D"/>
    <w:rsid w:val="005B3761"/>
    <w:rsid w:val="005B43D8"/>
    <w:rsid w:val="005C45AE"/>
    <w:rsid w:val="005C490C"/>
    <w:rsid w:val="005D7605"/>
    <w:rsid w:val="005F07B9"/>
    <w:rsid w:val="005F2B55"/>
    <w:rsid w:val="005F73F1"/>
    <w:rsid w:val="00601C16"/>
    <w:rsid w:val="0060434D"/>
    <w:rsid w:val="0061648F"/>
    <w:rsid w:val="0062446D"/>
    <w:rsid w:val="00641D60"/>
    <w:rsid w:val="00654DDE"/>
    <w:rsid w:val="006605BC"/>
    <w:rsid w:val="00661B7D"/>
    <w:rsid w:val="0066646E"/>
    <w:rsid w:val="00674878"/>
    <w:rsid w:val="00675CCB"/>
    <w:rsid w:val="00682FC5"/>
    <w:rsid w:val="00684311"/>
    <w:rsid w:val="00693C28"/>
    <w:rsid w:val="00696392"/>
    <w:rsid w:val="00696C69"/>
    <w:rsid w:val="006A1A9C"/>
    <w:rsid w:val="006A1EB9"/>
    <w:rsid w:val="006B03B2"/>
    <w:rsid w:val="006B2B74"/>
    <w:rsid w:val="006B443B"/>
    <w:rsid w:val="006C3DE5"/>
    <w:rsid w:val="006C43A0"/>
    <w:rsid w:val="006C4C3B"/>
    <w:rsid w:val="006C707A"/>
    <w:rsid w:val="006D16EA"/>
    <w:rsid w:val="006D5A57"/>
    <w:rsid w:val="0070130D"/>
    <w:rsid w:val="007029FD"/>
    <w:rsid w:val="00702D28"/>
    <w:rsid w:val="00713F94"/>
    <w:rsid w:val="007154B1"/>
    <w:rsid w:val="00716D89"/>
    <w:rsid w:val="00722A03"/>
    <w:rsid w:val="0072586F"/>
    <w:rsid w:val="00731AB5"/>
    <w:rsid w:val="0073311F"/>
    <w:rsid w:val="00733DD4"/>
    <w:rsid w:val="007450F6"/>
    <w:rsid w:val="007464BC"/>
    <w:rsid w:val="00757690"/>
    <w:rsid w:val="007609AB"/>
    <w:rsid w:val="0076491A"/>
    <w:rsid w:val="00764CCC"/>
    <w:rsid w:val="00764F9D"/>
    <w:rsid w:val="0077551F"/>
    <w:rsid w:val="00777706"/>
    <w:rsid w:val="007905DC"/>
    <w:rsid w:val="0079359C"/>
    <w:rsid w:val="007A6E55"/>
    <w:rsid w:val="007B3AE3"/>
    <w:rsid w:val="007C2C3E"/>
    <w:rsid w:val="007C640B"/>
    <w:rsid w:val="007D33FA"/>
    <w:rsid w:val="007E163B"/>
    <w:rsid w:val="007E37A7"/>
    <w:rsid w:val="007F0EF7"/>
    <w:rsid w:val="007F3487"/>
    <w:rsid w:val="0080426C"/>
    <w:rsid w:val="008043C5"/>
    <w:rsid w:val="00812D04"/>
    <w:rsid w:val="00820041"/>
    <w:rsid w:val="0082213A"/>
    <w:rsid w:val="00824FDE"/>
    <w:rsid w:val="0083361E"/>
    <w:rsid w:val="00835C50"/>
    <w:rsid w:val="00840868"/>
    <w:rsid w:val="0084696B"/>
    <w:rsid w:val="008502AF"/>
    <w:rsid w:val="0085254C"/>
    <w:rsid w:val="0086092C"/>
    <w:rsid w:val="00861BBB"/>
    <w:rsid w:val="008622DF"/>
    <w:rsid w:val="00864351"/>
    <w:rsid w:val="00866114"/>
    <w:rsid w:val="00870D5A"/>
    <w:rsid w:val="00876390"/>
    <w:rsid w:val="008804D5"/>
    <w:rsid w:val="00896985"/>
    <w:rsid w:val="008B1AAF"/>
    <w:rsid w:val="008D438C"/>
    <w:rsid w:val="008D7101"/>
    <w:rsid w:val="008D7CAF"/>
    <w:rsid w:val="008E49E4"/>
    <w:rsid w:val="00911589"/>
    <w:rsid w:val="0091303B"/>
    <w:rsid w:val="00915908"/>
    <w:rsid w:val="00926CA3"/>
    <w:rsid w:val="00931A55"/>
    <w:rsid w:val="00931E54"/>
    <w:rsid w:val="00933ABF"/>
    <w:rsid w:val="00940ADE"/>
    <w:rsid w:val="0094394D"/>
    <w:rsid w:val="00951B38"/>
    <w:rsid w:val="0096053F"/>
    <w:rsid w:val="00966D2E"/>
    <w:rsid w:val="00986DE6"/>
    <w:rsid w:val="00995583"/>
    <w:rsid w:val="009A1ED7"/>
    <w:rsid w:val="009A31E5"/>
    <w:rsid w:val="009B2C63"/>
    <w:rsid w:val="009C0B4E"/>
    <w:rsid w:val="009C1674"/>
    <w:rsid w:val="009C4AB8"/>
    <w:rsid w:val="009D1215"/>
    <w:rsid w:val="009D15AC"/>
    <w:rsid w:val="009D6824"/>
    <w:rsid w:val="009E5AD4"/>
    <w:rsid w:val="009F03FB"/>
    <w:rsid w:val="009F1193"/>
    <w:rsid w:val="00A00637"/>
    <w:rsid w:val="00A00DC6"/>
    <w:rsid w:val="00A02BBF"/>
    <w:rsid w:val="00A0475C"/>
    <w:rsid w:val="00A1017B"/>
    <w:rsid w:val="00A12D1E"/>
    <w:rsid w:val="00A20E51"/>
    <w:rsid w:val="00A30B2C"/>
    <w:rsid w:val="00A32B80"/>
    <w:rsid w:val="00A34C85"/>
    <w:rsid w:val="00A420EF"/>
    <w:rsid w:val="00A45BE8"/>
    <w:rsid w:val="00A47C0A"/>
    <w:rsid w:val="00A670A4"/>
    <w:rsid w:val="00A84FA2"/>
    <w:rsid w:val="00A86A1C"/>
    <w:rsid w:val="00A87601"/>
    <w:rsid w:val="00A91887"/>
    <w:rsid w:val="00A95468"/>
    <w:rsid w:val="00A96694"/>
    <w:rsid w:val="00A97094"/>
    <w:rsid w:val="00AA44B2"/>
    <w:rsid w:val="00AC7419"/>
    <w:rsid w:val="00AE5196"/>
    <w:rsid w:val="00AF5123"/>
    <w:rsid w:val="00B03D7A"/>
    <w:rsid w:val="00B10FB6"/>
    <w:rsid w:val="00B150BA"/>
    <w:rsid w:val="00B3128B"/>
    <w:rsid w:val="00B33C0D"/>
    <w:rsid w:val="00B456FE"/>
    <w:rsid w:val="00B459C4"/>
    <w:rsid w:val="00B4795B"/>
    <w:rsid w:val="00B55C79"/>
    <w:rsid w:val="00B60799"/>
    <w:rsid w:val="00B6266C"/>
    <w:rsid w:val="00B6508F"/>
    <w:rsid w:val="00B678B3"/>
    <w:rsid w:val="00B72158"/>
    <w:rsid w:val="00B72901"/>
    <w:rsid w:val="00B74BEC"/>
    <w:rsid w:val="00B80E33"/>
    <w:rsid w:val="00B83BCE"/>
    <w:rsid w:val="00B84DF4"/>
    <w:rsid w:val="00B87C31"/>
    <w:rsid w:val="00BA1C51"/>
    <w:rsid w:val="00BB770B"/>
    <w:rsid w:val="00BB77F2"/>
    <w:rsid w:val="00BC2884"/>
    <w:rsid w:val="00BC3C76"/>
    <w:rsid w:val="00BC6AA9"/>
    <w:rsid w:val="00BC6B45"/>
    <w:rsid w:val="00BD4C3D"/>
    <w:rsid w:val="00BD6085"/>
    <w:rsid w:val="00BE1554"/>
    <w:rsid w:val="00BE6485"/>
    <w:rsid w:val="00BF4F86"/>
    <w:rsid w:val="00C14B84"/>
    <w:rsid w:val="00C172EC"/>
    <w:rsid w:val="00C2579C"/>
    <w:rsid w:val="00C2726D"/>
    <w:rsid w:val="00C31AC4"/>
    <w:rsid w:val="00C434A6"/>
    <w:rsid w:val="00C440F7"/>
    <w:rsid w:val="00C50E16"/>
    <w:rsid w:val="00C6089A"/>
    <w:rsid w:val="00C614A0"/>
    <w:rsid w:val="00C61F34"/>
    <w:rsid w:val="00C750E8"/>
    <w:rsid w:val="00C81F08"/>
    <w:rsid w:val="00C823AB"/>
    <w:rsid w:val="00CA022A"/>
    <w:rsid w:val="00CA5F34"/>
    <w:rsid w:val="00CA6977"/>
    <w:rsid w:val="00CB4C86"/>
    <w:rsid w:val="00CC360A"/>
    <w:rsid w:val="00CC6741"/>
    <w:rsid w:val="00CD39D5"/>
    <w:rsid w:val="00CD5130"/>
    <w:rsid w:val="00CE2598"/>
    <w:rsid w:val="00CF0304"/>
    <w:rsid w:val="00CF4414"/>
    <w:rsid w:val="00D053CB"/>
    <w:rsid w:val="00D10AE0"/>
    <w:rsid w:val="00D14BB6"/>
    <w:rsid w:val="00D311D1"/>
    <w:rsid w:val="00D401BB"/>
    <w:rsid w:val="00D542ED"/>
    <w:rsid w:val="00D573ED"/>
    <w:rsid w:val="00D64E17"/>
    <w:rsid w:val="00D7152F"/>
    <w:rsid w:val="00D73255"/>
    <w:rsid w:val="00D74528"/>
    <w:rsid w:val="00D87AC9"/>
    <w:rsid w:val="00D9274C"/>
    <w:rsid w:val="00D9770E"/>
    <w:rsid w:val="00DA0F08"/>
    <w:rsid w:val="00DA2974"/>
    <w:rsid w:val="00DA3421"/>
    <w:rsid w:val="00DA7546"/>
    <w:rsid w:val="00DB0F0B"/>
    <w:rsid w:val="00DB7862"/>
    <w:rsid w:val="00DC4133"/>
    <w:rsid w:val="00DC7BD0"/>
    <w:rsid w:val="00DE27A2"/>
    <w:rsid w:val="00DE4E46"/>
    <w:rsid w:val="00DF2744"/>
    <w:rsid w:val="00DF486F"/>
    <w:rsid w:val="00DF50A5"/>
    <w:rsid w:val="00E044ED"/>
    <w:rsid w:val="00E04F9F"/>
    <w:rsid w:val="00E07533"/>
    <w:rsid w:val="00E11FCA"/>
    <w:rsid w:val="00E14D34"/>
    <w:rsid w:val="00E16DBD"/>
    <w:rsid w:val="00E201BE"/>
    <w:rsid w:val="00E20DCF"/>
    <w:rsid w:val="00E264F7"/>
    <w:rsid w:val="00E26795"/>
    <w:rsid w:val="00E27A57"/>
    <w:rsid w:val="00E30AD4"/>
    <w:rsid w:val="00E35463"/>
    <w:rsid w:val="00E35ECD"/>
    <w:rsid w:val="00E40B86"/>
    <w:rsid w:val="00E556B1"/>
    <w:rsid w:val="00E6785F"/>
    <w:rsid w:val="00E715D7"/>
    <w:rsid w:val="00E775BC"/>
    <w:rsid w:val="00E81266"/>
    <w:rsid w:val="00E937AD"/>
    <w:rsid w:val="00E940C2"/>
    <w:rsid w:val="00EA4571"/>
    <w:rsid w:val="00EA45AD"/>
    <w:rsid w:val="00EA5491"/>
    <w:rsid w:val="00EB4C16"/>
    <w:rsid w:val="00ED2BBE"/>
    <w:rsid w:val="00ED7337"/>
    <w:rsid w:val="00EE05A8"/>
    <w:rsid w:val="00EE155A"/>
    <w:rsid w:val="00EF31C7"/>
    <w:rsid w:val="00EF7E25"/>
    <w:rsid w:val="00F115F7"/>
    <w:rsid w:val="00F11C4D"/>
    <w:rsid w:val="00F23B97"/>
    <w:rsid w:val="00F25084"/>
    <w:rsid w:val="00F25A2A"/>
    <w:rsid w:val="00F2620E"/>
    <w:rsid w:val="00F31984"/>
    <w:rsid w:val="00F36684"/>
    <w:rsid w:val="00F36CA0"/>
    <w:rsid w:val="00F407CB"/>
    <w:rsid w:val="00F45B0A"/>
    <w:rsid w:val="00F65AA6"/>
    <w:rsid w:val="00F66688"/>
    <w:rsid w:val="00F7599D"/>
    <w:rsid w:val="00F81712"/>
    <w:rsid w:val="00F87D32"/>
    <w:rsid w:val="00F90327"/>
    <w:rsid w:val="00F95F2B"/>
    <w:rsid w:val="00F96B25"/>
    <w:rsid w:val="00FA1A33"/>
    <w:rsid w:val="00FA2AE1"/>
    <w:rsid w:val="00FB2C27"/>
    <w:rsid w:val="00FB408C"/>
    <w:rsid w:val="00FB53FE"/>
    <w:rsid w:val="00FC15F9"/>
    <w:rsid w:val="00FC48D3"/>
    <w:rsid w:val="00FC4A48"/>
    <w:rsid w:val="00FD6DBF"/>
    <w:rsid w:val="00FF24B7"/>
    <w:rsid w:val="00FF3F13"/>
    <w:rsid w:val="00FF4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33A7"/>
  <w15:chartTrackingRefBased/>
  <w15:docId w15:val="{D169738E-6D20-4840-83FF-9E47B094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9C"/>
    <w:pPr>
      <w:spacing w:line="259" w:lineRule="auto"/>
    </w:pPr>
    <w:rPr>
      <w:rFonts w:ascii="Times New Roman" w:hAnsi="Times New Roman"/>
      <w:lang w:val="en-GB"/>
    </w:rPr>
  </w:style>
  <w:style w:type="paragraph" w:styleId="Heading4">
    <w:name w:val="heading 4"/>
    <w:basedOn w:val="Normal"/>
    <w:next w:val="Normal"/>
    <w:link w:val="Heading4Char"/>
    <w:qFormat/>
    <w:rsid w:val="0030719C"/>
    <w:pPr>
      <w:keepNext/>
      <w:outlineLvl w:val="3"/>
    </w:pPr>
    <w:rPr>
      <w:rFonts w:ascii="Arial" w:eastAsia="Times New Roman" w:hAnsi="Arial" w:cs="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719C"/>
    <w:rPr>
      <w:rFonts w:ascii="Arial" w:eastAsia="Times New Roman" w:hAnsi="Arial" w:cs="Times New Roman"/>
      <w:sz w:val="28"/>
      <w:lang w:val="en-GB" w:eastAsia="x-none"/>
    </w:rPr>
  </w:style>
  <w:style w:type="paragraph" w:styleId="FootnoteText">
    <w:name w:val="footnote text"/>
    <w:basedOn w:val="Normal"/>
    <w:link w:val="FootnoteTextChar"/>
    <w:uiPriority w:val="99"/>
    <w:rsid w:val="0030719C"/>
    <w:rPr>
      <w:rFonts w:eastAsia="Times New Roman" w:cs="Times New Roman"/>
      <w:sz w:val="20"/>
      <w:szCs w:val="20"/>
      <w:lang w:eastAsia="x-none"/>
    </w:rPr>
  </w:style>
  <w:style w:type="character" w:customStyle="1" w:styleId="FootnoteTextChar">
    <w:name w:val="Footnote Text Char"/>
    <w:basedOn w:val="DefaultParagraphFont"/>
    <w:link w:val="FootnoteText"/>
    <w:uiPriority w:val="99"/>
    <w:rsid w:val="0030719C"/>
    <w:rPr>
      <w:rFonts w:ascii="Times New Roman" w:eastAsia="Times New Roman" w:hAnsi="Times New Roman" w:cs="Times New Roman"/>
      <w:sz w:val="20"/>
      <w:szCs w:val="20"/>
      <w:lang w:val="en-GB" w:eastAsia="x-none"/>
    </w:rPr>
  </w:style>
  <w:style w:type="paragraph" w:styleId="CommentText">
    <w:name w:val="annotation text"/>
    <w:basedOn w:val="Normal"/>
    <w:link w:val="CommentTextChar"/>
    <w:uiPriority w:val="99"/>
    <w:semiHidden/>
    <w:unhideWhenUsed/>
    <w:rsid w:val="0030719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0719C"/>
    <w:rPr>
      <w:rFonts w:ascii="Times New Roman" w:eastAsia="Times New Roman" w:hAnsi="Times New Roman" w:cs="Times New Roman"/>
      <w:sz w:val="20"/>
      <w:szCs w:val="20"/>
      <w:lang w:val="en-GB"/>
    </w:rPr>
  </w:style>
  <w:style w:type="paragraph" w:styleId="Header">
    <w:name w:val="header"/>
    <w:basedOn w:val="Normal"/>
    <w:link w:val="HeaderChar"/>
    <w:rsid w:val="0030719C"/>
    <w:pPr>
      <w:tabs>
        <w:tab w:val="center" w:pos="4153"/>
        <w:tab w:val="right" w:pos="8306"/>
      </w:tabs>
    </w:pPr>
    <w:rPr>
      <w:rFonts w:eastAsia="Times New Roman" w:cs="Times New Roman"/>
      <w:lang w:eastAsia="x-none"/>
    </w:rPr>
  </w:style>
  <w:style w:type="character" w:customStyle="1" w:styleId="HeaderChar">
    <w:name w:val="Header Char"/>
    <w:basedOn w:val="DefaultParagraphFont"/>
    <w:link w:val="Header"/>
    <w:rsid w:val="0030719C"/>
    <w:rPr>
      <w:rFonts w:ascii="Times New Roman" w:eastAsia="Times New Roman" w:hAnsi="Times New Roman" w:cs="Times New Roman"/>
      <w:lang w:val="en-GB" w:eastAsia="x-none"/>
    </w:rPr>
  </w:style>
  <w:style w:type="character" w:styleId="FootnoteReference">
    <w:name w:val="footnote reference"/>
    <w:uiPriority w:val="99"/>
    <w:semiHidden/>
    <w:rsid w:val="0030719C"/>
    <w:rPr>
      <w:vertAlign w:val="superscript"/>
    </w:rPr>
  </w:style>
  <w:style w:type="character" w:styleId="CommentReference">
    <w:name w:val="annotation reference"/>
    <w:basedOn w:val="DefaultParagraphFont"/>
    <w:uiPriority w:val="99"/>
    <w:semiHidden/>
    <w:unhideWhenUsed/>
    <w:rsid w:val="0030719C"/>
    <w:rPr>
      <w:sz w:val="16"/>
      <w:szCs w:val="16"/>
    </w:rPr>
  </w:style>
  <w:style w:type="character" w:styleId="PageNumber">
    <w:name w:val="page number"/>
    <w:basedOn w:val="DefaultParagraphFont"/>
    <w:rsid w:val="0030719C"/>
  </w:style>
  <w:style w:type="paragraph" w:styleId="BodyText">
    <w:name w:val="Body Text"/>
    <w:basedOn w:val="Normal"/>
    <w:link w:val="BodyTextChar"/>
    <w:rsid w:val="0030719C"/>
    <w:pPr>
      <w:jc w:val="center"/>
    </w:pPr>
    <w:rPr>
      <w:rFonts w:eastAsia="Times New Roman" w:cs="Times New Roman"/>
      <w:lang w:eastAsia="x-none"/>
    </w:rPr>
  </w:style>
  <w:style w:type="character" w:customStyle="1" w:styleId="BodyTextChar">
    <w:name w:val="Body Text Char"/>
    <w:basedOn w:val="DefaultParagraphFont"/>
    <w:link w:val="BodyText"/>
    <w:rsid w:val="0030719C"/>
    <w:rPr>
      <w:rFonts w:ascii="Times New Roman" w:eastAsia="Times New Roman" w:hAnsi="Times New Roman" w:cs="Times New Roman"/>
      <w:lang w:val="en-GB" w:eastAsia="x-none"/>
    </w:rPr>
  </w:style>
  <w:style w:type="character" w:styleId="Hyperlink">
    <w:name w:val="Hyperlink"/>
    <w:rsid w:val="0030719C"/>
    <w:rPr>
      <w:color w:val="0000FF"/>
      <w:u w:val="single"/>
    </w:rPr>
  </w:style>
  <w:style w:type="character" w:styleId="FollowedHyperlink">
    <w:name w:val="FollowedHyperlink"/>
    <w:basedOn w:val="DefaultParagraphFont"/>
    <w:uiPriority w:val="99"/>
    <w:semiHidden/>
    <w:unhideWhenUsed/>
    <w:rsid w:val="003071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719C"/>
    <w:rPr>
      <w:b/>
      <w:bCs/>
    </w:rPr>
  </w:style>
  <w:style w:type="character" w:customStyle="1" w:styleId="CommentSubjectChar">
    <w:name w:val="Comment Subject Char"/>
    <w:basedOn w:val="CommentTextChar"/>
    <w:link w:val="CommentSubject"/>
    <w:uiPriority w:val="99"/>
    <w:semiHidden/>
    <w:rsid w:val="0030719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0719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19C"/>
    <w:rPr>
      <w:rFonts w:ascii="Segoe UI" w:eastAsia="Times New Roman" w:hAnsi="Segoe UI" w:cs="Segoe UI"/>
      <w:sz w:val="18"/>
      <w:szCs w:val="18"/>
      <w:lang w:val="en-GB"/>
    </w:rPr>
  </w:style>
  <w:style w:type="paragraph" w:styleId="ListParagraph">
    <w:name w:val="List Paragraph"/>
    <w:basedOn w:val="Normal"/>
    <w:uiPriority w:val="34"/>
    <w:qFormat/>
    <w:rsid w:val="0030719C"/>
    <w:pPr>
      <w:adjustRightInd w:val="0"/>
      <w:spacing w:before="120"/>
      <w:ind w:left="720"/>
      <w:contextualSpacing/>
      <w:mirrorIndents/>
    </w:pPr>
    <w:rPr>
      <w:rFonts w:ascii="Arial" w:eastAsia="Calibri" w:hAnsi="Arial" w:cs="Times New Roman (Body 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4270">
      <w:bodyDiv w:val="1"/>
      <w:marLeft w:val="0"/>
      <w:marRight w:val="0"/>
      <w:marTop w:val="0"/>
      <w:marBottom w:val="0"/>
      <w:divBdr>
        <w:top w:val="none" w:sz="0" w:space="0" w:color="auto"/>
        <w:left w:val="none" w:sz="0" w:space="0" w:color="auto"/>
        <w:bottom w:val="none" w:sz="0" w:space="0" w:color="auto"/>
        <w:right w:val="none" w:sz="0" w:space="0" w:color="auto"/>
      </w:divBdr>
    </w:div>
    <w:div w:id="571086025">
      <w:bodyDiv w:val="1"/>
      <w:marLeft w:val="0"/>
      <w:marRight w:val="0"/>
      <w:marTop w:val="0"/>
      <w:marBottom w:val="0"/>
      <w:divBdr>
        <w:top w:val="none" w:sz="0" w:space="0" w:color="auto"/>
        <w:left w:val="none" w:sz="0" w:space="0" w:color="auto"/>
        <w:bottom w:val="none" w:sz="0" w:space="0" w:color="auto"/>
        <w:right w:val="none" w:sz="0" w:space="0" w:color="auto"/>
      </w:divBdr>
    </w:div>
    <w:div w:id="1176841825">
      <w:bodyDiv w:val="1"/>
      <w:marLeft w:val="0"/>
      <w:marRight w:val="0"/>
      <w:marTop w:val="0"/>
      <w:marBottom w:val="0"/>
      <w:divBdr>
        <w:top w:val="none" w:sz="0" w:space="0" w:color="auto"/>
        <w:left w:val="none" w:sz="0" w:space="0" w:color="auto"/>
        <w:bottom w:val="none" w:sz="0" w:space="0" w:color="auto"/>
        <w:right w:val="none" w:sz="0" w:space="0" w:color="auto"/>
      </w:divBdr>
    </w:div>
    <w:div w:id="20085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DBB6-D5BA-4515-81A8-37596F7D3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1FA262-7508-4329-9633-3B39563633C5}">
  <ds:schemaRefs>
    <ds:schemaRef ds:uri="http://schemas.microsoft.com/sharepoint/v3/contenttype/forms"/>
  </ds:schemaRefs>
</ds:datastoreItem>
</file>

<file path=customXml/itemProps3.xml><?xml version="1.0" encoding="utf-8"?>
<ds:datastoreItem xmlns:ds="http://schemas.openxmlformats.org/officeDocument/2006/customXml" ds:itemID="{5FCC7FC9-8757-4EFC-938B-323A42CD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1AF72-BD81-4F9E-BA1E-ED26314F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Judge-Denise Fisher</dc:creator>
  <cp:keywords/>
  <dc:description/>
  <cp:lastModifiedBy>Sathish</cp:lastModifiedBy>
  <cp:revision>3</cp:revision>
  <cp:lastPrinted>2024-01-21T19:22:00Z</cp:lastPrinted>
  <dcterms:created xsi:type="dcterms:W3CDTF">2024-01-22T12:09:00Z</dcterms:created>
  <dcterms:modified xsi:type="dcterms:W3CDTF">2024-01-22T17:43:00Z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