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1342" w14:textId="77777777" w:rsidR="00427125" w:rsidRDefault="00427125" w:rsidP="00427125">
      <w:pPr>
        <w:jc w:val="center"/>
        <w:rPr>
          <w:rFonts w:ascii="Arial" w:hAnsi="Arial" w:cs="Arial"/>
          <w:b/>
          <w:bCs/>
          <w:sz w:val="24"/>
          <w:szCs w:val="24"/>
        </w:rPr>
      </w:pPr>
    </w:p>
    <w:p w14:paraId="00709AC8" w14:textId="77777777" w:rsidR="00427125" w:rsidRDefault="00427125" w:rsidP="00427125">
      <w:pPr>
        <w:jc w:val="center"/>
        <w:rPr>
          <w:rFonts w:ascii="Arial" w:hAnsi="Arial" w:cs="Arial"/>
          <w:b/>
          <w:bCs/>
          <w:sz w:val="24"/>
          <w:szCs w:val="24"/>
        </w:rPr>
      </w:pPr>
      <w:r>
        <w:rPr>
          <w:rFonts w:ascii="Arial" w:eastAsia="SimSun" w:hAnsi="Arial" w:cs="Arial"/>
          <w:b/>
          <w:noProof/>
          <w:sz w:val="24"/>
          <w:szCs w:val="24"/>
          <w:lang w:eastAsia="en-ZA"/>
        </w:rPr>
        <w:drawing>
          <wp:inline distT="0" distB="0" distL="0" distR="0" wp14:anchorId="401D0A03" wp14:editId="3515ED48">
            <wp:extent cx="1362075" cy="1362075"/>
            <wp:effectExtent l="0" t="0" r="9525" b="9525"/>
            <wp:docPr id="3" name="Picture 3"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D117DD.262030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2C07D4A0" w14:textId="77777777" w:rsidR="00427125" w:rsidRPr="00427125" w:rsidRDefault="00427125" w:rsidP="00427125">
      <w:pPr>
        <w:jc w:val="center"/>
        <w:rPr>
          <w:rFonts w:ascii="Times New Roman" w:hAnsi="Times New Roman" w:cs="Times New Roman"/>
          <w:b/>
          <w:bCs/>
          <w:sz w:val="28"/>
          <w:szCs w:val="28"/>
        </w:rPr>
      </w:pPr>
      <w:r w:rsidRPr="00427125">
        <w:rPr>
          <w:rFonts w:ascii="Times New Roman" w:hAnsi="Times New Roman" w:cs="Times New Roman"/>
          <w:b/>
          <w:bCs/>
          <w:sz w:val="28"/>
          <w:szCs w:val="28"/>
        </w:rPr>
        <w:t>IN THE HIGH COURT OF SOUTH AFRICA</w:t>
      </w:r>
    </w:p>
    <w:p w14:paraId="4374CC20" w14:textId="562E3D1F" w:rsidR="00427125" w:rsidRPr="00427125" w:rsidRDefault="00427125" w:rsidP="00427125">
      <w:pPr>
        <w:jc w:val="center"/>
        <w:rPr>
          <w:rFonts w:ascii="Arial" w:hAnsi="Arial" w:cs="Arial"/>
          <w:b/>
          <w:bCs/>
          <w:sz w:val="28"/>
          <w:szCs w:val="28"/>
        </w:rPr>
      </w:pPr>
      <w:r w:rsidRPr="00427125">
        <w:rPr>
          <w:rFonts w:ascii="Times New Roman" w:hAnsi="Times New Roman" w:cs="Times New Roman"/>
          <w:b/>
          <w:bCs/>
          <w:sz w:val="28"/>
          <w:szCs w:val="28"/>
        </w:rPr>
        <w:t>(GAUTENG DIVISION, JOHANNESBURG</w:t>
      </w:r>
      <w:r w:rsidRPr="00427125">
        <w:rPr>
          <w:rFonts w:ascii="Arial" w:hAnsi="Arial" w:cs="Arial"/>
          <w:b/>
          <w:bCs/>
          <w:sz w:val="28"/>
          <w:szCs w:val="28"/>
        </w:rPr>
        <w:t>)</w:t>
      </w:r>
    </w:p>
    <w:p w14:paraId="72C7C4D5" w14:textId="51D62FBC" w:rsidR="00427125" w:rsidRPr="002218A1" w:rsidRDefault="00780E41" w:rsidP="00FB2FA0">
      <w:pPr>
        <w:ind w:left="5760" w:firstLine="720"/>
        <w:jc w:val="center"/>
        <w:rPr>
          <w:rFonts w:ascii="Times New Roman" w:hAnsi="Times New Roman" w:cs="Times New Roman"/>
          <w:b/>
          <w:bCs/>
          <w:sz w:val="24"/>
          <w:szCs w:val="24"/>
        </w:rPr>
      </w:pPr>
      <w:r>
        <w:rPr>
          <w:noProof/>
          <w:lang w:eastAsia="en-ZA"/>
        </w:rPr>
        <mc:AlternateContent>
          <mc:Choice Requires="wps">
            <w:drawing>
              <wp:anchor distT="0" distB="0" distL="114300" distR="114300" simplePos="0" relativeHeight="251658242" behindDoc="0" locked="0" layoutInCell="1" allowOverlap="1" wp14:anchorId="71B66FF7" wp14:editId="3D0E78DE">
                <wp:simplePos x="0" y="0"/>
                <wp:positionH relativeFrom="column">
                  <wp:posOffset>-577850</wp:posOffset>
                </wp:positionH>
                <wp:positionV relativeFrom="paragraph">
                  <wp:posOffset>105410</wp:posOffset>
                </wp:positionV>
                <wp:extent cx="3194050" cy="1504950"/>
                <wp:effectExtent l="0" t="0" r="25400" b="19050"/>
                <wp:wrapNone/>
                <wp:docPr id="87440648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4050" cy="1504950"/>
                        </a:xfrm>
                        <a:prstGeom prst="rect">
                          <a:avLst/>
                        </a:prstGeom>
                        <a:solidFill>
                          <a:schemeClr val="lt1"/>
                        </a:solidFill>
                        <a:ln w="6350">
                          <a:solidFill>
                            <a:prstClr val="black"/>
                          </a:solidFill>
                        </a:ln>
                      </wps:spPr>
                      <wps:txbx>
                        <w:txbxContent>
                          <w:p w14:paraId="633DF46D" w14:textId="77777777" w:rsidR="00427125" w:rsidRPr="00AF6DD3" w:rsidRDefault="00427125" w:rsidP="006147C1">
                            <w:pPr>
                              <w:spacing w:after="0" w:line="240" w:lineRule="auto"/>
                              <w:ind w:left="14"/>
                              <w:rPr>
                                <w:rFonts w:ascii="Times New Roman" w:eastAsia="Times New Roman" w:hAnsi="Times New Roman" w:cs="Times New Roman"/>
                                <w:color w:val="000000"/>
                                <w:kern w:val="0"/>
                                <w:sz w:val="26"/>
                                <w:lang w:eastAsia="en-ZA"/>
                                <w14:ligatures w14:val="none"/>
                              </w:rPr>
                            </w:pPr>
                            <w:r w:rsidRPr="00AF6DD3">
                              <w:rPr>
                                <w:rFonts w:ascii="Times New Roman" w:eastAsia="Times New Roman" w:hAnsi="Times New Roman" w:cs="Times New Roman"/>
                                <w:color w:val="000000"/>
                                <w:kern w:val="0"/>
                                <w:sz w:val="20"/>
                                <w:lang w:eastAsia="en-ZA"/>
                                <w14:ligatures w14:val="none"/>
                              </w:rPr>
                              <w:t xml:space="preserve">         DELETE WHICHEVER IS NOT APPLICABLE</w:t>
                            </w:r>
                          </w:p>
                          <w:p w14:paraId="5AD6E0EC" w14:textId="033CC0CA" w:rsidR="00427125" w:rsidRPr="00AF6DD3" w:rsidRDefault="009862B9" w:rsidP="009862B9">
                            <w:pPr>
                              <w:spacing w:after="0" w:line="240" w:lineRule="auto"/>
                              <w:ind w:left="447" w:right="38" w:hanging="851"/>
                              <w:jc w:val="both"/>
                              <w:rPr>
                                <w:rFonts w:ascii="Times New Roman" w:eastAsia="Times New Roman" w:hAnsi="Times New Roman" w:cs="Times New Roman"/>
                                <w:color w:val="000000"/>
                                <w:kern w:val="0"/>
                                <w:sz w:val="26"/>
                                <w:lang w:eastAsia="en-ZA"/>
                                <w14:ligatures w14:val="none"/>
                              </w:rPr>
                            </w:pPr>
                            <w:r w:rsidRPr="00AF6DD3">
                              <w:rPr>
                                <w:rFonts w:ascii="Times New Roman" w:eastAsia="Times New Roman" w:hAnsi="Times New Roman" w:cs="Times New Roman"/>
                                <w:color w:val="000000"/>
                                <w:kern w:val="0"/>
                                <w:sz w:val="24"/>
                                <w:szCs w:val="24"/>
                                <w:u w:color="000000"/>
                                <w:lang w:eastAsia="en-ZA"/>
                                <w14:ligatures w14:val="none"/>
                              </w:rPr>
                              <w:t>(1)</w:t>
                            </w:r>
                            <w:r w:rsidRPr="00AF6DD3">
                              <w:rPr>
                                <w:rFonts w:ascii="Times New Roman" w:eastAsia="Times New Roman" w:hAnsi="Times New Roman" w:cs="Times New Roman"/>
                                <w:color w:val="000000"/>
                                <w:kern w:val="0"/>
                                <w:sz w:val="24"/>
                                <w:szCs w:val="24"/>
                                <w:u w:color="000000"/>
                                <w:lang w:eastAsia="en-ZA"/>
                                <w14:ligatures w14:val="none"/>
                              </w:rPr>
                              <w:tab/>
                            </w:r>
                            <w:r w:rsidR="00427125" w:rsidRPr="00AF6DD3">
                              <w:rPr>
                                <w:rFonts w:ascii="Times New Roman" w:eastAsia="Times New Roman" w:hAnsi="Times New Roman" w:cs="Times New Roman"/>
                                <w:color w:val="000000"/>
                                <w:kern w:val="0"/>
                                <w:lang w:eastAsia="en-ZA"/>
                                <w14:ligatures w14:val="none"/>
                              </w:rPr>
                              <w:t>REPORTABLE: NO</w:t>
                            </w:r>
                          </w:p>
                          <w:p w14:paraId="007FAA16" w14:textId="6A20B13F" w:rsidR="00427125" w:rsidRPr="00AF6DD3" w:rsidRDefault="009862B9" w:rsidP="009862B9">
                            <w:pPr>
                              <w:spacing w:after="0" w:line="240" w:lineRule="auto"/>
                              <w:ind w:left="447" w:right="38" w:hanging="851"/>
                              <w:jc w:val="both"/>
                              <w:rPr>
                                <w:rFonts w:ascii="Times New Roman" w:eastAsia="Times New Roman" w:hAnsi="Times New Roman" w:cs="Times New Roman"/>
                                <w:color w:val="000000"/>
                                <w:kern w:val="0"/>
                                <w:lang w:eastAsia="en-ZA"/>
                                <w14:ligatures w14:val="none"/>
                              </w:rPr>
                            </w:pPr>
                            <w:r w:rsidRPr="00AF6DD3">
                              <w:rPr>
                                <w:rFonts w:ascii="Times New Roman" w:eastAsia="Times New Roman" w:hAnsi="Times New Roman" w:cs="Times New Roman"/>
                                <w:color w:val="000000"/>
                                <w:kern w:val="0"/>
                                <w:sz w:val="24"/>
                                <w:szCs w:val="24"/>
                                <w:u w:color="000000"/>
                                <w:lang w:eastAsia="en-ZA"/>
                                <w14:ligatures w14:val="none"/>
                              </w:rPr>
                              <w:t>(2)</w:t>
                            </w:r>
                            <w:r w:rsidRPr="00AF6DD3">
                              <w:rPr>
                                <w:rFonts w:ascii="Times New Roman" w:eastAsia="Times New Roman" w:hAnsi="Times New Roman" w:cs="Times New Roman"/>
                                <w:color w:val="000000"/>
                                <w:kern w:val="0"/>
                                <w:sz w:val="24"/>
                                <w:szCs w:val="24"/>
                                <w:u w:color="000000"/>
                                <w:lang w:eastAsia="en-ZA"/>
                                <w14:ligatures w14:val="none"/>
                              </w:rPr>
                              <w:tab/>
                            </w:r>
                            <w:r w:rsidR="00427125" w:rsidRPr="00AF6DD3">
                              <w:rPr>
                                <w:rFonts w:ascii="Times New Roman" w:eastAsia="Times New Roman" w:hAnsi="Times New Roman" w:cs="Times New Roman"/>
                                <w:color w:val="000000"/>
                                <w:kern w:val="0"/>
                                <w:lang w:eastAsia="en-ZA"/>
                                <w14:ligatures w14:val="none"/>
                              </w:rPr>
                              <w:t>OF INTEREST TO OTHER JUDGES: NO</w:t>
                            </w:r>
                          </w:p>
                          <w:p w14:paraId="3CACB422" w14:textId="74D352E9" w:rsidR="00427125" w:rsidRDefault="009862B9" w:rsidP="009862B9">
                            <w:pPr>
                              <w:spacing w:after="231" w:line="240" w:lineRule="auto"/>
                              <w:ind w:left="447" w:right="38" w:hanging="851"/>
                              <w:jc w:val="both"/>
                              <w:rPr>
                                <w:rFonts w:ascii="Times New Roman" w:eastAsia="Times New Roman" w:hAnsi="Times New Roman" w:cs="Times New Roman"/>
                                <w:color w:val="000000"/>
                                <w:kern w:val="0"/>
                                <w:lang w:eastAsia="en-ZA"/>
                                <w14:ligatures w14:val="none"/>
                              </w:rPr>
                            </w:pPr>
                            <w:r>
                              <w:rPr>
                                <w:rFonts w:ascii="Times New Roman" w:eastAsia="Times New Roman" w:hAnsi="Times New Roman" w:cs="Times New Roman"/>
                                <w:color w:val="000000"/>
                                <w:kern w:val="0"/>
                                <w:sz w:val="24"/>
                                <w:szCs w:val="24"/>
                                <w:u w:color="000000"/>
                                <w:lang w:eastAsia="en-ZA"/>
                                <w14:ligatures w14:val="none"/>
                              </w:rPr>
                              <w:t>(3)</w:t>
                            </w:r>
                            <w:r>
                              <w:rPr>
                                <w:rFonts w:ascii="Times New Roman" w:eastAsia="Times New Roman" w:hAnsi="Times New Roman" w:cs="Times New Roman"/>
                                <w:color w:val="000000"/>
                                <w:kern w:val="0"/>
                                <w:sz w:val="24"/>
                                <w:szCs w:val="24"/>
                                <w:u w:color="000000"/>
                                <w:lang w:eastAsia="en-ZA"/>
                                <w14:ligatures w14:val="none"/>
                              </w:rPr>
                              <w:tab/>
                            </w:r>
                            <w:r w:rsidR="00427125" w:rsidRPr="00AF6DD3">
                              <w:rPr>
                                <w:rFonts w:ascii="Times New Roman" w:eastAsia="Times New Roman" w:hAnsi="Times New Roman" w:cs="Times New Roman"/>
                                <w:color w:val="000000"/>
                                <w:kern w:val="0"/>
                                <w:lang w:eastAsia="en-ZA"/>
                                <w14:ligatures w14:val="none"/>
                              </w:rPr>
                              <w:t>REVISED</w:t>
                            </w:r>
                          </w:p>
                          <w:p w14:paraId="6AEE827E" w14:textId="6ED4CD42" w:rsidR="006147C1" w:rsidRDefault="009862B9" w:rsidP="009862B9">
                            <w:pPr>
                              <w:spacing w:after="231" w:line="240" w:lineRule="auto"/>
                              <w:ind w:left="447" w:right="38" w:hanging="851"/>
                              <w:jc w:val="both"/>
                              <w:rPr>
                                <w:rFonts w:ascii="Times New Roman" w:eastAsia="Times New Roman" w:hAnsi="Times New Roman" w:cs="Times New Roman"/>
                                <w:color w:val="000000"/>
                                <w:kern w:val="0"/>
                                <w:lang w:eastAsia="en-ZA"/>
                                <w14:ligatures w14:val="none"/>
                              </w:rPr>
                            </w:pPr>
                            <w:r>
                              <w:rPr>
                                <w:rFonts w:ascii="Times New Roman" w:eastAsia="Times New Roman" w:hAnsi="Times New Roman" w:cs="Times New Roman"/>
                                <w:color w:val="000000"/>
                                <w:kern w:val="0"/>
                                <w:sz w:val="24"/>
                                <w:szCs w:val="24"/>
                                <w:u w:color="000000"/>
                                <w:lang w:eastAsia="en-ZA"/>
                                <w14:ligatures w14:val="none"/>
                              </w:rPr>
                              <w:t>(4)</w:t>
                            </w:r>
                            <w:r>
                              <w:rPr>
                                <w:rFonts w:ascii="Times New Roman" w:eastAsia="Times New Roman" w:hAnsi="Times New Roman" w:cs="Times New Roman"/>
                                <w:color w:val="000000"/>
                                <w:kern w:val="0"/>
                                <w:sz w:val="24"/>
                                <w:szCs w:val="24"/>
                                <w:u w:color="000000"/>
                                <w:lang w:eastAsia="en-ZA"/>
                                <w14:ligatures w14:val="none"/>
                              </w:rPr>
                              <w:tab/>
                            </w:r>
                            <w:r w:rsidR="006147C1">
                              <w:rPr>
                                <w:rFonts w:ascii="Times New Roman" w:eastAsia="Times New Roman" w:hAnsi="Times New Roman" w:cs="Times New Roman"/>
                                <w:color w:val="000000"/>
                                <w:kern w:val="0"/>
                                <w:lang w:eastAsia="en-ZA"/>
                                <w14:ligatures w14:val="none"/>
                              </w:rPr>
                              <w:t>23 January 2024</w:t>
                            </w:r>
                          </w:p>
                          <w:p w14:paraId="07E07706" w14:textId="3CD5C621" w:rsidR="00427125" w:rsidRPr="006147C1" w:rsidRDefault="00427125" w:rsidP="00D02D25">
                            <w:pPr>
                              <w:spacing w:after="0"/>
                              <w:ind w:right="104"/>
                              <w:rPr>
                                <w:sz w:val="20"/>
                                <w:szCs w:val="20"/>
                              </w:rPr>
                            </w:pPr>
                            <w:r w:rsidRPr="006147C1">
                              <w:rPr>
                                <w:rFonts w:ascii="Times New Roman" w:eastAsia="Calibri" w:hAnsi="Times New Roman" w:cs="Times New Roman"/>
                                <w:color w:val="000000"/>
                                <w:kern w:val="0"/>
                                <w:sz w:val="20"/>
                                <w:szCs w:val="20"/>
                                <w:lang w:eastAsia="en-ZA"/>
                                <w14:ligatures w14:val="none"/>
                              </w:rPr>
                              <w:t xml:space="preserve">       </w:t>
                            </w:r>
                            <w:r w:rsidRPr="006147C1">
                              <w:rPr>
                                <w:rFonts w:ascii="Times New Roman" w:eastAsia="Times New Roman" w:hAnsi="Times New Roman" w:cs="Times New Roman"/>
                                <w:color w:val="000000"/>
                                <w:kern w:val="0"/>
                                <w:sz w:val="20"/>
                                <w:szCs w:val="20"/>
                                <w:lang w:eastAsia="en-ZA"/>
                                <w14:ligatures w14:val="none"/>
                              </w:rPr>
                              <w:t>DATE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66FF7" id="_x0000_t202" coordsize="21600,21600" o:spt="202" path="m,l,21600r21600,l21600,xe">
                <v:stroke joinstyle="miter"/>
                <v:path gradientshapeok="t" o:connecttype="rect"/>
              </v:shapetype>
              <v:shape id="Text Box 3" o:spid="_x0000_s1026" type="#_x0000_t202" style="position:absolute;left:0;text-align:left;margin-left:-45.5pt;margin-top:8.3pt;width:251.5pt;height:11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" fillcolor="white [3201]" strokeweight=".5pt">
                <v:path arrowok="t"/>
                <v:textbox>
                  <w:txbxContent>
                    <w:p w14:paraId="633DF46D" w14:textId="77777777" w:rsidR="00427125" w:rsidRPr="00AF6DD3" w:rsidRDefault="00427125" w:rsidP="006147C1">
                      <w:pPr>
                        <w:spacing w:after="0" w:line="240" w:lineRule="auto"/>
                        <w:ind w:left="14"/>
                        <w:rPr>
                          <w:rFonts w:ascii="Times New Roman" w:eastAsia="Times New Roman" w:hAnsi="Times New Roman" w:cs="Times New Roman"/>
                          <w:color w:val="000000"/>
                          <w:kern w:val="0"/>
                          <w:sz w:val="26"/>
                          <w:lang w:eastAsia="en-ZA"/>
                          <w14:ligatures w14:val="none"/>
                        </w:rPr>
                      </w:pPr>
                      <w:r w:rsidRPr="00AF6DD3">
                        <w:rPr>
                          <w:rFonts w:ascii="Times New Roman" w:eastAsia="Times New Roman" w:hAnsi="Times New Roman" w:cs="Times New Roman"/>
                          <w:color w:val="000000"/>
                          <w:kern w:val="0"/>
                          <w:sz w:val="20"/>
                          <w:lang w:eastAsia="en-ZA"/>
                          <w14:ligatures w14:val="none"/>
                        </w:rPr>
                        <w:t xml:space="preserve">         DELETE WHICHEVER IS NOT APPLICABLE</w:t>
                      </w:r>
                    </w:p>
                    <w:p w14:paraId="5AD6E0EC" w14:textId="033CC0CA" w:rsidR="00427125" w:rsidRPr="00AF6DD3" w:rsidRDefault="009862B9" w:rsidP="009862B9">
                      <w:pPr>
                        <w:spacing w:after="0" w:line="240" w:lineRule="auto"/>
                        <w:ind w:left="447" w:right="38" w:hanging="851"/>
                        <w:jc w:val="both"/>
                        <w:rPr>
                          <w:rFonts w:ascii="Times New Roman" w:eastAsia="Times New Roman" w:hAnsi="Times New Roman" w:cs="Times New Roman"/>
                          <w:color w:val="000000"/>
                          <w:kern w:val="0"/>
                          <w:sz w:val="26"/>
                          <w:lang w:eastAsia="en-ZA"/>
                          <w14:ligatures w14:val="none"/>
                        </w:rPr>
                      </w:pPr>
                      <w:r w:rsidRPr="00AF6DD3">
                        <w:rPr>
                          <w:rFonts w:ascii="Times New Roman" w:eastAsia="Times New Roman" w:hAnsi="Times New Roman" w:cs="Times New Roman"/>
                          <w:color w:val="000000"/>
                          <w:kern w:val="0"/>
                          <w:sz w:val="24"/>
                          <w:szCs w:val="24"/>
                          <w:u w:color="000000"/>
                          <w:lang w:eastAsia="en-ZA"/>
                          <w14:ligatures w14:val="none"/>
                        </w:rPr>
                        <w:t>(1)</w:t>
                      </w:r>
                      <w:r w:rsidRPr="00AF6DD3">
                        <w:rPr>
                          <w:rFonts w:ascii="Times New Roman" w:eastAsia="Times New Roman" w:hAnsi="Times New Roman" w:cs="Times New Roman"/>
                          <w:color w:val="000000"/>
                          <w:kern w:val="0"/>
                          <w:sz w:val="24"/>
                          <w:szCs w:val="24"/>
                          <w:u w:color="000000"/>
                          <w:lang w:eastAsia="en-ZA"/>
                          <w14:ligatures w14:val="none"/>
                        </w:rPr>
                        <w:tab/>
                      </w:r>
                      <w:r w:rsidR="00427125" w:rsidRPr="00AF6DD3">
                        <w:rPr>
                          <w:rFonts w:ascii="Times New Roman" w:eastAsia="Times New Roman" w:hAnsi="Times New Roman" w:cs="Times New Roman"/>
                          <w:color w:val="000000"/>
                          <w:kern w:val="0"/>
                          <w:lang w:eastAsia="en-ZA"/>
                          <w14:ligatures w14:val="none"/>
                        </w:rPr>
                        <w:t>REPORTABLE: NO</w:t>
                      </w:r>
                    </w:p>
                    <w:p w14:paraId="007FAA16" w14:textId="6A20B13F" w:rsidR="00427125" w:rsidRPr="00AF6DD3" w:rsidRDefault="009862B9" w:rsidP="009862B9">
                      <w:pPr>
                        <w:spacing w:after="0" w:line="240" w:lineRule="auto"/>
                        <w:ind w:left="447" w:right="38" w:hanging="851"/>
                        <w:jc w:val="both"/>
                        <w:rPr>
                          <w:rFonts w:ascii="Times New Roman" w:eastAsia="Times New Roman" w:hAnsi="Times New Roman" w:cs="Times New Roman"/>
                          <w:color w:val="000000"/>
                          <w:kern w:val="0"/>
                          <w:lang w:eastAsia="en-ZA"/>
                          <w14:ligatures w14:val="none"/>
                        </w:rPr>
                      </w:pPr>
                      <w:r w:rsidRPr="00AF6DD3">
                        <w:rPr>
                          <w:rFonts w:ascii="Times New Roman" w:eastAsia="Times New Roman" w:hAnsi="Times New Roman" w:cs="Times New Roman"/>
                          <w:color w:val="000000"/>
                          <w:kern w:val="0"/>
                          <w:sz w:val="24"/>
                          <w:szCs w:val="24"/>
                          <w:u w:color="000000"/>
                          <w:lang w:eastAsia="en-ZA"/>
                          <w14:ligatures w14:val="none"/>
                        </w:rPr>
                        <w:t>(2)</w:t>
                      </w:r>
                      <w:r w:rsidRPr="00AF6DD3">
                        <w:rPr>
                          <w:rFonts w:ascii="Times New Roman" w:eastAsia="Times New Roman" w:hAnsi="Times New Roman" w:cs="Times New Roman"/>
                          <w:color w:val="000000"/>
                          <w:kern w:val="0"/>
                          <w:sz w:val="24"/>
                          <w:szCs w:val="24"/>
                          <w:u w:color="000000"/>
                          <w:lang w:eastAsia="en-ZA"/>
                          <w14:ligatures w14:val="none"/>
                        </w:rPr>
                        <w:tab/>
                      </w:r>
                      <w:r w:rsidR="00427125" w:rsidRPr="00AF6DD3">
                        <w:rPr>
                          <w:rFonts w:ascii="Times New Roman" w:eastAsia="Times New Roman" w:hAnsi="Times New Roman" w:cs="Times New Roman"/>
                          <w:color w:val="000000"/>
                          <w:kern w:val="0"/>
                          <w:lang w:eastAsia="en-ZA"/>
                          <w14:ligatures w14:val="none"/>
                        </w:rPr>
                        <w:t>OF INTEREST TO OTHER JUDGES: NO</w:t>
                      </w:r>
                    </w:p>
                    <w:p w14:paraId="3CACB422" w14:textId="74D352E9" w:rsidR="00427125" w:rsidRDefault="009862B9" w:rsidP="009862B9">
                      <w:pPr>
                        <w:spacing w:after="231" w:line="240" w:lineRule="auto"/>
                        <w:ind w:left="447" w:right="38" w:hanging="851"/>
                        <w:jc w:val="both"/>
                        <w:rPr>
                          <w:rFonts w:ascii="Times New Roman" w:eastAsia="Times New Roman" w:hAnsi="Times New Roman" w:cs="Times New Roman"/>
                          <w:color w:val="000000"/>
                          <w:kern w:val="0"/>
                          <w:lang w:eastAsia="en-ZA"/>
                          <w14:ligatures w14:val="none"/>
                        </w:rPr>
                      </w:pPr>
                      <w:r>
                        <w:rPr>
                          <w:rFonts w:ascii="Times New Roman" w:eastAsia="Times New Roman" w:hAnsi="Times New Roman" w:cs="Times New Roman"/>
                          <w:color w:val="000000"/>
                          <w:kern w:val="0"/>
                          <w:sz w:val="24"/>
                          <w:szCs w:val="24"/>
                          <w:u w:color="000000"/>
                          <w:lang w:eastAsia="en-ZA"/>
                          <w14:ligatures w14:val="none"/>
                        </w:rPr>
                        <w:t>(3)</w:t>
                      </w:r>
                      <w:r>
                        <w:rPr>
                          <w:rFonts w:ascii="Times New Roman" w:eastAsia="Times New Roman" w:hAnsi="Times New Roman" w:cs="Times New Roman"/>
                          <w:color w:val="000000"/>
                          <w:kern w:val="0"/>
                          <w:sz w:val="24"/>
                          <w:szCs w:val="24"/>
                          <w:u w:color="000000"/>
                          <w:lang w:eastAsia="en-ZA"/>
                          <w14:ligatures w14:val="none"/>
                        </w:rPr>
                        <w:tab/>
                      </w:r>
                      <w:r w:rsidR="00427125" w:rsidRPr="00AF6DD3">
                        <w:rPr>
                          <w:rFonts w:ascii="Times New Roman" w:eastAsia="Times New Roman" w:hAnsi="Times New Roman" w:cs="Times New Roman"/>
                          <w:color w:val="000000"/>
                          <w:kern w:val="0"/>
                          <w:lang w:eastAsia="en-ZA"/>
                          <w14:ligatures w14:val="none"/>
                        </w:rPr>
                        <w:t>REVISED</w:t>
                      </w:r>
                    </w:p>
                    <w:p w14:paraId="6AEE827E" w14:textId="6ED4CD42" w:rsidR="006147C1" w:rsidRDefault="009862B9" w:rsidP="009862B9">
                      <w:pPr>
                        <w:spacing w:after="231" w:line="240" w:lineRule="auto"/>
                        <w:ind w:left="447" w:right="38" w:hanging="851"/>
                        <w:jc w:val="both"/>
                        <w:rPr>
                          <w:rFonts w:ascii="Times New Roman" w:eastAsia="Times New Roman" w:hAnsi="Times New Roman" w:cs="Times New Roman"/>
                          <w:color w:val="000000"/>
                          <w:kern w:val="0"/>
                          <w:lang w:eastAsia="en-ZA"/>
                          <w14:ligatures w14:val="none"/>
                        </w:rPr>
                      </w:pPr>
                      <w:r>
                        <w:rPr>
                          <w:rFonts w:ascii="Times New Roman" w:eastAsia="Times New Roman" w:hAnsi="Times New Roman" w:cs="Times New Roman"/>
                          <w:color w:val="000000"/>
                          <w:kern w:val="0"/>
                          <w:sz w:val="24"/>
                          <w:szCs w:val="24"/>
                          <w:u w:color="000000"/>
                          <w:lang w:eastAsia="en-ZA"/>
                          <w14:ligatures w14:val="none"/>
                        </w:rPr>
                        <w:t>(4)</w:t>
                      </w:r>
                      <w:r>
                        <w:rPr>
                          <w:rFonts w:ascii="Times New Roman" w:eastAsia="Times New Roman" w:hAnsi="Times New Roman" w:cs="Times New Roman"/>
                          <w:color w:val="000000"/>
                          <w:kern w:val="0"/>
                          <w:sz w:val="24"/>
                          <w:szCs w:val="24"/>
                          <w:u w:color="000000"/>
                          <w:lang w:eastAsia="en-ZA"/>
                          <w14:ligatures w14:val="none"/>
                        </w:rPr>
                        <w:tab/>
                      </w:r>
                      <w:r w:rsidR="006147C1">
                        <w:rPr>
                          <w:rFonts w:ascii="Times New Roman" w:eastAsia="Times New Roman" w:hAnsi="Times New Roman" w:cs="Times New Roman"/>
                          <w:color w:val="000000"/>
                          <w:kern w:val="0"/>
                          <w:lang w:eastAsia="en-ZA"/>
                          <w14:ligatures w14:val="none"/>
                        </w:rPr>
                        <w:t>23 January 2024</w:t>
                      </w:r>
                    </w:p>
                    <w:p w14:paraId="07E07706" w14:textId="3CD5C621" w:rsidR="00427125" w:rsidRPr="006147C1" w:rsidRDefault="00427125" w:rsidP="00D02D25">
                      <w:pPr>
                        <w:spacing w:after="0"/>
                        <w:ind w:right="104"/>
                        <w:rPr>
                          <w:sz w:val="20"/>
                          <w:szCs w:val="20"/>
                        </w:rPr>
                      </w:pPr>
                      <w:r w:rsidRPr="006147C1">
                        <w:rPr>
                          <w:rFonts w:ascii="Times New Roman" w:eastAsia="Calibri" w:hAnsi="Times New Roman" w:cs="Times New Roman"/>
                          <w:color w:val="000000"/>
                          <w:kern w:val="0"/>
                          <w:sz w:val="20"/>
                          <w:szCs w:val="20"/>
                          <w:lang w:eastAsia="en-ZA"/>
                          <w14:ligatures w14:val="none"/>
                        </w:rPr>
                        <w:t xml:space="preserve">       </w:t>
                      </w:r>
                      <w:r w:rsidRPr="006147C1">
                        <w:rPr>
                          <w:rFonts w:ascii="Times New Roman" w:eastAsia="Times New Roman" w:hAnsi="Times New Roman" w:cs="Times New Roman"/>
                          <w:color w:val="000000"/>
                          <w:kern w:val="0"/>
                          <w:sz w:val="20"/>
                          <w:szCs w:val="20"/>
                          <w:lang w:eastAsia="en-ZA"/>
                          <w14:ligatures w14:val="none"/>
                        </w:rPr>
                        <w:t>DATE                                           SIGNATURE</w:t>
                      </w:r>
                    </w:p>
                  </w:txbxContent>
                </v:textbox>
              </v:shape>
            </w:pict>
          </mc:Fallback>
        </mc:AlternateContent>
      </w:r>
      <w:r w:rsidR="00427125" w:rsidRPr="00427125">
        <w:rPr>
          <w:rFonts w:ascii="Times New Roman" w:hAnsi="Times New Roman" w:cs="Times New Roman"/>
          <w:b/>
          <w:bCs/>
          <w:sz w:val="28"/>
          <w:szCs w:val="28"/>
        </w:rPr>
        <w:t>Case No</w:t>
      </w:r>
      <w:r w:rsidR="00427125" w:rsidRPr="002218A1">
        <w:rPr>
          <w:rFonts w:ascii="Times New Roman" w:hAnsi="Times New Roman" w:cs="Times New Roman"/>
          <w:b/>
          <w:bCs/>
          <w:sz w:val="24"/>
          <w:szCs w:val="24"/>
        </w:rPr>
        <w:t xml:space="preserve">: </w:t>
      </w:r>
      <w:r w:rsidR="00427125" w:rsidRPr="00427125">
        <w:rPr>
          <w:rFonts w:ascii="Times New Roman" w:hAnsi="Times New Roman" w:cs="Times New Roman"/>
          <w:b/>
          <w:bCs/>
          <w:color w:val="000000"/>
          <w:sz w:val="28"/>
          <w:szCs w:val="28"/>
        </w:rPr>
        <w:t>21/4131</w:t>
      </w:r>
    </w:p>
    <w:p w14:paraId="74D71E14" w14:textId="77777777" w:rsidR="00427125" w:rsidRPr="002218A1" w:rsidRDefault="00427125" w:rsidP="00427125">
      <w:pPr>
        <w:tabs>
          <w:tab w:val="left" w:pos="3680"/>
          <w:tab w:val="right" w:pos="9026"/>
        </w:tabs>
        <w:rPr>
          <w:rFonts w:ascii="Times New Roman" w:hAnsi="Times New Roman" w:cs="Times New Roman"/>
          <w:b/>
          <w:bCs/>
          <w:sz w:val="24"/>
          <w:szCs w:val="24"/>
        </w:rPr>
      </w:pPr>
      <w:r w:rsidRPr="002218A1">
        <w:rPr>
          <w:rFonts w:ascii="Times New Roman" w:hAnsi="Times New Roman" w:cs="Times New Roman"/>
          <w:b/>
          <w:bCs/>
          <w:sz w:val="24"/>
          <w:szCs w:val="24"/>
        </w:rPr>
        <w:tab/>
      </w:r>
      <w:r w:rsidRPr="002218A1">
        <w:rPr>
          <w:rFonts w:ascii="Times New Roman" w:hAnsi="Times New Roman" w:cs="Times New Roman"/>
          <w:b/>
          <w:bCs/>
          <w:sz w:val="24"/>
          <w:szCs w:val="24"/>
        </w:rPr>
        <w:tab/>
      </w:r>
    </w:p>
    <w:p w14:paraId="7BA9EB75" w14:textId="77777777" w:rsidR="00427125" w:rsidRPr="002218A1" w:rsidRDefault="00427125" w:rsidP="00427125">
      <w:pPr>
        <w:ind w:left="3600" w:firstLine="720"/>
        <w:rPr>
          <w:rFonts w:ascii="Times New Roman" w:hAnsi="Times New Roman" w:cs="Times New Roman"/>
          <w:b/>
          <w:bCs/>
          <w:sz w:val="24"/>
          <w:szCs w:val="24"/>
        </w:rPr>
      </w:pPr>
      <w:r w:rsidRPr="002218A1">
        <w:rPr>
          <w:rFonts w:ascii="Times New Roman" w:hAnsi="Times New Roman" w:cs="Times New Roman"/>
          <w:b/>
          <w:bCs/>
          <w:sz w:val="24"/>
          <w:szCs w:val="24"/>
        </w:rPr>
        <w:t xml:space="preserve"> </w:t>
      </w:r>
    </w:p>
    <w:p w14:paraId="40BAF3FF" w14:textId="77777777" w:rsidR="00427125" w:rsidRDefault="00427125" w:rsidP="00427125">
      <w:pPr>
        <w:jc w:val="right"/>
        <w:rPr>
          <w:rFonts w:ascii="Arial" w:hAnsi="Arial" w:cs="Arial"/>
          <w:b/>
          <w:bCs/>
          <w:sz w:val="24"/>
          <w:szCs w:val="24"/>
        </w:rPr>
      </w:pPr>
    </w:p>
    <w:p w14:paraId="5F2F474A" w14:textId="77777777" w:rsidR="00427125" w:rsidRDefault="00427125" w:rsidP="00427125">
      <w:pPr>
        <w:jc w:val="right"/>
        <w:rPr>
          <w:rFonts w:ascii="Arial" w:hAnsi="Arial" w:cs="Arial"/>
          <w:b/>
          <w:bCs/>
          <w:sz w:val="24"/>
          <w:szCs w:val="24"/>
        </w:rPr>
      </w:pPr>
    </w:p>
    <w:p w14:paraId="33CED0ED" w14:textId="77777777" w:rsidR="00427125" w:rsidRDefault="00427125" w:rsidP="00427125">
      <w:pPr>
        <w:rPr>
          <w:rFonts w:ascii="Arial" w:hAnsi="Arial" w:cs="Arial"/>
          <w:b/>
          <w:bCs/>
          <w:sz w:val="24"/>
          <w:szCs w:val="24"/>
        </w:rPr>
      </w:pPr>
    </w:p>
    <w:p w14:paraId="19111529" w14:textId="6A371385" w:rsidR="00427125" w:rsidRPr="002218A1" w:rsidRDefault="00427125" w:rsidP="00427125">
      <w:pPr>
        <w:spacing w:after="0" w:line="360" w:lineRule="auto"/>
        <w:rPr>
          <w:rFonts w:ascii="Times New Roman" w:hAnsi="Times New Roman" w:cs="Times New Roman"/>
          <w:b/>
          <w:bCs/>
          <w:sz w:val="24"/>
          <w:szCs w:val="24"/>
        </w:rPr>
      </w:pPr>
      <w:r w:rsidRPr="00427125">
        <w:rPr>
          <w:rFonts w:ascii="Times New Roman" w:hAnsi="Times New Roman" w:cs="Times New Roman"/>
          <w:b/>
          <w:bCs/>
          <w:sz w:val="28"/>
          <w:szCs w:val="28"/>
        </w:rPr>
        <w:t>IN THE MATTER BETWEEN</w:t>
      </w:r>
      <w:r w:rsidRPr="002218A1">
        <w:rPr>
          <w:rFonts w:ascii="Times New Roman" w:hAnsi="Times New Roman" w:cs="Times New Roman"/>
          <w:b/>
          <w:bCs/>
          <w:sz w:val="24"/>
          <w:szCs w:val="24"/>
        </w:rPr>
        <w:t>:</w:t>
      </w:r>
    </w:p>
    <w:p w14:paraId="3F6591CC" w14:textId="77777777" w:rsidR="00427125" w:rsidRPr="002218A1" w:rsidRDefault="00427125" w:rsidP="00427125">
      <w:pPr>
        <w:spacing w:after="0" w:line="360" w:lineRule="auto"/>
        <w:rPr>
          <w:rFonts w:ascii="Times New Roman" w:hAnsi="Times New Roman" w:cs="Times New Roman"/>
          <w:b/>
          <w:bCs/>
          <w:sz w:val="24"/>
          <w:szCs w:val="24"/>
        </w:rPr>
      </w:pPr>
    </w:p>
    <w:p w14:paraId="0337D5FA" w14:textId="77777777" w:rsidR="00427125" w:rsidRDefault="00427125" w:rsidP="00427125">
      <w:pPr>
        <w:spacing w:after="0" w:line="360" w:lineRule="auto"/>
        <w:rPr>
          <w:rFonts w:ascii="Times New Roman" w:hAnsi="Times New Roman" w:cs="Times New Roman"/>
          <w:b/>
          <w:bCs/>
          <w:color w:val="000000"/>
          <w:sz w:val="28"/>
          <w:szCs w:val="28"/>
        </w:rPr>
      </w:pPr>
      <w:r w:rsidRPr="00427125">
        <w:rPr>
          <w:rFonts w:ascii="Times New Roman" w:hAnsi="Times New Roman" w:cs="Times New Roman"/>
          <w:b/>
          <w:bCs/>
          <w:color w:val="000000"/>
          <w:sz w:val="28"/>
          <w:szCs w:val="28"/>
        </w:rPr>
        <w:t xml:space="preserve">BERNHARD MADER </w:t>
      </w:r>
    </w:p>
    <w:p w14:paraId="1C761500" w14:textId="62FD7A3A" w:rsidR="00427125" w:rsidRDefault="00427125" w:rsidP="00427125">
      <w:pPr>
        <w:spacing w:after="0" w:line="360" w:lineRule="auto"/>
        <w:rPr>
          <w:rFonts w:ascii="Segoe UI" w:hAnsi="Segoe UI" w:cs="Segoe UI"/>
          <w:b/>
          <w:bCs/>
          <w:color w:val="000000"/>
          <w:sz w:val="28"/>
          <w:szCs w:val="28"/>
        </w:rPr>
      </w:pPr>
      <w:r w:rsidRPr="00427125">
        <w:rPr>
          <w:rFonts w:ascii="Times New Roman" w:hAnsi="Times New Roman" w:cs="Times New Roman"/>
          <w:b/>
          <w:bCs/>
          <w:color w:val="000000"/>
          <w:sz w:val="28"/>
          <w:szCs w:val="28"/>
        </w:rPr>
        <w:t xml:space="preserve">POHL VAN NIEKERK N.O       </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sidRPr="00427125">
        <w:rPr>
          <w:rFonts w:ascii="Times New Roman" w:hAnsi="Times New Roman" w:cs="Times New Roman"/>
          <w:b/>
          <w:bCs/>
          <w:color w:val="000000"/>
          <w:sz w:val="28"/>
          <w:szCs w:val="28"/>
        </w:rPr>
        <w:t>FIRST APPLICANT</w:t>
      </w:r>
      <w:r w:rsidRPr="00427125">
        <w:rPr>
          <w:rFonts w:ascii="Segoe UI" w:hAnsi="Segoe UI" w:cs="Segoe UI"/>
          <w:b/>
          <w:bCs/>
          <w:color w:val="000000"/>
          <w:sz w:val="28"/>
          <w:szCs w:val="28"/>
        </w:rPr>
        <w:t xml:space="preserve"> </w:t>
      </w:r>
    </w:p>
    <w:p w14:paraId="36971906" w14:textId="552D5C66" w:rsidR="00427125" w:rsidRPr="00427125" w:rsidRDefault="00427125" w:rsidP="00427125">
      <w:pPr>
        <w:spacing w:after="0" w:line="360" w:lineRule="auto"/>
        <w:rPr>
          <w:rFonts w:ascii="Times New Roman" w:hAnsi="Times New Roman" w:cs="Times New Roman"/>
          <w:b/>
          <w:bCs/>
          <w:sz w:val="28"/>
          <w:szCs w:val="28"/>
        </w:rPr>
      </w:pPr>
      <w:r w:rsidRPr="00427125">
        <w:rPr>
          <w:rFonts w:ascii="Times New Roman" w:hAnsi="Times New Roman" w:cs="Times New Roman"/>
          <w:b/>
          <w:bCs/>
          <w:color w:val="000000"/>
          <w:sz w:val="28"/>
          <w:szCs w:val="28"/>
        </w:rPr>
        <w:t>DIEDELOF JACOBUS FOURIE N.O.</w:t>
      </w:r>
      <w:r w:rsidRPr="00427125">
        <w:rPr>
          <w:rFonts w:ascii="Times New Roman" w:hAnsi="Times New Roman" w:cs="Times New Roman"/>
          <w:b/>
          <w:bCs/>
          <w:sz w:val="28"/>
          <w:szCs w:val="28"/>
        </w:rPr>
        <w:tab/>
        <w:t xml:space="preserve">          SECOND APPLICANT                         </w:t>
      </w:r>
    </w:p>
    <w:p w14:paraId="5DA7D3D2" w14:textId="77777777" w:rsidR="00427125" w:rsidRPr="00427125" w:rsidRDefault="00427125" w:rsidP="00427125">
      <w:pPr>
        <w:spacing w:after="0" w:line="360" w:lineRule="auto"/>
        <w:rPr>
          <w:rFonts w:ascii="Times New Roman" w:hAnsi="Times New Roman" w:cs="Times New Roman"/>
          <w:b/>
          <w:bCs/>
          <w:sz w:val="28"/>
          <w:szCs w:val="28"/>
        </w:rPr>
      </w:pPr>
    </w:p>
    <w:p w14:paraId="0A75F490" w14:textId="77777777" w:rsidR="00427125" w:rsidRPr="00427125" w:rsidRDefault="00427125" w:rsidP="00427125">
      <w:pPr>
        <w:spacing w:after="0" w:line="360" w:lineRule="auto"/>
        <w:rPr>
          <w:rFonts w:ascii="Times New Roman" w:hAnsi="Times New Roman" w:cs="Times New Roman"/>
          <w:b/>
          <w:bCs/>
          <w:sz w:val="28"/>
          <w:szCs w:val="28"/>
        </w:rPr>
      </w:pPr>
      <w:r w:rsidRPr="00427125">
        <w:rPr>
          <w:rFonts w:ascii="Times New Roman" w:hAnsi="Times New Roman" w:cs="Times New Roman"/>
          <w:b/>
          <w:bCs/>
          <w:sz w:val="28"/>
          <w:szCs w:val="28"/>
        </w:rPr>
        <w:t>AND</w:t>
      </w:r>
    </w:p>
    <w:p w14:paraId="6A33E08C" w14:textId="41B73FC1" w:rsidR="00427125" w:rsidRPr="00427125" w:rsidRDefault="00427125" w:rsidP="00427125">
      <w:pPr>
        <w:spacing w:after="0" w:line="360" w:lineRule="auto"/>
        <w:rPr>
          <w:rFonts w:ascii="Times New Roman" w:hAnsi="Times New Roman" w:cs="Times New Roman"/>
          <w:b/>
          <w:bCs/>
          <w:sz w:val="28"/>
          <w:szCs w:val="28"/>
        </w:rPr>
      </w:pPr>
      <w:r w:rsidRPr="00427125">
        <w:rPr>
          <w:rFonts w:ascii="Times New Roman" w:hAnsi="Times New Roman" w:cs="Times New Roman"/>
          <w:b/>
          <w:bCs/>
          <w:color w:val="000000"/>
          <w:sz w:val="28"/>
          <w:szCs w:val="28"/>
        </w:rPr>
        <w:t>FLOXIFOR PTY LTD</w:t>
      </w:r>
      <w:r w:rsidRPr="00427125">
        <w:rPr>
          <w:rFonts w:ascii="Times New Roman" w:hAnsi="Times New Roman" w:cs="Times New Roman"/>
          <w:b/>
          <w:bCs/>
          <w:color w:val="000000"/>
          <w:sz w:val="28"/>
          <w:szCs w:val="28"/>
        </w:rPr>
        <w:tab/>
      </w:r>
      <w:r w:rsidRPr="00427125">
        <w:rPr>
          <w:rFonts w:ascii="Times New Roman" w:hAnsi="Times New Roman" w:cs="Times New Roman"/>
          <w:b/>
          <w:bCs/>
          <w:color w:val="000000"/>
          <w:sz w:val="28"/>
          <w:szCs w:val="28"/>
        </w:rPr>
        <w:tab/>
      </w:r>
      <w:r w:rsidRPr="00427125">
        <w:rPr>
          <w:rFonts w:ascii="Times New Roman" w:hAnsi="Times New Roman" w:cs="Times New Roman"/>
          <w:b/>
          <w:bCs/>
          <w:color w:val="000000"/>
          <w:sz w:val="28"/>
          <w:szCs w:val="28"/>
        </w:rPr>
        <w:tab/>
      </w:r>
      <w:r w:rsidRPr="00427125">
        <w:rPr>
          <w:rFonts w:ascii="Times New Roman" w:hAnsi="Times New Roman" w:cs="Times New Roman"/>
          <w:b/>
          <w:bCs/>
          <w:color w:val="000000"/>
          <w:sz w:val="28"/>
          <w:szCs w:val="28"/>
        </w:rPr>
        <w:tab/>
      </w:r>
      <w:proofErr w:type="gramStart"/>
      <w:r w:rsidRPr="00427125">
        <w:rPr>
          <w:rFonts w:ascii="Times New Roman" w:hAnsi="Times New Roman" w:cs="Times New Roman"/>
          <w:b/>
          <w:bCs/>
          <w:color w:val="000000"/>
          <w:sz w:val="28"/>
          <w:szCs w:val="28"/>
        </w:rPr>
        <w:tab/>
      </w:r>
      <w:r w:rsidR="006147C1">
        <w:rPr>
          <w:rFonts w:ascii="Times New Roman" w:hAnsi="Times New Roman" w:cs="Times New Roman"/>
          <w:b/>
          <w:bCs/>
          <w:color w:val="000000"/>
          <w:sz w:val="28"/>
          <w:szCs w:val="28"/>
        </w:rPr>
        <w:t xml:space="preserve"> </w:t>
      </w:r>
      <w:r w:rsidRPr="00427125">
        <w:rPr>
          <w:rFonts w:ascii="Times New Roman" w:hAnsi="Times New Roman" w:cs="Times New Roman"/>
          <w:b/>
          <w:bCs/>
          <w:color w:val="000000"/>
          <w:sz w:val="28"/>
          <w:szCs w:val="28"/>
        </w:rPr>
        <w:t xml:space="preserve"> RESPONDENT</w:t>
      </w:r>
      <w:proofErr w:type="gramEnd"/>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3C2300E3" w14:textId="51103FE4" w:rsidR="00427125" w:rsidRPr="00832153" w:rsidRDefault="00780E41" w:rsidP="00427125">
      <w:pPr>
        <w:spacing w:line="360" w:lineRule="auto"/>
        <w:rPr>
          <w:rFonts w:ascii="Times New Roman" w:hAnsi="Times New Roman" w:cs="Times New Roman"/>
          <w:b/>
          <w:bCs/>
          <w:sz w:val="28"/>
          <w:szCs w:val="28"/>
        </w:rPr>
      </w:pPr>
      <w:r>
        <w:rPr>
          <w:noProof/>
          <w:lang w:eastAsia="en-ZA"/>
        </w:rPr>
        <mc:AlternateContent>
          <mc:Choice Requires="wps">
            <w:drawing>
              <wp:anchor distT="4294967295" distB="4294967295" distL="114300" distR="114300" simplePos="0" relativeHeight="251658240" behindDoc="0" locked="0" layoutInCell="1" allowOverlap="1" wp14:anchorId="06097D1C" wp14:editId="501858B7">
                <wp:simplePos x="0" y="0"/>
                <wp:positionH relativeFrom="column">
                  <wp:posOffset>-26035</wp:posOffset>
                </wp:positionH>
                <wp:positionV relativeFrom="paragraph">
                  <wp:posOffset>175894</wp:posOffset>
                </wp:positionV>
                <wp:extent cx="5749290" cy="0"/>
                <wp:effectExtent l="0" t="0" r="0" b="0"/>
                <wp:wrapNone/>
                <wp:docPr id="86363776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92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6AEE31"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13.85pt" to="45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" strokecolor="black [3200]" strokeweight="1pt">
                <v:stroke joinstyle="miter"/>
                <o:lock v:ext="edit" shapetype="f"/>
              </v:line>
            </w:pict>
          </mc:Fallback>
        </mc:AlternateContent>
      </w:r>
    </w:p>
    <w:p w14:paraId="25E5E7F9" w14:textId="77777777" w:rsidR="00427125" w:rsidRPr="00832153" w:rsidRDefault="00427125" w:rsidP="00427125">
      <w:pPr>
        <w:spacing w:line="360" w:lineRule="auto"/>
        <w:jc w:val="center"/>
        <w:rPr>
          <w:rFonts w:ascii="Times New Roman" w:hAnsi="Times New Roman" w:cs="Times New Roman"/>
          <w:b/>
          <w:bCs/>
          <w:sz w:val="28"/>
          <w:szCs w:val="28"/>
        </w:rPr>
      </w:pPr>
      <w:r w:rsidRPr="00832153">
        <w:rPr>
          <w:rFonts w:ascii="Times New Roman" w:hAnsi="Times New Roman" w:cs="Times New Roman"/>
          <w:b/>
          <w:bCs/>
          <w:sz w:val="28"/>
          <w:szCs w:val="28"/>
        </w:rPr>
        <w:t>JUDGMENT</w:t>
      </w:r>
    </w:p>
    <w:p w14:paraId="0000F754" w14:textId="79FB937F" w:rsidR="00427125" w:rsidRDefault="00780E41" w:rsidP="00427125">
      <w:pPr>
        <w:spacing w:line="360" w:lineRule="auto"/>
        <w:rPr>
          <w:rFonts w:ascii="Times New Roman" w:hAnsi="Times New Roman" w:cs="Times New Roman"/>
          <w:b/>
          <w:bCs/>
          <w:sz w:val="28"/>
          <w:szCs w:val="28"/>
        </w:rPr>
      </w:pPr>
      <w:r>
        <w:rPr>
          <w:noProof/>
          <w:lang w:eastAsia="en-ZA"/>
        </w:rPr>
        <mc:AlternateContent>
          <mc:Choice Requires="wps">
            <w:drawing>
              <wp:anchor distT="4294967295" distB="4294967295" distL="114300" distR="114300" simplePos="0" relativeHeight="251658241" behindDoc="0" locked="0" layoutInCell="1" allowOverlap="1" wp14:anchorId="24BF36B4" wp14:editId="5E2985B7">
                <wp:simplePos x="0" y="0"/>
                <wp:positionH relativeFrom="column">
                  <wp:posOffset>0</wp:posOffset>
                </wp:positionH>
                <wp:positionV relativeFrom="paragraph">
                  <wp:posOffset>-636</wp:posOffset>
                </wp:positionV>
                <wp:extent cx="5749290" cy="0"/>
                <wp:effectExtent l="0" t="0" r="0" b="0"/>
                <wp:wrapNone/>
                <wp:docPr id="173619494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9290" cy="0"/>
                        </a:xfrm>
                        <a:prstGeom prst="line">
                          <a:avLst/>
                        </a:prstGeom>
                        <a:noFill/>
                        <a:ln w="12700" cap="flat" cmpd="sng" algn="ctr">
                          <a:solidFill>
                            <a:sysClr val="windowText" lastClr="FFFFF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BB7E7D" id="Straight Connector 1"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45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" strokecolor="windowText" strokeweight="1pt">
                <v:stroke joinstyle="miter"/>
                <o:lock v:ext="edit" shapetype="f"/>
              </v:line>
            </w:pict>
          </mc:Fallback>
        </mc:AlternateContent>
      </w:r>
      <w:r w:rsidR="00427125" w:rsidRPr="00421B8F">
        <w:rPr>
          <w:rFonts w:ascii="Times New Roman" w:hAnsi="Times New Roman" w:cs="Times New Roman"/>
          <w:b/>
          <w:bCs/>
          <w:sz w:val="28"/>
          <w:szCs w:val="28"/>
        </w:rPr>
        <w:t>SIWENDU J</w:t>
      </w:r>
    </w:p>
    <w:p w14:paraId="73F5AD27" w14:textId="064E9DD4" w:rsidR="00E75655" w:rsidRDefault="00084A77" w:rsidP="00E75655">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084A77">
        <w:rPr>
          <w:rFonts w:ascii="Times New Roman" w:hAnsi="Times New Roman" w:cs="Times New Roman"/>
          <w:sz w:val="28"/>
          <w:szCs w:val="28"/>
        </w:rPr>
        <w:t xml:space="preserve">There are </w:t>
      </w:r>
      <w:r w:rsidR="00275CB2">
        <w:rPr>
          <w:rFonts w:ascii="Times New Roman" w:hAnsi="Times New Roman" w:cs="Times New Roman"/>
          <w:sz w:val="28"/>
          <w:szCs w:val="28"/>
        </w:rPr>
        <w:t xml:space="preserve">several </w:t>
      </w:r>
      <w:r>
        <w:rPr>
          <w:rFonts w:ascii="Times New Roman" w:hAnsi="Times New Roman" w:cs="Times New Roman"/>
          <w:sz w:val="28"/>
          <w:szCs w:val="28"/>
        </w:rPr>
        <w:t>interlocutory applications</w:t>
      </w:r>
      <w:r w:rsidR="009F2FC0">
        <w:rPr>
          <w:rFonts w:ascii="Times New Roman" w:hAnsi="Times New Roman" w:cs="Times New Roman"/>
          <w:sz w:val="28"/>
          <w:szCs w:val="28"/>
        </w:rPr>
        <w:t xml:space="preserve"> (the applications) </w:t>
      </w:r>
      <w:r w:rsidR="00534D38">
        <w:rPr>
          <w:rFonts w:ascii="Times New Roman" w:hAnsi="Times New Roman" w:cs="Times New Roman"/>
          <w:sz w:val="28"/>
          <w:szCs w:val="28"/>
        </w:rPr>
        <w:t xml:space="preserve">for adjudication </w:t>
      </w:r>
      <w:r>
        <w:rPr>
          <w:rFonts w:ascii="Times New Roman" w:hAnsi="Times New Roman" w:cs="Times New Roman"/>
          <w:sz w:val="28"/>
          <w:szCs w:val="28"/>
        </w:rPr>
        <w:t>before the Court</w:t>
      </w:r>
      <w:r w:rsidR="00534D38">
        <w:rPr>
          <w:rFonts w:ascii="Times New Roman" w:hAnsi="Times New Roman" w:cs="Times New Roman"/>
          <w:sz w:val="28"/>
          <w:szCs w:val="28"/>
        </w:rPr>
        <w:t xml:space="preserve">. </w:t>
      </w:r>
      <w:r w:rsidR="009F2FC0">
        <w:rPr>
          <w:rFonts w:ascii="Times New Roman" w:hAnsi="Times New Roman" w:cs="Times New Roman"/>
          <w:sz w:val="28"/>
          <w:szCs w:val="28"/>
        </w:rPr>
        <w:t xml:space="preserve">The applications were enrolled for hearing </w:t>
      </w:r>
      <w:r w:rsidR="00D02D25">
        <w:rPr>
          <w:rFonts w:ascii="Times New Roman" w:hAnsi="Times New Roman" w:cs="Times New Roman"/>
          <w:sz w:val="28"/>
          <w:szCs w:val="28"/>
        </w:rPr>
        <w:t xml:space="preserve">as </w:t>
      </w:r>
      <w:r w:rsidR="00E72BF6">
        <w:rPr>
          <w:rFonts w:ascii="Times New Roman" w:hAnsi="Times New Roman" w:cs="Times New Roman"/>
          <w:sz w:val="28"/>
          <w:szCs w:val="28"/>
        </w:rPr>
        <w:t>a</w:t>
      </w:r>
      <w:r w:rsidR="009F2FC0">
        <w:rPr>
          <w:rFonts w:ascii="Times New Roman" w:hAnsi="Times New Roman" w:cs="Times New Roman"/>
          <w:sz w:val="28"/>
          <w:szCs w:val="28"/>
        </w:rPr>
        <w:t xml:space="preserve"> </w:t>
      </w:r>
      <w:r w:rsidR="009F2FC0">
        <w:rPr>
          <w:rFonts w:ascii="Times New Roman" w:hAnsi="Times New Roman" w:cs="Times New Roman"/>
          <w:sz w:val="28"/>
          <w:szCs w:val="28"/>
        </w:rPr>
        <w:lastRenderedPageBreak/>
        <w:t>special motion</w:t>
      </w:r>
      <w:r w:rsidR="00A32AD3">
        <w:rPr>
          <w:rFonts w:ascii="Times New Roman" w:hAnsi="Times New Roman" w:cs="Times New Roman"/>
          <w:sz w:val="28"/>
          <w:szCs w:val="28"/>
        </w:rPr>
        <w:t xml:space="preserve"> </w:t>
      </w:r>
      <w:r w:rsidR="006E4FBF">
        <w:rPr>
          <w:rFonts w:ascii="Times New Roman" w:hAnsi="Times New Roman" w:cs="Times New Roman"/>
          <w:sz w:val="28"/>
          <w:szCs w:val="28"/>
        </w:rPr>
        <w:t>follow</w:t>
      </w:r>
      <w:r w:rsidR="00C65EAD">
        <w:rPr>
          <w:rFonts w:ascii="Times New Roman" w:hAnsi="Times New Roman" w:cs="Times New Roman"/>
          <w:sz w:val="28"/>
          <w:szCs w:val="28"/>
        </w:rPr>
        <w:t xml:space="preserve">ing </w:t>
      </w:r>
      <w:r w:rsidR="006E4FBF">
        <w:rPr>
          <w:rFonts w:ascii="Times New Roman" w:hAnsi="Times New Roman" w:cs="Times New Roman"/>
          <w:sz w:val="28"/>
          <w:szCs w:val="28"/>
        </w:rPr>
        <w:t xml:space="preserve">a </w:t>
      </w:r>
      <w:r w:rsidR="002710DD">
        <w:rPr>
          <w:rFonts w:ascii="Times New Roman" w:hAnsi="Times New Roman" w:cs="Times New Roman"/>
          <w:sz w:val="28"/>
          <w:szCs w:val="28"/>
        </w:rPr>
        <w:t>c</w:t>
      </w:r>
      <w:r w:rsidR="006E4FBF">
        <w:rPr>
          <w:rFonts w:ascii="Times New Roman" w:hAnsi="Times New Roman" w:cs="Times New Roman"/>
          <w:sz w:val="28"/>
          <w:szCs w:val="28"/>
        </w:rPr>
        <w:t xml:space="preserve">ase </w:t>
      </w:r>
      <w:r w:rsidR="002710DD">
        <w:rPr>
          <w:rFonts w:ascii="Times New Roman" w:hAnsi="Times New Roman" w:cs="Times New Roman"/>
          <w:sz w:val="28"/>
          <w:szCs w:val="28"/>
        </w:rPr>
        <w:t>m</w:t>
      </w:r>
      <w:r w:rsidR="006E4FBF">
        <w:rPr>
          <w:rFonts w:ascii="Times New Roman" w:hAnsi="Times New Roman" w:cs="Times New Roman"/>
          <w:sz w:val="28"/>
          <w:szCs w:val="28"/>
        </w:rPr>
        <w:t xml:space="preserve">anagement </w:t>
      </w:r>
      <w:r w:rsidR="002710DD">
        <w:rPr>
          <w:rFonts w:ascii="Times New Roman" w:hAnsi="Times New Roman" w:cs="Times New Roman"/>
          <w:sz w:val="28"/>
          <w:szCs w:val="28"/>
        </w:rPr>
        <w:t xml:space="preserve">directive </w:t>
      </w:r>
      <w:r w:rsidR="006E4FBF">
        <w:rPr>
          <w:rFonts w:ascii="Times New Roman" w:hAnsi="Times New Roman" w:cs="Times New Roman"/>
          <w:sz w:val="28"/>
          <w:szCs w:val="28"/>
        </w:rPr>
        <w:t xml:space="preserve">and order by </w:t>
      </w:r>
      <w:proofErr w:type="spellStart"/>
      <w:r w:rsidR="006E4FBF">
        <w:rPr>
          <w:rFonts w:ascii="Times New Roman" w:hAnsi="Times New Roman" w:cs="Times New Roman"/>
          <w:sz w:val="28"/>
          <w:szCs w:val="28"/>
        </w:rPr>
        <w:t>Senyatsi</w:t>
      </w:r>
      <w:proofErr w:type="spellEnd"/>
      <w:r w:rsidR="006E4FBF">
        <w:rPr>
          <w:rFonts w:ascii="Times New Roman" w:hAnsi="Times New Roman" w:cs="Times New Roman"/>
          <w:sz w:val="28"/>
          <w:szCs w:val="28"/>
        </w:rPr>
        <w:t xml:space="preserve"> J</w:t>
      </w:r>
      <w:r w:rsidR="004F09CB">
        <w:rPr>
          <w:rFonts w:ascii="Times New Roman" w:hAnsi="Times New Roman" w:cs="Times New Roman"/>
          <w:sz w:val="28"/>
          <w:szCs w:val="28"/>
        </w:rPr>
        <w:t xml:space="preserve"> </w:t>
      </w:r>
      <w:r w:rsidR="00F53B79">
        <w:rPr>
          <w:rFonts w:ascii="Times New Roman" w:hAnsi="Times New Roman" w:cs="Times New Roman"/>
          <w:sz w:val="28"/>
          <w:szCs w:val="28"/>
        </w:rPr>
        <w:t xml:space="preserve">on </w:t>
      </w:r>
      <w:r w:rsidR="004F09CB">
        <w:rPr>
          <w:rFonts w:ascii="Times New Roman" w:hAnsi="Times New Roman" w:cs="Times New Roman"/>
          <w:sz w:val="28"/>
          <w:szCs w:val="28"/>
        </w:rPr>
        <w:t>16 March 2023</w:t>
      </w:r>
      <w:r w:rsidR="006E4FBF">
        <w:rPr>
          <w:rFonts w:ascii="Times New Roman" w:hAnsi="Times New Roman" w:cs="Times New Roman"/>
          <w:sz w:val="28"/>
          <w:szCs w:val="28"/>
        </w:rPr>
        <w:t>.</w:t>
      </w:r>
    </w:p>
    <w:p w14:paraId="39F3795E" w14:textId="3B5C33DC" w:rsidR="0098477A" w:rsidRDefault="005A55AF" w:rsidP="00E365E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833565">
        <w:rPr>
          <w:rFonts w:ascii="Times New Roman" w:hAnsi="Times New Roman" w:cs="Times New Roman"/>
          <w:color w:val="000000"/>
          <w:sz w:val="28"/>
          <w:szCs w:val="28"/>
        </w:rPr>
        <w:t>Berhard Mader Pohl Van Niekerk</w:t>
      </w:r>
      <w:r w:rsidR="006942BF">
        <w:rPr>
          <w:rFonts w:ascii="Times New Roman" w:hAnsi="Times New Roman" w:cs="Times New Roman"/>
          <w:color w:val="000000"/>
          <w:sz w:val="28"/>
          <w:szCs w:val="28"/>
        </w:rPr>
        <w:t xml:space="preserve"> NO</w:t>
      </w:r>
      <w:r w:rsidR="00833565">
        <w:rPr>
          <w:rFonts w:ascii="Times New Roman" w:hAnsi="Times New Roman" w:cs="Times New Roman"/>
          <w:color w:val="000000"/>
          <w:sz w:val="28"/>
          <w:szCs w:val="28"/>
        </w:rPr>
        <w:t xml:space="preserve"> and </w:t>
      </w:r>
      <w:proofErr w:type="spellStart"/>
      <w:r w:rsidR="00833565">
        <w:rPr>
          <w:rFonts w:ascii="Times New Roman" w:hAnsi="Times New Roman" w:cs="Times New Roman"/>
          <w:color w:val="000000"/>
          <w:sz w:val="28"/>
          <w:szCs w:val="28"/>
        </w:rPr>
        <w:t>Diedelof</w:t>
      </w:r>
      <w:proofErr w:type="spellEnd"/>
      <w:r w:rsidR="00833565">
        <w:rPr>
          <w:rFonts w:ascii="Times New Roman" w:hAnsi="Times New Roman" w:cs="Times New Roman"/>
          <w:color w:val="000000"/>
          <w:sz w:val="28"/>
          <w:szCs w:val="28"/>
        </w:rPr>
        <w:t xml:space="preserve"> Jacobus Fourie</w:t>
      </w:r>
      <w:r w:rsidR="006942BF">
        <w:rPr>
          <w:rFonts w:ascii="Times New Roman" w:hAnsi="Times New Roman" w:cs="Times New Roman"/>
          <w:color w:val="000000"/>
          <w:sz w:val="28"/>
          <w:szCs w:val="28"/>
        </w:rPr>
        <w:t xml:space="preserve"> NO are the first and second applicants (the applicants)</w:t>
      </w:r>
      <w:r w:rsidR="00751F5A">
        <w:rPr>
          <w:rFonts w:ascii="Times New Roman" w:hAnsi="Times New Roman" w:cs="Times New Roman"/>
          <w:color w:val="000000"/>
          <w:sz w:val="28"/>
          <w:szCs w:val="28"/>
        </w:rPr>
        <w:t xml:space="preserve">. They </w:t>
      </w:r>
      <w:r w:rsidR="006942BF">
        <w:rPr>
          <w:rFonts w:ascii="Times New Roman" w:hAnsi="Times New Roman" w:cs="Times New Roman"/>
          <w:color w:val="000000"/>
          <w:sz w:val="28"/>
          <w:szCs w:val="28"/>
        </w:rPr>
        <w:t>act</w:t>
      </w:r>
      <w:r w:rsidR="00833565">
        <w:rPr>
          <w:rFonts w:ascii="Times New Roman" w:hAnsi="Times New Roman" w:cs="Times New Roman"/>
          <w:color w:val="000000"/>
          <w:sz w:val="28"/>
          <w:szCs w:val="28"/>
        </w:rPr>
        <w:t xml:space="preserve"> in their capacity as </w:t>
      </w:r>
      <w:r w:rsidR="00E365E8">
        <w:rPr>
          <w:rFonts w:ascii="Times New Roman" w:hAnsi="Times New Roman" w:cs="Times New Roman"/>
          <w:color w:val="000000"/>
          <w:sz w:val="28"/>
          <w:szCs w:val="28"/>
        </w:rPr>
        <w:t xml:space="preserve">the </w:t>
      </w:r>
      <w:r w:rsidR="00833565" w:rsidRPr="00833565">
        <w:rPr>
          <w:rFonts w:ascii="Times New Roman" w:hAnsi="Times New Roman" w:cs="Times New Roman"/>
          <w:color w:val="000000"/>
          <w:sz w:val="28"/>
          <w:szCs w:val="28"/>
        </w:rPr>
        <w:t>trustee</w:t>
      </w:r>
      <w:r w:rsidR="00E365E8">
        <w:rPr>
          <w:rFonts w:ascii="Times New Roman" w:hAnsi="Times New Roman" w:cs="Times New Roman"/>
          <w:color w:val="000000"/>
          <w:sz w:val="28"/>
          <w:szCs w:val="28"/>
        </w:rPr>
        <w:t>s</w:t>
      </w:r>
      <w:r w:rsidR="00833565" w:rsidRPr="00833565">
        <w:rPr>
          <w:rFonts w:ascii="Times New Roman" w:hAnsi="Times New Roman" w:cs="Times New Roman"/>
          <w:color w:val="000000"/>
          <w:sz w:val="28"/>
          <w:szCs w:val="28"/>
        </w:rPr>
        <w:t xml:space="preserve"> of the </w:t>
      </w:r>
      <w:proofErr w:type="spellStart"/>
      <w:r w:rsidR="00833565" w:rsidRPr="00833565">
        <w:rPr>
          <w:rFonts w:ascii="Times New Roman" w:hAnsi="Times New Roman" w:cs="Times New Roman"/>
          <w:color w:val="000000"/>
          <w:sz w:val="28"/>
          <w:szCs w:val="28"/>
        </w:rPr>
        <w:t>Madernette</w:t>
      </w:r>
      <w:proofErr w:type="spellEnd"/>
      <w:r w:rsidR="00833565" w:rsidRPr="00833565">
        <w:rPr>
          <w:rFonts w:ascii="Times New Roman" w:hAnsi="Times New Roman" w:cs="Times New Roman"/>
          <w:color w:val="000000"/>
          <w:sz w:val="28"/>
          <w:szCs w:val="28"/>
        </w:rPr>
        <w:t xml:space="preserve"> Trust (IT 12581/997)</w:t>
      </w:r>
      <w:r w:rsidR="006942BF">
        <w:rPr>
          <w:rFonts w:ascii="Times New Roman" w:hAnsi="Times New Roman" w:cs="Times New Roman"/>
          <w:color w:val="000000"/>
          <w:sz w:val="28"/>
          <w:szCs w:val="28"/>
        </w:rPr>
        <w:t xml:space="preserve">. </w:t>
      </w:r>
      <w:r w:rsidR="009714B0">
        <w:rPr>
          <w:rFonts w:ascii="Times New Roman" w:hAnsi="Times New Roman" w:cs="Times New Roman"/>
          <w:color w:val="000000"/>
          <w:sz w:val="28"/>
          <w:szCs w:val="28"/>
        </w:rPr>
        <w:t xml:space="preserve">The respondent is </w:t>
      </w:r>
      <w:proofErr w:type="spellStart"/>
      <w:r w:rsidR="009714B0">
        <w:rPr>
          <w:rFonts w:ascii="Times New Roman" w:hAnsi="Times New Roman" w:cs="Times New Roman"/>
          <w:color w:val="000000"/>
          <w:sz w:val="28"/>
          <w:szCs w:val="28"/>
        </w:rPr>
        <w:t>Floxifor</w:t>
      </w:r>
      <w:proofErr w:type="spellEnd"/>
      <w:r w:rsidR="009714B0">
        <w:rPr>
          <w:rFonts w:ascii="Times New Roman" w:hAnsi="Times New Roman" w:cs="Times New Roman"/>
          <w:color w:val="000000"/>
          <w:sz w:val="28"/>
          <w:szCs w:val="28"/>
        </w:rPr>
        <w:t xml:space="preserve"> (Pty) Ltd (</w:t>
      </w:r>
      <w:proofErr w:type="spellStart"/>
      <w:r w:rsidR="009714B0">
        <w:rPr>
          <w:rFonts w:ascii="Times New Roman" w:hAnsi="Times New Roman" w:cs="Times New Roman"/>
          <w:color w:val="000000"/>
          <w:sz w:val="28"/>
          <w:szCs w:val="28"/>
        </w:rPr>
        <w:t>Floxifor</w:t>
      </w:r>
      <w:proofErr w:type="spellEnd"/>
      <w:r w:rsidR="009714B0">
        <w:rPr>
          <w:rFonts w:ascii="Times New Roman" w:hAnsi="Times New Roman" w:cs="Times New Roman"/>
          <w:color w:val="000000"/>
          <w:sz w:val="28"/>
          <w:szCs w:val="28"/>
        </w:rPr>
        <w:t xml:space="preserve">), a company engaged in </w:t>
      </w:r>
      <w:r w:rsidR="006275FC">
        <w:rPr>
          <w:rFonts w:ascii="Times New Roman" w:hAnsi="Times New Roman" w:cs="Times New Roman"/>
          <w:color w:val="000000"/>
          <w:sz w:val="28"/>
          <w:szCs w:val="28"/>
        </w:rPr>
        <w:t>mining</w:t>
      </w:r>
      <w:r w:rsidR="006D39FC">
        <w:rPr>
          <w:rFonts w:ascii="Times New Roman" w:hAnsi="Times New Roman" w:cs="Times New Roman"/>
          <w:color w:val="000000"/>
          <w:sz w:val="28"/>
          <w:szCs w:val="28"/>
        </w:rPr>
        <w:t xml:space="preserve">. </w:t>
      </w:r>
      <w:proofErr w:type="spellStart"/>
      <w:r w:rsidR="00BB37D3" w:rsidRPr="006942BF">
        <w:rPr>
          <w:rFonts w:ascii="Times New Roman" w:hAnsi="Times New Roman" w:cs="Times New Roman"/>
          <w:color w:val="000000"/>
          <w:sz w:val="28"/>
          <w:szCs w:val="28"/>
        </w:rPr>
        <w:t>Floxifor</w:t>
      </w:r>
      <w:proofErr w:type="spellEnd"/>
      <w:r w:rsidR="00BB37D3">
        <w:rPr>
          <w:rFonts w:ascii="Times New Roman" w:hAnsi="Times New Roman" w:cs="Times New Roman"/>
          <w:color w:val="000000"/>
          <w:sz w:val="28"/>
          <w:szCs w:val="28"/>
        </w:rPr>
        <w:t xml:space="preserve"> </w:t>
      </w:r>
      <w:r w:rsidR="006275FC">
        <w:rPr>
          <w:rFonts w:ascii="Times New Roman" w:hAnsi="Times New Roman" w:cs="Times New Roman"/>
          <w:color w:val="000000"/>
          <w:sz w:val="28"/>
          <w:szCs w:val="28"/>
        </w:rPr>
        <w:t xml:space="preserve">had leased certain property from </w:t>
      </w:r>
      <w:r w:rsidR="007537AC">
        <w:rPr>
          <w:rFonts w:ascii="Times New Roman" w:hAnsi="Times New Roman" w:cs="Times New Roman"/>
          <w:color w:val="000000"/>
          <w:sz w:val="28"/>
          <w:szCs w:val="28"/>
        </w:rPr>
        <w:t xml:space="preserve">the </w:t>
      </w:r>
      <w:proofErr w:type="spellStart"/>
      <w:r w:rsidR="007537AC" w:rsidRPr="00833565">
        <w:rPr>
          <w:rFonts w:ascii="Times New Roman" w:hAnsi="Times New Roman" w:cs="Times New Roman"/>
          <w:color w:val="000000"/>
          <w:sz w:val="28"/>
          <w:szCs w:val="28"/>
        </w:rPr>
        <w:t>Madernette</w:t>
      </w:r>
      <w:proofErr w:type="spellEnd"/>
      <w:r w:rsidR="007537AC" w:rsidRPr="00833565">
        <w:rPr>
          <w:rFonts w:ascii="Times New Roman" w:hAnsi="Times New Roman" w:cs="Times New Roman"/>
          <w:color w:val="000000"/>
          <w:sz w:val="28"/>
          <w:szCs w:val="28"/>
        </w:rPr>
        <w:t xml:space="preserve"> Trust</w:t>
      </w:r>
      <w:r w:rsidR="007537AC">
        <w:rPr>
          <w:rFonts w:ascii="Times New Roman" w:hAnsi="Times New Roman" w:cs="Times New Roman"/>
          <w:color w:val="000000"/>
          <w:sz w:val="28"/>
          <w:szCs w:val="28"/>
        </w:rPr>
        <w:t xml:space="preserve"> (the Trust) to </w:t>
      </w:r>
      <w:r w:rsidR="001566E3">
        <w:rPr>
          <w:rFonts w:ascii="Times New Roman" w:hAnsi="Times New Roman" w:cs="Times New Roman"/>
          <w:color w:val="000000"/>
          <w:sz w:val="28"/>
          <w:szCs w:val="28"/>
        </w:rPr>
        <w:t xml:space="preserve">conduct its mining </w:t>
      </w:r>
      <w:r w:rsidR="00C555B4">
        <w:rPr>
          <w:rFonts w:ascii="Times New Roman" w:hAnsi="Times New Roman" w:cs="Times New Roman"/>
          <w:color w:val="000000"/>
          <w:sz w:val="28"/>
          <w:szCs w:val="28"/>
        </w:rPr>
        <w:t>activities</w:t>
      </w:r>
      <w:r w:rsidR="007537AC">
        <w:rPr>
          <w:rFonts w:ascii="Times New Roman" w:hAnsi="Times New Roman" w:cs="Times New Roman"/>
          <w:color w:val="000000"/>
          <w:sz w:val="28"/>
          <w:szCs w:val="28"/>
        </w:rPr>
        <w:t>.</w:t>
      </w:r>
      <w:r w:rsidR="00C555B4">
        <w:rPr>
          <w:rFonts w:ascii="Times New Roman" w:hAnsi="Times New Roman" w:cs="Times New Roman"/>
          <w:color w:val="000000"/>
          <w:sz w:val="28"/>
          <w:szCs w:val="28"/>
        </w:rPr>
        <w:t xml:space="preserve"> </w:t>
      </w:r>
      <w:r w:rsidR="001D638C">
        <w:rPr>
          <w:rFonts w:ascii="Times New Roman" w:hAnsi="Times New Roman" w:cs="Times New Roman"/>
          <w:color w:val="000000"/>
          <w:sz w:val="28"/>
          <w:szCs w:val="28"/>
        </w:rPr>
        <w:t>The parties will be referred to as they appear in the liquidation application.</w:t>
      </w:r>
    </w:p>
    <w:p w14:paraId="0AFA92C5" w14:textId="0DDA6304" w:rsidR="00534D38" w:rsidRDefault="001D638C" w:rsidP="00E365E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8477A">
        <w:rPr>
          <w:rFonts w:ascii="Times New Roman" w:hAnsi="Times New Roman" w:cs="Times New Roman"/>
          <w:color w:val="000000"/>
          <w:sz w:val="28"/>
          <w:szCs w:val="28"/>
        </w:rPr>
        <w:t>[3]</w:t>
      </w:r>
      <w:r w:rsidR="0098477A">
        <w:rPr>
          <w:rFonts w:ascii="Times New Roman" w:hAnsi="Times New Roman" w:cs="Times New Roman"/>
          <w:color w:val="000000"/>
          <w:sz w:val="28"/>
          <w:szCs w:val="28"/>
        </w:rPr>
        <w:tab/>
      </w:r>
      <w:r w:rsidR="007537AC">
        <w:rPr>
          <w:rFonts w:ascii="Times New Roman" w:hAnsi="Times New Roman" w:cs="Times New Roman"/>
          <w:color w:val="000000"/>
          <w:sz w:val="28"/>
          <w:szCs w:val="28"/>
        </w:rPr>
        <w:t xml:space="preserve">The background to the interlocutory applications can be summarised briefly. </w:t>
      </w:r>
      <w:r w:rsidR="006942BF">
        <w:rPr>
          <w:rFonts w:ascii="Times New Roman" w:hAnsi="Times New Roman" w:cs="Times New Roman"/>
          <w:color w:val="000000"/>
          <w:sz w:val="28"/>
          <w:szCs w:val="28"/>
        </w:rPr>
        <w:t>On 1 February 2021, the</w:t>
      </w:r>
      <w:r w:rsidR="00DE331F">
        <w:rPr>
          <w:rFonts w:ascii="Times New Roman" w:hAnsi="Times New Roman" w:cs="Times New Roman"/>
          <w:color w:val="000000"/>
          <w:sz w:val="28"/>
          <w:szCs w:val="28"/>
        </w:rPr>
        <w:t xml:space="preserve"> applicants</w:t>
      </w:r>
      <w:r w:rsidR="00833565">
        <w:rPr>
          <w:rFonts w:ascii="Times New Roman" w:hAnsi="Times New Roman" w:cs="Times New Roman"/>
          <w:color w:val="000000"/>
          <w:sz w:val="28"/>
          <w:szCs w:val="28"/>
        </w:rPr>
        <w:t xml:space="preserve"> </w:t>
      </w:r>
      <w:r w:rsidR="00164A16">
        <w:rPr>
          <w:rFonts w:ascii="Times New Roman" w:hAnsi="Times New Roman" w:cs="Times New Roman"/>
          <w:color w:val="000000"/>
          <w:sz w:val="28"/>
          <w:szCs w:val="28"/>
        </w:rPr>
        <w:t xml:space="preserve">brought </w:t>
      </w:r>
      <w:r w:rsidR="00833565">
        <w:rPr>
          <w:rFonts w:ascii="Times New Roman" w:hAnsi="Times New Roman" w:cs="Times New Roman"/>
          <w:color w:val="000000"/>
          <w:sz w:val="28"/>
          <w:szCs w:val="28"/>
        </w:rPr>
        <w:t>an application</w:t>
      </w:r>
      <w:r w:rsidR="00833565" w:rsidRPr="00833565">
        <w:rPr>
          <w:rFonts w:ascii="Times New Roman" w:hAnsi="Times New Roman" w:cs="Times New Roman"/>
          <w:color w:val="000000"/>
          <w:sz w:val="28"/>
          <w:szCs w:val="28"/>
        </w:rPr>
        <w:t xml:space="preserve"> </w:t>
      </w:r>
      <w:r w:rsidR="006942BF">
        <w:rPr>
          <w:rFonts w:ascii="Times New Roman" w:hAnsi="Times New Roman" w:cs="Times New Roman"/>
          <w:color w:val="000000"/>
          <w:sz w:val="28"/>
          <w:szCs w:val="28"/>
        </w:rPr>
        <w:t xml:space="preserve">for </w:t>
      </w:r>
      <w:r w:rsidR="00833565" w:rsidRPr="006942BF">
        <w:rPr>
          <w:rFonts w:ascii="Times New Roman" w:hAnsi="Times New Roman" w:cs="Times New Roman"/>
          <w:color w:val="000000"/>
          <w:sz w:val="28"/>
          <w:szCs w:val="28"/>
        </w:rPr>
        <w:t>t</w:t>
      </w:r>
      <w:r w:rsidR="006942BF">
        <w:rPr>
          <w:rFonts w:ascii="Times New Roman" w:hAnsi="Times New Roman" w:cs="Times New Roman"/>
          <w:color w:val="000000"/>
          <w:sz w:val="28"/>
          <w:szCs w:val="28"/>
        </w:rPr>
        <w:t>he</w:t>
      </w:r>
      <w:r w:rsidR="00833565" w:rsidRPr="005A55AF">
        <w:rPr>
          <w:rFonts w:ascii="Times New Roman" w:hAnsi="Times New Roman" w:cs="Times New Roman"/>
          <w:color w:val="000000"/>
          <w:sz w:val="28"/>
          <w:szCs w:val="28"/>
        </w:rPr>
        <w:t xml:space="preserve"> final</w:t>
      </w:r>
      <w:r w:rsidR="00833565">
        <w:rPr>
          <w:rFonts w:ascii="Times New Roman" w:hAnsi="Times New Roman" w:cs="Times New Roman"/>
          <w:color w:val="000000"/>
          <w:sz w:val="28"/>
          <w:szCs w:val="28"/>
        </w:rPr>
        <w:t xml:space="preserve">, alternatively, </w:t>
      </w:r>
      <w:r w:rsidR="00833565" w:rsidRPr="00833565">
        <w:rPr>
          <w:rFonts w:ascii="Times New Roman" w:hAnsi="Times New Roman" w:cs="Times New Roman"/>
          <w:color w:val="000000"/>
          <w:sz w:val="28"/>
          <w:szCs w:val="28"/>
        </w:rPr>
        <w:t>provisional liquidation</w:t>
      </w:r>
      <w:r w:rsidR="001A5414">
        <w:rPr>
          <w:rFonts w:ascii="Times New Roman" w:hAnsi="Times New Roman" w:cs="Times New Roman"/>
          <w:color w:val="000000"/>
          <w:sz w:val="28"/>
          <w:szCs w:val="28"/>
        </w:rPr>
        <w:t xml:space="preserve"> of the respondent</w:t>
      </w:r>
      <w:r w:rsidR="001A5414" w:rsidRPr="006942BF">
        <w:rPr>
          <w:rFonts w:ascii="Times New Roman" w:hAnsi="Times New Roman" w:cs="Times New Roman"/>
          <w:color w:val="000000"/>
          <w:sz w:val="28"/>
          <w:szCs w:val="28"/>
        </w:rPr>
        <w:t xml:space="preserve">, </w:t>
      </w:r>
      <w:proofErr w:type="spellStart"/>
      <w:r w:rsidR="001A5414" w:rsidRPr="006942BF">
        <w:rPr>
          <w:rFonts w:ascii="Times New Roman" w:hAnsi="Times New Roman" w:cs="Times New Roman"/>
          <w:color w:val="000000"/>
          <w:sz w:val="28"/>
          <w:szCs w:val="28"/>
        </w:rPr>
        <w:t>Floxifor</w:t>
      </w:r>
      <w:proofErr w:type="spellEnd"/>
      <w:r w:rsidR="001A5414">
        <w:rPr>
          <w:rFonts w:ascii="Times New Roman" w:hAnsi="Times New Roman" w:cs="Times New Roman"/>
          <w:color w:val="000000"/>
          <w:sz w:val="28"/>
          <w:szCs w:val="28"/>
        </w:rPr>
        <w:t xml:space="preserve"> (Pty) Ltd (</w:t>
      </w:r>
      <w:proofErr w:type="spellStart"/>
      <w:r w:rsidR="001A5414">
        <w:rPr>
          <w:rFonts w:ascii="Times New Roman" w:hAnsi="Times New Roman" w:cs="Times New Roman"/>
          <w:color w:val="000000"/>
          <w:sz w:val="28"/>
          <w:szCs w:val="28"/>
        </w:rPr>
        <w:t>Floxifor</w:t>
      </w:r>
      <w:proofErr w:type="spellEnd"/>
      <w:r w:rsidR="001A5414">
        <w:rPr>
          <w:rFonts w:ascii="Times New Roman" w:hAnsi="Times New Roman" w:cs="Times New Roman"/>
          <w:color w:val="000000"/>
          <w:sz w:val="28"/>
          <w:szCs w:val="28"/>
        </w:rPr>
        <w:t xml:space="preserve">) </w:t>
      </w:r>
      <w:r w:rsidR="00E365E8">
        <w:rPr>
          <w:rFonts w:ascii="Times New Roman" w:hAnsi="Times New Roman" w:cs="Times New Roman"/>
          <w:color w:val="000000"/>
          <w:sz w:val="28"/>
          <w:szCs w:val="28"/>
        </w:rPr>
        <w:t>on the grounds that it was deemed unable to pay its debts</w:t>
      </w:r>
      <w:r w:rsidR="001B0FB9">
        <w:rPr>
          <w:rFonts w:ascii="Times New Roman" w:hAnsi="Times New Roman" w:cs="Times New Roman"/>
          <w:color w:val="000000"/>
          <w:sz w:val="28"/>
          <w:szCs w:val="28"/>
        </w:rPr>
        <w:t xml:space="preserve"> in terms </w:t>
      </w:r>
      <w:r w:rsidR="006147C1">
        <w:rPr>
          <w:rFonts w:ascii="Times New Roman" w:hAnsi="Times New Roman" w:cs="Times New Roman"/>
          <w:color w:val="000000"/>
          <w:sz w:val="28"/>
          <w:szCs w:val="28"/>
        </w:rPr>
        <w:t>o</w:t>
      </w:r>
      <w:r w:rsidR="001B0FB9">
        <w:rPr>
          <w:rFonts w:ascii="Times New Roman" w:hAnsi="Times New Roman" w:cs="Times New Roman"/>
          <w:color w:val="000000"/>
          <w:sz w:val="28"/>
          <w:szCs w:val="28"/>
        </w:rPr>
        <w:t>f section 344 (f) of the Companies Act 61 of 1973 (the old Act)</w:t>
      </w:r>
      <w:r w:rsidR="00E365E8">
        <w:rPr>
          <w:rFonts w:ascii="Times New Roman" w:hAnsi="Times New Roman" w:cs="Times New Roman"/>
          <w:color w:val="000000"/>
          <w:sz w:val="28"/>
          <w:szCs w:val="28"/>
        </w:rPr>
        <w:t>.</w:t>
      </w:r>
      <w:r w:rsidR="001A5414" w:rsidRPr="001A5414">
        <w:rPr>
          <w:rFonts w:ascii="Times New Roman" w:hAnsi="Times New Roman" w:cs="Times New Roman"/>
          <w:color w:val="000000"/>
          <w:sz w:val="28"/>
          <w:szCs w:val="28"/>
        </w:rPr>
        <w:t xml:space="preserve"> </w:t>
      </w:r>
      <w:r w:rsidR="00CC08B4">
        <w:rPr>
          <w:rFonts w:ascii="Times New Roman" w:hAnsi="Times New Roman" w:cs="Times New Roman"/>
          <w:color w:val="000000"/>
          <w:sz w:val="28"/>
          <w:szCs w:val="28"/>
        </w:rPr>
        <w:t>The</w:t>
      </w:r>
      <w:r w:rsidR="007537AC">
        <w:rPr>
          <w:rFonts w:ascii="Times New Roman" w:hAnsi="Times New Roman" w:cs="Times New Roman"/>
          <w:color w:val="000000"/>
          <w:sz w:val="28"/>
          <w:szCs w:val="28"/>
        </w:rPr>
        <w:t xml:space="preserve">y alleged that </w:t>
      </w:r>
      <w:proofErr w:type="spellStart"/>
      <w:r w:rsidR="007537AC">
        <w:rPr>
          <w:rFonts w:ascii="Times New Roman" w:hAnsi="Times New Roman" w:cs="Times New Roman"/>
          <w:color w:val="000000"/>
          <w:sz w:val="28"/>
          <w:szCs w:val="28"/>
        </w:rPr>
        <w:t>Floxiflor</w:t>
      </w:r>
      <w:proofErr w:type="spellEnd"/>
      <w:r w:rsidR="00CC08B4">
        <w:rPr>
          <w:rFonts w:ascii="Times New Roman" w:hAnsi="Times New Roman" w:cs="Times New Roman"/>
          <w:color w:val="000000"/>
          <w:sz w:val="28"/>
          <w:szCs w:val="28"/>
        </w:rPr>
        <w:t xml:space="preserve"> defaulted on its obligation to pay rent on the property</w:t>
      </w:r>
      <w:r>
        <w:rPr>
          <w:rFonts w:ascii="Times New Roman" w:hAnsi="Times New Roman" w:cs="Times New Roman"/>
          <w:color w:val="000000"/>
          <w:sz w:val="28"/>
          <w:szCs w:val="28"/>
        </w:rPr>
        <w:t xml:space="preserve"> leased from the Trust</w:t>
      </w:r>
      <w:r w:rsidR="00CC08B4">
        <w:rPr>
          <w:rFonts w:ascii="Times New Roman" w:hAnsi="Times New Roman" w:cs="Times New Roman"/>
          <w:color w:val="000000"/>
          <w:sz w:val="28"/>
          <w:szCs w:val="28"/>
        </w:rPr>
        <w:t xml:space="preserve">. </w:t>
      </w:r>
      <w:proofErr w:type="spellStart"/>
      <w:r w:rsidR="00CC08B4">
        <w:rPr>
          <w:rFonts w:ascii="Times New Roman" w:hAnsi="Times New Roman" w:cs="Times New Roman"/>
          <w:color w:val="000000"/>
          <w:sz w:val="28"/>
          <w:szCs w:val="28"/>
        </w:rPr>
        <w:t>Fl</w:t>
      </w:r>
      <w:r w:rsidR="00F53B79">
        <w:rPr>
          <w:rFonts w:ascii="Times New Roman" w:hAnsi="Times New Roman" w:cs="Times New Roman"/>
          <w:color w:val="000000"/>
          <w:sz w:val="28"/>
          <w:szCs w:val="28"/>
        </w:rPr>
        <w:t>oxifor</w:t>
      </w:r>
      <w:proofErr w:type="spellEnd"/>
      <w:r w:rsidR="001A5414">
        <w:rPr>
          <w:rFonts w:ascii="Times New Roman" w:hAnsi="Times New Roman" w:cs="Times New Roman"/>
          <w:color w:val="000000"/>
          <w:sz w:val="28"/>
          <w:szCs w:val="28"/>
        </w:rPr>
        <w:t xml:space="preserve"> oppose</w:t>
      </w:r>
      <w:r w:rsidR="00164A16">
        <w:rPr>
          <w:rFonts w:ascii="Times New Roman" w:hAnsi="Times New Roman" w:cs="Times New Roman"/>
          <w:color w:val="000000"/>
          <w:sz w:val="28"/>
          <w:szCs w:val="28"/>
        </w:rPr>
        <w:t>d</w:t>
      </w:r>
      <w:r w:rsidR="001A5414">
        <w:rPr>
          <w:rFonts w:ascii="Times New Roman" w:hAnsi="Times New Roman" w:cs="Times New Roman"/>
          <w:color w:val="000000"/>
          <w:sz w:val="28"/>
          <w:szCs w:val="28"/>
        </w:rPr>
        <w:t xml:space="preserve"> the liquidation application.</w:t>
      </w:r>
      <w:r w:rsidR="00912731" w:rsidRPr="00912731">
        <w:rPr>
          <w:rFonts w:ascii="Times New Roman" w:hAnsi="Times New Roman" w:cs="Times New Roman"/>
          <w:color w:val="000000"/>
          <w:sz w:val="28"/>
          <w:szCs w:val="28"/>
        </w:rPr>
        <w:t xml:space="preserve"> </w:t>
      </w:r>
    </w:p>
    <w:p w14:paraId="552902F1" w14:textId="44C5C8C5" w:rsidR="0060066E" w:rsidRDefault="00E365E8" w:rsidP="00864463">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537AC">
        <w:rPr>
          <w:rFonts w:ascii="Times New Roman" w:hAnsi="Times New Roman" w:cs="Times New Roman"/>
          <w:color w:val="000000"/>
          <w:sz w:val="28"/>
          <w:szCs w:val="28"/>
        </w:rPr>
        <w:t>4</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9728D2" w:rsidRPr="00011C13">
        <w:rPr>
          <w:rFonts w:ascii="Times New Roman" w:hAnsi="Times New Roman" w:cs="Times New Roman"/>
          <w:color w:val="000000"/>
          <w:sz w:val="28"/>
          <w:szCs w:val="28"/>
        </w:rPr>
        <w:t xml:space="preserve">It is a trite principle in our law that a </w:t>
      </w:r>
      <w:r w:rsidR="004962AF">
        <w:rPr>
          <w:rFonts w:ascii="Times New Roman" w:hAnsi="Times New Roman" w:cs="Times New Roman"/>
          <w:color w:val="000000"/>
          <w:sz w:val="28"/>
          <w:szCs w:val="28"/>
        </w:rPr>
        <w:t>Tr</w:t>
      </w:r>
      <w:r w:rsidR="009728D2" w:rsidRPr="00011C13">
        <w:rPr>
          <w:rFonts w:ascii="Times New Roman" w:hAnsi="Times New Roman" w:cs="Times New Roman"/>
          <w:color w:val="000000"/>
          <w:sz w:val="28"/>
          <w:szCs w:val="28"/>
        </w:rPr>
        <w:t>ust is not a legal person</w:t>
      </w:r>
      <w:r w:rsidR="009728D2">
        <w:rPr>
          <w:rFonts w:ascii="Times New Roman" w:hAnsi="Times New Roman" w:cs="Times New Roman"/>
          <w:color w:val="000000"/>
          <w:sz w:val="28"/>
          <w:szCs w:val="28"/>
        </w:rPr>
        <w:t xml:space="preserve">. </w:t>
      </w:r>
      <w:r w:rsidR="009728D2" w:rsidRPr="00011C13">
        <w:rPr>
          <w:rFonts w:ascii="Times New Roman" w:hAnsi="Times New Roman" w:cs="Times New Roman"/>
          <w:color w:val="000000"/>
          <w:sz w:val="28"/>
          <w:szCs w:val="28"/>
        </w:rPr>
        <w:t xml:space="preserve">Trust assets vest in the body of trustees, whose power to act and represent the </w:t>
      </w:r>
      <w:r w:rsidR="009728D2">
        <w:rPr>
          <w:rFonts w:ascii="Times New Roman" w:hAnsi="Times New Roman" w:cs="Times New Roman"/>
          <w:color w:val="000000"/>
          <w:sz w:val="28"/>
          <w:szCs w:val="28"/>
        </w:rPr>
        <w:t>T</w:t>
      </w:r>
      <w:r w:rsidR="009728D2" w:rsidRPr="00011C13">
        <w:rPr>
          <w:rFonts w:ascii="Times New Roman" w:hAnsi="Times New Roman" w:cs="Times New Roman"/>
          <w:color w:val="000000"/>
          <w:sz w:val="28"/>
          <w:szCs w:val="28"/>
        </w:rPr>
        <w:t>rust</w:t>
      </w:r>
      <w:r w:rsidR="009728D2">
        <w:rPr>
          <w:rFonts w:ascii="Times New Roman" w:hAnsi="Times New Roman" w:cs="Times New Roman"/>
          <w:color w:val="000000"/>
          <w:sz w:val="28"/>
          <w:szCs w:val="28"/>
        </w:rPr>
        <w:t xml:space="preserve"> derives from the Trust</w:t>
      </w:r>
      <w:r w:rsidR="009728D2" w:rsidRPr="008C5BFB">
        <w:rPr>
          <w:rFonts w:ascii="Times New Roman" w:hAnsi="Times New Roman" w:cs="Times New Roman"/>
          <w:color w:val="000000"/>
          <w:sz w:val="28"/>
          <w:szCs w:val="28"/>
        </w:rPr>
        <w:t xml:space="preserve"> </w:t>
      </w:r>
      <w:r w:rsidR="009728D2">
        <w:rPr>
          <w:rFonts w:ascii="Times New Roman" w:hAnsi="Times New Roman" w:cs="Times New Roman"/>
          <w:color w:val="000000"/>
          <w:sz w:val="28"/>
          <w:szCs w:val="28"/>
        </w:rPr>
        <w:t xml:space="preserve">Deed. </w:t>
      </w:r>
      <w:r w:rsidR="00A555E1">
        <w:rPr>
          <w:rFonts w:ascii="Times New Roman" w:hAnsi="Times New Roman" w:cs="Times New Roman"/>
          <w:color w:val="000000"/>
          <w:sz w:val="28"/>
          <w:szCs w:val="28"/>
        </w:rPr>
        <w:t>A</w:t>
      </w:r>
      <w:r>
        <w:rPr>
          <w:rFonts w:ascii="Times New Roman" w:hAnsi="Times New Roman" w:cs="Times New Roman"/>
          <w:color w:val="000000"/>
          <w:sz w:val="28"/>
          <w:szCs w:val="28"/>
        </w:rPr>
        <w:t xml:space="preserve">t the time of the </w:t>
      </w:r>
      <w:r w:rsidR="00F954A5">
        <w:rPr>
          <w:rFonts w:ascii="Times New Roman" w:hAnsi="Times New Roman" w:cs="Times New Roman"/>
          <w:color w:val="000000"/>
          <w:sz w:val="28"/>
          <w:szCs w:val="28"/>
        </w:rPr>
        <w:t>inst</w:t>
      </w:r>
      <w:r w:rsidR="00E46621">
        <w:rPr>
          <w:rFonts w:ascii="Times New Roman" w:hAnsi="Times New Roman" w:cs="Times New Roman"/>
          <w:color w:val="000000"/>
          <w:sz w:val="28"/>
          <w:szCs w:val="28"/>
        </w:rPr>
        <w:t>i</w:t>
      </w:r>
      <w:r w:rsidR="00F954A5">
        <w:rPr>
          <w:rFonts w:ascii="Times New Roman" w:hAnsi="Times New Roman" w:cs="Times New Roman"/>
          <w:color w:val="000000"/>
          <w:sz w:val="28"/>
          <w:szCs w:val="28"/>
        </w:rPr>
        <w:t xml:space="preserve">tution of </w:t>
      </w:r>
      <w:r>
        <w:rPr>
          <w:rFonts w:ascii="Times New Roman" w:hAnsi="Times New Roman" w:cs="Times New Roman"/>
          <w:color w:val="000000"/>
          <w:sz w:val="28"/>
          <w:szCs w:val="28"/>
        </w:rPr>
        <w:t xml:space="preserve">the </w:t>
      </w:r>
      <w:r w:rsidR="00E46621">
        <w:rPr>
          <w:rFonts w:ascii="Times New Roman" w:hAnsi="Times New Roman" w:cs="Times New Roman"/>
          <w:color w:val="000000"/>
          <w:sz w:val="28"/>
          <w:szCs w:val="28"/>
        </w:rPr>
        <w:t xml:space="preserve">liquidation proceedings, </w:t>
      </w:r>
      <w:r w:rsidR="001A5414">
        <w:rPr>
          <w:rFonts w:ascii="Times New Roman" w:hAnsi="Times New Roman" w:cs="Times New Roman"/>
          <w:color w:val="000000"/>
          <w:sz w:val="28"/>
          <w:szCs w:val="28"/>
        </w:rPr>
        <w:t>the applicants were the two remaining trustees</w:t>
      </w:r>
      <w:r w:rsidR="009F2FC0">
        <w:rPr>
          <w:rFonts w:ascii="Times New Roman" w:hAnsi="Times New Roman" w:cs="Times New Roman"/>
          <w:color w:val="000000"/>
          <w:sz w:val="28"/>
          <w:szCs w:val="28"/>
        </w:rPr>
        <w:t xml:space="preserve"> of the </w:t>
      </w:r>
      <w:r w:rsidR="00F024B3">
        <w:rPr>
          <w:rFonts w:ascii="Times New Roman" w:hAnsi="Times New Roman" w:cs="Times New Roman"/>
          <w:color w:val="000000"/>
          <w:sz w:val="28"/>
          <w:szCs w:val="28"/>
        </w:rPr>
        <w:t>T</w:t>
      </w:r>
      <w:r w:rsidR="00A555E1">
        <w:rPr>
          <w:rFonts w:ascii="Times New Roman" w:hAnsi="Times New Roman" w:cs="Times New Roman"/>
          <w:color w:val="000000"/>
          <w:sz w:val="28"/>
          <w:szCs w:val="28"/>
        </w:rPr>
        <w:t>rust</w:t>
      </w:r>
      <w:r w:rsidR="001A5414">
        <w:rPr>
          <w:rFonts w:ascii="Times New Roman" w:hAnsi="Times New Roman" w:cs="Times New Roman"/>
          <w:color w:val="000000"/>
          <w:sz w:val="28"/>
          <w:szCs w:val="28"/>
        </w:rPr>
        <w:t>. O</w:t>
      </w:r>
      <w:r w:rsidRPr="00E365E8">
        <w:rPr>
          <w:rFonts w:ascii="Times New Roman" w:hAnsi="Times New Roman" w:cs="Times New Roman"/>
          <w:color w:val="000000"/>
          <w:sz w:val="28"/>
          <w:szCs w:val="28"/>
        </w:rPr>
        <w:t>ne of the trustees,</w:t>
      </w:r>
      <w:r w:rsidR="00985B8C">
        <w:rPr>
          <w:rFonts w:ascii="Times New Roman" w:hAnsi="Times New Roman" w:cs="Times New Roman"/>
          <w:color w:val="000000"/>
          <w:sz w:val="28"/>
          <w:szCs w:val="28"/>
        </w:rPr>
        <w:t xml:space="preserve"> Mrs</w:t>
      </w:r>
      <w:r w:rsidRPr="00E365E8">
        <w:rPr>
          <w:rFonts w:ascii="Times New Roman" w:hAnsi="Times New Roman" w:cs="Times New Roman"/>
          <w:color w:val="000000"/>
          <w:sz w:val="28"/>
          <w:szCs w:val="28"/>
        </w:rPr>
        <w:t xml:space="preserve"> Cornelia van Niekerk</w:t>
      </w:r>
      <w:r w:rsidR="00E46621">
        <w:rPr>
          <w:rFonts w:ascii="Times New Roman" w:hAnsi="Times New Roman" w:cs="Times New Roman"/>
          <w:color w:val="000000"/>
          <w:sz w:val="28"/>
          <w:szCs w:val="28"/>
        </w:rPr>
        <w:t xml:space="preserve"> </w:t>
      </w:r>
      <w:r w:rsidR="00A83927">
        <w:rPr>
          <w:rFonts w:ascii="Times New Roman" w:hAnsi="Times New Roman" w:cs="Times New Roman"/>
          <w:color w:val="000000"/>
          <w:sz w:val="28"/>
          <w:szCs w:val="28"/>
        </w:rPr>
        <w:t>w</w:t>
      </w:r>
      <w:r w:rsidR="00985B8C">
        <w:rPr>
          <w:rFonts w:ascii="Times New Roman" w:hAnsi="Times New Roman" w:cs="Times New Roman"/>
          <w:color w:val="000000"/>
          <w:sz w:val="28"/>
          <w:szCs w:val="28"/>
        </w:rPr>
        <w:t>ho w</w:t>
      </w:r>
      <w:r w:rsidR="00A83927">
        <w:rPr>
          <w:rFonts w:ascii="Times New Roman" w:hAnsi="Times New Roman" w:cs="Times New Roman"/>
          <w:color w:val="000000"/>
          <w:sz w:val="28"/>
          <w:szCs w:val="28"/>
        </w:rPr>
        <w:t>as married</w:t>
      </w:r>
      <w:r w:rsidR="00F024B3">
        <w:rPr>
          <w:rFonts w:ascii="Times New Roman" w:hAnsi="Times New Roman" w:cs="Times New Roman"/>
          <w:color w:val="000000"/>
          <w:sz w:val="28"/>
          <w:szCs w:val="28"/>
        </w:rPr>
        <w:t xml:space="preserve"> to</w:t>
      </w:r>
      <w:r w:rsidR="00E46621">
        <w:rPr>
          <w:rFonts w:ascii="Times New Roman" w:hAnsi="Times New Roman" w:cs="Times New Roman"/>
          <w:color w:val="000000"/>
          <w:sz w:val="28"/>
          <w:szCs w:val="28"/>
        </w:rPr>
        <w:t xml:space="preserve"> the first applicant</w:t>
      </w:r>
      <w:r w:rsidR="004962AF">
        <w:rPr>
          <w:rFonts w:ascii="Times New Roman" w:hAnsi="Times New Roman" w:cs="Times New Roman"/>
          <w:color w:val="000000"/>
          <w:sz w:val="28"/>
          <w:szCs w:val="28"/>
        </w:rPr>
        <w:t>,</w:t>
      </w:r>
      <w:r w:rsidR="00985B8C">
        <w:rPr>
          <w:rFonts w:ascii="Times New Roman" w:hAnsi="Times New Roman" w:cs="Times New Roman"/>
          <w:color w:val="000000"/>
          <w:sz w:val="28"/>
          <w:szCs w:val="28"/>
        </w:rPr>
        <w:t xml:space="preserve"> </w:t>
      </w:r>
      <w:r w:rsidRPr="00E365E8">
        <w:rPr>
          <w:rFonts w:ascii="Times New Roman" w:hAnsi="Times New Roman" w:cs="Times New Roman"/>
          <w:color w:val="000000"/>
          <w:sz w:val="28"/>
          <w:szCs w:val="28"/>
        </w:rPr>
        <w:t xml:space="preserve">passed </w:t>
      </w:r>
      <w:r w:rsidR="005F30EE">
        <w:rPr>
          <w:rFonts w:ascii="Times New Roman" w:hAnsi="Times New Roman" w:cs="Times New Roman"/>
          <w:color w:val="000000"/>
          <w:sz w:val="28"/>
          <w:szCs w:val="28"/>
        </w:rPr>
        <w:t>away on</w:t>
      </w:r>
      <w:r w:rsidR="009F2FC0">
        <w:rPr>
          <w:rFonts w:ascii="Times New Roman" w:hAnsi="Times New Roman" w:cs="Times New Roman"/>
          <w:color w:val="000000"/>
          <w:sz w:val="28"/>
          <w:szCs w:val="28"/>
        </w:rPr>
        <w:t xml:space="preserve"> </w:t>
      </w:r>
      <w:r w:rsidRPr="00E365E8">
        <w:rPr>
          <w:rFonts w:ascii="Times New Roman" w:hAnsi="Times New Roman" w:cs="Times New Roman"/>
          <w:color w:val="000000"/>
          <w:sz w:val="28"/>
          <w:szCs w:val="28"/>
        </w:rPr>
        <w:t xml:space="preserve">10 October 2019. </w:t>
      </w:r>
      <w:r w:rsidR="007C26A5">
        <w:rPr>
          <w:rFonts w:ascii="Times New Roman" w:hAnsi="Times New Roman" w:cs="Times New Roman"/>
          <w:color w:val="000000"/>
          <w:sz w:val="28"/>
          <w:szCs w:val="28"/>
        </w:rPr>
        <w:t>O</w:t>
      </w:r>
      <w:r w:rsidR="007C26A5" w:rsidRPr="00E365E8">
        <w:rPr>
          <w:rFonts w:ascii="Times New Roman" w:hAnsi="Times New Roman" w:cs="Times New Roman"/>
          <w:color w:val="000000"/>
          <w:sz w:val="28"/>
          <w:szCs w:val="28"/>
        </w:rPr>
        <w:t>n 20 May 2020</w:t>
      </w:r>
      <w:r w:rsidR="007C26A5">
        <w:rPr>
          <w:rFonts w:ascii="Times New Roman" w:hAnsi="Times New Roman" w:cs="Times New Roman"/>
          <w:color w:val="000000"/>
          <w:sz w:val="28"/>
          <w:szCs w:val="28"/>
        </w:rPr>
        <w:t>, the trustees made a</w:t>
      </w:r>
      <w:r w:rsidRPr="00E365E8">
        <w:rPr>
          <w:rFonts w:ascii="Times New Roman" w:hAnsi="Times New Roman" w:cs="Times New Roman"/>
          <w:color w:val="000000"/>
          <w:sz w:val="28"/>
          <w:szCs w:val="28"/>
        </w:rPr>
        <w:t xml:space="preserve"> written request</w:t>
      </w:r>
      <w:r w:rsidR="007C26A5">
        <w:rPr>
          <w:rFonts w:ascii="Times New Roman" w:hAnsi="Times New Roman" w:cs="Times New Roman"/>
          <w:color w:val="000000"/>
          <w:sz w:val="28"/>
          <w:szCs w:val="28"/>
        </w:rPr>
        <w:t xml:space="preserve"> to the </w:t>
      </w:r>
      <w:r w:rsidR="007C26A5" w:rsidRPr="00E365E8">
        <w:rPr>
          <w:rFonts w:ascii="Times New Roman" w:hAnsi="Times New Roman" w:cs="Times New Roman"/>
          <w:color w:val="000000"/>
          <w:sz w:val="28"/>
          <w:szCs w:val="28"/>
        </w:rPr>
        <w:t>Master of the High Court</w:t>
      </w:r>
      <w:r w:rsidR="00E46621">
        <w:rPr>
          <w:rFonts w:ascii="Times New Roman" w:hAnsi="Times New Roman" w:cs="Times New Roman"/>
          <w:color w:val="000000"/>
          <w:sz w:val="28"/>
          <w:szCs w:val="28"/>
        </w:rPr>
        <w:t xml:space="preserve"> </w:t>
      </w:r>
      <w:r w:rsidR="001A5414">
        <w:rPr>
          <w:rFonts w:ascii="Times New Roman" w:hAnsi="Times New Roman" w:cs="Times New Roman"/>
          <w:color w:val="000000"/>
          <w:sz w:val="28"/>
          <w:szCs w:val="28"/>
        </w:rPr>
        <w:t xml:space="preserve">to </w:t>
      </w:r>
      <w:r w:rsidRPr="00E365E8">
        <w:rPr>
          <w:rFonts w:ascii="Times New Roman" w:hAnsi="Times New Roman" w:cs="Times New Roman"/>
          <w:color w:val="000000"/>
          <w:sz w:val="28"/>
          <w:szCs w:val="28"/>
        </w:rPr>
        <w:t>appoint</w:t>
      </w:r>
      <w:r w:rsidR="001A5414">
        <w:rPr>
          <w:rFonts w:ascii="Times New Roman" w:hAnsi="Times New Roman" w:cs="Times New Roman"/>
          <w:color w:val="000000"/>
          <w:sz w:val="28"/>
          <w:szCs w:val="28"/>
        </w:rPr>
        <w:t xml:space="preserve"> </w:t>
      </w:r>
      <w:r w:rsidR="00864463" w:rsidRPr="002548C4">
        <w:rPr>
          <w:rFonts w:ascii="Times New Roman" w:hAnsi="Times New Roman" w:cs="Times New Roman"/>
          <w:color w:val="000000"/>
          <w:sz w:val="28"/>
          <w:szCs w:val="28"/>
        </w:rPr>
        <w:t>Cornea Liebenberg and Sandre van Niekerk</w:t>
      </w:r>
      <w:r w:rsidR="00E46621">
        <w:rPr>
          <w:rFonts w:ascii="Times New Roman" w:hAnsi="Times New Roman" w:cs="Times New Roman"/>
          <w:color w:val="000000"/>
          <w:sz w:val="28"/>
          <w:szCs w:val="28"/>
        </w:rPr>
        <w:t xml:space="preserve"> </w:t>
      </w:r>
      <w:r w:rsidR="001A5414">
        <w:rPr>
          <w:rFonts w:ascii="Times New Roman" w:hAnsi="Times New Roman" w:cs="Times New Roman"/>
          <w:color w:val="000000"/>
          <w:sz w:val="28"/>
          <w:szCs w:val="28"/>
        </w:rPr>
        <w:t>as</w:t>
      </w:r>
      <w:r w:rsidRPr="00E365E8">
        <w:rPr>
          <w:rFonts w:ascii="Times New Roman" w:hAnsi="Times New Roman" w:cs="Times New Roman"/>
          <w:color w:val="000000"/>
          <w:sz w:val="28"/>
          <w:szCs w:val="28"/>
        </w:rPr>
        <w:t xml:space="preserve"> new trustees</w:t>
      </w:r>
      <w:r w:rsidR="007C26A5">
        <w:rPr>
          <w:rFonts w:ascii="Times New Roman" w:hAnsi="Times New Roman" w:cs="Times New Roman"/>
          <w:color w:val="000000"/>
          <w:sz w:val="28"/>
          <w:szCs w:val="28"/>
        </w:rPr>
        <w:t>.</w:t>
      </w:r>
    </w:p>
    <w:p w14:paraId="6B0BC3F2" w14:textId="7D5F4B8A" w:rsidR="009D0EE4" w:rsidRDefault="0060066E" w:rsidP="005726AA">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Pr>
          <w:rFonts w:ascii="Times New Roman" w:hAnsi="Times New Roman" w:cs="Times New Roman"/>
          <w:color w:val="000000"/>
          <w:sz w:val="28"/>
          <w:szCs w:val="28"/>
        </w:rPr>
        <w:tab/>
      </w:r>
      <w:r w:rsidR="00CF5EC5">
        <w:rPr>
          <w:rFonts w:ascii="Times New Roman" w:hAnsi="Times New Roman" w:cs="Times New Roman"/>
          <w:color w:val="000000"/>
          <w:sz w:val="28"/>
          <w:szCs w:val="28"/>
        </w:rPr>
        <w:t xml:space="preserve">When the </w:t>
      </w:r>
      <w:r w:rsidR="00A565E7">
        <w:rPr>
          <w:rFonts w:ascii="Times New Roman" w:hAnsi="Times New Roman" w:cs="Times New Roman"/>
          <w:color w:val="000000"/>
          <w:sz w:val="28"/>
          <w:szCs w:val="28"/>
        </w:rPr>
        <w:t>application</w:t>
      </w:r>
      <w:r w:rsidR="00CF5EC5">
        <w:rPr>
          <w:rFonts w:ascii="Times New Roman" w:hAnsi="Times New Roman" w:cs="Times New Roman"/>
          <w:color w:val="000000"/>
          <w:sz w:val="28"/>
          <w:szCs w:val="28"/>
        </w:rPr>
        <w:t xml:space="preserve"> </w:t>
      </w:r>
      <w:r w:rsidR="009728D2">
        <w:rPr>
          <w:rFonts w:ascii="Times New Roman" w:hAnsi="Times New Roman" w:cs="Times New Roman"/>
          <w:color w:val="000000"/>
          <w:sz w:val="28"/>
          <w:szCs w:val="28"/>
        </w:rPr>
        <w:t>for liquidation</w:t>
      </w:r>
      <w:r w:rsidR="00CF5EC5">
        <w:rPr>
          <w:rFonts w:ascii="Times New Roman" w:hAnsi="Times New Roman" w:cs="Times New Roman"/>
          <w:color w:val="000000"/>
          <w:sz w:val="28"/>
          <w:szCs w:val="28"/>
        </w:rPr>
        <w:t xml:space="preserve"> was initiated, </w:t>
      </w:r>
      <w:r w:rsidR="00A565E7">
        <w:rPr>
          <w:rFonts w:ascii="Times New Roman" w:hAnsi="Times New Roman" w:cs="Times New Roman"/>
          <w:color w:val="000000"/>
          <w:sz w:val="28"/>
          <w:szCs w:val="28"/>
        </w:rPr>
        <w:t xml:space="preserve">in February 2021, </w:t>
      </w:r>
      <w:r w:rsidR="00BC4921">
        <w:rPr>
          <w:rFonts w:ascii="Times New Roman" w:hAnsi="Times New Roman" w:cs="Times New Roman"/>
          <w:color w:val="000000"/>
          <w:sz w:val="28"/>
          <w:szCs w:val="28"/>
        </w:rPr>
        <w:t xml:space="preserve">the remaining trustees had not yet </w:t>
      </w:r>
      <w:r w:rsidR="00F54F77">
        <w:rPr>
          <w:rFonts w:ascii="Times New Roman" w:hAnsi="Times New Roman" w:cs="Times New Roman"/>
          <w:color w:val="000000"/>
          <w:sz w:val="28"/>
          <w:szCs w:val="28"/>
        </w:rPr>
        <w:t xml:space="preserve">received </w:t>
      </w:r>
      <w:r w:rsidR="00E365E8" w:rsidRPr="00E365E8">
        <w:rPr>
          <w:rFonts w:ascii="Times New Roman" w:hAnsi="Times New Roman" w:cs="Times New Roman"/>
          <w:color w:val="000000"/>
          <w:sz w:val="28"/>
          <w:szCs w:val="28"/>
        </w:rPr>
        <w:t xml:space="preserve">formal Letters of Authority </w:t>
      </w:r>
      <w:r w:rsidR="00B40DE8">
        <w:rPr>
          <w:rFonts w:ascii="Times New Roman" w:hAnsi="Times New Roman" w:cs="Times New Roman"/>
          <w:color w:val="000000"/>
          <w:sz w:val="28"/>
          <w:szCs w:val="28"/>
        </w:rPr>
        <w:t xml:space="preserve">appointing the two additional trustees </w:t>
      </w:r>
      <w:r w:rsidR="00A565E7">
        <w:rPr>
          <w:rFonts w:ascii="Times New Roman" w:hAnsi="Times New Roman" w:cs="Times New Roman"/>
          <w:color w:val="000000"/>
          <w:sz w:val="28"/>
          <w:szCs w:val="28"/>
        </w:rPr>
        <w:t>from the Master</w:t>
      </w:r>
      <w:r w:rsidR="00E365E8" w:rsidRPr="00E365E8">
        <w:rPr>
          <w:rFonts w:ascii="Times New Roman" w:hAnsi="Times New Roman" w:cs="Times New Roman"/>
          <w:color w:val="000000"/>
          <w:sz w:val="28"/>
          <w:szCs w:val="28"/>
        </w:rPr>
        <w:t>.</w:t>
      </w:r>
      <w:r w:rsidR="00E365E8">
        <w:rPr>
          <w:rFonts w:ascii="Times New Roman" w:hAnsi="Times New Roman" w:cs="Times New Roman"/>
          <w:color w:val="000000"/>
          <w:sz w:val="28"/>
          <w:szCs w:val="28"/>
        </w:rPr>
        <w:t xml:space="preserve"> </w:t>
      </w:r>
      <w:r w:rsidR="000D7E64">
        <w:rPr>
          <w:rFonts w:ascii="Times New Roman" w:hAnsi="Times New Roman" w:cs="Times New Roman"/>
          <w:color w:val="000000"/>
          <w:sz w:val="28"/>
          <w:szCs w:val="28"/>
        </w:rPr>
        <w:t xml:space="preserve">Requisite letters were issued by the Master in March </w:t>
      </w:r>
      <w:r w:rsidR="001C09D2">
        <w:rPr>
          <w:rFonts w:ascii="Times New Roman" w:hAnsi="Times New Roman" w:cs="Times New Roman"/>
          <w:color w:val="000000"/>
          <w:sz w:val="28"/>
          <w:szCs w:val="28"/>
        </w:rPr>
        <w:t>2021 after the in</w:t>
      </w:r>
      <w:r w:rsidR="009728D2">
        <w:rPr>
          <w:rFonts w:ascii="Times New Roman" w:hAnsi="Times New Roman" w:cs="Times New Roman"/>
          <w:color w:val="000000"/>
          <w:sz w:val="28"/>
          <w:szCs w:val="28"/>
        </w:rPr>
        <w:t xml:space="preserve">itiation and service </w:t>
      </w:r>
      <w:r w:rsidR="001C09D2">
        <w:rPr>
          <w:rFonts w:ascii="Times New Roman" w:hAnsi="Times New Roman" w:cs="Times New Roman"/>
          <w:color w:val="000000"/>
          <w:sz w:val="28"/>
          <w:szCs w:val="28"/>
        </w:rPr>
        <w:t xml:space="preserve">of the </w:t>
      </w:r>
      <w:r w:rsidR="004962AF">
        <w:rPr>
          <w:rFonts w:ascii="Times New Roman" w:hAnsi="Times New Roman" w:cs="Times New Roman"/>
          <w:color w:val="000000"/>
          <w:sz w:val="28"/>
          <w:szCs w:val="28"/>
        </w:rPr>
        <w:t xml:space="preserve">liquidation </w:t>
      </w:r>
      <w:r w:rsidR="001C09D2">
        <w:rPr>
          <w:rFonts w:ascii="Times New Roman" w:hAnsi="Times New Roman" w:cs="Times New Roman"/>
          <w:color w:val="000000"/>
          <w:sz w:val="28"/>
          <w:szCs w:val="28"/>
        </w:rPr>
        <w:lastRenderedPageBreak/>
        <w:t xml:space="preserve">application. </w:t>
      </w:r>
      <w:r w:rsidR="00B03828">
        <w:rPr>
          <w:rFonts w:ascii="Times New Roman" w:hAnsi="Times New Roman" w:cs="Times New Roman"/>
          <w:color w:val="000000"/>
          <w:sz w:val="28"/>
          <w:szCs w:val="28"/>
        </w:rPr>
        <w:t>I</w:t>
      </w:r>
      <w:r w:rsidR="00A565E7">
        <w:rPr>
          <w:rFonts w:ascii="Times New Roman" w:hAnsi="Times New Roman" w:cs="Times New Roman"/>
          <w:color w:val="000000"/>
          <w:sz w:val="28"/>
          <w:szCs w:val="28"/>
        </w:rPr>
        <w:t>n their founding affidavit</w:t>
      </w:r>
      <w:r w:rsidR="00B03828">
        <w:rPr>
          <w:rFonts w:ascii="Times New Roman" w:hAnsi="Times New Roman" w:cs="Times New Roman"/>
          <w:color w:val="000000"/>
          <w:sz w:val="28"/>
          <w:szCs w:val="28"/>
        </w:rPr>
        <w:t>, t</w:t>
      </w:r>
      <w:r w:rsidR="00912731">
        <w:rPr>
          <w:rFonts w:ascii="Times New Roman" w:hAnsi="Times New Roman" w:cs="Times New Roman"/>
          <w:color w:val="000000"/>
          <w:sz w:val="28"/>
          <w:szCs w:val="28"/>
        </w:rPr>
        <w:t xml:space="preserve">he </w:t>
      </w:r>
      <w:r w:rsidR="00790029">
        <w:rPr>
          <w:rFonts w:ascii="Times New Roman" w:hAnsi="Times New Roman" w:cs="Times New Roman"/>
          <w:color w:val="000000"/>
          <w:sz w:val="28"/>
          <w:szCs w:val="28"/>
        </w:rPr>
        <w:t xml:space="preserve">applicants </w:t>
      </w:r>
      <w:r w:rsidR="00912731">
        <w:rPr>
          <w:rFonts w:ascii="Times New Roman" w:hAnsi="Times New Roman" w:cs="Times New Roman"/>
          <w:color w:val="000000"/>
          <w:sz w:val="28"/>
          <w:szCs w:val="28"/>
        </w:rPr>
        <w:t>state</w:t>
      </w:r>
      <w:r w:rsidR="001D74F8">
        <w:rPr>
          <w:rFonts w:ascii="Times New Roman" w:hAnsi="Times New Roman" w:cs="Times New Roman"/>
          <w:color w:val="000000"/>
          <w:sz w:val="28"/>
          <w:szCs w:val="28"/>
        </w:rPr>
        <w:t xml:space="preserve">d </w:t>
      </w:r>
      <w:r w:rsidR="00912731">
        <w:rPr>
          <w:rFonts w:ascii="Times New Roman" w:hAnsi="Times New Roman" w:cs="Times New Roman"/>
          <w:color w:val="000000"/>
          <w:sz w:val="28"/>
          <w:szCs w:val="28"/>
        </w:rPr>
        <w:t>that</w:t>
      </w:r>
      <w:r w:rsidR="00B03828">
        <w:rPr>
          <w:rFonts w:ascii="Times New Roman" w:hAnsi="Times New Roman" w:cs="Times New Roman"/>
          <w:color w:val="000000"/>
          <w:sz w:val="28"/>
          <w:szCs w:val="28"/>
        </w:rPr>
        <w:t xml:space="preserve"> </w:t>
      </w:r>
      <w:r w:rsidR="00B57917">
        <w:rPr>
          <w:rFonts w:ascii="Times New Roman" w:hAnsi="Times New Roman" w:cs="Times New Roman"/>
          <w:color w:val="000000"/>
          <w:sz w:val="28"/>
          <w:szCs w:val="28"/>
        </w:rPr>
        <w:t>the o</w:t>
      </w:r>
      <w:r w:rsidR="00E365E8" w:rsidRPr="00E365E8">
        <w:rPr>
          <w:rFonts w:ascii="Times New Roman" w:hAnsi="Times New Roman" w:cs="Times New Roman"/>
          <w:color w:val="000000"/>
          <w:sz w:val="28"/>
          <w:szCs w:val="28"/>
        </w:rPr>
        <w:t xml:space="preserve">nly </w:t>
      </w:r>
      <w:r w:rsidR="00B57917">
        <w:rPr>
          <w:rFonts w:ascii="Times New Roman" w:hAnsi="Times New Roman" w:cs="Times New Roman"/>
          <w:color w:val="000000"/>
          <w:sz w:val="28"/>
          <w:szCs w:val="28"/>
        </w:rPr>
        <w:t>r</w:t>
      </w:r>
      <w:r w:rsidR="00E365E8" w:rsidRPr="00E365E8">
        <w:rPr>
          <w:rFonts w:ascii="Times New Roman" w:hAnsi="Times New Roman" w:cs="Times New Roman"/>
          <w:color w:val="000000"/>
          <w:sz w:val="28"/>
          <w:szCs w:val="28"/>
        </w:rPr>
        <w:t xml:space="preserve">equirement of the Trust Deed </w:t>
      </w:r>
      <w:r w:rsidR="00730C21">
        <w:rPr>
          <w:rFonts w:ascii="Times New Roman" w:hAnsi="Times New Roman" w:cs="Times New Roman"/>
          <w:color w:val="000000"/>
          <w:sz w:val="28"/>
          <w:szCs w:val="28"/>
        </w:rPr>
        <w:t>of the Trust</w:t>
      </w:r>
      <w:r w:rsidR="00986AF2">
        <w:rPr>
          <w:rFonts w:ascii="Times New Roman" w:hAnsi="Times New Roman" w:cs="Times New Roman"/>
          <w:color w:val="000000"/>
          <w:sz w:val="28"/>
          <w:szCs w:val="28"/>
        </w:rPr>
        <w:t xml:space="preserve"> in </w:t>
      </w:r>
      <w:r w:rsidR="009D0EE4">
        <w:rPr>
          <w:rFonts w:ascii="Times New Roman" w:hAnsi="Times New Roman" w:cs="Times New Roman"/>
          <w:color w:val="000000"/>
          <w:sz w:val="28"/>
          <w:szCs w:val="28"/>
        </w:rPr>
        <w:t xml:space="preserve">clauses </w:t>
      </w:r>
      <w:r w:rsidR="00986AF2" w:rsidRPr="00E365E8">
        <w:rPr>
          <w:rFonts w:ascii="Times New Roman" w:hAnsi="Times New Roman" w:cs="Times New Roman"/>
          <w:color w:val="000000"/>
          <w:sz w:val="28"/>
          <w:szCs w:val="28"/>
        </w:rPr>
        <w:t>4.2</w:t>
      </w:r>
      <w:r w:rsidR="00986AF2">
        <w:rPr>
          <w:rFonts w:ascii="Times New Roman" w:hAnsi="Times New Roman" w:cs="Times New Roman"/>
          <w:color w:val="000000"/>
          <w:sz w:val="28"/>
          <w:szCs w:val="28"/>
        </w:rPr>
        <w:t xml:space="preserve"> and</w:t>
      </w:r>
      <w:r w:rsidR="00986AF2" w:rsidRPr="00E365E8">
        <w:rPr>
          <w:rFonts w:ascii="Times New Roman" w:hAnsi="Times New Roman" w:cs="Times New Roman"/>
          <w:color w:val="000000"/>
          <w:sz w:val="28"/>
          <w:szCs w:val="28"/>
        </w:rPr>
        <w:t xml:space="preserve"> 4.3</w:t>
      </w:r>
      <w:r w:rsidR="00986AF2">
        <w:rPr>
          <w:rFonts w:ascii="Times New Roman" w:hAnsi="Times New Roman" w:cs="Times New Roman"/>
          <w:color w:val="000000"/>
          <w:sz w:val="28"/>
          <w:szCs w:val="28"/>
        </w:rPr>
        <w:t xml:space="preserve"> </w:t>
      </w:r>
      <w:r w:rsidR="00864463">
        <w:rPr>
          <w:rFonts w:ascii="Times New Roman" w:hAnsi="Times New Roman" w:cs="Times New Roman"/>
          <w:color w:val="000000"/>
          <w:sz w:val="28"/>
          <w:szCs w:val="28"/>
        </w:rPr>
        <w:t xml:space="preserve">is </w:t>
      </w:r>
      <w:r w:rsidR="00E365E8" w:rsidRPr="00E365E8">
        <w:rPr>
          <w:rFonts w:ascii="Times New Roman" w:hAnsi="Times New Roman" w:cs="Times New Roman"/>
          <w:color w:val="000000"/>
          <w:sz w:val="28"/>
          <w:szCs w:val="28"/>
        </w:rPr>
        <w:t>that there shall at least be always two trustees</w:t>
      </w:r>
      <w:r w:rsidR="00355C93">
        <w:rPr>
          <w:rFonts w:ascii="Times New Roman" w:hAnsi="Times New Roman" w:cs="Times New Roman"/>
          <w:color w:val="000000"/>
          <w:sz w:val="28"/>
          <w:szCs w:val="28"/>
        </w:rPr>
        <w:t>. I</w:t>
      </w:r>
      <w:r w:rsidR="00E365E8" w:rsidRPr="00E365E8">
        <w:rPr>
          <w:rFonts w:ascii="Times New Roman" w:hAnsi="Times New Roman" w:cs="Times New Roman"/>
          <w:color w:val="000000"/>
          <w:sz w:val="28"/>
          <w:szCs w:val="28"/>
        </w:rPr>
        <w:t>n the meantime</w:t>
      </w:r>
      <w:r w:rsidR="009D0EE4">
        <w:rPr>
          <w:rFonts w:ascii="Times New Roman" w:hAnsi="Times New Roman" w:cs="Times New Roman"/>
          <w:color w:val="000000"/>
          <w:sz w:val="28"/>
          <w:szCs w:val="28"/>
        </w:rPr>
        <w:t>,</w:t>
      </w:r>
      <w:r w:rsidR="00E365E8" w:rsidRPr="00E365E8">
        <w:rPr>
          <w:rFonts w:ascii="Times New Roman" w:hAnsi="Times New Roman" w:cs="Times New Roman"/>
          <w:color w:val="000000"/>
          <w:sz w:val="28"/>
          <w:szCs w:val="28"/>
        </w:rPr>
        <w:t xml:space="preserve"> and until the vacancy has been filled, the remaining trustees </w:t>
      </w:r>
      <w:r w:rsidR="00093116">
        <w:rPr>
          <w:rFonts w:ascii="Times New Roman" w:hAnsi="Times New Roman" w:cs="Times New Roman"/>
          <w:color w:val="000000"/>
          <w:sz w:val="28"/>
          <w:szCs w:val="28"/>
        </w:rPr>
        <w:t>were</w:t>
      </w:r>
      <w:r w:rsidR="00E365E8" w:rsidRPr="00E365E8">
        <w:rPr>
          <w:rFonts w:ascii="Times New Roman" w:hAnsi="Times New Roman" w:cs="Times New Roman"/>
          <w:color w:val="000000"/>
          <w:sz w:val="28"/>
          <w:szCs w:val="28"/>
        </w:rPr>
        <w:t xml:space="preserve"> authorised to exercise all powers of the trustees.</w:t>
      </w:r>
    </w:p>
    <w:p w14:paraId="0B38E24F" w14:textId="56A760EB" w:rsidR="005726AA" w:rsidRDefault="009D0EE4" w:rsidP="005726AA">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50901">
        <w:rPr>
          <w:rFonts w:ascii="Times New Roman" w:hAnsi="Times New Roman" w:cs="Times New Roman"/>
          <w:color w:val="000000"/>
          <w:sz w:val="28"/>
          <w:szCs w:val="28"/>
        </w:rPr>
        <w:t>6</w:t>
      </w:r>
      <w:r>
        <w:rPr>
          <w:rFonts w:ascii="Times New Roman" w:hAnsi="Times New Roman" w:cs="Times New Roman"/>
          <w:color w:val="000000"/>
          <w:sz w:val="28"/>
          <w:szCs w:val="28"/>
        </w:rPr>
        <w:t>]</w:t>
      </w:r>
      <w:r>
        <w:rPr>
          <w:rFonts w:ascii="Times New Roman" w:hAnsi="Times New Roman" w:cs="Times New Roman"/>
          <w:color w:val="000000"/>
          <w:sz w:val="28"/>
          <w:szCs w:val="28"/>
        </w:rPr>
        <w:tab/>
        <w:t>I</w:t>
      </w:r>
      <w:r w:rsidR="005726AA">
        <w:rPr>
          <w:rFonts w:ascii="Times New Roman" w:hAnsi="Times New Roman" w:cs="Times New Roman"/>
          <w:color w:val="000000"/>
          <w:sz w:val="28"/>
          <w:szCs w:val="28"/>
        </w:rPr>
        <w:t xml:space="preserve">t </w:t>
      </w:r>
      <w:r w:rsidR="009728D2">
        <w:rPr>
          <w:rFonts w:ascii="Times New Roman" w:hAnsi="Times New Roman" w:cs="Times New Roman"/>
          <w:color w:val="000000"/>
          <w:sz w:val="28"/>
          <w:szCs w:val="28"/>
        </w:rPr>
        <w:t>wa</w:t>
      </w:r>
      <w:r w:rsidR="005726AA">
        <w:rPr>
          <w:rFonts w:ascii="Times New Roman" w:hAnsi="Times New Roman" w:cs="Times New Roman"/>
          <w:color w:val="000000"/>
          <w:sz w:val="28"/>
          <w:szCs w:val="28"/>
        </w:rPr>
        <w:t xml:space="preserve">s common cause between the parties that clauses 4.2 and 4.3 of the </w:t>
      </w:r>
      <w:r w:rsidR="004962AF">
        <w:rPr>
          <w:rFonts w:ascii="Times New Roman" w:hAnsi="Times New Roman" w:cs="Times New Roman"/>
          <w:color w:val="000000"/>
          <w:sz w:val="28"/>
          <w:szCs w:val="28"/>
        </w:rPr>
        <w:t>Tr</w:t>
      </w:r>
      <w:r w:rsidR="005726AA">
        <w:rPr>
          <w:rFonts w:ascii="Times New Roman" w:hAnsi="Times New Roman" w:cs="Times New Roman"/>
          <w:color w:val="000000"/>
          <w:sz w:val="28"/>
          <w:szCs w:val="28"/>
        </w:rPr>
        <w:t xml:space="preserve">ust </w:t>
      </w:r>
      <w:r w:rsidR="004962AF">
        <w:rPr>
          <w:rFonts w:ascii="Times New Roman" w:hAnsi="Times New Roman" w:cs="Times New Roman"/>
          <w:color w:val="000000"/>
          <w:sz w:val="28"/>
          <w:szCs w:val="28"/>
        </w:rPr>
        <w:t>De</w:t>
      </w:r>
      <w:r w:rsidR="005726AA">
        <w:rPr>
          <w:rFonts w:ascii="Times New Roman" w:hAnsi="Times New Roman" w:cs="Times New Roman"/>
          <w:color w:val="000000"/>
          <w:sz w:val="28"/>
          <w:szCs w:val="28"/>
        </w:rPr>
        <w:t>ed envisage</w:t>
      </w:r>
      <w:r w:rsidR="004962AF">
        <w:rPr>
          <w:rFonts w:ascii="Times New Roman" w:hAnsi="Times New Roman" w:cs="Times New Roman"/>
          <w:color w:val="000000"/>
          <w:sz w:val="28"/>
          <w:szCs w:val="28"/>
        </w:rPr>
        <w:t>s</w:t>
      </w:r>
      <w:r w:rsidR="005726AA">
        <w:rPr>
          <w:rFonts w:ascii="Times New Roman" w:hAnsi="Times New Roman" w:cs="Times New Roman"/>
          <w:color w:val="000000"/>
          <w:sz w:val="28"/>
          <w:szCs w:val="28"/>
        </w:rPr>
        <w:t xml:space="preserve"> that two trustees may validly act on behalf of the trust. The relevant parts of the clauses read:  </w:t>
      </w:r>
    </w:p>
    <w:p w14:paraId="204E94BE" w14:textId="77777777" w:rsidR="005726AA" w:rsidRDefault="005726AA" w:rsidP="005726AA">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BE7A0B">
        <w:rPr>
          <w:rFonts w:ascii="Times New Roman" w:hAnsi="Times New Roman" w:cs="Times New Roman"/>
          <w:color w:val="000000"/>
          <w:sz w:val="24"/>
          <w:szCs w:val="24"/>
        </w:rPr>
        <w:t>4.2</w:t>
      </w:r>
      <w:r>
        <w:rPr>
          <w:rFonts w:ascii="Times New Roman" w:hAnsi="Times New Roman" w:cs="Times New Roman"/>
          <w:color w:val="000000"/>
          <w:sz w:val="24"/>
          <w:szCs w:val="24"/>
        </w:rPr>
        <w:tab/>
      </w:r>
      <w:r w:rsidRPr="00BE7A0B">
        <w:rPr>
          <w:rFonts w:ascii="Times New Roman" w:hAnsi="Times New Roman" w:cs="Times New Roman"/>
          <w:color w:val="000000"/>
          <w:sz w:val="24"/>
          <w:szCs w:val="24"/>
        </w:rPr>
        <w:t xml:space="preserve"> Daar </w:t>
      </w:r>
      <w:proofErr w:type="spellStart"/>
      <w:r w:rsidRPr="00BE7A0B">
        <w:rPr>
          <w:rFonts w:ascii="Times New Roman" w:hAnsi="Times New Roman" w:cs="Times New Roman"/>
          <w:color w:val="000000"/>
          <w:sz w:val="24"/>
          <w:szCs w:val="24"/>
        </w:rPr>
        <w:t>moet</w:t>
      </w:r>
      <w:proofErr w:type="spellEnd"/>
      <w:r w:rsidRPr="00BE7A0B">
        <w:rPr>
          <w:rFonts w:ascii="Times New Roman" w:hAnsi="Times New Roman" w:cs="Times New Roman"/>
          <w:color w:val="000000"/>
          <w:sz w:val="24"/>
          <w:szCs w:val="24"/>
        </w:rPr>
        <w:t xml:space="preserve"> </w:t>
      </w:r>
      <w:proofErr w:type="spellStart"/>
      <w:r w:rsidRPr="00BE7A0B">
        <w:rPr>
          <w:rFonts w:ascii="Times New Roman" w:hAnsi="Times New Roman" w:cs="Times New Roman"/>
          <w:color w:val="000000"/>
          <w:sz w:val="24"/>
          <w:szCs w:val="24"/>
        </w:rPr>
        <w:t>te</w:t>
      </w:r>
      <w:proofErr w:type="spellEnd"/>
      <w:r w:rsidRPr="00BE7A0B">
        <w:rPr>
          <w:rFonts w:ascii="Times New Roman" w:hAnsi="Times New Roman" w:cs="Times New Roman"/>
          <w:color w:val="000000"/>
          <w:sz w:val="24"/>
          <w:szCs w:val="24"/>
        </w:rPr>
        <w:t xml:space="preserve"> alle </w:t>
      </w:r>
      <w:proofErr w:type="spellStart"/>
      <w:r w:rsidRPr="00BE7A0B">
        <w:rPr>
          <w:rFonts w:ascii="Times New Roman" w:hAnsi="Times New Roman" w:cs="Times New Roman"/>
          <w:color w:val="000000"/>
          <w:sz w:val="24"/>
          <w:szCs w:val="24"/>
        </w:rPr>
        <w:t>tye</w:t>
      </w:r>
      <w:proofErr w:type="spellEnd"/>
      <w:r w:rsidRPr="00BE7A0B">
        <w:rPr>
          <w:rFonts w:ascii="Times New Roman" w:hAnsi="Times New Roman" w:cs="Times New Roman"/>
          <w:color w:val="000000"/>
          <w:sz w:val="24"/>
          <w:szCs w:val="24"/>
        </w:rPr>
        <w:t xml:space="preserve"> </w:t>
      </w:r>
      <w:proofErr w:type="spellStart"/>
      <w:r w:rsidRPr="00BE7A0B">
        <w:rPr>
          <w:rFonts w:ascii="Times New Roman" w:hAnsi="Times New Roman" w:cs="Times New Roman"/>
          <w:color w:val="000000"/>
          <w:sz w:val="24"/>
          <w:szCs w:val="24"/>
        </w:rPr>
        <w:t>minstens</w:t>
      </w:r>
      <w:proofErr w:type="spellEnd"/>
      <w:r w:rsidRPr="00BE7A0B">
        <w:rPr>
          <w:rFonts w:ascii="Times New Roman" w:hAnsi="Times New Roman" w:cs="Times New Roman"/>
          <w:color w:val="000000"/>
          <w:sz w:val="24"/>
          <w:szCs w:val="24"/>
        </w:rPr>
        <w:t xml:space="preserve"> 2 (twee) trustee (s) in amp wees.</w:t>
      </w:r>
    </w:p>
    <w:p w14:paraId="01ACFEAA" w14:textId="77777777" w:rsidR="005726AA" w:rsidRDefault="005726AA" w:rsidP="005726AA">
      <w:pPr>
        <w:spacing w:line="36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4.3</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t>
      </w:r>
      <w:proofErr w:type="gramEnd"/>
    </w:p>
    <w:p w14:paraId="64B277BA" w14:textId="77777777" w:rsidR="005726AA" w:rsidRPr="00E31132" w:rsidRDefault="005726AA" w:rsidP="005726AA">
      <w:pPr>
        <w:spacing w:line="360" w:lineRule="auto"/>
        <w:ind w:left="720"/>
        <w:jc w:val="both"/>
        <w:rPr>
          <w:rFonts w:ascii="Times New Roman" w:hAnsi="Times New Roman" w:cs="Times New Roman"/>
          <w:b/>
          <w:bCs/>
          <w:color w:val="000000"/>
          <w:sz w:val="24"/>
          <w:szCs w:val="24"/>
        </w:rPr>
      </w:pPr>
      <w:r w:rsidRPr="00E31132">
        <w:rPr>
          <w:rStyle w:val="Strong"/>
          <w:rFonts w:ascii="Times New Roman" w:hAnsi="Times New Roman" w:cs="Times New Roman"/>
          <w:b w:val="0"/>
          <w:bCs w:val="0"/>
          <w:color w:val="000000"/>
          <w:sz w:val="24"/>
          <w:szCs w:val="24"/>
        </w:rPr>
        <w:t xml:space="preserve">Tot </w:t>
      </w:r>
      <w:proofErr w:type="spellStart"/>
      <w:r w:rsidRPr="00E31132">
        <w:rPr>
          <w:rStyle w:val="Strong"/>
          <w:rFonts w:ascii="Times New Roman" w:hAnsi="Times New Roman" w:cs="Times New Roman"/>
          <w:b w:val="0"/>
          <w:bCs w:val="0"/>
          <w:color w:val="000000"/>
          <w:sz w:val="24"/>
          <w:szCs w:val="24"/>
        </w:rPr>
        <w:t>tyd</w:t>
      </w:r>
      <w:proofErr w:type="spellEnd"/>
      <w:r w:rsidRPr="00E31132">
        <w:rPr>
          <w:rStyle w:val="Strong"/>
          <w:rFonts w:ascii="Times New Roman" w:hAnsi="Times New Roman" w:cs="Times New Roman"/>
          <w:b w:val="0"/>
          <w:bCs w:val="0"/>
          <w:color w:val="000000"/>
          <w:sz w:val="24"/>
          <w:szCs w:val="24"/>
        </w:rPr>
        <w:t xml:space="preserve"> on </w:t>
      </w:r>
      <w:proofErr w:type="spellStart"/>
      <w:r w:rsidRPr="00E31132">
        <w:rPr>
          <w:rStyle w:val="Strong"/>
          <w:rFonts w:ascii="Times New Roman" w:hAnsi="Times New Roman" w:cs="Times New Roman"/>
          <w:b w:val="0"/>
          <w:bCs w:val="0"/>
          <w:color w:val="000000"/>
          <w:sz w:val="24"/>
          <w:szCs w:val="24"/>
        </w:rPr>
        <w:t>wyl</w:t>
      </w:r>
      <w:proofErr w:type="spellEnd"/>
      <w:r w:rsidRPr="00E31132">
        <w:rPr>
          <w:rStyle w:val="Strong"/>
          <w:rFonts w:ascii="Times New Roman" w:hAnsi="Times New Roman" w:cs="Times New Roman"/>
          <w:b w:val="0"/>
          <w:bCs w:val="0"/>
          <w:color w:val="000000"/>
          <w:sz w:val="24"/>
          <w:szCs w:val="24"/>
        </w:rPr>
        <w:t xml:space="preserve"> die </w:t>
      </w:r>
      <w:proofErr w:type="spellStart"/>
      <w:r w:rsidRPr="00E31132">
        <w:rPr>
          <w:rStyle w:val="Strong"/>
          <w:rFonts w:ascii="Times New Roman" w:hAnsi="Times New Roman" w:cs="Times New Roman"/>
          <w:b w:val="0"/>
          <w:bCs w:val="0"/>
          <w:color w:val="000000"/>
          <w:sz w:val="24"/>
          <w:szCs w:val="24"/>
        </w:rPr>
        <w:t>vakatures</w:t>
      </w:r>
      <w:proofErr w:type="spellEnd"/>
      <w:r w:rsidRPr="00E31132">
        <w:rPr>
          <w:rStyle w:val="Strong"/>
          <w:rFonts w:ascii="Times New Roman" w:hAnsi="Times New Roman" w:cs="Times New Roman"/>
          <w:b w:val="0"/>
          <w:bCs w:val="0"/>
          <w:color w:val="000000"/>
          <w:sz w:val="24"/>
          <w:szCs w:val="24"/>
        </w:rPr>
        <w:t xml:space="preserve"> </w:t>
      </w:r>
      <w:proofErr w:type="spellStart"/>
      <w:r w:rsidRPr="00E31132">
        <w:rPr>
          <w:rStyle w:val="Strong"/>
          <w:rFonts w:ascii="Times New Roman" w:hAnsi="Times New Roman" w:cs="Times New Roman"/>
          <w:b w:val="0"/>
          <w:bCs w:val="0"/>
          <w:color w:val="000000"/>
          <w:sz w:val="24"/>
          <w:szCs w:val="24"/>
        </w:rPr>
        <w:t>aangovul</w:t>
      </w:r>
      <w:proofErr w:type="spellEnd"/>
      <w:r w:rsidRPr="00E31132">
        <w:rPr>
          <w:rStyle w:val="Strong"/>
          <w:rFonts w:ascii="Times New Roman" w:hAnsi="Times New Roman" w:cs="Times New Roman"/>
          <w:b w:val="0"/>
          <w:bCs w:val="0"/>
          <w:color w:val="000000"/>
          <w:sz w:val="24"/>
          <w:szCs w:val="24"/>
        </w:rPr>
        <w:t xml:space="preserve"> is, is die </w:t>
      </w:r>
      <w:proofErr w:type="spellStart"/>
      <w:r w:rsidRPr="00E31132">
        <w:rPr>
          <w:rStyle w:val="Strong"/>
          <w:rFonts w:ascii="Times New Roman" w:hAnsi="Times New Roman" w:cs="Times New Roman"/>
          <w:b w:val="0"/>
          <w:bCs w:val="0"/>
          <w:color w:val="000000"/>
          <w:sz w:val="24"/>
          <w:szCs w:val="24"/>
        </w:rPr>
        <w:t>oorblywende</w:t>
      </w:r>
      <w:proofErr w:type="spellEnd"/>
      <w:r w:rsidRPr="00E31132">
        <w:rPr>
          <w:rStyle w:val="Strong"/>
          <w:rFonts w:ascii="Times New Roman" w:hAnsi="Times New Roman" w:cs="Times New Roman"/>
          <w:b w:val="0"/>
          <w:bCs w:val="0"/>
          <w:color w:val="000000"/>
          <w:sz w:val="24"/>
          <w:szCs w:val="24"/>
        </w:rPr>
        <w:t xml:space="preserve"> trustee of trustees </w:t>
      </w:r>
      <w:proofErr w:type="spellStart"/>
      <w:r w:rsidRPr="00E31132">
        <w:rPr>
          <w:rStyle w:val="Strong"/>
          <w:rFonts w:ascii="Times New Roman" w:hAnsi="Times New Roman" w:cs="Times New Roman"/>
          <w:b w:val="0"/>
          <w:bCs w:val="0"/>
          <w:color w:val="000000"/>
          <w:sz w:val="24"/>
          <w:szCs w:val="24"/>
        </w:rPr>
        <w:t>gemagtig</w:t>
      </w:r>
      <w:proofErr w:type="spellEnd"/>
      <w:r w:rsidRPr="00E31132">
        <w:rPr>
          <w:rStyle w:val="Strong"/>
          <w:rFonts w:ascii="Times New Roman" w:hAnsi="Times New Roman" w:cs="Times New Roman"/>
          <w:b w:val="0"/>
          <w:bCs w:val="0"/>
          <w:color w:val="000000"/>
          <w:sz w:val="24"/>
          <w:szCs w:val="24"/>
        </w:rPr>
        <w:t xml:space="preserve"> om alle </w:t>
      </w:r>
      <w:proofErr w:type="spellStart"/>
      <w:r w:rsidRPr="00E31132">
        <w:rPr>
          <w:rStyle w:val="Strong"/>
          <w:rFonts w:ascii="Times New Roman" w:hAnsi="Times New Roman" w:cs="Times New Roman"/>
          <w:b w:val="0"/>
          <w:bCs w:val="0"/>
          <w:color w:val="000000"/>
          <w:sz w:val="24"/>
          <w:szCs w:val="24"/>
        </w:rPr>
        <w:t>magte</w:t>
      </w:r>
      <w:proofErr w:type="spellEnd"/>
      <w:r w:rsidRPr="00E31132">
        <w:rPr>
          <w:rStyle w:val="Strong"/>
          <w:rFonts w:ascii="Times New Roman" w:hAnsi="Times New Roman" w:cs="Times New Roman"/>
          <w:b w:val="0"/>
          <w:bCs w:val="0"/>
          <w:color w:val="000000"/>
          <w:sz w:val="24"/>
          <w:szCs w:val="24"/>
        </w:rPr>
        <w:t xml:space="preserve"> van trustees </w:t>
      </w:r>
      <w:proofErr w:type="spellStart"/>
      <w:r w:rsidRPr="00E31132">
        <w:rPr>
          <w:rStyle w:val="Strong"/>
          <w:rFonts w:ascii="Times New Roman" w:hAnsi="Times New Roman" w:cs="Times New Roman"/>
          <w:b w:val="0"/>
          <w:bCs w:val="0"/>
          <w:color w:val="000000"/>
          <w:sz w:val="24"/>
          <w:szCs w:val="24"/>
        </w:rPr>
        <w:t>uit</w:t>
      </w:r>
      <w:proofErr w:type="spellEnd"/>
      <w:r w:rsidRPr="00E31132">
        <w:rPr>
          <w:rStyle w:val="Strong"/>
          <w:rFonts w:ascii="Times New Roman" w:hAnsi="Times New Roman" w:cs="Times New Roman"/>
          <w:b w:val="0"/>
          <w:bCs w:val="0"/>
          <w:color w:val="000000"/>
          <w:sz w:val="24"/>
          <w:szCs w:val="24"/>
        </w:rPr>
        <w:t xml:space="preserve"> </w:t>
      </w:r>
      <w:proofErr w:type="spellStart"/>
      <w:r w:rsidRPr="00E31132">
        <w:rPr>
          <w:rStyle w:val="Strong"/>
          <w:rFonts w:ascii="Times New Roman" w:hAnsi="Times New Roman" w:cs="Times New Roman"/>
          <w:b w:val="0"/>
          <w:bCs w:val="0"/>
          <w:color w:val="000000"/>
          <w:sz w:val="24"/>
          <w:szCs w:val="24"/>
        </w:rPr>
        <w:t>te</w:t>
      </w:r>
      <w:proofErr w:type="spellEnd"/>
      <w:r w:rsidRPr="00E31132">
        <w:rPr>
          <w:rStyle w:val="Strong"/>
          <w:rFonts w:ascii="Times New Roman" w:hAnsi="Times New Roman" w:cs="Times New Roman"/>
          <w:b w:val="0"/>
          <w:bCs w:val="0"/>
          <w:color w:val="000000"/>
          <w:sz w:val="24"/>
          <w:szCs w:val="24"/>
        </w:rPr>
        <w:t xml:space="preserve"> </w:t>
      </w:r>
      <w:proofErr w:type="spellStart"/>
      <w:r w:rsidRPr="00E31132">
        <w:rPr>
          <w:rStyle w:val="Strong"/>
          <w:rFonts w:ascii="Times New Roman" w:hAnsi="Times New Roman" w:cs="Times New Roman"/>
          <w:b w:val="0"/>
          <w:bCs w:val="0"/>
          <w:color w:val="000000"/>
          <w:sz w:val="24"/>
          <w:szCs w:val="24"/>
        </w:rPr>
        <w:t>oefen</w:t>
      </w:r>
      <w:proofErr w:type="spellEnd"/>
      <w:r w:rsidRPr="00E31132">
        <w:rPr>
          <w:rStyle w:val="Strong"/>
          <w:rFonts w:ascii="Times New Roman" w:hAnsi="Times New Roman" w:cs="Times New Roman"/>
          <w:b w:val="0"/>
          <w:bCs w:val="0"/>
          <w:color w:val="000000"/>
          <w:sz w:val="24"/>
          <w:szCs w:val="24"/>
        </w:rPr>
        <w:t xml:space="preserve"> </w:t>
      </w:r>
      <w:proofErr w:type="spellStart"/>
      <w:r w:rsidRPr="00E31132">
        <w:rPr>
          <w:rStyle w:val="Strong"/>
          <w:rFonts w:ascii="Times New Roman" w:hAnsi="Times New Roman" w:cs="Times New Roman"/>
          <w:b w:val="0"/>
          <w:bCs w:val="0"/>
          <w:color w:val="000000"/>
          <w:sz w:val="24"/>
          <w:szCs w:val="24"/>
        </w:rPr>
        <w:t>vir</w:t>
      </w:r>
      <w:proofErr w:type="spellEnd"/>
      <w:r w:rsidRPr="00E31132">
        <w:rPr>
          <w:rStyle w:val="Strong"/>
          <w:rFonts w:ascii="Times New Roman" w:hAnsi="Times New Roman" w:cs="Times New Roman"/>
          <w:b w:val="0"/>
          <w:bCs w:val="0"/>
          <w:color w:val="000000"/>
          <w:sz w:val="24"/>
          <w:szCs w:val="24"/>
        </w:rPr>
        <w:t xml:space="preserve"> die </w:t>
      </w:r>
      <w:proofErr w:type="spellStart"/>
      <w:r w:rsidRPr="00E31132">
        <w:rPr>
          <w:rStyle w:val="Strong"/>
          <w:rFonts w:ascii="Times New Roman" w:hAnsi="Times New Roman" w:cs="Times New Roman"/>
          <w:b w:val="0"/>
          <w:bCs w:val="0"/>
          <w:color w:val="000000"/>
          <w:sz w:val="24"/>
          <w:szCs w:val="24"/>
        </w:rPr>
        <w:t>behoud</w:t>
      </w:r>
      <w:proofErr w:type="spellEnd"/>
      <w:r w:rsidRPr="00E31132">
        <w:rPr>
          <w:rStyle w:val="Strong"/>
          <w:rFonts w:ascii="Times New Roman" w:hAnsi="Times New Roman" w:cs="Times New Roman"/>
          <w:b w:val="0"/>
          <w:bCs w:val="0"/>
          <w:color w:val="000000"/>
          <w:sz w:val="24"/>
          <w:szCs w:val="24"/>
        </w:rPr>
        <w:t xml:space="preserve"> van </w:t>
      </w:r>
      <w:proofErr w:type="spellStart"/>
      <w:r w:rsidRPr="00E31132">
        <w:rPr>
          <w:rStyle w:val="Strong"/>
          <w:rFonts w:ascii="Times New Roman" w:hAnsi="Times New Roman" w:cs="Times New Roman"/>
          <w:b w:val="0"/>
          <w:bCs w:val="0"/>
          <w:color w:val="000000"/>
          <w:sz w:val="24"/>
          <w:szCs w:val="24"/>
        </w:rPr>
        <w:t>trustbates</w:t>
      </w:r>
      <w:proofErr w:type="spellEnd"/>
      <w:r w:rsidRPr="00E31132">
        <w:rPr>
          <w:rStyle w:val="Strong"/>
          <w:rFonts w:ascii="Times New Roman" w:hAnsi="Times New Roman" w:cs="Times New Roman"/>
          <w:b w:val="0"/>
          <w:bCs w:val="0"/>
          <w:color w:val="000000"/>
          <w:sz w:val="24"/>
          <w:szCs w:val="24"/>
        </w:rPr>
        <w:t>.’</w:t>
      </w:r>
    </w:p>
    <w:p w14:paraId="3418CA25" w14:textId="235707E4" w:rsidR="001A5414" w:rsidRDefault="005726AA" w:rsidP="006B5A3D">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w:t>
      </w:r>
      <w:r w:rsidR="00A50901">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912731">
        <w:rPr>
          <w:rFonts w:ascii="Times New Roman" w:hAnsi="Times New Roman" w:cs="Times New Roman"/>
          <w:sz w:val="28"/>
          <w:szCs w:val="28"/>
        </w:rPr>
        <w:t xml:space="preserve"> </w:t>
      </w:r>
      <w:r w:rsidR="004B2FA0">
        <w:rPr>
          <w:rFonts w:ascii="Times New Roman" w:hAnsi="Times New Roman" w:cs="Times New Roman"/>
          <w:sz w:val="28"/>
          <w:szCs w:val="28"/>
        </w:rPr>
        <w:t>O</w:t>
      </w:r>
      <w:r w:rsidR="004B2FA0">
        <w:rPr>
          <w:rFonts w:ascii="Times New Roman" w:hAnsi="Times New Roman" w:cs="Times New Roman"/>
          <w:color w:val="000000"/>
          <w:sz w:val="28"/>
          <w:szCs w:val="28"/>
        </w:rPr>
        <w:t xml:space="preserve">n 13 December 2021, following the </w:t>
      </w:r>
      <w:r w:rsidR="00534D38">
        <w:rPr>
          <w:rFonts w:ascii="Times New Roman" w:hAnsi="Times New Roman" w:cs="Times New Roman"/>
          <w:color w:val="000000"/>
          <w:sz w:val="28"/>
          <w:szCs w:val="28"/>
        </w:rPr>
        <w:t xml:space="preserve">exchange of the </w:t>
      </w:r>
      <w:r w:rsidR="001D740A">
        <w:rPr>
          <w:rFonts w:ascii="Times New Roman" w:hAnsi="Times New Roman" w:cs="Times New Roman"/>
          <w:color w:val="000000"/>
          <w:sz w:val="28"/>
          <w:szCs w:val="28"/>
        </w:rPr>
        <w:t xml:space="preserve">permissible number of </w:t>
      </w:r>
      <w:r w:rsidR="00534D38">
        <w:rPr>
          <w:rFonts w:ascii="Times New Roman" w:hAnsi="Times New Roman" w:cs="Times New Roman"/>
          <w:color w:val="000000"/>
          <w:sz w:val="28"/>
          <w:szCs w:val="28"/>
        </w:rPr>
        <w:t>affidavits</w:t>
      </w:r>
      <w:r w:rsidR="001D740A">
        <w:rPr>
          <w:rFonts w:ascii="Times New Roman" w:hAnsi="Times New Roman" w:cs="Times New Roman"/>
          <w:color w:val="000000"/>
          <w:sz w:val="28"/>
          <w:szCs w:val="28"/>
        </w:rPr>
        <w:t xml:space="preserve">, </w:t>
      </w:r>
      <w:r w:rsidR="00534D38">
        <w:rPr>
          <w:rFonts w:ascii="Times New Roman" w:hAnsi="Times New Roman" w:cs="Times New Roman"/>
          <w:color w:val="000000"/>
          <w:sz w:val="28"/>
          <w:szCs w:val="28"/>
        </w:rPr>
        <w:t xml:space="preserve">the applicants delivered a supplementary affidavit, placing further facts </w:t>
      </w:r>
      <w:r w:rsidR="00E459EC">
        <w:rPr>
          <w:rFonts w:ascii="Times New Roman" w:hAnsi="Times New Roman" w:cs="Times New Roman"/>
          <w:color w:val="000000"/>
          <w:sz w:val="28"/>
          <w:szCs w:val="28"/>
        </w:rPr>
        <w:t>regard</w:t>
      </w:r>
      <w:r w:rsidR="00800179">
        <w:rPr>
          <w:rFonts w:ascii="Times New Roman" w:hAnsi="Times New Roman" w:cs="Times New Roman"/>
          <w:color w:val="000000"/>
          <w:sz w:val="28"/>
          <w:szCs w:val="28"/>
        </w:rPr>
        <w:t xml:space="preserve">ing </w:t>
      </w:r>
      <w:proofErr w:type="spellStart"/>
      <w:r w:rsidR="00DC47B6">
        <w:rPr>
          <w:rFonts w:ascii="Times New Roman" w:hAnsi="Times New Roman" w:cs="Times New Roman"/>
          <w:color w:val="000000"/>
          <w:sz w:val="28"/>
          <w:szCs w:val="28"/>
        </w:rPr>
        <w:t>Floxifor’s</w:t>
      </w:r>
      <w:proofErr w:type="spellEnd"/>
      <w:r w:rsidR="006942BF">
        <w:rPr>
          <w:rFonts w:ascii="Times New Roman" w:hAnsi="Times New Roman" w:cs="Times New Roman"/>
          <w:color w:val="000000"/>
          <w:sz w:val="28"/>
          <w:szCs w:val="28"/>
        </w:rPr>
        <w:t xml:space="preserve"> indebtedness. </w:t>
      </w:r>
    </w:p>
    <w:p w14:paraId="3CC400E2" w14:textId="345DD95F" w:rsidR="00B74745" w:rsidRDefault="001A5414" w:rsidP="0047382A">
      <w:pPr>
        <w:spacing w:line="360" w:lineRule="auto"/>
        <w:jc w:val="both"/>
        <w:rPr>
          <w:rFonts w:ascii="Times New Roman" w:hAnsi="Times New Roman" w:cs="Times New Roman"/>
          <w:color w:val="000000"/>
          <w:sz w:val="28"/>
          <w:szCs w:val="28"/>
        </w:rPr>
      </w:pPr>
      <w:r w:rsidRPr="003A107E">
        <w:rPr>
          <w:rFonts w:ascii="Times New Roman" w:hAnsi="Times New Roman" w:cs="Times New Roman"/>
          <w:color w:val="000000"/>
          <w:sz w:val="28"/>
          <w:szCs w:val="28"/>
        </w:rPr>
        <w:t>[</w:t>
      </w:r>
      <w:r w:rsidR="00800179">
        <w:rPr>
          <w:rFonts w:ascii="Times New Roman" w:hAnsi="Times New Roman" w:cs="Times New Roman"/>
          <w:color w:val="000000"/>
          <w:sz w:val="28"/>
          <w:szCs w:val="28"/>
        </w:rPr>
        <w:t>8</w:t>
      </w:r>
      <w:r w:rsidRPr="003A107E">
        <w:rPr>
          <w:rFonts w:ascii="Times New Roman" w:hAnsi="Times New Roman" w:cs="Times New Roman"/>
          <w:color w:val="000000"/>
          <w:sz w:val="28"/>
          <w:szCs w:val="28"/>
        </w:rPr>
        <w:t>]</w:t>
      </w:r>
      <w:r w:rsidRPr="003A107E">
        <w:rPr>
          <w:rFonts w:ascii="Times New Roman" w:hAnsi="Times New Roman" w:cs="Times New Roman"/>
          <w:color w:val="000000"/>
          <w:sz w:val="28"/>
          <w:szCs w:val="28"/>
        </w:rPr>
        <w:tab/>
      </w:r>
      <w:r w:rsidR="0005472F">
        <w:rPr>
          <w:rFonts w:ascii="Times New Roman" w:hAnsi="Times New Roman" w:cs="Times New Roman"/>
          <w:color w:val="000000"/>
          <w:sz w:val="28"/>
          <w:szCs w:val="28"/>
        </w:rPr>
        <w:t xml:space="preserve">Progress in </w:t>
      </w:r>
      <w:r w:rsidR="00C31F97">
        <w:rPr>
          <w:rFonts w:ascii="Times New Roman" w:hAnsi="Times New Roman" w:cs="Times New Roman"/>
          <w:color w:val="000000"/>
          <w:sz w:val="28"/>
          <w:szCs w:val="28"/>
        </w:rPr>
        <w:t xml:space="preserve">finally determining </w:t>
      </w:r>
      <w:r w:rsidR="00275CB2">
        <w:rPr>
          <w:rFonts w:ascii="Times New Roman" w:hAnsi="Times New Roman" w:cs="Times New Roman"/>
          <w:color w:val="000000"/>
          <w:sz w:val="28"/>
          <w:szCs w:val="28"/>
        </w:rPr>
        <w:t xml:space="preserve">the </w:t>
      </w:r>
      <w:r w:rsidR="00AF7242">
        <w:rPr>
          <w:rFonts w:ascii="Times New Roman" w:hAnsi="Times New Roman" w:cs="Times New Roman"/>
          <w:color w:val="000000"/>
          <w:sz w:val="28"/>
          <w:szCs w:val="28"/>
        </w:rPr>
        <w:t>liquidation</w:t>
      </w:r>
      <w:r w:rsidR="0005472F">
        <w:rPr>
          <w:rFonts w:ascii="Times New Roman" w:hAnsi="Times New Roman" w:cs="Times New Roman"/>
          <w:color w:val="000000"/>
          <w:sz w:val="28"/>
          <w:szCs w:val="28"/>
        </w:rPr>
        <w:t xml:space="preserve"> application has </w:t>
      </w:r>
      <w:r w:rsidR="008A3E61">
        <w:rPr>
          <w:rFonts w:ascii="Times New Roman" w:hAnsi="Times New Roman" w:cs="Times New Roman"/>
          <w:color w:val="000000"/>
          <w:sz w:val="28"/>
          <w:szCs w:val="28"/>
        </w:rPr>
        <w:t xml:space="preserve">stalled and </w:t>
      </w:r>
      <w:r w:rsidR="009C5692">
        <w:rPr>
          <w:rFonts w:ascii="Times New Roman" w:hAnsi="Times New Roman" w:cs="Times New Roman"/>
          <w:color w:val="000000"/>
          <w:sz w:val="28"/>
          <w:szCs w:val="28"/>
        </w:rPr>
        <w:t>is embroiled</w:t>
      </w:r>
      <w:r w:rsidR="00800179">
        <w:rPr>
          <w:rFonts w:ascii="Times New Roman" w:hAnsi="Times New Roman" w:cs="Times New Roman"/>
          <w:color w:val="000000"/>
          <w:sz w:val="28"/>
          <w:szCs w:val="28"/>
        </w:rPr>
        <w:t xml:space="preserve"> </w:t>
      </w:r>
      <w:r w:rsidR="00DB55A3">
        <w:rPr>
          <w:rFonts w:ascii="Times New Roman" w:hAnsi="Times New Roman" w:cs="Times New Roman"/>
          <w:color w:val="000000"/>
          <w:sz w:val="28"/>
          <w:szCs w:val="28"/>
        </w:rPr>
        <w:t>in</w:t>
      </w:r>
      <w:r w:rsidR="0005472F">
        <w:rPr>
          <w:rFonts w:ascii="Times New Roman" w:hAnsi="Times New Roman" w:cs="Times New Roman"/>
          <w:color w:val="000000"/>
          <w:sz w:val="28"/>
          <w:szCs w:val="28"/>
        </w:rPr>
        <w:t xml:space="preserve"> </w:t>
      </w:r>
      <w:r w:rsidR="009C5692">
        <w:rPr>
          <w:rFonts w:ascii="Times New Roman" w:hAnsi="Times New Roman" w:cs="Times New Roman"/>
          <w:color w:val="000000"/>
          <w:sz w:val="28"/>
          <w:szCs w:val="28"/>
        </w:rPr>
        <w:t xml:space="preserve">a series of </w:t>
      </w:r>
      <w:r w:rsidR="0005472F">
        <w:rPr>
          <w:rFonts w:ascii="Times New Roman" w:hAnsi="Times New Roman" w:cs="Times New Roman"/>
          <w:color w:val="000000"/>
          <w:sz w:val="28"/>
          <w:szCs w:val="28"/>
        </w:rPr>
        <w:t>interlocutory disputes</w:t>
      </w:r>
      <w:r w:rsidR="00275CB2">
        <w:rPr>
          <w:rFonts w:ascii="Times New Roman" w:hAnsi="Times New Roman" w:cs="Times New Roman"/>
          <w:color w:val="000000"/>
          <w:sz w:val="28"/>
          <w:szCs w:val="28"/>
        </w:rPr>
        <w:t xml:space="preserve">. </w:t>
      </w:r>
      <w:r w:rsidR="007027FE">
        <w:rPr>
          <w:rFonts w:ascii="Times New Roman" w:hAnsi="Times New Roman" w:cs="Times New Roman"/>
          <w:color w:val="000000"/>
          <w:sz w:val="28"/>
          <w:szCs w:val="28"/>
        </w:rPr>
        <w:t>Both p</w:t>
      </w:r>
      <w:r w:rsidR="0080072B">
        <w:rPr>
          <w:rFonts w:ascii="Times New Roman" w:hAnsi="Times New Roman" w:cs="Times New Roman"/>
          <w:color w:val="000000"/>
          <w:sz w:val="28"/>
          <w:szCs w:val="28"/>
        </w:rPr>
        <w:t>arties filed several notices</w:t>
      </w:r>
      <w:r w:rsidR="00275CB2">
        <w:rPr>
          <w:rFonts w:ascii="Times New Roman" w:hAnsi="Times New Roman" w:cs="Times New Roman"/>
          <w:color w:val="000000"/>
          <w:sz w:val="28"/>
          <w:szCs w:val="28"/>
        </w:rPr>
        <w:t xml:space="preserve">, some </w:t>
      </w:r>
      <w:r w:rsidR="00AF7242">
        <w:rPr>
          <w:rFonts w:ascii="Times New Roman" w:hAnsi="Times New Roman" w:cs="Times New Roman"/>
          <w:color w:val="000000"/>
          <w:sz w:val="28"/>
          <w:szCs w:val="28"/>
        </w:rPr>
        <w:t xml:space="preserve">of which </w:t>
      </w:r>
      <w:r w:rsidR="00925150">
        <w:rPr>
          <w:rFonts w:ascii="Times New Roman" w:hAnsi="Times New Roman" w:cs="Times New Roman"/>
          <w:color w:val="000000"/>
          <w:sz w:val="28"/>
          <w:szCs w:val="28"/>
        </w:rPr>
        <w:t xml:space="preserve">were </w:t>
      </w:r>
      <w:r w:rsidR="00DB55A3">
        <w:rPr>
          <w:rFonts w:ascii="Times New Roman" w:hAnsi="Times New Roman" w:cs="Times New Roman"/>
          <w:color w:val="000000"/>
          <w:sz w:val="28"/>
          <w:szCs w:val="28"/>
        </w:rPr>
        <w:t xml:space="preserve">accompanied </w:t>
      </w:r>
      <w:r w:rsidR="00275CB2">
        <w:rPr>
          <w:rFonts w:ascii="Times New Roman" w:hAnsi="Times New Roman" w:cs="Times New Roman"/>
          <w:color w:val="000000"/>
          <w:sz w:val="28"/>
          <w:szCs w:val="28"/>
        </w:rPr>
        <w:t xml:space="preserve">by substantive applications </w:t>
      </w:r>
      <w:r w:rsidR="007027FE">
        <w:rPr>
          <w:rFonts w:ascii="Times New Roman" w:hAnsi="Times New Roman" w:cs="Times New Roman"/>
          <w:color w:val="000000"/>
          <w:sz w:val="28"/>
          <w:szCs w:val="28"/>
        </w:rPr>
        <w:t>in terms of the Uniform Rules of Court</w:t>
      </w:r>
      <w:r w:rsidR="0005472F">
        <w:rPr>
          <w:rFonts w:ascii="Times New Roman" w:hAnsi="Times New Roman" w:cs="Times New Roman"/>
          <w:color w:val="000000"/>
          <w:sz w:val="28"/>
          <w:szCs w:val="28"/>
        </w:rPr>
        <w:t xml:space="preserve">. </w:t>
      </w:r>
      <w:r w:rsidR="00AC17E7">
        <w:rPr>
          <w:rFonts w:ascii="Times New Roman" w:hAnsi="Times New Roman" w:cs="Times New Roman"/>
          <w:color w:val="000000"/>
          <w:sz w:val="28"/>
          <w:szCs w:val="28"/>
        </w:rPr>
        <w:t>I deal with them seriatim</w:t>
      </w:r>
      <w:r w:rsidR="00E6370F">
        <w:rPr>
          <w:rFonts w:ascii="Times New Roman" w:hAnsi="Times New Roman" w:cs="Times New Roman"/>
          <w:color w:val="000000"/>
          <w:sz w:val="28"/>
          <w:szCs w:val="28"/>
        </w:rPr>
        <w:t xml:space="preserve"> below</w:t>
      </w:r>
      <w:r w:rsidR="00AC17E7">
        <w:rPr>
          <w:rFonts w:ascii="Times New Roman" w:hAnsi="Times New Roman" w:cs="Times New Roman"/>
          <w:color w:val="000000"/>
          <w:sz w:val="28"/>
          <w:szCs w:val="28"/>
        </w:rPr>
        <w:t xml:space="preserve"> to give context </w:t>
      </w:r>
      <w:r w:rsidR="00C31F97">
        <w:rPr>
          <w:rFonts w:ascii="Times New Roman" w:hAnsi="Times New Roman" w:cs="Times New Roman"/>
          <w:color w:val="000000"/>
          <w:sz w:val="28"/>
          <w:szCs w:val="28"/>
        </w:rPr>
        <w:t xml:space="preserve">to </w:t>
      </w:r>
      <w:r w:rsidR="004962AF">
        <w:rPr>
          <w:rFonts w:ascii="Times New Roman" w:hAnsi="Times New Roman" w:cs="Times New Roman"/>
          <w:color w:val="000000"/>
          <w:sz w:val="28"/>
          <w:szCs w:val="28"/>
        </w:rPr>
        <w:t>the disputed</w:t>
      </w:r>
      <w:r w:rsidR="000F76FC">
        <w:rPr>
          <w:rFonts w:ascii="Times New Roman" w:hAnsi="Times New Roman" w:cs="Times New Roman"/>
          <w:color w:val="000000"/>
          <w:sz w:val="28"/>
          <w:szCs w:val="28"/>
        </w:rPr>
        <w:t xml:space="preserve"> </w:t>
      </w:r>
      <w:r w:rsidR="00AC17E7">
        <w:rPr>
          <w:rFonts w:ascii="Times New Roman" w:hAnsi="Times New Roman" w:cs="Times New Roman"/>
          <w:color w:val="000000"/>
          <w:sz w:val="28"/>
          <w:szCs w:val="28"/>
        </w:rPr>
        <w:t>issues.</w:t>
      </w:r>
    </w:p>
    <w:p w14:paraId="07DDC352" w14:textId="54F18263" w:rsidR="00925150" w:rsidRPr="00925150" w:rsidRDefault="00925150" w:rsidP="0047382A">
      <w:pPr>
        <w:spacing w:line="360" w:lineRule="auto"/>
        <w:jc w:val="both"/>
        <w:rPr>
          <w:rFonts w:ascii="Times New Roman" w:hAnsi="Times New Roman" w:cs="Times New Roman"/>
          <w:b/>
          <w:bCs/>
          <w:color w:val="000000"/>
          <w:sz w:val="28"/>
          <w:szCs w:val="28"/>
        </w:rPr>
      </w:pPr>
      <w:r w:rsidRPr="00925150">
        <w:rPr>
          <w:rFonts w:ascii="Times New Roman" w:hAnsi="Times New Roman" w:cs="Times New Roman"/>
          <w:b/>
          <w:bCs/>
          <w:color w:val="000000"/>
          <w:sz w:val="28"/>
          <w:szCs w:val="28"/>
        </w:rPr>
        <w:t xml:space="preserve">Notices and Applications </w:t>
      </w:r>
    </w:p>
    <w:p w14:paraId="41B259F1" w14:textId="6A677E61" w:rsidR="00831A8F" w:rsidRDefault="0005472F" w:rsidP="00FF433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31A8F">
        <w:rPr>
          <w:rFonts w:ascii="Times New Roman" w:hAnsi="Times New Roman" w:cs="Times New Roman"/>
          <w:color w:val="000000"/>
          <w:sz w:val="28"/>
          <w:szCs w:val="28"/>
        </w:rPr>
        <w:t>9</w:t>
      </w:r>
      <w:r>
        <w:rPr>
          <w:rFonts w:ascii="Times New Roman" w:hAnsi="Times New Roman" w:cs="Times New Roman"/>
          <w:color w:val="000000"/>
          <w:sz w:val="28"/>
          <w:szCs w:val="28"/>
        </w:rPr>
        <w:t>]</w:t>
      </w:r>
      <w:r>
        <w:rPr>
          <w:rFonts w:ascii="Times New Roman" w:hAnsi="Times New Roman" w:cs="Times New Roman"/>
          <w:color w:val="000000"/>
          <w:sz w:val="28"/>
          <w:szCs w:val="28"/>
        </w:rPr>
        <w:tab/>
        <w:t>The first set of notices</w:t>
      </w:r>
      <w:r w:rsidR="00397828">
        <w:rPr>
          <w:rFonts w:ascii="Times New Roman" w:hAnsi="Times New Roman" w:cs="Times New Roman"/>
          <w:color w:val="000000"/>
          <w:sz w:val="28"/>
          <w:szCs w:val="28"/>
        </w:rPr>
        <w:t xml:space="preserve"> were delivered by </w:t>
      </w:r>
      <w:proofErr w:type="spellStart"/>
      <w:r w:rsidR="00397828">
        <w:rPr>
          <w:rFonts w:ascii="Times New Roman" w:hAnsi="Times New Roman" w:cs="Times New Roman"/>
          <w:color w:val="000000"/>
          <w:sz w:val="28"/>
          <w:szCs w:val="28"/>
        </w:rPr>
        <w:t>Floxifor</w:t>
      </w:r>
      <w:proofErr w:type="spellEnd"/>
      <w:r>
        <w:rPr>
          <w:rFonts w:ascii="Times New Roman" w:hAnsi="Times New Roman" w:cs="Times New Roman"/>
          <w:color w:val="000000"/>
          <w:sz w:val="28"/>
          <w:szCs w:val="28"/>
        </w:rPr>
        <w:t xml:space="preserve"> to</w:t>
      </w:r>
      <w:r w:rsidR="00275CB2">
        <w:rPr>
          <w:rFonts w:ascii="Times New Roman" w:hAnsi="Times New Roman" w:cs="Times New Roman"/>
          <w:color w:val="000000"/>
          <w:sz w:val="28"/>
          <w:szCs w:val="28"/>
        </w:rPr>
        <w:t xml:space="preserve"> challenge </w:t>
      </w:r>
      <w:r w:rsidR="00EA3D73">
        <w:rPr>
          <w:rFonts w:ascii="Times New Roman" w:hAnsi="Times New Roman" w:cs="Times New Roman"/>
          <w:color w:val="000000"/>
          <w:sz w:val="28"/>
          <w:szCs w:val="28"/>
        </w:rPr>
        <w:t>the authority</w:t>
      </w:r>
      <w:r>
        <w:rPr>
          <w:rFonts w:ascii="Times New Roman" w:hAnsi="Times New Roman" w:cs="Times New Roman"/>
          <w:color w:val="000000"/>
          <w:sz w:val="28"/>
          <w:szCs w:val="28"/>
        </w:rPr>
        <w:t xml:space="preserve"> </w:t>
      </w:r>
      <w:r w:rsidR="00622FF9">
        <w:rPr>
          <w:rFonts w:ascii="Times New Roman" w:hAnsi="Times New Roman" w:cs="Times New Roman"/>
          <w:color w:val="000000"/>
          <w:sz w:val="28"/>
          <w:szCs w:val="28"/>
        </w:rPr>
        <w:t xml:space="preserve">of the applicants </w:t>
      </w:r>
      <w:r>
        <w:rPr>
          <w:rFonts w:ascii="Times New Roman" w:hAnsi="Times New Roman" w:cs="Times New Roman"/>
          <w:color w:val="000000"/>
          <w:sz w:val="28"/>
          <w:szCs w:val="28"/>
        </w:rPr>
        <w:t xml:space="preserve">to institute the </w:t>
      </w:r>
      <w:r w:rsidR="00622FF9">
        <w:rPr>
          <w:rFonts w:ascii="Times New Roman" w:hAnsi="Times New Roman" w:cs="Times New Roman"/>
          <w:color w:val="000000"/>
          <w:sz w:val="28"/>
          <w:szCs w:val="28"/>
        </w:rPr>
        <w:t>liquidation application</w:t>
      </w:r>
      <w:r w:rsidR="00275CB2">
        <w:rPr>
          <w:rFonts w:ascii="Times New Roman" w:hAnsi="Times New Roman" w:cs="Times New Roman"/>
          <w:color w:val="000000"/>
          <w:sz w:val="28"/>
          <w:szCs w:val="28"/>
        </w:rPr>
        <w:t xml:space="preserve"> and t</w:t>
      </w:r>
      <w:r>
        <w:rPr>
          <w:rFonts w:ascii="Times New Roman" w:hAnsi="Times New Roman" w:cs="Times New Roman"/>
          <w:color w:val="000000"/>
          <w:sz w:val="28"/>
          <w:szCs w:val="28"/>
        </w:rPr>
        <w:t xml:space="preserve">he authority of the </w:t>
      </w:r>
      <w:r w:rsidR="00831A8F">
        <w:rPr>
          <w:rFonts w:ascii="Times New Roman" w:hAnsi="Times New Roman" w:cs="Times New Roman"/>
          <w:color w:val="000000"/>
          <w:sz w:val="28"/>
          <w:szCs w:val="28"/>
        </w:rPr>
        <w:t xml:space="preserve">Trust </w:t>
      </w:r>
      <w:r>
        <w:rPr>
          <w:rFonts w:ascii="Times New Roman" w:hAnsi="Times New Roman" w:cs="Times New Roman"/>
          <w:color w:val="000000"/>
          <w:sz w:val="28"/>
          <w:szCs w:val="28"/>
        </w:rPr>
        <w:t>legal representative</w:t>
      </w:r>
      <w:r w:rsidR="00831A8F">
        <w:rPr>
          <w:rFonts w:ascii="Times New Roman" w:hAnsi="Times New Roman" w:cs="Times New Roman"/>
          <w:color w:val="000000"/>
          <w:sz w:val="28"/>
          <w:szCs w:val="28"/>
        </w:rPr>
        <w:t>,</w:t>
      </w:r>
      <w:r>
        <w:rPr>
          <w:rFonts w:ascii="Times New Roman" w:hAnsi="Times New Roman" w:cs="Times New Roman"/>
          <w:color w:val="000000"/>
          <w:sz w:val="28"/>
          <w:szCs w:val="28"/>
        </w:rPr>
        <w:t xml:space="preserve"> Japie Van Zyl Attorneys</w:t>
      </w:r>
      <w:r w:rsidR="00275CB2">
        <w:rPr>
          <w:rFonts w:ascii="Times New Roman" w:hAnsi="Times New Roman" w:cs="Times New Roman"/>
          <w:color w:val="000000"/>
          <w:sz w:val="28"/>
          <w:szCs w:val="28"/>
        </w:rPr>
        <w:t xml:space="preserve">. </w:t>
      </w:r>
      <w:proofErr w:type="spellStart"/>
      <w:r w:rsidR="002D4C13">
        <w:rPr>
          <w:rFonts w:ascii="Times New Roman" w:hAnsi="Times New Roman" w:cs="Times New Roman"/>
          <w:color w:val="000000"/>
          <w:sz w:val="28"/>
          <w:szCs w:val="28"/>
        </w:rPr>
        <w:t>Floxifor</w:t>
      </w:r>
      <w:proofErr w:type="spellEnd"/>
      <w:r w:rsidR="002D4C13">
        <w:rPr>
          <w:rFonts w:ascii="Times New Roman" w:hAnsi="Times New Roman" w:cs="Times New Roman"/>
          <w:color w:val="000000"/>
          <w:sz w:val="28"/>
          <w:szCs w:val="28"/>
        </w:rPr>
        <w:t xml:space="preserve"> delivered </w:t>
      </w:r>
      <w:r w:rsidR="00925150">
        <w:rPr>
          <w:rFonts w:ascii="Times New Roman" w:hAnsi="Times New Roman" w:cs="Times New Roman"/>
          <w:color w:val="000000"/>
          <w:sz w:val="28"/>
          <w:szCs w:val="28"/>
        </w:rPr>
        <w:t>a</w:t>
      </w:r>
      <w:r w:rsidR="00C403F6">
        <w:rPr>
          <w:rFonts w:ascii="Times New Roman" w:hAnsi="Times New Roman" w:cs="Times New Roman"/>
          <w:color w:val="000000"/>
          <w:sz w:val="28"/>
          <w:szCs w:val="28"/>
        </w:rPr>
        <w:t xml:space="preserve"> R</w:t>
      </w:r>
      <w:r w:rsidR="00AC01B5" w:rsidRPr="0005472F">
        <w:rPr>
          <w:rFonts w:ascii="Times New Roman" w:hAnsi="Times New Roman" w:cs="Times New Roman"/>
          <w:color w:val="000000"/>
          <w:sz w:val="28"/>
          <w:szCs w:val="28"/>
        </w:rPr>
        <w:t>ule</w:t>
      </w:r>
      <w:r w:rsidR="005033A8" w:rsidRPr="0005472F">
        <w:rPr>
          <w:rFonts w:ascii="Times New Roman" w:hAnsi="Times New Roman" w:cs="Times New Roman"/>
          <w:color w:val="000000"/>
          <w:sz w:val="28"/>
          <w:szCs w:val="28"/>
        </w:rPr>
        <w:t xml:space="preserve"> 7 (1)</w:t>
      </w:r>
      <w:r w:rsidR="00F31F15" w:rsidRPr="0005472F">
        <w:rPr>
          <w:rFonts w:ascii="Times New Roman" w:hAnsi="Times New Roman" w:cs="Times New Roman"/>
          <w:color w:val="000000"/>
          <w:sz w:val="28"/>
          <w:szCs w:val="28"/>
        </w:rPr>
        <w:t xml:space="preserve"> notice dated</w:t>
      </w:r>
      <w:r w:rsidR="00727D7C" w:rsidRPr="0005472F">
        <w:rPr>
          <w:rFonts w:ascii="Times New Roman" w:hAnsi="Times New Roman" w:cs="Times New Roman"/>
          <w:color w:val="000000"/>
          <w:sz w:val="28"/>
          <w:szCs w:val="28"/>
        </w:rPr>
        <w:t xml:space="preserve"> 26 January 2022 </w:t>
      </w:r>
      <w:r w:rsidR="00A01B0A">
        <w:rPr>
          <w:rFonts w:ascii="Times New Roman" w:hAnsi="Times New Roman" w:cs="Times New Roman"/>
          <w:color w:val="000000"/>
          <w:sz w:val="28"/>
          <w:szCs w:val="28"/>
        </w:rPr>
        <w:t>objecting to the</w:t>
      </w:r>
      <w:r w:rsidR="007B218D">
        <w:rPr>
          <w:rFonts w:ascii="Times New Roman" w:hAnsi="Times New Roman" w:cs="Times New Roman"/>
          <w:color w:val="000000"/>
          <w:sz w:val="28"/>
          <w:szCs w:val="28"/>
        </w:rPr>
        <w:t>ir</w:t>
      </w:r>
      <w:r w:rsidR="00A01B0A">
        <w:rPr>
          <w:rFonts w:ascii="Times New Roman" w:hAnsi="Times New Roman" w:cs="Times New Roman"/>
          <w:color w:val="000000"/>
          <w:sz w:val="28"/>
          <w:szCs w:val="28"/>
        </w:rPr>
        <w:t xml:space="preserve"> authority</w:t>
      </w:r>
      <w:r w:rsidR="007B218D">
        <w:rPr>
          <w:rFonts w:ascii="Times New Roman" w:hAnsi="Times New Roman" w:cs="Times New Roman"/>
          <w:color w:val="000000"/>
          <w:sz w:val="28"/>
          <w:szCs w:val="28"/>
        </w:rPr>
        <w:t xml:space="preserve"> to act in the matter</w:t>
      </w:r>
      <w:r w:rsidR="00A01B0A">
        <w:rPr>
          <w:rFonts w:ascii="Times New Roman" w:hAnsi="Times New Roman" w:cs="Times New Roman"/>
          <w:color w:val="000000"/>
          <w:sz w:val="28"/>
          <w:szCs w:val="28"/>
        </w:rPr>
        <w:t>.</w:t>
      </w:r>
      <w:r w:rsidR="00FF4339">
        <w:rPr>
          <w:rFonts w:ascii="Times New Roman" w:hAnsi="Times New Roman" w:cs="Times New Roman"/>
          <w:color w:val="000000"/>
          <w:sz w:val="28"/>
          <w:szCs w:val="28"/>
        </w:rPr>
        <w:t xml:space="preserve"> The </w:t>
      </w:r>
      <w:r w:rsidR="00C403F6">
        <w:rPr>
          <w:rFonts w:ascii="Times New Roman" w:hAnsi="Times New Roman" w:cs="Times New Roman"/>
          <w:color w:val="000000"/>
          <w:sz w:val="28"/>
          <w:szCs w:val="28"/>
        </w:rPr>
        <w:t>applicants</w:t>
      </w:r>
      <w:r w:rsidR="00FF4339">
        <w:rPr>
          <w:rFonts w:ascii="Times New Roman" w:hAnsi="Times New Roman" w:cs="Times New Roman"/>
          <w:color w:val="000000"/>
          <w:sz w:val="28"/>
          <w:szCs w:val="28"/>
        </w:rPr>
        <w:t xml:space="preserve">’ attitude was that the notice is </w:t>
      </w:r>
      <w:r w:rsidR="007B218D">
        <w:rPr>
          <w:rFonts w:ascii="Times New Roman" w:hAnsi="Times New Roman" w:cs="Times New Roman"/>
          <w:color w:val="000000"/>
          <w:sz w:val="28"/>
          <w:szCs w:val="28"/>
        </w:rPr>
        <w:t>irregular</w:t>
      </w:r>
      <w:r w:rsidR="00E6370F">
        <w:rPr>
          <w:rFonts w:ascii="Times New Roman" w:hAnsi="Times New Roman" w:cs="Times New Roman"/>
          <w:color w:val="000000"/>
          <w:sz w:val="28"/>
          <w:szCs w:val="28"/>
        </w:rPr>
        <w:t>. They</w:t>
      </w:r>
      <w:r w:rsidR="007B218D">
        <w:rPr>
          <w:rFonts w:ascii="Times New Roman" w:hAnsi="Times New Roman" w:cs="Times New Roman"/>
          <w:color w:val="000000"/>
          <w:sz w:val="28"/>
          <w:szCs w:val="28"/>
        </w:rPr>
        <w:t xml:space="preserve"> filed</w:t>
      </w:r>
      <w:r w:rsidR="00FF4339">
        <w:rPr>
          <w:rFonts w:ascii="Times New Roman" w:hAnsi="Times New Roman" w:cs="Times New Roman"/>
          <w:color w:val="000000"/>
          <w:sz w:val="28"/>
          <w:szCs w:val="28"/>
        </w:rPr>
        <w:t xml:space="preserve"> </w:t>
      </w:r>
      <w:r w:rsidR="00F5460E">
        <w:rPr>
          <w:rFonts w:ascii="Times New Roman" w:hAnsi="Times New Roman" w:cs="Times New Roman"/>
          <w:color w:val="000000"/>
          <w:sz w:val="28"/>
          <w:szCs w:val="28"/>
        </w:rPr>
        <w:t xml:space="preserve">an application in terms of </w:t>
      </w:r>
      <w:r w:rsidRPr="00831A8F">
        <w:rPr>
          <w:rFonts w:ascii="Times New Roman" w:hAnsi="Times New Roman" w:cs="Times New Roman"/>
          <w:color w:val="000000"/>
          <w:sz w:val="28"/>
          <w:szCs w:val="28"/>
        </w:rPr>
        <w:t xml:space="preserve">Rule 30 </w:t>
      </w:r>
      <w:r w:rsidR="00F5460E">
        <w:rPr>
          <w:rFonts w:ascii="Times New Roman" w:hAnsi="Times New Roman" w:cs="Times New Roman"/>
          <w:color w:val="000000"/>
          <w:sz w:val="28"/>
          <w:szCs w:val="28"/>
        </w:rPr>
        <w:t>o</w:t>
      </w:r>
      <w:r w:rsidR="00D53D2E" w:rsidRPr="00831A8F">
        <w:rPr>
          <w:rFonts w:ascii="Times New Roman" w:hAnsi="Times New Roman" w:cs="Times New Roman"/>
          <w:color w:val="000000"/>
          <w:sz w:val="28"/>
          <w:szCs w:val="28"/>
        </w:rPr>
        <w:t xml:space="preserve">bjecting </w:t>
      </w:r>
      <w:r w:rsidRPr="00831A8F">
        <w:rPr>
          <w:rFonts w:ascii="Times New Roman" w:hAnsi="Times New Roman" w:cs="Times New Roman"/>
          <w:color w:val="000000"/>
          <w:sz w:val="28"/>
          <w:szCs w:val="28"/>
        </w:rPr>
        <w:t>to the Rule 7(1)</w:t>
      </w:r>
      <w:r w:rsidR="00D94789" w:rsidRPr="00831A8F">
        <w:rPr>
          <w:rFonts w:ascii="Times New Roman" w:hAnsi="Times New Roman" w:cs="Times New Roman"/>
          <w:color w:val="000000"/>
          <w:sz w:val="28"/>
          <w:szCs w:val="28"/>
        </w:rPr>
        <w:t xml:space="preserve"> notice</w:t>
      </w:r>
      <w:r w:rsidR="00F5460E">
        <w:rPr>
          <w:rFonts w:ascii="Times New Roman" w:hAnsi="Times New Roman" w:cs="Times New Roman"/>
          <w:color w:val="000000"/>
          <w:sz w:val="28"/>
          <w:szCs w:val="28"/>
        </w:rPr>
        <w:t>.</w:t>
      </w:r>
    </w:p>
    <w:p w14:paraId="4FB37CF9" w14:textId="7E5DC37F" w:rsidR="00DB4548" w:rsidRDefault="00B16EED" w:rsidP="000C262C">
      <w:pPr>
        <w:spacing w:line="360" w:lineRule="auto"/>
        <w:jc w:val="both"/>
        <w:rPr>
          <w:rFonts w:ascii="Times New Roman" w:hAnsi="Times New Roman" w:cs="Times New Roman"/>
          <w:color w:val="000000"/>
          <w:sz w:val="28"/>
          <w:szCs w:val="28"/>
        </w:rPr>
      </w:pPr>
      <w:r w:rsidRPr="00831A8F">
        <w:rPr>
          <w:rFonts w:ascii="Times New Roman" w:hAnsi="Times New Roman" w:cs="Times New Roman"/>
          <w:color w:val="000000"/>
          <w:sz w:val="28"/>
          <w:szCs w:val="28"/>
        </w:rPr>
        <w:lastRenderedPageBreak/>
        <w:t>[</w:t>
      </w:r>
      <w:r w:rsidR="00831A8F">
        <w:rPr>
          <w:rFonts w:ascii="Times New Roman" w:hAnsi="Times New Roman" w:cs="Times New Roman"/>
          <w:color w:val="000000"/>
          <w:sz w:val="28"/>
          <w:szCs w:val="28"/>
        </w:rPr>
        <w:t>10</w:t>
      </w:r>
      <w:r w:rsidRPr="00831A8F">
        <w:rPr>
          <w:rFonts w:ascii="Times New Roman" w:hAnsi="Times New Roman" w:cs="Times New Roman"/>
          <w:color w:val="000000"/>
          <w:sz w:val="28"/>
          <w:szCs w:val="28"/>
        </w:rPr>
        <w:t>]</w:t>
      </w:r>
      <w:r w:rsidRPr="00831A8F">
        <w:rPr>
          <w:rFonts w:ascii="Times New Roman" w:hAnsi="Times New Roman" w:cs="Times New Roman"/>
          <w:color w:val="000000"/>
          <w:sz w:val="28"/>
          <w:szCs w:val="28"/>
        </w:rPr>
        <w:tab/>
      </w:r>
      <w:r w:rsidR="00275CB2" w:rsidRPr="00831A8F">
        <w:rPr>
          <w:rFonts w:ascii="Times New Roman" w:hAnsi="Times New Roman" w:cs="Times New Roman"/>
          <w:color w:val="000000"/>
          <w:sz w:val="28"/>
          <w:szCs w:val="28"/>
        </w:rPr>
        <w:t>The second set of notices relate to the supplementary affidavit filed by the applicants on 13 December 2021</w:t>
      </w:r>
      <w:r w:rsidR="007B218D">
        <w:rPr>
          <w:rFonts w:ascii="Times New Roman" w:hAnsi="Times New Roman" w:cs="Times New Roman"/>
          <w:color w:val="000000"/>
          <w:sz w:val="28"/>
          <w:szCs w:val="28"/>
        </w:rPr>
        <w:t>, alluded to above</w:t>
      </w:r>
      <w:r w:rsidR="00B42F55">
        <w:rPr>
          <w:rFonts w:ascii="Times New Roman" w:hAnsi="Times New Roman" w:cs="Times New Roman"/>
          <w:color w:val="000000"/>
          <w:sz w:val="28"/>
          <w:szCs w:val="28"/>
        </w:rPr>
        <w:t xml:space="preserve">. </w:t>
      </w:r>
      <w:proofErr w:type="spellStart"/>
      <w:r w:rsidR="00B42F55" w:rsidRPr="00275CB2">
        <w:rPr>
          <w:rFonts w:ascii="Times New Roman" w:hAnsi="Times New Roman" w:cs="Times New Roman"/>
          <w:color w:val="000000"/>
          <w:sz w:val="28"/>
          <w:szCs w:val="28"/>
        </w:rPr>
        <w:t>Floxifor</w:t>
      </w:r>
      <w:proofErr w:type="spellEnd"/>
      <w:r w:rsidR="00B42F55">
        <w:rPr>
          <w:rFonts w:ascii="Times New Roman" w:hAnsi="Times New Roman" w:cs="Times New Roman"/>
          <w:color w:val="000000"/>
          <w:sz w:val="28"/>
          <w:szCs w:val="28"/>
        </w:rPr>
        <w:t xml:space="preserve"> </w:t>
      </w:r>
      <w:r w:rsidR="00B42F55" w:rsidRPr="00275CB2">
        <w:rPr>
          <w:rFonts w:ascii="Times New Roman" w:hAnsi="Times New Roman" w:cs="Times New Roman"/>
          <w:color w:val="000000"/>
          <w:sz w:val="28"/>
          <w:szCs w:val="28"/>
        </w:rPr>
        <w:t>challeng</w:t>
      </w:r>
      <w:r w:rsidR="00B42F55">
        <w:rPr>
          <w:rFonts w:ascii="Times New Roman" w:hAnsi="Times New Roman" w:cs="Times New Roman"/>
          <w:color w:val="000000"/>
          <w:sz w:val="28"/>
          <w:szCs w:val="28"/>
        </w:rPr>
        <w:t>ed t</w:t>
      </w:r>
      <w:r w:rsidR="00B42F55" w:rsidRPr="00275CB2">
        <w:rPr>
          <w:rFonts w:ascii="Times New Roman" w:hAnsi="Times New Roman" w:cs="Times New Roman"/>
          <w:color w:val="000000"/>
          <w:sz w:val="28"/>
          <w:szCs w:val="28"/>
        </w:rPr>
        <w:t xml:space="preserve">he </w:t>
      </w:r>
      <w:r w:rsidR="007B218D">
        <w:rPr>
          <w:rFonts w:ascii="Times New Roman" w:hAnsi="Times New Roman" w:cs="Times New Roman"/>
          <w:color w:val="000000"/>
          <w:sz w:val="28"/>
          <w:szCs w:val="28"/>
        </w:rPr>
        <w:t xml:space="preserve">delivery </w:t>
      </w:r>
      <w:r w:rsidR="00B42F55" w:rsidRPr="00275CB2">
        <w:rPr>
          <w:rFonts w:ascii="Times New Roman" w:hAnsi="Times New Roman" w:cs="Times New Roman"/>
          <w:color w:val="000000"/>
          <w:sz w:val="28"/>
          <w:szCs w:val="28"/>
        </w:rPr>
        <w:t>of the supplementary affidavit</w:t>
      </w:r>
      <w:r w:rsidR="00B42F55">
        <w:rPr>
          <w:rFonts w:ascii="Times New Roman" w:hAnsi="Times New Roman" w:cs="Times New Roman"/>
          <w:color w:val="000000"/>
          <w:sz w:val="28"/>
          <w:szCs w:val="28"/>
        </w:rPr>
        <w:t xml:space="preserve"> in terms of </w:t>
      </w:r>
      <w:r w:rsidRPr="00275CB2">
        <w:rPr>
          <w:rFonts w:ascii="Times New Roman" w:hAnsi="Times New Roman" w:cs="Times New Roman"/>
          <w:color w:val="000000"/>
          <w:sz w:val="28"/>
          <w:szCs w:val="28"/>
        </w:rPr>
        <w:t>Rule 30</w:t>
      </w:r>
      <w:r w:rsidR="000C262C">
        <w:rPr>
          <w:rFonts w:ascii="Times New Roman" w:hAnsi="Times New Roman" w:cs="Times New Roman"/>
          <w:color w:val="000000"/>
          <w:sz w:val="28"/>
          <w:szCs w:val="28"/>
        </w:rPr>
        <w:t xml:space="preserve">. </w:t>
      </w:r>
      <w:r w:rsidR="007B218D">
        <w:rPr>
          <w:rFonts w:ascii="Times New Roman" w:hAnsi="Times New Roman" w:cs="Times New Roman"/>
          <w:color w:val="000000"/>
          <w:sz w:val="28"/>
          <w:szCs w:val="28"/>
        </w:rPr>
        <w:t>In response t</w:t>
      </w:r>
      <w:r w:rsidR="00275CB2">
        <w:rPr>
          <w:rFonts w:ascii="Times New Roman" w:hAnsi="Times New Roman" w:cs="Times New Roman"/>
          <w:color w:val="000000"/>
          <w:sz w:val="28"/>
          <w:szCs w:val="28"/>
        </w:rPr>
        <w:t>he applicants</w:t>
      </w:r>
      <w:r w:rsidR="000C262C">
        <w:rPr>
          <w:rFonts w:ascii="Times New Roman" w:hAnsi="Times New Roman" w:cs="Times New Roman"/>
          <w:color w:val="000000"/>
          <w:sz w:val="28"/>
          <w:szCs w:val="28"/>
        </w:rPr>
        <w:t xml:space="preserve"> filed an application in terms </w:t>
      </w:r>
      <w:r w:rsidR="009654B5">
        <w:rPr>
          <w:rFonts w:ascii="Times New Roman" w:hAnsi="Times New Roman" w:cs="Times New Roman"/>
          <w:color w:val="000000"/>
          <w:sz w:val="28"/>
          <w:szCs w:val="28"/>
        </w:rPr>
        <w:t xml:space="preserve">of </w:t>
      </w:r>
      <w:r w:rsidR="009654B5" w:rsidRPr="00DB4548">
        <w:rPr>
          <w:rFonts w:ascii="Times New Roman" w:hAnsi="Times New Roman" w:cs="Times New Roman"/>
          <w:color w:val="000000"/>
          <w:sz w:val="28"/>
          <w:szCs w:val="28"/>
        </w:rPr>
        <w:t>Rule</w:t>
      </w:r>
      <w:r w:rsidR="00275CB2" w:rsidRPr="00DB4548">
        <w:rPr>
          <w:rFonts w:ascii="Times New Roman" w:hAnsi="Times New Roman" w:cs="Times New Roman"/>
          <w:color w:val="000000"/>
          <w:sz w:val="28"/>
          <w:szCs w:val="28"/>
        </w:rPr>
        <w:t xml:space="preserve"> 6(5)(e)</w:t>
      </w:r>
      <w:r w:rsidR="00155074" w:rsidRPr="00DB4548">
        <w:rPr>
          <w:rFonts w:ascii="Times New Roman" w:hAnsi="Times New Roman" w:cs="Times New Roman"/>
          <w:color w:val="000000"/>
          <w:sz w:val="28"/>
          <w:szCs w:val="28"/>
        </w:rPr>
        <w:t xml:space="preserve"> seeking </w:t>
      </w:r>
      <w:r w:rsidRPr="00DB4548">
        <w:rPr>
          <w:rFonts w:ascii="Times New Roman" w:hAnsi="Times New Roman" w:cs="Times New Roman"/>
          <w:color w:val="000000"/>
          <w:sz w:val="28"/>
          <w:szCs w:val="28"/>
        </w:rPr>
        <w:t xml:space="preserve">the </w:t>
      </w:r>
      <w:r w:rsidR="007B218D">
        <w:rPr>
          <w:rFonts w:ascii="Times New Roman" w:hAnsi="Times New Roman" w:cs="Times New Roman"/>
          <w:color w:val="000000"/>
          <w:sz w:val="28"/>
          <w:szCs w:val="28"/>
        </w:rPr>
        <w:t>Co</w:t>
      </w:r>
      <w:r w:rsidRPr="00DB4548">
        <w:rPr>
          <w:rFonts w:ascii="Times New Roman" w:hAnsi="Times New Roman" w:cs="Times New Roman"/>
          <w:color w:val="000000"/>
          <w:sz w:val="28"/>
          <w:szCs w:val="28"/>
        </w:rPr>
        <w:t>urts’ leave to permit the filing of the applicant's supplementary/affidavit</w:t>
      </w:r>
      <w:r w:rsidR="00275CB2" w:rsidRPr="00DB4548">
        <w:rPr>
          <w:rFonts w:ascii="Times New Roman" w:hAnsi="Times New Roman" w:cs="Times New Roman"/>
          <w:color w:val="000000"/>
          <w:sz w:val="28"/>
          <w:szCs w:val="28"/>
        </w:rPr>
        <w:t>.</w:t>
      </w:r>
    </w:p>
    <w:p w14:paraId="5C665BAE" w14:textId="6E21E2EF" w:rsidR="009F380C" w:rsidRPr="009F380C" w:rsidRDefault="00F16D6A" w:rsidP="00AF4395">
      <w:pPr>
        <w:spacing w:line="360" w:lineRule="auto"/>
        <w:jc w:val="both"/>
        <w:rPr>
          <w:rFonts w:ascii="Times New Roman" w:hAnsi="Times New Roman" w:cs="Times New Roman"/>
          <w:sz w:val="28"/>
          <w:szCs w:val="28"/>
        </w:rPr>
      </w:pPr>
      <w:r w:rsidRPr="00DB4548">
        <w:rPr>
          <w:rFonts w:ascii="Times New Roman" w:hAnsi="Times New Roman" w:cs="Times New Roman"/>
          <w:color w:val="000000"/>
          <w:sz w:val="28"/>
          <w:szCs w:val="28"/>
        </w:rPr>
        <w:t>[</w:t>
      </w:r>
      <w:r w:rsidR="000D7E64" w:rsidRPr="00DB4548">
        <w:rPr>
          <w:rFonts w:ascii="Times New Roman" w:hAnsi="Times New Roman" w:cs="Times New Roman"/>
          <w:color w:val="000000"/>
          <w:sz w:val="28"/>
          <w:szCs w:val="28"/>
        </w:rPr>
        <w:t>1</w:t>
      </w:r>
      <w:r w:rsidR="00DB4548" w:rsidRPr="00DB4548">
        <w:rPr>
          <w:rFonts w:ascii="Times New Roman" w:hAnsi="Times New Roman" w:cs="Times New Roman"/>
          <w:color w:val="000000"/>
          <w:sz w:val="28"/>
          <w:szCs w:val="28"/>
        </w:rPr>
        <w:t>1</w:t>
      </w:r>
      <w:r w:rsidRPr="00DB4548">
        <w:rPr>
          <w:rFonts w:ascii="Times New Roman" w:hAnsi="Times New Roman" w:cs="Times New Roman"/>
          <w:color w:val="000000"/>
          <w:sz w:val="28"/>
          <w:szCs w:val="28"/>
        </w:rPr>
        <w:t>]</w:t>
      </w:r>
      <w:r w:rsidRPr="00DB4548">
        <w:rPr>
          <w:rFonts w:ascii="Times New Roman" w:hAnsi="Times New Roman" w:cs="Times New Roman"/>
          <w:color w:val="000000"/>
          <w:sz w:val="28"/>
          <w:szCs w:val="28"/>
        </w:rPr>
        <w:tab/>
      </w:r>
      <w:r w:rsidR="0019233D" w:rsidRPr="00DB4548">
        <w:rPr>
          <w:rFonts w:ascii="Times New Roman" w:hAnsi="Times New Roman" w:cs="Times New Roman"/>
          <w:color w:val="000000"/>
          <w:sz w:val="28"/>
          <w:szCs w:val="28"/>
        </w:rPr>
        <w:t xml:space="preserve">The third set of notices </w:t>
      </w:r>
      <w:r w:rsidR="00C22341">
        <w:rPr>
          <w:rFonts w:ascii="Times New Roman" w:hAnsi="Times New Roman" w:cs="Times New Roman"/>
          <w:color w:val="000000"/>
          <w:sz w:val="28"/>
          <w:szCs w:val="28"/>
        </w:rPr>
        <w:t xml:space="preserve">concerned </w:t>
      </w:r>
      <w:r w:rsidR="00C22341" w:rsidRPr="00DB4548">
        <w:rPr>
          <w:rFonts w:ascii="Times New Roman" w:hAnsi="Times New Roman" w:cs="Times New Roman"/>
          <w:color w:val="000000"/>
          <w:sz w:val="28"/>
          <w:szCs w:val="28"/>
        </w:rPr>
        <w:t>the</w:t>
      </w:r>
      <w:r w:rsidR="0019233D" w:rsidRPr="00DB4548">
        <w:rPr>
          <w:rFonts w:ascii="Times New Roman" w:hAnsi="Times New Roman" w:cs="Times New Roman"/>
          <w:color w:val="000000"/>
          <w:sz w:val="28"/>
          <w:szCs w:val="28"/>
        </w:rPr>
        <w:t xml:space="preserve"> substitution of Cornelia van Niekerk and </w:t>
      </w:r>
      <w:r w:rsidR="00C22341" w:rsidRPr="00DB4548">
        <w:rPr>
          <w:rFonts w:ascii="Times New Roman" w:hAnsi="Times New Roman" w:cs="Times New Roman"/>
          <w:color w:val="000000"/>
          <w:sz w:val="28"/>
          <w:szCs w:val="28"/>
        </w:rPr>
        <w:t>the second applicant</w:t>
      </w:r>
      <w:r w:rsidR="009A7977">
        <w:rPr>
          <w:rFonts w:ascii="Times New Roman" w:hAnsi="Times New Roman" w:cs="Times New Roman"/>
          <w:color w:val="000000"/>
          <w:sz w:val="28"/>
          <w:szCs w:val="28"/>
        </w:rPr>
        <w:t>,</w:t>
      </w:r>
      <w:r w:rsidR="00C22341" w:rsidRPr="00DB4548">
        <w:rPr>
          <w:rFonts w:ascii="Times New Roman" w:hAnsi="Times New Roman" w:cs="Times New Roman"/>
          <w:color w:val="000000"/>
          <w:sz w:val="28"/>
          <w:szCs w:val="28"/>
        </w:rPr>
        <w:t xml:space="preserve"> </w:t>
      </w:r>
      <w:proofErr w:type="spellStart"/>
      <w:r w:rsidR="0019233D" w:rsidRPr="00DB4548">
        <w:rPr>
          <w:rFonts w:ascii="Times New Roman" w:hAnsi="Times New Roman" w:cs="Times New Roman"/>
          <w:color w:val="000000"/>
          <w:sz w:val="28"/>
          <w:szCs w:val="28"/>
        </w:rPr>
        <w:t>Diedelof</w:t>
      </w:r>
      <w:proofErr w:type="spellEnd"/>
      <w:r w:rsidR="0019233D" w:rsidRPr="00DB4548">
        <w:rPr>
          <w:rFonts w:ascii="Times New Roman" w:hAnsi="Times New Roman" w:cs="Times New Roman"/>
          <w:color w:val="000000"/>
          <w:sz w:val="28"/>
          <w:szCs w:val="28"/>
        </w:rPr>
        <w:t xml:space="preserve"> Jacobus Fourie NO (</w:t>
      </w:r>
      <w:r w:rsidR="009A7977">
        <w:rPr>
          <w:rFonts w:ascii="Times New Roman" w:hAnsi="Times New Roman" w:cs="Times New Roman"/>
          <w:color w:val="000000"/>
          <w:sz w:val="28"/>
          <w:szCs w:val="28"/>
        </w:rPr>
        <w:t xml:space="preserve">Mr </w:t>
      </w:r>
      <w:r w:rsidR="009A7977" w:rsidRPr="00DB4548">
        <w:rPr>
          <w:rFonts w:ascii="Times New Roman" w:hAnsi="Times New Roman" w:cs="Times New Roman"/>
          <w:color w:val="000000"/>
          <w:sz w:val="28"/>
          <w:szCs w:val="28"/>
        </w:rPr>
        <w:t>Fourie</w:t>
      </w:r>
      <w:r w:rsidR="0019233D" w:rsidRPr="00DB4548">
        <w:rPr>
          <w:rFonts w:ascii="Times New Roman" w:hAnsi="Times New Roman" w:cs="Times New Roman"/>
          <w:color w:val="000000"/>
          <w:sz w:val="28"/>
          <w:szCs w:val="28"/>
        </w:rPr>
        <w:t>). The</w:t>
      </w:r>
      <w:r w:rsidR="009A7977">
        <w:rPr>
          <w:rFonts w:ascii="Times New Roman" w:hAnsi="Times New Roman" w:cs="Times New Roman"/>
          <w:color w:val="000000"/>
          <w:sz w:val="28"/>
          <w:szCs w:val="28"/>
        </w:rPr>
        <w:t xml:space="preserve"> applicants </w:t>
      </w:r>
      <w:r w:rsidR="006B56EF">
        <w:rPr>
          <w:rFonts w:ascii="Times New Roman" w:hAnsi="Times New Roman" w:cs="Times New Roman"/>
          <w:color w:val="000000"/>
          <w:sz w:val="28"/>
          <w:szCs w:val="28"/>
        </w:rPr>
        <w:t xml:space="preserve">filed a Rule 15(2) notice </w:t>
      </w:r>
      <w:r w:rsidR="006B56EF" w:rsidRPr="00DB4548">
        <w:rPr>
          <w:rFonts w:ascii="Times New Roman" w:hAnsi="Times New Roman" w:cs="Times New Roman"/>
          <w:color w:val="000000"/>
          <w:sz w:val="28"/>
          <w:szCs w:val="28"/>
        </w:rPr>
        <w:t>accompanied</w:t>
      </w:r>
      <w:r w:rsidR="0019233D" w:rsidRPr="00DB4548">
        <w:rPr>
          <w:rFonts w:ascii="Times New Roman" w:hAnsi="Times New Roman" w:cs="Times New Roman"/>
          <w:color w:val="000000"/>
          <w:sz w:val="28"/>
          <w:szCs w:val="28"/>
        </w:rPr>
        <w:t xml:space="preserve"> by </w:t>
      </w:r>
      <w:r w:rsidR="007B218D">
        <w:rPr>
          <w:rFonts w:ascii="Times New Roman" w:hAnsi="Times New Roman" w:cs="Times New Roman"/>
          <w:color w:val="000000"/>
          <w:sz w:val="28"/>
          <w:szCs w:val="28"/>
        </w:rPr>
        <w:t xml:space="preserve">a </w:t>
      </w:r>
      <w:r w:rsidR="0019233D" w:rsidRPr="00DB4548">
        <w:rPr>
          <w:rFonts w:ascii="Times New Roman" w:hAnsi="Times New Roman" w:cs="Times New Roman"/>
          <w:color w:val="000000"/>
          <w:sz w:val="28"/>
          <w:szCs w:val="28"/>
        </w:rPr>
        <w:t>substantive application</w:t>
      </w:r>
      <w:r w:rsidR="006B56EF">
        <w:rPr>
          <w:rFonts w:ascii="Times New Roman" w:hAnsi="Times New Roman" w:cs="Times New Roman"/>
          <w:color w:val="000000"/>
          <w:sz w:val="28"/>
          <w:szCs w:val="28"/>
        </w:rPr>
        <w:t xml:space="preserve"> </w:t>
      </w:r>
      <w:r w:rsidR="00AF4395">
        <w:rPr>
          <w:rFonts w:ascii="Times New Roman" w:hAnsi="Times New Roman" w:cs="Times New Roman"/>
          <w:color w:val="000000"/>
          <w:sz w:val="28"/>
          <w:szCs w:val="28"/>
        </w:rPr>
        <w:t>for the</w:t>
      </w:r>
      <w:r w:rsidR="006B56EF">
        <w:rPr>
          <w:rFonts w:ascii="Times New Roman" w:hAnsi="Times New Roman" w:cs="Times New Roman"/>
          <w:color w:val="000000"/>
          <w:sz w:val="28"/>
          <w:szCs w:val="28"/>
        </w:rPr>
        <w:t xml:space="preserve"> </w:t>
      </w:r>
      <w:r w:rsidR="007B218D">
        <w:rPr>
          <w:rFonts w:ascii="Times New Roman" w:hAnsi="Times New Roman" w:cs="Times New Roman"/>
          <w:color w:val="000000"/>
          <w:sz w:val="28"/>
          <w:szCs w:val="28"/>
        </w:rPr>
        <w:t xml:space="preserve">substitution and </w:t>
      </w:r>
      <w:r w:rsidR="006B56EF">
        <w:rPr>
          <w:rFonts w:ascii="Times New Roman" w:hAnsi="Times New Roman" w:cs="Times New Roman"/>
          <w:color w:val="000000"/>
          <w:sz w:val="28"/>
          <w:szCs w:val="28"/>
        </w:rPr>
        <w:t xml:space="preserve">joinder of the new trustees, </w:t>
      </w:r>
      <w:r w:rsidR="006B56EF" w:rsidRPr="002548C4">
        <w:rPr>
          <w:rFonts w:ascii="Times New Roman" w:hAnsi="Times New Roman" w:cs="Times New Roman"/>
          <w:color w:val="000000"/>
          <w:sz w:val="28"/>
          <w:szCs w:val="28"/>
        </w:rPr>
        <w:t>Corne</w:t>
      </w:r>
      <w:r w:rsidR="006B56EF">
        <w:rPr>
          <w:rFonts w:ascii="Times New Roman" w:hAnsi="Times New Roman" w:cs="Times New Roman"/>
          <w:color w:val="000000"/>
          <w:sz w:val="28"/>
          <w:szCs w:val="28"/>
        </w:rPr>
        <w:t>li</w:t>
      </w:r>
      <w:r w:rsidR="006B56EF" w:rsidRPr="002548C4">
        <w:rPr>
          <w:rFonts w:ascii="Times New Roman" w:hAnsi="Times New Roman" w:cs="Times New Roman"/>
          <w:color w:val="000000"/>
          <w:sz w:val="28"/>
          <w:szCs w:val="28"/>
        </w:rPr>
        <w:t xml:space="preserve">a Liebenberg, and Sandre van Niekerk </w:t>
      </w:r>
      <w:r w:rsidR="006B56EF">
        <w:rPr>
          <w:rFonts w:ascii="Times New Roman" w:hAnsi="Times New Roman" w:cs="Times New Roman"/>
          <w:color w:val="000000"/>
          <w:sz w:val="28"/>
          <w:szCs w:val="28"/>
        </w:rPr>
        <w:t xml:space="preserve">as second and third applicants in the </w:t>
      </w:r>
      <w:r w:rsidR="00E6370F">
        <w:rPr>
          <w:rFonts w:ascii="Times New Roman" w:hAnsi="Times New Roman" w:cs="Times New Roman"/>
          <w:color w:val="000000"/>
          <w:sz w:val="28"/>
          <w:szCs w:val="28"/>
        </w:rPr>
        <w:t>liquidation</w:t>
      </w:r>
      <w:r w:rsidR="006B56EF">
        <w:rPr>
          <w:rFonts w:ascii="Times New Roman" w:hAnsi="Times New Roman" w:cs="Times New Roman"/>
          <w:color w:val="000000"/>
          <w:sz w:val="28"/>
          <w:szCs w:val="28"/>
        </w:rPr>
        <w:t xml:space="preserve"> application. </w:t>
      </w:r>
      <w:proofErr w:type="spellStart"/>
      <w:r w:rsidR="0019233D" w:rsidRPr="009F380C">
        <w:rPr>
          <w:rFonts w:ascii="Times New Roman" w:hAnsi="Times New Roman" w:cs="Times New Roman"/>
          <w:sz w:val="28"/>
          <w:szCs w:val="28"/>
        </w:rPr>
        <w:t>Floxifor</w:t>
      </w:r>
      <w:proofErr w:type="spellEnd"/>
      <w:r w:rsidR="0019233D" w:rsidRPr="009F380C">
        <w:rPr>
          <w:rFonts w:ascii="Times New Roman" w:hAnsi="Times New Roman" w:cs="Times New Roman"/>
          <w:color w:val="000000"/>
          <w:sz w:val="28"/>
          <w:szCs w:val="28"/>
        </w:rPr>
        <w:t xml:space="preserve"> oppos</w:t>
      </w:r>
      <w:r w:rsidR="00AF4395">
        <w:rPr>
          <w:rFonts w:ascii="Times New Roman" w:hAnsi="Times New Roman" w:cs="Times New Roman"/>
          <w:color w:val="000000"/>
          <w:sz w:val="28"/>
          <w:szCs w:val="28"/>
        </w:rPr>
        <w:t xml:space="preserve">ed </w:t>
      </w:r>
      <w:r w:rsidR="0019233D" w:rsidRPr="009F380C">
        <w:rPr>
          <w:rFonts w:ascii="Times New Roman" w:hAnsi="Times New Roman" w:cs="Times New Roman"/>
          <w:color w:val="000000"/>
          <w:sz w:val="28"/>
          <w:szCs w:val="28"/>
        </w:rPr>
        <w:t>the substitution and joinder of the new trustees</w:t>
      </w:r>
      <w:r w:rsidR="005E392D">
        <w:rPr>
          <w:rFonts w:ascii="Times New Roman" w:hAnsi="Times New Roman" w:cs="Times New Roman"/>
          <w:color w:val="000000"/>
          <w:sz w:val="28"/>
          <w:szCs w:val="28"/>
        </w:rPr>
        <w:t xml:space="preserve"> in a substantive application </w:t>
      </w:r>
      <w:r w:rsidR="007B218D">
        <w:rPr>
          <w:rFonts w:ascii="Times New Roman" w:hAnsi="Times New Roman" w:cs="Times New Roman"/>
          <w:color w:val="000000"/>
          <w:sz w:val="28"/>
          <w:szCs w:val="28"/>
        </w:rPr>
        <w:t xml:space="preserve">delivered </w:t>
      </w:r>
      <w:r w:rsidR="005E392D">
        <w:rPr>
          <w:rFonts w:ascii="Times New Roman" w:hAnsi="Times New Roman" w:cs="Times New Roman"/>
          <w:color w:val="000000"/>
          <w:sz w:val="28"/>
          <w:szCs w:val="28"/>
        </w:rPr>
        <w:t>in terms of</w:t>
      </w:r>
      <w:r w:rsidR="0019233D" w:rsidRPr="009F380C">
        <w:rPr>
          <w:rFonts w:ascii="Times New Roman" w:hAnsi="Times New Roman" w:cs="Times New Roman"/>
          <w:color w:val="000000"/>
          <w:sz w:val="28"/>
          <w:szCs w:val="28"/>
        </w:rPr>
        <w:t xml:space="preserve"> </w:t>
      </w:r>
      <w:r w:rsidR="00AF4395" w:rsidRPr="009F380C">
        <w:rPr>
          <w:rFonts w:ascii="Times New Roman" w:hAnsi="Times New Roman" w:cs="Times New Roman"/>
          <w:color w:val="000000"/>
          <w:sz w:val="28"/>
          <w:szCs w:val="28"/>
        </w:rPr>
        <w:t>Rule 15(4)</w:t>
      </w:r>
      <w:r w:rsidR="005E392D">
        <w:rPr>
          <w:rFonts w:ascii="Times New Roman" w:hAnsi="Times New Roman" w:cs="Times New Roman"/>
          <w:color w:val="000000"/>
          <w:sz w:val="28"/>
          <w:szCs w:val="28"/>
        </w:rPr>
        <w:t xml:space="preserve">. </w:t>
      </w:r>
    </w:p>
    <w:p w14:paraId="48B4B6DC" w14:textId="3508A3C4" w:rsidR="00863EAD" w:rsidRDefault="009F380C" w:rsidP="008A3E61">
      <w:pPr>
        <w:spacing w:line="360" w:lineRule="auto"/>
        <w:jc w:val="both"/>
        <w:rPr>
          <w:rFonts w:ascii="Times New Roman" w:hAnsi="Times New Roman" w:cs="Times New Roman"/>
          <w:color w:val="000000"/>
          <w:sz w:val="28"/>
          <w:szCs w:val="28"/>
        </w:rPr>
      </w:pPr>
      <w:r w:rsidRPr="009F380C">
        <w:rPr>
          <w:rFonts w:ascii="Times New Roman" w:hAnsi="Times New Roman" w:cs="Times New Roman"/>
          <w:color w:val="000000"/>
          <w:sz w:val="28"/>
          <w:szCs w:val="28"/>
        </w:rPr>
        <w:t>[</w:t>
      </w:r>
      <w:r w:rsidR="0019233D" w:rsidRPr="009F380C">
        <w:rPr>
          <w:rFonts w:ascii="Times New Roman" w:hAnsi="Times New Roman" w:cs="Times New Roman"/>
          <w:color w:val="000000"/>
          <w:sz w:val="28"/>
          <w:szCs w:val="28"/>
        </w:rPr>
        <w:t>1</w:t>
      </w:r>
      <w:r w:rsidR="00DB4548" w:rsidRPr="009F380C">
        <w:rPr>
          <w:rFonts w:ascii="Times New Roman" w:hAnsi="Times New Roman" w:cs="Times New Roman"/>
          <w:color w:val="000000"/>
          <w:sz w:val="28"/>
          <w:szCs w:val="28"/>
        </w:rPr>
        <w:t>2</w:t>
      </w:r>
      <w:r w:rsidR="006F273D" w:rsidRPr="009F380C">
        <w:rPr>
          <w:rFonts w:ascii="Times New Roman" w:hAnsi="Times New Roman" w:cs="Times New Roman"/>
          <w:color w:val="000000"/>
          <w:sz w:val="28"/>
          <w:szCs w:val="28"/>
        </w:rPr>
        <w:t>]</w:t>
      </w:r>
      <w:r w:rsidR="006F273D" w:rsidRPr="009F380C">
        <w:rPr>
          <w:rFonts w:ascii="Times New Roman" w:hAnsi="Times New Roman" w:cs="Times New Roman"/>
          <w:color w:val="000000"/>
          <w:sz w:val="28"/>
          <w:szCs w:val="28"/>
        </w:rPr>
        <w:tab/>
      </w:r>
      <w:r w:rsidR="0019233D" w:rsidRPr="009F380C">
        <w:rPr>
          <w:rFonts w:ascii="Times New Roman" w:hAnsi="Times New Roman" w:cs="Times New Roman"/>
          <w:color w:val="000000"/>
          <w:sz w:val="28"/>
          <w:szCs w:val="28"/>
        </w:rPr>
        <w:t>The fourth notice</w:t>
      </w:r>
      <w:r w:rsidR="007B218D">
        <w:rPr>
          <w:rFonts w:ascii="Times New Roman" w:hAnsi="Times New Roman" w:cs="Times New Roman"/>
          <w:color w:val="000000"/>
          <w:sz w:val="28"/>
          <w:szCs w:val="28"/>
        </w:rPr>
        <w:t xml:space="preserve"> </w:t>
      </w:r>
      <w:r w:rsidR="0019233D" w:rsidRPr="009F380C">
        <w:rPr>
          <w:rFonts w:ascii="Times New Roman" w:hAnsi="Times New Roman" w:cs="Times New Roman"/>
          <w:color w:val="000000"/>
          <w:sz w:val="28"/>
          <w:szCs w:val="28"/>
        </w:rPr>
        <w:t xml:space="preserve">is in respect of </w:t>
      </w:r>
      <w:r w:rsidR="004A51FD" w:rsidRPr="009F380C">
        <w:rPr>
          <w:rFonts w:ascii="Times New Roman" w:hAnsi="Times New Roman" w:cs="Times New Roman"/>
          <w:color w:val="000000"/>
          <w:sz w:val="28"/>
          <w:szCs w:val="28"/>
        </w:rPr>
        <w:t xml:space="preserve">a </w:t>
      </w:r>
      <w:r w:rsidR="004A51FD" w:rsidRPr="009F380C">
        <w:rPr>
          <w:rFonts w:ascii="Times New Roman" w:hAnsi="Times New Roman" w:cs="Times New Roman"/>
          <w:sz w:val="28"/>
          <w:szCs w:val="28"/>
        </w:rPr>
        <w:t xml:space="preserve">point of law </w:t>
      </w:r>
      <w:r w:rsidR="0019233D" w:rsidRPr="009F380C">
        <w:rPr>
          <w:rFonts w:ascii="Times New Roman" w:hAnsi="Times New Roman" w:cs="Times New Roman"/>
          <w:sz w:val="28"/>
          <w:szCs w:val="28"/>
        </w:rPr>
        <w:t xml:space="preserve">raised by </w:t>
      </w:r>
      <w:proofErr w:type="spellStart"/>
      <w:r w:rsidR="0019233D" w:rsidRPr="009F380C">
        <w:rPr>
          <w:rFonts w:ascii="Times New Roman" w:hAnsi="Times New Roman" w:cs="Times New Roman"/>
          <w:color w:val="000000"/>
          <w:sz w:val="28"/>
          <w:szCs w:val="28"/>
        </w:rPr>
        <w:t>Floxifor</w:t>
      </w:r>
      <w:proofErr w:type="spellEnd"/>
      <w:r w:rsidR="0019233D" w:rsidRPr="009F380C">
        <w:rPr>
          <w:rFonts w:ascii="Times New Roman" w:hAnsi="Times New Roman" w:cs="Times New Roman"/>
          <w:sz w:val="28"/>
          <w:szCs w:val="28"/>
        </w:rPr>
        <w:t xml:space="preserve"> </w:t>
      </w:r>
      <w:r w:rsidR="004A51FD" w:rsidRPr="009F380C">
        <w:rPr>
          <w:rFonts w:ascii="Times New Roman" w:hAnsi="Times New Roman" w:cs="Times New Roman"/>
          <w:sz w:val="28"/>
          <w:szCs w:val="28"/>
        </w:rPr>
        <w:t>in terms of Rule 6(5)(d)(iii)</w:t>
      </w:r>
      <w:r w:rsidR="0019233D" w:rsidRPr="009F380C">
        <w:rPr>
          <w:rFonts w:ascii="Times New Roman" w:hAnsi="Times New Roman" w:cs="Times New Roman"/>
          <w:color w:val="000000"/>
          <w:sz w:val="28"/>
          <w:szCs w:val="28"/>
        </w:rPr>
        <w:t xml:space="preserve"> filed o</w:t>
      </w:r>
      <w:r w:rsidR="0019233D" w:rsidRPr="009F380C">
        <w:rPr>
          <w:rFonts w:ascii="Times New Roman" w:hAnsi="Times New Roman" w:cs="Times New Roman"/>
          <w:sz w:val="28"/>
          <w:szCs w:val="28"/>
        </w:rPr>
        <w:t xml:space="preserve">n 28 April 2023. </w:t>
      </w:r>
      <w:r w:rsidR="00804BC7" w:rsidRPr="009F380C">
        <w:rPr>
          <w:rFonts w:ascii="Times New Roman" w:hAnsi="Times New Roman" w:cs="Times New Roman"/>
          <w:sz w:val="28"/>
          <w:szCs w:val="28"/>
        </w:rPr>
        <w:t xml:space="preserve">It </w:t>
      </w:r>
      <w:r>
        <w:rPr>
          <w:rFonts w:ascii="Times New Roman" w:hAnsi="Times New Roman" w:cs="Times New Roman"/>
          <w:sz w:val="28"/>
          <w:szCs w:val="28"/>
        </w:rPr>
        <w:t xml:space="preserve">attacks </w:t>
      </w:r>
      <w:r w:rsidR="00A548D4" w:rsidRPr="009F380C">
        <w:rPr>
          <w:rFonts w:ascii="Times New Roman" w:hAnsi="Times New Roman" w:cs="Times New Roman"/>
          <w:sz w:val="28"/>
          <w:szCs w:val="28"/>
        </w:rPr>
        <w:t>t</w:t>
      </w:r>
      <w:r w:rsidR="00570156" w:rsidRPr="009F380C">
        <w:rPr>
          <w:rFonts w:ascii="Times New Roman" w:hAnsi="Times New Roman" w:cs="Times New Roman"/>
          <w:color w:val="000000"/>
          <w:sz w:val="28"/>
          <w:szCs w:val="28"/>
        </w:rPr>
        <w:t xml:space="preserve">he </w:t>
      </w:r>
      <w:r w:rsidRPr="009F380C">
        <w:rPr>
          <w:rFonts w:ascii="Times New Roman" w:hAnsi="Times New Roman" w:cs="Times New Roman"/>
          <w:color w:val="000000"/>
          <w:sz w:val="28"/>
          <w:szCs w:val="28"/>
        </w:rPr>
        <w:t xml:space="preserve">liquidation </w:t>
      </w:r>
      <w:r w:rsidR="00570156" w:rsidRPr="009F380C">
        <w:rPr>
          <w:rFonts w:ascii="Times New Roman" w:hAnsi="Times New Roman" w:cs="Times New Roman"/>
          <w:color w:val="000000"/>
          <w:sz w:val="28"/>
          <w:szCs w:val="28"/>
        </w:rPr>
        <w:t xml:space="preserve">application </w:t>
      </w:r>
      <w:r>
        <w:rPr>
          <w:rFonts w:ascii="Times New Roman" w:hAnsi="Times New Roman" w:cs="Times New Roman"/>
          <w:color w:val="000000"/>
          <w:sz w:val="28"/>
          <w:szCs w:val="28"/>
        </w:rPr>
        <w:t xml:space="preserve">on the grounds that it </w:t>
      </w:r>
      <w:r w:rsidR="00570156" w:rsidRPr="009F380C">
        <w:rPr>
          <w:rFonts w:ascii="Times New Roman" w:hAnsi="Times New Roman" w:cs="Times New Roman"/>
          <w:color w:val="000000"/>
          <w:sz w:val="28"/>
          <w:szCs w:val="28"/>
        </w:rPr>
        <w:t>is</w:t>
      </w:r>
      <w:r w:rsidRPr="009F380C">
        <w:rPr>
          <w:rFonts w:ascii="Times New Roman" w:hAnsi="Times New Roman" w:cs="Times New Roman"/>
          <w:color w:val="000000"/>
          <w:sz w:val="28"/>
          <w:szCs w:val="28"/>
        </w:rPr>
        <w:t xml:space="preserve"> nullity </w:t>
      </w:r>
      <w:r w:rsidRPr="007B218D">
        <w:rPr>
          <w:rFonts w:ascii="Times New Roman" w:hAnsi="Times New Roman" w:cs="Times New Roman"/>
          <w:i/>
          <w:iCs/>
          <w:color w:val="000000"/>
          <w:sz w:val="28"/>
          <w:szCs w:val="28"/>
        </w:rPr>
        <w:t>ab initio</w:t>
      </w:r>
      <w:r w:rsidR="00570156" w:rsidRPr="009F380C">
        <w:rPr>
          <w:rFonts w:ascii="Times New Roman" w:hAnsi="Times New Roman" w:cs="Times New Roman"/>
          <w:color w:val="000000"/>
          <w:sz w:val="28"/>
          <w:szCs w:val="28"/>
        </w:rPr>
        <w:t xml:space="preserve"> and cannot be ratified </w:t>
      </w:r>
      <w:r w:rsidR="00570156" w:rsidRPr="008A3E61">
        <w:rPr>
          <w:rFonts w:ascii="Times New Roman" w:hAnsi="Times New Roman" w:cs="Times New Roman"/>
          <w:i/>
          <w:iCs/>
          <w:color w:val="000000"/>
          <w:sz w:val="28"/>
          <w:szCs w:val="28"/>
        </w:rPr>
        <w:t>ex post facto</w:t>
      </w:r>
      <w:r w:rsidR="00570156" w:rsidRPr="009F380C">
        <w:rPr>
          <w:rFonts w:ascii="Times New Roman" w:hAnsi="Times New Roman" w:cs="Times New Roman"/>
          <w:color w:val="000000"/>
          <w:sz w:val="28"/>
          <w:szCs w:val="28"/>
        </w:rPr>
        <w:t>.</w:t>
      </w:r>
      <w:r w:rsidR="008A3E61">
        <w:rPr>
          <w:rFonts w:ascii="Times New Roman" w:hAnsi="Times New Roman" w:cs="Times New Roman"/>
          <w:color w:val="000000"/>
          <w:sz w:val="28"/>
          <w:szCs w:val="28"/>
        </w:rPr>
        <w:t xml:space="preserve"> </w:t>
      </w:r>
      <w:r w:rsidR="00232CE6">
        <w:rPr>
          <w:rFonts w:ascii="Times New Roman" w:hAnsi="Times New Roman" w:cs="Times New Roman"/>
          <w:sz w:val="28"/>
          <w:szCs w:val="28"/>
        </w:rPr>
        <w:t xml:space="preserve">At first blush, it seemed that the issues raised were intertwined </w:t>
      </w:r>
      <w:r w:rsidR="007B218D">
        <w:rPr>
          <w:rFonts w:ascii="Times New Roman" w:hAnsi="Times New Roman" w:cs="Times New Roman"/>
          <w:sz w:val="28"/>
          <w:szCs w:val="28"/>
        </w:rPr>
        <w:t xml:space="preserve">with those in the Rule 7(1) </w:t>
      </w:r>
      <w:r w:rsidR="00232CE6">
        <w:rPr>
          <w:rFonts w:ascii="Times New Roman" w:hAnsi="Times New Roman" w:cs="Times New Roman"/>
          <w:sz w:val="28"/>
          <w:szCs w:val="28"/>
        </w:rPr>
        <w:t xml:space="preserve">since </w:t>
      </w:r>
      <w:proofErr w:type="spellStart"/>
      <w:r w:rsidR="00232CE6">
        <w:rPr>
          <w:rFonts w:ascii="Times New Roman" w:hAnsi="Times New Roman" w:cs="Times New Roman"/>
          <w:sz w:val="28"/>
          <w:szCs w:val="28"/>
        </w:rPr>
        <w:t>Floxifor</w:t>
      </w:r>
      <w:proofErr w:type="spellEnd"/>
      <w:r w:rsidR="00232CE6">
        <w:rPr>
          <w:rFonts w:ascii="Times New Roman" w:hAnsi="Times New Roman" w:cs="Times New Roman"/>
          <w:sz w:val="28"/>
          <w:szCs w:val="28"/>
        </w:rPr>
        <w:t xml:space="preserve"> relied on the same facts to advance its </w:t>
      </w:r>
      <w:r w:rsidR="00E6370F">
        <w:rPr>
          <w:rFonts w:ascii="Times New Roman" w:hAnsi="Times New Roman" w:cs="Times New Roman"/>
          <w:sz w:val="28"/>
          <w:szCs w:val="28"/>
        </w:rPr>
        <w:t>point of law</w:t>
      </w:r>
      <w:r w:rsidR="00526B87">
        <w:rPr>
          <w:rFonts w:ascii="Times New Roman" w:hAnsi="Times New Roman" w:cs="Times New Roman"/>
          <w:sz w:val="28"/>
          <w:szCs w:val="28"/>
        </w:rPr>
        <w:t>.</w:t>
      </w:r>
    </w:p>
    <w:p w14:paraId="311C6555" w14:textId="526FDDE1" w:rsidR="00526B87" w:rsidRDefault="00354C66" w:rsidP="00AE7FD4">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7B218D">
        <w:rPr>
          <w:rFonts w:ascii="Times New Roman" w:hAnsi="Times New Roman" w:cs="Times New Roman"/>
          <w:sz w:val="28"/>
          <w:szCs w:val="28"/>
        </w:rPr>
        <w:t>It</w:t>
      </w:r>
      <w:r w:rsidR="008A3E61">
        <w:rPr>
          <w:rFonts w:ascii="Times New Roman" w:hAnsi="Times New Roman" w:cs="Times New Roman"/>
          <w:color w:val="000000"/>
          <w:sz w:val="28"/>
          <w:szCs w:val="28"/>
        </w:rPr>
        <w:t xml:space="preserve"> became necessary to first distil th</w:t>
      </w:r>
      <w:r>
        <w:rPr>
          <w:rFonts w:ascii="Times New Roman" w:hAnsi="Times New Roman" w:cs="Times New Roman"/>
          <w:color w:val="000000"/>
          <w:sz w:val="28"/>
          <w:szCs w:val="28"/>
        </w:rPr>
        <w:t>o</w:t>
      </w:r>
      <w:r w:rsidR="008A3E61">
        <w:rPr>
          <w:rFonts w:ascii="Times New Roman" w:hAnsi="Times New Roman" w:cs="Times New Roman"/>
          <w:color w:val="000000"/>
          <w:sz w:val="28"/>
          <w:szCs w:val="28"/>
        </w:rPr>
        <w:t xml:space="preserve">se </w:t>
      </w:r>
      <w:r>
        <w:rPr>
          <w:rFonts w:ascii="Times New Roman" w:hAnsi="Times New Roman" w:cs="Times New Roman"/>
          <w:color w:val="000000"/>
          <w:sz w:val="28"/>
          <w:szCs w:val="28"/>
        </w:rPr>
        <w:t xml:space="preserve">issues </w:t>
      </w:r>
      <w:r w:rsidR="008A3E61">
        <w:rPr>
          <w:rFonts w:ascii="Times New Roman" w:hAnsi="Times New Roman" w:cs="Times New Roman"/>
          <w:color w:val="000000"/>
          <w:sz w:val="28"/>
          <w:szCs w:val="28"/>
        </w:rPr>
        <w:t xml:space="preserve">to clarify </w:t>
      </w:r>
      <w:r w:rsidR="00D84582">
        <w:rPr>
          <w:rFonts w:ascii="Times New Roman" w:hAnsi="Times New Roman" w:cs="Times New Roman"/>
          <w:color w:val="000000"/>
          <w:sz w:val="28"/>
          <w:szCs w:val="28"/>
        </w:rPr>
        <w:t xml:space="preserve">what is rightly before the court for determination. </w:t>
      </w:r>
      <w:r w:rsidR="00F1368C">
        <w:rPr>
          <w:rFonts w:ascii="Times New Roman" w:hAnsi="Times New Roman" w:cs="Times New Roman"/>
          <w:sz w:val="28"/>
          <w:szCs w:val="28"/>
        </w:rPr>
        <w:t>The central th</w:t>
      </w:r>
      <w:r w:rsidR="00526EF1">
        <w:rPr>
          <w:rFonts w:ascii="Times New Roman" w:hAnsi="Times New Roman" w:cs="Times New Roman"/>
          <w:sz w:val="28"/>
          <w:szCs w:val="28"/>
        </w:rPr>
        <w:t xml:space="preserve">eme </w:t>
      </w:r>
      <w:r w:rsidR="00AC719C">
        <w:rPr>
          <w:rFonts w:ascii="Times New Roman" w:hAnsi="Times New Roman" w:cs="Times New Roman"/>
          <w:sz w:val="28"/>
          <w:szCs w:val="28"/>
        </w:rPr>
        <w:t xml:space="preserve">concerns the </w:t>
      </w:r>
      <w:r w:rsidR="00F1368C" w:rsidRPr="007B218D">
        <w:rPr>
          <w:rFonts w:ascii="Times New Roman" w:hAnsi="Times New Roman" w:cs="Times New Roman"/>
          <w:sz w:val="28"/>
          <w:szCs w:val="28"/>
        </w:rPr>
        <w:t>dispute</w:t>
      </w:r>
      <w:r w:rsidR="00AC719C" w:rsidRPr="007B218D">
        <w:rPr>
          <w:rFonts w:ascii="Times New Roman" w:hAnsi="Times New Roman" w:cs="Times New Roman"/>
          <w:sz w:val="28"/>
          <w:szCs w:val="28"/>
        </w:rPr>
        <w:t xml:space="preserve">d </w:t>
      </w:r>
      <w:r w:rsidR="00F1368C" w:rsidRPr="007B218D">
        <w:rPr>
          <w:rFonts w:ascii="Times New Roman" w:hAnsi="Times New Roman" w:cs="Times New Roman"/>
          <w:sz w:val="28"/>
          <w:szCs w:val="28"/>
        </w:rPr>
        <w:t xml:space="preserve">authority of the trustees </w:t>
      </w:r>
      <w:r w:rsidR="00AC719C" w:rsidRPr="007B218D">
        <w:rPr>
          <w:rFonts w:ascii="Times New Roman" w:hAnsi="Times New Roman" w:cs="Times New Roman"/>
          <w:sz w:val="28"/>
          <w:szCs w:val="28"/>
        </w:rPr>
        <w:t>and it</w:t>
      </w:r>
      <w:r w:rsidR="007F6FA7" w:rsidRPr="007B218D">
        <w:rPr>
          <w:rFonts w:ascii="Times New Roman" w:hAnsi="Times New Roman" w:cs="Times New Roman"/>
          <w:sz w:val="28"/>
          <w:szCs w:val="28"/>
        </w:rPr>
        <w:t>s</w:t>
      </w:r>
      <w:r w:rsidR="00AC719C" w:rsidRPr="007B218D">
        <w:rPr>
          <w:rFonts w:ascii="Times New Roman" w:hAnsi="Times New Roman" w:cs="Times New Roman"/>
          <w:sz w:val="28"/>
          <w:szCs w:val="28"/>
        </w:rPr>
        <w:t xml:space="preserve"> legal representative </w:t>
      </w:r>
      <w:r w:rsidR="00F1368C" w:rsidRPr="007B218D">
        <w:rPr>
          <w:rFonts w:ascii="Times New Roman" w:hAnsi="Times New Roman" w:cs="Times New Roman"/>
          <w:sz w:val="28"/>
          <w:szCs w:val="28"/>
        </w:rPr>
        <w:t>to act on behalf of the Trust.</w:t>
      </w:r>
      <w:r w:rsidR="00F1368C">
        <w:rPr>
          <w:rFonts w:ascii="Times New Roman" w:hAnsi="Times New Roman" w:cs="Times New Roman"/>
          <w:sz w:val="28"/>
          <w:szCs w:val="28"/>
        </w:rPr>
        <w:t xml:space="preserve"> </w:t>
      </w:r>
      <w:proofErr w:type="spellStart"/>
      <w:r w:rsidR="00AE7FD4">
        <w:rPr>
          <w:rFonts w:ascii="Times New Roman" w:hAnsi="Times New Roman" w:cs="Times New Roman"/>
          <w:color w:val="000000"/>
          <w:sz w:val="28"/>
          <w:szCs w:val="28"/>
        </w:rPr>
        <w:t>Floxifor</w:t>
      </w:r>
      <w:proofErr w:type="spellEnd"/>
      <w:r w:rsidR="00AE7FD4">
        <w:rPr>
          <w:rFonts w:ascii="Times New Roman" w:hAnsi="Times New Roman" w:cs="Times New Roman"/>
          <w:color w:val="000000"/>
          <w:sz w:val="28"/>
          <w:szCs w:val="28"/>
        </w:rPr>
        <w:t xml:space="preserve"> </w:t>
      </w:r>
      <w:r w:rsidR="007B218D">
        <w:rPr>
          <w:rFonts w:ascii="Times New Roman" w:hAnsi="Times New Roman" w:cs="Times New Roman"/>
          <w:color w:val="000000"/>
          <w:sz w:val="28"/>
          <w:szCs w:val="28"/>
        </w:rPr>
        <w:t xml:space="preserve">once again </w:t>
      </w:r>
      <w:r w:rsidR="007738DA">
        <w:rPr>
          <w:rFonts w:ascii="Times New Roman" w:hAnsi="Times New Roman" w:cs="Times New Roman"/>
          <w:color w:val="000000"/>
          <w:sz w:val="28"/>
          <w:szCs w:val="28"/>
        </w:rPr>
        <w:t>r</w:t>
      </w:r>
      <w:r w:rsidR="00AE7FD4">
        <w:rPr>
          <w:rFonts w:ascii="Times New Roman" w:hAnsi="Times New Roman" w:cs="Times New Roman"/>
          <w:color w:val="000000"/>
          <w:sz w:val="28"/>
          <w:szCs w:val="28"/>
        </w:rPr>
        <w:t xml:space="preserve">elied on the </w:t>
      </w:r>
      <w:r w:rsidR="00ED7250">
        <w:rPr>
          <w:rFonts w:ascii="Times New Roman" w:hAnsi="Times New Roman" w:cs="Times New Roman"/>
          <w:color w:val="000000"/>
          <w:sz w:val="28"/>
          <w:szCs w:val="28"/>
        </w:rPr>
        <w:t xml:space="preserve">same </w:t>
      </w:r>
      <w:r w:rsidR="00AE7FD4">
        <w:rPr>
          <w:rFonts w:ascii="Times New Roman" w:hAnsi="Times New Roman" w:cs="Times New Roman"/>
          <w:color w:val="000000"/>
          <w:sz w:val="28"/>
          <w:szCs w:val="28"/>
        </w:rPr>
        <w:t xml:space="preserve">contentions </w:t>
      </w:r>
      <w:r w:rsidR="00526B87">
        <w:rPr>
          <w:rFonts w:ascii="Times New Roman" w:hAnsi="Times New Roman" w:cs="Times New Roman"/>
          <w:color w:val="000000"/>
          <w:sz w:val="28"/>
          <w:szCs w:val="28"/>
        </w:rPr>
        <w:t xml:space="preserve">made in the Rule 7(1) notice </w:t>
      </w:r>
      <w:r w:rsidR="00AE7FD4">
        <w:rPr>
          <w:rFonts w:ascii="Times New Roman" w:hAnsi="Times New Roman" w:cs="Times New Roman"/>
          <w:color w:val="000000"/>
          <w:sz w:val="28"/>
          <w:szCs w:val="28"/>
        </w:rPr>
        <w:t xml:space="preserve">to oppose the substitution </w:t>
      </w:r>
      <w:r w:rsidR="00E6370F">
        <w:rPr>
          <w:rFonts w:ascii="Times New Roman" w:hAnsi="Times New Roman" w:cs="Times New Roman"/>
          <w:color w:val="000000"/>
          <w:sz w:val="28"/>
          <w:szCs w:val="28"/>
        </w:rPr>
        <w:t xml:space="preserve">and joinder </w:t>
      </w:r>
      <w:r w:rsidR="00ED7250">
        <w:rPr>
          <w:rFonts w:ascii="Times New Roman" w:hAnsi="Times New Roman" w:cs="Times New Roman"/>
          <w:color w:val="000000"/>
          <w:sz w:val="28"/>
          <w:szCs w:val="28"/>
        </w:rPr>
        <w:t xml:space="preserve">of the new trustees. </w:t>
      </w:r>
      <w:r w:rsidR="007B218D">
        <w:rPr>
          <w:rFonts w:ascii="Times New Roman" w:hAnsi="Times New Roman" w:cs="Times New Roman"/>
          <w:color w:val="000000"/>
          <w:sz w:val="28"/>
          <w:szCs w:val="28"/>
        </w:rPr>
        <w:t xml:space="preserve">On the other hand, the </w:t>
      </w:r>
      <w:r w:rsidR="007B218D">
        <w:rPr>
          <w:rFonts w:ascii="Times New Roman" w:hAnsi="Times New Roman" w:cs="Times New Roman"/>
          <w:sz w:val="28"/>
          <w:szCs w:val="28"/>
        </w:rPr>
        <w:t>Rule</w:t>
      </w:r>
      <w:r w:rsidR="007B218D" w:rsidRPr="002548C4">
        <w:rPr>
          <w:rFonts w:ascii="Times New Roman" w:hAnsi="Times New Roman" w:cs="Times New Roman"/>
          <w:sz w:val="28"/>
          <w:szCs w:val="28"/>
        </w:rPr>
        <w:t xml:space="preserve"> 6(5)(d)(iii</w:t>
      </w:r>
      <w:r w:rsidR="007B218D">
        <w:rPr>
          <w:rFonts w:ascii="Times New Roman" w:hAnsi="Times New Roman" w:cs="Times New Roman"/>
          <w:sz w:val="28"/>
          <w:szCs w:val="28"/>
        </w:rPr>
        <w:t>) notice challenges the validity of the liquidation application.</w:t>
      </w:r>
    </w:p>
    <w:p w14:paraId="5C282DCD" w14:textId="5F989281" w:rsidR="003D0281" w:rsidRPr="00D26730" w:rsidRDefault="00897A9D" w:rsidP="003D0281">
      <w:pPr>
        <w:spacing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R</w:t>
      </w:r>
      <w:r w:rsidR="003D0281" w:rsidRPr="00D26730">
        <w:rPr>
          <w:rFonts w:ascii="Times New Roman" w:hAnsi="Times New Roman" w:cs="Times New Roman"/>
          <w:b/>
          <w:bCs/>
          <w:color w:val="000000"/>
          <w:sz w:val="28"/>
          <w:szCs w:val="28"/>
        </w:rPr>
        <w:t>ule 7(1)</w:t>
      </w:r>
      <w:r w:rsidR="00110C6C" w:rsidRPr="00D26730">
        <w:rPr>
          <w:rFonts w:ascii="Times New Roman" w:hAnsi="Times New Roman" w:cs="Times New Roman"/>
          <w:b/>
          <w:bCs/>
          <w:color w:val="000000"/>
          <w:sz w:val="28"/>
          <w:szCs w:val="28"/>
        </w:rPr>
        <w:t xml:space="preserve"> notice</w:t>
      </w:r>
    </w:p>
    <w:p w14:paraId="03B81451" w14:textId="603E1B23" w:rsidR="00D65955" w:rsidRDefault="003D0281" w:rsidP="00ED3121">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7B218D">
        <w:rPr>
          <w:rFonts w:ascii="Times New Roman" w:hAnsi="Times New Roman" w:cs="Times New Roman"/>
          <w:sz w:val="28"/>
          <w:szCs w:val="28"/>
        </w:rPr>
        <w:t>4</w:t>
      </w:r>
      <w:r w:rsidR="00916C81">
        <w:rPr>
          <w:rFonts w:ascii="Times New Roman" w:hAnsi="Times New Roman" w:cs="Times New Roman"/>
          <w:sz w:val="28"/>
          <w:szCs w:val="28"/>
        </w:rPr>
        <w:t>]</w:t>
      </w:r>
      <w:r w:rsidR="00D65955">
        <w:rPr>
          <w:rFonts w:ascii="Times New Roman" w:hAnsi="Times New Roman" w:cs="Times New Roman"/>
          <w:sz w:val="28"/>
          <w:szCs w:val="28"/>
        </w:rPr>
        <w:t xml:space="preserve"> </w:t>
      </w:r>
      <w:r w:rsidR="00110C6C">
        <w:rPr>
          <w:rFonts w:ascii="Times New Roman" w:hAnsi="Times New Roman" w:cs="Times New Roman"/>
          <w:sz w:val="28"/>
          <w:szCs w:val="28"/>
        </w:rPr>
        <w:t xml:space="preserve">The </w:t>
      </w:r>
      <w:r w:rsidR="00691FC2">
        <w:rPr>
          <w:rFonts w:ascii="Times New Roman" w:hAnsi="Times New Roman" w:cs="Times New Roman"/>
          <w:color w:val="000000"/>
          <w:sz w:val="28"/>
          <w:szCs w:val="28"/>
        </w:rPr>
        <w:t xml:space="preserve">Rule does not prescribe a procedure to bring about a challenge of the authority of a party </w:t>
      </w:r>
      <w:r w:rsidR="00691FC2" w:rsidRPr="00BC2E32">
        <w:rPr>
          <w:rFonts w:ascii="Times New Roman" w:hAnsi="Times New Roman" w:cs="Times New Roman"/>
          <w:i/>
          <w:iCs/>
          <w:color w:val="000000"/>
          <w:sz w:val="28"/>
          <w:szCs w:val="28"/>
        </w:rPr>
        <w:t>per se</w:t>
      </w:r>
      <w:r w:rsidR="00110C6C">
        <w:rPr>
          <w:rFonts w:ascii="Times New Roman" w:hAnsi="Times New Roman" w:cs="Times New Roman"/>
          <w:i/>
          <w:iCs/>
          <w:color w:val="000000"/>
          <w:sz w:val="28"/>
          <w:szCs w:val="28"/>
        </w:rPr>
        <w:t xml:space="preserve">. </w:t>
      </w:r>
      <w:r w:rsidR="00110C6C" w:rsidRPr="00110C6C">
        <w:rPr>
          <w:rFonts w:ascii="Times New Roman" w:hAnsi="Times New Roman" w:cs="Times New Roman"/>
          <w:color w:val="000000"/>
          <w:sz w:val="28"/>
          <w:szCs w:val="28"/>
        </w:rPr>
        <w:t xml:space="preserve">It </w:t>
      </w:r>
      <w:r w:rsidR="00D65955" w:rsidRPr="00110C6C">
        <w:rPr>
          <w:rFonts w:ascii="Times New Roman" w:hAnsi="Times New Roman" w:cs="Times New Roman"/>
          <w:sz w:val="28"/>
          <w:szCs w:val="28"/>
        </w:rPr>
        <w:t>s</w:t>
      </w:r>
      <w:r w:rsidR="00D65955">
        <w:rPr>
          <w:rFonts w:ascii="Times New Roman" w:hAnsi="Times New Roman" w:cs="Times New Roman"/>
          <w:sz w:val="28"/>
          <w:szCs w:val="28"/>
        </w:rPr>
        <w:t xml:space="preserve">tates </w:t>
      </w:r>
      <w:r w:rsidR="00110C6C">
        <w:rPr>
          <w:rFonts w:ascii="Times New Roman" w:hAnsi="Times New Roman" w:cs="Times New Roman"/>
          <w:sz w:val="28"/>
          <w:szCs w:val="28"/>
        </w:rPr>
        <w:t xml:space="preserve">however </w:t>
      </w:r>
      <w:r w:rsidR="00D65955">
        <w:rPr>
          <w:rFonts w:ascii="Times New Roman" w:hAnsi="Times New Roman" w:cs="Times New Roman"/>
          <w:sz w:val="28"/>
          <w:szCs w:val="28"/>
        </w:rPr>
        <w:t>that:</w:t>
      </w:r>
    </w:p>
    <w:p w14:paraId="3EAAF581" w14:textId="47F01236" w:rsidR="00ED3121" w:rsidRPr="00222979" w:rsidRDefault="00ED3121" w:rsidP="00ED3121">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4"/>
          <w:szCs w:val="24"/>
        </w:rPr>
        <w:lastRenderedPageBreak/>
        <w:t>‘7</w:t>
      </w:r>
      <w:r w:rsidRPr="00641CF0">
        <w:rPr>
          <w:rFonts w:ascii="Times New Roman" w:hAnsi="Times New Roman" w:cs="Times New Roman"/>
          <w:color w:val="000000"/>
          <w:sz w:val="24"/>
          <w:szCs w:val="24"/>
        </w:rPr>
        <w:t xml:space="preserve">(1) Subject to the provisions of subrules (2) and (3) a power of attorney to act need not be filed, but the authority of anyone acting on behalf of a party may, </w:t>
      </w:r>
      <w:r w:rsidRPr="007B218D">
        <w:rPr>
          <w:rFonts w:ascii="Times New Roman" w:hAnsi="Times New Roman" w:cs="Times New Roman"/>
          <w:color w:val="000000"/>
          <w:sz w:val="24"/>
          <w:szCs w:val="24"/>
        </w:rPr>
        <w:t>within 10 days after it has come to the notice of a party that such person is so acting, or with the leave of the court on good cause shown at any time before judgment, be disputed, whereafter such person may no longer act unless he satisfied the court that he is authorised so to act, and to enable him to do so the court may postpone the hearing of the action or application.’</w:t>
      </w:r>
    </w:p>
    <w:p w14:paraId="043F54C9" w14:textId="1A12C13D" w:rsidR="00CC50F9" w:rsidRDefault="00ED3121" w:rsidP="00110C6C">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B218D">
        <w:rPr>
          <w:rFonts w:ascii="Times New Roman" w:hAnsi="Times New Roman" w:cs="Times New Roman"/>
          <w:color w:val="000000"/>
          <w:sz w:val="28"/>
          <w:szCs w:val="28"/>
        </w:rPr>
        <w:t>5</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0D224B">
        <w:rPr>
          <w:rFonts w:ascii="Times New Roman" w:hAnsi="Times New Roman" w:cs="Times New Roman"/>
          <w:color w:val="000000"/>
          <w:sz w:val="28"/>
          <w:szCs w:val="28"/>
        </w:rPr>
        <w:t>I</w:t>
      </w:r>
      <w:r w:rsidR="0086010A">
        <w:rPr>
          <w:rFonts w:ascii="Times New Roman" w:hAnsi="Times New Roman" w:cs="Times New Roman"/>
          <w:color w:val="000000"/>
          <w:sz w:val="28"/>
          <w:szCs w:val="28"/>
        </w:rPr>
        <w:t>n its answering affidavit to the liquidation application</w:t>
      </w:r>
      <w:r w:rsidR="000D224B">
        <w:rPr>
          <w:rFonts w:ascii="Times New Roman" w:hAnsi="Times New Roman" w:cs="Times New Roman"/>
          <w:color w:val="000000"/>
          <w:sz w:val="28"/>
          <w:szCs w:val="28"/>
        </w:rPr>
        <w:t xml:space="preserve">, </w:t>
      </w:r>
      <w:proofErr w:type="spellStart"/>
      <w:r w:rsidR="000D224B" w:rsidRPr="006B5A3D">
        <w:rPr>
          <w:rFonts w:ascii="Times New Roman" w:hAnsi="Times New Roman" w:cs="Times New Roman"/>
          <w:color w:val="000000"/>
          <w:sz w:val="28"/>
          <w:szCs w:val="28"/>
        </w:rPr>
        <w:t>Floxifor</w:t>
      </w:r>
      <w:proofErr w:type="spellEnd"/>
      <w:r w:rsidR="000D224B">
        <w:rPr>
          <w:rFonts w:ascii="Times New Roman" w:hAnsi="Times New Roman" w:cs="Times New Roman"/>
          <w:color w:val="000000"/>
          <w:sz w:val="28"/>
          <w:szCs w:val="28"/>
        </w:rPr>
        <w:t xml:space="preserve"> </w:t>
      </w:r>
      <w:r w:rsidR="005F7F17">
        <w:rPr>
          <w:rFonts w:ascii="Times New Roman" w:hAnsi="Times New Roman" w:cs="Times New Roman"/>
          <w:color w:val="000000"/>
          <w:sz w:val="28"/>
          <w:szCs w:val="28"/>
        </w:rPr>
        <w:t xml:space="preserve">first </w:t>
      </w:r>
      <w:r w:rsidR="000D224B">
        <w:rPr>
          <w:rFonts w:ascii="Times New Roman" w:hAnsi="Times New Roman" w:cs="Times New Roman"/>
          <w:color w:val="000000"/>
          <w:sz w:val="28"/>
          <w:szCs w:val="28"/>
        </w:rPr>
        <w:t xml:space="preserve">agreed that </w:t>
      </w:r>
      <w:r w:rsidR="0086010A">
        <w:rPr>
          <w:rFonts w:ascii="Times New Roman" w:hAnsi="Times New Roman" w:cs="Times New Roman"/>
          <w:color w:val="000000"/>
          <w:sz w:val="28"/>
          <w:szCs w:val="28"/>
        </w:rPr>
        <w:t xml:space="preserve">the Trust is properly before </w:t>
      </w:r>
      <w:r w:rsidR="00D71309">
        <w:rPr>
          <w:rFonts w:ascii="Times New Roman" w:hAnsi="Times New Roman" w:cs="Times New Roman"/>
          <w:color w:val="000000"/>
          <w:sz w:val="28"/>
          <w:szCs w:val="28"/>
        </w:rPr>
        <w:t>the C</w:t>
      </w:r>
      <w:r w:rsidR="0086010A">
        <w:rPr>
          <w:rFonts w:ascii="Times New Roman" w:hAnsi="Times New Roman" w:cs="Times New Roman"/>
          <w:color w:val="000000"/>
          <w:sz w:val="28"/>
          <w:szCs w:val="28"/>
        </w:rPr>
        <w:t xml:space="preserve">ourt. Notwithstanding, it filed </w:t>
      </w:r>
      <w:r w:rsidR="00FB7889">
        <w:rPr>
          <w:rFonts w:ascii="Times New Roman" w:hAnsi="Times New Roman" w:cs="Times New Roman"/>
          <w:color w:val="000000"/>
          <w:sz w:val="28"/>
          <w:szCs w:val="28"/>
        </w:rPr>
        <w:t xml:space="preserve">the Rule 7(1) notice </w:t>
      </w:r>
      <w:r w:rsidR="00D71309">
        <w:rPr>
          <w:rFonts w:ascii="Times New Roman" w:hAnsi="Times New Roman" w:cs="Times New Roman"/>
          <w:color w:val="000000"/>
          <w:sz w:val="28"/>
          <w:szCs w:val="28"/>
        </w:rPr>
        <w:t xml:space="preserve">to challenge the authority of the Trust and its legal representatives </w:t>
      </w:r>
      <w:r w:rsidR="005F7F17">
        <w:rPr>
          <w:rFonts w:ascii="Times New Roman" w:hAnsi="Times New Roman" w:cs="Times New Roman"/>
          <w:color w:val="000000"/>
          <w:sz w:val="28"/>
          <w:szCs w:val="28"/>
        </w:rPr>
        <w:t xml:space="preserve">approximately </w:t>
      </w:r>
      <w:r w:rsidR="002970F4">
        <w:rPr>
          <w:rFonts w:ascii="Times New Roman" w:hAnsi="Times New Roman" w:cs="Times New Roman"/>
          <w:color w:val="000000"/>
          <w:sz w:val="28"/>
          <w:szCs w:val="28"/>
        </w:rPr>
        <w:t xml:space="preserve">ten months </w:t>
      </w:r>
      <w:r w:rsidR="00FB7889">
        <w:rPr>
          <w:rFonts w:ascii="Times New Roman" w:hAnsi="Times New Roman" w:cs="Times New Roman"/>
          <w:color w:val="000000"/>
          <w:sz w:val="28"/>
          <w:szCs w:val="28"/>
        </w:rPr>
        <w:t xml:space="preserve">after delivering the answering affidavit. </w:t>
      </w:r>
      <w:r w:rsidR="00CC50F9">
        <w:rPr>
          <w:rFonts w:ascii="Times New Roman" w:hAnsi="Times New Roman" w:cs="Times New Roman"/>
          <w:color w:val="000000"/>
          <w:sz w:val="28"/>
          <w:szCs w:val="28"/>
        </w:rPr>
        <w:t xml:space="preserve">The </w:t>
      </w:r>
      <w:r w:rsidR="00E6370F">
        <w:rPr>
          <w:rFonts w:ascii="Times New Roman" w:hAnsi="Times New Roman" w:cs="Times New Roman"/>
          <w:color w:val="000000"/>
          <w:sz w:val="28"/>
          <w:szCs w:val="28"/>
        </w:rPr>
        <w:t xml:space="preserve">Rule </w:t>
      </w:r>
      <w:r w:rsidR="008C728D">
        <w:rPr>
          <w:rFonts w:ascii="Times New Roman" w:hAnsi="Times New Roman" w:cs="Times New Roman"/>
          <w:color w:val="000000"/>
          <w:sz w:val="28"/>
          <w:szCs w:val="28"/>
        </w:rPr>
        <w:t xml:space="preserve">7(1) </w:t>
      </w:r>
      <w:r w:rsidR="00CC50F9">
        <w:rPr>
          <w:rFonts w:ascii="Times New Roman" w:hAnsi="Times New Roman" w:cs="Times New Roman"/>
          <w:color w:val="000000"/>
          <w:sz w:val="28"/>
          <w:szCs w:val="28"/>
        </w:rPr>
        <w:t xml:space="preserve">notice was without a supporting affidavit. </w:t>
      </w:r>
    </w:p>
    <w:p w14:paraId="54AF5429" w14:textId="289FE3CC" w:rsidR="00447C20" w:rsidRDefault="00CC50F9" w:rsidP="003D0281">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71309">
        <w:rPr>
          <w:rFonts w:ascii="Times New Roman" w:hAnsi="Times New Roman" w:cs="Times New Roman"/>
          <w:color w:val="000000"/>
          <w:sz w:val="28"/>
          <w:szCs w:val="28"/>
        </w:rPr>
        <w:t>6]</w:t>
      </w:r>
      <w:r>
        <w:rPr>
          <w:rFonts w:ascii="Times New Roman" w:hAnsi="Times New Roman" w:cs="Times New Roman"/>
          <w:color w:val="000000"/>
          <w:sz w:val="28"/>
          <w:szCs w:val="28"/>
        </w:rPr>
        <w:tab/>
      </w:r>
      <w:r w:rsidR="00ED3121">
        <w:rPr>
          <w:rFonts w:ascii="Times New Roman" w:hAnsi="Times New Roman" w:cs="Times New Roman"/>
          <w:color w:val="000000"/>
          <w:sz w:val="28"/>
          <w:szCs w:val="28"/>
        </w:rPr>
        <w:t>T</w:t>
      </w:r>
      <w:r w:rsidR="00447C20" w:rsidRPr="0005472F">
        <w:rPr>
          <w:rFonts w:ascii="Times New Roman" w:hAnsi="Times New Roman" w:cs="Times New Roman"/>
          <w:color w:val="000000"/>
          <w:sz w:val="28"/>
          <w:szCs w:val="28"/>
        </w:rPr>
        <w:t>he applicants objected to the Rule 7 (1) notice</w:t>
      </w:r>
      <w:r w:rsidR="00447C20">
        <w:rPr>
          <w:rFonts w:ascii="Times New Roman" w:hAnsi="Times New Roman" w:cs="Times New Roman"/>
          <w:color w:val="000000"/>
          <w:sz w:val="28"/>
          <w:szCs w:val="28"/>
        </w:rPr>
        <w:t xml:space="preserve"> </w:t>
      </w:r>
      <w:r w:rsidR="00ED3121">
        <w:rPr>
          <w:rFonts w:ascii="Times New Roman" w:hAnsi="Times New Roman" w:cs="Times New Roman"/>
          <w:color w:val="000000"/>
          <w:sz w:val="28"/>
          <w:szCs w:val="28"/>
        </w:rPr>
        <w:t xml:space="preserve">in terms of </w:t>
      </w:r>
      <w:r w:rsidR="00ED3121" w:rsidRPr="00AF5E5B">
        <w:rPr>
          <w:rFonts w:ascii="Times New Roman" w:hAnsi="Times New Roman" w:cs="Times New Roman"/>
          <w:color w:val="000000"/>
          <w:sz w:val="28"/>
          <w:szCs w:val="28"/>
        </w:rPr>
        <w:t>Rule 30</w:t>
      </w:r>
      <w:r w:rsidR="009410B0">
        <w:rPr>
          <w:rFonts w:ascii="Times New Roman" w:hAnsi="Times New Roman" w:cs="Times New Roman"/>
          <w:color w:val="000000"/>
          <w:sz w:val="28"/>
          <w:szCs w:val="28"/>
        </w:rPr>
        <w:t>.</w:t>
      </w:r>
      <w:r w:rsidR="00447C20">
        <w:rPr>
          <w:rFonts w:ascii="Times New Roman" w:hAnsi="Times New Roman" w:cs="Times New Roman"/>
          <w:color w:val="000000"/>
          <w:sz w:val="28"/>
          <w:szCs w:val="28"/>
        </w:rPr>
        <w:t xml:space="preserve"> </w:t>
      </w:r>
      <w:r w:rsidR="009410B0">
        <w:rPr>
          <w:rFonts w:ascii="Times New Roman" w:hAnsi="Times New Roman" w:cs="Times New Roman"/>
          <w:color w:val="000000"/>
          <w:sz w:val="28"/>
          <w:szCs w:val="28"/>
        </w:rPr>
        <w:t>The</w:t>
      </w:r>
      <w:r>
        <w:rPr>
          <w:rFonts w:ascii="Times New Roman" w:hAnsi="Times New Roman" w:cs="Times New Roman"/>
          <w:color w:val="000000"/>
          <w:sz w:val="28"/>
          <w:szCs w:val="28"/>
        </w:rPr>
        <w:t>y</w:t>
      </w:r>
      <w:r w:rsidR="009410B0">
        <w:rPr>
          <w:rFonts w:ascii="Times New Roman" w:hAnsi="Times New Roman" w:cs="Times New Roman"/>
          <w:color w:val="000000"/>
          <w:sz w:val="28"/>
          <w:szCs w:val="28"/>
        </w:rPr>
        <w:t xml:space="preserve"> contended </w:t>
      </w:r>
      <w:r w:rsidR="0054543F">
        <w:rPr>
          <w:rFonts w:ascii="Times New Roman" w:hAnsi="Times New Roman" w:cs="Times New Roman"/>
          <w:color w:val="000000"/>
          <w:sz w:val="28"/>
          <w:szCs w:val="28"/>
        </w:rPr>
        <w:t xml:space="preserve">the </w:t>
      </w:r>
      <w:r w:rsidR="00D04927">
        <w:rPr>
          <w:rFonts w:ascii="Times New Roman" w:hAnsi="Times New Roman" w:cs="Times New Roman"/>
          <w:color w:val="000000"/>
          <w:sz w:val="28"/>
          <w:szCs w:val="28"/>
        </w:rPr>
        <w:t>challenge</w:t>
      </w:r>
      <w:r w:rsidR="005454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to the authority of the Trust and </w:t>
      </w:r>
      <w:r w:rsidR="00D71309">
        <w:rPr>
          <w:rFonts w:ascii="Times New Roman" w:hAnsi="Times New Roman" w:cs="Times New Roman"/>
          <w:color w:val="000000"/>
          <w:sz w:val="28"/>
          <w:szCs w:val="28"/>
        </w:rPr>
        <w:t>its</w:t>
      </w:r>
      <w:r>
        <w:rPr>
          <w:rFonts w:ascii="Times New Roman" w:hAnsi="Times New Roman" w:cs="Times New Roman"/>
          <w:color w:val="000000"/>
          <w:sz w:val="28"/>
          <w:szCs w:val="28"/>
        </w:rPr>
        <w:t xml:space="preserve"> legal representatives to act </w:t>
      </w:r>
      <w:r w:rsidR="0054543F">
        <w:rPr>
          <w:rFonts w:ascii="Times New Roman" w:hAnsi="Times New Roman" w:cs="Times New Roman"/>
          <w:color w:val="000000"/>
          <w:sz w:val="28"/>
          <w:szCs w:val="28"/>
        </w:rPr>
        <w:t>was</w:t>
      </w:r>
      <w:r w:rsidR="00BC2E32">
        <w:rPr>
          <w:rFonts w:ascii="Times New Roman" w:hAnsi="Times New Roman" w:cs="Times New Roman"/>
          <w:color w:val="000000"/>
          <w:sz w:val="28"/>
          <w:szCs w:val="28"/>
        </w:rPr>
        <w:t xml:space="preserve"> not </w:t>
      </w:r>
      <w:r w:rsidR="0054543F">
        <w:rPr>
          <w:rFonts w:ascii="Times New Roman" w:hAnsi="Times New Roman" w:cs="Times New Roman"/>
          <w:color w:val="000000"/>
          <w:sz w:val="28"/>
          <w:szCs w:val="28"/>
        </w:rPr>
        <w:t xml:space="preserve">raised </w:t>
      </w:r>
      <w:r w:rsidR="00BC2E32">
        <w:rPr>
          <w:rFonts w:ascii="Times New Roman" w:hAnsi="Times New Roman" w:cs="Times New Roman"/>
          <w:color w:val="000000"/>
          <w:sz w:val="28"/>
          <w:szCs w:val="28"/>
        </w:rPr>
        <w:t xml:space="preserve">within the period prescribed by the </w:t>
      </w:r>
      <w:r w:rsidR="009410B0">
        <w:rPr>
          <w:rFonts w:ascii="Times New Roman" w:hAnsi="Times New Roman" w:cs="Times New Roman"/>
          <w:color w:val="000000"/>
          <w:sz w:val="28"/>
          <w:szCs w:val="28"/>
        </w:rPr>
        <w:t>R</w:t>
      </w:r>
      <w:r w:rsidR="00BC2E32">
        <w:rPr>
          <w:rFonts w:ascii="Times New Roman" w:hAnsi="Times New Roman" w:cs="Times New Roman"/>
          <w:color w:val="000000"/>
          <w:sz w:val="28"/>
          <w:szCs w:val="28"/>
        </w:rPr>
        <w:t>ule</w:t>
      </w:r>
      <w:r w:rsidR="0054543F">
        <w:rPr>
          <w:rFonts w:ascii="Times New Roman" w:hAnsi="Times New Roman" w:cs="Times New Roman"/>
          <w:color w:val="000000"/>
          <w:sz w:val="28"/>
          <w:szCs w:val="28"/>
        </w:rPr>
        <w:t>.</w:t>
      </w:r>
    </w:p>
    <w:p w14:paraId="38A99D7F" w14:textId="6EC037FF" w:rsidR="00272189" w:rsidRDefault="00447C20" w:rsidP="003D0281">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71309">
        <w:rPr>
          <w:rFonts w:ascii="Times New Roman" w:hAnsi="Times New Roman" w:cs="Times New Roman"/>
          <w:color w:val="000000"/>
          <w:sz w:val="28"/>
          <w:szCs w:val="28"/>
        </w:rPr>
        <w:t>7</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0E1B47">
        <w:rPr>
          <w:rFonts w:ascii="Times New Roman" w:hAnsi="Times New Roman" w:cs="Times New Roman"/>
          <w:color w:val="000000"/>
          <w:sz w:val="28"/>
          <w:szCs w:val="28"/>
        </w:rPr>
        <w:t xml:space="preserve">To </w:t>
      </w:r>
      <w:r w:rsidR="0070087C">
        <w:rPr>
          <w:rFonts w:ascii="Times New Roman" w:hAnsi="Times New Roman" w:cs="Times New Roman"/>
          <w:color w:val="000000"/>
          <w:sz w:val="28"/>
          <w:szCs w:val="28"/>
        </w:rPr>
        <w:t xml:space="preserve">have recourse to </w:t>
      </w:r>
      <w:r w:rsidR="002C7C37">
        <w:rPr>
          <w:rFonts w:ascii="Times New Roman" w:hAnsi="Times New Roman" w:cs="Times New Roman"/>
          <w:color w:val="000000"/>
          <w:sz w:val="28"/>
          <w:szCs w:val="28"/>
        </w:rPr>
        <w:t>Rule 7(1</w:t>
      </w:r>
      <w:r w:rsidR="00D71309">
        <w:rPr>
          <w:rFonts w:ascii="Times New Roman" w:hAnsi="Times New Roman" w:cs="Times New Roman"/>
          <w:color w:val="000000"/>
          <w:sz w:val="28"/>
          <w:szCs w:val="28"/>
        </w:rPr>
        <w:t xml:space="preserve">), </w:t>
      </w:r>
      <w:proofErr w:type="spellStart"/>
      <w:r w:rsidR="00D71309">
        <w:rPr>
          <w:rFonts w:ascii="Times New Roman" w:hAnsi="Times New Roman" w:cs="Times New Roman"/>
          <w:color w:val="000000"/>
          <w:sz w:val="28"/>
          <w:szCs w:val="28"/>
        </w:rPr>
        <w:t>Floxifor</w:t>
      </w:r>
      <w:proofErr w:type="spellEnd"/>
      <w:r w:rsidR="0070087C">
        <w:rPr>
          <w:rFonts w:ascii="Times New Roman" w:hAnsi="Times New Roman" w:cs="Times New Roman"/>
          <w:color w:val="000000"/>
          <w:sz w:val="28"/>
          <w:szCs w:val="28"/>
        </w:rPr>
        <w:t xml:space="preserve"> </w:t>
      </w:r>
      <w:r w:rsidR="009516C2">
        <w:rPr>
          <w:rFonts w:ascii="Times New Roman" w:hAnsi="Times New Roman" w:cs="Times New Roman"/>
          <w:color w:val="000000"/>
          <w:sz w:val="28"/>
          <w:szCs w:val="28"/>
        </w:rPr>
        <w:t xml:space="preserve">was required to </w:t>
      </w:r>
      <w:r w:rsidR="001F0EA1">
        <w:rPr>
          <w:rFonts w:ascii="Times New Roman" w:hAnsi="Times New Roman" w:cs="Times New Roman"/>
          <w:color w:val="000000"/>
          <w:sz w:val="28"/>
          <w:szCs w:val="28"/>
        </w:rPr>
        <w:t xml:space="preserve">file </w:t>
      </w:r>
      <w:r w:rsidR="00D71309">
        <w:rPr>
          <w:rFonts w:ascii="Times New Roman" w:hAnsi="Times New Roman" w:cs="Times New Roman"/>
          <w:color w:val="000000"/>
          <w:sz w:val="28"/>
          <w:szCs w:val="28"/>
        </w:rPr>
        <w:t>its</w:t>
      </w:r>
      <w:r w:rsidR="001F0EA1">
        <w:rPr>
          <w:rFonts w:ascii="Times New Roman" w:hAnsi="Times New Roman" w:cs="Times New Roman"/>
          <w:color w:val="000000"/>
          <w:sz w:val="28"/>
          <w:szCs w:val="28"/>
        </w:rPr>
        <w:t xml:space="preserve"> notice </w:t>
      </w:r>
      <w:r w:rsidR="004270CB">
        <w:rPr>
          <w:rFonts w:ascii="Times New Roman" w:hAnsi="Times New Roman" w:cs="Times New Roman"/>
          <w:color w:val="000000"/>
          <w:sz w:val="28"/>
          <w:szCs w:val="28"/>
        </w:rPr>
        <w:t xml:space="preserve">within the period prescribed in the Rule. </w:t>
      </w:r>
      <w:r w:rsidR="00395470">
        <w:rPr>
          <w:rFonts w:ascii="Times New Roman" w:hAnsi="Times New Roman" w:cs="Times New Roman"/>
          <w:color w:val="000000"/>
          <w:sz w:val="28"/>
          <w:szCs w:val="28"/>
        </w:rPr>
        <w:t xml:space="preserve">Given that it did so out of time, </w:t>
      </w:r>
      <w:proofErr w:type="spellStart"/>
      <w:r w:rsidR="00755B40">
        <w:rPr>
          <w:rFonts w:ascii="Times New Roman" w:hAnsi="Times New Roman" w:cs="Times New Roman"/>
          <w:color w:val="000000"/>
          <w:sz w:val="28"/>
          <w:szCs w:val="28"/>
        </w:rPr>
        <w:t>Floxifor</w:t>
      </w:r>
      <w:proofErr w:type="spellEnd"/>
      <w:r w:rsidR="00755B40">
        <w:rPr>
          <w:rFonts w:ascii="Times New Roman" w:hAnsi="Times New Roman" w:cs="Times New Roman"/>
          <w:color w:val="000000"/>
          <w:sz w:val="28"/>
          <w:szCs w:val="28"/>
        </w:rPr>
        <w:t xml:space="preserve"> </w:t>
      </w:r>
      <w:r w:rsidR="009410B0">
        <w:rPr>
          <w:rFonts w:ascii="Times New Roman" w:hAnsi="Times New Roman" w:cs="Times New Roman"/>
          <w:color w:val="000000"/>
          <w:sz w:val="28"/>
          <w:szCs w:val="28"/>
        </w:rPr>
        <w:t>require</w:t>
      </w:r>
      <w:r w:rsidR="00755B40">
        <w:rPr>
          <w:rFonts w:ascii="Times New Roman" w:hAnsi="Times New Roman" w:cs="Times New Roman"/>
          <w:color w:val="000000"/>
          <w:sz w:val="28"/>
          <w:szCs w:val="28"/>
        </w:rPr>
        <w:t>d</w:t>
      </w:r>
      <w:r w:rsidR="009410B0">
        <w:rPr>
          <w:rFonts w:ascii="Times New Roman" w:hAnsi="Times New Roman" w:cs="Times New Roman"/>
          <w:color w:val="000000"/>
          <w:sz w:val="28"/>
          <w:szCs w:val="28"/>
        </w:rPr>
        <w:t xml:space="preserve"> </w:t>
      </w:r>
      <w:r w:rsidR="00EC73A4">
        <w:rPr>
          <w:rFonts w:ascii="Times New Roman" w:hAnsi="Times New Roman" w:cs="Times New Roman"/>
          <w:color w:val="000000"/>
          <w:sz w:val="28"/>
          <w:szCs w:val="28"/>
        </w:rPr>
        <w:t xml:space="preserve">an </w:t>
      </w:r>
      <w:r w:rsidR="009410B0">
        <w:rPr>
          <w:rFonts w:ascii="Times New Roman" w:hAnsi="Times New Roman" w:cs="Times New Roman"/>
          <w:color w:val="000000"/>
          <w:sz w:val="28"/>
          <w:szCs w:val="28"/>
        </w:rPr>
        <w:t xml:space="preserve">indulgence </w:t>
      </w:r>
      <w:r w:rsidR="00EC73A4">
        <w:rPr>
          <w:rFonts w:ascii="Times New Roman" w:hAnsi="Times New Roman" w:cs="Times New Roman"/>
          <w:color w:val="000000"/>
          <w:sz w:val="28"/>
          <w:szCs w:val="28"/>
        </w:rPr>
        <w:t xml:space="preserve">from </w:t>
      </w:r>
      <w:r w:rsidR="009410B0">
        <w:rPr>
          <w:rFonts w:ascii="Times New Roman" w:hAnsi="Times New Roman" w:cs="Times New Roman"/>
          <w:color w:val="000000"/>
          <w:sz w:val="28"/>
          <w:szCs w:val="28"/>
        </w:rPr>
        <w:t>the Court</w:t>
      </w:r>
      <w:r w:rsidR="00EC73A4">
        <w:rPr>
          <w:rFonts w:ascii="Times New Roman" w:hAnsi="Times New Roman" w:cs="Times New Roman"/>
          <w:color w:val="000000"/>
          <w:sz w:val="28"/>
          <w:szCs w:val="28"/>
        </w:rPr>
        <w:t>.</w:t>
      </w:r>
      <w:r w:rsidR="009410B0">
        <w:rPr>
          <w:rFonts w:ascii="Times New Roman" w:hAnsi="Times New Roman" w:cs="Times New Roman"/>
          <w:color w:val="000000"/>
          <w:sz w:val="28"/>
          <w:szCs w:val="28"/>
        </w:rPr>
        <w:t xml:space="preserve"> </w:t>
      </w:r>
      <w:r w:rsidR="004B7E15">
        <w:rPr>
          <w:rFonts w:ascii="Times New Roman" w:hAnsi="Times New Roman" w:cs="Times New Roman"/>
          <w:color w:val="000000"/>
          <w:sz w:val="28"/>
          <w:szCs w:val="28"/>
        </w:rPr>
        <w:t xml:space="preserve">Although as said, the </w:t>
      </w:r>
      <w:r w:rsidR="00D71309">
        <w:rPr>
          <w:rFonts w:ascii="Times New Roman" w:hAnsi="Times New Roman" w:cs="Times New Roman"/>
          <w:color w:val="000000"/>
          <w:sz w:val="28"/>
          <w:szCs w:val="28"/>
        </w:rPr>
        <w:t>R</w:t>
      </w:r>
      <w:r w:rsidR="004B7E15">
        <w:rPr>
          <w:rFonts w:ascii="Times New Roman" w:hAnsi="Times New Roman" w:cs="Times New Roman"/>
          <w:color w:val="000000"/>
          <w:sz w:val="28"/>
          <w:szCs w:val="28"/>
        </w:rPr>
        <w:t xml:space="preserve">ule does not prescribe the </w:t>
      </w:r>
      <w:r w:rsidR="00FF71BD">
        <w:rPr>
          <w:rFonts w:ascii="Times New Roman" w:hAnsi="Times New Roman" w:cs="Times New Roman"/>
          <w:color w:val="000000"/>
          <w:sz w:val="28"/>
          <w:szCs w:val="28"/>
        </w:rPr>
        <w:t xml:space="preserve">procedure </w:t>
      </w:r>
      <w:r w:rsidR="00750CF1">
        <w:rPr>
          <w:rFonts w:ascii="Times New Roman" w:hAnsi="Times New Roman" w:cs="Times New Roman"/>
          <w:color w:val="000000"/>
          <w:sz w:val="28"/>
          <w:szCs w:val="28"/>
        </w:rPr>
        <w:t>for bring</w:t>
      </w:r>
      <w:r w:rsidR="00836039">
        <w:rPr>
          <w:rFonts w:ascii="Times New Roman" w:hAnsi="Times New Roman" w:cs="Times New Roman"/>
          <w:color w:val="000000"/>
          <w:sz w:val="28"/>
          <w:szCs w:val="28"/>
        </w:rPr>
        <w:t>ing</w:t>
      </w:r>
      <w:r w:rsidR="00750CF1">
        <w:rPr>
          <w:rFonts w:ascii="Times New Roman" w:hAnsi="Times New Roman" w:cs="Times New Roman"/>
          <w:color w:val="000000"/>
          <w:sz w:val="28"/>
          <w:szCs w:val="28"/>
        </w:rPr>
        <w:t xml:space="preserve"> about such a challenge, </w:t>
      </w:r>
      <w:r w:rsidR="00B779D9">
        <w:rPr>
          <w:rFonts w:ascii="Times New Roman" w:hAnsi="Times New Roman" w:cs="Times New Roman"/>
          <w:color w:val="000000"/>
          <w:sz w:val="28"/>
          <w:szCs w:val="28"/>
        </w:rPr>
        <w:t>it follow</w:t>
      </w:r>
      <w:r w:rsidR="00D90118">
        <w:rPr>
          <w:rFonts w:ascii="Times New Roman" w:hAnsi="Times New Roman" w:cs="Times New Roman"/>
          <w:color w:val="000000"/>
          <w:sz w:val="28"/>
          <w:szCs w:val="28"/>
        </w:rPr>
        <w:t xml:space="preserve">s in the present case that </w:t>
      </w:r>
      <w:r w:rsidR="00100D84">
        <w:rPr>
          <w:rFonts w:ascii="Times New Roman" w:hAnsi="Times New Roman" w:cs="Times New Roman"/>
          <w:color w:val="000000"/>
          <w:sz w:val="28"/>
          <w:szCs w:val="28"/>
        </w:rPr>
        <w:t>such</w:t>
      </w:r>
      <w:r w:rsidR="008910F3">
        <w:rPr>
          <w:rFonts w:ascii="Times New Roman" w:hAnsi="Times New Roman" w:cs="Times New Roman"/>
          <w:color w:val="000000"/>
          <w:sz w:val="28"/>
          <w:szCs w:val="28"/>
        </w:rPr>
        <w:t xml:space="preserve"> an indulgence can only be considered </w:t>
      </w:r>
      <w:r w:rsidR="000F3B35">
        <w:rPr>
          <w:rFonts w:ascii="Times New Roman" w:hAnsi="Times New Roman" w:cs="Times New Roman"/>
          <w:color w:val="000000"/>
          <w:sz w:val="28"/>
          <w:szCs w:val="28"/>
        </w:rPr>
        <w:t xml:space="preserve">where there is </w:t>
      </w:r>
      <w:r w:rsidR="00303221">
        <w:rPr>
          <w:rFonts w:ascii="Times New Roman" w:hAnsi="Times New Roman" w:cs="Times New Roman"/>
          <w:color w:val="000000"/>
          <w:sz w:val="28"/>
          <w:szCs w:val="28"/>
        </w:rPr>
        <w:t xml:space="preserve">an explanation </w:t>
      </w:r>
      <w:r w:rsidR="00272189">
        <w:rPr>
          <w:rFonts w:ascii="Times New Roman" w:hAnsi="Times New Roman" w:cs="Times New Roman"/>
          <w:color w:val="000000"/>
          <w:sz w:val="28"/>
          <w:szCs w:val="28"/>
        </w:rPr>
        <w:t>of:</w:t>
      </w:r>
      <w:r w:rsidR="009410B0">
        <w:rPr>
          <w:rFonts w:ascii="Times New Roman" w:hAnsi="Times New Roman" w:cs="Times New Roman"/>
          <w:color w:val="000000"/>
          <w:sz w:val="28"/>
          <w:szCs w:val="28"/>
        </w:rPr>
        <w:t xml:space="preserve"> (a) when the lack of authority came to </w:t>
      </w:r>
      <w:r w:rsidR="009D3EAD">
        <w:rPr>
          <w:rFonts w:ascii="Times New Roman" w:hAnsi="Times New Roman" w:cs="Times New Roman"/>
          <w:color w:val="000000"/>
          <w:sz w:val="28"/>
          <w:szCs w:val="28"/>
        </w:rPr>
        <w:t xml:space="preserve">its </w:t>
      </w:r>
      <w:r w:rsidR="009410B0">
        <w:rPr>
          <w:rFonts w:ascii="Times New Roman" w:hAnsi="Times New Roman" w:cs="Times New Roman"/>
          <w:color w:val="000000"/>
          <w:sz w:val="28"/>
          <w:szCs w:val="28"/>
        </w:rPr>
        <w:t xml:space="preserve">notice and (b) why the notice was delivered out time. </w:t>
      </w:r>
    </w:p>
    <w:p w14:paraId="3E59B21C" w14:textId="33F74FA1" w:rsidR="003D0281" w:rsidRPr="00AF5E5B" w:rsidRDefault="00476248" w:rsidP="003D0281">
      <w:pPr>
        <w:spacing w:line="36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w:t>
      </w:r>
      <w:r w:rsidR="00037BB1">
        <w:rPr>
          <w:rFonts w:ascii="Times New Roman" w:hAnsi="Times New Roman" w:cs="Times New Roman"/>
          <w:color w:val="000000"/>
          <w:sz w:val="28"/>
          <w:szCs w:val="28"/>
        </w:rPr>
        <w:t>1</w:t>
      </w:r>
      <w:r w:rsidR="00D71309">
        <w:rPr>
          <w:rFonts w:ascii="Times New Roman" w:hAnsi="Times New Roman" w:cs="Times New Roman"/>
          <w:color w:val="000000"/>
          <w:sz w:val="28"/>
          <w:szCs w:val="28"/>
        </w:rPr>
        <w:t>8</w:t>
      </w:r>
      <w:r>
        <w:rPr>
          <w:rFonts w:ascii="Times New Roman" w:hAnsi="Times New Roman" w:cs="Times New Roman"/>
          <w:color w:val="000000"/>
          <w:sz w:val="28"/>
          <w:szCs w:val="28"/>
        </w:rPr>
        <w:t>]</w:t>
      </w:r>
      <w:r>
        <w:rPr>
          <w:rFonts w:ascii="Times New Roman" w:hAnsi="Times New Roman" w:cs="Times New Roman"/>
          <w:color w:val="000000"/>
          <w:sz w:val="28"/>
          <w:szCs w:val="28"/>
        </w:rPr>
        <w:tab/>
      </w:r>
      <w:proofErr w:type="spellStart"/>
      <w:r w:rsidR="00272189">
        <w:rPr>
          <w:rFonts w:ascii="Times New Roman" w:hAnsi="Times New Roman" w:cs="Times New Roman"/>
          <w:color w:val="000000"/>
          <w:sz w:val="28"/>
          <w:szCs w:val="28"/>
        </w:rPr>
        <w:t>Floxifor</w:t>
      </w:r>
      <w:proofErr w:type="spellEnd"/>
      <w:r w:rsidR="00272189">
        <w:rPr>
          <w:rFonts w:ascii="Times New Roman" w:hAnsi="Times New Roman" w:cs="Times New Roman"/>
          <w:color w:val="000000"/>
          <w:sz w:val="28"/>
          <w:szCs w:val="28"/>
        </w:rPr>
        <w:t xml:space="preserve"> </w:t>
      </w:r>
      <w:r w:rsidR="009410B0">
        <w:rPr>
          <w:rFonts w:ascii="Times New Roman" w:hAnsi="Times New Roman" w:cs="Times New Roman"/>
          <w:color w:val="000000"/>
          <w:sz w:val="28"/>
          <w:szCs w:val="28"/>
        </w:rPr>
        <w:t xml:space="preserve">has not </w:t>
      </w:r>
      <w:r>
        <w:rPr>
          <w:rFonts w:ascii="Times New Roman" w:hAnsi="Times New Roman" w:cs="Times New Roman"/>
          <w:color w:val="000000"/>
          <w:sz w:val="28"/>
          <w:szCs w:val="28"/>
        </w:rPr>
        <w:t>filed an affidavit set</w:t>
      </w:r>
      <w:r w:rsidR="0008073B">
        <w:rPr>
          <w:rFonts w:ascii="Times New Roman" w:hAnsi="Times New Roman" w:cs="Times New Roman"/>
          <w:color w:val="000000"/>
          <w:sz w:val="28"/>
          <w:szCs w:val="28"/>
        </w:rPr>
        <w:t xml:space="preserve">ting </w:t>
      </w:r>
      <w:r>
        <w:rPr>
          <w:rFonts w:ascii="Times New Roman" w:hAnsi="Times New Roman" w:cs="Times New Roman"/>
          <w:color w:val="000000"/>
          <w:sz w:val="28"/>
          <w:szCs w:val="28"/>
        </w:rPr>
        <w:t xml:space="preserve">out </w:t>
      </w:r>
      <w:r w:rsidR="00ED7DF1">
        <w:rPr>
          <w:rFonts w:ascii="Times New Roman" w:hAnsi="Times New Roman" w:cs="Times New Roman"/>
          <w:color w:val="000000"/>
          <w:sz w:val="28"/>
          <w:szCs w:val="28"/>
        </w:rPr>
        <w:t xml:space="preserve">the </w:t>
      </w:r>
      <w:r w:rsidR="00D71309">
        <w:rPr>
          <w:rFonts w:ascii="Times New Roman" w:hAnsi="Times New Roman" w:cs="Times New Roman"/>
          <w:color w:val="000000"/>
          <w:sz w:val="28"/>
          <w:szCs w:val="28"/>
        </w:rPr>
        <w:t>facts required above,</w:t>
      </w:r>
      <w:r w:rsidR="00ED7D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nor has it </w:t>
      </w:r>
      <w:r w:rsidR="009410B0">
        <w:rPr>
          <w:rFonts w:ascii="Times New Roman" w:hAnsi="Times New Roman" w:cs="Times New Roman"/>
          <w:color w:val="000000"/>
          <w:sz w:val="28"/>
          <w:szCs w:val="28"/>
        </w:rPr>
        <w:t xml:space="preserve">sought condonation from the </w:t>
      </w:r>
      <w:r w:rsidR="00D71309">
        <w:rPr>
          <w:rFonts w:ascii="Times New Roman" w:hAnsi="Times New Roman" w:cs="Times New Roman"/>
          <w:color w:val="000000"/>
          <w:sz w:val="28"/>
          <w:szCs w:val="28"/>
        </w:rPr>
        <w:t>C</w:t>
      </w:r>
      <w:r w:rsidR="009410B0">
        <w:rPr>
          <w:rFonts w:ascii="Times New Roman" w:hAnsi="Times New Roman" w:cs="Times New Roman"/>
          <w:color w:val="000000"/>
          <w:sz w:val="28"/>
          <w:szCs w:val="28"/>
        </w:rPr>
        <w:t xml:space="preserve">ourt </w:t>
      </w:r>
      <w:r>
        <w:rPr>
          <w:rFonts w:ascii="Times New Roman" w:hAnsi="Times New Roman" w:cs="Times New Roman"/>
          <w:color w:val="000000"/>
          <w:sz w:val="28"/>
          <w:szCs w:val="28"/>
        </w:rPr>
        <w:t xml:space="preserve">for its delay. </w:t>
      </w:r>
      <w:r w:rsidR="009410B0">
        <w:rPr>
          <w:rFonts w:ascii="Times New Roman" w:hAnsi="Times New Roman" w:cs="Times New Roman"/>
          <w:color w:val="000000"/>
          <w:sz w:val="28"/>
          <w:szCs w:val="28"/>
        </w:rPr>
        <w:t xml:space="preserve"> </w:t>
      </w:r>
      <w:r w:rsidR="009D3EAD">
        <w:rPr>
          <w:rFonts w:ascii="Times New Roman" w:hAnsi="Times New Roman" w:cs="Times New Roman"/>
          <w:color w:val="000000"/>
          <w:sz w:val="28"/>
          <w:szCs w:val="28"/>
        </w:rPr>
        <w:t>An affidavit to this effect was necessary, and absent this, t</w:t>
      </w:r>
      <w:r w:rsidR="00447C20">
        <w:rPr>
          <w:rFonts w:ascii="Times New Roman" w:hAnsi="Times New Roman" w:cs="Times New Roman"/>
          <w:color w:val="000000"/>
          <w:sz w:val="28"/>
          <w:szCs w:val="28"/>
        </w:rPr>
        <w:t xml:space="preserve">he objection </w:t>
      </w:r>
      <w:r w:rsidR="00AF5E5B">
        <w:rPr>
          <w:rFonts w:ascii="Times New Roman" w:hAnsi="Times New Roman" w:cs="Times New Roman"/>
          <w:color w:val="000000"/>
          <w:sz w:val="28"/>
          <w:szCs w:val="28"/>
        </w:rPr>
        <w:t xml:space="preserve">to the Rule 7(1) </w:t>
      </w:r>
      <w:r w:rsidR="0054543F">
        <w:rPr>
          <w:rFonts w:ascii="Times New Roman" w:hAnsi="Times New Roman" w:cs="Times New Roman"/>
          <w:color w:val="000000"/>
          <w:sz w:val="28"/>
          <w:szCs w:val="28"/>
        </w:rPr>
        <w:t xml:space="preserve">notice </w:t>
      </w:r>
      <w:r w:rsidR="00E53581">
        <w:rPr>
          <w:rFonts w:ascii="Times New Roman" w:hAnsi="Times New Roman" w:cs="Times New Roman"/>
          <w:color w:val="000000"/>
          <w:sz w:val="28"/>
          <w:szCs w:val="28"/>
        </w:rPr>
        <w:t xml:space="preserve">by the applicants must </w:t>
      </w:r>
      <w:r w:rsidR="00447C20" w:rsidRPr="00AF5E5B">
        <w:rPr>
          <w:rFonts w:ascii="Times New Roman" w:hAnsi="Times New Roman" w:cs="Times New Roman"/>
          <w:color w:val="000000"/>
          <w:sz w:val="28"/>
          <w:szCs w:val="28"/>
        </w:rPr>
        <w:t>succeed</w:t>
      </w:r>
      <w:r w:rsidR="00AF5E5B" w:rsidRPr="00AF5E5B">
        <w:rPr>
          <w:rFonts w:ascii="Times New Roman" w:hAnsi="Times New Roman" w:cs="Times New Roman"/>
          <w:color w:val="000000"/>
          <w:sz w:val="28"/>
          <w:szCs w:val="28"/>
        </w:rPr>
        <w:t xml:space="preserve">. </w:t>
      </w:r>
      <w:r w:rsidR="0054543F">
        <w:rPr>
          <w:rFonts w:ascii="Times New Roman" w:hAnsi="Times New Roman" w:cs="Times New Roman"/>
          <w:color w:val="000000"/>
          <w:sz w:val="28"/>
          <w:szCs w:val="28"/>
        </w:rPr>
        <w:t xml:space="preserve">Accordingly, the Rule 7(1) notice </w:t>
      </w:r>
      <w:r w:rsidR="0054543F" w:rsidRPr="00D71309">
        <w:rPr>
          <w:rFonts w:ascii="Times New Roman" w:hAnsi="Times New Roman" w:cs="Times New Roman"/>
          <w:color w:val="000000"/>
          <w:sz w:val="28"/>
          <w:szCs w:val="28"/>
        </w:rPr>
        <w:t>falls to be set aside.</w:t>
      </w:r>
    </w:p>
    <w:p w14:paraId="5E2CD875" w14:textId="77777777" w:rsidR="00897A9D" w:rsidRDefault="00897A9D" w:rsidP="00AF5E5B">
      <w:pPr>
        <w:spacing w:line="360" w:lineRule="auto"/>
        <w:jc w:val="both"/>
        <w:rPr>
          <w:rFonts w:ascii="Times New Roman" w:hAnsi="Times New Roman" w:cs="Times New Roman"/>
          <w:b/>
          <w:bCs/>
          <w:color w:val="000000"/>
          <w:sz w:val="28"/>
          <w:szCs w:val="28"/>
        </w:rPr>
      </w:pPr>
    </w:p>
    <w:p w14:paraId="0B8878C0" w14:textId="4B982583" w:rsidR="00AF5E5B" w:rsidRPr="00D2303B" w:rsidRDefault="00AF5E5B" w:rsidP="00B6478E">
      <w:pPr>
        <w:keepNext/>
        <w:widowControl w:val="0"/>
        <w:spacing w:line="360" w:lineRule="auto"/>
        <w:jc w:val="both"/>
        <w:rPr>
          <w:rFonts w:ascii="Times New Roman" w:hAnsi="Times New Roman" w:cs="Times New Roman"/>
          <w:b/>
          <w:bCs/>
          <w:sz w:val="28"/>
          <w:szCs w:val="28"/>
        </w:rPr>
      </w:pPr>
      <w:r w:rsidRPr="00D2303B">
        <w:rPr>
          <w:rFonts w:ascii="Times New Roman" w:hAnsi="Times New Roman" w:cs="Times New Roman"/>
          <w:b/>
          <w:bCs/>
          <w:color w:val="000000"/>
          <w:sz w:val="28"/>
          <w:szCs w:val="28"/>
        </w:rPr>
        <w:lastRenderedPageBreak/>
        <w:t>Rule 6(5) application</w:t>
      </w:r>
    </w:p>
    <w:p w14:paraId="0D8D20F7" w14:textId="26E3F3B3" w:rsidR="00AF5E5B" w:rsidRDefault="00AF5E5B" w:rsidP="00B6478E">
      <w:pPr>
        <w:keepNext/>
        <w:widowControl w:val="0"/>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w:t>
      </w:r>
      <w:r w:rsidR="00D71309">
        <w:rPr>
          <w:rFonts w:ascii="Times New Roman" w:hAnsi="Times New Roman" w:cs="Times New Roman"/>
          <w:sz w:val="28"/>
          <w:szCs w:val="28"/>
        </w:rPr>
        <w:t>19</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color w:val="000000"/>
          <w:sz w:val="28"/>
          <w:szCs w:val="28"/>
        </w:rPr>
        <w:t xml:space="preserve"> The applicants s</w:t>
      </w:r>
      <w:r w:rsidR="00ED3121">
        <w:rPr>
          <w:rFonts w:ascii="Times New Roman" w:hAnsi="Times New Roman" w:cs="Times New Roman"/>
          <w:color w:val="000000"/>
          <w:sz w:val="28"/>
          <w:szCs w:val="28"/>
        </w:rPr>
        <w:t xml:space="preserve">ought </w:t>
      </w:r>
      <w:r>
        <w:rPr>
          <w:rFonts w:ascii="Times New Roman" w:hAnsi="Times New Roman" w:cs="Times New Roman"/>
          <w:color w:val="000000"/>
          <w:sz w:val="28"/>
          <w:szCs w:val="28"/>
        </w:rPr>
        <w:t xml:space="preserve">condonation and the leave of the </w:t>
      </w:r>
      <w:r w:rsidR="00D71309">
        <w:rPr>
          <w:rFonts w:ascii="Times New Roman" w:hAnsi="Times New Roman" w:cs="Times New Roman"/>
          <w:color w:val="000000"/>
          <w:sz w:val="28"/>
          <w:szCs w:val="28"/>
        </w:rPr>
        <w:t>C</w:t>
      </w:r>
      <w:r>
        <w:rPr>
          <w:rFonts w:ascii="Times New Roman" w:hAnsi="Times New Roman" w:cs="Times New Roman"/>
          <w:color w:val="000000"/>
          <w:sz w:val="28"/>
          <w:szCs w:val="28"/>
        </w:rPr>
        <w:t xml:space="preserve">ourt to permit the further supplementary affidavit. </w:t>
      </w:r>
      <w:proofErr w:type="spellStart"/>
      <w:r>
        <w:rPr>
          <w:rFonts w:ascii="Times New Roman" w:hAnsi="Times New Roman" w:cs="Times New Roman"/>
          <w:color w:val="000000"/>
          <w:sz w:val="28"/>
          <w:szCs w:val="28"/>
        </w:rPr>
        <w:t>F</w:t>
      </w:r>
      <w:r w:rsidRPr="006B5A3D">
        <w:rPr>
          <w:rFonts w:ascii="Times New Roman" w:hAnsi="Times New Roman" w:cs="Times New Roman"/>
          <w:color w:val="000000"/>
          <w:sz w:val="28"/>
          <w:szCs w:val="28"/>
        </w:rPr>
        <w:t>loxiflor</w:t>
      </w:r>
      <w:proofErr w:type="spellEnd"/>
      <w:r>
        <w:rPr>
          <w:rFonts w:ascii="Times New Roman" w:hAnsi="Times New Roman" w:cs="Times New Roman"/>
          <w:color w:val="000000"/>
          <w:sz w:val="28"/>
          <w:szCs w:val="28"/>
        </w:rPr>
        <w:t xml:space="preserve"> filed a notice to oppose this application but did not file an answering affidavit.</w:t>
      </w:r>
    </w:p>
    <w:p w14:paraId="14E5553B" w14:textId="7E7AEA26" w:rsidR="00AF5E5B" w:rsidRDefault="00AF5E5B" w:rsidP="00AF5E5B">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71309">
        <w:rPr>
          <w:rFonts w:ascii="Times New Roman" w:hAnsi="Times New Roman" w:cs="Times New Roman"/>
          <w:color w:val="000000"/>
          <w:sz w:val="28"/>
          <w:szCs w:val="28"/>
        </w:rPr>
        <w:t>20]</w:t>
      </w:r>
      <w:r>
        <w:rPr>
          <w:rFonts w:ascii="Times New Roman" w:hAnsi="Times New Roman" w:cs="Times New Roman"/>
          <w:color w:val="000000"/>
          <w:sz w:val="28"/>
          <w:szCs w:val="28"/>
        </w:rPr>
        <w:tab/>
      </w:r>
      <w:r w:rsidRPr="00F72182">
        <w:rPr>
          <w:rFonts w:ascii="Times New Roman" w:hAnsi="Times New Roman" w:cs="Times New Roman"/>
          <w:color w:val="000000"/>
          <w:sz w:val="28"/>
          <w:szCs w:val="28"/>
        </w:rPr>
        <w:t xml:space="preserve">The </w:t>
      </w:r>
      <w:r w:rsidR="00E53581">
        <w:rPr>
          <w:rFonts w:ascii="Times New Roman" w:hAnsi="Times New Roman" w:cs="Times New Roman"/>
          <w:color w:val="000000"/>
          <w:sz w:val="28"/>
          <w:szCs w:val="28"/>
        </w:rPr>
        <w:t xml:space="preserve">general principle </w:t>
      </w:r>
      <w:r w:rsidRPr="00F72182">
        <w:rPr>
          <w:rFonts w:ascii="Times New Roman" w:hAnsi="Times New Roman" w:cs="Times New Roman"/>
          <w:color w:val="000000"/>
          <w:sz w:val="28"/>
          <w:szCs w:val="28"/>
        </w:rPr>
        <w:t xml:space="preserve">is that </w:t>
      </w:r>
      <w:r>
        <w:rPr>
          <w:rFonts w:ascii="Times New Roman" w:hAnsi="Times New Roman" w:cs="Times New Roman"/>
          <w:color w:val="000000"/>
          <w:sz w:val="28"/>
          <w:szCs w:val="28"/>
        </w:rPr>
        <w:t>in motion proceedings, only</w:t>
      </w:r>
      <w:r w:rsidRPr="00F72182">
        <w:rPr>
          <w:rFonts w:ascii="Times New Roman" w:hAnsi="Times New Roman" w:cs="Times New Roman"/>
          <w:color w:val="000000"/>
          <w:sz w:val="28"/>
          <w:szCs w:val="28"/>
        </w:rPr>
        <w:t xml:space="preserve"> three sets of affidavits are allowed</w:t>
      </w:r>
      <w:r>
        <w:rPr>
          <w:rFonts w:ascii="Times New Roman" w:hAnsi="Times New Roman" w:cs="Times New Roman"/>
          <w:color w:val="000000"/>
          <w:sz w:val="28"/>
          <w:szCs w:val="28"/>
        </w:rPr>
        <w:t xml:space="preserve">. However, this is not a rigid rule, and the </w:t>
      </w:r>
      <w:r w:rsidR="00D71309">
        <w:rPr>
          <w:rFonts w:ascii="Times New Roman" w:hAnsi="Times New Roman" w:cs="Times New Roman"/>
          <w:color w:val="000000"/>
          <w:sz w:val="28"/>
          <w:szCs w:val="28"/>
        </w:rPr>
        <w:t>C</w:t>
      </w:r>
      <w:r>
        <w:rPr>
          <w:rFonts w:ascii="Times New Roman" w:hAnsi="Times New Roman" w:cs="Times New Roman"/>
          <w:color w:val="000000"/>
          <w:sz w:val="28"/>
          <w:szCs w:val="28"/>
        </w:rPr>
        <w:t>ourt has a discretion in relation to a case before it to permit the filing of further affidavits.</w:t>
      </w:r>
      <w:r>
        <w:rPr>
          <w:rStyle w:val="FootnoteReference"/>
          <w:rFonts w:ascii="Times New Roman" w:hAnsi="Times New Roman" w:cs="Times New Roman"/>
          <w:color w:val="000000"/>
          <w:sz w:val="28"/>
          <w:szCs w:val="28"/>
        </w:rPr>
        <w:footnoteReference w:id="2"/>
      </w:r>
    </w:p>
    <w:p w14:paraId="37EEEDB0" w14:textId="4C75C0E5" w:rsidR="00D71309" w:rsidRDefault="00AF5E5B" w:rsidP="00033F6C">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1255">
        <w:rPr>
          <w:rFonts w:ascii="Times New Roman" w:hAnsi="Times New Roman" w:cs="Times New Roman"/>
          <w:color w:val="000000"/>
          <w:sz w:val="28"/>
          <w:szCs w:val="28"/>
        </w:rPr>
        <w:t>2</w:t>
      </w:r>
      <w:r w:rsidR="00D71309">
        <w:rPr>
          <w:rFonts w:ascii="Times New Roman" w:hAnsi="Times New Roman" w:cs="Times New Roman"/>
          <w:color w:val="000000"/>
          <w:sz w:val="28"/>
          <w:szCs w:val="28"/>
        </w:rPr>
        <w:t>1</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7033CA">
        <w:rPr>
          <w:rFonts w:ascii="Times New Roman" w:hAnsi="Times New Roman" w:cs="Times New Roman"/>
          <w:color w:val="000000"/>
          <w:sz w:val="28"/>
          <w:szCs w:val="28"/>
        </w:rPr>
        <w:t xml:space="preserve">The supplementary affidavit seeks to bring further facts </w:t>
      </w:r>
      <w:r w:rsidR="00FB071B">
        <w:rPr>
          <w:rFonts w:ascii="Times New Roman" w:hAnsi="Times New Roman" w:cs="Times New Roman"/>
          <w:color w:val="000000"/>
          <w:sz w:val="28"/>
          <w:szCs w:val="28"/>
        </w:rPr>
        <w:t xml:space="preserve">on the merits of the liquidation. </w:t>
      </w:r>
      <w:r w:rsidR="00D71309">
        <w:rPr>
          <w:rFonts w:ascii="Times New Roman" w:hAnsi="Times New Roman" w:cs="Times New Roman"/>
          <w:color w:val="000000"/>
          <w:sz w:val="28"/>
          <w:szCs w:val="28"/>
        </w:rPr>
        <w:t xml:space="preserve">Since the affidavit engages the merits of the liquidation application, that discretion can only be properly exercised by the Court hearing the merits of the liquidation application. </w:t>
      </w:r>
      <w:r w:rsidR="00A71255">
        <w:rPr>
          <w:rFonts w:ascii="Times New Roman" w:hAnsi="Times New Roman" w:cs="Times New Roman"/>
          <w:color w:val="000000"/>
          <w:sz w:val="28"/>
          <w:szCs w:val="28"/>
        </w:rPr>
        <w:t>It would be inappropriate for this court to hamstring the court seized with determining the merits.</w:t>
      </w:r>
    </w:p>
    <w:p w14:paraId="68A309AF" w14:textId="5C75EC3A" w:rsidR="00D04927" w:rsidRDefault="00D71309" w:rsidP="00033F6C">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Pr>
          <w:rFonts w:ascii="Times New Roman" w:hAnsi="Times New Roman" w:cs="Times New Roman"/>
          <w:color w:val="000000"/>
          <w:sz w:val="28"/>
          <w:szCs w:val="28"/>
        </w:rPr>
        <w:tab/>
      </w:r>
      <w:r w:rsidR="00AF5E5B">
        <w:rPr>
          <w:rFonts w:ascii="Times New Roman" w:hAnsi="Times New Roman" w:cs="Times New Roman"/>
          <w:color w:val="000000"/>
          <w:sz w:val="28"/>
          <w:szCs w:val="28"/>
        </w:rPr>
        <w:t xml:space="preserve">Accordingly, </w:t>
      </w:r>
      <w:r w:rsidR="009D3EAD">
        <w:rPr>
          <w:rFonts w:ascii="Times New Roman" w:hAnsi="Times New Roman" w:cs="Times New Roman"/>
          <w:color w:val="000000"/>
          <w:sz w:val="28"/>
          <w:szCs w:val="28"/>
        </w:rPr>
        <w:t xml:space="preserve">a determination of the </w:t>
      </w:r>
      <w:r w:rsidR="007D499E">
        <w:rPr>
          <w:rFonts w:ascii="Times New Roman" w:hAnsi="Times New Roman" w:cs="Times New Roman"/>
          <w:color w:val="000000"/>
          <w:sz w:val="28"/>
          <w:szCs w:val="28"/>
        </w:rPr>
        <w:t xml:space="preserve">admission of the </w:t>
      </w:r>
      <w:r w:rsidR="002A3C0E">
        <w:rPr>
          <w:rFonts w:ascii="Times New Roman" w:hAnsi="Times New Roman" w:cs="Times New Roman"/>
          <w:color w:val="000000"/>
          <w:sz w:val="28"/>
          <w:szCs w:val="28"/>
        </w:rPr>
        <w:t xml:space="preserve">supplementary affidavit </w:t>
      </w:r>
      <w:r w:rsidR="00AF5E5B">
        <w:rPr>
          <w:rFonts w:ascii="Times New Roman" w:hAnsi="Times New Roman" w:cs="Times New Roman"/>
          <w:color w:val="000000"/>
          <w:sz w:val="28"/>
          <w:szCs w:val="28"/>
        </w:rPr>
        <w:t xml:space="preserve">is deferred to the </w:t>
      </w:r>
      <w:r w:rsidR="009D3EAD">
        <w:rPr>
          <w:rFonts w:ascii="Times New Roman" w:hAnsi="Times New Roman" w:cs="Times New Roman"/>
          <w:color w:val="000000"/>
          <w:sz w:val="28"/>
          <w:szCs w:val="28"/>
        </w:rPr>
        <w:t>C</w:t>
      </w:r>
      <w:r w:rsidR="00AF5E5B">
        <w:rPr>
          <w:rFonts w:ascii="Times New Roman" w:hAnsi="Times New Roman" w:cs="Times New Roman"/>
          <w:color w:val="000000"/>
          <w:sz w:val="28"/>
          <w:szCs w:val="28"/>
        </w:rPr>
        <w:t>ourt hearing the liquidation application.</w:t>
      </w:r>
    </w:p>
    <w:p w14:paraId="5BD22AE1" w14:textId="32F46183" w:rsidR="00220D6D" w:rsidRPr="00220D6D" w:rsidRDefault="00C95379" w:rsidP="00220D6D">
      <w:pPr>
        <w:spacing w:line="360" w:lineRule="auto"/>
        <w:jc w:val="both"/>
        <w:rPr>
          <w:rFonts w:ascii="Times New Roman" w:hAnsi="Times New Roman" w:cs="Times New Roman"/>
          <w:i/>
          <w:iCs/>
          <w:color w:val="000000"/>
          <w:sz w:val="28"/>
          <w:szCs w:val="28"/>
        </w:rPr>
      </w:pPr>
      <w:r>
        <w:rPr>
          <w:rFonts w:ascii="Times New Roman" w:hAnsi="Times New Roman" w:cs="Times New Roman"/>
          <w:b/>
          <w:bCs/>
          <w:color w:val="000000"/>
          <w:sz w:val="28"/>
          <w:szCs w:val="28"/>
        </w:rPr>
        <w:t>R</w:t>
      </w:r>
      <w:r w:rsidR="00220D6D" w:rsidRPr="00220D6D">
        <w:rPr>
          <w:rFonts w:ascii="Times New Roman" w:hAnsi="Times New Roman" w:cs="Times New Roman"/>
          <w:b/>
          <w:bCs/>
          <w:color w:val="000000"/>
          <w:sz w:val="28"/>
          <w:szCs w:val="28"/>
        </w:rPr>
        <w:t>ule 15(2)</w:t>
      </w:r>
      <w:r w:rsidR="00220D6D">
        <w:rPr>
          <w:rFonts w:ascii="Times New Roman" w:hAnsi="Times New Roman" w:cs="Times New Roman"/>
          <w:b/>
          <w:bCs/>
          <w:color w:val="000000"/>
          <w:sz w:val="28"/>
          <w:szCs w:val="28"/>
        </w:rPr>
        <w:t xml:space="preserve"> </w:t>
      </w:r>
      <w:r w:rsidR="00220D6D" w:rsidRPr="00220D6D">
        <w:rPr>
          <w:rFonts w:ascii="Times New Roman" w:hAnsi="Times New Roman" w:cs="Times New Roman"/>
          <w:b/>
          <w:bCs/>
          <w:color w:val="000000"/>
          <w:sz w:val="28"/>
          <w:szCs w:val="28"/>
        </w:rPr>
        <w:t>Substitution and Opposition Rule 15(4)</w:t>
      </w:r>
    </w:p>
    <w:p w14:paraId="66E59B01" w14:textId="644D9C67" w:rsidR="00031ECC" w:rsidRDefault="00033F6C" w:rsidP="00031ECC">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D3121">
        <w:rPr>
          <w:rFonts w:ascii="Times New Roman" w:hAnsi="Times New Roman" w:cs="Times New Roman"/>
          <w:color w:val="000000"/>
          <w:sz w:val="28"/>
          <w:szCs w:val="28"/>
        </w:rPr>
        <w:t>2</w:t>
      </w:r>
      <w:r w:rsidR="00603A86">
        <w:rPr>
          <w:rFonts w:ascii="Times New Roman" w:hAnsi="Times New Roman" w:cs="Times New Roman"/>
          <w:color w:val="000000"/>
          <w:sz w:val="28"/>
          <w:szCs w:val="28"/>
        </w:rPr>
        <w:t>3</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220D6D" w:rsidRPr="00516940">
        <w:rPr>
          <w:rFonts w:ascii="Times New Roman" w:hAnsi="Times New Roman" w:cs="Times New Roman"/>
          <w:color w:val="000000"/>
          <w:sz w:val="28"/>
          <w:szCs w:val="28"/>
        </w:rPr>
        <w:t>Th</w:t>
      </w:r>
      <w:r w:rsidR="00612B6E">
        <w:rPr>
          <w:rFonts w:ascii="Times New Roman" w:hAnsi="Times New Roman" w:cs="Times New Roman"/>
          <w:color w:val="000000"/>
          <w:sz w:val="28"/>
          <w:szCs w:val="28"/>
        </w:rPr>
        <w:t xml:space="preserve">is </w:t>
      </w:r>
      <w:r w:rsidR="00BD4478">
        <w:rPr>
          <w:rFonts w:ascii="Times New Roman" w:hAnsi="Times New Roman" w:cs="Times New Roman"/>
          <w:color w:val="000000"/>
          <w:sz w:val="28"/>
          <w:szCs w:val="28"/>
        </w:rPr>
        <w:t xml:space="preserve">application is for </w:t>
      </w:r>
      <w:r w:rsidR="00220D6D" w:rsidRPr="00516940">
        <w:rPr>
          <w:rFonts w:ascii="Times New Roman" w:hAnsi="Times New Roman" w:cs="Times New Roman"/>
          <w:color w:val="000000"/>
          <w:sz w:val="28"/>
          <w:szCs w:val="28"/>
        </w:rPr>
        <w:t xml:space="preserve">the substitution and joinder of </w:t>
      </w:r>
      <w:r w:rsidR="00BD4478">
        <w:rPr>
          <w:rFonts w:ascii="Times New Roman" w:hAnsi="Times New Roman" w:cs="Times New Roman"/>
          <w:color w:val="000000"/>
          <w:sz w:val="28"/>
          <w:szCs w:val="28"/>
        </w:rPr>
        <w:t xml:space="preserve">the </w:t>
      </w:r>
      <w:r w:rsidR="00220D6D" w:rsidRPr="00516940">
        <w:rPr>
          <w:rFonts w:ascii="Times New Roman" w:hAnsi="Times New Roman" w:cs="Times New Roman"/>
          <w:color w:val="000000"/>
          <w:sz w:val="28"/>
          <w:szCs w:val="28"/>
        </w:rPr>
        <w:t>new trustees</w:t>
      </w:r>
      <w:r w:rsidR="00612B6E">
        <w:rPr>
          <w:rFonts w:ascii="Times New Roman" w:hAnsi="Times New Roman" w:cs="Times New Roman"/>
          <w:color w:val="000000"/>
          <w:sz w:val="28"/>
          <w:szCs w:val="28"/>
        </w:rPr>
        <w:t xml:space="preserve"> who were </w:t>
      </w:r>
      <w:r w:rsidR="00220D6D" w:rsidRPr="00516940">
        <w:rPr>
          <w:rFonts w:ascii="Times New Roman" w:hAnsi="Times New Roman" w:cs="Times New Roman"/>
          <w:color w:val="000000"/>
          <w:sz w:val="28"/>
          <w:szCs w:val="28"/>
        </w:rPr>
        <w:t>appointed by the Master on 19 March 2021</w:t>
      </w:r>
      <w:r w:rsidR="00D71309">
        <w:rPr>
          <w:rFonts w:ascii="Times New Roman" w:hAnsi="Times New Roman" w:cs="Times New Roman"/>
          <w:color w:val="000000"/>
          <w:sz w:val="28"/>
          <w:szCs w:val="28"/>
        </w:rPr>
        <w:t>. It</w:t>
      </w:r>
      <w:r w:rsidR="0065338C">
        <w:rPr>
          <w:rFonts w:ascii="Times New Roman" w:hAnsi="Times New Roman" w:cs="Times New Roman"/>
          <w:color w:val="000000"/>
          <w:sz w:val="28"/>
          <w:szCs w:val="28"/>
        </w:rPr>
        <w:t xml:space="preserve"> is opposed by </w:t>
      </w:r>
      <w:proofErr w:type="spellStart"/>
      <w:r w:rsidR="0065338C">
        <w:rPr>
          <w:rFonts w:ascii="Times New Roman" w:hAnsi="Times New Roman" w:cs="Times New Roman"/>
          <w:color w:val="000000"/>
          <w:sz w:val="28"/>
          <w:szCs w:val="28"/>
        </w:rPr>
        <w:t>Floxifor</w:t>
      </w:r>
      <w:proofErr w:type="spellEnd"/>
      <w:r w:rsidR="0065338C">
        <w:rPr>
          <w:rFonts w:ascii="Times New Roman" w:hAnsi="Times New Roman" w:cs="Times New Roman"/>
          <w:color w:val="000000"/>
          <w:sz w:val="28"/>
          <w:szCs w:val="28"/>
        </w:rPr>
        <w:t xml:space="preserve">.  </w:t>
      </w:r>
      <w:r w:rsidR="00031ECC">
        <w:rPr>
          <w:rFonts w:ascii="Times New Roman" w:hAnsi="Times New Roman" w:cs="Times New Roman"/>
          <w:color w:val="000000"/>
          <w:sz w:val="28"/>
          <w:szCs w:val="28"/>
        </w:rPr>
        <w:t xml:space="preserve">It is common cause that after the death of </w:t>
      </w:r>
      <w:r w:rsidR="00031ECC" w:rsidRPr="00E365E8">
        <w:rPr>
          <w:rFonts w:ascii="Times New Roman" w:hAnsi="Times New Roman" w:cs="Times New Roman"/>
          <w:color w:val="000000"/>
          <w:sz w:val="28"/>
          <w:szCs w:val="28"/>
        </w:rPr>
        <w:t>Cornelia van Niekerk</w:t>
      </w:r>
      <w:r w:rsidR="00031ECC">
        <w:rPr>
          <w:rFonts w:ascii="Times New Roman" w:hAnsi="Times New Roman" w:cs="Times New Roman"/>
          <w:color w:val="000000"/>
          <w:sz w:val="28"/>
          <w:szCs w:val="28"/>
        </w:rPr>
        <w:t xml:space="preserve"> there were two remaining trustees. In the founding affidavit, the applicants stated that:</w:t>
      </w:r>
    </w:p>
    <w:p w14:paraId="117859D8" w14:textId="1D36DE23" w:rsidR="00031ECC" w:rsidRPr="00B83EC4" w:rsidRDefault="00031ECC" w:rsidP="00031ECC">
      <w:pPr>
        <w:spacing w:line="360" w:lineRule="auto"/>
        <w:jc w:val="both"/>
        <w:rPr>
          <w:rFonts w:ascii="Times New Roman" w:hAnsi="Times New Roman" w:cs="Times New Roman"/>
          <w:color w:val="000000"/>
          <w:sz w:val="24"/>
          <w:szCs w:val="24"/>
        </w:rPr>
      </w:pPr>
      <w:r w:rsidRPr="00B6478E">
        <w:rPr>
          <w:rFonts w:ascii="Times New Roman" w:hAnsi="Times New Roman" w:cs="Times New Roman"/>
          <w:color w:val="000000"/>
          <w:sz w:val="24"/>
          <w:szCs w:val="24"/>
        </w:rPr>
        <w:t>“</w:t>
      </w:r>
      <w:r w:rsidRPr="00B83EC4">
        <w:rPr>
          <w:rFonts w:ascii="Times New Roman" w:hAnsi="Times New Roman" w:cs="Times New Roman"/>
          <w:color w:val="000000"/>
          <w:sz w:val="24"/>
          <w:szCs w:val="24"/>
        </w:rPr>
        <w:t xml:space="preserve">A written request was directed to the Master of the High Court on 20 May 2020 for the </w:t>
      </w:r>
      <w:r w:rsidRPr="00B83EC4">
        <w:rPr>
          <w:rFonts w:ascii="Times New Roman" w:hAnsi="Times New Roman" w:cs="Times New Roman"/>
          <w:color w:val="000000"/>
          <w:sz w:val="24"/>
          <w:szCs w:val="24"/>
          <w:u w:val="single"/>
        </w:rPr>
        <w:t>appointment of new trustees in her place</w:t>
      </w:r>
      <w:r w:rsidRPr="00B83EC4">
        <w:rPr>
          <w:rFonts w:ascii="Times New Roman" w:hAnsi="Times New Roman" w:cs="Times New Roman"/>
          <w:color w:val="000000"/>
          <w:sz w:val="24"/>
          <w:szCs w:val="24"/>
        </w:rPr>
        <w:t>, but the formal Letters of Authority has not yet been received</w:t>
      </w:r>
      <w:proofErr w:type="gramStart"/>
      <w:r w:rsidR="00B83EC4" w:rsidRPr="00B6478E">
        <w:rPr>
          <w:rFonts w:ascii="Times New Roman" w:hAnsi="Times New Roman" w:cs="Times New Roman"/>
          <w:color w:val="000000"/>
          <w:sz w:val="24"/>
          <w:szCs w:val="24"/>
        </w:rPr>
        <w:t>.”</w:t>
      </w:r>
      <w:r w:rsidRPr="00B83EC4">
        <w:rPr>
          <w:rFonts w:ascii="Times New Roman" w:hAnsi="Times New Roman" w:cs="Times New Roman"/>
          <w:color w:val="000000"/>
          <w:sz w:val="24"/>
          <w:szCs w:val="24"/>
        </w:rPr>
        <w:t>[</w:t>
      </w:r>
      <w:proofErr w:type="gramEnd"/>
      <w:r w:rsidRPr="00B83EC4">
        <w:rPr>
          <w:rFonts w:ascii="Times New Roman" w:hAnsi="Times New Roman" w:cs="Times New Roman"/>
          <w:color w:val="000000"/>
          <w:sz w:val="24"/>
          <w:szCs w:val="24"/>
        </w:rPr>
        <w:t>Emphasis added]</w:t>
      </w:r>
    </w:p>
    <w:p w14:paraId="2DDBE3FB" w14:textId="588DBBD7" w:rsidR="005F5301" w:rsidRDefault="00031ECC" w:rsidP="005F5301">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4562E">
        <w:rPr>
          <w:rFonts w:ascii="Times New Roman" w:hAnsi="Times New Roman" w:cs="Times New Roman"/>
          <w:color w:val="000000"/>
          <w:sz w:val="28"/>
          <w:szCs w:val="28"/>
        </w:rPr>
        <w:t>4</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BD3D6C">
        <w:rPr>
          <w:rFonts w:ascii="Times New Roman" w:hAnsi="Times New Roman" w:cs="Times New Roman"/>
          <w:color w:val="000000"/>
          <w:sz w:val="28"/>
          <w:szCs w:val="28"/>
        </w:rPr>
        <w:t>Additionally, t</w:t>
      </w:r>
      <w:r w:rsidR="00220D6D">
        <w:rPr>
          <w:rFonts w:ascii="Times New Roman" w:hAnsi="Times New Roman" w:cs="Times New Roman"/>
          <w:color w:val="000000"/>
          <w:sz w:val="28"/>
          <w:szCs w:val="28"/>
        </w:rPr>
        <w:t>he applicants</w:t>
      </w:r>
      <w:r w:rsidR="00220D6D" w:rsidRPr="00516940">
        <w:rPr>
          <w:rFonts w:ascii="Times New Roman" w:hAnsi="Times New Roman" w:cs="Times New Roman"/>
          <w:color w:val="000000"/>
          <w:sz w:val="28"/>
          <w:szCs w:val="28"/>
        </w:rPr>
        <w:t xml:space="preserve"> </w:t>
      </w:r>
      <w:r w:rsidR="00BD3D6C">
        <w:rPr>
          <w:rFonts w:ascii="Times New Roman" w:hAnsi="Times New Roman" w:cs="Times New Roman"/>
          <w:color w:val="000000"/>
          <w:sz w:val="28"/>
          <w:szCs w:val="28"/>
        </w:rPr>
        <w:t xml:space="preserve">informed the </w:t>
      </w:r>
      <w:r w:rsidR="00D71309">
        <w:rPr>
          <w:rFonts w:ascii="Times New Roman" w:hAnsi="Times New Roman" w:cs="Times New Roman"/>
          <w:color w:val="000000"/>
          <w:sz w:val="28"/>
          <w:szCs w:val="28"/>
        </w:rPr>
        <w:t>C</w:t>
      </w:r>
      <w:r w:rsidR="00BD3D6C">
        <w:rPr>
          <w:rFonts w:ascii="Times New Roman" w:hAnsi="Times New Roman" w:cs="Times New Roman"/>
          <w:color w:val="000000"/>
          <w:sz w:val="28"/>
          <w:szCs w:val="28"/>
        </w:rPr>
        <w:t xml:space="preserve">ourt that </w:t>
      </w:r>
      <w:r w:rsidR="00220D6D" w:rsidRPr="00516940">
        <w:rPr>
          <w:rFonts w:ascii="Times New Roman" w:hAnsi="Times New Roman" w:cs="Times New Roman"/>
          <w:color w:val="000000"/>
          <w:sz w:val="28"/>
          <w:szCs w:val="28"/>
        </w:rPr>
        <w:t>the second applicant</w:t>
      </w:r>
      <w:r w:rsidR="00D71309">
        <w:rPr>
          <w:rFonts w:ascii="Times New Roman" w:hAnsi="Times New Roman" w:cs="Times New Roman"/>
          <w:color w:val="000000"/>
          <w:sz w:val="28"/>
          <w:szCs w:val="28"/>
        </w:rPr>
        <w:t>, Mr Fourie</w:t>
      </w:r>
      <w:r w:rsidR="00220D6D" w:rsidRPr="00516940">
        <w:rPr>
          <w:rFonts w:ascii="Times New Roman" w:hAnsi="Times New Roman" w:cs="Times New Roman"/>
          <w:color w:val="000000"/>
          <w:sz w:val="28"/>
          <w:szCs w:val="28"/>
        </w:rPr>
        <w:t xml:space="preserve"> </w:t>
      </w:r>
      <w:r w:rsidR="00CF7325">
        <w:rPr>
          <w:rFonts w:ascii="Times New Roman" w:hAnsi="Times New Roman" w:cs="Times New Roman"/>
          <w:color w:val="000000"/>
          <w:sz w:val="28"/>
          <w:szCs w:val="28"/>
        </w:rPr>
        <w:t xml:space="preserve">had </w:t>
      </w:r>
      <w:r w:rsidR="00620782">
        <w:rPr>
          <w:rFonts w:ascii="Times New Roman" w:hAnsi="Times New Roman" w:cs="Times New Roman"/>
          <w:color w:val="000000"/>
          <w:sz w:val="28"/>
          <w:szCs w:val="28"/>
        </w:rPr>
        <w:t xml:space="preserve">resigned. Another trustee was appointed to fill that vacancy and to </w:t>
      </w:r>
      <w:r w:rsidR="00620782" w:rsidRPr="00516940">
        <w:rPr>
          <w:rFonts w:ascii="Times New Roman" w:hAnsi="Times New Roman" w:cs="Times New Roman"/>
          <w:color w:val="000000"/>
          <w:sz w:val="28"/>
          <w:szCs w:val="28"/>
        </w:rPr>
        <w:t>replace</w:t>
      </w:r>
      <w:r w:rsidR="00620782">
        <w:rPr>
          <w:rFonts w:ascii="Times New Roman" w:hAnsi="Times New Roman" w:cs="Times New Roman"/>
          <w:color w:val="000000"/>
          <w:sz w:val="28"/>
          <w:szCs w:val="28"/>
        </w:rPr>
        <w:t xml:space="preserve"> him. </w:t>
      </w:r>
      <w:r w:rsidR="005F5301" w:rsidRPr="0005472F">
        <w:rPr>
          <w:rFonts w:ascii="Times New Roman" w:hAnsi="Times New Roman" w:cs="Times New Roman"/>
          <w:color w:val="000000"/>
          <w:sz w:val="28"/>
          <w:szCs w:val="28"/>
        </w:rPr>
        <w:t>The</w:t>
      </w:r>
      <w:r w:rsidR="005F5301">
        <w:rPr>
          <w:rFonts w:ascii="Times New Roman" w:hAnsi="Times New Roman" w:cs="Times New Roman"/>
          <w:color w:val="000000"/>
          <w:sz w:val="28"/>
          <w:szCs w:val="28"/>
        </w:rPr>
        <w:t>y state</w:t>
      </w:r>
      <w:r w:rsidR="00BD3D6C">
        <w:rPr>
          <w:rFonts w:ascii="Times New Roman" w:hAnsi="Times New Roman" w:cs="Times New Roman"/>
          <w:color w:val="000000"/>
          <w:sz w:val="28"/>
          <w:szCs w:val="28"/>
        </w:rPr>
        <w:t xml:space="preserve">d further that </w:t>
      </w:r>
      <w:r w:rsidR="005F5301">
        <w:rPr>
          <w:rFonts w:ascii="Times New Roman" w:hAnsi="Times New Roman" w:cs="Times New Roman"/>
          <w:color w:val="000000"/>
          <w:sz w:val="28"/>
          <w:szCs w:val="28"/>
        </w:rPr>
        <w:t xml:space="preserve">the </w:t>
      </w:r>
      <w:r w:rsidR="005F5301" w:rsidRPr="0005472F">
        <w:rPr>
          <w:rFonts w:ascii="Times New Roman" w:hAnsi="Times New Roman" w:cs="Times New Roman"/>
          <w:color w:val="000000"/>
          <w:sz w:val="28"/>
          <w:szCs w:val="28"/>
        </w:rPr>
        <w:t>body of</w:t>
      </w:r>
      <w:r w:rsidR="00BD3D6C">
        <w:rPr>
          <w:rFonts w:ascii="Times New Roman" w:hAnsi="Times New Roman" w:cs="Times New Roman"/>
          <w:color w:val="000000"/>
          <w:sz w:val="28"/>
          <w:szCs w:val="28"/>
        </w:rPr>
        <w:t xml:space="preserve"> newly appointed </w:t>
      </w:r>
      <w:r w:rsidR="005F5301" w:rsidRPr="0005472F">
        <w:rPr>
          <w:rFonts w:ascii="Times New Roman" w:hAnsi="Times New Roman" w:cs="Times New Roman"/>
          <w:color w:val="000000"/>
          <w:sz w:val="28"/>
          <w:szCs w:val="28"/>
        </w:rPr>
        <w:t xml:space="preserve">Trustees </w:t>
      </w:r>
      <w:r w:rsidR="00BD3D6C">
        <w:rPr>
          <w:rFonts w:ascii="Times New Roman" w:hAnsi="Times New Roman" w:cs="Times New Roman"/>
          <w:color w:val="000000"/>
          <w:sz w:val="28"/>
          <w:szCs w:val="28"/>
        </w:rPr>
        <w:t xml:space="preserve">have </w:t>
      </w:r>
      <w:r w:rsidR="005F5301" w:rsidRPr="0005472F">
        <w:rPr>
          <w:rFonts w:ascii="Times New Roman" w:hAnsi="Times New Roman" w:cs="Times New Roman"/>
          <w:color w:val="000000"/>
          <w:sz w:val="28"/>
          <w:szCs w:val="28"/>
        </w:rPr>
        <w:lastRenderedPageBreak/>
        <w:t>confirm</w:t>
      </w:r>
      <w:r w:rsidR="00BD3D6C">
        <w:rPr>
          <w:rFonts w:ascii="Times New Roman" w:hAnsi="Times New Roman" w:cs="Times New Roman"/>
          <w:color w:val="000000"/>
          <w:sz w:val="28"/>
          <w:szCs w:val="28"/>
        </w:rPr>
        <w:t>ed</w:t>
      </w:r>
      <w:r w:rsidR="005F5301" w:rsidRPr="0005472F">
        <w:rPr>
          <w:rFonts w:ascii="Times New Roman" w:hAnsi="Times New Roman" w:cs="Times New Roman"/>
          <w:color w:val="000000"/>
          <w:sz w:val="28"/>
          <w:szCs w:val="28"/>
        </w:rPr>
        <w:t xml:space="preserve"> </w:t>
      </w:r>
      <w:r w:rsidR="005F5301" w:rsidRPr="00220D6D">
        <w:rPr>
          <w:rFonts w:ascii="Times New Roman" w:hAnsi="Times New Roman" w:cs="Times New Roman"/>
          <w:color w:val="000000"/>
          <w:sz w:val="28"/>
          <w:szCs w:val="28"/>
        </w:rPr>
        <w:t>and ratif</w:t>
      </w:r>
      <w:r w:rsidR="00BD3D6C">
        <w:rPr>
          <w:rFonts w:ascii="Times New Roman" w:hAnsi="Times New Roman" w:cs="Times New Roman"/>
          <w:color w:val="000000"/>
          <w:sz w:val="28"/>
          <w:szCs w:val="28"/>
        </w:rPr>
        <w:t xml:space="preserve">ied </w:t>
      </w:r>
      <w:r w:rsidR="005F5301" w:rsidRPr="00220D6D">
        <w:rPr>
          <w:rFonts w:ascii="Times New Roman" w:hAnsi="Times New Roman" w:cs="Times New Roman"/>
          <w:color w:val="000000"/>
          <w:sz w:val="28"/>
          <w:szCs w:val="28"/>
        </w:rPr>
        <w:t>the appointment of Japie Van Zyl Attorneys a</w:t>
      </w:r>
      <w:r w:rsidR="00BD3D6C">
        <w:rPr>
          <w:rFonts w:ascii="Times New Roman" w:hAnsi="Times New Roman" w:cs="Times New Roman"/>
          <w:color w:val="000000"/>
          <w:sz w:val="28"/>
          <w:szCs w:val="28"/>
        </w:rPr>
        <w:t xml:space="preserve">s well as </w:t>
      </w:r>
      <w:r w:rsidR="005F5301" w:rsidRPr="00220D6D">
        <w:rPr>
          <w:rFonts w:ascii="Times New Roman" w:hAnsi="Times New Roman" w:cs="Times New Roman"/>
          <w:color w:val="000000"/>
          <w:sz w:val="28"/>
          <w:szCs w:val="28"/>
        </w:rPr>
        <w:t xml:space="preserve">the authority of Mr Van </w:t>
      </w:r>
      <w:r w:rsidR="005F5301" w:rsidRPr="0005472F">
        <w:rPr>
          <w:rFonts w:ascii="Times New Roman" w:hAnsi="Times New Roman" w:cs="Times New Roman"/>
          <w:color w:val="000000"/>
          <w:sz w:val="28"/>
          <w:szCs w:val="28"/>
        </w:rPr>
        <w:t>Niekerk depose to affidavits on behalf of the Trust</w:t>
      </w:r>
      <w:r w:rsidR="005F5301">
        <w:rPr>
          <w:rFonts w:ascii="Times New Roman" w:hAnsi="Times New Roman" w:cs="Times New Roman"/>
          <w:color w:val="000000"/>
          <w:sz w:val="28"/>
          <w:szCs w:val="28"/>
        </w:rPr>
        <w:t>.</w:t>
      </w:r>
    </w:p>
    <w:p w14:paraId="477C51BB" w14:textId="501EBBD5" w:rsidR="00362B34" w:rsidRDefault="008C5BFB" w:rsidP="008C5BFB">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D3121">
        <w:rPr>
          <w:rFonts w:ascii="Times New Roman" w:hAnsi="Times New Roman" w:cs="Times New Roman"/>
          <w:color w:val="000000"/>
          <w:sz w:val="28"/>
          <w:szCs w:val="28"/>
        </w:rPr>
        <w:t>2</w:t>
      </w:r>
      <w:r w:rsidR="002D2C47">
        <w:rPr>
          <w:rFonts w:ascii="Times New Roman" w:hAnsi="Times New Roman" w:cs="Times New Roman"/>
          <w:color w:val="000000"/>
          <w:sz w:val="28"/>
          <w:szCs w:val="28"/>
        </w:rPr>
        <w:t>5</w:t>
      </w:r>
      <w:r w:rsidR="00FE33AC">
        <w:rPr>
          <w:rFonts w:ascii="Times New Roman" w:hAnsi="Times New Roman" w:cs="Times New Roman"/>
          <w:color w:val="000000"/>
          <w:sz w:val="28"/>
          <w:szCs w:val="28"/>
        </w:rPr>
        <w:t>]</w:t>
      </w:r>
      <w:r>
        <w:rPr>
          <w:rFonts w:ascii="Times New Roman" w:hAnsi="Times New Roman" w:cs="Times New Roman"/>
          <w:color w:val="000000"/>
          <w:sz w:val="28"/>
          <w:szCs w:val="28"/>
        </w:rPr>
        <w:tab/>
      </w:r>
      <w:proofErr w:type="spellStart"/>
      <w:r w:rsidR="00C57CDE" w:rsidRPr="00BC18E9">
        <w:rPr>
          <w:rFonts w:ascii="Times New Roman" w:hAnsi="Times New Roman" w:cs="Times New Roman"/>
          <w:color w:val="000000"/>
          <w:sz w:val="28"/>
          <w:szCs w:val="28"/>
        </w:rPr>
        <w:t>Floxifor</w:t>
      </w:r>
      <w:r w:rsidR="002D2C47">
        <w:rPr>
          <w:rFonts w:ascii="Times New Roman" w:hAnsi="Times New Roman" w:cs="Times New Roman"/>
          <w:color w:val="000000"/>
          <w:sz w:val="28"/>
          <w:szCs w:val="28"/>
        </w:rPr>
        <w:t>’s</w:t>
      </w:r>
      <w:proofErr w:type="spellEnd"/>
      <w:r w:rsidR="002D2C47">
        <w:rPr>
          <w:rFonts w:ascii="Times New Roman" w:hAnsi="Times New Roman" w:cs="Times New Roman"/>
          <w:color w:val="000000"/>
          <w:sz w:val="28"/>
          <w:szCs w:val="28"/>
        </w:rPr>
        <w:t xml:space="preserve"> opposition </w:t>
      </w:r>
      <w:r w:rsidR="00D71309">
        <w:rPr>
          <w:rFonts w:ascii="Times New Roman" w:hAnsi="Times New Roman" w:cs="Times New Roman"/>
          <w:color w:val="000000"/>
          <w:sz w:val="28"/>
          <w:szCs w:val="28"/>
        </w:rPr>
        <w:t xml:space="preserve">to the substitution </w:t>
      </w:r>
      <w:r w:rsidR="002D2C47">
        <w:rPr>
          <w:rFonts w:ascii="Times New Roman" w:hAnsi="Times New Roman" w:cs="Times New Roman"/>
          <w:color w:val="000000"/>
          <w:sz w:val="28"/>
          <w:szCs w:val="28"/>
        </w:rPr>
        <w:t xml:space="preserve">is premised </w:t>
      </w:r>
      <w:r w:rsidR="00C57CDE">
        <w:rPr>
          <w:rFonts w:ascii="Times New Roman" w:hAnsi="Times New Roman" w:cs="Times New Roman"/>
          <w:color w:val="000000"/>
          <w:sz w:val="28"/>
          <w:szCs w:val="28"/>
        </w:rPr>
        <w:t xml:space="preserve">on the </w:t>
      </w:r>
      <w:r w:rsidR="005D730D">
        <w:rPr>
          <w:rFonts w:ascii="Times New Roman" w:hAnsi="Times New Roman" w:cs="Times New Roman"/>
          <w:color w:val="000000"/>
          <w:sz w:val="28"/>
          <w:szCs w:val="28"/>
        </w:rPr>
        <w:t>points raised in the Rule 7(1) notice</w:t>
      </w:r>
      <w:r w:rsidR="00F97EDA">
        <w:rPr>
          <w:rFonts w:ascii="Times New Roman" w:hAnsi="Times New Roman" w:cs="Times New Roman"/>
          <w:color w:val="000000"/>
          <w:sz w:val="28"/>
          <w:szCs w:val="28"/>
        </w:rPr>
        <w:t xml:space="preserve"> wherein i</w:t>
      </w:r>
      <w:r w:rsidR="00204313">
        <w:rPr>
          <w:rFonts w:ascii="Times New Roman" w:hAnsi="Times New Roman" w:cs="Times New Roman"/>
          <w:color w:val="000000"/>
          <w:sz w:val="28"/>
          <w:szCs w:val="28"/>
        </w:rPr>
        <w:t xml:space="preserve">t </w:t>
      </w:r>
      <w:r w:rsidR="005D730D">
        <w:rPr>
          <w:rFonts w:ascii="Times New Roman" w:hAnsi="Times New Roman" w:cs="Times New Roman"/>
          <w:color w:val="000000"/>
          <w:sz w:val="28"/>
          <w:szCs w:val="28"/>
        </w:rPr>
        <w:t xml:space="preserve">challenges the applicants’ </w:t>
      </w:r>
      <w:r w:rsidR="005D730D" w:rsidRPr="00D71309">
        <w:rPr>
          <w:rFonts w:ascii="Times New Roman" w:hAnsi="Times New Roman" w:cs="Times New Roman"/>
          <w:color w:val="000000"/>
          <w:sz w:val="28"/>
          <w:szCs w:val="28"/>
        </w:rPr>
        <w:t>authority</w:t>
      </w:r>
      <w:r w:rsidR="005D730D">
        <w:rPr>
          <w:rFonts w:ascii="Times New Roman" w:hAnsi="Times New Roman" w:cs="Times New Roman"/>
          <w:color w:val="000000"/>
          <w:sz w:val="28"/>
          <w:szCs w:val="28"/>
        </w:rPr>
        <w:t xml:space="preserve"> to </w:t>
      </w:r>
      <w:r w:rsidR="00D71309">
        <w:rPr>
          <w:rFonts w:ascii="Times New Roman" w:hAnsi="Times New Roman" w:cs="Times New Roman"/>
          <w:color w:val="000000"/>
          <w:sz w:val="28"/>
          <w:szCs w:val="28"/>
        </w:rPr>
        <w:t>act.</w:t>
      </w:r>
      <w:r w:rsidR="00A628F4">
        <w:rPr>
          <w:rFonts w:ascii="Times New Roman" w:hAnsi="Times New Roman" w:cs="Times New Roman"/>
          <w:color w:val="000000"/>
          <w:sz w:val="28"/>
          <w:szCs w:val="28"/>
        </w:rPr>
        <w:t xml:space="preserve"> </w:t>
      </w:r>
      <w:r w:rsidR="00F23191">
        <w:rPr>
          <w:rFonts w:ascii="Times New Roman" w:hAnsi="Times New Roman" w:cs="Times New Roman"/>
          <w:color w:val="000000"/>
          <w:sz w:val="28"/>
          <w:szCs w:val="28"/>
        </w:rPr>
        <w:t>It claims</w:t>
      </w:r>
      <w:r w:rsidR="00D92F80">
        <w:rPr>
          <w:rFonts w:ascii="Times New Roman" w:hAnsi="Times New Roman" w:cs="Times New Roman"/>
          <w:color w:val="000000"/>
          <w:sz w:val="28"/>
          <w:szCs w:val="28"/>
        </w:rPr>
        <w:t xml:space="preserve"> </w:t>
      </w:r>
      <w:r w:rsidR="00723371">
        <w:rPr>
          <w:rFonts w:ascii="Times New Roman" w:hAnsi="Times New Roman" w:cs="Times New Roman"/>
          <w:color w:val="000000"/>
          <w:sz w:val="28"/>
          <w:szCs w:val="28"/>
        </w:rPr>
        <w:t xml:space="preserve">the absence of authority </w:t>
      </w:r>
      <w:r w:rsidR="007F546A">
        <w:rPr>
          <w:rFonts w:ascii="Times New Roman" w:hAnsi="Times New Roman" w:cs="Times New Roman"/>
          <w:color w:val="000000"/>
          <w:sz w:val="28"/>
          <w:szCs w:val="28"/>
        </w:rPr>
        <w:t>renders a</w:t>
      </w:r>
      <w:r w:rsidR="00336551">
        <w:rPr>
          <w:rFonts w:ascii="Times New Roman" w:hAnsi="Times New Roman" w:cs="Times New Roman"/>
          <w:color w:val="000000"/>
          <w:sz w:val="28"/>
          <w:szCs w:val="28"/>
        </w:rPr>
        <w:t xml:space="preserve">ll </w:t>
      </w:r>
      <w:r w:rsidR="007F546A">
        <w:rPr>
          <w:rFonts w:ascii="Times New Roman" w:hAnsi="Times New Roman" w:cs="Times New Roman"/>
          <w:color w:val="000000"/>
          <w:sz w:val="28"/>
          <w:szCs w:val="28"/>
        </w:rPr>
        <w:t xml:space="preserve">the </w:t>
      </w:r>
      <w:r w:rsidR="00336551">
        <w:rPr>
          <w:rFonts w:ascii="Times New Roman" w:hAnsi="Times New Roman" w:cs="Times New Roman"/>
          <w:color w:val="000000"/>
          <w:sz w:val="28"/>
          <w:szCs w:val="28"/>
        </w:rPr>
        <w:t xml:space="preserve">steps taken by the Trust </w:t>
      </w:r>
      <w:r w:rsidR="007F546A">
        <w:rPr>
          <w:rFonts w:ascii="Times New Roman" w:hAnsi="Times New Roman" w:cs="Times New Roman"/>
          <w:color w:val="000000"/>
          <w:sz w:val="28"/>
          <w:szCs w:val="28"/>
        </w:rPr>
        <w:t xml:space="preserve">in the proceedings </w:t>
      </w:r>
      <w:r w:rsidR="00336551">
        <w:rPr>
          <w:rFonts w:ascii="Times New Roman" w:hAnsi="Times New Roman" w:cs="Times New Roman"/>
          <w:color w:val="000000"/>
          <w:sz w:val="28"/>
          <w:szCs w:val="28"/>
        </w:rPr>
        <w:t xml:space="preserve">including the </w:t>
      </w:r>
      <w:r w:rsidR="007F546A">
        <w:rPr>
          <w:rFonts w:ascii="Times New Roman" w:hAnsi="Times New Roman" w:cs="Times New Roman"/>
          <w:color w:val="000000"/>
          <w:sz w:val="28"/>
          <w:szCs w:val="28"/>
        </w:rPr>
        <w:t xml:space="preserve">bringing of the </w:t>
      </w:r>
      <w:r w:rsidR="00336551">
        <w:rPr>
          <w:rFonts w:ascii="Times New Roman" w:hAnsi="Times New Roman" w:cs="Times New Roman"/>
          <w:color w:val="000000"/>
          <w:sz w:val="28"/>
          <w:szCs w:val="28"/>
        </w:rPr>
        <w:t>substitution application</w:t>
      </w:r>
      <w:r w:rsidR="007F546A">
        <w:rPr>
          <w:rFonts w:ascii="Times New Roman" w:hAnsi="Times New Roman" w:cs="Times New Roman"/>
          <w:color w:val="000000"/>
          <w:sz w:val="28"/>
          <w:szCs w:val="28"/>
        </w:rPr>
        <w:t xml:space="preserve"> defective. </w:t>
      </w:r>
      <w:r w:rsidR="003F2AAC">
        <w:rPr>
          <w:rFonts w:ascii="Times New Roman" w:hAnsi="Times New Roman" w:cs="Times New Roman"/>
          <w:color w:val="000000"/>
          <w:sz w:val="28"/>
          <w:szCs w:val="28"/>
        </w:rPr>
        <w:t xml:space="preserve">The </w:t>
      </w:r>
      <w:r w:rsidR="003A69BB">
        <w:rPr>
          <w:rFonts w:ascii="Times New Roman" w:hAnsi="Times New Roman" w:cs="Times New Roman"/>
          <w:color w:val="000000"/>
          <w:sz w:val="28"/>
          <w:szCs w:val="28"/>
        </w:rPr>
        <w:t>submission</w:t>
      </w:r>
      <w:r w:rsidR="003F2AAC">
        <w:rPr>
          <w:rFonts w:ascii="Times New Roman" w:hAnsi="Times New Roman" w:cs="Times New Roman"/>
          <w:color w:val="000000"/>
          <w:sz w:val="28"/>
          <w:szCs w:val="28"/>
        </w:rPr>
        <w:t xml:space="preserve"> is that the substitution </w:t>
      </w:r>
      <w:r w:rsidR="007D25EF">
        <w:rPr>
          <w:rFonts w:ascii="Times New Roman" w:hAnsi="Times New Roman" w:cs="Times New Roman"/>
          <w:color w:val="000000"/>
          <w:sz w:val="28"/>
          <w:szCs w:val="28"/>
        </w:rPr>
        <w:t xml:space="preserve">application </w:t>
      </w:r>
      <w:r w:rsidR="003F2AAC">
        <w:rPr>
          <w:rFonts w:ascii="Times New Roman" w:hAnsi="Times New Roman" w:cs="Times New Roman"/>
          <w:color w:val="000000"/>
          <w:sz w:val="28"/>
          <w:szCs w:val="28"/>
        </w:rPr>
        <w:t xml:space="preserve">is a ruse to overcome the </w:t>
      </w:r>
      <w:r w:rsidR="00E03E82">
        <w:rPr>
          <w:rFonts w:ascii="Times New Roman" w:hAnsi="Times New Roman" w:cs="Times New Roman"/>
          <w:color w:val="000000"/>
          <w:sz w:val="28"/>
          <w:szCs w:val="28"/>
        </w:rPr>
        <w:t xml:space="preserve">lack </w:t>
      </w:r>
      <w:r w:rsidR="003F2AAC">
        <w:rPr>
          <w:rFonts w:ascii="Times New Roman" w:hAnsi="Times New Roman" w:cs="Times New Roman"/>
          <w:color w:val="000000"/>
          <w:sz w:val="28"/>
          <w:szCs w:val="28"/>
        </w:rPr>
        <w:t>of authority</w:t>
      </w:r>
      <w:r w:rsidR="00E03E82">
        <w:rPr>
          <w:rFonts w:ascii="Times New Roman" w:hAnsi="Times New Roman" w:cs="Times New Roman"/>
          <w:color w:val="000000"/>
          <w:sz w:val="28"/>
          <w:szCs w:val="28"/>
        </w:rPr>
        <w:t xml:space="preserve"> by the Trustees</w:t>
      </w:r>
      <w:r w:rsidR="003F2AAC">
        <w:rPr>
          <w:rFonts w:ascii="Times New Roman" w:hAnsi="Times New Roman" w:cs="Times New Roman"/>
          <w:color w:val="000000"/>
          <w:sz w:val="28"/>
          <w:szCs w:val="28"/>
        </w:rPr>
        <w:t xml:space="preserve">. </w:t>
      </w:r>
      <w:proofErr w:type="spellStart"/>
      <w:r w:rsidR="00B3074E">
        <w:rPr>
          <w:rFonts w:ascii="Times New Roman" w:hAnsi="Times New Roman" w:cs="Times New Roman"/>
          <w:color w:val="000000"/>
          <w:sz w:val="28"/>
          <w:szCs w:val="28"/>
        </w:rPr>
        <w:t>F</w:t>
      </w:r>
      <w:r w:rsidR="00554F03">
        <w:rPr>
          <w:rFonts w:ascii="Times New Roman" w:hAnsi="Times New Roman" w:cs="Times New Roman"/>
          <w:color w:val="000000"/>
          <w:sz w:val="28"/>
          <w:szCs w:val="28"/>
        </w:rPr>
        <w:t>lo</w:t>
      </w:r>
      <w:r w:rsidR="00362B34">
        <w:rPr>
          <w:rFonts w:ascii="Times New Roman" w:hAnsi="Times New Roman" w:cs="Times New Roman"/>
          <w:color w:val="000000"/>
          <w:sz w:val="28"/>
          <w:szCs w:val="28"/>
        </w:rPr>
        <w:t>xifor</w:t>
      </w:r>
      <w:proofErr w:type="spellEnd"/>
      <w:r w:rsidR="00362B34">
        <w:rPr>
          <w:rFonts w:ascii="Times New Roman" w:hAnsi="Times New Roman" w:cs="Times New Roman"/>
          <w:color w:val="000000"/>
          <w:sz w:val="28"/>
          <w:szCs w:val="28"/>
        </w:rPr>
        <w:t xml:space="preserve"> state</w:t>
      </w:r>
      <w:r w:rsidR="007A13C1">
        <w:rPr>
          <w:rFonts w:ascii="Times New Roman" w:hAnsi="Times New Roman" w:cs="Times New Roman"/>
          <w:color w:val="000000"/>
          <w:sz w:val="28"/>
          <w:szCs w:val="28"/>
        </w:rPr>
        <w:t>d</w:t>
      </w:r>
      <w:r w:rsidR="00362B34">
        <w:rPr>
          <w:rFonts w:ascii="Times New Roman" w:hAnsi="Times New Roman" w:cs="Times New Roman"/>
          <w:color w:val="000000"/>
          <w:sz w:val="28"/>
          <w:szCs w:val="28"/>
        </w:rPr>
        <w:t xml:space="preserve"> that:</w:t>
      </w:r>
    </w:p>
    <w:p w14:paraId="2812922E" w14:textId="6DC0AE3E" w:rsidR="00554F03" w:rsidRPr="00BD3D6C" w:rsidRDefault="00362B34" w:rsidP="008C5BFB">
      <w:pPr>
        <w:spacing w:line="360" w:lineRule="auto"/>
        <w:jc w:val="both"/>
        <w:rPr>
          <w:rFonts w:ascii="Times New Roman" w:hAnsi="Times New Roman" w:cs="Times New Roman"/>
          <w:color w:val="000000"/>
          <w:sz w:val="24"/>
          <w:szCs w:val="24"/>
        </w:rPr>
      </w:pPr>
      <w:r w:rsidRPr="00362B34">
        <w:rPr>
          <w:rFonts w:ascii="Times New Roman" w:hAnsi="Times New Roman" w:cs="Times New Roman"/>
          <w:color w:val="000000"/>
          <w:sz w:val="24"/>
          <w:szCs w:val="24"/>
        </w:rPr>
        <w:t>“</w:t>
      </w:r>
      <w:r w:rsidR="00537588">
        <w:rPr>
          <w:rFonts w:ascii="Times New Roman" w:hAnsi="Times New Roman" w:cs="Times New Roman"/>
          <w:color w:val="000000"/>
          <w:sz w:val="24"/>
          <w:szCs w:val="24"/>
        </w:rPr>
        <w:t xml:space="preserve">53 </w:t>
      </w:r>
      <w:r w:rsidR="00554F03" w:rsidRPr="00362B34">
        <w:rPr>
          <w:rFonts w:ascii="Times New Roman" w:hAnsi="Times New Roman" w:cs="Times New Roman"/>
          <w:color w:val="000000"/>
          <w:sz w:val="24"/>
          <w:szCs w:val="24"/>
        </w:rPr>
        <w:t xml:space="preserve">Again and by of the Rule 7 Notice, the First Applicant, the Second Applicant (even if he was aware of the Main Application) and Japie van Zyl Attorneys they are not entitled to act until they have </w:t>
      </w:r>
      <w:r w:rsidRPr="00362B34">
        <w:rPr>
          <w:rFonts w:ascii="Times New Roman" w:hAnsi="Times New Roman" w:cs="Times New Roman"/>
          <w:color w:val="000000"/>
          <w:sz w:val="24"/>
          <w:szCs w:val="24"/>
        </w:rPr>
        <w:t>satisfied</w:t>
      </w:r>
      <w:r w:rsidR="00554F03" w:rsidRPr="00362B34">
        <w:rPr>
          <w:rFonts w:ascii="Times New Roman" w:hAnsi="Times New Roman" w:cs="Times New Roman"/>
          <w:color w:val="000000"/>
          <w:sz w:val="24"/>
          <w:szCs w:val="24"/>
        </w:rPr>
        <w:t xml:space="preserve"> this </w:t>
      </w:r>
      <w:r w:rsidRPr="00BD3D6C">
        <w:rPr>
          <w:rFonts w:ascii="Times New Roman" w:hAnsi="Times New Roman" w:cs="Times New Roman"/>
          <w:color w:val="000000"/>
          <w:sz w:val="24"/>
          <w:szCs w:val="24"/>
        </w:rPr>
        <w:t>Honourable</w:t>
      </w:r>
      <w:r w:rsidR="00554F03" w:rsidRPr="00BD3D6C">
        <w:rPr>
          <w:rFonts w:ascii="Times New Roman" w:hAnsi="Times New Roman" w:cs="Times New Roman"/>
          <w:color w:val="000000"/>
          <w:sz w:val="24"/>
          <w:szCs w:val="24"/>
        </w:rPr>
        <w:t xml:space="preserve"> Court that they are authorise</w:t>
      </w:r>
      <w:r w:rsidR="00762EAC" w:rsidRPr="00BD3D6C">
        <w:rPr>
          <w:rFonts w:ascii="Times New Roman" w:hAnsi="Times New Roman" w:cs="Times New Roman"/>
          <w:color w:val="000000"/>
          <w:sz w:val="24"/>
          <w:szCs w:val="24"/>
        </w:rPr>
        <w:t>d</w:t>
      </w:r>
      <w:r w:rsidR="00554F03" w:rsidRPr="00BD3D6C">
        <w:rPr>
          <w:rFonts w:ascii="Times New Roman" w:hAnsi="Times New Roman" w:cs="Times New Roman"/>
          <w:color w:val="000000"/>
          <w:sz w:val="24"/>
          <w:szCs w:val="24"/>
        </w:rPr>
        <w:t xml:space="preserve"> to act on behalf of the Trust.</w:t>
      </w:r>
      <w:r w:rsidRPr="00BD3D6C">
        <w:rPr>
          <w:rFonts w:ascii="Times New Roman" w:hAnsi="Times New Roman" w:cs="Times New Roman"/>
          <w:color w:val="000000"/>
          <w:sz w:val="24"/>
          <w:szCs w:val="24"/>
        </w:rPr>
        <w:t>”</w:t>
      </w:r>
    </w:p>
    <w:p w14:paraId="2305EBE3" w14:textId="110D9EC0" w:rsidR="00267B10" w:rsidRPr="00267B10" w:rsidRDefault="00537588" w:rsidP="008C5BFB">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54 </w:t>
      </w:r>
      <w:r w:rsidR="00267B10" w:rsidRPr="00267B10">
        <w:rPr>
          <w:rFonts w:ascii="Times New Roman" w:hAnsi="Times New Roman" w:cs="Times New Roman"/>
          <w:color w:val="000000"/>
          <w:sz w:val="24"/>
          <w:szCs w:val="24"/>
        </w:rPr>
        <w:t>The only inference that can be drawn by the First Applicant and Japie Van Zyl Attorneys failure to produce their authority is that they have instituted the proceedings without the necessary authority.</w:t>
      </w:r>
      <w:r>
        <w:rPr>
          <w:rFonts w:ascii="Times New Roman" w:hAnsi="Times New Roman" w:cs="Times New Roman"/>
          <w:color w:val="000000"/>
          <w:sz w:val="24"/>
          <w:szCs w:val="24"/>
        </w:rPr>
        <w:t>”</w:t>
      </w:r>
    </w:p>
    <w:p w14:paraId="3ADAAAA5" w14:textId="3C539F30" w:rsidR="00FB6625" w:rsidRDefault="002134C4" w:rsidP="00FB662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81EE1">
        <w:rPr>
          <w:rFonts w:ascii="Times New Roman" w:hAnsi="Times New Roman" w:cs="Times New Roman"/>
          <w:color w:val="000000"/>
          <w:sz w:val="28"/>
          <w:szCs w:val="28"/>
        </w:rPr>
        <w:t>6</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E55CCF">
        <w:rPr>
          <w:rFonts w:ascii="Times New Roman" w:hAnsi="Times New Roman" w:cs="Times New Roman"/>
          <w:color w:val="000000"/>
          <w:sz w:val="28"/>
          <w:szCs w:val="28"/>
        </w:rPr>
        <w:t xml:space="preserve">The </w:t>
      </w:r>
      <w:r w:rsidR="00FB6625">
        <w:rPr>
          <w:rFonts w:ascii="Times New Roman" w:hAnsi="Times New Roman" w:cs="Times New Roman"/>
          <w:color w:val="000000"/>
          <w:sz w:val="28"/>
          <w:szCs w:val="28"/>
        </w:rPr>
        <w:t xml:space="preserve">argument </w:t>
      </w:r>
      <w:r w:rsidR="00B533D6">
        <w:rPr>
          <w:rFonts w:ascii="Times New Roman" w:hAnsi="Times New Roman" w:cs="Times New Roman"/>
          <w:color w:val="000000"/>
          <w:sz w:val="28"/>
          <w:szCs w:val="28"/>
        </w:rPr>
        <w:t>b</w:t>
      </w:r>
      <w:r>
        <w:rPr>
          <w:rFonts w:ascii="Times New Roman" w:hAnsi="Times New Roman" w:cs="Times New Roman"/>
          <w:color w:val="000000"/>
          <w:sz w:val="28"/>
          <w:szCs w:val="28"/>
        </w:rPr>
        <w:t xml:space="preserve">y </w:t>
      </w:r>
      <w:proofErr w:type="spellStart"/>
      <w:r w:rsidRPr="00BC18E9">
        <w:rPr>
          <w:rFonts w:ascii="Times New Roman" w:hAnsi="Times New Roman" w:cs="Times New Roman"/>
          <w:color w:val="000000"/>
          <w:sz w:val="28"/>
          <w:szCs w:val="28"/>
        </w:rPr>
        <w:t>Floxifor</w:t>
      </w:r>
      <w:proofErr w:type="spellEnd"/>
      <w:r>
        <w:rPr>
          <w:rFonts w:ascii="Times New Roman" w:hAnsi="Times New Roman" w:cs="Times New Roman"/>
          <w:color w:val="000000"/>
          <w:sz w:val="28"/>
          <w:szCs w:val="28"/>
        </w:rPr>
        <w:t xml:space="preserve"> </w:t>
      </w:r>
      <w:r w:rsidR="00E55CCF">
        <w:rPr>
          <w:rFonts w:ascii="Times New Roman" w:hAnsi="Times New Roman" w:cs="Times New Roman"/>
          <w:color w:val="000000"/>
          <w:sz w:val="28"/>
          <w:szCs w:val="28"/>
        </w:rPr>
        <w:t xml:space="preserve">is </w:t>
      </w:r>
      <w:r w:rsidR="00C57CDE">
        <w:rPr>
          <w:rFonts w:ascii="Times New Roman" w:hAnsi="Times New Roman" w:cs="Times New Roman"/>
          <w:color w:val="000000"/>
          <w:sz w:val="28"/>
          <w:szCs w:val="28"/>
        </w:rPr>
        <w:t xml:space="preserve">that </w:t>
      </w:r>
      <w:r w:rsidR="005505ED">
        <w:rPr>
          <w:rFonts w:ascii="Times New Roman" w:hAnsi="Times New Roman" w:cs="Times New Roman"/>
          <w:color w:val="000000"/>
          <w:sz w:val="28"/>
          <w:szCs w:val="28"/>
        </w:rPr>
        <w:t>o</w:t>
      </w:r>
      <w:r w:rsidR="007C2E59">
        <w:rPr>
          <w:rFonts w:ascii="Times New Roman" w:hAnsi="Times New Roman" w:cs="Times New Roman"/>
          <w:color w:val="000000"/>
          <w:sz w:val="28"/>
          <w:szCs w:val="28"/>
        </w:rPr>
        <w:t>nly the first applicant was authorised to act as a trustee</w:t>
      </w:r>
      <w:r w:rsidR="00FB6625">
        <w:rPr>
          <w:rFonts w:ascii="Times New Roman" w:hAnsi="Times New Roman" w:cs="Times New Roman"/>
          <w:color w:val="000000"/>
          <w:sz w:val="28"/>
          <w:szCs w:val="28"/>
        </w:rPr>
        <w:t xml:space="preserve"> at the time of the launch of the liquidation application</w:t>
      </w:r>
      <w:r w:rsidR="007C2E59">
        <w:rPr>
          <w:rFonts w:ascii="Times New Roman" w:hAnsi="Times New Roman" w:cs="Times New Roman"/>
          <w:color w:val="000000"/>
          <w:sz w:val="28"/>
          <w:szCs w:val="28"/>
        </w:rPr>
        <w:t xml:space="preserve">.  </w:t>
      </w:r>
      <w:r w:rsidR="005505ED">
        <w:rPr>
          <w:rFonts w:ascii="Times New Roman" w:hAnsi="Times New Roman" w:cs="Times New Roman"/>
          <w:color w:val="000000"/>
          <w:sz w:val="28"/>
          <w:szCs w:val="28"/>
        </w:rPr>
        <w:t>T</w:t>
      </w:r>
      <w:r w:rsidR="00C57CDE">
        <w:rPr>
          <w:rFonts w:ascii="Times New Roman" w:hAnsi="Times New Roman" w:cs="Times New Roman"/>
          <w:color w:val="000000"/>
          <w:sz w:val="28"/>
          <w:szCs w:val="28"/>
        </w:rPr>
        <w:t xml:space="preserve">he letters of authority which </w:t>
      </w:r>
      <w:r w:rsidR="00FB6625">
        <w:rPr>
          <w:rFonts w:ascii="Times New Roman" w:hAnsi="Times New Roman" w:cs="Times New Roman"/>
          <w:color w:val="000000"/>
          <w:sz w:val="28"/>
          <w:szCs w:val="28"/>
        </w:rPr>
        <w:t xml:space="preserve">enabled the Trust to </w:t>
      </w:r>
      <w:r w:rsidR="00C57CDE">
        <w:rPr>
          <w:rFonts w:ascii="Times New Roman" w:hAnsi="Times New Roman" w:cs="Times New Roman"/>
          <w:color w:val="000000"/>
          <w:sz w:val="28"/>
          <w:szCs w:val="28"/>
        </w:rPr>
        <w:t xml:space="preserve">comply with clause 4.3 of the </w:t>
      </w:r>
      <w:r w:rsidR="00E03E82">
        <w:rPr>
          <w:rFonts w:ascii="Times New Roman" w:hAnsi="Times New Roman" w:cs="Times New Roman"/>
          <w:color w:val="000000"/>
          <w:sz w:val="28"/>
          <w:szCs w:val="28"/>
        </w:rPr>
        <w:t>T</w:t>
      </w:r>
      <w:r w:rsidR="00C57CDE">
        <w:rPr>
          <w:rFonts w:ascii="Times New Roman" w:hAnsi="Times New Roman" w:cs="Times New Roman"/>
          <w:color w:val="000000"/>
          <w:sz w:val="28"/>
          <w:szCs w:val="28"/>
        </w:rPr>
        <w:t xml:space="preserve">rust </w:t>
      </w:r>
      <w:r w:rsidR="00E03E82">
        <w:rPr>
          <w:rFonts w:ascii="Times New Roman" w:hAnsi="Times New Roman" w:cs="Times New Roman"/>
          <w:color w:val="000000"/>
          <w:sz w:val="28"/>
          <w:szCs w:val="28"/>
        </w:rPr>
        <w:t>D</w:t>
      </w:r>
      <w:r w:rsidR="00C57CDE">
        <w:rPr>
          <w:rFonts w:ascii="Times New Roman" w:hAnsi="Times New Roman" w:cs="Times New Roman"/>
          <w:color w:val="000000"/>
          <w:sz w:val="28"/>
          <w:szCs w:val="28"/>
        </w:rPr>
        <w:t xml:space="preserve">eed were only issued by the Master in March 2021, after the launch of the </w:t>
      </w:r>
      <w:r w:rsidR="00FB6625">
        <w:rPr>
          <w:rFonts w:ascii="Times New Roman" w:hAnsi="Times New Roman" w:cs="Times New Roman"/>
          <w:color w:val="000000"/>
          <w:sz w:val="28"/>
          <w:szCs w:val="28"/>
        </w:rPr>
        <w:t>liquidation</w:t>
      </w:r>
      <w:r w:rsidR="00C57CDE">
        <w:rPr>
          <w:rFonts w:ascii="Times New Roman" w:hAnsi="Times New Roman" w:cs="Times New Roman"/>
          <w:color w:val="000000"/>
          <w:sz w:val="28"/>
          <w:szCs w:val="28"/>
        </w:rPr>
        <w:t xml:space="preserve"> application. </w:t>
      </w:r>
      <w:r w:rsidR="00677413">
        <w:rPr>
          <w:rFonts w:ascii="Times New Roman" w:hAnsi="Times New Roman" w:cs="Times New Roman"/>
          <w:color w:val="000000"/>
          <w:sz w:val="28"/>
          <w:szCs w:val="28"/>
        </w:rPr>
        <w:t xml:space="preserve">It contends that </w:t>
      </w:r>
      <w:r w:rsidR="00FE33AC">
        <w:rPr>
          <w:rFonts w:ascii="Times New Roman" w:hAnsi="Times New Roman" w:cs="Times New Roman"/>
          <w:color w:val="000000"/>
          <w:sz w:val="28"/>
          <w:szCs w:val="28"/>
        </w:rPr>
        <w:t xml:space="preserve">although </w:t>
      </w:r>
      <w:r w:rsidR="00D71309">
        <w:rPr>
          <w:rFonts w:ascii="Times New Roman" w:hAnsi="Times New Roman" w:cs="Times New Roman"/>
          <w:color w:val="000000"/>
          <w:sz w:val="28"/>
          <w:szCs w:val="28"/>
        </w:rPr>
        <w:t xml:space="preserve">Mr Fourie </w:t>
      </w:r>
      <w:r w:rsidR="00FE33AC">
        <w:rPr>
          <w:rFonts w:ascii="Times New Roman" w:hAnsi="Times New Roman" w:cs="Times New Roman"/>
          <w:color w:val="000000"/>
          <w:sz w:val="28"/>
          <w:szCs w:val="28"/>
        </w:rPr>
        <w:t xml:space="preserve">was cited as a party in the </w:t>
      </w:r>
      <w:r w:rsidR="003A50C4">
        <w:rPr>
          <w:rFonts w:ascii="Times New Roman" w:hAnsi="Times New Roman" w:cs="Times New Roman"/>
          <w:color w:val="000000"/>
          <w:sz w:val="28"/>
          <w:szCs w:val="28"/>
        </w:rPr>
        <w:t>liquidation</w:t>
      </w:r>
      <w:r w:rsidR="00FE33AC">
        <w:rPr>
          <w:rFonts w:ascii="Times New Roman" w:hAnsi="Times New Roman" w:cs="Times New Roman"/>
          <w:color w:val="000000"/>
          <w:sz w:val="28"/>
          <w:szCs w:val="28"/>
        </w:rPr>
        <w:t xml:space="preserve"> application, </w:t>
      </w:r>
      <w:r w:rsidR="006274B1">
        <w:rPr>
          <w:rFonts w:ascii="Times New Roman" w:hAnsi="Times New Roman" w:cs="Times New Roman"/>
          <w:color w:val="000000"/>
          <w:sz w:val="28"/>
          <w:szCs w:val="28"/>
        </w:rPr>
        <w:t xml:space="preserve">the Trust did not meet the threshold in </w:t>
      </w:r>
      <w:r w:rsidR="00275673">
        <w:rPr>
          <w:rFonts w:ascii="Times New Roman" w:hAnsi="Times New Roman" w:cs="Times New Roman"/>
          <w:color w:val="000000"/>
          <w:sz w:val="28"/>
          <w:szCs w:val="28"/>
        </w:rPr>
        <w:t xml:space="preserve">clause 4.3 </w:t>
      </w:r>
      <w:r w:rsidR="006274B1">
        <w:rPr>
          <w:rFonts w:ascii="Times New Roman" w:hAnsi="Times New Roman" w:cs="Times New Roman"/>
          <w:color w:val="000000"/>
          <w:sz w:val="28"/>
          <w:szCs w:val="28"/>
        </w:rPr>
        <w:t xml:space="preserve">because </w:t>
      </w:r>
      <w:r w:rsidR="00C76F6C">
        <w:rPr>
          <w:rFonts w:ascii="Times New Roman" w:hAnsi="Times New Roman" w:cs="Times New Roman"/>
          <w:color w:val="000000"/>
          <w:sz w:val="28"/>
          <w:szCs w:val="28"/>
        </w:rPr>
        <w:t>Mr Fourie</w:t>
      </w:r>
      <w:r w:rsidR="00FE33AC">
        <w:rPr>
          <w:rFonts w:ascii="Times New Roman" w:hAnsi="Times New Roman" w:cs="Times New Roman"/>
          <w:color w:val="000000"/>
          <w:sz w:val="28"/>
          <w:szCs w:val="28"/>
        </w:rPr>
        <w:t xml:space="preserve"> was no</w:t>
      </w:r>
      <w:r w:rsidR="00E03E82">
        <w:rPr>
          <w:rFonts w:ascii="Times New Roman" w:hAnsi="Times New Roman" w:cs="Times New Roman"/>
          <w:color w:val="000000"/>
          <w:sz w:val="28"/>
          <w:szCs w:val="28"/>
        </w:rPr>
        <w:t xml:space="preserve"> longer</w:t>
      </w:r>
      <w:r w:rsidR="00FE33AC">
        <w:rPr>
          <w:rFonts w:ascii="Times New Roman" w:hAnsi="Times New Roman" w:cs="Times New Roman"/>
          <w:color w:val="000000"/>
          <w:sz w:val="28"/>
          <w:szCs w:val="28"/>
        </w:rPr>
        <w:t xml:space="preserve"> a trustee at the time of </w:t>
      </w:r>
      <w:r w:rsidR="003A50C4">
        <w:rPr>
          <w:rFonts w:ascii="Times New Roman" w:hAnsi="Times New Roman" w:cs="Times New Roman"/>
          <w:color w:val="000000"/>
          <w:sz w:val="28"/>
          <w:szCs w:val="28"/>
        </w:rPr>
        <w:t>its institution</w:t>
      </w:r>
      <w:r w:rsidR="00E03E82">
        <w:rPr>
          <w:rFonts w:ascii="Times New Roman" w:hAnsi="Times New Roman" w:cs="Times New Roman"/>
          <w:color w:val="000000"/>
          <w:sz w:val="28"/>
          <w:szCs w:val="28"/>
        </w:rPr>
        <w:t>. He</w:t>
      </w:r>
      <w:r w:rsidR="00FE33AC">
        <w:rPr>
          <w:rFonts w:ascii="Times New Roman" w:hAnsi="Times New Roman" w:cs="Times New Roman"/>
          <w:color w:val="000000"/>
          <w:sz w:val="28"/>
          <w:szCs w:val="28"/>
        </w:rPr>
        <w:t xml:space="preserve"> was no longer a trustee for the purpose of the substitution application. </w:t>
      </w:r>
      <w:r w:rsidR="00FE33AC">
        <w:rPr>
          <w:rFonts w:ascii="Times New Roman" w:hAnsi="Times New Roman" w:cs="Times New Roman"/>
          <w:sz w:val="28"/>
          <w:szCs w:val="28"/>
        </w:rPr>
        <w:t>T</w:t>
      </w:r>
      <w:r w:rsidR="00FE33AC">
        <w:rPr>
          <w:rFonts w:ascii="Times New Roman" w:hAnsi="Times New Roman" w:cs="Times New Roman"/>
          <w:color w:val="000000"/>
          <w:sz w:val="28"/>
          <w:szCs w:val="28"/>
        </w:rPr>
        <w:t xml:space="preserve">he applicants did not file a confirmatory affidavit confirming </w:t>
      </w:r>
      <w:r w:rsidR="007C2E59">
        <w:rPr>
          <w:rFonts w:ascii="Times New Roman" w:hAnsi="Times New Roman" w:cs="Times New Roman"/>
          <w:color w:val="000000"/>
          <w:sz w:val="28"/>
          <w:szCs w:val="28"/>
        </w:rPr>
        <w:t xml:space="preserve">that </w:t>
      </w:r>
      <w:r w:rsidR="003A50C4">
        <w:rPr>
          <w:rFonts w:ascii="Times New Roman" w:hAnsi="Times New Roman" w:cs="Times New Roman"/>
          <w:color w:val="000000"/>
          <w:sz w:val="28"/>
          <w:szCs w:val="28"/>
        </w:rPr>
        <w:t xml:space="preserve">Mr Fourie </w:t>
      </w:r>
      <w:r w:rsidR="00FE33AC">
        <w:rPr>
          <w:rFonts w:ascii="Times New Roman" w:hAnsi="Times New Roman" w:cs="Times New Roman"/>
          <w:color w:val="000000"/>
          <w:sz w:val="28"/>
          <w:szCs w:val="28"/>
        </w:rPr>
        <w:t>was a party to the application.</w:t>
      </w:r>
    </w:p>
    <w:p w14:paraId="45456078" w14:textId="6F0ED937" w:rsidR="005B6EB6" w:rsidRDefault="00FB6625" w:rsidP="00DD4536">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C76F6C">
        <w:rPr>
          <w:rFonts w:ascii="Times New Roman" w:hAnsi="Times New Roman" w:cs="Times New Roman"/>
          <w:color w:val="000000"/>
          <w:sz w:val="28"/>
          <w:szCs w:val="28"/>
        </w:rPr>
        <w:t>7</w:t>
      </w: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In amplification, </w:t>
      </w:r>
      <w:proofErr w:type="spellStart"/>
      <w:r w:rsidRPr="00BC18E9">
        <w:rPr>
          <w:rFonts w:ascii="Times New Roman" w:hAnsi="Times New Roman" w:cs="Times New Roman"/>
          <w:color w:val="000000"/>
          <w:sz w:val="28"/>
          <w:szCs w:val="28"/>
        </w:rPr>
        <w:t>Floxifor</w:t>
      </w:r>
      <w:proofErr w:type="spellEnd"/>
      <w:r>
        <w:rPr>
          <w:rFonts w:ascii="Times New Roman" w:hAnsi="Times New Roman" w:cs="Times New Roman"/>
          <w:color w:val="000000"/>
          <w:sz w:val="28"/>
          <w:szCs w:val="28"/>
        </w:rPr>
        <w:t xml:space="preserve"> submitted further that the Master would have only been able appoint a third trustee upon the resignation of </w:t>
      </w:r>
      <w:r w:rsidR="003A50C4">
        <w:rPr>
          <w:rFonts w:ascii="Times New Roman" w:hAnsi="Times New Roman" w:cs="Times New Roman"/>
          <w:color w:val="000000"/>
          <w:sz w:val="28"/>
          <w:szCs w:val="28"/>
        </w:rPr>
        <w:t>Mr Fourie</w:t>
      </w:r>
      <w:r>
        <w:rPr>
          <w:rFonts w:ascii="Times New Roman" w:hAnsi="Times New Roman" w:cs="Times New Roman"/>
          <w:color w:val="000000"/>
          <w:sz w:val="28"/>
          <w:szCs w:val="28"/>
        </w:rPr>
        <w:t xml:space="preserve">. The original letters of authority would have been returned in terms of </w:t>
      </w:r>
      <w:r w:rsidR="000E7E44">
        <w:rPr>
          <w:rFonts w:ascii="Times New Roman" w:hAnsi="Times New Roman" w:cs="Times New Roman"/>
          <w:color w:val="000000"/>
          <w:sz w:val="28"/>
          <w:szCs w:val="28"/>
        </w:rPr>
        <w:t>t</w:t>
      </w:r>
      <w:r>
        <w:rPr>
          <w:rFonts w:ascii="Times New Roman" w:hAnsi="Times New Roman" w:cs="Times New Roman"/>
          <w:color w:val="000000"/>
          <w:sz w:val="28"/>
          <w:szCs w:val="28"/>
        </w:rPr>
        <w:t xml:space="preserve">he Trust </w:t>
      </w:r>
      <w:r>
        <w:rPr>
          <w:rFonts w:ascii="Times New Roman" w:hAnsi="Times New Roman" w:cs="Times New Roman"/>
          <w:color w:val="000000"/>
          <w:sz w:val="28"/>
          <w:szCs w:val="28"/>
        </w:rPr>
        <w:lastRenderedPageBreak/>
        <w:t xml:space="preserve">Property </w:t>
      </w:r>
      <w:r w:rsidRPr="000E7E44">
        <w:rPr>
          <w:rFonts w:ascii="Times New Roman" w:hAnsi="Times New Roman" w:cs="Times New Roman"/>
          <w:color w:val="000000"/>
          <w:sz w:val="28"/>
          <w:szCs w:val="28"/>
        </w:rPr>
        <w:t>Control Act</w:t>
      </w:r>
      <w:r w:rsidR="000E7E44">
        <w:rPr>
          <w:rFonts w:ascii="Times New Roman" w:hAnsi="Times New Roman" w:cs="Times New Roman"/>
          <w:color w:val="000000"/>
          <w:sz w:val="28"/>
          <w:szCs w:val="28"/>
        </w:rPr>
        <w:t xml:space="preserve"> 5</w:t>
      </w:r>
      <w:r w:rsidR="002F5CCB" w:rsidRPr="002F5CCB">
        <w:rPr>
          <w:rFonts w:ascii="Times New Roman" w:hAnsi="Times New Roman" w:cs="Times New Roman"/>
          <w:sz w:val="28"/>
          <w:szCs w:val="28"/>
        </w:rPr>
        <w:t>7 of 1988</w:t>
      </w:r>
      <w:r>
        <w:rPr>
          <w:rFonts w:ascii="Times New Roman" w:hAnsi="Times New Roman" w:cs="Times New Roman"/>
          <w:color w:val="000000"/>
          <w:sz w:val="28"/>
          <w:szCs w:val="28"/>
        </w:rPr>
        <w:t xml:space="preserve"> (the Act). </w:t>
      </w:r>
      <w:r w:rsidR="00DD4536">
        <w:rPr>
          <w:rFonts w:ascii="Times New Roman" w:hAnsi="Times New Roman" w:cs="Times New Roman"/>
          <w:color w:val="000000"/>
          <w:sz w:val="28"/>
          <w:szCs w:val="28"/>
        </w:rPr>
        <w:t xml:space="preserve">The </w:t>
      </w:r>
      <w:r w:rsidR="00DD4536">
        <w:rPr>
          <w:rFonts w:ascii="Times New Roman" w:hAnsi="Times New Roman" w:cs="Times New Roman"/>
          <w:sz w:val="28"/>
          <w:szCs w:val="28"/>
        </w:rPr>
        <w:t xml:space="preserve">argument by </w:t>
      </w:r>
      <w:proofErr w:type="spellStart"/>
      <w:r w:rsidR="00DD4536" w:rsidRPr="00BC18E9">
        <w:rPr>
          <w:rFonts w:ascii="Times New Roman" w:hAnsi="Times New Roman" w:cs="Times New Roman"/>
          <w:color w:val="000000"/>
          <w:sz w:val="28"/>
          <w:szCs w:val="28"/>
        </w:rPr>
        <w:t>Floxifor</w:t>
      </w:r>
      <w:proofErr w:type="spellEnd"/>
      <w:r w:rsidR="00DD4536">
        <w:rPr>
          <w:rFonts w:ascii="Times New Roman" w:hAnsi="Times New Roman" w:cs="Times New Roman"/>
          <w:color w:val="000000"/>
          <w:sz w:val="28"/>
          <w:szCs w:val="28"/>
        </w:rPr>
        <w:t xml:space="preserve"> hinges on the assumption that it is “likely that” the second applicant had resigned at the time when trustees approached the Master to appoint to new trustee. </w:t>
      </w:r>
      <w:proofErr w:type="spellStart"/>
      <w:r w:rsidR="00DD4536" w:rsidRPr="00BC18E9">
        <w:rPr>
          <w:rFonts w:ascii="Times New Roman" w:hAnsi="Times New Roman" w:cs="Times New Roman"/>
          <w:color w:val="000000"/>
          <w:sz w:val="28"/>
          <w:szCs w:val="28"/>
        </w:rPr>
        <w:t>Floxifor</w:t>
      </w:r>
      <w:proofErr w:type="spellEnd"/>
      <w:r w:rsidR="00DD4536">
        <w:rPr>
          <w:rFonts w:ascii="Times New Roman" w:hAnsi="Times New Roman" w:cs="Times New Roman"/>
          <w:color w:val="000000"/>
          <w:sz w:val="28"/>
          <w:szCs w:val="28"/>
        </w:rPr>
        <w:t xml:space="preserve"> submitted that the court should draw</w:t>
      </w:r>
      <w:r w:rsidR="00DD4536" w:rsidRPr="00033F6C">
        <w:rPr>
          <w:rFonts w:ascii="Times New Roman" w:hAnsi="Times New Roman" w:cs="Times New Roman"/>
          <w:color w:val="000000"/>
          <w:sz w:val="28"/>
          <w:szCs w:val="28"/>
        </w:rPr>
        <w:t xml:space="preserve"> </w:t>
      </w:r>
      <w:r w:rsidR="00DD4536">
        <w:rPr>
          <w:rFonts w:ascii="Times New Roman" w:hAnsi="Times New Roman" w:cs="Times New Roman"/>
          <w:color w:val="000000"/>
          <w:sz w:val="28"/>
          <w:szCs w:val="28"/>
        </w:rPr>
        <w:t xml:space="preserve">an inference to this effect. It contended that the applicants did not dispute that the second applicant resigned before the main application was instituted. </w:t>
      </w:r>
    </w:p>
    <w:p w14:paraId="3908E04F" w14:textId="3B022FCF" w:rsidR="008C5BFB" w:rsidRDefault="00FB6625" w:rsidP="008C5BF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w:t>
      </w:r>
      <w:r w:rsidR="009A4DCF">
        <w:rPr>
          <w:rFonts w:ascii="Times New Roman" w:hAnsi="Times New Roman" w:cs="Times New Roman"/>
          <w:color w:val="000000"/>
          <w:sz w:val="28"/>
          <w:szCs w:val="28"/>
        </w:rPr>
        <w:t>2</w:t>
      </w:r>
      <w:r w:rsidR="00C86C27">
        <w:rPr>
          <w:rFonts w:ascii="Times New Roman" w:hAnsi="Times New Roman" w:cs="Times New Roman"/>
          <w:color w:val="000000"/>
          <w:sz w:val="28"/>
          <w:szCs w:val="28"/>
        </w:rPr>
        <w:t>8</w:t>
      </w:r>
      <w:r w:rsidR="007258FE">
        <w:rPr>
          <w:rFonts w:ascii="Times New Roman" w:hAnsi="Times New Roman" w:cs="Times New Roman"/>
          <w:color w:val="000000"/>
          <w:sz w:val="28"/>
          <w:szCs w:val="28"/>
        </w:rPr>
        <w:t>]</w:t>
      </w:r>
      <w:r w:rsidR="00033F6C">
        <w:rPr>
          <w:rFonts w:ascii="Times New Roman" w:hAnsi="Times New Roman" w:cs="Times New Roman"/>
          <w:color w:val="000000"/>
          <w:sz w:val="28"/>
          <w:szCs w:val="28"/>
        </w:rPr>
        <w:tab/>
      </w:r>
      <w:proofErr w:type="spellStart"/>
      <w:r w:rsidR="00033F6C" w:rsidRPr="00BC18E9">
        <w:rPr>
          <w:rFonts w:ascii="Times New Roman" w:hAnsi="Times New Roman" w:cs="Times New Roman"/>
          <w:color w:val="000000"/>
          <w:sz w:val="28"/>
          <w:szCs w:val="28"/>
        </w:rPr>
        <w:t>Floxifor</w:t>
      </w:r>
      <w:proofErr w:type="spellEnd"/>
      <w:r w:rsidR="00033F6C">
        <w:rPr>
          <w:rFonts w:ascii="Times New Roman" w:hAnsi="Times New Roman" w:cs="Times New Roman"/>
          <w:sz w:val="28"/>
          <w:szCs w:val="28"/>
        </w:rPr>
        <w:t xml:space="preserve"> </w:t>
      </w:r>
      <w:r w:rsidR="00033F6C">
        <w:rPr>
          <w:rFonts w:ascii="Times New Roman" w:hAnsi="Times New Roman" w:cs="Times New Roman"/>
          <w:color w:val="000000"/>
          <w:sz w:val="28"/>
          <w:szCs w:val="28"/>
        </w:rPr>
        <w:t xml:space="preserve">drew support from the decision </w:t>
      </w:r>
      <w:r w:rsidR="003217A7">
        <w:rPr>
          <w:rFonts w:ascii="Times New Roman" w:hAnsi="Times New Roman" w:cs="Times New Roman"/>
          <w:color w:val="000000"/>
          <w:sz w:val="28"/>
          <w:szCs w:val="28"/>
        </w:rPr>
        <w:t xml:space="preserve">in </w:t>
      </w:r>
      <w:proofErr w:type="spellStart"/>
      <w:r w:rsidR="003217A7" w:rsidRPr="00380384">
        <w:rPr>
          <w:rFonts w:ascii="Times New Roman" w:hAnsi="Times New Roman" w:cs="Times New Roman"/>
          <w:i/>
          <w:iCs/>
          <w:color w:val="000000"/>
          <w:sz w:val="28"/>
          <w:szCs w:val="28"/>
          <w:shd w:val="clear" w:color="auto" w:fill="FFFFFF"/>
        </w:rPr>
        <w:t>Lupacchini</w:t>
      </w:r>
      <w:proofErr w:type="spellEnd"/>
      <w:r w:rsidR="008C5BFB" w:rsidRPr="00CF083D">
        <w:rPr>
          <w:rFonts w:ascii="Times New Roman" w:hAnsi="Times New Roman" w:cs="Times New Roman"/>
          <w:i/>
          <w:iCs/>
          <w:color w:val="000000"/>
          <w:sz w:val="28"/>
          <w:szCs w:val="28"/>
          <w:shd w:val="clear" w:color="auto" w:fill="FFFFFF"/>
        </w:rPr>
        <w:t xml:space="preserve"> v Minister of Safety and Security</w:t>
      </w:r>
      <w:r w:rsidR="00C45907">
        <w:rPr>
          <w:rStyle w:val="FootnoteReference"/>
          <w:rFonts w:ascii="Times New Roman" w:hAnsi="Times New Roman" w:cs="Times New Roman"/>
          <w:i/>
          <w:iCs/>
          <w:color w:val="000000"/>
          <w:sz w:val="28"/>
          <w:szCs w:val="28"/>
          <w:shd w:val="clear" w:color="auto" w:fill="FFFFFF"/>
        </w:rPr>
        <w:footnoteReference w:id="3"/>
      </w:r>
      <w:r w:rsidR="008C5BFB" w:rsidRPr="00CF083D">
        <w:rPr>
          <w:rFonts w:ascii="Times New Roman" w:hAnsi="Times New Roman" w:cs="Times New Roman"/>
          <w:i/>
          <w:iCs/>
          <w:color w:val="000000"/>
          <w:sz w:val="28"/>
          <w:szCs w:val="28"/>
          <w:shd w:val="clear" w:color="auto" w:fill="FFFFFF"/>
        </w:rPr>
        <w:t> </w:t>
      </w:r>
      <w:r w:rsidR="00C45907" w:rsidRPr="00C45907">
        <w:rPr>
          <w:rFonts w:ascii="Times New Roman" w:hAnsi="Times New Roman" w:cs="Times New Roman"/>
          <w:color w:val="000000"/>
          <w:sz w:val="28"/>
          <w:szCs w:val="28"/>
          <w:shd w:val="clear" w:color="auto" w:fill="FFFFFF"/>
        </w:rPr>
        <w:t>where</w:t>
      </w:r>
      <w:r w:rsidR="00C45907">
        <w:rPr>
          <w:rFonts w:ascii="Times New Roman" w:hAnsi="Times New Roman" w:cs="Times New Roman"/>
          <w:i/>
          <w:iCs/>
          <w:color w:val="000000"/>
          <w:sz w:val="28"/>
          <w:szCs w:val="28"/>
          <w:shd w:val="clear" w:color="auto" w:fill="FFFFFF"/>
        </w:rPr>
        <w:t xml:space="preserve"> </w:t>
      </w:r>
      <w:r w:rsidR="008C5BFB" w:rsidRPr="00CF083D">
        <w:rPr>
          <w:rFonts w:ascii="Times New Roman" w:hAnsi="Times New Roman" w:cs="Times New Roman"/>
          <w:color w:val="000000"/>
          <w:sz w:val="28"/>
          <w:szCs w:val="28"/>
          <w:shd w:val="clear" w:color="auto" w:fill="FFFFFF"/>
        </w:rPr>
        <w:t>Nugent JA held that</w:t>
      </w:r>
      <w:r>
        <w:rPr>
          <w:rFonts w:ascii="Times New Roman" w:hAnsi="Times New Roman" w:cs="Times New Roman"/>
          <w:color w:val="000000"/>
          <w:sz w:val="28"/>
          <w:szCs w:val="28"/>
          <w:shd w:val="clear" w:color="auto" w:fill="FFFFFF"/>
        </w:rPr>
        <w:t>:</w:t>
      </w:r>
      <w:r w:rsidR="008C5BFB" w:rsidRPr="00CF083D">
        <w:rPr>
          <w:rFonts w:ascii="Times New Roman" w:hAnsi="Times New Roman" w:cs="Times New Roman"/>
          <w:color w:val="000000"/>
          <w:sz w:val="28"/>
          <w:szCs w:val="28"/>
          <w:shd w:val="clear" w:color="auto" w:fill="FFFFFF"/>
        </w:rPr>
        <w:t xml:space="preserve"> </w:t>
      </w:r>
    </w:p>
    <w:p w14:paraId="24921A48" w14:textId="77777777" w:rsidR="008C5BFB" w:rsidRDefault="008C5BFB" w:rsidP="008C5BFB">
      <w:pPr>
        <w:spacing w:line="360" w:lineRule="auto"/>
        <w:jc w:val="both"/>
        <w:rPr>
          <w:rFonts w:ascii="Times New Roman" w:hAnsi="Times New Roman" w:cs="Times New Roman"/>
          <w:color w:val="000000"/>
          <w:sz w:val="24"/>
          <w:szCs w:val="24"/>
          <w:shd w:val="clear" w:color="auto" w:fill="FFFFFF"/>
        </w:rPr>
      </w:pPr>
      <w:r w:rsidRPr="00CF083D">
        <w:rPr>
          <w:rFonts w:ascii="Times New Roman" w:hAnsi="Times New Roman" w:cs="Times New Roman"/>
          <w:color w:val="000000"/>
          <w:sz w:val="28"/>
          <w:szCs w:val="28"/>
          <w:shd w:val="clear" w:color="auto" w:fill="FFFFFF"/>
        </w:rPr>
        <w:t>“</w:t>
      </w:r>
      <w:r w:rsidRPr="00CF083D">
        <w:rPr>
          <w:rFonts w:ascii="Times New Roman" w:hAnsi="Times New Roman" w:cs="Times New Roman"/>
          <w:color w:val="000000"/>
          <w:sz w:val="24"/>
          <w:szCs w:val="24"/>
          <w:shd w:val="clear" w:color="auto" w:fill="FFFFFF"/>
        </w:rPr>
        <w:t>The section makes it clear that a trustee may not act in that capacity at all without the requisite authorisation. If we were to find that acts performed in conflict with that section are valid it seems to me that we would be giving legal sanction to the very situation that the legislature wish to prevent”.</w:t>
      </w:r>
    </w:p>
    <w:p w14:paraId="16C3965B" w14:textId="27AFF896" w:rsidR="003D3845" w:rsidRDefault="008E4239" w:rsidP="00CC4DA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80A50">
        <w:rPr>
          <w:rFonts w:ascii="Times New Roman" w:hAnsi="Times New Roman" w:cs="Times New Roman"/>
          <w:color w:val="000000"/>
          <w:sz w:val="28"/>
          <w:szCs w:val="28"/>
        </w:rPr>
        <w:t>29</w:t>
      </w:r>
      <w:r>
        <w:rPr>
          <w:rFonts w:ascii="Times New Roman" w:hAnsi="Times New Roman" w:cs="Times New Roman"/>
          <w:color w:val="000000"/>
          <w:sz w:val="28"/>
          <w:szCs w:val="28"/>
        </w:rPr>
        <w:t>]</w:t>
      </w:r>
      <w:r w:rsidR="007A0ED4">
        <w:rPr>
          <w:rFonts w:ascii="Times New Roman" w:hAnsi="Times New Roman" w:cs="Times New Roman"/>
          <w:color w:val="000000"/>
          <w:sz w:val="28"/>
          <w:szCs w:val="28"/>
        </w:rPr>
        <w:tab/>
      </w:r>
      <w:r w:rsidR="00140A1F">
        <w:rPr>
          <w:rFonts w:ascii="Times New Roman" w:hAnsi="Times New Roman" w:cs="Times New Roman"/>
          <w:color w:val="000000"/>
          <w:sz w:val="28"/>
          <w:szCs w:val="28"/>
        </w:rPr>
        <w:t xml:space="preserve">As the applicants correctly contend, </w:t>
      </w:r>
      <w:proofErr w:type="spellStart"/>
      <w:r w:rsidR="00A50BE6" w:rsidRPr="00BC18E9">
        <w:rPr>
          <w:rFonts w:ascii="Times New Roman" w:hAnsi="Times New Roman" w:cs="Times New Roman"/>
          <w:color w:val="000000"/>
          <w:sz w:val="28"/>
          <w:szCs w:val="28"/>
        </w:rPr>
        <w:t>Floxifor</w:t>
      </w:r>
      <w:r w:rsidR="00A50BE6">
        <w:rPr>
          <w:rFonts w:ascii="Times New Roman" w:hAnsi="Times New Roman" w:cs="Times New Roman"/>
          <w:color w:val="000000"/>
          <w:sz w:val="28"/>
          <w:szCs w:val="28"/>
        </w:rPr>
        <w:t>’s</w:t>
      </w:r>
      <w:proofErr w:type="spellEnd"/>
      <w:r w:rsidR="00140A1F">
        <w:rPr>
          <w:rFonts w:ascii="Times New Roman" w:hAnsi="Times New Roman" w:cs="Times New Roman"/>
          <w:color w:val="000000"/>
          <w:sz w:val="28"/>
          <w:szCs w:val="28"/>
        </w:rPr>
        <w:t xml:space="preserve"> argument </w:t>
      </w:r>
      <w:r w:rsidR="00A50BE6">
        <w:rPr>
          <w:rFonts w:ascii="Times New Roman" w:hAnsi="Times New Roman" w:cs="Times New Roman"/>
          <w:color w:val="000000"/>
          <w:sz w:val="28"/>
          <w:szCs w:val="28"/>
        </w:rPr>
        <w:t xml:space="preserve">must be viewed </w:t>
      </w:r>
      <w:r w:rsidR="00140A1F">
        <w:rPr>
          <w:rFonts w:ascii="Times New Roman" w:hAnsi="Times New Roman" w:cs="Times New Roman"/>
          <w:color w:val="000000"/>
          <w:sz w:val="28"/>
          <w:szCs w:val="28"/>
        </w:rPr>
        <w:t xml:space="preserve">against the case made out in its opposing affidavit. Although it intimated that it would deal with its allegation that </w:t>
      </w:r>
      <w:r w:rsidR="003A50C4">
        <w:rPr>
          <w:rFonts w:ascii="Times New Roman" w:hAnsi="Times New Roman" w:cs="Times New Roman"/>
          <w:color w:val="000000"/>
          <w:sz w:val="28"/>
          <w:szCs w:val="28"/>
        </w:rPr>
        <w:t xml:space="preserve">Mr Fourie </w:t>
      </w:r>
      <w:r w:rsidR="00140A1F">
        <w:rPr>
          <w:rFonts w:ascii="Times New Roman" w:hAnsi="Times New Roman" w:cs="Times New Roman"/>
          <w:color w:val="000000"/>
          <w:sz w:val="28"/>
          <w:szCs w:val="28"/>
        </w:rPr>
        <w:t xml:space="preserve">had resigned, it </w:t>
      </w:r>
      <w:r w:rsidR="003A50C4">
        <w:rPr>
          <w:rFonts w:ascii="Times New Roman" w:hAnsi="Times New Roman" w:cs="Times New Roman"/>
          <w:color w:val="000000"/>
          <w:sz w:val="28"/>
          <w:szCs w:val="28"/>
        </w:rPr>
        <w:t xml:space="preserve">failed to do </w:t>
      </w:r>
      <w:r w:rsidR="00B41358">
        <w:rPr>
          <w:rFonts w:ascii="Times New Roman" w:hAnsi="Times New Roman" w:cs="Times New Roman"/>
          <w:color w:val="000000"/>
          <w:sz w:val="28"/>
          <w:szCs w:val="28"/>
        </w:rPr>
        <w:t xml:space="preserve">so </w:t>
      </w:r>
      <w:r w:rsidR="003A50C4">
        <w:rPr>
          <w:rFonts w:ascii="Times New Roman" w:hAnsi="Times New Roman" w:cs="Times New Roman"/>
          <w:color w:val="000000"/>
          <w:sz w:val="28"/>
          <w:szCs w:val="28"/>
        </w:rPr>
        <w:t>or p</w:t>
      </w:r>
      <w:r w:rsidR="00140A1F">
        <w:rPr>
          <w:rFonts w:ascii="Times New Roman" w:hAnsi="Times New Roman" w:cs="Times New Roman"/>
          <w:color w:val="000000"/>
          <w:sz w:val="28"/>
          <w:szCs w:val="28"/>
        </w:rPr>
        <w:t>rovide a basis from which such an inference could be drawn.</w:t>
      </w:r>
      <w:r w:rsidR="00CC4DA9" w:rsidRPr="00CC4DA9">
        <w:rPr>
          <w:rFonts w:ascii="Times New Roman" w:hAnsi="Times New Roman" w:cs="Times New Roman"/>
          <w:color w:val="000000"/>
          <w:sz w:val="28"/>
          <w:szCs w:val="28"/>
        </w:rPr>
        <w:t xml:space="preserve"> </w:t>
      </w:r>
    </w:p>
    <w:p w14:paraId="213CB955" w14:textId="24E051A9" w:rsidR="004E4342" w:rsidRPr="004E4342" w:rsidRDefault="002D3342" w:rsidP="0018055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[30]</w:t>
      </w:r>
      <w:r>
        <w:rPr>
          <w:rFonts w:ascii="Times New Roman" w:hAnsi="Times New Roman" w:cs="Times New Roman"/>
          <w:color w:val="000000"/>
          <w:sz w:val="28"/>
          <w:szCs w:val="28"/>
        </w:rPr>
        <w:tab/>
      </w:r>
      <w:r w:rsidR="00940048">
        <w:rPr>
          <w:rFonts w:ascii="Times New Roman" w:hAnsi="Times New Roman" w:cs="Times New Roman"/>
          <w:color w:val="000000"/>
          <w:sz w:val="28"/>
          <w:szCs w:val="28"/>
        </w:rPr>
        <w:t>The</w:t>
      </w:r>
      <w:r w:rsidR="007A0ED4" w:rsidRPr="007A0ED4">
        <w:rPr>
          <w:rFonts w:ascii="Times New Roman" w:hAnsi="Times New Roman" w:cs="Times New Roman"/>
          <w:color w:val="000000"/>
          <w:sz w:val="28"/>
          <w:szCs w:val="28"/>
        </w:rPr>
        <w:t xml:space="preserve"> </w:t>
      </w:r>
      <w:r w:rsidR="00FB6625">
        <w:rPr>
          <w:rFonts w:ascii="Times New Roman" w:hAnsi="Times New Roman" w:cs="Times New Roman"/>
          <w:color w:val="000000"/>
          <w:sz w:val="28"/>
          <w:szCs w:val="28"/>
        </w:rPr>
        <w:t xml:space="preserve">applicants </w:t>
      </w:r>
      <w:r w:rsidR="007A0ED4" w:rsidRPr="007A0ED4">
        <w:rPr>
          <w:rFonts w:ascii="Times New Roman" w:hAnsi="Times New Roman" w:cs="Times New Roman"/>
          <w:color w:val="000000"/>
          <w:sz w:val="28"/>
          <w:szCs w:val="28"/>
        </w:rPr>
        <w:t>cit</w:t>
      </w:r>
      <w:r w:rsidR="007A0ED4">
        <w:rPr>
          <w:rFonts w:ascii="Times New Roman" w:hAnsi="Times New Roman" w:cs="Times New Roman"/>
          <w:color w:val="000000"/>
          <w:sz w:val="28"/>
          <w:szCs w:val="28"/>
        </w:rPr>
        <w:t>e</w:t>
      </w:r>
      <w:r w:rsidR="00F14298">
        <w:rPr>
          <w:rFonts w:ascii="Times New Roman" w:hAnsi="Times New Roman" w:cs="Times New Roman"/>
          <w:color w:val="000000"/>
          <w:sz w:val="28"/>
          <w:szCs w:val="28"/>
        </w:rPr>
        <w:t>d</w:t>
      </w:r>
      <w:r w:rsidR="007A0ED4" w:rsidRPr="007A0ED4">
        <w:rPr>
          <w:rFonts w:ascii="Times New Roman" w:hAnsi="Times New Roman" w:cs="Times New Roman"/>
          <w:color w:val="000000"/>
          <w:sz w:val="28"/>
          <w:szCs w:val="28"/>
        </w:rPr>
        <w:t xml:space="preserve"> </w:t>
      </w:r>
      <w:r w:rsidR="002E6115" w:rsidRPr="002E6115">
        <w:rPr>
          <w:rFonts w:ascii="Times New Roman" w:hAnsi="Times New Roman" w:cs="Times New Roman"/>
          <w:i/>
          <w:iCs/>
          <w:sz w:val="28"/>
          <w:szCs w:val="28"/>
        </w:rPr>
        <w:t>Cameron, De Waal and Wunsch</w:t>
      </w:r>
      <w:r w:rsidR="002E6115" w:rsidRPr="004E4342">
        <w:rPr>
          <w:rFonts w:ascii="Times New Roman" w:hAnsi="Times New Roman" w:cs="Times New Roman"/>
          <w:i/>
          <w:iCs/>
          <w:color w:val="000000"/>
          <w:sz w:val="28"/>
          <w:szCs w:val="28"/>
        </w:rPr>
        <w:t xml:space="preserve"> </w:t>
      </w:r>
      <w:r w:rsidR="007A0ED4" w:rsidRPr="004E4342">
        <w:rPr>
          <w:rFonts w:ascii="Times New Roman" w:hAnsi="Times New Roman" w:cs="Times New Roman"/>
          <w:i/>
          <w:iCs/>
          <w:color w:val="000000"/>
          <w:sz w:val="28"/>
          <w:szCs w:val="28"/>
        </w:rPr>
        <w:t>Honore</w:t>
      </w:r>
      <w:r w:rsidR="007A0ED4">
        <w:rPr>
          <w:rStyle w:val="FootnoteReference"/>
          <w:rFonts w:ascii="Times New Roman" w:hAnsi="Times New Roman" w:cs="Times New Roman"/>
          <w:color w:val="000000"/>
          <w:sz w:val="28"/>
          <w:szCs w:val="28"/>
        </w:rPr>
        <w:footnoteReference w:id="4"/>
      </w:r>
      <w:r w:rsidR="007A0ED4" w:rsidRPr="007A0ED4">
        <w:rPr>
          <w:rFonts w:ascii="Times New Roman" w:hAnsi="Times New Roman" w:cs="Times New Roman"/>
          <w:color w:val="000000"/>
          <w:sz w:val="28"/>
          <w:szCs w:val="28"/>
        </w:rPr>
        <w:t xml:space="preserve"> </w:t>
      </w:r>
      <w:r w:rsidR="007A0ED4">
        <w:rPr>
          <w:rFonts w:ascii="Times New Roman" w:hAnsi="Times New Roman" w:cs="Times New Roman"/>
          <w:color w:val="000000"/>
          <w:sz w:val="28"/>
          <w:szCs w:val="28"/>
        </w:rPr>
        <w:t xml:space="preserve">and contend </w:t>
      </w:r>
      <w:r w:rsidR="007A0ED4" w:rsidRPr="007A0ED4">
        <w:rPr>
          <w:rFonts w:ascii="Times New Roman" w:hAnsi="Times New Roman" w:cs="Times New Roman"/>
          <w:color w:val="000000"/>
          <w:sz w:val="28"/>
          <w:szCs w:val="28"/>
        </w:rPr>
        <w:t xml:space="preserve">that the Act is silent on exactly when </w:t>
      </w:r>
      <w:r w:rsidR="007A0ED4">
        <w:rPr>
          <w:rFonts w:ascii="Times New Roman" w:hAnsi="Times New Roman" w:cs="Times New Roman"/>
          <w:color w:val="000000"/>
          <w:sz w:val="28"/>
          <w:szCs w:val="28"/>
        </w:rPr>
        <w:t xml:space="preserve">a </w:t>
      </w:r>
      <w:r w:rsidR="007A0ED4" w:rsidRPr="007A0ED4">
        <w:rPr>
          <w:rFonts w:ascii="Times New Roman" w:hAnsi="Times New Roman" w:cs="Times New Roman"/>
          <w:color w:val="000000"/>
          <w:sz w:val="28"/>
          <w:szCs w:val="28"/>
        </w:rPr>
        <w:t>resignation</w:t>
      </w:r>
      <w:r w:rsidR="007A0ED4">
        <w:rPr>
          <w:rFonts w:ascii="Times New Roman" w:hAnsi="Times New Roman" w:cs="Times New Roman"/>
          <w:color w:val="000000"/>
          <w:sz w:val="28"/>
          <w:szCs w:val="28"/>
        </w:rPr>
        <w:t xml:space="preserve"> of a Trustee</w:t>
      </w:r>
      <w:r w:rsidR="007A0ED4" w:rsidRPr="007A0ED4">
        <w:rPr>
          <w:rFonts w:ascii="Times New Roman" w:hAnsi="Times New Roman" w:cs="Times New Roman"/>
          <w:color w:val="000000"/>
          <w:sz w:val="28"/>
          <w:szCs w:val="28"/>
        </w:rPr>
        <w:t xml:space="preserve"> </w:t>
      </w:r>
      <w:r w:rsidR="006A2096">
        <w:rPr>
          <w:rFonts w:ascii="Times New Roman" w:hAnsi="Times New Roman" w:cs="Times New Roman"/>
          <w:color w:val="000000"/>
          <w:sz w:val="28"/>
          <w:szCs w:val="28"/>
        </w:rPr>
        <w:t xml:space="preserve">takes effect. </w:t>
      </w:r>
      <w:r w:rsidR="007A0ED4" w:rsidRPr="007A0ED4">
        <w:rPr>
          <w:rFonts w:ascii="Times New Roman" w:hAnsi="Times New Roman" w:cs="Times New Roman"/>
          <w:color w:val="000000"/>
          <w:sz w:val="28"/>
          <w:szCs w:val="28"/>
        </w:rPr>
        <w:t xml:space="preserve"> The author</w:t>
      </w:r>
      <w:r w:rsidR="006A2096">
        <w:rPr>
          <w:rFonts w:ascii="Times New Roman" w:hAnsi="Times New Roman" w:cs="Times New Roman"/>
          <w:color w:val="000000"/>
          <w:sz w:val="28"/>
          <w:szCs w:val="28"/>
        </w:rPr>
        <w:t>s</w:t>
      </w:r>
      <w:r w:rsidR="007A0ED4" w:rsidRPr="007A0ED4">
        <w:rPr>
          <w:rFonts w:ascii="Times New Roman" w:hAnsi="Times New Roman" w:cs="Times New Roman"/>
          <w:color w:val="000000"/>
          <w:sz w:val="28"/>
          <w:szCs w:val="28"/>
        </w:rPr>
        <w:t xml:space="preserve"> refer to </w:t>
      </w:r>
      <w:r w:rsidR="004E4342">
        <w:rPr>
          <w:rFonts w:ascii="Times New Roman" w:hAnsi="Times New Roman" w:cs="Times New Roman"/>
          <w:color w:val="000000"/>
          <w:sz w:val="28"/>
          <w:szCs w:val="28"/>
        </w:rPr>
        <w:t xml:space="preserve">the decision of the court in </w:t>
      </w:r>
      <w:proofErr w:type="spellStart"/>
      <w:r w:rsidR="007A0ED4" w:rsidRPr="007A0ED4">
        <w:rPr>
          <w:rFonts w:ascii="Times New Roman" w:hAnsi="Times New Roman" w:cs="Times New Roman"/>
          <w:i/>
          <w:iCs/>
          <w:color w:val="000000"/>
          <w:sz w:val="28"/>
          <w:szCs w:val="28"/>
        </w:rPr>
        <w:t>Soekoe</w:t>
      </w:r>
      <w:proofErr w:type="spellEnd"/>
      <w:r w:rsidR="007A0ED4" w:rsidRPr="007A0ED4">
        <w:rPr>
          <w:rFonts w:ascii="Times New Roman" w:hAnsi="Times New Roman" w:cs="Times New Roman"/>
          <w:i/>
          <w:iCs/>
          <w:color w:val="000000"/>
          <w:sz w:val="28"/>
          <w:szCs w:val="28"/>
        </w:rPr>
        <w:t xml:space="preserve"> NO v Le Roux</w:t>
      </w:r>
      <w:r w:rsidR="004E4342">
        <w:rPr>
          <w:rStyle w:val="FootnoteReference"/>
          <w:rFonts w:ascii="Times New Roman" w:hAnsi="Times New Roman" w:cs="Times New Roman"/>
          <w:i/>
          <w:iCs/>
          <w:color w:val="000000"/>
          <w:sz w:val="28"/>
          <w:szCs w:val="28"/>
        </w:rPr>
        <w:footnoteReference w:id="5"/>
      </w:r>
      <w:r w:rsidR="007A0ED4" w:rsidRPr="007A0ED4">
        <w:rPr>
          <w:rFonts w:ascii="Times New Roman" w:hAnsi="Times New Roman" w:cs="Times New Roman"/>
          <w:color w:val="000000"/>
          <w:sz w:val="28"/>
          <w:szCs w:val="28"/>
        </w:rPr>
        <w:t xml:space="preserve"> </w:t>
      </w:r>
      <w:r w:rsidR="004E4342">
        <w:rPr>
          <w:rFonts w:ascii="Times New Roman" w:hAnsi="Times New Roman" w:cs="Times New Roman"/>
          <w:color w:val="000000"/>
          <w:sz w:val="28"/>
          <w:szCs w:val="28"/>
        </w:rPr>
        <w:t xml:space="preserve">which </w:t>
      </w:r>
      <w:r w:rsidR="007A0ED4" w:rsidRPr="007A0ED4">
        <w:rPr>
          <w:rFonts w:ascii="Times New Roman" w:hAnsi="Times New Roman" w:cs="Times New Roman"/>
          <w:color w:val="000000"/>
          <w:sz w:val="28"/>
          <w:szCs w:val="28"/>
        </w:rPr>
        <w:t xml:space="preserve">held that </w:t>
      </w:r>
      <w:r w:rsidR="004E4342">
        <w:rPr>
          <w:rFonts w:ascii="Times New Roman" w:hAnsi="Times New Roman" w:cs="Times New Roman"/>
          <w:color w:val="000000"/>
          <w:sz w:val="28"/>
          <w:szCs w:val="28"/>
        </w:rPr>
        <w:t xml:space="preserve">a </w:t>
      </w:r>
      <w:r w:rsidR="004E4342" w:rsidRPr="007A0ED4">
        <w:rPr>
          <w:rFonts w:ascii="Times New Roman" w:hAnsi="Times New Roman" w:cs="Times New Roman"/>
          <w:color w:val="000000"/>
          <w:sz w:val="28"/>
          <w:szCs w:val="28"/>
        </w:rPr>
        <w:t>resignation</w:t>
      </w:r>
      <w:r w:rsidR="007A0ED4" w:rsidRPr="007A0ED4">
        <w:rPr>
          <w:rFonts w:ascii="Times New Roman" w:hAnsi="Times New Roman" w:cs="Times New Roman"/>
          <w:color w:val="000000"/>
          <w:sz w:val="28"/>
          <w:szCs w:val="28"/>
        </w:rPr>
        <w:t xml:space="preserve"> </w:t>
      </w:r>
      <w:r w:rsidR="004E4342">
        <w:rPr>
          <w:rFonts w:ascii="Times New Roman" w:hAnsi="Times New Roman" w:cs="Times New Roman"/>
          <w:color w:val="000000"/>
          <w:sz w:val="28"/>
          <w:szCs w:val="28"/>
        </w:rPr>
        <w:t xml:space="preserve">of a Trustee </w:t>
      </w:r>
      <w:r w:rsidR="007A0ED4" w:rsidRPr="007A0ED4">
        <w:rPr>
          <w:rFonts w:ascii="Times New Roman" w:hAnsi="Times New Roman" w:cs="Times New Roman"/>
          <w:color w:val="000000"/>
          <w:sz w:val="28"/>
          <w:szCs w:val="28"/>
        </w:rPr>
        <w:t xml:space="preserve">only </w:t>
      </w:r>
      <w:r w:rsidR="00080E67">
        <w:rPr>
          <w:rFonts w:ascii="Times New Roman" w:hAnsi="Times New Roman" w:cs="Times New Roman"/>
          <w:color w:val="000000"/>
          <w:sz w:val="28"/>
          <w:szCs w:val="28"/>
        </w:rPr>
        <w:t xml:space="preserve">takes </w:t>
      </w:r>
      <w:r w:rsidR="007A0ED4" w:rsidRPr="007A0ED4">
        <w:rPr>
          <w:rFonts w:ascii="Times New Roman" w:hAnsi="Times New Roman" w:cs="Times New Roman"/>
          <w:color w:val="000000"/>
          <w:sz w:val="28"/>
          <w:szCs w:val="28"/>
        </w:rPr>
        <w:t xml:space="preserve">effect when the </w:t>
      </w:r>
      <w:r w:rsidR="006A2096">
        <w:rPr>
          <w:rFonts w:ascii="Times New Roman" w:hAnsi="Times New Roman" w:cs="Times New Roman"/>
          <w:color w:val="000000"/>
          <w:sz w:val="28"/>
          <w:szCs w:val="28"/>
        </w:rPr>
        <w:t xml:space="preserve">Master appoints </w:t>
      </w:r>
      <w:r w:rsidR="00794353">
        <w:rPr>
          <w:rFonts w:ascii="Times New Roman" w:hAnsi="Times New Roman" w:cs="Times New Roman"/>
          <w:color w:val="000000"/>
          <w:sz w:val="28"/>
          <w:szCs w:val="28"/>
        </w:rPr>
        <w:t>a</w:t>
      </w:r>
      <w:r w:rsidR="008C620A">
        <w:rPr>
          <w:rFonts w:ascii="Times New Roman" w:hAnsi="Times New Roman" w:cs="Times New Roman"/>
          <w:color w:val="000000"/>
          <w:sz w:val="28"/>
          <w:szCs w:val="28"/>
        </w:rPr>
        <w:t xml:space="preserve"> </w:t>
      </w:r>
      <w:r w:rsidR="008C620A" w:rsidRPr="007A0ED4">
        <w:rPr>
          <w:rFonts w:ascii="Times New Roman" w:hAnsi="Times New Roman" w:cs="Times New Roman"/>
          <w:color w:val="000000"/>
          <w:sz w:val="28"/>
          <w:szCs w:val="28"/>
        </w:rPr>
        <w:t>replace</w:t>
      </w:r>
      <w:r w:rsidR="00794353">
        <w:rPr>
          <w:rFonts w:ascii="Times New Roman" w:hAnsi="Times New Roman" w:cs="Times New Roman"/>
          <w:color w:val="000000"/>
          <w:sz w:val="28"/>
          <w:szCs w:val="28"/>
        </w:rPr>
        <w:t xml:space="preserve">ment of </w:t>
      </w:r>
      <w:r w:rsidR="007A0ED4" w:rsidRPr="007A0ED4">
        <w:rPr>
          <w:rFonts w:ascii="Times New Roman" w:hAnsi="Times New Roman" w:cs="Times New Roman"/>
          <w:color w:val="000000"/>
          <w:sz w:val="28"/>
          <w:szCs w:val="28"/>
        </w:rPr>
        <w:t xml:space="preserve">his or her successor. </w:t>
      </w:r>
      <w:r w:rsidR="004E4342" w:rsidRPr="004E4342">
        <w:rPr>
          <w:rFonts w:ascii="Times New Roman" w:hAnsi="Times New Roman" w:cs="Times New Roman"/>
          <w:color w:val="000000"/>
          <w:sz w:val="28"/>
          <w:szCs w:val="28"/>
        </w:rPr>
        <w:t>The</w:t>
      </w:r>
      <w:r w:rsidR="004E4342">
        <w:rPr>
          <w:rFonts w:ascii="Times New Roman" w:hAnsi="Times New Roman" w:cs="Times New Roman"/>
          <w:color w:val="000000"/>
          <w:sz w:val="28"/>
          <w:szCs w:val="28"/>
        </w:rPr>
        <w:t xml:space="preserve"> author</w:t>
      </w:r>
      <w:r w:rsidR="0091605E">
        <w:rPr>
          <w:rFonts w:ascii="Times New Roman" w:hAnsi="Times New Roman" w:cs="Times New Roman"/>
          <w:color w:val="000000"/>
          <w:sz w:val="28"/>
          <w:szCs w:val="28"/>
        </w:rPr>
        <w:t>s</w:t>
      </w:r>
      <w:r w:rsidR="004E4342">
        <w:rPr>
          <w:rFonts w:ascii="Times New Roman" w:hAnsi="Times New Roman" w:cs="Times New Roman"/>
          <w:color w:val="000000"/>
          <w:sz w:val="28"/>
          <w:szCs w:val="28"/>
        </w:rPr>
        <w:t xml:space="preserve"> </w:t>
      </w:r>
      <w:r w:rsidR="00E523FC">
        <w:rPr>
          <w:rFonts w:ascii="Times New Roman" w:hAnsi="Times New Roman" w:cs="Times New Roman"/>
          <w:color w:val="000000"/>
          <w:sz w:val="28"/>
          <w:szCs w:val="28"/>
        </w:rPr>
        <w:t xml:space="preserve">also </w:t>
      </w:r>
      <w:r w:rsidR="004E4342" w:rsidRPr="004E4342">
        <w:rPr>
          <w:rFonts w:ascii="Times New Roman" w:hAnsi="Times New Roman" w:cs="Times New Roman"/>
          <w:color w:val="000000"/>
          <w:sz w:val="28"/>
          <w:szCs w:val="28"/>
        </w:rPr>
        <w:t>point</w:t>
      </w:r>
      <w:r w:rsidR="0091605E">
        <w:rPr>
          <w:rFonts w:ascii="Times New Roman" w:hAnsi="Times New Roman" w:cs="Times New Roman"/>
          <w:color w:val="000000"/>
          <w:sz w:val="28"/>
          <w:szCs w:val="28"/>
        </w:rPr>
        <w:t xml:space="preserve"> </w:t>
      </w:r>
      <w:r w:rsidR="004E4342" w:rsidRPr="004E4342">
        <w:rPr>
          <w:rFonts w:ascii="Times New Roman" w:hAnsi="Times New Roman" w:cs="Times New Roman"/>
          <w:color w:val="000000"/>
          <w:sz w:val="28"/>
          <w:szCs w:val="28"/>
        </w:rPr>
        <w:t xml:space="preserve">to </w:t>
      </w:r>
      <w:r w:rsidR="00810E69">
        <w:rPr>
          <w:rFonts w:ascii="Times New Roman" w:hAnsi="Times New Roman" w:cs="Times New Roman"/>
          <w:color w:val="000000"/>
          <w:sz w:val="28"/>
          <w:szCs w:val="28"/>
        </w:rPr>
        <w:t xml:space="preserve">the </w:t>
      </w:r>
      <w:r w:rsidR="004E4342" w:rsidRPr="004E4342">
        <w:rPr>
          <w:rFonts w:ascii="Times New Roman" w:hAnsi="Times New Roman" w:cs="Times New Roman"/>
          <w:color w:val="000000"/>
          <w:sz w:val="28"/>
          <w:szCs w:val="28"/>
        </w:rPr>
        <w:t xml:space="preserve">decision in </w:t>
      </w:r>
      <w:r w:rsidR="004E4342" w:rsidRPr="004E4342">
        <w:rPr>
          <w:rFonts w:ascii="Times New Roman" w:hAnsi="Times New Roman" w:cs="Times New Roman"/>
          <w:i/>
          <w:iCs/>
          <w:color w:val="000000"/>
          <w:sz w:val="28"/>
          <w:szCs w:val="28"/>
        </w:rPr>
        <w:t xml:space="preserve">Meijer NO v </w:t>
      </w:r>
      <w:proofErr w:type="spellStart"/>
      <w:r w:rsidR="004E4342" w:rsidRPr="004E4342">
        <w:rPr>
          <w:rFonts w:ascii="Times New Roman" w:hAnsi="Times New Roman" w:cs="Times New Roman"/>
          <w:i/>
          <w:iCs/>
          <w:color w:val="000000"/>
          <w:sz w:val="28"/>
          <w:szCs w:val="28"/>
        </w:rPr>
        <w:t>Firstrand</w:t>
      </w:r>
      <w:proofErr w:type="spellEnd"/>
      <w:r w:rsidR="004E4342" w:rsidRPr="004E4342">
        <w:rPr>
          <w:rFonts w:ascii="Times New Roman" w:hAnsi="Times New Roman" w:cs="Times New Roman"/>
          <w:i/>
          <w:iCs/>
          <w:color w:val="000000"/>
          <w:sz w:val="28"/>
          <w:szCs w:val="28"/>
        </w:rPr>
        <w:t xml:space="preserve"> Bank Ltd</w:t>
      </w:r>
      <w:r w:rsidR="004E4342">
        <w:rPr>
          <w:rStyle w:val="FootnoteReference"/>
          <w:rFonts w:ascii="Times New Roman" w:hAnsi="Times New Roman" w:cs="Times New Roman"/>
          <w:i/>
          <w:iCs/>
          <w:color w:val="000000"/>
          <w:sz w:val="28"/>
          <w:szCs w:val="28"/>
        </w:rPr>
        <w:footnoteReference w:id="6"/>
      </w:r>
      <w:r w:rsidR="004E4342" w:rsidRPr="004E4342">
        <w:rPr>
          <w:rFonts w:ascii="Times New Roman" w:hAnsi="Times New Roman" w:cs="Times New Roman"/>
          <w:color w:val="000000"/>
          <w:sz w:val="28"/>
          <w:szCs w:val="28"/>
        </w:rPr>
        <w:t xml:space="preserve">, </w:t>
      </w:r>
      <w:r w:rsidR="00810E69">
        <w:rPr>
          <w:rFonts w:ascii="Times New Roman" w:hAnsi="Times New Roman" w:cs="Times New Roman"/>
          <w:color w:val="000000"/>
          <w:sz w:val="28"/>
          <w:szCs w:val="28"/>
        </w:rPr>
        <w:t>which s</w:t>
      </w:r>
      <w:r w:rsidR="004E4342" w:rsidRPr="004E4342">
        <w:rPr>
          <w:rFonts w:ascii="Times New Roman" w:hAnsi="Times New Roman" w:cs="Times New Roman"/>
          <w:color w:val="000000"/>
          <w:sz w:val="28"/>
          <w:szCs w:val="28"/>
        </w:rPr>
        <w:t>uggest</w:t>
      </w:r>
      <w:r w:rsidR="00810E69">
        <w:rPr>
          <w:rFonts w:ascii="Times New Roman" w:hAnsi="Times New Roman" w:cs="Times New Roman"/>
          <w:color w:val="000000"/>
          <w:sz w:val="28"/>
          <w:szCs w:val="28"/>
        </w:rPr>
        <w:t xml:space="preserve">s </w:t>
      </w:r>
      <w:r w:rsidR="004E4342" w:rsidRPr="004E4342">
        <w:rPr>
          <w:rFonts w:ascii="Times New Roman" w:hAnsi="Times New Roman" w:cs="Times New Roman"/>
          <w:color w:val="000000"/>
          <w:sz w:val="28"/>
          <w:szCs w:val="28"/>
        </w:rPr>
        <w:t xml:space="preserve">an alternative approach </w:t>
      </w:r>
      <w:r w:rsidR="00810E69">
        <w:rPr>
          <w:rFonts w:ascii="Times New Roman" w:hAnsi="Times New Roman" w:cs="Times New Roman"/>
          <w:color w:val="000000"/>
          <w:sz w:val="28"/>
          <w:szCs w:val="28"/>
        </w:rPr>
        <w:t xml:space="preserve">to </w:t>
      </w:r>
      <w:proofErr w:type="spellStart"/>
      <w:r w:rsidR="004E4342" w:rsidRPr="004E4342">
        <w:rPr>
          <w:rFonts w:ascii="Times New Roman" w:hAnsi="Times New Roman" w:cs="Times New Roman"/>
          <w:i/>
          <w:iCs/>
          <w:color w:val="000000"/>
          <w:sz w:val="28"/>
          <w:szCs w:val="28"/>
        </w:rPr>
        <w:t>Soekoe</w:t>
      </w:r>
      <w:proofErr w:type="spellEnd"/>
      <w:r w:rsidR="004E4342" w:rsidRPr="004E4342">
        <w:rPr>
          <w:rFonts w:ascii="Times New Roman" w:hAnsi="Times New Roman" w:cs="Times New Roman"/>
          <w:color w:val="000000"/>
          <w:sz w:val="28"/>
          <w:szCs w:val="28"/>
        </w:rPr>
        <w:t xml:space="preserve"> </w:t>
      </w:r>
      <w:r w:rsidR="00810E69">
        <w:rPr>
          <w:rFonts w:ascii="Times New Roman" w:hAnsi="Times New Roman" w:cs="Times New Roman"/>
          <w:color w:val="000000"/>
          <w:sz w:val="28"/>
          <w:szCs w:val="28"/>
        </w:rPr>
        <w:t xml:space="preserve">on grounds that </w:t>
      </w:r>
      <w:proofErr w:type="spellStart"/>
      <w:r w:rsidR="00E523FC" w:rsidRPr="004E4342">
        <w:rPr>
          <w:rFonts w:ascii="Times New Roman" w:hAnsi="Times New Roman" w:cs="Times New Roman"/>
          <w:i/>
          <w:iCs/>
          <w:color w:val="000000"/>
          <w:sz w:val="28"/>
          <w:szCs w:val="28"/>
        </w:rPr>
        <w:t>Soekoe</w:t>
      </w:r>
      <w:proofErr w:type="spellEnd"/>
      <w:r w:rsidR="00E523FC">
        <w:rPr>
          <w:rFonts w:ascii="Times New Roman" w:hAnsi="Times New Roman" w:cs="Times New Roman"/>
          <w:color w:val="000000"/>
          <w:sz w:val="28"/>
          <w:szCs w:val="28"/>
        </w:rPr>
        <w:t xml:space="preserve"> </w:t>
      </w:r>
      <w:r w:rsidR="004E4342" w:rsidRPr="004E4342">
        <w:rPr>
          <w:rFonts w:ascii="Times New Roman" w:hAnsi="Times New Roman" w:cs="Times New Roman"/>
          <w:color w:val="000000"/>
          <w:sz w:val="28"/>
          <w:szCs w:val="28"/>
        </w:rPr>
        <w:t xml:space="preserve">could lead to 'hardship'. </w:t>
      </w:r>
      <w:r w:rsidR="00810E69">
        <w:rPr>
          <w:rFonts w:ascii="Times New Roman" w:hAnsi="Times New Roman" w:cs="Times New Roman"/>
          <w:color w:val="000000"/>
          <w:sz w:val="28"/>
          <w:szCs w:val="28"/>
        </w:rPr>
        <w:t xml:space="preserve">It is proposed that </w:t>
      </w:r>
      <w:r w:rsidR="004E4342" w:rsidRPr="004E4342">
        <w:rPr>
          <w:rFonts w:ascii="Times New Roman" w:hAnsi="Times New Roman" w:cs="Times New Roman"/>
          <w:color w:val="000000"/>
          <w:sz w:val="28"/>
          <w:szCs w:val="28"/>
        </w:rPr>
        <w:t xml:space="preserve">a </w:t>
      </w:r>
      <w:r w:rsidR="004E4342" w:rsidRPr="004E4342">
        <w:rPr>
          <w:rFonts w:ascii="Times New Roman" w:hAnsi="Times New Roman" w:cs="Times New Roman"/>
          <w:color w:val="000000"/>
          <w:sz w:val="28"/>
          <w:szCs w:val="28"/>
        </w:rPr>
        <w:lastRenderedPageBreak/>
        <w:t xml:space="preserve">resignation in terms of </w:t>
      </w:r>
      <w:r w:rsidR="006C2CCD" w:rsidRPr="004E4342">
        <w:rPr>
          <w:rFonts w:ascii="Times New Roman" w:hAnsi="Times New Roman" w:cs="Times New Roman"/>
          <w:color w:val="000000"/>
          <w:sz w:val="28"/>
          <w:szCs w:val="28"/>
        </w:rPr>
        <w:t>s</w:t>
      </w:r>
      <w:r w:rsidR="006C2CCD">
        <w:rPr>
          <w:rFonts w:ascii="Times New Roman" w:hAnsi="Times New Roman" w:cs="Times New Roman"/>
          <w:color w:val="000000"/>
          <w:sz w:val="28"/>
          <w:szCs w:val="28"/>
        </w:rPr>
        <w:t>ection</w:t>
      </w:r>
      <w:r w:rsidR="004E4342" w:rsidRPr="004E4342">
        <w:rPr>
          <w:rFonts w:ascii="Times New Roman" w:hAnsi="Times New Roman" w:cs="Times New Roman"/>
          <w:color w:val="000000"/>
          <w:sz w:val="28"/>
          <w:szCs w:val="28"/>
        </w:rPr>
        <w:t xml:space="preserve"> 21 of the Act</w:t>
      </w:r>
      <w:r w:rsidR="0016407C">
        <w:rPr>
          <w:rStyle w:val="FootnoteReference"/>
          <w:rFonts w:ascii="Times New Roman" w:hAnsi="Times New Roman" w:cs="Times New Roman"/>
          <w:color w:val="000000"/>
          <w:sz w:val="28"/>
          <w:szCs w:val="28"/>
        </w:rPr>
        <w:footnoteReference w:id="7"/>
      </w:r>
      <w:r w:rsidR="004E4342" w:rsidRPr="004E4342">
        <w:rPr>
          <w:rFonts w:ascii="Times New Roman" w:hAnsi="Times New Roman" w:cs="Times New Roman"/>
          <w:color w:val="000000"/>
          <w:sz w:val="28"/>
          <w:szCs w:val="28"/>
        </w:rPr>
        <w:t xml:space="preserve"> </w:t>
      </w:r>
      <w:r w:rsidR="00810E69">
        <w:rPr>
          <w:rFonts w:ascii="Times New Roman" w:hAnsi="Times New Roman" w:cs="Times New Roman"/>
          <w:color w:val="000000"/>
          <w:sz w:val="28"/>
          <w:szCs w:val="28"/>
        </w:rPr>
        <w:t>‘</w:t>
      </w:r>
      <w:r w:rsidR="004E4342" w:rsidRPr="004E4342">
        <w:rPr>
          <w:rFonts w:ascii="Times New Roman" w:hAnsi="Times New Roman" w:cs="Times New Roman"/>
          <w:color w:val="000000"/>
          <w:sz w:val="28"/>
          <w:szCs w:val="28"/>
        </w:rPr>
        <w:t>should take effect not only upon it being shown that the written notice was sent to the Master and the ascertained beneficiaries, but upon acknowledgement by the Master of the receipt thereof'.</w:t>
      </w:r>
    </w:p>
    <w:p w14:paraId="0ECFE5E9" w14:textId="316B7C96" w:rsidR="00C75108" w:rsidRDefault="00810E69" w:rsidP="00953AA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18477F">
        <w:rPr>
          <w:rFonts w:ascii="Times New Roman" w:hAnsi="Times New Roman" w:cs="Times New Roman"/>
          <w:color w:val="000000"/>
          <w:sz w:val="28"/>
          <w:szCs w:val="28"/>
        </w:rPr>
        <w:t>31</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B63F41">
        <w:rPr>
          <w:rFonts w:ascii="Times New Roman" w:hAnsi="Times New Roman" w:cs="Times New Roman"/>
          <w:color w:val="000000"/>
          <w:sz w:val="28"/>
          <w:szCs w:val="28"/>
        </w:rPr>
        <w:t xml:space="preserve">Bearing in mind that the issues </w:t>
      </w:r>
      <w:proofErr w:type="spellStart"/>
      <w:r w:rsidR="00857182" w:rsidRPr="00BC18E9">
        <w:rPr>
          <w:rFonts w:ascii="Times New Roman" w:hAnsi="Times New Roman" w:cs="Times New Roman"/>
          <w:color w:val="000000"/>
          <w:sz w:val="28"/>
          <w:szCs w:val="28"/>
        </w:rPr>
        <w:t>Floxifor</w:t>
      </w:r>
      <w:proofErr w:type="spellEnd"/>
      <w:r w:rsidR="00857182">
        <w:rPr>
          <w:rFonts w:ascii="Times New Roman" w:hAnsi="Times New Roman" w:cs="Times New Roman"/>
          <w:color w:val="000000"/>
          <w:sz w:val="28"/>
          <w:szCs w:val="28"/>
        </w:rPr>
        <w:t xml:space="preserve"> complains of </w:t>
      </w:r>
      <w:r w:rsidR="002C000B">
        <w:rPr>
          <w:rFonts w:ascii="Times New Roman" w:hAnsi="Times New Roman" w:cs="Times New Roman"/>
          <w:color w:val="000000"/>
          <w:sz w:val="28"/>
          <w:szCs w:val="28"/>
        </w:rPr>
        <w:t xml:space="preserve">fall in the realm of </w:t>
      </w:r>
      <w:r w:rsidR="00E03E82">
        <w:rPr>
          <w:rFonts w:ascii="Times New Roman" w:hAnsi="Times New Roman" w:cs="Times New Roman"/>
          <w:color w:val="000000"/>
          <w:sz w:val="28"/>
          <w:szCs w:val="28"/>
        </w:rPr>
        <w:t>the i</w:t>
      </w:r>
      <w:r w:rsidR="002C000B">
        <w:rPr>
          <w:rFonts w:ascii="Times New Roman" w:hAnsi="Times New Roman" w:cs="Times New Roman"/>
          <w:color w:val="000000"/>
          <w:sz w:val="28"/>
          <w:szCs w:val="28"/>
        </w:rPr>
        <w:t>n</w:t>
      </w:r>
      <w:r w:rsidR="00FB5A83">
        <w:rPr>
          <w:rFonts w:ascii="Times New Roman" w:hAnsi="Times New Roman" w:cs="Times New Roman"/>
          <w:color w:val="000000"/>
          <w:sz w:val="28"/>
          <w:szCs w:val="28"/>
        </w:rPr>
        <w:t xml:space="preserve">ternal </w:t>
      </w:r>
      <w:r w:rsidR="002C000B">
        <w:rPr>
          <w:rFonts w:ascii="Times New Roman" w:hAnsi="Times New Roman" w:cs="Times New Roman"/>
          <w:color w:val="000000"/>
          <w:sz w:val="28"/>
          <w:szCs w:val="28"/>
        </w:rPr>
        <w:t>aff</w:t>
      </w:r>
      <w:r w:rsidR="0031041F">
        <w:rPr>
          <w:rFonts w:ascii="Times New Roman" w:hAnsi="Times New Roman" w:cs="Times New Roman"/>
          <w:color w:val="000000"/>
          <w:sz w:val="28"/>
          <w:szCs w:val="28"/>
        </w:rPr>
        <w:t>airs of the Trust, t</w:t>
      </w:r>
      <w:r w:rsidR="00B207E2">
        <w:rPr>
          <w:rFonts w:ascii="Times New Roman" w:hAnsi="Times New Roman" w:cs="Times New Roman"/>
          <w:color w:val="000000"/>
          <w:sz w:val="28"/>
          <w:szCs w:val="28"/>
        </w:rPr>
        <w:t>here are simply no facts before the Court to show when the resignation was communicated to the Master</w:t>
      </w:r>
      <w:r w:rsidR="0031041F">
        <w:rPr>
          <w:rFonts w:ascii="Times New Roman" w:hAnsi="Times New Roman" w:cs="Times New Roman"/>
          <w:color w:val="000000"/>
          <w:sz w:val="28"/>
          <w:szCs w:val="28"/>
        </w:rPr>
        <w:t xml:space="preserve"> and the beneficiaries</w:t>
      </w:r>
      <w:r w:rsidR="00695AC0">
        <w:rPr>
          <w:rFonts w:ascii="Times New Roman" w:hAnsi="Times New Roman" w:cs="Times New Roman"/>
          <w:color w:val="000000"/>
          <w:sz w:val="28"/>
          <w:szCs w:val="28"/>
        </w:rPr>
        <w:t>, and whe</w:t>
      </w:r>
      <w:r w:rsidR="009D5EB4">
        <w:rPr>
          <w:rFonts w:ascii="Times New Roman" w:hAnsi="Times New Roman" w:cs="Times New Roman"/>
          <w:color w:val="000000"/>
          <w:sz w:val="28"/>
          <w:szCs w:val="28"/>
        </w:rPr>
        <w:t xml:space="preserve">n </w:t>
      </w:r>
      <w:r w:rsidR="003A50C4">
        <w:rPr>
          <w:rFonts w:ascii="Times New Roman" w:hAnsi="Times New Roman" w:cs="Times New Roman"/>
          <w:color w:val="000000"/>
          <w:sz w:val="28"/>
          <w:szCs w:val="28"/>
        </w:rPr>
        <w:t>Mr Fourie’s</w:t>
      </w:r>
      <w:r w:rsidR="009D5EB4">
        <w:rPr>
          <w:rFonts w:ascii="Times New Roman" w:hAnsi="Times New Roman" w:cs="Times New Roman"/>
          <w:color w:val="000000"/>
          <w:sz w:val="28"/>
          <w:szCs w:val="28"/>
        </w:rPr>
        <w:t xml:space="preserve"> written authority to act as </w:t>
      </w:r>
      <w:r w:rsidR="003A50C4">
        <w:rPr>
          <w:rFonts w:ascii="Times New Roman" w:hAnsi="Times New Roman" w:cs="Times New Roman"/>
          <w:color w:val="000000"/>
          <w:sz w:val="28"/>
          <w:szCs w:val="28"/>
        </w:rPr>
        <w:t>a Trustee w</w:t>
      </w:r>
      <w:r w:rsidR="009D5EB4">
        <w:rPr>
          <w:rFonts w:ascii="Times New Roman" w:hAnsi="Times New Roman" w:cs="Times New Roman"/>
          <w:color w:val="000000"/>
          <w:sz w:val="28"/>
          <w:szCs w:val="28"/>
        </w:rPr>
        <w:t xml:space="preserve">as </w:t>
      </w:r>
      <w:r w:rsidR="00237F17">
        <w:rPr>
          <w:rFonts w:ascii="Times New Roman" w:hAnsi="Times New Roman" w:cs="Times New Roman"/>
          <w:color w:val="000000"/>
          <w:sz w:val="28"/>
          <w:szCs w:val="28"/>
        </w:rPr>
        <w:t>returned to the Master.</w:t>
      </w:r>
      <w:r w:rsidR="00BE3628">
        <w:rPr>
          <w:rFonts w:ascii="Times New Roman" w:hAnsi="Times New Roman" w:cs="Times New Roman"/>
          <w:color w:val="000000"/>
          <w:sz w:val="28"/>
          <w:szCs w:val="28"/>
        </w:rPr>
        <w:t xml:space="preserve"> I</w:t>
      </w:r>
      <w:r w:rsidR="00237F17">
        <w:rPr>
          <w:rFonts w:ascii="Times New Roman" w:hAnsi="Times New Roman" w:cs="Times New Roman"/>
          <w:color w:val="000000"/>
          <w:sz w:val="28"/>
          <w:szCs w:val="28"/>
        </w:rPr>
        <w:t>mportan</w:t>
      </w:r>
      <w:r w:rsidR="00AD72BC">
        <w:rPr>
          <w:rFonts w:ascii="Times New Roman" w:hAnsi="Times New Roman" w:cs="Times New Roman"/>
          <w:color w:val="000000"/>
          <w:sz w:val="28"/>
          <w:szCs w:val="28"/>
        </w:rPr>
        <w:t>t</w:t>
      </w:r>
      <w:r w:rsidR="00237F17">
        <w:rPr>
          <w:rFonts w:ascii="Times New Roman" w:hAnsi="Times New Roman" w:cs="Times New Roman"/>
          <w:color w:val="000000"/>
          <w:sz w:val="28"/>
          <w:szCs w:val="28"/>
        </w:rPr>
        <w:t xml:space="preserve">ly, </w:t>
      </w:r>
      <w:r w:rsidR="00250B1D">
        <w:rPr>
          <w:rFonts w:ascii="Times New Roman" w:hAnsi="Times New Roman" w:cs="Times New Roman"/>
          <w:color w:val="000000"/>
          <w:sz w:val="28"/>
          <w:szCs w:val="28"/>
        </w:rPr>
        <w:t>because</w:t>
      </w:r>
      <w:r w:rsidR="00237F17">
        <w:rPr>
          <w:rFonts w:ascii="Times New Roman" w:hAnsi="Times New Roman" w:cs="Times New Roman"/>
          <w:color w:val="000000"/>
          <w:sz w:val="28"/>
          <w:szCs w:val="28"/>
        </w:rPr>
        <w:t xml:space="preserve"> </w:t>
      </w:r>
      <w:r w:rsidR="00250B1D">
        <w:rPr>
          <w:rFonts w:ascii="Times New Roman" w:hAnsi="Times New Roman" w:cs="Times New Roman"/>
          <w:color w:val="000000"/>
          <w:sz w:val="28"/>
          <w:szCs w:val="28"/>
        </w:rPr>
        <w:t xml:space="preserve">of what </w:t>
      </w:r>
      <w:r w:rsidR="00237F17">
        <w:rPr>
          <w:rFonts w:ascii="Times New Roman" w:hAnsi="Times New Roman" w:cs="Times New Roman"/>
          <w:color w:val="000000"/>
          <w:sz w:val="28"/>
          <w:szCs w:val="28"/>
        </w:rPr>
        <w:t>follow</w:t>
      </w:r>
      <w:r w:rsidR="00250B1D">
        <w:rPr>
          <w:rFonts w:ascii="Times New Roman" w:hAnsi="Times New Roman" w:cs="Times New Roman"/>
          <w:color w:val="000000"/>
          <w:sz w:val="28"/>
          <w:szCs w:val="28"/>
        </w:rPr>
        <w:t>s</w:t>
      </w:r>
      <w:r w:rsidR="00237F17">
        <w:rPr>
          <w:rFonts w:ascii="Times New Roman" w:hAnsi="Times New Roman" w:cs="Times New Roman"/>
          <w:color w:val="000000"/>
          <w:sz w:val="28"/>
          <w:szCs w:val="28"/>
        </w:rPr>
        <w:t xml:space="preserve">, I find that it is </w:t>
      </w:r>
      <w:r w:rsidR="001237B7">
        <w:rPr>
          <w:rFonts w:ascii="Times New Roman" w:hAnsi="Times New Roman" w:cs="Times New Roman"/>
          <w:color w:val="000000"/>
          <w:sz w:val="28"/>
          <w:szCs w:val="28"/>
        </w:rPr>
        <w:t>n</w:t>
      </w:r>
      <w:r w:rsidR="00873F02">
        <w:rPr>
          <w:rFonts w:ascii="Times New Roman" w:hAnsi="Times New Roman" w:cs="Times New Roman"/>
          <w:color w:val="000000"/>
          <w:sz w:val="28"/>
          <w:szCs w:val="28"/>
        </w:rPr>
        <w:t>ot n</w:t>
      </w:r>
      <w:r w:rsidR="001237B7">
        <w:rPr>
          <w:rFonts w:ascii="Times New Roman" w:hAnsi="Times New Roman" w:cs="Times New Roman"/>
          <w:color w:val="000000"/>
          <w:sz w:val="28"/>
          <w:szCs w:val="28"/>
        </w:rPr>
        <w:t>ecessary</w:t>
      </w:r>
      <w:r w:rsidR="00953AAF">
        <w:rPr>
          <w:rFonts w:ascii="Times New Roman" w:hAnsi="Times New Roman" w:cs="Times New Roman"/>
          <w:color w:val="000000"/>
          <w:sz w:val="28"/>
          <w:szCs w:val="28"/>
        </w:rPr>
        <w:t xml:space="preserve"> to </w:t>
      </w:r>
      <w:r w:rsidR="00873F02">
        <w:rPr>
          <w:rFonts w:ascii="Times New Roman" w:hAnsi="Times New Roman" w:cs="Times New Roman"/>
          <w:color w:val="000000"/>
          <w:sz w:val="28"/>
          <w:szCs w:val="28"/>
        </w:rPr>
        <w:t xml:space="preserve">determine this issue </w:t>
      </w:r>
      <w:r w:rsidR="00E03E82">
        <w:rPr>
          <w:rFonts w:ascii="Times New Roman" w:hAnsi="Times New Roman" w:cs="Times New Roman"/>
          <w:color w:val="000000"/>
          <w:sz w:val="28"/>
          <w:szCs w:val="28"/>
        </w:rPr>
        <w:t xml:space="preserve">in the substitution application. </w:t>
      </w:r>
    </w:p>
    <w:p w14:paraId="249C72C4" w14:textId="32B08B1E" w:rsidR="00953AAF" w:rsidRDefault="00C75108" w:rsidP="00953AA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Reverting </w:t>
      </w:r>
      <w:r w:rsidR="00953AAF">
        <w:rPr>
          <w:rFonts w:ascii="Times New Roman" w:hAnsi="Times New Roman" w:cs="Times New Roman"/>
          <w:color w:val="000000"/>
          <w:sz w:val="28"/>
          <w:szCs w:val="28"/>
        </w:rPr>
        <w:t xml:space="preserve">to </w:t>
      </w:r>
      <w:r w:rsidR="004210EF">
        <w:rPr>
          <w:rFonts w:ascii="Times New Roman" w:hAnsi="Times New Roman" w:cs="Times New Roman"/>
          <w:color w:val="000000"/>
          <w:sz w:val="28"/>
          <w:szCs w:val="28"/>
        </w:rPr>
        <w:t>the subject of th</w:t>
      </w:r>
      <w:r w:rsidR="00DF6916">
        <w:rPr>
          <w:rFonts w:ascii="Times New Roman" w:hAnsi="Times New Roman" w:cs="Times New Roman"/>
          <w:color w:val="000000"/>
          <w:sz w:val="28"/>
          <w:szCs w:val="28"/>
        </w:rPr>
        <w:t>e</w:t>
      </w:r>
      <w:r w:rsidR="004210EF">
        <w:rPr>
          <w:rFonts w:ascii="Times New Roman" w:hAnsi="Times New Roman" w:cs="Times New Roman"/>
          <w:color w:val="000000"/>
          <w:sz w:val="28"/>
          <w:szCs w:val="28"/>
        </w:rPr>
        <w:t xml:space="preserve"> application, </w:t>
      </w:r>
      <w:r w:rsidR="00953AAF">
        <w:rPr>
          <w:rFonts w:ascii="Times New Roman" w:hAnsi="Times New Roman" w:cs="Times New Roman"/>
          <w:color w:val="000000"/>
          <w:sz w:val="28"/>
          <w:szCs w:val="28"/>
        </w:rPr>
        <w:t xml:space="preserve">Rule </w:t>
      </w:r>
      <w:proofErr w:type="gramStart"/>
      <w:r w:rsidR="00953AAF">
        <w:rPr>
          <w:rFonts w:ascii="Times New Roman" w:hAnsi="Times New Roman" w:cs="Times New Roman"/>
          <w:color w:val="000000"/>
          <w:sz w:val="28"/>
          <w:szCs w:val="28"/>
        </w:rPr>
        <w:t>15</w:t>
      </w:r>
      <w:proofErr w:type="gramEnd"/>
      <w:r w:rsidR="00953AAF">
        <w:rPr>
          <w:rFonts w:ascii="Times New Roman" w:hAnsi="Times New Roman" w:cs="Times New Roman"/>
          <w:color w:val="000000"/>
          <w:sz w:val="28"/>
          <w:szCs w:val="28"/>
        </w:rPr>
        <w:t xml:space="preserve"> and its purpose</w:t>
      </w:r>
      <w:r w:rsidR="004210EF">
        <w:rPr>
          <w:rFonts w:ascii="Times New Roman" w:hAnsi="Times New Roman" w:cs="Times New Roman"/>
          <w:color w:val="000000"/>
          <w:sz w:val="28"/>
          <w:szCs w:val="28"/>
        </w:rPr>
        <w:t xml:space="preserve"> - </w:t>
      </w:r>
      <w:r>
        <w:rPr>
          <w:rFonts w:ascii="Times New Roman" w:hAnsi="Times New Roman" w:cs="Times New Roman"/>
          <w:color w:val="000000"/>
          <w:sz w:val="28"/>
          <w:szCs w:val="28"/>
        </w:rPr>
        <w:t>states in the</w:t>
      </w:r>
      <w:r w:rsidR="00953AAF">
        <w:rPr>
          <w:rFonts w:ascii="Times New Roman" w:hAnsi="Times New Roman" w:cs="Times New Roman"/>
          <w:color w:val="000000"/>
          <w:sz w:val="28"/>
          <w:szCs w:val="28"/>
        </w:rPr>
        <w:t xml:space="preserve"> relevant parts that: </w:t>
      </w:r>
      <w:r w:rsidR="00953AAF" w:rsidRPr="0005472F">
        <w:rPr>
          <w:rFonts w:ascii="Times New Roman" w:hAnsi="Times New Roman" w:cs="Times New Roman"/>
          <w:color w:val="000000"/>
          <w:sz w:val="28"/>
          <w:szCs w:val="28"/>
        </w:rPr>
        <w:t xml:space="preserve"> </w:t>
      </w:r>
    </w:p>
    <w:p w14:paraId="20EB85BF" w14:textId="77777777" w:rsidR="00953AAF" w:rsidRDefault="00953AAF" w:rsidP="00953AAF">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Pr="0005472F">
        <w:rPr>
          <w:rFonts w:ascii="Times New Roman" w:hAnsi="Times New Roman" w:cs="Times New Roman"/>
          <w:color w:val="000000"/>
          <w:sz w:val="24"/>
          <w:szCs w:val="24"/>
        </w:rPr>
        <w:t xml:space="preserve">(2) Whenever by reason of an event referred to in subrule (1) it becomes necessary or proper to introduce a further person as a party in such proceedings </w:t>
      </w:r>
      <w:r w:rsidRPr="000905C4">
        <w:rPr>
          <w:rFonts w:ascii="Times New Roman" w:hAnsi="Times New Roman" w:cs="Times New Roman"/>
          <w:color w:val="000000"/>
          <w:sz w:val="24"/>
          <w:szCs w:val="24"/>
        </w:rPr>
        <w:t>(whether in addition to or in substitution for the party to whom such proceedings relate) any party thereto may forthwith by notice to such further person, to every other party and to the registrar</w:t>
      </w:r>
      <w:r w:rsidRPr="0005472F">
        <w:rPr>
          <w:rFonts w:ascii="Times New Roman" w:hAnsi="Times New Roman" w:cs="Times New Roman"/>
          <w:color w:val="000000"/>
          <w:sz w:val="24"/>
          <w:szCs w:val="24"/>
        </w:rPr>
        <w:t>, add or substitute such further person as a party thereto, and subject to any order made under subrule (4) hereof, such proceedings shall thereupon continue in respect of the person thus added or substituted as if he had been a party from the commencement thereof and all steps validly taken before such addition or substitution shall continue of full force and effect</w:t>
      </w:r>
      <w:r>
        <w:rPr>
          <w:rFonts w:ascii="Times New Roman" w:hAnsi="Times New Roman" w:cs="Times New Roman"/>
          <w:color w:val="000000"/>
          <w:sz w:val="24"/>
          <w:szCs w:val="24"/>
        </w:rPr>
        <w:t>….’’</w:t>
      </w:r>
    </w:p>
    <w:p w14:paraId="0676C13D" w14:textId="77777777" w:rsidR="00953AAF" w:rsidRDefault="00953AAF" w:rsidP="00953AAF">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14DFF444" w14:textId="77777777" w:rsidR="00953AAF" w:rsidRPr="0005472F" w:rsidRDefault="00953AAF" w:rsidP="00953AAF">
      <w:pPr>
        <w:spacing w:line="360" w:lineRule="auto"/>
        <w:jc w:val="both"/>
        <w:rPr>
          <w:rFonts w:ascii="Times New Roman" w:hAnsi="Times New Roman" w:cs="Times New Roman"/>
          <w:color w:val="000000"/>
          <w:sz w:val="24"/>
          <w:szCs w:val="24"/>
        </w:rPr>
      </w:pPr>
      <w:r w:rsidRPr="0005472F">
        <w:rPr>
          <w:rFonts w:ascii="Times New Roman" w:hAnsi="Times New Roman" w:cs="Times New Roman"/>
          <w:color w:val="000000"/>
          <w:sz w:val="24"/>
          <w:szCs w:val="24"/>
        </w:rPr>
        <w:t>15 (4) The court may upon a notice of application delivered by any party within 20 days of service of notice in terms of subrule (2) and (3), set aside or vary any addition or substitution of a party thus affected or may dismiss such application or confirm such addition or substitution, on such terms, if any, as to the delivery of any affidavits or pleadings, or as to postponement or adjournment, or as to costs or otherwise, as to it may seem meet.</w:t>
      </w:r>
      <w:r>
        <w:rPr>
          <w:rFonts w:ascii="Times New Roman" w:hAnsi="Times New Roman" w:cs="Times New Roman"/>
          <w:color w:val="000000"/>
          <w:sz w:val="24"/>
          <w:szCs w:val="24"/>
        </w:rPr>
        <w:t>”</w:t>
      </w:r>
    </w:p>
    <w:p w14:paraId="7D28BA95" w14:textId="0823DA23" w:rsidR="00CE61F7" w:rsidRPr="00CE61F7" w:rsidRDefault="00714C07" w:rsidP="00CE61F7">
      <w:pPr>
        <w:spacing w:line="360" w:lineRule="auto"/>
        <w:jc w:val="both"/>
        <w:rPr>
          <w:rFonts w:ascii="Times New Roman" w:eastAsia="Times New Roman" w:hAnsi="Times New Roman" w:cs="Times New Roman"/>
          <w:b/>
          <w:bCs/>
          <w:color w:val="000000"/>
          <w:kern w:val="0"/>
          <w:sz w:val="28"/>
          <w:szCs w:val="28"/>
          <w:lang w:eastAsia="en-ZA"/>
          <w14:ligatures w14:val="none"/>
        </w:rPr>
      </w:pPr>
      <w:r>
        <w:rPr>
          <w:rFonts w:ascii="Times New Roman" w:hAnsi="Times New Roman" w:cs="Times New Roman"/>
          <w:color w:val="000000"/>
          <w:sz w:val="28"/>
          <w:szCs w:val="28"/>
        </w:rPr>
        <w:lastRenderedPageBreak/>
        <w:t>[3</w:t>
      </w:r>
      <w:r w:rsidR="00AC1F49">
        <w:rPr>
          <w:rFonts w:ascii="Times New Roman" w:hAnsi="Times New Roman" w:cs="Times New Roman"/>
          <w:color w:val="000000"/>
          <w:sz w:val="28"/>
          <w:szCs w:val="28"/>
        </w:rPr>
        <w:t>3</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CE61F7" w:rsidRPr="00CE61F7">
        <w:rPr>
          <w:rFonts w:ascii="Times New Roman" w:hAnsi="Times New Roman" w:cs="Times New Roman"/>
          <w:i/>
          <w:iCs/>
          <w:color w:val="000000"/>
          <w:sz w:val="28"/>
          <w:szCs w:val="28"/>
        </w:rPr>
        <w:t>Erasmus</w:t>
      </w:r>
      <w:r w:rsidR="00CE61F7">
        <w:rPr>
          <w:rStyle w:val="FootnoteReference"/>
          <w:rFonts w:ascii="Times New Roman" w:hAnsi="Times New Roman" w:cs="Times New Roman"/>
          <w:i/>
          <w:iCs/>
          <w:color w:val="000000"/>
          <w:sz w:val="28"/>
          <w:szCs w:val="28"/>
        </w:rPr>
        <w:footnoteReference w:id="8"/>
      </w:r>
      <w:r w:rsidR="00CE61F7">
        <w:rPr>
          <w:rFonts w:ascii="Times New Roman" w:hAnsi="Times New Roman" w:cs="Times New Roman"/>
          <w:color w:val="000000"/>
          <w:sz w:val="28"/>
          <w:szCs w:val="28"/>
        </w:rPr>
        <w:t xml:space="preserve"> </w:t>
      </w:r>
      <w:r w:rsidR="004210EF">
        <w:rPr>
          <w:rFonts w:ascii="Times New Roman" w:hAnsi="Times New Roman" w:cs="Times New Roman"/>
          <w:color w:val="000000"/>
          <w:sz w:val="28"/>
          <w:szCs w:val="28"/>
        </w:rPr>
        <w:t>p</w:t>
      </w:r>
      <w:r w:rsidR="002B5BB7">
        <w:rPr>
          <w:rFonts w:ascii="Times New Roman" w:hAnsi="Times New Roman" w:cs="Times New Roman"/>
          <w:color w:val="000000"/>
          <w:sz w:val="28"/>
          <w:szCs w:val="28"/>
        </w:rPr>
        <w:t>o</w:t>
      </w:r>
      <w:r w:rsidR="004210EF">
        <w:rPr>
          <w:rFonts w:ascii="Times New Roman" w:hAnsi="Times New Roman" w:cs="Times New Roman"/>
          <w:color w:val="000000"/>
          <w:sz w:val="28"/>
          <w:szCs w:val="28"/>
        </w:rPr>
        <w:t>in</w:t>
      </w:r>
      <w:r w:rsidR="002B5BB7">
        <w:rPr>
          <w:rFonts w:ascii="Times New Roman" w:hAnsi="Times New Roman" w:cs="Times New Roman"/>
          <w:color w:val="000000"/>
          <w:sz w:val="28"/>
          <w:szCs w:val="28"/>
        </w:rPr>
        <w:t>t</w:t>
      </w:r>
      <w:r w:rsidR="004210EF">
        <w:rPr>
          <w:rFonts w:ascii="Times New Roman" w:hAnsi="Times New Roman" w:cs="Times New Roman"/>
          <w:color w:val="000000"/>
          <w:sz w:val="28"/>
          <w:szCs w:val="28"/>
        </w:rPr>
        <w:t>s out that t</w:t>
      </w:r>
      <w:r w:rsidR="002B5BB7">
        <w:rPr>
          <w:rFonts w:ascii="Times New Roman" w:hAnsi="Times New Roman" w:cs="Times New Roman"/>
          <w:color w:val="000000"/>
          <w:sz w:val="28"/>
          <w:szCs w:val="28"/>
        </w:rPr>
        <w:t xml:space="preserve">he Court has an inherent power to </w:t>
      </w:r>
      <w:r w:rsidR="00CA2051">
        <w:rPr>
          <w:rFonts w:ascii="Times New Roman" w:hAnsi="Times New Roman" w:cs="Times New Roman"/>
          <w:color w:val="000000"/>
          <w:sz w:val="28"/>
          <w:szCs w:val="28"/>
        </w:rPr>
        <w:t>substitute a party</w:t>
      </w:r>
      <w:r w:rsidR="00071992">
        <w:rPr>
          <w:rFonts w:ascii="Times New Roman" w:hAnsi="Times New Roman" w:cs="Times New Roman"/>
          <w:color w:val="000000"/>
          <w:sz w:val="28"/>
          <w:szCs w:val="28"/>
        </w:rPr>
        <w:t>. The purpose of the Ru</w:t>
      </w:r>
      <w:r w:rsidRPr="00CE61F7">
        <w:rPr>
          <w:rFonts w:ascii="Times New Roman" w:hAnsi="Times New Roman" w:cs="Times New Roman"/>
          <w:color w:val="000000"/>
          <w:sz w:val="28"/>
          <w:szCs w:val="28"/>
        </w:rPr>
        <w:t xml:space="preserve">le is </w:t>
      </w:r>
      <w:r w:rsidR="006D7204">
        <w:rPr>
          <w:rFonts w:ascii="Times New Roman" w:hAnsi="Times New Roman" w:cs="Times New Roman"/>
          <w:color w:val="000000"/>
          <w:sz w:val="28"/>
          <w:szCs w:val="28"/>
        </w:rPr>
        <w:t>“</w:t>
      </w:r>
      <w:r w:rsidRPr="00CE61F7">
        <w:rPr>
          <w:rFonts w:ascii="Times New Roman" w:hAnsi="Times New Roman" w:cs="Times New Roman"/>
          <w:color w:val="000000"/>
          <w:sz w:val="28"/>
          <w:szCs w:val="28"/>
        </w:rPr>
        <w:t xml:space="preserve">to simplify the procedure where a party to proceedings has undergone a </w:t>
      </w:r>
      <w:r w:rsidRPr="004210EF">
        <w:rPr>
          <w:rFonts w:ascii="Times New Roman" w:hAnsi="Times New Roman" w:cs="Times New Roman"/>
          <w:color w:val="000000"/>
          <w:sz w:val="28"/>
          <w:szCs w:val="28"/>
        </w:rPr>
        <w:t>change in status</w:t>
      </w:r>
      <w:r w:rsidRPr="00CE61F7">
        <w:rPr>
          <w:rFonts w:ascii="Times New Roman" w:hAnsi="Times New Roman" w:cs="Times New Roman"/>
          <w:color w:val="000000"/>
          <w:sz w:val="28"/>
          <w:szCs w:val="28"/>
        </w:rPr>
        <w:t>.</w:t>
      </w:r>
      <w:r w:rsidR="006D7204">
        <w:rPr>
          <w:rFonts w:ascii="Times New Roman" w:hAnsi="Times New Roman" w:cs="Times New Roman"/>
          <w:color w:val="000000"/>
          <w:sz w:val="28"/>
          <w:szCs w:val="28"/>
        </w:rPr>
        <w:t>”</w:t>
      </w:r>
      <w:r w:rsidR="00CE61F7">
        <w:rPr>
          <w:rFonts w:ascii="Times New Roman" w:hAnsi="Times New Roman" w:cs="Times New Roman"/>
          <w:color w:val="000000"/>
          <w:sz w:val="28"/>
          <w:szCs w:val="28"/>
        </w:rPr>
        <w:t xml:space="preserve"> Dealing with the approach to subst</w:t>
      </w:r>
      <w:r w:rsidR="008A24BE">
        <w:rPr>
          <w:rFonts w:ascii="Times New Roman" w:hAnsi="Times New Roman" w:cs="Times New Roman"/>
          <w:color w:val="000000"/>
          <w:sz w:val="28"/>
          <w:szCs w:val="28"/>
        </w:rPr>
        <w:t>itu</w:t>
      </w:r>
      <w:r w:rsidR="00CE61F7">
        <w:rPr>
          <w:rFonts w:ascii="Times New Roman" w:hAnsi="Times New Roman" w:cs="Times New Roman"/>
          <w:color w:val="000000"/>
          <w:sz w:val="28"/>
          <w:szCs w:val="28"/>
        </w:rPr>
        <w:t xml:space="preserve">tion, the Court in </w:t>
      </w:r>
      <w:proofErr w:type="spellStart"/>
      <w:r w:rsidR="00CE61F7" w:rsidRPr="00CE61F7">
        <w:rPr>
          <w:rFonts w:ascii="Times New Roman" w:hAnsi="Times New Roman" w:cs="Times New Roman"/>
          <w:i/>
          <w:iCs/>
          <w:color w:val="000000"/>
          <w:sz w:val="28"/>
          <w:szCs w:val="28"/>
        </w:rPr>
        <w:t>Tecmed</w:t>
      </w:r>
      <w:proofErr w:type="spellEnd"/>
      <w:r w:rsidR="00CE61F7" w:rsidRPr="00CE61F7">
        <w:rPr>
          <w:rFonts w:ascii="Times New Roman" w:hAnsi="Times New Roman" w:cs="Times New Roman"/>
          <w:i/>
          <w:iCs/>
          <w:color w:val="000000"/>
          <w:sz w:val="28"/>
          <w:szCs w:val="28"/>
        </w:rPr>
        <w:t xml:space="preserve"> (Pty) Ltd and Others v Nissho Iwai Corporation and Another</w:t>
      </w:r>
      <w:r w:rsidR="00CE61F7">
        <w:rPr>
          <w:rStyle w:val="FootnoteReference"/>
          <w:rFonts w:ascii="Times New Roman" w:hAnsi="Times New Roman" w:cs="Times New Roman"/>
          <w:i/>
          <w:iCs/>
          <w:color w:val="000000"/>
          <w:sz w:val="28"/>
          <w:szCs w:val="28"/>
        </w:rPr>
        <w:footnoteReference w:id="9"/>
      </w:r>
      <w:r w:rsidR="00CE61F7">
        <w:rPr>
          <w:rFonts w:ascii="Times New Roman" w:hAnsi="Times New Roman" w:cs="Times New Roman"/>
          <w:color w:val="000000"/>
          <w:sz w:val="28"/>
          <w:szCs w:val="28"/>
        </w:rPr>
        <w:t xml:space="preserve"> </w:t>
      </w:r>
      <w:r w:rsidR="004210EF">
        <w:rPr>
          <w:rFonts w:ascii="Times New Roman" w:hAnsi="Times New Roman" w:cs="Times New Roman"/>
          <w:color w:val="000000"/>
          <w:sz w:val="28"/>
          <w:szCs w:val="28"/>
        </w:rPr>
        <w:t xml:space="preserve">stated </w:t>
      </w:r>
      <w:r w:rsidR="00CE61F7">
        <w:rPr>
          <w:rFonts w:ascii="Times New Roman" w:hAnsi="Times New Roman" w:cs="Times New Roman"/>
          <w:color w:val="000000"/>
          <w:sz w:val="28"/>
          <w:szCs w:val="28"/>
        </w:rPr>
        <w:t xml:space="preserve">that: </w:t>
      </w:r>
    </w:p>
    <w:p w14:paraId="4EB7DA30" w14:textId="5712F613" w:rsidR="00CE61F7" w:rsidRDefault="00CE61F7" w:rsidP="009D5B05">
      <w:pPr>
        <w:spacing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kern w:val="0"/>
          <w:sz w:val="24"/>
          <w:szCs w:val="24"/>
          <w:lang w:eastAsia="en-ZA"/>
          <w14:ligatures w14:val="none"/>
        </w:rPr>
        <w:t>“T</w:t>
      </w:r>
      <w:r w:rsidR="009D5B05" w:rsidRPr="00714C07">
        <w:rPr>
          <w:rFonts w:ascii="Times New Roman" w:eastAsia="Times New Roman" w:hAnsi="Times New Roman" w:cs="Times New Roman"/>
          <w:color w:val="000000"/>
          <w:kern w:val="0"/>
          <w:sz w:val="24"/>
          <w:szCs w:val="24"/>
          <w:lang w:eastAsia="en-ZA"/>
          <w14:ligatures w14:val="none"/>
        </w:rPr>
        <w:t>he court still has that power to grant a substitution o</w:t>
      </w:r>
      <w:r w:rsidR="009D5B05" w:rsidRPr="009D5B05">
        <w:rPr>
          <w:rFonts w:ascii="Times New Roman" w:eastAsia="Times New Roman" w:hAnsi="Times New Roman" w:cs="Times New Roman"/>
          <w:color w:val="000000"/>
          <w:kern w:val="0"/>
          <w:sz w:val="24"/>
          <w:szCs w:val="24"/>
          <w:lang w:eastAsia="en-ZA"/>
          <w14:ligatures w14:val="none"/>
        </w:rPr>
        <w:t>f parties on substantive application where rule 15 does not appl</w:t>
      </w:r>
      <w:r w:rsidR="009D5B05" w:rsidRPr="00714C07">
        <w:rPr>
          <w:rFonts w:ascii="Times New Roman" w:eastAsia="Times New Roman" w:hAnsi="Times New Roman" w:cs="Times New Roman"/>
          <w:color w:val="000000"/>
          <w:kern w:val="0"/>
          <w:sz w:val="24"/>
          <w:szCs w:val="24"/>
          <w:lang w:eastAsia="en-ZA"/>
          <w14:ligatures w14:val="none"/>
        </w:rPr>
        <w:t>y</w:t>
      </w:r>
      <w:r w:rsidR="00714C07" w:rsidRPr="00714C07">
        <w:rPr>
          <w:rFonts w:ascii="Times New Roman" w:eastAsia="Times New Roman" w:hAnsi="Times New Roman" w:cs="Times New Roman"/>
          <w:color w:val="000000"/>
          <w:kern w:val="0"/>
          <w:sz w:val="24"/>
          <w:szCs w:val="24"/>
          <w:lang w:eastAsia="en-ZA"/>
          <w14:ligatures w14:val="none"/>
        </w:rPr>
        <w:t>….</w:t>
      </w:r>
      <w:r w:rsidR="00714C07" w:rsidRPr="00714C07">
        <w:rPr>
          <w:rFonts w:ascii="Verdana" w:hAnsi="Verdana"/>
          <w:color w:val="000000"/>
          <w:sz w:val="24"/>
          <w:szCs w:val="24"/>
        </w:rPr>
        <w:t xml:space="preserve"> </w:t>
      </w:r>
      <w:r w:rsidR="00714C07" w:rsidRPr="00714C07">
        <w:rPr>
          <w:rFonts w:ascii="Times New Roman" w:hAnsi="Times New Roman" w:cs="Times New Roman"/>
          <w:color w:val="000000"/>
          <w:sz w:val="24"/>
          <w:szCs w:val="24"/>
        </w:rPr>
        <w:t xml:space="preserve">The settled approach to matters of this kind follows the considerations in applications for amendments of pleadings. Broadly stated, it means that, </w:t>
      </w:r>
      <w:r w:rsidR="00714C07" w:rsidRPr="000905C4">
        <w:rPr>
          <w:rFonts w:ascii="Times New Roman" w:hAnsi="Times New Roman" w:cs="Times New Roman"/>
          <w:color w:val="000000"/>
          <w:sz w:val="24"/>
          <w:szCs w:val="24"/>
        </w:rPr>
        <w:t>in the absence of any prejudice to the other side, these applications are usually granted</w:t>
      </w:r>
      <w:r w:rsidRPr="000905C4">
        <w:rPr>
          <w:rFonts w:ascii="Times New Roman" w:hAnsi="Times New Roman" w:cs="Times New Roman"/>
          <w:color w:val="000000"/>
          <w:sz w:val="24"/>
          <w:szCs w:val="24"/>
        </w:rPr>
        <w:t>…</w:t>
      </w:r>
    </w:p>
    <w:p w14:paraId="052DA1FA" w14:textId="10D670B2" w:rsidR="009D5B05" w:rsidRPr="00CE61F7" w:rsidRDefault="00CE61F7" w:rsidP="009D5B05">
      <w:pPr>
        <w:spacing w:line="360" w:lineRule="auto"/>
        <w:jc w:val="both"/>
        <w:rPr>
          <w:rFonts w:ascii="Times New Roman" w:eastAsia="Times New Roman" w:hAnsi="Times New Roman" w:cs="Times New Roman"/>
          <w:color w:val="000000"/>
          <w:kern w:val="0"/>
          <w:sz w:val="24"/>
          <w:szCs w:val="24"/>
          <w:lang w:eastAsia="en-ZA"/>
          <w14:ligatures w14:val="none"/>
        </w:rPr>
      </w:pPr>
      <w:r w:rsidRPr="00CE61F7">
        <w:rPr>
          <w:rFonts w:ascii="Times New Roman" w:hAnsi="Times New Roman" w:cs="Times New Roman"/>
          <w:color w:val="000000"/>
          <w:sz w:val="24"/>
          <w:szCs w:val="24"/>
        </w:rPr>
        <w:t>The risk of prejudice will usually be less in the case where the correct party has been incorrectly named and the amendment is sought to correct the misnomer, than in the case where it is sought to substitute a different party. But the criterion remains the same: will the substitution cause prejudice to the other side, which cannot be remedied by an order for costs or some other suitable order, such as a postponement.</w:t>
      </w:r>
      <w:r w:rsidR="009D5B05" w:rsidRPr="00CE61F7">
        <w:rPr>
          <w:rFonts w:ascii="Times New Roman" w:eastAsia="Times New Roman" w:hAnsi="Times New Roman" w:cs="Times New Roman"/>
          <w:color w:val="000000"/>
          <w:kern w:val="0"/>
          <w:sz w:val="24"/>
          <w:szCs w:val="24"/>
          <w:lang w:eastAsia="en-ZA"/>
          <w14:ligatures w14:val="none"/>
        </w:rPr>
        <w:t>”</w:t>
      </w:r>
    </w:p>
    <w:p w14:paraId="369D22C4" w14:textId="52A6879E" w:rsidR="00CA60C0" w:rsidRDefault="00435954" w:rsidP="009D5B0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[35]</w:t>
      </w:r>
      <w:r w:rsidRPr="00435954">
        <w:rPr>
          <w:rFonts w:ascii="Times New Roman" w:hAnsi="Times New Roman" w:cs="Times New Roman"/>
          <w:color w:val="000000"/>
          <w:sz w:val="28"/>
          <w:szCs w:val="28"/>
        </w:rPr>
        <w:tab/>
      </w:r>
      <w:r w:rsidR="00CF5A2E">
        <w:rPr>
          <w:rFonts w:ascii="Times New Roman" w:hAnsi="Times New Roman" w:cs="Times New Roman"/>
          <w:color w:val="000000"/>
          <w:sz w:val="28"/>
          <w:szCs w:val="28"/>
        </w:rPr>
        <w:t>Subject to prejudice</w:t>
      </w:r>
      <w:r w:rsidR="00E03E82">
        <w:rPr>
          <w:rFonts w:ascii="Times New Roman" w:hAnsi="Times New Roman" w:cs="Times New Roman"/>
          <w:color w:val="000000"/>
          <w:sz w:val="28"/>
          <w:szCs w:val="28"/>
        </w:rPr>
        <w:t xml:space="preserve"> to the other party</w:t>
      </w:r>
      <w:r w:rsidR="00CF5A2E">
        <w:rPr>
          <w:rFonts w:ascii="Times New Roman" w:hAnsi="Times New Roman" w:cs="Times New Roman"/>
          <w:color w:val="000000"/>
          <w:sz w:val="28"/>
          <w:szCs w:val="28"/>
        </w:rPr>
        <w:t xml:space="preserve">, the court will adopt a benevolent approach to the </w:t>
      </w:r>
      <w:r w:rsidR="00DF6916">
        <w:rPr>
          <w:rFonts w:ascii="Times New Roman" w:hAnsi="Times New Roman" w:cs="Times New Roman"/>
          <w:color w:val="000000"/>
          <w:sz w:val="28"/>
          <w:szCs w:val="28"/>
        </w:rPr>
        <w:t>substitution</w:t>
      </w:r>
      <w:r w:rsidR="00AA1688">
        <w:rPr>
          <w:rFonts w:ascii="Times New Roman" w:hAnsi="Times New Roman" w:cs="Times New Roman"/>
          <w:color w:val="000000"/>
          <w:sz w:val="28"/>
          <w:szCs w:val="28"/>
        </w:rPr>
        <w:t xml:space="preserve">. </w:t>
      </w:r>
      <w:r w:rsidR="00CF5A2E">
        <w:rPr>
          <w:rFonts w:ascii="Times New Roman" w:hAnsi="Times New Roman" w:cs="Times New Roman"/>
          <w:color w:val="000000"/>
          <w:sz w:val="28"/>
          <w:szCs w:val="28"/>
        </w:rPr>
        <w:t xml:space="preserve"> </w:t>
      </w:r>
      <w:r w:rsidR="004210EF">
        <w:rPr>
          <w:rFonts w:ascii="Times New Roman" w:hAnsi="Times New Roman" w:cs="Times New Roman"/>
          <w:color w:val="000000"/>
          <w:sz w:val="28"/>
          <w:szCs w:val="28"/>
        </w:rPr>
        <w:t>I</w:t>
      </w:r>
      <w:r w:rsidRPr="00435954">
        <w:rPr>
          <w:rFonts w:ascii="Times New Roman" w:hAnsi="Times New Roman" w:cs="Times New Roman"/>
          <w:color w:val="000000"/>
          <w:sz w:val="28"/>
          <w:szCs w:val="28"/>
        </w:rPr>
        <w:t xml:space="preserve">n </w:t>
      </w:r>
      <w:proofErr w:type="spellStart"/>
      <w:r w:rsidRPr="00435954">
        <w:rPr>
          <w:rFonts w:ascii="Times New Roman" w:hAnsi="Times New Roman" w:cs="Times New Roman"/>
          <w:i/>
          <w:iCs/>
          <w:color w:val="000000"/>
          <w:sz w:val="28"/>
          <w:szCs w:val="28"/>
        </w:rPr>
        <w:t>Lupacchini</w:t>
      </w:r>
      <w:proofErr w:type="spellEnd"/>
      <w:r w:rsidRPr="00435954">
        <w:rPr>
          <w:rFonts w:ascii="Times New Roman" w:hAnsi="Times New Roman" w:cs="Times New Roman"/>
          <w:i/>
          <w:iCs/>
          <w:color w:val="000000"/>
          <w:sz w:val="28"/>
          <w:szCs w:val="28"/>
        </w:rPr>
        <w:t xml:space="preserve"> NO</w:t>
      </w:r>
      <w:r w:rsidR="001237B7">
        <w:rPr>
          <w:rStyle w:val="FootnoteReference"/>
          <w:rFonts w:ascii="Times New Roman" w:hAnsi="Times New Roman" w:cs="Times New Roman"/>
          <w:i/>
          <w:iCs/>
          <w:color w:val="000000"/>
          <w:sz w:val="28"/>
          <w:szCs w:val="28"/>
        </w:rPr>
        <w:footnoteReference w:id="10"/>
      </w:r>
      <w:r w:rsidRPr="00435954">
        <w:rPr>
          <w:rFonts w:ascii="Times New Roman" w:hAnsi="Times New Roman" w:cs="Times New Roman"/>
          <w:i/>
          <w:iCs/>
          <w:color w:val="000000"/>
          <w:sz w:val="28"/>
          <w:szCs w:val="28"/>
        </w:rPr>
        <w:t xml:space="preserve">, </w:t>
      </w:r>
      <w:r w:rsidRPr="0064459D">
        <w:rPr>
          <w:rFonts w:ascii="Times New Roman" w:hAnsi="Times New Roman" w:cs="Times New Roman"/>
          <w:color w:val="000000"/>
          <w:sz w:val="28"/>
          <w:szCs w:val="28"/>
        </w:rPr>
        <w:t xml:space="preserve">a decision referred to by </w:t>
      </w:r>
      <w:proofErr w:type="spellStart"/>
      <w:r w:rsidRPr="0064459D">
        <w:rPr>
          <w:rFonts w:ascii="Times New Roman" w:hAnsi="Times New Roman" w:cs="Times New Roman"/>
          <w:color w:val="000000"/>
          <w:sz w:val="28"/>
          <w:szCs w:val="28"/>
        </w:rPr>
        <w:t>Floxifor</w:t>
      </w:r>
      <w:proofErr w:type="spellEnd"/>
      <w:r w:rsidRPr="004210EF">
        <w:rPr>
          <w:rFonts w:ascii="Times New Roman" w:hAnsi="Times New Roman" w:cs="Times New Roman"/>
          <w:color w:val="000000"/>
          <w:sz w:val="28"/>
          <w:szCs w:val="28"/>
        </w:rPr>
        <w:t xml:space="preserve">, </w:t>
      </w:r>
      <w:r w:rsidR="004210EF" w:rsidRPr="004210EF">
        <w:rPr>
          <w:rFonts w:ascii="Times New Roman" w:hAnsi="Times New Roman" w:cs="Times New Roman"/>
          <w:color w:val="000000"/>
          <w:sz w:val="28"/>
          <w:szCs w:val="28"/>
        </w:rPr>
        <w:t xml:space="preserve">the Court makes it clear that </w:t>
      </w:r>
      <w:r w:rsidRPr="004210EF">
        <w:rPr>
          <w:rFonts w:ascii="Times New Roman" w:hAnsi="Times New Roman" w:cs="Times New Roman"/>
          <w:color w:val="000000"/>
          <w:sz w:val="28"/>
          <w:szCs w:val="28"/>
        </w:rPr>
        <w:t xml:space="preserve">a </w:t>
      </w:r>
      <w:r w:rsidR="00AA1688" w:rsidRPr="004210EF">
        <w:rPr>
          <w:rFonts w:ascii="Times New Roman" w:hAnsi="Times New Roman" w:cs="Times New Roman"/>
          <w:color w:val="000000"/>
          <w:sz w:val="28"/>
          <w:szCs w:val="28"/>
        </w:rPr>
        <w:t xml:space="preserve">Trust </w:t>
      </w:r>
      <w:r w:rsidRPr="004210EF">
        <w:rPr>
          <w:rFonts w:ascii="Times New Roman" w:hAnsi="Times New Roman" w:cs="Times New Roman"/>
          <w:color w:val="000000"/>
          <w:sz w:val="28"/>
          <w:szCs w:val="28"/>
        </w:rPr>
        <w:t>is not a legal person, but “a legal relationship of a</w:t>
      </w:r>
      <w:r w:rsidRPr="00435954">
        <w:rPr>
          <w:rFonts w:ascii="Times New Roman" w:hAnsi="Times New Roman" w:cs="Times New Roman"/>
          <w:color w:val="000000"/>
          <w:sz w:val="28"/>
          <w:szCs w:val="28"/>
        </w:rPr>
        <w:t xml:space="preserve"> special kind</w:t>
      </w:r>
      <w:r>
        <w:rPr>
          <w:rFonts w:ascii="Times New Roman" w:hAnsi="Times New Roman" w:cs="Times New Roman"/>
          <w:color w:val="000000"/>
          <w:sz w:val="28"/>
          <w:szCs w:val="28"/>
        </w:rPr>
        <w:t>…</w:t>
      </w:r>
      <w:r w:rsidRPr="00435954">
        <w:rPr>
          <w:rFonts w:ascii="Times New Roman" w:hAnsi="Times New Roman" w:cs="Times New Roman"/>
          <w:color w:val="000000"/>
          <w:sz w:val="28"/>
          <w:szCs w:val="28"/>
        </w:rPr>
        <w:t>in which a person, the trustee, subject to public supervision, holds or administers property separately from his or her own, for the benefit of another person or persons or for the furtherance of a charitable or other purpose.</w:t>
      </w:r>
      <w:r>
        <w:rPr>
          <w:rFonts w:ascii="Times New Roman" w:hAnsi="Times New Roman" w:cs="Times New Roman"/>
          <w:color w:val="000000"/>
          <w:sz w:val="28"/>
          <w:szCs w:val="28"/>
        </w:rPr>
        <w:t>”</w:t>
      </w:r>
      <w:r w:rsidR="001237B7">
        <w:rPr>
          <w:rFonts w:ascii="Times New Roman" w:hAnsi="Times New Roman" w:cs="Times New Roman"/>
          <w:color w:val="000000"/>
          <w:sz w:val="28"/>
          <w:szCs w:val="28"/>
        </w:rPr>
        <w:t xml:space="preserve"> </w:t>
      </w:r>
    </w:p>
    <w:p w14:paraId="0FBC614B" w14:textId="60AA3899" w:rsidR="00DF6916" w:rsidRDefault="008F04A9" w:rsidP="00DF6916">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[36]</w:t>
      </w:r>
      <w:r>
        <w:rPr>
          <w:rFonts w:ascii="Times New Roman" w:hAnsi="Times New Roman" w:cs="Times New Roman"/>
          <w:color w:val="000000"/>
          <w:sz w:val="28"/>
          <w:szCs w:val="28"/>
        </w:rPr>
        <w:tab/>
      </w:r>
      <w:r w:rsidR="00DF6916">
        <w:rPr>
          <w:rFonts w:ascii="Times New Roman" w:hAnsi="Times New Roman" w:cs="Times New Roman"/>
          <w:color w:val="000000"/>
          <w:sz w:val="28"/>
          <w:szCs w:val="28"/>
        </w:rPr>
        <w:t>It is indeed so that the Trust “v</w:t>
      </w:r>
      <w:r w:rsidR="00DF6916" w:rsidRPr="001237B7">
        <w:rPr>
          <w:rFonts w:ascii="Times New Roman" w:hAnsi="Times New Roman" w:cs="Times New Roman"/>
          <w:color w:val="000000"/>
          <w:sz w:val="28"/>
          <w:szCs w:val="28"/>
        </w:rPr>
        <w:t>ests in the trustees and must be administered by them — and it is only through the trustees, specified as in the trust instrument, that the trust can act</w:t>
      </w:r>
      <w:r w:rsidR="00DF6916">
        <w:rPr>
          <w:rFonts w:ascii="Times New Roman" w:hAnsi="Times New Roman" w:cs="Times New Roman"/>
          <w:color w:val="000000"/>
          <w:sz w:val="28"/>
          <w:szCs w:val="28"/>
        </w:rPr>
        <w:t>.”</w:t>
      </w:r>
      <w:r w:rsidR="00DF6916">
        <w:rPr>
          <w:rStyle w:val="FootnoteReference"/>
          <w:rFonts w:ascii="Times New Roman" w:hAnsi="Times New Roman" w:cs="Times New Roman"/>
          <w:color w:val="000000"/>
          <w:sz w:val="28"/>
          <w:szCs w:val="28"/>
        </w:rPr>
        <w:footnoteReference w:id="11"/>
      </w:r>
      <w:r w:rsidR="00DF6916">
        <w:rPr>
          <w:rFonts w:ascii="Times New Roman" w:hAnsi="Times New Roman" w:cs="Times New Roman"/>
          <w:color w:val="000000"/>
          <w:sz w:val="28"/>
          <w:szCs w:val="28"/>
        </w:rPr>
        <w:t xml:space="preserve"> </w:t>
      </w:r>
      <w:r w:rsidR="00DF6916" w:rsidRPr="003776C2">
        <w:rPr>
          <w:rFonts w:ascii="Times New Roman" w:hAnsi="Times New Roman" w:cs="Times New Roman"/>
          <w:color w:val="000000"/>
          <w:sz w:val="28"/>
          <w:szCs w:val="28"/>
        </w:rPr>
        <w:t xml:space="preserve">The substitution </w:t>
      </w:r>
      <w:r w:rsidR="00DF6916">
        <w:rPr>
          <w:rFonts w:ascii="Times New Roman" w:hAnsi="Times New Roman" w:cs="Times New Roman"/>
          <w:color w:val="000000"/>
          <w:sz w:val="28"/>
          <w:szCs w:val="28"/>
        </w:rPr>
        <w:t xml:space="preserve">sought here </w:t>
      </w:r>
      <w:r w:rsidR="00DF6916" w:rsidRPr="003776C2">
        <w:rPr>
          <w:rFonts w:ascii="Times New Roman" w:hAnsi="Times New Roman" w:cs="Times New Roman"/>
          <w:color w:val="000000"/>
          <w:sz w:val="28"/>
          <w:szCs w:val="28"/>
        </w:rPr>
        <w:t xml:space="preserve">is consequent upon the appointment of the </w:t>
      </w:r>
      <w:r w:rsidR="00DF6916">
        <w:rPr>
          <w:rFonts w:ascii="Times New Roman" w:hAnsi="Times New Roman" w:cs="Times New Roman"/>
          <w:color w:val="000000"/>
          <w:sz w:val="28"/>
          <w:szCs w:val="28"/>
        </w:rPr>
        <w:t xml:space="preserve">new </w:t>
      </w:r>
      <w:r w:rsidR="00DF6916" w:rsidRPr="003776C2">
        <w:rPr>
          <w:rFonts w:ascii="Times New Roman" w:hAnsi="Times New Roman" w:cs="Times New Roman"/>
          <w:color w:val="000000"/>
          <w:sz w:val="28"/>
          <w:szCs w:val="28"/>
        </w:rPr>
        <w:t xml:space="preserve">trustees in terms of the </w:t>
      </w:r>
      <w:r w:rsidR="00DF6916">
        <w:rPr>
          <w:rFonts w:ascii="Times New Roman" w:hAnsi="Times New Roman" w:cs="Times New Roman"/>
          <w:color w:val="000000"/>
          <w:sz w:val="28"/>
          <w:szCs w:val="28"/>
        </w:rPr>
        <w:t>T</w:t>
      </w:r>
      <w:r w:rsidR="00DF6916" w:rsidRPr="003776C2">
        <w:rPr>
          <w:rFonts w:ascii="Times New Roman" w:hAnsi="Times New Roman" w:cs="Times New Roman"/>
          <w:color w:val="000000"/>
          <w:sz w:val="28"/>
          <w:szCs w:val="28"/>
        </w:rPr>
        <w:t xml:space="preserve">rust </w:t>
      </w:r>
      <w:r w:rsidR="00DF6916">
        <w:rPr>
          <w:rFonts w:ascii="Times New Roman" w:hAnsi="Times New Roman" w:cs="Times New Roman"/>
          <w:color w:val="000000"/>
          <w:sz w:val="28"/>
          <w:szCs w:val="28"/>
        </w:rPr>
        <w:t>Deed.</w:t>
      </w:r>
      <w:r w:rsidR="00DF6916" w:rsidRPr="003776C2">
        <w:rPr>
          <w:rFonts w:ascii="Times New Roman" w:hAnsi="Times New Roman" w:cs="Times New Roman"/>
          <w:color w:val="000000"/>
          <w:sz w:val="28"/>
          <w:szCs w:val="28"/>
        </w:rPr>
        <w:t xml:space="preserve"> </w:t>
      </w:r>
      <w:proofErr w:type="spellStart"/>
      <w:r w:rsidR="00DF6916" w:rsidRPr="003776C2">
        <w:rPr>
          <w:rFonts w:ascii="Times New Roman" w:hAnsi="Times New Roman" w:cs="Times New Roman"/>
          <w:color w:val="000000"/>
          <w:sz w:val="28"/>
          <w:szCs w:val="28"/>
        </w:rPr>
        <w:t>Floxifor’s</w:t>
      </w:r>
      <w:proofErr w:type="spellEnd"/>
      <w:r w:rsidR="00DF6916">
        <w:rPr>
          <w:rFonts w:ascii="Times New Roman" w:hAnsi="Times New Roman" w:cs="Times New Roman"/>
          <w:color w:val="000000"/>
          <w:sz w:val="28"/>
          <w:szCs w:val="28"/>
        </w:rPr>
        <w:t xml:space="preserve"> argument </w:t>
      </w:r>
      <w:r w:rsidR="00DF6916">
        <w:rPr>
          <w:rFonts w:ascii="Times New Roman" w:hAnsi="Times New Roman" w:cs="Times New Roman"/>
          <w:color w:val="000000"/>
          <w:sz w:val="28"/>
          <w:szCs w:val="28"/>
        </w:rPr>
        <w:lastRenderedPageBreak/>
        <w:t>disregards the obligations set out in the Trust Deed to assume further Trustees to fill existing vacancies. The argument also overlooks that in the event of a failure in the composition of the Trust, the Master would in law be empowered and obliged to appoint additional trustees in terms of Section 7 of the Act.</w:t>
      </w:r>
      <w:r w:rsidR="00DF6916">
        <w:rPr>
          <w:rStyle w:val="FootnoteReference"/>
          <w:rFonts w:ascii="Times New Roman" w:hAnsi="Times New Roman" w:cs="Times New Roman"/>
          <w:color w:val="000000"/>
          <w:sz w:val="28"/>
          <w:szCs w:val="28"/>
        </w:rPr>
        <w:footnoteReference w:id="12"/>
      </w:r>
      <w:r w:rsidR="00DF6916">
        <w:rPr>
          <w:rFonts w:ascii="Times New Roman" w:hAnsi="Times New Roman" w:cs="Times New Roman"/>
          <w:color w:val="000000"/>
          <w:sz w:val="28"/>
          <w:szCs w:val="28"/>
        </w:rPr>
        <w:t xml:space="preserve"> They would need to be substituted in all the proceedings before the Court. </w:t>
      </w:r>
    </w:p>
    <w:p w14:paraId="308E8C6F" w14:textId="160E8C26" w:rsidR="0090416D" w:rsidRDefault="00DF6916" w:rsidP="008F04A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Pr>
          <w:rFonts w:ascii="Times New Roman" w:hAnsi="Times New Roman" w:cs="Times New Roman"/>
          <w:color w:val="000000"/>
          <w:sz w:val="28"/>
          <w:szCs w:val="28"/>
        </w:rPr>
        <w:tab/>
        <w:t xml:space="preserve">In my view, </w:t>
      </w:r>
      <w:proofErr w:type="spellStart"/>
      <w:r w:rsidR="00C67348">
        <w:rPr>
          <w:rFonts w:ascii="Times New Roman" w:hAnsi="Times New Roman" w:cs="Times New Roman"/>
          <w:color w:val="000000"/>
          <w:sz w:val="28"/>
          <w:szCs w:val="28"/>
        </w:rPr>
        <w:t>F</w:t>
      </w:r>
      <w:r w:rsidR="008F04A9" w:rsidRPr="0064459D">
        <w:rPr>
          <w:rFonts w:ascii="Times New Roman" w:hAnsi="Times New Roman" w:cs="Times New Roman"/>
          <w:color w:val="000000"/>
          <w:sz w:val="28"/>
          <w:szCs w:val="28"/>
        </w:rPr>
        <w:t>loxifor</w:t>
      </w:r>
      <w:proofErr w:type="spellEnd"/>
      <w:r w:rsidR="008F04A9">
        <w:rPr>
          <w:rFonts w:ascii="Times New Roman" w:hAnsi="Times New Roman" w:cs="Times New Roman"/>
          <w:color w:val="000000"/>
          <w:sz w:val="28"/>
          <w:szCs w:val="28"/>
        </w:rPr>
        <w:t xml:space="preserve"> </w:t>
      </w:r>
      <w:r w:rsidR="002161CC">
        <w:rPr>
          <w:rFonts w:ascii="Times New Roman" w:hAnsi="Times New Roman" w:cs="Times New Roman"/>
          <w:color w:val="000000"/>
          <w:sz w:val="28"/>
          <w:szCs w:val="28"/>
        </w:rPr>
        <w:t xml:space="preserve">mischaracterises the </w:t>
      </w:r>
      <w:r w:rsidR="008B6B3D">
        <w:rPr>
          <w:rFonts w:ascii="Times New Roman" w:hAnsi="Times New Roman" w:cs="Times New Roman"/>
          <w:color w:val="000000"/>
          <w:sz w:val="28"/>
          <w:szCs w:val="28"/>
        </w:rPr>
        <w:t xml:space="preserve">right </w:t>
      </w:r>
      <w:r w:rsidR="0090416D">
        <w:rPr>
          <w:rFonts w:ascii="Times New Roman" w:hAnsi="Times New Roman" w:cs="Times New Roman"/>
          <w:color w:val="000000"/>
          <w:sz w:val="28"/>
          <w:szCs w:val="28"/>
        </w:rPr>
        <w:t xml:space="preserve">to substitute and join the newly </w:t>
      </w:r>
      <w:r w:rsidR="007A4C7E">
        <w:rPr>
          <w:rFonts w:ascii="Times New Roman" w:hAnsi="Times New Roman" w:cs="Times New Roman"/>
          <w:color w:val="000000"/>
          <w:sz w:val="28"/>
          <w:szCs w:val="28"/>
        </w:rPr>
        <w:t xml:space="preserve">appointed </w:t>
      </w:r>
      <w:r w:rsidR="00250B1D">
        <w:rPr>
          <w:rFonts w:ascii="Times New Roman" w:hAnsi="Times New Roman" w:cs="Times New Roman"/>
          <w:color w:val="000000"/>
          <w:sz w:val="28"/>
          <w:szCs w:val="28"/>
        </w:rPr>
        <w:t xml:space="preserve">Trustees and conflates it </w:t>
      </w:r>
      <w:r w:rsidR="007B3BED">
        <w:rPr>
          <w:rFonts w:ascii="Times New Roman" w:hAnsi="Times New Roman" w:cs="Times New Roman"/>
          <w:color w:val="000000"/>
          <w:sz w:val="28"/>
          <w:szCs w:val="28"/>
        </w:rPr>
        <w:t xml:space="preserve">with </w:t>
      </w:r>
      <w:r w:rsidR="007A4C7E">
        <w:rPr>
          <w:rFonts w:ascii="Times New Roman" w:hAnsi="Times New Roman" w:cs="Times New Roman"/>
          <w:color w:val="000000"/>
          <w:sz w:val="28"/>
          <w:szCs w:val="28"/>
        </w:rPr>
        <w:t xml:space="preserve">its </w:t>
      </w:r>
      <w:r w:rsidR="007B3BED">
        <w:rPr>
          <w:rFonts w:ascii="Times New Roman" w:hAnsi="Times New Roman" w:cs="Times New Roman"/>
          <w:color w:val="000000"/>
          <w:sz w:val="28"/>
          <w:szCs w:val="28"/>
        </w:rPr>
        <w:t xml:space="preserve">dispute about the absence of authority </w:t>
      </w:r>
      <w:r w:rsidR="004821E3">
        <w:rPr>
          <w:rFonts w:ascii="Times New Roman" w:hAnsi="Times New Roman" w:cs="Times New Roman"/>
          <w:color w:val="000000"/>
          <w:sz w:val="28"/>
          <w:szCs w:val="28"/>
        </w:rPr>
        <w:t>to institute the liquidation appl</w:t>
      </w:r>
      <w:r w:rsidR="007A4C7E">
        <w:rPr>
          <w:rFonts w:ascii="Times New Roman" w:hAnsi="Times New Roman" w:cs="Times New Roman"/>
          <w:color w:val="000000"/>
          <w:sz w:val="28"/>
          <w:szCs w:val="28"/>
        </w:rPr>
        <w:t>i</w:t>
      </w:r>
      <w:r w:rsidR="004821E3">
        <w:rPr>
          <w:rFonts w:ascii="Times New Roman" w:hAnsi="Times New Roman" w:cs="Times New Roman"/>
          <w:color w:val="000000"/>
          <w:sz w:val="28"/>
          <w:szCs w:val="28"/>
        </w:rPr>
        <w:t>cation</w:t>
      </w:r>
      <w:r w:rsidR="00E204D9">
        <w:rPr>
          <w:rFonts w:ascii="Times New Roman" w:hAnsi="Times New Roman" w:cs="Times New Roman"/>
          <w:color w:val="000000"/>
          <w:sz w:val="28"/>
          <w:szCs w:val="28"/>
        </w:rPr>
        <w:t>.</w:t>
      </w:r>
      <w:r w:rsidR="007456F9">
        <w:rPr>
          <w:rFonts w:ascii="Times New Roman" w:hAnsi="Times New Roman" w:cs="Times New Roman"/>
          <w:color w:val="000000"/>
          <w:sz w:val="28"/>
          <w:szCs w:val="28"/>
        </w:rPr>
        <w:t xml:space="preserve"> </w:t>
      </w:r>
      <w:r w:rsidR="0090416D">
        <w:rPr>
          <w:rFonts w:ascii="Times New Roman" w:hAnsi="Times New Roman" w:cs="Times New Roman"/>
          <w:color w:val="000000"/>
          <w:sz w:val="28"/>
          <w:szCs w:val="28"/>
        </w:rPr>
        <w:t xml:space="preserve">First, on the strength of the decision in </w:t>
      </w:r>
      <w:proofErr w:type="spellStart"/>
      <w:r w:rsidR="0090416D" w:rsidRPr="00A00C48">
        <w:rPr>
          <w:rFonts w:ascii="Times New Roman" w:hAnsi="Times New Roman" w:cs="Times New Roman"/>
          <w:i/>
          <w:iCs/>
          <w:color w:val="000000"/>
          <w:sz w:val="28"/>
          <w:szCs w:val="28"/>
        </w:rPr>
        <w:t>Tecmed</w:t>
      </w:r>
      <w:proofErr w:type="spellEnd"/>
      <w:r w:rsidR="0090416D">
        <w:rPr>
          <w:rFonts w:ascii="Times New Roman" w:hAnsi="Times New Roman" w:cs="Times New Roman"/>
          <w:color w:val="000000"/>
          <w:sz w:val="28"/>
          <w:szCs w:val="28"/>
        </w:rPr>
        <w:t xml:space="preserve">, the substitution does not result in a change in the status of the Trust. Secondly, any dispute </w:t>
      </w:r>
      <w:proofErr w:type="spellStart"/>
      <w:r w:rsidR="0090416D">
        <w:rPr>
          <w:rFonts w:ascii="Times New Roman" w:hAnsi="Times New Roman" w:cs="Times New Roman"/>
          <w:color w:val="000000"/>
          <w:sz w:val="28"/>
          <w:szCs w:val="28"/>
        </w:rPr>
        <w:t>Floxifor</w:t>
      </w:r>
      <w:proofErr w:type="spellEnd"/>
      <w:r w:rsidR="0090416D">
        <w:rPr>
          <w:rFonts w:ascii="Times New Roman" w:hAnsi="Times New Roman" w:cs="Times New Roman"/>
          <w:color w:val="000000"/>
          <w:sz w:val="28"/>
          <w:szCs w:val="28"/>
        </w:rPr>
        <w:t xml:space="preserve"> may have about</w:t>
      </w:r>
      <w:r w:rsidR="00217C89">
        <w:rPr>
          <w:rFonts w:ascii="Times New Roman" w:hAnsi="Times New Roman" w:cs="Times New Roman"/>
          <w:color w:val="000000"/>
          <w:sz w:val="28"/>
          <w:szCs w:val="28"/>
        </w:rPr>
        <w:t xml:space="preserve"> the </w:t>
      </w:r>
      <w:r w:rsidR="0090416D">
        <w:rPr>
          <w:rFonts w:ascii="Times New Roman" w:hAnsi="Times New Roman" w:cs="Times New Roman"/>
          <w:color w:val="000000"/>
          <w:sz w:val="28"/>
          <w:szCs w:val="28"/>
        </w:rPr>
        <w:t xml:space="preserve">authority or </w:t>
      </w:r>
      <w:r w:rsidR="00916F7A">
        <w:rPr>
          <w:rFonts w:ascii="Times New Roman" w:hAnsi="Times New Roman" w:cs="Times New Roman"/>
          <w:color w:val="000000"/>
          <w:sz w:val="28"/>
          <w:szCs w:val="28"/>
        </w:rPr>
        <w:t>validity of</w:t>
      </w:r>
      <w:r w:rsidR="00217C89">
        <w:rPr>
          <w:rFonts w:ascii="Times New Roman" w:hAnsi="Times New Roman" w:cs="Times New Roman"/>
          <w:color w:val="000000"/>
          <w:sz w:val="28"/>
          <w:szCs w:val="28"/>
        </w:rPr>
        <w:t xml:space="preserve"> </w:t>
      </w:r>
      <w:r w:rsidR="0090416D">
        <w:rPr>
          <w:rFonts w:ascii="Times New Roman" w:hAnsi="Times New Roman" w:cs="Times New Roman"/>
          <w:color w:val="000000"/>
          <w:sz w:val="28"/>
          <w:szCs w:val="28"/>
        </w:rPr>
        <w:t xml:space="preserve">the actions of the </w:t>
      </w:r>
      <w:r w:rsidR="00217C89">
        <w:rPr>
          <w:rFonts w:ascii="Times New Roman" w:hAnsi="Times New Roman" w:cs="Times New Roman"/>
          <w:color w:val="000000"/>
          <w:sz w:val="28"/>
          <w:szCs w:val="28"/>
        </w:rPr>
        <w:t>Trustees</w:t>
      </w:r>
      <w:r w:rsidR="004210EF">
        <w:rPr>
          <w:rFonts w:ascii="Times New Roman" w:hAnsi="Times New Roman" w:cs="Times New Roman"/>
          <w:color w:val="000000"/>
          <w:sz w:val="28"/>
          <w:szCs w:val="28"/>
        </w:rPr>
        <w:t xml:space="preserve"> </w:t>
      </w:r>
      <w:r w:rsidR="0090416D">
        <w:rPr>
          <w:rFonts w:ascii="Times New Roman" w:hAnsi="Times New Roman" w:cs="Times New Roman"/>
          <w:color w:val="000000"/>
          <w:sz w:val="28"/>
          <w:szCs w:val="28"/>
        </w:rPr>
        <w:t xml:space="preserve">to institute the </w:t>
      </w:r>
      <w:r w:rsidR="00916F7A">
        <w:rPr>
          <w:rFonts w:ascii="Times New Roman" w:hAnsi="Times New Roman" w:cs="Times New Roman"/>
          <w:color w:val="000000"/>
          <w:sz w:val="28"/>
          <w:szCs w:val="28"/>
        </w:rPr>
        <w:t>liquidation application against</w:t>
      </w:r>
      <w:r w:rsidR="0090416D">
        <w:rPr>
          <w:rFonts w:ascii="Times New Roman" w:hAnsi="Times New Roman" w:cs="Times New Roman"/>
          <w:color w:val="000000"/>
          <w:sz w:val="28"/>
          <w:szCs w:val="28"/>
        </w:rPr>
        <w:t xml:space="preserve"> it is</w:t>
      </w:r>
      <w:r w:rsidR="007B3BED">
        <w:rPr>
          <w:rFonts w:ascii="Times New Roman" w:hAnsi="Times New Roman" w:cs="Times New Roman"/>
          <w:color w:val="000000"/>
          <w:sz w:val="28"/>
          <w:szCs w:val="28"/>
        </w:rPr>
        <w:t xml:space="preserve"> severable from </w:t>
      </w:r>
      <w:r w:rsidR="0090416D">
        <w:rPr>
          <w:rFonts w:ascii="Times New Roman" w:hAnsi="Times New Roman" w:cs="Times New Roman"/>
          <w:color w:val="000000"/>
          <w:sz w:val="28"/>
          <w:szCs w:val="28"/>
        </w:rPr>
        <w:t>the right to substitute and join the newly appointed Trustee</w:t>
      </w:r>
      <w:r w:rsidR="00916F7A">
        <w:rPr>
          <w:rFonts w:ascii="Times New Roman" w:hAnsi="Times New Roman" w:cs="Times New Roman"/>
          <w:color w:val="000000"/>
          <w:sz w:val="28"/>
          <w:szCs w:val="28"/>
        </w:rPr>
        <w:t>s</w:t>
      </w:r>
      <w:r w:rsidR="0090416D">
        <w:rPr>
          <w:rFonts w:ascii="Times New Roman" w:hAnsi="Times New Roman" w:cs="Times New Roman"/>
          <w:color w:val="000000"/>
          <w:sz w:val="28"/>
          <w:szCs w:val="28"/>
        </w:rPr>
        <w:t xml:space="preserve">. </w:t>
      </w:r>
    </w:p>
    <w:p w14:paraId="7EA48E88" w14:textId="1C4A3724" w:rsidR="00FD6AE6" w:rsidRDefault="007A5B4C" w:rsidP="00953AA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Pr>
          <w:rFonts w:ascii="Times New Roman" w:hAnsi="Times New Roman" w:cs="Times New Roman"/>
          <w:color w:val="000000"/>
          <w:sz w:val="28"/>
          <w:szCs w:val="28"/>
        </w:rPr>
        <w:tab/>
      </w:r>
      <w:r w:rsidR="00217C89">
        <w:rPr>
          <w:rFonts w:ascii="Times New Roman" w:hAnsi="Times New Roman" w:cs="Times New Roman"/>
          <w:color w:val="000000"/>
          <w:sz w:val="28"/>
          <w:szCs w:val="28"/>
        </w:rPr>
        <w:t xml:space="preserve"> </w:t>
      </w:r>
      <w:r w:rsidR="0030453F">
        <w:rPr>
          <w:rFonts w:ascii="Times New Roman" w:hAnsi="Times New Roman" w:cs="Times New Roman"/>
          <w:color w:val="000000"/>
          <w:sz w:val="28"/>
          <w:szCs w:val="28"/>
        </w:rPr>
        <w:t>When relative prejudice is weighed, t</w:t>
      </w:r>
      <w:r w:rsidR="008D55AB">
        <w:rPr>
          <w:rFonts w:ascii="Times New Roman" w:hAnsi="Times New Roman" w:cs="Times New Roman"/>
          <w:color w:val="000000"/>
          <w:sz w:val="28"/>
          <w:szCs w:val="28"/>
        </w:rPr>
        <w:t xml:space="preserve">he effect of </w:t>
      </w:r>
      <w:r w:rsidR="0030453F">
        <w:rPr>
          <w:rFonts w:ascii="Times New Roman" w:hAnsi="Times New Roman" w:cs="Times New Roman"/>
          <w:color w:val="000000"/>
          <w:sz w:val="28"/>
          <w:szCs w:val="28"/>
        </w:rPr>
        <w:t xml:space="preserve">a refusal of the substitution </w:t>
      </w:r>
      <w:r w:rsidR="00C53BDA">
        <w:rPr>
          <w:rFonts w:ascii="Times New Roman" w:hAnsi="Times New Roman" w:cs="Times New Roman"/>
          <w:color w:val="000000"/>
          <w:sz w:val="28"/>
          <w:szCs w:val="28"/>
        </w:rPr>
        <w:t xml:space="preserve">is </w:t>
      </w:r>
      <w:r w:rsidR="00965A85">
        <w:rPr>
          <w:rFonts w:ascii="Times New Roman" w:hAnsi="Times New Roman" w:cs="Times New Roman"/>
          <w:color w:val="000000"/>
          <w:sz w:val="28"/>
          <w:szCs w:val="28"/>
        </w:rPr>
        <w:t>far reaching</w:t>
      </w:r>
      <w:r w:rsidR="00C53BDA">
        <w:rPr>
          <w:rFonts w:ascii="Times New Roman" w:hAnsi="Times New Roman" w:cs="Times New Roman"/>
          <w:color w:val="000000"/>
          <w:sz w:val="28"/>
          <w:szCs w:val="28"/>
        </w:rPr>
        <w:t>. Its effect would be to</w:t>
      </w:r>
      <w:r w:rsidR="0030453F">
        <w:rPr>
          <w:rFonts w:ascii="Times New Roman" w:hAnsi="Times New Roman" w:cs="Times New Roman"/>
          <w:color w:val="000000"/>
          <w:sz w:val="28"/>
          <w:szCs w:val="28"/>
        </w:rPr>
        <w:t xml:space="preserve"> </w:t>
      </w:r>
      <w:r w:rsidR="002E1B6F">
        <w:rPr>
          <w:rFonts w:ascii="Times New Roman" w:hAnsi="Times New Roman" w:cs="Times New Roman"/>
          <w:color w:val="000000"/>
          <w:sz w:val="28"/>
          <w:szCs w:val="28"/>
        </w:rPr>
        <w:t>grind</w:t>
      </w:r>
      <w:r w:rsidR="00E275EB">
        <w:rPr>
          <w:rFonts w:ascii="Times New Roman" w:hAnsi="Times New Roman" w:cs="Times New Roman"/>
          <w:color w:val="000000"/>
          <w:sz w:val="28"/>
          <w:szCs w:val="28"/>
        </w:rPr>
        <w:t xml:space="preserve"> t</w:t>
      </w:r>
      <w:r w:rsidR="002E1B6F">
        <w:rPr>
          <w:rFonts w:ascii="Times New Roman" w:hAnsi="Times New Roman" w:cs="Times New Roman"/>
          <w:color w:val="000000"/>
          <w:sz w:val="28"/>
          <w:szCs w:val="28"/>
        </w:rPr>
        <w:t>o a halt</w:t>
      </w:r>
      <w:r w:rsidR="00C53BDA">
        <w:rPr>
          <w:rFonts w:ascii="Times New Roman" w:hAnsi="Times New Roman" w:cs="Times New Roman"/>
          <w:color w:val="000000"/>
          <w:sz w:val="28"/>
          <w:szCs w:val="28"/>
        </w:rPr>
        <w:t xml:space="preserve"> any decision about the future conduct of the litigation </w:t>
      </w:r>
      <w:r w:rsidR="0030453F">
        <w:rPr>
          <w:rFonts w:ascii="Times New Roman" w:hAnsi="Times New Roman" w:cs="Times New Roman"/>
          <w:color w:val="000000"/>
          <w:sz w:val="28"/>
          <w:szCs w:val="28"/>
        </w:rPr>
        <w:t xml:space="preserve">leading to an untenable result. </w:t>
      </w:r>
      <w:r w:rsidR="00211002">
        <w:rPr>
          <w:rFonts w:ascii="Times New Roman" w:hAnsi="Times New Roman" w:cs="Times New Roman"/>
          <w:color w:val="000000"/>
          <w:sz w:val="28"/>
          <w:szCs w:val="28"/>
        </w:rPr>
        <w:t xml:space="preserve">On the other </w:t>
      </w:r>
      <w:r w:rsidR="009E359A">
        <w:rPr>
          <w:rFonts w:ascii="Times New Roman" w:hAnsi="Times New Roman" w:cs="Times New Roman"/>
          <w:color w:val="000000"/>
          <w:sz w:val="28"/>
          <w:szCs w:val="28"/>
        </w:rPr>
        <w:t xml:space="preserve">hand, </w:t>
      </w:r>
      <w:proofErr w:type="spellStart"/>
      <w:r w:rsidR="009E359A">
        <w:rPr>
          <w:rFonts w:ascii="Times New Roman" w:hAnsi="Times New Roman" w:cs="Times New Roman"/>
          <w:color w:val="000000"/>
          <w:sz w:val="28"/>
          <w:szCs w:val="28"/>
        </w:rPr>
        <w:t>Floxifor</w:t>
      </w:r>
      <w:proofErr w:type="spellEnd"/>
      <w:r w:rsidR="00BE5F2A">
        <w:rPr>
          <w:rFonts w:ascii="Times New Roman" w:hAnsi="Times New Roman" w:cs="Times New Roman"/>
          <w:color w:val="000000"/>
          <w:sz w:val="28"/>
          <w:szCs w:val="28"/>
        </w:rPr>
        <w:t xml:space="preserve"> </w:t>
      </w:r>
      <w:r w:rsidR="009E359A">
        <w:rPr>
          <w:rFonts w:ascii="Times New Roman" w:hAnsi="Times New Roman" w:cs="Times New Roman"/>
          <w:color w:val="000000"/>
          <w:sz w:val="28"/>
          <w:szCs w:val="28"/>
        </w:rPr>
        <w:t xml:space="preserve">has </w:t>
      </w:r>
      <w:r w:rsidR="00C53BDA">
        <w:rPr>
          <w:rFonts w:ascii="Times New Roman" w:hAnsi="Times New Roman" w:cs="Times New Roman"/>
          <w:color w:val="000000"/>
          <w:sz w:val="28"/>
          <w:szCs w:val="28"/>
        </w:rPr>
        <w:t>reserved questions</w:t>
      </w:r>
      <w:r w:rsidR="009E359A">
        <w:rPr>
          <w:rFonts w:ascii="Times New Roman" w:hAnsi="Times New Roman" w:cs="Times New Roman"/>
          <w:color w:val="000000"/>
          <w:sz w:val="28"/>
          <w:szCs w:val="28"/>
        </w:rPr>
        <w:t xml:space="preserve"> of law, challenging the validity of the action</w:t>
      </w:r>
      <w:r w:rsidR="00FD6AE6">
        <w:rPr>
          <w:rFonts w:ascii="Times New Roman" w:hAnsi="Times New Roman" w:cs="Times New Roman"/>
          <w:color w:val="000000"/>
          <w:sz w:val="28"/>
          <w:szCs w:val="28"/>
        </w:rPr>
        <w:t>s</w:t>
      </w:r>
      <w:r w:rsidR="0090256E">
        <w:rPr>
          <w:rFonts w:ascii="Times New Roman" w:hAnsi="Times New Roman" w:cs="Times New Roman"/>
          <w:color w:val="000000"/>
          <w:sz w:val="28"/>
          <w:szCs w:val="28"/>
        </w:rPr>
        <w:t xml:space="preserve"> of the erstwhile trustees. </w:t>
      </w:r>
      <w:r w:rsidR="000A572E">
        <w:rPr>
          <w:rFonts w:ascii="Times New Roman" w:hAnsi="Times New Roman" w:cs="Times New Roman"/>
          <w:color w:val="000000"/>
          <w:sz w:val="28"/>
          <w:szCs w:val="28"/>
        </w:rPr>
        <w:t>Th</w:t>
      </w:r>
      <w:r w:rsidR="00C53BDA">
        <w:rPr>
          <w:rFonts w:ascii="Times New Roman" w:hAnsi="Times New Roman" w:cs="Times New Roman"/>
          <w:color w:val="000000"/>
          <w:sz w:val="28"/>
          <w:szCs w:val="28"/>
        </w:rPr>
        <w:t>ose</w:t>
      </w:r>
      <w:r w:rsidR="000A572E">
        <w:rPr>
          <w:rFonts w:ascii="Times New Roman" w:hAnsi="Times New Roman" w:cs="Times New Roman"/>
          <w:color w:val="000000"/>
          <w:sz w:val="28"/>
          <w:szCs w:val="28"/>
        </w:rPr>
        <w:t xml:space="preserve"> question</w:t>
      </w:r>
      <w:r w:rsidR="00C53BDA">
        <w:rPr>
          <w:rFonts w:ascii="Times New Roman" w:hAnsi="Times New Roman" w:cs="Times New Roman"/>
          <w:color w:val="000000"/>
          <w:sz w:val="28"/>
          <w:szCs w:val="28"/>
        </w:rPr>
        <w:t>s</w:t>
      </w:r>
      <w:r w:rsidR="000A572E">
        <w:rPr>
          <w:rFonts w:ascii="Times New Roman" w:hAnsi="Times New Roman" w:cs="Times New Roman"/>
          <w:color w:val="000000"/>
          <w:sz w:val="28"/>
          <w:szCs w:val="28"/>
        </w:rPr>
        <w:t xml:space="preserve"> remain regardless of the identity of the Trustees</w:t>
      </w:r>
      <w:r w:rsidR="00916F7A">
        <w:rPr>
          <w:rFonts w:ascii="Times New Roman" w:hAnsi="Times New Roman" w:cs="Times New Roman"/>
          <w:color w:val="000000"/>
          <w:sz w:val="28"/>
          <w:szCs w:val="28"/>
        </w:rPr>
        <w:t xml:space="preserve"> or who occupies the position of Trustee</w:t>
      </w:r>
      <w:r w:rsidR="000A572E">
        <w:rPr>
          <w:rFonts w:ascii="Times New Roman" w:hAnsi="Times New Roman" w:cs="Times New Roman"/>
          <w:color w:val="000000"/>
          <w:sz w:val="28"/>
          <w:szCs w:val="28"/>
        </w:rPr>
        <w:t xml:space="preserve">. </w:t>
      </w:r>
      <w:r w:rsidR="00C53BDA">
        <w:rPr>
          <w:rFonts w:ascii="Times New Roman" w:hAnsi="Times New Roman" w:cs="Times New Roman"/>
          <w:color w:val="000000"/>
          <w:sz w:val="28"/>
          <w:szCs w:val="28"/>
        </w:rPr>
        <w:t xml:space="preserve">It will not be prejudiced by the substitution. </w:t>
      </w:r>
    </w:p>
    <w:p w14:paraId="1E3305DC" w14:textId="2CDFF05E" w:rsidR="0030453F" w:rsidRDefault="00FD6AE6" w:rsidP="00950F3C">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[39]</w:t>
      </w:r>
      <w:r w:rsidR="00C53BDA">
        <w:rPr>
          <w:rFonts w:ascii="Times New Roman" w:hAnsi="Times New Roman" w:cs="Times New Roman"/>
          <w:color w:val="000000"/>
          <w:sz w:val="28"/>
          <w:szCs w:val="28"/>
        </w:rPr>
        <w:tab/>
        <w:t xml:space="preserve"> </w:t>
      </w:r>
      <w:proofErr w:type="spellStart"/>
      <w:r w:rsidR="00C53BDA">
        <w:rPr>
          <w:rFonts w:ascii="Times New Roman" w:hAnsi="Times New Roman" w:cs="Times New Roman"/>
          <w:color w:val="000000"/>
          <w:sz w:val="28"/>
          <w:szCs w:val="28"/>
        </w:rPr>
        <w:t>Floxifor</w:t>
      </w:r>
      <w:proofErr w:type="spellEnd"/>
      <w:r w:rsidR="00AE20C7">
        <w:rPr>
          <w:rFonts w:ascii="Times New Roman" w:hAnsi="Times New Roman" w:cs="Times New Roman"/>
          <w:color w:val="000000"/>
          <w:sz w:val="28"/>
          <w:szCs w:val="28"/>
        </w:rPr>
        <w:t xml:space="preserve"> cannot </w:t>
      </w:r>
      <w:r w:rsidR="000A572E">
        <w:rPr>
          <w:rFonts w:ascii="Times New Roman" w:hAnsi="Times New Roman" w:cs="Times New Roman"/>
          <w:color w:val="000000"/>
          <w:sz w:val="28"/>
          <w:szCs w:val="28"/>
        </w:rPr>
        <w:t>in</w:t>
      </w:r>
      <w:r w:rsidR="000E6119">
        <w:rPr>
          <w:rFonts w:ascii="Times New Roman" w:hAnsi="Times New Roman" w:cs="Times New Roman"/>
          <w:color w:val="000000"/>
          <w:sz w:val="28"/>
          <w:szCs w:val="28"/>
        </w:rPr>
        <w:t xml:space="preserve">voke </w:t>
      </w:r>
      <w:r w:rsidR="00AE20C7">
        <w:rPr>
          <w:rFonts w:ascii="Times New Roman" w:hAnsi="Times New Roman" w:cs="Times New Roman"/>
          <w:color w:val="000000"/>
          <w:sz w:val="28"/>
          <w:szCs w:val="28"/>
        </w:rPr>
        <w:t>Rule 15(4)</w:t>
      </w:r>
      <w:r w:rsidR="00433B72">
        <w:rPr>
          <w:rFonts w:ascii="Times New Roman" w:hAnsi="Times New Roman" w:cs="Times New Roman"/>
          <w:color w:val="000000"/>
          <w:sz w:val="28"/>
          <w:szCs w:val="28"/>
        </w:rPr>
        <w:t xml:space="preserve"> </w:t>
      </w:r>
      <w:r w:rsidR="00C53BDA">
        <w:rPr>
          <w:rFonts w:ascii="Times New Roman" w:hAnsi="Times New Roman" w:cs="Times New Roman"/>
          <w:color w:val="000000"/>
          <w:sz w:val="28"/>
          <w:szCs w:val="28"/>
        </w:rPr>
        <w:t xml:space="preserve">as a proxy </w:t>
      </w:r>
      <w:r w:rsidR="00433B72">
        <w:rPr>
          <w:rFonts w:ascii="Times New Roman" w:hAnsi="Times New Roman" w:cs="Times New Roman"/>
          <w:color w:val="000000"/>
          <w:sz w:val="28"/>
          <w:szCs w:val="28"/>
        </w:rPr>
        <w:t xml:space="preserve">to challenge </w:t>
      </w:r>
      <w:r w:rsidR="001246D2">
        <w:rPr>
          <w:rFonts w:ascii="Times New Roman" w:hAnsi="Times New Roman" w:cs="Times New Roman"/>
          <w:color w:val="000000"/>
          <w:sz w:val="28"/>
          <w:szCs w:val="28"/>
        </w:rPr>
        <w:t>the authority</w:t>
      </w:r>
      <w:r w:rsidR="00C6644F">
        <w:rPr>
          <w:rFonts w:ascii="Times New Roman" w:hAnsi="Times New Roman" w:cs="Times New Roman"/>
          <w:color w:val="000000"/>
          <w:sz w:val="28"/>
          <w:szCs w:val="28"/>
        </w:rPr>
        <w:t xml:space="preserve"> </w:t>
      </w:r>
      <w:r w:rsidR="00C16791">
        <w:rPr>
          <w:rFonts w:ascii="Times New Roman" w:hAnsi="Times New Roman" w:cs="Times New Roman"/>
          <w:color w:val="000000"/>
          <w:sz w:val="28"/>
          <w:szCs w:val="28"/>
        </w:rPr>
        <w:t>of the Trustees</w:t>
      </w:r>
      <w:r w:rsidR="00754983">
        <w:rPr>
          <w:rFonts w:ascii="Times New Roman" w:hAnsi="Times New Roman" w:cs="Times New Roman"/>
          <w:color w:val="000000"/>
          <w:sz w:val="28"/>
          <w:szCs w:val="28"/>
        </w:rPr>
        <w:t xml:space="preserve"> </w:t>
      </w:r>
      <w:r w:rsidR="00AC07C6">
        <w:rPr>
          <w:rFonts w:ascii="Times New Roman" w:hAnsi="Times New Roman" w:cs="Times New Roman"/>
          <w:color w:val="000000"/>
          <w:sz w:val="28"/>
          <w:szCs w:val="28"/>
        </w:rPr>
        <w:t xml:space="preserve">in a manner that prevents </w:t>
      </w:r>
      <w:r w:rsidR="00C53BDA">
        <w:rPr>
          <w:rFonts w:ascii="Times New Roman" w:hAnsi="Times New Roman" w:cs="Times New Roman"/>
          <w:color w:val="000000"/>
          <w:sz w:val="28"/>
          <w:szCs w:val="28"/>
        </w:rPr>
        <w:t xml:space="preserve">the Trust </w:t>
      </w:r>
      <w:r w:rsidR="00754983">
        <w:rPr>
          <w:rFonts w:ascii="Times New Roman" w:hAnsi="Times New Roman" w:cs="Times New Roman"/>
          <w:color w:val="000000"/>
          <w:sz w:val="28"/>
          <w:szCs w:val="28"/>
        </w:rPr>
        <w:t xml:space="preserve">from </w:t>
      </w:r>
      <w:r w:rsidR="00C53BDA">
        <w:rPr>
          <w:rFonts w:ascii="Times New Roman" w:hAnsi="Times New Roman" w:cs="Times New Roman"/>
          <w:color w:val="000000"/>
          <w:sz w:val="28"/>
          <w:szCs w:val="28"/>
        </w:rPr>
        <w:t>acting at all. I</w:t>
      </w:r>
      <w:r>
        <w:rPr>
          <w:rFonts w:ascii="Times New Roman" w:hAnsi="Times New Roman" w:cs="Times New Roman"/>
          <w:color w:val="000000"/>
          <w:sz w:val="28"/>
          <w:szCs w:val="28"/>
        </w:rPr>
        <w:t xml:space="preserve">t cannot rely on this Rule to overcome the difficulties raised in respect of </w:t>
      </w:r>
      <w:r w:rsidR="00250B1D">
        <w:rPr>
          <w:rFonts w:ascii="Times New Roman" w:hAnsi="Times New Roman" w:cs="Times New Roman"/>
          <w:color w:val="000000"/>
          <w:sz w:val="28"/>
          <w:szCs w:val="28"/>
        </w:rPr>
        <w:t>its Rule</w:t>
      </w:r>
      <w:r>
        <w:rPr>
          <w:rFonts w:ascii="Times New Roman" w:hAnsi="Times New Roman" w:cs="Times New Roman"/>
          <w:color w:val="000000"/>
          <w:sz w:val="28"/>
          <w:szCs w:val="28"/>
        </w:rPr>
        <w:t xml:space="preserve"> 7(1) notice. </w:t>
      </w:r>
      <w:r w:rsidR="00C53BDA">
        <w:rPr>
          <w:rFonts w:ascii="Times New Roman" w:hAnsi="Times New Roman" w:cs="Times New Roman"/>
          <w:color w:val="000000"/>
          <w:sz w:val="28"/>
          <w:szCs w:val="28"/>
        </w:rPr>
        <w:t>I find that the opposition to the substitution is misplaced. S</w:t>
      </w:r>
      <w:r w:rsidR="007A5B4C">
        <w:rPr>
          <w:rFonts w:ascii="Times New Roman" w:hAnsi="Times New Roman" w:cs="Times New Roman"/>
          <w:color w:val="000000"/>
          <w:sz w:val="28"/>
          <w:szCs w:val="28"/>
        </w:rPr>
        <w:t xml:space="preserve">ubstitution of the </w:t>
      </w:r>
      <w:r w:rsidR="007A5B4C">
        <w:rPr>
          <w:rFonts w:ascii="Times New Roman" w:hAnsi="Times New Roman" w:cs="Times New Roman"/>
          <w:color w:val="000000"/>
          <w:sz w:val="28"/>
          <w:szCs w:val="28"/>
        </w:rPr>
        <w:lastRenderedPageBreak/>
        <w:t xml:space="preserve">trustees is </w:t>
      </w:r>
      <w:r w:rsidR="00E21A11">
        <w:rPr>
          <w:rFonts w:ascii="Times New Roman" w:hAnsi="Times New Roman" w:cs="Times New Roman"/>
          <w:color w:val="000000"/>
          <w:sz w:val="28"/>
          <w:szCs w:val="28"/>
        </w:rPr>
        <w:t>granted,</w:t>
      </w:r>
      <w:r w:rsidR="00E275EB">
        <w:rPr>
          <w:rFonts w:ascii="Times New Roman" w:hAnsi="Times New Roman" w:cs="Times New Roman"/>
          <w:color w:val="000000"/>
          <w:sz w:val="28"/>
          <w:szCs w:val="28"/>
        </w:rPr>
        <w:t xml:space="preserve"> </w:t>
      </w:r>
      <w:r w:rsidR="00E275EB" w:rsidRPr="000905C4">
        <w:rPr>
          <w:rFonts w:ascii="Times New Roman" w:hAnsi="Times New Roman" w:cs="Times New Roman"/>
          <w:color w:val="000000"/>
          <w:sz w:val="28"/>
          <w:szCs w:val="28"/>
        </w:rPr>
        <w:t xml:space="preserve">and </w:t>
      </w:r>
      <w:r w:rsidR="00942A1F" w:rsidRPr="000905C4">
        <w:rPr>
          <w:rFonts w:ascii="Times New Roman" w:hAnsi="Times New Roman" w:cs="Times New Roman"/>
          <w:color w:val="000000"/>
          <w:sz w:val="28"/>
          <w:szCs w:val="28"/>
        </w:rPr>
        <w:t xml:space="preserve">the new trustees are joined as </w:t>
      </w:r>
      <w:r w:rsidR="000905C4" w:rsidRPr="000905C4">
        <w:rPr>
          <w:rFonts w:ascii="Times New Roman" w:hAnsi="Times New Roman" w:cs="Times New Roman"/>
          <w:color w:val="000000"/>
          <w:sz w:val="28"/>
          <w:szCs w:val="28"/>
        </w:rPr>
        <w:t xml:space="preserve">second and third </w:t>
      </w:r>
      <w:r w:rsidR="00942A1F" w:rsidRPr="000905C4">
        <w:rPr>
          <w:rFonts w:ascii="Times New Roman" w:hAnsi="Times New Roman" w:cs="Times New Roman"/>
          <w:color w:val="000000"/>
          <w:sz w:val="28"/>
          <w:szCs w:val="28"/>
        </w:rPr>
        <w:t>respondents.</w:t>
      </w:r>
      <w:r w:rsidR="007A5B4C">
        <w:rPr>
          <w:rFonts w:ascii="Times New Roman" w:hAnsi="Times New Roman" w:cs="Times New Roman"/>
          <w:color w:val="000000"/>
          <w:sz w:val="28"/>
          <w:szCs w:val="28"/>
        </w:rPr>
        <w:t xml:space="preserve"> </w:t>
      </w:r>
    </w:p>
    <w:p w14:paraId="21A53357" w14:textId="5DA326B8" w:rsidR="00220D6D" w:rsidRPr="007A5B4C" w:rsidRDefault="00631195" w:rsidP="00950F3C">
      <w:pPr>
        <w:spacing w:line="360" w:lineRule="auto"/>
        <w:jc w:val="both"/>
        <w:rPr>
          <w:rFonts w:ascii="Times New Roman" w:hAnsi="Times New Roman" w:cs="Times New Roman"/>
          <w:b/>
          <w:bCs/>
          <w:sz w:val="28"/>
          <w:szCs w:val="28"/>
        </w:rPr>
      </w:pPr>
      <w:r w:rsidRPr="007A5B4C">
        <w:rPr>
          <w:rFonts w:ascii="Times New Roman" w:hAnsi="Times New Roman" w:cs="Times New Roman"/>
          <w:b/>
          <w:bCs/>
          <w:color w:val="000000"/>
          <w:sz w:val="28"/>
          <w:szCs w:val="28"/>
        </w:rPr>
        <w:t>R</w:t>
      </w:r>
      <w:r w:rsidR="00220D6D" w:rsidRPr="007A5B4C">
        <w:rPr>
          <w:rFonts w:ascii="Times New Roman" w:hAnsi="Times New Roman" w:cs="Times New Roman"/>
          <w:b/>
          <w:bCs/>
          <w:sz w:val="28"/>
          <w:szCs w:val="28"/>
        </w:rPr>
        <w:t>ule 6(5)(d)(iii)</w:t>
      </w:r>
    </w:p>
    <w:p w14:paraId="1C813B09" w14:textId="1F1E1EC7" w:rsidR="003D3845" w:rsidRDefault="003D3845" w:rsidP="00950F3C">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FF0E78">
        <w:rPr>
          <w:rFonts w:ascii="Times New Roman" w:hAnsi="Times New Roman" w:cs="Times New Roman"/>
          <w:sz w:val="28"/>
          <w:szCs w:val="28"/>
        </w:rPr>
        <w:t>40]</w:t>
      </w:r>
      <w:r>
        <w:rPr>
          <w:rFonts w:ascii="Times New Roman" w:hAnsi="Times New Roman" w:cs="Times New Roman"/>
          <w:sz w:val="28"/>
          <w:szCs w:val="28"/>
        </w:rPr>
        <w:tab/>
      </w:r>
      <w:proofErr w:type="spellStart"/>
      <w:r>
        <w:rPr>
          <w:rFonts w:ascii="Times New Roman" w:hAnsi="Times New Roman" w:cs="Times New Roman"/>
          <w:color w:val="000000"/>
          <w:sz w:val="28"/>
          <w:szCs w:val="28"/>
        </w:rPr>
        <w:t>Floxifor</w:t>
      </w:r>
      <w:proofErr w:type="spellEnd"/>
      <w:r>
        <w:rPr>
          <w:rFonts w:ascii="Times New Roman" w:hAnsi="Times New Roman" w:cs="Times New Roman"/>
          <w:color w:val="000000"/>
          <w:sz w:val="28"/>
          <w:szCs w:val="28"/>
        </w:rPr>
        <w:t xml:space="preserve"> expanded its complaint to challenge the </w:t>
      </w:r>
      <w:r w:rsidRPr="00381E02">
        <w:rPr>
          <w:rFonts w:ascii="Times New Roman" w:hAnsi="Times New Roman" w:cs="Times New Roman"/>
          <w:color w:val="000000"/>
          <w:sz w:val="28"/>
          <w:szCs w:val="28"/>
        </w:rPr>
        <w:t>capacity</w:t>
      </w:r>
      <w:r>
        <w:rPr>
          <w:rFonts w:ascii="Times New Roman" w:hAnsi="Times New Roman" w:cs="Times New Roman"/>
          <w:color w:val="000000"/>
          <w:sz w:val="28"/>
          <w:szCs w:val="28"/>
        </w:rPr>
        <w:t xml:space="preserve"> of the Trust to bring </w:t>
      </w:r>
      <w:r w:rsidRPr="00441080">
        <w:rPr>
          <w:rFonts w:ascii="Times New Roman" w:hAnsi="Times New Roman" w:cs="Times New Roman"/>
          <w:color w:val="000000"/>
          <w:sz w:val="28"/>
          <w:szCs w:val="28"/>
        </w:rPr>
        <w:t xml:space="preserve">the </w:t>
      </w:r>
      <w:r>
        <w:rPr>
          <w:rFonts w:ascii="Times New Roman" w:hAnsi="Times New Roman" w:cs="Times New Roman"/>
          <w:color w:val="000000"/>
          <w:sz w:val="28"/>
          <w:szCs w:val="28"/>
        </w:rPr>
        <w:t xml:space="preserve">main application as well as the </w:t>
      </w:r>
      <w:r w:rsidRPr="00441080">
        <w:rPr>
          <w:rFonts w:ascii="Times New Roman" w:hAnsi="Times New Roman" w:cs="Times New Roman"/>
          <w:color w:val="000000"/>
          <w:sz w:val="28"/>
          <w:szCs w:val="28"/>
        </w:rPr>
        <w:t>substitution application</w:t>
      </w:r>
      <w:r>
        <w:rPr>
          <w:rFonts w:ascii="Times New Roman" w:hAnsi="Times New Roman" w:cs="Times New Roman"/>
          <w:color w:val="000000"/>
          <w:sz w:val="28"/>
          <w:szCs w:val="28"/>
        </w:rPr>
        <w:t xml:space="preserve"> </w:t>
      </w:r>
      <w:r w:rsidR="00AC07C6">
        <w:rPr>
          <w:rFonts w:ascii="Times New Roman" w:hAnsi="Times New Roman" w:cs="Times New Roman"/>
          <w:color w:val="000000"/>
          <w:sz w:val="28"/>
          <w:szCs w:val="28"/>
        </w:rPr>
        <w:t xml:space="preserve">predicated </w:t>
      </w:r>
      <w:r>
        <w:rPr>
          <w:rFonts w:ascii="Times New Roman" w:hAnsi="Times New Roman" w:cs="Times New Roman"/>
          <w:color w:val="000000"/>
          <w:sz w:val="28"/>
          <w:szCs w:val="28"/>
        </w:rPr>
        <w:t xml:space="preserve">on the same facts above. I pause to mention that the argument about the </w:t>
      </w:r>
      <w:r w:rsidRPr="00381E02">
        <w:rPr>
          <w:rFonts w:ascii="Times New Roman" w:hAnsi="Times New Roman" w:cs="Times New Roman"/>
          <w:color w:val="000000"/>
          <w:sz w:val="28"/>
          <w:szCs w:val="28"/>
        </w:rPr>
        <w:t>capacity</w:t>
      </w:r>
      <w:r>
        <w:rPr>
          <w:rFonts w:ascii="Times New Roman" w:hAnsi="Times New Roman" w:cs="Times New Roman"/>
          <w:color w:val="000000"/>
          <w:sz w:val="28"/>
          <w:szCs w:val="28"/>
        </w:rPr>
        <w:t xml:space="preserve"> of the Trust overlaps with the newly raised point of law in Rule 6(5)(d)(iii).</w:t>
      </w:r>
    </w:p>
    <w:p w14:paraId="27601CBA" w14:textId="7AF11C65" w:rsidR="00BB0094" w:rsidRDefault="003D3845" w:rsidP="00950F3C">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w:t>
      </w:r>
      <w:r w:rsidR="00FD6AE6">
        <w:rPr>
          <w:rFonts w:ascii="Times New Roman" w:hAnsi="Times New Roman" w:cs="Times New Roman"/>
          <w:sz w:val="28"/>
          <w:szCs w:val="28"/>
        </w:rPr>
        <w:t>4</w:t>
      </w:r>
      <w:r w:rsidR="00D45F31">
        <w:rPr>
          <w:rFonts w:ascii="Times New Roman" w:hAnsi="Times New Roman" w:cs="Times New Roman"/>
          <w:sz w:val="28"/>
          <w:szCs w:val="28"/>
        </w:rPr>
        <w:t>1</w:t>
      </w:r>
      <w:r>
        <w:rPr>
          <w:rFonts w:ascii="Times New Roman" w:hAnsi="Times New Roman" w:cs="Times New Roman"/>
          <w:sz w:val="28"/>
          <w:szCs w:val="28"/>
        </w:rPr>
        <w:t>]</w:t>
      </w:r>
      <w:r w:rsidR="00BB0094">
        <w:rPr>
          <w:rFonts w:ascii="Times New Roman" w:hAnsi="Times New Roman" w:cs="Times New Roman"/>
          <w:color w:val="000000"/>
          <w:sz w:val="28"/>
          <w:szCs w:val="28"/>
        </w:rPr>
        <w:t xml:space="preserve"> I</w:t>
      </w:r>
      <w:r w:rsidR="00AC07C6">
        <w:rPr>
          <w:rFonts w:ascii="Times New Roman" w:hAnsi="Times New Roman" w:cs="Times New Roman"/>
          <w:color w:val="000000"/>
          <w:sz w:val="28"/>
          <w:szCs w:val="28"/>
        </w:rPr>
        <w:t xml:space="preserve">n </w:t>
      </w:r>
      <w:r>
        <w:rPr>
          <w:rFonts w:ascii="Times New Roman" w:hAnsi="Times New Roman" w:cs="Times New Roman"/>
          <w:color w:val="000000"/>
          <w:sz w:val="28"/>
          <w:szCs w:val="28"/>
        </w:rPr>
        <w:t>challeng</w:t>
      </w:r>
      <w:r w:rsidR="00AC07C6">
        <w:rPr>
          <w:rFonts w:ascii="Times New Roman" w:hAnsi="Times New Roman" w:cs="Times New Roman"/>
          <w:color w:val="000000"/>
          <w:sz w:val="28"/>
          <w:szCs w:val="28"/>
        </w:rPr>
        <w:t xml:space="preserve">ing </w:t>
      </w:r>
      <w:r>
        <w:rPr>
          <w:rFonts w:ascii="Times New Roman" w:hAnsi="Times New Roman" w:cs="Times New Roman"/>
          <w:color w:val="000000"/>
          <w:sz w:val="28"/>
          <w:szCs w:val="28"/>
        </w:rPr>
        <w:t xml:space="preserve">the </w:t>
      </w:r>
      <w:r w:rsidRPr="000A572E">
        <w:rPr>
          <w:rFonts w:ascii="Times New Roman" w:hAnsi="Times New Roman" w:cs="Times New Roman"/>
          <w:color w:val="000000"/>
          <w:sz w:val="28"/>
          <w:szCs w:val="28"/>
        </w:rPr>
        <w:t>capacity</w:t>
      </w:r>
      <w:r>
        <w:rPr>
          <w:rFonts w:ascii="Times New Roman" w:hAnsi="Times New Roman" w:cs="Times New Roman"/>
          <w:color w:val="000000"/>
          <w:sz w:val="28"/>
          <w:szCs w:val="28"/>
        </w:rPr>
        <w:t xml:space="preserve"> of the Trust </w:t>
      </w:r>
      <w:r w:rsidR="00BB0094">
        <w:rPr>
          <w:rFonts w:ascii="Times New Roman" w:hAnsi="Times New Roman" w:cs="Times New Roman"/>
          <w:color w:val="000000"/>
          <w:sz w:val="28"/>
          <w:szCs w:val="28"/>
        </w:rPr>
        <w:t>t</w:t>
      </w:r>
      <w:r>
        <w:rPr>
          <w:rFonts w:ascii="Times New Roman" w:hAnsi="Times New Roman" w:cs="Times New Roman"/>
          <w:color w:val="000000"/>
          <w:sz w:val="28"/>
          <w:szCs w:val="28"/>
        </w:rPr>
        <w:t xml:space="preserve">o bring </w:t>
      </w:r>
      <w:r w:rsidRPr="00441080">
        <w:rPr>
          <w:rFonts w:ascii="Times New Roman" w:hAnsi="Times New Roman" w:cs="Times New Roman"/>
          <w:color w:val="000000"/>
          <w:sz w:val="28"/>
          <w:szCs w:val="28"/>
        </w:rPr>
        <w:t xml:space="preserve">the </w:t>
      </w:r>
      <w:r w:rsidR="00C80640">
        <w:rPr>
          <w:rFonts w:ascii="Times New Roman" w:hAnsi="Times New Roman" w:cs="Times New Roman"/>
          <w:color w:val="000000"/>
          <w:sz w:val="28"/>
          <w:szCs w:val="28"/>
        </w:rPr>
        <w:t xml:space="preserve">liquidation </w:t>
      </w:r>
      <w:r>
        <w:rPr>
          <w:rFonts w:ascii="Times New Roman" w:hAnsi="Times New Roman" w:cs="Times New Roman"/>
          <w:color w:val="000000"/>
          <w:sz w:val="28"/>
          <w:szCs w:val="28"/>
        </w:rPr>
        <w:t>application</w:t>
      </w:r>
      <w:r w:rsidR="00AC07C6">
        <w:rPr>
          <w:rFonts w:ascii="Times New Roman" w:hAnsi="Times New Roman" w:cs="Times New Roman"/>
          <w:color w:val="000000"/>
          <w:sz w:val="28"/>
          <w:szCs w:val="28"/>
        </w:rPr>
        <w:t>,</w:t>
      </w:r>
      <w:r w:rsidR="00BB0094">
        <w:rPr>
          <w:rFonts w:ascii="Times New Roman" w:hAnsi="Times New Roman" w:cs="Times New Roman"/>
          <w:color w:val="000000"/>
          <w:sz w:val="28"/>
          <w:szCs w:val="28"/>
        </w:rPr>
        <w:t xml:space="preserve"> </w:t>
      </w:r>
      <w:r w:rsidR="00AC07C6">
        <w:rPr>
          <w:rFonts w:ascii="Times New Roman" w:hAnsi="Times New Roman" w:cs="Times New Roman"/>
          <w:color w:val="000000"/>
          <w:sz w:val="28"/>
          <w:szCs w:val="28"/>
        </w:rPr>
        <w:t>it</w:t>
      </w:r>
      <w:r w:rsidR="00BB0094">
        <w:rPr>
          <w:rFonts w:ascii="Times New Roman" w:hAnsi="Times New Roman" w:cs="Times New Roman"/>
          <w:color w:val="000000"/>
          <w:sz w:val="28"/>
          <w:szCs w:val="28"/>
        </w:rPr>
        <w:t xml:space="preserve"> contended that the purported actions were </w:t>
      </w:r>
      <w:r w:rsidR="00BB0094" w:rsidRPr="00372315">
        <w:rPr>
          <w:rFonts w:ascii="Times New Roman" w:hAnsi="Times New Roman" w:cs="Times New Roman"/>
          <w:i/>
          <w:iCs/>
          <w:sz w:val="28"/>
          <w:szCs w:val="28"/>
        </w:rPr>
        <w:t>null and void ab initio</w:t>
      </w:r>
      <w:r w:rsidR="00BB0094">
        <w:rPr>
          <w:rFonts w:ascii="Times New Roman" w:hAnsi="Times New Roman" w:cs="Times New Roman"/>
          <w:i/>
          <w:iCs/>
          <w:sz w:val="28"/>
          <w:szCs w:val="28"/>
        </w:rPr>
        <w:t xml:space="preserve">. </w:t>
      </w:r>
      <w:r w:rsidR="003517A3" w:rsidRPr="003517A3">
        <w:rPr>
          <w:rFonts w:ascii="Times New Roman" w:hAnsi="Times New Roman" w:cs="Times New Roman"/>
          <w:sz w:val="28"/>
          <w:szCs w:val="28"/>
        </w:rPr>
        <w:t xml:space="preserve">It </w:t>
      </w:r>
      <w:r w:rsidR="003517A3">
        <w:rPr>
          <w:rFonts w:ascii="Times New Roman" w:hAnsi="Times New Roman" w:cs="Times New Roman"/>
          <w:sz w:val="28"/>
          <w:szCs w:val="28"/>
        </w:rPr>
        <w:t xml:space="preserve">sought to persuade the Court to determine the </w:t>
      </w:r>
      <w:r w:rsidR="003517A3" w:rsidRPr="00AF5E5B">
        <w:rPr>
          <w:rFonts w:ascii="Times New Roman" w:hAnsi="Times New Roman" w:cs="Times New Roman"/>
          <w:sz w:val="28"/>
          <w:szCs w:val="28"/>
        </w:rPr>
        <w:t>Rule 6(5)(d)(iii)</w:t>
      </w:r>
      <w:r w:rsidR="003517A3">
        <w:rPr>
          <w:rFonts w:ascii="Times New Roman" w:hAnsi="Times New Roman" w:cs="Times New Roman"/>
          <w:sz w:val="28"/>
          <w:szCs w:val="28"/>
        </w:rPr>
        <w:t xml:space="preserve">. </w:t>
      </w:r>
      <w:r w:rsidR="003517A3">
        <w:rPr>
          <w:rFonts w:ascii="Times New Roman" w:hAnsi="Times New Roman" w:cs="Times New Roman"/>
          <w:color w:val="000000"/>
          <w:sz w:val="28"/>
          <w:szCs w:val="28"/>
        </w:rPr>
        <w:t>The argument was that all the interlocutory applications are intertwined.</w:t>
      </w:r>
    </w:p>
    <w:p w14:paraId="19DE3884" w14:textId="0C4F3176" w:rsidR="005E6D90" w:rsidRDefault="003517A3" w:rsidP="00950F3C">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D45F31">
        <w:rPr>
          <w:rFonts w:ascii="Times New Roman" w:hAnsi="Times New Roman" w:cs="Times New Roman"/>
          <w:sz w:val="28"/>
          <w:szCs w:val="28"/>
        </w:rPr>
        <w:t>2</w:t>
      </w:r>
      <w:r w:rsidR="00FD6AE6">
        <w:rPr>
          <w:rFonts w:ascii="Times New Roman" w:hAnsi="Times New Roman" w:cs="Times New Roman"/>
          <w:sz w:val="28"/>
          <w:szCs w:val="28"/>
        </w:rPr>
        <w:t>]</w:t>
      </w:r>
      <w:r>
        <w:rPr>
          <w:rFonts w:ascii="Times New Roman" w:hAnsi="Times New Roman" w:cs="Times New Roman"/>
          <w:sz w:val="28"/>
          <w:szCs w:val="28"/>
        </w:rPr>
        <w:tab/>
      </w:r>
      <w:r w:rsidR="00FD6AE6">
        <w:rPr>
          <w:rFonts w:ascii="Times New Roman" w:hAnsi="Times New Roman" w:cs="Times New Roman"/>
          <w:sz w:val="28"/>
          <w:szCs w:val="28"/>
        </w:rPr>
        <w:t xml:space="preserve">Although both parties were invited to address the </w:t>
      </w:r>
      <w:r w:rsidR="000A572E">
        <w:rPr>
          <w:rFonts w:ascii="Times New Roman" w:hAnsi="Times New Roman" w:cs="Times New Roman"/>
          <w:sz w:val="28"/>
          <w:szCs w:val="28"/>
        </w:rPr>
        <w:t>C</w:t>
      </w:r>
      <w:r w:rsidR="00FD6AE6">
        <w:rPr>
          <w:rFonts w:ascii="Times New Roman" w:hAnsi="Times New Roman" w:cs="Times New Roman"/>
          <w:sz w:val="28"/>
          <w:szCs w:val="28"/>
        </w:rPr>
        <w:t>ourt on the contested issues, to discern the ambit of the interlocutory applications, t</w:t>
      </w:r>
      <w:r>
        <w:rPr>
          <w:rFonts w:ascii="Times New Roman" w:hAnsi="Times New Roman" w:cs="Times New Roman"/>
          <w:sz w:val="28"/>
          <w:szCs w:val="28"/>
        </w:rPr>
        <w:t xml:space="preserve">he question </w:t>
      </w:r>
      <w:r w:rsidR="00FD6AE6">
        <w:rPr>
          <w:rFonts w:ascii="Times New Roman" w:hAnsi="Times New Roman" w:cs="Times New Roman"/>
          <w:sz w:val="28"/>
          <w:szCs w:val="28"/>
        </w:rPr>
        <w:t xml:space="preserve">of law </w:t>
      </w:r>
      <w:r>
        <w:rPr>
          <w:rFonts w:ascii="Times New Roman" w:hAnsi="Times New Roman" w:cs="Times New Roman"/>
          <w:sz w:val="28"/>
          <w:szCs w:val="28"/>
        </w:rPr>
        <w:t>was filed belated</w:t>
      </w:r>
      <w:r w:rsidR="00FD6AE6">
        <w:rPr>
          <w:rFonts w:ascii="Times New Roman" w:hAnsi="Times New Roman" w:cs="Times New Roman"/>
          <w:sz w:val="28"/>
          <w:szCs w:val="28"/>
        </w:rPr>
        <w:t xml:space="preserve">ly. It </w:t>
      </w:r>
      <w:r>
        <w:rPr>
          <w:rFonts w:ascii="Times New Roman" w:hAnsi="Times New Roman" w:cs="Times New Roman"/>
          <w:sz w:val="28"/>
          <w:szCs w:val="28"/>
        </w:rPr>
        <w:t xml:space="preserve">was </w:t>
      </w:r>
      <w:r w:rsidR="001863C5">
        <w:rPr>
          <w:rFonts w:ascii="Times New Roman" w:hAnsi="Times New Roman" w:cs="Times New Roman"/>
          <w:sz w:val="28"/>
          <w:szCs w:val="28"/>
        </w:rPr>
        <w:t xml:space="preserve">not amongst the </w:t>
      </w:r>
      <w:r>
        <w:rPr>
          <w:rFonts w:ascii="Times New Roman" w:hAnsi="Times New Roman" w:cs="Times New Roman"/>
          <w:sz w:val="28"/>
          <w:szCs w:val="28"/>
        </w:rPr>
        <w:t xml:space="preserve">interlocutory </w:t>
      </w:r>
      <w:r w:rsidR="001863C5">
        <w:rPr>
          <w:rFonts w:ascii="Times New Roman" w:hAnsi="Times New Roman" w:cs="Times New Roman"/>
          <w:sz w:val="28"/>
          <w:szCs w:val="28"/>
        </w:rPr>
        <w:t xml:space="preserve">matters certified for determination by </w:t>
      </w:r>
      <w:proofErr w:type="spellStart"/>
      <w:r w:rsidR="001863C5">
        <w:rPr>
          <w:rFonts w:ascii="Times New Roman" w:hAnsi="Times New Roman" w:cs="Times New Roman"/>
          <w:sz w:val="28"/>
          <w:szCs w:val="28"/>
        </w:rPr>
        <w:t>Senyatsi</w:t>
      </w:r>
      <w:proofErr w:type="spellEnd"/>
      <w:r w:rsidR="001863C5">
        <w:rPr>
          <w:rFonts w:ascii="Times New Roman" w:hAnsi="Times New Roman" w:cs="Times New Roman"/>
          <w:sz w:val="28"/>
          <w:szCs w:val="28"/>
        </w:rPr>
        <w:t xml:space="preserve"> J. </w:t>
      </w:r>
      <w:r w:rsidR="005E6D90">
        <w:rPr>
          <w:rFonts w:ascii="Times New Roman" w:hAnsi="Times New Roman" w:cs="Times New Roman"/>
          <w:sz w:val="28"/>
          <w:szCs w:val="28"/>
        </w:rPr>
        <w:t xml:space="preserve">Counsel for the applicants rightly objected to the adjudication of the newly raised point of law. </w:t>
      </w:r>
    </w:p>
    <w:p w14:paraId="04657D87" w14:textId="260D4B88" w:rsidR="003217A7" w:rsidRDefault="005E6D90" w:rsidP="00950F3C">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D45F31">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proofErr w:type="spellStart"/>
      <w:r w:rsidRPr="006B5A3D">
        <w:rPr>
          <w:rFonts w:ascii="Times New Roman" w:hAnsi="Times New Roman" w:cs="Times New Roman"/>
          <w:color w:val="000000"/>
          <w:sz w:val="28"/>
          <w:szCs w:val="28"/>
        </w:rPr>
        <w:t>Floxifor</w:t>
      </w:r>
      <w:proofErr w:type="spellEnd"/>
      <w:r>
        <w:rPr>
          <w:rFonts w:ascii="Times New Roman" w:hAnsi="Times New Roman" w:cs="Times New Roman"/>
          <w:sz w:val="28"/>
          <w:szCs w:val="28"/>
        </w:rPr>
        <w:t xml:space="preserve"> raised </w:t>
      </w:r>
      <w:r w:rsidR="00195308">
        <w:rPr>
          <w:rFonts w:ascii="Times New Roman" w:hAnsi="Times New Roman" w:cs="Times New Roman"/>
          <w:sz w:val="28"/>
          <w:szCs w:val="28"/>
        </w:rPr>
        <w:t xml:space="preserve">the questions </w:t>
      </w:r>
      <w:r>
        <w:rPr>
          <w:rFonts w:ascii="Times New Roman" w:hAnsi="Times New Roman" w:cs="Times New Roman"/>
          <w:sz w:val="28"/>
          <w:szCs w:val="28"/>
        </w:rPr>
        <w:t xml:space="preserve">after the case management meeting and the order authorising the interlocutory hearing. </w:t>
      </w:r>
      <w:r w:rsidR="00FD6AE6">
        <w:rPr>
          <w:rFonts w:ascii="Times New Roman" w:hAnsi="Times New Roman" w:cs="Times New Roman"/>
          <w:sz w:val="28"/>
          <w:szCs w:val="28"/>
        </w:rPr>
        <w:t>Importantly, a</w:t>
      </w:r>
      <w:r w:rsidR="003517A3">
        <w:rPr>
          <w:rFonts w:ascii="Times New Roman" w:hAnsi="Times New Roman" w:cs="Times New Roman"/>
          <w:sz w:val="28"/>
          <w:szCs w:val="28"/>
        </w:rPr>
        <w:t>s I have sought to demonstrate</w:t>
      </w:r>
      <w:r w:rsidR="00195308">
        <w:rPr>
          <w:rFonts w:ascii="Times New Roman" w:hAnsi="Times New Roman" w:cs="Times New Roman"/>
          <w:sz w:val="28"/>
          <w:szCs w:val="28"/>
        </w:rPr>
        <w:t xml:space="preserve"> </w:t>
      </w:r>
      <w:r>
        <w:rPr>
          <w:rFonts w:ascii="Times New Roman" w:hAnsi="Times New Roman" w:cs="Times New Roman"/>
          <w:sz w:val="28"/>
          <w:szCs w:val="28"/>
        </w:rPr>
        <w:t xml:space="preserve">in the </w:t>
      </w:r>
      <w:r w:rsidR="00FD6AE6">
        <w:rPr>
          <w:rFonts w:ascii="Times New Roman" w:hAnsi="Times New Roman" w:cs="Times New Roman"/>
          <w:sz w:val="28"/>
          <w:szCs w:val="28"/>
        </w:rPr>
        <w:t xml:space="preserve">substitution </w:t>
      </w:r>
      <w:r>
        <w:rPr>
          <w:rFonts w:ascii="Times New Roman" w:hAnsi="Times New Roman" w:cs="Times New Roman"/>
          <w:sz w:val="28"/>
          <w:szCs w:val="28"/>
        </w:rPr>
        <w:t xml:space="preserve">application, </w:t>
      </w:r>
      <w:r w:rsidR="002E2F79">
        <w:rPr>
          <w:rFonts w:ascii="Times New Roman" w:hAnsi="Times New Roman" w:cs="Times New Roman"/>
          <w:sz w:val="28"/>
          <w:szCs w:val="28"/>
        </w:rPr>
        <w:t>in their essence, the</w:t>
      </w:r>
      <w:r>
        <w:rPr>
          <w:rFonts w:ascii="Times New Roman" w:hAnsi="Times New Roman" w:cs="Times New Roman"/>
          <w:sz w:val="28"/>
          <w:szCs w:val="28"/>
        </w:rPr>
        <w:t xml:space="preserve"> </w:t>
      </w:r>
      <w:r w:rsidR="000A572E">
        <w:rPr>
          <w:rFonts w:ascii="Times New Roman" w:hAnsi="Times New Roman" w:cs="Times New Roman"/>
          <w:sz w:val="28"/>
          <w:szCs w:val="28"/>
        </w:rPr>
        <w:t>questions in</w:t>
      </w:r>
      <w:r w:rsidR="002E2F79">
        <w:rPr>
          <w:rFonts w:ascii="Times New Roman" w:hAnsi="Times New Roman" w:cs="Times New Roman"/>
          <w:sz w:val="28"/>
          <w:szCs w:val="28"/>
        </w:rPr>
        <w:t xml:space="preserve"> the</w:t>
      </w:r>
      <w:r w:rsidR="000A572E">
        <w:rPr>
          <w:rFonts w:ascii="Times New Roman" w:hAnsi="Times New Roman" w:cs="Times New Roman"/>
          <w:sz w:val="28"/>
          <w:szCs w:val="28"/>
        </w:rPr>
        <w:t xml:space="preserve"> </w:t>
      </w:r>
      <w:r>
        <w:rPr>
          <w:rFonts w:ascii="Times New Roman" w:hAnsi="Times New Roman" w:cs="Times New Roman"/>
          <w:sz w:val="28"/>
          <w:szCs w:val="28"/>
        </w:rPr>
        <w:t xml:space="preserve">Rule </w:t>
      </w:r>
      <w:r w:rsidRPr="00AF5E5B">
        <w:rPr>
          <w:rFonts w:ascii="Times New Roman" w:hAnsi="Times New Roman" w:cs="Times New Roman"/>
          <w:sz w:val="28"/>
          <w:szCs w:val="28"/>
        </w:rPr>
        <w:t>6(5)(d)(iii)</w:t>
      </w:r>
      <w:r>
        <w:rPr>
          <w:rFonts w:ascii="Times New Roman" w:hAnsi="Times New Roman" w:cs="Times New Roman"/>
          <w:sz w:val="28"/>
          <w:szCs w:val="28"/>
        </w:rPr>
        <w:t xml:space="preserve"> </w:t>
      </w:r>
      <w:r w:rsidR="00FD6AE6">
        <w:rPr>
          <w:rFonts w:ascii="Times New Roman" w:hAnsi="Times New Roman" w:cs="Times New Roman"/>
          <w:sz w:val="28"/>
          <w:szCs w:val="28"/>
        </w:rPr>
        <w:t>a</w:t>
      </w:r>
      <w:r w:rsidR="002E2F79">
        <w:rPr>
          <w:rFonts w:ascii="Times New Roman" w:hAnsi="Times New Roman" w:cs="Times New Roman"/>
          <w:sz w:val="28"/>
          <w:szCs w:val="28"/>
        </w:rPr>
        <w:t>re</w:t>
      </w:r>
      <w:r w:rsidR="003517A3">
        <w:rPr>
          <w:rFonts w:ascii="Times New Roman" w:hAnsi="Times New Roman" w:cs="Times New Roman"/>
          <w:sz w:val="28"/>
          <w:szCs w:val="28"/>
        </w:rPr>
        <w:t xml:space="preserve"> discrete</w:t>
      </w:r>
      <w:r>
        <w:rPr>
          <w:rFonts w:ascii="Times New Roman" w:hAnsi="Times New Roman" w:cs="Times New Roman"/>
          <w:sz w:val="28"/>
          <w:szCs w:val="28"/>
        </w:rPr>
        <w:t xml:space="preserve">. </w:t>
      </w:r>
      <w:r w:rsidR="002E2F79">
        <w:rPr>
          <w:rFonts w:ascii="Times New Roman" w:hAnsi="Times New Roman" w:cs="Times New Roman"/>
          <w:sz w:val="28"/>
          <w:szCs w:val="28"/>
        </w:rPr>
        <w:t xml:space="preserve">They </w:t>
      </w:r>
      <w:r w:rsidR="00195308">
        <w:rPr>
          <w:rFonts w:ascii="Times New Roman" w:hAnsi="Times New Roman" w:cs="Times New Roman"/>
          <w:sz w:val="28"/>
          <w:szCs w:val="28"/>
        </w:rPr>
        <w:t>c</w:t>
      </w:r>
      <w:r>
        <w:rPr>
          <w:rFonts w:ascii="Times New Roman" w:hAnsi="Times New Roman" w:cs="Times New Roman"/>
          <w:sz w:val="28"/>
          <w:szCs w:val="28"/>
        </w:rPr>
        <w:t xml:space="preserve">ould be dispositive of the entire liquidation application if </w:t>
      </w:r>
      <w:proofErr w:type="spellStart"/>
      <w:r w:rsidR="00AC07C6">
        <w:rPr>
          <w:rFonts w:ascii="Times New Roman" w:hAnsi="Times New Roman" w:cs="Times New Roman"/>
          <w:sz w:val="28"/>
          <w:szCs w:val="28"/>
        </w:rPr>
        <w:t>Floxifor</w:t>
      </w:r>
      <w:proofErr w:type="spellEnd"/>
      <w:r w:rsidR="00AC07C6">
        <w:rPr>
          <w:rFonts w:ascii="Times New Roman" w:hAnsi="Times New Roman" w:cs="Times New Roman"/>
          <w:sz w:val="28"/>
          <w:szCs w:val="28"/>
        </w:rPr>
        <w:t xml:space="preserve"> </w:t>
      </w:r>
      <w:r>
        <w:rPr>
          <w:rFonts w:ascii="Times New Roman" w:hAnsi="Times New Roman" w:cs="Times New Roman"/>
          <w:sz w:val="28"/>
          <w:szCs w:val="28"/>
        </w:rPr>
        <w:t xml:space="preserve">succeeds. </w:t>
      </w:r>
      <w:r w:rsidR="00AC07C6">
        <w:rPr>
          <w:rFonts w:ascii="Times New Roman" w:hAnsi="Times New Roman" w:cs="Times New Roman"/>
          <w:sz w:val="28"/>
          <w:szCs w:val="28"/>
        </w:rPr>
        <w:t>Those questions</w:t>
      </w:r>
      <w:r w:rsidR="002E2F79">
        <w:rPr>
          <w:rFonts w:ascii="Times New Roman" w:hAnsi="Times New Roman" w:cs="Times New Roman"/>
          <w:sz w:val="28"/>
          <w:szCs w:val="28"/>
        </w:rPr>
        <w:t xml:space="preserve"> are </w:t>
      </w:r>
      <w:r>
        <w:rPr>
          <w:rFonts w:ascii="Times New Roman" w:hAnsi="Times New Roman" w:cs="Times New Roman"/>
          <w:sz w:val="28"/>
          <w:szCs w:val="28"/>
        </w:rPr>
        <w:t xml:space="preserve">best left to the </w:t>
      </w:r>
      <w:r w:rsidR="002E2F79">
        <w:rPr>
          <w:rFonts w:ascii="Times New Roman" w:hAnsi="Times New Roman" w:cs="Times New Roman"/>
          <w:sz w:val="28"/>
          <w:szCs w:val="28"/>
        </w:rPr>
        <w:t>C</w:t>
      </w:r>
      <w:r>
        <w:rPr>
          <w:rFonts w:ascii="Times New Roman" w:hAnsi="Times New Roman" w:cs="Times New Roman"/>
          <w:sz w:val="28"/>
          <w:szCs w:val="28"/>
        </w:rPr>
        <w:t>ourt dealing with the merits of the liquidation</w:t>
      </w:r>
      <w:r w:rsidR="00AC07C6">
        <w:rPr>
          <w:rFonts w:ascii="Times New Roman" w:hAnsi="Times New Roman" w:cs="Times New Roman"/>
          <w:sz w:val="28"/>
          <w:szCs w:val="28"/>
        </w:rPr>
        <w:t xml:space="preserve"> application</w:t>
      </w:r>
      <w:r>
        <w:rPr>
          <w:rFonts w:ascii="Times New Roman" w:hAnsi="Times New Roman" w:cs="Times New Roman"/>
          <w:sz w:val="28"/>
          <w:szCs w:val="28"/>
        </w:rPr>
        <w:t xml:space="preserve">. </w:t>
      </w:r>
    </w:p>
    <w:p w14:paraId="38962DAF" w14:textId="0ABC746F" w:rsidR="00250B1D" w:rsidRDefault="00250B1D" w:rsidP="00950F3C">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D45F31">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In the result, the following order is made: </w:t>
      </w:r>
    </w:p>
    <w:p w14:paraId="74F8450D" w14:textId="1C841B8A" w:rsidR="00D41618" w:rsidRDefault="002E2F79" w:rsidP="00950F3C">
      <w:pPr>
        <w:spacing w:line="360" w:lineRule="auto"/>
        <w:ind w:left="720"/>
        <w:jc w:val="both"/>
        <w:rPr>
          <w:rFonts w:ascii="Times New Roman" w:hAnsi="Times New Roman" w:cs="Times New Roman"/>
          <w:color w:val="000000"/>
          <w:sz w:val="28"/>
          <w:szCs w:val="28"/>
        </w:rPr>
      </w:pPr>
      <w:r>
        <w:rPr>
          <w:rFonts w:ascii="Times New Roman" w:hAnsi="Times New Roman" w:cs="Times New Roman"/>
          <w:sz w:val="28"/>
          <w:szCs w:val="28"/>
        </w:rPr>
        <w:t xml:space="preserve">a. </w:t>
      </w:r>
      <w:r w:rsidR="004962AF">
        <w:rPr>
          <w:rFonts w:ascii="Times New Roman" w:hAnsi="Times New Roman" w:cs="Times New Roman"/>
          <w:color w:val="000000"/>
          <w:sz w:val="28"/>
          <w:szCs w:val="28"/>
        </w:rPr>
        <w:t xml:space="preserve">The objection to the </w:t>
      </w:r>
      <w:r w:rsidR="00D41618">
        <w:rPr>
          <w:rFonts w:ascii="Times New Roman" w:hAnsi="Times New Roman" w:cs="Times New Roman"/>
          <w:color w:val="000000"/>
          <w:sz w:val="28"/>
          <w:szCs w:val="28"/>
        </w:rPr>
        <w:t xml:space="preserve">Rule 7(1) notice </w:t>
      </w:r>
      <w:r w:rsidR="004962AF">
        <w:rPr>
          <w:rFonts w:ascii="Times New Roman" w:hAnsi="Times New Roman" w:cs="Times New Roman"/>
          <w:color w:val="000000"/>
          <w:sz w:val="28"/>
          <w:szCs w:val="28"/>
        </w:rPr>
        <w:t xml:space="preserve">succeeds, and the Rule 7(1) notice is </w:t>
      </w:r>
      <w:r w:rsidR="00D41618" w:rsidRPr="004962AF">
        <w:rPr>
          <w:rFonts w:ascii="Times New Roman" w:hAnsi="Times New Roman" w:cs="Times New Roman"/>
          <w:color w:val="000000"/>
          <w:sz w:val="28"/>
          <w:szCs w:val="28"/>
        </w:rPr>
        <w:t>set aside.</w:t>
      </w:r>
    </w:p>
    <w:p w14:paraId="54BD1763" w14:textId="20DA906D" w:rsidR="00D41618" w:rsidRDefault="002E2F79" w:rsidP="00950F3C">
      <w:pPr>
        <w:spacing w:line="36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b. </w:t>
      </w:r>
      <w:r w:rsidR="004962AF">
        <w:rPr>
          <w:rFonts w:ascii="Times New Roman" w:hAnsi="Times New Roman" w:cs="Times New Roman"/>
          <w:color w:val="000000"/>
          <w:sz w:val="28"/>
          <w:szCs w:val="28"/>
        </w:rPr>
        <w:t xml:space="preserve">The </w:t>
      </w:r>
      <w:r w:rsidR="00D41618">
        <w:rPr>
          <w:rFonts w:ascii="Times New Roman" w:hAnsi="Times New Roman" w:cs="Times New Roman"/>
          <w:color w:val="000000"/>
          <w:sz w:val="28"/>
          <w:szCs w:val="28"/>
        </w:rPr>
        <w:t xml:space="preserve">determination of the admission of the supplementary affidavit is deferred to the Court hearing the liquidation application. </w:t>
      </w:r>
    </w:p>
    <w:p w14:paraId="7B41A965" w14:textId="34DF5610" w:rsidR="007F3071" w:rsidRDefault="002E2F79" w:rsidP="00B6478E">
      <w:pPr>
        <w:spacing w:line="36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 </w:t>
      </w:r>
      <w:r w:rsidR="004962AF" w:rsidRPr="002548C4">
        <w:rPr>
          <w:rFonts w:ascii="Times New Roman" w:hAnsi="Times New Roman" w:cs="Times New Roman"/>
          <w:color w:val="000000"/>
          <w:sz w:val="28"/>
          <w:szCs w:val="28"/>
        </w:rPr>
        <w:t>Cornea Liebenberg and Sandre van Niekerk</w:t>
      </w:r>
      <w:r w:rsidR="004962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are substitute</w:t>
      </w:r>
      <w:r w:rsidR="007732C7">
        <w:rPr>
          <w:rFonts w:ascii="Times New Roman" w:hAnsi="Times New Roman" w:cs="Times New Roman"/>
          <w:color w:val="000000"/>
          <w:sz w:val="28"/>
          <w:szCs w:val="28"/>
        </w:rPr>
        <w:t>d</w:t>
      </w:r>
      <w:r>
        <w:rPr>
          <w:rFonts w:ascii="Times New Roman" w:hAnsi="Times New Roman" w:cs="Times New Roman"/>
          <w:color w:val="000000"/>
          <w:sz w:val="28"/>
          <w:szCs w:val="28"/>
        </w:rPr>
        <w:t xml:space="preserve"> </w:t>
      </w:r>
      <w:r w:rsidR="004962AF">
        <w:rPr>
          <w:rFonts w:ascii="Times New Roman" w:hAnsi="Times New Roman" w:cs="Times New Roman"/>
          <w:color w:val="000000"/>
          <w:sz w:val="28"/>
          <w:szCs w:val="28"/>
        </w:rPr>
        <w:t>as</w:t>
      </w:r>
      <w:r w:rsidR="004962AF" w:rsidRPr="00E365E8">
        <w:rPr>
          <w:rFonts w:ascii="Times New Roman" w:hAnsi="Times New Roman" w:cs="Times New Roman"/>
          <w:color w:val="000000"/>
          <w:sz w:val="28"/>
          <w:szCs w:val="28"/>
        </w:rPr>
        <w:t xml:space="preserve"> new trustees</w:t>
      </w:r>
      <w:r w:rsidR="004962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and </w:t>
      </w:r>
      <w:r w:rsidRPr="00381E02">
        <w:rPr>
          <w:rFonts w:ascii="Times New Roman" w:hAnsi="Times New Roman" w:cs="Times New Roman"/>
          <w:color w:val="000000"/>
          <w:sz w:val="28"/>
          <w:szCs w:val="28"/>
        </w:rPr>
        <w:t>are</w:t>
      </w:r>
      <w:r w:rsidR="00250B1D" w:rsidRPr="00381E02">
        <w:rPr>
          <w:rFonts w:ascii="Times New Roman" w:hAnsi="Times New Roman" w:cs="Times New Roman"/>
          <w:color w:val="000000"/>
          <w:sz w:val="28"/>
          <w:szCs w:val="28"/>
        </w:rPr>
        <w:t xml:space="preserve"> joined as </w:t>
      </w:r>
      <w:r w:rsidRPr="00381E02">
        <w:rPr>
          <w:rFonts w:ascii="Times New Roman" w:hAnsi="Times New Roman" w:cs="Times New Roman"/>
          <w:color w:val="000000"/>
          <w:sz w:val="28"/>
          <w:szCs w:val="28"/>
        </w:rPr>
        <w:t xml:space="preserve">second and third </w:t>
      </w:r>
      <w:r w:rsidR="00250B1D" w:rsidRPr="00381E02">
        <w:rPr>
          <w:rFonts w:ascii="Times New Roman" w:hAnsi="Times New Roman" w:cs="Times New Roman"/>
          <w:color w:val="000000"/>
          <w:sz w:val="28"/>
          <w:szCs w:val="28"/>
        </w:rPr>
        <w:t>respondents</w:t>
      </w:r>
      <w:r w:rsidRPr="00381E02">
        <w:rPr>
          <w:rFonts w:ascii="Times New Roman" w:hAnsi="Times New Roman" w:cs="Times New Roman"/>
          <w:color w:val="000000"/>
          <w:sz w:val="28"/>
          <w:szCs w:val="28"/>
        </w:rPr>
        <w:t xml:space="preserve"> to the liquidation application</w:t>
      </w:r>
      <w:r w:rsidR="00250B1D" w:rsidRPr="00381E02">
        <w:rPr>
          <w:rFonts w:ascii="Times New Roman" w:hAnsi="Times New Roman" w:cs="Times New Roman"/>
          <w:color w:val="000000"/>
          <w:sz w:val="28"/>
          <w:szCs w:val="28"/>
        </w:rPr>
        <w:t>.</w:t>
      </w:r>
    </w:p>
    <w:p w14:paraId="7151C24B" w14:textId="7A4D183E" w:rsidR="002E2F79" w:rsidRDefault="002E2F79" w:rsidP="00B6478E">
      <w:pPr>
        <w:spacing w:line="36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d.</w:t>
      </w:r>
      <w:r w:rsidRPr="002E2F79">
        <w:rPr>
          <w:rFonts w:ascii="Times New Roman" w:hAnsi="Times New Roman" w:cs="Times New Roman"/>
          <w:sz w:val="28"/>
          <w:szCs w:val="28"/>
        </w:rPr>
        <w:t xml:space="preserve"> </w:t>
      </w:r>
      <w:r>
        <w:rPr>
          <w:rFonts w:ascii="Times New Roman" w:hAnsi="Times New Roman" w:cs="Times New Roman"/>
          <w:sz w:val="28"/>
          <w:szCs w:val="28"/>
        </w:rPr>
        <w:t>The point</w:t>
      </w:r>
      <w:r w:rsidR="00195308">
        <w:rPr>
          <w:rFonts w:ascii="Times New Roman" w:hAnsi="Times New Roman" w:cs="Times New Roman"/>
          <w:sz w:val="28"/>
          <w:szCs w:val="28"/>
        </w:rPr>
        <w:t>s</w:t>
      </w:r>
      <w:r>
        <w:rPr>
          <w:rFonts w:ascii="Times New Roman" w:hAnsi="Times New Roman" w:cs="Times New Roman"/>
          <w:sz w:val="28"/>
          <w:szCs w:val="28"/>
        </w:rPr>
        <w:t xml:space="preserve"> of law in</w:t>
      </w:r>
      <w:r w:rsidR="007732C7">
        <w:rPr>
          <w:rFonts w:ascii="Times New Roman" w:hAnsi="Times New Roman" w:cs="Times New Roman"/>
          <w:sz w:val="28"/>
          <w:szCs w:val="28"/>
        </w:rPr>
        <w:t xml:space="preserve"> the</w:t>
      </w:r>
      <w:r>
        <w:rPr>
          <w:rFonts w:ascii="Times New Roman" w:hAnsi="Times New Roman" w:cs="Times New Roman"/>
          <w:sz w:val="28"/>
          <w:szCs w:val="28"/>
        </w:rPr>
        <w:t xml:space="preserve"> Rule </w:t>
      </w:r>
      <w:r w:rsidRPr="00AF5E5B">
        <w:rPr>
          <w:rFonts w:ascii="Times New Roman" w:hAnsi="Times New Roman" w:cs="Times New Roman"/>
          <w:sz w:val="28"/>
          <w:szCs w:val="28"/>
        </w:rPr>
        <w:t>6(5)(d)(iii)</w:t>
      </w:r>
      <w:r>
        <w:rPr>
          <w:rFonts w:ascii="Times New Roman" w:hAnsi="Times New Roman" w:cs="Times New Roman"/>
          <w:sz w:val="28"/>
          <w:szCs w:val="28"/>
        </w:rPr>
        <w:t xml:space="preserve"> </w:t>
      </w:r>
      <w:r w:rsidR="007732C7">
        <w:rPr>
          <w:rFonts w:ascii="Times New Roman" w:hAnsi="Times New Roman" w:cs="Times New Roman"/>
          <w:sz w:val="28"/>
          <w:szCs w:val="28"/>
        </w:rPr>
        <w:t xml:space="preserve">are </w:t>
      </w:r>
      <w:r>
        <w:rPr>
          <w:rFonts w:ascii="Times New Roman" w:hAnsi="Times New Roman" w:cs="Times New Roman"/>
          <w:color w:val="000000"/>
          <w:sz w:val="28"/>
          <w:szCs w:val="28"/>
        </w:rPr>
        <w:t>deferred to the Court hearing the liquidation application.</w:t>
      </w:r>
    </w:p>
    <w:p w14:paraId="2E9BAD60" w14:textId="791075B5" w:rsidR="00195308" w:rsidRPr="009D7804" w:rsidRDefault="00195308" w:rsidP="00B6478E">
      <w:pPr>
        <w:spacing w:line="360" w:lineRule="auto"/>
        <w:ind w:left="720"/>
        <w:jc w:val="both"/>
        <w:rPr>
          <w:rFonts w:ascii="Times New Roman" w:hAnsi="Times New Roman" w:cs="Times New Roman"/>
        </w:rPr>
      </w:pPr>
      <w:r>
        <w:rPr>
          <w:rFonts w:ascii="Times New Roman" w:hAnsi="Times New Roman" w:cs="Times New Roman"/>
          <w:color w:val="000000"/>
          <w:sz w:val="28"/>
          <w:szCs w:val="28"/>
        </w:rPr>
        <w:t xml:space="preserve">e. </w:t>
      </w:r>
      <w:proofErr w:type="spellStart"/>
      <w:r w:rsidR="006C2CCD">
        <w:rPr>
          <w:rFonts w:ascii="Times New Roman" w:hAnsi="Times New Roman" w:cs="Times New Roman"/>
          <w:color w:val="000000"/>
          <w:sz w:val="28"/>
          <w:szCs w:val="28"/>
        </w:rPr>
        <w:t>Floxifor</w:t>
      </w:r>
      <w:proofErr w:type="spellEnd"/>
      <w:r>
        <w:rPr>
          <w:rFonts w:ascii="Times New Roman" w:hAnsi="Times New Roman" w:cs="Times New Roman"/>
          <w:color w:val="000000"/>
          <w:sz w:val="28"/>
          <w:szCs w:val="28"/>
        </w:rPr>
        <w:t xml:space="preserve"> is ordered to pay all the costs occasioned by the Rule 7(1) notice, the</w:t>
      </w:r>
      <w:r w:rsidR="006F7236">
        <w:rPr>
          <w:rFonts w:ascii="Times New Roman" w:hAnsi="Times New Roman" w:cs="Times New Roman"/>
          <w:color w:val="000000"/>
          <w:sz w:val="28"/>
          <w:szCs w:val="28"/>
        </w:rPr>
        <w:t xml:space="preserve"> Rule 30 application in opposition thereto, the</w:t>
      </w:r>
      <w:r>
        <w:rPr>
          <w:rFonts w:ascii="Times New Roman" w:hAnsi="Times New Roman" w:cs="Times New Roman"/>
          <w:color w:val="000000"/>
          <w:sz w:val="28"/>
          <w:szCs w:val="28"/>
        </w:rPr>
        <w:t xml:space="preserve"> Rule 15 </w:t>
      </w:r>
      <w:r w:rsidR="00381E02">
        <w:rPr>
          <w:rFonts w:ascii="Times New Roman" w:hAnsi="Times New Roman" w:cs="Times New Roman"/>
          <w:color w:val="000000"/>
          <w:sz w:val="28"/>
          <w:szCs w:val="28"/>
        </w:rPr>
        <w:t>application,</w:t>
      </w:r>
      <w:r>
        <w:rPr>
          <w:rFonts w:ascii="Times New Roman" w:hAnsi="Times New Roman" w:cs="Times New Roman"/>
          <w:color w:val="000000"/>
          <w:sz w:val="28"/>
          <w:szCs w:val="28"/>
        </w:rPr>
        <w:t xml:space="preserve"> and the opposition to the substitution.</w:t>
      </w:r>
    </w:p>
    <w:p w14:paraId="728875FB" w14:textId="07809280" w:rsidR="00936413" w:rsidRDefault="00936413" w:rsidP="00B6478E">
      <w:pPr>
        <w:spacing w:after="0" w:line="360" w:lineRule="auto"/>
        <w:jc w:val="right"/>
        <w:rPr>
          <w:rFonts w:ascii="Segoe UI" w:eastAsia="Segoe UI" w:hAnsi="Segoe UI" w:cs="Segoe UI"/>
          <w:color w:val="323130"/>
          <w:sz w:val="28"/>
          <w:szCs w:val="28"/>
        </w:rPr>
      </w:pPr>
      <w:r>
        <w:rPr>
          <w:rFonts w:ascii="Segoe UI" w:eastAsia="Segoe UI" w:hAnsi="Segoe UI" w:cs="Segoe UI"/>
          <w:color w:val="323130"/>
          <w:sz w:val="28"/>
          <w:szCs w:val="28"/>
        </w:rPr>
        <w:tab/>
      </w:r>
      <w:r>
        <w:rPr>
          <w:rFonts w:ascii="Segoe UI" w:eastAsia="Segoe UI" w:hAnsi="Segoe UI" w:cs="Segoe UI"/>
          <w:color w:val="323130"/>
          <w:sz w:val="28"/>
          <w:szCs w:val="28"/>
        </w:rPr>
        <w:tab/>
      </w:r>
      <w:r>
        <w:rPr>
          <w:rFonts w:ascii="Segoe UI" w:eastAsia="Segoe UI" w:hAnsi="Segoe UI" w:cs="Segoe UI"/>
          <w:color w:val="323130"/>
          <w:sz w:val="28"/>
          <w:szCs w:val="28"/>
        </w:rPr>
        <w:tab/>
      </w:r>
      <w:r>
        <w:rPr>
          <w:rFonts w:ascii="Segoe UI" w:eastAsia="Segoe UI" w:hAnsi="Segoe UI" w:cs="Segoe UI"/>
          <w:color w:val="323130"/>
          <w:sz w:val="28"/>
          <w:szCs w:val="28"/>
        </w:rPr>
        <w:tab/>
      </w:r>
      <w:r>
        <w:rPr>
          <w:rFonts w:ascii="Segoe UI" w:eastAsia="Segoe UI" w:hAnsi="Segoe UI" w:cs="Segoe UI"/>
          <w:color w:val="323130"/>
          <w:sz w:val="28"/>
          <w:szCs w:val="28"/>
        </w:rPr>
        <w:tab/>
      </w:r>
      <w:r>
        <w:rPr>
          <w:rFonts w:ascii="Segoe UI" w:eastAsia="Segoe UI" w:hAnsi="Segoe UI" w:cs="Segoe UI"/>
          <w:color w:val="323130"/>
          <w:sz w:val="28"/>
          <w:szCs w:val="28"/>
        </w:rPr>
        <w:tab/>
      </w:r>
      <w:r>
        <w:rPr>
          <w:rFonts w:ascii="Segoe UI" w:eastAsia="Segoe UI" w:hAnsi="Segoe UI" w:cs="Segoe UI"/>
          <w:color w:val="323130"/>
          <w:sz w:val="28"/>
          <w:szCs w:val="28"/>
        </w:rPr>
        <w:tab/>
        <w:t>______________</w:t>
      </w:r>
      <w:r w:rsidR="00950F3C">
        <w:rPr>
          <w:rFonts w:ascii="Segoe UI" w:eastAsia="Segoe UI" w:hAnsi="Segoe UI" w:cs="Segoe UI"/>
          <w:color w:val="323130"/>
          <w:sz w:val="28"/>
          <w:szCs w:val="28"/>
        </w:rPr>
        <w:t>___________</w:t>
      </w:r>
    </w:p>
    <w:p w14:paraId="531BC1DF" w14:textId="6D62B914" w:rsidR="00ED557C" w:rsidRPr="00ED557C" w:rsidRDefault="00ED557C" w:rsidP="00B6478E">
      <w:pPr>
        <w:spacing w:after="0" w:line="240" w:lineRule="auto"/>
        <w:jc w:val="right"/>
        <w:rPr>
          <w:rFonts w:ascii="Times New Roman" w:eastAsia="Segoe UI" w:hAnsi="Times New Roman" w:cs="Times New Roman"/>
          <w:color w:val="323130"/>
          <w:sz w:val="28"/>
          <w:szCs w:val="28"/>
        </w:rPr>
      </w:pPr>
      <w:r w:rsidRPr="00ED557C">
        <w:rPr>
          <w:rFonts w:ascii="Times New Roman" w:eastAsia="Segoe UI" w:hAnsi="Times New Roman" w:cs="Times New Roman"/>
          <w:color w:val="323130"/>
          <w:sz w:val="28"/>
          <w:szCs w:val="28"/>
        </w:rPr>
        <w:t>SIWENDU J</w:t>
      </w:r>
    </w:p>
    <w:p w14:paraId="4435B083" w14:textId="46F9ACC8" w:rsidR="00ED557C" w:rsidRDefault="00667CF6" w:rsidP="00B6478E">
      <w:pPr>
        <w:spacing w:line="240" w:lineRule="auto"/>
        <w:jc w:val="right"/>
        <w:rPr>
          <w:rFonts w:ascii="Times New Roman" w:eastAsia="Segoe UI" w:hAnsi="Times New Roman" w:cs="Times New Roman"/>
          <w:color w:val="323130"/>
          <w:sz w:val="28"/>
          <w:szCs w:val="28"/>
        </w:rPr>
      </w:pPr>
      <w:r>
        <w:rPr>
          <w:rFonts w:ascii="Times New Roman" w:eastAsia="Segoe UI" w:hAnsi="Times New Roman" w:cs="Times New Roman"/>
          <w:color w:val="323130"/>
          <w:sz w:val="28"/>
          <w:szCs w:val="28"/>
        </w:rPr>
        <w:tab/>
      </w:r>
      <w:r>
        <w:rPr>
          <w:rFonts w:ascii="Times New Roman" w:eastAsia="Segoe UI" w:hAnsi="Times New Roman" w:cs="Times New Roman"/>
          <w:color w:val="323130"/>
          <w:sz w:val="28"/>
          <w:szCs w:val="28"/>
        </w:rPr>
        <w:tab/>
      </w:r>
      <w:r>
        <w:rPr>
          <w:rFonts w:ascii="Times New Roman" w:eastAsia="Segoe UI" w:hAnsi="Times New Roman" w:cs="Times New Roman"/>
          <w:color w:val="323130"/>
          <w:sz w:val="28"/>
          <w:szCs w:val="28"/>
        </w:rPr>
        <w:tab/>
      </w:r>
      <w:r>
        <w:rPr>
          <w:rFonts w:ascii="Times New Roman" w:eastAsia="Segoe UI" w:hAnsi="Times New Roman" w:cs="Times New Roman"/>
          <w:color w:val="323130"/>
          <w:sz w:val="28"/>
          <w:szCs w:val="28"/>
        </w:rPr>
        <w:tab/>
      </w:r>
      <w:r>
        <w:rPr>
          <w:rFonts w:ascii="Times New Roman" w:eastAsia="Segoe UI" w:hAnsi="Times New Roman" w:cs="Times New Roman"/>
          <w:color w:val="323130"/>
          <w:sz w:val="28"/>
          <w:szCs w:val="28"/>
        </w:rPr>
        <w:tab/>
      </w:r>
      <w:r>
        <w:rPr>
          <w:rFonts w:ascii="Times New Roman" w:eastAsia="Segoe UI" w:hAnsi="Times New Roman" w:cs="Times New Roman"/>
          <w:color w:val="323130"/>
          <w:sz w:val="28"/>
          <w:szCs w:val="28"/>
        </w:rPr>
        <w:tab/>
      </w:r>
      <w:r>
        <w:rPr>
          <w:rFonts w:ascii="Times New Roman" w:eastAsia="Segoe UI" w:hAnsi="Times New Roman" w:cs="Times New Roman"/>
          <w:color w:val="323130"/>
          <w:sz w:val="28"/>
          <w:szCs w:val="28"/>
        </w:rPr>
        <w:tab/>
        <w:t>JUDGE OF THE HIGH COURT</w:t>
      </w:r>
    </w:p>
    <w:p w14:paraId="763CA5ED" w14:textId="16711C62" w:rsidR="00ED557C" w:rsidRDefault="00667CF6" w:rsidP="00B6478E">
      <w:pPr>
        <w:spacing w:line="240" w:lineRule="auto"/>
        <w:jc w:val="right"/>
        <w:rPr>
          <w:rFonts w:ascii="Times New Roman" w:eastAsia="Segoe UI" w:hAnsi="Times New Roman" w:cs="Times New Roman"/>
          <w:color w:val="323130"/>
          <w:sz w:val="28"/>
          <w:szCs w:val="28"/>
        </w:rPr>
      </w:pPr>
      <w:r>
        <w:rPr>
          <w:rFonts w:ascii="Times New Roman" w:eastAsia="Segoe UI" w:hAnsi="Times New Roman" w:cs="Times New Roman"/>
          <w:color w:val="323130"/>
          <w:sz w:val="28"/>
          <w:szCs w:val="28"/>
        </w:rPr>
        <w:tab/>
      </w:r>
      <w:r>
        <w:rPr>
          <w:rFonts w:ascii="Times New Roman" w:eastAsia="Segoe UI" w:hAnsi="Times New Roman" w:cs="Times New Roman"/>
          <w:color w:val="323130"/>
          <w:sz w:val="28"/>
          <w:szCs w:val="28"/>
        </w:rPr>
        <w:tab/>
      </w:r>
      <w:r>
        <w:rPr>
          <w:rFonts w:ascii="Times New Roman" w:eastAsia="Segoe UI" w:hAnsi="Times New Roman" w:cs="Times New Roman"/>
          <w:color w:val="323130"/>
          <w:sz w:val="28"/>
          <w:szCs w:val="28"/>
        </w:rPr>
        <w:tab/>
      </w:r>
      <w:r>
        <w:rPr>
          <w:rFonts w:ascii="Times New Roman" w:eastAsia="Segoe UI" w:hAnsi="Times New Roman" w:cs="Times New Roman"/>
          <w:color w:val="323130"/>
          <w:sz w:val="28"/>
          <w:szCs w:val="28"/>
        </w:rPr>
        <w:tab/>
      </w:r>
      <w:r>
        <w:rPr>
          <w:rFonts w:ascii="Times New Roman" w:eastAsia="Segoe UI" w:hAnsi="Times New Roman" w:cs="Times New Roman"/>
          <w:color w:val="323130"/>
          <w:sz w:val="28"/>
          <w:szCs w:val="28"/>
        </w:rPr>
        <w:tab/>
        <w:t>GAUTENG DIVISION,</w:t>
      </w:r>
      <w:r w:rsidR="002C5E63">
        <w:rPr>
          <w:rFonts w:ascii="Times New Roman" w:eastAsia="Segoe UI" w:hAnsi="Times New Roman" w:cs="Times New Roman"/>
          <w:color w:val="323130"/>
          <w:sz w:val="28"/>
          <w:szCs w:val="28"/>
        </w:rPr>
        <w:t xml:space="preserve"> JOHA</w:t>
      </w:r>
      <w:r>
        <w:rPr>
          <w:rFonts w:ascii="Times New Roman" w:eastAsia="Segoe UI" w:hAnsi="Times New Roman" w:cs="Times New Roman"/>
          <w:color w:val="323130"/>
          <w:sz w:val="28"/>
          <w:szCs w:val="28"/>
        </w:rPr>
        <w:t>NNESBURG</w:t>
      </w:r>
    </w:p>
    <w:p w14:paraId="635D7822" w14:textId="77777777" w:rsidR="00ED557C" w:rsidRDefault="00ED557C" w:rsidP="002C5E63">
      <w:pPr>
        <w:spacing w:line="240" w:lineRule="auto"/>
        <w:rPr>
          <w:rFonts w:ascii="Times New Roman" w:eastAsia="Segoe UI" w:hAnsi="Times New Roman" w:cs="Times New Roman"/>
          <w:color w:val="323130"/>
          <w:sz w:val="28"/>
          <w:szCs w:val="28"/>
        </w:rPr>
      </w:pPr>
    </w:p>
    <w:p w14:paraId="2DECAD02" w14:textId="17C78E6B" w:rsidR="00ED557C" w:rsidRDefault="00183BE1" w:rsidP="0018217D">
      <w:pPr>
        <w:spacing w:line="276" w:lineRule="auto"/>
        <w:jc w:val="both"/>
        <w:rPr>
          <w:rFonts w:ascii="Times New Roman" w:eastAsia="Segoe UI" w:hAnsi="Times New Roman" w:cs="Times New Roman"/>
          <w:color w:val="323130"/>
          <w:sz w:val="28"/>
          <w:szCs w:val="28"/>
        </w:rPr>
      </w:pPr>
      <w:r w:rsidRPr="00183BE1">
        <w:rPr>
          <w:rFonts w:ascii="Times New Roman" w:eastAsia="Segoe UI" w:hAnsi="Times New Roman" w:cs="Times New Roman"/>
          <w:color w:val="323130"/>
          <w:sz w:val="28"/>
          <w:szCs w:val="28"/>
          <w:lang w:val="en-US"/>
        </w:rPr>
        <w:t xml:space="preserve">This judgment is handed down electronically by circulation to the </w:t>
      </w:r>
      <w:r w:rsidR="00650A45">
        <w:rPr>
          <w:rFonts w:ascii="Times New Roman" w:eastAsia="Segoe UI" w:hAnsi="Times New Roman" w:cs="Times New Roman"/>
          <w:color w:val="323130"/>
          <w:sz w:val="28"/>
          <w:szCs w:val="28"/>
          <w:lang w:val="en-US"/>
        </w:rPr>
        <w:t>Ap</w:t>
      </w:r>
      <w:r w:rsidRPr="00183BE1">
        <w:rPr>
          <w:rFonts w:ascii="Times New Roman" w:eastAsia="Segoe UI" w:hAnsi="Times New Roman" w:cs="Times New Roman"/>
          <w:color w:val="323130"/>
          <w:sz w:val="28"/>
          <w:szCs w:val="28"/>
          <w:lang w:val="en-US"/>
        </w:rPr>
        <w:t xml:space="preserve">plicants and the </w:t>
      </w:r>
      <w:r w:rsidR="00650A45">
        <w:rPr>
          <w:rFonts w:ascii="Times New Roman" w:eastAsia="Segoe UI" w:hAnsi="Times New Roman" w:cs="Times New Roman"/>
          <w:color w:val="323130"/>
          <w:sz w:val="28"/>
          <w:szCs w:val="28"/>
          <w:lang w:val="en-US"/>
        </w:rPr>
        <w:t>R</w:t>
      </w:r>
      <w:r w:rsidRPr="00183BE1">
        <w:rPr>
          <w:rFonts w:ascii="Times New Roman" w:eastAsia="Segoe UI" w:hAnsi="Times New Roman" w:cs="Times New Roman"/>
          <w:color w:val="323130"/>
          <w:sz w:val="28"/>
          <w:szCs w:val="28"/>
          <w:lang w:val="en-US"/>
        </w:rPr>
        <w:t>espondents</w:t>
      </w:r>
      <w:r w:rsidR="00650A45">
        <w:rPr>
          <w:rFonts w:ascii="Times New Roman" w:eastAsia="Segoe UI" w:hAnsi="Times New Roman" w:cs="Times New Roman"/>
          <w:color w:val="323130"/>
          <w:sz w:val="28"/>
          <w:szCs w:val="28"/>
          <w:lang w:val="en-US"/>
        </w:rPr>
        <w:t>’</w:t>
      </w:r>
      <w:r w:rsidRPr="00183BE1">
        <w:rPr>
          <w:rFonts w:ascii="Times New Roman" w:eastAsia="Segoe UI" w:hAnsi="Times New Roman" w:cs="Times New Roman"/>
          <w:color w:val="323130"/>
          <w:sz w:val="28"/>
          <w:szCs w:val="28"/>
          <w:lang w:val="en-US"/>
        </w:rPr>
        <w:t xml:space="preserve"> </w:t>
      </w:r>
      <w:r w:rsidR="003445DB">
        <w:rPr>
          <w:rFonts w:ascii="Times New Roman" w:eastAsia="Segoe UI" w:hAnsi="Times New Roman" w:cs="Times New Roman"/>
          <w:color w:val="323130"/>
          <w:sz w:val="28"/>
          <w:szCs w:val="28"/>
          <w:lang w:val="en-US"/>
        </w:rPr>
        <w:t>Le</w:t>
      </w:r>
      <w:r w:rsidRPr="00183BE1">
        <w:rPr>
          <w:rFonts w:ascii="Times New Roman" w:eastAsia="Segoe UI" w:hAnsi="Times New Roman" w:cs="Times New Roman"/>
          <w:color w:val="323130"/>
          <w:sz w:val="28"/>
          <w:szCs w:val="28"/>
          <w:lang w:val="en-US"/>
        </w:rPr>
        <w:t xml:space="preserve">gal </w:t>
      </w:r>
      <w:r w:rsidR="003445DB">
        <w:rPr>
          <w:rFonts w:ascii="Times New Roman" w:eastAsia="Segoe UI" w:hAnsi="Times New Roman" w:cs="Times New Roman"/>
          <w:color w:val="323130"/>
          <w:sz w:val="28"/>
          <w:szCs w:val="28"/>
          <w:lang w:val="en-US"/>
        </w:rPr>
        <w:t>R</w:t>
      </w:r>
      <w:r w:rsidRPr="00183BE1">
        <w:rPr>
          <w:rFonts w:ascii="Times New Roman" w:eastAsia="Segoe UI" w:hAnsi="Times New Roman" w:cs="Times New Roman"/>
          <w:color w:val="323130"/>
          <w:sz w:val="28"/>
          <w:szCs w:val="28"/>
          <w:lang w:val="en-US"/>
        </w:rPr>
        <w:t xml:space="preserve">epresentatives by e-mail, publication on </w:t>
      </w:r>
      <w:r w:rsidR="003445DB">
        <w:rPr>
          <w:rFonts w:ascii="Times New Roman" w:eastAsia="Segoe UI" w:hAnsi="Times New Roman" w:cs="Times New Roman"/>
          <w:color w:val="323130"/>
          <w:sz w:val="28"/>
          <w:szCs w:val="28"/>
          <w:lang w:val="en-US"/>
        </w:rPr>
        <w:t>C</w:t>
      </w:r>
      <w:r w:rsidRPr="00183BE1">
        <w:rPr>
          <w:rFonts w:ascii="Times New Roman" w:eastAsia="Segoe UI" w:hAnsi="Times New Roman" w:cs="Times New Roman"/>
          <w:color w:val="323130"/>
          <w:sz w:val="28"/>
          <w:szCs w:val="28"/>
          <w:lang w:val="en-US"/>
        </w:rPr>
        <w:t>ase</w:t>
      </w:r>
      <w:r w:rsidR="003445DB">
        <w:rPr>
          <w:rFonts w:ascii="Times New Roman" w:eastAsia="Segoe UI" w:hAnsi="Times New Roman" w:cs="Times New Roman"/>
          <w:color w:val="323130"/>
          <w:sz w:val="28"/>
          <w:szCs w:val="28"/>
          <w:lang w:val="en-US"/>
        </w:rPr>
        <w:t xml:space="preserve"> </w:t>
      </w:r>
      <w:r w:rsidR="0018217D">
        <w:rPr>
          <w:rFonts w:ascii="Times New Roman" w:eastAsia="Segoe UI" w:hAnsi="Times New Roman" w:cs="Times New Roman"/>
          <w:color w:val="323130"/>
          <w:sz w:val="28"/>
          <w:szCs w:val="28"/>
          <w:lang w:val="en-US"/>
        </w:rPr>
        <w:t>Lines</w:t>
      </w:r>
      <w:r w:rsidRPr="00183BE1">
        <w:rPr>
          <w:rFonts w:ascii="Times New Roman" w:eastAsia="Segoe UI" w:hAnsi="Times New Roman" w:cs="Times New Roman"/>
          <w:color w:val="323130"/>
          <w:sz w:val="28"/>
          <w:szCs w:val="28"/>
          <w:lang w:val="en-US"/>
        </w:rPr>
        <w:t xml:space="preserve"> and release to </w:t>
      </w:r>
      <w:r w:rsidR="0018217D">
        <w:rPr>
          <w:rFonts w:ascii="Times New Roman" w:eastAsia="Segoe UI" w:hAnsi="Times New Roman" w:cs="Times New Roman"/>
          <w:color w:val="323130"/>
          <w:sz w:val="28"/>
          <w:szCs w:val="28"/>
          <w:lang w:val="en-US"/>
        </w:rPr>
        <w:t>SAFLII</w:t>
      </w:r>
      <w:r w:rsidRPr="00183BE1">
        <w:rPr>
          <w:rFonts w:ascii="Times New Roman" w:eastAsia="Segoe UI" w:hAnsi="Times New Roman" w:cs="Times New Roman"/>
          <w:color w:val="323130"/>
          <w:sz w:val="28"/>
          <w:szCs w:val="28"/>
          <w:lang w:val="en-US"/>
        </w:rPr>
        <w:t>.</w:t>
      </w:r>
      <w:r w:rsidR="00650A45" w:rsidRPr="00650A45">
        <w:rPr>
          <w:rFonts w:ascii="Times New Roman" w:eastAsia="Segoe UI" w:hAnsi="Times New Roman" w:cs="Times New Roman"/>
          <w:color w:val="323130"/>
          <w:sz w:val="28"/>
          <w:szCs w:val="28"/>
          <w:lang w:val="en-US"/>
        </w:rPr>
        <w:t xml:space="preserve"> The date of the handing down is deemed to be 23rd of January 2024</w:t>
      </w:r>
    </w:p>
    <w:p w14:paraId="428E347D" w14:textId="77777777" w:rsidR="00ED557C" w:rsidRDefault="00ED557C" w:rsidP="00427125">
      <w:pPr>
        <w:spacing w:line="360" w:lineRule="auto"/>
        <w:rPr>
          <w:rFonts w:ascii="Times New Roman" w:eastAsia="Segoe UI" w:hAnsi="Times New Roman" w:cs="Times New Roman"/>
          <w:color w:val="323130"/>
          <w:sz w:val="28"/>
          <w:szCs w:val="28"/>
        </w:rPr>
      </w:pPr>
    </w:p>
    <w:p w14:paraId="247AF78E" w14:textId="69F04B86" w:rsidR="00FA056E" w:rsidRPr="00381E02" w:rsidRDefault="00195308" w:rsidP="00427125">
      <w:pPr>
        <w:spacing w:line="360" w:lineRule="auto"/>
        <w:rPr>
          <w:rFonts w:ascii="Times New Roman" w:eastAsia="Segoe UI" w:hAnsi="Times New Roman" w:cs="Times New Roman"/>
          <w:color w:val="323130"/>
          <w:sz w:val="28"/>
          <w:szCs w:val="28"/>
        </w:rPr>
      </w:pPr>
      <w:r w:rsidRPr="00381E02">
        <w:rPr>
          <w:rFonts w:ascii="Times New Roman" w:eastAsia="Segoe UI" w:hAnsi="Times New Roman" w:cs="Times New Roman"/>
          <w:color w:val="323130"/>
          <w:sz w:val="28"/>
          <w:szCs w:val="28"/>
        </w:rPr>
        <w:t>Date of Hearing:  2</w:t>
      </w:r>
      <w:r w:rsidR="00D45F31">
        <w:rPr>
          <w:rFonts w:ascii="Times New Roman" w:eastAsia="Segoe UI" w:hAnsi="Times New Roman" w:cs="Times New Roman"/>
          <w:color w:val="323130"/>
          <w:sz w:val="28"/>
          <w:szCs w:val="28"/>
        </w:rPr>
        <w:t xml:space="preserve">5 </w:t>
      </w:r>
      <w:r w:rsidRPr="00381E02">
        <w:rPr>
          <w:rFonts w:ascii="Times New Roman" w:eastAsia="Segoe UI" w:hAnsi="Times New Roman" w:cs="Times New Roman"/>
          <w:color w:val="323130"/>
          <w:sz w:val="28"/>
          <w:szCs w:val="28"/>
        </w:rPr>
        <w:t>October 2023</w:t>
      </w:r>
    </w:p>
    <w:p w14:paraId="73491EED" w14:textId="277137A9" w:rsidR="00195308" w:rsidRPr="00381E02" w:rsidRDefault="00195308" w:rsidP="00427125">
      <w:pPr>
        <w:spacing w:line="360" w:lineRule="auto"/>
        <w:rPr>
          <w:rFonts w:ascii="Times New Roman" w:eastAsia="Segoe UI" w:hAnsi="Times New Roman" w:cs="Times New Roman"/>
          <w:color w:val="323130"/>
          <w:sz w:val="28"/>
          <w:szCs w:val="28"/>
        </w:rPr>
      </w:pPr>
      <w:r w:rsidRPr="00381E02">
        <w:rPr>
          <w:rFonts w:ascii="Times New Roman" w:eastAsia="Segoe UI" w:hAnsi="Times New Roman" w:cs="Times New Roman"/>
          <w:color w:val="323130"/>
          <w:sz w:val="28"/>
          <w:szCs w:val="28"/>
        </w:rPr>
        <w:t xml:space="preserve">Date of Delivery: 23 January 2024 </w:t>
      </w:r>
    </w:p>
    <w:p w14:paraId="1D1FBE32" w14:textId="77777777" w:rsidR="00303DC5" w:rsidRDefault="00303DC5">
      <w:pPr>
        <w:rPr>
          <w:rFonts w:ascii="Times New Roman" w:hAnsi="Times New Roman" w:cs="Times New Roman"/>
          <w:sz w:val="28"/>
          <w:szCs w:val="28"/>
        </w:rPr>
      </w:pPr>
    </w:p>
    <w:p w14:paraId="74961625" w14:textId="69DEA2FD" w:rsidR="00084A77" w:rsidRDefault="00195308">
      <w:pPr>
        <w:rPr>
          <w:rFonts w:ascii="Times New Roman" w:hAnsi="Times New Roman" w:cs="Times New Roman"/>
          <w:sz w:val="28"/>
          <w:szCs w:val="28"/>
        </w:rPr>
      </w:pPr>
      <w:r>
        <w:rPr>
          <w:rFonts w:ascii="Times New Roman" w:hAnsi="Times New Roman" w:cs="Times New Roman"/>
          <w:sz w:val="28"/>
          <w:szCs w:val="28"/>
        </w:rPr>
        <w:t>A</w:t>
      </w:r>
      <w:r w:rsidR="00084A77" w:rsidRPr="00084A77">
        <w:rPr>
          <w:rFonts w:ascii="Times New Roman" w:hAnsi="Times New Roman" w:cs="Times New Roman"/>
          <w:sz w:val="28"/>
          <w:szCs w:val="28"/>
        </w:rPr>
        <w:t>ppearances</w:t>
      </w:r>
      <w:r w:rsidR="00084A77">
        <w:rPr>
          <w:rFonts w:ascii="Times New Roman" w:hAnsi="Times New Roman" w:cs="Times New Roman"/>
          <w:sz w:val="28"/>
          <w:szCs w:val="28"/>
        </w:rPr>
        <w:t xml:space="preserve">: </w:t>
      </w:r>
    </w:p>
    <w:p w14:paraId="1EDB1F43" w14:textId="74EE3193" w:rsidR="00084A77" w:rsidRDefault="00BB495D">
      <w:pPr>
        <w:rPr>
          <w:rFonts w:ascii="Times New Roman" w:hAnsi="Times New Roman" w:cs="Times New Roman"/>
          <w:sz w:val="28"/>
          <w:szCs w:val="28"/>
        </w:rPr>
      </w:pPr>
      <w:r>
        <w:rPr>
          <w:rFonts w:ascii="Times New Roman" w:hAnsi="Times New Roman" w:cs="Times New Roman"/>
          <w:sz w:val="28"/>
          <w:szCs w:val="28"/>
        </w:rPr>
        <w:t xml:space="preserve">For </w:t>
      </w:r>
      <w:r w:rsidR="008C717D">
        <w:rPr>
          <w:rFonts w:ascii="Times New Roman" w:hAnsi="Times New Roman" w:cs="Times New Roman"/>
          <w:sz w:val="28"/>
          <w:szCs w:val="28"/>
        </w:rPr>
        <w:t xml:space="preserve">the Applicants: </w:t>
      </w:r>
      <w:r w:rsidR="008C717D">
        <w:rPr>
          <w:rFonts w:ascii="Times New Roman" w:hAnsi="Times New Roman" w:cs="Times New Roman"/>
          <w:sz w:val="28"/>
          <w:szCs w:val="28"/>
        </w:rPr>
        <w:tab/>
      </w:r>
      <w:r w:rsidR="00084A77">
        <w:rPr>
          <w:rFonts w:ascii="Times New Roman" w:hAnsi="Times New Roman" w:cs="Times New Roman"/>
          <w:sz w:val="28"/>
          <w:szCs w:val="28"/>
        </w:rPr>
        <w:t xml:space="preserve">Adv M. Heystek </w:t>
      </w:r>
      <w:r w:rsidR="001B314A">
        <w:rPr>
          <w:rFonts w:ascii="Times New Roman" w:hAnsi="Times New Roman" w:cs="Times New Roman"/>
          <w:sz w:val="28"/>
          <w:szCs w:val="28"/>
        </w:rPr>
        <w:t>SC</w:t>
      </w:r>
    </w:p>
    <w:p w14:paraId="4297EEBD" w14:textId="189D6955" w:rsidR="00303DC5" w:rsidRDefault="008C717D">
      <w:pPr>
        <w:rPr>
          <w:rFonts w:ascii="Times New Roman" w:hAnsi="Times New Roman" w:cs="Times New Roman"/>
          <w:sz w:val="28"/>
          <w:szCs w:val="28"/>
        </w:rPr>
      </w:pPr>
      <w:r>
        <w:rPr>
          <w:rFonts w:ascii="Times New Roman" w:hAnsi="Times New Roman" w:cs="Times New Roman"/>
          <w:sz w:val="28"/>
          <w:szCs w:val="28"/>
        </w:rPr>
        <w:t xml:space="preserve">Instructed by: </w:t>
      </w:r>
      <w:r w:rsidR="006216E0">
        <w:rPr>
          <w:rFonts w:ascii="Times New Roman" w:hAnsi="Times New Roman" w:cs="Times New Roman"/>
          <w:sz w:val="28"/>
          <w:szCs w:val="28"/>
        </w:rPr>
        <w:tab/>
      </w:r>
      <w:r w:rsidR="006216E0">
        <w:rPr>
          <w:rFonts w:ascii="Times New Roman" w:hAnsi="Times New Roman" w:cs="Times New Roman"/>
          <w:sz w:val="28"/>
          <w:szCs w:val="28"/>
        </w:rPr>
        <w:tab/>
      </w:r>
      <w:r w:rsidR="00A553BB">
        <w:rPr>
          <w:rFonts w:ascii="Times New Roman" w:hAnsi="Times New Roman" w:cs="Times New Roman"/>
          <w:sz w:val="28"/>
          <w:szCs w:val="28"/>
        </w:rPr>
        <w:t xml:space="preserve">Japie Van Zyl </w:t>
      </w:r>
      <w:r w:rsidR="00303DC5">
        <w:rPr>
          <w:rFonts w:ascii="Times New Roman" w:hAnsi="Times New Roman" w:cs="Times New Roman"/>
          <w:sz w:val="28"/>
          <w:szCs w:val="28"/>
        </w:rPr>
        <w:t>Attorneys</w:t>
      </w:r>
    </w:p>
    <w:p w14:paraId="4608AB20" w14:textId="407C4F2B" w:rsidR="00DD4359" w:rsidRPr="00303DC5" w:rsidRDefault="00303DC5" w:rsidP="00303DC5">
      <w:pPr>
        <w:ind w:left="2160" w:firstLine="720"/>
        <w:rPr>
          <w:rFonts w:ascii="Times New Roman" w:hAnsi="Times New Roman" w:cs="Times New Roman"/>
          <w:sz w:val="28"/>
          <w:szCs w:val="28"/>
        </w:rPr>
      </w:pPr>
      <w:r w:rsidRPr="00303DC5">
        <w:rPr>
          <w:rFonts w:ascii="Times New Roman" w:hAnsi="Times New Roman" w:cs="Times New Roman"/>
          <w:color w:val="000000"/>
          <w:sz w:val="28"/>
          <w:szCs w:val="28"/>
        </w:rPr>
        <w:t>C/</w:t>
      </w:r>
      <w:r>
        <w:rPr>
          <w:rFonts w:ascii="Times New Roman" w:hAnsi="Times New Roman" w:cs="Times New Roman"/>
          <w:color w:val="000000"/>
          <w:sz w:val="28"/>
          <w:szCs w:val="28"/>
        </w:rPr>
        <w:t xml:space="preserve">o </w:t>
      </w:r>
      <w:proofErr w:type="spellStart"/>
      <w:r w:rsidRPr="00303DC5">
        <w:rPr>
          <w:rFonts w:ascii="Times New Roman" w:hAnsi="Times New Roman" w:cs="Times New Roman"/>
          <w:color w:val="000000"/>
          <w:sz w:val="28"/>
          <w:szCs w:val="28"/>
        </w:rPr>
        <w:t>K</w:t>
      </w:r>
      <w:r>
        <w:rPr>
          <w:rFonts w:ascii="Times New Roman" w:hAnsi="Times New Roman" w:cs="Times New Roman"/>
          <w:color w:val="000000"/>
          <w:sz w:val="28"/>
          <w:szCs w:val="28"/>
        </w:rPr>
        <w:t>okinis</w:t>
      </w:r>
      <w:proofErr w:type="spellEnd"/>
      <w:r>
        <w:rPr>
          <w:rFonts w:ascii="Times New Roman" w:hAnsi="Times New Roman" w:cs="Times New Roman"/>
          <w:color w:val="000000"/>
          <w:sz w:val="28"/>
          <w:szCs w:val="28"/>
        </w:rPr>
        <w:t xml:space="preserve"> Inc </w:t>
      </w:r>
    </w:p>
    <w:p w14:paraId="5AD8D9AF" w14:textId="0A07D8E6" w:rsidR="00DD4359" w:rsidRDefault="00DD4359">
      <w:pPr>
        <w:rPr>
          <w:rFonts w:ascii="Times New Roman" w:hAnsi="Times New Roman" w:cs="Times New Roman"/>
          <w:sz w:val="28"/>
          <w:szCs w:val="28"/>
        </w:rPr>
      </w:pPr>
      <w:r>
        <w:rPr>
          <w:rFonts w:ascii="Times New Roman" w:hAnsi="Times New Roman" w:cs="Times New Roman"/>
          <w:sz w:val="28"/>
          <w:szCs w:val="28"/>
        </w:rPr>
        <w:lastRenderedPageBreak/>
        <w:t>For the Respondent:</w:t>
      </w:r>
      <w:r w:rsidR="00F138A4">
        <w:rPr>
          <w:rFonts w:ascii="Times New Roman" w:hAnsi="Times New Roman" w:cs="Times New Roman"/>
          <w:sz w:val="28"/>
          <w:szCs w:val="28"/>
        </w:rPr>
        <w:tab/>
        <w:t xml:space="preserve">Adv </w:t>
      </w:r>
      <w:r w:rsidR="001B314A">
        <w:rPr>
          <w:rFonts w:ascii="Times New Roman" w:hAnsi="Times New Roman" w:cs="Times New Roman"/>
          <w:sz w:val="28"/>
          <w:szCs w:val="28"/>
        </w:rPr>
        <w:t>Daniel</w:t>
      </w:r>
      <w:r w:rsidR="002008D6">
        <w:rPr>
          <w:rFonts w:ascii="Times New Roman" w:hAnsi="Times New Roman" w:cs="Times New Roman"/>
          <w:sz w:val="28"/>
          <w:szCs w:val="28"/>
        </w:rPr>
        <w:t xml:space="preserve"> Sive</w:t>
      </w:r>
    </w:p>
    <w:p w14:paraId="565DDE0B" w14:textId="6A18A979" w:rsidR="008C717D" w:rsidRDefault="00DD4359">
      <w:pPr>
        <w:rPr>
          <w:rFonts w:ascii="Times New Roman" w:hAnsi="Times New Roman" w:cs="Times New Roman"/>
          <w:sz w:val="28"/>
          <w:szCs w:val="28"/>
        </w:rPr>
      </w:pPr>
      <w:r>
        <w:rPr>
          <w:rFonts w:ascii="Times New Roman" w:hAnsi="Times New Roman" w:cs="Times New Roman"/>
          <w:sz w:val="28"/>
          <w:szCs w:val="28"/>
        </w:rPr>
        <w:t xml:space="preserve">Instructed by: </w:t>
      </w:r>
      <w:r w:rsidR="008C717D">
        <w:rPr>
          <w:rFonts w:ascii="Times New Roman" w:hAnsi="Times New Roman" w:cs="Times New Roman"/>
          <w:sz w:val="28"/>
          <w:szCs w:val="28"/>
        </w:rPr>
        <w:tab/>
      </w:r>
      <w:r w:rsidR="002008D6">
        <w:rPr>
          <w:rFonts w:ascii="Times New Roman" w:hAnsi="Times New Roman" w:cs="Times New Roman"/>
          <w:sz w:val="28"/>
          <w:szCs w:val="28"/>
        </w:rPr>
        <w:tab/>
      </w:r>
      <w:r w:rsidR="00024C2A">
        <w:rPr>
          <w:rFonts w:ascii="Times New Roman" w:hAnsi="Times New Roman" w:cs="Times New Roman"/>
          <w:sz w:val="28"/>
          <w:szCs w:val="28"/>
        </w:rPr>
        <w:t>Barter McKellar Inc</w:t>
      </w:r>
      <w:r w:rsidR="00024C2A">
        <w:rPr>
          <w:rFonts w:ascii="Times New Roman" w:hAnsi="Times New Roman" w:cs="Times New Roman"/>
          <w:sz w:val="28"/>
          <w:szCs w:val="28"/>
        </w:rPr>
        <w:tab/>
      </w:r>
      <w:r w:rsidR="008C717D">
        <w:rPr>
          <w:rFonts w:ascii="Times New Roman" w:hAnsi="Times New Roman" w:cs="Times New Roman"/>
          <w:sz w:val="28"/>
          <w:szCs w:val="28"/>
        </w:rPr>
        <w:tab/>
      </w:r>
    </w:p>
    <w:p w14:paraId="1DFF7524" w14:textId="2C46453E" w:rsidR="00C41F2C" w:rsidRDefault="00084A77">
      <w:pPr>
        <w:rPr>
          <w:rFonts w:ascii="Times New Roman" w:hAnsi="Times New Roman" w:cs="Times New Roman"/>
          <w:sz w:val="28"/>
          <w:szCs w:val="28"/>
        </w:rPr>
      </w:pPr>
      <w:r>
        <w:rPr>
          <w:rFonts w:ascii="Times New Roman" w:hAnsi="Times New Roman" w:cs="Times New Roman"/>
          <w:sz w:val="28"/>
          <w:szCs w:val="28"/>
        </w:rPr>
        <w:t xml:space="preserve"> </w:t>
      </w:r>
      <w:r w:rsidRPr="00084A77">
        <w:rPr>
          <w:rFonts w:ascii="Times New Roman" w:hAnsi="Times New Roman" w:cs="Times New Roman"/>
          <w:sz w:val="28"/>
          <w:szCs w:val="28"/>
        </w:rPr>
        <w:t xml:space="preserve"> </w:t>
      </w:r>
    </w:p>
    <w:sectPr w:rsidR="00C41F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EDF7" w14:textId="77777777" w:rsidR="00931DD4" w:rsidRDefault="00931DD4" w:rsidP="00B519FA">
      <w:pPr>
        <w:spacing w:after="0" w:line="240" w:lineRule="auto"/>
      </w:pPr>
      <w:r>
        <w:separator/>
      </w:r>
    </w:p>
  </w:endnote>
  <w:endnote w:type="continuationSeparator" w:id="0">
    <w:p w14:paraId="32BB0162" w14:textId="77777777" w:rsidR="00931DD4" w:rsidRDefault="00931DD4" w:rsidP="00B519FA">
      <w:pPr>
        <w:spacing w:after="0" w:line="240" w:lineRule="auto"/>
      </w:pPr>
      <w:r>
        <w:continuationSeparator/>
      </w:r>
    </w:p>
  </w:endnote>
  <w:endnote w:type="continuationNotice" w:id="1">
    <w:p w14:paraId="2981C2B7" w14:textId="77777777" w:rsidR="00931DD4" w:rsidRDefault="00931D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F6FFE" w14:textId="77777777" w:rsidR="00931DD4" w:rsidRDefault="00931DD4" w:rsidP="00B519FA">
      <w:pPr>
        <w:spacing w:after="0" w:line="240" w:lineRule="auto"/>
      </w:pPr>
      <w:r>
        <w:separator/>
      </w:r>
    </w:p>
  </w:footnote>
  <w:footnote w:type="continuationSeparator" w:id="0">
    <w:p w14:paraId="6AACAD37" w14:textId="77777777" w:rsidR="00931DD4" w:rsidRDefault="00931DD4" w:rsidP="00B519FA">
      <w:pPr>
        <w:spacing w:after="0" w:line="240" w:lineRule="auto"/>
      </w:pPr>
      <w:r>
        <w:continuationSeparator/>
      </w:r>
    </w:p>
  </w:footnote>
  <w:footnote w:type="continuationNotice" w:id="1">
    <w:p w14:paraId="67E2080A" w14:textId="77777777" w:rsidR="00931DD4" w:rsidRDefault="00931DD4">
      <w:pPr>
        <w:spacing w:after="0" w:line="240" w:lineRule="auto"/>
      </w:pPr>
    </w:p>
  </w:footnote>
  <w:footnote w:id="2">
    <w:p w14:paraId="1157C275" w14:textId="7F632507" w:rsidR="00AF5E5B" w:rsidRPr="000445FC" w:rsidRDefault="00AF5E5B" w:rsidP="00AF5E5B">
      <w:pPr>
        <w:pStyle w:val="FootnoteText"/>
        <w:rPr>
          <w:rFonts w:ascii="Times New Roman" w:hAnsi="Times New Roman" w:cs="Times New Roman"/>
          <w:lang w:val="en-GB"/>
        </w:rPr>
      </w:pPr>
      <w:r w:rsidRPr="000445FC">
        <w:rPr>
          <w:rStyle w:val="FootnoteReference"/>
          <w:rFonts w:ascii="Times New Roman" w:hAnsi="Times New Roman" w:cs="Times New Roman"/>
        </w:rPr>
        <w:footnoteRef/>
      </w:r>
      <w:r w:rsidRPr="000445FC">
        <w:rPr>
          <w:rFonts w:ascii="Times New Roman" w:hAnsi="Times New Roman" w:cs="Times New Roman"/>
        </w:rPr>
        <w:t xml:space="preserve"> </w:t>
      </w:r>
      <w:r w:rsidRPr="000445FC">
        <w:rPr>
          <w:rFonts w:ascii="Times New Roman" w:hAnsi="Times New Roman" w:cs="Times New Roman"/>
          <w:i/>
          <w:iCs/>
        </w:rPr>
        <w:t>J</w:t>
      </w:r>
      <w:r w:rsidRPr="000445FC">
        <w:rPr>
          <w:rFonts w:ascii="Times New Roman" w:hAnsi="Times New Roman" w:cs="Times New Roman"/>
          <w:i/>
          <w:iCs/>
          <w:color w:val="000000"/>
        </w:rPr>
        <w:t>ames Brown &amp; Hamer (Pty) Ltd (previously named Gilbert Hamer &amp; Co Ltd) v Simmons</w:t>
      </w:r>
      <w:r w:rsidRPr="000445FC">
        <w:rPr>
          <w:rFonts w:ascii="Times New Roman" w:hAnsi="Times New Roman" w:cs="Times New Roman"/>
          <w:color w:val="000000"/>
        </w:rPr>
        <w:t> </w:t>
      </w:r>
      <w:r w:rsidR="00AF7FFD">
        <w:rPr>
          <w:rFonts w:ascii="Times New Roman" w:hAnsi="Times New Roman" w:cs="Times New Roman"/>
          <w:color w:val="000000"/>
        </w:rPr>
        <w:t>1963 (4) SA</w:t>
      </w:r>
      <w:r w:rsidR="00572F0D">
        <w:rPr>
          <w:rFonts w:ascii="Times New Roman" w:hAnsi="Times New Roman" w:cs="Times New Roman"/>
          <w:color w:val="000000"/>
        </w:rPr>
        <w:t xml:space="preserve"> 656 (A)</w:t>
      </w:r>
      <w:r w:rsidRPr="000445FC">
        <w:rPr>
          <w:rFonts w:ascii="Times New Roman" w:hAnsi="Times New Roman" w:cs="Times New Roman"/>
          <w:color w:val="000000"/>
        </w:rPr>
        <w:t> at 660D</w:t>
      </w:r>
    </w:p>
  </w:footnote>
  <w:footnote w:id="3">
    <w:p w14:paraId="59DA540B" w14:textId="03A5D3B7" w:rsidR="00C45907" w:rsidRPr="00C45907" w:rsidRDefault="00C45907">
      <w:pPr>
        <w:pStyle w:val="FootnoteText"/>
        <w:rPr>
          <w:lang w:val="en-GB"/>
        </w:rPr>
      </w:pPr>
      <w:r>
        <w:rPr>
          <w:rStyle w:val="FootnoteReference"/>
        </w:rPr>
        <w:footnoteRef/>
      </w:r>
      <w:r>
        <w:t xml:space="preserve"> </w:t>
      </w:r>
      <w:r w:rsidRPr="00C45907">
        <w:rPr>
          <w:rFonts w:ascii="Times New Roman" w:hAnsi="Times New Roman" w:cs="Times New Roman"/>
        </w:rPr>
        <w:t>[2011] 2 All SA 138 (SCA)</w:t>
      </w:r>
      <w:r w:rsidRPr="00C45907">
        <w:rPr>
          <w:rFonts w:ascii="Times New Roman" w:hAnsi="Times New Roman" w:cs="Times New Roman"/>
          <w:color w:val="000000"/>
          <w:shd w:val="clear" w:color="auto" w:fill="FFFFFF"/>
        </w:rPr>
        <w:t>; </w:t>
      </w:r>
      <w:r w:rsidRPr="00C45907">
        <w:rPr>
          <w:rFonts w:ascii="Times New Roman" w:hAnsi="Times New Roman" w:cs="Times New Roman"/>
        </w:rPr>
        <w:t>2010 6 SA 457</w:t>
      </w:r>
      <w:r w:rsidRPr="00C45907">
        <w:rPr>
          <w:rFonts w:ascii="Times New Roman" w:hAnsi="Times New Roman" w:cs="Times New Roman"/>
          <w:color w:val="000000"/>
          <w:shd w:val="clear" w:color="auto" w:fill="FFFFFF"/>
        </w:rPr>
        <w:t> (SCA)</w:t>
      </w:r>
    </w:p>
  </w:footnote>
  <w:footnote w:id="4">
    <w:p w14:paraId="462C5BF4" w14:textId="6CBEC41A" w:rsidR="007A0ED4" w:rsidRPr="007A0ED4" w:rsidRDefault="007A0ED4">
      <w:pPr>
        <w:pStyle w:val="FootnoteText"/>
        <w:rPr>
          <w:rFonts w:ascii="Times New Roman" w:hAnsi="Times New Roman" w:cs="Times New Roman"/>
          <w:lang w:val="en-GB"/>
        </w:rPr>
      </w:pPr>
      <w:r w:rsidRPr="007A0ED4">
        <w:rPr>
          <w:rStyle w:val="FootnoteReference"/>
          <w:rFonts w:ascii="Times New Roman" w:hAnsi="Times New Roman" w:cs="Times New Roman"/>
        </w:rPr>
        <w:footnoteRef/>
      </w:r>
      <w:r w:rsidRPr="007A0ED4">
        <w:rPr>
          <w:rFonts w:ascii="Times New Roman" w:hAnsi="Times New Roman" w:cs="Times New Roman"/>
        </w:rPr>
        <w:t xml:space="preserve"> </w:t>
      </w:r>
      <w:r w:rsidRPr="007A0ED4">
        <w:rPr>
          <w:rFonts w:ascii="Times New Roman" w:hAnsi="Times New Roman" w:cs="Times New Roman"/>
          <w:lang w:val="en-GB"/>
        </w:rPr>
        <w:t>South African Law of Trusts</w:t>
      </w:r>
    </w:p>
  </w:footnote>
  <w:footnote w:id="5">
    <w:p w14:paraId="4B166419" w14:textId="76834F83" w:rsidR="004E4342" w:rsidRPr="004E4342" w:rsidRDefault="004E4342">
      <w:pPr>
        <w:pStyle w:val="FootnoteText"/>
        <w:rPr>
          <w:rFonts w:ascii="Times New Roman" w:hAnsi="Times New Roman" w:cs="Times New Roman"/>
          <w:lang w:val="en-GB"/>
        </w:rPr>
      </w:pPr>
      <w:r>
        <w:rPr>
          <w:rStyle w:val="FootnoteReference"/>
        </w:rPr>
        <w:footnoteRef/>
      </w:r>
      <w:r>
        <w:t xml:space="preserve"> </w:t>
      </w:r>
      <w:r w:rsidRPr="004E4342">
        <w:rPr>
          <w:rFonts w:ascii="Times New Roman" w:hAnsi="Times New Roman" w:cs="Times New Roman"/>
          <w:color w:val="000000"/>
        </w:rPr>
        <w:t>[2007] ZAFSHC 155 ('29 November '2007) para [50].</w:t>
      </w:r>
    </w:p>
  </w:footnote>
  <w:footnote w:id="6">
    <w:p w14:paraId="65774E5B" w14:textId="0857CBCD" w:rsidR="004E4342" w:rsidRPr="004E4342" w:rsidRDefault="004E4342">
      <w:pPr>
        <w:pStyle w:val="FootnoteText"/>
        <w:rPr>
          <w:lang w:val="en-GB"/>
        </w:rPr>
      </w:pPr>
      <w:r w:rsidRPr="00810E69">
        <w:rPr>
          <w:rStyle w:val="FootnoteReference"/>
          <w:rFonts w:ascii="Times New Roman" w:hAnsi="Times New Roman" w:cs="Times New Roman"/>
        </w:rPr>
        <w:footnoteRef/>
      </w:r>
      <w:r w:rsidRPr="00810E69">
        <w:rPr>
          <w:rFonts w:ascii="Times New Roman" w:hAnsi="Times New Roman" w:cs="Times New Roman"/>
        </w:rPr>
        <w:t xml:space="preserve"> </w:t>
      </w:r>
      <w:r w:rsidR="00810E69" w:rsidRPr="00810E69">
        <w:rPr>
          <w:rFonts w:ascii="Times New Roman" w:hAnsi="Times New Roman" w:cs="Times New Roman"/>
          <w:color w:val="000000"/>
        </w:rPr>
        <w:t>[2012] ZAWCHC 23 (4 April 2012) para [11]</w:t>
      </w:r>
      <w:r w:rsidR="00810E69">
        <w:rPr>
          <w:rFonts w:ascii="Segoe UI" w:hAnsi="Segoe UI" w:cs="Segoe UI"/>
          <w:color w:val="000000"/>
          <w:sz w:val="27"/>
          <w:szCs w:val="27"/>
        </w:rPr>
        <w:t>.</w:t>
      </w:r>
    </w:p>
  </w:footnote>
  <w:footnote w:id="7">
    <w:p w14:paraId="3F17F54B" w14:textId="5957018F" w:rsidR="0016407C" w:rsidRPr="0016407C" w:rsidRDefault="0016407C">
      <w:pPr>
        <w:pStyle w:val="FootnoteText"/>
        <w:rPr>
          <w:rFonts w:ascii="Times New Roman" w:hAnsi="Times New Roman" w:cs="Times New Roman"/>
          <w:lang w:val="en-GB"/>
        </w:rPr>
      </w:pPr>
      <w:r w:rsidRPr="00BF0502">
        <w:rPr>
          <w:rStyle w:val="FootnoteReference"/>
        </w:rPr>
        <w:footnoteRef/>
      </w:r>
      <w:r w:rsidRPr="00BF0502">
        <w:t xml:space="preserve"> </w:t>
      </w:r>
      <w:r w:rsidRPr="00BF0502">
        <w:rPr>
          <w:rFonts w:ascii="Times New Roman" w:hAnsi="Times New Roman" w:cs="Times New Roman"/>
          <w:color w:val="000000"/>
          <w:shd w:val="clear" w:color="auto" w:fill="FFFFFF"/>
        </w:rPr>
        <w:t xml:space="preserve">21.Resignation by </w:t>
      </w:r>
      <w:r w:rsidR="006C2CCD" w:rsidRPr="00BF0502">
        <w:rPr>
          <w:rFonts w:ascii="Times New Roman" w:hAnsi="Times New Roman" w:cs="Times New Roman"/>
          <w:color w:val="000000"/>
          <w:shd w:val="clear" w:color="auto" w:fill="FFFFFF"/>
        </w:rPr>
        <w:t>trustee. —</w:t>
      </w:r>
      <w:r w:rsidRPr="00BF0502">
        <w:rPr>
          <w:rFonts w:ascii="Times New Roman" w:hAnsi="Times New Roman" w:cs="Times New Roman"/>
          <w:color w:val="000000"/>
          <w:shd w:val="clear" w:color="auto" w:fill="FFFFFF"/>
        </w:rPr>
        <w:t>Whether or not the trust instrument provides for the trustee’s resignation, the trustee may resign by notice in writing to the Master and the ascertained beneficiaries who have legal capacity, or to the tutors or curators of the beneficiaries of the trust under</w:t>
      </w:r>
      <w:r w:rsidRPr="0016407C">
        <w:rPr>
          <w:rFonts w:ascii="Times New Roman" w:hAnsi="Times New Roman" w:cs="Times New Roman"/>
          <w:color w:val="000000"/>
          <w:shd w:val="clear" w:color="auto" w:fill="FFFFFF"/>
        </w:rPr>
        <w:t xml:space="preserve"> tutorship or curatorship.</w:t>
      </w:r>
    </w:p>
  </w:footnote>
  <w:footnote w:id="8">
    <w:p w14:paraId="52830CE4" w14:textId="3D3A0B9F" w:rsidR="00CE61F7" w:rsidRPr="001237B7" w:rsidRDefault="00CE61F7">
      <w:pPr>
        <w:pStyle w:val="FootnoteText"/>
        <w:rPr>
          <w:rFonts w:ascii="Times New Roman" w:hAnsi="Times New Roman" w:cs="Times New Roman"/>
          <w:lang w:val="en-GB"/>
        </w:rPr>
      </w:pPr>
      <w:r w:rsidRPr="001237B7">
        <w:rPr>
          <w:rStyle w:val="FootnoteReference"/>
          <w:rFonts w:ascii="Times New Roman" w:hAnsi="Times New Roman" w:cs="Times New Roman"/>
        </w:rPr>
        <w:footnoteRef/>
      </w:r>
      <w:r w:rsidRPr="001237B7">
        <w:rPr>
          <w:rFonts w:ascii="Times New Roman" w:hAnsi="Times New Roman" w:cs="Times New Roman"/>
        </w:rPr>
        <w:t xml:space="preserve"> </w:t>
      </w:r>
      <w:r w:rsidRPr="001237B7">
        <w:rPr>
          <w:rFonts w:ascii="Times New Roman" w:hAnsi="Times New Roman" w:cs="Times New Roman"/>
          <w:lang w:val="en-GB"/>
        </w:rPr>
        <w:t>Superior Court Practice</w:t>
      </w:r>
      <w:r w:rsidR="006C1D07">
        <w:rPr>
          <w:rFonts w:ascii="Times New Roman" w:hAnsi="Times New Roman" w:cs="Times New Roman"/>
          <w:lang w:val="en-GB"/>
        </w:rPr>
        <w:t xml:space="preserve"> Uniform Rules of Court</w:t>
      </w:r>
      <w:r w:rsidR="00BD53A2">
        <w:rPr>
          <w:rFonts w:ascii="Times New Roman" w:hAnsi="Times New Roman" w:cs="Times New Roman"/>
          <w:lang w:val="en-GB"/>
        </w:rPr>
        <w:t>, 2015, D</w:t>
      </w:r>
      <w:r w:rsidR="0039455E">
        <w:rPr>
          <w:rFonts w:ascii="Times New Roman" w:hAnsi="Times New Roman" w:cs="Times New Roman"/>
          <w:lang w:val="en-GB"/>
        </w:rPr>
        <w:t>1-159</w:t>
      </w:r>
    </w:p>
  </w:footnote>
  <w:footnote w:id="9">
    <w:p w14:paraId="2628EC4B" w14:textId="0BE50C43" w:rsidR="00CE61F7" w:rsidRPr="001237B7" w:rsidRDefault="00CE61F7">
      <w:pPr>
        <w:pStyle w:val="FootnoteText"/>
        <w:rPr>
          <w:rFonts w:ascii="Times New Roman" w:hAnsi="Times New Roman" w:cs="Times New Roman"/>
          <w:lang w:val="en-GB"/>
        </w:rPr>
      </w:pPr>
      <w:r w:rsidRPr="001237B7">
        <w:rPr>
          <w:rStyle w:val="FootnoteReference"/>
          <w:rFonts w:ascii="Times New Roman" w:hAnsi="Times New Roman" w:cs="Times New Roman"/>
        </w:rPr>
        <w:footnoteRef/>
      </w:r>
      <w:r w:rsidRPr="001237B7">
        <w:rPr>
          <w:rFonts w:ascii="Times New Roman" w:hAnsi="Times New Roman" w:cs="Times New Roman"/>
        </w:rPr>
        <w:t xml:space="preserve"> </w:t>
      </w:r>
      <w:r w:rsidRPr="001237B7">
        <w:rPr>
          <w:rFonts w:ascii="Times New Roman" w:eastAsia="Times New Roman" w:hAnsi="Times New Roman" w:cs="Times New Roman"/>
          <w:color w:val="000000"/>
          <w:kern w:val="0"/>
          <w:lang w:eastAsia="en-ZA"/>
          <w14:ligatures w14:val="none"/>
        </w:rPr>
        <w:t xml:space="preserve">2011 (1) SA 35 (SCA) at para 14 </w:t>
      </w:r>
    </w:p>
  </w:footnote>
  <w:footnote w:id="10">
    <w:p w14:paraId="45495574" w14:textId="54C743D6" w:rsidR="001237B7" w:rsidRPr="001237B7" w:rsidRDefault="001237B7">
      <w:pPr>
        <w:pStyle w:val="FootnoteText"/>
        <w:rPr>
          <w:rFonts w:ascii="Times New Roman" w:hAnsi="Times New Roman" w:cs="Times New Roman"/>
          <w:lang w:val="en-GB"/>
        </w:rPr>
      </w:pPr>
      <w:r w:rsidRPr="000905C4">
        <w:rPr>
          <w:rStyle w:val="FootnoteReference"/>
          <w:rFonts w:ascii="Times New Roman" w:hAnsi="Times New Roman" w:cs="Times New Roman"/>
        </w:rPr>
        <w:footnoteRef/>
      </w:r>
      <w:r w:rsidRPr="000905C4">
        <w:rPr>
          <w:rFonts w:ascii="Times New Roman" w:hAnsi="Times New Roman" w:cs="Times New Roman"/>
        </w:rPr>
        <w:t xml:space="preserve"> </w:t>
      </w:r>
      <w:r w:rsidRPr="000905C4">
        <w:rPr>
          <w:rFonts w:ascii="Times New Roman" w:hAnsi="Times New Roman" w:cs="Times New Roman"/>
          <w:lang w:val="en-GB"/>
        </w:rPr>
        <w:t xml:space="preserve">Fn </w:t>
      </w:r>
      <w:r w:rsidR="00BB495D">
        <w:rPr>
          <w:rFonts w:ascii="Times New Roman" w:hAnsi="Times New Roman" w:cs="Times New Roman"/>
          <w:lang w:val="en-GB"/>
        </w:rPr>
        <w:t>2</w:t>
      </w:r>
      <w:r w:rsidR="000905C4" w:rsidRPr="000905C4">
        <w:rPr>
          <w:rFonts w:ascii="Times New Roman" w:hAnsi="Times New Roman" w:cs="Times New Roman"/>
          <w:lang w:val="en-GB"/>
        </w:rPr>
        <w:t xml:space="preserve"> </w:t>
      </w:r>
      <w:r w:rsidRPr="000905C4">
        <w:rPr>
          <w:rFonts w:ascii="Times New Roman" w:hAnsi="Times New Roman" w:cs="Times New Roman"/>
          <w:lang w:val="en-GB"/>
        </w:rPr>
        <w:t>above</w:t>
      </w:r>
      <w:r w:rsidRPr="001237B7">
        <w:rPr>
          <w:rFonts w:ascii="Times New Roman" w:hAnsi="Times New Roman" w:cs="Times New Roman"/>
          <w:lang w:val="en-GB"/>
        </w:rPr>
        <w:t xml:space="preserve"> </w:t>
      </w:r>
    </w:p>
  </w:footnote>
  <w:footnote w:id="11">
    <w:p w14:paraId="5078476D" w14:textId="77777777" w:rsidR="00DF6916" w:rsidRPr="001237B7" w:rsidRDefault="00DF6916" w:rsidP="00DF6916">
      <w:pPr>
        <w:pStyle w:val="FootnoteText"/>
        <w:rPr>
          <w:rFonts w:ascii="Times New Roman" w:hAnsi="Times New Roman" w:cs="Times New Roman"/>
          <w:lang w:val="en-GB"/>
        </w:rPr>
      </w:pPr>
      <w:r>
        <w:rPr>
          <w:rStyle w:val="FootnoteReference"/>
        </w:rPr>
        <w:footnoteRef/>
      </w:r>
      <w:r>
        <w:t xml:space="preserve"> </w:t>
      </w:r>
      <w:r w:rsidRPr="001237B7">
        <w:rPr>
          <w:rFonts w:ascii="Times New Roman" w:hAnsi="Times New Roman" w:cs="Times New Roman"/>
          <w:i/>
          <w:iCs/>
          <w:color w:val="000000"/>
        </w:rPr>
        <w:t>Land and Agricultural Bank of South Africa v Parker and Others</w:t>
      </w:r>
      <w:r w:rsidRPr="001237B7">
        <w:rPr>
          <w:rFonts w:ascii="Times New Roman" w:hAnsi="Times New Roman" w:cs="Times New Roman"/>
          <w:color w:val="000000"/>
        </w:rPr>
        <w:t> 2005 (2) SA 77 (SCA) ([2004] 4 All SA 261) para 10</w:t>
      </w:r>
    </w:p>
  </w:footnote>
  <w:footnote w:id="12">
    <w:p w14:paraId="31590813" w14:textId="77777777" w:rsidR="00DF6916" w:rsidRPr="008D55AB" w:rsidRDefault="00DF6916" w:rsidP="00DF6916">
      <w:pPr>
        <w:pStyle w:val="Default"/>
        <w:spacing w:line="276" w:lineRule="auto"/>
        <w:jc w:val="both"/>
        <w:rPr>
          <w:sz w:val="20"/>
          <w:szCs w:val="20"/>
        </w:rPr>
      </w:pPr>
      <w:r>
        <w:rPr>
          <w:rStyle w:val="FootnoteReference"/>
        </w:rPr>
        <w:footnoteRef/>
      </w:r>
      <w:r>
        <w:t xml:space="preserve"> </w:t>
      </w:r>
      <w:r w:rsidRPr="008D55AB">
        <w:rPr>
          <w:sz w:val="20"/>
          <w:szCs w:val="20"/>
        </w:rPr>
        <w:t xml:space="preserve">Section 7 of the Trust Property Control Act 57 of 1988 provides that: </w:t>
      </w:r>
    </w:p>
    <w:p w14:paraId="3F9794D3" w14:textId="77777777" w:rsidR="00DF6916" w:rsidRPr="008D55AB" w:rsidRDefault="00DF6916" w:rsidP="00DF6916">
      <w:pPr>
        <w:pStyle w:val="Default"/>
        <w:spacing w:line="276" w:lineRule="auto"/>
        <w:jc w:val="both"/>
        <w:rPr>
          <w:sz w:val="20"/>
          <w:szCs w:val="20"/>
        </w:rPr>
      </w:pPr>
      <w:r w:rsidRPr="008D55AB">
        <w:rPr>
          <w:sz w:val="20"/>
          <w:szCs w:val="20"/>
        </w:rPr>
        <w:t xml:space="preserve">‘(1) If the office of trustee cannot be filled or becomes vacant, the Master shall, in the absence of any provision in the trust instrument, after consultation with so many interested parties as he may deem necessary, appoint any person as trustee. </w:t>
      </w:r>
    </w:p>
    <w:p w14:paraId="353526EA" w14:textId="77777777" w:rsidR="00DF6916" w:rsidRPr="008D55AB" w:rsidRDefault="00DF6916" w:rsidP="00DF6916">
      <w:pPr>
        <w:spacing w:line="276" w:lineRule="auto"/>
        <w:jc w:val="both"/>
        <w:rPr>
          <w:rFonts w:ascii="Times New Roman" w:hAnsi="Times New Roman" w:cs="Times New Roman"/>
          <w:i/>
          <w:iCs/>
          <w:color w:val="000000"/>
          <w:sz w:val="20"/>
          <w:szCs w:val="20"/>
          <w:highlight w:val="yellow"/>
        </w:rPr>
      </w:pPr>
      <w:r w:rsidRPr="008D55AB">
        <w:rPr>
          <w:rFonts w:ascii="Times New Roman" w:hAnsi="Times New Roman" w:cs="Times New Roman"/>
          <w:sz w:val="20"/>
          <w:szCs w:val="20"/>
        </w:rPr>
        <w:t xml:space="preserve">(2) When the Master considers it desirable, he may, notwithstanding the provisions of the trust instrument, appoint as co-trustee of any serving trustee any person whom he deems fit.’  </w:t>
      </w:r>
    </w:p>
    <w:p w14:paraId="5322A4B1" w14:textId="77777777" w:rsidR="00DF6916" w:rsidRPr="008D55AB" w:rsidRDefault="00DF6916" w:rsidP="00DF6916">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D15F7"/>
    <w:multiLevelType w:val="hybridMultilevel"/>
    <w:tmpl w:val="BF162872"/>
    <w:lvl w:ilvl="0" w:tplc="1C090001">
      <w:start w:val="1"/>
      <w:numFmt w:val="bullet"/>
      <w:lvlText w:val=""/>
      <w:lvlJc w:val="left"/>
      <w:pPr>
        <w:ind w:left="860" w:hanging="360"/>
      </w:pPr>
      <w:rPr>
        <w:rFonts w:ascii="Symbol" w:hAnsi="Symbol" w:hint="default"/>
      </w:rPr>
    </w:lvl>
    <w:lvl w:ilvl="1" w:tplc="1C090003" w:tentative="1">
      <w:start w:val="1"/>
      <w:numFmt w:val="bullet"/>
      <w:lvlText w:val="o"/>
      <w:lvlJc w:val="left"/>
      <w:pPr>
        <w:ind w:left="1580" w:hanging="360"/>
      </w:pPr>
      <w:rPr>
        <w:rFonts w:ascii="Courier New" w:hAnsi="Courier New" w:cs="Courier New" w:hint="default"/>
      </w:rPr>
    </w:lvl>
    <w:lvl w:ilvl="2" w:tplc="1C090005" w:tentative="1">
      <w:start w:val="1"/>
      <w:numFmt w:val="bullet"/>
      <w:lvlText w:val=""/>
      <w:lvlJc w:val="left"/>
      <w:pPr>
        <w:ind w:left="2300" w:hanging="360"/>
      </w:pPr>
      <w:rPr>
        <w:rFonts w:ascii="Wingdings" w:hAnsi="Wingdings" w:hint="default"/>
      </w:rPr>
    </w:lvl>
    <w:lvl w:ilvl="3" w:tplc="1C090001" w:tentative="1">
      <w:start w:val="1"/>
      <w:numFmt w:val="bullet"/>
      <w:lvlText w:val=""/>
      <w:lvlJc w:val="left"/>
      <w:pPr>
        <w:ind w:left="3020" w:hanging="360"/>
      </w:pPr>
      <w:rPr>
        <w:rFonts w:ascii="Symbol" w:hAnsi="Symbol" w:hint="default"/>
      </w:rPr>
    </w:lvl>
    <w:lvl w:ilvl="4" w:tplc="1C090003" w:tentative="1">
      <w:start w:val="1"/>
      <w:numFmt w:val="bullet"/>
      <w:lvlText w:val="o"/>
      <w:lvlJc w:val="left"/>
      <w:pPr>
        <w:ind w:left="3740" w:hanging="360"/>
      </w:pPr>
      <w:rPr>
        <w:rFonts w:ascii="Courier New" w:hAnsi="Courier New" w:cs="Courier New" w:hint="default"/>
      </w:rPr>
    </w:lvl>
    <w:lvl w:ilvl="5" w:tplc="1C090005" w:tentative="1">
      <w:start w:val="1"/>
      <w:numFmt w:val="bullet"/>
      <w:lvlText w:val=""/>
      <w:lvlJc w:val="left"/>
      <w:pPr>
        <w:ind w:left="4460" w:hanging="360"/>
      </w:pPr>
      <w:rPr>
        <w:rFonts w:ascii="Wingdings" w:hAnsi="Wingdings" w:hint="default"/>
      </w:rPr>
    </w:lvl>
    <w:lvl w:ilvl="6" w:tplc="1C090001" w:tentative="1">
      <w:start w:val="1"/>
      <w:numFmt w:val="bullet"/>
      <w:lvlText w:val=""/>
      <w:lvlJc w:val="left"/>
      <w:pPr>
        <w:ind w:left="5180" w:hanging="360"/>
      </w:pPr>
      <w:rPr>
        <w:rFonts w:ascii="Symbol" w:hAnsi="Symbol" w:hint="default"/>
      </w:rPr>
    </w:lvl>
    <w:lvl w:ilvl="7" w:tplc="1C090003" w:tentative="1">
      <w:start w:val="1"/>
      <w:numFmt w:val="bullet"/>
      <w:lvlText w:val="o"/>
      <w:lvlJc w:val="left"/>
      <w:pPr>
        <w:ind w:left="5900" w:hanging="360"/>
      </w:pPr>
      <w:rPr>
        <w:rFonts w:ascii="Courier New" w:hAnsi="Courier New" w:cs="Courier New" w:hint="default"/>
      </w:rPr>
    </w:lvl>
    <w:lvl w:ilvl="8" w:tplc="1C090005" w:tentative="1">
      <w:start w:val="1"/>
      <w:numFmt w:val="bullet"/>
      <w:lvlText w:val=""/>
      <w:lvlJc w:val="left"/>
      <w:pPr>
        <w:ind w:left="6620" w:hanging="360"/>
      </w:pPr>
      <w:rPr>
        <w:rFonts w:ascii="Wingdings" w:hAnsi="Wingdings" w:hint="default"/>
      </w:rPr>
    </w:lvl>
  </w:abstractNum>
  <w:abstractNum w:abstractNumId="1" w15:restartNumberingAfterBreak="0">
    <w:nsid w:val="3A5F0059"/>
    <w:multiLevelType w:val="hybridMultilevel"/>
    <w:tmpl w:val="EA5A0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FED1B9E"/>
    <w:multiLevelType w:val="hybridMultilevel"/>
    <w:tmpl w:val="79B2354C"/>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3" w15:restartNumberingAfterBreak="0">
    <w:nsid w:val="417A1E62"/>
    <w:multiLevelType w:val="hybridMultilevel"/>
    <w:tmpl w:val="7EF63ED0"/>
    <w:lvl w:ilvl="0" w:tplc="3F4E1876">
      <w:start w:val="1"/>
      <w:numFmt w:val="lowerLetter"/>
      <w:lvlText w:val="%1."/>
      <w:lvlJc w:val="left"/>
      <w:pPr>
        <w:ind w:left="720" w:hanging="360"/>
      </w:pPr>
      <w:rPr>
        <w:rFonts w:ascii="Times New Roman" w:eastAsiaTheme="minorHAnsi"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F5E5392"/>
    <w:multiLevelType w:val="hybridMultilevel"/>
    <w:tmpl w:val="3934DC24"/>
    <w:lvl w:ilvl="0" w:tplc="B296C0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3B31C82"/>
    <w:multiLevelType w:val="hybridMultilevel"/>
    <w:tmpl w:val="E3D29A4A"/>
    <w:lvl w:ilvl="0" w:tplc="4DE601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642401C8"/>
    <w:multiLevelType w:val="hybridMultilevel"/>
    <w:tmpl w:val="2C004D28"/>
    <w:lvl w:ilvl="0" w:tplc="87EABF6C">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099F8">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EEC56">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41DCC">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28AB6">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2D8B6">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A2E7C">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E5EB6">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6639C">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53454823">
    <w:abstractNumId w:val="6"/>
  </w:num>
  <w:num w:numId="2" w16cid:durableId="1016150485">
    <w:abstractNumId w:val="3"/>
  </w:num>
  <w:num w:numId="3" w16cid:durableId="2038964643">
    <w:abstractNumId w:val="5"/>
  </w:num>
  <w:num w:numId="4" w16cid:durableId="773868307">
    <w:abstractNumId w:val="4"/>
  </w:num>
  <w:num w:numId="5" w16cid:durableId="1834027084">
    <w:abstractNumId w:val="1"/>
  </w:num>
  <w:num w:numId="6" w16cid:durableId="869681887">
    <w:abstractNumId w:val="0"/>
  </w:num>
  <w:num w:numId="7" w16cid:durableId="371347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xsDQwtzQ3MzKyMDBW0lEKTi0uzszPAykwrAUAXGYvFCwAAAA="/>
  </w:docVars>
  <w:rsids>
    <w:rsidRoot w:val="00427125"/>
    <w:rsid w:val="00006AF2"/>
    <w:rsid w:val="00011C13"/>
    <w:rsid w:val="00012C69"/>
    <w:rsid w:val="00013E29"/>
    <w:rsid w:val="00015408"/>
    <w:rsid w:val="0001724A"/>
    <w:rsid w:val="000172E2"/>
    <w:rsid w:val="00024C2A"/>
    <w:rsid w:val="00030D21"/>
    <w:rsid w:val="00031946"/>
    <w:rsid w:val="00031ECC"/>
    <w:rsid w:val="00032DE9"/>
    <w:rsid w:val="00033F6C"/>
    <w:rsid w:val="00036322"/>
    <w:rsid w:val="0003664A"/>
    <w:rsid w:val="00037BB1"/>
    <w:rsid w:val="000437E6"/>
    <w:rsid w:val="000445FC"/>
    <w:rsid w:val="00044E4A"/>
    <w:rsid w:val="00046116"/>
    <w:rsid w:val="00047009"/>
    <w:rsid w:val="00051BC5"/>
    <w:rsid w:val="0005472F"/>
    <w:rsid w:val="000603DD"/>
    <w:rsid w:val="000634C6"/>
    <w:rsid w:val="00064665"/>
    <w:rsid w:val="000705CA"/>
    <w:rsid w:val="00071992"/>
    <w:rsid w:val="00076B7B"/>
    <w:rsid w:val="0008073B"/>
    <w:rsid w:val="00080E67"/>
    <w:rsid w:val="00084A77"/>
    <w:rsid w:val="00086424"/>
    <w:rsid w:val="00087AF3"/>
    <w:rsid w:val="00087FEB"/>
    <w:rsid w:val="000905C4"/>
    <w:rsid w:val="00093116"/>
    <w:rsid w:val="0009368D"/>
    <w:rsid w:val="000968C4"/>
    <w:rsid w:val="000A3B11"/>
    <w:rsid w:val="000A572E"/>
    <w:rsid w:val="000B4898"/>
    <w:rsid w:val="000C005F"/>
    <w:rsid w:val="000C17B5"/>
    <w:rsid w:val="000C18A6"/>
    <w:rsid w:val="000C262C"/>
    <w:rsid w:val="000C68D1"/>
    <w:rsid w:val="000C710B"/>
    <w:rsid w:val="000D0B90"/>
    <w:rsid w:val="000D1EA0"/>
    <w:rsid w:val="000D224B"/>
    <w:rsid w:val="000D23A5"/>
    <w:rsid w:val="000D61CC"/>
    <w:rsid w:val="000D6C33"/>
    <w:rsid w:val="000D76B9"/>
    <w:rsid w:val="000D76BD"/>
    <w:rsid w:val="000D7E64"/>
    <w:rsid w:val="000E1B47"/>
    <w:rsid w:val="000E1DC7"/>
    <w:rsid w:val="000E6119"/>
    <w:rsid w:val="000E7E44"/>
    <w:rsid w:val="000F3B35"/>
    <w:rsid w:val="000F76FC"/>
    <w:rsid w:val="00100D84"/>
    <w:rsid w:val="00104591"/>
    <w:rsid w:val="001079BB"/>
    <w:rsid w:val="00110497"/>
    <w:rsid w:val="00110C6C"/>
    <w:rsid w:val="001134FD"/>
    <w:rsid w:val="001167B2"/>
    <w:rsid w:val="00116E63"/>
    <w:rsid w:val="00122719"/>
    <w:rsid w:val="001237B7"/>
    <w:rsid w:val="001246D2"/>
    <w:rsid w:val="00125FA4"/>
    <w:rsid w:val="00130064"/>
    <w:rsid w:val="00133175"/>
    <w:rsid w:val="00135064"/>
    <w:rsid w:val="0014056E"/>
    <w:rsid w:val="00140A1F"/>
    <w:rsid w:val="001414DC"/>
    <w:rsid w:val="00146271"/>
    <w:rsid w:val="00146F3E"/>
    <w:rsid w:val="001502B7"/>
    <w:rsid w:val="00155074"/>
    <w:rsid w:val="001566E3"/>
    <w:rsid w:val="0016034A"/>
    <w:rsid w:val="001629D2"/>
    <w:rsid w:val="0016407C"/>
    <w:rsid w:val="001640E0"/>
    <w:rsid w:val="00164A16"/>
    <w:rsid w:val="00172BCF"/>
    <w:rsid w:val="00173124"/>
    <w:rsid w:val="001766E2"/>
    <w:rsid w:val="00180558"/>
    <w:rsid w:val="00180967"/>
    <w:rsid w:val="0018217D"/>
    <w:rsid w:val="00183BE1"/>
    <w:rsid w:val="001841E0"/>
    <w:rsid w:val="0018477F"/>
    <w:rsid w:val="001863C5"/>
    <w:rsid w:val="001877AC"/>
    <w:rsid w:val="0019233D"/>
    <w:rsid w:val="001947B7"/>
    <w:rsid w:val="00195308"/>
    <w:rsid w:val="00196461"/>
    <w:rsid w:val="001970EC"/>
    <w:rsid w:val="001A21BA"/>
    <w:rsid w:val="001A332F"/>
    <w:rsid w:val="001A5414"/>
    <w:rsid w:val="001A6A56"/>
    <w:rsid w:val="001A6F6A"/>
    <w:rsid w:val="001B0FB9"/>
    <w:rsid w:val="001B13A1"/>
    <w:rsid w:val="001B1749"/>
    <w:rsid w:val="001B314A"/>
    <w:rsid w:val="001B4DD1"/>
    <w:rsid w:val="001B4F17"/>
    <w:rsid w:val="001B795C"/>
    <w:rsid w:val="001C0747"/>
    <w:rsid w:val="001C09D2"/>
    <w:rsid w:val="001C2DD3"/>
    <w:rsid w:val="001D0C84"/>
    <w:rsid w:val="001D4803"/>
    <w:rsid w:val="001D638C"/>
    <w:rsid w:val="001D740A"/>
    <w:rsid w:val="001D74F8"/>
    <w:rsid w:val="001D7C90"/>
    <w:rsid w:val="001E0D43"/>
    <w:rsid w:val="001E196B"/>
    <w:rsid w:val="001E2267"/>
    <w:rsid w:val="001E5720"/>
    <w:rsid w:val="001F0504"/>
    <w:rsid w:val="001F0EA1"/>
    <w:rsid w:val="001F207A"/>
    <w:rsid w:val="002008D6"/>
    <w:rsid w:val="002023D5"/>
    <w:rsid w:val="00204313"/>
    <w:rsid w:val="00204B8A"/>
    <w:rsid w:val="00211002"/>
    <w:rsid w:val="002134C4"/>
    <w:rsid w:val="00215109"/>
    <w:rsid w:val="002161CC"/>
    <w:rsid w:val="00217C89"/>
    <w:rsid w:val="00220D6D"/>
    <w:rsid w:val="00221228"/>
    <w:rsid w:val="00222979"/>
    <w:rsid w:val="0022349E"/>
    <w:rsid w:val="00224382"/>
    <w:rsid w:val="002305D0"/>
    <w:rsid w:val="00230E3D"/>
    <w:rsid w:val="00232CE6"/>
    <w:rsid w:val="00232FB2"/>
    <w:rsid w:val="00237F17"/>
    <w:rsid w:val="00246883"/>
    <w:rsid w:val="00246B68"/>
    <w:rsid w:val="00250B1D"/>
    <w:rsid w:val="00253FE8"/>
    <w:rsid w:val="002548C4"/>
    <w:rsid w:val="00255DB5"/>
    <w:rsid w:val="00256629"/>
    <w:rsid w:val="00257024"/>
    <w:rsid w:val="00260E89"/>
    <w:rsid w:val="0026227A"/>
    <w:rsid w:val="00263C9F"/>
    <w:rsid w:val="00264788"/>
    <w:rsid w:val="00267B10"/>
    <w:rsid w:val="00267D4E"/>
    <w:rsid w:val="002710DD"/>
    <w:rsid w:val="00272189"/>
    <w:rsid w:val="00273E1A"/>
    <w:rsid w:val="00275673"/>
    <w:rsid w:val="00275CB2"/>
    <w:rsid w:val="002813F3"/>
    <w:rsid w:val="00292D90"/>
    <w:rsid w:val="00293A6C"/>
    <w:rsid w:val="002967E0"/>
    <w:rsid w:val="002970F4"/>
    <w:rsid w:val="00297454"/>
    <w:rsid w:val="002A05E0"/>
    <w:rsid w:val="002A3C0E"/>
    <w:rsid w:val="002A4773"/>
    <w:rsid w:val="002A6EA7"/>
    <w:rsid w:val="002B0D8C"/>
    <w:rsid w:val="002B3DB5"/>
    <w:rsid w:val="002B49DA"/>
    <w:rsid w:val="002B5BB7"/>
    <w:rsid w:val="002B64D2"/>
    <w:rsid w:val="002C000B"/>
    <w:rsid w:val="002C0AE6"/>
    <w:rsid w:val="002C3906"/>
    <w:rsid w:val="002C501E"/>
    <w:rsid w:val="002C5E63"/>
    <w:rsid w:val="002C7C37"/>
    <w:rsid w:val="002D2C47"/>
    <w:rsid w:val="002D3342"/>
    <w:rsid w:val="002D4C13"/>
    <w:rsid w:val="002D542F"/>
    <w:rsid w:val="002D61F3"/>
    <w:rsid w:val="002D77C7"/>
    <w:rsid w:val="002E14B4"/>
    <w:rsid w:val="002E1B6F"/>
    <w:rsid w:val="002E2575"/>
    <w:rsid w:val="002E2F79"/>
    <w:rsid w:val="002E5162"/>
    <w:rsid w:val="002E6115"/>
    <w:rsid w:val="002F15B4"/>
    <w:rsid w:val="002F195D"/>
    <w:rsid w:val="002F2E28"/>
    <w:rsid w:val="002F3CDC"/>
    <w:rsid w:val="002F41B2"/>
    <w:rsid w:val="002F546A"/>
    <w:rsid w:val="002F5CCB"/>
    <w:rsid w:val="00302FA6"/>
    <w:rsid w:val="00303221"/>
    <w:rsid w:val="00303DB9"/>
    <w:rsid w:val="00303DC5"/>
    <w:rsid w:val="0030453F"/>
    <w:rsid w:val="003057D3"/>
    <w:rsid w:val="00305B7C"/>
    <w:rsid w:val="00307591"/>
    <w:rsid w:val="0031041F"/>
    <w:rsid w:val="003129BF"/>
    <w:rsid w:val="003217A7"/>
    <w:rsid w:val="003249E1"/>
    <w:rsid w:val="00324F2A"/>
    <w:rsid w:val="0033118C"/>
    <w:rsid w:val="00336551"/>
    <w:rsid w:val="0034232B"/>
    <w:rsid w:val="003445DB"/>
    <w:rsid w:val="00350519"/>
    <w:rsid w:val="00350A80"/>
    <w:rsid w:val="003517A3"/>
    <w:rsid w:val="00354C66"/>
    <w:rsid w:val="00355C93"/>
    <w:rsid w:val="003564C1"/>
    <w:rsid w:val="003607A0"/>
    <w:rsid w:val="00360D67"/>
    <w:rsid w:val="0036149B"/>
    <w:rsid w:val="00362B34"/>
    <w:rsid w:val="003639EC"/>
    <w:rsid w:val="00363D17"/>
    <w:rsid w:val="003721AA"/>
    <w:rsid w:val="00372315"/>
    <w:rsid w:val="003776C2"/>
    <w:rsid w:val="00380384"/>
    <w:rsid w:val="00381E02"/>
    <w:rsid w:val="003878AD"/>
    <w:rsid w:val="003902B4"/>
    <w:rsid w:val="0039455E"/>
    <w:rsid w:val="00395470"/>
    <w:rsid w:val="00395BBF"/>
    <w:rsid w:val="00397828"/>
    <w:rsid w:val="003A107E"/>
    <w:rsid w:val="003A4E61"/>
    <w:rsid w:val="003A50C4"/>
    <w:rsid w:val="003A69BB"/>
    <w:rsid w:val="003B22ED"/>
    <w:rsid w:val="003B2F27"/>
    <w:rsid w:val="003B4A33"/>
    <w:rsid w:val="003B5851"/>
    <w:rsid w:val="003C0A1C"/>
    <w:rsid w:val="003C3345"/>
    <w:rsid w:val="003C71FB"/>
    <w:rsid w:val="003C759C"/>
    <w:rsid w:val="003D0281"/>
    <w:rsid w:val="003D0CCA"/>
    <w:rsid w:val="003D11C0"/>
    <w:rsid w:val="003D3845"/>
    <w:rsid w:val="003D65BE"/>
    <w:rsid w:val="003D78F5"/>
    <w:rsid w:val="003E065F"/>
    <w:rsid w:val="003E37CD"/>
    <w:rsid w:val="003E6CB5"/>
    <w:rsid w:val="003F28DE"/>
    <w:rsid w:val="003F2AAC"/>
    <w:rsid w:val="003F5A5D"/>
    <w:rsid w:val="003F618C"/>
    <w:rsid w:val="003F7EE0"/>
    <w:rsid w:val="0040311E"/>
    <w:rsid w:val="004210EF"/>
    <w:rsid w:val="00424ADA"/>
    <w:rsid w:val="00426BB8"/>
    <w:rsid w:val="004270CB"/>
    <w:rsid w:val="00427125"/>
    <w:rsid w:val="00433B72"/>
    <w:rsid w:val="00435954"/>
    <w:rsid w:val="00435BD9"/>
    <w:rsid w:val="004406F2"/>
    <w:rsid w:val="00441080"/>
    <w:rsid w:val="00445609"/>
    <w:rsid w:val="00445A18"/>
    <w:rsid w:val="004462CA"/>
    <w:rsid w:val="00447C20"/>
    <w:rsid w:val="00450093"/>
    <w:rsid w:val="00451967"/>
    <w:rsid w:val="00451B30"/>
    <w:rsid w:val="004556C5"/>
    <w:rsid w:val="004558EF"/>
    <w:rsid w:val="0046025B"/>
    <w:rsid w:val="00466084"/>
    <w:rsid w:val="00466EC8"/>
    <w:rsid w:val="0047382A"/>
    <w:rsid w:val="00476248"/>
    <w:rsid w:val="00476A52"/>
    <w:rsid w:val="00480A50"/>
    <w:rsid w:val="004821E3"/>
    <w:rsid w:val="00486918"/>
    <w:rsid w:val="00487A58"/>
    <w:rsid w:val="004962AF"/>
    <w:rsid w:val="00497145"/>
    <w:rsid w:val="004A1D0E"/>
    <w:rsid w:val="004A355E"/>
    <w:rsid w:val="004A4D48"/>
    <w:rsid w:val="004A51FD"/>
    <w:rsid w:val="004A5530"/>
    <w:rsid w:val="004A691D"/>
    <w:rsid w:val="004B2FA0"/>
    <w:rsid w:val="004B4ADA"/>
    <w:rsid w:val="004B7E15"/>
    <w:rsid w:val="004E01E1"/>
    <w:rsid w:val="004E313B"/>
    <w:rsid w:val="004E41ED"/>
    <w:rsid w:val="004E4342"/>
    <w:rsid w:val="004F09CB"/>
    <w:rsid w:val="004F58B3"/>
    <w:rsid w:val="0050234E"/>
    <w:rsid w:val="005033A8"/>
    <w:rsid w:val="00505BED"/>
    <w:rsid w:val="00516940"/>
    <w:rsid w:val="00516CC2"/>
    <w:rsid w:val="0052364A"/>
    <w:rsid w:val="00523A59"/>
    <w:rsid w:val="00526B87"/>
    <w:rsid w:val="00526EF1"/>
    <w:rsid w:val="00534D38"/>
    <w:rsid w:val="00534ED3"/>
    <w:rsid w:val="005355F6"/>
    <w:rsid w:val="005367A1"/>
    <w:rsid w:val="00537588"/>
    <w:rsid w:val="00542D93"/>
    <w:rsid w:val="0054543F"/>
    <w:rsid w:val="005505ED"/>
    <w:rsid w:val="00552FCC"/>
    <w:rsid w:val="00554F03"/>
    <w:rsid w:val="00556ABC"/>
    <w:rsid w:val="0056141A"/>
    <w:rsid w:val="00562749"/>
    <w:rsid w:val="00564D5F"/>
    <w:rsid w:val="00565545"/>
    <w:rsid w:val="00566BDC"/>
    <w:rsid w:val="00570156"/>
    <w:rsid w:val="00570DAC"/>
    <w:rsid w:val="005726AA"/>
    <w:rsid w:val="00572F0D"/>
    <w:rsid w:val="00576B7A"/>
    <w:rsid w:val="00580E85"/>
    <w:rsid w:val="00581DA6"/>
    <w:rsid w:val="00582163"/>
    <w:rsid w:val="00583FCD"/>
    <w:rsid w:val="0059107C"/>
    <w:rsid w:val="00591246"/>
    <w:rsid w:val="00595292"/>
    <w:rsid w:val="005A3C44"/>
    <w:rsid w:val="005A55AF"/>
    <w:rsid w:val="005A6E75"/>
    <w:rsid w:val="005A79AA"/>
    <w:rsid w:val="005B6EB6"/>
    <w:rsid w:val="005B7C81"/>
    <w:rsid w:val="005C1B62"/>
    <w:rsid w:val="005C2026"/>
    <w:rsid w:val="005D3307"/>
    <w:rsid w:val="005D730D"/>
    <w:rsid w:val="005E0F72"/>
    <w:rsid w:val="005E392D"/>
    <w:rsid w:val="005E3B05"/>
    <w:rsid w:val="005E3EF9"/>
    <w:rsid w:val="005E4883"/>
    <w:rsid w:val="005E5916"/>
    <w:rsid w:val="005E6D90"/>
    <w:rsid w:val="005F0763"/>
    <w:rsid w:val="005F30EE"/>
    <w:rsid w:val="005F5301"/>
    <w:rsid w:val="005F7F17"/>
    <w:rsid w:val="0060066E"/>
    <w:rsid w:val="00603A86"/>
    <w:rsid w:val="00611500"/>
    <w:rsid w:val="00612B6E"/>
    <w:rsid w:val="00614437"/>
    <w:rsid w:val="006147C1"/>
    <w:rsid w:val="00620782"/>
    <w:rsid w:val="006216E0"/>
    <w:rsid w:val="00622FF9"/>
    <w:rsid w:val="00623E6E"/>
    <w:rsid w:val="006274B1"/>
    <w:rsid w:val="006275FC"/>
    <w:rsid w:val="00631195"/>
    <w:rsid w:val="00640B29"/>
    <w:rsid w:val="00641CF0"/>
    <w:rsid w:val="006438C7"/>
    <w:rsid w:val="0064459D"/>
    <w:rsid w:val="00650A45"/>
    <w:rsid w:val="00652830"/>
    <w:rsid w:val="0065338C"/>
    <w:rsid w:val="0065588C"/>
    <w:rsid w:val="00657608"/>
    <w:rsid w:val="006607BF"/>
    <w:rsid w:val="00662929"/>
    <w:rsid w:val="00663F42"/>
    <w:rsid w:val="00664AD3"/>
    <w:rsid w:val="006675ED"/>
    <w:rsid w:val="00667CF6"/>
    <w:rsid w:val="006735E1"/>
    <w:rsid w:val="006738FF"/>
    <w:rsid w:val="006739A9"/>
    <w:rsid w:val="00677413"/>
    <w:rsid w:val="006874AF"/>
    <w:rsid w:val="00691FC2"/>
    <w:rsid w:val="00692FF7"/>
    <w:rsid w:val="006942B5"/>
    <w:rsid w:val="006942BF"/>
    <w:rsid w:val="00694FF5"/>
    <w:rsid w:val="00695AC0"/>
    <w:rsid w:val="0069766C"/>
    <w:rsid w:val="006A00AB"/>
    <w:rsid w:val="006A2096"/>
    <w:rsid w:val="006B102B"/>
    <w:rsid w:val="006B56EF"/>
    <w:rsid w:val="006B5A3D"/>
    <w:rsid w:val="006C11BE"/>
    <w:rsid w:val="006C1D07"/>
    <w:rsid w:val="006C2CCD"/>
    <w:rsid w:val="006D0DBF"/>
    <w:rsid w:val="006D372E"/>
    <w:rsid w:val="006D39FC"/>
    <w:rsid w:val="006D4268"/>
    <w:rsid w:val="006D51B6"/>
    <w:rsid w:val="006D55B1"/>
    <w:rsid w:val="006D583E"/>
    <w:rsid w:val="006D7204"/>
    <w:rsid w:val="006E0648"/>
    <w:rsid w:val="006E3976"/>
    <w:rsid w:val="006E3F83"/>
    <w:rsid w:val="006E48EF"/>
    <w:rsid w:val="006E4BF1"/>
    <w:rsid w:val="006E4FBF"/>
    <w:rsid w:val="006E6103"/>
    <w:rsid w:val="006E61B4"/>
    <w:rsid w:val="006F03DD"/>
    <w:rsid w:val="006F1E40"/>
    <w:rsid w:val="006F273D"/>
    <w:rsid w:val="006F7236"/>
    <w:rsid w:val="0070087C"/>
    <w:rsid w:val="00700EB9"/>
    <w:rsid w:val="00701AC2"/>
    <w:rsid w:val="007027FE"/>
    <w:rsid w:val="007033CA"/>
    <w:rsid w:val="0070360C"/>
    <w:rsid w:val="00714C07"/>
    <w:rsid w:val="00723371"/>
    <w:rsid w:val="007258FE"/>
    <w:rsid w:val="00725A08"/>
    <w:rsid w:val="00726CC7"/>
    <w:rsid w:val="00727D7C"/>
    <w:rsid w:val="00730C21"/>
    <w:rsid w:val="007359C7"/>
    <w:rsid w:val="00741CA2"/>
    <w:rsid w:val="007426EF"/>
    <w:rsid w:val="007456F9"/>
    <w:rsid w:val="00747D24"/>
    <w:rsid w:val="00750CF1"/>
    <w:rsid w:val="00751F5A"/>
    <w:rsid w:val="007537AC"/>
    <w:rsid w:val="00754743"/>
    <w:rsid w:val="00754983"/>
    <w:rsid w:val="00755B40"/>
    <w:rsid w:val="00757D2A"/>
    <w:rsid w:val="00762EAC"/>
    <w:rsid w:val="00763F6B"/>
    <w:rsid w:val="0076531B"/>
    <w:rsid w:val="007732C7"/>
    <w:rsid w:val="007738DA"/>
    <w:rsid w:val="00780E41"/>
    <w:rsid w:val="00781900"/>
    <w:rsid w:val="007865F8"/>
    <w:rsid w:val="00790029"/>
    <w:rsid w:val="00792416"/>
    <w:rsid w:val="0079313B"/>
    <w:rsid w:val="00794353"/>
    <w:rsid w:val="007A0ED4"/>
    <w:rsid w:val="007A13C1"/>
    <w:rsid w:val="007A39E3"/>
    <w:rsid w:val="007A3BF1"/>
    <w:rsid w:val="007A4C7E"/>
    <w:rsid w:val="007A5B4C"/>
    <w:rsid w:val="007B218D"/>
    <w:rsid w:val="007B3BED"/>
    <w:rsid w:val="007B6773"/>
    <w:rsid w:val="007C26A5"/>
    <w:rsid w:val="007C2B6F"/>
    <w:rsid w:val="007C2E59"/>
    <w:rsid w:val="007C6139"/>
    <w:rsid w:val="007C7AFF"/>
    <w:rsid w:val="007D0847"/>
    <w:rsid w:val="007D25EF"/>
    <w:rsid w:val="007D27F0"/>
    <w:rsid w:val="007D499E"/>
    <w:rsid w:val="007D4D42"/>
    <w:rsid w:val="007E1173"/>
    <w:rsid w:val="007E62AE"/>
    <w:rsid w:val="007F1437"/>
    <w:rsid w:val="007F3071"/>
    <w:rsid w:val="007F44B2"/>
    <w:rsid w:val="007F546A"/>
    <w:rsid w:val="007F6FA7"/>
    <w:rsid w:val="007F7488"/>
    <w:rsid w:val="00800179"/>
    <w:rsid w:val="008004C6"/>
    <w:rsid w:val="0080072B"/>
    <w:rsid w:val="00804BC7"/>
    <w:rsid w:val="00810E69"/>
    <w:rsid w:val="008169B1"/>
    <w:rsid w:val="00821292"/>
    <w:rsid w:val="0082414F"/>
    <w:rsid w:val="008245D6"/>
    <w:rsid w:val="00831A8F"/>
    <w:rsid w:val="00833565"/>
    <w:rsid w:val="00834135"/>
    <w:rsid w:val="00836039"/>
    <w:rsid w:val="00840B97"/>
    <w:rsid w:val="00846C81"/>
    <w:rsid w:val="00850D84"/>
    <w:rsid w:val="008519E2"/>
    <w:rsid w:val="008520CC"/>
    <w:rsid w:val="008522BD"/>
    <w:rsid w:val="00852FE0"/>
    <w:rsid w:val="00857182"/>
    <w:rsid w:val="0086010A"/>
    <w:rsid w:val="00860D3C"/>
    <w:rsid w:val="00863EAD"/>
    <w:rsid w:val="00864463"/>
    <w:rsid w:val="00866AD1"/>
    <w:rsid w:val="0087076A"/>
    <w:rsid w:val="008722B1"/>
    <w:rsid w:val="00873F02"/>
    <w:rsid w:val="0088596B"/>
    <w:rsid w:val="008910F3"/>
    <w:rsid w:val="00894460"/>
    <w:rsid w:val="00894802"/>
    <w:rsid w:val="00897A9D"/>
    <w:rsid w:val="008A24BE"/>
    <w:rsid w:val="008A2761"/>
    <w:rsid w:val="008A2EF7"/>
    <w:rsid w:val="008A3E61"/>
    <w:rsid w:val="008B0BFB"/>
    <w:rsid w:val="008B15F9"/>
    <w:rsid w:val="008B545B"/>
    <w:rsid w:val="008B6B3D"/>
    <w:rsid w:val="008B734D"/>
    <w:rsid w:val="008C129E"/>
    <w:rsid w:val="008C1B24"/>
    <w:rsid w:val="008C5BFB"/>
    <w:rsid w:val="008C620A"/>
    <w:rsid w:val="008C717D"/>
    <w:rsid w:val="008C728D"/>
    <w:rsid w:val="008C7E06"/>
    <w:rsid w:val="008D0BC4"/>
    <w:rsid w:val="008D4722"/>
    <w:rsid w:val="008D55AB"/>
    <w:rsid w:val="008E4239"/>
    <w:rsid w:val="008E6F50"/>
    <w:rsid w:val="008E7586"/>
    <w:rsid w:val="008F04A9"/>
    <w:rsid w:val="008F3D44"/>
    <w:rsid w:val="008F57B8"/>
    <w:rsid w:val="008F663E"/>
    <w:rsid w:val="008F731D"/>
    <w:rsid w:val="00902426"/>
    <w:rsid w:val="0090256E"/>
    <w:rsid w:val="0090416D"/>
    <w:rsid w:val="00911E95"/>
    <w:rsid w:val="00912731"/>
    <w:rsid w:val="0091605E"/>
    <w:rsid w:val="00916C81"/>
    <w:rsid w:val="00916F7A"/>
    <w:rsid w:val="00920EEC"/>
    <w:rsid w:val="009219F4"/>
    <w:rsid w:val="00924942"/>
    <w:rsid w:val="00925150"/>
    <w:rsid w:val="00925714"/>
    <w:rsid w:val="009304B3"/>
    <w:rsid w:val="00930A3A"/>
    <w:rsid w:val="00931DD4"/>
    <w:rsid w:val="00935929"/>
    <w:rsid w:val="00936413"/>
    <w:rsid w:val="00940048"/>
    <w:rsid w:val="00940AF2"/>
    <w:rsid w:val="009410B0"/>
    <w:rsid w:val="00942A1F"/>
    <w:rsid w:val="00943137"/>
    <w:rsid w:val="009476F2"/>
    <w:rsid w:val="009509B1"/>
    <w:rsid w:val="00950F3C"/>
    <w:rsid w:val="009516C2"/>
    <w:rsid w:val="00953AAF"/>
    <w:rsid w:val="009559A1"/>
    <w:rsid w:val="009654B5"/>
    <w:rsid w:val="00965A85"/>
    <w:rsid w:val="00965CBF"/>
    <w:rsid w:val="009714B0"/>
    <w:rsid w:val="009728D2"/>
    <w:rsid w:val="0098477A"/>
    <w:rsid w:val="00985B8C"/>
    <w:rsid w:val="009862B9"/>
    <w:rsid w:val="00986AF2"/>
    <w:rsid w:val="00993750"/>
    <w:rsid w:val="009937C3"/>
    <w:rsid w:val="00996FEA"/>
    <w:rsid w:val="009A2657"/>
    <w:rsid w:val="009A4DCF"/>
    <w:rsid w:val="009A7977"/>
    <w:rsid w:val="009B04D5"/>
    <w:rsid w:val="009B5618"/>
    <w:rsid w:val="009C5270"/>
    <w:rsid w:val="009C5692"/>
    <w:rsid w:val="009C5A04"/>
    <w:rsid w:val="009D0EE4"/>
    <w:rsid w:val="009D3EAD"/>
    <w:rsid w:val="009D5B05"/>
    <w:rsid w:val="009D5EB4"/>
    <w:rsid w:val="009D7804"/>
    <w:rsid w:val="009E359A"/>
    <w:rsid w:val="009E3E75"/>
    <w:rsid w:val="009E4E20"/>
    <w:rsid w:val="009E51E2"/>
    <w:rsid w:val="009E74E2"/>
    <w:rsid w:val="009E7F42"/>
    <w:rsid w:val="009F2FC0"/>
    <w:rsid w:val="009F380C"/>
    <w:rsid w:val="00A00C0F"/>
    <w:rsid w:val="00A00C48"/>
    <w:rsid w:val="00A00CAA"/>
    <w:rsid w:val="00A01B0A"/>
    <w:rsid w:val="00A03A00"/>
    <w:rsid w:val="00A072DC"/>
    <w:rsid w:val="00A07B36"/>
    <w:rsid w:val="00A1164E"/>
    <w:rsid w:val="00A1193B"/>
    <w:rsid w:val="00A13C27"/>
    <w:rsid w:val="00A16DE1"/>
    <w:rsid w:val="00A24EA1"/>
    <w:rsid w:val="00A305EA"/>
    <w:rsid w:val="00A30FD1"/>
    <w:rsid w:val="00A32AD3"/>
    <w:rsid w:val="00A41A2C"/>
    <w:rsid w:val="00A41A45"/>
    <w:rsid w:val="00A50901"/>
    <w:rsid w:val="00A50BE6"/>
    <w:rsid w:val="00A54805"/>
    <w:rsid w:val="00A548D4"/>
    <w:rsid w:val="00A553BB"/>
    <w:rsid w:val="00A5549A"/>
    <w:rsid w:val="00A555E1"/>
    <w:rsid w:val="00A565E7"/>
    <w:rsid w:val="00A628F4"/>
    <w:rsid w:val="00A645F2"/>
    <w:rsid w:val="00A667B8"/>
    <w:rsid w:val="00A71255"/>
    <w:rsid w:val="00A72907"/>
    <w:rsid w:val="00A75C12"/>
    <w:rsid w:val="00A80A11"/>
    <w:rsid w:val="00A80BCF"/>
    <w:rsid w:val="00A81DDA"/>
    <w:rsid w:val="00A81EE1"/>
    <w:rsid w:val="00A83927"/>
    <w:rsid w:val="00A944EE"/>
    <w:rsid w:val="00A9543D"/>
    <w:rsid w:val="00A96954"/>
    <w:rsid w:val="00AA1688"/>
    <w:rsid w:val="00AA1A40"/>
    <w:rsid w:val="00AA250B"/>
    <w:rsid w:val="00AA4127"/>
    <w:rsid w:val="00AB0877"/>
    <w:rsid w:val="00AB1CAD"/>
    <w:rsid w:val="00AB72AE"/>
    <w:rsid w:val="00AB74E7"/>
    <w:rsid w:val="00AB7C87"/>
    <w:rsid w:val="00AC01B5"/>
    <w:rsid w:val="00AC07C6"/>
    <w:rsid w:val="00AC17E7"/>
    <w:rsid w:val="00AC1F49"/>
    <w:rsid w:val="00AC3A97"/>
    <w:rsid w:val="00AC43AC"/>
    <w:rsid w:val="00AC56CA"/>
    <w:rsid w:val="00AC630F"/>
    <w:rsid w:val="00AC6C94"/>
    <w:rsid w:val="00AC719C"/>
    <w:rsid w:val="00AD4F1A"/>
    <w:rsid w:val="00AD72BC"/>
    <w:rsid w:val="00AE20C7"/>
    <w:rsid w:val="00AE3430"/>
    <w:rsid w:val="00AE37BF"/>
    <w:rsid w:val="00AE3B21"/>
    <w:rsid w:val="00AE4246"/>
    <w:rsid w:val="00AE7FD4"/>
    <w:rsid w:val="00AF1478"/>
    <w:rsid w:val="00AF42BB"/>
    <w:rsid w:val="00AF4395"/>
    <w:rsid w:val="00AF5E5B"/>
    <w:rsid w:val="00AF7242"/>
    <w:rsid w:val="00AF7FFD"/>
    <w:rsid w:val="00B03828"/>
    <w:rsid w:val="00B04132"/>
    <w:rsid w:val="00B06AEA"/>
    <w:rsid w:val="00B11915"/>
    <w:rsid w:val="00B16EED"/>
    <w:rsid w:val="00B207E2"/>
    <w:rsid w:val="00B2084E"/>
    <w:rsid w:val="00B21154"/>
    <w:rsid w:val="00B26536"/>
    <w:rsid w:val="00B26C7C"/>
    <w:rsid w:val="00B27D94"/>
    <w:rsid w:val="00B3074E"/>
    <w:rsid w:val="00B32179"/>
    <w:rsid w:val="00B40DE8"/>
    <w:rsid w:val="00B41358"/>
    <w:rsid w:val="00B41AE5"/>
    <w:rsid w:val="00B422CB"/>
    <w:rsid w:val="00B42F55"/>
    <w:rsid w:val="00B519FA"/>
    <w:rsid w:val="00B533D6"/>
    <w:rsid w:val="00B57917"/>
    <w:rsid w:val="00B63F41"/>
    <w:rsid w:val="00B6478E"/>
    <w:rsid w:val="00B677E4"/>
    <w:rsid w:val="00B70422"/>
    <w:rsid w:val="00B74745"/>
    <w:rsid w:val="00B779D9"/>
    <w:rsid w:val="00B83EC4"/>
    <w:rsid w:val="00B87658"/>
    <w:rsid w:val="00B87C9B"/>
    <w:rsid w:val="00B87D13"/>
    <w:rsid w:val="00BA36C5"/>
    <w:rsid w:val="00BA6E8D"/>
    <w:rsid w:val="00BB0094"/>
    <w:rsid w:val="00BB301F"/>
    <w:rsid w:val="00BB37D3"/>
    <w:rsid w:val="00BB3BC2"/>
    <w:rsid w:val="00BB495D"/>
    <w:rsid w:val="00BC18E9"/>
    <w:rsid w:val="00BC2E32"/>
    <w:rsid w:val="00BC2F5B"/>
    <w:rsid w:val="00BC34DC"/>
    <w:rsid w:val="00BC4921"/>
    <w:rsid w:val="00BC7B59"/>
    <w:rsid w:val="00BD0084"/>
    <w:rsid w:val="00BD2175"/>
    <w:rsid w:val="00BD3D6C"/>
    <w:rsid w:val="00BD4478"/>
    <w:rsid w:val="00BD5023"/>
    <w:rsid w:val="00BD53A2"/>
    <w:rsid w:val="00BE1391"/>
    <w:rsid w:val="00BE2BAF"/>
    <w:rsid w:val="00BE3628"/>
    <w:rsid w:val="00BE5BFB"/>
    <w:rsid w:val="00BE5F2A"/>
    <w:rsid w:val="00BE7A0B"/>
    <w:rsid w:val="00BF0502"/>
    <w:rsid w:val="00BF1DA1"/>
    <w:rsid w:val="00BF5FDD"/>
    <w:rsid w:val="00C0151C"/>
    <w:rsid w:val="00C16791"/>
    <w:rsid w:val="00C20862"/>
    <w:rsid w:val="00C22341"/>
    <w:rsid w:val="00C27895"/>
    <w:rsid w:val="00C31F97"/>
    <w:rsid w:val="00C33436"/>
    <w:rsid w:val="00C37CCE"/>
    <w:rsid w:val="00C403F6"/>
    <w:rsid w:val="00C41789"/>
    <w:rsid w:val="00C41F2C"/>
    <w:rsid w:val="00C439DF"/>
    <w:rsid w:val="00C4437E"/>
    <w:rsid w:val="00C45907"/>
    <w:rsid w:val="00C5080D"/>
    <w:rsid w:val="00C515F2"/>
    <w:rsid w:val="00C5289F"/>
    <w:rsid w:val="00C53BDA"/>
    <w:rsid w:val="00C555B4"/>
    <w:rsid w:val="00C555B9"/>
    <w:rsid w:val="00C5631A"/>
    <w:rsid w:val="00C57CDE"/>
    <w:rsid w:val="00C6411F"/>
    <w:rsid w:val="00C6579F"/>
    <w:rsid w:val="00C65EAD"/>
    <w:rsid w:val="00C6644F"/>
    <w:rsid w:val="00C67348"/>
    <w:rsid w:val="00C70B63"/>
    <w:rsid w:val="00C70D27"/>
    <w:rsid w:val="00C731D1"/>
    <w:rsid w:val="00C74150"/>
    <w:rsid w:val="00C75108"/>
    <w:rsid w:val="00C76F6C"/>
    <w:rsid w:val="00C80640"/>
    <w:rsid w:val="00C815D1"/>
    <w:rsid w:val="00C8500F"/>
    <w:rsid w:val="00C860B9"/>
    <w:rsid w:val="00C86C27"/>
    <w:rsid w:val="00C90406"/>
    <w:rsid w:val="00C90F6A"/>
    <w:rsid w:val="00C9481D"/>
    <w:rsid w:val="00C95379"/>
    <w:rsid w:val="00CA2051"/>
    <w:rsid w:val="00CA2E61"/>
    <w:rsid w:val="00CA60C0"/>
    <w:rsid w:val="00CC08B4"/>
    <w:rsid w:val="00CC34B2"/>
    <w:rsid w:val="00CC4DA9"/>
    <w:rsid w:val="00CC50F9"/>
    <w:rsid w:val="00CC5C88"/>
    <w:rsid w:val="00CD3683"/>
    <w:rsid w:val="00CE1641"/>
    <w:rsid w:val="00CE1D36"/>
    <w:rsid w:val="00CE2D80"/>
    <w:rsid w:val="00CE61F7"/>
    <w:rsid w:val="00CE7CD9"/>
    <w:rsid w:val="00CF083D"/>
    <w:rsid w:val="00CF5A2E"/>
    <w:rsid w:val="00CF5EC5"/>
    <w:rsid w:val="00CF654B"/>
    <w:rsid w:val="00CF7325"/>
    <w:rsid w:val="00CF7AD3"/>
    <w:rsid w:val="00D02355"/>
    <w:rsid w:val="00D02D25"/>
    <w:rsid w:val="00D03327"/>
    <w:rsid w:val="00D04927"/>
    <w:rsid w:val="00D10117"/>
    <w:rsid w:val="00D20311"/>
    <w:rsid w:val="00D20C24"/>
    <w:rsid w:val="00D21141"/>
    <w:rsid w:val="00D2301A"/>
    <w:rsid w:val="00D2303B"/>
    <w:rsid w:val="00D26730"/>
    <w:rsid w:val="00D3541F"/>
    <w:rsid w:val="00D35854"/>
    <w:rsid w:val="00D36241"/>
    <w:rsid w:val="00D3686A"/>
    <w:rsid w:val="00D41618"/>
    <w:rsid w:val="00D41BCD"/>
    <w:rsid w:val="00D44F28"/>
    <w:rsid w:val="00D4562E"/>
    <w:rsid w:val="00D45F31"/>
    <w:rsid w:val="00D529F5"/>
    <w:rsid w:val="00D53D2E"/>
    <w:rsid w:val="00D5567F"/>
    <w:rsid w:val="00D56DFE"/>
    <w:rsid w:val="00D60E00"/>
    <w:rsid w:val="00D61857"/>
    <w:rsid w:val="00D62764"/>
    <w:rsid w:val="00D65955"/>
    <w:rsid w:val="00D71309"/>
    <w:rsid w:val="00D713F2"/>
    <w:rsid w:val="00D84582"/>
    <w:rsid w:val="00D870B1"/>
    <w:rsid w:val="00D90118"/>
    <w:rsid w:val="00D92F80"/>
    <w:rsid w:val="00D94789"/>
    <w:rsid w:val="00D94E71"/>
    <w:rsid w:val="00D96F91"/>
    <w:rsid w:val="00D974E8"/>
    <w:rsid w:val="00DA4C9D"/>
    <w:rsid w:val="00DA5BD0"/>
    <w:rsid w:val="00DA5E3D"/>
    <w:rsid w:val="00DB3F1F"/>
    <w:rsid w:val="00DB4548"/>
    <w:rsid w:val="00DB55A3"/>
    <w:rsid w:val="00DB61CD"/>
    <w:rsid w:val="00DC04E0"/>
    <w:rsid w:val="00DC2F10"/>
    <w:rsid w:val="00DC3DB2"/>
    <w:rsid w:val="00DC47B6"/>
    <w:rsid w:val="00DC7CF5"/>
    <w:rsid w:val="00DC7EBC"/>
    <w:rsid w:val="00DD2469"/>
    <w:rsid w:val="00DD2BB2"/>
    <w:rsid w:val="00DD4359"/>
    <w:rsid w:val="00DD4536"/>
    <w:rsid w:val="00DD5F45"/>
    <w:rsid w:val="00DD645E"/>
    <w:rsid w:val="00DD77F3"/>
    <w:rsid w:val="00DE331F"/>
    <w:rsid w:val="00DE73E5"/>
    <w:rsid w:val="00DF0C55"/>
    <w:rsid w:val="00DF40E3"/>
    <w:rsid w:val="00DF6916"/>
    <w:rsid w:val="00E03E82"/>
    <w:rsid w:val="00E052CA"/>
    <w:rsid w:val="00E11E7A"/>
    <w:rsid w:val="00E150FC"/>
    <w:rsid w:val="00E179AE"/>
    <w:rsid w:val="00E204D9"/>
    <w:rsid w:val="00E21A11"/>
    <w:rsid w:val="00E2570F"/>
    <w:rsid w:val="00E26E3E"/>
    <w:rsid w:val="00E275EB"/>
    <w:rsid w:val="00E31132"/>
    <w:rsid w:val="00E31386"/>
    <w:rsid w:val="00E339B9"/>
    <w:rsid w:val="00E33B40"/>
    <w:rsid w:val="00E365E8"/>
    <w:rsid w:val="00E377CE"/>
    <w:rsid w:val="00E459EC"/>
    <w:rsid w:val="00E45F06"/>
    <w:rsid w:val="00E46621"/>
    <w:rsid w:val="00E51E8C"/>
    <w:rsid w:val="00E523FC"/>
    <w:rsid w:val="00E53581"/>
    <w:rsid w:val="00E53FDF"/>
    <w:rsid w:val="00E55CCF"/>
    <w:rsid w:val="00E62F40"/>
    <w:rsid w:val="00E6370F"/>
    <w:rsid w:val="00E72BF6"/>
    <w:rsid w:val="00E75655"/>
    <w:rsid w:val="00E779A1"/>
    <w:rsid w:val="00E803E0"/>
    <w:rsid w:val="00E806F4"/>
    <w:rsid w:val="00E8146C"/>
    <w:rsid w:val="00E81C74"/>
    <w:rsid w:val="00E82605"/>
    <w:rsid w:val="00E864E2"/>
    <w:rsid w:val="00E90E90"/>
    <w:rsid w:val="00E9738A"/>
    <w:rsid w:val="00EA3D73"/>
    <w:rsid w:val="00EA771F"/>
    <w:rsid w:val="00EB12BB"/>
    <w:rsid w:val="00EB1CE8"/>
    <w:rsid w:val="00EB292E"/>
    <w:rsid w:val="00EB6BCA"/>
    <w:rsid w:val="00EC0AB6"/>
    <w:rsid w:val="00EC0E3B"/>
    <w:rsid w:val="00EC185F"/>
    <w:rsid w:val="00EC4C19"/>
    <w:rsid w:val="00EC73A4"/>
    <w:rsid w:val="00ED190B"/>
    <w:rsid w:val="00ED2F98"/>
    <w:rsid w:val="00ED3121"/>
    <w:rsid w:val="00ED4112"/>
    <w:rsid w:val="00ED557C"/>
    <w:rsid w:val="00ED7250"/>
    <w:rsid w:val="00ED7DF1"/>
    <w:rsid w:val="00EE03FB"/>
    <w:rsid w:val="00EE2F73"/>
    <w:rsid w:val="00EE5109"/>
    <w:rsid w:val="00EE53AB"/>
    <w:rsid w:val="00F01C81"/>
    <w:rsid w:val="00F024B3"/>
    <w:rsid w:val="00F1368C"/>
    <w:rsid w:val="00F138A4"/>
    <w:rsid w:val="00F14298"/>
    <w:rsid w:val="00F16D6A"/>
    <w:rsid w:val="00F229A4"/>
    <w:rsid w:val="00F23191"/>
    <w:rsid w:val="00F240A9"/>
    <w:rsid w:val="00F25FF0"/>
    <w:rsid w:val="00F31F15"/>
    <w:rsid w:val="00F321AB"/>
    <w:rsid w:val="00F32C96"/>
    <w:rsid w:val="00F34041"/>
    <w:rsid w:val="00F42C90"/>
    <w:rsid w:val="00F44D9C"/>
    <w:rsid w:val="00F45C5A"/>
    <w:rsid w:val="00F53B79"/>
    <w:rsid w:val="00F5460E"/>
    <w:rsid w:val="00F54F77"/>
    <w:rsid w:val="00F55491"/>
    <w:rsid w:val="00F5759F"/>
    <w:rsid w:val="00F61D7B"/>
    <w:rsid w:val="00F63314"/>
    <w:rsid w:val="00F6391E"/>
    <w:rsid w:val="00F64D9A"/>
    <w:rsid w:val="00F6679F"/>
    <w:rsid w:val="00F72182"/>
    <w:rsid w:val="00F72802"/>
    <w:rsid w:val="00F74FDA"/>
    <w:rsid w:val="00F7619D"/>
    <w:rsid w:val="00F85038"/>
    <w:rsid w:val="00F90BFF"/>
    <w:rsid w:val="00F95159"/>
    <w:rsid w:val="00F954A5"/>
    <w:rsid w:val="00F96799"/>
    <w:rsid w:val="00F97EDA"/>
    <w:rsid w:val="00FA056E"/>
    <w:rsid w:val="00FB071B"/>
    <w:rsid w:val="00FB292B"/>
    <w:rsid w:val="00FB2FA0"/>
    <w:rsid w:val="00FB5A83"/>
    <w:rsid w:val="00FB6625"/>
    <w:rsid w:val="00FB7889"/>
    <w:rsid w:val="00FC23DE"/>
    <w:rsid w:val="00FC426B"/>
    <w:rsid w:val="00FC4438"/>
    <w:rsid w:val="00FC6EDD"/>
    <w:rsid w:val="00FC7588"/>
    <w:rsid w:val="00FD37CB"/>
    <w:rsid w:val="00FD6A90"/>
    <w:rsid w:val="00FD6AE6"/>
    <w:rsid w:val="00FE0069"/>
    <w:rsid w:val="00FE0CE9"/>
    <w:rsid w:val="00FE33AC"/>
    <w:rsid w:val="00FE5DDB"/>
    <w:rsid w:val="00FF0E78"/>
    <w:rsid w:val="00FF419B"/>
    <w:rsid w:val="00FF4339"/>
    <w:rsid w:val="00FF6588"/>
    <w:rsid w:val="00FF6ADC"/>
    <w:rsid w:val="00FF71BD"/>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E0E3"/>
  <w15:docId w15:val="{224C743C-8C6C-4192-B623-FD33EAD5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1">
    <w:name w:val="g1"/>
    <w:basedOn w:val="DefaultParagraphFont"/>
    <w:rsid w:val="003639EC"/>
  </w:style>
  <w:style w:type="character" w:styleId="Hyperlink">
    <w:name w:val="Hyperlink"/>
    <w:basedOn w:val="DefaultParagraphFont"/>
    <w:uiPriority w:val="99"/>
    <w:semiHidden/>
    <w:unhideWhenUsed/>
    <w:rsid w:val="003639EC"/>
    <w:rPr>
      <w:color w:val="0000FF"/>
      <w:u w:val="single"/>
    </w:rPr>
  </w:style>
  <w:style w:type="paragraph" w:styleId="FootnoteText">
    <w:name w:val="footnote text"/>
    <w:basedOn w:val="Normal"/>
    <w:link w:val="FootnoteTextChar"/>
    <w:uiPriority w:val="99"/>
    <w:semiHidden/>
    <w:unhideWhenUsed/>
    <w:rsid w:val="00B519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9FA"/>
    <w:rPr>
      <w:sz w:val="20"/>
      <w:szCs w:val="20"/>
    </w:rPr>
  </w:style>
  <w:style w:type="character" w:styleId="FootnoteReference">
    <w:name w:val="footnote reference"/>
    <w:basedOn w:val="DefaultParagraphFont"/>
    <w:uiPriority w:val="99"/>
    <w:semiHidden/>
    <w:unhideWhenUsed/>
    <w:rsid w:val="00B519FA"/>
    <w:rPr>
      <w:vertAlign w:val="superscript"/>
    </w:rPr>
  </w:style>
  <w:style w:type="paragraph" w:styleId="ListParagraph">
    <w:name w:val="List Paragraph"/>
    <w:basedOn w:val="Normal"/>
    <w:uiPriority w:val="34"/>
    <w:qFormat/>
    <w:rsid w:val="00360D67"/>
    <w:pPr>
      <w:ind w:left="720"/>
      <w:contextualSpacing/>
    </w:pPr>
  </w:style>
  <w:style w:type="character" w:customStyle="1" w:styleId="mc">
    <w:name w:val="mc"/>
    <w:basedOn w:val="DefaultParagraphFont"/>
    <w:rsid w:val="00935929"/>
  </w:style>
  <w:style w:type="character" w:styleId="Strong">
    <w:name w:val="Strong"/>
    <w:basedOn w:val="DefaultParagraphFont"/>
    <w:uiPriority w:val="22"/>
    <w:qFormat/>
    <w:rsid w:val="00E31132"/>
    <w:rPr>
      <w:b/>
      <w:bCs/>
    </w:rPr>
  </w:style>
  <w:style w:type="paragraph" w:styleId="NormalWeb">
    <w:name w:val="Normal (Web)"/>
    <w:basedOn w:val="Normal"/>
    <w:uiPriority w:val="99"/>
    <w:semiHidden/>
    <w:unhideWhenUsed/>
    <w:rsid w:val="008B15F9"/>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timestampscreenreaderfriendly-396">
    <w:name w:val="timestampscreenreaderfriendly-396"/>
    <w:basedOn w:val="DefaultParagraphFont"/>
    <w:rsid w:val="000D76BD"/>
  </w:style>
  <w:style w:type="paragraph" w:customStyle="1" w:styleId="Default">
    <w:name w:val="Default"/>
    <w:rsid w:val="002F5CCB"/>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semiHidden/>
    <w:unhideWhenUsed/>
    <w:rsid w:val="003057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57D3"/>
  </w:style>
  <w:style w:type="paragraph" w:styleId="Footer">
    <w:name w:val="footer"/>
    <w:basedOn w:val="Normal"/>
    <w:link w:val="FooterChar"/>
    <w:uiPriority w:val="99"/>
    <w:semiHidden/>
    <w:unhideWhenUsed/>
    <w:rsid w:val="003057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057D3"/>
  </w:style>
  <w:style w:type="paragraph" w:styleId="Revision">
    <w:name w:val="Revision"/>
    <w:hidden/>
    <w:uiPriority w:val="99"/>
    <w:semiHidden/>
    <w:rsid w:val="004869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8629">
      <w:bodyDiv w:val="1"/>
      <w:marLeft w:val="0"/>
      <w:marRight w:val="0"/>
      <w:marTop w:val="0"/>
      <w:marBottom w:val="0"/>
      <w:divBdr>
        <w:top w:val="none" w:sz="0" w:space="0" w:color="auto"/>
        <w:left w:val="none" w:sz="0" w:space="0" w:color="auto"/>
        <w:bottom w:val="none" w:sz="0" w:space="0" w:color="auto"/>
        <w:right w:val="none" w:sz="0" w:space="0" w:color="auto"/>
      </w:divBdr>
      <w:divsChild>
        <w:div w:id="1588152501">
          <w:marLeft w:val="0"/>
          <w:marRight w:val="0"/>
          <w:marTop w:val="120"/>
          <w:marBottom w:val="0"/>
          <w:divBdr>
            <w:top w:val="none" w:sz="0" w:space="0" w:color="auto"/>
            <w:left w:val="none" w:sz="0" w:space="0" w:color="auto"/>
            <w:bottom w:val="none" w:sz="0" w:space="0" w:color="auto"/>
            <w:right w:val="none" w:sz="0" w:space="0" w:color="auto"/>
          </w:divBdr>
        </w:div>
        <w:div w:id="1896231366">
          <w:marLeft w:val="567"/>
          <w:marRight w:val="0"/>
          <w:marTop w:val="60"/>
          <w:marBottom w:val="0"/>
          <w:divBdr>
            <w:top w:val="none" w:sz="0" w:space="0" w:color="auto"/>
            <w:left w:val="none" w:sz="0" w:space="0" w:color="auto"/>
            <w:bottom w:val="none" w:sz="0" w:space="0" w:color="auto"/>
            <w:right w:val="none" w:sz="0" w:space="0" w:color="auto"/>
          </w:divBdr>
        </w:div>
      </w:divsChild>
    </w:div>
    <w:div w:id="389886744">
      <w:bodyDiv w:val="1"/>
      <w:marLeft w:val="0"/>
      <w:marRight w:val="0"/>
      <w:marTop w:val="0"/>
      <w:marBottom w:val="0"/>
      <w:divBdr>
        <w:top w:val="none" w:sz="0" w:space="0" w:color="auto"/>
        <w:left w:val="none" w:sz="0" w:space="0" w:color="auto"/>
        <w:bottom w:val="none" w:sz="0" w:space="0" w:color="auto"/>
        <w:right w:val="none" w:sz="0" w:space="0" w:color="auto"/>
      </w:divBdr>
      <w:divsChild>
        <w:div w:id="2143814260">
          <w:marLeft w:val="0"/>
          <w:marRight w:val="0"/>
          <w:marTop w:val="120"/>
          <w:marBottom w:val="0"/>
          <w:divBdr>
            <w:top w:val="none" w:sz="0" w:space="0" w:color="auto"/>
            <w:left w:val="none" w:sz="0" w:space="0" w:color="auto"/>
            <w:bottom w:val="none" w:sz="0" w:space="0" w:color="auto"/>
            <w:right w:val="none" w:sz="0" w:space="0" w:color="auto"/>
          </w:divBdr>
        </w:div>
        <w:div w:id="436340205">
          <w:marLeft w:val="0"/>
          <w:marRight w:val="0"/>
          <w:marTop w:val="240"/>
          <w:marBottom w:val="24"/>
          <w:divBdr>
            <w:top w:val="single" w:sz="8" w:space="2" w:color="000000"/>
            <w:left w:val="none" w:sz="0" w:space="0" w:color="auto"/>
            <w:bottom w:val="none" w:sz="0" w:space="0" w:color="auto"/>
            <w:right w:val="none" w:sz="0" w:space="0" w:color="auto"/>
          </w:divBdr>
        </w:div>
        <w:div w:id="1905680008">
          <w:marLeft w:val="0"/>
          <w:marRight w:val="0"/>
          <w:marTop w:val="120"/>
          <w:marBottom w:val="0"/>
          <w:divBdr>
            <w:top w:val="none" w:sz="0" w:space="0" w:color="auto"/>
            <w:left w:val="none" w:sz="0" w:space="0" w:color="auto"/>
            <w:bottom w:val="none" w:sz="0" w:space="0" w:color="auto"/>
            <w:right w:val="none" w:sz="0" w:space="0" w:color="auto"/>
          </w:divBdr>
        </w:div>
        <w:div w:id="978732825">
          <w:marLeft w:val="0"/>
          <w:marRight w:val="0"/>
          <w:marTop w:val="120"/>
          <w:marBottom w:val="0"/>
          <w:divBdr>
            <w:top w:val="none" w:sz="0" w:space="0" w:color="auto"/>
            <w:left w:val="none" w:sz="0" w:space="0" w:color="auto"/>
            <w:bottom w:val="none" w:sz="0" w:space="0" w:color="auto"/>
            <w:right w:val="none" w:sz="0" w:space="0" w:color="auto"/>
          </w:divBdr>
        </w:div>
      </w:divsChild>
    </w:div>
    <w:div w:id="428936555">
      <w:bodyDiv w:val="1"/>
      <w:marLeft w:val="0"/>
      <w:marRight w:val="0"/>
      <w:marTop w:val="0"/>
      <w:marBottom w:val="0"/>
      <w:divBdr>
        <w:top w:val="none" w:sz="0" w:space="0" w:color="auto"/>
        <w:left w:val="none" w:sz="0" w:space="0" w:color="auto"/>
        <w:bottom w:val="none" w:sz="0" w:space="0" w:color="auto"/>
        <w:right w:val="none" w:sz="0" w:space="0" w:color="auto"/>
      </w:divBdr>
      <w:divsChild>
        <w:div w:id="637145749">
          <w:marLeft w:val="0"/>
          <w:marRight w:val="0"/>
          <w:marTop w:val="120"/>
          <w:marBottom w:val="0"/>
          <w:divBdr>
            <w:top w:val="none" w:sz="0" w:space="0" w:color="auto"/>
            <w:left w:val="none" w:sz="0" w:space="0" w:color="auto"/>
            <w:bottom w:val="none" w:sz="0" w:space="0" w:color="auto"/>
            <w:right w:val="none" w:sz="0" w:space="0" w:color="auto"/>
          </w:divBdr>
        </w:div>
        <w:div w:id="1485900835">
          <w:marLeft w:val="567"/>
          <w:marRight w:val="0"/>
          <w:marTop w:val="60"/>
          <w:marBottom w:val="0"/>
          <w:divBdr>
            <w:top w:val="none" w:sz="0" w:space="0" w:color="auto"/>
            <w:left w:val="none" w:sz="0" w:space="0" w:color="auto"/>
            <w:bottom w:val="none" w:sz="0" w:space="0" w:color="auto"/>
            <w:right w:val="none" w:sz="0" w:space="0" w:color="auto"/>
          </w:divBdr>
        </w:div>
      </w:divsChild>
    </w:div>
    <w:div w:id="716467608">
      <w:bodyDiv w:val="1"/>
      <w:marLeft w:val="0"/>
      <w:marRight w:val="0"/>
      <w:marTop w:val="0"/>
      <w:marBottom w:val="0"/>
      <w:divBdr>
        <w:top w:val="none" w:sz="0" w:space="0" w:color="auto"/>
        <w:left w:val="none" w:sz="0" w:space="0" w:color="auto"/>
        <w:bottom w:val="none" w:sz="0" w:space="0" w:color="auto"/>
        <w:right w:val="none" w:sz="0" w:space="0" w:color="auto"/>
      </w:divBdr>
      <w:divsChild>
        <w:div w:id="1941061981">
          <w:marLeft w:val="0"/>
          <w:marRight w:val="0"/>
          <w:marTop w:val="144"/>
          <w:marBottom w:val="24"/>
          <w:divBdr>
            <w:top w:val="none" w:sz="0" w:space="0" w:color="auto"/>
            <w:left w:val="none" w:sz="0" w:space="0" w:color="auto"/>
            <w:bottom w:val="none" w:sz="0" w:space="0" w:color="auto"/>
            <w:right w:val="none" w:sz="0" w:space="0" w:color="auto"/>
          </w:divBdr>
        </w:div>
      </w:divsChild>
    </w:div>
    <w:div w:id="1131289933">
      <w:bodyDiv w:val="1"/>
      <w:marLeft w:val="0"/>
      <w:marRight w:val="0"/>
      <w:marTop w:val="0"/>
      <w:marBottom w:val="0"/>
      <w:divBdr>
        <w:top w:val="none" w:sz="0" w:space="0" w:color="auto"/>
        <w:left w:val="none" w:sz="0" w:space="0" w:color="auto"/>
        <w:bottom w:val="none" w:sz="0" w:space="0" w:color="auto"/>
        <w:right w:val="none" w:sz="0" w:space="0" w:color="auto"/>
      </w:divBdr>
      <w:divsChild>
        <w:div w:id="832912310">
          <w:marLeft w:val="0"/>
          <w:marRight w:val="0"/>
          <w:marTop w:val="0"/>
          <w:marBottom w:val="0"/>
          <w:divBdr>
            <w:top w:val="none" w:sz="0" w:space="0" w:color="auto"/>
            <w:left w:val="none" w:sz="0" w:space="0" w:color="auto"/>
            <w:bottom w:val="none" w:sz="0" w:space="0" w:color="auto"/>
            <w:right w:val="none" w:sz="0" w:space="0" w:color="auto"/>
          </w:divBdr>
          <w:divsChild>
            <w:div w:id="5520239">
              <w:marLeft w:val="0"/>
              <w:marRight w:val="0"/>
              <w:marTop w:val="0"/>
              <w:marBottom w:val="0"/>
              <w:divBdr>
                <w:top w:val="none" w:sz="0" w:space="0" w:color="auto"/>
                <w:left w:val="none" w:sz="0" w:space="0" w:color="auto"/>
                <w:bottom w:val="none" w:sz="0" w:space="0" w:color="auto"/>
                <w:right w:val="none" w:sz="0" w:space="0" w:color="auto"/>
              </w:divBdr>
              <w:divsChild>
                <w:div w:id="926116564">
                  <w:marLeft w:val="0"/>
                  <w:marRight w:val="0"/>
                  <w:marTop w:val="0"/>
                  <w:marBottom w:val="0"/>
                  <w:divBdr>
                    <w:top w:val="none" w:sz="0" w:space="0" w:color="auto"/>
                    <w:left w:val="none" w:sz="0" w:space="0" w:color="auto"/>
                    <w:bottom w:val="none" w:sz="0" w:space="0" w:color="auto"/>
                    <w:right w:val="none" w:sz="0" w:space="0" w:color="auto"/>
                  </w:divBdr>
                  <w:divsChild>
                    <w:div w:id="929506535">
                      <w:marLeft w:val="0"/>
                      <w:marRight w:val="0"/>
                      <w:marTop w:val="0"/>
                      <w:marBottom w:val="0"/>
                      <w:divBdr>
                        <w:top w:val="none" w:sz="0" w:space="0" w:color="auto"/>
                        <w:left w:val="none" w:sz="0" w:space="0" w:color="auto"/>
                        <w:bottom w:val="none" w:sz="0" w:space="0" w:color="auto"/>
                        <w:right w:val="none" w:sz="0" w:space="0" w:color="auto"/>
                      </w:divBdr>
                      <w:divsChild>
                        <w:div w:id="1515874179">
                          <w:marLeft w:val="0"/>
                          <w:marRight w:val="0"/>
                          <w:marTop w:val="0"/>
                          <w:marBottom w:val="0"/>
                          <w:divBdr>
                            <w:top w:val="none" w:sz="0" w:space="0" w:color="auto"/>
                            <w:left w:val="none" w:sz="0" w:space="0" w:color="auto"/>
                            <w:bottom w:val="none" w:sz="0" w:space="0" w:color="auto"/>
                            <w:right w:val="none" w:sz="0" w:space="0" w:color="auto"/>
                          </w:divBdr>
                          <w:divsChild>
                            <w:div w:id="900098778">
                              <w:marLeft w:val="0"/>
                              <w:marRight w:val="0"/>
                              <w:marTop w:val="0"/>
                              <w:marBottom w:val="0"/>
                              <w:divBdr>
                                <w:top w:val="none" w:sz="0" w:space="0" w:color="auto"/>
                                <w:left w:val="none" w:sz="0" w:space="0" w:color="auto"/>
                                <w:bottom w:val="none" w:sz="0" w:space="0" w:color="auto"/>
                                <w:right w:val="none" w:sz="0" w:space="0" w:color="auto"/>
                              </w:divBdr>
                              <w:divsChild>
                                <w:div w:id="205266594">
                                  <w:marLeft w:val="0"/>
                                  <w:marRight w:val="0"/>
                                  <w:marTop w:val="0"/>
                                  <w:marBottom w:val="0"/>
                                  <w:divBdr>
                                    <w:top w:val="none" w:sz="0" w:space="0" w:color="auto"/>
                                    <w:left w:val="none" w:sz="0" w:space="0" w:color="auto"/>
                                    <w:bottom w:val="none" w:sz="0" w:space="0" w:color="auto"/>
                                    <w:right w:val="none" w:sz="0" w:space="0" w:color="auto"/>
                                  </w:divBdr>
                                  <w:divsChild>
                                    <w:div w:id="11441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932228">
              <w:marLeft w:val="0"/>
              <w:marRight w:val="0"/>
              <w:marTop w:val="0"/>
              <w:marBottom w:val="0"/>
              <w:divBdr>
                <w:top w:val="none" w:sz="0" w:space="0" w:color="auto"/>
                <w:left w:val="none" w:sz="0" w:space="0" w:color="auto"/>
                <w:bottom w:val="none" w:sz="0" w:space="0" w:color="auto"/>
                <w:right w:val="none" w:sz="0" w:space="0" w:color="auto"/>
              </w:divBdr>
              <w:divsChild>
                <w:div w:id="1085690053">
                  <w:marLeft w:val="0"/>
                  <w:marRight w:val="0"/>
                  <w:marTop w:val="0"/>
                  <w:marBottom w:val="0"/>
                  <w:divBdr>
                    <w:top w:val="none" w:sz="0" w:space="0" w:color="auto"/>
                    <w:left w:val="none" w:sz="0" w:space="0" w:color="auto"/>
                    <w:bottom w:val="none" w:sz="0" w:space="0" w:color="auto"/>
                    <w:right w:val="none" w:sz="0" w:space="0" w:color="auto"/>
                  </w:divBdr>
                  <w:divsChild>
                    <w:div w:id="62339788">
                      <w:marLeft w:val="0"/>
                      <w:marRight w:val="0"/>
                      <w:marTop w:val="0"/>
                      <w:marBottom w:val="0"/>
                      <w:divBdr>
                        <w:top w:val="none" w:sz="0" w:space="0" w:color="auto"/>
                        <w:left w:val="none" w:sz="0" w:space="0" w:color="auto"/>
                        <w:bottom w:val="none" w:sz="0" w:space="0" w:color="auto"/>
                        <w:right w:val="none" w:sz="0" w:space="0" w:color="auto"/>
                      </w:divBdr>
                      <w:divsChild>
                        <w:div w:id="1976137086">
                          <w:marLeft w:val="0"/>
                          <w:marRight w:val="0"/>
                          <w:marTop w:val="0"/>
                          <w:marBottom w:val="0"/>
                          <w:divBdr>
                            <w:top w:val="none" w:sz="0" w:space="0" w:color="auto"/>
                            <w:left w:val="none" w:sz="0" w:space="0" w:color="auto"/>
                            <w:bottom w:val="none" w:sz="0" w:space="0" w:color="auto"/>
                            <w:right w:val="none" w:sz="0" w:space="0" w:color="auto"/>
                          </w:divBdr>
                          <w:divsChild>
                            <w:div w:id="2067217989">
                              <w:marLeft w:val="0"/>
                              <w:marRight w:val="0"/>
                              <w:marTop w:val="0"/>
                              <w:marBottom w:val="0"/>
                              <w:divBdr>
                                <w:top w:val="none" w:sz="0" w:space="0" w:color="auto"/>
                                <w:left w:val="none" w:sz="0" w:space="0" w:color="auto"/>
                                <w:bottom w:val="none" w:sz="0" w:space="0" w:color="auto"/>
                                <w:right w:val="none" w:sz="0" w:space="0" w:color="auto"/>
                              </w:divBdr>
                              <w:divsChild>
                                <w:div w:id="1461531852">
                                  <w:marLeft w:val="0"/>
                                  <w:marRight w:val="0"/>
                                  <w:marTop w:val="0"/>
                                  <w:marBottom w:val="0"/>
                                  <w:divBdr>
                                    <w:top w:val="none" w:sz="0" w:space="0" w:color="auto"/>
                                    <w:left w:val="none" w:sz="0" w:space="0" w:color="auto"/>
                                    <w:bottom w:val="none" w:sz="0" w:space="0" w:color="auto"/>
                                    <w:right w:val="none" w:sz="0" w:space="0" w:color="auto"/>
                                  </w:divBdr>
                                  <w:divsChild>
                                    <w:div w:id="7501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62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7754FFE23B6459143A5C83842992E" ma:contentTypeVersion="13" ma:contentTypeDescription="Create a new document." ma:contentTypeScope="" ma:versionID="003fe075389c24a3ba5812d12f1db108">
  <xsd:schema xmlns:xsd="http://www.w3.org/2001/XMLSchema" xmlns:xs="http://www.w3.org/2001/XMLSchema" xmlns:p="http://schemas.microsoft.com/office/2006/metadata/properties" xmlns:ns3="3c86e339-d9a1-4218-907a-f622c510b0ee" xmlns:ns4="c2811ad7-b8a3-4f19-baf9-a4ab8038d7b1" targetNamespace="http://schemas.microsoft.com/office/2006/metadata/properties" ma:root="true" ma:fieldsID="c5a802f6cdb10b0507dcdf626c1e106b" ns3:_="" ns4:_="">
    <xsd:import namespace="3c86e339-d9a1-4218-907a-f622c510b0ee"/>
    <xsd:import namespace="c2811ad7-b8a3-4f19-baf9-a4ab8038d7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6e339-d9a1-4218-907a-f622c510b0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11ad7-b8a3-4f19-baf9-a4ab8038d7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C5B7C9-ECC8-4769-83A5-52E10B4CE9E5}">
  <ds:schemaRefs>
    <ds:schemaRef ds:uri="http://schemas.openxmlformats.org/officeDocument/2006/bibliography"/>
  </ds:schemaRefs>
</ds:datastoreItem>
</file>

<file path=customXml/itemProps2.xml><?xml version="1.0" encoding="utf-8"?>
<ds:datastoreItem xmlns:ds="http://schemas.openxmlformats.org/officeDocument/2006/customXml" ds:itemID="{58AF695C-ADE0-42FB-9A1D-32BCF21FF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6e339-d9a1-4218-907a-f622c510b0ee"/>
    <ds:schemaRef ds:uri="c2811ad7-b8a3-4f19-baf9-a4ab8038d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429B0-2FBF-47AC-922B-0DE18D664724}">
  <ds:schemaRefs>
    <ds:schemaRef ds:uri="http://schemas.microsoft.com/sharepoint/v3/contenttype/forms"/>
  </ds:schemaRefs>
</ds:datastoreItem>
</file>

<file path=customXml/itemProps4.xml><?xml version="1.0" encoding="utf-8"?>
<ds:datastoreItem xmlns:ds="http://schemas.openxmlformats.org/officeDocument/2006/customXml" ds:itemID="{DEA947C4-CDBC-4A59-A210-0AFD2C0B1F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3351</Words>
  <Characters>19104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 Siwendu</dc:creator>
  <cp:keywords/>
  <dc:description/>
  <cp:lastModifiedBy>Lilitha Mdleleni</cp:lastModifiedBy>
  <cp:revision>3</cp:revision>
  <dcterms:created xsi:type="dcterms:W3CDTF">2024-01-23T13:13:00Z</dcterms:created>
  <dcterms:modified xsi:type="dcterms:W3CDTF">2024-01-24T09:38:00Z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0x0101000BC7754FFE23B6459143A5C83842992E</vt:lpwstr>
  </property>
</Properties>
</file>