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8853B" w14:textId="77777777" w:rsidR="00633CD8" w:rsidRDefault="00633CD8" w:rsidP="00633CD8">
      <w:pPr>
        <w:pStyle w:val="LegalNormal"/>
        <w:spacing w:after="0" w:line="360" w:lineRule="auto"/>
        <w:jc w:val="center"/>
      </w:pPr>
      <w:r w:rsidRPr="00D0071D">
        <w:rPr>
          <w:noProof/>
          <w:color w:val="1F497D"/>
          <w:lang w:val="en-ZA" w:eastAsia="en-ZA"/>
        </w:rPr>
        <w:drawing>
          <wp:inline distT="0" distB="0" distL="0" distR="0" wp14:anchorId="0291BE0F" wp14:editId="2C34F4BB">
            <wp:extent cx="1533525" cy="1533525"/>
            <wp:effectExtent l="0" t="0" r="9525" b="9525"/>
            <wp:docPr id="2" name="Picture 2" descr="cid:image001.png@01D0BF16.DA35A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BF16.DA35A9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14:paraId="62F5C444" w14:textId="77777777" w:rsidR="00F11A88" w:rsidRDefault="00F11A88" w:rsidP="00633CD8">
      <w:pPr>
        <w:pStyle w:val="LegalTitle"/>
        <w:spacing w:after="0" w:line="360" w:lineRule="auto"/>
        <w:rPr>
          <w:u w:val="single"/>
        </w:rPr>
      </w:pPr>
    </w:p>
    <w:p w14:paraId="733BDA42" w14:textId="274025C5" w:rsidR="00633CD8" w:rsidRPr="00520591" w:rsidRDefault="00633CD8" w:rsidP="00633CD8">
      <w:pPr>
        <w:pStyle w:val="LegalTitle"/>
        <w:spacing w:after="0" w:line="360" w:lineRule="auto"/>
        <w:rPr>
          <w:u w:val="single"/>
        </w:rPr>
      </w:pPr>
      <w:r w:rsidRPr="00520591">
        <w:rPr>
          <w:u w:val="single"/>
        </w:rPr>
        <w:t>IN THE HIGH COURT of south africa</w:t>
      </w:r>
    </w:p>
    <w:p w14:paraId="5A310E29" w14:textId="39862BAE" w:rsidR="00633CD8" w:rsidRDefault="00633CD8" w:rsidP="00633CD8">
      <w:pPr>
        <w:pStyle w:val="LegalTitle"/>
        <w:spacing w:after="0" w:line="360" w:lineRule="auto"/>
        <w:rPr>
          <w:u w:val="single"/>
        </w:rPr>
      </w:pPr>
      <w:r w:rsidRPr="00520591">
        <w:rPr>
          <w:u w:val="single"/>
        </w:rPr>
        <w:t xml:space="preserve">GAUTENG </w:t>
      </w:r>
      <w:r w:rsidR="00707CAF">
        <w:rPr>
          <w:u w:val="single"/>
        </w:rPr>
        <w:t xml:space="preserve">LOCAL </w:t>
      </w:r>
      <w:r w:rsidRPr="00520591">
        <w:rPr>
          <w:u w:val="single"/>
        </w:rPr>
        <w:t xml:space="preserve">DIVISION, </w:t>
      </w:r>
      <w:r>
        <w:rPr>
          <w:u w:val="single"/>
        </w:rPr>
        <w:t>JOHANNESBURG</w:t>
      </w:r>
    </w:p>
    <w:p w14:paraId="26F92239" w14:textId="354C4AEA" w:rsidR="00633CD8" w:rsidRDefault="00A561AD" w:rsidP="00633CD8">
      <w:pPr>
        <w:pStyle w:val="LegalAnnexure"/>
        <w:spacing w:after="960" w:line="360" w:lineRule="auto"/>
        <w:rPr>
          <w:u w:val="single"/>
        </w:rPr>
      </w:pPr>
      <w:r>
        <w:rPr>
          <w:noProof/>
          <w:lang w:val="en-ZA" w:eastAsia="en-ZA"/>
        </w:rPr>
        <mc:AlternateContent>
          <mc:Choice Requires="wps">
            <w:drawing>
              <wp:anchor distT="0" distB="0" distL="114300" distR="114300" simplePos="0" relativeHeight="251659264" behindDoc="0" locked="0" layoutInCell="1" allowOverlap="1" wp14:anchorId="161B1FB4" wp14:editId="61487F66">
                <wp:simplePos x="0" y="0"/>
                <wp:positionH relativeFrom="column">
                  <wp:posOffset>-127635</wp:posOffset>
                </wp:positionH>
                <wp:positionV relativeFrom="paragraph">
                  <wp:posOffset>173355</wp:posOffset>
                </wp:positionV>
                <wp:extent cx="3619500" cy="857250"/>
                <wp:effectExtent l="0" t="0" r="0" b="0"/>
                <wp:wrapNone/>
                <wp:docPr id="4207793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857250"/>
                        </a:xfrm>
                        <a:prstGeom prst="rect">
                          <a:avLst/>
                        </a:prstGeom>
                        <a:solidFill>
                          <a:srgbClr val="FFFFFF"/>
                        </a:solidFill>
                        <a:ln w="9525">
                          <a:solidFill>
                            <a:srgbClr val="000000"/>
                          </a:solidFill>
                          <a:miter lim="800000"/>
                          <a:headEnd/>
                          <a:tailEnd/>
                        </a:ln>
                      </wps:spPr>
                      <wps:txbx>
                        <w:txbxContent>
                          <w:p w14:paraId="031C1BFF" w14:textId="212AAAF4" w:rsidR="00633CD8" w:rsidRDefault="00E2631D" w:rsidP="00E2631D">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0" w:line="240" w:lineRule="auto"/>
                              <w:ind w:left="900" w:hanging="720"/>
                              <w:jc w:val="left"/>
                              <w:rPr>
                                <w:rFonts w:ascii="Century Gothic" w:hAnsi="Century Gothic"/>
                                <w:sz w:val="20"/>
                              </w:rPr>
                            </w:pPr>
                            <w:r>
                              <w:rPr>
                                <w:rFonts w:ascii="Century Gothic" w:hAnsi="Century Gothic"/>
                                <w:sz w:val="20"/>
                              </w:rPr>
                              <w:t>(1)</w:t>
                            </w:r>
                            <w:r>
                              <w:rPr>
                                <w:rFonts w:ascii="Century Gothic" w:hAnsi="Century Gothic"/>
                                <w:sz w:val="20"/>
                              </w:rPr>
                              <w:tab/>
                            </w:r>
                            <w:r w:rsidR="00633CD8">
                              <w:rPr>
                                <w:rFonts w:ascii="Century Gothic" w:hAnsi="Century Gothic"/>
                                <w:sz w:val="20"/>
                              </w:rPr>
                              <w:t xml:space="preserve">REPORTABLE: </w:t>
                            </w:r>
                          </w:p>
                          <w:p w14:paraId="686AC699" w14:textId="71533BD1" w:rsidR="00633CD8" w:rsidRDefault="00E2631D" w:rsidP="00E2631D">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0" w:line="240" w:lineRule="auto"/>
                              <w:ind w:left="900" w:hanging="720"/>
                              <w:jc w:val="left"/>
                              <w:rPr>
                                <w:rFonts w:ascii="Century Gothic" w:hAnsi="Century Gothic"/>
                                <w:sz w:val="20"/>
                              </w:rPr>
                            </w:pPr>
                            <w:r>
                              <w:rPr>
                                <w:rFonts w:ascii="Century Gothic" w:hAnsi="Century Gothic"/>
                                <w:sz w:val="20"/>
                              </w:rPr>
                              <w:t>(2)</w:t>
                            </w:r>
                            <w:r>
                              <w:rPr>
                                <w:rFonts w:ascii="Century Gothic" w:hAnsi="Century Gothic"/>
                                <w:sz w:val="20"/>
                              </w:rPr>
                              <w:tab/>
                            </w:r>
                            <w:r w:rsidR="00633CD8">
                              <w:rPr>
                                <w:rFonts w:ascii="Century Gothic" w:hAnsi="Century Gothic"/>
                                <w:sz w:val="20"/>
                              </w:rPr>
                              <w:t xml:space="preserve">OF INTEREST TO OTHER JUDGES: </w:t>
                            </w:r>
                          </w:p>
                          <w:p w14:paraId="6351C7EE" w14:textId="7FBF84B6" w:rsidR="00633CD8" w:rsidRDefault="00E2631D" w:rsidP="00E2631D">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120" w:line="240" w:lineRule="auto"/>
                              <w:ind w:left="901" w:hanging="720"/>
                              <w:jc w:val="left"/>
                              <w:rPr>
                                <w:rFonts w:ascii="Century Gothic" w:hAnsi="Century Gothic"/>
                                <w:sz w:val="20"/>
                              </w:rPr>
                            </w:pPr>
                            <w:r>
                              <w:rPr>
                                <w:rFonts w:ascii="Century Gothic" w:hAnsi="Century Gothic"/>
                                <w:sz w:val="20"/>
                              </w:rPr>
                              <w:t>(3)</w:t>
                            </w:r>
                            <w:r>
                              <w:rPr>
                                <w:rFonts w:ascii="Century Gothic" w:hAnsi="Century Gothic"/>
                                <w:sz w:val="20"/>
                              </w:rPr>
                              <w:tab/>
                            </w:r>
                            <w:r w:rsidR="00633CD8">
                              <w:rPr>
                                <w:rFonts w:ascii="Century Gothic" w:hAnsi="Century Gothic"/>
                                <w:sz w:val="20"/>
                              </w:rPr>
                              <w:t xml:space="preserve">REVISED: </w:t>
                            </w:r>
                          </w:p>
                          <w:p w14:paraId="536FD8F7" w14:textId="77777777" w:rsidR="00633CD8" w:rsidRDefault="00633CD8" w:rsidP="00633CD8">
                            <w:pPr>
                              <w:rPr>
                                <w:rFonts w:ascii="Century Gothic" w:hAnsi="Century Gothic"/>
                                <w:sz w:val="28"/>
                                <w:szCs w:val="28"/>
                              </w:rPr>
                            </w:pPr>
                            <w:r>
                              <w:rPr>
                                <w:rFonts w:ascii="Century Gothic" w:hAnsi="Century Gothic"/>
                                <w:sz w:val="22"/>
                                <w:szCs w:val="22"/>
                              </w:rPr>
                              <w:t>Date: Signature: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B1FB4" id="_x0000_t202" coordsize="21600,21600" o:spt="202" path="m,l,21600r21600,l21600,xe">
                <v:stroke joinstyle="miter"/>
                <v:path gradientshapeok="t" o:connecttype="rect"/>
              </v:shapetype>
              <v:shape id="Text Box 1" o:spid="_x0000_s1026" type="#_x0000_t202" style="position:absolute;left:0;text-align:left;margin-left:-10.05pt;margin-top:13.65pt;width:28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">
                <v:textbox>
                  <w:txbxContent>
                    <w:p w14:paraId="031C1BFF" w14:textId="212AAAF4" w:rsidR="00633CD8" w:rsidRDefault="00E2631D" w:rsidP="00E2631D">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0" w:line="240" w:lineRule="auto"/>
                        <w:ind w:left="900" w:hanging="720"/>
                        <w:jc w:val="left"/>
                        <w:rPr>
                          <w:rFonts w:ascii="Century Gothic" w:hAnsi="Century Gothic"/>
                          <w:sz w:val="20"/>
                        </w:rPr>
                      </w:pPr>
                      <w:r>
                        <w:rPr>
                          <w:rFonts w:ascii="Century Gothic" w:hAnsi="Century Gothic"/>
                          <w:sz w:val="20"/>
                        </w:rPr>
                        <w:t>(1)</w:t>
                      </w:r>
                      <w:r>
                        <w:rPr>
                          <w:rFonts w:ascii="Century Gothic" w:hAnsi="Century Gothic"/>
                          <w:sz w:val="20"/>
                        </w:rPr>
                        <w:tab/>
                      </w:r>
                      <w:r w:rsidR="00633CD8">
                        <w:rPr>
                          <w:rFonts w:ascii="Century Gothic" w:hAnsi="Century Gothic"/>
                          <w:sz w:val="20"/>
                        </w:rPr>
                        <w:t xml:space="preserve">REPORTABLE: </w:t>
                      </w:r>
                    </w:p>
                    <w:p w14:paraId="686AC699" w14:textId="71533BD1" w:rsidR="00633CD8" w:rsidRDefault="00E2631D" w:rsidP="00E2631D">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0" w:line="240" w:lineRule="auto"/>
                        <w:ind w:left="900" w:hanging="720"/>
                        <w:jc w:val="left"/>
                        <w:rPr>
                          <w:rFonts w:ascii="Century Gothic" w:hAnsi="Century Gothic"/>
                          <w:sz w:val="20"/>
                        </w:rPr>
                      </w:pPr>
                      <w:r>
                        <w:rPr>
                          <w:rFonts w:ascii="Century Gothic" w:hAnsi="Century Gothic"/>
                          <w:sz w:val="20"/>
                        </w:rPr>
                        <w:t>(2)</w:t>
                      </w:r>
                      <w:r>
                        <w:rPr>
                          <w:rFonts w:ascii="Century Gothic" w:hAnsi="Century Gothic"/>
                          <w:sz w:val="20"/>
                        </w:rPr>
                        <w:tab/>
                      </w:r>
                      <w:r w:rsidR="00633CD8">
                        <w:rPr>
                          <w:rFonts w:ascii="Century Gothic" w:hAnsi="Century Gothic"/>
                          <w:sz w:val="20"/>
                        </w:rPr>
                        <w:t xml:space="preserve">OF INTEREST TO OTHER JUDGES: </w:t>
                      </w:r>
                    </w:p>
                    <w:p w14:paraId="6351C7EE" w14:textId="7FBF84B6" w:rsidR="00633CD8" w:rsidRDefault="00E2631D" w:rsidP="00E2631D">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120" w:line="240" w:lineRule="auto"/>
                        <w:ind w:left="901" w:hanging="720"/>
                        <w:jc w:val="left"/>
                        <w:rPr>
                          <w:rFonts w:ascii="Century Gothic" w:hAnsi="Century Gothic"/>
                          <w:sz w:val="20"/>
                        </w:rPr>
                      </w:pPr>
                      <w:r>
                        <w:rPr>
                          <w:rFonts w:ascii="Century Gothic" w:hAnsi="Century Gothic"/>
                          <w:sz w:val="20"/>
                        </w:rPr>
                        <w:t>(3)</w:t>
                      </w:r>
                      <w:r>
                        <w:rPr>
                          <w:rFonts w:ascii="Century Gothic" w:hAnsi="Century Gothic"/>
                          <w:sz w:val="20"/>
                        </w:rPr>
                        <w:tab/>
                      </w:r>
                      <w:r w:rsidR="00633CD8">
                        <w:rPr>
                          <w:rFonts w:ascii="Century Gothic" w:hAnsi="Century Gothic"/>
                          <w:sz w:val="20"/>
                        </w:rPr>
                        <w:t xml:space="preserve">REVISED: </w:t>
                      </w:r>
                    </w:p>
                    <w:p w14:paraId="536FD8F7" w14:textId="77777777" w:rsidR="00633CD8" w:rsidRDefault="00633CD8" w:rsidP="00633CD8">
                      <w:pPr>
                        <w:rPr>
                          <w:rFonts w:ascii="Century Gothic" w:hAnsi="Century Gothic"/>
                          <w:sz w:val="28"/>
                          <w:szCs w:val="28"/>
                        </w:rPr>
                      </w:pPr>
                      <w:r>
                        <w:rPr>
                          <w:rFonts w:ascii="Century Gothic" w:hAnsi="Century Gothic"/>
                          <w:sz w:val="22"/>
                          <w:szCs w:val="22"/>
                        </w:rPr>
                        <w:t>Date: Signature: _____________</w:t>
                      </w:r>
                    </w:p>
                  </w:txbxContent>
                </v:textbox>
              </v:shape>
            </w:pict>
          </mc:Fallback>
        </mc:AlternateContent>
      </w:r>
    </w:p>
    <w:p w14:paraId="1C4FD250" w14:textId="77777777" w:rsidR="00633CD8" w:rsidRDefault="00633CD8" w:rsidP="00633CD8">
      <w:pPr>
        <w:pStyle w:val="LegalAnnexure"/>
        <w:spacing w:after="0" w:line="360" w:lineRule="auto"/>
      </w:pPr>
    </w:p>
    <w:p w14:paraId="3EA2AAB1" w14:textId="4864A38A" w:rsidR="00633CD8" w:rsidRPr="001C6F28" w:rsidRDefault="00633CD8" w:rsidP="00633CD8">
      <w:pPr>
        <w:pStyle w:val="LegalAnnexure"/>
        <w:spacing w:after="0" w:line="360" w:lineRule="auto"/>
      </w:pPr>
      <w:r>
        <w:rPr>
          <w:u w:val="single"/>
        </w:rPr>
        <w:t>CASE</w:t>
      </w:r>
      <w:r w:rsidRPr="00A84826">
        <w:rPr>
          <w:u w:val="single"/>
        </w:rPr>
        <w:t xml:space="preserve"> NO</w:t>
      </w:r>
      <w:r w:rsidRPr="002D4810">
        <w:rPr>
          <w:b w:val="0"/>
        </w:rPr>
        <w:t>:</w:t>
      </w:r>
      <w:r w:rsidR="006E34E4">
        <w:rPr>
          <w:b w:val="0"/>
        </w:rPr>
        <w:t xml:space="preserve"> </w:t>
      </w:r>
      <w:r w:rsidR="00D10BDA">
        <w:rPr>
          <w:b w:val="0"/>
        </w:rPr>
        <w:t>2022/26393</w:t>
      </w:r>
    </w:p>
    <w:p w14:paraId="017B14CF" w14:textId="2A61CA91" w:rsidR="00633CD8" w:rsidRPr="0076063C" w:rsidRDefault="00633CD8" w:rsidP="00633CD8">
      <w:pPr>
        <w:pStyle w:val="LegalNormal"/>
        <w:spacing w:after="0" w:line="360" w:lineRule="auto"/>
        <w:jc w:val="right"/>
      </w:pPr>
      <w:r w:rsidRPr="0076063C">
        <w:rPr>
          <w:b/>
          <w:u w:val="single"/>
        </w:rPr>
        <w:t>DATE</w:t>
      </w:r>
      <w:r>
        <w:rPr>
          <w:b/>
        </w:rPr>
        <w:t>:</w:t>
      </w:r>
      <w:r w:rsidR="008770E9">
        <w:rPr>
          <w:b/>
        </w:rPr>
        <w:t>  </w:t>
      </w:r>
      <w:r w:rsidR="00F440F8">
        <w:rPr>
          <w:b/>
        </w:rPr>
        <w:t>2</w:t>
      </w:r>
      <w:r w:rsidR="009F2028">
        <w:rPr>
          <w:b/>
        </w:rPr>
        <w:t>4</w:t>
      </w:r>
      <w:r w:rsidR="00D10BDA">
        <w:rPr>
          <w:b/>
        </w:rPr>
        <w:t xml:space="preserve"> January 2024</w:t>
      </w:r>
      <w:r>
        <w:rPr>
          <w:b/>
        </w:rPr>
        <w:t xml:space="preserve"> </w:t>
      </w:r>
    </w:p>
    <w:p w14:paraId="69D9E7C5" w14:textId="77777777" w:rsidR="00633CD8" w:rsidRPr="00A84826" w:rsidRDefault="00633CD8" w:rsidP="00633CD8">
      <w:pPr>
        <w:pStyle w:val="LegalNormal"/>
        <w:spacing w:after="240" w:line="360" w:lineRule="auto"/>
      </w:pPr>
      <w:r w:rsidRPr="00A84826">
        <w:t>In the matter between:</w:t>
      </w:r>
    </w:p>
    <w:tbl>
      <w:tblPr>
        <w:tblW w:w="8810" w:type="dxa"/>
        <w:tblLayout w:type="fixed"/>
        <w:tblLook w:val="0000" w:firstRow="0" w:lastRow="0" w:firstColumn="0" w:lastColumn="0" w:noHBand="0" w:noVBand="0"/>
      </w:tblPr>
      <w:tblGrid>
        <w:gridCol w:w="6204"/>
        <w:gridCol w:w="2606"/>
      </w:tblGrid>
      <w:tr w:rsidR="006E34E4" w:rsidRPr="00D905E4" w14:paraId="3808171C" w14:textId="77777777" w:rsidTr="006E34E4">
        <w:tc>
          <w:tcPr>
            <w:tcW w:w="6204" w:type="dxa"/>
          </w:tcPr>
          <w:p w14:paraId="2CB986D7" w14:textId="491DF335" w:rsidR="007A3836" w:rsidRPr="00707CAF" w:rsidRDefault="00D10BDA" w:rsidP="00707CAF">
            <w:pPr>
              <w:pStyle w:val="Title"/>
              <w:rPr>
                <w:b/>
                <w:sz w:val="21"/>
              </w:rPr>
            </w:pPr>
            <w:r>
              <w:rPr>
                <w:b/>
                <w:sz w:val="21"/>
              </w:rPr>
              <w:t>FIRSTRAND BANK LIMITED</w:t>
            </w:r>
          </w:p>
        </w:tc>
        <w:tc>
          <w:tcPr>
            <w:tcW w:w="2606" w:type="dxa"/>
          </w:tcPr>
          <w:p w14:paraId="6476AE42" w14:textId="269FBFA2" w:rsidR="006E34E4" w:rsidRPr="00D905E4" w:rsidRDefault="0031783F">
            <w:pPr>
              <w:pStyle w:val="Title"/>
              <w:spacing w:line="360" w:lineRule="auto"/>
              <w:jc w:val="right"/>
              <w:rPr>
                <w:sz w:val="21"/>
              </w:rPr>
            </w:pPr>
            <w:r>
              <w:rPr>
                <w:sz w:val="21"/>
              </w:rPr>
              <w:t xml:space="preserve">Applicant </w:t>
            </w:r>
          </w:p>
        </w:tc>
      </w:tr>
      <w:tr w:rsidR="006E34E4" w:rsidRPr="00D905E4" w14:paraId="29265C62" w14:textId="77777777" w:rsidTr="006E34E4">
        <w:tc>
          <w:tcPr>
            <w:tcW w:w="6204" w:type="dxa"/>
          </w:tcPr>
          <w:p w14:paraId="3EB8A71D" w14:textId="51148608" w:rsidR="006E34E4" w:rsidRPr="00D905E4" w:rsidRDefault="006E34E4">
            <w:pPr>
              <w:pStyle w:val="Title"/>
              <w:spacing w:line="360" w:lineRule="auto"/>
              <w:rPr>
                <w:sz w:val="21"/>
              </w:rPr>
            </w:pPr>
          </w:p>
        </w:tc>
        <w:tc>
          <w:tcPr>
            <w:tcW w:w="2606" w:type="dxa"/>
          </w:tcPr>
          <w:p w14:paraId="4CEFDE0C" w14:textId="77777777" w:rsidR="006E34E4" w:rsidRPr="00D905E4" w:rsidRDefault="006E34E4">
            <w:pPr>
              <w:pStyle w:val="Title"/>
              <w:spacing w:line="360" w:lineRule="auto"/>
              <w:rPr>
                <w:sz w:val="21"/>
              </w:rPr>
            </w:pPr>
          </w:p>
        </w:tc>
      </w:tr>
      <w:tr w:rsidR="006E34E4" w:rsidRPr="00D905E4" w14:paraId="09E13C66" w14:textId="77777777" w:rsidTr="006E34E4">
        <w:tc>
          <w:tcPr>
            <w:tcW w:w="6204" w:type="dxa"/>
          </w:tcPr>
          <w:p w14:paraId="3FB2F644" w14:textId="542052B1" w:rsidR="006E34E4" w:rsidRPr="00D905E4" w:rsidRDefault="003C7511">
            <w:pPr>
              <w:pStyle w:val="Title"/>
              <w:spacing w:after="120"/>
              <w:rPr>
                <w:b/>
                <w:sz w:val="21"/>
              </w:rPr>
            </w:pPr>
            <w:r w:rsidRPr="003C7511">
              <w:rPr>
                <w:bCs/>
                <w:sz w:val="21"/>
              </w:rPr>
              <w:t>and</w:t>
            </w:r>
            <w:r w:rsidR="006E34E4" w:rsidRPr="00D905E4">
              <w:rPr>
                <w:b/>
                <w:sz w:val="21"/>
              </w:rPr>
              <w:fldChar w:fldCharType="begin"/>
            </w:r>
            <w:r w:rsidR="006E34E4" w:rsidRPr="00D905E4">
              <w:rPr>
                <w:b/>
                <w:sz w:val="21"/>
              </w:rPr>
              <w:instrText xml:space="preserve">  </w:instrText>
            </w:r>
            <w:r w:rsidR="006E34E4" w:rsidRPr="00D905E4">
              <w:rPr>
                <w:b/>
                <w:sz w:val="21"/>
              </w:rPr>
              <w:fldChar w:fldCharType="end"/>
            </w:r>
          </w:p>
        </w:tc>
        <w:tc>
          <w:tcPr>
            <w:tcW w:w="2606" w:type="dxa"/>
          </w:tcPr>
          <w:p w14:paraId="4F9E604D" w14:textId="77777777" w:rsidR="006E34E4" w:rsidRPr="00D905E4" w:rsidRDefault="006E34E4">
            <w:pPr>
              <w:pStyle w:val="Title"/>
              <w:spacing w:line="360" w:lineRule="auto"/>
              <w:jc w:val="right"/>
              <w:rPr>
                <w:sz w:val="21"/>
              </w:rPr>
            </w:pPr>
          </w:p>
        </w:tc>
      </w:tr>
      <w:tr w:rsidR="006E34E4" w:rsidRPr="00D905E4" w14:paraId="627B0A96" w14:textId="77777777" w:rsidTr="006E34E4">
        <w:tc>
          <w:tcPr>
            <w:tcW w:w="6204" w:type="dxa"/>
          </w:tcPr>
          <w:p w14:paraId="20D6C10A" w14:textId="1F1D9037" w:rsidR="006E34E4" w:rsidRPr="00D905E4" w:rsidRDefault="006E34E4">
            <w:pPr>
              <w:pStyle w:val="Title"/>
              <w:rPr>
                <w:bCs/>
                <w:sz w:val="21"/>
              </w:rPr>
            </w:pPr>
          </w:p>
        </w:tc>
        <w:tc>
          <w:tcPr>
            <w:tcW w:w="2606" w:type="dxa"/>
          </w:tcPr>
          <w:p w14:paraId="69B86802" w14:textId="257BF2C7" w:rsidR="006E34E4" w:rsidRPr="00D905E4" w:rsidRDefault="006E34E4">
            <w:pPr>
              <w:pStyle w:val="Title"/>
              <w:spacing w:line="360" w:lineRule="auto"/>
              <w:jc w:val="right"/>
              <w:rPr>
                <w:sz w:val="21"/>
              </w:rPr>
            </w:pPr>
          </w:p>
        </w:tc>
      </w:tr>
      <w:tr w:rsidR="003C7511" w:rsidRPr="00D905E4" w14:paraId="3B8E44DF" w14:textId="77777777" w:rsidTr="006E34E4">
        <w:tc>
          <w:tcPr>
            <w:tcW w:w="6204" w:type="dxa"/>
          </w:tcPr>
          <w:p w14:paraId="6084FA3E" w14:textId="12F8343C" w:rsidR="003C7511" w:rsidRPr="003C7511" w:rsidRDefault="00D10BDA" w:rsidP="00F300AA">
            <w:pPr>
              <w:pStyle w:val="Title"/>
              <w:spacing w:after="120"/>
              <w:rPr>
                <w:b/>
                <w:sz w:val="21"/>
              </w:rPr>
            </w:pPr>
            <w:r>
              <w:rPr>
                <w:b/>
                <w:sz w:val="21"/>
              </w:rPr>
              <w:t>THE MASTER OF THE HIGH COURT OF SOUTH AFRICA: JOHANNESBURG</w:t>
            </w:r>
          </w:p>
        </w:tc>
        <w:tc>
          <w:tcPr>
            <w:tcW w:w="2606" w:type="dxa"/>
          </w:tcPr>
          <w:p w14:paraId="6881184E" w14:textId="57760F2C" w:rsidR="003C7511" w:rsidRPr="00D905E4" w:rsidRDefault="00D10BDA">
            <w:pPr>
              <w:pStyle w:val="Title"/>
              <w:spacing w:line="360" w:lineRule="auto"/>
              <w:jc w:val="right"/>
              <w:rPr>
                <w:sz w:val="21"/>
              </w:rPr>
            </w:pPr>
            <w:r>
              <w:rPr>
                <w:sz w:val="21"/>
              </w:rPr>
              <w:t xml:space="preserve">First </w:t>
            </w:r>
            <w:r w:rsidR="0031783F">
              <w:rPr>
                <w:sz w:val="21"/>
              </w:rPr>
              <w:t xml:space="preserve">Respondent </w:t>
            </w:r>
          </w:p>
        </w:tc>
      </w:tr>
      <w:tr w:rsidR="00D10BDA" w:rsidRPr="00D905E4" w14:paraId="45CE4D3E" w14:textId="77777777" w:rsidTr="006E34E4">
        <w:tc>
          <w:tcPr>
            <w:tcW w:w="6204" w:type="dxa"/>
          </w:tcPr>
          <w:p w14:paraId="4E7BE19B" w14:textId="751D86EE" w:rsidR="00D10BDA" w:rsidRDefault="00D10BDA" w:rsidP="00F300AA">
            <w:pPr>
              <w:pStyle w:val="Title"/>
              <w:spacing w:after="120"/>
              <w:rPr>
                <w:b/>
                <w:sz w:val="21"/>
              </w:rPr>
            </w:pPr>
            <w:r>
              <w:rPr>
                <w:b/>
                <w:sz w:val="21"/>
              </w:rPr>
              <w:t>MARI HAYWOOD N.O.</w:t>
            </w:r>
          </w:p>
        </w:tc>
        <w:tc>
          <w:tcPr>
            <w:tcW w:w="2606" w:type="dxa"/>
          </w:tcPr>
          <w:p w14:paraId="018AD306" w14:textId="223FBF6F" w:rsidR="00D10BDA" w:rsidRDefault="00D10BDA">
            <w:pPr>
              <w:pStyle w:val="Title"/>
              <w:spacing w:line="360" w:lineRule="auto"/>
              <w:jc w:val="right"/>
              <w:rPr>
                <w:sz w:val="21"/>
              </w:rPr>
            </w:pPr>
            <w:r>
              <w:rPr>
                <w:sz w:val="21"/>
              </w:rPr>
              <w:t xml:space="preserve">Second Respondent </w:t>
            </w:r>
          </w:p>
        </w:tc>
      </w:tr>
      <w:tr w:rsidR="00D10BDA" w:rsidRPr="00D905E4" w14:paraId="5B1002AD" w14:textId="77777777" w:rsidTr="006E34E4">
        <w:tc>
          <w:tcPr>
            <w:tcW w:w="6204" w:type="dxa"/>
          </w:tcPr>
          <w:p w14:paraId="5D1229C5" w14:textId="6C3DE160" w:rsidR="00D10BDA" w:rsidRDefault="00D10BDA" w:rsidP="00F300AA">
            <w:pPr>
              <w:pStyle w:val="Title"/>
              <w:spacing w:after="120"/>
              <w:rPr>
                <w:b/>
                <w:sz w:val="21"/>
              </w:rPr>
            </w:pPr>
            <w:r>
              <w:rPr>
                <w:b/>
                <w:sz w:val="21"/>
              </w:rPr>
              <w:t>KGASHANE CHRISTOPHER MONYELA N.O.</w:t>
            </w:r>
          </w:p>
        </w:tc>
        <w:tc>
          <w:tcPr>
            <w:tcW w:w="2606" w:type="dxa"/>
          </w:tcPr>
          <w:p w14:paraId="1CD9654D" w14:textId="44C85F41" w:rsidR="00D10BDA" w:rsidRDefault="00D10BDA">
            <w:pPr>
              <w:pStyle w:val="Title"/>
              <w:spacing w:line="360" w:lineRule="auto"/>
              <w:jc w:val="right"/>
              <w:rPr>
                <w:sz w:val="21"/>
              </w:rPr>
            </w:pPr>
            <w:r>
              <w:rPr>
                <w:sz w:val="21"/>
              </w:rPr>
              <w:t xml:space="preserve">Third Respondent </w:t>
            </w:r>
          </w:p>
        </w:tc>
      </w:tr>
      <w:tr w:rsidR="00D10BDA" w:rsidRPr="00D905E4" w14:paraId="175220FF" w14:textId="77777777" w:rsidTr="006E34E4">
        <w:tc>
          <w:tcPr>
            <w:tcW w:w="6204" w:type="dxa"/>
          </w:tcPr>
          <w:p w14:paraId="60C75D8E" w14:textId="4071ED96" w:rsidR="00D10BDA" w:rsidRPr="00D10BDA" w:rsidRDefault="00D10BDA" w:rsidP="00F300AA">
            <w:pPr>
              <w:pStyle w:val="Title"/>
              <w:spacing w:after="120"/>
              <w:rPr>
                <w:bCs/>
                <w:sz w:val="21"/>
              </w:rPr>
            </w:pPr>
            <w:r>
              <w:rPr>
                <w:bCs/>
                <w:sz w:val="21"/>
              </w:rPr>
              <w:t>(In their capacity as the joint liquidators of Truvelo Manufacturers (Pty) Limited, Registration No. 1974/000024/07) (In liquidation)</w:t>
            </w:r>
          </w:p>
        </w:tc>
        <w:tc>
          <w:tcPr>
            <w:tcW w:w="2606" w:type="dxa"/>
          </w:tcPr>
          <w:p w14:paraId="5B5CEF38" w14:textId="77777777" w:rsidR="00D10BDA" w:rsidRDefault="00D10BDA">
            <w:pPr>
              <w:pStyle w:val="Title"/>
              <w:spacing w:line="360" w:lineRule="auto"/>
              <w:jc w:val="right"/>
              <w:rPr>
                <w:sz w:val="21"/>
              </w:rPr>
            </w:pPr>
          </w:p>
        </w:tc>
      </w:tr>
    </w:tbl>
    <w:p w14:paraId="080B1F8B" w14:textId="77777777" w:rsidR="006E34E4" w:rsidRPr="00D905E4" w:rsidRDefault="006E34E4" w:rsidP="006E34E4">
      <w:pPr>
        <w:pStyle w:val="Title"/>
        <w:rPr>
          <w:sz w:val="21"/>
        </w:rPr>
      </w:pPr>
    </w:p>
    <w:p w14:paraId="12DFC443" w14:textId="70143870" w:rsidR="00633CD8" w:rsidRDefault="00633CD8" w:rsidP="006E34E4">
      <w:pPr>
        <w:tabs>
          <w:tab w:val="left" w:pos="1418"/>
        </w:tabs>
        <w:spacing w:before="120" w:after="120"/>
        <w:rPr>
          <w:rFonts w:cs="Arial"/>
        </w:rPr>
      </w:pPr>
      <w:r>
        <w:rPr>
          <w:rFonts w:cs="Arial"/>
          <w:b/>
          <w:bCs/>
        </w:rPr>
        <w:t>Coram:</w:t>
      </w:r>
      <w:r>
        <w:rPr>
          <w:rFonts w:cs="Arial"/>
        </w:rPr>
        <w:tab/>
      </w:r>
      <w:r w:rsidR="003C7511">
        <w:rPr>
          <w:rFonts w:cs="Arial"/>
        </w:rPr>
        <w:tab/>
        <w:t>Ternent AJ</w:t>
      </w:r>
    </w:p>
    <w:p w14:paraId="2D78F15E" w14:textId="64FDEF1E" w:rsidR="00633CD8" w:rsidRDefault="00633CD8" w:rsidP="00633CD8">
      <w:pPr>
        <w:spacing w:after="120"/>
        <w:ind w:left="1418" w:hanging="1418"/>
        <w:rPr>
          <w:rFonts w:cs="Arial"/>
          <w:b/>
        </w:rPr>
      </w:pPr>
      <w:r>
        <w:rPr>
          <w:rFonts w:cs="Arial"/>
          <w:b/>
          <w:bCs/>
        </w:rPr>
        <w:t>Heard on</w:t>
      </w:r>
      <w:r>
        <w:rPr>
          <w:rFonts w:cs="Arial"/>
        </w:rPr>
        <w:t>:</w:t>
      </w:r>
      <w:r>
        <w:rPr>
          <w:rFonts w:cs="Arial"/>
        </w:rPr>
        <w:tab/>
      </w:r>
      <w:r w:rsidR="0031783F">
        <w:rPr>
          <w:rFonts w:cs="Arial"/>
        </w:rPr>
        <w:t>23</w:t>
      </w:r>
      <w:r w:rsidR="00984D41">
        <w:rPr>
          <w:rFonts w:cs="Arial"/>
        </w:rPr>
        <w:t xml:space="preserve"> May </w:t>
      </w:r>
      <w:r w:rsidR="00615156">
        <w:rPr>
          <w:rFonts w:cs="Arial"/>
        </w:rPr>
        <w:t>2023</w:t>
      </w:r>
    </w:p>
    <w:p w14:paraId="13D07160" w14:textId="477DD888" w:rsidR="00633CD8" w:rsidRDefault="00633CD8" w:rsidP="00633CD8">
      <w:pPr>
        <w:tabs>
          <w:tab w:val="left" w:pos="1418"/>
        </w:tabs>
        <w:spacing w:after="120"/>
        <w:ind w:left="1418" w:hanging="1418"/>
        <w:rPr>
          <w:rFonts w:cs="Arial"/>
          <w:b/>
        </w:rPr>
      </w:pPr>
      <w:r>
        <w:rPr>
          <w:rFonts w:cs="Arial"/>
          <w:b/>
        </w:rPr>
        <w:t>Delivered:</w:t>
      </w:r>
      <w:r>
        <w:rPr>
          <w:rFonts w:cs="Arial"/>
          <w:b/>
        </w:rPr>
        <w:tab/>
      </w:r>
      <w:r w:rsidR="00F440F8">
        <w:rPr>
          <w:rFonts w:cs="Arial"/>
          <w:b/>
        </w:rPr>
        <w:t>2</w:t>
      </w:r>
      <w:r w:rsidR="009F2028">
        <w:rPr>
          <w:rFonts w:cs="Arial"/>
          <w:b/>
        </w:rPr>
        <w:t>4</w:t>
      </w:r>
      <w:r w:rsidR="00D10BDA">
        <w:rPr>
          <w:rFonts w:cs="Arial"/>
          <w:b/>
        </w:rPr>
        <w:t xml:space="preserve"> January 2024</w:t>
      </w:r>
      <w:r w:rsidR="00A649E7">
        <w:rPr>
          <w:rFonts w:cs="Arial"/>
          <w:b/>
        </w:rPr>
        <w:t xml:space="preserve"> </w:t>
      </w:r>
    </w:p>
    <w:p w14:paraId="01779AC8" w14:textId="18592D96" w:rsidR="00A649E7" w:rsidRPr="003C7511" w:rsidRDefault="00A649E7" w:rsidP="00633CD8">
      <w:pPr>
        <w:tabs>
          <w:tab w:val="left" w:pos="1418"/>
        </w:tabs>
        <w:spacing w:after="120"/>
        <w:ind w:left="1418" w:hanging="1418"/>
        <w:rPr>
          <w:rFonts w:cs="Arial"/>
          <w:bCs/>
        </w:rPr>
      </w:pPr>
      <w:r>
        <w:rPr>
          <w:rFonts w:cs="Arial"/>
          <w:b/>
        </w:rPr>
        <w:t>Summary:</w:t>
      </w:r>
    </w:p>
    <w:p w14:paraId="52E1ED33" w14:textId="660948DC" w:rsidR="00A649E7" w:rsidRDefault="00A649E7" w:rsidP="00A649E7">
      <w:pPr>
        <w:spacing w:after="120"/>
        <w:ind w:left="1871" w:hanging="1871"/>
        <w:rPr>
          <w:rFonts w:cs="Arial"/>
          <w:i/>
          <w:szCs w:val="24"/>
        </w:rPr>
      </w:pPr>
      <w:r>
        <w:rPr>
          <w:rFonts w:cs="Arial"/>
          <w:i/>
          <w:szCs w:val="24"/>
        </w:rPr>
        <w:t>Delivered:</w:t>
      </w:r>
      <w:r>
        <w:rPr>
          <w:rFonts w:cs="Arial"/>
          <w:i/>
          <w:szCs w:val="24"/>
        </w:rPr>
        <w:tab/>
        <w:t xml:space="preserve">This judgment was prepared and authored by the Judge whose name is reflected and is handed down electronically by circulation to the Parties/their legal representatives by email and </w:t>
      </w:r>
      <w:r>
        <w:rPr>
          <w:rFonts w:cs="Arial"/>
          <w:i/>
          <w:szCs w:val="24"/>
        </w:rPr>
        <w:lastRenderedPageBreak/>
        <w:t xml:space="preserve">by uploading it to the electronic file of this matter on CaseLines. The date for hand-down is deemed to be </w:t>
      </w:r>
      <w:r w:rsidR="00A67BBD">
        <w:rPr>
          <w:rFonts w:cs="Arial"/>
          <w:i/>
          <w:szCs w:val="24"/>
        </w:rPr>
        <w:t xml:space="preserve">12h00 on </w:t>
      </w:r>
      <w:r w:rsidR="009F2028">
        <w:rPr>
          <w:rFonts w:cs="Arial"/>
          <w:i/>
          <w:szCs w:val="24"/>
        </w:rPr>
        <w:t>24</w:t>
      </w:r>
      <w:r w:rsidR="00D10BDA">
        <w:rPr>
          <w:rFonts w:cs="Arial"/>
          <w:i/>
          <w:szCs w:val="24"/>
        </w:rPr>
        <w:t xml:space="preserve"> January 2024</w:t>
      </w:r>
      <w:r>
        <w:rPr>
          <w:rFonts w:cs="Arial"/>
          <w:i/>
          <w:szCs w:val="24"/>
        </w:rPr>
        <w:t>.</w:t>
      </w:r>
    </w:p>
    <w:p w14:paraId="16ACB30C" w14:textId="77777777" w:rsidR="00A649E7" w:rsidRDefault="00A649E7" w:rsidP="00633CD8">
      <w:pPr>
        <w:spacing w:after="240"/>
        <w:rPr>
          <w:rFonts w:cs="Arial"/>
        </w:rPr>
      </w:pPr>
    </w:p>
    <w:p w14:paraId="7C37C51C" w14:textId="14920C97" w:rsidR="00633CD8" w:rsidRPr="00A84826" w:rsidRDefault="00633CD8" w:rsidP="00633CD8">
      <w:pPr>
        <w:pStyle w:val="LegalTramLines"/>
        <w:spacing w:after="240"/>
      </w:pPr>
      <w:r>
        <w:t xml:space="preserve">JUDGMENT </w:t>
      </w:r>
    </w:p>
    <w:p w14:paraId="267A531E" w14:textId="77777777" w:rsidR="00A67BBD" w:rsidRDefault="00A67BBD" w:rsidP="00A67BBD">
      <w:pPr>
        <w:pStyle w:val="Heading1"/>
        <w:keepNext/>
        <w:numPr>
          <w:ilvl w:val="0"/>
          <w:numId w:val="0"/>
        </w:numPr>
        <w:spacing w:after="120"/>
        <w:ind w:left="862" w:hanging="862"/>
        <w:rPr>
          <w:b/>
          <w:bCs/>
          <w:u w:val="single"/>
        </w:rPr>
      </w:pPr>
      <w:bookmarkStart w:id="0" w:name="_Hlk81386236"/>
      <w:bookmarkStart w:id="1" w:name="_Hlk81386419"/>
    </w:p>
    <w:p w14:paraId="1C8B327F" w14:textId="1F2340D1" w:rsidR="006F7C73" w:rsidRDefault="005F5D78" w:rsidP="00A34D30">
      <w:pPr>
        <w:pStyle w:val="Heading1"/>
        <w:keepNext/>
        <w:numPr>
          <w:ilvl w:val="0"/>
          <w:numId w:val="0"/>
        </w:numPr>
        <w:ind w:left="862" w:hanging="862"/>
      </w:pPr>
      <w:r w:rsidRPr="000460FA">
        <w:rPr>
          <w:b/>
          <w:bCs/>
          <w:u w:val="single"/>
        </w:rPr>
        <w:t>TERNENT</w:t>
      </w:r>
      <w:r w:rsidR="00833533" w:rsidRPr="000460FA">
        <w:rPr>
          <w:b/>
          <w:bCs/>
          <w:u w:val="single"/>
        </w:rPr>
        <w:t>, AJ</w:t>
      </w:r>
      <w:r w:rsidR="002A19E4" w:rsidRPr="005F5D78">
        <w:t>:</w:t>
      </w:r>
      <w:bookmarkEnd w:id="0"/>
    </w:p>
    <w:p w14:paraId="1A7EC29A" w14:textId="24A68129" w:rsidR="00D10BDA" w:rsidRDefault="00D10BDA" w:rsidP="00D10BDA">
      <w:pPr>
        <w:keepNext/>
        <w:rPr>
          <w:b/>
          <w:bCs/>
          <w:u w:val="single"/>
        </w:rPr>
      </w:pPr>
      <w:r>
        <w:rPr>
          <w:b/>
          <w:bCs/>
          <w:u w:val="single"/>
        </w:rPr>
        <w:t>INTRODUCTION</w:t>
      </w:r>
    </w:p>
    <w:p w14:paraId="12EB2859" w14:textId="238350CD" w:rsidR="00C7104E" w:rsidRDefault="00E2631D" w:rsidP="00E2631D">
      <w:pPr>
        <w:pStyle w:val="Heading1"/>
        <w:numPr>
          <w:ilvl w:val="0"/>
          <w:numId w:val="0"/>
        </w:numPr>
        <w:tabs>
          <w:tab w:val="left" w:pos="862"/>
        </w:tabs>
        <w:ind w:left="862" w:hanging="862"/>
      </w:pPr>
      <w:r>
        <w:t>[1]</w:t>
      </w:r>
      <w:r>
        <w:tab/>
      </w:r>
      <w:r w:rsidR="00D10BDA">
        <w:t xml:space="preserve">It is </w:t>
      </w:r>
      <w:r w:rsidR="00C7104E">
        <w:t xml:space="preserve">common cause </w:t>
      </w:r>
      <w:r w:rsidR="00D10BDA">
        <w:t xml:space="preserve">that the applicant </w:t>
      </w:r>
      <w:r w:rsidR="00C7104E">
        <w:t xml:space="preserve"> (</w:t>
      </w:r>
      <w:r w:rsidR="004B0B17" w:rsidRPr="004B0B17">
        <w:rPr>
          <w:i/>
          <w:iCs/>
        </w:rPr>
        <w:t>“</w:t>
      </w:r>
      <w:r w:rsidR="00C7104E" w:rsidRPr="004B0B17">
        <w:rPr>
          <w:i/>
          <w:iCs/>
        </w:rPr>
        <w:t xml:space="preserve">the </w:t>
      </w:r>
      <w:r w:rsidR="006D5CD5" w:rsidRPr="004B0B17">
        <w:rPr>
          <w:i/>
          <w:iCs/>
        </w:rPr>
        <w:t>B</w:t>
      </w:r>
      <w:r w:rsidR="00C7104E" w:rsidRPr="004B0B17">
        <w:rPr>
          <w:i/>
          <w:iCs/>
        </w:rPr>
        <w:t>ank”</w:t>
      </w:r>
      <w:r w:rsidR="00C7104E">
        <w:t xml:space="preserve">) </w:t>
      </w:r>
      <w:r w:rsidR="00D10BDA">
        <w:t xml:space="preserve">is </w:t>
      </w:r>
      <w:r w:rsidR="006D5CD5">
        <w:t xml:space="preserve">an aggrieved party  and </w:t>
      </w:r>
      <w:r w:rsidR="00D10BDA">
        <w:t>entitled in terms of the provisions of section 407(4)(a) of the Companies Act</w:t>
      </w:r>
      <w:r w:rsidR="00AE6642">
        <w:t xml:space="preserve"> 71 of 2008</w:t>
      </w:r>
      <w:r w:rsidR="006D5CD5">
        <w:t xml:space="preserve"> </w:t>
      </w:r>
      <w:r w:rsidR="00D10BDA">
        <w:t xml:space="preserve">to launch this application </w:t>
      </w:r>
      <w:r w:rsidR="00C7104E">
        <w:t xml:space="preserve">for the review and </w:t>
      </w:r>
      <w:r w:rsidR="00D10BDA">
        <w:t>set</w:t>
      </w:r>
      <w:r w:rsidR="00C7104E">
        <w:t>ting</w:t>
      </w:r>
      <w:r w:rsidR="00D10BDA">
        <w:t xml:space="preserve"> aside</w:t>
      </w:r>
      <w:r w:rsidR="00C7104E">
        <w:t xml:space="preserve"> of</w:t>
      </w:r>
      <w:r w:rsidR="00D10BDA">
        <w:t xml:space="preserve"> the Master</w:t>
      </w:r>
      <w:r w:rsidR="003221AB">
        <w:t>’s decision (the first respondent) (</w:t>
      </w:r>
      <w:r w:rsidR="003221AB">
        <w:rPr>
          <w:i/>
          <w:iCs/>
        </w:rPr>
        <w:t>“the Master”</w:t>
      </w:r>
      <w:r w:rsidR="003221AB">
        <w:t>)</w:t>
      </w:r>
      <w:r w:rsidR="003D6404">
        <w:t>,</w:t>
      </w:r>
      <w:r w:rsidR="003221AB">
        <w:t xml:space="preserve"> on 25 August 2022</w:t>
      </w:r>
      <w:r w:rsidR="003D6404">
        <w:t>,</w:t>
      </w:r>
      <w:r w:rsidR="003221AB">
        <w:t xml:space="preserve"> in terms whereof the Master dismissed the </w:t>
      </w:r>
      <w:r w:rsidR="00E61CAC">
        <w:t>Bank</w:t>
      </w:r>
      <w:r w:rsidR="003221AB">
        <w:t>’s objection to the third liquidation and distribution account</w:t>
      </w:r>
      <w:r w:rsidR="00C7104E">
        <w:t>.</w:t>
      </w:r>
      <w:r w:rsidR="00AE6642">
        <w:t xml:space="preserve"> In this regard it is accepted that the Court has a broad general power to reconsider the Master’s decision and is not constrained to find either that the Master  erred or committed a gross irregularity.</w:t>
      </w:r>
      <w:r w:rsidR="00C7104E">
        <w:t xml:space="preserve"> Th</w:t>
      </w:r>
      <w:r w:rsidR="00B61B10">
        <w:t>e</w:t>
      </w:r>
      <w:r w:rsidR="00AE6642">
        <w:t xml:space="preserve"> objection</w:t>
      </w:r>
      <w:r w:rsidR="00C7104E">
        <w:t xml:space="preserve"> related to</w:t>
      </w:r>
      <w:r w:rsidR="003221AB">
        <w:t xml:space="preserve"> </w:t>
      </w:r>
      <w:r w:rsidR="00B61B10">
        <w:t xml:space="preserve">only </w:t>
      </w:r>
      <w:r w:rsidR="003221AB">
        <w:t xml:space="preserve">a portion of </w:t>
      </w:r>
      <w:r w:rsidR="00C7104E">
        <w:t xml:space="preserve">the </w:t>
      </w:r>
      <w:r w:rsidR="00B61B10">
        <w:t>B</w:t>
      </w:r>
      <w:r w:rsidR="00C7104E">
        <w:t xml:space="preserve">ank’s </w:t>
      </w:r>
      <w:r w:rsidR="003221AB">
        <w:t xml:space="preserve">claim </w:t>
      </w:r>
      <w:r w:rsidR="00B61B10">
        <w:t>which</w:t>
      </w:r>
      <w:r w:rsidR="003221AB">
        <w:t xml:space="preserve"> the Master has determined is concurrent</w:t>
      </w:r>
      <w:r w:rsidR="00C7104E">
        <w:t>.</w:t>
      </w:r>
      <w:r w:rsidR="003221AB">
        <w:t xml:space="preserve"> </w:t>
      </w:r>
      <w:r w:rsidR="00C7104E">
        <w:t>H</w:t>
      </w:r>
      <w:r w:rsidR="003221AB">
        <w:t xml:space="preserve">aving awarded </w:t>
      </w:r>
      <w:r w:rsidR="00C7104E">
        <w:t xml:space="preserve">a sum of </w:t>
      </w:r>
      <w:r w:rsidR="003221AB">
        <w:t xml:space="preserve">R916 587,12 </w:t>
      </w:r>
      <w:r w:rsidR="00C7104E">
        <w:t xml:space="preserve"> to the Bank, it pursues the alleged </w:t>
      </w:r>
      <w:r w:rsidR="003221AB">
        <w:t xml:space="preserve">shortfall in the sum of R1 053 511,06, the total claim being R1 970 098,79. </w:t>
      </w:r>
    </w:p>
    <w:p w14:paraId="0B270049" w14:textId="656D0C72" w:rsidR="006D5CD5" w:rsidRDefault="00E2631D" w:rsidP="00E2631D">
      <w:pPr>
        <w:pStyle w:val="Heading1"/>
        <w:numPr>
          <w:ilvl w:val="0"/>
          <w:numId w:val="0"/>
        </w:numPr>
        <w:tabs>
          <w:tab w:val="left" w:pos="862"/>
        </w:tabs>
        <w:ind w:left="862" w:hanging="862"/>
      </w:pPr>
      <w:r>
        <w:t>[2]</w:t>
      </w:r>
      <w:r>
        <w:tab/>
      </w:r>
      <w:r w:rsidR="006D5CD5">
        <w:t>The Bank</w:t>
      </w:r>
      <w:r w:rsidR="00AE6642">
        <w:t>,</w:t>
      </w:r>
      <w:r w:rsidR="006D5CD5">
        <w:t xml:space="preserve"> as a secured creditor</w:t>
      </w:r>
      <w:r w:rsidR="00AE6642">
        <w:t>,</w:t>
      </w:r>
      <w:r w:rsidR="006D5CD5">
        <w:t xml:space="preserve"> contends that it is entitled to payment to the full extent of its claim.</w:t>
      </w:r>
    </w:p>
    <w:p w14:paraId="6C992359" w14:textId="17F6782D" w:rsidR="00C7104E" w:rsidRDefault="00E2631D" w:rsidP="00E2631D">
      <w:pPr>
        <w:pStyle w:val="Heading1"/>
        <w:numPr>
          <w:ilvl w:val="0"/>
          <w:numId w:val="0"/>
        </w:numPr>
        <w:tabs>
          <w:tab w:val="left" w:pos="862"/>
        </w:tabs>
        <w:ind w:left="862" w:hanging="862"/>
      </w:pPr>
      <w:r>
        <w:t>[3]</w:t>
      </w:r>
      <w:r>
        <w:tab/>
      </w:r>
      <w:r w:rsidR="006D5CD5">
        <w:t>T</w:t>
      </w:r>
      <w:r w:rsidR="003221AB">
        <w:t xml:space="preserve">he </w:t>
      </w:r>
      <w:r w:rsidR="006D5CD5">
        <w:t xml:space="preserve">Bank relies on </w:t>
      </w:r>
      <w:r w:rsidR="003221AB">
        <w:t xml:space="preserve">a </w:t>
      </w:r>
      <w:r w:rsidR="00DC4F94">
        <w:t>C</w:t>
      </w:r>
      <w:r w:rsidR="003221AB">
        <w:t xml:space="preserve">ession and </w:t>
      </w:r>
      <w:r w:rsidR="00DC4F94">
        <w:t>P</w:t>
      </w:r>
      <w:r w:rsidR="003221AB">
        <w:t>ledge agreement concluded</w:t>
      </w:r>
      <w:r w:rsidR="00D92365">
        <w:rPr>
          <w:i/>
          <w:iCs/>
        </w:rPr>
        <w:t xml:space="preserve"> in securitatem debiti</w:t>
      </w:r>
      <w:r w:rsidR="00B61B10">
        <w:t>,</w:t>
      </w:r>
      <w:r w:rsidR="003221AB">
        <w:t xml:space="preserve"> on 15 May 2019</w:t>
      </w:r>
      <w:r w:rsidR="00B61B10">
        <w:t>,</w:t>
      </w:r>
      <w:r w:rsidR="003221AB">
        <w:t xml:space="preserve"> with Truvelo Manufacturers (Pty) Limited (in liquidation)</w:t>
      </w:r>
      <w:r w:rsidR="00AE6642">
        <w:t xml:space="preserve"> and says</w:t>
      </w:r>
      <w:r w:rsidR="004B0B17">
        <w:t xml:space="preserve"> </w:t>
      </w:r>
      <w:r w:rsidR="00AE6642">
        <w:t xml:space="preserve">that the </w:t>
      </w:r>
      <w:r w:rsidR="00AE6642" w:rsidRPr="004B0B17">
        <w:rPr>
          <w:i/>
          <w:iCs/>
        </w:rPr>
        <w:t>“ceded interests”</w:t>
      </w:r>
      <w:r w:rsidR="00AE6642">
        <w:t xml:space="preserve"> </w:t>
      </w:r>
      <w:r w:rsidR="006D5CD5">
        <w:t xml:space="preserve">provide it with </w:t>
      </w:r>
      <w:r w:rsidR="006D5CD5">
        <w:lastRenderedPageBreak/>
        <w:t xml:space="preserve">the maximum security and </w:t>
      </w:r>
      <w:r w:rsidR="003D6404">
        <w:t>must</w:t>
      </w:r>
      <w:r w:rsidR="00AE6642">
        <w:t xml:space="preserve"> be interpreted  to include a right to the proceeds of all goods sold by the </w:t>
      </w:r>
      <w:r w:rsidR="00A30E17">
        <w:t>second and third respondents (</w:t>
      </w:r>
      <w:r w:rsidR="00A30E17" w:rsidRPr="006C3A1F">
        <w:rPr>
          <w:i/>
          <w:iCs/>
        </w:rPr>
        <w:t>“the liquidators”</w:t>
      </w:r>
      <w:r w:rsidR="00A30E17">
        <w:t xml:space="preserve">) </w:t>
      </w:r>
      <w:r w:rsidR="00AE6642">
        <w:t xml:space="preserve">whether financed or not financed by the Bank. </w:t>
      </w:r>
    </w:p>
    <w:p w14:paraId="1FDB7FB2" w14:textId="38906EC6" w:rsidR="00C7104E" w:rsidRDefault="00E2631D" w:rsidP="00E2631D">
      <w:pPr>
        <w:pStyle w:val="Heading1"/>
        <w:numPr>
          <w:ilvl w:val="0"/>
          <w:numId w:val="0"/>
        </w:numPr>
        <w:tabs>
          <w:tab w:val="left" w:pos="862"/>
        </w:tabs>
        <w:ind w:left="862" w:hanging="862"/>
      </w:pPr>
      <w:r>
        <w:t>[4]</w:t>
      </w:r>
      <w:r>
        <w:tab/>
      </w:r>
      <w:r w:rsidR="003221AB">
        <w:t xml:space="preserve">The </w:t>
      </w:r>
      <w:r w:rsidR="00A30E17">
        <w:t xml:space="preserve">liquidators </w:t>
      </w:r>
      <w:r w:rsidR="003221AB">
        <w:t xml:space="preserve">drew the third liquidation and distribution account on the basis that the </w:t>
      </w:r>
      <w:r w:rsidR="00DC4F94">
        <w:t>C</w:t>
      </w:r>
      <w:r w:rsidR="003221AB">
        <w:t xml:space="preserve">ession and </w:t>
      </w:r>
      <w:r w:rsidR="00DC4F94">
        <w:t>P</w:t>
      </w:r>
      <w:r w:rsidR="003221AB">
        <w:t xml:space="preserve">ledge agreement </w:t>
      </w:r>
      <w:r w:rsidR="00A224CA">
        <w:t>provides the Bank with limited security over only those</w:t>
      </w:r>
      <w:r w:rsidR="003D6404">
        <w:t xml:space="preserve"> movable </w:t>
      </w:r>
      <w:r w:rsidR="00A224CA">
        <w:t xml:space="preserve">assets financed by the Bank </w:t>
      </w:r>
      <w:r w:rsidR="008261B5">
        <w:t xml:space="preserve">rendering </w:t>
      </w:r>
      <w:r w:rsidR="00A224CA">
        <w:t>the balance of its claim concurrent.</w:t>
      </w:r>
    </w:p>
    <w:p w14:paraId="1F9E8AF3" w14:textId="776353BD" w:rsidR="00C7104E" w:rsidRDefault="00E2631D" w:rsidP="00E2631D">
      <w:pPr>
        <w:pStyle w:val="Heading1"/>
        <w:numPr>
          <w:ilvl w:val="0"/>
          <w:numId w:val="0"/>
        </w:numPr>
        <w:tabs>
          <w:tab w:val="left" w:pos="862"/>
        </w:tabs>
        <w:ind w:left="862" w:hanging="862"/>
      </w:pPr>
      <w:r>
        <w:t>[5]</w:t>
      </w:r>
      <w:r>
        <w:tab/>
      </w:r>
      <w:r w:rsidR="00A224CA">
        <w:t xml:space="preserve">The Master in coming to her decision concluded that the definition of </w:t>
      </w:r>
      <w:r w:rsidR="00A224CA">
        <w:rPr>
          <w:i/>
          <w:iCs/>
        </w:rPr>
        <w:t>“goods”</w:t>
      </w:r>
      <w:r w:rsidR="00A224CA">
        <w:t xml:space="preserve"> forming the subject-matter of the</w:t>
      </w:r>
      <w:r w:rsidR="00321B67">
        <w:t xml:space="preserve"> C</w:t>
      </w:r>
      <w:r w:rsidR="00A224CA">
        <w:t>ession should be strictly applied to include only those goods defined in clause 1.2.</w:t>
      </w:r>
      <w:r w:rsidR="00AE6642">
        <w:t>8</w:t>
      </w:r>
      <w:r w:rsidR="00A224CA">
        <w:t xml:space="preserve"> of the </w:t>
      </w:r>
      <w:r w:rsidR="00DC4F94">
        <w:t>C</w:t>
      </w:r>
      <w:r w:rsidR="00A224CA">
        <w:t xml:space="preserve">ession, </w:t>
      </w:r>
      <w:r w:rsidR="008261B5">
        <w:t>namely</w:t>
      </w:r>
      <w:r w:rsidR="00B61B10">
        <w:t xml:space="preserve"> </w:t>
      </w:r>
      <w:r w:rsidR="00A224CA">
        <w:rPr>
          <w:i/>
          <w:iCs/>
        </w:rPr>
        <w:t>“sniper rifles and accessories and all other goods, stock and merchandise financed by the bank”</w:t>
      </w:r>
      <w:r w:rsidR="00FD3BBA">
        <w:rPr>
          <w:rStyle w:val="FootnoteReference"/>
          <w:i/>
          <w:iCs/>
        </w:rPr>
        <w:footnoteReference w:id="1"/>
      </w:r>
      <w:r w:rsidR="00A224CA">
        <w:t xml:space="preserve">.  </w:t>
      </w:r>
    </w:p>
    <w:p w14:paraId="1DFBC625" w14:textId="33A260AB" w:rsidR="00C7104E" w:rsidRDefault="00E2631D" w:rsidP="00E2631D">
      <w:pPr>
        <w:pStyle w:val="Heading1"/>
        <w:numPr>
          <w:ilvl w:val="0"/>
          <w:numId w:val="0"/>
        </w:numPr>
        <w:tabs>
          <w:tab w:val="left" w:pos="862"/>
        </w:tabs>
        <w:ind w:left="862" w:hanging="862"/>
      </w:pPr>
      <w:r>
        <w:t>[6]</w:t>
      </w:r>
      <w:r>
        <w:tab/>
      </w:r>
      <w:r w:rsidR="00A224CA">
        <w:t xml:space="preserve">The applicant therefore seeks an order reviewing and setting aside the Master’s direction to confirm the third liquidation and distribution account in the insolvent estate.  </w:t>
      </w:r>
    </w:p>
    <w:p w14:paraId="320D1FEF" w14:textId="3FC99693" w:rsidR="00C7104E" w:rsidRDefault="00E2631D" w:rsidP="00E2631D">
      <w:pPr>
        <w:pStyle w:val="Heading1"/>
        <w:numPr>
          <w:ilvl w:val="0"/>
          <w:numId w:val="0"/>
        </w:numPr>
        <w:tabs>
          <w:tab w:val="left" w:pos="862"/>
        </w:tabs>
        <w:ind w:left="862" w:hanging="862"/>
      </w:pPr>
      <w:r>
        <w:t>[7]</w:t>
      </w:r>
      <w:r>
        <w:tab/>
      </w:r>
      <w:r w:rsidR="00A224CA">
        <w:t xml:space="preserve">The </w:t>
      </w:r>
      <w:r w:rsidR="00C7104E">
        <w:t>liquidators</w:t>
      </w:r>
      <w:r w:rsidR="00A224CA">
        <w:t xml:space="preserve"> </w:t>
      </w:r>
      <w:r w:rsidR="008261B5">
        <w:t xml:space="preserve">agree with the Master and </w:t>
      </w:r>
      <w:r w:rsidR="00A224CA">
        <w:t xml:space="preserve">contend that the </w:t>
      </w:r>
      <w:r w:rsidR="00DC4F94">
        <w:t>C</w:t>
      </w:r>
      <w:r w:rsidR="00A224CA">
        <w:t xml:space="preserve">ession cannot be interpreted in the manner in which the </w:t>
      </w:r>
      <w:r w:rsidR="00C7104E">
        <w:t>Bank</w:t>
      </w:r>
      <w:r w:rsidR="00A224CA">
        <w:t xml:space="preserve"> seeks</w:t>
      </w:r>
      <w:r w:rsidR="00C7104E">
        <w:t xml:space="preserve"> </w:t>
      </w:r>
      <w:r w:rsidR="00A224CA">
        <w:t xml:space="preserve">and the argument that Truvelo Manufacturers agreed to cede all of its movable assets to the </w:t>
      </w:r>
      <w:r w:rsidR="00FD3BBA">
        <w:t>Bank</w:t>
      </w:r>
      <w:r w:rsidR="00A224CA">
        <w:t xml:space="preserve"> is legally untenable.  </w:t>
      </w:r>
    </w:p>
    <w:p w14:paraId="6E57E12D" w14:textId="01C3636A" w:rsidR="003D6404" w:rsidRDefault="00E2631D" w:rsidP="00E2631D">
      <w:pPr>
        <w:pStyle w:val="Heading1"/>
        <w:numPr>
          <w:ilvl w:val="0"/>
          <w:numId w:val="0"/>
        </w:numPr>
        <w:tabs>
          <w:tab w:val="left" w:pos="862"/>
        </w:tabs>
        <w:ind w:left="862" w:hanging="862"/>
      </w:pPr>
      <w:r>
        <w:t>[8]</w:t>
      </w:r>
      <w:r>
        <w:tab/>
      </w:r>
      <w:r w:rsidR="003D6404">
        <w:t>It is the liquidators’ contention that in the event that the Court</w:t>
      </w:r>
      <w:r w:rsidR="00321B67">
        <w:t xml:space="preserve"> accepts</w:t>
      </w:r>
      <w:r w:rsidR="003D6404">
        <w:t xml:space="preserve"> the interpretation favoured by the liquidators and the Master the application should be dismissed with costs.</w:t>
      </w:r>
    </w:p>
    <w:p w14:paraId="1669A7D2" w14:textId="2E9ABFF8" w:rsidR="003D6404" w:rsidRDefault="00E2631D" w:rsidP="00E2631D">
      <w:pPr>
        <w:pStyle w:val="Heading1"/>
        <w:numPr>
          <w:ilvl w:val="0"/>
          <w:numId w:val="0"/>
        </w:numPr>
        <w:tabs>
          <w:tab w:val="left" w:pos="862"/>
        </w:tabs>
        <w:ind w:left="862" w:hanging="862"/>
      </w:pPr>
      <w:r>
        <w:t>[9]</w:t>
      </w:r>
      <w:r>
        <w:tab/>
      </w:r>
      <w:r w:rsidR="003D6404">
        <w:t>The</w:t>
      </w:r>
      <w:r w:rsidR="00FC2CFB">
        <w:t xml:space="preserve"> Cession agreement </w:t>
      </w:r>
      <w:r w:rsidR="007948A8">
        <w:t xml:space="preserve">commences with a </w:t>
      </w:r>
      <w:r w:rsidR="00321B67">
        <w:t>definition section</w:t>
      </w:r>
      <w:r w:rsidR="002831AF">
        <w:t xml:space="preserve">, titled </w:t>
      </w:r>
      <w:r w:rsidR="002831AF">
        <w:lastRenderedPageBreak/>
        <w:t>“</w:t>
      </w:r>
      <w:r w:rsidR="007948A8">
        <w:rPr>
          <w:i/>
          <w:iCs/>
        </w:rPr>
        <w:t>I</w:t>
      </w:r>
      <w:r w:rsidR="002831AF" w:rsidRPr="002831AF">
        <w:rPr>
          <w:i/>
          <w:iCs/>
        </w:rPr>
        <w:t>NTERPRETATION</w:t>
      </w:r>
      <w:r w:rsidR="002831AF">
        <w:t>”</w:t>
      </w:r>
      <w:r w:rsidR="007948A8">
        <w:t>. The definition clause</w:t>
      </w:r>
      <w:r w:rsidR="00FD3BBA">
        <w:t xml:space="preserve"> explains </w:t>
      </w:r>
      <w:r w:rsidR="007948A8">
        <w:t xml:space="preserve">that, </w:t>
      </w:r>
      <w:r w:rsidR="002831AF">
        <w:t>“</w:t>
      </w:r>
      <w:r w:rsidR="002831AF" w:rsidRPr="002831AF">
        <w:rPr>
          <w:i/>
          <w:iCs/>
        </w:rPr>
        <w:t>The following terms shall have the meanings assigned to them</w:t>
      </w:r>
      <w:r w:rsidR="002831AF">
        <w:t xml:space="preserve">” </w:t>
      </w:r>
      <w:r w:rsidR="007948A8">
        <w:rPr>
          <w:rStyle w:val="FootnoteReference"/>
        </w:rPr>
        <w:footnoteReference w:id="2"/>
      </w:r>
      <w:r w:rsidR="007948A8">
        <w:t xml:space="preserve"> and the</w:t>
      </w:r>
      <w:r w:rsidR="002831AF">
        <w:t xml:space="preserve"> terms</w:t>
      </w:r>
      <w:r w:rsidR="007948A8">
        <w:t xml:space="preserve"> are</w:t>
      </w:r>
      <w:r w:rsidR="002831AF">
        <w:t xml:space="preserve"> listed below.</w:t>
      </w:r>
      <w:r w:rsidR="003D6404">
        <w:t xml:space="preserve"> As I understand the purpose of definitions they ensure that terms are not misunderstood, or interpreted in different ways</w:t>
      </w:r>
      <w:r w:rsidR="007948A8">
        <w:t xml:space="preserve"> in an agreement</w:t>
      </w:r>
      <w:r w:rsidR="003D6404">
        <w:t>. The definition provisions seeks to narrow the meaning or broaden an obligation to include meanings which would not ordinarily be included, but importantly the term/words when used in</w:t>
      </w:r>
      <w:r w:rsidR="00321B67">
        <w:t xml:space="preserve"> an</w:t>
      </w:r>
      <w:r w:rsidR="003D6404">
        <w:t xml:space="preserve"> agreement will always have the same meaning throughout the agreement, unless</w:t>
      </w:r>
      <w:r w:rsidR="00321B67">
        <w:t xml:space="preserve"> </w:t>
      </w:r>
      <w:r w:rsidR="003D6404">
        <w:t>expressly stated to the contrary.</w:t>
      </w:r>
    </w:p>
    <w:p w14:paraId="744B7236" w14:textId="30A11476" w:rsidR="007948A8" w:rsidRPr="007948A8" w:rsidRDefault="00E2631D" w:rsidP="00E2631D">
      <w:pPr>
        <w:pStyle w:val="Heading1"/>
        <w:keepNext/>
        <w:numPr>
          <w:ilvl w:val="0"/>
          <w:numId w:val="0"/>
        </w:numPr>
        <w:tabs>
          <w:tab w:val="left" w:pos="862"/>
        </w:tabs>
        <w:ind w:left="862" w:hanging="862"/>
        <w:rPr>
          <w:b/>
          <w:bCs/>
          <w:u w:val="single"/>
        </w:rPr>
      </w:pPr>
      <w:r w:rsidRPr="007948A8">
        <w:t>[10]</w:t>
      </w:r>
      <w:r w:rsidRPr="007948A8">
        <w:tab/>
      </w:r>
      <w:r w:rsidR="00C7104E">
        <w:t>T</w:t>
      </w:r>
      <w:r w:rsidR="00A224CA">
        <w:t>he issue before me involves the proper interpretation of the</w:t>
      </w:r>
      <w:r w:rsidR="00B61B10">
        <w:t xml:space="preserve"> definition</w:t>
      </w:r>
      <w:r w:rsidR="00A224CA">
        <w:t xml:space="preserve"> </w:t>
      </w:r>
      <w:r w:rsidR="006D5CD5">
        <w:t>“</w:t>
      </w:r>
      <w:r w:rsidR="00A224CA" w:rsidRPr="007948A8">
        <w:rPr>
          <w:i/>
          <w:iCs/>
        </w:rPr>
        <w:t>ce</w:t>
      </w:r>
      <w:r w:rsidR="006D5CD5" w:rsidRPr="007948A8">
        <w:rPr>
          <w:i/>
          <w:iCs/>
        </w:rPr>
        <w:t>ded interests</w:t>
      </w:r>
      <w:r w:rsidR="006D5CD5">
        <w:t>”</w:t>
      </w:r>
      <w:r w:rsidR="00A224CA">
        <w:t xml:space="preserve"> </w:t>
      </w:r>
      <w:r w:rsidR="009D3328">
        <w:rPr>
          <w:rStyle w:val="FootnoteReference"/>
        </w:rPr>
        <w:footnoteReference w:id="3"/>
      </w:r>
      <w:r w:rsidR="00B61B10">
        <w:t xml:space="preserve"> in the light of the definition</w:t>
      </w:r>
      <w:r w:rsidR="00321B67">
        <w:t xml:space="preserve"> of</w:t>
      </w:r>
      <w:r w:rsidR="00B61B10">
        <w:t xml:space="preserve"> “</w:t>
      </w:r>
      <w:r w:rsidR="00B61B10" w:rsidRPr="007948A8">
        <w:rPr>
          <w:i/>
          <w:iCs/>
        </w:rPr>
        <w:t>goods</w:t>
      </w:r>
      <w:r w:rsidR="00B61B10">
        <w:t xml:space="preserve">” in the </w:t>
      </w:r>
      <w:r w:rsidR="00DC4F94">
        <w:t>C</w:t>
      </w:r>
      <w:r w:rsidR="00B61B10">
        <w:t xml:space="preserve">ession </w:t>
      </w:r>
      <w:r w:rsidR="00A224CA">
        <w:t>and</w:t>
      </w:r>
      <w:r w:rsidR="00B61B10">
        <w:t>,</w:t>
      </w:r>
      <w:r w:rsidR="00A224CA">
        <w:t xml:space="preserve"> </w:t>
      </w:r>
      <w:r w:rsidR="00C7104E">
        <w:t>more particularly</w:t>
      </w:r>
      <w:r w:rsidR="00B61B10">
        <w:t>,</w:t>
      </w:r>
      <w:r w:rsidR="00C7104E">
        <w:t xml:space="preserve"> </w:t>
      </w:r>
      <w:r w:rsidR="003D6404">
        <w:t>the extent of the</w:t>
      </w:r>
      <w:r w:rsidR="00C7104E">
        <w:t xml:space="preserve"> rights</w:t>
      </w:r>
      <w:r w:rsidR="003D6404">
        <w:t xml:space="preserve"> </w:t>
      </w:r>
      <w:r w:rsidR="00C7104E">
        <w:t>ceded to the Bank in relation to the</w:t>
      </w:r>
      <w:r w:rsidR="006D5CD5">
        <w:t xml:space="preserve"> proceeds derived from the sale of the</w:t>
      </w:r>
      <w:r w:rsidR="00C7104E">
        <w:t xml:space="preserve"> movable</w:t>
      </w:r>
      <w:r w:rsidR="00B61B10">
        <w:t xml:space="preserve"> assets</w:t>
      </w:r>
      <w:r w:rsidR="00C7104E">
        <w:t xml:space="preserve"> by the liquidators. </w:t>
      </w:r>
    </w:p>
    <w:p w14:paraId="08AA8690" w14:textId="750FA575" w:rsidR="00A224CA" w:rsidRPr="007948A8" w:rsidRDefault="00A224CA" w:rsidP="007948A8">
      <w:pPr>
        <w:pStyle w:val="Heading1"/>
        <w:keepNext/>
        <w:numPr>
          <w:ilvl w:val="0"/>
          <w:numId w:val="0"/>
        </w:numPr>
        <w:rPr>
          <w:b/>
          <w:bCs/>
          <w:u w:val="single"/>
        </w:rPr>
      </w:pPr>
      <w:r w:rsidRPr="007948A8">
        <w:rPr>
          <w:b/>
          <w:bCs/>
          <w:u w:val="single"/>
        </w:rPr>
        <w:t>BACKGROUND</w:t>
      </w:r>
    </w:p>
    <w:p w14:paraId="6B2133AD" w14:textId="4F37F439" w:rsidR="004006FD" w:rsidRDefault="00E2631D" w:rsidP="00E2631D">
      <w:pPr>
        <w:pStyle w:val="Heading1"/>
        <w:numPr>
          <w:ilvl w:val="0"/>
          <w:numId w:val="0"/>
        </w:numPr>
        <w:tabs>
          <w:tab w:val="left" w:pos="862"/>
        </w:tabs>
        <w:ind w:left="862" w:hanging="862"/>
      </w:pPr>
      <w:r>
        <w:t>[11]</w:t>
      </w:r>
      <w:r>
        <w:tab/>
      </w:r>
      <w:r w:rsidR="00C7104E">
        <w:t xml:space="preserve">Truvelo Manufacturers and Truvelo Africa Mechanical Division (Pty) Limited </w:t>
      </w:r>
      <w:r w:rsidR="004006FD">
        <w:t>design, manufacture and sell firearms.  In 2019, both companies were awarded a substantial contract by Armscor.  The Armscor contract required the companies to manufacture and supply sniper rifles and accessories (</w:t>
      </w:r>
      <w:r w:rsidR="004006FD">
        <w:rPr>
          <w:i/>
          <w:iCs/>
        </w:rPr>
        <w:t>“the firearms”</w:t>
      </w:r>
      <w:r w:rsidR="004006FD">
        <w:t xml:space="preserve">).  </w:t>
      </w:r>
    </w:p>
    <w:p w14:paraId="4063824C" w14:textId="691113F8" w:rsidR="00374E4C" w:rsidRDefault="00E2631D" w:rsidP="00E2631D">
      <w:pPr>
        <w:pStyle w:val="Heading1"/>
        <w:numPr>
          <w:ilvl w:val="0"/>
          <w:numId w:val="0"/>
        </w:numPr>
        <w:tabs>
          <w:tab w:val="left" w:pos="862"/>
        </w:tabs>
        <w:ind w:left="862" w:hanging="862"/>
      </w:pPr>
      <w:r>
        <w:t>[12]</w:t>
      </w:r>
      <w:r>
        <w:tab/>
      </w:r>
      <w:r w:rsidR="00374E4C">
        <w:t xml:space="preserve">Armscor </w:t>
      </w:r>
      <w:r w:rsidR="009D3328">
        <w:t>agreed to make</w:t>
      </w:r>
      <w:r w:rsidR="00374E4C">
        <w:t xml:space="preserve"> an advance payment of 30% of the purchase price of the firearms against an advance payment guarantee and provide a letter of undertaking for the balance of the purchase price to be paid </w:t>
      </w:r>
      <w:r w:rsidR="00374E4C">
        <w:lastRenderedPageBreak/>
        <w:t>within thirty days from the invoice.</w:t>
      </w:r>
    </w:p>
    <w:p w14:paraId="4BB6E0C8" w14:textId="783D7727" w:rsidR="00374E4C" w:rsidRDefault="00E2631D" w:rsidP="00E2631D">
      <w:pPr>
        <w:pStyle w:val="Heading1"/>
        <w:numPr>
          <w:ilvl w:val="0"/>
          <w:numId w:val="0"/>
        </w:numPr>
        <w:tabs>
          <w:tab w:val="left" w:pos="862"/>
        </w:tabs>
        <w:ind w:left="862" w:hanging="862"/>
      </w:pPr>
      <w:r>
        <w:t>[13]</w:t>
      </w:r>
      <w:r>
        <w:tab/>
      </w:r>
      <w:r w:rsidR="00374E4C">
        <w:t>Because the components</w:t>
      </w:r>
      <w:r w:rsidR="009D3328">
        <w:t xml:space="preserve"> for the manufacture of the firearms</w:t>
      </w:r>
      <w:r w:rsidR="00C7104E">
        <w:t>,</w:t>
      </w:r>
      <w:r w:rsidR="00374E4C">
        <w:t xml:space="preserve"> such as the telescopes and</w:t>
      </w:r>
      <w:r w:rsidR="00B61B10">
        <w:t xml:space="preserve"> the</w:t>
      </w:r>
      <w:r w:rsidR="00374E4C">
        <w:t xml:space="preserve"> ammunition </w:t>
      </w:r>
      <w:r w:rsidR="00374E4C" w:rsidRPr="00110B46">
        <w:rPr>
          <w:i/>
        </w:rPr>
        <w:t>inter alia</w:t>
      </w:r>
      <w:r w:rsidR="00C7104E">
        <w:rPr>
          <w:i/>
        </w:rPr>
        <w:t>,</w:t>
      </w:r>
      <w:r w:rsidR="00374E4C">
        <w:t xml:space="preserve"> had to be imported the compani</w:t>
      </w:r>
      <w:r w:rsidR="00C81C22">
        <w:t>es</w:t>
      </w:r>
      <w:r w:rsidR="00374E4C">
        <w:t xml:space="preserve"> required loan finance </w:t>
      </w:r>
      <w:r w:rsidR="008261B5">
        <w:t xml:space="preserve">to cover </w:t>
      </w:r>
      <w:r w:rsidR="00374E4C">
        <w:t xml:space="preserve">the costs due to suppliers and </w:t>
      </w:r>
      <w:r w:rsidR="008261B5">
        <w:t xml:space="preserve">the </w:t>
      </w:r>
      <w:r w:rsidR="00374E4C">
        <w:t>import</w:t>
      </w:r>
      <w:r w:rsidR="008261B5">
        <w:t>ation</w:t>
      </w:r>
      <w:r w:rsidR="006D5CD5">
        <w:t xml:space="preserve"> costs</w:t>
      </w:r>
      <w:r w:rsidR="008261B5">
        <w:t xml:space="preserve"> </w:t>
      </w:r>
      <w:r w:rsidR="00374E4C">
        <w:t>pending the payment by Armscor.</w:t>
      </w:r>
    </w:p>
    <w:p w14:paraId="3094B714" w14:textId="40B198BE" w:rsidR="006D5CD5" w:rsidRDefault="00E2631D" w:rsidP="00E2631D">
      <w:pPr>
        <w:pStyle w:val="Heading1"/>
        <w:numPr>
          <w:ilvl w:val="0"/>
          <w:numId w:val="0"/>
        </w:numPr>
        <w:tabs>
          <w:tab w:val="left" w:pos="862"/>
        </w:tabs>
        <w:ind w:left="862" w:hanging="862"/>
      </w:pPr>
      <w:r>
        <w:t>[14]</w:t>
      </w:r>
      <w:r>
        <w:tab/>
      </w:r>
      <w:r w:rsidR="00BC4F87">
        <w:t>Trade f</w:t>
      </w:r>
      <w:r w:rsidR="006D5CD5">
        <w:t xml:space="preserve">acilities were granted to Truvelo Manufacturers and Truvelo Africa Mechanical Division (Pty) Limited by the Bank on 25 April 2019. This is provided for in a </w:t>
      </w:r>
      <w:r w:rsidR="00DC4F94">
        <w:t>S</w:t>
      </w:r>
      <w:r w:rsidR="006D5CD5">
        <w:t xml:space="preserve">tructured </w:t>
      </w:r>
      <w:r w:rsidR="00DC4F94">
        <w:t>T</w:t>
      </w:r>
      <w:r w:rsidR="006D5CD5">
        <w:t xml:space="preserve">rade </w:t>
      </w:r>
      <w:r w:rsidR="00DC4F94">
        <w:t>F</w:t>
      </w:r>
      <w:r w:rsidR="006D5CD5">
        <w:t xml:space="preserve">acility </w:t>
      </w:r>
      <w:r w:rsidR="00DC4F94">
        <w:t>L</w:t>
      </w:r>
      <w:r w:rsidR="006D5CD5">
        <w:t>etter</w:t>
      </w:r>
      <w:r w:rsidR="00DC4F94">
        <w:t xml:space="preserve"> (“the Facility Letter”)</w:t>
      </w:r>
      <w:r w:rsidR="006D5CD5">
        <w:t xml:space="preserve">, dated 23 April 2019, in terms of which a total sum of R21.2 million was </w:t>
      </w:r>
      <w:r w:rsidR="00BC4F87">
        <w:t xml:space="preserve">made available </w:t>
      </w:r>
      <w:r w:rsidR="006D5CD5">
        <w:t>to the Truvelo companies</w:t>
      </w:r>
      <w:r w:rsidR="00BC4F87">
        <w:t>,</w:t>
      </w:r>
      <w:r w:rsidR="006D5CD5">
        <w:rPr>
          <w:rStyle w:val="FootnoteReference"/>
        </w:rPr>
        <w:footnoteReference w:id="4"/>
      </w:r>
      <w:r w:rsidR="006D5CD5">
        <w:t xml:space="preserve"> </w:t>
      </w:r>
      <w:r w:rsidR="00BC4F87">
        <w:t>conditional on the provision of security.</w:t>
      </w:r>
      <w:r w:rsidR="006D5CD5">
        <w:t xml:space="preserve"> </w:t>
      </w:r>
    </w:p>
    <w:p w14:paraId="2B70CFB5" w14:textId="46442E50" w:rsidR="00C7104E" w:rsidRDefault="00E2631D" w:rsidP="00E2631D">
      <w:pPr>
        <w:pStyle w:val="Heading1"/>
        <w:numPr>
          <w:ilvl w:val="0"/>
          <w:numId w:val="0"/>
        </w:numPr>
        <w:tabs>
          <w:tab w:val="left" w:pos="862"/>
        </w:tabs>
        <w:ind w:left="862" w:hanging="862"/>
      </w:pPr>
      <w:r>
        <w:t>[15]</w:t>
      </w:r>
      <w:r>
        <w:tab/>
      </w:r>
      <w:r w:rsidR="008261B5">
        <w:t xml:space="preserve">The </w:t>
      </w:r>
      <w:r w:rsidR="006D5CD5">
        <w:t xml:space="preserve">extent of the </w:t>
      </w:r>
      <w:r w:rsidR="008261B5">
        <w:t>facilities</w:t>
      </w:r>
      <w:r w:rsidR="006D5CD5">
        <w:rPr>
          <w:rStyle w:val="FootnoteReference"/>
        </w:rPr>
        <w:footnoteReference w:id="5"/>
      </w:r>
      <w:r w:rsidR="00BC4F87">
        <w:t xml:space="preserve"> </w:t>
      </w:r>
      <w:r w:rsidR="008261B5">
        <w:t xml:space="preserve">to the Truvelo companies </w:t>
      </w:r>
      <w:r w:rsidR="007F3135">
        <w:t xml:space="preserve">and the </w:t>
      </w:r>
      <w:r w:rsidR="007F3135" w:rsidRPr="0069169F">
        <w:rPr>
          <w:i/>
        </w:rPr>
        <w:t>modus operandi</w:t>
      </w:r>
      <w:r w:rsidR="007F3135">
        <w:t xml:space="preserve"> of the facilities extended and security required</w:t>
      </w:r>
      <w:r w:rsidR="00624BBF">
        <w:rPr>
          <w:rStyle w:val="FootnoteReference"/>
        </w:rPr>
        <w:footnoteReference w:id="6"/>
      </w:r>
      <w:r w:rsidR="00AE6642">
        <w:t xml:space="preserve"> </w:t>
      </w:r>
      <w:r w:rsidR="009D3328">
        <w:t>is</w:t>
      </w:r>
      <w:r w:rsidR="00AE6642">
        <w:t xml:space="preserve"> set out in the </w:t>
      </w:r>
      <w:r w:rsidR="00BC4F87">
        <w:t xml:space="preserve"> Facility L</w:t>
      </w:r>
      <w:r w:rsidR="00AE6642">
        <w:t>etter</w:t>
      </w:r>
      <w:r w:rsidR="00B61B10">
        <w:t>.</w:t>
      </w:r>
    </w:p>
    <w:p w14:paraId="6D03A2ED" w14:textId="45F7960C" w:rsidR="00DD7A7E" w:rsidRDefault="00E2631D" w:rsidP="00E2631D">
      <w:pPr>
        <w:pStyle w:val="Heading1"/>
        <w:numPr>
          <w:ilvl w:val="0"/>
          <w:numId w:val="0"/>
        </w:numPr>
        <w:tabs>
          <w:tab w:val="left" w:pos="862"/>
        </w:tabs>
        <w:ind w:left="862" w:hanging="862"/>
      </w:pPr>
      <w:r>
        <w:t>[16]</w:t>
      </w:r>
      <w:r>
        <w:tab/>
      </w:r>
      <w:r w:rsidR="00374E4C">
        <w:t xml:space="preserve">The </w:t>
      </w:r>
      <w:r w:rsidR="00C7104E">
        <w:t>“</w:t>
      </w:r>
      <w:r w:rsidR="00374E4C" w:rsidRPr="00C7104E">
        <w:rPr>
          <w:i/>
          <w:iCs/>
        </w:rPr>
        <w:t>goods</w:t>
      </w:r>
      <w:r w:rsidR="00C7104E">
        <w:t>”</w:t>
      </w:r>
      <w:r w:rsidR="00374E4C">
        <w:t xml:space="preserve"> which</w:t>
      </w:r>
      <w:r w:rsidR="00C7104E">
        <w:t xml:space="preserve"> formed the subject matter of the transaction </w:t>
      </w:r>
      <w:r w:rsidR="001F162A">
        <w:t xml:space="preserve">with </w:t>
      </w:r>
      <w:r w:rsidR="00374E4C">
        <w:t>Armscor are defined</w:t>
      </w:r>
      <w:r w:rsidR="00C7104E">
        <w:t xml:space="preserve"> in the </w:t>
      </w:r>
      <w:r w:rsidR="003D6404">
        <w:t>T</w:t>
      </w:r>
      <w:r w:rsidR="00C7104E">
        <w:t xml:space="preserve">rade </w:t>
      </w:r>
      <w:r w:rsidR="00DC4F94">
        <w:t>F</w:t>
      </w:r>
      <w:r w:rsidR="00C7104E">
        <w:t xml:space="preserve">acility </w:t>
      </w:r>
      <w:r w:rsidR="00DC4F94">
        <w:t>L</w:t>
      </w:r>
      <w:r w:rsidR="00C7104E">
        <w:t>etter</w:t>
      </w:r>
      <w:r w:rsidR="00374E4C">
        <w:t xml:space="preserve"> as </w:t>
      </w:r>
      <w:r w:rsidR="00374E4C">
        <w:rPr>
          <w:i/>
          <w:iCs/>
        </w:rPr>
        <w:t>“sniper rifles and accessories and all other goods or merchandise FNB may from time to time decide to finance”</w:t>
      </w:r>
      <w:r w:rsidR="00374E4C">
        <w:t>.</w:t>
      </w:r>
      <w:r w:rsidR="00374E4C">
        <w:rPr>
          <w:rStyle w:val="FootnoteReference"/>
        </w:rPr>
        <w:footnoteReference w:id="7"/>
      </w:r>
      <w:r w:rsidR="00D92365">
        <w:t xml:space="preserve"> </w:t>
      </w:r>
    </w:p>
    <w:p w14:paraId="7FAE5C3D" w14:textId="54AE8380" w:rsidR="00374E4C" w:rsidRDefault="00E2631D" w:rsidP="00E2631D">
      <w:pPr>
        <w:pStyle w:val="Heading1"/>
        <w:numPr>
          <w:ilvl w:val="0"/>
          <w:numId w:val="0"/>
        </w:numPr>
        <w:tabs>
          <w:tab w:val="left" w:pos="862"/>
        </w:tabs>
        <w:ind w:left="862" w:hanging="862"/>
      </w:pPr>
      <w:r>
        <w:t>[17]</w:t>
      </w:r>
      <w:r>
        <w:tab/>
      </w:r>
      <w:r w:rsidR="00D92365">
        <w:t>Furthermore the definitions in the Facility Letter  are also preceded with the words “</w:t>
      </w:r>
      <w:r w:rsidR="00D92365" w:rsidRPr="00D92365">
        <w:rPr>
          <w:i/>
          <w:iCs/>
        </w:rPr>
        <w:t>In this Facility letter the following words shall bear the me</w:t>
      </w:r>
      <w:r w:rsidR="00754988">
        <w:rPr>
          <w:i/>
          <w:iCs/>
        </w:rPr>
        <w:t>anings</w:t>
      </w:r>
      <w:r w:rsidR="00D92365" w:rsidRPr="00D92365">
        <w:rPr>
          <w:i/>
          <w:iCs/>
        </w:rPr>
        <w:t xml:space="preserve"> ascribed to them in the table below.</w:t>
      </w:r>
      <w:r w:rsidR="00D92365">
        <w:t>”</w:t>
      </w:r>
    </w:p>
    <w:p w14:paraId="5A6B97AD" w14:textId="104225BD" w:rsidR="00DD7A7E" w:rsidRDefault="00E2631D" w:rsidP="00E2631D">
      <w:pPr>
        <w:pStyle w:val="Heading1"/>
        <w:numPr>
          <w:ilvl w:val="0"/>
          <w:numId w:val="0"/>
        </w:numPr>
        <w:tabs>
          <w:tab w:val="left" w:pos="862"/>
        </w:tabs>
        <w:ind w:left="862" w:hanging="862"/>
      </w:pPr>
      <w:r>
        <w:lastRenderedPageBreak/>
        <w:t>[18]</w:t>
      </w:r>
      <w:r>
        <w:tab/>
      </w:r>
      <w:r w:rsidR="00DD7A7E">
        <w:t xml:space="preserve">Include is defined in the </w:t>
      </w:r>
      <w:r w:rsidR="00906570">
        <w:t>Facility</w:t>
      </w:r>
      <w:r w:rsidR="00DD7A7E">
        <w:t xml:space="preserve"> Letter as:</w:t>
      </w:r>
    </w:p>
    <w:p w14:paraId="51F5B69D" w14:textId="0D8DA519" w:rsidR="00DD7A7E" w:rsidRPr="00906570" w:rsidRDefault="00DD7A7E" w:rsidP="00906570">
      <w:pPr>
        <w:ind w:left="1871" w:hanging="1869"/>
        <w:rPr>
          <w:i/>
          <w:iCs/>
        </w:rPr>
      </w:pPr>
      <w:r>
        <w:tab/>
      </w:r>
      <w:r>
        <w:tab/>
        <w:t>“</w:t>
      </w:r>
      <w:r w:rsidRPr="00AE6642">
        <w:rPr>
          <w:i/>
          <w:iCs/>
        </w:rPr>
        <w:t xml:space="preserve">include – The words </w:t>
      </w:r>
      <w:r>
        <w:rPr>
          <w:i/>
          <w:iCs/>
        </w:rPr>
        <w:t>‘</w:t>
      </w:r>
      <w:r w:rsidRPr="00AE6642">
        <w:rPr>
          <w:i/>
          <w:iCs/>
        </w:rPr>
        <w:t>include</w:t>
      </w:r>
      <w:r>
        <w:rPr>
          <w:i/>
          <w:iCs/>
        </w:rPr>
        <w:t>’</w:t>
      </w:r>
      <w:r w:rsidRPr="00AE6642">
        <w:rPr>
          <w:i/>
          <w:iCs/>
        </w:rPr>
        <w:t xml:space="preserve"> and </w:t>
      </w:r>
      <w:r>
        <w:rPr>
          <w:i/>
          <w:iCs/>
        </w:rPr>
        <w:t>‘</w:t>
      </w:r>
      <w:r w:rsidRPr="00AE6642">
        <w:rPr>
          <w:i/>
          <w:iCs/>
        </w:rPr>
        <w:t>includin</w:t>
      </w:r>
      <w:r>
        <w:rPr>
          <w:i/>
          <w:iCs/>
        </w:rPr>
        <w:t>g’</w:t>
      </w:r>
      <w:r w:rsidRPr="00AE6642">
        <w:rPr>
          <w:i/>
          <w:iCs/>
        </w:rPr>
        <w:t xml:space="preserve"> mean</w:t>
      </w:r>
      <w:r>
        <w:rPr>
          <w:i/>
          <w:iCs/>
        </w:rPr>
        <w:t>’</w:t>
      </w:r>
      <w:r w:rsidRPr="00AE6642">
        <w:rPr>
          <w:i/>
          <w:iCs/>
        </w:rPr>
        <w:t xml:space="preserve"> include without limitation</w:t>
      </w:r>
      <w:r>
        <w:rPr>
          <w:i/>
          <w:iCs/>
        </w:rPr>
        <w:t>’</w:t>
      </w:r>
      <w:r w:rsidRPr="00AE6642">
        <w:rPr>
          <w:i/>
          <w:iCs/>
        </w:rPr>
        <w:t xml:space="preserve"> and </w:t>
      </w:r>
      <w:r>
        <w:rPr>
          <w:i/>
          <w:iCs/>
        </w:rPr>
        <w:t>‘</w:t>
      </w:r>
      <w:r w:rsidRPr="00AE6642">
        <w:rPr>
          <w:i/>
          <w:iCs/>
        </w:rPr>
        <w:t xml:space="preserve"> including without limitation</w:t>
      </w:r>
      <w:r>
        <w:rPr>
          <w:i/>
          <w:iCs/>
        </w:rPr>
        <w:t>’</w:t>
      </w:r>
      <w:r w:rsidRPr="00AE6642">
        <w:rPr>
          <w:i/>
          <w:iCs/>
        </w:rPr>
        <w:t xml:space="preserve">. The use of the words </w:t>
      </w:r>
      <w:r>
        <w:rPr>
          <w:i/>
          <w:iCs/>
        </w:rPr>
        <w:t>‘</w:t>
      </w:r>
      <w:r w:rsidRPr="00AE6642">
        <w:rPr>
          <w:i/>
          <w:iCs/>
        </w:rPr>
        <w:t>include</w:t>
      </w:r>
      <w:r>
        <w:rPr>
          <w:i/>
          <w:iCs/>
        </w:rPr>
        <w:t>’</w:t>
      </w:r>
      <w:r w:rsidRPr="00AE6642">
        <w:rPr>
          <w:i/>
          <w:iCs/>
        </w:rPr>
        <w:t xml:space="preserve"> and  </w:t>
      </w:r>
      <w:r>
        <w:rPr>
          <w:i/>
          <w:iCs/>
        </w:rPr>
        <w:t>‘</w:t>
      </w:r>
      <w:r w:rsidRPr="00AE6642">
        <w:rPr>
          <w:i/>
          <w:iCs/>
        </w:rPr>
        <w:t>includin</w:t>
      </w:r>
      <w:r>
        <w:rPr>
          <w:i/>
          <w:iCs/>
        </w:rPr>
        <w:t>g’</w:t>
      </w:r>
      <w:r w:rsidRPr="00AE6642">
        <w:rPr>
          <w:i/>
          <w:iCs/>
        </w:rPr>
        <w:t xml:space="preserve"> followed by a specific example or examples shall not be construed as limiting the meaning of the general wording preceding it.”</w:t>
      </w:r>
    </w:p>
    <w:p w14:paraId="59367704" w14:textId="44AF32F1" w:rsidR="00BA3147" w:rsidRDefault="00E2631D" w:rsidP="00E2631D">
      <w:pPr>
        <w:pStyle w:val="Heading1"/>
        <w:numPr>
          <w:ilvl w:val="0"/>
          <w:numId w:val="0"/>
        </w:numPr>
        <w:tabs>
          <w:tab w:val="left" w:pos="862"/>
        </w:tabs>
        <w:ind w:left="862" w:hanging="862"/>
      </w:pPr>
      <w:r>
        <w:t>[19]</w:t>
      </w:r>
      <w:r>
        <w:tab/>
      </w:r>
      <w:r w:rsidR="00374E4C">
        <w:t xml:space="preserve">The existing security for the </w:t>
      </w:r>
      <w:r w:rsidR="001F162A">
        <w:t xml:space="preserve">facilities </w:t>
      </w:r>
      <w:r w:rsidR="00374E4C">
        <w:t xml:space="preserve">is </w:t>
      </w:r>
      <w:r w:rsidR="006D5CD5">
        <w:t xml:space="preserve"> also </w:t>
      </w:r>
      <w:r w:rsidR="00374E4C">
        <w:t xml:space="preserve">set out in the </w:t>
      </w:r>
      <w:r w:rsidR="00DC4F94">
        <w:t>F</w:t>
      </w:r>
      <w:r w:rsidR="00374E4C">
        <w:t xml:space="preserve">acility </w:t>
      </w:r>
      <w:r w:rsidR="00DC4F94">
        <w:t>L</w:t>
      </w:r>
      <w:r w:rsidR="00374E4C">
        <w:t>etter.</w:t>
      </w:r>
      <w:r w:rsidR="00374E4C">
        <w:rPr>
          <w:rStyle w:val="FootnoteReference"/>
        </w:rPr>
        <w:footnoteReference w:id="8"/>
      </w:r>
      <w:r w:rsidR="00374E4C">
        <w:t xml:space="preserve">  This included a</w:t>
      </w:r>
      <w:r w:rsidR="00BA3147">
        <w:t>:</w:t>
      </w:r>
    </w:p>
    <w:p w14:paraId="0BEDDBD9" w14:textId="2D36A868" w:rsidR="00BA3147" w:rsidRDefault="00BA3147" w:rsidP="00BA3147">
      <w:pPr>
        <w:pStyle w:val="Heading1"/>
        <w:numPr>
          <w:ilvl w:val="0"/>
          <w:numId w:val="0"/>
        </w:numPr>
        <w:ind w:left="862"/>
        <w:rPr>
          <w:i/>
          <w:iCs/>
        </w:rPr>
      </w:pPr>
      <w:r>
        <w:tab/>
      </w:r>
      <w:r w:rsidR="00374E4C">
        <w:rPr>
          <w:i/>
          <w:iCs/>
        </w:rPr>
        <w:t>“</w:t>
      </w:r>
      <w:r w:rsidR="001F162A" w:rsidRPr="002D5AA3">
        <w:rPr>
          <w:b/>
          <w:bCs/>
          <w:i/>
          <w:iCs/>
        </w:rPr>
        <w:t>Cession/</w:t>
      </w:r>
      <w:r w:rsidR="00374E4C" w:rsidRPr="002D5AA3">
        <w:rPr>
          <w:b/>
          <w:bCs/>
          <w:i/>
          <w:iCs/>
        </w:rPr>
        <w:t xml:space="preserve"> </w:t>
      </w:r>
      <w:r w:rsidR="001F162A" w:rsidRPr="002D5AA3">
        <w:rPr>
          <w:b/>
          <w:bCs/>
          <w:i/>
          <w:iCs/>
        </w:rPr>
        <w:t xml:space="preserve">Pledge </w:t>
      </w:r>
      <w:r w:rsidR="00374E4C" w:rsidRPr="002D5AA3">
        <w:rPr>
          <w:b/>
          <w:bCs/>
          <w:i/>
          <w:iCs/>
        </w:rPr>
        <w:t>of rights, title and interest in and to</w:t>
      </w:r>
      <w:r>
        <w:rPr>
          <w:i/>
          <w:iCs/>
        </w:rPr>
        <w:t>:</w:t>
      </w:r>
    </w:p>
    <w:p w14:paraId="1B6DB12D" w14:textId="2D80E3C8" w:rsidR="00374E4C" w:rsidRPr="00BA3147" w:rsidRDefault="00E2631D" w:rsidP="00E2631D">
      <w:pPr>
        <w:pStyle w:val="Heading1"/>
        <w:numPr>
          <w:ilvl w:val="0"/>
          <w:numId w:val="0"/>
        </w:numPr>
        <w:spacing w:after="0"/>
        <w:ind w:left="2659" w:hanging="357"/>
      </w:pPr>
      <w:r w:rsidRPr="00BA3147">
        <w:rPr>
          <w:rFonts w:ascii="Symbol" w:hAnsi="Symbol"/>
        </w:rPr>
        <w:t></w:t>
      </w:r>
      <w:r w:rsidRPr="00BA3147">
        <w:rPr>
          <w:rFonts w:ascii="Symbol" w:hAnsi="Symbol"/>
        </w:rPr>
        <w:tab/>
      </w:r>
      <w:r w:rsidR="001F162A">
        <w:rPr>
          <w:i/>
          <w:iCs/>
        </w:rPr>
        <w:t xml:space="preserve">Accounts </w:t>
      </w:r>
      <w:r w:rsidR="00BA3147">
        <w:rPr>
          <w:i/>
          <w:iCs/>
        </w:rPr>
        <w:t>and credit balances</w:t>
      </w:r>
    </w:p>
    <w:p w14:paraId="3513B36D" w14:textId="55FEDD69" w:rsidR="00BA3147" w:rsidRPr="00BA3147" w:rsidRDefault="00E2631D" w:rsidP="00E2631D">
      <w:pPr>
        <w:pStyle w:val="Heading1"/>
        <w:numPr>
          <w:ilvl w:val="0"/>
          <w:numId w:val="0"/>
        </w:numPr>
        <w:spacing w:after="0"/>
        <w:ind w:left="2659" w:hanging="357"/>
      </w:pPr>
      <w:r w:rsidRPr="00BA3147">
        <w:rPr>
          <w:rFonts w:ascii="Symbol" w:hAnsi="Symbol"/>
        </w:rPr>
        <w:t></w:t>
      </w:r>
      <w:r w:rsidRPr="00BA3147">
        <w:rPr>
          <w:rFonts w:ascii="Symbol" w:hAnsi="Symbol"/>
        </w:rPr>
        <w:tab/>
      </w:r>
      <w:r w:rsidR="001F162A">
        <w:rPr>
          <w:i/>
          <w:iCs/>
        </w:rPr>
        <w:t xml:space="preserve">Book </w:t>
      </w:r>
      <w:r w:rsidR="00BA3147">
        <w:rPr>
          <w:i/>
          <w:iCs/>
        </w:rPr>
        <w:t>debits</w:t>
      </w:r>
    </w:p>
    <w:p w14:paraId="3D586C4F" w14:textId="135C463A" w:rsidR="00BA3147" w:rsidRPr="00BA3147" w:rsidRDefault="00E2631D" w:rsidP="00E2631D">
      <w:pPr>
        <w:pStyle w:val="Heading1"/>
        <w:numPr>
          <w:ilvl w:val="0"/>
          <w:numId w:val="0"/>
        </w:numPr>
        <w:spacing w:after="0"/>
        <w:ind w:left="2659" w:hanging="357"/>
      </w:pPr>
      <w:r w:rsidRPr="00BA3147">
        <w:rPr>
          <w:rFonts w:ascii="Symbol" w:hAnsi="Symbol"/>
        </w:rPr>
        <w:t></w:t>
      </w:r>
      <w:r w:rsidRPr="00BA3147">
        <w:rPr>
          <w:rFonts w:ascii="Symbol" w:hAnsi="Symbol"/>
        </w:rPr>
        <w:tab/>
      </w:r>
      <w:r w:rsidR="001F162A">
        <w:rPr>
          <w:i/>
          <w:iCs/>
        </w:rPr>
        <w:t xml:space="preserve">Purchase </w:t>
      </w:r>
      <w:r w:rsidR="00BA3147">
        <w:rPr>
          <w:i/>
          <w:iCs/>
        </w:rPr>
        <w:t>contracts</w:t>
      </w:r>
    </w:p>
    <w:p w14:paraId="6EBAAEA0" w14:textId="205260E7" w:rsidR="00BA3147" w:rsidRPr="00BA3147" w:rsidRDefault="00E2631D" w:rsidP="00E2631D">
      <w:pPr>
        <w:pStyle w:val="Heading1"/>
        <w:numPr>
          <w:ilvl w:val="0"/>
          <w:numId w:val="0"/>
        </w:numPr>
        <w:spacing w:after="0"/>
        <w:ind w:left="2659" w:hanging="357"/>
      </w:pPr>
      <w:r w:rsidRPr="00BA3147">
        <w:rPr>
          <w:rFonts w:ascii="Symbol" w:hAnsi="Symbol"/>
        </w:rPr>
        <w:t></w:t>
      </w:r>
      <w:r w:rsidRPr="00BA3147">
        <w:rPr>
          <w:rFonts w:ascii="Symbol" w:hAnsi="Symbol"/>
        </w:rPr>
        <w:tab/>
      </w:r>
      <w:r w:rsidR="001F162A">
        <w:rPr>
          <w:i/>
          <w:iCs/>
        </w:rPr>
        <w:t>Forward Exchange Contracts</w:t>
      </w:r>
    </w:p>
    <w:p w14:paraId="04057C5A" w14:textId="4AB86DA0" w:rsidR="00BA3147" w:rsidRPr="00BA3147" w:rsidRDefault="00E2631D" w:rsidP="00E2631D">
      <w:pPr>
        <w:pStyle w:val="Heading1"/>
        <w:numPr>
          <w:ilvl w:val="0"/>
          <w:numId w:val="0"/>
        </w:numPr>
        <w:spacing w:after="0"/>
        <w:ind w:left="2659" w:hanging="357"/>
      </w:pPr>
      <w:r w:rsidRPr="00BA3147">
        <w:rPr>
          <w:rFonts w:ascii="Symbol" w:hAnsi="Symbol"/>
        </w:rPr>
        <w:t></w:t>
      </w:r>
      <w:r w:rsidRPr="00BA3147">
        <w:rPr>
          <w:rFonts w:ascii="Symbol" w:hAnsi="Symbol"/>
        </w:rPr>
        <w:tab/>
      </w:r>
      <w:r w:rsidR="001F162A">
        <w:rPr>
          <w:i/>
          <w:iCs/>
        </w:rPr>
        <w:t xml:space="preserve">Goods </w:t>
      </w:r>
      <w:r w:rsidR="00BA3147">
        <w:rPr>
          <w:i/>
          <w:iCs/>
        </w:rPr>
        <w:t>/ merchandise</w:t>
      </w:r>
    </w:p>
    <w:p w14:paraId="7DEF7E48" w14:textId="27ED03D3" w:rsidR="00BA3147" w:rsidRPr="00BA3147" w:rsidRDefault="00E2631D" w:rsidP="00E2631D">
      <w:pPr>
        <w:pStyle w:val="Heading1"/>
        <w:numPr>
          <w:ilvl w:val="0"/>
          <w:numId w:val="0"/>
        </w:numPr>
        <w:spacing w:after="0"/>
        <w:ind w:left="2659" w:hanging="357"/>
      </w:pPr>
      <w:r w:rsidRPr="00BA3147">
        <w:rPr>
          <w:rFonts w:ascii="Symbol" w:hAnsi="Symbol"/>
        </w:rPr>
        <w:t></w:t>
      </w:r>
      <w:r w:rsidRPr="00BA3147">
        <w:rPr>
          <w:rFonts w:ascii="Symbol" w:hAnsi="Symbol"/>
        </w:rPr>
        <w:tab/>
      </w:r>
      <w:r w:rsidR="001F162A">
        <w:rPr>
          <w:i/>
          <w:iCs/>
        </w:rPr>
        <w:t xml:space="preserve">Goods </w:t>
      </w:r>
      <w:r w:rsidR="00BA3147">
        <w:rPr>
          <w:i/>
          <w:iCs/>
        </w:rPr>
        <w:t>in transit cover</w:t>
      </w:r>
    </w:p>
    <w:p w14:paraId="37227D88" w14:textId="5410E9FA" w:rsidR="00BA3147" w:rsidRPr="00BA3147" w:rsidRDefault="00E2631D" w:rsidP="00E2631D">
      <w:pPr>
        <w:pStyle w:val="Heading1"/>
        <w:numPr>
          <w:ilvl w:val="0"/>
          <w:numId w:val="0"/>
        </w:numPr>
        <w:spacing w:after="0"/>
        <w:ind w:left="2659" w:hanging="357"/>
      </w:pPr>
      <w:r w:rsidRPr="00BA3147">
        <w:rPr>
          <w:rFonts w:ascii="Symbol" w:hAnsi="Symbol"/>
        </w:rPr>
        <w:t></w:t>
      </w:r>
      <w:r w:rsidRPr="00BA3147">
        <w:rPr>
          <w:rFonts w:ascii="Symbol" w:hAnsi="Symbol"/>
        </w:rPr>
        <w:tab/>
      </w:r>
      <w:r w:rsidR="001F162A">
        <w:rPr>
          <w:i/>
          <w:iCs/>
        </w:rPr>
        <w:t xml:space="preserve">Loan </w:t>
      </w:r>
      <w:r w:rsidR="00BA3147">
        <w:rPr>
          <w:i/>
          <w:iCs/>
        </w:rPr>
        <w:t>accounts</w:t>
      </w:r>
    </w:p>
    <w:p w14:paraId="434613A9" w14:textId="09671EB0" w:rsidR="00BA3147" w:rsidRPr="00BA3147" w:rsidRDefault="00E2631D" w:rsidP="00E2631D">
      <w:pPr>
        <w:pStyle w:val="Heading1"/>
        <w:numPr>
          <w:ilvl w:val="0"/>
          <w:numId w:val="0"/>
        </w:numPr>
        <w:spacing w:after="0"/>
        <w:ind w:left="2659" w:hanging="357"/>
      </w:pPr>
      <w:r w:rsidRPr="00BA3147">
        <w:rPr>
          <w:rFonts w:ascii="Symbol" w:hAnsi="Symbol"/>
        </w:rPr>
        <w:t></w:t>
      </w:r>
      <w:r w:rsidRPr="00BA3147">
        <w:rPr>
          <w:rFonts w:ascii="Symbol" w:hAnsi="Symbol"/>
        </w:rPr>
        <w:tab/>
      </w:r>
      <w:r w:rsidR="00BA3147">
        <w:rPr>
          <w:i/>
          <w:iCs/>
        </w:rPr>
        <w:t>Marine Cargo Open Policy</w:t>
      </w:r>
    </w:p>
    <w:p w14:paraId="1FB5CB1B" w14:textId="725030A5" w:rsidR="00BA3147" w:rsidRPr="00BA3147" w:rsidRDefault="00E2631D" w:rsidP="00E2631D">
      <w:pPr>
        <w:pStyle w:val="Heading1"/>
        <w:numPr>
          <w:ilvl w:val="0"/>
          <w:numId w:val="0"/>
        </w:numPr>
        <w:spacing w:after="0"/>
        <w:ind w:left="2659" w:hanging="357"/>
      </w:pPr>
      <w:r w:rsidRPr="00BA3147">
        <w:rPr>
          <w:rFonts w:ascii="Symbol" w:hAnsi="Symbol"/>
        </w:rPr>
        <w:t></w:t>
      </w:r>
      <w:r w:rsidRPr="00BA3147">
        <w:rPr>
          <w:rFonts w:ascii="Symbol" w:hAnsi="Symbol"/>
        </w:rPr>
        <w:tab/>
      </w:r>
      <w:r w:rsidR="001F162A">
        <w:rPr>
          <w:i/>
          <w:iCs/>
        </w:rPr>
        <w:t xml:space="preserve">Purchase </w:t>
      </w:r>
      <w:r w:rsidR="00BA3147">
        <w:rPr>
          <w:i/>
          <w:iCs/>
        </w:rPr>
        <w:t>orders</w:t>
      </w:r>
    </w:p>
    <w:p w14:paraId="7AA06A31" w14:textId="031C5E09" w:rsidR="00BA3147" w:rsidRPr="00BA3147" w:rsidRDefault="00E2631D" w:rsidP="00E2631D">
      <w:pPr>
        <w:pStyle w:val="Heading1"/>
        <w:numPr>
          <w:ilvl w:val="0"/>
          <w:numId w:val="0"/>
        </w:numPr>
        <w:ind w:left="2661" w:hanging="360"/>
      </w:pPr>
      <w:r w:rsidRPr="00BA3147">
        <w:rPr>
          <w:rFonts w:ascii="Symbol" w:hAnsi="Symbol"/>
        </w:rPr>
        <w:t></w:t>
      </w:r>
      <w:r w:rsidRPr="00BA3147">
        <w:rPr>
          <w:rFonts w:ascii="Symbol" w:hAnsi="Symbol"/>
        </w:rPr>
        <w:tab/>
      </w:r>
      <w:r w:rsidR="001F162A">
        <w:rPr>
          <w:i/>
          <w:iCs/>
        </w:rPr>
        <w:t>Supplier Orders</w:t>
      </w:r>
      <w:r w:rsidR="00BA3147">
        <w:rPr>
          <w:i/>
          <w:iCs/>
        </w:rPr>
        <w:t>”</w:t>
      </w:r>
    </w:p>
    <w:p w14:paraId="7EB57BFB" w14:textId="13624426" w:rsidR="00C7104E" w:rsidRDefault="00BA3147" w:rsidP="00C7104E">
      <w:pPr>
        <w:ind w:left="862" w:hanging="862"/>
      </w:pPr>
      <w:r>
        <w:tab/>
        <w:t xml:space="preserve">and was provided by Truvelo Africa Mechanical Division on 15 March 2019.  </w:t>
      </w:r>
    </w:p>
    <w:p w14:paraId="1BA2CF6D" w14:textId="2E4E0B83" w:rsidR="00BA3147" w:rsidRDefault="00E2631D" w:rsidP="00E2631D">
      <w:pPr>
        <w:pStyle w:val="Heading1"/>
        <w:numPr>
          <w:ilvl w:val="0"/>
          <w:numId w:val="0"/>
        </w:numPr>
        <w:tabs>
          <w:tab w:val="left" w:pos="862"/>
        </w:tabs>
        <w:ind w:left="862" w:hanging="862"/>
      </w:pPr>
      <w:r>
        <w:t>[20]</w:t>
      </w:r>
      <w:r>
        <w:tab/>
      </w:r>
      <w:r w:rsidR="00BA3147">
        <w:t>Clause 9</w:t>
      </w:r>
      <w:r w:rsidR="00BA3147">
        <w:rPr>
          <w:rStyle w:val="FootnoteReference"/>
        </w:rPr>
        <w:footnoteReference w:id="9"/>
      </w:r>
      <w:r w:rsidR="00BA3147">
        <w:t xml:space="preserve"> sets out the new security and documents required from Truvelo </w:t>
      </w:r>
      <w:r w:rsidR="00BA3147">
        <w:lastRenderedPageBreak/>
        <w:t xml:space="preserve">Manufacturers namely a </w:t>
      </w:r>
    </w:p>
    <w:p w14:paraId="11A49116" w14:textId="5E0A6A43" w:rsidR="00BA3147" w:rsidRDefault="00BA3147" w:rsidP="00BA3147">
      <w:pPr>
        <w:ind w:left="862" w:hanging="862"/>
        <w:rPr>
          <w:i/>
          <w:iCs/>
        </w:rPr>
      </w:pPr>
      <w:r>
        <w:tab/>
      </w:r>
      <w:r w:rsidRPr="00BA3147">
        <w:rPr>
          <w:i/>
          <w:iCs/>
        </w:rPr>
        <w:t>“</w:t>
      </w:r>
      <w:r w:rsidR="001F162A" w:rsidRPr="002D5AA3">
        <w:rPr>
          <w:b/>
          <w:bCs/>
          <w:i/>
          <w:iCs/>
        </w:rPr>
        <w:t>Cession/</w:t>
      </w:r>
      <w:r w:rsidRPr="002D5AA3">
        <w:rPr>
          <w:b/>
          <w:bCs/>
          <w:i/>
          <w:iCs/>
        </w:rPr>
        <w:t xml:space="preserve"> </w:t>
      </w:r>
      <w:r w:rsidR="001F162A" w:rsidRPr="002D5AA3">
        <w:rPr>
          <w:b/>
          <w:bCs/>
          <w:i/>
          <w:iCs/>
        </w:rPr>
        <w:t xml:space="preserve">Pledge </w:t>
      </w:r>
      <w:r w:rsidRPr="002D5AA3">
        <w:rPr>
          <w:b/>
          <w:bCs/>
          <w:i/>
          <w:iCs/>
        </w:rPr>
        <w:t>of rights, title and interest in and to</w:t>
      </w:r>
      <w:r>
        <w:rPr>
          <w:i/>
          <w:iCs/>
        </w:rPr>
        <w:t>:</w:t>
      </w:r>
    </w:p>
    <w:p w14:paraId="0C47A1B0" w14:textId="0B35E991" w:rsidR="00BA3147" w:rsidRPr="00E2631D" w:rsidRDefault="00E2631D" w:rsidP="00E2631D">
      <w:pPr>
        <w:ind w:left="1584" w:hanging="360"/>
        <w:rPr>
          <w:i/>
          <w:iCs/>
        </w:rPr>
      </w:pPr>
      <w:r>
        <w:rPr>
          <w:rFonts w:ascii="Symbol" w:hAnsi="Symbol"/>
          <w:iCs/>
        </w:rPr>
        <w:t></w:t>
      </w:r>
      <w:r>
        <w:rPr>
          <w:rFonts w:ascii="Symbol" w:hAnsi="Symbol"/>
          <w:iCs/>
        </w:rPr>
        <w:tab/>
      </w:r>
      <w:r w:rsidR="001F162A" w:rsidRPr="00E2631D">
        <w:rPr>
          <w:i/>
          <w:iCs/>
        </w:rPr>
        <w:t xml:space="preserve">Book Debts </w:t>
      </w:r>
      <w:r w:rsidR="00BA3147" w:rsidRPr="00E2631D">
        <w:rPr>
          <w:i/>
          <w:iCs/>
        </w:rPr>
        <w:t xml:space="preserve">of </w:t>
      </w:r>
      <w:r w:rsidR="001F162A" w:rsidRPr="00E2631D">
        <w:rPr>
          <w:i/>
          <w:iCs/>
        </w:rPr>
        <w:t xml:space="preserve">Borrower </w:t>
      </w:r>
      <w:r w:rsidR="00BA3147" w:rsidRPr="00E2631D">
        <w:rPr>
          <w:i/>
          <w:iCs/>
        </w:rPr>
        <w:t>(referring to both companies)</w:t>
      </w:r>
    </w:p>
    <w:p w14:paraId="4802B322" w14:textId="7F281B49" w:rsidR="00BA3147" w:rsidRPr="00E2631D" w:rsidRDefault="00E2631D" w:rsidP="00E2631D">
      <w:pPr>
        <w:ind w:left="1584" w:hanging="360"/>
        <w:rPr>
          <w:i/>
          <w:iCs/>
        </w:rPr>
      </w:pPr>
      <w:r>
        <w:rPr>
          <w:rFonts w:ascii="Symbol" w:hAnsi="Symbol"/>
          <w:iCs/>
        </w:rPr>
        <w:t></w:t>
      </w:r>
      <w:r>
        <w:rPr>
          <w:rFonts w:ascii="Symbol" w:hAnsi="Symbol"/>
          <w:iCs/>
        </w:rPr>
        <w:tab/>
      </w:r>
      <w:r w:rsidR="001F162A" w:rsidRPr="00E2631D">
        <w:rPr>
          <w:i/>
          <w:iCs/>
        </w:rPr>
        <w:t xml:space="preserve">Purchase </w:t>
      </w:r>
      <w:r w:rsidR="00BA3147" w:rsidRPr="00E2631D">
        <w:rPr>
          <w:i/>
          <w:iCs/>
        </w:rPr>
        <w:t>contract</w:t>
      </w:r>
    </w:p>
    <w:p w14:paraId="1ECCC123" w14:textId="7F991305" w:rsidR="00BA3147" w:rsidRPr="00E2631D" w:rsidRDefault="00E2631D" w:rsidP="00E2631D">
      <w:pPr>
        <w:ind w:left="1584" w:hanging="360"/>
        <w:rPr>
          <w:i/>
          <w:iCs/>
        </w:rPr>
      </w:pPr>
      <w:r>
        <w:rPr>
          <w:rFonts w:ascii="Symbol" w:hAnsi="Symbol"/>
          <w:iCs/>
        </w:rPr>
        <w:t></w:t>
      </w:r>
      <w:r>
        <w:rPr>
          <w:rFonts w:ascii="Symbol" w:hAnsi="Symbol"/>
          <w:iCs/>
        </w:rPr>
        <w:tab/>
      </w:r>
      <w:r w:rsidR="001F162A" w:rsidRPr="00E2631D">
        <w:rPr>
          <w:i/>
          <w:iCs/>
        </w:rPr>
        <w:t>Forward Exchange Contracts</w:t>
      </w:r>
    </w:p>
    <w:p w14:paraId="253D00A8" w14:textId="0DDF36D6" w:rsidR="00BA3147" w:rsidRPr="00E2631D" w:rsidRDefault="00E2631D" w:rsidP="00E2631D">
      <w:pPr>
        <w:ind w:left="1584" w:hanging="360"/>
        <w:rPr>
          <w:i/>
          <w:iCs/>
        </w:rPr>
      </w:pPr>
      <w:r>
        <w:rPr>
          <w:rFonts w:ascii="Symbol" w:hAnsi="Symbol"/>
          <w:iCs/>
        </w:rPr>
        <w:t></w:t>
      </w:r>
      <w:r>
        <w:rPr>
          <w:rFonts w:ascii="Symbol" w:hAnsi="Symbol"/>
          <w:iCs/>
        </w:rPr>
        <w:tab/>
      </w:r>
      <w:r w:rsidR="001F162A" w:rsidRPr="00E2631D">
        <w:rPr>
          <w:i/>
          <w:iCs/>
        </w:rPr>
        <w:t xml:space="preserve">Goods </w:t>
      </w:r>
      <w:r w:rsidR="00BA3147" w:rsidRPr="00E2631D">
        <w:rPr>
          <w:i/>
          <w:iCs/>
        </w:rPr>
        <w:t>/ merchandise</w:t>
      </w:r>
    </w:p>
    <w:p w14:paraId="10D3BC6B" w14:textId="3C2CA1D8" w:rsidR="00BA3147" w:rsidRPr="00E2631D" w:rsidRDefault="00E2631D" w:rsidP="00E2631D">
      <w:pPr>
        <w:ind w:left="1584" w:hanging="360"/>
        <w:rPr>
          <w:i/>
          <w:iCs/>
        </w:rPr>
      </w:pPr>
      <w:r>
        <w:rPr>
          <w:rFonts w:ascii="Symbol" w:hAnsi="Symbol"/>
          <w:iCs/>
        </w:rPr>
        <w:t></w:t>
      </w:r>
      <w:r>
        <w:rPr>
          <w:rFonts w:ascii="Symbol" w:hAnsi="Symbol"/>
          <w:iCs/>
        </w:rPr>
        <w:tab/>
      </w:r>
      <w:r w:rsidR="001F162A" w:rsidRPr="00E2631D">
        <w:rPr>
          <w:i/>
          <w:iCs/>
        </w:rPr>
        <w:t xml:space="preserve">Goods </w:t>
      </w:r>
      <w:r w:rsidR="00BA3147" w:rsidRPr="00E2631D">
        <w:rPr>
          <w:i/>
          <w:iCs/>
        </w:rPr>
        <w:t>in transit cover</w:t>
      </w:r>
    </w:p>
    <w:p w14:paraId="567A3D22" w14:textId="2E0453BD" w:rsidR="00BA3147" w:rsidRPr="00E2631D" w:rsidRDefault="00E2631D" w:rsidP="00E2631D">
      <w:pPr>
        <w:ind w:left="1584" w:hanging="360"/>
        <w:rPr>
          <w:i/>
          <w:iCs/>
        </w:rPr>
      </w:pPr>
      <w:r>
        <w:rPr>
          <w:rFonts w:ascii="Symbol" w:hAnsi="Symbol"/>
          <w:iCs/>
        </w:rPr>
        <w:t></w:t>
      </w:r>
      <w:r>
        <w:rPr>
          <w:rFonts w:ascii="Symbol" w:hAnsi="Symbol"/>
          <w:iCs/>
        </w:rPr>
        <w:tab/>
      </w:r>
      <w:r w:rsidR="00BA3147" w:rsidRPr="00E2631D">
        <w:rPr>
          <w:i/>
          <w:iCs/>
        </w:rPr>
        <w:t>Marine Cargo Policy</w:t>
      </w:r>
    </w:p>
    <w:p w14:paraId="4ED2989E" w14:textId="67CCDF34" w:rsidR="00BA3147" w:rsidRPr="00E2631D" w:rsidRDefault="00E2631D" w:rsidP="00E2631D">
      <w:pPr>
        <w:ind w:left="1584" w:hanging="360"/>
        <w:rPr>
          <w:i/>
          <w:iCs/>
        </w:rPr>
      </w:pPr>
      <w:r>
        <w:rPr>
          <w:rFonts w:ascii="Symbol" w:hAnsi="Symbol"/>
          <w:iCs/>
        </w:rPr>
        <w:t></w:t>
      </w:r>
      <w:r>
        <w:rPr>
          <w:rFonts w:ascii="Symbol" w:hAnsi="Symbol"/>
          <w:iCs/>
        </w:rPr>
        <w:tab/>
      </w:r>
      <w:r w:rsidR="001F162A" w:rsidRPr="00E2631D">
        <w:rPr>
          <w:i/>
          <w:iCs/>
        </w:rPr>
        <w:t xml:space="preserve">Loan </w:t>
      </w:r>
      <w:r w:rsidR="00BA3147" w:rsidRPr="00E2631D">
        <w:rPr>
          <w:i/>
          <w:iCs/>
        </w:rPr>
        <w:t>accounts</w:t>
      </w:r>
    </w:p>
    <w:p w14:paraId="6221D9CC" w14:textId="051126BB" w:rsidR="00BA3147" w:rsidRPr="00E2631D" w:rsidRDefault="00E2631D" w:rsidP="00E2631D">
      <w:pPr>
        <w:ind w:left="1584" w:hanging="360"/>
        <w:rPr>
          <w:i/>
          <w:iCs/>
        </w:rPr>
      </w:pPr>
      <w:r>
        <w:rPr>
          <w:rFonts w:ascii="Symbol" w:hAnsi="Symbol"/>
          <w:iCs/>
        </w:rPr>
        <w:t></w:t>
      </w:r>
      <w:r>
        <w:rPr>
          <w:rFonts w:ascii="Symbol" w:hAnsi="Symbol"/>
          <w:iCs/>
        </w:rPr>
        <w:tab/>
      </w:r>
      <w:r w:rsidR="001F162A" w:rsidRPr="00E2631D">
        <w:rPr>
          <w:i/>
          <w:iCs/>
        </w:rPr>
        <w:t xml:space="preserve">Purchase </w:t>
      </w:r>
      <w:r w:rsidR="00BA3147" w:rsidRPr="00E2631D">
        <w:rPr>
          <w:i/>
          <w:iCs/>
        </w:rPr>
        <w:t>orders</w:t>
      </w:r>
    </w:p>
    <w:p w14:paraId="20020166" w14:textId="2D0D770D" w:rsidR="00BA3147" w:rsidRPr="00E2631D" w:rsidRDefault="00E2631D" w:rsidP="00E2631D">
      <w:pPr>
        <w:ind w:left="1584" w:hanging="360"/>
        <w:rPr>
          <w:i/>
          <w:iCs/>
        </w:rPr>
      </w:pPr>
      <w:r>
        <w:rPr>
          <w:rFonts w:ascii="Symbol" w:hAnsi="Symbol"/>
          <w:iCs/>
        </w:rPr>
        <w:t></w:t>
      </w:r>
      <w:r>
        <w:rPr>
          <w:rFonts w:ascii="Symbol" w:hAnsi="Symbol"/>
          <w:iCs/>
        </w:rPr>
        <w:tab/>
      </w:r>
      <w:r w:rsidR="001F162A" w:rsidRPr="00E2631D">
        <w:rPr>
          <w:i/>
          <w:iCs/>
        </w:rPr>
        <w:t xml:space="preserve">Supplier </w:t>
      </w:r>
      <w:r w:rsidR="00BA3147" w:rsidRPr="00E2631D">
        <w:rPr>
          <w:i/>
          <w:iCs/>
        </w:rPr>
        <w:t>orders</w:t>
      </w:r>
    </w:p>
    <w:p w14:paraId="2870AC96" w14:textId="2F386B87" w:rsidR="00BA3147" w:rsidRPr="00E2631D" w:rsidRDefault="00E2631D" w:rsidP="00E2631D">
      <w:pPr>
        <w:ind w:left="1584" w:hanging="360"/>
        <w:rPr>
          <w:i/>
          <w:iCs/>
        </w:rPr>
      </w:pPr>
      <w:r>
        <w:rPr>
          <w:rFonts w:ascii="Symbol" w:hAnsi="Symbol"/>
          <w:iCs/>
        </w:rPr>
        <w:t></w:t>
      </w:r>
      <w:r>
        <w:rPr>
          <w:rFonts w:ascii="Symbol" w:hAnsi="Symbol"/>
          <w:iCs/>
        </w:rPr>
        <w:tab/>
      </w:r>
      <w:r w:rsidR="001F162A" w:rsidRPr="00E2631D">
        <w:rPr>
          <w:i/>
          <w:iCs/>
        </w:rPr>
        <w:t>Short</w:t>
      </w:r>
      <w:r w:rsidR="00BA3147" w:rsidRPr="00E2631D">
        <w:rPr>
          <w:i/>
          <w:iCs/>
        </w:rPr>
        <w:t>-term insurance over business assets”</w:t>
      </w:r>
    </w:p>
    <w:p w14:paraId="1ED659CD" w14:textId="77777777" w:rsidR="006D5CD5" w:rsidRDefault="00BA3147" w:rsidP="006D5CD5">
      <w:pPr>
        <w:ind w:left="862" w:hanging="862"/>
      </w:pPr>
      <w:r>
        <w:tab/>
        <w:t xml:space="preserve">and certain personal unlimited suretyships and group cross-suretyships for the amount of the facility together with various documents </w:t>
      </w:r>
      <w:r w:rsidR="002354B8">
        <w:t xml:space="preserve">which would evidence the Armscor contract and importation of the components.  </w:t>
      </w:r>
    </w:p>
    <w:p w14:paraId="6D5D2126" w14:textId="60EFCE5D" w:rsidR="00AE6642" w:rsidRDefault="00E2631D" w:rsidP="00E2631D">
      <w:pPr>
        <w:pStyle w:val="Heading1"/>
        <w:numPr>
          <w:ilvl w:val="0"/>
          <w:numId w:val="0"/>
        </w:numPr>
        <w:tabs>
          <w:tab w:val="left" w:pos="862"/>
        </w:tabs>
        <w:ind w:left="862" w:hanging="862"/>
      </w:pPr>
      <w:r>
        <w:t>[21]</w:t>
      </w:r>
      <w:r>
        <w:tab/>
      </w:r>
      <w:r w:rsidR="006D5CD5">
        <w:t xml:space="preserve">As anticipated, the Truvelo companies gave the necessary undertakings to the Bank that they would not </w:t>
      </w:r>
      <w:r w:rsidR="00AE6642">
        <w:t>e</w:t>
      </w:r>
      <w:r w:rsidR="006D5CD5">
        <w:t>ncumber any of their assets by way of mortgage bonds or pledge or cession or dispose of their assets in whole or in part without the consent of the Bank.</w:t>
      </w:r>
      <w:r w:rsidR="006D5CD5">
        <w:rPr>
          <w:rStyle w:val="FootnoteReference"/>
        </w:rPr>
        <w:footnoteReference w:id="10"/>
      </w:r>
    </w:p>
    <w:p w14:paraId="52332F0F" w14:textId="0772FA0F" w:rsidR="006D5CD5" w:rsidRDefault="00E2631D" w:rsidP="00E2631D">
      <w:pPr>
        <w:pStyle w:val="Heading1"/>
        <w:numPr>
          <w:ilvl w:val="0"/>
          <w:numId w:val="0"/>
        </w:numPr>
        <w:tabs>
          <w:tab w:val="left" w:pos="862"/>
        </w:tabs>
        <w:ind w:left="862" w:hanging="862"/>
      </w:pPr>
      <w:r>
        <w:t>[22]</w:t>
      </w:r>
      <w:r>
        <w:tab/>
      </w:r>
      <w:r w:rsidR="006D5CD5">
        <w:t>On 9 September 2019</w:t>
      </w:r>
      <w:r w:rsidR="00AE6642">
        <w:t>,</w:t>
      </w:r>
      <w:r w:rsidR="006D5CD5">
        <w:t xml:space="preserve"> Truvelo Manufacturers was placed under final winding-up as it was unable to pay its debts.</w:t>
      </w:r>
      <w:r w:rsidR="00B61B10">
        <w:t xml:space="preserve"> </w:t>
      </w:r>
      <w:r w:rsidR="006D5CD5">
        <w:t>The liquidators were appointed to wind-up the company.</w:t>
      </w:r>
    </w:p>
    <w:p w14:paraId="5D18950C" w14:textId="54637B03" w:rsidR="00BA3147" w:rsidRDefault="00E2631D" w:rsidP="00E2631D">
      <w:pPr>
        <w:pStyle w:val="Heading1"/>
        <w:numPr>
          <w:ilvl w:val="0"/>
          <w:numId w:val="0"/>
        </w:numPr>
        <w:tabs>
          <w:tab w:val="left" w:pos="862"/>
        </w:tabs>
        <w:ind w:left="862" w:hanging="862"/>
      </w:pPr>
      <w:r>
        <w:t>[23]</w:t>
      </w:r>
      <w:r>
        <w:tab/>
      </w:r>
      <w:r w:rsidR="002354B8">
        <w:t>Upon the appointment of the liquidators they elected</w:t>
      </w:r>
      <w:r w:rsidR="00C7104E">
        <w:t>,</w:t>
      </w:r>
      <w:r w:rsidR="002354B8">
        <w:t xml:space="preserve"> in the interests of the body of creditors</w:t>
      </w:r>
      <w:r w:rsidR="00C7104E">
        <w:t>,</w:t>
      </w:r>
      <w:r w:rsidR="002354B8">
        <w:t xml:space="preserve"> to continue the Truvelo business as a going concern </w:t>
      </w:r>
      <w:r w:rsidR="002354B8">
        <w:lastRenderedPageBreak/>
        <w:t>in order to obtain a better resale value.  The liquidators also</w:t>
      </w:r>
      <w:r w:rsidR="00C7104E">
        <w:t>,</w:t>
      </w:r>
      <w:r w:rsidR="002354B8">
        <w:t xml:space="preserve"> as authorised</w:t>
      </w:r>
      <w:r w:rsidR="00C7104E">
        <w:t>,</w:t>
      </w:r>
      <w:r w:rsidR="006D5CD5">
        <w:t xml:space="preserve"> sold</w:t>
      </w:r>
      <w:r w:rsidR="002354B8">
        <w:t xml:space="preserve"> Truvelo’s assets both movable and immovable by public auction, tender </w:t>
      </w:r>
      <w:r w:rsidR="00AE6642">
        <w:t xml:space="preserve">and </w:t>
      </w:r>
      <w:r w:rsidR="002354B8">
        <w:t xml:space="preserve">privately.  In so doing all the assets were valued on a forced sale basis.  </w:t>
      </w:r>
      <w:r w:rsidR="00463CB9">
        <w:t xml:space="preserve">They </w:t>
      </w:r>
      <w:r w:rsidR="002354B8">
        <w:t xml:space="preserve">successfully </w:t>
      </w:r>
      <w:r w:rsidR="00463CB9">
        <w:t xml:space="preserve">sold the business </w:t>
      </w:r>
      <w:r w:rsidR="002354B8">
        <w:t>to the Africa Defence Group (Pty) Limited</w:t>
      </w:r>
      <w:r w:rsidR="00C7104E">
        <w:t>.</w:t>
      </w:r>
      <w:r w:rsidR="002354B8">
        <w:t xml:space="preserve"> </w:t>
      </w:r>
      <w:r w:rsidR="00C7104E">
        <w:t xml:space="preserve"> A sum of </w:t>
      </w:r>
      <w:r w:rsidR="002354B8">
        <w:t>R20 million was raised</w:t>
      </w:r>
      <w:r w:rsidR="00C7104E">
        <w:t>,</w:t>
      </w:r>
      <w:r w:rsidR="006D5CD5">
        <w:t xml:space="preserve"> amounting to</w:t>
      </w:r>
      <w:r w:rsidR="00C7104E">
        <w:t xml:space="preserve"> 72% of the purchase price</w:t>
      </w:r>
      <w:r w:rsidR="006D5CD5">
        <w:t xml:space="preserve"> of </w:t>
      </w:r>
      <w:r w:rsidR="002354B8">
        <w:t xml:space="preserve">the forced </w:t>
      </w:r>
      <w:r w:rsidR="006D5CD5">
        <w:t xml:space="preserve">sale value of the </w:t>
      </w:r>
      <w:r w:rsidR="002354B8">
        <w:t>assets</w:t>
      </w:r>
      <w:r w:rsidR="006D5CD5">
        <w:t>. The forced sale value of the assets included</w:t>
      </w:r>
      <w:r w:rsidR="002354B8">
        <w:t>:</w:t>
      </w:r>
    </w:p>
    <w:p w14:paraId="4244699F" w14:textId="1E7A4987" w:rsidR="002354B8" w:rsidRDefault="00E2631D" w:rsidP="00E2631D">
      <w:pPr>
        <w:pStyle w:val="Heading2"/>
        <w:numPr>
          <w:ilvl w:val="0"/>
          <w:numId w:val="0"/>
        </w:numPr>
        <w:tabs>
          <w:tab w:val="left" w:pos="1871"/>
        </w:tabs>
        <w:ind w:left="1871" w:hanging="1009"/>
      </w:pPr>
      <w:r>
        <w:t>[23.1]</w:t>
      </w:r>
      <w:r>
        <w:tab/>
      </w:r>
      <w:r w:rsidR="002354B8">
        <w:t xml:space="preserve">the immovable assets </w:t>
      </w:r>
      <w:r w:rsidR="00E46E3E">
        <w:t xml:space="preserve">at </w:t>
      </w:r>
      <w:r w:rsidR="002354B8">
        <w:t>R13 million;  and</w:t>
      </w:r>
    </w:p>
    <w:p w14:paraId="7E4E5510" w14:textId="5C32A895" w:rsidR="006D5CD5" w:rsidRDefault="00E2631D" w:rsidP="00E2631D">
      <w:pPr>
        <w:pStyle w:val="Heading2"/>
        <w:numPr>
          <w:ilvl w:val="0"/>
          <w:numId w:val="0"/>
        </w:numPr>
        <w:tabs>
          <w:tab w:val="left" w:pos="1871"/>
        </w:tabs>
        <w:ind w:left="1871" w:hanging="1009"/>
      </w:pPr>
      <w:r>
        <w:t>[23.2]</w:t>
      </w:r>
      <w:r>
        <w:tab/>
      </w:r>
      <w:r w:rsidR="002354B8">
        <w:t xml:space="preserve">the movable assets </w:t>
      </w:r>
      <w:r w:rsidR="00E46E3E">
        <w:t xml:space="preserve">at </w:t>
      </w:r>
      <w:r w:rsidR="002354B8">
        <w:t>R9 730 532,00.</w:t>
      </w:r>
    </w:p>
    <w:p w14:paraId="25ECDCED" w14:textId="1E451B3D" w:rsidR="00C7104E" w:rsidRDefault="00E2631D" w:rsidP="00E2631D">
      <w:pPr>
        <w:pStyle w:val="Heading1"/>
        <w:numPr>
          <w:ilvl w:val="0"/>
          <w:numId w:val="0"/>
        </w:numPr>
        <w:tabs>
          <w:tab w:val="left" w:pos="862"/>
        </w:tabs>
        <w:ind w:left="862" w:hanging="862"/>
      </w:pPr>
      <w:r>
        <w:t>[24]</w:t>
      </w:r>
      <w:r>
        <w:tab/>
      </w:r>
      <w:r w:rsidR="006D5CD5">
        <w:t>T</w:t>
      </w:r>
      <w:r w:rsidR="002354B8">
        <w:t>he movables were sold for R7</w:t>
      </w:r>
      <w:r w:rsidR="00C47C30">
        <w:t xml:space="preserve"> </w:t>
      </w:r>
      <w:r w:rsidR="002354B8">
        <w:t>million despite a forced sale value of R9 730 532,00. Therefore the firearms which had a forced</w:t>
      </w:r>
      <w:r w:rsidR="00AE6642">
        <w:t xml:space="preserve"> sale</w:t>
      </w:r>
      <w:r w:rsidR="002354B8">
        <w:t xml:space="preserve"> value of R1 942 602,00 were reduced to R1 397 469,00</w:t>
      </w:r>
    </w:p>
    <w:p w14:paraId="58CC05CA" w14:textId="692DD4AF" w:rsidR="00C7104E" w:rsidRDefault="00E2631D" w:rsidP="00E2631D">
      <w:pPr>
        <w:pStyle w:val="Heading1"/>
        <w:numPr>
          <w:ilvl w:val="0"/>
          <w:numId w:val="0"/>
        </w:numPr>
        <w:tabs>
          <w:tab w:val="left" w:pos="862"/>
        </w:tabs>
        <w:ind w:left="862" w:hanging="862"/>
      </w:pPr>
      <w:r>
        <w:t>[25]</w:t>
      </w:r>
      <w:r>
        <w:tab/>
      </w:r>
      <w:r w:rsidR="002354B8">
        <w:t>This exclude</w:t>
      </w:r>
      <w:r w:rsidR="006D5CD5">
        <w:t>d</w:t>
      </w:r>
      <w:r w:rsidR="002354B8">
        <w:t xml:space="preserve"> the components financed by the Bank and firearms that were manufactured for Armscor in terms of the contract.  These items were delivered to Armscor and the </w:t>
      </w:r>
      <w:r w:rsidR="006D5CD5">
        <w:t>Bank</w:t>
      </w:r>
      <w:r w:rsidR="002354B8">
        <w:t xml:space="preserve"> received the proceeds.</w:t>
      </w:r>
    </w:p>
    <w:p w14:paraId="4A358B04" w14:textId="382B1E15" w:rsidR="00C7104E" w:rsidRDefault="00E2631D" w:rsidP="00E2631D">
      <w:pPr>
        <w:pStyle w:val="Heading1"/>
        <w:numPr>
          <w:ilvl w:val="0"/>
          <w:numId w:val="0"/>
        </w:numPr>
        <w:tabs>
          <w:tab w:val="left" w:pos="862"/>
        </w:tabs>
        <w:ind w:left="862" w:hanging="862"/>
      </w:pPr>
      <w:r>
        <w:t>[26]</w:t>
      </w:r>
      <w:r>
        <w:tab/>
      </w:r>
      <w:r w:rsidR="002354B8">
        <w:t>The Bank</w:t>
      </w:r>
      <w:r w:rsidR="006D5CD5">
        <w:t>, as set out above,</w:t>
      </w:r>
      <w:r w:rsidR="002354B8">
        <w:t xml:space="preserve"> sought to recover its full claim f</w:t>
      </w:r>
      <w:r w:rsidR="00C7104E">
        <w:t>rom</w:t>
      </w:r>
      <w:r w:rsidR="002354B8">
        <w:t xml:space="preserve"> the proceeds received from </w:t>
      </w:r>
      <w:r w:rsidR="00516576">
        <w:t xml:space="preserve">ADG and relied on the mortgage bonds registered over the immovable properties of </w:t>
      </w:r>
      <w:r w:rsidR="006D5CD5">
        <w:t xml:space="preserve">Truvelo Manufacturing </w:t>
      </w:r>
      <w:r w:rsidR="00516576">
        <w:t xml:space="preserve">and also the </w:t>
      </w:r>
      <w:r w:rsidR="00DC4F94">
        <w:t>C</w:t>
      </w:r>
      <w:r w:rsidR="00516576">
        <w:t>ession agreement.</w:t>
      </w:r>
    </w:p>
    <w:p w14:paraId="2C84A274" w14:textId="478799FB" w:rsidR="00321B67" w:rsidRDefault="00E2631D" w:rsidP="00E2631D">
      <w:pPr>
        <w:pStyle w:val="Heading1"/>
        <w:numPr>
          <w:ilvl w:val="0"/>
          <w:numId w:val="0"/>
        </w:numPr>
        <w:tabs>
          <w:tab w:val="left" w:pos="862"/>
        </w:tabs>
        <w:ind w:left="862" w:hanging="862"/>
      </w:pPr>
      <w:r>
        <w:t>[27]</w:t>
      </w:r>
      <w:r>
        <w:tab/>
      </w:r>
      <w:r w:rsidR="00516576">
        <w:t xml:space="preserve">From the outset the liquidators held the view that the </w:t>
      </w:r>
      <w:r w:rsidR="00321B67">
        <w:t>c</w:t>
      </w:r>
      <w:r w:rsidR="00516576">
        <w:t xml:space="preserve">ession or security did not cover the full amount of the </w:t>
      </w:r>
      <w:r w:rsidR="00C7104E">
        <w:t>Bank</w:t>
      </w:r>
      <w:r w:rsidR="00516576">
        <w:t xml:space="preserve">’s claim.  </w:t>
      </w:r>
      <w:r w:rsidR="00E46E3E">
        <w:t xml:space="preserve">This was because the liquidators and the Master </w:t>
      </w:r>
      <w:r w:rsidR="006D5CD5">
        <w:t xml:space="preserve">determined that </w:t>
      </w:r>
      <w:r w:rsidR="00E46E3E">
        <w:t>the Bank’s right to the proceeds from the goods sold</w:t>
      </w:r>
      <w:r w:rsidR="006D5CD5">
        <w:t xml:space="preserve"> with</w:t>
      </w:r>
      <w:r w:rsidR="00E46E3E">
        <w:t xml:space="preserve"> reference to the definition </w:t>
      </w:r>
      <w:r w:rsidR="007669DB">
        <w:t>clause</w:t>
      </w:r>
      <w:r w:rsidR="00E46E3E">
        <w:t xml:space="preserve"> of </w:t>
      </w:r>
      <w:r w:rsidR="006D5CD5">
        <w:t>“</w:t>
      </w:r>
      <w:r w:rsidR="00E46E3E" w:rsidRPr="006D5CD5">
        <w:rPr>
          <w:i/>
          <w:iCs/>
        </w:rPr>
        <w:t>goods</w:t>
      </w:r>
      <w:r w:rsidR="006D5CD5">
        <w:t xml:space="preserve">” in the </w:t>
      </w:r>
      <w:r w:rsidR="00DC4F94">
        <w:t>C</w:t>
      </w:r>
      <w:r w:rsidR="006D5CD5">
        <w:t xml:space="preserve">ession agreement </w:t>
      </w:r>
      <w:r w:rsidR="00E46E3E">
        <w:t xml:space="preserve">required that the goods be financed by the Bank.  </w:t>
      </w:r>
      <w:r w:rsidR="00E46D4C">
        <w:t xml:space="preserve">Legal opinions were taken by both parties and the opinions taken favoured each party’s </w:t>
      </w:r>
      <w:r w:rsidR="00321B67">
        <w:t xml:space="preserve">respective </w:t>
      </w:r>
      <w:r w:rsidR="00E46D4C">
        <w:t>vie</w:t>
      </w:r>
      <w:r w:rsidR="00321B67">
        <w:t>ws.</w:t>
      </w:r>
    </w:p>
    <w:p w14:paraId="61762B92" w14:textId="28545D2F" w:rsidR="00754988" w:rsidRDefault="00E2631D" w:rsidP="00E2631D">
      <w:pPr>
        <w:pStyle w:val="Heading1"/>
        <w:numPr>
          <w:ilvl w:val="0"/>
          <w:numId w:val="0"/>
        </w:numPr>
        <w:tabs>
          <w:tab w:val="left" w:pos="862"/>
        </w:tabs>
        <w:ind w:left="862" w:hanging="862"/>
      </w:pPr>
      <w:r>
        <w:lastRenderedPageBreak/>
        <w:t>[28]</w:t>
      </w:r>
      <w:r>
        <w:tab/>
      </w:r>
      <w:r w:rsidR="00754988">
        <w:t xml:space="preserve">As a consequence, the </w:t>
      </w:r>
      <w:r w:rsidR="00FD3BBA">
        <w:t>Cession agreement,</w:t>
      </w:r>
      <w:r w:rsidR="00754988">
        <w:t xml:space="preserve"> referred to in clause 9 of the Facility</w:t>
      </w:r>
      <w:r w:rsidR="00FD3BBA">
        <w:t xml:space="preserve"> </w:t>
      </w:r>
      <w:r w:rsidR="00754988">
        <w:t>Letter</w:t>
      </w:r>
      <w:r w:rsidR="00FD3BBA">
        <w:t>,</w:t>
      </w:r>
      <w:r w:rsidR="00754988">
        <w:t xml:space="preserve"> forms the subject-matter of this dispute and more particularly its correct interpretation in regard to the cession of the rights to the proceeds of the goods sold by the liquidators.</w:t>
      </w:r>
    </w:p>
    <w:p w14:paraId="2B975C18" w14:textId="5972E8A8" w:rsidR="00313A5B" w:rsidRDefault="00E2631D" w:rsidP="00E2631D">
      <w:pPr>
        <w:pStyle w:val="Heading1"/>
        <w:numPr>
          <w:ilvl w:val="0"/>
          <w:numId w:val="0"/>
        </w:numPr>
        <w:tabs>
          <w:tab w:val="left" w:pos="862"/>
        </w:tabs>
        <w:ind w:left="862" w:hanging="862"/>
      </w:pPr>
      <w:r>
        <w:t>[29]</w:t>
      </w:r>
      <w:r>
        <w:tab/>
      </w:r>
      <w:r w:rsidR="00754988">
        <w:t>I</w:t>
      </w:r>
      <w:r w:rsidR="00321B67">
        <w:t>t is important to consider and mention the provisions of the</w:t>
      </w:r>
      <w:r w:rsidR="00E46D4C">
        <w:t xml:space="preserve"> </w:t>
      </w:r>
      <w:r w:rsidR="00DC4F94">
        <w:t>C</w:t>
      </w:r>
      <w:r w:rsidR="00313A5B">
        <w:t>ession</w:t>
      </w:r>
      <w:r w:rsidR="00B61B10">
        <w:t xml:space="preserve"> and </w:t>
      </w:r>
      <w:r w:rsidR="00DC4F94">
        <w:t>P</w:t>
      </w:r>
      <w:r w:rsidR="00B61B10">
        <w:t>ledge agreement</w:t>
      </w:r>
      <w:r w:rsidR="00313A5B">
        <w:t xml:space="preserve"> and </w:t>
      </w:r>
      <w:r w:rsidR="006D5CD5">
        <w:t xml:space="preserve">the </w:t>
      </w:r>
      <w:r w:rsidR="00313A5B">
        <w:t>substance</w:t>
      </w:r>
      <w:r w:rsidR="00B61B10">
        <w:t xml:space="preserve"> of the security that</w:t>
      </w:r>
      <w:r w:rsidR="00313A5B">
        <w:t xml:space="preserve"> was ceded to the Bank:  </w:t>
      </w:r>
    </w:p>
    <w:p w14:paraId="73839EFD" w14:textId="75A2D948" w:rsidR="00313A5B" w:rsidRDefault="00313A5B" w:rsidP="00624BBF">
      <w:pPr>
        <w:keepNext/>
        <w:rPr>
          <w:i/>
          <w:iCs/>
        </w:rPr>
      </w:pPr>
      <w:r>
        <w:tab/>
      </w:r>
      <w:r>
        <w:rPr>
          <w:i/>
          <w:iCs/>
        </w:rPr>
        <w:t>“2.</w:t>
      </w:r>
      <w:r>
        <w:rPr>
          <w:i/>
          <w:iCs/>
        </w:rPr>
        <w:tab/>
      </w:r>
      <w:r w:rsidRPr="002D5AA3">
        <w:rPr>
          <w:b/>
          <w:bCs/>
          <w:i/>
          <w:iCs/>
        </w:rPr>
        <w:t>Cession and Continuing Covering Security</w:t>
      </w:r>
    </w:p>
    <w:p w14:paraId="4CE652B7" w14:textId="09D2FE2A" w:rsidR="003741A1" w:rsidRDefault="00313A5B" w:rsidP="002D5AA3">
      <w:pPr>
        <w:ind w:left="3022" w:hanging="3022"/>
        <w:rPr>
          <w:i/>
          <w:iCs/>
        </w:rPr>
      </w:pPr>
      <w:r>
        <w:rPr>
          <w:i/>
          <w:iCs/>
        </w:rPr>
        <w:tab/>
      </w:r>
      <w:r w:rsidR="003741A1">
        <w:rPr>
          <w:i/>
          <w:iCs/>
        </w:rPr>
        <w:tab/>
      </w:r>
      <w:r>
        <w:rPr>
          <w:i/>
          <w:iCs/>
        </w:rPr>
        <w:t>2.1</w:t>
      </w:r>
      <w:r>
        <w:rPr>
          <w:i/>
          <w:iCs/>
        </w:rPr>
        <w:tab/>
      </w:r>
      <w:r w:rsidRPr="002D5AA3">
        <w:rPr>
          <w:b/>
          <w:bCs/>
          <w:i/>
          <w:iCs/>
        </w:rPr>
        <w:t>Security</w:t>
      </w:r>
      <w:r>
        <w:rPr>
          <w:i/>
          <w:iCs/>
        </w:rPr>
        <w:t xml:space="preserve"> – </w:t>
      </w:r>
      <w:r w:rsidR="00AE6642">
        <w:rPr>
          <w:i/>
          <w:iCs/>
        </w:rPr>
        <w:t>A</w:t>
      </w:r>
      <w:r>
        <w:rPr>
          <w:i/>
          <w:iCs/>
        </w:rPr>
        <w:t xml:space="preserve">s security for the proper and timeous performance and discharge by the Cedent of all the Cedent’s obligations, indebtedness and liabilities of any nature whatsoever and from </w:t>
      </w:r>
      <w:r w:rsidR="003741A1">
        <w:rPr>
          <w:i/>
          <w:iCs/>
        </w:rPr>
        <w:t>whatsoever cause and howsoever arising whether such indebtedness be a direct, indirect or contingent liability and whether any debt or liability has matured or not and whether such indebtedness be incurred by the Cedent, or jointly with others or which the Cedent has to FRB, now at any time (hereinafter “</w:t>
      </w:r>
      <w:r w:rsidR="009523EA" w:rsidRPr="009523EA">
        <w:rPr>
          <w:b/>
          <w:bCs/>
          <w:i/>
          <w:iCs/>
        </w:rPr>
        <w:t>Obligations</w:t>
      </w:r>
      <w:r w:rsidR="003741A1">
        <w:rPr>
          <w:i/>
          <w:iCs/>
        </w:rPr>
        <w:t>"), the Cedent hereby cedes and pledges in favour of FRB as a first-ranking security cession and pledge all the Ceded Interests, which cession and pledge FRB hereby accepts.</w:t>
      </w:r>
    </w:p>
    <w:p w14:paraId="24254DE6" w14:textId="63F33EBD" w:rsidR="00313A5B" w:rsidRPr="002D5AA3" w:rsidRDefault="003741A1" w:rsidP="002D5AA3">
      <w:pPr>
        <w:ind w:left="3022" w:hanging="3022"/>
        <w:rPr>
          <w:i/>
          <w:iCs/>
        </w:rPr>
      </w:pPr>
      <w:r>
        <w:rPr>
          <w:i/>
          <w:iCs/>
        </w:rPr>
        <w:tab/>
      </w:r>
      <w:r>
        <w:rPr>
          <w:i/>
          <w:iCs/>
        </w:rPr>
        <w:tab/>
        <w:t>2.2</w:t>
      </w:r>
      <w:r>
        <w:rPr>
          <w:i/>
          <w:iCs/>
        </w:rPr>
        <w:tab/>
      </w:r>
      <w:r w:rsidRPr="002D5AA3">
        <w:rPr>
          <w:b/>
          <w:bCs/>
          <w:i/>
          <w:iCs/>
        </w:rPr>
        <w:t>Continuing Cover</w:t>
      </w:r>
      <w:r>
        <w:rPr>
          <w:i/>
          <w:iCs/>
        </w:rPr>
        <w:t xml:space="preserve"> – This Cession shall operate as a continuing covering security in favour of FRB for all the Obligations until FRB notifies the Cedent in writing that the Cession is cancelled.  This Cession document shall remain the property of FRB, even after cancellation and shall not be given to the Cedent.”    </w:t>
      </w:r>
    </w:p>
    <w:p w14:paraId="0ACAF4BA" w14:textId="3EB8FA9B" w:rsidR="002354B8" w:rsidRDefault="00E2631D" w:rsidP="00E2631D">
      <w:pPr>
        <w:pStyle w:val="Heading1"/>
        <w:numPr>
          <w:ilvl w:val="0"/>
          <w:numId w:val="0"/>
        </w:numPr>
        <w:tabs>
          <w:tab w:val="left" w:pos="862"/>
        </w:tabs>
        <w:ind w:left="862" w:hanging="862"/>
      </w:pPr>
      <w:r>
        <w:lastRenderedPageBreak/>
        <w:t>[30]</w:t>
      </w:r>
      <w:r>
        <w:tab/>
      </w:r>
      <w:r w:rsidR="009523EA">
        <w:t xml:space="preserve">The </w:t>
      </w:r>
      <w:r w:rsidR="006D5CD5" w:rsidRPr="006C3A1F">
        <w:rPr>
          <w:i/>
          <w:iCs/>
        </w:rPr>
        <w:t>“</w:t>
      </w:r>
      <w:r w:rsidR="009523EA" w:rsidRPr="006C3A1F">
        <w:rPr>
          <w:i/>
          <w:iCs/>
        </w:rPr>
        <w:t>ceded interests</w:t>
      </w:r>
      <w:r w:rsidR="006D5CD5" w:rsidRPr="006C3A1F">
        <w:rPr>
          <w:i/>
          <w:iCs/>
        </w:rPr>
        <w:t>”</w:t>
      </w:r>
      <w:r w:rsidR="009523EA">
        <w:t xml:space="preserve"> </w:t>
      </w:r>
      <w:r w:rsidR="009D3328">
        <w:t>are</w:t>
      </w:r>
      <w:r w:rsidR="009523EA">
        <w:t xml:space="preserve"> defined</w:t>
      </w:r>
      <w:r w:rsidR="006D5CD5">
        <w:t xml:space="preserve"> in the </w:t>
      </w:r>
      <w:r w:rsidR="00DC4F94">
        <w:t>C</w:t>
      </w:r>
      <w:r w:rsidR="006D5CD5">
        <w:t>ession agreement</w:t>
      </w:r>
      <w:r w:rsidR="009523EA">
        <w:t xml:space="preserve"> as follows</w:t>
      </w:r>
      <w:r w:rsidR="006D5CD5">
        <w:t xml:space="preserve"> </w:t>
      </w:r>
      <w:r w:rsidR="007212B7">
        <w:t>:</w:t>
      </w:r>
    </w:p>
    <w:p w14:paraId="65033E28" w14:textId="4BFB9DED" w:rsidR="00E46D4C" w:rsidRDefault="00E46D4C" w:rsidP="00E46D4C">
      <w:pPr>
        <w:ind w:left="1871" w:hanging="1871"/>
        <w:rPr>
          <w:i/>
          <w:iCs/>
        </w:rPr>
      </w:pPr>
      <w:r>
        <w:tab/>
      </w:r>
      <w:r>
        <w:rPr>
          <w:i/>
          <w:iCs/>
        </w:rPr>
        <w:t>“1.2.2</w:t>
      </w:r>
      <w:r>
        <w:rPr>
          <w:i/>
          <w:iCs/>
        </w:rPr>
        <w:tab/>
      </w:r>
      <w:r>
        <w:rPr>
          <w:b/>
          <w:bCs/>
          <w:i/>
          <w:iCs/>
        </w:rPr>
        <w:t xml:space="preserve">“Ceded interests” </w:t>
      </w:r>
      <w:r>
        <w:rPr>
          <w:i/>
          <w:iCs/>
        </w:rPr>
        <w:t xml:space="preserve">– </w:t>
      </w:r>
      <w:r w:rsidR="00AE6642">
        <w:rPr>
          <w:i/>
          <w:iCs/>
        </w:rPr>
        <w:t>a</w:t>
      </w:r>
      <w:r>
        <w:rPr>
          <w:i/>
          <w:iCs/>
        </w:rPr>
        <w:t>ll the Cedent’s present and future rights, title and interest in and to the Book Debts, Foreign Currency Transactions, Goods, Goods in Transit Policy, Loan Accounts, Marine Insurance Open Cargo Policy, Purchase Orders, Sale Orders, including:</w:t>
      </w:r>
    </w:p>
    <w:p w14:paraId="5C523655" w14:textId="77233C8F" w:rsidR="00E46D4C" w:rsidRDefault="00E46D4C" w:rsidP="00E46D4C">
      <w:pPr>
        <w:ind w:left="1871" w:hanging="1871"/>
        <w:rPr>
          <w:i/>
          <w:iCs/>
        </w:rPr>
      </w:pPr>
      <w:r>
        <w:rPr>
          <w:i/>
          <w:iCs/>
        </w:rPr>
        <w:tab/>
      </w:r>
      <w:r>
        <w:rPr>
          <w:i/>
          <w:iCs/>
        </w:rPr>
        <w:tab/>
        <w:t>1.2.2.1</w:t>
      </w:r>
      <w:r>
        <w:rPr>
          <w:i/>
          <w:iCs/>
        </w:rPr>
        <w:tab/>
        <w:t>any security securing such rights/goods;</w:t>
      </w:r>
      <w:r w:rsidR="004B0B17">
        <w:rPr>
          <w:i/>
          <w:iCs/>
        </w:rPr>
        <w:t xml:space="preserve"> </w:t>
      </w:r>
      <w:r w:rsidR="00AE6642">
        <w:rPr>
          <w:i/>
          <w:iCs/>
        </w:rPr>
        <w:t>and</w:t>
      </w:r>
    </w:p>
    <w:p w14:paraId="3B0EE1E5" w14:textId="5DFBF5C8" w:rsidR="006D5CD5" w:rsidRPr="006D5CD5" w:rsidRDefault="00E46D4C" w:rsidP="006D5CD5">
      <w:pPr>
        <w:ind w:left="3022" w:hanging="3022"/>
        <w:rPr>
          <w:i/>
          <w:iCs/>
        </w:rPr>
      </w:pPr>
      <w:r>
        <w:rPr>
          <w:i/>
          <w:iCs/>
        </w:rPr>
        <w:tab/>
      </w:r>
      <w:r>
        <w:rPr>
          <w:i/>
          <w:iCs/>
        </w:rPr>
        <w:tab/>
        <w:t>1.2.2.2</w:t>
      </w:r>
      <w:r>
        <w:rPr>
          <w:i/>
          <w:iCs/>
        </w:rPr>
        <w:tab/>
        <w:t>all rights of action and recovery (</w:t>
      </w:r>
      <w:r w:rsidR="00AE6642">
        <w:rPr>
          <w:i/>
          <w:iCs/>
        </w:rPr>
        <w:t>……)</w:t>
      </w:r>
      <w:r>
        <w:rPr>
          <w:i/>
          <w:iCs/>
        </w:rPr>
        <w:t>, and the proceeds on the disposal or realisation of any rights/goods …”</w:t>
      </w:r>
    </w:p>
    <w:p w14:paraId="5C16F6B1" w14:textId="117B3550" w:rsidR="006D5CD5" w:rsidRDefault="00E2631D" w:rsidP="00E2631D">
      <w:pPr>
        <w:pStyle w:val="Heading1"/>
        <w:numPr>
          <w:ilvl w:val="0"/>
          <w:numId w:val="0"/>
        </w:numPr>
        <w:tabs>
          <w:tab w:val="left" w:pos="862"/>
        </w:tabs>
        <w:ind w:left="862" w:hanging="862"/>
      </w:pPr>
      <w:r>
        <w:t>[31]</w:t>
      </w:r>
      <w:r>
        <w:tab/>
      </w:r>
      <w:r w:rsidR="006D5CD5">
        <w:t xml:space="preserve">Goods are defined in the </w:t>
      </w:r>
      <w:r w:rsidR="00DC4F94">
        <w:t>C</w:t>
      </w:r>
      <w:r w:rsidR="006D5CD5">
        <w:t>ession agreement as</w:t>
      </w:r>
      <w:r w:rsidR="00AE6642">
        <w:t xml:space="preserve"> :</w:t>
      </w:r>
      <w:r w:rsidR="006D5CD5">
        <w:t xml:space="preserve"> </w:t>
      </w:r>
    </w:p>
    <w:p w14:paraId="7802D703" w14:textId="3D027C18" w:rsidR="006D5CD5" w:rsidRDefault="006D5CD5" w:rsidP="006D5CD5">
      <w:pPr>
        <w:ind w:left="3022" w:hanging="1151"/>
        <w:rPr>
          <w:i/>
          <w:iCs/>
        </w:rPr>
      </w:pPr>
      <w:r>
        <w:rPr>
          <w:i/>
          <w:iCs/>
        </w:rPr>
        <w:t>“1.2.8</w:t>
      </w:r>
      <w:r>
        <w:rPr>
          <w:i/>
          <w:iCs/>
        </w:rPr>
        <w:tab/>
      </w:r>
      <w:r>
        <w:rPr>
          <w:b/>
          <w:bCs/>
          <w:i/>
          <w:iCs/>
        </w:rPr>
        <w:t>Goods</w:t>
      </w:r>
      <w:r>
        <w:rPr>
          <w:i/>
          <w:iCs/>
        </w:rPr>
        <w:t xml:space="preserve"> – Sniper Rifles and Accessories and all other goods, stock and merchandise financed by FRB now and in future (including whether in transit or storage</w:t>
      </w:r>
      <w:r w:rsidRPr="006D5CD5">
        <w:rPr>
          <w:i/>
          <w:iCs/>
        </w:rPr>
        <w:t xml:space="preserve"> </w:t>
      </w:r>
      <w:r>
        <w:rPr>
          <w:i/>
          <w:iCs/>
        </w:rPr>
        <w:t>or under collateral management</w:t>
      </w:r>
      <w:r w:rsidR="00AE6642">
        <w:rPr>
          <w:i/>
          <w:iCs/>
        </w:rPr>
        <w:t>)</w:t>
      </w:r>
      <w:r>
        <w:rPr>
          <w:i/>
          <w:iCs/>
        </w:rPr>
        <w:t>.”</w:t>
      </w:r>
      <w:r>
        <w:rPr>
          <w:i/>
          <w:iCs/>
        </w:rPr>
        <w:tab/>
      </w:r>
    </w:p>
    <w:p w14:paraId="517DDCC6" w14:textId="00BA988E" w:rsidR="006D5CD5" w:rsidRDefault="00E2631D" w:rsidP="00E2631D">
      <w:pPr>
        <w:pStyle w:val="Heading1"/>
        <w:numPr>
          <w:ilvl w:val="0"/>
          <w:numId w:val="0"/>
        </w:numPr>
        <w:tabs>
          <w:tab w:val="left" w:pos="862"/>
        </w:tabs>
        <w:ind w:left="862" w:hanging="862"/>
      </w:pPr>
      <w:r>
        <w:t>[32]</w:t>
      </w:r>
      <w:r>
        <w:tab/>
      </w:r>
      <w:r w:rsidR="003D6404">
        <w:t xml:space="preserve">In fact </w:t>
      </w:r>
      <w:r w:rsidR="006D5CD5">
        <w:t>each ceded right</w:t>
      </w:r>
      <w:r w:rsidR="003D6404">
        <w:t xml:space="preserve">, in </w:t>
      </w:r>
      <w:r w:rsidR="007669DB">
        <w:t>clause</w:t>
      </w:r>
      <w:r w:rsidR="003D6404">
        <w:t xml:space="preserve"> 1.2.2,</w:t>
      </w:r>
      <w:r w:rsidR="006D5CD5">
        <w:t xml:space="preserve"> </w:t>
      </w:r>
      <w:r w:rsidR="009D3328">
        <w:t>i</w:t>
      </w:r>
      <w:r w:rsidR="006D5CD5">
        <w:t xml:space="preserve">s specifically defined in the </w:t>
      </w:r>
      <w:r w:rsidR="00DC4F94">
        <w:t>C</w:t>
      </w:r>
      <w:r w:rsidR="006D5CD5">
        <w:t xml:space="preserve">ession agreement, i.e. </w:t>
      </w:r>
      <w:r w:rsidR="003D6404">
        <w:t>B</w:t>
      </w:r>
      <w:r w:rsidR="006D5CD5">
        <w:t xml:space="preserve">ook </w:t>
      </w:r>
      <w:r w:rsidR="003D6404">
        <w:t>D</w:t>
      </w:r>
      <w:r w:rsidR="006D5CD5">
        <w:t xml:space="preserve">ebts, </w:t>
      </w:r>
      <w:r w:rsidR="003D6404">
        <w:t>F</w:t>
      </w:r>
      <w:r w:rsidR="006D5CD5">
        <w:t xml:space="preserve">oreign </w:t>
      </w:r>
      <w:r w:rsidR="003D6404">
        <w:t>C</w:t>
      </w:r>
      <w:r w:rsidR="006D5CD5">
        <w:t xml:space="preserve">urrency </w:t>
      </w:r>
      <w:r w:rsidR="003D6404">
        <w:t>T</w:t>
      </w:r>
      <w:r w:rsidR="006D5CD5">
        <w:t xml:space="preserve">ransactions, </w:t>
      </w:r>
      <w:r w:rsidR="003D6404">
        <w:t>G</w:t>
      </w:r>
      <w:r w:rsidR="006D5CD5">
        <w:t>oods (</w:t>
      </w:r>
      <w:r w:rsidR="00B61B10">
        <w:t xml:space="preserve"> </w:t>
      </w:r>
      <w:r w:rsidR="006D5CD5">
        <w:t xml:space="preserve">as mentioned), </w:t>
      </w:r>
      <w:r w:rsidR="003D6404">
        <w:t>G</w:t>
      </w:r>
      <w:r w:rsidR="006D5CD5">
        <w:t xml:space="preserve">oods in </w:t>
      </w:r>
      <w:r w:rsidR="003D6404">
        <w:t>T</w:t>
      </w:r>
      <w:r w:rsidR="006D5CD5">
        <w:t xml:space="preserve">ransit </w:t>
      </w:r>
      <w:r w:rsidR="003D6404">
        <w:t>P</w:t>
      </w:r>
      <w:r w:rsidR="006D5CD5">
        <w:t xml:space="preserve">olicy, </w:t>
      </w:r>
      <w:r w:rsidR="003D6404">
        <w:t>L</w:t>
      </w:r>
      <w:r w:rsidR="006D5CD5">
        <w:t xml:space="preserve">oan </w:t>
      </w:r>
      <w:r w:rsidR="003D6404">
        <w:t>A</w:t>
      </w:r>
      <w:r w:rsidR="006D5CD5">
        <w:t xml:space="preserve">ccounts, Marine Insurance Open Cargo Policy, </w:t>
      </w:r>
      <w:r w:rsidR="003D6404">
        <w:t>P</w:t>
      </w:r>
      <w:r w:rsidR="006D5CD5">
        <w:t xml:space="preserve">urchase orders and </w:t>
      </w:r>
      <w:r w:rsidR="003D6404">
        <w:t>S</w:t>
      </w:r>
      <w:r w:rsidR="006D5CD5">
        <w:t>ales orders.</w:t>
      </w:r>
      <w:r w:rsidR="006D5CD5">
        <w:rPr>
          <w:rStyle w:val="FootnoteReference"/>
        </w:rPr>
        <w:footnoteReference w:id="11"/>
      </w:r>
      <w:r w:rsidR="006D5CD5">
        <w:t xml:space="preserve">  </w:t>
      </w:r>
    </w:p>
    <w:p w14:paraId="21C642C7" w14:textId="04A673F1" w:rsidR="00AE6642" w:rsidRDefault="00E2631D" w:rsidP="00E2631D">
      <w:pPr>
        <w:pStyle w:val="Heading1"/>
        <w:numPr>
          <w:ilvl w:val="0"/>
          <w:numId w:val="0"/>
        </w:numPr>
        <w:tabs>
          <w:tab w:val="left" w:pos="862"/>
        </w:tabs>
        <w:ind w:left="862" w:hanging="862"/>
      </w:pPr>
      <w:r>
        <w:t>[33]</w:t>
      </w:r>
      <w:r>
        <w:tab/>
      </w:r>
      <w:r w:rsidR="00AE6642">
        <w:t xml:space="preserve">Include is defined in the </w:t>
      </w:r>
      <w:r w:rsidR="00DC4F94">
        <w:t>C</w:t>
      </w:r>
      <w:r w:rsidR="00AE6642">
        <w:t>ession agreement as:</w:t>
      </w:r>
    </w:p>
    <w:p w14:paraId="00CD2846" w14:textId="7143CD2A" w:rsidR="00AE6642" w:rsidRPr="00AE6642" w:rsidRDefault="00AE6642" w:rsidP="000174B7">
      <w:pPr>
        <w:ind w:left="1871" w:hanging="1869"/>
        <w:rPr>
          <w:i/>
          <w:iCs/>
        </w:rPr>
      </w:pPr>
      <w:r>
        <w:tab/>
      </w:r>
      <w:r w:rsidR="000174B7">
        <w:tab/>
      </w:r>
      <w:r>
        <w:t>“</w:t>
      </w:r>
      <w:r w:rsidRPr="00AE6642">
        <w:rPr>
          <w:i/>
          <w:iCs/>
        </w:rPr>
        <w:t xml:space="preserve">include – The words </w:t>
      </w:r>
      <w:r>
        <w:rPr>
          <w:i/>
          <w:iCs/>
        </w:rPr>
        <w:t>‘</w:t>
      </w:r>
      <w:r w:rsidRPr="00AE6642">
        <w:rPr>
          <w:i/>
          <w:iCs/>
        </w:rPr>
        <w:t>include</w:t>
      </w:r>
      <w:r>
        <w:rPr>
          <w:i/>
          <w:iCs/>
        </w:rPr>
        <w:t>’</w:t>
      </w:r>
      <w:r w:rsidRPr="00AE6642">
        <w:rPr>
          <w:i/>
          <w:iCs/>
        </w:rPr>
        <w:t xml:space="preserve"> and </w:t>
      </w:r>
      <w:r>
        <w:rPr>
          <w:i/>
          <w:iCs/>
        </w:rPr>
        <w:t>‘</w:t>
      </w:r>
      <w:r w:rsidRPr="00AE6642">
        <w:rPr>
          <w:i/>
          <w:iCs/>
        </w:rPr>
        <w:t>includin</w:t>
      </w:r>
      <w:r>
        <w:rPr>
          <w:i/>
          <w:iCs/>
        </w:rPr>
        <w:t>g’</w:t>
      </w:r>
      <w:r w:rsidRPr="00AE6642">
        <w:rPr>
          <w:i/>
          <w:iCs/>
        </w:rPr>
        <w:t xml:space="preserve"> mean</w:t>
      </w:r>
      <w:r>
        <w:rPr>
          <w:i/>
          <w:iCs/>
        </w:rPr>
        <w:t>’</w:t>
      </w:r>
      <w:r w:rsidRPr="00AE6642">
        <w:rPr>
          <w:i/>
          <w:iCs/>
        </w:rPr>
        <w:t xml:space="preserve"> include without limitation</w:t>
      </w:r>
      <w:r>
        <w:rPr>
          <w:i/>
          <w:iCs/>
        </w:rPr>
        <w:t>’</w:t>
      </w:r>
      <w:r w:rsidRPr="00AE6642">
        <w:rPr>
          <w:i/>
          <w:iCs/>
        </w:rPr>
        <w:t xml:space="preserve"> and </w:t>
      </w:r>
      <w:r>
        <w:rPr>
          <w:i/>
          <w:iCs/>
        </w:rPr>
        <w:t>‘</w:t>
      </w:r>
      <w:r w:rsidRPr="00AE6642">
        <w:rPr>
          <w:i/>
          <w:iCs/>
        </w:rPr>
        <w:t xml:space="preserve"> including without limitation</w:t>
      </w:r>
      <w:r>
        <w:rPr>
          <w:i/>
          <w:iCs/>
        </w:rPr>
        <w:t>’</w:t>
      </w:r>
      <w:r w:rsidRPr="00AE6642">
        <w:rPr>
          <w:i/>
          <w:iCs/>
        </w:rPr>
        <w:t xml:space="preserve">. The use of </w:t>
      </w:r>
      <w:r w:rsidRPr="00AE6642">
        <w:rPr>
          <w:i/>
          <w:iCs/>
        </w:rPr>
        <w:lastRenderedPageBreak/>
        <w:t xml:space="preserve">the words </w:t>
      </w:r>
      <w:r>
        <w:rPr>
          <w:i/>
          <w:iCs/>
        </w:rPr>
        <w:t>‘</w:t>
      </w:r>
      <w:r w:rsidRPr="00AE6642">
        <w:rPr>
          <w:i/>
          <w:iCs/>
        </w:rPr>
        <w:t>include</w:t>
      </w:r>
      <w:r>
        <w:rPr>
          <w:i/>
          <w:iCs/>
        </w:rPr>
        <w:t>’</w:t>
      </w:r>
      <w:r w:rsidRPr="00AE6642">
        <w:rPr>
          <w:i/>
          <w:iCs/>
        </w:rPr>
        <w:t xml:space="preserve"> and  </w:t>
      </w:r>
      <w:r>
        <w:rPr>
          <w:i/>
          <w:iCs/>
        </w:rPr>
        <w:t>‘</w:t>
      </w:r>
      <w:r w:rsidRPr="00AE6642">
        <w:rPr>
          <w:i/>
          <w:iCs/>
        </w:rPr>
        <w:t>includin</w:t>
      </w:r>
      <w:r>
        <w:rPr>
          <w:i/>
          <w:iCs/>
        </w:rPr>
        <w:t>g’</w:t>
      </w:r>
      <w:r w:rsidRPr="00AE6642">
        <w:rPr>
          <w:i/>
          <w:iCs/>
        </w:rPr>
        <w:t xml:space="preserve"> followed by a specific example or examples shall not be construed as limiting the meaning of the general wording preceding it.”</w:t>
      </w:r>
    </w:p>
    <w:p w14:paraId="3510D2EC" w14:textId="77777777" w:rsidR="006D5CD5" w:rsidRDefault="006D5CD5" w:rsidP="006D5CD5">
      <w:pPr>
        <w:keepNext/>
        <w:rPr>
          <w:b/>
          <w:bCs/>
          <w:u w:val="single"/>
        </w:rPr>
      </w:pPr>
      <w:r>
        <w:rPr>
          <w:b/>
          <w:bCs/>
          <w:u w:val="single"/>
        </w:rPr>
        <w:t>THE LAW</w:t>
      </w:r>
    </w:p>
    <w:p w14:paraId="617873C9" w14:textId="24023B37" w:rsidR="006D5CD5" w:rsidRDefault="00E2631D" w:rsidP="00E2631D">
      <w:pPr>
        <w:pStyle w:val="Heading1"/>
        <w:numPr>
          <w:ilvl w:val="0"/>
          <w:numId w:val="0"/>
        </w:numPr>
        <w:tabs>
          <w:tab w:val="left" w:pos="862"/>
        </w:tabs>
        <w:ind w:left="862" w:hanging="862"/>
      </w:pPr>
      <w:r>
        <w:t>[34]</w:t>
      </w:r>
      <w:r>
        <w:tab/>
      </w:r>
      <w:r w:rsidR="006D5CD5">
        <w:t xml:space="preserve">The law on the interpretation of contracts commences with </w:t>
      </w:r>
      <w:r w:rsidR="006D5CD5">
        <w:rPr>
          <w:b/>
          <w:bCs/>
          <w:i/>
          <w:iCs/>
        </w:rPr>
        <w:t xml:space="preserve">Natal Joint Municipal Pension Fund v Endumeni </w:t>
      </w:r>
      <w:r w:rsidR="006D5CD5" w:rsidRPr="00E46D4C">
        <w:rPr>
          <w:b/>
          <w:bCs/>
          <w:i/>
          <w:iCs/>
        </w:rPr>
        <w:t>Municipality</w:t>
      </w:r>
      <w:r w:rsidR="006D5CD5" w:rsidRPr="00271E6A">
        <w:rPr>
          <w:rStyle w:val="FootnoteReference"/>
        </w:rPr>
        <w:footnoteReference w:id="12"/>
      </w:r>
      <w:r w:rsidR="006D5CD5" w:rsidRPr="00271E6A">
        <w:t xml:space="preserve"> where</w:t>
      </w:r>
      <w:r w:rsidR="006D5CD5">
        <w:t xml:space="preserve"> Wallis JA said the following in regard to the construction of a document:</w:t>
      </w:r>
    </w:p>
    <w:p w14:paraId="64FECDDE" w14:textId="77777777" w:rsidR="006D5CD5" w:rsidRDefault="006D5CD5" w:rsidP="006D5CD5">
      <w:pPr>
        <w:ind w:left="1871" w:hanging="1871"/>
        <w:rPr>
          <w:i/>
          <w:iCs/>
        </w:rPr>
      </w:pPr>
      <w:r>
        <w:tab/>
      </w:r>
      <w:r>
        <w:tab/>
      </w:r>
      <w:r>
        <w:rPr>
          <w:i/>
          <w:iCs/>
        </w:rPr>
        <w:t>“</w:t>
      </w:r>
      <w:r w:rsidRPr="00271E6A">
        <w:rPr>
          <w:i/>
          <w:iCs/>
        </w:rPr>
        <w:t>The present state of the law can be expressed as follows</w:t>
      </w:r>
      <w:r>
        <w:rPr>
          <w:i/>
          <w:iCs/>
        </w:rPr>
        <w:t>:</w:t>
      </w:r>
      <w:r w:rsidRPr="00271E6A">
        <w:rPr>
          <w:i/>
          <w:iCs/>
        </w:rPr>
        <w:t xml:space="preserve"> 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w:t>
      </w:r>
      <w:r>
        <w:rPr>
          <w:i/>
          <w:iCs/>
        </w:rPr>
        <w:t xml:space="preserve"> </w:t>
      </w:r>
      <w:r w:rsidRPr="00271E6A">
        <w:rPr>
          <w:i/>
          <w:iCs/>
        </w:rPr>
        <w:t>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w:t>
      </w:r>
      <w:r>
        <w:rPr>
          <w:i/>
          <w:iCs/>
        </w:rPr>
        <w:t>”</w:t>
      </w:r>
    </w:p>
    <w:p w14:paraId="1E2CB46A" w14:textId="77777777" w:rsidR="006D5CD5" w:rsidRDefault="006D5CD5" w:rsidP="006D5CD5">
      <w:pPr>
        <w:ind w:left="1871" w:hanging="1871"/>
      </w:pPr>
      <w:r>
        <w:rPr>
          <w:i/>
          <w:iCs/>
        </w:rPr>
        <w:tab/>
      </w:r>
      <w:r>
        <w:rPr>
          <w:i/>
          <w:iCs/>
        </w:rPr>
        <w:tab/>
      </w:r>
      <w:r>
        <w:t>And further:</w:t>
      </w:r>
    </w:p>
    <w:p w14:paraId="3411F62A" w14:textId="77777777" w:rsidR="006D5CD5" w:rsidRDefault="006D5CD5" w:rsidP="006D5CD5">
      <w:pPr>
        <w:ind w:left="1871" w:hanging="1871"/>
        <w:rPr>
          <w:i/>
          <w:iCs/>
        </w:rPr>
      </w:pPr>
      <w:r>
        <w:tab/>
      </w:r>
      <w:r>
        <w:tab/>
      </w:r>
      <w:r>
        <w:rPr>
          <w:i/>
          <w:iCs/>
        </w:rPr>
        <w:t>“</w:t>
      </w:r>
      <w:r w:rsidRPr="00271E6A">
        <w:rPr>
          <w:i/>
          <w:iCs/>
        </w:rPr>
        <w:t xml:space="preserve">Unlike the trial judge I have deliberately avoided using the conventional description of this process as one of ascertaining the intention of the legislature or the draftsman, nor would I use its counterpart in a contractual setting, ‘the intention of the contracting parties’, because these expressions are misnomers, insofar as they convey or are understood to convey that </w:t>
      </w:r>
      <w:r w:rsidRPr="00271E6A">
        <w:rPr>
          <w:i/>
          <w:iCs/>
        </w:rPr>
        <w:lastRenderedPageBreak/>
        <w:t xml:space="preserve">interpretation involves an enquiry into the mind of the legislature </w:t>
      </w:r>
      <w:r>
        <w:rPr>
          <w:i/>
          <w:iCs/>
        </w:rPr>
        <w:t>and</w:t>
      </w:r>
      <w:r w:rsidRPr="00271E6A">
        <w:rPr>
          <w:i/>
          <w:iCs/>
        </w:rPr>
        <w:t xml:space="preserve"> the contracting parties. The reason is that the enquiry is restricted to ascertaining the meaning of the language of the provision itself.</w:t>
      </w:r>
      <w:r>
        <w:rPr>
          <w:i/>
          <w:iCs/>
        </w:rPr>
        <w:t>”</w:t>
      </w:r>
      <w:r w:rsidRPr="00FE566D">
        <w:rPr>
          <w:rStyle w:val="FootnoteReference"/>
        </w:rPr>
        <w:footnoteReference w:id="13"/>
      </w:r>
    </w:p>
    <w:p w14:paraId="301D70D1" w14:textId="78D87B61" w:rsidR="006D5CD5" w:rsidRDefault="00E2631D" w:rsidP="00E2631D">
      <w:pPr>
        <w:pStyle w:val="Heading1"/>
        <w:numPr>
          <w:ilvl w:val="0"/>
          <w:numId w:val="0"/>
        </w:numPr>
        <w:tabs>
          <w:tab w:val="left" w:pos="862"/>
        </w:tabs>
        <w:ind w:left="862" w:hanging="862"/>
      </w:pPr>
      <w:r>
        <w:t>[35]</w:t>
      </w:r>
      <w:r>
        <w:tab/>
      </w:r>
      <w:r w:rsidR="006D5CD5">
        <w:t xml:space="preserve">In </w:t>
      </w:r>
      <w:r w:rsidR="006D5CD5" w:rsidRPr="00FE566D">
        <w:rPr>
          <w:b/>
          <w:bCs/>
          <w:i/>
          <w:iCs/>
        </w:rPr>
        <w:t>Shakawa Hunting &amp; Game Lodge (Pty) Ltd</w:t>
      </w:r>
      <w:r w:rsidR="006D5CD5">
        <w:rPr>
          <w:b/>
          <w:bCs/>
          <w:i/>
          <w:iCs/>
        </w:rPr>
        <w:t xml:space="preserve"> v </w:t>
      </w:r>
      <w:r w:rsidR="006D5CD5" w:rsidRPr="00FE566D">
        <w:rPr>
          <w:b/>
          <w:bCs/>
          <w:i/>
          <w:iCs/>
        </w:rPr>
        <w:t>Askari Adventures CC</w:t>
      </w:r>
      <w:r w:rsidR="006D5CD5" w:rsidRPr="00FE566D">
        <w:t>:</w:t>
      </w:r>
      <w:r w:rsidR="006D5CD5" w:rsidRPr="00FE566D">
        <w:rPr>
          <w:rStyle w:val="FootnoteReference"/>
        </w:rPr>
        <w:footnoteReference w:id="14"/>
      </w:r>
    </w:p>
    <w:p w14:paraId="747DC74E" w14:textId="77777777" w:rsidR="006D5CD5" w:rsidRPr="00FE566D" w:rsidRDefault="006D5CD5" w:rsidP="006D5CD5">
      <w:pPr>
        <w:ind w:left="1871" w:hanging="1871"/>
        <w:rPr>
          <w:i/>
          <w:iCs/>
        </w:rPr>
      </w:pPr>
      <w:r>
        <w:tab/>
      </w:r>
      <w:r>
        <w:tab/>
      </w:r>
      <w:r>
        <w:rPr>
          <w:i/>
          <w:iCs/>
        </w:rPr>
        <w:t>“</w:t>
      </w:r>
      <w:r w:rsidRPr="00FE566D">
        <w:rPr>
          <w:i/>
          <w:iCs/>
        </w:rPr>
        <w:t>What was said in Endumeni Municipality regarding the expression ‘the intention of the parties’ is in line with what was expressed by Greenberg JA more than six decades ago in Worman v  Hughes &amp; others 1948 (3) SA 495 (A) at 505, namely:</w:t>
      </w:r>
    </w:p>
    <w:p w14:paraId="1854032F" w14:textId="77777777" w:rsidR="006D5CD5" w:rsidRPr="00FE566D" w:rsidRDefault="006D5CD5" w:rsidP="006D5CD5">
      <w:pPr>
        <w:ind w:left="1871" w:hanging="1871"/>
        <w:rPr>
          <w:i/>
          <w:iCs/>
        </w:rPr>
      </w:pPr>
      <w:r>
        <w:rPr>
          <w:i/>
          <w:iCs/>
        </w:rPr>
        <w:tab/>
      </w:r>
      <w:r>
        <w:rPr>
          <w:i/>
          <w:iCs/>
        </w:rPr>
        <w:tab/>
      </w:r>
      <w:r w:rsidRPr="00FE566D">
        <w:rPr>
          <w:i/>
          <w:iCs/>
        </w:rPr>
        <w:t>‘It must be borne in mind that in an action on a contract, the rule of interpretation is to ascertain, not what the parties’ intention was, but what the language used in the contract means</w:t>
      </w:r>
      <w:r>
        <w:rPr>
          <w:i/>
          <w:iCs/>
        </w:rPr>
        <w:t xml:space="preserve"> …</w:t>
      </w:r>
      <w:r w:rsidRPr="00FE566D">
        <w:rPr>
          <w:i/>
          <w:iCs/>
        </w:rPr>
        <w:t>’</w:t>
      </w:r>
    </w:p>
    <w:p w14:paraId="6A0AE1B0" w14:textId="77777777" w:rsidR="006D5CD5" w:rsidRDefault="006D5CD5" w:rsidP="006D5CD5">
      <w:pPr>
        <w:ind w:left="1871" w:hanging="1871"/>
        <w:rPr>
          <w:i/>
          <w:iCs/>
        </w:rPr>
      </w:pPr>
      <w:r>
        <w:rPr>
          <w:i/>
          <w:iCs/>
        </w:rPr>
        <w:tab/>
      </w:r>
      <w:r>
        <w:rPr>
          <w:i/>
          <w:iCs/>
        </w:rPr>
        <w:tab/>
      </w:r>
      <w:r w:rsidRPr="00FE566D">
        <w:rPr>
          <w:i/>
          <w:iCs/>
        </w:rPr>
        <w:t>It follows that the testimony of the parties to a written agreement as to what either of them may have had in mind at the time of the conclusion of the agreement is irrelevant for purposes of ascertaining the meaning of the words used in a particular clause.</w:t>
      </w:r>
      <w:r>
        <w:rPr>
          <w:i/>
          <w:iCs/>
        </w:rPr>
        <w:t>”</w:t>
      </w:r>
    </w:p>
    <w:p w14:paraId="3E80FEF2" w14:textId="286D0152" w:rsidR="006D5CD5" w:rsidRDefault="00E2631D" w:rsidP="00E2631D">
      <w:pPr>
        <w:pStyle w:val="Heading1"/>
        <w:numPr>
          <w:ilvl w:val="0"/>
          <w:numId w:val="0"/>
        </w:numPr>
        <w:tabs>
          <w:tab w:val="left" w:pos="862"/>
        </w:tabs>
        <w:ind w:left="862" w:hanging="862"/>
      </w:pPr>
      <w:r>
        <w:t>[36]</w:t>
      </w:r>
      <w:r>
        <w:tab/>
      </w:r>
      <w:r w:rsidR="006D5CD5">
        <w:t xml:space="preserve">Accordingly, in </w:t>
      </w:r>
      <w:r w:rsidR="006D5CD5">
        <w:rPr>
          <w:b/>
          <w:bCs/>
          <w:i/>
          <w:iCs/>
        </w:rPr>
        <w:t>Betterbridge (Pty) Ltd v Masilo and Others NNO</w:t>
      </w:r>
      <w:r w:rsidR="006D5CD5" w:rsidRPr="00F07A82">
        <w:rPr>
          <w:rStyle w:val="FootnoteReference"/>
        </w:rPr>
        <w:footnoteReference w:id="15"/>
      </w:r>
      <w:r w:rsidR="006D5CD5" w:rsidRPr="00F07A82">
        <w:t xml:space="preserve"> Unterhalter AJ</w:t>
      </w:r>
      <w:r w:rsidR="006D5CD5">
        <w:t xml:space="preserve"> summarised the enquiry into interpretation as </w:t>
      </w:r>
      <w:r w:rsidR="006D5CD5">
        <w:rPr>
          <w:i/>
          <w:iCs/>
        </w:rPr>
        <w:t>“a unitary endeavour requiring the consideration of text, context and purpose”</w:t>
      </w:r>
      <w:r w:rsidR="006D5CD5">
        <w:t xml:space="preserve">.  Furthermore, in </w:t>
      </w:r>
      <w:r w:rsidR="006D5CD5">
        <w:rPr>
          <w:b/>
          <w:bCs/>
          <w:i/>
          <w:iCs/>
        </w:rPr>
        <w:t xml:space="preserve">Capitec Bank Holdings and Another v Coral Lagoon </w:t>
      </w:r>
      <w:r w:rsidR="006D5CD5">
        <w:rPr>
          <w:b/>
          <w:bCs/>
          <w:i/>
          <w:iCs/>
        </w:rPr>
        <w:lastRenderedPageBreak/>
        <w:t>Investments 194 (Pty) Ltd and Others</w:t>
      </w:r>
      <w:r w:rsidR="006D5CD5" w:rsidRPr="002655A9">
        <w:rPr>
          <w:rStyle w:val="FootnoteReference"/>
        </w:rPr>
        <w:footnoteReference w:id="16"/>
      </w:r>
      <w:r w:rsidR="006D5CD5" w:rsidRPr="002655A9">
        <w:t xml:space="preserve"> it was said</w:t>
      </w:r>
      <w:r w:rsidR="006D5CD5">
        <w:t xml:space="preserve"> that:</w:t>
      </w:r>
    </w:p>
    <w:p w14:paraId="75C153DE" w14:textId="77777777" w:rsidR="006D5CD5" w:rsidRDefault="006D5CD5" w:rsidP="006D5CD5">
      <w:pPr>
        <w:ind w:left="1871" w:hanging="1871"/>
        <w:rPr>
          <w:i/>
          <w:iCs/>
        </w:rPr>
      </w:pPr>
      <w:r>
        <w:tab/>
      </w:r>
      <w:r>
        <w:tab/>
      </w:r>
      <w:r>
        <w:rPr>
          <w:i/>
          <w:iCs/>
        </w:rPr>
        <w:t>“</w:t>
      </w:r>
      <w:r w:rsidRPr="002655A9">
        <w:rPr>
          <w:i/>
          <w:iCs/>
        </w:rPr>
        <w:t>It is the language used, understood in the context in which it is used, and having regard to the purpose of the provision that constitutes the unitary exercise of interpretation. I would only add that the triad of text, context and purpose should not be used in a mechanical fashion. It is the relationship between the words used, the concepts expressed by those words and the place of the contested provision within the scheme of the agreement (or instrument) as a whole that constitutes the enterprise by recourse to which a coherent and salient interpretation is determined. As Endumeni emphasised, citing well-known cases, the inevitable point of departure is the language of the provision itself.</w:t>
      </w:r>
      <w:r>
        <w:rPr>
          <w:i/>
          <w:iCs/>
        </w:rPr>
        <w:t>”</w:t>
      </w:r>
    </w:p>
    <w:p w14:paraId="14BB5035" w14:textId="3E99AC1F" w:rsidR="006D5CD5" w:rsidRDefault="00E2631D" w:rsidP="00E2631D">
      <w:pPr>
        <w:pStyle w:val="Heading1"/>
        <w:numPr>
          <w:ilvl w:val="0"/>
          <w:numId w:val="0"/>
        </w:numPr>
        <w:tabs>
          <w:tab w:val="left" w:pos="862"/>
        </w:tabs>
        <w:ind w:left="862" w:hanging="862"/>
      </w:pPr>
      <w:r>
        <w:t>[37]</w:t>
      </w:r>
      <w:r>
        <w:tab/>
      </w:r>
      <w:r w:rsidR="006D5CD5">
        <w:t>As submitted to me by counsel for the liquidators, I need to consider the interrelation between the provision in issue and the rest of the document and have regard to the apparent purpose and scope of the provision, the nature and purpose of the contract and</w:t>
      </w:r>
      <w:r w:rsidR="00B61B10">
        <w:t>,</w:t>
      </w:r>
      <w:r w:rsidR="006D5CD5">
        <w:t xml:space="preserve"> relevant circumstances attendant upon </w:t>
      </w:r>
      <w:r w:rsidR="00B61B10">
        <w:t>con</w:t>
      </w:r>
      <w:r w:rsidR="006D5CD5">
        <w:t>clusion of the contract.</w:t>
      </w:r>
      <w:r w:rsidR="006D5CD5">
        <w:rPr>
          <w:rStyle w:val="FootnoteReference"/>
        </w:rPr>
        <w:footnoteReference w:id="17"/>
      </w:r>
      <w:r w:rsidR="006D5CD5">
        <w:t xml:space="preserve">  </w:t>
      </w:r>
    </w:p>
    <w:p w14:paraId="6885F5AA" w14:textId="200A1A24" w:rsidR="00321B67" w:rsidRDefault="00E2631D" w:rsidP="00E2631D">
      <w:pPr>
        <w:pStyle w:val="Heading1"/>
        <w:numPr>
          <w:ilvl w:val="0"/>
          <w:numId w:val="0"/>
        </w:numPr>
        <w:tabs>
          <w:tab w:val="left" w:pos="862"/>
        </w:tabs>
        <w:ind w:left="862" w:hanging="862"/>
      </w:pPr>
      <w:r>
        <w:t>[38]</w:t>
      </w:r>
      <w:r>
        <w:tab/>
      </w:r>
      <w:r w:rsidR="00321B67">
        <w:t xml:space="preserve"> A succinct synopsis of the approach to interpretation is also to be found in </w:t>
      </w:r>
      <w:r w:rsidR="00321B67">
        <w:rPr>
          <w:b/>
          <w:bCs/>
        </w:rPr>
        <w:t xml:space="preserve"> </w:t>
      </w:r>
      <w:r w:rsidR="00321B67">
        <w:rPr>
          <w:b/>
          <w:bCs/>
          <w:i/>
          <w:iCs/>
        </w:rPr>
        <w:t>Arnold v Britton</w:t>
      </w:r>
      <w:r w:rsidR="00321B67">
        <w:rPr>
          <w:rStyle w:val="FootnoteReference"/>
          <w:b/>
          <w:bCs/>
          <w:i/>
          <w:iCs/>
        </w:rPr>
        <w:footnoteReference w:id="18"/>
      </w:r>
      <w:r w:rsidR="00321B67">
        <w:t>, endorsed by Lord Neuberger,</w:t>
      </w:r>
    </w:p>
    <w:p w14:paraId="2B9DF50C" w14:textId="7F0C9AF9" w:rsidR="0042165C" w:rsidRPr="0042165C" w:rsidRDefault="0042165C" w:rsidP="0042165C">
      <w:pPr>
        <w:ind w:left="863" w:hanging="142"/>
        <w:rPr>
          <w:rFonts w:cs="Times New Roman (Body CS)"/>
          <w:i/>
          <w:iCs/>
        </w:rPr>
      </w:pPr>
      <w:r>
        <w:tab/>
      </w:r>
      <w:r>
        <w:tab/>
      </w:r>
      <w:r w:rsidRPr="00E56C9B">
        <w:rPr>
          <w:rFonts w:cs="Times New Roman (Body CS)"/>
          <w:color w:val="000000"/>
          <w:sz w:val="22"/>
          <w:szCs w:val="27"/>
        </w:rPr>
        <w:t>"</w:t>
      </w:r>
      <w:r>
        <w:rPr>
          <w:rFonts w:cs="Times New Roman (Body CS)"/>
          <w:color w:val="000000"/>
          <w:sz w:val="22"/>
          <w:szCs w:val="27"/>
        </w:rPr>
        <w:t xml:space="preserve">[15] </w:t>
      </w:r>
      <w:r w:rsidRPr="0042165C">
        <w:rPr>
          <w:rFonts w:cs="Times New Roman (Body CS)"/>
          <w:i/>
          <w:iCs/>
          <w:color w:val="000000"/>
          <w:szCs w:val="27"/>
        </w:rPr>
        <w:t xml:space="preserve">When interpreting a written contract, the court is concerned to identify the intention of the parties by reference to "what a reasonable person having all the background knowledge which would have been available to the parties would have understood them to be using the language in the contract to mean", … And it does so by focussing on the meaning of the </w:t>
      </w:r>
      <w:r w:rsidRPr="0042165C">
        <w:rPr>
          <w:rFonts w:cs="Times New Roman (Body CS)"/>
          <w:i/>
          <w:iCs/>
          <w:color w:val="000000"/>
          <w:szCs w:val="27"/>
        </w:rPr>
        <w:lastRenderedPageBreak/>
        <w:t>relevant words … in their documentary, factual and commercial context. That meaning has to be assessed in the light of (i) the natural and ordinary meaning of the clause, (ii) any other relevant provisions of the contract, (iii) the overall purpose of the clause and the contract, (iv) the facts and circumstances known or assumed by the parties at the time that the document was executed, and (v) commercial common sense, but (vi) disregarding subjective evidence of any party's intentions."</w:t>
      </w:r>
    </w:p>
    <w:p w14:paraId="51B3D439" w14:textId="0FED5CB4" w:rsidR="006D5CD5" w:rsidRDefault="00E2631D" w:rsidP="00E2631D">
      <w:pPr>
        <w:pStyle w:val="Heading1"/>
        <w:numPr>
          <w:ilvl w:val="0"/>
          <w:numId w:val="0"/>
        </w:numPr>
        <w:tabs>
          <w:tab w:val="left" w:pos="862"/>
        </w:tabs>
        <w:ind w:left="862" w:hanging="862"/>
      </w:pPr>
      <w:r>
        <w:t>[39]</w:t>
      </w:r>
      <w:r>
        <w:tab/>
      </w:r>
      <w:r w:rsidR="006D5CD5">
        <w:t>It is also trite that it is irrelevant whether the language used is vague or ambiguous.</w:t>
      </w:r>
      <w:r w:rsidR="00AE3739">
        <w:t xml:space="preserve"> </w:t>
      </w:r>
      <w:r w:rsidR="006D5CD5">
        <w:t xml:space="preserve">It was not submitted to me by either counsel that the definitions were </w:t>
      </w:r>
      <w:r w:rsidR="00715C5B">
        <w:t xml:space="preserve">in any event </w:t>
      </w:r>
      <w:r w:rsidR="006D5CD5">
        <w:t>ambiguous.</w:t>
      </w:r>
      <w:r w:rsidR="00DC35E3">
        <w:t xml:space="preserve"> </w:t>
      </w:r>
    </w:p>
    <w:p w14:paraId="7100ABBC" w14:textId="51D5BE2B" w:rsidR="006D5CD5" w:rsidRDefault="00E2631D" w:rsidP="00E2631D">
      <w:pPr>
        <w:pStyle w:val="Heading1"/>
        <w:numPr>
          <w:ilvl w:val="0"/>
          <w:numId w:val="0"/>
        </w:numPr>
        <w:tabs>
          <w:tab w:val="left" w:pos="862"/>
        </w:tabs>
        <w:ind w:left="862" w:hanging="862"/>
      </w:pPr>
      <w:r>
        <w:t>[40]</w:t>
      </w:r>
      <w:r>
        <w:tab/>
      </w:r>
      <w:r w:rsidR="006D5CD5">
        <w:t>The Court has a wider discretion to</w:t>
      </w:r>
      <w:r w:rsidR="00B61B10">
        <w:t xml:space="preserve"> admit and consider</w:t>
      </w:r>
      <w:r w:rsidR="006D5CD5">
        <w:t xml:space="preserve"> evidence of surrounding circumstances to understand the context and this allows the Court to consider what </w:t>
      </w:r>
      <w:r w:rsidR="00B61B10">
        <w:t xml:space="preserve">meaning the parties attributed to  special words or phrases and what </w:t>
      </w:r>
      <w:r w:rsidR="006D5CD5">
        <w:t>passed between the parties during their negotiations and correspondence as well as evidence of the sense in which they understood and acted on the document</w:t>
      </w:r>
      <w:r w:rsidR="003D6404">
        <w:t>s</w:t>
      </w:r>
      <w:r w:rsidR="006D5CD5">
        <w:t xml:space="preserve"> but not direct evidence of their intentions before or at the time of the formulation of the contract.</w:t>
      </w:r>
      <w:r w:rsidR="006D5CD5">
        <w:rPr>
          <w:rStyle w:val="FootnoteReference"/>
        </w:rPr>
        <w:footnoteReference w:id="19"/>
      </w:r>
      <w:r w:rsidR="006D5CD5">
        <w:t xml:space="preserve">  </w:t>
      </w:r>
    </w:p>
    <w:p w14:paraId="1F139828" w14:textId="58A1CA2B" w:rsidR="00F555E4" w:rsidRPr="00F555E4" w:rsidRDefault="00E2631D" w:rsidP="00E2631D">
      <w:pPr>
        <w:pStyle w:val="Heading1"/>
        <w:numPr>
          <w:ilvl w:val="0"/>
          <w:numId w:val="0"/>
        </w:numPr>
        <w:tabs>
          <w:tab w:val="left" w:pos="862"/>
        </w:tabs>
        <w:ind w:left="862" w:hanging="862"/>
      </w:pPr>
      <w:r w:rsidRPr="00F555E4">
        <w:t>[41]</w:t>
      </w:r>
      <w:r w:rsidRPr="00F555E4">
        <w:tab/>
      </w:r>
      <w:r w:rsidR="00715C5B">
        <w:t>T</w:t>
      </w:r>
      <w:r w:rsidR="00F555E4">
        <w:t xml:space="preserve">he Bank is not entitled </w:t>
      </w:r>
      <w:r w:rsidR="00AE6642">
        <w:t>t</w:t>
      </w:r>
      <w:r w:rsidR="00F555E4">
        <w:t>o rectification of the cession</w:t>
      </w:r>
      <w:r w:rsidR="00715C5B">
        <w:t>, and did not seek rectification,</w:t>
      </w:r>
      <w:r w:rsidR="00F555E4">
        <w:t xml:space="preserve"> as set out in </w:t>
      </w:r>
      <w:r w:rsidR="00F555E4" w:rsidRPr="004B0B17">
        <w:rPr>
          <w:b/>
          <w:bCs/>
          <w:i/>
          <w:iCs/>
        </w:rPr>
        <w:t>Nedbank v Chance</w:t>
      </w:r>
      <w:r w:rsidR="00F555E4">
        <w:rPr>
          <w:rStyle w:val="FootnoteReference"/>
          <w:b/>
          <w:bCs/>
        </w:rPr>
        <w:footnoteReference w:id="20"/>
      </w:r>
    </w:p>
    <w:p w14:paraId="4A6F2082" w14:textId="6391969E" w:rsidR="00F555E4" w:rsidRPr="00F555E4" w:rsidRDefault="00F555E4" w:rsidP="00292F3B">
      <w:pPr>
        <w:pStyle w:val="Heading1"/>
        <w:numPr>
          <w:ilvl w:val="0"/>
          <w:numId w:val="0"/>
        </w:numPr>
        <w:ind w:left="1871" w:hanging="1009"/>
        <w:rPr>
          <w:i/>
          <w:iCs/>
          <w:sz w:val="22"/>
        </w:rPr>
      </w:pPr>
      <w:r>
        <w:rPr>
          <w:rFonts w:ascii="øf_Ç˛" w:hAnsi="øf_Ç˛" w:cs="øf_Ç˛"/>
          <w:color w:val="000000"/>
          <w:kern w:val="0"/>
          <w:sz w:val="20"/>
          <w:lang w:val="en-GB" w:eastAsia="en-ZA"/>
        </w:rPr>
        <w:t>“</w:t>
      </w:r>
      <w:r w:rsidRPr="00292F3B">
        <w:rPr>
          <w:rFonts w:cs="Arial"/>
          <w:i/>
          <w:iCs/>
          <w:color w:val="000000"/>
          <w:kern w:val="0"/>
          <w:sz w:val="20"/>
          <w:lang w:val="en-GB" w:eastAsia="en-ZA"/>
        </w:rPr>
        <w:t>[</w:t>
      </w:r>
      <w:r w:rsidRPr="00F555E4">
        <w:rPr>
          <w:rFonts w:cs="øf_Ç˛"/>
          <w:i/>
          <w:iCs/>
          <w:color w:val="000000"/>
          <w:kern w:val="0"/>
          <w:sz w:val="22"/>
          <w:lang w:val="en-GB" w:eastAsia="en-ZA"/>
        </w:rPr>
        <w:t>9]</w:t>
      </w:r>
      <w:r w:rsidR="00292F3B">
        <w:rPr>
          <w:rFonts w:cs="øf_Ç˛"/>
          <w:i/>
          <w:iCs/>
          <w:color w:val="000000"/>
          <w:kern w:val="0"/>
          <w:sz w:val="22"/>
          <w:lang w:val="en-GB" w:eastAsia="en-ZA"/>
        </w:rPr>
        <w:tab/>
      </w:r>
      <w:r w:rsidRPr="00F555E4">
        <w:rPr>
          <w:rFonts w:cs="øf_Ç˛"/>
          <w:i/>
          <w:iCs/>
          <w:color w:val="000000"/>
          <w:kern w:val="0"/>
          <w:sz w:val="22"/>
          <w:lang w:val="en-GB" w:eastAsia="en-ZA"/>
        </w:rPr>
        <w:t>On liquidation and by operation of the common law a concursus</w:t>
      </w:r>
      <w:r w:rsidRPr="00F555E4">
        <w:rPr>
          <w:rFonts w:cs="øf_Ç˛"/>
          <w:i/>
          <w:iCs/>
          <w:color w:val="000000"/>
          <w:kern w:val="0"/>
          <w:sz w:val="22"/>
          <w:szCs w:val="14"/>
          <w:lang w:val="en-GB" w:eastAsia="en-ZA"/>
        </w:rPr>
        <w:t xml:space="preserve"> </w:t>
      </w:r>
      <w:r w:rsidRPr="00F555E4">
        <w:rPr>
          <w:rFonts w:cs="øf_Ç˛"/>
          <w:i/>
          <w:iCs/>
          <w:color w:val="000000"/>
          <w:kern w:val="0"/>
          <w:sz w:val="22"/>
          <w:lang w:val="en-GB" w:eastAsia="en-ZA"/>
        </w:rPr>
        <w:t>creditorum (concourse of creditors) comes into existence. The effect of a liquidation order is that it</w:t>
      </w:r>
      <w:r w:rsidRPr="00F555E4">
        <w:rPr>
          <w:rFonts w:cs="øf_Ç˛"/>
          <w:i/>
          <w:iCs/>
          <w:color w:val="000000"/>
          <w:kern w:val="0"/>
          <w:sz w:val="22"/>
          <w:szCs w:val="17"/>
          <w:lang w:val="en-GB" w:eastAsia="en-ZA"/>
        </w:rPr>
        <w:t xml:space="preserve"> crystallises the insolvent's position; the hand of the law is laid upon the estate, and at once the rights of the general body of creditors have to be taken into consideration. No transaction can thereafter be entered into with regard to estate matters by a single creditor to the prejudice of the general body. The claim of </w:t>
      </w:r>
      <w:r w:rsidRPr="00F555E4">
        <w:rPr>
          <w:rFonts w:cs="øf_Ç˛"/>
          <w:i/>
          <w:iCs/>
          <w:color w:val="000000"/>
          <w:kern w:val="0"/>
          <w:sz w:val="22"/>
          <w:szCs w:val="17"/>
          <w:lang w:val="en-GB" w:eastAsia="en-ZA"/>
        </w:rPr>
        <w:lastRenderedPageBreak/>
        <w:t xml:space="preserve">each creditor must be dealt with as it existed at the issue of the order. </w:t>
      </w:r>
      <w:r w:rsidRPr="00F555E4">
        <w:rPr>
          <w:rFonts w:cs="øf_Ç˛"/>
          <w:i/>
          <w:iCs/>
          <w:color w:val="000000"/>
          <w:kern w:val="0"/>
          <w:sz w:val="22"/>
          <w:lang w:val="en-GB" w:eastAsia="en-ZA"/>
        </w:rPr>
        <w:t>The insolvent estate is 'frozen</w:t>
      </w:r>
      <w:r w:rsidR="00B61B10" w:rsidRPr="00F555E4">
        <w:rPr>
          <w:rFonts w:cs="øf_Ç˛"/>
          <w:i/>
          <w:iCs/>
          <w:color w:val="000000"/>
          <w:kern w:val="0"/>
          <w:sz w:val="22"/>
          <w:lang w:val="en-GB" w:eastAsia="en-ZA"/>
        </w:rPr>
        <w:t>’,</w:t>
      </w:r>
      <w:r w:rsidRPr="00F555E4">
        <w:rPr>
          <w:rFonts w:cs="øf_Ç˛"/>
          <w:i/>
          <w:iCs/>
          <w:color w:val="000000"/>
          <w:kern w:val="0"/>
          <w:sz w:val="22"/>
          <w:lang w:val="en-GB" w:eastAsia="en-ZA"/>
        </w:rPr>
        <w:t xml:space="preserve"> and nothing can thereafter be done by any one creditor that would have the effect of altering or prejudicing the rights of other creditors. As between the estate and the creditors and as between the creditors inter se, their relationship becomes </w:t>
      </w:r>
      <w:r w:rsidR="00B61B10" w:rsidRPr="00F555E4">
        <w:rPr>
          <w:rFonts w:cs="øf_Ç˛"/>
          <w:i/>
          <w:iCs/>
          <w:color w:val="000000"/>
          <w:kern w:val="0"/>
          <w:sz w:val="22"/>
          <w:lang w:val="en-GB" w:eastAsia="en-ZA"/>
        </w:rPr>
        <w:t>fixed,</w:t>
      </w:r>
      <w:r w:rsidRPr="00F555E4">
        <w:rPr>
          <w:rFonts w:cs="øf_Ç˛"/>
          <w:i/>
          <w:iCs/>
          <w:color w:val="000000"/>
          <w:kern w:val="0"/>
          <w:sz w:val="22"/>
          <w:lang w:val="en-GB" w:eastAsia="en-ZA"/>
        </w:rPr>
        <w:t xml:space="preserve"> and their rights and obligations become vested and complete. One consequence of this is that a creditor who at the date of winding-up was only a concurrent creditor cannot by rectification of an agreement alter its position to become a preferent or secured creditor as this would disturb the concursus.</w:t>
      </w:r>
      <w:r w:rsidRPr="00F555E4">
        <w:rPr>
          <w:rFonts w:cs="øf_Ç˛"/>
          <w:i/>
          <w:iCs/>
          <w:color w:val="0066FF"/>
          <w:kern w:val="0"/>
          <w:sz w:val="22"/>
          <w:szCs w:val="14"/>
          <w:lang w:val="en-GB" w:eastAsia="en-ZA"/>
        </w:rPr>
        <w:t xml:space="preserve"> </w:t>
      </w:r>
      <w:r w:rsidRPr="00F555E4">
        <w:rPr>
          <w:rFonts w:cs="øf_Ç˛"/>
          <w:i/>
          <w:iCs/>
          <w:color w:val="000000"/>
          <w:kern w:val="0"/>
          <w:sz w:val="22"/>
          <w:lang w:val="en-GB" w:eastAsia="en-ZA"/>
        </w:rPr>
        <w:t xml:space="preserve">The same must hold for a creditor who seeks rectification to improve its position from that of a preferent creditor in a certain amount, to a preferent creditor in a greater amount. This approach is in line with the general principle that the claim of each creditor must be </w:t>
      </w:r>
      <w:r w:rsidRPr="00F555E4">
        <w:rPr>
          <w:rFonts w:cs="øf_Ç˛"/>
          <w:i/>
          <w:iCs/>
          <w:color w:val="000000"/>
          <w:kern w:val="0"/>
          <w:sz w:val="22"/>
          <w:szCs w:val="14"/>
          <w:lang w:val="en-GB" w:eastAsia="en-ZA"/>
        </w:rPr>
        <w:t xml:space="preserve">F </w:t>
      </w:r>
      <w:r w:rsidRPr="00F555E4">
        <w:rPr>
          <w:rFonts w:cs="øf_Ç˛"/>
          <w:i/>
          <w:iCs/>
          <w:color w:val="000000"/>
          <w:kern w:val="0"/>
          <w:sz w:val="22"/>
          <w:lang w:val="en-GB" w:eastAsia="en-ZA"/>
        </w:rPr>
        <w:t>dealt with as it existed at the date of liquidation. Rectification post concursus would almost inevitably prejudice the rights of other creditors.”</w:t>
      </w:r>
    </w:p>
    <w:p w14:paraId="41C94B20" w14:textId="133AFA52" w:rsidR="006D5CD5" w:rsidRDefault="00E2631D" w:rsidP="00E2631D">
      <w:pPr>
        <w:pStyle w:val="Heading1"/>
        <w:numPr>
          <w:ilvl w:val="0"/>
          <w:numId w:val="0"/>
        </w:numPr>
        <w:tabs>
          <w:tab w:val="left" w:pos="862"/>
        </w:tabs>
        <w:ind w:left="862" w:hanging="862"/>
      </w:pPr>
      <w:r>
        <w:t>[42]</w:t>
      </w:r>
      <w:r>
        <w:tab/>
      </w:r>
      <w:r w:rsidR="006D5CD5">
        <w:t xml:space="preserve">As also submitted to me, it is clear that </w:t>
      </w:r>
      <w:r w:rsidR="00B61B10">
        <w:t xml:space="preserve">should </w:t>
      </w:r>
      <w:r w:rsidR="006D5CD5">
        <w:t xml:space="preserve">the parties </w:t>
      </w:r>
      <w:r w:rsidR="00B61B10">
        <w:t xml:space="preserve">have </w:t>
      </w:r>
      <w:r w:rsidR="006D5CD5">
        <w:t>entered into an unwise contract or a one-sided bargain they will have to live with that and they are not able to call upon the Court to re-interpret the contract or to insert a new term</w:t>
      </w:r>
      <w:r w:rsidR="00B61B10">
        <w:t>,</w:t>
      </w:r>
      <w:r w:rsidR="006D5CD5">
        <w:t xml:space="preserve"> retrospectively</w:t>
      </w:r>
      <w:r w:rsidR="00B61B10">
        <w:t>,</w:t>
      </w:r>
      <w:r w:rsidR="006D5CD5">
        <w:t xml:space="preserve"> in order for the parties to have better contracted</w:t>
      </w:r>
      <w:r w:rsidR="00B61B10">
        <w:t>.</w:t>
      </w:r>
      <w:r w:rsidR="006D5CD5">
        <w:t xml:space="preserve"> </w:t>
      </w:r>
      <w:r w:rsidR="00B61B10">
        <w:t>I</w:t>
      </w:r>
      <w:r w:rsidR="006D5CD5">
        <w:t xml:space="preserve">t is not within the Court’s domain to make a better contract for the parties than that which they negotiated.  </w:t>
      </w:r>
    </w:p>
    <w:p w14:paraId="6253DFF7" w14:textId="6DF60C19" w:rsidR="006D5CD5" w:rsidRDefault="00E2631D" w:rsidP="00E2631D">
      <w:pPr>
        <w:pStyle w:val="Heading1"/>
        <w:numPr>
          <w:ilvl w:val="0"/>
          <w:numId w:val="0"/>
        </w:numPr>
        <w:tabs>
          <w:tab w:val="left" w:pos="862"/>
        </w:tabs>
        <w:ind w:left="862" w:hanging="862"/>
      </w:pPr>
      <w:r>
        <w:t>[43]</w:t>
      </w:r>
      <w:r>
        <w:tab/>
      </w:r>
      <w:r w:rsidR="00756618">
        <w:t>Further</w:t>
      </w:r>
      <w:r w:rsidR="006D5CD5">
        <w:t xml:space="preserve">, if having considered all the admissible evidence there </w:t>
      </w:r>
      <w:r w:rsidR="00754988">
        <w:t>was</w:t>
      </w:r>
      <w:r w:rsidR="006D5CD5">
        <w:t xml:space="preserve"> ambiguity, there are rules of construction to assist the Court in determining the intention of the parties.  These include:</w:t>
      </w:r>
    </w:p>
    <w:p w14:paraId="46C402A9" w14:textId="18396C22" w:rsidR="006D5CD5" w:rsidRDefault="00E2631D" w:rsidP="00E2631D">
      <w:pPr>
        <w:pStyle w:val="Heading2"/>
        <w:numPr>
          <w:ilvl w:val="0"/>
          <w:numId w:val="0"/>
        </w:numPr>
        <w:tabs>
          <w:tab w:val="left" w:pos="1871"/>
        </w:tabs>
        <w:ind w:left="1871" w:hanging="1009"/>
      </w:pPr>
      <w:r>
        <w:t>[43.1]</w:t>
      </w:r>
      <w:r>
        <w:tab/>
      </w:r>
      <w:r w:rsidR="006D5CD5">
        <w:t xml:space="preserve">the </w:t>
      </w:r>
      <w:r w:rsidR="006D5CD5" w:rsidRPr="00C93D00">
        <w:rPr>
          <w:i/>
          <w:iCs/>
        </w:rPr>
        <w:t>e</w:t>
      </w:r>
      <w:r w:rsidR="00715C5B">
        <w:rPr>
          <w:i/>
          <w:iCs/>
        </w:rPr>
        <w:t>j</w:t>
      </w:r>
      <w:r w:rsidR="006D5CD5" w:rsidRPr="00C93D00">
        <w:rPr>
          <w:i/>
          <w:iCs/>
        </w:rPr>
        <w:t>usdem generis</w:t>
      </w:r>
      <w:r w:rsidR="006D5CD5" w:rsidRPr="00C93D00">
        <w:t xml:space="preserve"> </w:t>
      </w:r>
      <w:r w:rsidR="006D5CD5">
        <w:t>rule</w:t>
      </w:r>
      <w:r w:rsidR="00295DB3">
        <w:t xml:space="preserve"> (“of the same type”)</w:t>
      </w:r>
      <w:r w:rsidR="006D5CD5">
        <w:t xml:space="preserve"> which provides that if </w:t>
      </w:r>
      <w:r w:rsidR="00715C5B">
        <w:t xml:space="preserve">specific words </w:t>
      </w:r>
      <w:r w:rsidR="006D5CD5">
        <w:t>a</w:t>
      </w:r>
      <w:r w:rsidR="00715C5B">
        <w:t>re f</w:t>
      </w:r>
      <w:r w:rsidR="006D5CD5">
        <w:t>ollowed by one or more</w:t>
      </w:r>
      <w:r w:rsidR="00715C5B">
        <w:t xml:space="preserve"> general words</w:t>
      </w:r>
      <w:r w:rsidR="00756618">
        <w:t>/</w:t>
      </w:r>
      <w:r w:rsidR="006D5CD5">
        <w:t xml:space="preserve"> clauses the</w:t>
      </w:r>
      <w:r w:rsidR="00715C5B">
        <w:t xml:space="preserve"> general words are limited (</w:t>
      </w:r>
      <w:r w:rsidR="00715C5B" w:rsidRPr="00C93D00">
        <w:rPr>
          <w:i/>
          <w:iCs/>
        </w:rPr>
        <w:t>e</w:t>
      </w:r>
      <w:r w:rsidR="00715C5B">
        <w:rPr>
          <w:i/>
          <w:iCs/>
        </w:rPr>
        <w:t>j</w:t>
      </w:r>
      <w:r w:rsidR="00715C5B" w:rsidRPr="00C93D00">
        <w:rPr>
          <w:i/>
          <w:iCs/>
        </w:rPr>
        <w:t>usdem generis</w:t>
      </w:r>
      <w:r w:rsidR="00715C5B">
        <w:rPr>
          <w:i/>
          <w:iCs/>
        </w:rPr>
        <w:t xml:space="preserve">  with)</w:t>
      </w:r>
      <w:r w:rsidR="00295DB3">
        <w:t xml:space="preserve"> </w:t>
      </w:r>
      <w:r w:rsidR="00715C5B">
        <w:t>or restricted to matters of the same kind as those specifically listed so if a contract refers to cars, trucks, vans, motorcycles</w:t>
      </w:r>
      <w:r w:rsidR="00756618">
        <w:t xml:space="preserve"> the</w:t>
      </w:r>
      <w:r w:rsidR="00715C5B">
        <w:t xml:space="preserve"> </w:t>
      </w:r>
      <w:r w:rsidR="00715C5B" w:rsidRPr="00C93D00">
        <w:rPr>
          <w:i/>
          <w:iCs/>
        </w:rPr>
        <w:t>e</w:t>
      </w:r>
      <w:r w:rsidR="00715C5B">
        <w:rPr>
          <w:i/>
          <w:iCs/>
        </w:rPr>
        <w:t>j</w:t>
      </w:r>
      <w:r w:rsidR="00715C5B" w:rsidRPr="00C93D00">
        <w:rPr>
          <w:i/>
          <w:iCs/>
        </w:rPr>
        <w:t>usdem generis</w:t>
      </w:r>
      <w:r w:rsidR="00715C5B" w:rsidRPr="00C93D00">
        <w:t xml:space="preserve"> </w:t>
      </w:r>
      <w:r w:rsidR="00715C5B">
        <w:t xml:space="preserve">rule restricts the interpretation of the other vehicles to land based vehicles because the initial list did not </w:t>
      </w:r>
      <w:r w:rsidR="00715C5B">
        <w:lastRenderedPageBreak/>
        <w:t>include air or water based vehicles</w:t>
      </w:r>
      <w:r w:rsidR="006D5CD5">
        <w:t xml:space="preserve">  and</w:t>
      </w:r>
    </w:p>
    <w:p w14:paraId="2B0C0B8C" w14:textId="242E1DC9" w:rsidR="006D5CD5" w:rsidRDefault="00E2631D" w:rsidP="00E2631D">
      <w:pPr>
        <w:pStyle w:val="Heading2"/>
        <w:numPr>
          <w:ilvl w:val="0"/>
          <w:numId w:val="0"/>
        </w:numPr>
        <w:tabs>
          <w:tab w:val="left" w:pos="1871"/>
        </w:tabs>
        <w:ind w:left="1871" w:hanging="1009"/>
      </w:pPr>
      <w:r>
        <w:t>[43.2]</w:t>
      </w:r>
      <w:r>
        <w:tab/>
      </w:r>
      <w:r w:rsidR="006D5CD5">
        <w:t xml:space="preserve">the </w:t>
      </w:r>
      <w:r w:rsidR="006D5CD5" w:rsidRPr="00C93D00">
        <w:rPr>
          <w:i/>
          <w:iCs/>
        </w:rPr>
        <w:t>contra</w:t>
      </w:r>
      <w:r w:rsidR="006D5CD5">
        <w:t xml:space="preserve"> </w:t>
      </w:r>
      <w:r w:rsidR="006D5CD5" w:rsidRPr="00C93D00">
        <w:rPr>
          <w:i/>
          <w:iCs/>
        </w:rPr>
        <w:t>proferentem</w:t>
      </w:r>
      <w:r w:rsidR="006D5CD5">
        <w:t xml:space="preserve"> rule which provides that ambiguous words or phrases can be interpreted against the party in whose favour or request they were inserted.  This is only done as a matter of last resort.</w:t>
      </w:r>
    </w:p>
    <w:p w14:paraId="3C7AF6E9" w14:textId="6E4DFD7A" w:rsidR="006D5CD5" w:rsidRPr="006D5CD5" w:rsidRDefault="006D5CD5" w:rsidP="006D5CD5">
      <w:pPr>
        <w:keepNext/>
        <w:ind w:left="3022" w:hanging="3022"/>
        <w:rPr>
          <w:b/>
          <w:bCs/>
          <w:u w:val="single"/>
        </w:rPr>
      </w:pPr>
      <w:r>
        <w:rPr>
          <w:b/>
          <w:bCs/>
          <w:u w:val="single"/>
        </w:rPr>
        <w:t xml:space="preserve">THE </w:t>
      </w:r>
      <w:r w:rsidR="00BC4F87">
        <w:rPr>
          <w:b/>
          <w:bCs/>
          <w:u w:val="single"/>
        </w:rPr>
        <w:t>SUBMISSIONS</w:t>
      </w:r>
    </w:p>
    <w:p w14:paraId="2BA942CF" w14:textId="417798CF" w:rsidR="006D5CD5" w:rsidRDefault="00E2631D" w:rsidP="00E2631D">
      <w:pPr>
        <w:pStyle w:val="Heading1"/>
        <w:numPr>
          <w:ilvl w:val="0"/>
          <w:numId w:val="0"/>
        </w:numPr>
        <w:tabs>
          <w:tab w:val="left" w:pos="862"/>
        </w:tabs>
        <w:ind w:left="862" w:hanging="862"/>
      </w:pPr>
      <w:r>
        <w:t>[44]</w:t>
      </w:r>
      <w:r>
        <w:tab/>
      </w:r>
      <w:r w:rsidR="00715C5B">
        <w:t>T</w:t>
      </w:r>
      <w:r w:rsidR="007212B7">
        <w:t>he Bank</w:t>
      </w:r>
      <w:r w:rsidR="00715C5B">
        <w:t xml:space="preserve"> submits</w:t>
      </w:r>
      <w:r w:rsidR="007212B7">
        <w:t xml:space="preserve"> that the Master failed to consider the nature and extent of the ceded interests</w:t>
      </w:r>
      <w:r w:rsidR="006D5CD5">
        <w:t>,</w:t>
      </w:r>
      <w:r w:rsidR="007212B7">
        <w:t xml:space="preserve"> as defined above</w:t>
      </w:r>
      <w:r w:rsidR="006D5CD5">
        <w:t>, and simply focussed on the definition of goods</w:t>
      </w:r>
      <w:r w:rsidR="005B456C">
        <w:t xml:space="preserve"> which is defined</w:t>
      </w:r>
      <w:r w:rsidR="00FD3BBA">
        <w:t xml:space="preserve"> as</w:t>
      </w:r>
      <w:r w:rsidR="005B456C">
        <w:t xml:space="preserve"> the goods financed by the Bank</w:t>
      </w:r>
      <w:r w:rsidR="007212B7">
        <w:t xml:space="preserve">.  </w:t>
      </w:r>
    </w:p>
    <w:p w14:paraId="6AE1AD98" w14:textId="0097251E" w:rsidR="007212B7" w:rsidRDefault="00E2631D" w:rsidP="00E2631D">
      <w:pPr>
        <w:pStyle w:val="Heading1"/>
        <w:numPr>
          <w:ilvl w:val="0"/>
          <w:numId w:val="0"/>
        </w:numPr>
        <w:tabs>
          <w:tab w:val="left" w:pos="862"/>
        </w:tabs>
        <w:ind w:left="862" w:hanging="862"/>
      </w:pPr>
      <w:r>
        <w:t>[45]</w:t>
      </w:r>
      <w:r>
        <w:tab/>
      </w:r>
      <w:r w:rsidR="007212B7">
        <w:t xml:space="preserve">As I understand the </w:t>
      </w:r>
      <w:r w:rsidR="00715C5B">
        <w:t>submission</w:t>
      </w:r>
      <w:r w:rsidR="007212B7">
        <w:t xml:space="preserve"> the Bank says:</w:t>
      </w:r>
    </w:p>
    <w:p w14:paraId="25237521" w14:textId="059D5A20" w:rsidR="006D5CD5" w:rsidRDefault="00E2631D" w:rsidP="00E2631D">
      <w:pPr>
        <w:pStyle w:val="Heading2"/>
        <w:numPr>
          <w:ilvl w:val="0"/>
          <w:numId w:val="0"/>
        </w:numPr>
        <w:tabs>
          <w:tab w:val="left" w:pos="1871"/>
        </w:tabs>
        <w:ind w:left="1871" w:hanging="1009"/>
      </w:pPr>
      <w:r>
        <w:t>[45.1]</w:t>
      </w:r>
      <w:r>
        <w:tab/>
      </w:r>
      <w:r w:rsidR="00AE6642">
        <w:t>T</w:t>
      </w:r>
      <w:r w:rsidR="00C40B3A">
        <w:t xml:space="preserve">he </w:t>
      </w:r>
      <w:r w:rsidR="006D5CD5">
        <w:t xml:space="preserve">definition of </w:t>
      </w:r>
      <w:r w:rsidR="006D5CD5" w:rsidRPr="006C3A1F">
        <w:rPr>
          <w:i/>
          <w:iCs/>
        </w:rPr>
        <w:t>“</w:t>
      </w:r>
      <w:r w:rsidR="006D5CD5" w:rsidRPr="00AE6642">
        <w:rPr>
          <w:i/>
          <w:iCs/>
        </w:rPr>
        <w:t>ceded interests</w:t>
      </w:r>
      <w:r w:rsidR="006D5CD5">
        <w:t>” provides for</w:t>
      </w:r>
      <w:r w:rsidR="00AE6642">
        <w:t xml:space="preserve"> a general</w:t>
      </w:r>
      <w:r w:rsidR="006D5CD5">
        <w:t xml:space="preserve">  cession of </w:t>
      </w:r>
      <w:r w:rsidR="007212B7">
        <w:rPr>
          <w:i/>
          <w:iCs/>
        </w:rPr>
        <w:t>“all</w:t>
      </w:r>
      <w:r w:rsidR="006D5CD5">
        <w:rPr>
          <w:i/>
          <w:iCs/>
        </w:rPr>
        <w:t xml:space="preserve"> right title and interests” in and to various items and goods</w:t>
      </w:r>
      <w:r w:rsidR="007212B7">
        <w:rPr>
          <w:i/>
          <w:iCs/>
        </w:rPr>
        <w:t xml:space="preserve"> </w:t>
      </w:r>
      <w:r w:rsidR="007212B7">
        <w:t xml:space="preserve">in </w:t>
      </w:r>
      <w:r w:rsidR="007669DB">
        <w:t>clause</w:t>
      </w:r>
      <w:r w:rsidR="007212B7">
        <w:t xml:space="preserve"> 1.2.2</w:t>
      </w:r>
      <w:r w:rsidR="006D5CD5">
        <w:t xml:space="preserve">. </w:t>
      </w:r>
    </w:p>
    <w:p w14:paraId="549CF7A0" w14:textId="50F5ED4C" w:rsidR="006D5CD5" w:rsidRDefault="00E2631D" w:rsidP="00E2631D">
      <w:pPr>
        <w:pStyle w:val="Heading2"/>
        <w:numPr>
          <w:ilvl w:val="0"/>
          <w:numId w:val="0"/>
        </w:numPr>
        <w:tabs>
          <w:tab w:val="left" w:pos="1871"/>
        </w:tabs>
        <w:ind w:left="1871" w:hanging="1009"/>
      </w:pPr>
      <w:r>
        <w:t>[45.2]</w:t>
      </w:r>
      <w:r>
        <w:tab/>
      </w:r>
      <w:r w:rsidR="005B456C">
        <w:t xml:space="preserve">Clause 1.2.2 </w:t>
      </w:r>
      <w:r w:rsidR="00AE6642">
        <w:t xml:space="preserve">is </w:t>
      </w:r>
      <w:r w:rsidR="006D5CD5">
        <w:t xml:space="preserve">then qualified by </w:t>
      </w:r>
      <w:r w:rsidR="007212B7">
        <w:t xml:space="preserve">the word </w:t>
      </w:r>
      <w:r w:rsidR="007212B7">
        <w:rPr>
          <w:i/>
          <w:iCs/>
        </w:rPr>
        <w:t>“including”</w:t>
      </w:r>
      <w:r w:rsidR="006D5CD5">
        <w:rPr>
          <w:i/>
          <w:iCs/>
        </w:rPr>
        <w:t>,</w:t>
      </w:r>
      <w:r w:rsidR="007212B7">
        <w:t xml:space="preserve"> </w:t>
      </w:r>
      <w:r w:rsidR="006D5CD5">
        <w:t xml:space="preserve"> and include</w:t>
      </w:r>
      <w:r w:rsidR="00AE6642">
        <w:t>s</w:t>
      </w:r>
      <w:r w:rsidR="006D5CD5">
        <w:t xml:space="preserve"> without limitation,</w:t>
      </w:r>
      <w:r w:rsidR="00AE6642">
        <w:t xml:space="preserve"> as defined,</w:t>
      </w:r>
      <w:r w:rsidR="006D5CD5">
        <w:t xml:space="preserve"> “</w:t>
      </w:r>
      <w:r w:rsidR="005B456C">
        <w:t>…….</w:t>
      </w:r>
      <w:r w:rsidR="006D5CD5" w:rsidRPr="006D5CD5">
        <w:rPr>
          <w:i/>
          <w:iCs/>
        </w:rPr>
        <w:t>the proceeds of any rights/goods</w:t>
      </w:r>
      <w:r w:rsidR="006D5CD5">
        <w:t>”,</w:t>
      </w:r>
      <w:r w:rsidR="007212B7">
        <w:t xml:space="preserve"> in </w:t>
      </w:r>
      <w:r w:rsidR="007669DB">
        <w:t>clause</w:t>
      </w:r>
      <w:r w:rsidR="007212B7">
        <w:t xml:space="preserve"> 1.2.2.</w:t>
      </w:r>
      <w:r w:rsidR="00C40B3A">
        <w:t>2</w:t>
      </w:r>
      <w:r w:rsidR="006D5CD5">
        <w:t>.</w:t>
      </w:r>
    </w:p>
    <w:p w14:paraId="274AA52B" w14:textId="0A935379" w:rsidR="005B456C" w:rsidRDefault="00E2631D" w:rsidP="00E2631D">
      <w:pPr>
        <w:pStyle w:val="Heading2"/>
        <w:numPr>
          <w:ilvl w:val="0"/>
          <w:numId w:val="0"/>
        </w:numPr>
        <w:tabs>
          <w:tab w:val="left" w:pos="1871"/>
        </w:tabs>
        <w:ind w:left="1871" w:hanging="1009"/>
      </w:pPr>
      <w:r>
        <w:t>[45.3]</w:t>
      </w:r>
      <w:r>
        <w:tab/>
      </w:r>
      <w:r w:rsidR="005B456C">
        <w:t xml:space="preserve">Under the qualification in clause 1.2.2.2 the ceded rights include “any </w:t>
      </w:r>
      <w:r w:rsidR="005B456C" w:rsidRPr="002D5AA3">
        <w:rPr>
          <w:i/>
          <w:iCs/>
        </w:rPr>
        <w:t>right</w:t>
      </w:r>
      <w:r w:rsidR="005B456C">
        <w:rPr>
          <w:i/>
          <w:iCs/>
        </w:rPr>
        <w:t>s</w:t>
      </w:r>
      <w:r w:rsidR="005B456C" w:rsidRPr="002D5AA3">
        <w:rPr>
          <w:i/>
          <w:iCs/>
        </w:rPr>
        <w:t>/goods”</w:t>
      </w:r>
      <w:r w:rsidR="005B456C">
        <w:t xml:space="preserve"> and the use of the word </w:t>
      </w:r>
      <w:r w:rsidR="005B456C">
        <w:rPr>
          <w:i/>
          <w:iCs/>
        </w:rPr>
        <w:t>“any”</w:t>
      </w:r>
      <w:r w:rsidR="005B456C">
        <w:t xml:space="preserve">  excludes  any limitation of the word</w:t>
      </w:r>
      <w:r w:rsidR="00754988">
        <w:t>,</w:t>
      </w:r>
      <w:r w:rsidR="005B456C">
        <w:t xml:space="preserve"> goods</w:t>
      </w:r>
      <w:r w:rsidR="00754988">
        <w:t>,</w:t>
      </w:r>
      <w:r w:rsidR="005B456C">
        <w:t xml:space="preserve"> as imposed by the definition</w:t>
      </w:r>
      <w:r w:rsidR="009D3328">
        <w:t xml:space="preserve"> </w:t>
      </w:r>
      <w:r w:rsidR="005B456C">
        <w:t xml:space="preserve">of </w:t>
      </w:r>
      <w:r w:rsidR="005B456C">
        <w:rPr>
          <w:i/>
          <w:iCs/>
        </w:rPr>
        <w:t>“goods”</w:t>
      </w:r>
      <w:r w:rsidR="005B456C">
        <w:t xml:space="preserve">.  </w:t>
      </w:r>
    </w:p>
    <w:p w14:paraId="736DAAC9" w14:textId="25F6DD44" w:rsidR="007212B7" w:rsidRDefault="00E2631D" w:rsidP="00E2631D">
      <w:pPr>
        <w:pStyle w:val="Heading2"/>
        <w:numPr>
          <w:ilvl w:val="0"/>
          <w:numId w:val="0"/>
        </w:numPr>
        <w:tabs>
          <w:tab w:val="left" w:pos="1871"/>
        </w:tabs>
        <w:ind w:left="1871" w:hanging="1009"/>
      </w:pPr>
      <w:r>
        <w:t>[45.4]</w:t>
      </w:r>
      <w:r>
        <w:tab/>
      </w:r>
      <w:r w:rsidR="005B456C">
        <w:t xml:space="preserve">Therefore, </w:t>
      </w:r>
      <w:r w:rsidR="00AE6642">
        <w:t xml:space="preserve">the definition of </w:t>
      </w:r>
      <w:r w:rsidR="00AE6642" w:rsidRPr="006C3A1F">
        <w:rPr>
          <w:i/>
          <w:iCs/>
        </w:rPr>
        <w:t>“c</w:t>
      </w:r>
      <w:r w:rsidR="006D5CD5" w:rsidRPr="006C3A1F">
        <w:rPr>
          <w:i/>
          <w:iCs/>
        </w:rPr>
        <w:t>eded interests</w:t>
      </w:r>
      <w:r w:rsidR="00AE6642" w:rsidRPr="006C3A1F">
        <w:rPr>
          <w:i/>
          <w:iCs/>
        </w:rPr>
        <w:t>”</w:t>
      </w:r>
      <w:r w:rsidR="006D5CD5">
        <w:t xml:space="preserve"> include</w:t>
      </w:r>
      <w:r w:rsidR="00AE6642">
        <w:t xml:space="preserve">s a </w:t>
      </w:r>
      <w:r w:rsidR="006D5CD5">
        <w:t xml:space="preserve"> cession of rights to all goods and not only the goods financed by the Bank </w:t>
      </w:r>
      <w:r w:rsidR="00C40B3A">
        <w:t xml:space="preserve">under the agreement.  </w:t>
      </w:r>
      <w:r w:rsidR="005B456C">
        <w:t>As such the definition</w:t>
      </w:r>
      <w:r w:rsidR="00754988">
        <w:t xml:space="preserve"> of “</w:t>
      </w:r>
      <w:r w:rsidR="00754988" w:rsidRPr="00754988">
        <w:rPr>
          <w:i/>
          <w:iCs/>
        </w:rPr>
        <w:t>ceded interests</w:t>
      </w:r>
      <w:r w:rsidR="00754988">
        <w:t>”</w:t>
      </w:r>
      <w:r w:rsidR="005B456C">
        <w:t xml:space="preserve"> is all encompassing, broadly worded and unlimited.</w:t>
      </w:r>
    </w:p>
    <w:p w14:paraId="13CFC5B2" w14:textId="26690523" w:rsidR="00C40B3A" w:rsidRDefault="00E2631D" w:rsidP="00E2631D">
      <w:pPr>
        <w:pStyle w:val="Heading2"/>
        <w:numPr>
          <w:ilvl w:val="0"/>
          <w:numId w:val="0"/>
        </w:numPr>
        <w:tabs>
          <w:tab w:val="left" w:pos="1871"/>
        </w:tabs>
        <w:ind w:left="1871" w:hanging="1009"/>
      </w:pPr>
      <w:r>
        <w:lastRenderedPageBreak/>
        <w:t>[45.5]</w:t>
      </w:r>
      <w:r>
        <w:tab/>
      </w:r>
      <w:r w:rsidR="00C40B3A">
        <w:t xml:space="preserve">I was referred to the decision of </w:t>
      </w:r>
      <w:r w:rsidR="00715C5B">
        <w:rPr>
          <w:b/>
          <w:bCs/>
          <w:i/>
          <w:iCs/>
        </w:rPr>
        <w:t>S V Wood</w:t>
      </w:r>
      <w:r w:rsidR="006D5CD5">
        <w:t xml:space="preserve"> </w:t>
      </w:r>
      <w:r w:rsidR="00715C5B">
        <w:t xml:space="preserve"> in support of the submission that the word “</w:t>
      </w:r>
      <w:r w:rsidR="00715C5B" w:rsidRPr="007C4EA5">
        <w:rPr>
          <w:i/>
          <w:iCs/>
        </w:rPr>
        <w:t>any</w:t>
      </w:r>
      <w:r w:rsidR="00715C5B">
        <w:t>” is a word of wide import</w:t>
      </w:r>
      <w:r w:rsidR="007126E2">
        <w:t xml:space="preserve"> and unlimited</w:t>
      </w:r>
      <w:r w:rsidR="00754988">
        <w:t xml:space="preserve"> as </w:t>
      </w:r>
      <w:r w:rsidR="006D5CD5">
        <w:t>follows</w:t>
      </w:r>
      <w:r w:rsidR="00454B75" w:rsidRPr="002D5AA3">
        <w:t>:</w:t>
      </w:r>
      <w:r w:rsidR="00C40B3A" w:rsidRPr="002D5AA3">
        <w:rPr>
          <w:rStyle w:val="FootnoteReference"/>
        </w:rPr>
        <w:footnoteReference w:id="21"/>
      </w:r>
    </w:p>
    <w:p w14:paraId="73C65F35" w14:textId="1C3F57D6" w:rsidR="006D5CD5" w:rsidRDefault="00454B75" w:rsidP="006D5CD5">
      <w:pPr>
        <w:ind w:left="1871" w:hanging="1871"/>
        <w:rPr>
          <w:i/>
          <w:iCs/>
        </w:rPr>
      </w:pPr>
      <w:r>
        <w:tab/>
      </w:r>
      <w:r>
        <w:tab/>
      </w:r>
      <w:r>
        <w:rPr>
          <w:i/>
          <w:iCs/>
        </w:rPr>
        <w:t>“</w:t>
      </w:r>
      <w:r w:rsidRPr="00454B75">
        <w:rPr>
          <w:i/>
          <w:iCs/>
        </w:rPr>
        <w:t>The word ‘any’ is, according to the Oxford Dictionary,</w:t>
      </w:r>
      <w:r>
        <w:rPr>
          <w:i/>
          <w:iCs/>
        </w:rPr>
        <w:t xml:space="preserve"> </w:t>
      </w:r>
      <w:r w:rsidRPr="00454B75">
        <w:rPr>
          <w:i/>
          <w:iCs/>
        </w:rPr>
        <w:t>the indeterminate derivative of one, and or a, a</w:t>
      </w:r>
      <w:r w:rsidR="008B286F">
        <w:rPr>
          <w:i/>
          <w:iCs/>
        </w:rPr>
        <w:t xml:space="preserve">nd </w:t>
      </w:r>
      <w:r w:rsidRPr="00454B75">
        <w:rPr>
          <w:i/>
          <w:iCs/>
        </w:rPr>
        <w:t>means ‘whichever, of whatever kind, of whatever</w:t>
      </w:r>
      <w:r w:rsidR="008B286F">
        <w:rPr>
          <w:i/>
          <w:iCs/>
        </w:rPr>
        <w:t xml:space="preserve"> </w:t>
      </w:r>
      <w:r w:rsidRPr="00454B75">
        <w:rPr>
          <w:i/>
          <w:iCs/>
        </w:rPr>
        <w:t>quantity.’ Quantitatively it means a quantity or number</w:t>
      </w:r>
      <w:r w:rsidR="008B286F">
        <w:rPr>
          <w:i/>
          <w:iCs/>
        </w:rPr>
        <w:t xml:space="preserve"> </w:t>
      </w:r>
      <w:r w:rsidRPr="00454B75">
        <w:rPr>
          <w:i/>
          <w:iCs/>
        </w:rPr>
        <w:t>however large or small. In the Afrikaanse</w:t>
      </w:r>
      <w:r w:rsidR="008B286F">
        <w:rPr>
          <w:i/>
          <w:iCs/>
        </w:rPr>
        <w:t xml:space="preserve"> </w:t>
      </w:r>
      <w:r w:rsidRPr="00454B75">
        <w:rPr>
          <w:i/>
          <w:iCs/>
        </w:rPr>
        <w:t>Woordeboek the meaning of ‘enige’ is given as ‘een</w:t>
      </w:r>
      <w:r w:rsidR="008B286F">
        <w:rPr>
          <w:i/>
          <w:iCs/>
        </w:rPr>
        <w:t xml:space="preserve"> </w:t>
      </w:r>
      <w:r w:rsidRPr="00454B75">
        <w:rPr>
          <w:i/>
          <w:iCs/>
        </w:rPr>
        <w:t>of ander; watterook al.’ Judicially the word ‘any’ has</w:t>
      </w:r>
      <w:r w:rsidR="008B286F">
        <w:rPr>
          <w:i/>
          <w:iCs/>
        </w:rPr>
        <w:t xml:space="preserve"> </w:t>
      </w:r>
      <w:r w:rsidRPr="00454B75">
        <w:rPr>
          <w:i/>
          <w:iCs/>
        </w:rPr>
        <w:t>been defined as a word of very wide import, ‘and</w:t>
      </w:r>
      <w:r w:rsidR="008B286F">
        <w:rPr>
          <w:i/>
          <w:iCs/>
        </w:rPr>
        <w:t xml:space="preserve"> </w:t>
      </w:r>
      <w:r w:rsidRPr="00454B75">
        <w:rPr>
          <w:i/>
          <w:iCs/>
        </w:rPr>
        <w:t>prima facie the use of it excludes limitation</w:t>
      </w:r>
      <w:r w:rsidR="008B286F">
        <w:rPr>
          <w:i/>
          <w:iCs/>
        </w:rPr>
        <w:t>.</w:t>
      </w:r>
      <w:r w:rsidRPr="00454B75">
        <w:rPr>
          <w:i/>
          <w:iCs/>
        </w:rPr>
        <w:t>’</w:t>
      </w:r>
      <w:r w:rsidR="008B286F">
        <w:rPr>
          <w:i/>
          <w:iCs/>
        </w:rPr>
        <w:t>”</w:t>
      </w:r>
      <w:r>
        <w:rPr>
          <w:i/>
          <w:iCs/>
        </w:rPr>
        <w:t xml:space="preserve"> </w:t>
      </w:r>
    </w:p>
    <w:p w14:paraId="665D4C72" w14:textId="145F4865" w:rsidR="008B286F" w:rsidRPr="006D5CD5" w:rsidRDefault="00E2631D" w:rsidP="00E2631D">
      <w:pPr>
        <w:pStyle w:val="Heading2"/>
        <w:numPr>
          <w:ilvl w:val="0"/>
          <w:numId w:val="0"/>
        </w:numPr>
        <w:tabs>
          <w:tab w:val="left" w:pos="1871"/>
        </w:tabs>
        <w:ind w:left="1871" w:hanging="1009"/>
        <w:rPr>
          <w:i/>
          <w:iCs/>
        </w:rPr>
      </w:pPr>
      <w:r w:rsidRPr="006D5CD5">
        <w:t>[45.6]</w:t>
      </w:r>
      <w:r w:rsidRPr="006D5CD5">
        <w:tab/>
      </w:r>
      <w:r w:rsidR="00B61B10">
        <w:t>T</w:t>
      </w:r>
      <w:r w:rsidR="008B286F">
        <w:t>herefore</w:t>
      </w:r>
      <w:r w:rsidR="00B61B10">
        <w:t xml:space="preserve"> </w:t>
      </w:r>
      <w:r w:rsidR="008B286F">
        <w:t xml:space="preserve">the Bank is entitled to the proceeds of </w:t>
      </w:r>
      <w:r w:rsidR="006D5CD5">
        <w:t xml:space="preserve">all </w:t>
      </w:r>
      <w:r w:rsidR="008B286F">
        <w:t>goods sold</w:t>
      </w:r>
      <w:r w:rsidR="00B61B10">
        <w:t>,</w:t>
      </w:r>
      <w:r w:rsidR="008B286F">
        <w:t xml:space="preserve"> as a preferent creditor</w:t>
      </w:r>
      <w:r w:rsidR="00B61B10">
        <w:t>,</w:t>
      </w:r>
      <w:r w:rsidR="008B286F">
        <w:t xml:space="preserve"> and</w:t>
      </w:r>
      <w:r w:rsidR="006D5CD5">
        <w:t xml:space="preserve"> its rights are</w:t>
      </w:r>
      <w:r w:rsidR="008B286F">
        <w:t xml:space="preserve"> not limited </w:t>
      </w:r>
      <w:r w:rsidR="006D5CD5">
        <w:t>to</w:t>
      </w:r>
      <w:r w:rsidR="008B286F">
        <w:t xml:space="preserve"> the goods that it financed.  </w:t>
      </w:r>
    </w:p>
    <w:p w14:paraId="381E6AE1" w14:textId="6558A282" w:rsidR="006D5CD5" w:rsidRDefault="00E2631D" w:rsidP="00E2631D">
      <w:pPr>
        <w:pStyle w:val="Heading2"/>
        <w:numPr>
          <w:ilvl w:val="0"/>
          <w:numId w:val="0"/>
        </w:numPr>
        <w:tabs>
          <w:tab w:val="left" w:pos="1871"/>
        </w:tabs>
        <w:ind w:left="1871" w:hanging="1009"/>
      </w:pPr>
      <w:r>
        <w:t>[45.7]</w:t>
      </w:r>
      <w:r>
        <w:tab/>
      </w:r>
      <w:r w:rsidR="008B286F">
        <w:t>Furthermore</w:t>
      </w:r>
      <w:r w:rsidR="006D5CD5">
        <w:t>, because</w:t>
      </w:r>
      <w:r w:rsidR="008B286F">
        <w:t xml:space="preserve"> clause 22.2 provides that the security </w:t>
      </w:r>
      <w:r w:rsidR="009D3328">
        <w:t>i</w:t>
      </w:r>
      <w:r w:rsidR="008B286F">
        <w:t>s continuing cover security for all obligations to FRB until cancelled</w:t>
      </w:r>
      <w:r w:rsidR="006D5CD5">
        <w:t xml:space="preserve"> by FRB this</w:t>
      </w:r>
      <w:r w:rsidR="008B286F">
        <w:t xml:space="preserve"> meant that as a secured creditor, the Bank</w:t>
      </w:r>
      <w:r w:rsidR="006D5CD5">
        <w:t>’s security was unlimited</w:t>
      </w:r>
      <w:r w:rsidR="009D3328">
        <w:t>,</w:t>
      </w:r>
      <w:r w:rsidR="006D5CD5">
        <w:t xml:space="preserve"> and </w:t>
      </w:r>
      <w:r w:rsidR="008B286F">
        <w:t>entitled</w:t>
      </w:r>
      <w:r w:rsidR="006D5CD5">
        <w:t xml:space="preserve"> it</w:t>
      </w:r>
      <w:r w:rsidR="009D3328">
        <w:t>,</w:t>
      </w:r>
      <w:r w:rsidR="008B286F">
        <w:t xml:space="preserve"> to all proceeds raised from the sale of the movable</w:t>
      </w:r>
      <w:r w:rsidR="00754988">
        <w:t xml:space="preserve"> goods</w:t>
      </w:r>
      <w:r w:rsidR="008B286F">
        <w:t>.</w:t>
      </w:r>
    </w:p>
    <w:p w14:paraId="3ADC20C8" w14:textId="3C495BEF" w:rsidR="008B286F" w:rsidRDefault="00E2631D" w:rsidP="00E2631D">
      <w:pPr>
        <w:pStyle w:val="Heading2"/>
        <w:numPr>
          <w:ilvl w:val="0"/>
          <w:numId w:val="0"/>
        </w:numPr>
        <w:tabs>
          <w:tab w:val="left" w:pos="1871"/>
        </w:tabs>
        <w:ind w:left="1871" w:hanging="1009"/>
      </w:pPr>
      <w:r>
        <w:t>[45.8]</w:t>
      </w:r>
      <w:r>
        <w:tab/>
      </w:r>
      <w:r w:rsidR="006D5CD5">
        <w:t>As such to limit the ceded rights to the proceeds of the goods  financed by the Bank would not make</w:t>
      </w:r>
      <w:r w:rsidR="005B456C">
        <w:t xml:space="preserve"> commercial</w:t>
      </w:r>
      <w:r w:rsidR="006D5CD5">
        <w:t xml:space="preserve"> sense. </w:t>
      </w:r>
    </w:p>
    <w:p w14:paraId="2D6808F1" w14:textId="318AFE45" w:rsidR="006D5CD5" w:rsidRDefault="00E2631D" w:rsidP="00E2631D">
      <w:pPr>
        <w:pStyle w:val="Heading1"/>
        <w:numPr>
          <w:ilvl w:val="0"/>
          <w:numId w:val="0"/>
        </w:numPr>
        <w:tabs>
          <w:tab w:val="left" w:pos="862"/>
        </w:tabs>
        <w:ind w:left="862" w:hanging="862"/>
      </w:pPr>
      <w:r>
        <w:t>[46]</w:t>
      </w:r>
      <w:r>
        <w:tab/>
      </w:r>
      <w:r w:rsidR="00A316EA">
        <w:t>It was also sub</w:t>
      </w:r>
      <w:r w:rsidR="009D3328">
        <w:t>mitted</w:t>
      </w:r>
      <w:r w:rsidR="00A316EA">
        <w:t xml:space="preserve"> that goods</w:t>
      </w:r>
      <w:r w:rsidR="005B456C">
        <w:t xml:space="preserve"> in the Facility Letter include merchandise</w:t>
      </w:r>
      <w:r w:rsidR="009D3328">
        <w:rPr>
          <w:rStyle w:val="FootnoteReference"/>
        </w:rPr>
        <w:footnoteReference w:id="22"/>
      </w:r>
      <w:r w:rsidR="009D3328">
        <w:t xml:space="preserve"> </w:t>
      </w:r>
      <w:r w:rsidR="005B456C">
        <w:t xml:space="preserve">which is </w:t>
      </w:r>
      <w:r w:rsidR="00A316EA">
        <w:t>referenced in the case law as merchandise, supplies and raw materials</w:t>
      </w:r>
      <w:r w:rsidR="006D5CD5">
        <w:t xml:space="preserve">. </w:t>
      </w:r>
      <w:r w:rsidR="00754988">
        <w:t xml:space="preserve"> Accordingly, this </w:t>
      </w:r>
      <w:r w:rsidR="005B456C">
        <w:t xml:space="preserve">provides for a wider scale of security and makes </w:t>
      </w:r>
      <w:r w:rsidR="00A316EA">
        <w:t xml:space="preserve">commercial sense </w:t>
      </w:r>
      <w:r w:rsidR="006D5CD5">
        <w:t xml:space="preserve">as the </w:t>
      </w:r>
      <w:r w:rsidR="00A316EA">
        <w:t>Bank</w:t>
      </w:r>
      <w:r w:rsidR="006D5CD5">
        <w:t xml:space="preserve"> in concluding the </w:t>
      </w:r>
      <w:r w:rsidR="00DC4F94">
        <w:lastRenderedPageBreak/>
        <w:t>C</w:t>
      </w:r>
      <w:r w:rsidR="006D5CD5">
        <w:t>ession</w:t>
      </w:r>
      <w:r w:rsidR="00A316EA">
        <w:t xml:space="preserve"> would</w:t>
      </w:r>
      <w:r w:rsidR="005B456C">
        <w:t xml:space="preserve"> always</w:t>
      </w:r>
      <w:r w:rsidR="00A316EA">
        <w:t xml:space="preserve"> take maximum security</w:t>
      </w:r>
      <w:r w:rsidR="006D5CD5">
        <w:t>.</w:t>
      </w:r>
    </w:p>
    <w:p w14:paraId="039FDECC" w14:textId="20BA98F7" w:rsidR="00E865C4" w:rsidRPr="002D5AA3" w:rsidRDefault="00E2631D" w:rsidP="00E2631D">
      <w:pPr>
        <w:pStyle w:val="Heading1"/>
        <w:numPr>
          <w:ilvl w:val="0"/>
          <w:numId w:val="0"/>
        </w:numPr>
        <w:tabs>
          <w:tab w:val="left" w:pos="862"/>
        </w:tabs>
        <w:ind w:left="862" w:hanging="862"/>
      </w:pPr>
      <w:r w:rsidRPr="002D5AA3">
        <w:t>[47]</w:t>
      </w:r>
      <w:r w:rsidRPr="002D5AA3">
        <w:tab/>
      </w:r>
      <w:r w:rsidR="006D5CD5">
        <w:t>Th</w:t>
      </w:r>
      <w:r w:rsidR="00754988">
        <w:t>e</w:t>
      </w:r>
      <w:r w:rsidR="009D3328">
        <w:t xml:space="preserve"> submission that the</w:t>
      </w:r>
      <w:r w:rsidR="00754988">
        <w:t xml:space="preserve"> Bank took maximum security,</w:t>
      </w:r>
      <w:r w:rsidR="006D5CD5">
        <w:t xml:space="preserve"> i</w:t>
      </w:r>
      <w:r w:rsidR="00B61B10">
        <w:t xml:space="preserve">t </w:t>
      </w:r>
      <w:r w:rsidR="00754988">
        <w:t>i</w:t>
      </w:r>
      <w:r w:rsidR="00B61B10">
        <w:t>s submitted</w:t>
      </w:r>
      <w:r w:rsidR="00754988">
        <w:t>,</w:t>
      </w:r>
      <w:r w:rsidR="00B61B10">
        <w:t xml:space="preserve"> is</w:t>
      </w:r>
      <w:r w:rsidR="00A316EA">
        <w:t xml:space="preserve"> supported by the decision of </w:t>
      </w:r>
      <w:r w:rsidR="00A316EA">
        <w:rPr>
          <w:b/>
          <w:bCs/>
          <w:i/>
          <w:iCs/>
        </w:rPr>
        <w:t>Picardi Hotels Ltd v Thekweni Properties (Pty) Ltd</w:t>
      </w:r>
      <w:r w:rsidR="00E865C4" w:rsidRPr="002D5AA3">
        <w:t>:</w:t>
      </w:r>
      <w:r w:rsidR="00A316EA" w:rsidRPr="002D5AA3">
        <w:rPr>
          <w:rStyle w:val="FootnoteReference"/>
        </w:rPr>
        <w:footnoteReference w:id="23"/>
      </w:r>
    </w:p>
    <w:p w14:paraId="7AEE1599" w14:textId="181277B9" w:rsidR="00E865C4" w:rsidRPr="00E865C4" w:rsidRDefault="00E865C4" w:rsidP="002D5AA3">
      <w:pPr>
        <w:ind w:left="3022" w:hanging="3022"/>
        <w:rPr>
          <w:i/>
          <w:iCs/>
        </w:rPr>
      </w:pPr>
      <w:r>
        <w:tab/>
      </w:r>
      <w:r>
        <w:tab/>
      </w:r>
      <w:r>
        <w:rPr>
          <w:i/>
          <w:iCs/>
        </w:rPr>
        <w:t>“</w:t>
      </w:r>
      <w:r w:rsidRPr="00E865C4">
        <w:rPr>
          <w:i/>
          <w:iCs/>
        </w:rPr>
        <w:t xml:space="preserve">[12] </w:t>
      </w:r>
      <w:r>
        <w:rPr>
          <w:i/>
          <w:iCs/>
        </w:rPr>
        <w:tab/>
      </w:r>
      <w:r w:rsidRPr="00E865C4">
        <w:rPr>
          <w:i/>
          <w:iCs/>
        </w:rPr>
        <w:t>To interpret the cession in the manner contended for by the respondent would be destructive of the very purpose for which the cession in securitatem debiti was entered into, which was to provide security for the loan that the bank was to advance to the respondent. That purpose is specified in the first part of clause 8 which provides that the cession was to operate ‘as additional security for the due repayment by the Mortgagor of all amounts owing to or claimable by the Bank at any time in terms of this bond</w:t>
      </w:r>
      <w:r>
        <w:rPr>
          <w:i/>
          <w:iCs/>
        </w:rPr>
        <w:t>.</w:t>
      </w:r>
      <w:r w:rsidRPr="00E865C4">
        <w:rPr>
          <w:i/>
          <w:iCs/>
        </w:rPr>
        <w:t>’ The evidence shows that the bank required the respondent to furnish the maximum conceivable security for the loan. Were the respondent’s interpretation correct, the bank would enjoy no security from the cession in the event of the respondent’s insolvency. The bank’s representatives conceded that it could never have been the intention of the parties that the bank would not be a secured creditor in respect of the respondent’s rental revenues in the event of its insolvency.</w:t>
      </w:r>
      <w:r>
        <w:rPr>
          <w:i/>
          <w:iCs/>
        </w:rPr>
        <w:t>”</w:t>
      </w:r>
    </w:p>
    <w:p w14:paraId="554BEE17" w14:textId="094E6D0F" w:rsidR="00A316EA" w:rsidRDefault="00E2631D" w:rsidP="00E2631D">
      <w:pPr>
        <w:pStyle w:val="Heading1"/>
        <w:numPr>
          <w:ilvl w:val="0"/>
          <w:numId w:val="0"/>
        </w:numPr>
        <w:tabs>
          <w:tab w:val="left" w:pos="862"/>
        </w:tabs>
        <w:ind w:left="862" w:hanging="862"/>
      </w:pPr>
      <w:r>
        <w:t>[48]</w:t>
      </w:r>
      <w:r>
        <w:tab/>
      </w:r>
      <w:r w:rsidR="00756618">
        <w:t>In addition</w:t>
      </w:r>
      <w:r w:rsidR="00B61B10">
        <w:t>,</w:t>
      </w:r>
      <w:r w:rsidR="00E865C4">
        <w:t xml:space="preserve"> </w:t>
      </w:r>
      <w:r w:rsidR="00FD3BBA">
        <w:t>it was submitted</w:t>
      </w:r>
      <w:r w:rsidR="009D3328">
        <w:t xml:space="preserve"> that the</w:t>
      </w:r>
      <w:r w:rsidR="00E865C4">
        <w:t xml:space="preserve"> Bank was always mindful as to the need for maximum security over all the Truvelo companies’ movables including those that were not financed by it. </w:t>
      </w:r>
    </w:p>
    <w:p w14:paraId="1F1FB145" w14:textId="388CB6D2" w:rsidR="006D5CD5" w:rsidRDefault="00E2631D" w:rsidP="00E2631D">
      <w:pPr>
        <w:pStyle w:val="Heading1"/>
        <w:numPr>
          <w:ilvl w:val="0"/>
          <w:numId w:val="0"/>
        </w:numPr>
        <w:tabs>
          <w:tab w:val="left" w:pos="862"/>
        </w:tabs>
        <w:ind w:left="862" w:hanging="862"/>
      </w:pPr>
      <w:r>
        <w:lastRenderedPageBreak/>
        <w:t>[49]</w:t>
      </w:r>
      <w:r>
        <w:tab/>
      </w:r>
      <w:r w:rsidR="00756618">
        <w:t>Also</w:t>
      </w:r>
      <w:r w:rsidR="006D5CD5">
        <w:t xml:space="preserve">, </w:t>
      </w:r>
      <w:r w:rsidR="00E865C4">
        <w:t xml:space="preserve">the Court must distinguish between </w:t>
      </w:r>
      <w:r w:rsidR="00E865C4" w:rsidRPr="002D5AA3">
        <w:rPr>
          <w:i/>
          <w:iCs/>
        </w:rPr>
        <w:t>“goods”</w:t>
      </w:r>
      <w:r w:rsidR="00E865C4">
        <w:t xml:space="preserve"> and </w:t>
      </w:r>
      <w:r w:rsidR="00E865C4" w:rsidRPr="002D5AA3">
        <w:rPr>
          <w:i/>
          <w:iCs/>
        </w:rPr>
        <w:t>“Goods”</w:t>
      </w:r>
      <w:r w:rsidR="00E865C4">
        <w:t xml:space="preserve"> as set out in </w:t>
      </w:r>
      <w:r w:rsidR="007669DB">
        <w:t>clause</w:t>
      </w:r>
      <w:r w:rsidR="00B61B10">
        <w:t>s</w:t>
      </w:r>
      <w:r w:rsidR="00E865C4">
        <w:t xml:space="preserve"> 1.2.2.2 and 1.2.8 and that to the extent that goods were referred to in the lower case in 1.2.2.2 this evidenced a change in intention by the </w:t>
      </w:r>
      <w:r w:rsidR="00DC4F94">
        <w:t xml:space="preserve"> drafters</w:t>
      </w:r>
      <w:r w:rsidR="006D5CD5">
        <w:t xml:space="preserve"> of the </w:t>
      </w:r>
      <w:r w:rsidR="00DC4F94">
        <w:t>C</w:t>
      </w:r>
      <w:r w:rsidR="006D5CD5">
        <w:t>ession</w:t>
      </w:r>
      <w:r w:rsidR="00E865C4">
        <w:t xml:space="preserve"> </w:t>
      </w:r>
      <w:r w:rsidR="006D5CD5">
        <w:t xml:space="preserve">which was </w:t>
      </w:r>
      <w:r w:rsidR="00E865C4">
        <w:t>fortified</w:t>
      </w:r>
      <w:r w:rsidR="00AE6642">
        <w:t>, in any event,</w:t>
      </w:r>
      <w:r w:rsidR="00E865C4">
        <w:t xml:space="preserve"> by the use of the word </w:t>
      </w:r>
      <w:r w:rsidR="00E865C4">
        <w:rPr>
          <w:i/>
          <w:iCs/>
        </w:rPr>
        <w:t>“any”</w:t>
      </w:r>
      <w:r w:rsidR="00CB18D4">
        <w:rPr>
          <w:i/>
          <w:iCs/>
        </w:rPr>
        <w:t xml:space="preserve"> </w:t>
      </w:r>
      <w:r w:rsidR="00CB18D4" w:rsidRPr="002D5AA3">
        <w:t xml:space="preserve">preceding rights/goods.  </w:t>
      </w:r>
    </w:p>
    <w:p w14:paraId="52402B75" w14:textId="0DE22AB2" w:rsidR="00CB18D4" w:rsidRDefault="00E2631D" w:rsidP="00E2631D">
      <w:pPr>
        <w:pStyle w:val="Heading1"/>
        <w:numPr>
          <w:ilvl w:val="0"/>
          <w:numId w:val="0"/>
        </w:numPr>
        <w:tabs>
          <w:tab w:val="left" w:pos="862"/>
        </w:tabs>
        <w:ind w:left="862" w:hanging="862"/>
      </w:pPr>
      <w:r>
        <w:t>[50]</w:t>
      </w:r>
      <w:r>
        <w:tab/>
      </w:r>
      <w:r w:rsidR="006D5CD5">
        <w:t>Again</w:t>
      </w:r>
      <w:r w:rsidR="00754988">
        <w:t>,</w:t>
      </w:r>
      <w:r w:rsidR="006D5CD5">
        <w:t xml:space="preserve"> these definitions </w:t>
      </w:r>
      <w:r w:rsidR="00CB18D4" w:rsidRPr="002D5AA3">
        <w:t xml:space="preserve">evidenced that the Bank had a </w:t>
      </w:r>
      <w:r w:rsidR="00CB18D4">
        <w:t xml:space="preserve">preferent </w:t>
      </w:r>
      <w:r w:rsidR="00CB18D4" w:rsidRPr="002D5AA3">
        <w:t>right</w:t>
      </w:r>
      <w:r w:rsidR="00CB18D4">
        <w:t xml:space="preserve"> to all the proceeds from all and any movables financed </w:t>
      </w:r>
      <w:r w:rsidR="006D5CD5">
        <w:t xml:space="preserve">or </w:t>
      </w:r>
      <w:r w:rsidR="00CB18D4">
        <w:t xml:space="preserve">not </w:t>
      </w:r>
      <w:r w:rsidR="006D5CD5">
        <w:t xml:space="preserve">and </w:t>
      </w:r>
      <w:r w:rsidR="00CB18D4">
        <w:t xml:space="preserve">which were ceded to the Bank </w:t>
      </w:r>
      <w:r w:rsidR="00754988">
        <w:t>or</w:t>
      </w:r>
      <w:r w:rsidR="00CB18D4">
        <w:t xml:space="preserve"> the security would have no practical effect. </w:t>
      </w:r>
    </w:p>
    <w:p w14:paraId="23A793FC" w14:textId="2C9FEA09" w:rsidR="00CB18D4" w:rsidRDefault="00E2631D" w:rsidP="00E2631D">
      <w:pPr>
        <w:pStyle w:val="Heading1"/>
        <w:numPr>
          <w:ilvl w:val="0"/>
          <w:numId w:val="0"/>
        </w:numPr>
        <w:tabs>
          <w:tab w:val="left" w:pos="862"/>
        </w:tabs>
        <w:ind w:left="862" w:hanging="862"/>
      </w:pPr>
      <w:r>
        <w:t>[51]</w:t>
      </w:r>
      <w:r>
        <w:tab/>
      </w:r>
      <w:r w:rsidR="006D5CD5">
        <w:t>I</w:t>
      </w:r>
      <w:r w:rsidR="00CB18D4">
        <w:t xml:space="preserve">t </w:t>
      </w:r>
      <w:r w:rsidR="00AE6642">
        <w:t>is, furthermore,</w:t>
      </w:r>
      <w:r w:rsidR="00CB18D4">
        <w:t xml:space="preserve"> apposite for the court in interpreting the definition clauses in the </w:t>
      </w:r>
      <w:r w:rsidR="00DC4F94">
        <w:t>C</w:t>
      </w:r>
      <w:r w:rsidR="00CB18D4">
        <w:t xml:space="preserve">ession and more particularly the rights that were ceded to the Bank </w:t>
      </w:r>
      <w:r w:rsidR="006D5CD5">
        <w:t>to</w:t>
      </w:r>
      <w:r w:rsidR="00CB18D4">
        <w:t xml:space="preserve"> having regard to the </w:t>
      </w:r>
      <w:r w:rsidR="007C4EA5">
        <w:t>T</w:t>
      </w:r>
      <w:r w:rsidR="00CB18D4">
        <w:t xml:space="preserve">rade </w:t>
      </w:r>
      <w:r w:rsidR="00DC4F94">
        <w:t>F</w:t>
      </w:r>
      <w:r w:rsidR="00CB18D4">
        <w:t xml:space="preserve">acility </w:t>
      </w:r>
      <w:r w:rsidR="00DC4F94">
        <w:t>L</w:t>
      </w:r>
      <w:r w:rsidR="00CB18D4">
        <w:t xml:space="preserve">etter which constitutes extratextual evidence of the security requirements.  </w:t>
      </w:r>
    </w:p>
    <w:p w14:paraId="3D54DB89" w14:textId="28113391" w:rsidR="00BC4F87" w:rsidRPr="00BC4F87" w:rsidRDefault="00BC4F87" w:rsidP="00BC4F87">
      <w:pPr>
        <w:pStyle w:val="Heading1"/>
        <w:numPr>
          <w:ilvl w:val="0"/>
          <w:numId w:val="0"/>
        </w:numPr>
        <w:rPr>
          <w:b/>
          <w:bCs/>
          <w:u w:val="single"/>
        </w:rPr>
      </w:pPr>
      <w:r w:rsidRPr="00BC4F87">
        <w:rPr>
          <w:b/>
          <w:bCs/>
          <w:u w:val="single"/>
        </w:rPr>
        <w:t>TEXT</w:t>
      </w:r>
      <w:r>
        <w:rPr>
          <w:b/>
          <w:bCs/>
          <w:u w:val="single"/>
        </w:rPr>
        <w:t>, CONTEXT AND PURPOSE</w:t>
      </w:r>
    </w:p>
    <w:p w14:paraId="13696AB5" w14:textId="19C16DD9" w:rsidR="00BC4F87" w:rsidRDefault="00E2631D" w:rsidP="00E2631D">
      <w:pPr>
        <w:pStyle w:val="Heading1"/>
        <w:numPr>
          <w:ilvl w:val="0"/>
          <w:numId w:val="0"/>
        </w:numPr>
        <w:tabs>
          <w:tab w:val="left" w:pos="862"/>
        </w:tabs>
        <w:ind w:left="862" w:hanging="862"/>
      </w:pPr>
      <w:r>
        <w:t>[52]</w:t>
      </w:r>
      <w:r>
        <w:tab/>
      </w:r>
      <w:r w:rsidR="001E68B7">
        <w:t xml:space="preserve">The </w:t>
      </w:r>
      <w:r w:rsidR="00BC4F87">
        <w:t xml:space="preserve">liquidator’s counsel submitted that only on a </w:t>
      </w:r>
      <w:r w:rsidR="00BC4F87" w:rsidRPr="00BC4F87">
        <w:rPr>
          <w:i/>
          <w:iCs/>
        </w:rPr>
        <w:t>prima facie</w:t>
      </w:r>
      <w:r w:rsidR="00BC4F87">
        <w:t xml:space="preserve">  reading  of </w:t>
      </w:r>
      <w:r w:rsidR="007669DB">
        <w:t>clause</w:t>
      </w:r>
      <w:r w:rsidR="00BC4F87">
        <w:t xml:space="preserve"> 1.2.2 does it appear that the Cession relates to all goods and the other rights including the rights in </w:t>
      </w:r>
      <w:r w:rsidR="007669DB">
        <w:t>clause</w:t>
      </w:r>
      <w:r w:rsidR="00BC4F87">
        <w:t>s 1.2.2.1 to 1.2.2.4.</w:t>
      </w:r>
    </w:p>
    <w:p w14:paraId="5E05D06C" w14:textId="5B63ABC4" w:rsidR="00BC4F87" w:rsidRDefault="00E2631D" w:rsidP="00E2631D">
      <w:pPr>
        <w:pStyle w:val="Heading1"/>
        <w:numPr>
          <w:ilvl w:val="0"/>
          <w:numId w:val="0"/>
        </w:numPr>
        <w:tabs>
          <w:tab w:val="left" w:pos="862"/>
        </w:tabs>
        <w:ind w:left="862" w:hanging="862"/>
      </w:pPr>
      <w:r>
        <w:t>[53]</w:t>
      </w:r>
      <w:r>
        <w:tab/>
      </w:r>
      <w:r w:rsidR="00FD3BBA">
        <w:t>As also submitted to me, t</w:t>
      </w:r>
      <w:r w:rsidR="00BC4F87">
        <w:t xml:space="preserve">he word </w:t>
      </w:r>
      <w:r w:rsidR="00BC4F87" w:rsidRPr="00757C1B">
        <w:rPr>
          <w:i/>
          <w:iCs/>
        </w:rPr>
        <w:t>“</w:t>
      </w:r>
      <w:r w:rsidR="00BC4F87">
        <w:rPr>
          <w:i/>
          <w:iCs/>
        </w:rPr>
        <w:t>G</w:t>
      </w:r>
      <w:r w:rsidR="00BC4F87" w:rsidRPr="00757C1B">
        <w:rPr>
          <w:i/>
          <w:iCs/>
        </w:rPr>
        <w:t>oods”</w:t>
      </w:r>
      <w:r w:rsidR="00FD3BBA">
        <w:rPr>
          <w:i/>
          <w:iCs/>
        </w:rPr>
        <w:t>,</w:t>
      </w:r>
      <w:r w:rsidR="00BC4F87">
        <w:t xml:space="preserve"> </w:t>
      </w:r>
      <w:r w:rsidR="003D6404">
        <w:t xml:space="preserve">in this </w:t>
      </w:r>
      <w:r w:rsidR="007669DB">
        <w:t>clause</w:t>
      </w:r>
      <w:r w:rsidR="00FD3BBA">
        <w:t>,</w:t>
      </w:r>
      <w:r w:rsidR="003D6404">
        <w:t xml:space="preserve"> </w:t>
      </w:r>
      <w:r w:rsidR="00BC4F87">
        <w:t>is</w:t>
      </w:r>
      <w:r w:rsidR="003D6404">
        <w:t xml:space="preserve"> capitalised</w:t>
      </w:r>
      <w:r w:rsidR="007126E2">
        <w:t xml:space="preserve"> but specifically </w:t>
      </w:r>
      <w:r w:rsidR="00BC4F87">
        <w:t xml:space="preserve">defined </w:t>
      </w:r>
      <w:r w:rsidR="003D6404">
        <w:t xml:space="preserve"> </w:t>
      </w:r>
      <w:r w:rsidR="007126E2">
        <w:t xml:space="preserve">and </w:t>
      </w:r>
      <w:r w:rsidR="00BC4F87">
        <w:t xml:space="preserve">so too are each of the remaining rights, also capitalised and specifically defined. </w:t>
      </w:r>
      <w:r w:rsidR="007126E2">
        <w:t xml:space="preserve">As such the rights are not </w:t>
      </w:r>
      <w:r w:rsidR="004765D4">
        <w:t>referred to in a general way.</w:t>
      </w:r>
      <w:r w:rsidR="007126E2">
        <w:t xml:space="preserve"> </w:t>
      </w:r>
    </w:p>
    <w:p w14:paraId="0D5B2431" w14:textId="5025F638" w:rsidR="003D6404" w:rsidRDefault="00E2631D" w:rsidP="00E2631D">
      <w:pPr>
        <w:pStyle w:val="Heading1"/>
        <w:numPr>
          <w:ilvl w:val="0"/>
          <w:numId w:val="0"/>
        </w:numPr>
        <w:tabs>
          <w:tab w:val="left" w:pos="862"/>
        </w:tabs>
        <w:ind w:left="862" w:hanging="862"/>
      </w:pPr>
      <w:r>
        <w:t>[54]</w:t>
      </w:r>
      <w:r>
        <w:tab/>
      </w:r>
      <w:r w:rsidR="004765D4">
        <w:t>Further</w:t>
      </w:r>
      <w:r w:rsidR="003D6404">
        <w:t xml:space="preserve">, the Bank </w:t>
      </w:r>
      <w:r w:rsidR="0091520A">
        <w:t>proffered</w:t>
      </w:r>
      <w:r w:rsidR="003D6404">
        <w:t xml:space="preserve"> no explanation for the definition given to “</w:t>
      </w:r>
      <w:r w:rsidR="003D6404" w:rsidRPr="00BC4F87">
        <w:rPr>
          <w:i/>
          <w:iCs/>
        </w:rPr>
        <w:t>goods</w:t>
      </w:r>
      <w:r w:rsidR="003D6404">
        <w:t>” and the limitation implicit therein created by the reference to the Bank</w:t>
      </w:r>
      <w:r w:rsidR="007126E2">
        <w:t xml:space="preserve">, namely FRB/FNB, </w:t>
      </w:r>
      <w:r w:rsidR="003D6404">
        <w:t xml:space="preserve">which limited the </w:t>
      </w:r>
      <w:r w:rsidR="00AE3739">
        <w:t xml:space="preserve">ceded </w:t>
      </w:r>
      <w:r w:rsidR="003D6404">
        <w:t xml:space="preserve">right to the </w:t>
      </w:r>
      <w:r w:rsidR="00AE3739">
        <w:t xml:space="preserve">financed </w:t>
      </w:r>
      <w:r w:rsidR="003D6404">
        <w:t>good</w:t>
      </w:r>
      <w:r w:rsidR="007126E2">
        <w:t>s</w:t>
      </w:r>
      <w:r w:rsidR="00AE3739">
        <w:t xml:space="preserve">. </w:t>
      </w:r>
      <w:r w:rsidR="00FD3BBA">
        <w:t>The question arises as to the reason</w:t>
      </w:r>
      <w:r w:rsidR="003650B4">
        <w:t xml:space="preserve"> for</w:t>
      </w:r>
      <w:r w:rsidR="003D6404">
        <w:t xml:space="preserve"> th</w:t>
      </w:r>
      <w:r w:rsidR="0091520A">
        <w:t>is limitation</w:t>
      </w:r>
      <w:r w:rsidR="003D6404">
        <w:t xml:space="preserve"> if the parties intention was different.</w:t>
      </w:r>
    </w:p>
    <w:p w14:paraId="27B9778F" w14:textId="6DB83DC1" w:rsidR="007126E2" w:rsidRDefault="00E2631D" w:rsidP="00E2631D">
      <w:pPr>
        <w:pStyle w:val="Heading1"/>
        <w:numPr>
          <w:ilvl w:val="0"/>
          <w:numId w:val="0"/>
        </w:numPr>
        <w:tabs>
          <w:tab w:val="left" w:pos="862"/>
        </w:tabs>
        <w:ind w:left="862" w:hanging="862"/>
      </w:pPr>
      <w:r>
        <w:t>[55]</w:t>
      </w:r>
      <w:r>
        <w:tab/>
      </w:r>
      <w:r w:rsidR="0091520A">
        <w:t>T</w:t>
      </w:r>
      <w:r w:rsidR="007126E2">
        <w:t xml:space="preserve">he definition for goods expressly refers to the goods which FRB/FNB </w:t>
      </w:r>
      <w:r w:rsidR="007126E2">
        <w:lastRenderedPageBreak/>
        <w:t>financed</w:t>
      </w:r>
      <w:r w:rsidR="0091520A">
        <w:t>.</w:t>
      </w:r>
      <w:r w:rsidR="007126E2">
        <w:t xml:space="preserve"> </w:t>
      </w:r>
      <w:r w:rsidR="0091520A">
        <w:t>T</w:t>
      </w:r>
      <w:r w:rsidR="007126E2">
        <w:t xml:space="preserve">he Bank did not contend that the definition could mean </w:t>
      </w:r>
      <w:r w:rsidR="004765D4">
        <w:t xml:space="preserve">anything </w:t>
      </w:r>
      <w:r w:rsidR="007126E2">
        <w:t>other than</w:t>
      </w:r>
      <w:r w:rsidR="004765D4">
        <w:t xml:space="preserve"> </w:t>
      </w:r>
      <w:r w:rsidR="007C4EA5">
        <w:t xml:space="preserve">that </w:t>
      </w:r>
      <w:r w:rsidR="004765D4">
        <w:t>expressly</w:t>
      </w:r>
      <w:r w:rsidR="007126E2">
        <w:t xml:space="preserve"> provided.</w:t>
      </w:r>
    </w:p>
    <w:p w14:paraId="019B00D5" w14:textId="0DB18140" w:rsidR="00BC4F87" w:rsidRDefault="00E2631D" w:rsidP="00E2631D">
      <w:pPr>
        <w:pStyle w:val="Heading1"/>
        <w:numPr>
          <w:ilvl w:val="0"/>
          <w:numId w:val="0"/>
        </w:numPr>
        <w:tabs>
          <w:tab w:val="left" w:pos="862"/>
        </w:tabs>
        <w:ind w:left="862" w:hanging="862"/>
      </w:pPr>
      <w:r>
        <w:t>[56]</w:t>
      </w:r>
      <w:r>
        <w:tab/>
      </w:r>
      <w:r w:rsidR="003D6404">
        <w:t xml:space="preserve">Furthermore, and to the extent that it was submitted to me by the Bank that the word </w:t>
      </w:r>
      <w:r w:rsidR="003D6404" w:rsidRPr="00757C1B">
        <w:rPr>
          <w:i/>
          <w:iCs/>
        </w:rPr>
        <w:t>“including”</w:t>
      </w:r>
      <w:r w:rsidR="003D6404">
        <w:t xml:space="preserve"> extended</w:t>
      </w:r>
      <w:r w:rsidR="00FD3BBA">
        <w:t xml:space="preserve"> and </w:t>
      </w:r>
      <w:r w:rsidR="007126E2">
        <w:t>included</w:t>
      </w:r>
      <w:r w:rsidR="003D6404">
        <w:t xml:space="preserve"> the nature of the rights, this cannot be faulted. </w:t>
      </w:r>
      <w:r w:rsidR="0091520A">
        <w:t xml:space="preserve"> Yet I do not  agree that “</w:t>
      </w:r>
      <w:r w:rsidR="0091520A" w:rsidRPr="00FD3BBA">
        <w:rPr>
          <w:i/>
          <w:iCs/>
        </w:rPr>
        <w:t>including</w:t>
      </w:r>
      <w:r w:rsidR="0091520A">
        <w:t>” permitted  a  change to the meaning of “</w:t>
      </w:r>
      <w:r w:rsidR="0091520A" w:rsidRPr="0091520A">
        <w:rPr>
          <w:i/>
          <w:iCs/>
        </w:rPr>
        <w:t>goods</w:t>
      </w:r>
      <w:r w:rsidR="0091520A">
        <w:t>”, as defined</w:t>
      </w:r>
      <w:r w:rsidR="00FD3BBA">
        <w:t xml:space="preserve"> to include all goods</w:t>
      </w:r>
      <w:r w:rsidR="0091520A">
        <w:t xml:space="preserve">.  Rather </w:t>
      </w:r>
      <w:r w:rsidR="00BC4F87">
        <w:t xml:space="preserve">the qualifying </w:t>
      </w:r>
      <w:r w:rsidR="007669DB">
        <w:t>clause</w:t>
      </w:r>
      <w:r w:rsidR="0091520A">
        <w:t>,</w:t>
      </w:r>
      <w:r w:rsidR="00BC4F87">
        <w:t xml:space="preserve"> </w:t>
      </w:r>
      <w:r w:rsidR="003D6404">
        <w:t>in my view,</w:t>
      </w:r>
      <w:r w:rsidR="00BC4F87">
        <w:t xml:space="preserve"> emphasises the very right stipulated for</w:t>
      </w:r>
      <w:r w:rsidR="003D6404">
        <w:t xml:space="preserve"> -</w:t>
      </w:r>
      <w:r w:rsidR="00BC4F87">
        <w:t xml:space="preserve"> the right to the proceeds on the disposal of the goods, as</w:t>
      </w:r>
      <w:r w:rsidR="00FD3BBA">
        <w:t xml:space="preserve"> financed</w:t>
      </w:r>
      <w:r w:rsidR="00BC4F87">
        <w:t xml:space="preserve">. I am of the view that in so doing the </w:t>
      </w:r>
      <w:r w:rsidR="007126E2">
        <w:t xml:space="preserve">ceded </w:t>
      </w:r>
      <w:r w:rsidR="007C4EA5">
        <w:t xml:space="preserve">right </w:t>
      </w:r>
      <w:r w:rsidR="00BC4F87">
        <w:t>remained the same, and its ambit did not change</w:t>
      </w:r>
      <w:r w:rsidR="00A23F90">
        <w:t>,</w:t>
      </w:r>
      <w:r w:rsidR="00FD3BBA">
        <w:t xml:space="preserve"> </w:t>
      </w:r>
      <w:r w:rsidR="00754988">
        <w:t>contrary to what</w:t>
      </w:r>
      <w:r w:rsidR="00A23F90">
        <w:t xml:space="preserve"> the Bank contends</w:t>
      </w:r>
      <w:r w:rsidR="00BC4F87">
        <w:t>. As such “</w:t>
      </w:r>
      <w:r w:rsidR="00BC4F87" w:rsidRPr="00BC4F87">
        <w:rPr>
          <w:i/>
          <w:iCs/>
        </w:rPr>
        <w:t>goods</w:t>
      </w:r>
      <w:r w:rsidR="00BC4F87">
        <w:t xml:space="preserve">” cannot be given a different meaning inconsistent with its definition. </w:t>
      </w:r>
    </w:p>
    <w:p w14:paraId="629D74A4" w14:textId="118746BD" w:rsidR="00BC4F87" w:rsidRDefault="00E2631D" w:rsidP="00E2631D">
      <w:pPr>
        <w:pStyle w:val="Heading1"/>
        <w:numPr>
          <w:ilvl w:val="0"/>
          <w:numId w:val="0"/>
        </w:numPr>
        <w:tabs>
          <w:tab w:val="left" w:pos="862"/>
        </w:tabs>
        <w:ind w:left="862" w:hanging="862"/>
      </w:pPr>
      <w:r>
        <w:t>[57]</w:t>
      </w:r>
      <w:r>
        <w:tab/>
      </w:r>
      <w:r w:rsidR="007126E2">
        <w:t xml:space="preserve"> As a result goods in clause 1.2.2 is affirmed by</w:t>
      </w:r>
      <w:r w:rsidR="007C4EA5">
        <w:t xml:space="preserve"> clause</w:t>
      </w:r>
      <w:r w:rsidR="007126E2">
        <w:t xml:space="preserve"> 1.2.2.2. </w:t>
      </w:r>
    </w:p>
    <w:p w14:paraId="3BD3A16D" w14:textId="09F83148" w:rsidR="006D5CD5" w:rsidRDefault="00E2631D" w:rsidP="00E2631D">
      <w:pPr>
        <w:pStyle w:val="Heading1"/>
        <w:numPr>
          <w:ilvl w:val="0"/>
          <w:numId w:val="0"/>
        </w:numPr>
        <w:tabs>
          <w:tab w:val="left" w:pos="862"/>
        </w:tabs>
        <w:ind w:left="862" w:hanging="862"/>
      </w:pPr>
      <w:r>
        <w:t>[58]</w:t>
      </w:r>
      <w:r>
        <w:tab/>
      </w:r>
      <w:r w:rsidR="00BC4F87">
        <w:t xml:space="preserve">The </w:t>
      </w:r>
      <w:r w:rsidR="00AE3739">
        <w:t>liquidators’</w:t>
      </w:r>
      <w:r w:rsidR="00BC4F87">
        <w:t xml:space="preserve"> counsel</w:t>
      </w:r>
      <w:r w:rsidR="00FD3BBA">
        <w:t xml:space="preserve"> </w:t>
      </w:r>
      <w:r w:rsidR="0091520A">
        <w:t xml:space="preserve">also </w:t>
      </w:r>
      <w:r w:rsidR="00BC4F87">
        <w:t xml:space="preserve">countered the </w:t>
      </w:r>
      <w:r w:rsidR="001E68B7">
        <w:t>submission made that</w:t>
      </w:r>
      <w:r w:rsidR="00AE6642">
        <w:t xml:space="preserve"> in interpreting the qualification</w:t>
      </w:r>
      <w:r w:rsidR="00BC4F87">
        <w:t>,</w:t>
      </w:r>
      <w:r w:rsidR="001E68B7">
        <w:t xml:space="preserve"> </w:t>
      </w:r>
      <w:r w:rsidR="006D5CD5">
        <w:t>preceded</w:t>
      </w:r>
      <w:r w:rsidR="00AE6642">
        <w:t xml:space="preserve"> as it is</w:t>
      </w:r>
      <w:r w:rsidR="006D5CD5">
        <w:t xml:space="preserve"> by the word</w:t>
      </w:r>
      <w:r w:rsidR="001E68B7">
        <w:t xml:space="preserve"> </w:t>
      </w:r>
      <w:r w:rsidR="001E68B7" w:rsidRPr="00757C1B">
        <w:rPr>
          <w:i/>
          <w:iCs/>
        </w:rPr>
        <w:t>“any</w:t>
      </w:r>
      <w:r w:rsidR="00BC4F87">
        <w:rPr>
          <w:i/>
          <w:iCs/>
        </w:rPr>
        <w:t>,</w:t>
      </w:r>
      <w:r w:rsidR="001E68B7" w:rsidRPr="00757C1B">
        <w:rPr>
          <w:i/>
          <w:iCs/>
        </w:rPr>
        <w:t>”</w:t>
      </w:r>
      <w:r w:rsidR="001E68B7">
        <w:t xml:space="preserve"> </w:t>
      </w:r>
      <w:r w:rsidR="006D5CD5">
        <w:t xml:space="preserve"> </w:t>
      </w:r>
      <w:r w:rsidR="00AE6642">
        <w:t>t</w:t>
      </w:r>
      <w:r w:rsidR="00BC4F87">
        <w:t>his</w:t>
      </w:r>
      <w:r w:rsidR="001E68B7">
        <w:t xml:space="preserve"> broad</w:t>
      </w:r>
      <w:r w:rsidR="006D5CD5">
        <w:t>en</w:t>
      </w:r>
      <w:r w:rsidR="00BC4F87">
        <w:t>ed</w:t>
      </w:r>
      <w:r w:rsidR="001E68B7">
        <w:t xml:space="preserve"> the interpretation to include all rights and goods</w:t>
      </w:r>
      <w:r w:rsidR="00AE3739">
        <w:t xml:space="preserve"> generally</w:t>
      </w:r>
      <w:r w:rsidR="001E68B7">
        <w:t xml:space="preserve"> and not as defined</w:t>
      </w:r>
      <w:r w:rsidR="00BC4F87">
        <w:t>.</w:t>
      </w:r>
      <w:r w:rsidR="006D5CD5">
        <w:t xml:space="preserve"> </w:t>
      </w:r>
      <w:r w:rsidR="00BC4F87">
        <w:t>T</w:t>
      </w:r>
      <w:r w:rsidR="006D5CD5">
        <w:t xml:space="preserve">he court </w:t>
      </w:r>
      <w:r w:rsidR="00BC4F87">
        <w:t xml:space="preserve">was cautioned to </w:t>
      </w:r>
      <w:r w:rsidR="006D5CD5">
        <w:t>be cautious</w:t>
      </w:r>
      <w:r w:rsidR="00BC4F87">
        <w:t xml:space="preserve"> not to read the word </w:t>
      </w:r>
      <w:r w:rsidR="00BC4F87" w:rsidRPr="00757C1B">
        <w:rPr>
          <w:i/>
          <w:iCs/>
        </w:rPr>
        <w:t>“any”</w:t>
      </w:r>
      <w:r w:rsidR="00BC4F87">
        <w:t xml:space="preserve">  out context</w:t>
      </w:r>
      <w:r w:rsidR="001E68B7">
        <w:t xml:space="preserve">. </w:t>
      </w:r>
      <w:r w:rsidR="006D5CD5">
        <w:t>Rather</w:t>
      </w:r>
      <w:r w:rsidR="00FD3BBA">
        <w:t>,</w:t>
      </w:r>
      <w:r w:rsidR="006D5CD5">
        <w:t xml:space="preserve"> I</w:t>
      </w:r>
      <w:r w:rsidR="003D6404">
        <w:t xml:space="preserve"> should</w:t>
      </w:r>
      <w:r w:rsidR="001E68B7">
        <w:t xml:space="preserve"> consider the interpretation of the word within the context of the sentence and the definition clause.</w:t>
      </w:r>
    </w:p>
    <w:p w14:paraId="43F2C485" w14:textId="4F7D0366" w:rsidR="00AE3739" w:rsidRDefault="00E2631D" w:rsidP="00E2631D">
      <w:pPr>
        <w:pStyle w:val="Heading1"/>
        <w:numPr>
          <w:ilvl w:val="0"/>
          <w:numId w:val="0"/>
        </w:numPr>
        <w:tabs>
          <w:tab w:val="left" w:pos="862"/>
        </w:tabs>
        <w:ind w:left="862" w:hanging="862"/>
      </w:pPr>
      <w:r>
        <w:t>[59]</w:t>
      </w:r>
      <w:r>
        <w:tab/>
      </w:r>
      <w:r w:rsidR="001E68B7">
        <w:t>I agree</w:t>
      </w:r>
      <w:r w:rsidR="006377D3">
        <w:t>.</w:t>
      </w:r>
      <w:r w:rsidR="001E68B7">
        <w:t xml:space="preserve"> </w:t>
      </w:r>
      <w:r w:rsidR="00132E13">
        <w:t>On a plain reading of the qualification the Bank was entitled to any rights/ goods that were disposed of or sold</w:t>
      </w:r>
      <w:r w:rsidR="00DC4F94">
        <w:t>.</w:t>
      </w:r>
      <w:r w:rsidR="00AE3739">
        <w:t xml:space="preserve"> </w:t>
      </w:r>
      <w:r w:rsidR="00A23F90">
        <w:t xml:space="preserve"> The words preceding “any”, namely “</w:t>
      </w:r>
      <w:r w:rsidR="00A23F90" w:rsidRPr="00A23F90">
        <w:rPr>
          <w:i/>
          <w:iCs/>
        </w:rPr>
        <w:t>the proceeds on the disposal or realisation of any rights/ goods</w:t>
      </w:r>
      <w:r w:rsidR="00A23F90">
        <w:t>” give context and meaning to the word  “</w:t>
      </w:r>
      <w:r w:rsidR="00A23F90" w:rsidRPr="00A23F90">
        <w:rPr>
          <w:i/>
          <w:iCs/>
        </w:rPr>
        <w:t>any</w:t>
      </w:r>
      <w:r w:rsidR="00A23F90">
        <w:t>” in the sentence.  This is b</w:t>
      </w:r>
      <w:r w:rsidR="00AE3739">
        <w:t>ecause</w:t>
      </w:r>
      <w:r w:rsidR="00DC4F94">
        <w:t xml:space="preserve"> </w:t>
      </w:r>
      <w:r w:rsidR="00AE3739">
        <w:t>n</w:t>
      </w:r>
      <w:r w:rsidR="00DC4F94">
        <w:t>ot all of the rights ceded to the Bank are capable of being sold</w:t>
      </w:r>
      <w:r w:rsidR="00FD3BBA">
        <w:t xml:space="preserve"> </w:t>
      </w:r>
      <w:r w:rsidR="00754988">
        <w:t xml:space="preserve">and </w:t>
      </w:r>
      <w:r w:rsidR="00DC4F94">
        <w:t>the use of the word “</w:t>
      </w:r>
      <w:r w:rsidR="00DC4F94" w:rsidRPr="00AE3739">
        <w:rPr>
          <w:i/>
          <w:iCs/>
        </w:rPr>
        <w:t>any</w:t>
      </w:r>
      <w:r w:rsidR="00DC4F94">
        <w:t>” recognised this</w:t>
      </w:r>
      <w:r w:rsidR="00A23F90">
        <w:t xml:space="preserve"> and referred to any </w:t>
      </w:r>
      <w:r w:rsidR="00FD3BBA">
        <w:t xml:space="preserve"> of those </w:t>
      </w:r>
      <w:r w:rsidR="00A23F90">
        <w:t xml:space="preserve">rights which </w:t>
      </w:r>
      <w:r w:rsidR="00754988">
        <w:t xml:space="preserve">could be </w:t>
      </w:r>
      <w:r w:rsidR="00A23F90">
        <w:t>sold or disposed of</w:t>
      </w:r>
      <w:r w:rsidR="00DC4F94">
        <w:t xml:space="preserve">. </w:t>
      </w:r>
    </w:p>
    <w:p w14:paraId="40170385" w14:textId="13EB9342" w:rsidR="006377D3" w:rsidRDefault="00E2631D" w:rsidP="00E2631D">
      <w:pPr>
        <w:pStyle w:val="Heading1"/>
        <w:numPr>
          <w:ilvl w:val="0"/>
          <w:numId w:val="0"/>
        </w:numPr>
        <w:tabs>
          <w:tab w:val="left" w:pos="862"/>
        </w:tabs>
        <w:ind w:left="862" w:hanging="862"/>
      </w:pPr>
      <w:r>
        <w:t>[60]</w:t>
      </w:r>
      <w:r>
        <w:tab/>
      </w:r>
      <w:r w:rsidR="00DC4F94">
        <w:t>Also, i</w:t>
      </w:r>
      <w:r w:rsidR="001E68B7">
        <w:t xml:space="preserve">t </w:t>
      </w:r>
      <w:r w:rsidR="00DC4F94">
        <w:t xml:space="preserve"> is </w:t>
      </w:r>
      <w:r w:rsidR="001E68B7">
        <w:t xml:space="preserve">contradictory to have </w:t>
      </w:r>
      <w:r w:rsidR="00FD3BBA">
        <w:t xml:space="preserve">specifically </w:t>
      </w:r>
      <w:r w:rsidR="001E68B7">
        <w:t xml:space="preserve">defined goods </w:t>
      </w:r>
      <w:r w:rsidR="00AE3739">
        <w:t xml:space="preserve">as </w:t>
      </w:r>
      <w:r w:rsidR="006D5CD5">
        <w:t>goods</w:t>
      </w:r>
      <w:r w:rsidR="001E68B7">
        <w:t xml:space="preserve"> that were financed by</w:t>
      </w:r>
      <w:r w:rsidR="00B61B10">
        <w:t xml:space="preserve"> the Bank</w:t>
      </w:r>
      <w:r w:rsidR="001E68B7">
        <w:t xml:space="preserve"> and then include</w:t>
      </w:r>
      <w:r w:rsidR="006042C7">
        <w:t>,</w:t>
      </w:r>
      <w:r w:rsidR="001E68B7">
        <w:t xml:space="preserve"> as a ceded interest</w:t>
      </w:r>
      <w:r w:rsidR="006042C7">
        <w:t>,</w:t>
      </w:r>
      <w:r w:rsidR="001E68B7">
        <w:t xml:space="preserve"> any </w:t>
      </w:r>
      <w:r w:rsidR="001E68B7">
        <w:lastRenderedPageBreak/>
        <w:t xml:space="preserve">rights to the proceeds of any goods. </w:t>
      </w:r>
      <w:r w:rsidR="00AE3739">
        <w:t>I</w:t>
      </w:r>
      <w:r w:rsidR="0091520A">
        <w:t>t</w:t>
      </w:r>
      <w:r w:rsidR="00AE3739">
        <w:t xml:space="preserve"> would</w:t>
      </w:r>
      <w:r w:rsidR="0091520A">
        <w:t xml:space="preserve"> render the definition </w:t>
      </w:r>
      <w:r w:rsidR="00FD3BBA">
        <w:t xml:space="preserve">of </w:t>
      </w:r>
      <w:r w:rsidR="00FD3BBA" w:rsidRPr="00757C1B">
        <w:rPr>
          <w:i/>
          <w:iCs/>
        </w:rPr>
        <w:t>“goods”</w:t>
      </w:r>
      <w:r w:rsidR="00FD3BBA">
        <w:t xml:space="preserve"> </w:t>
      </w:r>
      <w:r w:rsidR="0091520A">
        <w:t xml:space="preserve">unhelpful and require that  I </w:t>
      </w:r>
      <w:r w:rsidR="00AE3739">
        <w:t xml:space="preserve"> </w:t>
      </w:r>
      <w:r w:rsidR="001E68B7">
        <w:t xml:space="preserve">ignore the definition </w:t>
      </w:r>
      <w:r w:rsidR="0091520A">
        <w:t>when reading</w:t>
      </w:r>
      <w:r w:rsidR="001E68B7">
        <w:t xml:space="preserve"> all of the </w:t>
      </w:r>
      <w:r w:rsidR="007669DB">
        <w:t>clause</w:t>
      </w:r>
      <w:r w:rsidR="001E68B7">
        <w:t>s</w:t>
      </w:r>
      <w:r w:rsidR="006D5CD5">
        <w:t xml:space="preserve"> referencing </w:t>
      </w:r>
      <w:r w:rsidR="001E68B7">
        <w:t>goods</w:t>
      </w:r>
      <w:r w:rsidR="0091520A">
        <w:t xml:space="preserve">. </w:t>
      </w:r>
      <w:r w:rsidR="007C4EA5">
        <w:t>Furthermore</w:t>
      </w:r>
      <w:r w:rsidR="006042C7">
        <w:t>,</w:t>
      </w:r>
      <w:r w:rsidR="007C4EA5">
        <w:t xml:space="preserve"> all of the remaining rights were also specifically defined</w:t>
      </w:r>
      <w:r w:rsidR="00125DD1">
        <w:t>. O</w:t>
      </w:r>
      <w:r w:rsidR="007C4EA5">
        <w:t>n the Bank’s reasoning th</w:t>
      </w:r>
      <w:r w:rsidR="0091520A">
        <w:t>e</w:t>
      </w:r>
      <w:r w:rsidR="007C4EA5">
        <w:t>se definitions</w:t>
      </w:r>
      <w:r w:rsidR="006042C7">
        <w:t xml:space="preserve"> should and could</w:t>
      </w:r>
      <w:r w:rsidR="007C4EA5">
        <w:t xml:space="preserve"> be ignored too</w:t>
      </w:r>
      <w:r w:rsidR="0091520A">
        <w:t xml:space="preserve"> when encountering the</w:t>
      </w:r>
      <w:r w:rsidR="00125DD1">
        <w:t>se</w:t>
      </w:r>
      <w:r w:rsidR="0091520A">
        <w:t xml:space="preserve"> terms in the Cession</w:t>
      </w:r>
      <w:r w:rsidR="007C4EA5">
        <w:t>.</w:t>
      </w:r>
      <w:r w:rsidR="001E68B7">
        <w:t xml:space="preserve">  </w:t>
      </w:r>
    </w:p>
    <w:p w14:paraId="4517A724" w14:textId="510DA7CF" w:rsidR="00AE3739" w:rsidRDefault="00E2631D" w:rsidP="00E2631D">
      <w:pPr>
        <w:pStyle w:val="Heading1"/>
        <w:numPr>
          <w:ilvl w:val="0"/>
          <w:numId w:val="0"/>
        </w:numPr>
        <w:tabs>
          <w:tab w:val="left" w:pos="862"/>
        </w:tabs>
        <w:ind w:left="862" w:hanging="862"/>
      </w:pPr>
      <w:r>
        <w:t>[61]</w:t>
      </w:r>
      <w:r>
        <w:tab/>
      </w:r>
      <w:r w:rsidR="00AE3739">
        <w:t xml:space="preserve">As also submitted to me by the liquidators’ counsel, the ceded interests, as defined and listed in </w:t>
      </w:r>
      <w:r w:rsidR="007669DB">
        <w:t>clause</w:t>
      </w:r>
      <w:r w:rsidR="00AE3739">
        <w:t xml:space="preserve"> 1.2.2 of the Cession, corresponds with the new security that is required in </w:t>
      </w:r>
      <w:r w:rsidR="007669DB">
        <w:t>clause</w:t>
      </w:r>
      <w:r w:rsidR="00AE3739">
        <w:t xml:space="preserve"> 9 of the Facility Letter and reads like “</w:t>
      </w:r>
      <w:r w:rsidR="00AE3739" w:rsidRPr="00132E13">
        <w:rPr>
          <w:i/>
          <w:iCs/>
        </w:rPr>
        <w:t>a wish list</w:t>
      </w:r>
      <w:r w:rsidR="00AE3739">
        <w:t>”  of  security which was then ceded to the Bank</w:t>
      </w:r>
      <w:r w:rsidR="004A0EFD">
        <w:t xml:space="preserve"> and the adjacen</w:t>
      </w:r>
      <w:r w:rsidR="00C47C30">
        <w:t>t</w:t>
      </w:r>
      <w:r w:rsidR="004A0EFD">
        <w:t xml:space="preserve"> rights</w:t>
      </w:r>
      <w:r w:rsidR="00C47C30">
        <w:t xml:space="preserve"> or related rights in clause 1.2.2.2</w:t>
      </w:r>
      <w:r w:rsidR="00AE3739">
        <w:t>. As such the security provided in the Cession agreement is directly linked to</w:t>
      </w:r>
      <w:r w:rsidR="004A0EFD">
        <w:t xml:space="preserve"> and gives effect to</w:t>
      </w:r>
      <w:r w:rsidR="00AE3739">
        <w:t xml:space="preserve"> the Facility Letter. </w:t>
      </w:r>
      <w:r w:rsidR="004A0EFD">
        <w:t xml:space="preserve"> </w:t>
      </w:r>
      <w:r w:rsidR="00AE3739">
        <w:t xml:space="preserve"> </w:t>
      </w:r>
    </w:p>
    <w:p w14:paraId="64134567" w14:textId="2D8E8EEB" w:rsidR="003D6404" w:rsidRDefault="00E2631D" w:rsidP="00E2631D">
      <w:pPr>
        <w:pStyle w:val="Heading1"/>
        <w:numPr>
          <w:ilvl w:val="0"/>
          <w:numId w:val="0"/>
        </w:numPr>
        <w:tabs>
          <w:tab w:val="left" w:pos="862"/>
        </w:tabs>
        <w:ind w:left="862" w:hanging="862"/>
      </w:pPr>
      <w:r>
        <w:t>[62]</w:t>
      </w:r>
      <w:r>
        <w:tab/>
      </w:r>
      <w:r w:rsidR="003D6404">
        <w:t>The Cession agreement naturally provide</w:t>
      </w:r>
      <w:r w:rsidR="007126E2">
        <w:t>s</w:t>
      </w:r>
      <w:r w:rsidR="003D6404">
        <w:t xml:space="preserve"> more detail about the nature of the security required, as it was a requirement of the Facility Letter.  </w:t>
      </w:r>
    </w:p>
    <w:p w14:paraId="6D8C959D" w14:textId="6433AD5C" w:rsidR="00AE3739" w:rsidRDefault="00E2631D" w:rsidP="00E2631D">
      <w:pPr>
        <w:pStyle w:val="Heading1"/>
        <w:numPr>
          <w:ilvl w:val="0"/>
          <w:numId w:val="0"/>
        </w:numPr>
        <w:tabs>
          <w:tab w:val="left" w:pos="862"/>
        </w:tabs>
        <w:ind w:left="862" w:hanging="862"/>
      </w:pPr>
      <w:r>
        <w:t>[63]</w:t>
      </w:r>
      <w:r>
        <w:tab/>
      </w:r>
      <w:r w:rsidR="007126E2">
        <w:t>I</w:t>
      </w:r>
      <w:r w:rsidR="00AE3739">
        <w:t xml:space="preserve">n the Facility Letter </w:t>
      </w:r>
      <w:r w:rsidR="00AE3739" w:rsidRPr="002D5AA3">
        <w:rPr>
          <w:i/>
          <w:iCs/>
        </w:rPr>
        <w:t>“goods”</w:t>
      </w:r>
      <w:r w:rsidR="00AE3739">
        <w:t xml:space="preserve"> </w:t>
      </w:r>
      <w:r w:rsidR="00AE3739">
        <w:rPr>
          <w:rStyle w:val="FootnoteReference"/>
        </w:rPr>
        <w:footnoteReference w:id="24"/>
      </w:r>
      <w:r w:rsidR="00AE3739">
        <w:t>are defined as :</w:t>
      </w:r>
    </w:p>
    <w:p w14:paraId="7E0A55DA" w14:textId="39E7E62F" w:rsidR="00AE3739" w:rsidRPr="00AE3739" w:rsidRDefault="00AE3739" w:rsidP="00AE3739">
      <w:pPr>
        <w:ind w:left="3022" w:hanging="1151"/>
        <w:rPr>
          <w:i/>
          <w:iCs/>
        </w:rPr>
      </w:pPr>
      <w:r>
        <w:rPr>
          <w:i/>
          <w:iCs/>
        </w:rPr>
        <w:t>“</w:t>
      </w:r>
      <w:r>
        <w:rPr>
          <w:b/>
          <w:bCs/>
          <w:i/>
          <w:iCs/>
        </w:rPr>
        <w:t>Goods</w:t>
      </w:r>
      <w:r>
        <w:rPr>
          <w:i/>
          <w:iCs/>
        </w:rPr>
        <w:t xml:space="preserve"> – Sniper Rifles and Accessories and all other goods, or merchandise FNB  may from time to time decide to finance.”</w:t>
      </w:r>
    </w:p>
    <w:p w14:paraId="3753E2E6" w14:textId="3A4E2D7B" w:rsidR="006377D3" w:rsidRDefault="00E2631D" w:rsidP="00E2631D">
      <w:pPr>
        <w:pStyle w:val="Heading1"/>
        <w:numPr>
          <w:ilvl w:val="0"/>
          <w:numId w:val="0"/>
        </w:numPr>
        <w:tabs>
          <w:tab w:val="left" w:pos="862"/>
        </w:tabs>
        <w:ind w:left="862" w:hanging="862"/>
      </w:pPr>
      <w:r>
        <w:t>[64]</w:t>
      </w:r>
      <w:r>
        <w:tab/>
      </w:r>
      <w:r w:rsidR="006D5CD5">
        <w:t xml:space="preserve">It is clear from reading the </w:t>
      </w:r>
      <w:r w:rsidR="00DC4F94">
        <w:t>F</w:t>
      </w:r>
      <w:r w:rsidR="006D5CD5">
        <w:t xml:space="preserve">acility </w:t>
      </w:r>
      <w:r w:rsidR="00DC4F94">
        <w:t>L</w:t>
      </w:r>
      <w:r w:rsidR="006D5CD5">
        <w:t xml:space="preserve">etter and the </w:t>
      </w:r>
      <w:r w:rsidR="00DC4F94">
        <w:t>C</w:t>
      </w:r>
      <w:r w:rsidR="006D5CD5">
        <w:t>ession</w:t>
      </w:r>
      <w:r w:rsidR="00B61B10">
        <w:t xml:space="preserve"> agreement</w:t>
      </w:r>
      <w:r w:rsidR="006D5CD5">
        <w:t xml:space="preserve"> that the definition ascribed to </w:t>
      </w:r>
      <w:r w:rsidR="006D5CD5" w:rsidRPr="00DC4F94">
        <w:rPr>
          <w:i/>
          <w:iCs/>
        </w:rPr>
        <w:t>“goods”</w:t>
      </w:r>
      <w:r w:rsidR="006D5CD5">
        <w:t xml:space="preserve"> is almost identical </w:t>
      </w:r>
      <w:r w:rsidR="007126E2">
        <w:t xml:space="preserve">in scope and </w:t>
      </w:r>
      <w:r w:rsidR="004765D4">
        <w:t>substance</w:t>
      </w:r>
      <w:r w:rsidR="002E618F">
        <w:t xml:space="preserve"> </w:t>
      </w:r>
      <w:r w:rsidR="006D5CD5">
        <w:t>and referred to</w:t>
      </w:r>
      <w:r w:rsidR="00AE6642">
        <w:t xml:space="preserve"> the</w:t>
      </w:r>
      <w:r w:rsidR="006D5CD5">
        <w:t xml:space="preserve"> firearms </w:t>
      </w:r>
      <w:r w:rsidR="001E68B7">
        <w:t xml:space="preserve">which </w:t>
      </w:r>
      <w:r w:rsidR="006D5CD5">
        <w:t>would</w:t>
      </w:r>
      <w:r w:rsidR="001E68B7">
        <w:t xml:space="preserve"> be financed</w:t>
      </w:r>
      <w:r w:rsidR="006D5CD5">
        <w:t xml:space="preserve"> by the Bank</w:t>
      </w:r>
      <w:r w:rsidR="001E68B7">
        <w:t xml:space="preserve"> from time to time</w:t>
      </w:r>
      <w:r w:rsidR="006D5CD5">
        <w:t>.</w:t>
      </w:r>
      <w:r w:rsidR="00132E13">
        <w:t xml:space="preserve"> </w:t>
      </w:r>
      <w:r w:rsidR="002E618F">
        <w:t xml:space="preserve"> The </w:t>
      </w:r>
      <w:r w:rsidR="00132E13">
        <w:t>new security</w:t>
      </w:r>
      <w:r w:rsidR="002E618F">
        <w:t xml:space="preserve"> namely “</w:t>
      </w:r>
      <w:r w:rsidR="002E618F" w:rsidRPr="00AE3739">
        <w:rPr>
          <w:i/>
          <w:iCs/>
        </w:rPr>
        <w:t>Goods/ merchandise</w:t>
      </w:r>
      <w:r w:rsidR="002E618F">
        <w:t>”, called for in the Facility Letter is limited to financed goods</w:t>
      </w:r>
      <w:r w:rsidR="00132E13">
        <w:t xml:space="preserve"> just as each other </w:t>
      </w:r>
      <w:r w:rsidR="004765D4">
        <w:t>ceded</w:t>
      </w:r>
      <w:r w:rsidR="00132E13">
        <w:t xml:space="preserve"> right </w:t>
      </w:r>
      <w:r w:rsidR="002E618F">
        <w:t>i</w:t>
      </w:r>
      <w:r w:rsidR="00132E13">
        <w:t>s defined</w:t>
      </w:r>
      <w:r w:rsidR="00B61B10">
        <w:t xml:space="preserve">, </w:t>
      </w:r>
      <w:r w:rsidR="00132E13">
        <w:t xml:space="preserve">such as </w:t>
      </w:r>
      <w:r w:rsidR="00AE3739">
        <w:t>B</w:t>
      </w:r>
      <w:r w:rsidR="00132E13">
        <w:t xml:space="preserve">ook </w:t>
      </w:r>
      <w:r w:rsidR="00AE3739">
        <w:t>D</w:t>
      </w:r>
      <w:r w:rsidR="00132E13">
        <w:t>ebts etc.</w:t>
      </w:r>
      <w:r w:rsidR="00B61B10">
        <w:t xml:space="preserve">, </w:t>
      </w:r>
      <w:r w:rsidR="00AE3739">
        <w:t xml:space="preserve">and the intention is </w:t>
      </w:r>
      <w:r w:rsidR="00AE3739">
        <w:lastRenderedPageBreak/>
        <w:t>clear</w:t>
      </w:r>
      <w:r w:rsidR="00132E13">
        <w:t>.</w:t>
      </w:r>
      <w:r w:rsidR="001E68B7">
        <w:t xml:space="preserve"> </w:t>
      </w:r>
    </w:p>
    <w:p w14:paraId="48D8A0B4" w14:textId="2A9BE934" w:rsidR="00AE6642" w:rsidRDefault="00E2631D" w:rsidP="00E2631D">
      <w:pPr>
        <w:pStyle w:val="Heading1"/>
        <w:numPr>
          <w:ilvl w:val="0"/>
          <w:numId w:val="0"/>
        </w:numPr>
        <w:tabs>
          <w:tab w:val="left" w:pos="862"/>
        </w:tabs>
        <w:ind w:left="862" w:hanging="862"/>
      </w:pPr>
      <w:r>
        <w:t>[65]</w:t>
      </w:r>
      <w:r>
        <w:tab/>
      </w:r>
      <w:r w:rsidR="006D5CD5">
        <w:t xml:space="preserve">Although </w:t>
      </w:r>
      <w:r w:rsidR="001E68B7">
        <w:t>merchandise is not defined</w:t>
      </w:r>
      <w:r w:rsidR="00AE6642">
        <w:t>,</w:t>
      </w:r>
      <w:r w:rsidR="00132E13">
        <w:t xml:space="preserve"> it is incorporated in the definition for goods</w:t>
      </w:r>
      <w:r w:rsidR="00AE3739">
        <w:t xml:space="preserve">. </w:t>
      </w:r>
      <w:r w:rsidR="002E618F">
        <w:t>M</w:t>
      </w:r>
      <w:r w:rsidR="001E68B7">
        <w:t>erchandise</w:t>
      </w:r>
      <w:r w:rsidR="00B61B10">
        <w:t>, in the context of the agreements,</w:t>
      </w:r>
      <w:r w:rsidR="001E68B7">
        <w:t xml:space="preserve"> is </w:t>
      </w:r>
      <w:r w:rsidR="0091520A">
        <w:t>in my view</w:t>
      </w:r>
      <w:r w:rsidR="001E68B7">
        <w:t xml:space="preserve"> a synonym for goods</w:t>
      </w:r>
      <w:r w:rsidR="00B61B10">
        <w:t>, and cannot be given the broad dictionary meaning contended for</w:t>
      </w:r>
      <w:r w:rsidR="002E618F">
        <w:t xml:space="preserve"> by the Bank’s counsel and treated differently</w:t>
      </w:r>
      <w:r w:rsidR="00B61B10">
        <w:t>. It</w:t>
      </w:r>
      <w:r w:rsidR="001E68B7">
        <w:t xml:space="preserve"> therefore does not </w:t>
      </w:r>
      <w:r w:rsidR="00B61B10">
        <w:t xml:space="preserve"> expand upon the definition attributed to “</w:t>
      </w:r>
      <w:r w:rsidR="00B61B10" w:rsidRPr="003D6404">
        <w:rPr>
          <w:i/>
          <w:iCs/>
        </w:rPr>
        <w:t>goods</w:t>
      </w:r>
      <w:r w:rsidR="00B61B10">
        <w:t xml:space="preserve">”. </w:t>
      </w:r>
      <w:r w:rsidR="00AE6642">
        <w:t xml:space="preserve">The security to be furnished </w:t>
      </w:r>
      <w:r w:rsidR="002E618F">
        <w:t>and covered by the Cession</w:t>
      </w:r>
      <w:r w:rsidR="004765D4">
        <w:t xml:space="preserve"> </w:t>
      </w:r>
      <w:r w:rsidR="00AE6642">
        <w:t>must be interpreted accordingly</w:t>
      </w:r>
      <w:r w:rsidR="00754988">
        <w:t>, to my mind</w:t>
      </w:r>
      <w:r w:rsidR="00AE6642">
        <w:t>.</w:t>
      </w:r>
      <w:r w:rsidR="00AE6642">
        <w:rPr>
          <w:rStyle w:val="FootnoteReference"/>
        </w:rPr>
        <w:footnoteReference w:id="25"/>
      </w:r>
      <w:r w:rsidR="00AE6642">
        <w:t xml:space="preserve">  </w:t>
      </w:r>
    </w:p>
    <w:p w14:paraId="036418A0" w14:textId="3C01C2D3" w:rsidR="006377D3" w:rsidRDefault="00E2631D" w:rsidP="00E2631D">
      <w:pPr>
        <w:pStyle w:val="Heading1"/>
        <w:numPr>
          <w:ilvl w:val="0"/>
          <w:numId w:val="0"/>
        </w:numPr>
        <w:tabs>
          <w:tab w:val="left" w:pos="862"/>
        </w:tabs>
        <w:ind w:left="862" w:hanging="862"/>
      </w:pPr>
      <w:r>
        <w:t>[66]</w:t>
      </w:r>
      <w:r>
        <w:tab/>
      </w:r>
      <w:r w:rsidR="002E618F">
        <w:t>As mentioned, it</w:t>
      </w:r>
      <w:r w:rsidR="001E68B7">
        <w:t xml:space="preserve"> was further contended that </w:t>
      </w:r>
      <w:r w:rsidR="003D6404">
        <w:t>the Court</w:t>
      </w:r>
      <w:r w:rsidR="001E68B7">
        <w:t xml:space="preserve"> must have regard to whether or not the word </w:t>
      </w:r>
      <w:r w:rsidR="001E68B7" w:rsidRPr="00757C1B">
        <w:rPr>
          <w:i/>
          <w:iCs/>
        </w:rPr>
        <w:t>“goods”</w:t>
      </w:r>
      <w:r w:rsidR="001E68B7">
        <w:t xml:space="preserve"> is capitalised or not</w:t>
      </w:r>
      <w:r w:rsidR="00125DD1">
        <w:t>. B</w:t>
      </w:r>
      <w:r w:rsidR="001E68B7">
        <w:t xml:space="preserve">ecause the definition capitalised the word </w:t>
      </w:r>
      <w:r w:rsidR="001E68B7" w:rsidRPr="00757C1B">
        <w:rPr>
          <w:i/>
          <w:iCs/>
        </w:rPr>
        <w:t>“goods”</w:t>
      </w:r>
      <w:r w:rsidR="001E68B7">
        <w:t xml:space="preserve"> and </w:t>
      </w:r>
      <w:r w:rsidR="007669DB">
        <w:t>clause</w:t>
      </w:r>
      <w:r w:rsidR="003D6404">
        <w:t xml:space="preserve"> 1.2.2.2 referenced “</w:t>
      </w:r>
      <w:r w:rsidR="003D6404" w:rsidRPr="003D6404">
        <w:rPr>
          <w:i/>
          <w:iCs/>
        </w:rPr>
        <w:t>goods</w:t>
      </w:r>
      <w:r w:rsidR="00125DD1">
        <w:rPr>
          <w:i/>
          <w:iCs/>
        </w:rPr>
        <w:t>,</w:t>
      </w:r>
      <w:r w:rsidR="003D6404">
        <w:t>”</w:t>
      </w:r>
      <w:r w:rsidR="001E68B7">
        <w:t xml:space="preserve"> </w:t>
      </w:r>
      <w:r w:rsidR="003D6404">
        <w:t xml:space="preserve">using </w:t>
      </w:r>
      <w:r w:rsidR="001E68B7">
        <w:t>the lower case, th</w:t>
      </w:r>
      <w:r w:rsidR="003D6404">
        <w:t>is</w:t>
      </w:r>
      <w:r w:rsidR="001E68B7">
        <w:t xml:space="preserve"> designated a different definition.  </w:t>
      </w:r>
      <w:r w:rsidR="003D6404">
        <w:t xml:space="preserve">This is not plausible in my </w:t>
      </w:r>
      <w:r w:rsidR="001E68B7">
        <w:t>view</w:t>
      </w:r>
      <w:r w:rsidR="003D6404">
        <w:t>.</w:t>
      </w:r>
      <w:r w:rsidR="001E68B7">
        <w:t xml:space="preserve"> </w:t>
      </w:r>
      <w:r w:rsidR="003D6404">
        <w:t>It simply reflects the drafter’</w:t>
      </w:r>
      <w:r w:rsidR="002E618F">
        <w:t>s writing style</w:t>
      </w:r>
      <w:r w:rsidR="003D6404">
        <w:t>. “</w:t>
      </w:r>
      <w:r w:rsidR="001E68B7" w:rsidRPr="003D6404">
        <w:rPr>
          <w:i/>
          <w:iCs/>
        </w:rPr>
        <w:t>Goods</w:t>
      </w:r>
      <w:r w:rsidR="003D6404">
        <w:t>”</w:t>
      </w:r>
      <w:r w:rsidR="00AE6642">
        <w:t xml:space="preserve"> or </w:t>
      </w:r>
      <w:r w:rsidR="003D6404">
        <w:t>“</w:t>
      </w:r>
      <w:r w:rsidR="00AE6642" w:rsidRPr="003D6404">
        <w:rPr>
          <w:i/>
          <w:iCs/>
        </w:rPr>
        <w:t>goods</w:t>
      </w:r>
      <w:r w:rsidR="003D6404">
        <w:t>”</w:t>
      </w:r>
      <w:r w:rsidR="001E68B7">
        <w:t xml:space="preserve"> </w:t>
      </w:r>
      <w:r w:rsidR="00AE6642">
        <w:t>are</w:t>
      </w:r>
      <w:r w:rsidR="001E68B7">
        <w:t xml:space="preserve"> </w:t>
      </w:r>
      <w:r w:rsidR="00AE6642">
        <w:t xml:space="preserve">understood as </w:t>
      </w:r>
      <w:r w:rsidR="001E68B7">
        <w:t xml:space="preserve">defined </w:t>
      </w:r>
      <w:r w:rsidR="00B61B10">
        <w:t>and used</w:t>
      </w:r>
      <w:r w:rsidR="00125DD1">
        <w:t xml:space="preserve"> as such </w:t>
      </w:r>
      <w:r w:rsidR="001E68B7">
        <w:t xml:space="preserve">in the </w:t>
      </w:r>
      <w:r w:rsidR="002E618F">
        <w:t>Cession</w:t>
      </w:r>
      <w:r w:rsidR="001E68B7">
        <w:t>.  As submitted to me</w:t>
      </w:r>
      <w:r w:rsidR="00B61B10">
        <w:t>, by the liquidators’ counsel</w:t>
      </w:r>
      <w:r w:rsidR="00754988">
        <w:t>,</w:t>
      </w:r>
      <w:r w:rsidR="001E68B7">
        <w:t xml:space="preserve"> th</w:t>
      </w:r>
      <w:r w:rsidR="00AE6642">
        <w:t>e</w:t>
      </w:r>
      <w:r w:rsidR="001E68B7">
        <w:t xml:space="preserve"> submission </w:t>
      </w:r>
      <w:r w:rsidR="00AE6642">
        <w:t>i</w:t>
      </w:r>
      <w:r w:rsidR="001E68B7">
        <w:t xml:space="preserve">s just </w:t>
      </w:r>
      <w:r w:rsidR="001E68B7" w:rsidRPr="00757C1B">
        <w:rPr>
          <w:i/>
          <w:iCs/>
        </w:rPr>
        <w:t>“not good enough”</w:t>
      </w:r>
      <w:r w:rsidR="001E68B7">
        <w:t xml:space="preserve">.  </w:t>
      </w:r>
    </w:p>
    <w:p w14:paraId="00ADBD17" w14:textId="618B672B" w:rsidR="006042C7" w:rsidRDefault="00E2631D" w:rsidP="00E2631D">
      <w:pPr>
        <w:pStyle w:val="Heading1"/>
        <w:numPr>
          <w:ilvl w:val="0"/>
          <w:numId w:val="0"/>
        </w:numPr>
        <w:tabs>
          <w:tab w:val="left" w:pos="862"/>
        </w:tabs>
        <w:ind w:left="862" w:hanging="862"/>
      </w:pPr>
      <w:r>
        <w:t>[67]</w:t>
      </w:r>
      <w:r>
        <w:tab/>
      </w:r>
      <w:r w:rsidR="006042C7">
        <w:t xml:space="preserve">All the ceded interests are actually rights and so the reference to rights/goods does seem to have been, as submitted to me, a matter of convenience. </w:t>
      </w:r>
    </w:p>
    <w:p w14:paraId="33CC4171" w14:textId="4CD6A52C" w:rsidR="00125DD1" w:rsidRDefault="00E2631D" w:rsidP="00E2631D">
      <w:pPr>
        <w:pStyle w:val="Heading1"/>
        <w:numPr>
          <w:ilvl w:val="0"/>
          <w:numId w:val="0"/>
        </w:numPr>
        <w:tabs>
          <w:tab w:val="left" w:pos="862"/>
        </w:tabs>
        <w:ind w:left="862" w:hanging="862"/>
      </w:pPr>
      <w:r>
        <w:t>[68]</w:t>
      </w:r>
      <w:r>
        <w:tab/>
      </w:r>
      <w:r w:rsidR="0091520A">
        <w:t xml:space="preserve">It was also submitted to me that the term </w:t>
      </w:r>
      <w:r w:rsidR="0091520A">
        <w:rPr>
          <w:i/>
          <w:iCs/>
        </w:rPr>
        <w:t>“goods”</w:t>
      </w:r>
      <w:r w:rsidR="0091520A">
        <w:t xml:space="preserve"> is used interchangeably in the Facility Letter</w:t>
      </w:r>
      <w:r w:rsidR="00125DD1">
        <w:t>.</w:t>
      </w:r>
      <w:r w:rsidR="0091520A">
        <w:t xml:space="preserve"> </w:t>
      </w:r>
      <w:r w:rsidR="00125DD1">
        <w:t xml:space="preserve">There is no indication that the word </w:t>
      </w:r>
      <w:r w:rsidR="00125DD1">
        <w:rPr>
          <w:i/>
          <w:iCs/>
        </w:rPr>
        <w:t>“goods”</w:t>
      </w:r>
      <w:r w:rsidR="00125DD1">
        <w:t xml:space="preserve"> is sometimes referring to goods generally and somtimes to the firearms that were financed in terms of the facility granted. As such, I do not believe that there is any merit to this submission.  </w:t>
      </w:r>
    </w:p>
    <w:p w14:paraId="74D86A90" w14:textId="0FB9253F" w:rsidR="0091520A" w:rsidRDefault="00E2631D" w:rsidP="00E2631D">
      <w:pPr>
        <w:pStyle w:val="Heading1"/>
        <w:numPr>
          <w:ilvl w:val="0"/>
          <w:numId w:val="0"/>
        </w:numPr>
        <w:tabs>
          <w:tab w:val="left" w:pos="862"/>
        </w:tabs>
        <w:ind w:left="862" w:hanging="862"/>
      </w:pPr>
      <w:r>
        <w:t>[69]</w:t>
      </w:r>
      <w:r>
        <w:tab/>
      </w:r>
      <w:r w:rsidR="0091520A">
        <w:t xml:space="preserve">Rather goods are defined and the use of the word “ </w:t>
      </w:r>
      <w:r w:rsidR="0091520A" w:rsidRPr="00DC35E3">
        <w:rPr>
          <w:i/>
          <w:iCs/>
        </w:rPr>
        <w:t>any</w:t>
      </w:r>
      <w:r w:rsidR="0091520A">
        <w:t xml:space="preserve">” does not extend that definition. Having defined goods it makes no sense  to me that the </w:t>
      </w:r>
      <w:r w:rsidR="0091520A">
        <w:lastRenderedPageBreak/>
        <w:t xml:space="preserve">word would be used interchangeably. If the word was to be used to convey all goods and, not as defined, that is when a qualification would be </w:t>
      </w:r>
      <w:r w:rsidR="00125DD1">
        <w:t>require</w:t>
      </w:r>
      <w:r w:rsidR="0091520A">
        <w:t>d to demonstrate this different meaning. There is no qualification of “</w:t>
      </w:r>
      <w:r w:rsidR="0091520A" w:rsidRPr="0091520A">
        <w:rPr>
          <w:i/>
          <w:iCs/>
        </w:rPr>
        <w:t>goods</w:t>
      </w:r>
      <w:r w:rsidR="0091520A">
        <w:t>” in the Cession or  Facility Letter.</w:t>
      </w:r>
    </w:p>
    <w:p w14:paraId="0EDB578C" w14:textId="04F03F4D" w:rsidR="006377D3" w:rsidRDefault="00E2631D" w:rsidP="00E2631D">
      <w:pPr>
        <w:pStyle w:val="Heading1"/>
        <w:numPr>
          <w:ilvl w:val="0"/>
          <w:numId w:val="0"/>
        </w:numPr>
        <w:tabs>
          <w:tab w:val="left" w:pos="862"/>
        </w:tabs>
        <w:ind w:left="862" w:hanging="862"/>
      </w:pPr>
      <w:r>
        <w:t>[70]</w:t>
      </w:r>
      <w:r>
        <w:tab/>
      </w:r>
      <w:r w:rsidR="006377D3">
        <w:t>The</w:t>
      </w:r>
      <w:r w:rsidR="00754988">
        <w:t xml:space="preserve"> </w:t>
      </w:r>
      <w:r w:rsidR="006377D3">
        <w:t>further argument</w:t>
      </w:r>
      <w:r w:rsidR="00754988">
        <w:t xml:space="preserve"> is</w:t>
      </w:r>
      <w:r w:rsidR="006377D3">
        <w:t xml:space="preserve"> that the companies also undertook not to </w:t>
      </w:r>
      <w:r w:rsidR="00AE6642">
        <w:t>e</w:t>
      </w:r>
      <w:r w:rsidR="006377D3">
        <w:t xml:space="preserve">ncumber the assets to the detriment of the </w:t>
      </w:r>
      <w:r w:rsidR="003650B4">
        <w:t>Bank</w:t>
      </w:r>
      <w:r w:rsidR="00125DD1">
        <w:t xml:space="preserve"> a</w:t>
      </w:r>
      <w:r w:rsidR="00545E58">
        <w:t>nd this demonstrated the wide ambit of the Cession.</w:t>
      </w:r>
      <w:r w:rsidR="006377D3">
        <w:t xml:space="preserve">  As submitted to me</w:t>
      </w:r>
      <w:r w:rsidR="00545E58">
        <w:t>,</w:t>
      </w:r>
      <w:r w:rsidR="006377D3">
        <w:t xml:space="preserve"> this is a common term in agreements</w:t>
      </w:r>
      <w:r w:rsidR="00B61B10">
        <w:t xml:space="preserve"> </w:t>
      </w:r>
      <w:r w:rsidR="006377D3">
        <w:t>to ensure that there is not a material change in the circumstances of the company</w:t>
      </w:r>
      <w:r w:rsidR="00AE6642">
        <w:t xml:space="preserve"> at the time the </w:t>
      </w:r>
      <w:r w:rsidR="00DC4F94">
        <w:t>C</w:t>
      </w:r>
      <w:r w:rsidR="00AE6642">
        <w:t>ession agreement was concluded</w:t>
      </w:r>
      <w:r w:rsidR="006377D3">
        <w:t xml:space="preserve">.  The undertaking is given to </w:t>
      </w:r>
      <w:r w:rsidR="00B61B10">
        <w:t>re</w:t>
      </w:r>
      <w:r w:rsidR="006377D3">
        <w:t xml:space="preserve">assure the </w:t>
      </w:r>
      <w:r w:rsidR="00B61B10">
        <w:t>Bank</w:t>
      </w:r>
      <w:r w:rsidR="006377D3">
        <w:t xml:space="preserve"> that the company is not on the verge of insolvency because then the </w:t>
      </w:r>
      <w:r w:rsidR="00B61B10">
        <w:t>Bank</w:t>
      </w:r>
      <w:r w:rsidR="006377D3">
        <w:t xml:space="preserve"> would have to take immediate action.</w:t>
      </w:r>
      <w:r w:rsidR="00125DD1">
        <w:t xml:space="preserve"> I therefore do not agree with the Bank’s contention.</w:t>
      </w:r>
      <w:r w:rsidR="006377D3">
        <w:t xml:space="preserve"> </w:t>
      </w:r>
    </w:p>
    <w:p w14:paraId="554341F5" w14:textId="6F25CB77" w:rsidR="00E61CAC" w:rsidRPr="00E61CAC" w:rsidRDefault="00E61CAC" w:rsidP="00E61CAC">
      <w:pPr>
        <w:pStyle w:val="Heading1"/>
        <w:numPr>
          <w:ilvl w:val="0"/>
          <w:numId w:val="0"/>
        </w:numPr>
        <w:rPr>
          <w:b/>
          <w:bCs/>
          <w:u w:val="single"/>
        </w:rPr>
      </w:pPr>
      <w:r w:rsidRPr="00E61CAC">
        <w:rPr>
          <w:b/>
          <w:bCs/>
          <w:u w:val="single"/>
        </w:rPr>
        <w:t>SURROUNDING CIRCUMSTANCES</w:t>
      </w:r>
    </w:p>
    <w:p w14:paraId="64D3B395" w14:textId="0362EB79" w:rsidR="00C47C30" w:rsidRDefault="00E2631D" w:rsidP="00E2631D">
      <w:pPr>
        <w:pStyle w:val="Heading1"/>
        <w:numPr>
          <w:ilvl w:val="0"/>
          <w:numId w:val="0"/>
        </w:numPr>
        <w:tabs>
          <w:tab w:val="left" w:pos="862"/>
        </w:tabs>
        <w:ind w:left="862" w:hanging="862"/>
      </w:pPr>
      <w:r>
        <w:t>[71]</w:t>
      </w:r>
      <w:r>
        <w:tab/>
      </w:r>
      <w:r w:rsidR="00E61CAC">
        <w:t xml:space="preserve">To the extent that it was submitted to me by the Bank’s counsel that the Bank intended to take the maximum security, there is no evidence to this effect. </w:t>
      </w:r>
      <w:r w:rsidR="00A23F90">
        <w:t xml:space="preserve"> Not only can I not take account of any direct evidence as to intention but also t</w:t>
      </w:r>
      <w:r w:rsidR="00E61CAC">
        <w:t>he deponent to the affidavit is a Recovery Manager and, at best</w:t>
      </w:r>
      <w:r w:rsidR="00545E58">
        <w:t>,</w:t>
      </w:r>
      <w:r w:rsidR="00E61CAC">
        <w:t xml:space="preserve"> had access to the documents, as stated</w:t>
      </w:r>
      <w:r w:rsidR="00545E58">
        <w:t xml:space="preserve"> by her in her affidavit</w:t>
      </w:r>
      <w:r w:rsidR="00A23F90">
        <w:t>.</w:t>
      </w:r>
      <w:r w:rsidR="003D6404">
        <w:t xml:space="preserve"> </w:t>
      </w:r>
      <w:r w:rsidR="00A23F90">
        <w:t xml:space="preserve"> She</w:t>
      </w:r>
      <w:r w:rsidR="00E61CAC">
        <w:t xml:space="preserve"> is not a person who was involved in</w:t>
      </w:r>
      <w:r w:rsidR="003D6404">
        <w:t xml:space="preserve"> or has knowledge of</w:t>
      </w:r>
      <w:r w:rsidR="00E61CAC">
        <w:t xml:space="preserve"> this transaction. She was not a signatory to the Facility letter or the  Cession agreement</w:t>
      </w:r>
      <w:r w:rsidR="0091520A">
        <w:t>.</w:t>
      </w:r>
      <w:r w:rsidR="00E61CAC">
        <w:t xml:space="preserve"> There is no evidence from the persons who drafted the Facility letter and Cession agreement about the extent of the security required and whether having defined goods and taken other substantial security the Bank was of the view that it had sufficient security for its claims.</w:t>
      </w:r>
    </w:p>
    <w:p w14:paraId="25612102" w14:textId="3CB4E932" w:rsidR="00541554" w:rsidRDefault="00E2631D" w:rsidP="00E2631D">
      <w:pPr>
        <w:pStyle w:val="Heading1"/>
        <w:numPr>
          <w:ilvl w:val="0"/>
          <w:numId w:val="0"/>
        </w:numPr>
        <w:tabs>
          <w:tab w:val="left" w:pos="862"/>
        </w:tabs>
        <w:ind w:left="862" w:hanging="862"/>
      </w:pPr>
      <w:r>
        <w:t>[72]</w:t>
      </w:r>
      <w:r>
        <w:tab/>
      </w:r>
      <w:r w:rsidR="00545E58">
        <w:t>I</w:t>
      </w:r>
      <w:r w:rsidR="00C47C30">
        <w:t xml:space="preserve"> was referred to clauses</w:t>
      </w:r>
      <w:r w:rsidR="00545E58">
        <w:rPr>
          <w:rStyle w:val="FootnoteReference"/>
        </w:rPr>
        <w:footnoteReference w:id="26"/>
      </w:r>
      <w:r w:rsidR="00C47C30">
        <w:t xml:space="preserve"> </w:t>
      </w:r>
      <w:r w:rsidR="003A2F81">
        <w:t xml:space="preserve">in the Facility Letter which allegedly </w:t>
      </w:r>
      <w:r w:rsidR="003A2F81">
        <w:lastRenderedPageBreak/>
        <w:t xml:space="preserve">demonstrated the Bank’s intention to take </w:t>
      </w:r>
      <w:r w:rsidR="00541554">
        <w:t>maximum</w:t>
      </w:r>
      <w:r w:rsidR="003A2F81">
        <w:t xml:space="preserve"> security. This was </w:t>
      </w:r>
      <w:r w:rsidR="00545E58">
        <w:t xml:space="preserve"> resoundingly </w:t>
      </w:r>
      <w:r w:rsidR="003A2F81">
        <w:t xml:space="preserve">countered by the liquidators’ counsel. The Bank was silent in </w:t>
      </w:r>
      <w:r w:rsidR="00541554">
        <w:t>its</w:t>
      </w:r>
      <w:r w:rsidR="003A2F81">
        <w:t xml:space="preserve"> affidavit</w:t>
      </w:r>
      <w:r w:rsidR="00541554">
        <w:t xml:space="preserve"> about these provisions or that it ever exercised its rights</w:t>
      </w:r>
      <w:r w:rsidR="00C86ED7">
        <w:t xml:space="preserve"> to take delivery of pledged goods</w:t>
      </w:r>
      <w:r w:rsidR="00541554">
        <w:t>.</w:t>
      </w:r>
      <w:r w:rsidR="00C86ED7">
        <w:t xml:space="preserve"> </w:t>
      </w:r>
      <w:r w:rsidR="003663F4">
        <w:t>T</w:t>
      </w:r>
      <w:r w:rsidR="00C86ED7">
        <w:t>he bank did not address this direct invitation to do so</w:t>
      </w:r>
      <w:r w:rsidR="00545E58">
        <w:t xml:space="preserve"> in the answering affidavit</w:t>
      </w:r>
      <w:r w:rsidR="003663F4">
        <w:t>. In addition</w:t>
      </w:r>
      <w:r w:rsidR="00545E58">
        <w:t xml:space="preserve">, it was </w:t>
      </w:r>
      <w:r w:rsidR="0091520A">
        <w:t>contemplated</w:t>
      </w:r>
      <w:r w:rsidR="00545E58">
        <w:t xml:space="preserve"> </w:t>
      </w:r>
      <w:r w:rsidR="003663F4">
        <w:t>that the Bank</w:t>
      </w:r>
      <w:r w:rsidR="00545E58">
        <w:t xml:space="preserve"> would</w:t>
      </w:r>
      <w:r w:rsidR="003663F4">
        <w:t xml:space="preserve"> </w:t>
      </w:r>
      <w:r w:rsidR="0091520A">
        <w:t xml:space="preserve">surely </w:t>
      </w:r>
      <w:r w:rsidR="003663F4">
        <w:t>ha</w:t>
      </w:r>
      <w:r w:rsidR="00545E58">
        <w:t>ve</w:t>
      </w:r>
      <w:r w:rsidR="003663F4">
        <w:t xml:space="preserve"> registered a notarial bond over Truvelo’s assets, another indication that the security required by the Bank was far – reaching</w:t>
      </w:r>
      <w:r w:rsidR="003663F4">
        <w:rPr>
          <w:rStyle w:val="FootnoteReference"/>
        </w:rPr>
        <w:footnoteReference w:id="27"/>
      </w:r>
      <w:r w:rsidR="003663F4">
        <w:t>.</w:t>
      </w:r>
      <w:r w:rsidR="00545E58">
        <w:t xml:space="preserve"> Yet there was also no evidence that it did so.</w:t>
      </w:r>
    </w:p>
    <w:p w14:paraId="21C36E2C" w14:textId="1F989C67" w:rsidR="00E61CAC" w:rsidRDefault="00E2631D" w:rsidP="00E2631D">
      <w:pPr>
        <w:pStyle w:val="Heading1"/>
        <w:numPr>
          <w:ilvl w:val="0"/>
          <w:numId w:val="0"/>
        </w:numPr>
        <w:tabs>
          <w:tab w:val="left" w:pos="862"/>
        </w:tabs>
        <w:ind w:left="862" w:hanging="862"/>
      </w:pPr>
      <w:r>
        <w:t>[73]</w:t>
      </w:r>
      <w:r>
        <w:tab/>
      </w:r>
      <w:r w:rsidR="00E61CAC">
        <w:t xml:space="preserve">I  </w:t>
      </w:r>
      <w:r w:rsidR="00125DD1">
        <w:t xml:space="preserve">also </w:t>
      </w:r>
      <w:r w:rsidR="00E61CAC">
        <w:t xml:space="preserve">do not agree that the </w:t>
      </w:r>
      <w:r w:rsidR="00E61CAC" w:rsidRPr="00277FC3">
        <w:rPr>
          <w:b/>
          <w:bCs/>
          <w:i/>
          <w:iCs/>
        </w:rPr>
        <w:t>Picardi Hotels</w:t>
      </w:r>
      <w:r w:rsidR="00E61CAC">
        <w:t xml:space="preserve"> decision assists the Bank. This is a matter that went to trial, and evidence was given at the trial by the relevant Bank employees, as mentioned in the appeal judgment.</w:t>
      </w:r>
      <w:r w:rsidR="00A23F90">
        <w:t xml:space="preserve"> I do not agree that the SCA determined that a Court can take judicial notice of the fact that the Bank always takes maximum security in every instance.  If that were so then the process of interpretation would be rendered wholly unnecessary.</w:t>
      </w:r>
      <w:r w:rsidR="00E61CAC">
        <w:t xml:space="preserve"> </w:t>
      </w:r>
      <w:r w:rsidR="00277FC3">
        <w:t xml:space="preserve"> Rather it is authority </w:t>
      </w:r>
      <w:r w:rsidR="00125DD1">
        <w:t xml:space="preserve">for </w:t>
      </w:r>
      <w:r w:rsidR="00277FC3">
        <w:t>construing provisions</w:t>
      </w:r>
      <w:r w:rsidR="00125DD1">
        <w:t xml:space="preserve"> </w:t>
      </w:r>
      <w:r w:rsidR="00277FC3">
        <w:t xml:space="preserve">in accordance with sound commercial principles and good business sense. </w:t>
      </w:r>
      <w:r w:rsidR="00E61CAC">
        <w:t xml:space="preserve">In </w:t>
      </w:r>
      <w:r w:rsidR="00277FC3" w:rsidRPr="00277FC3">
        <w:rPr>
          <w:b/>
          <w:bCs/>
          <w:i/>
          <w:iCs/>
        </w:rPr>
        <w:t>Picardi</w:t>
      </w:r>
      <w:r w:rsidR="00277FC3">
        <w:rPr>
          <w:b/>
          <w:bCs/>
          <w:i/>
          <w:iCs/>
        </w:rPr>
        <w:t xml:space="preserve"> Hotels</w:t>
      </w:r>
      <w:r w:rsidR="00E61CAC">
        <w:t>, the interpretation that the cedent sought to place on the cession provision in the mortgage bond was entirely destructive of the Cession</w:t>
      </w:r>
      <w:r w:rsidR="00277FC3">
        <w:t xml:space="preserve"> and the evidence established that this interpretation did not make commercial sense</w:t>
      </w:r>
      <w:r w:rsidR="00E61CAC">
        <w:t>. This is not the case here. I am of the view that the matter is not on all fours with this application.</w:t>
      </w:r>
    </w:p>
    <w:p w14:paraId="61665DEE" w14:textId="0CC29346" w:rsidR="00E61CAC" w:rsidRDefault="00E2631D" w:rsidP="00E2631D">
      <w:pPr>
        <w:pStyle w:val="Heading1"/>
        <w:numPr>
          <w:ilvl w:val="0"/>
          <w:numId w:val="0"/>
        </w:numPr>
        <w:tabs>
          <w:tab w:val="left" w:pos="862"/>
        </w:tabs>
        <w:ind w:left="862" w:hanging="862"/>
      </w:pPr>
      <w:r>
        <w:t>[74]</w:t>
      </w:r>
      <w:r>
        <w:tab/>
      </w:r>
      <w:r w:rsidR="00E61CAC">
        <w:t>As submitted to me, in limiting the goods to those that were financed by the Bank, the Bank still received proceeds from the sale of the goods in an amount of approximately R3</w:t>
      </w:r>
      <w:r w:rsidR="00C47C30">
        <w:t>.6 million</w:t>
      </w:r>
      <w:r w:rsidR="00E61CAC">
        <w:t>. Furthermore, it is not unusual that the</w:t>
      </w:r>
      <w:r w:rsidR="009C108F">
        <w:t xml:space="preserve"> </w:t>
      </w:r>
      <w:r w:rsidR="00E61CAC">
        <w:t xml:space="preserve">security taken is compatible to the nature of the asset in the transaction. </w:t>
      </w:r>
      <w:r w:rsidR="00C47C30">
        <w:t xml:space="preserve"> As</w:t>
      </w:r>
      <w:r w:rsidR="003650B4">
        <w:t xml:space="preserve"> also </w:t>
      </w:r>
      <w:r w:rsidR="00C47C30">
        <w:t>submitted to me</w:t>
      </w:r>
      <w:r w:rsidR="004B3C9B">
        <w:t>,</w:t>
      </w:r>
      <w:r w:rsidR="00C47C30">
        <w:t xml:space="preserve"> when the Bank</w:t>
      </w:r>
      <w:r w:rsidR="003650B4">
        <w:t xml:space="preserve"> </w:t>
      </w:r>
      <w:r w:rsidR="00C47C30">
        <w:t xml:space="preserve">finances the acquisition of an asset the security taken by the Bank is relative to </w:t>
      </w:r>
      <w:r w:rsidR="004B3C9B">
        <w:t>its</w:t>
      </w:r>
      <w:r w:rsidR="00C47C30">
        <w:t xml:space="preserve"> exposure and not the wealth of the borrower. Here the Bank would reasonably have anticipated that having financed the acquisition of </w:t>
      </w:r>
      <w:r w:rsidR="00C47C30">
        <w:lastRenderedPageBreak/>
        <w:t>components and the manufacture of firearms, the proceeds from the sale thereof would exceed the co</w:t>
      </w:r>
      <w:r w:rsidR="00545E58">
        <w:t>sts</w:t>
      </w:r>
      <w:r w:rsidR="00C47C30">
        <w:t xml:space="preserve"> of manufacture and so the security would suffice.</w:t>
      </w:r>
      <w:r w:rsidR="00E61CAC">
        <w:t xml:space="preserve"> </w:t>
      </w:r>
    </w:p>
    <w:p w14:paraId="2F2E6C66" w14:textId="0E5C7A0A" w:rsidR="00E61CAC" w:rsidRDefault="00E2631D" w:rsidP="00E2631D">
      <w:pPr>
        <w:pStyle w:val="Heading1"/>
        <w:numPr>
          <w:ilvl w:val="0"/>
          <w:numId w:val="0"/>
        </w:numPr>
        <w:tabs>
          <w:tab w:val="left" w:pos="862"/>
        </w:tabs>
        <w:ind w:left="862" w:hanging="862"/>
      </w:pPr>
      <w:r>
        <w:t>[75]</w:t>
      </w:r>
      <w:r>
        <w:tab/>
      </w:r>
      <w:r w:rsidR="00E61CAC">
        <w:t xml:space="preserve">When I posed the question to the </w:t>
      </w:r>
      <w:r w:rsidR="003D6404">
        <w:t>Bank</w:t>
      </w:r>
      <w:r w:rsidR="00E61CAC">
        <w:t>’s counsel as to what the purpose of the definition was,</w:t>
      </w:r>
      <w:r w:rsidR="00A23F90">
        <w:t xml:space="preserve"> </w:t>
      </w:r>
      <w:r w:rsidR="00E61CAC">
        <w:t>he conceded that the definition was limiting</w:t>
      </w:r>
      <w:r w:rsidR="004A0EFD">
        <w:t xml:space="preserve"> and related to the goods which were the subject matter of the Armscor transaction only. That said he also</w:t>
      </w:r>
      <w:r w:rsidR="00E61CAC">
        <w:t xml:space="preserve"> persisted with his submission that it was not the intention of the Bank to limit security</w:t>
      </w:r>
      <w:r w:rsidR="004B3C9B">
        <w:t xml:space="preserve"> in the Cession or Facility Letter for that matter</w:t>
      </w:r>
      <w:r w:rsidR="00E61CAC">
        <w:t xml:space="preserve">. </w:t>
      </w:r>
    </w:p>
    <w:p w14:paraId="1AAAAA13" w14:textId="5DF80173" w:rsidR="00BC4F87" w:rsidRDefault="00E2631D" w:rsidP="00E2631D">
      <w:pPr>
        <w:pStyle w:val="Heading1"/>
        <w:numPr>
          <w:ilvl w:val="0"/>
          <w:numId w:val="0"/>
        </w:numPr>
        <w:tabs>
          <w:tab w:val="left" w:pos="862"/>
        </w:tabs>
        <w:ind w:left="862" w:hanging="862"/>
      </w:pPr>
      <w:r>
        <w:t>[76]</w:t>
      </w:r>
      <w:r>
        <w:tab/>
      </w:r>
      <w:r w:rsidR="00BC4F87">
        <w:t xml:space="preserve">The nature of this transaction, as already mentioned, related to firearms that were being manufactured for Armscor.  The </w:t>
      </w:r>
      <w:r w:rsidR="00BC4F87" w:rsidRPr="0069169F">
        <w:rPr>
          <w:i/>
        </w:rPr>
        <w:t>modus operandi</w:t>
      </w:r>
      <w:r w:rsidR="00BC4F87">
        <w:t xml:space="preserve">  in the Facility Letter sets out the manner in which this transaction would be financed step by step and how the debt would be liquidated as Armscor paid for the firearms. The security required and </w:t>
      </w:r>
      <w:r w:rsidR="003D6404">
        <w:t>“</w:t>
      </w:r>
      <w:r w:rsidR="00BC4F87" w:rsidRPr="003D6404">
        <w:rPr>
          <w:i/>
          <w:iCs/>
        </w:rPr>
        <w:t>goods/merchandise</w:t>
      </w:r>
      <w:r w:rsidR="003D6404">
        <w:t>”</w:t>
      </w:r>
      <w:r w:rsidR="00BC4F87">
        <w:t xml:space="preserve"> were specifically and similarly defined in the Facility Letter and the Cession agreement. </w:t>
      </w:r>
    </w:p>
    <w:p w14:paraId="23013EFA" w14:textId="026E5679" w:rsidR="00E61CAC" w:rsidRPr="00125DD1" w:rsidRDefault="00E2631D" w:rsidP="00E2631D">
      <w:pPr>
        <w:pStyle w:val="Heading1"/>
        <w:numPr>
          <w:ilvl w:val="0"/>
          <w:numId w:val="0"/>
        </w:numPr>
        <w:tabs>
          <w:tab w:val="left" w:pos="862"/>
        </w:tabs>
        <w:ind w:left="862" w:hanging="862"/>
      </w:pPr>
      <w:r w:rsidRPr="00125DD1">
        <w:t>[77]</w:t>
      </w:r>
      <w:r w:rsidRPr="00125DD1">
        <w:tab/>
      </w:r>
      <w:r w:rsidR="00E61CAC">
        <w:t xml:space="preserve">As </w:t>
      </w:r>
      <w:r w:rsidR="00764DB8">
        <w:t>set out by the liquidators</w:t>
      </w:r>
      <w:r w:rsidR="00764DB8">
        <w:rPr>
          <w:rStyle w:val="FootnoteReference"/>
        </w:rPr>
        <w:footnoteReference w:id="28"/>
      </w:r>
      <w:r w:rsidR="00764DB8">
        <w:t xml:space="preserve">, </w:t>
      </w:r>
      <w:r w:rsidR="00BC4F87">
        <w:t xml:space="preserve">at the time that the agreements were drafted the undisputed facts known to the parties included that </w:t>
      </w:r>
      <w:r w:rsidR="00E61CAC">
        <w:t>the facility was for a limited period and specific purpose</w:t>
      </w:r>
      <w:r w:rsidR="00BC4F87">
        <w:t xml:space="preserve">, </w:t>
      </w:r>
      <w:r w:rsidR="00E61CAC">
        <w:t>the facility related to the import of components for firearms and the manufacture of the firearms for Armscor,</w:t>
      </w:r>
      <w:r w:rsidR="00BC4F87">
        <w:t xml:space="preserve"> </w:t>
      </w:r>
      <w:r w:rsidR="00E61CAC">
        <w:t xml:space="preserve">Armscor would make payment and the facility would be repaid, </w:t>
      </w:r>
      <w:r w:rsidR="00BC4F87">
        <w:t>and</w:t>
      </w:r>
      <w:r w:rsidR="00E61CAC">
        <w:t xml:space="preserve"> the Truvelo companies also manufactured firearms for sale to the general public and electronic speed measurement equipment.</w:t>
      </w:r>
      <w:r w:rsidR="00BC4F87">
        <w:t xml:space="preserve"> </w:t>
      </w:r>
      <w:r w:rsidR="002E618F">
        <w:t xml:space="preserve"> As such it is reasonable that</w:t>
      </w:r>
      <w:r w:rsidR="004A0EFD">
        <w:t xml:space="preserve"> the agreements</w:t>
      </w:r>
      <w:r w:rsidR="00764DB8">
        <w:t xml:space="preserve"> </w:t>
      </w:r>
      <w:r w:rsidR="00E61CAC">
        <w:t xml:space="preserve">defined goods </w:t>
      </w:r>
      <w:r w:rsidR="002E618F">
        <w:t xml:space="preserve">relative </w:t>
      </w:r>
      <w:r w:rsidR="00E61CAC">
        <w:t>to the transaction at hand. All of these</w:t>
      </w:r>
      <w:r w:rsidR="002E618F">
        <w:t xml:space="preserve"> facts </w:t>
      </w:r>
      <w:r w:rsidR="00E61CAC">
        <w:t>affirm</w:t>
      </w:r>
      <w:r w:rsidR="003650B4">
        <w:t>, in my view,</w:t>
      </w:r>
      <w:r w:rsidR="00E61CAC">
        <w:t xml:space="preserve"> the interpretation that must be given to goods</w:t>
      </w:r>
      <w:r w:rsidR="004B3C9B">
        <w:t>, just one of the “</w:t>
      </w:r>
      <w:r w:rsidR="004B3C9B" w:rsidRPr="004B3C9B">
        <w:rPr>
          <w:i/>
          <w:iCs/>
        </w:rPr>
        <w:t>ceded interests”</w:t>
      </w:r>
      <w:r w:rsidR="004B3C9B">
        <w:rPr>
          <w:i/>
          <w:iCs/>
        </w:rPr>
        <w:t>,</w:t>
      </w:r>
      <w:r w:rsidR="00E61CAC" w:rsidRPr="004B3C9B">
        <w:rPr>
          <w:i/>
          <w:iCs/>
        </w:rPr>
        <w:t xml:space="preserve"> </w:t>
      </w:r>
      <w:r w:rsidR="00E61CAC" w:rsidRPr="00125DD1">
        <w:t>and the intention of the parties</w:t>
      </w:r>
      <w:r w:rsidR="004A0EFD" w:rsidRPr="00125DD1">
        <w:t xml:space="preserve"> as gleaned from the agreements</w:t>
      </w:r>
      <w:r w:rsidR="00E61CAC" w:rsidRPr="00125DD1">
        <w:t xml:space="preserve">. </w:t>
      </w:r>
    </w:p>
    <w:p w14:paraId="1EF55265" w14:textId="56EDF8CB" w:rsidR="00132E13" w:rsidRDefault="00E2631D" w:rsidP="00E2631D">
      <w:pPr>
        <w:pStyle w:val="Heading1"/>
        <w:numPr>
          <w:ilvl w:val="0"/>
          <w:numId w:val="0"/>
        </w:numPr>
        <w:tabs>
          <w:tab w:val="left" w:pos="862"/>
        </w:tabs>
        <w:ind w:left="862" w:hanging="862"/>
      </w:pPr>
      <w:r>
        <w:lastRenderedPageBreak/>
        <w:t>[78]</w:t>
      </w:r>
      <w:r>
        <w:tab/>
      </w:r>
      <w:r w:rsidR="00B61B10">
        <w:t xml:space="preserve">As such, </w:t>
      </w:r>
      <w:r w:rsidR="00132E13">
        <w:t>the interpretation</w:t>
      </w:r>
      <w:r w:rsidR="004B3C9B">
        <w:t>s</w:t>
      </w:r>
      <w:r w:rsidR="00132E13">
        <w:t xml:space="preserve"> sought to be given to </w:t>
      </w:r>
      <w:r w:rsidR="00B61B10">
        <w:t>“</w:t>
      </w:r>
      <w:r w:rsidR="00132E13" w:rsidRPr="00B61B10">
        <w:rPr>
          <w:i/>
          <w:iCs/>
        </w:rPr>
        <w:t>goods</w:t>
      </w:r>
      <w:r w:rsidR="00B61B10">
        <w:t>”</w:t>
      </w:r>
      <w:r w:rsidR="00132E13">
        <w:t xml:space="preserve"> by the Bank</w:t>
      </w:r>
      <w:r w:rsidR="0048168E">
        <w:t xml:space="preserve"> would be contrary to the basic principles of interpretation. The </w:t>
      </w:r>
      <w:r w:rsidR="00132E13">
        <w:t>Bank</w:t>
      </w:r>
      <w:r w:rsidR="0048168E">
        <w:t xml:space="preserve"> must live with the contract that it ha</w:t>
      </w:r>
      <w:r w:rsidR="006D5CD5">
        <w:t>s</w:t>
      </w:r>
      <w:r w:rsidR="0048168E">
        <w:t xml:space="preserve"> made and the security that it</w:t>
      </w:r>
      <w:r w:rsidR="00B61B10">
        <w:t xml:space="preserve"> obtained</w:t>
      </w:r>
      <w:r w:rsidR="0048168E">
        <w:t xml:space="preserve">. </w:t>
      </w:r>
      <w:r w:rsidR="00125DD1">
        <w:t>The Bank has suffered a loss albeit not a substantial one. I cannot speculate on the reasons therefore. The upshot of the cession is that the Bank did take a substantial amount of security but just not enough.</w:t>
      </w:r>
    </w:p>
    <w:p w14:paraId="7308A223" w14:textId="62EA7095" w:rsidR="004B3C9B" w:rsidRPr="004B3C9B" w:rsidRDefault="00E2631D" w:rsidP="00E2631D">
      <w:pPr>
        <w:pStyle w:val="Heading1"/>
        <w:keepNext/>
        <w:numPr>
          <w:ilvl w:val="0"/>
          <w:numId w:val="0"/>
        </w:numPr>
        <w:tabs>
          <w:tab w:val="left" w:pos="862"/>
        </w:tabs>
        <w:ind w:left="862" w:hanging="862"/>
        <w:rPr>
          <w:b/>
          <w:bCs/>
          <w:u w:val="single"/>
        </w:rPr>
      </w:pPr>
      <w:r w:rsidRPr="004B3C9B">
        <w:t>[79]</w:t>
      </w:r>
      <w:r w:rsidRPr="004B3C9B">
        <w:tab/>
      </w:r>
      <w:r w:rsidR="00AE3739">
        <w:t xml:space="preserve">Because the </w:t>
      </w:r>
      <w:r w:rsidR="00AE3739" w:rsidRPr="004B3C9B">
        <w:rPr>
          <w:i/>
          <w:iCs/>
        </w:rPr>
        <w:t>e</w:t>
      </w:r>
      <w:r w:rsidR="009C108F" w:rsidRPr="004B3C9B">
        <w:rPr>
          <w:i/>
          <w:iCs/>
        </w:rPr>
        <w:t>j</w:t>
      </w:r>
      <w:r w:rsidR="00AE3739" w:rsidRPr="004B3C9B">
        <w:rPr>
          <w:i/>
          <w:iCs/>
        </w:rPr>
        <w:t>usdem</w:t>
      </w:r>
      <w:r w:rsidR="00AE3739">
        <w:t xml:space="preserve"> principle is usually invoked where there is ambiguity, it has no merit in this interpretative exercise.</w:t>
      </w:r>
      <w:r w:rsidR="009C108F">
        <w:t xml:space="preserve"> </w:t>
      </w:r>
      <w:r w:rsidR="007C4EA5">
        <w:t>B</w:t>
      </w:r>
      <w:r w:rsidR="009C108F">
        <w:t xml:space="preserve">ecause of my view </w:t>
      </w:r>
      <w:r w:rsidR="006C7FE7">
        <w:t>that the definition of “</w:t>
      </w:r>
      <w:r w:rsidR="006C7FE7" w:rsidRPr="006C7FE7">
        <w:rPr>
          <w:i/>
          <w:iCs/>
        </w:rPr>
        <w:t>goods</w:t>
      </w:r>
      <w:r w:rsidR="006C7FE7">
        <w:t>”  is clear and applies, wherever used in the Cession, and in interpreting the “</w:t>
      </w:r>
      <w:r w:rsidR="006C7FE7" w:rsidRPr="006C7FE7">
        <w:rPr>
          <w:i/>
          <w:iCs/>
        </w:rPr>
        <w:t>ceded rights</w:t>
      </w:r>
      <w:r w:rsidR="006C7FE7">
        <w:t xml:space="preserve">” acquired by the Bank, </w:t>
      </w:r>
      <w:r w:rsidR="004B3C9B">
        <w:t>that is the end of the matter.</w:t>
      </w:r>
    </w:p>
    <w:p w14:paraId="59DE776E" w14:textId="7EF0B2CF" w:rsidR="003D72AC" w:rsidRPr="004B3C9B" w:rsidRDefault="004B3C9B" w:rsidP="004B3C9B">
      <w:pPr>
        <w:pStyle w:val="Heading1"/>
        <w:keepNext/>
        <w:numPr>
          <w:ilvl w:val="0"/>
          <w:numId w:val="0"/>
        </w:numPr>
        <w:rPr>
          <w:b/>
          <w:bCs/>
          <w:u w:val="single"/>
        </w:rPr>
      </w:pPr>
      <w:r>
        <w:t xml:space="preserve"> </w:t>
      </w:r>
      <w:r w:rsidR="003D72AC" w:rsidRPr="004B3C9B">
        <w:rPr>
          <w:b/>
          <w:bCs/>
          <w:u w:val="single"/>
        </w:rPr>
        <w:t>SUBMISSIONS ON THE CESSION OF GOODS</w:t>
      </w:r>
    </w:p>
    <w:p w14:paraId="46988A95" w14:textId="4EB3CDC9" w:rsidR="003D72AC" w:rsidRDefault="00E2631D" w:rsidP="00E2631D">
      <w:pPr>
        <w:pStyle w:val="Heading1"/>
        <w:numPr>
          <w:ilvl w:val="0"/>
          <w:numId w:val="0"/>
        </w:numPr>
        <w:tabs>
          <w:tab w:val="left" w:pos="862"/>
        </w:tabs>
        <w:ind w:left="862" w:hanging="862"/>
      </w:pPr>
      <w:r>
        <w:t>[80]</w:t>
      </w:r>
      <w:r>
        <w:tab/>
      </w:r>
      <w:r w:rsidR="002E618F">
        <w:t>Additionally t</w:t>
      </w:r>
      <w:r w:rsidR="003D72AC">
        <w:t>he liquidators</w:t>
      </w:r>
      <w:r w:rsidR="002E618F">
        <w:t xml:space="preserve"> counsel submitted </w:t>
      </w:r>
      <w:r w:rsidR="003D72AC">
        <w:t>that the Bank’s attempt to rely on clause 1.2.2 as a definition of general interpretation independently of the qualifying clause 1.2.2.2</w:t>
      </w:r>
      <w:r w:rsidR="004B3C9B">
        <w:t xml:space="preserve">, </w:t>
      </w:r>
      <w:r w:rsidR="003D72AC">
        <w:t>which specifically refers to the bank’s right to the proceeds of the sale of any rights/goods</w:t>
      </w:r>
      <w:r w:rsidR="004B3C9B">
        <w:t>,</w:t>
      </w:r>
      <w:r w:rsidR="003D72AC">
        <w:t xml:space="preserve"> is </w:t>
      </w:r>
      <w:r w:rsidR="002E618F">
        <w:t xml:space="preserve">simply </w:t>
      </w:r>
      <w:r w:rsidR="004765D4">
        <w:t>wrong for</w:t>
      </w:r>
      <w:r w:rsidR="003D72AC">
        <w:t xml:space="preserve"> two reasons namely:</w:t>
      </w:r>
    </w:p>
    <w:p w14:paraId="650944E0" w14:textId="1023F67D" w:rsidR="003D72AC" w:rsidRDefault="00E2631D" w:rsidP="00E2631D">
      <w:pPr>
        <w:pStyle w:val="Heading2"/>
        <w:numPr>
          <w:ilvl w:val="0"/>
          <w:numId w:val="0"/>
        </w:numPr>
        <w:tabs>
          <w:tab w:val="left" w:pos="1871"/>
        </w:tabs>
        <w:ind w:left="1871" w:hanging="1009"/>
      </w:pPr>
      <w:r>
        <w:t>[80.1]</w:t>
      </w:r>
      <w:r>
        <w:tab/>
      </w:r>
      <w:r w:rsidR="003D72AC">
        <w:t xml:space="preserve">Goods cannot be ceded. </w:t>
      </w:r>
      <w:r w:rsidR="004A0EFD">
        <w:t xml:space="preserve"> To the extent that the Cession purports to cede goods, g</w:t>
      </w:r>
      <w:r w:rsidR="003D72AC">
        <w:t>oods can only be pledged, a principle which is trite;</w:t>
      </w:r>
      <w:r w:rsidR="003D72AC">
        <w:rPr>
          <w:rStyle w:val="FootnoteReference"/>
        </w:rPr>
        <w:footnoteReference w:id="29"/>
      </w:r>
      <w:r w:rsidR="003D72AC">
        <w:t xml:space="preserve">  As a consequence the firearms which formed the subject-matter of the agreement cannot be ceded.  In truth it is only the proceeds of the sale of th</w:t>
      </w:r>
      <w:r w:rsidR="006C7FE7">
        <w:t>e</w:t>
      </w:r>
      <w:r w:rsidR="003D72AC">
        <w:t xml:space="preserve"> firearms that are capable of cession, and </w:t>
      </w:r>
    </w:p>
    <w:p w14:paraId="2FA441E8" w14:textId="4DB0BBDD" w:rsidR="003D72AC" w:rsidRDefault="00E2631D" w:rsidP="00E2631D">
      <w:pPr>
        <w:pStyle w:val="Heading2"/>
        <w:numPr>
          <w:ilvl w:val="0"/>
          <w:numId w:val="0"/>
        </w:numPr>
        <w:tabs>
          <w:tab w:val="left" w:pos="1871"/>
        </w:tabs>
        <w:ind w:left="1871" w:hanging="1009"/>
      </w:pPr>
      <w:r>
        <w:t>[80.2]</w:t>
      </w:r>
      <w:r>
        <w:tab/>
      </w:r>
      <w:r w:rsidR="003D72AC">
        <w:t xml:space="preserve">Because the ceded interests in referencing goods went on to stipulate that </w:t>
      </w:r>
      <w:r w:rsidR="003D72AC" w:rsidRPr="00757C1B">
        <w:rPr>
          <w:i/>
          <w:iCs/>
        </w:rPr>
        <w:t>“the proceeds on the disposal or realisation of any rights</w:t>
      </w:r>
      <w:r w:rsidR="003650B4">
        <w:rPr>
          <w:i/>
          <w:iCs/>
        </w:rPr>
        <w:t xml:space="preserve">/ </w:t>
      </w:r>
      <w:r w:rsidR="003D72AC" w:rsidRPr="00757C1B">
        <w:rPr>
          <w:i/>
          <w:iCs/>
        </w:rPr>
        <w:t>goods</w:t>
      </w:r>
      <w:r w:rsidR="003650B4">
        <w:rPr>
          <w:i/>
          <w:iCs/>
        </w:rPr>
        <w:t xml:space="preserve">” </w:t>
      </w:r>
      <w:r w:rsidR="003650B4">
        <w:t>f</w:t>
      </w:r>
      <w:r w:rsidR="003D72AC" w:rsidRPr="003650B4">
        <w:t>ormed part of the ceded interests</w:t>
      </w:r>
      <w:r w:rsidR="003D72AC" w:rsidRPr="00F15561">
        <w:t xml:space="preserve"> </w:t>
      </w:r>
      <w:r w:rsidR="003D72AC">
        <w:t xml:space="preserve">in the qualifying </w:t>
      </w:r>
      <w:r w:rsidR="003D72AC">
        <w:lastRenderedPageBreak/>
        <w:t xml:space="preserve">provision at clause 1.2.2.2 </w:t>
      </w:r>
      <w:r w:rsidR="003D72AC" w:rsidRPr="00F15561">
        <w:t>th</w:t>
      </w:r>
      <w:r w:rsidR="003D72AC">
        <w:t>is qualification</w:t>
      </w:r>
      <w:r w:rsidR="004A0EFD">
        <w:t>, to that extent,</w:t>
      </w:r>
      <w:r w:rsidR="003D72AC">
        <w:t xml:space="preserve"> saved</w:t>
      </w:r>
      <w:r w:rsidR="003D72AC" w:rsidRPr="00F15561">
        <w:t xml:space="preserve"> </w:t>
      </w:r>
      <w:r w:rsidR="003D72AC">
        <w:t xml:space="preserve">the cession </w:t>
      </w:r>
      <w:r w:rsidR="003D72AC" w:rsidRPr="00F15561">
        <w:t>from being void insofar as it relates to movables</w:t>
      </w:r>
      <w:r w:rsidR="003D72AC">
        <w:t xml:space="preserve">.  As also submitted to me the subject-matter of the Cession is the </w:t>
      </w:r>
      <w:r w:rsidR="003D72AC" w:rsidRPr="00757C1B">
        <w:rPr>
          <w:i/>
          <w:iCs/>
        </w:rPr>
        <w:t>“transfer of rights in and to the goods”</w:t>
      </w:r>
      <w:r w:rsidR="003D72AC">
        <w:t>.</w:t>
      </w:r>
    </w:p>
    <w:p w14:paraId="4B8136C6" w14:textId="2BAE02DE" w:rsidR="003D72AC" w:rsidRDefault="00E2631D" w:rsidP="00E2631D">
      <w:pPr>
        <w:pStyle w:val="Heading1"/>
        <w:numPr>
          <w:ilvl w:val="0"/>
          <w:numId w:val="0"/>
        </w:numPr>
        <w:tabs>
          <w:tab w:val="left" w:pos="862"/>
        </w:tabs>
        <w:ind w:left="862" w:hanging="862"/>
      </w:pPr>
      <w:r>
        <w:t>[81]</w:t>
      </w:r>
      <w:r>
        <w:tab/>
      </w:r>
      <w:r w:rsidR="002E618F">
        <w:t xml:space="preserve">Also, </w:t>
      </w:r>
      <w:r w:rsidR="003D72AC">
        <w:t>if regard is had to the founding affidavit</w:t>
      </w:r>
      <w:r w:rsidR="003D72AC">
        <w:rPr>
          <w:rStyle w:val="FootnoteReference"/>
        </w:rPr>
        <w:footnoteReference w:id="30"/>
      </w:r>
      <w:r w:rsidR="003D72AC">
        <w:t xml:space="preserve"> it is apparent that the  cause of action was framed in a way</w:t>
      </w:r>
      <w:r w:rsidR="003650B4">
        <w:t xml:space="preserve"> so</w:t>
      </w:r>
      <w:r w:rsidR="003D72AC">
        <w:t xml:space="preserve"> as to misconstrue the nature of the cession in the sense that it was contended that the Bank had taken cession of all the movable assets without distinguishing between the assets themselves and the rights attaching thereto.</w:t>
      </w:r>
    </w:p>
    <w:p w14:paraId="371F2D6F" w14:textId="5F145FD9" w:rsidR="003D72AC" w:rsidRDefault="00E2631D" w:rsidP="00E2631D">
      <w:pPr>
        <w:pStyle w:val="Heading1"/>
        <w:numPr>
          <w:ilvl w:val="0"/>
          <w:numId w:val="0"/>
        </w:numPr>
        <w:tabs>
          <w:tab w:val="left" w:pos="862"/>
        </w:tabs>
        <w:ind w:left="862" w:hanging="862"/>
      </w:pPr>
      <w:r>
        <w:t>[82]</w:t>
      </w:r>
      <w:r>
        <w:tab/>
      </w:r>
      <w:r w:rsidR="003D72AC">
        <w:t xml:space="preserve">The Bank’s counsel </w:t>
      </w:r>
      <w:r w:rsidR="002E618F">
        <w:t>conceded</w:t>
      </w:r>
      <w:r w:rsidR="003D72AC">
        <w:t xml:space="preserve"> that to the extent that the word </w:t>
      </w:r>
      <w:r w:rsidR="003D72AC" w:rsidRPr="00757C1B">
        <w:rPr>
          <w:i/>
          <w:iCs/>
        </w:rPr>
        <w:t>“assets”</w:t>
      </w:r>
      <w:r w:rsidR="003D72AC">
        <w:t xml:space="preserve"> had been referred to in the founding affidavit it is clear that only personal rights could be ceded and that it was these rights to the proceeds of the sale of the goods which was the subject-matter of the claim. In any event, </w:t>
      </w:r>
      <w:r w:rsidR="003650B4">
        <w:t xml:space="preserve"> he explained </w:t>
      </w:r>
      <w:r w:rsidR="003D72AC">
        <w:t xml:space="preserve">on any terminology, the result would be the same which is the value of the movable assets.  </w:t>
      </w:r>
    </w:p>
    <w:p w14:paraId="3D91332E" w14:textId="5A147D36" w:rsidR="0048141E" w:rsidRDefault="00E2631D" w:rsidP="00E2631D">
      <w:pPr>
        <w:pStyle w:val="Heading1"/>
        <w:numPr>
          <w:ilvl w:val="0"/>
          <w:numId w:val="0"/>
        </w:numPr>
        <w:tabs>
          <w:tab w:val="left" w:pos="862"/>
        </w:tabs>
        <w:ind w:left="862" w:hanging="862"/>
      </w:pPr>
      <w:r>
        <w:t>[83]</w:t>
      </w:r>
      <w:r>
        <w:tab/>
      </w:r>
      <w:r w:rsidR="0048141E">
        <w:t xml:space="preserve">It </w:t>
      </w:r>
      <w:r w:rsidR="004A0EFD">
        <w:t>i</w:t>
      </w:r>
      <w:r w:rsidR="0048141E">
        <w:t>s correct that the subject matter of a cession is in fact rights not goods and</w:t>
      </w:r>
      <w:r w:rsidR="006042C7">
        <w:t xml:space="preserve"> this is</w:t>
      </w:r>
      <w:r w:rsidR="0048141E">
        <w:t xml:space="preserve"> evident from the nature of the ceded interests which all pertain to rights.</w:t>
      </w:r>
    </w:p>
    <w:p w14:paraId="5E12F508" w14:textId="2A7EB5E3" w:rsidR="004B3C9B" w:rsidRDefault="00E2631D" w:rsidP="00E2631D">
      <w:pPr>
        <w:pStyle w:val="Heading1"/>
        <w:numPr>
          <w:ilvl w:val="0"/>
          <w:numId w:val="0"/>
        </w:numPr>
        <w:tabs>
          <w:tab w:val="left" w:pos="862"/>
        </w:tabs>
        <w:ind w:left="862" w:hanging="862"/>
      </w:pPr>
      <w:r>
        <w:t>[84]</w:t>
      </w:r>
      <w:r>
        <w:tab/>
      </w:r>
      <w:r w:rsidR="003D72AC">
        <w:t>As also submitted to me, the Bank’s counsel submission,</w:t>
      </w:r>
      <w:r w:rsidR="003D72AC" w:rsidRPr="006D5CD5">
        <w:t xml:space="preserve"> </w:t>
      </w:r>
      <w:r w:rsidR="003D72AC">
        <w:t xml:space="preserve">at the outset, that the liquidators had conceded that the Bank was entitled to all of the assets and that they had been paid </w:t>
      </w:r>
      <w:r w:rsidR="004A0EFD">
        <w:t>i</w:t>
      </w:r>
      <w:r w:rsidR="003D72AC">
        <w:t>s incorrect and disputed.</w:t>
      </w:r>
      <w:r w:rsidR="004B3C9B">
        <w:t xml:space="preserve"> The liquidators set out in detail what had been paid to the Bank and how it was computed.</w:t>
      </w:r>
      <w:r w:rsidR="00906570">
        <w:rPr>
          <w:rStyle w:val="FootnoteReference"/>
        </w:rPr>
        <w:footnoteReference w:id="31"/>
      </w:r>
      <w:r w:rsidR="004B3C9B">
        <w:t xml:space="preserve"> The liquidators distinguished </w:t>
      </w:r>
      <w:r w:rsidR="00DD7A7E">
        <w:t xml:space="preserve"> between the proceeds from the sales of the firearms which is secured under the Cession and the proceeds from other assets, what are termed non</w:t>
      </w:r>
      <w:r w:rsidR="003650B4">
        <w:t xml:space="preserve"> </w:t>
      </w:r>
      <w:r w:rsidR="00DD7A7E">
        <w:t>- current assets</w:t>
      </w:r>
      <w:r w:rsidR="003650B4">
        <w:t>,</w:t>
      </w:r>
      <w:r w:rsidR="00DD7A7E">
        <w:t xml:space="preserve">  and </w:t>
      </w:r>
      <w:r w:rsidR="00DD7A7E">
        <w:lastRenderedPageBreak/>
        <w:t xml:space="preserve">which belong to the company in liquidation. The company has a real right to these assets. The realisation of these assets does not convert the real right into a personal right, as  affirmed in </w:t>
      </w:r>
      <w:r w:rsidR="00DD7A7E">
        <w:rPr>
          <w:b/>
          <w:bCs/>
          <w:i/>
          <w:iCs/>
        </w:rPr>
        <w:t>Nedbank v Chance</w:t>
      </w:r>
      <w:r w:rsidR="00DD7A7E">
        <w:t>, quoted above.</w:t>
      </w:r>
    </w:p>
    <w:p w14:paraId="421EDD8E" w14:textId="45355806" w:rsidR="003D72AC" w:rsidRDefault="00E2631D" w:rsidP="00E2631D">
      <w:pPr>
        <w:pStyle w:val="Heading1"/>
        <w:numPr>
          <w:ilvl w:val="0"/>
          <w:numId w:val="0"/>
        </w:numPr>
        <w:tabs>
          <w:tab w:val="left" w:pos="862"/>
        </w:tabs>
        <w:ind w:left="862" w:hanging="862"/>
      </w:pPr>
      <w:r>
        <w:t>[85]</w:t>
      </w:r>
      <w:r>
        <w:tab/>
      </w:r>
      <w:r w:rsidR="00DD7A7E">
        <w:t xml:space="preserve"> Also, a</w:t>
      </w:r>
      <w:r w:rsidR="0048141E">
        <w:t>t all times</w:t>
      </w:r>
      <w:r w:rsidR="007C4EA5">
        <w:t xml:space="preserve"> the advance payment of R1 970 098.75 was made to the Bank to curtail the accrual of interest and was conditional on the Bank repaying any amounts if the account was not confirmed or amended</w:t>
      </w:r>
      <w:r w:rsidR="007C4EA5">
        <w:rPr>
          <w:rStyle w:val="FootnoteReference"/>
        </w:rPr>
        <w:footnoteReference w:id="32"/>
      </w:r>
      <w:r w:rsidR="007C4EA5">
        <w:t>.</w:t>
      </w:r>
    </w:p>
    <w:p w14:paraId="1E8E409B" w14:textId="2BFA87B8" w:rsidR="003D72AC" w:rsidRDefault="00E2631D" w:rsidP="00E2631D">
      <w:pPr>
        <w:pStyle w:val="Heading1"/>
        <w:numPr>
          <w:ilvl w:val="0"/>
          <w:numId w:val="0"/>
        </w:numPr>
        <w:tabs>
          <w:tab w:val="left" w:pos="862"/>
        </w:tabs>
        <w:ind w:left="862" w:hanging="862"/>
      </w:pPr>
      <w:r>
        <w:t>[86]</w:t>
      </w:r>
      <w:r>
        <w:tab/>
      </w:r>
      <w:r w:rsidR="003D72AC">
        <w:t xml:space="preserve">As such, I am of the view that the qualifying provision is essential to convey the nature of the Bank’s rights to the goods and without it the general provision </w:t>
      </w:r>
      <w:r w:rsidR="003650B4">
        <w:t>pertaining to “</w:t>
      </w:r>
      <w:r w:rsidR="003650B4" w:rsidRPr="003650B4">
        <w:rPr>
          <w:i/>
          <w:iCs/>
        </w:rPr>
        <w:t>goods</w:t>
      </w:r>
      <w:r w:rsidR="003650B4">
        <w:t xml:space="preserve">” </w:t>
      </w:r>
      <w:r w:rsidR="003D72AC">
        <w:t>would have been meaningless.</w:t>
      </w:r>
    </w:p>
    <w:p w14:paraId="6744AA11" w14:textId="1D9C6290" w:rsidR="00132E13" w:rsidRPr="00BC4F87" w:rsidRDefault="00132E13" w:rsidP="00132E13">
      <w:pPr>
        <w:pStyle w:val="Heading1"/>
        <w:numPr>
          <w:ilvl w:val="0"/>
          <w:numId w:val="0"/>
        </w:numPr>
        <w:rPr>
          <w:b/>
          <w:bCs/>
          <w:u w:val="single"/>
        </w:rPr>
      </w:pPr>
      <w:r w:rsidRPr="00BC4F87">
        <w:rPr>
          <w:b/>
          <w:bCs/>
          <w:u w:val="single"/>
        </w:rPr>
        <w:t>CONCLUSION</w:t>
      </w:r>
    </w:p>
    <w:p w14:paraId="53D58C57" w14:textId="02D12163" w:rsidR="006D5CD5" w:rsidRDefault="00E2631D" w:rsidP="00E2631D">
      <w:pPr>
        <w:pStyle w:val="Heading1"/>
        <w:numPr>
          <w:ilvl w:val="0"/>
          <w:numId w:val="0"/>
        </w:numPr>
        <w:tabs>
          <w:tab w:val="left" w:pos="862"/>
        </w:tabs>
        <w:ind w:left="862" w:hanging="862"/>
      </w:pPr>
      <w:r>
        <w:t>[87]</w:t>
      </w:r>
      <w:r>
        <w:tab/>
      </w:r>
      <w:r w:rsidR="0048168E">
        <w:t xml:space="preserve">I am of the view that the Master was correct in her interpretation of the definition of </w:t>
      </w:r>
      <w:r w:rsidR="00132E13">
        <w:t>“</w:t>
      </w:r>
      <w:r w:rsidR="0048168E" w:rsidRPr="00132E13">
        <w:rPr>
          <w:i/>
          <w:iCs/>
        </w:rPr>
        <w:t>goods</w:t>
      </w:r>
      <w:r w:rsidR="00132E13">
        <w:t xml:space="preserve">” </w:t>
      </w:r>
      <w:r w:rsidR="003D6404">
        <w:t>and referenced in the definition of “</w:t>
      </w:r>
      <w:r w:rsidR="003D6404" w:rsidRPr="003D6404">
        <w:rPr>
          <w:i/>
          <w:iCs/>
        </w:rPr>
        <w:t>ceded interests</w:t>
      </w:r>
      <w:r w:rsidR="003D6404">
        <w:t>”</w:t>
      </w:r>
      <w:r w:rsidR="00132E13">
        <w:t xml:space="preserve"> </w:t>
      </w:r>
      <w:r w:rsidR="00B61B10">
        <w:t>and</w:t>
      </w:r>
      <w:r w:rsidR="0048168E">
        <w:t xml:space="preserve"> </w:t>
      </w:r>
      <w:r w:rsidR="00132E13">
        <w:t>cannot be faulted. The objection to the 3</w:t>
      </w:r>
      <w:r w:rsidR="00132E13" w:rsidRPr="00132E13">
        <w:rPr>
          <w:vertAlign w:val="superscript"/>
        </w:rPr>
        <w:t>rd</w:t>
      </w:r>
      <w:r w:rsidR="00132E13">
        <w:t xml:space="preserve"> liquidation and distribution account cannot be upheld</w:t>
      </w:r>
      <w:r w:rsidR="0048168E">
        <w:t>.</w:t>
      </w:r>
    </w:p>
    <w:p w14:paraId="7EB7473D" w14:textId="016B0CA7" w:rsidR="0048168E" w:rsidRDefault="00E2631D" w:rsidP="00E2631D">
      <w:pPr>
        <w:pStyle w:val="Heading1"/>
        <w:numPr>
          <w:ilvl w:val="0"/>
          <w:numId w:val="0"/>
        </w:numPr>
        <w:tabs>
          <w:tab w:val="left" w:pos="862"/>
        </w:tabs>
        <w:ind w:left="862" w:hanging="862"/>
      </w:pPr>
      <w:r>
        <w:t>[88]</w:t>
      </w:r>
      <w:r>
        <w:tab/>
      </w:r>
      <w:r w:rsidR="0048168E">
        <w:t>In all of the circumstances, I am of the view that the application must be dismissed with costs.  There is no reason why the costs should not follow the result.</w:t>
      </w:r>
    </w:p>
    <w:p w14:paraId="4784BD42" w14:textId="7F3723F3" w:rsidR="00C22C1D" w:rsidRDefault="00E2631D" w:rsidP="00E2631D">
      <w:pPr>
        <w:pStyle w:val="Heading1"/>
        <w:numPr>
          <w:ilvl w:val="0"/>
          <w:numId w:val="0"/>
        </w:numPr>
        <w:tabs>
          <w:tab w:val="left" w:pos="862"/>
        </w:tabs>
        <w:ind w:left="862" w:hanging="862"/>
      </w:pPr>
      <w:r>
        <w:t>[89]</w:t>
      </w:r>
      <w:r>
        <w:tab/>
      </w:r>
      <w:r w:rsidR="00C22C1D">
        <w:t>Accordingly, I make an order in the following terms:</w:t>
      </w:r>
    </w:p>
    <w:p w14:paraId="6A160FCA" w14:textId="3240E8FE" w:rsidR="00C22C1D" w:rsidRDefault="00E2631D" w:rsidP="00E2631D">
      <w:pPr>
        <w:pStyle w:val="Heading2"/>
        <w:numPr>
          <w:ilvl w:val="0"/>
          <w:numId w:val="0"/>
        </w:numPr>
        <w:tabs>
          <w:tab w:val="left" w:pos="1871"/>
        </w:tabs>
        <w:ind w:left="1871" w:hanging="1009"/>
      </w:pPr>
      <w:r>
        <w:t>[89.1]</w:t>
      </w:r>
      <w:r>
        <w:tab/>
      </w:r>
      <w:r w:rsidR="00C22C1D">
        <w:t xml:space="preserve">The application is dismissed.  </w:t>
      </w:r>
    </w:p>
    <w:p w14:paraId="648E4139" w14:textId="1F12E0A5" w:rsidR="00C22C1D" w:rsidRPr="00BA3147" w:rsidRDefault="00E2631D" w:rsidP="00E2631D">
      <w:pPr>
        <w:pStyle w:val="Heading2"/>
        <w:numPr>
          <w:ilvl w:val="0"/>
          <w:numId w:val="0"/>
        </w:numPr>
        <w:tabs>
          <w:tab w:val="left" w:pos="1871"/>
        </w:tabs>
        <w:ind w:left="1871" w:hanging="1009"/>
      </w:pPr>
      <w:r w:rsidRPr="00BA3147">
        <w:t>[89.2]</w:t>
      </w:r>
      <w:r w:rsidRPr="00BA3147">
        <w:tab/>
      </w:r>
      <w:r w:rsidR="00C22C1D">
        <w:t xml:space="preserve">The applicant is to pay the costs of the application to the second </w:t>
      </w:r>
      <w:r w:rsidR="00C22C1D">
        <w:lastRenderedPageBreak/>
        <w:t>and third respondents.</w:t>
      </w:r>
    </w:p>
    <w:p w14:paraId="53743F67" w14:textId="10C42F70" w:rsidR="006E34E4" w:rsidRDefault="006E34E4" w:rsidP="006E34E4">
      <w:pPr>
        <w:keepNext/>
        <w:keepLines/>
        <w:tabs>
          <w:tab w:val="left" w:pos="0"/>
        </w:tabs>
        <w:spacing w:before="240" w:after="0" w:line="240" w:lineRule="auto"/>
        <w:jc w:val="right"/>
        <w:rPr>
          <w:b/>
          <w:u w:val="single"/>
        </w:rPr>
      </w:pPr>
      <w:bookmarkStart w:id="2" w:name="_Hlk81386320"/>
      <w:r>
        <w:rPr>
          <w:b/>
          <w:u w:val="single"/>
        </w:rPr>
        <w:t>______________________________________</w:t>
      </w:r>
    </w:p>
    <w:p w14:paraId="2DB13194" w14:textId="4425743F" w:rsidR="006E34E4" w:rsidRDefault="006E34E4" w:rsidP="006E34E4">
      <w:pPr>
        <w:keepNext/>
        <w:spacing w:after="0" w:line="240" w:lineRule="auto"/>
        <w:jc w:val="right"/>
        <w:rPr>
          <w:rFonts w:cs="Arial"/>
          <w:b/>
        </w:rPr>
      </w:pPr>
      <w:r>
        <w:rPr>
          <w:rFonts w:cs="Arial"/>
          <w:b/>
        </w:rPr>
        <w:t>P V TERNENT</w:t>
      </w:r>
    </w:p>
    <w:p w14:paraId="01C7C878" w14:textId="77777777" w:rsidR="006E34E4" w:rsidRPr="0084771B" w:rsidRDefault="006E34E4" w:rsidP="006E34E4">
      <w:pPr>
        <w:keepNext/>
        <w:spacing w:after="0" w:line="240" w:lineRule="auto"/>
        <w:jc w:val="right"/>
        <w:rPr>
          <w:rFonts w:cs="Arial"/>
          <w:i/>
        </w:rPr>
      </w:pPr>
      <w:r>
        <w:rPr>
          <w:rFonts w:cs="Arial"/>
          <w:i/>
        </w:rPr>
        <w:t xml:space="preserve">Acting </w:t>
      </w:r>
      <w:r w:rsidRPr="0084771B">
        <w:rPr>
          <w:rFonts w:cs="Arial"/>
          <w:i/>
        </w:rPr>
        <w:t>Judge of the High Court</w:t>
      </w:r>
      <w:r>
        <w:rPr>
          <w:rFonts w:cs="Arial"/>
          <w:i/>
        </w:rPr>
        <w:t xml:space="preserve"> of South Africa</w:t>
      </w:r>
    </w:p>
    <w:p w14:paraId="21C6E74A" w14:textId="7428827F" w:rsidR="006E34E4" w:rsidRDefault="006E34E4" w:rsidP="00B61B10">
      <w:pPr>
        <w:spacing w:after="120"/>
        <w:jc w:val="right"/>
        <w:rPr>
          <w:rFonts w:cs="Arial"/>
          <w:i/>
        </w:rPr>
      </w:pPr>
      <w:r w:rsidRPr="0084771B">
        <w:rPr>
          <w:rFonts w:cs="Arial"/>
          <w:i/>
        </w:rPr>
        <w:t xml:space="preserve">Gauteng Division, </w:t>
      </w:r>
      <w:r>
        <w:rPr>
          <w:rFonts w:cs="Arial"/>
          <w:i/>
        </w:rPr>
        <w:t>Johannesburg</w:t>
      </w:r>
    </w:p>
    <w:p w14:paraId="5B438ED0" w14:textId="77777777" w:rsidR="00B61B10" w:rsidRPr="00B61B10" w:rsidRDefault="00B61B10" w:rsidP="00B61B10">
      <w:pPr>
        <w:spacing w:after="120"/>
        <w:jc w:val="center"/>
        <w:rPr>
          <w:rFonts w:cs="Arial"/>
          <w:i/>
        </w:rPr>
      </w:pPr>
    </w:p>
    <w:p w14:paraId="66A3D0C8" w14:textId="77777777" w:rsidR="006E34E4" w:rsidRDefault="006E34E4" w:rsidP="006E34E4">
      <w:pPr>
        <w:pBdr>
          <w:bottom w:val="single" w:sz="6" w:space="1" w:color="auto"/>
        </w:pBdr>
        <w:spacing w:after="360"/>
        <w:rPr>
          <w:rFonts w:cs="Arial"/>
          <w:i/>
        </w:rPr>
      </w:pPr>
    </w:p>
    <w:tbl>
      <w:tblPr>
        <w:tblW w:w="9144" w:type="dxa"/>
        <w:tblLook w:val="04A0" w:firstRow="1" w:lastRow="0" w:firstColumn="1" w:lastColumn="0" w:noHBand="0" w:noVBand="1"/>
      </w:tblPr>
      <w:tblGrid>
        <w:gridCol w:w="3936"/>
        <w:gridCol w:w="5208"/>
      </w:tblGrid>
      <w:tr w:rsidR="006E34E4" w14:paraId="3EFE509C" w14:textId="77777777">
        <w:tc>
          <w:tcPr>
            <w:tcW w:w="3936" w:type="dxa"/>
            <w:tcMar>
              <w:top w:w="32" w:type="dxa"/>
              <w:left w:w="108" w:type="dxa"/>
              <w:bottom w:w="32" w:type="dxa"/>
              <w:right w:w="108" w:type="dxa"/>
            </w:tcMar>
            <w:vAlign w:val="center"/>
            <w:hideMark/>
          </w:tcPr>
          <w:p w14:paraId="358D6CC3" w14:textId="77777777" w:rsidR="006E34E4" w:rsidRDefault="006E34E4" w:rsidP="007154C1">
            <w:pPr>
              <w:keepNext/>
              <w:spacing w:before="120" w:after="0" w:line="240" w:lineRule="auto"/>
              <w:rPr>
                <w:sz w:val="22"/>
                <w:szCs w:val="22"/>
              </w:rPr>
            </w:pPr>
            <w:r>
              <w:t>HEARD ON: </w:t>
            </w:r>
          </w:p>
        </w:tc>
        <w:tc>
          <w:tcPr>
            <w:tcW w:w="5208" w:type="dxa"/>
            <w:tcMar>
              <w:top w:w="32" w:type="dxa"/>
              <w:left w:w="108" w:type="dxa"/>
              <w:bottom w:w="32" w:type="dxa"/>
              <w:right w:w="108" w:type="dxa"/>
            </w:tcMar>
            <w:vAlign w:val="center"/>
            <w:hideMark/>
          </w:tcPr>
          <w:p w14:paraId="0D924218" w14:textId="118036F1" w:rsidR="006E34E4" w:rsidRDefault="001D100C" w:rsidP="00C240DF">
            <w:pPr>
              <w:keepNext/>
              <w:spacing w:after="0" w:line="240" w:lineRule="auto"/>
              <w:rPr>
                <w:sz w:val="22"/>
                <w:szCs w:val="22"/>
              </w:rPr>
            </w:pPr>
            <w:r>
              <w:rPr>
                <w:sz w:val="22"/>
                <w:szCs w:val="22"/>
              </w:rPr>
              <w:t>2</w:t>
            </w:r>
            <w:r w:rsidR="00156CDE">
              <w:rPr>
                <w:sz w:val="22"/>
                <w:szCs w:val="22"/>
              </w:rPr>
              <w:t>3</w:t>
            </w:r>
            <w:r>
              <w:rPr>
                <w:sz w:val="22"/>
                <w:szCs w:val="22"/>
              </w:rPr>
              <w:t xml:space="preserve"> May 2023</w:t>
            </w:r>
          </w:p>
        </w:tc>
      </w:tr>
      <w:tr w:rsidR="006E34E4" w14:paraId="35A136C3" w14:textId="77777777">
        <w:tc>
          <w:tcPr>
            <w:tcW w:w="3936" w:type="dxa"/>
            <w:tcMar>
              <w:top w:w="32" w:type="dxa"/>
              <w:left w:w="108" w:type="dxa"/>
              <w:bottom w:w="32" w:type="dxa"/>
              <w:right w:w="108" w:type="dxa"/>
            </w:tcMar>
            <w:vAlign w:val="center"/>
            <w:hideMark/>
          </w:tcPr>
          <w:p w14:paraId="3D674BDC" w14:textId="77777777" w:rsidR="006E34E4" w:rsidRDefault="006E34E4" w:rsidP="007154C1">
            <w:pPr>
              <w:keepNext/>
              <w:spacing w:before="120" w:after="0" w:line="240" w:lineRule="auto"/>
            </w:pPr>
            <w:r>
              <w:t>DATE OF JUDGMENT:</w:t>
            </w:r>
          </w:p>
        </w:tc>
        <w:tc>
          <w:tcPr>
            <w:tcW w:w="5208" w:type="dxa"/>
            <w:tcMar>
              <w:top w:w="32" w:type="dxa"/>
              <w:left w:w="108" w:type="dxa"/>
              <w:bottom w:w="32" w:type="dxa"/>
              <w:right w:w="108" w:type="dxa"/>
            </w:tcMar>
            <w:vAlign w:val="center"/>
            <w:hideMark/>
          </w:tcPr>
          <w:p w14:paraId="3ED612EF" w14:textId="5B283FFB" w:rsidR="006E34E4" w:rsidRDefault="00F440F8" w:rsidP="00C240DF">
            <w:pPr>
              <w:keepNext/>
              <w:spacing w:after="0" w:line="240" w:lineRule="auto"/>
            </w:pPr>
            <w:r>
              <w:t>2</w:t>
            </w:r>
            <w:r w:rsidR="003650B4">
              <w:t>4</w:t>
            </w:r>
            <w:r w:rsidR="00D10BDA">
              <w:t xml:space="preserve"> January 2024</w:t>
            </w:r>
          </w:p>
        </w:tc>
      </w:tr>
      <w:tr w:rsidR="006E34E4" w14:paraId="0FEED89A" w14:textId="77777777">
        <w:tc>
          <w:tcPr>
            <w:tcW w:w="3936" w:type="dxa"/>
            <w:tcMar>
              <w:top w:w="32" w:type="dxa"/>
              <w:left w:w="108" w:type="dxa"/>
              <w:bottom w:w="32" w:type="dxa"/>
              <w:right w:w="108" w:type="dxa"/>
            </w:tcMar>
            <w:vAlign w:val="center"/>
            <w:hideMark/>
          </w:tcPr>
          <w:p w14:paraId="04BEABD0" w14:textId="63296211" w:rsidR="006E34E4" w:rsidRDefault="006E34E4" w:rsidP="00143DA0">
            <w:pPr>
              <w:keepNext/>
              <w:spacing w:before="120" w:after="0" w:line="240" w:lineRule="auto"/>
              <w:ind w:right="-108"/>
              <w:jc w:val="left"/>
            </w:pPr>
            <w:r>
              <w:t xml:space="preserve">FOR </w:t>
            </w:r>
            <w:r w:rsidR="000C5D4A">
              <w:t>APPLICANT</w:t>
            </w:r>
            <w:r>
              <w:t>:</w:t>
            </w:r>
          </w:p>
        </w:tc>
        <w:tc>
          <w:tcPr>
            <w:tcW w:w="5208" w:type="dxa"/>
            <w:tcMar>
              <w:top w:w="32" w:type="dxa"/>
              <w:left w:w="108" w:type="dxa"/>
              <w:bottom w:w="32" w:type="dxa"/>
              <w:right w:w="108" w:type="dxa"/>
            </w:tcMar>
            <w:vAlign w:val="center"/>
            <w:hideMark/>
          </w:tcPr>
          <w:p w14:paraId="7A3DC197" w14:textId="03FD97F2" w:rsidR="00DB42AA" w:rsidRDefault="00C22C1D" w:rsidP="00C240DF">
            <w:pPr>
              <w:keepNext/>
              <w:spacing w:after="0" w:line="240" w:lineRule="auto"/>
            </w:pPr>
            <w:r>
              <w:t>Adv M A Badenhorst SC</w:t>
            </w:r>
          </w:p>
          <w:p w14:paraId="4E8C465C" w14:textId="2495ED76" w:rsidR="00DB42AA" w:rsidRDefault="00DB42AA" w:rsidP="00C240DF">
            <w:pPr>
              <w:keepNext/>
              <w:spacing w:after="0" w:line="240" w:lineRule="auto"/>
            </w:pPr>
            <w:r>
              <w:t>E-mail:</w:t>
            </w:r>
            <w:r w:rsidR="00831AD2">
              <w:t xml:space="preserve"> </w:t>
            </w:r>
            <w:hyperlink r:id="rId9" w:history="1">
              <w:r w:rsidR="00C22C1D" w:rsidRPr="0004601B">
                <w:rPr>
                  <w:rStyle w:val="Hyperlink"/>
                </w:rPr>
                <w:t>michelle@lawcircle.co.za</w:t>
              </w:r>
            </w:hyperlink>
            <w:r w:rsidR="00C22C1D">
              <w:t xml:space="preserve"> </w:t>
            </w:r>
          </w:p>
          <w:p w14:paraId="21D1FD4B" w14:textId="7AB45762" w:rsidR="00831AD2" w:rsidRDefault="00831AD2" w:rsidP="00C240DF">
            <w:pPr>
              <w:keepNext/>
              <w:spacing w:after="0" w:line="240" w:lineRule="auto"/>
            </w:pPr>
            <w:r>
              <w:t xml:space="preserve">Cell: </w:t>
            </w:r>
            <w:r w:rsidR="001D100C">
              <w:t>08</w:t>
            </w:r>
            <w:r w:rsidR="000C5D4A">
              <w:t>2</w:t>
            </w:r>
            <w:r w:rsidR="001D100C">
              <w:t> </w:t>
            </w:r>
            <w:r w:rsidR="000C5D4A">
              <w:t>4</w:t>
            </w:r>
            <w:r w:rsidR="00C22C1D">
              <w:t>40</w:t>
            </w:r>
            <w:r w:rsidR="001D100C">
              <w:t xml:space="preserve"> </w:t>
            </w:r>
            <w:r w:rsidR="00C22C1D">
              <w:t>0330</w:t>
            </w:r>
          </w:p>
        </w:tc>
      </w:tr>
      <w:tr w:rsidR="006E34E4" w14:paraId="2DF2512C" w14:textId="77777777">
        <w:tc>
          <w:tcPr>
            <w:tcW w:w="3936" w:type="dxa"/>
            <w:tcMar>
              <w:top w:w="32" w:type="dxa"/>
              <w:left w:w="108" w:type="dxa"/>
              <w:bottom w:w="32" w:type="dxa"/>
              <w:right w:w="108" w:type="dxa"/>
            </w:tcMar>
            <w:vAlign w:val="center"/>
            <w:hideMark/>
          </w:tcPr>
          <w:p w14:paraId="58F841D1" w14:textId="77777777" w:rsidR="006E34E4" w:rsidRDefault="006E34E4" w:rsidP="00CF7049">
            <w:pPr>
              <w:keepNext/>
              <w:spacing w:before="120" w:line="240" w:lineRule="auto"/>
              <w:rPr>
                <w:sz w:val="22"/>
                <w:szCs w:val="22"/>
              </w:rPr>
            </w:pPr>
            <w:r>
              <w:t>INSTRUCTED BY: </w:t>
            </w:r>
          </w:p>
        </w:tc>
        <w:tc>
          <w:tcPr>
            <w:tcW w:w="5208" w:type="dxa"/>
            <w:tcMar>
              <w:top w:w="32" w:type="dxa"/>
              <w:left w:w="108" w:type="dxa"/>
              <w:bottom w:w="32" w:type="dxa"/>
              <w:right w:w="108" w:type="dxa"/>
            </w:tcMar>
            <w:vAlign w:val="center"/>
            <w:hideMark/>
          </w:tcPr>
          <w:p w14:paraId="3372109F" w14:textId="314BDFE7" w:rsidR="00D478B5" w:rsidRDefault="00C22C1D" w:rsidP="00D478B5">
            <w:pPr>
              <w:spacing w:after="0" w:line="240" w:lineRule="auto"/>
              <w:ind w:left="3022" w:hanging="3022"/>
            </w:pPr>
            <w:r>
              <w:t xml:space="preserve">RWL Attorneys </w:t>
            </w:r>
          </w:p>
          <w:p w14:paraId="21442AC5" w14:textId="18325724" w:rsidR="00C22C1D" w:rsidRDefault="00C22C1D" w:rsidP="00D478B5">
            <w:pPr>
              <w:spacing w:after="0" w:line="240" w:lineRule="auto"/>
              <w:ind w:left="3022" w:hanging="3022"/>
            </w:pPr>
            <w:r>
              <w:t>Ref: G Van den Burg/F314164</w:t>
            </w:r>
          </w:p>
          <w:p w14:paraId="4701DFC5" w14:textId="5B55401D" w:rsidR="00831AD2" w:rsidRPr="00C22C1D" w:rsidRDefault="00C22C1D" w:rsidP="00C22C1D">
            <w:pPr>
              <w:spacing w:after="0" w:line="240" w:lineRule="auto"/>
              <w:ind w:left="3022" w:hanging="3022"/>
            </w:pPr>
            <w:r>
              <w:t>Tel: (012) 362 8990</w:t>
            </w:r>
            <w:r w:rsidR="00831AD2">
              <w:rPr>
                <w:sz w:val="22"/>
                <w:szCs w:val="22"/>
              </w:rPr>
              <w:t xml:space="preserve"> </w:t>
            </w:r>
          </w:p>
        </w:tc>
      </w:tr>
      <w:tr w:rsidR="006E34E4" w14:paraId="1DF258FF" w14:textId="77777777">
        <w:tc>
          <w:tcPr>
            <w:tcW w:w="3936" w:type="dxa"/>
            <w:tcMar>
              <w:top w:w="32" w:type="dxa"/>
              <w:left w:w="108" w:type="dxa"/>
              <w:bottom w:w="32" w:type="dxa"/>
              <w:right w:w="108" w:type="dxa"/>
            </w:tcMar>
            <w:vAlign w:val="center"/>
            <w:hideMark/>
          </w:tcPr>
          <w:p w14:paraId="4420DF33" w14:textId="03558A46" w:rsidR="006E34E4" w:rsidRDefault="006E34E4" w:rsidP="00C240DF">
            <w:pPr>
              <w:keepNext/>
              <w:spacing w:before="120" w:after="0" w:line="240" w:lineRule="auto"/>
              <w:jc w:val="left"/>
              <w:rPr>
                <w:sz w:val="22"/>
                <w:szCs w:val="22"/>
              </w:rPr>
            </w:pPr>
            <w:r>
              <w:t xml:space="preserve">FOR </w:t>
            </w:r>
            <w:r w:rsidR="000C5D4A">
              <w:t>RESPONDENT</w:t>
            </w:r>
            <w:r w:rsidR="00C22C1D">
              <w:t>S</w:t>
            </w:r>
            <w:r>
              <w:t>: </w:t>
            </w:r>
          </w:p>
        </w:tc>
        <w:tc>
          <w:tcPr>
            <w:tcW w:w="5208" w:type="dxa"/>
            <w:tcMar>
              <w:top w:w="32" w:type="dxa"/>
              <w:left w:w="108" w:type="dxa"/>
              <w:bottom w:w="32" w:type="dxa"/>
              <w:right w:w="108" w:type="dxa"/>
            </w:tcMar>
            <w:vAlign w:val="center"/>
            <w:hideMark/>
          </w:tcPr>
          <w:p w14:paraId="111FF68B" w14:textId="36E1F9B8" w:rsidR="00702DA1" w:rsidRDefault="00984D41" w:rsidP="00C240DF">
            <w:pPr>
              <w:keepNext/>
              <w:spacing w:after="0" w:line="240" w:lineRule="auto"/>
            </w:pPr>
            <w:r>
              <w:t xml:space="preserve">Adv </w:t>
            </w:r>
            <w:r w:rsidR="00C22C1D">
              <w:t>H R Fourie SC</w:t>
            </w:r>
          </w:p>
          <w:p w14:paraId="2BDDAB39" w14:textId="260D1557" w:rsidR="00C22C1D" w:rsidRDefault="00C22C1D" w:rsidP="00C240DF">
            <w:pPr>
              <w:keepNext/>
              <w:spacing w:after="0" w:line="240" w:lineRule="auto"/>
            </w:pPr>
            <w:r>
              <w:t xml:space="preserve">E-mail: </w:t>
            </w:r>
            <w:hyperlink r:id="rId10" w:history="1">
              <w:r w:rsidRPr="0004601B">
                <w:rPr>
                  <w:rStyle w:val="Hyperlink"/>
                </w:rPr>
                <w:t>helen@gkchambers.co.za</w:t>
              </w:r>
            </w:hyperlink>
            <w:r>
              <w:t xml:space="preserve"> </w:t>
            </w:r>
          </w:p>
          <w:p w14:paraId="5456152A" w14:textId="65FD2C0E" w:rsidR="00C22C1D" w:rsidRDefault="00C22C1D" w:rsidP="00C240DF">
            <w:pPr>
              <w:keepNext/>
              <w:spacing w:after="0" w:line="240" w:lineRule="auto"/>
            </w:pPr>
            <w:r>
              <w:t>Cell: 082 774 5082</w:t>
            </w:r>
          </w:p>
          <w:p w14:paraId="3C1F75AE" w14:textId="6CA634AB" w:rsidR="00EA5BC8" w:rsidRDefault="00EA5BC8" w:rsidP="00C240DF">
            <w:pPr>
              <w:keepNext/>
              <w:spacing w:after="0" w:line="240" w:lineRule="auto"/>
              <w:rPr>
                <w:sz w:val="22"/>
                <w:szCs w:val="22"/>
              </w:rPr>
            </w:pPr>
          </w:p>
        </w:tc>
      </w:tr>
      <w:tr w:rsidR="006E34E4" w14:paraId="03D680E1" w14:textId="77777777">
        <w:tc>
          <w:tcPr>
            <w:tcW w:w="3936" w:type="dxa"/>
            <w:tcMar>
              <w:top w:w="32" w:type="dxa"/>
              <w:left w:w="108" w:type="dxa"/>
              <w:bottom w:w="32" w:type="dxa"/>
              <w:right w:w="108" w:type="dxa"/>
            </w:tcMar>
            <w:vAlign w:val="center"/>
            <w:hideMark/>
          </w:tcPr>
          <w:p w14:paraId="754CFEBB" w14:textId="77777777" w:rsidR="006E34E4" w:rsidRDefault="006E34E4" w:rsidP="00CF7049">
            <w:pPr>
              <w:keepNext/>
              <w:spacing w:before="120" w:line="240" w:lineRule="auto"/>
              <w:rPr>
                <w:sz w:val="22"/>
                <w:szCs w:val="22"/>
              </w:rPr>
            </w:pPr>
            <w:r>
              <w:t>INSTRUCTED BY: </w:t>
            </w:r>
          </w:p>
        </w:tc>
        <w:tc>
          <w:tcPr>
            <w:tcW w:w="5208" w:type="dxa"/>
            <w:tcMar>
              <w:top w:w="32" w:type="dxa"/>
              <w:left w:w="108" w:type="dxa"/>
              <w:bottom w:w="32" w:type="dxa"/>
              <w:right w:w="108" w:type="dxa"/>
            </w:tcMar>
            <w:vAlign w:val="center"/>
            <w:hideMark/>
          </w:tcPr>
          <w:p w14:paraId="3112DF1D" w14:textId="285DCCBB" w:rsidR="00984D41" w:rsidRDefault="00C5432F" w:rsidP="00C240DF">
            <w:pPr>
              <w:keepNext/>
              <w:spacing w:after="0" w:line="240" w:lineRule="auto"/>
            </w:pPr>
            <w:r>
              <w:t>JL Van Niekerk Inc. Attorneys</w:t>
            </w:r>
          </w:p>
          <w:p w14:paraId="2E113B9B" w14:textId="6761FC32" w:rsidR="00C5432F" w:rsidRDefault="00C5432F" w:rsidP="00C240DF">
            <w:pPr>
              <w:keepNext/>
              <w:spacing w:after="0" w:line="240" w:lineRule="auto"/>
            </w:pPr>
            <w:r>
              <w:t>Ref: J L Van Niekerk/MAT194</w:t>
            </w:r>
          </w:p>
          <w:p w14:paraId="7E0B8591" w14:textId="3874B5DA" w:rsidR="00C5432F" w:rsidRDefault="00C5432F" w:rsidP="00C240DF">
            <w:pPr>
              <w:keepNext/>
              <w:spacing w:after="0" w:line="240" w:lineRule="auto"/>
            </w:pPr>
            <w:r>
              <w:t xml:space="preserve">E-mail: </w:t>
            </w:r>
            <w:hyperlink r:id="rId11" w:history="1">
              <w:r w:rsidRPr="0004601B">
                <w:rPr>
                  <w:rStyle w:val="Hyperlink"/>
                </w:rPr>
                <w:t>kobus@vninc.co.za</w:t>
              </w:r>
            </w:hyperlink>
            <w:r>
              <w:t xml:space="preserve"> / </w:t>
            </w:r>
          </w:p>
          <w:p w14:paraId="41541E93" w14:textId="51EAC294" w:rsidR="00C5432F" w:rsidRDefault="00000000" w:rsidP="00C240DF">
            <w:pPr>
              <w:keepNext/>
              <w:spacing w:after="0" w:line="240" w:lineRule="auto"/>
            </w:pPr>
            <w:hyperlink r:id="rId12" w:history="1">
              <w:r w:rsidR="00C5432F" w:rsidRPr="0004601B">
                <w:rPr>
                  <w:rStyle w:val="Hyperlink"/>
                </w:rPr>
                <w:t>heidi@vninc.co.za</w:t>
              </w:r>
            </w:hyperlink>
            <w:r w:rsidR="00C5432F">
              <w:t xml:space="preserve"> </w:t>
            </w:r>
          </w:p>
          <w:p w14:paraId="02572C57" w14:textId="03D2C89C" w:rsidR="00C5432F" w:rsidRDefault="00000000" w:rsidP="00C240DF">
            <w:pPr>
              <w:keepNext/>
              <w:spacing w:after="0" w:line="240" w:lineRule="auto"/>
            </w:pPr>
            <w:hyperlink r:id="rId13" w:history="1">
              <w:r w:rsidR="00C5432F" w:rsidRPr="0004601B">
                <w:rPr>
                  <w:rStyle w:val="Hyperlink"/>
                </w:rPr>
                <w:t>ca01@vninc.co.za</w:t>
              </w:r>
            </w:hyperlink>
            <w:r w:rsidR="00C5432F">
              <w:t xml:space="preserve"> </w:t>
            </w:r>
          </w:p>
          <w:p w14:paraId="25D552CE" w14:textId="3E91CEEE" w:rsidR="00EA5BC8" w:rsidRDefault="00984D41" w:rsidP="00C240DF">
            <w:pPr>
              <w:keepNext/>
              <w:spacing w:after="0" w:line="240" w:lineRule="auto"/>
              <w:rPr>
                <w:sz w:val="22"/>
                <w:szCs w:val="22"/>
              </w:rPr>
            </w:pPr>
            <w:r>
              <w:rPr>
                <w:sz w:val="22"/>
                <w:szCs w:val="22"/>
              </w:rPr>
              <w:t>Tel</w:t>
            </w:r>
            <w:r w:rsidR="00867F57">
              <w:rPr>
                <w:sz w:val="22"/>
                <w:szCs w:val="22"/>
              </w:rPr>
              <w:t xml:space="preserve">: </w:t>
            </w:r>
            <w:r w:rsidR="000C5D4A">
              <w:rPr>
                <w:sz w:val="22"/>
                <w:szCs w:val="22"/>
              </w:rPr>
              <w:t>(01</w:t>
            </w:r>
            <w:r w:rsidR="00C5432F">
              <w:rPr>
                <w:sz w:val="22"/>
                <w:szCs w:val="22"/>
              </w:rPr>
              <w:t>2</w:t>
            </w:r>
            <w:r w:rsidR="000C5D4A">
              <w:rPr>
                <w:sz w:val="22"/>
                <w:szCs w:val="22"/>
              </w:rPr>
              <w:t xml:space="preserve">) </w:t>
            </w:r>
            <w:r w:rsidR="00C5432F">
              <w:rPr>
                <w:sz w:val="22"/>
                <w:szCs w:val="22"/>
              </w:rPr>
              <w:t>111</w:t>
            </w:r>
            <w:r w:rsidR="000C5D4A">
              <w:rPr>
                <w:sz w:val="22"/>
                <w:szCs w:val="22"/>
              </w:rPr>
              <w:t>-</w:t>
            </w:r>
            <w:r w:rsidR="00C5432F">
              <w:rPr>
                <w:sz w:val="22"/>
                <w:szCs w:val="22"/>
              </w:rPr>
              <w:t>0328</w:t>
            </w:r>
          </w:p>
        </w:tc>
      </w:tr>
      <w:bookmarkEnd w:id="1"/>
      <w:bookmarkEnd w:id="2"/>
    </w:tbl>
    <w:p w14:paraId="06EDD1BB" w14:textId="77777777" w:rsidR="00EA5BC8" w:rsidRPr="00964F05" w:rsidRDefault="00EA5BC8" w:rsidP="006E34E4">
      <w:pPr>
        <w:pStyle w:val="Heading2"/>
        <w:numPr>
          <w:ilvl w:val="0"/>
          <w:numId w:val="0"/>
        </w:numPr>
      </w:pPr>
    </w:p>
    <w:sectPr w:rsidR="00EA5BC8" w:rsidRPr="00964F05" w:rsidSect="006A131C">
      <w:headerReference w:type="even" r:id="rId14"/>
      <w:headerReference w:type="default" r:id="rId15"/>
      <w:pgSz w:w="11906" w:h="16838" w:code="9"/>
      <w:pgMar w:top="1429" w:right="1729" w:bottom="993" w:left="1582" w:header="1276" w:footer="720"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E286D" w14:textId="77777777" w:rsidR="006A131C" w:rsidRDefault="006A131C" w:rsidP="00B958BA">
      <w:pPr>
        <w:pStyle w:val="Title"/>
      </w:pPr>
      <w:r>
        <w:separator/>
      </w:r>
    </w:p>
  </w:endnote>
  <w:endnote w:type="continuationSeparator" w:id="0">
    <w:p w14:paraId="4A79116D" w14:textId="77777777" w:rsidR="006A131C" w:rsidRDefault="006A131C" w:rsidP="00B958BA">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New Roman (Body CS)">
    <w:panose1 w:val="00000000000000000000"/>
    <w:charset w:val="00"/>
    <w:family w:val="roman"/>
    <w:notTrueType/>
    <w:pitch w:val="default"/>
  </w:font>
  <w:font w:name="øf_Ç˛">
    <w:altName w:val="Calibri"/>
    <w:panose1 w:val="00000000000000000000"/>
    <w:charset w:val="4D"/>
    <w:family w:val="auto"/>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F882E" w14:textId="77777777" w:rsidR="006A131C" w:rsidRDefault="006A131C" w:rsidP="00B958BA">
      <w:pPr>
        <w:pStyle w:val="Title"/>
      </w:pPr>
      <w:r>
        <w:separator/>
      </w:r>
    </w:p>
  </w:footnote>
  <w:footnote w:type="continuationSeparator" w:id="0">
    <w:p w14:paraId="47B85417" w14:textId="77777777" w:rsidR="006A131C" w:rsidRDefault="006A131C" w:rsidP="00B958BA">
      <w:pPr>
        <w:pStyle w:val="Title"/>
      </w:pPr>
      <w:r>
        <w:continuationSeparator/>
      </w:r>
    </w:p>
  </w:footnote>
  <w:footnote w:id="1">
    <w:p w14:paraId="30F5E894" w14:textId="0217831F" w:rsidR="00FD3BBA" w:rsidRPr="002831AF" w:rsidRDefault="00FD3BBA" w:rsidP="00FD3BBA">
      <w:pPr>
        <w:pStyle w:val="FootnoteText"/>
        <w:rPr>
          <w:lang w:val="en-US"/>
        </w:rPr>
      </w:pPr>
      <w:r>
        <w:rPr>
          <w:rStyle w:val="FootnoteReference"/>
        </w:rPr>
        <w:footnoteRef/>
      </w:r>
      <w:r>
        <w:t xml:space="preserve"> </w:t>
      </w:r>
      <w:r>
        <w:rPr>
          <w:lang w:val="en-US"/>
        </w:rPr>
        <w:t>CaseLines 002-136 Annexure “</w:t>
      </w:r>
      <w:r w:rsidRPr="002831AF">
        <w:rPr>
          <w:b/>
          <w:bCs/>
          <w:lang w:val="en-US"/>
        </w:rPr>
        <w:t>C</w:t>
      </w:r>
      <w:r>
        <w:rPr>
          <w:lang w:val="en-US"/>
        </w:rPr>
        <w:t>” to Annexure “</w:t>
      </w:r>
      <w:r w:rsidRPr="002831AF">
        <w:rPr>
          <w:b/>
          <w:bCs/>
          <w:lang w:val="en-US"/>
        </w:rPr>
        <w:t>KC3</w:t>
      </w:r>
      <w:r>
        <w:rPr>
          <w:lang w:val="en-US"/>
        </w:rPr>
        <w:t>”, clause 1.2.8.</w:t>
      </w:r>
    </w:p>
    <w:p w14:paraId="0DF2BA97" w14:textId="64E831EE" w:rsidR="00FD3BBA" w:rsidRPr="00FD3BBA" w:rsidRDefault="00FD3BBA">
      <w:pPr>
        <w:pStyle w:val="FootnoteText"/>
        <w:rPr>
          <w:lang w:val="en-US"/>
        </w:rPr>
      </w:pPr>
    </w:p>
  </w:footnote>
  <w:footnote w:id="2">
    <w:p w14:paraId="6F4CADC2" w14:textId="77777777" w:rsidR="007948A8" w:rsidRPr="002831AF" w:rsidRDefault="007948A8" w:rsidP="007948A8">
      <w:pPr>
        <w:pStyle w:val="FootnoteText"/>
        <w:rPr>
          <w:lang w:val="en-US"/>
        </w:rPr>
      </w:pPr>
      <w:r>
        <w:rPr>
          <w:rStyle w:val="FootnoteReference"/>
        </w:rPr>
        <w:footnoteRef/>
      </w:r>
      <w:r>
        <w:t xml:space="preserve"> </w:t>
      </w:r>
      <w:r>
        <w:rPr>
          <w:lang w:val="en-US"/>
        </w:rPr>
        <w:t xml:space="preserve"> CaseLines 002-135 Annexure “</w:t>
      </w:r>
      <w:r w:rsidRPr="002831AF">
        <w:rPr>
          <w:b/>
          <w:bCs/>
          <w:lang w:val="en-US"/>
        </w:rPr>
        <w:t>C</w:t>
      </w:r>
      <w:r>
        <w:rPr>
          <w:lang w:val="en-US"/>
        </w:rPr>
        <w:t>” to Annexure “</w:t>
      </w:r>
      <w:r w:rsidRPr="002831AF">
        <w:rPr>
          <w:b/>
          <w:bCs/>
          <w:lang w:val="en-US"/>
        </w:rPr>
        <w:t>KC3</w:t>
      </w:r>
      <w:r>
        <w:rPr>
          <w:lang w:val="en-US"/>
        </w:rPr>
        <w:t>”, clause 1.2.</w:t>
      </w:r>
    </w:p>
  </w:footnote>
  <w:footnote w:id="3">
    <w:p w14:paraId="0BED4E0D" w14:textId="709F4C3F" w:rsidR="009D3328" w:rsidRPr="002831AF" w:rsidRDefault="009D3328" w:rsidP="009D3328">
      <w:pPr>
        <w:pStyle w:val="FootnoteText"/>
        <w:rPr>
          <w:lang w:val="en-US"/>
        </w:rPr>
      </w:pPr>
      <w:r>
        <w:rPr>
          <w:rStyle w:val="FootnoteReference"/>
        </w:rPr>
        <w:footnoteRef/>
      </w:r>
      <w:r>
        <w:t xml:space="preserve"> </w:t>
      </w:r>
      <w:r>
        <w:rPr>
          <w:lang w:val="en-US"/>
        </w:rPr>
        <w:t>CaseLines 002-135 Annexure “</w:t>
      </w:r>
      <w:r w:rsidRPr="002831AF">
        <w:rPr>
          <w:b/>
          <w:bCs/>
          <w:lang w:val="en-US"/>
        </w:rPr>
        <w:t>C</w:t>
      </w:r>
      <w:r>
        <w:rPr>
          <w:lang w:val="en-US"/>
        </w:rPr>
        <w:t>” to Annexure “</w:t>
      </w:r>
      <w:r w:rsidRPr="002831AF">
        <w:rPr>
          <w:b/>
          <w:bCs/>
          <w:lang w:val="en-US"/>
        </w:rPr>
        <w:t>KC3</w:t>
      </w:r>
      <w:r>
        <w:rPr>
          <w:lang w:val="en-US"/>
        </w:rPr>
        <w:t>”, clause 12.2 and sub paras.</w:t>
      </w:r>
    </w:p>
    <w:p w14:paraId="74D3C4A4" w14:textId="29D7F66F" w:rsidR="009D3328" w:rsidRPr="009D3328" w:rsidRDefault="009D3328">
      <w:pPr>
        <w:pStyle w:val="FootnoteText"/>
        <w:rPr>
          <w:lang w:val="en-US"/>
        </w:rPr>
      </w:pPr>
    </w:p>
  </w:footnote>
  <w:footnote w:id="4">
    <w:p w14:paraId="54403B61" w14:textId="77777777" w:rsidR="006D5CD5" w:rsidRDefault="006D5CD5" w:rsidP="006D5CD5">
      <w:pPr>
        <w:pStyle w:val="FootnoteText"/>
      </w:pPr>
      <w:r>
        <w:rPr>
          <w:rStyle w:val="FootnoteReference"/>
        </w:rPr>
        <w:footnoteRef/>
      </w:r>
      <w:r>
        <w:t xml:space="preserve"> </w:t>
      </w:r>
      <w:r>
        <w:tab/>
        <w:t xml:space="preserve">CaseLines, 002-152 to 002-179, </w:t>
      </w:r>
      <w:r w:rsidRPr="00BF0ACB">
        <w:t xml:space="preserve">Annexure </w:t>
      </w:r>
      <w:r w:rsidRPr="00BF0ACB">
        <w:rPr>
          <w:b/>
        </w:rPr>
        <w:t>“</w:t>
      </w:r>
      <w:r>
        <w:rPr>
          <w:b/>
        </w:rPr>
        <w:t xml:space="preserve">D” </w:t>
      </w:r>
      <w:r>
        <w:rPr>
          <w:bCs/>
        </w:rPr>
        <w:t>to Annexure “</w:t>
      </w:r>
      <w:r w:rsidRPr="00C7104E">
        <w:rPr>
          <w:b/>
        </w:rPr>
        <w:t>KC3</w:t>
      </w:r>
      <w:r>
        <w:rPr>
          <w:bCs/>
        </w:rPr>
        <w:t>”</w:t>
      </w:r>
    </w:p>
  </w:footnote>
  <w:footnote w:id="5">
    <w:p w14:paraId="311E36EF" w14:textId="77777777" w:rsidR="006D5CD5" w:rsidRPr="00374E4C" w:rsidRDefault="006D5CD5" w:rsidP="006D5CD5">
      <w:pPr>
        <w:pStyle w:val="FootnoteText"/>
        <w:rPr>
          <w:bCs/>
        </w:rPr>
      </w:pPr>
      <w:r>
        <w:rPr>
          <w:rStyle w:val="FootnoteReference"/>
        </w:rPr>
        <w:footnoteRef/>
      </w:r>
      <w:r>
        <w:t xml:space="preserve"> </w:t>
      </w:r>
      <w:r>
        <w:tab/>
        <w:t xml:space="preserve">CaseLines, 002-154, </w:t>
      </w:r>
      <w:r w:rsidRPr="00BF0ACB">
        <w:t xml:space="preserve">Annexure </w:t>
      </w:r>
      <w:r w:rsidRPr="00BF0ACB">
        <w:rPr>
          <w:b/>
        </w:rPr>
        <w:t>“</w:t>
      </w:r>
      <w:r>
        <w:rPr>
          <w:b/>
        </w:rPr>
        <w:t>D”</w:t>
      </w:r>
      <w:r>
        <w:rPr>
          <w:bCs/>
        </w:rPr>
        <w:t xml:space="preserve"> to </w:t>
      </w:r>
      <w:r w:rsidRPr="007F3135">
        <w:rPr>
          <w:bCs/>
        </w:rPr>
        <w:t xml:space="preserve">Annexure </w:t>
      </w:r>
      <w:r w:rsidRPr="007F3135">
        <w:rPr>
          <w:b/>
          <w:bCs/>
        </w:rPr>
        <w:t>“</w:t>
      </w:r>
      <w:r>
        <w:rPr>
          <w:b/>
          <w:bCs/>
        </w:rPr>
        <w:t>KC3”</w:t>
      </w:r>
      <w:r>
        <w:t>,</w:t>
      </w:r>
      <w:r>
        <w:rPr>
          <w:bCs/>
        </w:rPr>
        <w:t xml:space="preserve"> para 2</w:t>
      </w:r>
    </w:p>
  </w:footnote>
  <w:footnote w:id="6">
    <w:p w14:paraId="7C96B950" w14:textId="453BBADB" w:rsidR="00624BBF" w:rsidRDefault="00624BBF">
      <w:pPr>
        <w:pStyle w:val="FootnoteText"/>
      </w:pPr>
      <w:r>
        <w:rPr>
          <w:rStyle w:val="FootnoteReference"/>
        </w:rPr>
        <w:footnoteRef/>
      </w:r>
      <w:r>
        <w:t xml:space="preserve"> </w:t>
      </w:r>
      <w:r>
        <w:tab/>
        <w:t xml:space="preserve">CaseLines, 002-152, </w:t>
      </w:r>
      <w:r w:rsidR="007669DB">
        <w:t>clause</w:t>
      </w:r>
      <w:r>
        <w:t xml:space="preserve"> 1, titled </w:t>
      </w:r>
      <w:r>
        <w:rPr>
          <w:i/>
          <w:iCs/>
        </w:rPr>
        <w:t>“Parties and Definitions”</w:t>
      </w:r>
    </w:p>
  </w:footnote>
  <w:footnote w:id="7">
    <w:p w14:paraId="4B284410" w14:textId="10514BF0" w:rsidR="00374E4C" w:rsidRDefault="00374E4C">
      <w:pPr>
        <w:pStyle w:val="FootnoteText"/>
      </w:pPr>
      <w:r>
        <w:rPr>
          <w:rStyle w:val="FootnoteReference"/>
        </w:rPr>
        <w:footnoteRef/>
      </w:r>
      <w:r>
        <w:t xml:space="preserve"> </w:t>
      </w:r>
      <w:r>
        <w:tab/>
        <w:t xml:space="preserve">CaseLines, 002-152, </w:t>
      </w:r>
      <w:r w:rsidR="007669DB">
        <w:t>clause</w:t>
      </w:r>
      <w:r>
        <w:t xml:space="preserve"> 1, titled </w:t>
      </w:r>
      <w:r>
        <w:rPr>
          <w:i/>
          <w:iCs/>
        </w:rPr>
        <w:t>“Parties and Definitions”</w:t>
      </w:r>
    </w:p>
  </w:footnote>
  <w:footnote w:id="8">
    <w:p w14:paraId="7C680690" w14:textId="30ADC09B" w:rsidR="00374E4C" w:rsidRDefault="00374E4C">
      <w:pPr>
        <w:pStyle w:val="FootnoteText"/>
      </w:pPr>
      <w:r>
        <w:rPr>
          <w:rStyle w:val="FootnoteReference"/>
        </w:rPr>
        <w:footnoteRef/>
      </w:r>
      <w:r>
        <w:t xml:space="preserve"> </w:t>
      </w:r>
      <w:r>
        <w:tab/>
        <w:t>CaseLines, 002-16, clause 8</w:t>
      </w:r>
    </w:p>
  </w:footnote>
  <w:footnote w:id="9">
    <w:p w14:paraId="2EF33C37" w14:textId="4F8D569A" w:rsidR="00BA3147" w:rsidRPr="00B61B10" w:rsidRDefault="00BA3147">
      <w:pPr>
        <w:pStyle w:val="FootnoteText"/>
        <w:rPr>
          <w:bCs/>
        </w:rPr>
      </w:pPr>
      <w:r>
        <w:rPr>
          <w:rStyle w:val="FootnoteReference"/>
        </w:rPr>
        <w:footnoteRef/>
      </w:r>
      <w:r>
        <w:t xml:space="preserve"> </w:t>
      </w:r>
      <w:r>
        <w:tab/>
        <w:t xml:space="preserve">CaseLines, 012-161, </w:t>
      </w:r>
      <w:r w:rsidRPr="00BF0ACB">
        <w:t xml:space="preserve">Annexure </w:t>
      </w:r>
      <w:r w:rsidRPr="00BF0ACB">
        <w:rPr>
          <w:b/>
        </w:rPr>
        <w:t>“</w:t>
      </w:r>
      <w:r>
        <w:rPr>
          <w:b/>
        </w:rPr>
        <w:t>D”</w:t>
      </w:r>
      <w:r w:rsidR="00B61B10">
        <w:rPr>
          <w:b/>
        </w:rPr>
        <w:t xml:space="preserve"> </w:t>
      </w:r>
      <w:r w:rsidR="00B61B10">
        <w:rPr>
          <w:bCs/>
        </w:rPr>
        <w:t xml:space="preserve"> to</w:t>
      </w:r>
      <w:r w:rsidR="00B61B10" w:rsidRPr="00B61B10">
        <w:rPr>
          <w:bCs/>
        </w:rPr>
        <w:t xml:space="preserve"> </w:t>
      </w:r>
      <w:r w:rsidR="00B61B10">
        <w:rPr>
          <w:bCs/>
        </w:rPr>
        <w:t>Annexure “</w:t>
      </w:r>
      <w:r w:rsidR="00B61B10" w:rsidRPr="00C7104E">
        <w:rPr>
          <w:b/>
        </w:rPr>
        <w:t>KC3</w:t>
      </w:r>
      <w:r w:rsidR="00B61B10">
        <w:rPr>
          <w:bCs/>
        </w:rPr>
        <w:t>”</w:t>
      </w:r>
    </w:p>
  </w:footnote>
  <w:footnote w:id="10">
    <w:p w14:paraId="2892212D" w14:textId="0402337C" w:rsidR="006D5CD5" w:rsidRDefault="006D5CD5" w:rsidP="006D5CD5">
      <w:pPr>
        <w:pStyle w:val="FootnoteText"/>
      </w:pPr>
      <w:r>
        <w:rPr>
          <w:rStyle w:val="FootnoteReference"/>
        </w:rPr>
        <w:footnoteRef/>
      </w:r>
      <w:r>
        <w:t xml:space="preserve"> </w:t>
      </w:r>
      <w:r>
        <w:tab/>
        <w:t xml:space="preserve">CaseLines, 002-164, para 12.1 read with </w:t>
      </w:r>
      <w:r w:rsidR="007669DB">
        <w:t>clause</w:t>
      </w:r>
      <w:r>
        <w:t>s 12.1.1 and 12.1.2</w:t>
      </w:r>
    </w:p>
  </w:footnote>
  <w:footnote w:id="11">
    <w:p w14:paraId="021C78A5" w14:textId="1FB53CE3" w:rsidR="006D5CD5" w:rsidRPr="00E46D4C" w:rsidRDefault="006D5CD5" w:rsidP="006D5CD5">
      <w:pPr>
        <w:pStyle w:val="FootnoteText"/>
        <w:rPr>
          <w:bCs/>
        </w:rPr>
      </w:pPr>
      <w:r>
        <w:rPr>
          <w:rStyle w:val="FootnoteReference"/>
        </w:rPr>
        <w:footnoteRef/>
      </w:r>
      <w:r>
        <w:t xml:space="preserve"> </w:t>
      </w:r>
      <w:r>
        <w:tab/>
        <w:t xml:space="preserve">CaseLines, 002-135 to 002-136, </w:t>
      </w:r>
      <w:r w:rsidRPr="00BF0ACB">
        <w:t xml:space="preserve">Annexure </w:t>
      </w:r>
      <w:r w:rsidRPr="00BF0ACB">
        <w:rPr>
          <w:b/>
        </w:rPr>
        <w:t>“</w:t>
      </w:r>
      <w:r>
        <w:rPr>
          <w:b/>
        </w:rPr>
        <w:t>C”</w:t>
      </w:r>
      <w:r>
        <w:rPr>
          <w:bCs/>
        </w:rPr>
        <w:t xml:space="preserve">, </w:t>
      </w:r>
      <w:r w:rsidR="007669DB">
        <w:rPr>
          <w:bCs/>
        </w:rPr>
        <w:t>clause</w:t>
      </w:r>
      <w:r>
        <w:rPr>
          <w:bCs/>
        </w:rPr>
        <w:t>s 1.2.1, 1.2.8 to 1.2.13</w:t>
      </w:r>
    </w:p>
  </w:footnote>
  <w:footnote w:id="12">
    <w:p w14:paraId="687FDDC2" w14:textId="77777777" w:rsidR="006D5CD5" w:rsidRDefault="006D5CD5" w:rsidP="006D5CD5">
      <w:pPr>
        <w:pStyle w:val="FootnoteText"/>
      </w:pPr>
      <w:r>
        <w:rPr>
          <w:rStyle w:val="FootnoteReference"/>
        </w:rPr>
        <w:footnoteRef/>
      </w:r>
      <w:r>
        <w:t xml:space="preserve"> </w:t>
      </w:r>
      <w:r>
        <w:tab/>
        <w:t>2012 (4) SA 593 (SCA)</w:t>
      </w:r>
    </w:p>
  </w:footnote>
  <w:footnote w:id="13">
    <w:p w14:paraId="0C6B3AB7" w14:textId="77777777" w:rsidR="006D5CD5" w:rsidRDefault="006D5CD5" w:rsidP="006D5CD5">
      <w:pPr>
        <w:pStyle w:val="FootnoteText"/>
      </w:pPr>
      <w:r>
        <w:rPr>
          <w:rStyle w:val="FootnoteReference"/>
        </w:rPr>
        <w:footnoteRef/>
      </w:r>
      <w:r>
        <w:t xml:space="preserve"> </w:t>
      </w:r>
      <w:r>
        <w:tab/>
        <w:t>Paras 18 and 20</w:t>
      </w:r>
    </w:p>
  </w:footnote>
  <w:footnote w:id="14">
    <w:p w14:paraId="08B82CCA" w14:textId="77777777" w:rsidR="006D5CD5" w:rsidRDefault="006D5CD5" w:rsidP="006D5CD5">
      <w:pPr>
        <w:pStyle w:val="FootnoteText"/>
      </w:pPr>
      <w:r>
        <w:rPr>
          <w:rStyle w:val="FootnoteReference"/>
        </w:rPr>
        <w:footnoteRef/>
      </w:r>
      <w:r>
        <w:t xml:space="preserve"> </w:t>
      </w:r>
      <w:r>
        <w:tab/>
        <w:t>2015 JDR 0728 (SCA) at para 12</w:t>
      </w:r>
    </w:p>
  </w:footnote>
  <w:footnote w:id="15">
    <w:p w14:paraId="1C9AFE9A" w14:textId="77777777" w:rsidR="006D5CD5" w:rsidRDefault="006D5CD5" w:rsidP="006D5CD5">
      <w:pPr>
        <w:pStyle w:val="FootnoteText"/>
      </w:pPr>
      <w:r>
        <w:rPr>
          <w:rStyle w:val="FootnoteReference"/>
        </w:rPr>
        <w:footnoteRef/>
      </w:r>
      <w:r>
        <w:t xml:space="preserve"> </w:t>
      </w:r>
      <w:r>
        <w:tab/>
        <w:t>2015 (2) SA 396 GNP at para 8</w:t>
      </w:r>
    </w:p>
  </w:footnote>
  <w:footnote w:id="16">
    <w:p w14:paraId="01261CC9" w14:textId="77777777" w:rsidR="006D5CD5" w:rsidRDefault="006D5CD5" w:rsidP="006D5CD5">
      <w:pPr>
        <w:pStyle w:val="FootnoteText"/>
      </w:pPr>
      <w:r>
        <w:rPr>
          <w:rStyle w:val="FootnoteReference"/>
        </w:rPr>
        <w:footnoteRef/>
      </w:r>
      <w:r>
        <w:t xml:space="preserve"> </w:t>
      </w:r>
      <w:r>
        <w:tab/>
        <w:t>2022 (1) SA 100 (SCA) at para 25</w:t>
      </w:r>
    </w:p>
  </w:footnote>
  <w:footnote w:id="17">
    <w:p w14:paraId="2E2AFF65" w14:textId="77777777" w:rsidR="006D5CD5" w:rsidRDefault="006D5CD5" w:rsidP="006D5CD5">
      <w:pPr>
        <w:pStyle w:val="FootnoteText"/>
      </w:pPr>
      <w:r>
        <w:rPr>
          <w:rStyle w:val="FootnoteReference"/>
        </w:rPr>
        <w:footnoteRef/>
      </w:r>
      <w:r>
        <w:t xml:space="preserve"> </w:t>
      </w:r>
      <w:r>
        <w:tab/>
        <w:t>LAWSA, Vol 9, 3</w:t>
      </w:r>
      <w:r w:rsidRPr="002655A9">
        <w:rPr>
          <w:vertAlign w:val="superscript"/>
        </w:rPr>
        <w:t>rd</w:t>
      </w:r>
      <w:r>
        <w:t xml:space="preserve"> Edition, para 351</w:t>
      </w:r>
    </w:p>
  </w:footnote>
  <w:footnote w:id="18">
    <w:p w14:paraId="11E06363" w14:textId="36B17E42" w:rsidR="00321B67" w:rsidRPr="00321B67" w:rsidRDefault="00321B67">
      <w:pPr>
        <w:pStyle w:val="FootnoteText"/>
        <w:rPr>
          <w:lang w:val="en-US"/>
        </w:rPr>
      </w:pPr>
      <w:r>
        <w:rPr>
          <w:rStyle w:val="FootnoteReference"/>
        </w:rPr>
        <w:footnoteRef/>
      </w:r>
      <w:r>
        <w:t xml:space="preserve"> </w:t>
      </w:r>
      <w:r>
        <w:rPr>
          <w:lang w:val="en-US"/>
        </w:rPr>
        <w:t xml:space="preserve"> [2005] UKSC 36 [2015] AC 1619</w:t>
      </w:r>
    </w:p>
  </w:footnote>
  <w:footnote w:id="19">
    <w:p w14:paraId="42949E42" w14:textId="77777777" w:rsidR="006D5CD5" w:rsidRPr="00EC64E3" w:rsidRDefault="006D5CD5" w:rsidP="006D5CD5">
      <w:pPr>
        <w:pStyle w:val="FootnoteText"/>
      </w:pPr>
      <w:r>
        <w:rPr>
          <w:rStyle w:val="FootnoteReference"/>
        </w:rPr>
        <w:footnoteRef/>
      </w:r>
      <w:r>
        <w:t xml:space="preserve"> </w:t>
      </w:r>
      <w:r>
        <w:tab/>
      </w:r>
      <w:r>
        <w:rPr>
          <w:b/>
          <w:bCs/>
          <w:i/>
          <w:iCs/>
        </w:rPr>
        <w:t xml:space="preserve">Tshwane City v Blair Atholl Home Owners Association </w:t>
      </w:r>
      <w:r>
        <w:t>2019 (3) SA 398 (SCA) at para 66, 76 and 77</w:t>
      </w:r>
    </w:p>
  </w:footnote>
  <w:footnote w:id="20">
    <w:p w14:paraId="4E70CE5D" w14:textId="11F97753" w:rsidR="00F555E4" w:rsidRPr="00F555E4" w:rsidRDefault="00F555E4">
      <w:pPr>
        <w:pStyle w:val="FootnoteText"/>
        <w:rPr>
          <w:lang w:val="en-US"/>
        </w:rPr>
      </w:pPr>
      <w:r>
        <w:rPr>
          <w:rStyle w:val="FootnoteReference"/>
        </w:rPr>
        <w:footnoteRef/>
      </w:r>
      <w:r>
        <w:t xml:space="preserve"> </w:t>
      </w:r>
      <w:r>
        <w:rPr>
          <w:lang w:val="en-US"/>
        </w:rPr>
        <w:t xml:space="preserve"> 2008(4) SA 209 D at 212</w:t>
      </w:r>
    </w:p>
  </w:footnote>
  <w:footnote w:id="21">
    <w:p w14:paraId="5184BF28" w14:textId="2F14A824" w:rsidR="00C40B3A" w:rsidRDefault="00C40B3A">
      <w:pPr>
        <w:pStyle w:val="FootnoteText"/>
      </w:pPr>
      <w:r>
        <w:rPr>
          <w:rStyle w:val="FootnoteReference"/>
        </w:rPr>
        <w:footnoteRef/>
      </w:r>
      <w:r>
        <w:t xml:space="preserve"> </w:t>
      </w:r>
      <w:r>
        <w:tab/>
        <w:t>19</w:t>
      </w:r>
      <w:r w:rsidR="007126E2">
        <w:t>76(1)SA 703(A0 @ 706</w:t>
      </w:r>
    </w:p>
  </w:footnote>
  <w:footnote w:id="22">
    <w:p w14:paraId="5BF899E3" w14:textId="3B4F52E0" w:rsidR="009D3328" w:rsidRPr="009D3328" w:rsidRDefault="009D3328">
      <w:pPr>
        <w:pStyle w:val="FootnoteText"/>
        <w:rPr>
          <w:lang w:val="en-US"/>
        </w:rPr>
      </w:pPr>
      <w:r>
        <w:rPr>
          <w:rStyle w:val="FootnoteReference"/>
        </w:rPr>
        <w:footnoteRef/>
      </w:r>
      <w:r>
        <w:t xml:space="preserve"> </w:t>
      </w:r>
      <w:r>
        <w:rPr>
          <w:lang w:val="en-US"/>
        </w:rPr>
        <w:t>CaseLines 002-161; clause 9</w:t>
      </w:r>
    </w:p>
  </w:footnote>
  <w:footnote w:id="23">
    <w:p w14:paraId="50FF33E0" w14:textId="2217E0BF" w:rsidR="00A316EA" w:rsidRDefault="00A316EA">
      <w:pPr>
        <w:pStyle w:val="FootnoteText"/>
      </w:pPr>
      <w:r>
        <w:rPr>
          <w:rStyle w:val="FootnoteReference"/>
        </w:rPr>
        <w:footnoteRef/>
      </w:r>
      <w:r>
        <w:t xml:space="preserve"> </w:t>
      </w:r>
      <w:r>
        <w:tab/>
        <w:t xml:space="preserve">2009 (1) SA 493 </w:t>
      </w:r>
      <w:r w:rsidR="00E865C4">
        <w:t>SA at 498</w:t>
      </w:r>
    </w:p>
  </w:footnote>
  <w:footnote w:id="24">
    <w:p w14:paraId="56CAB754" w14:textId="79C2E826" w:rsidR="00AE3739" w:rsidRPr="006D5CD5" w:rsidRDefault="00AE3739" w:rsidP="00AE3739">
      <w:pPr>
        <w:pStyle w:val="FootnoteText"/>
        <w:rPr>
          <w:lang w:val="en-US"/>
        </w:rPr>
      </w:pPr>
      <w:r>
        <w:rPr>
          <w:rStyle w:val="FootnoteReference"/>
        </w:rPr>
        <w:footnoteRef/>
      </w:r>
      <w:r>
        <w:t xml:space="preserve"> </w:t>
      </w:r>
      <w:r>
        <w:rPr>
          <w:lang w:val="en-US"/>
        </w:rPr>
        <w:t xml:space="preserve"> CaseLines, 002-152, </w:t>
      </w:r>
      <w:r w:rsidR="007669DB">
        <w:rPr>
          <w:lang w:val="en-US"/>
        </w:rPr>
        <w:t>clause</w:t>
      </w:r>
      <w:r>
        <w:rPr>
          <w:lang w:val="en-US"/>
        </w:rPr>
        <w:t>1</w:t>
      </w:r>
      <w:r w:rsidR="007669DB">
        <w:rPr>
          <w:lang w:val="en-US"/>
        </w:rPr>
        <w:t>,</w:t>
      </w:r>
      <w:r>
        <w:rPr>
          <w:lang w:val="en-US"/>
        </w:rPr>
        <w:t xml:space="preserve"> PARTIES AND DEFINITIONS</w:t>
      </w:r>
    </w:p>
  </w:footnote>
  <w:footnote w:id="25">
    <w:p w14:paraId="625CCCDF" w14:textId="49BC8D96" w:rsidR="00AE6642" w:rsidRDefault="00AE6642" w:rsidP="00AE6642">
      <w:pPr>
        <w:pStyle w:val="FootnoteText"/>
      </w:pPr>
      <w:r>
        <w:rPr>
          <w:rStyle w:val="FootnoteReference"/>
        </w:rPr>
        <w:footnoteRef/>
      </w:r>
      <w:r>
        <w:t xml:space="preserve"> </w:t>
      </w:r>
      <w:r>
        <w:tab/>
        <w:t xml:space="preserve">CaseLines, 002-161, </w:t>
      </w:r>
      <w:r w:rsidR="007669DB">
        <w:t xml:space="preserve">clause </w:t>
      </w:r>
      <w:r>
        <w:t>9</w:t>
      </w:r>
    </w:p>
  </w:footnote>
  <w:footnote w:id="26">
    <w:p w14:paraId="70EC36EE" w14:textId="77777777" w:rsidR="00545E58" w:rsidRPr="003A2F81" w:rsidRDefault="00545E58" w:rsidP="00545E58">
      <w:pPr>
        <w:pStyle w:val="FootnoteText"/>
        <w:rPr>
          <w:lang w:val="en-US"/>
        </w:rPr>
      </w:pPr>
      <w:r>
        <w:rPr>
          <w:rStyle w:val="FootnoteReference"/>
        </w:rPr>
        <w:footnoteRef/>
      </w:r>
      <w:r>
        <w:t xml:space="preserve"> </w:t>
      </w:r>
      <w:r>
        <w:rPr>
          <w:lang w:val="en-US"/>
        </w:rPr>
        <w:t>CaseLines 002-139 clause 3.4.7 and CaseLines 002-140 clauses 3.4.10 and 3.14.16 and 3.4.16.1 as examples in the Facility Letter</w:t>
      </w:r>
    </w:p>
  </w:footnote>
  <w:footnote w:id="27">
    <w:p w14:paraId="21D40425" w14:textId="1026698C" w:rsidR="003663F4" w:rsidRPr="003663F4" w:rsidRDefault="003663F4">
      <w:pPr>
        <w:pStyle w:val="FootnoteText"/>
        <w:rPr>
          <w:lang w:val="en-US"/>
        </w:rPr>
      </w:pPr>
      <w:r>
        <w:rPr>
          <w:rStyle w:val="FootnoteReference"/>
        </w:rPr>
        <w:footnoteRef/>
      </w:r>
      <w:r>
        <w:t xml:space="preserve">   CaseLines 006-21 to 006-22, paras 26.3 and 26.5 AA and CaseLines  008-16, paras 20.7 and 20.9 RA</w:t>
      </w:r>
    </w:p>
  </w:footnote>
  <w:footnote w:id="28">
    <w:p w14:paraId="7CB7DEE7" w14:textId="648B20B8" w:rsidR="00764DB8" w:rsidRPr="00764DB8" w:rsidRDefault="00764DB8">
      <w:pPr>
        <w:pStyle w:val="FootnoteText"/>
        <w:rPr>
          <w:lang w:val="en-US"/>
        </w:rPr>
      </w:pPr>
      <w:r>
        <w:rPr>
          <w:rStyle w:val="FootnoteReference"/>
        </w:rPr>
        <w:footnoteRef/>
      </w:r>
      <w:r>
        <w:t xml:space="preserve"> </w:t>
      </w:r>
      <w:r>
        <w:rPr>
          <w:lang w:val="en-US"/>
        </w:rPr>
        <w:t xml:space="preserve"> CaseLines 006 -22 to 006-23; para 27 AA</w:t>
      </w:r>
    </w:p>
  </w:footnote>
  <w:footnote w:id="29">
    <w:p w14:paraId="13E27551" w14:textId="77777777" w:rsidR="003D72AC" w:rsidRPr="00F15561" w:rsidRDefault="003D72AC" w:rsidP="003D72AC">
      <w:pPr>
        <w:pStyle w:val="FootnoteText"/>
      </w:pPr>
      <w:r>
        <w:rPr>
          <w:rStyle w:val="FootnoteReference"/>
        </w:rPr>
        <w:footnoteRef/>
      </w:r>
      <w:r>
        <w:t xml:space="preserve"> </w:t>
      </w:r>
      <w:r>
        <w:tab/>
      </w:r>
      <w:r>
        <w:rPr>
          <w:b/>
          <w:bCs/>
          <w:i/>
          <w:iCs/>
        </w:rPr>
        <w:t xml:space="preserve">Grobler v Oosthuizen </w:t>
      </w:r>
      <w:r>
        <w:t>2009 (5) SA 500 (SCA) at para 17</w:t>
      </w:r>
    </w:p>
  </w:footnote>
  <w:footnote w:id="30">
    <w:p w14:paraId="71BB6A68" w14:textId="0A509090" w:rsidR="003D72AC" w:rsidRDefault="003D72AC" w:rsidP="003D72AC">
      <w:pPr>
        <w:pStyle w:val="FootnoteText"/>
      </w:pPr>
      <w:r>
        <w:rPr>
          <w:rStyle w:val="FootnoteReference"/>
        </w:rPr>
        <w:footnoteRef/>
      </w:r>
      <w:r>
        <w:t xml:space="preserve"> </w:t>
      </w:r>
      <w:r>
        <w:tab/>
        <w:t>CaseLines, 002-28, para 9.10;  002-34, para 10.5;  002-36, para 11.8 and 002-240, para 11.14</w:t>
      </w:r>
      <w:r w:rsidR="00906570">
        <w:t xml:space="preserve"> FA</w:t>
      </w:r>
    </w:p>
  </w:footnote>
  <w:footnote w:id="31">
    <w:p w14:paraId="0BACC263" w14:textId="5958756C" w:rsidR="00906570" w:rsidRPr="00906570" w:rsidRDefault="00906570">
      <w:pPr>
        <w:pStyle w:val="FootnoteText"/>
        <w:rPr>
          <w:lang w:val="en-US"/>
        </w:rPr>
      </w:pPr>
      <w:r>
        <w:rPr>
          <w:rStyle w:val="FootnoteReference"/>
        </w:rPr>
        <w:footnoteRef/>
      </w:r>
      <w:r>
        <w:t xml:space="preserve"> </w:t>
      </w:r>
      <w:r>
        <w:rPr>
          <w:lang w:val="en-US"/>
        </w:rPr>
        <w:t xml:space="preserve"> CaseLines 006 -18, para 23 AA</w:t>
      </w:r>
    </w:p>
  </w:footnote>
  <w:footnote w:id="32">
    <w:p w14:paraId="52F4CF80" w14:textId="14D16563" w:rsidR="007C4EA5" w:rsidRPr="007C4EA5" w:rsidRDefault="007C4EA5">
      <w:pPr>
        <w:pStyle w:val="FootnoteText"/>
        <w:rPr>
          <w:lang w:val="en-US"/>
        </w:rPr>
      </w:pPr>
      <w:r>
        <w:rPr>
          <w:rStyle w:val="FootnoteReference"/>
        </w:rPr>
        <w:footnoteRef/>
      </w:r>
      <w:r>
        <w:t xml:space="preserve"> </w:t>
      </w:r>
      <w:r>
        <w:rPr>
          <w:lang w:val="en-US"/>
        </w:rPr>
        <w:t xml:space="preserve"> CaseLines 002-225 to 002-226 Annexure “</w:t>
      </w:r>
      <w:r w:rsidRPr="007C4EA5">
        <w:rPr>
          <w:b/>
          <w:bCs/>
          <w:lang w:val="en-US"/>
        </w:rPr>
        <w:t>KC4</w:t>
      </w:r>
      <w:r>
        <w:rPr>
          <w:lang w:val="en-US"/>
        </w:rPr>
        <w:t>” at 002-226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1714" w14:textId="77777777" w:rsidR="00853FC4" w:rsidRDefault="00853F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2D61">
      <w:rPr>
        <w:rStyle w:val="PageNumber"/>
        <w:noProof/>
      </w:rPr>
      <w:t>1</w:t>
    </w:r>
    <w:r>
      <w:rPr>
        <w:rStyle w:val="PageNumber"/>
      </w:rPr>
      <w:fldChar w:fldCharType="end"/>
    </w:r>
  </w:p>
  <w:p w14:paraId="3968438A" w14:textId="77777777" w:rsidR="00853FC4" w:rsidRDefault="00853FC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321655"/>
      <w:docPartObj>
        <w:docPartGallery w:val="Page Numbers (Top of Page)"/>
        <w:docPartUnique/>
      </w:docPartObj>
    </w:sdtPr>
    <w:sdtEndPr>
      <w:rPr>
        <w:noProof/>
        <w:sz w:val="24"/>
        <w:szCs w:val="24"/>
      </w:rPr>
    </w:sdtEndPr>
    <w:sdtContent>
      <w:p w14:paraId="2A952557" w14:textId="0DC36FEA" w:rsidR="00CF7049" w:rsidRPr="00E928E8" w:rsidRDefault="00CF7049">
        <w:pPr>
          <w:pStyle w:val="Header"/>
          <w:jc w:val="right"/>
          <w:rPr>
            <w:sz w:val="24"/>
            <w:szCs w:val="24"/>
          </w:rPr>
        </w:pPr>
        <w:r w:rsidRPr="00E928E8">
          <w:rPr>
            <w:sz w:val="24"/>
            <w:szCs w:val="24"/>
          </w:rPr>
          <w:fldChar w:fldCharType="begin"/>
        </w:r>
        <w:r w:rsidRPr="00E928E8">
          <w:rPr>
            <w:sz w:val="24"/>
            <w:szCs w:val="24"/>
          </w:rPr>
          <w:instrText xml:space="preserve"> PAGE   \* MERGEFORMAT </w:instrText>
        </w:r>
        <w:r w:rsidRPr="00E928E8">
          <w:rPr>
            <w:sz w:val="24"/>
            <w:szCs w:val="24"/>
          </w:rPr>
          <w:fldChar w:fldCharType="separate"/>
        </w:r>
        <w:r w:rsidR="006F441E">
          <w:rPr>
            <w:noProof/>
            <w:sz w:val="24"/>
            <w:szCs w:val="24"/>
          </w:rPr>
          <w:t>2</w:t>
        </w:r>
        <w:r w:rsidRPr="00E928E8">
          <w:rPr>
            <w:noProof/>
            <w:sz w:val="24"/>
            <w:szCs w:val="24"/>
          </w:rPr>
          <w:fldChar w:fldCharType="end"/>
        </w:r>
      </w:p>
    </w:sdtContent>
  </w:sdt>
  <w:p w14:paraId="75F8C4BE" w14:textId="77777777" w:rsidR="00853FC4" w:rsidRDefault="00853FC4">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2564"/>
    <w:multiLevelType w:val="hybridMultilevel"/>
    <w:tmpl w:val="3EFCC668"/>
    <w:lvl w:ilvl="0" w:tplc="1C090001">
      <w:start w:val="1"/>
      <w:numFmt w:val="bullet"/>
      <w:lvlText w:val=""/>
      <w:lvlJc w:val="left"/>
      <w:pPr>
        <w:ind w:left="1584" w:hanging="360"/>
      </w:pPr>
      <w:rPr>
        <w:rFonts w:ascii="Symbol" w:hAnsi="Symbol" w:hint="default"/>
      </w:rPr>
    </w:lvl>
    <w:lvl w:ilvl="1" w:tplc="1C090003" w:tentative="1">
      <w:start w:val="1"/>
      <w:numFmt w:val="bullet"/>
      <w:lvlText w:val="o"/>
      <w:lvlJc w:val="left"/>
      <w:pPr>
        <w:ind w:left="2304" w:hanging="360"/>
      </w:pPr>
      <w:rPr>
        <w:rFonts w:ascii="Courier New" w:hAnsi="Courier New" w:cs="Courier New" w:hint="default"/>
      </w:rPr>
    </w:lvl>
    <w:lvl w:ilvl="2" w:tplc="1C090005" w:tentative="1">
      <w:start w:val="1"/>
      <w:numFmt w:val="bullet"/>
      <w:lvlText w:val=""/>
      <w:lvlJc w:val="left"/>
      <w:pPr>
        <w:ind w:left="3024" w:hanging="360"/>
      </w:pPr>
      <w:rPr>
        <w:rFonts w:ascii="Wingdings" w:hAnsi="Wingdings" w:hint="default"/>
      </w:rPr>
    </w:lvl>
    <w:lvl w:ilvl="3" w:tplc="1C090001" w:tentative="1">
      <w:start w:val="1"/>
      <w:numFmt w:val="bullet"/>
      <w:lvlText w:val=""/>
      <w:lvlJc w:val="left"/>
      <w:pPr>
        <w:ind w:left="3744" w:hanging="360"/>
      </w:pPr>
      <w:rPr>
        <w:rFonts w:ascii="Symbol" w:hAnsi="Symbol" w:hint="default"/>
      </w:rPr>
    </w:lvl>
    <w:lvl w:ilvl="4" w:tplc="1C090003" w:tentative="1">
      <w:start w:val="1"/>
      <w:numFmt w:val="bullet"/>
      <w:lvlText w:val="o"/>
      <w:lvlJc w:val="left"/>
      <w:pPr>
        <w:ind w:left="4464" w:hanging="360"/>
      </w:pPr>
      <w:rPr>
        <w:rFonts w:ascii="Courier New" w:hAnsi="Courier New" w:cs="Courier New" w:hint="default"/>
      </w:rPr>
    </w:lvl>
    <w:lvl w:ilvl="5" w:tplc="1C090005" w:tentative="1">
      <w:start w:val="1"/>
      <w:numFmt w:val="bullet"/>
      <w:lvlText w:val=""/>
      <w:lvlJc w:val="left"/>
      <w:pPr>
        <w:ind w:left="5184" w:hanging="360"/>
      </w:pPr>
      <w:rPr>
        <w:rFonts w:ascii="Wingdings" w:hAnsi="Wingdings" w:hint="default"/>
      </w:rPr>
    </w:lvl>
    <w:lvl w:ilvl="6" w:tplc="1C090001" w:tentative="1">
      <w:start w:val="1"/>
      <w:numFmt w:val="bullet"/>
      <w:lvlText w:val=""/>
      <w:lvlJc w:val="left"/>
      <w:pPr>
        <w:ind w:left="5904" w:hanging="360"/>
      </w:pPr>
      <w:rPr>
        <w:rFonts w:ascii="Symbol" w:hAnsi="Symbol" w:hint="default"/>
      </w:rPr>
    </w:lvl>
    <w:lvl w:ilvl="7" w:tplc="1C090003" w:tentative="1">
      <w:start w:val="1"/>
      <w:numFmt w:val="bullet"/>
      <w:lvlText w:val="o"/>
      <w:lvlJc w:val="left"/>
      <w:pPr>
        <w:ind w:left="6624" w:hanging="360"/>
      </w:pPr>
      <w:rPr>
        <w:rFonts w:ascii="Courier New" w:hAnsi="Courier New" w:cs="Courier New" w:hint="default"/>
      </w:rPr>
    </w:lvl>
    <w:lvl w:ilvl="8" w:tplc="1C090005" w:tentative="1">
      <w:start w:val="1"/>
      <w:numFmt w:val="bullet"/>
      <w:lvlText w:val=""/>
      <w:lvlJc w:val="left"/>
      <w:pPr>
        <w:ind w:left="7344" w:hanging="360"/>
      </w:pPr>
      <w:rPr>
        <w:rFonts w:ascii="Wingdings" w:hAnsi="Wingdings" w:hint="default"/>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15:restartNumberingAfterBreak="0">
    <w:nsid w:val="154C3444"/>
    <w:multiLevelType w:val="multilevel"/>
    <w:tmpl w:val="BBE0363E"/>
    <w:lvl w:ilvl="0">
      <w:start w:val="1"/>
      <w:numFmt w:val="decimal"/>
      <w:pStyle w:val="Heading1"/>
      <w:lvlText w:val="[%1]"/>
      <w:lvlJc w:val="left"/>
      <w:pPr>
        <w:tabs>
          <w:tab w:val="num" w:pos="862"/>
        </w:tabs>
        <w:ind w:left="862" w:hanging="862"/>
      </w:pPr>
      <w:rPr>
        <w:rFonts w:hint="default"/>
        <w:b w:val="0"/>
        <w:bCs w:val="0"/>
      </w:rPr>
    </w:lvl>
    <w:lvl w:ilvl="1">
      <w:start w:val="1"/>
      <w:numFmt w:val="decimal"/>
      <w:pStyle w:val="Heading2"/>
      <w:lvlText w:val="[%1.%2]"/>
      <w:lvlJc w:val="left"/>
      <w:pPr>
        <w:tabs>
          <w:tab w:val="num" w:pos="2286"/>
        </w:tabs>
        <w:ind w:left="2286" w:hanging="1009"/>
      </w:pPr>
      <w:rPr>
        <w:rFonts w:hint="default"/>
        <w:i w:val="0"/>
        <w:iCs w:val="0"/>
      </w:rPr>
    </w:lvl>
    <w:lvl w:ilvl="2">
      <w:start w:val="1"/>
      <w:numFmt w:val="decimal"/>
      <w:pStyle w:val="Heading3"/>
      <w:lvlText w:val="[%1.%2.%3]"/>
      <w:lvlJc w:val="left"/>
      <w:pPr>
        <w:tabs>
          <w:tab w:val="num" w:pos="3022"/>
        </w:tabs>
        <w:ind w:left="3022" w:hanging="1151"/>
      </w:pPr>
      <w:rPr>
        <w:rFonts w:hint="default"/>
      </w:rPr>
    </w:lvl>
    <w:lvl w:ilvl="3">
      <w:start w:val="1"/>
      <w:numFmt w:val="decimal"/>
      <w:pStyle w:val="Heading4"/>
      <w:lvlText w:val="%1.%2.%3.%4"/>
      <w:lvlJc w:val="left"/>
      <w:pPr>
        <w:tabs>
          <w:tab w:val="num" w:pos="4321"/>
        </w:tabs>
        <w:ind w:left="4321" w:hanging="1299"/>
      </w:pPr>
      <w:rPr>
        <w:rFonts w:hint="default"/>
      </w:rPr>
    </w:lvl>
    <w:lvl w:ilvl="4">
      <w:start w:val="1"/>
      <w:numFmt w:val="decimal"/>
      <w:pStyle w:val="Heading5"/>
      <w:lvlText w:val="%1.%2.%3.%4.%5"/>
      <w:lvlJc w:val="left"/>
      <w:pPr>
        <w:tabs>
          <w:tab w:val="num" w:pos="5761"/>
        </w:tabs>
        <w:ind w:left="5761" w:hanging="1440"/>
      </w:pPr>
      <w:rPr>
        <w:rFonts w:hint="default"/>
      </w:rPr>
    </w:lvl>
    <w:lvl w:ilvl="5">
      <w:start w:val="1"/>
      <w:numFmt w:val="decimal"/>
      <w:lvlText w:val="%1.%2.%3.%4.%5.%6."/>
      <w:lvlJc w:val="left"/>
      <w:pPr>
        <w:tabs>
          <w:tab w:val="num" w:pos="7343"/>
        </w:tabs>
        <w:ind w:left="7343" w:hanging="1582"/>
      </w:pPr>
      <w:rPr>
        <w:rFonts w:hint="default"/>
      </w:rPr>
    </w:lvl>
    <w:lvl w:ilvl="6">
      <w:start w:val="1"/>
      <w:numFmt w:val="decimal"/>
      <w:lvlText w:val="%1.%2.%3.%4.%5.%6.%7."/>
      <w:lvlJc w:val="left"/>
      <w:pPr>
        <w:tabs>
          <w:tab w:val="num" w:pos="9072"/>
        </w:tabs>
        <w:ind w:left="9072" w:hanging="1729"/>
      </w:pPr>
      <w:rPr>
        <w:rFonts w:hint="default"/>
      </w:rPr>
    </w:lvl>
    <w:lvl w:ilvl="7">
      <w:start w:val="1"/>
      <w:numFmt w:val="decimal"/>
      <w:lvlText w:val="%1.%2.%3.%4.%5.%6.%7.%8."/>
      <w:lvlJc w:val="left"/>
      <w:pPr>
        <w:tabs>
          <w:tab w:val="num" w:pos="11232"/>
        </w:tabs>
        <w:ind w:left="10801" w:hanging="1729"/>
      </w:pPr>
      <w:rPr>
        <w:rFonts w:hint="default"/>
      </w:rPr>
    </w:lvl>
    <w:lvl w:ilvl="8">
      <w:start w:val="1"/>
      <w:numFmt w:val="decimal"/>
      <w:lvlText w:val="%1.%2.%3.%4.%5.%6.%7.%8.%9."/>
      <w:lvlJc w:val="left"/>
      <w:pPr>
        <w:tabs>
          <w:tab w:val="num" w:pos="12961"/>
        </w:tabs>
        <w:ind w:left="12531" w:hanging="1730"/>
      </w:pPr>
      <w:rPr>
        <w:rFonts w:hint="default"/>
      </w:rPr>
    </w:lvl>
  </w:abstractNum>
  <w:abstractNum w:abstractNumId="3" w15:restartNumberingAfterBreak="0">
    <w:nsid w:val="5D6522BE"/>
    <w:multiLevelType w:val="hybridMultilevel"/>
    <w:tmpl w:val="33103DA0"/>
    <w:lvl w:ilvl="0" w:tplc="1C090001">
      <w:start w:val="1"/>
      <w:numFmt w:val="bullet"/>
      <w:lvlText w:val=""/>
      <w:lvlJc w:val="left"/>
      <w:pPr>
        <w:ind w:left="2661" w:hanging="360"/>
      </w:pPr>
      <w:rPr>
        <w:rFonts w:ascii="Symbol" w:hAnsi="Symbol" w:hint="default"/>
      </w:rPr>
    </w:lvl>
    <w:lvl w:ilvl="1" w:tplc="1C090003" w:tentative="1">
      <w:start w:val="1"/>
      <w:numFmt w:val="bullet"/>
      <w:lvlText w:val="o"/>
      <w:lvlJc w:val="left"/>
      <w:pPr>
        <w:ind w:left="3381" w:hanging="360"/>
      </w:pPr>
      <w:rPr>
        <w:rFonts w:ascii="Courier New" w:hAnsi="Courier New" w:cs="Courier New" w:hint="default"/>
      </w:rPr>
    </w:lvl>
    <w:lvl w:ilvl="2" w:tplc="1C090005" w:tentative="1">
      <w:start w:val="1"/>
      <w:numFmt w:val="bullet"/>
      <w:lvlText w:val=""/>
      <w:lvlJc w:val="left"/>
      <w:pPr>
        <w:ind w:left="4101" w:hanging="360"/>
      </w:pPr>
      <w:rPr>
        <w:rFonts w:ascii="Wingdings" w:hAnsi="Wingdings" w:hint="default"/>
      </w:rPr>
    </w:lvl>
    <w:lvl w:ilvl="3" w:tplc="1C090001" w:tentative="1">
      <w:start w:val="1"/>
      <w:numFmt w:val="bullet"/>
      <w:lvlText w:val=""/>
      <w:lvlJc w:val="left"/>
      <w:pPr>
        <w:ind w:left="4821" w:hanging="360"/>
      </w:pPr>
      <w:rPr>
        <w:rFonts w:ascii="Symbol" w:hAnsi="Symbol" w:hint="default"/>
      </w:rPr>
    </w:lvl>
    <w:lvl w:ilvl="4" w:tplc="1C090003" w:tentative="1">
      <w:start w:val="1"/>
      <w:numFmt w:val="bullet"/>
      <w:lvlText w:val="o"/>
      <w:lvlJc w:val="left"/>
      <w:pPr>
        <w:ind w:left="5541" w:hanging="360"/>
      </w:pPr>
      <w:rPr>
        <w:rFonts w:ascii="Courier New" w:hAnsi="Courier New" w:cs="Courier New" w:hint="default"/>
      </w:rPr>
    </w:lvl>
    <w:lvl w:ilvl="5" w:tplc="1C090005" w:tentative="1">
      <w:start w:val="1"/>
      <w:numFmt w:val="bullet"/>
      <w:lvlText w:val=""/>
      <w:lvlJc w:val="left"/>
      <w:pPr>
        <w:ind w:left="6261" w:hanging="360"/>
      </w:pPr>
      <w:rPr>
        <w:rFonts w:ascii="Wingdings" w:hAnsi="Wingdings" w:hint="default"/>
      </w:rPr>
    </w:lvl>
    <w:lvl w:ilvl="6" w:tplc="1C090001" w:tentative="1">
      <w:start w:val="1"/>
      <w:numFmt w:val="bullet"/>
      <w:lvlText w:val=""/>
      <w:lvlJc w:val="left"/>
      <w:pPr>
        <w:ind w:left="6981" w:hanging="360"/>
      </w:pPr>
      <w:rPr>
        <w:rFonts w:ascii="Symbol" w:hAnsi="Symbol" w:hint="default"/>
      </w:rPr>
    </w:lvl>
    <w:lvl w:ilvl="7" w:tplc="1C090003" w:tentative="1">
      <w:start w:val="1"/>
      <w:numFmt w:val="bullet"/>
      <w:lvlText w:val="o"/>
      <w:lvlJc w:val="left"/>
      <w:pPr>
        <w:ind w:left="7701" w:hanging="360"/>
      </w:pPr>
      <w:rPr>
        <w:rFonts w:ascii="Courier New" w:hAnsi="Courier New" w:cs="Courier New" w:hint="default"/>
      </w:rPr>
    </w:lvl>
    <w:lvl w:ilvl="8" w:tplc="1C090005" w:tentative="1">
      <w:start w:val="1"/>
      <w:numFmt w:val="bullet"/>
      <w:lvlText w:val=""/>
      <w:lvlJc w:val="left"/>
      <w:pPr>
        <w:ind w:left="8421" w:hanging="360"/>
      </w:pPr>
      <w:rPr>
        <w:rFonts w:ascii="Wingdings" w:hAnsi="Wingdings" w:hint="default"/>
      </w:rPr>
    </w:lvl>
  </w:abstractNum>
  <w:num w:numId="1" w16cid:durableId="869955769">
    <w:abstractNumId w:val="2"/>
  </w:num>
  <w:num w:numId="2" w16cid:durableId="1437598214">
    <w:abstractNumId w:val="2"/>
  </w:num>
  <w:num w:numId="3" w16cid:durableId="8586160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2166055">
    <w:abstractNumId w:val="3"/>
  </w:num>
  <w:num w:numId="5" w16cid:durableId="197409267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ZA" w:vendorID="8" w:dllVersion="513" w:checkStyle="1"/>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footnotePr>
    <w:footnote w:id="-1"/>
    <w:footnote w:id="0"/>
  </w:footnotePr>
  <w:endnotePr>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A1NzI0NjczszQwMLNU0lEKTi0uzszPAykwrAUAnLSoSywAAAA="/>
  </w:docVars>
  <w:rsids>
    <w:rsidRoot w:val="00EA6CD4"/>
    <w:rsid w:val="00000058"/>
    <w:rsid w:val="00005059"/>
    <w:rsid w:val="00006720"/>
    <w:rsid w:val="00013916"/>
    <w:rsid w:val="00013F13"/>
    <w:rsid w:val="00013F66"/>
    <w:rsid w:val="00016FCE"/>
    <w:rsid w:val="000174B7"/>
    <w:rsid w:val="000206B9"/>
    <w:rsid w:val="00021572"/>
    <w:rsid w:val="000223E2"/>
    <w:rsid w:val="00024069"/>
    <w:rsid w:val="00024EC0"/>
    <w:rsid w:val="000252C8"/>
    <w:rsid w:val="000269A0"/>
    <w:rsid w:val="0003170B"/>
    <w:rsid w:val="000330AA"/>
    <w:rsid w:val="00033689"/>
    <w:rsid w:val="00035295"/>
    <w:rsid w:val="00035850"/>
    <w:rsid w:val="00036510"/>
    <w:rsid w:val="00040532"/>
    <w:rsid w:val="0004103C"/>
    <w:rsid w:val="00041897"/>
    <w:rsid w:val="000449C9"/>
    <w:rsid w:val="00045C2A"/>
    <w:rsid w:val="000460FA"/>
    <w:rsid w:val="000463D4"/>
    <w:rsid w:val="0005193C"/>
    <w:rsid w:val="000538BE"/>
    <w:rsid w:val="00056698"/>
    <w:rsid w:val="000600AD"/>
    <w:rsid w:val="00060B83"/>
    <w:rsid w:val="00062E02"/>
    <w:rsid w:val="00064ABB"/>
    <w:rsid w:val="000761B3"/>
    <w:rsid w:val="00076A3C"/>
    <w:rsid w:val="000806A3"/>
    <w:rsid w:val="00081824"/>
    <w:rsid w:val="00090BBB"/>
    <w:rsid w:val="00096D51"/>
    <w:rsid w:val="000A3B02"/>
    <w:rsid w:val="000A4A93"/>
    <w:rsid w:val="000A5255"/>
    <w:rsid w:val="000A7277"/>
    <w:rsid w:val="000B0F7E"/>
    <w:rsid w:val="000B2270"/>
    <w:rsid w:val="000B57CF"/>
    <w:rsid w:val="000C3DC6"/>
    <w:rsid w:val="000C3E53"/>
    <w:rsid w:val="000C42FC"/>
    <w:rsid w:val="000C4BAD"/>
    <w:rsid w:val="000C5D4A"/>
    <w:rsid w:val="000C6E46"/>
    <w:rsid w:val="000D17F5"/>
    <w:rsid w:val="000D45A1"/>
    <w:rsid w:val="000E201A"/>
    <w:rsid w:val="000E51FA"/>
    <w:rsid w:val="000E5E70"/>
    <w:rsid w:val="000E687A"/>
    <w:rsid w:val="000E7C01"/>
    <w:rsid w:val="000F04D0"/>
    <w:rsid w:val="000F0879"/>
    <w:rsid w:val="000F50B7"/>
    <w:rsid w:val="000F562D"/>
    <w:rsid w:val="000F6E3C"/>
    <w:rsid w:val="0010300F"/>
    <w:rsid w:val="0010379E"/>
    <w:rsid w:val="001073B8"/>
    <w:rsid w:val="00117066"/>
    <w:rsid w:val="0012080E"/>
    <w:rsid w:val="0012130E"/>
    <w:rsid w:val="00124FC5"/>
    <w:rsid w:val="00125DD1"/>
    <w:rsid w:val="0012684E"/>
    <w:rsid w:val="00127FB4"/>
    <w:rsid w:val="00132E13"/>
    <w:rsid w:val="001348C7"/>
    <w:rsid w:val="0013761F"/>
    <w:rsid w:val="00141BA5"/>
    <w:rsid w:val="00141EEC"/>
    <w:rsid w:val="00142F93"/>
    <w:rsid w:val="00143DA0"/>
    <w:rsid w:val="001471ED"/>
    <w:rsid w:val="0014737C"/>
    <w:rsid w:val="00150259"/>
    <w:rsid w:val="00153383"/>
    <w:rsid w:val="00156CDE"/>
    <w:rsid w:val="0015742D"/>
    <w:rsid w:val="00161D1A"/>
    <w:rsid w:val="0016510E"/>
    <w:rsid w:val="00165DA8"/>
    <w:rsid w:val="001662A9"/>
    <w:rsid w:val="0016682C"/>
    <w:rsid w:val="00167703"/>
    <w:rsid w:val="00171857"/>
    <w:rsid w:val="0017394F"/>
    <w:rsid w:val="001740EB"/>
    <w:rsid w:val="00176C16"/>
    <w:rsid w:val="0017730A"/>
    <w:rsid w:val="0018027A"/>
    <w:rsid w:val="0018046C"/>
    <w:rsid w:val="00191E78"/>
    <w:rsid w:val="00193B63"/>
    <w:rsid w:val="00193BA1"/>
    <w:rsid w:val="00196B94"/>
    <w:rsid w:val="001B2D8A"/>
    <w:rsid w:val="001B3615"/>
    <w:rsid w:val="001B4598"/>
    <w:rsid w:val="001B4819"/>
    <w:rsid w:val="001B48CB"/>
    <w:rsid w:val="001C1534"/>
    <w:rsid w:val="001C4CC1"/>
    <w:rsid w:val="001D100C"/>
    <w:rsid w:val="001D151A"/>
    <w:rsid w:val="001D5D9B"/>
    <w:rsid w:val="001E24C1"/>
    <w:rsid w:val="001E3056"/>
    <w:rsid w:val="001E48C8"/>
    <w:rsid w:val="001E5695"/>
    <w:rsid w:val="001E6155"/>
    <w:rsid w:val="001E68B7"/>
    <w:rsid w:val="001F162A"/>
    <w:rsid w:val="0020226C"/>
    <w:rsid w:val="00204CA6"/>
    <w:rsid w:val="00206B44"/>
    <w:rsid w:val="00207BCE"/>
    <w:rsid w:val="00210EF6"/>
    <w:rsid w:val="00211229"/>
    <w:rsid w:val="00212F35"/>
    <w:rsid w:val="00213776"/>
    <w:rsid w:val="002167A8"/>
    <w:rsid w:val="00220088"/>
    <w:rsid w:val="002231BF"/>
    <w:rsid w:val="002238E5"/>
    <w:rsid w:val="00233C3C"/>
    <w:rsid w:val="00233C6D"/>
    <w:rsid w:val="002354B8"/>
    <w:rsid w:val="002369F2"/>
    <w:rsid w:val="00244807"/>
    <w:rsid w:val="00245902"/>
    <w:rsid w:val="00247B19"/>
    <w:rsid w:val="0025399F"/>
    <w:rsid w:val="00260ED5"/>
    <w:rsid w:val="00262B6B"/>
    <w:rsid w:val="002655A9"/>
    <w:rsid w:val="00271E6A"/>
    <w:rsid w:val="00272D1E"/>
    <w:rsid w:val="002754D8"/>
    <w:rsid w:val="002757F0"/>
    <w:rsid w:val="00277FC3"/>
    <w:rsid w:val="002800C5"/>
    <w:rsid w:val="0028289C"/>
    <w:rsid w:val="002831AF"/>
    <w:rsid w:val="00283838"/>
    <w:rsid w:val="00284C8A"/>
    <w:rsid w:val="002856E1"/>
    <w:rsid w:val="00285FB4"/>
    <w:rsid w:val="002875CC"/>
    <w:rsid w:val="002912A7"/>
    <w:rsid w:val="00292568"/>
    <w:rsid w:val="002929B8"/>
    <w:rsid w:val="00292F3B"/>
    <w:rsid w:val="00294114"/>
    <w:rsid w:val="00294E30"/>
    <w:rsid w:val="00295DB3"/>
    <w:rsid w:val="002A19E4"/>
    <w:rsid w:val="002A1E37"/>
    <w:rsid w:val="002A2729"/>
    <w:rsid w:val="002A3918"/>
    <w:rsid w:val="002A554A"/>
    <w:rsid w:val="002C6134"/>
    <w:rsid w:val="002D5AA3"/>
    <w:rsid w:val="002E082A"/>
    <w:rsid w:val="002E1EEC"/>
    <w:rsid w:val="002E36E9"/>
    <w:rsid w:val="002E618F"/>
    <w:rsid w:val="002E703F"/>
    <w:rsid w:val="002F0615"/>
    <w:rsid w:val="002F0A11"/>
    <w:rsid w:val="002F30AA"/>
    <w:rsid w:val="002F39A3"/>
    <w:rsid w:val="00300F41"/>
    <w:rsid w:val="00310029"/>
    <w:rsid w:val="00311DAF"/>
    <w:rsid w:val="00313A5B"/>
    <w:rsid w:val="0031638A"/>
    <w:rsid w:val="00316597"/>
    <w:rsid w:val="0031783F"/>
    <w:rsid w:val="003202ED"/>
    <w:rsid w:val="003204FF"/>
    <w:rsid w:val="00321B67"/>
    <w:rsid w:val="00321F03"/>
    <w:rsid w:val="003221AB"/>
    <w:rsid w:val="00324245"/>
    <w:rsid w:val="003325C0"/>
    <w:rsid w:val="003366C1"/>
    <w:rsid w:val="0033693B"/>
    <w:rsid w:val="00337192"/>
    <w:rsid w:val="00340B40"/>
    <w:rsid w:val="003414B0"/>
    <w:rsid w:val="003458D7"/>
    <w:rsid w:val="00345C84"/>
    <w:rsid w:val="003470FF"/>
    <w:rsid w:val="003504CE"/>
    <w:rsid w:val="00351515"/>
    <w:rsid w:val="00352048"/>
    <w:rsid w:val="003521B3"/>
    <w:rsid w:val="0035315B"/>
    <w:rsid w:val="00354DFA"/>
    <w:rsid w:val="00357F85"/>
    <w:rsid w:val="003650B4"/>
    <w:rsid w:val="00365157"/>
    <w:rsid w:val="003663F4"/>
    <w:rsid w:val="0037012A"/>
    <w:rsid w:val="00371E65"/>
    <w:rsid w:val="0037230C"/>
    <w:rsid w:val="003724BA"/>
    <w:rsid w:val="003741A1"/>
    <w:rsid w:val="00374A10"/>
    <w:rsid w:val="00374E4C"/>
    <w:rsid w:val="00377E0F"/>
    <w:rsid w:val="0038171B"/>
    <w:rsid w:val="00390FA1"/>
    <w:rsid w:val="00395E13"/>
    <w:rsid w:val="003969E9"/>
    <w:rsid w:val="003A1760"/>
    <w:rsid w:val="003A2F81"/>
    <w:rsid w:val="003A3D4C"/>
    <w:rsid w:val="003A4CE2"/>
    <w:rsid w:val="003B13EC"/>
    <w:rsid w:val="003B1EC4"/>
    <w:rsid w:val="003B42D5"/>
    <w:rsid w:val="003C0382"/>
    <w:rsid w:val="003C2823"/>
    <w:rsid w:val="003C2889"/>
    <w:rsid w:val="003C3E35"/>
    <w:rsid w:val="003C6767"/>
    <w:rsid w:val="003C68E4"/>
    <w:rsid w:val="003C6B86"/>
    <w:rsid w:val="003C7511"/>
    <w:rsid w:val="003D0EF9"/>
    <w:rsid w:val="003D20CC"/>
    <w:rsid w:val="003D2A3E"/>
    <w:rsid w:val="003D30FA"/>
    <w:rsid w:val="003D5016"/>
    <w:rsid w:val="003D5E64"/>
    <w:rsid w:val="003D6404"/>
    <w:rsid w:val="003D72AC"/>
    <w:rsid w:val="003E2E2E"/>
    <w:rsid w:val="003E3B3D"/>
    <w:rsid w:val="003E4735"/>
    <w:rsid w:val="003E5F9A"/>
    <w:rsid w:val="003E6F1C"/>
    <w:rsid w:val="003F1E6B"/>
    <w:rsid w:val="003F4D15"/>
    <w:rsid w:val="003F7203"/>
    <w:rsid w:val="004006FD"/>
    <w:rsid w:val="00402157"/>
    <w:rsid w:val="004031B7"/>
    <w:rsid w:val="00407878"/>
    <w:rsid w:val="00407BBF"/>
    <w:rsid w:val="00410657"/>
    <w:rsid w:val="00415AE9"/>
    <w:rsid w:val="00417C15"/>
    <w:rsid w:val="00421296"/>
    <w:rsid w:val="0042165C"/>
    <w:rsid w:val="00421F93"/>
    <w:rsid w:val="00424920"/>
    <w:rsid w:val="004253C5"/>
    <w:rsid w:val="00426B56"/>
    <w:rsid w:val="00427341"/>
    <w:rsid w:val="00430AE3"/>
    <w:rsid w:val="00430D78"/>
    <w:rsid w:val="004363DF"/>
    <w:rsid w:val="004425F4"/>
    <w:rsid w:val="004447F3"/>
    <w:rsid w:val="00446DF2"/>
    <w:rsid w:val="0044753A"/>
    <w:rsid w:val="00447580"/>
    <w:rsid w:val="00447E94"/>
    <w:rsid w:val="004521D0"/>
    <w:rsid w:val="00454B75"/>
    <w:rsid w:val="00457F34"/>
    <w:rsid w:val="00463B1B"/>
    <w:rsid w:val="00463CB9"/>
    <w:rsid w:val="0046533B"/>
    <w:rsid w:val="00465FDC"/>
    <w:rsid w:val="00470040"/>
    <w:rsid w:val="004765D4"/>
    <w:rsid w:val="0048141E"/>
    <w:rsid w:val="0048168E"/>
    <w:rsid w:val="00481C88"/>
    <w:rsid w:val="00484155"/>
    <w:rsid w:val="0048450D"/>
    <w:rsid w:val="0048459E"/>
    <w:rsid w:val="004845DF"/>
    <w:rsid w:val="00484D33"/>
    <w:rsid w:val="00484FE7"/>
    <w:rsid w:val="0049082C"/>
    <w:rsid w:val="0049159D"/>
    <w:rsid w:val="0049324B"/>
    <w:rsid w:val="00496A2E"/>
    <w:rsid w:val="004A0EFD"/>
    <w:rsid w:val="004A12A6"/>
    <w:rsid w:val="004A12D0"/>
    <w:rsid w:val="004A2102"/>
    <w:rsid w:val="004A4B36"/>
    <w:rsid w:val="004A665C"/>
    <w:rsid w:val="004B0B17"/>
    <w:rsid w:val="004B18B7"/>
    <w:rsid w:val="004B214D"/>
    <w:rsid w:val="004B3C9B"/>
    <w:rsid w:val="004B4825"/>
    <w:rsid w:val="004B544B"/>
    <w:rsid w:val="004C24E9"/>
    <w:rsid w:val="004D30DE"/>
    <w:rsid w:val="004D5318"/>
    <w:rsid w:val="004D671B"/>
    <w:rsid w:val="004D6885"/>
    <w:rsid w:val="004D7EB1"/>
    <w:rsid w:val="004F05C6"/>
    <w:rsid w:val="004F18B2"/>
    <w:rsid w:val="004F1B23"/>
    <w:rsid w:val="004F2C82"/>
    <w:rsid w:val="00500761"/>
    <w:rsid w:val="00500CF6"/>
    <w:rsid w:val="00501216"/>
    <w:rsid w:val="00501614"/>
    <w:rsid w:val="005026FB"/>
    <w:rsid w:val="00504A4D"/>
    <w:rsid w:val="00504C83"/>
    <w:rsid w:val="0050502F"/>
    <w:rsid w:val="00505AA1"/>
    <w:rsid w:val="00505F6E"/>
    <w:rsid w:val="00511FC0"/>
    <w:rsid w:val="00516576"/>
    <w:rsid w:val="0051663B"/>
    <w:rsid w:val="0052278C"/>
    <w:rsid w:val="00525F40"/>
    <w:rsid w:val="005361BD"/>
    <w:rsid w:val="00541554"/>
    <w:rsid w:val="00542D61"/>
    <w:rsid w:val="00545B8F"/>
    <w:rsid w:val="00545E58"/>
    <w:rsid w:val="00547233"/>
    <w:rsid w:val="00552DA5"/>
    <w:rsid w:val="005546A8"/>
    <w:rsid w:val="00554864"/>
    <w:rsid w:val="00555319"/>
    <w:rsid w:val="005601A9"/>
    <w:rsid w:val="005615A7"/>
    <w:rsid w:val="00561695"/>
    <w:rsid w:val="0056639C"/>
    <w:rsid w:val="0058561A"/>
    <w:rsid w:val="00586DEC"/>
    <w:rsid w:val="00586E1D"/>
    <w:rsid w:val="005953BC"/>
    <w:rsid w:val="00597C6F"/>
    <w:rsid w:val="005A0D18"/>
    <w:rsid w:val="005A415D"/>
    <w:rsid w:val="005A5817"/>
    <w:rsid w:val="005A6491"/>
    <w:rsid w:val="005A66C2"/>
    <w:rsid w:val="005A70BF"/>
    <w:rsid w:val="005B230A"/>
    <w:rsid w:val="005B3E15"/>
    <w:rsid w:val="005B456C"/>
    <w:rsid w:val="005B6B8D"/>
    <w:rsid w:val="005C2D17"/>
    <w:rsid w:val="005C5F65"/>
    <w:rsid w:val="005C6062"/>
    <w:rsid w:val="005C6451"/>
    <w:rsid w:val="005D08C4"/>
    <w:rsid w:val="005E22C9"/>
    <w:rsid w:val="005E3244"/>
    <w:rsid w:val="005E4649"/>
    <w:rsid w:val="005E7DCC"/>
    <w:rsid w:val="005F3902"/>
    <w:rsid w:val="005F4A06"/>
    <w:rsid w:val="005F58FB"/>
    <w:rsid w:val="005F5D78"/>
    <w:rsid w:val="005F5DEF"/>
    <w:rsid w:val="00601150"/>
    <w:rsid w:val="006042C7"/>
    <w:rsid w:val="00615156"/>
    <w:rsid w:val="0061578A"/>
    <w:rsid w:val="0061629E"/>
    <w:rsid w:val="006162C1"/>
    <w:rsid w:val="00616303"/>
    <w:rsid w:val="006211E1"/>
    <w:rsid w:val="006247CE"/>
    <w:rsid w:val="00624BBF"/>
    <w:rsid w:val="0062734B"/>
    <w:rsid w:val="00630EFF"/>
    <w:rsid w:val="00633CD8"/>
    <w:rsid w:val="00636673"/>
    <w:rsid w:val="00636DD7"/>
    <w:rsid w:val="006377D3"/>
    <w:rsid w:val="00640BF2"/>
    <w:rsid w:val="006425B2"/>
    <w:rsid w:val="00642B95"/>
    <w:rsid w:val="006435B6"/>
    <w:rsid w:val="00644462"/>
    <w:rsid w:val="006474D2"/>
    <w:rsid w:val="00647C95"/>
    <w:rsid w:val="0065099B"/>
    <w:rsid w:val="00654EE3"/>
    <w:rsid w:val="006566CD"/>
    <w:rsid w:val="00660DC9"/>
    <w:rsid w:val="00662EF2"/>
    <w:rsid w:val="00663888"/>
    <w:rsid w:val="00664022"/>
    <w:rsid w:val="0066675E"/>
    <w:rsid w:val="0067053A"/>
    <w:rsid w:val="00670B90"/>
    <w:rsid w:val="006714D1"/>
    <w:rsid w:val="00671B00"/>
    <w:rsid w:val="00675992"/>
    <w:rsid w:val="00677A91"/>
    <w:rsid w:val="00682D44"/>
    <w:rsid w:val="0068303E"/>
    <w:rsid w:val="00683DBE"/>
    <w:rsid w:val="00684176"/>
    <w:rsid w:val="006844B0"/>
    <w:rsid w:val="00686FCD"/>
    <w:rsid w:val="00690157"/>
    <w:rsid w:val="00690B26"/>
    <w:rsid w:val="006923FD"/>
    <w:rsid w:val="006A09E7"/>
    <w:rsid w:val="006A0B4E"/>
    <w:rsid w:val="006A131C"/>
    <w:rsid w:val="006A2B3F"/>
    <w:rsid w:val="006A31BB"/>
    <w:rsid w:val="006A563E"/>
    <w:rsid w:val="006A5E45"/>
    <w:rsid w:val="006A6B54"/>
    <w:rsid w:val="006B11CE"/>
    <w:rsid w:val="006B19F7"/>
    <w:rsid w:val="006B5704"/>
    <w:rsid w:val="006B5DAC"/>
    <w:rsid w:val="006B6D95"/>
    <w:rsid w:val="006C2652"/>
    <w:rsid w:val="006C3A1F"/>
    <w:rsid w:val="006C53ED"/>
    <w:rsid w:val="006C7FE7"/>
    <w:rsid w:val="006D02DC"/>
    <w:rsid w:val="006D03AA"/>
    <w:rsid w:val="006D0A5C"/>
    <w:rsid w:val="006D0E5D"/>
    <w:rsid w:val="006D1723"/>
    <w:rsid w:val="006D4E2B"/>
    <w:rsid w:val="006D5CD5"/>
    <w:rsid w:val="006E34E4"/>
    <w:rsid w:val="006E3C40"/>
    <w:rsid w:val="006E42A9"/>
    <w:rsid w:val="006E5155"/>
    <w:rsid w:val="006E522B"/>
    <w:rsid w:val="006E557B"/>
    <w:rsid w:val="006E73B9"/>
    <w:rsid w:val="006E77C0"/>
    <w:rsid w:val="006F0B86"/>
    <w:rsid w:val="006F1EF6"/>
    <w:rsid w:val="006F441E"/>
    <w:rsid w:val="006F7C73"/>
    <w:rsid w:val="00700CC4"/>
    <w:rsid w:val="00702DA1"/>
    <w:rsid w:val="007067AC"/>
    <w:rsid w:val="00707490"/>
    <w:rsid w:val="00707CAF"/>
    <w:rsid w:val="00710FD9"/>
    <w:rsid w:val="007126E2"/>
    <w:rsid w:val="00713C91"/>
    <w:rsid w:val="007154C1"/>
    <w:rsid w:val="00715C5B"/>
    <w:rsid w:val="00716A2D"/>
    <w:rsid w:val="0072034A"/>
    <w:rsid w:val="007212B7"/>
    <w:rsid w:val="0072246D"/>
    <w:rsid w:val="00723EE1"/>
    <w:rsid w:val="00724F3C"/>
    <w:rsid w:val="00733979"/>
    <w:rsid w:val="00733E99"/>
    <w:rsid w:val="00737AB7"/>
    <w:rsid w:val="00741025"/>
    <w:rsid w:val="007425AB"/>
    <w:rsid w:val="00754988"/>
    <w:rsid w:val="00756618"/>
    <w:rsid w:val="00756B54"/>
    <w:rsid w:val="00757C1B"/>
    <w:rsid w:val="00757DB9"/>
    <w:rsid w:val="00760FFF"/>
    <w:rsid w:val="007619B3"/>
    <w:rsid w:val="00763C6D"/>
    <w:rsid w:val="00764DB8"/>
    <w:rsid w:val="007669DB"/>
    <w:rsid w:val="00771A66"/>
    <w:rsid w:val="0077321B"/>
    <w:rsid w:val="00774612"/>
    <w:rsid w:val="00776F15"/>
    <w:rsid w:val="007773AC"/>
    <w:rsid w:val="00785236"/>
    <w:rsid w:val="00792018"/>
    <w:rsid w:val="007948A8"/>
    <w:rsid w:val="00796047"/>
    <w:rsid w:val="007A04FD"/>
    <w:rsid w:val="007A2ABB"/>
    <w:rsid w:val="007A3836"/>
    <w:rsid w:val="007A4FC5"/>
    <w:rsid w:val="007A7CF0"/>
    <w:rsid w:val="007B2070"/>
    <w:rsid w:val="007B4E86"/>
    <w:rsid w:val="007B7744"/>
    <w:rsid w:val="007B7DE0"/>
    <w:rsid w:val="007B7E35"/>
    <w:rsid w:val="007C00E6"/>
    <w:rsid w:val="007C0237"/>
    <w:rsid w:val="007C3EBD"/>
    <w:rsid w:val="007C4EA5"/>
    <w:rsid w:val="007C4EAB"/>
    <w:rsid w:val="007C6E1E"/>
    <w:rsid w:val="007C7824"/>
    <w:rsid w:val="007D03A3"/>
    <w:rsid w:val="007D3217"/>
    <w:rsid w:val="007D459F"/>
    <w:rsid w:val="007D4A8A"/>
    <w:rsid w:val="007D63CE"/>
    <w:rsid w:val="007D7235"/>
    <w:rsid w:val="007E0AA8"/>
    <w:rsid w:val="007E126A"/>
    <w:rsid w:val="007E1556"/>
    <w:rsid w:val="007E34CC"/>
    <w:rsid w:val="007F0F35"/>
    <w:rsid w:val="007F3135"/>
    <w:rsid w:val="007F446F"/>
    <w:rsid w:val="007F5466"/>
    <w:rsid w:val="008051A7"/>
    <w:rsid w:val="008059F0"/>
    <w:rsid w:val="00806985"/>
    <w:rsid w:val="008119A9"/>
    <w:rsid w:val="00813002"/>
    <w:rsid w:val="00813352"/>
    <w:rsid w:val="008150D5"/>
    <w:rsid w:val="008173DB"/>
    <w:rsid w:val="00820F30"/>
    <w:rsid w:val="00821AD2"/>
    <w:rsid w:val="008255C7"/>
    <w:rsid w:val="00825EB5"/>
    <w:rsid w:val="008261B5"/>
    <w:rsid w:val="00830825"/>
    <w:rsid w:val="00831AD2"/>
    <w:rsid w:val="008326F1"/>
    <w:rsid w:val="00833533"/>
    <w:rsid w:val="00833792"/>
    <w:rsid w:val="008353F0"/>
    <w:rsid w:val="00844404"/>
    <w:rsid w:val="00844EA1"/>
    <w:rsid w:val="00846E44"/>
    <w:rsid w:val="008509BE"/>
    <w:rsid w:val="0085264E"/>
    <w:rsid w:val="00853F12"/>
    <w:rsid w:val="00853FC4"/>
    <w:rsid w:val="008555DE"/>
    <w:rsid w:val="00855658"/>
    <w:rsid w:val="00860B9E"/>
    <w:rsid w:val="0086223F"/>
    <w:rsid w:val="008624E2"/>
    <w:rsid w:val="0086270F"/>
    <w:rsid w:val="00863A38"/>
    <w:rsid w:val="00864519"/>
    <w:rsid w:val="008653CC"/>
    <w:rsid w:val="00867F57"/>
    <w:rsid w:val="008739CB"/>
    <w:rsid w:val="00873D0F"/>
    <w:rsid w:val="008770E9"/>
    <w:rsid w:val="008803EB"/>
    <w:rsid w:val="0088113C"/>
    <w:rsid w:val="00885048"/>
    <w:rsid w:val="00885F18"/>
    <w:rsid w:val="0089156D"/>
    <w:rsid w:val="008923E1"/>
    <w:rsid w:val="008924CA"/>
    <w:rsid w:val="00895B33"/>
    <w:rsid w:val="00895C40"/>
    <w:rsid w:val="00897206"/>
    <w:rsid w:val="008A129D"/>
    <w:rsid w:val="008A1AC9"/>
    <w:rsid w:val="008A2E5B"/>
    <w:rsid w:val="008A6D05"/>
    <w:rsid w:val="008A78E7"/>
    <w:rsid w:val="008A7EC7"/>
    <w:rsid w:val="008B1DDB"/>
    <w:rsid w:val="008B286F"/>
    <w:rsid w:val="008C0814"/>
    <w:rsid w:val="008C12A6"/>
    <w:rsid w:val="008C2196"/>
    <w:rsid w:val="008C4C23"/>
    <w:rsid w:val="008D0F9C"/>
    <w:rsid w:val="008D66A9"/>
    <w:rsid w:val="008E0CA2"/>
    <w:rsid w:val="008E129B"/>
    <w:rsid w:val="008E407B"/>
    <w:rsid w:val="008F63B3"/>
    <w:rsid w:val="008F6C0F"/>
    <w:rsid w:val="00902987"/>
    <w:rsid w:val="0090528A"/>
    <w:rsid w:val="00906570"/>
    <w:rsid w:val="00907BBD"/>
    <w:rsid w:val="00912C24"/>
    <w:rsid w:val="0091520A"/>
    <w:rsid w:val="00915EBA"/>
    <w:rsid w:val="0092135E"/>
    <w:rsid w:val="00922F8F"/>
    <w:rsid w:val="0092318D"/>
    <w:rsid w:val="00926FC3"/>
    <w:rsid w:val="00930D69"/>
    <w:rsid w:val="0093370E"/>
    <w:rsid w:val="00937FB2"/>
    <w:rsid w:val="00947A8C"/>
    <w:rsid w:val="009523EA"/>
    <w:rsid w:val="0095600B"/>
    <w:rsid w:val="00956C8D"/>
    <w:rsid w:val="00956EF1"/>
    <w:rsid w:val="0096338C"/>
    <w:rsid w:val="00964991"/>
    <w:rsid w:val="00964F05"/>
    <w:rsid w:val="00965FAA"/>
    <w:rsid w:val="009715C9"/>
    <w:rsid w:val="009777C7"/>
    <w:rsid w:val="009804A8"/>
    <w:rsid w:val="00984D41"/>
    <w:rsid w:val="009874C6"/>
    <w:rsid w:val="00992E21"/>
    <w:rsid w:val="009933A3"/>
    <w:rsid w:val="00994A36"/>
    <w:rsid w:val="00994CFE"/>
    <w:rsid w:val="009A0BD5"/>
    <w:rsid w:val="009A1259"/>
    <w:rsid w:val="009A4CDC"/>
    <w:rsid w:val="009B12AD"/>
    <w:rsid w:val="009B7BD3"/>
    <w:rsid w:val="009C108F"/>
    <w:rsid w:val="009C256C"/>
    <w:rsid w:val="009D24C2"/>
    <w:rsid w:val="009D3328"/>
    <w:rsid w:val="009D4549"/>
    <w:rsid w:val="009D533B"/>
    <w:rsid w:val="009E00E3"/>
    <w:rsid w:val="009E2CB7"/>
    <w:rsid w:val="009E65C0"/>
    <w:rsid w:val="009F0396"/>
    <w:rsid w:val="009F0AC2"/>
    <w:rsid w:val="009F2028"/>
    <w:rsid w:val="009F2F16"/>
    <w:rsid w:val="009F65E7"/>
    <w:rsid w:val="00A00585"/>
    <w:rsid w:val="00A03C6A"/>
    <w:rsid w:val="00A10756"/>
    <w:rsid w:val="00A124D5"/>
    <w:rsid w:val="00A15DD5"/>
    <w:rsid w:val="00A1796E"/>
    <w:rsid w:val="00A224CA"/>
    <w:rsid w:val="00A23F90"/>
    <w:rsid w:val="00A27FA6"/>
    <w:rsid w:val="00A30E17"/>
    <w:rsid w:val="00A316EA"/>
    <w:rsid w:val="00A3251B"/>
    <w:rsid w:val="00A34D30"/>
    <w:rsid w:val="00A34EE3"/>
    <w:rsid w:val="00A35BB8"/>
    <w:rsid w:val="00A36EB9"/>
    <w:rsid w:val="00A4202C"/>
    <w:rsid w:val="00A42064"/>
    <w:rsid w:val="00A424AC"/>
    <w:rsid w:val="00A433AA"/>
    <w:rsid w:val="00A439B0"/>
    <w:rsid w:val="00A561AD"/>
    <w:rsid w:val="00A60DA6"/>
    <w:rsid w:val="00A629A8"/>
    <w:rsid w:val="00A649E7"/>
    <w:rsid w:val="00A66A25"/>
    <w:rsid w:val="00A67BBD"/>
    <w:rsid w:val="00A7023E"/>
    <w:rsid w:val="00A70EDD"/>
    <w:rsid w:val="00A7156E"/>
    <w:rsid w:val="00A71CAA"/>
    <w:rsid w:val="00A802F7"/>
    <w:rsid w:val="00A80C25"/>
    <w:rsid w:val="00A80FBE"/>
    <w:rsid w:val="00A8182A"/>
    <w:rsid w:val="00A81DEE"/>
    <w:rsid w:val="00A91D4E"/>
    <w:rsid w:val="00A93999"/>
    <w:rsid w:val="00A96295"/>
    <w:rsid w:val="00A975C1"/>
    <w:rsid w:val="00AA14E7"/>
    <w:rsid w:val="00AA282F"/>
    <w:rsid w:val="00AA7A46"/>
    <w:rsid w:val="00AB65AA"/>
    <w:rsid w:val="00AC33C6"/>
    <w:rsid w:val="00AC3F61"/>
    <w:rsid w:val="00AC56D3"/>
    <w:rsid w:val="00AC743C"/>
    <w:rsid w:val="00AD2B7D"/>
    <w:rsid w:val="00AD2B8A"/>
    <w:rsid w:val="00AD780A"/>
    <w:rsid w:val="00AE23FA"/>
    <w:rsid w:val="00AE3739"/>
    <w:rsid w:val="00AE4457"/>
    <w:rsid w:val="00AE4675"/>
    <w:rsid w:val="00AE546A"/>
    <w:rsid w:val="00AE6642"/>
    <w:rsid w:val="00AF0C2E"/>
    <w:rsid w:val="00AF1308"/>
    <w:rsid w:val="00AF2E72"/>
    <w:rsid w:val="00AF5EAC"/>
    <w:rsid w:val="00AF72EB"/>
    <w:rsid w:val="00B0132A"/>
    <w:rsid w:val="00B11B7B"/>
    <w:rsid w:val="00B158CB"/>
    <w:rsid w:val="00B17D38"/>
    <w:rsid w:val="00B21804"/>
    <w:rsid w:val="00B21985"/>
    <w:rsid w:val="00B236D8"/>
    <w:rsid w:val="00B273E5"/>
    <w:rsid w:val="00B34334"/>
    <w:rsid w:val="00B372F4"/>
    <w:rsid w:val="00B4450F"/>
    <w:rsid w:val="00B453DC"/>
    <w:rsid w:val="00B61B10"/>
    <w:rsid w:val="00B63A10"/>
    <w:rsid w:val="00B663AB"/>
    <w:rsid w:val="00B66B19"/>
    <w:rsid w:val="00B729F4"/>
    <w:rsid w:val="00B76DE9"/>
    <w:rsid w:val="00B771DF"/>
    <w:rsid w:val="00B77395"/>
    <w:rsid w:val="00B77DE1"/>
    <w:rsid w:val="00B82DF7"/>
    <w:rsid w:val="00B93E5F"/>
    <w:rsid w:val="00B958BA"/>
    <w:rsid w:val="00B95E6E"/>
    <w:rsid w:val="00B96E0E"/>
    <w:rsid w:val="00B97B71"/>
    <w:rsid w:val="00BA3147"/>
    <w:rsid w:val="00BB1870"/>
    <w:rsid w:val="00BB4FFF"/>
    <w:rsid w:val="00BB5C60"/>
    <w:rsid w:val="00BC4F87"/>
    <w:rsid w:val="00BE2145"/>
    <w:rsid w:val="00BE2224"/>
    <w:rsid w:val="00BE33E3"/>
    <w:rsid w:val="00BE4108"/>
    <w:rsid w:val="00BE788A"/>
    <w:rsid w:val="00BF06A5"/>
    <w:rsid w:val="00BF12E0"/>
    <w:rsid w:val="00BF2BEC"/>
    <w:rsid w:val="00BF34C6"/>
    <w:rsid w:val="00C01FF9"/>
    <w:rsid w:val="00C0292E"/>
    <w:rsid w:val="00C04B0E"/>
    <w:rsid w:val="00C050C9"/>
    <w:rsid w:val="00C05564"/>
    <w:rsid w:val="00C14F08"/>
    <w:rsid w:val="00C15A7F"/>
    <w:rsid w:val="00C17582"/>
    <w:rsid w:val="00C22C1D"/>
    <w:rsid w:val="00C22F42"/>
    <w:rsid w:val="00C240DF"/>
    <w:rsid w:val="00C24A03"/>
    <w:rsid w:val="00C25A16"/>
    <w:rsid w:val="00C35AE6"/>
    <w:rsid w:val="00C35F34"/>
    <w:rsid w:val="00C40B3A"/>
    <w:rsid w:val="00C47C30"/>
    <w:rsid w:val="00C5432F"/>
    <w:rsid w:val="00C55EC2"/>
    <w:rsid w:val="00C5678B"/>
    <w:rsid w:val="00C5712B"/>
    <w:rsid w:val="00C63194"/>
    <w:rsid w:val="00C63391"/>
    <w:rsid w:val="00C66445"/>
    <w:rsid w:val="00C7104E"/>
    <w:rsid w:val="00C74E36"/>
    <w:rsid w:val="00C758FA"/>
    <w:rsid w:val="00C76854"/>
    <w:rsid w:val="00C77169"/>
    <w:rsid w:val="00C77411"/>
    <w:rsid w:val="00C808A9"/>
    <w:rsid w:val="00C81C22"/>
    <w:rsid w:val="00C85248"/>
    <w:rsid w:val="00C860FB"/>
    <w:rsid w:val="00C86ED7"/>
    <w:rsid w:val="00C8788C"/>
    <w:rsid w:val="00C906EC"/>
    <w:rsid w:val="00C93D00"/>
    <w:rsid w:val="00C956DF"/>
    <w:rsid w:val="00C96454"/>
    <w:rsid w:val="00CA268A"/>
    <w:rsid w:val="00CA4A2B"/>
    <w:rsid w:val="00CA78DD"/>
    <w:rsid w:val="00CB0D15"/>
    <w:rsid w:val="00CB18D4"/>
    <w:rsid w:val="00CB20B2"/>
    <w:rsid w:val="00CB2503"/>
    <w:rsid w:val="00CB3AFB"/>
    <w:rsid w:val="00CB4DB9"/>
    <w:rsid w:val="00CC01D7"/>
    <w:rsid w:val="00CC17D9"/>
    <w:rsid w:val="00CC5B9A"/>
    <w:rsid w:val="00CC5BF0"/>
    <w:rsid w:val="00CD50F3"/>
    <w:rsid w:val="00CD6D6A"/>
    <w:rsid w:val="00CE1CDA"/>
    <w:rsid w:val="00CE3E48"/>
    <w:rsid w:val="00CE4A6C"/>
    <w:rsid w:val="00CE6950"/>
    <w:rsid w:val="00CF3964"/>
    <w:rsid w:val="00CF7049"/>
    <w:rsid w:val="00CF7AC3"/>
    <w:rsid w:val="00CF7F6C"/>
    <w:rsid w:val="00D00E44"/>
    <w:rsid w:val="00D10BDA"/>
    <w:rsid w:val="00D10CBB"/>
    <w:rsid w:val="00D127B9"/>
    <w:rsid w:val="00D134CE"/>
    <w:rsid w:val="00D1692F"/>
    <w:rsid w:val="00D22F94"/>
    <w:rsid w:val="00D25B6C"/>
    <w:rsid w:val="00D30355"/>
    <w:rsid w:val="00D31952"/>
    <w:rsid w:val="00D31B6A"/>
    <w:rsid w:val="00D326AD"/>
    <w:rsid w:val="00D3360D"/>
    <w:rsid w:val="00D3373C"/>
    <w:rsid w:val="00D34D64"/>
    <w:rsid w:val="00D36320"/>
    <w:rsid w:val="00D370CF"/>
    <w:rsid w:val="00D4019A"/>
    <w:rsid w:val="00D40A33"/>
    <w:rsid w:val="00D42865"/>
    <w:rsid w:val="00D43327"/>
    <w:rsid w:val="00D478B5"/>
    <w:rsid w:val="00D50BC7"/>
    <w:rsid w:val="00D52B3B"/>
    <w:rsid w:val="00D52E36"/>
    <w:rsid w:val="00D552FC"/>
    <w:rsid w:val="00D60D2D"/>
    <w:rsid w:val="00D620DA"/>
    <w:rsid w:val="00D65172"/>
    <w:rsid w:val="00D70420"/>
    <w:rsid w:val="00D75DBC"/>
    <w:rsid w:val="00D842FD"/>
    <w:rsid w:val="00D905E4"/>
    <w:rsid w:val="00D90FD8"/>
    <w:rsid w:val="00D912C4"/>
    <w:rsid w:val="00D92365"/>
    <w:rsid w:val="00D964BA"/>
    <w:rsid w:val="00D96639"/>
    <w:rsid w:val="00D97DE4"/>
    <w:rsid w:val="00DA332F"/>
    <w:rsid w:val="00DA3F1D"/>
    <w:rsid w:val="00DA4E0C"/>
    <w:rsid w:val="00DB0B8E"/>
    <w:rsid w:val="00DB1590"/>
    <w:rsid w:val="00DB42AA"/>
    <w:rsid w:val="00DB4489"/>
    <w:rsid w:val="00DB7D1C"/>
    <w:rsid w:val="00DC027A"/>
    <w:rsid w:val="00DC0AD9"/>
    <w:rsid w:val="00DC35E3"/>
    <w:rsid w:val="00DC4F94"/>
    <w:rsid w:val="00DD651B"/>
    <w:rsid w:val="00DD7A7E"/>
    <w:rsid w:val="00DE0AE6"/>
    <w:rsid w:val="00DE0B7B"/>
    <w:rsid w:val="00DE3255"/>
    <w:rsid w:val="00DE41F0"/>
    <w:rsid w:val="00DF1EC0"/>
    <w:rsid w:val="00DF1F5C"/>
    <w:rsid w:val="00DF4A7A"/>
    <w:rsid w:val="00DF5DA1"/>
    <w:rsid w:val="00E00E1B"/>
    <w:rsid w:val="00E00FDF"/>
    <w:rsid w:val="00E02B6E"/>
    <w:rsid w:val="00E02C94"/>
    <w:rsid w:val="00E05230"/>
    <w:rsid w:val="00E1352F"/>
    <w:rsid w:val="00E13867"/>
    <w:rsid w:val="00E13A1D"/>
    <w:rsid w:val="00E156EB"/>
    <w:rsid w:val="00E23510"/>
    <w:rsid w:val="00E25969"/>
    <w:rsid w:val="00E26023"/>
    <w:rsid w:val="00E2631D"/>
    <w:rsid w:val="00E303AF"/>
    <w:rsid w:val="00E34CF6"/>
    <w:rsid w:val="00E36B92"/>
    <w:rsid w:val="00E37DD8"/>
    <w:rsid w:val="00E46838"/>
    <w:rsid w:val="00E46D4C"/>
    <w:rsid w:val="00E46E3E"/>
    <w:rsid w:val="00E50CC7"/>
    <w:rsid w:val="00E51266"/>
    <w:rsid w:val="00E51A50"/>
    <w:rsid w:val="00E53D8B"/>
    <w:rsid w:val="00E54DAA"/>
    <w:rsid w:val="00E55495"/>
    <w:rsid w:val="00E558C3"/>
    <w:rsid w:val="00E61CAC"/>
    <w:rsid w:val="00E63CD1"/>
    <w:rsid w:val="00E75408"/>
    <w:rsid w:val="00E76370"/>
    <w:rsid w:val="00E77851"/>
    <w:rsid w:val="00E81456"/>
    <w:rsid w:val="00E82176"/>
    <w:rsid w:val="00E858B8"/>
    <w:rsid w:val="00E865C4"/>
    <w:rsid w:val="00E877EE"/>
    <w:rsid w:val="00E87D02"/>
    <w:rsid w:val="00E91505"/>
    <w:rsid w:val="00E927E5"/>
    <w:rsid w:val="00E928E8"/>
    <w:rsid w:val="00E940B8"/>
    <w:rsid w:val="00E94884"/>
    <w:rsid w:val="00E94983"/>
    <w:rsid w:val="00EA076C"/>
    <w:rsid w:val="00EA240C"/>
    <w:rsid w:val="00EA4FA7"/>
    <w:rsid w:val="00EA5BC8"/>
    <w:rsid w:val="00EA6B5D"/>
    <w:rsid w:val="00EA6CD4"/>
    <w:rsid w:val="00EA788F"/>
    <w:rsid w:val="00EB6F17"/>
    <w:rsid w:val="00EC64E3"/>
    <w:rsid w:val="00ED16A1"/>
    <w:rsid w:val="00ED2946"/>
    <w:rsid w:val="00ED464A"/>
    <w:rsid w:val="00EE1978"/>
    <w:rsid w:val="00EE1F1C"/>
    <w:rsid w:val="00EE74FB"/>
    <w:rsid w:val="00EF2ED0"/>
    <w:rsid w:val="00EF2F5C"/>
    <w:rsid w:val="00EF45EB"/>
    <w:rsid w:val="00EF5740"/>
    <w:rsid w:val="00EF5857"/>
    <w:rsid w:val="00F033F2"/>
    <w:rsid w:val="00F04A6E"/>
    <w:rsid w:val="00F0722B"/>
    <w:rsid w:val="00F07A82"/>
    <w:rsid w:val="00F07E82"/>
    <w:rsid w:val="00F11A88"/>
    <w:rsid w:val="00F15561"/>
    <w:rsid w:val="00F15C35"/>
    <w:rsid w:val="00F170C3"/>
    <w:rsid w:val="00F26D06"/>
    <w:rsid w:val="00F300AA"/>
    <w:rsid w:val="00F334D0"/>
    <w:rsid w:val="00F440F8"/>
    <w:rsid w:val="00F44665"/>
    <w:rsid w:val="00F44D75"/>
    <w:rsid w:val="00F554DB"/>
    <w:rsid w:val="00F555E4"/>
    <w:rsid w:val="00F606EA"/>
    <w:rsid w:val="00F67FE3"/>
    <w:rsid w:val="00F851FE"/>
    <w:rsid w:val="00F91887"/>
    <w:rsid w:val="00F95C27"/>
    <w:rsid w:val="00F97B1F"/>
    <w:rsid w:val="00FA0C06"/>
    <w:rsid w:val="00FA13A5"/>
    <w:rsid w:val="00FA5336"/>
    <w:rsid w:val="00FA5D5D"/>
    <w:rsid w:val="00FA65F0"/>
    <w:rsid w:val="00FB12E7"/>
    <w:rsid w:val="00FB42CF"/>
    <w:rsid w:val="00FB60F0"/>
    <w:rsid w:val="00FC2CFB"/>
    <w:rsid w:val="00FC3F94"/>
    <w:rsid w:val="00FC4520"/>
    <w:rsid w:val="00FC48B7"/>
    <w:rsid w:val="00FC50BF"/>
    <w:rsid w:val="00FC52B8"/>
    <w:rsid w:val="00FD3BBA"/>
    <w:rsid w:val="00FD4554"/>
    <w:rsid w:val="00FD4C4B"/>
    <w:rsid w:val="00FD68D5"/>
    <w:rsid w:val="00FE38D9"/>
    <w:rsid w:val="00FE566D"/>
    <w:rsid w:val="00FE5C07"/>
    <w:rsid w:val="00FE6896"/>
    <w:rsid w:val="00FF0F2C"/>
    <w:rsid w:val="00FF1374"/>
    <w:rsid w:val="00FF7C71"/>
    <w:rsid w:val="00FF7FB7"/>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8E151"/>
  <w15:docId w15:val="{F4616BA8-200D-4F1B-B6E6-307BA651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1E6B"/>
    <w:pPr>
      <w:widowControl w:val="0"/>
      <w:tabs>
        <w:tab w:val="left" w:pos="-1009"/>
        <w:tab w:val="left" w:pos="-142"/>
        <w:tab w:val="left" w:pos="862"/>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pPr>
    <w:rPr>
      <w:rFonts w:ascii="Arial" w:hAnsi="Arial"/>
      <w:kern w:val="25"/>
      <w:sz w:val="24"/>
      <w:lang w:eastAsia="en-US"/>
    </w:rPr>
  </w:style>
  <w:style w:type="paragraph" w:styleId="Heading1">
    <w:name w:val="heading 1"/>
    <w:qFormat/>
    <w:rsid w:val="00545B8F"/>
    <w:pPr>
      <w:widowControl w:val="0"/>
      <w:numPr>
        <w:numId w:val="2"/>
      </w:numPr>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pPr>
    <w:rPr>
      <w:rFonts w:ascii="Arial" w:hAnsi="Arial"/>
      <w:kern w:val="25"/>
      <w:sz w:val="24"/>
      <w:lang w:eastAsia="en-US"/>
    </w:rPr>
  </w:style>
  <w:style w:type="paragraph" w:styleId="Heading2">
    <w:name w:val="heading 2"/>
    <w:basedOn w:val="Heading1"/>
    <w:qFormat/>
    <w:rsid w:val="00D905E4"/>
    <w:pPr>
      <w:numPr>
        <w:ilvl w:val="1"/>
      </w:numPr>
      <w:tabs>
        <w:tab w:val="clear" w:pos="1871"/>
      </w:tabs>
      <w:outlineLvl w:val="1"/>
    </w:pPr>
  </w:style>
  <w:style w:type="paragraph" w:styleId="Heading3">
    <w:name w:val="heading 3"/>
    <w:basedOn w:val="Heading2"/>
    <w:qFormat/>
    <w:rsid w:val="00AD2B7D"/>
    <w:pPr>
      <w:numPr>
        <w:ilvl w:val="2"/>
      </w:numPr>
      <w:outlineLvl w:val="2"/>
    </w:pPr>
  </w:style>
  <w:style w:type="paragraph" w:styleId="Heading4">
    <w:name w:val="heading 4"/>
    <w:basedOn w:val="Heading3"/>
    <w:qFormat/>
    <w:rsid w:val="00AD2B7D"/>
    <w:pPr>
      <w:numPr>
        <w:ilvl w:val="3"/>
      </w:numPr>
      <w:outlineLvl w:val="3"/>
    </w:pPr>
  </w:style>
  <w:style w:type="paragraph" w:styleId="Heading5">
    <w:name w:val="heading 5"/>
    <w:basedOn w:val="Heading4"/>
    <w:next w:val="Normal"/>
    <w:qFormat/>
    <w:rsid w:val="00AD2B7D"/>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pPr>
      <w:widowControl w:val="0"/>
    </w:pPr>
    <w:rPr>
      <w:rFonts w:ascii="Arial" w:hAnsi="Arial"/>
      <w:sz w:val="25"/>
      <w:lang w:eastAsia="en-US"/>
    </w:rPr>
  </w:style>
  <w:style w:type="paragraph" w:styleId="Header">
    <w:name w:val="header"/>
    <w:basedOn w:val="Title"/>
    <w:link w:val="HeaderChar"/>
    <w:uiPriority w:val="99"/>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FootnoteText">
    <w:name w:val="footnote text"/>
    <w:basedOn w:val="Normal"/>
    <w:link w:val="FootnoteTextChar"/>
    <w:semiHidden/>
    <w:rsid w:val="001C1534"/>
    <w:pPr>
      <w:keepLines/>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227"/>
      </w:tabs>
      <w:spacing w:after="240" w:line="240" w:lineRule="auto"/>
      <w:ind w:left="227" w:hanging="227"/>
    </w:pPr>
    <w:rPr>
      <w:sz w:val="20"/>
    </w:rPr>
  </w:style>
  <w:style w:type="character" w:styleId="FootnoteReference">
    <w:name w:val="footnote reference"/>
    <w:semiHidden/>
    <w:rsid w:val="0085264E"/>
    <w:rPr>
      <w:color w:val="auto"/>
      <w:vertAlign w:val="superscript"/>
    </w:rPr>
  </w:style>
  <w:style w:type="paragraph" w:styleId="BodyText">
    <w:name w:val="Body Text"/>
    <w:basedOn w:val="Normal"/>
  </w:style>
  <w:style w:type="paragraph" w:customStyle="1" w:styleId="SingleLineSpacing">
    <w:name w:val="Single Line Spacing"/>
    <w:basedOn w:val="Title"/>
  </w:style>
  <w:style w:type="character" w:styleId="Hyperlink">
    <w:name w:val="Hyperlink"/>
    <w:basedOn w:val="DefaultParagraphFont"/>
    <w:unhideWhenUsed/>
    <w:rsid w:val="00CB4DB9"/>
    <w:rPr>
      <w:color w:val="0563C1" w:themeColor="hyperlink"/>
      <w:u w:val="single"/>
    </w:rPr>
  </w:style>
  <w:style w:type="character" w:customStyle="1" w:styleId="UnresolvedMention1">
    <w:name w:val="Unresolved Mention1"/>
    <w:basedOn w:val="DefaultParagraphFont"/>
    <w:uiPriority w:val="99"/>
    <w:semiHidden/>
    <w:unhideWhenUsed/>
    <w:rsid w:val="00CB4DB9"/>
    <w:rPr>
      <w:color w:val="605E5C"/>
      <w:shd w:val="clear" w:color="auto" w:fill="E1DFDD"/>
    </w:rPr>
  </w:style>
  <w:style w:type="paragraph" w:customStyle="1" w:styleId="lrquote">
    <w:name w:val="lrquote"/>
    <w:basedOn w:val="Normal"/>
    <w:rsid w:val="00D65172"/>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Cs w:val="24"/>
      <w:lang w:eastAsia="en-GB"/>
    </w:rPr>
  </w:style>
  <w:style w:type="paragraph" w:customStyle="1" w:styleId="lrquoteindt1hang">
    <w:name w:val="lrquoteindt1hang"/>
    <w:basedOn w:val="Normal"/>
    <w:rsid w:val="00D65172"/>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Cs w:val="24"/>
      <w:lang w:eastAsia="en-GB"/>
    </w:rPr>
  </w:style>
  <w:style w:type="character" w:customStyle="1" w:styleId="mc">
    <w:name w:val="mc"/>
    <w:basedOn w:val="DefaultParagraphFont"/>
    <w:rsid w:val="00D65172"/>
  </w:style>
  <w:style w:type="paragraph" w:customStyle="1" w:styleId="lrpara">
    <w:name w:val="lrpara"/>
    <w:basedOn w:val="Normal"/>
    <w:rsid w:val="00D96639"/>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Cs w:val="24"/>
      <w:lang w:eastAsia="en-GB"/>
    </w:rPr>
  </w:style>
  <w:style w:type="character" w:customStyle="1" w:styleId="footnoteanchor">
    <w:name w:val="footnoteanchor"/>
    <w:basedOn w:val="DefaultParagraphFont"/>
    <w:rsid w:val="00D96639"/>
  </w:style>
  <w:style w:type="paragraph" w:customStyle="1" w:styleId="LegalAnnexure">
    <w:name w:val="Legal_Annexure"/>
    <w:basedOn w:val="LegalNormal"/>
    <w:next w:val="LegalNormal"/>
    <w:semiHidden/>
    <w:rsid w:val="00633CD8"/>
    <w:pPr>
      <w:keepNext/>
      <w:jc w:val="right"/>
    </w:pPr>
    <w:rPr>
      <w:b/>
      <w:caps/>
    </w:rPr>
  </w:style>
  <w:style w:type="paragraph" w:customStyle="1" w:styleId="LegalTitle">
    <w:name w:val="Legal_Title"/>
    <w:basedOn w:val="LegalNormal"/>
    <w:next w:val="LegalNormal"/>
    <w:semiHidden/>
    <w:rsid w:val="00633CD8"/>
    <w:pPr>
      <w:keepNext/>
      <w:jc w:val="center"/>
    </w:pPr>
    <w:rPr>
      <w:b/>
      <w:caps/>
    </w:rPr>
  </w:style>
  <w:style w:type="paragraph" w:customStyle="1" w:styleId="LegalTramLines">
    <w:name w:val="Legal_TramLines"/>
    <w:basedOn w:val="LegalNormal"/>
    <w:next w:val="LegalNormal"/>
    <w:semiHidden/>
    <w:rsid w:val="00633CD8"/>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633CD8"/>
    <w:pPr>
      <w:tabs>
        <w:tab w:val="right" w:pos="8789"/>
      </w:tabs>
    </w:pPr>
  </w:style>
  <w:style w:type="paragraph" w:customStyle="1" w:styleId="LegalNormal">
    <w:name w:val="Legal_Normal"/>
    <w:basedOn w:val="Normal"/>
    <w:rsid w:val="00633CD8"/>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uppressAutoHyphens/>
      <w:spacing w:after="360" w:line="480" w:lineRule="auto"/>
    </w:pPr>
    <w:rPr>
      <w:kern w:val="0"/>
      <w:szCs w:val="24"/>
      <w:lang w:val="en-GB" w:eastAsia="en-GB"/>
    </w:rPr>
  </w:style>
  <w:style w:type="character" w:customStyle="1" w:styleId="HeaderChar">
    <w:name w:val="Header Char"/>
    <w:basedOn w:val="DefaultParagraphFont"/>
    <w:link w:val="Header"/>
    <w:uiPriority w:val="99"/>
    <w:rsid w:val="00CF7049"/>
    <w:rPr>
      <w:rFonts w:ascii="Arial" w:hAnsi="Arial"/>
      <w:sz w:val="25"/>
      <w:lang w:eastAsia="en-US"/>
    </w:rPr>
  </w:style>
  <w:style w:type="paragraph" w:styleId="ListParagraph">
    <w:name w:val="List Paragraph"/>
    <w:basedOn w:val="Normal"/>
    <w:uiPriority w:val="34"/>
    <w:qFormat/>
    <w:rsid w:val="003C6B86"/>
    <w:pPr>
      <w:ind w:left="720"/>
      <w:contextualSpacing/>
    </w:pPr>
  </w:style>
  <w:style w:type="character" w:styleId="CommentReference">
    <w:name w:val="annotation reference"/>
    <w:basedOn w:val="DefaultParagraphFont"/>
    <w:semiHidden/>
    <w:unhideWhenUsed/>
    <w:rsid w:val="00B4450F"/>
    <w:rPr>
      <w:sz w:val="16"/>
      <w:szCs w:val="16"/>
    </w:rPr>
  </w:style>
  <w:style w:type="paragraph" w:styleId="CommentText">
    <w:name w:val="annotation text"/>
    <w:basedOn w:val="Normal"/>
    <w:link w:val="CommentTextChar"/>
    <w:unhideWhenUsed/>
    <w:rsid w:val="00B4450F"/>
    <w:pPr>
      <w:spacing w:line="240" w:lineRule="auto"/>
    </w:pPr>
    <w:rPr>
      <w:sz w:val="20"/>
    </w:rPr>
  </w:style>
  <w:style w:type="character" w:customStyle="1" w:styleId="CommentTextChar">
    <w:name w:val="Comment Text Char"/>
    <w:basedOn w:val="DefaultParagraphFont"/>
    <w:link w:val="CommentText"/>
    <w:rsid w:val="00B4450F"/>
    <w:rPr>
      <w:rFonts w:ascii="Arial" w:hAnsi="Arial"/>
      <w:kern w:val="25"/>
      <w:lang w:eastAsia="en-US"/>
    </w:rPr>
  </w:style>
  <w:style w:type="paragraph" w:styleId="CommentSubject">
    <w:name w:val="annotation subject"/>
    <w:basedOn w:val="CommentText"/>
    <w:next w:val="CommentText"/>
    <w:link w:val="CommentSubjectChar"/>
    <w:semiHidden/>
    <w:unhideWhenUsed/>
    <w:rsid w:val="00B4450F"/>
    <w:rPr>
      <w:b/>
      <w:bCs/>
    </w:rPr>
  </w:style>
  <w:style w:type="character" w:customStyle="1" w:styleId="CommentSubjectChar">
    <w:name w:val="Comment Subject Char"/>
    <w:basedOn w:val="CommentTextChar"/>
    <w:link w:val="CommentSubject"/>
    <w:semiHidden/>
    <w:rsid w:val="00B4450F"/>
    <w:rPr>
      <w:rFonts w:ascii="Arial" w:hAnsi="Arial"/>
      <w:b/>
      <w:bCs/>
      <w:kern w:val="25"/>
      <w:lang w:eastAsia="en-US"/>
    </w:rPr>
  </w:style>
  <w:style w:type="paragraph" w:styleId="Revision">
    <w:name w:val="Revision"/>
    <w:hidden/>
    <w:uiPriority w:val="99"/>
    <w:semiHidden/>
    <w:rsid w:val="008261B5"/>
    <w:rPr>
      <w:rFonts w:ascii="Arial" w:hAnsi="Arial"/>
      <w:kern w:val="25"/>
      <w:sz w:val="24"/>
      <w:lang w:eastAsia="en-US"/>
    </w:rPr>
  </w:style>
  <w:style w:type="character" w:customStyle="1" w:styleId="FootnoteTextChar">
    <w:name w:val="Footnote Text Char"/>
    <w:basedOn w:val="DefaultParagraphFont"/>
    <w:link w:val="FootnoteText"/>
    <w:semiHidden/>
    <w:rsid w:val="00463CB9"/>
    <w:rPr>
      <w:rFonts w:ascii="Arial" w:hAnsi="Arial"/>
      <w:kern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5256">
      <w:bodyDiv w:val="1"/>
      <w:marLeft w:val="0"/>
      <w:marRight w:val="0"/>
      <w:marTop w:val="0"/>
      <w:marBottom w:val="0"/>
      <w:divBdr>
        <w:top w:val="none" w:sz="0" w:space="0" w:color="auto"/>
        <w:left w:val="none" w:sz="0" w:space="0" w:color="auto"/>
        <w:bottom w:val="none" w:sz="0" w:space="0" w:color="auto"/>
        <w:right w:val="none" w:sz="0" w:space="0" w:color="auto"/>
      </w:divBdr>
    </w:div>
    <w:div w:id="293755137">
      <w:bodyDiv w:val="1"/>
      <w:marLeft w:val="0"/>
      <w:marRight w:val="0"/>
      <w:marTop w:val="0"/>
      <w:marBottom w:val="0"/>
      <w:divBdr>
        <w:top w:val="none" w:sz="0" w:space="0" w:color="auto"/>
        <w:left w:val="none" w:sz="0" w:space="0" w:color="auto"/>
        <w:bottom w:val="none" w:sz="0" w:space="0" w:color="auto"/>
        <w:right w:val="none" w:sz="0" w:space="0" w:color="auto"/>
      </w:divBdr>
    </w:div>
    <w:div w:id="325785004">
      <w:bodyDiv w:val="1"/>
      <w:marLeft w:val="0"/>
      <w:marRight w:val="0"/>
      <w:marTop w:val="0"/>
      <w:marBottom w:val="0"/>
      <w:divBdr>
        <w:top w:val="none" w:sz="0" w:space="0" w:color="auto"/>
        <w:left w:val="none" w:sz="0" w:space="0" w:color="auto"/>
        <w:bottom w:val="none" w:sz="0" w:space="0" w:color="auto"/>
        <w:right w:val="none" w:sz="0" w:space="0" w:color="auto"/>
      </w:divBdr>
    </w:div>
    <w:div w:id="664436645">
      <w:bodyDiv w:val="1"/>
      <w:marLeft w:val="0"/>
      <w:marRight w:val="0"/>
      <w:marTop w:val="0"/>
      <w:marBottom w:val="0"/>
      <w:divBdr>
        <w:top w:val="none" w:sz="0" w:space="0" w:color="auto"/>
        <w:left w:val="none" w:sz="0" w:space="0" w:color="auto"/>
        <w:bottom w:val="none" w:sz="0" w:space="0" w:color="auto"/>
        <w:right w:val="none" w:sz="0" w:space="0" w:color="auto"/>
      </w:divBdr>
    </w:div>
    <w:div w:id="668408092">
      <w:bodyDiv w:val="1"/>
      <w:marLeft w:val="0"/>
      <w:marRight w:val="0"/>
      <w:marTop w:val="0"/>
      <w:marBottom w:val="0"/>
      <w:divBdr>
        <w:top w:val="none" w:sz="0" w:space="0" w:color="auto"/>
        <w:left w:val="none" w:sz="0" w:space="0" w:color="auto"/>
        <w:bottom w:val="none" w:sz="0" w:space="0" w:color="auto"/>
        <w:right w:val="none" w:sz="0" w:space="0" w:color="auto"/>
      </w:divBdr>
    </w:div>
    <w:div w:id="710492503">
      <w:bodyDiv w:val="1"/>
      <w:marLeft w:val="0"/>
      <w:marRight w:val="0"/>
      <w:marTop w:val="0"/>
      <w:marBottom w:val="0"/>
      <w:divBdr>
        <w:top w:val="none" w:sz="0" w:space="0" w:color="auto"/>
        <w:left w:val="none" w:sz="0" w:space="0" w:color="auto"/>
        <w:bottom w:val="none" w:sz="0" w:space="0" w:color="auto"/>
        <w:right w:val="none" w:sz="0" w:space="0" w:color="auto"/>
      </w:divBdr>
    </w:div>
    <w:div w:id="714040656">
      <w:bodyDiv w:val="1"/>
      <w:marLeft w:val="0"/>
      <w:marRight w:val="0"/>
      <w:marTop w:val="0"/>
      <w:marBottom w:val="0"/>
      <w:divBdr>
        <w:top w:val="none" w:sz="0" w:space="0" w:color="auto"/>
        <w:left w:val="none" w:sz="0" w:space="0" w:color="auto"/>
        <w:bottom w:val="none" w:sz="0" w:space="0" w:color="auto"/>
        <w:right w:val="none" w:sz="0" w:space="0" w:color="auto"/>
      </w:divBdr>
    </w:div>
    <w:div w:id="801846258">
      <w:bodyDiv w:val="1"/>
      <w:marLeft w:val="0"/>
      <w:marRight w:val="0"/>
      <w:marTop w:val="0"/>
      <w:marBottom w:val="0"/>
      <w:divBdr>
        <w:top w:val="none" w:sz="0" w:space="0" w:color="auto"/>
        <w:left w:val="none" w:sz="0" w:space="0" w:color="auto"/>
        <w:bottom w:val="none" w:sz="0" w:space="0" w:color="auto"/>
        <w:right w:val="none" w:sz="0" w:space="0" w:color="auto"/>
      </w:divBdr>
    </w:div>
    <w:div w:id="822309839">
      <w:bodyDiv w:val="1"/>
      <w:marLeft w:val="0"/>
      <w:marRight w:val="0"/>
      <w:marTop w:val="0"/>
      <w:marBottom w:val="0"/>
      <w:divBdr>
        <w:top w:val="none" w:sz="0" w:space="0" w:color="auto"/>
        <w:left w:val="none" w:sz="0" w:space="0" w:color="auto"/>
        <w:bottom w:val="none" w:sz="0" w:space="0" w:color="auto"/>
        <w:right w:val="none" w:sz="0" w:space="0" w:color="auto"/>
      </w:divBdr>
      <w:divsChild>
        <w:div w:id="717097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927801">
      <w:bodyDiv w:val="1"/>
      <w:marLeft w:val="0"/>
      <w:marRight w:val="0"/>
      <w:marTop w:val="0"/>
      <w:marBottom w:val="0"/>
      <w:divBdr>
        <w:top w:val="none" w:sz="0" w:space="0" w:color="auto"/>
        <w:left w:val="none" w:sz="0" w:space="0" w:color="auto"/>
        <w:bottom w:val="none" w:sz="0" w:space="0" w:color="auto"/>
        <w:right w:val="none" w:sz="0" w:space="0" w:color="auto"/>
      </w:divBdr>
    </w:div>
    <w:div w:id="958951288">
      <w:bodyDiv w:val="1"/>
      <w:marLeft w:val="0"/>
      <w:marRight w:val="0"/>
      <w:marTop w:val="0"/>
      <w:marBottom w:val="0"/>
      <w:divBdr>
        <w:top w:val="none" w:sz="0" w:space="0" w:color="auto"/>
        <w:left w:val="none" w:sz="0" w:space="0" w:color="auto"/>
        <w:bottom w:val="none" w:sz="0" w:space="0" w:color="auto"/>
        <w:right w:val="none" w:sz="0" w:space="0" w:color="auto"/>
      </w:divBdr>
    </w:div>
    <w:div w:id="959066192">
      <w:bodyDiv w:val="1"/>
      <w:marLeft w:val="0"/>
      <w:marRight w:val="0"/>
      <w:marTop w:val="0"/>
      <w:marBottom w:val="0"/>
      <w:divBdr>
        <w:top w:val="none" w:sz="0" w:space="0" w:color="auto"/>
        <w:left w:val="none" w:sz="0" w:space="0" w:color="auto"/>
        <w:bottom w:val="none" w:sz="0" w:space="0" w:color="auto"/>
        <w:right w:val="none" w:sz="0" w:space="0" w:color="auto"/>
      </w:divBdr>
    </w:div>
    <w:div w:id="1175460938">
      <w:bodyDiv w:val="1"/>
      <w:marLeft w:val="0"/>
      <w:marRight w:val="0"/>
      <w:marTop w:val="0"/>
      <w:marBottom w:val="0"/>
      <w:divBdr>
        <w:top w:val="none" w:sz="0" w:space="0" w:color="auto"/>
        <w:left w:val="none" w:sz="0" w:space="0" w:color="auto"/>
        <w:bottom w:val="none" w:sz="0" w:space="0" w:color="auto"/>
        <w:right w:val="none" w:sz="0" w:space="0" w:color="auto"/>
      </w:divBdr>
    </w:div>
    <w:div w:id="1319000483">
      <w:bodyDiv w:val="1"/>
      <w:marLeft w:val="0"/>
      <w:marRight w:val="0"/>
      <w:marTop w:val="0"/>
      <w:marBottom w:val="0"/>
      <w:divBdr>
        <w:top w:val="none" w:sz="0" w:space="0" w:color="auto"/>
        <w:left w:val="none" w:sz="0" w:space="0" w:color="auto"/>
        <w:bottom w:val="none" w:sz="0" w:space="0" w:color="auto"/>
        <w:right w:val="none" w:sz="0" w:space="0" w:color="auto"/>
      </w:divBdr>
    </w:div>
    <w:div w:id="1331636209">
      <w:bodyDiv w:val="1"/>
      <w:marLeft w:val="0"/>
      <w:marRight w:val="0"/>
      <w:marTop w:val="0"/>
      <w:marBottom w:val="0"/>
      <w:divBdr>
        <w:top w:val="none" w:sz="0" w:space="0" w:color="auto"/>
        <w:left w:val="none" w:sz="0" w:space="0" w:color="auto"/>
        <w:bottom w:val="none" w:sz="0" w:space="0" w:color="auto"/>
        <w:right w:val="none" w:sz="0" w:space="0" w:color="auto"/>
      </w:divBdr>
    </w:div>
    <w:div w:id="1409420992">
      <w:bodyDiv w:val="1"/>
      <w:marLeft w:val="0"/>
      <w:marRight w:val="0"/>
      <w:marTop w:val="0"/>
      <w:marBottom w:val="0"/>
      <w:divBdr>
        <w:top w:val="none" w:sz="0" w:space="0" w:color="auto"/>
        <w:left w:val="none" w:sz="0" w:space="0" w:color="auto"/>
        <w:bottom w:val="none" w:sz="0" w:space="0" w:color="auto"/>
        <w:right w:val="none" w:sz="0" w:space="0" w:color="auto"/>
      </w:divBdr>
    </w:div>
    <w:div w:id="1434083898">
      <w:bodyDiv w:val="1"/>
      <w:marLeft w:val="0"/>
      <w:marRight w:val="0"/>
      <w:marTop w:val="0"/>
      <w:marBottom w:val="0"/>
      <w:divBdr>
        <w:top w:val="none" w:sz="0" w:space="0" w:color="auto"/>
        <w:left w:val="none" w:sz="0" w:space="0" w:color="auto"/>
        <w:bottom w:val="none" w:sz="0" w:space="0" w:color="auto"/>
        <w:right w:val="none" w:sz="0" w:space="0" w:color="auto"/>
      </w:divBdr>
    </w:div>
    <w:div w:id="1444616439">
      <w:bodyDiv w:val="1"/>
      <w:marLeft w:val="0"/>
      <w:marRight w:val="0"/>
      <w:marTop w:val="0"/>
      <w:marBottom w:val="0"/>
      <w:divBdr>
        <w:top w:val="none" w:sz="0" w:space="0" w:color="auto"/>
        <w:left w:val="none" w:sz="0" w:space="0" w:color="auto"/>
        <w:bottom w:val="none" w:sz="0" w:space="0" w:color="auto"/>
        <w:right w:val="none" w:sz="0" w:space="0" w:color="auto"/>
      </w:divBdr>
    </w:div>
    <w:div w:id="1677222819">
      <w:bodyDiv w:val="1"/>
      <w:marLeft w:val="0"/>
      <w:marRight w:val="0"/>
      <w:marTop w:val="0"/>
      <w:marBottom w:val="0"/>
      <w:divBdr>
        <w:top w:val="none" w:sz="0" w:space="0" w:color="auto"/>
        <w:left w:val="none" w:sz="0" w:space="0" w:color="auto"/>
        <w:bottom w:val="none" w:sz="0" w:space="0" w:color="auto"/>
        <w:right w:val="none" w:sz="0" w:space="0" w:color="auto"/>
      </w:divBdr>
    </w:div>
    <w:div w:id="1883863398">
      <w:bodyDiv w:val="1"/>
      <w:marLeft w:val="0"/>
      <w:marRight w:val="0"/>
      <w:marTop w:val="0"/>
      <w:marBottom w:val="0"/>
      <w:divBdr>
        <w:top w:val="none" w:sz="0" w:space="0" w:color="auto"/>
        <w:left w:val="none" w:sz="0" w:space="0" w:color="auto"/>
        <w:bottom w:val="none" w:sz="0" w:space="0" w:color="auto"/>
        <w:right w:val="none" w:sz="0" w:space="0" w:color="auto"/>
      </w:divBdr>
    </w:div>
    <w:div w:id="1957179362">
      <w:bodyDiv w:val="1"/>
      <w:marLeft w:val="0"/>
      <w:marRight w:val="0"/>
      <w:marTop w:val="0"/>
      <w:marBottom w:val="0"/>
      <w:divBdr>
        <w:top w:val="none" w:sz="0" w:space="0" w:color="auto"/>
        <w:left w:val="none" w:sz="0" w:space="0" w:color="auto"/>
        <w:bottom w:val="none" w:sz="0" w:space="0" w:color="auto"/>
        <w:right w:val="none" w:sz="0" w:space="0" w:color="auto"/>
      </w:divBdr>
      <w:divsChild>
        <w:div w:id="364912969">
          <w:marLeft w:val="0"/>
          <w:marRight w:val="0"/>
          <w:marTop w:val="0"/>
          <w:marBottom w:val="0"/>
          <w:divBdr>
            <w:top w:val="none" w:sz="0" w:space="0" w:color="auto"/>
            <w:left w:val="none" w:sz="0" w:space="0" w:color="auto"/>
            <w:bottom w:val="none" w:sz="0" w:space="0" w:color="auto"/>
            <w:right w:val="none" w:sz="0" w:space="0" w:color="auto"/>
          </w:divBdr>
        </w:div>
        <w:div w:id="268467833">
          <w:marLeft w:val="0"/>
          <w:marRight w:val="0"/>
          <w:marTop w:val="0"/>
          <w:marBottom w:val="0"/>
          <w:divBdr>
            <w:top w:val="none" w:sz="0" w:space="0" w:color="auto"/>
            <w:left w:val="none" w:sz="0" w:space="0" w:color="auto"/>
            <w:bottom w:val="none" w:sz="0" w:space="0" w:color="auto"/>
            <w:right w:val="none" w:sz="0" w:space="0" w:color="auto"/>
          </w:divBdr>
        </w:div>
        <w:div w:id="224805718">
          <w:marLeft w:val="0"/>
          <w:marRight w:val="0"/>
          <w:marTop w:val="0"/>
          <w:marBottom w:val="0"/>
          <w:divBdr>
            <w:top w:val="none" w:sz="0" w:space="0" w:color="auto"/>
            <w:left w:val="none" w:sz="0" w:space="0" w:color="auto"/>
            <w:bottom w:val="none" w:sz="0" w:space="0" w:color="auto"/>
            <w:right w:val="none" w:sz="0" w:space="0" w:color="auto"/>
          </w:divBdr>
        </w:div>
        <w:div w:id="1347831958">
          <w:marLeft w:val="0"/>
          <w:marRight w:val="0"/>
          <w:marTop w:val="0"/>
          <w:marBottom w:val="0"/>
          <w:divBdr>
            <w:top w:val="none" w:sz="0" w:space="0" w:color="auto"/>
            <w:left w:val="none" w:sz="0" w:space="0" w:color="auto"/>
            <w:bottom w:val="none" w:sz="0" w:space="0" w:color="auto"/>
            <w:right w:val="none" w:sz="0" w:space="0" w:color="auto"/>
          </w:divBdr>
        </w:div>
        <w:div w:id="970280621">
          <w:marLeft w:val="0"/>
          <w:marRight w:val="0"/>
          <w:marTop w:val="0"/>
          <w:marBottom w:val="0"/>
          <w:divBdr>
            <w:top w:val="none" w:sz="0" w:space="0" w:color="auto"/>
            <w:left w:val="none" w:sz="0" w:space="0" w:color="auto"/>
            <w:bottom w:val="none" w:sz="0" w:space="0" w:color="auto"/>
            <w:right w:val="none" w:sz="0" w:space="0" w:color="auto"/>
          </w:divBdr>
        </w:div>
        <w:div w:id="1457873363">
          <w:marLeft w:val="0"/>
          <w:marRight w:val="0"/>
          <w:marTop w:val="0"/>
          <w:marBottom w:val="0"/>
          <w:divBdr>
            <w:top w:val="none" w:sz="0" w:space="0" w:color="auto"/>
            <w:left w:val="none" w:sz="0" w:space="0" w:color="auto"/>
            <w:bottom w:val="none" w:sz="0" w:space="0" w:color="auto"/>
            <w:right w:val="none" w:sz="0" w:space="0" w:color="auto"/>
          </w:divBdr>
        </w:div>
      </w:divsChild>
    </w:div>
    <w:div w:id="2019042913">
      <w:bodyDiv w:val="1"/>
      <w:marLeft w:val="0"/>
      <w:marRight w:val="0"/>
      <w:marTop w:val="0"/>
      <w:marBottom w:val="0"/>
      <w:divBdr>
        <w:top w:val="none" w:sz="0" w:space="0" w:color="auto"/>
        <w:left w:val="none" w:sz="0" w:space="0" w:color="auto"/>
        <w:bottom w:val="none" w:sz="0" w:space="0" w:color="auto"/>
        <w:right w:val="none" w:sz="0" w:space="0" w:color="auto"/>
      </w:divBdr>
    </w:div>
    <w:div w:id="2121685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1.png@01D0BF16.DA35A980" TargetMode="External"/><Relationship Id="rId13" Type="http://schemas.openxmlformats.org/officeDocument/2006/relationships/hyperlink" Target="mailto:ca01@vninc.co.z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eidi@vninc.co.z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bus@vninc.co.z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helen@gkchambers.co.za" TargetMode="External"/><Relationship Id="rId4" Type="http://schemas.openxmlformats.org/officeDocument/2006/relationships/webSettings" Target="webSettings.xml"/><Relationship Id="rId9" Type="http://schemas.openxmlformats.org/officeDocument/2006/relationships/hyperlink" Target="mailto:michelle@lawcircle.co.za"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Documents\Custom%20Office%20Templates\SGHC.dotx"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SGHC</Template>
  <TotalTime>4</TotalTime>
  <Pages>29</Pages>
  <Words>6463</Words>
  <Characters>36845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
  <LinksUpToDate>false</LinksUpToDate>
  <CharactersWithSpaces>43222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subject/>
  <dc:creator>VL</dc:creator>
  <cp:keywords/>
  <dc:description/>
  <cp:lastModifiedBy>Lilitha Mdleleni</cp:lastModifiedBy>
  <cp:revision>3</cp:revision>
  <cp:lastPrinted>2024-01-23T14:26:00Z</cp:lastPrinted>
  <dcterms:created xsi:type="dcterms:W3CDTF">2024-01-24T12:27:00Z</dcterms:created>
  <dcterms:modified xsi:type="dcterms:W3CDTF">2024-01-24T18:59:00Z</dcterms:modified>
</cp:coreProperties>
</file>