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DD" w:rsidRPr="00EE3CDD" w:rsidRDefault="00EE3CDD" w:rsidP="00EE3CDD">
      <w:pPr>
        <w:rPr>
          <w:rFonts w:ascii="Courier New" w:hAnsi="Courier New"/>
          <w:color w:val="FF0000"/>
          <w:u w:val="single"/>
          <w:lang w:val="en-ZA"/>
        </w:rPr>
      </w:pPr>
      <w:r>
        <w:rPr>
          <w:rFonts w:cs="Arial"/>
          <w:color w:val="FF0000"/>
        </w:rPr>
        <w:t>Editorial note: Certain information has been redacted from this judgment in compliance with the law.</w:t>
      </w:r>
    </w:p>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6DA780DC" wp14:editId="4E077101">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7B7F59" w:rsidRPr="007B7F59" w:rsidRDefault="007B7F59" w:rsidP="007B7F59">
      <w:pPr>
        <w:spacing w:after="0" w:line="240" w:lineRule="auto"/>
        <w:ind w:left="0"/>
        <w:jc w:val="center"/>
        <w:outlineLvl w:val="0"/>
        <w:rPr>
          <w:rFonts w:eastAsia="Times New Roman" w:cs="Arial"/>
          <w:b/>
          <w:szCs w:val="24"/>
          <w:lang w:val="en-ZA"/>
        </w:rPr>
      </w:pPr>
    </w:p>
    <w:p w:rsidR="007B7F59" w:rsidRPr="007B7F59" w:rsidRDefault="007B7F59" w:rsidP="00C673FA">
      <w:pPr>
        <w:spacing w:after="0"/>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rsidR="007B7F59" w:rsidRPr="007B7F59" w:rsidRDefault="007B7F59" w:rsidP="00C673FA">
      <w:pPr>
        <w:spacing w:after="0"/>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rsidR="003648EB" w:rsidRPr="003648EB" w:rsidRDefault="003648EB" w:rsidP="003648EB">
      <w:pPr>
        <w:pStyle w:val="JudgmentNumbered"/>
        <w:numPr>
          <w:ilvl w:val="0"/>
          <w:numId w:val="0"/>
        </w:numPr>
        <w:rPr>
          <w:lang w:val="en-ZA"/>
        </w:rPr>
      </w:pPr>
    </w:p>
    <w:p w:rsidR="00C95A7D" w:rsidRDefault="003648EB" w:rsidP="00C95A7D">
      <w:pPr>
        <w:pStyle w:val="JudgmentNumbered"/>
        <w:numPr>
          <w:ilvl w:val="0"/>
          <w:numId w:val="0"/>
        </w:numPr>
        <w:ind w:left="567" w:hanging="567"/>
        <w:rPr>
          <w:b/>
          <w:bCs/>
          <w:lang w:val="en-ZA"/>
        </w:rPr>
      </w:pPr>
      <w:r w:rsidRPr="003648EB">
        <w:rPr>
          <w:rFonts w:ascii="Times New Roman" w:hAnsi="Times New Roman" w:cs="Times New Roman"/>
          <w:noProof/>
          <w:kern w:val="2"/>
          <w:szCs w:val="24"/>
          <w:lang w:val="en-ZA" w:eastAsia="en-ZA"/>
          <w14:ligatures w14:val="standardContextual"/>
        </w:rPr>
        <mc:AlternateContent>
          <mc:Choice Requires="wps">
            <w:drawing>
              <wp:anchor distT="0" distB="0" distL="114300" distR="114300" simplePos="0" relativeHeight="251659264" behindDoc="0" locked="0" layoutInCell="1" allowOverlap="1" wp14:anchorId="0E872196" wp14:editId="71203262">
                <wp:simplePos x="0" y="0"/>
                <wp:positionH relativeFrom="margin">
                  <wp:posOffset>44613</wp:posOffset>
                </wp:positionH>
                <wp:positionV relativeFrom="paragraph">
                  <wp:posOffset>292346</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rsidR="003648EB" w:rsidRPr="00842535" w:rsidRDefault="0004536C" w:rsidP="0004536C">
                            <w:pPr>
                              <w:tabs>
                                <w:tab w:val="left" w:pos="900"/>
                              </w:tabs>
                              <w:spacing w:after="0" w:line="240" w:lineRule="auto"/>
                              <w:ind w:left="900" w:hanging="720"/>
                              <w:jc w:val="left"/>
                              <w:rPr>
                                <w:rFonts w:ascii="Times New Roman" w:hAnsi="Times New Roman" w:cs="Times New Roman"/>
                                <w:sz w:val="18"/>
                                <w:szCs w:val="20"/>
                              </w:rPr>
                            </w:pPr>
                            <w:r w:rsidRPr="00842535">
                              <w:rPr>
                                <w:rFonts w:ascii="Times New Roman" w:hAnsi="Times New Roman" w:cs="Times New Roman"/>
                                <w:sz w:val="18"/>
                                <w:szCs w:val="20"/>
                              </w:rPr>
                              <w:t>(1)</w:t>
                            </w:r>
                            <w:r w:rsidRPr="00842535">
                              <w:rPr>
                                <w:rFonts w:ascii="Times New Roman" w:hAnsi="Times New Roman" w:cs="Times New Roman"/>
                                <w:sz w:val="18"/>
                                <w:szCs w:val="20"/>
                              </w:rPr>
                              <w:tab/>
                            </w:r>
                            <w:r w:rsidR="004A3357">
                              <w:rPr>
                                <w:rFonts w:ascii="Times New Roman" w:hAnsi="Times New Roman" w:cs="Times New Roman"/>
                                <w:sz w:val="18"/>
                                <w:szCs w:val="20"/>
                              </w:rPr>
                              <w:t xml:space="preserve">REPORTABLE: </w:t>
                            </w:r>
                            <w:r w:rsidR="003648EB" w:rsidRPr="00842535">
                              <w:rPr>
                                <w:rFonts w:ascii="Times New Roman" w:hAnsi="Times New Roman" w:cs="Times New Roman"/>
                                <w:sz w:val="18"/>
                                <w:szCs w:val="20"/>
                              </w:rPr>
                              <w:t xml:space="preserve"> NO</w:t>
                            </w:r>
                          </w:p>
                          <w:p w:rsidR="003648EB" w:rsidRPr="00842535" w:rsidRDefault="0004536C" w:rsidP="0004536C">
                            <w:pPr>
                              <w:tabs>
                                <w:tab w:val="left" w:pos="900"/>
                              </w:tabs>
                              <w:spacing w:after="0" w:line="240" w:lineRule="auto"/>
                              <w:ind w:left="900" w:hanging="720"/>
                              <w:jc w:val="left"/>
                              <w:rPr>
                                <w:rFonts w:ascii="Times New Roman" w:hAnsi="Times New Roman" w:cs="Times New Roman"/>
                                <w:sz w:val="18"/>
                                <w:szCs w:val="20"/>
                              </w:rPr>
                            </w:pPr>
                            <w:r w:rsidRPr="00842535">
                              <w:rPr>
                                <w:rFonts w:ascii="Times New Roman" w:hAnsi="Times New Roman" w:cs="Times New Roman"/>
                                <w:sz w:val="18"/>
                                <w:szCs w:val="20"/>
                              </w:rPr>
                              <w:t>(2)</w:t>
                            </w:r>
                            <w:r w:rsidRPr="00842535">
                              <w:rPr>
                                <w:rFonts w:ascii="Times New Roman" w:hAnsi="Times New Roman" w:cs="Times New Roman"/>
                                <w:sz w:val="18"/>
                                <w:szCs w:val="20"/>
                              </w:rPr>
                              <w:tab/>
                            </w:r>
                            <w:r w:rsidR="004A3357">
                              <w:rPr>
                                <w:rFonts w:ascii="Times New Roman" w:hAnsi="Times New Roman" w:cs="Times New Roman"/>
                                <w:sz w:val="18"/>
                                <w:szCs w:val="20"/>
                              </w:rPr>
                              <w:t xml:space="preserve">OF INTEREST TO OTHER JUDGES: </w:t>
                            </w:r>
                            <w:r w:rsidR="003648EB" w:rsidRPr="00842535">
                              <w:rPr>
                                <w:rFonts w:ascii="Times New Roman" w:hAnsi="Times New Roman" w:cs="Times New Roman"/>
                                <w:sz w:val="18"/>
                                <w:szCs w:val="20"/>
                              </w:rPr>
                              <w:t>NO</w:t>
                            </w:r>
                          </w:p>
                          <w:p w:rsidR="003648EB" w:rsidRPr="00842535" w:rsidRDefault="0004536C" w:rsidP="0004536C">
                            <w:pPr>
                              <w:tabs>
                                <w:tab w:val="left" w:pos="900"/>
                              </w:tabs>
                              <w:spacing w:after="0" w:line="240" w:lineRule="auto"/>
                              <w:ind w:left="900" w:hanging="720"/>
                              <w:jc w:val="left"/>
                              <w:rPr>
                                <w:rFonts w:ascii="Times New Roman" w:hAnsi="Times New Roman" w:cs="Times New Roman"/>
                                <w:sz w:val="18"/>
                                <w:szCs w:val="20"/>
                              </w:rPr>
                            </w:pPr>
                            <w:r w:rsidRPr="00842535">
                              <w:rPr>
                                <w:rFonts w:ascii="Times New Roman" w:hAnsi="Times New Roman" w:cs="Times New Roman"/>
                                <w:sz w:val="18"/>
                                <w:szCs w:val="20"/>
                              </w:rPr>
                              <w:t>(3)</w:t>
                            </w:r>
                            <w:r w:rsidRPr="00842535">
                              <w:rPr>
                                <w:rFonts w:ascii="Times New Roman" w:hAnsi="Times New Roman" w:cs="Times New Roman"/>
                                <w:sz w:val="18"/>
                                <w:szCs w:val="20"/>
                              </w:rPr>
                              <w:tab/>
                            </w:r>
                            <w:r w:rsidR="004A3357">
                              <w:rPr>
                                <w:rFonts w:ascii="Times New Roman" w:hAnsi="Times New Roman" w:cs="Times New Roman"/>
                                <w:sz w:val="18"/>
                                <w:szCs w:val="20"/>
                              </w:rPr>
                              <w:t xml:space="preserve">REVISED: </w:t>
                            </w:r>
                            <w:r w:rsidR="003648EB" w:rsidRPr="00842535">
                              <w:rPr>
                                <w:rFonts w:ascii="Times New Roman" w:hAnsi="Times New Roman" w:cs="Times New Roman"/>
                                <w:sz w:val="18"/>
                                <w:szCs w:val="20"/>
                              </w:rPr>
                              <w:t>NO</w:t>
                            </w:r>
                          </w:p>
                          <w:p w:rsidR="003648EB" w:rsidRPr="00842535" w:rsidRDefault="003648EB" w:rsidP="003648EB">
                            <w:pPr>
                              <w:spacing w:before="240" w:after="0"/>
                              <w:rPr>
                                <w:rFonts w:ascii="Times New Roman" w:hAnsi="Times New Roman" w:cs="Times New Roman"/>
                                <w:b/>
                                <w:sz w:val="18"/>
                                <w:szCs w:val="20"/>
                              </w:rPr>
                            </w:pPr>
                            <w:r>
                              <w:rPr>
                                <w:rFonts w:ascii="Times New Roman" w:hAnsi="Times New Roman" w:cs="Times New Roman"/>
                                <w:b/>
                                <w:sz w:val="18"/>
                                <w:szCs w:val="20"/>
                              </w:rPr>
                              <w:t>2</w:t>
                            </w:r>
                            <w:r w:rsidR="00C673FA">
                              <w:rPr>
                                <w:rFonts w:ascii="Times New Roman" w:hAnsi="Times New Roman" w:cs="Times New Roman"/>
                                <w:b/>
                                <w:sz w:val="18"/>
                                <w:szCs w:val="20"/>
                              </w:rPr>
                              <w:t>6</w:t>
                            </w:r>
                            <w:r>
                              <w:rPr>
                                <w:rFonts w:ascii="Times New Roman" w:hAnsi="Times New Roman" w:cs="Times New Roman"/>
                                <w:b/>
                                <w:sz w:val="18"/>
                                <w:szCs w:val="20"/>
                              </w:rPr>
                              <w:t xml:space="preserve"> January 2024</w:t>
                            </w:r>
                            <w:r w:rsidR="004A3357">
                              <w:rPr>
                                <w:rFonts w:ascii="Times New Roman" w:hAnsi="Times New Roman" w:cs="Times New Roman"/>
                                <w:b/>
                                <w:sz w:val="18"/>
                                <w:szCs w:val="20"/>
                              </w:rPr>
                              <w:t xml:space="preserve">        </w:t>
                            </w:r>
                            <w:r>
                              <w:rPr>
                                <w:rFonts w:ascii="Times New Roman" w:hAnsi="Times New Roman" w:cs="Times New Roman"/>
                                <w:b/>
                                <w:sz w:val="18"/>
                                <w:szCs w:val="20"/>
                              </w:rPr>
                              <w:t xml:space="preserve"> </w:t>
                            </w:r>
                            <w:r>
                              <w:rPr>
                                <w:rFonts w:ascii="Times New Roman" w:hAnsi="Times New Roman" w:cs="Times New Roman"/>
                                <w:b/>
                                <w:sz w:val="18"/>
                                <w:szCs w:val="20"/>
                              </w:rPr>
                              <w:tab/>
                            </w:r>
                            <w:r w:rsidRPr="00842535">
                              <w:rPr>
                                <w:rFonts w:ascii="Times New Roman" w:hAnsi="Times New Roman" w:cs="Times New Roman"/>
                                <w:b/>
                                <w:sz w:val="18"/>
                                <w:szCs w:val="20"/>
                              </w:rPr>
                              <w:t>______________________</w:t>
                            </w:r>
                          </w:p>
                          <w:p w:rsidR="003648EB" w:rsidRPr="00842535" w:rsidRDefault="003648EB" w:rsidP="003648EB">
                            <w:pPr>
                              <w:rPr>
                                <w:rFonts w:ascii="Times New Roman" w:hAnsi="Times New Roman" w:cs="Times New Roman"/>
                                <w:sz w:val="18"/>
                                <w:szCs w:val="20"/>
                              </w:rPr>
                            </w:pPr>
                            <w:r w:rsidRPr="00842535">
                              <w:rPr>
                                <w:rFonts w:ascii="Times New Roman" w:hAnsi="Times New Roman" w:cs="Times New Roman"/>
                                <w:sz w:val="18"/>
                                <w:szCs w:val="20"/>
                              </w:rPr>
                              <w:t>DATE</w:t>
                            </w:r>
                            <w:r w:rsidRPr="00842535">
                              <w:rPr>
                                <w:rFonts w:ascii="Times New Roman" w:hAnsi="Times New Roman" w:cs="Times New Roman"/>
                                <w:sz w:val="18"/>
                                <w:szCs w:val="20"/>
                              </w:rPr>
                              <w:tab/>
                            </w:r>
                            <w:r w:rsidRPr="00842535">
                              <w:rPr>
                                <w:rFonts w:ascii="Times New Roman" w:hAnsi="Times New Roman" w:cs="Times New Roman"/>
                                <w:sz w:val="18"/>
                                <w:szCs w:val="20"/>
                              </w:rPr>
                              <w:tab/>
                              <w:t xml:space="preserve"> </w:t>
                            </w:r>
                            <w:r>
                              <w:rPr>
                                <w:rFonts w:ascii="Times New Roman" w:hAnsi="Times New Roman" w:cs="Times New Roman"/>
                                <w:sz w:val="18"/>
                                <w:szCs w:val="20"/>
                              </w:rPr>
                              <w:t xml:space="preserve">      </w:t>
                            </w:r>
                            <w:r>
                              <w:rPr>
                                <w:rFonts w:ascii="Times New Roman" w:hAnsi="Times New Roman" w:cs="Times New Roman"/>
                                <w:sz w:val="18"/>
                                <w:szCs w:val="20"/>
                              </w:rPr>
                              <w:tab/>
                            </w:r>
                            <w:r w:rsidRPr="00842535">
                              <w:rPr>
                                <w:rFonts w:ascii="Times New Roman" w:hAnsi="Times New Roman" w:cs="Times New Roman"/>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72196" id="_x0000_t202" coordsize="21600,21600" o:spt="202" path="m,l,21600r21600,l21600,xe">
                <v:stroke joinstyle="miter"/>
                <v:path gradientshapeok="t" o:connecttype="rect"/>
              </v:shapetype>
              <v:shape id="Text Box 2" o:spid="_x0000_s1026" type="#_x0000_t202" style="position:absolute;left:0;text-align:left;margin-left:3.5pt;margin-top:23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">
                <v:textbox>
                  <w:txbxContent>
                    <w:p w:rsidR="003648EB" w:rsidRPr="00842535" w:rsidRDefault="0004536C" w:rsidP="0004536C">
                      <w:pPr>
                        <w:tabs>
                          <w:tab w:val="left" w:pos="900"/>
                        </w:tabs>
                        <w:spacing w:after="0" w:line="240" w:lineRule="auto"/>
                        <w:ind w:left="900" w:hanging="720"/>
                        <w:jc w:val="left"/>
                        <w:rPr>
                          <w:rFonts w:ascii="Times New Roman" w:hAnsi="Times New Roman" w:cs="Times New Roman"/>
                          <w:sz w:val="18"/>
                          <w:szCs w:val="20"/>
                        </w:rPr>
                      </w:pPr>
                      <w:r w:rsidRPr="00842535">
                        <w:rPr>
                          <w:rFonts w:ascii="Times New Roman" w:hAnsi="Times New Roman" w:cs="Times New Roman"/>
                          <w:sz w:val="18"/>
                          <w:szCs w:val="20"/>
                        </w:rPr>
                        <w:t>(1)</w:t>
                      </w:r>
                      <w:r w:rsidRPr="00842535">
                        <w:rPr>
                          <w:rFonts w:ascii="Times New Roman" w:hAnsi="Times New Roman" w:cs="Times New Roman"/>
                          <w:sz w:val="18"/>
                          <w:szCs w:val="20"/>
                        </w:rPr>
                        <w:tab/>
                      </w:r>
                      <w:r w:rsidR="004A3357">
                        <w:rPr>
                          <w:rFonts w:ascii="Times New Roman" w:hAnsi="Times New Roman" w:cs="Times New Roman"/>
                          <w:sz w:val="18"/>
                          <w:szCs w:val="20"/>
                        </w:rPr>
                        <w:t xml:space="preserve">REPORTABLE: </w:t>
                      </w:r>
                      <w:r w:rsidR="003648EB" w:rsidRPr="00842535">
                        <w:rPr>
                          <w:rFonts w:ascii="Times New Roman" w:hAnsi="Times New Roman" w:cs="Times New Roman"/>
                          <w:sz w:val="18"/>
                          <w:szCs w:val="20"/>
                        </w:rPr>
                        <w:t xml:space="preserve"> NO</w:t>
                      </w:r>
                    </w:p>
                    <w:p w:rsidR="003648EB" w:rsidRPr="00842535" w:rsidRDefault="0004536C" w:rsidP="0004536C">
                      <w:pPr>
                        <w:tabs>
                          <w:tab w:val="left" w:pos="900"/>
                        </w:tabs>
                        <w:spacing w:after="0" w:line="240" w:lineRule="auto"/>
                        <w:ind w:left="900" w:hanging="720"/>
                        <w:jc w:val="left"/>
                        <w:rPr>
                          <w:rFonts w:ascii="Times New Roman" w:hAnsi="Times New Roman" w:cs="Times New Roman"/>
                          <w:sz w:val="18"/>
                          <w:szCs w:val="20"/>
                        </w:rPr>
                      </w:pPr>
                      <w:r w:rsidRPr="00842535">
                        <w:rPr>
                          <w:rFonts w:ascii="Times New Roman" w:hAnsi="Times New Roman" w:cs="Times New Roman"/>
                          <w:sz w:val="18"/>
                          <w:szCs w:val="20"/>
                        </w:rPr>
                        <w:t>(2)</w:t>
                      </w:r>
                      <w:r w:rsidRPr="00842535">
                        <w:rPr>
                          <w:rFonts w:ascii="Times New Roman" w:hAnsi="Times New Roman" w:cs="Times New Roman"/>
                          <w:sz w:val="18"/>
                          <w:szCs w:val="20"/>
                        </w:rPr>
                        <w:tab/>
                      </w:r>
                      <w:r w:rsidR="004A3357">
                        <w:rPr>
                          <w:rFonts w:ascii="Times New Roman" w:hAnsi="Times New Roman" w:cs="Times New Roman"/>
                          <w:sz w:val="18"/>
                          <w:szCs w:val="20"/>
                        </w:rPr>
                        <w:t xml:space="preserve">OF INTEREST TO OTHER JUDGES: </w:t>
                      </w:r>
                      <w:r w:rsidR="003648EB" w:rsidRPr="00842535">
                        <w:rPr>
                          <w:rFonts w:ascii="Times New Roman" w:hAnsi="Times New Roman" w:cs="Times New Roman"/>
                          <w:sz w:val="18"/>
                          <w:szCs w:val="20"/>
                        </w:rPr>
                        <w:t>NO</w:t>
                      </w:r>
                    </w:p>
                    <w:p w:rsidR="003648EB" w:rsidRPr="00842535" w:rsidRDefault="0004536C" w:rsidP="0004536C">
                      <w:pPr>
                        <w:tabs>
                          <w:tab w:val="left" w:pos="900"/>
                        </w:tabs>
                        <w:spacing w:after="0" w:line="240" w:lineRule="auto"/>
                        <w:ind w:left="900" w:hanging="720"/>
                        <w:jc w:val="left"/>
                        <w:rPr>
                          <w:rFonts w:ascii="Times New Roman" w:hAnsi="Times New Roman" w:cs="Times New Roman"/>
                          <w:sz w:val="18"/>
                          <w:szCs w:val="20"/>
                        </w:rPr>
                      </w:pPr>
                      <w:r w:rsidRPr="00842535">
                        <w:rPr>
                          <w:rFonts w:ascii="Times New Roman" w:hAnsi="Times New Roman" w:cs="Times New Roman"/>
                          <w:sz w:val="18"/>
                          <w:szCs w:val="20"/>
                        </w:rPr>
                        <w:t>(3)</w:t>
                      </w:r>
                      <w:r w:rsidRPr="00842535">
                        <w:rPr>
                          <w:rFonts w:ascii="Times New Roman" w:hAnsi="Times New Roman" w:cs="Times New Roman"/>
                          <w:sz w:val="18"/>
                          <w:szCs w:val="20"/>
                        </w:rPr>
                        <w:tab/>
                      </w:r>
                      <w:r w:rsidR="004A3357">
                        <w:rPr>
                          <w:rFonts w:ascii="Times New Roman" w:hAnsi="Times New Roman" w:cs="Times New Roman"/>
                          <w:sz w:val="18"/>
                          <w:szCs w:val="20"/>
                        </w:rPr>
                        <w:t xml:space="preserve">REVISED: </w:t>
                      </w:r>
                      <w:r w:rsidR="003648EB" w:rsidRPr="00842535">
                        <w:rPr>
                          <w:rFonts w:ascii="Times New Roman" w:hAnsi="Times New Roman" w:cs="Times New Roman"/>
                          <w:sz w:val="18"/>
                          <w:szCs w:val="20"/>
                        </w:rPr>
                        <w:t>NO</w:t>
                      </w:r>
                    </w:p>
                    <w:p w:rsidR="003648EB" w:rsidRPr="00842535" w:rsidRDefault="003648EB" w:rsidP="003648EB">
                      <w:pPr>
                        <w:spacing w:before="240" w:after="0"/>
                        <w:rPr>
                          <w:rFonts w:ascii="Times New Roman" w:hAnsi="Times New Roman" w:cs="Times New Roman"/>
                          <w:b/>
                          <w:sz w:val="18"/>
                          <w:szCs w:val="20"/>
                        </w:rPr>
                      </w:pPr>
                      <w:r>
                        <w:rPr>
                          <w:rFonts w:ascii="Times New Roman" w:hAnsi="Times New Roman" w:cs="Times New Roman"/>
                          <w:b/>
                          <w:sz w:val="18"/>
                          <w:szCs w:val="20"/>
                        </w:rPr>
                        <w:t>2</w:t>
                      </w:r>
                      <w:r w:rsidR="00C673FA">
                        <w:rPr>
                          <w:rFonts w:ascii="Times New Roman" w:hAnsi="Times New Roman" w:cs="Times New Roman"/>
                          <w:b/>
                          <w:sz w:val="18"/>
                          <w:szCs w:val="20"/>
                        </w:rPr>
                        <w:t>6</w:t>
                      </w:r>
                      <w:r>
                        <w:rPr>
                          <w:rFonts w:ascii="Times New Roman" w:hAnsi="Times New Roman" w:cs="Times New Roman"/>
                          <w:b/>
                          <w:sz w:val="18"/>
                          <w:szCs w:val="20"/>
                        </w:rPr>
                        <w:t xml:space="preserve"> January 2024</w:t>
                      </w:r>
                      <w:r w:rsidR="004A3357">
                        <w:rPr>
                          <w:rFonts w:ascii="Times New Roman" w:hAnsi="Times New Roman" w:cs="Times New Roman"/>
                          <w:b/>
                          <w:sz w:val="18"/>
                          <w:szCs w:val="20"/>
                        </w:rPr>
                        <w:t xml:space="preserve">        </w:t>
                      </w:r>
                      <w:r>
                        <w:rPr>
                          <w:rFonts w:ascii="Times New Roman" w:hAnsi="Times New Roman" w:cs="Times New Roman"/>
                          <w:b/>
                          <w:sz w:val="18"/>
                          <w:szCs w:val="20"/>
                        </w:rPr>
                        <w:t xml:space="preserve"> </w:t>
                      </w:r>
                      <w:r>
                        <w:rPr>
                          <w:rFonts w:ascii="Times New Roman" w:hAnsi="Times New Roman" w:cs="Times New Roman"/>
                          <w:b/>
                          <w:sz w:val="18"/>
                          <w:szCs w:val="20"/>
                        </w:rPr>
                        <w:tab/>
                      </w:r>
                      <w:r w:rsidRPr="00842535">
                        <w:rPr>
                          <w:rFonts w:ascii="Times New Roman" w:hAnsi="Times New Roman" w:cs="Times New Roman"/>
                          <w:b/>
                          <w:sz w:val="18"/>
                          <w:szCs w:val="20"/>
                        </w:rPr>
                        <w:t>______________________</w:t>
                      </w:r>
                    </w:p>
                    <w:p w:rsidR="003648EB" w:rsidRPr="00842535" w:rsidRDefault="003648EB" w:rsidP="003648EB">
                      <w:pPr>
                        <w:rPr>
                          <w:rFonts w:ascii="Times New Roman" w:hAnsi="Times New Roman" w:cs="Times New Roman"/>
                          <w:sz w:val="18"/>
                          <w:szCs w:val="20"/>
                        </w:rPr>
                      </w:pPr>
                      <w:r w:rsidRPr="00842535">
                        <w:rPr>
                          <w:rFonts w:ascii="Times New Roman" w:hAnsi="Times New Roman" w:cs="Times New Roman"/>
                          <w:sz w:val="18"/>
                          <w:szCs w:val="20"/>
                        </w:rPr>
                        <w:t>DATE</w:t>
                      </w:r>
                      <w:r w:rsidRPr="00842535">
                        <w:rPr>
                          <w:rFonts w:ascii="Times New Roman" w:hAnsi="Times New Roman" w:cs="Times New Roman"/>
                          <w:sz w:val="18"/>
                          <w:szCs w:val="20"/>
                        </w:rPr>
                        <w:tab/>
                      </w:r>
                      <w:r w:rsidRPr="00842535">
                        <w:rPr>
                          <w:rFonts w:ascii="Times New Roman" w:hAnsi="Times New Roman" w:cs="Times New Roman"/>
                          <w:sz w:val="18"/>
                          <w:szCs w:val="20"/>
                        </w:rPr>
                        <w:tab/>
                        <w:t xml:space="preserve"> </w:t>
                      </w:r>
                      <w:r>
                        <w:rPr>
                          <w:rFonts w:ascii="Times New Roman" w:hAnsi="Times New Roman" w:cs="Times New Roman"/>
                          <w:sz w:val="18"/>
                          <w:szCs w:val="20"/>
                        </w:rPr>
                        <w:t xml:space="preserve">      </w:t>
                      </w:r>
                      <w:r>
                        <w:rPr>
                          <w:rFonts w:ascii="Times New Roman" w:hAnsi="Times New Roman" w:cs="Times New Roman"/>
                          <w:sz w:val="18"/>
                          <w:szCs w:val="20"/>
                        </w:rPr>
                        <w:tab/>
                      </w:r>
                      <w:r w:rsidRPr="00842535">
                        <w:rPr>
                          <w:rFonts w:ascii="Times New Roman" w:hAnsi="Times New Roman" w:cs="Times New Roman"/>
                          <w:sz w:val="18"/>
                          <w:szCs w:val="20"/>
                        </w:rPr>
                        <w:t>SIGNATURE</w:t>
                      </w:r>
                    </w:p>
                  </w:txbxContent>
                </v:textbox>
                <w10:wrap anchorx="margin"/>
              </v:shape>
            </w:pict>
          </mc:Fallback>
        </mc:AlternateContent>
      </w:r>
      <w:r w:rsidR="00C95A7D">
        <w:rPr>
          <w:lang w:val="en-ZA"/>
        </w:rPr>
        <w:tab/>
      </w:r>
      <w:r w:rsidR="00C95A7D">
        <w:rPr>
          <w:lang w:val="en-ZA"/>
        </w:rPr>
        <w:tab/>
      </w:r>
      <w:r w:rsidR="00C95A7D">
        <w:rPr>
          <w:lang w:val="en-ZA"/>
        </w:rPr>
        <w:tab/>
      </w:r>
      <w:r w:rsidR="00C95A7D">
        <w:rPr>
          <w:lang w:val="en-ZA"/>
        </w:rPr>
        <w:tab/>
      </w:r>
      <w:r w:rsidR="00C95A7D">
        <w:rPr>
          <w:lang w:val="en-ZA"/>
        </w:rPr>
        <w:tab/>
      </w:r>
      <w:r w:rsidR="00C95A7D">
        <w:rPr>
          <w:lang w:val="en-ZA"/>
        </w:rPr>
        <w:tab/>
      </w:r>
      <w:r w:rsidR="00C95A7D">
        <w:rPr>
          <w:lang w:val="en-ZA"/>
        </w:rPr>
        <w:tab/>
      </w:r>
      <w:r w:rsidR="00C95A7D">
        <w:rPr>
          <w:lang w:val="en-ZA"/>
        </w:rPr>
        <w:tab/>
      </w:r>
      <w:r w:rsidR="00C95A7D">
        <w:rPr>
          <w:lang w:val="en-ZA"/>
        </w:rPr>
        <w:tab/>
      </w:r>
      <w:r w:rsidR="00C95A7D">
        <w:rPr>
          <w:lang w:val="en-ZA"/>
        </w:rPr>
        <w:tab/>
      </w:r>
      <w:r w:rsidR="00C95A7D" w:rsidRPr="00C95A7D">
        <w:rPr>
          <w:b/>
          <w:bCs/>
          <w:lang w:val="en-ZA"/>
        </w:rPr>
        <w:t>CASE</w:t>
      </w:r>
      <w:r w:rsidR="000069B1">
        <w:rPr>
          <w:b/>
          <w:bCs/>
          <w:lang w:val="en-ZA"/>
        </w:rPr>
        <w:t xml:space="preserve"> </w:t>
      </w:r>
      <w:r w:rsidR="00C95A7D" w:rsidRPr="00C95A7D">
        <w:rPr>
          <w:b/>
          <w:bCs/>
          <w:lang w:val="en-ZA"/>
        </w:rPr>
        <w:t>NO: 41584/18</w:t>
      </w:r>
    </w:p>
    <w:p w:rsidR="003648EB" w:rsidRDefault="003648EB" w:rsidP="003648EB">
      <w:pPr>
        <w:pStyle w:val="JudgmentNumbered"/>
        <w:numPr>
          <w:ilvl w:val="0"/>
          <w:numId w:val="0"/>
        </w:numPr>
        <w:rPr>
          <w:b/>
          <w:bCs/>
          <w:lang w:val="en-ZA"/>
        </w:rPr>
      </w:pPr>
    </w:p>
    <w:p w:rsidR="003648EB" w:rsidRPr="00C95A7D" w:rsidRDefault="003648EB" w:rsidP="003648EB">
      <w:pPr>
        <w:pStyle w:val="JudgmentNumbered"/>
        <w:numPr>
          <w:ilvl w:val="0"/>
          <w:numId w:val="0"/>
        </w:numPr>
        <w:rPr>
          <w:lang w:val="en-ZA"/>
        </w:rPr>
      </w:pPr>
    </w:p>
    <w:p w:rsidR="00174772" w:rsidRPr="00174772" w:rsidRDefault="00174772" w:rsidP="00174772">
      <w:pPr>
        <w:spacing w:after="0" w:line="259" w:lineRule="auto"/>
        <w:ind w:left="0"/>
        <w:rPr>
          <w:rFonts w:eastAsia="Calibri" w:cs="Arial"/>
          <w:szCs w:val="24"/>
          <w:lang w:val="en-ZA"/>
        </w:rPr>
      </w:pPr>
    </w:p>
    <w:p w:rsidR="003648EB" w:rsidRDefault="003648EB" w:rsidP="003648EB">
      <w:pPr>
        <w:spacing w:after="0" w:line="259" w:lineRule="auto"/>
        <w:ind w:left="0"/>
        <w:rPr>
          <w:rFonts w:eastAsia="Calibri" w:cs="Arial"/>
          <w:b/>
          <w:bCs/>
          <w:szCs w:val="24"/>
          <w:lang w:val="en-ZA"/>
        </w:rPr>
      </w:pPr>
      <w:bookmarkStart w:id="0" w:name="_Hlk155875615"/>
    </w:p>
    <w:p w:rsidR="003648EB" w:rsidRPr="003648EB" w:rsidRDefault="003648EB" w:rsidP="003648EB">
      <w:pPr>
        <w:spacing w:after="0" w:line="259" w:lineRule="auto"/>
        <w:ind w:left="0"/>
        <w:rPr>
          <w:rFonts w:eastAsia="Calibri" w:cs="Arial"/>
          <w:szCs w:val="24"/>
          <w:lang w:val="en-ZA"/>
        </w:rPr>
      </w:pPr>
      <w:r w:rsidRPr="003648EB">
        <w:rPr>
          <w:rFonts w:eastAsia="Calibri" w:cs="Arial"/>
          <w:szCs w:val="24"/>
          <w:lang w:val="en-ZA"/>
        </w:rPr>
        <w:t xml:space="preserve">In the matter between: </w:t>
      </w:r>
    </w:p>
    <w:p w:rsidR="003648EB" w:rsidRDefault="003648EB" w:rsidP="00174772">
      <w:pPr>
        <w:spacing w:after="0" w:line="259" w:lineRule="auto"/>
        <w:ind w:left="0"/>
        <w:rPr>
          <w:rFonts w:eastAsia="Calibri" w:cs="Arial"/>
          <w:b/>
          <w:bCs/>
          <w:szCs w:val="24"/>
          <w:lang w:val="en-ZA"/>
        </w:rPr>
      </w:pPr>
    </w:p>
    <w:bookmarkEnd w:id="0"/>
    <w:p w:rsidR="00A54650" w:rsidRDefault="00A54650" w:rsidP="00A54650">
      <w:pPr>
        <w:spacing w:after="0" w:line="259" w:lineRule="auto"/>
        <w:ind w:left="0"/>
        <w:rPr>
          <w:rFonts w:eastAsia="Calibri" w:cs="Arial"/>
          <w:b/>
          <w:bCs/>
          <w:szCs w:val="24"/>
          <w:lang w:val="en-ZA"/>
        </w:rPr>
      </w:pPr>
      <w:r>
        <w:rPr>
          <w:rFonts w:eastAsia="Calibri" w:cs="Arial"/>
          <w:b/>
          <w:bCs/>
          <w:szCs w:val="24"/>
          <w:lang w:val="en-ZA"/>
        </w:rPr>
        <w:t xml:space="preserve">S [M…] [R…] </w:t>
      </w:r>
      <w:r w:rsidRPr="00C673FA">
        <w:rPr>
          <w:rFonts w:eastAsia="Calibri" w:cs="Arial"/>
          <w:b/>
          <w:bCs/>
          <w:szCs w:val="24"/>
          <w:lang w:val="en-ZA"/>
        </w:rPr>
        <w:t>obo</w:t>
      </w:r>
    </w:p>
    <w:p w:rsidR="00174772" w:rsidRPr="00A54650" w:rsidRDefault="00A54650" w:rsidP="00A54650">
      <w:pPr>
        <w:spacing w:after="0" w:line="259" w:lineRule="auto"/>
        <w:ind w:left="0"/>
        <w:rPr>
          <w:rFonts w:eastAsia="Calibri" w:cs="Arial"/>
          <w:b/>
          <w:bCs/>
          <w:szCs w:val="24"/>
          <w:lang w:val="en-ZA"/>
        </w:rPr>
      </w:pPr>
      <w:r w:rsidRPr="004F405B">
        <w:rPr>
          <w:rFonts w:eastAsia="Calibri" w:cs="Arial"/>
          <w:b/>
          <w:bCs/>
          <w:szCs w:val="24"/>
          <w:lang w:val="en-ZA"/>
        </w:rPr>
        <w:t>S [Z…] [R…]</w:t>
      </w:r>
      <w:r w:rsidRPr="004F405B">
        <w:rPr>
          <w:rFonts w:eastAsia="Calibri" w:cs="Arial"/>
          <w:b/>
          <w:bCs/>
          <w:szCs w:val="24"/>
          <w:lang w:val="en-ZA"/>
        </w:rPr>
        <w:tab/>
      </w:r>
      <w:r w:rsidR="00174772" w:rsidRPr="00174772">
        <w:rPr>
          <w:rFonts w:eastAsia="Calibri" w:cs="Arial"/>
          <w:szCs w:val="24"/>
          <w:lang w:val="en-ZA"/>
        </w:rPr>
        <w:tab/>
      </w:r>
      <w:r w:rsidR="00174772" w:rsidRPr="00174772">
        <w:rPr>
          <w:rFonts w:eastAsia="Calibri" w:cs="Arial"/>
          <w:szCs w:val="24"/>
          <w:lang w:val="en-ZA"/>
        </w:rPr>
        <w:tab/>
      </w:r>
      <w:r w:rsidR="00174772" w:rsidRPr="00174772">
        <w:rPr>
          <w:rFonts w:eastAsia="Calibri" w:cs="Arial"/>
          <w:szCs w:val="24"/>
          <w:lang w:val="en-ZA"/>
        </w:rPr>
        <w:tab/>
      </w:r>
      <w:r w:rsidR="004F405B">
        <w:rPr>
          <w:rFonts w:eastAsia="Calibri" w:cs="Arial"/>
          <w:szCs w:val="24"/>
          <w:lang w:val="en-ZA"/>
        </w:rPr>
        <w:tab/>
      </w:r>
      <w:r w:rsidR="004F405B">
        <w:rPr>
          <w:rFonts w:eastAsia="Calibri" w:cs="Arial"/>
          <w:szCs w:val="24"/>
          <w:lang w:val="en-ZA"/>
        </w:rPr>
        <w:tab/>
      </w:r>
      <w:r w:rsidR="004F405B">
        <w:rPr>
          <w:rFonts w:eastAsia="Calibri" w:cs="Arial"/>
          <w:szCs w:val="24"/>
          <w:lang w:val="en-ZA"/>
        </w:rPr>
        <w:tab/>
      </w:r>
      <w:r w:rsidR="00416139">
        <w:rPr>
          <w:rFonts w:eastAsia="Calibri" w:cs="Arial"/>
          <w:szCs w:val="24"/>
          <w:lang w:val="en-ZA"/>
        </w:rPr>
        <w:tab/>
      </w:r>
      <w:r>
        <w:rPr>
          <w:rFonts w:eastAsia="Calibri" w:cs="Arial"/>
          <w:szCs w:val="24"/>
          <w:lang w:val="en-ZA"/>
        </w:rPr>
        <w:tab/>
        <w:t>Plaintiff</w:t>
      </w:r>
    </w:p>
    <w:p w:rsidR="00174772" w:rsidRPr="00174772" w:rsidRDefault="00174772" w:rsidP="00174772">
      <w:pPr>
        <w:spacing w:after="0" w:line="259" w:lineRule="auto"/>
        <w:ind w:left="0"/>
        <w:rPr>
          <w:rFonts w:eastAsia="Calibri" w:cs="Arial"/>
          <w:szCs w:val="24"/>
          <w:lang w:val="en-ZA"/>
        </w:rPr>
      </w:pPr>
    </w:p>
    <w:p w:rsidR="00174772" w:rsidRPr="00174772" w:rsidRDefault="00174772" w:rsidP="00174772">
      <w:pPr>
        <w:spacing w:after="0" w:line="259" w:lineRule="auto"/>
        <w:ind w:left="0"/>
        <w:rPr>
          <w:rFonts w:eastAsia="Calibri" w:cs="Arial"/>
          <w:szCs w:val="24"/>
          <w:lang w:val="en-ZA"/>
        </w:rPr>
      </w:pPr>
      <w:r w:rsidRPr="00174772">
        <w:rPr>
          <w:rFonts w:eastAsia="Calibri" w:cs="Arial"/>
          <w:szCs w:val="24"/>
          <w:lang w:val="en-ZA"/>
        </w:rPr>
        <w:t xml:space="preserve">and </w:t>
      </w:r>
    </w:p>
    <w:p w:rsidR="00174772" w:rsidRPr="00174772" w:rsidRDefault="00174772" w:rsidP="00174772">
      <w:pPr>
        <w:spacing w:after="0" w:line="259" w:lineRule="auto"/>
        <w:ind w:left="0"/>
        <w:rPr>
          <w:rFonts w:eastAsia="Calibri" w:cs="Arial"/>
          <w:szCs w:val="24"/>
          <w:lang w:val="en-ZA"/>
        </w:rPr>
      </w:pPr>
    </w:p>
    <w:p w:rsidR="004F405B" w:rsidRDefault="004F405B" w:rsidP="00174772">
      <w:pPr>
        <w:spacing w:after="0" w:line="259" w:lineRule="auto"/>
        <w:ind w:left="0"/>
        <w:rPr>
          <w:rFonts w:eastAsia="Calibri" w:cs="Arial"/>
          <w:b/>
          <w:szCs w:val="24"/>
          <w:lang w:val="en-ZA"/>
        </w:rPr>
      </w:pPr>
      <w:r>
        <w:rPr>
          <w:rFonts w:eastAsia="Calibri" w:cs="Arial"/>
          <w:b/>
          <w:szCs w:val="24"/>
          <w:lang w:val="en-ZA"/>
        </w:rPr>
        <w:t>MEMBER OF THE EXECUTIVE COUNCIL</w:t>
      </w:r>
    </w:p>
    <w:p w:rsidR="00174772" w:rsidRPr="00174772" w:rsidRDefault="004F405B" w:rsidP="00174772">
      <w:pPr>
        <w:spacing w:after="0" w:line="259" w:lineRule="auto"/>
        <w:ind w:left="0"/>
        <w:rPr>
          <w:rFonts w:eastAsia="Calibri" w:cs="Arial"/>
          <w:szCs w:val="24"/>
          <w:lang w:val="en-ZA"/>
        </w:rPr>
      </w:pPr>
      <w:r>
        <w:rPr>
          <w:rFonts w:eastAsia="Calibri" w:cs="Arial"/>
          <w:b/>
          <w:szCs w:val="24"/>
          <w:lang w:val="en-ZA"/>
        </w:rPr>
        <w:t xml:space="preserve">FOR HEALTH, GAUTENG </w:t>
      </w:r>
      <w:r w:rsidR="00174772" w:rsidRPr="00174772">
        <w:rPr>
          <w:rFonts w:eastAsia="Calibri" w:cs="Arial"/>
          <w:szCs w:val="24"/>
          <w:lang w:val="en-ZA"/>
        </w:rPr>
        <w:tab/>
      </w:r>
      <w:r w:rsidR="00174772" w:rsidRPr="00174772">
        <w:rPr>
          <w:rFonts w:eastAsia="Calibri" w:cs="Arial"/>
          <w:szCs w:val="24"/>
          <w:lang w:val="en-ZA"/>
        </w:rPr>
        <w:tab/>
      </w:r>
      <w:r w:rsidR="00174772" w:rsidRPr="00174772">
        <w:rPr>
          <w:rFonts w:eastAsia="Calibri" w:cs="Arial"/>
          <w:szCs w:val="24"/>
          <w:lang w:val="en-ZA"/>
        </w:rPr>
        <w:tab/>
      </w:r>
      <w:r w:rsidR="00174772" w:rsidRPr="00174772">
        <w:rPr>
          <w:rFonts w:eastAsia="Calibri" w:cs="Arial"/>
          <w:szCs w:val="24"/>
          <w:lang w:val="en-ZA"/>
        </w:rPr>
        <w:tab/>
      </w:r>
      <w:r w:rsidR="00174772" w:rsidRPr="00174772">
        <w:rPr>
          <w:rFonts w:eastAsia="Calibri" w:cs="Arial"/>
          <w:szCs w:val="24"/>
          <w:lang w:val="en-ZA"/>
        </w:rPr>
        <w:tab/>
      </w:r>
      <w:r w:rsidR="00A54650">
        <w:rPr>
          <w:rFonts w:eastAsia="Calibri" w:cs="Arial"/>
          <w:szCs w:val="24"/>
          <w:lang w:val="en-ZA"/>
        </w:rPr>
        <w:tab/>
      </w:r>
      <w:r w:rsidR="00C95A7D">
        <w:rPr>
          <w:rFonts w:eastAsia="Calibri" w:cs="Arial"/>
          <w:szCs w:val="24"/>
          <w:lang w:val="en-ZA"/>
        </w:rPr>
        <w:t xml:space="preserve"> </w:t>
      </w:r>
      <w:r w:rsidR="00BC5539">
        <w:rPr>
          <w:rFonts w:eastAsia="Calibri" w:cs="Arial"/>
          <w:szCs w:val="24"/>
          <w:lang w:val="en-ZA"/>
        </w:rPr>
        <w:t>Defendant</w:t>
      </w:r>
    </w:p>
    <w:p w:rsidR="007B7F59" w:rsidRPr="007B7F59" w:rsidRDefault="007B7F59" w:rsidP="007B7F59">
      <w:pPr>
        <w:tabs>
          <w:tab w:val="right" w:pos="9029"/>
        </w:tabs>
        <w:spacing w:after="0" w:line="240" w:lineRule="auto"/>
        <w:ind w:left="0"/>
        <w:contextualSpacing/>
        <w:rPr>
          <w:rFonts w:cs="Arial"/>
          <w:b/>
          <w:szCs w:val="24"/>
        </w:rPr>
      </w:pPr>
    </w:p>
    <w:p w:rsidR="00E866B6" w:rsidRPr="003648EB" w:rsidRDefault="00E866B6" w:rsidP="00E866B6">
      <w:pPr>
        <w:spacing w:after="160" w:line="276" w:lineRule="auto"/>
        <w:ind w:left="0"/>
        <w:rPr>
          <w:rFonts w:eastAsia="Segoe UI" w:cs="Arial"/>
          <w:color w:val="323130"/>
          <w:kern w:val="2"/>
          <w:szCs w:val="24"/>
          <w:lang w:val="en-ZA"/>
          <w14:ligatures w14:val="standardContextual"/>
        </w:rPr>
      </w:pPr>
      <w:r w:rsidRPr="003648EB">
        <w:rPr>
          <w:rFonts w:eastAsia="Segoe UI" w:cs="Arial"/>
          <w:color w:val="323130"/>
          <w:kern w:val="2"/>
          <w:szCs w:val="24"/>
          <w:lang w:val="en-US"/>
          <w14:ligatures w14:val="standardContextual"/>
        </w:rPr>
        <w:t xml:space="preserve">This judgment is handed down electronically by circulation to the </w:t>
      </w:r>
      <w:r w:rsidR="005441D6">
        <w:rPr>
          <w:rFonts w:eastAsia="Segoe UI" w:cs="Arial"/>
          <w:color w:val="323130"/>
          <w:kern w:val="2"/>
          <w:szCs w:val="24"/>
          <w:lang w:val="en-US"/>
          <w14:ligatures w14:val="standardContextual"/>
        </w:rPr>
        <w:t>plaintiff</w:t>
      </w:r>
      <w:r w:rsidRPr="003648EB">
        <w:rPr>
          <w:rFonts w:eastAsia="Segoe UI" w:cs="Arial"/>
          <w:color w:val="323130"/>
          <w:kern w:val="2"/>
          <w:szCs w:val="24"/>
          <w:lang w:val="en-US"/>
          <w14:ligatures w14:val="standardContextual"/>
        </w:rPr>
        <w:t xml:space="preserve"> and the </w:t>
      </w:r>
      <w:r w:rsidR="005441D6">
        <w:rPr>
          <w:rFonts w:eastAsia="Segoe UI" w:cs="Arial"/>
          <w:color w:val="323130"/>
          <w:kern w:val="2"/>
          <w:szCs w:val="24"/>
          <w:lang w:val="en-US"/>
          <w14:ligatures w14:val="standardContextual"/>
        </w:rPr>
        <w:t>defendant</w:t>
      </w:r>
      <w:r w:rsidRPr="003648EB">
        <w:rPr>
          <w:rFonts w:eastAsia="Segoe UI" w:cs="Arial"/>
          <w:color w:val="323130"/>
          <w:kern w:val="2"/>
          <w:szCs w:val="24"/>
          <w:lang w:val="en-US"/>
          <w14:ligatures w14:val="standardContextual"/>
        </w:rPr>
        <w:t>’ Legal Representatives by e-mail, publication on Case Lines and release to SAFLII. The date of the handing down is deemed to be 2</w:t>
      </w:r>
      <w:r w:rsidR="00B639E1">
        <w:rPr>
          <w:rFonts w:eastAsia="Segoe UI" w:cs="Arial"/>
          <w:color w:val="323130"/>
          <w:kern w:val="2"/>
          <w:szCs w:val="24"/>
          <w:lang w:val="en-US"/>
          <w14:ligatures w14:val="standardContextual"/>
        </w:rPr>
        <w:t>6</w:t>
      </w:r>
      <w:r w:rsidRPr="003648EB">
        <w:rPr>
          <w:rFonts w:eastAsia="Segoe UI" w:cs="Arial"/>
          <w:color w:val="323130"/>
          <w:kern w:val="2"/>
          <w:szCs w:val="24"/>
          <w:lang w:val="en-US"/>
          <w14:ligatures w14:val="standardContextual"/>
        </w:rPr>
        <w:t>th of January 2024</w:t>
      </w:r>
      <w:r>
        <w:rPr>
          <w:rFonts w:eastAsia="Segoe UI" w:cs="Arial"/>
          <w:color w:val="323130"/>
          <w:kern w:val="2"/>
          <w:szCs w:val="24"/>
          <w:lang w:val="en-US"/>
          <w14:ligatures w14:val="standardContextual"/>
        </w:rPr>
        <w:t>.</w:t>
      </w:r>
    </w:p>
    <w:p w:rsidR="007B7F59" w:rsidRPr="007B7F59" w:rsidRDefault="007B7F59" w:rsidP="007B7F59">
      <w:pPr>
        <w:pBdr>
          <w:bottom w:val="single" w:sz="12" w:space="1" w:color="auto"/>
        </w:pBdr>
        <w:spacing w:after="0" w:line="240" w:lineRule="auto"/>
        <w:ind w:left="0"/>
        <w:jc w:val="left"/>
        <w:rPr>
          <w:rFonts w:cs="Arial"/>
          <w:b/>
          <w:szCs w:val="24"/>
          <w:lang w:val="en-ZA"/>
        </w:rPr>
      </w:pPr>
    </w:p>
    <w:p w:rsidR="007B7F59" w:rsidRPr="007B7F59" w:rsidRDefault="007B7F59" w:rsidP="007B7F59">
      <w:pPr>
        <w:spacing w:after="0" w:line="240" w:lineRule="auto"/>
        <w:ind w:left="1440" w:hanging="1440"/>
        <w:jc w:val="left"/>
        <w:rPr>
          <w:rFonts w:cs="Arial"/>
          <w:b/>
          <w:szCs w:val="24"/>
        </w:rPr>
      </w:pPr>
    </w:p>
    <w:p w:rsidR="007B7F59" w:rsidRPr="00CC5A96" w:rsidRDefault="004A1440" w:rsidP="00CC5A96">
      <w:pPr>
        <w:pBdr>
          <w:bottom w:val="single" w:sz="12" w:space="1" w:color="auto"/>
        </w:pBdr>
        <w:spacing w:line="480" w:lineRule="auto"/>
        <w:ind w:left="0"/>
        <w:jc w:val="center"/>
        <w:rPr>
          <w:rFonts w:cs="Arial"/>
          <w:b/>
          <w:szCs w:val="24"/>
          <w:lang w:val="en-ZA"/>
        </w:rPr>
      </w:pPr>
      <w:r>
        <w:rPr>
          <w:rFonts w:cs="Arial"/>
          <w:b/>
          <w:szCs w:val="24"/>
          <w:lang w:val="en-ZA"/>
        </w:rPr>
        <w:t>JUDGMENT</w:t>
      </w:r>
    </w:p>
    <w:p w:rsidR="007B7F59" w:rsidRDefault="00181958" w:rsidP="007B7F59">
      <w:pPr>
        <w:spacing w:after="0" w:line="240" w:lineRule="auto"/>
        <w:ind w:left="0"/>
        <w:jc w:val="left"/>
        <w:rPr>
          <w:rFonts w:cs="Arial"/>
          <w:b/>
          <w:szCs w:val="24"/>
        </w:rPr>
      </w:pPr>
      <w:r w:rsidRPr="00181958">
        <w:rPr>
          <w:rFonts w:cs="Arial"/>
          <w:b/>
          <w:szCs w:val="24"/>
        </w:rPr>
        <w:t>BOTSI-THULARE AJ</w:t>
      </w:r>
      <w:r>
        <w:rPr>
          <w:rFonts w:cs="Arial"/>
          <w:b/>
          <w:szCs w:val="24"/>
        </w:rPr>
        <w:t>:</w:t>
      </w:r>
    </w:p>
    <w:p w:rsidR="00494E2F" w:rsidRDefault="00494E2F" w:rsidP="00494E2F">
      <w:pPr>
        <w:pStyle w:val="JudgmentNumbered"/>
        <w:numPr>
          <w:ilvl w:val="0"/>
          <w:numId w:val="0"/>
        </w:numPr>
        <w:ind w:left="567" w:hanging="567"/>
      </w:pPr>
    </w:p>
    <w:p w:rsidR="00494E2F" w:rsidRPr="00494E2F" w:rsidRDefault="00494E2F" w:rsidP="00494E2F">
      <w:pPr>
        <w:pStyle w:val="JudgmentNumbered"/>
        <w:numPr>
          <w:ilvl w:val="0"/>
          <w:numId w:val="0"/>
        </w:numPr>
        <w:ind w:left="567" w:hanging="567"/>
      </w:pPr>
    </w:p>
    <w:p w:rsidR="00794DCB" w:rsidRDefault="00CC5A96" w:rsidP="00181958">
      <w:pPr>
        <w:pStyle w:val="JudgmentHeading"/>
        <w:spacing w:before="240" w:after="0"/>
      </w:pPr>
      <w:r>
        <w:t>Introduction</w:t>
      </w:r>
    </w:p>
    <w:p w:rsidR="00F07BA7" w:rsidRPr="0098259B" w:rsidRDefault="0004536C" w:rsidP="0004536C">
      <w:pPr>
        <w:pStyle w:val="JudgmentNumbered"/>
        <w:numPr>
          <w:ilvl w:val="0"/>
          <w:numId w:val="0"/>
        </w:numPr>
        <w:spacing w:before="240" w:after="0"/>
        <w:ind w:left="567" w:hanging="567"/>
        <w:rPr>
          <w:lang w:val="en-ZA"/>
        </w:rPr>
      </w:pPr>
      <w:r w:rsidRPr="0098259B">
        <w:rPr>
          <w:lang w:val="en-ZA"/>
        </w:rPr>
        <w:t>[1]</w:t>
      </w:r>
      <w:r w:rsidRPr="0098259B">
        <w:rPr>
          <w:lang w:val="en-ZA"/>
        </w:rPr>
        <w:tab/>
      </w:r>
      <w:r w:rsidR="00C9164E" w:rsidRPr="0098259B">
        <w:rPr>
          <w:lang w:val="en-ZA"/>
        </w:rPr>
        <w:t xml:space="preserve">The </w:t>
      </w:r>
      <w:r w:rsidR="00F07BA7" w:rsidRPr="0098259B">
        <w:rPr>
          <w:lang w:val="en-ZA"/>
        </w:rPr>
        <w:t>p</w:t>
      </w:r>
      <w:r w:rsidR="00C9164E" w:rsidRPr="0098259B">
        <w:rPr>
          <w:lang w:val="en-ZA"/>
        </w:rPr>
        <w:t xml:space="preserve">laintiff </w:t>
      </w:r>
      <w:r w:rsidR="009D3D1D" w:rsidRPr="0098259B">
        <w:rPr>
          <w:lang w:val="en-ZA"/>
        </w:rPr>
        <w:t xml:space="preserve">is </w:t>
      </w:r>
      <w:r w:rsidR="00C9164E" w:rsidRPr="0098259B">
        <w:rPr>
          <w:lang w:val="en-ZA"/>
        </w:rPr>
        <w:t>su</w:t>
      </w:r>
      <w:r w:rsidR="009D3D1D" w:rsidRPr="0098259B">
        <w:rPr>
          <w:lang w:val="en-ZA"/>
        </w:rPr>
        <w:t xml:space="preserve">ing </w:t>
      </w:r>
      <w:r w:rsidR="00C9164E" w:rsidRPr="0098259B">
        <w:rPr>
          <w:lang w:val="en-ZA"/>
        </w:rPr>
        <w:t xml:space="preserve">in her personal and representative capacity, as the mother and natural guardian of her minor child, </w:t>
      </w:r>
      <w:r w:rsidR="00F07BA7" w:rsidRPr="0098259B">
        <w:rPr>
          <w:lang w:val="en-ZA"/>
        </w:rPr>
        <w:t>Z</w:t>
      </w:r>
      <w:r w:rsidR="000B554C">
        <w:rPr>
          <w:lang w:val="en-ZA"/>
        </w:rPr>
        <w:t>[…]</w:t>
      </w:r>
      <w:r w:rsidR="00C9164E" w:rsidRPr="0098259B">
        <w:rPr>
          <w:lang w:val="en-ZA"/>
        </w:rPr>
        <w:t xml:space="preserve"> (the child), who was born on </w:t>
      </w:r>
      <w:r w:rsidR="000B554C">
        <w:rPr>
          <w:lang w:val="en-ZA"/>
        </w:rPr>
        <w:t>[…]</w:t>
      </w:r>
      <w:bookmarkStart w:id="1" w:name="_GoBack"/>
      <w:bookmarkEnd w:id="1"/>
      <w:r w:rsidR="00C9164E" w:rsidRPr="0098259B">
        <w:rPr>
          <w:lang w:val="en-ZA"/>
        </w:rPr>
        <w:t xml:space="preserve"> 2012 at the Natalspruit</w:t>
      </w:r>
      <w:r w:rsidR="00F07BA7" w:rsidRPr="0098259B">
        <w:rPr>
          <w:lang w:val="en-ZA"/>
        </w:rPr>
        <w:t>. Therefore, the matter comes before this court in relation to the determination of the defendant’s liability</w:t>
      </w:r>
      <w:r w:rsidR="00C10A48" w:rsidRPr="0098259B">
        <w:rPr>
          <w:lang w:val="en-ZA"/>
        </w:rPr>
        <w:t xml:space="preserve"> in so far as it relates</w:t>
      </w:r>
      <w:r w:rsidR="00F07BA7" w:rsidRPr="0098259B">
        <w:rPr>
          <w:lang w:val="en-ZA"/>
        </w:rPr>
        <w:t xml:space="preserve"> to the damages suffered by the plaintiff in her personal capacity as well as in her representative capacity on behalf of her child.</w:t>
      </w:r>
    </w:p>
    <w:p w:rsidR="009D3D1D" w:rsidRPr="0098259B" w:rsidRDefault="009D3D1D" w:rsidP="009D3D1D">
      <w:pPr>
        <w:pStyle w:val="JudgmentNumbered"/>
        <w:numPr>
          <w:ilvl w:val="0"/>
          <w:numId w:val="0"/>
        </w:numPr>
        <w:spacing w:after="0"/>
        <w:ind w:left="567"/>
        <w:rPr>
          <w:lang w:val="en-ZA"/>
        </w:rPr>
      </w:pPr>
    </w:p>
    <w:p w:rsidR="0069342D" w:rsidRPr="0098259B" w:rsidRDefault="0004536C" w:rsidP="0004536C">
      <w:pPr>
        <w:pStyle w:val="JudgmentNumbered"/>
        <w:numPr>
          <w:ilvl w:val="0"/>
          <w:numId w:val="0"/>
        </w:numPr>
        <w:spacing w:after="0"/>
        <w:ind w:left="567" w:hanging="567"/>
      </w:pPr>
      <w:r w:rsidRPr="0098259B">
        <w:t>[2]</w:t>
      </w:r>
      <w:r w:rsidRPr="0098259B">
        <w:tab/>
      </w:r>
      <w:r w:rsidR="0069342D" w:rsidRPr="0098259B">
        <w:t xml:space="preserve">The plaintiff in her personal capacity as well as </w:t>
      </w:r>
      <w:r w:rsidR="009D3D1D" w:rsidRPr="0098259B">
        <w:t xml:space="preserve">the </w:t>
      </w:r>
      <w:r w:rsidR="0069342D" w:rsidRPr="0098259B">
        <w:t>mother and natural guardian of her minor daughter, who is presently 11 years old</w:t>
      </w:r>
      <w:r w:rsidR="009D3D1D" w:rsidRPr="0098259B">
        <w:t>,</w:t>
      </w:r>
      <w:r w:rsidR="0069342D" w:rsidRPr="0098259B">
        <w:t xml:space="preserve"> institute</w:t>
      </w:r>
      <w:r w:rsidR="00C10A48" w:rsidRPr="0098259B">
        <w:t>d</w:t>
      </w:r>
      <w:r w:rsidR="0069342D" w:rsidRPr="0098259B">
        <w:t xml:space="preserve"> these proceedings against the defendant. The </w:t>
      </w:r>
      <w:bookmarkStart w:id="2" w:name="_Hlk149724693"/>
      <w:r w:rsidR="0069342D" w:rsidRPr="0098259B">
        <w:t xml:space="preserve">Natalspruit Hospital </w:t>
      </w:r>
      <w:bookmarkEnd w:id="2"/>
      <w:r w:rsidR="0069342D" w:rsidRPr="0098259B">
        <w:t>falls under the auspices of the defendant, who in law is responsible for any injury caused by the negligence of the staff</w:t>
      </w:r>
      <w:r w:rsidR="009D3D1D" w:rsidRPr="0098259B">
        <w:t>.</w:t>
      </w:r>
      <w:r w:rsidR="0069342D" w:rsidRPr="0098259B">
        <w:t xml:space="preserve"> The plaintiff alleges the staff had been negligent during the birth of her child and that this negligence caused the hypoxic ischemic injury (‘HIE’) and its sequelae.</w:t>
      </w:r>
      <w:r w:rsidR="009D3D1D" w:rsidRPr="0098259B">
        <w:t xml:space="preserve"> She</w:t>
      </w:r>
      <w:r w:rsidR="0069342D" w:rsidRPr="0098259B">
        <w:t xml:space="preserve"> </w:t>
      </w:r>
      <w:r w:rsidR="009D3D1D" w:rsidRPr="0098259B">
        <w:rPr>
          <w:lang w:val="en-ZA"/>
        </w:rPr>
        <w:t>alleges that her child suffered a hypoxic ischaemic injury due to perinatal asphyxia or hypoxia, resulting in her child being born with severe brain damage CP1 caused during the labour and birthing process due to the treatment and management administered by the medical professionals at the Natalspruit hospital on 15 September 2012.</w:t>
      </w:r>
      <w:r w:rsidR="0069342D" w:rsidRPr="0098259B">
        <w:t xml:space="preserve">As a result, she claims damages on her own behalf and on behalf of her daughter. </w:t>
      </w:r>
    </w:p>
    <w:p w:rsidR="00C9164E" w:rsidRPr="0098259B" w:rsidRDefault="00C9164E" w:rsidP="003239F2">
      <w:pPr>
        <w:pStyle w:val="JudgmentNumbered"/>
        <w:numPr>
          <w:ilvl w:val="0"/>
          <w:numId w:val="0"/>
        </w:numPr>
        <w:rPr>
          <w:lang w:val="en-ZA"/>
        </w:rPr>
      </w:pPr>
    </w:p>
    <w:p w:rsidR="003239F2" w:rsidRPr="00181958" w:rsidRDefault="0004536C" w:rsidP="0004536C">
      <w:pPr>
        <w:pStyle w:val="JudgmentNumbered"/>
        <w:numPr>
          <w:ilvl w:val="0"/>
          <w:numId w:val="0"/>
        </w:numPr>
        <w:ind w:left="567" w:hanging="567"/>
      </w:pPr>
      <w:r w:rsidRPr="00181958">
        <w:t>[3]</w:t>
      </w:r>
      <w:r w:rsidRPr="00181958">
        <w:tab/>
      </w:r>
      <w:r w:rsidR="0069342D" w:rsidRPr="0098259B">
        <w:t xml:space="preserve">The plaintiff claims on behalf of herself </w:t>
      </w:r>
      <w:r w:rsidR="003239F2" w:rsidRPr="0098259B">
        <w:t xml:space="preserve">for </w:t>
      </w:r>
      <w:r w:rsidR="0069342D" w:rsidRPr="0098259B">
        <w:t>past</w:t>
      </w:r>
      <w:r w:rsidR="0098259B" w:rsidRPr="0098259B">
        <w:t xml:space="preserve"> medical </w:t>
      </w:r>
      <w:r w:rsidR="0069342D" w:rsidRPr="0098259B">
        <w:t xml:space="preserve">and hospital expenses </w:t>
      </w:r>
      <w:r w:rsidR="003239F2" w:rsidRPr="0098259B">
        <w:t xml:space="preserve">in the amount of </w:t>
      </w:r>
      <w:r w:rsidR="0069342D" w:rsidRPr="0098259B">
        <w:t>R5 000.00</w:t>
      </w:r>
      <w:r w:rsidR="003239F2" w:rsidRPr="0098259B">
        <w:t xml:space="preserve">, </w:t>
      </w:r>
      <w:r w:rsidR="0069342D" w:rsidRPr="0098259B">
        <w:t xml:space="preserve">and </w:t>
      </w:r>
      <w:r w:rsidR="003239F2" w:rsidRPr="0098259B">
        <w:t xml:space="preserve">on </w:t>
      </w:r>
      <w:r w:rsidR="0069342D" w:rsidRPr="0098259B">
        <w:t xml:space="preserve">behalf of the minor </w:t>
      </w:r>
      <w:r w:rsidR="0069342D" w:rsidRPr="00181958">
        <w:t>child </w:t>
      </w:r>
      <w:r w:rsidR="0098259B" w:rsidRPr="00181958">
        <w:t>the following</w:t>
      </w:r>
      <w:r w:rsidR="00F73E03" w:rsidRPr="00F73E03">
        <w:t xml:space="preserve"> —</w:t>
      </w:r>
    </w:p>
    <w:p w:rsidR="003239F2" w:rsidRPr="0098259B" w:rsidRDefault="0069342D" w:rsidP="003239F2">
      <w:pPr>
        <w:pStyle w:val="JudgmentNumbered"/>
        <w:numPr>
          <w:ilvl w:val="0"/>
          <w:numId w:val="0"/>
        </w:numPr>
        <w:ind w:left="567"/>
      </w:pPr>
      <w:r w:rsidRPr="0098259B">
        <w:t>(1) future hospital, medical and related expenses (R18 770 000.00);</w:t>
      </w:r>
    </w:p>
    <w:p w:rsidR="003239F2" w:rsidRPr="0098259B" w:rsidRDefault="0069342D" w:rsidP="003239F2">
      <w:pPr>
        <w:pStyle w:val="JudgmentNumbered"/>
        <w:numPr>
          <w:ilvl w:val="0"/>
          <w:numId w:val="0"/>
        </w:numPr>
        <w:ind w:left="567"/>
      </w:pPr>
      <w:r w:rsidRPr="0098259B">
        <w:t xml:space="preserve"> (2) future loss of earnings/loss of earning capacity (R3 000.00.00); </w:t>
      </w:r>
    </w:p>
    <w:p w:rsidR="003239F2" w:rsidRPr="0098259B" w:rsidRDefault="0069342D" w:rsidP="003239F2">
      <w:pPr>
        <w:pStyle w:val="JudgmentNumbered"/>
        <w:numPr>
          <w:ilvl w:val="0"/>
          <w:numId w:val="0"/>
        </w:numPr>
        <w:ind w:left="567"/>
      </w:pPr>
      <w:r w:rsidRPr="0098259B">
        <w:t xml:space="preserve">(3) general damages for pain and suffering/loss of amenities of life, disability and disfigurement (R3 512 375.00); and </w:t>
      </w:r>
    </w:p>
    <w:p w:rsidR="0069342D" w:rsidRPr="0098259B" w:rsidRDefault="0069342D" w:rsidP="003239F2">
      <w:pPr>
        <w:pStyle w:val="JudgmentNumbered"/>
        <w:numPr>
          <w:ilvl w:val="0"/>
          <w:numId w:val="0"/>
        </w:numPr>
        <w:spacing w:after="0"/>
        <w:ind w:left="567"/>
      </w:pPr>
      <w:r w:rsidRPr="0098259B">
        <w:lastRenderedPageBreak/>
        <w:t xml:space="preserve">(4) costs of a trustee (R1 896 553.13). </w:t>
      </w:r>
    </w:p>
    <w:p w:rsidR="003239F2" w:rsidRPr="0098259B" w:rsidRDefault="003239F2" w:rsidP="003239F2">
      <w:pPr>
        <w:pStyle w:val="JudgmentNumbered"/>
        <w:numPr>
          <w:ilvl w:val="0"/>
          <w:numId w:val="0"/>
        </w:numPr>
        <w:spacing w:after="0"/>
        <w:ind w:left="567"/>
      </w:pPr>
    </w:p>
    <w:p w:rsidR="00B31898" w:rsidRDefault="00B31898" w:rsidP="00181958">
      <w:pPr>
        <w:pStyle w:val="JudgmentNumbered"/>
        <w:numPr>
          <w:ilvl w:val="0"/>
          <w:numId w:val="0"/>
        </w:numPr>
        <w:spacing w:before="240" w:after="0"/>
        <w:rPr>
          <w:i/>
          <w:iCs/>
        </w:rPr>
      </w:pPr>
    </w:p>
    <w:p w:rsidR="00F07BA7" w:rsidRPr="0098259B" w:rsidRDefault="00F07BA7" w:rsidP="00181958">
      <w:pPr>
        <w:pStyle w:val="JudgmentNumbered"/>
        <w:numPr>
          <w:ilvl w:val="0"/>
          <w:numId w:val="0"/>
        </w:numPr>
        <w:spacing w:before="240" w:after="0"/>
        <w:rPr>
          <w:i/>
          <w:iCs/>
        </w:rPr>
      </w:pPr>
      <w:r w:rsidRPr="0098259B">
        <w:rPr>
          <w:i/>
          <w:iCs/>
        </w:rPr>
        <w:t>Factual background</w:t>
      </w:r>
    </w:p>
    <w:p w:rsidR="00C9164E" w:rsidRPr="0098259B" w:rsidRDefault="0004536C" w:rsidP="0004536C">
      <w:pPr>
        <w:pStyle w:val="JudgmentNumbered"/>
        <w:numPr>
          <w:ilvl w:val="0"/>
          <w:numId w:val="0"/>
        </w:numPr>
        <w:spacing w:before="240" w:after="0"/>
        <w:ind w:left="567" w:hanging="567"/>
      </w:pPr>
      <w:r w:rsidRPr="0098259B">
        <w:t>[4]</w:t>
      </w:r>
      <w:r w:rsidRPr="0098259B">
        <w:tab/>
      </w:r>
      <w:r w:rsidR="00797376" w:rsidRPr="0098259B">
        <w:t xml:space="preserve">On 1 September 2012, the plaintiff presented herself </w:t>
      </w:r>
      <w:r w:rsidR="00F53676" w:rsidRPr="0098259B">
        <w:t xml:space="preserve">at the </w:t>
      </w:r>
      <w:r w:rsidR="00141470" w:rsidRPr="0098259B">
        <w:t xml:space="preserve">Khumalo </w:t>
      </w:r>
      <w:r w:rsidR="00F07BA7" w:rsidRPr="0098259B">
        <w:t>C</w:t>
      </w:r>
      <w:r w:rsidR="00F53676" w:rsidRPr="0098259B">
        <w:t>linic complaining of lower abdominal pain</w:t>
      </w:r>
      <w:r w:rsidR="00C9164E" w:rsidRPr="0098259B">
        <w:t>. H</w:t>
      </w:r>
      <w:r w:rsidR="00F53676" w:rsidRPr="0098259B">
        <w:t>er CTG was reactive</w:t>
      </w:r>
      <w:r w:rsidR="00C9164E" w:rsidRPr="0098259B">
        <w:t>. S</w:t>
      </w:r>
      <w:r w:rsidR="00141470" w:rsidRPr="0098259B">
        <w:t xml:space="preserve">he </w:t>
      </w:r>
      <w:r w:rsidR="00F53676" w:rsidRPr="0098259B">
        <w:t xml:space="preserve">was then admitted for review. The following day, she was re-assessed by the nursing staff and her BP was noted as 106/64; P72 FHR 132B/PM; CTG reactive; cervix not dilating. She was then discharged. </w:t>
      </w:r>
    </w:p>
    <w:p w:rsidR="00224997" w:rsidRPr="0098259B" w:rsidRDefault="00224997" w:rsidP="00224997">
      <w:pPr>
        <w:pStyle w:val="JudgmentNumbered"/>
        <w:numPr>
          <w:ilvl w:val="0"/>
          <w:numId w:val="0"/>
        </w:numPr>
        <w:spacing w:after="0"/>
        <w:ind w:left="567"/>
      </w:pPr>
    </w:p>
    <w:p w:rsidR="002C2A2E" w:rsidRPr="0098259B" w:rsidRDefault="0004536C" w:rsidP="0004536C">
      <w:pPr>
        <w:pStyle w:val="JudgmentNumbered"/>
        <w:numPr>
          <w:ilvl w:val="0"/>
          <w:numId w:val="0"/>
        </w:numPr>
        <w:spacing w:after="0"/>
        <w:ind w:left="567" w:hanging="567"/>
      </w:pPr>
      <w:r w:rsidRPr="0098259B">
        <w:t>[5]</w:t>
      </w:r>
      <w:r w:rsidRPr="0098259B">
        <w:tab/>
      </w:r>
      <w:r w:rsidR="000F0BE9" w:rsidRPr="0098259B">
        <w:t>On 03 September 2012, t</w:t>
      </w:r>
      <w:r w:rsidR="000A7CE4" w:rsidRPr="0098259B">
        <w:t>he plaintiff presented herself</w:t>
      </w:r>
      <w:r w:rsidR="000F0BE9" w:rsidRPr="0098259B">
        <w:t xml:space="preserve"> at </w:t>
      </w:r>
      <w:r w:rsidR="004C42E7" w:rsidRPr="0098259B">
        <w:t>the</w:t>
      </w:r>
      <w:r w:rsidR="000F0BE9" w:rsidRPr="0098259B">
        <w:t xml:space="preserve"> Ramokonopi Clinic </w:t>
      </w:r>
      <w:r w:rsidR="00FA70B0" w:rsidRPr="0098259B">
        <w:t xml:space="preserve">complaining of abdominal pain and </w:t>
      </w:r>
      <w:r w:rsidR="001B17A0" w:rsidRPr="0098259B">
        <w:t xml:space="preserve">vaginal </w:t>
      </w:r>
      <w:r w:rsidR="009F7FC2" w:rsidRPr="0098259B">
        <w:t>bleeding and</w:t>
      </w:r>
      <w:r w:rsidR="00FA70B0" w:rsidRPr="0098259B">
        <w:t xml:space="preserve"> </w:t>
      </w:r>
      <w:r w:rsidR="004C42E7" w:rsidRPr="0098259B">
        <w:t>was</w:t>
      </w:r>
      <w:r w:rsidR="00FA70B0" w:rsidRPr="0098259B">
        <w:t xml:space="preserve"> transferred to the hospital. </w:t>
      </w:r>
      <w:r w:rsidR="00601101" w:rsidRPr="0098259B">
        <w:t xml:space="preserve">On 15 September </w:t>
      </w:r>
      <w:r w:rsidR="00141470" w:rsidRPr="0098259B">
        <w:t xml:space="preserve">she was examined by a doctor </w:t>
      </w:r>
      <w:r w:rsidR="00601101" w:rsidRPr="0098259B">
        <w:t xml:space="preserve">at the hospital who observed that she was passing blood clots vaginally and her cervix was 8 cm dilated and fully effaced, with strong contractions. </w:t>
      </w:r>
      <w:r w:rsidR="0026761E" w:rsidRPr="0098259B">
        <w:t xml:space="preserve">Five units of oxytocin were </w:t>
      </w:r>
      <w:r w:rsidR="00EC695B" w:rsidRPr="0098259B">
        <w:t>administered,</w:t>
      </w:r>
      <w:r w:rsidR="0026761E" w:rsidRPr="0098259B">
        <w:t xml:space="preserve"> and the plaintiff</w:t>
      </w:r>
      <w:r w:rsidR="00F37AAE" w:rsidRPr="0098259B">
        <w:t xml:space="preserve"> delivered an alive female infant with respiratory distress. </w:t>
      </w:r>
      <w:r w:rsidR="002C2A2E" w:rsidRPr="0098259B">
        <w:t xml:space="preserve">The </w:t>
      </w:r>
      <w:r w:rsidR="0069342D" w:rsidRPr="0098259B">
        <w:t xml:space="preserve">child </w:t>
      </w:r>
      <w:r w:rsidR="002C2A2E" w:rsidRPr="0098259B">
        <w:t>was admitted in</w:t>
      </w:r>
      <w:r w:rsidR="00C9164E" w:rsidRPr="0098259B">
        <w:t>to</w:t>
      </w:r>
      <w:r w:rsidR="002C2A2E" w:rsidRPr="0098259B">
        <w:t xml:space="preserve"> the neonatal ICU with birth asphyxia and respiratory distress syndrome. </w:t>
      </w:r>
    </w:p>
    <w:p w:rsidR="00224997" w:rsidRPr="0098259B" w:rsidRDefault="00224997" w:rsidP="00224997">
      <w:pPr>
        <w:pStyle w:val="JudgmentNumbered"/>
        <w:numPr>
          <w:ilvl w:val="0"/>
          <w:numId w:val="0"/>
        </w:numPr>
        <w:spacing w:after="0"/>
      </w:pPr>
    </w:p>
    <w:p w:rsidR="0069342D" w:rsidRPr="0098259B" w:rsidRDefault="0004536C" w:rsidP="0004536C">
      <w:pPr>
        <w:pStyle w:val="JudgmentNumbered"/>
        <w:numPr>
          <w:ilvl w:val="0"/>
          <w:numId w:val="0"/>
        </w:numPr>
        <w:spacing w:after="0"/>
        <w:ind w:left="567" w:hanging="567"/>
      </w:pPr>
      <w:r w:rsidRPr="0098259B">
        <w:t>[6]</w:t>
      </w:r>
      <w:r w:rsidRPr="0098259B">
        <w:tab/>
      </w:r>
      <w:r w:rsidR="00A65DC2" w:rsidRPr="0098259B">
        <w:t xml:space="preserve">The </w:t>
      </w:r>
      <w:r w:rsidR="007302BB" w:rsidRPr="0098259B">
        <w:t>plaintiff alleges that the nursing and medical staff at the hospital were negligent in that they failed to attend to the vaginal bleeding during labour for approximately 9 hours</w:t>
      </w:r>
      <w:r w:rsidR="0069342D" w:rsidRPr="0098259B">
        <w:t>. Further,</w:t>
      </w:r>
      <w:r w:rsidR="007302BB" w:rsidRPr="0098259B">
        <w:t xml:space="preserve"> they </w:t>
      </w:r>
      <w:r w:rsidR="005523CF" w:rsidRPr="0098259B">
        <w:t xml:space="preserve">failed to timeously </w:t>
      </w:r>
      <w:r w:rsidR="007302BB" w:rsidRPr="0098259B">
        <w:t>diagnos</w:t>
      </w:r>
      <w:r w:rsidR="005523CF" w:rsidRPr="0098259B">
        <w:t>e</w:t>
      </w:r>
      <w:r w:rsidR="007302BB" w:rsidRPr="0098259B">
        <w:t xml:space="preserve"> the abruptio placentae; the</w:t>
      </w:r>
      <w:r w:rsidR="003239F2" w:rsidRPr="0098259B">
        <w:t xml:space="preserve">y had the </w:t>
      </w:r>
      <w:r w:rsidR="007302BB" w:rsidRPr="0098259B">
        <w:t>plaintiff in prolonged active labour</w:t>
      </w:r>
      <w:r w:rsidR="00127FB4" w:rsidRPr="0098259B">
        <w:t>; administered oxytocin to the plaintiff despite having good and strong contractions</w:t>
      </w:r>
      <w:r w:rsidR="004763C4" w:rsidRPr="0098259B">
        <w:t xml:space="preserve">; and failed to perform a caesarean section. </w:t>
      </w:r>
      <w:r w:rsidR="00D84772" w:rsidRPr="0098259B">
        <w:t xml:space="preserve">This resulted, so the plaintiff contends, in the foetus suffering from a HIE incident causing her to sustain severe brain damage and as a result, suffers from cerebral palsy and epilepsy. </w:t>
      </w:r>
    </w:p>
    <w:p w:rsidR="00F613DB" w:rsidRPr="0098259B" w:rsidRDefault="00F613DB" w:rsidP="00F613DB">
      <w:pPr>
        <w:pStyle w:val="JudgmentNumbered"/>
        <w:numPr>
          <w:ilvl w:val="0"/>
          <w:numId w:val="0"/>
        </w:numPr>
        <w:spacing w:after="0"/>
        <w:ind w:left="567"/>
      </w:pPr>
    </w:p>
    <w:p w:rsidR="0069342D" w:rsidRPr="0098259B" w:rsidRDefault="0069342D" w:rsidP="00181958">
      <w:pPr>
        <w:pStyle w:val="JudgmentNumbered"/>
        <w:numPr>
          <w:ilvl w:val="0"/>
          <w:numId w:val="0"/>
        </w:numPr>
        <w:spacing w:before="240" w:after="0"/>
        <w:rPr>
          <w:i/>
          <w:iCs/>
        </w:rPr>
      </w:pPr>
      <w:r w:rsidRPr="0098259B">
        <w:rPr>
          <w:i/>
          <w:iCs/>
        </w:rPr>
        <w:t>Issues</w:t>
      </w:r>
      <w:r w:rsidR="003239F2" w:rsidRPr="0098259B">
        <w:rPr>
          <w:i/>
          <w:iCs/>
        </w:rPr>
        <w:t xml:space="preserve"> for determination</w:t>
      </w:r>
    </w:p>
    <w:p w:rsidR="003239F2" w:rsidRPr="0098259B" w:rsidRDefault="0004536C" w:rsidP="0004536C">
      <w:pPr>
        <w:pStyle w:val="JudgmentNumbered"/>
        <w:numPr>
          <w:ilvl w:val="0"/>
          <w:numId w:val="0"/>
        </w:numPr>
        <w:spacing w:before="240" w:after="0"/>
        <w:ind w:left="567" w:hanging="567"/>
        <w:rPr>
          <w:lang w:val="en-ZA"/>
        </w:rPr>
      </w:pPr>
      <w:r w:rsidRPr="0098259B">
        <w:rPr>
          <w:lang w:val="en-ZA"/>
        </w:rPr>
        <w:t>[7]</w:t>
      </w:r>
      <w:r w:rsidRPr="0098259B">
        <w:rPr>
          <w:lang w:val="en-ZA"/>
        </w:rPr>
        <w:tab/>
      </w:r>
      <w:r w:rsidR="0069342D" w:rsidRPr="0098259B">
        <w:t>There are</w:t>
      </w:r>
      <w:r w:rsidR="00AE3C43" w:rsidRPr="0098259B">
        <w:t xml:space="preserve"> </w:t>
      </w:r>
      <w:r w:rsidR="00BF5703">
        <w:t>two</w:t>
      </w:r>
      <w:r w:rsidR="0069342D" w:rsidRPr="0098259B">
        <w:t xml:space="preserve"> issues for determination before this court</w:t>
      </w:r>
      <w:r w:rsidR="00BF5703">
        <w:t>.</w:t>
      </w:r>
      <w:r w:rsidR="00181958">
        <w:t xml:space="preserve"> They are </w:t>
      </w:r>
      <w:r w:rsidR="00181958" w:rsidRPr="00181958">
        <w:rPr>
          <w:b/>
          <w:bCs/>
          <w:lang w:val="en-ZA"/>
        </w:rPr>
        <w:t>—</w:t>
      </w:r>
    </w:p>
    <w:p w:rsidR="00880CBF" w:rsidRPr="00880CBF" w:rsidRDefault="0004536C" w:rsidP="0004536C">
      <w:pPr>
        <w:pStyle w:val="JudgmentNumbered"/>
        <w:numPr>
          <w:ilvl w:val="0"/>
          <w:numId w:val="0"/>
        </w:numPr>
        <w:ind w:left="851" w:hanging="284"/>
        <w:rPr>
          <w:b/>
          <w:bCs/>
          <w:lang w:val="en-ZA"/>
        </w:rPr>
      </w:pPr>
      <w:r w:rsidRPr="00880CBF">
        <w:rPr>
          <w:lang w:val="en-ZA"/>
        </w:rPr>
        <w:lastRenderedPageBreak/>
        <w:t>a.</w:t>
      </w:r>
      <w:r w:rsidRPr="00880CBF">
        <w:rPr>
          <w:lang w:val="en-ZA"/>
        </w:rPr>
        <w:tab/>
      </w:r>
      <w:r w:rsidR="00181958">
        <w:rPr>
          <w:lang w:val="en-ZA"/>
        </w:rPr>
        <w:t>f</w:t>
      </w:r>
      <w:r w:rsidR="00880CBF">
        <w:rPr>
          <w:lang w:val="en-ZA"/>
        </w:rPr>
        <w:t>irst, w</w:t>
      </w:r>
      <w:r w:rsidR="00BF5703" w:rsidRPr="00BF5703">
        <w:rPr>
          <w:lang w:val="en-ZA"/>
        </w:rPr>
        <w:t>hether there was negligence on the part of the defendant’s employees</w:t>
      </w:r>
      <w:r w:rsidR="00181958">
        <w:rPr>
          <w:lang w:val="en-ZA"/>
        </w:rPr>
        <w:t>.</w:t>
      </w:r>
      <w:r w:rsidR="00880CBF">
        <w:rPr>
          <w:lang w:val="en-ZA"/>
        </w:rPr>
        <w:t xml:space="preserve"> In other words</w:t>
      </w:r>
      <w:r w:rsidR="00880CBF" w:rsidRPr="00880CBF">
        <w:rPr>
          <w:rFonts w:ascii="Helvetica Neue" w:eastAsia="Times New Roman" w:hAnsi="Helvetica Neue" w:cs="Times New Roman"/>
          <w:b/>
          <w:bCs/>
          <w:color w:val="252525"/>
          <w:kern w:val="36"/>
          <w:sz w:val="48"/>
          <w:szCs w:val="48"/>
          <w:lang w:val="en-ZA" w:eastAsia="en-ZA"/>
        </w:rPr>
        <w:t xml:space="preserve"> </w:t>
      </w:r>
      <w:bookmarkStart w:id="3" w:name="_Hlk157077637"/>
      <w:r w:rsidR="00880CBF" w:rsidRPr="00880CBF">
        <w:rPr>
          <w:b/>
          <w:bCs/>
          <w:lang w:val="en-ZA"/>
        </w:rPr>
        <w:t>—</w:t>
      </w:r>
      <w:bookmarkEnd w:id="3"/>
    </w:p>
    <w:p w:rsidR="00880CBF" w:rsidRDefault="0004536C" w:rsidP="0004536C">
      <w:pPr>
        <w:pStyle w:val="JudgmentNumbered"/>
        <w:numPr>
          <w:ilvl w:val="0"/>
          <w:numId w:val="0"/>
        </w:numPr>
        <w:spacing w:before="240" w:after="0"/>
        <w:ind w:left="2230" w:hanging="360"/>
        <w:rPr>
          <w:lang w:val="en-ZA"/>
        </w:rPr>
      </w:pPr>
      <w:r>
        <w:rPr>
          <w:lang w:val="en-ZA"/>
        </w:rPr>
        <w:t>i.</w:t>
      </w:r>
      <w:r>
        <w:rPr>
          <w:lang w:val="en-ZA"/>
        </w:rPr>
        <w:tab/>
      </w:r>
      <w:r w:rsidR="0069342D" w:rsidRPr="0098259B">
        <w:t xml:space="preserve">whether </w:t>
      </w:r>
      <w:r w:rsidR="0069342D" w:rsidRPr="00880CBF">
        <w:rPr>
          <w:lang w:val="en-ZA"/>
        </w:rPr>
        <w:t xml:space="preserve">the injury suffered by the </w:t>
      </w:r>
      <w:r w:rsidR="007F6EA1" w:rsidRPr="00880CBF">
        <w:rPr>
          <w:lang w:val="en-ZA"/>
        </w:rPr>
        <w:t>p</w:t>
      </w:r>
      <w:r w:rsidR="0069342D" w:rsidRPr="00880CBF">
        <w:rPr>
          <w:lang w:val="en-ZA"/>
        </w:rPr>
        <w:t>laintiff’s child was directly or causally linked to the failure by the defendant’s employees at the hospital to timeously identify that the plaintiff’s labour was not progressing normally</w:t>
      </w:r>
      <w:r w:rsidR="0069342D" w:rsidRPr="00880CBF">
        <w:rPr>
          <w:rFonts w:ascii="ArialMT" w:hAnsi="ArialMT" w:cs="ArialMT"/>
          <w:szCs w:val="24"/>
          <w:lang w:val="en-ZA"/>
        </w:rPr>
        <w:t xml:space="preserve"> </w:t>
      </w:r>
      <w:r w:rsidR="0069342D" w:rsidRPr="00880CBF">
        <w:rPr>
          <w:lang w:val="en-ZA"/>
        </w:rPr>
        <w:t>resulting in their failure to timeously take appropriate action to prevent and ensure that the plaintiff’s child does not suffer a hypoxic ischemic injury</w:t>
      </w:r>
      <w:r w:rsidR="00181958">
        <w:rPr>
          <w:lang w:val="en-ZA"/>
        </w:rPr>
        <w:t>.</w:t>
      </w:r>
    </w:p>
    <w:p w:rsidR="00BF5703" w:rsidRDefault="0004536C" w:rsidP="0004536C">
      <w:pPr>
        <w:pStyle w:val="JudgmentNumbered"/>
        <w:numPr>
          <w:ilvl w:val="0"/>
          <w:numId w:val="0"/>
        </w:numPr>
        <w:spacing w:before="240" w:after="0"/>
        <w:ind w:left="2230" w:hanging="360"/>
        <w:rPr>
          <w:lang w:val="en-ZA"/>
        </w:rPr>
      </w:pPr>
      <w:r>
        <w:rPr>
          <w:lang w:val="en-ZA"/>
        </w:rPr>
        <w:t>ii.</w:t>
      </w:r>
      <w:r>
        <w:rPr>
          <w:lang w:val="en-ZA"/>
        </w:rPr>
        <w:tab/>
      </w:r>
      <w:r w:rsidR="0069342D" w:rsidRPr="00880CBF">
        <w:rPr>
          <w:lang w:val="en-ZA"/>
        </w:rPr>
        <w:t>Second</w:t>
      </w:r>
      <w:r w:rsidR="003239F2" w:rsidRPr="00880CBF">
        <w:rPr>
          <w:lang w:val="en-ZA"/>
        </w:rPr>
        <w:t>ly</w:t>
      </w:r>
      <w:r w:rsidR="0069342D" w:rsidRPr="00880CBF">
        <w:rPr>
          <w:lang w:val="en-ZA"/>
        </w:rPr>
        <w:t>,</w:t>
      </w:r>
      <w:r w:rsidR="0069342D" w:rsidRPr="0098259B">
        <w:t xml:space="preserve"> </w:t>
      </w:r>
      <w:r w:rsidR="00C10A48" w:rsidRPr="0098259B">
        <w:t xml:space="preserve">whether </w:t>
      </w:r>
      <w:r w:rsidR="0069342D" w:rsidRPr="00880CBF">
        <w:rPr>
          <w:lang w:val="en-ZA"/>
        </w:rPr>
        <w:t xml:space="preserve">the </w:t>
      </w:r>
      <w:r w:rsidR="00445FA7" w:rsidRPr="00880CBF">
        <w:rPr>
          <w:lang w:val="en-ZA"/>
        </w:rPr>
        <w:t>d</w:t>
      </w:r>
      <w:r w:rsidR="0069342D" w:rsidRPr="00880CBF">
        <w:rPr>
          <w:lang w:val="en-ZA"/>
        </w:rPr>
        <w:t>efendant’s employees at the hospital failed to appreciate the urgency of the need to correctly diagnose the vaginal bleeding, to exclude an Abruptio Placenta, which as a confirmed sentinel event which causes hypoxic ischemic encephalopathy of the kind which the child suffered</w:t>
      </w:r>
      <w:r w:rsidR="00181958">
        <w:rPr>
          <w:lang w:val="en-ZA"/>
        </w:rPr>
        <w:t>.</w:t>
      </w:r>
    </w:p>
    <w:p w:rsidR="00880CBF" w:rsidRPr="00880CBF" w:rsidRDefault="0004536C" w:rsidP="0004536C">
      <w:pPr>
        <w:pStyle w:val="JudgmentNumbered"/>
        <w:numPr>
          <w:ilvl w:val="0"/>
          <w:numId w:val="0"/>
        </w:numPr>
        <w:spacing w:before="240" w:after="0"/>
        <w:ind w:left="1134" w:hanging="283"/>
        <w:rPr>
          <w:lang w:val="en-ZA"/>
        </w:rPr>
      </w:pPr>
      <w:r w:rsidRPr="00880CBF">
        <w:rPr>
          <w:lang w:val="en-ZA"/>
        </w:rPr>
        <w:t>b.</w:t>
      </w:r>
      <w:r w:rsidRPr="00880CBF">
        <w:rPr>
          <w:lang w:val="en-ZA"/>
        </w:rPr>
        <w:tab/>
      </w:r>
      <w:r w:rsidR="00181958">
        <w:rPr>
          <w:lang w:val="en-ZA"/>
        </w:rPr>
        <w:t xml:space="preserve">Whether the plaintiff’s claim in her </w:t>
      </w:r>
      <w:r w:rsidR="005441D6">
        <w:rPr>
          <w:lang w:val="en-ZA"/>
        </w:rPr>
        <w:t xml:space="preserve">personal capacity </w:t>
      </w:r>
      <w:r w:rsidR="00181958">
        <w:rPr>
          <w:lang w:val="en-ZA"/>
        </w:rPr>
        <w:t xml:space="preserve">has prescribed. </w:t>
      </w:r>
    </w:p>
    <w:p w:rsidR="00D47FF4" w:rsidRPr="0098259B" w:rsidRDefault="00D47FF4" w:rsidP="005050C2">
      <w:pPr>
        <w:pStyle w:val="JudgmentNumbered"/>
        <w:numPr>
          <w:ilvl w:val="0"/>
          <w:numId w:val="0"/>
        </w:numPr>
        <w:spacing w:after="0"/>
        <w:rPr>
          <w:lang w:val="en-ZA"/>
        </w:rPr>
      </w:pPr>
    </w:p>
    <w:p w:rsidR="0098259B" w:rsidRPr="0098259B" w:rsidRDefault="00D47FF4" w:rsidP="00224997">
      <w:pPr>
        <w:pStyle w:val="JudgmentNumbered"/>
        <w:numPr>
          <w:ilvl w:val="0"/>
          <w:numId w:val="0"/>
        </w:numPr>
        <w:spacing w:after="0"/>
        <w:rPr>
          <w:i/>
          <w:iCs/>
          <w:lang w:val="en-ZA"/>
        </w:rPr>
      </w:pPr>
      <w:r w:rsidRPr="0098259B">
        <w:rPr>
          <w:i/>
          <w:iCs/>
          <w:lang w:val="en-ZA"/>
        </w:rPr>
        <w:t xml:space="preserve">Law applicable to the facts </w:t>
      </w:r>
    </w:p>
    <w:p w:rsidR="00D47FF4" w:rsidRPr="005441D6" w:rsidRDefault="0004536C" w:rsidP="0004536C">
      <w:pPr>
        <w:pStyle w:val="JudgmentNumbered"/>
        <w:numPr>
          <w:ilvl w:val="0"/>
          <w:numId w:val="0"/>
        </w:numPr>
        <w:spacing w:before="240" w:after="0"/>
        <w:ind w:left="1134" w:hanging="567"/>
        <w:rPr>
          <w:u w:val="single"/>
          <w:lang w:val="en-ZA"/>
        </w:rPr>
      </w:pPr>
      <w:r w:rsidRPr="005441D6">
        <w:rPr>
          <w:lang w:val="en-ZA"/>
        </w:rPr>
        <w:t>a.</w:t>
      </w:r>
      <w:r w:rsidRPr="005441D6">
        <w:rPr>
          <w:lang w:val="en-ZA"/>
        </w:rPr>
        <w:tab/>
      </w:r>
      <w:r w:rsidR="00D47FF4" w:rsidRPr="005441D6">
        <w:rPr>
          <w:u w:val="single"/>
          <w:lang w:val="en-ZA"/>
        </w:rPr>
        <w:t>Negligence</w:t>
      </w:r>
    </w:p>
    <w:p w:rsidR="00D47FF4" w:rsidRPr="0098259B" w:rsidRDefault="0004536C" w:rsidP="0004536C">
      <w:pPr>
        <w:pStyle w:val="JudgmentNumbered"/>
        <w:numPr>
          <w:ilvl w:val="0"/>
          <w:numId w:val="0"/>
        </w:numPr>
        <w:ind w:left="567" w:hanging="567"/>
        <w:rPr>
          <w:b/>
          <w:bCs/>
          <w:lang w:val="en-ZA"/>
        </w:rPr>
      </w:pPr>
      <w:r w:rsidRPr="0098259B">
        <w:rPr>
          <w:lang w:val="en-ZA"/>
        </w:rPr>
        <w:t>[8]</w:t>
      </w:r>
      <w:r w:rsidRPr="0098259B">
        <w:rPr>
          <w:lang w:val="en-ZA"/>
        </w:rPr>
        <w:tab/>
      </w:r>
      <w:r w:rsidR="00D47FF4" w:rsidRPr="0098259B">
        <w:rPr>
          <w:lang w:val="en-ZA"/>
        </w:rPr>
        <w:t xml:space="preserve">In essence, for the plaintiff to succeed and hold the defendant liable for damages, she must prove on a balance of probabilities, causal connection between the defendant’s negligent acts or omission relied upon and the harm suffered. In </w:t>
      </w:r>
      <w:r w:rsidR="00D47FF4" w:rsidRPr="0098259B">
        <w:rPr>
          <w:i/>
          <w:iCs/>
          <w:lang w:val="en-ZA"/>
        </w:rPr>
        <w:t>Minister of Safety and Security v Van Duivenboden</w:t>
      </w:r>
      <w:r w:rsidR="00D47FF4" w:rsidRPr="0098259B">
        <w:rPr>
          <w:rStyle w:val="FootnoteReference"/>
          <w:i/>
          <w:iCs/>
          <w:lang w:val="en-ZA"/>
        </w:rPr>
        <w:footnoteReference w:id="1"/>
      </w:r>
      <w:r w:rsidR="00D47FF4" w:rsidRPr="0098259B">
        <w:rPr>
          <w:i/>
          <w:iCs/>
          <w:lang w:val="en-ZA"/>
        </w:rPr>
        <w:t xml:space="preserve"> </w:t>
      </w:r>
      <w:r w:rsidR="00D47FF4" w:rsidRPr="0098259B">
        <w:rPr>
          <w:lang w:val="en-ZA"/>
        </w:rPr>
        <w:t>Nugent JA remarked</w:t>
      </w:r>
      <w:r w:rsidR="0098259B" w:rsidRPr="0098259B">
        <w:rPr>
          <w:rFonts w:ascii="Helvetica Neue" w:eastAsia="Times New Roman" w:hAnsi="Helvetica Neue" w:cs="Times New Roman"/>
          <w:b/>
          <w:bCs/>
          <w:color w:val="252525"/>
          <w:kern w:val="36"/>
          <w:sz w:val="48"/>
          <w:szCs w:val="48"/>
          <w:lang w:val="en-ZA" w:eastAsia="en-ZA"/>
        </w:rPr>
        <w:t xml:space="preserve"> </w:t>
      </w:r>
      <w:r w:rsidR="0098259B" w:rsidRPr="0098259B">
        <w:rPr>
          <w:b/>
          <w:bCs/>
          <w:lang w:val="en-ZA"/>
        </w:rPr>
        <w:t>—</w:t>
      </w:r>
      <w:r w:rsidR="00D47FF4" w:rsidRPr="0098259B">
        <w:rPr>
          <w:lang w:val="en-ZA"/>
        </w:rPr>
        <w:t xml:space="preserve"> </w:t>
      </w:r>
    </w:p>
    <w:p w:rsidR="009F7FC2" w:rsidRPr="0098259B" w:rsidRDefault="00D47FF4" w:rsidP="009F7FC2">
      <w:pPr>
        <w:pStyle w:val="JudgmentNumbered"/>
        <w:numPr>
          <w:ilvl w:val="0"/>
          <w:numId w:val="0"/>
        </w:numPr>
        <w:spacing w:after="0"/>
        <w:ind w:left="1134"/>
        <w:rPr>
          <w:i/>
          <w:iCs/>
          <w:sz w:val="22"/>
          <w:lang w:val="en-ZA"/>
        </w:rPr>
      </w:pPr>
      <w:r w:rsidRPr="0098259B">
        <w:rPr>
          <w:i/>
          <w:iCs/>
          <w:sz w:val="22"/>
          <w:lang w:val="en-ZA"/>
        </w:rPr>
        <w:t xml:space="preserve">“Negligence, as it is understood in our law, is not inherently unlawful - it is unlawful, and thus actionable, only if it occurs in circumstances that the law recognises as making it unlawful. Where the negligence manifests itself in a positive act that causes physical harm it is presumed to be unlawful, but that is not so in the case of a negligent omission. A negligent omission is unlawful only if it occurs in circumstances that the law regards as sufficient to give rise to a legal duty to avoid negligently causing harm. It is important to keep that concept quite separate from the concept of fault. Where the law recognises the existence of a legal duty it does not follow that an omission will necessarily attract liability - it will attract liability only </w:t>
      </w:r>
      <w:r w:rsidRPr="0098259B">
        <w:rPr>
          <w:i/>
          <w:iCs/>
          <w:sz w:val="22"/>
          <w:lang w:val="en-ZA"/>
        </w:rPr>
        <w:lastRenderedPageBreak/>
        <w:t>if the omission was also culpable as determined by the application of the separate test that has consistently been applied by this court in Kruger v Coetzee, namely whether a reasonable person in the position of the defendant would not only have foreseen the harm but would also have acted to avert it. While the enquiry as to the existence or otherwise of a legal duty might be conceptually anterior to the question of fault (for the very enquiry is whether fault is capable of being legally recognised), nevertheless, in order to avoid conflating these two separate elements of liability, it might often be helpful to assume that the omission was negligent when asking whether, as a matter of legal policy, the omission ought to be actionable.”</w:t>
      </w:r>
    </w:p>
    <w:p w:rsidR="009F7FC2" w:rsidRPr="0098259B" w:rsidRDefault="009F7FC2" w:rsidP="009F7FC2">
      <w:pPr>
        <w:pStyle w:val="JudgmentNumbered"/>
        <w:numPr>
          <w:ilvl w:val="0"/>
          <w:numId w:val="0"/>
        </w:numPr>
        <w:spacing w:after="0"/>
        <w:rPr>
          <w:i/>
          <w:iCs/>
          <w:sz w:val="22"/>
          <w:lang w:val="en-ZA"/>
        </w:rPr>
      </w:pPr>
    </w:p>
    <w:p w:rsidR="00D47FF4" w:rsidRPr="0098259B" w:rsidRDefault="0004536C" w:rsidP="0004536C">
      <w:pPr>
        <w:pStyle w:val="JudgmentNumbered"/>
        <w:numPr>
          <w:ilvl w:val="0"/>
          <w:numId w:val="0"/>
        </w:numPr>
        <w:ind w:left="567" w:hanging="567"/>
        <w:rPr>
          <w:b/>
          <w:bCs/>
          <w:lang w:val="en-ZA"/>
        </w:rPr>
      </w:pPr>
      <w:r w:rsidRPr="0098259B">
        <w:rPr>
          <w:lang w:val="en-ZA"/>
        </w:rPr>
        <w:t>[9]</w:t>
      </w:r>
      <w:r w:rsidRPr="0098259B">
        <w:rPr>
          <w:lang w:val="en-ZA"/>
        </w:rPr>
        <w:tab/>
      </w:r>
      <w:r w:rsidR="009F7FC2" w:rsidRPr="0098259B">
        <w:rPr>
          <w:iCs/>
        </w:rPr>
        <w:t xml:space="preserve">In </w:t>
      </w:r>
      <w:r w:rsidR="009F7FC2" w:rsidRPr="0098259B">
        <w:rPr>
          <w:i/>
        </w:rPr>
        <w:t>E.P.N NO obo E.L v Member of the Executive Council for Health</w:t>
      </w:r>
      <w:r w:rsidR="009F6D0B" w:rsidRPr="0098259B">
        <w:rPr>
          <w:rStyle w:val="FootnoteReference"/>
          <w:i/>
        </w:rPr>
        <w:footnoteReference w:id="2"/>
      </w:r>
      <w:r w:rsidR="009F7FC2" w:rsidRPr="0098259B">
        <w:rPr>
          <w:iCs/>
        </w:rPr>
        <w:t xml:space="preserve"> of the Gauteng Province it was held with reference to </w:t>
      </w:r>
      <w:r w:rsidR="009F6D0B" w:rsidRPr="0098259B">
        <w:rPr>
          <w:iCs/>
        </w:rPr>
        <w:t xml:space="preserve">the unreported case of the Gauteng Local Division </w:t>
      </w:r>
      <w:r w:rsidR="00D47FF4" w:rsidRPr="0098259B">
        <w:rPr>
          <w:i/>
        </w:rPr>
        <w:t>Vallaro obo Barnard v MEC</w:t>
      </w:r>
      <w:r w:rsidR="009F6D0B" w:rsidRPr="0098259B">
        <w:rPr>
          <w:i/>
        </w:rPr>
        <w:t xml:space="preserve"> </w:t>
      </w:r>
      <w:r w:rsidR="009F6D0B" w:rsidRPr="0098259B">
        <w:rPr>
          <w:iCs/>
        </w:rPr>
        <w:t xml:space="preserve">and </w:t>
      </w:r>
      <w:r w:rsidR="00D47FF4" w:rsidRPr="0098259B">
        <w:rPr>
          <w:i/>
        </w:rPr>
        <w:t>McIntosh v MEC, Kwazulu-Natal and Another</w:t>
      </w:r>
      <w:r w:rsidR="00D47FF4" w:rsidRPr="0098259B">
        <w:t xml:space="preserve"> that</w:t>
      </w:r>
      <w:r w:rsidR="0098259B" w:rsidRPr="0098259B">
        <w:rPr>
          <w:rFonts w:ascii="Helvetica Neue" w:eastAsia="Times New Roman" w:hAnsi="Helvetica Neue" w:cs="Times New Roman"/>
          <w:b/>
          <w:bCs/>
          <w:color w:val="252525"/>
          <w:kern w:val="36"/>
          <w:sz w:val="48"/>
          <w:szCs w:val="48"/>
          <w:lang w:val="en-ZA" w:eastAsia="en-ZA"/>
        </w:rPr>
        <w:t xml:space="preserve"> </w:t>
      </w:r>
      <w:r w:rsidR="0098259B" w:rsidRPr="0098259B">
        <w:rPr>
          <w:b/>
          <w:bCs/>
          <w:lang w:val="en-ZA"/>
        </w:rPr>
        <w:t>—</w:t>
      </w:r>
    </w:p>
    <w:p w:rsidR="00D47FF4" w:rsidRPr="00EF67E6" w:rsidRDefault="00D47FF4" w:rsidP="00D47FF4">
      <w:pPr>
        <w:spacing w:after="360"/>
        <w:ind w:left="851"/>
        <w:rPr>
          <w:rFonts w:cs="Arial"/>
          <w:i/>
          <w:iCs/>
          <w:color w:val="000000"/>
          <w:sz w:val="22"/>
        </w:rPr>
      </w:pPr>
      <w:r w:rsidRPr="0098259B">
        <w:rPr>
          <w:rFonts w:cs="Arial"/>
          <w:sz w:val="22"/>
        </w:rPr>
        <w:t>“</w:t>
      </w:r>
      <w:r w:rsidRPr="0098259B">
        <w:rPr>
          <w:rFonts w:cs="Arial"/>
          <w:i/>
          <w:iCs/>
          <w:sz w:val="22"/>
        </w:rPr>
        <w:t>The second inquiry is whether there was fault, in this case negligence. As is apparent from the much-quoted dictum of Holmes JA in Kruger v Coetzee 1966 (2) SA 428 (A) at 430E-F, the issue of negligence itself involves a twofold inquiry. The first is: was</w:t>
      </w:r>
      <w:r w:rsidRPr="0098259B">
        <w:rPr>
          <w:rFonts w:cs="Arial"/>
          <w:sz w:val="22"/>
        </w:rPr>
        <w:t xml:space="preserve"> </w:t>
      </w:r>
      <w:r w:rsidRPr="0098259B">
        <w:rPr>
          <w:rFonts w:cs="Arial"/>
          <w:i/>
          <w:iCs/>
          <w:sz w:val="22"/>
        </w:rPr>
        <w:t>the harm reasonably foreseeable? The second is: would the diligens paterfamilias take reasonable steps to guard against such occurrence and did the defendant fail to take those steps? The answer to the second inquiry is freque</w:t>
      </w:r>
      <w:r w:rsidRPr="00EF67E6">
        <w:rPr>
          <w:rFonts w:cs="Arial"/>
          <w:i/>
          <w:iCs/>
          <w:color w:val="000000"/>
          <w:sz w:val="22"/>
        </w:rPr>
        <w:t>ntly expressed in terms of a duty. The foreseeability requirement is more often than not assumed, and the inquiry is said to be simply whether the defendant had a duty to take one or other step, such as drive in a particular way or perform some or other positive act, and, if so, whether the failure on the part of the defendant to do so amounted to a breach of that duty. But the word “duty”, and sometimes even the expression “legal duty”, in this context, must not be confused with the concept of “legal duty” in the context of wrongfulness which, as has been indicated, is distinct from the issue of negligence.</w:t>
      </w:r>
    </w:p>
    <w:p w:rsidR="00D47FF4" w:rsidRPr="009F6D0B" w:rsidRDefault="00D47FF4" w:rsidP="00D47FF4">
      <w:pPr>
        <w:spacing w:after="360"/>
        <w:ind w:left="851"/>
        <w:rPr>
          <w:rFonts w:cs="Arial"/>
          <w:color w:val="000000"/>
          <w:sz w:val="22"/>
        </w:rPr>
      </w:pPr>
      <w:r w:rsidRPr="00EF67E6">
        <w:rPr>
          <w:rFonts w:cs="Arial"/>
          <w:i/>
          <w:iCs/>
          <w:color w:val="000000"/>
          <w:sz w:val="22"/>
        </w:rPr>
        <w:t xml:space="preserve">The crucial question, therefore, is the reasonableness or otherwise of the respondents’ conduct. This is the second leg of the negligence inquiry. Generally speaking, the answer to the inquiry depends on a consideration of all the relevant circumstances and involves a value judgment which is to be made by balancing various competing considerations including such factors as the degree or extent of </w:t>
      </w:r>
      <w:r w:rsidRPr="00EF67E6">
        <w:rPr>
          <w:rFonts w:cs="Arial"/>
          <w:i/>
          <w:iCs/>
          <w:color w:val="000000"/>
          <w:sz w:val="22"/>
        </w:rPr>
        <w:lastRenderedPageBreak/>
        <w:t>the risk created by the actor’s conduct, the gravity of the possible consequences and the burden of eliminating the risk of harm. ...”</w:t>
      </w:r>
      <w:r w:rsidR="009F6D0B">
        <w:rPr>
          <w:rStyle w:val="FootnoteReference"/>
          <w:rFonts w:cs="Arial"/>
          <w:i/>
          <w:iCs/>
          <w:color w:val="000000"/>
          <w:sz w:val="22"/>
        </w:rPr>
        <w:footnoteReference w:id="3"/>
      </w:r>
    </w:p>
    <w:p w:rsidR="00D47FF4" w:rsidRPr="001478F0" w:rsidRDefault="0004536C" w:rsidP="0004536C">
      <w:pPr>
        <w:pStyle w:val="JudgmentNumbered"/>
        <w:numPr>
          <w:ilvl w:val="0"/>
          <w:numId w:val="0"/>
        </w:numPr>
        <w:spacing w:after="0"/>
        <w:ind w:left="1440" w:hanging="360"/>
        <w:rPr>
          <w:u w:val="single"/>
        </w:rPr>
      </w:pPr>
      <w:r w:rsidRPr="001478F0">
        <w:t>b.</w:t>
      </w:r>
      <w:r w:rsidRPr="001478F0">
        <w:tab/>
      </w:r>
      <w:r w:rsidR="00D47FF4" w:rsidRPr="001478F0">
        <w:rPr>
          <w:u w:val="single"/>
        </w:rPr>
        <w:t>Causal connection</w:t>
      </w:r>
    </w:p>
    <w:p w:rsidR="00D47FF4" w:rsidRDefault="0004536C" w:rsidP="0004536C">
      <w:pPr>
        <w:pStyle w:val="JudgmentNumbered"/>
        <w:numPr>
          <w:ilvl w:val="0"/>
          <w:numId w:val="0"/>
        </w:numPr>
        <w:ind w:left="567" w:hanging="567"/>
      </w:pPr>
      <w:r>
        <w:t>[10]</w:t>
      </w:r>
      <w:r>
        <w:tab/>
      </w:r>
      <w:r w:rsidR="00D47FF4">
        <w:t>In determining the causal connection, this court is required to ask this:  but for the wrongful conduct of the hospital staff, would the plaintiff’s loss have ensued or not? It was submitted on behalf of the plaintiff that if the wrongful negligent conduct of the hospital staff was eliminated - and on the assumption that all precautionary measures were satisfied and carried out –</w:t>
      </w:r>
      <w:r w:rsidR="00D47FF4" w:rsidRPr="00353614">
        <w:t>the foetus</w:t>
      </w:r>
      <w:r w:rsidR="00D47FF4">
        <w:t xml:space="preserve"> would not be</w:t>
      </w:r>
      <w:r w:rsidR="00D47FF4" w:rsidRPr="00353614">
        <w:t xml:space="preserve"> suffering from a HIE incident</w:t>
      </w:r>
      <w:r w:rsidR="00D47FF4">
        <w:t xml:space="preserve">, </w:t>
      </w:r>
      <w:r w:rsidR="00D47FF4" w:rsidRPr="00353614">
        <w:t>cerebral palsy and epilepsy.</w:t>
      </w:r>
      <w:r w:rsidR="00D47FF4">
        <w:t xml:space="preserve"> </w:t>
      </w:r>
    </w:p>
    <w:p w:rsidR="00D47FF4" w:rsidRDefault="0004536C" w:rsidP="0004536C">
      <w:pPr>
        <w:pStyle w:val="JudgmentNumbered"/>
        <w:numPr>
          <w:ilvl w:val="0"/>
          <w:numId w:val="0"/>
        </w:numPr>
        <w:ind w:left="567" w:hanging="567"/>
      </w:pPr>
      <w:r>
        <w:t>[11]</w:t>
      </w:r>
      <w:r>
        <w:tab/>
      </w:r>
      <w:r w:rsidR="00D47FF4">
        <w:t>Our Courts have indicated that a plaintiff is not required to establish the causal link with certainty, but only to establish that the wrongful conduct was probably a cause of the loss.</w:t>
      </w:r>
      <w:r w:rsidR="00D47FF4" w:rsidRPr="00B56E94">
        <w:t xml:space="preserve"> </w:t>
      </w:r>
      <w:r w:rsidR="00D47FF4">
        <w:t xml:space="preserve">In </w:t>
      </w:r>
      <w:r w:rsidR="00D47FF4" w:rsidRPr="00F91C10">
        <w:rPr>
          <w:i/>
        </w:rPr>
        <w:t>Minister of Safety and Security v Van Duivenboden</w:t>
      </w:r>
      <w:r w:rsidR="00D47FF4">
        <w:rPr>
          <w:i/>
        </w:rPr>
        <w:t>,</w:t>
      </w:r>
      <w:r w:rsidR="00D47FF4" w:rsidRPr="00F91C10">
        <w:rPr>
          <w:iCs/>
          <w:vertAlign w:val="superscript"/>
        </w:rPr>
        <w:footnoteReference w:id="4"/>
      </w:r>
      <w:r w:rsidR="00D47FF4" w:rsidRPr="00F91C10">
        <w:t xml:space="preserve"> the SCA held </w:t>
      </w:r>
      <w:r w:rsidR="00D47FF4" w:rsidRPr="00547A02">
        <w:t>—</w:t>
      </w:r>
    </w:p>
    <w:p w:rsidR="00D47FF4" w:rsidRPr="009F6D0B" w:rsidRDefault="00D47FF4" w:rsidP="00D47FF4">
      <w:pPr>
        <w:spacing w:after="360"/>
        <w:ind w:left="1134"/>
        <w:rPr>
          <w:rFonts w:cs="Arial"/>
          <w:color w:val="000000"/>
          <w:sz w:val="22"/>
        </w:rPr>
      </w:pPr>
      <w:r w:rsidRPr="00547A02">
        <w:rPr>
          <w:rFonts w:cs="Arial"/>
          <w:color w:val="000000"/>
          <w:sz w:val="22"/>
        </w:rPr>
        <w:t>“</w:t>
      </w:r>
      <w:r w:rsidRPr="00EF67E6">
        <w:rPr>
          <w:rFonts w:cs="Arial"/>
          <w:i/>
          <w:iCs/>
          <w:color w:val="000000"/>
          <w:sz w:val="22"/>
        </w:rPr>
        <w:t>A plaintiff is not required to establish the causal link with certainty but only to establish that the wrongful conduct was probably a cause of the loss, which calls for a sensible retrospective analysis of what would probably have occurred, based</w:t>
      </w:r>
      <w:r w:rsidRPr="00547A02">
        <w:rPr>
          <w:rFonts w:cs="Arial"/>
          <w:color w:val="000000"/>
          <w:sz w:val="22"/>
        </w:rPr>
        <w:t xml:space="preserve"> </w:t>
      </w:r>
      <w:r w:rsidRPr="00EF67E6">
        <w:rPr>
          <w:rFonts w:cs="Arial"/>
          <w:i/>
          <w:iCs/>
          <w:color w:val="000000"/>
          <w:sz w:val="22"/>
        </w:rPr>
        <w:t>upon the evidence and what can be expected to occur in the ordinary course of human affairs rather than an exercise in metaphysics.”</w:t>
      </w:r>
      <w:r w:rsidR="009F6D0B">
        <w:rPr>
          <w:rStyle w:val="FootnoteReference"/>
          <w:rFonts w:cs="Arial"/>
          <w:i/>
          <w:iCs/>
          <w:color w:val="000000"/>
          <w:sz w:val="22"/>
        </w:rPr>
        <w:footnoteReference w:id="5"/>
      </w:r>
    </w:p>
    <w:p w:rsidR="00910620" w:rsidRPr="00910620" w:rsidRDefault="0004536C" w:rsidP="0004536C">
      <w:pPr>
        <w:pStyle w:val="JudgmentNumbered"/>
        <w:numPr>
          <w:ilvl w:val="0"/>
          <w:numId w:val="0"/>
        </w:numPr>
        <w:ind w:left="567" w:hanging="567"/>
        <w:rPr>
          <w:b/>
          <w:bCs/>
          <w:lang w:val="en-ZA"/>
        </w:rPr>
      </w:pPr>
      <w:r w:rsidRPr="00910620">
        <w:rPr>
          <w:lang w:val="en-ZA"/>
        </w:rPr>
        <w:t>[12]</w:t>
      </w:r>
      <w:r w:rsidRPr="00910620">
        <w:rPr>
          <w:lang w:val="en-ZA"/>
        </w:rPr>
        <w:tab/>
      </w:r>
      <w:r w:rsidR="00D47FF4">
        <w:t xml:space="preserve">Furthermore, in </w:t>
      </w:r>
      <w:r w:rsidR="00D47FF4" w:rsidRPr="00F170B7">
        <w:rPr>
          <w:i/>
          <w:iCs/>
        </w:rPr>
        <w:t>Minister of Finance and Others v</w:t>
      </w:r>
      <w:r w:rsidR="00D47FF4">
        <w:t xml:space="preserve"> </w:t>
      </w:r>
      <w:r w:rsidR="00D47FF4" w:rsidRPr="00F170B7">
        <w:rPr>
          <w:i/>
        </w:rPr>
        <w:t>Gore NO</w:t>
      </w:r>
      <w:r w:rsidR="00D47FF4">
        <w:rPr>
          <w:i/>
        </w:rPr>
        <w:t>,</w:t>
      </w:r>
      <w:r w:rsidR="00D47FF4" w:rsidRPr="004561CD">
        <w:rPr>
          <w:iCs/>
          <w:vertAlign w:val="superscript"/>
        </w:rPr>
        <w:footnoteReference w:id="6"/>
      </w:r>
      <w:r w:rsidR="00D47FF4">
        <w:t xml:space="preserve"> the SCA observed</w:t>
      </w:r>
      <w:r w:rsidR="00910620">
        <w:t> </w:t>
      </w:r>
      <w:r w:rsidR="00D47FF4" w:rsidRPr="00547A02">
        <w:t>—</w:t>
      </w:r>
      <w:r w:rsidR="00910620" w:rsidRPr="00910620">
        <w:rPr>
          <w:rFonts w:ascii="Helvetica Neue" w:eastAsia="Times New Roman" w:hAnsi="Helvetica Neue" w:cs="Times New Roman"/>
          <w:b/>
          <w:bCs/>
          <w:color w:val="252525"/>
          <w:kern w:val="36"/>
          <w:sz w:val="48"/>
          <w:szCs w:val="48"/>
          <w:lang w:val="en-ZA" w:eastAsia="en-ZA"/>
        </w:rPr>
        <w:t xml:space="preserve"> </w:t>
      </w:r>
    </w:p>
    <w:p w:rsidR="00D47FF4" w:rsidRDefault="00D47FF4" w:rsidP="009F6D0B">
      <w:pPr>
        <w:pStyle w:val="JudgmentNumbered"/>
        <w:numPr>
          <w:ilvl w:val="0"/>
          <w:numId w:val="0"/>
        </w:numPr>
        <w:spacing w:after="0"/>
        <w:ind w:left="873"/>
        <w:rPr>
          <w:i/>
          <w:iCs/>
          <w:sz w:val="22"/>
        </w:rPr>
      </w:pPr>
      <w:r w:rsidRPr="00EF67E6">
        <w:rPr>
          <w:i/>
          <w:iCs/>
          <w:sz w:val="22"/>
        </w:rPr>
        <w:t>“Application of the “but for” test is not based on mathematics, pure science or philosophy. It is a matter of common sense, based on the practical way in which the ordinary person’s mind works against the background of everyday life experiences.”</w:t>
      </w:r>
      <w:r w:rsidR="009F6D0B">
        <w:rPr>
          <w:rStyle w:val="FootnoteReference"/>
          <w:i/>
          <w:iCs/>
          <w:sz w:val="22"/>
        </w:rPr>
        <w:footnoteReference w:id="7"/>
      </w:r>
      <w:r w:rsidRPr="00EF67E6">
        <w:rPr>
          <w:i/>
          <w:iCs/>
          <w:sz w:val="22"/>
        </w:rPr>
        <w:t xml:space="preserve"> </w:t>
      </w:r>
    </w:p>
    <w:p w:rsidR="009F6D0B" w:rsidRPr="00EF67E6" w:rsidRDefault="009F6D0B" w:rsidP="009F6D0B">
      <w:pPr>
        <w:pStyle w:val="JudgmentNumbered"/>
        <w:numPr>
          <w:ilvl w:val="0"/>
          <w:numId w:val="0"/>
        </w:numPr>
        <w:spacing w:after="0"/>
        <w:ind w:left="873"/>
        <w:rPr>
          <w:i/>
          <w:iCs/>
          <w:sz w:val="22"/>
        </w:rPr>
      </w:pPr>
    </w:p>
    <w:p w:rsidR="00D47FF4" w:rsidRPr="00910620" w:rsidRDefault="0004536C" w:rsidP="0004536C">
      <w:pPr>
        <w:pStyle w:val="JudgmentNumbered"/>
        <w:numPr>
          <w:ilvl w:val="0"/>
          <w:numId w:val="0"/>
        </w:numPr>
        <w:ind w:left="567" w:hanging="567"/>
        <w:rPr>
          <w:b/>
          <w:bCs/>
          <w:lang w:val="en-ZA"/>
        </w:rPr>
      </w:pPr>
      <w:r w:rsidRPr="00910620">
        <w:rPr>
          <w:lang w:val="en-ZA"/>
        </w:rPr>
        <w:lastRenderedPageBreak/>
        <w:t>[13]</w:t>
      </w:r>
      <w:r w:rsidRPr="00910620">
        <w:rPr>
          <w:lang w:val="en-ZA"/>
        </w:rPr>
        <w:tab/>
      </w:r>
      <w:r w:rsidR="00D47FF4" w:rsidRPr="00741E76">
        <w:t xml:space="preserve">Also important is the </w:t>
      </w:r>
      <w:r w:rsidR="00D47FF4">
        <w:t xml:space="preserve">oft-quoted </w:t>
      </w:r>
      <w:r w:rsidR="00D47FF4" w:rsidRPr="00741E76">
        <w:t xml:space="preserve">caution by the </w:t>
      </w:r>
      <w:r w:rsidR="00D47FF4">
        <w:t xml:space="preserve">English </w:t>
      </w:r>
      <w:r w:rsidR="00D47FF4" w:rsidRPr="00741E76">
        <w:t xml:space="preserve">court in </w:t>
      </w:r>
      <w:r w:rsidR="00D47FF4" w:rsidRPr="00741E76">
        <w:rPr>
          <w:i/>
        </w:rPr>
        <w:t>Ratcliffe v Plymouth and Torbay Health Authority</w:t>
      </w:r>
      <w:r w:rsidR="00D47FF4" w:rsidRPr="00741E76">
        <w:rPr>
          <w:rStyle w:val="FootnoteReference"/>
          <w:iCs/>
          <w:color w:val="000000"/>
        </w:rPr>
        <w:footnoteReference w:id="8"/>
      </w:r>
      <w:r w:rsidR="00D47FF4" w:rsidRPr="00741E76">
        <w:t xml:space="preserve"> to not speculate too much.</w:t>
      </w:r>
      <w:r w:rsidR="00D47FF4" w:rsidRPr="00377E42">
        <w:t xml:space="preserve"> Lord Justice Brooke made the point that</w:t>
      </w:r>
      <w:r w:rsidR="00910620" w:rsidRPr="00910620">
        <w:rPr>
          <w:rFonts w:ascii="Helvetica Neue" w:eastAsia="Times New Roman" w:hAnsi="Helvetica Neue" w:cs="Times New Roman"/>
          <w:b/>
          <w:bCs/>
          <w:color w:val="252525"/>
          <w:kern w:val="36"/>
          <w:sz w:val="48"/>
          <w:szCs w:val="48"/>
          <w:lang w:val="en-ZA" w:eastAsia="en-ZA"/>
        </w:rPr>
        <w:t xml:space="preserve"> </w:t>
      </w:r>
      <w:r w:rsidR="00910620" w:rsidRPr="00910620">
        <w:rPr>
          <w:b/>
          <w:bCs/>
          <w:lang w:val="en-ZA"/>
        </w:rPr>
        <w:t>—</w:t>
      </w:r>
    </w:p>
    <w:p w:rsidR="00D47FF4" w:rsidRPr="00BC23A9" w:rsidRDefault="00D47FF4" w:rsidP="00BC23A9">
      <w:pPr>
        <w:spacing w:after="0"/>
        <w:ind w:left="851"/>
      </w:pPr>
      <w:r w:rsidRPr="00EF67E6">
        <w:rPr>
          <w:rFonts w:cs="Arial"/>
          <w:i/>
          <w:iCs/>
          <w:color w:val="000000"/>
          <w:sz w:val="22"/>
        </w:rPr>
        <w:t>“... surrounding a procedure which led to an unexpected outcome for a patient. If such a case should arise, the judge should not be diverted away from the inference of negligence dictated by the plaintiff's evidence by mere theoretical possibilities of how that outcome might have occurred without negligence: the defendants' hypothesis must have the ring of plausibility about it. It is likely to be a very rare medical negligence case in which the defendants take the risk of calling no factual evidence, when such evidence is available to them, of the circumstances.”</w:t>
      </w:r>
      <w:r w:rsidR="009F6D0B">
        <w:rPr>
          <w:rStyle w:val="FootnoteReference"/>
          <w:rFonts w:cs="Arial"/>
          <w:i/>
          <w:iCs/>
          <w:color w:val="000000"/>
          <w:sz w:val="22"/>
        </w:rPr>
        <w:footnoteReference w:id="9"/>
      </w:r>
    </w:p>
    <w:p w:rsidR="00EF67E6" w:rsidRPr="0069342D" w:rsidRDefault="00EF67E6" w:rsidP="00EF67E6">
      <w:pPr>
        <w:pStyle w:val="JudgmentNumbered"/>
        <w:numPr>
          <w:ilvl w:val="0"/>
          <w:numId w:val="0"/>
        </w:numPr>
        <w:spacing w:after="0"/>
        <w:ind w:left="927"/>
        <w:rPr>
          <w:lang w:val="en-ZA"/>
        </w:rPr>
      </w:pPr>
    </w:p>
    <w:p w:rsidR="00CC7087" w:rsidRPr="00EF67E6" w:rsidRDefault="0004536C" w:rsidP="0004536C">
      <w:pPr>
        <w:pStyle w:val="JudgmentNumbered"/>
        <w:numPr>
          <w:ilvl w:val="0"/>
          <w:numId w:val="0"/>
        </w:numPr>
        <w:spacing w:after="0"/>
        <w:ind w:left="567" w:hanging="567"/>
      </w:pPr>
      <w:r w:rsidRPr="00EF67E6">
        <w:t>[14]</w:t>
      </w:r>
      <w:r w:rsidRPr="00EF67E6">
        <w:tab/>
      </w:r>
      <w:r w:rsidR="0048481A">
        <w:t>Th</w:t>
      </w:r>
      <w:r w:rsidR="009C167B">
        <w:t>is</w:t>
      </w:r>
      <w:r w:rsidR="0048481A">
        <w:t xml:space="preserve"> </w:t>
      </w:r>
      <w:r w:rsidR="009C167B">
        <w:t>negligence</w:t>
      </w:r>
      <w:r w:rsidR="0048481A">
        <w:t xml:space="preserve"> constitutes</w:t>
      </w:r>
      <w:r w:rsidR="009C167B">
        <w:t>, as the plaintiff contends,</w:t>
      </w:r>
      <w:r w:rsidR="0048481A">
        <w:t xml:space="preserve"> a breach of the legal duty that rested on the defendant</w:t>
      </w:r>
      <w:r w:rsidR="009C167B">
        <w:t>, his employees and/or his authorised representatives.</w:t>
      </w:r>
      <w:r w:rsidR="00084DFD">
        <w:t xml:space="preserve">  </w:t>
      </w:r>
      <w:r w:rsidR="0006091B" w:rsidRPr="00C10A48">
        <w:rPr>
          <w:shd w:val="clear" w:color="auto" w:fill="FFFFFF"/>
        </w:rPr>
        <w:t xml:space="preserve">As a result of the </w:t>
      </w:r>
      <w:r w:rsidR="00625981" w:rsidRPr="00C10A48">
        <w:rPr>
          <w:shd w:val="clear" w:color="auto" w:fill="FFFFFF"/>
        </w:rPr>
        <w:t>breach</w:t>
      </w:r>
      <w:r w:rsidR="0006091B" w:rsidRPr="00C10A48">
        <w:rPr>
          <w:shd w:val="clear" w:color="auto" w:fill="FFFFFF"/>
        </w:rPr>
        <w:t xml:space="preserve"> of legal duty, the child suffers from brain damage and </w:t>
      </w:r>
      <w:r w:rsidR="001F3C8F" w:rsidRPr="00C10A48">
        <w:rPr>
          <w:shd w:val="clear" w:color="auto" w:fill="FFFFFF"/>
        </w:rPr>
        <w:t>resultant cerebral palsy</w:t>
      </w:r>
      <w:r w:rsidR="001F335C" w:rsidRPr="00C10A48">
        <w:rPr>
          <w:shd w:val="clear" w:color="auto" w:fill="FFFFFF"/>
        </w:rPr>
        <w:t>,</w:t>
      </w:r>
      <w:r w:rsidR="001F3C8F" w:rsidRPr="00C10A48">
        <w:rPr>
          <w:shd w:val="clear" w:color="auto" w:fill="FFFFFF"/>
        </w:rPr>
        <w:t xml:space="preserve"> is epileptic</w:t>
      </w:r>
      <w:r w:rsidR="001F335C" w:rsidRPr="00C10A48">
        <w:rPr>
          <w:shd w:val="clear" w:color="auto" w:fill="FFFFFF"/>
        </w:rPr>
        <w:t xml:space="preserve"> and developmentally delayed and has a marked speech delay and speech deficits</w:t>
      </w:r>
      <w:r w:rsidR="0065180F" w:rsidRPr="00C10A48">
        <w:rPr>
          <w:shd w:val="clear" w:color="auto" w:fill="FFFFFF"/>
        </w:rPr>
        <w:t>.</w:t>
      </w:r>
      <w:r w:rsidR="001F3C8F" w:rsidRPr="00C10A48">
        <w:rPr>
          <w:shd w:val="clear" w:color="auto" w:fill="FFFFFF"/>
        </w:rPr>
        <w:t xml:space="preserve"> </w:t>
      </w:r>
      <w:r w:rsidR="00C10A48">
        <w:rPr>
          <w:shd w:val="clear" w:color="auto" w:fill="FFFFFF"/>
        </w:rPr>
        <w:t>The plaintiff argues that</w:t>
      </w:r>
      <w:r w:rsidR="006B38F6" w:rsidRPr="00C10A48">
        <w:rPr>
          <w:shd w:val="clear" w:color="auto" w:fill="FFFFFF"/>
        </w:rPr>
        <w:t xml:space="preserve"> the injury suffered by the child was directly or causally linked to the failure by the defendant’s employees to timeously identify that </w:t>
      </w:r>
      <w:r w:rsidR="00C10A48">
        <w:rPr>
          <w:shd w:val="clear" w:color="auto" w:fill="FFFFFF"/>
        </w:rPr>
        <w:t>her</w:t>
      </w:r>
      <w:r w:rsidR="006B38F6" w:rsidRPr="00C10A48">
        <w:rPr>
          <w:shd w:val="clear" w:color="auto" w:fill="FFFFFF"/>
        </w:rPr>
        <w:t xml:space="preserve"> labour was not progressing normally. </w:t>
      </w:r>
    </w:p>
    <w:p w:rsidR="00EF67E6" w:rsidRPr="00C10A48" w:rsidRDefault="00EF67E6" w:rsidP="00EF67E6">
      <w:pPr>
        <w:pStyle w:val="JudgmentNumbered"/>
        <w:numPr>
          <w:ilvl w:val="0"/>
          <w:numId w:val="0"/>
        </w:numPr>
        <w:spacing w:after="0"/>
        <w:ind w:left="567"/>
      </w:pPr>
    </w:p>
    <w:p w:rsidR="00D47FF4" w:rsidRPr="00D47FF4" w:rsidRDefault="0004536C" w:rsidP="0004536C">
      <w:pPr>
        <w:pStyle w:val="JudgmentNumbered"/>
        <w:numPr>
          <w:ilvl w:val="0"/>
          <w:numId w:val="0"/>
        </w:numPr>
        <w:spacing w:after="0"/>
        <w:ind w:left="567" w:hanging="567"/>
        <w:rPr>
          <w:lang w:val="en-ZA"/>
        </w:rPr>
      </w:pPr>
      <w:r w:rsidRPr="00D47FF4">
        <w:rPr>
          <w:lang w:val="en-ZA"/>
        </w:rPr>
        <w:t>[15]</w:t>
      </w:r>
      <w:r w:rsidRPr="00D47FF4">
        <w:rPr>
          <w:lang w:val="en-ZA"/>
        </w:rPr>
        <w:tab/>
      </w:r>
      <w:r w:rsidR="00547A02" w:rsidRPr="00547A02">
        <w:rPr>
          <w:lang w:val="en-ZA"/>
        </w:rPr>
        <w:t xml:space="preserve">The facts are extracted from the evidence of the plaintiff herself. She was the only factual witness. With regards to expert witnesses, the following expert witnesses gave evidence in support of the plaintiff's case: Dr Henning (Radiologist); </w:t>
      </w:r>
      <w:r w:rsidR="00C673FA" w:rsidRPr="00547A02">
        <w:rPr>
          <w:lang w:val="en-ZA"/>
        </w:rPr>
        <w:t>Dr</w:t>
      </w:r>
      <w:r w:rsidR="00C673FA">
        <w:rPr>
          <w:lang w:val="en-ZA"/>
        </w:rPr>
        <w:t>.</w:t>
      </w:r>
      <w:r w:rsidR="00C673FA" w:rsidRPr="00547A02">
        <w:rPr>
          <w:lang w:val="en-ZA"/>
        </w:rPr>
        <w:t>Lefakane</w:t>
      </w:r>
      <w:r w:rsidR="00547A02" w:rsidRPr="00547A02">
        <w:rPr>
          <w:lang w:val="en-ZA"/>
        </w:rPr>
        <w:t xml:space="preserve"> (Paediatrician); </w:t>
      </w:r>
      <w:r w:rsidR="001478F0" w:rsidRPr="00547A02">
        <w:rPr>
          <w:lang w:val="en-ZA"/>
        </w:rPr>
        <w:t>Dr</w:t>
      </w:r>
      <w:r w:rsidR="001478F0">
        <w:rPr>
          <w:lang w:val="en-ZA"/>
        </w:rPr>
        <w:t>.</w:t>
      </w:r>
      <w:r w:rsidR="001478F0" w:rsidRPr="00547A02">
        <w:rPr>
          <w:lang w:val="en-ZA"/>
        </w:rPr>
        <w:t>Mbokota</w:t>
      </w:r>
      <w:r w:rsidR="001478F0">
        <w:rPr>
          <w:lang w:val="en-ZA"/>
        </w:rPr>
        <w:t xml:space="preserve"> </w:t>
      </w:r>
      <w:r w:rsidR="00547A02" w:rsidRPr="00547A02">
        <w:rPr>
          <w:lang w:val="en-ZA"/>
        </w:rPr>
        <w:t xml:space="preserve">(Obstetrician Gynaecologist); Prof Nolte (Midwife expert). </w:t>
      </w:r>
    </w:p>
    <w:p w:rsidR="00D47FF4" w:rsidRPr="00547A02" w:rsidRDefault="00D47FF4" w:rsidP="00D47FF4">
      <w:pPr>
        <w:pStyle w:val="JudgmentNumbered"/>
        <w:numPr>
          <w:ilvl w:val="0"/>
          <w:numId w:val="0"/>
        </w:numPr>
        <w:spacing w:after="0"/>
        <w:rPr>
          <w:lang w:val="en-ZA"/>
        </w:rPr>
      </w:pPr>
    </w:p>
    <w:p w:rsidR="00547A02" w:rsidRDefault="0004536C" w:rsidP="0004536C">
      <w:pPr>
        <w:pStyle w:val="JudgmentNumbered"/>
        <w:numPr>
          <w:ilvl w:val="0"/>
          <w:numId w:val="0"/>
        </w:numPr>
        <w:spacing w:after="0"/>
        <w:ind w:left="567" w:hanging="567"/>
        <w:rPr>
          <w:lang w:val="en-ZA"/>
        </w:rPr>
      </w:pPr>
      <w:r>
        <w:rPr>
          <w:lang w:val="en-ZA"/>
        </w:rPr>
        <w:t>[16]</w:t>
      </w:r>
      <w:r>
        <w:rPr>
          <w:lang w:val="en-ZA"/>
        </w:rPr>
        <w:tab/>
      </w:r>
      <w:r w:rsidR="00547A02" w:rsidRPr="00547A02">
        <w:rPr>
          <w:lang w:val="en-ZA"/>
        </w:rPr>
        <w:t xml:space="preserve">The following experts gave evidence for the defendant: Dr Kamolane (Radiologist); Dr Dibote (Paediatrician); Dr Mtsi (Obstetrician Gynaecologist); Dr Ramodike-Chikota (attendant doctor). </w:t>
      </w:r>
    </w:p>
    <w:p w:rsidR="00D47FF4" w:rsidRPr="00547A02" w:rsidRDefault="00D47FF4" w:rsidP="00D47FF4">
      <w:pPr>
        <w:pStyle w:val="JudgmentNumbered"/>
        <w:numPr>
          <w:ilvl w:val="0"/>
          <w:numId w:val="0"/>
        </w:numPr>
        <w:spacing w:after="0"/>
        <w:ind w:left="567"/>
        <w:rPr>
          <w:lang w:val="en-ZA"/>
        </w:rPr>
      </w:pPr>
    </w:p>
    <w:p w:rsidR="0035452A" w:rsidRDefault="0004536C" w:rsidP="0004536C">
      <w:pPr>
        <w:pStyle w:val="JudgmentNumbered"/>
        <w:numPr>
          <w:ilvl w:val="0"/>
          <w:numId w:val="0"/>
        </w:numPr>
        <w:spacing w:after="0"/>
        <w:ind w:left="567" w:hanging="567"/>
      </w:pPr>
      <w:r>
        <w:lastRenderedPageBreak/>
        <w:t>[17]</w:t>
      </w:r>
      <w:r>
        <w:tab/>
      </w:r>
      <w:r w:rsidR="00A50456" w:rsidRPr="00A50456">
        <w:rPr>
          <w:lang w:val="en-ZA"/>
        </w:rPr>
        <w:t xml:space="preserve">In determining whether there was negligence it is </w:t>
      </w:r>
      <w:r w:rsidR="00A50456">
        <w:rPr>
          <w:lang w:val="en-ZA"/>
        </w:rPr>
        <w:t>important</w:t>
      </w:r>
      <w:r w:rsidR="00A50456" w:rsidRPr="00A50456">
        <w:rPr>
          <w:lang w:val="en-ZA"/>
        </w:rPr>
        <w:t xml:space="preserve"> to record the areas of agreement between the experts as well as the aspects which the experts conceded by the defendant’s witnesses. </w:t>
      </w:r>
      <w:r w:rsidR="00E0040B">
        <w:t xml:space="preserve">The </w:t>
      </w:r>
      <w:r w:rsidR="00905175">
        <w:t xml:space="preserve">defendant initially denied liability that the medical and nursing staff of the hospital did not act negligently. </w:t>
      </w:r>
      <w:r w:rsidR="00D53A08">
        <w:t>However,</w:t>
      </w:r>
      <w:r w:rsidR="005D6AD3">
        <w:t xml:space="preserve"> during </w:t>
      </w:r>
      <w:r w:rsidR="00D53A08">
        <w:t xml:space="preserve">trial, </w:t>
      </w:r>
      <w:r w:rsidR="00041238">
        <w:t>the defendant’s experts</w:t>
      </w:r>
      <w:r w:rsidR="00D53A08">
        <w:t xml:space="preserve"> </w:t>
      </w:r>
      <w:r w:rsidR="002C6438">
        <w:t xml:space="preserve">(Dr Mtsi, the obstetrician and gynaecologist and Dr Ramodike-Chikota, </w:t>
      </w:r>
      <w:r w:rsidR="00D47FF4">
        <w:t>(</w:t>
      </w:r>
      <w:r w:rsidR="002C6438">
        <w:t xml:space="preserve">the attendant doctor on 15 September 2012) </w:t>
      </w:r>
      <w:r w:rsidR="00D53A08">
        <w:t xml:space="preserve">conceded </w:t>
      </w:r>
      <w:r w:rsidR="00AF41BE">
        <w:t xml:space="preserve">and agreed with the plaintiff’s experts </w:t>
      </w:r>
      <w:r w:rsidR="00D53A08">
        <w:t xml:space="preserve">that the </w:t>
      </w:r>
      <w:r w:rsidR="00176088" w:rsidRPr="00176088">
        <w:t>care</w:t>
      </w:r>
      <w:r w:rsidR="00176088">
        <w:t xml:space="preserve"> </w:t>
      </w:r>
      <w:r w:rsidR="00176088" w:rsidRPr="00176088">
        <w:t xml:space="preserve">received from the hospital during the birth of </w:t>
      </w:r>
      <w:r w:rsidR="00176088">
        <w:t>child</w:t>
      </w:r>
      <w:r w:rsidR="00176088" w:rsidRPr="00176088">
        <w:t xml:space="preserve"> was substandard</w:t>
      </w:r>
      <w:r w:rsidR="00D53A08">
        <w:t>.</w:t>
      </w:r>
      <w:r w:rsidR="00EB3E1A">
        <w:t xml:space="preserve"> Plaintiff’s evidence and expert witnesses’ testimony is largely uncontested, with the defendant’s witnesses capitulating and conceding the evidence.</w:t>
      </w:r>
      <w:r w:rsidR="00547A02" w:rsidRPr="00547A02">
        <w:t xml:space="preserve"> By agreement, the joint minutes by the Radiologists and Paediatricians were</w:t>
      </w:r>
      <w:r w:rsidR="00547A02">
        <w:t xml:space="preserve"> also</w:t>
      </w:r>
      <w:r w:rsidR="00547A02" w:rsidRPr="00547A02">
        <w:t xml:space="preserve"> admitted by the court as evidence. </w:t>
      </w:r>
    </w:p>
    <w:p w:rsidR="005050C2" w:rsidRPr="00547A02" w:rsidRDefault="005050C2" w:rsidP="005050C2">
      <w:pPr>
        <w:pStyle w:val="JudgmentNumbered"/>
        <w:numPr>
          <w:ilvl w:val="0"/>
          <w:numId w:val="0"/>
        </w:numPr>
        <w:spacing w:after="0"/>
      </w:pPr>
    </w:p>
    <w:p w:rsidR="00910620" w:rsidRPr="008B33D1" w:rsidRDefault="0004536C" w:rsidP="0004536C">
      <w:pPr>
        <w:pStyle w:val="JudgmentNumbered"/>
        <w:numPr>
          <w:ilvl w:val="0"/>
          <w:numId w:val="0"/>
        </w:numPr>
        <w:spacing w:after="0"/>
        <w:ind w:left="567" w:hanging="567"/>
        <w:rPr>
          <w:lang w:val="en-ZA"/>
        </w:rPr>
      </w:pPr>
      <w:r w:rsidRPr="008B33D1">
        <w:rPr>
          <w:lang w:val="en-ZA"/>
        </w:rPr>
        <w:t>[18]</w:t>
      </w:r>
      <w:r w:rsidRPr="008B33D1">
        <w:rPr>
          <w:lang w:val="en-ZA"/>
        </w:rPr>
        <w:tab/>
      </w:r>
      <w:r w:rsidR="00353614" w:rsidRPr="00353614">
        <w:rPr>
          <w:lang w:val="en-ZA"/>
        </w:rPr>
        <w:t>It is true, of course, that the determination of negligence ultimately rests with the court and not with expert witnesses. Yet, that determination is informed by the opinions of experts in the field</w:t>
      </w:r>
      <w:r w:rsidR="00A50A1A">
        <w:rPr>
          <w:lang w:val="en-ZA"/>
        </w:rPr>
        <w:t xml:space="preserve">. </w:t>
      </w:r>
      <w:r w:rsidR="006123A7">
        <w:rPr>
          <w:lang w:val="en-ZA"/>
        </w:rPr>
        <w:t>Although</w:t>
      </w:r>
      <w:r w:rsidR="00A50A1A" w:rsidRPr="00A50A1A">
        <w:rPr>
          <w:lang w:val="en-ZA"/>
        </w:rPr>
        <w:t xml:space="preserve"> the plaintiff’s</w:t>
      </w:r>
      <w:r w:rsidR="00A50A1A" w:rsidRPr="00A50A1A">
        <w:t xml:space="preserve"> evidence and expert witnesses’ testimony is largely uncontested, with the defendant’s witnesses capitulating and conceding the evidence</w:t>
      </w:r>
      <w:r w:rsidR="00A50A1A">
        <w:t xml:space="preserve">, this court is still expected to enquire whether the plaintiff has proved </w:t>
      </w:r>
      <w:r w:rsidR="00A50A1A" w:rsidRPr="00A50A1A">
        <w:rPr>
          <w:lang w:val="en-ZA"/>
        </w:rPr>
        <w:t>on a balance of probabilities, causal connection between the defendant’s negligent acts or omission relied upon and the harm suffered.</w:t>
      </w:r>
    </w:p>
    <w:p w:rsidR="00EF67E6" w:rsidRPr="00EF67E6" w:rsidRDefault="00EF67E6" w:rsidP="00910620">
      <w:pPr>
        <w:pStyle w:val="JudgmentNumbered"/>
        <w:keepNext/>
        <w:widowControl w:val="0"/>
        <w:numPr>
          <w:ilvl w:val="0"/>
          <w:numId w:val="0"/>
        </w:numPr>
        <w:spacing w:before="240"/>
        <w:ind w:left="567" w:hanging="567"/>
        <w:rPr>
          <w:i/>
          <w:iCs/>
        </w:rPr>
      </w:pPr>
      <w:r w:rsidRPr="00EF67E6">
        <w:rPr>
          <w:i/>
          <w:iCs/>
        </w:rPr>
        <w:t xml:space="preserve">Application to the facts </w:t>
      </w:r>
    </w:p>
    <w:p w:rsidR="00547A02" w:rsidRDefault="0004536C" w:rsidP="0004536C">
      <w:pPr>
        <w:pStyle w:val="JudgmentNumbered"/>
        <w:keepNext/>
        <w:widowControl w:val="0"/>
        <w:numPr>
          <w:ilvl w:val="0"/>
          <w:numId w:val="0"/>
        </w:numPr>
        <w:spacing w:after="0"/>
        <w:ind w:left="567" w:hanging="567"/>
      </w:pPr>
      <w:r>
        <w:t>[19]</w:t>
      </w:r>
      <w:r>
        <w:tab/>
      </w:r>
      <w:r w:rsidR="00B56E94" w:rsidRPr="00354417">
        <w:t xml:space="preserve">Applying these principles to the present matter, the conclusion seems undeniable that the negligent conduct on the part of the hospital in the form of the substandard care received by the plaintiff of its staff, caused the HIE and led to the cerebral palsy. That is a common-sense logical conclusion to be drawn from the facts in the matter. </w:t>
      </w:r>
      <w:r w:rsidR="00B56E94" w:rsidRPr="0052118D">
        <w:t xml:space="preserve">The defendant’s employees failed to properly monitor the plaintiff’s labour; to detect foetal distress; to intervene timeously and to assist appropriately with the delivery of the child. </w:t>
      </w:r>
    </w:p>
    <w:p w:rsidR="002D7154" w:rsidRDefault="002D7154" w:rsidP="002D7154">
      <w:pPr>
        <w:pStyle w:val="JudgmentNumbered"/>
        <w:numPr>
          <w:ilvl w:val="0"/>
          <w:numId w:val="0"/>
        </w:numPr>
        <w:spacing w:after="0"/>
        <w:ind w:left="567"/>
      </w:pPr>
    </w:p>
    <w:p w:rsidR="00D47FF4" w:rsidRDefault="0004536C" w:rsidP="0004536C">
      <w:pPr>
        <w:pStyle w:val="JudgmentNumbered"/>
        <w:numPr>
          <w:ilvl w:val="0"/>
          <w:numId w:val="0"/>
        </w:numPr>
        <w:spacing w:after="0"/>
        <w:ind w:left="567" w:hanging="567"/>
        <w:rPr>
          <w:lang w:val="en-ZA"/>
        </w:rPr>
      </w:pPr>
      <w:r>
        <w:rPr>
          <w:lang w:val="en-ZA"/>
        </w:rPr>
        <w:t>[20]</w:t>
      </w:r>
      <w:r>
        <w:rPr>
          <w:lang w:val="en-ZA"/>
        </w:rPr>
        <w:tab/>
      </w:r>
      <w:r w:rsidR="00861648">
        <w:rPr>
          <w:lang w:val="en-ZA"/>
        </w:rPr>
        <w:t>The facts of this matter indicate that t</w:t>
      </w:r>
      <w:r w:rsidR="00457E48" w:rsidRPr="00457E48">
        <w:rPr>
          <w:lang w:val="en-ZA"/>
        </w:rPr>
        <w:t xml:space="preserve">he </w:t>
      </w:r>
      <w:r w:rsidR="00861648">
        <w:rPr>
          <w:lang w:val="en-ZA"/>
        </w:rPr>
        <w:t>p</w:t>
      </w:r>
      <w:r w:rsidR="00457E48" w:rsidRPr="00457E48">
        <w:rPr>
          <w:lang w:val="en-ZA"/>
        </w:rPr>
        <w:t>laintiff experienced an uneventful pregnancy carrying to full</w:t>
      </w:r>
      <w:r w:rsidR="00457E48">
        <w:rPr>
          <w:lang w:val="en-ZA"/>
        </w:rPr>
        <w:t xml:space="preserve"> </w:t>
      </w:r>
      <w:r w:rsidR="00457E48" w:rsidRPr="00457E48">
        <w:rPr>
          <w:lang w:val="en-ZA"/>
        </w:rPr>
        <w:t xml:space="preserve">term without any illnesses, infections or complications </w:t>
      </w:r>
      <w:r w:rsidR="00457E48" w:rsidRPr="00457E48">
        <w:rPr>
          <w:lang w:val="en-ZA"/>
        </w:rPr>
        <w:lastRenderedPageBreak/>
        <w:t>save for</w:t>
      </w:r>
      <w:r w:rsidR="00457E48">
        <w:rPr>
          <w:lang w:val="en-ZA"/>
        </w:rPr>
        <w:t xml:space="preserve"> </w:t>
      </w:r>
      <w:r w:rsidR="00457E48" w:rsidRPr="00457E48">
        <w:rPr>
          <w:lang w:val="en-ZA"/>
        </w:rPr>
        <w:t>her positive HIV status.</w:t>
      </w:r>
      <w:r w:rsidR="00457E48">
        <w:rPr>
          <w:lang w:val="en-ZA"/>
        </w:rPr>
        <w:t xml:space="preserve"> </w:t>
      </w:r>
      <w:r w:rsidR="00457E48" w:rsidRPr="00457E48">
        <w:rPr>
          <w:lang w:val="en-ZA"/>
        </w:rPr>
        <w:t>She was attended to at the Ramokonopi Clinic on 14 September</w:t>
      </w:r>
      <w:r w:rsidR="00457E48">
        <w:rPr>
          <w:lang w:val="en-ZA"/>
        </w:rPr>
        <w:t xml:space="preserve"> </w:t>
      </w:r>
      <w:r w:rsidR="00457E48" w:rsidRPr="00457E48">
        <w:rPr>
          <w:lang w:val="en-ZA"/>
        </w:rPr>
        <w:t>2012 when she experienced labour pains.</w:t>
      </w:r>
    </w:p>
    <w:p w:rsidR="00910620" w:rsidRPr="00910620" w:rsidRDefault="00910620" w:rsidP="00910620">
      <w:pPr>
        <w:pStyle w:val="JudgmentNumbered"/>
        <w:numPr>
          <w:ilvl w:val="0"/>
          <w:numId w:val="0"/>
        </w:numPr>
        <w:spacing w:after="0"/>
        <w:rPr>
          <w:lang w:val="en-ZA"/>
        </w:rPr>
      </w:pPr>
    </w:p>
    <w:p w:rsidR="00457E48" w:rsidRDefault="0004536C" w:rsidP="0004536C">
      <w:pPr>
        <w:pStyle w:val="JudgmentNumbered"/>
        <w:numPr>
          <w:ilvl w:val="0"/>
          <w:numId w:val="0"/>
        </w:numPr>
        <w:spacing w:after="0"/>
        <w:ind w:left="567" w:hanging="567"/>
        <w:rPr>
          <w:lang w:val="en-ZA"/>
        </w:rPr>
      </w:pPr>
      <w:r>
        <w:rPr>
          <w:lang w:val="en-ZA"/>
        </w:rPr>
        <w:t>[21]</w:t>
      </w:r>
      <w:r>
        <w:rPr>
          <w:lang w:val="en-ZA"/>
        </w:rPr>
        <w:tab/>
      </w:r>
      <w:r w:rsidR="00457E48" w:rsidRPr="00457E48">
        <w:rPr>
          <w:lang w:val="en-ZA"/>
        </w:rPr>
        <w:t xml:space="preserve">On examination she was found to be bleeding vaginally and was </w:t>
      </w:r>
      <w:r w:rsidR="00861648">
        <w:rPr>
          <w:lang w:val="en-ZA"/>
        </w:rPr>
        <w:t>then</w:t>
      </w:r>
      <w:r w:rsidR="00457E48" w:rsidRPr="00457E48">
        <w:rPr>
          <w:lang w:val="en-ZA"/>
        </w:rPr>
        <w:t xml:space="preserve"> referred to Natalspruit Hospital by the midwives at the clinic. </w:t>
      </w:r>
      <w:r w:rsidR="00861648">
        <w:rPr>
          <w:lang w:val="en-ZA"/>
        </w:rPr>
        <w:t xml:space="preserve">At the </w:t>
      </w:r>
      <w:r w:rsidR="008B7D12">
        <w:rPr>
          <w:lang w:val="en-ZA"/>
        </w:rPr>
        <w:t>Natalspruit Hospital</w:t>
      </w:r>
      <w:r w:rsidR="00861648">
        <w:rPr>
          <w:lang w:val="en-ZA"/>
        </w:rPr>
        <w:t>, s</w:t>
      </w:r>
      <w:r w:rsidR="00457E48" w:rsidRPr="00457E48">
        <w:rPr>
          <w:lang w:val="en-ZA"/>
        </w:rPr>
        <w:t>he was examined by a doctor who</w:t>
      </w:r>
      <w:r w:rsidR="00457E48">
        <w:rPr>
          <w:lang w:val="en-ZA"/>
        </w:rPr>
        <w:t xml:space="preserve"> </w:t>
      </w:r>
      <w:r w:rsidR="00457E48" w:rsidRPr="00457E48">
        <w:rPr>
          <w:lang w:val="en-ZA"/>
        </w:rPr>
        <w:t>made notes in the clinical records that she was referred and</w:t>
      </w:r>
      <w:r w:rsidR="00457E48">
        <w:rPr>
          <w:lang w:val="en-ZA"/>
        </w:rPr>
        <w:t xml:space="preserve"> </w:t>
      </w:r>
      <w:r w:rsidR="00457E48" w:rsidRPr="00457E48">
        <w:rPr>
          <w:lang w:val="en-ZA"/>
        </w:rPr>
        <w:t>examined for lower abdominal pain.</w:t>
      </w:r>
      <w:r w:rsidR="00457E48">
        <w:rPr>
          <w:lang w:val="en-ZA"/>
        </w:rPr>
        <w:t xml:space="preserve"> </w:t>
      </w:r>
      <w:r w:rsidR="00457E48" w:rsidRPr="00457E48">
        <w:rPr>
          <w:lang w:val="en-ZA"/>
        </w:rPr>
        <w:t>There is no indication in the clinical records that she was</w:t>
      </w:r>
      <w:r w:rsidR="00457E48">
        <w:rPr>
          <w:lang w:val="en-ZA"/>
        </w:rPr>
        <w:t xml:space="preserve"> </w:t>
      </w:r>
      <w:r w:rsidR="00457E48" w:rsidRPr="00457E48">
        <w:rPr>
          <w:lang w:val="en-ZA"/>
        </w:rPr>
        <w:t>examined or assessed for the vaginal bleeding until 05h30 when</w:t>
      </w:r>
      <w:r w:rsidR="00457E48">
        <w:rPr>
          <w:lang w:val="en-ZA"/>
        </w:rPr>
        <w:t xml:space="preserve"> </w:t>
      </w:r>
      <w:r w:rsidR="00457E48" w:rsidRPr="00457E48">
        <w:rPr>
          <w:lang w:val="en-ZA"/>
        </w:rPr>
        <w:t>vaginal bleeding was noted again by Dr Ramodike.</w:t>
      </w:r>
      <w:r w:rsidR="00457E48">
        <w:rPr>
          <w:lang w:val="en-ZA"/>
        </w:rPr>
        <w:t xml:space="preserve"> </w:t>
      </w:r>
      <w:r w:rsidR="00457E48" w:rsidRPr="00457E48">
        <w:rPr>
          <w:lang w:val="en-ZA"/>
        </w:rPr>
        <w:t>Dr Ramodike ordered that a sonar be performed on the Plaintiff</w:t>
      </w:r>
      <w:r w:rsidR="00457E48">
        <w:rPr>
          <w:lang w:val="en-ZA"/>
        </w:rPr>
        <w:t xml:space="preserve"> </w:t>
      </w:r>
      <w:r w:rsidR="00457E48" w:rsidRPr="00457E48">
        <w:rPr>
          <w:lang w:val="en-ZA"/>
        </w:rPr>
        <w:t>to exclude Placentae Previa and Abruptio Placenta which are</w:t>
      </w:r>
      <w:r w:rsidR="00457E48">
        <w:rPr>
          <w:lang w:val="en-ZA"/>
        </w:rPr>
        <w:t xml:space="preserve"> </w:t>
      </w:r>
      <w:r w:rsidR="00457E48" w:rsidRPr="00457E48">
        <w:rPr>
          <w:lang w:val="en-ZA"/>
        </w:rPr>
        <w:t>both sentinel events which can cause hypoxic ischemic injury or</w:t>
      </w:r>
      <w:r w:rsidR="00457E48">
        <w:rPr>
          <w:lang w:val="en-ZA"/>
        </w:rPr>
        <w:t xml:space="preserve"> </w:t>
      </w:r>
      <w:r w:rsidR="00457E48" w:rsidRPr="00457E48">
        <w:rPr>
          <w:lang w:val="en-ZA"/>
        </w:rPr>
        <w:t>encephalopathy.</w:t>
      </w:r>
    </w:p>
    <w:p w:rsidR="00D47FF4" w:rsidRPr="00457E48" w:rsidRDefault="00D47FF4" w:rsidP="002D7154">
      <w:pPr>
        <w:pStyle w:val="JudgmentNumbered"/>
        <w:numPr>
          <w:ilvl w:val="0"/>
          <w:numId w:val="0"/>
        </w:numPr>
        <w:spacing w:after="0"/>
        <w:rPr>
          <w:lang w:val="en-ZA"/>
        </w:rPr>
      </w:pPr>
    </w:p>
    <w:p w:rsidR="00457E48" w:rsidRDefault="0004536C" w:rsidP="0004536C">
      <w:pPr>
        <w:pStyle w:val="JudgmentNumbered"/>
        <w:numPr>
          <w:ilvl w:val="0"/>
          <w:numId w:val="0"/>
        </w:numPr>
        <w:spacing w:after="0"/>
        <w:ind w:left="567" w:hanging="567"/>
      </w:pPr>
      <w:r>
        <w:t>[22]</w:t>
      </w:r>
      <w:r>
        <w:tab/>
      </w:r>
      <w:r w:rsidR="00457E48">
        <w:t>At 06h00 on 15 September 2012 it appears from the clinical notes that the exclusionary sonar was not performed as ordered and</w:t>
      </w:r>
      <w:r w:rsidR="00861648">
        <w:t>/or</w:t>
      </w:r>
      <w:r w:rsidR="00457E48">
        <w:t xml:space="preserve"> probably not done. It further </w:t>
      </w:r>
      <w:r w:rsidR="00861648">
        <w:t>appeared</w:t>
      </w:r>
      <w:r w:rsidR="00457E48">
        <w:t xml:space="preserve"> from the clinical notes that the monitoring of the </w:t>
      </w:r>
      <w:r w:rsidR="002D7154">
        <w:t>foetus</w:t>
      </w:r>
      <w:r w:rsidR="00457E48">
        <w:t xml:space="preserve"> and the </w:t>
      </w:r>
      <w:r w:rsidR="00861648">
        <w:t>p</w:t>
      </w:r>
      <w:r w:rsidR="00457E48">
        <w:t>laintiff was not done as prescribed by the Maternit</w:t>
      </w:r>
      <w:r w:rsidR="00861648">
        <w:t xml:space="preserve">y </w:t>
      </w:r>
      <w:r w:rsidR="00457E48">
        <w:t>Care Guidelines in that</w:t>
      </w:r>
      <w:r w:rsidR="00861648">
        <w:t xml:space="preserve"> the</w:t>
      </w:r>
      <w:r w:rsidR="00457E48">
        <w:t xml:space="preserve"> </w:t>
      </w:r>
      <w:r w:rsidR="00861648">
        <w:t>m</w:t>
      </w:r>
      <w:r w:rsidR="00457E48">
        <w:t>aternal monitoring was not done hourly as prescribed.</w:t>
      </w:r>
    </w:p>
    <w:p w:rsidR="002D7154" w:rsidRDefault="002D7154" w:rsidP="00EA3B77">
      <w:pPr>
        <w:pStyle w:val="JudgmentNumbered"/>
        <w:numPr>
          <w:ilvl w:val="0"/>
          <w:numId w:val="0"/>
        </w:numPr>
        <w:spacing w:after="0"/>
        <w:ind w:left="567"/>
      </w:pPr>
    </w:p>
    <w:p w:rsidR="00457E48" w:rsidRDefault="0004536C" w:rsidP="0004536C">
      <w:pPr>
        <w:pStyle w:val="JudgmentNumbered"/>
        <w:numPr>
          <w:ilvl w:val="0"/>
          <w:numId w:val="0"/>
        </w:numPr>
        <w:spacing w:after="0"/>
        <w:ind w:left="567" w:hanging="567"/>
      </w:pPr>
      <w:r>
        <w:t>[23]</w:t>
      </w:r>
      <w:r>
        <w:tab/>
      </w:r>
      <w:r w:rsidR="00457E48">
        <w:t>The foetus was not monitored continuously on CTG as prescribed. The vaginal bleeding was not assessed and Abruption Placenta as the most common differential diagnosis was not excluded. At 07h</w:t>
      </w:r>
      <w:r w:rsidR="00861648">
        <w:t>15, the p</w:t>
      </w:r>
      <w:r w:rsidR="00457E48">
        <w:t xml:space="preserve">laintiff had strong frequent uterine contractions. The </w:t>
      </w:r>
      <w:r w:rsidR="00861648">
        <w:t>p</w:t>
      </w:r>
      <w:r w:rsidR="00457E48">
        <w:t xml:space="preserve">laintiff was 9cm dilated and was still passing blood clots. Dr Ramodike instructed that </w:t>
      </w:r>
      <w:r w:rsidR="00F52CEE" w:rsidRPr="00F52CEE">
        <w:rPr>
          <w:color w:val="202124"/>
          <w:szCs w:val="24"/>
          <w:shd w:val="clear" w:color="auto" w:fill="FFFFFF"/>
        </w:rPr>
        <w:t>Syntocinon</w:t>
      </w:r>
      <w:r w:rsidR="00F52CEE">
        <w:t xml:space="preserve"> </w:t>
      </w:r>
      <w:r w:rsidR="00457E48">
        <w:t>be administered.</w:t>
      </w:r>
    </w:p>
    <w:p w:rsidR="002D7154" w:rsidRDefault="002D7154" w:rsidP="00EA3B77">
      <w:pPr>
        <w:pStyle w:val="JudgmentNumbered"/>
        <w:numPr>
          <w:ilvl w:val="0"/>
          <w:numId w:val="0"/>
        </w:numPr>
        <w:spacing w:after="0"/>
        <w:ind w:left="567"/>
      </w:pPr>
    </w:p>
    <w:p w:rsidR="00240117" w:rsidRDefault="0004536C" w:rsidP="0004536C">
      <w:pPr>
        <w:pStyle w:val="JudgmentNumbered"/>
        <w:numPr>
          <w:ilvl w:val="0"/>
          <w:numId w:val="0"/>
        </w:numPr>
        <w:spacing w:after="0"/>
        <w:ind w:left="567" w:hanging="567"/>
        <w:rPr>
          <w:lang w:val="en-ZA"/>
        </w:rPr>
      </w:pPr>
      <w:r>
        <w:rPr>
          <w:lang w:val="en-ZA"/>
        </w:rPr>
        <w:t>[24]</w:t>
      </w:r>
      <w:r>
        <w:rPr>
          <w:lang w:val="en-ZA"/>
        </w:rPr>
        <w:tab/>
      </w:r>
      <w:r w:rsidR="00457E48">
        <w:t xml:space="preserve">There </w:t>
      </w:r>
      <w:r w:rsidR="00457E48" w:rsidRPr="00457E48">
        <w:rPr>
          <w:lang w:val="en-ZA"/>
        </w:rPr>
        <w:t>was no continuous foetal monitoring on CTG.</w:t>
      </w:r>
      <w:r w:rsidR="00457E48" w:rsidRPr="00457E48">
        <w:rPr>
          <w:rFonts w:ascii="ArialMT" w:hAnsi="ArialMT" w:cs="ArialMT"/>
          <w:color w:val="000000"/>
          <w:szCs w:val="24"/>
          <w:lang w:val="en-ZA"/>
        </w:rPr>
        <w:t xml:space="preserve"> </w:t>
      </w:r>
      <w:r w:rsidR="00457E48" w:rsidRPr="00457E48">
        <w:rPr>
          <w:lang w:val="en-ZA"/>
        </w:rPr>
        <w:t>The labour was allowed to proceed as if normal until delivery.</w:t>
      </w:r>
      <w:r w:rsidR="00457E48">
        <w:rPr>
          <w:lang w:val="en-ZA"/>
        </w:rPr>
        <w:t xml:space="preserve"> </w:t>
      </w:r>
      <w:r w:rsidR="00457E48" w:rsidRPr="00457E48">
        <w:rPr>
          <w:lang w:val="en-ZA"/>
        </w:rPr>
        <w:t>The baby was born depressed and compromised.</w:t>
      </w:r>
      <w:r w:rsidR="00457E48">
        <w:rPr>
          <w:lang w:val="en-ZA"/>
        </w:rPr>
        <w:t xml:space="preserve"> </w:t>
      </w:r>
      <w:r w:rsidR="00457E48" w:rsidRPr="00457E48">
        <w:rPr>
          <w:lang w:val="en-ZA"/>
        </w:rPr>
        <w:t>The baby was immediately admitted to the neonatal intensive care.</w:t>
      </w:r>
      <w:r w:rsidR="00457E48">
        <w:rPr>
          <w:lang w:val="en-ZA"/>
        </w:rPr>
        <w:t xml:space="preserve"> </w:t>
      </w:r>
      <w:r w:rsidR="00457E48" w:rsidRPr="00457E48">
        <w:rPr>
          <w:lang w:val="en-ZA"/>
        </w:rPr>
        <w:t>The baby immediately showed signs of a hypoxic ischemic injury.</w:t>
      </w:r>
      <w:r w:rsidR="00457E48">
        <w:rPr>
          <w:lang w:val="en-ZA"/>
        </w:rPr>
        <w:t xml:space="preserve"> </w:t>
      </w:r>
    </w:p>
    <w:p w:rsidR="002D7154" w:rsidRDefault="002D7154" w:rsidP="00EA3B77">
      <w:pPr>
        <w:pStyle w:val="JudgmentNumbered"/>
        <w:numPr>
          <w:ilvl w:val="0"/>
          <w:numId w:val="0"/>
        </w:numPr>
        <w:spacing w:after="0"/>
        <w:ind w:left="567"/>
        <w:rPr>
          <w:lang w:val="en-ZA"/>
        </w:rPr>
      </w:pPr>
    </w:p>
    <w:p w:rsidR="00240117" w:rsidRPr="002D7154" w:rsidRDefault="0004536C" w:rsidP="0004536C">
      <w:pPr>
        <w:pStyle w:val="JudgmentNumbered"/>
        <w:numPr>
          <w:ilvl w:val="0"/>
          <w:numId w:val="0"/>
        </w:numPr>
        <w:spacing w:after="0"/>
        <w:ind w:left="567" w:hanging="567"/>
        <w:rPr>
          <w:lang w:val="en-ZA"/>
        </w:rPr>
      </w:pPr>
      <w:r w:rsidRPr="002D7154">
        <w:rPr>
          <w:lang w:val="en-ZA"/>
        </w:rPr>
        <w:t>[25]</w:t>
      </w:r>
      <w:r w:rsidRPr="002D7154">
        <w:rPr>
          <w:lang w:val="en-ZA"/>
        </w:rPr>
        <w:tab/>
      </w:r>
      <w:r w:rsidR="00457E48" w:rsidRPr="00457E48">
        <w:rPr>
          <w:lang w:val="en-ZA"/>
        </w:rPr>
        <w:t>The parties agreed that the joint minutes of the expert</w:t>
      </w:r>
      <w:r w:rsidR="00457E48">
        <w:rPr>
          <w:lang w:val="en-ZA"/>
        </w:rPr>
        <w:t xml:space="preserve"> </w:t>
      </w:r>
      <w:r w:rsidR="00457E48" w:rsidRPr="00457E48">
        <w:rPr>
          <w:lang w:val="en-ZA"/>
        </w:rPr>
        <w:t>witnesses</w:t>
      </w:r>
      <w:r w:rsidR="00240117" w:rsidRPr="00240117">
        <w:rPr>
          <w:lang w:val="en-ZA"/>
        </w:rPr>
        <w:t xml:space="preserve"> </w:t>
      </w:r>
      <w:r w:rsidR="00240117">
        <w:rPr>
          <w:lang w:val="en-ZA"/>
        </w:rPr>
        <w:t>(Ra</w:t>
      </w:r>
      <w:r w:rsidR="00240117" w:rsidRPr="00457E48">
        <w:rPr>
          <w:lang w:val="en-ZA"/>
        </w:rPr>
        <w:t>diologists</w:t>
      </w:r>
      <w:r w:rsidR="00240117">
        <w:rPr>
          <w:lang w:val="en-ZA"/>
        </w:rPr>
        <w:t> </w:t>
      </w:r>
      <w:r w:rsidR="00240117" w:rsidRPr="00457E48">
        <w:rPr>
          <w:lang w:val="en-ZA"/>
        </w:rPr>
        <w:t>–</w:t>
      </w:r>
      <w:r w:rsidR="00240117">
        <w:rPr>
          <w:lang w:val="en-ZA"/>
        </w:rPr>
        <w:t> </w:t>
      </w:r>
      <w:r w:rsidR="00240117" w:rsidRPr="00457E48">
        <w:rPr>
          <w:lang w:val="en-ZA"/>
        </w:rPr>
        <w:t>Dr Henning and Dr Kamolane</w:t>
      </w:r>
      <w:r w:rsidR="00240117">
        <w:rPr>
          <w:lang w:val="en-ZA"/>
        </w:rPr>
        <w:t>)</w:t>
      </w:r>
      <w:r w:rsidR="00457E48" w:rsidRPr="00457E48">
        <w:rPr>
          <w:lang w:val="en-ZA"/>
        </w:rPr>
        <w:t xml:space="preserve"> would be accepted as evidence without the respectiv</w:t>
      </w:r>
      <w:r w:rsidR="00457E48">
        <w:rPr>
          <w:lang w:val="en-ZA"/>
        </w:rPr>
        <w:t xml:space="preserve">e </w:t>
      </w:r>
      <w:r w:rsidR="00457E48" w:rsidRPr="00457E48">
        <w:rPr>
          <w:lang w:val="en-ZA"/>
        </w:rPr>
        <w:t>witnesses being called to give evidence.</w:t>
      </w:r>
      <w:r w:rsidR="00240117">
        <w:rPr>
          <w:lang w:val="en-ZA"/>
        </w:rPr>
        <w:t xml:space="preserve"> </w:t>
      </w:r>
      <w:r w:rsidR="00457E48" w:rsidRPr="00457E48">
        <w:rPr>
          <w:lang w:val="en-ZA"/>
        </w:rPr>
        <w:t>The</w:t>
      </w:r>
      <w:r w:rsidR="00240117">
        <w:rPr>
          <w:lang w:val="en-ZA"/>
        </w:rPr>
        <w:t xml:space="preserve"> joint minutes </w:t>
      </w:r>
      <w:r w:rsidR="00457E48" w:rsidRPr="00457E48">
        <w:rPr>
          <w:lang w:val="en-ZA"/>
        </w:rPr>
        <w:t>record</w:t>
      </w:r>
      <w:r w:rsidR="00240117">
        <w:rPr>
          <w:lang w:val="en-ZA"/>
        </w:rPr>
        <w:t>ed</w:t>
      </w:r>
      <w:r w:rsidR="00457E48" w:rsidRPr="00457E48">
        <w:rPr>
          <w:lang w:val="en-ZA"/>
        </w:rPr>
        <w:t xml:space="preserve"> </w:t>
      </w:r>
      <w:r w:rsidR="00240117">
        <w:rPr>
          <w:lang w:val="en-ZA"/>
        </w:rPr>
        <w:t xml:space="preserve">that </w:t>
      </w:r>
      <w:r w:rsidR="00457E48" w:rsidRPr="00457E48">
        <w:rPr>
          <w:lang w:val="en-ZA"/>
        </w:rPr>
        <w:t>the dominant injury seen on the MRI is hypoxic</w:t>
      </w:r>
      <w:r w:rsidR="00457E48" w:rsidRPr="00240117">
        <w:rPr>
          <w:lang w:val="en-ZA"/>
        </w:rPr>
        <w:t xml:space="preserve"> </w:t>
      </w:r>
      <w:r w:rsidR="00457E48" w:rsidRPr="00457E48">
        <w:rPr>
          <w:lang w:val="en-ZA"/>
        </w:rPr>
        <w:t>ischemic injury.</w:t>
      </w:r>
      <w:r w:rsidR="00457E48" w:rsidRPr="00240117">
        <w:rPr>
          <w:lang w:val="en-ZA"/>
        </w:rPr>
        <w:t xml:space="preserve"> </w:t>
      </w:r>
      <w:r w:rsidR="00457E48" w:rsidRPr="00457E48">
        <w:rPr>
          <w:lang w:val="en-ZA"/>
        </w:rPr>
        <w:lastRenderedPageBreak/>
        <w:t xml:space="preserve">That the findings of the MRI study </w:t>
      </w:r>
      <w:r w:rsidR="004A3357" w:rsidRPr="00457E48">
        <w:rPr>
          <w:lang w:val="en-ZA"/>
        </w:rPr>
        <w:t>suggest</w:t>
      </w:r>
      <w:r w:rsidR="00457E48" w:rsidRPr="00457E48">
        <w:rPr>
          <w:lang w:val="en-ZA"/>
        </w:rPr>
        <w:t xml:space="preserve"> that genetic</w:t>
      </w:r>
      <w:r w:rsidR="00457E48" w:rsidRPr="00240117">
        <w:rPr>
          <w:lang w:val="en-ZA"/>
        </w:rPr>
        <w:t xml:space="preserve"> </w:t>
      </w:r>
      <w:r w:rsidR="00457E48" w:rsidRPr="00457E48">
        <w:rPr>
          <w:lang w:val="en-ZA"/>
        </w:rPr>
        <w:t>disorders as a cause of the child’s brain damage is</w:t>
      </w:r>
      <w:r w:rsidR="00457E48" w:rsidRPr="00240117">
        <w:rPr>
          <w:lang w:val="en-ZA"/>
        </w:rPr>
        <w:t xml:space="preserve"> </w:t>
      </w:r>
      <w:r w:rsidR="00457E48" w:rsidRPr="00457E48">
        <w:rPr>
          <w:lang w:val="en-ZA"/>
        </w:rPr>
        <w:t>unlikely.</w:t>
      </w:r>
      <w:r w:rsidR="00240117">
        <w:rPr>
          <w:lang w:val="en-ZA"/>
        </w:rPr>
        <w:t xml:space="preserve"> Further, t</w:t>
      </w:r>
      <w:r w:rsidR="00815629">
        <w:t xml:space="preserve">hat the MRI findings suggest that inflammatory or infective causes are unlikely as causes of the child’s brain damage. </w:t>
      </w:r>
      <w:r w:rsidR="00240117">
        <w:t>Lastly, t</w:t>
      </w:r>
      <w:r w:rsidR="00815629">
        <w:t xml:space="preserve">hat the predominate pattern of injury is an acute profound hypoxic ischemic injury in a mature brain. </w:t>
      </w:r>
    </w:p>
    <w:p w:rsidR="002D7154" w:rsidRPr="00240117" w:rsidRDefault="002D7154" w:rsidP="002D7154">
      <w:pPr>
        <w:pStyle w:val="JudgmentNumbered"/>
        <w:numPr>
          <w:ilvl w:val="0"/>
          <w:numId w:val="0"/>
        </w:numPr>
        <w:spacing w:after="0"/>
        <w:rPr>
          <w:lang w:val="en-ZA"/>
        </w:rPr>
      </w:pPr>
    </w:p>
    <w:p w:rsidR="00815629" w:rsidRPr="002D7154" w:rsidRDefault="0004536C" w:rsidP="0004536C">
      <w:pPr>
        <w:pStyle w:val="JudgmentNumbered"/>
        <w:numPr>
          <w:ilvl w:val="0"/>
          <w:numId w:val="0"/>
        </w:numPr>
        <w:spacing w:after="0"/>
        <w:ind w:left="567" w:hanging="567"/>
        <w:rPr>
          <w:lang w:val="en-ZA"/>
        </w:rPr>
      </w:pPr>
      <w:r w:rsidRPr="002D7154">
        <w:rPr>
          <w:lang w:val="en-ZA"/>
        </w:rPr>
        <w:t>[26]</w:t>
      </w:r>
      <w:r w:rsidRPr="002D7154">
        <w:rPr>
          <w:lang w:val="en-ZA"/>
        </w:rPr>
        <w:tab/>
      </w:r>
      <w:r w:rsidR="00815629">
        <w:t xml:space="preserve">The Paediatricians </w:t>
      </w:r>
      <w:r w:rsidR="00240117">
        <w:t>(</w:t>
      </w:r>
      <w:r w:rsidR="00815629">
        <w:t>Dr Lefakane and Dr Dibote</w:t>
      </w:r>
      <w:r w:rsidR="00240117">
        <w:t>)</w:t>
      </w:r>
      <w:r w:rsidR="00815629">
        <w:t xml:space="preserve"> </w:t>
      </w:r>
      <w:r w:rsidR="00240117">
        <w:t xml:space="preserve">recorded that </w:t>
      </w:r>
      <w:r w:rsidR="00815629">
        <w:t>the antenatal course of Plaintiff’s pregnancy was normal with no recognized complications or conditions which could have affected the outcome. Moderately severe neonatal encephalopathy (NE) Grade 2 with seizures was present after birth.</w:t>
      </w:r>
    </w:p>
    <w:p w:rsidR="002D7154" w:rsidRPr="00240117" w:rsidRDefault="002D7154" w:rsidP="002D7154">
      <w:pPr>
        <w:pStyle w:val="JudgmentNumbered"/>
        <w:numPr>
          <w:ilvl w:val="0"/>
          <w:numId w:val="0"/>
        </w:numPr>
        <w:spacing w:after="0"/>
        <w:rPr>
          <w:lang w:val="en-ZA"/>
        </w:rPr>
      </w:pPr>
    </w:p>
    <w:p w:rsidR="00240117" w:rsidRDefault="0004536C" w:rsidP="0004536C">
      <w:pPr>
        <w:pStyle w:val="JudgmentNumbered"/>
        <w:numPr>
          <w:ilvl w:val="0"/>
          <w:numId w:val="0"/>
        </w:numPr>
        <w:spacing w:after="0"/>
        <w:ind w:left="567" w:hanging="567"/>
      </w:pPr>
      <w:r>
        <w:t>[27]</w:t>
      </w:r>
      <w:r>
        <w:tab/>
      </w:r>
      <w:r w:rsidR="00240117">
        <w:t>From the above facts, it is clear that i</w:t>
      </w:r>
      <w:r w:rsidR="00B56E94" w:rsidRPr="0052118D">
        <w:t xml:space="preserve">f the birth was properly managed, the stressful situation facing the foetus could and should have been recognised and reacted upon. This is much the experts are agreed and has been conceded. </w:t>
      </w:r>
      <w:r w:rsidR="00B56E94">
        <w:t xml:space="preserve">Negligence has </w:t>
      </w:r>
      <w:r w:rsidR="00240117">
        <w:t xml:space="preserve">therefore </w:t>
      </w:r>
      <w:r w:rsidR="00B56E94">
        <w:t xml:space="preserve">been proved. </w:t>
      </w:r>
    </w:p>
    <w:p w:rsidR="00C673FA" w:rsidRDefault="00C673FA" w:rsidP="00C673FA">
      <w:pPr>
        <w:pStyle w:val="JudgmentNumbered"/>
        <w:numPr>
          <w:ilvl w:val="0"/>
          <w:numId w:val="0"/>
        </w:numPr>
        <w:spacing w:after="0"/>
      </w:pPr>
    </w:p>
    <w:p w:rsidR="002D7154" w:rsidRDefault="0004536C" w:rsidP="0004536C">
      <w:pPr>
        <w:pStyle w:val="JudgmentNumbered"/>
        <w:numPr>
          <w:ilvl w:val="0"/>
          <w:numId w:val="0"/>
        </w:numPr>
        <w:spacing w:after="0"/>
        <w:ind w:left="567" w:hanging="567"/>
      </w:pPr>
      <w:r>
        <w:t>[28]</w:t>
      </w:r>
      <w:r>
        <w:tab/>
      </w:r>
      <w:r w:rsidR="00B56E94" w:rsidRPr="003A5B4F">
        <w:t>Moreover, a direct causal link between the negligence of the defendant and the adverse outcome has been established. If there was proper monitoring and assistance, foetal distress would have been detected and appropriate assistance would have been given with the delivery by a timeous caesarean section to prevent the HIE insult, which resulted in the cerebral palsy.</w:t>
      </w:r>
      <w:r w:rsidR="00B56E94" w:rsidRPr="00377E42">
        <w:t xml:space="preserve"> </w:t>
      </w:r>
    </w:p>
    <w:p w:rsidR="00C673FA" w:rsidRDefault="00C673FA" w:rsidP="00C673FA">
      <w:pPr>
        <w:pStyle w:val="JudgmentNumbered"/>
        <w:numPr>
          <w:ilvl w:val="0"/>
          <w:numId w:val="0"/>
        </w:numPr>
        <w:spacing w:after="0"/>
      </w:pPr>
    </w:p>
    <w:p w:rsidR="005D6AD3" w:rsidRPr="005441D6" w:rsidRDefault="0004536C" w:rsidP="0004536C">
      <w:pPr>
        <w:pStyle w:val="JudgmentNumbered"/>
        <w:numPr>
          <w:ilvl w:val="0"/>
          <w:numId w:val="0"/>
        </w:numPr>
        <w:ind w:left="1440" w:hanging="360"/>
        <w:rPr>
          <w:u w:val="single"/>
        </w:rPr>
      </w:pPr>
      <w:r w:rsidRPr="005441D6">
        <w:t>c.</w:t>
      </w:r>
      <w:r w:rsidRPr="005441D6">
        <w:tab/>
      </w:r>
      <w:r w:rsidR="006123A7" w:rsidRPr="005441D6">
        <w:rPr>
          <w:u w:val="single"/>
        </w:rPr>
        <w:t>Has</w:t>
      </w:r>
      <w:r w:rsidR="006123A7" w:rsidRPr="005441D6">
        <w:rPr>
          <w:rFonts w:cstheme="minorBidi"/>
          <w:u w:val="single"/>
        </w:rPr>
        <w:t xml:space="preserve"> </w:t>
      </w:r>
      <w:r w:rsidR="006123A7" w:rsidRPr="005441D6">
        <w:rPr>
          <w:u w:val="single"/>
        </w:rPr>
        <w:t xml:space="preserve">plaintiff’s claim in her personal capacity prescribed? </w:t>
      </w:r>
    </w:p>
    <w:p w:rsidR="00240117" w:rsidRDefault="0004536C" w:rsidP="0004536C">
      <w:pPr>
        <w:pStyle w:val="JudgmentNumbered"/>
        <w:numPr>
          <w:ilvl w:val="0"/>
          <w:numId w:val="0"/>
        </w:numPr>
        <w:spacing w:after="0"/>
        <w:ind w:left="567" w:hanging="567"/>
      </w:pPr>
      <w:r>
        <w:t>[29]</w:t>
      </w:r>
      <w:r>
        <w:tab/>
      </w:r>
      <w:r w:rsidR="00DA2073">
        <w:t>Based on the above, t</w:t>
      </w:r>
      <w:r w:rsidR="00240117" w:rsidRPr="00240117">
        <w:t xml:space="preserve">he only defence the defendant relies on is prescription. The defendant argues that the plaintiff’s claim in her personal capacity has prescribed. The alleged breach of legal duty occurred on 15 September 2012. The argument goes that the plaintiff was already aware of the possibility of a claim since she signed a special power of attorney dated 27 May 2013 instructing her attorneys of record to investigate the circumstances relating to the medical negligence incident. She further signed a consent form on 27 May 2013 authorising her attorneys of record to inspect all medical records relating to the medical incident in which the injuries were sustained. The summons instituting </w:t>
      </w:r>
      <w:r w:rsidR="00240117" w:rsidRPr="00240117">
        <w:lastRenderedPageBreak/>
        <w:t xml:space="preserve">this claim was issued on 08 November 2018, well after the prescription period of 3 years as provided for in the Prescription Act 68 of 1969 (the Prescription Act). </w:t>
      </w:r>
    </w:p>
    <w:p w:rsidR="005050C2" w:rsidRDefault="005050C2" w:rsidP="005050C2">
      <w:pPr>
        <w:pStyle w:val="JudgmentNumbered"/>
        <w:numPr>
          <w:ilvl w:val="0"/>
          <w:numId w:val="0"/>
        </w:numPr>
        <w:spacing w:after="0"/>
        <w:ind w:left="567"/>
      </w:pPr>
    </w:p>
    <w:p w:rsidR="00DD0441" w:rsidRDefault="0004536C" w:rsidP="0004536C">
      <w:pPr>
        <w:pStyle w:val="JudgmentNumbered"/>
        <w:numPr>
          <w:ilvl w:val="0"/>
          <w:numId w:val="0"/>
        </w:numPr>
        <w:spacing w:after="0"/>
        <w:ind w:left="567" w:hanging="567"/>
      </w:pPr>
      <w:r>
        <w:t>[30]</w:t>
      </w:r>
      <w:r>
        <w:tab/>
      </w:r>
      <w:r w:rsidR="00DD0441">
        <w:t>Prescription is a legal concept that refers to a situation where the law provides that due to the passage of time, a debtor is no longer legally obliged to pay off an old debt.</w:t>
      </w:r>
      <w:r w:rsidR="00DD0441" w:rsidRPr="00DD0441">
        <w:t xml:space="preserve"> Prescription laws in South Africa play a crucial role in determining the time limits for pursuing legal claims. These laws outline the maximum period within which a person can bring a claim against another party. If this period is exceeded, the claim will become time-</w:t>
      </w:r>
      <w:r w:rsidR="005050C2" w:rsidRPr="00DD0441">
        <w:t>barred,</w:t>
      </w:r>
      <w:r w:rsidR="00DD0441" w:rsidRPr="00DD0441">
        <w:t xml:space="preserve"> and the person will no longer be able to pursue it. </w:t>
      </w:r>
    </w:p>
    <w:p w:rsidR="005050C2" w:rsidRDefault="005050C2" w:rsidP="005050C2">
      <w:pPr>
        <w:pStyle w:val="JudgmentNumbered"/>
        <w:numPr>
          <w:ilvl w:val="0"/>
          <w:numId w:val="0"/>
        </w:numPr>
        <w:spacing w:after="0"/>
      </w:pPr>
    </w:p>
    <w:p w:rsidR="002506F4" w:rsidRDefault="0004536C" w:rsidP="0004536C">
      <w:pPr>
        <w:pStyle w:val="JudgmentNumbered"/>
        <w:numPr>
          <w:ilvl w:val="0"/>
          <w:numId w:val="0"/>
        </w:numPr>
        <w:spacing w:after="0"/>
        <w:ind w:left="567" w:hanging="567"/>
        <w:rPr>
          <w:lang w:val="en-ZA"/>
        </w:rPr>
      </w:pPr>
      <w:r>
        <w:rPr>
          <w:lang w:val="en-ZA"/>
        </w:rPr>
        <w:t>[31]</w:t>
      </w:r>
      <w:r>
        <w:rPr>
          <w:lang w:val="en-ZA"/>
        </w:rPr>
        <w:tab/>
      </w:r>
      <w:r w:rsidR="00DD0441">
        <w:t>In South Africa, prescription laws are governed by the Prescription Act</w:t>
      </w:r>
      <w:r w:rsidR="005050C2">
        <w:t xml:space="preserve"> </w:t>
      </w:r>
      <w:r w:rsidR="009F6D0B">
        <w:t>and accordingly</w:t>
      </w:r>
      <w:r w:rsidR="00DD0441">
        <w:t>, the time limit for pursuing a legal claim depends on the type of claim and the circumstances surrounding it. T</w:t>
      </w:r>
      <w:r w:rsidR="00DD0441" w:rsidRPr="00DD0441">
        <w:t>he Prescription Act sets out different time limits for different types of legal claims.</w:t>
      </w:r>
      <w:r w:rsidR="00DD0441" w:rsidRPr="00DD0441">
        <w:rPr>
          <w:rFonts w:ascii="Poppins" w:eastAsia="Times New Roman" w:hAnsi="Poppins" w:cs="Poppins"/>
          <w:color w:val="000000"/>
          <w:sz w:val="20"/>
          <w:szCs w:val="20"/>
          <w:lang w:val="en-ZA" w:eastAsia="en-ZA"/>
        </w:rPr>
        <w:t xml:space="preserve"> </w:t>
      </w:r>
      <w:r w:rsidR="00DD0441" w:rsidRPr="00DD0441">
        <w:rPr>
          <w:lang w:val="en-ZA"/>
        </w:rPr>
        <w:t xml:space="preserve">Claims for damages arising from personal injury </w:t>
      </w:r>
      <w:r w:rsidR="00D86588">
        <w:rPr>
          <w:lang w:val="en-ZA"/>
        </w:rPr>
        <w:t>prescribes after t</w:t>
      </w:r>
      <w:r w:rsidR="00DD0441" w:rsidRPr="00DD0441">
        <w:rPr>
          <w:lang w:val="en-ZA"/>
        </w:rPr>
        <w:t>hree years from the date that the injury occurred or the date on which the claimant became aware of the injury.</w:t>
      </w:r>
    </w:p>
    <w:p w:rsidR="00C673FA" w:rsidRPr="00D86588" w:rsidRDefault="00C673FA" w:rsidP="00C673FA">
      <w:pPr>
        <w:pStyle w:val="JudgmentNumbered"/>
        <w:numPr>
          <w:ilvl w:val="0"/>
          <w:numId w:val="0"/>
        </w:numPr>
        <w:spacing w:after="0"/>
        <w:rPr>
          <w:lang w:val="en-ZA"/>
        </w:rPr>
      </w:pPr>
    </w:p>
    <w:p w:rsidR="005050C2" w:rsidRDefault="0004536C" w:rsidP="0004536C">
      <w:pPr>
        <w:pStyle w:val="JudgmentNumbered"/>
        <w:numPr>
          <w:ilvl w:val="0"/>
          <w:numId w:val="0"/>
        </w:numPr>
        <w:spacing w:after="0"/>
        <w:ind w:left="567" w:hanging="567"/>
      </w:pPr>
      <w:r>
        <w:t>[32]</w:t>
      </w:r>
      <w:r>
        <w:tab/>
      </w:r>
      <w:r w:rsidR="00D86588">
        <w:t>In other words, the</w:t>
      </w:r>
      <w:r w:rsidR="00261AEE">
        <w:t xml:space="preserve"> three-year period does not </w:t>
      </w:r>
      <w:r w:rsidR="00D86588">
        <w:t>only</w:t>
      </w:r>
      <w:r w:rsidR="00261AEE">
        <w:t xml:space="preserve"> run from the date of the incident</w:t>
      </w:r>
      <w:r w:rsidR="00D86588">
        <w:t xml:space="preserve">. </w:t>
      </w:r>
      <w:r w:rsidR="00261AEE">
        <w:t xml:space="preserve"> </w:t>
      </w:r>
      <w:r w:rsidR="00D86588">
        <w:t>T</w:t>
      </w:r>
      <w:r w:rsidR="00261AEE">
        <w:t xml:space="preserve">he Prescription Act </w:t>
      </w:r>
      <w:r w:rsidR="00D86588">
        <w:t xml:space="preserve">further </w:t>
      </w:r>
      <w:r w:rsidR="00261AEE">
        <w:t xml:space="preserve">requires a creditor to have knowledge of the identity of the debtor and of the facts from which the debt arises. </w:t>
      </w:r>
      <w:r w:rsidR="00147FB1">
        <w:t>What are the ‘facts’ that the creditor must know before the debt can be said to be due, and before prescription can start running? This calls for interpretation of section 12(3) of the Prescription Act.</w:t>
      </w:r>
    </w:p>
    <w:p w:rsidR="00C673FA" w:rsidRDefault="00C673FA" w:rsidP="00C673FA">
      <w:pPr>
        <w:pStyle w:val="JudgmentNumbered"/>
        <w:numPr>
          <w:ilvl w:val="0"/>
          <w:numId w:val="0"/>
        </w:numPr>
        <w:spacing w:after="0"/>
      </w:pPr>
    </w:p>
    <w:p w:rsidR="00AE28B3" w:rsidRPr="00CC3B13" w:rsidRDefault="0004536C" w:rsidP="0004536C">
      <w:pPr>
        <w:pStyle w:val="JudgmentNumbered"/>
        <w:numPr>
          <w:ilvl w:val="0"/>
          <w:numId w:val="0"/>
        </w:numPr>
        <w:ind w:left="567" w:hanging="567"/>
        <w:rPr>
          <w:b/>
          <w:bCs/>
          <w:lang w:val="en-ZA"/>
        </w:rPr>
      </w:pPr>
      <w:r w:rsidRPr="00CC3B13">
        <w:rPr>
          <w:lang w:val="en-ZA"/>
        </w:rPr>
        <w:t>[33]</w:t>
      </w:r>
      <w:r w:rsidRPr="00CC3B13">
        <w:rPr>
          <w:lang w:val="en-ZA"/>
        </w:rPr>
        <w:tab/>
      </w:r>
      <w:r w:rsidR="00CC3B13" w:rsidRPr="00CC3B13">
        <w:t>In</w:t>
      </w:r>
      <w:r w:rsidR="00CC3B13">
        <w:rPr>
          <w:i/>
          <w:iCs/>
        </w:rPr>
        <w:t xml:space="preserve"> </w:t>
      </w:r>
      <w:r w:rsidR="00C71EDF">
        <w:rPr>
          <w:i/>
          <w:iCs/>
          <w:color w:val="242121"/>
          <w:shd w:val="clear" w:color="auto" w:fill="FFFFFF"/>
        </w:rPr>
        <w:t>Macleod v Kweyiya</w:t>
      </w:r>
      <w:r w:rsidR="00C71EDF">
        <w:rPr>
          <w:rStyle w:val="FootnoteReference"/>
          <w:i/>
          <w:iCs/>
          <w:color w:val="242121"/>
          <w:shd w:val="clear" w:color="auto" w:fill="FFFFFF"/>
        </w:rPr>
        <w:footnoteReference w:id="10"/>
      </w:r>
      <w:r w:rsidR="00C71EDF">
        <w:rPr>
          <w:i/>
          <w:iCs/>
          <w:color w:val="242121"/>
          <w:shd w:val="clear" w:color="auto" w:fill="FFFFFF"/>
        </w:rPr>
        <w:t> </w:t>
      </w:r>
      <w:r w:rsidR="00CC3B13">
        <w:t xml:space="preserve">the court observed </w:t>
      </w:r>
      <w:r w:rsidR="00CC3B13" w:rsidRPr="00CC3B13">
        <w:rPr>
          <w:b/>
          <w:bCs/>
          <w:lang w:val="en-ZA"/>
        </w:rPr>
        <w:t>—</w:t>
      </w:r>
    </w:p>
    <w:p w:rsidR="00CC3B13" w:rsidRPr="00C71EDF" w:rsidRDefault="008B7D12" w:rsidP="00CC3B13">
      <w:pPr>
        <w:pStyle w:val="JudgmentNumbered"/>
        <w:numPr>
          <w:ilvl w:val="0"/>
          <w:numId w:val="0"/>
        </w:numPr>
        <w:ind w:left="1134"/>
        <w:rPr>
          <w:i/>
          <w:iCs/>
          <w:sz w:val="22"/>
        </w:rPr>
      </w:pPr>
      <w:r w:rsidRPr="00C71EDF">
        <w:rPr>
          <w:i/>
          <w:iCs/>
          <w:sz w:val="22"/>
        </w:rPr>
        <w:t xml:space="preserve">“In order to successfully invoke s 12(3) of the Prescription Act, either actual or constructive knowledge must be proved. Actual knowledge is established if it can be shown that the creditor actually knew the facts and the identity of the debtor. </w:t>
      </w:r>
    </w:p>
    <w:p w:rsidR="009F6D8C" w:rsidRPr="00C71EDF" w:rsidRDefault="009F6D8C" w:rsidP="00CC3B13">
      <w:pPr>
        <w:pStyle w:val="JudgmentNumbered"/>
        <w:numPr>
          <w:ilvl w:val="0"/>
          <w:numId w:val="0"/>
        </w:numPr>
        <w:ind w:left="1134"/>
        <w:rPr>
          <w:i/>
          <w:iCs/>
          <w:sz w:val="22"/>
        </w:rPr>
      </w:pPr>
      <w:r w:rsidRPr="00C71EDF">
        <w:rPr>
          <w:i/>
          <w:iCs/>
          <w:sz w:val="22"/>
        </w:rPr>
        <w:t>… .</w:t>
      </w:r>
    </w:p>
    <w:p w:rsidR="009F6D8C" w:rsidRPr="00C71EDF" w:rsidRDefault="009F6D8C" w:rsidP="005050C2">
      <w:pPr>
        <w:pStyle w:val="JudgmentNumbered"/>
        <w:numPr>
          <w:ilvl w:val="0"/>
          <w:numId w:val="0"/>
        </w:numPr>
        <w:spacing w:after="0"/>
        <w:ind w:left="1134"/>
        <w:rPr>
          <w:i/>
          <w:iCs/>
          <w:sz w:val="22"/>
        </w:rPr>
      </w:pPr>
      <w:r w:rsidRPr="00C71EDF">
        <w:rPr>
          <w:i/>
          <w:iCs/>
          <w:sz w:val="22"/>
        </w:rPr>
        <w:lastRenderedPageBreak/>
        <w:t>Constructive knowledge is established if the creditor could reasonably have acquired knowledge of the identity of the debtor and the facts on which the debt arises by exercising reasonable care. The test is what a reasonable person in his position would have done, meaning that there is an expectation to act reasonably and with the diligence of a reasonable person. A creditor cannot simply sit back and “by supine inaction arbitrarily and at will postpone the commencement of prescription”. What is required is merely the knowledge of the minimum facts that are necessary to institute action and not all the evidence that would ensure the ability of the creditor to prove its case comfortably.”</w:t>
      </w:r>
      <w:r w:rsidR="00C71EDF">
        <w:rPr>
          <w:rStyle w:val="FootnoteReference"/>
          <w:i/>
          <w:iCs/>
          <w:sz w:val="22"/>
        </w:rPr>
        <w:footnoteReference w:id="11"/>
      </w:r>
    </w:p>
    <w:p w:rsidR="005050C2" w:rsidRPr="005050C2" w:rsidRDefault="005050C2" w:rsidP="005050C2">
      <w:pPr>
        <w:pStyle w:val="JudgmentNumbered"/>
        <w:numPr>
          <w:ilvl w:val="0"/>
          <w:numId w:val="0"/>
        </w:numPr>
        <w:spacing w:after="0"/>
        <w:ind w:left="1134"/>
        <w:rPr>
          <w:i/>
          <w:iCs/>
          <w:sz w:val="22"/>
        </w:rPr>
      </w:pPr>
    </w:p>
    <w:p w:rsidR="00887CE6" w:rsidRPr="00C673FA" w:rsidRDefault="0004536C" w:rsidP="0004536C">
      <w:pPr>
        <w:pStyle w:val="JudgmentNumbered"/>
        <w:numPr>
          <w:ilvl w:val="0"/>
          <w:numId w:val="0"/>
        </w:numPr>
        <w:spacing w:after="0"/>
        <w:ind w:left="567" w:hanging="567"/>
        <w:rPr>
          <w:lang w:val="en-ZA"/>
        </w:rPr>
      </w:pPr>
      <w:r w:rsidRPr="00C673FA">
        <w:rPr>
          <w:lang w:val="en-ZA"/>
        </w:rPr>
        <w:t>[34]</w:t>
      </w:r>
      <w:r w:rsidRPr="00C673FA">
        <w:rPr>
          <w:lang w:val="en-ZA"/>
        </w:rPr>
        <w:tab/>
      </w:r>
      <w:r w:rsidR="00BC5539">
        <w:t>T</w:t>
      </w:r>
      <w:r w:rsidR="00887CE6">
        <w:t xml:space="preserve">he defendant pointed this court to a series of events which the defendant alleges that they demonstrate that the plaintiff had constructive knowledge of the facts more than three years before issuing of a summons. In summary, the defendant argues </w:t>
      </w:r>
      <w:r w:rsidR="009F6D8C">
        <w:t xml:space="preserve">that the plaintiff became aware of the possibility of a claim against the defendant when she signed a special power of attorney on 27 May 2013 instructing her current attorneys of record to investigate the circumstances relating to the medical negligent incident where the alleged injuries occurred. However, </w:t>
      </w:r>
      <w:r w:rsidR="009F6D8C" w:rsidRPr="00BC5539">
        <w:rPr>
          <w:lang w:val="en-ZA"/>
        </w:rPr>
        <w:t>the summons instituting this claim was issued in th</w:t>
      </w:r>
      <w:r w:rsidR="00BC5539">
        <w:rPr>
          <w:lang w:val="en-ZA"/>
        </w:rPr>
        <w:t xml:space="preserve">is </w:t>
      </w:r>
      <w:r w:rsidR="009F6D8C" w:rsidRPr="009F6D8C">
        <w:rPr>
          <w:lang w:val="en-ZA"/>
        </w:rPr>
        <w:t>Court on 8 November 2018 well after the</w:t>
      </w:r>
      <w:r w:rsidR="009F6D8C" w:rsidRPr="00BC5539">
        <w:rPr>
          <w:lang w:val="en-ZA"/>
        </w:rPr>
        <w:t xml:space="preserve"> </w:t>
      </w:r>
      <w:r w:rsidR="009F6D8C" w:rsidRPr="009F6D8C">
        <w:rPr>
          <w:lang w:val="en-ZA"/>
        </w:rPr>
        <w:t>prescription period of three years as provided for in the</w:t>
      </w:r>
      <w:r w:rsidR="009F6D8C" w:rsidRPr="00BC5539">
        <w:rPr>
          <w:lang w:val="en-ZA"/>
        </w:rPr>
        <w:t xml:space="preserve"> Prescription Act.</w:t>
      </w:r>
      <w:r w:rsidR="009F6D8C">
        <w:t xml:space="preserve">  </w:t>
      </w:r>
    </w:p>
    <w:p w:rsidR="00C673FA" w:rsidRPr="00BC5539" w:rsidRDefault="00C673FA" w:rsidP="00C673FA">
      <w:pPr>
        <w:pStyle w:val="JudgmentNumbered"/>
        <w:numPr>
          <w:ilvl w:val="0"/>
          <w:numId w:val="0"/>
        </w:numPr>
        <w:spacing w:after="0"/>
        <w:rPr>
          <w:lang w:val="en-ZA"/>
        </w:rPr>
      </w:pPr>
    </w:p>
    <w:p w:rsidR="008B7D12" w:rsidRPr="009F6D8C" w:rsidRDefault="0004536C" w:rsidP="0004536C">
      <w:pPr>
        <w:pStyle w:val="JudgmentNumbered"/>
        <w:numPr>
          <w:ilvl w:val="0"/>
          <w:numId w:val="0"/>
        </w:numPr>
        <w:ind w:left="567" w:hanging="567"/>
        <w:rPr>
          <w:b/>
          <w:bCs/>
          <w:lang w:val="en-ZA"/>
        </w:rPr>
      </w:pPr>
      <w:r w:rsidRPr="009F6D8C">
        <w:rPr>
          <w:lang w:val="en-ZA"/>
        </w:rPr>
        <w:t>[35]</w:t>
      </w:r>
      <w:r w:rsidRPr="009F6D8C">
        <w:rPr>
          <w:lang w:val="en-ZA"/>
        </w:rPr>
        <w:tab/>
      </w:r>
      <w:r w:rsidR="00934675">
        <w:t xml:space="preserve">In </w:t>
      </w:r>
      <w:r w:rsidR="00756E08" w:rsidRPr="00756E08">
        <w:rPr>
          <w:i/>
          <w:iCs/>
          <w:color w:val="242121"/>
          <w:szCs w:val="24"/>
          <w:shd w:val="clear" w:color="auto" w:fill="FFFFFF"/>
        </w:rPr>
        <w:t>Mtokonya v Minister of Police</w:t>
      </w:r>
      <w:r w:rsidR="00756E08">
        <w:rPr>
          <w:rStyle w:val="FootnoteReference"/>
          <w:i/>
          <w:iCs/>
          <w:color w:val="242121"/>
          <w:szCs w:val="24"/>
          <w:shd w:val="clear" w:color="auto" w:fill="FFFFFF"/>
        </w:rPr>
        <w:footnoteReference w:id="12"/>
      </w:r>
      <w:r w:rsidR="00756E08">
        <w:rPr>
          <w:rFonts w:ascii="Verdana" w:hAnsi="Verdana"/>
          <w:i/>
          <w:iCs/>
          <w:color w:val="242121"/>
          <w:sz w:val="27"/>
          <w:szCs w:val="27"/>
          <w:shd w:val="clear" w:color="auto" w:fill="FFFFFF"/>
        </w:rPr>
        <w:t> </w:t>
      </w:r>
      <w:r w:rsidR="009F6D8C">
        <w:t>the Supreme Court of Appeal state</w:t>
      </w:r>
      <w:r w:rsidR="00C673FA">
        <w:t>d:</w:t>
      </w:r>
    </w:p>
    <w:p w:rsidR="008B7D12" w:rsidRPr="0098558C" w:rsidRDefault="008B7D12" w:rsidP="00934675">
      <w:pPr>
        <w:pStyle w:val="JudgmentNumbered"/>
        <w:numPr>
          <w:ilvl w:val="0"/>
          <w:numId w:val="0"/>
        </w:numPr>
        <w:ind w:left="1134"/>
        <w:rPr>
          <w:sz w:val="22"/>
        </w:rPr>
      </w:pPr>
      <w:r w:rsidRPr="00934675">
        <w:rPr>
          <w:sz w:val="22"/>
        </w:rPr>
        <w:t>“</w:t>
      </w:r>
      <w:r w:rsidRPr="00EF67E6">
        <w:rPr>
          <w:i/>
          <w:iCs/>
          <w:sz w:val="22"/>
        </w:rPr>
        <w:t xml:space="preserve">Furthermore, to say that the meaning of the phrase “the knowledge of . the facts from which the debt arises” includes knowledge that the conduct of the debtor giving rise to the debt is wrongful and actionable in law would render our law of prescription so ineffective that it may as well be abolished. I say this because prescription would, for all intents and purposes, not run against people who have no legal training at all. That includes not only people who are not formally educated but also those who are professionals in non-legal professions. However, it would also not run against trained lawyers if the field concerned happens to be a branch of law with which they are not familiar. The percentage of people in the South African population against whom prescription would not run when they have claims </w:t>
      </w:r>
      <w:r w:rsidRPr="00EF67E6">
        <w:rPr>
          <w:i/>
          <w:iCs/>
          <w:sz w:val="22"/>
        </w:rPr>
        <w:lastRenderedPageBreak/>
        <w:t>to pursue in the courts would be unacceptably high. In this regard, it needs to be emphasised that the meaning that we are urged to say is included in section 12(3) is not that a creditor must have a suspicion (even a reasonable suspicion at that) that the conduct of the debtor giving rise to the debt is wrongful and actionable but we are urged to say that a creditor must have knowledge that such conduct is</w:t>
      </w:r>
      <w:r w:rsidRPr="00934675">
        <w:rPr>
          <w:sz w:val="22"/>
        </w:rPr>
        <w:t xml:space="preserve"> </w:t>
      </w:r>
      <w:r w:rsidRPr="00EF67E6">
        <w:rPr>
          <w:i/>
          <w:iCs/>
          <w:sz w:val="22"/>
        </w:rPr>
        <w:t>wrongful and actionable in law. If we were asked to say a creditor needs to have a reasonable suspicion that the conduct is or may be wrongful and actionable in law, that would have required something less than knowledge that it is so and would not exclude too significant a percentage of society.”</w:t>
      </w:r>
      <w:r w:rsidR="0098558C">
        <w:rPr>
          <w:rStyle w:val="FootnoteReference"/>
          <w:i/>
          <w:iCs/>
          <w:sz w:val="22"/>
        </w:rPr>
        <w:footnoteReference w:id="13"/>
      </w:r>
    </w:p>
    <w:p w:rsidR="00147FB1" w:rsidRPr="00DA2073" w:rsidRDefault="0004536C" w:rsidP="0004536C">
      <w:pPr>
        <w:pStyle w:val="JudgmentNumbered"/>
        <w:numPr>
          <w:ilvl w:val="0"/>
          <w:numId w:val="0"/>
        </w:numPr>
        <w:ind w:left="567" w:hanging="567"/>
        <w:rPr>
          <w:b/>
          <w:bCs/>
          <w:lang w:val="en-ZA"/>
        </w:rPr>
      </w:pPr>
      <w:r w:rsidRPr="00DA2073">
        <w:rPr>
          <w:lang w:val="en-ZA"/>
        </w:rPr>
        <w:t>[36]</w:t>
      </w:r>
      <w:r w:rsidRPr="00DA2073">
        <w:rPr>
          <w:lang w:val="en-ZA"/>
        </w:rPr>
        <w:tab/>
      </w:r>
      <w:r w:rsidR="00D86588">
        <w:t xml:space="preserve">The Constitutional Court in </w:t>
      </w:r>
      <w:r w:rsidR="00147FB1" w:rsidRPr="00D86588">
        <w:rPr>
          <w:i/>
          <w:iCs/>
        </w:rPr>
        <w:t>Links v Department of Health, Northern [Cape] Province</w:t>
      </w:r>
      <w:r w:rsidR="00D86588">
        <w:rPr>
          <w:rStyle w:val="FootnoteReference"/>
          <w:i/>
          <w:iCs/>
        </w:rPr>
        <w:footnoteReference w:id="14"/>
      </w:r>
      <w:r w:rsidR="00147FB1" w:rsidRPr="00D86588">
        <w:rPr>
          <w:i/>
          <w:iCs/>
        </w:rPr>
        <w:t xml:space="preserve"> </w:t>
      </w:r>
      <w:r w:rsidR="008B7D12">
        <w:t xml:space="preserve"> </w:t>
      </w:r>
      <w:r w:rsidR="00934675">
        <w:t>stated</w:t>
      </w:r>
      <w:r w:rsidR="00DA2073" w:rsidRPr="00DA2073">
        <w:rPr>
          <w:rFonts w:ascii="Helvetica Neue" w:eastAsia="Times New Roman" w:hAnsi="Helvetica Neue" w:cs="Times New Roman"/>
          <w:b/>
          <w:bCs/>
          <w:color w:val="252525"/>
          <w:kern w:val="36"/>
          <w:sz w:val="48"/>
          <w:szCs w:val="48"/>
          <w:lang w:val="en-ZA" w:eastAsia="en-ZA"/>
        </w:rPr>
        <w:t xml:space="preserve"> </w:t>
      </w:r>
      <w:r w:rsidR="00DA2073" w:rsidRPr="00DA2073">
        <w:rPr>
          <w:b/>
          <w:bCs/>
          <w:lang w:val="en-ZA"/>
        </w:rPr>
        <w:t>—</w:t>
      </w:r>
      <w:r w:rsidR="008B7D12">
        <w:t xml:space="preserve"> </w:t>
      </w:r>
    </w:p>
    <w:p w:rsidR="00147FB1" w:rsidRDefault="00642996" w:rsidP="00F613DB">
      <w:pPr>
        <w:pStyle w:val="JudgmentNumbered"/>
        <w:numPr>
          <w:ilvl w:val="0"/>
          <w:numId w:val="0"/>
        </w:numPr>
        <w:spacing w:after="0"/>
        <w:ind w:left="1134"/>
        <w:rPr>
          <w:i/>
          <w:iCs/>
          <w:sz w:val="22"/>
        </w:rPr>
      </w:pPr>
      <w:r w:rsidRPr="00642996">
        <w:rPr>
          <w:sz w:val="22"/>
        </w:rPr>
        <w:t>“</w:t>
      </w:r>
      <w:r w:rsidR="00C71EDF">
        <w:rPr>
          <w:sz w:val="22"/>
        </w:rPr>
        <w:t>…</w:t>
      </w:r>
      <w:r w:rsidR="00147FB1" w:rsidRPr="00EF67E6">
        <w:rPr>
          <w:i/>
          <w:iCs/>
          <w:sz w:val="22"/>
        </w:rPr>
        <w:t>It seems to me that it would be unrealistic for the law to expect a litigant who has no knowledge of medicine to have knowledge of what caused his condition without having first had an opportunity of consulting a relevant medical professional or specialist for advice. That in turn requires that the litigant is in possession of sufficient facts to cause a reasonable person to suspect that something has gone wrong and to seek advice</w:t>
      </w:r>
      <w:r w:rsidRPr="00EF67E6">
        <w:rPr>
          <w:i/>
          <w:iCs/>
          <w:sz w:val="22"/>
        </w:rPr>
        <w:t>.”</w:t>
      </w:r>
      <w:r w:rsidR="00C71EDF">
        <w:rPr>
          <w:rStyle w:val="FootnoteReference"/>
          <w:i/>
          <w:iCs/>
          <w:sz w:val="22"/>
        </w:rPr>
        <w:footnoteReference w:id="15"/>
      </w:r>
    </w:p>
    <w:p w:rsidR="00F613DB" w:rsidRPr="00642996" w:rsidRDefault="00F613DB" w:rsidP="00F613DB">
      <w:pPr>
        <w:pStyle w:val="JudgmentNumbered"/>
        <w:numPr>
          <w:ilvl w:val="0"/>
          <w:numId w:val="0"/>
        </w:numPr>
        <w:spacing w:after="0"/>
        <w:ind w:left="1134"/>
        <w:rPr>
          <w:sz w:val="22"/>
        </w:rPr>
      </w:pPr>
    </w:p>
    <w:p w:rsidR="00F129E5" w:rsidRDefault="0004536C" w:rsidP="0004536C">
      <w:pPr>
        <w:pStyle w:val="JudgmentNumbered"/>
        <w:numPr>
          <w:ilvl w:val="0"/>
          <w:numId w:val="0"/>
        </w:numPr>
        <w:spacing w:after="0"/>
        <w:ind w:left="567" w:hanging="567"/>
      </w:pPr>
      <w:r>
        <w:t>[37]</w:t>
      </w:r>
      <w:r>
        <w:tab/>
      </w:r>
      <w:r w:rsidR="00F129E5" w:rsidRPr="00F129E5">
        <w:rPr>
          <w:lang w:val="en-ZA"/>
        </w:rPr>
        <w:t xml:space="preserve">The plaintiff </w:t>
      </w:r>
      <w:r w:rsidR="00F129E5">
        <w:rPr>
          <w:lang w:val="en-ZA"/>
        </w:rPr>
        <w:t xml:space="preserve">in 2013 </w:t>
      </w:r>
      <w:r w:rsidR="00F129E5" w:rsidRPr="00F129E5">
        <w:rPr>
          <w:lang w:val="en-ZA"/>
        </w:rPr>
        <w:t>obtained the hospital records</w:t>
      </w:r>
      <w:r w:rsidR="00F129E5">
        <w:rPr>
          <w:lang w:val="en-ZA"/>
        </w:rPr>
        <w:t xml:space="preserve"> </w:t>
      </w:r>
      <w:r w:rsidR="00F129E5" w:rsidRPr="00F129E5">
        <w:rPr>
          <w:lang w:val="en-ZA"/>
        </w:rPr>
        <w:t>after her attorneys of record indicated that they need those records to</w:t>
      </w:r>
      <w:r w:rsidR="00F129E5">
        <w:rPr>
          <w:lang w:val="en-ZA"/>
        </w:rPr>
        <w:t xml:space="preserve"> </w:t>
      </w:r>
      <w:r w:rsidR="00F129E5" w:rsidRPr="00F129E5">
        <w:rPr>
          <w:lang w:val="en-ZA"/>
        </w:rPr>
        <w:t xml:space="preserve">assess whether she had a case to litigate. </w:t>
      </w:r>
      <w:r w:rsidR="00F129E5">
        <w:rPr>
          <w:lang w:val="en-ZA"/>
        </w:rPr>
        <w:t>She then</w:t>
      </w:r>
      <w:r w:rsidR="00F129E5" w:rsidRPr="00F129E5">
        <w:rPr>
          <w:lang w:val="en-ZA"/>
        </w:rPr>
        <w:t xml:space="preserve"> handed</w:t>
      </w:r>
      <w:r w:rsidR="00F129E5">
        <w:rPr>
          <w:lang w:val="en-ZA"/>
        </w:rPr>
        <w:t xml:space="preserve"> </w:t>
      </w:r>
      <w:r w:rsidR="00F129E5" w:rsidRPr="00F129E5">
        <w:rPr>
          <w:lang w:val="en-ZA"/>
        </w:rPr>
        <w:t>the medical file to</w:t>
      </w:r>
      <w:r w:rsidR="004D50A5">
        <w:rPr>
          <w:lang w:val="en-ZA"/>
        </w:rPr>
        <w:t xml:space="preserve"> her</w:t>
      </w:r>
      <w:r w:rsidR="00F129E5" w:rsidRPr="00F129E5">
        <w:rPr>
          <w:lang w:val="en-ZA"/>
        </w:rPr>
        <w:t xml:space="preserve"> attorneys of</w:t>
      </w:r>
      <w:r w:rsidR="00F129E5">
        <w:rPr>
          <w:lang w:val="en-ZA"/>
        </w:rPr>
        <w:t xml:space="preserve"> </w:t>
      </w:r>
      <w:r w:rsidR="00F129E5" w:rsidRPr="00F129E5">
        <w:rPr>
          <w:lang w:val="en-ZA"/>
        </w:rPr>
        <w:t xml:space="preserve">record. </w:t>
      </w:r>
      <w:r w:rsidR="00793088">
        <w:rPr>
          <w:lang w:val="en-ZA"/>
        </w:rPr>
        <w:t xml:space="preserve">The defendant argues that it is at this time that the plaintiff </w:t>
      </w:r>
      <w:r w:rsidR="00793088" w:rsidRPr="00793088">
        <w:t>became aware of the possibility of a claim against the defendant</w:t>
      </w:r>
      <w:r w:rsidR="00793088">
        <w:t xml:space="preserve">. I unfortunately disagree with this line of argument. This line of argument is inconsistent with the reasoning of the Constitutional Court in </w:t>
      </w:r>
      <w:r w:rsidR="00793088" w:rsidRPr="00793088">
        <w:rPr>
          <w:i/>
          <w:iCs/>
        </w:rPr>
        <w:t>Link</w:t>
      </w:r>
      <w:r w:rsidR="00793088">
        <w:rPr>
          <w:i/>
          <w:iCs/>
        </w:rPr>
        <w:t xml:space="preserve"> </w:t>
      </w:r>
      <w:r w:rsidR="00793088" w:rsidRPr="00793088">
        <w:t>above.</w:t>
      </w:r>
    </w:p>
    <w:p w:rsidR="005441D6" w:rsidRDefault="005441D6" w:rsidP="005441D6">
      <w:pPr>
        <w:pStyle w:val="JudgmentNumbered"/>
        <w:numPr>
          <w:ilvl w:val="0"/>
          <w:numId w:val="0"/>
        </w:numPr>
        <w:spacing w:after="0"/>
      </w:pPr>
    </w:p>
    <w:p w:rsidR="00F613DB" w:rsidRPr="005441D6" w:rsidRDefault="005441D6" w:rsidP="005441D6">
      <w:pPr>
        <w:pStyle w:val="JudgmentNumbered"/>
        <w:numPr>
          <w:ilvl w:val="0"/>
          <w:numId w:val="0"/>
        </w:numPr>
        <w:spacing w:after="0"/>
        <w:rPr>
          <w:i/>
          <w:iCs/>
        </w:rPr>
      </w:pPr>
      <w:r w:rsidRPr="005441D6">
        <w:rPr>
          <w:i/>
          <w:iCs/>
        </w:rPr>
        <w:t>Reasons for decision</w:t>
      </w:r>
    </w:p>
    <w:p w:rsidR="002245BC" w:rsidRDefault="0004536C" w:rsidP="0004536C">
      <w:pPr>
        <w:pStyle w:val="JudgmentNumbered"/>
        <w:numPr>
          <w:ilvl w:val="0"/>
          <w:numId w:val="0"/>
        </w:numPr>
        <w:spacing w:after="0"/>
        <w:ind w:left="567" w:hanging="567"/>
      </w:pPr>
      <w:r>
        <w:t>[38]</w:t>
      </w:r>
      <w:r>
        <w:tab/>
      </w:r>
      <w:r w:rsidR="00AB4BB2">
        <w:t xml:space="preserve">The implications of the </w:t>
      </w:r>
      <w:r w:rsidR="00AB4BB2" w:rsidRPr="00AB4BB2">
        <w:rPr>
          <w:i/>
          <w:iCs/>
        </w:rPr>
        <w:t>Link</w:t>
      </w:r>
      <w:r w:rsidR="00AB4BB2">
        <w:t xml:space="preserve"> judgment </w:t>
      </w:r>
      <w:r w:rsidR="005050C2">
        <w:t>are</w:t>
      </w:r>
      <w:r w:rsidR="00AB4BB2">
        <w:t xml:space="preserve"> not that the operation of section 12(3) will now be dependent on a creditor’s subjective evaluation of the presence or absence of knowledge or minimum facts sufficient for institution of a claim. In </w:t>
      </w:r>
      <w:r w:rsidR="00AB4BB2">
        <w:lastRenderedPageBreak/>
        <w:t>other words, it is still the position that a creditor cannot by his or her supine inaction postpone the commencement of prescription.</w:t>
      </w:r>
      <w:r w:rsidR="002245BC">
        <w:t xml:space="preserve"> </w:t>
      </w:r>
    </w:p>
    <w:p w:rsidR="00F613DB" w:rsidRDefault="00F613DB" w:rsidP="00F613DB">
      <w:pPr>
        <w:pStyle w:val="JudgmentNumbered"/>
        <w:numPr>
          <w:ilvl w:val="0"/>
          <w:numId w:val="0"/>
        </w:numPr>
        <w:spacing w:after="0"/>
      </w:pPr>
    </w:p>
    <w:p w:rsidR="00AB4BB2" w:rsidRDefault="0004536C" w:rsidP="0004536C">
      <w:pPr>
        <w:pStyle w:val="JudgmentNumbered"/>
        <w:numPr>
          <w:ilvl w:val="0"/>
          <w:numId w:val="0"/>
        </w:numPr>
        <w:spacing w:after="0"/>
        <w:ind w:left="567" w:hanging="567"/>
      </w:pPr>
      <w:r>
        <w:t>[39]</w:t>
      </w:r>
      <w:r>
        <w:tab/>
      </w:r>
      <w:r w:rsidR="00AB4BB2">
        <w:t>However, the running of prescription in certain medical negligence cases may now involve obtaining medical advice from an expert on the ‘facts’ from which a claim arises insofar as a plaintiff may not have direct or constructive knowledge from other sources.</w:t>
      </w:r>
      <w:r w:rsidR="005C59FA">
        <w:rPr>
          <w:rStyle w:val="FootnoteReference"/>
        </w:rPr>
        <w:footnoteReference w:id="16"/>
      </w:r>
      <w:r w:rsidR="002245BC" w:rsidRPr="002245BC">
        <w:t xml:space="preserve">. </w:t>
      </w:r>
    </w:p>
    <w:p w:rsidR="005050C2" w:rsidRDefault="005050C2" w:rsidP="005050C2">
      <w:pPr>
        <w:pStyle w:val="JudgmentNumbered"/>
        <w:numPr>
          <w:ilvl w:val="0"/>
          <w:numId w:val="0"/>
        </w:numPr>
        <w:spacing w:after="0"/>
      </w:pPr>
    </w:p>
    <w:p w:rsidR="00AB4BB2" w:rsidRDefault="0004536C" w:rsidP="0004536C">
      <w:pPr>
        <w:pStyle w:val="JudgmentNumbered"/>
        <w:numPr>
          <w:ilvl w:val="0"/>
          <w:numId w:val="0"/>
        </w:numPr>
        <w:spacing w:after="0"/>
        <w:ind w:left="567" w:hanging="567"/>
      </w:pPr>
      <w:r>
        <w:t>[40]</w:t>
      </w:r>
      <w:r>
        <w:tab/>
      </w:r>
      <w:r w:rsidR="00793088">
        <w:t>I</w:t>
      </w:r>
      <w:r w:rsidR="00793088" w:rsidRPr="00793088">
        <w:t xml:space="preserve">t would </w:t>
      </w:r>
      <w:r w:rsidR="003C4A7D">
        <w:t xml:space="preserve">therefore </w:t>
      </w:r>
      <w:r w:rsidR="00793088" w:rsidRPr="00793088">
        <w:t xml:space="preserve">be unrealistic to expect </w:t>
      </w:r>
      <w:r w:rsidR="00793088">
        <w:t>the plaintiff,</w:t>
      </w:r>
      <w:r w:rsidR="00793088" w:rsidRPr="00793088">
        <w:t xml:space="preserve"> who has no knowledge of medicine</w:t>
      </w:r>
      <w:r w:rsidR="00C9146E">
        <w:t>,</w:t>
      </w:r>
      <w:r w:rsidR="00793088" w:rsidRPr="00793088">
        <w:t xml:space="preserve"> to have knowledge of what caused his condition without having first had an opportunity of consulting a relevant medical professional or specialist for advice. </w:t>
      </w:r>
      <w:r w:rsidR="00C9146E">
        <w:t xml:space="preserve">In other words, after obtaining the relevant clinical records from the hospital, it cannot be correct to assume that she was already at that time </w:t>
      </w:r>
      <w:r w:rsidR="00793088" w:rsidRPr="00793088">
        <w:t>in possession of sufficient</w:t>
      </w:r>
      <w:r w:rsidR="00C9146E">
        <w:t xml:space="preserve"> and </w:t>
      </w:r>
      <w:r w:rsidR="00147FB1">
        <w:t xml:space="preserve">material facts he needed to have before he could institute legal proceedings. Prescription could, therefore, not have begun running </w:t>
      </w:r>
      <w:r w:rsidR="00AB4BB2">
        <w:t>on 27 May 2013 as suggested by the defendant</w:t>
      </w:r>
      <w:r w:rsidR="00147FB1">
        <w:t xml:space="preserve">. </w:t>
      </w:r>
    </w:p>
    <w:p w:rsidR="00F613DB" w:rsidRDefault="00F613DB" w:rsidP="00F613DB">
      <w:pPr>
        <w:pStyle w:val="JudgmentNumbered"/>
        <w:numPr>
          <w:ilvl w:val="0"/>
          <w:numId w:val="0"/>
        </w:numPr>
        <w:spacing w:after="0"/>
        <w:ind w:left="567"/>
      </w:pPr>
    </w:p>
    <w:p w:rsidR="003C4A7D" w:rsidRDefault="0004536C" w:rsidP="0004536C">
      <w:pPr>
        <w:pStyle w:val="JudgmentNumbered"/>
        <w:numPr>
          <w:ilvl w:val="0"/>
          <w:numId w:val="0"/>
        </w:numPr>
        <w:spacing w:after="0"/>
        <w:ind w:left="567" w:hanging="567"/>
      </w:pPr>
      <w:r>
        <w:t>[41]</w:t>
      </w:r>
      <w:r>
        <w:tab/>
      </w:r>
      <w:r w:rsidR="00AB4BB2">
        <w:t xml:space="preserve">It is trite that in </w:t>
      </w:r>
      <w:r w:rsidR="00AB4BB2" w:rsidRPr="00AB4BB2">
        <w:t>certain cases involving medical negligence matters, a claimant is entitled to first obtain independent medical advice in order for prescription to commence running in circumstances where the claimant is found not to have acquired knowledge of the ‘facts’. In the absence of such independent medical advice, a claimant cannot be deemed to have had knowledge of the facts from which a debt arises.</w:t>
      </w:r>
      <w:r w:rsidR="00BC5539">
        <w:t xml:space="preserve"> </w:t>
      </w:r>
    </w:p>
    <w:p w:rsidR="00F613DB" w:rsidRDefault="00F613DB" w:rsidP="00F613DB">
      <w:pPr>
        <w:pStyle w:val="JudgmentNumbered"/>
        <w:numPr>
          <w:ilvl w:val="0"/>
          <w:numId w:val="0"/>
        </w:numPr>
        <w:spacing w:after="0"/>
      </w:pPr>
    </w:p>
    <w:p w:rsidR="00147FB1" w:rsidRDefault="0004536C" w:rsidP="0004536C">
      <w:pPr>
        <w:pStyle w:val="JudgmentNumbered"/>
        <w:numPr>
          <w:ilvl w:val="0"/>
          <w:numId w:val="0"/>
        </w:numPr>
        <w:ind w:left="567" w:hanging="567"/>
      </w:pPr>
      <w:r>
        <w:t>[42]</w:t>
      </w:r>
      <w:r>
        <w:tab/>
      </w:r>
      <w:r w:rsidR="00BC5539">
        <w:t>Against this background</w:t>
      </w:r>
      <w:r w:rsidR="00B413AB">
        <w:t xml:space="preserve"> </w:t>
      </w:r>
      <w:r w:rsidR="005441D6">
        <w:t>and on</w:t>
      </w:r>
      <w:r w:rsidR="00B413AB">
        <w:t xml:space="preserve"> evaluation of the above </w:t>
      </w:r>
      <w:r w:rsidR="005441D6">
        <w:t>evidence,</w:t>
      </w:r>
      <w:r w:rsidR="00B413AB">
        <w:t xml:space="preserve"> </w:t>
      </w:r>
      <w:r w:rsidR="00BC5539">
        <w:t>I</w:t>
      </w:r>
      <w:r w:rsidR="00B413AB">
        <w:t xml:space="preserve"> </w:t>
      </w:r>
      <w:r w:rsidR="00BC5539">
        <w:t xml:space="preserve">conclude </w:t>
      </w:r>
      <w:r w:rsidR="005441D6">
        <w:t>that the</w:t>
      </w:r>
      <w:r w:rsidR="00B413AB">
        <w:t xml:space="preserve"> </w:t>
      </w:r>
      <w:r w:rsidR="003C4A7D">
        <w:t>defendant</w:t>
      </w:r>
      <w:r w:rsidR="00BC5539">
        <w:t xml:space="preserve"> has</w:t>
      </w:r>
      <w:r w:rsidR="003C4A7D">
        <w:t xml:space="preserve"> </w:t>
      </w:r>
      <w:r w:rsidR="00147FB1">
        <w:t xml:space="preserve">failed to show that the applicant had knowledge of all the material facts on or before </w:t>
      </w:r>
      <w:r w:rsidR="00AB4BB2">
        <w:t>27 May 2013</w:t>
      </w:r>
      <w:r w:rsidR="00147FB1">
        <w:t xml:space="preserve">. Accordingly, the </w:t>
      </w:r>
      <w:r w:rsidR="00AB4BB2">
        <w:t>plaintiff’s</w:t>
      </w:r>
      <w:r w:rsidR="00147FB1">
        <w:t xml:space="preserve"> claim</w:t>
      </w:r>
      <w:r w:rsidR="00AB4BB2">
        <w:t xml:space="preserve"> against the defendant</w:t>
      </w:r>
      <w:r w:rsidR="00147FB1">
        <w:t xml:space="preserve"> did not prescribe</w:t>
      </w:r>
      <w:r w:rsidR="00257F15">
        <w:t>, therefore the defendants’ plea of prescription is dismissed.</w:t>
      </w:r>
    </w:p>
    <w:p w:rsidR="00257F15" w:rsidRDefault="00257F15" w:rsidP="00257F15">
      <w:pPr>
        <w:pStyle w:val="ListParagraph"/>
      </w:pPr>
    </w:p>
    <w:p w:rsidR="00257F15" w:rsidRDefault="0004536C" w:rsidP="0004536C">
      <w:pPr>
        <w:pStyle w:val="JudgmentNumbered"/>
        <w:numPr>
          <w:ilvl w:val="0"/>
          <w:numId w:val="0"/>
        </w:numPr>
        <w:ind w:left="567" w:hanging="567"/>
      </w:pPr>
      <w:r>
        <w:lastRenderedPageBreak/>
        <w:t>[43]</w:t>
      </w:r>
      <w:r>
        <w:tab/>
      </w:r>
      <w:r w:rsidR="00257F15">
        <w:t xml:space="preserve">As regards to costs, the general rule is that the successful party should be given his </w:t>
      </w:r>
      <w:r w:rsidR="005441D6">
        <w:t>costs,</w:t>
      </w:r>
      <w:r w:rsidR="00257F15">
        <w:t xml:space="preserve"> and this rule should not be departed from except where there are good grounds for doing so, such as misconduct on the part of the </w:t>
      </w:r>
      <w:r w:rsidR="009168FC">
        <w:t xml:space="preserve">successful party or other exceptional </w:t>
      </w:r>
      <w:r w:rsidR="005441D6">
        <w:t>circumstances.</w:t>
      </w:r>
      <w:r w:rsidR="009168FC">
        <w:t xml:space="preserve"> I </w:t>
      </w:r>
      <w:r w:rsidR="0001726E">
        <w:t>have</w:t>
      </w:r>
      <w:r w:rsidR="009168FC">
        <w:t xml:space="preserve"> no reason why I should deviate from the general rule and costs should therefore be awarded against defendant in favour of the plaintiff. </w:t>
      </w:r>
    </w:p>
    <w:p w:rsidR="00BC5539" w:rsidRPr="00BC5539" w:rsidRDefault="00926154" w:rsidP="00BC5539">
      <w:pPr>
        <w:pStyle w:val="JudgmentNumbered"/>
        <w:numPr>
          <w:ilvl w:val="0"/>
          <w:numId w:val="0"/>
        </w:numPr>
        <w:rPr>
          <w:i/>
          <w:iCs/>
        </w:rPr>
      </w:pPr>
      <w:r>
        <w:rPr>
          <w:i/>
          <w:iCs/>
        </w:rPr>
        <w:t>Order</w:t>
      </w:r>
    </w:p>
    <w:p w:rsidR="00257F15" w:rsidRPr="001478F0" w:rsidRDefault="0004536C" w:rsidP="0004536C">
      <w:pPr>
        <w:pStyle w:val="JudgmentNumbered"/>
        <w:numPr>
          <w:ilvl w:val="0"/>
          <w:numId w:val="0"/>
        </w:numPr>
        <w:ind w:left="567" w:hanging="567"/>
        <w:rPr>
          <w:b/>
          <w:bCs/>
          <w:lang w:val="en-ZA"/>
        </w:rPr>
      </w:pPr>
      <w:r w:rsidRPr="001478F0">
        <w:rPr>
          <w:lang w:val="en-ZA"/>
        </w:rPr>
        <w:t>[44]</w:t>
      </w:r>
      <w:r w:rsidRPr="001478F0">
        <w:rPr>
          <w:lang w:val="en-ZA"/>
        </w:rPr>
        <w:tab/>
      </w:r>
      <w:r w:rsidR="005441D6">
        <w:t>Accordingly,</w:t>
      </w:r>
      <w:r w:rsidR="009168FC">
        <w:t xml:space="preserve"> I make t</w:t>
      </w:r>
      <w:r w:rsidR="00926154">
        <w:t>he following order</w:t>
      </w:r>
      <w:r w:rsidR="005441D6">
        <w:t>:</w:t>
      </w:r>
    </w:p>
    <w:p w:rsidR="00926154" w:rsidRPr="00926154" w:rsidRDefault="0004536C" w:rsidP="0004536C">
      <w:pPr>
        <w:pStyle w:val="JudgmentNumbered"/>
        <w:numPr>
          <w:ilvl w:val="0"/>
          <w:numId w:val="0"/>
        </w:numPr>
        <w:ind w:left="1287" w:hanging="360"/>
        <w:rPr>
          <w:b/>
          <w:bCs/>
          <w:lang w:val="en-ZA"/>
        </w:rPr>
      </w:pPr>
      <w:r w:rsidRPr="00926154">
        <w:rPr>
          <w:lang w:val="en-ZA"/>
        </w:rPr>
        <w:t>a.</w:t>
      </w:r>
      <w:r w:rsidRPr="00926154">
        <w:rPr>
          <w:lang w:val="en-ZA"/>
        </w:rPr>
        <w:tab/>
      </w:r>
      <w:r w:rsidR="00926154">
        <w:t xml:space="preserve">The defendant is liable to compensate the plaintiff in her personal and representative capacity for 100% of </w:t>
      </w:r>
      <w:r w:rsidR="00926154" w:rsidRPr="00926154">
        <w:t xml:space="preserve">the plaintiff’s agreed or proven damages arising from the brain injury suffered by </w:t>
      </w:r>
      <w:r w:rsidR="00926154" w:rsidRPr="00926154">
        <w:rPr>
          <w:lang w:val="en-ZA"/>
        </w:rPr>
        <w:t xml:space="preserve">S [Z…] [R…] </w:t>
      </w:r>
      <w:r w:rsidR="00926154" w:rsidRPr="00926154">
        <w:t>(the</w:t>
      </w:r>
      <w:r w:rsidR="00926154">
        <w:t xml:space="preserve"> Minor) at </w:t>
      </w:r>
      <w:r w:rsidR="000B23C3">
        <w:t xml:space="preserve">Natalspruit </w:t>
      </w:r>
      <w:r w:rsidR="00926154">
        <w:t xml:space="preserve">Hospital on </w:t>
      </w:r>
      <w:r w:rsidR="000B23C3">
        <w:t>5 September 2012</w:t>
      </w:r>
      <w:r w:rsidR="00926154">
        <w:t>.</w:t>
      </w:r>
    </w:p>
    <w:p w:rsidR="00147FB1" w:rsidRPr="00F407C5" w:rsidRDefault="0004536C" w:rsidP="0004536C">
      <w:pPr>
        <w:pStyle w:val="JudgmentNumbered"/>
        <w:numPr>
          <w:ilvl w:val="0"/>
          <w:numId w:val="0"/>
        </w:numPr>
        <w:ind w:left="1287" w:hanging="360"/>
        <w:rPr>
          <w:b/>
          <w:bCs/>
          <w:lang w:val="en-ZA"/>
        </w:rPr>
      </w:pPr>
      <w:r w:rsidRPr="00F407C5">
        <w:rPr>
          <w:lang w:val="en-ZA"/>
        </w:rPr>
        <w:t>b.</w:t>
      </w:r>
      <w:r w:rsidRPr="00F407C5">
        <w:rPr>
          <w:lang w:val="en-ZA"/>
        </w:rPr>
        <w:tab/>
      </w:r>
      <w:r w:rsidR="00926154">
        <w:t xml:space="preserve">The defendant shall pay the plaintiff’s taxed or agreed party and party costs of suit on the High court scale in respect of the determination of the issue </w:t>
      </w:r>
      <w:r w:rsidR="009168FC">
        <w:t xml:space="preserve">relating to </w:t>
      </w:r>
      <w:r w:rsidR="00926154">
        <w:t>liability</w:t>
      </w:r>
      <w:r w:rsidR="001478F0">
        <w:t>.</w:t>
      </w:r>
    </w:p>
    <w:p w:rsidR="00B413AB" w:rsidRDefault="00B413AB" w:rsidP="00F10B9D">
      <w:pPr>
        <w:pStyle w:val="JudgmentNumbered"/>
        <w:numPr>
          <w:ilvl w:val="0"/>
          <w:numId w:val="0"/>
        </w:numPr>
        <w:ind w:left="1647"/>
      </w:pPr>
    </w:p>
    <w:p w:rsidR="001478F0" w:rsidRPr="003648EB" w:rsidRDefault="001478F0" w:rsidP="001478F0">
      <w:pPr>
        <w:keepNext/>
        <w:widowControl w:val="0"/>
        <w:spacing w:after="0"/>
        <w:ind w:hanging="567"/>
        <w:jc w:val="right"/>
        <w:rPr>
          <w:rFonts w:cs="Arial"/>
        </w:rPr>
      </w:pPr>
      <w:r w:rsidRPr="003648EB">
        <w:rPr>
          <w:rFonts w:cs="Arial"/>
        </w:rPr>
        <w:t>___________________________</w:t>
      </w:r>
    </w:p>
    <w:p w:rsidR="001478F0" w:rsidRDefault="001478F0" w:rsidP="001478F0">
      <w:pPr>
        <w:keepNext/>
        <w:widowControl w:val="0"/>
        <w:spacing w:after="0"/>
        <w:ind w:hanging="567"/>
        <w:jc w:val="right"/>
        <w:rPr>
          <w:rFonts w:cs="Arial"/>
          <w:b/>
        </w:rPr>
      </w:pPr>
      <w:r>
        <w:rPr>
          <w:rFonts w:cs="Arial"/>
          <w:b/>
        </w:rPr>
        <w:t xml:space="preserve">MD </w:t>
      </w:r>
      <w:bookmarkStart w:id="4" w:name="_Hlk157077784"/>
      <w:r>
        <w:rPr>
          <w:rFonts w:cs="Arial"/>
          <w:b/>
        </w:rPr>
        <w:t>BOTSI-THULARE AJ</w:t>
      </w:r>
      <w:bookmarkEnd w:id="4"/>
    </w:p>
    <w:p w:rsidR="001478F0" w:rsidRPr="003648EB" w:rsidRDefault="001478F0" w:rsidP="001478F0">
      <w:pPr>
        <w:keepNext/>
        <w:widowControl w:val="0"/>
        <w:spacing w:after="0"/>
        <w:ind w:hanging="567"/>
        <w:jc w:val="right"/>
        <w:rPr>
          <w:rFonts w:cs="Arial"/>
          <w:b/>
        </w:rPr>
      </w:pPr>
      <w:r>
        <w:rPr>
          <w:rFonts w:cs="Arial"/>
          <w:b/>
        </w:rPr>
        <w:t>ACTING J</w:t>
      </w:r>
      <w:r w:rsidRPr="003648EB">
        <w:rPr>
          <w:rFonts w:cs="Arial"/>
          <w:b/>
        </w:rPr>
        <w:t>UDGE OF THE HIGH COU</w:t>
      </w:r>
      <w:r>
        <w:rPr>
          <w:rFonts w:cs="Arial"/>
          <w:b/>
        </w:rPr>
        <w:t xml:space="preserve">RT </w:t>
      </w:r>
      <w:r w:rsidRPr="003648EB">
        <w:rPr>
          <w:rFonts w:cs="Arial"/>
          <w:b/>
        </w:rPr>
        <w:t>JOHANNESBURG</w:t>
      </w:r>
    </w:p>
    <w:p w:rsidR="001478F0" w:rsidRPr="003648EB" w:rsidRDefault="001478F0" w:rsidP="001478F0">
      <w:pPr>
        <w:ind w:left="0"/>
        <w:rPr>
          <w:rFonts w:cs="Arial"/>
          <w:lang w:eastAsia="en-GB"/>
        </w:rPr>
      </w:pPr>
    </w:p>
    <w:p w:rsidR="001478F0" w:rsidRPr="003648EB" w:rsidRDefault="001478F0" w:rsidP="001478F0">
      <w:pPr>
        <w:spacing w:after="0" w:line="240" w:lineRule="auto"/>
        <w:ind w:left="0"/>
        <w:rPr>
          <w:rFonts w:eastAsia="Times New Roman" w:cs="Arial"/>
          <w:b/>
          <w:bCs/>
          <w:szCs w:val="24"/>
          <w:lang w:eastAsia="en-GB"/>
        </w:rPr>
      </w:pPr>
      <w:r w:rsidRPr="003648EB">
        <w:rPr>
          <w:rFonts w:eastAsia="Times New Roman" w:cs="Arial"/>
          <w:b/>
          <w:bCs/>
          <w:szCs w:val="24"/>
          <w:lang w:eastAsia="en-GB"/>
        </w:rPr>
        <w:t>APPEARANCES</w:t>
      </w:r>
    </w:p>
    <w:p w:rsidR="001478F0" w:rsidRPr="003648EB" w:rsidRDefault="001478F0" w:rsidP="001478F0">
      <w:pPr>
        <w:spacing w:after="0" w:line="240" w:lineRule="auto"/>
        <w:ind w:left="0"/>
        <w:rPr>
          <w:rFonts w:eastAsia="Times New Roman" w:cs="Arial"/>
          <w:szCs w:val="24"/>
          <w:lang w:eastAsia="en-GB"/>
        </w:rPr>
      </w:pPr>
    </w:p>
    <w:p w:rsidR="001478F0" w:rsidRDefault="001478F0" w:rsidP="001478F0">
      <w:pPr>
        <w:spacing w:after="0" w:line="240" w:lineRule="auto"/>
        <w:ind w:left="0"/>
        <w:rPr>
          <w:rFonts w:eastAsia="Times New Roman" w:cs="Arial"/>
          <w:szCs w:val="24"/>
          <w:lang w:eastAsia="en-GB"/>
        </w:rPr>
      </w:pPr>
      <w:r w:rsidRPr="003648EB">
        <w:rPr>
          <w:rFonts w:eastAsia="Times New Roman" w:cs="Arial"/>
          <w:szCs w:val="24"/>
          <w:lang w:eastAsia="en-GB"/>
        </w:rPr>
        <w:t xml:space="preserve">For the </w:t>
      </w:r>
      <w:r>
        <w:rPr>
          <w:rFonts w:eastAsia="Times New Roman" w:cs="Arial"/>
          <w:szCs w:val="24"/>
          <w:lang w:eastAsia="en-GB"/>
        </w:rPr>
        <w:t>Plaintiff:</w:t>
      </w:r>
      <w:r w:rsidRPr="003648EB">
        <w:rPr>
          <w:rFonts w:eastAsia="Times New Roman" w:cs="Arial"/>
          <w:szCs w:val="24"/>
          <w:lang w:eastAsia="en-GB"/>
        </w:rPr>
        <w:t xml:space="preserve"> </w:t>
      </w:r>
      <w:r>
        <w:rPr>
          <w:rFonts w:eastAsia="Times New Roman" w:cs="Arial"/>
          <w:szCs w:val="24"/>
          <w:lang w:eastAsia="en-GB"/>
        </w:rPr>
        <w:tab/>
      </w:r>
      <w:r>
        <w:rPr>
          <w:rFonts w:eastAsia="Times New Roman" w:cs="Arial"/>
          <w:szCs w:val="24"/>
          <w:lang w:eastAsia="en-GB"/>
        </w:rPr>
        <w:tab/>
        <w:t>Adv D Brown</w:t>
      </w:r>
    </w:p>
    <w:p w:rsidR="001478F0" w:rsidRDefault="001478F0" w:rsidP="001478F0">
      <w:pPr>
        <w:spacing w:after="0" w:line="240" w:lineRule="auto"/>
        <w:ind w:left="0"/>
        <w:rPr>
          <w:rFonts w:eastAsia="Times New Roman" w:cs="Arial"/>
          <w:szCs w:val="24"/>
          <w:lang w:eastAsia="en-GB"/>
        </w:rPr>
      </w:pPr>
    </w:p>
    <w:p w:rsidR="001478F0" w:rsidRDefault="001478F0" w:rsidP="001478F0">
      <w:pPr>
        <w:spacing w:after="0" w:line="240" w:lineRule="auto"/>
        <w:ind w:left="0"/>
        <w:rPr>
          <w:rFonts w:eastAsia="Times New Roman" w:cs="Arial"/>
          <w:szCs w:val="24"/>
          <w:lang w:eastAsia="en-GB"/>
        </w:rPr>
      </w:pPr>
      <w:r>
        <w:rPr>
          <w:rFonts w:eastAsia="Times New Roman" w:cs="Arial"/>
          <w:szCs w:val="24"/>
          <w:lang w:eastAsia="en-GB"/>
        </w:rPr>
        <w:t xml:space="preserve">Instructed by </w:t>
      </w:r>
      <w:r>
        <w:rPr>
          <w:rFonts w:eastAsia="Times New Roman" w:cs="Arial"/>
          <w:szCs w:val="24"/>
          <w:lang w:eastAsia="en-GB"/>
        </w:rPr>
        <w:tab/>
      </w:r>
      <w:r>
        <w:rPr>
          <w:rFonts w:eastAsia="Times New Roman" w:cs="Arial"/>
          <w:szCs w:val="24"/>
          <w:lang w:eastAsia="en-GB"/>
        </w:rPr>
        <w:tab/>
        <w:t>Jerry Nkeli &amp; Associates Inc.</w:t>
      </w:r>
    </w:p>
    <w:p w:rsidR="001478F0" w:rsidRPr="003648EB" w:rsidRDefault="001478F0" w:rsidP="001478F0">
      <w:pPr>
        <w:spacing w:after="0" w:line="240" w:lineRule="auto"/>
        <w:ind w:left="0"/>
        <w:rPr>
          <w:rFonts w:eastAsia="Times New Roman" w:cs="Arial"/>
          <w:szCs w:val="24"/>
          <w:lang w:eastAsia="en-GB"/>
        </w:rPr>
      </w:pPr>
      <w:r w:rsidRPr="003648EB">
        <w:rPr>
          <w:rFonts w:eastAsia="Times New Roman" w:cs="Arial"/>
          <w:szCs w:val="24"/>
          <w:lang w:eastAsia="en-GB"/>
        </w:rPr>
        <w:tab/>
      </w:r>
      <w:r w:rsidRPr="003648EB">
        <w:rPr>
          <w:rFonts w:eastAsia="Times New Roman" w:cs="Arial"/>
          <w:szCs w:val="24"/>
          <w:lang w:eastAsia="en-GB"/>
        </w:rPr>
        <w:tab/>
      </w:r>
    </w:p>
    <w:p w:rsidR="001478F0" w:rsidRDefault="001478F0" w:rsidP="001478F0">
      <w:pPr>
        <w:spacing w:after="0" w:line="240" w:lineRule="auto"/>
        <w:ind w:left="0"/>
        <w:rPr>
          <w:rFonts w:eastAsia="Times New Roman" w:cs="Arial"/>
          <w:szCs w:val="24"/>
          <w:lang w:eastAsia="en-GB"/>
        </w:rPr>
      </w:pPr>
      <w:r w:rsidRPr="003648EB">
        <w:rPr>
          <w:rFonts w:eastAsia="Times New Roman" w:cs="Arial"/>
          <w:szCs w:val="24"/>
          <w:lang w:eastAsia="en-GB"/>
        </w:rPr>
        <w:t xml:space="preserve">For the </w:t>
      </w:r>
      <w:r>
        <w:rPr>
          <w:rFonts w:eastAsia="Times New Roman" w:cs="Arial"/>
          <w:szCs w:val="24"/>
          <w:lang w:eastAsia="en-GB"/>
        </w:rPr>
        <w:t>Defendant:</w:t>
      </w:r>
      <w:r>
        <w:rPr>
          <w:rFonts w:eastAsia="Times New Roman" w:cs="Arial"/>
          <w:szCs w:val="24"/>
          <w:lang w:eastAsia="en-GB"/>
        </w:rPr>
        <w:tab/>
      </w:r>
      <w:r w:rsidRPr="003648EB">
        <w:rPr>
          <w:rFonts w:eastAsia="Times New Roman" w:cs="Arial"/>
          <w:szCs w:val="24"/>
          <w:lang w:eastAsia="en-GB"/>
        </w:rPr>
        <w:t xml:space="preserve"> </w:t>
      </w:r>
      <w:r>
        <w:rPr>
          <w:rFonts w:eastAsia="Times New Roman" w:cs="Arial"/>
          <w:szCs w:val="24"/>
          <w:lang w:eastAsia="en-GB"/>
        </w:rPr>
        <w:tab/>
        <w:t>Adv S J Coetzee SC and Adv T A Mokadikoa</w:t>
      </w:r>
    </w:p>
    <w:p w:rsidR="001478F0" w:rsidRDefault="001478F0" w:rsidP="001478F0">
      <w:pPr>
        <w:spacing w:after="0" w:line="240" w:lineRule="auto"/>
        <w:ind w:left="0"/>
        <w:rPr>
          <w:rFonts w:eastAsia="Times New Roman" w:cs="Arial"/>
          <w:szCs w:val="24"/>
          <w:lang w:eastAsia="en-GB"/>
        </w:rPr>
      </w:pPr>
    </w:p>
    <w:p w:rsidR="001478F0" w:rsidRPr="003648EB" w:rsidRDefault="001478F0" w:rsidP="001478F0">
      <w:pPr>
        <w:spacing w:after="0" w:line="240" w:lineRule="auto"/>
        <w:ind w:left="0"/>
        <w:rPr>
          <w:rFonts w:eastAsia="Times New Roman" w:cs="Arial"/>
          <w:szCs w:val="24"/>
          <w:lang w:eastAsia="en-GB"/>
        </w:rPr>
      </w:pPr>
      <w:r>
        <w:rPr>
          <w:rFonts w:eastAsia="Times New Roman" w:cs="Arial"/>
          <w:szCs w:val="24"/>
          <w:lang w:eastAsia="en-GB"/>
        </w:rPr>
        <w:t xml:space="preserve">Instructed by </w:t>
      </w:r>
      <w:r>
        <w:rPr>
          <w:rFonts w:eastAsia="Times New Roman" w:cs="Arial"/>
          <w:szCs w:val="24"/>
          <w:lang w:eastAsia="en-GB"/>
        </w:rPr>
        <w:tab/>
      </w:r>
      <w:r>
        <w:rPr>
          <w:rFonts w:eastAsia="Times New Roman" w:cs="Arial"/>
          <w:szCs w:val="24"/>
          <w:lang w:eastAsia="en-GB"/>
        </w:rPr>
        <w:tab/>
        <w:t>State Attorney</w:t>
      </w:r>
      <w:r w:rsidRPr="003648EB">
        <w:rPr>
          <w:rFonts w:eastAsia="Times New Roman" w:cs="Arial"/>
          <w:szCs w:val="24"/>
          <w:lang w:eastAsia="en-GB"/>
        </w:rPr>
        <w:tab/>
      </w:r>
    </w:p>
    <w:p w:rsidR="001478F0" w:rsidRDefault="001478F0" w:rsidP="001478F0">
      <w:pPr>
        <w:spacing w:after="0" w:line="240" w:lineRule="auto"/>
        <w:ind w:left="0"/>
        <w:rPr>
          <w:rFonts w:eastAsia="Times New Roman" w:cs="Arial"/>
          <w:szCs w:val="24"/>
          <w:lang w:eastAsia="en-GB"/>
        </w:rPr>
      </w:pPr>
    </w:p>
    <w:p w:rsidR="001478F0" w:rsidRDefault="001478F0" w:rsidP="001478F0">
      <w:pPr>
        <w:spacing w:after="0" w:line="240" w:lineRule="auto"/>
        <w:ind w:left="0"/>
        <w:rPr>
          <w:rFonts w:eastAsia="Times New Roman" w:cs="Arial"/>
          <w:szCs w:val="24"/>
          <w:lang w:eastAsia="en-GB"/>
        </w:rPr>
      </w:pPr>
      <w:r w:rsidRPr="003648EB">
        <w:rPr>
          <w:rFonts w:eastAsia="Times New Roman" w:cs="Arial"/>
          <w:szCs w:val="24"/>
          <w:lang w:eastAsia="en-GB"/>
        </w:rPr>
        <w:t xml:space="preserve">Date of Hearing: </w:t>
      </w:r>
      <w:r>
        <w:rPr>
          <w:rFonts w:eastAsia="Times New Roman" w:cs="Arial"/>
          <w:szCs w:val="24"/>
          <w:lang w:eastAsia="en-GB"/>
        </w:rPr>
        <w:tab/>
      </w:r>
      <w:r>
        <w:rPr>
          <w:rFonts w:eastAsia="Times New Roman" w:cs="Arial"/>
          <w:szCs w:val="24"/>
          <w:lang w:eastAsia="en-GB"/>
        </w:rPr>
        <w:tab/>
        <w:t>16 October 2023 to 26 October 2023</w:t>
      </w:r>
    </w:p>
    <w:p w:rsidR="001478F0" w:rsidRPr="003648EB" w:rsidRDefault="001478F0" w:rsidP="001478F0">
      <w:pPr>
        <w:spacing w:after="0" w:line="240" w:lineRule="auto"/>
        <w:ind w:left="0"/>
        <w:rPr>
          <w:rFonts w:eastAsia="Times New Roman" w:cs="Arial"/>
          <w:szCs w:val="24"/>
          <w:lang w:eastAsia="en-GB"/>
        </w:rPr>
      </w:pPr>
      <w:r w:rsidRPr="003648EB">
        <w:rPr>
          <w:rFonts w:eastAsia="Times New Roman" w:cs="Arial"/>
          <w:szCs w:val="24"/>
          <w:lang w:eastAsia="en-GB"/>
        </w:rPr>
        <w:tab/>
      </w:r>
      <w:r w:rsidRPr="003648EB">
        <w:rPr>
          <w:rFonts w:eastAsia="Times New Roman" w:cs="Arial"/>
          <w:szCs w:val="24"/>
          <w:lang w:eastAsia="en-GB"/>
        </w:rPr>
        <w:tab/>
      </w:r>
    </w:p>
    <w:p w:rsidR="009168FC" w:rsidRPr="009168FC" w:rsidRDefault="001478F0" w:rsidP="00494E2F">
      <w:pPr>
        <w:spacing w:after="0" w:line="240" w:lineRule="auto"/>
        <w:ind w:left="0"/>
      </w:pPr>
      <w:r w:rsidRPr="003648EB">
        <w:rPr>
          <w:rFonts w:eastAsia="Times New Roman" w:cs="Arial"/>
          <w:szCs w:val="24"/>
          <w:lang w:eastAsia="en-GB"/>
        </w:rPr>
        <w:t>Date of Judgment:</w:t>
      </w:r>
      <w:r w:rsidRPr="003648EB">
        <w:rPr>
          <w:rFonts w:eastAsia="Times New Roman" w:cs="Arial"/>
          <w:szCs w:val="24"/>
          <w:lang w:eastAsia="en-GB"/>
        </w:rPr>
        <w:tab/>
      </w:r>
      <w:r>
        <w:rPr>
          <w:rFonts w:eastAsia="Times New Roman" w:cs="Arial"/>
          <w:szCs w:val="24"/>
          <w:lang w:eastAsia="en-GB"/>
        </w:rPr>
        <w:tab/>
        <w:t>26 January 2024</w:t>
      </w:r>
    </w:p>
    <w:sectPr w:rsidR="009168FC" w:rsidRPr="009168FC" w:rsidSect="00114DDA">
      <w:footerReference w:type="default" r:id="rId10"/>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84" w:rsidRDefault="00BC6784" w:rsidP="00E469E1">
      <w:pPr>
        <w:spacing w:after="0" w:line="240" w:lineRule="auto"/>
      </w:pPr>
      <w:r>
        <w:separator/>
      </w:r>
    </w:p>
  </w:endnote>
  <w:endnote w:type="continuationSeparator" w:id="0">
    <w:p w:rsidR="00BC6784" w:rsidRDefault="00BC6784"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Poppins">
    <w:altName w:val="Microsoft Sans Serif"/>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rsidR="008E63BE" w:rsidRDefault="00985547" w:rsidP="00E469E1">
        <w:pPr>
          <w:pStyle w:val="Footer"/>
          <w:jc w:val="right"/>
        </w:pPr>
        <w:r>
          <w:fldChar w:fldCharType="begin"/>
        </w:r>
        <w:r>
          <w:instrText xml:space="preserve"> PAGE   \* MERGEFORMAT </w:instrText>
        </w:r>
        <w:r>
          <w:fldChar w:fldCharType="separate"/>
        </w:r>
        <w:r w:rsidR="000B554C">
          <w:rPr>
            <w:noProof/>
          </w:rPr>
          <w:t>15</w:t>
        </w:r>
        <w:r>
          <w:rPr>
            <w:noProof/>
          </w:rPr>
          <w:fldChar w:fldCharType="end"/>
        </w:r>
      </w:p>
    </w:sdtContent>
  </w:sdt>
  <w:p w:rsidR="008E63BE" w:rsidRDefault="008E63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84" w:rsidRDefault="00BC6784" w:rsidP="00E469E1">
      <w:pPr>
        <w:spacing w:after="0" w:line="240" w:lineRule="auto"/>
      </w:pPr>
      <w:r>
        <w:separator/>
      </w:r>
    </w:p>
  </w:footnote>
  <w:footnote w:type="continuationSeparator" w:id="0">
    <w:p w:rsidR="00BC6784" w:rsidRDefault="00BC6784" w:rsidP="00E469E1">
      <w:pPr>
        <w:spacing w:after="0" w:line="240" w:lineRule="auto"/>
      </w:pPr>
      <w:r>
        <w:continuationSeparator/>
      </w:r>
    </w:p>
  </w:footnote>
  <w:footnote w:id="1">
    <w:p w:rsidR="00D47FF4" w:rsidRPr="00697110" w:rsidRDefault="00D47FF4" w:rsidP="00D47FF4">
      <w:pPr>
        <w:pStyle w:val="FootnoteText"/>
      </w:pPr>
      <w:r>
        <w:rPr>
          <w:rStyle w:val="FootnoteReference"/>
        </w:rPr>
        <w:footnoteRef/>
      </w:r>
      <w:r>
        <w:t xml:space="preserve"> </w:t>
      </w:r>
      <w:r w:rsidRPr="00697110">
        <w:rPr>
          <w:lang w:val="en-ZA"/>
        </w:rPr>
        <w:t>2002 (6) SA 431 (SCA) para 12</w:t>
      </w:r>
      <w:r w:rsidR="00910620">
        <w:rPr>
          <w:lang w:val="en-ZA"/>
        </w:rPr>
        <w:t>.</w:t>
      </w:r>
    </w:p>
  </w:footnote>
  <w:footnote w:id="2">
    <w:p w:rsidR="009F6D0B" w:rsidRPr="009F6D0B" w:rsidRDefault="009F6D0B">
      <w:pPr>
        <w:pStyle w:val="FootnoteText"/>
        <w:rPr>
          <w:lang w:val="en-ZA"/>
        </w:rPr>
      </w:pPr>
      <w:r w:rsidRPr="009F6D0B">
        <w:rPr>
          <w:rStyle w:val="FootnoteReference"/>
          <w:color w:val="0D0D0D" w:themeColor="text1" w:themeTint="F2"/>
        </w:rPr>
        <w:footnoteRef/>
      </w:r>
      <w:r w:rsidRPr="009F6D0B">
        <w:rPr>
          <w:color w:val="0D0D0D" w:themeColor="text1" w:themeTint="F2"/>
        </w:rPr>
        <w:t xml:space="preserve"> </w:t>
      </w:r>
      <w:r w:rsidRPr="009F6D0B">
        <w:rPr>
          <w:rFonts w:cs="Arial"/>
          <w:color w:val="0D0D0D" w:themeColor="text1" w:themeTint="F2"/>
        </w:rPr>
        <w:t>[2023] ZAGPJHC 15.</w:t>
      </w:r>
    </w:p>
  </w:footnote>
  <w:footnote w:id="3">
    <w:p w:rsidR="009F6D0B" w:rsidRPr="009F6D0B" w:rsidRDefault="009F6D0B">
      <w:pPr>
        <w:pStyle w:val="FootnoteText"/>
        <w:rPr>
          <w:lang w:val="en-ZA"/>
        </w:rPr>
      </w:pPr>
      <w:r>
        <w:rPr>
          <w:rStyle w:val="FootnoteReference"/>
        </w:rPr>
        <w:footnoteRef/>
      </w:r>
      <w:r w:rsidRPr="00910620">
        <w:rPr>
          <w:i/>
          <w:iCs/>
        </w:rPr>
        <w:t xml:space="preserve"> </w:t>
      </w:r>
      <w:r w:rsidRPr="00910620">
        <w:rPr>
          <w:i/>
          <w:iCs/>
          <w:lang w:val="en-ZA"/>
        </w:rPr>
        <w:t>Id</w:t>
      </w:r>
      <w:r>
        <w:rPr>
          <w:lang w:val="en-ZA"/>
        </w:rPr>
        <w:t xml:space="preserve"> para 48.</w:t>
      </w:r>
    </w:p>
  </w:footnote>
  <w:footnote w:id="4">
    <w:p w:rsidR="00D47FF4" w:rsidRDefault="00D47FF4" w:rsidP="00D47FF4">
      <w:pPr>
        <w:pStyle w:val="FootnoteText"/>
      </w:pPr>
      <w:r>
        <w:rPr>
          <w:rStyle w:val="FootnoteReference"/>
        </w:rPr>
        <w:footnoteRef/>
      </w:r>
      <w:r>
        <w:t xml:space="preserve"> </w:t>
      </w:r>
      <w:r w:rsidRPr="00A9488C">
        <w:rPr>
          <w:color w:val="000000"/>
        </w:rPr>
        <w:t>2002 (6) SA 431 (SCA)</w:t>
      </w:r>
      <w:r>
        <w:rPr>
          <w:color w:val="000000"/>
        </w:rPr>
        <w:t>.</w:t>
      </w:r>
    </w:p>
  </w:footnote>
  <w:footnote w:id="5">
    <w:p w:rsidR="009F6D0B" w:rsidRPr="009F6D0B" w:rsidRDefault="009F6D0B">
      <w:pPr>
        <w:pStyle w:val="FootnoteText"/>
        <w:rPr>
          <w:lang w:val="en-ZA"/>
        </w:rPr>
      </w:pPr>
      <w:r>
        <w:rPr>
          <w:rStyle w:val="FootnoteReference"/>
        </w:rPr>
        <w:footnoteRef/>
      </w:r>
      <w:r>
        <w:t xml:space="preserve"> </w:t>
      </w:r>
      <w:r w:rsidRPr="00910620">
        <w:rPr>
          <w:i/>
          <w:iCs/>
          <w:lang w:val="en-ZA"/>
        </w:rPr>
        <w:t>Id</w:t>
      </w:r>
      <w:r>
        <w:rPr>
          <w:lang w:val="en-ZA"/>
        </w:rPr>
        <w:t xml:space="preserve"> at para 25.</w:t>
      </w:r>
    </w:p>
  </w:footnote>
  <w:footnote w:id="6">
    <w:p w:rsidR="00D47FF4" w:rsidRDefault="00D47FF4" w:rsidP="00D47FF4">
      <w:pPr>
        <w:pStyle w:val="FootnoteText"/>
      </w:pPr>
      <w:r>
        <w:rPr>
          <w:rStyle w:val="FootnoteReference"/>
        </w:rPr>
        <w:footnoteRef/>
      </w:r>
      <w:r>
        <w:t xml:space="preserve"> </w:t>
      </w:r>
      <w:r w:rsidRPr="00A9488C">
        <w:rPr>
          <w:color w:val="000000"/>
        </w:rPr>
        <w:t>2007 (1) SA 111 (SCA)</w:t>
      </w:r>
      <w:r>
        <w:rPr>
          <w:color w:val="000000"/>
        </w:rPr>
        <w:t>,</w:t>
      </w:r>
      <w:r w:rsidRPr="00A9488C">
        <w:rPr>
          <w:color w:val="000000"/>
        </w:rPr>
        <w:t xml:space="preserve"> [2006] ZASCA 98</w:t>
      </w:r>
      <w:r w:rsidR="009F6D0B">
        <w:rPr>
          <w:color w:val="000000"/>
        </w:rPr>
        <w:t>.</w:t>
      </w:r>
      <w:r>
        <w:rPr>
          <w:color w:val="000000"/>
        </w:rPr>
        <w:t xml:space="preserve"> </w:t>
      </w:r>
    </w:p>
  </w:footnote>
  <w:footnote w:id="7">
    <w:p w:rsidR="009F6D0B" w:rsidRPr="009F6D0B" w:rsidRDefault="009F6D0B">
      <w:pPr>
        <w:pStyle w:val="FootnoteText"/>
        <w:rPr>
          <w:lang w:val="en-ZA"/>
        </w:rPr>
      </w:pPr>
      <w:r>
        <w:rPr>
          <w:rStyle w:val="FootnoteReference"/>
        </w:rPr>
        <w:footnoteRef/>
      </w:r>
      <w:r>
        <w:t xml:space="preserve"> </w:t>
      </w:r>
      <w:r w:rsidRPr="00910620">
        <w:rPr>
          <w:i/>
          <w:iCs/>
        </w:rPr>
        <w:t>Id</w:t>
      </w:r>
      <w:r>
        <w:t xml:space="preserve"> at para 98.</w:t>
      </w:r>
    </w:p>
  </w:footnote>
  <w:footnote w:id="8">
    <w:p w:rsidR="00D47FF4" w:rsidRDefault="00D47FF4" w:rsidP="00D47FF4">
      <w:pPr>
        <w:pStyle w:val="FootnoteText"/>
      </w:pPr>
      <w:r>
        <w:rPr>
          <w:rStyle w:val="FootnoteReference"/>
        </w:rPr>
        <w:footnoteRef/>
      </w:r>
      <w:r>
        <w:t xml:space="preserve"> </w:t>
      </w:r>
      <w:r>
        <w:rPr>
          <w:color w:val="000000"/>
        </w:rPr>
        <w:t>[1998] EWCA Civ</w:t>
      </w:r>
      <w:r w:rsidRPr="002F3784">
        <w:rPr>
          <w:color w:val="000000"/>
        </w:rPr>
        <w:t xml:space="preserve"> 2000</w:t>
      </w:r>
      <w:r w:rsidR="009F6D0B">
        <w:rPr>
          <w:color w:val="000000"/>
        </w:rPr>
        <w:t>.</w:t>
      </w:r>
    </w:p>
  </w:footnote>
  <w:footnote w:id="9">
    <w:p w:rsidR="009F6D0B" w:rsidRPr="009F6D0B" w:rsidRDefault="009F6D0B">
      <w:pPr>
        <w:pStyle w:val="FootnoteText"/>
        <w:rPr>
          <w:lang w:val="en-ZA"/>
        </w:rPr>
      </w:pPr>
      <w:r>
        <w:rPr>
          <w:rStyle w:val="FootnoteReference"/>
        </w:rPr>
        <w:footnoteRef/>
      </w:r>
      <w:r>
        <w:t xml:space="preserve"> </w:t>
      </w:r>
      <w:r w:rsidRPr="00910620">
        <w:rPr>
          <w:i/>
          <w:iCs/>
          <w:lang w:val="en-ZA"/>
        </w:rPr>
        <w:t>Id</w:t>
      </w:r>
      <w:r>
        <w:rPr>
          <w:lang w:val="en-ZA"/>
        </w:rPr>
        <w:t xml:space="preserve"> at para 48.</w:t>
      </w:r>
    </w:p>
  </w:footnote>
  <w:footnote w:id="10">
    <w:p w:rsidR="00C71EDF" w:rsidRPr="00C71EDF" w:rsidRDefault="00C71EDF">
      <w:pPr>
        <w:pStyle w:val="FootnoteText"/>
        <w:rPr>
          <w:lang w:val="en-ZA"/>
        </w:rPr>
      </w:pPr>
      <w:r>
        <w:rPr>
          <w:rStyle w:val="FootnoteReference"/>
        </w:rPr>
        <w:footnoteRef/>
      </w:r>
      <w:r>
        <w:t xml:space="preserve"> </w:t>
      </w:r>
      <w:hyperlink r:id="rId1" w:tooltip="View LawCiteRecord" w:history="1">
        <w:r w:rsidRPr="00C71EDF">
          <w:rPr>
            <w:rStyle w:val="Hyperlink"/>
            <w:rFonts w:cs="Arial"/>
            <w:color w:val="auto"/>
            <w:u w:val="none"/>
            <w:shd w:val="clear" w:color="auto" w:fill="FFFFFF"/>
          </w:rPr>
          <w:t>[2013] </w:t>
        </w:r>
      </w:hyperlink>
      <w:hyperlink r:id="rId2" w:tooltip="View LawCiteRecord" w:history="1">
        <w:r w:rsidRPr="00C71EDF">
          <w:rPr>
            <w:rStyle w:val="Hyperlink"/>
            <w:rFonts w:cs="Arial"/>
            <w:color w:val="auto"/>
            <w:u w:val="none"/>
            <w:shd w:val="clear" w:color="auto" w:fill="FFFFFF"/>
          </w:rPr>
          <w:t>ZASCA 28</w:t>
        </w:r>
      </w:hyperlink>
      <w:r>
        <w:t>..</w:t>
      </w:r>
    </w:p>
  </w:footnote>
  <w:footnote w:id="11">
    <w:p w:rsidR="00C71EDF" w:rsidRPr="00C71EDF" w:rsidRDefault="00C71EDF">
      <w:pPr>
        <w:pStyle w:val="FootnoteText"/>
        <w:rPr>
          <w:lang w:val="en-ZA"/>
        </w:rPr>
      </w:pPr>
      <w:r>
        <w:rPr>
          <w:rStyle w:val="FootnoteReference"/>
        </w:rPr>
        <w:footnoteRef/>
      </w:r>
      <w:r>
        <w:t xml:space="preserve"> Id at para 9.</w:t>
      </w:r>
    </w:p>
  </w:footnote>
  <w:footnote w:id="12">
    <w:p w:rsidR="00756E08" w:rsidRPr="00756E08" w:rsidRDefault="00756E08">
      <w:pPr>
        <w:pStyle w:val="FootnoteText"/>
        <w:rPr>
          <w:lang w:val="en-ZA"/>
        </w:rPr>
      </w:pPr>
      <w:r>
        <w:rPr>
          <w:rStyle w:val="FootnoteReference"/>
        </w:rPr>
        <w:footnoteRef/>
      </w:r>
      <w:r>
        <w:t xml:space="preserve"> </w:t>
      </w:r>
      <w:hyperlink r:id="rId3" w:tooltip="View LawCiteRecord" w:history="1">
        <w:r w:rsidRPr="00756E08">
          <w:rPr>
            <w:rStyle w:val="Hyperlink"/>
            <w:rFonts w:cs="Arial"/>
            <w:color w:val="auto"/>
            <w:u w:val="none"/>
            <w:shd w:val="clear" w:color="auto" w:fill="FFFFFF"/>
          </w:rPr>
          <w:t>[2017] ZACC 33</w:t>
        </w:r>
      </w:hyperlink>
      <w:r>
        <w:t>.</w:t>
      </w:r>
    </w:p>
  </w:footnote>
  <w:footnote w:id="13">
    <w:p w:rsidR="0098558C" w:rsidRPr="0098558C" w:rsidRDefault="0098558C">
      <w:pPr>
        <w:pStyle w:val="FootnoteText"/>
        <w:rPr>
          <w:lang w:val="en-ZA"/>
        </w:rPr>
      </w:pPr>
      <w:r>
        <w:rPr>
          <w:rStyle w:val="FootnoteReference"/>
        </w:rPr>
        <w:footnoteRef/>
      </w:r>
      <w:r>
        <w:t xml:space="preserve"> </w:t>
      </w:r>
      <w:r w:rsidRPr="00DA2073">
        <w:rPr>
          <w:i/>
          <w:iCs/>
          <w:lang w:val="en-ZA"/>
        </w:rPr>
        <w:t>Id</w:t>
      </w:r>
      <w:r>
        <w:rPr>
          <w:lang w:val="en-ZA"/>
        </w:rPr>
        <w:t xml:space="preserve"> at para 63</w:t>
      </w:r>
      <w:r w:rsidR="00C71EDF">
        <w:rPr>
          <w:lang w:val="en-ZA"/>
        </w:rPr>
        <w:t>.</w:t>
      </w:r>
    </w:p>
  </w:footnote>
  <w:footnote w:id="14">
    <w:p w:rsidR="00D86588" w:rsidRPr="00D86588" w:rsidRDefault="00D86588">
      <w:pPr>
        <w:pStyle w:val="FootnoteText"/>
      </w:pPr>
      <w:r w:rsidRPr="00D86588">
        <w:rPr>
          <w:rStyle w:val="FootnoteReference"/>
        </w:rPr>
        <w:footnoteRef/>
      </w:r>
      <w:r w:rsidRPr="00D86588">
        <w:t xml:space="preserve"> 2016 (4) SA 414 (CC)</w:t>
      </w:r>
      <w:r w:rsidR="00C71EDF">
        <w:t>.</w:t>
      </w:r>
    </w:p>
  </w:footnote>
  <w:footnote w:id="15">
    <w:p w:rsidR="00C71EDF" w:rsidRPr="00C71EDF" w:rsidRDefault="00C71EDF">
      <w:pPr>
        <w:pStyle w:val="FootnoteText"/>
        <w:rPr>
          <w:lang w:val="en-ZA"/>
        </w:rPr>
      </w:pPr>
      <w:r>
        <w:rPr>
          <w:rStyle w:val="FootnoteReference"/>
        </w:rPr>
        <w:footnoteRef/>
      </w:r>
      <w:r>
        <w:t xml:space="preserve"> </w:t>
      </w:r>
      <w:r w:rsidRPr="00DA2073">
        <w:rPr>
          <w:i/>
          <w:iCs/>
          <w:lang w:val="en-ZA"/>
        </w:rPr>
        <w:t>Id</w:t>
      </w:r>
      <w:r>
        <w:rPr>
          <w:lang w:val="en-ZA"/>
        </w:rPr>
        <w:t xml:space="preserve"> at para 47.</w:t>
      </w:r>
    </w:p>
  </w:footnote>
  <w:footnote w:id="16">
    <w:p w:rsidR="005C59FA" w:rsidRPr="005C59FA" w:rsidRDefault="005C59FA" w:rsidP="005C59FA">
      <w:pPr>
        <w:pStyle w:val="FootnoteText"/>
        <w:rPr>
          <w:lang w:val="en-ZA"/>
        </w:rPr>
      </w:pPr>
      <w:r>
        <w:rPr>
          <w:rStyle w:val="FootnoteReference"/>
        </w:rPr>
        <w:footnoteRef/>
      </w:r>
      <w:r>
        <w:t xml:space="preserve"> </w:t>
      </w:r>
      <w:r w:rsidRPr="00D553C1">
        <w:rPr>
          <w:i/>
          <w:iCs/>
          <w:lang w:val="en-ZA"/>
        </w:rPr>
        <w:t>Loni v Member of the Executive Council, Department of Health, Eastern Cape Bhisho</w:t>
      </w:r>
      <w:r w:rsidRPr="005C59FA">
        <w:rPr>
          <w:lang w:val="en-ZA"/>
        </w:rPr>
        <w:t xml:space="preserve"> 2018 (3) SA 335 (CC)</w:t>
      </w:r>
      <w:r>
        <w:rPr>
          <w:lang w:val="en-ZA"/>
        </w:rPr>
        <w:t xml:space="preserve"> para 23</w:t>
      </w:r>
      <w:r w:rsidR="00D553C1">
        <w:rPr>
          <w:lang w:val="en-Z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A1A4BDC"/>
    <w:multiLevelType w:val="hybridMultilevel"/>
    <w:tmpl w:val="D1C89028"/>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15:restartNumberingAfterBreak="0">
    <w:nsid w:val="0B3F1C76"/>
    <w:multiLevelType w:val="hybridMultilevel"/>
    <w:tmpl w:val="18A4D174"/>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15:restartNumberingAfterBreak="0">
    <w:nsid w:val="0DD54C7E"/>
    <w:multiLevelType w:val="hybridMultilevel"/>
    <w:tmpl w:val="6F66281C"/>
    <w:lvl w:ilvl="0" w:tplc="938ABA50">
      <w:start w:val="3"/>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5" w15:restartNumberingAfterBreak="0">
    <w:nsid w:val="168474B5"/>
    <w:multiLevelType w:val="hybridMultilevel"/>
    <w:tmpl w:val="25EE75AC"/>
    <w:lvl w:ilvl="0" w:tplc="BDAAC208">
      <w:start w:val="1"/>
      <w:numFmt w:val="lowerRoman"/>
      <w:lvlText w:val="%1."/>
      <w:lvlJc w:val="right"/>
      <w:pPr>
        <w:ind w:left="2344" w:hanging="360"/>
      </w:pPr>
      <w:rPr>
        <w:i/>
      </w:rPr>
    </w:lvl>
    <w:lvl w:ilvl="1" w:tplc="1C090019" w:tentative="1">
      <w:start w:val="1"/>
      <w:numFmt w:val="lowerLetter"/>
      <w:lvlText w:val="%2."/>
      <w:lvlJc w:val="left"/>
      <w:pPr>
        <w:ind w:left="3064" w:hanging="360"/>
      </w:pPr>
    </w:lvl>
    <w:lvl w:ilvl="2" w:tplc="1C09001B" w:tentative="1">
      <w:start w:val="1"/>
      <w:numFmt w:val="lowerRoman"/>
      <w:lvlText w:val="%3."/>
      <w:lvlJc w:val="right"/>
      <w:pPr>
        <w:ind w:left="3784" w:hanging="180"/>
      </w:pPr>
    </w:lvl>
    <w:lvl w:ilvl="3" w:tplc="1C09000F" w:tentative="1">
      <w:start w:val="1"/>
      <w:numFmt w:val="decimal"/>
      <w:lvlText w:val="%4."/>
      <w:lvlJc w:val="left"/>
      <w:pPr>
        <w:ind w:left="4504" w:hanging="360"/>
      </w:pPr>
    </w:lvl>
    <w:lvl w:ilvl="4" w:tplc="1C090019" w:tentative="1">
      <w:start w:val="1"/>
      <w:numFmt w:val="lowerLetter"/>
      <w:lvlText w:val="%5."/>
      <w:lvlJc w:val="left"/>
      <w:pPr>
        <w:ind w:left="5224" w:hanging="360"/>
      </w:pPr>
    </w:lvl>
    <w:lvl w:ilvl="5" w:tplc="1C09001B" w:tentative="1">
      <w:start w:val="1"/>
      <w:numFmt w:val="lowerRoman"/>
      <w:lvlText w:val="%6."/>
      <w:lvlJc w:val="right"/>
      <w:pPr>
        <w:ind w:left="5944" w:hanging="180"/>
      </w:pPr>
    </w:lvl>
    <w:lvl w:ilvl="6" w:tplc="1C09000F" w:tentative="1">
      <w:start w:val="1"/>
      <w:numFmt w:val="decimal"/>
      <w:lvlText w:val="%7."/>
      <w:lvlJc w:val="left"/>
      <w:pPr>
        <w:ind w:left="6664" w:hanging="360"/>
      </w:pPr>
    </w:lvl>
    <w:lvl w:ilvl="7" w:tplc="1C090019" w:tentative="1">
      <w:start w:val="1"/>
      <w:numFmt w:val="lowerLetter"/>
      <w:lvlText w:val="%8."/>
      <w:lvlJc w:val="left"/>
      <w:pPr>
        <w:ind w:left="7384" w:hanging="360"/>
      </w:pPr>
    </w:lvl>
    <w:lvl w:ilvl="8" w:tplc="1C09001B" w:tentative="1">
      <w:start w:val="1"/>
      <w:numFmt w:val="lowerRoman"/>
      <w:lvlText w:val="%9."/>
      <w:lvlJc w:val="right"/>
      <w:pPr>
        <w:ind w:left="8104" w:hanging="180"/>
      </w:pPr>
    </w:lvl>
  </w:abstractNum>
  <w:abstractNum w:abstractNumId="6" w15:restartNumberingAfterBreak="0">
    <w:nsid w:val="17FE132D"/>
    <w:multiLevelType w:val="hybridMultilevel"/>
    <w:tmpl w:val="B1BC2C10"/>
    <w:lvl w:ilvl="0" w:tplc="ECB80B08">
      <w:start w:val="1"/>
      <w:numFmt w:val="lowerLetter"/>
      <w:lvlText w:val="%1."/>
      <w:lvlJc w:val="left"/>
      <w:pPr>
        <w:ind w:left="1440" w:hanging="360"/>
      </w:pPr>
      <w:rPr>
        <w:b w:val="0"/>
        <w:bCs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F45473B"/>
    <w:multiLevelType w:val="multilevel"/>
    <w:tmpl w:val="2C1475CA"/>
    <w:lvl w:ilvl="0">
      <w:start w:val="1"/>
      <w:numFmt w:val="decimal"/>
      <w:pStyle w:val="JudgmentNumbered"/>
      <w:lvlText w:val="[%1]"/>
      <w:lvlJc w:val="left"/>
      <w:pPr>
        <w:ind w:left="567" w:hanging="567"/>
      </w:pPr>
      <w:rPr>
        <w:rFonts w:hint="default"/>
        <w:b w:val="0"/>
        <w:b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1F8738B5"/>
    <w:multiLevelType w:val="hybridMultilevel"/>
    <w:tmpl w:val="E30853B2"/>
    <w:lvl w:ilvl="0" w:tplc="6674FBC0">
      <w:start w:val="1"/>
      <w:numFmt w:val="lowerLetter"/>
      <w:lvlText w:val="%1."/>
      <w:lvlJc w:val="left"/>
      <w:pPr>
        <w:ind w:left="1287" w:hanging="360"/>
      </w:pPr>
      <w:rPr>
        <w:b w:val="0"/>
        <w:bCs w:val="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15:restartNumberingAfterBreak="0">
    <w:nsid w:val="297D624A"/>
    <w:multiLevelType w:val="hybridMultilevel"/>
    <w:tmpl w:val="22906D4A"/>
    <w:lvl w:ilvl="0" w:tplc="E7A0765C">
      <w:start w:val="1"/>
      <w:numFmt w:val="decimal"/>
      <w:lvlText w:val="(%1)"/>
      <w:lvlJc w:val="left"/>
      <w:pPr>
        <w:ind w:left="1930" w:hanging="4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2A2912A2"/>
    <w:multiLevelType w:val="hybridMultilevel"/>
    <w:tmpl w:val="D1C89028"/>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15:restartNumberingAfterBreak="0">
    <w:nsid w:val="2D1D6CD9"/>
    <w:multiLevelType w:val="hybridMultilevel"/>
    <w:tmpl w:val="D544470E"/>
    <w:lvl w:ilvl="0" w:tplc="1C09001B">
      <w:start w:val="1"/>
      <w:numFmt w:val="lowerRoman"/>
      <w:lvlText w:val="%1."/>
      <w:lvlJc w:val="righ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15:restartNumberingAfterBreak="0">
    <w:nsid w:val="33032BD2"/>
    <w:multiLevelType w:val="hybridMultilevel"/>
    <w:tmpl w:val="A678E97C"/>
    <w:lvl w:ilvl="0" w:tplc="1C09001B">
      <w:start w:val="1"/>
      <w:numFmt w:val="lowerRoman"/>
      <w:lvlText w:val="%1."/>
      <w:lvlJc w:val="right"/>
      <w:pPr>
        <w:ind w:left="2007" w:hanging="360"/>
      </w:pPr>
    </w:lvl>
    <w:lvl w:ilvl="1" w:tplc="1C090019" w:tentative="1">
      <w:start w:val="1"/>
      <w:numFmt w:val="lowerLetter"/>
      <w:lvlText w:val="%2."/>
      <w:lvlJc w:val="left"/>
      <w:pPr>
        <w:ind w:left="2727" w:hanging="360"/>
      </w:pPr>
    </w:lvl>
    <w:lvl w:ilvl="2" w:tplc="1C09001B" w:tentative="1">
      <w:start w:val="1"/>
      <w:numFmt w:val="lowerRoman"/>
      <w:lvlText w:val="%3."/>
      <w:lvlJc w:val="right"/>
      <w:pPr>
        <w:ind w:left="3447" w:hanging="180"/>
      </w:pPr>
    </w:lvl>
    <w:lvl w:ilvl="3" w:tplc="1C09000F" w:tentative="1">
      <w:start w:val="1"/>
      <w:numFmt w:val="decimal"/>
      <w:lvlText w:val="%4."/>
      <w:lvlJc w:val="left"/>
      <w:pPr>
        <w:ind w:left="4167" w:hanging="360"/>
      </w:pPr>
    </w:lvl>
    <w:lvl w:ilvl="4" w:tplc="1C090019" w:tentative="1">
      <w:start w:val="1"/>
      <w:numFmt w:val="lowerLetter"/>
      <w:lvlText w:val="%5."/>
      <w:lvlJc w:val="left"/>
      <w:pPr>
        <w:ind w:left="4887" w:hanging="360"/>
      </w:pPr>
    </w:lvl>
    <w:lvl w:ilvl="5" w:tplc="1C09001B" w:tentative="1">
      <w:start w:val="1"/>
      <w:numFmt w:val="lowerRoman"/>
      <w:lvlText w:val="%6."/>
      <w:lvlJc w:val="right"/>
      <w:pPr>
        <w:ind w:left="5607" w:hanging="180"/>
      </w:pPr>
    </w:lvl>
    <w:lvl w:ilvl="6" w:tplc="1C09000F" w:tentative="1">
      <w:start w:val="1"/>
      <w:numFmt w:val="decimal"/>
      <w:lvlText w:val="%7."/>
      <w:lvlJc w:val="left"/>
      <w:pPr>
        <w:ind w:left="6327" w:hanging="360"/>
      </w:pPr>
    </w:lvl>
    <w:lvl w:ilvl="7" w:tplc="1C090019" w:tentative="1">
      <w:start w:val="1"/>
      <w:numFmt w:val="lowerLetter"/>
      <w:lvlText w:val="%8."/>
      <w:lvlJc w:val="left"/>
      <w:pPr>
        <w:ind w:left="7047" w:hanging="360"/>
      </w:pPr>
    </w:lvl>
    <w:lvl w:ilvl="8" w:tplc="1C09001B" w:tentative="1">
      <w:start w:val="1"/>
      <w:numFmt w:val="lowerRoman"/>
      <w:lvlText w:val="%9."/>
      <w:lvlJc w:val="right"/>
      <w:pPr>
        <w:ind w:left="7767" w:hanging="180"/>
      </w:pPr>
    </w:lvl>
  </w:abstractNum>
  <w:abstractNum w:abstractNumId="13"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36CA29EF"/>
    <w:multiLevelType w:val="hybridMultilevel"/>
    <w:tmpl w:val="BBE6155C"/>
    <w:lvl w:ilvl="0" w:tplc="CAFCD7E8">
      <w:start w:val="1"/>
      <w:numFmt w:val="lowerLetter"/>
      <w:lvlText w:val="%1."/>
      <w:lvlJc w:val="left"/>
      <w:pPr>
        <w:ind w:left="720" w:hanging="360"/>
      </w:pPr>
      <w:rPr>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D7066D"/>
    <w:multiLevelType w:val="hybridMultilevel"/>
    <w:tmpl w:val="5F8E3DE2"/>
    <w:lvl w:ilvl="0" w:tplc="1C09001B">
      <w:start w:val="1"/>
      <w:numFmt w:val="lowerRoman"/>
      <w:lvlText w:val="%1."/>
      <w:lvlJc w:val="right"/>
      <w:pPr>
        <w:ind w:left="2230" w:hanging="360"/>
      </w:pPr>
    </w:lvl>
    <w:lvl w:ilvl="1" w:tplc="1C090019" w:tentative="1">
      <w:start w:val="1"/>
      <w:numFmt w:val="lowerLetter"/>
      <w:lvlText w:val="%2."/>
      <w:lvlJc w:val="left"/>
      <w:pPr>
        <w:ind w:left="2950" w:hanging="360"/>
      </w:pPr>
    </w:lvl>
    <w:lvl w:ilvl="2" w:tplc="1C09001B" w:tentative="1">
      <w:start w:val="1"/>
      <w:numFmt w:val="lowerRoman"/>
      <w:lvlText w:val="%3."/>
      <w:lvlJc w:val="right"/>
      <w:pPr>
        <w:ind w:left="3670" w:hanging="180"/>
      </w:pPr>
    </w:lvl>
    <w:lvl w:ilvl="3" w:tplc="1C09000F" w:tentative="1">
      <w:start w:val="1"/>
      <w:numFmt w:val="decimal"/>
      <w:lvlText w:val="%4."/>
      <w:lvlJc w:val="left"/>
      <w:pPr>
        <w:ind w:left="4390" w:hanging="360"/>
      </w:pPr>
    </w:lvl>
    <w:lvl w:ilvl="4" w:tplc="1C090019" w:tentative="1">
      <w:start w:val="1"/>
      <w:numFmt w:val="lowerLetter"/>
      <w:lvlText w:val="%5."/>
      <w:lvlJc w:val="left"/>
      <w:pPr>
        <w:ind w:left="5110" w:hanging="360"/>
      </w:pPr>
    </w:lvl>
    <w:lvl w:ilvl="5" w:tplc="1C09001B" w:tentative="1">
      <w:start w:val="1"/>
      <w:numFmt w:val="lowerRoman"/>
      <w:lvlText w:val="%6."/>
      <w:lvlJc w:val="right"/>
      <w:pPr>
        <w:ind w:left="5830" w:hanging="180"/>
      </w:pPr>
    </w:lvl>
    <w:lvl w:ilvl="6" w:tplc="1C09000F" w:tentative="1">
      <w:start w:val="1"/>
      <w:numFmt w:val="decimal"/>
      <w:lvlText w:val="%7."/>
      <w:lvlJc w:val="left"/>
      <w:pPr>
        <w:ind w:left="6550" w:hanging="360"/>
      </w:pPr>
    </w:lvl>
    <w:lvl w:ilvl="7" w:tplc="1C090019" w:tentative="1">
      <w:start w:val="1"/>
      <w:numFmt w:val="lowerLetter"/>
      <w:lvlText w:val="%8."/>
      <w:lvlJc w:val="left"/>
      <w:pPr>
        <w:ind w:left="7270" w:hanging="360"/>
      </w:pPr>
    </w:lvl>
    <w:lvl w:ilvl="8" w:tplc="1C09001B" w:tentative="1">
      <w:start w:val="1"/>
      <w:numFmt w:val="lowerRoman"/>
      <w:lvlText w:val="%9."/>
      <w:lvlJc w:val="right"/>
      <w:pPr>
        <w:ind w:left="7990" w:hanging="180"/>
      </w:pPr>
    </w:lvl>
  </w:abstractNum>
  <w:abstractNum w:abstractNumId="16" w15:restartNumberingAfterBreak="0">
    <w:nsid w:val="46C37932"/>
    <w:multiLevelType w:val="multilevel"/>
    <w:tmpl w:val="8B56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44D39"/>
    <w:multiLevelType w:val="hybridMultilevel"/>
    <w:tmpl w:val="844CBCD4"/>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8" w15:restartNumberingAfterBreak="0">
    <w:nsid w:val="55FF6062"/>
    <w:multiLevelType w:val="hybridMultilevel"/>
    <w:tmpl w:val="CD5E1D1C"/>
    <w:lvl w:ilvl="0" w:tplc="0436F2C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7B4519F"/>
    <w:multiLevelType w:val="multilevel"/>
    <w:tmpl w:val="3250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E33ED"/>
    <w:multiLevelType w:val="hybridMultilevel"/>
    <w:tmpl w:val="FFFFFFFF"/>
    <w:lvl w:ilvl="0" w:tplc="004241E8">
      <w:start w:val="1"/>
      <w:numFmt w:val="decimal"/>
      <w:lvlText w:val="[%1]."/>
      <w:lvlJc w:val="left"/>
      <w:pPr>
        <w:ind w:left="720" w:hanging="360"/>
      </w:pPr>
      <w:rPr>
        <w:rFonts w:cs="Times New Roman" w:hint="default"/>
      </w:rPr>
    </w:lvl>
    <w:lvl w:ilvl="1" w:tplc="0BC013F6">
      <w:start w:val="1"/>
      <w:numFmt w:val="lowerLetter"/>
      <w:lvlText w:val="(%2)."/>
      <w:lvlJc w:val="left"/>
      <w:pPr>
        <w:ind w:left="1440" w:hanging="360"/>
      </w:pPr>
      <w:rPr>
        <w:rFonts w:cs="Times New Roman" w:hint="default"/>
      </w:rPr>
    </w:lvl>
    <w:lvl w:ilvl="2" w:tplc="A1FA804E">
      <w:start w:val="1"/>
      <w:numFmt w:val="lowerRoman"/>
      <w:lvlText w:val="(%3)."/>
      <w:lvlJc w:val="right"/>
      <w:pPr>
        <w:ind w:left="2160" w:hanging="180"/>
      </w:pPr>
      <w:rPr>
        <w:rFonts w:cs="Times New Roman"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15:restartNumberingAfterBreak="0">
    <w:nsid w:val="5AC504F1"/>
    <w:multiLevelType w:val="multilevel"/>
    <w:tmpl w:val="8E2824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1E012F1"/>
    <w:multiLevelType w:val="hybridMultilevel"/>
    <w:tmpl w:val="D0AC0C14"/>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650C57B0"/>
    <w:multiLevelType w:val="hybridMultilevel"/>
    <w:tmpl w:val="D1C89028"/>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15:restartNumberingAfterBreak="0">
    <w:nsid w:val="66103B15"/>
    <w:multiLevelType w:val="hybridMultilevel"/>
    <w:tmpl w:val="AF0019FC"/>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26" w15:restartNumberingAfterBreak="0">
    <w:nsid w:val="7BFE1CE3"/>
    <w:multiLevelType w:val="multilevel"/>
    <w:tmpl w:val="E416CC9A"/>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F6D3BBA"/>
    <w:multiLevelType w:val="hybridMultilevel"/>
    <w:tmpl w:val="E27EAE94"/>
    <w:lvl w:ilvl="0" w:tplc="1C090019">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7"/>
  </w:num>
  <w:num w:numId="2">
    <w:abstractNumId w:val="13"/>
  </w:num>
  <w:num w:numId="3">
    <w:abstractNumId w:val="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1"/>
  </w:num>
  <w:num w:numId="8">
    <w:abstractNumId w:val="24"/>
  </w:num>
  <w:num w:numId="9">
    <w:abstractNumId w:val="0"/>
  </w:num>
  <w:num w:numId="10">
    <w:abstractNumId w:val="22"/>
  </w:num>
  <w:num w:numId="11">
    <w:abstractNumId w:val="4"/>
  </w:num>
  <w:num w:numId="12">
    <w:abstractNumId w:val="2"/>
  </w:num>
  <w:num w:numId="13">
    <w:abstractNumId w:val="23"/>
  </w:num>
  <w:num w:numId="14">
    <w:abstractNumId w:val="10"/>
  </w:num>
  <w:num w:numId="15">
    <w:abstractNumId w:val="5"/>
  </w:num>
  <w:num w:numId="16">
    <w:abstractNumId w:val="17"/>
  </w:num>
  <w:num w:numId="17">
    <w:abstractNumId w:val="25"/>
  </w:num>
  <w:num w:numId="18">
    <w:abstractNumId w:val="21"/>
  </w:num>
  <w:num w:numId="19">
    <w:abstractNumId w:val="9"/>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
  </w:num>
  <w:num w:numId="24">
    <w:abstractNumId w:val="16"/>
  </w:num>
  <w:num w:numId="25">
    <w:abstractNumId w:val="8"/>
  </w:num>
  <w:num w:numId="26">
    <w:abstractNumId w:val="26"/>
  </w:num>
  <w:num w:numId="27">
    <w:abstractNumId w:val="14"/>
  </w:num>
  <w:num w:numId="28">
    <w:abstractNumId w:val="12"/>
  </w:num>
  <w:num w:numId="29">
    <w:abstractNumId w:val="6"/>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3NrWwNDQyMgFyTJV0lIJTi4sz8/NACgxrAScajGAsAAAA"/>
  </w:docVars>
  <w:rsids>
    <w:rsidRoot w:val="00921A96"/>
    <w:rsid w:val="000069B1"/>
    <w:rsid w:val="00007777"/>
    <w:rsid w:val="0001378D"/>
    <w:rsid w:val="00013D10"/>
    <w:rsid w:val="00016C48"/>
    <w:rsid w:val="0001726E"/>
    <w:rsid w:val="000206AD"/>
    <w:rsid w:val="000247C5"/>
    <w:rsid w:val="000254B5"/>
    <w:rsid w:val="00026B38"/>
    <w:rsid w:val="000307F6"/>
    <w:rsid w:val="000330E0"/>
    <w:rsid w:val="0003485D"/>
    <w:rsid w:val="00035B8A"/>
    <w:rsid w:val="00035E0F"/>
    <w:rsid w:val="00037930"/>
    <w:rsid w:val="000406E7"/>
    <w:rsid w:val="00041238"/>
    <w:rsid w:val="000414AC"/>
    <w:rsid w:val="0004490A"/>
    <w:rsid w:val="0004536C"/>
    <w:rsid w:val="00046213"/>
    <w:rsid w:val="00050654"/>
    <w:rsid w:val="00054A58"/>
    <w:rsid w:val="0006091B"/>
    <w:rsid w:val="000622CD"/>
    <w:rsid w:val="00064150"/>
    <w:rsid w:val="00064273"/>
    <w:rsid w:val="00064BC2"/>
    <w:rsid w:val="0006641A"/>
    <w:rsid w:val="00077580"/>
    <w:rsid w:val="00083F90"/>
    <w:rsid w:val="0008404E"/>
    <w:rsid w:val="00084DFD"/>
    <w:rsid w:val="00085048"/>
    <w:rsid w:val="0008651F"/>
    <w:rsid w:val="00090010"/>
    <w:rsid w:val="000904FB"/>
    <w:rsid w:val="000945C2"/>
    <w:rsid w:val="00094C32"/>
    <w:rsid w:val="000A4FBE"/>
    <w:rsid w:val="000A7CE4"/>
    <w:rsid w:val="000B0DB4"/>
    <w:rsid w:val="000B23C3"/>
    <w:rsid w:val="000B32F2"/>
    <w:rsid w:val="000B554C"/>
    <w:rsid w:val="000B75F9"/>
    <w:rsid w:val="000B7BD0"/>
    <w:rsid w:val="000C62F9"/>
    <w:rsid w:val="000C6395"/>
    <w:rsid w:val="000C6A13"/>
    <w:rsid w:val="000C6E11"/>
    <w:rsid w:val="000D2921"/>
    <w:rsid w:val="000D4F9F"/>
    <w:rsid w:val="000D663B"/>
    <w:rsid w:val="000D78AC"/>
    <w:rsid w:val="000E1AAF"/>
    <w:rsid w:val="000E3E8B"/>
    <w:rsid w:val="000E7E7E"/>
    <w:rsid w:val="000F0BE9"/>
    <w:rsid w:val="000F67AB"/>
    <w:rsid w:val="000F7035"/>
    <w:rsid w:val="000F708E"/>
    <w:rsid w:val="00104690"/>
    <w:rsid w:val="0010653B"/>
    <w:rsid w:val="00106FB3"/>
    <w:rsid w:val="0011216F"/>
    <w:rsid w:val="00114DDA"/>
    <w:rsid w:val="001166C3"/>
    <w:rsid w:val="00123202"/>
    <w:rsid w:val="001266CA"/>
    <w:rsid w:val="0012722A"/>
    <w:rsid w:val="00127FB4"/>
    <w:rsid w:val="00130EAC"/>
    <w:rsid w:val="001329FA"/>
    <w:rsid w:val="001343A4"/>
    <w:rsid w:val="00141470"/>
    <w:rsid w:val="00142E9D"/>
    <w:rsid w:val="001435A6"/>
    <w:rsid w:val="001478F0"/>
    <w:rsid w:val="00147FA5"/>
    <w:rsid w:val="00147FB1"/>
    <w:rsid w:val="0015231E"/>
    <w:rsid w:val="001532C7"/>
    <w:rsid w:val="00153DB3"/>
    <w:rsid w:val="00154288"/>
    <w:rsid w:val="001569DA"/>
    <w:rsid w:val="00163DE7"/>
    <w:rsid w:val="00167594"/>
    <w:rsid w:val="00174772"/>
    <w:rsid w:val="00176088"/>
    <w:rsid w:val="001810A2"/>
    <w:rsid w:val="00181958"/>
    <w:rsid w:val="00186A35"/>
    <w:rsid w:val="001903F3"/>
    <w:rsid w:val="00191F0F"/>
    <w:rsid w:val="00195B4B"/>
    <w:rsid w:val="00196585"/>
    <w:rsid w:val="00196FE6"/>
    <w:rsid w:val="001A0FF2"/>
    <w:rsid w:val="001A2AB9"/>
    <w:rsid w:val="001A3459"/>
    <w:rsid w:val="001A3E30"/>
    <w:rsid w:val="001A6F92"/>
    <w:rsid w:val="001B17A0"/>
    <w:rsid w:val="001B4BB0"/>
    <w:rsid w:val="001B6AC7"/>
    <w:rsid w:val="001C0CB6"/>
    <w:rsid w:val="001C3576"/>
    <w:rsid w:val="001C4F2C"/>
    <w:rsid w:val="001C5042"/>
    <w:rsid w:val="001C5AC5"/>
    <w:rsid w:val="001C6BB5"/>
    <w:rsid w:val="001D03CA"/>
    <w:rsid w:val="001D1358"/>
    <w:rsid w:val="001D33B5"/>
    <w:rsid w:val="001D4956"/>
    <w:rsid w:val="001D50CC"/>
    <w:rsid w:val="001E0D71"/>
    <w:rsid w:val="001E1517"/>
    <w:rsid w:val="001E4DFB"/>
    <w:rsid w:val="001E504E"/>
    <w:rsid w:val="001F2417"/>
    <w:rsid w:val="001F335C"/>
    <w:rsid w:val="001F3C8F"/>
    <w:rsid w:val="0020188B"/>
    <w:rsid w:val="002029A4"/>
    <w:rsid w:val="00204493"/>
    <w:rsid w:val="00204FC0"/>
    <w:rsid w:val="00220AC2"/>
    <w:rsid w:val="0022167A"/>
    <w:rsid w:val="00222FB9"/>
    <w:rsid w:val="00223F21"/>
    <w:rsid w:val="002245BC"/>
    <w:rsid w:val="00224997"/>
    <w:rsid w:val="002260BE"/>
    <w:rsid w:val="00226E4E"/>
    <w:rsid w:val="002325F6"/>
    <w:rsid w:val="00240117"/>
    <w:rsid w:val="002402A6"/>
    <w:rsid w:val="00244859"/>
    <w:rsid w:val="002506F4"/>
    <w:rsid w:val="00252A75"/>
    <w:rsid w:val="002543DC"/>
    <w:rsid w:val="00257096"/>
    <w:rsid w:val="00257F15"/>
    <w:rsid w:val="00261AEE"/>
    <w:rsid w:val="002638BF"/>
    <w:rsid w:val="0026761E"/>
    <w:rsid w:val="00273249"/>
    <w:rsid w:val="0028090B"/>
    <w:rsid w:val="00281213"/>
    <w:rsid w:val="00287A6F"/>
    <w:rsid w:val="00293FE6"/>
    <w:rsid w:val="002A4209"/>
    <w:rsid w:val="002B02B9"/>
    <w:rsid w:val="002B1419"/>
    <w:rsid w:val="002B15FE"/>
    <w:rsid w:val="002B448C"/>
    <w:rsid w:val="002B68C2"/>
    <w:rsid w:val="002B6E70"/>
    <w:rsid w:val="002C2A2E"/>
    <w:rsid w:val="002C4292"/>
    <w:rsid w:val="002C4BFF"/>
    <w:rsid w:val="002C584C"/>
    <w:rsid w:val="002C6438"/>
    <w:rsid w:val="002C79A9"/>
    <w:rsid w:val="002D1D4C"/>
    <w:rsid w:val="002D243A"/>
    <w:rsid w:val="002D49E6"/>
    <w:rsid w:val="002D7154"/>
    <w:rsid w:val="002E6193"/>
    <w:rsid w:val="002F1483"/>
    <w:rsid w:val="002F1B14"/>
    <w:rsid w:val="002F52B2"/>
    <w:rsid w:val="002F6E35"/>
    <w:rsid w:val="002F791C"/>
    <w:rsid w:val="00302DE8"/>
    <w:rsid w:val="00307F14"/>
    <w:rsid w:val="00310572"/>
    <w:rsid w:val="003107AB"/>
    <w:rsid w:val="003142A5"/>
    <w:rsid w:val="003239F2"/>
    <w:rsid w:val="00326014"/>
    <w:rsid w:val="00327FA0"/>
    <w:rsid w:val="003301F3"/>
    <w:rsid w:val="0033087A"/>
    <w:rsid w:val="00335946"/>
    <w:rsid w:val="003362BD"/>
    <w:rsid w:val="00336EE7"/>
    <w:rsid w:val="0034007C"/>
    <w:rsid w:val="00341C52"/>
    <w:rsid w:val="0034290D"/>
    <w:rsid w:val="00346E06"/>
    <w:rsid w:val="00353111"/>
    <w:rsid w:val="00353614"/>
    <w:rsid w:val="00354417"/>
    <w:rsid w:val="0035452A"/>
    <w:rsid w:val="00356A85"/>
    <w:rsid w:val="003629A8"/>
    <w:rsid w:val="00363F05"/>
    <w:rsid w:val="003648EB"/>
    <w:rsid w:val="00365F58"/>
    <w:rsid w:val="003673B7"/>
    <w:rsid w:val="003745C8"/>
    <w:rsid w:val="00375B1D"/>
    <w:rsid w:val="00377E88"/>
    <w:rsid w:val="003830CE"/>
    <w:rsid w:val="0039275D"/>
    <w:rsid w:val="00392FAE"/>
    <w:rsid w:val="00394B82"/>
    <w:rsid w:val="00396149"/>
    <w:rsid w:val="00396FA5"/>
    <w:rsid w:val="003A2917"/>
    <w:rsid w:val="003A2A32"/>
    <w:rsid w:val="003A5B4F"/>
    <w:rsid w:val="003B0B03"/>
    <w:rsid w:val="003B0BEA"/>
    <w:rsid w:val="003B2144"/>
    <w:rsid w:val="003B5302"/>
    <w:rsid w:val="003B68BF"/>
    <w:rsid w:val="003C2742"/>
    <w:rsid w:val="003C4A7D"/>
    <w:rsid w:val="003D211B"/>
    <w:rsid w:val="003D2CF1"/>
    <w:rsid w:val="003D7125"/>
    <w:rsid w:val="003E033D"/>
    <w:rsid w:val="003E19E0"/>
    <w:rsid w:val="003E5D7B"/>
    <w:rsid w:val="003E684D"/>
    <w:rsid w:val="003E6A3F"/>
    <w:rsid w:val="003F09B1"/>
    <w:rsid w:val="003F0C51"/>
    <w:rsid w:val="003F76F9"/>
    <w:rsid w:val="00400078"/>
    <w:rsid w:val="00401F3D"/>
    <w:rsid w:val="00410934"/>
    <w:rsid w:val="00412AF9"/>
    <w:rsid w:val="00412F26"/>
    <w:rsid w:val="00412FD5"/>
    <w:rsid w:val="00416139"/>
    <w:rsid w:val="00426FFB"/>
    <w:rsid w:val="00427B83"/>
    <w:rsid w:val="00435C73"/>
    <w:rsid w:val="00442CBD"/>
    <w:rsid w:val="00443110"/>
    <w:rsid w:val="00445FA7"/>
    <w:rsid w:val="004465ED"/>
    <w:rsid w:val="00447677"/>
    <w:rsid w:val="00450B78"/>
    <w:rsid w:val="0045223D"/>
    <w:rsid w:val="00454F1C"/>
    <w:rsid w:val="004561CD"/>
    <w:rsid w:val="00457E48"/>
    <w:rsid w:val="00457F9A"/>
    <w:rsid w:val="00461641"/>
    <w:rsid w:val="004657E6"/>
    <w:rsid w:val="0046756F"/>
    <w:rsid w:val="00473449"/>
    <w:rsid w:val="00475F8F"/>
    <w:rsid w:val="004763C4"/>
    <w:rsid w:val="0048481A"/>
    <w:rsid w:val="00484B67"/>
    <w:rsid w:val="0048539D"/>
    <w:rsid w:val="00486692"/>
    <w:rsid w:val="00487B41"/>
    <w:rsid w:val="00494E2F"/>
    <w:rsid w:val="004971E4"/>
    <w:rsid w:val="004A02A2"/>
    <w:rsid w:val="004A1440"/>
    <w:rsid w:val="004A3357"/>
    <w:rsid w:val="004A400A"/>
    <w:rsid w:val="004A40AB"/>
    <w:rsid w:val="004A416B"/>
    <w:rsid w:val="004B0C1D"/>
    <w:rsid w:val="004B41E3"/>
    <w:rsid w:val="004B6E88"/>
    <w:rsid w:val="004C42E7"/>
    <w:rsid w:val="004C4CE4"/>
    <w:rsid w:val="004C7012"/>
    <w:rsid w:val="004D50A5"/>
    <w:rsid w:val="004F07DD"/>
    <w:rsid w:val="004F2BD7"/>
    <w:rsid w:val="004F405B"/>
    <w:rsid w:val="004F7DA1"/>
    <w:rsid w:val="00500B9D"/>
    <w:rsid w:val="00503C49"/>
    <w:rsid w:val="00503CD4"/>
    <w:rsid w:val="005050C2"/>
    <w:rsid w:val="00505E23"/>
    <w:rsid w:val="00512917"/>
    <w:rsid w:val="005166AE"/>
    <w:rsid w:val="0052118D"/>
    <w:rsid w:val="005229CF"/>
    <w:rsid w:val="0052544D"/>
    <w:rsid w:val="00535CB4"/>
    <w:rsid w:val="00536FCC"/>
    <w:rsid w:val="00540C93"/>
    <w:rsid w:val="00540E84"/>
    <w:rsid w:val="005426E7"/>
    <w:rsid w:val="005441D6"/>
    <w:rsid w:val="00546AFC"/>
    <w:rsid w:val="00547A02"/>
    <w:rsid w:val="005523CF"/>
    <w:rsid w:val="005552D3"/>
    <w:rsid w:val="00556A5E"/>
    <w:rsid w:val="005601B1"/>
    <w:rsid w:val="00564AFD"/>
    <w:rsid w:val="005665B8"/>
    <w:rsid w:val="00571355"/>
    <w:rsid w:val="00572B73"/>
    <w:rsid w:val="005739C6"/>
    <w:rsid w:val="005769D1"/>
    <w:rsid w:val="00590694"/>
    <w:rsid w:val="00591246"/>
    <w:rsid w:val="00596217"/>
    <w:rsid w:val="0059790A"/>
    <w:rsid w:val="005A0543"/>
    <w:rsid w:val="005A0F82"/>
    <w:rsid w:val="005A564E"/>
    <w:rsid w:val="005A79E9"/>
    <w:rsid w:val="005B1EEE"/>
    <w:rsid w:val="005B3A52"/>
    <w:rsid w:val="005B4067"/>
    <w:rsid w:val="005B4780"/>
    <w:rsid w:val="005B6CA0"/>
    <w:rsid w:val="005C59FA"/>
    <w:rsid w:val="005D40AA"/>
    <w:rsid w:val="005D6AD3"/>
    <w:rsid w:val="005D6AEF"/>
    <w:rsid w:val="005D6EF6"/>
    <w:rsid w:val="005E1B15"/>
    <w:rsid w:val="005E2E54"/>
    <w:rsid w:val="005E7BA4"/>
    <w:rsid w:val="005F078E"/>
    <w:rsid w:val="00601101"/>
    <w:rsid w:val="006056A8"/>
    <w:rsid w:val="00607C07"/>
    <w:rsid w:val="006109F1"/>
    <w:rsid w:val="006123A7"/>
    <w:rsid w:val="00614870"/>
    <w:rsid w:val="00624291"/>
    <w:rsid w:val="00624ABF"/>
    <w:rsid w:val="00625981"/>
    <w:rsid w:val="00625F0D"/>
    <w:rsid w:val="00627B86"/>
    <w:rsid w:val="00634F54"/>
    <w:rsid w:val="00642996"/>
    <w:rsid w:val="0064333B"/>
    <w:rsid w:val="0065180F"/>
    <w:rsid w:val="00652C62"/>
    <w:rsid w:val="00660368"/>
    <w:rsid w:val="00660401"/>
    <w:rsid w:val="00660A7E"/>
    <w:rsid w:val="00663CD1"/>
    <w:rsid w:val="0066440C"/>
    <w:rsid w:val="0066553B"/>
    <w:rsid w:val="0066595D"/>
    <w:rsid w:val="00671C9D"/>
    <w:rsid w:val="0067208F"/>
    <w:rsid w:val="00672F53"/>
    <w:rsid w:val="00673229"/>
    <w:rsid w:val="00681C94"/>
    <w:rsid w:val="00684584"/>
    <w:rsid w:val="00692397"/>
    <w:rsid w:val="0069342D"/>
    <w:rsid w:val="00695B19"/>
    <w:rsid w:val="00697110"/>
    <w:rsid w:val="00697FA7"/>
    <w:rsid w:val="006A75AC"/>
    <w:rsid w:val="006B036E"/>
    <w:rsid w:val="006B347F"/>
    <w:rsid w:val="006B38F6"/>
    <w:rsid w:val="006B3F51"/>
    <w:rsid w:val="006B693D"/>
    <w:rsid w:val="006B6D51"/>
    <w:rsid w:val="006B7445"/>
    <w:rsid w:val="006B798C"/>
    <w:rsid w:val="006C1FAB"/>
    <w:rsid w:val="006C6306"/>
    <w:rsid w:val="006D039D"/>
    <w:rsid w:val="006D6C1C"/>
    <w:rsid w:val="006E1671"/>
    <w:rsid w:val="006E4B5C"/>
    <w:rsid w:val="00701EFD"/>
    <w:rsid w:val="00702008"/>
    <w:rsid w:val="00702252"/>
    <w:rsid w:val="00702333"/>
    <w:rsid w:val="00704F38"/>
    <w:rsid w:val="0070755B"/>
    <w:rsid w:val="00710972"/>
    <w:rsid w:val="007115C4"/>
    <w:rsid w:val="007206E0"/>
    <w:rsid w:val="0072280A"/>
    <w:rsid w:val="00722AEE"/>
    <w:rsid w:val="007242E1"/>
    <w:rsid w:val="00725A36"/>
    <w:rsid w:val="007302BB"/>
    <w:rsid w:val="00730C6E"/>
    <w:rsid w:val="00731E38"/>
    <w:rsid w:val="00732000"/>
    <w:rsid w:val="007342FB"/>
    <w:rsid w:val="00736AD4"/>
    <w:rsid w:val="007376FD"/>
    <w:rsid w:val="00741E76"/>
    <w:rsid w:val="00743452"/>
    <w:rsid w:val="00751884"/>
    <w:rsid w:val="00751E0D"/>
    <w:rsid w:val="007524D9"/>
    <w:rsid w:val="00756AD0"/>
    <w:rsid w:val="00756E08"/>
    <w:rsid w:val="0075713F"/>
    <w:rsid w:val="007610EB"/>
    <w:rsid w:val="0076540B"/>
    <w:rsid w:val="00770849"/>
    <w:rsid w:val="00771A88"/>
    <w:rsid w:val="00773F77"/>
    <w:rsid w:val="007742C1"/>
    <w:rsid w:val="007814F8"/>
    <w:rsid w:val="007831DC"/>
    <w:rsid w:val="007834C4"/>
    <w:rsid w:val="00783968"/>
    <w:rsid w:val="00783D2D"/>
    <w:rsid w:val="00785218"/>
    <w:rsid w:val="00785DAE"/>
    <w:rsid w:val="0079022B"/>
    <w:rsid w:val="007919CB"/>
    <w:rsid w:val="00793088"/>
    <w:rsid w:val="00794DCB"/>
    <w:rsid w:val="00795187"/>
    <w:rsid w:val="007962FB"/>
    <w:rsid w:val="007970E5"/>
    <w:rsid w:val="00797376"/>
    <w:rsid w:val="007A1A14"/>
    <w:rsid w:val="007A3B93"/>
    <w:rsid w:val="007A73AA"/>
    <w:rsid w:val="007A7B83"/>
    <w:rsid w:val="007B05E7"/>
    <w:rsid w:val="007B3BDE"/>
    <w:rsid w:val="007B79CA"/>
    <w:rsid w:val="007B7F59"/>
    <w:rsid w:val="007C006F"/>
    <w:rsid w:val="007C07A8"/>
    <w:rsid w:val="007C274E"/>
    <w:rsid w:val="007C6BD8"/>
    <w:rsid w:val="007C73C4"/>
    <w:rsid w:val="007D4E13"/>
    <w:rsid w:val="007E0BB4"/>
    <w:rsid w:val="007E6546"/>
    <w:rsid w:val="007E7FE5"/>
    <w:rsid w:val="007F296D"/>
    <w:rsid w:val="007F6EA1"/>
    <w:rsid w:val="008031AE"/>
    <w:rsid w:val="00815629"/>
    <w:rsid w:val="008156D1"/>
    <w:rsid w:val="00825115"/>
    <w:rsid w:val="00825420"/>
    <w:rsid w:val="00825EB9"/>
    <w:rsid w:val="00827AB5"/>
    <w:rsid w:val="00831CE5"/>
    <w:rsid w:val="008330EE"/>
    <w:rsid w:val="00836641"/>
    <w:rsid w:val="00837796"/>
    <w:rsid w:val="008438E8"/>
    <w:rsid w:val="00861648"/>
    <w:rsid w:val="00862C9F"/>
    <w:rsid w:val="00862D17"/>
    <w:rsid w:val="00865057"/>
    <w:rsid w:val="00866374"/>
    <w:rsid w:val="0087173B"/>
    <w:rsid w:val="008726C3"/>
    <w:rsid w:val="0087568E"/>
    <w:rsid w:val="00880A7B"/>
    <w:rsid w:val="00880CBF"/>
    <w:rsid w:val="00882618"/>
    <w:rsid w:val="00883E5B"/>
    <w:rsid w:val="0088719F"/>
    <w:rsid w:val="00887CE6"/>
    <w:rsid w:val="00887DD3"/>
    <w:rsid w:val="00894571"/>
    <w:rsid w:val="00895CE8"/>
    <w:rsid w:val="008A0C42"/>
    <w:rsid w:val="008A226E"/>
    <w:rsid w:val="008A5022"/>
    <w:rsid w:val="008A550C"/>
    <w:rsid w:val="008A711F"/>
    <w:rsid w:val="008B2F84"/>
    <w:rsid w:val="008B33D1"/>
    <w:rsid w:val="008B437F"/>
    <w:rsid w:val="008B632A"/>
    <w:rsid w:val="008B7AF1"/>
    <w:rsid w:val="008B7D12"/>
    <w:rsid w:val="008C571E"/>
    <w:rsid w:val="008C7500"/>
    <w:rsid w:val="008E0923"/>
    <w:rsid w:val="008E0BC8"/>
    <w:rsid w:val="008E63BE"/>
    <w:rsid w:val="008E77CD"/>
    <w:rsid w:val="00902243"/>
    <w:rsid w:val="0090371D"/>
    <w:rsid w:val="00903B78"/>
    <w:rsid w:val="00905083"/>
    <w:rsid w:val="00905175"/>
    <w:rsid w:val="00905C0F"/>
    <w:rsid w:val="00910620"/>
    <w:rsid w:val="00912FAB"/>
    <w:rsid w:val="00913777"/>
    <w:rsid w:val="00913A9F"/>
    <w:rsid w:val="009141CC"/>
    <w:rsid w:val="009158CA"/>
    <w:rsid w:val="00915E7D"/>
    <w:rsid w:val="009168FC"/>
    <w:rsid w:val="00921A96"/>
    <w:rsid w:val="00921F82"/>
    <w:rsid w:val="00922737"/>
    <w:rsid w:val="00924181"/>
    <w:rsid w:val="00926154"/>
    <w:rsid w:val="00930E2F"/>
    <w:rsid w:val="00934675"/>
    <w:rsid w:val="00936FB3"/>
    <w:rsid w:val="00942390"/>
    <w:rsid w:val="00946F65"/>
    <w:rsid w:val="009472AD"/>
    <w:rsid w:val="00947888"/>
    <w:rsid w:val="009508DA"/>
    <w:rsid w:val="00957857"/>
    <w:rsid w:val="00960C24"/>
    <w:rsid w:val="00962C44"/>
    <w:rsid w:val="00963D7B"/>
    <w:rsid w:val="009764C4"/>
    <w:rsid w:val="009769C7"/>
    <w:rsid w:val="00980C34"/>
    <w:rsid w:val="0098259B"/>
    <w:rsid w:val="009853C7"/>
    <w:rsid w:val="00985547"/>
    <w:rsid w:val="0098558C"/>
    <w:rsid w:val="00990B91"/>
    <w:rsid w:val="00992EA8"/>
    <w:rsid w:val="00995C67"/>
    <w:rsid w:val="00997A64"/>
    <w:rsid w:val="009A1588"/>
    <w:rsid w:val="009A3537"/>
    <w:rsid w:val="009A38D2"/>
    <w:rsid w:val="009B0D8C"/>
    <w:rsid w:val="009B49E6"/>
    <w:rsid w:val="009B7A5C"/>
    <w:rsid w:val="009C08C0"/>
    <w:rsid w:val="009C167B"/>
    <w:rsid w:val="009C1F4A"/>
    <w:rsid w:val="009C3658"/>
    <w:rsid w:val="009C5892"/>
    <w:rsid w:val="009C5A7F"/>
    <w:rsid w:val="009C60B6"/>
    <w:rsid w:val="009C6488"/>
    <w:rsid w:val="009D1E30"/>
    <w:rsid w:val="009D263C"/>
    <w:rsid w:val="009D33A0"/>
    <w:rsid w:val="009D3D1D"/>
    <w:rsid w:val="009D5E21"/>
    <w:rsid w:val="009E1318"/>
    <w:rsid w:val="009E5A4C"/>
    <w:rsid w:val="009E6A8D"/>
    <w:rsid w:val="009E7B9B"/>
    <w:rsid w:val="009F265F"/>
    <w:rsid w:val="009F672C"/>
    <w:rsid w:val="009F6D0B"/>
    <w:rsid w:val="009F6D8C"/>
    <w:rsid w:val="009F7FC2"/>
    <w:rsid w:val="00A015AB"/>
    <w:rsid w:val="00A04630"/>
    <w:rsid w:val="00A0484D"/>
    <w:rsid w:val="00A0630D"/>
    <w:rsid w:val="00A064E3"/>
    <w:rsid w:val="00A06DBB"/>
    <w:rsid w:val="00A11DB9"/>
    <w:rsid w:val="00A12A66"/>
    <w:rsid w:val="00A1452A"/>
    <w:rsid w:val="00A21474"/>
    <w:rsid w:val="00A22DEB"/>
    <w:rsid w:val="00A24639"/>
    <w:rsid w:val="00A25869"/>
    <w:rsid w:val="00A31361"/>
    <w:rsid w:val="00A32D17"/>
    <w:rsid w:val="00A32FE1"/>
    <w:rsid w:val="00A42734"/>
    <w:rsid w:val="00A50456"/>
    <w:rsid w:val="00A50A1A"/>
    <w:rsid w:val="00A510AB"/>
    <w:rsid w:val="00A53E93"/>
    <w:rsid w:val="00A54650"/>
    <w:rsid w:val="00A55CFA"/>
    <w:rsid w:val="00A6453A"/>
    <w:rsid w:val="00A65DC2"/>
    <w:rsid w:val="00A66F36"/>
    <w:rsid w:val="00A70419"/>
    <w:rsid w:val="00A77180"/>
    <w:rsid w:val="00A80666"/>
    <w:rsid w:val="00A83A79"/>
    <w:rsid w:val="00A844F4"/>
    <w:rsid w:val="00A851AD"/>
    <w:rsid w:val="00A86FB2"/>
    <w:rsid w:val="00A936AA"/>
    <w:rsid w:val="00A9537A"/>
    <w:rsid w:val="00A956DD"/>
    <w:rsid w:val="00A96200"/>
    <w:rsid w:val="00A96478"/>
    <w:rsid w:val="00A97E9F"/>
    <w:rsid w:val="00AA58A1"/>
    <w:rsid w:val="00AA64B0"/>
    <w:rsid w:val="00AB135D"/>
    <w:rsid w:val="00AB1A33"/>
    <w:rsid w:val="00AB4BB2"/>
    <w:rsid w:val="00AB7073"/>
    <w:rsid w:val="00AB7F61"/>
    <w:rsid w:val="00AD229B"/>
    <w:rsid w:val="00AD2775"/>
    <w:rsid w:val="00AD2B10"/>
    <w:rsid w:val="00AD3E60"/>
    <w:rsid w:val="00AD5C34"/>
    <w:rsid w:val="00AD68F3"/>
    <w:rsid w:val="00AD7321"/>
    <w:rsid w:val="00AD7570"/>
    <w:rsid w:val="00AE28B3"/>
    <w:rsid w:val="00AE3C43"/>
    <w:rsid w:val="00AF097E"/>
    <w:rsid w:val="00AF1CFD"/>
    <w:rsid w:val="00AF41BE"/>
    <w:rsid w:val="00B03053"/>
    <w:rsid w:val="00B07D01"/>
    <w:rsid w:val="00B141B5"/>
    <w:rsid w:val="00B14399"/>
    <w:rsid w:val="00B22991"/>
    <w:rsid w:val="00B31898"/>
    <w:rsid w:val="00B31D18"/>
    <w:rsid w:val="00B413AB"/>
    <w:rsid w:val="00B41701"/>
    <w:rsid w:val="00B41B46"/>
    <w:rsid w:val="00B477F8"/>
    <w:rsid w:val="00B51A4C"/>
    <w:rsid w:val="00B56E5C"/>
    <w:rsid w:val="00B56E94"/>
    <w:rsid w:val="00B57CEC"/>
    <w:rsid w:val="00B61966"/>
    <w:rsid w:val="00B62712"/>
    <w:rsid w:val="00B62AAA"/>
    <w:rsid w:val="00B639E1"/>
    <w:rsid w:val="00B65D64"/>
    <w:rsid w:val="00B71434"/>
    <w:rsid w:val="00B71638"/>
    <w:rsid w:val="00B775DA"/>
    <w:rsid w:val="00B776F9"/>
    <w:rsid w:val="00B77719"/>
    <w:rsid w:val="00B84E7A"/>
    <w:rsid w:val="00B908F4"/>
    <w:rsid w:val="00B949B1"/>
    <w:rsid w:val="00B94B3D"/>
    <w:rsid w:val="00B95AE2"/>
    <w:rsid w:val="00B97C5D"/>
    <w:rsid w:val="00BA1216"/>
    <w:rsid w:val="00BA785E"/>
    <w:rsid w:val="00BA795D"/>
    <w:rsid w:val="00BA7C0C"/>
    <w:rsid w:val="00BB0E93"/>
    <w:rsid w:val="00BB3ED3"/>
    <w:rsid w:val="00BB5352"/>
    <w:rsid w:val="00BB618B"/>
    <w:rsid w:val="00BC23A9"/>
    <w:rsid w:val="00BC3FE3"/>
    <w:rsid w:val="00BC4097"/>
    <w:rsid w:val="00BC457C"/>
    <w:rsid w:val="00BC5539"/>
    <w:rsid w:val="00BC6784"/>
    <w:rsid w:val="00BD103E"/>
    <w:rsid w:val="00BD16C5"/>
    <w:rsid w:val="00BD3306"/>
    <w:rsid w:val="00BD3AE0"/>
    <w:rsid w:val="00BD659B"/>
    <w:rsid w:val="00BE3943"/>
    <w:rsid w:val="00BE4569"/>
    <w:rsid w:val="00BE775B"/>
    <w:rsid w:val="00BF05A2"/>
    <w:rsid w:val="00BF0B1F"/>
    <w:rsid w:val="00BF204B"/>
    <w:rsid w:val="00BF3CC2"/>
    <w:rsid w:val="00BF450E"/>
    <w:rsid w:val="00BF5318"/>
    <w:rsid w:val="00BF5703"/>
    <w:rsid w:val="00BF5D4F"/>
    <w:rsid w:val="00C02522"/>
    <w:rsid w:val="00C061F9"/>
    <w:rsid w:val="00C06A27"/>
    <w:rsid w:val="00C10A48"/>
    <w:rsid w:val="00C13C74"/>
    <w:rsid w:val="00C17555"/>
    <w:rsid w:val="00C226FC"/>
    <w:rsid w:val="00C24358"/>
    <w:rsid w:val="00C24430"/>
    <w:rsid w:val="00C252A3"/>
    <w:rsid w:val="00C32014"/>
    <w:rsid w:val="00C3221B"/>
    <w:rsid w:val="00C34CA5"/>
    <w:rsid w:val="00C3659A"/>
    <w:rsid w:val="00C37683"/>
    <w:rsid w:val="00C437AD"/>
    <w:rsid w:val="00C462CB"/>
    <w:rsid w:val="00C471CF"/>
    <w:rsid w:val="00C51C6B"/>
    <w:rsid w:val="00C52534"/>
    <w:rsid w:val="00C551F3"/>
    <w:rsid w:val="00C55DD3"/>
    <w:rsid w:val="00C604B4"/>
    <w:rsid w:val="00C62D1A"/>
    <w:rsid w:val="00C62D58"/>
    <w:rsid w:val="00C640F2"/>
    <w:rsid w:val="00C64F79"/>
    <w:rsid w:val="00C65FE0"/>
    <w:rsid w:val="00C661CE"/>
    <w:rsid w:val="00C66ACE"/>
    <w:rsid w:val="00C673FA"/>
    <w:rsid w:val="00C7084D"/>
    <w:rsid w:val="00C71EDF"/>
    <w:rsid w:val="00C73915"/>
    <w:rsid w:val="00C83843"/>
    <w:rsid w:val="00C9146E"/>
    <w:rsid w:val="00C9164E"/>
    <w:rsid w:val="00C95A7D"/>
    <w:rsid w:val="00C97645"/>
    <w:rsid w:val="00CA039D"/>
    <w:rsid w:val="00CA25C5"/>
    <w:rsid w:val="00CA367F"/>
    <w:rsid w:val="00CA3DD7"/>
    <w:rsid w:val="00CB1AF1"/>
    <w:rsid w:val="00CB2A7B"/>
    <w:rsid w:val="00CB34AE"/>
    <w:rsid w:val="00CC3B13"/>
    <w:rsid w:val="00CC53F4"/>
    <w:rsid w:val="00CC5A96"/>
    <w:rsid w:val="00CC7087"/>
    <w:rsid w:val="00CD0E2D"/>
    <w:rsid w:val="00CD23C4"/>
    <w:rsid w:val="00CD2B65"/>
    <w:rsid w:val="00CE22FA"/>
    <w:rsid w:val="00CE242C"/>
    <w:rsid w:val="00CE2647"/>
    <w:rsid w:val="00CE2B4E"/>
    <w:rsid w:val="00CE373C"/>
    <w:rsid w:val="00CE4E7C"/>
    <w:rsid w:val="00CE5868"/>
    <w:rsid w:val="00CF4E63"/>
    <w:rsid w:val="00D02A70"/>
    <w:rsid w:val="00D02A95"/>
    <w:rsid w:val="00D071EC"/>
    <w:rsid w:val="00D10BB9"/>
    <w:rsid w:val="00D12D55"/>
    <w:rsid w:val="00D130B2"/>
    <w:rsid w:val="00D152B5"/>
    <w:rsid w:val="00D16C5A"/>
    <w:rsid w:val="00D224D9"/>
    <w:rsid w:val="00D23A5C"/>
    <w:rsid w:val="00D25F65"/>
    <w:rsid w:val="00D27DB7"/>
    <w:rsid w:val="00D30384"/>
    <w:rsid w:val="00D304A0"/>
    <w:rsid w:val="00D3162C"/>
    <w:rsid w:val="00D31EC0"/>
    <w:rsid w:val="00D321E8"/>
    <w:rsid w:val="00D46753"/>
    <w:rsid w:val="00D47FF4"/>
    <w:rsid w:val="00D5186C"/>
    <w:rsid w:val="00D53A08"/>
    <w:rsid w:val="00D553C1"/>
    <w:rsid w:val="00D62018"/>
    <w:rsid w:val="00D62428"/>
    <w:rsid w:val="00D63132"/>
    <w:rsid w:val="00D71140"/>
    <w:rsid w:val="00D726F8"/>
    <w:rsid w:val="00D748EA"/>
    <w:rsid w:val="00D76C01"/>
    <w:rsid w:val="00D77F03"/>
    <w:rsid w:val="00D8439E"/>
    <w:rsid w:val="00D84772"/>
    <w:rsid w:val="00D86588"/>
    <w:rsid w:val="00D908DE"/>
    <w:rsid w:val="00D90C2C"/>
    <w:rsid w:val="00D910CD"/>
    <w:rsid w:val="00D92FC5"/>
    <w:rsid w:val="00D95864"/>
    <w:rsid w:val="00DA2073"/>
    <w:rsid w:val="00DA4FE8"/>
    <w:rsid w:val="00DA54B8"/>
    <w:rsid w:val="00DB0A2A"/>
    <w:rsid w:val="00DB64CE"/>
    <w:rsid w:val="00DC5BD6"/>
    <w:rsid w:val="00DD0441"/>
    <w:rsid w:val="00DD0E76"/>
    <w:rsid w:val="00DD1421"/>
    <w:rsid w:val="00DD516C"/>
    <w:rsid w:val="00DD6B00"/>
    <w:rsid w:val="00DE28F3"/>
    <w:rsid w:val="00DE2C2B"/>
    <w:rsid w:val="00DE71BF"/>
    <w:rsid w:val="00DF17E6"/>
    <w:rsid w:val="00DF5389"/>
    <w:rsid w:val="00E0040B"/>
    <w:rsid w:val="00E054C5"/>
    <w:rsid w:val="00E062E2"/>
    <w:rsid w:val="00E07270"/>
    <w:rsid w:val="00E10783"/>
    <w:rsid w:val="00E11023"/>
    <w:rsid w:val="00E11037"/>
    <w:rsid w:val="00E1339F"/>
    <w:rsid w:val="00E144BF"/>
    <w:rsid w:val="00E160A9"/>
    <w:rsid w:val="00E160F8"/>
    <w:rsid w:val="00E17A6C"/>
    <w:rsid w:val="00E30A89"/>
    <w:rsid w:val="00E32B07"/>
    <w:rsid w:val="00E36189"/>
    <w:rsid w:val="00E365B1"/>
    <w:rsid w:val="00E4012E"/>
    <w:rsid w:val="00E469E1"/>
    <w:rsid w:val="00E54E00"/>
    <w:rsid w:val="00E5712B"/>
    <w:rsid w:val="00E63E4F"/>
    <w:rsid w:val="00E71C05"/>
    <w:rsid w:val="00E7645E"/>
    <w:rsid w:val="00E802DB"/>
    <w:rsid w:val="00E81649"/>
    <w:rsid w:val="00E82A9F"/>
    <w:rsid w:val="00E84DA4"/>
    <w:rsid w:val="00E859CB"/>
    <w:rsid w:val="00E866B6"/>
    <w:rsid w:val="00E91523"/>
    <w:rsid w:val="00E95D4D"/>
    <w:rsid w:val="00EA02CB"/>
    <w:rsid w:val="00EA3B77"/>
    <w:rsid w:val="00EA7538"/>
    <w:rsid w:val="00EB01DA"/>
    <w:rsid w:val="00EB3E1A"/>
    <w:rsid w:val="00EB44C0"/>
    <w:rsid w:val="00EB65A8"/>
    <w:rsid w:val="00EC695B"/>
    <w:rsid w:val="00ED2490"/>
    <w:rsid w:val="00ED3AFD"/>
    <w:rsid w:val="00ED4463"/>
    <w:rsid w:val="00ED5D04"/>
    <w:rsid w:val="00EE3CDD"/>
    <w:rsid w:val="00EE52D1"/>
    <w:rsid w:val="00EE5CD7"/>
    <w:rsid w:val="00EE5E95"/>
    <w:rsid w:val="00EF0B39"/>
    <w:rsid w:val="00EF2F01"/>
    <w:rsid w:val="00EF67E6"/>
    <w:rsid w:val="00F03268"/>
    <w:rsid w:val="00F0521A"/>
    <w:rsid w:val="00F05221"/>
    <w:rsid w:val="00F06ACC"/>
    <w:rsid w:val="00F07BA7"/>
    <w:rsid w:val="00F10B9D"/>
    <w:rsid w:val="00F11113"/>
    <w:rsid w:val="00F129E5"/>
    <w:rsid w:val="00F14555"/>
    <w:rsid w:val="00F170B7"/>
    <w:rsid w:val="00F24931"/>
    <w:rsid w:val="00F2771D"/>
    <w:rsid w:val="00F30CBD"/>
    <w:rsid w:val="00F37AAE"/>
    <w:rsid w:val="00F407C5"/>
    <w:rsid w:val="00F421A6"/>
    <w:rsid w:val="00F42F5D"/>
    <w:rsid w:val="00F47704"/>
    <w:rsid w:val="00F50355"/>
    <w:rsid w:val="00F51DF8"/>
    <w:rsid w:val="00F52CEE"/>
    <w:rsid w:val="00F53676"/>
    <w:rsid w:val="00F5399E"/>
    <w:rsid w:val="00F55728"/>
    <w:rsid w:val="00F613DB"/>
    <w:rsid w:val="00F6300D"/>
    <w:rsid w:val="00F664A7"/>
    <w:rsid w:val="00F6669F"/>
    <w:rsid w:val="00F67101"/>
    <w:rsid w:val="00F6762D"/>
    <w:rsid w:val="00F70F02"/>
    <w:rsid w:val="00F73E03"/>
    <w:rsid w:val="00F740C4"/>
    <w:rsid w:val="00F82B8B"/>
    <w:rsid w:val="00F8327A"/>
    <w:rsid w:val="00F85886"/>
    <w:rsid w:val="00F8647F"/>
    <w:rsid w:val="00F864BD"/>
    <w:rsid w:val="00F86CD6"/>
    <w:rsid w:val="00F907B5"/>
    <w:rsid w:val="00F90D10"/>
    <w:rsid w:val="00F91C10"/>
    <w:rsid w:val="00F93656"/>
    <w:rsid w:val="00F94AC4"/>
    <w:rsid w:val="00F95305"/>
    <w:rsid w:val="00FA29D7"/>
    <w:rsid w:val="00FA4EC4"/>
    <w:rsid w:val="00FA5A79"/>
    <w:rsid w:val="00FA70B0"/>
    <w:rsid w:val="00FB084C"/>
    <w:rsid w:val="00FB1F88"/>
    <w:rsid w:val="00FB3741"/>
    <w:rsid w:val="00FB5BEA"/>
    <w:rsid w:val="00FB7F36"/>
    <w:rsid w:val="00FC0DEC"/>
    <w:rsid w:val="00FC2CBD"/>
    <w:rsid w:val="00FC3D4E"/>
    <w:rsid w:val="00FC4916"/>
    <w:rsid w:val="00FC4EB3"/>
    <w:rsid w:val="00FD2168"/>
    <w:rsid w:val="00FD4CD1"/>
    <w:rsid w:val="00FE1DF6"/>
    <w:rsid w:val="00FE45FB"/>
    <w:rsid w:val="00FE6764"/>
    <w:rsid w:val="00FF1EE6"/>
    <w:rsid w:val="00FF2529"/>
    <w:rsid w:val="00FF3869"/>
    <w:rsid w:val="00FF50AD"/>
    <w:rsid w:val="00FF68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7430"/>
  <w15:docId w15:val="{5EC7D05E-F7D3-4041-9000-24DAA055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1">
    <w:name w:val="heading 1"/>
    <w:basedOn w:val="Normal"/>
    <w:next w:val="Normal"/>
    <w:link w:val="Heading1Char"/>
    <w:uiPriority w:val="9"/>
    <w:qFormat/>
    <w:rsid w:val="00CC3B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59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basedOn w:val="Normal"/>
    <w:link w:val="FootnoteTextChar"/>
    <w:uiPriority w:val="99"/>
    <w:semiHidden/>
    <w:unhideWhenUsed/>
    <w:rsid w:val="004F2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BD7"/>
    <w:rPr>
      <w:rFonts w:ascii="Arial" w:hAnsi="Arial"/>
      <w:sz w:val="20"/>
      <w:szCs w:val="20"/>
      <w:lang w:val="en-GB"/>
    </w:rPr>
  </w:style>
  <w:style w:type="character" w:styleId="FootnoteReference">
    <w:name w:val="footnote reference"/>
    <w:basedOn w:val="DefaultParagraphFont"/>
    <w:uiPriority w:val="99"/>
    <w:semiHidden/>
    <w:unhideWhenUsed/>
    <w:rsid w:val="004F2BD7"/>
    <w:rPr>
      <w:vertAlign w:val="superscript"/>
    </w:rPr>
  </w:style>
  <w:style w:type="paragraph" w:styleId="ListParagraph">
    <w:name w:val="List Paragraph"/>
    <w:basedOn w:val="Normal"/>
    <w:uiPriority w:val="34"/>
    <w:qFormat/>
    <w:rsid w:val="002F791C"/>
    <w:pPr>
      <w:ind w:left="720"/>
      <w:contextualSpacing/>
    </w:pPr>
  </w:style>
  <w:style w:type="character" w:styleId="Hyperlink">
    <w:name w:val="Hyperlink"/>
    <w:basedOn w:val="DefaultParagraphFont"/>
    <w:uiPriority w:val="99"/>
    <w:unhideWhenUsed/>
    <w:rsid w:val="009D263C"/>
    <w:rPr>
      <w:color w:val="0563C1" w:themeColor="hyperlink"/>
      <w:u w:val="single"/>
    </w:rPr>
  </w:style>
  <w:style w:type="paragraph" w:customStyle="1" w:styleId="western">
    <w:name w:val="western"/>
    <w:basedOn w:val="Normal"/>
    <w:rsid w:val="005E2E54"/>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normaltext">
    <w:name w:val="normaltext"/>
    <w:basedOn w:val="Normal"/>
    <w:rsid w:val="0065180F"/>
    <w:pPr>
      <w:spacing w:before="100" w:beforeAutospacing="1" w:after="100" w:afterAutospacing="1" w:line="240" w:lineRule="auto"/>
      <w:ind w:left="0"/>
      <w:jc w:val="left"/>
    </w:pPr>
    <w:rPr>
      <w:rFonts w:ascii="Times New Roman" w:eastAsia="Times New Roman" w:hAnsi="Times New Roman" w:cs="Times New Roman"/>
      <w:szCs w:val="24"/>
      <w:lang w:val="en-US"/>
    </w:rPr>
  </w:style>
  <w:style w:type="character" w:styleId="CommentReference">
    <w:name w:val="annotation reference"/>
    <w:basedOn w:val="DefaultParagraphFont"/>
    <w:uiPriority w:val="99"/>
    <w:semiHidden/>
    <w:unhideWhenUsed/>
    <w:rsid w:val="004F07DD"/>
    <w:rPr>
      <w:sz w:val="16"/>
      <w:szCs w:val="16"/>
    </w:rPr>
  </w:style>
  <w:style w:type="paragraph" w:styleId="CommentText">
    <w:name w:val="annotation text"/>
    <w:basedOn w:val="Normal"/>
    <w:link w:val="CommentTextChar"/>
    <w:uiPriority w:val="99"/>
    <w:unhideWhenUsed/>
    <w:rsid w:val="004F07DD"/>
    <w:pPr>
      <w:spacing w:line="240" w:lineRule="auto"/>
    </w:pPr>
    <w:rPr>
      <w:sz w:val="20"/>
      <w:szCs w:val="20"/>
    </w:rPr>
  </w:style>
  <w:style w:type="character" w:customStyle="1" w:styleId="CommentTextChar">
    <w:name w:val="Comment Text Char"/>
    <w:basedOn w:val="DefaultParagraphFont"/>
    <w:link w:val="CommentText"/>
    <w:uiPriority w:val="99"/>
    <w:rsid w:val="004F07D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4F07DD"/>
    <w:rPr>
      <w:b/>
      <w:bCs/>
    </w:rPr>
  </w:style>
  <w:style w:type="character" w:customStyle="1" w:styleId="CommentSubjectChar">
    <w:name w:val="Comment Subject Char"/>
    <w:basedOn w:val="CommentTextChar"/>
    <w:link w:val="CommentSubject"/>
    <w:uiPriority w:val="99"/>
    <w:semiHidden/>
    <w:rsid w:val="004F07DD"/>
    <w:rPr>
      <w:rFonts w:ascii="Arial" w:hAnsi="Arial"/>
      <w:b/>
      <w:bCs/>
      <w:sz w:val="20"/>
      <w:szCs w:val="20"/>
      <w:lang w:val="en-GB"/>
    </w:rPr>
  </w:style>
  <w:style w:type="character" w:customStyle="1" w:styleId="UnresolvedMention1">
    <w:name w:val="Unresolved Mention1"/>
    <w:basedOn w:val="DefaultParagraphFont"/>
    <w:uiPriority w:val="99"/>
    <w:semiHidden/>
    <w:unhideWhenUsed/>
    <w:rsid w:val="00CA367F"/>
    <w:rPr>
      <w:color w:val="605E5C"/>
      <w:shd w:val="clear" w:color="auto" w:fill="E1DFDD"/>
    </w:rPr>
  </w:style>
  <w:style w:type="paragraph" w:styleId="NormalWeb">
    <w:name w:val="Normal (Web)"/>
    <w:basedOn w:val="Normal"/>
    <w:uiPriority w:val="99"/>
    <w:semiHidden/>
    <w:unhideWhenUsed/>
    <w:rsid w:val="008A5022"/>
    <w:rPr>
      <w:rFonts w:ascii="Times New Roman" w:hAnsi="Times New Roman" w:cs="Times New Roman"/>
      <w:szCs w:val="24"/>
    </w:rPr>
  </w:style>
  <w:style w:type="character" w:customStyle="1" w:styleId="Heading1Char">
    <w:name w:val="Heading 1 Char"/>
    <w:basedOn w:val="DefaultParagraphFont"/>
    <w:link w:val="Heading1"/>
    <w:uiPriority w:val="9"/>
    <w:rsid w:val="00CC3B1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5C59FA"/>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5777">
      <w:bodyDiv w:val="1"/>
      <w:marLeft w:val="0"/>
      <w:marRight w:val="0"/>
      <w:marTop w:val="0"/>
      <w:marBottom w:val="0"/>
      <w:divBdr>
        <w:top w:val="none" w:sz="0" w:space="0" w:color="auto"/>
        <w:left w:val="none" w:sz="0" w:space="0" w:color="auto"/>
        <w:bottom w:val="none" w:sz="0" w:space="0" w:color="auto"/>
        <w:right w:val="none" w:sz="0" w:space="0" w:color="auto"/>
      </w:divBdr>
    </w:div>
    <w:div w:id="77558276">
      <w:bodyDiv w:val="1"/>
      <w:marLeft w:val="0"/>
      <w:marRight w:val="0"/>
      <w:marTop w:val="0"/>
      <w:marBottom w:val="0"/>
      <w:divBdr>
        <w:top w:val="none" w:sz="0" w:space="0" w:color="auto"/>
        <w:left w:val="none" w:sz="0" w:space="0" w:color="auto"/>
        <w:bottom w:val="none" w:sz="0" w:space="0" w:color="auto"/>
        <w:right w:val="none" w:sz="0" w:space="0" w:color="auto"/>
      </w:divBdr>
    </w:div>
    <w:div w:id="137184909">
      <w:bodyDiv w:val="1"/>
      <w:marLeft w:val="0"/>
      <w:marRight w:val="0"/>
      <w:marTop w:val="0"/>
      <w:marBottom w:val="0"/>
      <w:divBdr>
        <w:top w:val="none" w:sz="0" w:space="0" w:color="auto"/>
        <w:left w:val="none" w:sz="0" w:space="0" w:color="auto"/>
        <w:bottom w:val="none" w:sz="0" w:space="0" w:color="auto"/>
        <w:right w:val="none" w:sz="0" w:space="0" w:color="auto"/>
      </w:divBdr>
    </w:div>
    <w:div w:id="211767580">
      <w:bodyDiv w:val="1"/>
      <w:marLeft w:val="0"/>
      <w:marRight w:val="0"/>
      <w:marTop w:val="0"/>
      <w:marBottom w:val="0"/>
      <w:divBdr>
        <w:top w:val="none" w:sz="0" w:space="0" w:color="auto"/>
        <w:left w:val="none" w:sz="0" w:space="0" w:color="auto"/>
        <w:bottom w:val="none" w:sz="0" w:space="0" w:color="auto"/>
        <w:right w:val="none" w:sz="0" w:space="0" w:color="auto"/>
      </w:divBdr>
    </w:div>
    <w:div w:id="285039514">
      <w:bodyDiv w:val="1"/>
      <w:marLeft w:val="0"/>
      <w:marRight w:val="0"/>
      <w:marTop w:val="0"/>
      <w:marBottom w:val="0"/>
      <w:divBdr>
        <w:top w:val="none" w:sz="0" w:space="0" w:color="auto"/>
        <w:left w:val="none" w:sz="0" w:space="0" w:color="auto"/>
        <w:bottom w:val="none" w:sz="0" w:space="0" w:color="auto"/>
        <w:right w:val="none" w:sz="0" w:space="0" w:color="auto"/>
      </w:divBdr>
    </w:div>
    <w:div w:id="304168090">
      <w:bodyDiv w:val="1"/>
      <w:marLeft w:val="0"/>
      <w:marRight w:val="0"/>
      <w:marTop w:val="0"/>
      <w:marBottom w:val="0"/>
      <w:divBdr>
        <w:top w:val="none" w:sz="0" w:space="0" w:color="auto"/>
        <w:left w:val="none" w:sz="0" w:space="0" w:color="auto"/>
        <w:bottom w:val="none" w:sz="0" w:space="0" w:color="auto"/>
        <w:right w:val="none" w:sz="0" w:space="0" w:color="auto"/>
      </w:divBdr>
    </w:div>
    <w:div w:id="399714984">
      <w:bodyDiv w:val="1"/>
      <w:marLeft w:val="0"/>
      <w:marRight w:val="0"/>
      <w:marTop w:val="0"/>
      <w:marBottom w:val="0"/>
      <w:divBdr>
        <w:top w:val="none" w:sz="0" w:space="0" w:color="auto"/>
        <w:left w:val="none" w:sz="0" w:space="0" w:color="auto"/>
        <w:bottom w:val="none" w:sz="0" w:space="0" w:color="auto"/>
        <w:right w:val="none" w:sz="0" w:space="0" w:color="auto"/>
      </w:divBdr>
    </w:div>
    <w:div w:id="604655714">
      <w:bodyDiv w:val="1"/>
      <w:marLeft w:val="0"/>
      <w:marRight w:val="0"/>
      <w:marTop w:val="0"/>
      <w:marBottom w:val="0"/>
      <w:divBdr>
        <w:top w:val="none" w:sz="0" w:space="0" w:color="auto"/>
        <w:left w:val="none" w:sz="0" w:space="0" w:color="auto"/>
        <w:bottom w:val="none" w:sz="0" w:space="0" w:color="auto"/>
        <w:right w:val="none" w:sz="0" w:space="0" w:color="auto"/>
      </w:divBdr>
      <w:divsChild>
        <w:div w:id="408119909">
          <w:marLeft w:val="567"/>
          <w:marRight w:val="0"/>
          <w:marTop w:val="120"/>
          <w:marBottom w:val="0"/>
          <w:divBdr>
            <w:top w:val="none" w:sz="0" w:space="0" w:color="auto"/>
            <w:left w:val="none" w:sz="0" w:space="0" w:color="auto"/>
            <w:bottom w:val="none" w:sz="0" w:space="0" w:color="auto"/>
            <w:right w:val="none" w:sz="0" w:space="0" w:color="auto"/>
          </w:divBdr>
        </w:div>
        <w:div w:id="1308316966">
          <w:marLeft w:val="567"/>
          <w:marRight w:val="0"/>
          <w:marTop w:val="120"/>
          <w:marBottom w:val="0"/>
          <w:divBdr>
            <w:top w:val="none" w:sz="0" w:space="0" w:color="auto"/>
            <w:left w:val="none" w:sz="0" w:space="0" w:color="auto"/>
            <w:bottom w:val="none" w:sz="0" w:space="0" w:color="auto"/>
            <w:right w:val="none" w:sz="0" w:space="0" w:color="auto"/>
          </w:divBdr>
        </w:div>
      </w:divsChild>
    </w:div>
    <w:div w:id="925386002">
      <w:bodyDiv w:val="1"/>
      <w:marLeft w:val="0"/>
      <w:marRight w:val="0"/>
      <w:marTop w:val="0"/>
      <w:marBottom w:val="0"/>
      <w:divBdr>
        <w:top w:val="none" w:sz="0" w:space="0" w:color="auto"/>
        <w:left w:val="none" w:sz="0" w:space="0" w:color="auto"/>
        <w:bottom w:val="none" w:sz="0" w:space="0" w:color="auto"/>
        <w:right w:val="none" w:sz="0" w:space="0" w:color="auto"/>
      </w:divBdr>
    </w:div>
    <w:div w:id="925654212">
      <w:bodyDiv w:val="1"/>
      <w:marLeft w:val="0"/>
      <w:marRight w:val="0"/>
      <w:marTop w:val="0"/>
      <w:marBottom w:val="0"/>
      <w:divBdr>
        <w:top w:val="none" w:sz="0" w:space="0" w:color="auto"/>
        <w:left w:val="none" w:sz="0" w:space="0" w:color="auto"/>
        <w:bottom w:val="none" w:sz="0" w:space="0" w:color="auto"/>
        <w:right w:val="none" w:sz="0" w:space="0" w:color="auto"/>
      </w:divBdr>
      <w:divsChild>
        <w:div w:id="477378436">
          <w:marLeft w:val="567"/>
          <w:marRight w:val="0"/>
          <w:marTop w:val="120"/>
          <w:marBottom w:val="0"/>
          <w:divBdr>
            <w:top w:val="none" w:sz="0" w:space="0" w:color="auto"/>
            <w:left w:val="none" w:sz="0" w:space="0" w:color="auto"/>
            <w:bottom w:val="none" w:sz="0" w:space="0" w:color="auto"/>
            <w:right w:val="none" w:sz="0" w:space="0" w:color="auto"/>
          </w:divBdr>
        </w:div>
        <w:div w:id="590969632">
          <w:marLeft w:val="567"/>
          <w:marRight w:val="0"/>
          <w:marTop w:val="120"/>
          <w:marBottom w:val="0"/>
          <w:divBdr>
            <w:top w:val="none" w:sz="0" w:space="0" w:color="auto"/>
            <w:left w:val="none" w:sz="0" w:space="0" w:color="auto"/>
            <w:bottom w:val="none" w:sz="0" w:space="0" w:color="auto"/>
            <w:right w:val="none" w:sz="0" w:space="0" w:color="auto"/>
          </w:divBdr>
        </w:div>
        <w:div w:id="954942396">
          <w:marLeft w:val="567"/>
          <w:marRight w:val="0"/>
          <w:marTop w:val="120"/>
          <w:marBottom w:val="0"/>
          <w:divBdr>
            <w:top w:val="none" w:sz="0" w:space="0" w:color="auto"/>
            <w:left w:val="none" w:sz="0" w:space="0" w:color="auto"/>
            <w:bottom w:val="none" w:sz="0" w:space="0" w:color="auto"/>
            <w:right w:val="none" w:sz="0" w:space="0" w:color="auto"/>
          </w:divBdr>
        </w:div>
        <w:div w:id="1006400204">
          <w:marLeft w:val="567"/>
          <w:marRight w:val="0"/>
          <w:marTop w:val="120"/>
          <w:marBottom w:val="0"/>
          <w:divBdr>
            <w:top w:val="none" w:sz="0" w:space="0" w:color="auto"/>
            <w:left w:val="none" w:sz="0" w:space="0" w:color="auto"/>
            <w:bottom w:val="none" w:sz="0" w:space="0" w:color="auto"/>
            <w:right w:val="none" w:sz="0" w:space="0" w:color="auto"/>
          </w:divBdr>
        </w:div>
        <w:div w:id="1786927489">
          <w:marLeft w:val="567"/>
          <w:marRight w:val="0"/>
          <w:marTop w:val="120"/>
          <w:marBottom w:val="0"/>
          <w:divBdr>
            <w:top w:val="none" w:sz="0" w:space="0" w:color="auto"/>
            <w:left w:val="none" w:sz="0" w:space="0" w:color="auto"/>
            <w:bottom w:val="none" w:sz="0" w:space="0" w:color="auto"/>
            <w:right w:val="none" w:sz="0" w:space="0" w:color="auto"/>
          </w:divBdr>
        </w:div>
      </w:divsChild>
    </w:div>
    <w:div w:id="1227060802">
      <w:bodyDiv w:val="1"/>
      <w:marLeft w:val="0"/>
      <w:marRight w:val="0"/>
      <w:marTop w:val="0"/>
      <w:marBottom w:val="0"/>
      <w:divBdr>
        <w:top w:val="none" w:sz="0" w:space="0" w:color="auto"/>
        <w:left w:val="none" w:sz="0" w:space="0" w:color="auto"/>
        <w:bottom w:val="none" w:sz="0" w:space="0" w:color="auto"/>
        <w:right w:val="none" w:sz="0" w:space="0" w:color="auto"/>
      </w:divBdr>
    </w:div>
    <w:div w:id="1289626147">
      <w:bodyDiv w:val="1"/>
      <w:marLeft w:val="0"/>
      <w:marRight w:val="0"/>
      <w:marTop w:val="0"/>
      <w:marBottom w:val="0"/>
      <w:divBdr>
        <w:top w:val="none" w:sz="0" w:space="0" w:color="auto"/>
        <w:left w:val="none" w:sz="0" w:space="0" w:color="auto"/>
        <w:bottom w:val="none" w:sz="0" w:space="0" w:color="auto"/>
        <w:right w:val="none" w:sz="0" w:space="0" w:color="auto"/>
      </w:divBdr>
    </w:div>
    <w:div w:id="1325821949">
      <w:bodyDiv w:val="1"/>
      <w:marLeft w:val="0"/>
      <w:marRight w:val="0"/>
      <w:marTop w:val="0"/>
      <w:marBottom w:val="0"/>
      <w:divBdr>
        <w:top w:val="none" w:sz="0" w:space="0" w:color="auto"/>
        <w:left w:val="none" w:sz="0" w:space="0" w:color="auto"/>
        <w:bottom w:val="none" w:sz="0" w:space="0" w:color="auto"/>
        <w:right w:val="none" w:sz="0" w:space="0" w:color="auto"/>
      </w:divBdr>
      <w:divsChild>
        <w:div w:id="289748715">
          <w:marLeft w:val="567"/>
          <w:marRight w:val="0"/>
          <w:marTop w:val="120"/>
          <w:marBottom w:val="0"/>
          <w:divBdr>
            <w:top w:val="none" w:sz="0" w:space="0" w:color="auto"/>
            <w:left w:val="none" w:sz="0" w:space="0" w:color="auto"/>
            <w:bottom w:val="none" w:sz="0" w:space="0" w:color="auto"/>
            <w:right w:val="none" w:sz="0" w:space="0" w:color="auto"/>
          </w:divBdr>
        </w:div>
        <w:div w:id="449204439">
          <w:marLeft w:val="567"/>
          <w:marRight w:val="0"/>
          <w:marTop w:val="120"/>
          <w:marBottom w:val="0"/>
          <w:divBdr>
            <w:top w:val="none" w:sz="0" w:space="0" w:color="auto"/>
            <w:left w:val="none" w:sz="0" w:space="0" w:color="auto"/>
            <w:bottom w:val="none" w:sz="0" w:space="0" w:color="auto"/>
            <w:right w:val="none" w:sz="0" w:space="0" w:color="auto"/>
          </w:divBdr>
        </w:div>
        <w:div w:id="688606192">
          <w:marLeft w:val="1984"/>
          <w:marRight w:val="0"/>
          <w:marTop w:val="0"/>
          <w:marBottom w:val="180"/>
          <w:divBdr>
            <w:top w:val="none" w:sz="0" w:space="0" w:color="auto"/>
            <w:left w:val="none" w:sz="0" w:space="0" w:color="auto"/>
            <w:bottom w:val="none" w:sz="0" w:space="0" w:color="auto"/>
            <w:right w:val="none" w:sz="0" w:space="0" w:color="auto"/>
          </w:divBdr>
        </w:div>
        <w:div w:id="775095929">
          <w:marLeft w:val="567"/>
          <w:marRight w:val="0"/>
          <w:marTop w:val="120"/>
          <w:marBottom w:val="0"/>
          <w:divBdr>
            <w:top w:val="none" w:sz="0" w:space="0" w:color="auto"/>
            <w:left w:val="none" w:sz="0" w:space="0" w:color="auto"/>
            <w:bottom w:val="none" w:sz="0" w:space="0" w:color="auto"/>
            <w:right w:val="none" w:sz="0" w:space="0" w:color="auto"/>
          </w:divBdr>
        </w:div>
        <w:div w:id="1111319585">
          <w:marLeft w:val="567"/>
          <w:marRight w:val="0"/>
          <w:marTop w:val="120"/>
          <w:marBottom w:val="0"/>
          <w:divBdr>
            <w:top w:val="none" w:sz="0" w:space="0" w:color="auto"/>
            <w:left w:val="none" w:sz="0" w:space="0" w:color="auto"/>
            <w:bottom w:val="none" w:sz="0" w:space="0" w:color="auto"/>
            <w:right w:val="none" w:sz="0" w:space="0" w:color="auto"/>
          </w:divBdr>
        </w:div>
        <w:div w:id="1564219385">
          <w:marLeft w:val="567"/>
          <w:marRight w:val="0"/>
          <w:marTop w:val="120"/>
          <w:marBottom w:val="0"/>
          <w:divBdr>
            <w:top w:val="none" w:sz="0" w:space="0" w:color="auto"/>
            <w:left w:val="none" w:sz="0" w:space="0" w:color="auto"/>
            <w:bottom w:val="none" w:sz="0" w:space="0" w:color="auto"/>
            <w:right w:val="none" w:sz="0" w:space="0" w:color="auto"/>
          </w:divBdr>
        </w:div>
        <w:div w:id="1672756761">
          <w:marLeft w:val="567"/>
          <w:marRight w:val="0"/>
          <w:marTop w:val="120"/>
          <w:marBottom w:val="0"/>
          <w:divBdr>
            <w:top w:val="none" w:sz="0" w:space="0" w:color="auto"/>
            <w:left w:val="none" w:sz="0" w:space="0" w:color="auto"/>
            <w:bottom w:val="none" w:sz="0" w:space="0" w:color="auto"/>
            <w:right w:val="none" w:sz="0" w:space="0" w:color="auto"/>
          </w:divBdr>
        </w:div>
        <w:div w:id="1776946871">
          <w:marLeft w:val="567"/>
          <w:marRight w:val="0"/>
          <w:marTop w:val="120"/>
          <w:marBottom w:val="0"/>
          <w:divBdr>
            <w:top w:val="none" w:sz="0" w:space="0" w:color="auto"/>
            <w:left w:val="none" w:sz="0" w:space="0" w:color="auto"/>
            <w:bottom w:val="none" w:sz="0" w:space="0" w:color="auto"/>
            <w:right w:val="none" w:sz="0" w:space="0" w:color="auto"/>
          </w:divBdr>
        </w:div>
        <w:div w:id="1825733955">
          <w:marLeft w:val="1293"/>
          <w:marRight w:val="0"/>
          <w:marTop w:val="0"/>
          <w:marBottom w:val="180"/>
          <w:divBdr>
            <w:top w:val="none" w:sz="0" w:space="0" w:color="auto"/>
            <w:left w:val="none" w:sz="0" w:space="0" w:color="auto"/>
            <w:bottom w:val="none" w:sz="0" w:space="0" w:color="auto"/>
            <w:right w:val="none" w:sz="0" w:space="0" w:color="auto"/>
          </w:divBdr>
        </w:div>
        <w:div w:id="2012873576">
          <w:marLeft w:val="567"/>
          <w:marRight w:val="0"/>
          <w:marTop w:val="120"/>
          <w:marBottom w:val="0"/>
          <w:divBdr>
            <w:top w:val="none" w:sz="0" w:space="0" w:color="auto"/>
            <w:left w:val="none" w:sz="0" w:space="0" w:color="auto"/>
            <w:bottom w:val="none" w:sz="0" w:space="0" w:color="auto"/>
            <w:right w:val="none" w:sz="0" w:space="0" w:color="auto"/>
          </w:divBdr>
        </w:div>
        <w:div w:id="2075008149">
          <w:marLeft w:val="567"/>
          <w:marRight w:val="0"/>
          <w:marTop w:val="120"/>
          <w:marBottom w:val="0"/>
          <w:divBdr>
            <w:top w:val="none" w:sz="0" w:space="0" w:color="auto"/>
            <w:left w:val="none" w:sz="0" w:space="0" w:color="auto"/>
            <w:bottom w:val="none" w:sz="0" w:space="0" w:color="auto"/>
            <w:right w:val="none" w:sz="0" w:space="0" w:color="auto"/>
          </w:divBdr>
        </w:div>
      </w:divsChild>
    </w:div>
    <w:div w:id="1387607758">
      <w:bodyDiv w:val="1"/>
      <w:marLeft w:val="0"/>
      <w:marRight w:val="0"/>
      <w:marTop w:val="0"/>
      <w:marBottom w:val="0"/>
      <w:divBdr>
        <w:top w:val="none" w:sz="0" w:space="0" w:color="auto"/>
        <w:left w:val="none" w:sz="0" w:space="0" w:color="auto"/>
        <w:bottom w:val="none" w:sz="0" w:space="0" w:color="auto"/>
        <w:right w:val="none" w:sz="0" w:space="0" w:color="auto"/>
      </w:divBdr>
      <w:divsChild>
        <w:div w:id="147524722">
          <w:marLeft w:val="567"/>
          <w:marRight w:val="0"/>
          <w:marTop w:val="120"/>
          <w:marBottom w:val="0"/>
          <w:divBdr>
            <w:top w:val="none" w:sz="0" w:space="0" w:color="auto"/>
            <w:left w:val="none" w:sz="0" w:space="0" w:color="auto"/>
            <w:bottom w:val="none" w:sz="0" w:space="0" w:color="auto"/>
            <w:right w:val="none" w:sz="0" w:space="0" w:color="auto"/>
          </w:divBdr>
        </w:div>
        <w:div w:id="1367218527">
          <w:marLeft w:val="567"/>
          <w:marRight w:val="0"/>
          <w:marTop w:val="120"/>
          <w:marBottom w:val="0"/>
          <w:divBdr>
            <w:top w:val="none" w:sz="0" w:space="0" w:color="auto"/>
            <w:left w:val="none" w:sz="0" w:space="0" w:color="auto"/>
            <w:bottom w:val="none" w:sz="0" w:space="0" w:color="auto"/>
            <w:right w:val="none" w:sz="0" w:space="0" w:color="auto"/>
          </w:divBdr>
        </w:div>
        <w:div w:id="1827936461">
          <w:marLeft w:val="567"/>
          <w:marRight w:val="0"/>
          <w:marTop w:val="120"/>
          <w:marBottom w:val="0"/>
          <w:divBdr>
            <w:top w:val="none" w:sz="0" w:space="0" w:color="auto"/>
            <w:left w:val="none" w:sz="0" w:space="0" w:color="auto"/>
            <w:bottom w:val="none" w:sz="0" w:space="0" w:color="auto"/>
            <w:right w:val="none" w:sz="0" w:space="0" w:color="auto"/>
          </w:divBdr>
        </w:div>
        <w:div w:id="2034573941">
          <w:marLeft w:val="567"/>
          <w:marRight w:val="0"/>
          <w:marTop w:val="120"/>
          <w:marBottom w:val="0"/>
          <w:divBdr>
            <w:top w:val="none" w:sz="0" w:space="0" w:color="auto"/>
            <w:left w:val="none" w:sz="0" w:space="0" w:color="auto"/>
            <w:bottom w:val="none" w:sz="0" w:space="0" w:color="auto"/>
            <w:right w:val="none" w:sz="0" w:space="0" w:color="auto"/>
          </w:divBdr>
        </w:div>
        <w:div w:id="2096198022">
          <w:marLeft w:val="567"/>
          <w:marRight w:val="0"/>
          <w:marTop w:val="120"/>
          <w:marBottom w:val="0"/>
          <w:divBdr>
            <w:top w:val="none" w:sz="0" w:space="0" w:color="auto"/>
            <w:left w:val="none" w:sz="0" w:space="0" w:color="auto"/>
            <w:bottom w:val="none" w:sz="0" w:space="0" w:color="auto"/>
            <w:right w:val="none" w:sz="0" w:space="0" w:color="auto"/>
          </w:divBdr>
        </w:div>
      </w:divsChild>
    </w:div>
    <w:div w:id="1540165436">
      <w:bodyDiv w:val="1"/>
      <w:marLeft w:val="0"/>
      <w:marRight w:val="0"/>
      <w:marTop w:val="0"/>
      <w:marBottom w:val="0"/>
      <w:divBdr>
        <w:top w:val="none" w:sz="0" w:space="0" w:color="auto"/>
        <w:left w:val="none" w:sz="0" w:space="0" w:color="auto"/>
        <w:bottom w:val="none" w:sz="0" w:space="0" w:color="auto"/>
        <w:right w:val="none" w:sz="0" w:space="0" w:color="auto"/>
      </w:divBdr>
    </w:div>
    <w:div w:id="1544059206">
      <w:bodyDiv w:val="1"/>
      <w:marLeft w:val="0"/>
      <w:marRight w:val="0"/>
      <w:marTop w:val="0"/>
      <w:marBottom w:val="0"/>
      <w:divBdr>
        <w:top w:val="none" w:sz="0" w:space="0" w:color="auto"/>
        <w:left w:val="none" w:sz="0" w:space="0" w:color="auto"/>
        <w:bottom w:val="none" w:sz="0" w:space="0" w:color="auto"/>
        <w:right w:val="none" w:sz="0" w:space="0" w:color="auto"/>
      </w:divBdr>
    </w:div>
    <w:div w:id="1576361035">
      <w:bodyDiv w:val="1"/>
      <w:marLeft w:val="0"/>
      <w:marRight w:val="0"/>
      <w:marTop w:val="0"/>
      <w:marBottom w:val="0"/>
      <w:divBdr>
        <w:top w:val="none" w:sz="0" w:space="0" w:color="auto"/>
        <w:left w:val="none" w:sz="0" w:space="0" w:color="auto"/>
        <w:bottom w:val="none" w:sz="0" w:space="0" w:color="auto"/>
        <w:right w:val="none" w:sz="0" w:space="0" w:color="auto"/>
      </w:divBdr>
      <w:divsChild>
        <w:div w:id="59451487">
          <w:marLeft w:val="0"/>
          <w:marRight w:val="0"/>
          <w:marTop w:val="120"/>
          <w:marBottom w:val="0"/>
          <w:divBdr>
            <w:top w:val="none" w:sz="0" w:space="0" w:color="auto"/>
            <w:left w:val="none" w:sz="0" w:space="0" w:color="auto"/>
            <w:bottom w:val="none" w:sz="0" w:space="0" w:color="auto"/>
            <w:right w:val="none" w:sz="0" w:space="0" w:color="auto"/>
          </w:divBdr>
        </w:div>
        <w:div w:id="68503078">
          <w:marLeft w:val="0"/>
          <w:marRight w:val="0"/>
          <w:marTop w:val="120"/>
          <w:marBottom w:val="0"/>
          <w:divBdr>
            <w:top w:val="none" w:sz="0" w:space="0" w:color="auto"/>
            <w:left w:val="none" w:sz="0" w:space="0" w:color="auto"/>
            <w:bottom w:val="none" w:sz="0" w:space="0" w:color="auto"/>
            <w:right w:val="none" w:sz="0" w:space="0" w:color="auto"/>
          </w:divBdr>
        </w:div>
        <w:div w:id="99033804">
          <w:marLeft w:val="567"/>
          <w:marRight w:val="0"/>
          <w:marTop w:val="60"/>
          <w:marBottom w:val="0"/>
          <w:divBdr>
            <w:top w:val="none" w:sz="0" w:space="0" w:color="auto"/>
            <w:left w:val="none" w:sz="0" w:space="0" w:color="auto"/>
            <w:bottom w:val="none" w:sz="0" w:space="0" w:color="auto"/>
            <w:right w:val="none" w:sz="0" w:space="0" w:color="auto"/>
          </w:divBdr>
        </w:div>
        <w:div w:id="356081636">
          <w:marLeft w:val="0"/>
          <w:marRight w:val="0"/>
          <w:marTop w:val="120"/>
          <w:marBottom w:val="0"/>
          <w:divBdr>
            <w:top w:val="none" w:sz="0" w:space="0" w:color="auto"/>
            <w:left w:val="none" w:sz="0" w:space="0" w:color="auto"/>
            <w:bottom w:val="none" w:sz="0" w:space="0" w:color="auto"/>
            <w:right w:val="none" w:sz="0" w:space="0" w:color="auto"/>
          </w:divBdr>
        </w:div>
        <w:div w:id="715086220">
          <w:marLeft w:val="0"/>
          <w:marRight w:val="0"/>
          <w:marTop w:val="120"/>
          <w:marBottom w:val="0"/>
          <w:divBdr>
            <w:top w:val="none" w:sz="0" w:space="0" w:color="auto"/>
            <w:left w:val="none" w:sz="0" w:space="0" w:color="auto"/>
            <w:bottom w:val="none" w:sz="0" w:space="0" w:color="auto"/>
            <w:right w:val="none" w:sz="0" w:space="0" w:color="auto"/>
          </w:divBdr>
        </w:div>
        <w:div w:id="799347738">
          <w:marLeft w:val="0"/>
          <w:marRight w:val="0"/>
          <w:marTop w:val="120"/>
          <w:marBottom w:val="0"/>
          <w:divBdr>
            <w:top w:val="none" w:sz="0" w:space="0" w:color="auto"/>
            <w:left w:val="none" w:sz="0" w:space="0" w:color="auto"/>
            <w:bottom w:val="none" w:sz="0" w:space="0" w:color="auto"/>
            <w:right w:val="none" w:sz="0" w:space="0" w:color="auto"/>
          </w:divBdr>
        </w:div>
        <w:div w:id="810709582">
          <w:marLeft w:val="0"/>
          <w:marRight w:val="0"/>
          <w:marTop w:val="180"/>
          <w:marBottom w:val="60"/>
          <w:divBdr>
            <w:top w:val="single" w:sz="8" w:space="1" w:color="808080"/>
            <w:left w:val="none" w:sz="0" w:space="0" w:color="auto"/>
            <w:bottom w:val="none" w:sz="0" w:space="0" w:color="auto"/>
            <w:right w:val="none" w:sz="0" w:space="0" w:color="auto"/>
          </w:divBdr>
        </w:div>
        <w:div w:id="892690424">
          <w:marLeft w:val="0"/>
          <w:marRight w:val="0"/>
          <w:marTop w:val="120"/>
          <w:marBottom w:val="0"/>
          <w:divBdr>
            <w:top w:val="none" w:sz="0" w:space="0" w:color="auto"/>
            <w:left w:val="none" w:sz="0" w:space="0" w:color="auto"/>
            <w:bottom w:val="none" w:sz="0" w:space="0" w:color="auto"/>
            <w:right w:val="none" w:sz="0" w:space="0" w:color="auto"/>
          </w:divBdr>
        </w:div>
        <w:div w:id="915017058">
          <w:marLeft w:val="0"/>
          <w:marRight w:val="0"/>
          <w:marTop w:val="120"/>
          <w:marBottom w:val="0"/>
          <w:divBdr>
            <w:top w:val="none" w:sz="0" w:space="0" w:color="auto"/>
            <w:left w:val="none" w:sz="0" w:space="0" w:color="auto"/>
            <w:bottom w:val="none" w:sz="0" w:space="0" w:color="auto"/>
            <w:right w:val="none" w:sz="0" w:space="0" w:color="auto"/>
          </w:divBdr>
        </w:div>
        <w:div w:id="1101611144">
          <w:marLeft w:val="0"/>
          <w:marRight w:val="0"/>
          <w:marTop w:val="180"/>
          <w:marBottom w:val="60"/>
          <w:divBdr>
            <w:top w:val="single" w:sz="8" w:space="1" w:color="808080"/>
            <w:left w:val="none" w:sz="0" w:space="0" w:color="auto"/>
            <w:bottom w:val="none" w:sz="0" w:space="0" w:color="auto"/>
            <w:right w:val="none" w:sz="0" w:space="0" w:color="auto"/>
          </w:divBdr>
        </w:div>
        <w:div w:id="1119031677">
          <w:marLeft w:val="0"/>
          <w:marRight w:val="0"/>
          <w:marTop w:val="120"/>
          <w:marBottom w:val="0"/>
          <w:divBdr>
            <w:top w:val="none" w:sz="0" w:space="0" w:color="auto"/>
            <w:left w:val="none" w:sz="0" w:space="0" w:color="auto"/>
            <w:bottom w:val="none" w:sz="0" w:space="0" w:color="auto"/>
            <w:right w:val="none" w:sz="0" w:space="0" w:color="auto"/>
          </w:divBdr>
        </w:div>
        <w:div w:id="1141001038">
          <w:marLeft w:val="0"/>
          <w:marRight w:val="0"/>
          <w:marTop w:val="120"/>
          <w:marBottom w:val="0"/>
          <w:divBdr>
            <w:top w:val="none" w:sz="0" w:space="0" w:color="auto"/>
            <w:left w:val="none" w:sz="0" w:space="0" w:color="auto"/>
            <w:bottom w:val="none" w:sz="0" w:space="0" w:color="auto"/>
            <w:right w:val="none" w:sz="0" w:space="0" w:color="auto"/>
          </w:divBdr>
        </w:div>
        <w:div w:id="1159805371">
          <w:marLeft w:val="567"/>
          <w:marRight w:val="0"/>
          <w:marTop w:val="60"/>
          <w:marBottom w:val="0"/>
          <w:divBdr>
            <w:top w:val="none" w:sz="0" w:space="0" w:color="auto"/>
            <w:left w:val="none" w:sz="0" w:space="0" w:color="auto"/>
            <w:bottom w:val="none" w:sz="0" w:space="0" w:color="auto"/>
            <w:right w:val="none" w:sz="0" w:space="0" w:color="auto"/>
          </w:divBdr>
        </w:div>
        <w:div w:id="1187986034">
          <w:marLeft w:val="567"/>
          <w:marRight w:val="0"/>
          <w:marTop w:val="60"/>
          <w:marBottom w:val="0"/>
          <w:divBdr>
            <w:top w:val="none" w:sz="0" w:space="0" w:color="auto"/>
            <w:left w:val="none" w:sz="0" w:space="0" w:color="auto"/>
            <w:bottom w:val="none" w:sz="0" w:space="0" w:color="auto"/>
            <w:right w:val="none" w:sz="0" w:space="0" w:color="auto"/>
          </w:divBdr>
        </w:div>
        <w:div w:id="1274942966">
          <w:marLeft w:val="567"/>
          <w:marRight w:val="0"/>
          <w:marTop w:val="60"/>
          <w:marBottom w:val="0"/>
          <w:divBdr>
            <w:top w:val="none" w:sz="0" w:space="0" w:color="auto"/>
            <w:left w:val="none" w:sz="0" w:space="0" w:color="auto"/>
            <w:bottom w:val="none" w:sz="0" w:space="0" w:color="auto"/>
            <w:right w:val="none" w:sz="0" w:space="0" w:color="auto"/>
          </w:divBdr>
        </w:div>
        <w:div w:id="1591501932">
          <w:marLeft w:val="567"/>
          <w:marRight w:val="0"/>
          <w:marTop w:val="60"/>
          <w:marBottom w:val="0"/>
          <w:divBdr>
            <w:top w:val="none" w:sz="0" w:space="0" w:color="auto"/>
            <w:left w:val="none" w:sz="0" w:space="0" w:color="auto"/>
            <w:bottom w:val="none" w:sz="0" w:space="0" w:color="auto"/>
            <w:right w:val="none" w:sz="0" w:space="0" w:color="auto"/>
          </w:divBdr>
        </w:div>
        <w:div w:id="1663894151">
          <w:marLeft w:val="0"/>
          <w:marRight w:val="0"/>
          <w:marTop w:val="180"/>
          <w:marBottom w:val="60"/>
          <w:divBdr>
            <w:top w:val="single" w:sz="8" w:space="1" w:color="808080"/>
            <w:left w:val="none" w:sz="0" w:space="0" w:color="auto"/>
            <w:bottom w:val="none" w:sz="0" w:space="0" w:color="auto"/>
            <w:right w:val="none" w:sz="0" w:space="0" w:color="auto"/>
          </w:divBdr>
        </w:div>
        <w:div w:id="1769153066">
          <w:marLeft w:val="567"/>
          <w:marRight w:val="0"/>
          <w:marTop w:val="60"/>
          <w:marBottom w:val="0"/>
          <w:divBdr>
            <w:top w:val="none" w:sz="0" w:space="0" w:color="auto"/>
            <w:left w:val="none" w:sz="0" w:space="0" w:color="auto"/>
            <w:bottom w:val="none" w:sz="0" w:space="0" w:color="auto"/>
            <w:right w:val="none" w:sz="0" w:space="0" w:color="auto"/>
          </w:divBdr>
        </w:div>
        <w:div w:id="1893418197">
          <w:marLeft w:val="0"/>
          <w:marRight w:val="0"/>
          <w:marTop w:val="120"/>
          <w:marBottom w:val="0"/>
          <w:divBdr>
            <w:top w:val="none" w:sz="0" w:space="0" w:color="auto"/>
            <w:left w:val="none" w:sz="0" w:space="0" w:color="auto"/>
            <w:bottom w:val="none" w:sz="0" w:space="0" w:color="auto"/>
            <w:right w:val="none" w:sz="0" w:space="0" w:color="auto"/>
          </w:divBdr>
        </w:div>
        <w:div w:id="1909414209">
          <w:marLeft w:val="567"/>
          <w:marRight w:val="0"/>
          <w:marTop w:val="60"/>
          <w:marBottom w:val="0"/>
          <w:divBdr>
            <w:top w:val="none" w:sz="0" w:space="0" w:color="auto"/>
            <w:left w:val="none" w:sz="0" w:space="0" w:color="auto"/>
            <w:bottom w:val="none" w:sz="0" w:space="0" w:color="auto"/>
            <w:right w:val="none" w:sz="0" w:space="0" w:color="auto"/>
          </w:divBdr>
        </w:div>
        <w:div w:id="2053964221">
          <w:marLeft w:val="0"/>
          <w:marRight w:val="0"/>
          <w:marTop w:val="120"/>
          <w:marBottom w:val="0"/>
          <w:divBdr>
            <w:top w:val="none" w:sz="0" w:space="0" w:color="auto"/>
            <w:left w:val="none" w:sz="0" w:space="0" w:color="auto"/>
            <w:bottom w:val="none" w:sz="0" w:space="0" w:color="auto"/>
            <w:right w:val="none" w:sz="0" w:space="0" w:color="auto"/>
          </w:divBdr>
        </w:div>
      </w:divsChild>
    </w:div>
    <w:div w:id="1715425784">
      <w:bodyDiv w:val="1"/>
      <w:marLeft w:val="0"/>
      <w:marRight w:val="0"/>
      <w:marTop w:val="0"/>
      <w:marBottom w:val="0"/>
      <w:divBdr>
        <w:top w:val="none" w:sz="0" w:space="0" w:color="auto"/>
        <w:left w:val="none" w:sz="0" w:space="0" w:color="auto"/>
        <w:bottom w:val="none" w:sz="0" w:space="0" w:color="auto"/>
        <w:right w:val="none" w:sz="0" w:space="0" w:color="auto"/>
      </w:divBdr>
    </w:div>
    <w:div w:id="1879126815">
      <w:bodyDiv w:val="1"/>
      <w:marLeft w:val="0"/>
      <w:marRight w:val="0"/>
      <w:marTop w:val="0"/>
      <w:marBottom w:val="0"/>
      <w:divBdr>
        <w:top w:val="none" w:sz="0" w:space="0" w:color="auto"/>
        <w:left w:val="none" w:sz="0" w:space="0" w:color="auto"/>
        <w:bottom w:val="none" w:sz="0" w:space="0" w:color="auto"/>
        <w:right w:val="none" w:sz="0" w:space="0" w:color="auto"/>
      </w:divBdr>
    </w:div>
    <w:div w:id="1929461858">
      <w:bodyDiv w:val="1"/>
      <w:marLeft w:val="0"/>
      <w:marRight w:val="0"/>
      <w:marTop w:val="0"/>
      <w:marBottom w:val="0"/>
      <w:divBdr>
        <w:top w:val="none" w:sz="0" w:space="0" w:color="auto"/>
        <w:left w:val="none" w:sz="0" w:space="0" w:color="auto"/>
        <w:bottom w:val="none" w:sz="0" w:space="0" w:color="auto"/>
        <w:right w:val="none" w:sz="0" w:space="0" w:color="auto"/>
      </w:divBdr>
    </w:div>
    <w:div w:id="1997878345">
      <w:bodyDiv w:val="1"/>
      <w:marLeft w:val="0"/>
      <w:marRight w:val="0"/>
      <w:marTop w:val="0"/>
      <w:marBottom w:val="0"/>
      <w:divBdr>
        <w:top w:val="none" w:sz="0" w:space="0" w:color="auto"/>
        <w:left w:val="none" w:sz="0" w:space="0" w:color="auto"/>
        <w:bottom w:val="none" w:sz="0" w:space="0" w:color="auto"/>
        <w:right w:val="none" w:sz="0" w:space="0" w:color="auto"/>
      </w:divBdr>
    </w:div>
    <w:div w:id="2036806311">
      <w:bodyDiv w:val="1"/>
      <w:marLeft w:val="0"/>
      <w:marRight w:val="0"/>
      <w:marTop w:val="0"/>
      <w:marBottom w:val="0"/>
      <w:divBdr>
        <w:top w:val="none" w:sz="0" w:space="0" w:color="auto"/>
        <w:left w:val="none" w:sz="0" w:space="0" w:color="auto"/>
        <w:bottom w:val="none" w:sz="0" w:space="0" w:color="auto"/>
        <w:right w:val="none" w:sz="0" w:space="0" w:color="auto"/>
      </w:divBdr>
    </w:div>
    <w:div w:id="2056810290">
      <w:bodyDiv w:val="1"/>
      <w:marLeft w:val="0"/>
      <w:marRight w:val="0"/>
      <w:marTop w:val="0"/>
      <w:marBottom w:val="0"/>
      <w:divBdr>
        <w:top w:val="none" w:sz="0" w:space="0" w:color="auto"/>
        <w:left w:val="none" w:sz="0" w:space="0" w:color="auto"/>
        <w:bottom w:val="none" w:sz="0" w:space="0" w:color="auto"/>
        <w:right w:val="none" w:sz="0" w:space="0" w:color="auto"/>
      </w:divBdr>
    </w:div>
    <w:div w:id="2065911120">
      <w:bodyDiv w:val="1"/>
      <w:marLeft w:val="0"/>
      <w:marRight w:val="0"/>
      <w:marTop w:val="0"/>
      <w:marBottom w:val="0"/>
      <w:divBdr>
        <w:top w:val="none" w:sz="0" w:space="0" w:color="auto"/>
        <w:left w:val="none" w:sz="0" w:space="0" w:color="auto"/>
        <w:bottom w:val="none" w:sz="0" w:space="0" w:color="auto"/>
        <w:right w:val="none" w:sz="0" w:space="0" w:color="auto"/>
      </w:divBdr>
    </w:div>
    <w:div w:id="2082022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5b2017%5d%20ZACC%2033" TargetMode="External"/><Relationship Id="rId2" Type="http://schemas.openxmlformats.org/officeDocument/2006/relationships/hyperlink" Target="https://www.saflii.org/cgi-bin/LawCite?cit=%5b2013%5d%20ZASCA%2028" TargetMode="External"/><Relationship Id="rId1" Type="http://schemas.openxmlformats.org/officeDocument/2006/relationships/hyperlink" Target="https://www.saflii.org/cgi-bin/LawCite?cit=%5b2013%5d%20ZASCA%20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odiba\Desktop\Pre-Hearing%20Note_Seretse%20Khama%20v%20DPP%20Johannesburg%20and%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BEB8-B540-4C83-89CD-FECF354F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Pre-Hearing Note_Seretse Khama v DPP Johannesburg and Others</Template>
  <TotalTime>7</TotalTime>
  <Pages>15</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Morerwa Modiba</dc:creator>
  <cp:keywords/>
  <dc:description/>
  <cp:lastModifiedBy>Mary Bruce</cp:lastModifiedBy>
  <cp:revision>6</cp:revision>
  <dcterms:created xsi:type="dcterms:W3CDTF">2024-01-26T09:52:00Z</dcterms:created>
  <dcterms:modified xsi:type="dcterms:W3CDTF">2024-01-26T12:38:00Z</dcterms:modified>
</cp:coreProperties>
</file>