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6DEA" w14:textId="77777777" w:rsidR="00F2260B" w:rsidRPr="00334A5F" w:rsidRDefault="00F2260B" w:rsidP="00F2260B">
      <w:pPr>
        <w:pStyle w:val="ListParagraph"/>
        <w:ind w:left="567"/>
        <w:jc w:val="both"/>
        <w:rPr>
          <w:rFonts w:ascii="Arial" w:hAnsi="Arial" w:cs="Arial"/>
          <w:lang w:val="en-US"/>
        </w:rPr>
      </w:pPr>
      <w:bookmarkStart w:id="0" w:name="_GoBack"/>
    </w:p>
    <w:p w14:paraId="6F9D8F3C" w14:textId="77777777" w:rsidR="00F2260B" w:rsidRPr="00334A5F" w:rsidRDefault="00F2260B" w:rsidP="00F2260B">
      <w:pPr>
        <w:pStyle w:val="Body"/>
        <w:tabs>
          <w:tab w:val="center" w:pos="4693"/>
          <w:tab w:val="left" w:pos="8020"/>
        </w:tabs>
        <w:jc w:val="center"/>
        <w:outlineLvl w:val="0"/>
        <w:rPr>
          <w:rFonts w:hAnsi="Arial" w:cs="Arial"/>
          <w:b/>
          <w:bCs/>
          <w:color w:val="000000" w:themeColor="text1"/>
        </w:rPr>
      </w:pPr>
      <w:r w:rsidRPr="00334A5F">
        <w:rPr>
          <w:rFonts w:hAnsi="Arial" w:cs="Arial"/>
          <w:noProof/>
          <w:color w:val="000000" w:themeColor="text1"/>
        </w:rPr>
        <w:drawing>
          <wp:anchor distT="0" distB="0" distL="114300" distR="114300" simplePos="0" relativeHeight="251659264" behindDoc="1" locked="0" layoutInCell="1" allowOverlap="1" wp14:anchorId="36ED4D36" wp14:editId="48B7E429">
            <wp:simplePos x="0" y="0"/>
            <wp:positionH relativeFrom="margin">
              <wp:posOffset>2089785</wp:posOffset>
            </wp:positionH>
            <wp:positionV relativeFrom="paragraph">
              <wp:posOffset>-312420</wp:posOffset>
            </wp:positionV>
            <wp:extent cx="1456690" cy="1432560"/>
            <wp:effectExtent l="0" t="0" r="0" b="0"/>
            <wp:wrapTight wrapText="bothSides">
              <wp:wrapPolygon edited="0">
                <wp:start x="0" y="0"/>
                <wp:lineTo x="0" y="21255"/>
                <wp:lineTo x="21186" y="21255"/>
                <wp:lineTo x="21186" y="0"/>
                <wp:lineTo x="0" y="0"/>
              </wp:wrapPolygon>
            </wp:wrapTight>
            <wp:docPr id="5" name="officeArt object" descr="Description: cid:image001.png@01D076AF.8E67B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Description: cid:image001.png@01D076AF.8E67B5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CD9DA" w14:textId="77777777" w:rsidR="00F2260B" w:rsidRPr="00334A5F" w:rsidRDefault="00F2260B" w:rsidP="00F2260B">
      <w:pPr>
        <w:pStyle w:val="Body"/>
        <w:tabs>
          <w:tab w:val="center" w:pos="4693"/>
          <w:tab w:val="left" w:pos="8020"/>
        </w:tabs>
        <w:jc w:val="center"/>
        <w:outlineLvl w:val="0"/>
        <w:rPr>
          <w:rFonts w:hAnsi="Arial" w:cs="Arial"/>
          <w:b/>
          <w:bCs/>
          <w:color w:val="000000" w:themeColor="text1"/>
        </w:rPr>
      </w:pPr>
    </w:p>
    <w:p w14:paraId="588E26A2" w14:textId="77777777" w:rsidR="00F2260B" w:rsidRPr="00334A5F" w:rsidRDefault="00F2260B" w:rsidP="00F2260B">
      <w:pPr>
        <w:pStyle w:val="Body"/>
        <w:tabs>
          <w:tab w:val="center" w:pos="4693"/>
          <w:tab w:val="left" w:pos="8020"/>
        </w:tabs>
        <w:jc w:val="center"/>
        <w:outlineLvl w:val="0"/>
        <w:rPr>
          <w:rFonts w:hAnsi="Arial" w:cs="Arial"/>
          <w:b/>
          <w:bCs/>
          <w:color w:val="000000" w:themeColor="text1"/>
        </w:rPr>
      </w:pPr>
    </w:p>
    <w:p w14:paraId="606CF5A8" w14:textId="77777777" w:rsidR="00F2260B" w:rsidRPr="00334A5F" w:rsidRDefault="00F2260B" w:rsidP="00F2260B">
      <w:pPr>
        <w:pStyle w:val="Body"/>
        <w:tabs>
          <w:tab w:val="center" w:pos="4693"/>
          <w:tab w:val="left" w:pos="8020"/>
        </w:tabs>
        <w:jc w:val="center"/>
        <w:outlineLvl w:val="0"/>
        <w:rPr>
          <w:rFonts w:hAnsi="Arial" w:cs="Arial"/>
          <w:b/>
          <w:bCs/>
          <w:color w:val="000000" w:themeColor="text1"/>
        </w:rPr>
      </w:pPr>
    </w:p>
    <w:p w14:paraId="4F1921F2" w14:textId="77777777" w:rsidR="00F2260B" w:rsidRPr="00334A5F" w:rsidRDefault="00F2260B" w:rsidP="00F2260B">
      <w:pPr>
        <w:pStyle w:val="Body"/>
        <w:tabs>
          <w:tab w:val="center" w:pos="4693"/>
          <w:tab w:val="left" w:pos="8020"/>
        </w:tabs>
        <w:jc w:val="center"/>
        <w:outlineLvl w:val="0"/>
        <w:rPr>
          <w:rFonts w:hAnsi="Arial" w:cs="Arial"/>
          <w:b/>
          <w:bCs/>
          <w:color w:val="000000" w:themeColor="text1"/>
        </w:rPr>
      </w:pPr>
    </w:p>
    <w:p w14:paraId="12381AAE" w14:textId="77777777" w:rsidR="00F2260B" w:rsidRPr="00334A5F" w:rsidRDefault="00F2260B" w:rsidP="00F2260B">
      <w:pPr>
        <w:pStyle w:val="Body"/>
        <w:tabs>
          <w:tab w:val="center" w:pos="4693"/>
          <w:tab w:val="left" w:pos="8020"/>
        </w:tabs>
        <w:spacing w:line="240" w:lineRule="auto"/>
        <w:jc w:val="center"/>
        <w:outlineLvl w:val="0"/>
        <w:rPr>
          <w:rFonts w:hAnsi="Arial" w:cs="Arial"/>
          <w:b/>
          <w:bCs/>
          <w:color w:val="000000" w:themeColor="text1"/>
        </w:rPr>
      </w:pPr>
      <w:r w:rsidRPr="00334A5F">
        <w:rPr>
          <w:rFonts w:hAnsi="Arial" w:cs="Arial"/>
          <w:b/>
          <w:bCs/>
          <w:color w:val="000000" w:themeColor="text1"/>
        </w:rPr>
        <w:t>IN THE HIGH COURT OF SOUTH AFRICA</w:t>
      </w:r>
    </w:p>
    <w:p w14:paraId="0D644FEB" w14:textId="77777777" w:rsidR="00F2260B" w:rsidRPr="00334A5F" w:rsidRDefault="00F2260B" w:rsidP="00F2260B">
      <w:pPr>
        <w:pStyle w:val="Body"/>
        <w:tabs>
          <w:tab w:val="center" w:pos="4693"/>
          <w:tab w:val="left" w:pos="8020"/>
        </w:tabs>
        <w:spacing w:line="240" w:lineRule="auto"/>
        <w:jc w:val="center"/>
        <w:outlineLvl w:val="0"/>
        <w:rPr>
          <w:rFonts w:hAnsi="Arial" w:cs="Arial"/>
          <w:b/>
          <w:bCs/>
          <w:color w:val="000000" w:themeColor="text1"/>
        </w:rPr>
      </w:pPr>
      <w:r w:rsidRPr="00334A5F">
        <w:rPr>
          <w:rFonts w:hAnsi="Arial" w:cs="Arial"/>
          <w:b/>
          <w:bCs/>
          <w:color w:val="000000" w:themeColor="text1"/>
        </w:rPr>
        <w:t>GAUTENG DIVISION, JOHANNESBURG</w:t>
      </w:r>
    </w:p>
    <w:p w14:paraId="5C5AA184" w14:textId="77777777" w:rsidR="00F2260B" w:rsidRPr="00334A5F" w:rsidRDefault="00F2260B" w:rsidP="00F2260B">
      <w:pPr>
        <w:pStyle w:val="Body"/>
        <w:tabs>
          <w:tab w:val="center" w:pos="4693"/>
          <w:tab w:val="left" w:pos="8020"/>
        </w:tabs>
        <w:spacing w:line="240" w:lineRule="auto"/>
        <w:jc w:val="center"/>
        <w:outlineLvl w:val="0"/>
        <w:rPr>
          <w:rFonts w:hAnsi="Arial" w:cs="Arial"/>
          <w:b/>
          <w:bCs/>
          <w:color w:val="000000" w:themeColor="text1"/>
        </w:rPr>
      </w:pPr>
      <w:r w:rsidRPr="00334A5F">
        <w:rPr>
          <w:rFonts w:hAnsi="Arial" w:cs="Arial"/>
          <w:b/>
          <w:noProof/>
        </w:rPr>
        <mc:AlternateContent>
          <mc:Choice Requires="wps">
            <w:drawing>
              <wp:anchor distT="0" distB="0" distL="114300" distR="114300" simplePos="0" relativeHeight="251660288" behindDoc="0" locked="0" layoutInCell="1" allowOverlap="1" wp14:anchorId="51B8E70A" wp14:editId="3D8444EC">
                <wp:simplePos x="0" y="0"/>
                <wp:positionH relativeFrom="column">
                  <wp:posOffset>-356461</wp:posOffset>
                </wp:positionH>
                <wp:positionV relativeFrom="paragraph">
                  <wp:posOffset>129991</wp:posOffset>
                </wp:positionV>
                <wp:extent cx="3286760" cy="1549831"/>
                <wp:effectExtent l="0" t="0" r="1524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549831"/>
                        </a:xfrm>
                        <a:prstGeom prst="rect">
                          <a:avLst/>
                        </a:prstGeom>
                        <a:solidFill>
                          <a:srgbClr val="FFFFFF"/>
                        </a:solidFill>
                        <a:ln w="9525">
                          <a:solidFill>
                            <a:srgbClr val="000000"/>
                          </a:solidFill>
                          <a:miter lim="800000"/>
                          <a:headEnd/>
                          <a:tailEnd/>
                        </a:ln>
                      </wps:spPr>
                      <wps:txbx>
                        <w:txbxContent>
                          <w:p w14:paraId="42196CF6" w14:textId="77777777" w:rsidR="00F2260B" w:rsidRDefault="00F2260B" w:rsidP="00F2260B">
                            <w:pPr>
                              <w:tabs>
                                <w:tab w:val="num" w:pos="900"/>
                              </w:tabs>
                              <w:ind w:left="900" w:hanging="720"/>
                            </w:pPr>
                          </w:p>
                          <w:p w14:paraId="6475E2DF" w14:textId="6B1AEE3E" w:rsidR="00F2260B" w:rsidRDefault="00D57D39" w:rsidP="00D57D39">
                            <w:pPr>
                              <w:tabs>
                                <w:tab w:val="left" w:pos="900"/>
                              </w:tabs>
                              <w:ind w:left="900" w:hanging="720"/>
                              <w:rPr>
                                <w:rFonts w:ascii="Century Gothic" w:hAnsi="Century Gothic"/>
                                <w:sz w:val="20"/>
                              </w:rPr>
                            </w:pPr>
                            <w:r>
                              <w:rPr>
                                <w:rFonts w:ascii="Century Gothic" w:hAnsi="Century Gothic" w:cs="Times New Roman"/>
                                <w:sz w:val="20"/>
                              </w:rPr>
                              <w:t>(1)</w:t>
                            </w:r>
                            <w:r>
                              <w:rPr>
                                <w:rFonts w:ascii="Century Gothic" w:hAnsi="Century Gothic" w:cs="Times New Roman"/>
                                <w:sz w:val="20"/>
                              </w:rPr>
                              <w:tab/>
                            </w:r>
                            <w:r w:rsidR="00F2260B">
                              <w:rPr>
                                <w:rFonts w:ascii="Century Gothic" w:hAnsi="Century Gothic"/>
                                <w:sz w:val="20"/>
                              </w:rPr>
                              <w:t>REPORTABLE: NO</w:t>
                            </w:r>
                          </w:p>
                          <w:p w14:paraId="198D661F" w14:textId="1F646F9F" w:rsidR="00F2260B" w:rsidRDefault="00D57D39" w:rsidP="00D57D39">
                            <w:pPr>
                              <w:tabs>
                                <w:tab w:val="left" w:pos="900"/>
                              </w:tabs>
                              <w:ind w:left="900" w:hanging="720"/>
                              <w:rPr>
                                <w:rFonts w:ascii="Century Gothic" w:hAnsi="Century Gothic"/>
                                <w:sz w:val="20"/>
                              </w:rPr>
                            </w:pPr>
                            <w:r>
                              <w:rPr>
                                <w:rFonts w:ascii="Century Gothic" w:hAnsi="Century Gothic" w:cs="Times New Roman"/>
                                <w:sz w:val="20"/>
                              </w:rPr>
                              <w:t>(2)</w:t>
                            </w:r>
                            <w:r>
                              <w:rPr>
                                <w:rFonts w:ascii="Century Gothic" w:hAnsi="Century Gothic" w:cs="Times New Roman"/>
                                <w:sz w:val="20"/>
                              </w:rPr>
                              <w:tab/>
                            </w:r>
                            <w:r w:rsidR="00F2260B">
                              <w:rPr>
                                <w:rFonts w:ascii="Century Gothic" w:hAnsi="Century Gothic"/>
                                <w:sz w:val="20"/>
                              </w:rPr>
                              <w:t>OF INTEREST TO OTHER JUDGES: NO</w:t>
                            </w:r>
                          </w:p>
                          <w:p w14:paraId="60937652" w14:textId="12A00174" w:rsidR="00F2260B" w:rsidRDefault="00D57D39" w:rsidP="00D57D39">
                            <w:pPr>
                              <w:tabs>
                                <w:tab w:val="left" w:pos="900"/>
                              </w:tabs>
                              <w:ind w:left="900" w:hanging="720"/>
                              <w:rPr>
                                <w:rFonts w:ascii="Century Gothic" w:hAnsi="Century Gothic"/>
                                <w:sz w:val="20"/>
                              </w:rPr>
                            </w:pPr>
                            <w:r>
                              <w:rPr>
                                <w:rFonts w:ascii="Century Gothic" w:hAnsi="Century Gothic" w:cs="Times New Roman"/>
                                <w:sz w:val="20"/>
                              </w:rPr>
                              <w:t>(3)</w:t>
                            </w:r>
                            <w:r>
                              <w:rPr>
                                <w:rFonts w:ascii="Century Gothic" w:hAnsi="Century Gothic" w:cs="Times New Roman"/>
                                <w:sz w:val="20"/>
                              </w:rPr>
                              <w:tab/>
                            </w:r>
                            <w:r w:rsidR="00F2260B">
                              <w:rPr>
                                <w:rFonts w:ascii="Century Gothic" w:hAnsi="Century Gothic"/>
                                <w:sz w:val="20"/>
                              </w:rPr>
                              <w:t>REVISED: NO</w:t>
                            </w:r>
                          </w:p>
                          <w:p w14:paraId="142F176F" w14:textId="77777777" w:rsidR="00F2260B" w:rsidRDefault="00F2260B" w:rsidP="00F2260B">
                            <w:pPr>
                              <w:ind w:left="900"/>
                              <w:rPr>
                                <w:rFonts w:ascii="Century Gothic" w:hAnsi="Century Gothic"/>
                                <w:sz w:val="20"/>
                              </w:rPr>
                            </w:pPr>
                          </w:p>
                          <w:p w14:paraId="6DA2C986" w14:textId="77777777" w:rsidR="00F2260B" w:rsidRPr="00FC7186" w:rsidRDefault="00F2260B" w:rsidP="00F2260B">
                            <w:pPr>
                              <w:spacing w:line="276" w:lineRule="auto"/>
                              <w:rPr>
                                <w:rFonts w:ascii="Century Gothic" w:hAnsi="Century Gothic"/>
                                <w:sz w:val="18"/>
                                <w:szCs w:val="18"/>
                              </w:rPr>
                            </w:pPr>
                            <w:r>
                              <w:rPr>
                                <w:rFonts w:ascii="Century Gothic" w:hAnsi="Century Gothic"/>
                                <w:b/>
                                <w:sz w:val="18"/>
                                <w:szCs w:val="18"/>
                              </w:rPr>
                              <w:t xml:space="preserve">    </w:t>
                            </w:r>
                          </w:p>
                          <w:p w14:paraId="191A0F78" w14:textId="77777777" w:rsidR="00F2260B" w:rsidRPr="00FC7186" w:rsidRDefault="00F2260B" w:rsidP="00F2260B">
                            <w:pPr>
                              <w:spacing w:line="276" w:lineRule="auto"/>
                              <w:rPr>
                                <w:rFonts w:ascii="Century Gothic" w:hAnsi="Century Gothic"/>
                                <w:sz w:val="18"/>
                                <w:szCs w:val="18"/>
                              </w:rPr>
                            </w:pPr>
                            <w:r w:rsidRPr="00FC7186">
                              <w:rPr>
                                <w:rFonts w:ascii="Century Gothic" w:hAnsi="Century Gothic"/>
                                <w:sz w:val="18"/>
                                <w:szCs w:val="18"/>
                              </w:rPr>
                              <w:t xml:space="preserve">    </w:t>
                            </w:r>
                          </w:p>
                          <w:p w14:paraId="17D036C1" w14:textId="77777777" w:rsidR="00F2260B" w:rsidRDefault="00F2260B" w:rsidP="00F2260B">
                            <w:pPr>
                              <w:rPr>
                                <w:rFonts w:ascii="Century Gothic" w:hAnsi="Century Gothic"/>
                                <w:b/>
                                <w:sz w:val="18"/>
                                <w:szCs w:val="18"/>
                              </w:rPr>
                            </w:pPr>
                            <w:r>
                              <w:rPr>
                                <w:rFonts w:ascii="Century Gothic" w:hAnsi="Century Gothic"/>
                                <w:b/>
                                <w:sz w:val="18"/>
                                <w:szCs w:val="18"/>
                              </w:rPr>
                              <w:t xml:space="preserve"> ………...............................         …………………………….</w:t>
                            </w:r>
                          </w:p>
                          <w:p w14:paraId="29D13A85" w14:textId="77777777" w:rsidR="00F2260B" w:rsidRDefault="00F2260B" w:rsidP="00F2260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8E70A" id="_x0000_t202" coordsize="21600,21600" o:spt="202" path="m,l,21600r21600,l21600,xe">
                <v:stroke joinstyle="miter"/>
                <v:path gradientshapeok="t" o:connecttype="rect"/>
              </v:shapetype>
              <v:shape id="Text Box 1" o:spid="_x0000_s1026" type="#_x0000_t202" style="position:absolute;left:0;text-align:left;margin-left:-28.05pt;margin-top:10.25pt;width:258.8pt;height:1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">
                <v:textbox>
                  <w:txbxContent>
                    <w:p w14:paraId="42196CF6" w14:textId="77777777" w:rsidR="00F2260B" w:rsidRDefault="00F2260B" w:rsidP="00F2260B">
                      <w:pPr>
                        <w:tabs>
                          <w:tab w:val="num" w:pos="900"/>
                        </w:tabs>
                        <w:ind w:left="900" w:hanging="720"/>
                      </w:pPr>
                    </w:p>
                    <w:p w14:paraId="6475E2DF" w14:textId="6B1AEE3E" w:rsidR="00F2260B" w:rsidRDefault="00D57D39" w:rsidP="00D57D39">
                      <w:pPr>
                        <w:tabs>
                          <w:tab w:val="left" w:pos="900"/>
                        </w:tabs>
                        <w:ind w:left="900" w:hanging="720"/>
                        <w:rPr>
                          <w:rFonts w:ascii="Century Gothic" w:hAnsi="Century Gothic"/>
                          <w:sz w:val="20"/>
                        </w:rPr>
                      </w:pPr>
                      <w:r>
                        <w:rPr>
                          <w:rFonts w:ascii="Century Gothic" w:hAnsi="Century Gothic" w:cs="Times New Roman"/>
                          <w:sz w:val="20"/>
                        </w:rPr>
                        <w:t>(1)</w:t>
                      </w:r>
                      <w:r>
                        <w:rPr>
                          <w:rFonts w:ascii="Century Gothic" w:hAnsi="Century Gothic" w:cs="Times New Roman"/>
                          <w:sz w:val="20"/>
                        </w:rPr>
                        <w:tab/>
                      </w:r>
                      <w:r w:rsidR="00F2260B">
                        <w:rPr>
                          <w:rFonts w:ascii="Century Gothic" w:hAnsi="Century Gothic"/>
                          <w:sz w:val="20"/>
                        </w:rPr>
                        <w:t>REPORTABLE: NO</w:t>
                      </w:r>
                    </w:p>
                    <w:p w14:paraId="198D661F" w14:textId="1F646F9F" w:rsidR="00F2260B" w:rsidRDefault="00D57D39" w:rsidP="00D57D39">
                      <w:pPr>
                        <w:tabs>
                          <w:tab w:val="left" w:pos="900"/>
                        </w:tabs>
                        <w:ind w:left="900" w:hanging="720"/>
                        <w:rPr>
                          <w:rFonts w:ascii="Century Gothic" w:hAnsi="Century Gothic"/>
                          <w:sz w:val="20"/>
                        </w:rPr>
                      </w:pPr>
                      <w:r>
                        <w:rPr>
                          <w:rFonts w:ascii="Century Gothic" w:hAnsi="Century Gothic" w:cs="Times New Roman"/>
                          <w:sz w:val="20"/>
                        </w:rPr>
                        <w:t>(2)</w:t>
                      </w:r>
                      <w:r>
                        <w:rPr>
                          <w:rFonts w:ascii="Century Gothic" w:hAnsi="Century Gothic" w:cs="Times New Roman"/>
                          <w:sz w:val="20"/>
                        </w:rPr>
                        <w:tab/>
                      </w:r>
                      <w:r w:rsidR="00F2260B">
                        <w:rPr>
                          <w:rFonts w:ascii="Century Gothic" w:hAnsi="Century Gothic"/>
                          <w:sz w:val="20"/>
                        </w:rPr>
                        <w:t>OF INTEREST TO OTHER JUDGES: NO</w:t>
                      </w:r>
                    </w:p>
                    <w:p w14:paraId="60937652" w14:textId="12A00174" w:rsidR="00F2260B" w:rsidRDefault="00D57D39" w:rsidP="00D57D39">
                      <w:pPr>
                        <w:tabs>
                          <w:tab w:val="left" w:pos="900"/>
                        </w:tabs>
                        <w:ind w:left="900" w:hanging="720"/>
                        <w:rPr>
                          <w:rFonts w:ascii="Century Gothic" w:hAnsi="Century Gothic"/>
                          <w:sz w:val="20"/>
                        </w:rPr>
                      </w:pPr>
                      <w:r>
                        <w:rPr>
                          <w:rFonts w:ascii="Century Gothic" w:hAnsi="Century Gothic" w:cs="Times New Roman"/>
                          <w:sz w:val="20"/>
                        </w:rPr>
                        <w:t>(3)</w:t>
                      </w:r>
                      <w:r>
                        <w:rPr>
                          <w:rFonts w:ascii="Century Gothic" w:hAnsi="Century Gothic" w:cs="Times New Roman"/>
                          <w:sz w:val="20"/>
                        </w:rPr>
                        <w:tab/>
                      </w:r>
                      <w:r w:rsidR="00F2260B">
                        <w:rPr>
                          <w:rFonts w:ascii="Century Gothic" w:hAnsi="Century Gothic"/>
                          <w:sz w:val="20"/>
                        </w:rPr>
                        <w:t>REVISED: NO</w:t>
                      </w:r>
                    </w:p>
                    <w:p w14:paraId="142F176F" w14:textId="77777777" w:rsidR="00F2260B" w:rsidRDefault="00F2260B" w:rsidP="00F2260B">
                      <w:pPr>
                        <w:ind w:left="900"/>
                        <w:rPr>
                          <w:rFonts w:ascii="Century Gothic" w:hAnsi="Century Gothic"/>
                          <w:sz w:val="20"/>
                        </w:rPr>
                      </w:pPr>
                    </w:p>
                    <w:p w14:paraId="6DA2C986" w14:textId="77777777" w:rsidR="00F2260B" w:rsidRPr="00FC7186" w:rsidRDefault="00F2260B" w:rsidP="00F2260B">
                      <w:pPr>
                        <w:spacing w:line="276" w:lineRule="auto"/>
                        <w:rPr>
                          <w:rFonts w:ascii="Century Gothic" w:hAnsi="Century Gothic"/>
                          <w:sz w:val="18"/>
                          <w:szCs w:val="18"/>
                        </w:rPr>
                      </w:pPr>
                      <w:r>
                        <w:rPr>
                          <w:rFonts w:ascii="Century Gothic" w:hAnsi="Century Gothic"/>
                          <w:b/>
                          <w:sz w:val="18"/>
                          <w:szCs w:val="18"/>
                        </w:rPr>
                        <w:t xml:space="preserve">    </w:t>
                      </w:r>
                    </w:p>
                    <w:p w14:paraId="191A0F78" w14:textId="77777777" w:rsidR="00F2260B" w:rsidRPr="00FC7186" w:rsidRDefault="00F2260B" w:rsidP="00F2260B">
                      <w:pPr>
                        <w:spacing w:line="276" w:lineRule="auto"/>
                        <w:rPr>
                          <w:rFonts w:ascii="Century Gothic" w:hAnsi="Century Gothic"/>
                          <w:sz w:val="18"/>
                          <w:szCs w:val="18"/>
                        </w:rPr>
                      </w:pPr>
                      <w:r w:rsidRPr="00FC7186">
                        <w:rPr>
                          <w:rFonts w:ascii="Century Gothic" w:hAnsi="Century Gothic"/>
                          <w:sz w:val="18"/>
                          <w:szCs w:val="18"/>
                        </w:rPr>
                        <w:t xml:space="preserve">    </w:t>
                      </w:r>
                    </w:p>
                    <w:p w14:paraId="17D036C1" w14:textId="77777777" w:rsidR="00F2260B" w:rsidRDefault="00F2260B" w:rsidP="00F2260B">
                      <w:pPr>
                        <w:rPr>
                          <w:rFonts w:ascii="Century Gothic" w:hAnsi="Century Gothic"/>
                          <w:b/>
                          <w:sz w:val="18"/>
                          <w:szCs w:val="18"/>
                        </w:rPr>
                      </w:pPr>
                      <w:r>
                        <w:rPr>
                          <w:rFonts w:ascii="Century Gothic" w:hAnsi="Century Gothic"/>
                          <w:b/>
                          <w:sz w:val="18"/>
                          <w:szCs w:val="18"/>
                        </w:rPr>
                        <w:t xml:space="preserve"> ………...............................         …………………………….</w:t>
                      </w:r>
                    </w:p>
                    <w:p w14:paraId="29D13A85" w14:textId="77777777" w:rsidR="00F2260B" w:rsidRDefault="00F2260B" w:rsidP="00F2260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1BF3392B" w14:textId="77777777" w:rsidR="00F2260B" w:rsidRPr="00334A5F" w:rsidRDefault="00F2260B" w:rsidP="00F2260B">
      <w:pPr>
        <w:spacing w:line="360" w:lineRule="auto"/>
        <w:jc w:val="right"/>
        <w:rPr>
          <w:rFonts w:ascii="Arial" w:hAnsi="Arial" w:cs="Arial"/>
          <w:b/>
          <w:i/>
        </w:rPr>
      </w:pPr>
    </w:p>
    <w:p w14:paraId="5CE4F5E5" w14:textId="77777777" w:rsidR="00F2260B" w:rsidRPr="00334A5F" w:rsidRDefault="00F2260B" w:rsidP="00F2260B">
      <w:pPr>
        <w:pStyle w:val="Heading1"/>
        <w:ind w:right="-29"/>
        <w:jc w:val="right"/>
        <w:rPr>
          <w:rFonts w:ascii="Arial" w:hAnsi="Arial" w:cs="Arial"/>
          <w:sz w:val="24"/>
          <w:szCs w:val="24"/>
          <w:lang w:val="en-ZA"/>
        </w:rPr>
      </w:pPr>
    </w:p>
    <w:p w14:paraId="56BA32C6" w14:textId="77777777" w:rsidR="00F2260B" w:rsidRPr="00334A5F" w:rsidRDefault="00F2260B" w:rsidP="00F2260B">
      <w:pPr>
        <w:pStyle w:val="Heading1"/>
        <w:ind w:right="-29"/>
        <w:jc w:val="right"/>
        <w:rPr>
          <w:rFonts w:ascii="Arial" w:hAnsi="Arial" w:cs="Arial"/>
          <w:sz w:val="24"/>
          <w:szCs w:val="24"/>
          <w:lang w:val="en-ZA"/>
        </w:rPr>
      </w:pPr>
    </w:p>
    <w:p w14:paraId="403AB4F0" w14:textId="77777777" w:rsidR="00F2260B" w:rsidRPr="00334A5F" w:rsidRDefault="00F2260B" w:rsidP="00F2260B">
      <w:pPr>
        <w:rPr>
          <w:rFonts w:ascii="Arial" w:hAnsi="Arial" w:cs="Arial"/>
          <w:color w:val="000000" w:themeColor="text1"/>
        </w:rPr>
      </w:pPr>
    </w:p>
    <w:p w14:paraId="273C4151" w14:textId="5D32A284" w:rsidR="00F2260B" w:rsidRPr="00334A5F" w:rsidRDefault="00F2260B" w:rsidP="00306545">
      <w:pPr>
        <w:spacing w:before="120"/>
        <w:ind w:right="-46"/>
        <w:jc w:val="right"/>
        <w:rPr>
          <w:rFonts w:ascii="Arial" w:hAnsi="Arial" w:cs="Arial"/>
          <w:b/>
          <w:bCs/>
          <w:color w:val="000000" w:themeColor="text1"/>
        </w:rPr>
      </w:pPr>
      <w:r w:rsidRPr="00334A5F">
        <w:rPr>
          <w:rFonts w:ascii="Arial" w:hAnsi="Arial" w:cs="Arial"/>
          <w:b/>
          <w:bCs/>
          <w:color w:val="000000" w:themeColor="text1"/>
        </w:rPr>
        <w:t>Case no: 154</w:t>
      </w:r>
      <w:r w:rsidR="00306545">
        <w:rPr>
          <w:rFonts w:ascii="Arial" w:hAnsi="Arial" w:cs="Arial"/>
          <w:b/>
          <w:bCs/>
          <w:color w:val="000000" w:themeColor="text1"/>
        </w:rPr>
        <w:t>9</w:t>
      </w:r>
      <w:r w:rsidRPr="00334A5F">
        <w:rPr>
          <w:rFonts w:ascii="Arial" w:hAnsi="Arial" w:cs="Arial"/>
          <w:b/>
          <w:bCs/>
          <w:color w:val="000000" w:themeColor="text1"/>
        </w:rPr>
        <w:t>7/2020</w:t>
      </w:r>
    </w:p>
    <w:p w14:paraId="4DA28A01" w14:textId="77777777" w:rsidR="00F2260B" w:rsidRPr="00334A5F" w:rsidRDefault="00F2260B" w:rsidP="00F2260B">
      <w:pPr>
        <w:spacing w:before="120"/>
        <w:ind w:right="-46"/>
        <w:jc w:val="right"/>
        <w:rPr>
          <w:rFonts w:ascii="Arial" w:hAnsi="Arial" w:cs="Arial"/>
          <w:b/>
          <w:bCs/>
          <w:color w:val="000000" w:themeColor="text1"/>
        </w:rPr>
      </w:pPr>
    </w:p>
    <w:p w14:paraId="6F953070" w14:textId="77777777" w:rsidR="00F2260B" w:rsidRPr="00334A5F" w:rsidRDefault="00F2260B" w:rsidP="00F2260B">
      <w:pPr>
        <w:spacing w:before="120" w:line="276" w:lineRule="auto"/>
        <w:ind w:right="-46"/>
        <w:rPr>
          <w:rFonts w:ascii="Arial" w:hAnsi="Arial" w:cs="Arial"/>
          <w:color w:val="000000" w:themeColor="text1"/>
        </w:rPr>
      </w:pPr>
      <w:r w:rsidRPr="00334A5F">
        <w:rPr>
          <w:rFonts w:ascii="Arial" w:hAnsi="Arial" w:cs="Arial"/>
          <w:color w:val="000000" w:themeColor="text1"/>
        </w:rPr>
        <w:t>In the application between:</w:t>
      </w:r>
    </w:p>
    <w:p w14:paraId="49701DFE" w14:textId="77777777" w:rsidR="00F2260B" w:rsidRPr="00334A5F" w:rsidRDefault="00F2260B" w:rsidP="00F2260B">
      <w:pPr>
        <w:spacing w:before="120" w:line="276" w:lineRule="auto"/>
        <w:ind w:right="-46"/>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54"/>
      </w:tblGrid>
      <w:tr w:rsidR="00F2260B" w:rsidRPr="00334A5F" w14:paraId="65B7FF42" w14:textId="77777777" w:rsidTr="00F2260B">
        <w:tc>
          <w:tcPr>
            <w:tcW w:w="4962" w:type="dxa"/>
          </w:tcPr>
          <w:p w14:paraId="6D3B62ED" w14:textId="3CA0EB6D" w:rsidR="00F2260B" w:rsidRPr="00334A5F" w:rsidRDefault="00F2260B" w:rsidP="00C7181C">
            <w:pPr>
              <w:spacing w:before="120" w:line="360" w:lineRule="auto"/>
              <w:ind w:right="-46"/>
              <w:rPr>
                <w:rFonts w:ascii="Arial" w:hAnsi="Arial" w:cs="Arial"/>
                <w:b/>
                <w:bCs/>
                <w:color w:val="000000" w:themeColor="text1"/>
              </w:rPr>
            </w:pPr>
            <w:r w:rsidRPr="00334A5F">
              <w:rPr>
                <w:rFonts w:ascii="Arial" w:hAnsi="Arial" w:cs="Arial"/>
                <w:b/>
                <w:bCs/>
                <w:color w:val="000000" w:themeColor="text1"/>
              </w:rPr>
              <w:t xml:space="preserve">BETHUEL ABOSELE KGAMANYANE </w:t>
            </w:r>
          </w:p>
        </w:tc>
        <w:tc>
          <w:tcPr>
            <w:tcW w:w="4054" w:type="dxa"/>
          </w:tcPr>
          <w:p w14:paraId="1A4F0D25" w14:textId="47291A77" w:rsidR="00F2260B" w:rsidRPr="00334A5F" w:rsidRDefault="00F2260B" w:rsidP="00C7181C">
            <w:pPr>
              <w:spacing w:before="120" w:line="360" w:lineRule="auto"/>
              <w:ind w:right="-46"/>
              <w:jc w:val="right"/>
              <w:rPr>
                <w:rFonts w:ascii="Arial" w:hAnsi="Arial" w:cs="Arial"/>
                <w:color w:val="000000" w:themeColor="text1"/>
              </w:rPr>
            </w:pPr>
            <w:r w:rsidRPr="00334A5F">
              <w:rPr>
                <w:rFonts w:ascii="Arial" w:hAnsi="Arial" w:cs="Arial"/>
                <w:color w:val="000000" w:themeColor="text1"/>
              </w:rPr>
              <w:t>First Applicant</w:t>
            </w:r>
            <w:r w:rsidR="00FD755D" w:rsidRPr="00334A5F">
              <w:rPr>
                <w:rFonts w:ascii="Arial" w:hAnsi="Arial" w:cs="Arial"/>
                <w:color w:val="000000" w:themeColor="text1"/>
              </w:rPr>
              <w:t>/ Defendant</w:t>
            </w:r>
            <w:r w:rsidRPr="00334A5F">
              <w:rPr>
                <w:rFonts w:ascii="Arial" w:hAnsi="Arial" w:cs="Arial"/>
                <w:color w:val="000000" w:themeColor="text1"/>
              </w:rPr>
              <w:t xml:space="preserve"> </w:t>
            </w:r>
          </w:p>
        </w:tc>
      </w:tr>
      <w:tr w:rsidR="00F2260B" w:rsidRPr="00334A5F" w14:paraId="5C8F56B6" w14:textId="77777777" w:rsidTr="00F2260B">
        <w:tc>
          <w:tcPr>
            <w:tcW w:w="4962" w:type="dxa"/>
          </w:tcPr>
          <w:p w14:paraId="434E661F" w14:textId="5DED5747" w:rsidR="00F2260B" w:rsidRPr="00334A5F" w:rsidRDefault="00F2260B" w:rsidP="00C7181C">
            <w:pPr>
              <w:spacing w:before="120" w:line="360" w:lineRule="auto"/>
              <w:ind w:right="-46"/>
              <w:rPr>
                <w:rFonts w:ascii="Arial" w:hAnsi="Arial" w:cs="Arial"/>
                <w:b/>
                <w:bCs/>
                <w:color w:val="000000" w:themeColor="text1"/>
              </w:rPr>
            </w:pPr>
            <w:r w:rsidRPr="00334A5F">
              <w:rPr>
                <w:rFonts w:ascii="Arial" w:hAnsi="Arial" w:cs="Arial"/>
                <w:b/>
                <w:bCs/>
                <w:color w:val="000000" w:themeColor="text1"/>
              </w:rPr>
              <w:t xml:space="preserve">MAKOKOBALE ESTHER KGAMANYANE </w:t>
            </w:r>
          </w:p>
        </w:tc>
        <w:tc>
          <w:tcPr>
            <w:tcW w:w="4054" w:type="dxa"/>
          </w:tcPr>
          <w:p w14:paraId="31B08948" w14:textId="7BDF62F7" w:rsidR="00F2260B" w:rsidRPr="00334A5F" w:rsidRDefault="00F2260B" w:rsidP="00C7181C">
            <w:pPr>
              <w:spacing w:before="120" w:line="360" w:lineRule="auto"/>
              <w:ind w:right="-46"/>
              <w:jc w:val="right"/>
              <w:rPr>
                <w:rFonts w:ascii="Arial" w:hAnsi="Arial" w:cs="Arial"/>
                <w:color w:val="000000" w:themeColor="text1"/>
              </w:rPr>
            </w:pPr>
            <w:r w:rsidRPr="00334A5F">
              <w:rPr>
                <w:rFonts w:ascii="Arial" w:hAnsi="Arial" w:cs="Arial"/>
                <w:color w:val="000000" w:themeColor="text1"/>
              </w:rPr>
              <w:t>Second Applicant</w:t>
            </w:r>
            <w:r w:rsidR="00FD755D" w:rsidRPr="00334A5F">
              <w:rPr>
                <w:rFonts w:ascii="Arial" w:hAnsi="Arial" w:cs="Arial"/>
                <w:color w:val="000000" w:themeColor="text1"/>
              </w:rPr>
              <w:t>/ Defendant</w:t>
            </w:r>
            <w:r w:rsidRPr="00334A5F">
              <w:rPr>
                <w:rFonts w:ascii="Arial" w:hAnsi="Arial" w:cs="Arial"/>
                <w:color w:val="000000" w:themeColor="text1"/>
              </w:rPr>
              <w:t xml:space="preserve"> </w:t>
            </w:r>
          </w:p>
        </w:tc>
      </w:tr>
      <w:tr w:rsidR="00F2260B" w:rsidRPr="00334A5F" w14:paraId="2A5C5F10" w14:textId="77777777" w:rsidTr="00F2260B">
        <w:tc>
          <w:tcPr>
            <w:tcW w:w="4962" w:type="dxa"/>
          </w:tcPr>
          <w:p w14:paraId="445179AA" w14:textId="379DFF0D" w:rsidR="00F2260B" w:rsidRPr="00334A5F" w:rsidRDefault="00F2260B" w:rsidP="00C7181C">
            <w:pPr>
              <w:spacing w:before="120" w:line="360" w:lineRule="auto"/>
              <w:ind w:right="-46"/>
              <w:rPr>
                <w:rFonts w:ascii="Arial" w:hAnsi="Arial" w:cs="Arial"/>
                <w:color w:val="000000" w:themeColor="text1"/>
              </w:rPr>
            </w:pPr>
          </w:p>
          <w:p w14:paraId="5EC8775E" w14:textId="50CF85EB" w:rsidR="00F2260B" w:rsidRPr="00334A5F" w:rsidRDefault="00F2260B" w:rsidP="00C7181C">
            <w:pPr>
              <w:spacing w:before="120" w:line="360" w:lineRule="auto"/>
              <w:ind w:right="-46"/>
              <w:rPr>
                <w:rFonts w:ascii="Arial" w:hAnsi="Arial" w:cs="Arial"/>
                <w:color w:val="000000" w:themeColor="text1"/>
              </w:rPr>
            </w:pPr>
            <w:r w:rsidRPr="00334A5F">
              <w:rPr>
                <w:rFonts w:ascii="Arial" w:hAnsi="Arial" w:cs="Arial"/>
                <w:color w:val="000000" w:themeColor="text1"/>
              </w:rPr>
              <w:t>and</w:t>
            </w:r>
          </w:p>
        </w:tc>
        <w:tc>
          <w:tcPr>
            <w:tcW w:w="4054" w:type="dxa"/>
          </w:tcPr>
          <w:p w14:paraId="4B983CAC" w14:textId="77777777" w:rsidR="00F2260B" w:rsidRPr="00334A5F" w:rsidRDefault="00F2260B" w:rsidP="00C7181C">
            <w:pPr>
              <w:spacing w:before="120" w:line="360" w:lineRule="auto"/>
              <w:ind w:right="-46"/>
              <w:rPr>
                <w:rFonts w:ascii="Arial" w:hAnsi="Arial" w:cs="Arial"/>
                <w:b/>
                <w:bCs/>
                <w:color w:val="000000" w:themeColor="text1"/>
              </w:rPr>
            </w:pPr>
          </w:p>
        </w:tc>
      </w:tr>
      <w:tr w:rsidR="00F2260B" w:rsidRPr="00334A5F" w14:paraId="4341BD55" w14:textId="77777777" w:rsidTr="00F2260B">
        <w:tc>
          <w:tcPr>
            <w:tcW w:w="4962" w:type="dxa"/>
          </w:tcPr>
          <w:p w14:paraId="34B7B4B7" w14:textId="0CCC41DD" w:rsidR="00F2260B" w:rsidRPr="00334A5F" w:rsidRDefault="00F2260B" w:rsidP="00C7181C">
            <w:pPr>
              <w:spacing w:before="120" w:line="360" w:lineRule="auto"/>
              <w:ind w:right="-46"/>
              <w:rPr>
                <w:rFonts w:ascii="Arial" w:hAnsi="Arial" w:cs="Arial"/>
                <w:b/>
                <w:bCs/>
                <w:color w:val="000000" w:themeColor="text1"/>
              </w:rPr>
            </w:pPr>
            <w:r w:rsidRPr="00334A5F">
              <w:rPr>
                <w:rFonts w:ascii="Arial" w:hAnsi="Arial" w:cs="Arial"/>
                <w:b/>
                <w:bCs/>
                <w:color w:val="000000" w:themeColor="text1"/>
              </w:rPr>
              <w:t>ABSA BANK LIMITED</w:t>
            </w:r>
          </w:p>
        </w:tc>
        <w:tc>
          <w:tcPr>
            <w:tcW w:w="4054" w:type="dxa"/>
          </w:tcPr>
          <w:p w14:paraId="069CAA66" w14:textId="4E2061EF" w:rsidR="00F2260B" w:rsidRPr="00334A5F" w:rsidRDefault="00F2260B" w:rsidP="00C7181C">
            <w:pPr>
              <w:spacing w:before="120" w:line="360" w:lineRule="auto"/>
              <w:ind w:right="-46"/>
              <w:jc w:val="right"/>
              <w:rPr>
                <w:rFonts w:ascii="Arial" w:hAnsi="Arial" w:cs="Arial"/>
                <w:color w:val="000000" w:themeColor="text1"/>
              </w:rPr>
            </w:pPr>
            <w:r w:rsidRPr="00334A5F">
              <w:rPr>
                <w:rFonts w:ascii="Arial" w:hAnsi="Arial" w:cs="Arial"/>
                <w:color w:val="000000" w:themeColor="text1"/>
              </w:rPr>
              <w:t>Respondent</w:t>
            </w:r>
            <w:r w:rsidR="00FD755D" w:rsidRPr="00334A5F">
              <w:rPr>
                <w:rFonts w:ascii="Arial" w:hAnsi="Arial" w:cs="Arial"/>
                <w:color w:val="000000" w:themeColor="text1"/>
              </w:rPr>
              <w:t>/ Plaintiff</w:t>
            </w:r>
            <w:r w:rsidRPr="00334A5F">
              <w:rPr>
                <w:rFonts w:ascii="Arial" w:hAnsi="Arial" w:cs="Arial"/>
                <w:color w:val="000000" w:themeColor="text1"/>
              </w:rPr>
              <w:t xml:space="preserve"> </w:t>
            </w:r>
          </w:p>
        </w:tc>
      </w:tr>
    </w:tbl>
    <w:p w14:paraId="62A2DB0F" w14:textId="21983BD5" w:rsidR="00F2260B" w:rsidRPr="00334A5F" w:rsidRDefault="00F2260B" w:rsidP="00F2260B">
      <w:pPr>
        <w:pBdr>
          <w:bottom w:val="single" w:sz="12" w:space="1" w:color="auto"/>
        </w:pBdr>
        <w:tabs>
          <w:tab w:val="right" w:pos="9072"/>
        </w:tabs>
        <w:spacing w:before="120" w:line="360" w:lineRule="auto"/>
        <w:ind w:right="-46"/>
        <w:rPr>
          <w:rFonts w:ascii="Arial" w:hAnsi="Arial" w:cs="Arial"/>
          <w:b/>
          <w:bCs/>
          <w:color w:val="000000" w:themeColor="text1"/>
        </w:rPr>
      </w:pPr>
      <w:r w:rsidRPr="00334A5F">
        <w:rPr>
          <w:rFonts w:ascii="Arial" w:hAnsi="Arial" w:cs="Arial"/>
          <w:color w:val="000000" w:themeColor="text1"/>
        </w:rPr>
        <w:t xml:space="preserve"> </w:t>
      </w:r>
    </w:p>
    <w:p w14:paraId="1CBABF5F" w14:textId="77777777" w:rsidR="00F2260B" w:rsidRPr="00334A5F" w:rsidRDefault="00F2260B" w:rsidP="00F2260B">
      <w:pPr>
        <w:pBdr>
          <w:bottom w:val="single" w:sz="12" w:space="1" w:color="auto"/>
        </w:pBdr>
        <w:tabs>
          <w:tab w:val="right" w:pos="9072"/>
        </w:tabs>
        <w:spacing w:before="120"/>
        <w:ind w:right="-46"/>
        <w:rPr>
          <w:rFonts w:ascii="Arial" w:hAnsi="Arial" w:cs="Arial"/>
          <w:b/>
          <w:bCs/>
          <w:color w:val="000000" w:themeColor="text1"/>
        </w:rPr>
      </w:pPr>
    </w:p>
    <w:p w14:paraId="434C5FBA" w14:textId="77777777" w:rsidR="00F2260B" w:rsidRPr="00334A5F" w:rsidRDefault="00F2260B" w:rsidP="00F2260B">
      <w:pPr>
        <w:spacing w:after="240"/>
        <w:ind w:left="360" w:hanging="360"/>
        <w:jc w:val="center"/>
        <w:rPr>
          <w:rFonts w:ascii="Arial" w:hAnsi="Arial" w:cs="Arial"/>
          <w:b/>
          <w:bCs/>
        </w:rPr>
      </w:pPr>
    </w:p>
    <w:p w14:paraId="64012F98" w14:textId="77777777" w:rsidR="00F2260B" w:rsidRPr="00334A5F" w:rsidRDefault="00F2260B" w:rsidP="00F2260B">
      <w:pPr>
        <w:spacing w:after="240"/>
        <w:ind w:left="360" w:hanging="360"/>
        <w:jc w:val="center"/>
        <w:rPr>
          <w:rFonts w:ascii="Arial" w:hAnsi="Arial" w:cs="Arial"/>
          <w:b/>
          <w:bCs/>
        </w:rPr>
      </w:pPr>
      <w:r w:rsidRPr="00334A5F">
        <w:rPr>
          <w:rFonts w:ascii="Arial" w:hAnsi="Arial" w:cs="Arial"/>
          <w:b/>
          <w:bCs/>
        </w:rPr>
        <w:t>JUDGMENT</w:t>
      </w:r>
    </w:p>
    <w:p w14:paraId="1C8BCFEF" w14:textId="5853F500" w:rsidR="00F2260B" w:rsidRPr="00334A5F" w:rsidRDefault="00F2260B" w:rsidP="00F2260B">
      <w:pPr>
        <w:spacing w:after="240"/>
        <w:ind w:left="360" w:hanging="360"/>
        <w:jc w:val="center"/>
        <w:rPr>
          <w:rFonts w:ascii="Arial" w:hAnsi="Arial" w:cs="Arial"/>
          <w:b/>
          <w:bCs/>
        </w:rPr>
      </w:pPr>
      <w:r w:rsidRPr="00334A5F">
        <w:rPr>
          <w:rFonts w:ascii="Arial" w:hAnsi="Arial" w:cs="Arial"/>
          <w:b/>
          <w:bCs/>
        </w:rPr>
        <w:t>__________________________________________________________________</w:t>
      </w:r>
      <w:r w:rsidR="00334A5F">
        <w:rPr>
          <w:rFonts w:ascii="Arial" w:hAnsi="Arial" w:cs="Arial"/>
          <w:b/>
          <w:bCs/>
        </w:rPr>
        <w:t>_</w:t>
      </w:r>
    </w:p>
    <w:p w14:paraId="3AB4C503" w14:textId="487AF72E" w:rsidR="00F2260B" w:rsidRPr="00334A5F" w:rsidRDefault="00F2260B" w:rsidP="00F2260B">
      <w:pPr>
        <w:jc w:val="both"/>
        <w:rPr>
          <w:rFonts w:ascii="Arial" w:hAnsi="Arial" w:cs="Arial"/>
          <w:iCs/>
        </w:rPr>
      </w:pPr>
      <w:r w:rsidRPr="00334A5F">
        <w:rPr>
          <w:rFonts w:ascii="Arial" w:hAnsi="Arial" w:cs="Arial"/>
          <w:b/>
          <w:iCs/>
          <w:u w:val="single"/>
        </w:rPr>
        <w:t xml:space="preserve">DELIVERED: </w:t>
      </w:r>
      <w:r w:rsidRPr="00334A5F">
        <w:rPr>
          <w:rFonts w:ascii="Arial" w:hAnsi="Arial" w:cs="Arial"/>
          <w:iCs/>
        </w:rPr>
        <w:t>This judgment was handed down electronically by circulation to the parties and/or parties’ representatives by email and by upload to CaseLines. The date and time for hand-down is deemed to be 1</w:t>
      </w:r>
      <w:r w:rsidR="00ED3262">
        <w:rPr>
          <w:rFonts w:ascii="Arial" w:hAnsi="Arial" w:cs="Arial"/>
          <w:iCs/>
        </w:rPr>
        <w:t>2</w:t>
      </w:r>
      <w:r w:rsidRPr="00334A5F">
        <w:rPr>
          <w:rFonts w:ascii="Arial" w:hAnsi="Arial" w:cs="Arial"/>
          <w:iCs/>
        </w:rPr>
        <w:t xml:space="preserve">h00 on </w:t>
      </w:r>
      <w:r w:rsidR="00FD755D" w:rsidRPr="00334A5F">
        <w:rPr>
          <w:rFonts w:ascii="Arial" w:hAnsi="Arial" w:cs="Arial"/>
          <w:iCs/>
        </w:rPr>
        <w:t xml:space="preserve">29 January </w:t>
      </w:r>
      <w:r w:rsidRPr="00334A5F">
        <w:rPr>
          <w:rFonts w:ascii="Arial" w:hAnsi="Arial" w:cs="Arial"/>
          <w:iCs/>
        </w:rPr>
        <w:t>202</w:t>
      </w:r>
      <w:r w:rsidR="00FD755D" w:rsidRPr="00334A5F">
        <w:rPr>
          <w:rFonts w:ascii="Arial" w:hAnsi="Arial" w:cs="Arial"/>
          <w:iCs/>
        </w:rPr>
        <w:t>4</w:t>
      </w:r>
      <w:r w:rsidRPr="00334A5F">
        <w:rPr>
          <w:rFonts w:ascii="Arial" w:hAnsi="Arial" w:cs="Arial"/>
          <w:iCs/>
        </w:rPr>
        <w:t>.</w:t>
      </w:r>
    </w:p>
    <w:p w14:paraId="70D50352" w14:textId="77777777" w:rsidR="00F2260B" w:rsidRPr="00334A5F" w:rsidRDefault="00F2260B" w:rsidP="00F2260B">
      <w:pPr>
        <w:spacing w:after="240" w:line="480" w:lineRule="auto"/>
        <w:jc w:val="both"/>
        <w:rPr>
          <w:rFonts w:ascii="Arial" w:hAnsi="Arial" w:cs="Arial"/>
          <w:b/>
          <w:bCs/>
          <w:lang w:val="en-US"/>
        </w:rPr>
      </w:pPr>
      <w:r w:rsidRPr="00334A5F">
        <w:rPr>
          <w:rFonts w:ascii="Arial" w:hAnsi="Arial" w:cs="Arial"/>
          <w:b/>
          <w:bCs/>
          <w:lang w:val="en-US"/>
        </w:rPr>
        <w:lastRenderedPageBreak/>
        <w:t>GOODMAN, AJ:</w:t>
      </w:r>
    </w:p>
    <w:p w14:paraId="1A86A0D7" w14:textId="5BE8B4FD" w:rsidR="00F2260B" w:rsidRPr="00334A5F" w:rsidRDefault="00F2260B" w:rsidP="00E414EE">
      <w:pPr>
        <w:spacing w:line="360" w:lineRule="auto"/>
        <w:jc w:val="both"/>
        <w:rPr>
          <w:rFonts w:ascii="Arial" w:hAnsi="Arial" w:cs="Arial"/>
          <w:b/>
          <w:bCs/>
          <w:lang w:val="en-US"/>
        </w:rPr>
      </w:pPr>
      <w:r w:rsidRPr="00334A5F">
        <w:rPr>
          <w:rFonts w:ascii="Arial" w:hAnsi="Arial" w:cs="Arial"/>
          <w:b/>
          <w:bCs/>
          <w:lang w:val="en-US"/>
        </w:rPr>
        <w:t>FACTUAL BACKGROUND AND</w:t>
      </w:r>
      <w:r w:rsidR="00FD755D" w:rsidRPr="00334A5F">
        <w:rPr>
          <w:rFonts w:ascii="Arial" w:hAnsi="Arial" w:cs="Arial"/>
          <w:b/>
          <w:bCs/>
          <w:lang w:val="en-US"/>
        </w:rPr>
        <w:t xml:space="preserve"> PROCEDURAL</w:t>
      </w:r>
      <w:r w:rsidRPr="00334A5F">
        <w:rPr>
          <w:rFonts w:ascii="Arial" w:hAnsi="Arial" w:cs="Arial"/>
          <w:b/>
          <w:bCs/>
          <w:lang w:val="en-US"/>
        </w:rPr>
        <w:t xml:space="preserve"> CHRONOLOGY</w:t>
      </w:r>
    </w:p>
    <w:p w14:paraId="3EB0A983" w14:textId="77777777" w:rsidR="00F2260B" w:rsidRPr="00334A5F" w:rsidRDefault="00F2260B" w:rsidP="00E414EE">
      <w:pPr>
        <w:spacing w:line="360" w:lineRule="auto"/>
        <w:jc w:val="both"/>
        <w:rPr>
          <w:rFonts w:ascii="Arial" w:hAnsi="Arial" w:cs="Arial"/>
          <w:b/>
          <w:bCs/>
          <w:lang w:val="en-US"/>
        </w:rPr>
      </w:pPr>
    </w:p>
    <w:p w14:paraId="7DA41814" w14:textId="577084B5" w:rsidR="00C521BD"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1.</w:t>
      </w:r>
      <w:r w:rsidRPr="00334A5F">
        <w:rPr>
          <w:rFonts w:ascii="Arial" w:hAnsi="Arial" w:cs="Arial"/>
          <w:lang w:val="en-US"/>
        </w:rPr>
        <w:tab/>
      </w:r>
      <w:r w:rsidR="00C521BD" w:rsidRPr="00D57D39">
        <w:rPr>
          <w:rFonts w:ascii="Arial" w:hAnsi="Arial" w:cs="Arial"/>
          <w:lang w:val="en-US"/>
        </w:rPr>
        <w:t xml:space="preserve">In </w:t>
      </w:r>
      <w:r w:rsidR="003C1D44" w:rsidRPr="00D57D39">
        <w:rPr>
          <w:rFonts w:ascii="Arial" w:hAnsi="Arial" w:cs="Arial"/>
          <w:lang w:val="en-US"/>
        </w:rPr>
        <w:t>July</w:t>
      </w:r>
      <w:r w:rsidR="00B92399" w:rsidRPr="00D57D39">
        <w:rPr>
          <w:rFonts w:ascii="Arial" w:hAnsi="Arial" w:cs="Arial"/>
          <w:lang w:val="en-US"/>
        </w:rPr>
        <w:t xml:space="preserve"> 202</w:t>
      </w:r>
      <w:r w:rsidR="003C1D44" w:rsidRPr="00D57D39">
        <w:rPr>
          <w:rFonts w:ascii="Arial" w:hAnsi="Arial" w:cs="Arial"/>
          <w:lang w:val="en-US"/>
        </w:rPr>
        <w:t>0</w:t>
      </w:r>
      <w:r w:rsidR="00C521BD" w:rsidRPr="00D57D39">
        <w:rPr>
          <w:rFonts w:ascii="Arial" w:hAnsi="Arial" w:cs="Arial"/>
          <w:lang w:val="en-US"/>
        </w:rPr>
        <w:t>, the plaintiff, Absa, sue</w:t>
      </w:r>
      <w:r w:rsidR="00B92399" w:rsidRPr="00D57D39">
        <w:rPr>
          <w:rFonts w:ascii="Arial" w:hAnsi="Arial" w:cs="Arial"/>
          <w:lang w:val="en-US"/>
        </w:rPr>
        <w:t>d</w:t>
      </w:r>
      <w:r w:rsidR="00C521BD" w:rsidRPr="00D57D39">
        <w:rPr>
          <w:rFonts w:ascii="Arial" w:hAnsi="Arial" w:cs="Arial"/>
          <w:lang w:val="en-US"/>
        </w:rPr>
        <w:t xml:space="preserve"> the defendants for an amount of R266 312.42 plus interest</w:t>
      </w:r>
      <w:r w:rsidR="00081357" w:rsidRPr="00D57D39">
        <w:rPr>
          <w:rFonts w:ascii="Arial" w:hAnsi="Arial" w:cs="Arial"/>
          <w:lang w:val="en-US"/>
        </w:rPr>
        <w:t xml:space="preserve"> – </w:t>
      </w:r>
      <w:r w:rsidR="00C521BD" w:rsidRPr="00D57D39">
        <w:rPr>
          <w:rFonts w:ascii="Arial" w:hAnsi="Arial" w:cs="Arial"/>
          <w:lang w:val="en-US"/>
        </w:rPr>
        <w:t>which it says is outstanding under</w:t>
      </w:r>
      <w:r w:rsidR="00495750" w:rsidRPr="00D57D39">
        <w:rPr>
          <w:rFonts w:ascii="Arial" w:hAnsi="Arial" w:cs="Arial"/>
          <w:lang w:val="en-US"/>
        </w:rPr>
        <w:t xml:space="preserve"> the defendants’ </w:t>
      </w:r>
      <w:r w:rsidR="00407701" w:rsidRPr="00D57D39">
        <w:rPr>
          <w:rFonts w:ascii="Arial" w:hAnsi="Arial" w:cs="Arial"/>
          <w:lang w:val="en-US"/>
        </w:rPr>
        <w:t>mortgage bond</w:t>
      </w:r>
      <w:r w:rsidR="00081357" w:rsidRPr="00D57D39">
        <w:rPr>
          <w:rFonts w:ascii="Arial" w:hAnsi="Arial" w:cs="Arial"/>
          <w:lang w:val="en-US"/>
        </w:rPr>
        <w:t xml:space="preserve"> – </w:t>
      </w:r>
      <w:r w:rsidR="00C521BD" w:rsidRPr="00D57D39">
        <w:rPr>
          <w:rFonts w:ascii="Arial" w:hAnsi="Arial" w:cs="Arial"/>
          <w:lang w:val="en-US"/>
        </w:rPr>
        <w:t>as well as for an order declaring the mortgaged property specially executable.</w:t>
      </w:r>
      <w:r w:rsidR="00B92399" w:rsidRPr="00D57D39">
        <w:rPr>
          <w:rFonts w:ascii="Arial" w:hAnsi="Arial" w:cs="Arial"/>
          <w:lang w:val="en-US"/>
        </w:rPr>
        <w:t xml:space="preserve"> </w:t>
      </w:r>
      <w:r w:rsidR="003C1D44" w:rsidRPr="00D57D39">
        <w:rPr>
          <w:rFonts w:ascii="Arial" w:hAnsi="Arial" w:cs="Arial"/>
          <w:lang w:val="en-US"/>
        </w:rPr>
        <w:t>It is common c</w:t>
      </w:r>
      <w:r w:rsidR="00407701" w:rsidRPr="00D57D39">
        <w:rPr>
          <w:rFonts w:ascii="Arial" w:hAnsi="Arial" w:cs="Arial"/>
          <w:lang w:val="en-US"/>
        </w:rPr>
        <w:t>au</w:t>
      </w:r>
      <w:r w:rsidR="003C1D44" w:rsidRPr="00D57D39">
        <w:rPr>
          <w:rFonts w:ascii="Arial" w:hAnsi="Arial" w:cs="Arial"/>
          <w:lang w:val="en-US"/>
        </w:rPr>
        <w:t>se that this is the second mortgage bond the defendants have taken out over the property.  The first was concluded in 1998</w:t>
      </w:r>
      <w:r w:rsidR="00407701" w:rsidRPr="00D57D39">
        <w:rPr>
          <w:rFonts w:ascii="Arial" w:hAnsi="Arial" w:cs="Arial"/>
          <w:lang w:val="en-US"/>
        </w:rPr>
        <w:t xml:space="preserve"> for an amount of R111 000, plus administration fees and interest, repayable over 240 months</w:t>
      </w:r>
      <w:r w:rsidR="00081357" w:rsidRPr="00D57D39">
        <w:rPr>
          <w:rFonts w:ascii="Arial" w:hAnsi="Arial" w:cs="Arial"/>
          <w:lang w:val="en-US"/>
        </w:rPr>
        <w:t xml:space="preserve"> (“the 1998 bond”)</w:t>
      </w:r>
      <w:r w:rsidR="00407701" w:rsidRPr="00D57D39">
        <w:rPr>
          <w:rFonts w:ascii="Arial" w:hAnsi="Arial" w:cs="Arial"/>
          <w:lang w:val="en-US"/>
        </w:rPr>
        <w:t xml:space="preserve">. </w:t>
      </w:r>
      <w:r w:rsidR="00081357" w:rsidRPr="00D57D39">
        <w:rPr>
          <w:rFonts w:ascii="Arial" w:hAnsi="Arial" w:cs="Arial"/>
          <w:lang w:val="en-US"/>
        </w:rPr>
        <w:t xml:space="preserve">The 1998 bond </w:t>
      </w:r>
      <w:r w:rsidR="003C1D44" w:rsidRPr="00D57D39">
        <w:rPr>
          <w:rFonts w:ascii="Arial" w:hAnsi="Arial" w:cs="Arial"/>
          <w:lang w:val="en-US"/>
        </w:rPr>
        <w:t>was novated</w:t>
      </w:r>
      <w:r w:rsidR="00407701" w:rsidRPr="00D57D39">
        <w:rPr>
          <w:rFonts w:ascii="Arial" w:hAnsi="Arial" w:cs="Arial"/>
          <w:lang w:val="en-US"/>
        </w:rPr>
        <w:t xml:space="preserve">, in November 2010, by the conclusion of the new mortgage bond, </w:t>
      </w:r>
      <w:r w:rsidR="007B3DD6" w:rsidRPr="00D57D39">
        <w:rPr>
          <w:rFonts w:ascii="Arial" w:hAnsi="Arial" w:cs="Arial"/>
          <w:lang w:val="en-US"/>
        </w:rPr>
        <w:t xml:space="preserve">for </w:t>
      </w:r>
      <w:r w:rsidR="00407701" w:rsidRPr="00D57D39">
        <w:rPr>
          <w:rFonts w:ascii="Arial" w:hAnsi="Arial" w:cs="Arial"/>
          <w:lang w:val="en-US"/>
        </w:rPr>
        <w:t xml:space="preserve">an </w:t>
      </w:r>
      <w:r w:rsidR="007B3DD6" w:rsidRPr="00D57D39">
        <w:rPr>
          <w:rFonts w:ascii="Arial" w:hAnsi="Arial" w:cs="Arial"/>
          <w:lang w:val="en-US"/>
        </w:rPr>
        <w:t xml:space="preserve">alleged </w:t>
      </w:r>
      <w:r w:rsidR="00407701" w:rsidRPr="00D57D39">
        <w:rPr>
          <w:rFonts w:ascii="Arial" w:hAnsi="Arial" w:cs="Arial"/>
          <w:lang w:val="en-US"/>
        </w:rPr>
        <w:t>amount of R252 095.19</w:t>
      </w:r>
      <w:r w:rsidR="007B3DD6" w:rsidRPr="00D57D39">
        <w:rPr>
          <w:rFonts w:ascii="Arial" w:hAnsi="Arial" w:cs="Arial"/>
          <w:lang w:val="en-US"/>
        </w:rPr>
        <w:t xml:space="preserve">, </w:t>
      </w:r>
      <w:r w:rsidR="00407701" w:rsidRPr="00D57D39">
        <w:rPr>
          <w:rFonts w:ascii="Arial" w:hAnsi="Arial" w:cs="Arial"/>
          <w:lang w:val="en-US"/>
        </w:rPr>
        <w:t>repayable over 240 months</w:t>
      </w:r>
      <w:r w:rsidR="00E8419E" w:rsidRPr="00D57D39">
        <w:rPr>
          <w:rFonts w:ascii="Arial" w:hAnsi="Arial" w:cs="Arial"/>
          <w:lang w:val="en-US"/>
        </w:rPr>
        <w:t xml:space="preserve"> from that time</w:t>
      </w:r>
      <w:r w:rsidR="00081357" w:rsidRPr="00D57D39">
        <w:rPr>
          <w:rFonts w:ascii="Arial" w:hAnsi="Arial" w:cs="Arial"/>
          <w:lang w:val="en-US"/>
        </w:rPr>
        <w:t xml:space="preserve"> (“the current bond”)</w:t>
      </w:r>
      <w:r w:rsidR="00407701" w:rsidRPr="00D57D39">
        <w:rPr>
          <w:rFonts w:ascii="Arial" w:hAnsi="Arial" w:cs="Arial"/>
          <w:lang w:val="en-US"/>
        </w:rPr>
        <w:t xml:space="preserve">. That is the </w:t>
      </w:r>
      <w:r w:rsidR="0057571C" w:rsidRPr="00D57D39">
        <w:rPr>
          <w:rFonts w:ascii="Arial" w:hAnsi="Arial" w:cs="Arial"/>
          <w:lang w:val="en-US"/>
        </w:rPr>
        <w:t>loan</w:t>
      </w:r>
      <w:r w:rsidR="00081357" w:rsidRPr="00D57D39">
        <w:rPr>
          <w:rFonts w:ascii="Arial" w:hAnsi="Arial" w:cs="Arial"/>
          <w:lang w:val="en-US"/>
        </w:rPr>
        <w:t xml:space="preserve"> agreement </w:t>
      </w:r>
      <w:r w:rsidR="00407701" w:rsidRPr="00D57D39">
        <w:rPr>
          <w:rFonts w:ascii="Arial" w:hAnsi="Arial" w:cs="Arial"/>
          <w:lang w:val="en-US"/>
        </w:rPr>
        <w:t xml:space="preserve">relied upon </w:t>
      </w:r>
      <w:r w:rsidR="00081357" w:rsidRPr="00D57D39">
        <w:rPr>
          <w:rFonts w:ascii="Arial" w:hAnsi="Arial" w:cs="Arial"/>
          <w:lang w:val="en-US"/>
        </w:rPr>
        <w:t xml:space="preserve">by Absa </w:t>
      </w:r>
      <w:r w:rsidR="00407701" w:rsidRPr="00D57D39">
        <w:rPr>
          <w:rFonts w:ascii="Arial" w:hAnsi="Arial" w:cs="Arial"/>
          <w:lang w:val="en-US"/>
        </w:rPr>
        <w:t xml:space="preserve">to found </w:t>
      </w:r>
      <w:r w:rsidR="007B3DD6" w:rsidRPr="00D57D39">
        <w:rPr>
          <w:rFonts w:ascii="Arial" w:hAnsi="Arial" w:cs="Arial"/>
          <w:lang w:val="en-US"/>
        </w:rPr>
        <w:t xml:space="preserve">its </w:t>
      </w:r>
      <w:r w:rsidR="00407701" w:rsidRPr="00D57D39">
        <w:rPr>
          <w:rFonts w:ascii="Arial" w:hAnsi="Arial" w:cs="Arial"/>
          <w:lang w:val="en-US"/>
        </w:rPr>
        <w:t>claim.</w:t>
      </w:r>
    </w:p>
    <w:p w14:paraId="5917D933" w14:textId="77777777" w:rsidR="00B92399" w:rsidRPr="00334A5F" w:rsidRDefault="00B92399" w:rsidP="00E414EE">
      <w:pPr>
        <w:pStyle w:val="ListParagraph"/>
        <w:spacing w:line="360" w:lineRule="auto"/>
        <w:jc w:val="both"/>
        <w:rPr>
          <w:rFonts w:ascii="Arial" w:hAnsi="Arial" w:cs="Arial"/>
          <w:lang w:val="en-US"/>
        </w:rPr>
      </w:pPr>
    </w:p>
    <w:p w14:paraId="7B76E768" w14:textId="0EFB72E2" w:rsidR="00C521BD"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2.</w:t>
      </w:r>
      <w:r w:rsidRPr="00334A5F">
        <w:rPr>
          <w:rFonts w:ascii="Arial" w:hAnsi="Arial" w:cs="Arial"/>
          <w:lang w:val="en-US"/>
        </w:rPr>
        <w:tab/>
      </w:r>
      <w:r w:rsidR="00C521BD" w:rsidRPr="00D57D39">
        <w:rPr>
          <w:rFonts w:ascii="Arial" w:hAnsi="Arial" w:cs="Arial"/>
          <w:lang w:val="en-US"/>
        </w:rPr>
        <w:t>The defendants</w:t>
      </w:r>
      <w:r w:rsidR="00081357" w:rsidRPr="00D57D39">
        <w:rPr>
          <w:rFonts w:ascii="Arial" w:hAnsi="Arial" w:cs="Arial"/>
          <w:lang w:val="en-US"/>
        </w:rPr>
        <w:t xml:space="preserve"> filed a notice of </w:t>
      </w:r>
      <w:r w:rsidR="00C521BD" w:rsidRPr="00D57D39">
        <w:rPr>
          <w:rFonts w:ascii="Arial" w:hAnsi="Arial" w:cs="Arial"/>
          <w:lang w:val="en-US"/>
        </w:rPr>
        <w:t>intention to defend</w:t>
      </w:r>
      <w:r w:rsidR="00081357" w:rsidRPr="00D57D39">
        <w:rPr>
          <w:rFonts w:ascii="Arial" w:hAnsi="Arial" w:cs="Arial"/>
          <w:lang w:val="en-US"/>
        </w:rPr>
        <w:t xml:space="preserve"> the action in August 2020</w:t>
      </w:r>
      <w:r w:rsidR="003C1D44" w:rsidRPr="00D57D39">
        <w:rPr>
          <w:rFonts w:ascii="Arial" w:hAnsi="Arial" w:cs="Arial"/>
          <w:lang w:val="en-US"/>
        </w:rPr>
        <w:t xml:space="preserve">. </w:t>
      </w:r>
      <w:r w:rsidR="00081357" w:rsidRPr="00D57D39">
        <w:rPr>
          <w:rFonts w:ascii="Arial" w:hAnsi="Arial" w:cs="Arial"/>
          <w:lang w:val="en-US"/>
        </w:rPr>
        <w:t>T</w:t>
      </w:r>
      <w:r w:rsidR="003C1D44" w:rsidRPr="00D57D39">
        <w:rPr>
          <w:rFonts w:ascii="Arial" w:hAnsi="Arial" w:cs="Arial"/>
          <w:lang w:val="en-US"/>
        </w:rPr>
        <w:t>hey</w:t>
      </w:r>
      <w:r w:rsidR="00081357" w:rsidRPr="00D57D39">
        <w:rPr>
          <w:rFonts w:ascii="Arial" w:hAnsi="Arial" w:cs="Arial"/>
          <w:lang w:val="en-US"/>
        </w:rPr>
        <w:t xml:space="preserve"> then</w:t>
      </w:r>
      <w:r w:rsidR="003C1D44" w:rsidRPr="00D57D39">
        <w:rPr>
          <w:rFonts w:ascii="Arial" w:hAnsi="Arial" w:cs="Arial"/>
          <w:lang w:val="en-US"/>
        </w:rPr>
        <w:t xml:space="preserve"> served</w:t>
      </w:r>
      <w:r w:rsidR="00C521BD" w:rsidRPr="00D57D39">
        <w:rPr>
          <w:rFonts w:ascii="Arial" w:hAnsi="Arial" w:cs="Arial"/>
          <w:lang w:val="en-US"/>
        </w:rPr>
        <w:t xml:space="preserve"> a notice to remove cause of complaint, which triggered an amendment to the particulars of claim on Absa’s part</w:t>
      </w:r>
      <w:r w:rsidR="00407701" w:rsidRPr="00D57D39">
        <w:rPr>
          <w:rFonts w:ascii="Arial" w:hAnsi="Arial" w:cs="Arial"/>
          <w:lang w:val="en-US"/>
        </w:rPr>
        <w:t>. The amendment was effected in November 2020</w:t>
      </w:r>
      <w:r w:rsidR="00C521BD" w:rsidRPr="00D57D39">
        <w:rPr>
          <w:rFonts w:ascii="Arial" w:hAnsi="Arial" w:cs="Arial"/>
          <w:lang w:val="en-US"/>
        </w:rPr>
        <w:t>.</w:t>
      </w:r>
    </w:p>
    <w:p w14:paraId="1B9867CF" w14:textId="77777777" w:rsidR="00C521BD" w:rsidRPr="00334A5F" w:rsidRDefault="00C521BD" w:rsidP="00E414EE">
      <w:pPr>
        <w:pStyle w:val="ListParagraph"/>
        <w:spacing w:line="360" w:lineRule="auto"/>
        <w:jc w:val="both"/>
        <w:rPr>
          <w:rFonts w:ascii="Arial" w:hAnsi="Arial" w:cs="Arial"/>
          <w:lang w:val="en-US"/>
        </w:rPr>
      </w:pPr>
    </w:p>
    <w:p w14:paraId="1EB8A7AD" w14:textId="3A8BC867" w:rsidR="00B92399"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3.</w:t>
      </w:r>
      <w:r w:rsidRPr="00334A5F">
        <w:rPr>
          <w:rFonts w:ascii="Arial" w:hAnsi="Arial" w:cs="Arial"/>
          <w:lang w:val="en-US"/>
        </w:rPr>
        <w:tab/>
      </w:r>
      <w:r w:rsidR="00081357" w:rsidRPr="00D57D39">
        <w:rPr>
          <w:rFonts w:ascii="Arial" w:hAnsi="Arial" w:cs="Arial"/>
          <w:lang w:val="en-US"/>
        </w:rPr>
        <w:t>During December 2020, w</w:t>
      </w:r>
      <w:r w:rsidR="00C521BD" w:rsidRPr="00D57D39">
        <w:rPr>
          <w:rFonts w:ascii="Arial" w:hAnsi="Arial" w:cs="Arial"/>
          <w:lang w:val="en-US"/>
        </w:rPr>
        <w:t xml:space="preserve">hen the defendants </w:t>
      </w:r>
      <w:r w:rsidR="00081357" w:rsidRPr="00D57D39">
        <w:rPr>
          <w:rFonts w:ascii="Arial" w:hAnsi="Arial" w:cs="Arial"/>
          <w:lang w:val="en-US"/>
        </w:rPr>
        <w:t xml:space="preserve">had </w:t>
      </w:r>
      <w:r w:rsidR="00C521BD" w:rsidRPr="00D57D39">
        <w:rPr>
          <w:rFonts w:ascii="Arial" w:hAnsi="Arial" w:cs="Arial"/>
          <w:lang w:val="en-US"/>
        </w:rPr>
        <w:t>failed to file a plea to the amended particulars of claim, Absa served a notice of bar. In response, the defendants filed a further notice to remove cause of complaint. Absa objected to that notice</w:t>
      </w:r>
      <w:r w:rsidR="00B92399" w:rsidRPr="00D57D39">
        <w:rPr>
          <w:rFonts w:ascii="Arial" w:hAnsi="Arial" w:cs="Arial"/>
          <w:lang w:val="en-US"/>
        </w:rPr>
        <w:t xml:space="preserve"> on two grounds: first that</w:t>
      </w:r>
      <w:r w:rsidR="0057571C" w:rsidRPr="00D57D39">
        <w:rPr>
          <w:rFonts w:ascii="Arial" w:hAnsi="Arial" w:cs="Arial"/>
          <w:lang w:val="en-US"/>
        </w:rPr>
        <w:t>, in breach of Rule 23,</w:t>
      </w:r>
      <w:r w:rsidR="00B92399" w:rsidRPr="00D57D39">
        <w:rPr>
          <w:rFonts w:ascii="Arial" w:hAnsi="Arial" w:cs="Arial"/>
          <w:lang w:val="en-US"/>
        </w:rPr>
        <w:t xml:space="preserve"> it was served more than 10 days after the amendment was effecte</w:t>
      </w:r>
      <w:r w:rsidR="0057571C" w:rsidRPr="00D57D39">
        <w:rPr>
          <w:rFonts w:ascii="Arial" w:hAnsi="Arial" w:cs="Arial"/>
          <w:lang w:val="en-US"/>
        </w:rPr>
        <w:t>d,</w:t>
      </w:r>
      <w:r w:rsidR="00B92399" w:rsidRPr="00D57D39">
        <w:rPr>
          <w:rFonts w:ascii="Arial" w:hAnsi="Arial" w:cs="Arial"/>
          <w:lang w:val="en-US"/>
        </w:rPr>
        <w:t xml:space="preserve"> and second, that it was not followed by a notice of exception, as required.  </w:t>
      </w:r>
    </w:p>
    <w:p w14:paraId="2D05476E" w14:textId="77777777" w:rsidR="00B92399" w:rsidRPr="00334A5F" w:rsidRDefault="00B92399" w:rsidP="00E414EE">
      <w:pPr>
        <w:pStyle w:val="ListParagraph"/>
        <w:spacing w:line="360" w:lineRule="auto"/>
        <w:jc w:val="both"/>
        <w:rPr>
          <w:rFonts w:ascii="Arial" w:hAnsi="Arial" w:cs="Arial"/>
          <w:lang w:val="en-US"/>
        </w:rPr>
      </w:pPr>
    </w:p>
    <w:p w14:paraId="55439CF8" w14:textId="57AC1230" w:rsidR="003C1D44"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4.</w:t>
      </w:r>
      <w:r w:rsidRPr="00334A5F">
        <w:rPr>
          <w:rFonts w:ascii="Arial" w:hAnsi="Arial" w:cs="Arial"/>
          <w:lang w:val="en-US"/>
        </w:rPr>
        <w:tab/>
      </w:r>
      <w:r w:rsidR="003C1D44" w:rsidRPr="00D57D39">
        <w:rPr>
          <w:rFonts w:ascii="Arial" w:hAnsi="Arial" w:cs="Arial"/>
          <w:lang w:val="en-US"/>
        </w:rPr>
        <w:t>In March 2021, t</w:t>
      </w:r>
      <w:r w:rsidR="00B92399" w:rsidRPr="00D57D39">
        <w:rPr>
          <w:rFonts w:ascii="Arial" w:hAnsi="Arial" w:cs="Arial"/>
          <w:lang w:val="en-US"/>
        </w:rPr>
        <w:t>he defendants withdrew the notice to remove cause of complaint and, in</w:t>
      </w:r>
      <w:r w:rsidR="003C1D44" w:rsidRPr="00D57D39">
        <w:rPr>
          <w:rFonts w:ascii="Arial" w:hAnsi="Arial" w:cs="Arial"/>
          <w:lang w:val="en-US"/>
        </w:rPr>
        <w:t xml:space="preserve"> May 2021, they caused a notice in terms of Rule 35(14) to be served. It called on Absa to provide them with “</w:t>
      </w:r>
      <w:r w:rsidR="003C1D44" w:rsidRPr="00D57D39">
        <w:rPr>
          <w:rFonts w:ascii="Arial" w:hAnsi="Arial" w:cs="Arial"/>
          <w:i/>
          <w:iCs/>
          <w:lang w:val="en-US"/>
        </w:rPr>
        <w:t xml:space="preserve">full mortgage bond statements detailing instalments and interest paid” </w:t>
      </w:r>
      <w:r w:rsidR="003C1D44" w:rsidRPr="00D57D39">
        <w:rPr>
          <w:rFonts w:ascii="Arial" w:hAnsi="Arial" w:cs="Arial"/>
          <w:lang w:val="en-US"/>
        </w:rPr>
        <w:t>on their loan account in respect of the property, from 1998 (being inception of the first bond) to April 2021</w:t>
      </w:r>
      <w:r w:rsidR="0057571C" w:rsidRPr="00D57D39">
        <w:rPr>
          <w:rFonts w:ascii="Arial" w:hAnsi="Arial" w:cs="Arial"/>
          <w:lang w:val="en-US"/>
        </w:rPr>
        <w:t xml:space="preserve"> (</w:t>
      </w:r>
      <w:r w:rsidR="003C1D44" w:rsidRPr="00D57D39">
        <w:rPr>
          <w:rFonts w:ascii="Arial" w:hAnsi="Arial" w:cs="Arial"/>
          <w:lang w:val="en-US"/>
        </w:rPr>
        <w:t xml:space="preserve">the </w:t>
      </w:r>
      <w:r w:rsidR="007B3DD6" w:rsidRPr="00D57D39">
        <w:rPr>
          <w:rFonts w:ascii="Arial" w:hAnsi="Arial" w:cs="Arial"/>
          <w:lang w:val="en-US"/>
        </w:rPr>
        <w:t xml:space="preserve">last full </w:t>
      </w:r>
      <w:r w:rsidR="003C1D44" w:rsidRPr="00D57D39">
        <w:rPr>
          <w:rFonts w:ascii="Arial" w:hAnsi="Arial" w:cs="Arial"/>
          <w:lang w:val="en-US"/>
        </w:rPr>
        <w:t>month before the notice was served</w:t>
      </w:r>
      <w:r w:rsidR="0057571C" w:rsidRPr="00D57D39">
        <w:rPr>
          <w:rFonts w:ascii="Arial" w:hAnsi="Arial" w:cs="Arial"/>
          <w:lang w:val="en-US"/>
        </w:rPr>
        <w:t xml:space="preserve">), </w:t>
      </w:r>
      <w:r w:rsidR="00407701" w:rsidRPr="00D57D39">
        <w:rPr>
          <w:rFonts w:ascii="Arial" w:hAnsi="Arial" w:cs="Arial"/>
          <w:lang w:val="en-US"/>
        </w:rPr>
        <w:t>to enable them to plead to the claim.</w:t>
      </w:r>
    </w:p>
    <w:p w14:paraId="70773B02" w14:textId="77777777" w:rsidR="00407701" w:rsidRPr="00334A5F" w:rsidRDefault="00407701" w:rsidP="00E414EE">
      <w:pPr>
        <w:pStyle w:val="ListParagraph"/>
        <w:spacing w:line="360" w:lineRule="auto"/>
        <w:rPr>
          <w:rFonts w:ascii="Arial" w:hAnsi="Arial" w:cs="Arial"/>
          <w:lang w:val="en-US"/>
        </w:rPr>
      </w:pPr>
    </w:p>
    <w:p w14:paraId="245B974E" w14:textId="620588EC" w:rsidR="0024543B"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lastRenderedPageBreak/>
        <w:t>5.</w:t>
      </w:r>
      <w:r w:rsidRPr="00334A5F">
        <w:rPr>
          <w:rFonts w:ascii="Arial" w:hAnsi="Arial" w:cs="Arial"/>
          <w:lang w:val="en-US"/>
        </w:rPr>
        <w:tab/>
      </w:r>
      <w:r w:rsidR="00407701" w:rsidRPr="00D57D39">
        <w:rPr>
          <w:rFonts w:ascii="Arial" w:hAnsi="Arial" w:cs="Arial"/>
          <w:lang w:val="en-US"/>
        </w:rPr>
        <w:t xml:space="preserve">Absa objected to the notice on the basis that </w:t>
      </w:r>
      <w:r w:rsidR="0024543B" w:rsidRPr="00D57D39">
        <w:rPr>
          <w:rFonts w:ascii="Arial" w:hAnsi="Arial" w:cs="Arial"/>
          <w:lang w:val="en-US"/>
        </w:rPr>
        <w:t>Rule 35(14) permits a party to call for discovery for the purposes of pleading, and the defendants were already barred</w:t>
      </w:r>
      <w:r w:rsidR="0057571C" w:rsidRPr="00D57D39">
        <w:rPr>
          <w:rFonts w:ascii="Arial" w:hAnsi="Arial" w:cs="Arial"/>
          <w:lang w:val="en-US"/>
        </w:rPr>
        <w:t xml:space="preserve"> from pleading as a consequence of the December 2020 notice of bar</w:t>
      </w:r>
      <w:r w:rsidR="0024543B" w:rsidRPr="00D57D39">
        <w:rPr>
          <w:rFonts w:ascii="Arial" w:hAnsi="Arial" w:cs="Arial"/>
          <w:lang w:val="en-US"/>
        </w:rPr>
        <w:t>. The notice also recorded Absa’s view that the defendants did not require the mortgage statements for the purposes of pleading.</w:t>
      </w:r>
      <w:r w:rsidR="0057571C" w:rsidRPr="00D57D39">
        <w:rPr>
          <w:rFonts w:ascii="Arial" w:hAnsi="Arial" w:cs="Arial"/>
          <w:lang w:val="en-US"/>
        </w:rPr>
        <w:t xml:space="preserve"> Absa contended that the Rule 35(14) notice was accordingly irregular.</w:t>
      </w:r>
    </w:p>
    <w:p w14:paraId="68C85883" w14:textId="77777777" w:rsidR="0024543B" w:rsidRPr="00334A5F" w:rsidRDefault="0024543B" w:rsidP="00E414EE">
      <w:pPr>
        <w:pStyle w:val="ListParagraph"/>
        <w:spacing w:line="360" w:lineRule="auto"/>
        <w:rPr>
          <w:rFonts w:ascii="Arial" w:hAnsi="Arial" w:cs="Arial"/>
          <w:lang w:val="en-US"/>
        </w:rPr>
      </w:pPr>
    </w:p>
    <w:p w14:paraId="33940981" w14:textId="650B1D99" w:rsidR="005A3762"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6.</w:t>
      </w:r>
      <w:r w:rsidRPr="00334A5F">
        <w:rPr>
          <w:rFonts w:ascii="Arial" w:hAnsi="Arial" w:cs="Arial"/>
          <w:lang w:val="en-US"/>
        </w:rPr>
        <w:tab/>
      </w:r>
      <w:r w:rsidR="0024543B" w:rsidRPr="00D57D39">
        <w:rPr>
          <w:rFonts w:ascii="Arial" w:hAnsi="Arial" w:cs="Arial"/>
          <w:lang w:val="en-US"/>
        </w:rPr>
        <w:t xml:space="preserve">The defendants then brought an application to uplift the bar against them, and for leave to file a plea. That matter came before </w:t>
      </w:r>
      <w:r w:rsidR="00ED3262" w:rsidRPr="00D57D39">
        <w:rPr>
          <w:rFonts w:ascii="Arial" w:hAnsi="Arial" w:cs="Arial"/>
          <w:lang w:val="en-US"/>
        </w:rPr>
        <w:t>Mr.</w:t>
      </w:r>
      <w:r w:rsidR="0024543B" w:rsidRPr="00D57D39">
        <w:rPr>
          <w:rFonts w:ascii="Arial" w:hAnsi="Arial" w:cs="Arial"/>
          <w:lang w:val="en-US"/>
        </w:rPr>
        <w:t xml:space="preserve"> Justice Vally on 25 April 2022</w:t>
      </w:r>
      <w:r w:rsidR="0057571C" w:rsidRPr="00D57D39">
        <w:rPr>
          <w:rFonts w:ascii="Arial" w:hAnsi="Arial" w:cs="Arial"/>
          <w:lang w:val="en-US"/>
        </w:rPr>
        <w:t xml:space="preserve">, who </w:t>
      </w:r>
      <w:r w:rsidR="0024543B" w:rsidRPr="00D57D39">
        <w:rPr>
          <w:rFonts w:ascii="Arial" w:hAnsi="Arial" w:cs="Arial"/>
          <w:lang w:val="en-US"/>
        </w:rPr>
        <w:t xml:space="preserve">uplifted the </w:t>
      </w:r>
      <w:r w:rsidR="0057571C" w:rsidRPr="00D57D39">
        <w:rPr>
          <w:rFonts w:ascii="Arial" w:hAnsi="Arial" w:cs="Arial"/>
          <w:lang w:val="en-US"/>
        </w:rPr>
        <w:t>b</w:t>
      </w:r>
      <w:r w:rsidR="0024543B" w:rsidRPr="00D57D39">
        <w:rPr>
          <w:rFonts w:ascii="Arial" w:hAnsi="Arial" w:cs="Arial"/>
          <w:lang w:val="en-US"/>
        </w:rPr>
        <w:t xml:space="preserve">ar, and granted the defendants leave to file a plea within 5 days of receipt of the order.  </w:t>
      </w:r>
    </w:p>
    <w:p w14:paraId="513D605F" w14:textId="77777777" w:rsidR="005A3762" w:rsidRPr="00334A5F" w:rsidRDefault="005A3762" w:rsidP="00E414EE">
      <w:pPr>
        <w:pStyle w:val="ListParagraph"/>
        <w:spacing w:line="360" w:lineRule="auto"/>
        <w:rPr>
          <w:rFonts w:ascii="Arial" w:hAnsi="Arial" w:cs="Arial"/>
          <w:lang w:val="en-US"/>
        </w:rPr>
      </w:pPr>
    </w:p>
    <w:p w14:paraId="64FA66A6" w14:textId="1F2F548B" w:rsidR="0024543B"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7.</w:t>
      </w:r>
      <w:r w:rsidRPr="00334A5F">
        <w:rPr>
          <w:rFonts w:ascii="Arial" w:hAnsi="Arial" w:cs="Arial"/>
          <w:lang w:val="en-US"/>
        </w:rPr>
        <w:tab/>
      </w:r>
      <w:r w:rsidR="0024543B" w:rsidRPr="00D57D39">
        <w:rPr>
          <w:rFonts w:ascii="Arial" w:hAnsi="Arial" w:cs="Arial"/>
          <w:lang w:val="en-US"/>
        </w:rPr>
        <w:t xml:space="preserve">A plea was delivered </w:t>
      </w:r>
      <w:r w:rsidR="00AE62DF" w:rsidRPr="00D57D39">
        <w:rPr>
          <w:rFonts w:ascii="Arial" w:hAnsi="Arial" w:cs="Arial"/>
          <w:lang w:val="en-US"/>
        </w:rPr>
        <w:t xml:space="preserve">on about 4 May 2022. Among others, </w:t>
      </w:r>
      <w:r w:rsidR="007C235E" w:rsidRPr="00D57D39">
        <w:rPr>
          <w:rFonts w:ascii="Arial" w:hAnsi="Arial" w:cs="Arial"/>
          <w:lang w:val="en-US"/>
        </w:rPr>
        <w:t xml:space="preserve">it denies that Absa loaned the defendants the amount claimed, and avers that Absa, impermissibly and in breach of the National Credit Act, charged the </w:t>
      </w:r>
      <w:r w:rsidR="005A3762" w:rsidRPr="00D57D39">
        <w:rPr>
          <w:rFonts w:ascii="Arial" w:hAnsi="Arial" w:cs="Arial"/>
          <w:lang w:val="en-US"/>
        </w:rPr>
        <w:t>defendants interest in respect of the full 240 month period of the 1998 bond and incorporated that amount into the amount allegedly advanced under the current bond – even though the 1998 bond was novated in 2010, at a stage when the defendants had made 144 months’ worth of payments. The defendants consequently dispute both the total amount claimed and the arrears alleged against them.</w:t>
      </w:r>
    </w:p>
    <w:p w14:paraId="27BD13CE" w14:textId="77777777" w:rsidR="005A3762" w:rsidRPr="00334A5F" w:rsidRDefault="005A3762" w:rsidP="00E414EE">
      <w:pPr>
        <w:pStyle w:val="ListParagraph"/>
        <w:spacing w:line="360" w:lineRule="auto"/>
        <w:rPr>
          <w:rFonts w:ascii="Arial" w:hAnsi="Arial" w:cs="Arial"/>
          <w:lang w:val="en-US"/>
        </w:rPr>
      </w:pPr>
    </w:p>
    <w:p w14:paraId="6CF9018B" w14:textId="08C273DE" w:rsidR="005A3762"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8.</w:t>
      </w:r>
      <w:r w:rsidRPr="00334A5F">
        <w:rPr>
          <w:rFonts w:ascii="Arial" w:hAnsi="Arial" w:cs="Arial"/>
          <w:lang w:val="en-US"/>
        </w:rPr>
        <w:tab/>
      </w:r>
      <w:r w:rsidR="00D75D4B" w:rsidRPr="00D57D39">
        <w:rPr>
          <w:rFonts w:ascii="Arial" w:hAnsi="Arial" w:cs="Arial"/>
          <w:lang w:val="en-US"/>
        </w:rPr>
        <w:t>Following the close of pleadings, the parties each pursued their own next steps.  Absa applied for summary judgment, and the defendants have filed an affidavit resisting the grant thereof. For their part, the defendant</w:t>
      </w:r>
      <w:r w:rsidR="007B3DD6" w:rsidRPr="00D57D39">
        <w:rPr>
          <w:rFonts w:ascii="Arial" w:hAnsi="Arial" w:cs="Arial"/>
          <w:lang w:val="en-US"/>
        </w:rPr>
        <w:t>s</w:t>
      </w:r>
      <w:r w:rsidR="00D75D4B" w:rsidRPr="00D57D39">
        <w:rPr>
          <w:rFonts w:ascii="Arial" w:hAnsi="Arial" w:cs="Arial"/>
          <w:lang w:val="en-US"/>
        </w:rPr>
        <w:t xml:space="preserve"> brought an application to compel compliance with their Rule 35(14) notice. It is this latter application that is before me for determination.</w:t>
      </w:r>
    </w:p>
    <w:p w14:paraId="73AE75ED" w14:textId="77777777" w:rsidR="00D75D4B" w:rsidRPr="00334A5F" w:rsidRDefault="00D75D4B" w:rsidP="00E414EE">
      <w:pPr>
        <w:pStyle w:val="ListParagraph"/>
        <w:spacing w:line="360" w:lineRule="auto"/>
        <w:rPr>
          <w:rFonts w:ascii="Arial" w:hAnsi="Arial" w:cs="Arial"/>
          <w:lang w:val="en-US"/>
        </w:rPr>
      </w:pPr>
    </w:p>
    <w:p w14:paraId="7E85F254" w14:textId="2C5B403F" w:rsidR="00D75D4B" w:rsidRPr="00334A5F" w:rsidRDefault="007B3DD6" w:rsidP="00E414EE">
      <w:pPr>
        <w:spacing w:line="360" w:lineRule="auto"/>
        <w:jc w:val="both"/>
        <w:rPr>
          <w:rFonts w:ascii="Arial" w:hAnsi="Arial" w:cs="Arial"/>
          <w:b/>
          <w:bCs/>
          <w:lang w:val="en-US"/>
        </w:rPr>
      </w:pPr>
      <w:r w:rsidRPr="00334A5F">
        <w:rPr>
          <w:rFonts w:ascii="Arial" w:hAnsi="Arial" w:cs="Arial"/>
          <w:b/>
          <w:bCs/>
          <w:lang w:val="en-US"/>
        </w:rPr>
        <w:t xml:space="preserve">THE </w:t>
      </w:r>
      <w:r w:rsidR="004163B3" w:rsidRPr="00334A5F">
        <w:rPr>
          <w:rFonts w:ascii="Arial" w:hAnsi="Arial" w:cs="Arial"/>
          <w:b/>
          <w:bCs/>
          <w:lang w:val="en-US"/>
        </w:rPr>
        <w:t>RULE 35(14)</w:t>
      </w:r>
      <w:r w:rsidRPr="00334A5F">
        <w:rPr>
          <w:rFonts w:ascii="Arial" w:hAnsi="Arial" w:cs="Arial"/>
          <w:b/>
          <w:bCs/>
          <w:lang w:val="en-US"/>
        </w:rPr>
        <w:t xml:space="preserve"> APPLICATION</w:t>
      </w:r>
      <w:r w:rsidR="004163B3" w:rsidRPr="00334A5F">
        <w:rPr>
          <w:rFonts w:ascii="Arial" w:hAnsi="Arial" w:cs="Arial"/>
          <w:b/>
          <w:bCs/>
          <w:lang w:val="en-US"/>
        </w:rPr>
        <w:t xml:space="preserve"> </w:t>
      </w:r>
    </w:p>
    <w:p w14:paraId="7540CB23" w14:textId="77777777" w:rsidR="0024543B" w:rsidRPr="00334A5F" w:rsidRDefault="0024543B" w:rsidP="00E414EE">
      <w:pPr>
        <w:pStyle w:val="ListParagraph"/>
        <w:spacing w:line="360" w:lineRule="auto"/>
        <w:rPr>
          <w:rFonts w:ascii="Arial" w:hAnsi="Arial" w:cs="Arial"/>
          <w:lang w:val="en-US"/>
        </w:rPr>
      </w:pPr>
    </w:p>
    <w:p w14:paraId="172E75B9" w14:textId="4B2EFBF6" w:rsidR="0024543B"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9.</w:t>
      </w:r>
      <w:r w:rsidRPr="00334A5F">
        <w:rPr>
          <w:rFonts w:ascii="Arial" w:hAnsi="Arial" w:cs="Arial"/>
          <w:lang w:val="en-US"/>
        </w:rPr>
        <w:tab/>
      </w:r>
      <w:r w:rsidR="00AA0B8C" w:rsidRPr="00D57D39">
        <w:rPr>
          <w:rFonts w:ascii="Arial" w:hAnsi="Arial" w:cs="Arial"/>
          <w:lang w:val="en-US"/>
        </w:rPr>
        <w:t xml:space="preserve">As set out above, the Rule 35(14) notice, and the application to compel compliance with it, seek an order directing Absa to produce full mortgage bond statements, detailing instalments and interest paid, from inception of the 1998 bond to the date of the notice. </w:t>
      </w:r>
      <w:r w:rsidR="007D1D93" w:rsidRPr="00D57D39">
        <w:rPr>
          <w:rFonts w:ascii="Arial" w:hAnsi="Arial" w:cs="Arial"/>
          <w:lang w:val="en-US"/>
        </w:rPr>
        <w:t>The defendants allege, in their founding affidavit, that they require these documents in order</w:t>
      </w:r>
      <w:r w:rsidR="007B3DD6" w:rsidRPr="00D57D39">
        <w:rPr>
          <w:rFonts w:ascii="Arial" w:hAnsi="Arial" w:cs="Arial"/>
          <w:lang w:val="en-US"/>
        </w:rPr>
        <w:t xml:space="preserve"> to</w:t>
      </w:r>
      <w:r w:rsidR="007D1D93" w:rsidRPr="00D57D39">
        <w:rPr>
          <w:rFonts w:ascii="Arial" w:hAnsi="Arial" w:cs="Arial"/>
          <w:lang w:val="en-US"/>
        </w:rPr>
        <w:t xml:space="preserve"> particularise and substantiate their </w:t>
      </w:r>
      <w:r w:rsidR="007D1D93" w:rsidRPr="00D57D39">
        <w:rPr>
          <w:rFonts w:ascii="Arial" w:hAnsi="Arial" w:cs="Arial"/>
          <w:lang w:val="en-US"/>
        </w:rPr>
        <w:lastRenderedPageBreak/>
        <w:t>defences that Absa did not lawfully re</w:t>
      </w:r>
      <w:r w:rsidR="007B3DD6" w:rsidRPr="00D57D39">
        <w:rPr>
          <w:rFonts w:ascii="Arial" w:hAnsi="Arial" w:cs="Arial"/>
          <w:lang w:val="en-US"/>
        </w:rPr>
        <w:t>-</w:t>
      </w:r>
      <w:r w:rsidR="007D1D93" w:rsidRPr="00D57D39">
        <w:rPr>
          <w:rFonts w:ascii="Arial" w:hAnsi="Arial" w:cs="Arial"/>
          <w:lang w:val="en-US"/>
        </w:rPr>
        <w:t xml:space="preserve">calculate the amount owing under the 1998 bond </w:t>
      </w:r>
      <w:r w:rsidR="007B3DD6" w:rsidRPr="00D57D39">
        <w:rPr>
          <w:rFonts w:ascii="Arial" w:hAnsi="Arial" w:cs="Arial"/>
          <w:lang w:val="en-US"/>
        </w:rPr>
        <w:t xml:space="preserve">in accordance with </w:t>
      </w:r>
      <w:r w:rsidR="007D1D93" w:rsidRPr="00D57D39">
        <w:rPr>
          <w:rFonts w:ascii="Arial" w:hAnsi="Arial" w:cs="Arial"/>
          <w:lang w:val="en-US"/>
        </w:rPr>
        <w:t>the National Credit Act, and/or failed properly to quantify the amounts owing under the current bond.  They ask for discovery “</w:t>
      </w:r>
      <w:r w:rsidR="007D1D93" w:rsidRPr="00D57D39">
        <w:rPr>
          <w:rFonts w:ascii="Arial" w:hAnsi="Arial" w:cs="Arial"/>
          <w:i/>
          <w:iCs/>
          <w:lang w:val="en-US"/>
        </w:rPr>
        <w:t>to afford the Applicants/ defendants an opportunity to show that they do not owe the amounts claimed, at least not to the value claimed”</w:t>
      </w:r>
      <w:r w:rsidR="007D1D93" w:rsidRPr="00D57D39">
        <w:rPr>
          <w:rFonts w:ascii="Arial" w:hAnsi="Arial" w:cs="Arial"/>
          <w:lang w:val="en-US"/>
        </w:rPr>
        <w:t>.</w:t>
      </w:r>
    </w:p>
    <w:p w14:paraId="6841F30F" w14:textId="77777777" w:rsidR="007D1D93" w:rsidRPr="00334A5F" w:rsidRDefault="007D1D93" w:rsidP="00E414EE">
      <w:pPr>
        <w:pStyle w:val="ListParagraph"/>
        <w:spacing w:line="360" w:lineRule="auto"/>
        <w:jc w:val="both"/>
        <w:rPr>
          <w:rFonts w:ascii="Arial" w:hAnsi="Arial" w:cs="Arial"/>
          <w:lang w:val="en-US"/>
        </w:rPr>
      </w:pPr>
    </w:p>
    <w:p w14:paraId="71E5DD01" w14:textId="63579453" w:rsidR="007D1D93"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10.</w:t>
      </w:r>
      <w:r w:rsidRPr="00334A5F">
        <w:rPr>
          <w:rFonts w:ascii="Arial" w:hAnsi="Arial" w:cs="Arial"/>
          <w:lang w:val="en-US"/>
        </w:rPr>
        <w:tab/>
      </w:r>
      <w:r w:rsidR="00436330" w:rsidRPr="00D57D39">
        <w:rPr>
          <w:rFonts w:ascii="Arial" w:hAnsi="Arial" w:cs="Arial"/>
          <w:lang w:val="en-US"/>
        </w:rPr>
        <w:t>Absa opposes the application on two grounds:</w:t>
      </w:r>
    </w:p>
    <w:p w14:paraId="22796766" w14:textId="77777777" w:rsidR="00436330" w:rsidRPr="00334A5F" w:rsidRDefault="00436330" w:rsidP="00E414EE">
      <w:pPr>
        <w:pStyle w:val="ListParagraph"/>
        <w:spacing w:line="360" w:lineRule="auto"/>
        <w:rPr>
          <w:rFonts w:ascii="Arial" w:hAnsi="Arial" w:cs="Arial"/>
          <w:lang w:val="en-US"/>
        </w:rPr>
      </w:pPr>
    </w:p>
    <w:p w14:paraId="6D15C3E1" w14:textId="173D0EC6" w:rsidR="007B3DD6" w:rsidRPr="00D57D39" w:rsidRDefault="00D57D39" w:rsidP="00D57D39">
      <w:pPr>
        <w:tabs>
          <w:tab w:val="left" w:pos="1361"/>
        </w:tabs>
        <w:spacing w:line="360" w:lineRule="auto"/>
        <w:ind w:left="1361" w:hanging="794"/>
        <w:jc w:val="both"/>
        <w:rPr>
          <w:rFonts w:ascii="Arial" w:hAnsi="Arial" w:cs="Arial"/>
          <w:lang w:val="en-US"/>
        </w:rPr>
      </w:pPr>
      <w:r w:rsidRPr="00334A5F">
        <w:rPr>
          <w:rFonts w:ascii="Arial" w:hAnsi="Arial" w:cs="Arial"/>
          <w:lang w:val="en-US"/>
        </w:rPr>
        <w:t>10.1.</w:t>
      </w:r>
      <w:r w:rsidRPr="00334A5F">
        <w:rPr>
          <w:rFonts w:ascii="Arial" w:hAnsi="Arial" w:cs="Arial"/>
          <w:lang w:val="en-US"/>
        </w:rPr>
        <w:tab/>
      </w:r>
      <w:r w:rsidR="00436330" w:rsidRPr="00D57D39">
        <w:rPr>
          <w:rFonts w:ascii="Arial" w:hAnsi="Arial" w:cs="Arial"/>
          <w:lang w:val="en-US"/>
        </w:rPr>
        <w:t>First</w:t>
      </w:r>
      <w:r w:rsidR="00F2260B" w:rsidRPr="00D57D39">
        <w:rPr>
          <w:rFonts w:ascii="Arial" w:hAnsi="Arial" w:cs="Arial"/>
          <w:lang w:val="en-US"/>
        </w:rPr>
        <w:t xml:space="preserve">, </w:t>
      </w:r>
      <w:r w:rsidR="007B3DD6" w:rsidRPr="00D57D39">
        <w:rPr>
          <w:rFonts w:ascii="Arial" w:hAnsi="Arial" w:cs="Arial"/>
          <w:lang w:val="en-US"/>
        </w:rPr>
        <w:t xml:space="preserve">it says </w:t>
      </w:r>
      <w:r w:rsidR="00F2260B" w:rsidRPr="00D57D39">
        <w:rPr>
          <w:rFonts w:ascii="Arial" w:hAnsi="Arial" w:cs="Arial"/>
          <w:lang w:val="en-US"/>
        </w:rPr>
        <w:t>that the</w:t>
      </w:r>
      <w:r w:rsidR="007B3DD6" w:rsidRPr="00D57D39">
        <w:rPr>
          <w:rFonts w:ascii="Arial" w:hAnsi="Arial" w:cs="Arial"/>
          <w:lang w:val="en-US"/>
        </w:rPr>
        <w:t xml:space="preserve"> application is irregular because the defendants have not complied with Rule 30A in bringing it; and</w:t>
      </w:r>
    </w:p>
    <w:p w14:paraId="1CAB98F5" w14:textId="77777777" w:rsidR="007B3DD6" w:rsidRPr="00334A5F" w:rsidRDefault="007B3DD6" w:rsidP="007B3DD6">
      <w:pPr>
        <w:pStyle w:val="ListParagraph"/>
        <w:spacing w:line="360" w:lineRule="auto"/>
        <w:ind w:left="1361"/>
        <w:jc w:val="both"/>
        <w:rPr>
          <w:rFonts w:ascii="Arial" w:hAnsi="Arial" w:cs="Arial"/>
          <w:lang w:val="en-US"/>
        </w:rPr>
      </w:pPr>
    </w:p>
    <w:p w14:paraId="1ED52827" w14:textId="3DA3C683" w:rsidR="007B3DD6" w:rsidRPr="00D57D39" w:rsidRDefault="00D57D39" w:rsidP="00D57D39">
      <w:pPr>
        <w:tabs>
          <w:tab w:val="left" w:pos="1361"/>
        </w:tabs>
        <w:spacing w:line="360" w:lineRule="auto"/>
        <w:ind w:left="1361" w:hanging="794"/>
        <w:jc w:val="both"/>
        <w:rPr>
          <w:rFonts w:ascii="Arial" w:hAnsi="Arial" w:cs="Arial"/>
          <w:lang w:val="en-US"/>
        </w:rPr>
      </w:pPr>
      <w:r w:rsidRPr="00334A5F">
        <w:rPr>
          <w:rFonts w:ascii="Arial" w:hAnsi="Arial" w:cs="Arial"/>
          <w:lang w:val="en-US"/>
        </w:rPr>
        <w:t>10.2.</w:t>
      </w:r>
      <w:r w:rsidRPr="00334A5F">
        <w:rPr>
          <w:rFonts w:ascii="Arial" w:hAnsi="Arial" w:cs="Arial"/>
          <w:lang w:val="en-US"/>
        </w:rPr>
        <w:tab/>
      </w:r>
      <w:r w:rsidR="007B3DD6" w:rsidRPr="00D57D39">
        <w:rPr>
          <w:rFonts w:ascii="Arial" w:hAnsi="Arial" w:cs="Arial"/>
          <w:lang w:val="en-US"/>
        </w:rPr>
        <w:t xml:space="preserve">Second, they submit that the documents sought are not required for the purposes of pleading. This, they say, is evidenced by the fact that the defendants have in fact pleaded to the claim against them, </w:t>
      </w:r>
      <w:r w:rsidR="00BE7D52" w:rsidRPr="00D57D39">
        <w:rPr>
          <w:rFonts w:ascii="Arial" w:hAnsi="Arial" w:cs="Arial"/>
          <w:lang w:val="en-US"/>
        </w:rPr>
        <w:t>and have also filed</w:t>
      </w:r>
      <w:r w:rsidR="007B3DD6" w:rsidRPr="00D57D39">
        <w:rPr>
          <w:rFonts w:ascii="Arial" w:hAnsi="Arial" w:cs="Arial"/>
          <w:lang w:val="en-US"/>
        </w:rPr>
        <w:t xml:space="preserve"> an affidavit resisting summary judgment.</w:t>
      </w:r>
    </w:p>
    <w:p w14:paraId="727211C5" w14:textId="77777777" w:rsidR="007B3DD6" w:rsidRPr="00334A5F" w:rsidRDefault="007B3DD6" w:rsidP="007B3DD6">
      <w:pPr>
        <w:pStyle w:val="ListParagraph"/>
        <w:rPr>
          <w:rFonts w:ascii="Arial" w:hAnsi="Arial" w:cs="Arial"/>
          <w:lang w:val="en-US"/>
        </w:rPr>
      </w:pPr>
    </w:p>
    <w:p w14:paraId="3A3F3388" w14:textId="7124FEB4" w:rsidR="00596525"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11.</w:t>
      </w:r>
      <w:r w:rsidRPr="00334A5F">
        <w:rPr>
          <w:rFonts w:ascii="Arial" w:hAnsi="Arial" w:cs="Arial"/>
          <w:lang w:val="en-US"/>
        </w:rPr>
        <w:tab/>
      </w:r>
      <w:r w:rsidR="00596525" w:rsidRPr="00D57D39">
        <w:rPr>
          <w:rFonts w:ascii="Arial" w:hAnsi="Arial" w:cs="Arial"/>
          <w:lang w:val="en-US"/>
        </w:rPr>
        <w:t xml:space="preserve">In </w:t>
      </w:r>
      <w:r w:rsidR="001B3DB5" w:rsidRPr="00D57D39">
        <w:rPr>
          <w:rFonts w:ascii="Arial" w:hAnsi="Arial" w:cs="Arial"/>
          <w:lang w:val="en-US"/>
        </w:rPr>
        <w:t>respect of both submissions</w:t>
      </w:r>
      <w:r w:rsidR="00596525" w:rsidRPr="00D57D39">
        <w:rPr>
          <w:rFonts w:ascii="Arial" w:hAnsi="Arial" w:cs="Arial"/>
          <w:lang w:val="en-US"/>
        </w:rPr>
        <w:t xml:space="preserve">, </w:t>
      </w:r>
      <w:r w:rsidR="00ED3262" w:rsidRPr="00D57D39">
        <w:rPr>
          <w:rFonts w:ascii="Arial" w:hAnsi="Arial" w:cs="Arial"/>
          <w:lang w:val="en-US"/>
        </w:rPr>
        <w:t>Mr.</w:t>
      </w:r>
      <w:r w:rsidR="00596525" w:rsidRPr="00D57D39">
        <w:rPr>
          <w:rFonts w:ascii="Arial" w:hAnsi="Arial" w:cs="Arial"/>
          <w:lang w:val="en-US"/>
        </w:rPr>
        <w:t xml:space="preserve"> Shamase for the defendant placed particular reliance on the judgment in </w:t>
      </w:r>
      <w:r w:rsidR="00596525" w:rsidRPr="00D57D39">
        <w:rPr>
          <w:rFonts w:ascii="Arial" w:hAnsi="Arial" w:cs="Arial"/>
          <w:i/>
          <w:iCs/>
          <w:lang w:val="en-US"/>
        </w:rPr>
        <w:t>Potpale Investments (Pty) Ltd v Mkhize</w:t>
      </w:r>
      <w:r w:rsidR="00596525" w:rsidRPr="00D57D39">
        <w:rPr>
          <w:rFonts w:ascii="Arial" w:hAnsi="Arial" w:cs="Arial"/>
          <w:lang w:val="en-US"/>
        </w:rPr>
        <w:t>.</w:t>
      </w:r>
      <w:r w:rsidR="00596525" w:rsidRPr="00334A5F">
        <w:rPr>
          <w:rStyle w:val="FootnoteReference"/>
          <w:rFonts w:ascii="Arial" w:hAnsi="Arial" w:cs="Arial"/>
          <w:lang w:val="en-US"/>
        </w:rPr>
        <w:footnoteReference w:id="1"/>
      </w:r>
      <w:r w:rsidR="00596525" w:rsidRPr="00D57D39">
        <w:rPr>
          <w:rFonts w:ascii="Arial" w:hAnsi="Arial" w:cs="Arial"/>
          <w:lang w:val="en-US"/>
        </w:rPr>
        <w:t xml:space="preserve"> The question in that matter was whether a notice delivered in terms of Rule 35(12) and (14) prior to the service of a notice of bar suspended the time period in the notice of bar. The </w:t>
      </w:r>
      <w:r w:rsidR="001B3DB5" w:rsidRPr="00D57D39">
        <w:rPr>
          <w:rFonts w:ascii="Arial" w:hAnsi="Arial" w:cs="Arial"/>
          <w:lang w:val="en-US"/>
        </w:rPr>
        <w:t xml:space="preserve">High </w:t>
      </w:r>
      <w:r w:rsidR="00596525" w:rsidRPr="00D57D39">
        <w:rPr>
          <w:rFonts w:ascii="Arial" w:hAnsi="Arial" w:cs="Arial"/>
          <w:lang w:val="en-US"/>
        </w:rPr>
        <w:t>Court</w:t>
      </w:r>
      <w:r w:rsidR="001B3DB5" w:rsidRPr="00D57D39">
        <w:rPr>
          <w:rFonts w:ascii="Arial" w:hAnsi="Arial" w:cs="Arial"/>
          <w:lang w:val="en-US"/>
        </w:rPr>
        <w:t xml:space="preserve">, relying on an earlier decision in </w:t>
      </w:r>
      <w:r w:rsidR="001B3DB5" w:rsidRPr="00D57D39">
        <w:rPr>
          <w:rFonts w:ascii="Arial" w:hAnsi="Arial" w:cs="Arial"/>
          <w:i/>
          <w:iCs/>
        </w:rPr>
        <w:t>Hawker v Prudential Assurance Co of South Africa Ltd</w:t>
      </w:r>
      <w:r w:rsidR="001B3DB5" w:rsidRPr="00D57D39">
        <w:rPr>
          <w:rFonts w:ascii="Arial" w:hAnsi="Arial" w:cs="Arial"/>
        </w:rPr>
        <w:t>,</w:t>
      </w:r>
      <w:r w:rsidR="001B3DB5" w:rsidRPr="00334A5F">
        <w:rPr>
          <w:rStyle w:val="FootnoteReference"/>
          <w:rFonts w:ascii="Arial" w:hAnsi="Arial" w:cs="Arial"/>
        </w:rPr>
        <w:footnoteReference w:id="2"/>
      </w:r>
      <w:r w:rsidR="00596525" w:rsidRPr="00D57D39">
        <w:rPr>
          <w:rFonts w:ascii="Arial" w:hAnsi="Arial" w:cs="Arial"/>
          <w:lang w:val="en-US"/>
        </w:rPr>
        <w:t xml:space="preserve"> found that it did</w:t>
      </w:r>
      <w:r w:rsidR="006D17D7" w:rsidRPr="00D57D39">
        <w:rPr>
          <w:rFonts w:ascii="Arial" w:hAnsi="Arial" w:cs="Arial"/>
          <w:lang w:val="en-US"/>
        </w:rPr>
        <w:t xml:space="preserve"> </w:t>
      </w:r>
      <w:r w:rsidR="00596525" w:rsidRPr="00D57D39">
        <w:rPr>
          <w:rFonts w:ascii="Arial" w:hAnsi="Arial" w:cs="Arial"/>
          <w:lang w:val="en-US"/>
        </w:rPr>
        <w:t>n</w:t>
      </w:r>
      <w:r w:rsidR="006D17D7" w:rsidRPr="00D57D39">
        <w:rPr>
          <w:rFonts w:ascii="Arial" w:hAnsi="Arial" w:cs="Arial"/>
          <w:lang w:val="en-US"/>
        </w:rPr>
        <w:t>o</w:t>
      </w:r>
      <w:r w:rsidR="00596525" w:rsidRPr="00D57D39">
        <w:rPr>
          <w:rFonts w:ascii="Arial" w:hAnsi="Arial" w:cs="Arial"/>
          <w:lang w:val="en-US"/>
        </w:rPr>
        <w:t>t</w:t>
      </w:r>
      <w:r w:rsidR="006D17D7" w:rsidRPr="00D57D39">
        <w:rPr>
          <w:rFonts w:ascii="Arial" w:hAnsi="Arial" w:cs="Arial"/>
          <w:lang w:val="en-US"/>
        </w:rPr>
        <w:t xml:space="preserve">.  Gorven J (as he then was) </w:t>
      </w:r>
      <w:r w:rsidR="00A33EA7" w:rsidRPr="00D57D39">
        <w:rPr>
          <w:rFonts w:ascii="Arial" w:hAnsi="Arial" w:cs="Arial"/>
          <w:lang w:val="en-US"/>
        </w:rPr>
        <w:t>found</w:t>
      </w:r>
      <w:r w:rsidR="00596525" w:rsidRPr="00D57D39">
        <w:rPr>
          <w:rFonts w:ascii="Arial" w:hAnsi="Arial" w:cs="Arial"/>
          <w:lang w:val="en-US"/>
        </w:rPr>
        <w:t>:</w:t>
      </w:r>
      <w:r w:rsidR="006D17D7" w:rsidRPr="00334A5F">
        <w:rPr>
          <w:rStyle w:val="FootnoteReference"/>
          <w:rFonts w:ascii="Arial" w:hAnsi="Arial" w:cs="Arial"/>
          <w:lang w:val="en-US"/>
        </w:rPr>
        <w:footnoteReference w:id="3"/>
      </w:r>
    </w:p>
    <w:p w14:paraId="4D646974" w14:textId="270D1CCF" w:rsidR="006D17D7" w:rsidRPr="00334A5F" w:rsidRDefault="00596525" w:rsidP="006D17D7">
      <w:pPr>
        <w:pStyle w:val="lrpara"/>
        <w:ind w:left="1440"/>
        <w:jc w:val="both"/>
        <w:rPr>
          <w:rFonts w:ascii="Arial" w:hAnsi="Arial" w:cs="Arial"/>
        </w:rPr>
      </w:pPr>
      <w:r w:rsidRPr="00334A5F">
        <w:rPr>
          <w:rFonts w:ascii="Arial" w:hAnsi="Arial" w:cs="Arial"/>
          <w:lang w:val="en-US"/>
        </w:rPr>
        <w:t>“</w:t>
      </w:r>
      <w:r w:rsidR="006D17D7" w:rsidRPr="00334A5F">
        <w:rPr>
          <w:rFonts w:ascii="Arial" w:hAnsi="Arial" w:cs="Arial"/>
        </w:rPr>
        <w:t xml:space="preserve">The plaintiff relies on </w:t>
      </w:r>
      <w:r w:rsidR="006D17D7" w:rsidRPr="00334A5F">
        <w:rPr>
          <w:rFonts w:ascii="Arial" w:hAnsi="Arial" w:cs="Arial"/>
          <w:i/>
          <w:iCs/>
        </w:rPr>
        <w:t>Hawker v Prudential Assurance Co of South Africa Ltd</w:t>
      </w:r>
      <w:r w:rsidR="006D17D7" w:rsidRPr="00334A5F">
        <w:rPr>
          <w:rFonts w:ascii="Arial" w:hAnsi="Arial" w:cs="Arial"/>
        </w:rPr>
        <w:t xml:space="preserve"> in support of its stance that the rule 35 notice did not suspend the period for delivering the plea. In that matter further particulars were sought for the purposes of delivering a plea, as was allowed at the time. Further particulars were supplied but were inadequate. The defendant then applied, outside of the time within which to deliver his plea but before any notice of bar was delivered, to compel their delivery. It was submitted that the application was out of time. The court reasoned as follows:</w:t>
      </w:r>
    </w:p>
    <w:p w14:paraId="202E6601" w14:textId="48BAAAF2" w:rsidR="006D17D7" w:rsidRPr="00334A5F" w:rsidRDefault="006D17D7" w:rsidP="006D17D7">
      <w:pPr>
        <w:pStyle w:val="lrquote"/>
        <w:ind w:left="2160"/>
        <w:jc w:val="both"/>
        <w:rPr>
          <w:rFonts w:ascii="Arial" w:hAnsi="Arial" w:cs="Arial"/>
        </w:rPr>
      </w:pPr>
      <w:r w:rsidRPr="00334A5F">
        <w:rPr>
          <w:rFonts w:ascii="Arial" w:hAnsi="Arial" w:cs="Arial"/>
        </w:rPr>
        <w:lastRenderedPageBreak/>
        <w:t>'It is implicit in Rule 21(1) that the pleading in respect of which further particulars may be requested is incomplete, in the sense that it is envisaged that further particulars are necessary to enable the party requesting the particulars to plead and/or to tender an amount in settlement. Where the words the particulars are used in Rule 21(3), this must be construed as meaning the particulars envisaged in Rule 21(1) for, until such particulars are furnished, the party who requested the further particulars must be regarded as being unable to plead and/or to tender an amount in settlement.'</w:t>
      </w:r>
    </w:p>
    <w:p w14:paraId="2F0BE631" w14:textId="016DEB8C" w:rsidR="006D17D7" w:rsidRPr="00334A5F" w:rsidRDefault="006D17D7" w:rsidP="006D17D7">
      <w:pPr>
        <w:pStyle w:val="lrpara"/>
        <w:ind w:left="1440"/>
        <w:jc w:val="both"/>
        <w:rPr>
          <w:rFonts w:ascii="Arial" w:hAnsi="Arial" w:cs="Arial"/>
        </w:rPr>
      </w:pPr>
      <w:r w:rsidRPr="00334A5F">
        <w:rPr>
          <w:rFonts w:ascii="Arial" w:hAnsi="Arial" w:cs="Arial"/>
        </w:rPr>
        <w:t>Applying this reasoning to the application at hand, the court went on to</w:t>
      </w:r>
      <w:r w:rsidRPr="00334A5F">
        <w:rPr>
          <w:rStyle w:val="mc"/>
          <w:rFonts w:ascii="Arial" w:hAnsi="Arial" w:cs="Arial"/>
        </w:rPr>
        <w:t> </w:t>
      </w:r>
      <w:r w:rsidRPr="00334A5F">
        <w:rPr>
          <w:rFonts w:ascii="Arial" w:hAnsi="Arial" w:cs="Arial"/>
        </w:rPr>
        <w:t xml:space="preserve"> hold:</w:t>
      </w:r>
    </w:p>
    <w:p w14:paraId="4FE473FA" w14:textId="4CDC1646" w:rsidR="006D17D7" w:rsidRPr="00334A5F" w:rsidRDefault="006D17D7" w:rsidP="006D17D7">
      <w:pPr>
        <w:pStyle w:val="lrquote"/>
        <w:ind w:left="2160"/>
        <w:jc w:val="both"/>
        <w:rPr>
          <w:rFonts w:ascii="Arial" w:hAnsi="Arial" w:cs="Arial"/>
        </w:rPr>
      </w:pPr>
      <w:r w:rsidRPr="00334A5F">
        <w:rPr>
          <w:rFonts w:ascii="Arial" w:hAnsi="Arial" w:cs="Arial"/>
        </w:rPr>
        <w:t xml:space="preserve">'It follows from the aforegoing that in my view a defendant is not obliged to take any further step when particulars have been refused or inadequate particulars have been furnished and the particulars are strictly necessary for the purposes envisaged by Rule 21(1). Should the plaintiff in such circumstances, and upon expiration of the 14-day period </w:t>
      </w:r>
      <w:r w:rsidRPr="00334A5F">
        <w:rPr>
          <w:rStyle w:val="mc"/>
          <w:rFonts w:ascii="Arial" w:hAnsi="Arial" w:cs="Arial"/>
        </w:rPr>
        <w:t> I </w:t>
      </w:r>
      <w:r w:rsidRPr="00334A5F">
        <w:rPr>
          <w:rFonts w:ascii="Arial" w:hAnsi="Arial" w:cs="Arial"/>
        </w:rPr>
        <w:t xml:space="preserve"> mentioned in Rule 21(3), deliver a demand for plea in accordance with the provisions of Rule 26, the defendant has an election. He can either attempt to plead, or he can make application in terms of Rule 21(6) for an order compelling the plaintiff to furnish the particulars requested. </w:t>
      </w:r>
      <w:r w:rsidRPr="00334A5F">
        <w:rPr>
          <w:rStyle w:val="mc"/>
          <w:rFonts w:ascii="Arial" w:hAnsi="Arial" w:cs="Arial"/>
        </w:rPr>
        <w:t> A </w:t>
      </w:r>
      <w:r w:rsidRPr="00334A5F">
        <w:rPr>
          <w:rFonts w:ascii="Arial" w:hAnsi="Arial" w:cs="Arial"/>
        </w:rPr>
        <w:t xml:space="preserve"> The latter application would naturally be coupled with an application for an order extending the barring period.' </w:t>
      </w:r>
    </w:p>
    <w:p w14:paraId="0A422500" w14:textId="3A44014D" w:rsidR="006D17D7" w:rsidRPr="00334A5F" w:rsidRDefault="006D17D7" w:rsidP="006D17D7">
      <w:pPr>
        <w:pStyle w:val="lrpara"/>
        <w:ind w:left="1440"/>
        <w:jc w:val="both"/>
        <w:rPr>
          <w:rFonts w:ascii="Arial" w:hAnsi="Arial" w:cs="Arial"/>
        </w:rPr>
      </w:pPr>
      <w:r w:rsidRPr="00334A5F">
        <w:rPr>
          <w:rFonts w:ascii="Arial" w:hAnsi="Arial" w:cs="Arial"/>
        </w:rPr>
        <w:t xml:space="preserve">The reasoning, accordingly, is that without the requested necessary particulars it was not possible to plead. In other words the defendant was entitled to the particulars before being required to plead. This mirrors the submission in the present matter that the defendant was entitled to inspect and copy the documents before being obliged to plead. </w:t>
      </w:r>
      <w:r w:rsidRPr="00334A5F">
        <w:rPr>
          <w:rFonts w:ascii="Arial" w:hAnsi="Arial" w:cs="Arial"/>
          <w:i/>
          <w:iCs/>
          <w:u w:val="single"/>
        </w:rPr>
        <w:t>Hawker</w:t>
      </w:r>
      <w:r w:rsidRPr="00334A5F">
        <w:rPr>
          <w:rFonts w:ascii="Arial" w:hAnsi="Arial" w:cs="Arial"/>
          <w:u w:val="single"/>
        </w:rPr>
        <w:t>, however, held that if the defendant were placed on bar, he was obliged either to plead or to apply to compel the particulars. Where he did plead, the bar would not fall. Where he did not do so, but brought an application, the court considered that it was axiomatic that an application to extend the time to plead would accompany the application to compel. If this were not done, the clear implication is that the defendant would find himself barred from delivering a plea and subject to a default judgment. It is clear that the court did not regard the bringing of the application (let alone the request for further particulars) as suspending the time period under rule 26</w:t>
      </w:r>
      <w:r w:rsidRPr="00334A5F">
        <w:rPr>
          <w:rFonts w:ascii="Arial" w:hAnsi="Arial" w:cs="Arial"/>
        </w:rPr>
        <w:t>.</w:t>
      </w:r>
    </w:p>
    <w:p w14:paraId="3BA168D3" w14:textId="1E19D9BF" w:rsidR="00596525" w:rsidRPr="00334A5F" w:rsidRDefault="006D17D7" w:rsidP="00A33EA7">
      <w:pPr>
        <w:pStyle w:val="lrpara"/>
        <w:ind w:left="1440"/>
        <w:jc w:val="both"/>
        <w:rPr>
          <w:rFonts w:ascii="Arial" w:hAnsi="Arial" w:cs="Arial"/>
        </w:rPr>
      </w:pPr>
      <w:r w:rsidRPr="00334A5F">
        <w:rPr>
          <w:rFonts w:ascii="Arial" w:hAnsi="Arial" w:cs="Arial"/>
        </w:rPr>
        <w:t xml:space="preserve">This reasoning commends itself to me as applying equally to the present matter. The delivery of the rule 35 notice did not suspend the period in which the defendant was obliged to deliver a plea or other document referred to in rule 22. </w:t>
      </w:r>
      <w:r w:rsidRPr="00334A5F">
        <w:rPr>
          <w:rFonts w:ascii="Arial" w:hAnsi="Arial" w:cs="Arial"/>
          <w:u w:val="single"/>
        </w:rPr>
        <w:t xml:space="preserve">When he was confronted with a rule 26 notice, he was put to an election. He could either have done his best to plead and so have defeated the bar or he could have applied to extend the time within which to plead and to compel production of the documents for that </w:t>
      </w:r>
      <w:r w:rsidRPr="00334A5F">
        <w:rPr>
          <w:rFonts w:ascii="Arial" w:hAnsi="Arial" w:cs="Arial"/>
          <w:u w:val="single"/>
        </w:rPr>
        <w:lastRenderedPageBreak/>
        <w:t>purpose. If he had pleaded, it would have been open to him to apply to compel delivery of the documents and, if so advised,</w:t>
      </w:r>
      <w:r w:rsidRPr="00334A5F">
        <w:rPr>
          <w:rStyle w:val="mc"/>
          <w:rFonts w:ascii="Arial" w:hAnsi="Arial" w:cs="Arial"/>
          <w:u w:val="single"/>
        </w:rPr>
        <w:t> </w:t>
      </w:r>
      <w:r w:rsidRPr="00334A5F">
        <w:rPr>
          <w:rFonts w:ascii="Arial" w:hAnsi="Arial" w:cs="Arial"/>
          <w:u w:val="single"/>
        </w:rPr>
        <w:t xml:space="preserve"> to thereafter seek to amend his plea</w:t>
      </w:r>
      <w:r w:rsidRPr="00334A5F">
        <w:rPr>
          <w:rFonts w:ascii="Arial" w:hAnsi="Arial" w:cs="Arial"/>
        </w:rPr>
        <w:t>. Since he did not plead or apply to extend the period in which to do so, he was ipso facto barred on 2 June 2015. There is therefore no basis for contending that setting down the application for default judgment amounted to an irregular step. The interlocutory application must be dismissed as regards that relief.</w:t>
      </w:r>
      <w:r w:rsidR="00A33EA7" w:rsidRPr="00334A5F">
        <w:rPr>
          <w:rFonts w:ascii="Arial" w:hAnsi="Arial" w:cs="Arial"/>
        </w:rPr>
        <w:t>” [emphasis added]</w:t>
      </w:r>
    </w:p>
    <w:p w14:paraId="1BECADDA" w14:textId="1EE227C1" w:rsidR="00C521BD"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12.</w:t>
      </w:r>
      <w:r w:rsidRPr="00334A5F">
        <w:rPr>
          <w:rFonts w:ascii="Arial" w:hAnsi="Arial" w:cs="Arial"/>
          <w:lang w:val="en-US"/>
        </w:rPr>
        <w:tab/>
      </w:r>
      <w:r w:rsidR="00A33EA7" w:rsidRPr="00D57D39">
        <w:rPr>
          <w:rFonts w:ascii="Arial" w:hAnsi="Arial" w:cs="Arial"/>
          <w:lang w:val="en-US"/>
        </w:rPr>
        <w:t>Mr</w:t>
      </w:r>
      <w:r w:rsidR="00ED3262" w:rsidRPr="00D57D39">
        <w:rPr>
          <w:rFonts w:ascii="Arial" w:hAnsi="Arial" w:cs="Arial"/>
          <w:lang w:val="en-US"/>
        </w:rPr>
        <w:t>.</w:t>
      </w:r>
      <w:r w:rsidR="00A33EA7" w:rsidRPr="00D57D39">
        <w:rPr>
          <w:rFonts w:ascii="Arial" w:hAnsi="Arial" w:cs="Arial"/>
          <w:lang w:val="en-US"/>
        </w:rPr>
        <w:t xml:space="preserve"> Shamase submitted that </w:t>
      </w:r>
      <w:r w:rsidR="00A33EA7" w:rsidRPr="00D57D39">
        <w:rPr>
          <w:rFonts w:ascii="Arial" w:hAnsi="Arial" w:cs="Arial"/>
          <w:i/>
          <w:iCs/>
          <w:lang w:val="en-US"/>
        </w:rPr>
        <w:t xml:space="preserve">Potpale </w:t>
      </w:r>
      <w:r w:rsidR="00A33EA7" w:rsidRPr="00D57D39">
        <w:rPr>
          <w:rFonts w:ascii="Arial" w:hAnsi="Arial" w:cs="Arial"/>
          <w:lang w:val="en-US"/>
        </w:rPr>
        <w:t>was authority for the proposition that the defendants could file a plea in order to defeat a bar against them (and, in this case, to comply with the order of Vally J), and thereafter to proceed to compel delivery of the documents sought, with a view to potentially amending their plea.  It meant, he suggested, that an application to compel could be brought,</w:t>
      </w:r>
      <w:r w:rsidR="00CA52D3" w:rsidRPr="00D57D39">
        <w:rPr>
          <w:rFonts w:ascii="Arial" w:hAnsi="Arial" w:cs="Arial"/>
          <w:lang w:val="en-US"/>
        </w:rPr>
        <w:t xml:space="preserve"> without more,</w:t>
      </w:r>
      <w:r w:rsidR="00A33EA7" w:rsidRPr="00D57D39">
        <w:rPr>
          <w:rFonts w:ascii="Arial" w:hAnsi="Arial" w:cs="Arial"/>
          <w:lang w:val="en-US"/>
        </w:rPr>
        <w:t xml:space="preserve"> and that such application remained competent under Rule 35(14) even though the defendants had already pleaded.</w:t>
      </w:r>
      <w:r w:rsidR="00D9392D" w:rsidRPr="00D57D39">
        <w:rPr>
          <w:rFonts w:ascii="Arial" w:hAnsi="Arial" w:cs="Arial"/>
          <w:lang w:val="en-US"/>
        </w:rPr>
        <w:t xml:space="preserve"> </w:t>
      </w:r>
    </w:p>
    <w:p w14:paraId="58B2ABF4" w14:textId="77777777" w:rsidR="00583638" w:rsidRPr="00334A5F" w:rsidRDefault="00583638" w:rsidP="00583638">
      <w:pPr>
        <w:spacing w:line="360" w:lineRule="auto"/>
        <w:jc w:val="both"/>
        <w:rPr>
          <w:rFonts w:ascii="Arial" w:hAnsi="Arial" w:cs="Arial"/>
          <w:lang w:val="en-US"/>
        </w:rPr>
      </w:pPr>
    </w:p>
    <w:p w14:paraId="1B5AD83D" w14:textId="3984F5FC" w:rsidR="00583638" w:rsidRPr="00334A5F" w:rsidRDefault="00501841" w:rsidP="00583638">
      <w:pPr>
        <w:spacing w:line="360" w:lineRule="auto"/>
        <w:jc w:val="both"/>
        <w:rPr>
          <w:rFonts w:ascii="Arial" w:hAnsi="Arial" w:cs="Arial"/>
          <w:b/>
          <w:bCs/>
          <w:lang w:val="en-US"/>
        </w:rPr>
      </w:pPr>
      <w:r w:rsidRPr="00334A5F">
        <w:rPr>
          <w:rFonts w:ascii="Arial" w:hAnsi="Arial" w:cs="Arial"/>
          <w:b/>
          <w:bCs/>
          <w:lang w:val="en-US"/>
        </w:rPr>
        <w:t>The procedural objection</w:t>
      </w:r>
    </w:p>
    <w:p w14:paraId="0252B6B8" w14:textId="77777777" w:rsidR="00A33EA7" w:rsidRPr="00334A5F" w:rsidRDefault="00A33EA7" w:rsidP="00A33EA7">
      <w:pPr>
        <w:pStyle w:val="ListParagraph"/>
        <w:spacing w:line="360" w:lineRule="auto"/>
        <w:ind w:left="567"/>
        <w:jc w:val="both"/>
        <w:rPr>
          <w:rFonts w:ascii="Arial" w:hAnsi="Arial" w:cs="Arial"/>
          <w:lang w:val="en-US"/>
        </w:rPr>
      </w:pPr>
    </w:p>
    <w:p w14:paraId="2114E49B" w14:textId="1FA283CC" w:rsidR="00BE7D52" w:rsidRPr="00D57D39" w:rsidRDefault="00D57D39" w:rsidP="00D57D39">
      <w:pPr>
        <w:tabs>
          <w:tab w:val="left" w:pos="567"/>
        </w:tabs>
        <w:spacing w:line="360" w:lineRule="auto"/>
        <w:ind w:left="567" w:hanging="567"/>
        <w:jc w:val="both"/>
        <w:rPr>
          <w:rFonts w:ascii="Arial" w:hAnsi="Arial" w:cs="Arial"/>
          <w:lang w:val="en-US"/>
        </w:rPr>
      </w:pPr>
      <w:r>
        <w:rPr>
          <w:rFonts w:ascii="Arial" w:hAnsi="Arial" w:cs="Arial"/>
          <w:lang w:val="en-US"/>
        </w:rPr>
        <w:t>13.</w:t>
      </w:r>
      <w:r>
        <w:rPr>
          <w:rFonts w:ascii="Arial" w:hAnsi="Arial" w:cs="Arial"/>
          <w:lang w:val="en-US"/>
        </w:rPr>
        <w:tab/>
      </w:r>
      <w:r w:rsidR="00BE7D52" w:rsidRPr="00D57D39">
        <w:rPr>
          <w:rFonts w:ascii="Arial" w:hAnsi="Arial" w:cs="Arial"/>
          <w:lang w:val="en-US"/>
        </w:rPr>
        <w:t>As to the first submission: I do not agree that an application to compel discovery can be brought in terms of Rule 35(7) where a party has failed to comply with a notice in terms of Rule 35(14).</w:t>
      </w:r>
    </w:p>
    <w:p w14:paraId="7F72C2A4" w14:textId="77777777" w:rsidR="00BE7D52" w:rsidRDefault="00BE7D52" w:rsidP="00BE7D52">
      <w:pPr>
        <w:pStyle w:val="ListParagraph"/>
        <w:spacing w:line="360" w:lineRule="auto"/>
        <w:ind w:left="567"/>
        <w:jc w:val="both"/>
        <w:rPr>
          <w:rFonts w:ascii="Arial" w:hAnsi="Arial" w:cs="Arial"/>
          <w:lang w:val="en-US"/>
        </w:rPr>
      </w:pPr>
    </w:p>
    <w:p w14:paraId="695FFECA" w14:textId="5539E5F3" w:rsidR="00D9392D"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14.</w:t>
      </w:r>
      <w:r w:rsidRPr="00334A5F">
        <w:rPr>
          <w:rFonts w:ascii="Arial" w:hAnsi="Arial" w:cs="Arial"/>
          <w:lang w:val="en-US"/>
        </w:rPr>
        <w:tab/>
      </w:r>
      <w:r w:rsidR="00FB2571" w:rsidRPr="00D57D39">
        <w:rPr>
          <w:rFonts w:ascii="Arial" w:hAnsi="Arial" w:cs="Arial"/>
          <w:lang w:val="en-US"/>
        </w:rPr>
        <w:t>Rule 35(7) permits a party to apply for an order compelling discovery where its counter-party has failed to discover “</w:t>
      </w:r>
      <w:r w:rsidR="00FB2571" w:rsidRPr="00D57D39">
        <w:rPr>
          <w:rFonts w:ascii="Arial" w:hAnsi="Arial" w:cs="Arial"/>
          <w:i/>
          <w:iCs/>
          <w:lang w:val="en-US"/>
        </w:rPr>
        <w:t>as aforesaid</w:t>
      </w:r>
      <w:r w:rsidR="00FB2571" w:rsidRPr="00D57D39">
        <w:rPr>
          <w:rFonts w:ascii="Arial" w:hAnsi="Arial" w:cs="Arial"/>
          <w:lang w:val="en-US"/>
        </w:rPr>
        <w:t>” – that is, in terms of the earlier provisions of Rule 35 – or pursuant to a notice in terms of Rule 35(6). It does not, on its terms, apply to discovery sought in terms of Rule 35(14). A party seeking to compel compliance with a Rule 35(14) notice must do so by invoking Rule 30A.</w:t>
      </w:r>
      <w:r w:rsidR="00FB2571" w:rsidRPr="00334A5F">
        <w:rPr>
          <w:rStyle w:val="FootnoteReference"/>
          <w:rFonts w:ascii="Arial" w:hAnsi="Arial" w:cs="Arial"/>
          <w:lang w:val="en-US"/>
        </w:rPr>
        <w:footnoteReference w:id="4"/>
      </w:r>
      <w:r w:rsidR="00FB2571" w:rsidRPr="00D57D39">
        <w:rPr>
          <w:rFonts w:ascii="Arial" w:hAnsi="Arial" w:cs="Arial"/>
          <w:lang w:val="en-US"/>
        </w:rPr>
        <w:t xml:space="preserve"> That requires it to serve a notice calling for compliance with the Rules and, if it is not forthcoming within 10 days, thereafter </w:t>
      </w:r>
      <w:r w:rsidR="00D9392D" w:rsidRPr="00D57D39">
        <w:rPr>
          <w:rFonts w:ascii="Arial" w:hAnsi="Arial" w:cs="Arial"/>
          <w:lang w:val="en-US"/>
        </w:rPr>
        <w:t xml:space="preserve">to </w:t>
      </w:r>
      <w:r w:rsidR="00FB2571" w:rsidRPr="00D57D39">
        <w:rPr>
          <w:rFonts w:ascii="Arial" w:hAnsi="Arial" w:cs="Arial"/>
          <w:lang w:val="en-US"/>
        </w:rPr>
        <w:t xml:space="preserve">apply to court to compel </w:t>
      </w:r>
      <w:r w:rsidR="00D9392D" w:rsidRPr="00D57D39">
        <w:rPr>
          <w:rFonts w:ascii="Arial" w:hAnsi="Arial" w:cs="Arial"/>
          <w:lang w:val="en-US"/>
        </w:rPr>
        <w:t>its production. The defendants’ application to compel ought properly to have been preceded by a notice in terms of Rule 30A(1), calling upon Absa to comply with Rule 35(14) and their notice issued under it.</w:t>
      </w:r>
    </w:p>
    <w:p w14:paraId="22BE87D7" w14:textId="77777777" w:rsidR="00D9392D" w:rsidRPr="00334A5F" w:rsidRDefault="00D9392D" w:rsidP="00D9392D">
      <w:pPr>
        <w:pStyle w:val="ListParagraph"/>
        <w:rPr>
          <w:rFonts w:ascii="Arial" w:hAnsi="Arial" w:cs="Arial"/>
          <w:lang w:val="en-US"/>
        </w:rPr>
      </w:pPr>
    </w:p>
    <w:p w14:paraId="0D359C1E" w14:textId="6E15BDF4" w:rsidR="00501841"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lastRenderedPageBreak/>
        <w:t>15.</w:t>
      </w:r>
      <w:r w:rsidRPr="00334A5F">
        <w:rPr>
          <w:rFonts w:ascii="Arial" w:hAnsi="Arial" w:cs="Arial"/>
          <w:lang w:val="en-US"/>
        </w:rPr>
        <w:tab/>
      </w:r>
      <w:r w:rsidR="00D9392D" w:rsidRPr="00D57D39">
        <w:rPr>
          <w:rFonts w:ascii="Arial" w:hAnsi="Arial" w:cs="Arial"/>
          <w:lang w:val="en-US"/>
        </w:rPr>
        <w:t>That said, I am not minded to non-suit the defendants on that basis. The object of the court rules is to regulate the court process, and to promote orderly, expeditious and appropriate litigation. Compliance with the rules is not an end in itself.</w:t>
      </w:r>
      <w:r w:rsidR="00D9392D" w:rsidRPr="00334A5F">
        <w:rPr>
          <w:rStyle w:val="FootnoteReference"/>
          <w:rFonts w:ascii="Arial" w:hAnsi="Arial" w:cs="Arial"/>
          <w:lang w:val="en-US"/>
        </w:rPr>
        <w:footnoteReference w:id="5"/>
      </w:r>
      <w:r w:rsidR="00D9392D" w:rsidRPr="00D57D39">
        <w:rPr>
          <w:rFonts w:ascii="Arial" w:hAnsi="Arial" w:cs="Arial"/>
          <w:lang w:val="en-US"/>
        </w:rPr>
        <w:t xml:space="preserve"> The purpose of a Rule 30A(1) notice is to afford a party an opportunity to remedy any non-compliance with the rules and thereby to avoid unnecessary litigation. In this case, Absa’s opposition to the application demonstrates that service of a Rule 30A notice would not have secured a different outcome or avoided the present proceedings. Neither Absa nor the Court has been prejudiced by the defendants’ failure to deliver it. </w:t>
      </w:r>
    </w:p>
    <w:p w14:paraId="5CB2E08C" w14:textId="77777777" w:rsidR="00501841" w:rsidRPr="00334A5F" w:rsidRDefault="00501841" w:rsidP="00501841">
      <w:pPr>
        <w:pStyle w:val="ListParagraph"/>
        <w:rPr>
          <w:rFonts w:ascii="Arial" w:hAnsi="Arial" w:cs="Arial"/>
          <w:lang w:val="en-US"/>
        </w:rPr>
      </w:pPr>
    </w:p>
    <w:p w14:paraId="547BB047" w14:textId="0F2C96C8" w:rsidR="00D9392D"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16.</w:t>
      </w:r>
      <w:r w:rsidRPr="00334A5F">
        <w:rPr>
          <w:rFonts w:ascii="Arial" w:hAnsi="Arial" w:cs="Arial"/>
          <w:lang w:val="en-US"/>
        </w:rPr>
        <w:tab/>
      </w:r>
      <w:r w:rsidR="00D9392D" w:rsidRPr="00D57D39">
        <w:rPr>
          <w:rFonts w:ascii="Arial" w:hAnsi="Arial" w:cs="Arial"/>
          <w:lang w:val="en-US"/>
        </w:rPr>
        <w:t>I am accordingly amenable to condoning the</w:t>
      </w:r>
      <w:r w:rsidR="00BE7D52" w:rsidRPr="00D57D39">
        <w:rPr>
          <w:rFonts w:ascii="Arial" w:hAnsi="Arial" w:cs="Arial"/>
          <w:lang w:val="en-US"/>
        </w:rPr>
        <w:t xml:space="preserve"> defendants’</w:t>
      </w:r>
      <w:r w:rsidR="00D9392D" w:rsidRPr="00D57D39">
        <w:rPr>
          <w:rFonts w:ascii="Arial" w:hAnsi="Arial" w:cs="Arial"/>
          <w:lang w:val="en-US"/>
        </w:rPr>
        <w:t xml:space="preserve"> non-compliance with the provisions of Rule 30A and to entertain</w:t>
      </w:r>
      <w:r w:rsidR="00501841" w:rsidRPr="00D57D39">
        <w:rPr>
          <w:rFonts w:ascii="Arial" w:hAnsi="Arial" w:cs="Arial"/>
          <w:lang w:val="en-US"/>
        </w:rPr>
        <w:t>ing</w:t>
      </w:r>
      <w:r w:rsidR="00D9392D" w:rsidRPr="00D57D39">
        <w:rPr>
          <w:rFonts w:ascii="Arial" w:hAnsi="Arial" w:cs="Arial"/>
          <w:lang w:val="en-US"/>
        </w:rPr>
        <w:t xml:space="preserve"> the merits of the application to compel.</w:t>
      </w:r>
    </w:p>
    <w:p w14:paraId="2723E84D" w14:textId="77777777" w:rsidR="00501841" w:rsidRPr="00334A5F" w:rsidRDefault="00501841" w:rsidP="00501841">
      <w:pPr>
        <w:pStyle w:val="ListParagraph"/>
        <w:rPr>
          <w:rFonts w:ascii="Arial" w:hAnsi="Arial" w:cs="Arial"/>
          <w:lang w:val="en-US"/>
        </w:rPr>
      </w:pPr>
    </w:p>
    <w:p w14:paraId="1EA47B89" w14:textId="3EE9B16F" w:rsidR="00501841" w:rsidRPr="00334A5F" w:rsidRDefault="00501841" w:rsidP="00501841">
      <w:pPr>
        <w:spacing w:line="360" w:lineRule="auto"/>
        <w:jc w:val="both"/>
        <w:rPr>
          <w:rFonts w:ascii="Arial" w:hAnsi="Arial" w:cs="Arial"/>
          <w:b/>
          <w:bCs/>
          <w:lang w:val="en-US"/>
        </w:rPr>
      </w:pPr>
      <w:r w:rsidRPr="00334A5F">
        <w:rPr>
          <w:rFonts w:ascii="Arial" w:hAnsi="Arial" w:cs="Arial"/>
          <w:b/>
          <w:bCs/>
          <w:lang w:val="en-US"/>
        </w:rPr>
        <w:t>The merits of the application to compel</w:t>
      </w:r>
    </w:p>
    <w:p w14:paraId="28267CC5" w14:textId="77777777" w:rsidR="00D9392D" w:rsidRPr="00334A5F" w:rsidRDefault="00D9392D" w:rsidP="00D9392D">
      <w:pPr>
        <w:pStyle w:val="ListParagraph"/>
        <w:rPr>
          <w:rFonts w:ascii="Arial" w:hAnsi="Arial" w:cs="Arial"/>
          <w:lang w:val="en-US"/>
        </w:rPr>
      </w:pPr>
    </w:p>
    <w:p w14:paraId="4FB674D0" w14:textId="1CCC5B1F" w:rsidR="00501841"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17.</w:t>
      </w:r>
      <w:r w:rsidRPr="00334A5F">
        <w:rPr>
          <w:rFonts w:ascii="Arial" w:hAnsi="Arial" w:cs="Arial"/>
          <w:lang w:val="en-US"/>
        </w:rPr>
        <w:tab/>
      </w:r>
      <w:r w:rsidR="00501841" w:rsidRPr="00D57D39">
        <w:rPr>
          <w:rFonts w:ascii="Arial" w:hAnsi="Arial" w:cs="Arial"/>
          <w:lang w:val="en-US"/>
        </w:rPr>
        <w:t xml:space="preserve">Rule 35(14) </w:t>
      </w:r>
      <w:r w:rsidR="00D47D0A" w:rsidRPr="00D57D39">
        <w:rPr>
          <w:rFonts w:ascii="Arial" w:hAnsi="Arial" w:cs="Arial"/>
          <w:lang w:val="en-US"/>
        </w:rPr>
        <w:t>permits a party to call for discovery after they have entered appearance to defend “</w:t>
      </w:r>
      <w:r w:rsidR="00D47D0A" w:rsidRPr="00D57D39">
        <w:rPr>
          <w:rFonts w:ascii="Arial" w:hAnsi="Arial" w:cs="Arial"/>
          <w:i/>
          <w:iCs/>
          <w:lang w:val="en-US"/>
        </w:rPr>
        <w:t>for the purposes of pleading”</w:t>
      </w:r>
      <w:r w:rsidR="00D47D0A" w:rsidRPr="00D57D39">
        <w:rPr>
          <w:rFonts w:ascii="Arial" w:hAnsi="Arial" w:cs="Arial"/>
          <w:lang w:val="en-US"/>
        </w:rPr>
        <w:t>. Such documents must be necessary for pleading, not merely useful or relevant.</w:t>
      </w:r>
      <w:r w:rsidR="00D47D0A" w:rsidRPr="00334A5F">
        <w:rPr>
          <w:rStyle w:val="FootnoteReference"/>
          <w:rFonts w:ascii="Arial" w:hAnsi="Arial" w:cs="Arial"/>
          <w:lang w:val="en-US"/>
        </w:rPr>
        <w:footnoteReference w:id="6"/>
      </w:r>
      <w:r w:rsidR="00D47D0A" w:rsidRPr="00D57D39">
        <w:rPr>
          <w:rFonts w:ascii="Arial" w:hAnsi="Arial" w:cs="Arial"/>
          <w:lang w:val="en-US"/>
        </w:rPr>
        <w:t xml:space="preserve"> </w:t>
      </w:r>
    </w:p>
    <w:p w14:paraId="73CDDF49" w14:textId="77777777" w:rsidR="00D47D0A" w:rsidRPr="00334A5F" w:rsidRDefault="00D47D0A" w:rsidP="00D47D0A">
      <w:pPr>
        <w:pStyle w:val="ListParagraph"/>
        <w:spacing w:line="360" w:lineRule="auto"/>
        <w:ind w:left="567"/>
        <w:jc w:val="both"/>
        <w:rPr>
          <w:rFonts w:ascii="Arial" w:hAnsi="Arial" w:cs="Arial"/>
          <w:lang w:val="en-US"/>
        </w:rPr>
      </w:pPr>
    </w:p>
    <w:p w14:paraId="6BDFB310" w14:textId="7572FD0D" w:rsidR="00D47D0A"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18.</w:t>
      </w:r>
      <w:r w:rsidRPr="00334A5F">
        <w:rPr>
          <w:rFonts w:ascii="Arial" w:hAnsi="Arial" w:cs="Arial"/>
          <w:lang w:val="en-US"/>
        </w:rPr>
        <w:tab/>
      </w:r>
      <w:r w:rsidR="00D47D0A" w:rsidRPr="00D57D39">
        <w:rPr>
          <w:rFonts w:ascii="Arial" w:hAnsi="Arial" w:cs="Arial"/>
          <w:lang w:val="en-US"/>
        </w:rPr>
        <w:t xml:space="preserve">In this instance, the defendants have pleaded their defence that Absa has failed </w:t>
      </w:r>
      <w:r w:rsidR="00BE7D52" w:rsidRPr="00D57D39">
        <w:rPr>
          <w:rFonts w:ascii="Arial" w:hAnsi="Arial" w:cs="Arial"/>
          <w:lang w:val="en-US"/>
        </w:rPr>
        <w:t xml:space="preserve">lawfully and properly to </w:t>
      </w:r>
      <w:r w:rsidR="00D47D0A" w:rsidRPr="00D57D39">
        <w:rPr>
          <w:rFonts w:ascii="Arial" w:hAnsi="Arial" w:cs="Arial"/>
          <w:lang w:val="en-US"/>
        </w:rPr>
        <w:t>calculat</w:t>
      </w:r>
      <w:r w:rsidR="00BE7D52" w:rsidRPr="00D57D39">
        <w:rPr>
          <w:rFonts w:ascii="Arial" w:hAnsi="Arial" w:cs="Arial"/>
          <w:lang w:val="en-US"/>
        </w:rPr>
        <w:t>e</w:t>
      </w:r>
      <w:r w:rsidR="00D47D0A" w:rsidRPr="00D57D39">
        <w:rPr>
          <w:rFonts w:ascii="Arial" w:hAnsi="Arial" w:cs="Arial"/>
          <w:lang w:val="en-US"/>
        </w:rPr>
        <w:t xml:space="preserve"> the capital amount owing under the current mortgage loan. That suggests, at least </w:t>
      </w:r>
      <w:r w:rsidR="00D47D0A" w:rsidRPr="00D57D39">
        <w:rPr>
          <w:rFonts w:ascii="Arial" w:hAnsi="Arial" w:cs="Arial"/>
          <w:i/>
          <w:iCs/>
          <w:lang w:val="en-US"/>
        </w:rPr>
        <w:t>prima facie</w:t>
      </w:r>
      <w:r w:rsidR="00D47D0A" w:rsidRPr="00D57D39">
        <w:rPr>
          <w:rFonts w:ascii="Arial" w:hAnsi="Arial" w:cs="Arial"/>
          <w:lang w:val="en-US"/>
        </w:rPr>
        <w:t xml:space="preserve">, that they do not require the documents in order to plead.  The matter is put beyond doubt by the terms of the founding affidavit in support of the application to compel.  </w:t>
      </w:r>
      <w:r w:rsidR="00BE7D52" w:rsidRPr="00D57D39">
        <w:rPr>
          <w:rFonts w:ascii="Arial" w:hAnsi="Arial" w:cs="Arial"/>
          <w:lang w:val="en-US"/>
        </w:rPr>
        <w:t>In it, the defendants record that they</w:t>
      </w:r>
      <w:r w:rsidR="00D47D0A" w:rsidRPr="00D57D39">
        <w:rPr>
          <w:rFonts w:ascii="Arial" w:hAnsi="Arial" w:cs="Arial"/>
          <w:lang w:val="en-US"/>
        </w:rPr>
        <w:t xml:space="preserve"> seek the documents in order to “</w:t>
      </w:r>
      <w:r w:rsidR="00D47D0A" w:rsidRPr="00D57D39">
        <w:rPr>
          <w:rFonts w:ascii="Arial" w:hAnsi="Arial" w:cs="Arial"/>
          <w:i/>
          <w:iCs/>
          <w:lang w:val="en-US"/>
        </w:rPr>
        <w:t>show</w:t>
      </w:r>
      <w:r w:rsidR="00D47D0A" w:rsidRPr="00D57D39">
        <w:rPr>
          <w:rFonts w:ascii="Arial" w:hAnsi="Arial" w:cs="Arial"/>
          <w:lang w:val="en-US"/>
        </w:rPr>
        <w:t>” that their defence is sound – that is, for evidentiary reasons rather than to plead. They consequently do not meet the requirements of Rule 35(14).</w:t>
      </w:r>
    </w:p>
    <w:p w14:paraId="7FE5666B" w14:textId="77777777" w:rsidR="00D47D0A" w:rsidRPr="00334A5F" w:rsidRDefault="00D47D0A" w:rsidP="00D47D0A">
      <w:pPr>
        <w:pStyle w:val="ListParagraph"/>
        <w:rPr>
          <w:rFonts w:ascii="Arial" w:hAnsi="Arial" w:cs="Arial"/>
          <w:lang w:val="en-US"/>
        </w:rPr>
      </w:pPr>
    </w:p>
    <w:p w14:paraId="151424B4" w14:textId="52139BC2" w:rsidR="00334A5F"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19.</w:t>
      </w:r>
      <w:r w:rsidRPr="00334A5F">
        <w:rPr>
          <w:rFonts w:ascii="Arial" w:hAnsi="Arial" w:cs="Arial"/>
          <w:lang w:val="en-US"/>
        </w:rPr>
        <w:tab/>
      </w:r>
      <w:r w:rsidR="00D47D0A" w:rsidRPr="00D57D39">
        <w:rPr>
          <w:rFonts w:ascii="Arial" w:hAnsi="Arial" w:cs="Arial"/>
          <w:lang w:val="en-US"/>
        </w:rPr>
        <w:t xml:space="preserve">What then to make of </w:t>
      </w:r>
      <w:r w:rsidR="00D47D0A" w:rsidRPr="00D57D39">
        <w:rPr>
          <w:rFonts w:ascii="Arial" w:hAnsi="Arial" w:cs="Arial"/>
          <w:i/>
          <w:iCs/>
          <w:lang w:val="en-US"/>
        </w:rPr>
        <w:t xml:space="preserve">Potpale’s </w:t>
      </w:r>
      <w:r w:rsidR="00D47D0A" w:rsidRPr="00D57D39">
        <w:rPr>
          <w:rFonts w:ascii="Arial" w:hAnsi="Arial" w:cs="Arial"/>
          <w:lang w:val="en-US"/>
        </w:rPr>
        <w:t>statement, in paragraph 23, that it is open to a defendant who has elected to plead to avoid a bar “</w:t>
      </w:r>
      <w:r w:rsidR="00D47D0A" w:rsidRPr="00D57D39">
        <w:rPr>
          <w:rFonts w:ascii="Arial" w:hAnsi="Arial" w:cs="Arial"/>
          <w:i/>
          <w:iCs/>
        </w:rPr>
        <w:t>to apply to compel delivery of the documents and, if so advised, to thereafter seek to amend his plea</w:t>
      </w:r>
      <w:r w:rsidR="00D47D0A" w:rsidRPr="00D57D39">
        <w:rPr>
          <w:rFonts w:ascii="Arial" w:hAnsi="Arial" w:cs="Arial"/>
          <w:lang w:val="en-US"/>
        </w:rPr>
        <w:t xml:space="preserve">”? Does it permit that defendant to compel compliance with an earlier Rule 35(14) notice </w:t>
      </w:r>
      <w:r w:rsidR="00D47D0A" w:rsidRPr="00D57D39">
        <w:rPr>
          <w:rFonts w:ascii="Arial" w:hAnsi="Arial" w:cs="Arial"/>
          <w:lang w:val="en-US"/>
        </w:rPr>
        <w:lastRenderedPageBreak/>
        <w:t xml:space="preserve">after they have elected to plead? In my view, </w:t>
      </w:r>
      <w:r w:rsidR="00BE7D52" w:rsidRPr="00D57D39">
        <w:rPr>
          <w:rFonts w:ascii="Arial" w:hAnsi="Arial" w:cs="Arial"/>
          <w:lang w:val="en-US"/>
        </w:rPr>
        <w:t>it does not</w:t>
      </w:r>
      <w:r w:rsidR="00D47D0A" w:rsidRPr="00D57D39">
        <w:rPr>
          <w:rFonts w:ascii="Arial" w:hAnsi="Arial" w:cs="Arial"/>
          <w:lang w:val="en-US"/>
        </w:rPr>
        <w:t>. A party faced with bar can defeat it either by pleading as best they can</w:t>
      </w:r>
      <w:r w:rsidR="00334A5F" w:rsidRPr="00D57D39">
        <w:rPr>
          <w:rFonts w:ascii="Arial" w:hAnsi="Arial" w:cs="Arial"/>
          <w:lang w:val="en-US"/>
        </w:rPr>
        <w:t>,</w:t>
      </w:r>
      <w:r w:rsidR="00D47D0A" w:rsidRPr="00D57D39">
        <w:rPr>
          <w:rFonts w:ascii="Arial" w:hAnsi="Arial" w:cs="Arial"/>
          <w:lang w:val="en-US"/>
        </w:rPr>
        <w:t xml:space="preserve"> or by compelling discovery under Rule 35(14) </w:t>
      </w:r>
      <w:r w:rsidR="00BE7D52" w:rsidRPr="00D57D39">
        <w:rPr>
          <w:rFonts w:ascii="Arial" w:hAnsi="Arial" w:cs="Arial"/>
          <w:lang w:val="en-US"/>
        </w:rPr>
        <w:t>read with</w:t>
      </w:r>
      <w:r w:rsidR="00D47D0A" w:rsidRPr="00D57D39">
        <w:rPr>
          <w:rFonts w:ascii="Arial" w:hAnsi="Arial" w:cs="Arial"/>
          <w:lang w:val="en-US"/>
        </w:rPr>
        <w:t xml:space="preserve"> Rule 30A and simultaneously seeking an extension of the period within which to plead. Where the former course of action is </w:t>
      </w:r>
      <w:r w:rsidR="00334A5F" w:rsidRPr="00D57D39">
        <w:rPr>
          <w:rFonts w:ascii="Arial" w:hAnsi="Arial" w:cs="Arial"/>
          <w:lang w:val="en-US"/>
        </w:rPr>
        <w:t>followed</w:t>
      </w:r>
      <w:r w:rsidR="00D47D0A" w:rsidRPr="00D57D39">
        <w:rPr>
          <w:rFonts w:ascii="Arial" w:hAnsi="Arial" w:cs="Arial"/>
          <w:lang w:val="en-US"/>
        </w:rPr>
        <w:t xml:space="preserve">, the party elects to waive insistence on compliance with its Rule 35(14) notice, and the </w:t>
      </w:r>
      <w:r w:rsidR="00334A5F" w:rsidRPr="00D57D39">
        <w:rPr>
          <w:rFonts w:ascii="Arial" w:hAnsi="Arial" w:cs="Arial"/>
          <w:lang w:val="en-US"/>
        </w:rPr>
        <w:t xml:space="preserve">notice falls away. The </w:t>
      </w:r>
      <w:r w:rsidR="00D47D0A" w:rsidRPr="00D57D39">
        <w:rPr>
          <w:rFonts w:ascii="Arial" w:hAnsi="Arial" w:cs="Arial"/>
          <w:lang w:val="en-US"/>
        </w:rPr>
        <w:t xml:space="preserve">ordinary process then takes its course. </w:t>
      </w:r>
      <w:r w:rsidR="00334A5F" w:rsidRPr="00D57D39">
        <w:rPr>
          <w:rFonts w:ascii="Arial" w:hAnsi="Arial" w:cs="Arial"/>
          <w:lang w:val="en-US"/>
        </w:rPr>
        <w:t>O</w:t>
      </w:r>
      <w:r w:rsidR="00D47D0A" w:rsidRPr="00D57D39">
        <w:rPr>
          <w:rFonts w:ascii="Arial" w:hAnsi="Arial" w:cs="Arial"/>
          <w:lang w:val="en-US"/>
        </w:rPr>
        <w:t xml:space="preserve">nce pleadings close, </w:t>
      </w:r>
      <w:r w:rsidR="00334A5F" w:rsidRPr="00D57D39">
        <w:rPr>
          <w:rFonts w:ascii="Arial" w:hAnsi="Arial" w:cs="Arial"/>
          <w:lang w:val="en-US"/>
        </w:rPr>
        <w:t>that party can pursue discovery in the ordinary course under Rules 35(1) to 35(12). If the discovered documents disclose a basis for it, that party can later seek to amend its pleadings. But the election</w:t>
      </w:r>
      <w:r w:rsidR="00BE7D52" w:rsidRPr="00D57D39">
        <w:rPr>
          <w:rFonts w:ascii="Arial" w:hAnsi="Arial" w:cs="Arial"/>
          <w:lang w:val="en-US"/>
        </w:rPr>
        <w:t xml:space="preserve"> to</w:t>
      </w:r>
      <w:r w:rsidR="00334A5F" w:rsidRPr="00D57D39">
        <w:rPr>
          <w:rFonts w:ascii="Arial" w:hAnsi="Arial" w:cs="Arial"/>
          <w:lang w:val="en-US"/>
        </w:rPr>
        <w:t xml:space="preserve"> plead precludes </w:t>
      </w:r>
      <w:r w:rsidR="00BE7D52" w:rsidRPr="00D57D39">
        <w:rPr>
          <w:rFonts w:ascii="Arial" w:hAnsi="Arial" w:cs="Arial"/>
          <w:lang w:val="en-US"/>
        </w:rPr>
        <w:t xml:space="preserve">such party </w:t>
      </w:r>
      <w:r w:rsidR="00334A5F" w:rsidRPr="00D57D39">
        <w:rPr>
          <w:rFonts w:ascii="Arial" w:hAnsi="Arial" w:cs="Arial"/>
          <w:lang w:val="en-US"/>
        </w:rPr>
        <w:t>from continuing to rely on Rule 35(14)</w:t>
      </w:r>
      <w:r w:rsidR="00BE7D52" w:rsidRPr="00D57D39">
        <w:rPr>
          <w:rFonts w:ascii="Arial" w:hAnsi="Arial" w:cs="Arial"/>
          <w:lang w:val="en-US"/>
        </w:rPr>
        <w:t xml:space="preserve"> to compel early discovery</w:t>
      </w:r>
      <w:r w:rsidR="00334A5F" w:rsidRPr="00D57D39">
        <w:rPr>
          <w:rFonts w:ascii="Arial" w:hAnsi="Arial" w:cs="Arial"/>
          <w:lang w:val="en-US"/>
        </w:rPr>
        <w:t xml:space="preserve">; the very fact of its pleading means that </w:t>
      </w:r>
      <w:r w:rsidR="00BE7D52" w:rsidRPr="00D57D39">
        <w:rPr>
          <w:rFonts w:ascii="Arial" w:hAnsi="Arial" w:cs="Arial"/>
          <w:lang w:val="en-US"/>
        </w:rPr>
        <w:t>t</w:t>
      </w:r>
      <w:r w:rsidR="00334A5F" w:rsidRPr="00D57D39">
        <w:rPr>
          <w:rFonts w:ascii="Arial" w:hAnsi="Arial" w:cs="Arial"/>
          <w:lang w:val="en-US"/>
        </w:rPr>
        <w:t>he documents sought are not necessary to enable it to plead.</w:t>
      </w:r>
    </w:p>
    <w:p w14:paraId="23C3137A" w14:textId="77777777" w:rsidR="00334A5F" w:rsidRPr="00334A5F" w:rsidRDefault="00334A5F" w:rsidP="00334A5F">
      <w:pPr>
        <w:pStyle w:val="ListParagraph"/>
        <w:spacing w:line="360" w:lineRule="auto"/>
        <w:ind w:left="567"/>
        <w:jc w:val="both"/>
        <w:rPr>
          <w:rFonts w:ascii="Arial" w:hAnsi="Arial" w:cs="Arial"/>
          <w:lang w:val="en-US"/>
        </w:rPr>
      </w:pPr>
    </w:p>
    <w:p w14:paraId="0F76DEFB" w14:textId="12488D05" w:rsidR="00ED2969" w:rsidRPr="00D57D39" w:rsidRDefault="00D57D39" w:rsidP="00D57D39">
      <w:pPr>
        <w:tabs>
          <w:tab w:val="left" w:pos="567"/>
        </w:tabs>
        <w:spacing w:line="360" w:lineRule="auto"/>
        <w:ind w:left="567" w:hanging="567"/>
        <w:jc w:val="both"/>
        <w:rPr>
          <w:rFonts w:ascii="Arial" w:hAnsi="Arial" w:cs="Arial"/>
          <w:lang w:val="en-US"/>
        </w:rPr>
      </w:pPr>
      <w:r w:rsidRPr="00BE7D52">
        <w:rPr>
          <w:rFonts w:ascii="Arial" w:hAnsi="Arial" w:cs="Arial"/>
          <w:lang w:val="en-US"/>
        </w:rPr>
        <w:t>20.</w:t>
      </w:r>
      <w:r w:rsidRPr="00BE7D52">
        <w:rPr>
          <w:rFonts w:ascii="Arial" w:hAnsi="Arial" w:cs="Arial"/>
          <w:lang w:val="en-US"/>
        </w:rPr>
        <w:tab/>
      </w:r>
      <w:r w:rsidR="00334A5F" w:rsidRPr="00D57D39">
        <w:rPr>
          <w:rFonts w:ascii="Arial" w:hAnsi="Arial" w:cs="Arial"/>
          <w:lang w:val="en-US"/>
        </w:rPr>
        <w:t>In the circumstances, the application to compel is appropriately dismissed.</w:t>
      </w:r>
      <w:r w:rsidR="00BE7D52" w:rsidRPr="00D57D39">
        <w:rPr>
          <w:rFonts w:ascii="Arial" w:hAnsi="Arial" w:cs="Arial"/>
          <w:lang w:val="en-US"/>
        </w:rPr>
        <w:t xml:space="preserve"> </w:t>
      </w:r>
      <w:r w:rsidR="00334A5F" w:rsidRPr="00D57D39">
        <w:rPr>
          <w:rFonts w:ascii="Arial" w:hAnsi="Arial" w:cs="Arial"/>
          <w:lang w:val="en-US"/>
        </w:rPr>
        <w:t>I</w:t>
      </w:r>
      <w:r w:rsidR="00BE7D52" w:rsidRPr="00D57D39">
        <w:rPr>
          <w:rFonts w:ascii="Arial" w:hAnsi="Arial" w:cs="Arial"/>
          <w:lang w:val="en-US"/>
        </w:rPr>
        <w:t xml:space="preserve"> see no reason to depart from the ordinary approach that costs follow the result. </w:t>
      </w:r>
    </w:p>
    <w:p w14:paraId="736A7BA4" w14:textId="77777777" w:rsidR="00BE7D52" w:rsidRDefault="00BE7D52" w:rsidP="00334A5F">
      <w:pPr>
        <w:spacing w:line="360" w:lineRule="auto"/>
        <w:jc w:val="both"/>
        <w:rPr>
          <w:rFonts w:ascii="Arial" w:hAnsi="Arial" w:cs="Arial"/>
          <w:b/>
          <w:bCs/>
          <w:lang w:val="en-US"/>
        </w:rPr>
      </w:pPr>
    </w:p>
    <w:p w14:paraId="39619515" w14:textId="121965FE" w:rsidR="00334A5F" w:rsidRDefault="00ED2969" w:rsidP="00334A5F">
      <w:pPr>
        <w:spacing w:line="360" w:lineRule="auto"/>
        <w:jc w:val="both"/>
        <w:rPr>
          <w:rFonts w:ascii="Arial" w:hAnsi="Arial" w:cs="Arial"/>
          <w:b/>
          <w:bCs/>
          <w:lang w:val="en-US"/>
        </w:rPr>
      </w:pPr>
      <w:r w:rsidRPr="00334A5F">
        <w:rPr>
          <w:rFonts w:ascii="Arial" w:hAnsi="Arial" w:cs="Arial"/>
          <w:b/>
          <w:bCs/>
          <w:lang w:val="en-US"/>
        </w:rPr>
        <w:t>ORDER</w:t>
      </w:r>
    </w:p>
    <w:p w14:paraId="092A0592" w14:textId="77777777" w:rsidR="00BE7D52" w:rsidRPr="00334A5F" w:rsidRDefault="00BE7D52" w:rsidP="00334A5F">
      <w:pPr>
        <w:spacing w:line="360" w:lineRule="auto"/>
        <w:jc w:val="both"/>
        <w:rPr>
          <w:rFonts w:ascii="Arial" w:hAnsi="Arial" w:cs="Arial"/>
          <w:b/>
          <w:bCs/>
          <w:lang w:val="en-US"/>
        </w:rPr>
      </w:pPr>
    </w:p>
    <w:p w14:paraId="2BE5A998" w14:textId="1FAD42AD" w:rsidR="00334A5F" w:rsidRPr="00D57D39" w:rsidRDefault="00D57D39" w:rsidP="00D57D39">
      <w:pPr>
        <w:tabs>
          <w:tab w:val="left" w:pos="567"/>
        </w:tabs>
        <w:spacing w:line="360" w:lineRule="auto"/>
        <w:ind w:left="567" w:hanging="567"/>
        <w:jc w:val="both"/>
        <w:rPr>
          <w:rFonts w:ascii="Arial" w:hAnsi="Arial" w:cs="Arial"/>
          <w:lang w:val="en-US"/>
        </w:rPr>
      </w:pPr>
      <w:r w:rsidRPr="00334A5F">
        <w:rPr>
          <w:rFonts w:ascii="Arial" w:hAnsi="Arial" w:cs="Arial"/>
          <w:lang w:val="en-US"/>
        </w:rPr>
        <w:t>21.</w:t>
      </w:r>
      <w:r w:rsidRPr="00334A5F">
        <w:rPr>
          <w:rFonts w:ascii="Arial" w:hAnsi="Arial" w:cs="Arial"/>
          <w:lang w:val="en-US"/>
        </w:rPr>
        <w:tab/>
      </w:r>
      <w:r w:rsidR="00334A5F" w:rsidRPr="00D57D39">
        <w:rPr>
          <w:rFonts w:ascii="Arial" w:hAnsi="Arial" w:cs="Arial"/>
          <w:lang w:val="en-US"/>
        </w:rPr>
        <w:t xml:space="preserve">I </w:t>
      </w:r>
      <w:r w:rsidR="009A612A" w:rsidRPr="00D57D39">
        <w:rPr>
          <w:rFonts w:ascii="Arial" w:hAnsi="Arial" w:cs="Arial"/>
          <w:lang w:val="en-US"/>
        </w:rPr>
        <w:t xml:space="preserve">accordingly </w:t>
      </w:r>
      <w:r w:rsidR="00334A5F" w:rsidRPr="00D57D39">
        <w:rPr>
          <w:rFonts w:ascii="Arial" w:hAnsi="Arial" w:cs="Arial"/>
          <w:lang w:val="en-US"/>
        </w:rPr>
        <w:t>make the following order:</w:t>
      </w:r>
    </w:p>
    <w:p w14:paraId="5A933AED" w14:textId="77777777" w:rsidR="00334A5F" w:rsidRPr="00334A5F" w:rsidRDefault="00334A5F" w:rsidP="00334A5F">
      <w:pPr>
        <w:pStyle w:val="ListParagraph"/>
        <w:spacing w:line="360" w:lineRule="auto"/>
        <w:ind w:left="567"/>
        <w:jc w:val="both"/>
        <w:rPr>
          <w:rFonts w:ascii="Arial" w:hAnsi="Arial" w:cs="Arial"/>
          <w:lang w:val="en-US"/>
        </w:rPr>
      </w:pPr>
    </w:p>
    <w:p w14:paraId="032017B0" w14:textId="1C583421" w:rsidR="00334A5F" w:rsidRPr="00A1026B" w:rsidRDefault="00334A5F" w:rsidP="00A1026B">
      <w:pPr>
        <w:spacing w:line="360" w:lineRule="auto"/>
        <w:ind w:firstLine="567"/>
        <w:jc w:val="both"/>
        <w:rPr>
          <w:rFonts w:ascii="Arial" w:hAnsi="Arial" w:cs="Arial"/>
          <w:lang w:val="en-US"/>
        </w:rPr>
      </w:pPr>
      <w:r w:rsidRPr="00A1026B">
        <w:rPr>
          <w:rFonts w:ascii="Arial" w:hAnsi="Arial" w:cs="Arial"/>
          <w:lang w:val="en-US"/>
        </w:rPr>
        <w:t>The application to compel is dismissed</w:t>
      </w:r>
      <w:r w:rsidR="009A612A" w:rsidRPr="00A1026B">
        <w:rPr>
          <w:rFonts w:ascii="Arial" w:hAnsi="Arial" w:cs="Arial"/>
          <w:lang w:val="en-US"/>
        </w:rPr>
        <w:t>, with costs.</w:t>
      </w:r>
    </w:p>
    <w:p w14:paraId="764FDF5D" w14:textId="77777777" w:rsidR="00334A5F" w:rsidRPr="00334A5F" w:rsidRDefault="00334A5F" w:rsidP="00334A5F">
      <w:pPr>
        <w:spacing w:line="360" w:lineRule="auto"/>
        <w:jc w:val="both"/>
        <w:rPr>
          <w:rFonts w:ascii="Arial" w:hAnsi="Arial" w:cs="Arial"/>
          <w:lang w:val="en-US"/>
        </w:rPr>
      </w:pPr>
    </w:p>
    <w:p w14:paraId="2B132384" w14:textId="77777777" w:rsidR="00334A5F" w:rsidRPr="00334A5F" w:rsidRDefault="00334A5F" w:rsidP="00334A5F">
      <w:pPr>
        <w:spacing w:after="240" w:line="480" w:lineRule="auto"/>
        <w:jc w:val="both"/>
        <w:rPr>
          <w:rFonts w:ascii="Arial" w:hAnsi="Arial" w:cs="Arial"/>
          <w:lang w:val="en-US"/>
        </w:rPr>
      </w:pPr>
    </w:p>
    <w:p w14:paraId="18464850" w14:textId="77777777" w:rsidR="00334A5F" w:rsidRPr="00334A5F" w:rsidRDefault="00334A5F" w:rsidP="00334A5F">
      <w:pPr>
        <w:pStyle w:val="BodyText"/>
      </w:pPr>
    </w:p>
    <w:p w14:paraId="5B50D1DE" w14:textId="77777777" w:rsidR="00334A5F" w:rsidRPr="00334A5F" w:rsidRDefault="00334A5F" w:rsidP="00334A5F">
      <w:pPr>
        <w:pStyle w:val="BodyText"/>
        <w:spacing w:before="10"/>
      </w:pPr>
    </w:p>
    <w:p w14:paraId="46902351" w14:textId="77777777" w:rsidR="00334A5F" w:rsidRPr="00334A5F" w:rsidRDefault="00334A5F" w:rsidP="00334A5F">
      <w:pPr>
        <w:pStyle w:val="BodyText"/>
        <w:spacing w:line="20" w:lineRule="exact"/>
        <w:ind w:left="6211"/>
      </w:pPr>
      <w:r w:rsidRPr="00334A5F">
        <w:rPr>
          <w:noProof/>
        </w:rPr>
        <mc:AlternateContent>
          <mc:Choice Requires="wpg">
            <w:drawing>
              <wp:inline distT="0" distB="0" distL="0" distR="0" wp14:anchorId="0E94F44E" wp14:editId="036D135B">
                <wp:extent cx="1864995" cy="1016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10160"/>
                          <a:chOff x="0" y="0"/>
                          <a:chExt cx="2937" cy="16"/>
                        </a:xfrm>
                      </wpg:grpSpPr>
                      <wps:wsp>
                        <wps:cNvPr id="14" name="Line 3"/>
                        <wps:cNvCnPr>
                          <a:cxnSpLocks noChangeShapeType="1"/>
                        </wps:cNvCnPr>
                        <wps:spPr bwMode="auto">
                          <a:xfrm>
                            <a:off x="0" y="8"/>
                            <a:ext cx="2937" cy="0"/>
                          </a:xfrm>
                          <a:prstGeom prst="line">
                            <a:avLst/>
                          </a:prstGeom>
                          <a:noFill/>
                          <a:ln w="96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043BD4EE" id="Group 2" o:spid="_x0000_s1026" style="width:146.85pt;height:.8pt;mso-position-horizontal-relative:char;mso-position-vertical-relative:line" coordsize="29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">
                <v:line id="Line 3" o:spid="_x0000_s1027" style="position:absolute;visibility:visible;mso-wrap-style:square" from="0,8" to="2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" strokeweight=".26875mm"/>
                <w10:anchorlock/>
              </v:group>
            </w:pict>
          </mc:Fallback>
        </mc:AlternateContent>
      </w:r>
    </w:p>
    <w:p w14:paraId="22A7A2F5" w14:textId="77777777" w:rsidR="00334A5F" w:rsidRPr="00334A5F" w:rsidRDefault="00334A5F" w:rsidP="00334A5F">
      <w:pPr>
        <w:pStyle w:val="Heading1"/>
        <w:spacing w:line="275" w:lineRule="exact"/>
        <w:ind w:right="187"/>
        <w:jc w:val="right"/>
        <w:rPr>
          <w:rFonts w:ascii="Arial" w:hAnsi="Arial" w:cs="Arial"/>
          <w:b w:val="0"/>
          <w:sz w:val="24"/>
          <w:szCs w:val="24"/>
        </w:rPr>
      </w:pPr>
      <w:r w:rsidRPr="00334A5F">
        <w:rPr>
          <w:rFonts w:ascii="Arial" w:hAnsi="Arial" w:cs="Arial"/>
          <w:b w:val="0"/>
          <w:sz w:val="24"/>
          <w:szCs w:val="24"/>
        </w:rPr>
        <w:t>I GOODMAN,</w:t>
      </w:r>
      <w:r w:rsidRPr="00334A5F">
        <w:rPr>
          <w:rFonts w:ascii="Arial" w:hAnsi="Arial" w:cs="Arial"/>
          <w:b w:val="0"/>
          <w:spacing w:val="-2"/>
          <w:sz w:val="24"/>
          <w:szCs w:val="24"/>
        </w:rPr>
        <w:t xml:space="preserve"> </w:t>
      </w:r>
      <w:r w:rsidRPr="00334A5F">
        <w:rPr>
          <w:rFonts w:ascii="Arial" w:hAnsi="Arial" w:cs="Arial"/>
          <w:b w:val="0"/>
          <w:sz w:val="24"/>
          <w:szCs w:val="24"/>
        </w:rPr>
        <w:t>AJ</w:t>
      </w:r>
    </w:p>
    <w:p w14:paraId="14236441" w14:textId="77777777" w:rsidR="00334A5F" w:rsidRPr="00334A5F" w:rsidRDefault="00334A5F" w:rsidP="00334A5F">
      <w:pPr>
        <w:pStyle w:val="BodyText"/>
        <w:spacing w:line="275" w:lineRule="exact"/>
        <w:ind w:right="187"/>
        <w:jc w:val="right"/>
        <w:rPr>
          <w:b/>
        </w:rPr>
      </w:pPr>
      <w:r w:rsidRPr="00334A5F">
        <w:rPr>
          <w:b/>
        </w:rPr>
        <w:t>ACTING JUDGE OF THE HIGH COURT OF SOUTH</w:t>
      </w:r>
      <w:r w:rsidRPr="00334A5F">
        <w:rPr>
          <w:b/>
          <w:spacing w:val="-6"/>
        </w:rPr>
        <w:t xml:space="preserve"> </w:t>
      </w:r>
      <w:r w:rsidRPr="00334A5F">
        <w:rPr>
          <w:b/>
        </w:rPr>
        <w:t>AFRICA</w:t>
      </w:r>
    </w:p>
    <w:p w14:paraId="1A9A4A37" w14:textId="12B42DF5" w:rsidR="00ED2969" w:rsidRDefault="00334A5F" w:rsidP="00BE7D52">
      <w:pPr>
        <w:pStyle w:val="BodyText"/>
        <w:spacing w:before="5" w:line="237" w:lineRule="auto"/>
        <w:ind w:right="187"/>
        <w:jc w:val="right"/>
      </w:pPr>
      <w:r w:rsidRPr="00334A5F">
        <w:rPr>
          <w:b/>
        </w:rPr>
        <w:t xml:space="preserve"> GAUTENG </w:t>
      </w:r>
      <w:r w:rsidRPr="00334A5F">
        <w:rPr>
          <w:b/>
          <w:spacing w:val="-3"/>
        </w:rPr>
        <w:t>DIVISION JOHANNESBURG</w:t>
      </w:r>
      <w:r w:rsidR="00ED2969">
        <w:br w:type="page"/>
      </w:r>
    </w:p>
    <w:p w14:paraId="18457F49" w14:textId="0B82238B" w:rsidR="00334A5F" w:rsidRPr="00334A5F" w:rsidRDefault="00334A5F" w:rsidP="00334A5F">
      <w:pPr>
        <w:pStyle w:val="BodyText"/>
        <w:tabs>
          <w:tab w:val="left" w:pos="4450"/>
        </w:tabs>
        <w:spacing w:line="360" w:lineRule="auto"/>
      </w:pPr>
      <w:r w:rsidRPr="00334A5F">
        <w:lastRenderedPageBreak/>
        <w:t>Hearing date:</w:t>
      </w:r>
      <w:r w:rsidRPr="00334A5F">
        <w:tab/>
      </w:r>
      <w:r>
        <w:t>22 January 2024</w:t>
      </w:r>
    </w:p>
    <w:p w14:paraId="3D30C99E" w14:textId="0276F9DA" w:rsidR="00334A5F" w:rsidRPr="00334A5F" w:rsidRDefault="00334A5F" w:rsidP="00334A5F">
      <w:pPr>
        <w:pStyle w:val="BodyText"/>
        <w:tabs>
          <w:tab w:val="left" w:pos="4450"/>
        </w:tabs>
        <w:spacing w:line="360" w:lineRule="auto"/>
      </w:pPr>
      <w:r w:rsidRPr="00334A5F">
        <w:t>Judgment</w:t>
      </w:r>
      <w:r w:rsidRPr="00334A5F">
        <w:rPr>
          <w:spacing w:val="-1"/>
        </w:rPr>
        <w:t xml:space="preserve"> </w:t>
      </w:r>
      <w:r w:rsidRPr="00334A5F">
        <w:t>date:</w:t>
      </w:r>
      <w:r w:rsidRPr="00334A5F">
        <w:tab/>
      </w:r>
      <w:r>
        <w:t>29 January 2024</w:t>
      </w:r>
    </w:p>
    <w:p w14:paraId="13B391C9" w14:textId="77777777" w:rsidR="00334A5F" w:rsidRPr="00334A5F" w:rsidRDefault="00334A5F" w:rsidP="00334A5F">
      <w:pPr>
        <w:spacing w:before="93" w:line="360" w:lineRule="auto"/>
        <w:rPr>
          <w:rFonts w:ascii="Arial" w:hAnsi="Arial" w:cs="Arial"/>
          <w:b/>
          <w:u w:val="thick"/>
        </w:rPr>
      </w:pPr>
    </w:p>
    <w:p w14:paraId="6AEC8842" w14:textId="77777777" w:rsidR="00334A5F" w:rsidRPr="00334A5F" w:rsidRDefault="00334A5F" w:rsidP="00334A5F">
      <w:pPr>
        <w:spacing w:before="93"/>
        <w:rPr>
          <w:rFonts w:ascii="Arial" w:hAnsi="Arial" w:cs="Arial"/>
          <w:b/>
          <w:u w:val="thick"/>
        </w:rPr>
      </w:pPr>
    </w:p>
    <w:p w14:paraId="0F344DAE" w14:textId="77777777" w:rsidR="00334A5F" w:rsidRPr="00334A5F" w:rsidRDefault="00334A5F" w:rsidP="00334A5F">
      <w:pPr>
        <w:spacing w:before="93"/>
        <w:rPr>
          <w:rFonts w:ascii="Arial" w:hAnsi="Arial" w:cs="Arial"/>
          <w:b/>
        </w:rPr>
      </w:pPr>
      <w:r w:rsidRPr="00334A5F">
        <w:rPr>
          <w:rFonts w:ascii="Arial" w:hAnsi="Arial" w:cs="Arial"/>
          <w:b/>
          <w:u w:val="thick"/>
        </w:rPr>
        <w:t>Appearances:</w:t>
      </w:r>
    </w:p>
    <w:p w14:paraId="6494CFDF" w14:textId="2D1BDBE9" w:rsidR="00334A5F" w:rsidRPr="00334A5F" w:rsidRDefault="00334A5F" w:rsidP="00334A5F">
      <w:pPr>
        <w:pStyle w:val="BodyText"/>
        <w:tabs>
          <w:tab w:val="left" w:pos="4450"/>
        </w:tabs>
        <w:spacing w:before="92"/>
      </w:pPr>
      <w:r>
        <w:t>F</w:t>
      </w:r>
      <w:r w:rsidRPr="00334A5F">
        <w:t>or</w:t>
      </w:r>
      <w:r w:rsidRPr="00334A5F">
        <w:rPr>
          <w:spacing w:val="-1"/>
        </w:rPr>
        <w:t xml:space="preserve"> </w:t>
      </w:r>
      <w:r w:rsidRPr="00334A5F">
        <w:t>the applicant:</w:t>
      </w:r>
      <w:r w:rsidRPr="00334A5F">
        <w:tab/>
      </w:r>
      <w:r>
        <w:t>Shamase</w:t>
      </w:r>
      <w:r w:rsidR="00ED2969">
        <w:t xml:space="preserve"> Ramotswedi Attorneys</w:t>
      </w:r>
    </w:p>
    <w:p w14:paraId="1FDD5672" w14:textId="77777777" w:rsidR="00334A5F" w:rsidRPr="00334A5F" w:rsidRDefault="00334A5F" w:rsidP="00334A5F">
      <w:pPr>
        <w:pStyle w:val="BodyText"/>
      </w:pPr>
    </w:p>
    <w:p w14:paraId="094A25D7" w14:textId="77777777" w:rsidR="00334A5F" w:rsidRPr="00334A5F" w:rsidRDefault="00334A5F" w:rsidP="00334A5F">
      <w:pPr>
        <w:pStyle w:val="BodyText"/>
        <w:spacing w:before="9"/>
      </w:pPr>
    </w:p>
    <w:p w14:paraId="7C9A5516" w14:textId="1543F748" w:rsidR="00334A5F" w:rsidRPr="00334A5F" w:rsidRDefault="00334A5F" w:rsidP="00334A5F">
      <w:pPr>
        <w:pStyle w:val="BodyText"/>
        <w:tabs>
          <w:tab w:val="left" w:pos="4450"/>
        </w:tabs>
      </w:pPr>
      <w:r w:rsidRPr="00334A5F">
        <w:t>Counsel for</w:t>
      </w:r>
      <w:r w:rsidRPr="00334A5F">
        <w:rPr>
          <w:spacing w:val="-1"/>
        </w:rPr>
        <w:t xml:space="preserve"> </w:t>
      </w:r>
      <w:r w:rsidRPr="00334A5F">
        <w:t>the second respondent:</w:t>
      </w:r>
      <w:r w:rsidRPr="00334A5F">
        <w:tab/>
      </w:r>
      <w:r w:rsidR="00ED2969">
        <w:t>A J Reyneke</w:t>
      </w:r>
    </w:p>
    <w:p w14:paraId="47BF1EBC" w14:textId="43A0D116" w:rsidR="00334A5F" w:rsidRPr="00334A5F" w:rsidRDefault="00334A5F" w:rsidP="00334A5F">
      <w:pPr>
        <w:pStyle w:val="BodyText"/>
        <w:tabs>
          <w:tab w:val="left" w:pos="4450"/>
        </w:tabs>
        <w:spacing w:before="137"/>
      </w:pPr>
      <w:r w:rsidRPr="00334A5F">
        <w:t>Instructing</w:t>
      </w:r>
      <w:r w:rsidRPr="00334A5F">
        <w:rPr>
          <w:spacing w:val="-1"/>
        </w:rPr>
        <w:t xml:space="preserve"> </w:t>
      </w:r>
      <w:r w:rsidRPr="00334A5F">
        <w:t>attorneys:</w:t>
      </w:r>
      <w:r w:rsidRPr="00334A5F">
        <w:tab/>
      </w:r>
      <w:r w:rsidR="00ED2969">
        <w:t>Tim du Toit &amp; Co Inc.</w:t>
      </w:r>
    </w:p>
    <w:p w14:paraId="0A0AE1CD" w14:textId="77777777" w:rsidR="00334A5F" w:rsidRPr="00334A5F" w:rsidRDefault="00334A5F" w:rsidP="00334A5F">
      <w:pPr>
        <w:pStyle w:val="BodyText"/>
      </w:pPr>
    </w:p>
    <w:p w14:paraId="5E851E3B" w14:textId="77777777" w:rsidR="00334A5F" w:rsidRPr="00334A5F" w:rsidRDefault="00334A5F" w:rsidP="00334A5F">
      <w:pPr>
        <w:pStyle w:val="BodyText"/>
        <w:spacing w:before="2"/>
      </w:pPr>
    </w:p>
    <w:p w14:paraId="33E5B672" w14:textId="77777777" w:rsidR="00334A5F" w:rsidRPr="00334A5F" w:rsidRDefault="00334A5F" w:rsidP="00334A5F">
      <w:pPr>
        <w:spacing w:after="240" w:line="480" w:lineRule="auto"/>
        <w:jc w:val="both"/>
        <w:rPr>
          <w:rFonts w:ascii="Arial" w:hAnsi="Arial" w:cs="Arial"/>
          <w:lang w:val="en-US"/>
        </w:rPr>
      </w:pPr>
    </w:p>
    <w:bookmarkEnd w:id="0"/>
    <w:p w14:paraId="3C5A6D34" w14:textId="77777777" w:rsidR="00A33EA7" w:rsidRPr="00334A5F" w:rsidRDefault="00A33EA7" w:rsidP="00334A5F">
      <w:pPr>
        <w:spacing w:line="360" w:lineRule="auto"/>
        <w:jc w:val="both"/>
        <w:rPr>
          <w:rFonts w:ascii="Arial" w:hAnsi="Arial" w:cs="Arial"/>
          <w:lang w:val="en-US"/>
        </w:rPr>
      </w:pPr>
    </w:p>
    <w:sectPr w:rsidR="00A33EA7" w:rsidRPr="00334A5F">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8AA8F" w14:textId="77777777" w:rsidR="00475CBB" w:rsidRDefault="00475CBB" w:rsidP="00596525">
      <w:r>
        <w:separator/>
      </w:r>
    </w:p>
  </w:endnote>
  <w:endnote w:type="continuationSeparator" w:id="0">
    <w:p w14:paraId="0AB773DB" w14:textId="77777777" w:rsidR="00475CBB" w:rsidRDefault="00475CBB" w:rsidP="0059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7254E" w14:textId="77777777" w:rsidR="00475CBB" w:rsidRDefault="00475CBB" w:rsidP="00596525">
      <w:r>
        <w:separator/>
      </w:r>
    </w:p>
  </w:footnote>
  <w:footnote w:type="continuationSeparator" w:id="0">
    <w:p w14:paraId="53CE5552" w14:textId="77777777" w:rsidR="00475CBB" w:rsidRDefault="00475CBB" w:rsidP="00596525">
      <w:r>
        <w:continuationSeparator/>
      </w:r>
    </w:p>
  </w:footnote>
  <w:footnote w:id="1">
    <w:p w14:paraId="25A8C0D3" w14:textId="00FCFC31" w:rsidR="00596525" w:rsidRPr="00334A5F" w:rsidRDefault="00596525" w:rsidP="00BE7D52">
      <w:pPr>
        <w:pStyle w:val="FootnoteText"/>
        <w:ind w:left="426" w:hanging="426"/>
        <w:rPr>
          <w:rFonts w:ascii="Arial" w:hAnsi="Arial" w:cs="Arial"/>
          <w:lang w:val="en-US"/>
        </w:rPr>
      </w:pPr>
      <w:r w:rsidRPr="00334A5F">
        <w:rPr>
          <w:rStyle w:val="FootnoteReference"/>
          <w:rFonts w:ascii="Arial" w:hAnsi="Arial" w:cs="Arial"/>
        </w:rPr>
        <w:footnoteRef/>
      </w:r>
      <w:r w:rsidRPr="00334A5F">
        <w:rPr>
          <w:rFonts w:ascii="Arial" w:hAnsi="Arial" w:cs="Arial"/>
        </w:rPr>
        <w:t xml:space="preserve"> </w:t>
      </w:r>
      <w:r w:rsidRPr="00334A5F">
        <w:rPr>
          <w:rFonts w:ascii="Arial" w:hAnsi="Arial" w:cs="Arial"/>
          <w:lang w:val="en-US"/>
        </w:rPr>
        <w:tab/>
        <w:t>2016 (5) SA 96 (KZP)</w:t>
      </w:r>
      <w:r w:rsidR="001B3DB5" w:rsidRPr="00334A5F">
        <w:rPr>
          <w:rFonts w:ascii="Arial" w:hAnsi="Arial" w:cs="Arial"/>
          <w:lang w:val="en-US"/>
        </w:rPr>
        <w:t>.</w:t>
      </w:r>
    </w:p>
  </w:footnote>
  <w:footnote w:id="2">
    <w:p w14:paraId="51A75B99" w14:textId="39F7E1E0" w:rsidR="001B3DB5" w:rsidRPr="00334A5F" w:rsidRDefault="001B3DB5" w:rsidP="00BE7D52">
      <w:pPr>
        <w:pStyle w:val="FootnoteText"/>
        <w:ind w:left="426" w:hanging="426"/>
        <w:rPr>
          <w:rFonts w:ascii="Arial" w:hAnsi="Arial" w:cs="Arial"/>
          <w:lang w:val="en-US"/>
        </w:rPr>
      </w:pPr>
      <w:r w:rsidRPr="00334A5F">
        <w:rPr>
          <w:rStyle w:val="FootnoteReference"/>
          <w:rFonts w:ascii="Arial" w:hAnsi="Arial" w:cs="Arial"/>
        </w:rPr>
        <w:footnoteRef/>
      </w:r>
      <w:r w:rsidRPr="00334A5F">
        <w:rPr>
          <w:rFonts w:ascii="Arial" w:hAnsi="Arial" w:cs="Arial"/>
        </w:rPr>
        <w:t xml:space="preserve"> </w:t>
      </w:r>
      <w:r w:rsidRPr="00334A5F">
        <w:rPr>
          <w:rFonts w:ascii="Arial" w:hAnsi="Arial" w:cs="Arial"/>
          <w:lang w:val="en-US"/>
        </w:rPr>
        <w:tab/>
      </w:r>
      <w:r w:rsidRPr="00334A5F">
        <w:rPr>
          <w:rFonts w:ascii="Arial" w:hAnsi="Arial" w:cs="Arial"/>
        </w:rPr>
        <w:t>1987 (4) SA 442 (C) at 447E-H.</w:t>
      </w:r>
    </w:p>
  </w:footnote>
  <w:footnote w:id="3">
    <w:p w14:paraId="09594DB3" w14:textId="47B4CCC2" w:rsidR="006D17D7" w:rsidRPr="00334A5F" w:rsidRDefault="006D17D7" w:rsidP="00BE7D52">
      <w:pPr>
        <w:pStyle w:val="FootnoteText"/>
        <w:ind w:left="426" w:hanging="426"/>
        <w:rPr>
          <w:rFonts w:ascii="Arial" w:hAnsi="Arial" w:cs="Arial"/>
          <w:lang w:val="en-US"/>
        </w:rPr>
      </w:pPr>
      <w:r w:rsidRPr="00334A5F">
        <w:rPr>
          <w:rStyle w:val="FootnoteReference"/>
          <w:rFonts w:ascii="Arial" w:hAnsi="Arial" w:cs="Arial"/>
        </w:rPr>
        <w:footnoteRef/>
      </w:r>
      <w:r w:rsidRPr="00334A5F">
        <w:rPr>
          <w:rFonts w:ascii="Arial" w:hAnsi="Arial" w:cs="Arial"/>
        </w:rPr>
        <w:t xml:space="preserve"> </w:t>
      </w:r>
      <w:r w:rsidRPr="00334A5F">
        <w:rPr>
          <w:rFonts w:ascii="Arial" w:hAnsi="Arial" w:cs="Arial"/>
          <w:lang w:val="en-US"/>
        </w:rPr>
        <w:tab/>
      </w:r>
      <w:r w:rsidRPr="00334A5F">
        <w:rPr>
          <w:rFonts w:ascii="Arial" w:hAnsi="Arial" w:cs="Arial"/>
          <w:i/>
          <w:iCs/>
          <w:lang w:val="en-US"/>
        </w:rPr>
        <w:t xml:space="preserve">Potpale </w:t>
      </w:r>
      <w:r w:rsidRPr="00334A5F">
        <w:rPr>
          <w:rFonts w:ascii="Arial" w:hAnsi="Arial" w:cs="Arial"/>
          <w:lang w:val="en-US"/>
        </w:rPr>
        <w:t>at paras 21-23.</w:t>
      </w:r>
    </w:p>
  </w:footnote>
  <w:footnote w:id="4">
    <w:p w14:paraId="063F5D8F" w14:textId="4C33C752" w:rsidR="00FB2571" w:rsidRPr="00334A5F" w:rsidRDefault="00FB2571" w:rsidP="00BE7D52">
      <w:pPr>
        <w:pStyle w:val="FootnoteText"/>
        <w:ind w:left="426" w:hanging="426"/>
        <w:rPr>
          <w:rFonts w:ascii="Arial" w:hAnsi="Arial" w:cs="Arial"/>
          <w:lang w:val="en-US"/>
        </w:rPr>
      </w:pPr>
      <w:r w:rsidRPr="00334A5F">
        <w:rPr>
          <w:rStyle w:val="FootnoteReference"/>
          <w:rFonts w:ascii="Arial" w:hAnsi="Arial" w:cs="Arial"/>
        </w:rPr>
        <w:footnoteRef/>
      </w:r>
      <w:r w:rsidRPr="00334A5F">
        <w:rPr>
          <w:rFonts w:ascii="Arial" w:hAnsi="Arial" w:cs="Arial"/>
        </w:rPr>
        <w:t xml:space="preserve"> </w:t>
      </w:r>
      <w:r w:rsidRPr="00334A5F">
        <w:rPr>
          <w:rFonts w:ascii="Arial" w:hAnsi="Arial" w:cs="Arial"/>
          <w:lang w:val="en-US"/>
        </w:rPr>
        <w:tab/>
        <w:t xml:space="preserve">See, by analogy, </w:t>
      </w:r>
      <w:r w:rsidRPr="00334A5F">
        <w:rPr>
          <w:rFonts w:ascii="Arial" w:hAnsi="Arial" w:cs="Arial"/>
          <w:i/>
          <w:iCs/>
        </w:rPr>
        <w:t>Centre for Child Law v Hoërskool Fochville and Another Z</w:t>
      </w:r>
      <w:r w:rsidRPr="00334A5F">
        <w:rPr>
          <w:rFonts w:ascii="Arial" w:hAnsi="Arial" w:cs="Arial"/>
        </w:rPr>
        <w:t>2016 (2) SA 121 (SCA) at paras 15-17.</w:t>
      </w:r>
    </w:p>
  </w:footnote>
  <w:footnote w:id="5">
    <w:p w14:paraId="67262E66" w14:textId="7FC01095" w:rsidR="00D9392D" w:rsidRPr="00334A5F" w:rsidRDefault="00D9392D" w:rsidP="00BE7D52">
      <w:pPr>
        <w:pStyle w:val="FootnoteText"/>
        <w:ind w:left="426" w:hanging="426"/>
        <w:rPr>
          <w:rFonts w:ascii="Arial" w:hAnsi="Arial" w:cs="Arial"/>
          <w:lang w:val="en-US"/>
        </w:rPr>
      </w:pPr>
      <w:r w:rsidRPr="00334A5F">
        <w:rPr>
          <w:rStyle w:val="FootnoteReference"/>
          <w:rFonts w:ascii="Arial" w:hAnsi="Arial" w:cs="Arial"/>
        </w:rPr>
        <w:footnoteRef/>
      </w:r>
      <w:r w:rsidRPr="00334A5F">
        <w:rPr>
          <w:rFonts w:ascii="Arial" w:hAnsi="Arial" w:cs="Arial"/>
        </w:rPr>
        <w:t xml:space="preserve"> </w:t>
      </w:r>
      <w:r w:rsidRPr="00334A5F">
        <w:rPr>
          <w:rFonts w:ascii="Arial" w:hAnsi="Arial" w:cs="Arial"/>
          <w:lang w:val="en-US"/>
        </w:rPr>
        <w:tab/>
      </w:r>
      <w:r w:rsidRPr="00334A5F">
        <w:rPr>
          <w:rFonts w:ascii="Arial" w:hAnsi="Arial" w:cs="Arial"/>
          <w:i/>
          <w:iCs/>
          <w:lang w:val="en-US"/>
        </w:rPr>
        <w:t>Centre for Child Law</w:t>
      </w:r>
      <w:r w:rsidRPr="00334A5F">
        <w:rPr>
          <w:rFonts w:ascii="Arial" w:hAnsi="Arial" w:cs="Arial"/>
          <w:lang w:val="en-US"/>
        </w:rPr>
        <w:t xml:space="preserve"> para 17.</w:t>
      </w:r>
    </w:p>
  </w:footnote>
  <w:footnote w:id="6">
    <w:p w14:paraId="37A021AD" w14:textId="75A3E0A1" w:rsidR="00D47D0A" w:rsidRPr="00334A5F" w:rsidRDefault="00D47D0A" w:rsidP="00BE7D52">
      <w:pPr>
        <w:pStyle w:val="FootnoteText"/>
        <w:ind w:left="426" w:hanging="426"/>
        <w:rPr>
          <w:rFonts w:ascii="Arial" w:hAnsi="Arial" w:cs="Arial"/>
          <w:lang w:val="en-US"/>
        </w:rPr>
      </w:pPr>
      <w:r w:rsidRPr="00334A5F">
        <w:rPr>
          <w:rStyle w:val="FootnoteReference"/>
          <w:rFonts w:ascii="Arial" w:hAnsi="Arial" w:cs="Arial"/>
        </w:rPr>
        <w:footnoteRef/>
      </w:r>
      <w:r w:rsidRPr="00334A5F">
        <w:rPr>
          <w:rFonts w:ascii="Arial" w:hAnsi="Arial" w:cs="Arial"/>
        </w:rPr>
        <w:t xml:space="preserve"> </w:t>
      </w:r>
      <w:r w:rsidRPr="00334A5F">
        <w:rPr>
          <w:rFonts w:ascii="Arial" w:hAnsi="Arial" w:cs="Arial"/>
          <w:lang w:val="en-US"/>
        </w:rPr>
        <w:tab/>
        <w:t xml:space="preserve">See </w:t>
      </w:r>
      <w:r w:rsidRPr="00334A5F">
        <w:rPr>
          <w:rFonts w:ascii="Arial" w:hAnsi="Arial" w:cs="Arial"/>
          <w:i/>
          <w:iCs/>
          <w:lang w:val="en-US"/>
        </w:rPr>
        <w:t xml:space="preserve">Cullinan Holdings Ltd v Mamelodi Stadsraad </w:t>
      </w:r>
      <w:r w:rsidRPr="00334A5F">
        <w:rPr>
          <w:rFonts w:ascii="Arial" w:hAnsi="Arial" w:cs="Arial"/>
          <w:lang w:val="en-US"/>
        </w:rPr>
        <w:t xml:space="preserve">1992 (1) SA 645 (T) at 647F.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1050009"/>
      <w:docPartObj>
        <w:docPartGallery w:val="Page Numbers (Top of Page)"/>
        <w:docPartUnique/>
      </w:docPartObj>
    </w:sdtPr>
    <w:sdtEndPr>
      <w:rPr>
        <w:rStyle w:val="PageNumber"/>
      </w:rPr>
    </w:sdtEndPr>
    <w:sdtContent>
      <w:p w14:paraId="59998476" w14:textId="28C2650F" w:rsidR="00D9392D" w:rsidRDefault="00D9392D" w:rsidP="006262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DA9BD8" w14:textId="77777777" w:rsidR="00D9392D" w:rsidRDefault="00D9392D" w:rsidP="00D9392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4551620"/>
      <w:docPartObj>
        <w:docPartGallery w:val="Page Numbers (Top of Page)"/>
        <w:docPartUnique/>
      </w:docPartObj>
    </w:sdtPr>
    <w:sdtEndPr>
      <w:rPr>
        <w:rStyle w:val="PageNumber"/>
      </w:rPr>
    </w:sdtEndPr>
    <w:sdtContent>
      <w:p w14:paraId="6B4A69C8" w14:textId="0ED5631E" w:rsidR="00D9392D" w:rsidRDefault="00D9392D" w:rsidP="006262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7D39">
          <w:rPr>
            <w:rStyle w:val="PageNumber"/>
            <w:noProof/>
          </w:rPr>
          <w:t>2</w:t>
        </w:r>
        <w:r>
          <w:rPr>
            <w:rStyle w:val="PageNumber"/>
          </w:rPr>
          <w:fldChar w:fldCharType="end"/>
        </w:r>
      </w:p>
    </w:sdtContent>
  </w:sdt>
  <w:p w14:paraId="50912522" w14:textId="77777777" w:rsidR="00D9392D" w:rsidRDefault="00D9392D" w:rsidP="00D9392D">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B38"/>
    <w:multiLevelType w:val="multilevel"/>
    <w:tmpl w:val="FD8EE4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61"/>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wNzMyNDMzNzIxMzFR0lEKTi0uzszPAykwrAUAKO5rTCwAAAA="/>
  </w:docVars>
  <w:rsids>
    <w:rsidRoot w:val="004E7431"/>
    <w:rsid w:val="00024540"/>
    <w:rsid w:val="00081357"/>
    <w:rsid w:val="001B3DB5"/>
    <w:rsid w:val="0024543B"/>
    <w:rsid w:val="00306545"/>
    <w:rsid w:val="00334A5F"/>
    <w:rsid w:val="003C1D44"/>
    <w:rsid w:val="00407701"/>
    <w:rsid w:val="004163B3"/>
    <w:rsid w:val="00436330"/>
    <w:rsid w:val="00444DC0"/>
    <w:rsid w:val="00475CBB"/>
    <w:rsid w:val="00495750"/>
    <w:rsid w:val="004E7431"/>
    <w:rsid w:val="00501841"/>
    <w:rsid w:val="00571A5D"/>
    <w:rsid w:val="0057571C"/>
    <w:rsid w:val="00583638"/>
    <w:rsid w:val="00596525"/>
    <w:rsid w:val="005A3762"/>
    <w:rsid w:val="005D627C"/>
    <w:rsid w:val="006D17D7"/>
    <w:rsid w:val="00761029"/>
    <w:rsid w:val="007B3DD6"/>
    <w:rsid w:val="007C235E"/>
    <w:rsid w:val="007D1D93"/>
    <w:rsid w:val="009A612A"/>
    <w:rsid w:val="00A1026B"/>
    <w:rsid w:val="00A33EA7"/>
    <w:rsid w:val="00A4420A"/>
    <w:rsid w:val="00AA0B8C"/>
    <w:rsid w:val="00AE62DF"/>
    <w:rsid w:val="00B92399"/>
    <w:rsid w:val="00BE7D52"/>
    <w:rsid w:val="00C521BD"/>
    <w:rsid w:val="00CA52D3"/>
    <w:rsid w:val="00D47D0A"/>
    <w:rsid w:val="00D50525"/>
    <w:rsid w:val="00D57D39"/>
    <w:rsid w:val="00D75D4B"/>
    <w:rsid w:val="00D9392D"/>
    <w:rsid w:val="00E414EE"/>
    <w:rsid w:val="00E8419E"/>
    <w:rsid w:val="00ED2969"/>
    <w:rsid w:val="00ED3262"/>
    <w:rsid w:val="00EF19D0"/>
    <w:rsid w:val="00F2260B"/>
    <w:rsid w:val="00F758D2"/>
    <w:rsid w:val="00FA64D4"/>
    <w:rsid w:val="00FB2571"/>
    <w:rsid w:val="00FB746C"/>
    <w:rsid w:val="00FD755D"/>
    <w:rsid w:val="00FE68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FBB2"/>
  <w15:chartTrackingRefBased/>
  <w15:docId w15:val="{A260065C-FAF3-5C49-A67C-D9604382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260B"/>
    <w:pPr>
      <w:keepNext/>
      <w:spacing w:before="240" w:after="60"/>
      <w:outlineLvl w:val="0"/>
    </w:pPr>
    <w:rPr>
      <w:rFonts w:ascii="Cambria" w:eastAsia="Times New Roman" w:hAnsi="Cambria" w:cs="Times New Roman"/>
      <w:b/>
      <w:bCs/>
      <w:kern w:val="32"/>
      <w:sz w:val="32"/>
      <w:szCs w:val="32"/>
      <w:lang w:val="en-GB"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31"/>
    <w:pPr>
      <w:ind w:left="720"/>
      <w:contextualSpacing/>
    </w:pPr>
  </w:style>
  <w:style w:type="character" w:customStyle="1" w:styleId="Heading1Char">
    <w:name w:val="Heading 1 Char"/>
    <w:basedOn w:val="DefaultParagraphFont"/>
    <w:link w:val="Heading1"/>
    <w:rsid w:val="00F2260B"/>
    <w:rPr>
      <w:rFonts w:ascii="Cambria" w:eastAsia="Times New Roman" w:hAnsi="Cambria" w:cs="Times New Roman"/>
      <w:b/>
      <w:bCs/>
      <w:kern w:val="32"/>
      <w:sz w:val="32"/>
      <w:szCs w:val="32"/>
      <w:lang w:val="en-GB" w:eastAsia="zh-CN"/>
      <w14:ligatures w14:val="none"/>
    </w:rPr>
  </w:style>
  <w:style w:type="paragraph" w:customStyle="1" w:styleId="Body">
    <w:name w:val="Body"/>
    <w:rsid w:val="00F2260B"/>
    <w:pPr>
      <w:pBdr>
        <w:top w:val="nil"/>
        <w:left w:val="nil"/>
        <w:bottom w:val="nil"/>
        <w:right w:val="nil"/>
        <w:between w:val="nil"/>
        <w:bar w:val="nil"/>
      </w:pBdr>
      <w:spacing w:after="200" w:line="276" w:lineRule="auto"/>
      <w:jc w:val="both"/>
    </w:pPr>
    <w:rPr>
      <w:rFonts w:ascii="Arial" w:eastAsia="Arial Unicode MS" w:hAnsi="Arial Unicode MS" w:cs="Arial Unicode MS"/>
      <w:color w:val="000000"/>
      <w:kern w:val="0"/>
      <w:u w:color="000000"/>
      <w:bdr w:val="nil"/>
      <w:lang w:val="en-US"/>
      <w14:ligatures w14:val="none"/>
    </w:rPr>
  </w:style>
  <w:style w:type="table" w:styleId="TableGrid">
    <w:name w:val="Table Grid"/>
    <w:basedOn w:val="TableNormal"/>
    <w:uiPriority w:val="39"/>
    <w:rsid w:val="00F2260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6525"/>
    <w:rPr>
      <w:sz w:val="20"/>
      <w:szCs w:val="20"/>
    </w:rPr>
  </w:style>
  <w:style w:type="character" w:customStyle="1" w:styleId="FootnoteTextChar">
    <w:name w:val="Footnote Text Char"/>
    <w:basedOn w:val="DefaultParagraphFont"/>
    <w:link w:val="FootnoteText"/>
    <w:uiPriority w:val="99"/>
    <w:semiHidden/>
    <w:rsid w:val="00596525"/>
    <w:rPr>
      <w:sz w:val="20"/>
      <w:szCs w:val="20"/>
    </w:rPr>
  </w:style>
  <w:style w:type="character" w:styleId="FootnoteReference">
    <w:name w:val="footnote reference"/>
    <w:basedOn w:val="DefaultParagraphFont"/>
    <w:uiPriority w:val="99"/>
    <w:semiHidden/>
    <w:unhideWhenUsed/>
    <w:rsid w:val="00596525"/>
    <w:rPr>
      <w:vertAlign w:val="superscript"/>
    </w:rPr>
  </w:style>
  <w:style w:type="character" w:styleId="Hyperlink">
    <w:name w:val="Hyperlink"/>
    <w:basedOn w:val="DefaultParagraphFont"/>
    <w:uiPriority w:val="99"/>
    <w:semiHidden/>
    <w:unhideWhenUsed/>
    <w:rsid w:val="001B3DB5"/>
    <w:rPr>
      <w:color w:val="0000FF"/>
      <w:u w:val="single"/>
    </w:rPr>
  </w:style>
  <w:style w:type="paragraph" w:customStyle="1" w:styleId="lrpara">
    <w:name w:val="lrpara"/>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footnoteanchor">
    <w:name w:val="footnoteanchor"/>
    <w:basedOn w:val="DefaultParagraphFont"/>
    <w:rsid w:val="006D17D7"/>
  </w:style>
  <w:style w:type="character" w:customStyle="1" w:styleId="mc">
    <w:name w:val="mc"/>
    <w:basedOn w:val="DefaultParagraphFont"/>
    <w:rsid w:val="006D17D7"/>
  </w:style>
  <w:style w:type="paragraph" w:customStyle="1" w:styleId="lrquote">
    <w:name w:val="lrquote"/>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geno">
    <w:name w:val="pageno"/>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lrjudgecont">
    <w:name w:val="lrjudgecont"/>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D9392D"/>
    <w:pPr>
      <w:tabs>
        <w:tab w:val="center" w:pos="4513"/>
        <w:tab w:val="right" w:pos="9026"/>
      </w:tabs>
    </w:pPr>
  </w:style>
  <w:style w:type="character" w:customStyle="1" w:styleId="HeaderChar">
    <w:name w:val="Header Char"/>
    <w:basedOn w:val="DefaultParagraphFont"/>
    <w:link w:val="Header"/>
    <w:uiPriority w:val="99"/>
    <w:rsid w:val="00D9392D"/>
  </w:style>
  <w:style w:type="character" w:styleId="PageNumber">
    <w:name w:val="page number"/>
    <w:basedOn w:val="DefaultParagraphFont"/>
    <w:uiPriority w:val="99"/>
    <w:semiHidden/>
    <w:unhideWhenUsed/>
    <w:rsid w:val="00D9392D"/>
  </w:style>
  <w:style w:type="paragraph" w:styleId="BodyText">
    <w:name w:val="Body Text"/>
    <w:basedOn w:val="Normal"/>
    <w:link w:val="BodyTextChar"/>
    <w:uiPriority w:val="1"/>
    <w:qFormat/>
    <w:rsid w:val="00334A5F"/>
    <w:pPr>
      <w:widowControl w:val="0"/>
      <w:autoSpaceDE w:val="0"/>
      <w:autoSpaceDN w:val="0"/>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334A5F"/>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6C59-3718-4A49-9CE4-BDBDE5AF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Goodman</dc:creator>
  <cp:keywords/>
  <dc:description/>
  <cp:lastModifiedBy>Sathish</cp:lastModifiedBy>
  <cp:revision>3</cp:revision>
  <dcterms:created xsi:type="dcterms:W3CDTF">2024-01-30T08:21:00Z</dcterms:created>
  <dcterms:modified xsi:type="dcterms:W3CDTF">2024-01-30T09:37:00Z</dcterms:modified>
</cp:coreProperties>
</file>