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647E7" w14:textId="77777777" w:rsidR="004572DF" w:rsidRDefault="006F6C3A" w:rsidP="00653CC8">
      <w:pPr>
        <w:rPr>
          <w:rFonts w:ascii="Arial" w:hAnsi="Arial" w:cs="Arial"/>
          <w:b/>
        </w:rPr>
      </w:pPr>
      <w:bookmarkStart w:id="0" w:name="_GoBack"/>
      <w:r>
        <w:rPr>
          <w:rFonts w:ascii="Arial" w:hAnsi="Arial" w:cs="Arial"/>
        </w:rPr>
        <w:t xml:space="preserve">                                 </w:t>
      </w:r>
      <w:r>
        <w:rPr>
          <w:rFonts w:ascii="Arial" w:hAnsi="Arial" w:cs="Arial"/>
          <w:b/>
        </w:rPr>
        <w:t xml:space="preserve">   </w:t>
      </w:r>
    </w:p>
    <w:p w14:paraId="2EF4B922" w14:textId="77777777" w:rsidR="00ED67FC" w:rsidRDefault="00ED67FC" w:rsidP="00ED67FC">
      <w:pPr>
        <w:ind w:left="1440"/>
        <w:rPr>
          <w:rFonts w:ascii="Arial" w:hAnsi="Arial" w:cs="Arial"/>
          <w:b/>
        </w:rPr>
      </w:pPr>
    </w:p>
    <w:p w14:paraId="563FC5EC" w14:textId="77777777" w:rsidR="00A66589" w:rsidRDefault="004B6D9F" w:rsidP="00A66589">
      <w:pPr>
        <w:ind w:left="2160" w:firstLine="720"/>
        <w:rPr>
          <w:rFonts w:ascii="Arial" w:hAnsi="Arial" w:cs="Arial"/>
          <w:b/>
        </w:rPr>
      </w:pPr>
      <w:r>
        <w:rPr>
          <w:rFonts w:ascii="Arial" w:hAnsi="Arial" w:cs="Arial"/>
          <w:b/>
        </w:rPr>
        <w:t xml:space="preserve">         </w:t>
      </w:r>
      <w:r w:rsidR="00425F4A">
        <w:rPr>
          <w:rFonts w:ascii="Arial" w:hAnsi="Arial" w:cs="Arial"/>
          <w:noProof/>
          <w:lang w:val="en-US"/>
        </w:rPr>
        <w:drawing>
          <wp:inline distT="0" distB="0" distL="0" distR="0" wp14:anchorId="6E11ABE7" wp14:editId="36FCA080">
            <wp:extent cx="1438275" cy="1438275"/>
            <wp:effectExtent l="0" t="0" r="9525" b="9525"/>
            <wp:docPr id="1" name="Picture 1"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14:paraId="7CD8256B" w14:textId="4507C5E5" w:rsidR="006F6C3A" w:rsidRPr="00A66589" w:rsidRDefault="006F6C3A" w:rsidP="00A66589">
      <w:pPr>
        <w:ind w:left="2160" w:firstLine="720"/>
        <w:rPr>
          <w:rFonts w:ascii="Arial" w:hAnsi="Arial" w:cs="Arial"/>
          <w:b/>
        </w:rPr>
      </w:pPr>
      <w:r>
        <w:rPr>
          <w:rFonts w:ascii="Arial" w:hAnsi="Arial" w:cs="Arial"/>
          <w:b/>
        </w:rPr>
        <w:t>REPUBLIC OF SOUTH AFRICA</w:t>
      </w:r>
      <w:r>
        <w:rPr>
          <w:rFonts w:ascii="Arial" w:hAnsi="Arial" w:cs="Arial"/>
          <w:lang w:val="en-US"/>
        </w:rPr>
        <w:t xml:space="preserve">          </w:t>
      </w:r>
      <w:r>
        <w:rPr>
          <w:noProof/>
          <w:lang w:val="en-US"/>
        </w:rPr>
        <mc:AlternateContent>
          <mc:Choice Requires="wpg">
            <w:drawing>
              <wp:inline distT="0" distB="0" distL="0" distR="0" wp14:anchorId="4CE2DA36" wp14:editId="35DA2E9F">
                <wp:extent cx="673100" cy="863600"/>
                <wp:effectExtent l="0" t="0" r="0" b="0"/>
                <wp:docPr id="3" name="Group 3"/>
                <wp:cNvGraphicFramePr/>
                <a:graphic xmlns:a="http://schemas.openxmlformats.org/drawingml/2006/main">
                  <a:graphicData uri="http://schemas.microsoft.com/office/word/2010/wordprocessingGroup">
                    <wpg:wgp>
                      <wpg:cNvGrpSpPr/>
                      <wpg:grpSpPr bwMode="auto">
                        <a:xfrm>
                          <a:off x="0" y="0"/>
                          <a:ext cx="673100" cy="863600"/>
                          <a:chOff x="0" y="0"/>
                          <a:chExt cx="1060" cy="1360"/>
                        </a:xfrm>
                      </wpg:grpSpPr>
                      <wps:wsp>
                        <wps:cNvPr id="4" name="AutoShape 3"/>
                        <wps:cNvSpPr>
                          <a:spLocks noChangeAspect="1" noChangeArrowheads="1" noTextEdit="1"/>
                        </wps:cNvSpPr>
                        <wps:spPr bwMode="auto">
                          <a:xfrm>
                            <a:off x="0" y="0"/>
                            <a:ext cx="1060"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cx1="http://schemas.microsoft.com/office/drawing/2015/9/8/chartex">
            <w:pict>
              <v:group w14:anchorId="6D5C9B3F" id="Group 3" o:spid="_x0000_s1026" style="width:53pt;height:68pt;mso-position-horizontal-relative:char;mso-position-vertical-relative:line" coordsize="1060,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">
                <v:rect id="AutoShape 3" o:spid="_x0000_s1027" style="position:absolute;width:1060;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text="t"/>
                </v:rect>
                <w10:anchorlock/>
              </v:group>
            </w:pict>
          </mc:Fallback>
        </mc:AlternateContent>
      </w:r>
    </w:p>
    <w:p w14:paraId="0B2074C2" w14:textId="70692F48" w:rsidR="006F6C3A" w:rsidRDefault="006F6C3A" w:rsidP="004B6D9F">
      <w:pPr>
        <w:jc w:val="center"/>
        <w:rPr>
          <w:rFonts w:ascii="Arial" w:hAnsi="Arial" w:cs="Arial"/>
          <w:b/>
        </w:rPr>
      </w:pPr>
      <w:r>
        <w:rPr>
          <w:rFonts w:ascii="Arial" w:hAnsi="Arial" w:cs="Arial"/>
          <w:b/>
        </w:rPr>
        <w:t>IN THE HIGH COURT OF SOUTH AFRICA,</w:t>
      </w:r>
    </w:p>
    <w:p w14:paraId="772BE5C1" w14:textId="77777777" w:rsidR="006F6C3A" w:rsidRDefault="006F6C3A" w:rsidP="004B6D9F">
      <w:pPr>
        <w:jc w:val="center"/>
        <w:rPr>
          <w:rFonts w:ascii="Arial" w:hAnsi="Arial" w:cs="Arial"/>
          <w:b/>
        </w:rPr>
      </w:pPr>
      <w:r>
        <w:rPr>
          <w:rFonts w:ascii="Arial" w:hAnsi="Arial" w:cs="Arial"/>
          <w:b/>
        </w:rPr>
        <w:t>GAUTENG LOCAL DIVISION, JOHANNESBURG</w:t>
      </w:r>
    </w:p>
    <w:p w14:paraId="6A1A0E8D" w14:textId="77777777" w:rsidR="006F6C3A" w:rsidRDefault="006F6C3A" w:rsidP="006F6C3A">
      <w:pPr>
        <w:rPr>
          <w:rFonts w:ascii="Arial" w:hAnsi="Arial" w:cs="Arial"/>
          <w:b/>
        </w:rPr>
      </w:pPr>
    </w:p>
    <w:p w14:paraId="088418B1" w14:textId="77777777" w:rsidR="00280D61" w:rsidRDefault="006F6C3A" w:rsidP="006F6C3A">
      <w:pPr>
        <w:jc w:val="center"/>
        <w:rPr>
          <w:rFonts w:ascii="Arial" w:hAnsi="Arial" w:cs="Arial"/>
          <w:b/>
        </w:rPr>
      </w:pPr>
      <w:r>
        <w:rPr>
          <w:rFonts w:ascii="Arial" w:hAnsi="Arial" w:cs="Arial"/>
          <w:b/>
        </w:rPr>
        <w:t xml:space="preserve">                                                                      </w:t>
      </w:r>
      <w:r w:rsidR="0016480B">
        <w:rPr>
          <w:rFonts w:ascii="Arial" w:hAnsi="Arial" w:cs="Arial"/>
          <w:b/>
        </w:rPr>
        <w:t xml:space="preserve">        </w:t>
      </w:r>
    </w:p>
    <w:p w14:paraId="04AD37BB" w14:textId="41FE2157" w:rsidR="006F6C3A" w:rsidRDefault="00280D61" w:rsidP="00966E6B">
      <w:pPr>
        <w:rPr>
          <w:rFonts w:ascii="Arial" w:hAnsi="Arial" w:cs="Arial"/>
          <w:b/>
        </w:rPr>
      </w:pPr>
      <w:r>
        <w:rPr>
          <w:rFonts w:ascii="Arial" w:hAnsi="Arial" w:cs="Arial"/>
          <w:b/>
        </w:rPr>
        <w:t xml:space="preserve">                                                                                            </w:t>
      </w:r>
      <w:r w:rsidR="0016480B">
        <w:rPr>
          <w:rFonts w:ascii="Arial" w:hAnsi="Arial" w:cs="Arial"/>
          <w:b/>
        </w:rPr>
        <w:t xml:space="preserve">  CASE NO.</w:t>
      </w:r>
      <w:r w:rsidR="000F4159">
        <w:rPr>
          <w:rFonts w:ascii="Arial" w:hAnsi="Arial" w:cs="Arial"/>
          <w:b/>
        </w:rPr>
        <w:t xml:space="preserve"> 21</w:t>
      </w:r>
      <w:r w:rsidR="006E10EA">
        <w:rPr>
          <w:rFonts w:ascii="Arial" w:hAnsi="Arial" w:cs="Arial"/>
          <w:b/>
        </w:rPr>
        <w:t>/56220</w:t>
      </w:r>
      <w:r w:rsidR="000F4159">
        <w:rPr>
          <w:rFonts w:ascii="Arial" w:hAnsi="Arial" w:cs="Arial"/>
          <w:b/>
        </w:rPr>
        <w:t xml:space="preserve"> </w:t>
      </w:r>
    </w:p>
    <w:p w14:paraId="005B147B" w14:textId="028F5357" w:rsidR="005A0EC3" w:rsidRDefault="005A0EC3" w:rsidP="00966E6B">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4D8C3D89" w14:textId="5E70C0AC" w:rsidR="0016480B" w:rsidRDefault="0016480B" w:rsidP="006F6C3A">
      <w:pPr>
        <w:jc w:val="center"/>
        <w:rPr>
          <w:rFonts w:ascii="Arial" w:hAnsi="Arial" w:cs="Arial"/>
          <w:b/>
        </w:rPr>
      </w:pPr>
    </w:p>
    <w:p w14:paraId="09DC74F0" w14:textId="33EDCDCC" w:rsidR="0016480B" w:rsidRDefault="00280D61" w:rsidP="006F6C3A">
      <w:pPr>
        <w:jc w:val="center"/>
        <w:rPr>
          <w:rFonts w:ascii="Arial" w:hAnsi="Arial" w:cs="Arial"/>
          <w:b/>
        </w:rPr>
      </w:pPr>
      <w:r>
        <w:rPr>
          <w:noProof/>
          <w:lang w:val="en-US"/>
        </w:rPr>
        <mc:AlternateContent>
          <mc:Choice Requires="wps">
            <w:drawing>
              <wp:anchor distT="0" distB="0" distL="114300" distR="114300" simplePos="0" relativeHeight="251659264" behindDoc="0" locked="0" layoutInCell="1" allowOverlap="1" wp14:anchorId="0E3B6960" wp14:editId="38CEB12B">
                <wp:simplePos x="0" y="0"/>
                <wp:positionH relativeFrom="column">
                  <wp:posOffset>-82550</wp:posOffset>
                </wp:positionH>
                <wp:positionV relativeFrom="paragraph">
                  <wp:posOffset>198755</wp:posOffset>
                </wp:positionV>
                <wp:extent cx="3232150" cy="11176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1117600"/>
                        </a:xfrm>
                        <a:prstGeom prst="rect">
                          <a:avLst/>
                        </a:prstGeom>
                        <a:solidFill>
                          <a:srgbClr val="FFFFFF"/>
                        </a:solidFill>
                        <a:ln w="9525">
                          <a:solidFill>
                            <a:srgbClr val="000000"/>
                          </a:solidFill>
                          <a:miter lim="800000"/>
                          <a:headEnd/>
                          <a:tailEnd/>
                        </a:ln>
                      </wps:spPr>
                      <wps:txbx>
                        <w:txbxContent>
                          <w:p w14:paraId="32458887" w14:textId="77777777" w:rsidR="00790F52" w:rsidRDefault="00790F52" w:rsidP="006F6C3A">
                            <w:pPr>
                              <w:jc w:val="center"/>
                              <w:rPr>
                                <w:rFonts w:ascii="Century Gothic" w:hAnsi="Century Gothic"/>
                                <w:b/>
                                <w:sz w:val="20"/>
                                <w:szCs w:val="20"/>
                              </w:rPr>
                            </w:pPr>
                          </w:p>
                          <w:p w14:paraId="30938114" w14:textId="27678DF4" w:rsidR="00790F52" w:rsidRPr="00F52612" w:rsidRDefault="00216819" w:rsidP="00216819">
                            <w:pPr>
                              <w:tabs>
                                <w:tab w:val="left" w:pos="900"/>
                              </w:tabs>
                              <w:ind w:left="900" w:hanging="720"/>
                              <w:rPr>
                                <w:rFonts w:ascii="Century Gothic" w:hAnsi="Century Gothic"/>
                                <w:b/>
                                <w:bCs/>
                                <w:sz w:val="20"/>
                                <w:szCs w:val="20"/>
                              </w:rPr>
                            </w:pPr>
                            <w:r w:rsidRPr="00F52612">
                              <w:rPr>
                                <w:rFonts w:ascii="Century Gothic" w:hAnsi="Century Gothic"/>
                                <w:b/>
                                <w:bCs/>
                                <w:sz w:val="20"/>
                                <w:szCs w:val="20"/>
                              </w:rPr>
                              <w:t>(1)</w:t>
                            </w:r>
                            <w:r w:rsidRPr="00F52612">
                              <w:rPr>
                                <w:rFonts w:ascii="Century Gothic" w:hAnsi="Century Gothic"/>
                                <w:b/>
                                <w:bCs/>
                                <w:sz w:val="20"/>
                                <w:szCs w:val="20"/>
                              </w:rPr>
                              <w:tab/>
                            </w:r>
                            <w:r w:rsidR="00790F52">
                              <w:rPr>
                                <w:rFonts w:ascii="Century Gothic" w:hAnsi="Century Gothic"/>
                                <w:sz w:val="20"/>
                                <w:szCs w:val="20"/>
                              </w:rPr>
                              <w:t>REPORTABLE</w:t>
                            </w:r>
                            <w:r w:rsidR="00790F52" w:rsidRPr="00F52612">
                              <w:rPr>
                                <w:rFonts w:ascii="Century Gothic" w:hAnsi="Century Gothic"/>
                                <w:b/>
                                <w:bCs/>
                                <w:sz w:val="20"/>
                                <w:szCs w:val="20"/>
                              </w:rPr>
                              <w:t>:   NO</w:t>
                            </w:r>
                          </w:p>
                          <w:p w14:paraId="25CBB488" w14:textId="45995BE7" w:rsidR="00790F52" w:rsidRDefault="00216819" w:rsidP="00216819">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790F52">
                              <w:rPr>
                                <w:rFonts w:ascii="Century Gothic" w:hAnsi="Century Gothic"/>
                                <w:sz w:val="20"/>
                                <w:szCs w:val="20"/>
                              </w:rPr>
                              <w:t xml:space="preserve">OF INTEREST TO OTHER </w:t>
                            </w:r>
                            <w:r w:rsidR="00280D61">
                              <w:rPr>
                                <w:rFonts w:ascii="Century Gothic" w:hAnsi="Century Gothic"/>
                                <w:sz w:val="20"/>
                                <w:szCs w:val="20"/>
                              </w:rPr>
                              <w:t>JUDGES:</w:t>
                            </w:r>
                            <w:r w:rsidR="00790F52">
                              <w:rPr>
                                <w:rFonts w:ascii="Century Gothic" w:hAnsi="Century Gothic"/>
                                <w:sz w:val="20"/>
                                <w:szCs w:val="20"/>
                              </w:rPr>
                              <w:t xml:space="preserve"> </w:t>
                            </w:r>
                            <w:r w:rsidR="00790F52" w:rsidRPr="00F52612">
                              <w:rPr>
                                <w:rFonts w:ascii="Century Gothic" w:hAnsi="Century Gothic"/>
                                <w:b/>
                                <w:bCs/>
                                <w:sz w:val="20"/>
                                <w:szCs w:val="20"/>
                              </w:rPr>
                              <w:t>NO</w:t>
                            </w:r>
                          </w:p>
                          <w:p w14:paraId="12D99E33" w14:textId="2D6638AF" w:rsidR="00790F52" w:rsidRDefault="00216819" w:rsidP="00216819">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790F52">
                              <w:rPr>
                                <w:rFonts w:ascii="Century Gothic" w:hAnsi="Century Gothic"/>
                                <w:sz w:val="20"/>
                                <w:szCs w:val="20"/>
                              </w:rPr>
                              <w:t>REVISED</w:t>
                            </w:r>
                          </w:p>
                          <w:p w14:paraId="4196C75F" w14:textId="77777777" w:rsidR="00790F52" w:rsidRDefault="00790F52" w:rsidP="006F6C3A">
                            <w:pPr>
                              <w:rPr>
                                <w:rFonts w:ascii="Century Gothic" w:hAnsi="Century Gothic"/>
                                <w:b/>
                                <w:sz w:val="18"/>
                                <w:szCs w:val="18"/>
                              </w:rPr>
                            </w:pPr>
                            <w:r>
                              <w:rPr>
                                <w:rFonts w:ascii="Century Gothic" w:hAnsi="Century Gothic"/>
                                <w:b/>
                                <w:sz w:val="18"/>
                                <w:szCs w:val="18"/>
                              </w:rPr>
                              <w:t xml:space="preserve">           </w:t>
                            </w:r>
                          </w:p>
                          <w:p w14:paraId="506B4DDE" w14:textId="77777777" w:rsidR="00790F52" w:rsidRDefault="00790F52" w:rsidP="006F6C3A">
                            <w:pP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t>………………………...</w:t>
                            </w:r>
                          </w:p>
                          <w:p w14:paraId="3F972CFE" w14:textId="77777777" w:rsidR="00790F52" w:rsidRDefault="00790F52" w:rsidP="006F6C3A">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B6960" id="_x0000_t202" coordsize="21600,21600" o:spt="202" path="m,l,21600r21600,l21600,xe">
                <v:stroke joinstyle="miter"/>
                <v:path gradientshapeok="t" o:connecttype="rect"/>
              </v:shapetype>
              <v:shape id="Text Box 2" o:spid="_x0000_s1026" type="#_x0000_t202" style="position:absolute;left:0;text-align:left;margin-left:-6.5pt;margin-top:15.65pt;width:254.5pt;height: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">
                <v:textbox>
                  <w:txbxContent>
                    <w:p w14:paraId="32458887" w14:textId="77777777" w:rsidR="00790F52" w:rsidRDefault="00790F52" w:rsidP="006F6C3A">
                      <w:pPr>
                        <w:jc w:val="center"/>
                        <w:rPr>
                          <w:rFonts w:ascii="Century Gothic" w:hAnsi="Century Gothic"/>
                          <w:b/>
                          <w:sz w:val="20"/>
                          <w:szCs w:val="20"/>
                        </w:rPr>
                      </w:pPr>
                    </w:p>
                    <w:p w14:paraId="30938114" w14:textId="27678DF4" w:rsidR="00790F52" w:rsidRPr="00F52612" w:rsidRDefault="00216819" w:rsidP="00216819">
                      <w:pPr>
                        <w:tabs>
                          <w:tab w:val="left" w:pos="900"/>
                        </w:tabs>
                        <w:ind w:left="900" w:hanging="720"/>
                        <w:rPr>
                          <w:rFonts w:ascii="Century Gothic" w:hAnsi="Century Gothic"/>
                          <w:b/>
                          <w:bCs/>
                          <w:sz w:val="20"/>
                          <w:szCs w:val="20"/>
                        </w:rPr>
                      </w:pPr>
                      <w:r w:rsidRPr="00F52612">
                        <w:rPr>
                          <w:rFonts w:ascii="Century Gothic" w:hAnsi="Century Gothic"/>
                          <w:b/>
                          <w:bCs/>
                          <w:sz w:val="20"/>
                          <w:szCs w:val="20"/>
                        </w:rPr>
                        <w:t>(1)</w:t>
                      </w:r>
                      <w:r w:rsidRPr="00F52612">
                        <w:rPr>
                          <w:rFonts w:ascii="Century Gothic" w:hAnsi="Century Gothic"/>
                          <w:b/>
                          <w:bCs/>
                          <w:sz w:val="20"/>
                          <w:szCs w:val="20"/>
                        </w:rPr>
                        <w:tab/>
                      </w:r>
                      <w:r w:rsidR="00790F52">
                        <w:rPr>
                          <w:rFonts w:ascii="Century Gothic" w:hAnsi="Century Gothic"/>
                          <w:sz w:val="20"/>
                          <w:szCs w:val="20"/>
                        </w:rPr>
                        <w:t>REPORTABLE</w:t>
                      </w:r>
                      <w:r w:rsidR="00790F52" w:rsidRPr="00F52612">
                        <w:rPr>
                          <w:rFonts w:ascii="Century Gothic" w:hAnsi="Century Gothic"/>
                          <w:b/>
                          <w:bCs/>
                          <w:sz w:val="20"/>
                          <w:szCs w:val="20"/>
                        </w:rPr>
                        <w:t>:   NO</w:t>
                      </w:r>
                    </w:p>
                    <w:p w14:paraId="25CBB488" w14:textId="45995BE7" w:rsidR="00790F52" w:rsidRDefault="00216819" w:rsidP="00216819">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790F52">
                        <w:rPr>
                          <w:rFonts w:ascii="Century Gothic" w:hAnsi="Century Gothic"/>
                          <w:sz w:val="20"/>
                          <w:szCs w:val="20"/>
                        </w:rPr>
                        <w:t xml:space="preserve">OF INTEREST TO OTHER </w:t>
                      </w:r>
                      <w:r w:rsidR="00280D61">
                        <w:rPr>
                          <w:rFonts w:ascii="Century Gothic" w:hAnsi="Century Gothic"/>
                          <w:sz w:val="20"/>
                          <w:szCs w:val="20"/>
                        </w:rPr>
                        <w:t>JUDGES:</w:t>
                      </w:r>
                      <w:r w:rsidR="00790F52">
                        <w:rPr>
                          <w:rFonts w:ascii="Century Gothic" w:hAnsi="Century Gothic"/>
                          <w:sz w:val="20"/>
                          <w:szCs w:val="20"/>
                        </w:rPr>
                        <w:t xml:space="preserve"> </w:t>
                      </w:r>
                      <w:r w:rsidR="00790F52" w:rsidRPr="00F52612">
                        <w:rPr>
                          <w:rFonts w:ascii="Century Gothic" w:hAnsi="Century Gothic"/>
                          <w:b/>
                          <w:bCs/>
                          <w:sz w:val="20"/>
                          <w:szCs w:val="20"/>
                        </w:rPr>
                        <w:t>NO</w:t>
                      </w:r>
                    </w:p>
                    <w:p w14:paraId="12D99E33" w14:textId="2D6638AF" w:rsidR="00790F52" w:rsidRDefault="00216819" w:rsidP="00216819">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790F52">
                        <w:rPr>
                          <w:rFonts w:ascii="Century Gothic" w:hAnsi="Century Gothic"/>
                          <w:sz w:val="20"/>
                          <w:szCs w:val="20"/>
                        </w:rPr>
                        <w:t>REVISED</w:t>
                      </w:r>
                    </w:p>
                    <w:p w14:paraId="4196C75F" w14:textId="77777777" w:rsidR="00790F52" w:rsidRDefault="00790F52" w:rsidP="006F6C3A">
                      <w:pPr>
                        <w:rPr>
                          <w:rFonts w:ascii="Century Gothic" w:hAnsi="Century Gothic"/>
                          <w:b/>
                          <w:sz w:val="18"/>
                          <w:szCs w:val="18"/>
                        </w:rPr>
                      </w:pPr>
                      <w:r>
                        <w:rPr>
                          <w:rFonts w:ascii="Century Gothic" w:hAnsi="Century Gothic"/>
                          <w:b/>
                          <w:sz w:val="18"/>
                          <w:szCs w:val="18"/>
                        </w:rPr>
                        <w:t xml:space="preserve">           </w:t>
                      </w:r>
                    </w:p>
                    <w:p w14:paraId="506B4DDE" w14:textId="77777777" w:rsidR="00790F52" w:rsidRDefault="00790F52" w:rsidP="006F6C3A">
                      <w:pP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t>………………………...</w:t>
                      </w:r>
                    </w:p>
                    <w:p w14:paraId="3F972CFE" w14:textId="77777777" w:rsidR="00790F52" w:rsidRDefault="00790F52" w:rsidP="006F6C3A">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v:shape>
            </w:pict>
          </mc:Fallback>
        </mc:AlternateContent>
      </w:r>
    </w:p>
    <w:p w14:paraId="697ED64E" w14:textId="77777777" w:rsidR="0016480B" w:rsidRDefault="0016480B" w:rsidP="006F6C3A">
      <w:pPr>
        <w:jc w:val="center"/>
        <w:rPr>
          <w:rFonts w:ascii="Arial" w:hAnsi="Arial" w:cs="Arial"/>
          <w:b/>
        </w:rPr>
      </w:pPr>
    </w:p>
    <w:p w14:paraId="043FA1C2" w14:textId="77777777" w:rsidR="006F6C3A" w:rsidRDefault="006F6C3A" w:rsidP="006F6C3A">
      <w:pPr>
        <w:jc w:val="both"/>
        <w:rPr>
          <w:rFonts w:ascii="Arial" w:hAnsi="Arial" w:cs="Arial"/>
        </w:rPr>
      </w:pPr>
    </w:p>
    <w:p w14:paraId="182D3205" w14:textId="77777777" w:rsidR="006F6C3A" w:rsidRDefault="006F6C3A" w:rsidP="006F6C3A">
      <w:pPr>
        <w:jc w:val="both"/>
        <w:rPr>
          <w:rFonts w:ascii="Arial" w:hAnsi="Arial" w:cs="Arial"/>
        </w:rPr>
      </w:pPr>
    </w:p>
    <w:p w14:paraId="18E4B98B" w14:textId="77777777" w:rsidR="006F6C3A" w:rsidRDefault="006F6C3A" w:rsidP="006F6C3A">
      <w:pPr>
        <w:jc w:val="both"/>
        <w:rPr>
          <w:rFonts w:ascii="Arial" w:hAnsi="Arial" w:cs="Arial"/>
        </w:rPr>
      </w:pPr>
    </w:p>
    <w:p w14:paraId="19AEC72A" w14:textId="77777777" w:rsidR="006F6C3A" w:rsidRDefault="006F6C3A" w:rsidP="006F6C3A">
      <w:pPr>
        <w:rPr>
          <w:rFonts w:ascii="Arial" w:hAnsi="Arial" w:cs="Arial"/>
        </w:rPr>
      </w:pPr>
    </w:p>
    <w:p w14:paraId="5F172F2A" w14:textId="77777777" w:rsidR="006F6C3A" w:rsidRDefault="006F6C3A" w:rsidP="006F6C3A">
      <w:pPr>
        <w:rPr>
          <w:rFonts w:ascii="Arial" w:hAnsi="Arial" w:cs="Arial"/>
        </w:rPr>
      </w:pPr>
    </w:p>
    <w:p w14:paraId="5D1351F8" w14:textId="77777777" w:rsidR="00340370" w:rsidRDefault="00340370" w:rsidP="006F6C3A">
      <w:pPr>
        <w:rPr>
          <w:rFonts w:ascii="Arial" w:hAnsi="Arial" w:cs="Arial"/>
          <w:lang w:val="en-GB"/>
        </w:rPr>
      </w:pPr>
    </w:p>
    <w:p w14:paraId="0447E420" w14:textId="77777777" w:rsidR="00490133" w:rsidRDefault="00490133" w:rsidP="006F6C3A">
      <w:pPr>
        <w:rPr>
          <w:rFonts w:ascii="Arial" w:hAnsi="Arial" w:cs="Arial"/>
          <w:lang w:val="en-GB"/>
        </w:rPr>
      </w:pPr>
    </w:p>
    <w:p w14:paraId="6ED86378" w14:textId="77777777" w:rsidR="00F52612" w:rsidRDefault="00F52612" w:rsidP="006F6C3A">
      <w:pPr>
        <w:rPr>
          <w:rFonts w:ascii="Arial" w:hAnsi="Arial" w:cs="Arial"/>
          <w:b/>
        </w:rPr>
      </w:pPr>
    </w:p>
    <w:p w14:paraId="4F4CC987" w14:textId="07F7939E" w:rsidR="006F6C3A" w:rsidRPr="00865121" w:rsidRDefault="006E10EA" w:rsidP="006F6C3A">
      <w:pPr>
        <w:rPr>
          <w:rFonts w:ascii="Arial" w:hAnsi="Arial" w:cs="Arial"/>
          <w:b/>
        </w:rPr>
      </w:pPr>
      <w:r w:rsidRPr="00865121">
        <w:rPr>
          <w:rFonts w:ascii="Arial" w:hAnsi="Arial" w:cs="Arial"/>
          <w:b/>
        </w:rPr>
        <w:t>C</w:t>
      </w:r>
      <w:r w:rsidR="00340370" w:rsidRPr="00865121">
        <w:rPr>
          <w:rFonts w:ascii="Arial" w:hAnsi="Arial" w:cs="Arial"/>
          <w:b/>
        </w:rPr>
        <w:t xml:space="preserve">OCHRANE STEEL PRODUCTS (PTY) LTD </w:t>
      </w:r>
      <w:r w:rsidR="0016480B" w:rsidRPr="00865121">
        <w:rPr>
          <w:rFonts w:ascii="Arial" w:hAnsi="Arial" w:cs="Arial"/>
          <w:b/>
        </w:rPr>
        <w:t xml:space="preserve">  </w:t>
      </w:r>
      <w:r w:rsidR="00216819">
        <w:rPr>
          <w:rFonts w:ascii="Arial" w:hAnsi="Arial" w:cs="Arial"/>
          <w:b/>
        </w:rPr>
        <w:tab/>
      </w:r>
      <w:r w:rsidR="0016480B" w:rsidRPr="00865121">
        <w:rPr>
          <w:rFonts w:ascii="Arial" w:hAnsi="Arial" w:cs="Arial"/>
          <w:b/>
        </w:rPr>
        <w:t>A</w:t>
      </w:r>
      <w:r w:rsidR="00F52612">
        <w:rPr>
          <w:rFonts w:ascii="Arial" w:hAnsi="Arial" w:cs="Arial"/>
          <w:b/>
        </w:rPr>
        <w:t>PPLICANT/ PLAINTIFF</w:t>
      </w:r>
    </w:p>
    <w:p w14:paraId="48CE70CD" w14:textId="0962F04C" w:rsidR="006F6C3A" w:rsidRPr="00865121" w:rsidRDefault="0016480B" w:rsidP="006F6C3A">
      <w:pPr>
        <w:rPr>
          <w:rFonts w:ascii="Arial" w:hAnsi="Arial" w:cs="Arial"/>
        </w:rPr>
      </w:pPr>
      <w:r w:rsidRPr="00865121">
        <w:rPr>
          <w:rFonts w:ascii="Arial" w:hAnsi="Arial" w:cs="Arial"/>
          <w:b/>
        </w:rPr>
        <w:tab/>
      </w:r>
      <w:r w:rsidRPr="00865121">
        <w:rPr>
          <w:rFonts w:ascii="Arial" w:hAnsi="Arial" w:cs="Arial"/>
          <w:b/>
        </w:rPr>
        <w:tab/>
      </w:r>
      <w:r w:rsidRPr="00865121">
        <w:rPr>
          <w:rFonts w:ascii="Arial" w:hAnsi="Arial" w:cs="Arial"/>
          <w:b/>
        </w:rPr>
        <w:tab/>
      </w:r>
      <w:r w:rsidRPr="00865121">
        <w:rPr>
          <w:rFonts w:ascii="Arial" w:hAnsi="Arial" w:cs="Arial"/>
          <w:b/>
        </w:rPr>
        <w:tab/>
      </w:r>
      <w:r w:rsidRPr="00865121">
        <w:rPr>
          <w:rFonts w:ascii="Arial" w:hAnsi="Arial" w:cs="Arial"/>
          <w:b/>
        </w:rPr>
        <w:tab/>
      </w:r>
      <w:r w:rsidRPr="00865121">
        <w:rPr>
          <w:rFonts w:ascii="Arial" w:hAnsi="Arial" w:cs="Arial"/>
          <w:b/>
        </w:rPr>
        <w:tab/>
      </w:r>
      <w:r w:rsidR="00A36BD4" w:rsidRPr="00865121">
        <w:rPr>
          <w:rFonts w:ascii="Arial" w:hAnsi="Arial" w:cs="Arial"/>
          <w:b/>
        </w:rPr>
        <w:t xml:space="preserve">    </w:t>
      </w:r>
      <w:r w:rsidR="00EC14B3" w:rsidRPr="00865121">
        <w:rPr>
          <w:rFonts w:ascii="Arial" w:hAnsi="Arial" w:cs="Arial"/>
          <w:b/>
        </w:rPr>
        <w:t xml:space="preserve"> </w:t>
      </w:r>
      <w:r w:rsidR="006F6C3A" w:rsidRPr="00865121">
        <w:rPr>
          <w:rFonts w:ascii="Arial" w:hAnsi="Arial" w:cs="Arial"/>
          <w:b/>
        </w:rPr>
        <w:t xml:space="preserve">                                                        </w:t>
      </w:r>
      <w:r w:rsidR="006F6C3A" w:rsidRPr="00865121">
        <w:rPr>
          <w:rFonts w:ascii="Arial" w:hAnsi="Arial" w:cs="Arial"/>
          <w:b/>
          <w:lang w:val="en-US"/>
        </w:rPr>
        <w:t xml:space="preserve">                          </w:t>
      </w:r>
      <w:r w:rsidR="006F6C3A" w:rsidRPr="00865121">
        <w:rPr>
          <w:rFonts w:ascii="Arial" w:hAnsi="Arial" w:cs="Arial"/>
          <w:lang w:val="en-US"/>
        </w:rPr>
        <w:tab/>
      </w:r>
      <w:r w:rsidR="006F6C3A" w:rsidRPr="00865121">
        <w:rPr>
          <w:rFonts w:ascii="Arial" w:hAnsi="Arial" w:cs="Arial"/>
          <w:lang w:val="en-US"/>
        </w:rPr>
        <w:tab/>
      </w:r>
      <w:r w:rsidR="006F6C3A" w:rsidRPr="00865121">
        <w:rPr>
          <w:rFonts w:ascii="Arial" w:hAnsi="Arial" w:cs="Arial"/>
          <w:lang w:val="en-US"/>
        </w:rPr>
        <w:tab/>
        <w:t xml:space="preserve">                       </w:t>
      </w:r>
      <w:r w:rsidR="006F6C3A" w:rsidRPr="00865121">
        <w:rPr>
          <w:rFonts w:ascii="Arial" w:hAnsi="Arial" w:cs="Arial"/>
          <w:b/>
          <w:lang w:val="en-US"/>
        </w:rPr>
        <w:t xml:space="preserve">           </w:t>
      </w:r>
      <w:r w:rsidR="006F6C3A" w:rsidRPr="00865121">
        <w:rPr>
          <w:rFonts w:ascii="Arial" w:hAnsi="Arial" w:cs="Arial"/>
          <w:b/>
          <w:lang w:val="en-US"/>
        </w:rPr>
        <w:tab/>
      </w:r>
      <w:r w:rsidR="00815E84" w:rsidRPr="00865121">
        <w:rPr>
          <w:rFonts w:ascii="Arial" w:hAnsi="Arial" w:cs="Arial"/>
          <w:b/>
          <w:lang w:val="en-US"/>
        </w:rPr>
        <w:t xml:space="preserve">  </w:t>
      </w:r>
      <w:r w:rsidR="006F6C3A" w:rsidRPr="00865121">
        <w:rPr>
          <w:rFonts w:ascii="Arial" w:hAnsi="Arial" w:cs="Arial"/>
          <w:b/>
          <w:lang w:val="en-US"/>
        </w:rPr>
        <w:tab/>
      </w:r>
      <w:r w:rsidR="006F6C3A" w:rsidRPr="00865121">
        <w:rPr>
          <w:rFonts w:ascii="Arial" w:hAnsi="Arial" w:cs="Arial"/>
          <w:lang w:val="en-US"/>
        </w:rPr>
        <w:tab/>
      </w:r>
      <w:r w:rsidR="006F6C3A" w:rsidRPr="00865121">
        <w:rPr>
          <w:rFonts w:ascii="Arial" w:hAnsi="Arial" w:cs="Arial"/>
          <w:lang w:val="en-US"/>
        </w:rPr>
        <w:tab/>
      </w:r>
      <w:r w:rsidR="006F6C3A" w:rsidRPr="00865121">
        <w:rPr>
          <w:rFonts w:ascii="Arial" w:hAnsi="Arial" w:cs="Arial"/>
          <w:lang w:val="en-US"/>
        </w:rPr>
        <w:tab/>
        <w:t xml:space="preserve">                                                                                           </w:t>
      </w:r>
    </w:p>
    <w:p w14:paraId="5865D7DC" w14:textId="77777777" w:rsidR="0016480B" w:rsidRPr="00A66589" w:rsidRDefault="0016480B" w:rsidP="0016480B">
      <w:pPr>
        <w:jc w:val="both"/>
        <w:rPr>
          <w:rFonts w:ascii="Arial" w:hAnsi="Arial" w:cs="Arial"/>
          <w:lang w:val="en-GB"/>
        </w:rPr>
      </w:pPr>
      <w:r w:rsidRPr="00A66589">
        <w:rPr>
          <w:rFonts w:ascii="Arial" w:hAnsi="Arial" w:cs="Arial"/>
          <w:lang w:val="en-GB"/>
        </w:rPr>
        <w:t>And</w:t>
      </w:r>
    </w:p>
    <w:p w14:paraId="4774B2CC" w14:textId="77777777" w:rsidR="0016480B" w:rsidRPr="00865121" w:rsidRDefault="0016480B" w:rsidP="0016480B">
      <w:pPr>
        <w:jc w:val="both"/>
        <w:rPr>
          <w:rFonts w:ascii="Arial" w:hAnsi="Arial" w:cs="Arial"/>
          <w:lang w:val="en-GB"/>
        </w:rPr>
      </w:pPr>
    </w:p>
    <w:p w14:paraId="564120E3" w14:textId="5A01795E" w:rsidR="006F6C3A" w:rsidRPr="00865121" w:rsidRDefault="00490133" w:rsidP="0016480B">
      <w:pPr>
        <w:jc w:val="both"/>
        <w:rPr>
          <w:rFonts w:ascii="Arial" w:hAnsi="Arial" w:cs="Arial"/>
          <w:b/>
          <w:lang w:val="en-GB"/>
        </w:rPr>
      </w:pPr>
      <w:r w:rsidRPr="00865121">
        <w:rPr>
          <w:rFonts w:ascii="Arial" w:hAnsi="Arial" w:cs="Arial"/>
          <w:b/>
          <w:lang w:val="en-GB"/>
        </w:rPr>
        <w:t xml:space="preserve">TIP CON </w:t>
      </w:r>
      <w:r w:rsidR="00550EAE" w:rsidRPr="00865121">
        <w:rPr>
          <w:rFonts w:ascii="Arial" w:hAnsi="Arial" w:cs="Arial"/>
          <w:b/>
          <w:lang w:val="en-GB"/>
        </w:rPr>
        <w:t xml:space="preserve">(PTY) LTD  </w:t>
      </w:r>
      <w:r w:rsidR="00966E6B" w:rsidRPr="00865121">
        <w:rPr>
          <w:rFonts w:ascii="Arial" w:hAnsi="Arial" w:cs="Arial"/>
          <w:b/>
          <w:lang w:val="en-GB"/>
        </w:rPr>
        <w:t xml:space="preserve">                          </w:t>
      </w:r>
      <w:r w:rsidR="0016480B" w:rsidRPr="00865121">
        <w:rPr>
          <w:rFonts w:ascii="Arial" w:hAnsi="Arial" w:cs="Arial"/>
          <w:b/>
          <w:lang w:val="en-GB"/>
        </w:rPr>
        <w:t xml:space="preserve">         </w:t>
      </w:r>
      <w:r w:rsidR="00550EAE" w:rsidRPr="00865121">
        <w:rPr>
          <w:rFonts w:ascii="Arial" w:hAnsi="Arial" w:cs="Arial"/>
          <w:b/>
          <w:lang w:val="en-GB"/>
        </w:rPr>
        <w:t xml:space="preserve">   </w:t>
      </w:r>
      <w:r w:rsidR="00A66589">
        <w:rPr>
          <w:rFonts w:ascii="Arial" w:hAnsi="Arial" w:cs="Arial"/>
          <w:b/>
          <w:lang w:val="en-GB"/>
        </w:rPr>
        <w:t xml:space="preserve">      </w:t>
      </w:r>
      <w:r w:rsidR="00F52612">
        <w:rPr>
          <w:rFonts w:ascii="Arial" w:hAnsi="Arial" w:cs="Arial"/>
          <w:b/>
          <w:lang w:val="en-GB"/>
        </w:rPr>
        <w:t>1</w:t>
      </w:r>
      <w:r w:rsidR="00F52612" w:rsidRPr="00F52612">
        <w:rPr>
          <w:rFonts w:ascii="Arial" w:hAnsi="Arial" w:cs="Arial"/>
          <w:b/>
          <w:vertAlign w:val="superscript"/>
          <w:lang w:val="en-GB"/>
        </w:rPr>
        <w:t>ST</w:t>
      </w:r>
      <w:r w:rsidR="002F022E" w:rsidRPr="00865121">
        <w:rPr>
          <w:rFonts w:ascii="Arial" w:hAnsi="Arial" w:cs="Arial"/>
          <w:b/>
          <w:lang w:val="en-GB"/>
        </w:rPr>
        <w:t xml:space="preserve"> RESPONDENT</w:t>
      </w:r>
      <w:r w:rsidR="00F52612">
        <w:rPr>
          <w:rFonts w:ascii="Arial" w:hAnsi="Arial" w:cs="Arial"/>
          <w:b/>
          <w:lang w:val="en-GB"/>
        </w:rPr>
        <w:t>/ 1</w:t>
      </w:r>
      <w:r w:rsidR="00F52612" w:rsidRPr="00F52612">
        <w:rPr>
          <w:rFonts w:ascii="Arial" w:hAnsi="Arial" w:cs="Arial"/>
          <w:b/>
          <w:vertAlign w:val="superscript"/>
          <w:lang w:val="en-GB"/>
        </w:rPr>
        <w:t>ST</w:t>
      </w:r>
      <w:r w:rsidR="00F52612">
        <w:rPr>
          <w:rFonts w:ascii="Arial" w:hAnsi="Arial" w:cs="Arial"/>
          <w:b/>
          <w:lang w:val="en-GB"/>
        </w:rPr>
        <w:t xml:space="preserve"> DEFENDANT</w:t>
      </w:r>
    </w:p>
    <w:p w14:paraId="55187EF1" w14:textId="77777777" w:rsidR="00966E6B" w:rsidRPr="00865121" w:rsidRDefault="00966E6B" w:rsidP="0016480B">
      <w:pPr>
        <w:jc w:val="both"/>
        <w:rPr>
          <w:rFonts w:ascii="Arial" w:hAnsi="Arial" w:cs="Arial"/>
          <w:b/>
          <w:lang w:val="en-GB"/>
        </w:rPr>
      </w:pPr>
    </w:p>
    <w:p w14:paraId="1EF7DD26" w14:textId="77777777" w:rsidR="00966E6B" w:rsidRPr="00865121" w:rsidRDefault="00966E6B" w:rsidP="0016480B">
      <w:pPr>
        <w:jc w:val="both"/>
        <w:rPr>
          <w:rFonts w:ascii="Arial" w:hAnsi="Arial" w:cs="Arial"/>
          <w:b/>
          <w:lang w:val="en-GB"/>
        </w:rPr>
      </w:pPr>
    </w:p>
    <w:p w14:paraId="10FAB6E6" w14:textId="1D0911DE" w:rsidR="00966E6B" w:rsidRPr="00865121" w:rsidRDefault="00A43A40" w:rsidP="0016480B">
      <w:pPr>
        <w:jc w:val="both"/>
        <w:rPr>
          <w:rFonts w:ascii="Arial" w:hAnsi="Arial" w:cs="Arial"/>
          <w:b/>
          <w:lang w:val="en-GB"/>
        </w:rPr>
      </w:pPr>
      <w:r w:rsidRPr="00865121">
        <w:rPr>
          <w:rFonts w:ascii="Arial" w:hAnsi="Arial" w:cs="Arial"/>
          <w:b/>
          <w:lang w:val="en-GB"/>
        </w:rPr>
        <w:t xml:space="preserve">THABELO PATRICK SIALA </w:t>
      </w:r>
      <w:r w:rsidR="00966E6B" w:rsidRPr="00865121">
        <w:rPr>
          <w:rFonts w:ascii="Arial" w:hAnsi="Arial" w:cs="Arial"/>
          <w:b/>
          <w:lang w:val="en-GB"/>
        </w:rPr>
        <w:tab/>
      </w:r>
      <w:r w:rsidR="00966E6B" w:rsidRPr="00865121">
        <w:rPr>
          <w:rFonts w:ascii="Arial" w:hAnsi="Arial" w:cs="Arial"/>
          <w:b/>
          <w:lang w:val="en-GB"/>
        </w:rPr>
        <w:tab/>
      </w:r>
      <w:r w:rsidRPr="00865121">
        <w:rPr>
          <w:rFonts w:ascii="Arial" w:hAnsi="Arial" w:cs="Arial"/>
          <w:b/>
          <w:lang w:val="en-GB"/>
        </w:rPr>
        <w:t xml:space="preserve"> </w:t>
      </w:r>
      <w:r w:rsidR="00F52612">
        <w:rPr>
          <w:rFonts w:ascii="Arial" w:hAnsi="Arial" w:cs="Arial"/>
          <w:b/>
          <w:lang w:val="en-GB"/>
        </w:rPr>
        <w:t xml:space="preserve">     </w:t>
      </w:r>
      <w:r w:rsidRPr="00865121">
        <w:rPr>
          <w:rFonts w:ascii="Arial" w:hAnsi="Arial" w:cs="Arial"/>
          <w:b/>
          <w:lang w:val="en-GB"/>
        </w:rPr>
        <w:t xml:space="preserve">  </w:t>
      </w:r>
      <w:r w:rsidR="00F52612">
        <w:rPr>
          <w:rFonts w:ascii="Arial" w:hAnsi="Arial" w:cs="Arial"/>
          <w:b/>
          <w:lang w:val="en-GB"/>
        </w:rPr>
        <w:t>2</w:t>
      </w:r>
      <w:r w:rsidR="00F52612">
        <w:rPr>
          <w:rFonts w:ascii="Arial" w:hAnsi="Arial" w:cs="Arial"/>
          <w:b/>
          <w:vertAlign w:val="superscript"/>
          <w:lang w:val="en-GB"/>
        </w:rPr>
        <w:t xml:space="preserve">ND </w:t>
      </w:r>
      <w:r w:rsidR="00F52612" w:rsidRPr="00865121">
        <w:rPr>
          <w:rFonts w:ascii="Arial" w:hAnsi="Arial" w:cs="Arial"/>
          <w:b/>
          <w:lang w:val="en-GB"/>
        </w:rPr>
        <w:t>RESPONDENT</w:t>
      </w:r>
      <w:r w:rsidR="002F022E" w:rsidRPr="00865121">
        <w:rPr>
          <w:rFonts w:ascii="Arial" w:hAnsi="Arial" w:cs="Arial"/>
          <w:b/>
          <w:lang w:val="en-GB"/>
        </w:rPr>
        <w:t xml:space="preserve"> </w:t>
      </w:r>
      <w:r w:rsidR="00F52612">
        <w:rPr>
          <w:rFonts w:ascii="Arial" w:hAnsi="Arial" w:cs="Arial"/>
          <w:b/>
          <w:lang w:val="en-GB"/>
        </w:rPr>
        <w:t>/ 2</w:t>
      </w:r>
      <w:r w:rsidR="00F52612" w:rsidRPr="00F52612">
        <w:rPr>
          <w:rFonts w:ascii="Arial" w:hAnsi="Arial" w:cs="Arial"/>
          <w:b/>
          <w:vertAlign w:val="superscript"/>
          <w:lang w:val="en-GB"/>
        </w:rPr>
        <w:t>ND</w:t>
      </w:r>
      <w:r w:rsidR="00F52612">
        <w:rPr>
          <w:rFonts w:ascii="Arial" w:hAnsi="Arial" w:cs="Arial"/>
          <w:b/>
          <w:lang w:val="en-GB"/>
        </w:rPr>
        <w:t xml:space="preserve"> DEFENDANT</w:t>
      </w:r>
    </w:p>
    <w:p w14:paraId="1366BD21" w14:textId="77777777" w:rsidR="00966E6B" w:rsidRPr="00865121" w:rsidRDefault="00966E6B" w:rsidP="0016480B">
      <w:pPr>
        <w:jc w:val="both"/>
        <w:rPr>
          <w:rFonts w:ascii="Arial" w:hAnsi="Arial" w:cs="Arial"/>
          <w:b/>
          <w:lang w:val="en-GB"/>
        </w:rPr>
      </w:pPr>
    </w:p>
    <w:p w14:paraId="27DFB567" w14:textId="77777777" w:rsidR="00966E6B" w:rsidRPr="00865121" w:rsidRDefault="00966E6B" w:rsidP="0016480B">
      <w:pPr>
        <w:jc w:val="both"/>
        <w:rPr>
          <w:rFonts w:ascii="Arial" w:hAnsi="Arial" w:cs="Arial"/>
          <w:b/>
          <w:lang w:val="en-GB"/>
        </w:rPr>
      </w:pPr>
    </w:p>
    <w:p w14:paraId="1B9794EF" w14:textId="77777777" w:rsidR="006F6C3A" w:rsidRPr="00865121" w:rsidRDefault="006F6C3A" w:rsidP="006F6C3A">
      <w:pPr>
        <w:spacing w:line="480" w:lineRule="auto"/>
        <w:jc w:val="both"/>
        <w:rPr>
          <w:rFonts w:ascii="Arial" w:hAnsi="Arial" w:cs="Arial"/>
          <w:lang w:val="en-GB"/>
        </w:rPr>
      </w:pPr>
      <w:r w:rsidRPr="00865121">
        <w:rPr>
          <w:rFonts w:ascii="Arial" w:hAnsi="Arial" w:cs="Arial"/>
          <w:lang w:val="en-GB"/>
        </w:rPr>
        <w:t>___________________________________________________________________</w:t>
      </w:r>
    </w:p>
    <w:p w14:paraId="213960F4" w14:textId="6473D2CC" w:rsidR="006F6C3A" w:rsidRPr="00A66589" w:rsidRDefault="006F6C3A" w:rsidP="006F6C3A">
      <w:pPr>
        <w:jc w:val="both"/>
        <w:rPr>
          <w:rFonts w:ascii="Arial" w:hAnsi="Arial" w:cs="Arial"/>
          <w:b/>
          <w:sz w:val="28"/>
          <w:szCs w:val="28"/>
          <w:lang w:val="en-GB"/>
        </w:rPr>
      </w:pPr>
      <w:r w:rsidRPr="00865121">
        <w:rPr>
          <w:rFonts w:ascii="Arial" w:hAnsi="Arial" w:cs="Arial"/>
          <w:b/>
          <w:lang w:val="en-GB"/>
        </w:rPr>
        <w:t xml:space="preserve">                                   </w:t>
      </w:r>
      <w:r w:rsidR="0020271A">
        <w:rPr>
          <w:rFonts w:ascii="Arial" w:hAnsi="Arial" w:cs="Arial"/>
          <w:b/>
          <w:lang w:val="en-GB"/>
        </w:rPr>
        <w:t xml:space="preserve">         </w:t>
      </w:r>
      <w:r w:rsidRPr="00865121">
        <w:rPr>
          <w:rFonts w:ascii="Arial" w:hAnsi="Arial" w:cs="Arial"/>
          <w:b/>
          <w:lang w:val="en-GB"/>
        </w:rPr>
        <w:t xml:space="preserve">    </w:t>
      </w:r>
      <w:r w:rsidRPr="00A66589">
        <w:rPr>
          <w:rFonts w:ascii="Arial" w:hAnsi="Arial" w:cs="Arial"/>
          <w:b/>
          <w:sz w:val="28"/>
          <w:szCs w:val="28"/>
          <w:lang w:val="en-GB"/>
        </w:rPr>
        <w:t>J</w:t>
      </w:r>
      <w:r w:rsidR="00B858B2" w:rsidRPr="00A66589">
        <w:rPr>
          <w:rFonts w:ascii="Arial" w:hAnsi="Arial" w:cs="Arial"/>
          <w:b/>
          <w:sz w:val="28"/>
          <w:szCs w:val="28"/>
          <w:lang w:val="en-GB"/>
        </w:rPr>
        <w:t xml:space="preserve">udgment </w:t>
      </w:r>
    </w:p>
    <w:p w14:paraId="35528635" w14:textId="6E8F391D" w:rsidR="006868B2" w:rsidRPr="006868B2" w:rsidRDefault="006F6C3A" w:rsidP="006868B2">
      <w:pPr>
        <w:jc w:val="both"/>
        <w:rPr>
          <w:rFonts w:ascii="Arial" w:hAnsi="Arial" w:cs="Arial"/>
          <w:lang w:val="en-GB"/>
        </w:rPr>
      </w:pPr>
      <w:r w:rsidRPr="00865121">
        <w:rPr>
          <w:rFonts w:ascii="Arial" w:hAnsi="Arial" w:cs="Arial"/>
          <w:lang w:val="en-GB"/>
        </w:rPr>
        <w:t>__________________________________________________________________</w:t>
      </w:r>
    </w:p>
    <w:p w14:paraId="0772249E" w14:textId="4BDA0804" w:rsidR="006868B2" w:rsidRDefault="006868B2" w:rsidP="00090510">
      <w:pPr>
        <w:spacing w:line="360" w:lineRule="auto"/>
        <w:rPr>
          <w:rFonts w:ascii="Arial" w:hAnsi="Arial" w:cs="Arial"/>
          <w:bCs/>
          <w:i/>
          <w:iCs/>
        </w:rPr>
      </w:pPr>
      <w:r w:rsidRPr="006868B2">
        <w:rPr>
          <w:rFonts w:ascii="Arial" w:hAnsi="Arial" w:cs="Arial"/>
          <w:bCs/>
          <w:i/>
          <w:iCs/>
        </w:rPr>
        <w:t xml:space="preserve">31 January 2024 – This judgment was handed down electronically by circulation to the parties' representatives via email, by being uploaded to CaseLines and by </w:t>
      </w:r>
      <w:r w:rsidRPr="006868B2">
        <w:rPr>
          <w:rFonts w:ascii="Arial" w:hAnsi="Arial" w:cs="Arial"/>
          <w:bCs/>
          <w:i/>
          <w:iCs/>
        </w:rPr>
        <w:lastRenderedPageBreak/>
        <w:t>release to SAFLII. The date and time for hand-down is deemed to be 11:30 on 31 January 2024.</w:t>
      </w:r>
    </w:p>
    <w:p w14:paraId="1414F42C" w14:textId="77777777" w:rsidR="006868B2" w:rsidRPr="006868B2" w:rsidRDefault="006868B2" w:rsidP="00090510">
      <w:pPr>
        <w:spacing w:line="360" w:lineRule="auto"/>
        <w:rPr>
          <w:rFonts w:ascii="Arial" w:hAnsi="Arial" w:cs="Arial"/>
          <w:bCs/>
          <w:i/>
          <w:iCs/>
        </w:rPr>
      </w:pPr>
    </w:p>
    <w:p w14:paraId="4CEB46BD" w14:textId="02337E78" w:rsidR="00E83BC7" w:rsidRPr="00A66589" w:rsidRDefault="00A42D9C" w:rsidP="00090510">
      <w:pPr>
        <w:spacing w:line="360" w:lineRule="auto"/>
        <w:rPr>
          <w:rFonts w:ascii="Arial" w:hAnsi="Arial" w:cs="Arial"/>
          <w:b/>
          <w:sz w:val="28"/>
          <w:szCs w:val="28"/>
          <w:lang w:val="en-US"/>
        </w:rPr>
      </w:pPr>
      <w:r w:rsidRPr="00A66589">
        <w:rPr>
          <w:rFonts w:ascii="Arial" w:hAnsi="Arial" w:cs="Arial"/>
          <w:b/>
          <w:sz w:val="28"/>
          <w:szCs w:val="28"/>
          <w:lang w:val="en-US"/>
        </w:rPr>
        <w:t>T</w:t>
      </w:r>
      <w:r w:rsidR="00B858B2" w:rsidRPr="00A66589">
        <w:rPr>
          <w:rFonts w:ascii="Arial" w:hAnsi="Arial" w:cs="Arial"/>
          <w:b/>
          <w:sz w:val="28"/>
          <w:szCs w:val="28"/>
          <w:lang w:val="en-US"/>
        </w:rPr>
        <w:t>hupaatlase</w:t>
      </w:r>
      <w:r w:rsidRPr="00A66589">
        <w:rPr>
          <w:rFonts w:ascii="Arial" w:hAnsi="Arial" w:cs="Arial"/>
          <w:b/>
          <w:sz w:val="28"/>
          <w:szCs w:val="28"/>
          <w:lang w:val="en-US"/>
        </w:rPr>
        <w:t xml:space="preserve"> A</w:t>
      </w:r>
      <w:r w:rsidR="006F6C3A" w:rsidRPr="00A66589">
        <w:rPr>
          <w:rFonts w:ascii="Arial" w:hAnsi="Arial" w:cs="Arial"/>
          <w:b/>
          <w:sz w:val="28"/>
          <w:szCs w:val="28"/>
          <w:lang w:val="en-US"/>
        </w:rPr>
        <w:t>J</w:t>
      </w:r>
    </w:p>
    <w:p w14:paraId="0C876497" w14:textId="77777777" w:rsidR="00A66589" w:rsidRPr="00865121" w:rsidRDefault="00A66589" w:rsidP="00090510">
      <w:pPr>
        <w:spacing w:line="360" w:lineRule="auto"/>
        <w:rPr>
          <w:rFonts w:ascii="Arial" w:hAnsi="Arial" w:cs="Arial"/>
          <w:b/>
          <w:lang w:val="en-US"/>
        </w:rPr>
      </w:pPr>
    </w:p>
    <w:p w14:paraId="65448658" w14:textId="502CB20D" w:rsidR="00E83BC7" w:rsidRPr="00865121" w:rsidRDefault="00E83BC7" w:rsidP="00090510">
      <w:pPr>
        <w:spacing w:line="360" w:lineRule="auto"/>
        <w:rPr>
          <w:rFonts w:ascii="Arial" w:hAnsi="Arial" w:cs="Arial"/>
          <w:b/>
          <w:lang w:val="en-US"/>
        </w:rPr>
      </w:pPr>
      <w:r w:rsidRPr="00865121">
        <w:rPr>
          <w:rFonts w:ascii="Arial" w:hAnsi="Arial" w:cs="Arial"/>
          <w:b/>
          <w:lang w:val="en-US"/>
        </w:rPr>
        <w:t>Intr</w:t>
      </w:r>
      <w:r w:rsidR="0063262D" w:rsidRPr="00865121">
        <w:rPr>
          <w:rFonts w:ascii="Arial" w:hAnsi="Arial" w:cs="Arial"/>
          <w:b/>
          <w:lang w:val="en-US"/>
        </w:rPr>
        <w:t>oduction</w:t>
      </w:r>
    </w:p>
    <w:p w14:paraId="1A3A80A8" w14:textId="412AA1AA" w:rsidR="00966E6B" w:rsidRDefault="00576A6B" w:rsidP="00090510">
      <w:pPr>
        <w:pStyle w:val="ListParagraph"/>
        <w:spacing w:line="360" w:lineRule="auto"/>
        <w:ind w:left="0"/>
        <w:jc w:val="both"/>
        <w:rPr>
          <w:rFonts w:ascii="Arial" w:hAnsi="Arial" w:cs="Arial"/>
        </w:rPr>
      </w:pPr>
      <w:r w:rsidRPr="00865121">
        <w:rPr>
          <w:rFonts w:ascii="Arial" w:hAnsi="Arial" w:cs="Arial"/>
        </w:rPr>
        <w:t xml:space="preserve">[1] </w:t>
      </w:r>
      <w:r w:rsidR="00E66D14" w:rsidRPr="00865121">
        <w:rPr>
          <w:rFonts w:ascii="Arial" w:hAnsi="Arial" w:cs="Arial"/>
        </w:rPr>
        <w:t xml:space="preserve">In order to avoid confusion, the parties will be referred to as cited in the main action. </w:t>
      </w:r>
      <w:r w:rsidR="00714D55" w:rsidRPr="00865121">
        <w:rPr>
          <w:rFonts w:ascii="Arial" w:hAnsi="Arial" w:cs="Arial"/>
        </w:rPr>
        <w:t xml:space="preserve">The </w:t>
      </w:r>
      <w:r w:rsidR="00E66D14" w:rsidRPr="00865121">
        <w:rPr>
          <w:rFonts w:ascii="Arial" w:hAnsi="Arial" w:cs="Arial"/>
        </w:rPr>
        <w:t xml:space="preserve">plaintiff </w:t>
      </w:r>
      <w:r w:rsidR="00714D55" w:rsidRPr="00865121">
        <w:rPr>
          <w:rFonts w:ascii="Arial" w:hAnsi="Arial" w:cs="Arial"/>
        </w:rPr>
        <w:t xml:space="preserve">seeks an order for summary judgment against the first and second </w:t>
      </w:r>
      <w:r w:rsidR="00E66D14" w:rsidRPr="00865121">
        <w:rPr>
          <w:rFonts w:ascii="Arial" w:hAnsi="Arial" w:cs="Arial"/>
        </w:rPr>
        <w:t>defendants</w:t>
      </w:r>
      <w:r w:rsidR="00714D55" w:rsidRPr="00865121">
        <w:rPr>
          <w:rFonts w:ascii="Arial" w:hAnsi="Arial" w:cs="Arial"/>
        </w:rPr>
        <w:t>, jointly and severally, the one paying the other to be absolved</w:t>
      </w:r>
      <w:bookmarkStart w:id="1" w:name="_Hlk157429193"/>
      <w:r w:rsidR="00714D55" w:rsidRPr="00865121">
        <w:rPr>
          <w:rFonts w:ascii="Arial" w:hAnsi="Arial" w:cs="Arial"/>
        </w:rPr>
        <w:t>, for payment in the sum of R 2, 863, 432. 45 with interest at the rate of 24% p</w:t>
      </w:r>
      <w:r w:rsidR="00E66D14" w:rsidRPr="00865121">
        <w:rPr>
          <w:rFonts w:ascii="Arial" w:hAnsi="Arial" w:cs="Arial"/>
        </w:rPr>
        <w:t xml:space="preserve">er </w:t>
      </w:r>
      <w:r w:rsidR="00714D55" w:rsidRPr="00865121">
        <w:rPr>
          <w:rFonts w:ascii="Arial" w:hAnsi="Arial" w:cs="Arial"/>
        </w:rPr>
        <w:t>a</w:t>
      </w:r>
      <w:r w:rsidR="00E66D14" w:rsidRPr="00865121">
        <w:rPr>
          <w:rFonts w:ascii="Arial" w:hAnsi="Arial" w:cs="Arial"/>
        </w:rPr>
        <w:t>nnum</w:t>
      </w:r>
      <w:r w:rsidR="00714D55" w:rsidRPr="00865121">
        <w:rPr>
          <w:rFonts w:ascii="Arial" w:hAnsi="Arial" w:cs="Arial"/>
        </w:rPr>
        <w:t xml:space="preserve"> from 29 February 2020 to date of final payment with costs on an attorney and client scale.</w:t>
      </w:r>
    </w:p>
    <w:p w14:paraId="1B88D90F" w14:textId="77777777" w:rsidR="00A66589" w:rsidRPr="00865121" w:rsidRDefault="00A66589" w:rsidP="00090510">
      <w:pPr>
        <w:pStyle w:val="ListParagraph"/>
        <w:spacing w:line="360" w:lineRule="auto"/>
        <w:ind w:left="0"/>
        <w:jc w:val="both"/>
        <w:rPr>
          <w:rFonts w:ascii="Arial" w:hAnsi="Arial" w:cs="Arial"/>
        </w:rPr>
      </w:pPr>
    </w:p>
    <w:bookmarkEnd w:id="1"/>
    <w:p w14:paraId="1BEB04CC" w14:textId="3AEA79F2" w:rsidR="00291FA6" w:rsidRPr="00865121" w:rsidRDefault="00291FA6" w:rsidP="00090510">
      <w:pPr>
        <w:pStyle w:val="ListParagraph"/>
        <w:spacing w:line="360" w:lineRule="auto"/>
        <w:ind w:left="0"/>
        <w:jc w:val="both"/>
        <w:rPr>
          <w:rFonts w:ascii="Arial" w:hAnsi="Arial" w:cs="Arial"/>
          <w:b/>
          <w:bCs/>
        </w:rPr>
      </w:pPr>
      <w:r w:rsidRPr="00865121">
        <w:rPr>
          <w:rFonts w:ascii="Arial" w:hAnsi="Arial" w:cs="Arial"/>
          <w:b/>
          <w:bCs/>
        </w:rPr>
        <w:t xml:space="preserve">Parties </w:t>
      </w:r>
    </w:p>
    <w:p w14:paraId="69BD734B" w14:textId="29F79ED3" w:rsidR="00291FA6" w:rsidRPr="00865121" w:rsidRDefault="00291FA6" w:rsidP="00090510">
      <w:pPr>
        <w:pStyle w:val="ListParagraph"/>
        <w:spacing w:line="360" w:lineRule="auto"/>
        <w:ind w:left="0"/>
        <w:jc w:val="both"/>
        <w:rPr>
          <w:rFonts w:ascii="Arial" w:hAnsi="Arial" w:cs="Arial"/>
        </w:rPr>
      </w:pPr>
      <w:r w:rsidRPr="00865121">
        <w:rPr>
          <w:rFonts w:ascii="Arial" w:hAnsi="Arial" w:cs="Arial"/>
        </w:rPr>
        <w:t xml:space="preserve">[2] The plaintiff </w:t>
      </w:r>
      <w:r w:rsidR="001F691D" w:rsidRPr="00865121">
        <w:rPr>
          <w:rFonts w:ascii="Arial" w:hAnsi="Arial" w:cs="Arial"/>
        </w:rPr>
        <w:t>is</w:t>
      </w:r>
      <w:r w:rsidR="005B2E89" w:rsidRPr="00865121">
        <w:rPr>
          <w:rFonts w:ascii="Arial" w:hAnsi="Arial" w:cs="Arial"/>
        </w:rPr>
        <w:t xml:space="preserve"> Cochrane Steel </w:t>
      </w:r>
      <w:r w:rsidR="00072238" w:rsidRPr="00865121">
        <w:rPr>
          <w:rFonts w:ascii="Arial" w:hAnsi="Arial" w:cs="Arial"/>
        </w:rPr>
        <w:t xml:space="preserve">Products (Pty) Ltd a private </w:t>
      </w:r>
      <w:r w:rsidR="0059777D" w:rsidRPr="00865121">
        <w:rPr>
          <w:rFonts w:ascii="Arial" w:hAnsi="Arial" w:cs="Arial"/>
        </w:rPr>
        <w:t xml:space="preserve">company duly registered and </w:t>
      </w:r>
      <w:r w:rsidR="005E4B89" w:rsidRPr="00865121">
        <w:rPr>
          <w:rFonts w:ascii="Arial" w:hAnsi="Arial" w:cs="Arial"/>
        </w:rPr>
        <w:t xml:space="preserve">duly </w:t>
      </w:r>
      <w:r w:rsidR="0059777D" w:rsidRPr="00865121">
        <w:rPr>
          <w:rFonts w:ascii="Arial" w:hAnsi="Arial" w:cs="Arial"/>
        </w:rPr>
        <w:t xml:space="preserve">incorporated </w:t>
      </w:r>
      <w:r w:rsidR="00C00969" w:rsidRPr="00865121">
        <w:rPr>
          <w:rFonts w:ascii="Arial" w:hAnsi="Arial" w:cs="Arial"/>
        </w:rPr>
        <w:t xml:space="preserve">in terms of </w:t>
      </w:r>
      <w:r w:rsidR="005E4B89" w:rsidRPr="00865121">
        <w:rPr>
          <w:rFonts w:ascii="Arial" w:hAnsi="Arial" w:cs="Arial"/>
        </w:rPr>
        <w:t xml:space="preserve">company laws of the Republic of South Africa. The </w:t>
      </w:r>
      <w:r w:rsidR="00712D13" w:rsidRPr="00865121">
        <w:rPr>
          <w:rFonts w:ascii="Arial" w:hAnsi="Arial" w:cs="Arial"/>
        </w:rPr>
        <w:t>principal place of business of the plaintiff is Kempton Park</w:t>
      </w:r>
      <w:r w:rsidR="002D4585" w:rsidRPr="00865121">
        <w:rPr>
          <w:rFonts w:ascii="Arial" w:hAnsi="Arial" w:cs="Arial"/>
        </w:rPr>
        <w:t>.</w:t>
      </w:r>
    </w:p>
    <w:p w14:paraId="2FD5967D" w14:textId="1CC1EC07" w:rsidR="00E5103E" w:rsidRPr="00865121" w:rsidRDefault="00E5103E" w:rsidP="00090510">
      <w:pPr>
        <w:pStyle w:val="ListParagraph"/>
        <w:spacing w:line="360" w:lineRule="auto"/>
        <w:ind w:left="0"/>
        <w:jc w:val="both"/>
        <w:rPr>
          <w:rFonts w:ascii="Arial" w:hAnsi="Arial" w:cs="Arial"/>
        </w:rPr>
      </w:pPr>
      <w:r w:rsidRPr="00865121">
        <w:rPr>
          <w:rFonts w:ascii="Arial" w:hAnsi="Arial" w:cs="Arial"/>
        </w:rPr>
        <w:t>[3] The first defendant i</w:t>
      </w:r>
      <w:r w:rsidR="00C92D14" w:rsidRPr="00865121">
        <w:rPr>
          <w:rFonts w:ascii="Arial" w:hAnsi="Arial" w:cs="Arial"/>
        </w:rPr>
        <w:t>s Tipp Con (Pty) Ltd</w:t>
      </w:r>
      <w:r w:rsidR="001A6974" w:rsidRPr="00865121">
        <w:rPr>
          <w:rFonts w:ascii="Arial" w:hAnsi="Arial" w:cs="Arial"/>
        </w:rPr>
        <w:t xml:space="preserve">, a private company duly registered and duly incorporated in </w:t>
      </w:r>
      <w:r w:rsidR="00385140" w:rsidRPr="00865121">
        <w:rPr>
          <w:rFonts w:ascii="Arial" w:hAnsi="Arial" w:cs="Arial"/>
        </w:rPr>
        <w:t xml:space="preserve">terms of company laws of the Republic of South Africa. </w:t>
      </w:r>
    </w:p>
    <w:p w14:paraId="572F0AC7" w14:textId="69AEA646" w:rsidR="00973675" w:rsidRDefault="00973675" w:rsidP="00090510">
      <w:pPr>
        <w:pStyle w:val="ListParagraph"/>
        <w:spacing w:line="360" w:lineRule="auto"/>
        <w:ind w:left="0"/>
        <w:jc w:val="both"/>
        <w:rPr>
          <w:rFonts w:ascii="Arial" w:hAnsi="Arial" w:cs="Arial"/>
        </w:rPr>
      </w:pPr>
      <w:r w:rsidRPr="00865121">
        <w:rPr>
          <w:rFonts w:ascii="Arial" w:hAnsi="Arial" w:cs="Arial"/>
        </w:rPr>
        <w:t xml:space="preserve">[4] The second defendant </w:t>
      </w:r>
      <w:r w:rsidR="001D7C9B" w:rsidRPr="00865121">
        <w:rPr>
          <w:rFonts w:ascii="Arial" w:hAnsi="Arial" w:cs="Arial"/>
        </w:rPr>
        <w:t xml:space="preserve">is an adult male person. He is </w:t>
      </w:r>
      <w:r w:rsidR="00BE0FB2">
        <w:rPr>
          <w:rFonts w:ascii="Arial" w:hAnsi="Arial" w:cs="Arial"/>
        </w:rPr>
        <w:t>been sued</w:t>
      </w:r>
      <w:r w:rsidR="001D7C9B" w:rsidRPr="00865121">
        <w:rPr>
          <w:rFonts w:ascii="Arial" w:hAnsi="Arial" w:cs="Arial"/>
        </w:rPr>
        <w:t xml:space="preserve"> in his capacity </w:t>
      </w:r>
      <w:r w:rsidR="00065562" w:rsidRPr="00865121">
        <w:rPr>
          <w:rFonts w:ascii="Arial" w:hAnsi="Arial" w:cs="Arial"/>
        </w:rPr>
        <w:t xml:space="preserve">as surety, </w:t>
      </w:r>
      <w:r w:rsidR="007C7F8E" w:rsidRPr="00865121">
        <w:rPr>
          <w:rFonts w:ascii="Arial" w:hAnsi="Arial" w:cs="Arial"/>
        </w:rPr>
        <w:t>guarantor,</w:t>
      </w:r>
      <w:r w:rsidR="00065562" w:rsidRPr="00865121">
        <w:rPr>
          <w:rFonts w:ascii="Arial" w:hAnsi="Arial" w:cs="Arial"/>
        </w:rPr>
        <w:t xml:space="preserve"> and co-pri</w:t>
      </w:r>
      <w:r w:rsidR="00C91AEA" w:rsidRPr="00865121">
        <w:rPr>
          <w:rFonts w:ascii="Arial" w:hAnsi="Arial" w:cs="Arial"/>
        </w:rPr>
        <w:t xml:space="preserve">ncipal debtor in solidum with the first defendant </w:t>
      </w:r>
      <w:r w:rsidR="00D93C8E" w:rsidRPr="00865121">
        <w:rPr>
          <w:rFonts w:ascii="Arial" w:hAnsi="Arial" w:cs="Arial"/>
        </w:rPr>
        <w:t xml:space="preserve">in favour </w:t>
      </w:r>
      <w:r w:rsidR="0092198F" w:rsidRPr="00865121">
        <w:rPr>
          <w:rFonts w:ascii="Arial" w:hAnsi="Arial" w:cs="Arial"/>
        </w:rPr>
        <w:t xml:space="preserve">of the plaintiff for the due performance </w:t>
      </w:r>
      <w:r w:rsidR="00787060" w:rsidRPr="00865121">
        <w:rPr>
          <w:rFonts w:ascii="Arial" w:hAnsi="Arial" w:cs="Arial"/>
        </w:rPr>
        <w:t>of the obligations of the first defendant</w:t>
      </w:r>
      <w:r w:rsidR="00DC18E6" w:rsidRPr="00865121">
        <w:rPr>
          <w:rFonts w:ascii="Arial" w:hAnsi="Arial" w:cs="Arial"/>
        </w:rPr>
        <w:t xml:space="preserve"> including payments </w:t>
      </w:r>
      <w:r w:rsidR="00751E51" w:rsidRPr="00865121">
        <w:rPr>
          <w:rFonts w:ascii="Arial" w:hAnsi="Arial" w:cs="Arial"/>
        </w:rPr>
        <w:t>due to the plaintiff in terms of the agreement</w:t>
      </w:r>
      <w:r w:rsidR="00863930" w:rsidRPr="00865121">
        <w:rPr>
          <w:rFonts w:ascii="Arial" w:hAnsi="Arial" w:cs="Arial"/>
        </w:rPr>
        <w:t xml:space="preserve">. </w:t>
      </w:r>
    </w:p>
    <w:p w14:paraId="6C2DCDCD" w14:textId="77777777" w:rsidR="00A66589" w:rsidRPr="00865121" w:rsidRDefault="00A66589" w:rsidP="00090510">
      <w:pPr>
        <w:pStyle w:val="ListParagraph"/>
        <w:spacing w:line="360" w:lineRule="auto"/>
        <w:ind w:left="0"/>
        <w:jc w:val="both"/>
        <w:rPr>
          <w:rFonts w:ascii="Arial" w:hAnsi="Arial" w:cs="Arial"/>
        </w:rPr>
      </w:pPr>
    </w:p>
    <w:p w14:paraId="7AB06394" w14:textId="10049224" w:rsidR="00371EC6" w:rsidRPr="00865121" w:rsidRDefault="00371EC6" w:rsidP="00090510">
      <w:pPr>
        <w:pStyle w:val="ListParagraph"/>
        <w:spacing w:line="360" w:lineRule="auto"/>
        <w:ind w:left="0"/>
        <w:jc w:val="both"/>
        <w:rPr>
          <w:rFonts w:ascii="Arial" w:hAnsi="Arial" w:cs="Arial"/>
          <w:b/>
          <w:bCs/>
        </w:rPr>
      </w:pPr>
      <w:r w:rsidRPr="00865121">
        <w:rPr>
          <w:rFonts w:ascii="Arial" w:hAnsi="Arial" w:cs="Arial"/>
          <w:b/>
          <w:bCs/>
        </w:rPr>
        <w:t xml:space="preserve">Background </w:t>
      </w:r>
    </w:p>
    <w:p w14:paraId="56B43D42" w14:textId="5824646C" w:rsidR="007C7F8E" w:rsidRPr="00865121" w:rsidRDefault="00371EC6" w:rsidP="00090510">
      <w:pPr>
        <w:pStyle w:val="ListParagraph"/>
        <w:spacing w:line="360" w:lineRule="auto"/>
        <w:ind w:left="0"/>
        <w:jc w:val="both"/>
        <w:rPr>
          <w:rFonts w:ascii="Arial" w:hAnsi="Arial" w:cs="Arial"/>
        </w:rPr>
      </w:pPr>
      <w:r w:rsidRPr="00865121">
        <w:rPr>
          <w:rFonts w:ascii="Arial" w:hAnsi="Arial" w:cs="Arial"/>
        </w:rPr>
        <w:t xml:space="preserve">[5] </w:t>
      </w:r>
      <w:r w:rsidR="00971302" w:rsidRPr="00865121">
        <w:rPr>
          <w:rFonts w:ascii="Arial" w:hAnsi="Arial" w:cs="Arial"/>
        </w:rPr>
        <w:t xml:space="preserve">The plaintiff issued summons against both </w:t>
      </w:r>
      <w:r w:rsidR="00D60C6E" w:rsidRPr="00865121">
        <w:rPr>
          <w:rFonts w:ascii="Arial" w:hAnsi="Arial" w:cs="Arial"/>
        </w:rPr>
        <w:t>defendants</w:t>
      </w:r>
      <w:r w:rsidR="00971302" w:rsidRPr="00865121">
        <w:rPr>
          <w:rFonts w:ascii="Arial" w:hAnsi="Arial" w:cs="Arial"/>
        </w:rPr>
        <w:t xml:space="preserve"> </w:t>
      </w:r>
      <w:r w:rsidR="00F62E57" w:rsidRPr="00865121">
        <w:rPr>
          <w:rFonts w:ascii="Arial" w:hAnsi="Arial" w:cs="Arial"/>
        </w:rPr>
        <w:t xml:space="preserve">for payment of sum of money. </w:t>
      </w:r>
      <w:r w:rsidR="00311828" w:rsidRPr="00865121">
        <w:rPr>
          <w:rFonts w:ascii="Arial" w:hAnsi="Arial" w:cs="Arial"/>
        </w:rPr>
        <w:t>T</w:t>
      </w:r>
      <w:r w:rsidR="00F62E57" w:rsidRPr="00865121">
        <w:rPr>
          <w:rFonts w:ascii="Arial" w:hAnsi="Arial" w:cs="Arial"/>
        </w:rPr>
        <w:t>h</w:t>
      </w:r>
      <w:r w:rsidR="00311828" w:rsidRPr="00865121">
        <w:rPr>
          <w:rFonts w:ascii="Arial" w:hAnsi="Arial" w:cs="Arial"/>
        </w:rPr>
        <w:t xml:space="preserve">e plaintiff </w:t>
      </w:r>
      <w:r w:rsidR="00D60C6E" w:rsidRPr="00865121">
        <w:rPr>
          <w:rFonts w:ascii="Arial" w:hAnsi="Arial" w:cs="Arial"/>
        </w:rPr>
        <w:t>claims</w:t>
      </w:r>
      <w:r w:rsidR="00311828" w:rsidRPr="00865121">
        <w:rPr>
          <w:rFonts w:ascii="Arial" w:hAnsi="Arial" w:cs="Arial"/>
        </w:rPr>
        <w:t xml:space="preserve"> damages as a result </w:t>
      </w:r>
      <w:r w:rsidR="000577D1" w:rsidRPr="00865121">
        <w:rPr>
          <w:rFonts w:ascii="Arial" w:hAnsi="Arial" w:cs="Arial"/>
        </w:rPr>
        <w:t xml:space="preserve">of </w:t>
      </w:r>
      <w:r w:rsidR="00D60C6E" w:rsidRPr="00865121">
        <w:rPr>
          <w:rFonts w:ascii="Arial" w:hAnsi="Arial" w:cs="Arial"/>
        </w:rPr>
        <w:t xml:space="preserve">an </w:t>
      </w:r>
      <w:r w:rsidR="000577D1" w:rsidRPr="00865121">
        <w:rPr>
          <w:rFonts w:ascii="Arial" w:hAnsi="Arial" w:cs="Arial"/>
        </w:rPr>
        <w:t>alleged breach of agreement entered into be</w:t>
      </w:r>
      <w:r w:rsidR="00345633" w:rsidRPr="00865121">
        <w:rPr>
          <w:rFonts w:ascii="Arial" w:hAnsi="Arial" w:cs="Arial"/>
        </w:rPr>
        <w:t xml:space="preserve">tween the plaintiff and the </w:t>
      </w:r>
      <w:r w:rsidR="00D60C6E" w:rsidRPr="00865121">
        <w:rPr>
          <w:rFonts w:ascii="Arial" w:hAnsi="Arial" w:cs="Arial"/>
        </w:rPr>
        <w:t xml:space="preserve">first </w:t>
      </w:r>
      <w:r w:rsidR="00345633" w:rsidRPr="00865121">
        <w:rPr>
          <w:rFonts w:ascii="Arial" w:hAnsi="Arial" w:cs="Arial"/>
        </w:rPr>
        <w:t xml:space="preserve">defendant. In response the </w:t>
      </w:r>
      <w:r w:rsidR="00186245" w:rsidRPr="00865121">
        <w:rPr>
          <w:rFonts w:ascii="Arial" w:hAnsi="Arial" w:cs="Arial"/>
        </w:rPr>
        <w:t>defendants entered a</w:t>
      </w:r>
      <w:r w:rsidR="00820BA6">
        <w:rPr>
          <w:rFonts w:ascii="Arial" w:hAnsi="Arial" w:cs="Arial"/>
        </w:rPr>
        <w:t xml:space="preserve"> notic</w:t>
      </w:r>
      <w:r w:rsidR="00E23FDA">
        <w:rPr>
          <w:rFonts w:ascii="Arial" w:hAnsi="Arial" w:cs="Arial"/>
        </w:rPr>
        <w:t xml:space="preserve">e </w:t>
      </w:r>
      <w:r w:rsidR="005F0F8D">
        <w:rPr>
          <w:rFonts w:ascii="Arial" w:hAnsi="Arial" w:cs="Arial"/>
        </w:rPr>
        <w:t xml:space="preserve">of </w:t>
      </w:r>
      <w:r w:rsidR="005F0F8D" w:rsidRPr="00865121">
        <w:rPr>
          <w:rFonts w:ascii="Arial" w:hAnsi="Arial" w:cs="Arial"/>
        </w:rPr>
        <w:t>intention</w:t>
      </w:r>
      <w:r w:rsidR="00186245" w:rsidRPr="00865121">
        <w:rPr>
          <w:rFonts w:ascii="Arial" w:hAnsi="Arial" w:cs="Arial"/>
        </w:rPr>
        <w:t xml:space="preserve"> to defend and subsequently </w:t>
      </w:r>
      <w:r w:rsidR="006D50CD" w:rsidRPr="00865121">
        <w:rPr>
          <w:rFonts w:ascii="Arial" w:hAnsi="Arial" w:cs="Arial"/>
        </w:rPr>
        <w:t xml:space="preserve">filed a plea. </w:t>
      </w:r>
    </w:p>
    <w:p w14:paraId="2CCB1943" w14:textId="5CF284BF" w:rsidR="006D50CD" w:rsidRDefault="006D50CD" w:rsidP="00090510">
      <w:pPr>
        <w:pStyle w:val="ListParagraph"/>
        <w:spacing w:line="360" w:lineRule="auto"/>
        <w:ind w:left="0"/>
        <w:jc w:val="both"/>
        <w:rPr>
          <w:rFonts w:ascii="Arial" w:hAnsi="Arial" w:cs="Arial"/>
        </w:rPr>
      </w:pPr>
      <w:r w:rsidRPr="00865121">
        <w:rPr>
          <w:rFonts w:ascii="Arial" w:hAnsi="Arial" w:cs="Arial"/>
        </w:rPr>
        <w:t xml:space="preserve">[6] As a result, the plaintiff brought the summary </w:t>
      </w:r>
      <w:r w:rsidR="00077E9D" w:rsidRPr="00865121">
        <w:rPr>
          <w:rFonts w:ascii="Arial" w:hAnsi="Arial" w:cs="Arial"/>
        </w:rPr>
        <w:t>judgment application alleging that the defendants’ plea has</w:t>
      </w:r>
      <w:r w:rsidR="00F73433" w:rsidRPr="00865121">
        <w:rPr>
          <w:rFonts w:ascii="Arial" w:hAnsi="Arial" w:cs="Arial"/>
        </w:rPr>
        <w:t xml:space="preserve"> been</w:t>
      </w:r>
      <w:r w:rsidR="00077E9D" w:rsidRPr="00865121">
        <w:rPr>
          <w:rFonts w:ascii="Arial" w:hAnsi="Arial" w:cs="Arial"/>
        </w:rPr>
        <w:t xml:space="preserve"> </w:t>
      </w:r>
      <w:r w:rsidR="0099008D" w:rsidRPr="00865121">
        <w:rPr>
          <w:rFonts w:ascii="Arial" w:hAnsi="Arial" w:cs="Arial"/>
        </w:rPr>
        <w:t xml:space="preserve">filed as </w:t>
      </w:r>
      <w:r w:rsidR="00F73433" w:rsidRPr="00865121">
        <w:rPr>
          <w:rFonts w:ascii="Arial" w:hAnsi="Arial" w:cs="Arial"/>
        </w:rPr>
        <w:t xml:space="preserve">a </w:t>
      </w:r>
      <w:r w:rsidR="0099008D" w:rsidRPr="00865121">
        <w:rPr>
          <w:rFonts w:ascii="Arial" w:hAnsi="Arial" w:cs="Arial"/>
        </w:rPr>
        <w:t xml:space="preserve">dilatory tactic and </w:t>
      </w:r>
      <w:r w:rsidR="004B1F17" w:rsidRPr="00865121">
        <w:rPr>
          <w:rFonts w:ascii="Arial" w:hAnsi="Arial" w:cs="Arial"/>
        </w:rPr>
        <w:t>that the defence</w:t>
      </w:r>
      <w:r w:rsidR="007F63A6" w:rsidRPr="00865121">
        <w:rPr>
          <w:rFonts w:ascii="Arial" w:hAnsi="Arial" w:cs="Arial"/>
        </w:rPr>
        <w:t>s</w:t>
      </w:r>
      <w:r w:rsidR="004B1F17" w:rsidRPr="00865121">
        <w:rPr>
          <w:rFonts w:ascii="Arial" w:hAnsi="Arial" w:cs="Arial"/>
        </w:rPr>
        <w:t xml:space="preserve"> raised </w:t>
      </w:r>
      <w:r w:rsidR="00E23FDA">
        <w:rPr>
          <w:rFonts w:ascii="Arial" w:hAnsi="Arial" w:cs="Arial"/>
        </w:rPr>
        <w:t xml:space="preserve">in the </w:t>
      </w:r>
      <w:r w:rsidR="004B1F17" w:rsidRPr="00865121">
        <w:rPr>
          <w:rFonts w:ascii="Arial" w:hAnsi="Arial" w:cs="Arial"/>
        </w:rPr>
        <w:t>plea</w:t>
      </w:r>
      <w:r w:rsidR="007F63A6" w:rsidRPr="00865121">
        <w:rPr>
          <w:rFonts w:ascii="Arial" w:hAnsi="Arial" w:cs="Arial"/>
        </w:rPr>
        <w:t xml:space="preserve"> are not bon</w:t>
      </w:r>
      <w:r w:rsidR="00E23FDA">
        <w:rPr>
          <w:rFonts w:ascii="Arial" w:hAnsi="Arial" w:cs="Arial"/>
        </w:rPr>
        <w:t>a</w:t>
      </w:r>
      <w:r w:rsidR="007F63A6" w:rsidRPr="00865121">
        <w:rPr>
          <w:rFonts w:ascii="Arial" w:hAnsi="Arial" w:cs="Arial"/>
        </w:rPr>
        <w:t xml:space="preserve"> fide. The defendant</w:t>
      </w:r>
      <w:r w:rsidR="00DE5ADB" w:rsidRPr="00865121">
        <w:rPr>
          <w:rFonts w:ascii="Arial" w:hAnsi="Arial" w:cs="Arial"/>
        </w:rPr>
        <w:t>s</w:t>
      </w:r>
      <w:r w:rsidR="007F63A6" w:rsidRPr="00865121">
        <w:rPr>
          <w:rFonts w:ascii="Arial" w:hAnsi="Arial" w:cs="Arial"/>
        </w:rPr>
        <w:t xml:space="preserve"> are resisting </w:t>
      </w:r>
      <w:r w:rsidR="004D5C7C" w:rsidRPr="00865121">
        <w:rPr>
          <w:rFonts w:ascii="Arial" w:hAnsi="Arial" w:cs="Arial"/>
        </w:rPr>
        <w:t xml:space="preserve">the summary judgment application. </w:t>
      </w:r>
    </w:p>
    <w:p w14:paraId="5EDB76BD" w14:textId="77777777" w:rsidR="00A66589" w:rsidRPr="00865121" w:rsidRDefault="00A66589" w:rsidP="00090510">
      <w:pPr>
        <w:pStyle w:val="ListParagraph"/>
        <w:spacing w:line="360" w:lineRule="auto"/>
        <w:ind w:left="0"/>
        <w:jc w:val="both"/>
        <w:rPr>
          <w:rFonts w:ascii="Arial" w:hAnsi="Arial" w:cs="Arial"/>
        </w:rPr>
      </w:pPr>
    </w:p>
    <w:p w14:paraId="33AE796C" w14:textId="423FEA3F" w:rsidR="00FD4894" w:rsidRPr="00865121" w:rsidRDefault="00FD4894" w:rsidP="00090510">
      <w:pPr>
        <w:pStyle w:val="ListParagraph"/>
        <w:spacing w:line="360" w:lineRule="auto"/>
        <w:ind w:left="0"/>
        <w:jc w:val="both"/>
        <w:rPr>
          <w:rFonts w:ascii="Arial" w:hAnsi="Arial" w:cs="Arial"/>
          <w:b/>
          <w:bCs/>
        </w:rPr>
      </w:pPr>
      <w:r w:rsidRPr="00865121">
        <w:rPr>
          <w:rFonts w:ascii="Arial" w:hAnsi="Arial" w:cs="Arial"/>
          <w:b/>
          <w:bCs/>
        </w:rPr>
        <w:lastRenderedPageBreak/>
        <w:t>Issues for determination</w:t>
      </w:r>
    </w:p>
    <w:p w14:paraId="0259867B" w14:textId="4BA44266" w:rsidR="00D60C6E" w:rsidRPr="00865121" w:rsidRDefault="00D60C6E" w:rsidP="00090510">
      <w:pPr>
        <w:pStyle w:val="ListParagraph"/>
        <w:spacing w:line="360" w:lineRule="auto"/>
        <w:ind w:left="0"/>
        <w:jc w:val="both"/>
        <w:rPr>
          <w:rFonts w:ascii="Arial" w:hAnsi="Arial" w:cs="Arial"/>
        </w:rPr>
      </w:pPr>
      <w:r w:rsidRPr="00865121">
        <w:rPr>
          <w:rFonts w:ascii="Arial" w:hAnsi="Arial" w:cs="Arial"/>
        </w:rPr>
        <w:t xml:space="preserve">[7] </w:t>
      </w:r>
      <w:r w:rsidR="00F171D9" w:rsidRPr="00865121">
        <w:rPr>
          <w:rFonts w:ascii="Arial" w:hAnsi="Arial" w:cs="Arial"/>
        </w:rPr>
        <w:t>T</w:t>
      </w:r>
      <w:r w:rsidR="00B472D5" w:rsidRPr="00865121">
        <w:rPr>
          <w:rFonts w:ascii="Arial" w:hAnsi="Arial" w:cs="Arial"/>
        </w:rPr>
        <w:t xml:space="preserve">here are several issues </w:t>
      </w:r>
      <w:r w:rsidR="00F171D9" w:rsidRPr="00865121">
        <w:rPr>
          <w:rFonts w:ascii="Arial" w:hAnsi="Arial" w:cs="Arial"/>
        </w:rPr>
        <w:t>to be decided and these can be enumerated as follows:</w:t>
      </w:r>
    </w:p>
    <w:p w14:paraId="0BD15A86" w14:textId="2432013D" w:rsidR="004B6D9F" w:rsidRPr="00216819" w:rsidRDefault="00216819" w:rsidP="00216819">
      <w:pPr>
        <w:spacing w:line="360" w:lineRule="auto"/>
        <w:ind w:left="1080" w:hanging="720"/>
        <w:jc w:val="both"/>
        <w:rPr>
          <w:rFonts w:ascii="Arial" w:hAnsi="Arial" w:cs="Arial"/>
        </w:rPr>
      </w:pPr>
      <w:r>
        <w:rPr>
          <w:rFonts w:ascii="Arial" w:hAnsi="Arial" w:cs="Arial"/>
        </w:rPr>
        <w:t>7.1.</w:t>
      </w:r>
      <w:r>
        <w:rPr>
          <w:rFonts w:ascii="Arial" w:hAnsi="Arial" w:cs="Arial"/>
        </w:rPr>
        <w:tab/>
      </w:r>
      <w:r w:rsidR="00BC5A7F" w:rsidRPr="00216819">
        <w:rPr>
          <w:rFonts w:ascii="Arial" w:hAnsi="Arial" w:cs="Arial"/>
        </w:rPr>
        <w:t xml:space="preserve">Whether the </w:t>
      </w:r>
      <w:r w:rsidR="00D60C6E" w:rsidRPr="00216819">
        <w:rPr>
          <w:rFonts w:ascii="Arial" w:hAnsi="Arial" w:cs="Arial"/>
        </w:rPr>
        <w:t>d</w:t>
      </w:r>
      <w:r w:rsidR="00BC5A7F" w:rsidRPr="00216819">
        <w:rPr>
          <w:rFonts w:ascii="Arial" w:hAnsi="Arial" w:cs="Arial"/>
        </w:rPr>
        <w:t xml:space="preserve">efendants’ point in limine that the </w:t>
      </w:r>
      <w:r w:rsidR="00D60C6E" w:rsidRPr="00216819">
        <w:rPr>
          <w:rFonts w:ascii="Arial" w:hAnsi="Arial" w:cs="Arial"/>
        </w:rPr>
        <w:t>p</w:t>
      </w:r>
      <w:r w:rsidR="00BC5A7F" w:rsidRPr="00216819">
        <w:rPr>
          <w:rFonts w:ascii="Arial" w:hAnsi="Arial" w:cs="Arial"/>
        </w:rPr>
        <w:t xml:space="preserve">laintiff was required, in terms of Rule 32(2)(c) of the Uniform Rules of Court, to attach the certificate of balance (as a liquid document) to the affidavit in support of summary judgment) should succeed. </w:t>
      </w:r>
      <w:r w:rsidR="00B472D5" w:rsidRPr="00216819">
        <w:rPr>
          <w:rFonts w:ascii="Arial" w:hAnsi="Arial" w:cs="Arial"/>
        </w:rPr>
        <w:t xml:space="preserve">According to the argument of the defendants a failure to attach a liquid </w:t>
      </w:r>
      <w:r w:rsidR="003550AE" w:rsidRPr="00216819">
        <w:rPr>
          <w:rFonts w:ascii="Arial" w:hAnsi="Arial" w:cs="Arial"/>
        </w:rPr>
        <w:t xml:space="preserve">document </w:t>
      </w:r>
      <w:r w:rsidR="00B472D5" w:rsidRPr="00216819">
        <w:rPr>
          <w:rFonts w:ascii="Arial" w:hAnsi="Arial" w:cs="Arial"/>
        </w:rPr>
        <w:t>as required by the rule peremptorily destroys the plaintiff’s claim.</w:t>
      </w:r>
    </w:p>
    <w:p w14:paraId="67FDADBF" w14:textId="0D4E9678" w:rsidR="004B6D9F" w:rsidRPr="00216819" w:rsidRDefault="00216819" w:rsidP="00216819">
      <w:pPr>
        <w:spacing w:line="360" w:lineRule="auto"/>
        <w:ind w:left="1080" w:hanging="720"/>
        <w:jc w:val="both"/>
        <w:rPr>
          <w:rFonts w:ascii="Arial" w:hAnsi="Arial" w:cs="Arial"/>
        </w:rPr>
      </w:pPr>
      <w:r>
        <w:rPr>
          <w:rFonts w:ascii="Arial" w:hAnsi="Arial" w:cs="Arial"/>
        </w:rPr>
        <w:t>7.2.</w:t>
      </w:r>
      <w:r>
        <w:rPr>
          <w:rFonts w:ascii="Arial" w:hAnsi="Arial" w:cs="Arial"/>
        </w:rPr>
        <w:tab/>
      </w:r>
      <w:r w:rsidR="00BC5A7F" w:rsidRPr="00216819">
        <w:rPr>
          <w:rFonts w:ascii="Arial" w:hAnsi="Arial" w:cs="Arial"/>
        </w:rPr>
        <w:t xml:space="preserve">Whether the </w:t>
      </w:r>
      <w:r w:rsidR="00D60C6E" w:rsidRPr="00216819">
        <w:rPr>
          <w:rFonts w:ascii="Arial" w:hAnsi="Arial" w:cs="Arial"/>
        </w:rPr>
        <w:t>d</w:t>
      </w:r>
      <w:r w:rsidR="00BC5A7F" w:rsidRPr="00216819">
        <w:rPr>
          <w:rFonts w:ascii="Arial" w:hAnsi="Arial" w:cs="Arial"/>
        </w:rPr>
        <w:t xml:space="preserve">efendants are entitled to rely on the </w:t>
      </w:r>
      <w:r w:rsidR="00BC5A7F" w:rsidRPr="00216819">
        <w:rPr>
          <w:rFonts w:ascii="Arial" w:hAnsi="Arial" w:cs="Arial"/>
          <w:i/>
          <w:iCs/>
        </w:rPr>
        <w:t>exceptio non adimpleti contractus</w:t>
      </w:r>
      <w:r w:rsidR="00BC5A7F" w:rsidRPr="00216819">
        <w:rPr>
          <w:rFonts w:ascii="Arial" w:hAnsi="Arial" w:cs="Arial"/>
        </w:rPr>
        <w:t xml:space="preserve"> to withhold payment to the </w:t>
      </w:r>
      <w:r w:rsidR="00D60C6E" w:rsidRPr="00216819">
        <w:rPr>
          <w:rFonts w:ascii="Arial" w:hAnsi="Arial" w:cs="Arial"/>
        </w:rPr>
        <w:t>p</w:t>
      </w:r>
      <w:r w:rsidR="00BC5A7F" w:rsidRPr="00216819">
        <w:rPr>
          <w:rFonts w:ascii="Arial" w:hAnsi="Arial" w:cs="Arial"/>
        </w:rPr>
        <w:t xml:space="preserve">laintiff. </w:t>
      </w:r>
    </w:p>
    <w:p w14:paraId="32422E24" w14:textId="5526DEB6" w:rsidR="004B6D9F" w:rsidRPr="00216819" w:rsidRDefault="00216819" w:rsidP="00216819">
      <w:pPr>
        <w:spacing w:line="360" w:lineRule="auto"/>
        <w:ind w:left="1080" w:hanging="720"/>
        <w:jc w:val="both"/>
        <w:rPr>
          <w:rFonts w:ascii="Arial" w:hAnsi="Arial" w:cs="Arial"/>
        </w:rPr>
      </w:pPr>
      <w:r>
        <w:rPr>
          <w:rFonts w:ascii="Arial" w:hAnsi="Arial" w:cs="Arial"/>
        </w:rPr>
        <w:t>7.3.</w:t>
      </w:r>
      <w:r>
        <w:rPr>
          <w:rFonts w:ascii="Arial" w:hAnsi="Arial" w:cs="Arial"/>
        </w:rPr>
        <w:tab/>
      </w:r>
      <w:r w:rsidR="00B472D5" w:rsidRPr="00216819">
        <w:rPr>
          <w:rFonts w:ascii="Arial" w:hAnsi="Arial" w:cs="Arial"/>
        </w:rPr>
        <w:t>Whether</w:t>
      </w:r>
      <w:r w:rsidR="00BC5A7F" w:rsidRPr="00216819">
        <w:rPr>
          <w:rFonts w:ascii="Arial" w:hAnsi="Arial" w:cs="Arial"/>
        </w:rPr>
        <w:t xml:space="preserve"> the </w:t>
      </w:r>
      <w:r w:rsidR="00D60C6E" w:rsidRPr="00216819">
        <w:rPr>
          <w:rFonts w:ascii="Arial" w:hAnsi="Arial" w:cs="Arial"/>
        </w:rPr>
        <w:t>f</w:t>
      </w:r>
      <w:r w:rsidR="00BC5A7F" w:rsidRPr="00216819">
        <w:rPr>
          <w:rFonts w:ascii="Arial" w:hAnsi="Arial" w:cs="Arial"/>
        </w:rPr>
        <w:t xml:space="preserve">irst </w:t>
      </w:r>
      <w:r w:rsidR="00D60C6E" w:rsidRPr="00216819">
        <w:rPr>
          <w:rFonts w:ascii="Arial" w:hAnsi="Arial" w:cs="Arial"/>
        </w:rPr>
        <w:t>d</w:t>
      </w:r>
      <w:r w:rsidR="00BC5A7F" w:rsidRPr="00216819">
        <w:rPr>
          <w:rFonts w:ascii="Arial" w:hAnsi="Arial" w:cs="Arial"/>
        </w:rPr>
        <w:t xml:space="preserve">efendant’s obligation to pay the </w:t>
      </w:r>
      <w:r w:rsidR="00D60C6E" w:rsidRPr="00216819">
        <w:rPr>
          <w:rFonts w:ascii="Arial" w:hAnsi="Arial" w:cs="Arial"/>
        </w:rPr>
        <w:t>p</w:t>
      </w:r>
      <w:r w:rsidR="00BC5A7F" w:rsidRPr="00216819">
        <w:rPr>
          <w:rFonts w:ascii="Arial" w:hAnsi="Arial" w:cs="Arial"/>
        </w:rPr>
        <w:t xml:space="preserve">laintiff was conditional on the tacit, alternatively, implied term that Transnet SOC (the purchaser to whom the </w:t>
      </w:r>
      <w:r w:rsidR="00D60C6E" w:rsidRPr="00216819">
        <w:rPr>
          <w:rFonts w:ascii="Arial" w:hAnsi="Arial" w:cs="Arial"/>
        </w:rPr>
        <w:t>f</w:t>
      </w:r>
      <w:r w:rsidR="00BC5A7F" w:rsidRPr="00216819">
        <w:rPr>
          <w:rFonts w:ascii="Arial" w:hAnsi="Arial" w:cs="Arial"/>
        </w:rPr>
        <w:t xml:space="preserve">irst </w:t>
      </w:r>
      <w:r w:rsidR="00D60C6E" w:rsidRPr="00216819">
        <w:rPr>
          <w:rFonts w:ascii="Arial" w:hAnsi="Arial" w:cs="Arial"/>
        </w:rPr>
        <w:t>d</w:t>
      </w:r>
      <w:r w:rsidR="00BC5A7F" w:rsidRPr="00216819">
        <w:rPr>
          <w:rFonts w:ascii="Arial" w:hAnsi="Arial" w:cs="Arial"/>
        </w:rPr>
        <w:t xml:space="preserve">efendant on-sold the goods) would </w:t>
      </w:r>
      <w:r w:rsidR="00EB178D" w:rsidRPr="00216819">
        <w:rPr>
          <w:rFonts w:ascii="Arial" w:hAnsi="Arial" w:cs="Arial"/>
        </w:rPr>
        <w:t>first</w:t>
      </w:r>
      <w:r w:rsidR="00BC5A7F" w:rsidRPr="00216819">
        <w:rPr>
          <w:rFonts w:ascii="Arial" w:hAnsi="Arial" w:cs="Arial"/>
        </w:rPr>
        <w:t xml:space="preserve"> pay the </w:t>
      </w:r>
      <w:r w:rsidR="00D60C6E" w:rsidRPr="00216819">
        <w:rPr>
          <w:rFonts w:ascii="Arial" w:hAnsi="Arial" w:cs="Arial"/>
        </w:rPr>
        <w:t>f</w:t>
      </w:r>
      <w:r w:rsidR="00BC5A7F" w:rsidRPr="00216819">
        <w:rPr>
          <w:rFonts w:ascii="Arial" w:hAnsi="Arial" w:cs="Arial"/>
        </w:rPr>
        <w:t xml:space="preserve">irst </w:t>
      </w:r>
      <w:r w:rsidR="00D60C6E" w:rsidRPr="00216819">
        <w:rPr>
          <w:rFonts w:ascii="Arial" w:hAnsi="Arial" w:cs="Arial"/>
        </w:rPr>
        <w:t>d</w:t>
      </w:r>
      <w:r w:rsidR="00BC5A7F" w:rsidRPr="00216819">
        <w:rPr>
          <w:rFonts w:ascii="Arial" w:hAnsi="Arial" w:cs="Arial"/>
        </w:rPr>
        <w:t xml:space="preserve">efendant. </w:t>
      </w:r>
    </w:p>
    <w:p w14:paraId="22F789C9" w14:textId="67326D0E" w:rsidR="004B6D9F" w:rsidRPr="00216819" w:rsidRDefault="00216819" w:rsidP="00216819">
      <w:pPr>
        <w:spacing w:line="360" w:lineRule="auto"/>
        <w:ind w:left="1080" w:hanging="720"/>
        <w:jc w:val="both"/>
        <w:rPr>
          <w:rFonts w:ascii="Arial" w:hAnsi="Arial" w:cs="Arial"/>
        </w:rPr>
      </w:pPr>
      <w:r>
        <w:rPr>
          <w:rFonts w:ascii="Arial" w:hAnsi="Arial" w:cs="Arial"/>
        </w:rPr>
        <w:t>7.4.</w:t>
      </w:r>
      <w:r>
        <w:rPr>
          <w:rFonts w:ascii="Arial" w:hAnsi="Arial" w:cs="Arial"/>
        </w:rPr>
        <w:tab/>
      </w:r>
      <w:r w:rsidR="00B472D5" w:rsidRPr="00216819">
        <w:rPr>
          <w:rFonts w:ascii="Arial" w:hAnsi="Arial" w:cs="Arial"/>
        </w:rPr>
        <w:t xml:space="preserve"> In amplification of its defence above the defendants have argued that the products manufactured and supplied by the plaintiff </w:t>
      </w:r>
      <w:r w:rsidR="008909BC" w:rsidRPr="00216819">
        <w:rPr>
          <w:rFonts w:ascii="Arial" w:hAnsi="Arial" w:cs="Arial"/>
        </w:rPr>
        <w:t xml:space="preserve">were </w:t>
      </w:r>
      <w:r w:rsidR="00B472D5" w:rsidRPr="00216819">
        <w:rPr>
          <w:rFonts w:ascii="Arial" w:hAnsi="Arial" w:cs="Arial"/>
        </w:rPr>
        <w:t xml:space="preserve">rejected by the end-user, Transnet SOC Ltd (Transnet). It is alleged by the defendants </w:t>
      </w:r>
      <w:r w:rsidR="00CB3D2C" w:rsidRPr="00216819">
        <w:rPr>
          <w:rFonts w:ascii="Arial" w:hAnsi="Arial" w:cs="Arial"/>
        </w:rPr>
        <w:t xml:space="preserve">that </w:t>
      </w:r>
      <w:r w:rsidR="00B472D5" w:rsidRPr="00216819">
        <w:rPr>
          <w:rFonts w:ascii="Arial" w:hAnsi="Arial" w:cs="Arial"/>
        </w:rPr>
        <w:t xml:space="preserve">this contravened an implied term of </w:t>
      </w:r>
      <w:r w:rsidR="00FB2EDF" w:rsidRPr="00216819">
        <w:rPr>
          <w:rFonts w:ascii="Arial" w:hAnsi="Arial" w:cs="Arial"/>
        </w:rPr>
        <w:t xml:space="preserve">the </w:t>
      </w:r>
      <w:r w:rsidR="00B472D5" w:rsidRPr="00216819">
        <w:rPr>
          <w:rFonts w:ascii="Arial" w:hAnsi="Arial" w:cs="Arial"/>
        </w:rPr>
        <w:t xml:space="preserve">agreement and consequently eviscerated any contractual obligation that the defendants may have had </w:t>
      </w:r>
      <w:r w:rsidR="00CB3D2C" w:rsidRPr="00216819">
        <w:rPr>
          <w:rFonts w:ascii="Arial" w:hAnsi="Arial" w:cs="Arial"/>
        </w:rPr>
        <w:t>to make</w:t>
      </w:r>
      <w:r w:rsidR="00B472D5" w:rsidRPr="00216819">
        <w:rPr>
          <w:rFonts w:ascii="Arial" w:hAnsi="Arial" w:cs="Arial"/>
        </w:rPr>
        <w:t xml:space="preserve"> payment to the plaintiff for the products.</w:t>
      </w:r>
    </w:p>
    <w:p w14:paraId="5C43F7DF" w14:textId="15146EEA" w:rsidR="004B6D9F" w:rsidRPr="00216819" w:rsidRDefault="00216819" w:rsidP="00216819">
      <w:pPr>
        <w:spacing w:line="360" w:lineRule="auto"/>
        <w:ind w:left="1080" w:hanging="720"/>
        <w:jc w:val="both"/>
        <w:rPr>
          <w:rFonts w:ascii="Arial" w:hAnsi="Arial" w:cs="Arial"/>
        </w:rPr>
      </w:pPr>
      <w:r>
        <w:rPr>
          <w:rFonts w:ascii="Arial" w:hAnsi="Arial" w:cs="Arial"/>
        </w:rPr>
        <w:t>7.5.</w:t>
      </w:r>
      <w:r>
        <w:rPr>
          <w:rFonts w:ascii="Arial" w:hAnsi="Arial" w:cs="Arial"/>
        </w:rPr>
        <w:tab/>
      </w:r>
      <w:r w:rsidR="00865121" w:rsidRPr="00216819">
        <w:rPr>
          <w:rFonts w:ascii="Arial" w:hAnsi="Arial" w:cs="Arial"/>
        </w:rPr>
        <w:t>Whether the plaintiff waived payment of the outstanding invoices until payment has been received by the defendants from its client (Transnet).</w:t>
      </w:r>
      <w:bookmarkStart w:id="2" w:name="_Hlk157424451"/>
    </w:p>
    <w:p w14:paraId="4A8BE60F" w14:textId="075140FD" w:rsidR="004B6D9F" w:rsidRPr="00216819" w:rsidRDefault="00216819" w:rsidP="00216819">
      <w:pPr>
        <w:spacing w:line="360" w:lineRule="auto"/>
        <w:ind w:left="1080" w:hanging="720"/>
        <w:jc w:val="both"/>
        <w:rPr>
          <w:rFonts w:ascii="Arial" w:hAnsi="Arial" w:cs="Arial"/>
        </w:rPr>
      </w:pPr>
      <w:r w:rsidRPr="004B6D9F">
        <w:rPr>
          <w:rFonts w:ascii="Arial" w:hAnsi="Arial" w:cs="Arial"/>
        </w:rPr>
        <w:t>7.6.</w:t>
      </w:r>
      <w:r w:rsidRPr="004B6D9F">
        <w:rPr>
          <w:rFonts w:ascii="Arial" w:hAnsi="Arial" w:cs="Arial"/>
        </w:rPr>
        <w:tab/>
      </w:r>
      <w:r w:rsidR="00B26474" w:rsidRPr="00216819">
        <w:rPr>
          <w:rFonts w:ascii="Arial" w:hAnsi="Arial" w:cs="Arial"/>
        </w:rPr>
        <w:t xml:space="preserve"> Whether</w:t>
      </w:r>
      <w:r w:rsidR="00BC5A7F" w:rsidRPr="00216819">
        <w:rPr>
          <w:rFonts w:ascii="Arial" w:hAnsi="Arial" w:cs="Arial"/>
        </w:rPr>
        <w:t xml:space="preserve"> summary judgment for the full amount claimed should be granted, or, whether the </w:t>
      </w:r>
      <w:r w:rsidR="00B26474" w:rsidRPr="00216819">
        <w:rPr>
          <w:rFonts w:ascii="Arial" w:hAnsi="Arial" w:cs="Arial"/>
        </w:rPr>
        <w:t>f</w:t>
      </w:r>
      <w:r w:rsidR="00BC5A7F" w:rsidRPr="00216819">
        <w:rPr>
          <w:rFonts w:ascii="Arial" w:hAnsi="Arial" w:cs="Arial"/>
        </w:rPr>
        <w:t xml:space="preserve">irst </w:t>
      </w:r>
      <w:r w:rsidR="00B26474" w:rsidRPr="00216819">
        <w:rPr>
          <w:rFonts w:ascii="Arial" w:hAnsi="Arial" w:cs="Arial"/>
        </w:rPr>
        <w:t>d</w:t>
      </w:r>
      <w:r w:rsidR="00BC5A7F" w:rsidRPr="00216819">
        <w:rPr>
          <w:rFonts w:ascii="Arial" w:hAnsi="Arial" w:cs="Arial"/>
        </w:rPr>
        <w:t xml:space="preserve">efendant’s alleged counterclaim (in the limited amount of R516,000 against the </w:t>
      </w:r>
      <w:r w:rsidR="00B26474" w:rsidRPr="00216819">
        <w:rPr>
          <w:rFonts w:ascii="Arial" w:hAnsi="Arial" w:cs="Arial"/>
        </w:rPr>
        <w:t>p</w:t>
      </w:r>
      <w:r w:rsidR="00BC5A7F" w:rsidRPr="00216819">
        <w:rPr>
          <w:rFonts w:ascii="Arial" w:hAnsi="Arial" w:cs="Arial"/>
        </w:rPr>
        <w:t>laintiff) constitutes a bona fide defence in respect of the limited amount of R516,000.</w:t>
      </w:r>
    </w:p>
    <w:bookmarkEnd w:id="2"/>
    <w:p w14:paraId="17290700" w14:textId="27160DAC" w:rsidR="00B30825" w:rsidRPr="00865121" w:rsidRDefault="00DC25D1" w:rsidP="00090510">
      <w:pPr>
        <w:spacing w:line="360" w:lineRule="auto"/>
        <w:jc w:val="both"/>
        <w:rPr>
          <w:rFonts w:ascii="Arial" w:hAnsi="Arial" w:cs="Arial"/>
        </w:rPr>
      </w:pPr>
      <w:r w:rsidRPr="00865121">
        <w:rPr>
          <w:rFonts w:ascii="Arial" w:hAnsi="Arial" w:cs="Arial"/>
        </w:rPr>
        <w:t>[</w:t>
      </w:r>
      <w:r w:rsidR="00B26474" w:rsidRPr="00865121">
        <w:rPr>
          <w:rFonts w:ascii="Arial" w:hAnsi="Arial" w:cs="Arial"/>
        </w:rPr>
        <w:t>8</w:t>
      </w:r>
      <w:r w:rsidRPr="00865121">
        <w:rPr>
          <w:rFonts w:ascii="Arial" w:hAnsi="Arial" w:cs="Arial"/>
        </w:rPr>
        <w:t xml:space="preserve">] </w:t>
      </w:r>
      <w:r w:rsidR="00FD4894" w:rsidRPr="00865121">
        <w:rPr>
          <w:rFonts w:ascii="Arial" w:hAnsi="Arial" w:cs="Arial"/>
        </w:rPr>
        <w:t xml:space="preserve">The </w:t>
      </w:r>
      <w:r w:rsidR="00F87E92" w:rsidRPr="00865121">
        <w:rPr>
          <w:rFonts w:ascii="Arial" w:hAnsi="Arial" w:cs="Arial"/>
        </w:rPr>
        <w:t>defendants</w:t>
      </w:r>
      <w:r w:rsidR="00FD4894" w:rsidRPr="00865121">
        <w:rPr>
          <w:rFonts w:ascii="Arial" w:hAnsi="Arial" w:cs="Arial"/>
        </w:rPr>
        <w:t xml:space="preserve"> contend that these defences are bona fide, good in law and subvert the </w:t>
      </w:r>
      <w:r w:rsidR="009504CF" w:rsidRPr="00865121">
        <w:rPr>
          <w:rFonts w:ascii="Arial" w:hAnsi="Arial" w:cs="Arial"/>
        </w:rPr>
        <w:t>answerability</w:t>
      </w:r>
      <w:r w:rsidR="00FD4894" w:rsidRPr="00865121">
        <w:rPr>
          <w:rFonts w:ascii="Arial" w:hAnsi="Arial" w:cs="Arial"/>
        </w:rPr>
        <w:t xml:space="preserve"> of the </w:t>
      </w:r>
      <w:r w:rsidR="00F87E92" w:rsidRPr="00865121">
        <w:rPr>
          <w:rFonts w:ascii="Arial" w:hAnsi="Arial" w:cs="Arial"/>
        </w:rPr>
        <w:t>plaintiff</w:t>
      </w:r>
      <w:r w:rsidR="00FD4894" w:rsidRPr="00865121">
        <w:rPr>
          <w:rFonts w:ascii="Arial" w:hAnsi="Arial" w:cs="Arial"/>
        </w:rPr>
        <w:t>’s claim. For this reason, the application for summary judgment ought to be refused, with costs.</w:t>
      </w:r>
    </w:p>
    <w:p w14:paraId="62AD2F91" w14:textId="0856BB85" w:rsidR="00BC5A7F" w:rsidRDefault="004100BE" w:rsidP="00090510">
      <w:pPr>
        <w:spacing w:line="360" w:lineRule="auto"/>
        <w:jc w:val="both"/>
        <w:rPr>
          <w:rFonts w:ascii="Arial" w:hAnsi="Arial" w:cs="Arial"/>
        </w:rPr>
      </w:pPr>
      <w:r w:rsidRPr="00865121">
        <w:rPr>
          <w:rFonts w:ascii="Arial" w:hAnsi="Arial" w:cs="Arial"/>
        </w:rPr>
        <w:t>[</w:t>
      </w:r>
      <w:r w:rsidR="00B26474" w:rsidRPr="00865121">
        <w:rPr>
          <w:rFonts w:ascii="Arial" w:hAnsi="Arial" w:cs="Arial"/>
        </w:rPr>
        <w:t>9</w:t>
      </w:r>
      <w:r w:rsidRPr="00865121">
        <w:rPr>
          <w:rFonts w:ascii="Arial" w:hAnsi="Arial" w:cs="Arial"/>
        </w:rPr>
        <w:t xml:space="preserve">] The </w:t>
      </w:r>
      <w:r w:rsidR="00B26474" w:rsidRPr="00865121">
        <w:rPr>
          <w:rFonts w:ascii="Arial" w:hAnsi="Arial" w:cs="Arial"/>
        </w:rPr>
        <w:t>plaintiff contends that the defences as pleaded by the defendants do not raise any issue for trial and are not bona fide</w:t>
      </w:r>
      <w:r w:rsidR="00201890" w:rsidRPr="00865121">
        <w:rPr>
          <w:rFonts w:ascii="Arial" w:hAnsi="Arial" w:cs="Arial"/>
        </w:rPr>
        <w:t>.</w:t>
      </w:r>
      <w:r w:rsidR="00B26474" w:rsidRPr="00865121">
        <w:rPr>
          <w:rFonts w:ascii="Arial" w:hAnsi="Arial" w:cs="Arial"/>
        </w:rPr>
        <w:t xml:space="preserve"> It is further argued that the appearance to defend and subsequent plea are solely done to delay the plaintiff to obtain the relief. </w:t>
      </w:r>
      <w:r w:rsidR="00201890" w:rsidRPr="00865121">
        <w:rPr>
          <w:rFonts w:ascii="Arial" w:hAnsi="Arial" w:cs="Arial"/>
        </w:rPr>
        <w:t xml:space="preserve"> </w:t>
      </w:r>
    </w:p>
    <w:p w14:paraId="02648B8D" w14:textId="77777777" w:rsidR="00A66589" w:rsidRDefault="00A66589" w:rsidP="00090510">
      <w:pPr>
        <w:spacing w:line="360" w:lineRule="auto"/>
        <w:jc w:val="both"/>
        <w:rPr>
          <w:rFonts w:ascii="Arial" w:hAnsi="Arial" w:cs="Arial"/>
        </w:rPr>
      </w:pPr>
    </w:p>
    <w:p w14:paraId="44A8F361" w14:textId="77777777" w:rsidR="004B6D9F" w:rsidRPr="00865121" w:rsidRDefault="004B6D9F" w:rsidP="00090510">
      <w:pPr>
        <w:spacing w:line="360" w:lineRule="auto"/>
        <w:jc w:val="both"/>
        <w:rPr>
          <w:rFonts w:ascii="Arial" w:hAnsi="Arial" w:cs="Arial"/>
        </w:rPr>
      </w:pPr>
    </w:p>
    <w:p w14:paraId="074A5C85" w14:textId="100FC712" w:rsidR="00DE5ADB" w:rsidRPr="00865121" w:rsidRDefault="00AD77A8" w:rsidP="00090510">
      <w:pPr>
        <w:spacing w:line="360" w:lineRule="auto"/>
        <w:jc w:val="both"/>
        <w:rPr>
          <w:rFonts w:ascii="Arial" w:hAnsi="Arial" w:cs="Arial"/>
          <w:b/>
          <w:bCs/>
        </w:rPr>
      </w:pPr>
      <w:r w:rsidRPr="00865121">
        <w:rPr>
          <w:rFonts w:ascii="Arial" w:hAnsi="Arial" w:cs="Arial"/>
          <w:b/>
          <w:bCs/>
        </w:rPr>
        <w:lastRenderedPageBreak/>
        <w:t xml:space="preserve">The </w:t>
      </w:r>
      <w:r w:rsidR="005A3D34" w:rsidRPr="00865121">
        <w:rPr>
          <w:rFonts w:ascii="Arial" w:hAnsi="Arial" w:cs="Arial"/>
          <w:b/>
          <w:bCs/>
        </w:rPr>
        <w:t xml:space="preserve">Facts </w:t>
      </w:r>
    </w:p>
    <w:p w14:paraId="72EFA571" w14:textId="45800B58" w:rsidR="005A3D34" w:rsidRPr="00865121" w:rsidRDefault="005A3D34" w:rsidP="00090510">
      <w:pPr>
        <w:spacing w:line="360" w:lineRule="auto"/>
        <w:jc w:val="both"/>
        <w:rPr>
          <w:rFonts w:ascii="Arial" w:hAnsi="Arial" w:cs="Arial"/>
        </w:rPr>
      </w:pPr>
      <w:r w:rsidRPr="00865121">
        <w:rPr>
          <w:rFonts w:ascii="Arial" w:hAnsi="Arial" w:cs="Arial"/>
        </w:rPr>
        <w:t>[1</w:t>
      </w:r>
      <w:r w:rsidR="00B26474" w:rsidRPr="00865121">
        <w:rPr>
          <w:rFonts w:ascii="Arial" w:hAnsi="Arial" w:cs="Arial"/>
        </w:rPr>
        <w:t>0</w:t>
      </w:r>
      <w:r w:rsidRPr="00865121">
        <w:rPr>
          <w:rFonts w:ascii="Arial" w:hAnsi="Arial" w:cs="Arial"/>
        </w:rPr>
        <w:t xml:space="preserve">] The facts </w:t>
      </w:r>
      <w:r w:rsidR="0035482D" w:rsidRPr="00865121">
        <w:rPr>
          <w:rFonts w:ascii="Arial" w:hAnsi="Arial" w:cs="Arial"/>
        </w:rPr>
        <w:t xml:space="preserve">of this case </w:t>
      </w:r>
      <w:r w:rsidR="00AA19D2">
        <w:rPr>
          <w:rFonts w:ascii="Arial" w:hAnsi="Arial" w:cs="Arial"/>
        </w:rPr>
        <w:t>appear</w:t>
      </w:r>
      <w:r w:rsidR="00187C86" w:rsidRPr="00865121">
        <w:rPr>
          <w:rFonts w:ascii="Arial" w:hAnsi="Arial" w:cs="Arial"/>
        </w:rPr>
        <w:t xml:space="preserve"> </w:t>
      </w:r>
      <w:r w:rsidR="00670D43" w:rsidRPr="00865121">
        <w:rPr>
          <w:rFonts w:ascii="Arial" w:hAnsi="Arial" w:cs="Arial"/>
        </w:rPr>
        <w:t xml:space="preserve">from the pleadings. It is also clear that in order </w:t>
      </w:r>
      <w:r w:rsidR="003F756F" w:rsidRPr="00865121">
        <w:rPr>
          <w:rFonts w:ascii="Arial" w:hAnsi="Arial" w:cs="Arial"/>
        </w:rPr>
        <w:t xml:space="preserve">to determine this application, this court is required to </w:t>
      </w:r>
      <w:r w:rsidR="00E20703" w:rsidRPr="00865121">
        <w:rPr>
          <w:rFonts w:ascii="Arial" w:hAnsi="Arial" w:cs="Arial"/>
        </w:rPr>
        <w:t>delineate</w:t>
      </w:r>
      <w:r w:rsidR="006618A4" w:rsidRPr="00865121">
        <w:rPr>
          <w:rFonts w:ascii="Arial" w:hAnsi="Arial" w:cs="Arial"/>
        </w:rPr>
        <w:t xml:space="preserve"> </w:t>
      </w:r>
      <w:r w:rsidR="00315D09">
        <w:rPr>
          <w:rFonts w:ascii="Arial" w:hAnsi="Arial" w:cs="Arial"/>
        </w:rPr>
        <w:t>relevant</w:t>
      </w:r>
      <w:r w:rsidR="00E20703" w:rsidRPr="00865121">
        <w:rPr>
          <w:rFonts w:ascii="Arial" w:hAnsi="Arial" w:cs="Arial"/>
        </w:rPr>
        <w:t xml:space="preserve"> facts. The crux of the dispute between the parties is the </w:t>
      </w:r>
      <w:r w:rsidR="009108B3" w:rsidRPr="00865121">
        <w:rPr>
          <w:rFonts w:ascii="Arial" w:hAnsi="Arial" w:cs="Arial"/>
        </w:rPr>
        <w:t>nature</w:t>
      </w:r>
      <w:r w:rsidR="00E20703" w:rsidRPr="00865121">
        <w:rPr>
          <w:rFonts w:ascii="Arial" w:hAnsi="Arial" w:cs="Arial"/>
        </w:rPr>
        <w:t xml:space="preserve"> of </w:t>
      </w:r>
      <w:r w:rsidR="00122F4C">
        <w:rPr>
          <w:rFonts w:ascii="Arial" w:hAnsi="Arial" w:cs="Arial"/>
        </w:rPr>
        <w:t xml:space="preserve">an </w:t>
      </w:r>
      <w:r w:rsidR="00E20703" w:rsidRPr="00865121">
        <w:rPr>
          <w:rFonts w:ascii="Arial" w:hAnsi="Arial" w:cs="Arial"/>
        </w:rPr>
        <w:t xml:space="preserve">agreement that the parties </w:t>
      </w:r>
      <w:r w:rsidR="006618A4" w:rsidRPr="00865121">
        <w:rPr>
          <w:rFonts w:ascii="Arial" w:hAnsi="Arial" w:cs="Arial"/>
        </w:rPr>
        <w:t>concluded.</w:t>
      </w:r>
      <w:r w:rsidR="00153D61" w:rsidRPr="00865121">
        <w:rPr>
          <w:rFonts w:ascii="Arial" w:hAnsi="Arial" w:cs="Arial"/>
        </w:rPr>
        <w:t xml:space="preserve"> The </w:t>
      </w:r>
      <w:r w:rsidR="009108B3" w:rsidRPr="00865121">
        <w:rPr>
          <w:rFonts w:ascii="Arial" w:hAnsi="Arial" w:cs="Arial"/>
        </w:rPr>
        <w:t>plaintiff contends that thi</w:t>
      </w:r>
      <w:r w:rsidR="00BC0E0A" w:rsidRPr="00865121">
        <w:rPr>
          <w:rFonts w:ascii="Arial" w:hAnsi="Arial" w:cs="Arial"/>
        </w:rPr>
        <w:t xml:space="preserve">s </w:t>
      </w:r>
      <w:r w:rsidR="00E11CD8">
        <w:rPr>
          <w:rFonts w:ascii="Arial" w:hAnsi="Arial" w:cs="Arial"/>
        </w:rPr>
        <w:t xml:space="preserve">is </w:t>
      </w:r>
      <w:r w:rsidR="00BC0E0A" w:rsidRPr="00865121">
        <w:rPr>
          <w:rFonts w:ascii="Arial" w:hAnsi="Arial" w:cs="Arial"/>
        </w:rPr>
        <w:t>a pure credit agreement where it supplied goods to the defendant</w:t>
      </w:r>
      <w:r w:rsidR="0042298B" w:rsidRPr="00865121">
        <w:rPr>
          <w:rFonts w:ascii="Arial" w:hAnsi="Arial" w:cs="Arial"/>
        </w:rPr>
        <w:t xml:space="preserve"> and that payment w</w:t>
      </w:r>
      <w:r w:rsidR="00E11CD8">
        <w:rPr>
          <w:rFonts w:ascii="Arial" w:hAnsi="Arial" w:cs="Arial"/>
        </w:rPr>
        <w:t>as to</w:t>
      </w:r>
      <w:r w:rsidR="0042298B" w:rsidRPr="00865121">
        <w:rPr>
          <w:rFonts w:ascii="Arial" w:hAnsi="Arial" w:cs="Arial"/>
        </w:rPr>
        <w:t xml:space="preserve"> be effected by the defendants</w:t>
      </w:r>
      <w:r w:rsidR="00CD1019">
        <w:rPr>
          <w:rFonts w:ascii="Arial" w:hAnsi="Arial" w:cs="Arial"/>
        </w:rPr>
        <w:t xml:space="preserve"> upon receipt of the goods</w:t>
      </w:r>
      <w:r w:rsidR="0042298B" w:rsidRPr="00865121">
        <w:rPr>
          <w:rFonts w:ascii="Arial" w:hAnsi="Arial" w:cs="Arial"/>
        </w:rPr>
        <w:t>.</w:t>
      </w:r>
    </w:p>
    <w:p w14:paraId="7D232514" w14:textId="04FAA739" w:rsidR="00C400DE" w:rsidRPr="00865121" w:rsidRDefault="0042298B" w:rsidP="00090510">
      <w:pPr>
        <w:spacing w:line="360" w:lineRule="auto"/>
        <w:jc w:val="both"/>
        <w:rPr>
          <w:rFonts w:ascii="Arial" w:hAnsi="Arial" w:cs="Arial"/>
        </w:rPr>
      </w:pPr>
      <w:r w:rsidRPr="00865121">
        <w:rPr>
          <w:rFonts w:ascii="Arial" w:hAnsi="Arial" w:cs="Arial"/>
        </w:rPr>
        <w:t>[1</w:t>
      </w:r>
      <w:r w:rsidR="00B26474" w:rsidRPr="00865121">
        <w:rPr>
          <w:rFonts w:ascii="Arial" w:hAnsi="Arial" w:cs="Arial"/>
        </w:rPr>
        <w:t>1</w:t>
      </w:r>
      <w:r w:rsidRPr="00865121">
        <w:rPr>
          <w:rFonts w:ascii="Arial" w:hAnsi="Arial" w:cs="Arial"/>
        </w:rPr>
        <w:t xml:space="preserve">] </w:t>
      </w:r>
      <w:r w:rsidR="009711D1">
        <w:rPr>
          <w:rFonts w:ascii="Arial" w:hAnsi="Arial" w:cs="Arial"/>
        </w:rPr>
        <w:t xml:space="preserve">On </w:t>
      </w:r>
      <w:r w:rsidR="004F011A">
        <w:rPr>
          <w:rFonts w:ascii="Arial" w:hAnsi="Arial" w:cs="Arial"/>
        </w:rPr>
        <w:t xml:space="preserve">the </w:t>
      </w:r>
      <w:r w:rsidR="004F011A" w:rsidRPr="00865121">
        <w:rPr>
          <w:rFonts w:ascii="Arial" w:hAnsi="Arial" w:cs="Arial"/>
        </w:rPr>
        <w:t>other</w:t>
      </w:r>
      <w:r w:rsidRPr="00865121">
        <w:rPr>
          <w:rFonts w:ascii="Arial" w:hAnsi="Arial" w:cs="Arial"/>
        </w:rPr>
        <w:t xml:space="preserve"> hand the</w:t>
      </w:r>
      <w:r w:rsidR="00356064" w:rsidRPr="00865121">
        <w:rPr>
          <w:rFonts w:ascii="Arial" w:hAnsi="Arial" w:cs="Arial"/>
        </w:rPr>
        <w:t xml:space="preserve"> by the defendants </w:t>
      </w:r>
      <w:r w:rsidR="004F011A">
        <w:rPr>
          <w:rFonts w:ascii="Arial" w:hAnsi="Arial" w:cs="Arial"/>
        </w:rPr>
        <w:t xml:space="preserve">contend </w:t>
      </w:r>
      <w:r w:rsidR="00356064" w:rsidRPr="00865121">
        <w:rPr>
          <w:rFonts w:ascii="Arial" w:hAnsi="Arial" w:cs="Arial"/>
        </w:rPr>
        <w:t xml:space="preserve">that the </w:t>
      </w:r>
      <w:r w:rsidR="000B3A4F" w:rsidRPr="00865121">
        <w:rPr>
          <w:rFonts w:ascii="Arial" w:hAnsi="Arial" w:cs="Arial"/>
        </w:rPr>
        <w:t>payment to the plaintiff was contingent upon</w:t>
      </w:r>
      <w:r w:rsidR="00A86586" w:rsidRPr="00865121">
        <w:rPr>
          <w:rFonts w:ascii="Arial" w:hAnsi="Arial" w:cs="Arial"/>
        </w:rPr>
        <w:t xml:space="preserve">, the end-user (Transnet) paying </w:t>
      </w:r>
      <w:r w:rsidR="001247FB" w:rsidRPr="00865121">
        <w:rPr>
          <w:rFonts w:ascii="Arial" w:hAnsi="Arial" w:cs="Arial"/>
        </w:rPr>
        <w:t xml:space="preserve">the </w:t>
      </w:r>
      <w:r w:rsidR="009711D1">
        <w:rPr>
          <w:rFonts w:ascii="Arial" w:hAnsi="Arial" w:cs="Arial"/>
        </w:rPr>
        <w:t xml:space="preserve">first </w:t>
      </w:r>
      <w:r w:rsidR="001247FB" w:rsidRPr="00865121">
        <w:rPr>
          <w:rFonts w:ascii="Arial" w:hAnsi="Arial" w:cs="Arial"/>
        </w:rPr>
        <w:t>defendant for the supply and installation of the fence</w:t>
      </w:r>
      <w:r w:rsidR="008069EB">
        <w:rPr>
          <w:rFonts w:ascii="Arial" w:hAnsi="Arial" w:cs="Arial"/>
        </w:rPr>
        <w:t xml:space="preserve"> as per the specifications.</w:t>
      </w:r>
    </w:p>
    <w:p w14:paraId="1A38F8F7" w14:textId="057F4C9D" w:rsidR="00B26474" w:rsidRDefault="00C400DE" w:rsidP="00090510">
      <w:pPr>
        <w:spacing w:line="360" w:lineRule="auto"/>
        <w:jc w:val="both"/>
        <w:rPr>
          <w:rFonts w:ascii="Arial" w:hAnsi="Arial" w:cs="Arial"/>
        </w:rPr>
      </w:pPr>
      <w:r w:rsidRPr="00865121">
        <w:rPr>
          <w:rFonts w:ascii="Arial" w:hAnsi="Arial" w:cs="Arial"/>
        </w:rPr>
        <w:t>[1</w:t>
      </w:r>
      <w:r w:rsidR="00B26474" w:rsidRPr="00865121">
        <w:rPr>
          <w:rFonts w:ascii="Arial" w:hAnsi="Arial" w:cs="Arial"/>
        </w:rPr>
        <w:t>2</w:t>
      </w:r>
      <w:r w:rsidRPr="00865121">
        <w:rPr>
          <w:rFonts w:ascii="Arial" w:hAnsi="Arial" w:cs="Arial"/>
        </w:rPr>
        <w:t xml:space="preserve">] The </w:t>
      </w:r>
      <w:r w:rsidR="00ED25DA" w:rsidRPr="00865121">
        <w:rPr>
          <w:rFonts w:ascii="Arial" w:hAnsi="Arial" w:cs="Arial"/>
        </w:rPr>
        <w:t xml:space="preserve">terms of the agreement between the parties </w:t>
      </w:r>
      <w:r w:rsidR="00696225">
        <w:rPr>
          <w:rFonts w:ascii="Arial" w:hAnsi="Arial" w:cs="Arial"/>
        </w:rPr>
        <w:t>are</w:t>
      </w:r>
      <w:r w:rsidR="00ED25DA" w:rsidRPr="00865121">
        <w:rPr>
          <w:rFonts w:ascii="Arial" w:hAnsi="Arial" w:cs="Arial"/>
        </w:rPr>
        <w:t xml:space="preserve"> in dispute. The </w:t>
      </w:r>
      <w:r w:rsidR="00B53F11" w:rsidRPr="00865121">
        <w:rPr>
          <w:rFonts w:ascii="Arial" w:hAnsi="Arial" w:cs="Arial"/>
        </w:rPr>
        <w:t xml:space="preserve">copy attached to the particulars </w:t>
      </w:r>
      <w:r w:rsidR="00956FDB" w:rsidRPr="00865121">
        <w:rPr>
          <w:rFonts w:ascii="Arial" w:hAnsi="Arial" w:cs="Arial"/>
        </w:rPr>
        <w:t xml:space="preserve">has various alterations and it is not clear which version was eventually agreed </w:t>
      </w:r>
      <w:r w:rsidR="00840069" w:rsidRPr="00865121">
        <w:rPr>
          <w:rFonts w:ascii="Arial" w:hAnsi="Arial" w:cs="Arial"/>
        </w:rPr>
        <w:t xml:space="preserve">to </w:t>
      </w:r>
      <w:r w:rsidR="003E6DAC">
        <w:rPr>
          <w:rFonts w:ascii="Arial" w:hAnsi="Arial" w:cs="Arial"/>
        </w:rPr>
        <w:t>as a</w:t>
      </w:r>
      <w:r w:rsidR="00840069" w:rsidRPr="00865121">
        <w:rPr>
          <w:rFonts w:ascii="Arial" w:hAnsi="Arial" w:cs="Arial"/>
        </w:rPr>
        <w:t xml:space="preserve"> final version between the parties.</w:t>
      </w:r>
      <w:r w:rsidR="00E5515F">
        <w:rPr>
          <w:rFonts w:ascii="Arial" w:hAnsi="Arial" w:cs="Arial"/>
        </w:rPr>
        <w:t xml:space="preserve"> The dis</w:t>
      </w:r>
      <w:r w:rsidR="00E952FD">
        <w:rPr>
          <w:rFonts w:ascii="Arial" w:hAnsi="Arial" w:cs="Arial"/>
        </w:rPr>
        <w:t xml:space="preserve">pute </w:t>
      </w:r>
      <w:r w:rsidR="00074DE9">
        <w:rPr>
          <w:rFonts w:ascii="Arial" w:hAnsi="Arial" w:cs="Arial"/>
        </w:rPr>
        <w:t>pivots</w:t>
      </w:r>
      <w:r w:rsidR="00E952FD">
        <w:rPr>
          <w:rFonts w:ascii="Arial" w:hAnsi="Arial" w:cs="Arial"/>
        </w:rPr>
        <w:t xml:space="preserve"> around the interpretation of the terms of the agreement.</w:t>
      </w:r>
    </w:p>
    <w:p w14:paraId="7FAAD1B6" w14:textId="77777777" w:rsidR="004B6D9F" w:rsidRPr="00865121" w:rsidRDefault="004B6D9F" w:rsidP="00090510">
      <w:pPr>
        <w:spacing w:line="360" w:lineRule="auto"/>
        <w:jc w:val="both"/>
        <w:rPr>
          <w:rFonts w:ascii="Arial" w:hAnsi="Arial" w:cs="Arial"/>
        </w:rPr>
      </w:pPr>
    </w:p>
    <w:p w14:paraId="0E9C0DD7" w14:textId="74570794" w:rsidR="00B26474" w:rsidRPr="00865121" w:rsidRDefault="00B26474" w:rsidP="00090510">
      <w:pPr>
        <w:spacing w:line="360" w:lineRule="auto"/>
        <w:jc w:val="both"/>
        <w:rPr>
          <w:rFonts w:ascii="Arial" w:hAnsi="Arial" w:cs="Arial"/>
          <w:b/>
          <w:bCs/>
        </w:rPr>
      </w:pPr>
      <w:r w:rsidRPr="00865121">
        <w:rPr>
          <w:rFonts w:ascii="Arial" w:hAnsi="Arial" w:cs="Arial"/>
          <w:b/>
          <w:bCs/>
        </w:rPr>
        <w:t>Issues that are common cause</w:t>
      </w:r>
    </w:p>
    <w:p w14:paraId="5A74FEB7" w14:textId="651E6515" w:rsidR="00C81737" w:rsidRPr="00865121" w:rsidRDefault="00B26474" w:rsidP="00090510">
      <w:pPr>
        <w:spacing w:line="360" w:lineRule="auto"/>
        <w:jc w:val="both"/>
        <w:rPr>
          <w:rFonts w:ascii="Arial" w:hAnsi="Arial" w:cs="Arial"/>
        </w:rPr>
      </w:pPr>
      <w:r w:rsidRPr="00865121">
        <w:rPr>
          <w:rFonts w:ascii="Arial" w:hAnsi="Arial" w:cs="Arial"/>
        </w:rPr>
        <w:t>[13</w:t>
      </w:r>
      <w:r w:rsidR="00326E33">
        <w:rPr>
          <w:rFonts w:ascii="Arial" w:hAnsi="Arial" w:cs="Arial"/>
        </w:rPr>
        <w:t>]</w:t>
      </w:r>
      <w:r w:rsidR="00391CFB" w:rsidRPr="00865121">
        <w:rPr>
          <w:rFonts w:ascii="Arial" w:hAnsi="Arial" w:cs="Arial"/>
        </w:rPr>
        <w:t xml:space="preserve"> It is common cause that the </w:t>
      </w:r>
      <w:r w:rsidRPr="00865121">
        <w:rPr>
          <w:rFonts w:ascii="Arial" w:hAnsi="Arial" w:cs="Arial"/>
        </w:rPr>
        <w:t>p</w:t>
      </w:r>
      <w:r w:rsidR="00391CFB" w:rsidRPr="00865121">
        <w:rPr>
          <w:rFonts w:ascii="Arial" w:hAnsi="Arial" w:cs="Arial"/>
        </w:rPr>
        <w:t xml:space="preserve">laintiff and </w:t>
      </w:r>
      <w:r w:rsidRPr="00865121">
        <w:rPr>
          <w:rFonts w:ascii="Arial" w:hAnsi="Arial" w:cs="Arial"/>
        </w:rPr>
        <w:t>f</w:t>
      </w:r>
      <w:r w:rsidR="00391CFB" w:rsidRPr="00865121">
        <w:rPr>
          <w:rFonts w:ascii="Arial" w:hAnsi="Arial" w:cs="Arial"/>
        </w:rPr>
        <w:t xml:space="preserve">irst </w:t>
      </w:r>
      <w:r w:rsidRPr="00865121">
        <w:rPr>
          <w:rFonts w:ascii="Arial" w:hAnsi="Arial" w:cs="Arial"/>
        </w:rPr>
        <w:t>d</w:t>
      </w:r>
      <w:r w:rsidR="00391CFB" w:rsidRPr="00865121">
        <w:rPr>
          <w:rFonts w:ascii="Arial" w:hAnsi="Arial" w:cs="Arial"/>
        </w:rPr>
        <w:t xml:space="preserve">efendant entered into a written credit agreement on 29 August 2019 and that this agreement was attached to the </w:t>
      </w:r>
      <w:r w:rsidRPr="00865121">
        <w:rPr>
          <w:rFonts w:ascii="Arial" w:hAnsi="Arial" w:cs="Arial"/>
        </w:rPr>
        <w:t>p</w:t>
      </w:r>
      <w:r w:rsidR="00391CFB" w:rsidRPr="00865121">
        <w:rPr>
          <w:rFonts w:ascii="Arial" w:hAnsi="Arial" w:cs="Arial"/>
        </w:rPr>
        <w:t>laintiff’s particulars of claim ("POC") as annexure B1 to</w:t>
      </w:r>
      <w:r w:rsidR="00C81737" w:rsidRPr="00865121">
        <w:rPr>
          <w:rFonts w:ascii="Arial" w:hAnsi="Arial" w:cs="Arial"/>
        </w:rPr>
        <w:t xml:space="preserve"> </w:t>
      </w:r>
      <w:r w:rsidR="00B02E1B" w:rsidRPr="00865121">
        <w:rPr>
          <w:rFonts w:ascii="Arial" w:hAnsi="Arial" w:cs="Arial"/>
        </w:rPr>
        <w:t>B5 ("credit agreement").</w:t>
      </w:r>
    </w:p>
    <w:p w14:paraId="36C2A3C1" w14:textId="72769631" w:rsidR="00C81737" w:rsidRPr="00865121" w:rsidRDefault="00C81737" w:rsidP="00090510">
      <w:pPr>
        <w:spacing w:line="360" w:lineRule="auto"/>
        <w:jc w:val="both"/>
        <w:rPr>
          <w:rFonts w:ascii="Arial" w:hAnsi="Arial" w:cs="Arial"/>
        </w:rPr>
      </w:pPr>
      <w:r w:rsidRPr="00865121">
        <w:rPr>
          <w:rFonts w:ascii="Arial" w:hAnsi="Arial" w:cs="Arial"/>
        </w:rPr>
        <w:t xml:space="preserve">[14] </w:t>
      </w:r>
      <w:r w:rsidR="00B02E1B" w:rsidRPr="00865121">
        <w:rPr>
          <w:rFonts w:ascii="Arial" w:hAnsi="Arial" w:cs="Arial"/>
        </w:rPr>
        <w:t>The credit agreement is not subject to the National Credit Act 34 of 2005.</w:t>
      </w:r>
      <w:r w:rsidR="00B122E1">
        <w:rPr>
          <w:rFonts w:ascii="Arial" w:hAnsi="Arial" w:cs="Arial"/>
        </w:rPr>
        <w:t xml:space="preserve"> </w:t>
      </w:r>
    </w:p>
    <w:p w14:paraId="7A0E97DA" w14:textId="573C398A" w:rsidR="00C400DE" w:rsidRDefault="00C81737" w:rsidP="00090510">
      <w:pPr>
        <w:spacing w:line="360" w:lineRule="auto"/>
        <w:jc w:val="both"/>
        <w:rPr>
          <w:rFonts w:ascii="Arial" w:hAnsi="Arial" w:cs="Arial"/>
        </w:rPr>
      </w:pPr>
      <w:r w:rsidRPr="00865121">
        <w:rPr>
          <w:rFonts w:ascii="Arial" w:hAnsi="Arial" w:cs="Arial"/>
        </w:rPr>
        <w:t xml:space="preserve">[15] </w:t>
      </w:r>
      <w:r w:rsidR="00B02E1B" w:rsidRPr="00865121">
        <w:rPr>
          <w:rFonts w:ascii="Arial" w:hAnsi="Arial" w:cs="Arial"/>
        </w:rPr>
        <w:t xml:space="preserve">The </w:t>
      </w:r>
      <w:r w:rsidRPr="00865121">
        <w:rPr>
          <w:rFonts w:ascii="Arial" w:hAnsi="Arial" w:cs="Arial"/>
        </w:rPr>
        <w:t>s</w:t>
      </w:r>
      <w:r w:rsidR="00B02E1B" w:rsidRPr="00865121">
        <w:rPr>
          <w:rFonts w:ascii="Arial" w:hAnsi="Arial" w:cs="Arial"/>
        </w:rPr>
        <w:t xml:space="preserve">econd </w:t>
      </w:r>
      <w:r w:rsidRPr="00865121">
        <w:rPr>
          <w:rFonts w:ascii="Arial" w:hAnsi="Arial" w:cs="Arial"/>
        </w:rPr>
        <w:t>d</w:t>
      </w:r>
      <w:r w:rsidR="00B02E1B" w:rsidRPr="00865121">
        <w:rPr>
          <w:rFonts w:ascii="Arial" w:hAnsi="Arial" w:cs="Arial"/>
        </w:rPr>
        <w:t xml:space="preserve">efendant </w:t>
      </w:r>
      <w:r w:rsidR="004C03E5">
        <w:rPr>
          <w:rFonts w:ascii="Arial" w:hAnsi="Arial" w:cs="Arial"/>
        </w:rPr>
        <w:t xml:space="preserve">is bound </w:t>
      </w:r>
      <w:r w:rsidR="00B02E1B" w:rsidRPr="00865121">
        <w:rPr>
          <w:rFonts w:ascii="Arial" w:hAnsi="Arial" w:cs="Arial"/>
        </w:rPr>
        <w:t>as surety and co</w:t>
      </w:r>
      <w:r w:rsidRPr="00865121">
        <w:rPr>
          <w:rFonts w:ascii="Arial" w:hAnsi="Arial" w:cs="Arial"/>
        </w:rPr>
        <w:t>-</w:t>
      </w:r>
      <w:r w:rsidR="00B02E1B" w:rsidRPr="00865121">
        <w:rPr>
          <w:rFonts w:ascii="Arial" w:hAnsi="Arial" w:cs="Arial"/>
        </w:rPr>
        <w:t>principal debtor for the</w:t>
      </w:r>
      <w:r w:rsidR="004C03E5">
        <w:rPr>
          <w:rFonts w:ascii="Arial" w:hAnsi="Arial" w:cs="Arial"/>
        </w:rPr>
        <w:t xml:space="preserve"> </w:t>
      </w:r>
      <w:r w:rsidR="00B02E1B" w:rsidRPr="00865121">
        <w:rPr>
          <w:rFonts w:ascii="Arial" w:hAnsi="Arial" w:cs="Arial"/>
        </w:rPr>
        <w:t xml:space="preserve">performance by the </w:t>
      </w:r>
      <w:r w:rsidRPr="00865121">
        <w:rPr>
          <w:rFonts w:ascii="Arial" w:hAnsi="Arial" w:cs="Arial"/>
        </w:rPr>
        <w:t>f</w:t>
      </w:r>
      <w:r w:rsidR="00B02E1B" w:rsidRPr="00865121">
        <w:rPr>
          <w:rFonts w:ascii="Arial" w:hAnsi="Arial" w:cs="Arial"/>
        </w:rPr>
        <w:t>irst</w:t>
      </w:r>
      <w:r w:rsidRPr="00865121">
        <w:rPr>
          <w:rFonts w:ascii="Arial" w:hAnsi="Arial" w:cs="Arial"/>
        </w:rPr>
        <w:t xml:space="preserve"> defendant</w:t>
      </w:r>
      <w:r w:rsidR="00B02E1B" w:rsidRPr="00865121">
        <w:rPr>
          <w:rFonts w:ascii="Arial" w:hAnsi="Arial" w:cs="Arial"/>
        </w:rPr>
        <w:t xml:space="preserve"> of its obligations to the </w:t>
      </w:r>
      <w:r w:rsidRPr="00865121">
        <w:rPr>
          <w:rFonts w:ascii="Arial" w:hAnsi="Arial" w:cs="Arial"/>
        </w:rPr>
        <w:t xml:space="preserve">plaintiff </w:t>
      </w:r>
      <w:r w:rsidR="00B02E1B" w:rsidRPr="00865121">
        <w:rPr>
          <w:rFonts w:ascii="Arial" w:hAnsi="Arial" w:cs="Arial"/>
        </w:rPr>
        <w:t xml:space="preserve">in terms of a suretyship clause contained in the credit agreement, which the </w:t>
      </w:r>
      <w:r w:rsidRPr="00865121">
        <w:rPr>
          <w:rFonts w:ascii="Arial" w:hAnsi="Arial" w:cs="Arial"/>
        </w:rPr>
        <w:t>s</w:t>
      </w:r>
      <w:r w:rsidR="00B02E1B" w:rsidRPr="00865121">
        <w:rPr>
          <w:rFonts w:ascii="Arial" w:hAnsi="Arial" w:cs="Arial"/>
        </w:rPr>
        <w:t xml:space="preserve">econd </w:t>
      </w:r>
      <w:r w:rsidRPr="00865121">
        <w:rPr>
          <w:rFonts w:ascii="Arial" w:hAnsi="Arial" w:cs="Arial"/>
        </w:rPr>
        <w:t>d</w:t>
      </w:r>
      <w:r w:rsidR="00B02E1B" w:rsidRPr="00865121">
        <w:rPr>
          <w:rFonts w:ascii="Arial" w:hAnsi="Arial" w:cs="Arial"/>
        </w:rPr>
        <w:t>efendant signed.</w:t>
      </w:r>
    </w:p>
    <w:p w14:paraId="3C7837E1" w14:textId="77777777" w:rsidR="004B6D9F" w:rsidRPr="00865121" w:rsidRDefault="004B6D9F" w:rsidP="00090510">
      <w:pPr>
        <w:spacing w:line="360" w:lineRule="auto"/>
        <w:jc w:val="both"/>
        <w:rPr>
          <w:rFonts w:ascii="Arial" w:hAnsi="Arial" w:cs="Arial"/>
        </w:rPr>
      </w:pPr>
    </w:p>
    <w:p w14:paraId="009CD226" w14:textId="537B4306" w:rsidR="00C81737" w:rsidRPr="00865121" w:rsidRDefault="00C81737" w:rsidP="00090510">
      <w:pPr>
        <w:spacing w:line="360" w:lineRule="auto"/>
        <w:jc w:val="both"/>
        <w:rPr>
          <w:rFonts w:ascii="Arial" w:hAnsi="Arial" w:cs="Arial"/>
          <w:b/>
          <w:bCs/>
        </w:rPr>
      </w:pPr>
      <w:r w:rsidRPr="00865121">
        <w:rPr>
          <w:rFonts w:ascii="Arial" w:hAnsi="Arial" w:cs="Arial"/>
          <w:b/>
          <w:bCs/>
        </w:rPr>
        <w:t xml:space="preserve">Defendants’ Case </w:t>
      </w:r>
    </w:p>
    <w:p w14:paraId="1DE8744C" w14:textId="7B552994" w:rsidR="00B02E1B" w:rsidRPr="00865121" w:rsidRDefault="00C81737" w:rsidP="00090510">
      <w:pPr>
        <w:spacing w:line="360" w:lineRule="auto"/>
        <w:jc w:val="both"/>
        <w:rPr>
          <w:rFonts w:ascii="Arial" w:hAnsi="Arial" w:cs="Arial"/>
        </w:rPr>
      </w:pPr>
      <w:r w:rsidRPr="00865121">
        <w:rPr>
          <w:rFonts w:ascii="Arial" w:hAnsi="Arial" w:cs="Arial"/>
        </w:rPr>
        <w:t xml:space="preserve">[16] The first defendant admit non-payment of the sums reflected in the invoices submitted by the plaintiff, however, </w:t>
      </w:r>
      <w:r w:rsidR="00C05EF9">
        <w:rPr>
          <w:rFonts w:ascii="Arial" w:hAnsi="Arial" w:cs="Arial"/>
        </w:rPr>
        <w:t>but</w:t>
      </w:r>
      <w:r w:rsidRPr="00865121">
        <w:rPr>
          <w:rFonts w:ascii="Arial" w:hAnsi="Arial" w:cs="Arial"/>
        </w:rPr>
        <w:t xml:space="preserve"> den</w:t>
      </w:r>
      <w:r w:rsidR="00C05EF9">
        <w:rPr>
          <w:rFonts w:ascii="Arial" w:hAnsi="Arial" w:cs="Arial"/>
        </w:rPr>
        <w:t>ies</w:t>
      </w:r>
      <w:r w:rsidRPr="00865121">
        <w:rPr>
          <w:rFonts w:ascii="Arial" w:hAnsi="Arial" w:cs="Arial"/>
        </w:rPr>
        <w:t xml:space="preserve"> that such amount</w:t>
      </w:r>
      <w:r w:rsidR="00EE328B">
        <w:rPr>
          <w:rFonts w:ascii="Arial" w:hAnsi="Arial" w:cs="Arial"/>
        </w:rPr>
        <w:t>s</w:t>
      </w:r>
      <w:r w:rsidRPr="00865121">
        <w:rPr>
          <w:rFonts w:ascii="Arial" w:hAnsi="Arial" w:cs="Arial"/>
        </w:rPr>
        <w:t xml:space="preserve"> </w:t>
      </w:r>
      <w:r w:rsidR="00EE328B">
        <w:rPr>
          <w:rFonts w:ascii="Arial" w:hAnsi="Arial" w:cs="Arial"/>
        </w:rPr>
        <w:t>are</w:t>
      </w:r>
      <w:r w:rsidRPr="00865121">
        <w:rPr>
          <w:rFonts w:ascii="Arial" w:hAnsi="Arial" w:cs="Arial"/>
        </w:rPr>
        <w:t xml:space="preserve"> due and payable. The reason </w:t>
      </w:r>
      <w:r w:rsidR="00B1561F">
        <w:rPr>
          <w:rFonts w:ascii="Arial" w:hAnsi="Arial" w:cs="Arial"/>
        </w:rPr>
        <w:t>being that</w:t>
      </w:r>
      <w:r w:rsidRPr="00865121">
        <w:rPr>
          <w:rFonts w:ascii="Arial" w:hAnsi="Arial" w:cs="Arial"/>
        </w:rPr>
        <w:t xml:space="preserve"> that the goods to which the outstanding </w:t>
      </w:r>
      <w:r w:rsidR="00EE2B97">
        <w:rPr>
          <w:rFonts w:ascii="Arial" w:hAnsi="Arial" w:cs="Arial"/>
        </w:rPr>
        <w:t xml:space="preserve">payment </w:t>
      </w:r>
      <w:r w:rsidRPr="00865121">
        <w:rPr>
          <w:rFonts w:ascii="Arial" w:hAnsi="Arial" w:cs="Arial"/>
        </w:rPr>
        <w:t>pertain were rejected by the end user.</w:t>
      </w:r>
    </w:p>
    <w:p w14:paraId="0CEF08C0" w14:textId="3BFC2460" w:rsidR="00C81737" w:rsidRPr="00865121" w:rsidRDefault="00C81737" w:rsidP="00090510">
      <w:pPr>
        <w:spacing w:line="360" w:lineRule="auto"/>
        <w:jc w:val="both"/>
        <w:rPr>
          <w:rFonts w:ascii="Arial" w:hAnsi="Arial" w:cs="Arial"/>
        </w:rPr>
      </w:pPr>
      <w:r w:rsidRPr="00865121">
        <w:rPr>
          <w:rFonts w:ascii="Arial" w:hAnsi="Arial" w:cs="Arial"/>
        </w:rPr>
        <w:t xml:space="preserve">[17] </w:t>
      </w:r>
      <w:r w:rsidR="00DA5CA3" w:rsidRPr="00865121">
        <w:rPr>
          <w:rFonts w:ascii="Arial" w:hAnsi="Arial" w:cs="Arial"/>
        </w:rPr>
        <w:t>According to the defendants it was an express, alternatively tacit, alternatively implied term of agreement for the supply of goods between the parties</w:t>
      </w:r>
      <w:r w:rsidR="00CF1301">
        <w:rPr>
          <w:rFonts w:ascii="Arial" w:hAnsi="Arial" w:cs="Arial"/>
        </w:rPr>
        <w:t xml:space="preserve"> that, </w:t>
      </w:r>
      <w:r w:rsidR="00DA5CA3" w:rsidRPr="00865121">
        <w:rPr>
          <w:rFonts w:ascii="Arial" w:hAnsi="Arial" w:cs="Arial"/>
        </w:rPr>
        <w:t xml:space="preserve">the goods so supplied should comply with the specifications of the client of the defendant. And </w:t>
      </w:r>
      <w:r w:rsidR="00DA5CA3" w:rsidRPr="00865121">
        <w:rPr>
          <w:rFonts w:ascii="Arial" w:hAnsi="Arial" w:cs="Arial"/>
        </w:rPr>
        <w:lastRenderedPageBreak/>
        <w:t xml:space="preserve">because the goods were rejected by its client for non-compliance, so the defendants submitted, they were absolved from making any payment to the plaintiff. </w:t>
      </w:r>
    </w:p>
    <w:p w14:paraId="17ADBF23" w14:textId="3F6788C9" w:rsidR="00DA5CA3" w:rsidRPr="00865121" w:rsidRDefault="00DA5CA3" w:rsidP="00090510">
      <w:pPr>
        <w:spacing w:line="360" w:lineRule="auto"/>
        <w:jc w:val="both"/>
        <w:rPr>
          <w:rFonts w:ascii="Arial" w:hAnsi="Arial" w:cs="Arial"/>
        </w:rPr>
      </w:pPr>
      <w:r w:rsidRPr="00865121">
        <w:rPr>
          <w:rFonts w:ascii="Arial" w:hAnsi="Arial" w:cs="Arial"/>
        </w:rPr>
        <w:t>[18] In the alternative, the defendants submitted th</w:t>
      </w:r>
      <w:r w:rsidR="00B14782">
        <w:rPr>
          <w:rFonts w:ascii="Arial" w:hAnsi="Arial" w:cs="Arial"/>
        </w:rPr>
        <w:t xml:space="preserve">at </w:t>
      </w:r>
      <w:r w:rsidR="00D15B6E">
        <w:rPr>
          <w:rFonts w:ascii="Arial" w:hAnsi="Arial" w:cs="Arial"/>
        </w:rPr>
        <w:t xml:space="preserve">the </w:t>
      </w:r>
      <w:r w:rsidR="00D15B6E" w:rsidRPr="00865121">
        <w:rPr>
          <w:rFonts w:ascii="Arial" w:hAnsi="Arial" w:cs="Arial"/>
        </w:rPr>
        <w:t>plaintiff</w:t>
      </w:r>
      <w:r w:rsidRPr="00865121">
        <w:rPr>
          <w:rFonts w:ascii="Arial" w:hAnsi="Arial" w:cs="Arial"/>
        </w:rPr>
        <w:t xml:space="preserve"> waived its entitlement to payment for the goods and services rendered as per submitted invoices until payment </w:t>
      </w:r>
      <w:r w:rsidR="00BC07A4">
        <w:rPr>
          <w:rFonts w:ascii="Arial" w:hAnsi="Arial" w:cs="Arial"/>
        </w:rPr>
        <w:t>h</w:t>
      </w:r>
      <w:r w:rsidRPr="00865121">
        <w:rPr>
          <w:rFonts w:ascii="Arial" w:hAnsi="Arial" w:cs="Arial"/>
        </w:rPr>
        <w:t xml:space="preserve">as been received from Transnet. </w:t>
      </w:r>
    </w:p>
    <w:p w14:paraId="1348B607" w14:textId="15E1F18C" w:rsidR="00E97A04" w:rsidRDefault="004E5979" w:rsidP="00090510">
      <w:pPr>
        <w:spacing w:line="360" w:lineRule="auto"/>
        <w:jc w:val="both"/>
        <w:rPr>
          <w:rFonts w:ascii="Arial" w:hAnsi="Arial" w:cs="Arial"/>
        </w:rPr>
      </w:pPr>
      <w:r w:rsidRPr="00865121">
        <w:rPr>
          <w:rFonts w:ascii="Arial" w:hAnsi="Arial" w:cs="Arial"/>
        </w:rPr>
        <w:t xml:space="preserve">[19] The defendants also put in dispute the authenticity of the certificate of balance (COB). </w:t>
      </w:r>
    </w:p>
    <w:p w14:paraId="17FC3FFC" w14:textId="77777777" w:rsidR="004B6D9F" w:rsidRPr="00865121" w:rsidRDefault="004B6D9F" w:rsidP="00090510">
      <w:pPr>
        <w:spacing w:line="360" w:lineRule="auto"/>
        <w:jc w:val="both"/>
        <w:rPr>
          <w:rFonts w:ascii="Arial" w:hAnsi="Arial" w:cs="Arial"/>
        </w:rPr>
      </w:pPr>
    </w:p>
    <w:p w14:paraId="487FE9E9" w14:textId="1F7E2381" w:rsidR="004E5979" w:rsidRPr="00865121" w:rsidRDefault="004E5979" w:rsidP="00090510">
      <w:pPr>
        <w:spacing w:line="360" w:lineRule="auto"/>
        <w:jc w:val="both"/>
        <w:rPr>
          <w:rFonts w:ascii="Arial" w:hAnsi="Arial" w:cs="Arial"/>
          <w:b/>
          <w:bCs/>
        </w:rPr>
      </w:pPr>
      <w:r w:rsidRPr="00865121">
        <w:rPr>
          <w:rFonts w:ascii="Arial" w:hAnsi="Arial" w:cs="Arial"/>
          <w:b/>
          <w:bCs/>
        </w:rPr>
        <w:t xml:space="preserve">Plaintiff’s case </w:t>
      </w:r>
    </w:p>
    <w:p w14:paraId="2D1B64B7" w14:textId="2E25065D" w:rsidR="00391CFB" w:rsidRPr="00865121" w:rsidRDefault="004E5979" w:rsidP="00090510">
      <w:pPr>
        <w:spacing w:line="360" w:lineRule="auto"/>
        <w:jc w:val="both"/>
        <w:rPr>
          <w:rFonts w:ascii="Arial" w:hAnsi="Arial" w:cs="Arial"/>
        </w:rPr>
      </w:pPr>
      <w:r w:rsidRPr="00865121">
        <w:rPr>
          <w:rFonts w:ascii="Arial" w:hAnsi="Arial" w:cs="Arial"/>
        </w:rPr>
        <w:t xml:space="preserve">[20] The plaintiff’s case is that the defendants are in breach of a </w:t>
      </w:r>
      <w:r w:rsidR="00610637">
        <w:rPr>
          <w:rFonts w:ascii="Arial" w:hAnsi="Arial" w:cs="Arial"/>
        </w:rPr>
        <w:t xml:space="preserve">credit </w:t>
      </w:r>
      <w:r w:rsidRPr="00865121">
        <w:rPr>
          <w:rFonts w:ascii="Arial" w:hAnsi="Arial" w:cs="Arial"/>
        </w:rPr>
        <w:t>agreement between the parties. Th</w:t>
      </w:r>
      <w:r w:rsidR="004518F0">
        <w:rPr>
          <w:rFonts w:ascii="Arial" w:hAnsi="Arial" w:cs="Arial"/>
        </w:rPr>
        <w:t>at</w:t>
      </w:r>
      <w:r w:rsidRPr="00865121">
        <w:rPr>
          <w:rFonts w:ascii="Arial" w:hAnsi="Arial" w:cs="Arial"/>
        </w:rPr>
        <w:t xml:space="preserve"> plaintiff sold and delivered to the </w:t>
      </w:r>
      <w:r w:rsidR="00610637">
        <w:rPr>
          <w:rFonts w:ascii="Arial" w:hAnsi="Arial" w:cs="Arial"/>
        </w:rPr>
        <w:t xml:space="preserve">first </w:t>
      </w:r>
      <w:r w:rsidRPr="00865121">
        <w:rPr>
          <w:rFonts w:ascii="Arial" w:hAnsi="Arial" w:cs="Arial"/>
        </w:rPr>
        <w:t xml:space="preserve">defendant at the latter special instance and request as per the said </w:t>
      </w:r>
      <w:r w:rsidR="00610637">
        <w:rPr>
          <w:rFonts w:ascii="Arial" w:hAnsi="Arial" w:cs="Arial"/>
        </w:rPr>
        <w:t xml:space="preserve">credit </w:t>
      </w:r>
      <w:r w:rsidRPr="00865121">
        <w:rPr>
          <w:rFonts w:ascii="Arial" w:hAnsi="Arial" w:cs="Arial"/>
        </w:rPr>
        <w:t xml:space="preserve">agreement. </w:t>
      </w:r>
    </w:p>
    <w:p w14:paraId="627DBE9C" w14:textId="606961D3" w:rsidR="004E5979" w:rsidRDefault="004E5979" w:rsidP="00090510">
      <w:pPr>
        <w:spacing w:line="360" w:lineRule="auto"/>
        <w:jc w:val="both"/>
        <w:rPr>
          <w:rFonts w:ascii="Arial" w:hAnsi="Arial" w:cs="Arial"/>
        </w:rPr>
      </w:pPr>
      <w:r w:rsidRPr="00865121">
        <w:rPr>
          <w:rFonts w:ascii="Arial" w:hAnsi="Arial" w:cs="Arial"/>
        </w:rPr>
        <w:t xml:space="preserve">[21] The terms </w:t>
      </w:r>
      <w:r w:rsidR="00CA516B">
        <w:rPr>
          <w:rFonts w:ascii="Arial" w:hAnsi="Arial" w:cs="Arial"/>
        </w:rPr>
        <w:t>of</w:t>
      </w:r>
      <w:r w:rsidRPr="00865121">
        <w:rPr>
          <w:rFonts w:ascii="Arial" w:hAnsi="Arial" w:cs="Arial"/>
        </w:rPr>
        <w:t xml:space="preserve"> payment as stipulated in </w:t>
      </w:r>
      <w:r w:rsidR="003F1D23">
        <w:rPr>
          <w:rFonts w:ascii="Arial" w:hAnsi="Arial" w:cs="Arial"/>
        </w:rPr>
        <w:t xml:space="preserve">the </w:t>
      </w:r>
      <w:r w:rsidRPr="00865121">
        <w:rPr>
          <w:rFonts w:ascii="Arial" w:hAnsi="Arial" w:cs="Arial"/>
        </w:rPr>
        <w:t>agreement was that payment would be effected within 30 days of such sale and delivery. This according to the plaintiff the defendants failed to do</w:t>
      </w:r>
      <w:r w:rsidR="002415F1" w:rsidRPr="00865121">
        <w:rPr>
          <w:rFonts w:ascii="Arial" w:hAnsi="Arial" w:cs="Arial"/>
        </w:rPr>
        <w:t xml:space="preserve">, resulting in breach of the agreement as alleged in the particulars of claim. </w:t>
      </w:r>
    </w:p>
    <w:p w14:paraId="0CF30486" w14:textId="432F5BE5" w:rsidR="0000274C" w:rsidRDefault="0000274C" w:rsidP="00090510">
      <w:pPr>
        <w:spacing w:line="360" w:lineRule="auto"/>
        <w:jc w:val="both"/>
        <w:rPr>
          <w:rFonts w:ascii="Arial" w:hAnsi="Arial" w:cs="Arial"/>
        </w:rPr>
      </w:pPr>
      <w:r>
        <w:rPr>
          <w:rFonts w:ascii="Arial" w:hAnsi="Arial" w:cs="Arial"/>
        </w:rPr>
        <w:t xml:space="preserve">[22] The plaintiff has characterised the pleaded defence as a sham and neither bona fide </w:t>
      </w:r>
      <w:r w:rsidR="0038097F">
        <w:rPr>
          <w:rFonts w:ascii="Arial" w:hAnsi="Arial" w:cs="Arial"/>
        </w:rPr>
        <w:t>nor</w:t>
      </w:r>
      <w:r>
        <w:rPr>
          <w:rFonts w:ascii="Arial" w:hAnsi="Arial" w:cs="Arial"/>
        </w:rPr>
        <w:t xml:space="preserve"> good in law. </w:t>
      </w:r>
    </w:p>
    <w:p w14:paraId="0AE5469F" w14:textId="77777777" w:rsidR="004B6D9F" w:rsidRPr="00865121" w:rsidRDefault="004B6D9F" w:rsidP="00090510">
      <w:pPr>
        <w:spacing w:line="360" w:lineRule="auto"/>
        <w:jc w:val="both"/>
        <w:rPr>
          <w:rFonts w:ascii="Arial" w:hAnsi="Arial" w:cs="Arial"/>
        </w:rPr>
      </w:pPr>
    </w:p>
    <w:p w14:paraId="4DDF4907" w14:textId="4273CDD4" w:rsidR="005A3D34" w:rsidRPr="0038097F" w:rsidRDefault="0038097F" w:rsidP="00090510">
      <w:pPr>
        <w:spacing w:line="360" w:lineRule="auto"/>
        <w:jc w:val="both"/>
        <w:rPr>
          <w:rFonts w:ascii="Arial" w:hAnsi="Arial" w:cs="Arial"/>
          <w:b/>
          <w:bCs/>
        </w:rPr>
      </w:pPr>
      <w:r w:rsidRPr="0038097F">
        <w:rPr>
          <w:rFonts w:ascii="Arial" w:hAnsi="Arial" w:cs="Arial"/>
          <w:b/>
          <w:bCs/>
        </w:rPr>
        <w:t xml:space="preserve">The law </w:t>
      </w:r>
    </w:p>
    <w:p w14:paraId="79D83CF2" w14:textId="2BD2488A" w:rsidR="00591960" w:rsidRDefault="0038097F" w:rsidP="00090510">
      <w:pPr>
        <w:spacing w:line="360" w:lineRule="auto"/>
        <w:jc w:val="both"/>
        <w:rPr>
          <w:rFonts w:ascii="Arial" w:hAnsi="Arial" w:cs="Arial"/>
        </w:rPr>
      </w:pPr>
      <w:r w:rsidRPr="0038097F">
        <w:rPr>
          <w:rFonts w:ascii="Arial" w:hAnsi="Arial" w:cs="Arial"/>
        </w:rPr>
        <w:t>[2</w:t>
      </w:r>
      <w:r w:rsidR="00C604A9">
        <w:rPr>
          <w:rFonts w:ascii="Arial" w:hAnsi="Arial" w:cs="Arial"/>
        </w:rPr>
        <w:t>3</w:t>
      </w:r>
      <w:r w:rsidRPr="0038097F">
        <w:rPr>
          <w:rFonts w:ascii="Arial" w:hAnsi="Arial" w:cs="Arial"/>
        </w:rPr>
        <w:t>]</w:t>
      </w:r>
      <w:r w:rsidR="00790CE0" w:rsidRPr="00AD77A8">
        <w:rPr>
          <w:rFonts w:ascii="Arial" w:hAnsi="Arial" w:cs="Arial"/>
        </w:rPr>
        <w:t xml:space="preserve"> </w:t>
      </w:r>
      <w:r w:rsidR="00110782" w:rsidRPr="00110782">
        <w:rPr>
          <w:rFonts w:ascii="Arial" w:hAnsi="Arial" w:cs="Arial"/>
        </w:rPr>
        <w:t xml:space="preserve">Summary judgment has been described as an extraordinary and stringent </w:t>
      </w:r>
      <w:r w:rsidR="00E9741E" w:rsidRPr="00110782">
        <w:rPr>
          <w:rFonts w:ascii="Arial" w:hAnsi="Arial" w:cs="Arial"/>
        </w:rPr>
        <w:t xml:space="preserve">remedy </w:t>
      </w:r>
      <w:r w:rsidR="00980EF9">
        <w:rPr>
          <w:rFonts w:ascii="Arial" w:hAnsi="Arial" w:cs="Arial"/>
        </w:rPr>
        <w:t xml:space="preserve">that </w:t>
      </w:r>
      <w:r w:rsidR="00110782" w:rsidRPr="00110782">
        <w:rPr>
          <w:rFonts w:ascii="Arial" w:hAnsi="Arial" w:cs="Arial"/>
        </w:rPr>
        <w:t>should only be granted where the plaintiff can establish its claim clearly and the defendant fails to set up a bona fide defence</w:t>
      </w:r>
      <w:r w:rsidR="00E9741E">
        <w:rPr>
          <w:rFonts w:ascii="Arial" w:hAnsi="Arial" w:cs="Arial"/>
        </w:rPr>
        <w:t>. See</w:t>
      </w:r>
      <w:r w:rsidR="00110782" w:rsidRPr="00110782">
        <w:rPr>
          <w:rFonts w:ascii="Arial" w:hAnsi="Arial" w:cs="Arial"/>
          <w:i/>
          <w:iCs/>
          <w:color w:val="242121"/>
          <w:sz w:val="20"/>
          <w:szCs w:val="20"/>
          <w:shd w:val="clear" w:color="auto" w:fill="FFFFFF"/>
          <w:lang w:val="en-GB"/>
        </w:rPr>
        <w:t xml:space="preserve"> </w:t>
      </w:r>
      <w:r w:rsidR="00110782" w:rsidRPr="00E9741E">
        <w:rPr>
          <w:rFonts w:ascii="Arial" w:hAnsi="Arial" w:cs="Arial"/>
          <w:b/>
          <w:bCs/>
          <w:i/>
          <w:iCs/>
          <w:lang w:val="en-GB"/>
        </w:rPr>
        <w:t>Steeledale Reinforcing (Cape) v HO Hup Corporation SA (Pty) Ltd</w:t>
      </w:r>
      <w:r w:rsidR="00110782" w:rsidRPr="00110782">
        <w:rPr>
          <w:rFonts w:ascii="Arial" w:hAnsi="Arial" w:cs="Arial"/>
        </w:rPr>
        <w:t> </w:t>
      </w:r>
      <w:hyperlink r:id="rId10" w:tooltip="View LawCiteRecord" w:history="1">
        <w:r w:rsidR="00110782" w:rsidRPr="00110782">
          <w:rPr>
            <w:rStyle w:val="Hyperlink"/>
            <w:rFonts w:ascii="Arial" w:hAnsi="Arial" w:cs="Arial"/>
            <w:i/>
            <w:iCs/>
            <w:color w:val="000000" w:themeColor="text1"/>
            <w:u w:val="none"/>
            <w:lang w:val="en-GB"/>
          </w:rPr>
          <w:t>2010 (2) SA 580</w:t>
        </w:r>
      </w:hyperlink>
      <w:r w:rsidR="00110782" w:rsidRPr="00110782">
        <w:rPr>
          <w:rFonts w:ascii="Arial" w:hAnsi="Arial" w:cs="Arial"/>
          <w:lang w:val="en-GB"/>
        </w:rPr>
        <w:t> (ECP</w:t>
      </w:r>
      <w:r w:rsidR="00980EF9">
        <w:rPr>
          <w:rFonts w:ascii="Arial" w:hAnsi="Arial" w:cs="Arial"/>
          <w:lang w:val="en-GB"/>
        </w:rPr>
        <w:t>)</w:t>
      </w:r>
      <w:r w:rsidR="00E9741E">
        <w:rPr>
          <w:rFonts w:ascii="Arial" w:hAnsi="Arial" w:cs="Arial"/>
        </w:rPr>
        <w:t>.</w:t>
      </w:r>
      <w:r w:rsidR="00790CE0" w:rsidRPr="00AD77A8">
        <w:rPr>
          <w:rFonts w:ascii="Arial" w:hAnsi="Arial" w:cs="Arial"/>
        </w:rPr>
        <w:t xml:space="preserve">   </w:t>
      </w:r>
    </w:p>
    <w:p w14:paraId="3910762C" w14:textId="09D54824" w:rsidR="00591960" w:rsidRDefault="00591960" w:rsidP="00090510">
      <w:pPr>
        <w:spacing w:line="360" w:lineRule="auto"/>
        <w:jc w:val="both"/>
        <w:rPr>
          <w:rFonts w:ascii="Arial" w:hAnsi="Arial" w:cs="Arial"/>
          <w:lang w:val="en-GB"/>
        </w:rPr>
      </w:pPr>
      <w:r>
        <w:rPr>
          <w:rFonts w:ascii="Arial" w:hAnsi="Arial" w:cs="Arial"/>
        </w:rPr>
        <w:t>[2</w:t>
      </w:r>
      <w:r w:rsidR="00C604A9">
        <w:rPr>
          <w:rFonts w:ascii="Arial" w:hAnsi="Arial" w:cs="Arial"/>
        </w:rPr>
        <w:t>4</w:t>
      </w:r>
      <w:r>
        <w:rPr>
          <w:rFonts w:ascii="Arial" w:hAnsi="Arial" w:cs="Arial"/>
        </w:rPr>
        <w:t xml:space="preserve">] </w:t>
      </w:r>
      <w:r w:rsidRPr="00591960">
        <w:rPr>
          <w:rFonts w:ascii="Arial" w:hAnsi="Arial" w:cs="Arial"/>
        </w:rPr>
        <w:t xml:space="preserve">The defendants are required to satisfy </w:t>
      </w:r>
      <w:r>
        <w:rPr>
          <w:rFonts w:ascii="Arial" w:hAnsi="Arial" w:cs="Arial"/>
        </w:rPr>
        <w:t xml:space="preserve">the court </w:t>
      </w:r>
      <w:r w:rsidRPr="00591960">
        <w:rPr>
          <w:rFonts w:ascii="Arial" w:hAnsi="Arial" w:cs="Arial"/>
        </w:rPr>
        <w:t xml:space="preserve">by </w:t>
      </w:r>
      <w:r w:rsidR="00B76BBC">
        <w:rPr>
          <w:rFonts w:ascii="Arial" w:hAnsi="Arial" w:cs="Arial"/>
        </w:rPr>
        <w:t xml:space="preserve">way of an </w:t>
      </w:r>
      <w:r w:rsidRPr="00591960">
        <w:rPr>
          <w:rFonts w:ascii="Arial" w:hAnsi="Arial" w:cs="Arial"/>
        </w:rPr>
        <w:t xml:space="preserve">affidavit that they have a bona fide defence to </w:t>
      </w:r>
      <w:r w:rsidR="00420340">
        <w:rPr>
          <w:rFonts w:ascii="Arial" w:hAnsi="Arial" w:cs="Arial"/>
        </w:rPr>
        <w:t xml:space="preserve">an </w:t>
      </w:r>
      <w:r w:rsidRPr="00591960">
        <w:rPr>
          <w:rFonts w:ascii="Arial" w:hAnsi="Arial" w:cs="Arial"/>
        </w:rPr>
        <w:t>action. The affidavit should disclose fully the nature and grounds of the defence as well as the material facts relied upon</w:t>
      </w:r>
      <w:r>
        <w:rPr>
          <w:rFonts w:ascii="Arial" w:hAnsi="Arial" w:cs="Arial"/>
        </w:rPr>
        <w:t>.</w:t>
      </w:r>
    </w:p>
    <w:p w14:paraId="1F3A361F" w14:textId="52E7E509" w:rsidR="00110782" w:rsidRDefault="00591960" w:rsidP="00090510">
      <w:pPr>
        <w:spacing w:line="360" w:lineRule="auto"/>
        <w:jc w:val="both"/>
        <w:rPr>
          <w:rFonts w:ascii="Arial" w:hAnsi="Arial" w:cs="Arial"/>
          <w:lang w:val="en-US"/>
        </w:rPr>
      </w:pPr>
      <w:r>
        <w:rPr>
          <w:rFonts w:ascii="Arial" w:hAnsi="Arial" w:cs="Arial"/>
          <w:lang w:val="en-GB"/>
        </w:rPr>
        <w:t>[2</w:t>
      </w:r>
      <w:r w:rsidR="00C604A9">
        <w:rPr>
          <w:rFonts w:ascii="Arial" w:hAnsi="Arial" w:cs="Arial"/>
          <w:lang w:val="en-GB"/>
        </w:rPr>
        <w:t>5</w:t>
      </w:r>
      <w:r>
        <w:rPr>
          <w:rFonts w:ascii="Arial" w:hAnsi="Arial" w:cs="Arial"/>
          <w:lang w:val="en-GB"/>
        </w:rPr>
        <w:t xml:space="preserve">] </w:t>
      </w:r>
      <w:r w:rsidRPr="00591960">
        <w:rPr>
          <w:rFonts w:ascii="Arial" w:hAnsi="Arial" w:cs="Arial"/>
          <w:lang w:val="en-GB"/>
        </w:rPr>
        <w:t>It has be held that ‘</w:t>
      </w:r>
      <w:r w:rsidRPr="00591960">
        <w:rPr>
          <w:rFonts w:ascii="Arial" w:hAnsi="Arial" w:cs="Arial"/>
          <w:lang w:val="en-US"/>
        </w:rPr>
        <w:t xml:space="preserve">[a]affidavits in summary judgment proceedings are customarily treated with a certain degree of indulgence, and even a tersely stated defence may be a sufficient indication of a bona fide defence for the purpose of the </w:t>
      </w:r>
      <w:r w:rsidR="00E9741E" w:rsidRPr="00591960">
        <w:rPr>
          <w:rFonts w:ascii="Arial" w:hAnsi="Arial" w:cs="Arial"/>
          <w:lang w:val="en-US"/>
        </w:rPr>
        <w:t>rule’.</w:t>
      </w:r>
    </w:p>
    <w:p w14:paraId="1026BC9D" w14:textId="7B8C5E60" w:rsidR="00110782" w:rsidRDefault="00591960" w:rsidP="00090510">
      <w:pPr>
        <w:spacing w:line="360" w:lineRule="auto"/>
        <w:jc w:val="both"/>
        <w:rPr>
          <w:rFonts w:ascii="Arial" w:hAnsi="Arial" w:cs="Arial"/>
          <w:sz w:val="22"/>
          <w:szCs w:val="22"/>
        </w:rPr>
      </w:pPr>
      <w:r>
        <w:rPr>
          <w:rFonts w:ascii="Arial" w:hAnsi="Arial" w:cs="Arial"/>
          <w:lang w:val="en-US"/>
        </w:rPr>
        <w:t>[</w:t>
      </w:r>
      <w:r w:rsidR="00C604A9">
        <w:rPr>
          <w:rFonts w:ascii="Arial" w:hAnsi="Arial" w:cs="Arial"/>
          <w:lang w:val="en-US"/>
        </w:rPr>
        <w:t>26</w:t>
      </w:r>
      <w:r>
        <w:rPr>
          <w:rFonts w:ascii="Arial" w:hAnsi="Arial" w:cs="Arial"/>
          <w:lang w:val="en-US"/>
        </w:rPr>
        <w:t>]</w:t>
      </w:r>
      <w:r w:rsidR="00E9741E">
        <w:rPr>
          <w:rFonts w:ascii="Arial" w:hAnsi="Arial" w:cs="Arial"/>
          <w:lang w:val="en-US"/>
        </w:rPr>
        <w:t xml:space="preserve"> In the case</w:t>
      </w:r>
      <w:r w:rsidR="003325C1">
        <w:rPr>
          <w:rFonts w:ascii="Arial" w:hAnsi="Arial" w:cs="Arial"/>
          <w:lang w:val="en-US"/>
        </w:rPr>
        <w:t xml:space="preserve"> </w:t>
      </w:r>
      <w:r w:rsidR="00CD14E7">
        <w:rPr>
          <w:rFonts w:ascii="Arial" w:hAnsi="Arial" w:cs="Arial"/>
          <w:lang w:val="en-US"/>
        </w:rPr>
        <w:t xml:space="preserve">of </w:t>
      </w:r>
      <w:r w:rsidR="00CD14E7" w:rsidRPr="00CD14E7">
        <w:rPr>
          <w:rFonts w:ascii="Arial" w:hAnsi="Arial" w:cs="Arial"/>
          <w:b/>
          <w:bCs/>
          <w:i/>
          <w:iCs/>
        </w:rPr>
        <w:t>Maharaj</w:t>
      </w:r>
      <w:r w:rsidR="00E9741E" w:rsidRPr="00E9741E">
        <w:rPr>
          <w:rFonts w:ascii="Arial" w:hAnsi="Arial" w:cs="Arial"/>
          <w:b/>
          <w:bCs/>
          <w:i/>
          <w:iCs/>
        </w:rPr>
        <w:t xml:space="preserve"> v Barclays National Bank Ltd 1976 (1) SA 418 (A) at 423; Misid Investments (Pty) Ltd v Leslie</w:t>
      </w:r>
      <w:r w:rsidR="00E9741E" w:rsidRPr="00E9741E">
        <w:rPr>
          <w:rFonts w:ascii="Arial" w:hAnsi="Arial" w:cs="Arial"/>
        </w:rPr>
        <w:t xml:space="preserve"> 1950 (4) SA 473 (W) at 474</w:t>
      </w:r>
      <w:r w:rsidR="00E9741E">
        <w:rPr>
          <w:rFonts w:ascii="Arial" w:hAnsi="Arial" w:cs="Arial"/>
        </w:rPr>
        <w:t xml:space="preserve"> it was held that </w:t>
      </w:r>
      <w:r w:rsidR="00E9741E">
        <w:rPr>
          <w:rFonts w:ascii="Arial" w:hAnsi="Arial" w:cs="Arial"/>
          <w:lang w:val="en-US"/>
        </w:rPr>
        <w:t>“</w:t>
      </w:r>
      <w:r w:rsidR="00E9741E" w:rsidRPr="00E9741E">
        <w:rPr>
          <w:rFonts w:ascii="Arial" w:hAnsi="Arial" w:cs="Arial"/>
          <w:sz w:val="22"/>
          <w:szCs w:val="22"/>
        </w:rPr>
        <w:t xml:space="preserve">Accordingly, one of the ways in which a defendant may successfully oppose a claim for summary judgment is by satisfying the Court by affidavit that he has a bona fide defence to </w:t>
      </w:r>
      <w:r w:rsidR="00E9741E" w:rsidRPr="00E9741E">
        <w:rPr>
          <w:rFonts w:ascii="Arial" w:hAnsi="Arial" w:cs="Arial"/>
          <w:sz w:val="22"/>
          <w:szCs w:val="22"/>
        </w:rPr>
        <w:lastRenderedPageBreak/>
        <w:t>the claim. Where the defence is based on facts, in the sense that material facts alleged by the plaintiff in his summons, or combined summons, are disputed or new facts are alleged constituting a defence, the Court does not attempt to decide these issues or to determine whether or not there is balance of probabilities in favour of the one party or the other. All that the Court enquires into is: (a) whether the defendant has “fully” disclosed the nature and grounds of his defence and the material facts upon which it is f</w:t>
      </w:r>
      <w:r w:rsidR="000B0D9C">
        <w:rPr>
          <w:rFonts w:ascii="Arial" w:hAnsi="Arial" w:cs="Arial"/>
          <w:sz w:val="22"/>
          <w:szCs w:val="22"/>
        </w:rPr>
        <w:t>ounded</w:t>
      </w:r>
      <w:r w:rsidR="00E9741E" w:rsidRPr="00E9741E">
        <w:rPr>
          <w:rFonts w:ascii="Arial" w:hAnsi="Arial" w:cs="Arial"/>
          <w:sz w:val="22"/>
          <w:szCs w:val="22"/>
        </w:rPr>
        <w:t>, and (b) whether on the facts so disclosed the defendant appears to have, as to either the whole or part of the claim a defence which is both bona fide and good in law. If satisfied on these matters the Court must refuse summary judgment either wholly or in part as the case may be.”</w:t>
      </w:r>
    </w:p>
    <w:p w14:paraId="0273D6B1" w14:textId="1E8CA76B" w:rsidR="002D3DBB" w:rsidRDefault="00F459B5" w:rsidP="00090510">
      <w:pPr>
        <w:spacing w:line="360" w:lineRule="auto"/>
        <w:jc w:val="both"/>
        <w:rPr>
          <w:rFonts w:ascii="Arial" w:hAnsi="Arial" w:cs="Arial"/>
        </w:rPr>
      </w:pPr>
      <w:r>
        <w:rPr>
          <w:rFonts w:ascii="Arial" w:hAnsi="Arial" w:cs="Arial"/>
          <w:sz w:val="22"/>
          <w:szCs w:val="22"/>
        </w:rPr>
        <w:t>[</w:t>
      </w:r>
      <w:r w:rsidR="00C604A9">
        <w:rPr>
          <w:rFonts w:ascii="Arial" w:hAnsi="Arial" w:cs="Arial"/>
        </w:rPr>
        <w:t>27</w:t>
      </w:r>
      <w:r w:rsidRPr="00F459B5">
        <w:rPr>
          <w:rFonts w:ascii="Arial" w:hAnsi="Arial" w:cs="Arial"/>
        </w:rPr>
        <w:t xml:space="preserve">] </w:t>
      </w:r>
      <w:r w:rsidRPr="00F459B5">
        <w:rPr>
          <w:rFonts w:ascii="Arial" w:hAnsi="Arial" w:cs="Arial"/>
          <w:b/>
          <w:bCs/>
          <w:i/>
          <w:iCs/>
        </w:rPr>
        <w:t>In  Breitenbach v Fiat (Edms) Bpk</w:t>
      </w:r>
      <w:r w:rsidRPr="00F459B5">
        <w:rPr>
          <w:rFonts w:ascii="Arial" w:hAnsi="Arial" w:cs="Arial"/>
        </w:rPr>
        <w:t>1976 (2) SA 226 (T) at p 228 it was held simply that a defendant will satisfy a court of the bona fides of his defence if he swears to the defence, which is valid in law and which is sworn in a manner that is not inherently or seriously unconvincing, or, if he shows that there is a reasonable possibility that his defence may succeed at trial</w:t>
      </w:r>
      <w:r w:rsidR="00C604A9">
        <w:rPr>
          <w:rFonts w:ascii="Arial" w:hAnsi="Arial" w:cs="Arial"/>
        </w:rPr>
        <w:t>.</w:t>
      </w:r>
    </w:p>
    <w:p w14:paraId="1E0C25BC" w14:textId="6B9584C4" w:rsidR="000115E9" w:rsidRPr="00327D6F" w:rsidRDefault="002D3DBB" w:rsidP="00090510">
      <w:pPr>
        <w:spacing w:line="360" w:lineRule="auto"/>
        <w:jc w:val="both"/>
        <w:rPr>
          <w:rFonts w:ascii="Arial" w:hAnsi="Arial" w:cs="Arial"/>
        </w:rPr>
      </w:pPr>
      <w:r>
        <w:rPr>
          <w:rFonts w:ascii="Arial" w:hAnsi="Arial" w:cs="Arial"/>
        </w:rPr>
        <w:t xml:space="preserve">[28] </w:t>
      </w:r>
      <w:r w:rsidR="000115E9" w:rsidRPr="000115E9">
        <w:rPr>
          <w:rFonts w:ascii="Arial" w:hAnsi="Arial" w:cs="Arial"/>
        </w:rPr>
        <w:t xml:space="preserve">The Supreme Court of Appeal in </w:t>
      </w:r>
      <w:r w:rsidR="000115E9" w:rsidRPr="00B31912">
        <w:rPr>
          <w:rFonts w:ascii="Arial" w:hAnsi="Arial" w:cs="Arial"/>
          <w:b/>
          <w:bCs/>
          <w:i/>
          <w:iCs/>
        </w:rPr>
        <w:t xml:space="preserve">JoobJoob Investments (Pty) Ltd v Stocks Mavundla Zek Joint </w:t>
      </w:r>
      <w:r w:rsidR="00F64F67" w:rsidRPr="00B31912">
        <w:rPr>
          <w:rFonts w:ascii="Arial" w:hAnsi="Arial" w:cs="Arial"/>
          <w:b/>
          <w:bCs/>
          <w:i/>
          <w:iCs/>
        </w:rPr>
        <w:t>Venture</w:t>
      </w:r>
      <w:r w:rsidR="00F64F67" w:rsidRPr="000115E9">
        <w:rPr>
          <w:rFonts w:ascii="Arial" w:hAnsi="Arial" w:cs="Arial"/>
        </w:rPr>
        <w:t xml:space="preserve"> </w:t>
      </w:r>
      <w:r w:rsidR="00F64F67" w:rsidRPr="00B31912">
        <w:rPr>
          <w:rFonts w:ascii="Arial" w:hAnsi="Arial" w:cs="Arial"/>
        </w:rPr>
        <w:t>2009</w:t>
      </w:r>
      <w:r w:rsidR="00B31912" w:rsidRPr="00B31912">
        <w:rPr>
          <w:rFonts w:ascii="Arial" w:hAnsi="Arial" w:cs="Arial"/>
        </w:rPr>
        <w:t xml:space="preserve"> (5) SA 1(SCA) at 11G–12D</w:t>
      </w:r>
      <w:r w:rsidR="00B31912">
        <w:rPr>
          <w:rFonts w:ascii="Arial" w:hAnsi="Arial" w:cs="Arial"/>
        </w:rPr>
        <w:t xml:space="preserve"> </w:t>
      </w:r>
      <w:r w:rsidR="000115E9" w:rsidRPr="000115E9">
        <w:rPr>
          <w:rFonts w:ascii="Arial" w:hAnsi="Arial" w:cs="Arial"/>
        </w:rPr>
        <w:t xml:space="preserve">referred with approval to the </w:t>
      </w:r>
      <w:r w:rsidR="000115E9" w:rsidRPr="00B31912">
        <w:rPr>
          <w:rFonts w:ascii="Arial" w:hAnsi="Arial" w:cs="Arial"/>
          <w:i/>
          <w:iCs/>
        </w:rPr>
        <w:t>locus classicus</w:t>
      </w:r>
      <w:r w:rsidR="000115E9" w:rsidRPr="000115E9">
        <w:rPr>
          <w:rFonts w:ascii="Arial" w:hAnsi="Arial" w:cs="Arial"/>
        </w:rPr>
        <w:t xml:space="preserve"> of </w:t>
      </w:r>
      <w:r w:rsidR="000115E9" w:rsidRPr="00B31912">
        <w:rPr>
          <w:rFonts w:ascii="Arial" w:hAnsi="Arial" w:cs="Arial"/>
          <w:i/>
          <w:iCs/>
        </w:rPr>
        <w:t xml:space="preserve">Maharaj </w:t>
      </w:r>
      <w:r w:rsidR="00B31912" w:rsidRPr="00B31912">
        <w:rPr>
          <w:rFonts w:ascii="Arial" w:hAnsi="Arial" w:cs="Arial"/>
          <w:i/>
          <w:iCs/>
        </w:rPr>
        <w:t>v Barclays</w:t>
      </w:r>
      <w:r w:rsidR="000115E9" w:rsidRPr="00B31912">
        <w:rPr>
          <w:rFonts w:ascii="Arial" w:hAnsi="Arial" w:cs="Arial"/>
          <w:i/>
          <w:iCs/>
        </w:rPr>
        <w:t xml:space="preserve"> National</w:t>
      </w:r>
      <w:r w:rsidR="00B31912" w:rsidRPr="00B31912">
        <w:rPr>
          <w:rFonts w:ascii="Arial" w:hAnsi="Arial" w:cs="Arial"/>
          <w:i/>
          <w:iCs/>
        </w:rPr>
        <w:t xml:space="preserve"> </w:t>
      </w:r>
      <w:r w:rsidR="000115E9" w:rsidRPr="00B31912">
        <w:rPr>
          <w:rFonts w:ascii="Arial" w:hAnsi="Arial" w:cs="Arial"/>
          <w:i/>
          <w:iCs/>
        </w:rPr>
        <w:t>Bank Ltd</w:t>
      </w:r>
      <w:r w:rsidR="000115E9">
        <w:rPr>
          <w:rFonts w:ascii="Arial" w:hAnsi="Arial" w:cs="Arial"/>
        </w:rPr>
        <w:t xml:space="preserve"> </w:t>
      </w:r>
      <w:r w:rsidR="000115E9" w:rsidRPr="000115E9">
        <w:rPr>
          <w:rFonts w:ascii="Arial" w:hAnsi="Arial" w:cs="Arial"/>
        </w:rPr>
        <w:t>stating:</w:t>
      </w:r>
      <w:r w:rsidR="000115E9">
        <w:rPr>
          <w:rFonts w:ascii="Arial" w:hAnsi="Arial" w:cs="Arial"/>
        </w:rPr>
        <w:t xml:space="preserve"> </w:t>
      </w:r>
      <w:r w:rsidR="000115E9" w:rsidRPr="00B31912">
        <w:rPr>
          <w:rFonts w:ascii="Arial" w:hAnsi="Arial" w:cs="Arial"/>
          <w:sz w:val="22"/>
          <w:szCs w:val="22"/>
        </w:rPr>
        <w:t>'The rationale for summary judgment proceedings is impeccable. The procedure is not intended to deprive a defendant with a triable issue or a</w:t>
      </w:r>
      <w:r w:rsidR="00B31912" w:rsidRPr="00B31912">
        <w:rPr>
          <w:rFonts w:ascii="Arial" w:hAnsi="Arial" w:cs="Arial"/>
          <w:sz w:val="22"/>
          <w:szCs w:val="22"/>
        </w:rPr>
        <w:t xml:space="preserve"> </w:t>
      </w:r>
      <w:r w:rsidR="000115E9" w:rsidRPr="00B31912">
        <w:rPr>
          <w:rFonts w:ascii="Arial" w:hAnsi="Arial" w:cs="Arial"/>
          <w:sz w:val="22"/>
          <w:szCs w:val="22"/>
        </w:rPr>
        <w:t>sustainable defence of her/his day in court. After almost a century of successful application in our courts, summary judgment proceedings can</w:t>
      </w:r>
      <w:r w:rsidR="00B31912" w:rsidRPr="00B31912">
        <w:rPr>
          <w:rFonts w:ascii="Arial" w:hAnsi="Arial" w:cs="Arial"/>
          <w:sz w:val="22"/>
          <w:szCs w:val="22"/>
        </w:rPr>
        <w:t xml:space="preserve"> </w:t>
      </w:r>
      <w:r w:rsidR="000115E9" w:rsidRPr="00B31912">
        <w:rPr>
          <w:rFonts w:ascii="Arial" w:hAnsi="Arial" w:cs="Arial"/>
          <w:sz w:val="22"/>
          <w:szCs w:val="22"/>
        </w:rPr>
        <w:t>hardly continue to be described as extraordinary. Our courts, both of first instance and at appellate level, have during that time rightly been trusted to ensure that a defendant with a triable issue is not shut out. In the Maharaj case at 425G–426E, Corbett JA was keen to ensure, first, an examination of whether there has been sufficient disclosure by a defendant of the nature and grounds of his defence and the facts upon which it</w:t>
      </w:r>
      <w:r w:rsidR="00B31912">
        <w:rPr>
          <w:rFonts w:ascii="Arial" w:hAnsi="Arial" w:cs="Arial"/>
          <w:sz w:val="22"/>
          <w:szCs w:val="22"/>
        </w:rPr>
        <w:t xml:space="preserve"> </w:t>
      </w:r>
      <w:r w:rsidR="000115E9" w:rsidRPr="00B31912">
        <w:rPr>
          <w:rFonts w:ascii="Arial" w:hAnsi="Arial" w:cs="Arial"/>
          <w:sz w:val="22"/>
          <w:szCs w:val="22"/>
        </w:rPr>
        <w:t>is founded. The second consideration is that the defence so disclosed must be both bona fide and good in law. A court which is satisfied that this threshold has been crossed is then bound to refuse summary judgment. Corbett JA also warned against requiring of a defendant the precision apposite to pleadings.</w:t>
      </w:r>
    </w:p>
    <w:p w14:paraId="46BC76B2" w14:textId="24672B52" w:rsidR="004B6D9F" w:rsidRDefault="000115E9" w:rsidP="00090510">
      <w:pPr>
        <w:spacing w:line="360" w:lineRule="auto"/>
        <w:jc w:val="both"/>
        <w:rPr>
          <w:rFonts w:ascii="Arial" w:hAnsi="Arial" w:cs="Arial"/>
          <w:sz w:val="22"/>
          <w:szCs w:val="22"/>
        </w:rPr>
      </w:pPr>
      <w:r w:rsidRPr="00B31912">
        <w:rPr>
          <w:rFonts w:ascii="Arial" w:hAnsi="Arial" w:cs="Arial"/>
          <w:sz w:val="22"/>
          <w:szCs w:val="22"/>
        </w:rPr>
        <w:t xml:space="preserve">However, the learned judge was equally astute to ensure that recalcitrant debtors pay what is due to a creditor. Having regard to its purpose and its proper application, summary judgment proceedings only hold terrors and are "drastic" for a defendant who has no defence. Perhaps the time has come to discard these labels and to concentrate rather on the proper application of the rule, as set out with customary clarity and elegance by Corbett JA in the </w:t>
      </w:r>
      <w:r w:rsidRPr="00B31912">
        <w:rPr>
          <w:rFonts w:ascii="Arial" w:hAnsi="Arial" w:cs="Arial"/>
          <w:i/>
          <w:iCs/>
          <w:sz w:val="22"/>
          <w:szCs w:val="22"/>
        </w:rPr>
        <w:t>Maharaj</w:t>
      </w:r>
      <w:r w:rsidRPr="00B31912">
        <w:rPr>
          <w:rFonts w:ascii="Arial" w:hAnsi="Arial" w:cs="Arial"/>
          <w:sz w:val="22"/>
          <w:szCs w:val="22"/>
        </w:rPr>
        <w:t xml:space="preserve"> case at 425G–426E.'</w:t>
      </w:r>
    </w:p>
    <w:p w14:paraId="24F5A987" w14:textId="77777777" w:rsidR="00A66589" w:rsidRDefault="00A66589" w:rsidP="00090510">
      <w:pPr>
        <w:spacing w:line="360" w:lineRule="auto"/>
        <w:jc w:val="both"/>
        <w:rPr>
          <w:rFonts w:ascii="Arial" w:hAnsi="Arial" w:cs="Arial"/>
          <w:sz w:val="22"/>
          <w:szCs w:val="22"/>
        </w:rPr>
      </w:pPr>
    </w:p>
    <w:p w14:paraId="47230FF5" w14:textId="77777777" w:rsidR="004B6D9F" w:rsidRPr="00B31912" w:rsidRDefault="004B6D9F" w:rsidP="00090510">
      <w:pPr>
        <w:spacing w:line="360" w:lineRule="auto"/>
        <w:jc w:val="both"/>
        <w:rPr>
          <w:rFonts w:ascii="Arial" w:hAnsi="Arial" w:cs="Arial"/>
          <w:sz w:val="22"/>
          <w:szCs w:val="22"/>
        </w:rPr>
      </w:pPr>
    </w:p>
    <w:p w14:paraId="4AB2E475" w14:textId="264E47D8" w:rsidR="00C604A9" w:rsidRPr="00C604A9" w:rsidRDefault="00C604A9" w:rsidP="00090510">
      <w:pPr>
        <w:spacing w:line="360" w:lineRule="auto"/>
        <w:jc w:val="both"/>
        <w:rPr>
          <w:rFonts w:ascii="Arial" w:hAnsi="Arial" w:cs="Arial"/>
          <w:b/>
          <w:bCs/>
        </w:rPr>
      </w:pPr>
      <w:r w:rsidRPr="00C604A9">
        <w:rPr>
          <w:rFonts w:ascii="Arial" w:hAnsi="Arial" w:cs="Arial"/>
          <w:b/>
          <w:bCs/>
        </w:rPr>
        <w:lastRenderedPageBreak/>
        <w:t xml:space="preserve"> Analysis </w:t>
      </w:r>
    </w:p>
    <w:p w14:paraId="4BF32C9A" w14:textId="245A08C6" w:rsidR="00C604A9" w:rsidRPr="00C604A9" w:rsidRDefault="00C604A9" w:rsidP="00090510">
      <w:pPr>
        <w:spacing w:line="360" w:lineRule="auto"/>
        <w:jc w:val="both"/>
        <w:rPr>
          <w:rFonts w:ascii="Arial" w:hAnsi="Arial" w:cs="Arial"/>
        </w:rPr>
      </w:pPr>
      <w:r w:rsidRPr="00C604A9">
        <w:rPr>
          <w:rFonts w:ascii="Arial" w:hAnsi="Arial" w:cs="Arial"/>
        </w:rPr>
        <w:t>[</w:t>
      </w:r>
      <w:r>
        <w:rPr>
          <w:rFonts w:ascii="Arial" w:hAnsi="Arial" w:cs="Arial"/>
        </w:rPr>
        <w:t>2</w:t>
      </w:r>
      <w:r w:rsidR="00416400">
        <w:rPr>
          <w:rFonts w:ascii="Arial" w:hAnsi="Arial" w:cs="Arial"/>
        </w:rPr>
        <w:t>9</w:t>
      </w:r>
      <w:r w:rsidRPr="00C604A9">
        <w:rPr>
          <w:rFonts w:ascii="Arial" w:hAnsi="Arial" w:cs="Arial"/>
        </w:rPr>
        <w:t xml:space="preserve">] The resolution of the matter centres around the agreement that the parties concluded on 21 October 2019. It is against that agreement that </w:t>
      </w:r>
      <w:r w:rsidR="00687A62">
        <w:rPr>
          <w:rFonts w:ascii="Arial" w:hAnsi="Arial" w:cs="Arial"/>
        </w:rPr>
        <w:t xml:space="preserve">it </w:t>
      </w:r>
      <w:r w:rsidRPr="00C604A9">
        <w:rPr>
          <w:rFonts w:ascii="Arial" w:hAnsi="Arial" w:cs="Arial"/>
        </w:rPr>
        <w:t xml:space="preserve">can be determine whether the defence raised is bona fide and therefore raising </w:t>
      </w:r>
      <w:r w:rsidR="001C6C91">
        <w:rPr>
          <w:rFonts w:ascii="Arial" w:hAnsi="Arial" w:cs="Arial"/>
        </w:rPr>
        <w:t xml:space="preserve">any </w:t>
      </w:r>
      <w:r w:rsidRPr="00C604A9">
        <w:rPr>
          <w:rFonts w:ascii="Arial" w:hAnsi="Arial" w:cs="Arial"/>
        </w:rPr>
        <w:t xml:space="preserve">issue for trial. </w:t>
      </w:r>
    </w:p>
    <w:p w14:paraId="4B02F074" w14:textId="63EBF2C9" w:rsidR="00C604A9" w:rsidRDefault="00C604A9" w:rsidP="00090510">
      <w:pPr>
        <w:spacing w:line="360" w:lineRule="auto"/>
        <w:jc w:val="both"/>
        <w:rPr>
          <w:rFonts w:ascii="Arial" w:hAnsi="Arial" w:cs="Arial"/>
        </w:rPr>
      </w:pPr>
      <w:r w:rsidRPr="00C604A9">
        <w:rPr>
          <w:rFonts w:ascii="Arial" w:hAnsi="Arial" w:cs="Arial"/>
        </w:rPr>
        <w:t>[</w:t>
      </w:r>
      <w:r w:rsidR="00416400">
        <w:rPr>
          <w:rFonts w:ascii="Arial" w:hAnsi="Arial" w:cs="Arial"/>
        </w:rPr>
        <w:t>30</w:t>
      </w:r>
      <w:r w:rsidRPr="00C604A9">
        <w:rPr>
          <w:rFonts w:ascii="Arial" w:hAnsi="Arial" w:cs="Arial"/>
        </w:rPr>
        <w:t xml:space="preserve">] As already mentioned the agreement between the parties is common cause and has been admitted </w:t>
      </w:r>
      <w:r w:rsidR="00081F32">
        <w:rPr>
          <w:rFonts w:ascii="Arial" w:hAnsi="Arial" w:cs="Arial"/>
        </w:rPr>
        <w:t>as the one</w:t>
      </w:r>
      <w:r w:rsidRPr="00C604A9">
        <w:rPr>
          <w:rFonts w:ascii="Arial" w:hAnsi="Arial" w:cs="Arial"/>
        </w:rPr>
        <w:t xml:space="preserve"> governing the relationship between the parties. </w:t>
      </w:r>
      <w:r w:rsidR="0071384F">
        <w:rPr>
          <w:rFonts w:ascii="Arial" w:hAnsi="Arial" w:cs="Arial"/>
        </w:rPr>
        <w:t xml:space="preserve">The court will </w:t>
      </w:r>
      <w:r w:rsidR="00815CA4">
        <w:rPr>
          <w:rFonts w:ascii="Arial" w:hAnsi="Arial" w:cs="Arial"/>
        </w:rPr>
        <w:t>continue to consider each of the defences raised:</w:t>
      </w:r>
    </w:p>
    <w:p w14:paraId="2534E099" w14:textId="77777777" w:rsidR="00815CA4" w:rsidRDefault="00815CA4" w:rsidP="00090510">
      <w:pPr>
        <w:spacing w:line="360" w:lineRule="auto"/>
        <w:jc w:val="both"/>
        <w:rPr>
          <w:rFonts w:ascii="Arial" w:hAnsi="Arial" w:cs="Arial"/>
        </w:rPr>
      </w:pPr>
    </w:p>
    <w:p w14:paraId="23E0EA8F" w14:textId="4E8E29AC" w:rsidR="00815CA4" w:rsidRPr="00082B08" w:rsidRDefault="00815CA4" w:rsidP="00090510">
      <w:pPr>
        <w:spacing w:line="360" w:lineRule="auto"/>
        <w:jc w:val="both"/>
        <w:rPr>
          <w:rFonts w:ascii="Arial" w:hAnsi="Arial" w:cs="Arial"/>
          <w:b/>
          <w:bCs/>
        </w:rPr>
      </w:pPr>
      <w:r w:rsidRPr="00082B08">
        <w:rPr>
          <w:rFonts w:ascii="Arial" w:hAnsi="Arial" w:cs="Arial"/>
          <w:b/>
          <w:bCs/>
        </w:rPr>
        <w:t xml:space="preserve">Compliance </w:t>
      </w:r>
      <w:r w:rsidR="001E16C8" w:rsidRPr="00082B08">
        <w:rPr>
          <w:rFonts w:ascii="Arial" w:hAnsi="Arial" w:cs="Arial"/>
          <w:b/>
          <w:bCs/>
        </w:rPr>
        <w:t xml:space="preserve">with Rule 32(2) </w:t>
      </w:r>
    </w:p>
    <w:p w14:paraId="71137FE1" w14:textId="0F4B3AAC" w:rsidR="0071384F" w:rsidRDefault="00082B08" w:rsidP="00090510">
      <w:pPr>
        <w:spacing w:line="360" w:lineRule="auto"/>
        <w:jc w:val="both"/>
        <w:rPr>
          <w:rFonts w:ascii="Arial" w:hAnsi="Arial" w:cs="Arial"/>
        </w:rPr>
      </w:pPr>
      <w:r>
        <w:rPr>
          <w:rFonts w:ascii="Arial" w:hAnsi="Arial" w:cs="Arial"/>
        </w:rPr>
        <w:t>[3</w:t>
      </w:r>
      <w:r w:rsidR="00416400">
        <w:rPr>
          <w:rFonts w:ascii="Arial" w:hAnsi="Arial" w:cs="Arial"/>
        </w:rPr>
        <w:t>1</w:t>
      </w:r>
      <w:r>
        <w:rPr>
          <w:rFonts w:ascii="Arial" w:hAnsi="Arial" w:cs="Arial"/>
        </w:rPr>
        <w:t xml:space="preserve">] The defendants have raised a defence that summary </w:t>
      </w:r>
      <w:r w:rsidR="00380742">
        <w:rPr>
          <w:rFonts w:ascii="Arial" w:hAnsi="Arial" w:cs="Arial"/>
        </w:rPr>
        <w:t xml:space="preserve">judgment should fail as the plaintiff has not attached </w:t>
      </w:r>
      <w:r w:rsidR="00341B66">
        <w:rPr>
          <w:rFonts w:ascii="Arial" w:hAnsi="Arial" w:cs="Arial"/>
        </w:rPr>
        <w:t xml:space="preserve">the liquid document relied upon </w:t>
      </w:r>
      <w:r w:rsidR="00A32C1C">
        <w:rPr>
          <w:rFonts w:ascii="Arial" w:hAnsi="Arial" w:cs="Arial"/>
        </w:rPr>
        <w:t>when appl</w:t>
      </w:r>
      <w:r w:rsidR="00BF178D">
        <w:rPr>
          <w:rFonts w:ascii="Arial" w:hAnsi="Arial" w:cs="Arial"/>
        </w:rPr>
        <w:t>ying for summary judgment</w:t>
      </w:r>
      <w:r w:rsidR="00341B66">
        <w:rPr>
          <w:rFonts w:ascii="Arial" w:hAnsi="Arial" w:cs="Arial"/>
        </w:rPr>
        <w:t xml:space="preserve">. </w:t>
      </w:r>
      <w:r w:rsidR="00755DB5">
        <w:rPr>
          <w:rFonts w:ascii="Arial" w:hAnsi="Arial" w:cs="Arial"/>
        </w:rPr>
        <w:t xml:space="preserve">The particulars of claim of the plaintiff </w:t>
      </w:r>
      <w:r w:rsidR="005A6D67">
        <w:rPr>
          <w:rFonts w:ascii="Arial" w:hAnsi="Arial" w:cs="Arial"/>
        </w:rPr>
        <w:t xml:space="preserve">makes it clear that cause of action is </w:t>
      </w:r>
      <w:r w:rsidR="00C963A7">
        <w:rPr>
          <w:rFonts w:ascii="Arial" w:hAnsi="Arial" w:cs="Arial"/>
        </w:rPr>
        <w:t xml:space="preserve">breach of </w:t>
      </w:r>
      <w:r w:rsidR="00BF178D">
        <w:rPr>
          <w:rFonts w:ascii="Arial" w:hAnsi="Arial" w:cs="Arial"/>
        </w:rPr>
        <w:t>agreement as</w:t>
      </w:r>
      <w:r w:rsidR="00C963A7">
        <w:rPr>
          <w:rFonts w:ascii="Arial" w:hAnsi="Arial" w:cs="Arial"/>
        </w:rPr>
        <w:t xml:space="preserve"> result </w:t>
      </w:r>
      <w:r w:rsidR="00A341F1">
        <w:rPr>
          <w:rFonts w:ascii="Arial" w:hAnsi="Arial" w:cs="Arial"/>
        </w:rPr>
        <w:t xml:space="preserve">of which </w:t>
      </w:r>
      <w:r w:rsidR="00C963A7">
        <w:rPr>
          <w:rFonts w:ascii="Arial" w:hAnsi="Arial" w:cs="Arial"/>
        </w:rPr>
        <w:t>payments</w:t>
      </w:r>
      <w:r w:rsidR="00A341F1">
        <w:rPr>
          <w:rFonts w:ascii="Arial" w:hAnsi="Arial" w:cs="Arial"/>
        </w:rPr>
        <w:t xml:space="preserve"> </w:t>
      </w:r>
      <w:r w:rsidR="00C963A7">
        <w:rPr>
          <w:rFonts w:ascii="Arial" w:hAnsi="Arial" w:cs="Arial"/>
        </w:rPr>
        <w:t>were not done. The defen</w:t>
      </w:r>
      <w:r w:rsidR="006D5484">
        <w:rPr>
          <w:rFonts w:ascii="Arial" w:hAnsi="Arial" w:cs="Arial"/>
        </w:rPr>
        <w:t xml:space="preserve">dants do not dispute </w:t>
      </w:r>
      <w:r w:rsidR="00F267D3">
        <w:rPr>
          <w:rFonts w:ascii="Arial" w:hAnsi="Arial" w:cs="Arial"/>
        </w:rPr>
        <w:t>there did not pay the invoices which were presented by the plaintiff</w:t>
      </w:r>
      <w:r w:rsidR="006D5484">
        <w:rPr>
          <w:rFonts w:ascii="Arial" w:hAnsi="Arial" w:cs="Arial"/>
        </w:rPr>
        <w:t xml:space="preserve">. </w:t>
      </w:r>
    </w:p>
    <w:p w14:paraId="03148743" w14:textId="035707C3" w:rsidR="004B707F" w:rsidRDefault="009A2331" w:rsidP="00090510">
      <w:pPr>
        <w:spacing w:line="360" w:lineRule="auto"/>
        <w:jc w:val="both"/>
        <w:rPr>
          <w:rFonts w:ascii="Arial" w:hAnsi="Arial" w:cs="Arial"/>
        </w:rPr>
      </w:pPr>
      <w:r>
        <w:rPr>
          <w:rFonts w:ascii="Arial" w:hAnsi="Arial" w:cs="Arial"/>
        </w:rPr>
        <w:t>[3</w:t>
      </w:r>
      <w:r w:rsidR="00416400">
        <w:rPr>
          <w:rFonts w:ascii="Arial" w:hAnsi="Arial" w:cs="Arial"/>
        </w:rPr>
        <w:t>2</w:t>
      </w:r>
      <w:r>
        <w:rPr>
          <w:rFonts w:ascii="Arial" w:hAnsi="Arial" w:cs="Arial"/>
        </w:rPr>
        <w:t xml:space="preserve">] </w:t>
      </w:r>
      <w:r w:rsidR="00443BE7" w:rsidRPr="00443BE7">
        <w:rPr>
          <w:rFonts w:ascii="Arial" w:hAnsi="Arial" w:cs="Arial"/>
        </w:rPr>
        <w:t>The Plaintiff’s application for summary judgement is based on the fact that its claim is for a liquidated sum of money</w:t>
      </w:r>
      <w:r w:rsidR="004B707F">
        <w:rPr>
          <w:rFonts w:ascii="Arial" w:hAnsi="Arial" w:cs="Arial"/>
        </w:rPr>
        <w:t xml:space="preserve">. </w:t>
      </w:r>
    </w:p>
    <w:p w14:paraId="1E145C12" w14:textId="4BF4E36C" w:rsidR="009A2331" w:rsidRDefault="004B707F" w:rsidP="00090510">
      <w:pPr>
        <w:spacing w:line="360" w:lineRule="auto"/>
        <w:jc w:val="both"/>
        <w:rPr>
          <w:rFonts w:ascii="Arial" w:hAnsi="Arial" w:cs="Arial"/>
        </w:rPr>
      </w:pPr>
      <w:r>
        <w:rPr>
          <w:rFonts w:ascii="Arial" w:hAnsi="Arial" w:cs="Arial"/>
        </w:rPr>
        <w:t>[3</w:t>
      </w:r>
      <w:r w:rsidR="00416400">
        <w:rPr>
          <w:rFonts w:ascii="Arial" w:hAnsi="Arial" w:cs="Arial"/>
        </w:rPr>
        <w:t>3</w:t>
      </w:r>
      <w:r>
        <w:rPr>
          <w:rFonts w:ascii="Arial" w:hAnsi="Arial" w:cs="Arial"/>
        </w:rPr>
        <w:t>] I am satisfied that t</w:t>
      </w:r>
      <w:r w:rsidRPr="004B707F">
        <w:rPr>
          <w:rFonts w:ascii="Arial" w:hAnsi="Arial" w:cs="Arial"/>
        </w:rPr>
        <w:t xml:space="preserve">he production of  </w:t>
      </w:r>
      <w:r w:rsidR="005924FE">
        <w:rPr>
          <w:rFonts w:ascii="Arial" w:hAnsi="Arial" w:cs="Arial"/>
        </w:rPr>
        <w:t>a</w:t>
      </w:r>
      <w:r w:rsidRPr="004B707F">
        <w:rPr>
          <w:rFonts w:ascii="Arial" w:hAnsi="Arial" w:cs="Arial"/>
        </w:rPr>
        <w:t xml:space="preserve"> certificate of balance is not</w:t>
      </w:r>
      <w:r w:rsidR="008746C6">
        <w:rPr>
          <w:rFonts w:ascii="Arial" w:hAnsi="Arial" w:cs="Arial"/>
        </w:rPr>
        <w:t xml:space="preserve"> </w:t>
      </w:r>
      <w:r w:rsidR="00D62348">
        <w:rPr>
          <w:rFonts w:ascii="Arial" w:hAnsi="Arial" w:cs="Arial"/>
        </w:rPr>
        <w:t>required and that as submitted by the plaintiff</w:t>
      </w:r>
      <w:r w:rsidR="00960BD6">
        <w:rPr>
          <w:rFonts w:ascii="Arial" w:hAnsi="Arial" w:cs="Arial"/>
        </w:rPr>
        <w:t>, the</w:t>
      </w:r>
      <w:r w:rsidRPr="004B707F">
        <w:rPr>
          <w:rFonts w:ascii="Arial" w:hAnsi="Arial" w:cs="Arial"/>
        </w:rPr>
        <w:t xml:space="preserve"> certificate of balance is </w:t>
      </w:r>
      <w:r w:rsidR="00960BD6">
        <w:rPr>
          <w:rFonts w:ascii="Arial" w:hAnsi="Arial" w:cs="Arial"/>
        </w:rPr>
        <w:t xml:space="preserve">merely </w:t>
      </w:r>
      <w:r w:rsidRPr="004B707F">
        <w:rPr>
          <w:rFonts w:ascii="Arial" w:hAnsi="Arial" w:cs="Arial"/>
        </w:rPr>
        <w:t>an evidentiary tool to facilitate proof of the quantum of the amount claimed and serves as prima facie proof thereof</w:t>
      </w:r>
      <w:r w:rsidR="00C67B13">
        <w:rPr>
          <w:rFonts w:ascii="Arial" w:hAnsi="Arial" w:cs="Arial"/>
        </w:rPr>
        <w:t xml:space="preserve">. </w:t>
      </w:r>
      <w:r w:rsidR="000F4C8C">
        <w:rPr>
          <w:rFonts w:ascii="Arial" w:hAnsi="Arial" w:cs="Arial"/>
        </w:rPr>
        <w:t>In</w:t>
      </w:r>
      <w:r w:rsidR="00815207">
        <w:rPr>
          <w:rFonts w:ascii="Arial" w:hAnsi="Arial" w:cs="Arial"/>
        </w:rPr>
        <w:t xml:space="preserve"> the premises it is found that the point </w:t>
      </w:r>
      <w:r w:rsidR="007D464A">
        <w:rPr>
          <w:rFonts w:ascii="Arial" w:hAnsi="Arial" w:cs="Arial"/>
        </w:rPr>
        <w:t xml:space="preserve">in </w:t>
      </w:r>
      <w:r w:rsidR="00815207">
        <w:rPr>
          <w:rFonts w:ascii="Arial" w:hAnsi="Arial" w:cs="Arial"/>
        </w:rPr>
        <w:t xml:space="preserve">limine </w:t>
      </w:r>
      <w:r w:rsidR="008B2A39">
        <w:rPr>
          <w:rFonts w:ascii="Arial" w:hAnsi="Arial" w:cs="Arial"/>
        </w:rPr>
        <w:t xml:space="preserve">raised should fail as </w:t>
      </w:r>
      <w:r w:rsidR="00E72AC3" w:rsidRPr="00E72AC3">
        <w:rPr>
          <w:rFonts w:ascii="Arial" w:hAnsi="Arial" w:cs="Arial"/>
        </w:rPr>
        <w:t>Rule 32(2)(c) does not apply</w:t>
      </w:r>
      <w:r w:rsidR="00E72AC3">
        <w:rPr>
          <w:rFonts w:ascii="Arial" w:hAnsi="Arial" w:cs="Arial"/>
        </w:rPr>
        <w:t>.</w:t>
      </w:r>
    </w:p>
    <w:p w14:paraId="4E06B8C6" w14:textId="77777777" w:rsidR="00F039A5" w:rsidRDefault="00F039A5" w:rsidP="00090510">
      <w:pPr>
        <w:spacing w:line="360" w:lineRule="auto"/>
        <w:jc w:val="both"/>
        <w:rPr>
          <w:rFonts w:ascii="Arial" w:hAnsi="Arial" w:cs="Arial"/>
        </w:rPr>
      </w:pPr>
    </w:p>
    <w:p w14:paraId="4C422BAD" w14:textId="438B1248" w:rsidR="00F039A5" w:rsidRPr="00820BD5" w:rsidRDefault="00F039A5" w:rsidP="00090510">
      <w:pPr>
        <w:spacing w:line="360" w:lineRule="auto"/>
        <w:jc w:val="both"/>
        <w:rPr>
          <w:rFonts w:ascii="Arial" w:hAnsi="Arial" w:cs="Arial"/>
          <w:b/>
          <w:bCs/>
        </w:rPr>
      </w:pPr>
      <w:r w:rsidRPr="00820BD5">
        <w:rPr>
          <w:rFonts w:ascii="Arial" w:hAnsi="Arial" w:cs="Arial"/>
          <w:b/>
          <w:bCs/>
        </w:rPr>
        <w:t>Whether the defendants are entitled to withhold payment</w:t>
      </w:r>
      <w:r w:rsidR="00820BD5" w:rsidRPr="00820BD5">
        <w:rPr>
          <w:rFonts w:ascii="Arial" w:hAnsi="Arial" w:cs="Arial"/>
          <w:b/>
          <w:bCs/>
        </w:rPr>
        <w:t xml:space="preserve"> due to non-payment by Transnet</w:t>
      </w:r>
    </w:p>
    <w:p w14:paraId="55DE5E78" w14:textId="12758C0E" w:rsidR="0071384F" w:rsidRDefault="00820BD5" w:rsidP="00090510">
      <w:pPr>
        <w:spacing w:line="360" w:lineRule="auto"/>
        <w:jc w:val="both"/>
        <w:rPr>
          <w:rFonts w:ascii="Arial" w:hAnsi="Arial" w:cs="Arial"/>
        </w:rPr>
      </w:pPr>
      <w:r>
        <w:rPr>
          <w:rFonts w:ascii="Arial" w:hAnsi="Arial" w:cs="Arial"/>
        </w:rPr>
        <w:t>[3</w:t>
      </w:r>
      <w:r w:rsidR="00416400">
        <w:rPr>
          <w:rFonts w:ascii="Arial" w:hAnsi="Arial" w:cs="Arial"/>
        </w:rPr>
        <w:t>4</w:t>
      </w:r>
      <w:r>
        <w:rPr>
          <w:rFonts w:ascii="Arial" w:hAnsi="Arial" w:cs="Arial"/>
        </w:rPr>
        <w:t xml:space="preserve">] This issue became a </w:t>
      </w:r>
      <w:r w:rsidR="009610DF">
        <w:rPr>
          <w:rFonts w:ascii="Arial" w:hAnsi="Arial" w:cs="Arial"/>
        </w:rPr>
        <w:t>main</w:t>
      </w:r>
      <w:r>
        <w:rPr>
          <w:rFonts w:ascii="Arial" w:hAnsi="Arial" w:cs="Arial"/>
        </w:rPr>
        <w:t xml:space="preserve"> </w:t>
      </w:r>
      <w:r w:rsidR="009610DF">
        <w:rPr>
          <w:rFonts w:ascii="Arial" w:hAnsi="Arial" w:cs="Arial"/>
        </w:rPr>
        <w:t xml:space="preserve">trust </w:t>
      </w:r>
      <w:r>
        <w:rPr>
          <w:rFonts w:ascii="Arial" w:hAnsi="Arial" w:cs="Arial"/>
        </w:rPr>
        <w:t>of the defendants</w:t>
      </w:r>
      <w:r w:rsidR="00EF320D">
        <w:rPr>
          <w:rFonts w:ascii="Arial" w:hAnsi="Arial" w:cs="Arial"/>
        </w:rPr>
        <w:t>’</w:t>
      </w:r>
      <w:r w:rsidR="009610DF">
        <w:rPr>
          <w:rFonts w:ascii="Arial" w:hAnsi="Arial" w:cs="Arial"/>
        </w:rPr>
        <w:t xml:space="preserve"> defence to resist the summary judgment application</w:t>
      </w:r>
      <w:r w:rsidR="00EF320D">
        <w:rPr>
          <w:rFonts w:ascii="Arial" w:hAnsi="Arial" w:cs="Arial"/>
        </w:rPr>
        <w:t>. Th</w:t>
      </w:r>
      <w:r w:rsidR="005B6CE1">
        <w:rPr>
          <w:rFonts w:ascii="Arial" w:hAnsi="Arial" w:cs="Arial"/>
        </w:rPr>
        <w:t>e defendants spen</w:t>
      </w:r>
      <w:r w:rsidR="007869D8">
        <w:rPr>
          <w:rFonts w:ascii="Arial" w:hAnsi="Arial" w:cs="Arial"/>
        </w:rPr>
        <w:t xml:space="preserve">t </w:t>
      </w:r>
      <w:r w:rsidR="00D10FD9">
        <w:rPr>
          <w:rFonts w:ascii="Arial" w:hAnsi="Arial" w:cs="Arial"/>
        </w:rPr>
        <w:t>an</w:t>
      </w:r>
      <w:r w:rsidR="007869D8">
        <w:rPr>
          <w:rFonts w:ascii="Arial" w:hAnsi="Arial" w:cs="Arial"/>
        </w:rPr>
        <w:t xml:space="preserve"> enormous amount of energy to</w:t>
      </w:r>
      <w:r w:rsidR="00EF320D">
        <w:rPr>
          <w:rFonts w:ascii="Arial" w:hAnsi="Arial" w:cs="Arial"/>
        </w:rPr>
        <w:t xml:space="preserve"> illustrat</w:t>
      </w:r>
      <w:r w:rsidR="000B68D4">
        <w:rPr>
          <w:rFonts w:ascii="Arial" w:hAnsi="Arial" w:cs="Arial"/>
        </w:rPr>
        <w:t>e</w:t>
      </w:r>
      <w:r w:rsidR="00EF320D">
        <w:rPr>
          <w:rFonts w:ascii="Arial" w:hAnsi="Arial" w:cs="Arial"/>
        </w:rPr>
        <w:t xml:space="preserve"> th</w:t>
      </w:r>
      <w:r w:rsidR="000B68D4">
        <w:rPr>
          <w:rFonts w:ascii="Arial" w:hAnsi="Arial" w:cs="Arial"/>
        </w:rPr>
        <w:t>e</w:t>
      </w:r>
      <w:r w:rsidR="00EF320D">
        <w:rPr>
          <w:rFonts w:ascii="Arial" w:hAnsi="Arial" w:cs="Arial"/>
        </w:rPr>
        <w:t xml:space="preserve"> relationships</w:t>
      </w:r>
      <w:r w:rsidR="000B68D4">
        <w:rPr>
          <w:rFonts w:ascii="Arial" w:hAnsi="Arial" w:cs="Arial"/>
        </w:rPr>
        <w:t xml:space="preserve"> with</w:t>
      </w:r>
      <w:r w:rsidR="00EF320D">
        <w:rPr>
          <w:rFonts w:ascii="Arial" w:hAnsi="Arial" w:cs="Arial"/>
        </w:rPr>
        <w:t xml:space="preserve"> Transnet. </w:t>
      </w:r>
      <w:r w:rsidR="00712A8C">
        <w:rPr>
          <w:rFonts w:ascii="Arial" w:hAnsi="Arial" w:cs="Arial"/>
        </w:rPr>
        <w:t xml:space="preserve">It </w:t>
      </w:r>
      <w:r w:rsidR="000B68D4">
        <w:rPr>
          <w:rFonts w:ascii="Arial" w:hAnsi="Arial" w:cs="Arial"/>
        </w:rPr>
        <w:t>is,</w:t>
      </w:r>
      <w:r w:rsidR="00712A8C">
        <w:rPr>
          <w:rFonts w:ascii="Arial" w:hAnsi="Arial" w:cs="Arial"/>
        </w:rPr>
        <w:t xml:space="preserve"> however, clear that the contractual relationship </w:t>
      </w:r>
      <w:r w:rsidR="00A50B36">
        <w:rPr>
          <w:rFonts w:ascii="Arial" w:hAnsi="Arial" w:cs="Arial"/>
        </w:rPr>
        <w:t xml:space="preserve">was between the plaintiff and the first defendant. The plaintiff </w:t>
      </w:r>
      <w:r w:rsidR="00E57581">
        <w:rPr>
          <w:rFonts w:ascii="Arial" w:hAnsi="Arial" w:cs="Arial"/>
        </w:rPr>
        <w:t xml:space="preserve">had no relationship with Transnet. As a matter of fact, the plaintiff </w:t>
      </w:r>
      <w:r w:rsidR="00352400">
        <w:rPr>
          <w:rFonts w:ascii="Arial" w:hAnsi="Arial" w:cs="Arial"/>
        </w:rPr>
        <w:t xml:space="preserve">was an unsuccessful bidder to the tender that was </w:t>
      </w:r>
      <w:r w:rsidR="00EB7E30">
        <w:rPr>
          <w:rFonts w:ascii="Arial" w:hAnsi="Arial" w:cs="Arial"/>
        </w:rPr>
        <w:t>subsequently awarded to the first defendant.</w:t>
      </w:r>
    </w:p>
    <w:p w14:paraId="594CD895" w14:textId="601A83D3" w:rsidR="00B01232" w:rsidRDefault="00B01232" w:rsidP="00090510">
      <w:pPr>
        <w:spacing w:line="360" w:lineRule="auto"/>
        <w:jc w:val="both"/>
        <w:rPr>
          <w:rFonts w:ascii="Arial" w:hAnsi="Arial" w:cs="Arial"/>
        </w:rPr>
      </w:pPr>
      <w:r>
        <w:rPr>
          <w:rFonts w:ascii="Arial" w:hAnsi="Arial" w:cs="Arial"/>
        </w:rPr>
        <w:t>[3</w:t>
      </w:r>
      <w:r w:rsidR="00416400">
        <w:rPr>
          <w:rFonts w:ascii="Arial" w:hAnsi="Arial" w:cs="Arial"/>
        </w:rPr>
        <w:t>5</w:t>
      </w:r>
      <w:r>
        <w:rPr>
          <w:rFonts w:ascii="Arial" w:hAnsi="Arial" w:cs="Arial"/>
        </w:rPr>
        <w:t xml:space="preserve">] </w:t>
      </w:r>
      <w:r w:rsidR="00865607">
        <w:rPr>
          <w:rFonts w:ascii="Arial" w:hAnsi="Arial" w:cs="Arial"/>
        </w:rPr>
        <w:t xml:space="preserve">The defendants have submitted that </w:t>
      </w:r>
      <w:r w:rsidR="004042DB">
        <w:rPr>
          <w:rFonts w:ascii="Arial" w:hAnsi="Arial" w:cs="Arial"/>
        </w:rPr>
        <w:t>they</w:t>
      </w:r>
      <w:r w:rsidR="00A91BA9">
        <w:rPr>
          <w:rFonts w:ascii="Arial" w:hAnsi="Arial" w:cs="Arial"/>
        </w:rPr>
        <w:t xml:space="preserve"> provided the specifications </w:t>
      </w:r>
      <w:r w:rsidR="0066072F">
        <w:rPr>
          <w:rFonts w:ascii="Arial" w:hAnsi="Arial" w:cs="Arial"/>
        </w:rPr>
        <w:t xml:space="preserve">of Transnet to the plaintiff so that the goods </w:t>
      </w:r>
      <w:r w:rsidR="00753A4F">
        <w:rPr>
          <w:rFonts w:ascii="Arial" w:hAnsi="Arial" w:cs="Arial"/>
        </w:rPr>
        <w:t xml:space="preserve">to be supplied by </w:t>
      </w:r>
      <w:r w:rsidR="00D131BD">
        <w:rPr>
          <w:rFonts w:ascii="Arial" w:hAnsi="Arial" w:cs="Arial"/>
        </w:rPr>
        <w:t>th</w:t>
      </w:r>
      <w:r w:rsidR="00615739">
        <w:rPr>
          <w:rFonts w:ascii="Arial" w:hAnsi="Arial" w:cs="Arial"/>
        </w:rPr>
        <w:t>e plaintiff was to be compliant with the said spe</w:t>
      </w:r>
      <w:r w:rsidR="008153D3">
        <w:rPr>
          <w:rFonts w:ascii="Arial" w:hAnsi="Arial" w:cs="Arial"/>
        </w:rPr>
        <w:t>ci</w:t>
      </w:r>
      <w:r w:rsidR="00615739">
        <w:rPr>
          <w:rFonts w:ascii="Arial" w:hAnsi="Arial" w:cs="Arial"/>
        </w:rPr>
        <w:t xml:space="preserve">fications. </w:t>
      </w:r>
      <w:r w:rsidR="008153D3">
        <w:rPr>
          <w:rFonts w:ascii="Arial" w:hAnsi="Arial" w:cs="Arial"/>
        </w:rPr>
        <w:t xml:space="preserve">It </w:t>
      </w:r>
      <w:r w:rsidR="00AA4FD9">
        <w:rPr>
          <w:rFonts w:ascii="Arial" w:hAnsi="Arial" w:cs="Arial"/>
        </w:rPr>
        <w:t xml:space="preserve">is </w:t>
      </w:r>
      <w:r w:rsidR="008153D3">
        <w:rPr>
          <w:rFonts w:ascii="Arial" w:hAnsi="Arial" w:cs="Arial"/>
        </w:rPr>
        <w:t xml:space="preserve">further submitted by the defendants </w:t>
      </w:r>
      <w:r w:rsidR="00391C71">
        <w:rPr>
          <w:rFonts w:ascii="Arial" w:hAnsi="Arial" w:cs="Arial"/>
        </w:rPr>
        <w:t xml:space="preserve">that </w:t>
      </w:r>
      <w:r w:rsidR="00C55798">
        <w:rPr>
          <w:rFonts w:ascii="Arial" w:hAnsi="Arial" w:cs="Arial"/>
        </w:rPr>
        <w:t xml:space="preserve">because the </w:t>
      </w:r>
      <w:r w:rsidR="00C55798">
        <w:rPr>
          <w:rFonts w:ascii="Arial" w:hAnsi="Arial" w:cs="Arial"/>
        </w:rPr>
        <w:lastRenderedPageBreak/>
        <w:t xml:space="preserve">goods were rejected by its client (Transnet), for non-compliance, </w:t>
      </w:r>
      <w:r w:rsidR="001E0524">
        <w:rPr>
          <w:rFonts w:ascii="Arial" w:hAnsi="Arial" w:cs="Arial"/>
        </w:rPr>
        <w:t>first defendant</w:t>
      </w:r>
      <w:r w:rsidR="00C55798">
        <w:rPr>
          <w:rFonts w:ascii="Arial" w:hAnsi="Arial" w:cs="Arial"/>
        </w:rPr>
        <w:t xml:space="preserve"> was not </w:t>
      </w:r>
      <w:r w:rsidR="000C18DA">
        <w:rPr>
          <w:rFonts w:ascii="Arial" w:hAnsi="Arial" w:cs="Arial"/>
        </w:rPr>
        <w:t xml:space="preserve">liable to pay the plaintiff. </w:t>
      </w:r>
    </w:p>
    <w:p w14:paraId="541984B2" w14:textId="261EB1E2" w:rsidR="000C18DA" w:rsidRDefault="00DD2B70" w:rsidP="00090510">
      <w:pPr>
        <w:spacing w:line="360" w:lineRule="auto"/>
        <w:jc w:val="both"/>
        <w:rPr>
          <w:rFonts w:ascii="Arial" w:hAnsi="Arial" w:cs="Arial"/>
        </w:rPr>
      </w:pPr>
      <w:r>
        <w:rPr>
          <w:rFonts w:ascii="Arial" w:hAnsi="Arial" w:cs="Arial"/>
        </w:rPr>
        <w:t>[3</w:t>
      </w:r>
      <w:r w:rsidR="00416400">
        <w:rPr>
          <w:rFonts w:ascii="Arial" w:hAnsi="Arial" w:cs="Arial"/>
        </w:rPr>
        <w:t>6</w:t>
      </w:r>
      <w:r>
        <w:rPr>
          <w:rFonts w:ascii="Arial" w:hAnsi="Arial" w:cs="Arial"/>
        </w:rPr>
        <w:t xml:space="preserve">] According to the defendants </w:t>
      </w:r>
      <w:r w:rsidR="002F27DC">
        <w:rPr>
          <w:rFonts w:ascii="Arial" w:hAnsi="Arial" w:cs="Arial"/>
        </w:rPr>
        <w:t>it</w:t>
      </w:r>
      <w:r w:rsidR="003A5BB3">
        <w:rPr>
          <w:rFonts w:ascii="Arial" w:hAnsi="Arial" w:cs="Arial"/>
        </w:rPr>
        <w:t xml:space="preserve"> was </w:t>
      </w:r>
      <w:r w:rsidR="008C6708">
        <w:rPr>
          <w:rFonts w:ascii="Arial" w:hAnsi="Arial" w:cs="Arial"/>
        </w:rPr>
        <w:t xml:space="preserve">an express, alternatively tacit, alternatively implied </w:t>
      </w:r>
      <w:r w:rsidR="001E5F4C">
        <w:rPr>
          <w:rFonts w:ascii="Arial" w:hAnsi="Arial" w:cs="Arial"/>
        </w:rPr>
        <w:t xml:space="preserve">term of the agreement (credit agreement) </w:t>
      </w:r>
      <w:r w:rsidR="00F07908">
        <w:rPr>
          <w:rFonts w:ascii="Arial" w:hAnsi="Arial" w:cs="Arial"/>
        </w:rPr>
        <w:t>that</w:t>
      </w:r>
      <w:r w:rsidR="00B25FD1">
        <w:rPr>
          <w:rFonts w:ascii="Arial" w:hAnsi="Arial" w:cs="Arial"/>
        </w:rPr>
        <w:t xml:space="preserve"> </w:t>
      </w:r>
      <w:r w:rsidR="001E5F4C">
        <w:rPr>
          <w:rFonts w:ascii="Arial" w:hAnsi="Arial" w:cs="Arial"/>
        </w:rPr>
        <w:t xml:space="preserve">the </w:t>
      </w:r>
      <w:r w:rsidR="00B25FD1">
        <w:rPr>
          <w:rFonts w:ascii="Arial" w:hAnsi="Arial" w:cs="Arial"/>
        </w:rPr>
        <w:t xml:space="preserve">goods </w:t>
      </w:r>
      <w:r w:rsidR="001E5F4C">
        <w:rPr>
          <w:rFonts w:ascii="Arial" w:hAnsi="Arial" w:cs="Arial"/>
        </w:rPr>
        <w:t>suppl</w:t>
      </w:r>
      <w:r w:rsidR="00F07908">
        <w:rPr>
          <w:rFonts w:ascii="Arial" w:hAnsi="Arial" w:cs="Arial"/>
        </w:rPr>
        <w:t>ied</w:t>
      </w:r>
      <w:r w:rsidR="001E5F4C">
        <w:rPr>
          <w:rFonts w:ascii="Arial" w:hAnsi="Arial" w:cs="Arial"/>
        </w:rPr>
        <w:t xml:space="preserve"> </w:t>
      </w:r>
      <w:r w:rsidR="00287BE3">
        <w:rPr>
          <w:rFonts w:ascii="Arial" w:hAnsi="Arial" w:cs="Arial"/>
        </w:rPr>
        <w:t>by the plaintiff</w:t>
      </w:r>
      <w:r w:rsidR="00DE109C">
        <w:rPr>
          <w:rFonts w:ascii="Arial" w:hAnsi="Arial" w:cs="Arial"/>
        </w:rPr>
        <w:t xml:space="preserve"> </w:t>
      </w:r>
      <w:r w:rsidR="00151AB0">
        <w:rPr>
          <w:rFonts w:ascii="Arial" w:hAnsi="Arial" w:cs="Arial"/>
        </w:rPr>
        <w:t xml:space="preserve">would </w:t>
      </w:r>
      <w:r w:rsidR="00DE109C">
        <w:rPr>
          <w:rFonts w:ascii="Arial" w:hAnsi="Arial" w:cs="Arial"/>
        </w:rPr>
        <w:t xml:space="preserve">be manufactured and produced </w:t>
      </w:r>
      <w:r w:rsidR="00F27602">
        <w:rPr>
          <w:rFonts w:ascii="Arial" w:hAnsi="Arial" w:cs="Arial"/>
        </w:rPr>
        <w:t>in accordance</w:t>
      </w:r>
      <w:r w:rsidR="00450DBD">
        <w:rPr>
          <w:rFonts w:ascii="Arial" w:hAnsi="Arial" w:cs="Arial"/>
        </w:rPr>
        <w:t xml:space="preserve"> with the Transnet’s </w:t>
      </w:r>
      <w:r w:rsidR="00A66589">
        <w:rPr>
          <w:rFonts w:ascii="Arial" w:hAnsi="Arial" w:cs="Arial"/>
        </w:rPr>
        <w:t xml:space="preserve">specifications. </w:t>
      </w:r>
    </w:p>
    <w:p w14:paraId="16C57E33" w14:textId="1FA2B58F" w:rsidR="008D7C1D" w:rsidRDefault="000B1773" w:rsidP="00090510">
      <w:pPr>
        <w:spacing w:line="360" w:lineRule="auto"/>
        <w:jc w:val="both"/>
      </w:pPr>
      <w:r>
        <w:rPr>
          <w:rFonts w:ascii="Arial" w:hAnsi="Arial" w:cs="Arial"/>
        </w:rPr>
        <w:t>[3</w:t>
      </w:r>
      <w:r w:rsidR="00416400">
        <w:rPr>
          <w:rFonts w:ascii="Arial" w:hAnsi="Arial" w:cs="Arial"/>
        </w:rPr>
        <w:t>7</w:t>
      </w:r>
      <w:r>
        <w:rPr>
          <w:rFonts w:ascii="Arial" w:hAnsi="Arial" w:cs="Arial"/>
        </w:rPr>
        <w:t xml:space="preserve">] The defendants have admitted </w:t>
      </w:r>
      <w:r w:rsidR="00A37F8C">
        <w:rPr>
          <w:rFonts w:ascii="Arial" w:hAnsi="Arial" w:cs="Arial"/>
        </w:rPr>
        <w:t>in their plea that</w:t>
      </w:r>
      <w:r w:rsidRPr="000B1773">
        <w:rPr>
          <w:rFonts w:ascii="Arial" w:hAnsi="Arial" w:cs="Arial"/>
        </w:rPr>
        <w:t xml:space="preserve"> the written terms of the credit agreement were accepted</w:t>
      </w:r>
      <w:r w:rsidR="00A37F8C">
        <w:rPr>
          <w:rFonts w:ascii="Arial" w:hAnsi="Arial" w:cs="Arial"/>
        </w:rPr>
        <w:t xml:space="preserve"> </w:t>
      </w:r>
      <w:r w:rsidRPr="000B1773">
        <w:rPr>
          <w:rFonts w:ascii="Arial" w:hAnsi="Arial" w:cs="Arial"/>
        </w:rPr>
        <w:t xml:space="preserve">and that the </w:t>
      </w:r>
      <w:r w:rsidR="00A37F8C">
        <w:rPr>
          <w:rFonts w:ascii="Arial" w:hAnsi="Arial" w:cs="Arial"/>
        </w:rPr>
        <w:t>d</w:t>
      </w:r>
      <w:r w:rsidRPr="000B1773">
        <w:rPr>
          <w:rFonts w:ascii="Arial" w:hAnsi="Arial" w:cs="Arial"/>
        </w:rPr>
        <w:t>efendants had knowledge of those terms prior to accepting the general terms and conditions.</w:t>
      </w:r>
      <w:r w:rsidR="006E05A8" w:rsidRPr="006E05A8">
        <w:t xml:space="preserve"> </w:t>
      </w:r>
    </w:p>
    <w:p w14:paraId="755CD474" w14:textId="67F72A82" w:rsidR="00C604A9" w:rsidRDefault="008D7C1D" w:rsidP="00090510">
      <w:pPr>
        <w:spacing w:line="360" w:lineRule="auto"/>
        <w:jc w:val="both"/>
        <w:rPr>
          <w:rFonts w:ascii="Arial" w:hAnsi="Arial" w:cs="Arial"/>
        </w:rPr>
      </w:pPr>
      <w:r w:rsidRPr="00D8433B">
        <w:rPr>
          <w:rFonts w:ascii="Arial" w:hAnsi="Arial" w:cs="Arial"/>
        </w:rPr>
        <w:t>[3</w:t>
      </w:r>
      <w:r w:rsidR="00D8433B">
        <w:rPr>
          <w:rFonts w:ascii="Arial" w:hAnsi="Arial" w:cs="Arial"/>
        </w:rPr>
        <w:t>8</w:t>
      </w:r>
      <w:r w:rsidRPr="00D8433B">
        <w:rPr>
          <w:rFonts w:ascii="Arial" w:hAnsi="Arial" w:cs="Arial"/>
        </w:rPr>
        <w:t>]</w:t>
      </w:r>
      <w:r>
        <w:t xml:space="preserve"> </w:t>
      </w:r>
      <w:r w:rsidR="00CA0D25">
        <w:rPr>
          <w:rFonts w:ascii="Arial" w:hAnsi="Arial" w:cs="Arial"/>
        </w:rPr>
        <w:t>C</w:t>
      </w:r>
      <w:r w:rsidR="006E05A8" w:rsidRPr="006E05A8">
        <w:rPr>
          <w:rFonts w:ascii="Arial" w:hAnsi="Arial" w:cs="Arial"/>
        </w:rPr>
        <w:t>lause 20</w:t>
      </w:r>
      <w:r w:rsidR="002B3B26">
        <w:rPr>
          <w:rFonts w:ascii="Arial" w:hAnsi="Arial" w:cs="Arial"/>
        </w:rPr>
        <w:t xml:space="preserve"> of the credit agreement</w:t>
      </w:r>
      <w:r w:rsidR="006E05A8" w:rsidRPr="006E05A8">
        <w:rPr>
          <w:rFonts w:ascii="Arial" w:hAnsi="Arial" w:cs="Arial"/>
        </w:rPr>
        <w:t xml:space="preserve"> provides that “…</w:t>
      </w:r>
      <w:r w:rsidR="006E05A8" w:rsidRPr="00BD489B">
        <w:rPr>
          <w:rFonts w:ascii="Arial" w:hAnsi="Arial" w:cs="Arial"/>
          <w:i/>
          <w:iCs/>
        </w:rPr>
        <w:t>The Purchaser shall not for any reason whatsoever withhold payment from the Seller in respect of such goods</w:t>
      </w:r>
      <w:r w:rsidR="006E05A8" w:rsidRPr="006E05A8">
        <w:rPr>
          <w:rFonts w:ascii="Arial" w:hAnsi="Arial" w:cs="Arial"/>
        </w:rPr>
        <w:t>.</w:t>
      </w:r>
    </w:p>
    <w:p w14:paraId="7F3670D0" w14:textId="77777777" w:rsidR="00C93CD3" w:rsidRDefault="006E05A8" w:rsidP="00090510">
      <w:pPr>
        <w:spacing w:line="360" w:lineRule="auto"/>
        <w:jc w:val="both"/>
        <w:rPr>
          <w:rFonts w:ascii="Arial" w:hAnsi="Arial" w:cs="Arial"/>
        </w:rPr>
      </w:pPr>
      <w:r>
        <w:rPr>
          <w:rFonts w:ascii="Arial" w:hAnsi="Arial" w:cs="Arial"/>
        </w:rPr>
        <w:t>[3</w:t>
      </w:r>
      <w:r w:rsidR="007F2453">
        <w:rPr>
          <w:rFonts w:ascii="Arial" w:hAnsi="Arial" w:cs="Arial"/>
        </w:rPr>
        <w:t>9</w:t>
      </w:r>
      <w:r>
        <w:rPr>
          <w:rFonts w:ascii="Arial" w:hAnsi="Arial" w:cs="Arial"/>
        </w:rPr>
        <w:t xml:space="preserve">] </w:t>
      </w:r>
      <w:r w:rsidR="00D8433B" w:rsidRPr="00D8433B">
        <w:rPr>
          <w:rFonts w:ascii="Arial" w:hAnsi="Arial" w:cs="Arial"/>
        </w:rPr>
        <w:t>Clause 32 of the credit agreement provides that: "</w:t>
      </w:r>
      <w:r w:rsidR="00D8433B" w:rsidRPr="00BD489B">
        <w:rPr>
          <w:rFonts w:ascii="Arial" w:hAnsi="Arial" w:cs="Arial"/>
          <w:i/>
          <w:iCs/>
        </w:rPr>
        <w:t>this agreement together with the Seller's standard Terms and Conditions constitutes the sole record of the agreement between the parties. No party shall be bound by any express or implied term, representation, warranty, promise or the like not recorded therein</w:t>
      </w:r>
      <w:r w:rsidR="00D8433B" w:rsidRPr="00D8433B">
        <w:rPr>
          <w:rFonts w:ascii="Arial" w:hAnsi="Arial" w:cs="Arial"/>
        </w:rPr>
        <w:t>.</w:t>
      </w:r>
    </w:p>
    <w:p w14:paraId="6E65649D" w14:textId="6C51D331" w:rsidR="008E0BF9" w:rsidRPr="00A93001" w:rsidRDefault="00FA3001" w:rsidP="00090510">
      <w:pPr>
        <w:spacing w:line="360" w:lineRule="auto"/>
        <w:jc w:val="both"/>
        <w:rPr>
          <w:rFonts w:ascii="Arial" w:hAnsi="Arial" w:cs="Arial"/>
          <w:sz w:val="22"/>
          <w:szCs w:val="22"/>
        </w:rPr>
      </w:pPr>
      <w:r>
        <w:rPr>
          <w:rFonts w:ascii="Arial" w:hAnsi="Arial" w:cs="Arial"/>
        </w:rPr>
        <w:t>[</w:t>
      </w:r>
      <w:r w:rsidR="00A66589">
        <w:rPr>
          <w:rFonts w:ascii="Arial" w:hAnsi="Arial" w:cs="Arial"/>
        </w:rPr>
        <w:t>40</w:t>
      </w:r>
      <w:r w:rsidR="00097D65" w:rsidRPr="00097D65">
        <w:rPr>
          <w:rFonts w:ascii="Arial" w:hAnsi="Arial" w:cs="Arial"/>
        </w:rPr>
        <w:t>] It</w:t>
      </w:r>
      <w:r w:rsidRPr="00097D65">
        <w:rPr>
          <w:rFonts w:ascii="Arial" w:hAnsi="Arial" w:cs="Arial"/>
        </w:rPr>
        <w:t xml:space="preserve"> is trite </w:t>
      </w:r>
      <w:r w:rsidR="00097D65">
        <w:rPr>
          <w:rFonts w:ascii="Arial" w:hAnsi="Arial" w:cs="Arial"/>
        </w:rPr>
        <w:t xml:space="preserve">law </w:t>
      </w:r>
      <w:r w:rsidRPr="00097D65">
        <w:rPr>
          <w:rFonts w:ascii="Arial" w:hAnsi="Arial" w:cs="Arial"/>
        </w:rPr>
        <w:t>that</w:t>
      </w:r>
      <w:r>
        <w:t xml:space="preserve"> </w:t>
      </w:r>
      <w:r w:rsidR="00910F6D" w:rsidRPr="00910F6D">
        <w:rPr>
          <w:rFonts w:ascii="Arial" w:hAnsi="Arial" w:cs="Arial"/>
        </w:rPr>
        <w:t>parties to a contract</w:t>
      </w:r>
      <w:r w:rsidR="002931E9">
        <w:rPr>
          <w:rFonts w:ascii="Arial" w:hAnsi="Arial" w:cs="Arial"/>
        </w:rPr>
        <w:t xml:space="preserve"> are bound</w:t>
      </w:r>
      <w:r w:rsidR="00097D65">
        <w:rPr>
          <w:rFonts w:ascii="Arial" w:hAnsi="Arial" w:cs="Arial"/>
        </w:rPr>
        <w:t xml:space="preserve"> </w:t>
      </w:r>
      <w:r w:rsidR="003706C0">
        <w:rPr>
          <w:rFonts w:ascii="Arial" w:hAnsi="Arial" w:cs="Arial"/>
        </w:rPr>
        <w:t>by the</w:t>
      </w:r>
      <w:r w:rsidR="002931E9">
        <w:rPr>
          <w:rFonts w:ascii="Arial" w:hAnsi="Arial" w:cs="Arial"/>
        </w:rPr>
        <w:t xml:space="preserve"> terms thereof</w:t>
      </w:r>
      <w:r w:rsidR="003C3EC1">
        <w:rPr>
          <w:rFonts w:ascii="Arial" w:hAnsi="Arial" w:cs="Arial"/>
        </w:rPr>
        <w:t>.</w:t>
      </w:r>
      <w:r w:rsidR="00910F6D" w:rsidRPr="00910F6D">
        <w:rPr>
          <w:rFonts w:ascii="Arial" w:hAnsi="Arial" w:cs="Arial"/>
        </w:rPr>
        <w:t xml:space="preserve"> </w:t>
      </w:r>
      <w:r w:rsidR="003706C0">
        <w:rPr>
          <w:rFonts w:ascii="Arial" w:hAnsi="Arial" w:cs="Arial"/>
        </w:rPr>
        <w:t>I</w:t>
      </w:r>
      <w:r w:rsidR="003C3EC1">
        <w:rPr>
          <w:rFonts w:ascii="Arial" w:hAnsi="Arial" w:cs="Arial"/>
        </w:rPr>
        <w:t xml:space="preserve">t was held </w:t>
      </w:r>
      <w:r w:rsidR="00097D65">
        <w:rPr>
          <w:rFonts w:ascii="Arial" w:hAnsi="Arial" w:cs="Arial"/>
        </w:rPr>
        <w:t xml:space="preserve">in the case </w:t>
      </w:r>
      <w:r w:rsidR="00910F6D" w:rsidRPr="00910F6D">
        <w:rPr>
          <w:rFonts w:ascii="Arial" w:hAnsi="Arial" w:cs="Arial"/>
        </w:rPr>
        <w:t xml:space="preserve">of </w:t>
      </w:r>
      <w:r w:rsidR="00910F6D" w:rsidRPr="003706C0">
        <w:rPr>
          <w:rFonts w:ascii="Arial" w:hAnsi="Arial" w:cs="Arial"/>
          <w:i/>
          <w:iCs/>
        </w:rPr>
        <w:t xml:space="preserve">Novartis SA (Pty) Ltd v Maphil </w:t>
      </w:r>
      <w:r w:rsidR="003706C0" w:rsidRPr="003706C0">
        <w:rPr>
          <w:rFonts w:ascii="Arial" w:hAnsi="Arial" w:cs="Arial"/>
          <w:i/>
          <w:iCs/>
        </w:rPr>
        <w:t>Trading (</w:t>
      </w:r>
      <w:r w:rsidR="00BE6016" w:rsidRPr="003706C0">
        <w:rPr>
          <w:rFonts w:ascii="Arial" w:hAnsi="Arial" w:cs="Arial"/>
          <w:i/>
          <w:iCs/>
        </w:rPr>
        <w:t>Pty) Ltd</w:t>
      </w:r>
      <w:r w:rsidR="00BE6016" w:rsidRPr="00BE6016">
        <w:rPr>
          <w:rFonts w:ascii="Arial" w:hAnsi="Arial" w:cs="Arial"/>
        </w:rPr>
        <w:t xml:space="preserve"> 2016 (1) SA 518 (SCA) para 26</w:t>
      </w:r>
      <w:r w:rsidR="00910F6D" w:rsidRPr="00910F6D">
        <w:rPr>
          <w:rFonts w:ascii="Arial" w:hAnsi="Arial" w:cs="Arial"/>
        </w:rPr>
        <w:t xml:space="preserve">: </w:t>
      </w:r>
      <w:r w:rsidR="00A93001">
        <w:rPr>
          <w:rFonts w:ascii="Arial" w:hAnsi="Arial" w:cs="Arial"/>
        </w:rPr>
        <w:t>‘</w:t>
      </w:r>
      <w:r w:rsidR="00910F6D" w:rsidRPr="00A93001">
        <w:rPr>
          <w:rFonts w:ascii="Arial" w:hAnsi="Arial" w:cs="Arial"/>
          <w:sz w:val="22"/>
          <w:szCs w:val="22"/>
        </w:rPr>
        <w:t>A court must examine all the facts – the context – in order to determine what the parties intended. And it must do that whether or not the words of the contract are ambiguous or lack clarity. Words without context mean nothing</w:t>
      </w:r>
      <w:r w:rsidR="00A93001" w:rsidRPr="00A93001">
        <w:rPr>
          <w:rFonts w:ascii="Arial" w:hAnsi="Arial" w:cs="Arial"/>
          <w:sz w:val="22"/>
          <w:szCs w:val="22"/>
        </w:rPr>
        <w:t>’</w:t>
      </w:r>
      <w:r w:rsidR="00910F6D" w:rsidRPr="00A93001">
        <w:rPr>
          <w:rFonts w:ascii="Arial" w:hAnsi="Arial" w:cs="Arial"/>
          <w:sz w:val="22"/>
          <w:szCs w:val="22"/>
        </w:rPr>
        <w:t>.</w:t>
      </w:r>
    </w:p>
    <w:p w14:paraId="4849F2D3" w14:textId="77777777" w:rsidR="00910F6D" w:rsidRDefault="00910F6D" w:rsidP="00090510">
      <w:pPr>
        <w:spacing w:line="360" w:lineRule="auto"/>
        <w:jc w:val="both"/>
        <w:rPr>
          <w:rFonts w:ascii="Arial" w:hAnsi="Arial" w:cs="Arial"/>
        </w:rPr>
      </w:pPr>
    </w:p>
    <w:p w14:paraId="258A9435" w14:textId="4370BF50" w:rsidR="00C4016E" w:rsidRDefault="00751FD2" w:rsidP="00090510">
      <w:pPr>
        <w:spacing w:line="360" w:lineRule="auto"/>
        <w:jc w:val="both"/>
        <w:rPr>
          <w:rFonts w:ascii="Arial" w:hAnsi="Arial" w:cs="Arial"/>
        </w:rPr>
      </w:pPr>
      <w:r w:rsidRPr="007F1DB8">
        <w:rPr>
          <w:rFonts w:ascii="Arial" w:hAnsi="Arial" w:cs="Arial"/>
          <w:b/>
          <w:bCs/>
        </w:rPr>
        <w:t xml:space="preserve">Whether </w:t>
      </w:r>
      <w:r w:rsidR="007F1DB8" w:rsidRPr="007F1DB8">
        <w:rPr>
          <w:rFonts w:ascii="Arial" w:hAnsi="Arial" w:cs="Arial"/>
          <w:b/>
          <w:bCs/>
        </w:rPr>
        <w:t>there waiver</w:t>
      </w:r>
      <w:r w:rsidR="00DD6DC0" w:rsidRPr="007F1DB8">
        <w:rPr>
          <w:rFonts w:ascii="Arial" w:hAnsi="Arial" w:cs="Arial"/>
          <w:b/>
          <w:bCs/>
        </w:rPr>
        <w:t xml:space="preserve"> or variation occurred</w:t>
      </w:r>
      <w:r w:rsidR="00DD6DC0" w:rsidRPr="00DD6DC0">
        <w:rPr>
          <w:rFonts w:ascii="Arial" w:hAnsi="Arial" w:cs="Arial"/>
        </w:rPr>
        <w:t xml:space="preserve">. </w:t>
      </w:r>
    </w:p>
    <w:p w14:paraId="281D0502" w14:textId="55398122" w:rsidR="00C25B1B" w:rsidRDefault="007F1DB8" w:rsidP="00090510">
      <w:pPr>
        <w:spacing w:line="360" w:lineRule="auto"/>
        <w:jc w:val="both"/>
        <w:rPr>
          <w:rFonts w:ascii="Arial" w:hAnsi="Arial" w:cs="Arial"/>
          <w:i/>
          <w:iCs/>
        </w:rPr>
      </w:pPr>
      <w:r>
        <w:rPr>
          <w:rFonts w:ascii="Arial" w:hAnsi="Arial" w:cs="Arial"/>
        </w:rPr>
        <w:t>[4</w:t>
      </w:r>
      <w:r w:rsidR="00A66589">
        <w:rPr>
          <w:rFonts w:ascii="Arial" w:hAnsi="Arial" w:cs="Arial"/>
        </w:rPr>
        <w:t>1</w:t>
      </w:r>
      <w:r>
        <w:rPr>
          <w:rFonts w:ascii="Arial" w:hAnsi="Arial" w:cs="Arial"/>
        </w:rPr>
        <w:t xml:space="preserve">] </w:t>
      </w:r>
      <w:r w:rsidR="00DD6DC0" w:rsidRPr="00DD6DC0">
        <w:rPr>
          <w:rFonts w:ascii="Arial" w:hAnsi="Arial" w:cs="Arial"/>
        </w:rPr>
        <w:t xml:space="preserve">The </w:t>
      </w:r>
      <w:r w:rsidR="006A7281">
        <w:rPr>
          <w:rFonts w:ascii="Arial" w:hAnsi="Arial" w:cs="Arial"/>
        </w:rPr>
        <w:t>d</w:t>
      </w:r>
      <w:r w:rsidR="00DD6DC0" w:rsidRPr="00DD6DC0">
        <w:rPr>
          <w:rFonts w:ascii="Arial" w:hAnsi="Arial" w:cs="Arial"/>
        </w:rPr>
        <w:t xml:space="preserve">efendants pleaded that the </w:t>
      </w:r>
      <w:r w:rsidR="006A7281">
        <w:rPr>
          <w:rFonts w:ascii="Arial" w:hAnsi="Arial" w:cs="Arial"/>
        </w:rPr>
        <w:t>p</w:t>
      </w:r>
      <w:r w:rsidR="00DD6DC0" w:rsidRPr="00DD6DC0">
        <w:rPr>
          <w:rFonts w:ascii="Arial" w:hAnsi="Arial" w:cs="Arial"/>
        </w:rPr>
        <w:t xml:space="preserve">laintiff </w:t>
      </w:r>
      <w:r w:rsidR="009F775A" w:rsidRPr="00DD6DC0">
        <w:rPr>
          <w:rFonts w:ascii="Arial" w:hAnsi="Arial" w:cs="Arial"/>
        </w:rPr>
        <w:t>waived</w:t>
      </w:r>
      <w:r w:rsidR="00DD6DC0" w:rsidRPr="00DD6DC0">
        <w:rPr>
          <w:rFonts w:ascii="Arial" w:hAnsi="Arial" w:cs="Arial"/>
        </w:rPr>
        <w:t xml:space="preserve"> payment. </w:t>
      </w:r>
      <w:r w:rsidR="006A7281">
        <w:rPr>
          <w:rFonts w:ascii="Arial" w:hAnsi="Arial" w:cs="Arial"/>
        </w:rPr>
        <w:t xml:space="preserve">This contention is based on contents of an email which was sent </w:t>
      </w:r>
      <w:r w:rsidR="00F8033D">
        <w:rPr>
          <w:rFonts w:ascii="Arial" w:hAnsi="Arial" w:cs="Arial"/>
        </w:rPr>
        <w:t>by the employee of the plaintiff to the defendant regarding payment.</w:t>
      </w:r>
      <w:r w:rsidR="00F90DE1">
        <w:rPr>
          <w:rFonts w:ascii="Arial" w:hAnsi="Arial" w:cs="Arial"/>
        </w:rPr>
        <w:t xml:space="preserve"> </w:t>
      </w:r>
      <w:r w:rsidR="00D54DFA">
        <w:rPr>
          <w:rFonts w:ascii="Arial" w:hAnsi="Arial" w:cs="Arial"/>
        </w:rPr>
        <w:t xml:space="preserve">The </w:t>
      </w:r>
      <w:r w:rsidR="00FC3AB3">
        <w:rPr>
          <w:rFonts w:ascii="Arial" w:hAnsi="Arial" w:cs="Arial"/>
        </w:rPr>
        <w:t xml:space="preserve">email states </w:t>
      </w:r>
      <w:r w:rsidR="00C25B1B" w:rsidRPr="00C25B1B">
        <w:rPr>
          <w:rFonts w:ascii="Arial" w:hAnsi="Arial" w:cs="Arial"/>
          <w:i/>
          <w:iCs/>
        </w:rPr>
        <w:t>‘Please formally confirm that Tippcon will process all outstanding payments across to Cochrane once you have been paid by Transnet?’</w:t>
      </w:r>
      <w:r w:rsidR="00D60C37">
        <w:rPr>
          <w:rFonts w:ascii="Arial" w:hAnsi="Arial" w:cs="Arial"/>
          <w:i/>
          <w:iCs/>
        </w:rPr>
        <w:t xml:space="preserve"> </w:t>
      </w:r>
    </w:p>
    <w:p w14:paraId="4D0BC9CA" w14:textId="367B4CE6" w:rsidR="009549B1" w:rsidRDefault="009549B1" w:rsidP="00090510">
      <w:pPr>
        <w:spacing w:line="360" w:lineRule="auto"/>
        <w:jc w:val="both"/>
        <w:rPr>
          <w:rFonts w:ascii="Arial" w:hAnsi="Arial" w:cs="Arial"/>
          <w:i/>
          <w:iCs/>
        </w:rPr>
      </w:pPr>
      <w:r>
        <w:rPr>
          <w:rFonts w:ascii="Arial" w:hAnsi="Arial" w:cs="Arial"/>
          <w:i/>
          <w:iCs/>
        </w:rPr>
        <w:t>[</w:t>
      </w:r>
      <w:r w:rsidRPr="002210E3">
        <w:rPr>
          <w:rFonts w:ascii="Arial" w:hAnsi="Arial" w:cs="Arial"/>
        </w:rPr>
        <w:t>4</w:t>
      </w:r>
      <w:r w:rsidR="00A66589">
        <w:rPr>
          <w:rFonts w:ascii="Arial" w:hAnsi="Arial" w:cs="Arial"/>
        </w:rPr>
        <w:t>2</w:t>
      </w:r>
      <w:r w:rsidRPr="002210E3">
        <w:rPr>
          <w:rFonts w:ascii="Arial" w:hAnsi="Arial" w:cs="Arial"/>
        </w:rPr>
        <w:t>] It is worth noting the response of the defendant</w:t>
      </w:r>
      <w:r w:rsidR="0086737E" w:rsidRPr="002210E3">
        <w:rPr>
          <w:rFonts w:ascii="Arial" w:hAnsi="Arial" w:cs="Arial"/>
        </w:rPr>
        <w:t xml:space="preserve">s to the email. The defendant responded as follows </w:t>
      </w:r>
      <w:r w:rsidR="00D86383" w:rsidRPr="002210E3">
        <w:rPr>
          <w:rFonts w:ascii="Arial" w:hAnsi="Arial" w:cs="Arial"/>
        </w:rPr>
        <w:t xml:space="preserve">as contained in paragraph </w:t>
      </w:r>
      <w:r w:rsidR="002210E3" w:rsidRPr="002210E3">
        <w:rPr>
          <w:rFonts w:ascii="Arial" w:hAnsi="Arial" w:cs="Arial"/>
        </w:rPr>
        <w:t xml:space="preserve">125 </w:t>
      </w:r>
      <w:r w:rsidR="00D86383" w:rsidRPr="002210E3">
        <w:rPr>
          <w:rFonts w:ascii="Arial" w:hAnsi="Arial" w:cs="Arial"/>
        </w:rPr>
        <w:t>of the answering affidavit</w:t>
      </w:r>
      <w:r w:rsidR="00D86383">
        <w:rPr>
          <w:rFonts w:ascii="Arial" w:hAnsi="Arial" w:cs="Arial"/>
          <w:i/>
          <w:iCs/>
        </w:rPr>
        <w:t xml:space="preserve"> ‘I responde</w:t>
      </w:r>
      <w:r w:rsidR="00110BDE">
        <w:rPr>
          <w:rFonts w:ascii="Arial" w:hAnsi="Arial" w:cs="Arial"/>
          <w:i/>
          <w:iCs/>
        </w:rPr>
        <w:t xml:space="preserve">d the following day and confirmed as I have </w:t>
      </w:r>
      <w:r w:rsidR="00DA54CA">
        <w:rPr>
          <w:rFonts w:ascii="Arial" w:hAnsi="Arial" w:cs="Arial"/>
          <w:i/>
          <w:iCs/>
        </w:rPr>
        <w:t xml:space="preserve">done previously that, the applicant would be paid </w:t>
      </w:r>
      <w:r w:rsidR="000665CD">
        <w:rPr>
          <w:rFonts w:ascii="Arial" w:hAnsi="Arial" w:cs="Arial"/>
          <w:i/>
          <w:iCs/>
        </w:rPr>
        <w:t>regardless of</w:t>
      </w:r>
      <w:r w:rsidR="00DA54CA">
        <w:rPr>
          <w:rFonts w:ascii="Arial" w:hAnsi="Arial" w:cs="Arial"/>
          <w:i/>
          <w:iCs/>
        </w:rPr>
        <w:t xml:space="preserve"> </w:t>
      </w:r>
      <w:r w:rsidR="00A23C8D">
        <w:rPr>
          <w:rFonts w:ascii="Arial" w:hAnsi="Arial" w:cs="Arial"/>
          <w:i/>
          <w:iCs/>
        </w:rPr>
        <w:t xml:space="preserve">whether the fencing supplied </w:t>
      </w:r>
      <w:r w:rsidR="00DB71A4">
        <w:rPr>
          <w:rFonts w:ascii="Arial" w:hAnsi="Arial" w:cs="Arial"/>
          <w:i/>
          <w:iCs/>
        </w:rPr>
        <w:t xml:space="preserve">met the </w:t>
      </w:r>
      <w:r w:rsidR="00C8539A">
        <w:rPr>
          <w:rFonts w:ascii="Arial" w:hAnsi="Arial" w:cs="Arial"/>
          <w:i/>
          <w:iCs/>
        </w:rPr>
        <w:t xml:space="preserve">fencing specifications </w:t>
      </w:r>
      <w:r w:rsidR="009A535F">
        <w:rPr>
          <w:rFonts w:ascii="Arial" w:hAnsi="Arial" w:cs="Arial"/>
          <w:i/>
          <w:iCs/>
        </w:rPr>
        <w:t>check but only once Transne</w:t>
      </w:r>
      <w:r w:rsidR="00836582">
        <w:rPr>
          <w:rFonts w:ascii="Arial" w:hAnsi="Arial" w:cs="Arial"/>
          <w:i/>
          <w:iCs/>
        </w:rPr>
        <w:t xml:space="preserve">t had paid </w:t>
      </w:r>
      <w:r w:rsidR="009F7995">
        <w:rPr>
          <w:rFonts w:ascii="Arial" w:hAnsi="Arial" w:cs="Arial"/>
          <w:i/>
          <w:iCs/>
        </w:rPr>
        <w:t>first respondent</w:t>
      </w:r>
      <w:r w:rsidR="002210E3">
        <w:rPr>
          <w:rFonts w:ascii="Arial" w:hAnsi="Arial" w:cs="Arial"/>
          <w:i/>
          <w:iCs/>
        </w:rPr>
        <w:t>.</w:t>
      </w:r>
    </w:p>
    <w:p w14:paraId="433DCE10" w14:textId="011DC5CF" w:rsidR="00433AA9" w:rsidRPr="00C25B1B" w:rsidRDefault="0045644E" w:rsidP="00090510">
      <w:pPr>
        <w:spacing w:line="360" w:lineRule="auto"/>
        <w:jc w:val="both"/>
        <w:rPr>
          <w:rFonts w:ascii="Arial" w:hAnsi="Arial" w:cs="Arial"/>
          <w:i/>
          <w:iCs/>
        </w:rPr>
      </w:pPr>
      <w:r w:rsidRPr="00BF3B21">
        <w:rPr>
          <w:rFonts w:ascii="Arial" w:hAnsi="Arial" w:cs="Arial"/>
        </w:rPr>
        <w:lastRenderedPageBreak/>
        <w:t>[4</w:t>
      </w:r>
      <w:r w:rsidR="00A66589">
        <w:rPr>
          <w:rFonts w:ascii="Arial" w:hAnsi="Arial" w:cs="Arial"/>
        </w:rPr>
        <w:t>3</w:t>
      </w:r>
      <w:r w:rsidRPr="001F5329">
        <w:rPr>
          <w:rFonts w:ascii="Arial" w:hAnsi="Arial" w:cs="Arial"/>
        </w:rPr>
        <w:t>]</w:t>
      </w:r>
      <w:r w:rsidR="000665CD">
        <w:rPr>
          <w:rFonts w:ascii="Arial" w:hAnsi="Arial" w:cs="Arial"/>
        </w:rPr>
        <w:t xml:space="preserve"> </w:t>
      </w:r>
      <w:r w:rsidR="00E7040A">
        <w:rPr>
          <w:rFonts w:ascii="Arial" w:hAnsi="Arial" w:cs="Arial"/>
        </w:rPr>
        <w:t xml:space="preserve">My view </w:t>
      </w:r>
      <w:r w:rsidR="00321692">
        <w:rPr>
          <w:rFonts w:ascii="Arial" w:hAnsi="Arial" w:cs="Arial"/>
        </w:rPr>
        <w:t>is that the</w:t>
      </w:r>
      <w:r w:rsidR="00631410">
        <w:rPr>
          <w:rFonts w:ascii="Arial" w:hAnsi="Arial" w:cs="Arial"/>
        </w:rPr>
        <w:t xml:space="preserve"> above quoted</w:t>
      </w:r>
      <w:r w:rsidR="00321692">
        <w:rPr>
          <w:rFonts w:ascii="Arial" w:hAnsi="Arial" w:cs="Arial"/>
        </w:rPr>
        <w:t xml:space="preserve"> statement is at odds with the version of the defendants </w:t>
      </w:r>
      <w:r w:rsidR="00631410">
        <w:rPr>
          <w:rFonts w:ascii="Arial" w:hAnsi="Arial" w:cs="Arial"/>
        </w:rPr>
        <w:t xml:space="preserve">that </w:t>
      </w:r>
      <w:r w:rsidR="00851DA4">
        <w:rPr>
          <w:rFonts w:ascii="Arial" w:hAnsi="Arial" w:cs="Arial"/>
        </w:rPr>
        <w:t>the terms of the contract required the supplied goods to be compliant with the re</w:t>
      </w:r>
      <w:r w:rsidR="00BF3B21">
        <w:rPr>
          <w:rFonts w:ascii="Arial" w:hAnsi="Arial" w:cs="Arial"/>
        </w:rPr>
        <w:t xml:space="preserve">quirements of Transnet. </w:t>
      </w:r>
    </w:p>
    <w:p w14:paraId="01F3A8D8" w14:textId="4ED59040" w:rsidR="009F775A" w:rsidRDefault="00C25B1B" w:rsidP="00090510">
      <w:pPr>
        <w:spacing w:line="360" w:lineRule="auto"/>
        <w:jc w:val="both"/>
        <w:rPr>
          <w:rFonts w:ascii="Arial" w:hAnsi="Arial" w:cs="Arial"/>
        </w:rPr>
      </w:pPr>
      <w:r>
        <w:rPr>
          <w:rFonts w:ascii="Arial" w:hAnsi="Arial" w:cs="Arial"/>
        </w:rPr>
        <w:t>[4</w:t>
      </w:r>
      <w:r w:rsidR="00A66589">
        <w:rPr>
          <w:rFonts w:ascii="Arial" w:hAnsi="Arial" w:cs="Arial"/>
        </w:rPr>
        <w:t>4</w:t>
      </w:r>
      <w:r>
        <w:rPr>
          <w:rFonts w:ascii="Arial" w:hAnsi="Arial" w:cs="Arial"/>
        </w:rPr>
        <w:t xml:space="preserve">] </w:t>
      </w:r>
      <w:r w:rsidR="009F775A">
        <w:rPr>
          <w:rFonts w:ascii="Arial" w:hAnsi="Arial" w:cs="Arial"/>
        </w:rPr>
        <w:t>Additionally,</w:t>
      </w:r>
      <w:r w:rsidR="00F90DE1">
        <w:rPr>
          <w:rFonts w:ascii="Arial" w:hAnsi="Arial" w:cs="Arial"/>
        </w:rPr>
        <w:t xml:space="preserve"> the plaintiff argued that the </w:t>
      </w:r>
      <w:r w:rsidR="001A510B">
        <w:rPr>
          <w:rFonts w:ascii="Arial" w:hAnsi="Arial" w:cs="Arial"/>
        </w:rPr>
        <w:t xml:space="preserve">plaintiff had taken long time beyond the </w:t>
      </w:r>
      <w:r w:rsidR="009F775A">
        <w:rPr>
          <w:rFonts w:ascii="Arial" w:hAnsi="Arial" w:cs="Arial"/>
        </w:rPr>
        <w:t>30-day</w:t>
      </w:r>
      <w:r w:rsidR="001A510B">
        <w:rPr>
          <w:rFonts w:ascii="Arial" w:hAnsi="Arial" w:cs="Arial"/>
        </w:rPr>
        <w:t xml:space="preserve"> period </w:t>
      </w:r>
      <w:r w:rsidR="00485208">
        <w:rPr>
          <w:rFonts w:ascii="Arial" w:hAnsi="Arial" w:cs="Arial"/>
        </w:rPr>
        <w:t xml:space="preserve">stipulated in the contract to institute the action was </w:t>
      </w:r>
      <w:r w:rsidR="004B44A8">
        <w:rPr>
          <w:rFonts w:ascii="Arial" w:hAnsi="Arial" w:cs="Arial"/>
        </w:rPr>
        <w:t>proof of the assertion the plaintiff waived payment, pending payment by Transnet</w:t>
      </w:r>
      <w:r w:rsidR="009F775A">
        <w:rPr>
          <w:rFonts w:ascii="Arial" w:hAnsi="Arial" w:cs="Arial"/>
        </w:rPr>
        <w:t>.</w:t>
      </w:r>
      <w:r w:rsidR="00DB0388">
        <w:rPr>
          <w:rFonts w:ascii="Arial" w:hAnsi="Arial" w:cs="Arial"/>
        </w:rPr>
        <w:t xml:space="preserve"> The action was instituted almost two years </w:t>
      </w:r>
      <w:r w:rsidR="009E1BB0">
        <w:rPr>
          <w:rFonts w:ascii="Arial" w:hAnsi="Arial" w:cs="Arial"/>
        </w:rPr>
        <w:t xml:space="preserve">after the defendants had failed to pay. </w:t>
      </w:r>
    </w:p>
    <w:p w14:paraId="7AA24404" w14:textId="499F0E25" w:rsidR="00D319C4" w:rsidRDefault="009F775A" w:rsidP="00090510">
      <w:pPr>
        <w:spacing w:line="360" w:lineRule="auto"/>
        <w:jc w:val="both"/>
        <w:rPr>
          <w:rFonts w:ascii="Arial" w:hAnsi="Arial" w:cs="Arial"/>
        </w:rPr>
      </w:pPr>
      <w:r>
        <w:rPr>
          <w:rFonts w:ascii="Arial" w:hAnsi="Arial" w:cs="Arial"/>
        </w:rPr>
        <w:t>[4</w:t>
      </w:r>
      <w:r w:rsidR="00A66589">
        <w:rPr>
          <w:rFonts w:ascii="Arial" w:hAnsi="Arial" w:cs="Arial"/>
        </w:rPr>
        <w:t>5</w:t>
      </w:r>
      <w:r>
        <w:rPr>
          <w:rFonts w:ascii="Arial" w:hAnsi="Arial" w:cs="Arial"/>
        </w:rPr>
        <w:t xml:space="preserve">] The plaintiff has </w:t>
      </w:r>
      <w:r w:rsidR="00CE2BA6">
        <w:rPr>
          <w:rFonts w:ascii="Arial" w:hAnsi="Arial" w:cs="Arial"/>
        </w:rPr>
        <w:t xml:space="preserve">vehemently denied such assertion and has quoted </w:t>
      </w:r>
      <w:r w:rsidR="00214339">
        <w:rPr>
          <w:rFonts w:ascii="Arial" w:hAnsi="Arial" w:cs="Arial"/>
        </w:rPr>
        <w:t>c</w:t>
      </w:r>
      <w:r w:rsidR="00DD6DC0" w:rsidRPr="00DD6DC0">
        <w:rPr>
          <w:rFonts w:ascii="Arial" w:hAnsi="Arial" w:cs="Arial"/>
        </w:rPr>
        <w:t xml:space="preserve">lause 30 of the credit agreement </w:t>
      </w:r>
      <w:r w:rsidR="00214339">
        <w:rPr>
          <w:rFonts w:ascii="Arial" w:hAnsi="Arial" w:cs="Arial"/>
        </w:rPr>
        <w:t xml:space="preserve">which </w:t>
      </w:r>
      <w:r w:rsidR="00DD6DC0" w:rsidRPr="00DD6DC0">
        <w:rPr>
          <w:rFonts w:ascii="Arial" w:hAnsi="Arial" w:cs="Arial"/>
        </w:rPr>
        <w:t xml:space="preserve">provides that: </w:t>
      </w:r>
      <w:r w:rsidR="00DD6DC0" w:rsidRPr="00214339">
        <w:rPr>
          <w:rFonts w:ascii="Arial" w:hAnsi="Arial" w:cs="Arial"/>
          <w:i/>
          <w:iCs/>
        </w:rPr>
        <w:t>no relaxation or indulgence, which the Seller may grant to the Purchaser will constitute a waiver of the rights of the Seller and will not preclude the Seller from exercising any rights which may have arisen in the past or which may arise in the future</w:t>
      </w:r>
      <w:r w:rsidR="008619DA" w:rsidRPr="00214339">
        <w:rPr>
          <w:rFonts w:ascii="Arial" w:hAnsi="Arial" w:cs="Arial"/>
          <w:i/>
          <w:iCs/>
        </w:rPr>
        <w:t>.</w:t>
      </w:r>
      <w:r w:rsidR="008A325A" w:rsidRPr="008A325A">
        <w:rPr>
          <w:rFonts w:ascii="Arial" w:hAnsi="Arial" w:cs="Arial"/>
        </w:rPr>
        <w:t xml:space="preserve"> </w:t>
      </w:r>
    </w:p>
    <w:p w14:paraId="38C942F9" w14:textId="5ABCB6A7" w:rsidR="008A325A" w:rsidRDefault="00D319C4" w:rsidP="00090510">
      <w:pPr>
        <w:spacing w:line="360" w:lineRule="auto"/>
        <w:jc w:val="both"/>
        <w:rPr>
          <w:rFonts w:ascii="Arial" w:hAnsi="Arial" w:cs="Arial"/>
        </w:rPr>
      </w:pPr>
      <w:r w:rsidRPr="00B95528">
        <w:rPr>
          <w:rFonts w:ascii="Arial" w:hAnsi="Arial" w:cs="Arial"/>
        </w:rPr>
        <w:t>[4</w:t>
      </w:r>
      <w:r w:rsidR="00A66589">
        <w:rPr>
          <w:rFonts w:ascii="Arial" w:hAnsi="Arial" w:cs="Arial"/>
        </w:rPr>
        <w:t>6</w:t>
      </w:r>
      <w:r w:rsidRPr="00B95528">
        <w:rPr>
          <w:rFonts w:ascii="Arial" w:hAnsi="Arial" w:cs="Arial"/>
        </w:rPr>
        <w:t>]</w:t>
      </w:r>
      <w:r w:rsidR="008A325A" w:rsidRPr="00B95528">
        <w:rPr>
          <w:rFonts w:ascii="Arial" w:hAnsi="Arial" w:cs="Arial"/>
        </w:rPr>
        <w:t xml:space="preserve"> Whether summary judgment for the full amount claimed should be granted, or, whether the first defendant’s alleged counterclaim (in the limited amount of R516,000 against the plaintiff) constitutes a bona fide defence in respect of the limited amount of R516,000.</w:t>
      </w:r>
      <w:r w:rsidR="00C815A0">
        <w:rPr>
          <w:rFonts w:ascii="Arial" w:hAnsi="Arial" w:cs="Arial"/>
        </w:rPr>
        <w:t xml:space="preserve"> </w:t>
      </w:r>
      <w:r w:rsidR="00EF06F7">
        <w:rPr>
          <w:rFonts w:ascii="Arial" w:hAnsi="Arial" w:cs="Arial"/>
        </w:rPr>
        <w:t xml:space="preserve">It is my view that this </w:t>
      </w:r>
      <w:r w:rsidR="00E862C3">
        <w:rPr>
          <w:rFonts w:ascii="Arial" w:hAnsi="Arial" w:cs="Arial"/>
        </w:rPr>
        <w:t>issue does not raise a</w:t>
      </w:r>
      <w:r w:rsidR="0083569D">
        <w:rPr>
          <w:rFonts w:ascii="Arial" w:hAnsi="Arial" w:cs="Arial"/>
        </w:rPr>
        <w:t xml:space="preserve"> defence to resist summary judgment. </w:t>
      </w:r>
      <w:r w:rsidR="00F96DE4">
        <w:rPr>
          <w:rFonts w:ascii="Arial" w:hAnsi="Arial" w:cs="Arial"/>
        </w:rPr>
        <w:t>Th</w:t>
      </w:r>
      <w:r w:rsidR="00AD308E">
        <w:rPr>
          <w:rFonts w:ascii="Arial" w:hAnsi="Arial" w:cs="Arial"/>
        </w:rPr>
        <w:t xml:space="preserve">e fact that the </w:t>
      </w:r>
      <w:r w:rsidR="00B35A57">
        <w:rPr>
          <w:rFonts w:ascii="Arial" w:hAnsi="Arial" w:cs="Arial"/>
        </w:rPr>
        <w:t xml:space="preserve">plaintiff did not collect </w:t>
      </w:r>
      <w:r w:rsidR="00AD308E">
        <w:rPr>
          <w:rFonts w:ascii="Arial" w:hAnsi="Arial" w:cs="Arial"/>
        </w:rPr>
        <w:t>unused goods</w:t>
      </w:r>
      <w:r w:rsidR="00B35A57">
        <w:rPr>
          <w:rFonts w:ascii="Arial" w:hAnsi="Arial" w:cs="Arial"/>
        </w:rPr>
        <w:t xml:space="preserve"> does not raise </w:t>
      </w:r>
      <w:r w:rsidR="00954CD8">
        <w:rPr>
          <w:rFonts w:ascii="Arial" w:hAnsi="Arial" w:cs="Arial"/>
        </w:rPr>
        <w:t xml:space="preserve">a defence. </w:t>
      </w:r>
    </w:p>
    <w:p w14:paraId="61697833" w14:textId="77777777" w:rsidR="004B6D9F" w:rsidRDefault="004B6D9F" w:rsidP="00090510">
      <w:pPr>
        <w:spacing w:line="360" w:lineRule="auto"/>
        <w:jc w:val="both"/>
        <w:rPr>
          <w:rFonts w:ascii="Arial" w:hAnsi="Arial" w:cs="Arial"/>
        </w:rPr>
      </w:pPr>
    </w:p>
    <w:p w14:paraId="527A7CA7" w14:textId="3259265A" w:rsidR="00FC3804" w:rsidRDefault="00FC3804" w:rsidP="00090510">
      <w:pPr>
        <w:spacing w:line="360" w:lineRule="auto"/>
        <w:jc w:val="both"/>
        <w:rPr>
          <w:rFonts w:ascii="Arial" w:hAnsi="Arial" w:cs="Arial"/>
          <w:b/>
          <w:bCs/>
        </w:rPr>
      </w:pPr>
      <w:r w:rsidRPr="00FC3804">
        <w:rPr>
          <w:rFonts w:ascii="Arial" w:hAnsi="Arial" w:cs="Arial"/>
          <w:b/>
          <w:bCs/>
        </w:rPr>
        <w:t xml:space="preserve">Conclusion </w:t>
      </w:r>
    </w:p>
    <w:p w14:paraId="7B55BD5C" w14:textId="73048360" w:rsidR="002100A7" w:rsidRDefault="005E1847" w:rsidP="00090510">
      <w:pPr>
        <w:spacing w:line="360" w:lineRule="auto"/>
        <w:jc w:val="both"/>
        <w:rPr>
          <w:rFonts w:ascii="Arial" w:hAnsi="Arial" w:cs="Arial"/>
        </w:rPr>
      </w:pPr>
      <w:r w:rsidRPr="005E1847">
        <w:rPr>
          <w:rFonts w:ascii="Arial" w:hAnsi="Arial" w:cs="Arial"/>
        </w:rPr>
        <w:t>[4</w:t>
      </w:r>
      <w:r w:rsidR="00A66589">
        <w:rPr>
          <w:rFonts w:ascii="Arial" w:hAnsi="Arial" w:cs="Arial"/>
        </w:rPr>
        <w:t>7</w:t>
      </w:r>
      <w:r w:rsidRPr="005E1847">
        <w:rPr>
          <w:rFonts w:ascii="Arial" w:hAnsi="Arial" w:cs="Arial"/>
        </w:rPr>
        <w:t xml:space="preserve">] </w:t>
      </w:r>
      <w:r w:rsidR="00A3483C" w:rsidRPr="00A3483C">
        <w:rPr>
          <w:rFonts w:ascii="Arial" w:hAnsi="Arial" w:cs="Arial"/>
        </w:rPr>
        <w:t xml:space="preserve">This application mainly turns on the legal question as to whether the </w:t>
      </w:r>
      <w:r w:rsidR="00952E3D">
        <w:rPr>
          <w:rFonts w:ascii="Arial" w:hAnsi="Arial" w:cs="Arial"/>
        </w:rPr>
        <w:t xml:space="preserve">first </w:t>
      </w:r>
      <w:r w:rsidR="00952E3D" w:rsidRPr="00A3483C">
        <w:rPr>
          <w:rFonts w:ascii="Arial" w:hAnsi="Arial" w:cs="Arial"/>
        </w:rPr>
        <w:t>defendant’s</w:t>
      </w:r>
      <w:r w:rsidR="00A3483C" w:rsidRPr="00A3483C">
        <w:rPr>
          <w:rFonts w:ascii="Arial" w:hAnsi="Arial" w:cs="Arial"/>
        </w:rPr>
        <w:t xml:space="preserve"> obligation to pay the </w:t>
      </w:r>
      <w:r w:rsidR="00952E3D">
        <w:rPr>
          <w:rFonts w:ascii="Arial" w:hAnsi="Arial" w:cs="Arial"/>
        </w:rPr>
        <w:t xml:space="preserve">plaintiff </w:t>
      </w:r>
      <w:r w:rsidR="00952E3D" w:rsidRPr="00A3483C">
        <w:rPr>
          <w:rFonts w:ascii="Arial" w:hAnsi="Arial" w:cs="Arial"/>
        </w:rPr>
        <w:t>was</w:t>
      </w:r>
      <w:r w:rsidR="00A3483C" w:rsidRPr="00A3483C">
        <w:rPr>
          <w:rFonts w:ascii="Arial" w:hAnsi="Arial" w:cs="Arial"/>
        </w:rPr>
        <w:t xml:space="preserve"> affected by Transnet rejection of the goods </w:t>
      </w:r>
      <w:r w:rsidR="00886C8F">
        <w:rPr>
          <w:rFonts w:ascii="Arial" w:hAnsi="Arial" w:cs="Arial"/>
        </w:rPr>
        <w:t>by the client of the first defendant.</w:t>
      </w:r>
    </w:p>
    <w:p w14:paraId="6BA27F11" w14:textId="77777777" w:rsidR="00952E3D" w:rsidRDefault="002100A7" w:rsidP="00090510">
      <w:pPr>
        <w:spacing w:line="360" w:lineRule="auto"/>
        <w:jc w:val="both"/>
        <w:rPr>
          <w:rFonts w:ascii="Arial" w:hAnsi="Arial" w:cs="Arial"/>
        </w:rPr>
      </w:pPr>
      <w:r>
        <w:rPr>
          <w:rFonts w:ascii="Arial" w:hAnsi="Arial" w:cs="Arial"/>
        </w:rPr>
        <w:t>I am satis</w:t>
      </w:r>
      <w:r w:rsidR="00952E3D">
        <w:rPr>
          <w:rFonts w:ascii="Arial" w:hAnsi="Arial" w:cs="Arial"/>
        </w:rPr>
        <w:t>fied</w:t>
      </w:r>
      <w:r w:rsidR="00A3483C" w:rsidRPr="00A3483C">
        <w:rPr>
          <w:rFonts w:ascii="Arial" w:hAnsi="Arial" w:cs="Arial"/>
        </w:rPr>
        <w:t xml:space="preserve"> that the </w:t>
      </w:r>
      <w:r w:rsidR="00952E3D">
        <w:rPr>
          <w:rFonts w:ascii="Arial" w:hAnsi="Arial" w:cs="Arial"/>
        </w:rPr>
        <w:t>first</w:t>
      </w:r>
      <w:r w:rsidR="00A3483C" w:rsidRPr="00A3483C">
        <w:rPr>
          <w:rFonts w:ascii="Arial" w:hAnsi="Arial" w:cs="Arial"/>
        </w:rPr>
        <w:t xml:space="preserve"> </w:t>
      </w:r>
      <w:r w:rsidR="00952E3D">
        <w:rPr>
          <w:rFonts w:ascii="Arial" w:hAnsi="Arial" w:cs="Arial"/>
        </w:rPr>
        <w:t>d</w:t>
      </w:r>
      <w:r w:rsidR="00A3483C" w:rsidRPr="00A3483C">
        <w:rPr>
          <w:rFonts w:ascii="Arial" w:hAnsi="Arial" w:cs="Arial"/>
        </w:rPr>
        <w:t>efendant is contractually obliged to make payment for the goods sold and delivered in terms of the credit agreementirrespective of any allegations of non-conformity</w:t>
      </w:r>
      <w:r w:rsidR="00952E3D">
        <w:rPr>
          <w:rFonts w:ascii="Arial" w:hAnsi="Arial" w:cs="Arial"/>
        </w:rPr>
        <w:t>.</w:t>
      </w:r>
    </w:p>
    <w:p w14:paraId="0C26A28D" w14:textId="65865C8B" w:rsidR="00952E3D" w:rsidRDefault="002C2AA5" w:rsidP="00090510">
      <w:pPr>
        <w:spacing w:line="360" w:lineRule="auto"/>
        <w:jc w:val="both"/>
        <w:rPr>
          <w:rFonts w:ascii="Arial" w:hAnsi="Arial" w:cs="Arial"/>
        </w:rPr>
      </w:pPr>
      <w:r>
        <w:rPr>
          <w:rFonts w:ascii="Arial" w:hAnsi="Arial" w:cs="Arial"/>
        </w:rPr>
        <w:t>[4</w:t>
      </w:r>
      <w:r w:rsidR="00A66589">
        <w:rPr>
          <w:rFonts w:ascii="Arial" w:hAnsi="Arial" w:cs="Arial"/>
        </w:rPr>
        <w:t>8</w:t>
      </w:r>
      <w:r>
        <w:rPr>
          <w:rFonts w:ascii="Arial" w:hAnsi="Arial" w:cs="Arial"/>
        </w:rPr>
        <w:t xml:space="preserve">] As I have stated elsewhere in this judgment, the affidavit </w:t>
      </w:r>
      <w:r w:rsidR="0015184F">
        <w:rPr>
          <w:rFonts w:ascii="Arial" w:hAnsi="Arial" w:cs="Arial"/>
        </w:rPr>
        <w:t xml:space="preserve">submitted by the second defendant in resisting summary judgment </w:t>
      </w:r>
      <w:r w:rsidR="00886C8F">
        <w:rPr>
          <w:rFonts w:ascii="Arial" w:hAnsi="Arial" w:cs="Arial"/>
        </w:rPr>
        <w:t xml:space="preserve">where it is stated categorically that </w:t>
      </w:r>
      <w:r w:rsidR="0037564F">
        <w:rPr>
          <w:rFonts w:ascii="Arial" w:hAnsi="Arial" w:cs="Arial"/>
        </w:rPr>
        <w:t xml:space="preserve">payment will be effected regardless of whether the goods supplied complied with the </w:t>
      </w:r>
      <w:r w:rsidR="00984C06">
        <w:rPr>
          <w:rFonts w:ascii="Arial" w:hAnsi="Arial" w:cs="Arial"/>
        </w:rPr>
        <w:t>fencing checklist issued its client (Transnet)</w:t>
      </w:r>
      <w:r w:rsidR="00C93CD3">
        <w:rPr>
          <w:rFonts w:ascii="Arial" w:hAnsi="Arial" w:cs="Arial"/>
        </w:rPr>
        <w:t>.</w:t>
      </w:r>
    </w:p>
    <w:p w14:paraId="61879933" w14:textId="77777777" w:rsidR="004B6D9F" w:rsidRDefault="004B6D9F" w:rsidP="00090510">
      <w:pPr>
        <w:spacing w:line="360" w:lineRule="auto"/>
        <w:jc w:val="both"/>
        <w:rPr>
          <w:rFonts w:ascii="Arial" w:hAnsi="Arial" w:cs="Arial"/>
        </w:rPr>
      </w:pPr>
    </w:p>
    <w:p w14:paraId="620242F2" w14:textId="35E9B960" w:rsidR="00B75F37" w:rsidRPr="00B75F37" w:rsidRDefault="00B75F37" w:rsidP="00090510">
      <w:pPr>
        <w:spacing w:line="360" w:lineRule="auto"/>
        <w:jc w:val="both"/>
        <w:rPr>
          <w:rFonts w:ascii="Arial" w:hAnsi="Arial" w:cs="Arial"/>
          <w:b/>
          <w:bCs/>
        </w:rPr>
      </w:pPr>
      <w:r w:rsidRPr="00B75F37">
        <w:rPr>
          <w:rFonts w:ascii="Arial" w:hAnsi="Arial" w:cs="Arial"/>
          <w:b/>
          <w:bCs/>
        </w:rPr>
        <w:t xml:space="preserve">Order </w:t>
      </w:r>
    </w:p>
    <w:p w14:paraId="46DA9CC4" w14:textId="072BD206" w:rsidR="00693F6B" w:rsidRDefault="00416400" w:rsidP="00090510">
      <w:pPr>
        <w:spacing w:line="360" w:lineRule="auto"/>
        <w:rPr>
          <w:rFonts w:ascii="Arial" w:hAnsi="Arial" w:cs="Arial"/>
        </w:rPr>
      </w:pPr>
      <w:r>
        <w:rPr>
          <w:rFonts w:ascii="Arial" w:hAnsi="Arial" w:cs="Arial"/>
        </w:rPr>
        <w:t>[4</w:t>
      </w:r>
      <w:r w:rsidR="00A66589">
        <w:rPr>
          <w:rFonts w:ascii="Arial" w:hAnsi="Arial" w:cs="Arial"/>
        </w:rPr>
        <w:t>9</w:t>
      </w:r>
      <w:r>
        <w:rPr>
          <w:rFonts w:ascii="Arial" w:hAnsi="Arial" w:cs="Arial"/>
        </w:rPr>
        <w:t>]</w:t>
      </w:r>
      <w:r w:rsidR="00693F6B">
        <w:rPr>
          <w:rFonts w:ascii="Arial" w:hAnsi="Arial" w:cs="Arial"/>
        </w:rPr>
        <w:t>It is hereby ordered summary judgment application is granted</w:t>
      </w:r>
      <w:r w:rsidR="00CB2A08">
        <w:rPr>
          <w:rFonts w:ascii="Arial" w:hAnsi="Arial" w:cs="Arial"/>
        </w:rPr>
        <w:t xml:space="preserve"> for</w:t>
      </w:r>
      <w:r w:rsidR="00693F6B">
        <w:rPr>
          <w:rFonts w:ascii="Arial" w:hAnsi="Arial" w:cs="Arial"/>
        </w:rPr>
        <w:t>:</w:t>
      </w:r>
      <w:r w:rsidR="00693F6B" w:rsidRPr="00693F6B">
        <w:rPr>
          <w:rFonts w:ascii="Arial" w:hAnsi="Arial" w:cs="Arial"/>
        </w:rPr>
        <w:t xml:space="preserve"> , </w:t>
      </w:r>
    </w:p>
    <w:p w14:paraId="7398A039" w14:textId="30D006C3" w:rsidR="00CB2A08" w:rsidRPr="00216819" w:rsidRDefault="00216819" w:rsidP="00216819">
      <w:pPr>
        <w:spacing w:line="360" w:lineRule="auto"/>
        <w:ind w:left="720" w:hanging="360"/>
        <w:rPr>
          <w:rFonts w:ascii="Arial" w:hAnsi="Arial" w:cs="Arial"/>
        </w:rPr>
      </w:pPr>
      <w:r>
        <w:rPr>
          <w:rFonts w:ascii="Arial" w:hAnsi="Arial" w:cs="Arial"/>
        </w:rPr>
        <w:t>1.</w:t>
      </w:r>
      <w:r>
        <w:rPr>
          <w:rFonts w:ascii="Arial" w:hAnsi="Arial" w:cs="Arial"/>
        </w:rPr>
        <w:tab/>
      </w:r>
      <w:r w:rsidR="00693F6B" w:rsidRPr="00216819">
        <w:rPr>
          <w:rFonts w:ascii="Arial" w:hAnsi="Arial" w:cs="Arial"/>
        </w:rPr>
        <w:t xml:space="preserve"> </w:t>
      </w:r>
      <w:r w:rsidR="00CB2A08" w:rsidRPr="00216819">
        <w:rPr>
          <w:rFonts w:ascii="Arial" w:hAnsi="Arial" w:cs="Arial"/>
        </w:rPr>
        <w:t>P</w:t>
      </w:r>
      <w:r w:rsidR="00693F6B" w:rsidRPr="00216819">
        <w:rPr>
          <w:rFonts w:ascii="Arial" w:hAnsi="Arial" w:cs="Arial"/>
        </w:rPr>
        <w:t xml:space="preserve">ayment in the sum of R 2, 863, 432. 45 </w:t>
      </w:r>
    </w:p>
    <w:p w14:paraId="4ECF237B" w14:textId="7EBFD31D" w:rsidR="00CB2A08" w:rsidRPr="00216819" w:rsidRDefault="00216819" w:rsidP="00216819">
      <w:pPr>
        <w:spacing w:line="360" w:lineRule="auto"/>
        <w:ind w:left="720" w:hanging="360"/>
        <w:rPr>
          <w:rFonts w:ascii="Arial" w:hAnsi="Arial" w:cs="Arial"/>
        </w:rPr>
      </w:pPr>
      <w:r>
        <w:rPr>
          <w:rFonts w:ascii="Arial" w:hAnsi="Arial" w:cs="Arial"/>
        </w:rPr>
        <w:lastRenderedPageBreak/>
        <w:t>2.</w:t>
      </w:r>
      <w:r>
        <w:rPr>
          <w:rFonts w:ascii="Arial" w:hAnsi="Arial" w:cs="Arial"/>
        </w:rPr>
        <w:tab/>
      </w:r>
      <w:r w:rsidR="00CB2A08" w:rsidRPr="00216819">
        <w:rPr>
          <w:rFonts w:ascii="Arial" w:hAnsi="Arial" w:cs="Arial"/>
        </w:rPr>
        <w:t xml:space="preserve">Plus, </w:t>
      </w:r>
      <w:r w:rsidR="00693F6B" w:rsidRPr="00216819">
        <w:rPr>
          <w:rFonts w:ascii="Arial" w:hAnsi="Arial" w:cs="Arial"/>
        </w:rPr>
        <w:t>interest at the rate of 24% per annum from 29 February 2020 to date of final paymen</w:t>
      </w:r>
      <w:r w:rsidR="00CB2A08" w:rsidRPr="00216819">
        <w:rPr>
          <w:rFonts w:ascii="Arial" w:hAnsi="Arial" w:cs="Arial"/>
        </w:rPr>
        <w:t>t.</w:t>
      </w:r>
    </w:p>
    <w:p w14:paraId="7C42E9D8" w14:textId="787F08ED" w:rsidR="00693F6B" w:rsidRPr="00216819" w:rsidRDefault="00216819" w:rsidP="00216819">
      <w:pPr>
        <w:spacing w:line="360" w:lineRule="auto"/>
        <w:ind w:left="720" w:hanging="360"/>
        <w:rPr>
          <w:rFonts w:ascii="Arial" w:hAnsi="Arial" w:cs="Arial"/>
        </w:rPr>
      </w:pPr>
      <w:r w:rsidRPr="00CB2A08">
        <w:rPr>
          <w:rFonts w:ascii="Arial" w:hAnsi="Arial" w:cs="Arial"/>
        </w:rPr>
        <w:t>3.</w:t>
      </w:r>
      <w:r w:rsidRPr="00CB2A08">
        <w:rPr>
          <w:rFonts w:ascii="Arial" w:hAnsi="Arial" w:cs="Arial"/>
        </w:rPr>
        <w:tab/>
      </w:r>
      <w:r w:rsidR="00693F6B" w:rsidRPr="00216819">
        <w:rPr>
          <w:rFonts w:ascii="Arial" w:hAnsi="Arial" w:cs="Arial"/>
        </w:rPr>
        <w:t xml:space="preserve"> </w:t>
      </w:r>
      <w:r w:rsidR="00CB2A08" w:rsidRPr="00216819">
        <w:rPr>
          <w:rFonts w:ascii="Arial" w:hAnsi="Arial" w:cs="Arial"/>
        </w:rPr>
        <w:t>C</w:t>
      </w:r>
      <w:r w:rsidR="00693F6B" w:rsidRPr="00216819">
        <w:rPr>
          <w:rFonts w:ascii="Arial" w:hAnsi="Arial" w:cs="Arial"/>
        </w:rPr>
        <w:t>osts on an attorney and client scale.</w:t>
      </w:r>
    </w:p>
    <w:p w14:paraId="65262A62" w14:textId="77777777" w:rsidR="00F459B5" w:rsidRDefault="00F459B5" w:rsidP="00090510">
      <w:pPr>
        <w:spacing w:line="360" w:lineRule="auto"/>
        <w:jc w:val="both"/>
        <w:rPr>
          <w:rFonts w:ascii="Arial" w:hAnsi="Arial" w:cs="Arial"/>
        </w:rPr>
      </w:pPr>
    </w:p>
    <w:p w14:paraId="7BEB7780" w14:textId="77777777" w:rsidR="00F459B5" w:rsidRDefault="00F459B5" w:rsidP="00090510">
      <w:pPr>
        <w:spacing w:line="360" w:lineRule="auto"/>
        <w:jc w:val="both"/>
        <w:rPr>
          <w:rFonts w:ascii="Arial" w:hAnsi="Arial" w:cs="Arial"/>
        </w:rPr>
      </w:pPr>
    </w:p>
    <w:p w14:paraId="25FDEBDF" w14:textId="77777777" w:rsidR="00F459B5" w:rsidRPr="00E9741E" w:rsidRDefault="00F459B5" w:rsidP="004B6D9F">
      <w:pPr>
        <w:spacing w:line="360" w:lineRule="auto"/>
        <w:jc w:val="right"/>
        <w:rPr>
          <w:rFonts w:ascii="Arial" w:hAnsi="Arial" w:cs="Arial"/>
          <w:sz w:val="22"/>
          <w:szCs w:val="22"/>
        </w:rPr>
      </w:pPr>
    </w:p>
    <w:p w14:paraId="51F965FE" w14:textId="58BD6EF3" w:rsidR="00790CE0" w:rsidRPr="00AD77A8" w:rsidRDefault="00110782" w:rsidP="004B6D9F">
      <w:pPr>
        <w:spacing w:line="360" w:lineRule="auto"/>
        <w:jc w:val="right"/>
        <w:rPr>
          <w:rFonts w:ascii="Arial" w:hAnsi="Arial" w:cs="Arial"/>
        </w:rPr>
      </w:pPr>
      <w:r>
        <w:rPr>
          <w:rFonts w:ascii="Arial" w:hAnsi="Arial" w:cs="Arial"/>
        </w:rPr>
        <w:t xml:space="preserve">                               </w:t>
      </w:r>
      <w:r w:rsidR="00790CE0" w:rsidRPr="00AD77A8">
        <w:rPr>
          <w:rFonts w:ascii="Arial" w:hAnsi="Arial" w:cs="Arial"/>
        </w:rPr>
        <w:t xml:space="preserve">                       ________________________________</w:t>
      </w:r>
    </w:p>
    <w:p w14:paraId="67CAB3D6" w14:textId="77777777" w:rsidR="00790CE0" w:rsidRPr="00AD77A8" w:rsidRDefault="00790CE0" w:rsidP="004B6D9F">
      <w:pPr>
        <w:widowControl w:val="0"/>
        <w:tabs>
          <w:tab w:val="left" w:pos="0"/>
        </w:tabs>
        <w:spacing w:before="240" w:after="240" w:line="360" w:lineRule="auto"/>
        <w:ind w:left="1080"/>
        <w:contextualSpacing/>
        <w:jc w:val="right"/>
        <w:outlineLvl w:val="0"/>
        <w:rPr>
          <w:rFonts w:ascii="Arial" w:hAnsi="Arial" w:cs="Arial"/>
          <w:b/>
        </w:rPr>
      </w:pPr>
      <w:r w:rsidRPr="00AD77A8">
        <w:rPr>
          <w:rFonts w:ascii="Arial" w:hAnsi="Arial" w:cs="Arial"/>
        </w:rPr>
        <w:t xml:space="preserve">                                                                  </w:t>
      </w:r>
      <w:r w:rsidRPr="00AD77A8">
        <w:rPr>
          <w:rFonts w:ascii="Arial" w:hAnsi="Arial" w:cs="Arial"/>
          <w:b/>
        </w:rPr>
        <w:t xml:space="preserve"> THUPAATLASE AJ</w:t>
      </w:r>
    </w:p>
    <w:p w14:paraId="66620E87" w14:textId="77777777" w:rsidR="00790CE0" w:rsidRPr="00AD77A8" w:rsidRDefault="00790CE0" w:rsidP="004B6D9F">
      <w:pPr>
        <w:widowControl w:val="0"/>
        <w:tabs>
          <w:tab w:val="left" w:pos="0"/>
        </w:tabs>
        <w:spacing w:before="240" w:after="240" w:line="360" w:lineRule="auto"/>
        <w:ind w:left="1080"/>
        <w:contextualSpacing/>
        <w:jc w:val="right"/>
        <w:outlineLvl w:val="0"/>
        <w:rPr>
          <w:rFonts w:ascii="Arial" w:hAnsi="Arial" w:cs="Arial"/>
          <w:b/>
        </w:rPr>
      </w:pPr>
      <w:r w:rsidRPr="00AD77A8">
        <w:rPr>
          <w:rFonts w:ascii="Arial" w:hAnsi="Arial" w:cs="Arial"/>
          <w:b/>
        </w:rPr>
        <w:t xml:space="preserve">                                                       HIGH COURT ACTING JUDGE </w:t>
      </w:r>
    </w:p>
    <w:p w14:paraId="5AD43F90" w14:textId="77777777" w:rsidR="00790CE0" w:rsidRPr="00AD77A8" w:rsidRDefault="00790CE0" w:rsidP="004B6D9F">
      <w:pPr>
        <w:widowControl w:val="0"/>
        <w:tabs>
          <w:tab w:val="left" w:pos="0"/>
        </w:tabs>
        <w:spacing w:before="240" w:after="240" w:line="360" w:lineRule="auto"/>
        <w:ind w:left="1080"/>
        <w:contextualSpacing/>
        <w:jc w:val="right"/>
        <w:outlineLvl w:val="0"/>
        <w:rPr>
          <w:rFonts w:ascii="Arial" w:hAnsi="Arial" w:cs="Arial"/>
          <w:b/>
        </w:rPr>
      </w:pPr>
      <w:r w:rsidRPr="00AD77A8">
        <w:rPr>
          <w:rFonts w:ascii="Arial" w:hAnsi="Arial" w:cs="Arial"/>
        </w:rPr>
        <w:t xml:space="preserve">                                                     </w:t>
      </w:r>
      <w:r w:rsidRPr="00AD77A8">
        <w:rPr>
          <w:rFonts w:ascii="Arial" w:hAnsi="Arial" w:cs="Arial"/>
          <w:b/>
        </w:rPr>
        <w:t>GAUTENG LOCAL DIVISION</w:t>
      </w:r>
    </w:p>
    <w:p w14:paraId="169B3C25" w14:textId="77777777" w:rsidR="00790CE0" w:rsidRPr="00AD77A8" w:rsidRDefault="00790CE0" w:rsidP="00090510">
      <w:pPr>
        <w:spacing w:line="360" w:lineRule="auto"/>
        <w:jc w:val="both"/>
        <w:rPr>
          <w:rFonts w:ascii="Arial" w:hAnsi="Arial" w:cs="Arial"/>
          <w:b/>
        </w:rPr>
      </w:pPr>
    </w:p>
    <w:p w14:paraId="318542B6" w14:textId="77777777" w:rsidR="006F6C3A" w:rsidRPr="00AD77A8" w:rsidRDefault="006F6C3A" w:rsidP="00090510">
      <w:pPr>
        <w:widowControl w:val="0"/>
        <w:tabs>
          <w:tab w:val="left" w:pos="0"/>
        </w:tabs>
        <w:spacing w:before="240" w:after="240" w:line="360" w:lineRule="auto"/>
        <w:contextualSpacing/>
        <w:jc w:val="both"/>
        <w:outlineLvl w:val="0"/>
        <w:rPr>
          <w:rFonts w:ascii="Arial" w:hAnsi="Arial" w:cs="Arial"/>
          <w:b/>
        </w:rPr>
      </w:pPr>
    </w:p>
    <w:p w14:paraId="605D10E3" w14:textId="0EA2149F" w:rsidR="006F6C3A" w:rsidRPr="00AD77A8" w:rsidRDefault="006F6C3A" w:rsidP="00090510">
      <w:pPr>
        <w:widowControl w:val="0"/>
        <w:tabs>
          <w:tab w:val="left" w:pos="0"/>
        </w:tabs>
        <w:spacing w:before="240" w:after="240" w:line="360" w:lineRule="auto"/>
        <w:contextualSpacing/>
        <w:jc w:val="both"/>
        <w:outlineLvl w:val="0"/>
        <w:rPr>
          <w:rFonts w:ascii="Arial" w:hAnsi="Arial" w:cs="Arial"/>
          <w:bCs/>
        </w:rPr>
      </w:pPr>
      <w:r w:rsidRPr="00AD77A8">
        <w:rPr>
          <w:rFonts w:ascii="Arial" w:hAnsi="Arial" w:cs="Arial"/>
          <w:bCs/>
        </w:rPr>
        <w:t>D</w:t>
      </w:r>
      <w:r w:rsidR="00790CE0" w:rsidRPr="00AD77A8">
        <w:rPr>
          <w:rFonts w:ascii="Arial" w:hAnsi="Arial" w:cs="Arial"/>
          <w:bCs/>
        </w:rPr>
        <w:t>ate o</w:t>
      </w:r>
      <w:r w:rsidR="0016480B" w:rsidRPr="00AD77A8">
        <w:rPr>
          <w:rFonts w:ascii="Arial" w:hAnsi="Arial" w:cs="Arial"/>
          <w:bCs/>
        </w:rPr>
        <w:t xml:space="preserve">f Hearing: </w:t>
      </w:r>
      <w:r w:rsidR="000B2D39">
        <w:rPr>
          <w:rFonts w:ascii="Arial" w:hAnsi="Arial" w:cs="Arial"/>
          <w:bCs/>
        </w:rPr>
        <w:t>26 October 2023</w:t>
      </w:r>
    </w:p>
    <w:p w14:paraId="429AC278" w14:textId="3FA22456" w:rsidR="006F6C3A" w:rsidRPr="00AD77A8" w:rsidRDefault="006F6C3A" w:rsidP="00090510">
      <w:pPr>
        <w:tabs>
          <w:tab w:val="right" w:pos="0"/>
        </w:tabs>
        <w:spacing w:after="200" w:line="360" w:lineRule="auto"/>
        <w:jc w:val="both"/>
        <w:outlineLvl w:val="0"/>
        <w:rPr>
          <w:rFonts w:ascii="Arial" w:hAnsi="Arial" w:cs="Arial"/>
          <w:bCs/>
        </w:rPr>
      </w:pPr>
      <w:r w:rsidRPr="00AD77A8">
        <w:rPr>
          <w:rFonts w:ascii="Arial" w:hAnsi="Arial" w:cs="Arial"/>
          <w:bCs/>
        </w:rPr>
        <w:t xml:space="preserve">Judgment Delivered: </w:t>
      </w:r>
      <w:r w:rsidR="007A12DD">
        <w:rPr>
          <w:rFonts w:ascii="Arial" w:hAnsi="Arial" w:cs="Arial"/>
          <w:bCs/>
        </w:rPr>
        <w:t>3</w:t>
      </w:r>
      <w:r w:rsidR="001E3D9C">
        <w:rPr>
          <w:rFonts w:ascii="Arial" w:hAnsi="Arial" w:cs="Arial"/>
          <w:bCs/>
        </w:rPr>
        <w:t>1</w:t>
      </w:r>
      <w:r w:rsidR="007A12DD">
        <w:rPr>
          <w:rFonts w:ascii="Arial" w:hAnsi="Arial" w:cs="Arial"/>
          <w:bCs/>
        </w:rPr>
        <w:t xml:space="preserve"> January 2024</w:t>
      </w:r>
    </w:p>
    <w:p w14:paraId="50E24711" w14:textId="672DA1BE" w:rsidR="00790CE0" w:rsidRPr="00AD77A8" w:rsidRDefault="0016480B" w:rsidP="004B6D9F">
      <w:pPr>
        <w:spacing w:line="360" w:lineRule="auto"/>
        <w:ind w:left="3600" w:hanging="3600"/>
        <w:jc w:val="both"/>
        <w:outlineLvl w:val="0"/>
        <w:rPr>
          <w:rFonts w:ascii="Arial" w:hAnsi="Arial" w:cs="Arial"/>
          <w:bCs/>
        </w:rPr>
      </w:pPr>
      <w:r w:rsidRPr="00AD77A8">
        <w:rPr>
          <w:rFonts w:ascii="Arial" w:hAnsi="Arial" w:cs="Arial"/>
          <w:bCs/>
        </w:rPr>
        <w:t>For the Applicant:</w:t>
      </w:r>
      <w:r w:rsidR="00F772DE">
        <w:rPr>
          <w:rFonts w:ascii="Arial" w:hAnsi="Arial" w:cs="Arial"/>
          <w:bCs/>
        </w:rPr>
        <w:t xml:space="preserve"> </w:t>
      </w:r>
      <w:r w:rsidR="001F079F">
        <w:rPr>
          <w:rFonts w:ascii="Arial" w:hAnsi="Arial" w:cs="Arial"/>
          <w:bCs/>
        </w:rPr>
        <w:t xml:space="preserve">Adv. </w:t>
      </w:r>
      <w:r w:rsidR="00F772DE" w:rsidRPr="00F772DE">
        <w:rPr>
          <w:rFonts w:ascii="Arial" w:hAnsi="Arial" w:cs="Arial"/>
          <w:bCs/>
        </w:rPr>
        <w:t>J</w:t>
      </w:r>
      <w:r w:rsidR="001E3D9C">
        <w:rPr>
          <w:rFonts w:ascii="Arial" w:hAnsi="Arial" w:cs="Arial"/>
          <w:bCs/>
        </w:rPr>
        <w:t>eanne Ma</w:t>
      </w:r>
      <w:r w:rsidR="001F079F">
        <w:rPr>
          <w:rFonts w:ascii="Arial" w:hAnsi="Arial" w:cs="Arial"/>
          <w:bCs/>
        </w:rPr>
        <w:t>ri</w:t>
      </w:r>
      <w:r w:rsidR="00F772DE" w:rsidRPr="00F772DE">
        <w:rPr>
          <w:rFonts w:ascii="Arial" w:hAnsi="Arial" w:cs="Arial"/>
          <w:bCs/>
        </w:rPr>
        <w:t xml:space="preserve"> Butler</w:t>
      </w:r>
    </w:p>
    <w:p w14:paraId="13CD4925" w14:textId="1260D9AF" w:rsidR="006F6C3A" w:rsidRPr="00AD77A8" w:rsidRDefault="00790CE0" w:rsidP="00090510">
      <w:pPr>
        <w:spacing w:line="360" w:lineRule="auto"/>
        <w:ind w:left="3600" w:hanging="3600"/>
        <w:jc w:val="both"/>
        <w:outlineLvl w:val="0"/>
        <w:rPr>
          <w:rFonts w:ascii="Arial" w:hAnsi="Arial" w:cs="Arial"/>
          <w:bCs/>
        </w:rPr>
      </w:pPr>
      <w:r w:rsidRPr="00AD77A8">
        <w:rPr>
          <w:rFonts w:ascii="Arial" w:hAnsi="Arial" w:cs="Arial"/>
          <w:bCs/>
        </w:rPr>
        <w:t>Instructed by</w:t>
      </w:r>
      <w:r w:rsidR="00DF6EFA" w:rsidRPr="00AD77A8">
        <w:rPr>
          <w:rFonts w:ascii="Arial" w:hAnsi="Arial" w:cs="Arial"/>
          <w:bCs/>
        </w:rPr>
        <w:t xml:space="preserve">: </w:t>
      </w:r>
      <w:r w:rsidR="0016480B" w:rsidRPr="00AD77A8">
        <w:rPr>
          <w:rFonts w:ascii="Arial" w:hAnsi="Arial" w:cs="Arial"/>
          <w:bCs/>
        </w:rPr>
        <w:t xml:space="preserve"> </w:t>
      </w:r>
      <w:r w:rsidR="001F079F">
        <w:rPr>
          <w:rFonts w:ascii="Arial" w:hAnsi="Arial" w:cs="Arial"/>
          <w:bCs/>
        </w:rPr>
        <w:t>NVDB Attorneys</w:t>
      </w:r>
      <w:r w:rsidR="0016480B" w:rsidRPr="00AD77A8">
        <w:rPr>
          <w:rFonts w:ascii="Arial" w:hAnsi="Arial" w:cs="Arial"/>
          <w:bCs/>
        </w:rPr>
        <w:t xml:space="preserve">           </w:t>
      </w:r>
    </w:p>
    <w:p w14:paraId="457BCE7B" w14:textId="77777777" w:rsidR="006F6C3A" w:rsidRPr="00AD77A8" w:rsidRDefault="006F6C3A" w:rsidP="00090510">
      <w:pPr>
        <w:spacing w:line="360" w:lineRule="auto"/>
        <w:jc w:val="both"/>
        <w:outlineLvl w:val="0"/>
        <w:rPr>
          <w:rFonts w:ascii="Arial" w:hAnsi="Arial" w:cs="Arial"/>
          <w:bCs/>
        </w:rPr>
      </w:pPr>
    </w:p>
    <w:p w14:paraId="43C331F8" w14:textId="3E2CD5DE" w:rsidR="006F6C3A" w:rsidRPr="00AD77A8" w:rsidRDefault="0016480B" w:rsidP="00090510">
      <w:pPr>
        <w:spacing w:line="360" w:lineRule="auto"/>
        <w:jc w:val="both"/>
        <w:outlineLvl w:val="0"/>
        <w:rPr>
          <w:rFonts w:ascii="Arial" w:hAnsi="Arial" w:cs="Arial"/>
          <w:bCs/>
        </w:rPr>
      </w:pPr>
      <w:r w:rsidRPr="00AD77A8">
        <w:rPr>
          <w:rFonts w:ascii="Arial" w:hAnsi="Arial" w:cs="Arial"/>
          <w:bCs/>
        </w:rPr>
        <w:t>For the Respondent:</w:t>
      </w:r>
      <w:r w:rsidR="001B7166">
        <w:rPr>
          <w:rFonts w:ascii="Arial" w:hAnsi="Arial" w:cs="Arial"/>
          <w:bCs/>
        </w:rPr>
        <w:t xml:space="preserve"> Adv. Z Cornelissen</w:t>
      </w:r>
    </w:p>
    <w:p w14:paraId="3260D3C8" w14:textId="5E943099" w:rsidR="006F6C3A" w:rsidRPr="00AD77A8" w:rsidRDefault="0016480B" w:rsidP="00090510">
      <w:pPr>
        <w:spacing w:line="360" w:lineRule="auto"/>
        <w:jc w:val="both"/>
        <w:rPr>
          <w:rFonts w:ascii="Arial" w:hAnsi="Arial" w:cs="Arial"/>
          <w:bCs/>
        </w:rPr>
      </w:pPr>
      <w:r w:rsidRPr="00AD77A8">
        <w:rPr>
          <w:rFonts w:ascii="Arial" w:hAnsi="Arial" w:cs="Arial"/>
          <w:bCs/>
        </w:rPr>
        <w:t>Instructed</w:t>
      </w:r>
      <w:r w:rsidR="00DF6EFA" w:rsidRPr="00AD77A8">
        <w:rPr>
          <w:rFonts w:ascii="Arial" w:hAnsi="Arial" w:cs="Arial"/>
          <w:bCs/>
        </w:rPr>
        <w:t xml:space="preserve">: </w:t>
      </w:r>
      <w:r w:rsidR="00581601" w:rsidRPr="00AD77A8">
        <w:rPr>
          <w:rFonts w:ascii="Arial" w:hAnsi="Arial" w:cs="Arial"/>
          <w:bCs/>
        </w:rPr>
        <w:t xml:space="preserve"> </w:t>
      </w:r>
      <w:r w:rsidR="001B7166">
        <w:rPr>
          <w:rFonts w:ascii="Arial" w:hAnsi="Arial" w:cs="Arial"/>
          <w:bCs/>
        </w:rPr>
        <w:t xml:space="preserve">Van Rensburg </w:t>
      </w:r>
      <w:r w:rsidR="009E56CB">
        <w:rPr>
          <w:rFonts w:ascii="Arial" w:hAnsi="Arial" w:cs="Arial"/>
          <w:bCs/>
        </w:rPr>
        <w:t xml:space="preserve">Mabokwe Attorneys </w:t>
      </w:r>
    </w:p>
    <w:p w14:paraId="47A96D95" w14:textId="77777777" w:rsidR="006F6C3A" w:rsidRPr="00AD77A8" w:rsidRDefault="006F6C3A" w:rsidP="006F6C3A">
      <w:pPr>
        <w:spacing w:line="360" w:lineRule="auto"/>
        <w:jc w:val="both"/>
        <w:rPr>
          <w:rFonts w:ascii="Arial" w:hAnsi="Arial" w:cs="Arial"/>
          <w:bCs/>
        </w:rPr>
      </w:pPr>
    </w:p>
    <w:bookmarkEnd w:id="0"/>
    <w:p w14:paraId="49DDC35F" w14:textId="77777777" w:rsidR="006F7C88" w:rsidRPr="00AD77A8" w:rsidRDefault="006F7C88">
      <w:pPr>
        <w:rPr>
          <w:rFonts w:ascii="Arial" w:hAnsi="Arial" w:cs="Arial"/>
        </w:rPr>
      </w:pPr>
    </w:p>
    <w:sectPr w:rsidR="006F7C88" w:rsidRPr="00AD77A8" w:rsidSect="00A121E0">
      <w:headerReference w:type="default" r:id="rId11"/>
      <w:footerReference w:type="default" r:id="rId1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4ACEF" w14:textId="77777777" w:rsidR="00EF3AA6" w:rsidRDefault="00EF3AA6" w:rsidP="006F6C3A">
      <w:r>
        <w:separator/>
      </w:r>
    </w:p>
  </w:endnote>
  <w:endnote w:type="continuationSeparator" w:id="0">
    <w:p w14:paraId="5A8DDE3B" w14:textId="77777777" w:rsidR="00EF3AA6" w:rsidRDefault="00EF3AA6" w:rsidP="006F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929055"/>
      <w:docPartObj>
        <w:docPartGallery w:val="Page Numbers (Bottom of Page)"/>
        <w:docPartUnique/>
      </w:docPartObj>
    </w:sdtPr>
    <w:sdtEndPr>
      <w:rPr>
        <w:noProof/>
      </w:rPr>
    </w:sdtEndPr>
    <w:sdtContent>
      <w:p w14:paraId="13B73DC2" w14:textId="42623B24" w:rsidR="0008736F" w:rsidRDefault="0008736F">
        <w:pPr>
          <w:pStyle w:val="Footer"/>
          <w:jc w:val="center"/>
        </w:pPr>
        <w:r>
          <w:fldChar w:fldCharType="begin"/>
        </w:r>
        <w:r>
          <w:instrText xml:space="preserve"> PAGE   \* MERGEFORMAT </w:instrText>
        </w:r>
        <w:r>
          <w:fldChar w:fldCharType="separate"/>
        </w:r>
        <w:r w:rsidR="00216819">
          <w:rPr>
            <w:noProof/>
          </w:rPr>
          <w:t>2</w:t>
        </w:r>
        <w:r>
          <w:rPr>
            <w:noProof/>
          </w:rPr>
          <w:fldChar w:fldCharType="end"/>
        </w:r>
      </w:p>
    </w:sdtContent>
  </w:sdt>
  <w:p w14:paraId="28CCD18C" w14:textId="77777777" w:rsidR="0008736F" w:rsidRDefault="000873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745F6" w14:textId="77777777" w:rsidR="00EF3AA6" w:rsidRDefault="00EF3AA6" w:rsidP="006F6C3A">
      <w:r>
        <w:separator/>
      </w:r>
    </w:p>
  </w:footnote>
  <w:footnote w:type="continuationSeparator" w:id="0">
    <w:p w14:paraId="2607A7F8" w14:textId="77777777" w:rsidR="00EF3AA6" w:rsidRDefault="00EF3AA6" w:rsidP="006F6C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75C4C" w14:textId="021C9FC5" w:rsidR="00790F52" w:rsidRDefault="00790F52">
    <w:pPr>
      <w:pStyle w:val="Header"/>
      <w:jc w:val="right"/>
    </w:pPr>
  </w:p>
  <w:p w14:paraId="43ECA7CD" w14:textId="77777777" w:rsidR="00790F52" w:rsidRDefault="00790F5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DDB"/>
    <w:multiLevelType w:val="hybridMultilevel"/>
    <w:tmpl w:val="2C787248"/>
    <w:lvl w:ilvl="0" w:tplc="66CE4E48">
      <w:start w:val="1"/>
      <w:numFmt w:val="decimal"/>
      <w:lvlText w:val="[%1] "/>
      <w:lvlJc w:val="left"/>
      <w:pPr>
        <w:ind w:left="6739"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E84E7F"/>
    <w:multiLevelType w:val="hybridMultilevel"/>
    <w:tmpl w:val="071ADE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70923A9"/>
    <w:multiLevelType w:val="hybridMultilevel"/>
    <w:tmpl w:val="10CA8D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4" w15:restartNumberingAfterBreak="0">
    <w:nsid w:val="112328DA"/>
    <w:multiLevelType w:val="hybridMultilevel"/>
    <w:tmpl w:val="063C81F4"/>
    <w:lvl w:ilvl="0" w:tplc="F87A15E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0D51699"/>
    <w:multiLevelType w:val="hybridMultilevel"/>
    <w:tmpl w:val="279E2E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7C05383"/>
    <w:multiLevelType w:val="multilevel"/>
    <w:tmpl w:val="E0DCD312"/>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7" w15:restartNumberingAfterBreak="0">
    <w:nsid w:val="4A8818A2"/>
    <w:multiLevelType w:val="hybridMultilevel"/>
    <w:tmpl w:val="48122E4C"/>
    <w:lvl w:ilvl="0" w:tplc="4170BD78">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C8D2DE3"/>
    <w:multiLevelType w:val="hybridMultilevel"/>
    <w:tmpl w:val="2CF06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D368C9"/>
    <w:multiLevelType w:val="multilevel"/>
    <w:tmpl w:val="86E6CC9E"/>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7"/>
  </w:num>
  <w:num w:numId="5">
    <w:abstractNumId w:val="6"/>
  </w:num>
  <w:num w:numId="6">
    <w:abstractNumId w:val="4"/>
  </w:num>
  <w:num w:numId="7">
    <w:abstractNumId w:val="5"/>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Q0NzI3MDS2MDayMDdS0lEKTi0uzszPAykwrAUAyfq0kiwAAAA="/>
  </w:docVars>
  <w:rsids>
    <w:rsidRoot w:val="006F6C3A"/>
    <w:rsid w:val="00001B77"/>
    <w:rsid w:val="0000274C"/>
    <w:rsid w:val="000042C1"/>
    <w:rsid w:val="000050E7"/>
    <w:rsid w:val="000115E9"/>
    <w:rsid w:val="00014845"/>
    <w:rsid w:val="00015E08"/>
    <w:rsid w:val="000168C8"/>
    <w:rsid w:val="00020C24"/>
    <w:rsid w:val="0003376D"/>
    <w:rsid w:val="00036759"/>
    <w:rsid w:val="00043A65"/>
    <w:rsid w:val="00046418"/>
    <w:rsid w:val="00046814"/>
    <w:rsid w:val="00051C21"/>
    <w:rsid w:val="00054400"/>
    <w:rsid w:val="00054651"/>
    <w:rsid w:val="00054FD3"/>
    <w:rsid w:val="000557CD"/>
    <w:rsid w:val="00056A20"/>
    <w:rsid w:val="000577D1"/>
    <w:rsid w:val="0006195B"/>
    <w:rsid w:val="00065562"/>
    <w:rsid w:val="000665CD"/>
    <w:rsid w:val="00072238"/>
    <w:rsid w:val="00074DE9"/>
    <w:rsid w:val="00077E9D"/>
    <w:rsid w:val="00080C2E"/>
    <w:rsid w:val="00080F6E"/>
    <w:rsid w:val="00081436"/>
    <w:rsid w:val="00081CDF"/>
    <w:rsid w:val="00081F32"/>
    <w:rsid w:val="00082B08"/>
    <w:rsid w:val="0008736F"/>
    <w:rsid w:val="00090510"/>
    <w:rsid w:val="000926D1"/>
    <w:rsid w:val="0009445E"/>
    <w:rsid w:val="00097D65"/>
    <w:rsid w:val="000A3C4F"/>
    <w:rsid w:val="000A6713"/>
    <w:rsid w:val="000B0D9C"/>
    <w:rsid w:val="000B1773"/>
    <w:rsid w:val="000B2D39"/>
    <w:rsid w:val="000B3A4F"/>
    <w:rsid w:val="000B55AB"/>
    <w:rsid w:val="000B68D4"/>
    <w:rsid w:val="000B6DC3"/>
    <w:rsid w:val="000B72C1"/>
    <w:rsid w:val="000C0AE3"/>
    <w:rsid w:val="000C0F7A"/>
    <w:rsid w:val="000C0F81"/>
    <w:rsid w:val="000C18DA"/>
    <w:rsid w:val="000C2E65"/>
    <w:rsid w:val="000C601D"/>
    <w:rsid w:val="000C73D8"/>
    <w:rsid w:val="000D2E5B"/>
    <w:rsid w:val="000D734B"/>
    <w:rsid w:val="000D74EA"/>
    <w:rsid w:val="000E164E"/>
    <w:rsid w:val="000E618E"/>
    <w:rsid w:val="000F2804"/>
    <w:rsid w:val="000F4159"/>
    <w:rsid w:val="000F4317"/>
    <w:rsid w:val="000F4C8C"/>
    <w:rsid w:val="001032A2"/>
    <w:rsid w:val="001073CE"/>
    <w:rsid w:val="00110782"/>
    <w:rsid w:val="00110BDE"/>
    <w:rsid w:val="00112579"/>
    <w:rsid w:val="0011295B"/>
    <w:rsid w:val="00116B1F"/>
    <w:rsid w:val="00122890"/>
    <w:rsid w:val="00122F4C"/>
    <w:rsid w:val="001247FB"/>
    <w:rsid w:val="001254D8"/>
    <w:rsid w:val="00133045"/>
    <w:rsid w:val="001403B3"/>
    <w:rsid w:val="001429B2"/>
    <w:rsid w:val="0014318F"/>
    <w:rsid w:val="0014482D"/>
    <w:rsid w:val="00145151"/>
    <w:rsid w:val="00146857"/>
    <w:rsid w:val="0015184F"/>
    <w:rsid w:val="00151AB0"/>
    <w:rsid w:val="00153D61"/>
    <w:rsid w:val="00163BFD"/>
    <w:rsid w:val="0016480B"/>
    <w:rsid w:val="00164FF6"/>
    <w:rsid w:val="001725ED"/>
    <w:rsid w:val="00174716"/>
    <w:rsid w:val="00176AFD"/>
    <w:rsid w:val="00176E12"/>
    <w:rsid w:val="0017716D"/>
    <w:rsid w:val="001832ED"/>
    <w:rsid w:val="00186245"/>
    <w:rsid w:val="00187C86"/>
    <w:rsid w:val="00190D36"/>
    <w:rsid w:val="00193965"/>
    <w:rsid w:val="0019786B"/>
    <w:rsid w:val="001A25D9"/>
    <w:rsid w:val="001A4E6D"/>
    <w:rsid w:val="001A510B"/>
    <w:rsid w:val="001A59E7"/>
    <w:rsid w:val="001A6974"/>
    <w:rsid w:val="001B0809"/>
    <w:rsid w:val="001B294F"/>
    <w:rsid w:val="001B4251"/>
    <w:rsid w:val="001B7166"/>
    <w:rsid w:val="001C3223"/>
    <w:rsid w:val="001C4004"/>
    <w:rsid w:val="001C6009"/>
    <w:rsid w:val="001C6C91"/>
    <w:rsid w:val="001D0F1D"/>
    <w:rsid w:val="001D1849"/>
    <w:rsid w:val="001D444B"/>
    <w:rsid w:val="001D59B9"/>
    <w:rsid w:val="001D6751"/>
    <w:rsid w:val="001D69A2"/>
    <w:rsid w:val="001D7C9B"/>
    <w:rsid w:val="001E0524"/>
    <w:rsid w:val="001E119D"/>
    <w:rsid w:val="001E16C8"/>
    <w:rsid w:val="001E3D9C"/>
    <w:rsid w:val="001E41B6"/>
    <w:rsid w:val="001E5F4C"/>
    <w:rsid w:val="001F079F"/>
    <w:rsid w:val="001F0F4C"/>
    <w:rsid w:val="001F2AA0"/>
    <w:rsid w:val="001F3FD5"/>
    <w:rsid w:val="001F5329"/>
    <w:rsid w:val="001F691D"/>
    <w:rsid w:val="001F754D"/>
    <w:rsid w:val="00201890"/>
    <w:rsid w:val="0020240A"/>
    <w:rsid w:val="0020271A"/>
    <w:rsid w:val="002057FB"/>
    <w:rsid w:val="00205DAB"/>
    <w:rsid w:val="00206598"/>
    <w:rsid w:val="002100A7"/>
    <w:rsid w:val="00212148"/>
    <w:rsid w:val="00214339"/>
    <w:rsid w:val="00215CAC"/>
    <w:rsid w:val="00216819"/>
    <w:rsid w:val="002210E3"/>
    <w:rsid w:val="002223D8"/>
    <w:rsid w:val="00222BC7"/>
    <w:rsid w:val="00223B2E"/>
    <w:rsid w:val="00234B50"/>
    <w:rsid w:val="0023596F"/>
    <w:rsid w:val="00240400"/>
    <w:rsid w:val="00241413"/>
    <w:rsid w:val="002415F1"/>
    <w:rsid w:val="0024268E"/>
    <w:rsid w:val="002443F9"/>
    <w:rsid w:val="002461AC"/>
    <w:rsid w:val="00246E98"/>
    <w:rsid w:val="00247023"/>
    <w:rsid w:val="002471E2"/>
    <w:rsid w:val="002606F3"/>
    <w:rsid w:val="002620A6"/>
    <w:rsid w:val="00265EF4"/>
    <w:rsid w:val="00272657"/>
    <w:rsid w:val="00275424"/>
    <w:rsid w:val="00277016"/>
    <w:rsid w:val="00280D61"/>
    <w:rsid w:val="002815C1"/>
    <w:rsid w:val="0028352D"/>
    <w:rsid w:val="00283A88"/>
    <w:rsid w:val="00286BCD"/>
    <w:rsid w:val="00287BE3"/>
    <w:rsid w:val="0029022F"/>
    <w:rsid w:val="00291FA6"/>
    <w:rsid w:val="00292B63"/>
    <w:rsid w:val="002931E9"/>
    <w:rsid w:val="00296D23"/>
    <w:rsid w:val="002A0A22"/>
    <w:rsid w:val="002A0B0B"/>
    <w:rsid w:val="002A2ACF"/>
    <w:rsid w:val="002A3AA3"/>
    <w:rsid w:val="002B2709"/>
    <w:rsid w:val="002B3B26"/>
    <w:rsid w:val="002C1469"/>
    <w:rsid w:val="002C1DBA"/>
    <w:rsid w:val="002C2AA5"/>
    <w:rsid w:val="002C6836"/>
    <w:rsid w:val="002D2323"/>
    <w:rsid w:val="002D2FC2"/>
    <w:rsid w:val="002D3B9A"/>
    <w:rsid w:val="002D3DBB"/>
    <w:rsid w:val="002D452A"/>
    <w:rsid w:val="002D4585"/>
    <w:rsid w:val="002E1BDD"/>
    <w:rsid w:val="002E439A"/>
    <w:rsid w:val="002F022E"/>
    <w:rsid w:val="002F27DC"/>
    <w:rsid w:val="002F3EDD"/>
    <w:rsid w:val="002F7946"/>
    <w:rsid w:val="00301E12"/>
    <w:rsid w:val="0030233B"/>
    <w:rsid w:val="00310662"/>
    <w:rsid w:val="00311828"/>
    <w:rsid w:val="003131DF"/>
    <w:rsid w:val="00313A7E"/>
    <w:rsid w:val="00315711"/>
    <w:rsid w:val="00315D09"/>
    <w:rsid w:val="00321692"/>
    <w:rsid w:val="0032382A"/>
    <w:rsid w:val="00325632"/>
    <w:rsid w:val="00326E33"/>
    <w:rsid w:val="00327226"/>
    <w:rsid w:val="0032750B"/>
    <w:rsid w:val="00327D6F"/>
    <w:rsid w:val="0033073B"/>
    <w:rsid w:val="003325C1"/>
    <w:rsid w:val="00340370"/>
    <w:rsid w:val="003407AA"/>
    <w:rsid w:val="00341B66"/>
    <w:rsid w:val="00342F2F"/>
    <w:rsid w:val="00345633"/>
    <w:rsid w:val="003474AB"/>
    <w:rsid w:val="00347DF4"/>
    <w:rsid w:val="00352400"/>
    <w:rsid w:val="0035482D"/>
    <w:rsid w:val="003550AE"/>
    <w:rsid w:val="00356064"/>
    <w:rsid w:val="003565C3"/>
    <w:rsid w:val="00357BA4"/>
    <w:rsid w:val="0036146A"/>
    <w:rsid w:val="00364E37"/>
    <w:rsid w:val="003706C0"/>
    <w:rsid w:val="00371EC6"/>
    <w:rsid w:val="003724DC"/>
    <w:rsid w:val="00373E07"/>
    <w:rsid w:val="0037564F"/>
    <w:rsid w:val="00377172"/>
    <w:rsid w:val="00380742"/>
    <w:rsid w:val="0038097F"/>
    <w:rsid w:val="003818FA"/>
    <w:rsid w:val="0038295A"/>
    <w:rsid w:val="00385140"/>
    <w:rsid w:val="00391C71"/>
    <w:rsid w:val="00391CFB"/>
    <w:rsid w:val="003924F0"/>
    <w:rsid w:val="00392B07"/>
    <w:rsid w:val="0039335B"/>
    <w:rsid w:val="003A078B"/>
    <w:rsid w:val="003A07F0"/>
    <w:rsid w:val="003A5BB3"/>
    <w:rsid w:val="003B0068"/>
    <w:rsid w:val="003B1360"/>
    <w:rsid w:val="003B1B21"/>
    <w:rsid w:val="003B2394"/>
    <w:rsid w:val="003B47C6"/>
    <w:rsid w:val="003C0890"/>
    <w:rsid w:val="003C3EC1"/>
    <w:rsid w:val="003C7883"/>
    <w:rsid w:val="003C7C37"/>
    <w:rsid w:val="003C7CF4"/>
    <w:rsid w:val="003D0406"/>
    <w:rsid w:val="003D6639"/>
    <w:rsid w:val="003E6DAC"/>
    <w:rsid w:val="003F1747"/>
    <w:rsid w:val="003F1D23"/>
    <w:rsid w:val="003F1E0D"/>
    <w:rsid w:val="003F6815"/>
    <w:rsid w:val="003F6D36"/>
    <w:rsid w:val="003F756F"/>
    <w:rsid w:val="004042DB"/>
    <w:rsid w:val="004100BE"/>
    <w:rsid w:val="004119FE"/>
    <w:rsid w:val="0041302B"/>
    <w:rsid w:val="004130F4"/>
    <w:rsid w:val="00414053"/>
    <w:rsid w:val="0041557D"/>
    <w:rsid w:val="00416400"/>
    <w:rsid w:val="00417043"/>
    <w:rsid w:val="00420340"/>
    <w:rsid w:val="004210A3"/>
    <w:rsid w:val="0042298B"/>
    <w:rsid w:val="00425F4A"/>
    <w:rsid w:val="0042699D"/>
    <w:rsid w:val="004277D3"/>
    <w:rsid w:val="00433AA9"/>
    <w:rsid w:val="004349EA"/>
    <w:rsid w:val="00434DE4"/>
    <w:rsid w:val="004408BB"/>
    <w:rsid w:val="00443BE7"/>
    <w:rsid w:val="00450DBD"/>
    <w:rsid w:val="004518F0"/>
    <w:rsid w:val="00452901"/>
    <w:rsid w:val="0045644E"/>
    <w:rsid w:val="004572DF"/>
    <w:rsid w:val="00461276"/>
    <w:rsid w:val="004619AB"/>
    <w:rsid w:val="00467981"/>
    <w:rsid w:val="00475141"/>
    <w:rsid w:val="00480B3B"/>
    <w:rsid w:val="0048426D"/>
    <w:rsid w:val="00484E24"/>
    <w:rsid w:val="00485208"/>
    <w:rsid w:val="00490133"/>
    <w:rsid w:val="004922EB"/>
    <w:rsid w:val="00492FFC"/>
    <w:rsid w:val="004935D6"/>
    <w:rsid w:val="00493FFA"/>
    <w:rsid w:val="00495A36"/>
    <w:rsid w:val="004A3B1C"/>
    <w:rsid w:val="004B0CCE"/>
    <w:rsid w:val="004B1F17"/>
    <w:rsid w:val="004B3172"/>
    <w:rsid w:val="004B44A8"/>
    <w:rsid w:val="004B6D9F"/>
    <w:rsid w:val="004B707F"/>
    <w:rsid w:val="004C03E5"/>
    <w:rsid w:val="004C2D29"/>
    <w:rsid w:val="004C37A9"/>
    <w:rsid w:val="004C3AF8"/>
    <w:rsid w:val="004C5BD3"/>
    <w:rsid w:val="004D5C7C"/>
    <w:rsid w:val="004E0AD1"/>
    <w:rsid w:val="004E15CC"/>
    <w:rsid w:val="004E4EE8"/>
    <w:rsid w:val="004E5979"/>
    <w:rsid w:val="004F011A"/>
    <w:rsid w:val="004F3192"/>
    <w:rsid w:val="004F4235"/>
    <w:rsid w:val="004F4D0E"/>
    <w:rsid w:val="004F52D6"/>
    <w:rsid w:val="005047BD"/>
    <w:rsid w:val="00505373"/>
    <w:rsid w:val="005072BA"/>
    <w:rsid w:val="005135EF"/>
    <w:rsid w:val="005148B9"/>
    <w:rsid w:val="00523C88"/>
    <w:rsid w:val="0052491D"/>
    <w:rsid w:val="005309AD"/>
    <w:rsid w:val="00531461"/>
    <w:rsid w:val="00540504"/>
    <w:rsid w:val="005421F9"/>
    <w:rsid w:val="0054274F"/>
    <w:rsid w:val="00550EAE"/>
    <w:rsid w:val="00551489"/>
    <w:rsid w:val="00554E3F"/>
    <w:rsid w:val="005632E4"/>
    <w:rsid w:val="00565726"/>
    <w:rsid w:val="00571177"/>
    <w:rsid w:val="00571C43"/>
    <w:rsid w:val="00576A6B"/>
    <w:rsid w:val="00581601"/>
    <w:rsid w:val="00584420"/>
    <w:rsid w:val="00590B5D"/>
    <w:rsid w:val="00591116"/>
    <w:rsid w:val="00591960"/>
    <w:rsid w:val="00591C0F"/>
    <w:rsid w:val="005924FE"/>
    <w:rsid w:val="00594626"/>
    <w:rsid w:val="0059547B"/>
    <w:rsid w:val="0059777D"/>
    <w:rsid w:val="005A0EC3"/>
    <w:rsid w:val="005A12CD"/>
    <w:rsid w:val="005A3D34"/>
    <w:rsid w:val="005A4AFB"/>
    <w:rsid w:val="005A597E"/>
    <w:rsid w:val="005A6238"/>
    <w:rsid w:val="005A6D67"/>
    <w:rsid w:val="005A76BE"/>
    <w:rsid w:val="005B1E63"/>
    <w:rsid w:val="005B2E89"/>
    <w:rsid w:val="005B3368"/>
    <w:rsid w:val="005B65D9"/>
    <w:rsid w:val="005B6CE1"/>
    <w:rsid w:val="005B7A12"/>
    <w:rsid w:val="005C239A"/>
    <w:rsid w:val="005C240C"/>
    <w:rsid w:val="005C6F63"/>
    <w:rsid w:val="005C7F64"/>
    <w:rsid w:val="005D4D70"/>
    <w:rsid w:val="005E0302"/>
    <w:rsid w:val="005E1847"/>
    <w:rsid w:val="005E21B2"/>
    <w:rsid w:val="005E4B89"/>
    <w:rsid w:val="005E4E66"/>
    <w:rsid w:val="005F0F8D"/>
    <w:rsid w:val="005F28FC"/>
    <w:rsid w:val="005F3CFC"/>
    <w:rsid w:val="005F567E"/>
    <w:rsid w:val="00604A99"/>
    <w:rsid w:val="006062FA"/>
    <w:rsid w:val="00610637"/>
    <w:rsid w:val="00611F21"/>
    <w:rsid w:val="00612A46"/>
    <w:rsid w:val="00614C01"/>
    <w:rsid w:val="00615739"/>
    <w:rsid w:val="00616EC9"/>
    <w:rsid w:val="00620D9A"/>
    <w:rsid w:val="00621A5C"/>
    <w:rsid w:val="00623210"/>
    <w:rsid w:val="006257EC"/>
    <w:rsid w:val="00627BED"/>
    <w:rsid w:val="00631410"/>
    <w:rsid w:val="0063262D"/>
    <w:rsid w:val="006332AB"/>
    <w:rsid w:val="00634832"/>
    <w:rsid w:val="0064098C"/>
    <w:rsid w:val="00642C26"/>
    <w:rsid w:val="0065170F"/>
    <w:rsid w:val="00653CC8"/>
    <w:rsid w:val="00655434"/>
    <w:rsid w:val="0066072F"/>
    <w:rsid w:val="006613D4"/>
    <w:rsid w:val="006618A4"/>
    <w:rsid w:val="00670A8D"/>
    <w:rsid w:val="00670CF8"/>
    <w:rsid w:val="00670D43"/>
    <w:rsid w:val="00672699"/>
    <w:rsid w:val="006734D5"/>
    <w:rsid w:val="006734E9"/>
    <w:rsid w:val="00673E4D"/>
    <w:rsid w:val="00677E11"/>
    <w:rsid w:val="00682735"/>
    <w:rsid w:val="0068332A"/>
    <w:rsid w:val="006868B2"/>
    <w:rsid w:val="00687A62"/>
    <w:rsid w:val="00690F52"/>
    <w:rsid w:val="00691C02"/>
    <w:rsid w:val="00692D1D"/>
    <w:rsid w:val="00693F6B"/>
    <w:rsid w:val="00694957"/>
    <w:rsid w:val="00696225"/>
    <w:rsid w:val="00697C9D"/>
    <w:rsid w:val="006A13DF"/>
    <w:rsid w:val="006A3585"/>
    <w:rsid w:val="006A49E8"/>
    <w:rsid w:val="006A7281"/>
    <w:rsid w:val="006B0167"/>
    <w:rsid w:val="006B18F8"/>
    <w:rsid w:val="006B6113"/>
    <w:rsid w:val="006C2751"/>
    <w:rsid w:val="006C47B7"/>
    <w:rsid w:val="006C4C29"/>
    <w:rsid w:val="006C50B9"/>
    <w:rsid w:val="006D36A7"/>
    <w:rsid w:val="006D50CD"/>
    <w:rsid w:val="006D5484"/>
    <w:rsid w:val="006E05A8"/>
    <w:rsid w:val="006E10EA"/>
    <w:rsid w:val="006E3FE8"/>
    <w:rsid w:val="006E702B"/>
    <w:rsid w:val="006F0FE9"/>
    <w:rsid w:val="006F5C12"/>
    <w:rsid w:val="006F6C3A"/>
    <w:rsid w:val="006F7C88"/>
    <w:rsid w:val="006F7D67"/>
    <w:rsid w:val="00701B55"/>
    <w:rsid w:val="00707EDB"/>
    <w:rsid w:val="00712A8C"/>
    <w:rsid w:val="00712D13"/>
    <w:rsid w:val="0071384F"/>
    <w:rsid w:val="00714330"/>
    <w:rsid w:val="00714D55"/>
    <w:rsid w:val="0071508D"/>
    <w:rsid w:val="00715A3B"/>
    <w:rsid w:val="00717697"/>
    <w:rsid w:val="00723960"/>
    <w:rsid w:val="007251C1"/>
    <w:rsid w:val="00725E10"/>
    <w:rsid w:val="00727F72"/>
    <w:rsid w:val="00731AD1"/>
    <w:rsid w:val="00734A78"/>
    <w:rsid w:val="00740AFF"/>
    <w:rsid w:val="00745AAE"/>
    <w:rsid w:val="00751E51"/>
    <w:rsid w:val="00751FD2"/>
    <w:rsid w:val="00752D10"/>
    <w:rsid w:val="00753A4F"/>
    <w:rsid w:val="00755DB5"/>
    <w:rsid w:val="00762D73"/>
    <w:rsid w:val="00763AAF"/>
    <w:rsid w:val="00766252"/>
    <w:rsid w:val="00766276"/>
    <w:rsid w:val="007678CC"/>
    <w:rsid w:val="00774292"/>
    <w:rsid w:val="00775BFD"/>
    <w:rsid w:val="007869D8"/>
    <w:rsid w:val="00787060"/>
    <w:rsid w:val="00787966"/>
    <w:rsid w:val="00790CE0"/>
    <w:rsid w:val="00790F52"/>
    <w:rsid w:val="00792A03"/>
    <w:rsid w:val="007957A4"/>
    <w:rsid w:val="007A04D5"/>
    <w:rsid w:val="007A12DD"/>
    <w:rsid w:val="007A1D45"/>
    <w:rsid w:val="007A3786"/>
    <w:rsid w:val="007A719E"/>
    <w:rsid w:val="007B08A9"/>
    <w:rsid w:val="007B0C50"/>
    <w:rsid w:val="007B2400"/>
    <w:rsid w:val="007B3026"/>
    <w:rsid w:val="007B6267"/>
    <w:rsid w:val="007C028D"/>
    <w:rsid w:val="007C2730"/>
    <w:rsid w:val="007C2C67"/>
    <w:rsid w:val="007C4DC6"/>
    <w:rsid w:val="007C5CAB"/>
    <w:rsid w:val="007C615C"/>
    <w:rsid w:val="007C7F8E"/>
    <w:rsid w:val="007D464A"/>
    <w:rsid w:val="007E002F"/>
    <w:rsid w:val="007E31B4"/>
    <w:rsid w:val="007F1DB8"/>
    <w:rsid w:val="007F2453"/>
    <w:rsid w:val="007F55C8"/>
    <w:rsid w:val="007F63A6"/>
    <w:rsid w:val="007F6B55"/>
    <w:rsid w:val="007F7382"/>
    <w:rsid w:val="0080060F"/>
    <w:rsid w:val="00800DAD"/>
    <w:rsid w:val="008033AB"/>
    <w:rsid w:val="008069EB"/>
    <w:rsid w:val="008125EE"/>
    <w:rsid w:val="00812C2C"/>
    <w:rsid w:val="00815207"/>
    <w:rsid w:val="008153D3"/>
    <w:rsid w:val="00815CA4"/>
    <w:rsid w:val="00815E84"/>
    <w:rsid w:val="00820BA6"/>
    <w:rsid w:val="00820BD5"/>
    <w:rsid w:val="008230E4"/>
    <w:rsid w:val="0082398A"/>
    <w:rsid w:val="00824C64"/>
    <w:rsid w:val="00834686"/>
    <w:rsid w:val="0083569D"/>
    <w:rsid w:val="00835793"/>
    <w:rsid w:val="00836582"/>
    <w:rsid w:val="00840054"/>
    <w:rsid w:val="00840069"/>
    <w:rsid w:val="00843975"/>
    <w:rsid w:val="00844DE7"/>
    <w:rsid w:val="00851DA4"/>
    <w:rsid w:val="008523B7"/>
    <w:rsid w:val="00853BCD"/>
    <w:rsid w:val="00853D69"/>
    <w:rsid w:val="008541EF"/>
    <w:rsid w:val="008619DA"/>
    <w:rsid w:val="0086309E"/>
    <w:rsid w:val="00863930"/>
    <w:rsid w:val="00865121"/>
    <w:rsid w:val="008652EC"/>
    <w:rsid w:val="00865607"/>
    <w:rsid w:val="00866C07"/>
    <w:rsid w:val="0086737E"/>
    <w:rsid w:val="00873A8F"/>
    <w:rsid w:val="008745A0"/>
    <w:rsid w:val="008746C6"/>
    <w:rsid w:val="008806F8"/>
    <w:rsid w:val="0088317B"/>
    <w:rsid w:val="008866FC"/>
    <w:rsid w:val="00886C8F"/>
    <w:rsid w:val="008909BC"/>
    <w:rsid w:val="00893B86"/>
    <w:rsid w:val="008943C1"/>
    <w:rsid w:val="008A19E8"/>
    <w:rsid w:val="008A325A"/>
    <w:rsid w:val="008A402C"/>
    <w:rsid w:val="008A42C7"/>
    <w:rsid w:val="008A582D"/>
    <w:rsid w:val="008A75D3"/>
    <w:rsid w:val="008B08C0"/>
    <w:rsid w:val="008B2164"/>
    <w:rsid w:val="008B2A39"/>
    <w:rsid w:val="008B4840"/>
    <w:rsid w:val="008B4AA6"/>
    <w:rsid w:val="008B72EC"/>
    <w:rsid w:val="008C0993"/>
    <w:rsid w:val="008C0D0D"/>
    <w:rsid w:val="008C46BC"/>
    <w:rsid w:val="008C51CA"/>
    <w:rsid w:val="008C6708"/>
    <w:rsid w:val="008D1761"/>
    <w:rsid w:val="008D3F66"/>
    <w:rsid w:val="008D7578"/>
    <w:rsid w:val="008D7C1D"/>
    <w:rsid w:val="008E0BF9"/>
    <w:rsid w:val="008E1B3E"/>
    <w:rsid w:val="008F362A"/>
    <w:rsid w:val="008F442B"/>
    <w:rsid w:val="008F6510"/>
    <w:rsid w:val="008F7EFA"/>
    <w:rsid w:val="009108B3"/>
    <w:rsid w:val="00910F6D"/>
    <w:rsid w:val="00916EF5"/>
    <w:rsid w:val="00920F4E"/>
    <w:rsid w:val="0092198F"/>
    <w:rsid w:val="00923D2A"/>
    <w:rsid w:val="0092677E"/>
    <w:rsid w:val="00927664"/>
    <w:rsid w:val="0093148A"/>
    <w:rsid w:val="00931B2D"/>
    <w:rsid w:val="00932FC7"/>
    <w:rsid w:val="00935C9E"/>
    <w:rsid w:val="00941180"/>
    <w:rsid w:val="00943057"/>
    <w:rsid w:val="0094608A"/>
    <w:rsid w:val="00946CD2"/>
    <w:rsid w:val="009504CF"/>
    <w:rsid w:val="00952E3D"/>
    <w:rsid w:val="009549B1"/>
    <w:rsid w:val="00954CD8"/>
    <w:rsid w:val="00956FDB"/>
    <w:rsid w:val="00960BD6"/>
    <w:rsid w:val="009610DF"/>
    <w:rsid w:val="00962FE8"/>
    <w:rsid w:val="00964C9E"/>
    <w:rsid w:val="00966E6B"/>
    <w:rsid w:val="009711D1"/>
    <w:rsid w:val="00971302"/>
    <w:rsid w:val="00973675"/>
    <w:rsid w:val="009737D4"/>
    <w:rsid w:val="00975251"/>
    <w:rsid w:val="00976F7F"/>
    <w:rsid w:val="00980EF9"/>
    <w:rsid w:val="00981935"/>
    <w:rsid w:val="009828CC"/>
    <w:rsid w:val="00984C06"/>
    <w:rsid w:val="0099008D"/>
    <w:rsid w:val="00990EBF"/>
    <w:rsid w:val="009A0CCC"/>
    <w:rsid w:val="009A2331"/>
    <w:rsid w:val="009A332E"/>
    <w:rsid w:val="009A35A6"/>
    <w:rsid w:val="009A535F"/>
    <w:rsid w:val="009B28ED"/>
    <w:rsid w:val="009B3DF7"/>
    <w:rsid w:val="009C075C"/>
    <w:rsid w:val="009C1C52"/>
    <w:rsid w:val="009D0AE4"/>
    <w:rsid w:val="009D24D1"/>
    <w:rsid w:val="009D2A79"/>
    <w:rsid w:val="009D2E43"/>
    <w:rsid w:val="009D5761"/>
    <w:rsid w:val="009D5825"/>
    <w:rsid w:val="009D6348"/>
    <w:rsid w:val="009D7DDD"/>
    <w:rsid w:val="009E09E0"/>
    <w:rsid w:val="009E1BB0"/>
    <w:rsid w:val="009E56CB"/>
    <w:rsid w:val="009E57AA"/>
    <w:rsid w:val="009F1BB4"/>
    <w:rsid w:val="009F775A"/>
    <w:rsid w:val="009F7995"/>
    <w:rsid w:val="00A005D8"/>
    <w:rsid w:val="00A02838"/>
    <w:rsid w:val="00A037C0"/>
    <w:rsid w:val="00A121E0"/>
    <w:rsid w:val="00A131FC"/>
    <w:rsid w:val="00A13A15"/>
    <w:rsid w:val="00A14C11"/>
    <w:rsid w:val="00A22855"/>
    <w:rsid w:val="00A23C8D"/>
    <w:rsid w:val="00A252C3"/>
    <w:rsid w:val="00A2681D"/>
    <w:rsid w:val="00A30B3D"/>
    <w:rsid w:val="00A32C1C"/>
    <w:rsid w:val="00A341F1"/>
    <w:rsid w:val="00A3483C"/>
    <w:rsid w:val="00A36BD4"/>
    <w:rsid w:val="00A37826"/>
    <w:rsid w:val="00A3788B"/>
    <w:rsid w:val="00A37F8C"/>
    <w:rsid w:val="00A4274C"/>
    <w:rsid w:val="00A42D9C"/>
    <w:rsid w:val="00A43A40"/>
    <w:rsid w:val="00A46495"/>
    <w:rsid w:val="00A46B6D"/>
    <w:rsid w:val="00A47860"/>
    <w:rsid w:val="00A50B36"/>
    <w:rsid w:val="00A5585F"/>
    <w:rsid w:val="00A56446"/>
    <w:rsid w:val="00A570FA"/>
    <w:rsid w:val="00A61A1C"/>
    <w:rsid w:val="00A66589"/>
    <w:rsid w:val="00A677C2"/>
    <w:rsid w:val="00A67B05"/>
    <w:rsid w:val="00A720A7"/>
    <w:rsid w:val="00A72639"/>
    <w:rsid w:val="00A80EBF"/>
    <w:rsid w:val="00A81225"/>
    <w:rsid w:val="00A86586"/>
    <w:rsid w:val="00A90580"/>
    <w:rsid w:val="00A91BA9"/>
    <w:rsid w:val="00A93001"/>
    <w:rsid w:val="00AA19D2"/>
    <w:rsid w:val="00AA3F47"/>
    <w:rsid w:val="00AA4FD9"/>
    <w:rsid w:val="00AA6291"/>
    <w:rsid w:val="00AA7D33"/>
    <w:rsid w:val="00AB52ED"/>
    <w:rsid w:val="00AB5375"/>
    <w:rsid w:val="00AB6B6C"/>
    <w:rsid w:val="00AB78FE"/>
    <w:rsid w:val="00AC2000"/>
    <w:rsid w:val="00AC2132"/>
    <w:rsid w:val="00AD1F37"/>
    <w:rsid w:val="00AD308E"/>
    <w:rsid w:val="00AD46AF"/>
    <w:rsid w:val="00AD4F00"/>
    <w:rsid w:val="00AD77A8"/>
    <w:rsid w:val="00AD7A59"/>
    <w:rsid w:val="00AE123B"/>
    <w:rsid w:val="00AE4EE9"/>
    <w:rsid w:val="00AE725D"/>
    <w:rsid w:val="00AE7FC2"/>
    <w:rsid w:val="00AF6300"/>
    <w:rsid w:val="00B01232"/>
    <w:rsid w:val="00B02E1B"/>
    <w:rsid w:val="00B04BA0"/>
    <w:rsid w:val="00B04F3E"/>
    <w:rsid w:val="00B06692"/>
    <w:rsid w:val="00B10380"/>
    <w:rsid w:val="00B110CC"/>
    <w:rsid w:val="00B122E1"/>
    <w:rsid w:val="00B14782"/>
    <w:rsid w:val="00B1561F"/>
    <w:rsid w:val="00B25FD1"/>
    <w:rsid w:val="00B26474"/>
    <w:rsid w:val="00B304F9"/>
    <w:rsid w:val="00B30825"/>
    <w:rsid w:val="00B31912"/>
    <w:rsid w:val="00B35A57"/>
    <w:rsid w:val="00B43851"/>
    <w:rsid w:val="00B44498"/>
    <w:rsid w:val="00B44AAA"/>
    <w:rsid w:val="00B44D83"/>
    <w:rsid w:val="00B45827"/>
    <w:rsid w:val="00B467E9"/>
    <w:rsid w:val="00B472D5"/>
    <w:rsid w:val="00B53344"/>
    <w:rsid w:val="00B53C3D"/>
    <w:rsid w:val="00B53F11"/>
    <w:rsid w:val="00B57860"/>
    <w:rsid w:val="00B643CA"/>
    <w:rsid w:val="00B6657A"/>
    <w:rsid w:val="00B72B08"/>
    <w:rsid w:val="00B75F37"/>
    <w:rsid w:val="00B76BBC"/>
    <w:rsid w:val="00B80291"/>
    <w:rsid w:val="00B81E73"/>
    <w:rsid w:val="00B858B2"/>
    <w:rsid w:val="00B87C5F"/>
    <w:rsid w:val="00B94416"/>
    <w:rsid w:val="00B95528"/>
    <w:rsid w:val="00BA71CE"/>
    <w:rsid w:val="00BA73F9"/>
    <w:rsid w:val="00BA7416"/>
    <w:rsid w:val="00BB1B4B"/>
    <w:rsid w:val="00BB1FD6"/>
    <w:rsid w:val="00BB2C9E"/>
    <w:rsid w:val="00BB2D58"/>
    <w:rsid w:val="00BC07A4"/>
    <w:rsid w:val="00BC0E0A"/>
    <w:rsid w:val="00BC2AA2"/>
    <w:rsid w:val="00BC4100"/>
    <w:rsid w:val="00BC4AC1"/>
    <w:rsid w:val="00BC5A7F"/>
    <w:rsid w:val="00BC74AF"/>
    <w:rsid w:val="00BD489B"/>
    <w:rsid w:val="00BD5979"/>
    <w:rsid w:val="00BE0FB2"/>
    <w:rsid w:val="00BE6016"/>
    <w:rsid w:val="00BE646D"/>
    <w:rsid w:val="00BE6C56"/>
    <w:rsid w:val="00BF178D"/>
    <w:rsid w:val="00BF18EC"/>
    <w:rsid w:val="00BF3B21"/>
    <w:rsid w:val="00BF434C"/>
    <w:rsid w:val="00BF4C23"/>
    <w:rsid w:val="00C00969"/>
    <w:rsid w:val="00C0268B"/>
    <w:rsid w:val="00C03F1C"/>
    <w:rsid w:val="00C0413C"/>
    <w:rsid w:val="00C05EF9"/>
    <w:rsid w:val="00C10A32"/>
    <w:rsid w:val="00C11386"/>
    <w:rsid w:val="00C14772"/>
    <w:rsid w:val="00C16148"/>
    <w:rsid w:val="00C20F23"/>
    <w:rsid w:val="00C21633"/>
    <w:rsid w:val="00C21758"/>
    <w:rsid w:val="00C2374E"/>
    <w:rsid w:val="00C25B1B"/>
    <w:rsid w:val="00C274DD"/>
    <w:rsid w:val="00C315FA"/>
    <w:rsid w:val="00C374C9"/>
    <w:rsid w:val="00C40060"/>
    <w:rsid w:val="00C400DE"/>
    <w:rsid w:val="00C4016E"/>
    <w:rsid w:val="00C426E6"/>
    <w:rsid w:val="00C5252A"/>
    <w:rsid w:val="00C526CE"/>
    <w:rsid w:val="00C53000"/>
    <w:rsid w:val="00C55798"/>
    <w:rsid w:val="00C55891"/>
    <w:rsid w:val="00C604A9"/>
    <w:rsid w:val="00C63DEA"/>
    <w:rsid w:val="00C64B65"/>
    <w:rsid w:val="00C64D23"/>
    <w:rsid w:val="00C64F75"/>
    <w:rsid w:val="00C67B13"/>
    <w:rsid w:val="00C67B28"/>
    <w:rsid w:val="00C81352"/>
    <w:rsid w:val="00C815A0"/>
    <w:rsid w:val="00C81737"/>
    <w:rsid w:val="00C84DFB"/>
    <w:rsid w:val="00C8539A"/>
    <w:rsid w:val="00C856C2"/>
    <w:rsid w:val="00C86F64"/>
    <w:rsid w:val="00C91770"/>
    <w:rsid w:val="00C91AEA"/>
    <w:rsid w:val="00C92D14"/>
    <w:rsid w:val="00C93CD3"/>
    <w:rsid w:val="00C9455A"/>
    <w:rsid w:val="00C9619E"/>
    <w:rsid w:val="00C963A7"/>
    <w:rsid w:val="00C96FF9"/>
    <w:rsid w:val="00CA0D25"/>
    <w:rsid w:val="00CA129F"/>
    <w:rsid w:val="00CA4568"/>
    <w:rsid w:val="00CA516B"/>
    <w:rsid w:val="00CB2A08"/>
    <w:rsid w:val="00CB3D2C"/>
    <w:rsid w:val="00CB4196"/>
    <w:rsid w:val="00CB5947"/>
    <w:rsid w:val="00CB5BE8"/>
    <w:rsid w:val="00CC2E1C"/>
    <w:rsid w:val="00CC7F8F"/>
    <w:rsid w:val="00CD1019"/>
    <w:rsid w:val="00CD14E7"/>
    <w:rsid w:val="00CD2E17"/>
    <w:rsid w:val="00CD3895"/>
    <w:rsid w:val="00CD5442"/>
    <w:rsid w:val="00CE1C53"/>
    <w:rsid w:val="00CE2BA6"/>
    <w:rsid w:val="00CE3A91"/>
    <w:rsid w:val="00CF1301"/>
    <w:rsid w:val="00CF2C40"/>
    <w:rsid w:val="00CF4806"/>
    <w:rsid w:val="00CF58C4"/>
    <w:rsid w:val="00CF7692"/>
    <w:rsid w:val="00D01B2E"/>
    <w:rsid w:val="00D01BB7"/>
    <w:rsid w:val="00D04AB7"/>
    <w:rsid w:val="00D07D97"/>
    <w:rsid w:val="00D10D91"/>
    <w:rsid w:val="00D10FD9"/>
    <w:rsid w:val="00D11B91"/>
    <w:rsid w:val="00D12FDC"/>
    <w:rsid w:val="00D131BD"/>
    <w:rsid w:val="00D13D2A"/>
    <w:rsid w:val="00D15150"/>
    <w:rsid w:val="00D151D9"/>
    <w:rsid w:val="00D15B6E"/>
    <w:rsid w:val="00D16B3F"/>
    <w:rsid w:val="00D2042B"/>
    <w:rsid w:val="00D23130"/>
    <w:rsid w:val="00D2440A"/>
    <w:rsid w:val="00D319C4"/>
    <w:rsid w:val="00D51616"/>
    <w:rsid w:val="00D526E0"/>
    <w:rsid w:val="00D54CD7"/>
    <w:rsid w:val="00D54DFA"/>
    <w:rsid w:val="00D56AC5"/>
    <w:rsid w:val="00D57E3F"/>
    <w:rsid w:val="00D60C37"/>
    <w:rsid w:val="00D60C6E"/>
    <w:rsid w:val="00D61704"/>
    <w:rsid w:val="00D62348"/>
    <w:rsid w:val="00D6325D"/>
    <w:rsid w:val="00D65367"/>
    <w:rsid w:val="00D672B2"/>
    <w:rsid w:val="00D73821"/>
    <w:rsid w:val="00D73BE7"/>
    <w:rsid w:val="00D75174"/>
    <w:rsid w:val="00D76E4D"/>
    <w:rsid w:val="00D77B54"/>
    <w:rsid w:val="00D8064D"/>
    <w:rsid w:val="00D81607"/>
    <w:rsid w:val="00D8433B"/>
    <w:rsid w:val="00D86383"/>
    <w:rsid w:val="00D91E18"/>
    <w:rsid w:val="00D93B3A"/>
    <w:rsid w:val="00D93C8E"/>
    <w:rsid w:val="00DA1834"/>
    <w:rsid w:val="00DA54CA"/>
    <w:rsid w:val="00DA59AE"/>
    <w:rsid w:val="00DA5CA3"/>
    <w:rsid w:val="00DA6A71"/>
    <w:rsid w:val="00DB0388"/>
    <w:rsid w:val="00DB10A1"/>
    <w:rsid w:val="00DB2637"/>
    <w:rsid w:val="00DB2752"/>
    <w:rsid w:val="00DB71A4"/>
    <w:rsid w:val="00DB7AB6"/>
    <w:rsid w:val="00DC18E6"/>
    <w:rsid w:val="00DC1914"/>
    <w:rsid w:val="00DC1997"/>
    <w:rsid w:val="00DC1EEC"/>
    <w:rsid w:val="00DC229F"/>
    <w:rsid w:val="00DC25D1"/>
    <w:rsid w:val="00DC285A"/>
    <w:rsid w:val="00DD0DF1"/>
    <w:rsid w:val="00DD14AF"/>
    <w:rsid w:val="00DD2B70"/>
    <w:rsid w:val="00DD374A"/>
    <w:rsid w:val="00DD46B1"/>
    <w:rsid w:val="00DD675F"/>
    <w:rsid w:val="00DD67D2"/>
    <w:rsid w:val="00DD6DC0"/>
    <w:rsid w:val="00DD7F64"/>
    <w:rsid w:val="00DE109C"/>
    <w:rsid w:val="00DE2CEF"/>
    <w:rsid w:val="00DE538E"/>
    <w:rsid w:val="00DE57E1"/>
    <w:rsid w:val="00DE5ADB"/>
    <w:rsid w:val="00DE6A5A"/>
    <w:rsid w:val="00DE75A6"/>
    <w:rsid w:val="00DF364A"/>
    <w:rsid w:val="00DF53E4"/>
    <w:rsid w:val="00DF5B22"/>
    <w:rsid w:val="00DF6EFA"/>
    <w:rsid w:val="00E011C5"/>
    <w:rsid w:val="00E04E17"/>
    <w:rsid w:val="00E0518D"/>
    <w:rsid w:val="00E05F7C"/>
    <w:rsid w:val="00E11B6E"/>
    <w:rsid w:val="00E11CD8"/>
    <w:rsid w:val="00E11ED0"/>
    <w:rsid w:val="00E12337"/>
    <w:rsid w:val="00E14A79"/>
    <w:rsid w:val="00E20703"/>
    <w:rsid w:val="00E220AC"/>
    <w:rsid w:val="00E23FDA"/>
    <w:rsid w:val="00E24760"/>
    <w:rsid w:val="00E25DAA"/>
    <w:rsid w:val="00E36EB8"/>
    <w:rsid w:val="00E4553A"/>
    <w:rsid w:val="00E46795"/>
    <w:rsid w:val="00E47695"/>
    <w:rsid w:val="00E5103E"/>
    <w:rsid w:val="00E5515F"/>
    <w:rsid w:val="00E57581"/>
    <w:rsid w:val="00E60A3C"/>
    <w:rsid w:val="00E60FA6"/>
    <w:rsid w:val="00E64605"/>
    <w:rsid w:val="00E66D14"/>
    <w:rsid w:val="00E7040A"/>
    <w:rsid w:val="00E72AC3"/>
    <w:rsid w:val="00E74958"/>
    <w:rsid w:val="00E75135"/>
    <w:rsid w:val="00E75894"/>
    <w:rsid w:val="00E761BE"/>
    <w:rsid w:val="00E77662"/>
    <w:rsid w:val="00E81555"/>
    <w:rsid w:val="00E81857"/>
    <w:rsid w:val="00E82915"/>
    <w:rsid w:val="00E83BC7"/>
    <w:rsid w:val="00E84B98"/>
    <w:rsid w:val="00E862C3"/>
    <w:rsid w:val="00E952FD"/>
    <w:rsid w:val="00E961C6"/>
    <w:rsid w:val="00E964A6"/>
    <w:rsid w:val="00E9741E"/>
    <w:rsid w:val="00E9747E"/>
    <w:rsid w:val="00E9754A"/>
    <w:rsid w:val="00E978C7"/>
    <w:rsid w:val="00E97A04"/>
    <w:rsid w:val="00EA28DB"/>
    <w:rsid w:val="00EA3830"/>
    <w:rsid w:val="00EB0055"/>
    <w:rsid w:val="00EB178D"/>
    <w:rsid w:val="00EB5351"/>
    <w:rsid w:val="00EB7E30"/>
    <w:rsid w:val="00EC14B3"/>
    <w:rsid w:val="00EC41FB"/>
    <w:rsid w:val="00ED1871"/>
    <w:rsid w:val="00ED25DA"/>
    <w:rsid w:val="00ED67FC"/>
    <w:rsid w:val="00EE1546"/>
    <w:rsid w:val="00EE2B97"/>
    <w:rsid w:val="00EE328B"/>
    <w:rsid w:val="00EE5B9C"/>
    <w:rsid w:val="00EE7D5D"/>
    <w:rsid w:val="00EF06F7"/>
    <w:rsid w:val="00EF0BD1"/>
    <w:rsid w:val="00EF320D"/>
    <w:rsid w:val="00EF33F5"/>
    <w:rsid w:val="00EF3AA6"/>
    <w:rsid w:val="00EF7804"/>
    <w:rsid w:val="00F039A5"/>
    <w:rsid w:val="00F056DC"/>
    <w:rsid w:val="00F07908"/>
    <w:rsid w:val="00F10461"/>
    <w:rsid w:val="00F117A6"/>
    <w:rsid w:val="00F147F2"/>
    <w:rsid w:val="00F14D1D"/>
    <w:rsid w:val="00F1502F"/>
    <w:rsid w:val="00F171D9"/>
    <w:rsid w:val="00F177CA"/>
    <w:rsid w:val="00F216BF"/>
    <w:rsid w:val="00F2211E"/>
    <w:rsid w:val="00F24789"/>
    <w:rsid w:val="00F267D3"/>
    <w:rsid w:val="00F27602"/>
    <w:rsid w:val="00F32404"/>
    <w:rsid w:val="00F35C6E"/>
    <w:rsid w:val="00F370B9"/>
    <w:rsid w:val="00F459B5"/>
    <w:rsid w:val="00F46F6D"/>
    <w:rsid w:val="00F5121F"/>
    <w:rsid w:val="00F51D24"/>
    <w:rsid w:val="00F52612"/>
    <w:rsid w:val="00F56E9A"/>
    <w:rsid w:val="00F62E57"/>
    <w:rsid w:val="00F64F67"/>
    <w:rsid w:val="00F67A47"/>
    <w:rsid w:val="00F713F2"/>
    <w:rsid w:val="00F716D6"/>
    <w:rsid w:val="00F71A4D"/>
    <w:rsid w:val="00F729ED"/>
    <w:rsid w:val="00F73433"/>
    <w:rsid w:val="00F73BDD"/>
    <w:rsid w:val="00F7427A"/>
    <w:rsid w:val="00F752E5"/>
    <w:rsid w:val="00F7572B"/>
    <w:rsid w:val="00F75C2B"/>
    <w:rsid w:val="00F76A24"/>
    <w:rsid w:val="00F772DE"/>
    <w:rsid w:val="00F8033D"/>
    <w:rsid w:val="00F805DC"/>
    <w:rsid w:val="00F837BA"/>
    <w:rsid w:val="00F83F97"/>
    <w:rsid w:val="00F87E92"/>
    <w:rsid w:val="00F90DE1"/>
    <w:rsid w:val="00F96DE4"/>
    <w:rsid w:val="00F97D21"/>
    <w:rsid w:val="00FA08A4"/>
    <w:rsid w:val="00FA2C89"/>
    <w:rsid w:val="00FA3001"/>
    <w:rsid w:val="00FB2EDF"/>
    <w:rsid w:val="00FB4512"/>
    <w:rsid w:val="00FB4B0D"/>
    <w:rsid w:val="00FB4D88"/>
    <w:rsid w:val="00FB5B1A"/>
    <w:rsid w:val="00FC3804"/>
    <w:rsid w:val="00FC3AB3"/>
    <w:rsid w:val="00FC3CA7"/>
    <w:rsid w:val="00FC4DFD"/>
    <w:rsid w:val="00FC6846"/>
    <w:rsid w:val="00FD2431"/>
    <w:rsid w:val="00FD4693"/>
    <w:rsid w:val="00FD4894"/>
    <w:rsid w:val="00FD52B6"/>
    <w:rsid w:val="00FE2094"/>
    <w:rsid w:val="00FE2397"/>
    <w:rsid w:val="00FF3586"/>
    <w:rsid w:val="00FF52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6083E"/>
  <w15:chartTrackingRefBased/>
  <w15:docId w15:val="{F1187079-FCC0-432D-AB23-2F59F2B5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C3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C3A"/>
    <w:pPr>
      <w:ind w:left="720"/>
      <w:contextualSpacing/>
    </w:pPr>
  </w:style>
  <w:style w:type="paragraph" w:styleId="Header">
    <w:name w:val="header"/>
    <w:basedOn w:val="Normal"/>
    <w:link w:val="HeaderChar"/>
    <w:uiPriority w:val="99"/>
    <w:unhideWhenUsed/>
    <w:rsid w:val="006F6C3A"/>
    <w:pPr>
      <w:tabs>
        <w:tab w:val="center" w:pos="4513"/>
        <w:tab w:val="right" w:pos="9026"/>
      </w:tabs>
    </w:pPr>
  </w:style>
  <w:style w:type="character" w:customStyle="1" w:styleId="HeaderChar">
    <w:name w:val="Header Char"/>
    <w:basedOn w:val="DefaultParagraphFont"/>
    <w:link w:val="Header"/>
    <w:uiPriority w:val="99"/>
    <w:rsid w:val="006F6C3A"/>
    <w:rPr>
      <w:sz w:val="24"/>
      <w:szCs w:val="24"/>
    </w:rPr>
  </w:style>
  <w:style w:type="paragraph" w:styleId="FootnoteText">
    <w:name w:val="footnote text"/>
    <w:basedOn w:val="Normal"/>
    <w:link w:val="FootnoteTextChar"/>
    <w:uiPriority w:val="99"/>
    <w:semiHidden/>
    <w:unhideWhenUsed/>
    <w:rsid w:val="006F6C3A"/>
    <w:rPr>
      <w:sz w:val="20"/>
      <w:szCs w:val="20"/>
    </w:rPr>
  </w:style>
  <w:style w:type="character" w:customStyle="1" w:styleId="FootnoteTextChar">
    <w:name w:val="Footnote Text Char"/>
    <w:basedOn w:val="DefaultParagraphFont"/>
    <w:link w:val="FootnoteText"/>
    <w:uiPriority w:val="99"/>
    <w:semiHidden/>
    <w:rsid w:val="006F6C3A"/>
    <w:rPr>
      <w:sz w:val="20"/>
      <w:szCs w:val="20"/>
    </w:rPr>
  </w:style>
  <w:style w:type="character" w:styleId="CommentReference">
    <w:name w:val="annotation reference"/>
    <w:basedOn w:val="DefaultParagraphFont"/>
    <w:uiPriority w:val="99"/>
    <w:semiHidden/>
    <w:unhideWhenUsed/>
    <w:rsid w:val="00A42D9C"/>
    <w:rPr>
      <w:sz w:val="16"/>
      <w:szCs w:val="16"/>
    </w:rPr>
  </w:style>
  <w:style w:type="paragraph" w:styleId="CommentText">
    <w:name w:val="annotation text"/>
    <w:basedOn w:val="Normal"/>
    <w:link w:val="CommentTextChar"/>
    <w:uiPriority w:val="99"/>
    <w:semiHidden/>
    <w:unhideWhenUsed/>
    <w:rsid w:val="00A42D9C"/>
    <w:rPr>
      <w:sz w:val="20"/>
      <w:szCs w:val="20"/>
    </w:rPr>
  </w:style>
  <w:style w:type="character" w:customStyle="1" w:styleId="CommentTextChar">
    <w:name w:val="Comment Text Char"/>
    <w:basedOn w:val="DefaultParagraphFont"/>
    <w:link w:val="CommentText"/>
    <w:uiPriority w:val="99"/>
    <w:semiHidden/>
    <w:rsid w:val="00A42D9C"/>
    <w:rPr>
      <w:sz w:val="20"/>
      <w:szCs w:val="20"/>
    </w:rPr>
  </w:style>
  <w:style w:type="paragraph" w:styleId="CommentSubject">
    <w:name w:val="annotation subject"/>
    <w:basedOn w:val="CommentText"/>
    <w:next w:val="CommentText"/>
    <w:link w:val="CommentSubjectChar"/>
    <w:uiPriority w:val="99"/>
    <w:semiHidden/>
    <w:unhideWhenUsed/>
    <w:rsid w:val="00A42D9C"/>
    <w:rPr>
      <w:b/>
      <w:bCs/>
    </w:rPr>
  </w:style>
  <w:style w:type="character" w:customStyle="1" w:styleId="CommentSubjectChar">
    <w:name w:val="Comment Subject Char"/>
    <w:basedOn w:val="CommentTextChar"/>
    <w:link w:val="CommentSubject"/>
    <w:uiPriority w:val="99"/>
    <w:semiHidden/>
    <w:rsid w:val="00A42D9C"/>
    <w:rPr>
      <w:b/>
      <w:bCs/>
      <w:sz w:val="20"/>
      <w:szCs w:val="20"/>
    </w:rPr>
  </w:style>
  <w:style w:type="paragraph" w:styleId="BalloonText">
    <w:name w:val="Balloon Text"/>
    <w:basedOn w:val="Normal"/>
    <w:link w:val="BalloonTextChar"/>
    <w:uiPriority w:val="99"/>
    <w:semiHidden/>
    <w:unhideWhenUsed/>
    <w:rsid w:val="00A42D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D9C"/>
    <w:rPr>
      <w:rFonts w:ascii="Segoe UI" w:hAnsi="Segoe UI" w:cs="Segoe UI"/>
      <w:sz w:val="18"/>
      <w:szCs w:val="18"/>
    </w:rPr>
  </w:style>
  <w:style w:type="character" w:styleId="Hyperlink">
    <w:name w:val="Hyperlink"/>
    <w:basedOn w:val="DefaultParagraphFont"/>
    <w:uiPriority w:val="99"/>
    <w:unhideWhenUsed/>
    <w:rsid w:val="009D2A79"/>
    <w:rPr>
      <w:color w:val="0563C1" w:themeColor="hyperlink"/>
      <w:u w:val="single"/>
    </w:rPr>
  </w:style>
  <w:style w:type="character" w:customStyle="1" w:styleId="UnresolvedMention">
    <w:name w:val="Unresolved Mention"/>
    <w:basedOn w:val="DefaultParagraphFont"/>
    <w:uiPriority w:val="99"/>
    <w:semiHidden/>
    <w:unhideWhenUsed/>
    <w:rsid w:val="009D2A79"/>
    <w:rPr>
      <w:color w:val="605E5C"/>
      <w:shd w:val="clear" w:color="auto" w:fill="E1DFDD"/>
    </w:rPr>
  </w:style>
  <w:style w:type="paragraph" w:styleId="Footer">
    <w:name w:val="footer"/>
    <w:basedOn w:val="Normal"/>
    <w:link w:val="FooterChar"/>
    <w:uiPriority w:val="99"/>
    <w:unhideWhenUsed/>
    <w:rsid w:val="00036759"/>
    <w:pPr>
      <w:tabs>
        <w:tab w:val="center" w:pos="4513"/>
        <w:tab w:val="right" w:pos="9026"/>
      </w:tabs>
    </w:pPr>
  </w:style>
  <w:style w:type="character" w:customStyle="1" w:styleId="FooterChar">
    <w:name w:val="Footer Char"/>
    <w:basedOn w:val="DefaultParagraphFont"/>
    <w:link w:val="Footer"/>
    <w:uiPriority w:val="99"/>
    <w:rsid w:val="000367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67787">
      <w:bodyDiv w:val="1"/>
      <w:marLeft w:val="0"/>
      <w:marRight w:val="0"/>
      <w:marTop w:val="0"/>
      <w:marBottom w:val="0"/>
      <w:divBdr>
        <w:top w:val="none" w:sz="0" w:space="0" w:color="auto"/>
        <w:left w:val="none" w:sz="0" w:space="0" w:color="auto"/>
        <w:bottom w:val="none" w:sz="0" w:space="0" w:color="auto"/>
        <w:right w:val="none" w:sz="0" w:space="0" w:color="auto"/>
      </w:divBdr>
      <w:divsChild>
        <w:div w:id="1366062305">
          <w:marLeft w:val="0"/>
          <w:marRight w:val="0"/>
          <w:marTop w:val="120"/>
          <w:marBottom w:val="0"/>
          <w:divBdr>
            <w:top w:val="none" w:sz="0" w:space="0" w:color="auto"/>
            <w:left w:val="none" w:sz="0" w:space="0" w:color="auto"/>
            <w:bottom w:val="none" w:sz="0" w:space="0" w:color="auto"/>
            <w:right w:val="none" w:sz="0" w:space="0" w:color="auto"/>
          </w:divBdr>
        </w:div>
      </w:divsChild>
    </w:div>
    <w:div w:id="55871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aflii.org/cgi-bin/LawCite?cit=2010%20%282%29%20SA%20580"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4DDCF-D3DE-4DEC-B77F-B5902917B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3016</Words>
  <Characters>17196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Pruvia Ramoshaba</dc:creator>
  <cp:keywords/>
  <dc:description/>
  <cp:lastModifiedBy>Sathish</cp:lastModifiedBy>
  <cp:revision>3</cp:revision>
  <dcterms:created xsi:type="dcterms:W3CDTF">2024-01-31T11:08:00Z</dcterms:created>
  <dcterms:modified xsi:type="dcterms:W3CDTF">2024-02-05T17:34:00Z</dcterms:modified>
</cp:coreProperties>
</file>