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3C4" w:rsidRDefault="00A973C4" w:rsidP="00A973C4">
      <w:pPr>
        <w:widowControl w:val="0"/>
        <w:spacing w:line="276" w:lineRule="auto"/>
        <w:jc w:val="center"/>
        <w:rPr>
          <w:rFonts w:ascii="Arial" w:hAnsi="Arial" w:cs="Arial"/>
          <w:b/>
          <w:szCs w:val="28"/>
        </w:rPr>
      </w:pPr>
      <w:bookmarkStart w:id="0" w:name="_GoBack"/>
      <w:bookmarkEnd w:id="0"/>
    </w:p>
    <w:p w:rsidR="00A973C4" w:rsidRPr="00AE5142" w:rsidRDefault="00A973C4" w:rsidP="00A973C4">
      <w:pPr>
        <w:widowControl w:val="0"/>
        <w:spacing w:line="276" w:lineRule="auto"/>
        <w:jc w:val="center"/>
        <w:rPr>
          <w:rFonts w:ascii="Arial" w:hAnsi="Arial" w:cs="Arial"/>
          <w:b/>
          <w:szCs w:val="28"/>
        </w:rPr>
      </w:pPr>
      <w:r w:rsidRPr="00AE5142">
        <w:rPr>
          <w:rFonts w:ascii="Bookman Old Style" w:hAnsi="Bookman Old Style"/>
          <w:noProof/>
          <w:color w:val="1F497D"/>
          <w:lang w:val="en-ZA" w:eastAsia="en-ZA"/>
        </w:rPr>
        <w:drawing>
          <wp:inline distT="0" distB="0" distL="0" distR="0" wp14:anchorId="1817945D" wp14:editId="5BA37832">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A973C4" w:rsidRPr="00AE5142" w:rsidRDefault="00A973C4" w:rsidP="00A973C4">
      <w:pPr>
        <w:widowControl w:val="0"/>
        <w:spacing w:line="276" w:lineRule="auto"/>
        <w:jc w:val="center"/>
        <w:rPr>
          <w:rFonts w:ascii="Arial" w:hAnsi="Arial" w:cs="Arial"/>
          <w:b/>
          <w:szCs w:val="28"/>
        </w:rPr>
      </w:pPr>
    </w:p>
    <w:p w:rsidR="00A973C4" w:rsidRPr="00AE5142" w:rsidRDefault="00A973C4" w:rsidP="00A973C4">
      <w:pPr>
        <w:widowControl w:val="0"/>
        <w:spacing w:line="276" w:lineRule="auto"/>
        <w:jc w:val="center"/>
        <w:rPr>
          <w:rFonts w:ascii="Century Gothic" w:hAnsi="Century Gothic" w:cs="Arial"/>
          <w:b/>
        </w:rPr>
      </w:pPr>
      <w:r w:rsidRPr="00AE5142">
        <w:rPr>
          <w:rFonts w:ascii="Century Gothic" w:hAnsi="Century Gothic" w:cs="Arial"/>
          <w:b/>
        </w:rPr>
        <w:t xml:space="preserve">IN THE HIGH OF SOUTH AFRICA </w:t>
      </w:r>
    </w:p>
    <w:p w:rsidR="00A973C4" w:rsidRPr="00AE5142" w:rsidRDefault="00A973C4" w:rsidP="00A973C4">
      <w:pPr>
        <w:pStyle w:val="LegalTitle"/>
        <w:spacing w:after="0" w:line="360" w:lineRule="auto"/>
        <w:rPr>
          <w:rFonts w:ascii="Century Gothic" w:hAnsi="Century Gothic"/>
        </w:rPr>
      </w:pPr>
      <w:r w:rsidRPr="00AE5142">
        <w:rPr>
          <w:rFonts w:ascii="Century Gothic" w:hAnsi="Century Gothic"/>
        </w:rPr>
        <w:t>GAUTENG DIVISION, PRETORIA</w:t>
      </w:r>
    </w:p>
    <w:p w:rsidR="00A973C4" w:rsidRPr="00AE5142" w:rsidRDefault="00A973C4" w:rsidP="00A973C4">
      <w:pPr>
        <w:pStyle w:val="LegalAnnexure"/>
        <w:spacing w:after="960" w:line="360" w:lineRule="auto"/>
        <w:jc w:val="center"/>
        <w:rPr>
          <w:rFonts w:ascii="Century Gothic" w:hAnsi="Century Gothic"/>
          <w:u w:val="single"/>
        </w:rPr>
      </w:pPr>
      <w:r w:rsidRPr="00AE5142">
        <w:rPr>
          <w:rFonts w:ascii="Century Gothic" w:hAnsi="Century Gothic"/>
          <w:noProof/>
          <w:lang w:val="en-ZA" w:eastAsia="en-ZA"/>
        </w:rPr>
        <mc:AlternateContent>
          <mc:Choice Requires="wps">
            <w:drawing>
              <wp:anchor distT="0" distB="0" distL="114300" distR="114300" simplePos="0" relativeHeight="251659264" behindDoc="0" locked="0" layoutInCell="1" allowOverlap="1" wp14:anchorId="230C1E72" wp14:editId="22F8B483">
                <wp:simplePos x="0" y="0"/>
                <wp:positionH relativeFrom="column">
                  <wp:posOffset>-45720</wp:posOffset>
                </wp:positionH>
                <wp:positionV relativeFrom="paragraph">
                  <wp:posOffset>34925</wp:posOffset>
                </wp:positionV>
                <wp:extent cx="3482340" cy="110490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104900"/>
                        </a:xfrm>
                        <a:prstGeom prst="rect">
                          <a:avLst/>
                        </a:prstGeom>
                        <a:solidFill>
                          <a:srgbClr val="FFFFFF"/>
                        </a:solidFill>
                        <a:ln w="9525">
                          <a:solidFill>
                            <a:srgbClr val="000000"/>
                          </a:solidFill>
                          <a:miter lim="800000"/>
                          <a:headEnd/>
                          <a:tailEnd/>
                        </a:ln>
                      </wps:spPr>
                      <wps:txbx>
                        <w:txbxContent>
                          <w:p w:rsidR="00D75C53" w:rsidRPr="009F50D6" w:rsidRDefault="00BB0BCF" w:rsidP="00BB0BCF">
                            <w:pPr>
                              <w:tabs>
                                <w:tab w:val="left" w:pos="900"/>
                              </w:tabs>
                              <w:ind w:left="900" w:hanging="720"/>
                              <w:rPr>
                                <w:rFonts w:ascii="Century Gothic" w:hAnsi="Century Gothic"/>
                                <w:sz w:val="18"/>
                                <w:szCs w:val="18"/>
                              </w:rPr>
                            </w:pPr>
                            <w:r w:rsidRPr="009F50D6">
                              <w:rPr>
                                <w:rFonts w:ascii="Century Gothic" w:hAnsi="Century Gothic"/>
                                <w:sz w:val="18"/>
                                <w:szCs w:val="18"/>
                              </w:rPr>
                              <w:t>(1)</w:t>
                            </w:r>
                            <w:r w:rsidRPr="009F50D6">
                              <w:rPr>
                                <w:rFonts w:ascii="Century Gothic" w:hAnsi="Century Gothic"/>
                                <w:sz w:val="18"/>
                                <w:szCs w:val="18"/>
                              </w:rPr>
                              <w:tab/>
                            </w:r>
                            <w:r w:rsidR="00D75C53" w:rsidRPr="009F50D6">
                              <w:rPr>
                                <w:rFonts w:ascii="Century Gothic" w:hAnsi="Century Gothic"/>
                                <w:caps/>
                                <w:sz w:val="18"/>
                                <w:szCs w:val="18"/>
                              </w:rPr>
                              <w:t xml:space="preserve">REPORTABLE: </w:t>
                            </w:r>
                            <w:r w:rsidR="00D75C53">
                              <w:rPr>
                                <w:rFonts w:ascii="Century Gothic" w:hAnsi="Century Gothic"/>
                                <w:b/>
                                <w:caps/>
                                <w:sz w:val="18"/>
                                <w:szCs w:val="18"/>
                              </w:rPr>
                              <w:t>NO</w:t>
                            </w:r>
                          </w:p>
                          <w:p w:rsidR="00D75C53" w:rsidRPr="009F50D6" w:rsidRDefault="00BB0BCF" w:rsidP="00BB0BCF">
                            <w:pPr>
                              <w:tabs>
                                <w:tab w:val="left" w:pos="900"/>
                              </w:tabs>
                              <w:ind w:left="900" w:hanging="720"/>
                              <w:rPr>
                                <w:rFonts w:ascii="Century Gothic" w:hAnsi="Century Gothic"/>
                                <w:sz w:val="18"/>
                                <w:szCs w:val="18"/>
                              </w:rPr>
                            </w:pPr>
                            <w:r w:rsidRPr="009F50D6">
                              <w:rPr>
                                <w:rFonts w:ascii="Century Gothic" w:hAnsi="Century Gothic"/>
                                <w:sz w:val="18"/>
                                <w:szCs w:val="18"/>
                              </w:rPr>
                              <w:t>(2)</w:t>
                            </w:r>
                            <w:r w:rsidRPr="009F50D6">
                              <w:rPr>
                                <w:rFonts w:ascii="Century Gothic" w:hAnsi="Century Gothic"/>
                                <w:sz w:val="18"/>
                                <w:szCs w:val="18"/>
                              </w:rPr>
                              <w:tab/>
                            </w:r>
                            <w:r w:rsidR="00D75C53" w:rsidRPr="009F50D6">
                              <w:rPr>
                                <w:rFonts w:ascii="Century Gothic" w:hAnsi="Century Gothic"/>
                                <w:sz w:val="18"/>
                                <w:szCs w:val="18"/>
                              </w:rPr>
                              <w:t xml:space="preserve">OF INTEREST TO OTHER JUDGES: </w:t>
                            </w:r>
                            <w:r w:rsidR="00D75C53" w:rsidRPr="009F50D6">
                              <w:rPr>
                                <w:rFonts w:ascii="Century Gothic" w:hAnsi="Century Gothic"/>
                                <w:b/>
                                <w:sz w:val="18"/>
                                <w:szCs w:val="18"/>
                              </w:rPr>
                              <w:t>NO</w:t>
                            </w:r>
                          </w:p>
                          <w:p w:rsidR="00D75C53" w:rsidRPr="009F50D6" w:rsidRDefault="00BB0BCF" w:rsidP="00BB0BCF">
                            <w:pPr>
                              <w:tabs>
                                <w:tab w:val="left" w:pos="900"/>
                              </w:tabs>
                              <w:spacing w:after="120"/>
                              <w:ind w:left="901" w:hanging="720"/>
                              <w:rPr>
                                <w:rFonts w:ascii="Century Gothic" w:hAnsi="Century Gothic"/>
                                <w:sz w:val="18"/>
                                <w:szCs w:val="18"/>
                              </w:rPr>
                            </w:pPr>
                            <w:r w:rsidRPr="009F50D6">
                              <w:rPr>
                                <w:rFonts w:ascii="Century Gothic" w:hAnsi="Century Gothic"/>
                                <w:sz w:val="18"/>
                                <w:szCs w:val="18"/>
                              </w:rPr>
                              <w:t>(3)</w:t>
                            </w:r>
                            <w:r w:rsidRPr="009F50D6">
                              <w:rPr>
                                <w:rFonts w:ascii="Century Gothic" w:hAnsi="Century Gothic"/>
                                <w:sz w:val="18"/>
                                <w:szCs w:val="18"/>
                              </w:rPr>
                              <w:tab/>
                            </w:r>
                            <w:r w:rsidR="00D75C53" w:rsidRPr="009F50D6">
                              <w:rPr>
                                <w:rFonts w:ascii="Century Gothic" w:hAnsi="Century Gothic"/>
                                <w:sz w:val="18"/>
                                <w:szCs w:val="18"/>
                              </w:rPr>
                              <w:t xml:space="preserve">REVISED: </w:t>
                            </w:r>
                            <w:r w:rsidR="004977E0" w:rsidRPr="004977E0">
                              <w:rPr>
                                <w:rFonts w:ascii="Century Gothic" w:hAnsi="Century Gothic"/>
                                <w:b/>
                                <w:sz w:val="18"/>
                                <w:szCs w:val="18"/>
                              </w:rPr>
                              <w:t>YES</w:t>
                            </w:r>
                          </w:p>
                          <w:p w:rsidR="00D75C53" w:rsidRPr="00380512" w:rsidRDefault="00D75C53" w:rsidP="00A973C4">
                            <w:pPr>
                              <w:spacing w:after="120"/>
                              <w:rPr>
                                <w:rFonts w:ascii="Century Gothic" w:hAnsi="Century Gothic"/>
                                <w:sz w:val="18"/>
                                <w:szCs w:val="18"/>
                              </w:rPr>
                            </w:pPr>
                          </w:p>
                          <w:p w:rsidR="00D75C53" w:rsidRPr="00917C8F" w:rsidRDefault="00D75C53" w:rsidP="00A973C4">
                            <w:pPr>
                              <w:rPr>
                                <w:rFonts w:ascii="Century Gothic" w:hAnsi="Century Gothic"/>
                                <w:sz w:val="18"/>
                                <w:szCs w:val="18"/>
                                <w:u w:val="single"/>
                              </w:rPr>
                            </w:pPr>
                            <w:r w:rsidRPr="008F4E84">
                              <w:rPr>
                                <w:rFonts w:ascii="Century Gothic" w:hAnsi="Century Gothic"/>
                                <w:sz w:val="18"/>
                                <w:szCs w:val="18"/>
                              </w:rPr>
                              <w:t>Date</w:t>
                            </w:r>
                            <w:r w:rsidRPr="008F625E">
                              <w:rPr>
                                <w:rFonts w:ascii="Century Gothic" w:hAnsi="Century Gothic"/>
                                <w:sz w:val="18"/>
                                <w:szCs w:val="18"/>
                              </w:rPr>
                              <w:t>:</w:t>
                            </w:r>
                            <w:r w:rsidRPr="008F625E">
                              <w:rPr>
                                <w:rFonts w:ascii="Century Gothic" w:hAnsi="Century Gothic"/>
                                <w:b/>
                                <w:sz w:val="18"/>
                                <w:szCs w:val="18"/>
                              </w:rPr>
                              <w:t xml:space="preserve"> </w:t>
                            </w:r>
                            <w:r w:rsidR="006A7F88">
                              <w:rPr>
                                <w:rFonts w:ascii="Century Gothic" w:hAnsi="Century Gothic"/>
                                <w:b/>
                                <w:sz w:val="18"/>
                                <w:szCs w:val="18"/>
                              </w:rPr>
                              <w:t>8</w:t>
                            </w:r>
                            <w:r w:rsidR="002B2694" w:rsidRPr="008F625E">
                              <w:rPr>
                                <w:rFonts w:ascii="Century Gothic" w:hAnsi="Century Gothic"/>
                                <w:b/>
                                <w:sz w:val="18"/>
                                <w:szCs w:val="18"/>
                              </w:rPr>
                              <w:t xml:space="preserve"> September</w:t>
                            </w:r>
                            <w:r w:rsidR="008F4E84" w:rsidRPr="008F4E84">
                              <w:rPr>
                                <w:rFonts w:ascii="Century Gothic" w:hAnsi="Century Gothic"/>
                                <w:b/>
                                <w:sz w:val="18"/>
                                <w:szCs w:val="18"/>
                              </w:rPr>
                              <w:t xml:space="preserve"> 2</w:t>
                            </w:r>
                            <w:r w:rsidRPr="00782C4F">
                              <w:rPr>
                                <w:rFonts w:ascii="Century Gothic" w:hAnsi="Century Gothic"/>
                                <w:b/>
                                <w:sz w:val="18"/>
                                <w:szCs w:val="18"/>
                              </w:rPr>
                              <w:t>022</w:t>
                            </w:r>
                            <w:r w:rsidRPr="00782C4F">
                              <w:rPr>
                                <w:rFonts w:ascii="Century Gothic" w:hAnsi="Century Gothic"/>
                                <w:sz w:val="18"/>
                                <w:szCs w:val="18"/>
                              </w:rPr>
                              <w:t xml:space="preserve">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C1E72" id="_x0000_t202" coordsize="21600,21600" o:spt="202" path="m,l,21600r21600,l21600,xe">
                <v:stroke joinstyle="miter"/>
                <v:path gradientshapeok="t" o:connecttype="rect"/>
              </v:shapetype>
              <v:shape id="Text Box 2" o:spid="_x0000_s1026" type="#_x0000_t202" style="position:absolute;left:0;text-align:left;margin-left:-3.6pt;margin-top:2.75pt;width:274.2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">
                <v:textbox>
                  <w:txbxContent>
                    <w:p w:rsidR="00D75C53" w:rsidRPr="009F50D6" w:rsidRDefault="00BB0BCF" w:rsidP="00BB0BCF">
                      <w:pPr>
                        <w:tabs>
                          <w:tab w:val="left" w:pos="900"/>
                        </w:tabs>
                        <w:ind w:left="900" w:hanging="720"/>
                        <w:rPr>
                          <w:rFonts w:ascii="Century Gothic" w:hAnsi="Century Gothic"/>
                          <w:sz w:val="18"/>
                          <w:szCs w:val="18"/>
                        </w:rPr>
                      </w:pPr>
                      <w:r w:rsidRPr="009F50D6">
                        <w:rPr>
                          <w:rFonts w:ascii="Century Gothic" w:hAnsi="Century Gothic"/>
                          <w:sz w:val="18"/>
                          <w:szCs w:val="18"/>
                        </w:rPr>
                        <w:t>(1)</w:t>
                      </w:r>
                      <w:r w:rsidRPr="009F50D6">
                        <w:rPr>
                          <w:rFonts w:ascii="Century Gothic" w:hAnsi="Century Gothic"/>
                          <w:sz w:val="18"/>
                          <w:szCs w:val="18"/>
                        </w:rPr>
                        <w:tab/>
                      </w:r>
                      <w:r w:rsidR="00D75C53" w:rsidRPr="009F50D6">
                        <w:rPr>
                          <w:rFonts w:ascii="Century Gothic" w:hAnsi="Century Gothic"/>
                          <w:caps/>
                          <w:sz w:val="18"/>
                          <w:szCs w:val="18"/>
                        </w:rPr>
                        <w:t xml:space="preserve">REPORTABLE: </w:t>
                      </w:r>
                      <w:r w:rsidR="00D75C53">
                        <w:rPr>
                          <w:rFonts w:ascii="Century Gothic" w:hAnsi="Century Gothic"/>
                          <w:b/>
                          <w:caps/>
                          <w:sz w:val="18"/>
                          <w:szCs w:val="18"/>
                        </w:rPr>
                        <w:t>NO</w:t>
                      </w:r>
                    </w:p>
                    <w:p w:rsidR="00D75C53" w:rsidRPr="009F50D6" w:rsidRDefault="00BB0BCF" w:rsidP="00BB0BCF">
                      <w:pPr>
                        <w:tabs>
                          <w:tab w:val="left" w:pos="900"/>
                        </w:tabs>
                        <w:ind w:left="900" w:hanging="720"/>
                        <w:rPr>
                          <w:rFonts w:ascii="Century Gothic" w:hAnsi="Century Gothic"/>
                          <w:sz w:val="18"/>
                          <w:szCs w:val="18"/>
                        </w:rPr>
                      </w:pPr>
                      <w:r w:rsidRPr="009F50D6">
                        <w:rPr>
                          <w:rFonts w:ascii="Century Gothic" w:hAnsi="Century Gothic"/>
                          <w:sz w:val="18"/>
                          <w:szCs w:val="18"/>
                        </w:rPr>
                        <w:t>(2)</w:t>
                      </w:r>
                      <w:r w:rsidRPr="009F50D6">
                        <w:rPr>
                          <w:rFonts w:ascii="Century Gothic" w:hAnsi="Century Gothic"/>
                          <w:sz w:val="18"/>
                          <w:szCs w:val="18"/>
                        </w:rPr>
                        <w:tab/>
                      </w:r>
                      <w:r w:rsidR="00D75C53" w:rsidRPr="009F50D6">
                        <w:rPr>
                          <w:rFonts w:ascii="Century Gothic" w:hAnsi="Century Gothic"/>
                          <w:sz w:val="18"/>
                          <w:szCs w:val="18"/>
                        </w:rPr>
                        <w:t xml:space="preserve">OF INTEREST TO OTHER JUDGES: </w:t>
                      </w:r>
                      <w:r w:rsidR="00D75C53" w:rsidRPr="009F50D6">
                        <w:rPr>
                          <w:rFonts w:ascii="Century Gothic" w:hAnsi="Century Gothic"/>
                          <w:b/>
                          <w:sz w:val="18"/>
                          <w:szCs w:val="18"/>
                        </w:rPr>
                        <w:t>NO</w:t>
                      </w:r>
                    </w:p>
                    <w:p w:rsidR="00D75C53" w:rsidRPr="009F50D6" w:rsidRDefault="00BB0BCF" w:rsidP="00BB0BCF">
                      <w:pPr>
                        <w:tabs>
                          <w:tab w:val="left" w:pos="900"/>
                        </w:tabs>
                        <w:spacing w:after="120"/>
                        <w:ind w:left="901" w:hanging="720"/>
                        <w:rPr>
                          <w:rFonts w:ascii="Century Gothic" w:hAnsi="Century Gothic"/>
                          <w:sz w:val="18"/>
                          <w:szCs w:val="18"/>
                        </w:rPr>
                      </w:pPr>
                      <w:r w:rsidRPr="009F50D6">
                        <w:rPr>
                          <w:rFonts w:ascii="Century Gothic" w:hAnsi="Century Gothic"/>
                          <w:sz w:val="18"/>
                          <w:szCs w:val="18"/>
                        </w:rPr>
                        <w:t>(3)</w:t>
                      </w:r>
                      <w:r w:rsidRPr="009F50D6">
                        <w:rPr>
                          <w:rFonts w:ascii="Century Gothic" w:hAnsi="Century Gothic"/>
                          <w:sz w:val="18"/>
                          <w:szCs w:val="18"/>
                        </w:rPr>
                        <w:tab/>
                      </w:r>
                      <w:r w:rsidR="00D75C53" w:rsidRPr="009F50D6">
                        <w:rPr>
                          <w:rFonts w:ascii="Century Gothic" w:hAnsi="Century Gothic"/>
                          <w:sz w:val="18"/>
                          <w:szCs w:val="18"/>
                        </w:rPr>
                        <w:t xml:space="preserve">REVISED: </w:t>
                      </w:r>
                      <w:r w:rsidR="004977E0" w:rsidRPr="004977E0">
                        <w:rPr>
                          <w:rFonts w:ascii="Century Gothic" w:hAnsi="Century Gothic"/>
                          <w:b/>
                          <w:sz w:val="18"/>
                          <w:szCs w:val="18"/>
                        </w:rPr>
                        <w:t>YES</w:t>
                      </w:r>
                    </w:p>
                    <w:p w:rsidR="00D75C53" w:rsidRPr="00380512" w:rsidRDefault="00D75C53" w:rsidP="00A973C4">
                      <w:pPr>
                        <w:spacing w:after="120"/>
                        <w:rPr>
                          <w:rFonts w:ascii="Century Gothic" w:hAnsi="Century Gothic"/>
                          <w:sz w:val="18"/>
                          <w:szCs w:val="18"/>
                        </w:rPr>
                      </w:pPr>
                    </w:p>
                    <w:p w:rsidR="00D75C53" w:rsidRPr="00917C8F" w:rsidRDefault="00D75C53" w:rsidP="00A973C4">
                      <w:pPr>
                        <w:rPr>
                          <w:rFonts w:ascii="Century Gothic" w:hAnsi="Century Gothic"/>
                          <w:sz w:val="18"/>
                          <w:szCs w:val="18"/>
                          <w:u w:val="single"/>
                        </w:rPr>
                      </w:pPr>
                      <w:r w:rsidRPr="008F4E84">
                        <w:rPr>
                          <w:rFonts w:ascii="Century Gothic" w:hAnsi="Century Gothic"/>
                          <w:sz w:val="18"/>
                          <w:szCs w:val="18"/>
                        </w:rPr>
                        <w:t>Date</w:t>
                      </w:r>
                      <w:r w:rsidRPr="008F625E">
                        <w:rPr>
                          <w:rFonts w:ascii="Century Gothic" w:hAnsi="Century Gothic"/>
                          <w:sz w:val="18"/>
                          <w:szCs w:val="18"/>
                        </w:rPr>
                        <w:t>:</w:t>
                      </w:r>
                      <w:r w:rsidRPr="008F625E">
                        <w:rPr>
                          <w:rFonts w:ascii="Century Gothic" w:hAnsi="Century Gothic"/>
                          <w:b/>
                          <w:sz w:val="18"/>
                          <w:szCs w:val="18"/>
                        </w:rPr>
                        <w:t xml:space="preserve"> </w:t>
                      </w:r>
                      <w:r w:rsidR="006A7F88">
                        <w:rPr>
                          <w:rFonts w:ascii="Century Gothic" w:hAnsi="Century Gothic"/>
                          <w:b/>
                          <w:sz w:val="18"/>
                          <w:szCs w:val="18"/>
                        </w:rPr>
                        <w:t>8</w:t>
                      </w:r>
                      <w:r w:rsidR="002B2694" w:rsidRPr="008F625E">
                        <w:rPr>
                          <w:rFonts w:ascii="Century Gothic" w:hAnsi="Century Gothic"/>
                          <w:b/>
                          <w:sz w:val="18"/>
                          <w:szCs w:val="18"/>
                        </w:rPr>
                        <w:t xml:space="preserve"> September</w:t>
                      </w:r>
                      <w:r w:rsidR="008F4E84" w:rsidRPr="008F4E84">
                        <w:rPr>
                          <w:rFonts w:ascii="Century Gothic" w:hAnsi="Century Gothic"/>
                          <w:b/>
                          <w:sz w:val="18"/>
                          <w:szCs w:val="18"/>
                        </w:rPr>
                        <w:t xml:space="preserve"> 2</w:t>
                      </w:r>
                      <w:r w:rsidRPr="00782C4F">
                        <w:rPr>
                          <w:rFonts w:ascii="Century Gothic" w:hAnsi="Century Gothic"/>
                          <w:b/>
                          <w:sz w:val="18"/>
                          <w:szCs w:val="18"/>
                        </w:rPr>
                        <w:t>022</w:t>
                      </w:r>
                      <w:r w:rsidRPr="00782C4F">
                        <w:rPr>
                          <w:rFonts w:ascii="Century Gothic" w:hAnsi="Century Gothic"/>
                          <w:sz w:val="18"/>
                          <w:szCs w:val="18"/>
                        </w:rPr>
                        <w:t xml:space="preserve">   Signature: </w:t>
                      </w:r>
                    </w:p>
                  </w:txbxContent>
                </v:textbox>
              </v:shape>
            </w:pict>
          </mc:Fallback>
        </mc:AlternateContent>
      </w:r>
    </w:p>
    <w:p w:rsidR="00A973C4" w:rsidRPr="00AE5142" w:rsidRDefault="00A973C4" w:rsidP="00A973C4">
      <w:pPr>
        <w:pStyle w:val="LegalAnnexure"/>
        <w:spacing w:after="0" w:line="360" w:lineRule="auto"/>
        <w:rPr>
          <w:rFonts w:ascii="Century Gothic" w:hAnsi="Century Gothic"/>
        </w:rPr>
      </w:pPr>
      <w:r w:rsidRPr="00AE5142">
        <w:rPr>
          <w:rFonts w:ascii="Century Gothic" w:hAnsi="Century Gothic"/>
          <w:u w:val="single"/>
        </w:rPr>
        <w:t xml:space="preserve"> </w:t>
      </w:r>
    </w:p>
    <w:p w:rsidR="00E87CA2" w:rsidRPr="00AE5142" w:rsidRDefault="00E87CA2" w:rsidP="00E87CA2">
      <w:pPr>
        <w:spacing w:after="160"/>
        <w:jc w:val="right"/>
        <w:rPr>
          <w:rFonts w:ascii="Century Gothic" w:hAnsi="Century Gothic" w:cs="Arial"/>
          <w:b/>
          <w:bCs/>
          <w:lang w:val="en-ZA"/>
        </w:rPr>
      </w:pPr>
      <w:r w:rsidRPr="00AE5142">
        <w:rPr>
          <w:rFonts w:ascii="Century Gothic" w:hAnsi="Century Gothic" w:cs="Arial"/>
          <w:lang w:val="en-ZA"/>
        </w:rPr>
        <w:t xml:space="preserve">  Case No: </w:t>
      </w:r>
      <w:r w:rsidR="006D3562" w:rsidRPr="008F625E">
        <w:rPr>
          <w:rFonts w:ascii="Century Gothic" w:hAnsi="Century Gothic" w:cs="Arial"/>
          <w:b/>
          <w:lang w:val="en-ZA"/>
        </w:rPr>
        <w:t>61282/2021</w:t>
      </w:r>
    </w:p>
    <w:p w:rsidR="00E87CA2" w:rsidRPr="00AE5142" w:rsidRDefault="00E87CA2" w:rsidP="00E87CA2">
      <w:pPr>
        <w:spacing w:after="160"/>
        <w:rPr>
          <w:rFonts w:ascii="Century Gothic" w:hAnsi="Century Gothic" w:cs="Arial"/>
          <w:lang w:val="en-ZA"/>
        </w:rPr>
      </w:pPr>
      <w:r w:rsidRPr="00AE5142">
        <w:rPr>
          <w:rFonts w:ascii="Century Gothic" w:hAnsi="Century Gothic" w:cs="Arial"/>
          <w:lang w:val="en-ZA"/>
        </w:rPr>
        <w:t>In the matter between:</w:t>
      </w:r>
    </w:p>
    <w:p w:rsidR="00E87CA2" w:rsidRPr="00AE5142" w:rsidRDefault="00E87CA2" w:rsidP="00E87CA2">
      <w:pPr>
        <w:spacing w:after="160"/>
        <w:rPr>
          <w:rFonts w:ascii="Century Gothic" w:hAnsi="Century Gothic" w:cs="Arial"/>
          <w:lang w:val="en-ZA"/>
        </w:rPr>
      </w:pPr>
    </w:p>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119"/>
      </w:tblGrid>
      <w:tr w:rsidR="00E87CA2" w:rsidRPr="00AE5142" w:rsidTr="00C0577A">
        <w:tc>
          <w:tcPr>
            <w:tcW w:w="5954" w:type="dxa"/>
          </w:tcPr>
          <w:p w:rsidR="00E87CA2" w:rsidRPr="00AE5142" w:rsidRDefault="0010286F" w:rsidP="0010286F">
            <w:pPr>
              <w:spacing w:after="160" w:line="360" w:lineRule="auto"/>
              <w:rPr>
                <w:rFonts w:ascii="Century Gothic" w:hAnsi="Century Gothic" w:cs="Arial"/>
                <w:b/>
                <w:bCs/>
                <w:u w:val="single"/>
              </w:rPr>
            </w:pPr>
            <w:r>
              <w:rPr>
                <w:rFonts w:ascii="Century Gothic" w:hAnsi="Century Gothic" w:cs="Arial"/>
                <w:b/>
                <w:bCs/>
                <w:u w:val="single"/>
              </w:rPr>
              <w:t>BIGEN AFRICA GROUP HOLDINGS (PTY) LIMITED</w:t>
            </w:r>
            <w:r w:rsidR="0055139B">
              <w:rPr>
                <w:rFonts w:ascii="Century Gothic" w:hAnsi="Century Gothic" w:cs="Arial"/>
                <w:b/>
                <w:bCs/>
                <w:u w:val="single"/>
              </w:rPr>
              <w:t xml:space="preserve"> </w:t>
            </w:r>
          </w:p>
        </w:tc>
        <w:tc>
          <w:tcPr>
            <w:tcW w:w="3119" w:type="dxa"/>
          </w:tcPr>
          <w:p w:rsidR="00E87CA2" w:rsidRPr="00AE5142" w:rsidRDefault="00E87CA2" w:rsidP="00A339E0">
            <w:pPr>
              <w:spacing w:after="160"/>
              <w:jc w:val="right"/>
              <w:rPr>
                <w:rFonts w:ascii="Century Gothic" w:hAnsi="Century Gothic" w:cs="Arial"/>
              </w:rPr>
            </w:pPr>
            <w:r w:rsidRPr="00AE5142">
              <w:rPr>
                <w:rFonts w:ascii="Century Gothic" w:hAnsi="Century Gothic" w:cs="Arial"/>
              </w:rPr>
              <w:t xml:space="preserve"> Applicant </w:t>
            </w:r>
          </w:p>
        </w:tc>
      </w:tr>
      <w:tr w:rsidR="00E87CA2" w:rsidRPr="00AE5142" w:rsidTr="00C0577A">
        <w:trPr>
          <w:trHeight w:val="68"/>
        </w:trPr>
        <w:tc>
          <w:tcPr>
            <w:tcW w:w="5954" w:type="dxa"/>
          </w:tcPr>
          <w:p w:rsidR="00E87CA2" w:rsidRPr="00AE5142" w:rsidRDefault="00E87CA2" w:rsidP="00A339E0">
            <w:pPr>
              <w:spacing w:after="160"/>
              <w:rPr>
                <w:rFonts w:ascii="Century Gothic" w:hAnsi="Century Gothic" w:cs="Arial"/>
              </w:rPr>
            </w:pPr>
          </w:p>
        </w:tc>
        <w:tc>
          <w:tcPr>
            <w:tcW w:w="3119" w:type="dxa"/>
          </w:tcPr>
          <w:p w:rsidR="00E87CA2" w:rsidRPr="00AE5142" w:rsidRDefault="00E87CA2" w:rsidP="00A339E0">
            <w:pPr>
              <w:spacing w:after="160"/>
              <w:jc w:val="right"/>
              <w:rPr>
                <w:rFonts w:ascii="Century Gothic" w:hAnsi="Century Gothic" w:cs="Arial"/>
              </w:rPr>
            </w:pPr>
          </w:p>
        </w:tc>
      </w:tr>
      <w:tr w:rsidR="00E87CA2" w:rsidRPr="00AE5142" w:rsidTr="00C0577A">
        <w:tc>
          <w:tcPr>
            <w:tcW w:w="5954" w:type="dxa"/>
          </w:tcPr>
          <w:p w:rsidR="00E87CA2" w:rsidRPr="00AE5142" w:rsidRDefault="00E87CA2" w:rsidP="00A339E0">
            <w:pPr>
              <w:spacing w:after="160"/>
              <w:rPr>
                <w:rFonts w:ascii="Century Gothic" w:hAnsi="Century Gothic" w:cs="Arial"/>
              </w:rPr>
            </w:pPr>
            <w:r w:rsidRPr="00AE5142">
              <w:rPr>
                <w:rFonts w:ascii="Century Gothic" w:hAnsi="Century Gothic" w:cs="Arial"/>
              </w:rPr>
              <w:t xml:space="preserve">and </w:t>
            </w:r>
          </w:p>
        </w:tc>
        <w:tc>
          <w:tcPr>
            <w:tcW w:w="3119" w:type="dxa"/>
          </w:tcPr>
          <w:p w:rsidR="00E87CA2" w:rsidRPr="00AE5142" w:rsidRDefault="00E87CA2" w:rsidP="00A339E0">
            <w:pPr>
              <w:spacing w:after="160"/>
              <w:jc w:val="right"/>
              <w:rPr>
                <w:rFonts w:ascii="Century Gothic" w:hAnsi="Century Gothic" w:cs="Arial"/>
              </w:rPr>
            </w:pPr>
          </w:p>
        </w:tc>
      </w:tr>
      <w:tr w:rsidR="00E87CA2" w:rsidRPr="00AE5142" w:rsidTr="00C0577A">
        <w:tc>
          <w:tcPr>
            <w:tcW w:w="5954" w:type="dxa"/>
          </w:tcPr>
          <w:p w:rsidR="00E87CA2" w:rsidRPr="00AE5142" w:rsidRDefault="00E87CA2" w:rsidP="00A339E0">
            <w:pPr>
              <w:spacing w:after="160"/>
              <w:rPr>
                <w:rFonts w:ascii="Century Gothic" w:hAnsi="Century Gothic" w:cs="Arial"/>
              </w:rPr>
            </w:pPr>
          </w:p>
        </w:tc>
        <w:tc>
          <w:tcPr>
            <w:tcW w:w="3119" w:type="dxa"/>
          </w:tcPr>
          <w:p w:rsidR="00E87CA2" w:rsidRPr="00AE5142" w:rsidRDefault="00E87CA2" w:rsidP="00A339E0">
            <w:pPr>
              <w:spacing w:after="160"/>
              <w:jc w:val="right"/>
              <w:rPr>
                <w:rFonts w:ascii="Century Gothic" w:hAnsi="Century Gothic" w:cs="Arial"/>
              </w:rPr>
            </w:pPr>
          </w:p>
        </w:tc>
      </w:tr>
      <w:tr w:rsidR="00E87CA2" w:rsidRPr="00AE5142" w:rsidTr="00C0577A">
        <w:trPr>
          <w:trHeight w:val="177"/>
        </w:trPr>
        <w:tc>
          <w:tcPr>
            <w:tcW w:w="5954" w:type="dxa"/>
          </w:tcPr>
          <w:p w:rsidR="00E87CA2" w:rsidRPr="00AE5142" w:rsidRDefault="0010286F" w:rsidP="00A339E0">
            <w:pPr>
              <w:spacing w:after="160"/>
              <w:rPr>
                <w:rFonts w:ascii="Century Gothic" w:hAnsi="Century Gothic" w:cs="Arial"/>
                <w:b/>
                <w:u w:val="single"/>
              </w:rPr>
            </w:pPr>
            <w:r>
              <w:rPr>
                <w:rFonts w:ascii="Century Gothic" w:hAnsi="Century Gothic" w:cs="Arial"/>
                <w:b/>
                <w:bCs/>
                <w:u w:val="single"/>
              </w:rPr>
              <w:t>NEMAI CONSULTING (PTY) LIMITED</w:t>
            </w:r>
          </w:p>
        </w:tc>
        <w:tc>
          <w:tcPr>
            <w:tcW w:w="3119" w:type="dxa"/>
          </w:tcPr>
          <w:p w:rsidR="00E87CA2" w:rsidRPr="00AE5142" w:rsidRDefault="00E87CA2" w:rsidP="00A339E0">
            <w:pPr>
              <w:spacing w:after="160"/>
              <w:jc w:val="right"/>
              <w:rPr>
                <w:rFonts w:ascii="Century Gothic" w:hAnsi="Century Gothic" w:cs="Arial"/>
              </w:rPr>
            </w:pPr>
            <w:r w:rsidRPr="00AE5142">
              <w:rPr>
                <w:rFonts w:ascii="Century Gothic" w:hAnsi="Century Gothic" w:cs="Arial"/>
              </w:rPr>
              <w:t xml:space="preserve">First Respondent </w:t>
            </w:r>
          </w:p>
        </w:tc>
      </w:tr>
      <w:tr w:rsidR="00E87CA2" w:rsidRPr="00AE5142" w:rsidTr="00C0577A">
        <w:tc>
          <w:tcPr>
            <w:tcW w:w="5954" w:type="dxa"/>
          </w:tcPr>
          <w:p w:rsidR="00E87CA2" w:rsidRPr="00AE5142" w:rsidRDefault="0010286F" w:rsidP="00A339E0">
            <w:pPr>
              <w:spacing w:after="160"/>
              <w:rPr>
                <w:rFonts w:ascii="Century Gothic" w:hAnsi="Century Gothic" w:cs="Arial"/>
                <w:b/>
                <w:u w:val="single"/>
              </w:rPr>
            </w:pPr>
            <w:r>
              <w:rPr>
                <w:rFonts w:ascii="Century Gothic" w:hAnsi="Century Gothic" w:cs="Arial"/>
                <w:b/>
                <w:u w:val="single"/>
              </w:rPr>
              <w:t>DHANASHREE NAIDOO</w:t>
            </w:r>
          </w:p>
        </w:tc>
        <w:tc>
          <w:tcPr>
            <w:tcW w:w="3119" w:type="dxa"/>
          </w:tcPr>
          <w:p w:rsidR="00E87CA2" w:rsidRPr="00AE5142" w:rsidRDefault="0055139B" w:rsidP="00A339E0">
            <w:pPr>
              <w:spacing w:after="160"/>
              <w:jc w:val="right"/>
              <w:rPr>
                <w:rFonts w:ascii="Century Gothic" w:hAnsi="Century Gothic" w:cs="Arial"/>
              </w:rPr>
            </w:pPr>
            <w:r>
              <w:rPr>
                <w:rFonts w:ascii="Century Gothic" w:hAnsi="Century Gothic" w:cs="Arial"/>
              </w:rPr>
              <w:t>Second Respondent</w:t>
            </w:r>
          </w:p>
        </w:tc>
      </w:tr>
    </w:tbl>
    <w:p w:rsidR="00782C4F" w:rsidRPr="00AE5142" w:rsidRDefault="00782C4F" w:rsidP="00A973C4">
      <w:pPr>
        <w:pBdr>
          <w:bottom w:val="single" w:sz="12" w:space="1" w:color="auto"/>
        </w:pBdr>
        <w:spacing w:line="480" w:lineRule="auto"/>
        <w:rPr>
          <w:rFonts w:ascii="Century Gothic" w:hAnsi="Century Gothic"/>
        </w:rPr>
      </w:pPr>
    </w:p>
    <w:p w:rsidR="00782C4F" w:rsidRPr="00AE5142" w:rsidRDefault="00782C4F" w:rsidP="00782C4F">
      <w:pPr>
        <w:spacing w:line="276" w:lineRule="auto"/>
        <w:rPr>
          <w:rFonts w:ascii="Century Gothic" w:hAnsi="Century Gothic"/>
        </w:rPr>
      </w:pPr>
    </w:p>
    <w:p w:rsidR="00782C4F" w:rsidRPr="00AE5142" w:rsidRDefault="00C0577A" w:rsidP="00782C4F">
      <w:pPr>
        <w:spacing w:line="276" w:lineRule="auto"/>
        <w:jc w:val="center"/>
        <w:rPr>
          <w:rFonts w:ascii="Century Gothic" w:hAnsi="Century Gothic"/>
          <w:b/>
        </w:rPr>
      </w:pPr>
      <w:r>
        <w:rPr>
          <w:rFonts w:ascii="Century Gothic" w:hAnsi="Century Gothic"/>
          <w:b/>
        </w:rPr>
        <w:t xml:space="preserve">JUDGMENT </w:t>
      </w:r>
    </w:p>
    <w:p w:rsidR="00782C4F" w:rsidRPr="00AE5142" w:rsidRDefault="00782C4F" w:rsidP="00782C4F">
      <w:pPr>
        <w:pBdr>
          <w:bottom w:val="single" w:sz="12" w:space="1" w:color="auto"/>
        </w:pBdr>
        <w:spacing w:line="276" w:lineRule="auto"/>
        <w:jc w:val="center"/>
        <w:rPr>
          <w:rFonts w:ascii="Century Gothic" w:hAnsi="Century Gothic"/>
          <w:b/>
        </w:rPr>
      </w:pPr>
    </w:p>
    <w:p w:rsidR="00C0577A" w:rsidRDefault="00C0577A" w:rsidP="00A973C4">
      <w:pPr>
        <w:spacing w:line="480" w:lineRule="auto"/>
        <w:rPr>
          <w:rFonts w:ascii="Century Gothic" w:hAnsi="Century Gothic"/>
          <w:b/>
        </w:rPr>
      </w:pPr>
    </w:p>
    <w:p w:rsidR="00A973C4" w:rsidRPr="00AE5142" w:rsidRDefault="000A5F51" w:rsidP="00A973C4">
      <w:pPr>
        <w:spacing w:line="480" w:lineRule="auto"/>
        <w:rPr>
          <w:rFonts w:ascii="Century Gothic" w:hAnsi="Century Gothic"/>
        </w:rPr>
      </w:pPr>
      <w:r w:rsidRPr="00AE5142">
        <w:rPr>
          <w:rFonts w:ascii="Century Gothic" w:hAnsi="Century Gothic"/>
          <w:b/>
        </w:rPr>
        <w:t>NEUKIRCHER J:</w:t>
      </w:r>
    </w:p>
    <w:p w:rsidR="000876F8" w:rsidRPr="00BB0BCF" w:rsidRDefault="00BB0BCF" w:rsidP="00BB0BCF">
      <w:pPr>
        <w:spacing w:line="480" w:lineRule="auto"/>
        <w:ind w:left="851" w:hanging="851"/>
        <w:jc w:val="both"/>
        <w:rPr>
          <w:rFonts w:ascii="Arial" w:hAnsi="Arial" w:cs="Arial"/>
          <w:u w:val="single"/>
        </w:rPr>
      </w:pPr>
      <w:r w:rsidRPr="00E032E9">
        <w:rPr>
          <w:rFonts w:ascii="Arial" w:hAnsi="Arial Unicode MS" w:cs="Arial"/>
        </w:rPr>
        <w:lastRenderedPageBreak/>
        <w:t>[1]</w:t>
      </w:r>
      <w:r w:rsidRPr="00E032E9">
        <w:rPr>
          <w:rFonts w:ascii="Arial" w:hAnsi="Arial Unicode MS" w:cs="Arial"/>
        </w:rPr>
        <w:tab/>
      </w:r>
      <w:r w:rsidR="00172743" w:rsidRPr="00BB0BCF">
        <w:rPr>
          <w:rFonts w:ascii="Arial" w:hAnsi="Arial" w:cs="Arial"/>
        </w:rPr>
        <w:t>At issue here is whether or not the applicant is entitled to have an arbitral award (the award)</w:t>
      </w:r>
      <w:r w:rsidR="00E032E9" w:rsidRPr="00BB0BCF">
        <w:rPr>
          <w:rFonts w:ascii="Arial" w:hAnsi="Arial" w:cs="Arial"/>
        </w:rPr>
        <w:t xml:space="preserve"> dated 14 September 2021 made an order of court in terms</w:t>
      </w:r>
      <w:r w:rsidR="00C97F65" w:rsidRPr="00BB0BCF">
        <w:rPr>
          <w:rFonts w:ascii="Arial" w:hAnsi="Arial" w:cs="Arial"/>
        </w:rPr>
        <w:t xml:space="preserve"> of</w:t>
      </w:r>
      <w:r w:rsidR="00E032E9" w:rsidRPr="00BB0BCF">
        <w:rPr>
          <w:rFonts w:ascii="Arial" w:hAnsi="Arial" w:cs="Arial"/>
        </w:rPr>
        <w:t xml:space="preserve"> Section 31 of the Arbitration Act 42 of 1965. The application is opposed.</w:t>
      </w:r>
    </w:p>
    <w:p w:rsidR="00E032E9" w:rsidRDefault="00E032E9" w:rsidP="00E032E9">
      <w:pPr>
        <w:spacing w:line="480" w:lineRule="auto"/>
        <w:jc w:val="both"/>
        <w:rPr>
          <w:rFonts w:ascii="Arial" w:hAnsi="Arial" w:cs="Arial"/>
          <w:u w:val="single"/>
        </w:rPr>
      </w:pPr>
    </w:p>
    <w:p w:rsidR="00E032E9" w:rsidRPr="00E032E9" w:rsidRDefault="00E032E9" w:rsidP="00E032E9">
      <w:pPr>
        <w:spacing w:line="480" w:lineRule="auto"/>
        <w:jc w:val="both"/>
        <w:rPr>
          <w:rFonts w:ascii="Arial" w:hAnsi="Arial" w:cs="Arial"/>
          <w:b/>
          <w:u w:val="single"/>
        </w:rPr>
      </w:pPr>
      <w:r w:rsidRPr="00E032E9">
        <w:rPr>
          <w:rFonts w:ascii="Arial" w:hAnsi="Arial" w:cs="Arial"/>
          <w:b/>
          <w:u w:val="single"/>
        </w:rPr>
        <w:t>THE AWARD</w:t>
      </w:r>
    </w:p>
    <w:p w:rsidR="009831A3" w:rsidRPr="00BB0BCF" w:rsidRDefault="00BB0BCF" w:rsidP="00BB0BCF">
      <w:pPr>
        <w:spacing w:line="480" w:lineRule="auto"/>
        <w:ind w:left="851" w:hanging="851"/>
        <w:jc w:val="both"/>
        <w:rPr>
          <w:rFonts w:ascii="Arial" w:hAnsi="Arial" w:cs="Arial"/>
          <w:u w:val="single"/>
        </w:rPr>
      </w:pPr>
      <w:r w:rsidRPr="00E032E9">
        <w:rPr>
          <w:rFonts w:ascii="Arial" w:hAnsi="Arial Unicode MS" w:cs="Arial"/>
        </w:rPr>
        <w:t>[2]</w:t>
      </w:r>
      <w:r w:rsidRPr="00E032E9">
        <w:rPr>
          <w:rFonts w:ascii="Arial" w:hAnsi="Arial Unicode MS" w:cs="Arial"/>
        </w:rPr>
        <w:tab/>
      </w:r>
      <w:r w:rsidR="00E032E9" w:rsidRPr="00BB0BCF">
        <w:rPr>
          <w:rFonts w:ascii="Arial" w:hAnsi="Arial" w:cs="Arial"/>
        </w:rPr>
        <w:t>The award reads as follows:</w:t>
      </w:r>
    </w:p>
    <w:p w:rsidR="00E032E9" w:rsidRPr="003D1BE9" w:rsidRDefault="00E032E9" w:rsidP="00E032E9">
      <w:pPr>
        <w:pStyle w:val="ListParagraph"/>
        <w:spacing w:line="480" w:lineRule="auto"/>
        <w:ind w:left="851"/>
        <w:jc w:val="both"/>
        <w:rPr>
          <w:rFonts w:ascii="Arial" w:hAnsi="Arial" w:cs="Arial"/>
          <w:i/>
        </w:rPr>
      </w:pPr>
      <w:r w:rsidRPr="003D1BE9">
        <w:rPr>
          <w:rFonts w:ascii="Arial" w:hAnsi="Arial" w:cs="Arial"/>
          <w:i/>
        </w:rPr>
        <w:t>“1.</w:t>
      </w:r>
      <w:r w:rsidRPr="003D1BE9">
        <w:rPr>
          <w:rFonts w:ascii="Arial" w:hAnsi="Arial" w:cs="Arial"/>
          <w:i/>
        </w:rPr>
        <w:tab/>
        <w:t>The First Defendant must pay to the Claimant the sum of R14 890 884.</w:t>
      </w:r>
    </w:p>
    <w:p w:rsidR="00E032E9" w:rsidRPr="003D1BE9" w:rsidRDefault="00E032E9" w:rsidP="003D1BE9">
      <w:pPr>
        <w:pStyle w:val="ListParagraph"/>
        <w:spacing w:line="480" w:lineRule="auto"/>
        <w:ind w:left="1440" w:hanging="517"/>
        <w:jc w:val="both"/>
        <w:rPr>
          <w:rFonts w:ascii="Arial" w:hAnsi="Arial" w:cs="Arial"/>
          <w:i/>
        </w:rPr>
      </w:pPr>
      <w:r w:rsidRPr="003D1BE9">
        <w:rPr>
          <w:rFonts w:ascii="Arial" w:hAnsi="Arial" w:cs="Arial"/>
          <w:i/>
        </w:rPr>
        <w:t>2.</w:t>
      </w:r>
      <w:r w:rsidRPr="003D1BE9">
        <w:rPr>
          <w:rFonts w:ascii="Arial" w:hAnsi="Arial" w:cs="Arial"/>
          <w:i/>
        </w:rPr>
        <w:tab/>
        <w:t>The First Defendant must pay to the Claimant interest on that amount, at the prescribed rate, calculated from 2 October 2019 to date of payment, but only to the extent it exceeds the sum of R1 650 000.</w:t>
      </w:r>
    </w:p>
    <w:p w:rsidR="00E032E9" w:rsidRPr="003D1BE9" w:rsidRDefault="00E032E9" w:rsidP="00E032E9">
      <w:pPr>
        <w:pStyle w:val="ListParagraph"/>
        <w:spacing w:line="480" w:lineRule="auto"/>
        <w:ind w:left="851"/>
        <w:jc w:val="both"/>
        <w:rPr>
          <w:rFonts w:ascii="Arial" w:hAnsi="Arial" w:cs="Arial"/>
          <w:i/>
        </w:rPr>
      </w:pPr>
      <w:r w:rsidRPr="003D1BE9">
        <w:rPr>
          <w:rFonts w:ascii="Arial" w:hAnsi="Arial" w:cs="Arial"/>
          <w:i/>
        </w:rPr>
        <w:t xml:space="preserve"> 3.</w:t>
      </w:r>
      <w:r w:rsidRPr="003D1BE9">
        <w:rPr>
          <w:rFonts w:ascii="Arial" w:hAnsi="Arial" w:cs="Arial"/>
          <w:i/>
        </w:rPr>
        <w:tab/>
      </w:r>
      <w:r w:rsidR="001B213F" w:rsidRPr="003D1BE9">
        <w:rPr>
          <w:rFonts w:ascii="Arial" w:hAnsi="Arial" w:cs="Arial"/>
          <w:i/>
        </w:rPr>
        <w:t>The counterclaims are dismissed.</w:t>
      </w:r>
    </w:p>
    <w:p w:rsidR="003D1BE9" w:rsidRPr="003D1BE9" w:rsidRDefault="003D1BE9" w:rsidP="003D1BE9">
      <w:pPr>
        <w:pStyle w:val="ListParagraph"/>
        <w:spacing w:line="480" w:lineRule="auto"/>
        <w:ind w:left="1439" w:hanging="588"/>
        <w:jc w:val="both"/>
        <w:rPr>
          <w:rFonts w:ascii="Arial" w:hAnsi="Arial" w:cs="Arial"/>
          <w:i/>
        </w:rPr>
      </w:pPr>
      <w:r w:rsidRPr="003D1BE9">
        <w:rPr>
          <w:rFonts w:ascii="Arial" w:hAnsi="Arial" w:cs="Arial"/>
          <w:i/>
        </w:rPr>
        <w:t xml:space="preserve"> 4.</w:t>
      </w:r>
      <w:r w:rsidRPr="003D1BE9">
        <w:rPr>
          <w:rFonts w:ascii="Arial" w:hAnsi="Arial" w:cs="Arial"/>
          <w:i/>
        </w:rPr>
        <w:tab/>
        <w:t>The First Defendant must pay the costs of the Claimant and the costs of the arbitration, including the fees of the arbitrator.</w:t>
      </w:r>
    </w:p>
    <w:p w:rsidR="003D1BE9" w:rsidRPr="003D1BE9" w:rsidRDefault="003D1BE9" w:rsidP="00E032E9">
      <w:pPr>
        <w:pStyle w:val="ListParagraph"/>
        <w:spacing w:line="480" w:lineRule="auto"/>
        <w:ind w:left="851"/>
        <w:jc w:val="both"/>
        <w:rPr>
          <w:rFonts w:ascii="Arial" w:hAnsi="Arial" w:cs="Arial"/>
          <w:i/>
          <w:u w:val="single"/>
        </w:rPr>
      </w:pPr>
      <w:r w:rsidRPr="003D1BE9">
        <w:rPr>
          <w:rFonts w:ascii="Arial" w:hAnsi="Arial" w:cs="Arial"/>
          <w:i/>
        </w:rPr>
        <w:t xml:space="preserve"> 5.</w:t>
      </w:r>
      <w:r w:rsidRPr="003D1BE9">
        <w:rPr>
          <w:rFonts w:ascii="Arial" w:hAnsi="Arial" w:cs="Arial"/>
          <w:i/>
        </w:rPr>
        <w:tab/>
        <w:t>The Claimant must pay the costs of the Second Defendant.”</w:t>
      </w:r>
    </w:p>
    <w:p w:rsidR="003D1BE9" w:rsidRDefault="003D1BE9" w:rsidP="003D1BE9">
      <w:pPr>
        <w:spacing w:line="480" w:lineRule="auto"/>
        <w:jc w:val="both"/>
        <w:rPr>
          <w:rFonts w:ascii="Arial" w:hAnsi="Arial" w:cs="Arial"/>
          <w:u w:val="single"/>
        </w:rPr>
      </w:pPr>
    </w:p>
    <w:p w:rsidR="003D1BE9" w:rsidRPr="003D1BE9" w:rsidRDefault="003D1BE9" w:rsidP="003D1BE9">
      <w:pPr>
        <w:spacing w:line="480" w:lineRule="auto"/>
        <w:jc w:val="both"/>
        <w:rPr>
          <w:rFonts w:ascii="Arial" w:hAnsi="Arial" w:cs="Arial"/>
          <w:b/>
          <w:u w:val="single"/>
        </w:rPr>
      </w:pPr>
      <w:r w:rsidRPr="003D1BE9">
        <w:rPr>
          <w:rFonts w:ascii="Arial" w:hAnsi="Arial" w:cs="Arial"/>
          <w:b/>
          <w:u w:val="single"/>
        </w:rPr>
        <w:t>THE ARBITRATION ACT</w:t>
      </w:r>
    </w:p>
    <w:p w:rsidR="009831A3" w:rsidRPr="00BB0BCF" w:rsidRDefault="00BB0BCF" w:rsidP="00BB0BCF">
      <w:pPr>
        <w:spacing w:line="480" w:lineRule="auto"/>
        <w:ind w:left="851" w:hanging="851"/>
        <w:jc w:val="both"/>
        <w:rPr>
          <w:rFonts w:ascii="Arial" w:hAnsi="Arial" w:cs="Arial"/>
          <w:u w:val="single"/>
        </w:rPr>
      </w:pPr>
      <w:r w:rsidRPr="003D1BE9">
        <w:rPr>
          <w:rFonts w:ascii="Arial" w:hAnsi="Arial Unicode MS" w:cs="Arial"/>
        </w:rPr>
        <w:t>[3]</w:t>
      </w:r>
      <w:r w:rsidRPr="003D1BE9">
        <w:rPr>
          <w:rFonts w:ascii="Arial" w:hAnsi="Arial Unicode MS" w:cs="Arial"/>
        </w:rPr>
        <w:tab/>
      </w:r>
      <w:r w:rsidR="003D1BE9" w:rsidRPr="00BB0BCF">
        <w:rPr>
          <w:rFonts w:ascii="Arial" w:hAnsi="Arial" w:cs="Arial"/>
        </w:rPr>
        <w:t xml:space="preserve">The relevant provisions of the </w:t>
      </w:r>
      <w:r w:rsidR="003D1BE9" w:rsidRPr="00BB0BCF">
        <w:rPr>
          <w:rFonts w:ascii="Arial" w:hAnsi="Arial" w:cs="Arial"/>
          <w:b/>
        </w:rPr>
        <w:t>Arbitration Act No. 42 of 1965</w:t>
      </w:r>
      <w:r w:rsidR="003D1BE9" w:rsidRPr="00BB0BCF">
        <w:rPr>
          <w:rFonts w:ascii="Arial" w:hAnsi="Arial" w:cs="Arial"/>
        </w:rPr>
        <w:t xml:space="preserve"> read as follows:</w:t>
      </w:r>
    </w:p>
    <w:p w:rsidR="003D1BE9" w:rsidRPr="00B42C95" w:rsidRDefault="003D1BE9" w:rsidP="00E464D6">
      <w:pPr>
        <w:spacing w:line="480" w:lineRule="auto"/>
        <w:ind w:left="2127" w:hanging="1134"/>
        <w:jc w:val="both"/>
        <w:rPr>
          <w:rFonts w:ascii="Arial" w:hAnsi="Arial" w:cs="Arial"/>
          <w:i/>
        </w:rPr>
      </w:pPr>
      <w:r w:rsidRPr="00B42C95">
        <w:rPr>
          <w:rFonts w:ascii="Arial" w:hAnsi="Arial" w:cs="Arial"/>
          <w:i/>
        </w:rPr>
        <w:t>“</w:t>
      </w:r>
      <w:r w:rsidR="00E464D6">
        <w:rPr>
          <w:rFonts w:ascii="Arial" w:hAnsi="Arial" w:cs="Arial"/>
          <w:i/>
        </w:rPr>
        <w:t xml:space="preserve">31. </w:t>
      </w:r>
      <w:r w:rsidRPr="00B42C95">
        <w:rPr>
          <w:rFonts w:ascii="Arial" w:hAnsi="Arial" w:cs="Arial"/>
          <w:i/>
        </w:rPr>
        <w:t xml:space="preserve">(1) </w:t>
      </w:r>
      <w:r w:rsidR="00E464D6">
        <w:rPr>
          <w:rFonts w:ascii="Arial" w:hAnsi="Arial" w:cs="Arial"/>
          <w:i/>
        </w:rPr>
        <w:tab/>
      </w:r>
      <w:r w:rsidRPr="00B42C95">
        <w:rPr>
          <w:rFonts w:ascii="Arial" w:hAnsi="Arial" w:cs="Arial"/>
          <w:i/>
        </w:rPr>
        <w:t xml:space="preserve">An award may, on the application to a court of competent </w:t>
      </w:r>
      <w:r w:rsidR="00032CD0" w:rsidRPr="00B42C95">
        <w:rPr>
          <w:rFonts w:ascii="Arial" w:hAnsi="Arial" w:cs="Arial"/>
          <w:i/>
        </w:rPr>
        <w:t>jurisdiction by any party to the reference after due notice to the other party or parties, be made an order of court.</w:t>
      </w:r>
    </w:p>
    <w:p w:rsidR="00032CD0" w:rsidRPr="00B42C95" w:rsidRDefault="00032CD0" w:rsidP="00B42C95">
      <w:pPr>
        <w:pStyle w:val="ListParagraph"/>
        <w:spacing w:line="480" w:lineRule="auto"/>
        <w:ind w:left="2159" w:hanging="720"/>
        <w:jc w:val="both"/>
        <w:rPr>
          <w:rFonts w:ascii="Arial" w:hAnsi="Arial" w:cs="Arial"/>
          <w:i/>
        </w:rPr>
      </w:pPr>
      <w:r w:rsidRPr="00B42C95">
        <w:rPr>
          <w:rFonts w:ascii="Arial" w:hAnsi="Arial" w:cs="Arial"/>
          <w:i/>
        </w:rPr>
        <w:t>(2)</w:t>
      </w:r>
      <w:r w:rsidRPr="00B42C95">
        <w:rPr>
          <w:rFonts w:ascii="Arial" w:hAnsi="Arial" w:cs="Arial"/>
          <w:i/>
        </w:rPr>
        <w:tab/>
        <w:t>The court to which application is so made, may, before making the award an order</w:t>
      </w:r>
      <w:r w:rsidR="006C7385">
        <w:rPr>
          <w:rFonts w:ascii="Arial" w:hAnsi="Arial" w:cs="Arial"/>
          <w:i/>
        </w:rPr>
        <w:t xml:space="preserve"> of court</w:t>
      </w:r>
      <w:r w:rsidRPr="00B42C95">
        <w:rPr>
          <w:rFonts w:ascii="Arial" w:hAnsi="Arial" w:cs="Arial"/>
          <w:i/>
        </w:rPr>
        <w:t>, correct in the award any clerical mistake or any patent error arising from any accidental slip or omission.</w:t>
      </w:r>
    </w:p>
    <w:p w:rsidR="00032CD0" w:rsidRPr="00B42C95" w:rsidRDefault="00032CD0" w:rsidP="00B42C95">
      <w:pPr>
        <w:pStyle w:val="ListParagraph"/>
        <w:spacing w:line="480" w:lineRule="auto"/>
        <w:ind w:left="2159" w:hanging="720"/>
        <w:jc w:val="both"/>
        <w:rPr>
          <w:rFonts w:ascii="Arial" w:hAnsi="Arial" w:cs="Arial"/>
          <w:i/>
        </w:rPr>
      </w:pPr>
      <w:r w:rsidRPr="00B42C95">
        <w:rPr>
          <w:rFonts w:ascii="Arial" w:hAnsi="Arial" w:cs="Arial"/>
          <w:i/>
        </w:rPr>
        <w:lastRenderedPageBreak/>
        <w:t>(3)</w:t>
      </w:r>
      <w:r w:rsidRPr="00B42C95">
        <w:rPr>
          <w:rFonts w:ascii="Arial" w:hAnsi="Arial" w:cs="Arial"/>
          <w:i/>
        </w:rPr>
        <w:tab/>
        <w:t>An award which has been made an order of court may be enforced in the same manner as any judgment or order to same</w:t>
      </w:r>
      <w:r w:rsidR="005F15A8">
        <w:rPr>
          <w:rFonts w:ascii="Arial" w:hAnsi="Arial" w:cs="Arial"/>
          <w:i/>
        </w:rPr>
        <w:t xml:space="preserve"> the</w:t>
      </w:r>
      <w:r w:rsidRPr="00B42C95">
        <w:rPr>
          <w:rFonts w:ascii="Arial" w:hAnsi="Arial" w:cs="Arial"/>
          <w:i/>
        </w:rPr>
        <w:t xml:space="preserve"> effect.</w:t>
      </w:r>
    </w:p>
    <w:p w:rsidR="003933C1" w:rsidRPr="00B42C95" w:rsidRDefault="003933C1" w:rsidP="00032CD0">
      <w:pPr>
        <w:pStyle w:val="ListParagraph"/>
        <w:spacing w:line="480" w:lineRule="auto"/>
        <w:ind w:left="1439" w:hanging="588"/>
        <w:jc w:val="both"/>
        <w:rPr>
          <w:rFonts w:ascii="Arial" w:hAnsi="Arial" w:cs="Arial"/>
          <w:i/>
        </w:rPr>
      </w:pPr>
      <w:r w:rsidRPr="00B42C95">
        <w:rPr>
          <w:rFonts w:ascii="Arial" w:hAnsi="Arial" w:cs="Arial"/>
          <w:i/>
        </w:rPr>
        <w:t xml:space="preserve">33. </w:t>
      </w:r>
      <w:r w:rsidR="00D33AFF" w:rsidRPr="00B42C95">
        <w:rPr>
          <w:rFonts w:ascii="Arial" w:hAnsi="Arial" w:cs="Arial"/>
          <w:i/>
        </w:rPr>
        <w:tab/>
      </w:r>
      <w:r w:rsidRPr="00B42C95">
        <w:rPr>
          <w:rFonts w:ascii="Arial" w:hAnsi="Arial" w:cs="Arial"/>
          <w:i/>
        </w:rPr>
        <w:t xml:space="preserve">(1) Where – </w:t>
      </w:r>
    </w:p>
    <w:p w:rsidR="003933C1" w:rsidRPr="00B42C95" w:rsidRDefault="003933C1" w:rsidP="00B42C95">
      <w:pPr>
        <w:pStyle w:val="ListParagraph"/>
        <w:spacing w:line="480" w:lineRule="auto"/>
        <w:ind w:left="2159" w:hanging="720"/>
        <w:jc w:val="both"/>
        <w:rPr>
          <w:rFonts w:ascii="Arial" w:hAnsi="Arial" w:cs="Arial"/>
          <w:i/>
        </w:rPr>
      </w:pPr>
      <w:r w:rsidRPr="00B42C95">
        <w:rPr>
          <w:rFonts w:ascii="Arial" w:hAnsi="Arial" w:cs="Arial"/>
          <w:i/>
        </w:rPr>
        <w:t>(a)</w:t>
      </w:r>
      <w:r w:rsidRPr="00B42C95">
        <w:rPr>
          <w:rFonts w:ascii="Arial" w:hAnsi="Arial" w:cs="Arial"/>
          <w:i/>
        </w:rPr>
        <w:tab/>
        <w:t xml:space="preserve">any member of an arbitration tribunal has misconducted himself in relation to his duties as arbitrator or umpire; or </w:t>
      </w:r>
    </w:p>
    <w:p w:rsidR="00D10F48" w:rsidRPr="00B42C95" w:rsidRDefault="00D10F48" w:rsidP="00B42C95">
      <w:pPr>
        <w:pStyle w:val="ListParagraph"/>
        <w:spacing w:line="480" w:lineRule="auto"/>
        <w:ind w:left="2159" w:hanging="720"/>
        <w:jc w:val="both"/>
        <w:rPr>
          <w:rFonts w:ascii="Arial" w:hAnsi="Arial" w:cs="Arial"/>
          <w:i/>
        </w:rPr>
      </w:pPr>
      <w:r w:rsidRPr="00B42C95">
        <w:rPr>
          <w:rFonts w:ascii="Arial" w:hAnsi="Arial" w:cs="Arial"/>
          <w:i/>
        </w:rPr>
        <w:t>(b)</w:t>
      </w:r>
      <w:r w:rsidRPr="00B42C95">
        <w:rPr>
          <w:rFonts w:ascii="Arial" w:hAnsi="Arial" w:cs="Arial"/>
          <w:i/>
        </w:rPr>
        <w:tab/>
        <w:t xml:space="preserve">an arbitration tribunal has committed any gross </w:t>
      </w:r>
      <w:r w:rsidR="00D33AFF" w:rsidRPr="00B42C95">
        <w:rPr>
          <w:rFonts w:ascii="Arial" w:hAnsi="Arial" w:cs="Arial"/>
          <w:i/>
        </w:rPr>
        <w:t>irregularity in the conduct of the arbitration proceedings or has exceeded its powers; or</w:t>
      </w:r>
    </w:p>
    <w:p w:rsidR="00D33AFF" w:rsidRPr="00B42C95" w:rsidRDefault="00D33AFF" w:rsidP="00D33AFF">
      <w:pPr>
        <w:pStyle w:val="ListParagraph"/>
        <w:spacing w:line="480" w:lineRule="auto"/>
        <w:ind w:left="1439"/>
        <w:jc w:val="both"/>
        <w:rPr>
          <w:rFonts w:ascii="Arial" w:hAnsi="Arial" w:cs="Arial"/>
          <w:i/>
        </w:rPr>
      </w:pPr>
      <w:r w:rsidRPr="00B42C95">
        <w:rPr>
          <w:rFonts w:ascii="Arial" w:hAnsi="Arial" w:cs="Arial"/>
          <w:i/>
        </w:rPr>
        <w:t>(c)</w:t>
      </w:r>
      <w:r w:rsidRPr="00B42C95">
        <w:rPr>
          <w:rFonts w:ascii="Arial" w:hAnsi="Arial" w:cs="Arial"/>
          <w:i/>
        </w:rPr>
        <w:tab/>
        <w:t>an award has been improperly obtained,</w:t>
      </w:r>
    </w:p>
    <w:p w:rsidR="00D33AFF" w:rsidRPr="00B42C95" w:rsidRDefault="00D33AFF" w:rsidP="00B42C95">
      <w:pPr>
        <w:pStyle w:val="ListParagraph"/>
        <w:spacing w:line="480" w:lineRule="auto"/>
        <w:ind w:left="2160"/>
        <w:jc w:val="both"/>
        <w:rPr>
          <w:rFonts w:ascii="Arial" w:hAnsi="Arial" w:cs="Arial"/>
          <w:i/>
        </w:rPr>
      </w:pPr>
      <w:r w:rsidRPr="00B42C95">
        <w:rPr>
          <w:rFonts w:ascii="Arial" w:hAnsi="Arial" w:cs="Arial"/>
          <w:i/>
        </w:rPr>
        <w:t>the court may, on the application of any party to the reference after due notice to the other party or parties, make an order setting the award aside.</w:t>
      </w:r>
    </w:p>
    <w:p w:rsidR="00D33AFF" w:rsidRPr="00B42C95" w:rsidRDefault="00D33AFF" w:rsidP="00B42C95">
      <w:pPr>
        <w:pStyle w:val="ListParagraph"/>
        <w:spacing w:line="480" w:lineRule="auto"/>
        <w:ind w:left="1843" w:hanging="404"/>
        <w:jc w:val="both"/>
        <w:rPr>
          <w:rFonts w:ascii="Arial" w:hAnsi="Arial" w:cs="Arial"/>
          <w:i/>
        </w:rPr>
      </w:pPr>
      <w:r w:rsidRPr="00B42C95">
        <w:rPr>
          <w:rFonts w:ascii="Arial" w:hAnsi="Arial" w:cs="Arial"/>
          <w:i/>
        </w:rPr>
        <w:t>(2) An application pursuant to this section shall be made within six weeks after the publication of the award to the parties: Provided that when the setting aside of the award is requested on the ground of corruption, such application shall be made within six weeks after the discovery of the corruption and in any case not later than three years after the date on which the award was so published.</w:t>
      </w:r>
    </w:p>
    <w:p w:rsidR="00D3781B" w:rsidRPr="00B42C95" w:rsidRDefault="00D3781B" w:rsidP="00B42C95">
      <w:pPr>
        <w:pStyle w:val="ListParagraph"/>
        <w:spacing w:line="480" w:lineRule="auto"/>
        <w:ind w:left="1843" w:hanging="425"/>
        <w:jc w:val="both"/>
        <w:rPr>
          <w:rFonts w:ascii="Arial" w:hAnsi="Arial" w:cs="Arial"/>
          <w:i/>
        </w:rPr>
      </w:pPr>
      <w:r w:rsidRPr="00B42C95">
        <w:rPr>
          <w:rFonts w:ascii="Arial" w:hAnsi="Arial" w:cs="Arial"/>
          <w:i/>
        </w:rPr>
        <w:t>(3) The court may. If it considers that the circumstances so require, stay enforcement of the award pending its decision.</w:t>
      </w:r>
    </w:p>
    <w:p w:rsidR="00D3781B" w:rsidRPr="00B42C95" w:rsidRDefault="00D3781B" w:rsidP="00B42C95">
      <w:pPr>
        <w:pStyle w:val="ListParagraph"/>
        <w:spacing w:line="480" w:lineRule="auto"/>
        <w:ind w:left="1843" w:hanging="404"/>
        <w:jc w:val="both"/>
        <w:rPr>
          <w:rFonts w:ascii="Arial" w:hAnsi="Arial" w:cs="Arial"/>
          <w:i/>
        </w:rPr>
      </w:pPr>
      <w:r w:rsidRPr="00B42C95">
        <w:rPr>
          <w:rFonts w:ascii="Arial" w:hAnsi="Arial" w:cs="Arial"/>
          <w:i/>
        </w:rPr>
        <w:t>(4) If the award is set aside the dispute shall, at the request of either party, be submitted to a new arbitration tribunal constituted in the manner directed by the court.</w:t>
      </w:r>
      <w:r w:rsidR="00B42C95" w:rsidRPr="00B42C95">
        <w:rPr>
          <w:rFonts w:ascii="Arial" w:hAnsi="Arial" w:cs="Arial"/>
          <w:i/>
        </w:rPr>
        <w:t>”</w:t>
      </w:r>
    </w:p>
    <w:p w:rsidR="00D33AFF" w:rsidRPr="009831A3" w:rsidRDefault="00D33AFF" w:rsidP="00032CD0">
      <w:pPr>
        <w:pStyle w:val="ListParagraph"/>
        <w:spacing w:line="480" w:lineRule="auto"/>
        <w:ind w:left="1439" w:hanging="588"/>
        <w:jc w:val="both"/>
        <w:rPr>
          <w:rFonts w:ascii="Arial" w:hAnsi="Arial" w:cs="Arial"/>
          <w:u w:val="single"/>
        </w:rPr>
      </w:pPr>
    </w:p>
    <w:p w:rsidR="009831A3" w:rsidRPr="009831A3" w:rsidRDefault="009831A3" w:rsidP="009831A3">
      <w:pPr>
        <w:pStyle w:val="ListParagraph"/>
        <w:spacing w:line="480" w:lineRule="auto"/>
        <w:ind w:left="851"/>
        <w:jc w:val="both"/>
        <w:rPr>
          <w:rFonts w:ascii="Arial" w:hAnsi="Arial" w:cs="Arial"/>
          <w:u w:val="single"/>
        </w:rPr>
      </w:pPr>
    </w:p>
    <w:p w:rsidR="00C85C3A" w:rsidRPr="00BB0BCF" w:rsidRDefault="00BB0BCF" w:rsidP="00BB0BCF">
      <w:pPr>
        <w:spacing w:line="480" w:lineRule="auto"/>
        <w:ind w:left="851" w:hanging="851"/>
        <w:jc w:val="both"/>
        <w:rPr>
          <w:rFonts w:ascii="Arial" w:hAnsi="Arial" w:cs="Arial"/>
          <w:u w:val="single"/>
        </w:rPr>
      </w:pPr>
      <w:r w:rsidRPr="00C85C3A">
        <w:rPr>
          <w:rFonts w:ascii="Arial" w:hAnsi="Arial Unicode MS" w:cs="Arial"/>
        </w:rPr>
        <w:t>[4]</w:t>
      </w:r>
      <w:r w:rsidRPr="00C85C3A">
        <w:rPr>
          <w:rFonts w:ascii="Arial" w:hAnsi="Arial Unicode MS" w:cs="Arial"/>
        </w:rPr>
        <w:tab/>
      </w:r>
      <w:r w:rsidR="00C85C3A" w:rsidRPr="00BB0BCF">
        <w:rPr>
          <w:rFonts w:ascii="Arial" w:hAnsi="Arial" w:cs="Arial"/>
        </w:rPr>
        <w:t>This case concern</w:t>
      </w:r>
      <w:r w:rsidR="00830647" w:rsidRPr="00BB0BCF">
        <w:rPr>
          <w:rFonts w:ascii="Arial" w:hAnsi="Arial" w:cs="Arial"/>
        </w:rPr>
        <w:t>s</w:t>
      </w:r>
      <w:r w:rsidR="00C85C3A" w:rsidRPr="00BB0BCF">
        <w:rPr>
          <w:rFonts w:ascii="Arial" w:hAnsi="Arial" w:cs="Arial"/>
        </w:rPr>
        <w:t xml:space="preserve"> solely the provisions of Section 31(1) of the Arbitration Act and I am not enjoined to consider any of the grounds listed in Section 33, as the respondents </w:t>
      </w:r>
      <w:r w:rsidR="005D6FCA" w:rsidRPr="00BB0BCF">
        <w:rPr>
          <w:rFonts w:ascii="Arial" w:hAnsi="Arial" w:cs="Arial"/>
        </w:rPr>
        <w:t>no longer</w:t>
      </w:r>
      <w:r w:rsidR="00C85C3A" w:rsidRPr="00BB0BCF">
        <w:rPr>
          <w:rFonts w:ascii="Arial" w:hAnsi="Arial" w:cs="Arial"/>
        </w:rPr>
        <w:t xml:space="preserve"> seek a</w:t>
      </w:r>
      <w:r w:rsidR="0015469A" w:rsidRPr="00BB0BCF">
        <w:rPr>
          <w:rFonts w:ascii="Arial" w:hAnsi="Arial" w:cs="Arial"/>
        </w:rPr>
        <w:t>n order setting aside the award. At the hearing</w:t>
      </w:r>
      <w:r w:rsidR="00830647" w:rsidRPr="00BB0BCF">
        <w:rPr>
          <w:rFonts w:ascii="Arial" w:hAnsi="Arial" w:cs="Arial"/>
        </w:rPr>
        <w:t>,</w:t>
      </w:r>
      <w:r w:rsidR="0015469A" w:rsidRPr="00BB0BCF">
        <w:rPr>
          <w:rFonts w:ascii="Arial" w:hAnsi="Arial" w:cs="Arial"/>
        </w:rPr>
        <w:t xml:space="preserve"> the sole issue raised was whether this application should be stayed pending the outcome of the proceedings lodged by the first respondent against applicant </w:t>
      </w:r>
      <w:r w:rsidR="00AA7C64" w:rsidRPr="00BB0BCF">
        <w:rPr>
          <w:rFonts w:ascii="Arial" w:hAnsi="Arial" w:cs="Arial"/>
        </w:rPr>
        <w:t>at the Broad-Based Black Economic Empowerment Commission (the Commission).</w:t>
      </w:r>
    </w:p>
    <w:p w:rsidR="009831A3" w:rsidRDefault="009831A3" w:rsidP="004E4373">
      <w:pPr>
        <w:spacing w:line="480" w:lineRule="auto"/>
        <w:jc w:val="both"/>
        <w:rPr>
          <w:rFonts w:ascii="Arial" w:hAnsi="Arial" w:cs="Arial"/>
          <w:u w:val="single"/>
        </w:rPr>
      </w:pPr>
    </w:p>
    <w:p w:rsidR="004E4373" w:rsidRPr="004E4373" w:rsidRDefault="004E4373" w:rsidP="004E4373">
      <w:pPr>
        <w:spacing w:line="480" w:lineRule="auto"/>
        <w:jc w:val="both"/>
        <w:rPr>
          <w:rFonts w:ascii="Arial" w:hAnsi="Arial" w:cs="Arial"/>
          <w:b/>
          <w:u w:val="single"/>
        </w:rPr>
      </w:pPr>
      <w:r w:rsidRPr="004E4373">
        <w:rPr>
          <w:rFonts w:ascii="Arial" w:hAnsi="Arial" w:cs="Arial"/>
          <w:b/>
          <w:u w:val="single"/>
        </w:rPr>
        <w:t>BACKGROUND</w:t>
      </w:r>
    </w:p>
    <w:p w:rsidR="009831A3" w:rsidRPr="00BB0BCF" w:rsidRDefault="00BB0BCF" w:rsidP="00BB0BCF">
      <w:pPr>
        <w:spacing w:line="480" w:lineRule="auto"/>
        <w:ind w:left="851" w:hanging="851"/>
        <w:jc w:val="both"/>
        <w:rPr>
          <w:rFonts w:ascii="Arial" w:hAnsi="Arial" w:cs="Arial"/>
          <w:u w:val="single"/>
        </w:rPr>
      </w:pPr>
      <w:r w:rsidRPr="009831A3">
        <w:rPr>
          <w:rFonts w:ascii="Arial" w:hAnsi="Arial Unicode MS" w:cs="Arial"/>
        </w:rPr>
        <w:t>[5]</w:t>
      </w:r>
      <w:r w:rsidRPr="009831A3">
        <w:rPr>
          <w:rFonts w:ascii="Arial" w:hAnsi="Arial Unicode MS" w:cs="Arial"/>
        </w:rPr>
        <w:tab/>
      </w:r>
      <w:r w:rsidR="004E4373" w:rsidRPr="00BB0BCF">
        <w:rPr>
          <w:rFonts w:ascii="Arial" w:hAnsi="Arial" w:cs="Arial"/>
        </w:rPr>
        <w:t>The first respondent is a Level 1 B-BBEE company whose sole shareholder and director is a black female. The applicant and the first respondent entered into several agreements of which one was a convertible loan agreement (CLA) in terms of wh</w:t>
      </w:r>
      <w:r w:rsidR="00830647" w:rsidRPr="00BB0BCF">
        <w:rPr>
          <w:rFonts w:ascii="Arial" w:hAnsi="Arial" w:cs="Arial"/>
        </w:rPr>
        <w:t xml:space="preserve">ich the first respondent would </w:t>
      </w:r>
      <w:r w:rsidR="004E4373" w:rsidRPr="00BB0BCF">
        <w:rPr>
          <w:rFonts w:ascii="Arial" w:hAnsi="Arial" w:cs="Arial"/>
        </w:rPr>
        <w:t>sell 26% of its shares to the applicant. The CLA provided for an advance of R22 million to the first respondent with both parties having an election to convert the loan to equity in the first respondent in certain circumstances. If neither party elected to convert the loan by 1 October 2019 it became repayable. Neither party made the election and the loan of R22 million</w:t>
      </w:r>
      <w:r w:rsidR="00F346F8" w:rsidRPr="00BB0BCF">
        <w:rPr>
          <w:rFonts w:ascii="Arial" w:hAnsi="Arial" w:cs="Arial"/>
        </w:rPr>
        <w:t xml:space="preserve"> thus then</w:t>
      </w:r>
      <w:r w:rsidR="004E4373" w:rsidRPr="00BB0BCF">
        <w:rPr>
          <w:rFonts w:ascii="Arial" w:hAnsi="Arial" w:cs="Arial"/>
        </w:rPr>
        <w:t xml:space="preserve"> becam</w:t>
      </w:r>
      <w:r w:rsidR="00F346F8" w:rsidRPr="00BB0BCF">
        <w:rPr>
          <w:rFonts w:ascii="Arial" w:hAnsi="Arial" w:cs="Arial"/>
        </w:rPr>
        <w:t xml:space="preserve">e repayable. The applicant </w:t>
      </w:r>
      <w:r w:rsidR="004E4373" w:rsidRPr="00BB0BCF">
        <w:rPr>
          <w:rFonts w:ascii="Arial" w:hAnsi="Arial" w:cs="Arial"/>
        </w:rPr>
        <w:t xml:space="preserve">sued the first respondent for </w:t>
      </w:r>
      <w:r w:rsidR="00F346F8" w:rsidRPr="00BB0BCF">
        <w:rPr>
          <w:rFonts w:ascii="Arial" w:hAnsi="Arial" w:cs="Arial"/>
        </w:rPr>
        <w:t xml:space="preserve">payment of </w:t>
      </w:r>
      <w:r w:rsidR="004E4373" w:rsidRPr="00BB0BCF">
        <w:rPr>
          <w:rFonts w:ascii="Arial" w:hAnsi="Arial" w:cs="Arial"/>
        </w:rPr>
        <w:t>the amount and this formed the subject matter of the arbitration.</w:t>
      </w:r>
    </w:p>
    <w:p w:rsidR="009831A3" w:rsidRPr="009831A3" w:rsidRDefault="009831A3" w:rsidP="009831A3">
      <w:pPr>
        <w:pStyle w:val="ListParagraph"/>
        <w:spacing w:line="480" w:lineRule="auto"/>
        <w:ind w:left="851"/>
        <w:jc w:val="both"/>
        <w:rPr>
          <w:rFonts w:ascii="Arial" w:hAnsi="Arial" w:cs="Arial"/>
          <w:u w:val="single"/>
        </w:rPr>
      </w:pPr>
    </w:p>
    <w:p w:rsidR="009831A3" w:rsidRPr="00BB0BCF" w:rsidRDefault="00BB0BCF" w:rsidP="00BB0BCF">
      <w:pPr>
        <w:spacing w:line="480" w:lineRule="auto"/>
        <w:ind w:left="851" w:hanging="851"/>
        <w:jc w:val="both"/>
        <w:rPr>
          <w:rFonts w:ascii="Arial" w:hAnsi="Arial" w:cs="Arial"/>
          <w:u w:val="single"/>
        </w:rPr>
      </w:pPr>
      <w:r w:rsidRPr="009831A3">
        <w:rPr>
          <w:rFonts w:ascii="Arial" w:hAnsi="Arial Unicode MS" w:cs="Arial"/>
        </w:rPr>
        <w:t>[6]</w:t>
      </w:r>
      <w:r w:rsidRPr="009831A3">
        <w:rPr>
          <w:rFonts w:ascii="Arial" w:hAnsi="Arial Unicode MS" w:cs="Arial"/>
        </w:rPr>
        <w:tab/>
      </w:r>
      <w:r w:rsidR="00783ADC" w:rsidRPr="00BB0BCF">
        <w:rPr>
          <w:rFonts w:ascii="Arial" w:hAnsi="Arial" w:cs="Arial"/>
        </w:rPr>
        <w:t xml:space="preserve">Subsequent to the arbitration award, the first respondent lodged a complaint with the </w:t>
      </w:r>
      <w:r w:rsidR="00F33026" w:rsidRPr="00BB0BCF">
        <w:rPr>
          <w:rFonts w:ascii="Arial" w:hAnsi="Arial" w:cs="Arial"/>
        </w:rPr>
        <w:t xml:space="preserve">Commission, which is </w:t>
      </w:r>
      <w:r w:rsidR="00783ADC" w:rsidRPr="00BB0BCF">
        <w:rPr>
          <w:rFonts w:ascii="Arial" w:hAnsi="Arial" w:cs="Arial"/>
        </w:rPr>
        <w:t xml:space="preserve">established in terms of Section 13B of the Broad-Based Black Economic Empowerment Act No 53 of 2003 (the B-BBEE </w:t>
      </w:r>
      <w:r w:rsidR="00783ADC" w:rsidRPr="00BB0BCF">
        <w:rPr>
          <w:rFonts w:ascii="Arial" w:hAnsi="Arial" w:cs="Arial"/>
        </w:rPr>
        <w:lastRenderedPageBreak/>
        <w:t>Act). In its complaint it alleges that the CLA was structured in such a way that it amounted to no</w:t>
      </w:r>
      <w:r w:rsidR="005F15A8" w:rsidRPr="00BB0BCF">
        <w:rPr>
          <w:rFonts w:ascii="Arial" w:hAnsi="Arial" w:cs="Arial"/>
        </w:rPr>
        <w:t xml:space="preserve"> more</w:t>
      </w:r>
      <w:r w:rsidR="00783ADC" w:rsidRPr="00BB0BCF">
        <w:rPr>
          <w:rFonts w:ascii="Arial" w:hAnsi="Arial" w:cs="Arial"/>
        </w:rPr>
        <w:t xml:space="preserve"> than a fronting practice</w:t>
      </w:r>
      <w:r w:rsidR="00937F7A" w:rsidRPr="00BB0BCF">
        <w:rPr>
          <w:rFonts w:ascii="Arial" w:hAnsi="Arial" w:cs="Arial"/>
        </w:rPr>
        <w:t xml:space="preserve"> as defined in the B-BBEE Act.</w:t>
      </w:r>
    </w:p>
    <w:p w:rsidR="009831A3" w:rsidRPr="009831A3" w:rsidRDefault="009831A3" w:rsidP="009831A3">
      <w:pPr>
        <w:pStyle w:val="ListParagraph"/>
        <w:spacing w:line="480" w:lineRule="auto"/>
        <w:ind w:left="851"/>
        <w:jc w:val="both"/>
        <w:rPr>
          <w:rFonts w:ascii="Arial" w:hAnsi="Arial" w:cs="Arial"/>
          <w:u w:val="single"/>
        </w:rPr>
      </w:pPr>
    </w:p>
    <w:p w:rsidR="009831A3" w:rsidRPr="00BB0BCF" w:rsidRDefault="00BB0BCF" w:rsidP="00BB0BCF">
      <w:pPr>
        <w:spacing w:line="480" w:lineRule="auto"/>
        <w:ind w:left="851" w:hanging="851"/>
        <w:jc w:val="both"/>
        <w:rPr>
          <w:rFonts w:ascii="Arial" w:hAnsi="Arial" w:cs="Arial"/>
          <w:u w:val="single"/>
        </w:rPr>
      </w:pPr>
      <w:r w:rsidRPr="009831A3">
        <w:rPr>
          <w:rFonts w:ascii="Arial" w:hAnsi="Arial Unicode MS" w:cs="Arial"/>
        </w:rPr>
        <w:t>[7]</w:t>
      </w:r>
      <w:r w:rsidRPr="009831A3">
        <w:rPr>
          <w:rFonts w:ascii="Arial" w:hAnsi="Arial Unicode MS" w:cs="Arial"/>
        </w:rPr>
        <w:tab/>
      </w:r>
      <w:r w:rsidR="00937F7A" w:rsidRPr="00BB0BCF">
        <w:rPr>
          <w:rFonts w:ascii="Arial" w:hAnsi="Arial" w:cs="Arial"/>
        </w:rPr>
        <w:t>According to the first respondent, the Commission has</w:t>
      </w:r>
      <w:r w:rsidR="00FA04CD" w:rsidRPr="00BB0BCF">
        <w:rPr>
          <w:rFonts w:ascii="Arial" w:hAnsi="Arial" w:cs="Arial"/>
        </w:rPr>
        <w:t xml:space="preserve"> finalised</w:t>
      </w:r>
      <w:r w:rsidR="00937F7A" w:rsidRPr="00BB0BCF">
        <w:rPr>
          <w:rFonts w:ascii="Arial" w:hAnsi="Arial" w:cs="Arial"/>
        </w:rPr>
        <w:t xml:space="preserve"> its merit assessment and has concluded that the matter warrants an investigation</w:t>
      </w:r>
      <w:r w:rsidR="00A67C3C" w:rsidRPr="00BB0BCF">
        <w:rPr>
          <w:rFonts w:ascii="Arial" w:hAnsi="Arial" w:cs="Arial"/>
        </w:rPr>
        <w:t>,</w:t>
      </w:r>
      <w:r w:rsidR="00937F7A" w:rsidRPr="00BB0BCF">
        <w:rPr>
          <w:rFonts w:ascii="Arial" w:hAnsi="Arial" w:cs="Arial"/>
        </w:rPr>
        <w:t xml:space="preserve"> which has not yet been finalised.</w:t>
      </w:r>
    </w:p>
    <w:p w:rsidR="009831A3" w:rsidRDefault="009831A3" w:rsidP="00937F7A">
      <w:pPr>
        <w:spacing w:line="480" w:lineRule="auto"/>
        <w:jc w:val="both"/>
        <w:rPr>
          <w:rFonts w:ascii="Arial" w:hAnsi="Arial" w:cs="Arial"/>
          <w:u w:val="single"/>
        </w:rPr>
      </w:pPr>
    </w:p>
    <w:p w:rsidR="00937F7A" w:rsidRPr="00937F7A" w:rsidRDefault="00937F7A" w:rsidP="00937F7A">
      <w:pPr>
        <w:spacing w:line="480" w:lineRule="auto"/>
        <w:jc w:val="both"/>
        <w:rPr>
          <w:rFonts w:ascii="Arial" w:hAnsi="Arial" w:cs="Arial"/>
          <w:b/>
          <w:u w:val="single"/>
        </w:rPr>
      </w:pPr>
      <w:r w:rsidRPr="00937F7A">
        <w:rPr>
          <w:rFonts w:ascii="Arial" w:hAnsi="Arial" w:cs="Arial"/>
          <w:b/>
          <w:u w:val="single"/>
        </w:rPr>
        <w:t>THE DEFENCE</w:t>
      </w:r>
    </w:p>
    <w:p w:rsidR="009831A3" w:rsidRPr="00BB0BCF" w:rsidRDefault="00BB0BCF" w:rsidP="00BB0BCF">
      <w:pPr>
        <w:spacing w:line="480" w:lineRule="auto"/>
        <w:ind w:left="851" w:hanging="851"/>
        <w:jc w:val="both"/>
        <w:rPr>
          <w:rFonts w:ascii="Arial" w:hAnsi="Arial" w:cs="Arial"/>
          <w:u w:val="single"/>
        </w:rPr>
      </w:pPr>
      <w:r w:rsidRPr="009831A3">
        <w:rPr>
          <w:rFonts w:ascii="Arial" w:hAnsi="Arial Unicode MS" w:cs="Arial"/>
        </w:rPr>
        <w:t>[8]</w:t>
      </w:r>
      <w:r w:rsidRPr="009831A3">
        <w:rPr>
          <w:rFonts w:ascii="Arial" w:hAnsi="Arial Unicode MS" w:cs="Arial"/>
        </w:rPr>
        <w:tab/>
      </w:r>
      <w:r w:rsidR="003572C3" w:rsidRPr="00BB0BCF">
        <w:rPr>
          <w:rFonts w:ascii="Arial" w:hAnsi="Arial" w:cs="Arial"/>
        </w:rPr>
        <w:t xml:space="preserve">The first respondent argues that, although this issue was not raised in the arbitration as it was not relevant to the issues raised there, the effect of the arbitration award is that it sanctioned unlawful conduct </w:t>
      </w:r>
      <w:r w:rsidR="005F15A8" w:rsidRPr="00BB0BCF">
        <w:rPr>
          <w:rFonts w:ascii="Arial" w:hAnsi="Arial" w:cs="Arial"/>
        </w:rPr>
        <w:t>thu</w:t>
      </w:r>
      <w:r w:rsidR="003572C3" w:rsidRPr="00BB0BCF">
        <w:rPr>
          <w:rFonts w:ascii="Arial" w:hAnsi="Arial" w:cs="Arial"/>
        </w:rPr>
        <w:t xml:space="preserve">s subverting the purpose </w:t>
      </w:r>
      <w:r w:rsidR="00E8543B" w:rsidRPr="00BB0BCF">
        <w:rPr>
          <w:rFonts w:ascii="Arial" w:hAnsi="Arial" w:cs="Arial"/>
        </w:rPr>
        <w:t>of the B-BBEE Act. The arbitration award is therefore unenforceable.</w:t>
      </w:r>
    </w:p>
    <w:p w:rsidR="009831A3" w:rsidRPr="009831A3" w:rsidRDefault="009831A3" w:rsidP="009831A3">
      <w:pPr>
        <w:pStyle w:val="ListParagraph"/>
        <w:spacing w:line="480" w:lineRule="auto"/>
        <w:ind w:left="851"/>
        <w:jc w:val="both"/>
        <w:rPr>
          <w:rFonts w:ascii="Arial" w:hAnsi="Arial" w:cs="Arial"/>
          <w:u w:val="single"/>
        </w:rPr>
      </w:pPr>
    </w:p>
    <w:p w:rsidR="009831A3" w:rsidRPr="00BB0BCF" w:rsidRDefault="00BB0BCF" w:rsidP="00BB0BCF">
      <w:pPr>
        <w:spacing w:line="480" w:lineRule="auto"/>
        <w:ind w:left="851" w:hanging="851"/>
        <w:jc w:val="both"/>
        <w:rPr>
          <w:rFonts w:ascii="Arial" w:hAnsi="Arial" w:cs="Arial"/>
          <w:u w:val="single"/>
        </w:rPr>
      </w:pPr>
      <w:r w:rsidRPr="009831A3">
        <w:rPr>
          <w:rFonts w:ascii="Arial" w:hAnsi="Arial Unicode MS" w:cs="Arial"/>
        </w:rPr>
        <w:t>[9]</w:t>
      </w:r>
      <w:r w:rsidRPr="009831A3">
        <w:rPr>
          <w:rFonts w:ascii="Arial" w:hAnsi="Arial Unicode MS" w:cs="Arial"/>
        </w:rPr>
        <w:tab/>
      </w:r>
      <w:r w:rsidR="00E8543B" w:rsidRPr="00BB0BCF">
        <w:rPr>
          <w:rFonts w:ascii="Arial" w:hAnsi="Arial" w:cs="Arial"/>
        </w:rPr>
        <w:t>The first respondent has also filed a counterclaim in which it seeks a) a dismissal of the application or alternatively b) a stay of the application pending the conclusion of the Commission’s investigation. At this hearing, the dismissal was not pursued.</w:t>
      </w:r>
    </w:p>
    <w:p w:rsidR="009831A3" w:rsidRDefault="009831A3" w:rsidP="00271D62">
      <w:pPr>
        <w:spacing w:line="480" w:lineRule="auto"/>
        <w:jc w:val="both"/>
        <w:rPr>
          <w:rFonts w:ascii="Arial" w:hAnsi="Arial" w:cs="Arial"/>
          <w:u w:val="single"/>
        </w:rPr>
      </w:pPr>
    </w:p>
    <w:p w:rsidR="00271D62" w:rsidRPr="00271D62" w:rsidRDefault="00271D62" w:rsidP="00271D62">
      <w:pPr>
        <w:spacing w:line="480" w:lineRule="auto"/>
        <w:jc w:val="both"/>
        <w:rPr>
          <w:rFonts w:ascii="Arial" w:hAnsi="Arial" w:cs="Arial"/>
          <w:b/>
          <w:u w:val="single"/>
        </w:rPr>
      </w:pPr>
      <w:r w:rsidRPr="00271D62">
        <w:rPr>
          <w:rFonts w:ascii="Arial" w:hAnsi="Arial" w:cs="Arial"/>
          <w:b/>
          <w:u w:val="single"/>
        </w:rPr>
        <w:t>THE COMMISSION COMPLAINT</w:t>
      </w:r>
    </w:p>
    <w:p w:rsidR="009831A3" w:rsidRPr="00BB0BCF" w:rsidRDefault="00BB0BCF" w:rsidP="00BB0BCF">
      <w:pPr>
        <w:spacing w:line="480" w:lineRule="auto"/>
        <w:ind w:left="851" w:hanging="851"/>
        <w:jc w:val="both"/>
        <w:rPr>
          <w:rFonts w:ascii="Arial" w:hAnsi="Arial" w:cs="Arial"/>
          <w:u w:val="single"/>
        </w:rPr>
      </w:pPr>
      <w:r w:rsidRPr="000B3A84">
        <w:rPr>
          <w:rFonts w:ascii="Arial" w:hAnsi="Arial Unicode MS" w:cs="Arial"/>
        </w:rPr>
        <w:t>[10]</w:t>
      </w:r>
      <w:r w:rsidRPr="000B3A84">
        <w:rPr>
          <w:rFonts w:ascii="Arial" w:hAnsi="Arial Unicode MS" w:cs="Arial"/>
        </w:rPr>
        <w:tab/>
      </w:r>
      <w:r w:rsidR="000B3A84" w:rsidRPr="00BB0BCF">
        <w:rPr>
          <w:rFonts w:ascii="Arial" w:hAnsi="Arial" w:cs="Arial"/>
        </w:rPr>
        <w:t>In its complaint, the first respondent asks for the following remedy:</w:t>
      </w:r>
    </w:p>
    <w:p w:rsidR="000B3A84" w:rsidRDefault="000B3A84" w:rsidP="000B3A84">
      <w:pPr>
        <w:spacing w:line="480" w:lineRule="auto"/>
        <w:ind w:firstLine="851"/>
        <w:jc w:val="both"/>
        <w:rPr>
          <w:rFonts w:ascii="Arial" w:hAnsi="Arial" w:cs="Arial"/>
        </w:rPr>
      </w:pPr>
      <w:r w:rsidRPr="000B3A84">
        <w:rPr>
          <w:rFonts w:ascii="Arial" w:hAnsi="Arial" w:cs="Arial"/>
        </w:rPr>
        <w:t>10.1</w:t>
      </w:r>
      <w:r>
        <w:rPr>
          <w:rFonts w:ascii="Arial" w:hAnsi="Arial" w:cs="Arial"/>
        </w:rPr>
        <w:tab/>
      </w:r>
      <w:r w:rsidR="00302D73">
        <w:rPr>
          <w:rFonts w:ascii="Arial" w:hAnsi="Arial" w:cs="Arial"/>
        </w:rPr>
        <w:t xml:space="preserve">    </w:t>
      </w:r>
      <w:r>
        <w:rPr>
          <w:rFonts w:ascii="Arial" w:hAnsi="Arial" w:cs="Arial"/>
        </w:rPr>
        <w:t>firstly that the CLA should be interest free;</w:t>
      </w:r>
    </w:p>
    <w:p w:rsidR="000B3A84" w:rsidRPr="000B3A84" w:rsidRDefault="000B3A84" w:rsidP="00302D73">
      <w:pPr>
        <w:spacing w:line="480" w:lineRule="auto"/>
        <w:ind w:left="1701" w:hanging="850"/>
        <w:jc w:val="both"/>
        <w:rPr>
          <w:rFonts w:ascii="Arial" w:hAnsi="Arial" w:cs="Arial"/>
          <w:u w:val="single"/>
        </w:rPr>
      </w:pPr>
      <w:r>
        <w:rPr>
          <w:rFonts w:ascii="Arial" w:hAnsi="Arial" w:cs="Arial"/>
        </w:rPr>
        <w:t>10.2</w:t>
      </w:r>
      <w:r>
        <w:rPr>
          <w:rFonts w:ascii="Arial" w:hAnsi="Arial" w:cs="Arial"/>
        </w:rPr>
        <w:tab/>
        <w:t>secondly that the applicant should pay the legal fees</w:t>
      </w:r>
      <w:r w:rsidR="00302D73">
        <w:rPr>
          <w:rFonts w:ascii="Arial" w:hAnsi="Arial" w:cs="Arial"/>
        </w:rPr>
        <w:t xml:space="preserve"> associated with the arbitration</w:t>
      </w:r>
    </w:p>
    <w:p w:rsidR="009831A3" w:rsidRPr="009831A3" w:rsidRDefault="009831A3" w:rsidP="009831A3">
      <w:pPr>
        <w:spacing w:line="480" w:lineRule="auto"/>
        <w:jc w:val="both"/>
        <w:rPr>
          <w:rFonts w:ascii="Arial" w:hAnsi="Arial" w:cs="Arial"/>
          <w:u w:val="single"/>
        </w:rPr>
      </w:pPr>
    </w:p>
    <w:p w:rsidR="009831A3" w:rsidRPr="00BB0BCF" w:rsidRDefault="00BB0BCF" w:rsidP="00BB0BCF">
      <w:pPr>
        <w:spacing w:line="480" w:lineRule="auto"/>
        <w:ind w:left="851" w:hanging="851"/>
        <w:jc w:val="both"/>
        <w:rPr>
          <w:rFonts w:ascii="Arial" w:hAnsi="Arial" w:cs="Arial"/>
          <w:u w:val="single"/>
        </w:rPr>
      </w:pPr>
      <w:r w:rsidRPr="009831A3">
        <w:rPr>
          <w:rFonts w:ascii="Arial" w:hAnsi="Arial Unicode MS" w:cs="Arial"/>
        </w:rPr>
        <w:lastRenderedPageBreak/>
        <w:t>[11]</w:t>
      </w:r>
      <w:r w:rsidRPr="009831A3">
        <w:rPr>
          <w:rFonts w:ascii="Arial" w:hAnsi="Arial Unicode MS" w:cs="Arial"/>
        </w:rPr>
        <w:tab/>
      </w:r>
      <w:r w:rsidR="00477D46" w:rsidRPr="00BB0BCF">
        <w:rPr>
          <w:rFonts w:ascii="Arial" w:hAnsi="Arial" w:cs="Arial"/>
        </w:rPr>
        <w:t>Thu</w:t>
      </w:r>
      <w:r w:rsidR="00091C77" w:rsidRPr="00BB0BCF">
        <w:rPr>
          <w:rFonts w:ascii="Arial" w:hAnsi="Arial" w:cs="Arial"/>
        </w:rPr>
        <w:t>s, paragraphs 1, 3 and 5 of the award are not attacked at all in the complaint.</w:t>
      </w:r>
    </w:p>
    <w:p w:rsidR="009831A3" w:rsidRPr="009831A3" w:rsidRDefault="009831A3" w:rsidP="009831A3">
      <w:pPr>
        <w:pStyle w:val="ListParagraph"/>
        <w:spacing w:line="480" w:lineRule="auto"/>
        <w:ind w:left="851"/>
        <w:jc w:val="both"/>
        <w:rPr>
          <w:rFonts w:ascii="Arial" w:hAnsi="Arial" w:cs="Arial"/>
          <w:u w:val="single"/>
        </w:rPr>
      </w:pPr>
    </w:p>
    <w:p w:rsidR="009831A3" w:rsidRPr="00BB0BCF" w:rsidRDefault="00BB0BCF" w:rsidP="00BB0BCF">
      <w:pPr>
        <w:spacing w:line="480" w:lineRule="auto"/>
        <w:ind w:left="851" w:hanging="851"/>
        <w:jc w:val="both"/>
        <w:rPr>
          <w:rFonts w:ascii="Arial" w:hAnsi="Arial" w:cs="Arial"/>
          <w:u w:val="single"/>
        </w:rPr>
      </w:pPr>
      <w:r w:rsidRPr="009831A3">
        <w:rPr>
          <w:rFonts w:ascii="Arial" w:hAnsi="Arial Unicode MS" w:cs="Arial"/>
        </w:rPr>
        <w:t>[12]</w:t>
      </w:r>
      <w:r w:rsidRPr="009831A3">
        <w:rPr>
          <w:rFonts w:ascii="Arial" w:hAnsi="Arial Unicode MS" w:cs="Arial"/>
        </w:rPr>
        <w:tab/>
      </w:r>
      <w:r w:rsidR="00B25D40" w:rsidRPr="00BB0BCF">
        <w:rPr>
          <w:rFonts w:ascii="Arial" w:hAnsi="Arial" w:cs="Arial"/>
        </w:rPr>
        <w:t>This must also be seen in the context of the common cause fact that the fronting issue was never raised during the arbitration and, even if successful, the only power the Commission has would be to refer the matter to the NPA for prosecution.</w:t>
      </w:r>
    </w:p>
    <w:p w:rsidR="009831A3" w:rsidRPr="009831A3" w:rsidRDefault="009831A3" w:rsidP="009831A3">
      <w:pPr>
        <w:pStyle w:val="ListParagraph"/>
        <w:spacing w:line="480" w:lineRule="auto"/>
        <w:ind w:left="851"/>
        <w:jc w:val="both"/>
        <w:rPr>
          <w:rFonts w:ascii="Arial" w:hAnsi="Arial" w:cs="Arial"/>
          <w:u w:val="single"/>
        </w:rPr>
      </w:pPr>
    </w:p>
    <w:p w:rsidR="00016853" w:rsidRPr="00BB0BCF" w:rsidRDefault="00BB0BCF" w:rsidP="00BB0BCF">
      <w:pPr>
        <w:spacing w:line="480" w:lineRule="auto"/>
        <w:ind w:left="851" w:hanging="851"/>
        <w:jc w:val="both"/>
        <w:rPr>
          <w:rFonts w:ascii="Arial" w:hAnsi="Arial" w:cs="Arial"/>
          <w:u w:val="single"/>
        </w:rPr>
      </w:pPr>
      <w:r w:rsidRPr="00337ED2">
        <w:rPr>
          <w:rFonts w:ascii="Arial" w:hAnsi="Arial Unicode MS" w:cs="Arial"/>
        </w:rPr>
        <w:t>[13]</w:t>
      </w:r>
      <w:r w:rsidRPr="00337ED2">
        <w:rPr>
          <w:rFonts w:ascii="Arial" w:hAnsi="Arial Unicode MS" w:cs="Arial"/>
        </w:rPr>
        <w:tab/>
      </w:r>
      <w:r w:rsidR="00016853" w:rsidRPr="00BB0BCF">
        <w:rPr>
          <w:rFonts w:ascii="Arial" w:hAnsi="Arial" w:cs="Arial"/>
        </w:rPr>
        <w:t>On 16 August 2022 I received further submissions from the respondents via email. These submissions are the following:</w:t>
      </w:r>
    </w:p>
    <w:p w:rsidR="00016853" w:rsidRDefault="00337ED2" w:rsidP="00030DFA">
      <w:pPr>
        <w:pStyle w:val="ListParagraph"/>
        <w:spacing w:line="480" w:lineRule="auto"/>
        <w:ind w:left="1701" w:hanging="850"/>
        <w:jc w:val="both"/>
        <w:rPr>
          <w:rFonts w:ascii="Arial" w:hAnsi="Arial" w:cs="Arial"/>
        </w:rPr>
      </w:pPr>
      <w:r w:rsidRPr="00337ED2">
        <w:rPr>
          <w:rFonts w:ascii="Arial" w:hAnsi="Arial" w:cs="Arial"/>
        </w:rPr>
        <w:t>13.1</w:t>
      </w:r>
      <w:r>
        <w:rPr>
          <w:rFonts w:ascii="Arial" w:hAnsi="Arial" w:cs="Arial"/>
        </w:rPr>
        <w:tab/>
        <w:t>that Regulation 15(4)(g) provides that the Commission must, within one year of receipt of a complaint, take a number of steps which includes making a finding, with or without recommendations;</w:t>
      </w:r>
    </w:p>
    <w:p w:rsidR="00337ED2" w:rsidRPr="00337ED2" w:rsidRDefault="00030DFA" w:rsidP="00030DFA">
      <w:pPr>
        <w:pStyle w:val="ListParagraph"/>
        <w:spacing w:line="480" w:lineRule="auto"/>
        <w:ind w:left="1701" w:hanging="850"/>
        <w:jc w:val="both"/>
        <w:rPr>
          <w:rFonts w:ascii="Arial" w:hAnsi="Arial" w:cs="Arial"/>
        </w:rPr>
      </w:pPr>
      <w:r>
        <w:rPr>
          <w:rFonts w:ascii="Arial" w:hAnsi="Arial" w:cs="Arial"/>
        </w:rPr>
        <w:t>13.2</w:t>
      </w:r>
      <w:r>
        <w:rPr>
          <w:rFonts w:ascii="Arial" w:hAnsi="Arial" w:cs="Arial"/>
        </w:rPr>
        <w:tab/>
      </w:r>
      <w:r w:rsidR="00CD3510">
        <w:rPr>
          <w:rFonts w:ascii="Arial" w:hAnsi="Arial" w:cs="Arial"/>
        </w:rPr>
        <w:t xml:space="preserve">as the complaint was lodged in October 2021, the </w:t>
      </w:r>
      <w:r w:rsidR="0051508B">
        <w:rPr>
          <w:rFonts w:ascii="Arial" w:hAnsi="Arial" w:cs="Arial"/>
        </w:rPr>
        <w:t>one-year</w:t>
      </w:r>
      <w:r w:rsidR="00CD3510">
        <w:rPr>
          <w:rFonts w:ascii="Arial" w:hAnsi="Arial" w:cs="Arial"/>
        </w:rPr>
        <w:t xml:space="preserve"> period expires in October 2022 and the findings should be released by then.</w:t>
      </w:r>
    </w:p>
    <w:p w:rsidR="009831A3" w:rsidRPr="009831A3" w:rsidRDefault="009831A3" w:rsidP="009831A3">
      <w:pPr>
        <w:spacing w:line="480" w:lineRule="auto"/>
        <w:jc w:val="both"/>
        <w:rPr>
          <w:rFonts w:ascii="Arial" w:hAnsi="Arial" w:cs="Arial"/>
          <w:u w:val="single"/>
        </w:rPr>
      </w:pPr>
    </w:p>
    <w:p w:rsidR="009831A3" w:rsidRPr="00BB0BCF" w:rsidRDefault="00BB0BCF" w:rsidP="00BB0BCF">
      <w:pPr>
        <w:spacing w:line="480" w:lineRule="auto"/>
        <w:ind w:left="851" w:hanging="851"/>
        <w:jc w:val="both"/>
        <w:rPr>
          <w:rFonts w:ascii="Arial" w:hAnsi="Arial" w:cs="Arial"/>
          <w:u w:val="single"/>
        </w:rPr>
      </w:pPr>
      <w:r w:rsidRPr="0051508B">
        <w:rPr>
          <w:rFonts w:ascii="Arial" w:hAnsi="Arial Unicode MS" w:cs="Arial"/>
        </w:rPr>
        <w:t>[14]</w:t>
      </w:r>
      <w:r w:rsidRPr="0051508B">
        <w:rPr>
          <w:rFonts w:ascii="Arial" w:hAnsi="Arial Unicode MS" w:cs="Arial"/>
        </w:rPr>
        <w:tab/>
      </w:r>
      <w:r w:rsidR="0051508B" w:rsidRPr="00BB0BCF">
        <w:rPr>
          <w:rFonts w:ascii="Arial" w:hAnsi="Arial" w:cs="Arial"/>
        </w:rPr>
        <w:t>Furthermore, Regulation 15(11) provides the following:</w:t>
      </w:r>
    </w:p>
    <w:p w:rsidR="0051508B" w:rsidRPr="000866C8" w:rsidRDefault="0051508B" w:rsidP="000866C8">
      <w:pPr>
        <w:pStyle w:val="ListParagraph"/>
        <w:spacing w:line="480" w:lineRule="auto"/>
        <w:ind w:left="1701" w:hanging="850"/>
        <w:jc w:val="both"/>
        <w:rPr>
          <w:rFonts w:ascii="Arial" w:hAnsi="Arial" w:cs="Arial"/>
          <w:i/>
        </w:rPr>
      </w:pPr>
      <w:r w:rsidRPr="000866C8">
        <w:rPr>
          <w:rFonts w:ascii="Arial" w:hAnsi="Arial" w:cs="Arial"/>
          <w:i/>
        </w:rPr>
        <w:t>“</w:t>
      </w:r>
      <w:r w:rsidR="000866C8" w:rsidRPr="000866C8">
        <w:rPr>
          <w:rFonts w:ascii="Arial" w:hAnsi="Arial" w:cs="Arial"/>
          <w:i/>
        </w:rPr>
        <w:t>(11)</w:t>
      </w:r>
      <w:r w:rsidR="000866C8" w:rsidRPr="000866C8">
        <w:rPr>
          <w:rFonts w:ascii="Arial" w:hAnsi="Arial" w:cs="Arial"/>
          <w:i/>
        </w:rPr>
        <w:tab/>
        <w:t xml:space="preserve">if the Commission upon investigation is of the view that a complaint can be resolved through alternative dispute resolution mechanism, the Commission – </w:t>
      </w:r>
    </w:p>
    <w:p w:rsidR="000866C8" w:rsidRPr="00BB0BCF" w:rsidRDefault="00BB0BCF" w:rsidP="00BB0BCF">
      <w:pPr>
        <w:spacing w:line="480" w:lineRule="auto"/>
        <w:ind w:left="2061" w:hanging="360"/>
        <w:jc w:val="both"/>
        <w:rPr>
          <w:rFonts w:ascii="Arial" w:hAnsi="Arial" w:cs="Arial"/>
          <w:i/>
          <w:u w:val="single"/>
        </w:rPr>
      </w:pPr>
      <w:r w:rsidRPr="000866C8">
        <w:rPr>
          <w:rFonts w:ascii="Arial" w:hAnsi="Arial" w:cs="Arial"/>
          <w:i/>
        </w:rPr>
        <w:t>(a)</w:t>
      </w:r>
      <w:r w:rsidRPr="000866C8">
        <w:rPr>
          <w:rFonts w:ascii="Arial" w:hAnsi="Arial" w:cs="Arial"/>
          <w:i/>
        </w:rPr>
        <w:tab/>
      </w:r>
      <w:r w:rsidR="000866C8" w:rsidRPr="00BB0BCF">
        <w:rPr>
          <w:rFonts w:ascii="Arial" w:hAnsi="Arial" w:cs="Arial"/>
          <w:i/>
        </w:rPr>
        <w:t>May facilitate the resolution of the matter or refer, …. , such a matter to any appropriate dispute resolution process or forum in terms of it</w:t>
      </w:r>
      <w:r w:rsidR="00FA5F62" w:rsidRPr="00BB0BCF">
        <w:rPr>
          <w:rFonts w:ascii="Arial" w:hAnsi="Arial" w:cs="Arial"/>
          <w:i/>
        </w:rPr>
        <w:t>s</w:t>
      </w:r>
      <w:r w:rsidR="000866C8" w:rsidRPr="00BB0BCF">
        <w:rPr>
          <w:rFonts w:ascii="Arial" w:hAnsi="Arial" w:cs="Arial"/>
          <w:i/>
        </w:rPr>
        <w:t xml:space="preserve"> procedures, and</w:t>
      </w:r>
    </w:p>
    <w:p w:rsidR="000866C8" w:rsidRPr="00BB0BCF" w:rsidRDefault="00BB0BCF" w:rsidP="00BB0BCF">
      <w:pPr>
        <w:spacing w:line="480" w:lineRule="auto"/>
        <w:ind w:left="2061" w:hanging="360"/>
        <w:jc w:val="both"/>
        <w:rPr>
          <w:rFonts w:ascii="Arial" w:hAnsi="Arial" w:cs="Arial"/>
          <w:i/>
          <w:u w:val="single"/>
        </w:rPr>
      </w:pPr>
      <w:r w:rsidRPr="000866C8">
        <w:rPr>
          <w:rFonts w:ascii="Arial" w:hAnsi="Arial" w:cs="Arial"/>
          <w:i/>
        </w:rPr>
        <w:lastRenderedPageBreak/>
        <w:t>(b)</w:t>
      </w:r>
      <w:r w:rsidRPr="000866C8">
        <w:rPr>
          <w:rFonts w:ascii="Arial" w:hAnsi="Arial" w:cs="Arial"/>
          <w:i/>
        </w:rPr>
        <w:tab/>
      </w:r>
      <w:r w:rsidR="000866C8" w:rsidRPr="00BB0BCF">
        <w:rPr>
          <w:rFonts w:ascii="Arial" w:hAnsi="Arial" w:cs="Arial"/>
          <w:i/>
        </w:rPr>
        <w:t>Where the appropriate alternative dispute resolution process failed to resolve the dispute between the parties, the Commission may continue to investigate the matter if it is justifiable to do so.”</w:t>
      </w:r>
    </w:p>
    <w:p w:rsidR="009831A3" w:rsidRPr="009831A3" w:rsidRDefault="009831A3" w:rsidP="009831A3">
      <w:pPr>
        <w:pStyle w:val="ListParagraph"/>
        <w:spacing w:line="480" w:lineRule="auto"/>
        <w:ind w:left="851"/>
        <w:jc w:val="both"/>
        <w:rPr>
          <w:rFonts w:ascii="Arial" w:hAnsi="Arial" w:cs="Arial"/>
          <w:u w:val="single"/>
        </w:rPr>
      </w:pPr>
    </w:p>
    <w:p w:rsidR="009831A3" w:rsidRPr="00BB0BCF" w:rsidRDefault="00BB0BCF" w:rsidP="00BB0BCF">
      <w:pPr>
        <w:spacing w:line="480" w:lineRule="auto"/>
        <w:ind w:left="851" w:hanging="851"/>
        <w:jc w:val="both"/>
        <w:rPr>
          <w:rFonts w:ascii="Arial" w:hAnsi="Arial" w:cs="Arial"/>
          <w:u w:val="single"/>
        </w:rPr>
      </w:pPr>
      <w:r w:rsidRPr="009831A3">
        <w:rPr>
          <w:rFonts w:ascii="Arial" w:hAnsi="Arial Unicode MS" w:cs="Arial"/>
        </w:rPr>
        <w:t>[15]</w:t>
      </w:r>
      <w:r w:rsidRPr="009831A3">
        <w:rPr>
          <w:rFonts w:ascii="Arial" w:hAnsi="Arial Unicode MS" w:cs="Arial"/>
        </w:rPr>
        <w:tab/>
      </w:r>
      <w:r w:rsidR="001954BD" w:rsidRPr="00BB0BCF">
        <w:rPr>
          <w:rFonts w:ascii="Arial" w:hAnsi="Arial" w:cs="Arial"/>
        </w:rPr>
        <w:t xml:space="preserve">Thus it appears that if the Commission invokes Regulation 15(11)(a), there will be no finding </w:t>
      </w:r>
      <w:r w:rsidR="003A2789" w:rsidRPr="00BB0BCF">
        <w:rPr>
          <w:rFonts w:ascii="Arial" w:hAnsi="Arial" w:cs="Arial"/>
        </w:rPr>
        <w:t xml:space="preserve">or </w:t>
      </w:r>
      <w:r w:rsidR="001954BD" w:rsidRPr="00BB0BCF">
        <w:rPr>
          <w:rFonts w:ascii="Arial" w:hAnsi="Arial" w:cs="Arial"/>
        </w:rPr>
        <w:t xml:space="preserve">recommendation in terms of Regulation 15(11)(g) as the investigation will only be finalised if the alternative dispute resolution fails. </w:t>
      </w:r>
      <w:r w:rsidR="003A2789" w:rsidRPr="00BB0BCF">
        <w:rPr>
          <w:rFonts w:ascii="Arial" w:hAnsi="Arial" w:cs="Arial"/>
        </w:rPr>
        <w:t>If the alternative dispute resolution procedure is invoked then the matter may well not be finalised soon.</w:t>
      </w:r>
    </w:p>
    <w:p w:rsidR="009831A3" w:rsidRPr="009831A3" w:rsidRDefault="009831A3" w:rsidP="009831A3">
      <w:pPr>
        <w:pStyle w:val="ListParagraph"/>
        <w:spacing w:line="480" w:lineRule="auto"/>
        <w:ind w:left="851"/>
        <w:jc w:val="both"/>
        <w:rPr>
          <w:rFonts w:ascii="Arial" w:hAnsi="Arial" w:cs="Arial"/>
          <w:u w:val="single"/>
        </w:rPr>
      </w:pPr>
    </w:p>
    <w:p w:rsidR="009831A3" w:rsidRPr="00BB0BCF" w:rsidRDefault="00BB0BCF" w:rsidP="00BB0BCF">
      <w:pPr>
        <w:spacing w:line="480" w:lineRule="auto"/>
        <w:ind w:left="851" w:hanging="851"/>
        <w:jc w:val="both"/>
        <w:rPr>
          <w:rFonts w:ascii="Arial" w:hAnsi="Arial" w:cs="Arial"/>
          <w:u w:val="single"/>
        </w:rPr>
      </w:pPr>
      <w:r w:rsidRPr="009831A3">
        <w:rPr>
          <w:rFonts w:ascii="Arial" w:hAnsi="Arial Unicode MS" w:cs="Arial"/>
        </w:rPr>
        <w:t>[16]</w:t>
      </w:r>
      <w:r w:rsidRPr="009831A3">
        <w:rPr>
          <w:rFonts w:ascii="Arial" w:hAnsi="Arial Unicode MS" w:cs="Arial"/>
        </w:rPr>
        <w:tab/>
      </w:r>
      <w:r w:rsidR="001954BD" w:rsidRPr="00BB0BCF">
        <w:rPr>
          <w:rFonts w:ascii="Arial" w:hAnsi="Arial" w:cs="Arial"/>
        </w:rPr>
        <w:t xml:space="preserve">In </w:t>
      </w:r>
      <w:r w:rsidR="001954BD" w:rsidRPr="00BB0BCF">
        <w:rPr>
          <w:rFonts w:ascii="Arial" w:hAnsi="Arial" w:cs="Arial"/>
          <w:b/>
        </w:rPr>
        <w:t>Cool Ideas 1186 CC v Hubbard</w:t>
      </w:r>
      <w:r w:rsidR="009B4678">
        <w:rPr>
          <w:rStyle w:val="FootnoteReference"/>
          <w:rFonts w:ascii="Arial" w:hAnsi="Arial" w:cs="Arial"/>
          <w:b/>
        </w:rPr>
        <w:footnoteReference w:id="1"/>
      </w:r>
      <w:r w:rsidR="001954BD" w:rsidRPr="00BB0BCF">
        <w:rPr>
          <w:rFonts w:ascii="Arial" w:hAnsi="Arial" w:cs="Arial"/>
        </w:rPr>
        <w:t xml:space="preserve"> the court found that an agreement that falls foul of the legislative requirements </w:t>
      </w:r>
      <w:r w:rsidR="00FB6F02" w:rsidRPr="00BB0BCF">
        <w:rPr>
          <w:rFonts w:ascii="Arial" w:hAnsi="Arial" w:cs="Arial"/>
        </w:rPr>
        <w:t xml:space="preserve">that govern it is not capable of enforcement by the party who has transgressed these requirements. It found </w:t>
      </w:r>
      <w:r w:rsidR="008270D5" w:rsidRPr="00BB0BCF">
        <w:rPr>
          <w:rFonts w:ascii="Arial" w:hAnsi="Arial" w:cs="Arial"/>
        </w:rPr>
        <w:t>that, as</w:t>
      </w:r>
      <w:r w:rsidR="007007C4" w:rsidRPr="00BB0BCF">
        <w:rPr>
          <w:rFonts w:ascii="Arial" w:hAnsi="Arial" w:cs="Arial"/>
        </w:rPr>
        <w:t xml:space="preserve"> a result</w:t>
      </w:r>
      <w:r w:rsidR="008270D5" w:rsidRPr="00BB0BCF">
        <w:rPr>
          <w:rFonts w:ascii="Arial" w:hAnsi="Arial" w:cs="Arial"/>
        </w:rPr>
        <w:t>,</w:t>
      </w:r>
      <w:r w:rsidR="00330075" w:rsidRPr="00BB0BCF">
        <w:rPr>
          <w:rFonts w:ascii="Arial" w:hAnsi="Arial" w:cs="Arial"/>
        </w:rPr>
        <w:t xml:space="preserve"> an arbitration award </w:t>
      </w:r>
      <w:r w:rsidR="007007C4" w:rsidRPr="00BB0BCF">
        <w:rPr>
          <w:rFonts w:ascii="Arial" w:hAnsi="Arial" w:cs="Arial"/>
        </w:rPr>
        <w:t>granted in favour of the transgressing party</w:t>
      </w:r>
      <w:r w:rsidR="00330075" w:rsidRPr="00BB0BCF">
        <w:rPr>
          <w:rFonts w:ascii="Arial" w:hAnsi="Arial" w:cs="Arial"/>
        </w:rPr>
        <w:t xml:space="preserve"> cannot be enforced even though the arbitration</w:t>
      </w:r>
      <w:r w:rsidR="0076011F" w:rsidRPr="00BB0BCF">
        <w:rPr>
          <w:rFonts w:ascii="Arial" w:hAnsi="Arial" w:cs="Arial"/>
        </w:rPr>
        <w:t xml:space="preserve"> agreement and the original</w:t>
      </w:r>
      <w:r w:rsidR="00330075" w:rsidRPr="00BB0BCF">
        <w:rPr>
          <w:rFonts w:ascii="Arial" w:hAnsi="Arial" w:cs="Arial"/>
        </w:rPr>
        <w:t xml:space="preserve"> contract itself remain </w:t>
      </w:r>
      <w:r w:rsidR="00AE67EE" w:rsidRPr="00BB0BCF">
        <w:rPr>
          <w:rFonts w:ascii="Arial" w:hAnsi="Arial" w:cs="Arial"/>
        </w:rPr>
        <w:t>valid.</w:t>
      </w:r>
    </w:p>
    <w:p w:rsidR="009831A3" w:rsidRPr="009831A3" w:rsidRDefault="009831A3" w:rsidP="009831A3">
      <w:pPr>
        <w:pStyle w:val="ListParagraph"/>
        <w:spacing w:line="480" w:lineRule="auto"/>
        <w:ind w:left="851"/>
        <w:jc w:val="both"/>
        <w:rPr>
          <w:rFonts w:ascii="Arial" w:hAnsi="Arial" w:cs="Arial"/>
          <w:u w:val="single"/>
        </w:rPr>
      </w:pPr>
    </w:p>
    <w:p w:rsidR="009831A3" w:rsidRPr="00BB0BCF" w:rsidRDefault="00BB0BCF" w:rsidP="00BB0BCF">
      <w:pPr>
        <w:spacing w:line="480" w:lineRule="auto"/>
        <w:ind w:left="851" w:hanging="851"/>
        <w:jc w:val="both"/>
        <w:rPr>
          <w:rFonts w:ascii="Arial" w:hAnsi="Arial" w:cs="Arial"/>
          <w:u w:val="single"/>
        </w:rPr>
      </w:pPr>
      <w:r w:rsidRPr="009831A3">
        <w:rPr>
          <w:rFonts w:ascii="Arial" w:hAnsi="Arial Unicode MS" w:cs="Arial"/>
        </w:rPr>
        <w:t>[17]</w:t>
      </w:r>
      <w:r w:rsidRPr="009831A3">
        <w:rPr>
          <w:rFonts w:ascii="Arial" w:hAnsi="Arial Unicode MS" w:cs="Arial"/>
        </w:rPr>
        <w:tab/>
      </w:r>
      <w:r w:rsidR="00AE67EE" w:rsidRPr="00BB0BCF">
        <w:rPr>
          <w:rFonts w:ascii="Arial" w:hAnsi="Arial" w:cs="Arial"/>
        </w:rPr>
        <w:t xml:space="preserve">Whilst the applicant has sought to differentiate the </w:t>
      </w:r>
      <w:r w:rsidR="00AE67EE" w:rsidRPr="00BB0BCF">
        <w:rPr>
          <w:rFonts w:ascii="Arial" w:hAnsi="Arial" w:cs="Arial"/>
          <w:b/>
        </w:rPr>
        <w:t>Cool Ideas</w:t>
      </w:r>
      <w:r w:rsidR="00AE67EE" w:rsidRPr="00BB0BCF">
        <w:rPr>
          <w:rFonts w:ascii="Arial" w:hAnsi="Arial" w:cs="Arial"/>
        </w:rPr>
        <w:t xml:space="preserve"> case from the present on its facts, it is the principle set out in </w:t>
      </w:r>
      <w:r w:rsidR="00AE67EE" w:rsidRPr="00BB0BCF">
        <w:rPr>
          <w:rFonts w:ascii="Arial" w:hAnsi="Arial" w:cs="Arial"/>
          <w:b/>
        </w:rPr>
        <w:t>Cool Ideas</w:t>
      </w:r>
      <w:r w:rsidR="00AE67EE" w:rsidRPr="00BB0BCF">
        <w:rPr>
          <w:rFonts w:ascii="Arial" w:hAnsi="Arial" w:cs="Arial"/>
        </w:rPr>
        <w:t xml:space="preserve"> that is relevant: if indeed the applicant is guilty of the fronting practice, which is an offence under the B-BBEE Act, it may well not be entitled to enforce its award</w:t>
      </w:r>
      <w:r w:rsidR="002664E4" w:rsidRPr="00BB0BCF">
        <w:rPr>
          <w:rFonts w:ascii="Arial" w:hAnsi="Arial" w:cs="Arial"/>
        </w:rPr>
        <w:t xml:space="preserve"> in its entirety</w:t>
      </w:r>
      <w:r w:rsidR="00AE67EE" w:rsidRPr="00BB0BCF">
        <w:rPr>
          <w:rFonts w:ascii="Arial" w:hAnsi="Arial" w:cs="Arial"/>
        </w:rPr>
        <w:t>. It is this issue which is at the heart of the order sought in the counterclaim.</w:t>
      </w:r>
    </w:p>
    <w:p w:rsidR="009831A3" w:rsidRPr="009831A3" w:rsidRDefault="009831A3" w:rsidP="009831A3">
      <w:pPr>
        <w:pStyle w:val="ListParagraph"/>
        <w:spacing w:line="480" w:lineRule="auto"/>
        <w:ind w:left="851"/>
        <w:jc w:val="both"/>
        <w:rPr>
          <w:rFonts w:ascii="Arial" w:hAnsi="Arial" w:cs="Arial"/>
          <w:u w:val="single"/>
        </w:rPr>
      </w:pPr>
    </w:p>
    <w:p w:rsidR="009831A3" w:rsidRPr="00BB0BCF" w:rsidRDefault="00BB0BCF" w:rsidP="00BB0BCF">
      <w:pPr>
        <w:spacing w:line="480" w:lineRule="auto"/>
        <w:ind w:left="851" w:hanging="851"/>
        <w:jc w:val="both"/>
        <w:rPr>
          <w:rFonts w:ascii="Arial" w:hAnsi="Arial" w:cs="Arial"/>
          <w:u w:val="single"/>
        </w:rPr>
      </w:pPr>
      <w:r w:rsidRPr="009831A3">
        <w:rPr>
          <w:rFonts w:ascii="Arial" w:hAnsi="Arial Unicode MS" w:cs="Arial"/>
        </w:rPr>
        <w:lastRenderedPageBreak/>
        <w:t>[18]</w:t>
      </w:r>
      <w:r w:rsidRPr="009831A3">
        <w:rPr>
          <w:rFonts w:ascii="Arial" w:hAnsi="Arial Unicode MS" w:cs="Arial"/>
        </w:rPr>
        <w:tab/>
      </w:r>
      <w:r w:rsidR="00AE67EE" w:rsidRPr="00BB0BCF">
        <w:rPr>
          <w:rFonts w:ascii="Arial" w:hAnsi="Arial" w:cs="Arial"/>
        </w:rPr>
        <w:t>Given that this issue is presently under investigation by the Commission – a Specialist Tribunal establishe</w:t>
      </w:r>
      <w:r w:rsidR="00BB0914" w:rsidRPr="00BB0BCF">
        <w:rPr>
          <w:rFonts w:ascii="Arial" w:hAnsi="Arial" w:cs="Arial"/>
        </w:rPr>
        <w:t>d in terms of the B-BBEE Act – i</w:t>
      </w:r>
      <w:r w:rsidR="00AE67EE" w:rsidRPr="00BB0BCF">
        <w:rPr>
          <w:rFonts w:ascii="Arial" w:hAnsi="Arial" w:cs="Arial"/>
        </w:rPr>
        <w:t>t would not be appropriate for me to comment on the merits of the complaint as that may well pre-judge the outcome.</w:t>
      </w:r>
    </w:p>
    <w:p w:rsidR="009831A3" w:rsidRPr="009831A3" w:rsidRDefault="009831A3" w:rsidP="009831A3">
      <w:pPr>
        <w:pStyle w:val="ListParagraph"/>
        <w:spacing w:line="480" w:lineRule="auto"/>
        <w:ind w:left="851"/>
        <w:jc w:val="both"/>
        <w:rPr>
          <w:rFonts w:ascii="Arial" w:hAnsi="Arial" w:cs="Arial"/>
          <w:u w:val="single"/>
        </w:rPr>
      </w:pPr>
    </w:p>
    <w:p w:rsidR="009831A3" w:rsidRPr="00BB0BCF" w:rsidRDefault="00BB0BCF" w:rsidP="00BB0BCF">
      <w:pPr>
        <w:spacing w:line="480" w:lineRule="auto"/>
        <w:ind w:left="851" w:hanging="851"/>
        <w:jc w:val="both"/>
        <w:rPr>
          <w:rFonts w:ascii="Arial" w:hAnsi="Arial" w:cs="Arial"/>
          <w:u w:val="single"/>
        </w:rPr>
      </w:pPr>
      <w:r w:rsidRPr="009831A3">
        <w:rPr>
          <w:rFonts w:ascii="Arial" w:hAnsi="Arial Unicode MS" w:cs="Arial"/>
        </w:rPr>
        <w:t>[19]</w:t>
      </w:r>
      <w:r w:rsidRPr="009831A3">
        <w:rPr>
          <w:rFonts w:ascii="Arial" w:hAnsi="Arial Unicode MS" w:cs="Arial"/>
        </w:rPr>
        <w:tab/>
      </w:r>
      <w:r w:rsidR="00AE67EE" w:rsidRPr="00BB0BCF">
        <w:rPr>
          <w:rFonts w:ascii="Arial" w:hAnsi="Arial" w:cs="Arial"/>
        </w:rPr>
        <w:t>I am therefore of the view that the counter-application to stay these proceedings has merit and should be granted</w:t>
      </w:r>
      <w:r w:rsidR="00976A49" w:rsidRPr="00BB0BCF">
        <w:rPr>
          <w:rFonts w:ascii="Arial" w:hAnsi="Arial" w:cs="Arial"/>
        </w:rPr>
        <w:t xml:space="preserve"> and once that investigation is concluded this application may be set down for hearing on supplemented papers (if necessary)</w:t>
      </w:r>
      <w:r w:rsidR="00AE67EE" w:rsidRPr="00BB0BCF">
        <w:rPr>
          <w:rFonts w:ascii="Arial" w:hAnsi="Arial" w:cs="Arial"/>
        </w:rPr>
        <w:t>. I am also of the view that costs should be reserved.</w:t>
      </w:r>
    </w:p>
    <w:p w:rsidR="009831A3" w:rsidRDefault="009831A3" w:rsidP="00AE67EE">
      <w:pPr>
        <w:spacing w:line="480" w:lineRule="auto"/>
        <w:jc w:val="both"/>
        <w:rPr>
          <w:rFonts w:ascii="Arial" w:hAnsi="Arial" w:cs="Arial"/>
          <w:u w:val="single"/>
        </w:rPr>
      </w:pPr>
    </w:p>
    <w:p w:rsidR="00AE67EE" w:rsidRPr="00AE67EE" w:rsidRDefault="00AE67EE" w:rsidP="00AE67EE">
      <w:pPr>
        <w:spacing w:line="480" w:lineRule="auto"/>
        <w:jc w:val="both"/>
        <w:rPr>
          <w:rFonts w:ascii="Arial" w:hAnsi="Arial" w:cs="Arial"/>
          <w:b/>
          <w:u w:val="single"/>
        </w:rPr>
      </w:pPr>
      <w:r w:rsidRPr="00AE67EE">
        <w:rPr>
          <w:rFonts w:ascii="Arial" w:hAnsi="Arial" w:cs="Arial"/>
          <w:b/>
          <w:u w:val="single"/>
        </w:rPr>
        <w:t>ORDER</w:t>
      </w:r>
    </w:p>
    <w:p w:rsidR="009831A3" w:rsidRPr="00BB0BCF" w:rsidRDefault="00BB0BCF" w:rsidP="00BB0BCF">
      <w:pPr>
        <w:spacing w:line="480" w:lineRule="auto"/>
        <w:ind w:left="851" w:hanging="851"/>
        <w:jc w:val="both"/>
        <w:rPr>
          <w:rFonts w:ascii="Arial" w:hAnsi="Arial" w:cs="Arial"/>
          <w:u w:val="single"/>
        </w:rPr>
      </w:pPr>
      <w:r w:rsidRPr="000C4C81">
        <w:rPr>
          <w:rFonts w:ascii="Arial" w:hAnsi="Arial Unicode MS" w:cs="Arial"/>
        </w:rPr>
        <w:t>[20]</w:t>
      </w:r>
      <w:r w:rsidRPr="000C4C81">
        <w:rPr>
          <w:rFonts w:ascii="Arial" w:hAnsi="Arial Unicode MS" w:cs="Arial"/>
        </w:rPr>
        <w:tab/>
      </w:r>
      <w:r w:rsidR="000C4C81" w:rsidRPr="00BB0BCF">
        <w:rPr>
          <w:rFonts w:ascii="Arial" w:hAnsi="Arial" w:cs="Arial"/>
        </w:rPr>
        <w:t>Thus the order granted is the following:</w:t>
      </w:r>
    </w:p>
    <w:p w:rsidR="000C4C81" w:rsidRDefault="000C4C81" w:rsidP="000C4C81">
      <w:pPr>
        <w:pStyle w:val="ListParagraph"/>
        <w:spacing w:line="480" w:lineRule="auto"/>
        <w:ind w:left="1701" w:hanging="850"/>
        <w:jc w:val="both"/>
        <w:rPr>
          <w:rFonts w:ascii="Arial" w:hAnsi="Arial" w:cs="Arial"/>
        </w:rPr>
      </w:pPr>
      <w:r>
        <w:rPr>
          <w:rFonts w:ascii="Arial" w:hAnsi="Arial" w:cs="Arial"/>
        </w:rPr>
        <w:t>20.1</w:t>
      </w:r>
      <w:r>
        <w:rPr>
          <w:rFonts w:ascii="Arial" w:hAnsi="Arial" w:cs="Arial"/>
        </w:rPr>
        <w:tab/>
        <w:t>The application is stayed pending the outcome of the complaint lodged by the first respondent against the applicant at the Broad-Based Black Economic Empowerment Commission, which is set out in Annexure X to the respondents answering affidavit.</w:t>
      </w:r>
    </w:p>
    <w:p w:rsidR="000C4C81" w:rsidRPr="009831A3" w:rsidRDefault="000C4C81" w:rsidP="000C4C81">
      <w:pPr>
        <w:pStyle w:val="ListParagraph"/>
        <w:spacing w:line="480" w:lineRule="auto"/>
        <w:ind w:left="851"/>
        <w:jc w:val="both"/>
        <w:rPr>
          <w:rFonts w:ascii="Arial" w:hAnsi="Arial" w:cs="Arial"/>
          <w:u w:val="single"/>
        </w:rPr>
      </w:pPr>
      <w:r>
        <w:rPr>
          <w:rFonts w:ascii="Arial" w:hAnsi="Arial" w:cs="Arial"/>
        </w:rPr>
        <w:t>20.2</w:t>
      </w:r>
      <w:r>
        <w:rPr>
          <w:rFonts w:ascii="Arial" w:hAnsi="Arial" w:cs="Arial"/>
        </w:rPr>
        <w:tab/>
        <w:t xml:space="preserve">   Costs of the application are reserved.</w:t>
      </w:r>
    </w:p>
    <w:p w:rsidR="000876F8" w:rsidRPr="000C4C81" w:rsidRDefault="000876F8" w:rsidP="000C4C81">
      <w:pPr>
        <w:spacing w:line="480" w:lineRule="auto"/>
        <w:jc w:val="both"/>
        <w:rPr>
          <w:rFonts w:ascii="Arial" w:hAnsi="Arial" w:cs="Arial"/>
        </w:rPr>
      </w:pPr>
    </w:p>
    <w:p w:rsidR="00A973C4" w:rsidRPr="00AE5142" w:rsidRDefault="002876B5" w:rsidP="00A973C4">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sidRPr="00AE5142">
        <w:rPr>
          <w:rFonts w:ascii="Arial" w:hAnsi="Arial" w:cs="Arial"/>
        </w:rPr>
        <w:t>______________</w:t>
      </w:r>
    </w:p>
    <w:p w:rsidR="00A973C4" w:rsidRPr="00AE5142" w:rsidRDefault="00A973C4" w:rsidP="00A973C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Arial" w:hAnsi="Arial" w:cs="Arial"/>
          <w:b/>
        </w:rPr>
      </w:pPr>
      <w:r w:rsidRPr="00AE5142">
        <w:rPr>
          <w:rFonts w:ascii="Arial" w:hAnsi="Arial" w:cs="Arial"/>
          <w:b/>
        </w:rPr>
        <w:t xml:space="preserve"> NEUKIRCHER J</w:t>
      </w:r>
    </w:p>
    <w:p w:rsidR="00A973C4" w:rsidRPr="00AE5142" w:rsidRDefault="00D03297" w:rsidP="00A973C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Arial" w:hAnsi="Arial" w:cs="Arial"/>
          <w:b/>
        </w:rPr>
      </w:pPr>
      <w:r w:rsidRPr="00AE5142">
        <w:rPr>
          <w:rFonts w:ascii="Arial" w:hAnsi="Arial" w:cs="Arial"/>
          <w:b/>
        </w:rPr>
        <w:t xml:space="preserve"> </w:t>
      </w:r>
      <w:r w:rsidR="00A973C4" w:rsidRPr="00AE5142">
        <w:rPr>
          <w:rFonts w:ascii="Arial" w:hAnsi="Arial" w:cs="Arial"/>
          <w:b/>
        </w:rPr>
        <w:t>JUDGE OF THE HIGH COURT</w:t>
      </w:r>
    </w:p>
    <w:p w:rsidR="00A973C4" w:rsidRPr="00AE5142" w:rsidRDefault="00A973C4" w:rsidP="00A973C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Arial" w:hAnsi="Arial" w:cs="Arial"/>
          <w:b/>
        </w:rPr>
      </w:pPr>
      <w:r w:rsidRPr="00AE5142">
        <w:rPr>
          <w:rFonts w:ascii="Arial" w:hAnsi="Arial" w:cs="Arial"/>
          <w:b/>
        </w:rPr>
        <w:t>GAUTENG DIVISION, PRETORIA</w:t>
      </w:r>
    </w:p>
    <w:p w:rsidR="00A973C4" w:rsidRDefault="00A973C4" w:rsidP="00A973C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Arial" w:hAnsi="Arial" w:cs="Arial"/>
          <w:b/>
        </w:rPr>
      </w:pPr>
    </w:p>
    <w:p w:rsidR="00327C70" w:rsidRPr="00AE5142" w:rsidRDefault="00327C70" w:rsidP="00A973C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Arial" w:hAnsi="Arial" w:cs="Arial"/>
          <w:b/>
        </w:rPr>
      </w:pPr>
    </w:p>
    <w:p w:rsidR="00A973C4" w:rsidRPr="00AE5142" w:rsidRDefault="00A973C4" w:rsidP="00A973C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rPr>
      </w:pPr>
      <w:r w:rsidRPr="00AE5142">
        <w:rPr>
          <w:rFonts w:ascii="Arial" w:hAnsi="Arial" w:cs="Arial"/>
        </w:rPr>
        <w:t>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w:t>
      </w:r>
      <w:r w:rsidR="00A15FE2">
        <w:rPr>
          <w:rFonts w:ascii="Arial" w:hAnsi="Arial" w:cs="Arial"/>
        </w:rPr>
        <w:t xml:space="preserve"> </w:t>
      </w:r>
      <w:r w:rsidR="00B0613F">
        <w:rPr>
          <w:rFonts w:ascii="Arial" w:hAnsi="Arial" w:cs="Arial"/>
        </w:rPr>
        <w:t>8</w:t>
      </w:r>
      <w:r w:rsidR="00A15FE2">
        <w:rPr>
          <w:rFonts w:ascii="Arial" w:hAnsi="Arial" w:cs="Arial"/>
        </w:rPr>
        <w:t xml:space="preserve"> September 2022.</w:t>
      </w:r>
    </w:p>
    <w:p w:rsidR="00A973C4" w:rsidRPr="00AE5142" w:rsidRDefault="00A973C4" w:rsidP="00A973C4">
      <w:pPr>
        <w:widowControl w:val="0"/>
        <w:autoSpaceDE w:val="0"/>
        <w:autoSpaceDN w:val="0"/>
        <w:adjustRightInd w:val="0"/>
        <w:spacing w:line="360" w:lineRule="auto"/>
        <w:jc w:val="both"/>
        <w:rPr>
          <w:rFonts w:ascii="Arial" w:hAnsi="Arial" w:cs="Arial"/>
        </w:rPr>
      </w:pPr>
    </w:p>
    <w:p w:rsidR="0093475B" w:rsidRPr="00AE5142" w:rsidRDefault="000876F8" w:rsidP="0093475B">
      <w:pPr>
        <w:widowControl w:val="0"/>
        <w:autoSpaceDE w:val="0"/>
        <w:autoSpaceDN w:val="0"/>
        <w:adjustRightInd w:val="0"/>
        <w:spacing w:line="360" w:lineRule="auto"/>
        <w:ind w:left="3600" w:hanging="3600"/>
        <w:jc w:val="both"/>
        <w:rPr>
          <w:rFonts w:ascii="Arial" w:hAnsi="Arial" w:cs="Arial"/>
        </w:rPr>
      </w:pPr>
      <w:r w:rsidRPr="00AE5142">
        <w:rPr>
          <w:rFonts w:ascii="Arial" w:hAnsi="Arial" w:cs="Arial"/>
        </w:rPr>
        <w:lastRenderedPageBreak/>
        <w:t>For the applicant</w:t>
      </w:r>
      <w:r w:rsidR="0093475B" w:rsidRPr="00AE5142">
        <w:rPr>
          <w:rFonts w:ascii="Arial" w:hAnsi="Arial" w:cs="Arial"/>
        </w:rPr>
        <w:tab/>
      </w:r>
      <w:r w:rsidR="00A973C4" w:rsidRPr="00AE5142">
        <w:rPr>
          <w:rFonts w:ascii="Arial" w:hAnsi="Arial" w:cs="Arial"/>
        </w:rPr>
        <w:t xml:space="preserve">: </w:t>
      </w:r>
      <w:r w:rsidR="00EF7CDE">
        <w:rPr>
          <w:rFonts w:ascii="Arial" w:hAnsi="Arial" w:cs="Arial"/>
        </w:rPr>
        <w:t xml:space="preserve">Advocate </w:t>
      </w:r>
      <w:r w:rsidR="000D3E91">
        <w:rPr>
          <w:rFonts w:ascii="Arial" w:hAnsi="Arial" w:cs="Arial"/>
        </w:rPr>
        <w:t>EC Labuschagne</w:t>
      </w:r>
    </w:p>
    <w:p w:rsidR="00CD0DE8" w:rsidRPr="00AE5142" w:rsidRDefault="000876F8" w:rsidP="00CD0DE8">
      <w:pPr>
        <w:widowControl w:val="0"/>
        <w:autoSpaceDE w:val="0"/>
        <w:autoSpaceDN w:val="0"/>
        <w:adjustRightInd w:val="0"/>
        <w:spacing w:line="360" w:lineRule="auto"/>
        <w:ind w:left="3600" w:hanging="3600"/>
        <w:jc w:val="both"/>
        <w:rPr>
          <w:rFonts w:ascii="Arial" w:hAnsi="Arial" w:cs="Arial"/>
        </w:rPr>
      </w:pPr>
      <w:r w:rsidRPr="00AE5142">
        <w:rPr>
          <w:rFonts w:ascii="Arial" w:hAnsi="Arial" w:cs="Arial"/>
        </w:rPr>
        <w:t>Instructed by</w:t>
      </w:r>
      <w:r w:rsidR="00E73DE2" w:rsidRPr="00AE5142">
        <w:rPr>
          <w:rFonts w:ascii="Arial" w:hAnsi="Arial" w:cs="Arial"/>
        </w:rPr>
        <w:tab/>
      </w:r>
      <w:r w:rsidR="00A973C4" w:rsidRPr="00AE5142">
        <w:rPr>
          <w:rFonts w:ascii="Arial" w:hAnsi="Arial" w:cs="Arial"/>
        </w:rPr>
        <w:t>:</w:t>
      </w:r>
      <w:r w:rsidR="00974AE2">
        <w:rPr>
          <w:rFonts w:ascii="Arial" w:hAnsi="Arial" w:cs="Arial"/>
        </w:rPr>
        <w:t xml:space="preserve"> </w:t>
      </w:r>
      <w:r w:rsidR="0007672A">
        <w:rPr>
          <w:rFonts w:ascii="Arial" w:hAnsi="Arial" w:cs="Arial"/>
        </w:rPr>
        <w:t>Ledwaba Mazwai</w:t>
      </w:r>
    </w:p>
    <w:p w:rsidR="00A973C4" w:rsidRPr="00AE5142" w:rsidRDefault="00A973C4" w:rsidP="0010098B">
      <w:pPr>
        <w:widowControl w:val="0"/>
        <w:autoSpaceDE w:val="0"/>
        <w:autoSpaceDN w:val="0"/>
        <w:adjustRightInd w:val="0"/>
        <w:spacing w:line="360" w:lineRule="auto"/>
        <w:ind w:left="3732"/>
        <w:jc w:val="both"/>
        <w:rPr>
          <w:rFonts w:ascii="Arial" w:hAnsi="Arial" w:cs="Arial"/>
        </w:rPr>
      </w:pPr>
      <w:r w:rsidRPr="00AE5142">
        <w:rPr>
          <w:rFonts w:ascii="Arial" w:hAnsi="Arial" w:cs="Arial"/>
        </w:rPr>
        <w:tab/>
      </w:r>
      <w:r w:rsidR="000876F8" w:rsidRPr="00AE5142">
        <w:rPr>
          <w:rFonts w:ascii="Arial" w:hAnsi="Arial" w:cs="Arial"/>
        </w:rPr>
        <w:tab/>
      </w:r>
      <w:r w:rsidR="000876F8" w:rsidRPr="00AE5142">
        <w:rPr>
          <w:rFonts w:ascii="Arial" w:hAnsi="Arial" w:cs="Arial"/>
        </w:rPr>
        <w:tab/>
      </w:r>
      <w:r w:rsidRPr="00AE5142">
        <w:rPr>
          <w:rFonts w:ascii="Arial" w:hAnsi="Arial" w:cs="Arial"/>
        </w:rPr>
        <w:tab/>
      </w:r>
      <w:r w:rsidR="000876F8" w:rsidRPr="00AE5142">
        <w:rPr>
          <w:rFonts w:ascii="Arial" w:hAnsi="Arial" w:cs="Arial"/>
        </w:rPr>
        <w:tab/>
      </w:r>
      <w:r w:rsidR="000876F8" w:rsidRPr="00AE5142">
        <w:rPr>
          <w:rFonts w:ascii="Arial" w:hAnsi="Arial" w:cs="Arial"/>
        </w:rPr>
        <w:tab/>
      </w:r>
    </w:p>
    <w:p w:rsidR="00A973C4" w:rsidRPr="00AE5142" w:rsidRDefault="00A973C4" w:rsidP="00A973C4">
      <w:pPr>
        <w:widowControl w:val="0"/>
        <w:autoSpaceDE w:val="0"/>
        <w:autoSpaceDN w:val="0"/>
        <w:adjustRightInd w:val="0"/>
        <w:spacing w:line="360" w:lineRule="auto"/>
        <w:jc w:val="both"/>
        <w:rPr>
          <w:rFonts w:ascii="Arial" w:hAnsi="Arial" w:cs="Arial"/>
        </w:rPr>
      </w:pPr>
      <w:r w:rsidRPr="00AE5142">
        <w:rPr>
          <w:rFonts w:ascii="Arial" w:hAnsi="Arial" w:cs="Arial"/>
        </w:rPr>
        <w:t xml:space="preserve">For the </w:t>
      </w:r>
      <w:r w:rsidR="002D6627">
        <w:rPr>
          <w:rFonts w:ascii="Arial" w:hAnsi="Arial" w:cs="Arial"/>
        </w:rPr>
        <w:t>1</w:t>
      </w:r>
      <w:r w:rsidR="002D6627" w:rsidRPr="002D6627">
        <w:rPr>
          <w:rFonts w:ascii="Arial" w:hAnsi="Arial" w:cs="Arial"/>
          <w:vertAlign w:val="superscript"/>
        </w:rPr>
        <w:t>st</w:t>
      </w:r>
      <w:r w:rsidR="002D6627">
        <w:rPr>
          <w:rFonts w:ascii="Arial" w:hAnsi="Arial" w:cs="Arial"/>
        </w:rPr>
        <w:t xml:space="preserve"> respondent</w:t>
      </w:r>
      <w:r w:rsidR="0010056F" w:rsidRPr="00AE5142">
        <w:rPr>
          <w:rFonts w:ascii="Arial" w:hAnsi="Arial" w:cs="Arial"/>
        </w:rPr>
        <w:tab/>
      </w:r>
      <w:r w:rsidR="002D6627">
        <w:rPr>
          <w:rFonts w:ascii="Arial" w:hAnsi="Arial" w:cs="Arial"/>
        </w:rPr>
        <w:tab/>
      </w:r>
      <w:r w:rsidR="0010056F" w:rsidRPr="00AE5142">
        <w:rPr>
          <w:rFonts w:ascii="Arial" w:hAnsi="Arial" w:cs="Arial"/>
        </w:rPr>
        <w:t>:</w:t>
      </w:r>
      <w:r w:rsidR="0093475B" w:rsidRPr="00AE5142">
        <w:rPr>
          <w:rFonts w:ascii="Arial" w:hAnsi="Arial" w:cs="Arial"/>
        </w:rPr>
        <w:t xml:space="preserve"> </w:t>
      </w:r>
      <w:r w:rsidR="0007672A">
        <w:rPr>
          <w:rFonts w:ascii="Arial" w:hAnsi="Arial" w:cs="Arial"/>
        </w:rPr>
        <w:t>Advocate N Segal</w:t>
      </w:r>
    </w:p>
    <w:p w:rsidR="00E73DE2" w:rsidRPr="00AE5142" w:rsidRDefault="00E73DE2" w:rsidP="00A973C4">
      <w:pPr>
        <w:widowControl w:val="0"/>
        <w:autoSpaceDE w:val="0"/>
        <w:autoSpaceDN w:val="0"/>
        <w:adjustRightInd w:val="0"/>
        <w:spacing w:line="360" w:lineRule="auto"/>
        <w:jc w:val="both"/>
        <w:rPr>
          <w:rFonts w:ascii="Arial" w:hAnsi="Arial" w:cs="Arial"/>
        </w:rPr>
      </w:pPr>
      <w:r w:rsidRPr="00AE5142">
        <w:rPr>
          <w:rFonts w:ascii="Arial" w:hAnsi="Arial" w:cs="Arial"/>
        </w:rPr>
        <w:t>Instructed by</w:t>
      </w:r>
      <w:r w:rsidRPr="00AE5142">
        <w:rPr>
          <w:rFonts w:ascii="Arial" w:hAnsi="Arial" w:cs="Arial"/>
        </w:rPr>
        <w:tab/>
      </w:r>
      <w:r w:rsidRPr="00AE5142">
        <w:rPr>
          <w:rFonts w:ascii="Arial" w:hAnsi="Arial" w:cs="Arial"/>
        </w:rPr>
        <w:tab/>
      </w:r>
      <w:r w:rsidRPr="00AE5142">
        <w:rPr>
          <w:rFonts w:ascii="Arial" w:hAnsi="Arial" w:cs="Arial"/>
        </w:rPr>
        <w:tab/>
      </w:r>
      <w:r w:rsidRPr="00AE5142">
        <w:rPr>
          <w:rFonts w:ascii="Arial" w:hAnsi="Arial" w:cs="Arial"/>
        </w:rPr>
        <w:tab/>
        <w:t>:</w:t>
      </w:r>
      <w:r w:rsidR="004A3CA1" w:rsidRPr="00AE5142">
        <w:rPr>
          <w:rFonts w:ascii="Arial" w:hAnsi="Arial" w:cs="Arial"/>
        </w:rPr>
        <w:t xml:space="preserve"> </w:t>
      </w:r>
      <w:r w:rsidR="0007672A">
        <w:rPr>
          <w:rFonts w:ascii="Arial" w:hAnsi="Arial" w:cs="Arial"/>
        </w:rPr>
        <w:t>Cranko Karp &amp; Associates Inc</w:t>
      </w:r>
    </w:p>
    <w:p w:rsidR="002D6627" w:rsidRDefault="002D6627" w:rsidP="00B65FCE">
      <w:pPr>
        <w:widowControl w:val="0"/>
        <w:autoSpaceDE w:val="0"/>
        <w:autoSpaceDN w:val="0"/>
        <w:adjustRightInd w:val="0"/>
        <w:spacing w:line="360" w:lineRule="auto"/>
        <w:jc w:val="both"/>
        <w:rPr>
          <w:rFonts w:ascii="Arial" w:hAnsi="Arial" w:cs="Arial"/>
        </w:rPr>
      </w:pPr>
    </w:p>
    <w:p w:rsidR="00A973C4" w:rsidRPr="00B65FCE" w:rsidRDefault="000876F8" w:rsidP="00B65FCE">
      <w:pPr>
        <w:widowControl w:val="0"/>
        <w:autoSpaceDE w:val="0"/>
        <w:autoSpaceDN w:val="0"/>
        <w:adjustRightInd w:val="0"/>
        <w:spacing w:line="360" w:lineRule="auto"/>
        <w:jc w:val="both"/>
        <w:rPr>
          <w:rFonts w:ascii="Arial" w:hAnsi="Arial" w:cs="Arial"/>
        </w:rPr>
      </w:pPr>
      <w:r>
        <w:rPr>
          <w:rFonts w:ascii="Arial" w:hAnsi="Arial" w:cs="Arial"/>
        </w:rPr>
        <w:tab/>
      </w:r>
    </w:p>
    <w:sectPr w:rsidR="00A973C4" w:rsidRPr="00B65FC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4D1" w:rsidRDefault="00A344D1" w:rsidP="00E840AE">
      <w:r>
        <w:separator/>
      </w:r>
    </w:p>
  </w:endnote>
  <w:endnote w:type="continuationSeparator" w:id="0">
    <w:p w:rsidR="00A344D1" w:rsidRDefault="00A344D1" w:rsidP="00E8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4D1" w:rsidRDefault="00A344D1" w:rsidP="00E840AE">
      <w:r>
        <w:separator/>
      </w:r>
    </w:p>
  </w:footnote>
  <w:footnote w:type="continuationSeparator" w:id="0">
    <w:p w:rsidR="00A344D1" w:rsidRDefault="00A344D1" w:rsidP="00E840AE">
      <w:r>
        <w:continuationSeparator/>
      </w:r>
    </w:p>
  </w:footnote>
  <w:footnote w:id="1">
    <w:p w:rsidR="009B4678" w:rsidRPr="009B4678" w:rsidRDefault="009B4678" w:rsidP="009B4678">
      <w:pPr>
        <w:pStyle w:val="FootnoteText"/>
        <w:rPr>
          <w:lang w:val="en-US"/>
        </w:rPr>
      </w:pPr>
      <w:r>
        <w:rPr>
          <w:rStyle w:val="FootnoteReference"/>
        </w:rPr>
        <w:footnoteRef/>
      </w:r>
      <w:r>
        <w:t xml:space="preserve"> </w:t>
      </w:r>
      <w:r w:rsidR="00C53DA4">
        <w:rPr>
          <w:rFonts w:asciiTheme="minorHAnsi" w:hAnsiTheme="minorHAnsi" w:cstheme="minorHAnsi"/>
        </w:rPr>
        <w:t>2014</w:t>
      </w:r>
      <w:r w:rsidRPr="009B4678">
        <w:rPr>
          <w:rFonts w:asciiTheme="minorHAnsi" w:hAnsiTheme="minorHAnsi" w:cstheme="minorHAnsi"/>
        </w:rPr>
        <w:t xml:space="preserve"> (4) SA 474 (CC)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534599"/>
      <w:docPartObj>
        <w:docPartGallery w:val="Page Numbers (Top of Page)"/>
        <w:docPartUnique/>
      </w:docPartObj>
    </w:sdtPr>
    <w:sdtEndPr>
      <w:rPr>
        <w:noProof/>
      </w:rPr>
    </w:sdtEndPr>
    <w:sdtContent>
      <w:p w:rsidR="00571DDF" w:rsidRDefault="00571DDF">
        <w:pPr>
          <w:pStyle w:val="Header"/>
          <w:jc w:val="right"/>
        </w:pPr>
        <w:r>
          <w:fldChar w:fldCharType="begin"/>
        </w:r>
        <w:r>
          <w:instrText xml:space="preserve"> PAGE   \* MERGEFORMAT </w:instrText>
        </w:r>
        <w:r>
          <w:fldChar w:fldCharType="separate"/>
        </w:r>
        <w:r w:rsidR="00BB0BCF">
          <w:rPr>
            <w:noProof/>
          </w:rPr>
          <w:t>2</w:t>
        </w:r>
        <w:r>
          <w:rPr>
            <w:noProof/>
          </w:rPr>
          <w:fldChar w:fldCharType="end"/>
        </w:r>
      </w:p>
    </w:sdtContent>
  </w:sdt>
  <w:p w:rsidR="00571DDF" w:rsidRDefault="00571D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FF7"/>
    <w:multiLevelType w:val="hybridMultilevel"/>
    <w:tmpl w:val="434E8C42"/>
    <w:lvl w:ilvl="0" w:tplc="6638D098">
      <w:start w:val="1"/>
      <w:numFmt w:val="decimal"/>
      <w:lvlText w:val="[%1]"/>
      <w:lvlJc w:val="left"/>
      <w:pPr>
        <w:ind w:left="1080" w:hanging="360"/>
      </w:pPr>
      <w:rPr>
        <w:rFonts w:hAnsi="Arial Unicode MS" w:hint="default"/>
        <w:b w:val="0"/>
        <w:i w:val="0"/>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10F94A00"/>
    <w:multiLevelType w:val="hybridMultilevel"/>
    <w:tmpl w:val="568A45F8"/>
    <w:lvl w:ilvl="0" w:tplc="1C090017">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15:restartNumberingAfterBreak="0">
    <w:nsid w:val="19405CBD"/>
    <w:multiLevelType w:val="hybridMultilevel"/>
    <w:tmpl w:val="0D3E794C"/>
    <w:lvl w:ilvl="0" w:tplc="7222E844">
      <w:start w:val="1"/>
      <w:numFmt w:val="decimal"/>
      <w:lvlText w:val="10.%1"/>
      <w:lvlJc w:val="left"/>
      <w:pPr>
        <w:ind w:left="1571"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299776B"/>
    <w:multiLevelType w:val="hybridMultilevel"/>
    <w:tmpl w:val="16F621FC"/>
    <w:lvl w:ilvl="0" w:tplc="ECCA9E5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2C7D0095"/>
    <w:multiLevelType w:val="hybridMultilevel"/>
    <w:tmpl w:val="461ADE44"/>
    <w:lvl w:ilvl="0" w:tplc="6D7A586A">
      <w:start w:val="1"/>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6" w15:restartNumberingAfterBreak="0">
    <w:nsid w:val="41A64CBB"/>
    <w:multiLevelType w:val="hybridMultilevel"/>
    <w:tmpl w:val="AFBAFF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5581417"/>
    <w:multiLevelType w:val="hybridMultilevel"/>
    <w:tmpl w:val="045C831C"/>
    <w:lvl w:ilvl="0" w:tplc="8D08DA52">
      <w:start w:val="1"/>
      <w:numFmt w:val="lowerLetter"/>
      <w:lvlText w:val="%1)"/>
      <w:lvlJc w:val="left"/>
      <w:pPr>
        <w:ind w:left="2159" w:hanging="720"/>
      </w:pPr>
      <w:rPr>
        <w:rFonts w:hint="default"/>
      </w:rPr>
    </w:lvl>
    <w:lvl w:ilvl="1" w:tplc="1C090019" w:tentative="1">
      <w:start w:val="1"/>
      <w:numFmt w:val="lowerLetter"/>
      <w:lvlText w:val="%2."/>
      <w:lvlJc w:val="left"/>
      <w:pPr>
        <w:ind w:left="2519" w:hanging="360"/>
      </w:pPr>
    </w:lvl>
    <w:lvl w:ilvl="2" w:tplc="1C09001B" w:tentative="1">
      <w:start w:val="1"/>
      <w:numFmt w:val="lowerRoman"/>
      <w:lvlText w:val="%3."/>
      <w:lvlJc w:val="right"/>
      <w:pPr>
        <w:ind w:left="3239" w:hanging="180"/>
      </w:pPr>
    </w:lvl>
    <w:lvl w:ilvl="3" w:tplc="1C09000F" w:tentative="1">
      <w:start w:val="1"/>
      <w:numFmt w:val="decimal"/>
      <w:lvlText w:val="%4."/>
      <w:lvlJc w:val="left"/>
      <w:pPr>
        <w:ind w:left="3959" w:hanging="360"/>
      </w:pPr>
    </w:lvl>
    <w:lvl w:ilvl="4" w:tplc="1C090019" w:tentative="1">
      <w:start w:val="1"/>
      <w:numFmt w:val="lowerLetter"/>
      <w:lvlText w:val="%5."/>
      <w:lvlJc w:val="left"/>
      <w:pPr>
        <w:ind w:left="4679" w:hanging="360"/>
      </w:pPr>
    </w:lvl>
    <w:lvl w:ilvl="5" w:tplc="1C09001B" w:tentative="1">
      <w:start w:val="1"/>
      <w:numFmt w:val="lowerRoman"/>
      <w:lvlText w:val="%6."/>
      <w:lvlJc w:val="right"/>
      <w:pPr>
        <w:ind w:left="5399" w:hanging="180"/>
      </w:pPr>
    </w:lvl>
    <w:lvl w:ilvl="6" w:tplc="1C09000F" w:tentative="1">
      <w:start w:val="1"/>
      <w:numFmt w:val="decimal"/>
      <w:lvlText w:val="%7."/>
      <w:lvlJc w:val="left"/>
      <w:pPr>
        <w:ind w:left="6119" w:hanging="360"/>
      </w:pPr>
    </w:lvl>
    <w:lvl w:ilvl="7" w:tplc="1C090019" w:tentative="1">
      <w:start w:val="1"/>
      <w:numFmt w:val="lowerLetter"/>
      <w:lvlText w:val="%8."/>
      <w:lvlJc w:val="left"/>
      <w:pPr>
        <w:ind w:left="6839" w:hanging="360"/>
      </w:pPr>
    </w:lvl>
    <w:lvl w:ilvl="8" w:tplc="1C09001B" w:tentative="1">
      <w:start w:val="1"/>
      <w:numFmt w:val="lowerRoman"/>
      <w:lvlText w:val="%9."/>
      <w:lvlJc w:val="right"/>
      <w:pPr>
        <w:ind w:left="7559" w:hanging="180"/>
      </w:pPr>
    </w:lvl>
  </w:abstractNum>
  <w:abstractNum w:abstractNumId="8" w15:restartNumberingAfterBreak="0">
    <w:nsid w:val="50AC123C"/>
    <w:multiLevelType w:val="hybridMultilevel"/>
    <w:tmpl w:val="84AEA7E0"/>
    <w:lvl w:ilvl="0" w:tplc="36CCBBB4">
      <w:start w:val="2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2327F9A"/>
    <w:multiLevelType w:val="hybridMultilevel"/>
    <w:tmpl w:val="0E4CE29A"/>
    <w:lvl w:ilvl="0" w:tplc="6FCC3F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DAA1B41"/>
    <w:multiLevelType w:val="hybridMultilevel"/>
    <w:tmpl w:val="9E2C7BA6"/>
    <w:lvl w:ilvl="0" w:tplc="6FCC3FD2">
      <w:start w:val="1"/>
      <w:numFmt w:val="decimal"/>
      <w:lvlText w:val="[%1]"/>
      <w:lvlJc w:val="left"/>
      <w:pPr>
        <w:ind w:left="850" w:hanging="360"/>
      </w:pPr>
      <w:rPr>
        <w:rFonts w:hint="default"/>
      </w:rPr>
    </w:lvl>
    <w:lvl w:ilvl="1" w:tplc="1C090019" w:tentative="1">
      <w:start w:val="1"/>
      <w:numFmt w:val="lowerLetter"/>
      <w:lvlText w:val="%2."/>
      <w:lvlJc w:val="left"/>
      <w:pPr>
        <w:ind w:left="1570" w:hanging="360"/>
      </w:pPr>
    </w:lvl>
    <w:lvl w:ilvl="2" w:tplc="1C09001B" w:tentative="1">
      <w:start w:val="1"/>
      <w:numFmt w:val="lowerRoman"/>
      <w:lvlText w:val="%3."/>
      <w:lvlJc w:val="right"/>
      <w:pPr>
        <w:ind w:left="2290" w:hanging="180"/>
      </w:pPr>
    </w:lvl>
    <w:lvl w:ilvl="3" w:tplc="1C09000F" w:tentative="1">
      <w:start w:val="1"/>
      <w:numFmt w:val="decimal"/>
      <w:lvlText w:val="%4."/>
      <w:lvlJc w:val="left"/>
      <w:pPr>
        <w:ind w:left="3010" w:hanging="360"/>
      </w:pPr>
    </w:lvl>
    <w:lvl w:ilvl="4" w:tplc="1C090019" w:tentative="1">
      <w:start w:val="1"/>
      <w:numFmt w:val="lowerLetter"/>
      <w:lvlText w:val="%5."/>
      <w:lvlJc w:val="left"/>
      <w:pPr>
        <w:ind w:left="3730" w:hanging="360"/>
      </w:pPr>
    </w:lvl>
    <w:lvl w:ilvl="5" w:tplc="1C09001B" w:tentative="1">
      <w:start w:val="1"/>
      <w:numFmt w:val="lowerRoman"/>
      <w:lvlText w:val="%6."/>
      <w:lvlJc w:val="right"/>
      <w:pPr>
        <w:ind w:left="4450" w:hanging="180"/>
      </w:pPr>
    </w:lvl>
    <w:lvl w:ilvl="6" w:tplc="1C09000F" w:tentative="1">
      <w:start w:val="1"/>
      <w:numFmt w:val="decimal"/>
      <w:lvlText w:val="%7."/>
      <w:lvlJc w:val="left"/>
      <w:pPr>
        <w:ind w:left="5170" w:hanging="360"/>
      </w:pPr>
    </w:lvl>
    <w:lvl w:ilvl="7" w:tplc="1C090019" w:tentative="1">
      <w:start w:val="1"/>
      <w:numFmt w:val="lowerLetter"/>
      <w:lvlText w:val="%8."/>
      <w:lvlJc w:val="left"/>
      <w:pPr>
        <w:ind w:left="5890" w:hanging="360"/>
      </w:pPr>
    </w:lvl>
    <w:lvl w:ilvl="8" w:tplc="1C09001B" w:tentative="1">
      <w:start w:val="1"/>
      <w:numFmt w:val="lowerRoman"/>
      <w:lvlText w:val="%9."/>
      <w:lvlJc w:val="right"/>
      <w:pPr>
        <w:ind w:left="6610" w:hanging="180"/>
      </w:pPr>
    </w:lvl>
  </w:abstractNum>
  <w:abstractNum w:abstractNumId="11" w15:restartNumberingAfterBreak="0">
    <w:nsid w:val="62274E6E"/>
    <w:multiLevelType w:val="hybridMultilevel"/>
    <w:tmpl w:val="2D1E6584"/>
    <w:lvl w:ilvl="0" w:tplc="1BDC4366">
      <w:start w:val="1"/>
      <w:numFmt w:val="lowerLetter"/>
      <w:lvlText w:val="(%1)"/>
      <w:lvlJc w:val="left"/>
      <w:pPr>
        <w:ind w:left="2061" w:hanging="360"/>
      </w:pPr>
      <w:rPr>
        <w:rFonts w:hint="default"/>
        <w:u w:val="none"/>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2" w15:restartNumberingAfterBreak="0">
    <w:nsid w:val="6A260301"/>
    <w:multiLevelType w:val="hybridMultilevel"/>
    <w:tmpl w:val="C1AA157A"/>
    <w:lvl w:ilvl="0" w:tplc="91A8819C">
      <w:start w:val="2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CC17F59"/>
    <w:multiLevelType w:val="hybridMultilevel"/>
    <w:tmpl w:val="64EAC632"/>
    <w:lvl w:ilvl="0" w:tplc="036C8ABA">
      <w:start w:val="1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36545CE"/>
    <w:multiLevelType w:val="multilevel"/>
    <w:tmpl w:val="7F08B786"/>
    <w:lvl w:ilvl="0">
      <w:start w:val="30"/>
      <w:numFmt w:val="decimal"/>
      <w:lvlText w:val="%1"/>
      <w:lvlJc w:val="left"/>
      <w:pPr>
        <w:ind w:left="468" w:hanging="468"/>
      </w:pPr>
      <w:rPr>
        <w:rFonts w:hint="default"/>
      </w:rPr>
    </w:lvl>
    <w:lvl w:ilvl="1">
      <w:start w:val="4"/>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B6346EE"/>
    <w:multiLevelType w:val="hybridMultilevel"/>
    <w:tmpl w:val="97AC0A22"/>
    <w:lvl w:ilvl="0" w:tplc="0712B030">
      <w:start w:val="1"/>
      <w:numFmt w:val="decimal"/>
      <w:lvlText w:val="%1)"/>
      <w:lvlJc w:val="left"/>
      <w:pPr>
        <w:ind w:left="1211" w:hanging="360"/>
      </w:pPr>
      <w:rPr>
        <w:rFonts w:hint="default"/>
        <w:b w:val="0"/>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10"/>
  </w:num>
  <w:num w:numId="5">
    <w:abstractNumId w:val="9"/>
  </w:num>
  <w:num w:numId="6">
    <w:abstractNumId w:val="12"/>
  </w:num>
  <w:num w:numId="7">
    <w:abstractNumId w:val="8"/>
  </w:num>
  <w:num w:numId="8">
    <w:abstractNumId w:val="14"/>
  </w:num>
  <w:num w:numId="9">
    <w:abstractNumId w:val="0"/>
  </w:num>
  <w:num w:numId="10">
    <w:abstractNumId w:val="15"/>
  </w:num>
  <w:num w:numId="11">
    <w:abstractNumId w:val="5"/>
  </w:num>
  <w:num w:numId="12">
    <w:abstractNumId w:val="2"/>
  </w:num>
  <w:num w:numId="13">
    <w:abstractNumId w:val="7"/>
  </w:num>
  <w:num w:numId="14">
    <w:abstractNumId w:val="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C4"/>
    <w:rsid w:val="00004E4F"/>
    <w:rsid w:val="00013765"/>
    <w:rsid w:val="00013D45"/>
    <w:rsid w:val="00016853"/>
    <w:rsid w:val="000206DE"/>
    <w:rsid w:val="00024CAA"/>
    <w:rsid w:val="00030DFA"/>
    <w:rsid w:val="00032CD0"/>
    <w:rsid w:val="000571E2"/>
    <w:rsid w:val="000717C8"/>
    <w:rsid w:val="000732CB"/>
    <w:rsid w:val="000759A5"/>
    <w:rsid w:val="0007672A"/>
    <w:rsid w:val="000866C8"/>
    <w:rsid w:val="000876F8"/>
    <w:rsid w:val="00091C77"/>
    <w:rsid w:val="0009286B"/>
    <w:rsid w:val="000A1B6A"/>
    <w:rsid w:val="000A5F51"/>
    <w:rsid w:val="000B3A84"/>
    <w:rsid w:val="000B5CA1"/>
    <w:rsid w:val="000C0137"/>
    <w:rsid w:val="000C4C81"/>
    <w:rsid w:val="000C709C"/>
    <w:rsid w:val="000D3E91"/>
    <w:rsid w:val="000E0470"/>
    <w:rsid w:val="000E1A80"/>
    <w:rsid w:val="000E5EFD"/>
    <w:rsid w:val="000F23CD"/>
    <w:rsid w:val="000F74FE"/>
    <w:rsid w:val="0010056F"/>
    <w:rsid w:val="0010098B"/>
    <w:rsid w:val="0010286F"/>
    <w:rsid w:val="001079C6"/>
    <w:rsid w:val="001160F9"/>
    <w:rsid w:val="001172B1"/>
    <w:rsid w:val="00121E03"/>
    <w:rsid w:val="0012300A"/>
    <w:rsid w:val="001233BC"/>
    <w:rsid w:val="0012677B"/>
    <w:rsid w:val="00133758"/>
    <w:rsid w:val="00142B7B"/>
    <w:rsid w:val="00143A74"/>
    <w:rsid w:val="00145562"/>
    <w:rsid w:val="001472F4"/>
    <w:rsid w:val="001515D7"/>
    <w:rsid w:val="00153614"/>
    <w:rsid w:val="0015469A"/>
    <w:rsid w:val="00162E0E"/>
    <w:rsid w:val="00170505"/>
    <w:rsid w:val="00171119"/>
    <w:rsid w:val="00172743"/>
    <w:rsid w:val="00173EAC"/>
    <w:rsid w:val="001772E8"/>
    <w:rsid w:val="00180DBC"/>
    <w:rsid w:val="0018348A"/>
    <w:rsid w:val="00185394"/>
    <w:rsid w:val="0019121E"/>
    <w:rsid w:val="001954BD"/>
    <w:rsid w:val="00195B12"/>
    <w:rsid w:val="001965F6"/>
    <w:rsid w:val="001A272C"/>
    <w:rsid w:val="001A5726"/>
    <w:rsid w:val="001A5C39"/>
    <w:rsid w:val="001B145C"/>
    <w:rsid w:val="001B213F"/>
    <w:rsid w:val="001C40E7"/>
    <w:rsid w:val="001C66DB"/>
    <w:rsid w:val="001D2474"/>
    <w:rsid w:val="001D294C"/>
    <w:rsid w:val="001E1CAA"/>
    <w:rsid w:val="001E2E16"/>
    <w:rsid w:val="001E4664"/>
    <w:rsid w:val="001F1D21"/>
    <w:rsid w:val="001F2B2D"/>
    <w:rsid w:val="001F4950"/>
    <w:rsid w:val="00200065"/>
    <w:rsid w:val="0020275E"/>
    <w:rsid w:val="00205EF9"/>
    <w:rsid w:val="00206997"/>
    <w:rsid w:val="00207087"/>
    <w:rsid w:val="00212953"/>
    <w:rsid w:val="00217E84"/>
    <w:rsid w:val="00230231"/>
    <w:rsid w:val="00236188"/>
    <w:rsid w:val="00237FD2"/>
    <w:rsid w:val="00244AC9"/>
    <w:rsid w:val="00250A13"/>
    <w:rsid w:val="00250C48"/>
    <w:rsid w:val="00262C8F"/>
    <w:rsid w:val="00263A9B"/>
    <w:rsid w:val="00263B0C"/>
    <w:rsid w:val="002664E4"/>
    <w:rsid w:val="00271D62"/>
    <w:rsid w:val="00274888"/>
    <w:rsid w:val="002750C4"/>
    <w:rsid w:val="00280C7C"/>
    <w:rsid w:val="00281E3D"/>
    <w:rsid w:val="00281F0D"/>
    <w:rsid w:val="00282E71"/>
    <w:rsid w:val="002876B5"/>
    <w:rsid w:val="002A0D6D"/>
    <w:rsid w:val="002A6EE4"/>
    <w:rsid w:val="002A79CC"/>
    <w:rsid w:val="002B2694"/>
    <w:rsid w:val="002B3F60"/>
    <w:rsid w:val="002B5471"/>
    <w:rsid w:val="002B668B"/>
    <w:rsid w:val="002C0869"/>
    <w:rsid w:val="002C14E8"/>
    <w:rsid w:val="002C4361"/>
    <w:rsid w:val="002D6627"/>
    <w:rsid w:val="00301BE0"/>
    <w:rsid w:val="00302C89"/>
    <w:rsid w:val="00302CE9"/>
    <w:rsid w:val="00302D73"/>
    <w:rsid w:val="00306E03"/>
    <w:rsid w:val="00327C70"/>
    <w:rsid w:val="00330075"/>
    <w:rsid w:val="003305CE"/>
    <w:rsid w:val="00337ED2"/>
    <w:rsid w:val="003533A7"/>
    <w:rsid w:val="00353EEE"/>
    <w:rsid w:val="003546B4"/>
    <w:rsid w:val="00356482"/>
    <w:rsid w:val="00356DEA"/>
    <w:rsid w:val="003572C3"/>
    <w:rsid w:val="003600DE"/>
    <w:rsid w:val="003650FE"/>
    <w:rsid w:val="00367B77"/>
    <w:rsid w:val="0037531B"/>
    <w:rsid w:val="00376686"/>
    <w:rsid w:val="00381B2B"/>
    <w:rsid w:val="003933C1"/>
    <w:rsid w:val="00397DCB"/>
    <w:rsid w:val="003A0D94"/>
    <w:rsid w:val="003A2789"/>
    <w:rsid w:val="003A5C7D"/>
    <w:rsid w:val="003B04E6"/>
    <w:rsid w:val="003C08A5"/>
    <w:rsid w:val="003C302B"/>
    <w:rsid w:val="003C7A67"/>
    <w:rsid w:val="003D00EB"/>
    <w:rsid w:val="003D0544"/>
    <w:rsid w:val="003D190C"/>
    <w:rsid w:val="003D1BE9"/>
    <w:rsid w:val="003D3C7B"/>
    <w:rsid w:val="003D46EC"/>
    <w:rsid w:val="003D6ECC"/>
    <w:rsid w:val="003E0A52"/>
    <w:rsid w:val="003E5261"/>
    <w:rsid w:val="003F01F8"/>
    <w:rsid w:val="004061B5"/>
    <w:rsid w:val="0041539B"/>
    <w:rsid w:val="00422F03"/>
    <w:rsid w:val="00423A2F"/>
    <w:rsid w:val="00423A60"/>
    <w:rsid w:val="004255D7"/>
    <w:rsid w:val="00426DF8"/>
    <w:rsid w:val="00440039"/>
    <w:rsid w:val="00440719"/>
    <w:rsid w:val="00443744"/>
    <w:rsid w:val="00451AC7"/>
    <w:rsid w:val="00464167"/>
    <w:rsid w:val="00477D46"/>
    <w:rsid w:val="00482184"/>
    <w:rsid w:val="00483FFC"/>
    <w:rsid w:val="00486551"/>
    <w:rsid w:val="00494D36"/>
    <w:rsid w:val="00495B61"/>
    <w:rsid w:val="004977E0"/>
    <w:rsid w:val="004A3019"/>
    <w:rsid w:val="004A3AC3"/>
    <w:rsid w:val="004A3CA1"/>
    <w:rsid w:val="004B23AC"/>
    <w:rsid w:val="004C5637"/>
    <w:rsid w:val="004C5706"/>
    <w:rsid w:val="004D66DB"/>
    <w:rsid w:val="004E40D9"/>
    <w:rsid w:val="004E4373"/>
    <w:rsid w:val="0051508B"/>
    <w:rsid w:val="005259CA"/>
    <w:rsid w:val="0053215D"/>
    <w:rsid w:val="005323E0"/>
    <w:rsid w:val="005421A1"/>
    <w:rsid w:val="00543CE7"/>
    <w:rsid w:val="005441AF"/>
    <w:rsid w:val="00547DA3"/>
    <w:rsid w:val="005509CB"/>
    <w:rsid w:val="0055139B"/>
    <w:rsid w:val="00557123"/>
    <w:rsid w:val="00560D44"/>
    <w:rsid w:val="00564085"/>
    <w:rsid w:val="0056502C"/>
    <w:rsid w:val="005650A1"/>
    <w:rsid w:val="00571DDF"/>
    <w:rsid w:val="0057799A"/>
    <w:rsid w:val="0058126C"/>
    <w:rsid w:val="00581814"/>
    <w:rsid w:val="0059151F"/>
    <w:rsid w:val="0059758D"/>
    <w:rsid w:val="00597E3B"/>
    <w:rsid w:val="005A0DCF"/>
    <w:rsid w:val="005A3AF4"/>
    <w:rsid w:val="005A4690"/>
    <w:rsid w:val="005B2E5C"/>
    <w:rsid w:val="005D6FCA"/>
    <w:rsid w:val="005E44DE"/>
    <w:rsid w:val="005F09FE"/>
    <w:rsid w:val="005F15A8"/>
    <w:rsid w:val="005F297E"/>
    <w:rsid w:val="00610943"/>
    <w:rsid w:val="0062069E"/>
    <w:rsid w:val="00621B1E"/>
    <w:rsid w:val="00622649"/>
    <w:rsid w:val="00624E8D"/>
    <w:rsid w:val="00626B18"/>
    <w:rsid w:val="00634F22"/>
    <w:rsid w:val="006560A0"/>
    <w:rsid w:val="00660B4D"/>
    <w:rsid w:val="00664146"/>
    <w:rsid w:val="00665C66"/>
    <w:rsid w:val="00680531"/>
    <w:rsid w:val="00692744"/>
    <w:rsid w:val="00694BA6"/>
    <w:rsid w:val="006950C2"/>
    <w:rsid w:val="00696355"/>
    <w:rsid w:val="00697158"/>
    <w:rsid w:val="00697D98"/>
    <w:rsid w:val="006A023C"/>
    <w:rsid w:val="006A07F2"/>
    <w:rsid w:val="006A7F88"/>
    <w:rsid w:val="006B09BD"/>
    <w:rsid w:val="006B35FB"/>
    <w:rsid w:val="006C0809"/>
    <w:rsid w:val="006C150B"/>
    <w:rsid w:val="006C7385"/>
    <w:rsid w:val="006D3562"/>
    <w:rsid w:val="006D4125"/>
    <w:rsid w:val="006D7BC2"/>
    <w:rsid w:val="006E6483"/>
    <w:rsid w:val="007007C4"/>
    <w:rsid w:val="0070611D"/>
    <w:rsid w:val="00712E85"/>
    <w:rsid w:val="0071535A"/>
    <w:rsid w:val="00727901"/>
    <w:rsid w:val="007320C6"/>
    <w:rsid w:val="00733153"/>
    <w:rsid w:val="0075300A"/>
    <w:rsid w:val="00753457"/>
    <w:rsid w:val="00753BCF"/>
    <w:rsid w:val="00757A5E"/>
    <w:rsid w:val="0076011F"/>
    <w:rsid w:val="00774202"/>
    <w:rsid w:val="0077697B"/>
    <w:rsid w:val="00780099"/>
    <w:rsid w:val="00782C4F"/>
    <w:rsid w:val="007837B6"/>
    <w:rsid w:val="00783ADC"/>
    <w:rsid w:val="00784828"/>
    <w:rsid w:val="00787899"/>
    <w:rsid w:val="00790F1C"/>
    <w:rsid w:val="00794BBE"/>
    <w:rsid w:val="007A2207"/>
    <w:rsid w:val="007A6026"/>
    <w:rsid w:val="007B3761"/>
    <w:rsid w:val="007B3EF7"/>
    <w:rsid w:val="007B5D97"/>
    <w:rsid w:val="007C16EE"/>
    <w:rsid w:val="007C5C81"/>
    <w:rsid w:val="007D3352"/>
    <w:rsid w:val="007D43D0"/>
    <w:rsid w:val="007E1A68"/>
    <w:rsid w:val="007F644B"/>
    <w:rsid w:val="008112E5"/>
    <w:rsid w:val="0081260F"/>
    <w:rsid w:val="00813239"/>
    <w:rsid w:val="00821A1B"/>
    <w:rsid w:val="00827086"/>
    <w:rsid w:val="008270D5"/>
    <w:rsid w:val="00830647"/>
    <w:rsid w:val="0083646B"/>
    <w:rsid w:val="00840C30"/>
    <w:rsid w:val="00844865"/>
    <w:rsid w:val="00847651"/>
    <w:rsid w:val="00850789"/>
    <w:rsid w:val="00852D6B"/>
    <w:rsid w:val="00864CBB"/>
    <w:rsid w:val="00873C84"/>
    <w:rsid w:val="0087463C"/>
    <w:rsid w:val="008746F3"/>
    <w:rsid w:val="00880FDB"/>
    <w:rsid w:val="00884BD7"/>
    <w:rsid w:val="00890390"/>
    <w:rsid w:val="00892127"/>
    <w:rsid w:val="0089242C"/>
    <w:rsid w:val="008A2CB7"/>
    <w:rsid w:val="008D1682"/>
    <w:rsid w:val="008D5149"/>
    <w:rsid w:val="008D5E3A"/>
    <w:rsid w:val="008D7E8D"/>
    <w:rsid w:val="008E0757"/>
    <w:rsid w:val="008F1316"/>
    <w:rsid w:val="008F190C"/>
    <w:rsid w:val="008F4E84"/>
    <w:rsid w:val="008F5754"/>
    <w:rsid w:val="008F625E"/>
    <w:rsid w:val="00902CB6"/>
    <w:rsid w:val="00906E3D"/>
    <w:rsid w:val="00910CE3"/>
    <w:rsid w:val="00911B55"/>
    <w:rsid w:val="00911CA0"/>
    <w:rsid w:val="00923A35"/>
    <w:rsid w:val="009331D4"/>
    <w:rsid w:val="0093475B"/>
    <w:rsid w:val="00934C0E"/>
    <w:rsid w:val="00937F7A"/>
    <w:rsid w:val="00943DC2"/>
    <w:rsid w:val="009444B4"/>
    <w:rsid w:val="00945787"/>
    <w:rsid w:val="00956F80"/>
    <w:rsid w:val="00971871"/>
    <w:rsid w:val="00971BDF"/>
    <w:rsid w:val="00972A70"/>
    <w:rsid w:val="00974AE2"/>
    <w:rsid w:val="00976A49"/>
    <w:rsid w:val="009831A3"/>
    <w:rsid w:val="00985051"/>
    <w:rsid w:val="00996E05"/>
    <w:rsid w:val="0099782A"/>
    <w:rsid w:val="009A00A3"/>
    <w:rsid w:val="009A783E"/>
    <w:rsid w:val="009A7F00"/>
    <w:rsid w:val="009B2E21"/>
    <w:rsid w:val="009B4678"/>
    <w:rsid w:val="009B5786"/>
    <w:rsid w:val="009D7189"/>
    <w:rsid w:val="009D7ACA"/>
    <w:rsid w:val="009F179E"/>
    <w:rsid w:val="00A05B74"/>
    <w:rsid w:val="00A10DA1"/>
    <w:rsid w:val="00A15FE2"/>
    <w:rsid w:val="00A20FBF"/>
    <w:rsid w:val="00A23CF8"/>
    <w:rsid w:val="00A27665"/>
    <w:rsid w:val="00A32ACD"/>
    <w:rsid w:val="00A344D1"/>
    <w:rsid w:val="00A65809"/>
    <w:rsid w:val="00A65C0A"/>
    <w:rsid w:val="00A66E98"/>
    <w:rsid w:val="00A67C3C"/>
    <w:rsid w:val="00A703AA"/>
    <w:rsid w:val="00A71631"/>
    <w:rsid w:val="00A74308"/>
    <w:rsid w:val="00A923CB"/>
    <w:rsid w:val="00A93E17"/>
    <w:rsid w:val="00A95556"/>
    <w:rsid w:val="00A95E68"/>
    <w:rsid w:val="00A967EB"/>
    <w:rsid w:val="00A96A42"/>
    <w:rsid w:val="00A973C4"/>
    <w:rsid w:val="00AA6101"/>
    <w:rsid w:val="00AA7C64"/>
    <w:rsid w:val="00AB0B2F"/>
    <w:rsid w:val="00AC2923"/>
    <w:rsid w:val="00AC43E6"/>
    <w:rsid w:val="00AC7B96"/>
    <w:rsid w:val="00AD126F"/>
    <w:rsid w:val="00AD2472"/>
    <w:rsid w:val="00AD37F7"/>
    <w:rsid w:val="00AD4B5D"/>
    <w:rsid w:val="00AE5142"/>
    <w:rsid w:val="00AE67EE"/>
    <w:rsid w:val="00AE7382"/>
    <w:rsid w:val="00AF466C"/>
    <w:rsid w:val="00AF530B"/>
    <w:rsid w:val="00B0613F"/>
    <w:rsid w:val="00B06C73"/>
    <w:rsid w:val="00B10E18"/>
    <w:rsid w:val="00B201BB"/>
    <w:rsid w:val="00B25D40"/>
    <w:rsid w:val="00B42C95"/>
    <w:rsid w:val="00B6432D"/>
    <w:rsid w:val="00B65FCE"/>
    <w:rsid w:val="00B6750C"/>
    <w:rsid w:val="00B73576"/>
    <w:rsid w:val="00B77CAD"/>
    <w:rsid w:val="00B93114"/>
    <w:rsid w:val="00B933EF"/>
    <w:rsid w:val="00B963F8"/>
    <w:rsid w:val="00BA2AB6"/>
    <w:rsid w:val="00BB0914"/>
    <w:rsid w:val="00BB0BCF"/>
    <w:rsid w:val="00BB6F9B"/>
    <w:rsid w:val="00BC4037"/>
    <w:rsid w:val="00BD0685"/>
    <w:rsid w:val="00BD5928"/>
    <w:rsid w:val="00BE1CFB"/>
    <w:rsid w:val="00BF6C0D"/>
    <w:rsid w:val="00BF7C71"/>
    <w:rsid w:val="00C02E50"/>
    <w:rsid w:val="00C051EB"/>
    <w:rsid w:val="00C0577A"/>
    <w:rsid w:val="00C06278"/>
    <w:rsid w:val="00C07BA7"/>
    <w:rsid w:val="00C11A21"/>
    <w:rsid w:val="00C15190"/>
    <w:rsid w:val="00C171ED"/>
    <w:rsid w:val="00C177B2"/>
    <w:rsid w:val="00C177F5"/>
    <w:rsid w:val="00C24841"/>
    <w:rsid w:val="00C3682F"/>
    <w:rsid w:val="00C37882"/>
    <w:rsid w:val="00C4398B"/>
    <w:rsid w:val="00C43C2D"/>
    <w:rsid w:val="00C441D3"/>
    <w:rsid w:val="00C505C3"/>
    <w:rsid w:val="00C53DA4"/>
    <w:rsid w:val="00C54540"/>
    <w:rsid w:val="00C7346E"/>
    <w:rsid w:val="00C76695"/>
    <w:rsid w:val="00C85C3A"/>
    <w:rsid w:val="00C94D2D"/>
    <w:rsid w:val="00C95BEC"/>
    <w:rsid w:val="00C97F65"/>
    <w:rsid w:val="00CA4396"/>
    <w:rsid w:val="00CA7DFB"/>
    <w:rsid w:val="00CC260D"/>
    <w:rsid w:val="00CC39FD"/>
    <w:rsid w:val="00CC3A85"/>
    <w:rsid w:val="00CD02B4"/>
    <w:rsid w:val="00CD0DE8"/>
    <w:rsid w:val="00CD3510"/>
    <w:rsid w:val="00CD49D0"/>
    <w:rsid w:val="00CD514F"/>
    <w:rsid w:val="00CD6E84"/>
    <w:rsid w:val="00CD7830"/>
    <w:rsid w:val="00CE2965"/>
    <w:rsid w:val="00CE7016"/>
    <w:rsid w:val="00CF0B9B"/>
    <w:rsid w:val="00CF36D3"/>
    <w:rsid w:val="00CF763F"/>
    <w:rsid w:val="00D03297"/>
    <w:rsid w:val="00D0670E"/>
    <w:rsid w:val="00D10F48"/>
    <w:rsid w:val="00D132FC"/>
    <w:rsid w:val="00D17FF9"/>
    <w:rsid w:val="00D2042F"/>
    <w:rsid w:val="00D21A8D"/>
    <w:rsid w:val="00D22595"/>
    <w:rsid w:val="00D312C3"/>
    <w:rsid w:val="00D33AFF"/>
    <w:rsid w:val="00D371CD"/>
    <w:rsid w:val="00D3781B"/>
    <w:rsid w:val="00D46F1A"/>
    <w:rsid w:val="00D56ABF"/>
    <w:rsid w:val="00D6265A"/>
    <w:rsid w:val="00D67A99"/>
    <w:rsid w:val="00D73433"/>
    <w:rsid w:val="00D75C53"/>
    <w:rsid w:val="00D77A04"/>
    <w:rsid w:val="00D8076A"/>
    <w:rsid w:val="00D935FF"/>
    <w:rsid w:val="00D95942"/>
    <w:rsid w:val="00D95D83"/>
    <w:rsid w:val="00D97B42"/>
    <w:rsid w:val="00DB32DC"/>
    <w:rsid w:val="00DC74D4"/>
    <w:rsid w:val="00DC7F21"/>
    <w:rsid w:val="00DD7E48"/>
    <w:rsid w:val="00DD7F47"/>
    <w:rsid w:val="00DF49AE"/>
    <w:rsid w:val="00E00798"/>
    <w:rsid w:val="00E032E9"/>
    <w:rsid w:val="00E15843"/>
    <w:rsid w:val="00E15F4E"/>
    <w:rsid w:val="00E16B65"/>
    <w:rsid w:val="00E260D9"/>
    <w:rsid w:val="00E31391"/>
    <w:rsid w:val="00E31787"/>
    <w:rsid w:val="00E327C3"/>
    <w:rsid w:val="00E32D02"/>
    <w:rsid w:val="00E33F1E"/>
    <w:rsid w:val="00E44C6A"/>
    <w:rsid w:val="00E464D6"/>
    <w:rsid w:val="00E51082"/>
    <w:rsid w:val="00E62037"/>
    <w:rsid w:val="00E73DE2"/>
    <w:rsid w:val="00E81F33"/>
    <w:rsid w:val="00E840AE"/>
    <w:rsid w:val="00E8543B"/>
    <w:rsid w:val="00E87CA2"/>
    <w:rsid w:val="00E92E51"/>
    <w:rsid w:val="00EC0681"/>
    <w:rsid w:val="00EC5650"/>
    <w:rsid w:val="00EC7C8E"/>
    <w:rsid w:val="00ED1ADD"/>
    <w:rsid w:val="00ED36D1"/>
    <w:rsid w:val="00ED49F6"/>
    <w:rsid w:val="00ED6E43"/>
    <w:rsid w:val="00EE6F38"/>
    <w:rsid w:val="00EF7CDE"/>
    <w:rsid w:val="00F003DD"/>
    <w:rsid w:val="00F033A1"/>
    <w:rsid w:val="00F0494D"/>
    <w:rsid w:val="00F23D46"/>
    <w:rsid w:val="00F308A4"/>
    <w:rsid w:val="00F33026"/>
    <w:rsid w:val="00F3333D"/>
    <w:rsid w:val="00F33FD7"/>
    <w:rsid w:val="00F346F8"/>
    <w:rsid w:val="00F3742B"/>
    <w:rsid w:val="00F43E71"/>
    <w:rsid w:val="00F4545E"/>
    <w:rsid w:val="00F46661"/>
    <w:rsid w:val="00F572D6"/>
    <w:rsid w:val="00F612A3"/>
    <w:rsid w:val="00F63348"/>
    <w:rsid w:val="00F73F67"/>
    <w:rsid w:val="00F7733E"/>
    <w:rsid w:val="00F779C9"/>
    <w:rsid w:val="00F80F2B"/>
    <w:rsid w:val="00F85BDD"/>
    <w:rsid w:val="00F91EAD"/>
    <w:rsid w:val="00F92BD8"/>
    <w:rsid w:val="00FA04CD"/>
    <w:rsid w:val="00FA0B6A"/>
    <w:rsid w:val="00FA5F62"/>
    <w:rsid w:val="00FB19FA"/>
    <w:rsid w:val="00FB1C48"/>
    <w:rsid w:val="00FB20D7"/>
    <w:rsid w:val="00FB2D5C"/>
    <w:rsid w:val="00FB6F02"/>
    <w:rsid w:val="00FC0934"/>
    <w:rsid w:val="00FC362C"/>
    <w:rsid w:val="00FC3FDC"/>
    <w:rsid w:val="00FC6538"/>
    <w:rsid w:val="00FD4E3E"/>
    <w:rsid w:val="00FE0280"/>
    <w:rsid w:val="00FE0D98"/>
    <w:rsid w:val="00FE1229"/>
    <w:rsid w:val="00FE30BD"/>
    <w:rsid w:val="00FE312C"/>
    <w:rsid w:val="00FF5E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7BA10-A0D5-4489-81B5-2B81CCB0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3C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Title">
    <w:name w:val="Legal_Title"/>
    <w:basedOn w:val="Normal"/>
    <w:next w:val="Normal"/>
    <w:semiHidden/>
    <w:rsid w:val="00A973C4"/>
    <w:pPr>
      <w:keepNext/>
      <w:suppressAutoHyphens/>
      <w:spacing w:after="360" w:line="480" w:lineRule="auto"/>
      <w:jc w:val="center"/>
    </w:pPr>
    <w:rPr>
      <w:rFonts w:ascii="Arial" w:hAnsi="Arial"/>
      <w:b/>
      <w:caps/>
    </w:rPr>
  </w:style>
  <w:style w:type="paragraph" w:customStyle="1" w:styleId="LegalAnnexure">
    <w:name w:val="Legal_Annexure"/>
    <w:basedOn w:val="Normal"/>
    <w:next w:val="Normal"/>
    <w:semiHidden/>
    <w:rsid w:val="00A973C4"/>
    <w:pPr>
      <w:keepNext/>
      <w:suppressAutoHyphens/>
      <w:spacing w:after="360" w:line="480" w:lineRule="auto"/>
      <w:jc w:val="right"/>
    </w:pPr>
    <w:rPr>
      <w:rFonts w:ascii="Arial" w:hAnsi="Arial"/>
      <w:b/>
      <w:caps/>
    </w:rPr>
  </w:style>
  <w:style w:type="paragraph" w:styleId="FootnoteText">
    <w:name w:val="footnote text"/>
    <w:basedOn w:val="Normal"/>
    <w:link w:val="FootnoteTextChar"/>
    <w:uiPriority w:val="99"/>
    <w:semiHidden/>
    <w:unhideWhenUsed/>
    <w:rsid w:val="00E840AE"/>
    <w:rPr>
      <w:sz w:val="20"/>
      <w:szCs w:val="20"/>
    </w:rPr>
  </w:style>
  <w:style w:type="character" w:customStyle="1" w:styleId="FootnoteTextChar">
    <w:name w:val="Footnote Text Char"/>
    <w:basedOn w:val="DefaultParagraphFont"/>
    <w:link w:val="FootnoteText"/>
    <w:uiPriority w:val="99"/>
    <w:semiHidden/>
    <w:rsid w:val="00E840AE"/>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E840AE"/>
    <w:rPr>
      <w:vertAlign w:val="superscript"/>
    </w:rPr>
  </w:style>
  <w:style w:type="paragraph" w:styleId="ListParagraph">
    <w:name w:val="List Paragraph"/>
    <w:basedOn w:val="Normal"/>
    <w:uiPriority w:val="34"/>
    <w:qFormat/>
    <w:rsid w:val="00923A35"/>
    <w:pPr>
      <w:ind w:left="720"/>
      <w:contextualSpacing/>
    </w:pPr>
  </w:style>
  <w:style w:type="paragraph" w:styleId="NormalWeb">
    <w:name w:val="Normal (Web)"/>
    <w:basedOn w:val="Normal"/>
    <w:uiPriority w:val="99"/>
    <w:semiHidden/>
    <w:unhideWhenUsed/>
    <w:rsid w:val="00244AC9"/>
    <w:pPr>
      <w:spacing w:before="100" w:beforeAutospacing="1" w:after="100" w:afterAutospacing="1"/>
    </w:pPr>
    <w:rPr>
      <w:lang w:val="en-ZA" w:eastAsia="en-ZA"/>
    </w:rPr>
  </w:style>
  <w:style w:type="character" w:styleId="Hyperlink">
    <w:name w:val="Hyperlink"/>
    <w:basedOn w:val="DefaultParagraphFont"/>
    <w:uiPriority w:val="99"/>
    <w:semiHidden/>
    <w:unhideWhenUsed/>
    <w:rsid w:val="00244AC9"/>
    <w:rPr>
      <w:color w:val="0000FF"/>
      <w:u w:val="single"/>
    </w:rPr>
  </w:style>
  <w:style w:type="paragraph" w:styleId="BalloonText">
    <w:name w:val="Balloon Text"/>
    <w:basedOn w:val="Normal"/>
    <w:link w:val="BalloonTextChar"/>
    <w:uiPriority w:val="99"/>
    <w:semiHidden/>
    <w:unhideWhenUsed/>
    <w:rsid w:val="00571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DDF"/>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571DDF"/>
    <w:pPr>
      <w:tabs>
        <w:tab w:val="center" w:pos="4513"/>
        <w:tab w:val="right" w:pos="9026"/>
      </w:tabs>
    </w:pPr>
  </w:style>
  <w:style w:type="character" w:customStyle="1" w:styleId="HeaderChar">
    <w:name w:val="Header Char"/>
    <w:basedOn w:val="DefaultParagraphFont"/>
    <w:link w:val="Header"/>
    <w:uiPriority w:val="99"/>
    <w:rsid w:val="00571DD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71DDF"/>
    <w:pPr>
      <w:tabs>
        <w:tab w:val="center" w:pos="4513"/>
        <w:tab w:val="right" w:pos="9026"/>
      </w:tabs>
    </w:pPr>
  </w:style>
  <w:style w:type="character" w:customStyle="1" w:styleId="FooterChar">
    <w:name w:val="Footer Char"/>
    <w:basedOn w:val="DefaultParagraphFont"/>
    <w:link w:val="Footer"/>
    <w:uiPriority w:val="99"/>
    <w:rsid w:val="00571DDF"/>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6462">
      <w:bodyDiv w:val="1"/>
      <w:marLeft w:val="0"/>
      <w:marRight w:val="0"/>
      <w:marTop w:val="0"/>
      <w:marBottom w:val="0"/>
      <w:divBdr>
        <w:top w:val="none" w:sz="0" w:space="0" w:color="auto"/>
        <w:left w:val="none" w:sz="0" w:space="0" w:color="auto"/>
        <w:bottom w:val="none" w:sz="0" w:space="0" w:color="auto"/>
        <w:right w:val="none" w:sz="0" w:space="0" w:color="auto"/>
      </w:divBdr>
    </w:div>
    <w:div w:id="1428621839">
      <w:bodyDiv w:val="1"/>
      <w:marLeft w:val="0"/>
      <w:marRight w:val="0"/>
      <w:marTop w:val="0"/>
      <w:marBottom w:val="0"/>
      <w:divBdr>
        <w:top w:val="none" w:sz="0" w:space="0" w:color="auto"/>
        <w:left w:val="none" w:sz="0" w:space="0" w:color="auto"/>
        <w:bottom w:val="none" w:sz="0" w:space="0" w:color="auto"/>
        <w:right w:val="none" w:sz="0" w:space="0" w:color="auto"/>
      </w:divBdr>
    </w:div>
    <w:div w:id="1551765080">
      <w:bodyDiv w:val="1"/>
      <w:marLeft w:val="0"/>
      <w:marRight w:val="0"/>
      <w:marTop w:val="0"/>
      <w:marBottom w:val="0"/>
      <w:divBdr>
        <w:top w:val="none" w:sz="0" w:space="0" w:color="auto"/>
        <w:left w:val="none" w:sz="0" w:space="0" w:color="auto"/>
        <w:bottom w:val="none" w:sz="0" w:space="0" w:color="auto"/>
        <w:right w:val="none" w:sz="0" w:space="0" w:color="auto"/>
      </w:divBdr>
      <w:divsChild>
        <w:div w:id="1763329791">
          <w:marLeft w:val="0"/>
          <w:marRight w:val="0"/>
          <w:marTop w:val="120"/>
          <w:marBottom w:val="0"/>
          <w:divBdr>
            <w:top w:val="none" w:sz="0" w:space="0" w:color="auto"/>
            <w:left w:val="none" w:sz="0" w:space="0" w:color="auto"/>
            <w:bottom w:val="none" w:sz="0" w:space="0" w:color="auto"/>
            <w:right w:val="none" w:sz="0" w:space="0" w:color="auto"/>
          </w:divBdr>
        </w:div>
        <w:div w:id="1079979386">
          <w:marLeft w:val="0"/>
          <w:marRight w:val="0"/>
          <w:marTop w:val="120"/>
          <w:marBottom w:val="0"/>
          <w:divBdr>
            <w:top w:val="none" w:sz="0" w:space="0" w:color="auto"/>
            <w:left w:val="none" w:sz="0" w:space="0" w:color="auto"/>
            <w:bottom w:val="none" w:sz="0" w:space="0" w:color="auto"/>
            <w:right w:val="none" w:sz="0" w:space="0" w:color="auto"/>
          </w:divBdr>
        </w:div>
        <w:div w:id="901986659">
          <w:marLeft w:val="0"/>
          <w:marRight w:val="0"/>
          <w:marTop w:val="120"/>
          <w:marBottom w:val="0"/>
          <w:divBdr>
            <w:top w:val="none" w:sz="0" w:space="0" w:color="auto"/>
            <w:left w:val="none" w:sz="0" w:space="0" w:color="auto"/>
            <w:bottom w:val="none" w:sz="0" w:space="0" w:color="auto"/>
            <w:right w:val="none" w:sz="0" w:space="0" w:color="auto"/>
          </w:divBdr>
        </w:div>
        <w:div w:id="866212740">
          <w:marLeft w:val="0"/>
          <w:marRight w:val="0"/>
          <w:marTop w:val="120"/>
          <w:marBottom w:val="0"/>
          <w:divBdr>
            <w:top w:val="none" w:sz="0" w:space="0" w:color="auto"/>
            <w:left w:val="none" w:sz="0" w:space="0" w:color="auto"/>
            <w:bottom w:val="none" w:sz="0" w:space="0" w:color="auto"/>
            <w:right w:val="none" w:sz="0" w:space="0" w:color="auto"/>
          </w:divBdr>
        </w:div>
        <w:div w:id="2006205928">
          <w:marLeft w:val="0"/>
          <w:marRight w:val="0"/>
          <w:marTop w:val="240"/>
          <w:marBottom w:val="24"/>
          <w:divBdr>
            <w:top w:val="single" w:sz="8" w:space="2" w:color="808080"/>
            <w:left w:val="none" w:sz="0" w:space="0" w:color="auto"/>
            <w:bottom w:val="none" w:sz="0" w:space="0" w:color="auto"/>
            <w:right w:val="none" w:sz="0" w:space="0" w:color="auto"/>
          </w:divBdr>
        </w:div>
        <w:div w:id="1977295452">
          <w:marLeft w:val="0"/>
          <w:marRight w:val="0"/>
          <w:marTop w:val="120"/>
          <w:marBottom w:val="0"/>
          <w:divBdr>
            <w:top w:val="none" w:sz="0" w:space="0" w:color="auto"/>
            <w:left w:val="none" w:sz="0" w:space="0" w:color="auto"/>
            <w:bottom w:val="none" w:sz="0" w:space="0" w:color="auto"/>
            <w:right w:val="none" w:sz="0" w:space="0" w:color="auto"/>
          </w:divBdr>
        </w:div>
        <w:div w:id="8435925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BC427-08C6-4CF5-B841-195E2B71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Bruce</cp:lastModifiedBy>
  <cp:revision>15</cp:revision>
  <cp:lastPrinted>2022-09-08T09:17:00Z</cp:lastPrinted>
  <dcterms:created xsi:type="dcterms:W3CDTF">2022-09-08T06:23:00Z</dcterms:created>
  <dcterms:modified xsi:type="dcterms:W3CDTF">2022-10-26T12:08:00Z</dcterms:modified>
</cp:coreProperties>
</file>