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bookmarkStart w:id="0" w:name="_GoBack"/>
      <w:bookmarkEnd w:id="0"/>
      <w:r>
        <w:rPr>
          <w:noProof/>
        </w:rPr>
        <w:drawing>
          <wp:inline distT="0" distB="0" distL="0" distR="0" wp14:anchorId="6B5B6C71" wp14:editId="7C72EDB2">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14:paraId="1D01E514" w14:textId="2FB9206C"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350B431D" w14:textId="2423D79F" w:rsidR="00C519B2" w:rsidRPr="00E12A80" w:rsidRDefault="00B50E11" w:rsidP="00E12A80">
      <w:pPr>
        <w:pStyle w:val="Body"/>
        <w:jc w:val="center"/>
        <w:rPr>
          <w:rFonts w:cs="Arial"/>
          <w:b/>
          <w:bCs/>
          <w:sz w:val="24"/>
          <w:szCs w:val="24"/>
          <w:u w:val="single"/>
        </w:rPr>
      </w:pPr>
      <w:r w:rsidRPr="0031449E">
        <w:rPr>
          <w:rFonts w:cs="Arial"/>
          <w:b/>
          <w:bCs/>
          <w:sz w:val="24"/>
          <w:szCs w:val="24"/>
          <w:u w:val="single"/>
          <w:lang w:val="de-DE"/>
        </w:rPr>
        <w:t>(GAUTENG DIVISION, PRETORIA)</w:t>
      </w:r>
      <w:r w:rsidR="00E331B6">
        <w:rPr>
          <w:rFonts w:cs="Arial"/>
          <w:b/>
          <w:bCs/>
          <w:sz w:val="24"/>
          <w:szCs w:val="24"/>
          <w:u w:val="single"/>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tblGrid>
      <w:tr w:rsidR="00C519B2" w:rsidRPr="004164F3" w14:paraId="7564B942" w14:textId="77777777" w:rsidTr="00C1227A">
        <w:trPr>
          <w:trHeight w:val="1849"/>
        </w:trPr>
        <w:tc>
          <w:tcPr>
            <w:tcW w:w="386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1E9C597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9B3D4B">
              <w:rPr>
                <w:rFonts w:ascii="Arial Unicode MS" w:eastAsia="Arial Unicode MS" w:hAnsi="Arial Unicode MS" w:cs="Arial Unicode MS"/>
                <w:strike/>
                <w:sz w:val="16"/>
                <w:szCs w:val="16"/>
              </w:rPr>
              <w:t>YE</w:t>
            </w:r>
            <w:r w:rsidR="009B3D4B" w:rsidRPr="009B3D4B">
              <w:rPr>
                <w:rFonts w:ascii="Arial Unicode MS" w:eastAsia="Arial Unicode MS" w:hAnsi="Arial Unicode MS" w:cs="Arial Unicode MS"/>
                <w:strike/>
                <w:sz w:val="16"/>
                <w:szCs w:val="16"/>
              </w:rPr>
              <w:t>S</w:t>
            </w:r>
            <w:r w:rsidRPr="009B3D4B">
              <w:rPr>
                <w:rFonts w:ascii="Arial Unicode MS" w:eastAsia="Arial Unicode MS" w:hAnsi="Arial Unicode MS" w:cs="Arial Unicode MS"/>
                <w:sz w:val="16"/>
                <w:szCs w:val="16"/>
              </w:rPr>
              <w:t>/</w:t>
            </w:r>
            <w:r w:rsidRPr="009B3D4B">
              <w:rPr>
                <w:rFonts w:ascii="Arial Unicode MS" w:eastAsia="Arial Unicode MS" w:hAnsi="Arial Unicode MS" w:cs="Arial Unicode MS"/>
                <w:b/>
                <w:bCs/>
                <w:sz w:val="16"/>
                <w:szCs w:val="16"/>
              </w:rPr>
              <w:t>NO</w:t>
            </w:r>
          </w:p>
          <w:p w14:paraId="528A128C" w14:textId="7CB85296"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E87C23" w:rsidRPr="000E55BD">
              <w:rPr>
                <w:rFonts w:ascii="Arial Unicode MS" w:eastAsia="Arial Unicode MS" w:hAnsi="Arial Unicode MS" w:cs="Arial Unicode MS"/>
                <w:b/>
                <w:bCs/>
                <w:sz w:val="16"/>
                <w:szCs w:val="16"/>
              </w:rPr>
              <w:t xml:space="preserve"> </w:t>
            </w:r>
            <w:r w:rsidRPr="009B3D4B">
              <w:rPr>
                <w:rFonts w:ascii="Arial Unicode MS" w:eastAsia="Arial Unicode MS" w:hAnsi="Arial Unicode MS" w:cs="Arial Unicode MS"/>
                <w:strike/>
                <w:sz w:val="16"/>
                <w:szCs w:val="16"/>
              </w:rPr>
              <w:t>YES</w:t>
            </w:r>
            <w:r w:rsidRPr="009B3D4B">
              <w:rPr>
                <w:rFonts w:ascii="Arial Unicode MS" w:eastAsia="Arial Unicode MS" w:hAnsi="Arial Unicode MS" w:cs="Arial Unicode MS"/>
                <w:sz w:val="16"/>
                <w:szCs w:val="16"/>
              </w:rPr>
              <w:t>/</w:t>
            </w:r>
            <w:r w:rsidRPr="009B3D4B">
              <w:rPr>
                <w:rFonts w:ascii="Arial Unicode MS" w:eastAsia="Arial Unicode MS" w:hAnsi="Arial Unicode MS" w:cs="Arial Unicode MS"/>
                <w:b/>
                <w:bCs/>
                <w:sz w:val="16"/>
                <w:szCs w:val="16"/>
              </w:rPr>
              <w:t>NO</w:t>
            </w:r>
          </w:p>
          <w:p w14:paraId="15F66332" w14:textId="1D86D62C"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E55BD">
              <w:rPr>
                <w:rFonts w:ascii="Arial Unicode MS" w:eastAsia="Arial Unicode MS" w:hAnsi="Arial Unicode MS" w:cs="Arial Unicode MS"/>
                <w:sz w:val="16"/>
                <w:szCs w:val="16"/>
              </w:rPr>
              <w:t xml:space="preserve">: </w:t>
            </w:r>
            <w:r w:rsidR="00080330" w:rsidRPr="00080330">
              <w:rPr>
                <w:rFonts w:ascii="Arial Unicode MS" w:eastAsia="Arial Unicode MS" w:hAnsi="Arial Unicode MS" w:cs="Arial Unicode MS"/>
                <w:b/>
                <w:bCs/>
                <w:sz w:val="16"/>
                <w:szCs w:val="16"/>
              </w:rPr>
              <w:t>NO</w:t>
            </w:r>
          </w:p>
          <w:p w14:paraId="284842F1" w14:textId="40568A5F" w:rsidR="00C519B2"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9D29E3" w:rsidRPr="009D29E3">
              <w:rPr>
                <w:rFonts w:ascii="Arial" w:eastAsia="Arial Unicode MS" w:hAnsi="Arial" w:cs="Arial"/>
                <w:b/>
                <w:bCs/>
                <w:sz w:val="20"/>
                <w:szCs w:val="20"/>
              </w:rPr>
              <w:t>1</w:t>
            </w:r>
            <w:r w:rsidR="00AD7C32">
              <w:rPr>
                <w:rFonts w:ascii="Arial" w:eastAsia="Arial Unicode MS" w:hAnsi="Arial" w:cs="Arial"/>
                <w:b/>
                <w:bCs/>
                <w:sz w:val="20"/>
                <w:szCs w:val="20"/>
              </w:rPr>
              <w:t>7</w:t>
            </w:r>
            <w:r w:rsidR="009D29E3" w:rsidRPr="009D29E3">
              <w:rPr>
                <w:rFonts w:ascii="Arial" w:eastAsia="Arial Unicode MS" w:hAnsi="Arial" w:cs="Arial"/>
                <w:b/>
                <w:bCs/>
                <w:sz w:val="20"/>
                <w:szCs w:val="20"/>
              </w:rPr>
              <w:t xml:space="preserve"> </w:t>
            </w:r>
            <w:r w:rsidR="0050250E" w:rsidRPr="009D29E3">
              <w:rPr>
                <w:rFonts w:ascii="Arial" w:eastAsia="Arial Unicode MS" w:hAnsi="Arial" w:cs="Arial"/>
                <w:b/>
                <w:bCs/>
                <w:sz w:val="20"/>
                <w:szCs w:val="20"/>
              </w:rPr>
              <w:t>NOVEMBER</w:t>
            </w:r>
            <w:r w:rsidR="00E87C23" w:rsidRPr="009D29E3">
              <w:rPr>
                <w:rFonts w:ascii="Arial" w:eastAsia="Arial Unicode MS" w:hAnsi="Arial" w:cs="Arial"/>
                <w:b/>
                <w:bCs/>
                <w:sz w:val="20"/>
                <w:szCs w:val="20"/>
              </w:rPr>
              <w:t xml:space="preserve"> 2022</w:t>
            </w:r>
          </w:p>
          <w:p w14:paraId="0499F4D1" w14:textId="77777777" w:rsidR="00E965B7" w:rsidRDefault="00E965B7" w:rsidP="00C64B6A">
            <w:pPr>
              <w:rPr>
                <w:rFonts w:ascii="Arial Unicode MS" w:eastAsia="Arial Unicode MS" w:hAnsi="Arial Unicode MS" w:cs="Arial Unicode MS"/>
                <w:sz w:val="16"/>
                <w:szCs w:val="16"/>
              </w:rPr>
            </w:pPr>
          </w:p>
          <w:p w14:paraId="773CDFDB" w14:textId="38B14B13"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r>
          </w:p>
        </w:tc>
      </w:tr>
    </w:tbl>
    <w:p w14:paraId="36888862" w14:textId="77777777" w:rsidR="0052011D" w:rsidRDefault="0052011D" w:rsidP="00C1227A">
      <w:pPr>
        <w:pStyle w:val="Body"/>
        <w:jc w:val="right"/>
        <w:outlineLvl w:val="0"/>
        <w:rPr>
          <w:rFonts w:cs="Arial"/>
          <w:sz w:val="24"/>
          <w:szCs w:val="24"/>
        </w:rPr>
      </w:pPr>
    </w:p>
    <w:p w14:paraId="46E43E32" w14:textId="4FD4ECAD" w:rsidR="00B50E11" w:rsidRPr="0031449E" w:rsidRDefault="00B50E11" w:rsidP="00C1227A">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765BC3">
        <w:rPr>
          <w:rFonts w:cs="Arial"/>
          <w:b/>
          <w:bCs/>
          <w:sz w:val="24"/>
          <w:szCs w:val="24"/>
        </w:rPr>
        <w:t>64288/2021</w: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795"/>
        <w:gridCol w:w="142"/>
      </w:tblGrid>
      <w:tr w:rsidR="00B50E11" w:rsidRPr="0031449E" w14:paraId="22698168" w14:textId="77777777" w:rsidTr="00260F2D">
        <w:trPr>
          <w:gridAfter w:val="1"/>
          <w:wAfter w:w="142" w:type="dxa"/>
        </w:trPr>
        <w:tc>
          <w:tcPr>
            <w:tcW w:w="6550" w:type="dxa"/>
          </w:tcPr>
          <w:p w14:paraId="3D32D802" w14:textId="77777777" w:rsidR="00B50E11" w:rsidRPr="0031449E" w:rsidRDefault="00B50E11" w:rsidP="00E12A80">
            <w:pPr>
              <w:pStyle w:val="Body"/>
              <w:spacing w:before="240" w:after="240" w:line="360" w:lineRule="auto"/>
              <w:jc w:val="both"/>
              <w:rPr>
                <w:rFonts w:cs="Arial"/>
                <w:sz w:val="24"/>
                <w:szCs w:val="24"/>
              </w:rPr>
            </w:pPr>
            <w:r w:rsidRPr="0031449E">
              <w:rPr>
                <w:rFonts w:cs="Arial"/>
                <w:sz w:val="24"/>
                <w:szCs w:val="24"/>
              </w:rPr>
              <w:t>In the matter between:</w:t>
            </w:r>
          </w:p>
        </w:tc>
        <w:tc>
          <w:tcPr>
            <w:tcW w:w="2795" w:type="dxa"/>
          </w:tcPr>
          <w:p w14:paraId="6295A861" w14:textId="77777777" w:rsidR="00B50E11" w:rsidRPr="0031449E"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sz w:val="24"/>
                <w:szCs w:val="24"/>
              </w:rPr>
            </w:pPr>
          </w:p>
        </w:tc>
      </w:tr>
      <w:tr w:rsidR="00B50E11" w:rsidRPr="0031449E" w14:paraId="4638A8A4" w14:textId="77777777" w:rsidTr="00260F2D">
        <w:trPr>
          <w:gridAfter w:val="1"/>
          <w:wAfter w:w="142" w:type="dxa"/>
          <w:trHeight w:val="1045"/>
        </w:trPr>
        <w:tc>
          <w:tcPr>
            <w:tcW w:w="6550" w:type="dxa"/>
          </w:tcPr>
          <w:p w14:paraId="548AA6FE" w14:textId="1108E079" w:rsidR="007F7FED" w:rsidRPr="00E55C66" w:rsidRDefault="00765BC3"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cs="Arial"/>
                <w:b/>
                <w:bCs/>
                <w:sz w:val="24"/>
                <w:szCs w:val="24"/>
              </w:rPr>
            </w:pPr>
            <w:r>
              <w:rPr>
                <w:rFonts w:cs="Arial"/>
                <w:b/>
                <w:bCs/>
                <w:sz w:val="24"/>
                <w:szCs w:val="24"/>
              </w:rPr>
              <w:t>BABCOCK NTUTHUKO ENGINEERING</w:t>
            </w:r>
            <w:r w:rsidR="00E55C66" w:rsidRPr="00E55C66">
              <w:rPr>
                <w:rFonts w:cs="Arial"/>
                <w:b/>
                <w:bCs/>
                <w:sz w:val="24"/>
                <w:szCs w:val="24"/>
              </w:rPr>
              <w:t xml:space="preserve"> </w:t>
            </w:r>
            <w:r>
              <w:rPr>
                <w:rFonts w:cs="Arial"/>
                <w:b/>
                <w:bCs/>
                <w:sz w:val="24"/>
                <w:szCs w:val="24"/>
              </w:rPr>
              <w:t>(PTY) LTD</w:t>
            </w:r>
          </w:p>
        </w:tc>
        <w:tc>
          <w:tcPr>
            <w:tcW w:w="2795" w:type="dxa"/>
          </w:tcPr>
          <w:p w14:paraId="263479FD" w14:textId="5A3CEB06" w:rsidR="00B50E11" w:rsidRPr="0031449E" w:rsidRDefault="000218AC"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A</w:t>
            </w:r>
            <w:r w:rsidR="00F867F4">
              <w:rPr>
                <w:rFonts w:cs="Arial"/>
                <w:b/>
                <w:sz w:val="24"/>
                <w:szCs w:val="24"/>
              </w:rPr>
              <w:t>pplicant</w:t>
            </w:r>
          </w:p>
        </w:tc>
      </w:tr>
      <w:tr w:rsidR="00B50E11" w:rsidRPr="0031449E" w14:paraId="2DE3831D" w14:textId="77777777" w:rsidTr="00260F2D">
        <w:trPr>
          <w:gridAfter w:val="1"/>
          <w:wAfter w:w="142" w:type="dxa"/>
        </w:trPr>
        <w:tc>
          <w:tcPr>
            <w:tcW w:w="6550" w:type="dxa"/>
          </w:tcPr>
          <w:p w14:paraId="52E06D21" w14:textId="65F278A7" w:rsidR="00B50E11" w:rsidRPr="0031449E" w:rsidRDefault="00416EA1" w:rsidP="00E12A80">
            <w:pPr>
              <w:pStyle w:val="Body"/>
              <w:spacing w:before="240" w:after="240"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2795" w:type="dxa"/>
          </w:tcPr>
          <w:p w14:paraId="06C77BC2" w14:textId="032FD205" w:rsidR="00B50E11" w:rsidRPr="0031449E"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p>
        </w:tc>
      </w:tr>
      <w:tr w:rsidR="00B50E11" w:rsidRPr="0031449E" w14:paraId="4829D036" w14:textId="77777777" w:rsidTr="00260F2D">
        <w:trPr>
          <w:gridAfter w:val="1"/>
          <w:wAfter w:w="142" w:type="dxa"/>
        </w:trPr>
        <w:tc>
          <w:tcPr>
            <w:tcW w:w="6550" w:type="dxa"/>
          </w:tcPr>
          <w:p w14:paraId="3ACBB1CA" w14:textId="07CF182A" w:rsidR="00B50E11" w:rsidRPr="00DA7A8D" w:rsidRDefault="00765BC3"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right="-405"/>
              <w:jc w:val="both"/>
              <w:rPr>
                <w:rFonts w:cs="Arial"/>
                <w:b/>
                <w:bCs/>
                <w:sz w:val="24"/>
                <w:szCs w:val="24"/>
                <w:lang w:val="de-DE"/>
              </w:rPr>
            </w:pPr>
            <w:r>
              <w:rPr>
                <w:rFonts w:cs="Arial"/>
                <w:b/>
                <w:bCs/>
                <w:sz w:val="24"/>
                <w:szCs w:val="24"/>
                <w:lang w:val="de-DE"/>
              </w:rPr>
              <w:t>ESKOM HOLDINGS SOC LIMITED</w:t>
            </w:r>
          </w:p>
        </w:tc>
        <w:tc>
          <w:tcPr>
            <w:tcW w:w="2795" w:type="dxa"/>
          </w:tcPr>
          <w:p w14:paraId="7853F6A3" w14:textId="699E3D31" w:rsidR="00B50E11" w:rsidRPr="0031449E" w:rsidRDefault="002A3982"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1</w:t>
            </w:r>
            <w:r w:rsidR="00621654" w:rsidRPr="002A3982">
              <w:rPr>
                <w:rFonts w:cs="Arial"/>
                <w:b/>
                <w:sz w:val="24"/>
                <w:szCs w:val="24"/>
                <w:vertAlign w:val="superscript"/>
              </w:rPr>
              <w:t>ST</w:t>
            </w:r>
            <w:r w:rsidR="00621654">
              <w:rPr>
                <w:rFonts w:cs="Arial"/>
                <w:b/>
                <w:sz w:val="24"/>
                <w:szCs w:val="24"/>
              </w:rPr>
              <w:t xml:space="preserve"> R</w:t>
            </w:r>
            <w:r w:rsidR="00F867F4">
              <w:rPr>
                <w:rFonts w:cs="Arial"/>
                <w:b/>
                <w:sz w:val="24"/>
                <w:szCs w:val="24"/>
              </w:rPr>
              <w:t>espondent</w:t>
            </w:r>
          </w:p>
        </w:tc>
      </w:tr>
      <w:tr w:rsidR="0027008F" w:rsidRPr="0031449E" w14:paraId="0432C152" w14:textId="77777777" w:rsidTr="00260F2D">
        <w:trPr>
          <w:gridAfter w:val="1"/>
          <w:wAfter w:w="142" w:type="dxa"/>
        </w:trPr>
        <w:tc>
          <w:tcPr>
            <w:tcW w:w="6550" w:type="dxa"/>
          </w:tcPr>
          <w:p w14:paraId="7F45D086" w14:textId="1AD97CD1" w:rsidR="0027008F" w:rsidRDefault="00765BC3"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ACTOM (PTY) LTD</w:t>
            </w:r>
            <w:r w:rsidR="00660826">
              <w:rPr>
                <w:rFonts w:cs="Arial"/>
                <w:b/>
                <w:bCs/>
                <w:sz w:val="24"/>
                <w:szCs w:val="24"/>
                <w:lang w:val="de-DE"/>
              </w:rPr>
              <w:t xml:space="preserve"> </w:t>
            </w:r>
          </w:p>
        </w:tc>
        <w:tc>
          <w:tcPr>
            <w:tcW w:w="2795" w:type="dxa"/>
          </w:tcPr>
          <w:p w14:paraId="345D8E8F" w14:textId="393E9847" w:rsidR="0027008F" w:rsidRDefault="002A3982"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2</w:t>
            </w:r>
            <w:r w:rsidR="00621654" w:rsidRPr="002A3982">
              <w:rPr>
                <w:rFonts w:cs="Arial"/>
                <w:b/>
                <w:sz w:val="24"/>
                <w:szCs w:val="24"/>
                <w:vertAlign w:val="superscript"/>
              </w:rPr>
              <w:t>ND</w:t>
            </w:r>
            <w:r w:rsidR="00621654">
              <w:rPr>
                <w:rFonts w:cs="Arial"/>
                <w:b/>
                <w:sz w:val="24"/>
                <w:szCs w:val="24"/>
              </w:rPr>
              <w:t xml:space="preserve"> R</w:t>
            </w:r>
            <w:r w:rsidR="00F867F4">
              <w:rPr>
                <w:rFonts w:cs="Arial"/>
                <w:b/>
                <w:sz w:val="24"/>
                <w:szCs w:val="24"/>
              </w:rPr>
              <w:t>espondent</w:t>
            </w:r>
          </w:p>
        </w:tc>
      </w:tr>
      <w:tr w:rsidR="002A3982" w:rsidRPr="0031449E" w14:paraId="2CABC4E3" w14:textId="77777777" w:rsidTr="00260F2D">
        <w:trPr>
          <w:gridAfter w:val="1"/>
          <w:wAfter w:w="142" w:type="dxa"/>
        </w:trPr>
        <w:tc>
          <w:tcPr>
            <w:tcW w:w="6550" w:type="dxa"/>
          </w:tcPr>
          <w:p w14:paraId="731E5175" w14:textId="4C08C6F0" w:rsidR="00660826" w:rsidRDefault="00765BC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STEINMULLER AFRICA (PTY) LTD</w:t>
            </w:r>
          </w:p>
        </w:tc>
        <w:tc>
          <w:tcPr>
            <w:tcW w:w="2795" w:type="dxa"/>
          </w:tcPr>
          <w:p w14:paraId="6D27D88F" w14:textId="4AE8F65D" w:rsidR="002A3982" w:rsidRDefault="00E12A80"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3</w:t>
            </w:r>
            <w:r w:rsidRPr="00E12A80">
              <w:rPr>
                <w:rFonts w:cs="Arial"/>
                <w:b/>
                <w:sz w:val="24"/>
                <w:szCs w:val="24"/>
                <w:vertAlign w:val="superscript"/>
              </w:rPr>
              <w:t>RD</w:t>
            </w:r>
            <w:r>
              <w:rPr>
                <w:rFonts w:cs="Arial"/>
                <w:b/>
                <w:sz w:val="24"/>
                <w:szCs w:val="24"/>
              </w:rPr>
              <w:t xml:space="preserve"> R</w:t>
            </w:r>
            <w:r w:rsidR="00F867F4">
              <w:rPr>
                <w:rFonts w:cs="Arial"/>
                <w:b/>
                <w:sz w:val="24"/>
                <w:szCs w:val="24"/>
              </w:rPr>
              <w:t>espondent</w:t>
            </w:r>
          </w:p>
        </w:tc>
      </w:tr>
      <w:tr w:rsidR="00260F2D" w:rsidRPr="00665EC9" w14:paraId="58735F72" w14:textId="77777777" w:rsidTr="00260F2D">
        <w:trPr>
          <w:trHeight w:val="1045"/>
        </w:trPr>
        <w:tc>
          <w:tcPr>
            <w:tcW w:w="9487" w:type="dxa"/>
            <w:gridSpan w:val="3"/>
          </w:tcPr>
          <w:p w14:paraId="3DC19059" w14:textId="6FCABD81" w:rsidR="00260F2D" w:rsidRPr="00665EC9" w:rsidRDefault="00260F2D" w:rsidP="00520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665EC9">
              <w:rPr>
                <w:rFonts w:ascii="Arial" w:hAnsi="Arial" w:cs="Arial"/>
                <w:b/>
                <w:bCs/>
              </w:rPr>
              <w:lastRenderedPageBreak/>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482"/>
            </w:tblGrid>
            <w:tr w:rsidR="00260F2D" w:rsidRPr="00665EC9" w14:paraId="1B2970AA" w14:textId="77777777" w:rsidTr="0063569A">
              <w:tc>
                <w:tcPr>
                  <w:tcW w:w="1790" w:type="dxa"/>
                </w:tcPr>
                <w:p w14:paraId="45CB6FFD" w14:textId="77777777"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28940598" w14:textId="68144A2E" w:rsidR="00260F2D" w:rsidRPr="005D1D30" w:rsidRDefault="00260F2D" w:rsidP="0063569A">
                  <w:pPr>
                    <w:tabs>
                      <w:tab w:val="left" w:pos="1417"/>
                    </w:tabs>
                    <w:spacing w:after="120" w:line="276"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51A75309" w14:textId="77777777"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14:paraId="2CF55DA0" w14:textId="77777777" w:rsidTr="0063569A">
              <w:tc>
                <w:tcPr>
                  <w:tcW w:w="1790" w:type="dxa"/>
                </w:tcPr>
                <w:p w14:paraId="1FD3EEEB" w14:textId="77777777"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14:paraId="208179F3" w14:textId="3C713BF3" w:rsidR="00260F2D" w:rsidRPr="005D1D30" w:rsidRDefault="008E2CA8" w:rsidP="0063569A">
                  <w:pP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11</w:t>
                  </w:r>
                  <w:r w:rsidR="00260F2D">
                    <w:rPr>
                      <w:rFonts w:ascii="Arial" w:eastAsia="Times New Roman" w:hAnsi="Arial" w:cs="Arial"/>
                      <w:color w:val="000000"/>
                      <w:sz w:val="24"/>
                      <w:szCs w:val="24"/>
                      <w:lang w:val="en-ZA"/>
                    </w:rPr>
                    <w:t xml:space="preserve"> October</w:t>
                  </w:r>
                  <w:r w:rsidR="00260F2D" w:rsidRPr="005D1D30">
                    <w:rPr>
                      <w:rFonts w:ascii="Arial" w:eastAsia="Times New Roman" w:hAnsi="Arial" w:cs="Arial"/>
                      <w:color w:val="000000"/>
                      <w:sz w:val="24"/>
                      <w:szCs w:val="24"/>
                      <w:lang w:val="en-ZA"/>
                    </w:rPr>
                    <w:t xml:space="preserve"> 2022 </w:t>
                  </w:r>
                </w:p>
                <w:p w14:paraId="22302B2F" w14:textId="77777777"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14:paraId="2291878F" w14:textId="77777777" w:rsidTr="0063569A">
              <w:trPr>
                <w:trHeight w:val="60"/>
              </w:trPr>
              <w:tc>
                <w:tcPr>
                  <w:tcW w:w="1790" w:type="dxa"/>
                </w:tcPr>
                <w:p w14:paraId="5C159BC4" w14:textId="77777777" w:rsidR="00260F2D" w:rsidRPr="005D1D30"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44058379" w14:textId="6C1F75C0" w:rsidR="00260F2D" w:rsidRPr="00385E64" w:rsidRDefault="009D29E3" w:rsidP="0063569A">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1</w:t>
                  </w:r>
                  <w:r w:rsidR="00AD7C32">
                    <w:rPr>
                      <w:rFonts w:ascii="Arial" w:eastAsia="Times New Roman" w:hAnsi="Arial" w:cs="Arial"/>
                      <w:color w:val="000000"/>
                      <w:sz w:val="24"/>
                      <w:szCs w:val="24"/>
                      <w:lang w:val="en-ZA"/>
                    </w:rPr>
                    <w:t>7</w:t>
                  </w:r>
                  <w:r>
                    <w:rPr>
                      <w:rFonts w:ascii="Arial" w:eastAsia="Times New Roman" w:hAnsi="Arial" w:cs="Arial"/>
                      <w:color w:val="000000"/>
                      <w:sz w:val="24"/>
                      <w:szCs w:val="24"/>
                      <w:lang w:val="en-ZA"/>
                    </w:rPr>
                    <w:t xml:space="preserve"> </w:t>
                  </w:r>
                  <w:r w:rsidR="00260F2D">
                    <w:rPr>
                      <w:rFonts w:ascii="Arial" w:eastAsia="Times New Roman" w:hAnsi="Arial" w:cs="Arial"/>
                      <w:color w:val="000000"/>
                      <w:sz w:val="24"/>
                      <w:szCs w:val="24"/>
                      <w:lang w:val="en-ZA"/>
                    </w:rPr>
                    <w:t>November</w:t>
                  </w:r>
                  <w:r w:rsidR="00260F2D" w:rsidRPr="005D1D30">
                    <w:rPr>
                      <w:rFonts w:ascii="Arial" w:eastAsia="Times New Roman" w:hAnsi="Arial" w:cs="Arial"/>
                      <w:color w:val="000000"/>
                      <w:sz w:val="24"/>
                      <w:szCs w:val="24"/>
                      <w:lang w:val="en-ZA"/>
                    </w:rPr>
                    <w:t xml:space="preserve"> 2022 -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system of the GD and by release to SAFLII. The date and time for hand-down is deemed to be 1</w:t>
                  </w:r>
                  <w:r w:rsidR="00AD7C32">
                    <w:rPr>
                      <w:rFonts w:ascii="Arial" w:eastAsia="Times New Roman" w:hAnsi="Arial" w:cs="Arial"/>
                      <w:color w:val="000000"/>
                      <w:sz w:val="24"/>
                      <w:szCs w:val="24"/>
                      <w:lang w:val="en-ZA"/>
                    </w:rPr>
                    <w:t>3</w:t>
                  </w:r>
                  <w:r w:rsidR="00260F2D" w:rsidRPr="005D1D30">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1</w:t>
                  </w:r>
                  <w:r w:rsidR="00AD7C32">
                    <w:rPr>
                      <w:rFonts w:ascii="Arial" w:eastAsia="Times New Roman" w:hAnsi="Arial" w:cs="Arial"/>
                      <w:color w:val="000000"/>
                      <w:sz w:val="24"/>
                      <w:szCs w:val="24"/>
                      <w:lang w:val="en-ZA"/>
                    </w:rPr>
                    <w:t>7</w:t>
                  </w:r>
                  <w:r>
                    <w:rPr>
                      <w:rFonts w:ascii="Arial" w:eastAsia="Times New Roman" w:hAnsi="Arial" w:cs="Arial"/>
                      <w:color w:val="000000"/>
                      <w:sz w:val="24"/>
                      <w:szCs w:val="24"/>
                      <w:lang w:val="en-ZA"/>
                    </w:rPr>
                    <w:t xml:space="preserve"> </w:t>
                  </w:r>
                  <w:r w:rsidR="00260F2D">
                    <w:rPr>
                      <w:rFonts w:ascii="Arial" w:eastAsia="Times New Roman" w:hAnsi="Arial" w:cs="Arial"/>
                      <w:color w:val="000000"/>
                      <w:sz w:val="24"/>
                      <w:szCs w:val="24"/>
                      <w:lang w:val="en-ZA"/>
                    </w:rPr>
                    <w:t>November</w:t>
                  </w:r>
                  <w:r w:rsidR="00260F2D" w:rsidRPr="005D1D30">
                    <w:rPr>
                      <w:rFonts w:ascii="Arial" w:eastAsia="Times New Roman" w:hAnsi="Arial" w:cs="Arial"/>
                      <w:color w:val="000000"/>
                      <w:sz w:val="24"/>
                      <w:szCs w:val="24"/>
                      <w:lang w:val="en-ZA"/>
                    </w:rPr>
                    <w:t xml:space="preserve"> 2022.</w:t>
                  </w:r>
                </w:p>
              </w:tc>
            </w:tr>
          </w:tbl>
          <w:p w14:paraId="440A412E" w14:textId="77777777" w:rsidR="00260F2D" w:rsidRPr="00665EC9"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687F09E5" w14:textId="77777777" w:rsidR="00260F2D" w:rsidRDefault="00260F2D" w:rsidP="0050250E">
      <w:pPr>
        <w:spacing w:after="240" w:line="360" w:lineRule="auto"/>
        <w:jc w:val="both"/>
        <w:rPr>
          <w:rFonts w:ascii="Arial" w:hAnsi="Arial" w:cs="Arial"/>
          <w:b/>
          <w:bCs/>
          <w:lang w:val="en-ZA"/>
        </w:rPr>
      </w:pPr>
    </w:p>
    <w:p w14:paraId="09238701" w14:textId="47B8F722" w:rsidR="00260F2D" w:rsidRPr="0050250E" w:rsidRDefault="00260F2D" w:rsidP="0050250E">
      <w:pPr>
        <w:spacing w:after="240" w:line="360" w:lineRule="auto"/>
        <w:ind w:left="142"/>
        <w:jc w:val="both"/>
        <w:rPr>
          <w:rFonts w:ascii="Arial" w:hAnsi="Arial" w:cs="Arial"/>
          <w:lang w:val="en-ZA"/>
        </w:rPr>
      </w:pPr>
      <w:r>
        <w:rPr>
          <w:rFonts w:ascii="Arial" w:hAnsi="Arial" w:cs="Arial"/>
          <w:b/>
          <w:bCs/>
          <w:lang w:val="en-ZA"/>
        </w:rPr>
        <w:t>SUMMARY</w:t>
      </w:r>
      <w:r w:rsidRPr="00651605">
        <w:rPr>
          <w:rFonts w:ascii="Arial" w:hAnsi="Arial" w:cs="Arial"/>
          <w:b/>
          <w:bCs/>
          <w:lang w:val="en-ZA"/>
        </w:rPr>
        <w:t>:</w:t>
      </w:r>
      <w:r w:rsidR="00F64284">
        <w:rPr>
          <w:rFonts w:ascii="Arial" w:hAnsi="Arial" w:cs="Arial"/>
          <w:b/>
          <w:bCs/>
          <w:lang w:val="en-ZA"/>
        </w:rPr>
        <w:tab/>
      </w:r>
      <w:r w:rsidR="00F64284" w:rsidRPr="00F64284">
        <w:rPr>
          <w:rFonts w:ascii="Arial" w:hAnsi="Arial" w:cs="Arial"/>
          <w:lang w:val="en-ZA"/>
        </w:rPr>
        <w:t xml:space="preserve">Administrative Law </w:t>
      </w:r>
      <w:r w:rsidR="00F64284">
        <w:rPr>
          <w:rFonts w:ascii="Arial" w:hAnsi="Arial" w:cs="Arial"/>
          <w:lang w:val="en-ZA"/>
        </w:rPr>
        <w:t>–</w:t>
      </w:r>
      <w:r w:rsidR="00F64284" w:rsidRPr="00F64284">
        <w:rPr>
          <w:rFonts w:ascii="Arial" w:hAnsi="Arial" w:cs="Arial"/>
          <w:lang w:val="en-ZA"/>
        </w:rPr>
        <w:t xml:space="preserve"> </w:t>
      </w:r>
      <w:r w:rsidR="00F64284">
        <w:rPr>
          <w:rFonts w:ascii="Arial" w:hAnsi="Arial" w:cs="Arial"/>
          <w:lang w:val="en-ZA"/>
        </w:rPr>
        <w:t>Mandatory requirements of tender ambiguous- party disqualified for failure to submit a ‘certificate’ when ‘certification’ a mandatory precondition for consideration – contradictory and inconsistent use of terms in tender documents without clarification or correction – disqualification despite ‘certification’ confirmed in covering letter – disqualification irrational and award of tender reviewed and set aside – order suspending invalidity– circumstances require the continued provision of maintenance services pending a new tender</w:t>
      </w:r>
      <w:r w:rsidR="00C82E72">
        <w:rPr>
          <w:rFonts w:ascii="Arial" w:hAnsi="Arial" w:cs="Arial"/>
          <w:lang w:val="en-ZA"/>
        </w:rPr>
        <w:t>.</w:t>
      </w:r>
      <w:r w:rsidR="00F64284">
        <w:rPr>
          <w:rFonts w:ascii="Arial" w:hAnsi="Arial" w:cs="Arial"/>
          <w:lang w:val="en-ZA"/>
        </w:rPr>
        <w:t xml:space="preserve"> </w:t>
      </w:r>
    </w:p>
    <w:p w14:paraId="32FED9C0" w14:textId="77777777" w:rsidR="00260F2D" w:rsidRPr="0003162D" w:rsidRDefault="00260F2D" w:rsidP="00260F2D">
      <w:pPr>
        <w:pStyle w:val="LegalTramLines"/>
        <w:spacing w:after="240"/>
        <w:rPr>
          <w:b w:val="0"/>
          <w:bCs/>
          <w:sz w:val="28"/>
          <w:szCs w:val="28"/>
        </w:rPr>
      </w:pPr>
      <w:r w:rsidRPr="0003162D">
        <w:rPr>
          <w:b w:val="0"/>
          <w:bCs/>
          <w:sz w:val="28"/>
          <w:szCs w:val="28"/>
        </w:rPr>
        <w:t>ORDER</w:t>
      </w:r>
    </w:p>
    <w:p w14:paraId="41064DDD" w14:textId="77777777" w:rsidR="00260F2D" w:rsidRDefault="00260F2D" w:rsidP="00260F2D">
      <w:pPr>
        <w:pStyle w:val="Body"/>
        <w:spacing w:line="360" w:lineRule="auto"/>
        <w:jc w:val="both"/>
        <w:rPr>
          <w:bCs/>
          <w:sz w:val="24"/>
          <w:szCs w:val="24"/>
        </w:rPr>
      </w:pPr>
    </w:p>
    <w:p w14:paraId="29E6007C" w14:textId="77777777" w:rsidR="00260F2D" w:rsidRDefault="00260F2D" w:rsidP="00260F2D">
      <w:pPr>
        <w:pStyle w:val="Body"/>
        <w:spacing w:line="360" w:lineRule="auto"/>
        <w:jc w:val="both"/>
        <w:rPr>
          <w:bCs/>
          <w:sz w:val="24"/>
          <w:szCs w:val="24"/>
        </w:rPr>
      </w:pPr>
      <w:r>
        <w:rPr>
          <w:bCs/>
          <w:sz w:val="24"/>
          <w:szCs w:val="24"/>
        </w:rPr>
        <w:t>It is ordered: -</w:t>
      </w:r>
    </w:p>
    <w:p w14:paraId="77AD6FC8" w14:textId="77777777" w:rsidR="00260F2D" w:rsidRDefault="00260F2D" w:rsidP="00260F2D">
      <w:pPr>
        <w:pStyle w:val="Body"/>
        <w:spacing w:line="360" w:lineRule="auto"/>
        <w:jc w:val="both"/>
        <w:rPr>
          <w:bCs/>
          <w:sz w:val="24"/>
          <w:szCs w:val="24"/>
        </w:rPr>
      </w:pPr>
    </w:p>
    <w:p w14:paraId="59826CA4" w14:textId="77777777" w:rsidR="00C4520D" w:rsidRDefault="00C4520D" w:rsidP="00C4520D">
      <w:pPr>
        <w:pStyle w:val="WLGLevel1"/>
        <w:numPr>
          <w:ilvl w:val="0"/>
          <w:numId w:val="0"/>
        </w:numPr>
        <w:spacing w:line="360" w:lineRule="auto"/>
        <w:ind w:left="851" w:hanging="851"/>
      </w:pPr>
      <w:r>
        <w:t>A.1</w:t>
      </w:r>
      <w:r>
        <w:tab/>
      </w:r>
      <w:r w:rsidR="0052011D">
        <w:t>The decision of the Board of Directors of the first respondent (“</w:t>
      </w:r>
      <w:r w:rsidR="0052011D" w:rsidRPr="00F5064B">
        <w:rPr>
          <w:b/>
          <w:bCs/>
        </w:rPr>
        <w:t>Eskom</w:t>
      </w:r>
      <w:r w:rsidR="0052011D">
        <w:t xml:space="preserve">”) to award </w:t>
      </w:r>
      <w:r w:rsidR="0052011D">
        <w:rPr>
          <w:rFonts w:cs="Arial"/>
        </w:rPr>
        <w:t>tender CORP 4495 for maintenance and outage repair services for boiler pressure parts and/or maintenance and outage repair services for high pressure pipework for fifteen fossil-fired power stations</w:t>
      </w:r>
      <w:r w:rsidR="0052011D">
        <w:t xml:space="preserve"> (“</w:t>
      </w:r>
      <w:r w:rsidR="0052011D" w:rsidRPr="005E375F">
        <w:rPr>
          <w:b/>
          <w:bCs/>
        </w:rPr>
        <w:t>the services</w:t>
      </w:r>
      <w:r w:rsidR="0052011D">
        <w:t>”) to the second and third respondents, taken on or about 7 October 2021, is reviewed and set aside.</w:t>
      </w:r>
    </w:p>
    <w:p w14:paraId="6EEF4C93" w14:textId="77777777" w:rsidR="00C4520D" w:rsidRDefault="00C4520D" w:rsidP="00C4520D">
      <w:pPr>
        <w:pStyle w:val="WLGLevel1"/>
        <w:numPr>
          <w:ilvl w:val="0"/>
          <w:numId w:val="0"/>
        </w:numPr>
        <w:spacing w:line="360" w:lineRule="auto"/>
        <w:ind w:left="851" w:hanging="851"/>
      </w:pPr>
      <w:r>
        <w:lastRenderedPageBreak/>
        <w:t>A.2</w:t>
      </w:r>
      <w:r>
        <w:tab/>
      </w:r>
      <w:r w:rsidR="0052011D">
        <w:t xml:space="preserve">In consequence of the order in paragraph </w:t>
      </w:r>
      <w:r>
        <w:t>A.1</w:t>
      </w:r>
      <w:r w:rsidR="0052011D">
        <w:t>, the contracts concluded between Eskom and the second and third respondents for the provision of the services are declared unlawful and are reviewed and set aside.</w:t>
      </w:r>
    </w:p>
    <w:p w14:paraId="7691B217" w14:textId="1569A4C2" w:rsidR="0052011D" w:rsidRDefault="00C4520D" w:rsidP="00F64284">
      <w:pPr>
        <w:pStyle w:val="WLGLevel1"/>
        <w:numPr>
          <w:ilvl w:val="0"/>
          <w:numId w:val="0"/>
        </w:numPr>
        <w:spacing w:line="360" w:lineRule="auto"/>
        <w:ind w:left="851" w:hanging="851"/>
      </w:pPr>
      <w:r>
        <w:t>A.3</w:t>
      </w:r>
      <w:r>
        <w:tab/>
      </w:r>
      <w:r w:rsidR="0052011D">
        <w:t xml:space="preserve">Eskom is directed to conduct a fresh tender process in respect of the services on the terms described in paragraph </w:t>
      </w:r>
      <w:r>
        <w:t>A</w:t>
      </w:r>
      <w:r w:rsidR="0052011D">
        <w:t>.5 (“</w:t>
      </w:r>
      <w:r w:rsidR="0052011D" w:rsidRPr="00F7380D">
        <w:rPr>
          <w:b/>
          <w:bCs/>
        </w:rPr>
        <w:t>the fresh tender process</w:t>
      </w:r>
      <w:r w:rsidR="0052011D">
        <w:t>”).</w:t>
      </w:r>
    </w:p>
    <w:p w14:paraId="5375BAC8" w14:textId="747A8BCE" w:rsidR="00C4520D" w:rsidRDefault="00C4520D" w:rsidP="00C4520D">
      <w:pPr>
        <w:pStyle w:val="WLGLevel1"/>
        <w:numPr>
          <w:ilvl w:val="0"/>
          <w:numId w:val="0"/>
        </w:numPr>
        <w:spacing w:line="360" w:lineRule="auto"/>
        <w:ind w:left="851" w:hanging="851"/>
      </w:pPr>
      <w:r>
        <w:t>A.4</w:t>
      </w:r>
      <w:r>
        <w:tab/>
      </w:r>
      <w:r w:rsidR="0052011D">
        <w:t xml:space="preserve">The order in paragraph </w:t>
      </w:r>
      <w:r>
        <w:t>A</w:t>
      </w:r>
      <w:r w:rsidR="0052011D">
        <w:t xml:space="preserve">.2 is suspended pending the finalisation of the fresh tender process or the expiry of the time period referred to in paragraph </w:t>
      </w:r>
      <w:r>
        <w:t>A</w:t>
      </w:r>
      <w:r w:rsidR="0052011D">
        <w:t>.5 of this order for the finalisation of the fresh tender process (whichever is earlier), whereafter it will take effect.</w:t>
      </w:r>
    </w:p>
    <w:p w14:paraId="54D40E5B" w14:textId="2DAA2C84" w:rsidR="0052011D" w:rsidRDefault="00C4520D" w:rsidP="00C4520D">
      <w:pPr>
        <w:pStyle w:val="WLGLevel1"/>
        <w:numPr>
          <w:ilvl w:val="0"/>
          <w:numId w:val="0"/>
        </w:numPr>
        <w:spacing w:line="360" w:lineRule="auto"/>
        <w:ind w:left="851" w:hanging="851"/>
      </w:pPr>
      <w:r>
        <w:t>A.5</w:t>
      </w:r>
      <w:r>
        <w:tab/>
      </w:r>
      <w:r w:rsidR="0052011D">
        <w:t>The fresh tender process is to be conducted and finalised in accordance with the following timetable:</w:t>
      </w:r>
    </w:p>
    <w:p w14:paraId="66379152" w14:textId="1D8284F6" w:rsidR="0052011D" w:rsidRDefault="00C4520D" w:rsidP="00C4520D">
      <w:pPr>
        <w:pStyle w:val="WLGLevel2"/>
        <w:numPr>
          <w:ilvl w:val="0"/>
          <w:numId w:val="0"/>
        </w:numPr>
        <w:spacing w:line="360" w:lineRule="auto"/>
        <w:ind w:left="1701" w:hanging="850"/>
      </w:pPr>
      <w:r>
        <w:t>A.5.1</w:t>
      </w:r>
      <w:r>
        <w:tab/>
      </w:r>
      <w:r w:rsidR="0052011D">
        <w:t xml:space="preserve">Eskom is to formulate the terms of the fresh tender, and publish it, within </w:t>
      </w:r>
      <w:r w:rsidR="0052011D">
        <w:rPr>
          <w:u w:val="single"/>
        </w:rPr>
        <w:t>two months</w:t>
      </w:r>
      <w:r>
        <w:t xml:space="preserve"> </w:t>
      </w:r>
      <w:r w:rsidR="0052011D">
        <w:t>of the date of this Court’s order.</w:t>
      </w:r>
    </w:p>
    <w:p w14:paraId="7CCEF5F0" w14:textId="3AC86DDD" w:rsidR="0052011D" w:rsidRDefault="00C4520D" w:rsidP="00C4520D">
      <w:pPr>
        <w:pStyle w:val="WLGLevel2"/>
        <w:numPr>
          <w:ilvl w:val="0"/>
          <w:numId w:val="0"/>
        </w:numPr>
        <w:spacing w:line="360" w:lineRule="auto"/>
        <w:ind w:left="1701" w:hanging="850"/>
      </w:pPr>
      <w:r>
        <w:t>A.5.2</w:t>
      </w:r>
      <w:r>
        <w:tab/>
      </w:r>
      <w:r w:rsidR="0052011D">
        <w:t xml:space="preserve">Eskom is to determine that the closing date for the tender should be no more than </w:t>
      </w:r>
      <w:r w:rsidR="0052011D" w:rsidRPr="00F7380D">
        <w:rPr>
          <w:u w:val="single"/>
        </w:rPr>
        <w:t>two months</w:t>
      </w:r>
      <w:r w:rsidR="0052011D">
        <w:t xml:space="preserve"> from the date on which it is published. </w:t>
      </w:r>
    </w:p>
    <w:p w14:paraId="2ABE01C2" w14:textId="0072B2B0" w:rsidR="0052011D" w:rsidRDefault="00C4520D" w:rsidP="00C4520D">
      <w:pPr>
        <w:pStyle w:val="WLGLevel2"/>
        <w:numPr>
          <w:ilvl w:val="0"/>
          <w:numId w:val="0"/>
        </w:numPr>
        <w:spacing w:line="360" w:lineRule="auto"/>
        <w:ind w:left="1701" w:hanging="850"/>
      </w:pPr>
      <w:r>
        <w:t>A.5.3</w:t>
      </w:r>
      <w:r>
        <w:tab/>
      </w:r>
      <w:r w:rsidR="0052011D">
        <w:t xml:space="preserve">The tender is to be evaluated within </w:t>
      </w:r>
      <w:r w:rsidR="0052011D" w:rsidRPr="00F7380D">
        <w:rPr>
          <w:u w:val="single"/>
        </w:rPr>
        <w:t>two months</w:t>
      </w:r>
      <w:r w:rsidR="0052011D">
        <w:t xml:space="preserve"> of the closing date of the tender.</w:t>
      </w:r>
    </w:p>
    <w:p w14:paraId="63D8A371" w14:textId="3F823910" w:rsidR="00AD7C32" w:rsidRDefault="00C4520D" w:rsidP="00C4520D">
      <w:pPr>
        <w:pStyle w:val="WLGLevel2"/>
        <w:numPr>
          <w:ilvl w:val="0"/>
          <w:numId w:val="0"/>
        </w:numPr>
        <w:spacing w:line="360" w:lineRule="auto"/>
        <w:ind w:left="1701" w:hanging="850"/>
      </w:pPr>
      <w:r>
        <w:t>A.5.4</w:t>
      </w:r>
      <w:r>
        <w:tab/>
      </w:r>
      <w:r w:rsidR="0052011D">
        <w:t xml:space="preserve">Negotiations with the successful tender(s) shall be conducted and concluded within </w:t>
      </w:r>
      <w:r w:rsidR="0052011D" w:rsidRPr="00F7380D">
        <w:rPr>
          <w:u w:val="single"/>
        </w:rPr>
        <w:t>one month</w:t>
      </w:r>
      <w:r w:rsidR="0052011D">
        <w:t xml:space="preserve"> of the identification of the successful tenderer(s) as envisaged in paragraph </w:t>
      </w:r>
      <w:r>
        <w:t>A</w:t>
      </w:r>
      <w:r w:rsidR="0052011D">
        <w:t>.</w:t>
      </w:r>
      <w:r w:rsidR="00AD7C32">
        <w:t xml:space="preserve">5.3 </w:t>
      </w:r>
      <w:r w:rsidR="0052011D">
        <w:t>above.</w:t>
      </w:r>
    </w:p>
    <w:p w14:paraId="445C1BB9" w14:textId="7A19F1A1" w:rsidR="0052011D" w:rsidRDefault="00C4520D" w:rsidP="00C4520D">
      <w:pPr>
        <w:pStyle w:val="WLGLevel2"/>
        <w:numPr>
          <w:ilvl w:val="0"/>
          <w:numId w:val="0"/>
        </w:numPr>
        <w:spacing w:line="360" w:lineRule="auto"/>
        <w:ind w:left="1701" w:hanging="850"/>
      </w:pPr>
      <w:r>
        <w:t>A.5.5.</w:t>
      </w:r>
      <w:r>
        <w:tab/>
      </w:r>
      <w:r w:rsidR="0052011D">
        <w:t xml:space="preserve">The award of the contract to the successful tender(s) shall be made within </w:t>
      </w:r>
      <w:r w:rsidR="0052011D" w:rsidRPr="00536268">
        <w:rPr>
          <w:u w:val="single"/>
        </w:rPr>
        <w:t>one month</w:t>
      </w:r>
      <w:r w:rsidR="0052011D">
        <w:t xml:space="preserve"> of the conclusion of the negotiations described in paragraph </w:t>
      </w:r>
      <w:r>
        <w:t>A</w:t>
      </w:r>
      <w:r w:rsidR="0052011D">
        <w:t>.</w:t>
      </w:r>
      <w:r w:rsidR="00AD7C32">
        <w:t xml:space="preserve">5.4 </w:t>
      </w:r>
      <w:r w:rsidR="0052011D">
        <w:t>above.</w:t>
      </w:r>
    </w:p>
    <w:p w14:paraId="1CA05EE7" w14:textId="028CF296" w:rsidR="0052011D" w:rsidRDefault="00C4520D" w:rsidP="00C4520D">
      <w:pPr>
        <w:pStyle w:val="WLGLevel2"/>
        <w:numPr>
          <w:ilvl w:val="0"/>
          <w:numId w:val="0"/>
        </w:numPr>
        <w:spacing w:line="360" w:lineRule="auto"/>
        <w:ind w:left="1701" w:hanging="850"/>
      </w:pPr>
      <w:r>
        <w:t>A.5.6</w:t>
      </w:r>
      <w:r>
        <w:tab/>
      </w:r>
      <w:r w:rsidR="0052011D">
        <w:t xml:space="preserve">Subject to paragraph </w:t>
      </w:r>
      <w:r>
        <w:t>A.6</w:t>
      </w:r>
      <w:r w:rsidR="0052011D">
        <w:t xml:space="preserve"> below, the time periods set out above shall not be capable of being extended.</w:t>
      </w:r>
    </w:p>
    <w:p w14:paraId="4F657D76" w14:textId="338F1F24" w:rsidR="0052011D" w:rsidRDefault="00C4520D" w:rsidP="00C4520D">
      <w:pPr>
        <w:pStyle w:val="WLGLevel1"/>
        <w:numPr>
          <w:ilvl w:val="0"/>
          <w:numId w:val="0"/>
        </w:numPr>
        <w:spacing w:line="360" w:lineRule="auto"/>
        <w:ind w:left="851" w:hanging="851"/>
      </w:pPr>
      <w:r>
        <w:lastRenderedPageBreak/>
        <w:t>A.6</w:t>
      </w:r>
      <w:r>
        <w:tab/>
      </w:r>
      <w:r w:rsidR="0052011D">
        <w:t xml:space="preserve">Any party may approach the Court on the same papers, amplified as necessary, for an amendment to the timetable in paragraph </w:t>
      </w:r>
      <w:r>
        <w:t>A</w:t>
      </w:r>
      <w:r w:rsidR="0052011D">
        <w:t>.5 above on good cause shown.</w:t>
      </w:r>
    </w:p>
    <w:p w14:paraId="038B04E4" w14:textId="772FD544" w:rsidR="0052011D" w:rsidRDefault="00C4520D" w:rsidP="00C4520D">
      <w:pPr>
        <w:pStyle w:val="WLGLevel1"/>
        <w:numPr>
          <w:ilvl w:val="0"/>
          <w:numId w:val="0"/>
        </w:numPr>
        <w:spacing w:line="360" w:lineRule="auto"/>
        <w:ind w:left="851" w:hanging="851"/>
      </w:pPr>
      <w:r>
        <w:t>A.7</w:t>
      </w:r>
      <w:r>
        <w:tab/>
      </w:r>
      <w:r w:rsidR="0052011D">
        <w:t>The first, second and third respondents are ordered to pay the applicants taxed costs of the application jointly and severally, the one paying the others to be absolved.</w:t>
      </w:r>
    </w:p>
    <w:p w14:paraId="73806522" w14:textId="1E6A418A" w:rsidR="00E965B7" w:rsidRPr="00C4520D" w:rsidRDefault="00C4520D" w:rsidP="00C4520D">
      <w:pPr>
        <w:pStyle w:val="WLGLevel1"/>
        <w:numPr>
          <w:ilvl w:val="0"/>
          <w:numId w:val="0"/>
        </w:numPr>
        <w:spacing w:line="360" w:lineRule="auto"/>
        <w:ind w:left="851" w:hanging="851"/>
      </w:pPr>
      <w:r>
        <w:t>A.8</w:t>
      </w:r>
      <w:r>
        <w:tab/>
      </w:r>
      <w:r w:rsidR="0052011D">
        <w:t>The costs are to be taxed on the scale as between party and party and are to include the costs consequent upon the employment of two counsel.</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C23" w:rsidRPr="0031449E" w14:paraId="4ADC5BDB" w14:textId="77777777" w:rsidTr="00195908">
        <w:tc>
          <w:tcPr>
            <w:tcW w:w="9350" w:type="dxa"/>
          </w:tcPr>
          <w:p w14:paraId="1A8C2A0E" w14:textId="19B078BD" w:rsidR="00E87C23" w:rsidRDefault="00E87C2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14:paraId="0E360EA4" w14:textId="29EA24F1" w:rsidR="00E87C23" w:rsidRPr="00E965B7" w:rsidRDefault="00E87C23" w:rsidP="00E965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50250E">
              <w:rPr>
                <w:rFonts w:eastAsia="Tahoma" w:cs="Arial"/>
                <w:b/>
                <w:bCs/>
                <w:sz w:val="28"/>
                <w:szCs w:val="28"/>
                <w:lang w:val="de-DE"/>
              </w:rPr>
              <w:t>JUDGMENT</w:t>
            </w:r>
            <w:r w:rsidR="00F07FAF" w:rsidRPr="0050250E">
              <w:rPr>
                <w:rFonts w:eastAsia="Tahoma" w:cs="Arial"/>
                <w:b/>
                <w:bCs/>
                <w:sz w:val="28"/>
                <w:szCs w:val="28"/>
                <w:lang w:val="de-DE"/>
              </w:rPr>
              <w:t xml:space="preserve"> </w:t>
            </w:r>
          </w:p>
        </w:tc>
      </w:tr>
    </w:tbl>
    <w:p w14:paraId="02BCB5D5" w14:textId="77777777" w:rsidR="00E87C23" w:rsidRDefault="00E87C23" w:rsidP="00E87C23">
      <w:pPr>
        <w:pStyle w:val="Body"/>
        <w:jc w:val="both"/>
        <w:rPr>
          <w:b/>
          <w:sz w:val="22"/>
          <w:szCs w:val="22"/>
        </w:rPr>
      </w:pPr>
    </w:p>
    <w:p w14:paraId="1C98549E" w14:textId="77777777" w:rsidR="00E87C23" w:rsidRDefault="00E87C23" w:rsidP="00E87C23">
      <w:pPr>
        <w:pStyle w:val="Body"/>
        <w:jc w:val="both"/>
        <w:rPr>
          <w:b/>
          <w:sz w:val="22"/>
          <w:szCs w:val="22"/>
          <w:u w:val="single"/>
        </w:rPr>
      </w:pPr>
      <w:r w:rsidRPr="00C519B2">
        <w:rPr>
          <w:b/>
          <w:sz w:val="22"/>
          <w:szCs w:val="22"/>
          <w:u w:val="single"/>
        </w:rPr>
        <w:t>MILLAR J</w:t>
      </w:r>
    </w:p>
    <w:p w14:paraId="614F38BC" w14:textId="77777777" w:rsidR="00765BC3" w:rsidRDefault="00765BC3" w:rsidP="00765BC3"/>
    <w:p w14:paraId="77EED9FB" w14:textId="05F9AB0F" w:rsidR="000F535B" w:rsidRPr="0052011D" w:rsidRDefault="00765BC3" w:rsidP="0052011D">
      <w:pPr>
        <w:pStyle w:val="ListParagraph"/>
        <w:numPr>
          <w:ilvl w:val="0"/>
          <w:numId w:val="1"/>
        </w:numPr>
        <w:spacing w:after="160" w:line="360" w:lineRule="auto"/>
        <w:ind w:left="851" w:hanging="851"/>
        <w:jc w:val="both"/>
        <w:rPr>
          <w:rFonts w:ascii="Arial" w:hAnsi="Arial" w:cs="Arial"/>
        </w:rPr>
      </w:pPr>
      <w:r w:rsidRPr="00F27A97">
        <w:rPr>
          <w:rFonts w:ascii="Arial" w:hAnsi="Arial" w:cs="Arial"/>
        </w:rPr>
        <w:t xml:space="preserve">This is an application in which the applicant (“Babcock”) seeks to review and set aside a decision of the first respondent (“Eskom”) to award a tender for maintenance and outage repair services for 15 of its fossil fuel powered electricity generation stations </w:t>
      </w:r>
      <w:r>
        <w:rPr>
          <w:rFonts w:ascii="Arial" w:hAnsi="Arial" w:cs="Arial"/>
        </w:rPr>
        <w:t xml:space="preserve">(“power stations”) </w:t>
      </w:r>
      <w:r w:rsidRPr="00F27A97">
        <w:rPr>
          <w:rFonts w:ascii="Arial" w:hAnsi="Arial" w:cs="Arial"/>
        </w:rPr>
        <w:t>to the second (“Actom”) and third (“Steinmuller”) respondents</w:t>
      </w:r>
      <w:r>
        <w:rPr>
          <w:rFonts w:ascii="Arial" w:hAnsi="Arial" w:cs="Arial"/>
        </w:rPr>
        <w:t xml:space="preserve"> on 7 October 2021.</w:t>
      </w:r>
    </w:p>
    <w:p w14:paraId="3E9891A9" w14:textId="77777777" w:rsidR="00765BC3" w:rsidRPr="00F27A97" w:rsidRDefault="00765BC3" w:rsidP="00765BC3">
      <w:pPr>
        <w:pStyle w:val="ListParagraph"/>
        <w:spacing w:line="360" w:lineRule="auto"/>
        <w:ind w:left="851" w:hanging="851"/>
        <w:jc w:val="both"/>
        <w:rPr>
          <w:rFonts w:ascii="Arial" w:hAnsi="Arial" w:cs="Arial"/>
        </w:rPr>
      </w:pPr>
    </w:p>
    <w:p w14:paraId="7E18C64D" w14:textId="63370F1B" w:rsidR="00765BC3" w:rsidRDefault="00765BC3" w:rsidP="00B12662">
      <w:pPr>
        <w:pStyle w:val="ListParagraph"/>
        <w:numPr>
          <w:ilvl w:val="0"/>
          <w:numId w:val="1"/>
        </w:numPr>
        <w:spacing w:after="160" w:line="360" w:lineRule="auto"/>
        <w:ind w:left="851" w:hanging="851"/>
        <w:jc w:val="both"/>
        <w:rPr>
          <w:rFonts w:ascii="Arial" w:hAnsi="Arial" w:cs="Arial"/>
        </w:rPr>
      </w:pPr>
      <w:r w:rsidRPr="00F27A97">
        <w:rPr>
          <w:rFonts w:ascii="Arial" w:hAnsi="Arial" w:cs="Arial"/>
        </w:rPr>
        <w:t>Babcock, Actom and Steinmuller are engineering concerns that have o</w:t>
      </w:r>
      <w:r w:rsidR="008E295E">
        <w:rPr>
          <w:rFonts w:ascii="Arial" w:hAnsi="Arial" w:cs="Arial"/>
        </w:rPr>
        <w:t>ver</w:t>
      </w:r>
      <w:r w:rsidRPr="00F27A97">
        <w:rPr>
          <w:rFonts w:ascii="Arial" w:hAnsi="Arial" w:cs="Arial"/>
        </w:rPr>
        <w:t xml:space="preserve"> a number of years, </w:t>
      </w:r>
      <w:r w:rsidR="008E295E">
        <w:rPr>
          <w:rFonts w:ascii="Arial" w:hAnsi="Arial" w:cs="Arial"/>
        </w:rPr>
        <w:t xml:space="preserve">and </w:t>
      </w:r>
      <w:r w:rsidRPr="00F27A97">
        <w:rPr>
          <w:rFonts w:ascii="Arial" w:hAnsi="Arial" w:cs="Arial"/>
        </w:rPr>
        <w:t xml:space="preserve">in the case of Babcock, for at least 20 </w:t>
      </w:r>
      <w:r w:rsidR="007D4803" w:rsidRPr="00F27A97">
        <w:rPr>
          <w:rFonts w:ascii="Arial" w:hAnsi="Arial" w:cs="Arial"/>
        </w:rPr>
        <w:t>years, tendered</w:t>
      </w:r>
      <w:r w:rsidRPr="00F27A97">
        <w:rPr>
          <w:rFonts w:ascii="Arial" w:hAnsi="Arial" w:cs="Arial"/>
        </w:rPr>
        <w:t xml:space="preserve"> for and been awarded maintenance and outage repair service contracts at one or more of Eskom’s power stations.</w:t>
      </w:r>
    </w:p>
    <w:p w14:paraId="177C63DF" w14:textId="77777777" w:rsidR="00765BC3" w:rsidRPr="00F27A97" w:rsidRDefault="00765BC3" w:rsidP="00765BC3">
      <w:pPr>
        <w:pStyle w:val="ListParagraph"/>
        <w:ind w:left="851" w:hanging="851"/>
        <w:rPr>
          <w:rFonts w:ascii="Arial" w:hAnsi="Arial" w:cs="Arial"/>
        </w:rPr>
      </w:pPr>
    </w:p>
    <w:p w14:paraId="1A102B12" w14:textId="77777777" w:rsidR="00765BC3" w:rsidRDefault="00765BC3" w:rsidP="00B12662">
      <w:pPr>
        <w:pStyle w:val="ListParagraph"/>
        <w:numPr>
          <w:ilvl w:val="0"/>
          <w:numId w:val="1"/>
        </w:numPr>
        <w:spacing w:after="160" w:line="360" w:lineRule="auto"/>
        <w:ind w:left="851" w:hanging="851"/>
        <w:jc w:val="both"/>
        <w:rPr>
          <w:rFonts w:ascii="Arial" w:hAnsi="Arial" w:cs="Arial"/>
        </w:rPr>
      </w:pPr>
      <w:r>
        <w:rPr>
          <w:rFonts w:ascii="Arial" w:hAnsi="Arial" w:cs="Arial"/>
        </w:rPr>
        <w:t>Prior to the award of the tender, Babcock rendered services at 4 of Eskom’s power stations.</w:t>
      </w:r>
      <w:r>
        <w:rPr>
          <w:rStyle w:val="FootnoteReference"/>
          <w:rFonts w:ascii="Arial" w:hAnsi="Arial" w:cs="Arial"/>
        </w:rPr>
        <w:footnoteReference w:id="1"/>
      </w:r>
      <w:r>
        <w:rPr>
          <w:rFonts w:ascii="Arial" w:hAnsi="Arial" w:cs="Arial"/>
        </w:rPr>
        <w:t xml:space="preserve">  These services were rendered in terms of a contract that had been entered into on 3 June 2016 and had thereafter been renewed on several occasions.</w:t>
      </w:r>
    </w:p>
    <w:p w14:paraId="795108D5" w14:textId="77777777" w:rsidR="00765BC3" w:rsidRPr="00F27A97" w:rsidRDefault="00765BC3" w:rsidP="00765BC3">
      <w:pPr>
        <w:pStyle w:val="ListParagraph"/>
        <w:ind w:left="851" w:hanging="851"/>
        <w:rPr>
          <w:rFonts w:ascii="Arial" w:hAnsi="Arial" w:cs="Arial"/>
        </w:rPr>
      </w:pPr>
    </w:p>
    <w:p w14:paraId="43D37986" w14:textId="77777777" w:rsidR="00E95FDF" w:rsidRDefault="00E95FDF" w:rsidP="00B12662">
      <w:pPr>
        <w:pStyle w:val="ListParagraph"/>
        <w:numPr>
          <w:ilvl w:val="0"/>
          <w:numId w:val="1"/>
        </w:numPr>
        <w:spacing w:after="160" w:line="360" w:lineRule="auto"/>
        <w:ind w:left="851" w:hanging="851"/>
        <w:jc w:val="both"/>
        <w:rPr>
          <w:rFonts w:ascii="Arial" w:hAnsi="Arial" w:cs="Arial"/>
        </w:rPr>
      </w:pPr>
      <w:r>
        <w:rPr>
          <w:rFonts w:ascii="Arial" w:hAnsi="Arial" w:cs="Arial"/>
        </w:rPr>
        <w:lastRenderedPageBreak/>
        <w:t xml:space="preserve">The tender in question was issued on 6 August 2018 with an initial closing date of 21 September 2018.  When the tender was issued, it was issued with an extension from initial closing date to 24 October 2018.  </w:t>
      </w:r>
    </w:p>
    <w:p w14:paraId="22E9DE33" w14:textId="77777777" w:rsidR="00E95FDF" w:rsidRPr="00E95FDF" w:rsidRDefault="00E95FDF" w:rsidP="00E95FDF">
      <w:pPr>
        <w:pStyle w:val="ListParagraph"/>
        <w:rPr>
          <w:rFonts w:ascii="Arial" w:hAnsi="Arial" w:cs="Arial"/>
        </w:rPr>
      </w:pPr>
    </w:p>
    <w:p w14:paraId="31288984" w14:textId="660136D1" w:rsidR="00765BC3" w:rsidRPr="008C2424" w:rsidRDefault="00765BC3" w:rsidP="008C2424">
      <w:pPr>
        <w:pStyle w:val="ListParagraph"/>
        <w:numPr>
          <w:ilvl w:val="0"/>
          <w:numId w:val="1"/>
        </w:numPr>
        <w:spacing w:after="160" w:line="360" w:lineRule="auto"/>
        <w:ind w:left="851" w:hanging="851"/>
        <w:jc w:val="both"/>
        <w:rPr>
          <w:rFonts w:ascii="Arial" w:hAnsi="Arial" w:cs="Arial"/>
        </w:rPr>
      </w:pPr>
      <w:r>
        <w:rPr>
          <w:rFonts w:ascii="Arial" w:hAnsi="Arial" w:cs="Arial"/>
        </w:rPr>
        <w:t xml:space="preserve">The tender </w:t>
      </w:r>
      <w:r w:rsidR="00E95FDF">
        <w:rPr>
          <w:rFonts w:ascii="Arial" w:hAnsi="Arial" w:cs="Arial"/>
        </w:rPr>
        <w:t xml:space="preserve">was thereafter </w:t>
      </w:r>
      <w:r>
        <w:rPr>
          <w:rFonts w:ascii="Arial" w:hAnsi="Arial" w:cs="Arial"/>
        </w:rPr>
        <w:t xml:space="preserve">on 7 October 2021 </w:t>
      </w:r>
      <w:r w:rsidR="00E95FDF">
        <w:rPr>
          <w:rFonts w:ascii="Arial" w:hAnsi="Arial" w:cs="Arial"/>
        </w:rPr>
        <w:t xml:space="preserve">awarded </w:t>
      </w:r>
      <w:r>
        <w:rPr>
          <w:rFonts w:ascii="Arial" w:hAnsi="Arial" w:cs="Arial"/>
        </w:rPr>
        <w:t>to Actom and Steinmuller in terms of which they were to render the maintenance and outage repair services for 7 and 8 of the 15 power stations respectively.  Babcock was unsuccessful in its tender bid</w:t>
      </w:r>
      <w:r w:rsidR="00E95FDF">
        <w:rPr>
          <w:rFonts w:ascii="Arial" w:hAnsi="Arial" w:cs="Arial"/>
        </w:rPr>
        <w:t xml:space="preserve"> having been disqualified at an early stage of the process</w:t>
      </w:r>
      <w:r>
        <w:rPr>
          <w:rFonts w:ascii="Arial" w:hAnsi="Arial" w:cs="Arial"/>
        </w:rPr>
        <w:t>.</w:t>
      </w:r>
    </w:p>
    <w:p w14:paraId="298123FD" w14:textId="77777777" w:rsidR="00765BC3" w:rsidRDefault="00765BC3" w:rsidP="00765BC3">
      <w:pPr>
        <w:pStyle w:val="ListParagraph"/>
        <w:spacing w:line="360" w:lineRule="auto"/>
        <w:ind w:left="1440"/>
        <w:jc w:val="both"/>
        <w:rPr>
          <w:rFonts w:ascii="Arial" w:hAnsi="Arial" w:cs="Arial"/>
          <w:i/>
          <w:iCs/>
        </w:rPr>
      </w:pPr>
    </w:p>
    <w:p w14:paraId="5A4E682A" w14:textId="30013A59" w:rsidR="00765BC3" w:rsidRPr="00700E66" w:rsidRDefault="00765BC3" w:rsidP="00B12662">
      <w:pPr>
        <w:pStyle w:val="ListParagraph"/>
        <w:numPr>
          <w:ilvl w:val="0"/>
          <w:numId w:val="1"/>
        </w:numPr>
        <w:spacing w:after="160" w:line="360" w:lineRule="auto"/>
        <w:ind w:left="851" w:hanging="851"/>
        <w:jc w:val="both"/>
        <w:rPr>
          <w:rFonts w:ascii="Arial" w:hAnsi="Arial" w:cs="Arial"/>
        </w:rPr>
      </w:pPr>
      <w:r w:rsidRPr="00700E66">
        <w:rPr>
          <w:rFonts w:ascii="Arial" w:hAnsi="Arial" w:cs="Arial"/>
        </w:rPr>
        <w:t xml:space="preserve">The 2 issues </w:t>
      </w:r>
      <w:r w:rsidR="00E95FDF">
        <w:rPr>
          <w:rFonts w:ascii="Arial" w:hAnsi="Arial" w:cs="Arial"/>
        </w:rPr>
        <w:t>upon which the review is predicated are:</w:t>
      </w:r>
    </w:p>
    <w:p w14:paraId="0CFF0980" w14:textId="77777777" w:rsidR="00765BC3" w:rsidRDefault="00765BC3" w:rsidP="00765BC3">
      <w:pPr>
        <w:pStyle w:val="ListParagraph"/>
        <w:spacing w:line="360" w:lineRule="auto"/>
        <w:jc w:val="both"/>
        <w:rPr>
          <w:rFonts w:ascii="Arial" w:hAnsi="Arial" w:cs="Arial"/>
        </w:rPr>
      </w:pPr>
    </w:p>
    <w:p w14:paraId="2F1C18BE" w14:textId="7D1384E6" w:rsidR="00765BC3" w:rsidRDefault="00765BC3" w:rsidP="00E95FDF">
      <w:pPr>
        <w:pStyle w:val="ListParagraph"/>
        <w:numPr>
          <w:ilvl w:val="1"/>
          <w:numId w:val="1"/>
        </w:numPr>
        <w:spacing w:after="160" w:line="360" w:lineRule="auto"/>
        <w:ind w:left="1701" w:hanging="850"/>
        <w:jc w:val="both"/>
        <w:rPr>
          <w:rFonts w:ascii="Arial" w:hAnsi="Arial" w:cs="Arial"/>
        </w:rPr>
      </w:pPr>
      <w:r>
        <w:rPr>
          <w:rFonts w:ascii="Arial" w:hAnsi="Arial" w:cs="Arial"/>
        </w:rPr>
        <w:t>f</w:t>
      </w:r>
      <w:r w:rsidRPr="00076584">
        <w:rPr>
          <w:rFonts w:ascii="Arial" w:hAnsi="Arial" w:cs="Arial"/>
        </w:rPr>
        <w:t xml:space="preserve">irstly, </w:t>
      </w:r>
      <w:r w:rsidR="00E95FDF">
        <w:rPr>
          <w:rFonts w:ascii="Arial" w:hAnsi="Arial" w:cs="Arial"/>
        </w:rPr>
        <w:t>whether the disqualification for non-compliance was unlawful and irrational</w:t>
      </w:r>
    </w:p>
    <w:p w14:paraId="63EDEF10" w14:textId="77777777" w:rsidR="00765BC3" w:rsidRPr="00076584" w:rsidRDefault="00765BC3" w:rsidP="00E95FDF">
      <w:pPr>
        <w:pStyle w:val="ListParagraph"/>
        <w:spacing w:line="360" w:lineRule="auto"/>
        <w:ind w:left="1701" w:hanging="850"/>
        <w:jc w:val="both"/>
        <w:rPr>
          <w:rFonts w:ascii="Arial" w:hAnsi="Arial" w:cs="Arial"/>
        </w:rPr>
      </w:pPr>
    </w:p>
    <w:p w14:paraId="331C20AD" w14:textId="4C83E280" w:rsidR="00231953" w:rsidRPr="00C82E72" w:rsidRDefault="00765BC3" w:rsidP="00C82E72">
      <w:pPr>
        <w:pStyle w:val="ListParagraph"/>
        <w:numPr>
          <w:ilvl w:val="1"/>
          <w:numId w:val="1"/>
        </w:numPr>
        <w:spacing w:after="160" w:line="360" w:lineRule="auto"/>
        <w:ind w:left="1701" w:hanging="850"/>
        <w:jc w:val="both"/>
        <w:rPr>
          <w:rFonts w:ascii="Arial" w:hAnsi="Arial" w:cs="Arial"/>
        </w:rPr>
      </w:pPr>
      <w:r>
        <w:rPr>
          <w:rFonts w:ascii="Arial" w:hAnsi="Arial" w:cs="Arial"/>
        </w:rPr>
        <w:t>secondly,</w:t>
      </w:r>
      <w:r w:rsidR="00E95FDF">
        <w:rPr>
          <w:rFonts w:ascii="Arial" w:hAnsi="Arial" w:cs="Arial"/>
        </w:rPr>
        <w:t xml:space="preserve"> </w:t>
      </w:r>
      <w:r w:rsidR="00E95FDF" w:rsidRPr="00076584">
        <w:rPr>
          <w:rFonts w:ascii="Arial" w:hAnsi="Arial" w:cs="Arial"/>
        </w:rPr>
        <w:t xml:space="preserve">whether the award of the tender as a “split tender” was </w:t>
      </w:r>
      <w:r w:rsidR="00E95FDF">
        <w:rPr>
          <w:rFonts w:ascii="Arial" w:hAnsi="Arial" w:cs="Arial"/>
        </w:rPr>
        <w:t>unlawful</w:t>
      </w:r>
      <w:r w:rsidR="008C2424">
        <w:rPr>
          <w:rFonts w:ascii="Arial" w:hAnsi="Arial" w:cs="Arial"/>
        </w:rPr>
        <w:t>.</w:t>
      </w:r>
    </w:p>
    <w:p w14:paraId="425624CA" w14:textId="77777777" w:rsidR="00231953" w:rsidRPr="0052011D" w:rsidRDefault="00231953" w:rsidP="0052011D">
      <w:pPr>
        <w:spacing w:after="160" w:line="360" w:lineRule="auto"/>
        <w:jc w:val="both"/>
        <w:rPr>
          <w:rFonts w:ascii="Arial" w:hAnsi="Arial" w:cs="Arial"/>
        </w:rPr>
      </w:pPr>
    </w:p>
    <w:p w14:paraId="7F47D788" w14:textId="0224721F" w:rsidR="004A73EB" w:rsidRPr="004A73EB" w:rsidRDefault="00765BC3" w:rsidP="004A73EB">
      <w:pPr>
        <w:pStyle w:val="ListParagraph"/>
        <w:numPr>
          <w:ilvl w:val="0"/>
          <w:numId w:val="1"/>
        </w:numPr>
        <w:spacing w:after="160" w:line="360" w:lineRule="auto"/>
        <w:ind w:left="851" w:hanging="851"/>
        <w:jc w:val="both"/>
        <w:rPr>
          <w:rFonts w:ascii="Arial" w:hAnsi="Arial" w:cs="Arial"/>
          <w:i/>
          <w:iCs/>
        </w:rPr>
      </w:pPr>
      <w:r w:rsidRPr="002F3E06">
        <w:rPr>
          <w:rFonts w:ascii="Arial" w:hAnsi="Arial" w:cs="Arial"/>
        </w:rPr>
        <w:t>Eskom is an organ of state and is required, in the issue, consideration of and award of tenders to comply with section 217</w:t>
      </w:r>
      <w:r>
        <w:rPr>
          <w:rStyle w:val="FootnoteReference"/>
          <w:rFonts w:ascii="Arial" w:hAnsi="Arial" w:cs="Arial"/>
        </w:rPr>
        <w:footnoteReference w:id="2"/>
      </w:r>
      <w:r w:rsidRPr="002F3E06">
        <w:rPr>
          <w:rFonts w:ascii="Arial" w:hAnsi="Arial" w:cs="Arial"/>
        </w:rPr>
        <w:t xml:space="preserve"> of the Constitution of the Republic of South Africa.</w:t>
      </w:r>
    </w:p>
    <w:p w14:paraId="4B3AD086" w14:textId="77777777" w:rsidR="004A73EB" w:rsidRPr="004A73EB" w:rsidRDefault="004A73EB" w:rsidP="004A73EB">
      <w:pPr>
        <w:pStyle w:val="ListParagraph"/>
        <w:spacing w:after="160" w:line="360" w:lineRule="auto"/>
        <w:ind w:left="851"/>
        <w:jc w:val="both"/>
        <w:rPr>
          <w:rFonts w:ascii="Arial" w:hAnsi="Arial" w:cs="Arial"/>
          <w:i/>
          <w:iCs/>
        </w:rPr>
      </w:pPr>
    </w:p>
    <w:p w14:paraId="075C2F28" w14:textId="59654F02" w:rsidR="004A73EB" w:rsidRPr="004A73EB" w:rsidRDefault="004A73EB" w:rsidP="004A73EB">
      <w:pPr>
        <w:pStyle w:val="ListParagraph"/>
        <w:numPr>
          <w:ilvl w:val="0"/>
          <w:numId w:val="1"/>
        </w:numPr>
        <w:spacing w:after="160" w:line="360" w:lineRule="auto"/>
        <w:ind w:left="851" w:hanging="851"/>
        <w:jc w:val="both"/>
        <w:rPr>
          <w:rFonts w:ascii="Arial" w:hAnsi="Arial" w:cs="Arial"/>
          <w:i/>
          <w:iCs/>
        </w:rPr>
      </w:pPr>
      <w:r>
        <w:rPr>
          <w:rFonts w:ascii="Arial" w:hAnsi="Arial" w:cs="Arial"/>
        </w:rPr>
        <w:t xml:space="preserve">The </w:t>
      </w:r>
      <w:r w:rsidR="00EA316A">
        <w:rPr>
          <w:rFonts w:ascii="Arial" w:hAnsi="Arial" w:cs="Arial"/>
        </w:rPr>
        <w:t xml:space="preserve">applicable </w:t>
      </w:r>
      <w:r>
        <w:rPr>
          <w:rFonts w:ascii="Arial" w:hAnsi="Arial" w:cs="Arial"/>
        </w:rPr>
        <w:t xml:space="preserve">legislative framework was set out </w:t>
      </w:r>
      <w:r w:rsidR="00EA316A">
        <w:rPr>
          <w:rFonts w:ascii="Arial" w:hAnsi="Arial" w:cs="Arial"/>
        </w:rPr>
        <w:t xml:space="preserve">succinctly </w:t>
      </w:r>
      <w:r>
        <w:rPr>
          <w:rFonts w:ascii="Arial" w:hAnsi="Arial" w:cs="Arial"/>
        </w:rPr>
        <w:t>in Waco Africa (Pty) Ltd t/a SGB-Cape v Eskom Soc Ltd and Others</w:t>
      </w:r>
      <w:r>
        <w:rPr>
          <w:rStyle w:val="FootnoteReference"/>
          <w:rFonts w:ascii="Arial" w:hAnsi="Arial" w:cs="Arial"/>
        </w:rPr>
        <w:footnoteReference w:id="3"/>
      </w:r>
      <w:r>
        <w:rPr>
          <w:rFonts w:ascii="Arial" w:hAnsi="Arial" w:cs="Arial"/>
        </w:rPr>
        <w:t xml:space="preserve"> </w:t>
      </w:r>
      <w:r w:rsidR="00EA316A">
        <w:rPr>
          <w:rFonts w:ascii="Arial" w:hAnsi="Arial" w:cs="Arial"/>
        </w:rPr>
        <w:t xml:space="preserve">by Adams J, </w:t>
      </w:r>
      <w:r>
        <w:rPr>
          <w:rFonts w:ascii="Arial" w:hAnsi="Arial" w:cs="Arial"/>
        </w:rPr>
        <w:t>as follows:</w:t>
      </w:r>
    </w:p>
    <w:p w14:paraId="7689CEE5" w14:textId="77777777" w:rsidR="004A73EB" w:rsidRPr="004A73EB" w:rsidRDefault="004A73EB" w:rsidP="004A73EB">
      <w:pPr>
        <w:pStyle w:val="ListParagraph"/>
        <w:ind w:left="1375"/>
        <w:rPr>
          <w:rFonts w:ascii="Arial" w:hAnsi="Arial" w:cs="Arial"/>
        </w:rPr>
      </w:pPr>
    </w:p>
    <w:p w14:paraId="57ADA76C" w14:textId="3A27D8D8" w:rsidR="004A73EB" w:rsidRPr="002E220C" w:rsidRDefault="004A73EB" w:rsidP="002E220C">
      <w:pPr>
        <w:pStyle w:val="ListParagraph"/>
        <w:spacing w:after="160" w:line="360" w:lineRule="auto"/>
        <w:ind w:left="2268" w:hanging="850"/>
        <w:jc w:val="both"/>
        <w:rPr>
          <w:rFonts w:ascii="Arial" w:hAnsi="Arial" w:cs="Arial"/>
          <w:i/>
          <w:iCs/>
          <w:sz w:val="22"/>
          <w:szCs w:val="22"/>
        </w:rPr>
      </w:pPr>
      <w:r w:rsidRPr="002E220C">
        <w:rPr>
          <w:rFonts w:ascii="Arial" w:hAnsi="Arial" w:cs="Arial"/>
          <w:i/>
          <w:iCs/>
          <w:sz w:val="22"/>
          <w:szCs w:val="22"/>
        </w:rPr>
        <w:lastRenderedPageBreak/>
        <w:t xml:space="preserve"> “[7]</w:t>
      </w:r>
      <w:r w:rsidRPr="002E220C">
        <w:rPr>
          <w:rFonts w:ascii="Arial" w:hAnsi="Arial" w:cs="Arial"/>
          <w:i/>
          <w:iCs/>
          <w:sz w:val="22"/>
          <w:szCs w:val="22"/>
        </w:rPr>
        <w:tab/>
        <w:t>The procurement of goods and services by the state and other public entities is subject to various legal constraints, Section 217(1) of the Constitution requires all organs of state, when they contract for goods or services, to do so ‘in accordance with a system which is fair, equitable, transparent, competitive and cost effective’.  That is taken up in the Public Finance Management Act, Act 1 of 1999 (‘the PFMA’)</w:t>
      </w:r>
      <w:r w:rsidR="002E220C" w:rsidRPr="002E220C">
        <w:rPr>
          <w:rFonts w:ascii="Arial" w:hAnsi="Arial" w:cs="Arial"/>
          <w:i/>
          <w:iCs/>
          <w:sz w:val="22"/>
          <w:szCs w:val="22"/>
        </w:rPr>
        <w:t>, which provides in s 51(1)(a)(iii) that the accounting authority of a public entity (which includes Eskom) ‘must ensure that the public entity…. Has and maintains an appropriate procurement and provisioning system which is fair, equitable, transparent, competitive and cost effective’.  It has also been held that public procurement constitutes ‘administrative action’ as contemplated by the Promotion of Administrative Justice Act, Act 3 of 2000 (‘PAJA’) and must comply with the provisions of that Act.</w:t>
      </w:r>
    </w:p>
    <w:p w14:paraId="6C2165B4" w14:textId="2FFD3C14" w:rsidR="004A73EB" w:rsidRDefault="004A73EB" w:rsidP="002E220C">
      <w:pPr>
        <w:pStyle w:val="ListParagraph"/>
        <w:spacing w:after="160" w:line="360" w:lineRule="auto"/>
        <w:ind w:left="2268" w:hanging="850"/>
        <w:jc w:val="both"/>
        <w:rPr>
          <w:rFonts w:ascii="Arial" w:hAnsi="Arial" w:cs="Arial"/>
          <w:i/>
          <w:iCs/>
          <w:sz w:val="22"/>
          <w:szCs w:val="22"/>
        </w:rPr>
      </w:pPr>
    </w:p>
    <w:p w14:paraId="20F6893C" w14:textId="77777777" w:rsidR="0052011D" w:rsidRPr="002E220C" w:rsidRDefault="0052011D" w:rsidP="002E220C">
      <w:pPr>
        <w:pStyle w:val="ListParagraph"/>
        <w:spacing w:after="160" w:line="360" w:lineRule="auto"/>
        <w:ind w:left="2268" w:hanging="850"/>
        <w:jc w:val="both"/>
        <w:rPr>
          <w:rFonts w:ascii="Arial" w:hAnsi="Arial" w:cs="Arial"/>
          <w:i/>
          <w:iCs/>
          <w:sz w:val="22"/>
          <w:szCs w:val="22"/>
        </w:rPr>
      </w:pPr>
    </w:p>
    <w:p w14:paraId="551880B1" w14:textId="0F869C53" w:rsidR="004A73EB" w:rsidRPr="002E220C" w:rsidRDefault="002E220C" w:rsidP="002E220C">
      <w:pPr>
        <w:pStyle w:val="ListParagraph"/>
        <w:spacing w:after="160" w:line="360" w:lineRule="auto"/>
        <w:ind w:left="2268" w:hanging="850"/>
        <w:jc w:val="both"/>
        <w:rPr>
          <w:rFonts w:ascii="Arial" w:hAnsi="Arial" w:cs="Arial"/>
          <w:i/>
          <w:iCs/>
          <w:sz w:val="22"/>
          <w:szCs w:val="22"/>
        </w:rPr>
      </w:pPr>
      <w:r w:rsidRPr="002E220C">
        <w:rPr>
          <w:rFonts w:ascii="Arial" w:hAnsi="Arial" w:cs="Arial"/>
          <w:i/>
          <w:iCs/>
          <w:sz w:val="22"/>
          <w:szCs w:val="22"/>
        </w:rPr>
        <w:t>[8]</w:t>
      </w:r>
      <w:r w:rsidRPr="002E220C">
        <w:rPr>
          <w:rFonts w:ascii="Arial" w:hAnsi="Arial" w:cs="Arial"/>
          <w:i/>
          <w:iCs/>
          <w:sz w:val="22"/>
          <w:szCs w:val="22"/>
        </w:rPr>
        <w:tab/>
      </w:r>
      <w:r w:rsidR="004A73EB" w:rsidRPr="002E220C">
        <w:rPr>
          <w:rFonts w:ascii="Arial" w:hAnsi="Arial" w:cs="Arial"/>
          <w:i/>
          <w:iCs/>
          <w:sz w:val="22"/>
          <w:szCs w:val="22"/>
        </w:rPr>
        <w:t>Section 217 of the Constitution, the Preferential Procurement Policy Framework Act, Act 5 of 2000 (“the Procurement Act”) and the Public Finance Management Act, Act 1 of 1999 provide the constitutional and legislative framework within which administrative action may be taken in the procurement process.   The lens for judicial review of these actions, as with other administrative action, is found in PAJA.  The central focus of this enquiry is not whether the decision was correct, but whether the process is reviewable on the grounds set out in PAJA”.</w:t>
      </w:r>
    </w:p>
    <w:p w14:paraId="0F9BAF56" w14:textId="77777777" w:rsidR="00EA316A" w:rsidRPr="00EA316A" w:rsidRDefault="00EA316A" w:rsidP="00EA316A">
      <w:pPr>
        <w:spacing w:line="360" w:lineRule="auto"/>
        <w:jc w:val="both"/>
        <w:rPr>
          <w:rFonts w:ascii="Arial" w:hAnsi="Arial" w:cs="Arial"/>
        </w:rPr>
      </w:pPr>
    </w:p>
    <w:p w14:paraId="5E7CEADC" w14:textId="0369283D" w:rsidR="00C50A22" w:rsidRDefault="00EA316A" w:rsidP="00B12662">
      <w:pPr>
        <w:pStyle w:val="ListParagraph"/>
        <w:numPr>
          <w:ilvl w:val="0"/>
          <w:numId w:val="1"/>
        </w:numPr>
        <w:spacing w:line="360" w:lineRule="auto"/>
        <w:ind w:left="851" w:hanging="851"/>
        <w:jc w:val="both"/>
        <w:rPr>
          <w:rFonts w:ascii="Arial" w:hAnsi="Arial" w:cs="Arial"/>
        </w:rPr>
      </w:pPr>
      <w:r>
        <w:rPr>
          <w:rFonts w:ascii="Arial" w:hAnsi="Arial" w:cs="Arial"/>
        </w:rPr>
        <w:t>A</w:t>
      </w:r>
      <w:r w:rsidR="00B91270">
        <w:rPr>
          <w:rFonts w:ascii="Arial" w:hAnsi="Arial" w:cs="Arial"/>
        </w:rPr>
        <w:t xml:space="preserve"> </w:t>
      </w:r>
      <w:r w:rsidR="006257C1">
        <w:rPr>
          <w:rFonts w:ascii="Arial" w:hAnsi="Arial" w:cs="Arial"/>
        </w:rPr>
        <w:t>tender is in effect</w:t>
      </w:r>
      <w:r w:rsidR="00C50A22">
        <w:rPr>
          <w:rFonts w:ascii="Arial" w:hAnsi="Arial" w:cs="Arial"/>
        </w:rPr>
        <w:t xml:space="preserve"> a</w:t>
      </w:r>
      <w:r w:rsidR="00661AA8">
        <w:rPr>
          <w:rFonts w:ascii="Arial" w:hAnsi="Arial" w:cs="Arial"/>
        </w:rPr>
        <w:t>n invitation to</w:t>
      </w:r>
      <w:r w:rsidR="00C50A22">
        <w:rPr>
          <w:rFonts w:ascii="Arial" w:hAnsi="Arial" w:cs="Arial"/>
        </w:rPr>
        <w:t xml:space="preserve"> quot</w:t>
      </w:r>
      <w:r w:rsidR="00661AA8">
        <w:rPr>
          <w:rFonts w:ascii="Arial" w:hAnsi="Arial" w:cs="Arial"/>
        </w:rPr>
        <w:t>e</w:t>
      </w:r>
      <w:r w:rsidR="00C50A22">
        <w:rPr>
          <w:rFonts w:ascii="Arial" w:hAnsi="Arial" w:cs="Arial"/>
        </w:rPr>
        <w:t xml:space="preserve"> </w:t>
      </w:r>
      <w:r w:rsidR="00B91270">
        <w:rPr>
          <w:rFonts w:ascii="Arial" w:hAnsi="Arial" w:cs="Arial"/>
        </w:rPr>
        <w:t>for</w:t>
      </w:r>
      <w:r w:rsidR="00C50A22">
        <w:rPr>
          <w:rFonts w:ascii="Arial" w:hAnsi="Arial" w:cs="Arial"/>
        </w:rPr>
        <w:t xml:space="preserve"> business – whether for the supply of goods or services or both.  The invitation to quote is made up of Eskom’s Procurement and Supply Chain Management Procedure (“SCM procedure”), the </w:t>
      </w:r>
      <w:r w:rsidR="008E295E">
        <w:rPr>
          <w:rFonts w:ascii="Arial" w:hAnsi="Arial" w:cs="Arial"/>
        </w:rPr>
        <w:t>Request for Proposal (“</w:t>
      </w:r>
      <w:r w:rsidR="00C50A22">
        <w:rPr>
          <w:rFonts w:ascii="Arial" w:hAnsi="Arial" w:cs="Arial"/>
        </w:rPr>
        <w:t>RFP</w:t>
      </w:r>
      <w:r w:rsidR="008E295E">
        <w:rPr>
          <w:rFonts w:ascii="Arial" w:hAnsi="Arial" w:cs="Arial"/>
        </w:rPr>
        <w:t>”)</w:t>
      </w:r>
      <w:r w:rsidR="00C50A22">
        <w:rPr>
          <w:rFonts w:ascii="Arial" w:hAnsi="Arial" w:cs="Arial"/>
        </w:rPr>
        <w:t xml:space="preserve"> which includes the Specific Tender Data as well as Eskom’s Standard Conditions of Tender (“the Standard Conditions”)</w:t>
      </w:r>
      <w:r w:rsidR="00C72619">
        <w:rPr>
          <w:rStyle w:val="FootnoteReference"/>
          <w:rFonts w:ascii="Arial" w:hAnsi="Arial" w:cs="Arial"/>
        </w:rPr>
        <w:footnoteReference w:id="4"/>
      </w:r>
      <w:r w:rsidR="00C50A22">
        <w:rPr>
          <w:rFonts w:ascii="Arial" w:hAnsi="Arial" w:cs="Arial"/>
        </w:rPr>
        <w:t>.</w:t>
      </w:r>
    </w:p>
    <w:p w14:paraId="1932D335" w14:textId="77777777" w:rsidR="00831091" w:rsidRPr="00831091" w:rsidRDefault="00831091" w:rsidP="00C50A22">
      <w:pPr>
        <w:spacing w:line="360" w:lineRule="auto"/>
        <w:jc w:val="both"/>
        <w:rPr>
          <w:rFonts w:ascii="Arial" w:hAnsi="Arial" w:cs="Arial"/>
          <w:b/>
          <w:bCs/>
        </w:rPr>
      </w:pPr>
    </w:p>
    <w:p w14:paraId="321BF272" w14:textId="30CF75D9" w:rsidR="008E295E" w:rsidRDefault="00A61AE8" w:rsidP="00B12662">
      <w:pPr>
        <w:pStyle w:val="ListParagraph"/>
        <w:numPr>
          <w:ilvl w:val="0"/>
          <w:numId w:val="1"/>
        </w:numPr>
        <w:spacing w:line="360" w:lineRule="auto"/>
        <w:ind w:left="851" w:hanging="851"/>
        <w:jc w:val="both"/>
        <w:rPr>
          <w:rFonts w:ascii="Arial" w:hAnsi="Arial" w:cs="Arial"/>
        </w:rPr>
      </w:pPr>
      <w:r>
        <w:rPr>
          <w:rFonts w:ascii="Arial" w:hAnsi="Arial" w:cs="Arial"/>
        </w:rPr>
        <w:lastRenderedPageBreak/>
        <w:t>The SCM procedure sets out in detail the process that is followed in the evaluation of a tender.  The process involves 6 stages</w:t>
      </w:r>
      <w:r w:rsidR="007E5CFD">
        <w:rPr>
          <w:rFonts w:ascii="Arial" w:hAnsi="Arial" w:cs="Arial"/>
        </w:rPr>
        <w:t xml:space="preserve"> of evaluation and consideration</w:t>
      </w:r>
      <w:r w:rsidR="008E295E">
        <w:rPr>
          <w:rFonts w:ascii="Arial" w:hAnsi="Arial" w:cs="Arial"/>
        </w:rPr>
        <w:t>:</w:t>
      </w:r>
    </w:p>
    <w:p w14:paraId="7530D4F1" w14:textId="77777777" w:rsidR="008E295E" w:rsidRPr="008E295E" w:rsidRDefault="008E295E" w:rsidP="008E295E">
      <w:pPr>
        <w:pStyle w:val="ListParagraph"/>
        <w:rPr>
          <w:rFonts w:ascii="Arial" w:hAnsi="Arial" w:cs="Arial"/>
        </w:rPr>
      </w:pPr>
    </w:p>
    <w:p w14:paraId="695EC42F" w14:textId="56ED2712" w:rsidR="00273985" w:rsidRPr="007E5CFD" w:rsidRDefault="008E295E" w:rsidP="00700E66">
      <w:pPr>
        <w:pStyle w:val="ListParagraph"/>
        <w:numPr>
          <w:ilvl w:val="1"/>
          <w:numId w:val="1"/>
        </w:numPr>
        <w:spacing w:line="360" w:lineRule="auto"/>
        <w:ind w:left="1701" w:hanging="850"/>
        <w:jc w:val="both"/>
        <w:rPr>
          <w:rFonts w:ascii="Arial" w:hAnsi="Arial" w:cs="Arial"/>
        </w:rPr>
      </w:pPr>
      <w:r>
        <w:rPr>
          <w:rFonts w:ascii="Arial" w:hAnsi="Arial" w:cs="Arial"/>
        </w:rPr>
        <w:t>Stage 1 is an evaluation of the responsiveness criteria</w:t>
      </w:r>
      <w:r w:rsidR="00273985">
        <w:rPr>
          <w:rFonts w:ascii="Arial" w:hAnsi="Arial" w:cs="Arial"/>
        </w:rPr>
        <w:t xml:space="preserve"> -</w:t>
      </w:r>
      <w:r w:rsidR="00D36006">
        <w:rPr>
          <w:rFonts w:ascii="Arial" w:hAnsi="Arial" w:cs="Arial"/>
        </w:rPr>
        <w:t xml:space="preserve"> </w:t>
      </w:r>
      <w:r w:rsidR="00273985" w:rsidRPr="007E5CFD">
        <w:rPr>
          <w:rFonts w:ascii="Arial" w:hAnsi="Arial" w:cs="Arial"/>
          <w:i/>
          <w:iCs/>
          <w:sz w:val="22"/>
          <w:szCs w:val="22"/>
        </w:rPr>
        <w:t>“This includes the eligibility of the tenderer, pre-qualification criteria, copy received of tender, etc.”</w:t>
      </w:r>
    </w:p>
    <w:p w14:paraId="519DAD3F" w14:textId="77777777" w:rsidR="007E5CFD" w:rsidRDefault="007E5CFD" w:rsidP="00700E66">
      <w:pPr>
        <w:pStyle w:val="ListParagraph"/>
        <w:spacing w:line="360" w:lineRule="auto"/>
        <w:ind w:left="1701" w:hanging="850"/>
        <w:jc w:val="both"/>
        <w:rPr>
          <w:rFonts w:ascii="Arial" w:hAnsi="Arial" w:cs="Arial"/>
        </w:rPr>
      </w:pPr>
    </w:p>
    <w:p w14:paraId="12915E90" w14:textId="290C2C32" w:rsidR="00273985" w:rsidRDefault="00273985" w:rsidP="00700E66">
      <w:pPr>
        <w:pStyle w:val="ListParagraph"/>
        <w:numPr>
          <w:ilvl w:val="1"/>
          <w:numId w:val="1"/>
        </w:numPr>
        <w:spacing w:line="360" w:lineRule="auto"/>
        <w:ind w:left="1701" w:hanging="850"/>
        <w:jc w:val="both"/>
        <w:rPr>
          <w:rFonts w:ascii="Arial" w:hAnsi="Arial" w:cs="Arial"/>
          <w:sz w:val="22"/>
          <w:szCs w:val="22"/>
        </w:rPr>
      </w:pPr>
      <w:r>
        <w:rPr>
          <w:rFonts w:ascii="Arial" w:hAnsi="Arial" w:cs="Arial"/>
        </w:rPr>
        <w:t xml:space="preserve">Stage 2 is the mandatory requirements/gatekeepers </w:t>
      </w:r>
      <w:r w:rsidRPr="00273985">
        <w:rPr>
          <w:rFonts w:ascii="Arial" w:hAnsi="Arial" w:cs="Arial"/>
          <w:sz w:val="22"/>
          <w:szCs w:val="22"/>
        </w:rPr>
        <w:t>-</w:t>
      </w:r>
      <w:r w:rsidR="007E5CFD">
        <w:rPr>
          <w:rFonts w:ascii="Arial" w:hAnsi="Arial" w:cs="Arial"/>
          <w:sz w:val="22"/>
          <w:szCs w:val="22"/>
        </w:rPr>
        <w:t xml:space="preserve"> </w:t>
      </w:r>
      <w:r w:rsidRPr="007E5CFD">
        <w:rPr>
          <w:rFonts w:ascii="Arial" w:hAnsi="Arial" w:cs="Arial"/>
          <w:i/>
          <w:iCs/>
          <w:sz w:val="22"/>
          <w:szCs w:val="22"/>
        </w:rPr>
        <w:t>“These requirements (if any), and the supporting documents required to verify the tenderers compliance should be listed in the enquiry document. A condition should also be added to the enquiry stating that these are “must meet” criteria i.e. they must be met in order to qualify for further evaluation. Tenderers who do not meet all the mandatory criteria will be disqualified.”</w:t>
      </w:r>
    </w:p>
    <w:p w14:paraId="530839A1" w14:textId="77777777" w:rsidR="007E5CFD" w:rsidRPr="00273985" w:rsidRDefault="007E5CFD" w:rsidP="007E5CFD">
      <w:pPr>
        <w:pStyle w:val="ListParagraph"/>
        <w:spacing w:line="360" w:lineRule="auto"/>
        <w:ind w:left="1080"/>
        <w:jc w:val="both"/>
        <w:rPr>
          <w:rFonts w:ascii="Arial" w:hAnsi="Arial" w:cs="Arial"/>
          <w:sz w:val="22"/>
          <w:szCs w:val="22"/>
        </w:rPr>
      </w:pPr>
    </w:p>
    <w:p w14:paraId="225C65F6" w14:textId="361E72ED" w:rsidR="00273985" w:rsidRPr="007E5CFD" w:rsidRDefault="00273985" w:rsidP="00700E66">
      <w:pPr>
        <w:pStyle w:val="ListParagraph"/>
        <w:numPr>
          <w:ilvl w:val="1"/>
          <w:numId w:val="1"/>
        </w:numPr>
        <w:spacing w:line="360" w:lineRule="auto"/>
        <w:ind w:left="1701" w:hanging="850"/>
        <w:jc w:val="both"/>
        <w:rPr>
          <w:rFonts w:ascii="Arial" w:hAnsi="Arial" w:cs="Arial"/>
        </w:rPr>
      </w:pPr>
      <w:r>
        <w:rPr>
          <w:rFonts w:ascii="Arial" w:hAnsi="Arial" w:cs="Arial"/>
        </w:rPr>
        <w:t>Stage 3 is functionality – “</w:t>
      </w:r>
      <w:r w:rsidRPr="007E5CFD">
        <w:rPr>
          <w:rFonts w:ascii="Arial" w:hAnsi="Arial" w:cs="Arial"/>
          <w:i/>
          <w:iCs/>
          <w:sz w:val="22"/>
          <w:szCs w:val="22"/>
        </w:rPr>
        <w:t>The need to invite tenders on the basis of functionality as a criterion depends on the nature of the specific</w:t>
      </w:r>
      <w:r w:rsidR="007E5CFD" w:rsidRPr="007E5CFD">
        <w:rPr>
          <w:rFonts w:ascii="Arial" w:hAnsi="Arial" w:cs="Arial"/>
          <w:i/>
          <w:iCs/>
          <w:sz w:val="22"/>
          <w:szCs w:val="22"/>
        </w:rPr>
        <w:t xml:space="preserve"> goods, works or services taking into account quality, reliability, viability and durability of a service and the tenderers technical capacity and capability to execute a contract.”</w:t>
      </w:r>
    </w:p>
    <w:p w14:paraId="492BBB20" w14:textId="77777777" w:rsidR="007E5CFD" w:rsidRDefault="007E5CFD" w:rsidP="00700E66">
      <w:pPr>
        <w:pStyle w:val="ListParagraph"/>
        <w:spacing w:line="360" w:lineRule="auto"/>
        <w:ind w:left="1701" w:hanging="850"/>
        <w:jc w:val="both"/>
        <w:rPr>
          <w:rFonts w:ascii="Arial" w:hAnsi="Arial" w:cs="Arial"/>
        </w:rPr>
      </w:pPr>
    </w:p>
    <w:p w14:paraId="0AFFFE9B" w14:textId="1D5002CA" w:rsidR="00273985" w:rsidRPr="00D72025" w:rsidRDefault="00273985" w:rsidP="00700E66">
      <w:pPr>
        <w:pStyle w:val="ListParagraph"/>
        <w:numPr>
          <w:ilvl w:val="1"/>
          <w:numId w:val="1"/>
        </w:numPr>
        <w:spacing w:line="360" w:lineRule="auto"/>
        <w:ind w:left="1701" w:hanging="850"/>
        <w:jc w:val="both"/>
        <w:rPr>
          <w:rFonts w:ascii="Arial" w:hAnsi="Arial" w:cs="Arial"/>
        </w:rPr>
      </w:pPr>
      <w:r>
        <w:rPr>
          <w:rFonts w:ascii="Arial" w:hAnsi="Arial" w:cs="Arial"/>
        </w:rPr>
        <w:t>Stage 4 is</w:t>
      </w:r>
      <w:r w:rsidR="007E5CFD">
        <w:rPr>
          <w:rFonts w:ascii="Arial" w:hAnsi="Arial" w:cs="Arial"/>
        </w:rPr>
        <w:t xml:space="preserve"> local production and content – if this is a requirement this must be specified in the tender and </w:t>
      </w:r>
      <w:r w:rsidR="007E5CFD" w:rsidRPr="00D72025">
        <w:rPr>
          <w:rFonts w:ascii="Arial" w:hAnsi="Arial" w:cs="Arial"/>
          <w:i/>
          <w:iCs/>
          <w:sz w:val="22"/>
          <w:szCs w:val="22"/>
        </w:rPr>
        <w:t>“</w:t>
      </w:r>
      <w:r w:rsidR="00D72025" w:rsidRPr="00D72025">
        <w:rPr>
          <w:rFonts w:ascii="Arial" w:hAnsi="Arial" w:cs="Arial"/>
          <w:i/>
          <w:iCs/>
          <w:sz w:val="22"/>
          <w:szCs w:val="22"/>
        </w:rPr>
        <w:t>The declaration certificate for local content must form part of the tender enquiry as part of a mandatory returnable”</w:t>
      </w:r>
      <w:r w:rsidR="00D72025">
        <w:rPr>
          <w:rFonts w:ascii="Arial" w:hAnsi="Arial" w:cs="Arial"/>
        </w:rPr>
        <w:t xml:space="preserve"> – in respect of both designated and non-designated sectors. It provides also that </w:t>
      </w:r>
      <w:r w:rsidR="00D72025" w:rsidRPr="00D72025">
        <w:rPr>
          <w:rFonts w:ascii="Arial" w:hAnsi="Arial" w:cs="Arial"/>
          <w:i/>
          <w:iCs/>
          <w:sz w:val="22"/>
          <w:szCs w:val="22"/>
        </w:rPr>
        <w:t>“If thresholds have not been applied for local production and content, this stage may be removed and the evaluation may commence from the next stage.”</w:t>
      </w:r>
    </w:p>
    <w:p w14:paraId="2187C871" w14:textId="77777777" w:rsidR="00D72025" w:rsidRPr="00D72025" w:rsidRDefault="00D72025" w:rsidP="00D72025">
      <w:pPr>
        <w:spacing w:line="360" w:lineRule="auto"/>
        <w:jc w:val="both"/>
        <w:rPr>
          <w:rFonts w:ascii="Arial" w:hAnsi="Arial" w:cs="Arial"/>
        </w:rPr>
      </w:pPr>
    </w:p>
    <w:p w14:paraId="76424375" w14:textId="3DC85E91" w:rsidR="00273985" w:rsidRDefault="00273985" w:rsidP="00700E66">
      <w:pPr>
        <w:pStyle w:val="ListParagraph"/>
        <w:numPr>
          <w:ilvl w:val="1"/>
          <w:numId w:val="1"/>
        </w:numPr>
        <w:tabs>
          <w:tab w:val="left" w:pos="851"/>
        </w:tabs>
        <w:spacing w:line="360" w:lineRule="auto"/>
        <w:ind w:left="1701" w:hanging="850"/>
        <w:jc w:val="both"/>
        <w:rPr>
          <w:rFonts w:ascii="Arial" w:hAnsi="Arial" w:cs="Arial"/>
        </w:rPr>
      </w:pPr>
      <w:r>
        <w:rPr>
          <w:rFonts w:ascii="Arial" w:hAnsi="Arial" w:cs="Arial"/>
        </w:rPr>
        <w:t>Stage 5 is</w:t>
      </w:r>
      <w:r w:rsidR="00AF1197">
        <w:rPr>
          <w:rFonts w:ascii="Arial" w:hAnsi="Arial" w:cs="Arial"/>
        </w:rPr>
        <w:t xml:space="preserve"> price and preference which provides that in regard to price </w:t>
      </w:r>
      <w:r w:rsidR="00AF1197" w:rsidRPr="00EC4FE5">
        <w:rPr>
          <w:rFonts w:ascii="Arial" w:hAnsi="Arial" w:cs="Arial"/>
          <w:i/>
          <w:iCs/>
          <w:sz w:val="22"/>
          <w:szCs w:val="22"/>
        </w:rPr>
        <w:t>“The PPPFA prescribes that the lowest acceptable tender will score 80 or 90 points for price”</w:t>
      </w:r>
      <w:r w:rsidR="00AF1197">
        <w:rPr>
          <w:rFonts w:ascii="Arial" w:hAnsi="Arial" w:cs="Arial"/>
        </w:rPr>
        <w:t xml:space="preserve"> and in regard to preference </w:t>
      </w:r>
      <w:r w:rsidR="00AF1197" w:rsidRPr="00EC4FE5">
        <w:rPr>
          <w:rFonts w:ascii="Arial" w:hAnsi="Arial" w:cs="Arial"/>
          <w:i/>
          <w:iCs/>
          <w:sz w:val="22"/>
          <w:szCs w:val="22"/>
        </w:rPr>
        <w:t>“It must be stated in the enquiry that points will be awarded to a bidder for attainting B-BBEE sta</w:t>
      </w:r>
      <w:r w:rsidR="00EC4FE5" w:rsidRPr="00EC4FE5">
        <w:rPr>
          <w:rFonts w:ascii="Arial" w:hAnsi="Arial" w:cs="Arial"/>
          <w:i/>
          <w:iCs/>
          <w:sz w:val="22"/>
          <w:szCs w:val="22"/>
        </w:rPr>
        <w:t>tus.”</w:t>
      </w:r>
    </w:p>
    <w:p w14:paraId="4DF5E4D7" w14:textId="77777777" w:rsidR="00AF1197" w:rsidRPr="00AF1197" w:rsidRDefault="00AF1197" w:rsidP="00700E66">
      <w:pPr>
        <w:tabs>
          <w:tab w:val="left" w:pos="851"/>
        </w:tabs>
        <w:spacing w:line="360" w:lineRule="auto"/>
        <w:ind w:left="1701" w:hanging="850"/>
        <w:jc w:val="both"/>
        <w:rPr>
          <w:rFonts w:ascii="Arial" w:hAnsi="Arial" w:cs="Arial"/>
        </w:rPr>
      </w:pPr>
    </w:p>
    <w:p w14:paraId="191F2E98" w14:textId="3C9D5725" w:rsidR="00273985" w:rsidRDefault="00273985" w:rsidP="00700E66">
      <w:pPr>
        <w:pStyle w:val="ListParagraph"/>
        <w:numPr>
          <w:ilvl w:val="1"/>
          <w:numId w:val="1"/>
        </w:numPr>
        <w:tabs>
          <w:tab w:val="left" w:pos="851"/>
        </w:tabs>
        <w:spacing w:line="360" w:lineRule="auto"/>
        <w:ind w:left="1701" w:hanging="850"/>
        <w:jc w:val="both"/>
        <w:rPr>
          <w:rFonts w:ascii="Arial" w:hAnsi="Arial" w:cs="Arial"/>
        </w:rPr>
      </w:pPr>
      <w:r>
        <w:rPr>
          <w:rFonts w:ascii="Arial" w:hAnsi="Arial" w:cs="Arial"/>
        </w:rPr>
        <w:t xml:space="preserve">Stage 6 is </w:t>
      </w:r>
      <w:r w:rsidR="00AF1197">
        <w:rPr>
          <w:rFonts w:ascii="Arial" w:hAnsi="Arial" w:cs="Arial"/>
        </w:rPr>
        <w:t>objective criteria</w:t>
      </w:r>
      <w:r w:rsidR="00EC4FE5">
        <w:rPr>
          <w:rFonts w:ascii="Arial" w:hAnsi="Arial" w:cs="Arial"/>
        </w:rPr>
        <w:t xml:space="preserve"> – </w:t>
      </w:r>
      <w:r w:rsidR="00EC4FE5" w:rsidRPr="00EC4FE5">
        <w:rPr>
          <w:rFonts w:ascii="Arial" w:hAnsi="Arial" w:cs="Arial"/>
          <w:i/>
          <w:iCs/>
          <w:sz w:val="22"/>
          <w:szCs w:val="22"/>
        </w:rPr>
        <w:t xml:space="preserve">“If Eskom intends to apply objective criteria it must stipulate the objective criteria in the enquiry documents with the associated </w:t>
      </w:r>
      <w:r w:rsidR="00EC4FE5" w:rsidRPr="00EC4FE5">
        <w:rPr>
          <w:rFonts w:ascii="Arial" w:hAnsi="Arial" w:cs="Arial"/>
          <w:i/>
          <w:iCs/>
          <w:sz w:val="22"/>
          <w:szCs w:val="22"/>
        </w:rPr>
        <w:lastRenderedPageBreak/>
        <w:t>returnables required for purposes of compliance. Functionality and any element of the B-BBEE scorecard may not be used as objective criteria.”</w:t>
      </w:r>
    </w:p>
    <w:p w14:paraId="7B2508F8" w14:textId="77777777" w:rsidR="00EC4FE5" w:rsidRPr="0052011D" w:rsidRDefault="00EC4FE5" w:rsidP="0052011D">
      <w:pPr>
        <w:spacing w:line="360" w:lineRule="auto"/>
        <w:jc w:val="both"/>
        <w:rPr>
          <w:rFonts w:ascii="Arial" w:hAnsi="Arial" w:cs="Arial"/>
        </w:rPr>
      </w:pPr>
    </w:p>
    <w:p w14:paraId="4FC63132" w14:textId="2510751A" w:rsidR="00C359FB" w:rsidRPr="00C359FB" w:rsidRDefault="00831091" w:rsidP="00E36FD9">
      <w:pPr>
        <w:pStyle w:val="Body"/>
        <w:numPr>
          <w:ilvl w:val="0"/>
          <w:numId w:val="1"/>
        </w:numPr>
        <w:spacing w:line="360" w:lineRule="auto"/>
        <w:ind w:left="851" w:hanging="851"/>
        <w:jc w:val="both"/>
        <w:rPr>
          <w:rFonts w:cs="Arial"/>
          <w:bCs/>
          <w:sz w:val="24"/>
          <w:szCs w:val="24"/>
        </w:rPr>
      </w:pPr>
      <w:r>
        <w:rPr>
          <w:rFonts w:cs="Arial"/>
        </w:rPr>
        <w:t xml:space="preserve">It is the application </w:t>
      </w:r>
      <w:r w:rsidR="00EC4FE5">
        <w:rPr>
          <w:rFonts w:cs="Arial"/>
        </w:rPr>
        <w:t>of the criteria</w:t>
      </w:r>
      <w:r w:rsidR="00AA475A" w:rsidRPr="00273985">
        <w:rPr>
          <w:rFonts w:cs="Arial"/>
        </w:rPr>
        <w:t xml:space="preserve"> </w:t>
      </w:r>
      <w:r>
        <w:rPr>
          <w:rFonts w:cs="Arial"/>
        </w:rPr>
        <w:t>in</w:t>
      </w:r>
      <w:r w:rsidR="00AA475A" w:rsidRPr="00273985">
        <w:rPr>
          <w:rFonts w:cs="Arial"/>
        </w:rPr>
        <w:t xml:space="preserve"> </w:t>
      </w:r>
      <w:r w:rsidR="00EC4FE5">
        <w:rPr>
          <w:rFonts w:cs="Arial"/>
        </w:rPr>
        <w:t>stages 2</w:t>
      </w:r>
      <w:r>
        <w:rPr>
          <w:rFonts w:cs="Arial"/>
        </w:rPr>
        <w:t xml:space="preserve">, 5 and 6 </w:t>
      </w:r>
      <w:r w:rsidR="00AA475A" w:rsidRPr="00273985">
        <w:rPr>
          <w:rFonts w:cs="Arial"/>
        </w:rPr>
        <w:t>which are germaine to the</w:t>
      </w:r>
      <w:r w:rsidR="00700E66">
        <w:rPr>
          <w:rFonts w:cs="Arial"/>
        </w:rPr>
        <w:t xml:space="preserve"> </w:t>
      </w:r>
      <w:r w:rsidR="00AA475A" w:rsidRPr="00273985">
        <w:rPr>
          <w:rFonts w:cs="Arial"/>
        </w:rPr>
        <w:t xml:space="preserve">present </w:t>
      </w:r>
      <w:r w:rsidR="00033B19">
        <w:rPr>
          <w:rFonts w:cs="Arial"/>
        </w:rPr>
        <w:t>proceedings</w:t>
      </w:r>
      <w:r w:rsidR="00AA475A" w:rsidRPr="00273985">
        <w:rPr>
          <w:rFonts w:cs="Arial"/>
        </w:rPr>
        <w:t>.</w:t>
      </w:r>
      <w:r w:rsidR="00033B19">
        <w:rPr>
          <w:rFonts w:cs="Arial"/>
        </w:rPr>
        <w:t xml:space="preserve"> </w:t>
      </w:r>
      <w:r w:rsidR="008C2424">
        <w:rPr>
          <w:rFonts w:cs="Arial"/>
        </w:rPr>
        <w:t>The 2</w:t>
      </w:r>
      <w:r w:rsidR="008C2424" w:rsidRPr="008C2424">
        <w:rPr>
          <w:rFonts w:cs="Arial"/>
          <w:vertAlign w:val="superscript"/>
        </w:rPr>
        <w:t>nd</w:t>
      </w:r>
      <w:r w:rsidR="008C2424">
        <w:rPr>
          <w:rFonts w:cs="Arial"/>
        </w:rPr>
        <w:t xml:space="preserve"> criteria </w:t>
      </w:r>
      <w:r w:rsidR="00C72619">
        <w:rPr>
          <w:rFonts w:cs="Arial"/>
        </w:rPr>
        <w:t>are</w:t>
      </w:r>
      <w:r w:rsidR="008C2424">
        <w:rPr>
          <w:rFonts w:cs="Arial"/>
        </w:rPr>
        <w:t xml:space="preserve"> relevant to the disqualification decision and the 5</w:t>
      </w:r>
      <w:r w:rsidR="008C2424" w:rsidRPr="008C2424">
        <w:rPr>
          <w:rFonts w:cs="Arial"/>
          <w:vertAlign w:val="superscript"/>
        </w:rPr>
        <w:t>th</w:t>
      </w:r>
      <w:r w:rsidR="008C2424">
        <w:rPr>
          <w:rFonts w:cs="Arial"/>
        </w:rPr>
        <w:t xml:space="preserve"> and 6</w:t>
      </w:r>
      <w:r w:rsidR="008C2424" w:rsidRPr="008C2424">
        <w:rPr>
          <w:rFonts w:cs="Arial"/>
          <w:vertAlign w:val="superscript"/>
        </w:rPr>
        <w:t>th</w:t>
      </w:r>
      <w:r w:rsidR="008C2424">
        <w:rPr>
          <w:rFonts w:cs="Arial"/>
        </w:rPr>
        <w:t xml:space="preserve"> criteria to the award to more than one tenderer.</w:t>
      </w:r>
      <w:r w:rsidR="00C359FB">
        <w:rPr>
          <w:rFonts w:cs="Arial"/>
        </w:rPr>
        <w:t xml:space="preserve"> These criteria are implemented/considered sequentially beginning with the first.</w:t>
      </w:r>
      <w:r w:rsidR="00E36FD9">
        <w:rPr>
          <w:rFonts w:cs="Arial"/>
        </w:rPr>
        <w:t xml:space="preserve"> </w:t>
      </w:r>
    </w:p>
    <w:p w14:paraId="208560EF" w14:textId="37E46367" w:rsidR="00C359FB" w:rsidRPr="00C359FB" w:rsidRDefault="00E36FD9" w:rsidP="00C359FB">
      <w:pPr>
        <w:pStyle w:val="Body"/>
        <w:spacing w:line="360" w:lineRule="auto"/>
        <w:ind w:left="851"/>
        <w:jc w:val="both"/>
        <w:rPr>
          <w:rFonts w:cs="Arial"/>
          <w:bCs/>
          <w:sz w:val="24"/>
          <w:szCs w:val="24"/>
        </w:rPr>
      </w:pPr>
      <w:r>
        <w:rPr>
          <w:rFonts w:cs="Arial"/>
        </w:rPr>
        <w:t xml:space="preserve">   </w:t>
      </w:r>
    </w:p>
    <w:p w14:paraId="3290A167" w14:textId="4C136E90" w:rsidR="00E36FD9" w:rsidRDefault="00E36FD9" w:rsidP="00E36FD9">
      <w:pPr>
        <w:pStyle w:val="Body"/>
        <w:numPr>
          <w:ilvl w:val="0"/>
          <w:numId w:val="1"/>
        </w:numPr>
        <w:spacing w:line="360" w:lineRule="auto"/>
        <w:ind w:left="851" w:hanging="851"/>
        <w:jc w:val="both"/>
        <w:rPr>
          <w:rFonts w:cs="Arial"/>
          <w:bCs/>
          <w:sz w:val="24"/>
          <w:szCs w:val="24"/>
        </w:rPr>
      </w:pPr>
      <w:r>
        <w:rPr>
          <w:rFonts w:cs="Arial"/>
        </w:rPr>
        <w:t>Was the decision to disqualify Babcock or to award the tender to more than one tenderer, besides the highest scoring tenderer</w:t>
      </w:r>
      <w:r>
        <w:rPr>
          <w:rStyle w:val="FootnoteReference"/>
          <w:rFonts w:cs="Arial"/>
        </w:rPr>
        <w:footnoteReference w:id="5"/>
      </w:r>
      <w:r>
        <w:rPr>
          <w:rFonts w:cs="Arial"/>
        </w:rPr>
        <w:t xml:space="preserve"> either, </w:t>
      </w:r>
      <w:r w:rsidRPr="00E36FD9">
        <w:rPr>
          <w:rFonts w:cs="Arial"/>
          <w:bCs/>
          <w:i/>
          <w:iCs/>
          <w:sz w:val="22"/>
          <w:szCs w:val="22"/>
        </w:rPr>
        <w:t>‘lawful, reasonable and procedurally fair’</w:t>
      </w:r>
      <w:r>
        <w:rPr>
          <w:rFonts w:cs="Arial"/>
          <w:bCs/>
          <w:sz w:val="24"/>
          <w:szCs w:val="24"/>
        </w:rPr>
        <w:t>.</w:t>
      </w:r>
      <w:r>
        <w:rPr>
          <w:rStyle w:val="FootnoteReference"/>
          <w:rFonts w:cs="Arial"/>
          <w:bCs/>
          <w:sz w:val="24"/>
          <w:szCs w:val="24"/>
        </w:rPr>
        <w:footnoteReference w:id="6"/>
      </w:r>
      <w:r>
        <w:rPr>
          <w:rFonts w:cs="Arial"/>
          <w:bCs/>
          <w:sz w:val="24"/>
          <w:szCs w:val="24"/>
        </w:rPr>
        <w:t xml:space="preserve">   </w:t>
      </w:r>
      <w:r w:rsidRPr="00E36FD9">
        <w:rPr>
          <w:rFonts w:cs="Arial"/>
          <w:bCs/>
          <w:sz w:val="24"/>
          <w:szCs w:val="24"/>
        </w:rPr>
        <w:t>It is the case for Babcock that the decision did not meet these criteria and was impeachable for want of adherence to the provisions of specifically section 6(2)(c)</w:t>
      </w:r>
      <w:r w:rsidRPr="00E36FD9">
        <w:rPr>
          <w:rStyle w:val="FootnoteReference"/>
          <w:rFonts w:cs="Arial"/>
          <w:bCs/>
          <w:sz w:val="24"/>
          <w:szCs w:val="24"/>
        </w:rPr>
        <w:footnoteReference w:id="7"/>
      </w:r>
      <w:r w:rsidRPr="00E36FD9">
        <w:rPr>
          <w:rFonts w:cs="Arial"/>
          <w:bCs/>
          <w:sz w:val="24"/>
          <w:szCs w:val="24"/>
        </w:rPr>
        <w:t xml:space="preserve"> of PAJA.</w:t>
      </w:r>
    </w:p>
    <w:p w14:paraId="718CC01C" w14:textId="77777777" w:rsidR="00E36FD9" w:rsidRDefault="00E36FD9" w:rsidP="00E36FD9">
      <w:pPr>
        <w:pStyle w:val="ListParagraph"/>
        <w:ind w:left="851" w:hanging="851"/>
        <w:rPr>
          <w:rFonts w:cs="Arial"/>
          <w:bCs/>
        </w:rPr>
      </w:pPr>
    </w:p>
    <w:p w14:paraId="38C8A585" w14:textId="70539F43" w:rsidR="00033B19" w:rsidRPr="00E36FD9" w:rsidRDefault="007A6F48" w:rsidP="00E36FD9">
      <w:pPr>
        <w:pStyle w:val="ListParagraph"/>
        <w:numPr>
          <w:ilvl w:val="0"/>
          <w:numId w:val="1"/>
        </w:numPr>
        <w:spacing w:line="360" w:lineRule="auto"/>
        <w:ind w:left="851" w:hanging="851"/>
        <w:jc w:val="both"/>
        <w:rPr>
          <w:rFonts w:ascii="Arial" w:hAnsi="Arial" w:cs="Arial"/>
          <w:b/>
          <w:bCs/>
        </w:rPr>
      </w:pPr>
      <w:r w:rsidRPr="00E36FD9">
        <w:rPr>
          <w:rFonts w:ascii="Arial" w:hAnsi="Arial" w:cs="Arial"/>
        </w:rPr>
        <w:t>The basis upon which Babcock was disqualified from the tender process was that it had not submitted a “</w:t>
      </w:r>
      <w:r w:rsidRPr="00E36FD9">
        <w:rPr>
          <w:rFonts w:ascii="Arial" w:hAnsi="Arial" w:cs="Arial"/>
          <w:i/>
          <w:iCs/>
          <w:sz w:val="22"/>
          <w:szCs w:val="22"/>
        </w:rPr>
        <w:t>Mandatory returnable for evaluation”.</w:t>
      </w:r>
      <w:r w:rsidRPr="00E36FD9">
        <w:rPr>
          <w:rFonts w:ascii="Arial" w:hAnsi="Arial" w:cs="Arial"/>
          <w:sz w:val="22"/>
          <w:szCs w:val="22"/>
        </w:rPr>
        <w:t xml:space="preserve">  </w:t>
      </w:r>
      <w:r w:rsidRPr="00E36FD9">
        <w:rPr>
          <w:rFonts w:ascii="Arial" w:hAnsi="Arial" w:cs="Arial"/>
        </w:rPr>
        <w:t xml:space="preserve">The particular item in respect of which it was alleged that </w:t>
      </w:r>
      <w:r w:rsidR="008C2424" w:rsidRPr="00E36FD9">
        <w:rPr>
          <w:rFonts w:ascii="Arial" w:hAnsi="Arial" w:cs="Arial"/>
        </w:rPr>
        <w:t>it</w:t>
      </w:r>
      <w:r w:rsidRPr="00E36FD9">
        <w:rPr>
          <w:rFonts w:ascii="Arial" w:hAnsi="Arial" w:cs="Arial"/>
        </w:rPr>
        <w:t xml:space="preserve"> had not made </w:t>
      </w:r>
      <w:r w:rsidR="008C2424" w:rsidRPr="00E36FD9">
        <w:rPr>
          <w:rFonts w:ascii="Arial" w:hAnsi="Arial" w:cs="Arial"/>
        </w:rPr>
        <w:t>the appropriate</w:t>
      </w:r>
      <w:r w:rsidRPr="00E36FD9">
        <w:rPr>
          <w:rFonts w:ascii="Arial" w:hAnsi="Arial" w:cs="Arial"/>
        </w:rPr>
        <w:t xml:space="preserve"> submission was item 3.2 </w:t>
      </w:r>
      <w:r w:rsidR="008C2424" w:rsidRPr="00E36FD9">
        <w:rPr>
          <w:rFonts w:ascii="Arial" w:hAnsi="Arial" w:cs="Arial"/>
        </w:rPr>
        <w:t xml:space="preserve">- </w:t>
      </w:r>
      <w:r w:rsidRPr="00E36FD9">
        <w:rPr>
          <w:rFonts w:ascii="Arial" w:hAnsi="Arial" w:cs="Arial"/>
          <w:i/>
          <w:iCs/>
          <w:sz w:val="22"/>
          <w:szCs w:val="22"/>
        </w:rPr>
        <w:t>“Certification to ISO 3834”.</w:t>
      </w:r>
    </w:p>
    <w:p w14:paraId="3247FBEC" w14:textId="77777777" w:rsidR="00700E66" w:rsidRPr="00E95FDF" w:rsidRDefault="00700E66" w:rsidP="00E95FDF">
      <w:pPr>
        <w:spacing w:line="360" w:lineRule="auto"/>
        <w:jc w:val="both"/>
        <w:rPr>
          <w:rFonts w:ascii="Arial" w:hAnsi="Arial" w:cs="Arial"/>
        </w:rPr>
      </w:pPr>
    </w:p>
    <w:p w14:paraId="5F5E1369" w14:textId="37763F13" w:rsidR="00F22289" w:rsidRDefault="007A6F48" w:rsidP="0063569A">
      <w:pPr>
        <w:pStyle w:val="ListParagraph"/>
        <w:numPr>
          <w:ilvl w:val="0"/>
          <w:numId w:val="1"/>
        </w:numPr>
        <w:spacing w:line="360" w:lineRule="auto"/>
        <w:ind w:left="851" w:hanging="851"/>
        <w:jc w:val="both"/>
        <w:rPr>
          <w:rFonts w:ascii="Arial" w:hAnsi="Arial" w:cs="Arial"/>
        </w:rPr>
      </w:pPr>
      <w:r w:rsidRPr="007A6F48">
        <w:rPr>
          <w:rFonts w:ascii="Arial" w:hAnsi="Arial" w:cs="Arial"/>
        </w:rPr>
        <w:t xml:space="preserve">The RFP contained a </w:t>
      </w:r>
      <w:r w:rsidRPr="007A6F48">
        <w:rPr>
          <w:rFonts w:ascii="Arial" w:hAnsi="Arial" w:cs="Arial"/>
          <w:i/>
          <w:iCs/>
          <w:sz w:val="22"/>
          <w:szCs w:val="22"/>
        </w:rPr>
        <w:t>“List of Commercial Tender Returnables</w:t>
      </w:r>
      <w:r w:rsidR="00E95FDF">
        <w:rPr>
          <w:rFonts w:ascii="Arial" w:hAnsi="Arial" w:cs="Arial"/>
          <w:i/>
          <w:iCs/>
          <w:sz w:val="22"/>
          <w:szCs w:val="22"/>
        </w:rPr>
        <w:t>” (CTRs)</w:t>
      </w:r>
      <w:r w:rsidRPr="007A6F48">
        <w:rPr>
          <w:rFonts w:ascii="Arial" w:hAnsi="Arial" w:cs="Arial"/>
        </w:rPr>
        <w:t xml:space="preserve"> – these were divided into two categories – the first as </w:t>
      </w:r>
      <w:r w:rsidRPr="008C2424">
        <w:rPr>
          <w:rFonts w:ascii="Arial" w:hAnsi="Arial" w:cs="Arial"/>
          <w:i/>
          <w:iCs/>
          <w:sz w:val="22"/>
          <w:szCs w:val="22"/>
        </w:rPr>
        <w:t>“Mandatory returnable for evaluation”</w:t>
      </w:r>
      <w:r w:rsidRPr="008C2424">
        <w:rPr>
          <w:rFonts w:ascii="Arial" w:hAnsi="Arial" w:cs="Arial"/>
          <w:sz w:val="22"/>
          <w:szCs w:val="22"/>
        </w:rPr>
        <w:t xml:space="preserve"> </w:t>
      </w:r>
      <w:r w:rsidRPr="007A6F48">
        <w:rPr>
          <w:rFonts w:ascii="Arial" w:hAnsi="Arial" w:cs="Arial"/>
        </w:rPr>
        <w:t xml:space="preserve">and the second </w:t>
      </w:r>
      <w:r w:rsidRPr="008C2424">
        <w:rPr>
          <w:rFonts w:ascii="Arial" w:hAnsi="Arial" w:cs="Arial"/>
          <w:i/>
          <w:iCs/>
          <w:sz w:val="22"/>
          <w:szCs w:val="22"/>
        </w:rPr>
        <w:t xml:space="preserve">“Mandatory Returnable for Contract Award”.  </w:t>
      </w:r>
      <w:r w:rsidRPr="007A6F48">
        <w:rPr>
          <w:rFonts w:ascii="Arial" w:hAnsi="Arial" w:cs="Arial"/>
        </w:rPr>
        <w:t xml:space="preserve">In paragraph 1.3 </w:t>
      </w:r>
      <w:r w:rsidR="00F22289">
        <w:rPr>
          <w:rFonts w:ascii="Arial" w:hAnsi="Arial" w:cs="Arial"/>
        </w:rPr>
        <w:t>of the RFP, this was further described in the following terms:</w:t>
      </w:r>
    </w:p>
    <w:p w14:paraId="371B87A0" w14:textId="77777777" w:rsidR="00F22289" w:rsidRPr="00F22289" w:rsidRDefault="00F22289" w:rsidP="00F22289">
      <w:pPr>
        <w:pStyle w:val="ListParagraph"/>
        <w:rPr>
          <w:rFonts w:ascii="Arial" w:hAnsi="Arial" w:cs="Arial"/>
        </w:rPr>
      </w:pPr>
    </w:p>
    <w:p w14:paraId="294A52E4" w14:textId="7F2446A3" w:rsidR="00F22289" w:rsidRPr="00E95FDF" w:rsidRDefault="00F22289" w:rsidP="00E95FDF">
      <w:pPr>
        <w:pStyle w:val="ListParagraph"/>
        <w:spacing w:line="360" w:lineRule="auto"/>
        <w:ind w:left="1440"/>
        <w:jc w:val="both"/>
        <w:rPr>
          <w:rFonts w:ascii="Arial" w:hAnsi="Arial" w:cs="Arial"/>
          <w:i/>
          <w:iCs/>
          <w:sz w:val="22"/>
          <w:szCs w:val="22"/>
        </w:rPr>
      </w:pPr>
      <w:r w:rsidRPr="00E95FDF">
        <w:rPr>
          <w:rFonts w:ascii="Arial" w:hAnsi="Arial" w:cs="Arial"/>
          <w:i/>
          <w:iCs/>
          <w:sz w:val="22"/>
          <w:szCs w:val="22"/>
        </w:rPr>
        <w:t>“The tenderer must submit the returnables set out hereunder as part of its tender.  (Mandatory returnables are indicated by a tick (</w:t>
      </w:r>
      <w:r w:rsidR="009C514B">
        <w:rPr>
          <w:rFonts w:ascii="Segoe UI Symbol" w:hAnsi="Segoe UI Symbol" w:cs="Arial"/>
          <w:i/>
          <w:iCs/>
          <w:sz w:val="22"/>
          <w:szCs w:val="22"/>
        </w:rPr>
        <w:t>✓</w:t>
      </w:r>
      <w:r w:rsidRPr="00E95FDF">
        <w:rPr>
          <w:rFonts w:ascii="Arial" w:hAnsi="Arial" w:cs="Arial"/>
          <w:i/>
          <w:iCs/>
          <w:sz w:val="22"/>
          <w:szCs w:val="22"/>
        </w:rPr>
        <w:t>), and if they are not included by tender deadline, the tenders (sic) will be disqualified from further evaluation).</w:t>
      </w:r>
    </w:p>
    <w:p w14:paraId="6DCE46C1" w14:textId="77777777" w:rsidR="00F22289" w:rsidRPr="00E95FDF" w:rsidRDefault="00F22289" w:rsidP="00E95FDF">
      <w:pPr>
        <w:pStyle w:val="ListParagraph"/>
        <w:spacing w:line="360" w:lineRule="auto"/>
        <w:ind w:left="1440"/>
        <w:jc w:val="both"/>
        <w:rPr>
          <w:rFonts w:ascii="Arial" w:hAnsi="Arial" w:cs="Arial"/>
          <w:i/>
          <w:iCs/>
          <w:sz w:val="22"/>
          <w:szCs w:val="22"/>
        </w:rPr>
      </w:pPr>
    </w:p>
    <w:p w14:paraId="71914A9A" w14:textId="7BEDD685" w:rsidR="007A6F48" w:rsidRPr="00E95FDF" w:rsidRDefault="00F22289" w:rsidP="00E95FDF">
      <w:pPr>
        <w:pStyle w:val="ListParagraph"/>
        <w:spacing w:line="360" w:lineRule="auto"/>
        <w:ind w:left="1440"/>
        <w:jc w:val="both"/>
        <w:rPr>
          <w:rFonts w:ascii="Arial" w:hAnsi="Arial" w:cs="Arial"/>
          <w:i/>
          <w:iCs/>
          <w:sz w:val="22"/>
          <w:szCs w:val="22"/>
        </w:rPr>
      </w:pPr>
      <w:r w:rsidRPr="00E95FDF">
        <w:rPr>
          <w:rFonts w:ascii="Arial" w:hAnsi="Arial" w:cs="Arial"/>
          <w:i/>
          <w:iCs/>
          <w:sz w:val="22"/>
          <w:szCs w:val="22"/>
        </w:rPr>
        <w:lastRenderedPageBreak/>
        <w:t xml:space="preserve">Documents preceded by ** do not need to be physically submitted to Eskom (either at tender deadline or before contract award, if the tenderer is registered with CSD, has provided a valid registration number as required in </w:t>
      </w:r>
      <w:r w:rsidRPr="00E95FDF">
        <w:rPr>
          <w:rFonts w:ascii="Arial" w:hAnsi="Arial" w:cs="Arial"/>
          <w:b/>
          <w:bCs/>
          <w:i/>
          <w:iCs/>
          <w:sz w:val="22"/>
          <w:szCs w:val="22"/>
        </w:rPr>
        <w:t>Annexure B</w:t>
      </w:r>
      <w:r w:rsidRPr="00E95FDF">
        <w:rPr>
          <w:rFonts w:ascii="Arial" w:hAnsi="Arial" w:cs="Arial"/>
          <w:i/>
          <w:iCs/>
          <w:sz w:val="22"/>
          <w:szCs w:val="22"/>
        </w:rPr>
        <w:t xml:space="preserve"> (the tenderer’s particulars) and such documents can be verified on CSD.”</w:t>
      </w:r>
    </w:p>
    <w:p w14:paraId="6DE7E31D" w14:textId="77777777" w:rsidR="007A6F48" w:rsidRPr="007A6F48" w:rsidRDefault="007A6F48" w:rsidP="007A6F48">
      <w:pPr>
        <w:pStyle w:val="ListParagraph"/>
        <w:rPr>
          <w:rFonts w:ascii="Arial" w:hAnsi="Arial" w:cs="Arial"/>
        </w:rPr>
      </w:pPr>
    </w:p>
    <w:p w14:paraId="3BA862E3" w14:textId="6ACF2735" w:rsidR="00F22289" w:rsidRDefault="00F22289" w:rsidP="00F22289">
      <w:pPr>
        <w:pStyle w:val="ListParagraph"/>
        <w:numPr>
          <w:ilvl w:val="0"/>
          <w:numId w:val="1"/>
        </w:numPr>
        <w:spacing w:line="360" w:lineRule="auto"/>
        <w:ind w:left="851" w:hanging="851"/>
        <w:jc w:val="both"/>
        <w:rPr>
          <w:rFonts w:ascii="Arial" w:hAnsi="Arial" w:cs="Arial"/>
        </w:rPr>
      </w:pPr>
      <w:r>
        <w:rPr>
          <w:rFonts w:ascii="Arial" w:hAnsi="Arial" w:cs="Arial"/>
        </w:rPr>
        <w:t xml:space="preserve">A consideration of the list of </w:t>
      </w:r>
      <w:r w:rsidR="00E95FDF">
        <w:rPr>
          <w:rFonts w:ascii="Arial" w:hAnsi="Arial" w:cs="Arial"/>
        </w:rPr>
        <w:t xml:space="preserve">CTRs </w:t>
      </w:r>
      <w:r>
        <w:rPr>
          <w:rFonts w:ascii="Arial" w:hAnsi="Arial" w:cs="Arial"/>
        </w:rPr>
        <w:t xml:space="preserve">categorizes various of those returnables as either mandatory for evaluation or mandatory for contract award.  </w:t>
      </w:r>
      <w:r w:rsidR="00E95FDF">
        <w:rPr>
          <w:rFonts w:ascii="Arial" w:hAnsi="Arial" w:cs="Arial"/>
        </w:rPr>
        <w:t xml:space="preserve">These are two separate parts of the process – once the evaluation has taken place, </w:t>
      </w:r>
      <w:r w:rsidR="00452748">
        <w:rPr>
          <w:rFonts w:ascii="Arial" w:hAnsi="Arial" w:cs="Arial"/>
        </w:rPr>
        <w:t xml:space="preserve">tenderers having met all the requirements then move onto the second part of the process which is </w:t>
      </w:r>
      <w:r w:rsidR="008C2424">
        <w:rPr>
          <w:rFonts w:ascii="Arial" w:hAnsi="Arial" w:cs="Arial"/>
        </w:rPr>
        <w:t xml:space="preserve">for </w:t>
      </w:r>
      <w:r w:rsidR="00452748">
        <w:rPr>
          <w:rFonts w:ascii="Arial" w:hAnsi="Arial" w:cs="Arial"/>
        </w:rPr>
        <w:t xml:space="preserve">consideration of the award.  </w:t>
      </w:r>
      <w:r>
        <w:rPr>
          <w:rFonts w:ascii="Arial" w:hAnsi="Arial" w:cs="Arial"/>
        </w:rPr>
        <w:t xml:space="preserve">Having regard to the categorization of the individual items, some specify the requirement that a written document be submitted in each of the two categories.  </w:t>
      </w:r>
    </w:p>
    <w:p w14:paraId="4C799F37" w14:textId="77777777" w:rsidR="00F22289" w:rsidRDefault="00F22289" w:rsidP="00F22289">
      <w:pPr>
        <w:pStyle w:val="ListParagraph"/>
        <w:spacing w:line="360" w:lineRule="auto"/>
        <w:ind w:left="851"/>
        <w:jc w:val="both"/>
        <w:rPr>
          <w:rFonts w:ascii="Arial" w:hAnsi="Arial" w:cs="Arial"/>
        </w:rPr>
      </w:pPr>
    </w:p>
    <w:p w14:paraId="4C8A637E" w14:textId="78D7C639" w:rsidR="00F22289" w:rsidRDefault="00F22289" w:rsidP="00F22289">
      <w:pPr>
        <w:pStyle w:val="ListParagraph"/>
        <w:numPr>
          <w:ilvl w:val="0"/>
          <w:numId w:val="1"/>
        </w:numPr>
        <w:spacing w:line="360" w:lineRule="auto"/>
        <w:ind w:left="851" w:hanging="851"/>
        <w:jc w:val="both"/>
        <w:rPr>
          <w:rFonts w:ascii="Arial" w:hAnsi="Arial" w:cs="Arial"/>
        </w:rPr>
      </w:pPr>
      <w:r>
        <w:rPr>
          <w:rFonts w:ascii="Arial" w:hAnsi="Arial" w:cs="Arial"/>
        </w:rPr>
        <w:t xml:space="preserve">Item 3 </w:t>
      </w:r>
      <w:r w:rsidR="00452748">
        <w:rPr>
          <w:rFonts w:ascii="Arial" w:hAnsi="Arial" w:cs="Arial"/>
        </w:rPr>
        <w:t xml:space="preserve">of the CTRs </w:t>
      </w:r>
      <w:r>
        <w:rPr>
          <w:rFonts w:ascii="Arial" w:hAnsi="Arial" w:cs="Arial"/>
        </w:rPr>
        <w:t xml:space="preserve">deals with technical requirements.  There are two technical requirements, both of which are described as </w:t>
      </w:r>
      <w:r w:rsidRPr="00456CAB">
        <w:rPr>
          <w:rFonts w:ascii="Arial" w:hAnsi="Arial" w:cs="Arial"/>
          <w:i/>
          <w:iCs/>
          <w:sz w:val="22"/>
          <w:szCs w:val="22"/>
        </w:rPr>
        <w:t>“mandatory returnable for evaluation”</w:t>
      </w:r>
      <w:r w:rsidRPr="00456CAB">
        <w:rPr>
          <w:rFonts w:ascii="Arial" w:hAnsi="Arial" w:cs="Arial"/>
          <w:sz w:val="22"/>
          <w:szCs w:val="22"/>
        </w:rPr>
        <w:t xml:space="preserve"> </w:t>
      </w:r>
      <w:r>
        <w:rPr>
          <w:rFonts w:ascii="Arial" w:hAnsi="Arial" w:cs="Arial"/>
        </w:rPr>
        <w:t>– they are:</w:t>
      </w:r>
    </w:p>
    <w:p w14:paraId="08DC759E" w14:textId="77777777" w:rsidR="0052011D" w:rsidRPr="003459A7" w:rsidRDefault="0052011D" w:rsidP="003459A7">
      <w:pPr>
        <w:spacing w:line="360" w:lineRule="auto"/>
        <w:jc w:val="both"/>
        <w:rPr>
          <w:rFonts w:ascii="Arial" w:hAnsi="Arial" w:cs="Arial"/>
        </w:rPr>
      </w:pPr>
    </w:p>
    <w:p w14:paraId="61C94399" w14:textId="77777777" w:rsidR="00F22289" w:rsidRPr="00F22289" w:rsidRDefault="00F22289" w:rsidP="00F22289">
      <w:pPr>
        <w:pStyle w:val="ListParagraph"/>
        <w:rPr>
          <w:rFonts w:ascii="Arial" w:hAnsi="Arial" w:cs="Arial"/>
        </w:rPr>
      </w:pPr>
    </w:p>
    <w:p w14:paraId="000BDA7B" w14:textId="59C4B85C" w:rsidR="00F22289" w:rsidRPr="00456CAB" w:rsidRDefault="00F22289" w:rsidP="00A84193">
      <w:pPr>
        <w:pStyle w:val="ListParagraph"/>
        <w:spacing w:line="360" w:lineRule="auto"/>
        <w:ind w:left="1701" w:hanging="850"/>
        <w:jc w:val="both"/>
        <w:rPr>
          <w:rFonts w:ascii="Arial" w:hAnsi="Arial" w:cs="Arial"/>
          <w:i/>
          <w:iCs/>
          <w:sz w:val="22"/>
          <w:szCs w:val="22"/>
        </w:rPr>
      </w:pPr>
      <w:r w:rsidRPr="00456CAB">
        <w:rPr>
          <w:rFonts w:ascii="Arial" w:hAnsi="Arial" w:cs="Arial"/>
          <w:i/>
          <w:iCs/>
          <w:sz w:val="22"/>
          <w:szCs w:val="22"/>
        </w:rPr>
        <w:t>“3.1</w:t>
      </w:r>
      <w:r w:rsidRPr="00456CAB">
        <w:rPr>
          <w:rFonts w:ascii="Arial" w:hAnsi="Arial" w:cs="Arial"/>
          <w:i/>
          <w:iCs/>
          <w:sz w:val="22"/>
          <w:szCs w:val="22"/>
        </w:rPr>
        <w:tab/>
        <w:t xml:space="preserve">The tenderer must have experience in the maintenance of fossil fired boiler and </w:t>
      </w:r>
      <w:r w:rsidR="009C514B" w:rsidRPr="00456CAB">
        <w:rPr>
          <w:rFonts w:ascii="Arial" w:hAnsi="Arial" w:cs="Arial"/>
          <w:i/>
          <w:iCs/>
          <w:sz w:val="22"/>
          <w:szCs w:val="22"/>
        </w:rPr>
        <w:t>high-pressure</w:t>
      </w:r>
      <w:r w:rsidRPr="00456CAB">
        <w:rPr>
          <w:rFonts w:ascii="Arial" w:hAnsi="Arial" w:cs="Arial"/>
          <w:i/>
          <w:iCs/>
          <w:sz w:val="22"/>
          <w:szCs w:val="22"/>
        </w:rPr>
        <w:t xml:space="preserve"> piping producing </w:t>
      </w:r>
      <w:r w:rsidR="00A84193" w:rsidRPr="00456CAB">
        <w:rPr>
          <w:rFonts w:ascii="Arial" w:hAnsi="Arial" w:cs="Arial"/>
          <w:i/>
          <w:iCs/>
          <w:sz w:val="22"/>
          <w:szCs w:val="22"/>
        </w:rPr>
        <w:t>&gt; 60MW (in line with the scope above) for a minimum combined period of greater or equals to 36 months.</w:t>
      </w:r>
    </w:p>
    <w:p w14:paraId="0665BB3B" w14:textId="07CC67B5" w:rsidR="00A84193" w:rsidRPr="00456CAB" w:rsidRDefault="00A84193" w:rsidP="00A84193">
      <w:pPr>
        <w:pStyle w:val="ListParagraph"/>
        <w:spacing w:line="360" w:lineRule="auto"/>
        <w:ind w:left="1701" w:hanging="850"/>
        <w:jc w:val="both"/>
        <w:rPr>
          <w:rFonts w:ascii="Arial" w:hAnsi="Arial" w:cs="Arial"/>
          <w:i/>
          <w:iCs/>
          <w:sz w:val="22"/>
          <w:szCs w:val="22"/>
        </w:rPr>
      </w:pPr>
    </w:p>
    <w:p w14:paraId="47B330BE" w14:textId="60DA80C9" w:rsidR="00A84193" w:rsidRPr="00456CAB" w:rsidRDefault="00A84193" w:rsidP="00A84193">
      <w:pPr>
        <w:pStyle w:val="ListParagraph"/>
        <w:spacing w:line="360" w:lineRule="auto"/>
        <w:ind w:left="1701" w:hanging="850"/>
        <w:jc w:val="both"/>
        <w:rPr>
          <w:rFonts w:ascii="Arial" w:hAnsi="Arial" w:cs="Arial"/>
          <w:i/>
          <w:iCs/>
          <w:sz w:val="22"/>
          <w:szCs w:val="22"/>
        </w:rPr>
      </w:pPr>
      <w:r w:rsidRPr="00456CAB">
        <w:rPr>
          <w:rFonts w:ascii="Arial" w:hAnsi="Arial" w:cs="Arial"/>
          <w:i/>
          <w:iCs/>
          <w:sz w:val="22"/>
          <w:szCs w:val="22"/>
        </w:rPr>
        <w:t>3.2</w:t>
      </w:r>
      <w:r w:rsidRPr="00456CAB">
        <w:rPr>
          <w:rFonts w:ascii="Arial" w:hAnsi="Arial" w:cs="Arial"/>
          <w:i/>
          <w:iCs/>
          <w:sz w:val="22"/>
          <w:szCs w:val="22"/>
        </w:rPr>
        <w:tab/>
        <w:t>Certification to ISO 3834”</w:t>
      </w:r>
    </w:p>
    <w:p w14:paraId="398B8021" w14:textId="77777777" w:rsidR="00A84193" w:rsidRDefault="00A84193" w:rsidP="00F22289">
      <w:pPr>
        <w:pStyle w:val="ListParagraph"/>
        <w:spacing w:line="360" w:lineRule="auto"/>
        <w:ind w:left="851"/>
        <w:jc w:val="both"/>
        <w:rPr>
          <w:rFonts w:ascii="Arial" w:hAnsi="Arial" w:cs="Arial"/>
        </w:rPr>
      </w:pPr>
    </w:p>
    <w:p w14:paraId="53C20788" w14:textId="37232E2F" w:rsidR="00033B19" w:rsidRDefault="00A84193" w:rsidP="00A84193">
      <w:pPr>
        <w:pStyle w:val="ListParagraph"/>
        <w:numPr>
          <w:ilvl w:val="0"/>
          <w:numId w:val="1"/>
        </w:numPr>
        <w:spacing w:line="360" w:lineRule="auto"/>
        <w:ind w:left="851" w:hanging="851"/>
        <w:jc w:val="both"/>
        <w:rPr>
          <w:rFonts w:ascii="Arial" w:hAnsi="Arial" w:cs="Arial"/>
        </w:rPr>
      </w:pPr>
      <w:r>
        <w:rPr>
          <w:rFonts w:ascii="Arial" w:hAnsi="Arial" w:cs="Arial"/>
        </w:rPr>
        <w:t>None of the items contained on the CTR</w:t>
      </w:r>
      <w:r w:rsidR="00452748">
        <w:rPr>
          <w:rFonts w:ascii="Arial" w:hAnsi="Arial" w:cs="Arial"/>
        </w:rPr>
        <w:t>s</w:t>
      </w:r>
      <w:r>
        <w:rPr>
          <w:rFonts w:ascii="Arial" w:hAnsi="Arial" w:cs="Arial"/>
        </w:rPr>
        <w:t xml:space="preserve"> list are preceded by “**” as indicated in paragraph 1.3 and it is ostensibly on this basis that Eskom took the view that the failure to submit an ISO 3834 certificate as a mandatory returnable, disqualified Babcock from consideration in the tender.  </w:t>
      </w:r>
    </w:p>
    <w:p w14:paraId="3E3AF4C5" w14:textId="77777777" w:rsidR="00A84193" w:rsidRDefault="00A84193" w:rsidP="00A84193">
      <w:pPr>
        <w:pStyle w:val="ListParagraph"/>
        <w:spacing w:line="360" w:lineRule="auto"/>
        <w:ind w:left="0"/>
        <w:jc w:val="both"/>
        <w:rPr>
          <w:rFonts w:ascii="Arial" w:hAnsi="Arial" w:cs="Arial"/>
        </w:rPr>
      </w:pPr>
    </w:p>
    <w:p w14:paraId="24D2C6A6" w14:textId="1B09DC95" w:rsidR="00033B19" w:rsidRPr="00E95FDF" w:rsidRDefault="00456CAB" w:rsidP="00456CAB">
      <w:pPr>
        <w:pStyle w:val="ListParagraph"/>
        <w:numPr>
          <w:ilvl w:val="0"/>
          <w:numId w:val="1"/>
        </w:numPr>
        <w:spacing w:line="360" w:lineRule="auto"/>
        <w:ind w:left="851" w:hanging="851"/>
        <w:jc w:val="both"/>
        <w:rPr>
          <w:rFonts w:ascii="Arial" w:hAnsi="Arial" w:cs="Arial"/>
          <w:i/>
          <w:iCs/>
          <w:sz w:val="22"/>
          <w:szCs w:val="22"/>
        </w:rPr>
      </w:pPr>
      <w:r>
        <w:rPr>
          <w:rFonts w:ascii="Arial" w:hAnsi="Arial" w:cs="Arial"/>
        </w:rPr>
        <w:t xml:space="preserve">Although item 3.1 did not require the submission of a specific document to evidence the tenderer’s experience, this was provided and set out in a letter by Babcock to Eskom on 24 October 2018 when its tender was submitted.  </w:t>
      </w:r>
      <w:r w:rsidR="00D911AC">
        <w:rPr>
          <w:rFonts w:ascii="Arial" w:hAnsi="Arial" w:cs="Arial"/>
        </w:rPr>
        <w:t xml:space="preserve">It established its </w:t>
      </w:r>
      <w:r w:rsidR="003E5CCD">
        <w:rPr>
          <w:rFonts w:ascii="Arial" w:hAnsi="Arial" w:cs="Arial"/>
        </w:rPr>
        <w:t xml:space="preserve">experience by stating in summary that </w:t>
      </w:r>
      <w:r w:rsidR="003E5CCD" w:rsidRPr="00E95FDF">
        <w:rPr>
          <w:rFonts w:ascii="Arial" w:hAnsi="Arial" w:cs="Arial"/>
          <w:i/>
          <w:iCs/>
          <w:sz w:val="22"/>
          <w:szCs w:val="22"/>
        </w:rPr>
        <w:t xml:space="preserve">“Babcock Ntuthuko </w:t>
      </w:r>
      <w:r w:rsidR="003E5CCD" w:rsidRPr="00E95FDF">
        <w:rPr>
          <w:rFonts w:ascii="Arial" w:hAnsi="Arial" w:cs="Arial"/>
          <w:i/>
          <w:iCs/>
          <w:sz w:val="22"/>
          <w:szCs w:val="22"/>
        </w:rPr>
        <w:lastRenderedPageBreak/>
        <w:t xml:space="preserve">Engineering has been performing boiler repair and maintenance work for Eskom since 2003 on various Power Stations including Lethabo, Hendrina, Matla and Grootvlei”.  </w:t>
      </w:r>
    </w:p>
    <w:p w14:paraId="5E4F0B55" w14:textId="77777777" w:rsidR="00456CAB" w:rsidRDefault="00456CAB" w:rsidP="00456CAB">
      <w:pPr>
        <w:pStyle w:val="ListParagraph"/>
        <w:spacing w:line="360" w:lineRule="auto"/>
        <w:ind w:left="0"/>
        <w:jc w:val="both"/>
        <w:rPr>
          <w:rFonts w:ascii="Arial" w:hAnsi="Arial" w:cs="Arial"/>
        </w:rPr>
      </w:pPr>
    </w:p>
    <w:p w14:paraId="396C1D9D" w14:textId="1EA6E513" w:rsidR="003E5CCD" w:rsidRPr="00452748" w:rsidRDefault="003E5CCD" w:rsidP="003E5CCD">
      <w:pPr>
        <w:pStyle w:val="ListParagraph"/>
        <w:numPr>
          <w:ilvl w:val="0"/>
          <w:numId w:val="1"/>
        </w:numPr>
        <w:spacing w:line="360" w:lineRule="auto"/>
        <w:ind w:left="851" w:hanging="851"/>
        <w:jc w:val="both"/>
        <w:rPr>
          <w:rFonts w:ascii="Arial" w:hAnsi="Arial" w:cs="Arial"/>
          <w:i/>
          <w:iCs/>
          <w:sz w:val="22"/>
          <w:szCs w:val="22"/>
        </w:rPr>
      </w:pPr>
      <w:r>
        <w:rPr>
          <w:rFonts w:ascii="Arial" w:hAnsi="Arial" w:cs="Arial"/>
        </w:rPr>
        <w:t>As far as item 3.2</w:t>
      </w:r>
      <w:r w:rsidR="00452748">
        <w:rPr>
          <w:rFonts w:ascii="Arial" w:hAnsi="Arial" w:cs="Arial"/>
        </w:rPr>
        <w:t xml:space="preserve"> of the CTRs</w:t>
      </w:r>
      <w:r>
        <w:rPr>
          <w:rFonts w:ascii="Arial" w:hAnsi="Arial" w:cs="Arial"/>
        </w:rPr>
        <w:t xml:space="preserve"> is concerned, in the same letter </w:t>
      </w:r>
      <w:r w:rsidR="00452748">
        <w:rPr>
          <w:rFonts w:ascii="Arial" w:hAnsi="Arial" w:cs="Arial"/>
        </w:rPr>
        <w:t xml:space="preserve">of 24 October 2018, Babcock </w:t>
      </w:r>
      <w:r>
        <w:rPr>
          <w:rFonts w:ascii="Arial" w:hAnsi="Arial" w:cs="Arial"/>
        </w:rPr>
        <w:t xml:space="preserve">stated that </w:t>
      </w:r>
      <w:r w:rsidRPr="00452748">
        <w:rPr>
          <w:rFonts w:ascii="Arial" w:hAnsi="Arial" w:cs="Arial"/>
          <w:i/>
          <w:iCs/>
          <w:sz w:val="22"/>
          <w:szCs w:val="22"/>
        </w:rPr>
        <w:t>“The company is also certified in terms of ISO 3834 since 2013 / 2014.”</w:t>
      </w:r>
    </w:p>
    <w:p w14:paraId="61D36147" w14:textId="77777777" w:rsidR="003E5CCD" w:rsidRPr="003E5CCD" w:rsidRDefault="003E5CCD" w:rsidP="00E6515C">
      <w:pPr>
        <w:spacing w:line="360" w:lineRule="auto"/>
        <w:ind w:left="851" w:hanging="851"/>
        <w:jc w:val="both"/>
        <w:rPr>
          <w:rFonts w:ascii="Arial" w:hAnsi="Arial" w:cs="Arial"/>
        </w:rPr>
      </w:pPr>
    </w:p>
    <w:p w14:paraId="70A340D6" w14:textId="7739070E" w:rsidR="008C2424" w:rsidRPr="0052011D" w:rsidRDefault="003E5CCD" w:rsidP="00E6515C">
      <w:pPr>
        <w:pStyle w:val="ListParagraph"/>
        <w:numPr>
          <w:ilvl w:val="0"/>
          <w:numId w:val="1"/>
        </w:numPr>
        <w:spacing w:line="360" w:lineRule="auto"/>
        <w:ind w:left="851" w:hanging="851"/>
        <w:jc w:val="both"/>
        <w:rPr>
          <w:rFonts w:ascii="Arial" w:hAnsi="Arial" w:cs="Arial"/>
          <w:i/>
          <w:iCs/>
          <w:sz w:val="22"/>
          <w:szCs w:val="22"/>
        </w:rPr>
      </w:pPr>
      <w:r>
        <w:rPr>
          <w:rFonts w:ascii="Arial" w:hAnsi="Arial" w:cs="Arial"/>
        </w:rPr>
        <w:t>It was contended by Eskom that “Certification” meant “Certificate” and that the failure to submit a</w:t>
      </w:r>
      <w:r w:rsidR="002E2007">
        <w:rPr>
          <w:rFonts w:ascii="Arial" w:hAnsi="Arial" w:cs="Arial"/>
        </w:rPr>
        <w:t>n</w:t>
      </w:r>
      <w:r>
        <w:rPr>
          <w:rFonts w:ascii="Arial" w:hAnsi="Arial" w:cs="Arial"/>
        </w:rPr>
        <w:t xml:space="preserve"> ISO 3834 Certificate was failure to submit a mandatory returnable for evaluation.  It is clear that on consideration of the various items on the CTR list, that where documents are required these are specified – see for example, item 1.1 which required </w:t>
      </w:r>
      <w:r w:rsidRPr="00E95FDF">
        <w:rPr>
          <w:rFonts w:ascii="Arial" w:hAnsi="Arial" w:cs="Arial"/>
          <w:i/>
          <w:iCs/>
          <w:sz w:val="22"/>
          <w:szCs w:val="22"/>
        </w:rPr>
        <w:t>“Tenderers should submit at least one original and one copy of every tender document and soft copies</w:t>
      </w:r>
      <w:r>
        <w:rPr>
          <w:rFonts w:ascii="Arial" w:hAnsi="Arial" w:cs="Arial"/>
        </w:rPr>
        <w:t>”</w:t>
      </w:r>
      <w:r>
        <w:rPr>
          <w:rStyle w:val="FootnoteReference"/>
          <w:rFonts w:ascii="Arial" w:hAnsi="Arial" w:cs="Arial"/>
        </w:rPr>
        <w:footnoteReference w:id="8"/>
      </w:r>
      <w:r w:rsidR="00E6515C">
        <w:rPr>
          <w:rFonts w:ascii="Arial" w:hAnsi="Arial" w:cs="Arial"/>
        </w:rPr>
        <w:t xml:space="preserve">. </w:t>
      </w:r>
    </w:p>
    <w:p w14:paraId="19E87754" w14:textId="77777777" w:rsidR="0052011D" w:rsidRPr="0052011D" w:rsidRDefault="0052011D" w:rsidP="0052011D">
      <w:pPr>
        <w:pStyle w:val="ListParagraph"/>
        <w:rPr>
          <w:rFonts w:ascii="Arial" w:hAnsi="Arial" w:cs="Arial"/>
          <w:i/>
          <w:iCs/>
          <w:sz w:val="22"/>
          <w:szCs w:val="22"/>
        </w:rPr>
      </w:pPr>
    </w:p>
    <w:p w14:paraId="61D094C7" w14:textId="77777777" w:rsidR="0052011D" w:rsidRPr="008C2424" w:rsidRDefault="0052011D" w:rsidP="0052011D">
      <w:pPr>
        <w:pStyle w:val="ListParagraph"/>
        <w:spacing w:line="360" w:lineRule="auto"/>
        <w:ind w:left="851"/>
        <w:jc w:val="both"/>
        <w:rPr>
          <w:rFonts w:ascii="Arial" w:hAnsi="Arial" w:cs="Arial"/>
          <w:i/>
          <w:iCs/>
          <w:sz w:val="22"/>
          <w:szCs w:val="22"/>
        </w:rPr>
      </w:pPr>
    </w:p>
    <w:p w14:paraId="41FB39E5" w14:textId="77777777" w:rsidR="008C2424" w:rsidRPr="008C2424" w:rsidRDefault="008C2424" w:rsidP="008C2424">
      <w:pPr>
        <w:pStyle w:val="ListParagraph"/>
        <w:rPr>
          <w:rFonts w:ascii="Arial" w:hAnsi="Arial" w:cs="Arial"/>
        </w:rPr>
      </w:pPr>
    </w:p>
    <w:p w14:paraId="667E38BA" w14:textId="363A41B7" w:rsidR="003E5CCD" w:rsidRPr="00E95FDF" w:rsidRDefault="00E6515C" w:rsidP="00E6515C">
      <w:pPr>
        <w:pStyle w:val="ListParagraph"/>
        <w:numPr>
          <w:ilvl w:val="0"/>
          <w:numId w:val="1"/>
        </w:numPr>
        <w:spacing w:line="360" w:lineRule="auto"/>
        <w:ind w:left="851" w:hanging="851"/>
        <w:jc w:val="both"/>
        <w:rPr>
          <w:rFonts w:ascii="Arial" w:hAnsi="Arial" w:cs="Arial"/>
          <w:i/>
          <w:iCs/>
          <w:sz w:val="22"/>
          <w:szCs w:val="22"/>
        </w:rPr>
      </w:pPr>
      <w:r>
        <w:rPr>
          <w:rFonts w:ascii="Arial" w:hAnsi="Arial" w:cs="Arial"/>
        </w:rPr>
        <w:t xml:space="preserve"> Pertinent to the present matter, item 5 which is headed “</w:t>
      </w:r>
      <w:r w:rsidRPr="008C2424">
        <w:rPr>
          <w:rFonts w:ascii="Arial" w:hAnsi="Arial" w:cs="Arial"/>
          <w:i/>
          <w:iCs/>
          <w:sz w:val="22"/>
          <w:szCs w:val="22"/>
        </w:rPr>
        <w:t>Quality</w:t>
      </w:r>
      <w:r>
        <w:rPr>
          <w:rFonts w:ascii="Arial" w:hAnsi="Arial" w:cs="Arial"/>
        </w:rPr>
        <w:t xml:space="preserve">” requires under 5.1, a </w:t>
      </w:r>
      <w:r w:rsidRPr="00E95FDF">
        <w:rPr>
          <w:rFonts w:ascii="Arial" w:hAnsi="Arial" w:cs="Arial"/>
          <w:sz w:val="22"/>
          <w:szCs w:val="22"/>
        </w:rPr>
        <w:t>“</w:t>
      </w:r>
      <w:r w:rsidRPr="002E2007">
        <w:rPr>
          <w:rFonts w:ascii="Arial" w:hAnsi="Arial" w:cs="Arial"/>
          <w:i/>
          <w:iCs/>
          <w:sz w:val="22"/>
          <w:szCs w:val="22"/>
        </w:rPr>
        <w:t>Certificate issued by a</w:t>
      </w:r>
      <w:r w:rsidR="003459A7">
        <w:rPr>
          <w:rFonts w:ascii="Arial" w:hAnsi="Arial" w:cs="Arial"/>
          <w:i/>
          <w:iCs/>
          <w:sz w:val="22"/>
          <w:szCs w:val="22"/>
        </w:rPr>
        <w:t>(sic)</w:t>
      </w:r>
      <w:r w:rsidRPr="002E2007">
        <w:rPr>
          <w:rFonts w:ascii="Arial" w:hAnsi="Arial" w:cs="Arial"/>
          <w:i/>
          <w:iCs/>
          <w:sz w:val="22"/>
          <w:szCs w:val="22"/>
        </w:rPr>
        <w:t xml:space="preserve"> Approved and Authorized Certification Authority</w:t>
      </w:r>
      <w:r>
        <w:rPr>
          <w:rFonts w:ascii="Arial" w:hAnsi="Arial" w:cs="Arial"/>
        </w:rPr>
        <w:t>”</w:t>
      </w:r>
      <w:r w:rsidR="00BD647C">
        <w:rPr>
          <w:rFonts w:ascii="Arial" w:hAnsi="Arial" w:cs="Arial"/>
        </w:rPr>
        <w:t xml:space="preserve"> and “</w:t>
      </w:r>
      <w:r w:rsidR="00BD647C" w:rsidRPr="002E2007">
        <w:rPr>
          <w:rFonts w:ascii="Arial" w:hAnsi="Arial" w:cs="Arial"/>
          <w:i/>
          <w:iCs/>
        </w:rPr>
        <w:t>Certification Authority is has (sic)</w:t>
      </w:r>
      <w:r w:rsidR="00BD647C">
        <w:rPr>
          <w:rFonts w:ascii="Arial" w:hAnsi="Arial" w:cs="Arial"/>
        </w:rPr>
        <w:t xml:space="preserve"> </w:t>
      </w:r>
      <w:r w:rsidR="00BD647C" w:rsidRPr="00E95FDF">
        <w:rPr>
          <w:rFonts w:ascii="Arial" w:hAnsi="Arial" w:cs="Arial"/>
          <w:i/>
          <w:iCs/>
          <w:sz w:val="22"/>
          <w:szCs w:val="22"/>
        </w:rPr>
        <w:t>Recognized International Accreditation</w:t>
      </w:r>
      <w:r w:rsidR="00BD647C">
        <w:rPr>
          <w:rFonts w:ascii="Arial" w:hAnsi="Arial" w:cs="Arial"/>
        </w:rPr>
        <w:t>” and “</w:t>
      </w:r>
      <w:r w:rsidR="00BD647C" w:rsidRPr="00E95FDF">
        <w:rPr>
          <w:rFonts w:ascii="Arial" w:hAnsi="Arial" w:cs="Arial"/>
          <w:i/>
          <w:iCs/>
          <w:sz w:val="22"/>
          <w:szCs w:val="22"/>
        </w:rPr>
        <w:t xml:space="preserve">Validity (expiry date) of Certificate”.  </w:t>
      </w:r>
    </w:p>
    <w:p w14:paraId="5822749C" w14:textId="77777777" w:rsidR="00E6515C" w:rsidRPr="00E6515C" w:rsidRDefault="00E6515C" w:rsidP="00E6515C">
      <w:pPr>
        <w:pStyle w:val="ListParagraph"/>
        <w:rPr>
          <w:rFonts w:ascii="Arial" w:hAnsi="Arial" w:cs="Arial"/>
        </w:rPr>
      </w:pPr>
    </w:p>
    <w:p w14:paraId="784DB4EA" w14:textId="64D62703" w:rsidR="00E6515C" w:rsidRDefault="00E6515C" w:rsidP="00700E66">
      <w:pPr>
        <w:pStyle w:val="ListParagraph"/>
        <w:numPr>
          <w:ilvl w:val="0"/>
          <w:numId w:val="1"/>
        </w:numPr>
        <w:spacing w:line="360" w:lineRule="auto"/>
        <w:ind w:left="851" w:hanging="851"/>
        <w:jc w:val="both"/>
        <w:rPr>
          <w:rFonts w:ascii="Arial" w:hAnsi="Arial" w:cs="Arial"/>
        </w:rPr>
      </w:pPr>
      <w:r>
        <w:rPr>
          <w:rFonts w:ascii="Arial" w:hAnsi="Arial" w:cs="Arial"/>
        </w:rPr>
        <w:t xml:space="preserve">Thus, within the list of CTRs, the words “Certificate” and “Certification” both appear.  </w:t>
      </w:r>
      <w:r w:rsidR="004D5698">
        <w:rPr>
          <w:rFonts w:ascii="Arial" w:hAnsi="Arial" w:cs="Arial"/>
        </w:rPr>
        <w:t>On</w:t>
      </w:r>
      <w:r>
        <w:rPr>
          <w:rFonts w:ascii="Arial" w:hAnsi="Arial" w:cs="Arial"/>
        </w:rPr>
        <w:t xml:space="preserve"> a plain reading of the use of these terms</w:t>
      </w:r>
      <w:r w:rsidR="008C2424">
        <w:rPr>
          <w:rFonts w:ascii="Arial" w:hAnsi="Arial" w:cs="Arial"/>
        </w:rPr>
        <w:t xml:space="preserve"> it is clear</w:t>
      </w:r>
      <w:r>
        <w:rPr>
          <w:rFonts w:ascii="Arial" w:hAnsi="Arial" w:cs="Arial"/>
        </w:rPr>
        <w:t xml:space="preserve"> that they were not intended to be used as synonyms – this much is apparent </w:t>
      </w:r>
      <w:r w:rsidR="004D5698">
        <w:rPr>
          <w:rFonts w:ascii="Arial" w:hAnsi="Arial" w:cs="Arial"/>
        </w:rPr>
        <w:t>from paragraph</w:t>
      </w:r>
      <w:r>
        <w:rPr>
          <w:rFonts w:ascii="Arial" w:hAnsi="Arial" w:cs="Arial"/>
        </w:rPr>
        <w:t xml:space="preserve"> 5.1 of the CTR.</w:t>
      </w:r>
      <w:r w:rsidR="00BD647C">
        <w:rPr>
          <w:rFonts w:ascii="Arial" w:hAnsi="Arial" w:cs="Arial"/>
        </w:rPr>
        <w:t xml:space="preserve">  The reference to certificate</w:t>
      </w:r>
      <w:r w:rsidR="00BD647C">
        <w:rPr>
          <w:rStyle w:val="FootnoteReference"/>
          <w:rFonts w:ascii="Arial" w:hAnsi="Arial" w:cs="Arial"/>
        </w:rPr>
        <w:footnoteReference w:id="9"/>
      </w:r>
      <w:r w:rsidR="00BD647C">
        <w:rPr>
          <w:rFonts w:ascii="Arial" w:hAnsi="Arial" w:cs="Arial"/>
        </w:rPr>
        <w:t xml:space="preserve"> is clearly a reference to a specific document whereas the reference to certification</w:t>
      </w:r>
      <w:r w:rsidR="00BD647C">
        <w:rPr>
          <w:rStyle w:val="FootnoteReference"/>
          <w:rFonts w:ascii="Arial" w:hAnsi="Arial" w:cs="Arial"/>
        </w:rPr>
        <w:footnoteReference w:id="10"/>
      </w:r>
      <w:r w:rsidR="00BD647C">
        <w:rPr>
          <w:rFonts w:ascii="Arial" w:hAnsi="Arial" w:cs="Arial"/>
        </w:rPr>
        <w:t xml:space="preserve"> in the CTR is to the body that has the authority to issue a certificate.</w:t>
      </w:r>
    </w:p>
    <w:p w14:paraId="790FC4BD" w14:textId="77777777" w:rsidR="00BD647C" w:rsidRPr="00BD647C" w:rsidRDefault="00BD647C" w:rsidP="00BD647C">
      <w:pPr>
        <w:pStyle w:val="ListParagraph"/>
        <w:rPr>
          <w:rFonts w:ascii="Arial" w:hAnsi="Arial" w:cs="Arial"/>
        </w:rPr>
      </w:pPr>
    </w:p>
    <w:p w14:paraId="40055CAF" w14:textId="04609E28" w:rsidR="00700E66" w:rsidRDefault="00BD647C" w:rsidP="00700E66">
      <w:pPr>
        <w:pStyle w:val="ListParagraph"/>
        <w:numPr>
          <w:ilvl w:val="0"/>
          <w:numId w:val="1"/>
        </w:numPr>
        <w:spacing w:line="360" w:lineRule="auto"/>
        <w:ind w:left="851" w:hanging="851"/>
        <w:jc w:val="both"/>
        <w:rPr>
          <w:rFonts w:ascii="Arial" w:hAnsi="Arial" w:cs="Arial"/>
        </w:rPr>
      </w:pPr>
      <w:r>
        <w:rPr>
          <w:rFonts w:ascii="Arial" w:hAnsi="Arial" w:cs="Arial"/>
        </w:rPr>
        <w:lastRenderedPageBreak/>
        <w:t xml:space="preserve">Properly construed reference to a certificate means reference to the specific document which </w:t>
      </w:r>
      <w:r w:rsidRPr="004D5698">
        <w:rPr>
          <w:rFonts w:ascii="Arial" w:hAnsi="Arial" w:cs="Arial"/>
          <w:u w:val="single"/>
        </w:rPr>
        <w:t>evidences the certification</w:t>
      </w:r>
      <w:r>
        <w:rPr>
          <w:rFonts w:ascii="Arial" w:hAnsi="Arial" w:cs="Arial"/>
        </w:rPr>
        <w:t xml:space="preserve"> having been obtained.  In the present matter, it is not in dispute that Babcock informed Eskom in its letter submitting its tender that it was indeed possessed of the “certification” referred to in paragraph 3.2 of the CTRs.  </w:t>
      </w:r>
    </w:p>
    <w:p w14:paraId="28C18928" w14:textId="77777777" w:rsidR="00700E66" w:rsidRPr="00700E66" w:rsidRDefault="00700E66" w:rsidP="00700E66">
      <w:pPr>
        <w:pStyle w:val="ListParagraph"/>
        <w:rPr>
          <w:rFonts w:ascii="Arial" w:hAnsi="Arial" w:cs="Arial"/>
        </w:rPr>
      </w:pPr>
    </w:p>
    <w:p w14:paraId="0BE857B2" w14:textId="3258DC94" w:rsidR="00700E66" w:rsidRPr="00E95FDF" w:rsidRDefault="00700E66" w:rsidP="00700E66">
      <w:pPr>
        <w:pStyle w:val="ListParagraph"/>
        <w:numPr>
          <w:ilvl w:val="0"/>
          <w:numId w:val="1"/>
        </w:numPr>
        <w:spacing w:line="360" w:lineRule="auto"/>
        <w:ind w:left="851" w:hanging="851"/>
        <w:jc w:val="both"/>
        <w:rPr>
          <w:rFonts w:ascii="Arial" w:hAnsi="Arial" w:cs="Arial"/>
          <w:i/>
          <w:iCs/>
          <w:sz w:val="22"/>
          <w:szCs w:val="22"/>
        </w:rPr>
      </w:pPr>
      <w:r>
        <w:rPr>
          <w:rFonts w:ascii="Arial" w:hAnsi="Arial" w:cs="Arial"/>
        </w:rPr>
        <w:t xml:space="preserve">The tender was submitted on 24 October 2018 and on 27 November 2018, </w:t>
      </w:r>
      <w:r w:rsidR="00452748">
        <w:rPr>
          <w:rFonts w:ascii="Arial" w:hAnsi="Arial" w:cs="Arial"/>
        </w:rPr>
        <w:t xml:space="preserve">a month after the closing date for the tender, </w:t>
      </w:r>
      <w:r>
        <w:rPr>
          <w:rFonts w:ascii="Arial" w:hAnsi="Arial" w:cs="Arial"/>
        </w:rPr>
        <w:t xml:space="preserve">Eskom wrote to Babcock </w:t>
      </w:r>
      <w:r w:rsidR="004F1F56">
        <w:rPr>
          <w:rFonts w:ascii="Arial" w:hAnsi="Arial" w:cs="Arial"/>
        </w:rPr>
        <w:t>to enquire</w:t>
      </w:r>
      <w:r>
        <w:rPr>
          <w:rFonts w:ascii="Arial" w:hAnsi="Arial" w:cs="Arial"/>
        </w:rPr>
        <w:t xml:space="preserve"> </w:t>
      </w:r>
      <w:r w:rsidRPr="00E95FDF">
        <w:rPr>
          <w:rFonts w:ascii="Arial" w:hAnsi="Arial" w:cs="Arial"/>
          <w:i/>
          <w:iCs/>
          <w:sz w:val="22"/>
          <w:szCs w:val="22"/>
        </w:rPr>
        <w:t xml:space="preserve">“Where can we find Certification to ISO 3834 in your submitted tender.”  </w:t>
      </w:r>
    </w:p>
    <w:p w14:paraId="6B78F525" w14:textId="77777777" w:rsidR="00700E66" w:rsidRPr="00700E66" w:rsidRDefault="00700E66" w:rsidP="00700E66">
      <w:pPr>
        <w:pStyle w:val="ListParagraph"/>
        <w:rPr>
          <w:rFonts w:ascii="Arial" w:hAnsi="Arial" w:cs="Arial"/>
        </w:rPr>
      </w:pPr>
    </w:p>
    <w:p w14:paraId="02A95697" w14:textId="2D79B965" w:rsidR="00700E66" w:rsidRDefault="00700E66" w:rsidP="00700E66">
      <w:pPr>
        <w:pStyle w:val="ListParagraph"/>
        <w:numPr>
          <w:ilvl w:val="0"/>
          <w:numId w:val="1"/>
        </w:numPr>
        <w:spacing w:line="360" w:lineRule="auto"/>
        <w:ind w:left="851" w:hanging="851"/>
        <w:jc w:val="both"/>
        <w:rPr>
          <w:rFonts w:ascii="Arial" w:hAnsi="Arial" w:cs="Arial"/>
        </w:rPr>
      </w:pPr>
      <w:r>
        <w:rPr>
          <w:rFonts w:ascii="Arial" w:hAnsi="Arial" w:cs="Arial"/>
        </w:rPr>
        <w:t xml:space="preserve">On 29 November 2018, Babcock then wrote to Eskom drawing to their attention </w:t>
      </w:r>
      <w:r w:rsidR="00452748">
        <w:rPr>
          <w:rFonts w:ascii="Arial" w:hAnsi="Arial" w:cs="Arial"/>
        </w:rPr>
        <w:t xml:space="preserve">to the fact </w:t>
      </w:r>
      <w:r>
        <w:rPr>
          <w:rFonts w:ascii="Arial" w:hAnsi="Arial" w:cs="Arial"/>
        </w:rPr>
        <w:t xml:space="preserve">that they had referred to their certification in their letter enclosing the tender but did not appear to have </w:t>
      </w:r>
      <w:r w:rsidR="00452748">
        <w:rPr>
          <w:rFonts w:ascii="Arial" w:hAnsi="Arial" w:cs="Arial"/>
        </w:rPr>
        <w:t xml:space="preserve">(had not) </w:t>
      </w:r>
      <w:r>
        <w:rPr>
          <w:rFonts w:ascii="Arial" w:hAnsi="Arial" w:cs="Arial"/>
        </w:rPr>
        <w:t>submitted the certificates in support thereof.  The certificates were then all enclosed</w:t>
      </w:r>
      <w:r>
        <w:rPr>
          <w:rStyle w:val="FootnoteReference"/>
          <w:rFonts w:ascii="Arial" w:hAnsi="Arial" w:cs="Arial"/>
        </w:rPr>
        <w:footnoteReference w:id="11"/>
      </w:r>
      <w:r>
        <w:rPr>
          <w:rFonts w:ascii="Arial" w:hAnsi="Arial" w:cs="Arial"/>
        </w:rPr>
        <w:t>.</w:t>
      </w:r>
    </w:p>
    <w:p w14:paraId="4693F2EB" w14:textId="34DAEF5F" w:rsidR="0052011D" w:rsidRPr="003459A7" w:rsidRDefault="0052011D" w:rsidP="003459A7">
      <w:pPr>
        <w:rPr>
          <w:rFonts w:ascii="Arial" w:hAnsi="Arial" w:cs="Arial"/>
        </w:rPr>
      </w:pPr>
    </w:p>
    <w:p w14:paraId="4E1DECB9" w14:textId="77777777" w:rsidR="0052011D" w:rsidRPr="00700E66" w:rsidRDefault="0052011D" w:rsidP="00700E66">
      <w:pPr>
        <w:pStyle w:val="ListParagraph"/>
        <w:rPr>
          <w:rFonts w:ascii="Arial" w:hAnsi="Arial" w:cs="Arial"/>
        </w:rPr>
      </w:pPr>
    </w:p>
    <w:p w14:paraId="1370AFD2" w14:textId="60F97471" w:rsidR="0076608B" w:rsidRDefault="0076608B" w:rsidP="00700E66">
      <w:pPr>
        <w:pStyle w:val="ListParagraph"/>
        <w:numPr>
          <w:ilvl w:val="0"/>
          <w:numId w:val="1"/>
        </w:numPr>
        <w:spacing w:line="360" w:lineRule="auto"/>
        <w:ind w:left="851" w:hanging="851"/>
        <w:jc w:val="both"/>
        <w:rPr>
          <w:rFonts w:ascii="Arial" w:hAnsi="Arial" w:cs="Arial"/>
        </w:rPr>
      </w:pPr>
      <w:r>
        <w:rPr>
          <w:rFonts w:ascii="Arial" w:hAnsi="Arial" w:cs="Arial"/>
        </w:rPr>
        <w:t xml:space="preserve">Does “Certification to ISO 3834” </w:t>
      </w:r>
      <w:r w:rsidR="004F1F56">
        <w:rPr>
          <w:rFonts w:ascii="Arial" w:hAnsi="Arial" w:cs="Arial"/>
        </w:rPr>
        <w:t>have the same meaning</w:t>
      </w:r>
      <w:r>
        <w:rPr>
          <w:rFonts w:ascii="Arial" w:hAnsi="Arial" w:cs="Arial"/>
        </w:rPr>
        <w:t xml:space="preserve"> as providing a “Certificate </w:t>
      </w:r>
      <w:r w:rsidR="002E2007">
        <w:rPr>
          <w:rFonts w:ascii="Arial" w:hAnsi="Arial" w:cs="Arial"/>
        </w:rPr>
        <w:t>demonstrating</w:t>
      </w:r>
      <w:r>
        <w:rPr>
          <w:rFonts w:ascii="Arial" w:hAnsi="Arial" w:cs="Arial"/>
        </w:rPr>
        <w:t xml:space="preserve"> ISO 3834 certification”?</w:t>
      </w:r>
    </w:p>
    <w:p w14:paraId="3C7869C2" w14:textId="77777777" w:rsidR="004D5698" w:rsidRPr="004D5698" w:rsidRDefault="004D5698" w:rsidP="004D5698">
      <w:pPr>
        <w:pStyle w:val="ListParagraph"/>
        <w:rPr>
          <w:rFonts w:ascii="Arial" w:hAnsi="Arial" w:cs="Arial"/>
        </w:rPr>
      </w:pPr>
    </w:p>
    <w:p w14:paraId="5CF4F56E" w14:textId="7C8451AD" w:rsidR="004D5698" w:rsidRDefault="004D5698" w:rsidP="00700E66">
      <w:pPr>
        <w:pStyle w:val="ListParagraph"/>
        <w:numPr>
          <w:ilvl w:val="0"/>
          <w:numId w:val="1"/>
        </w:numPr>
        <w:spacing w:line="360" w:lineRule="auto"/>
        <w:ind w:left="851" w:hanging="851"/>
        <w:jc w:val="both"/>
        <w:rPr>
          <w:rFonts w:ascii="Arial" w:hAnsi="Arial" w:cs="Arial"/>
        </w:rPr>
      </w:pPr>
      <w:r>
        <w:rPr>
          <w:rFonts w:ascii="Arial" w:hAnsi="Arial" w:cs="Arial"/>
        </w:rPr>
        <w:t xml:space="preserve">In </w:t>
      </w:r>
      <w:r w:rsidR="003459A7">
        <w:rPr>
          <w:rFonts w:ascii="Arial" w:hAnsi="Arial" w:cs="Arial"/>
        </w:rPr>
        <w:t>Allpay</w:t>
      </w:r>
      <w:r>
        <w:rPr>
          <w:rFonts w:ascii="Arial" w:hAnsi="Arial" w:cs="Arial"/>
        </w:rPr>
        <w:t xml:space="preserve"> Consolidated Investment Holdings (Pty) Ltd and Others v Chief Executive Officer of the South African Social Security Agency and others (Corruption Watch and another as amici curiae)</w:t>
      </w:r>
      <w:r>
        <w:rPr>
          <w:rStyle w:val="FootnoteReference"/>
          <w:rFonts w:ascii="Arial" w:hAnsi="Arial" w:cs="Arial"/>
        </w:rPr>
        <w:footnoteReference w:id="12"/>
      </w:r>
      <w:r w:rsidR="007F3E57">
        <w:rPr>
          <w:rFonts w:ascii="Arial" w:hAnsi="Arial" w:cs="Arial"/>
        </w:rPr>
        <w:t>, it was stated:</w:t>
      </w:r>
    </w:p>
    <w:p w14:paraId="5661B6CB" w14:textId="77777777" w:rsidR="007F3E57" w:rsidRPr="007F3E57" w:rsidRDefault="007F3E57" w:rsidP="007F3E57">
      <w:pPr>
        <w:pStyle w:val="ListParagraph"/>
        <w:rPr>
          <w:rFonts w:ascii="Arial" w:hAnsi="Arial" w:cs="Arial"/>
        </w:rPr>
      </w:pPr>
    </w:p>
    <w:p w14:paraId="4A5A8DDD" w14:textId="49B47AEC" w:rsidR="00A52EE8" w:rsidRPr="00EC72BA" w:rsidRDefault="00A52EE8" w:rsidP="00EC72BA">
      <w:pPr>
        <w:spacing w:line="276" w:lineRule="auto"/>
        <w:ind w:left="1418"/>
        <w:jc w:val="both"/>
        <w:rPr>
          <w:rFonts w:ascii="Arial" w:hAnsi="Arial" w:cs="Arial"/>
          <w:i/>
          <w:sz w:val="22"/>
          <w:szCs w:val="22"/>
        </w:rPr>
      </w:pPr>
      <w:r w:rsidRPr="00EC72BA">
        <w:rPr>
          <w:rFonts w:ascii="Arial" w:hAnsi="Arial" w:cs="Arial"/>
          <w:i/>
          <w:sz w:val="22"/>
          <w:szCs w:val="22"/>
        </w:rPr>
        <w:t>“Compliance with the requirements for a valid tender process, issued in accordance with the constitutional and legislative procurement framework, is thus legally required.  These requirements are not merely internal prescripts that SASSA may disregard at whim.  To hold otherwise would undermine the demands of equal treatment, transparency and efficiency under the constitution.  Once a particular administrative process is prescribed by law, it is subject to the norms of procedural fairness codified in PAJA.  Deviations from the procedure will be assessed in terms of those norms of procedural fairness.  That does not mean that administrators may never depart from the system put into place or that deviations will necessarily result in procedural unfairness.  But it does mean that, where administrators depart from procedures, the basis for doing so will have to be reasonable and justifiable, and the process of change must be procedurally fair.”</w:t>
      </w:r>
    </w:p>
    <w:p w14:paraId="4F499EE6" w14:textId="0F0144E9" w:rsidR="007F3E57" w:rsidRDefault="007F3E57" w:rsidP="007F3E57">
      <w:pPr>
        <w:pStyle w:val="ListParagraph"/>
        <w:spacing w:line="360" w:lineRule="auto"/>
        <w:ind w:left="851"/>
        <w:jc w:val="both"/>
        <w:rPr>
          <w:rFonts w:ascii="Arial" w:hAnsi="Arial" w:cs="Arial"/>
        </w:rPr>
      </w:pPr>
    </w:p>
    <w:p w14:paraId="6515C68E" w14:textId="77777777" w:rsidR="0076608B" w:rsidRPr="0076608B" w:rsidRDefault="0076608B" w:rsidP="0076608B">
      <w:pPr>
        <w:pStyle w:val="ListParagraph"/>
        <w:rPr>
          <w:rFonts w:ascii="Arial" w:hAnsi="Arial" w:cs="Arial"/>
        </w:rPr>
      </w:pPr>
    </w:p>
    <w:p w14:paraId="0C129408" w14:textId="2BBAEF7F" w:rsidR="00BD647C" w:rsidRDefault="0076608B" w:rsidP="00700E66">
      <w:pPr>
        <w:pStyle w:val="ListParagraph"/>
        <w:numPr>
          <w:ilvl w:val="0"/>
          <w:numId w:val="1"/>
        </w:numPr>
        <w:spacing w:line="360" w:lineRule="auto"/>
        <w:ind w:left="851" w:hanging="851"/>
        <w:jc w:val="both"/>
        <w:rPr>
          <w:rFonts w:ascii="Arial" w:hAnsi="Arial" w:cs="Arial"/>
        </w:rPr>
      </w:pPr>
      <w:r>
        <w:rPr>
          <w:rFonts w:ascii="Arial" w:hAnsi="Arial" w:cs="Arial"/>
        </w:rPr>
        <w:t>To</w:t>
      </w:r>
      <w:r w:rsidR="00C53A35">
        <w:rPr>
          <w:rFonts w:ascii="Arial" w:hAnsi="Arial" w:cs="Arial"/>
        </w:rPr>
        <w:t xml:space="preserve"> interpret the language used in documents, </w:t>
      </w:r>
      <w:r w:rsidR="00923E09">
        <w:rPr>
          <w:rFonts w:ascii="Arial" w:hAnsi="Arial" w:cs="Arial"/>
        </w:rPr>
        <w:t>the test to be applied was set out by the by the Supreme Court of Appeal in Natal Joint Municipal Pension Fund v Endumeni Municipality</w:t>
      </w:r>
      <w:r w:rsidR="00923E09">
        <w:rPr>
          <w:rStyle w:val="FootnoteReference"/>
          <w:rFonts w:ascii="Arial" w:hAnsi="Arial" w:cs="Arial"/>
        </w:rPr>
        <w:footnoteReference w:id="13"/>
      </w:r>
      <w:r w:rsidR="00923E09">
        <w:rPr>
          <w:rFonts w:ascii="Arial" w:hAnsi="Arial" w:cs="Arial"/>
        </w:rPr>
        <w:t xml:space="preserve"> as follows:</w:t>
      </w:r>
    </w:p>
    <w:p w14:paraId="44B48FD9" w14:textId="77777777" w:rsidR="00923E09" w:rsidRPr="00923E09" w:rsidRDefault="00923E09" w:rsidP="00923E09">
      <w:pPr>
        <w:pStyle w:val="ListParagraph"/>
        <w:rPr>
          <w:rFonts w:ascii="Arial" w:hAnsi="Arial" w:cs="Arial"/>
        </w:rPr>
      </w:pPr>
    </w:p>
    <w:p w14:paraId="4ADAC171" w14:textId="77777777" w:rsidR="00923E09" w:rsidRPr="000741B8" w:rsidRDefault="00923E09" w:rsidP="0052011D">
      <w:pPr>
        <w:autoSpaceDE w:val="0"/>
        <w:autoSpaceDN w:val="0"/>
        <w:adjustRightInd w:val="0"/>
        <w:spacing w:line="360" w:lineRule="auto"/>
        <w:ind w:left="1418"/>
        <w:jc w:val="both"/>
        <w:rPr>
          <w:rFonts w:ascii="Arial" w:hAnsi="Arial" w:cs="Arial"/>
          <w:i/>
          <w:iCs/>
          <w:color w:val="000000"/>
          <w:sz w:val="22"/>
          <w:szCs w:val="22"/>
        </w:rPr>
      </w:pPr>
      <w:r w:rsidRPr="000741B8">
        <w:rPr>
          <w:rFonts w:ascii="Arial" w:hAnsi="Arial" w:cs="Arial"/>
          <w:i/>
          <w:iCs/>
          <w:color w:val="000000"/>
          <w:sz w:val="22"/>
          <w:szCs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p>
    <w:p w14:paraId="1B4B30D3" w14:textId="77777777" w:rsidR="00E6515C" w:rsidRPr="00700E66" w:rsidRDefault="00E6515C" w:rsidP="00700E66">
      <w:pPr>
        <w:rPr>
          <w:rFonts w:ascii="Arial" w:hAnsi="Arial" w:cs="Arial"/>
        </w:rPr>
      </w:pPr>
    </w:p>
    <w:p w14:paraId="3779ADCB" w14:textId="77777777" w:rsidR="00E6515C" w:rsidRPr="00E6515C" w:rsidRDefault="00E6515C" w:rsidP="00E6515C">
      <w:pPr>
        <w:pStyle w:val="ListParagraph"/>
        <w:rPr>
          <w:rFonts w:ascii="Arial" w:hAnsi="Arial" w:cs="Arial"/>
        </w:rPr>
      </w:pPr>
    </w:p>
    <w:p w14:paraId="5B954F9E" w14:textId="7BF094AD" w:rsidR="00D07002" w:rsidRDefault="00D07002" w:rsidP="00700E66">
      <w:pPr>
        <w:pStyle w:val="ListParagraph"/>
        <w:numPr>
          <w:ilvl w:val="0"/>
          <w:numId w:val="1"/>
        </w:numPr>
        <w:spacing w:line="360" w:lineRule="auto"/>
        <w:ind w:left="851" w:hanging="851"/>
        <w:jc w:val="both"/>
        <w:rPr>
          <w:rFonts w:ascii="Arial" w:hAnsi="Arial" w:cs="Arial"/>
          <w:iCs/>
        </w:rPr>
      </w:pPr>
      <w:r>
        <w:rPr>
          <w:rFonts w:ascii="Arial" w:hAnsi="Arial" w:cs="Arial"/>
        </w:rPr>
        <w:t>It was argued on behalf of Babcock that Eskom was aware of the fact that it had both certification and the relevant certificates – these having been requirements that it had fulfilled in its successful award of prior tenders. While it is not in dispute that Eskom were indeed in possession of this, to permit such an approach to the submission of a valid tender, would offend “</w:t>
      </w:r>
      <w:r>
        <w:rPr>
          <w:rFonts w:ascii="Arial" w:hAnsi="Arial" w:cs="Arial"/>
          <w:i/>
        </w:rPr>
        <w:t xml:space="preserve">the demands of equal treatment, transparency and efficiency” </w:t>
      </w:r>
      <w:r w:rsidRPr="00D07002">
        <w:rPr>
          <w:rFonts w:ascii="Arial" w:hAnsi="Arial" w:cs="Arial"/>
          <w:iCs/>
        </w:rPr>
        <w:t>referred to in Allpay</w:t>
      </w:r>
      <w:r>
        <w:rPr>
          <w:rStyle w:val="FootnoteReference"/>
          <w:rFonts w:ascii="Arial" w:hAnsi="Arial" w:cs="Arial"/>
          <w:iCs/>
        </w:rPr>
        <w:footnoteReference w:id="14"/>
      </w:r>
      <w:r>
        <w:rPr>
          <w:rFonts w:ascii="Arial" w:hAnsi="Arial" w:cs="Arial"/>
          <w:i/>
        </w:rPr>
        <w:t xml:space="preserve"> </w:t>
      </w:r>
      <w:r w:rsidRPr="00D07002">
        <w:rPr>
          <w:rFonts w:ascii="Arial" w:hAnsi="Arial" w:cs="Arial"/>
          <w:iCs/>
        </w:rPr>
        <w:t>in that tenderers who had a prior relationship with Eskom would have an advantage over those who did not.</w:t>
      </w:r>
    </w:p>
    <w:p w14:paraId="5784B818" w14:textId="77777777" w:rsidR="00D07002" w:rsidRPr="00D07002" w:rsidRDefault="00D07002" w:rsidP="00D07002">
      <w:pPr>
        <w:pStyle w:val="ListParagraph"/>
        <w:spacing w:line="360" w:lineRule="auto"/>
        <w:ind w:left="851"/>
        <w:jc w:val="both"/>
        <w:rPr>
          <w:rFonts w:ascii="Arial" w:hAnsi="Arial" w:cs="Arial"/>
          <w:iCs/>
        </w:rPr>
      </w:pPr>
    </w:p>
    <w:p w14:paraId="44A40824" w14:textId="20EE73A0" w:rsidR="00700E66" w:rsidRDefault="00D07002" w:rsidP="00700E66">
      <w:pPr>
        <w:pStyle w:val="ListParagraph"/>
        <w:numPr>
          <w:ilvl w:val="0"/>
          <w:numId w:val="1"/>
        </w:numPr>
        <w:spacing w:line="360" w:lineRule="auto"/>
        <w:ind w:left="851" w:hanging="851"/>
        <w:jc w:val="both"/>
        <w:rPr>
          <w:rFonts w:ascii="Arial" w:hAnsi="Arial" w:cs="Arial"/>
        </w:rPr>
      </w:pPr>
      <w:r>
        <w:rPr>
          <w:rFonts w:ascii="Arial" w:hAnsi="Arial" w:cs="Arial"/>
        </w:rPr>
        <w:t>However, t</w:t>
      </w:r>
      <w:r w:rsidR="00700E66">
        <w:rPr>
          <w:rFonts w:ascii="Arial" w:hAnsi="Arial" w:cs="Arial"/>
        </w:rPr>
        <w:t xml:space="preserve">he argument by Eskom that ‘certificate’ and ‘certification’ are to be read as synonyms and interchangeably in the context of the CTR list </w:t>
      </w:r>
      <w:r w:rsidR="0076608B">
        <w:rPr>
          <w:rFonts w:ascii="Arial" w:hAnsi="Arial" w:cs="Arial"/>
        </w:rPr>
        <w:t>and in particular paragraph 3.</w:t>
      </w:r>
      <w:r w:rsidR="004E6C18">
        <w:rPr>
          <w:rFonts w:ascii="Arial" w:hAnsi="Arial" w:cs="Arial"/>
        </w:rPr>
        <w:t>2</w:t>
      </w:r>
      <w:r w:rsidR="0076608B">
        <w:rPr>
          <w:rFonts w:ascii="Arial" w:hAnsi="Arial" w:cs="Arial"/>
        </w:rPr>
        <w:t xml:space="preserve"> </w:t>
      </w:r>
      <w:r w:rsidR="00700E66">
        <w:rPr>
          <w:rFonts w:ascii="Arial" w:hAnsi="Arial" w:cs="Arial"/>
        </w:rPr>
        <w:t>is without merit</w:t>
      </w:r>
      <w:r w:rsidR="0076608B">
        <w:rPr>
          <w:rFonts w:ascii="Arial" w:hAnsi="Arial" w:cs="Arial"/>
        </w:rPr>
        <w:t>.  To do</w:t>
      </w:r>
      <w:r w:rsidR="00700E66">
        <w:rPr>
          <w:rFonts w:ascii="Arial" w:hAnsi="Arial" w:cs="Arial"/>
        </w:rPr>
        <w:t xml:space="preserve"> so would render the requirements set out in paragraph 5.1 </w:t>
      </w:r>
      <w:r w:rsidR="0076608B">
        <w:rPr>
          <w:rFonts w:ascii="Arial" w:hAnsi="Arial" w:cs="Arial"/>
        </w:rPr>
        <w:t>of the CTR</w:t>
      </w:r>
      <w:r w:rsidR="007E6B79">
        <w:rPr>
          <w:rFonts w:ascii="Arial" w:hAnsi="Arial" w:cs="Arial"/>
        </w:rPr>
        <w:t xml:space="preserve"> list</w:t>
      </w:r>
      <w:r w:rsidR="0076608B">
        <w:rPr>
          <w:rFonts w:ascii="Arial" w:hAnsi="Arial" w:cs="Arial"/>
        </w:rPr>
        <w:t xml:space="preserve"> redundant, </w:t>
      </w:r>
      <w:r w:rsidR="00700E66">
        <w:rPr>
          <w:rFonts w:ascii="Arial" w:hAnsi="Arial" w:cs="Arial"/>
        </w:rPr>
        <w:t>irrational</w:t>
      </w:r>
      <w:r w:rsidR="0076608B">
        <w:rPr>
          <w:rFonts w:ascii="Arial" w:hAnsi="Arial" w:cs="Arial"/>
        </w:rPr>
        <w:t xml:space="preserve"> and out of place in keeping with the formulation of the RFP and its purpose.</w:t>
      </w:r>
      <w:r w:rsidR="004E6C18">
        <w:rPr>
          <w:rFonts w:ascii="Arial" w:hAnsi="Arial" w:cs="Arial"/>
        </w:rPr>
        <w:t xml:space="preserve">  It is for this reason that the </w:t>
      </w:r>
      <w:r w:rsidR="004E6C18">
        <w:rPr>
          <w:rFonts w:ascii="Arial" w:hAnsi="Arial" w:cs="Arial"/>
        </w:rPr>
        <w:lastRenderedPageBreak/>
        <w:t>interpretation cast upon paragraph 3.2 of the CTR list by Babcock is to be preferred.  To construe it in any other way would be irrational and inimical to the RTP and the purpose for which the tender was issued.</w:t>
      </w:r>
    </w:p>
    <w:p w14:paraId="0994E26A" w14:textId="77777777" w:rsidR="00700E66" w:rsidRDefault="00700E66" w:rsidP="00700E66">
      <w:pPr>
        <w:pStyle w:val="ListParagraph"/>
        <w:spacing w:line="360" w:lineRule="auto"/>
        <w:ind w:left="0"/>
        <w:jc w:val="both"/>
        <w:rPr>
          <w:rFonts w:ascii="Arial" w:hAnsi="Arial" w:cs="Arial"/>
        </w:rPr>
      </w:pPr>
    </w:p>
    <w:p w14:paraId="1119A0D8" w14:textId="18634B82" w:rsidR="00B76129" w:rsidRPr="00B76129" w:rsidRDefault="00B76129" w:rsidP="00B76129">
      <w:pPr>
        <w:pStyle w:val="ListParagraph"/>
        <w:numPr>
          <w:ilvl w:val="0"/>
          <w:numId w:val="1"/>
        </w:numPr>
        <w:spacing w:line="360" w:lineRule="auto"/>
        <w:ind w:left="851" w:hanging="851"/>
        <w:jc w:val="both"/>
        <w:rPr>
          <w:rFonts w:ascii="Arial" w:hAnsi="Arial" w:cs="Arial"/>
        </w:rPr>
      </w:pPr>
      <w:r w:rsidRPr="00B76129">
        <w:rPr>
          <w:rFonts w:ascii="Arial" w:hAnsi="Arial" w:cs="Arial"/>
          <w:i/>
          <w:iCs/>
          <w:sz w:val="22"/>
          <w:szCs w:val="22"/>
        </w:rPr>
        <w:t xml:space="preserve">“The issues in these matters are to be decided with reference to the laws relating to public procurement and the notion that public procurement is not a mere showering of public largesse on commercial enterprises.  It is the acquisition of goods and services for the benefit of the public”. </w:t>
      </w:r>
      <w:r>
        <w:rPr>
          <w:rStyle w:val="FootnoteReference"/>
          <w:rFonts w:ascii="Arial" w:hAnsi="Arial" w:cs="Arial"/>
          <w:i/>
          <w:iCs/>
          <w:sz w:val="22"/>
          <w:szCs w:val="22"/>
        </w:rPr>
        <w:footnoteReference w:id="15"/>
      </w:r>
      <w:r w:rsidRPr="00B76129">
        <w:rPr>
          <w:rFonts w:ascii="Arial" w:hAnsi="Arial" w:cs="Arial"/>
        </w:rPr>
        <w:t xml:space="preserve"> </w:t>
      </w:r>
    </w:p>
    <w:p w14:paraId="1F3C3338" w14:textId="77777777" w:rsidR="00B76129" w:rsidRPr="00B76129" w:rsidRDefault="00B76129" w:rsidP="00B76129">
      <w:pPr>
        <w:pStyle w:val="ListParagraph"/>
        <w:rPr>
          <w:rFonts w:ascii="Arial" w:hAnsi="Arial" w:cs="Arial"/>
        </w:rPr>
      </w:pPr>
    </w:p>
    <w:p w14:paraId="29206201" w14:textId="37AA08A0" w:rsidR="00B76129" w:rsidRPr="00B76129" w:rsidRDefault="00EC72BA" w:rsidP="00B76129">
      <w:pPr>
        <w:pStyle w:val="ListParagraph"/>
        <w:numPr>
          <w:ilvl w:val="0"/>
          <w:numId w:val="1"/>
        </w:numPr>
        <w:spacing w:line="360" w:lineRule="auto"/>
        <w:ind w:left="851" w:hanging="851"/>
        <w:jc w:val="both"/>
        <w:rPr>
          <w:rFonts w:ascii="Arial" w:hAnsi="Arial" w:cs="Arial"/>
        </w:rPr>
      </w:pPr>
      <w:r w:rsidRPr="00231953">
        <w:rPr>
          <w:rFonts w:ascii="Arial" w:hAnsi="Arial" w:cs="Arial"/>
        </w:rPr>
        <w:t xml:space="preserve">A tender must be clear and unequivocal  in the terms in which it is issued so as to ensure that all those who accept the invitation to tender and do so, are able to place before the party issuing the tender, a fair representation of their ability to meet the requirements of the tender.  </w:t>
      </w:r>
    </w:p>
    <w:p w14:paraId="468899DB" w14:textId="77777777" w:rsidR="00B76129" w:rsidRPr="00B76129" w:rsidRDefault="00B76129" w:rsidP="00B76129">
      <w:pPr>
        <w:pStyle w:val="ListParagraph"/>
        <w:rPr>
          <w:rFonts w:ascii="Arial" w:hAnsi="Arial" w:cs="Arial"/>
        </w:rPr>
      </w:pPr>
    </w:p>
    <w:p w14:paraId="533F8815" w14:textId="77969BBD" w:rsidR="00785F78" w:rsidRDefault="00231953" w:rsidP="00B76129">
      <w:pPr>
        <w:pStyle w:val="ListParagraph"/>
        <w:numPr>
          <w:ilvl w:val="0"/>
          <w:numId w:val="1"/>
        </w:numPr>
        <w:spacing w:line="360" w:lineRule="auto"/>
        <w:ind w:left="851" w:hanging="851"/>
        <w:jc w:val="both"/>
        <w:rPr>
          <w:rFonts w:ascii="Arial" w:hAnsi="Arial" w:cs="Arial"/>
        </w:rPr>
      </w:pPr>
      <w:r w:rsidRPr="00B76129">
        <w:rPr>
          <w:rFonts w:ascii="Arial" w:hAnsi="Arial" w:cs="Arial"/>
        </w:rPr>
        <w:t>In a process which is intended to be ‘</w:t>
      </w:r>
      <w:r w:rsidRPr="00B76129">
        <w:rPr>
          <w:rFonts w:ascii="Arial" w:hAnsi="Arial" w:cs="Arial"/>
          <w:i/>
          <w:iCs/>
          <w:sz w:val="22"/>
          <w:szCs w:val="22"/>
        </w:rPr>
        <w:t>fair, equitable, transparent, competitive and cost effective’,</w:t>
      </w:r>
      <w:r>
        <w:rPr>
          <w:rStyle w:val="FootnoteReference"/>
          <w:rFonts w:ascii="Arial" w:hAnsi="Arial" w:cs="Arial"/>
          <w:i/>
          <w:iCs/>
          <w:sz w:val="22"/>
          <w:szCs w:val="22"/>
        </w:rPr>
        <w:footnoteReference w:id="16"/>
      </w:r>
      <w:r w:rsidRPr="00B76129">
        <w:rPr>
          <w:rFonts w:ascii="Arial" w:hAnsi="Arial" w:cs="Arial"/>
          <w:i/>
          <w:iCs/>
          <w:sz w:val="22"/>
          <w:szCs w:val="22"/>
        </w:rPr>
        <w:t xml:space="preserve"> </w:t>
      </w:r>
      <w:r w:rsidRPr="00B76129">
        <w:rPr>
          <w:rFonts w:ascii="Arial" w:hAnsi="Arial" w:cs="Arial"/>
        </w:rPr>
        <w:t>there is no place to argue compliance with the tender with reference to documents previously submitted in respect of other tenders.  With that being said, a tender must be framed in a manner that is not ambiguous and affords all tenderers an equal opportunity to understand what the requirements of the tender are and to meet those requirements</w:t>
      </w:r>
      <w:r w:rsidR="00785F78">
        <w:rPr>
          <w:rStyle w:val="FootnoteReference"/>
          <w:rFonts w:ascii="Arial" w:hAnsi="Arial" w:cs="Arial"/>
        </w:rPr>
        <w:footnoteReference w:id="17"/>
      </w:r>
      <w:r w:rsidRPr="00B76129">
        <w:rPr>
          <w:rFonts w:ascii="Arial" w:hAnsi="Arial" w:cs="Arial"/>
        </w:rPr>
        <w:t xml:space="preserve">.  It </w:t>
      </w:r>
      <w:r w:rsidR="00453C16" w:rsidRPr="00B76129">
        <w:rPr>
          <w:rFonts w:ascii="Arial" w:hAnsi="Arial" w:cs="Arial"/>
        </w:rPr>
        <w:t>is i</w:t>
      </w:r>
      <w:r w:rsidRPr="00B76129">
        <w:rPr>
          <w:rFonts w:ascii="Arial" w:hAnsi="Arial" w:cs="Arial"/>
        </w:rPr>
        <w:t>nevitable that a poorly drafted and ambiguous (a least insofar as paragraphs 3 and 5 of the RFP are concerned) tender, such as the one in the present case, would be impeachable</w:t>
      </w:r>
      <w:r w:rsidR="00453C16" w:rsidRPr="00B76129">
        <w:rPr>
          <w:rFonts w:ascii="Arial" w:hAnsi="Arial" w:cs="Arial"/>
        </w:rPr>
        <w:t>.</w:t>
      </w:r>
    </w:p>
    <w:p w14:paraId="475481FE" w14:textId="77777777" w:rsidR="00785F78" w:rsidRPr="00785F78" w:rsidRDefault="00785F78" w:rsidP="00785F78">
      <w:pPr>
        <w:pStyle w:val="ListParagraph"/>
        <w:rPr>
          <w:rFonts w:ascii="Arial" w:hAnsi="Arial" w:cs="Arial"/>
        </w:rPr>
      </w:pPr>
    </w:p>
    <w:p w14:paraId="6D67210B" w14:textId="61EB1640" w:rsidR="00231953" w:rsidRDefault="00C72619" w:rsidP="00B76129">
      <w:pPr>
        <w:pStyle w:val="ListParagraph"/>
        <w:numPr>
          <w:ilvl w:val="0"/>
          <w:numId w:val="1"/>
        </w:numPr>
        <w:spacing w:line="360" w:lineRule="auto"/>
        <w:ind w:left="851" w:hanging="851"/>
        <w:jc w:val="both"/>
        <w:rPr>
          <w:rFonts w:ascii="Arial" w:hAnsi="Arial" w:cs="Arial"/>
        </w:rPr>
      </w:pPr>
      <w:r>
        <w:rPr>
          <w:rFonts w:ascii="Arial" w:hAnsi="Arial" w:cs="Arial"/>
        </w:rPr>
        <w:t xml:space="preserve"> The present matter is distinguishable from </w:t>
      </w:r>
      <w:r w:rsidR="00785F78">
        <w:rPr>
          <w:rFonts w:ascii="Arial" w:hAnsi="Arial" w:cs="Arial"/>
        </w:rPr>
        <w:t>the case in Dr JS Moroka Municipality and Others v Betram (Pty) Ltd and Another</w:t>
      </w:r>
      <w:r w:rsidR="00785F78">
        <w:rPr>
          <w:rStyle w:val="FootnoteReference"/>
          <w:rFonts w:ascii="Arial" w:hAnsi="Arial" w:cs="Arial"/>
        </w:rPr>
        <w:footnoteReference w:id="18"/>
      </w:r>
      <w:r w:rsidR="00785F78">
        <w:rPr>
          <w:rFonts w:ascii="Arial" w:hAnsi="Arial" w:cs="Arial"/>
        </w:rPr>
        <w:t xml:space="preserve"> where an original tax clearance certificate was required but a copy was furnished and WDR Earthmoving Enterprises and Another v Joe Gqabi District Municipality and Others</w:t>
      </w:r>
      <w:r w:rsidR="00785F78">
        <w:rPr>
          <w:rStyle w:val="FootnoteReference"/>
          <w:rFonts w:ascii="Arial" w:hAnsi="Arial" w:cs="Arial"/>
        </w:rPr>
        <w:footnoteReference w:id="19"/>
      </w:r>
      <w:r w:rsidR="00785F78">
        <w:rPr>
          <w:rFonts w:ascii="Arial" w:hAnsi="Arial" w:cs="Arial"/>
        </w:rPr>
        <w:t xml:space="preserve"> where the tender required the prior three years audited financial statements to be submitted but only two years were submitted. In both of these cases it was found that the </w:t>
      </w:r>
      <w:r w:rsidR="00785F78">
        <w:rPr>
          <w:rFonts w:ascii="Arial" w:hAnsi="Arial" w:cs="Arial"/>
        </w:rPr>
        <w:lastRenderedPageBreak/>
        <w:t>failure to comply with the requirements justified disqualification. In both instances the requirements were clear and unequivocal in the</w:t>
      </w:r>
      <w:r w:rsidR="007E6B79">
        <w:rPr>
          <w:rFonts w:ascii="Arial" w:hAnsi="Arial" w:cs="Arial"/>
        </w:rPr>
        <w:t>i</w:t>
      </w:r>
      <w:r w:rsidR="00785F78">
        <w:rPr>
          <w:rFonts w:ascii="Arial" w:hAnsi="Arial" w:cs="Arial"/>
        </w:rPr>
        <w:t>r terms unlike in the present instance.</w:t>
      </w:r>
    </w:p>
    <w:p w14:paraId="5E8275C7" w14:textId="77777777" w:rsidR="00B76129" w:rsidRPr="00B76129" w:rsidRDefault="00B76129" w:rsidP="00B76129">
      <w:pPr>
        <w:pStyle w:val="ListParagraph"/>
        <w:rPr>
          <w:rFonts w:ascii="Arial" w:hAnsi="Arial" w:cs="Arial"/>
        </w:rPr>
      </w:pPr>
    </w:p>
    <w:p w14:paraId="7231A4F4" w14:textId="5680A362" w:rsidR="00B76129" w:rsidRDefault="00B76129" w:rsidP="0063569A">
      <w:pPr>
        <w:pStyle w:val="ListParagraph"/>
        <w:numPr>
          <w:ilvl w:val="0"/>
          <w:numId w:val="1"/>
        </w:numPr>
        <w:spacing w:line="360" w:lineRule="auto"/>
        <w:ind w:left="851" w:hanging="851"/>
        <w:jc w:val="both"/>
        <w:rPr>
          <w:rFonts w:ascii="Arial" w:hAnsi="Arial" w:cs="Arial"/>
        </w:rPr>
      </w:pPr>
      <w:r w:rsidRPr="00AA5F45">
        <w:rPr>
          <w:rFonts w:ascii="Arial" w:hAnsi="Arial" w:cs="Arial"/>
        </w:rPr>
        <w:t>It follows that if the mandatory returnable tender requirements were ambiguous, Eskom was required at the very least, to have recognized the ambiguity and afforded Babcock and every other tenderer who was disqualified in consequence thereof, an opportunity to comply with what it had intended the requirements to be</w:t>
      </w:r>
      <w:r w:rsidR="007E6B79">
        <w:rPr>
          <w:rFonts w:ascii="Arial" w:hAnsi="Arial" w:cs="Arial"/>
        </w:rPr>
        <w:t>, particularly given that a failure to submit any of those returnables would at that second stage of the process disqualify any tenderer who did not comply.</w:t>
      </w:r>
      <w:r w:rsidRPr="00AA5F45">
        <w:rPr>
          <w:rFonts w:ascii="Arial" w:hAnsi="Arial" w:cs="Arial"/>
        </w:rPr>
        <w:t xml:space="preserve"> Its failure to do so, was procedurally unfair as provided for in section 6(2)(e) of PAJA and in consequence, </w:t>
      </w:r>
      <w:r w:rsidR="00AA5F45" w:rsidRPr="00AA5F45">
        <w:rPr>
          <w:rFonts w:ascii="Arial" w:hAnsi="Arial" w:cs="Arial"/>
        </w:rPr>
        <w:t>the disqualification of Babcock from consideration in the award of the tender was both unlawful and irrational.</w:t>
      </w:r>
      <w:r w:rsidR="00AA5F45">
        <w:rPr>
          <w:rFonts w:ascii="Arial" w:hAnsi="Arial" w:cs="Arial"/>
        </w:rPr>
        <w:t xml:space="preserve">  For these reasons this ground of review succeeds.</w:t>
      </w:r>
    </w:p>
    <w:p w14:paraId="24F011F5" w14:textId="622EA298" w:rsidR="00AA5F45" w:rsidRDefault="00AA5F45" w:rsidP="00AA5F45">
      <w:pPr>
        <w:pStyle w:val="ListParagraph"/>
        <w:rPr>
          <w:rFonts w:ascii="Arial" w:hAnsi="Arial" w:cs="Arial"/>
        </w:rPr>
      </w:pPr>
    </w:p>
    <w:p w14:paraId="32208BC5" w14:textId="77777777" w:rsidR="0052011D" w:rsidRPr="00AA5F45" w:rsidRDefault="0052011D" w:rsidP="00AA5F45">
      <w:pPr>
        <w:pStyle w:val="ListParagraph"/>
        <w:rPr>
          <w:rFonts w:ascii="Arial" w:hAnsi="Arial" w:cs="Arial"/>
        </w:rPr>
      </w:pPr>
    </w:p>
    <w:p w14:paraId="1AB821A9" w14:textId="77777777" w:rsidR="00AA5F45" w:rsidRPr="00AA5F45" w:rsidRDefault="00AA5F45" w:rsidP="00AA5F45">
      <w:pPr>
        <w:pStyle w:val="ListParagraph"/>
        <w:spacing w:line="360" w:lineRule="auto"/>
        <w:ind w:left="851"/>
        <w:jc w:val="both"/>
        <w:rPr>
          <w:rFonts w:ascii="Arial" w:hAnsi="Arial" w:cs="Arial"/>
        </w:rPr>
      </w:pPr>
    </w:p>
    <w:p w14:paraId="2686F25B" w14:textId="77777777" w:rsidR="005F4BFF" w:rsidRDefault="004E6C18" w:rsidP="004E6C18">
      <w:pPr>
        <w:pStyle w:val="ListParagraph"/>
        <w:numPr>
          <w:ilvl w:val="0"/>
          <w:numId w:val="1"/>
        </w:numPr>
        <w:spacing w:line="360" w:lineRule="auto"/>
        <w:ind w:left="851" w:hanging="851"/>
        <w:jc w:val="both"/>
        <w:rPr>
          <w:rFonts w:ascii="Arial" w:hAnsi="Arial" w:cs="Arial"/>
        </w:rPr>
      </w:pPr>
      <w:r>
        <w:rPr>
          <w:rFonts w:ascii="Arial" w:hAnsi="Arial" w:cs="Arial"/>
        </w:rPr>
        <w:t>The second ground of review was that the tender had been improperly split between Steinmuller and Actom.</w:t>
      </w:r>
      <w:r w:rsidR="004F1F56">
        <w:rPr>
          <w:rFonts w:ascii="Arial" w:hAnsi="Arial" w:cs="Arial"/>
        </w:rPr>
        <w:t xml:space="preserve"> In view of my finding in regard to the disqualification decision, I do not propose to deal with this ground of review save to say that I am not persuaded that it has any merit. The concession by Babcock that </w:t>
      </w:r>
      <w:r w:rsidR="004F1F56" w:rsidRPr="005F4BFF">
        <w:rPr>
          <w:rFonts w:ascii="Arial" w:hAnsi="Arial" w:cs="Arial"/>
          <w:i/>
          <w:iCs/>
          <w:sz w:val="22"/>
          <w:szCs w:val="22"/>
        </w:rPr>
        <w:t>“</w:t>
      </w:r>
      <w:r w:rsidR="005F4BFF" w:rsidRPr="005F4BFF">
        <w:rPr>
          <w:rFonts w:ascii="Arial" w:hAnsi="Arial" w:cs="Arial"/>
          <w:i/>
          <w:iCs/>
          <w:sz w:val="22"/>
          <w:szCs w:val="22"/>
        </w:rPr>
        <w:t>It was nevertheless always anticipated, because of the sheer volume of the work, that the scope of the work would be divided amongst at least three bidders</w:t>
      </w:r>
      <w:r w:rsidR="004F1F56" w:rsidRPr="005F4BFF">
        <w:rPr>
          <w:rFonts w:ascii="Arial" w:hAnsi="Arial" w:cs="Arial"/>
          <w:i/>
          <w:iCs/>
          <w:sz w:val="22"/>
          <w:szCs w:val="22"/>
        </w:rPr>
        <w:t>”</w:t>
      </w:r>
      <w:r w:rsidR="004F1F56" w:rsidRPr="005F4BFF">
        <w:rPr>
          <w:rFonts w:ascii="Arial" w:hAnsi="Arial" w:cs="Arial"/>
          <w:sz w:val="22"/>
          <w:szCs w:val="22"/>
        </w:rPr>
        <w:t xml:space="preserve"> </w:t>
      </w:r>
      <w:r w:rsidR="004F1F56">
        <w:rPr>
          <w:rFonts w:ascii="Arial" w:hAnsi="Arial" w:cs="Arial"/>
        </w:rPr>
        <w:t xml:space="preserve">is to my mind fatal to this ground. </w:t>
      </w:r>
    </w:p>
    <w:p w14:paraId="220C555E" w14:textId="77777777" w:rsidR="005F4BFF" w:rsidRPr="005F4BFF" w:rsidRDefault="005F4BFF" w:rsidP="005F4BFF">
      <w:pPr>
        <w:pStyle w:val="ListParagraph"/>
        <w:rPr>
          <w:rFonts w:ascii="Arial" w:hAnsi="Arial" w:cs="Arial"/>
        </w:rPr>
      </w:pPr>
    </w:p>
    <w:p w14:paraId="4AA4DADD" w14:textId="4EB210D8" w:rsidR="004E6C18" w:rsidRDefault="004F1F56" w:rsidP="004E6C18">
      <w:pPr>
        <w:pStyle w:val="ListParagraph"/>
        <w:numPr>
          <w:ilvl w:val="0"/>
          <w:numId w:val="1"/>
        </w:numPr>
        <w:spacing w:line="360" w:lineRule="auto"/>
        <w:ind w:left="851" w:hanging="851"/>
        <w:jc w:val="both"/>
        <w:rPr>
          <w:rFonts w:ascii="Arial" w:hAnsi="Arial" w:cs="Arial"/>
        </w:rPr>
      </w:pPr>
      <w:r>
        <w:rPr>
          <w:rFonts w:ascii="Arial" w:hAnsi="Arial" w:cs="Arial"/>
        </w:rPr>
        <w:t>It does not behoove a tenderer in the position of Babcock to engage in a tender process well knowing the tender was going to be split</w:t>
      </w:r>
      <w:r w:rsidR="00AD7C32">
        <w:rPr>
          <w:rFonts w:ascii="Arial" w:hAnsi="Arial" w:cs="Arial"/>
        </w:rPr>
        <w:t>,</w:t>
      </w:r>
      <w:r w:rsidR="00AA5F45">
        <w:rPr>
          <w:rStyle w:val="FootnoteReference"/>
          <w:rFonts w:ascii="Arial" w:hAnsi="Arial" w:cs="Arial"/>
        </w:rPr>
        <w:footnoteReference w:id="20"/>
      </w:r>
      <w:r w:rsidR="005F4BFF">
        <w:rPr>
          <w:rFonts w:ascii="Arial" w:hAnsi="Arial" w:cs="Arial"/>
        </w:rPr>
        <w:t xml:space="preserve"> and</w:t>
      </w:r>
      <w:r>
        <w:rPr>
          <w:rFonts w:ascii="Arial" w:hAnsi="Arial" w:cs="Arial"/>
        </w:rPr>
        <w:t xml:space="preserve"> to then after its disqualification for other reasons, attempt to review the award on this basis. It seems to me to have been raised in consequence of a ‘belts and braces’ approach to the review, a</w:t>
      </w:r>
      <w:r w:rsidR="007B78A3">
        <w:rPr>
          <w:rFonts w:ascii="Arial" w:hAnsi="Arial" w:cs="Arial"/>
        </w:rPr>
        <w:t xml:space="preserve"> </w:t>
      </w:r>
      <w:r>
        <w:rPr>
          <w:rFonts w:ascii="Arial" w:hAnsi="Arial" w:cs="Arial"/>
        </w:rPr>
        <w:t>not unreasonable approach given the importance of the matter to all concerned.</w:t>
      </w:r>
    </w:p>
    <w:p w14:paraId="2DF8A017" w14:textId="77777777" w:rsidR="00B76129" w:rsidRPr="00B76129" w:rsidRDefault="00B76129" w:rsidP="00B76129">
      <w:pPr>
        <w:pStyle w:val="ListParagraph"/>
        <w:rPr>
          <w:rFonts w:ascii="Arial" w:hAnsi="Arial" w:cs="Arial"/>
        </w:rPr>
      </w:pPr>
    </w:p>
    <w:p w14:paraId="4E870C88" w14:textId="03978CCF" w:rsidR="00B76129" w:rsidRDefault="00B76129" w:rsidP="004E6C18">
      <w:pPr>
        <w:pStyle w:val="ListParagraph"/>
        <w:numPr>
          <w:ilvl w:val="0"/>
          <w:numId w:val="1"/>
        </w:numPr>
        <w:spacing w:line="360" w:lineRule="auto"/>
        <w:ind w:left="851" w:hanging="851"/>
        <w:jc w:val="both"/>
        <w:rPr>
          <w:rFonts w:ascii="Arial" w:hAnsi="Arial" w:cs="Arial"/>
        </w:rPr>
      </w:pPr>
      <w:r>
        <w:rPr>
          <w:rFonts w:ascii="Arial" w:hAnsi="Arial" w:cs="Arial"/>
        </w:rPr>
        <w:t>Having found that the decision to disqualify Babcock from the tender</w:t>
      </w:r>
      <w:r w:rsidR="00C252A9">
        <w:rPr>
          <w:rFonts w:ascii="Arial" w:hAnsi="Arial" w:cs="Arial"/>
        </w:rPr>
        <w:t xml:space="preserve"> was unlawful and irregular, what then is the appropriate remedy?  There is a wide discretion conferred upon the Court in terms of Section 8</w:t>
      </w:r>
      <w:r w:rsidR="00C252A9">
        <w:rPr>
          <w:rStyle w:val="FootnoteReference"/>
          <w:rFonts w:ascii="Arial" w:hAnsi="Arial" w:cs="Arial"/>
        </w:rPr>
        <w:footnoteReference w:id="21"/>
      </w:r>
      <w:r w:rsidR="00C252A9">
        <w:rPr>
          <w:rFonts w:ascii="Arial" w:hAnsi="Arial" w:cs="Arial"/>
        </w:rPr>
        <w:t xml:space="preserve"> of PAJA as to the remedy that can be granted.</w:t>
      </w:r>
    </w:p>
    <w:p w14:paraId="1D2ABF9F" w14:textId="77777777" w:rsidR="00C252A9" w:rsidRPr="00C252A9" w:rsidRDefault="00C252A9" w:rsidP="00C252A9">
      <w:pPr>
        <w:pStyle w:val="ListParagraph"/>
        <w:rPr>
          <w:rFonts w:ascii="Arial" w:hAnsi="Arial" w:cs="Arial"/>
        </w:rPr>
      </w:pPr>
    </w:p>
    <w:p w14:paraId="63B137AD" w14:textId="383E1054" w:rsidR="0052011D" w:rsidRPr="007B78A3" w:rsidRDefault="00C252A9" w:rsidP="0052011D">
      <w:pPr>
        <w:pStyle w:val="ListParagraph"/>
        <w:numPr>
          <w:ilvl w:val="0"/>
          <w:numId w:val="1"/>
        </w:numPr>
        <w:spacing w:line="360" w:lineRule="auto"/>
        <w:ind w:left="851" w:hanging="851"/>
        <w:jc w:val="both"/>
        <w:rPr>
          <w:rFonts w:ascii="Arial" w:hAnsi="Arial" w:cs="Arial"/>
        </w:rPr>
      </w:pPr>
      <w:r>
        <w:rPr>
          <w:rFonts w:ascii="Arial" w:hAnsi="Arial" w:cs="Arial"/>
        </w:rPr>
        <w:t xml:space="preserve">Babcock sought </w:t>
      </w:r>
      <w:r w:rsidR="002D288B">
        <w:rPr>
          <w:rFonts w:ascii="Arial" w:hAnsi="Arial" w:cs="Arial"/>
        </w:rPr>
        <w:t xml:space="preserve">initially, when it first challenged its disqualification from the tender, to set aside the award of the tender as a whole and to have the decision to make the </w:t>
      </w:r>
      <w:r w:rsidR="00402FAB">
        <w:rPr>
          <w:rFonts w:ascii="Arial" w:hAnsi="Arial" w:cs="Arial"/>
        </w:rPr>
        <w:t xml:space="preserve">split </w:t>
      </w:r>
      <w:r w:rsidR="002D288B">
        <w:rPr>
          <w:rFonts w:ascii="Arial" w:hAnsi="Arial" w:cs="Arial"/>
        </w:rPr>
        <w:t>award remitted for reconsideration within 30 days.</w:t>
      </w:r>
      <w:r w:rsidR="002D288B">
        <w:rPr>
          <w:rStyle w:val="FootnoteReference"/>
          <w:rFonts w:ascii="Arial" w:hAnsi="Arial" w:cs="Arial"/>
        </w:rPr>
        <w:footnoteReference w:id="22"/>
      </w:r>
      <w:r w:rsidR="00402FAB">
        <w:rPr>
          <w:rFonts w:ascii="Arial" w:hAnsi="Arial" w:cs="Arial"/>
        </w:rPr>
        <w:t xml:space="preserve">  The order sought in this regard was predicated on the basis that it was only Babcock who had been prejudiced by the disqualification decision.</w:t>
      </w:r>
    </w:p>
    <w:p w14:paraId="604BD87E" w14:textId="58BD4B5D" w:rsidR="0052011D" w:rsidRDefault="0052011D" w:rsidP="0052011D">
      <w:pPr>
        <w:rPr>
          <w:rFonts w:ascii="Arial" w:hAnsi="Arial" w:cs="Arial"/>
        </w:rPr>
      </w:pPr>
    </w:p>
    <w:p w14:paraId="710116B5" w14:textId="77777777" w:rsidR="0052011D" w:rsidRPr="0052011D" w:rsidRDefault="0052011D" w:rsidP="0052011D">
      <w:pPr>
        <w:rPr>
          <w:rFonts w:ascii="Arial" w:hAnsi="Arial" w:cs="Arial"/>
        </w:rPr>
      </w:pPr>
    </w:p>
    <w:p w14:paraId="76DD8826" w14:textId="748C264A" w:rsidR="002D288B" w:rsidRDefault="002D288B" w:rsidP="00402FAB">
      <w:pPr>
        <w:pStyle w:val="ListParagraph"/>
        <w:numPr>
          <w:ilvl w:val="0"/>
          <w:numId w:val="1"/>
        </w:numPr>
        <w:spacing w:line="360" w:lineRule="auto"/>
        <w:ind w:left="851" w:hanging="851"/>
        <w:jc w:val="both"/>
        <w:rPr>
          <w:rFonts w:ascii="Arial" w:hAnsi="Arial" w:cs="Arial"/>
        </w:rPr>
      </w:pPr>
      <w:r>
        <w:rPr>
          <w:rFonts w:ascii="Arial" w:hAnsi="Arial" w:cs="Arial"/>
        </w:rPr>
        <w:t xml:space="preserve">Thereafter, on 4 April 2022 and after the full record had been made available to it, Babcock amended the relief that it sought by seeking an order </w:t>
      </w:r>
      <w:r w:rsidR="00402FAB">
        <w:rPr>
          <w:rFonts w:ascii="Arial" w:hAnsi="Arial" w:cs="Arial"/>
        </w:rPr>
        <w:t xml:space="preserve">that the whole of the award of the tender be set aside and </w:t>
      </w:r>
      <w:r w:rsidRPr="00402FAB">
        <w:rPr>
          <w:rFonts w:ascii="Arial" w:hAnsi="Arial" w:cs="Arial"/>
        </w:rPr>
        <w:t xml:space="preserve">in the alternative, that the </w:t>
      </w:r>
      <w:r w:rsidR="00402FAB">
        <w:rPr>
          <w:rFonts w:ascii="Arial" w:hAnsi="Arial" w:cs="Arial"/>
        </w:rPr>
        <w:t xml:space="preserve">disqualification of Babcock and the </w:t>
      </w:r>
      <w:r w:rsidRPr="00402FAB">
        <w:rPr>
          <w:rFonts w:ascii="Arial" w:hAnsi="Arial" w:cs="Arial"/>
        </w:rPr>
        <w:t>award of the tender to Actom and Steinmuller be set aside</w:t>
      </w:r>
      <w:r w:rsidR="00402FAB" w:rsidRPr="00402FAB">
        <w:rPr>
          <w:rFonts w:ascii="Arial" w:hAnsi="Arial" w:cs="Arial"/>
        </w:rPr>
        <w:t xml:space="preserve"> and that the decision to award the tender be remitted back to Eskom for reconsideration</w:t>
      </w:r>
      <w:r w:rsidR="00402FAB">
        <w:rPr>
          <w:rFonts w:ascii="Arial" w:hAnsi="Arial" w:cs="Arial"/>
        </w:rPr>
        <w:t>.</w:t>
      </w:r>
    </w:p>
    <w:p w14:paraId="56F9B547" w14:textId="77777777" w:rsidR="00402FAB" w:rsidRPr="00402FAB" w:rsidRDefault="00402FAB" w:rsidP="00402FAB">
      <w:pPr>
        <w:pStyle w:val="ListParagraph"/>
        <w:rPr>
          <w:rFonts w:ascii="Arial" w:hAnsi="Arial" w:cs="Arial"/>
        </w:rPr>
      </w:pPr>
    </w:p>
    <w:p w14:paraId="2CCD7584" w14:textId="77777777" w:rsidR="008402F6" w:rsidRDefault="00402FAB" w:rsidP="0063569A">
      <w:pPr>
        <w:pStyle w:val="ListParagraph"/>
        <w:numPr>
          <w:ilvl w:val="0"/>
          <w:numId w:val="1"/>
        </w:numPr>
        <w:spacing w:line="360" w:lineRule="auto"/>
        <w:ind w:left="851" w:hanging="851"/>
        <w:jc w:val="both"/>
        <w:rPr>
          <w:rFonts w:ascii="Arial" w:hAnsi="Arial" w:cs="Arial"/>
        </w:rPr>
      </w:pPr>
      <w:r w:rsidRPr="008402F6">
        <w:rPr>
          <w:rFonts w:ascii="Arial" w:hAnsi="Arial" w:cs="Arial"/>
        </w:rPr>
        <w:t xml:space="preserve">Having regard to the finding that the RFP was ambiguous and that it was undisputed that, besides Babcock, other tenderers had been disqualified </w:t>
      </w:r>
      <w:r w:rsidR="008402F6" w:rsidRPr="008402F6">
        <w:rPr>
          <w:rFonts w:ascii="Arial" w:hAnsi="Arial" w:cs="Arial"/>
        </w:rPr>
        <w:t xml:space="preserve">on the same basis as it had, it would be inappropriate to only set aside the award of the tender and remit it for reconsideration by Eskom.  The ambiguity had the effect of disqualifying other tenderers who may or may not </w:t>
      </w:r>
      <w:r w:rsidR="008402F6">
        <w:rPr>
          <w:rFonts w:ascii="Arial" w:hAnsi="Arial" w:cs="Arial"/>
        </w:rPr>
        <w:t xml:space="preserve">have qualified for the award of all or part of the tender.  The fact that it was always contemplated by all the parties who are presently before the Court that the tender would in fact have been split, means that any decision which does not accommodate the inclusion of those who were affected in the manner Babcock was, may in itself be unjust. </w:t>
      </w:r>
    </w:p>
    <w:p w14:paraId="612226D6" w14:textId="77777777" w:rsidR="008402F6" w:rsidRPr="008402F6" w:rsidRDefault="008402F6" w:rsidP="008402F6">
      <w:pPr>
        <w:pStyle w:val="ListParagraph"/>
        <w:rPr>
          <w:rFonts w:ascii="Arial" w:hAnsi="Arial" w:cs="Arial"/>
        </w:rPr>
      </w:pPr>
    </w:p>
    <w:p w14:paraId="58CF8EB7" w14:textId="609F1DF6" w:rsidR="002D288B" w:rsidRDefault="0027691A" w:rsidP="0063569A">
      <w:pPr>
        <w:pStyle w:val="ListParagraph"/>
        <w:numPr>
          <w:ilvl w:val="0"/>
          <w:numId w:val="1"/>
        </w:numPr>
        <w:spacing w:line="360" w:lineRule="auto"/>
        <w:ind w:left="851" w:hanging="851"/>
        <w:jc w:val="both"/>
        <w:rPr>
          <w:rFonts w:ascii="Arial" w:hAnsi="Arial" w:cs="Arial"/>
        </w:rPr>
      </w:pPr>
      <w:r>
        <w:rPr>
          <w:rFonts w:ascii="Arial" w:hAnsi="Arial" w:cs="Arial"/>
        </w:rPr>
        <w:t xml:space="preserve">In determining what an appropriate order is in circumstances such as the present matter, the Constitutional Court held in Bengwenyama Minerals (Pty) Ltd v </w:t>
      </w:r>
      <w:r>
        <w:rPr>
          <w:rFonts w:ascii="Arial" w:hAnsi="Arial" w:cs="Arial"/>
        </w:rPr>
        <w:lastRenderedPageBreak/>
        <w:t>Genorah Resources (Pty) Ltd (Bengwenyama-yeMaswati Royal Council Intervening)</w:t>
      </w:r>
      <w:r>
        <w:rPr>
          <w:rStyle w:val="FootnoteReference"/>
          <w:rFonts w:ascii="Arial" w:hAnsi="Arial" w:cs="Arial"/>
        </w:rPr>
        <w:footnoteReference w:id="23"/>
      </w:r>
      <w:r>
        <w:rPr>
          <w:rFonts w:ascii="Arial" w:hAnsi="Arial" w:cs="Arial"/>
        </w:rPr>
        <w:t>:</w:t>
      </w:r>
    </w:p>
    <w:p w14:paraId="5617FDC0" w14:textId="77777777" w:rsidR="0027691A" w:rsidRPr="0027691A" w:rsidRDefault="0027691A" w:rsidP="0027691A">
      <w:pPr>
        <w:pStyle w:val="ListParagraph"/>
        <w:rPr>
          <w:rFonts w:ascii="Arial" w:hAnsi="Arial" w:cs="Arial"/>
        </w:rPr>
      </w:pPr>
    </w:p>
    <w:p w14:paraId="534D4334" w14:textId="4051CBF5" w:rsidR="0027691A" w:rsidRDefault="0027691A" w:rsidP="0052011D">
      <w:pPr>
        <w:pStyle w:val="ListParagraph"/>
        <w:spacing w:line="360" w:lineRule="auto"/>
        <w:ind w:left="1418"/>
        <w:jc w:val="both"/>
        <w:rPr>
          <w:rFonts w:ascii="Arial" w:hAnsi="Arial" w:cs="Arial"/>
          <w:i/>
          <w:iCs/>
          <w:sz w:val="22"/>
          <w:szCs w:val="22"/>
        </w:rPr>
      </w:pPr>
      <w:r w:rsidRPr="00475DE0">
        <w:rPr>
          <w:rFonts w:ascii="Arial" w:hAnsi="Arial" w:cs="Arial"/>
          <w:i/>
          <w:iCs/>
          <w:sz w:val="22"/>
          <w:szCs w:val="22"/>
        </w:rPr>
        <w:t>“</w:t>
      </w:r>
      <w:r w:rsidR="00475DE0">
        <w:rPr>
          <w:rFonts w:ascii="Arial" w:hAnsi="Arial" w:cs="Arial"/>
          <w:i/>
          <w:iCs/>
          <w:sz w:val="22"/>
          <w:szCs w:val="22"/>
        </w:rPr>
        <w:t>I</w:t>
      </w:r>
      <w:r w:rsidRPr="00475DE0">
        <w:rPr>
          <w:rFonts w:ascii="Arial" w:hAnsi="Arial" w:cs="Arial"/>
          <w:i/>
          <w:iCs/>
          <w:sz w:val="22"/>
          <w:szCs w:val="22"/>
        </w:rPr>
        <w:t xml:space="preserve">t would be conducive to clarity, when making the choice of a just and equitable remedy in terms of PAJA, to emphasise the fundamental constitutional importance of the principle of legality, which requires invalid administrative action to be declared unlawful.  This would make it clear that the discretionary choice of a further just and equitable remedy follows upon the fundamental finding.  The discretionary choice may not precede the finding of </w:t>
      </w:r>
      <w:r w:rsidR="00475DE0" w:rsidRPr="00475DE0">
        <w:rPr>
          <w:rFonts w:ascii="Arial" w:hAnsi="Arial" w:cs="Arial"/>
          <w:i/>
          <w:iCs/>
          <w:sz w:val="22"/>
          <w:szCs w:val="22"/>
        </w:rPr>
        <w:t>in</w:t>
      </w:r>
      <w:r w:rsidRPr="00475DE0">
        <w:rPr>
          <w:rFonts w:ascii="Arial" w:hAnsi="Arial" w:cs="Arial"/>
          <w:i/>
          <w:iCs/>
          <w:sz w:val="22"/>
          <w:szCs w:val="22"/>
        </w:rPr>
        <w:t>validity</w:t>
      </w:r>
      <w:r w:rsidR="00475DE0" w:rsidRPr="00475DE0">
        <w:rPr>
          <w:rFonts w:ascii="Arial" w:hAnsi="Arial" w:cs="Arial"/>
          <w:i/>
          <w:iCs/>
          <w:sz w:val="22"/>
          <w:szCs w:val="22"/>
        </w:rPr>
        <w:t>.  The discipline of this approach will enable courts to consider whether relief which does not give full effect to the finding of invalidity, is justified in the particular circumstances of the case before it.”</w:t>
      </w:r>
    </w:p>
    <w:p w14:paraId="5E183618" w14:textId="61E00C96" w:rsidR="0052011D" w:rsidRPr="007B78A3" w:rsidRDefault="0052011D" w:rsidP="007B78A3">
      <w:pPr>
        <w:spacing w:line="360" w:lineRule="auto"/>
        <w:jc w:val="both"/>
        <w:rPr>
          <w:rFonts w:ascii="Arial" w:hAnsi="Arial" w:cs="Arial"/>
          <w:i/>
          <w:iCs/>
          <w:sz w:val="22"/>
          <w:szCs w:val="22"/>
        </w:rPr>
      </w:pPr>
    </w:p>
    <w:p w14:paraId="6B4FB679" w14:textId="77777777" w:rsidR="0052011D" w:rsidRPr="00475DE0" w:rsidRDefault="0052011D" w:rsidP="00475DE0">
      <w:pPr>
        <w:pStyle w:val="ListParagraph"/>
        <w:spacing w:line="360" w:lineRule="auto"/>
        <w:ind w:left="1701"/>
        <w:jc w:val="both"/>
        <w:rPr>
          <w:rFonts w:ascii="Arial" w:hAnsi="Arial" w:cs="Arial"/>
          <w:i/>
          <w:iCs/>
          <w:sz w:val="22"/>
          <w:szCs w:val="22"/>
        </w:rPr>
      </w:pPr>
    </w:p>
    <w:p w14:paraId="66334AF5" w14:textId="7644F5C2" w:rsidR="002D288B" w:rsidRDefault="00C7071F" w:rsidP="004E6C18">
      <w:pPr>
        <w:pStyle w:val="ListParagraph"/>
        <w:numPr>
          <w:ilvl w:val="0"/>
          <w:numId w:val="1"/>
        </w:numPr>
        <w:spacing w:line="360" w:lineRule="auto"/>
        <w:ind w:left="851" w:hanging="851"/>
        <w:jc w:val="both"/>
        <w:rPr>
          <w:rFonts w:ascii="Arial" w:hAnsi="Arial" w:cs="Arial"/>
        </w:rPr>
      </w:pPr>
      <w:r>
        <w:rPr>
          <w:rFonts w:ascii="Arial" w:hAnsi="Arial" w:cs="Arial"/>
        </w:rPr>
        <w:t>In Allpay Consolidated Investment Holdings (Pty) Ltd v Chief Executive Officer, South African Social Security Agency</w:t>
      </w:r>
      <w:r>
        <w:rPr>
          <w:rStyle w:val="FootnoteReference"/>
          <w:rFonts w:ascii="Arial" w:hAnsi="Arial" w:cs="Arial"/>
        </w:rPr>
        <w:footnoteReference w:id="24"/>
      </w:r>
      <w:r>
        <w:rPr>
          <w:rFonts w:ascii="Arial" w:hAnsi="Arial" w:cs="Arial"/>
        </w:rPr>
        <w:t xml:space="preserve"> the Constitutional Court expanded upon this:</w:t>
      </w:r>
    </w:p>
    <w:p w14:paraId="2B654E6E" w14:textId="687E9A0A" w:rsidR="00C7071F" w:rsidRDefault="00C7071F" w:rsidP="00C7071F">
      <w:pPr>
        <w:pStyle w:val="ListParagraph"/>
        <w:spacing w:line="360" w:lineRule="auto"/>
        <w:ind w:left="851"/>
        <w:jc w:val="both"/>
        <w:rPr>
          <w:rFonts w:ascii="Arial" w:hAnsi="Arial" w:cs="Arial"/>
        </w:rPr>
      </w:pPr>
    </w:p>
    <w:p w14:paraId="5BE867CB" w14:textId="66BD4DAC" w:rsidR="00C7071F" w:rsidRPr="00C7071F" w:rsidRDefault="00C7071F" w:rsidP="0052011D">
      <w:pPr>
        <w:pStyle w:val="ListParagraph"/>
        <w:spacing w:line="360" w:lineRule="auto"/>
        <w:ind w:left="1985" w:hanging="567"/>
        <w:jc w:val="both"/>
        <w:rPr>
          <w:rFonts w:ascii="Arial" w:hAnsi="Arial" w:cs="Arial"/>
          <w:i/>
          <w:iCs/>
          <w:sz w:val="22"/>
          <w:szCs w:val="22"/>
        </w:rPr>
      </w:pPr>
      <w:r w:rsidRPr="00C7071F">
        <w:rPr>
          <w:rFonts w:ascii="Arial" w:hAnsi="Arial" w:cs="Arial"/>
          <w:i/>
          <w:iCs/>
          <w:sz w:val="22"/>
          <w:szCs w:val="22"/>
        </w:rPr>
        <w:t>“[32]</w:t>
      </w:r>
      <w:r w:rsidRPr="00C7071F">
        <w:rPr>
          <w:rFonts w:ascii="Arial" w:hAnsi="Arial" w:cs="Arial"/>
          <w:i/>
          <w:iCs/>
          <w:sz w:val="22"/>
          <w:szCs w:val="22"/>
        </w:rPr>
        <w:tab/>
        <w:t xml:space="preserve">This corrective principle operates at different levels.  First, it must be applied to correct the wrongs that led to the declaration of invalidity in the particular case.  This must be done by having due regard to the constitutional principles governing public procurement as well as the more specific purposes of the Agency Act, Second, in the context of </w:t>
      </w:r>
      <w:r w:rsidR="00147C2B" w:rsidRPr="00C7071F">
        <w:rPr>
          <w:rFonts w:ascii="Arial" w:hAnsi="Arial" w:cs="Arial"/>
          <w:i/>
          <w:iCs/>
          <w:sz w:val="22"/>
          <w:szCs w:val="22"/>
        </w:rPr>
        <w:t>public procurement</w:t>
      </w:r>
      <w:r w:rsidRPr="00C7071F">
        <w:rPr>
          <w:rFonts w:ascii="Arial" w:hAnsi="Arial" w:cs="Arial"/>
          <w:i/>
          <w:iCs/>
          <w:sz w:val="22"/>
          <w:szCs w:val="22"/>
        </w:rPr>
        <w:t xml:space="preserve"> matters generally, priority should be given to the public good.  This means that the public int</w:t>
      </w:r>
      <w:r>
        <w:rPr>
          <w:rFonts w:ascii="Arial" w:hAnsi="Arial" w:cs="Arial"/>
          <w:i/>
          <w:iCs/>
          <w:sz w:val="22"/>
          <w:szCs w:val="22"/>
        </w:rPr>
        <w:t>e</w:t>
      </w:r>
      <w:r w:rsidRPr="00C7071F">
        <w:rPr>
          <w:rFonts w:ascii="Arial" w:hAnsi="Arial" w:cs="Arial"/>
          <w:i/>
          <w:iCs/>
          <w:sz w:val="22"/>
          <w:szCs w:val="22"/>
        </w:rPr>
        <w:t>rest must be assessed not only in relation to the immediate consequences of invalidity – in this case the setting aside of the contract between SASSA and Cash Paymaster – but also in relation to the effect of the order on future procurement and social-security matters.</w:t>
      </w:r>
    </w:p>
    <w:p w14:paraId="4AED7ED1" w14:textId="1426F0B8" w:rsidR="00C7071F" w:rsidRPr="00C7071F" w:rsidRDefault="00C7071F" w:rsidP="0052011D">
      <w:pPr>
        <w:pStyle w:val="ListParagraph"/>
        <w:spacing w:line="360" w:lineRule="auto"/>
        <w:ind w:left="1985" w:hanging="567"/>
        <w:jc w:val="both"/>
        <w:rPr>
          <w:rFonts w:ascii="Arial" w:hAnsi="Arial" w:cs="Arial"/>
          <w:i/>
          <w:iCs/>
          <w:sz w:val="22"/>
          <w:szCs w:val="22"/>
        </w:rPr>
      </w:pPr>
    </w:p>
    <w:p w14:paraId="34ED7FB0" w14:textId="342E4124" w:rsidR="00C7071F" w:rsidRPr="00C7071F" w:rsidRDefault="00C7071F" w:rsidP="0052011D">
      <w:pPr>
        <w:pStyle w:val="ListParagraph"/>
        <w:spacing w:line="360" w:lineRule="auto"/>
        <w:ind w:left="1985" w:hanging="567"/>
        <w:jc w:val="both"/>
        <w:rPr>
          <w:rFonts w:ascii="Arial" w:hAnsi="Arial" w:cs="Arial"/>
          <w:i/>
          <w:iCs/>
          <w:sz w:val="22"/>
          <w:szCs w:val="22"/>
        </w:rPr>
      </w:pPr>
      <w:r w:rsidRPr="00C7071F">
        <w:rPr>
          <w:rFonts w:ascii="Arial" w:hAnsi="Arial" w:cs="Arial"/>
          <w:i/>
          <w:iCs/>
          <w:sz w:val="22"/>
          <w:szCs w:val="22"/>
        </w:rPr>
        <w:t>[33]</w:t>
      </w:r>
      <w:r w:rsidRPr="00C7071F">
        <w:rPr>
          <w:rFonts w:ascii="Arial" w:hAnsi="Arial" w:cs="Arial"/>
          <w:i/>
          <w:iCs/>
          <w:sz w:val="22"/>
          <w:szCs w:val="22"/>
        </w:rPr>
        <w:tab/>
        <w:t>The primacy of the public interest in procurement and social security matters must also be taken into account when the rights, responsibilities, and obligations of all affected persons are assessed.  This means that the enquiry cannot be one-dimensional.  It must have a broader range.”</w:t>
      </w:r>
    </w:p>
    <w:p w14:paraId="52F5015C" w14:textId="77777777" w:rsidR="004E6C18" w:rsidRPr="00B76129" w:rsidRDefault="004E6C18" w:rsidP="00B76129">
      <w:pPr>
        <w:spacing w:line="360" w:lineRule="auto"/>
        <w:jc w:val="both"/>
        <w:rPr>
          <w:rFonts w:ascii="Arial" w:hAnsi="Arial" w:cs="Arial"/>
        </w:rPr>
      </w:pPr>
    </w:p>
    <w:p w14:paraId="37CF00DF" w14:textId="1B614E12" w:rsidR="0044572B" w:rsidRPr="0044572B" w:rsidRDefault="0063569A" w:rsidP="0044572B">
      <w:pPr>
        <w:pStyle w:val="ListParagraph"/>
        <w:numPr>
          <w:ilvl w:val="0"/>
          <w:numId w:val="1"/>
        </w:numPr>
        <w:spacing w:line="360" w:lineRule="auto"/>
        <w:ind w:left="851" w:hanging="851"/>
        <w:jc w:val="both"/>
        <w:rPr>
          <w:rFonts w:ascii="Arial" w:hAnsi="Arial" w:cs="Arial"/>
        </w:rPr>
      </w:pPr>
      <w:r>
        <w:rPr>
          <w:rFonts w:ascii="Arial" w:hAnsi="Arial" w:cs="Arial"/>
        </w:rPr>
        <w:t xml:space="preserve">The role played by Eskom in sustaining the very fabric and life of the Republic, cannot be overstated.  It is a matter of public record that the provision of electricity is constrained.  The purpose for which the present tender was awarded was to ensure the continued and uninterrupted operation of Eskom’s fleet of coal fired power stations.  Babcock, Actom and Steinmuller have and will no doubt continue to play a pivotal role in Eskom’s delivery of electricity.  For this reason, it would be imprudent to simply set aside the tender and to interrupt the essential services being currently provided by Actom and Steinmuller.  Babcock argued that if the tender was to be set aside but both Actom and Steinmuller were to remain in situ pending a new tender process, that they should forfeit any profit they would have earned in consequence.  This argument was advanced on the basis that </w:t>
      </w:r>
      <w:r w:rsidRPr="0063569A">
        <w:rPr>
          <w:rFonts w:ascii="Arial" w:hAnsi="Arial" w:cs="Arial"/>
          <w:i/>
          <w:iCs/>
          <w:sz w:val="22"/>
          <w:szCs w:val="22"/>
        </w:rPr>
        <w:t>“neither contracting party should unduly benefit from what has been performed under a contract that no longer exists”.</w:t>
      </w:r>
      <w:r>
        <w:rPr>
          <w:rStyle w:val="FootnoteReference"/>
          <w:rFonts w:ascii="Arial" w:hAnsi="Arial" w:cs="Arial"/>
          <w:i/>
          <w:iCs/>
          <w:sz w:val="22"/>
          <w:szCs w:val="22"/>
        </w:rPr>
        <w:footnoteReference w:id="25"/>
      </w:r>
    </w:p>
    <w:p w14:paraId="7EFCC0F5" w14:textId="77777777" w:rsidR="0044572B" w:rsidRPr="0044572B" w:rsidRDefault="0044572B" w:rsidP="0044572B">
      <w:pPr>
        <w:pStyle w:val="ListParagraph"/>
        <w:spacing w:line="360" w:lineRule="auto"/>
        <w:ind w:left="851"/>
        <w:jc w:val="both"/>
        <w:rPr>
          <w:rFonts w:ascii="Arial" w:hAnsi="Arial" w:cs="Arial"/>
        </w:rPr>
      </w:pPr>
    </w:p>
    <w:p w14:paraId="168C3219" w14:textId="77777777" w:rsidR="00147C2B" w:rsidRDefault="0044572B" w:rsidP="0044572B">
      <w:pPr>
        <w:pStyle w:val="ListParagraph"/>
        <w:numPr>
          <w:ilvl w:val="0"/>
          <w:numId w:val="1"/>
        </w:numPr>
        <w:spacing w:line="360" w:lineRule="auto"/>
        <w:ind w:left="851" w:hanging="851"/>
        <w:jc w:val="both"/>
        <w:rPr>
          <w:rFonts w:ascii="Arial" w:hAnsi="Arial" w:cs="Arial"/>
        </w:rPr>
      </w:pPr>
      <w:r>
        <w:rPr>
          <w:rFonts w:ascii="Arial" w:hAnsi="Arial" w:cs="Arial"/>
        </w:rPr>
        <w:t>However, b</w:t>
      </w:r>
      <w:r w:rsidR="0063569A" w:rsidRPr="0044572B">
        <w:rPr>
          <w:rFonts w:ascii="Arial" w:hAnsi="Arial" w:cs="Arial"/>
        </w:rPr>
        <w:t xml:space="preserve">oth </w:t>
      </w:r>
      <w:r>
        <w:rPr>
          <w:rFonts w:ascii="Arial" w:hAnsi="Arial" w:cs="Arial"/>
        </w:rPr>
        <w:t xml:space="preserve">Actom and Steinmuller </w:t>
      </w:r>
      <w:r w:rsidR="0063569A" w:rsidRPr="0044572B">
        <w:rPr>
          <w:rFonts w:ascii="Arial" w:hAnsi="Arial" w:cs="Arial"/>
        </w:rPr>
        <w:t xml:space="preserve">are commercial enterprises, the viability and profitability of which are essential to their provision of maintenance and other services at the 15 power stations that are serviced between them.  For this reason, it is similarly, in my view, imprudent to interfere with the contracts in terms of which those services are currently rendered. </w:t>
      </w:r>
      <w:r w:rsidR="005475F2">
        <w:rPr>
          <w:rFonts w:ascii="Arial" w:hAnsi="Arial" w:cs="Arial"/>
        </w:rPr>
        <w:t xml:space="preserve"> In the present matter, the setting aside of the award of the tender is not in consequence of any impropriety in the ordinary sense by either Eskom, Actom or Steinmuller.  </w:t>
      </w:r>
    </w:p>
    <w:p w14:paraId="1B6AAEFE" w14:textId="77777777" w:rsidR="00147C2B" w:rsidRPr="00147C2B" w:rsidRDefault="00147C2B" w:rsidP="00147C2B">
      <w:pPr>
        <w:pStyle w:val="ListParagraph"/>
        <w:rPr>
          <w:rFonts w:ascii="Arial" w:hAnsi="Arial" w:cs="Arial"/>
        </w:rPr>
      </w:pPr>
    </w:p>
    <w:p w14:paraId="2E65B12B" w14:textId="0759AE9B" w:rsidR="0063569A" w:rsidRDefault="005475F2" w:rsidP="0044572B">
      <w:pPr>
        <w:pStyle w:val="ListParagraph"/>
        <w:numPr>
          <w:ilvl w:val="0"/>
          <w:numId w:val="1"/>
        </w:numPr>
        <w:spacing w:line="360" w:lineRule="auto"/>
        <w:ind w:left="851" w:hanging="851"/>
        <w:jc w:val="both"/>
        <w:rPr>
          <w:rFonts w:ascii="Arial" w:hAnsi="Arial" w:cs="Arial"/>
        </w:rPr>
      </w:pPr>
      <w:r>
        <w:rPr>
          <w:rFonts w:ascii="Arial" w:hAnsi="Arial" w:cs="Arial"/>
        </w:rPr>
        <w:t>This tender is to be set aside in consequence of the disqualification of a tenderer because of an ambiguity in the tender document.  It was never suggested by any of the parties that the award of the tender was tainted in any way with regards the price ultimately agreed between Eskom, Actom and Steinmuller and for this reason, it can be accepted that the price (and whatever profit margin it includes) is not in and of itself impeachable such that it would warrant the forfeiture of any profit there may be by either Actom or Steinmuller.</w:t>
      </w:r>
    </w:p>
    <w:p w14:paraId="413E6209" w14:textId="77777777" w:rsidR="005475F2" w:rsidRPr="005475F2" w:rsidRDefault="005475F2" w:rsidP="005475F2">
      <w:pPr>
        <w:pStyle w:val="ListParagraph"/>
        <w:rPr>
          <w:rFonts w:ascii="Arial" w:hAnsi="Arial" w:cs="Arial"/>
        </w:rPr>
      </w:pPr>
    </w:p>
    <w:p w14:paraId="1C9E81BD" w14:textId="1FC73B4D" w:rsidR="009D3ABC" w:rsidRDefault="009D3ABC" w:rsidP="00183D32">
      <w:pPr>
        <w:pStyle w:val="ListParagraph"/>
        <w:numPr>
          <w:ilvl w:val="0"/>
          <w:numId w:val="1"/>
        </w:numPr>
        <w:spacing w:line="360" w:lineRule="auto"/>
        <w:ind w:left="851" w:hanging="851"/>
        <w:jc w:val="both"/>
        <w:rPr>
          <w:rFonts w:ascii="Arial" w:hAnsi="Arial" w:cs="Arial"/>
        </w:rPr>
      </w:pPr>
      <w:r w:rsidRPr="00206012">
        <w:rPr>
          <w:rFonts w:ascii="Arial" w:hAnsi="Arial" w:cs="Arial"/>
        </w:rPr>
        <w:lastRenderedPageBreak/>
        <w:t xml:space="preserve">In my view, it is appropriate that besides declaring the award of the tender to be unlawful and invalid, the order setting it aside should be suspended pending the commencement and finalization of a new tender process.  </w:t>
      </w:r>
    </w:p>
    <w:p w14:paraId="393AB8D0" w14:textId="77777777" w:rsidR="00206012" w:rsidRPr="00206012" w:rsidRDefault="00206012" w:rsidP="00206012">
      <w:pPr>
        <w:spacing w:line="360" w:lineRule="auto"/>
        <w:jc w:val="both"/>
        <w:rPr>
          <w:rFonts w:ascii="Arial" w:hAnsi="Arial" w:cs="Arial"/>
        </w:rPr>
      </w:pPr>
    </w:p>
    <w:p w14:paraId="4906C19D" w14:textId="0C8F6D60" w:rsidR="00C7071F" w:rsidRPr="0052011D" w:rsidRDefault="009D3ABC" w:rsidP="0052011D">
      <w:pPr>
        <w:pStyle w:val="ListParagraph"/>
        <w:numPr>
          <w:ilvl w:val="0"/>
          <w:numId w:val="1"/>
        </w:numPr>
        <w:spacing w:line="360" w:lineRule="auto"/>
        <w:ind w:left="851" w:hanging="851"/>
        <w:jc w:val="both"/>
        <w:rPr>
          <w:rFonts w:ascii="Arial" w:hAnsi="Arial" w:cs="Arial"/>
        </w:rPr>
      </w:pPr>
      <w:r>
        <w:rPr>
          <w:rFonts w:ascii="Arial" w:hAnsi="Arial" w:cs="Arial"/>
        </w:rPr>
        <w:t xml:space="preserve">While the process in the present instance where the period between the submission of the tenders on 24 October 2018 and the award of the tender on 7 </w:t>
      </w:r>
      <w:r w:rsidRPr="0052011D">
        <w:rPr>
          <w:rFonts w:ascii="Arial" w:hAnsi="Arial" w:cs="Arial"/>
        </w:rPr>
        <w:t>October 2021, took some 3 years, the present circumstances</w:t>
      </w:r>
      <w:r w:rsidR="00206012" w:rsidRPr="0052011D">
        <w:rPr>
          <w:rFonts w:ascii="Arial" w:hAnsi="Arial" w:cs="Arial"/>
        </w:rPr>
        <w:t xml:space="preserve"> militate in favour of the interests of all parties that the process should be expedited</w:t>
      </w:r>
      <w:r w:rsidR="00F7380D" w:rsidRPr="0052011D">
        <w:rPr>
          <w:rFonts w:ascii="Arial" w:hAnsi="Arial" w:cs="Arial"/>
        </w:rPr>
        <w:t xml:space="preserve"> and commenced and completed</w:t>
      </w:r>
      <w:r w:rsidR="0053699C" w:rsidRPr="0052011D">
        <w:rPr>
          <w:rFonts w:ascii="Arial" w:hAnsi="Arial" w:cs="Arial"/>
        </w:rPr>
        <w:t xml:space="preserve"> within a</w:t>
      </w:r>
      <w:r w:rsidR="00206012" w:rsidRPr="0052011D">
        <w:rPr>
          <w:rFonts w:ascii="Arial" w:hAnsi="Arial" w:cs="Arial"/>
        </w:rPr>
        <w:t xml:space="preserve"> period of </w:t>
      </w:r>
      <w:r w:rsidR="0053699C" w:rsidRPr="0052011D">
        <w:rPr>
          <w:rFonts w:ascii="Arial" w:hAnsi="Arial" w:cs="Arial"/>
        </w:rPr>
        <w:t>6 months.</w:t>
      </w:r>
    </w:p>
    <w:p w14:paraId="5B935603" w14:textId="78FDDDAD" w:rsidR="00F7380D" w:rsidRPr="00C359FB" w:rsidRDefault="00F7380D" w:rsidP="00C359FB">
      <w:pPr>
        <w:spacing w:line="360" w:lineRule="auto"/>
        <w:jc w:val="both"/>
        <w:rPr>
          <w:rFonts w:ascii="Arial" w:hAnsi="Arial" w:cs="Arial"/>
        </w:rPr>
      </w:pPr>
    </w:p>
    <w:p w14:paraId="6B45ED9E" w14:textId="77777777" w:rsidR="0053699C" w:rsidRPr="0053699C" w:rsidRDefault="0053699C" w:rsidP="0053699C">
      <w:pPr>
        <w:pStyle w:val="ListParagraph"/>
        <w:rPr>
          <w:rFonts w:ascii="Arial" w:hAnsi="Arial" w:cs="Arial"/>
        </w:rPr>
      </w:pPr>
    </w:p>
    <w:p w14:paraId="35507930" w14:textId="50E4C0F4" w:rsidR="0053699C" w:rsidRDefault="00C359FB" w:rsidP="009D3ABC">
      <w:pPr>
        <w:pStyle w:val="ListParagraph"/>
        <w:numPr>
          <w:ilvl w:val="0"/>
          <w:numId w:val="1"/>
        </w:numPr>
        <w:spacing w:line="360" w:lineRule="auto"/>
        <w:ind w:left="851" w:hanging="851"/>
        <w:jc w:val="both"/>
        <w:rPr>
          <w:rFonts w:ascii="Arial" w:hAnsi="Arial" w:cs="Arial"/>
        </w:rPr>
      </w:pPr>
      <w:r>
        <w:rPr>
          <w:rFonts w:ascii="Arial" w:hAnsi="Arial" w:cs="Arial"/>
        </w:rPr>
        <w:t>Given the nature of this particular matter it was a wise and reasonable precaution for the respective parties to have briefed two counsel to represent them. While the main dispute was between Babcock and Eskom, and it is my view that the costs ought to follow the result as between them, what of Actom and Steinmuller?</w:t>
      </w:r>
    </w:p>
    <w:p w14:paraId="72CB38B7" w14:textId="77777777" w:rsidR="00147C2B" w:rsidRDefault="00147C2B" w:rsidP="00147C2B">
      <w:pPr>
        <w:pStyle w:val="ListParagraph"/>
        <w:spacing w:line="360" w:lineRule="auto"/>
        <w:ind w:left="851"/>
        <w:jc w:val="both"/>
        <w:rPr>
          <w:rFonts w:ascii="Arial" w:hAnsi="Arial" w:cs="Arial"/>
        </w:rPr>
      </w:pPr>
    </w:p>
    <w:p w14:paraId="26484F06" w14:textId="4EDCB1CB" w:rsidR="00147C2B" w:rsidRDefault="00C359FB" w:rsidP="009D3ABC">
      <w:pPr>
        <w:pStyle w:val="ListParagraph"/>
        <w:numPr>
          <w:ilvl w:val="0"/>
          <w:numId w:val="1"/>
        </w:numPr>
        <w:spacing w:line="360" w:lineRule="auto"/>
        <w:ind w:left="851" w:hanging="851"/>
        <w:jc w:val="both"/>
        <w:rPr>
          <w:rFonts w:ascii="Arial" w:hAnsi="Arial" w:cs="Arial"/>
        </w:rPr>
      </w:pPr>
      <w:r>
        <w:rPr>
          <w:rFonts w:ascii="Arial" w:hAnsi="Arial" w:cs="Arial"/>
        </w:rPr>
        <w:t>Both did not take a supine approach to the matter and elect to abide the decision of the court. They both made common cause with Eskom in resisting the challenge to the</w:t>
      </w:r>
      <w:r w:rsidR="00147C2B">
        <w:rPr>
          <w:rFonts w:ascii="Arial" w:hAnsi="Arial" w:cs="Arial"/>
        </w:rPr>
        <w:t xml:space="preserve"> legality of both Eskom’s disqualification of Babcock (and others) and the award of the tender to themselves. They are both commercial enterprises which defended their own interests in the matter. </w:t>
      </w:r>
    </w:p>
    <w:p w14:paraId="039D9EE1" w14:textId="77777777" w:rsidR="00147C2B" w:rsidRDefault="00147C2B" w:rsidP="00147C2B">
      <w:pPr>
        <w:pStyle w:val="ListParagraph"/>
        <w:spacing w:line="360" w:lineRule="auto"/>
        <w:ind w:left="851"/>
        <w:jc w:val="both"/>
        <w:rPr>
          <w:rFonts w:ascii="Arial" w:hAnsi="Arial" w:cs="Arial"/>
        </w:rPr>
      </w:pPr>
    </w:p>
    <w:p w14:paraId="3486B9B1" w14:textId="52863E4C" w:rsidR="0053699C" w:rsidRPr="0052011D" w:rsidRDefault="00147C2B" w:rsidP="0052011D">
      <w:pPr>
        <w:pStyle w:val="ListParagraph"/>
        <w:numPr>
          <w:ilvl w:val="0"/>
          <w:numId w:val="1"/>
        </w:numPr>
        <w:spacing w:line="360" w:lineRule="auto"/>
        <w:ind w:left="851" w:hanging="851"/>
        <w:jc w:val="both"/>
        <w:rPr>
          <w:rFonts w:ascii="Arial" w:hAnsi="Arial" w:cs="Arial"/>
        </w:rPr>
      </w:pPr>
      <w:r>
        <w:rPr>
          <w:rFonts w:ascii="Arial" w:hAnsi="Arial" w:cs="Arial"/>
        </w:rPr>
        <w:t>They have benefited from the award of the tender and will, having regard to the order that I intend to make, continue to do so until a new tender process is completed.  For this reason and in the exercise of my discretion I am of the view that they should bear the costs of the application together with Eskom.</w:t>
      </w:r>
    </w:p>
    <w:p w14:paraId="1DB49A0D" w14:textId="77777777" w:rsidR="0053699C" w:rsidRPr="00C7071F" w:rsidRDefault="0053699C" w:rsidP="0053699C">
      <w:pPr>
        <w:pStyle w:val="ListParagraph"/>
        <w:spacing w:line="360" w:lineRule="auto"/>
        <w:ind w:left="851"/>
        <w:jc w:val="both"/>
        <w:rPr>
          <w:rFonts w:ascii="Arial" w:hAnsi="Arial" w:cs="Arial"/>
        </w:rPr>
      </w:pPr>
    </w:p>
    <w:p w14:paraId="00BE52F5" w14:textId="7F0A87C8" w:rsidR="0053699C" w:rsidRPr="00C4520D" w:rsidRDefault="00D3705F" w:rsidP="00C4520D">
      <w:pPr>
        <w:pStyle w:val="ListParagraph"/>
        <w:numPr>
          <w:ilvl w:val="0"/>
          <w:numId w:val="7"/>
        </w:numPr>
        <w:spacing w:line="360" w:lineRule="auto"/>
        <w:ind w:left="851" w:hanging="851"/>
        <w:jc w:val="both"/>
        <w:rPr>
          <w:rFonts w:ascii="Arial" w:hAnsi="Arial" w:cs="Arial"/>
        </w:rPr>
      </w:pPr>
      <w:r w:rsidRPr="00C4520D">
        <w:rPr>
          <w:rFonts w:ascii="Arial" w:hAnsi="Arial" w:cs="Arial"/>
          <w:bCs/>
        </w:rPr>
        <w:t>In the circumstances, it is ordered:</w:t>
      </w:r>
    </w:p>
    <w:p w14:paraId="0C6DF83E" w14:textId="77777777" w:rsidR="00F7380D" w:rsidRDefault="00F7380D" w:rsidP="0052011D">
      <w:pPr>
        <w:pStyle w:val="WLGLevel2"/>
        <w:numPr>
          <w:ilvl w:val="0"/>
          <w:numId w:val="0"/>
        </w:numPr>
        <w:spacing w:line="360" w:lineRule="auto"/>
      </w:pPr>
    </w:p>
    <w:p w14:paraId="754B4727" w14:textId="77777777" w:rsidR="0018654C" w:rsidRPr="0018654C" w:rsidRDefault="0018654C" w:rsidP="0018654C">
      <w:pPr>
        <w:pStyle w:val="ListParagraph"/>
        <w:rPr>
          <w:rFonts w:ascii="Arial" w:hAnsi="Arial" w:cs="Arial"/>
          <w:bCs/>
        </w:rPr>
      </w:pPr>
    </w:p>
    <w:p w14:paraId="3A1889C6" w14:textId="77777777" w:rsidR="00D3705F" w:rsidRDefault="00D3705F" w:rsidP="00D3705F">
      <w:pPr>
        <w:pStyle w:val="ListParagraph"/>
        <w:rPr>
          <w:bCs/>
        </w:rPr>
      </w:pPr>
    </w:p>
    <w:p w14:paraId="4E5058BC" w14:textId="77777777" w:rsidR="00C4520D" w:rsidRDefault="00C4520D" w:rsidP="00C4520D">
      <w:pPr>
        <w:pStyle w:val="WLGLevel1"/>
        <w:numPr>
          <w:ilvl w:val="0"/>
          <w:numId w:val="0"/>
        </w:numPr>
        <w:spacing w:line="360" w:lineRule="auto"/>
        <w:ind w:left="1701" w:hanging="850"/>
      </w:pPr>
      <w:r>
        <w:lastRenderedPageBreak/>
        <w:t>A.1</w:t>
      </w:r>
      <w:r>
        <w:tab/>
        <w:t>The decision of the Board of Directors of the first respondent (“</w:t>
      </w:r>
      <w:r w:rsidRPr="00F5064B">
        <w:rPr>
          <w:b/>
          <w:bCs/>
        </w:rPr>
        <w:t>Eskom</w:t>
      </w:r>
      <w:r>
        <w:t xml:space="preserve">”) to award </w:t>
      </w:r>
      <w:r>
        <w:rPr>
          <w:rFonts w:cs="Arial"/>
        </w:rPr>
        <w:t>tender CORP 4495 for maintenance and outage repair services for boiler pressure parts and/or maintenance and outage repair services for high pressure pipework for fifteen fossil-fired power stations</w:t>
      </w:r>
      <w:r>
        <w:t xml:space="preserve"> (“</w:t>
      </w:r>
      <w:r w:rsidRPr="005E375F">
        <w:rPr>
          <w:b/>
          <w:bCs/>
        </w:rPr>
        <w:t>the services</w:t>
      </w:r>
      <w:r>
        <w:t>”) to the second and third respondents, taken on or about 7 October 2021, is reviewed and set aside.</w:t>
      </w:r>
    </w:p>
    <w:p w14:paraId="7B68F31E" w14:textId="77777777" w:rsidR="00C4520D" w:rsidRDefault="00C4520D" w:rsidP="00C4520D">
      <w:pPr>
        <w:pStyle w:val="WLGLevel1"/>
        <w:numPr>
          <w:ilvl w:val="0"/>
          <w:numId w:val="0"/>
        </w:numPr>
        <w:spacing w:line="360" w:lineRule="auto"/>
        <w:ind w:left="1701" w:hanging="850"/>
      </w:pPr>
      <w:r>
        <w:t>A.2</w:t>
      </w:r>
      <w:r>
        <w:tab/>
        <w:t>In consequence of the order in paragraph A.1, the contracts concluded between Eskom and the second and third respondents for the provision of the services are declared unlawful and are reviewed and set aside.</w:t>
      </w:r>
    </w:p>
    <w:p w14:paraId="7BCF5C58" w14:textId="119F2F4E" w:rsidR="00C4520D" w:rsidRDefault="00C4520D" w:rsidP="00C4520D">
      <w:pPr>
        <w:pStyle w:val="WLGLevel1"/>
        <w:numPr>
          <w:ilvl w:val="0"/>
          <w:numId w:val="0"/>
        </w:numPr>
        <w:spacing w:line="360" w:lineRule="auto"/>
        <w:ind w:left="1701" w:hanging="850"/>
      </w:pPr>
      <w:r>
        <w:t>A.3</w:t>
      </w:r>
      <w:r>
        <w:tab/>
        <w:t>Eskom is directed to conduct a fresh tender process in respect of the services on the terms described in paragraph A.5 (“</w:t>
      </w:r>
      <w:r w:rsidRPr="00F7380D">
        <w:rPr>
          <w:b/>
          <w:bCs/>
        </w:rPr>
        <w:t>the fresh tender process</w:t>
      </w:r>
      <w:r>
        <w:t>”).</w:t>
      </w:r>
    </w:p>
    <w:p w14:paraId="5D169CEB" w14:textId="77777777" w:rsidR="00C4520D" w:rsidRDefault="00C4520D" w:rsidP="00C4520D">
      <w:pPr>
        <w:pStyle w:val="WLGLevel1"/>
        <w:numPr>
          <w:ilvl w:val="0"/>
          <w:numId w:val="0"/>
        </w:numPr>
        <w:spacing w:line="360" w:lineRule="auto"/>
        <w:ind w:left="1701" w:hanging="850"/>
      </w:pPr>
      <w:r>
        <w:t>A.4</w:t>
      </w:r>
      <w:r>
        <w:tab/>
        <w:t>The order in paragraph A.2 is suspended pending the finalisation of the fresh tender process or the expiry of the time period referred to in paragraph A.5 of this order for the finalisation of the fresh tender process (whichever is earlier), whereafter it will take effect.</w:t>
      </w:r>
    </w:p>
    <w:p w14:paraId="478ED470" w14:textId="77777777" w:rsidR="00C4520D" w:rsidRDefault="00C4520D" w:rsidP="00C4520D">
      <w:pPr>
        <w:pStyle w:val="WLGLevel1"/>
        <w:numPr>
          <w:ilvl w:val="0"/>
          <w:numId w:val="0"/>
        </w:numPr>
        <w:spacing w:line="360" w:lineRule="auto"/>
        <w:ind w:left="1701" w:hanging="850"/>
      </w:pPr>
      <w:r>
        <w:t>A.5</w:t>
      </w:r>
      <w:r>
        <w:tab/>
        <w:t>The fresh tender process is to be conducted and finalised in accordance with the following timetable:</w:t>
      </w:r>
    </w:p>
    <w:p w14:paraId="4D78AA33" w14:textId="77777777" w:rsidR="00C4520D" w:rsidRDefault="00C4520D" w:rsidP="00C4520D">
      <w:pPr>
        <w:pStyle w:val="WLGLevel2"/>
        <w:numPr>
          <w:ilvl w:val="0"/>
          <w:numId w:val="0"/>
        </w:numPr>
        <w:spacing w:line="360" w:lineRule="auto"/>
        <w:ind w:left="2552" w:hanging="851"/>
      </w:pPr>
      <w:r>
        <w:t>A.5.1</w:t>
      </w:r>
      <w:r>
        <w:tab/>
        <w:t xml:space="preserve">Eskom is to formulate the terms of the fresh tender, and publish it, within </w:t>
      </w:r>
      <w:r>
        <w:rPr>
          <w:u w:val="single"/>
        </w:rPr>
        <w:t>two months</w:t>
      </w:r>
      <w:r>
        <w:t xml:space="preserve"> of the date of this Court’s order.</w:t>
      </w:r>
    </w:p>
    <w:p w14:paraId="29263461" w14:textId="77777777" w:rsidR="00C4520D" w:rsidRDefault="00C4520D" w:rsidP="00C4520D">
      <w:pPr>
        <w:pStyle w:val="WLGLevel2"/>
        <w:numPr>
          <w:ilvl w:val="0"/>
          <w:numId w:val="0"/>
        </w:numPr>
        <w:spacing w:line="360" w:lineRule="auto"/>
        <w:ind w:left="2552" w:hanging="851"/>
      </w:pPr>
      <w:r>
        <w:t>A.5.2</w:t>
      </w:r>
      <w:r>
        <w:tab/>
        <w:t xml:space="preserve">Eskom is to determine that the closing date for the tender should be no more than </w:t>
      </w:r>
      <w:r w:rsidRPr="00F7380D">
        <w:rPr>
          <w:u w:val="single"/>
        </w:rPr>
        <w:t>two months</w:t>
      </w:r>
      <w:r>
        <w:t xml:space="preserve"> from the date on which it is published. </w:t>
      </w:r>
    </w:p>
    <w:p w14:paraId="39B43C83" w14:textId="77777777" w:rsidR="00C4520D" w:rsidRDefault="00C4520D" w:rsidP="00C4520D">
      <w:pPr>
        <w:pStyle w:val="WLGLevel2"/>
        <w:numPr>
          <w:ilvl w:val="0"/>
          <w:numId w:val="0"/>
        </w:numPr>
        <w:spacing w:line="360" w:lineRule="auto"/>
        <w:ind w:left="2552" w:hanging="851"/>
      </w:pPr>
      <w:r>
        <w:t>A.5.3</w:t>
      </w:r>
      <w:r>
        <w:tab/>
        <w:t xml:space="preserve">The tender is to be evaluated within </w:t>
      </w:r>
      <w:r w:rsidRPr="00F7380D">
        <w:rPr>
          <w:u w:val="single"/>
        </w:rPr>
        <w:t>two months</w:t>
      </w:r>
      <w:r>
        <w:t xml:space="preserve"> of the closing date of the tender.</w:t>
      </w:r>
    </w:p>
    <w:p w14:paraId="52824E2C" w14:textId="7C4AB8D8" w:rsidR="00C4520D" w:rsidRDefault="00C4520D" w:rsidP="00C4520D">
      <w:pPr>
        <w:pStyle w:val="WLGLevel2"/>
        <w:numPr>
          <w:ilvl w:val="0"/>
          <w:numId w:val="0"/>
        </w:numPr>
        <w:spacing w:line="360" w:lineRule="auto"/>
        <w:ind w:left="2552" w:hanging="851"/>
      </w:pPr>
      <w:r>
        <w:lastRenderedPageBreak/>
        <w:t>A.5.4</w:t>
      </w:r>
      <w:r>
        <w:tab/>
        <w:t xml:space="preserve">Negotiations with the successful tender(s) shall be conducted and concluded within </w:t>
      </w:r>
      <w:r w:rsidRPr="00F7380D">
        <w:rPr>
          <w:u w:val="single"/>
        </w:rPr>
        <w:t>one month</w:t>
      </w:r>
      <w:r>
        <w:t xml:space="preserve"> of the identification of the successful tenderer(s) as envisaged in paragraph A.</w:t>
      </w:r>
      <w:r w:rsidR="00AD7C32">
        <w:t xml:space="preserve">5.3 </w:t>
      </w:r>
      <w:r>
        <w:t>above.</w:t>
      </w:r>
    </w:p>
    <w:p w14:paraId="6BFDCCFE" w14:textId="7F885369" w:rsidR="00C4520D" w:rsidRDefault="00C4520D" w:rsidP="00C4520D">
      <w:pPr>
        <w:pStyle w:val="WLGLevel2"/>
        <w:numPr>
          <w:ilvl w:val="0"/>
          <w:numId w:val="0"/>
        </w:numPr>
        <w:spacing w:line="360" w:lineRule="auto"/>
        <w:ind w:left="2552" w:hanging="851"/>
      </w:pPr>
      <w:r>
        <w:t>A.5.5.</w:t>
      </w:r>
      <w:r>
        <w:tab/>
        <w:t xml:space="preserve">The award of the contract to the successful tender(s) shall be made within </w:t>
      </w:r>
      <w:r w:rsidRPr="00536268">
        <w:rPr>
          <w:u w:val="single"/>
        </w:rPr>
        <w:t>one month</w:t>
      </w:r>
      <w:r>
        <w:t xml:space="preserve"> of the conclusion of the negotiations described in paragraph A.</w:t>
      </w:r>
      <w:r w:rsidR="00AD7C32">
        <w:t xml:space="preserve">5.4 </w:t>
      </w:r>
      <w:r>
        <w:t>above.</w:t>
      </w:r>
    </w:p>
    <w:p w14:paraId="02AE1268" w14:textId="77777777" w:rsidR="00C4520D" w:rsidRDefault="00C4520D" w:rsidP="00C4520D">
      <w:pPr>
        <w:pStyle w:val="WLGLevel2"/>
        <w:numPr>
          <w:ilvl w:val="0"/>
          <w:numId w:val="0"/>
        </w:numPr>
        <w:spacing w:line="360" w:lineRule="auto"/>
        <w:ind w:left="2552" w:hanging="851"/>
      </w:pPr>
      <w:r>
        <w:t>A.5.6</w:t>
      </w:r>
      <w:r>
        <w:tab/>
        <w:t>Subject to paragraph A.6 below, the time periods set out above shall not be capable of being extended.</w:t>
      </w:r>
    </w:p>
    <w:p w14:paraId="6B04C312" w14:textId="77777777" w:rsidR="00C4520D" w:rsidRDefault="00C4520D" w:rsidP="00C4520D">
      <w:pPr>
        <w:pStyle w:val="WLGLevel1"/>
        <w:numPr>
          <w:ilvl w:val="0"/>
          <w:numId w:val="0"/>
        </w:numPr>
        <w:spacing w:line="360" w:lineRule="auto"/>
        <w:ind w:left="1701" w:hanging="850"/>
      </w:pPr>
      <w:r>
        <w:t>A.6</w:t>
      </w:r>
      <w:r>
        <w:tab/>
        <w:t>Any party may approach the Court on the same papers, amplified as necessary, for an amendment to the timetable in paragraph A.5 above on good cause shown.</w:t>
      </w:r>
    </w:p>
    <w:p w14:paraId="30BC7896" w14:textId="77777777" w:rsidR="00C4520D" w:rsidRDefault="00C4520D" w:rsidP="00C4520D">
      <w:pPr>
        <w:pStyle w:val="WLGLevel1"/>
        <w:numPr>
          <w:ilvl w:val="0"/>
          <w:numId w:val="0"/>
        </w:numPr>
        <w:spacing w:line="360" w:lineRule="auto"/>
        <w:ind w:left="1701" w:hanging="850"/>
      </w:pPr>
      <w:r>
        <w:t>A.7</w:t>
      </w:r>
      <w:r>
        <w:tab/>
        <w:t>The first, second and third respondents are ordered to pay the applicants taxed costs of the application jointly and severally, the one paying the others to be absolved.</w:t>
      </w:r>
    </w:p>
    <w:p w14:paraId="496AE463" w14:textId="77777777" w:rsidR="00C4520D" w:rsidRPr="00C4520D" w:rsidRDefault="00C4520D" w:rsidP="00C4520D">
      <w:pPr>
        <w:pStyle w:val="WLGLevel1"/>
        <w:numPr>
          <w:ilvl w:val="0"/>
          <w:numId w:val="0"/>
        </w:numPr>
        <w:spacing w:line="360" w:lineRule="auto"/>
        <w:ind w:left="1701" w:hanging="850"/>
      </w:pPr>
      <w:r>
        <w:t>A.8</w:t>
      </w:r>
      <w:r>
        <w:tab/>
        <w:t>The costs are to be taxed on the scale as between party and party and are to include the costs consequent upon the employment of two counsel.</w:t>
      </w:r>
    </w:p>
    <w:p w14:paraId="48748E3E" w14:textId="77777777" w:rsidR="00D3705F" w:rsidRDefault="00D3705F" w:rsidP="00D3705F">
      <w:pPr>
        <w:pStyle w:val="Body"/>
        <w:rPr>
          <w:rFonts w:cs="Arial"/>
          <w:b/>
          <w:bCs/>
          <w:sz w:val="24"/>
          <w:szCs w:val="24"/>
        </w:rPr>
      </w:pPr>
    </w:p>
    <w:p w14:paraId="3A81ACF3" w14:textId="77777777" w:rsidR="00D3705F" w:rsidRDefault="00D3705F" w:rsidP="00D3705F">
      <w:pPr>
        <w:pStyle w:val="Body"/>
        <w:rPr>
          <w:rFonts w:cs="Arial"/>
          <w:b/>
          <w:bCs/>
          <w:sz w:val="24"/>
          <w:szCs w:val="24"/>
        </w:rPr>
      </w:pPr>
    </w:p>
    <w:p w14:paraId="1BD4CA9C" w14:textId="77777777" w:rsidR="00D3705F" w:rsidRPr="00DB4BAE" w:rsidRDefault="00D3705F" w:rsidP="00D3705F">
      <w:pPr>
        <w:pStyle w:val="Body"/>
        <w:ind w:left="720"/>
        <w:jc w:val="right"/>
        <w:rPr>
          <w:rFonts w:cs="Arial"/>
          <w:sz w:val="24"/>
          <w:szCs w:val="24"/>
        </w:rPr>
      </w:pPr>
      <w:r w:rsidRPr="00DB4BAE">
        <w:rPr>
          <w:rFonts w:cs="Arial"/>
          <w:b/>
          <w:bCs/>
          <w:sz w:val="24"/>
          <w:szCs w:val="24"/>
        </w:rPr>
        <w:t>_____________________________</w:t>
      </w:r>
    </w:p>
    <w:p w14:paraId="4D6D7E77" w14:textId="77777777" w:rsidR="00D3705F" w:rsidRPr="00DB4BAE" w:rsidRDefault="00D3705F" w:rsidP="00D3705F">
      <w:pPr>
        <w:pStyle w:val="BodyA"/>
        <w:ind w:left="7920"/>
        <w:jc w:val="right"/>
        <w:rPr>
          <w:rFonts w:ascii="Arial" w:hAnsi="Arial" w:cs="Arial"/>
          <w:b/>
          <w:bCs/>
          <w:sz w:val="24"/>
          <w:szCs w:val="24"/>
        </w:rPr>
      </w:pPr>
      <w:r w:rsidRPr="00DB4BAE">
        <w:rPr>
          <w:rFonts w:ascii="Arial" w:hAnsi="Arial" w:cs="Arial"/>
          <w:b/>
          <w:bCs/>
          <w:sz w:val="24"/>
          <w:szCs w:val="24"/>
        </w:rPr>
        <w:t>A MILLAR</w:t>
      </w:r>
    </w:p>
    <w:p w14:paraId="7C99731E" w14:textId="77777777" w:rsidR="00D3705F" w:rsidRPr="00DB4BAE" w:rsidRDefault="00D3705F" w:rsidP="00D3705F">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25E24893" w14:textId="77777777" w:rsidR="00D3705F" w:rsidRPr="00DB4BAE" w:rsidRDefault="00D3705F" w:rsidP="00D3705F">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750700D9" w14:textId="77777777" w:rsidR="00D3705F" w:rsidRPr="00077E92" w:rsidRDefault="00D3705F" w:rsidP="00D3705F">
      <w:pPr>
        <w:pStyle w:val="BodyA"/>
        <w:ind w:left="720"/>
        <w:jc w:val="right"/>
        <w:rPr>
          <w:rFonts w:ascii="Arial" w:eastAsia="Tahoma" w:hAnsi="Arial" w:cs="Arial"/>
          <w:b/>
          <w:bCs/>
        </w:rPr>
      </w:pPr>
    </w:p>
    <w:p w14:paraId="28B86FAE" w14:textId="77777777" w:rsidR="00D3705F" w:rsidRDefault="00D3705F" w:rsidP="00D3705F">
      <w:pPr>
        <w:spacing w:line="480" w:lineRule="auto"/>
        <w:ind w:left="567" w:hanging="567"/>
        <w:jc w:val="both"/>
        <w:rPr>
          <w:rFonts w:ascii="Arial" w:hAnsi="Arial" w:cs="Arial"/>
        </w:rPr>
      </w:pPr>
    </w:p>
    <w:p w14:paraId="467EE8BA" w14:textId="77777777" w:rsidR="00D3705F" w:rsidRDefault="00D3705F" w:rsidP="00D3705F">
      <w:pPr>
        <w:spacing w:line="480" w:lineRule="auto"/>
        <w:ind w:left="567" w:hanging="567"/>
        <w:jc w:val="both"/>
        <w:rPr>
          <w:rFonts w:ascii="Arial" w:hAnsi="Arial" w:cs="Arial"/>
        </w:rPr>
      </w:pPr>
    </w:p>
    <w:p w14:paraId="0DB3133F" w14:textId="71CC7058" w:rsidR="00D3705F" w:rsidRPr="00DC2897" w:rsidRDefault="00D3705F" w:rsidP="00D3705F">
      <w:pPr>
        <w:spacing w:line="480" w:lineRule="auto"/>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p>
    <w:p w14:paraId="56DD2C72" w14:textId="5C8A005E" w:rsidR="00765BC3" w:rsidRPr="00D3705F" w:rsidRDefault="00D3705F" w:rsidP="00D3705F">
      <w:pPr>
        <w:spacing w:line="480" w:lineRule="auto"/>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p>
    <w:p w14:paraId="7DFF070C" w14:textId="77777777" w:rsidR="00765BC3" w:rsidRDefault="00765BC3" w:rsidP="00765BC3">
      <w:pPr>
        <w:pStyle w:val="ListParagraph"/>
        <w:spacing w:line="360" w:lineRule="auto"/>
        <w:ind w:left="1440"/>
        <w:jc w:val="both"/>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705F" w14:paraId="204F9602" w14:textId="77777777" w:rsidTr="000F535B">
        <w:tc>
          <w:tcPr>
            <w:tcW w:w="4675" w:type="dxa"/>
          </w:tcPr>
          <w:p w14:paraId="1F870FB8" w14:textId="629932DD" w:rsidR="00D3705F" w:rsidRPr="00D3705F" w:rsidRDefault="00D3705F" w:rsidP="00E9478D">
            <w:pPr>
              <w:spacing w:after="160" w:line="360" w:lineRule="auto"/>
              <w:jc w:val="both"/>
              <w:rPr>
                <w:rFonts w:ascii="Arial" w:hAnsi="Arial" w:cs="Arial"/>
                <w:bCs/>
                <w:sz w:val="24"/>
                <w:szCs w:val="24"/>
              </w:rPr>
            </w:pPr>
            <w:r w:rsidRPr="00D3705F">
              <w:rPr>
                <w:rFonts w:ascii="Arial" w:hAnsi="Arial" w:cs="Arial"/>
                <w:sz w:val="24"/>
                <w:szCs w:val="24"/>
              </w:rPr>
              <w:t>HEARD ON:</w:t>
            </w:r>
            <w:r w:rsidRPr="00D3705F">
              <w:rPr>
                <w:rFonts w:ascii="Arial" w:hAnsi="Arial" w:cs="Arial"/>
                <w:sz w:val="24"/>
                <w:szCs w:val="24"/>
              </w:rPr>
              <w:tab/>
            </w:r>
          </w:p>
        </w:tc>
        <w:tc>
          <w:tcPr>
            <w:tcW w:w="4675" w:type="dxa"/>
          </w:tcPr>
          <w:p w14:paraId="1B72DB31" w14:textId="307B3062" w:rsidR="00D3705F" w:rsidRPr="00D3705F" w:rsidRDefault="005F4BFF" w:rsidP="00E9478D">
            <w:pPr>
              <w:spacing w:after="160" w:line="360" w:lineRule="auto"/>
              <w:jc w:val="both"/>
              <w:rPr>
                <w:rFonts w:ascii="Arial" w:hAnsi="Arial" w:cs="Arial"/>
                <w:bCs/>
                <w:sz w:val="24"/>
                <w:szCs w:val="24"/>
              </w:rPr>
            </w:pPr>
            <w:r>
              <w:rPr>
                <w:rFonts w:ascii="Arial" w:hAnsi="Arial" w:cs="Arial"/>
                <w:sz w:val="24"/>
                <w:szCs w:val="24"/>
              </w:rPr>
              <w:t>11</w:t>
            </w:r>
            <w:r w:rsidR="00D3705F" w:rsidRPr="00D3705F">
              <w:rPr>
                <w:rFonts w:ascii="Arial" w:hAnsi="Arial" w:cs="Arial"/>
                <w:sz w:val="24"/>
                <w:szCs w:val="24"/>
              </w:rPr>
              <w:t xml:space="preserve"> OCTOBER 2022</w:t>
            </w:r>
          </w:p>
        </w:tc>
      </w:tr>
      <w:tr w:rsidR="00D3705F" w14:paraId="3C2CCCCE" w14:textId="77777777" w:rsidTr="000F535B">
        <w:tc>
          <w:tcPr>
            <w:tcW w:w="4675" w:type="dxa"/>
          </w:tcPr>
          <w:p w14:paraId="40B5417C" w14:textId="698948E5" w:rsidR="00D3705F" w:rsidRPr="00D3705F" w:rsidRDefault="00D3705F" w:rsidP="00E9478D">
            <w:pPr>
              <w:spacing w:after="160" w:line="360" w:lineRule="auto"/>
              <w:jc w:val="both"/>
              <w:rPr>
                <w:rFonts w:ascii="Arial" w:hAnsi="Arial" w:cs="Arial"/>
                <w:bCs/>
                <w:sz w:val="24"/>
                <w:szCs w:val="24"/>
              </w:rPr>
            </w:pPr>
            <w:r w:rsidRPr="00D3705F">
              <w:rPr>
                <w:rFonts w:ascii="Arial" w:hAnsi="Arial" w:cs="Arial"/>
                <w:sz w:val="24"/>
                <w:szCs w:val="24"/>
              </w:rPr>
              <w:t>JUDGMENT DELIVERED ON:</w:t>
            </w:r>
          </w:p>
        </w:tc>
        <w:tc>
          <w:tcPr>
            <w:tcW w:w="4675" w:type="dxa"/>
          </w:tcPr>
          <w:p w14:paraId="049DFE2E" w14:textId="049A2D64" w:rsidR="00D3705F" w:rsidRPr="00D3705F" w:rsidRDefault="009D29E3" w:rsidP="00E9478D">
            <w:pPr>
              <w:spacing w:after="160" w:line="360" w:lineRule="auto"/>
              <w:jc w:val="both"/>
              <w:rPr>
                <w:rFonts w:ascii="Arial" w:hAnsi="Arial" w:cs="Arial"/>
                <w:bCs/>
                <w:sz w:val="24"/>
                <w:szCs w:val="24"/>
              </w:rPr>
            </w:pPr>
            <w:r>
              <w:rPr>
                <w:rFonts w:ascii="Arial" w:hAnsi="Arial" w:cs="Arial"/>
                <w:sz w:val="24"/>
                <w:szCs w:val="24"/>
              </w:rPr>
              <w:t>1</w:t>
            </w:r>
            <w:r w:rsidR="006D6F58">
              <w:rPr>
                <w:rFonts w:ascii="Arial" w:hAnsi="Arial" w:cs="Arial"/>
                <w:sz w:val="24"/>
                <w:szCs w:val="24"/>
              </w:rPr>
              <w:t>7</w:t>
            </w:r>
            <w:r w:rsidR="00D3705F" w:rsidRPr="00D3705F">
              <w:rPr>
                <w:rFonts w:ascii="Arial" w:hAnsi="Arial" w:cs="Arial"/>
                <w:sz w:val="24"/>
                <w:szCs w:val="24"/>
              </w:rPr>
              <w:t xml:space="preserve"> NOVEMBER  202</w:t>
            </w:r>
            <w:r w:rsidR="009601A4">
              <w:rPr>
                <w:rFonts w:ascii="Arial" w:hAnsi="Arial" w:cs="Arial"/>
                <w:sz w:val="24"/>
                <w:szCs w:val="24"/>
              </w:rPr>
              <w:t>2</w:t>
            </w:r>
          </w:p>
        </w:tc>
      </w:tr>
      <w:tr w:rsidR="00E9478D" w14:paraId="3BB1318D" w14:textId="77777777" w:rsidTr="000F535B">
        <w:tc>
          <w:tcPr>
            <w:tcW w:w="4675" w:type="dxa"/>
          </w:tcPr>
          <w:p w14:paraId="0A562A10" w14:textId="0712D4F1" w:rsidR="00E9478D" w:rsidRPr="00E9478D" w:rsidRDefault="00E9478D" w:rsidP="00E9478D">
            <w:pPr>
              <w:spacing w:after="160" w:line="360" w:lineRule="auto"/>
              <w:jc w:val="both"/>
              <w:rPr>
                <w:rFonts w:ascii="Arial" w:hAnsi="Arial" w:cs="Arial"/>
                <w:bCs/>
                <w:sz w:val="24"/>
                <w:szCs w:val="24"/>
              </w:rPr>
            </w:pPr>
          </w:p>
        </w:tc>
        <w:tc>
          <w:tcPr>
            <w:tcW w:w="4675" w:type="dxa"/>
          </w:tcPr>
          <w:p w14:paraId="26984C3B" w14:textId="77777777" w:rsidR="00E9478D" w:rsidRPr="00E9478D" w:rsidRDefault="00E9478D" w:rsidP="00E9478D">
            <w:pPr>
              <w:spacing w:after="160" w:line="360" w:lineRule="auto"/>
              <w:jc w:val="both"/>
              <w:rPr>
                <w:rFonts w:ascii="Arial" w:hAnsi="Arial" w:cs="Arial"/>
                <w:bCs/>
                <w:sz w:val="24"/>
                <w:szCs w:val="24"/>
              </w:rPr>
            </w:pPr>
          </w:p>
        </w:tc>
      </w:tr>
      <w:tr w:rsidR="00E9478D" w14:paraId="396882F2" w14:textId="77777777" w:rsidTr="000F535B">
        <w:tc>
          <w:tcPr>
            <w:tcW w:w="4675" w:type="dxa"/>
          </w:tcPr>
          <w:p w14:paraId="17C6B7F4" w14:textId="04D30D3B" w:rsidR="00E9478D" w:rsidRPr="00C16DB2" w:rsidRDefault="00E9478D" w:rsidP="00E9478D">
            <w:pPr>
              <w:spacing w:after="160" w:line="360" w:lineRule="auto"/>
              <w:jc w:val="both"/>
              <w:rPr>
                <w:rFonts w:ascii="Arial" w:hAnsi="Arial" w:cs="Arial"/>
                <w:b/>
                <w:sz w:val="24"/>
                <w:szCs w:val="24"/>
              </w:rPr>
            </w:pPr>
            <w:r w:rsidRPr="00C16DB2">
              <w:rPr>
                <w:rFonts w:ascii="Arial" w:eastAsia="Courier New" w:hAnsi="Arial" w:cs="Arial"/>
                <w:b/>
                <w:color w:val="000000"/>
                <w:sz w:val="24"/>
                <w:szCs w:val="24"/>
              </w:rPr>
              <w:t>FOR THE AP</w:t>
            </w:r>
            <w:r w:rsidR="00C16DB2" w:rsidRPr="00C16DB2">
              <w:rPr>
                <w:rFonts w:ascii="Arial" w:eastAsia="Courier New" w:hAnsi="Arial" w:cs="Arial"/>
                <w:b/>
                <w:color w:val="000000"/>
                <w:sz w:val="24"/>
                <w:szCs w:val="24"/>
              </w:rPr>
              <w:t>P</w:t>
            </w:r>
            <w:r w:rsidRPr="00C16DB2">
              <w:rPr>
                <w:rFonts w:ascii="Arial" w:eastAsia="Courier New" w:hAnsi="Arial" w:cs="Arial"/>
                <w:b/>
                <w:color w:val="000000"/>
                <w:sz w:val="24"/>
                <w:szCs w:val="24"/>
              </w:rPr>
              <w:t>LICANT:</w:t>
            </w:r>
          </w:p>
        </w:tc>
        <w:tc>
          <w:tcPr>
            <w:tcW w:w="4675" w:type="dxa"/>
          </w:tcPr>
          <w:p w14:paraId="3D8BDB4A" w14:textId="23924D0A"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rPr>
              <w:t>ADV A COCKRELL SC</w:t>
            </w:r>
          </w:p>
        </w:tc>
      </w:tr>
      <w:tr w:rsidR="00E9478D" w14:paraId="184CBAEF" w14:textId="77777777" w:rsidTr="000F535B">
        <w:tc>
          <w:tcPr>
            <w:tcW w:w="4675" w:type="dxa"/>
          </w:tcPr>
          <w:p w14:paraId="79744851" w14:textId="77777777" w:rsidR="00E9478D" w:rsidRPr="00E9478D" w:rsidRDefault="00E9478D" w:rsidP="00E9478D">
            <w:pPr>
              <w:spacing w:after="160" w:line="360" w:lineRule="auto"/>
              <w:jc w:val="both"/>
              <w:rPr>
                <w:rFonts w:ascii="Arial" w:hAnsi="Arial" w:cs="Arial"/>
                <w:bCs/>
                <w:sz w:val="24"/>
                <w:szCs w:val="24"/>
              </w:rPr>
            </w:pPr>
          </w:p>
        </w:tc>
        <w:tc>
          <w:tcPr>
            <w:tcW w:w="4675" w:type="dxa"/>
          </w:tcPr>
          <w:p w14:paraId="7D07336C" w14:textId="137A1B44"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rPr>
              <w:t>ADV A FRIEDMAN</w:t>
            </w:r>
          </w:p>
        </w:tc>
      </w:tr>
      <w:tr w:rsidR="00E9478D" w14:paraId="10AD81D9" w14:textId="77777777" w:rsidTr="005F4BFF">
        <w:trPr>
          <w:trHeight w:val="821"/>
        </w:trPr>
        <w:tc>
          <w:tcPr>
            <w:tcW w:w="4675" w:type="dxa"/>
          </w:tcPr>
          <w:p w14:paraId="52AC30AD" w14:textId="00FBF5EC" w:rsidR="00E9478D" w:rsidRPr="00E9478D" w:rsidRDefault="00E9478D" w:rsidP="00E9478D">
            <w:pPr>
              <w:spacing w:after="160" w:line="360" w:lineRule="auto"/>
              <w:jc w:val="both"/>
              <w:rPr>
                <w:rFonts w:ascii="Arial" w:hAnsi="Arial" w:cs="Arial"/>
                <w:bCs/>
                <w:sz w:val="24"/>
                <w:szCs w:val="24"/>
              </w:rPr>
            </w:pPr>
            <w:r w:rsidRPr="00E9478D">
              <w:rPr>
                <w:rFonts w:ascii="Arial" w:eastAsia="Courier New" w:hAnsi="Arial" w:cs="Arial"/>
                <w:bCs/>
                <w:color w:val="000000"/>
                <w:sz w:val="24"/>
                <w:szCs w:val="24"/>
              </w:rPr>
              <w:t>INSTRUCTED BY:</w:t>
            </w:r>
          </w:p>
        </w:tc>
        <w:tc>
          <w:tcPr>
            <w:tcW w:w="4675" w:type="dxa"/>
          </w:tcPr>
          <w:p w14:paraId="552A7EF7" w14:textId="1E8616C8" w:rsidR="00E9478D" w:rsidRPr="00E9478D" w:rsidRDefault="00E9478D" w:rsidP="00C16DB2">
            <w:pPr>
              <w:rPr>
                <w:rFonts w:ascii="Arial" w:eastAsia="Courier New" w:hAnsi="Arial" w:cs="Arial"/>
                <w:bCs/>
                <w:color w:val="000000"/>
                <w:sz w:val="24"/>
                <w:szCs w:val="24"/>
              </w:rPr>
            </w:pPr>
            <w:r w:rsidRPr="00E9478D">
              <w:rPr>
                <w:rFonts w:ascii="Arial" w:eastAsia="Courier New" w:hAnsi="Arial" w:cs="Arial"/>
                <w:bCs/>
                <w:color w:val="000000"/>
                <w:sz w:val="24"/>
                <w:szCs w:val="24"/>
              </w:rPr>
              <w:t>BOWMAN</w:t>
            </w:r>
            <w:r w:rsidR="000F535B">
              <w:rPr>
                <w:rFonts w:ascii="Arial" w:eastAsia="Courier New" w:hAnsi="Arial" w:cs="Arial"/>
                <w:bCs/>
                <w:color w:val="000000"/>
                <w:sz w:val="24"/>
                <w:szCs w:val="24"/>
              </w:rPr>
              <w:t xml:space="preserve"> GILFILLAN ATTORNEYS</w:t>
            </w:r>
          </w:p>
          <w:p w14:paraId="32D42C1F" w14:textId="77777777" w:rsidR="00E9478D" w:rsidRPr="00E9478D" w:rsidRDefault="00E9478D" w:rsidP="00C16DB2">
            <w:pPr>
              <w:spacing w:after="160" w:line="360" w:lineRule="auto"/>
              <w:rPr>
                <w:rFonts w:ascii="Arial" w:hAnsi="Arial" w:cs="Arial"/>
                <w:bCs/>
                <w:sz w:val="24"/>
                <w:szCs w:val="24"/>
              </w:rPr>
            </w:pPr>
          </w:p>
        </w:tc>
      </w:tr>
      <w:tr w:rsidR="00E9478D" w14:paraId="08FF256F" w14:textId="77777777" w:rsidTr="000F535B">
        <w:tc>
          <w:tcPr>
            <w:tcW w:w="4675" w:type="dxa"/>
          </w:tcPr>
          <w:p w14:paraId="6B5B1A7A" w14:textId="46EB18DA"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675" w:type="dxa"/>
          </w:tcPr>
          <w:p w14:paraId="2113A073" w14:textId="15A9257D" w:rsidR="00E9478D" w:rsidRPr="00E9478D" w:rsidRDefault="000F535B" w:rsidP="00C16DB2">
            <w:pPr>
              <w:spacing w:after="160" w:line="360" w:lineRule="auto"/>
              <w:rPr>
                <w:rFonts w:ascii="Arial" w:hAnsi="Arial" w:cs="Arial"/>
                <w:bCs/>
                <w:sz w:val="24"/>
                <w:szCs w:val="24"/>
              </w:rPr>
            </w:pPr>
            <w:r>
              <w:rPr>
                <w:rFonts w:ascii="Arial" w:hAnsi="Arial" w:cs="Arial"/>
                <w:bCs/>
                <w:sz w:val="24"/>
                <w:szCs w:val="24"/>
              </w:rPr>
              <w:t>MS L LUDICK/6212412</w:t>
            </w:r>
          </w:p>
        </w:tc>
      </w:tr>
      <w:tr w:rsidR="00E9478D" w14:paraId="719A67BA" w14:textId="77777777" w:rsidTr="000F535B">
        <w:tc>
          <w:tcPr>
            <w:tcW w:w="4675" w:type="dxa"/>
          </w:tcPr>
          <w:p w14:paraId="414F942D" w14:textId="77777777" w:rsidR="00715D2A" w:rsidRDefault="00715D2A" w:rsidP="00E9478D">
            <w:pPr>
              <w:spacing w:after="160" w:line="360" w:lineRule="auto"/>
              <w:jc w:val="both"/>
              <w:rPr>
                <w:rFonts w:ascii="Arial" w:hAnsi="Arial" w:cs="Arial"/>
                <w:b/>
                <w:sz w:val="24"/>
                <w:szCs w:val="24"/>
              </w:rPr>
            </w:pPr>
          </w:p>
          <w:p w14:paraId="54A01CF7" w14:textId="1B26F9F3" w:rsidR="00E9478D" w:rsidRPr="00C16DB2" w:rsidRDefault="00E9478D" w:rsidP="00E9478D">
            <w:pPr>
              <w:spacing w:after="160" w:line="360" w:lineRule="auto"/>
              <w:jc w:val="both"/>
              <w:rPr>
                <w:rFonts w:ascii="Arial" w:hAnsi="Arial" w:cs="Arial"/>
                <w:b/>
                <w:sz w:val="24"/>
                <w:szCs w:val="24"/>
              </w:rPr>
            </w:pPr>
            <w:r w:rsidRPr="00C16DB2">
              <w:rPr>
                <w:rFonts w:ascii="Arial" w:hAnsi="Arial" w:cs="Arial"/>
                <w:b/>
                <w:sz w:val="24"/>
                <w:szCs w:val="24"/>
              </w:rPr>
              <w:t xml:space="preserve">FOR THE </w:t>
            </w:r>
            <w:r w:rsidR="00C16DB2" w:rsidRPr="00C16DB2">
              <w:rPr>
                <w:rFonts w:ascii="Arial" w:hAnsi="Arial" w:cs="Arial"/>
                <w:b/>
                <w:sz w:val="24"/>
                <w:szCs w:val="24"/>
              </w:rPr>
              <w:t>FIRST</w:t>
            </w:r>
            <w:r w:rsidRPr="00C16DB2">
              <w:rPr>
                <w:rFonts w:ascii="Arial" w:hAnsi="Arial" w:cs="Arial"/>
                <w:b/>
                <w:sz w:val="24"/>
                <w:szCs w:val="24"/>
              </w:rPr>
              <w:t xml:space="preserve"> RESPONDENT:</w:t>
            </w:r>
          </w:p>
        </w:tc>
        <w:tc>
          <w:tcPr>
            <w:tcW w:w="4675" w:type="dxa"/>
          </w:tcPr>
          <w:p w14:paraId="4EE01F55" w14:textId="77777777" w:rsidR="00715D2A" w:rsidRDefault="00715D2A" w:rsidP="00C16DB2">
            <w:pPr>
              <w:spacing w:after="160" w:line="360" w:lineRule="auto"/>
              <w:rPr>
                <w:rFonts w:ascii="Arial" w:eastAsia="Courier New" w:hAnsi="Arial" w:cs="Arial"/>
                <w:bCs/>
                <w:color w:val="000000"/>
                <w:sz w:val="24"/>
                <w:szCs w:val="24"/>
                <w:lang w:eastAsia="en-ZA"/>
              </w:rPr>
            </w:pPr>
          </w:p>
          <w:p w14:paraId="1D84255F" w14:textId="24F46554"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715D2A">
              <w:rPr>
                <w:rFonts w:ascii="Arial" w:eastAsia="Courier New" w:hAnsi="Arial" w:cs="Arial"/>
                <w:bCs/>
                <w:color w:val="000000"/>
                <w:sz w:val="24"/>
                <w:szCs w:val="24"/>
                <w:lang w:eastAsia="en-ZA"/>
              </w:rPr>
              <w:t xml:space="preserve">A </w:t>
            </w:r>
            <w:r w:rsidRPr="00E9478D">
              <w:rPr>
                <w:rFonts w:ascii="Arial" w:eastAsia="Courier New" w:hAnsi="Arial" w:cs="Arial"/>
                <w:bCs/>
                <w:color w:val="000000"/>
                <w:sz w:val="24"/>
                <w:szCs w:val="24"/>
                <w:lang w:eastAsia="en-ZA"/>
              </w:rPr>
              <w:t>FRANKLIN SC</w:t>
            </w:r>
          </w:p>
        </w:tc>
      </w:tr>
      <w:tr w:rsidR="00E9478D" w14:paraId="056B10D0" w14:textId="77777777" w:rsidTr="000F535B">
        <w:tc>
          <w:tcPr>
            <w:tcW w:w="4675" w:type="dxa"/>
          </w:tcPr>
          <w:p w14:paraId="1F51FACB" w14:textId="77777777" w:rsidR="00E9478D" w:rsidRPr="00E9478D" w:rsidRDefault="00E9478D" w:rsidP="00E9478D">
            <w:pPr>
              <w:spacing w:after="160" w:line="360" w:lineRule="auto"/>
              <w:jc w:val="both"/>
              <w:rPr>
                <w:rFonts w:ascii="Arial" w:hAnsi="Arial" w:cs="Arial"/>
                <w:bCs/>
                <w:sz w:val="24"/>
                <w:szCs w:val="24"/>
              </w:rPr>
            </w:pPr>
          </w:p>
        </w:tc>
        <w:tc>
          <w:tcPr>
            <w:tcW w:w="4675" w:type="dxa"/>
          </w:tcPr>
          <w:p w14:paraId="270EFF76" w14:textId="74AB74FF"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 P SMITH</w:t>
            </w:r>
          </w:p>
        </w:tc>
      </w:tr>
      <w:tr w:rsidR="00E9478D" w14:paraId="14D757F1" w14:textId="77777777" w:rsidTr="000F535B">
        <w:tc>
          <w:tcPr>
            <w:tcW w:w="4675" w:type="dxa"/>
          </w:tcPr>
          <w:p w14:paraId="0D95057F" w14:textId="02D03F28"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675" w:type="dxa"/>
          </w:tcPr>
          <w:p w14:paraId="29008ABE" w14:textId="70A1CDD2"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CHEADLE THOMPSON &amp; HAYSOM INC</w:t>
            </w:r>
          </w:p>
        </w:tc>
      </w:tr>
      <w:tr w:rsidR="00E9478D" w14:paraId="43B04F75" w14:textId="77777777" w:rsidTr="000F535B">
        <w:tc>
          <w:tcPr>
            <w:tcW w:w="4675" w:type="dxa"/>
          </w:tcPr>
          <w:p w14:paraId="46C53DA6" w14:textId="3ED8D5ED"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675" w:type="dxa"/>
          </w:tcPr>
          <w:p w14:paraId="17DAE5D8" w14:textId="692CBE81" w:rsidR="00E9478D" w:rsidRPr="00E9478D" w:rsidRDefault="000F535B" w:rsidP="00C16DB2">
            <w:pPr>
              <w:spacing w:after="160" w:line="360" w:lineRule="auto"/>
              <w:rPr>
                <w:rFonts w:ascii="Arial" w:hAnsi="Arial" w:cs="Arial"/>
                <w:bCs/>
                <w:sz w:val="24"/>
                <w:szCs w:val="24"/>
              </w:rPr>
            </w:pPr>
            <w:r>
              <w:rPr>
                <w:rFonts w:ascii="Arial" w:hAnsi="Arial" w:cs="Arial"/>
                <w:bCs/>
                <w:sz w:val="24"/>
                <w:szCs w:val="24"/>
              </w:rPr>
              <w:t>MS K NORVAL/ESK20014</w:t>
            </w:r>
          </w:p>
        </w:tc>
      </w:tr>
      <w:tr w:rsidR="00C16DB2" w14:paraId="1142F40E" w14:textId="77777777" w:rsidTr="000F535B">
        <w:tc>
          <w:tcPr>
            <w:tcW w:w="4675" w:type="dxa"/>
          </w:tcPr>
          <w:p w14:paraId="4208BF98" w14:textId="77777777" w:rsidR="00C16DB2" w:rsidRPr="00E9478D" w:rsidRDefault="00C16DB2" w:rsidP="00E9478D">
            <w:pPr>
              <w:spacing w:after="160" w:line="360" w:lineRule="auto"/>
              <w:jc w:val="both"/>
              <w:rPr>
                <w:rFonts w:ascii="Arial" w:hAnsi="Arial" w:cs="Arial"/>
                <w:bCs/>
              </w:rPr>
            </w:pPr>
          </w:p>
        </w:tc>
        <w:tc>
          <w:tcPr>
            <w:tcW w:w="4675" w:type="dxa"/>
          </w:tcPr>
          <w:p w14:paraId="64AB0DF2" w14:textId="77777777" w:rsidR="00C16DB2" w:rsidRPr="00E9478D" w:rsidRDefault="00C16DB2" w:rsidP="00C16DB2">
            <w:pPr>
              <w:spacing w:after="160" w:line="360" w:lineRule="auto"/>
              <w:rPr>
                <w:rFonts w:ascii="Arial" w:eastAsia="Courier New" w:hAnsi="Arial" w:cs="Arial"/>
                <w:bCs/>
                <w:color w:val="000000"/>
                <w:lang w:eastAsia="en-ZA"/>
              </w:rPr>
            </w:pPr>
          </w:p>
        </w:tc>
      </w:tr>
      <w:tr w:rsidR="00E9478D" w14:paraId="25E54C6C" w14:textId="77777777" w:rsidTr="000F535B">
        <w:tc>
          <w:tcPr>
            <w:tcW w:w="4675" w:type="dxa"/>
          </w:tcPr>
          <w:p w14:paraId="0929EC31" w14:textId="3356B239" w:rsidR="00E9478D" w:rsidRPr="00C16DB2" w:rsidRDefault="00E9478D" w:rsidP="00E9478D">
            <w:pPr>
              <w:spacing w:after="160" w:line="360" w:lineRule="auto"/>
              <w:jc w:val="both"/>
              <w:rPr>
                <w:rFonts w:ascii="Arial" w:hAnsi="Arial" w:cs="Arial"/>
                <w:b/>
                <w:sz w:val="24"/>
                <w:szCs w:val="24"/>
              </w:rPr>
            </w:pPr>
            <w:r w:rsidRPr="00C16DB2">
              <w:rPr>
                <w:rFonts w:ascii="Arial" w:hAnsi="Arial" w:cs="Arial"/>
                <w:b/>
                <w:sz w:val="24"/>
                <w:szCs w:val="24"/>
              </w:rPr>
              <w:t>FOR THE</w:t>
            </w:r>
            <w:r w:rsidR="00C16DB2" w:rsidRPr="00C16DB2">
              <w:rPr>
                <w:rFonts w:ascii="Arial" w:hAnsi="Arial" w:cs="Arial"/>
                <w:b/>
                <w:sz w:val="24"/>
                <w:szCs w:val="24"/>
              </w:rPr>
              <w:t xml:space="preserve"> SECOND</w:t>
            </w:r>
            <w:r w:rsidRPr="00C16DB2">
              <w:rPr>
                <w:rFonts w:ascii="Arial" w:hAnsi="Arial" w:cs="Arial"/>
                <w:b/>
                <w:sz w:val="24"/>
                <w:szCs w:val="24"/>
              </w:rPr>
              <w:t xml:space="preserve"> RESPONDENT:</w:t>
            </w:r>
          </w:p>
        </w:tc>
        <w:tc>
          <w:tcPr>
            <w:tcW w:w="4675" w:type="dxa"/>
          </w:tcPr>
          <w:p w14:paraId="2856D2E4" w14:textId="764216C6"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 J BABAMIA SC</w:t>
            </w:r>
          </w:p>
        </w:tc>
      </w:tr>
      <w:tr w:rsidR="00E9478D" w14:paraId="3FAF45DD" w14:textId="77777777" w:rsidTr="000F535B">
        <w:tc>
          <w:tcPr>
            <w:tcW w:w="4675" w:type="dxa"/>
          </w:tcPr>
          <w:p w14:paraId="311CF6DC" w14:textId="77777777" w:rsidR="00E9478D" w:rsidRPr="00E9478D" w:rsidRDefault="00E9478D" w:rsidP="00E9478D">
            <w:pPr>
              <w:spacing w:after="160" w:line="360" w:lineRule="auto"/>
              <w:jc w:val="both"/>
              <w:rPr>
                <w:rFonts w:ascii="Arial" w:hAnsi="Arial" w:cs="Arial"/>
                <w:bCs/>
                <w:sz w:val="24"/>
                <w:szCs w:val="24"/>
              </w:rPr>
            </w:pPr>
          </w:p>
        </w:tc>
        <w:tc>
          <w:tcPr>
            <w:tcW w:w="4675" w:type="dxa"/>
          </w:tcPr>
          <w:p w14:paraId="3F371862" w14:textId="40565D0F"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 K ILES</w:t>
            </w:r>
          </w:p>
        </w:tc>
      </w:tr>
      <w:tr w:rsidR="00E9478D" w14:paraId="6209F23F" w14:textId="77777777" w:rsidTr="000F535B">
        <w:tc>
          <w:tcPr>
            <w:tcW w:w="4675" w:type="dxa"/>
          </w:tcPr>
          <w:p w14:paraId="7E7346C4" w14:textId="79FD1084"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675" w:type="dxa"/>
          </w:tcPr>
          <w:p w14:paraId="276ED5B9" w14:textId="1037B30C"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PINSENT MASONS SOUTH AFRICA INC</w:t>
            </w:r>
          </w:p>
        </w:tc>
      </w:tr>
      <w:tr w:rsidR="00E9478D" w14:paraId="125D6E70" w14:textId="77777777" w:rsidTr="000F535B">
        <w:tc>
          <w:tcPr>
            <w:tcW w:w="4675" w:type="dxa"/>
          </w:tcPr>
          <w:p w14:paraId="6DC4DAF7" w14:textId="452D0BC3"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REFERENCE</w:t>
            </w:r>
            <w:r w:rsidR="000F535B">
              <w:rPr>
                <w:rFonts w:ascii="Arial" w:hAnsi="Arial" w:cs="Arial"/>
                <w:bCs/>
                <w:sz w:val="24"/>
                <w:szCs w:val="24"/>
              </w:rPr>
              <w:t>:</w:t>
            </w:r>
          </w:p>
        </w:tc>
        <w:tc>
          <w:tcPr>
            <w:tcW w:w="4675" w:type="dxa"/>
          </w:tcPr>
          <w:p w14:paraId="34112FA4" w14:textId="62DA60BD" w:rsidR="00E9478D" w:rsidRPr="00E9478D" w:rsidRDefault="000F535B" w:rsidP="00C16DB2">
            <w:pPr>
              <w:spacing w:after="160" w:line="360" w:lineRule="auto"/>
              <w:rPr>
                <w:rFonts w:ascii="Arial" w:hAnsi="Arial" w:cs="Arial"/>
                <w:bCs/>
                <w:sz w:val="24"/>
                <w:szCs w:val="24"/>
              </w:rPr>
            </w:pPr>
            <w:r>
              <w:rPr>
                <w:rFonts w:ascii="Arial" w:hAnsi="Arial" w:cs="Arial"/>
                <w:bCs/>
                <w:sz w:val="24"/>
                <w:szCs w:val="24"/>
              </w:rPr>
              <w:t>MR J SMIT</w:t>
            </w:r>
          </w:p>
        </w:tc>
      </w:tr>
      <w:tr w:rsidR="00C16DB2" w14:paraId="7A50B23F" w14:textId="77777777" w:rsidTr="000F535B">
        <w:tc>
          <w:tcPr>
            <w:tcW w:w="4675" w:type="dxa"/>
          </w:tcPr>
          <w:p w14:paraId="7AE3B4A6" w14:textId="77777777" w:rsidR="00C16DB2" w:rsidRPr="00E9478D" w:rsidRDefault="00C16DB2" w:rsidP="00E9478D">
            <w:pPr>
              <w:spacing w:after="160" w:line="360" w:lineRule="auto"/>
              <w:jc w:val="both"/>
              <w:rPr>
                <w:rFonts w:ascii="Arial" w:hAnsi="Arial" w:cs="Arial"/>
                <w:bCs/>
              </w:rPr>
            </w:pPr>
          </w:p>
        </w:tc>
        <w:tc>
          <w:tcPr>
            <w:tcW w:w="4675" w:type="dxa"/>
          </w:tcPr>
          <w:p w14:paraId="0C963A8C" w14:textId="77777777" w:rsidR="00C16DB2" w:rsidRPr="00E9478D" w:rsidRDefault="00C16DB2" w:rsidP="00C16DB2">
            <w:pPr>
              <w:spacing w:after="160" w:line="360" w:lineRule="auto"/>
              <w:rPr>
                <w:rFonts w:ascii="Arial" w:eastAsia="Courier New" w:hAnsi="Arial" w:cs="Arial"/>
                <w:bCs/>
                <w:color w:val="000000"/>
                <w:lang w:eastAsia="en-ZA"/>
              </w:rPr>
            </w:pPr>
          </w:p>
        </w:tc>
      </w:tr>
      <w:tr w:rsidR="00E9478D" w14:paraId="1C15B286" w14:textId="77777777" w:rsidTr="000F535B">
        <w:tc>
          <w:tcPr>
            <w:tcW w:w="4675" w:type="dxa"/>
          </w:tcPr>
          <w:p w14:paraId="02FA2508" w14:textId="24FE4566" w:rsidR="00E9478D" w:rsidRPr="00C16DB2" w:rsidRDefault="00E9478D" w:rsidP="00E9478D">
            <w:pPr>
              <w:spacing w:after="160" w:line="360" w:lineRule="auto"/>
              <w:jc w:val="both"/>
              <w:rPr>
                <w:rFonts w:ascii="Arial" w:hAnsi="Arial" w:cs="Arial"/>
                <w:b/>
                <w:sz w:val="24"/>
                <w:szCs w:val="24"/>
              </w:rPr>
            </w:pPr>
            <w:r w:rsidRPr="00C16DB2">
              <w:rPr>
                <w:rFonts w:ascii="Arial" w:hAnsi="Arial" w:cs="Arial"/>
                <w:b/>
                <w:sz w:val="24"/>
                <w:szCs w:val="24"/>
              </w:rPr>
              <w:t xml:space="preserve">FOR THE </w:t>
            </w:r>
            <w:r w:rsidR="00C16DB2" w:rsidRPr="00C16DB2">
              <w:rPr>
                <w:rFonts w:ascii="Arial" w:hAnsi="Arial" w:cs="Arial"/>
                <w:b/>
                <w:sz w:val="24"/>
                <w:szCs w:val="24"/>
              </w:rPr>
              <w:t>THIRD</w:t>
            </w:r>
            <w:r w:rsidRPr="00C16DB2">
              <w:rPr>
                <w:rFonts w:ascii="Arial" w:hAnsi="Arial" w:cs="Arial"/>
                <w:b/>
                <w:sz w:val="24"/>
                <w:szCs w:val="24"/>
              </w:rPr>
              <w:t xml:space="preserve"> RESPONDENT:</w:t>
            </w:r>
          </w:p>
        </w:tc>
        <w:tc>
          <w:tcPr>
            <w:tcW w:w="4675" w:type="dxa"/>
          </w:tcPr>
          <w:p w14:paraId="516B4A7E" w14:textId="399D6389"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 xml:space="preserve">ADV A BOTHA </w:t>
            </w:r>
            <w:r w:rsidR="00715D2A">
              <w:rPr>
                <w:rFonts w:ascii="Arial" w:eastAsia="Courier New" w:hAnsi="Arial" w:cs="Arial"/>
                <w:bCs/>
                <w:color w:val="000000"/>
                <w:sz w:val="24"/>
                <w:szCs w:val="24"/>
                <w:lang w:eastAsia="en-ZA"/>
              </w:rPr>
              <w:t>S</w:t>
            </w:r>
            <w:r w:rsidRPr="00E9478D">
              <w:rPr>
                <w:rFonts w:ascii="Arial" w:eastAsia="Courier New" w:hAnsi="Arial" w:cs="Arial"/>
                <w:bCs/>
                <w:color w:val="000000"/>
                <w:sz w:val="24"/>
                <w:szCs w:val="24"/>
                <w:lang w:eastAsia="en-ZA"/>
              </w:rPr>
              <w:t>C</w:t>
            </w:r>
          </w:p>
        </w:tc>
      </w:tr>
      <w:tr w:rsidR="00E9478D" w14:paraId="15295C89" w14:textId="77777777" w:rsidTr="000F535B">
        <w:tc>
          <w:tcPr>
            <w:tcW w:w="4675" w:type="dxa"/>
          </w:tcPr>
          <w:p w14:paraId="60BF5CAC" w14:textId="77777777" w:rsidR="00E9478D" w:rsidRPr="00E9478D" w:rsidRDefault="00E9478D" w:rsidP="00E9478D">
            <w:pPr>
              <w:spacing w:after="160" w:line="360" w:lineRule="auto"/>
              <w:jc w:val="both"/>
              <w:rPr>
                <w:rFonts w:ascii="Arial" w:hAnsi="Arial" w:cs="Arial"/>
                <w:bCs/>
                <w:sz w:val="24"/>
                <w:szCs w:val="24"/>
              </w:rPr>
            </w:pPr>
          </w:p>
        </w:tc>
        <w:tc>
          <w:tcPr>
            <w:tcW w:w="4675" w:type="dxa"/>
          </w:tcPr>
          <w:p w14:paraId="28530D13" w14:textId="65732FD1" w:rsidR="00E9478D" w:rsidRPr="00E9478D" w:rsidRDefault="00E9478D" w:rsidP="00C16DB2">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 H MARTIN</w:t>
            </w:r>
          </w:p>
        </w:tc>
      </w:tr>
      <w:tr w:rsidR="00E9478D" w14:paraId="74B110B4" w14:textId="77777777" w:rsidTr="000F535B">
        <w:tc>
          <w:tcPr>
            <w:tcW w:w="4675" w:type="dxa"/>
          </w:tcPr>
          <w:p w14:paraId="63AB5FF3" w14:textId="41C4296D"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675" w:type="dxa"/>
          </w:tcPr>
          <w:p w14:paraId="408CCD69" w14:textId="1D6FDFE8" w:rsidR="00E9478D" w:rsidRPr="00E9478D" w:rsidRDefault="00E9478D" w:rsidP="00C16DB2">
            <w:pPr>
              <w:spacing w:after="160" w:line="360" w:lineRule="auto"/>
              <w:rPr>
                <w:rFonts w:ascii="Arial" w:eastAsia="Courier New" w:hAnsi="Arial" w:cs="Arial"/>
                <w:bCs/>
                <w:color w:val="000000"/>
                <w:sz w:val="24"/>
                <w:szCs w:val="24"/>
                <w:lang w:eastAsia="en-ZA"/>
              </w:rPr>
            </w:pPr>
            <w:r w:rsidRPr="00E9478D">
              <w:rPr>
                <w:rFonts w:ascii="Arial" w:eastAsia="Courier New" w:hAnsi="Arial" w:cs="Arial"/>
                <w:bCs/>
                <w:color w:val="000000"/>
                <w:sz w:val="24"/>
                <w:szCs w:val="24"/>
                <w:lang w:eastAsia="en-ZA"/>
              </w:rPr>
              <w:t>WERKSMANS ATTORNEYS</w:t>
            </w:r>
          </w:p>
        </w:tc>
      </w:tr>
      <w:tr w:rsidR="00E9478D" w14:paraId="7856FA35" w14:textId="77777777" w:rsidTr="000F535B">
        <w:tc>
          <w:tcPr>
            <w:tcW w:w="4675" w:type="dxa"/>
          </w:tcPr>
          <w:p w14:paraId="492D6324" w14:textId="0619C4D0" w:rsidR="00E9478D" w:rsidRPr="00E9478D" w:rsidRDefault="00E9478D" w:rsidP="00E9478D">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675" w:type="dxa"/>
          </w:tcPr>
          <w:p w14:paraId="6D412C8C" w14:textId="21E79A1F" w:rsidR="00E9478D" w:rsidRPr="00E9478D" w:rsidRDefault="000F535B" w:rsidP="00E9478D">
            <w:pPr>
              <w:spacing w:after="160" w:line="360" w:lineRule="auto"/>
              <w:jc w:val="both"/>
              <w:rPr>
                <w:rFonts w:ascii="Arial" w:eastAsia="Courier New" w:hAnsi="Arial" w:cs="Arial"/>
                <w:bCs/>
                <w:color w:val="000000"/>
                <w:sz w:val="24"/>
                <w:szCs w:val="24"/>
                <w:lang w:eastAsia="en-ZA"/>
              </w:rPr>
            </w:pPr>
            <w:r>
              <w:rPr>
                <w:rFonts w:ascii="Arial" w:eastAsia="Courier New" w:hAnsi="Arial" w:cs="Arial"/>
                <w:bCs/>
                <w:color w:val="000000"/>
                <w:sz w:val="24"/>
                <w:szCs w:val="24"/>
                <w:lang w:eastAsia="en-ZA"/>
              </w:rPr>
              <w:t>MS J SMIT/STEI32637.12</w:t>
            </w:r>
          </w:p>
        </w:tc>
      </w:tr>
    </w:tbl>
    <w:p w14:paraId="56023C2B" w14:textId="30FB4A1D" w:rsidR="0027008F" w:rsidRPr="00715D2A" w:rsidRDefault="0027008F" w:rsidP="00715D2A">
      <w:pPr>
        <w:ind w:right="288"/>
        <w:rPr>
          <w:rFonts w:ascii="Arial" w:eastAsia="Courier New" w:hAnsi="Arial" w:cs="Arial"/>
          <w:b/>
          <w:color w:val="000000"/>
          <w:lang w:eastAsia="en-ZA"/>
        </w:rPr>
      </w:pPr>
    </w:p>
    <w:sectPr w:rsidR="0027008F" w:rsidRPr="00715D2A" w:rsidSect="00E9478D">
      <w:headerReference w:type="even" r:id="rId9"/>
      <w:headerReference w:type="default" r:id="rId10"/>
      <w:endnotePr>
        <w:numFmt w:val="decimal"/>
      </w:endnotePr>
      <w:pgSz w:w="12240" w:h="15840"/>
      <w:pgMar w:top="142" w:right="1440" w:bottom="123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A975" w14:textId="77777777" w:rsidR="007E11C3" w:rsidRDefault="007E11C3" w:rsidP="008C18AE">
      <w:r>
        <w:separator/>
      </w:r>
    </w:p>
  </w:endnote>
  <w:endnote w:type="continuationSeparator" w:id="0">
    <w:p w14:paraId="4FB0329B" w14:textId="77777777" w:rsidR="007E11C3" w:rsidRDefault="007E11C3"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51CC" w14:textId="77777777" w:rsidR="007E11C3" w:rsidRDefault="007E11C3" w:rsidP="008C18AE">
      <w:r>
        <w:separator/>
      </w:r>
    </w:p>
  </w:footnote>
  <w:footnote w:type="continuationSeparator" w:id="0">
    <w:p w14:paraId="73B9A136" w14:textId="77777777" w:rsidR="007E11C3" w:rsidRDefault="007E11C3" w:rsidP="008C18AE">
      <w:r>
        <w:continuationSeparator/>
      </w:r>
    </w:p>
  </w:footnote>
  <w:footnote w:id="1">
    <w:p w14:paraId="02B5287B" w14:textId="355012B1" w:rsidR="0063569A" w:rsidRPr="007D4803" w:rsidRDefault="0063569A" w:rsidP="00231953">
      <w:pPr>
        <w:pStyle w:val="FootnoteText"/>
        <w:ind w:left="284" w:hanging="284"/>
        <w:jc w:val="both"/>
        <w:rPr>
          <w:rFonts w:ascii="Arial" w:hAnsi="Arial" w:cs="Arial"/>
          <w:sz w:val="20"/>
          <w:szCs w:val="20"/>
        </w:rPr>
      </w:pPr>
      <w:r w:rsidRPr="007D4803">
        <w:rPr>
          <w:rStyle w:val="FootnoteReference"/>
          <w:rFonts w:ascii="Arial" w:hAnsi="Arial" w:cs="Arial"/>
          <w:sz w:val="20"/>
          <w:szCs w:val="20"/>
        </w:rPr>
        <w:footnoteRef/>
      </w:r>
      <w:r w:rsidRPr="007D4803">
        <w:rPr>
          <w:rFonts w:ascii="Arial" w:hAnsi="Arial" w:cs="Arial"/>
          <w:sz w:val="20"/>
          <w:szCs w:val="20"/>
        </w:rPr>
        <w:t xml:space="preserve"> </w:t>
      </w:r>
      <w:r>
        <w:rPr>
          <w:rFonts w:ascii="Arial" w:hAnsi="Arial" w:cs="Arial"/>
          <w:sz w:val="20"/>
          <w:szCs w:val="20"/>
        </w:rPr>
        <w:tab/>
      </w:r>
      <w:r w:rsidRPr="007D4803">
        <w:rPr>
          <w:rFonts w:ascii="Arial" w:hAnsi="Arial" w:cs="Arial"/>
          <w:sz w:val="20"/>
          <w:szCs w:val="20"/>
        </w:rPr>
        <w:t>The facilities located at Hendrina, Kendal, Lethabo and Matla.</w:t>
      </w:r>
    </w:p>
  </w:footnote>
  <w:footnote w:id="2">
    <w:p w14:paraId="7ADE9D6B" w14:textId="17426F4A" w:rsidR="0063569A" w:rsidRPr="00E9478D" w:rsidRDefault="0063569A" w:rsidP="00E9478D">
      <w:pPr>
        <w:pStyle w:val="FootnoteText"/>
        <w:tabs>
          <w:tab w:val="center" w:pos="0"/>
          <w:tab w:val="center" w:pos="284"/>
          <w:tab w:val="center" w:pos="851"/>
          <w:tab w:val="center" w:pos="1134"/>
        </w:tabs>
        <w:ind w:left="567" w:hanging="567"/>
        <w:jc w:val="both"/>
        <w:rPr>
          <w:rFonts w:ascii="Arial" w:hAnsi="Arial" w:cs="Arial"/>
          <w:sz w:val="20"/>
          <w:szCs w:val="20"/>
        </w:rPr>
      </w:pPr>
      <w:r w:rsidRPr="00E9478D">
        <w:rPr>
          <w:rStyle w:val="FootnoteReference"/>
          <w:rFonts w:ascii="Arial" w:hAnsi="Arial" w:cs="Arial"/>
          <w:sz w:val="20"/>
          <w:szCs w:val="20"/>
        </w:rPr>
        <w:footnoteRef/>
      </w:r>
      <w:r w:rsidRPr="00E9478D">
        <w:rPr>
          <w:rFonts w:ascii="Arial" w:hAnsi="Arial" w:cs="Arial"/>
          <w:sz w:val="20"/>
          <w:szCs w:val="20"/>
        </w:rPr>
        <w:t xml:space="preserve"> </w:t>
      </w:r>
      <w:r w:rsidRPr="00E9478D">
        <w:rPr>
          <w:rFonts w:ascii="Arial" w:hAnsi="Arial" w:cs="Arial"/>
          <w:sz w:val="20"/>
          <w:szCs w:val="20"/>
        </w:rPr>
        <w:tab/>
        <w:t>“(1)</w:t>
      </w:r>
      <w:r w:rsidRPr="00E9478D">
        <w:rPr>
          <w:rFonts w:ascii="Arial" w:hAnsi="Arial" w:cs="Arial"/>
          <w:sz w:val="20"/>
          <w:szCs w:val="20"/>
        </w:rPr>
        <w:tab/>
      </w:r>
      <w:r w:rsidRPr="00E9478D">
        <w:rPr>
          <w:rFonts w:ascii="Arial" w:hAnsi="Arial" w:cs="Arial"/>
          <w:sz w:val="20"/>
          <w:szCs w:val="20"/>
        </w:rPr>
        <w:tab/>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14:paraId="494A0E8E" w14:textId="22045A7F" w:rsidR="0063569A" w:rsidRPr="00E9478D" w:rsidRDefault="0063569A" w:rsidP="00E9478D">
      <w:pPr>
        <w:pStyle w:val="FootnoteText"/>
        <w:tabs>
          <w:tab w:val="center" w:pos="284"/>
          <w:tab w:val="center" w:pos="567"/>
          <w:tab w:val="center" w:pos="851"/>
        </w:tabs>
        <w:ind w:left="567" w:hanging="567"/>
        <w:jc w:val="both"/>
        <w:rPr>
          <w:rFonts w:ascii="Arial" w:hAnsi="Arial" w:cs="Arial"/>
          <w:sz w:val="20"/>
          <w:szCs w:val="20"/>
        </w:rPr>
      </w:pPr>
      <w:r w:rsidRPr="00E9478D">
        <w:rPr>
          <w:rFonts w:ascii="Arial" w:hAnsi="Arial" w:cs="Arial"/>
          <w:sz w:val="20"/>
          <w:szCs w:val="20"/>
        </w:rPr>
        <w:tab/>
        <w:t>(2)</w:t>
      </w:r>
      <w:r w:rsidRPr="00E9478D">
        <w:rPr>
          <w:rFonts w:ascii="Arial" w:hAnsi="Arial" w:cs="Arial"/>
          <w:sz w:val="20"/>
          <w:szCs w:val="20"/>
        </w:rPr>
        <w:tab/>
      </w:r>
      <w:r w:rsidRPr="00E9478D">
        <w:rPr>
          <w:rFonts w:ascii="Arial" w:hAnsi="Arial" w:cs="Arial"/>
          <w:sz w:val="20"/>
          <w:szCs w:val="20"/>
        </w:rPr>
        <w:tab/>
        <w:t>Subsection (1) does not prevent the organs of state or institutions referred to in that subsection from implementing a procurement policy providing for-</w:t>
      </w:r>
    </w:p>
    <w:p w14:paraId="391D31BB" w14:textId="77777777" w:rsidR="0063569A" w:rsidRPr="00E9478D" w:rsidRDefault="0063569A" w:rsidP="00B12662">
      <w:pPr>
        <w:pStyle w:val="FootnoteText"/>
        <w:numPr>
          <w:ilvl w:val="0"/>
          <w:numId w:val="2"/>
        </w:numPr>
        <w:ind w:left="993" w:hanging="426"/>
        <w:jc w:val="both"/>
        <w:rPr>
          <w:rFonts w:ascii="Arial" w:hAnsi="Arial" w:cs="Arial"/>
          <w:sz w:val="20"/>
          <w:szCs w:val="20"/>
        </w:rPr>
      </w:pPr>
      <w:r w:rsidRPr="00E9478D">
        <w:rPr>
          <w:rFonts w:ascii="Arial" w:hAnsi="Arial" w:cs="Arial"/>
          <w:sz w:val="20"/>
          <w:szCs w:val="20"/>
        </w:rPr>
        <w:t>Categories of preference in the allocation of contracts; and</w:t>
      </w:r>
    </w:p>
    <w:p w14:paraId="3009AC19" w14:textId="6658FCCD" w:rsidR="0063569A" w:rsidRPr="00E9478D" w:rsidRDefault="0063569A" w:rsidP="00B12662">
      <w:pPr>
        <w:pStyle w:val="FootnoteText"/>
        <w:numPr>
          <w:ilvl w:val="0"/>
          <w:numId w:val="2"/>
        </w:numPr>
        <w:tabs>
          <w:tab w:val="center" w:pos="567"/>
          <w:tab w:val="center" w:pos="851"/>
        </w:tabs>
        <w:ind w:left="1134" w:hanging="567"/>
        <w:jc w:val="both"/>
        <w:rPr>
          <w:rFonts w:ascii="Arial" w:hAnsi="Arial" w:cs="Arial"/>
          <w:sz w:val="20"/>
          <w:szCs w:val="20"/>
        </w:rPr>
      </w:pPr>
      <w:r w:rsidRPr="00E9478D">
        <w:rPr>
          <w:rFonts w:ascii="Arial" w:hAnsi="Arial" w:cs="Arial"/>
          <w:sz w:val="20"/>
          <w:szCs w:val="20"/>
        </w:rPr>
        <w:t xml:space="preserve">   The protection of advancement of persons, or categories of persons, disadvantaged by unfair discrimination.</w:t>
      </w:r>
    </w:p>
    <w:p w14:paraId="7E1C1AC3" w14:textId="2E998723" w:rsidR="0063569A" w:rsidRPr="002F3E06" w:rsidRDefault="0063569A" w:rsidP="00E9478D">
      <w:pPr>
        <w:pStyle w:val="FootnoteText"/>
        <w:ind w:left="567" w:hanging="425"/>
        <w:jc w:val="both"/>
      </w:pPr>
      <w:r w:rsidRPr="00E9478D">
        <w:rPr>
          <w:rFonts w:ascii="Arial" w:hAnsi="Arial" w:cs="Arial"/>
          <w:sz w:val="20"/>
          <w:szCs w:val="20"/>
        </w:rPr>
        <w:t xml:space="preserve">(3) </w:t>
      </w:r>
      <w:r>
        <w:rPr>
          <w:rFonts w:ascii="Arial" w:hAnsi="Arial" w:cs="Arial"/>
          <w:sz w:val="20"/>
          <w:szCs w:val="20"/>
        </w:rPr>
        <w:t xml:space="preserve"> </w:t>
      </w:r>
      <w:r w:rsidRPr="00E9478D">
        <w:rPr>
          <w:rFonts w:ascii="Arial" w:hAnsi="Arial" w:cs="Arial"/>
          <w:sz w:val="20"/>
          <w:szCs w:val="20"/>
        </w:rPr>
        <w:t>National legislation must prescribe a framework within which the policy referred to in subsection (2) must be implemented.”</w:t>
      </w:r>
    </w:p>
  </w:footnote>
  <w:footnote w:id="3">
    <w:p w14:paraId="2736DD03" w14:textId="2998E767" w:rsidR="0063569A" w:rsidRPr="00D10577" w:rsidRDefault="0063569A" w:rsidP="00D10577">
      <w:pPr>
        <w:pStyle w:val="FootnoteText"/>
        <w:ind w:left="284" w:hanging="284"/>
        <w:jc w:val="both"/>
        <w:rPr>
          <w:rFonts w:ascii="Arial" w:hAnsi="Arial" w:cs="Arial"/>
          <w:sz w:val="20"/>
          <w:szCs w:val="20"/>
        </w:rPr>
      </w:pPr>
      <w:r w:rsidRPr="00D10577">
        <w:rPr>
          <w:rStyle w:val="FootnoteReference"/>
          <w:rFonts w:ascii="Arial" w:hAnsi="Arial" w:cs="Arial"/>
          <w:sz w:val="20"/>
          <w:szCs w:val="20"/>
        </w:rPr>
        <w:footnoteRef/>
      </w:r>
      <w:r w:rsidRPr="00D10577">
        <w:rPr>
          <w:rFonts w:ascii="Arial" w:hAnsi="Arial" w:cs="Arial"/>
          <w:sz w:val="20"/>
          <w:szCs w:val="20"/>
        </w:rPr>
        <w:t xml:space="preserve"> </w:t>
      </w:r>
      <w:r>
        <w:rPr>
          <w:rFonts w:ascii="Arial" w:hAnsi="Arial" w:cs="Arial"/>
          <w:sz w:val="20"/>
          <w:szCs w:val="20"/>
        </w:rPr>
        <w:tab/>
      </w:r>
      <w:r w:rsidRPr="00D10577">
        <w:rPr>
          <w:rFonts w:ascii="Arial" w:hAnsi="Arial" w:cs="Arial"/>
          <w:sz w:val="20"/>
          <w:szCs w:val="20"/>
        </w:rPr>
        <w:t>The full citation for the case is Waco Africa (Pty) Limited ta SGB-Cape v Eskom SOC Limited and Others; TMS Group Industrial Services (PTY) Limited v Eskom SOC Limited and Others, Southey Contracting (PTY) Ltd v Eskom SOC Limited and Others (5798/2021; 290/2022; 3047/2022) [2022] ZAGPJHC 631 (2 September 2022)</w:t>
      </w:r>
    </w:p>
  </w:footnote>
  <w:footnote w:id="4">
    <w:p w14:paraId="74394BB4" w14:textId="09271009" w:rsidR="00C72619" w:rsidRPr="003459A7" w:rsidRDefault="00C72619" w:rsidP="0052011D">
      <w:pPr>
        <w:pStyle w:val="FootnoteText"/>
        <w:ind w:left="284" w:hanging="284"/>
        <w:jc w:val="both"/>
        <w:rPr>
          <w:rFonts w:ascii="Arial" w:hAnsi="Arial" w:cs="Arial"/>
          <w:sz w:val="20"/>
          <w:szCs w:val="20"/>
        </w:rPr>
      </w:pPr>
      <w:r w:rsidRPr="0052011D">
        <w:rPr>
          <w:rStyle w:val="FootnoteReference"/>
          <w:rFonts w:ascii="Arial" w:hAnsi="Arial" w:cs="Arial"/>
          <w:sz w:val="20"/>
          <w:szCs w:val="20"/>
        </w:rPr>
        <w:footnoteRef/>
      </w:r>
      <w:r w:rsidRPr="0052011D">
        <w:rPr>
          <w:rFonts w:ascii="Arial" w:hAnsi="Arial" w:cs="Arial"/>
          <w:sz w:val="20"/>
          <w:szCs w:val="20"/>
        </w:rPr>
        <w:t xml:space="preserve"> </w:t>
      </w:r>
      <w:r w:rsidR="0052011D">
        <w:rPr>
          <w:rFonts w:ascii="Arial" w:hAnsi="Arial" w:cs="Arial"/>
          <w:sz w:val="20"/>
          <w:szCs w:val="20"/>
        </w:rPr>
        <w:tab/>
      </w:r>
      <w:r w:rsidRPr="0052011D">
        <w:rPr>
          <w:rFonts w:ascii="Arial" w:hAnsi="Arial" w:cs="Arial"/>
          <w:sz w:val="20"/>
          <w:szCs w:val="20"/>
        </w:rPr>
        <w:t xml:space="preserve">Westinghouse Electric Belgium </w:t>
      </w:r>
      <w:r w:rsidR="003459A7">
        <w:rPr>
          <w:rFonts w:ascii="Arial" w:hAnsi="Arial" w:cs="Arial"/>
          <w:sz w:val="20"/>
          <w:szCs w:val="20"/>
        </w:rPr>
        <w:t>SA</w:t>
      </w:r>
      <w:r w:rsidRPr="0052011D">
        <w:rPr>
          <w:rFonts w:ascii="Arial" w:hAnsi="Arial" w:cs="Arial"/>
          <w:sz w:val="20"/>
          <w:szCs w:val="20"/>
        </w:rPr>
        <w:t xml:space="preserve"> v Eskom Holdings (SOC) Ltd and Another 2016 (3) SA 1 (SCA) at paragraph 43 where it was held  that a “</w:t>
      </w:r>
      <w:r w:rsidRPr="0052011D">
        <w:rPr>
          <w:rFonts w:ascii="Arial" w:hAnsi="Arial" w:cs="Arial"/>
          <w:i/>
          <w:iCs/>
          <w:sz w:val="20"/>
          <w:szCs w:val="20"/>
        </w:rPr>
        <w:t>tender invitation, which sets out the evaluation criteria, together with the constitutional and legislative procurement provisions, constitute the legally binding framework within which tenders have to be submitted, evaluated and awarded. There is no room for departure from these provisions.”</w:t>
      </w:r>
      <w:r w:rsidR="003459A7">
        <w:rPr>
          <w:rFonts w:ascii="Arial" w:hAnsi="Arial" w:cs="Arial"/>
          <w:i/>
          <w:iCs/>
          <w:sz w:val="20"/>
          <w:szCs w:val="20"/>
        </w:rPr>
        <w:t xml:space="preserve"> Referring to Allpay paragraph 38 </w:t>
      </w:r>
      <w:r w:rsidR="003459A7">
        <w:rPr>
          <w:rFonts w:ascii="Arial" w:hAnsi="Arial" w:cs="Arial"/>
          <w:sz w:val="20"/>
          <w:szCs w:val="20"/>
        </w:rPr>
        <w:t>(paragraph 27 and footnote 12 infra)</w:t>
      </w:r>
    </w:p>
  </w:footnote>
  <w:footnote w:id="5">
    <w:p w14:paraId="13CBE2DA" w14:textId="08362EFB" w:rsidR="0063569A" w:rsidRDefault="0063569A" w:rsidP="00E36FD9">
      <w:pPr>
        <w:pStyle w:val="FootnoteText"/>
        <w:ind w:left="284" w:hanging="284"/>
        <w:jc w:val="both"/>
      </w:pPr>
      <w:r>
        <w:rPr>
          <w:rStyle w:val="FootnoteReference"/>
        </w:rPr>
        <w:footnoteRef/>
      </w:r>
      <w:r>
        <w:t xml:space="preserve"> </w:t>
      </w:r>
      <w:r>
        <w:tab/>
      </w:r>
      <w:r w:rsidRPr="00E36FD9">
        <w:rPr>
          <w:rFonts w:ascii="Arial" w:hAnsi="Arial" w:cs="Arial"/>
          <w:sz w:val="20"/>
          <w:szCs w:val="20"/>
        </w:rPr>
        <w:t>See Section 2(1) of the Procurement Act.</w:t>
      </w:r>
    </w:p>
  </w:footnote>
  <w:footnote w:id="6">
    <w:p w14:paraId="4E6B05A9" w14:textId="77777777" w:rsidR="0063569A" w:rsidRDefault="0063569A" w:rsidP="00E36FD9">
      <w:pPr>
        <w:pStyle w:val="FootnoteText"/>
        <w:ind w:left="284" w:hanging="284"/>
        <w:jc w:val="both"/>
      </w:pPr>
      <w:r w:rsidRPr="002935FF">
        <w:rPr>
          <w:rStyle w:val="FootnoteReference"/>
          <w:rFonts w:ascii="Arial" w:hAnsi="Arial" w:cs="Arial"/>
          <w:sz w:val="20"/>
          <w:szCs w:val="20"/>
        </w:rPr>
        <w:footnoteRef/>
      </w:r>
      <w:r w:rsidRPr="002935FF">
        <w:rPr>
          <w:rFonts w:ascii="Arial" w:hAnsi="Arial" w:cs="Arial"/>
          <w:sz w:val="20"/>
          <w:szCs w:val="20"/>
        </w:rPr>
        <w:t xml:space="preserve"> </w:t>
      </w:r>
      <w:r>
        <w:rPr>
          <w:rFonts w:ascii="Arial" w:hAnsi="Arial" w:cs="Arial"/>
          <w:sz w:val="20"/>
          <w:szCs w:val="20"/>
        </w:rPr>
        <w:tab/>
      </w:r>
      <w:r w:rsidRPr="002935FF">
        <w:rPr>
          <w:rFonts w:ascii="Arial" w:hAnsi="Arial" w:cs="Arial"/>
          <w:sz w:val="20"/>
          <w:szCs w:val="20"/>
        </w:rPr>
        <w:t>The purpose for which PAJA was enacted which reads in full – “To give effect to the right to administrative action that is lawful, reasonable and procedurally fair and to the right to written reasons for administrative action as contemplated in section 33 of the Constitution of the Republic of South Africa, 1996 and to provide for matters incidental thereto.”</w:t>
      </w:r>
    </w:p>
  </w:footnote>
  <w:footnote w:id="7">
    <w:p w14:paraId="7AC4FA42" w14:textId="77777777" w:rsidR="0063569A" w:rsidRPr="00A70EEB" w:rsidRDefault="0063569A" w:rsidP="00E36FD9">
      <w:pPr>
        <w:pStyle w:val="FootnoteText"/>
        <w:ind w:left="284" w:hanging="284"/>
        <w:jc w:val="both"/>
        <w:rPr>
          <w:rFonts w:ascii="Arial" w:hAnsi="Arial" w:cs="Arial"/>
          <w:sz w:val="20"/>
          <w:szCs w:val="20"/>
        </w:rPr>
      </w:pPr>
      <w:r w:rsidRPr="00A70EEB">
        <w:rPr>
          <w:rStyle w:val="FootnoteReference"/>
          <w:rFonts w:ascii="Arial" w:hAnsi="Arial" w:cs="Arial"/>
          <w:sz w:val="20"/>
          <w:szCs w:val="20"/>
        </w:rPr>
        <w:footnoteRef/>
      </w:r>
      <w:r w:rsidRPr="00A70EEB">
        <w:rPr>
          <w:rFonts w:ascii="Arial" w:hAnsi="Arial" w:cs="Arial"/>
          <w:sz w:val="20"/>
          <w:szCs w:val="20"/>
        </w:rPr>
        <w:t xml:space="preserve"> </w:t>
      </w:r>
      <w:r>
        <w:rPr>
          <w:rFonts w:ascii="Arial" w:hAnsi="Arial" w:cs="Arial"/>
          <w:sz w:val="20"/>
          <w:szCs w:val="20"/>
        </w:rPr>
        <w:tab/>
      </w:r>
      <w:r w:rsidRPr="00A70EEB">
        <w:rPr>
          <w:rFonts w:ascii="Arial" w:hAnsi="Arial" w:cs="Arial"/>
          <w:sz w:val="20"/>
          <w:szCs w:val="20"/>
        </w:rPr>
        <w:t>‘</w:t>
      </w:r>
      <w:r>
        <w:rPr>
          <w:rFonts w:ascii="Arial" w:hAnsi="Arial" w:cs="Arial"/>
          <w:i/>
          <w:iCs/>
          <w:sz w:val="20"/>
          <w:szCs w:val="20"/>
        </w:rPr>
        <w:t>T</w:t>
      </w:r>
      <w:r w:rsidRPr="00A70EEB">
        <w:rPr>
          <w:rFonts w:ascii="Arial" w:hAnsi="Arial" w:cs="Arial"/>
          <w:i/>
          <w:iCs/>
          <w:sz w:val="20"/>
          <w:szCs w:val="20"/>
        </w:rPr>
        <w:t>he action was procedurally unfair’</w:t>
      </w:r>
    </w:p>
  </w:footnote>
  <w:footnote w:id="8">
    <w:p w14:paraId="2B362C90" w14:textId="0E9865FA" w:rsidR="0063569A" w:rsidRPr="00700E66" w:rsidRDefault="0063569A" w:rsidP="00700E66">
      <w:pPr>
        <w:pStyle w:val="FootnoteText"/>
        <w:ind w:left="284" w:hanging="284"/>
        <w:jc w:val="both"/>
        <w:rPr>
          <w:rFonts w:ascii="Arial" w:hAnsi="Arial" w:cs="Arial"/>
          <w:sz w:val="20"/>
          <w:szCs w:val="20"/>
        </w:rPr>
      </w:pPr>
      <w:r w:rsidRPr="00700E66">
        <w:rPr>
          <w:rStyle w:val="FootnoteReference"/>
          <w:rFonts w:ascii="Arial" w:hAnsi="Arial" w:cs="Arial"/>
          <w:sz w:val="20"/>
          <w:szCs w:val="20"/>
        </w:rPr>
        <w:footnoteRef/>
      </w:r>
      <w:r w:rsidRPr="00700E66">
        <w:rPr>
          <w:rFonts w:ascii="Arial" w:hAnsi="Arial" w:cs="Arial"/>
          <w:sz w:val="20"/>
          <w:szCs w:val="20"/>
        </w:rPr>
        <w:t xml:space="preserve"> </w:t>
      </w:r>
      <w:r>
        <w:rPr>
          <w:rFonts w:ascii="Arial" w:hAnsi="Arial" w:cs="Arial"/>
          <w:sz w:val="20"/>
          <w:szCs w:val="20"/>
        </w:rPr>
        <w:tab/>
      </w:r>
      <w:r w:rsidRPr="00700E66">
        <w:rPr>
          <w:rFonts w:ascii="Arial" w:hAnsi="Arial" w:cs="Arial"/>
          <w:sz w:val="20"/>
          <w:szCs w:val="20"/>
        </w:rPr>
        <w:t>There are a number of further instances for example item 1.4 requires a “letter of intent to form a JV/consortium form”, item 1.11 requires “Failure on the part of the supplier to submit a valid current certificate for purposes of evaluation and scoring by the tender closing deadline will result in disqualification”, item 1.12 requires “Tenderers must, where subcontracting is a pre-qualification requirement, submit proof of signed subcontracting intent agreement”.</w:t>
      </w:r>
    </w:p>
  </w:footnote>
  <w:footnote w:id="9">
    <w:p w14:paraId="1298AFF4" w14:textId="7C72F3A3" w:rsidR="0063569A" w:rsidRPr="002E2007" w:rsidRDefault="0063569A" w:rsidP="00700E66">
      <w:pPr>
        <w:pStyle w:val="FootnoteText"/>
        <w:ind w:left="284" w:hanging="284"/>
        <w:jc w:val="both"/>
        <w:rPr>
          <w:rFonts w:ascii="Arial" w:hAnsi="Arial" w:cs="Arial"/>
          <w:i/>
          <w:iCs/>
        </w:rPr>
      </w:pPr>
      <w:r w:rsidRPr="00700E66">
        <w:rPr>
          <w:rStyle w:val="FootnoteReference"/>
          <w:rFonts w:ascii="Arial" w:hAnsi="Arial" w:cs="Arial"/>
          <w:sz w:val="20"/>
          <w:szCs w:val="20"/>
        </w:rPr>
        <w:footnoteRef/>
      </w:r>
      <w:r w:rsidRPr="00700E66">
        <w:rPr>
          <w:rFonts w:ascii="Arial" w:hAnsi="Arial" w:cs="Arial"/>
          <w:sz w:val="20"/>
          <w:szCs w:val="20"/>
        </w:rPr>
        <w:t xml:space="preserve"> </w:t>
      </w:r>
      <w:r>
        <w:rPr>
          <w:rFonts w:ascii="Arial" w:hAnsi="Arial" w:cs="Arial"/>
          <w:sz w:val="20"/>
          <w:szCs w:val="20"/>
        </w:rPr>
        <w:tab/>
      </w:r>
      <w:r w:rsidRPr="00700E66">
        <w:rPr>
          <w:rFonts w:ascii="Arial" w:hAnsi="Arial" w:cs="Arial"/>
          <w:sz w:val="20"/>
          <w:szCs w:val="20"/>
        </w:rPr>
        <w:t xml:space="preserve">The Shorter Oxford English Dictionary, Vol </w:t>
      </w:r>
      <w:r>
        <w:rPr>
          <w:rFonts w:ascii="Arial" w:hAnsi="Arial" w:cs="Arial"/>
          <w:sz w:val="20"/>
          <w:szCs w:val="20"/>
        </w:rPr>
        <w:t>I, Oxford Press 6</w:t>
      </w:r>
      <w:r w:rsidRPr="006E193E">
        <w:rPr>
          <w:rFonts w:ascii="Arial" w:hAnsi="Arial" w:cs="Arial"/>
          <w:sz w:val="20"/>
          <w:szCs w:val="20"/>
          <w:vertAlign w:val="superscript"/>
        </w:rPr>
        <w:t>th</w:t>
      </w:r>
      <w:r>
        <w:rPr>
          <w:rFonts w:ascii="Arial" w:hAnsi="Arial" w:cs="Arial"/>
          <w:sz w:val="20"/>
          <w:szCs w:val="20"/>
        </w:rPr>
        <w:t xml:space="preserve"> Edition, 2007 page 375</w:t>
      </w:r>
      <w:r w:rsidRPr="00700E66">
        <w:rPr>
          <w:rFonts w:ascii="Arial" w:hAnsi="Arial" w:cs="Arial"/>
          <w:sz w:val="20"/>
          <w:szCs w:val="20"/>
        </w:rPr>
        <w:t xml:space="preserve"> </w:t>
      </w:r>
      <w:r>
        <w:rPr>
          <w:rFonts w:ascii="Arial" w:hAnsi="Arial" w:cs="Arial"/>
          <w:sz w:val="20"/>
          <w:szCs w:val="20"/>
        </w:rPr>
        <w:t>- used in this context as a noun meaning ‘</w:t>
      </w:r>
      <w:r>
        <w:rPr>
          <w:rFonts w:ascii="Arial" w:hAnsi="Arial" w:cs="Arial"/>
          <w:i/>
          <w:iCs/>
          <w:sz w:val="20"/>
          <w:szCs w:val="20"/>
        </w:rPr>
        <w:t>A</w:t>
      </w:r>
      <w:r w:rsidRPr="002E2007">
        <w:rPr>
          <w:rFonts w:ascii="Arial" w:hAnsi="Arial" w:cs="Arial"/>
          <w:i/>
          <w:iCs/>
          <w:sz w:val="20"/>
          <w:szCs w:val="20"/>
        </w:rPr>
        <w:t xml:space="preserve"> document in which a fact is formally certified or attested; esp</w:t>
      </w:r>
      <w:r>
        <w:rPr>
          <w:rFonts w:ascii="Arial" w:hAnsi="Arial" w:cs="Arial"/>
          <w:i/>
          <w:iCs/>
          <w:sz w:val="20"/>
          <w:szCs w:val="20"/>
        </w:rPr>
        <w:t>.</w:t>
      </w:r>
      <w:r w:rsidRPr="002E2007">
        <w:rPr>
          <w:rFonts w:ascii="Arial" w:hAnsi="Arial" w:cs="Arial"/>
          <w:i/>
          <w:iCs/>
          <w:sz w:val="20"/>
          <w:szCs w:val="20"/>
        </w:rPr>
        <w:t xml:space="preserve"> one attesting status’</w:t>
      </w:r>
    </w:p>
  </w:footnote>
  <w:footnote w:id="10">
    <w:p w14:paraId="74166F7B" w14:textId="188DC618" w:rsidR="0063569A" w:rsidRPr="00700E66" w:rsidRDefault="0063569A" w:rsidP="00700E66">
      <w:pPr>
        <w:pStyle w:val="FootnoteText"/>
        <w:ind w:left="284" w:hanging="284"/>
        <w:rPr>
          <w:rFonts w:ascii="Arial" w:hAnsi="Arial" w:cs="Arial"/>
          <w:sz w:val="20"/>
          <w:szCs w:val="20"/>
        </w:rPr>
      </w:pPr>
      <w:r w:rsidRPr="00700E66">
        <w:rPr>
          <w:rStyle w:val="FootnoteReference"/>
          <w:rFonts w:ascii="Arial" w:hAnsi="Arial" w:cs="Arial"/>
          <w:sz w:val="20"/>
          <w:szCs w:val="20"/>
        </w:rPr>
        <w:footnoteRef/>
      </w:r>
      <w:r w:rsidRPr="00700E66">
        <w:rPr>
          <w:rFonts w:ascii="Arial" w:hAnsi="Arial" w:cs="Arial"/>
          <w:sz w:val="20"/>
          <w:szCs w:val="20"/>
        </w:rPr>
        <w:t xml:space="preserve"> </w:t>
      </w:r>
      <w:r>
        <w:rPr>
          <w:rFonts w:ascii="Arial" w:hAnsi="Arial" w:cs="Arial"/>
          <w:sz w:val="20"/>
          <w:szCs w:val="20"/>
        </w:rPr>
        <w:t xml:space="preserve"> </w:t>
      </w:r>
      <w:r w:rsidRPr="00700E66">
        <w:rPr>
          <w:rFonts w:ascii="Arial" w:hAnsi="Arial" w:cs="Arial"/>
          <w:sz w:val="20"/>
          <w:szCs w:val="20"/>
        </w:rPr>
        <w:t xml:space="preserve"> </w:t>
      </w:r>
      <w:r w:rsidRPr="002E2007">
        <w:rPr>
          <w:rFonts w:ascii="Arial" w:hAnsi="Arial" w:cs="Arial"/>
          <w:i/>
          <w:iCs/>
          <w:sz w:val="20"/>
          <w:szCs w:val="20"/>
        </w:rPr>
        <w:t>ibid</w:t>
      </w:r>
      <w:r w:rsidRPr="00700E66">
        <w:rPr>
          <w:rFonts w:ascii="Arial" w:hAnsi="Arial" w:cs="Arial"/>
          <w:sz w:val="20"/>
          <w:szCs w:val="20"/>
        </w:rPr>
        <w:t xml:space="preserve"> </w:t>
      </w:r>
      <w:r>
        <w:rPr>
          <w:rFonts w:ascii="Arial" w:hAnsi="Arial" w:cs="Arial"/>
          <w:sz w:val="20"/>
          <w:szCs w:val="20"/>
        </w:rPr>
        <w:t>– used in this context as a verb meaning ‘</w:t>
      </w:r>
      <w:r w:rsidRPr="002E2007">
        <w:rPr>
          <w:rFonts w:ascii="Arial" w:hAnsi="Arial" w:cs="Arial"/>
          <w:i/>
          <w:iCs/>
          <w:sz w:val="20"/>
          <w:szCs w:val="20"/>
        </w:rPr>
        <w:t>The action or an instance of certifying the truth’</w:t>
      </w:r>
    </w:p>
  </w:footnote>
  <w:footnote w:id="11">
    <w:p w14:paraId="21753C30" w14:textId="56AEC9F9" w:rsidR="0063569A" w:rsidRPr="00700E66" w:rsidRDefault="0063569A" w:rsidP="00700E66">
      <w:pPr>
        <w:pStyle w:val="FootnoteText"/>
        <w:ind w:left="284" w:hanging="284"/>
        <w:rPr>
          <w:rFonts w:ascii="Arial" w:hAnsi="Arial" w:cs="Arial"/>
          <w:sz w:val="20"/>
          <w:szCs w:val="20"/>
        </w:rPr>
      </w:pPr>
      <w:r w:rsidRPr="00700E66">
        <w:rPr>
          <w:rStyle w:val="FootnoteReference"/>
          <w:rFonts w:ascii="Arial" w:hAnsi="Arial" w:cs="Arial"/>
          <w:sz w:val="20"/>
          <w:szCs w:val="20"/>
        </w:rPr>
        <w:footnoteRef/>
      </w:r>
      <w:r w:rsidRPr="00700E66">
        <w:rPr>
          <w:rFonts w:ascii="Arial" w:hAnsi="Arial" w:cs="Arial"/>
          <w:sz w:val="20"/>
          <w:szCs w:val="20"/>
        </w:rPr>
        <w:t xml:space="preserve"> </w:t>
      </w:r>
      <w:r>
        <w:rPr>
          <w:rFonts w:ascii="Arial" w:hAnsi="Arial" w:cs="Arial"/>
          <w:sz w:val="20"/>
          <w:szCs w:val="20"/>
        </w:rPr>
        <w:tab/>
      </w:r>
      <w:r w:rsidRPr="00700E66">
        <w:rPr>
          <w:rFonts w:ascii="Arial" w:hAnsi="Arial" w:cs="Arial"/>
          <w:sz w:val="20"/>
          <w:szCs w:val="20"/>
        </w:rPr>
        <w:t xml:space="preserve">The certificates which were enclosed reflected their validity from 30 July 2012 up 29 July 2020. </w:t>
      </w:r>
    </w:p>
  </w:footnote>
  <w:footnote w:id="12">
    <w:p w14:paraId="3FAB2687" w14:textId="0D8B07AB" w:rsidR="0063569A" w:rsidRDefault="0063569A" w:rsidP="004D5698">
      <w:pPr>
        <w:pStyle w:val="FootnoteText"/>
        <w:ind w:left="270" w:hanging="270"/>
      </w:pPr>
      <w:r>
        <w:rPr>
          <w:rStyle w:val="FootnoteReference"/>
        </w:rPr>
        <w:footnoteRef/>
      </w:r>
      <w:r>
        <w:t xml:space="preserve"> </w:t>
      </w:r>
      <w:r w:rsidRPr="004D5698">
        <w:rPr>
          <w:rFonts w:ascii="Arial" w:hAnsi="Arial" w:cs="Arial"/>
          <w:sz w:val="20"/>
          <w:szCs w:val="20"/>
        </w:rPr>
        <w:t xml:space="preserve">2014 (1) </w:t>
      </w:r>
      <w:r w:rsidR="003459A7">
        <w:rPr>
          <w:rFonts w:ascii="Arial" w:hAnsi="Arial" w:cs="Arial"/>
          <w:sz w:val="20"/>
          <w:szCs w:val="20"/>
        </w:rPr>
        <w:t>SA 604</w:t>
      </w:r>
      <w:r w:rsidRPr="004D5698">
        <w:rPr>
          <w:rFonts w:ascii="Arial" w:hAnsi="Arial" w:cs="Arial"/>
          <w:sz w:val="20"/>
          <w:szCs w:val="20"/>
        </w:rPr>
        <w:t xml:space="preserve"> (CC) at paragraph 40</w:t>
      </w:r>
    </w:p>
  </w:footnote>
  <w:footnote w:id="13">
    <w:p w14:paraId="7CF219F0" w14:textId="398A3440" w:rsidR="0063569A" w:rsidRDefault="0063569A" w:rsidP="00700E66">
      <w:pPr>
        <w:pStyle w:val="FootnoteText"/>
        <w:ind w:left="284" w:hanging="284"/>
      </w:pPr>
      <w:r w:rsidRPr="00700E66">
        <w:rPr>
          <w:rStyle w:val="FootnoteReference"/>
          <w:rFonts w:ascii="Arial" w:hAnsi="Arial" w:cs="Arial"/>
          <w:sz w:val="20"/>
          <w:szCs w:val="20"/>
        </w:rPr>
        <w:footnoteRef/>
      </w:r>
      <w:r w:rsidRPr="00700E66">
        <w:rPr>
          <w:rFonts w:ascii="Arial" w:hAnsi="Arial" w:cs="Arial"/>
          <w:sz w:val="20"/>
          <w:szCs w:val="20"/>
        </w:rPr>
        <w:t xml:space="preserve"> </w:t>
      </w:r>
      <w:r>
        <w:rPr>
          <w:rFonts w:ascii="Arial" w:hAnsi="Arial" w:cs="Arial"/>
          <w:sz w:val="20"/>
          <w:szCs w:val="20"/>
        </w:rPr>
        <w:tab/>
      </w:r>
      <w:r w:rsidRPr="00700E66">
        <w:rPr>
          <w:rFonts w:ascii="Arial" w:hAnsi="Arial" w:cs="Arial"/>
          <w:sz w:val="20"/>
          <w:szCs w:val="20"/>
        </w:rPr>
        <w:t>2012 (4) SA 593 (SCA) at paragraph 18</w:t>
      </w:r>
      <w:r>
        <w:rPr>
          <w:rFonts w:ascii="Arial" w:hAnsi="Arial" w:cs="Arial"/>
          <w:sz w:val="20"/>
          <w:szCs w:val="20"/>
        </w:rPr>
        <w:t>; see also University of Johannesburg v Auckland Park Theological Seminary 2021 (6) SA 1 (CC) at paragraphs 27-30.</w:t>
      </w:r>
    </w:p>
  </w:footnote>
  <w:footnote w:id="14">
    <w:p w14:paraId="790C43D4" w14:textId="6300B594" w:rsidR="0063569A" w:rsidRPr="00D07002" w:rsidRDefault="0063569A" w:rsidP="00CB1F1D">
      <w:pPr>
        <w:pStyle w:val="FootnoteText"/>
        <w:ind w:left="284" w:hanging="284"/>
        <w:rPr>
          <w:rFonts w:ascii="Arial" w:hAnsi="Arial" w:cs="Arial"/>
          <w:sz w:val="20"/>
          <w:szCs w:val="20"/>
        </w:rPr>
      </w:pPr>
      <w:r w:rsidRPr="00D07002">
        <w:rPr>
          <w:rStyle w:val="FootnoteReference"/>
          <w:rFonts w:ascii="Arial" w:hAnsi="Arial" w:cs="Arial"/>
          <w:sz w:val="20"/>
          <w:szCs w:val="20"/>
        </w:rPr>
        <w:footnoteRef/>
      </w:r>
      <w:r w:rsidRPr="00D07002">
        <w:rPr>
          <w:rFonts w:ascii="Arial" w:hAnsi="Arial" w:cs="Arial"/>
          <w:sz w:val="20"/>
          <w:szCs w:val="20"/>
        </w:rPr>
        <w:t xml:space="preserve"> </w:t>
      </w:r>
      <w:r w:rsidR="00CB1F1D">
        <w:rPr>
          <w:rFonts w:ascii="Arial" w:hAnsi="Arial" w:cs="Arial"/>
          <w:sz w:val="20"/>
          <w:szCs w:val="20"/>
        </w:rPr>
        <w:tab/>
      </w:r>
      <w:r w:rsidRPr="00D07002">
        <w:rPr>
          <w:rFonts w:ascii="Arial" w:hAnsi="Arial" w:cs="Arial"/>
          <w:sz w:val="20"/>
          <w:szCs w:val="20"/>
        </w:rPr>
        <w:t>Paragraph 25 supra</w:t>
      </w:r>
    </w:p>
  </w:footnote>
  <w:footnote w:id="15">
    <w:p w14:paraId="34546FF4" w14:textId="69A9DCE8" w:rsidR="0063569A" w:rsidRPr="00B76129" w:rsidRDefault="0063569A" w:rsidP="00B76129">
      <w:pPr>
        <w:pStyle w:val="FootnoteText"/>
        <w:ind w:left="284" w:hanging="284"/>
        <w:jc w:val="both"/>
        <w:rPr>
          <w:rFonts w:ascii="Arial" w:hAnsi="Arial" w:cs="Arial"/>
        </w:rPr>
      </w:pPr>
      <w:r w:rsidRPr="00B76129">
        <w:rPr>
          <w:rStyle w:val="FootnoteReference"/>
          <w:rFonts w:ascii="Arial" w:hAnsi="Arial" w:cs="Arial"/>
          <w:sz w:val="20"/>
          <w:szCs w:val="20"/>
        </w:rPr>
        <w:footnoteRef/>
      </w:r>
      <w:r w:rsidRPr="00B76129">
        <w:rPr>
          <w:rFonts w:ascii="Arial" w:hAnsi="Arial" w:cs="Arial"/>
          <w:sz w:val="20"/>
          <w:szCs w:val="20"/>
        </w:rPr>
        <w:t xml:space="preserve"> </w:t>
      </w:r>
      <w:r>
        <w:rPr>
          <w:rFonts w:ascii="Arial" w:hAnsi="Arial" w:cs="Arial"/>
          <w:sz w:val="20"/>
          <w:szCs w:val="20"/>
        </w:rPr>
        <w:tab/>
      </w:r>
      <w:r w:rsidRPr="00B76129">
        <w:rPr>
          <w:rFonts w:ascii="Arial" w:hAnsi="Arial" w:cs="Arial"/>
          <w:sz w:val="20"/>
          <w:szCs w:val="20"/>
        </w:rPr>
        <w:t>Waco supra at paragraph 6</w:t>
      </w:r>
    </w:p>
  </w:footnote>
  <w:footnote w:id="16">
    <w:p w14:paraId="136AF64E" w14:textId="32CDCC5F" w:rsidR="0063569A" w:rsidRPr="007E6B79" w:rsidRDefault="0063569A" w:rsidP="0052011D">
      <w:pPr>
        <w:pStyle w:val="FootnoteText"/>
        <w:ind w:left="284" w:hanging="284"/>
        <w:jc w:val="both"/>
        <w:rPr>
          <w:rFonts w:ascii="Arial" w:hAnsi="Arial" w:cs="Arial"/>
          <w:sz w:val="20"/>
          <w:szCs w:val="20"/>
        </w:rPr>
      </w:pPr>
      <w:r w:rsidRPr="007E6B79">
        <w:rPr>
          <w:rStyle w:val="FootnoteReference"/>
          <w:rFonts w:ascii="Arial" w:hAnsi="Arial" w:cs="Arial"/>
          <w:sz w:val="20"/>
          <w:szCs w:val="20"/>
        </w:rPr>
        <w:footnoteRef/>
      </w:r>
      <w:r w:rsidRPr="007E6B79">
        <w:rPr>
          <w:rFonts w:ascii="Arial" w:hAnsi="Arial" w:cs="Arial"/>
          <w:sz w:val="20"/>
          <w:szCs w:val="20"/>
        </w:rPr>
        <w:t xml:space="preserve"> </w:t>
      </w:r>
      <w:r w:rsidRPr="007E6B79">
        <w:rPr>
          <w:rFonts w:ascii="Arial" w:hAnsi="Arial" w:cs="Arial"/>
          <w:sz w:val="20"/>
          <w:szCs w:val="20"/>
        </w:rPr>
        <w:tab/>
        <w:t>See paragraph 8 supra</w:t>
      </w:r>
    </w:p>
  </w:footnote>
  <w:footnote w:id="17">
    <w:p w14:paraId="67E1A0A9" w14:textId="7309E026" w:rsidR="00785F78" w:rsidRPr="007B78A3" w:rsidRDefault="00785F78" w:rsidP="0052011D">
      <w:pPr>
        <w:pStyle w:val="FootnoteText"/>
        <w:ind w:left="284" w:hanging="284"/>
        <w:rPr>
          <w:rFonts w:ascii="Arial" w:hAnsi="Arial" w:cs="Arial"/>
          <w:i/>
          <w:iCs/>
          <w:sz w:val="20"/>
          <w:szCs w:val="20"/>
        </w:rPr>
      </w:pPr>
      <w:r w:rsidRPr="007E6B79">
        <w:rPr>
          <w:rStyle w:val="FootnoteReference"/>
          <w:rFonts w:ascii="Arial" w:hAnsi="Arial" w:cs="Arial"/>
          <w:sz w:val="20"/>
          <w:szCs w:val="20"/>
        </w:rPr>
        <w:footnoteRef/>
      </w:r>
      <w:r w:rsidRPr="007E6B79">
        <w:rPr>
          <w:rFonts w:ascii="Arial" w:hAnsi="Arial" w:cs="Arial"/>
          <w:sz w:val="20"/>
          <w:szCs w:val="20"/>
        </w:rPr>
        <w:t xml:space="preserve"> </w:t>
      </w:r>
      <w:r w:rsidR="0052011D">
        <w:rPr>
          <w:rFonts w:ascii="Arial" w:hAnsi="Arial" w:cs="Arial"/>
          <w:sz w:val="20"/>
          <w:szCs w:val="20"/>
        </w:rPr>
        <w:tab/>
      </w:r>
      <w:r w:rsidRPr="007E6B79">
        <w:rPr>
          <w:rFonts w:ascii="Arial" w:hAnsi="Arial" w:cs="Arial"/>
          <w:sz w:val="20"/>
          <w:szCs w:val="20"/>
        </w:rPr>
        <w:t>See Metro Projects CC and Another v Klerksdorp Local Municipality and Others 2004 (1) SA 16 (SCA)</w:t>
      </w:r>
      <w:r w:rsidR="007E6B79" w:rsidRPr="007E6B79">
        <w:rPr>
          <w:rFonts w:ascii="Arial" w:hAnsi="Arial" w:cs="Arial"/>
          <w:sz w:val="20"/>
          <w:szCs w:val="20"/>
        </w:rPr>
        <w:t xml:space="preserve"> at paragraph </w:t>
      </w:r>
      <w:r w:rsidR="007E6B79">
        <w:rPr>
          <w:rFonts w:ascii="Arial" w:hAnsi="Arial" w:cs="Arial"/>
          <w:sz w:val="20"/>
          <w:szCs w:val="20"/>
        </w:rPr>
        <w:t xml:space="preserve">13 </w:t>
      </w:r>
      <w:r w:rsidR="007B78A3">
        <w:rPr>
          <w:rFonts w:ascii="Arial" w:hAnsi="Arial" w:cs="Arial"/>
          <w:sz w:val="20"/>
          <w:szCs w:val="20"/>
        </w:rPr>
        <w:t xml:space="preserve">provided that whatever is done </w:t>
      </w:r>
      <w:r w:rsidR="007B78A3" w:rsidRPr="007B78A3">
        <w:rPr>
          <w:rFonts w:ascii="Arial" w:hAnsi="Arial" w:cs="Arial"/>
          <w:i/>
          <w:iCs/>
          <w:sz w:val="20"/>
          <w:szCs w:val="20"/>
        </w:rPr>
        <w:t>“may not cause the process to lose the attributes of fairness.”</w:t>
      </w:r>
    </w:p>
  </w:footnote>
  <w:footnote w:id="18">
    <w:p w14:paraId="07826671" w14:textId="7388FF42" w:rsidR="00785F78" w:rsidRPr="007E6B79" w:rsidRDefault="00785F78" w:rsidP="0052011D">
      <w:pPr>
        <w:pStyle w:val="FootnoteText"/>
        <w:ind w:left="284" w:hanging="284"/>
        <w:rPr>
          <w:rFonts w:ascii="Arial" w:hAnsi="Arial" w:cs="Arial"/>
          <w:sz w:val="20"/>
          <w:szCs w:val="20"/>
        </w:rPr>
      </w:pPr>
      <w:r w:rsidRPr="007E6B79">
        <w:rPr>
          <w:rStyle w:val="FootnoteReference"/>
          <w:rFonts w:ascii="Arial" w:hAnsi="Arial" w:cs="Arial"/>
          <w:sz w:val="20"/>
          <w:szCs w:val="20"/>
        </w:rPr>
        <w:footnoteRef/>
      </w:r>
      <w:r w:rsidRPr="007E6B79">
        <w:rPr>
          <w:rFonts w:ascii="Arial" w:hAnsi="Arial" w:cs="Arial"/>
          <w:sz w:val="20"/>
          <w:szCs w:val="20"/>
        </w:rPr>
        <w:t xml:space="preserve"> </w:t>
      </w:r>
      <w:r w:rsidR="0052011D">
        <w:rPr>
          <w:rFonts w:ascii="Arial" w:hAnsi="Arial" w:cs="Arial"/>
          <w:sz w:val="20"/>
          <w:szCs w:val="20"/>
        </w:rPr>
        <w:tab/>
      </w:r>
      <w:r w:rsidRPr="007E6B79">
        <w:rPr>
          <w:rFonts w:ascii="Arial" w:hAnsi="Arial" w:cs="Arial"/>
          <w:sz w:val="20"/>
          <w:szCs w:val="20"/>
        </w:rPr>
        <w:t>[2014] 1 ALL SA 545 (SCA)</w:t>
      </w:r>
      <w:r w:rsidR="007B78A3">
        <w:rPr>
          <w:rFonts w:ascii="Arial" w:hAnsi="Arial" w:cs="Arial"/>
          <w:sz w:val="20"/>
          <w:szCs w:val="20"/>
        </w:rPr>
        <w:t>; 2013 JDR 2728 (SCA)</w:t>
      </w:r>
    </w:p>
  </w:footnote>
  <w:footnote w:id="19">
    <w:p w14:paraId="10FECCE7" w14:textId="6BFCBEF4" w:rsidR="00785F78" w:rsidRDefault="00785F78" w:rsidP="0052011D">
      <w:pPr>
        <w:pStyle w:val="FootnoteText"/>
        <w:ind w:left="284" w:hanging="284"/>
      </w:pPr>
      <w:r w:rsidRPr="007E6B79">
        <w:rPr>
          <w:rStyle w:val="FootnoteReference"/>
          <w:rFonts w:ascii="Arial" w:hAnsi="Arial" w:cs="Arial"/>
          <w:sz w:val="20"/>
          <w:szCs w:val="20"/>
        </w:rPr>
        <w:footnoteRef/>
      </w:r>
      <w:r w:rsidRPr="007E6B79">
        <w:rPr>
          <w:rFonts w:ascii="Arial" w:hAnsi="Arial" w:cs="Arial"/>
          <w:sz w:val="20"/>
          <w:szCs w:val="20"/>
        </w:rPr>
        <w:t xml:space="preserve"> </w:t>
      </w:r>
      <w:r w:rsidR="0052011D">
        <w:rPr>
          <w:rFonts w:ascii="Arial" w:hAnsi="Arial" w:cs="Arial"/>
          <w:sz w:val="20"/>
          <w:szCs w:val="20"/>
        </w:rPr>
        <w:tab/>
      </w:r>
      <w:r w:rsidR="007B78A3">
        <w:rPr>
          <w:rFonts w:ascii="Arial" w:hAnsi="Arial" w:cs="Arial"/>
          <w:sz w:val="20"/>
          <w:szCs w:val="20"/>
        </w:rPr>
        <w:t>2018 JDR 1295 (SCA)</w:t>
      </w:r>
    </w:p>
  </w:footnote>
  <w:footnote w:id="20">
    <w:p w14:paraId="66E4F017" w14:textId="2D42D904" w:rsidR="0063569A" w:rsidRDefault="0063569A" w:rsidP="00CB1F1D">
      <w:pPr>
        <w:pStyle w:val="FootnoteText"/>
        <w:ind w:left="284" w:hanging="284"/>
        <w:jc w:val="both"/>
      </w:pPr>
      <w:r>
        <w:rPr>
          <w:rStyle w:val="FootnoteReference"/>
        </w:rPr>
        <w:footnoteRef/>
      </w:r>
      <w:r>
        <w:t xml:space="preserve"> </w:t>
      </w:r>
      <w:r w:rsidR="00CB1F1D">
        <w:tab/>
      </w:r>
      <w:r w:rsidRPr="00AA5F45">
        <w:rPr>
          <w:rFonts w:ascii="Arial" w:hAnsi="Arial" w:cs="Arial"/>
          <w:sz w:val="20"/>
          <w:szCs w:val="20"/>
        </w:rPr>
        <w:t>The splitting of a tender amongst more than one successful bi</w:t>
      </w:r>
      <w:r>
        <w:rPr>
          <w:rFonts w:ascii="Arial" w:hAnsi="Arial" w:cs="Arial"/>
          <w:sz w:val="20"/>
          <w:szCs w:val="20"/>
        </w:rPr>
        <w:t>d</w:t>
      </w:r>
      <w:r w:rsidRPr="00AA5F45">
        <w:rPr>
          <w:rFonts w:ascii="Arial" w:hAnsi="Arial" w:cs="Arial"/>
          <w:sz w:val="20"/>
          <w:szCs w:val="20"/>
        </w:rPr>
        <w:t>der was found</w:t>
      </w:r>
      <w:r>
        <w:rPr>
          <w:rFonts w:ascii="Arial" w:hAnsi="Arial" w:cs="Arial"/>
          <w:sz w:val="20"/>
          <w:szCs w:val="20"/>
        </w:rPr>
        <w:t xml:space="preserve"> to be permissible – see South African Container Stevedores (Pty) Ltd v Transnet Port Terminals 2011 JDR 0357 (KZD) and cited with approval in Waco supra. </w:t>
      </w:r>
      <w:r>
        <w:t xml:space="preserve"> </w:t>
      </w:r>
    </w:p>
  </w:footnote>
  <w:footnote w:id="21">
    <w:p w14:paraId="46662EEA" w14:textId="61A60868" w:rsidR="0063569A" w:rsidRPr="00715D2A" w:rsidRDefault="0063569A" w:rsidP="00CB1F1D">
      <w:pPr>
        <w:pStyle w:val="FootnoteText"/>
        <w:ind w:left="284" w:hanging="284"/>
        <w:rPr>
          <w:rFonts w:ascii="Arial" w:hAnsi="Arial" w:cs="Arial"/>
          <w:sz w:val="20"/>
          <w:szCs w:val="20"/>
        </w:rPr>
      </w:pPr>
      <w:r w:rsidRPr="00715D2A">
        <w:rPr>
          <w:rStyle w:val="FootnoteReference"/>
          <w:rFonts w:ascii="Arial" w:hAnsi="Arial" w:cs="Arial"/>
          <w:sz w:val="20"/>
          <w:szCs w:val="20"/>
        </w:rPr>
        <w:footnoteRef/>
      </w:r>
      <w:r w:rsidRPr="00715D2A">
        <w:rPr>
          <w:rFonts w:ascii="Arial" w:hAnsi="Arial" w:cs="Arial"/>
          <w:sz w:val="20"/>
          <w:szCs w:val="20"/>
        </w:rPr>
        <w:t xml:space="preserve"> </w:t>
      </w:r>
      <w:r w:rsidR="00CB1F1D" w:rsidRPr="00715D2A">
        <w:rPr>
          <w:rFonts w:ascii="Arial" w:hAnsi="Arial" w:cs="Arial"/>
          <w:sz w:val="20"/>
          <w:szCs w:val="20"/>
        </w:rPr>
        <w:tab/>
      </w:r>
      <w:r w:rsidR="003F0C07" w:rsidRPr="00715D2A">
        <w:rPr>
          <w:rFonts w:ascii="Arial" w:hAnsi="Arial" w:cs="Arial"/>
          <w:sz w:val="20"/>
          <w:szCs w:val="20"/>
        </w:rPr>
        <w:t>The Section inter alia empowers a court to set aside the administrative action (section 8(1)(c)) or to make any order that is just and equitable</w:t>
      </w:r>
      <w:r w:rsidR="00715D2A">
        <w:rPr>
          <w:rFonts w:ascii="Arial" w:hAnsi="Arial" w:cs="Arial"/>
          <w:sz w:val="20"/>
          <w:szCs w:val="20"/>
        </w:rPr>
        <w:t xml:space="preserve"> </w:t>
      </w:r>
      <w:r w:rsidR="00715D2A" w:rsidRPr="00715D2A">
        <w:rPr>
          <w:rFonts w:ascii="Arial" w:hAnsi="Arial" w:cs="Arial"/>
          <w:sz w:val="20"/>
          <w:szCs w:val="20"/>
        </w:rPr>
        <w:t>(section 8(2))</w:t>
      </w:r>
    </w:p>
  </w:footnote>
  <w:footnote w:id="22">
    <w:p w14:paraId="78E20AE2" w14:textId="533DDB08" w:rsidR="0063569A" w:rsidRDefault="0063569A" w:rsidP="00CB1F1D">
      <w:pPr>
        <w:pStyle w:val="FootnoteText"/>
        <w:ind w:left="284" w:hanging="284"/>
      </w:pPr>
      <w:r w:rsidRPr="00715D2A">
        <w:rPr>
          <w:rStyle w:val="FootnoteReference"/>
          <w:rFonts w:ascii="Arial" w:hAnsi="Arial" w:cs="Arial"/>
          <w:sz w:val="20"/>
          <w:szCs w:val="20"/>
        </w:rPr>
        <w:footnoteRef/>
      </w:r>
      <w:r w:rsidRPr="00715D2A">
        <w:rPr>
          <w:rFonts w:ascii="Arial" w:hAnsi="Arial" w:cs="Arial"/>
          <w:sz w:val="20"/>
          <w:szCs w:val="20"/>
        </w:rPr>
        <w:t xml:space="preserve"> </w:t>
      </w:r>
      <w:r w:rsidRPr="00715D2A">
        <w:rPr>
          <w:rFonts w:ascii="Arial" w:hAnsi="Arial" w:cs="Arial"/>
          <w:sz w:val="20"/>
          <w:szCs w:val="20"/>
        </w:rPr>
        <w:tab/>
        <w:t>This was the relief sought in the original Notice of Motion issued on 23 December 2021.</w:t>
      </w:r>
    </w:p>
  </w:footnote>
  <w:footnote w:id="23">
    <w:p w14:paraId="0D05F5A4" w14:textId="3BA44C1D" w:rsidR="0063569A" w:rsidRPr="0052011D" w:rsidRDefault="0063569A" w:rsidP="0052011D">
      <w:pPr>
        <w:pStyle w:val="FootnoteText"/>
        <w:jc w:val="both"/>
        <w:rPr>
          <w:rFonts w:ascii="Arial" w:hAnsi="Arial" w:cs="Arial"/>
          <w:sz w:val="20"/>
          <w:szCs w:val="20"/>
        </w:rPr>
      </w:pPr>
      <w:r w:rsidRPr="0052011D">
        <w:rPr>
          <w:rStyle w:val="FootnoteReference"/>
          <w:rFonts w:ascii="Arial" w:hAnsi="Arial" w:cs="Arial"/>
          <w:sz w:val="20"/>
          <w:szCs w:val="20"/>
        </w:rPr>
        <w:footnoteRef/>
      </w:r>
      <w:r w:rsidRPr="0052011D">
        <w:rPr>
          <w:rFonts w:ascii="Arial" w:hAnsi="Arial" w:cs="Arial"/>
          <w:sz w:val="20"/>
          <w:szCs w:val="20"/>
        </w:rPr>
        <w:t xml:space="preserve"> 2011 (4) SA 113 (CC) at </w:t>
      </w:r>
      <w:r w:rsidR="007B78A3">
        <w:rPr>
          <w:rFonts w:ascii="Arial" w:hAnsi="Arial" w:cs="Arial"/>
          <w:sz w:val="20"/>
          <w:szCs w:val="20"/>
        </w:rPr>
        <w:t>paragraph 84</w:t>
      </w:r>
    </w:p>
  </w:footnote>
  <w:footnote w:id="24">
    <w:p w14:paraId="252CDF56" w14:textId="22E641BD" w:rsidR="0063569A" w:rsidRPr="00CB1F1D" w:rsidRDefault="0063569A" w:rsidP="00CB1F1D">
      <w:pPr>
        <w:pStyle w:val="FootnoteText"/>
        <w:ind w:left="284" w:hanging="284"/>
        <w:jc w:val="both"/>
        <w:rPr>
          <w:rFonts w:ascii="Arial" w:hAnsi="Arial" w:cs="Arial"/>
          <w:sz w:val="20"/>
          <w:szCs w:val="20"/>
        </w:rPr>
      </w:pPr>
      <w:r w:rsidRPr="00CB1F1D">
        <w:rPr>
          <w:rStyle w:val="FootnoteReference"/>
          <w:rFonts w:ascii="Arial" w:hAnsi="Arial" w:cs="Arial"/>
          <w:sz w:val="20"/>
          <w:szCs w:val="20"/>
        </w:rPr>
        <w:footnoteRef/>
      </w:r>
      <w:r w:rsidRPr="00CB1F1D">
        <w:rPr>
          <w:rFonts w:ascii="Arial" w:hAnsi="Arial" w:cs="Arial"/>
          <w:sz w:val="20"/>
          <w:szCs w:val="20"/>
        </w:rPr>
        <w:t xml:space="preserve"> 2014 (4) SA 179 (CC) at paragraph</w:t>
      </w:r>
      <w:r w:rsidR="003F0C07">
        <w:rPr>
          <w:rFonts w:ascii="Arial" w:hAnsi="Arial" w:cs="Arial"/>
          <w:sz w:val="20"/>
          <w:szCs w:val="20"/>
        </w:rPr>
        <w:t>s</w:t>
      </w:r>
      <w:r w:rsidRPr="00CB1F1D">
        <w:rPr>
          <w:rFonts w:ascii="Arial" w:hAnsi="Arial" w:cs="Arial"/>
          <w:sz w:val="20"/>
          <w:szCs w:val="20"/>
        </w:rPr>
        <w:t xml:space="preserve"> 32 – 33 </w:t>
      </w:r>
    </w:p>
  </w:footnote>
  <w:footnote w:id="25">
    <w:p w14:paraId="53744A09" w14:textId="186CFA96" w:rsidR="0063569A" w:rsidRPr="0063569A" w:rsidRDefault="0063569A" w:rsidP="00CB1F1D">
      <w:pPr>
        <w:pStyle w:val="FootnoteText"/>
        <w:ind w:left="284" w:hanging="284"/>
        <w:jc w:val="both"/>
        <w:rPr>
          <w:rFonts w:ascii="Arial" w:hAnsi="Arial" w:cs="Arial"/>
          <w:sz w:val="20"/>
          <w:szCs w:val="20"/>
        </w:rPr>
      </w:pPr>
      <w:r w:rsidRPr="0063569A">
        <w:rPr>
          <w:rStyle w:val="FootnoteReference"/>
          <w:rFonts w:ascii="Arial" w:hAnsi="Arial" w:cs="Arial"/>
          <w:sz w:val="20"/>
          <w:szCs w:val="20"/>
        </w:rPr>
        <w:footnoteRef/>
      </w:r>
      <w:r w:rsidRPr="0063569A">
        <w:rPr>
          <w:rFonts w:ascii="Arial" w:hAnsi="Arial" w:cs="Arial"/>
          <w:sz w:val="20"/>
          <w:szCs w:val="20"/>
        </w:rPr>
        <w:t xml:space="preserve"> </w:t>
      </w:r>
      <w:r w:rsidR="00CB1F1D">
        <w:rPr>
          <w:rFonts w:ascii="Arial" w:hAnsi="Arial" w:cs="Arial"/>
          <w:sz w:val="20"/>
          <w:szCs w:val="20"/>
        </w:rPr>
        <w:tab/>
      </w:r>
      <w:r w:rsidRPr="0063569A">
        <w:rPr>
          <w:rFonts w:ascii="Arial" w:hAnsi="Arial" w:cs="Arial"/>
          <w:sz w:val="20"/>
          <w:szCs w:val="20"/>
        </w:rPr>
        <w:t>Central Energy Fund SOC Ltd v Venus Rays Trade (Pty</w:t>
      </w:r>
      <w:r>
        <w:rPr>
          <w:rFonts w:ascii="Arial" w:hAnsi="Arial" w:cs="Arial"/>
          <w:sz w:val="20"/>
          <w:szCs w:val="20"/>
        </w:rPr>
        <w:t>)</w:t>
      </w:r>
      <w:r w:rsidRPr="0063569A">
        <w:rPr>
          <w:rFonts w:ascii="Arial" w:hAnsi="Arial" w:cs="Arial"/>
          <w:sz w:val="20"/>
          <w:szCs w:val="20"/>
        </w:rPr>
        <w:t xml:space="preserve"> Ltd </w:t>
      </w:r>
      <w:r w:rsidR="003F0C07">
        <w:rPr>
          <w:rFonts w:ascii="Arial" w:hAnsi="Arial" w:cs="Arial"/>
          <w:sz w:val="20"/>
          <w:szCs w:val="20"/>
        </w:rPr>
        <w:t>2022 (5) SA 56</w:t>
      </w:r>
      <w:r w:rsidRPr="0063569A">
        <w:rPr>
          <w:rFonts w:ascii="Arial" w:hAnsi="Arial" w:cs="Arial"/>
          <w:sz w:val="20"/>
          <w:szCs w:val="20"/>
        </w:rPr>
        <w:t xml:space="preserve"> (SCA)</w:t>
      </w:r>
      <w:r w:rsidR="003F0C07">
        <w:rPr>
          <w:rFonts w:ascii="Arial" w:hAnsi="Arial" w:cs="Arial"/>
          <w:sz w:val="20"/>
          <w:szCs w:val="20"/>
        </w:rPr>
        <w:t xml:space="preserve"> at</w:t>
      </w:r>
      <w:r w:rsidRPr="0063569A">
        <w:rPr>
          <w:rFonts w:ascii="Arial" w:hAnsi="Arial" w:cs="Arial"/>
          <w:sz w:val="20"/>
          <w:szCs w:val="20"/>
        </w:rPr>
        <w:t xml:space="preserve"> paragraph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63569A" w:rsidRDefault="0063569A"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63569A" w:rsidRDefault="0063569A"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63569A" w:rsidRDefault="0063569A"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ABE">
      <w:rPr>
        <w:rStyle w:val="PageNumber"/>
        <w:noProof/>
      </w:rPr>
      <w:t>4</w:t>
    </w:r>
    <w:r>
      <w:rPr>
        <w:rStyle w:val="PageNumber"/>
      </w:rPr>
      <w:fldChar w:fldCharType="end"/>
    </w:r>
  </w:p>
  <w:p w14:paraId="7E704A95" w14:textId="77777777" w:rsidR="0063569A" w:rsidRDefault="0063569A"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6">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60CB"/>
    <w:rsid w:val="00007B6A"/>
    <w:rsid w:val="000104B4"/>
    <w:rsid w:val="000200A5"/>
    <w:rsid w:val="00020BF8"/>
    <w:rsid w:val="000218AC"/>
    <w:rsid w:val="0002295E"/>
    <w:rsid w:val="00022E29"/>
    <w:rsid w:val="00030EDB"/>
    <w:rsid w:val="00033B19"/>
    <w:rsid w:val="0003697B"/>
    <w:rsid w:val="00050078"/>
    <w:rsid w:val="00050F49"/>
    <w:rsid w:val="00052547"/>
    <w:rsid w:val="000538FC"/>
    <w:rsid w:val="000578D1"/>
    <w:rsid w:val="00062CEF"/>
    <w:rsid w:val="0006302B"/>
    <w:rsid w:val="00067975"/>
    <w:rsid w:val="00070EA4"/>
    <w:rsid w:val="000714B1"/>
    <w:rsid w:val="0007211D"/>
    <w:rsid w:val="000730BB"/>
    <w:rsid w:val="00080330"/>
    <w:rsid w:val="000829DC"/>
    <w:rsid w:val="0008376B"/>
    <w:rsid w:val="0008544C"/>
    <w:rsid w:val="00085E25"/>
    <w:rsid w:val="0008693D"/>
    <w:rsid w:val="00092C66"/>
    <w:rsid w:val="00093A0C"/>
    <w:rsid w:val="0009577C"/>
    <w:rsid w:val="000959B4"/>
    <w:rsid w:val="000964D1"/>
    <w:rsid w:val="000971DB"/>
    <w:rsid w:val="000A11F4"/>
    <w:rsid w:val="000A1578"/>
    <w:rsid w:val="000A1AA2"/>
    <w:rsid w:val="000A26D7"/>
    <w:rsid w:val="000A5272"/>
    <w:rsid w:val="000A6AC5"/>
    <w:rsid w:val="000C091F"/>
    <w:rsid w:val="000C1577"/>
    <w:rsid w:val="000C1D16"/>
    <w:rsid w:val="000C4554"/>
    <w:rsid w:val="000D0136"/>
    <w:rsid w:val="000D0E63"/>
    <w:rsid w:val="000E07B1"/>
    <w:rsid w:val="000E172E"/>
    <w:rsid w:val="000E2882"/>
    <w:rsid w:val="000E5109"/>
    <w:rsid w:val="000E5543"/>
    <w:rsid w:val="000E55BD"/>
    <w:rsid w:val="000E5FB9"/>
    <w:rsid w:val="000E6633"/>
    <w:rsid w:val="000F535B"/>
    <w:rsid w:val="00101D88"/>
    <w:rsid w:val="001021EE"/>
    <w:rsid w:val="00103B10"/>
    <w:rsid w:val="00103EC1"/>
    <w:rsid w:val="00114724"/>
    <w:rsid w:val="0011570F"/>
    <w:rsid w:val="00121456"/>
    <w:rsid w:val="00121C78"/>
    <w:rsid w:val="00131289"/>
    <w:rsid w:val="0013492F"/>
    <w:rsid w:val="001410CA"/>
    <w:rsid w:val="00144EA8"/>
    <w:rsid w:val="0014709B"/>
    <w:rsid w:val="00147C2B"/>
    <w:rsid w:val="00151F35"/>
    <w:rsid w:val="00155668"/>
    <w:rsid w:val="0016046F"/>
    <w:rsid w:val="00161F55"/>
    <w:rsid w:val="00163683"/>
    <w:rsid w:val="001721F5"/>
    <w:rsid w:val="0017317E"/>
    <w:rsid w:val="0017465D"/>
    <w:rsid w:val="0018359A"/>
    <w:rsid w:val="0018654C"/>
    <w:rsid w:val="00192F71"/>
    <w:rsid w:val="00193741"/>
    <w:rsid w:val="00194AFD"/>
    <w:rsid w:val="00194BAE"/>
    <w:rsid w:val="00195908"/>
    <w:rsid w:val="001A21CD"/>
    <w:rsid w:val="001A3451"/>
    <w:rsid w:val="001A52B0"/>
    <w:rsid w:val="001A7F86"/>
    <w:rsid w:val="001B288A"/>
    <w:rsid w:val="001B487B"/>
    <w:rsid w:val="001C3AEB"/>
    <w:rsid w:val="001C7E6B"/>
    <w:rsid w:val="001D6C62"/>
    <w:rsid w:val="001D6F4F"/>
    <w:rsid w:val="001E2843"/>
    <w:rsid w:val="001E2CE3"/>
    <w:rsid w:val="001E6710"/>
    <w:rsid w:val="001F07DD"/>
    <w:rsid w:val="001F450A"/>
    <w:rsid w:val="001F4AE5"/>
    <w:rsid w:val="002003EF"/>
    <w:rsid w:val="00201A93"/>
    <w:rsid w:val="002040D5"/>
    <w:rsid w:val="00205098"/>
    <w:rsid w:val="00206012"/>
    <w:rsid w:val="002073B7"/>
    <w:rsid w:val="0020751F"/>
    <w:rsid w:val="0021216F"/>
    <w:rsid w:val="002129F5"/>
    <w:rsid w:val="00222329"/>
    <w:rsid w:val="00227A0E"/>
    <w:rsid w:val="00231953"/>
    <w:rsid w:val="00232BFD"/>
    <w:rsid w:val="00232EA0"/>
    <w:rsid w:val="002332DE"/>
    <w:rsid w:val="00235638"/>
    <w:rsid w:val="00242E76"/>
    <w:rsid w:val="00244901"/>
    <w:rsid w:val="00254146"/>
    <w:rsid w:val="00255485"/>
    <w:rsid w:val="00256849"/>
    <w:rsid w:val="00260F2D"/>
    <w:rsid w:val="00262240"/>
    <w:rsid w:val="00264079"/>
    <w:rsid w:val="00265336"/>
    <w:rsid w:val="00267036"/>
    <w:rsid w:val="0027008F"/>
    <w:rsid w:val="00270B1D"/>
    <w:rsid w:val="00273985"/>
    <w:rsid w:val="002740B5"/>
    <w:rsid w:val="0027691A"/>
    <w:rsid w:val="00280528"/>
    <w:rsid w:val="00281CA0"/>
    <w:rsid w:val="00282A6E"/>
    <w:rsid w:val="00283B34"/>
    <w:rsid w:val="002868F7"/>
    <w:rsid w:val="002875FA"/>
    <w:rsid w:val="00287E6E"/>
    <w:rsid w:val="002914E5"/>
    <w:rsid w:val="00293A69"/>
    <w:rsid w:val="0029767F"/>
    <w:rsid w:val="002A2D7B"/>
    <w:rsid w:val="002A3982"/>
    <w:rsid w:val="002A51AF"/>
    <w:rsid w:val="002A53F8"/>
    <w:rsid w:val="002A6A3F"/>
    <w:rsid w:val="002B0A35"/>
    <w:rsid w:val="002B4437"/>
    <w:rsid w:val="002B69B1"/>
    <w:rsid w:val="002C0FFB"/>
    <w:rsid w:val="002C413A"/>
    <w:rsid w:val="002C4D4E"/>
    <w:rsid w:val="002C7527"/>
    <w:rsid w:val="002C7AFB"/>
    <w:rsid w:val="002D1B87"/>
    <w:rsid w:val="002D288B"/>
    <w:rsid w:val="002D6A2A"/>
    <w:rsid w:val="002D6BF0"/>
    <w:rsid w:val="002E1F21"/>
    <w:rsid w:val="002E2007"/>
    <w:rsid w:val="002E20D8"/>
    <w:rsid w:val="002E220C"/>
    <w:rsid w:val="002F3B32"/>
    <w:rsid w:val="002F610D"/>
    <w:rsid w:val="00307191"/>
    <w:rsid w:val="003130F3"/>
    <w:rsid w:val="00313396"/>
    <w:rsid w:val="003155D7"/>
    <w:rsid w:val="00316515"/>
    <w:rsid w:val="003168C5"/>
    <w:rsid w:val="00322298"/>
    <w:rsid w:val="00323F5E"/>
    <w:rsid w:val="00330DE1"/>
    <w:rsid w:val="00333325"/>
    <w:rsid w:val="003348C6"/>
    <w:rsid w:val="00334F20"/>
    <w:rsid w:val="00335D42"/>
    <w:rsid w:val="00336F9F"/>
    <w:rsid w:val="00342015"/>
    <w:rsid w:val="003459A7"/>
    <w:rsid w:val="00353BB5"/>
    <w:rsid w:val="00353E5B"/>
    <w:rsid w:val="00360697"/>
    <w:rsid w:val="00361136"/>
    <w:rsid w:val="00363165"/>
    <w:rsid w:val="00371BE5"/>
    <w:rsid w:val="00375DC6"/>
    <w:rsid w:val="0038358C"/>
    <w:rsid w:val="003838F9"/>
    <w:rsid w:val="00385391"/>
    <w:rsid w:val="00385FBC"/>
    <w:rsid w:val="00390120"/>
    <w:rsid w:val="00390B5F"/>
    <w:rsid w:val="00397445"/>
    <w:rsid w:val="003A0F8D"/>
    <w:rsid w:val="003A14B0"/>
    <w:rsid w:val="003A20FB"/>
    <w:rsid w:val="003A3574"/>
    <w:rsid w:val="003A5BC8"/>
    <w:rsid w:val="003B6C23"/>
    <w:rsid w:val="003C20EF"/>
    <w:rsid w:val="003C415E"/>
    <w:rsid w:val="003C432D"/>
    <w:rsid w:val="003D7268"/>
    <w:rsid w:val="003E5CCD"/>
    <w:rsid w:val="003E6BDA"/>
    <w:rsid w:val="003E7D7E"/>
    <w:rsid w:val="003F0C07"/>
    <w:rsid w:val="003F136E"/>
    <w:rsid w:val="003F2236"/>
    <w:rsid w:val="003F37AE"/>
    <w:rsid w:val="003F46D7"/>
    <w:rsid w:val="00402FAB"/>
    <w:rsid w:val="00406F88"/>
    <w:rsid w:val="004075F2"/>
    <w:rsid w:val="00412E0C"/>
    <w:rsid w:val="00413603"/>
    <w:rsid w:val="00413E2B"/>
    <w:rsid w:val="00416EA1"/>
    <w:rsid w:val="00417BE7"/>
    <w:rsid w:val="0042184A"/>
    <w:rsid w:val="004247F2"/>
    <w:rsid w:val="00425F53"/>
    <w:rsid w:val="00432B66"/>
    <w:rsid w:val="004367B8"/>
    <w:rsid w:val="00440D4B"/>
    <w:rsid w:val="0044117D"/>
    <w:rsid w:val="00442156"/>
    <w:rsid w:val="0044361B"/>
    <w:rsid w:val="00443ADE"/>
    <w:rsid w:val="00444C8B"/>
    <w:rsid w:val="0044572B"/>
    <w:rsid w:val="00446EFE"/>
    <w:rsid w:val="0045149D"/>
    <w:rsid w:val="00452748"/>
    <w:rsid w:val="00452A4C"/>
    <w:rsid w:val="00453C16"/>
    <w:rsid w:val="00453CF3"/>
    <w:rsid w:val="00454072"/>
    <w:rsid w:val="00456CAB"/>
    <w:rsid w:val="00460F1A"/>
    <w:rsid w:val="00461E12"/>
    <w:rsid w:val="00463D10"/>
    <w:rsid w:val="00475569"/>
    <w:rsid w:val="00475A8E"/>
    <w:rsid w:val="00475DE0"/>
    <w:rsid w:val="0048191C"/>
    <w:rsid w:val="00482966"/>
    <w:rsid w:val="004854D5"/>
    <w:rsid w:val="0049074E"/>
    <w:rsid w:val="0049313B"/>
    <w:rsid w:val="004A1DD2"/>
    <w:rsid w:val="004A73EB"/>
    <w:rsid w:val="004B08C6"/>
    <w:rsid w:val="004B5013"/>
    <w:rsid w:val="004C0936"/>
    <w:rsid w:val="004C6A1E"/>
    <w:rsid w:val="004D12FE"/>
    <w:rsid w:val="004D3845"/>
    <w:rsid w:val="004D3E1C"/>
    <w:rsid w:val="004D5698"/>
    <w:rsid w:val="004D658A"/>
    <w:rsid w:val="004D67A2"/>
    <w:rsid w:val="004E41FB"/>
    <w:rsid w:val="004E581A"/>
    <w:rsid w:val="004E6C18"/>
    <w:rsid w:val="004F0167"/>
    <w:rsid w:val="004F1F56"/>
    <w:rsid w:val="004F53EA"/>
    <w:rsid w:val="004F6419"/>
    <w:rsid w:val="00500DA0"/>
    <w:rsid w:val="0050250E"/>
    <w:rsid w:val="005069D9"/>
    <w:rsid w:val="00514611"/>
    <w:rsid w:val="005152B7"/>
    <w:rsid w:val="0051651C"/>
    <w:rsid w:val="0052011D"/>
    <w:rsid w:val="00522834"/>
    <w:rsid w:val="0052438F"/>
    <w:rsid w:val="0052535A"/>
    <w:rsid w:val="00531669"/>
    <w:rsid w:val="0053699C"/>
    <w:rsid w:val="00540198"/>
    <w:rsid w:val="00547503"/>
    <w:rsid w:val="005475F2"/>
    <w:rsid w:val="00547AC7"/>
    <w:rsid w:val="00551B4C"/>
    <w:rsid w:val="0055431B"/>
    <w:rsid w:val="005560EF"/>
    <w:rsid w:val="0056449D"/>
    <w:rsid w:val="00567950"/>
    <w:rsid w:val="0057074A"/>
    <w:rsid w:val="0057076A"/>
    <w:rsid w:val="005720E9"/>
    <w:rsid w:val="00584468"/>
    <w:rsid w:val="00587548"/>
    <w:rsid w:val="00587BF3"/>
    <w:rsid w:val="00594578"/>
    <w:rsid w:val="00595099"/>
    <w:rsid w:val="005A2A1F"/>
    <w:rsid w:val="005A2F73"/>
    <w:rsid w:val="005B0DB3"/>
    <w:rsid w:val="005B118D"/>
    <w:rsid w:val="005B153A"/>
    <w:rsid w:val="005B6266"/>
    <w:rsid w:val="005B75C1"/>
    <w:rsid w:val="005C7EFA"/>
    <w:rsid w:val="005D3007"/>
    <w:rsid w:val="005D3129"/>
    <w:rsid w:val="005D4335"/>
    <w:rsid w:val="005D4790"/>
    <w:rsid w:val="005E2259"/>
    <w:rsid w:val="005E230C"/>
    <w:rsid w:val="005E343C"/>
    <w:rsid w:val="005E448E"/>
    <w:rsid w:val="005F16FA"/>
    <w:rsid w:val="005F49B3"/>
    <w:rsid w:val="005F4BFF"/>
    <w:rsid w:val="005F51B9"/>
    <w:rsid w:val="005F653D"/>
    <w:rsid w:val="006036F8"/>
    <w:rsid w:val="00603D7B"/>
    <w:rsid w:val="00605316"/>
    <w:rsid w:val="006077A9"/>
    <w:rsid w:val="006108CE"/>
    <w:rsid w:val="00612675"/>
    <w:rsid w:val="00612696"/>
    <w:rsid w:val="00613E4D"/>
    <w:rsid w:val="00615A0C"/>
    <w:rsid w:val="00621654"/>
    <w:rsid w:val="006216B4"/>
    <w:rsid w:val="006257C1"/>
    <w:rsid w:val="0063569A"/>
    <w:rsid w:val="00637C14"/>
    <w:rsid w:val="006430C0"/>
    <w:rsid w:val="00644BB3"/>
    <w:rsid w:val="00646138"/>
    <w:rsid w:val="00650745"/>
    <w:rsid w:val="00651B9B"/>
    <w:rsid w:val="00653433"/>
    <w:rsid w:val="00654FD2"/>
    <w:rsid w:val="00655236"/>
    <w:rsid w:val="00656569"/>
    <w:rsid w:val="00660826"/>
    <w:rsid w:val="00661AA8"/>
    <w:rsid w:val="006630FB"/>
    <w:rsid w:val="00665F7E"/>
    <w:rsid w:val="006710DC"/>
    <w:rsid w:val="0067399C"/>
    <w:rsid w:val="00675035"/>
    <w:rsid w:val="00676987"/>
    <w:rsid w:val="00677BC9"/>
    <w:rsid w:val="00683071"/>
    <w:rsid w:val="00686AFF"/>
    <w:rsid w:val="00695533"/>
    <w:rsid w:val="006A1AA8"/>
    <w:rsid w:val="006A2498"/>
    <w:rsid w:val="006A37E3"/>
    <w:rsid w:val="006A5954"/>
    <w:rsid w:val="006A6DDB"/>
    <w:rsid w:val="006A770C"/>
    <w:rsid w:val="006B0014"/>
    <w:rsid w:val="006B3D1D"/>
    <w:rsid w:val="006B44D6"/>
    <w:rsid w:val="006B5516"/>
    <w:rsid w:val="006B67ED"/>
    <w:rsid w:val="006C705A"/>
    <w:rsid w:val="006D6F58"/>
    <w:rsid w:val="006E193E"/>
    <w:rsid w:val="006E4415"/>
    <w:rsid w:val="006E462C"/>
    <w:rsid w:val="006E6557"/>
    <w:rsid w:val="006F2787"/>
    <w:rsid w:val="006F40B5"/>
    <w:rsid w:val="00700E66"/>
    <w:rsid w:val="00701132"/>
    <w:rsid w:val="00703511"/>
    <w:rsid w:val="00707C51"/>
    <w:rsid w:val="0071053D"/>
    <w:rsid w:val="00713A5D"/>
    <w:rsid w:val="00715D2A"/>
    <w:rsid w:val="00720FEF"/>
    <w:rsid w:val="0072221F"/>
    <w:rsid w:val="0072253A"/>
    <w:rsid w:val="007240E6"/>
    <w:rsid w:val="007305A7"/>
    <w:rsid w:val="0073212D"/>
    <w:rsid w:val="00733746"/>
    <w:rsid w:val="00735EB8"/>
    <w:rsid w:val="00736CDA"/>
    <w:rsid w:val="00737291"/>
    <w:rsid w:val="00742BAE"/>
    <w:rsid w:val="00743A35"/>
    <w:rsid w:val="007458C9"/>
    <w:rsid w:val="00750CC1"/>
    <w:rsid w:val="00753AD4"/>
    <w:rsid w:val="00755484"/>
    <w:rsid w:val="00763002"/>
    <w:rsid w:val="00764D0D"/>
    <w:rsid w:val="00765BC3"/>
    <w:rsid w:val="0076608B"/>
    <w:rsid w:val="007679D5"/>
    <w:rsid w:val="00771E0F"/>
    <w:rsid w:val="007728D2"/>
    <w:rsid w:val="00773FEA"/>
    <w:rsid w:val="00777941"/>
    <w:rsid w:val="00785866"/>
    <w:rsid w:val="00785F78"/>
    <w:rsid w:val="007875AE"/>
    <w:rsid w:val="0078777C"/>
    <w:rsid w:val="007925FD"/>
    <w:rsid w:val="007970E1"/>
    <w:rsid w:val="007A288E"/>
    <w:rsid w:val="007A53BB"/>
    <w:rsid w:val="007A6F48"/>
    <w:rsid w:val="007B1CEA"/>
    <w:rsid w:val="007B2C1E"/>
    <w:rsid w:val="007B46F6"/>
    <w:rsid w:val="007B63CD"/>
    <w:rsid w:val="007B78A3"/>
    <w:rsid w:val="007C373C"/>
    <w:rsid w:val="007C6C98"/>
    <w:rsid w:val="007C7D36"/>
    <w:rsid w:val="007D17B5"/>
    <w:rsid w:val="007D24A3"/>
    <w:rsid w:val="007D4803"/>
    <w:rsid w:val="007E11C3"/>
    <w:rsid w:val="007E14BF"/>
    <w:rsid w:val="007E5CFD"/>
    <w:rsid w:val="007E6B79"/>
    <w:rsid w:val="007E7B98"/>
    <w:rsid w:val="007F0BBF"/>
    <w:rsid w:val="007F267C"/>
    <w:rsid w:val="007F3E57"/>
    <w:rsid w:val="007F6920"/>
    <w:rsid w:val="007F7FED"/>
    <w:rsid w:val="0080634A"/>
    <w:rsid w:val="00806DFA"/>
    <w:rsid w:val="00821962"/>
    <w:rsid w:val="00822511"/>
    <w:rsid w:val="00831091"/>
    <w:rsid w:val="0083215B"/>
    <w:rsid w:val="0083710F"/>
    <w:rsid w:val="00837200"/>
    <w:rsid w:val="008402F6"/>
    <w:rsid w:val="00840547"/>
    <w:rsid w:val="008412BE"/>
    <w:rsid w:val="0084332A"/>
    <w:rsid w:val="008465D6"/>
    <w:rsid w:val="00852B2D"/>
    <w:rsid w:val="00857310"/>
    <w:rsid w:val="00860899"/>
    <w:rsid w:val="008644CC"/>
    <w:rsid w:val="008649B6"/>
    <w:rsid w:val="00866025"/>
    <w:rsid w:val="008702E3"/>
    <w:rsid w:val="008812CB"/>
    <w:rsid w:val="0088233C"/>
    <w:rsid w:val="00883E47"/>
    <w:rsid w:val="00892766"/>
    <w:rsid w:val="008956FD"/>
    <w:rsid w:val="008A3877"/>
    <w:rsid w:val="008A6396"/>
    <w:rsid w:val="008B1A58"/>
    <w:rsid w:val="008B1B71"/>
    <w:rsid w:val="008B2182"/>
    <w:rsid w:val="008B6AB5"/>
    <w:rsid w:val="008C18AE"/>
    <w:rsid w:val="008C2424"/>
    <w:rsid w:val="008C30DD"/>
    <w:rsid w:val="008C3603"/>
    <w:rsid w:val="008C45A5"/>
    <w:rsid w:val="008D34A8"/>
    <w:rsid w:val="008D4FD5"/>
    <w:rsid w:val="008D738D"/>
    <w:rsid w:val="008E295E"/>
    <w:rsid w:val="008E2CA8"/>
    <w:rsid w:val="008E3210"/>
    <w:rsid w:val="008E3838"/>
    <w:rsid w:val="008E3CBC"/>
    <w:rsid w:val="008E4705"/>
    <w:rsid w:val="008E5BBF"/>
    <w:rsid w:val="008E61F0"/>
    <w:rsid w:val="008F2EA2"/>
    <w:rsid w:val="009007B6"/>
    <w:rsid w:val="00901159"/>
    <w:rsid w:val="009026AA"/>
    <w:rsid w:val="00905EBE"/>
    <w:rsid w:val="00911000"/>
    <w:rsid w:val="00911F9D"/>
    <w:rsid w:val="009155B3"/>
    <w:rsid w:val="00916812"/>
    <w:rsid w:val="00916FDE"/>
    <w:rsid w:val="009227A6"/>
    <w:rsid w:val="00923678"/>
    <w:rsid w:val="00923E09"/>
    <w:rsid w:val="00926EAA"/>
    <w:rsid w:val="00934721"/>
    <w:rsid w:val="0093492C"/>
    <w:rsid w:val="0093762E"/>
    <w:rsid w:val="00940B57"/>
    <w:rsid w:val="00941562"/>
    <w:rsid w:val="00944BDE"/>
    <w:rsid w:val="0094618C"/>
    <w:rsid w:val="0095114B"/>
    <w:rsid w:val="0095576C"/>
    <w:rsid w:val="009567D8"/>
    <w:rsid w:val="009601A4"/>
    <w:rsid w:val="00962B70"/>
    <w:rsid w:val="00965032"/>
    <w:rsid w:val="00972E77"/>
    <w:rsid w:val="009732B6"/>
    <w:rsid w:val="00974554"/>
    <w:rsid w:val="00974894"/>
    <w:rsid w:val="00976D15"/>
    <w:rsid w:val="00977E1A"/>
    <w:rsid w:val="00982553"/>
    <w:rsid w:val="009838D5"/>
    <w:rsid w:val="00987290"/>
    <w:rsid w:val="00990570"/>
    <w:rsid w:val="00992DEB"/>
    <w:rsid w:val="009950C9"/>
    <w:rsid w:val="009A269B"/>
    <w:rsid w:val="009A2D04"/>
    <w:rsid w:val="009A33C1"/>
    <w:rsid w:val="009A79F1"/>
    <w:rsid w:val="009B099B"/>
    <w:rsid w:val="009B2BC9"/>
    <w:rsid w:val="009B36AA"/>
    <w:rsid w:val="009B3D4B"/>
    <w:rsid w:val="009B3E83"/>
    <w:rsid w:val="009B4C31"/>
    <w:rsid w:val="009C0A48"/>
    <w:rsid w:val="009C514B"/>
    <w:rsid w:val="009C6042"/>
    <w:rsid w:val="009D29E3"/>
    <w:rsid w:val="009D318B"/>
    <w:rsid w:val="009D3ABC"/>
    <w:rsid w:val="009D57DB"/>
    <w:rsid w:val="009E1EF1"/>
    <w:rsid w:val="009E2FF8"/>
    <w:rsid w:val="009F22F0"/>
    <w:rsid w:val="009F43A4"/>
    <w:rsid w:val="009F5E83"/>
    <w:rsid w:val="00A00768"/>
    <w:rsid w:val="00A01777"/>
    <w:rsid w:val="00A02FD9"/>
    <w:rsid w:val="00A055B0"/>
    <w:rsid w:val="00A06E43"/>
    <w:rsid w:val="00A07432"/>
    <w:rsid w:val="00A12932"/>
    <w:rsid w:val="00A13793"/>
    <w:rsid w:val="00A14806"/>
    <w:rsid w:val="00A14959"/>
    <w:rsid w:val="00A156AE"/>
    <w:rsid w:val="00A15E04"/>
    <w:rsid w:val="00A161B0"/>
    <w:rsid w:val="00A165EA"/>
    <w:rsid w:val="00A22388"/>
    <w:rsid w:val="00A24B93"/>
    <w:rsid w:val="00A30486"/>
    <w:rsid w:val="00A323D2"/>
    <w:rsid w:val="00A32C10"/>
    <w:rsid w:val="00A337E6"/>
    <w:rsid w:val="00A3600A"/>
    <w:rsid w:val="00A43F9C"/>
    <w:rsid w:val="00A4634B"/>
    <w:rsid w:val="00A52EE8"/>
    <w:rsid w:val="00A54C36"/>
    <w:rsid w:val="00A55C3C"/>
    <w:rsid w:val="00A56BC1"/>
    <w:rsid w:val="00A600CF"/>
    <w:rsid w:val="00A61AE8"/>
    <w:rsid w:val="00A62353"/>
    <w:rsid w:val="00A63F51"/>
    <w:rsid w:val="00A66FF5"/>
    <w:rsid w:val="00A67CBE"/>
    <w:rsid w:val="00A75EF4"/>
    <w:rsid w:val="00A77551"/>
    <w:rsid w:val="00A775F2"/>
    <w:rsid w:val="00A83A03"/>
    <w:rsid w:val="00A84193"/>
    <w:rsid w:val="00A8522E"/>
    <w:rsid w:val="00A9010C"/>
    <w:rsid w:val="00A901C5"/>
    <w:rsid w:val="00AA475A"/>
    <w:rsid w:val="00AA5F45"/>
    <w:rsid w:val="00AA663B"/>
    <w:rsid w:val="00AB1510"/>
    <w:rsid w:val="00AB2DE7"/>
    <w:rsid w:val="00AB40AF"/>
    <w:rsid w:val="00AB4CA7"/>
    <w:rsid w:val="00AB636E"/>
    <w:rsid w:val="00AB6798"/>
    <w:rsid w:val="00AB6877"/>
    <w:rsid w:val="00AC09ED"/>
    <w:rsid w:val="00AD49F8"/>
    <w:rsid w:val="00AD7C32"/>
    <w:rsid w:val="00AE19AF"/>
    <w:rsid w:val="00AE1E5D"/>
    <w:rsid w:val="00AE4E9C"/>
    <w:rsid w:val="00AF1197"/>
    <w:rsid w:val="00AF1688"/>
    <w:rsid w:val="00AF3194"/>
    <w:rsid w:val="00B036F0"/>
    <w:rsid w:val="00B05716"/>
    <w:rsid w:val="00B11DEB"/>
    <w:rsid w:val="00B120C9"/>
    <w:rsid w:val="00B12662"/>
    <w:rsid w:val="00B20170"/>
    <w:rsid w:val="00B21489"/>
    <w:rsid w:val="00B2186B"/>
    <w:rsid w:val="00B21E88"/>
    <w:rsid w:val="00B22495"/>
    <w:rsid w:val="00B244B7"/>
    <w:rsid w:val="00B3097A"/>
    <w:rsid w:val="00B3106B"/>
    <w:rsid w:val="00B361A3"/>
    <w:rsid w:val="00B404D0"/>
    <w:rsid w:val="00B44F10"/>
    <w:rsid w:val="00B50E11"/>
    <w:rsid w:val="00B62CCE"/>
    <w:rsid w:val="00B64D36"/>
    <w:rsid w:val="00B70181"/>
    <w:rsid w:val="00B72F08"/>
    <w:rsid w:val="00B73443"/>
    <w:rsid w:val="00B76129"/>
    <w:rsid w:val="00B8347D"/>
    <w:rsid w:val="00B862D2"/>
    <w:rsid w:val="00B908DF"/>
    <w:rsid w:val="00B90D72"/>
    <w:rsid w:val="00B91270"/>
    <w:rsid w:val="00B92074"/>
    <w:rsid w:val="00B92366"/>
    <w:rsid w:val="00B92A41"/>
    <w:rsid w:val="00B9551D"/>
    <w:rsid w:val="00B95693"/>
    <w:rsid w:val="00B95E84"/>
    <w:rsid w:val="00BA1F62"/>
    <w:rsid w:val="00BA5982"/>
    <w:rsid w:val="00BB3F25"/>
    <w:rsid w:val="00BB3F9A"/>
    <w:rsid w:val="00BB6202"/>
    <w:rsid w:val="00BC0DEB"/>
    <w:rsid w:val="00BD1DB5"/>
    <w:rsid w:val="00BD2454"/>
    <w:rsid w:val="00BD647C"/>
    <w:rsid w:val="00BE257B"/>
    <w:rsid w:val="00BE6CCB"/>
    <w:rsid w:val="00BF09B4"/>
    <w:rsid w:val="00BF43E1"/>
    <w:rsid w:val="00C03C15"/>
    <w:rsid w:val="00C04C43"/>
    <w:rsid w:val="00C1009D"/>
    <w:rsid w:val="00C11D38"/>
    <w:rsid w:val="00C1227A"/>
    <w:rsid w:val="00C16DB2"/>
    <w:rsid w:val="00C252A9"/>
    <w:rsid w:val="00C32A6F"/>
    <w:rsid w:val="00C33AAD"/>
    <w:rsid w:val="00C359FB"/>
    <w:rsid w:val="00C35AE1"/>
    <w:rsid w:val="00C4185B"/>
    <w:rsid w:val="00C44625"/>
    <w:rsid w:val="00C4520D"/>
    <w:rsid w:val="00C45291"/>
    <w:rsid w:val="00C45CF3"/>
    <w:rsid w:val="00C46E2F"/>
    <w:rsid w:val="00C476E5"/>
    <w:rsid w:val="00C50A22"/>
    <w:rsid w:val="00C519B2"/>
    <w:rsid w:val="00C52737"/>
    <w:rsid w:val="00C53A35"/>
    <w:rsid w:val="00C53B19"/>
    <w:rsid w:val="00C5727B"/>
    <w:rsid w:val="00C60890"/>
    <w:rsid w:val="00C63FFA"/>
    <w:rsid w:val="00C64B6A"/>
    <w:rsid w:val="00C7071F"/>
    <w:rsid w:val="00C72619"/>
    <w:rsid w:val="00C72A6C"/>
    <w:rsid w:val="00C7361A"/>
    <w:rsid w:val="00C7460D"/>
    <w:rsid w:val="00C80336"/>
    <w:rsid w:val="00C82E72"/>
    <w:rsid w:val="00C8430A"/>
    <w:rsid w:val="00C87F56"/>
    <w:rsid w:val="00C9262D"/>
    <w:rsid w:val="00CA078B"/>
    <w:rsid w:val="00CA67E2"/>
    <w:rsid w:val="00CA6C2A"/>
    <w:rsid w:val="00CA7442"/>
    <w:rsid w:val="00CB1F1D"/>
    <w:rsid w:val="00CB2381"/>
    <w:rsid w:val="00CB2439"/>
    <w:rsid w:val="00CB6F8A"/>
    <w:rsid w:val="00CC3AB3"/>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1565"/>
    <w:rsid w:val="00D026E5"/>
    <w:rsid w:val="00D0642F"/>
    <w:rsid w:val="00D07002"/>
    <w:rsid w:val="00D10577"/>
    <w:rsid w:val="00D1280F"/>
    <w:rsid w:val="00D15C8C"/>
    <w:rsid w:val="00D16320"/>
    <w:rsid w:val="00D1638A"/>
    <w:rsid w:val="00D17425"/>
    <w:rsid w:val="00D17B06"/>
    <w:rsid w:val="00D2145B"/>
    <w:rsid w:val="00D23118"/>
    <w:rsid w:val="00D23AB6"/>
    <w:rsid w:val="00D2698D"/>
    <w:rsid w:val="00D314A6"/>
    <w:rsid w:val="00D31928"/>
    <w:rsid w:val="00D344C1"/>
    <w:rsid w:val="00D36006"/>
    <w:rsid w:val="00D3705F"/>
    <w:rsid w:val="00D373D9"/>
    <w:rsid w:val="00D40135"/>
    <w:rsid w:val="00D42B06"/>
    <w:rsid w:val="00D47041"/>
    <w:rsid w:val="00D523A1"/>
    <w:rsid w:val="00D526DF"/>
    <w:rsid w:val="00D61362"/>
    <w:rsid w:val="00D643F2"/>
    <w:rsid w:val="00D72025"/>
    <w:rsid w:val="00D725B6"/>
    <w:rsid w:val="00D75D27"/>
    <w:rsid w:val="00D75F3B"/>
    <w:rsid w:val="00D77C76"/>
    <w:rsid w:val="00D911AC"/>
    <w:rsid w:val="00D91BA3"/>
    <w:rsid w:val="00D9427C"/>
    <w:rsid w:val="00D94ADD"/>
    <w:rsid w:val="00DA44A9"/>
    <w:rsid w:val="00DA7A8D"/>
    <w:rsid w:val="00DB19FF"/>
    <w:rsid w:val="00DB60E6"/>
    <w:rsid w:val="00DC0738"/>
    <w:rsid w:val="00DD0D2F"/>
    <w:rsid w:val="00DD4D3D"/>
    <w:rsid w:val="00DD5A44"/>
    <w:rsid w:val="00DD7178"/>
    <w:rsid w:val="00DE0282"/>
    <w:rsid w:val="00DE0308"/>
    <w:rsid w:val="00DE0346"/>
    <w:rsid w:val="00DE1587"/>
    <w:rsid w:val="00DE39D7"/>
    <w:rsid w:val="00DF0D64"/>
    <w:rsid w:val="00DF1032"/>
    <w:rsid w:val="00DF1FC4"/>
    <w:rsid w:val="00DF4D83"/>
    <w:rsid w:val="00E01835"/>
    <w:rsid w:val="00E02EAF"/>
    <w:rsid w:val="00E03204"/>
    <w:rsid w:val="00E03B46"/>
    <w:rsid w:val="00E067A2"/>
    <w:rsid w:val="00E077DF"/>
    <w:rsid w:val="00E07A72"/>
    <w:rsid w:val="00E12A80"/>
    <w:rsid w:val="00E15BCC"/>
    <w:rsid w:val="00E25A3E"/>
    <w:rsid w:val="00E2606B"/>
    <w:rsid w:val="00E3052B"/>
    <w:rsid w:val="00E31629"/>
    <w:rsid w:val="00E331B6"/>
    <w:rsid w:val="00E36FD9"/>
    <w:rsid w:val="00E43F8E"/>
    <w:rsid w:val="00E45186"/>
    <w:rsid w:val="00E4759E"/>
    <w:rsid w:val="00E50554"/>
    <w:rsid w:val="00E507F0"/>
    <w:rsid w:val="00E51144"/>
    <w:rsid w:val="00E55848"/>
    <w:rsid w:val="00E55C66"/>
    <w:rsid w:val="00E63F2E"/>
    <w:rsid w:val="00E6515C"/>
    <w:rsid w:val="00E65FD4"/>
    <w:rsid w:val="00E7210A"/>
    <w:rsid w:val="00E72A79"/>
    <w:rsid w:val="00E802B6"/>
    <w:rsid w:val="00E82E00"/>
    <w:rsid w:val="00E82F1E"/>
    <w:rsid w:val="00E8500B"/>
    <w:rsid w:val="00E8695C"/>
    <w:rsid w:val="00E86AD4"/>
    <w:rsid w:val="00E87C23"/>
    <w:rsid w:val="00E904E4"/>
    <w:rsid w:val="00E916A7"/>
    <w:rsid w:val="00E932B5"/>
    <w:rsid w:val="00E9478D"/>
    <w:rsid w:val="00E94C86"/>
    <w:rsid w:val="00E95904"/>
    <w:rsid w:val="00E95FDF"/>
    <w:rsid w:val="00E965B7"/>
    <w:rsid w:val="00E972D3"/>
    <w:rsid w:val="00EA316A"/>
    <w:rsid w:val="00EA66AD"/>
    <w:rsid w:val="00EB239A"/>
    <w:rsid w:val="00EC4FE5"/>
    <w:rsid w:val="00EC72BA"/>
    <w:rsid w:val="00EC7C52"/>
    <w:rsid w:val="00ED011F"/>
    <w:rsid w:val="00ED23AA"/>
    <w:rsid w:val="00ED58E4"/>
    <w:rsid w:val="00ED68B8"/>
    <w:rsid w:val="00EE0738"/>
    <w:rsid w:val="00EE0DBB"/>
    <w:rsid w:val="00EE1161"/>
    <w:rsid w:val="00EE709D"/>
    <w:rsid w:val="00EE7699"/>
    <w:rsid w:val="00EE7C9E"/>
    <w:rsid w:val="00EF0C48"/>
    <w:rsid w:val="00EF46E6"/>
    <w:rsid w:val="00EF5F44"/>
    <w:rsid w:val="00EF626F"/>
    <w:rsid w:val="00F00B18"/>
    <w:rsid w:val="00F0330D"/>
    <w:rsid w:val="00F0562B"/>
    <w:rsid w:val="00F06E7C"/>
    <w:rsid w:val="00F07FAF"/>
    <w:rsid w:val="00F10750"/>
    <w:rsid w:val="00F12440"/>
    <w:rsid w:val="00F142DB"/>
    <w:rsid w:val="00F16056"/>
    <w:rsid w:val="00F20D5C"/>
    <w:rsid w:val="00F21520"/>
    <w:rsid w:val="00F22289"/>
    <w:rsid w:val="00F25D67"/>
    <w:rsid w:val="00F26354"/>
    <w:rsid w:val="00F27F84"/>
    <w:rsid w:val="00F34654"/>
    <w:rsid w:val="00F3578B"/>
    <w:rsid w:val="00F357F6"/>
    <w:rsid w:val="00F43A15"/>
    <w:rsid w:val="00F43C52"/>
    <w:rsid w:val="00F44185"/>
    <w:rsid w:val="00F442D7"/>
    <w:rsid w:val="00F44ABE"/>
    <w:rsid w:val="00F471C4"/>
    <w:rsid w:val="00F5238A"/>
    <w:rsid w:val="00F53553"/>
    <w:rsid w:val="00F5420B"/>
    <w:rsid w:val="00F55C9B"/>
    <w:rsid w:val="00F56324"/>
    <w:rsid w:val="00F57032"/>
    <w:rsid w:val="00F579ED"/>
    <w:rsid w:val="00F57BC1"/>
    <w:rsid w:val="00F63187"/>
    <w:rsid w:val="00F63AA6"/>
    <w:rsid w:val="00F64177"/>
    <w:rsid w:val="00F64284"/>
    <w:rsid w:val="00F67AE3"/>
    <w:rsid w:val="00F70A12"/>
    <w:rsid w:val="00F71C68"/>
    <w:rsid w:val="00F7380D"/>
    <w:rsid w:val="00F743E1"/>
    <w:rsid w:val="00F85632"/>
    <w:rsid w:val="00F867F4"/>
    <w:rsid w:val="00F87163"/>
    <w:rsid w:val="00F90936"/>
    <w:rsid w:val="00F9379B"/>
    <w:rsid w:val="00F93BA4"/>
    <w:rsid w:val="00F95B0D"/>
    <w:rsid w:val="00F96145"/>
    <w:rsid w:val="00F97E13"/>
    <w:rsid w:val="00FA1191"/>
    <w:rsid w:val="00FA547D"/>
    <w:rsid w:val="00FB0ED4"/>
    <w:rsid w:val="00FC01F2"/>
    <w:rsid w:val="00FC0385"/>
    <w:rsid w:val="00FC13A4"/>
    <w:rsid w:val="00FC34D5"/>
    <w:rsid w:val="00FC61F3"/>
    <w:rsid w:val="00FC76E7"/>
    <w:rsid w:val="00FD07EE"/>
    <w:rsid w:val="00FD36CE"/>
    <w:rsid w:val="00FD48A0"/>
    <w:rsid w:val="00FD5090"/>
    <w:rsid w:val="00FD5648"/>
    <w:rsid w:val="00FE07D3"/>
    <w:rsid w:val="00FE4DF3"/>
    <w:rsid w:val="00FE53D2"/>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257ED6-2272-4ADC-9A1D-45997CF8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2</cp:revision>
  <cp:lastPrinted>2022-04-10T14:08:00Z</cp:lastPrinted>
  <dcterms:created xsi:type="dcterms:W3CDTF">2022-11-28T06:04:00Z</dcterms:created>
  <dcterms:modified xsi:type="dcterms:W3CDTF">2022-11-28T06:04:00Z</dcterms:modified>
</cp:coreProperties>
</file>